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8F916" w14:textId="77777777" w:rsidR="00C91F6E" w:rsidRPr="00EC250C" w:rsidRDefault="00464DD7" w:rsidP="00DB1699">
      <w:pPr>
        <w:pStyle w:val="Tytu"/>
        <w:spacing w:before="240" w:after="240"/>
        <w:contextualSpacing w:val="0"/>
        <w:rPr>
          <w:color w:val="auto"/>
          <w:sz w:val="48"/>
        </w:rPr>
      </w:pPr>
      <w:bookmarkStart w:id="0" w:name="_Toc503766418"/>
      <w:r w:rsidRPr="00EC250C">
        <w:rPr>
          <w:sz w:val="180"/>
          <w:szCs w:val="52"/>
        </w:rPr>
        <w:t>I</w:t>
      </w:r>
      <w:r w:rsidR="00945207" w:rsidRPr="00EC250C">
        <w:rPr>
          <w:sz w:val="180"/>
          <w:szCs w:val="52"/>
        </w:rPr>
        <w:t>nformacja</w:t>
      </w:r>
      <w:r w:rsidR="00945207" w:rsidRPr="00EC250C">
        <w:rPr>
          <w:sz w:val="56"/>
          <w:szCs w:val="52"/>
        </w:rPr>
        <w:br/>
      </w:r>
      <w:r w:rsidR="000202BD" w:rsidRPr="00EC250C">
        <w:rPr>
          <w:color w:val="auto"/>
          <w:sz w:val="48"/>
        </w:rPr>
        <w:t xml:space="preserve">o </w:t>
      </w:r>
      <w:r w:rsidRPr="00EC250C">
        <w:rPr>
          <w:color w:val="auto"/>
          <w:sz w:val="48"/>
        </w:rPr>
        <w:t>działalności Rzecznika Praw Obywatelskich</w:t>
      </w:r>
    </w:p>
    <w:p w14:paraId="62489BCE" w14:textId="77777777" w:rsidR="00464DD7" w:rsidRPr="00EC250C" w:rsidRDefault="00464DD7" w:rsidP="00DB1699">
      <w:pPr>
        <w:pStyle w:val="Tytu"/>
        <w:spacing w:before="480" w:after="240"/>
        <w:rPr>
          <w:color w:val="auto"/>
          <w:sz w:val="48"/>
          <w:szCs w:val="48"/>
        </w:rPr>
      </w:pPr>
      <w:r w:rsidRPr="00EC250C">
        <w:rPr>
          <w:color w:val="auto"/>
          <w:sz w:val="48"/>
        </w:rPr>
        <w:t>oraz</w:t>
      </w:r>
      <w:r w:rsidR="00992FD0" w:rsidRPr="00EC250C">
        <w:rPr>
          <w:color w:val="auto"/>
          <w:sz w:val="48"/>
        </w:rPr>
        <w:t xml:space="preserve"> o </w:t>
      </w:r>
      <w:r w:rsidRPr="00EC250C">
        <w:rPr>
          <w:color w:val="auto"/>
          <w:sz w:val="48"/>
        </w:rPr>
        <w:t>stanie przestrzegania</w:t>
      </w:r>
      <w:r w:rsidR="00425A62" w:rsidRPr="00EC250C">
        <w:rPr>
          <w:color w:val="auto"/>
          <w:sz w:val="48"/>
        </w:rPr>
        <w:t xml:space="preserve"> </w:t>
      </w:r>
      <w:r w:rsidRPr="00EC250C">
        <w:rPr>
          <w:color w:val="auto"/>
          <w:sz w:val="48"/>
        </w:rPr>
        <w:t>wolności</w:t>
      </w:r>
      <w:r w:rsidR="00992FD0" w:rsidRPr="00EC250C">
        <w:rPr>
          <w:color w:val="auto"/>
          <w:sz w:val="48"/>
        </w:rPr>
        <w:t xml:space="preserve"> i </w:t>
      </w:r>
      <w:r w:rsidRPr="00EC250C">
        <w:rPr>
          <w:color w:val="auto"/>
          <w:sz w:val="48"/>
        </w:rPr>
        <w:t>praw człowieka</w:t>
      </w:r>
      <w:r w:rsidR="00992FD0" w:rsidRPr="00EC250C">
        <w:rPr>
          <w:color w:val="auto"/>
          <w:sz w:val="48"/>
        </w:rPr>
        <w:t xml:space="preserve"> i </w:t>
      </w:r>
      <w:r w:rsidRPr="00EC250C">
        <w:rPr>
          <w:color w:val="auto"/>
          <w:sz w:val="48"/>
        </w:rPr>
        <w:t>obywatela</w:t>
      </w:r>
      <w:r w:rsidR="00992FD0" w:rsidRPr="00EC250C">
        <w:rPr>
          <w:color w:val="auto"/>
          <w:sz w:val="48"/>
        </w:rPr>
        <w:t xml:space="preserve"> w </w:t>
      </w:r>
      <w:r w:rsidRPr="00EC250C">
        <w:rPr>
          <w:color w:val="auto"/>
          <w:sz w:val="48"/>
        </w:rPr>
        <w:t>roku 2018</w:t>
      </w:r>
    </w:p>
    <w:p w14:paraId="168E0D5F" w14:textId="3C568E85" w:rsidR="00464DD7" w:rsidRDefault="00464DD7" w:rsidP="00D131FA">
      <w:pPr>
        <w:spacing w:after="200" w:line="24" w:lineRule="auto"/>
        <w:jc w:val="both"/>
        <w:rPr>
          <w:spacing w:val="0"/>
          <w:sz w:val="24"/>
        </w:rPr>
      </w:pPr>
    </w:p>
    <w:p w14:paraId="5FA65CA8" w14:textId="0C3D78CB" w:rsidR="00325599" w:rsidRDefault="00325599" w:rsidP="00D131FA">
      <w:pPr>
        <w:spacing w:after="200" w:line="24" w:lineRule="auto"/>
        <w:jc w:val="both"/>
        <w:rPr>
          <w:spacing w:val="0"/>
          <w:sz w:val="24"/>
        </w:rPr>
      </w:pPr>
    </w:p>
    <w:p w14:paraId="2D4FBC78" w14:textId="66FE0E53" w:rsidR="00325599" w:rsidRDefault="00325599" w:rsidP="00D131FA">
      <w:pPr>
        <w:spacing w:after="200" w:line="24" w:lineRule="auto"/>
        <w:jc w:val="both"/>
        <w:rPr>
          <w:spacing w:val="0"/>
          <w:sz w:val="24"/>
        </w:rPr>
      </w:pPr>
    </w:p>
    <w:p w14:paraId="3B7871FA" w14:textId="16B945E9" w:rsidR="00325599" w:rsidRDefault="00325599" w:rsidP="00D131FA">
      <w:pPr>
        <w:spacing w:after="200" w:line="24" w:lineRule="auto"/>
        <w:jc w:val="both"/>
        <w:rPr>
          <w:spacing w:val="0"/>
          <w:sz w:val="24"/>
        </w:rPr>
      </w:pPr>
    </w:p>
    <w:p w14:paraId="5CBBB710" w14:textId="286ABC3A" w:rsidR="00325599" w:rsidRDefault="00325599" w:rsidP="00D131FA">
      <w:pPr>
        <w:spacing w:after="200" w:line="24" w:lineRule="auto"/>
        <w:jc w:val="both"/>
        <w:rPr>
          <w:spacing w:val="0"/>
          <w:sz w:val="24"/>
        </w:rPr>
      </w:pPr>
    </w:p>
    <w:p w14:paraId="21C3C7A0" w14:textId="6ECE14B2" w:rsidR="00325599" w:rsidRDefault="00325599" w:rsidP="00D131FA">
      <w:pPr>
        <w:spacing w:after="200" w:line="24" w:lineRule="auto"/>
        <w:jc w:val="both"/>
        <w:rPr>
          <w:spacing w:val="0"/>
          <w:sz w:val="24"/>
        </w:rPr>
      </w:pPr>
    </w:p>
    <w:p w14:paraId="72FCED1E" w14:textId="6C218CDC" w:rsidR="00325599" w:rsidRDefault="00325599" w:rsidP="00D131FA">
      <w:pPr>
        <w:spacing w:after="200" w:line="24" w:lineRule="auto"/>
        <w:jc w:val="both"/>
        <w:rPr>
          <w:spacing w:val="0"/>
          <w:sz w:val="24"/>
        </w:rPr>
      </w:pPr>
    </w:p>
    <w:p w14:paraId="6F1C9265" w14:textId="36290FD3" w:rsidR="00325599" w:rsidRDefault="00325599" w:rsidP="00D131FA">
      <w:pPr>
        <w:spacing w:after="200" w:line="24" w:lineRule="auto"/>
        <w:jc w:val="both"/>
        <w:rPr>
          <w:spacing w:val="0"/>
          <w:sz w:val="24"/>
        </w:rPr>
      </w:pPr>
    </w:p>
    <w:p w14:paraId="6050D11D" w14:textId="17733FF9" w:rsidR="00325599" w:rsidRDefault="00325599" w:rsidP="00D131FA">
      <w:pPr>
        <w:spacing w:after="200" w:line="24" w:lineRule="auto"/>
        <w:jc w:val="both"/>
        <w:rPr>
          <w:spacing w:val="0"/>
          <w:sz w:val="24"/>
        </w:rPr>
      </w:pPr>
    </w:p>
    <w:p w14:paraId="3B69DF4A" w14:textId="67A7FDAF" w:rsidR="00325599" w:rsidRDefault="00325599" w:rsidP="00D131FA">
      <w:pPr>
        <w:spacing w:after="200" w:line="24" w:lineRule="auto"/>
        <w:jc w:val="both"/>
        <w:rPr>
          <w:spacing w:val="0"/>
          <w:sz w:val="24"/>
        </w:rPr>
      </w:pPr>
    </w:p>
    <w:p w14:paraId="32BC20AE" w14:textId="763E8195" w:rsidR="00325599" w:rsidRDefault="00325599" w:rsidP="00D131FA">
      <w:pPr>
        <w:spacing w:after="200" w:line="24" w:lineRule="auto"/>
        <w:jc w:val="both"/>
        <w:rPr>
          <w:spacing w:val="0"/>
          <w:sz w:val="24"/>
        </w:rPr>
      </w:pPr>
    </w:p>
    <w:p w14:paraId="56FE312E" w14:textId="70B19BE2" w:rsidR="00325599" w:rsidRDefault="00325599" w:rsidP="00D131FA">
      <w:pPr>
        <w:spacing w:after="200" w:line="24" w:lineRule="auto"/>
        <w:jc w:val="both"/>
        <w:rPr>
          <w:spacing w:val="0"/>
          <w:sz w:val="24"/>
        </w:rPr>
      </w:pPr>
    </w:p>
    <w:p w14:paraId="68B615B3" w14:textId="2C6B63BF" w:rsidR="00325599" w:rsidRDefault="00325599" w:rsidP="00D131FA">
      <w:pPr>
        <w:spacing w:after="200" w:line="24" w:lineRule="auto"/>
        <w:jc w:val="both"/>
        <w:rPr>
          <w:spacing w:val="0"/>
          <w:sz w:val="24"/>
        </w:rPr>
      </w:pPr>
    </w:p>
    <w:p w14:paraId="2EDE698F" w14:textId="25845E41" w:rsidR="00325599" w:rsidRDefault="00325599" w:rsidP="00D131FA">
      <w:pPr>
        <w:spacing w:after="200" w:line="24" w:lineRule="auto"/>
        <w:jc w:val="both"/>
        <w:rPr>
          <w:spacing w:val="0"/>
          <w:sz w:val="24"/>
        </w:rPr>
      </w:pPr>
    </w:p>
    <w:p w14:paraId="6220AC24" w14:textId="1A78DAB0" w:rsidR="00325599" w:rsidRDefault="00325599" w:rsidP="00D131FA">
      <w:pPr>
        <w:spacing w:after="200" w:line="24" w:lineRule="auto"/>
        <w:jc w:val="both"/>
        <w:rPr>
          <w:spacing w:val="0"/>
          <w:sz w:val="24"/>
        </w:rPr>
      </w:pPr>
    </w:p>
    <w:p w14:paraId="296A6436" w14:textId="71933006" w:rsidR="00325599" w:rsidRDefault="00325599" w:rsidP="00D131FA">
      <w:pPr>
        <w:spacing w:after="200" w:line="24" w:lineRule="auto"/>
        <w:jc w:val="both"/>
        <w:rPr>
          <w:spacing w:val="0"/>
          <w:sz w:val="24"/>
        </w:rPr>
      </w:pPr>
    </w:p>
    <w:p w14:paraId="36A6502A" w14:textId="255E2A02" w:rsidR="00325599" w:rsidRDefault="00325599" w:rsidP="00D131FA">
      <w:pPr>
        <w:spacing w:after="200" w:line="24" w:lineRule="auto"/>
        <w:jc w:val="both"/>
        <w:rPr>
          <w:spacing w:val="0"/>
          <w:sz w:val="24"/>
        </w:rPr>
      </w:pPr>
    </w:p>
    <w:p w14:paraId="287E64E5" w14:textId="13F17AB0" w:rsidR="00325599" w:rsidRDefault="00325599" w:rsidP="00D131FA">
      <w:pPr>
        <w:spacing w:after="200" w:line="24" w:lineRule="auto"/>
        <w:jc w:val="both"/>
        <w:rPr>
          <w:spacing w:val="0"/>
          <w:sz w:val="24"/>
        </w:rPr>
      </w:pPr>
    </w:p>
    <w:p w14:paraId="31FC6F15" w14:textId="3C3E347F" w:rsidR="00325599" w:rsidRDefault="00325599" w:rsidP="00D131FA">
      <w:pPr>
        <w:spacing w:after="200" w:line="24" w:lineRule="auto"/>
        <w:jc w:val="both"/>
        <w:rPr>
          <w:spacing w:val="0"/>
          <w:sz w:val="24"/>
        </w:rPr>
      </w:pPr>
    </w:p>
    <w:p w14:paraId="372870D4" w14:textId="513671AF" w:rsidR="00325599" w:rsidRPr="00803B7D" w:rsidRDefault="00803B7D" w:rsidP="00325599">
      <w:pPr>
        <w:pStyle w:val="Styl1"/>
        <w:ind w:firstLine="0"/>
        <w:rPr>
          <w:rStyle w:val="Hipercze"/>
          <w:i/>
          <w:color w:val="C00000"/>
          <w:sz w:val="36"/>
          <w:szCs w:val="32"/>
        </w:rPr>
      </w:pPr>
      <w:r w:rsidRPr="00803B7D">
        <w:rPr>
          <w:b/>
          <w:i/>
          <w:color w:val="C00000"/>
          <w:sz w:val="36"/>
          <w:szCs w:val="32"/>
        </w:rPr>
        <w:fldChar w:fldCharType="begin"/>
      </w:r>
      <w:r w:rsidRPr="00803B7D">
        <w:rPr>
          <w:b/>
          <w:i/>
          <w:color w:val="C00000"/>
          <w:sz w:val="36"/>
          <w:szCs w:val="32"/>
        </w:rPr>
        <w:instrText xml:space="preserve"> HYPERLINK  \l "SPIS" </w:instrText>
      </w:r>
      <w:r w:rsidRPr="00803B7D">
        <w:rPr>
          <w:b/>
          <w:i/>
          <w:color w:val="C00000"/>
          <w:sz w:val="36"/>
          <w:szCs w:val="32"/>
        </w:rPr>
        <w:fldChar w:fldCharType="separate"/>
      </w:r>
      <w:r w:rsidR="00325599" w:rsidRPr="00803B7D">
        <w:rPr>
          <w:rStyle w:val="Hipercze"/>
          <w:b/>
          <w:i/>
          <w:color w:val="C00000"/>
          <w:sz w:val="36"/>
          <w:szCs w:val="32"/>
        </w:rPr>
        <w:t>SPIS TREŚCI jest na s. 10</w:t>
      </w:r>
    </w:p>
    <w:p w14:paraId="3970CAFF" w14:textId="68086309" w:rsidR="00325599" w:rsidRPr="00EC250C" w:rsidRDefault="00803B7D" w:rsidP="00D131FA">
      <w:pPr>
        <w:spacing w:after="200" w:line="24" w:lineRule="auto"/>
        <w:jc w:val="both"/>
        <w:rPr>
          <w:spacing w:val="0"/>
          <w:sz w:val="24"/>
        </w:rPr>
      </w:pPr>
      <w:r w:rsidRPr="00803B7D">
        <w:rPr>
          <w:b/>
          <w:i/>
          <w:color w:val="C00000"/>
          <w:spacing w:val="5"/>
          <w:sz w:val="36"/>
          <w:szCs w:val="32"/>
        </w:rPr>
        <w:fldChar w:fldCharType="end"/>
      </w:r>
    </w:p>
    <w:p w14:paraId="62A3BFB0" w14:textId="77777777" w:rsidR="00767643" w:rsidRPr="00EC250C" w:rsidRDefault="00767643" w:rsidP="00D131FA">
      <w:pPr>
        <w:spacing w:after="200" w:line="24" w:lineRule="auto"/>
        <w:jc w:val="both"/>
        <w:rPr>
          <w:b/>
          <w:spacing w:val="5"/>
          <w:sz w:val="24"/>
        </w:rPr>
      </w:pPr>
      <w:r w:rsidRPr="00EC250C">
        <w:rPr>
          <w:sz w:val="24"/>
        </w:rPr>
        <w:br w:type="page"/>
      </w:r>
    </w:p>
    <w:p w14:paraId="3EFDBC66" w14:textId="77777777" w:rsidR="00B473F5" w:rsidRPr="00EC250C" w:rsidRDefault="00C569A8" w:rsidP="00D131FA">
      <w:pPr>
        <w:pStyle w:val="Problemczowieka"/>
        <w:jc w:val="both"/>
      </w:pPr>
      <w:r w:rsidRPr="00EC250C">
        <w:rPr>
          <w:i/>
        </w:rPr>
        <w:lastRenderedPageBreak/>
        <w:t xml:space="preserve">Informacja ta realizuje postanowienie Konstytucji Rzeczypospolitej Polskiej, </w:t>
      </w:r>
      <w:r w:rsidR="00D9382C" w:rsidRPr="00EC250C">
        <w:rPr>
          <w:i/>
        </w:rPr>
        <w:t>które przewiduje, ż</w:t>
      </w:r>
      <w:r w:rsidRPr="00EC250C">
        <w:rPr>
          <w:i/>
        </w:rPr>
        <w:t>e Rzecznik corocznie informuje Sejm</w:t>
      </w:r>
      <w:r w:rsidR="00992FD0" w:rsidRPr="00EC250C">
        <w:rPr>
          <w:i/>
        </w:rPr>
        <w:t xml:space="preserve"> i </w:t>
      </w:r>
      <w:r w:rsidRPr="00EC250C">
        <w:rPr>
          <w:i/>
        </w:rPr>
        <w:t>Senat</w:t>
      </w:r>
      <w:r w:rsidR="00992FD0" w:rsidRPr="00EC250C">
        <w:rPr>
          <w:i/>
        </w:rPr>
        <w:t xml:space="preserve"> o </w:t>
      </w:r>
      <w:r w:rsidRPr="00EC250C">
        <w:rPr>
          <w:i/>
        </w:rPr>
        <w:t>swojej działalności oraz</w:t>
      </w:r>
      <w:r w:rsidR="00992FD0" w:rsidRPr="00EC250C">
        <w:rPr>
          <w:i/>
        </w:rPr>
        <w:t xml:space="preserve"> o </w:t>
      </w:r>
      <w:r w:rsidRPr="00EC250C">
        <w:rPr>
          <w:i/>
        </w:rPr>
        <w:t>stanie przestrzegania wolności</w:t>
      </w:r>
      <w:r w:rsidR="00992FD0" w:rsidRPr="00EC250C">
        <w:rPr>
          <w:i/>
        </w:rPr>
        <w:t xml:space="preserve"> i </w:t>
      </w:r>
      <w:r w:rsidRPr="00EC250C">
        <w:rPr>
          <w:i/>
        </w:rPr>
        <w:t>praw człowieka.</w:t>
      </w:r>
      <w:r w:rsidR="00392799" w:rsidRPr="00EC250C">
        <w:rPr>
          <w:i/>
        </w:rPr>
        <w:t xml:space="preserve"> Stanowi tak art. 212. Konstytucji</w:t>
      </w:r>
      <w:r w:rsidR="00B473F5" w:rsidRPr="00EC250C">
        <w:rPr>
          <w:i/>
        </w:rPr>
        <w:t>.</w:t>
      </w:r>
    </w:p>
    <w:p w14:paraId="27315964" w14:textId="77777777" w:rsidR="00B473F5" w:rsidRPr="00EC250C" w:rsidRDefault="00C569A8" w:rsidP="00D131FA">
      <w:pPr>
        <w:pStyle w:val="Problemczowieka"/>
        <w:jc w:val="both"/>
      </w:pPr>
      <w:r w:rsidRPr="00EC250C">
        <w:rPr>
          <w:i/>
        </w:rPr>
        <w:t>Realizuje również postanowienie ustawy</w:t>
      </w:r>
      <w:r w:rsidR="00992FD0" w:rsidRPr="00EC250C">
        <w:rPr>
          <w:i/>
        </w:rPr>
        <w:t xml:space="preserve"> o </w:t>
      </w:r>
      <w:r w:rsidRPr="00EC250C">
        <w:rPr>
          <w:i/>
        </w:rPr>
        <w:t>Rzeczniku Praw Obywatelskich</w:t>
      </w:r>
      <w:r w:rsidR="00CB0026" w:rsidRPr="00EC250C">
        <w:rPr>
          <w:i/>
        </w:rPr>
        <w:t xml:space="preserve">, </w:t>
      </w:r>
      <w:r w:rsidR="00D9382C" w:rsidRPr="00EC250C">
        <w:rPr>
          <w:i/>
        </w:rPr>
        <w:t xml:space="preserve">według którego </w:t>
      </w:r>
      <w:r w:rsidRPr="00EC250C">
        <w:rPr>
          <w:i/>
        </w:rPr>
        <w:t>Informacj</w:t>
      </w:r>
      <w:r w:rsidR="00CB0026" w:rsidRPr="00EC250C">
        <w:rPr>
          <w:i/>
        </w:rPr>
        <w:t>a</w:t>
      </w:r>
      <w:r w:rsidRPr="00EC250C">
        <w:rPr>
          <w:i/>
        </w:rPr>
        <w:t xml:space="preserve"> Rzecznika </w:t>
      </w:r>
      <w:r w:rsidR="00CB0026" w:rsidRPr="00EC250C">
        <w:rPr>
          <w:i/>
        </w:rPr>
        <w:t xml:space="preserve">ma być podana </w:t>
      </w:r>
      <w:r w:rsidRPr="00EC250C">
        <w:rPr>
          <w:i/>
        </w:rPr>
        <w:t>do wiadomości publicznej</w:t>
      </w:r>
      <w:r w:rsidR="00FA450C" w:rsidRPr="00EC250C">
        <w:rPr>
          <w:i/>
        </w:rPr>
        <w:t>.</w:t>
      </w:r>
      <w:r w:rsidR="00392799" w:rsidRPr="00EC250C">
        <w:rPr>
          <w:i/>
        </w:rPr>
        <w:t xml:space="preserve"> Wynika to</w:t>
      </w:r>
      <w:r w:rsidR="00992FD0" w:rsidRPr="00EC250C">
        <w:rPr>
          <w:i/>
        </w:rPr>
        <w:t xml:space="preserve"> z </w:t>
      </w:r>
      <w:r w:rsidR="00392799" w:rsidRPr="00EC250C">
        <w:rPr>
          <w:i/>
        </w:rPr>
        <w:t>art.</w:t>
      </w:r>
      <w:r w:rsidR="00D131FA" w:rsidRPr="00EC250C">
        <w:t> </w:t>
      </w:r>
      <w:r w:rsidR="00392799" w:rsidRPr="00EC250C">
        <w:t>19 ust. 2 ustawy</w:t>
      </w:r>
      <w:r w:rsidR="00992FD0" w:rsidRPr="00EC250C">
        <w:t xml:space="preserve"> o </w:t>
      </w:r>
      <w:r w:rsidR="00392799" w:rsidRPr="00EC250C">
        <w:t>RPO</w:t>
      </w:r>
      <w:r w:rsidR="00392799" w:rsidRPr="00EC250C">
        <w:rPr>
          <w:rStyle w:val="Odwoanieprzypisudolnego"/>
          <w:i/>
        </w:rPr>
        <w:footnoteReference w:id="2"/>
      </w:r>
      <w:r w:rsidR="00B473F5" w:rsidRPr="00EC250C">
        <w:t>.</w:t>
      </w:r>
    </w:p>
    <w:p w14:paraId="2B3F1DFB" w14:textId="77777777" w:rsidR="0026383D" w:rsidRPr="00EC250C" w:rsidRDefault="0026383D" w:rsidP="00D131FA">
      <w:pPr>
        <w:pStyle w:val="Styl1"/>
        <w:ind w:firstLine="0"/>
        <w:rPr>
          <w:i/>
        </w:rPr>
      </w:pPr>
    </w:p>
    <w:p w14:paraId="2F6DF90E" w14:textId="77777777" w:rsidR="00C91F6E" w:rsidRPr="00EC250C" w:rsidRDefault="007C01EF" w:rsidP="00D131FA">
      <w:pPr>
        <w:pStyle w:val="Styl1"/>
        <w:ind w:firstLine="0"/>
        <w:rPr>
          <w:i/>
        </w:rPr>
      </w:pPr>
      <w:r w:rsidRPr="00EC250C">
        <w:rPr>
          <w:i/>
        </w:rPr>
        <w:t>I</w:t>
      </w:r>
      <w:r w:rsidR="00DB5105" w:rsidRPr="00EC250C">
        <w:rPr>
          <w:i/>
        </w:rPr>
        <w:t>nformacja</w:t>
      </w:r>
      <w:r w:rsidR="00E27E58" w:rsidRPr="00EC250C">
        <w:rPr>
          <w:i/>
        </w:rPr>
        <w:t xml:space="preserve"> </w:t>
      </w:r>
      <w:r w:rsidR="00CB0026" w:rsidRPr="00EC250C">
        <w:rPr>
          <w:i/>
        </w:rPr>
        <w:t>za rok 2018</w:t>
      </w:r>
      <w:r w:rsidR="00C91F6E" w:rsidRPr="00EC250C">
        <w:rPr>
          <w:i/>
        </w:rPr>
        <w:t> r.</w:t>
      </w:r>
      <w:r w:rsidR="00CB0026" w:rsidRPr="00EC250C">
        <w:rPr>
          <w:i/>
        </w:rPr>
        <w:t xml:space="preserve"> odwołuje się do definiującej prawa</w:t>
      </w:r>
      <w:r w:rsidR="00992FD0" w:rsidRPr="00EC250C">
        <w:rPr>
          <w:i/>
        </w:rPr>
        <w:t xml:space="preserve"> i </w:t>
      </w:r>
      <w:r w:rsidR="00CB0026" w:rsidRPr="00EC250C">
        <w:rPr>
          <w:i/>
        </w:rPr>
        <w:t>wo</w:t>
      </w:r>
      <w:r w:rsidR="0031607E" w:rsidRPr="00EC250C">
        <w:rPr>
          <w:i/>
        </w:rPr>
        <w:t>l</w:t>
      </w:r>
      <w:r w:rsidR="00CB0026" w:rsidRPr="00EC250C">
        <w:rPr>
          <w:i/>
        </w:rPr>
        <w:t xml:space="preserve">ności </w:t>
      </w:r>
      <w:r w:rsidR="00E27E58" w:rsidRPr="00EC250C">
        <w:rPr>
          <w:i/>
        </w:rPr>
        <w:t>Konstytucji</w:t>
      </w:r>
      <w:r w:rsidR="00CB0026" w:rsidRPr="00EC250C">
        <w:rPr>
          <w:i/>
        </w:rPr>
        <w:t xml:space="preserve">. Jak stanowi jej </w:t>
      </w:r>
      <w:r w:rsidR="00F5668C" w:rsidRPr="00EC250C">
        <w:rPr>
          <w:i/>
        </w:rPr>
        <w:t>P</w:t>
      </w:r>
      <w:r w:rsidR="00DB5105" w:rsidRPr="00EC250C">
        <w:rPr>
          <w:i/>
        </w:rPr>
        <w:t>reambuła</w:t>
      </w:r>
      <w:r w:rsidR="00CB0026" w:rsidRPr="00EC250C">
        <w:rPr>
          <w:i/>
        </w:rPr>
        <w:t xml:space="preserve">, </w:t>
      </w:r>
      <w:r w:rsidR="00DB5105" w:rsidRPr="00EC250C">
        <w:rPr>
          <w:i/>
        </w:rPr>
        <w:t>została ona ustanowiona</w:t>
      </w:r>
      <w:r w:rsidR="00CB0026" w:rsidRPr="00EC250C">
        <w:rPr>
          <w:i/>
        </w:rPr>
        <w:t xml:space="preserve">, by </w:t>
      </w:r>
      <w:r w:rsidR="00E27E58" w:rsidRPr="00EC250C">
        <w:rPr>
          <w:i/>
        </w:rPr>
        <w:t>„na zawsze zagwarantować prawa obywatelskie,</w:t>
      </w:r>
      <w:r w:rsidR="00992FD0" w:rsidRPr="00EC250C">
        <w:rPr>
          <w:i/>
        </w:rPr>
        <w:t xml:space="preserve"> a </w:t>
      </w:r>
      <w:r w:rsidR="00E27E58" w:rsidRPr="00EC250C">
        <w:rPr>
          <w:i/>
        </w:rPr>
        <w:t>działaniu instytucji publicznych zapewnić rzetelność</w:t>
      </w:r>
      <w:r w:rsidR="00992FD0" w:rsidRPr="00EC250C">
        <w:rPr>
          <w:i/>
        </w:rPr>
        <w:t xml:space="preserve"> i </w:t>
      </w:r>
      <w:r w:rsidR="00E27E58" w:rsidRPr="00EC250C">
        <w:rPr>
          <w:i/>
        </w:rPr>
        <w:t>sprawność”</w:t>
      </w:r>
      <w:r w:rsidR="00DB5105" w:rsidRPr="00EC250C">
        <w:rPr>
          <w:i/>
        </w:rPr>
        <w:t>.</w:t>
      </w:r>
    </w:p>
    <w:p w14:paraId="28F863E1" w14:textId="77777777" w:rsidR="00C569A8" w:rsidRPr="00EC250C" w:rsidRDefault="00DB5105" w:rsidP="00D131FA">
      <w:pPr>
        <w:pStyle w:val="Styl1"/>
        <w:rPr>
          <w:i/>
        </w:rPr>
      </w:pPr>
      <w:r w:rsidRPr="00EC250C">
        <w:rPr>
          <w:i/>
        </w:rPr>
        <w:t xml:space="preserve">Realizując zatem jej założenia, staramy się pokazać </w:t>
      </w:r>
      <w:r w:rsidR="00F5668C" w:rsidRPr="00EC250C">
        <w:rPr>
          <w:i/>
        </w:rPr>
        <w:t>obywatelom</w:t>
      </w:r>
      <w:r w:rsidRPr="00EC250C">
        <w:rPr>
          <w:i/>
        </w:rPr>
        <w:t xml:space="preserve">, jak Konstytucja oddziałuje </w:t>
      </w:r>
      <w:r w:rsidR="00D82E17" w:rsidRPr="00EC250C">
        <w:rPr>
          <w:i/>
        </w:rPr>
        <w:t xml:space="preserve">na </w:t>
      </w:r>
      <w:r w:rsidRPr="00EC250C">
        <w:rPr>
          <w:i/>
        </w:rPr>
        <w:t>sprawy,</w:t>
      </w:r>
      <w:r w:rsidR="00992FD0" w:rsidRPr="00EC250C">
        <w:rPr>
          <w:i/>
        </w:rPr>
        <w:t xml:space="preserve"> z </w:t>
      </w:r>
      <w:r w:rsidRPr="00EC250C">
        <w:rPr>
          <w:i/>
        </w:rPr>
        <w:t xml:space="preserve">którymi </w:t>
      </w:r>
      <w:r w:rsidR="00C62899" w:rsidRPr="00EC250C">
        <w:rPr>
          <w:i/>
        </w:rPr>
        <w:t xml:space="preserve">ludziom </w:t>
      </w:r>
      <w:r w:rsidRPr="00EC250C">
        <w:rPr>
          <w:i/>
        </w:rPr>
        <w:t xml:space="preserve">codziennie przychodzi się mierzyć. </w:t>
      </w:r>
      <w:r w:rsidR="00D82E17" w:rsidRPr="00EC250C">
        <w:rPr>
          <w:i/>
        </w:rPr>
        <w:t>Informacja wskazuje także na propozycje zmian, których wdrożenie, zdaniem Rzecznika Praw Obywatelskich, mogłoby sprawić, że gwarancje zawarte</w:t>
      </w:r>
      <w:r w:rsidR="00992FD0" w:rsidRPr="00EC250C">
        <w:rPr>
          <w:i/>
        </w:rPr>
        <w:t xml:space="preserve"> w </w:t>
      </w:r>
      <w:r w:rsidR="00D82E17" w:rsidRPr="00EC250C">
        <w:rPr>
          <w:i/>
        </w:rPr>
        <w:t>Konstytucji byłyby lepiej realizowane.</w:t>
      </w:r>
    </w:p>
    <w:p w14:paraId="5C1C87C0" w14:textId="58BD69D1" w:rsidR="00C91F6E" w:rsidRPr="00EC250C" w:rsidRDefault="00C569A8" w:rsidP="00D131FA">
      <w:pPr>
        <w:pStyle w:val="Styl1"/>
        <w:rPr>
          <w:i/>
        </w:rPr>
      </w:pPr>
      <w:r w:rsidRPr="00EC250C">
        <w:rPr>
          <w:i/>
        </w:rPr>
        <w:t>Tematy ważne</w:t>
      </w:r>
      <w:r w:rsidR="00992FD0" w:rsidRPr="00EC250C">
        <w:rPr>
          <w:i/>
        </w:rPr>
        <w:t xml:space="preserve"> z </w:t>
      </w:r>
      <w:r w:rsidRPr="00EC250C">
        <w:rPr>
          <w:i/>
        </w:rPr>
        <w:t>punktu widzenia przestrzegania praw</w:t>
      </w:r>
      <w:r w:rsidR="00992FD0" w:rsidRPr="00EC250C">
        <w:rPr>
          <w:i/>
        </w:rPr>
        <w:t xml:space="preserve"> i </w:t>
      </w:r>
      <w:r w:rsidRPr="00EC250C">
        <w:rPr>
          <w:i/>
        </w:rPr>
        <w:t>wolności Rzecznik przedstawi</w:t>
      </w:r>
      <w:r w:rsidR="00CB0026" w:rsidRPr="00EC250C">
        <w:rPr>
          <w:i/>
        </w:rPr>
        <w:t>a</w:t>
      </w:r>
      <w:r w:rsidRPr="00EC250C">
        <w:rPr>
          <w:i/>
        </w:rPr>
        <w:t xml:space="preserve"> </w:t>
      </w:r>
      <w:r w:rsidR="00F5668C" w:rsidRPr="00EC250C">
        <w:rPr>
          <w:i/>
        </w:rPr>
        <w:t xml:space="preserve"> zgodnie ze standardami języka przyjaznego obywatel</w:t>
      </w:r>
      <w:r w:rsidR="00E720E1">
        <w:rPr>
          <w:i/>
        </w:rPr>
        <w:t>om</w:t>
      </w:r>
      <w:r w:rsidR="00F5668C" w:rsidRPr="00EC250C">
        <w:rPr>
          <w:i/>
        </w:rPr>
        <w:t xml:space="preserve">, wskazując, jakie problemy ludzi były podstawą działań RPO </w:t>
      </w:r>
      <w:r w:rsidRPr="00EC250C">
        <w:rPr>
          <w:i/>
        </w:rPr>
        <w:t>– zachęca</w:t>
      </w:r>
      <w:r w:rsidR="00F5668C" w:rsidRPr="00EC250C">
        <w:rPr>
          <w:i/>
        </w:rPr>
        <w:t xml:space="preserve"> równocześnie </w:t>
      </w:r>
      <w:r w:rsidRPr="00EC250C">
        <w:rPr>
          <w:i/>
        </w:rPr>
        <w:t xml:space="preserve"> do zgłębiania tematyki</w:t>
      </w:r>
      <w:r w:rsidR="00992FD0" w:rsidRPr="00EC250C">
        <w:rPr>
          <w:i/>
        </w:rPr>
        <w:t xml:space="preserve"> i </w:t>
      </w:r>
      <w:r w:rsidRPr="00EC250C">
        <w:rPr>
          <w:i/>
        </w:rPr>
        <w:t>poznawania szczegółowej argumentacji prawnej.</w:t>
      </w:r>
    </w:p>
    <w:p w14:paraId="4D90C8DC" w14:textId="10031523" w:rsidR="0031607E" w:rsidRDefault="00CB0026" w:rsidP="00D131FA">
      <w:pPr>
        <w:pStyle w:val="Styl1"/>
        <w:rPr>
          <w:b/>
          <w:i/>
          <w:color w:val="17365D" w:themeColor="text2" w:themeShade="BF"/>
          <w:u w:val="single"/>
        </w:rPr>
      </w:pPr>
      <w:r w:rsidRPr="00EC250C">
        <w:rPr>
          <w:i/>
        </w:rPr>
        <w:t>Do szczegółowych wywodów prawnych p</w:t>
      </w:r>
      <w:r w:rsidR="00C569A8" w:rsidRPr="00EC250C">
        <w:rPr>
          <w:i/>
        </w:rPr>
        <w:t xml:space="preserve">rowadzą przypisy odwołujące się do zgromadzonej przez RPO internetowej bazy wiedzy </w:t>
      </w:r>
      <w:hyperlink r:id="rId8" w:history="1">
        <w:r w:rsidR="00C569A8" w:rsidRPr="00EC250C">
          <w:rPr>
            <w:rStyle w:val="Hipercze"/>
            <w:b/>
            <w:i/>
            <w14:textFill>
              <w14:solidFill>
                <w14:srgbClr w14:val="0000FF">
                  <w14:lumMod w14:val="75000"/>
                </w14:srgbClr>
              </w14:solidFill>
            </w14:textFill>
          </w:rPr>
          <w:t>rpo.gov.pl</w:t>
        </w:r>
      </w:hyperlink>
      <w:r w:rsidR="00C569A8" w:rsidRPr="00EC250C">
        <w:rPr>
          <w:b/>
          <w:i/>
          <w:color w:val="17365D" w:themeColor="text2" w:themeShade="BF"/>
          <w:u w:val="single"/>
        </w:rPr>
        <w:t>.</w:t>
      </w:r>
    </w:p>
    <w:p w14:paraId="614EA612" w14:textId="2145EFE2" w:rsidR="00325599" w:rsidRDefault="00325599" w:rsidP="00D131FA">
      <w:pPr>
        <w:pStyle w:val="Styl1"/>
        <w:rPr>
          <w:b/>
          <w:i/>
          <w:color w:val="17365D" w:themeColor="text2" w:themeShade="BF"/>
          <w:u w:val="single"/>
        </w:rPr>
      </w:pPr>
    </w:p>
    <w:p w14:paraId="42555C59" w14:textId="77777777" w:rsidR="00C3177E" w:rsidRPr="00C3177E" w:rsidRDefault="0031607E" w:rsidP="00C3177E">
      <w:pPr>
        <w:pStyle w:val="BLURB"/>
        <w:spacing w:before="0" w:after="0"/>
        <w:ind w:left="357"/>
        <w:rPr>
          <w:sz w:val="24"/>
          <w:szCs w:val="24"/>
        </w:rPr>
      </w:pPr>
      <w:r w:rsidRPr="00EC250C">
        <w:rPr>
          <w:sz w:val="24"/>
        </w:rPr>
        <w:br w:type="page"/>
      </w:r>
    </w:p>
    <w:p w14:paraId="119D18B5" w14:textId="6C5D63D0" w:rsidR="00C3177E" w:rsidRPr="00C3177E" w:rsidRDefault="00C3177E" w:rsidP="00C3177E">
      <w:pPr>
        <w:pStyle w:val="Styl1"/>
        <w:spacing w:after="240"/>
        <w:ind w:firstLine="0"/>
        <w:rPr>
          <w:b/>
          <w:color w:val="C00000"/>
          <w:sz w:val="36"/>
        </w:rPr>
      </w:pPr>
      <w:r w:rsidRPr="00C3177E">
        <w:rPr>
          <w:b/>
          <w:color w:val="C00000"/>
          <w:sz w:val="36"/>
        </w:rPr>
        <w:lastRenderedPageBreak/>
        <w:t>Co można znaleźć w tym dokumencie? Mówią członkowie rad społecznych RPO</w:t>
      </w:r>
    </w:p>
    <w:p w14:paraId="5A123933" w14:textId="5FC487DD" w:rsidR="00C3177E" w:rsidRPr="00EC250C" w:rsidRDefault="00C3177E" w:rsidP="00C3177E">
      <w:pPr>
        <w:pStyle w:val="BLURB"/>
        <w:spacing w:before="0" w:after="0"/>
        <w:ind w:left="357"/>
        <w:rPr>
          <w:sz w:val="24"/>
          <w:szCs w:val="24"/>
        </w:rPr>
      </w:pPr>
      <w:r w:rsidRPr="00EC250C">
        <w:rPr>
          <w:sz w:val="24"/>
          <w:szCs w:val="24"/>
        </w:rPr>
        <w:t xml:space="preserve">„Prezentowany dokument uderza przede wszystkim niewyobrażalną ilością smutków, trudności i cierpień Polaka anno domini 2018. I choć nasza lokalna cywilizacja wydaje się coraz bardziej sprzyjać człowiekowi, to okazuje się jednak,  że jest inaczej. </w:t>
      </w:r>
    </w:p>
    <w:p w14:paraId="082941E8" w14:textId="77777777" w:rsidR="00C3177E" w:rsidRPr="00EC250C" w:rsidRDefault="00C3177E" w:rsidP="00C3177E">
      <w:pPr>
        <w:pStyle w:val="BLURB"/>
        <w:numPr>
          <w:ilvl w:val="0"/>
          <w:numId w:val="0"/>
        </w:numPr>
        <w:spacing w:before="0" w:after="0"/>
        <w:ind w:left="357"/>
        <w:rPr>
          <w:sz w:val="24"/>
          <w:szCs w:val="24"/>
        </w:rPr>
      </w:pPr>
      <w:r w:rsidRPr="00EC250C">
        <w:rPr>
          <w:sz w:val="24"/>
          <w:szCs w:val="24"/>
        </w:rPr>
        <w:t xml:space="preserve">Dobrze, że jest ktoś wrażliwy, zaangażowany, stanowczy, ktoś kto to zauważa! </w:t>
      </w:r>
    </w:p>
    <w:p w14:paraId="31D215BB" w14:textId="77777777" w:rsidR="00C3177E" w:rsidRPr="00EC250C" w:rsidRDefault="00C3177E" w:rsidP="00C3177E">
      <w:pPr>
        <w:pStyle w:val="BLURB"/>
        <w:numPr>
          <w:ilvl w:val="0"/>
          <w:numId w:val="0"/>
        </w:numPr>
        <w:spacing w:before="0" w:after="0"/>
        <w:ind w:left="357"/>
        <w:rPr>
          <w:sz w:val="24"/>
          <w:szCs w:val="24"/>
        </w:rPr>
      </w:pPr>
      <w:r w:rsidRPr="00EC250C">
        <w:rPr>
          <w:sz w:val="24"/>
          <w:szCs w:val="24"/>
        </w:rPr>
        <w:t xml:space="preserve">Dobrze jest, że ktoś, kto o tym głośno mówi. </w:t>
      </w:r>
    </w:p>
    <w:p w14:paraId="63988677" w14:textId="77777777" w:rsidR="00C3177E" w:rsidRPr="00EC250C" w:rsidRDefault="00C3177E" w:rsidP="00C3177E">
      <w:pPr>
        <w:pStyle w:val="BLURB"/>
        <w:numPr>
          <w:ilvl w:val="0"/>
          <w:numId w:val="0"/>
        </w:numPr>
        <w:spacing w:before="0" w:after="0"/>
        <w:ind w:left="357"/>
        <w:rPr>
          <w:sz w:val="24"/>
          <w:szCs w:val="24"/>
        </w:rPr>
      </w:pPr>
      <w:r w:rsidRPr="00EC250C">
        <w:rPr>
          <w:sz w:val="24"/>
          <w:szCs w:val="24"/>
        </w:rPr>
        <w:t>Bo przecież największym obecnym dramatem staje się milczenie. Milczenie obojętności, braku szacunku i miłości do najwspanialszego na tej ziemi stworzenia, jakim jest człowiek</w:t>
      </w:r>
    </w:p>
    <w:p w14:paraId="6D6B73C5" w14:textId="77777777" w:rsidR="00C3177E" w:rsidRPr="00C3177E" w:rsidRDefault="00C3177E" w:rsidP="00702EDB">
      <w:pPr>
        <w:pStyle w:val="AutorBlurba"/>
        <w:rPr>
          <w:b/>
        </w:rPr>
      </w:pPr>
      <w:r w:rsidRPr="00EC250C">
        <w:rPr>
          <w:b/>
        </w:rPr>
        <w:t xml:space="preserve">ks. Jerzy </w:t>
      </w:r>
      <w:r w:rsidRPr="00EC250C">
        <w:t xml:space="preserve">Babiak, członek Rady </w:t>
      </w:r>
      <w:r w:rsidRPr="00702EDB">
        <w:t>Społecznej</w:t>
      </w:r>
      <w:r w:rsidRPr="00EC250C">
        <w:t xml:space="preserve"> RPO we </w:t>
      </w:r>
      <w:r w:rsidRPr="00C3177E">
        <w:rPr>
          <w:b/>
        </w:rPr>
        <w:t xml:space="preserve">Wrocławiu </w:t>
      </w:r>
    </w:p>
    <w:p w14:paraId="4E454606" w14:textId="77777777" w:rsidR="00C3177E" w:rsidRPr="00EC250C" w:rsidRDefault="00C3177E" w:rsidP="00C3177E">
      <w:pPr>
        <w:pStyle w:val="BLURB"/>
        <w:spacing w:before="240" w:after="0"/>
        <w:ind w:left="357" w:hanging="357"/>
        <w:rPr>
          <w:sz w:val="24"/>
          <w:szCs w:val="24"/>
          <w:lang w:eastAsia="en-US"/>
        </w:rPr>
      </w:pPr>
      <w:r w:rsidRPr="00EC250C">
        <w:rPr>
          <w:sz w:val="24"/>
          <w:szCs w:val="24"/>
          <w:lang w:eastAsia="en-US"/>
        </w:rPr>
        <w:t>Ten raport to doskonała mapa drogowa dla aktywistów i organizacji zajmujących się prawami człowieka, pozwalająca zorientować się, jakimi sprawami zajmuje się Rzecznik, jaki jest jego zakres wpływu i jak można z nim współpracować.</w:t>
      </w:r>
    </w:p>
    <w:p w14:paraId="529C3EF4" w14:textId="77777777" w:rsidR="00C3177E" w:rsidRPr="00EC250C" w:rsidRDefault="00C3177E" w:rsidP="00702EDB">
      <w:pPr>
        <w:pStyle w:val="AutorBlurba"/>
      </w:pPr>
      <w:r w:rsidRPr="00EC250C">
        <w:rPr>
          <w:b/>
        </w:rPr>
        <w:t>Karolina Mróz</w:t>
      </w:r>
      <w:r w:rsidRPr="00EC250C">
        <w:t xml:space="preserve">, członkini Rady Społecznej RPO we </w:t>
      </w:r>
      <w:r w:rsidRPr="00702EDB">
        <w:t>Wrocławiu</w:t>
      </w:r>
    </w:p>
    <w:p w14:paraId="4F27EA43" w14:textId="77777777" w:rsidR="00C3177E" w:rsidRPr="00EC250C" w:rsidRDefault="00C3177E" w:rsidP="00C3177E">
      <w:pPr>
        <w:pStyle w:val="BLURB"/>
        <w:spacing w:after="0"/>
        <w:ind w:left="357" w:hanging="357"/>
        <w:rPr>
          <w:sz w:val="24"/>
          <w:szCs w:val="24"/>
          <w:lang w:eastAsia="en-US"/>
        </w:rPr>
      </w:pPr>
      <w:r w:rsidRPr="00EC250C">
        <w:rPr>
          <w:sz w:val="24"/>
          <w:szCs w:val="24"/>
          <w:lang w:eastAsia="en-US"/>
        </w:rPr>
        <w:t xml:space="preserve">Raport z działalności z RPO to obowiązkowa lektura dla wszystkich, których obchodzą prawa i wolności człowieka, ale też dla tych, którzy chcą zrozumieć jak funkcjonuje nasze państwo. </w:t>
      </w:r>
    </w:p>
    <w:p w14:paraId="4952DB17" w14:textId="77777777" w:rsidR="00C3177E" w:rsidRPr="00EC250C" w:rsidRDefault="00C3177E" w:rsidP="00C3177E">
      <w:pPr>
        <w:pStyle w:val="BLURB"/>
        <w:numPr>
          <w:ilvl w:val="0"/>
          <w:numId w:val="0"/>
        </w:numPr>
        <w:spacing w:before="0" w:after="0"/>
        <w:ind w:left="357"/>
        <w:rPr>
          <w:sz w:val="24"/>
          <w:szCs w:val="24"/>
          <w:lang w:eastAsia="en-US"/>
        </w:rPr>
      </w:pPr>
      <w:r w:rsidRPr="00EC250C">
        <w:rPr>
          <w:sz w:val="24"/>
          <w:szCs w:val="24"/>
          <w:lang w:eastAsia="en-US"/>
        </w:rPr>
        <w:t xml:space="preserve">Dla mnie największą wartością raportu jest to, że zbiera wszystkie informacje w jednym dokumencie. Co ważne - nie tylko opisuje problemy, ale wskazuje też na ich rozwiązania. </w:t>
      </w:r>
    </w:p>
    <w:p w14:paraId="0AABD787" w14:textId="77777777" w:rsidR="00C3177E" w:rsidRPr="00EC250C" w:rsidRDefault="00C3177E" w:rsidP="00C3177E">
      <w:pPr>
        <w:pStyle w:val="BLURB"/>
        <w:numPr>
          <w:ilvl w:val="0"/>
          <w:numId w:val="0"/>
        </w:numPr>
        <w:spacing w:before="0" w:after="0"/>
        <w:ind w:left="357"/>
        <w:rPr>
          <w:sz w:val="24"/>
          <w:szCs w:val="24"/>
          <w:lang w:eastAsia="en-US"/>
        </w:rPr>
      </w:pPr>
      <w:r w:rsidRPr="00EC250C">
        <w:rPr>
          <w:sz w:val="24"/>
          <w:szCs w:val="24"/>
          <w:lang w:eastAsia="en-US"/>
        </w:rPr>
        <w:t xml:space="preserve">Ten raport jest  jak lupa, którą możemy przyłożyć w dowolnym miejscu Konstytucji RP, by dowiedzieć się jak dane prawo funkcjonuje w praktyce. </w:t>
      </w:r>
    </w:p>
    <w:p w14:paraId="7D78052B" w14:textId="77777777" w:rsidR="00C3177E" w:rsidRPr="00EC250C" w:rsidRDefault="00C3177E" w:rsidP="00C3177E">
      <w:pPr>
        <w:pStyle w:val="BLURB"/>
        <w:numPr>
          <w:ilvl w:val="0"/>
          <w:numId w:val="0"/>
        </w:numPr>
        <w:spacing w:before="0" w:after="0"/>
        <w:ind w:left="357"/>
        <w:rPr>
          <w:sz w:val="24"/>
          <w:szCs w:val="24"/>
          <w:lang w:eastAsia="en-US"/>
        </w:rPr>
      </w:pPr>
      <w:r w:rsidRPr="00EC250C">
        <w:rPr>
          <w:sz w:val="24"/>
          <w:szCs w:val="24"/>
          <w:lang w:eastAsia="en-US"/>
        </w:rPr>
        <w:t xml:space="preserve">Moją lupę, ze szczególnym zainteresowaniem, przyłożyłam do art. 38, 40, 41, 42 i 45 Konstytucji RP. </w:t>
      </w:r>
    </w:p>
    <w:p w14:paraId="006B4C7E" w14:textId="77777777" w:rsidR="00C3177E" w:rsidRPr="00EC250C" w:rsidRDefault="00C3177E" w:rsidP="00702EDB">
      <w:pPr>
        <w:pStyle w:val="AutorBlurba"/>
      </w:pPr>
      <w:r w:rsidRPr="00702EDB">
        <w:rPr>
          <w:b/>
        </w:rPr>
        <w:t>Adw. Maria Ejchart-Dubois</w:t>
      </w:r>
      <w:r w:rsidRPr="00EC250C">
        <w:t xml:space="preserve">, </w:t>
      </w:r>
      <w:r w:rsidRPr="00702EDB">
        <w:t>członkini</w:t>
      </w:r>
      <w:r w:rsidRPr="00EC250C">
        <w:t xml:space="preserve"> Rady Społecznej RPO w </w:t>
      </w:r>
      <w:r w:rsidRPr="00C3177E">
        <w:t>Warszawie</w:t>
      </w:r>
    </w:p>
    <w:p w14:paraId="2F6239A4" w14:textId="77777777" w:rsidR="00C3177E" w:rsidRPr="00EC250C" w:rsidRDefault="00C3177E" w:rsidP="00C3177E">
      <w:pPr>
        <w:pStyle w:val="BLURB"/>
        <w:spacing w:before="240" w:after="0"/>
        <w:ind w:left="357"/>
        <w:rPr>
          <w:spacing w:val="0"/>
          <w:sz w:val="24"/>
          <w:szCs w:val="24"/>
          <w:lang w:eastAsia="en-US"/>
        </w:rPr>
      </w:pPr>
      <w:r w:rsidRPr="00EC250C">
        <w:rPr>
          <w:sz w:val="24"/>
          <w:szCs w:val="24"/>
          <w:lang w:eastAsia="en-US"/>
        </w:rPr>
        <w:t>Polecam Czytelnikom lekturę zwłaszcza tych fragmentów Informacji RPO, które dotyczą praw lokatorów, zgromadzeń publicznych, dyskryminacji i przemocy. A także sytuacji drobnych przedsiębiorców i wynagradzania biegłych sądowych”</w:t>
      </w:r>
    </w:p>
    <w:p w14:paraId="664A2770" w14:textId="77777777" w:rsidR="00C3177E" w:rsidRPr="00C3177E" w:rsidRDefault="00C3177E" w:rsidP="00702EDB">
      <w:pPr>
        <w:pStyle w:val="AutorBlurba"/>
        <w:rPr>
          <w:b/>
        </w:rPr>
      </w:pPr>
      <w:r w:rsidRPr="00EC250C">
        <w:rPr>
          <w:b/>
        </w:rPr>
        <w:t>Sławina Kosmulska</w:t>
      </w:r>
      <w:r w:rsidRPr="00EC250C">
        <w:t xml:space="preserve">, członkini </w:t>
      </w:r>
      <w:r w:rsidRPr="00702EDB">
        <w:t>Rady</w:t>
      </w:r>
      <w:r w:rsidRPr="00EC250C">
        <w:t xml:space="preserve"> Społecznej RPO w </w:t>
      </w:r>
      <w:r w:rsidRPr="00C3177E">
        <w:rPr>
          <w:b/>
        </w:rPr>
        <w:t>Gdańsku</w:t>
      </w:r>
    </w:p>
    <w:p w14:paraId="45D7D761" w14:textId="77777777" w:rsidR="00C3177E" w:rsidRPr="00C3177E" w:rsidRDefault="00C3177E" w:rsidP="00C3177E">
      <w:pPr>
        <w:pStyle w:val="BLURB"/>
        <w:spacing w:after="0"/>
        <w:ind w:left="357"/>
        <w:rPr>
          <w:sz w:val="24"/>
          <w:szCs w:val="24"/>
          <w:lang w:eastAsia="en-US"/>
        </w:rPr>
      </w:pPr>
      <w:r w:rsidRPr="00EC250C">
        <w:rPr>
          <w:sz w:val="24"/>
          <w:szCs w:val="24"/>
          <w:lang w:eastAsia="en-US"/>
        </w:rPr>
        <w:t xml:space="preserve">Ponad 500 stron bardzo ważnego dokumentu, który niepokoi i uspokaja jednocześnie. </w:t>
      </w:r>
    </w:p>
    <w:p w14:paraId="046E84C0" w14:textId="77777777" w:rsidR="00C3177E" w:rsidRPr="00C3177E" w:rsidRDefault="00C3177E" w:rsidP="00C3177E">
      <w:pPr>
        <w:pStyle w:val="BLURB"/>
        <w:numPr>
          <w:ilvl w:val="0"/>
          <w:numId w:val="0"/>
        </w:numPr>
        <w:spacing w:before="0" w:after="0"/>
        <w:ind w:left="357"/>
        <w:rPr>
          <w:sz w:val="24"/>
          <w:szCs w:val="24"/>
          <w:lang w:eastAsia="en-US"/>
        </w:rPr>
      </w:pPr>
      <w:r w:rsidRPr="00EC250C">
        <w:rPr>
          <w:sz w:val="24"/>
          <w:szCs w:val="24"/>
          <w:lang w:eastAsia="en-US"/>
        </w:rPr>
        <w:t>Niepokoi – bo nadal w bardzo wielu obszarach życia prawa konstytucyjne obywateli są lekceważone. Uspokaja - ponieważ pokazuje, że istnieją sposoby na poprawę sytuacji oraz ludzie i instytucje, którym przyświeca taki właśnie cel.</w:t>
      </w:r>
    </w:p>
    <w:p w14:paraId="1EE76B6E" w14:textId="77777777" w:rsidR="00C3177E" w:rsidRPr="00EC250C" w:rsidRDefault="00C3177E" w:rsidP="00702EDB">
      <w:pPr>
        <w:pStyle w:val="AutorBlurba"/>
      </w:pPr>
      <w:r w:rsidRPr="00C3177E">
        <w:rPr>
          <w:rFonts w:ascii="Arial" w:hAnsi="Arial" w:cs="Arial"/>
          <w:i/>
          <w:spacing w:val="5"/>
          <w:lang w:eastAsia="en-US"/>
        </w:rPr>
        <w:t>Anna Poraj</w:t>
      </w:r>
      <w:r w:rsidRPr="00EC250C">
        <w:t xml:space="preserve">, członkini Radu </w:t>
      </w:r>
      <w:r w:rsidRPr="00702EDB">
        <w:t>Społecznej</w:t>
      </w:r>
      <w:r w:rsidRPr="00EC250C">
        <w:t xml:space="preserve"> RPO w </w:t>
      </w:r>
      <w:r w:rsidRPr="00702EDB">
        <w:rPr>
          <w:b/>
        </w:rPr>
        <w:t>Katowicach</w:t>
      </w:r>
    </w:p>
    <w:p w14:paraId="2F111ED9" w14:textId="77777777" w:rsidR="00C3177E" w:rsidRPr="00EC250C" w:rsidRDefault="00C3177E" w:rsidP="00C3177E">
      <w:pPr>
        <w:pStyle w:val="BLURB"/>
        <w:spacing w:after="0"/>
        <w:ind w:left="357"/>
        <w:rPr>
          <w:spacing w:val="0"/>
          <w:sz w:val="24"/>
          <w:szCs w:val="24"/>
        </w:rPr>
      </w:pPr>
      <w:r w:rsidRPr="00EC250C">
        <w:rPr>
          <w:sz w:val="24"/>
          <w:szCs w:val="24"/>
        </w:rPr>
        <w:t xml:space="preserve">Jak zawsze jestem pod wrażeniem regionalnych wizyt. Ta obecność Rzecznika, słuchanie ludzi i szukanie rozwiązań, mają nie tylko wymiar praktyczny, ale też godnościowy. Nie zmienia to faktu, że bardzo martwi mnie osamotnienie Rzecznika Praw Obywatelskich jako instytucji. </w:t>
      </w:r>
    </w:p>
    <w:p w14:paraId="3ED9340A" w14:textId="5E0211DC" w:rsidR="00702EDB" w:rsidRDefault="00C3177E" w:rsidP="00702EDB">
      <w:pPr>
        <w:pStyle w:val="AutorBlurba"/>
        <w:rPr>
          <w:b/>
          <w:shd w:val="clear" w:color="auto" w:fill="FFFFFF"/>
        </w:rPr>
      </w:pPr>
      <w:r w:rsidRPr="00EC250C">
        <w:rPr>
          <w:b/>
        </w:rPr>
        <w:t>Katarzyna Batko-Tołuć</w:t>
      </w:r>
      <w:r w:rsidRPr="00EC250C">
        <w:t xml:space="preserve">, </w:t>
      </w:r>
      <w:r w:rsidRPr="00EC250C">
        <w:rPr>
          <w:shd w:val="clear" w:color="auto" w:fill="FFFFFF"/>
        </w:rPr>
        <w:t xml:space="preserve">członkini Rady </w:t>
      </w:r>
      <w:r w:rsidRPr="00702EDB">
        <w:t>Społecznej</w:t>
      </w:r>
      <w:r w:rsidRPr="00EC250C">
        <w:rPr>
          <w:shd w:val="clear" w:color="auto" w:fill="FFFFFF"/>
        </w:rPr>
        <w:t xml:space="preserve"> RPO w </w:t>
      </w:r>
      <w:r w:rsidRPr="00C3177E">
        <w:rPr>
          <w:b/>
          <w:shd w:val="clear" w:color="auto" w:fill="FFFFFF"/>
        </w:rPr>
        <w:t>Warszawie</w:t>
      </w:r>
    </w:p>
    <w:p w14:paraId="10740D13" w14:textId="77777777" w:rsidR="00702EDB" w:rsidRDefault="00702EDB">
      <w:pPr>
        <w:spacing w:after="200" w:line="24" w:lineRule="auto"/>
        <w:rPr>
          <w:b/>
          <w:sz w:val="18"/>
          <w:shd w:val="clear" w:color="auto" w:fill="FFFFFF"/>
        </w:rPr>
      </w:pPr>
      <w:r>
        <w:rPr>
          <w:b/>
          <w:shd w:val="clear" w:color="auto" w:fill="FFFFFF"/>
        </w:rPr>
        <w:br w:type="page"/>
      </w:r>
    </w:p>
    <w:p w14:paraId="2DAE28DE" w14:textId="77777777" w:rsidR="00C3177E" w:rsidRPr="00EC250C" w:rsidRDefault="00C3177E" w:rsidP="00C3177E">
      <w:pPr>
        <w:pStyle w:val="BLURB"/>
        <w:spacing w:after="0"/>
        <w:ind w:left="357"/>
        <w:rPr>
          <w:sz w:val="24"/>
          <w:szCs w:val="24"/>
        </w:rPr>
      </w:pPr>
      <w:r w:rsidRPr="00EC250C">
        <w:rPr>
          <w:sz w:val="24"/>
          <w:szCs w:val="24"/>
        </w:rPr>
        <w:lastRenderedPageBreak/>
        <w:t>Dokument stanowi opis polskiej codzienności widzianej z  perspektywy Konstytucji. Ja chcę zwrócić uwagę na art. 70 ust. 1 Konstytucji.  Prawo do nauki trzeba dzisiaj rozumieć jako prawo do nauki na odpowiednim poziomie, pozwalającym zrozumieć otaczający świat. </w:t>
      </w:r>
    </w:p>
    <w:p w14:paraId="0D62A032" w14:textId="77777777" w:rsidR="00C3177E" w:rsidRPr="00C3177E" w:rsidRDefault="00C3177E" w:rsidP="00702EDB">
      <w:pPr>
        <w:pStyle w:val="AutorBlurba"/>
        <w:rPr>
          <w:b/>
          <w:lang w:eastAsia="en-US"/>
        </w:rPr>
      </w:pPr>
      <w:r w:rsidRPr="00EC250C">
        <w:rPr>
          <w:b/>
          <w:lang w:eastAsia="en-US"/>
        </w:rPr>
        <w:t>Wojciech Sarnowicz</w:t>
      </w:r>
      <w:r w:rsidRPr="00EC250C">
        <w:rPr>
          <w:lang w:eastAsia="en-US"/>
        </w:rPr>
        <w:t xml:space="preserve">, członek Rada Społeczna RPO w </w:t>
      </w:r>
      <w:r w:rsidRPr="00C3177E">
        <w:rPr>
          <w:b/>
          <w:lang w:eastAsia="en-US"/>
        </w:rPr>
        <w:t>Katowicach</w:t>
      </w:r>
    </w:p>
    <w:p w14:paraId="1BA865F3" w14:textId="77777777" w:rsidR="00C3177E" w:rsidRPr="00EC250C" w:rsidRDefault="00C3177E" w:rsidP="00C3177E">
      <w:pPr>
        <w:pStyle w:val="BLURB"/>
        <w:spacing w:after="0"/>
        <w:ind w:left="357"/>
        <w:rPr>
          <w:spacing w:val="0"/>
          <w:sz w:val="24"/>
          <w:szCs w:val="24"/>
        </w:rPr>
      </w:pPr>
      <w:r w:rsidRPr="00EC250C">
        <w:rPr>
          <w:sz w:val="24"/>
          <w:szCs w:val="24"/>
        </w:rPr>
        <w:t>Proszę zwrócić uwagę na art. 41 ust. 1 Konstytucji, zwłaszcza w kontekście tymczasowego aresztowania, które jest pozbawieniem wolności człowieka, któremu jeszcze winy nie udowodniono. Jest to narastający problem społeczny. Liczba osób, wobec których stosowane jest długotrwale tymczasowe aresztowanie w postępowaniu przygotowawczym, od trzech lat znacznie się zwiększyła. W 2015 r. dłużej niż przez rok do dwóch lat stosowano go wobec 157 osób, w 2018 roku – wobec 452, natomiast przez okres dłuższy niż przez 2 lata – w 2015 roku wobec 11, a w 2018 roku już wobec 35 podejrzanych.</w:t>
      </w:r>
    </w:p>
    <w:p w14:paraId="265BCF34" w14:textId="77777777" w:rsidR="00C3177E" w:rsidRPr="00C3177E" w:rsidRDefault="00C3177E" w:rsidP="00702EDB">
      <w:pPr>
        <w:pStyle w:val="AutorBlurba"/>
        <w:rPr>
          <w:b/>
        </w:rPr>
      </w:pPr>
      <w:r w:rsidRPr="00EC250C">
        <w:rPr>
          <w:b/>
        </w:rPr>
        <w:t>prok. Iwona Palka</w:t>
      </w:r>
      <w:r w:rsidRPr="00EC250C">
        <w:t xml:space="preserve">, członkini Radu Społecznej RPO w </w:t>
      </w:r>
      <w:r w:rsidRPr="00C3177E">
        <w:rPr>
          <w:b/>
        </w:rPr>
        <w:t>Katowicach</w:t>
      </w:r>
    </w:p>
    <w:p w14:paraId="2B28D303" w14:textId="77777777" w:rsidR="00C3177E" w:rsidRPr="00EC250C" w:rsidRDefault="00C3177E" w:rsidP="00C3177E">
      <w:pPr>
        <w:pStyle w:val="BLURB"/>
        <w:spacing w:before="240" w:after="0"/>
        <w:ind w:left="357"/>
        <w:rPr>
          <w:sz w:val="24"/>
          <w:szCs w:val="24"/>
        </w:rPr>
      </w:pPr>
      <w:r w:rsidRPr="00EC250C">
        <w:rPr>
          <w:sz w:val="24"/>
          <w:szCs w:val="24"/>
        </w:rPr>
        <w:t>Czy niewidomi więźniowie są humanitarnie traktowani? Jak osoba głucha ma korzystać z numeru alarmowego 112? Czy lekarz może wyprosić pacjenta z psem przewodnikiem? W tej publikacji znajdziemy mapę problemów, z którymi zderzają się obywatele z niepełnosprawnościami w Polsce. Dowiemy się, co na to prawo –  poznamy diagnozę w świetle konkretnych artykułów Konstytucji.</w:t>
      </w:r>
    </w:p>
    <w:p w14:paraId="5833DAC0" w14:textId="77777777" w:rsidR="00C3177E" w:rsidRPr="00C3177E" w:rsidRDefault="00C3177E" w:rsidP="00702EDB">
      <w:pPr>
        <w:pStyle w:val="AutorBlurba"/>
        <w:rPr>
          <w:b/>
        </w:rPr>
      </w:pPr>
      <w:r w:rsidRPr="00EC250C">
        <w:rPr>
          <w:b/>
        </w:rPr>
        <w:t>Justyna Mańkowska</w:t>
      </w:r>
      <w:r w:rsidRPr="00EC250C">
        <w:t xml:space="preserve">, członkini </w:t>
      </w:r>
      <w:r w:rsidRPr="00702EDB">
        <w:t>Rady</w:t>
      </w:r>
      <w:r w:rsidRPr="00EC250C">
        <w:t xml:space="preserve"> Społecznej RPO we </w:t>
      </w:r>
      <w:r w:rsidRPr="00C3177E">
        <w:rPr>
          <w:b/>
        </w:rPr>
        <w:t>Wrocławiu</w:t>
      </w:r>
    </w:p>
    <w:p w14:paraId="585BEE96" w14:textId="77777777" w:rsidR="00C3177E" w:rsidRPr="00EC250C" w:rsidRDefault="00C3177E" w:rsidP="00C3177E">
      <w:pPr>
        <w:pStyle w:val="BLURB"/>
        <w:spacing w:after="0"/>
        <w:ind w:left="357"/>
        <w:rPr>
          <w:sz w:val="24"/>
          <w:szCs w:val="24"/>
        </w:rPr>
      </w:pPr>
      <w:r w:rsidRPr="00EC250C">
        <w:rPr>
          <w:sz w:val="24"/>
          <w:szCs w:val="24"/>
        </w:rPr>
        <w:t xml:space="preserve">Bardzo cenię sobie zwracanie przez RPO uwagi na potrzeby osób z niepełnosprawnościami. Począwszy od spraw dostępności, poprzez seksualność, a skończywszy na godności w więziennictwie, czy szpitalach. Jestem głęboko przekonany, co wynika z naszych, wrocławskich doświadczeń – że to, ale także opieka wytchnieniowa i przesunięcie akcentów na zindywidualizowane wsparcie, pomoc dla osób, rodzin, opiekunów osób z niepełnosprawnością – warto byłoby rozwijać" </w:t>
      </w:r>
    </w:p>
    <w:p w14:paraId="59DCCD7A" w14:textId="77777777" w:rsidR="00C3177E" w:rsidRPr="00EC250C" w:rsidRDefault="00C3177E" w:rsidP="00702EDB">
      <w:pPr>
        <w:pStyle w:val="AutorBlurba"/>
      </w:pPr>
      <w:r w:rsidRPr="00EC250C">
        <w:rPr>
          <w:b/>
          <w:bCs/>
        </w:rPr>
        <w:t xml:space="preserve">Bartłomiej </w:t>
      </w:r>
      <w:r w:rsidRPr="00702EDB">
        <w:t>Skrzyński</w:t>
      </w:r>
      <w:r w:rsidRPr="00EC250C">
        <w:rPr>
          <w:b/>
          <w:bCs/>
        </w:rPr>
        <w:t xml:space="preserve">, </w:t>
      </w:r>
      <w:r w:rsidRPr="00EC250C">
        <w:t xml:space="preserve">członek Rady Społecznej RPO </w:t>
      </w:r>
    </w:p>
    <w:p w14:paraId="06C3AB1F" w14:textId="77777777" w:rsidR="00C3177E" w:rsidRPr="00EC250C" w:rsidRDefault="00C3177E" w:rsidP="00C3177E">
      <w:pPr>
        <w:pStyle w:val="BLURB"/>
        <w:spacing w:after="0"/>
        <w:ind w:left="357"/>
        <w:rPr>
          <w:sz w:val="24"/>
          <w:szCs w:val="24"/>
        </w:rPr>
      </w:pPr>
      <w:r w:rsidRPr="00EC250C">
        <w:rPr>
          <w:sz w:val="24"/>
          <w:szCs w:val="24"/>
        </w:rPr>
        <w:t>Ta Informacja zawiera żywe, prawdziwe problemy – zgłaszane i rozwiązywane na naszych oczach. Proszę spojrzeć na prawa osób bezdomnych (art. 75 Konstytucji, fragment „Karta Praw Osób Doświadczających Bezdomności”). O Karcie mówiliśmy na II Kongresie Praw Obywatelskich, wiceprezydent m.st. Warszawy Paweł Rabiej zadeklarował chęć wdrożenia jej w mieście. 3 lipca 2019 r. zaczynamy wspólne prace nad tym, jak to zrobić.</w:t>
      </w:r>
    </w:p>
    <w:p w14:paraId="1B888A06" w14:textId="77777777" w:rsidR="00C3177E" w:rsidRPr="00C3177E" w:rsidRDefault="00C3177E" w:rsidP="00702EDB">
      <w:pPr>
        <w:pStyle w:val="AutorBlurba"/>
        <w:rPr>
          <w:b/>
        </w:rPr>
      </w:pPr>
      <w:r w:rsidRPr="00EC250C">
        <w:rPr>
          <w:b/>
        </w:rPr>
        <w:t>Adriana Porowska</w:t>
      </w:r>
      <w:r w:rsidRPr="00EC250C">
        <w:t xml:space="preserve">, członkini Rady </w:t>
      </w:r>
      <w:r w:rsidRPr="00702EDB">
        <w:t>Społecznej</w:t>
      </w:r>
      <w:r w:rsidRPr="00EC250C">
        <w:t xml:space="preserve"> RPO w </w:t>
      </w:r>
      <w:r w:rsidRPr="00C3177E">
        <w:rPr>
          <w:b/>
        </w:rPr>
        <w:t>Warszawie</w:t>
      </w:r>
    </w:p>
    <w:p w14:paraId="6023BFC6" w14:textId="77777777" w:rsidR="00C3177E" w:rsidRPr="00EC250C" w:rsidRDefault="00C3177E" w:rsidP="00C3177E">
      <w:pPr>
        <w:pStyle w:val="BLURB"/>
        <w:spacing w:before="240" w:after="0"/>
        <w:ind w:left="357"/>
        <w:rPr>
          <w:sz w:val="24"/>
          <w:szCs w:val="24"/>
        </w:rPr>
      </w:pPr>
      <w:r w:rsidRPr="00EC250C">
        <w:rPr>
          <w:sz w:val="24"/>
          <w:szCs w:val="24"/>
        </w:rPr>
        <w:t xml:space="preserve">Nawet gdy dotyczącej nas sprawy nie powierzamy sądowemu rozstrzygnięciu, to rozważamy ją i podejmujemy decyzje w oparciu o regulacje prawne i fundamentalne założenie, że gdyby okoliczności zmusiły nas jednak do drogi sądowej, wyrok będzie dziełem niezawisłego sędziego, jego wiedzy prawnej i mądrości życiowej (a ta bierze się również z rozważania problemów dla sfery publicznej podstawowych), a nie politycznej koniunktury. </w:t>
      </w:r>
    </w:p>
    <w:p w14:paraId="56810697" w14:textId="77777777" w:rsidR="00C3177E" w:rsidRPr="00EC250C" w:rsidRDefault="00C3177E" w:rsidP="00C3177E">
      <w:pPr>
        <w:pStyle w:val="BLURB"/>
        <w:numPr>
          <w:ilvl w:val="0"/>
          <w:numId w:val="0"/>
        </w:numPr>
        <w:spacing w:after="0"/>
        <w:ind w:left="357"/>
        <w:rPr>
          <w:sz w:val="24"/>
          <w:szCs w:val="24"/>
        </w:rPr>
      </w:pPr>
      <w:r w:rsidRPr="00EC250C">
        <w:rPr>
          <w:sz w:val="24"/>
          <w:szCs w:val="24"/>
        </w:rPr>
        <w:t>Dlatego niezawisłość sędziowska jest niezbywalnym warunkiem dobrego społeczeństwa opartego nie na bezpardonowej walce o wpływy, lecz na zaufaniu.</w:t>
      </w:r>
    </w:p>
    <w:p w14:paraId="2EE6ABC5" w14:textId="77777777" w:rsidR="00C3177E" w:rsidRPr="00C3177E" w:rsidRDefault="00C3177E" w:rsidP="00702EDB">
      <w:pPr>
        <w:pStyle w:val="AutorBlurba"/>
        <w:rPr>
          <w:lang w:eastAsia="en-US"/>
        </w:rPr>
      </w:pPr>
      <w:r w:rsidRPr="00702EDB">
        <w:rPr>
          <w:b/>
        </w:rPr>
        <w:t>Prof. dr hab. Tadeusz Sławek</w:t>
      </w:r>
      <w:r w:rsidRPr="00EC250C">
        <w:t>, członek Rady Społecznej RPO w </w:t>
      </w:r>
      <w:r w:rsidRPr="00702EDB">
        <w:rPr>
          <w:b/>
        </w:rPr>
        <w:t>Katowicac</w:t>
      </w:r>
      <w:r w:rsidRPr="00702EDB">
        <w:rPr>
          <w:b/>
          <w:lang w:eastAsia="en-US"/>
        </w:rPr>
        <w:t>h</w:t>
      </w:r>
      <w:r w:rsidRPr="00C3177E">
        <w:rPr>
          <w:lang w:eastAsia="en-US"/>
        </w:rPr>
        <w:t xml:space="preserve"> </w:t>
      </w:r>
    </w:p>
    <w:p w14:paraId="62586108" w14:textId="77777777" w:rsidR="00C3177E" w:rsidRPr="00EC250C" w:rsidRDefault="00C3177E" w:rsidP="00C3177E">
      <w:pPr>
        <w:pStyle w:val="BLURB"/>
        <w:spacing w:after="0"/>
        <w:ind w:left="357"/>
        <w:rPr>
          <w:sz w:val="24"/>
          <w:szCs w:val="24"/>
        </w:rPr>
      </w:pPr>
      <w:r w:rsidRPr="00EC250C">
        <w:rPr>
          <w:sz w:val="24"/>
          <w:szCs w:val="24"/>
        </w:rPr>
        <w:lastRenderedPageBreak/>
        <w:t xml:space="preserve">Zobaczcie, jak działa Ośrodek w Gostyninie (opisane przy art. 41 Konstytucji) Musimy o tym mówić, tłumaczyć i przekonywać. Uczyć, jak się na to – od przedszkola po studia prawnicze. </w:t>
      </w:r>
    </w:p>
    <w:p w14:paraId="738F6025" w14:textId="77777777" w:rsidR="00C3177E" w:rsidRPr="00EC250C" w:rsidRDefault="00C3177E" w:rsidP="00C3177E">
      <w:pPr>
        <w:pStyle w:val="BLURB"/>
        <w:numPr>
          <w:ilvl w:val="0"/>
          <w:numId w:val="0"/>
        </w:numPr>
        <w:spacing w:after="0"/>
        <w:ind w:left="357"/>
        <w:rPr>
          <w:sz w:val="24"/>
          <w:szCs w:val="24"/>
        </w:rPr>
      </w:pPr>
      <w:r w:rsidRPr="00EC250C">
        <w:rPr>
          <w:sz w:val="24"/>
          <w:szCs w:val="24"/>
        </w:rPr>
        <w:t>Musimy też  piętnować redukcje kodeksowych i zwyczajowych praw więźniów (np. do warunkowego zwolnienia).</w:t>
      </w:r>
    </w:p>
    <w:p w14:paraId="5E686F63" w14:textId="77777777" w:rsidR="00C3177E" w:rsidRPr="00EC250C" w:rsidRDefault="00C3177E" w:rsidP="00702EDB">
      <w:pPr>
        <w:pStyle w:val="AutorBlurba"/>
      </w:pPr>
      <w:r w:rsidRPr="00702EDB">
        <w:rPr>
          <w:b/>
        </w:rPr>
        <w:t>Halina Bortnowska</w:t>
      </w:r>
      <w:r w:rsidRPr="00EC250C">
        <w:t xml:space="preserve">, członkini Rady </w:t>
      </w:r>
      <w:r w:rsidRPr="00702EDB">
        <w:t>Społecznej</w:t>
      </w:r>
      <w:r w:rsidRPr="00EC250C">
        <w:t xml:space="preserve"> RPO w </w:t>
      </w:r>
      <w:r w:rsidRPr="00C3177E">
        <w:rPr>
          <w:b/>
        </w:rPr>
        <w:t>Warszawie</w:t>
      </w:r>
    </w:p>
    <w:p w14:paraId="67862438" w14:textId="77777777" w:rsidR="00C3177E" w:rsidRPr="00EC250C" w:rsidRDefault="00C3177E" w:rsidP="00C3177E">
      <w:pPr>
        <w:pStyle w:val="BLURB"/>
        <w:spacing w:after="0"/>
        <w:ind w:left="357"/>
        <w:rPr>
          <w:sz w:val="24"/>
          <w:szCs w:val="24"/>
        </w:rPr>
      </w:pPr>
      <w:r w:rsidRPr="00EC250C">
        <w:rPr>
          <w:sz w:val="24"/>
          <w:szCs w:val="24"/>
        </w:rPr>
        <w:t xml:space="preserve">Liczba wniosków napływających do Biura RPO oraz liczba podjętych interwencji świadczy o olbrzymim znaczeniu tej instytucji dla polskiego systemu respektowania podstawowych praw obywatelskich oraz zachowania niezbędnej równowagi w relacjach między obywatelem a administracją państwa i władzami samorządowymi wszelkich szczebli. </w:t>
      </w:r>
    </w:p>
    <w:p w14:paraId="202870D5" w14:textId="77777777" w:rsidR="00C3177E" w:rsidRPr="00EC250C" w:rsidRDefault="00C3177E" w:rsidP="00C3177E">
      <w:pPr>
        <w:pStyle w:val="BLURB"/>
        <w:numPr>
          <w:ilvl w:val="0"/>
          <w:numId w:val="0"/>
        </w:numPr>
        <w:spacing w:after="0"/>
        <w:ind w:left="357"/>
        <w:rPr>
          <w:spacing w:val="0"/>
          <w:sz w:val="24"/>
          <w:szCs w:val="24"/>
        </w:rPr>
      </w:pPr>
      <w:r w:rsidRPr="00EC250C">
        <w:rPr>
          <w:sz w:val="24"/>
          <w:szCs w:val="24"/>
        </w:rPr>
        <w:t>Raport RPO stanowi rzetelny i obszernie udokumentowany materiał podsumowujący, nad którym władze państwowe i samorządowe winny się z powagą pochylić, by wyciągnąć niezwykle ważne dla obywateli wnioski na przyszłość.</w:t>
      </w:r>
    </w:p>
    <w:p w14:paraId="4A7D51DA" w14:textId="77777777" w:rsidR="00C3177E" w:rsidRPr="00EC250C" w:rsidRDefault="00C3177E" w:rsidP="00702EDB">
      <w:pPr>
        <w:pStyle w:val="AutorBlurba"/>
      </w:pPr>
      <w:r w:rsidRPr="00EC250C">
        <w:rPr>
          <w:rStyle w:val="AutorBlurbaZnak"/>
          <w:rFonts w:eastAsiaTheme="majorEastAsia"/>
          <w:b/>
          <w:sz w:val="24"/>
          <w:szCs w:val="24"/>
        </w:rPr>
        <w:t xml:space="preserve">dr </w:t>
      </w:r>
      <w:r w:rsidRPr="00EC250C">
        <w:rPr>
          <w:b/>
        </w:rPr>
        <w:t>Alicja Bartuś</w:t>
      </w:r>
      <w:r w:rsidRPr="00EC250C">
        <w:t xml:space="preserve">, </w:t>
      </w:r>
      <w:r w:rsidRPr="00702EDB">
        <w:t>członkini</w:t>
      </w:r>
      <w:r w:rsidRPr="00EC250C">
        <w:t xml:space="preserve"> Rady Społecznej RPO w </w:t>
      </w:r>
      <w:r w:rsidRPr="00C3177E">
        <w:rPr>
          <w:b/>
        </w:rPr>
        <w:t>Katowicach</w:t>
      </w:r>
    </w:p>
    <w:p w14:paraId="44B9F40F" w14:textId="77777777" w:rsidR="00C3177E" w:rsidRPr="00EC250C" w:rsidRDefault="00C3177E" w:rsidP="00C3177E">
      <w:pPr>
        <w:pStyle w:val="BLURB"/>
        <w:spacing w:after="0"/>
        <w:ind w:left="357"/>
        <w:rPr>
          <w:spacing w:val="0"/>
          <w:sz w:val="24"/>
          <w:szCs w:val="24"/>
        </w:rPr>
      </w:pPr>
      <w:r w:rsidRPr="00EC250C">
        <w:rPr>
          <w:sz w:val="24"/>
          <w:szCs w:val="24"/>
          <w:bdr w:val="none" w:sz="0" w:space="0" w:color="auto" w:frame="1"/>
          <w:shd w:val="clear" w:color="auto" w:fill="FFFFFF"/>
        </w:rPr>
        <w:t xml:space="preserve">Bezpieczeństwo na polskich drogach (art. 38 Konstytucji) może ulec poprawie jedynie wtedy, gdy zarówno opinie konstytucyjnych organów państwa (takich jak NIK) jak i opinie organizacji społecznych promujących poprawę komfortu i bezpieczeństwa ruchu osób korzystających z aktywnych form mobilności zaczną być traktowane poważniej niż prawo kierowców do lekceważenia ograniczeń prędkości. Wyrażam wdzięczność Rzecznikowi Praw Obywatelskich za dobry przykład szanowania i wspierania inicjatyw podejmowanych przez środowiska dostrzegające potrzebę poważniejszego traktowania bezpieczeństwa ludzi niż ruchu pojazdów. </w:t>
      </w:r>
    </w:p>
    <w:p w14:paraId="2CD4B173" w14:textId="77777777" w:rsidR="00C3177E" w:rsidRPr="00EC250C" w:rsidRDefault="00C3177E" w:rsidP="00702EDB">
      <w:pPr>
        <w:pStyle w:val="AutorBlurba"/>
        <w:rPr>
          <w:bdr w:val="none" w:sz="0" w:space="0" w:color="auto" w:frame="1"/>
          <w:shd w:val="clear" w:color="auto" w:fill="FFFFFF"/>
        </w:rPr>
      </w:pPr>
      <w:r w:rsidRPr="00EC250C">
        <w:rPr>
          <w:b/>
          <w:bCs/>
          <w:bdr w:val="none" w:sz="0" w:space="0" w:color="auto" w:frame="1"/>
          <w:shd w:val="clear" w:color="auto" w:fill="FFFFFF"/>
        </w:rPr>
        <w:t>Piotr Kuropatwiński</w:t>
      </w:r>
      <w:r w:rsidRPr="00EC250C">
        <w:rPr>
          <w:bdr w:val="none" w:sz="0" w:space="0" w:color="auto" w:frame="1"/>
          <w:shd w:val="clear" w:color="auto" w:fill="FFFFFF"/>
        </w:rPr>
        <w:t xml:space="preserve">, członek Rady </w:t>
      </w:r>
      <w:r w:rsidRPr="00702EDB">
        <w:t>Społecznej</w:t>
      </w:r>
      <w:r w:rsidRPr="00EC250C">
        <w:rPr>
          <w:bdr w:val="none" w:sz="0" w:space="0" w:color="auto" w:frame="1"/>
          <w:shd w:val="clear" w:color="auto" w:fill="FFFFFF"/>
        </w:rPr>
        <w:t xml:space="preserve"> RPO w </w:t>
      </w:r>
      <w:r w:rsidRPr="00C3177E">
        <w:rPr>
          <w:b/>
          <w:bdr w:val="none" w:sz="0" w:space="0" w:color="auto" w:frame="1"/>
          <w:shd w:val="clear" w:color="auto" w:fill="FFFFFF"/>
        </w:rPr>
        <w:t>Gdańsku</w:t>
      </w:r>
    </w:p>
    <w:p w14:paraId="76A865FC" w14:textId="77777777" w:rsidR="00C3177E" w:rsidRPr="00EC250C" w:rsidRDefault="00C3177E" w:rsidP="00C3177E">
      <w:pPr>
        <w:pStyle w:val="BLURB"/>
        <w:spacing w:after="0"/>
        <w:ind w:left="357"/>
        <w:rPr>
          <w:sz w:val="24"/>
          <w:szCs w:val="24"/>
          <w:bdr w:val="none" w:sz="0" w:space="0" w:color="auto" w:frame="1"/>
          <w:shd w:val="clear" w:color="auto" w:fill="FFFFFF"/>
        </w:rPr>
      </w:pPr>
      <w:r w:rsidRPr="00EC250C">
        <w:rPr>
          <w:sz w:val="24"/>
          <w:szCs w:val="24"/>
          <w:bdr w:val="none" w:sz="0" w:space="0" w:color="auto" w:frame="1"/>
          <w:shd w:val="clear" w:color="auto" w:fill="FFFFFF"/>
        </w:rPr>
        <w:t>Lubimy się łudzić, że tortury to zjawisko, które dotyczy innych części świata. A tortury zdarzają się także w Polsce. Najczęściej tam, gdzie człowiek jest pozbawiony wolności: na komisariacie, w zakładzie karnym, w areszcie, w zamkniętych zakładach psychiatrycznych, w zakładach poprawczych. Doświadczenia ostatnich lat pokazują, że potrzebna jest zmiana prawa i praktyki, tak by taką szczególną przemoc fizyczną i psychiczną stosowaną przez funkcjonariuszy państwa nazywać po imieniu: tortury. To jest warunek wstępny, byśmy uczynili zadość potwornej krzywdzie ofiar tortur i ich rodzinom – tak jak w słynnym przypadku sprawy Igora Stachowiaka – i zapobiegali torturom w przyszłości.</w:t>
      </w:r>
    </w:p>
    <w:p w14:paraId="46768048" w14:textId="355D7340" w:rsidR="00C3177E" w:rsidRDefault="00C3177E" w:rsidP="00F32C1D">
      <w:pPr>
        <w:pStyle w:val="AutorBlurba"/>
        <w:rPr>
          <w:i/>
          <w:sz w:val="24"/>
        </w:rPr>
      </w:pPr>
      <w:r w:rsidRPr="00EC250C">
        <w:rPr>
          <w:b/>
          <w:bCs/>
          <w:bdr w:val="none" w:sz="0" w:space="0" w:color="auto" w:frame="1"/>
          <w:shd w:val="clear" w:color="auto" w:fill="FFFFFF"/>
        </w:rPr>
        <w:t>Adw. Mikołaj Pietrzak</w:t>
      </w:r>
      <w:r w:rsidRPr="00EC250C">
        <w:rPr>
          <w:bdr w:val="none" w:sz="0" w:space="0" w:color="auto" w:frame="1"/>
          <w:shd w:val="clear" w:color="auto" w:fill="FFFFFF"/>
        </w:rPr>
        <w:t xml:space="preserve">, członek Rady Spolecznej RPO w Warszawie </w:t>
      </w:r>
      <w:r>
        <w:rPr>
          <w:i/>
          <w:sz w:val="24"/>
        </w:rPr>
        <w:br w:type="page"/>
      </w:r>
    </w:p>
    <w:p w14:paraId="35F6D9E7" w14:textId="77777777" w:rsidR="0031607E" w:rsidRPr="00EC250C" w:rsidRDefault="0031607E" w:rsidP="00D131FA">
      <w:pPr>
        <w:spacing w:after="200" w:line="24" w:lineRule="auto"/>
        <w:jc w:val="both"/>
        <w:rPr>
          <w:i/>
          <w:spacing w:val="5"/>
          <w:sz w:val="22"/>
        </w:rPr>
      </w:pPr>
    </w:p>
    <w:p w14:paraId="2590CE87" w14:textId="77777777" w:rsidR="0031607E" w:rsidRPr="00EC250C" w:rsidRDefault="0031607E" w:rsidP="00D131FA">
      <w:pPr>
        <w:jc w:val="both"/>
        <w:rPr>
          <w:b/>
          <w:sz w:val="48"/>
        </w:rPr>
      </w:pPr>
      <w:bookmarkStart w:id="1" w:name="_Toc6257618"/>
      <w:r w:rsidRPr="00EC250C">
        <w:rPr>
          <w:b/>
          <w:sz w:val="48"/>
        </w:rPr>
        <w:t>Wprowadzeni</w:t>
      </w:r>
      <w:bookmarkEnd w:id="1"/>
      <w:r w:rsidRPr="00EC250C">
        <w:rPr>
          <w:b/>
          <w:sz w:val="48"/>
        </w:rPr>
        <w:t>e</w:t>
      </w:r>
    </w:p>
    <w:p w14:paraId="3F4FE1F7" w14:textId="77777777" w:rsidR="0031607E" w:rsidRPr="00EC250C" w:rsidRDefault="0031607E" w:rsidP="00D131FA">
      <w:pPr>
        <w:jc w:val="both"/>
        <w:rPr>
          <w:b/>
          <w:color w:val="C00000"/>
          <w:sz w:val="36"/>
        </w:rPr>
      </w:pPr>
      <w:bookmarkStart w:id="2" w:name="_Toc6257619"/>
      <w:r w:rsidRPr="00EC250C">
        <w:rPr>
          <w:b/>
          <w:color w:val="C00000"/>
          <w:sz w:val="36"/>
        </w:rPr>
        <w:t>Najważniejsze problemy</w:t>
      </w:r>
      <w:r w:rsidR="00992FD0" w:rsidRPr="00EC250C">
        <w:rPr>
          <w:b/>
          <w:color w:val="C00000"/>
          <w:sz w:val="36"/>
        </w:rPr>
        <w:t xml:space="preserve"> z </w:t>
      </w:r>
      <w:r w:rsidRPr="00EC250C">
        <w:rPr>
          <w:b/>
          <w:color w:val="C00000"/>
          <w:sz w:val="36"/>
        </w:rPr>
        <w:t>zakresu praw obywatelskich</w:t>
      </w:r>
      <w:r w:rsidR="00992FD0" w:rsidRPr="00EC250C">
        <w:rPr>
          <w:b/>
          <w:color w:val="C00000"/>
          <w:sz w:val="36"/>
        </w:rPr>
        <w:t xml:space="preserve"> w </w:t>
      </w:r>
      <w:r w:rsidRPr="00EC250C">
        <w:rPr>
          <w:b/>
          <w:color w:val="C00000"/>
          <w:sz w:val="36"/>
        </w:rPr>
        <w:t>Polsce</w:t>
      </w:r>
    </w:p>
    <w:p w14:paraId="769CA129" w14:textId="77777777" w:rsidR="0031607E" w:rsidRPr="00EC250C" w:rsidRDefault="0031607E" w:rsidP="00D131FA">
      <w:pPr>
        <w:jc w:val="both"/>
        <w:rPr>
          <w:b/>
          <w:color w:val="C00000"/>
          <w:sz w:val="36"/>
        </w:rPr>
      </w:pPr>
      <w:r w:rsidRPr="00EC250C">
        <w:rPr>
          <w:b/>
          <w:color w:val="C00000"/>
          <w:sz w:val="36"/>
        </w:rPr>
        <w:t>dr Adam Bodnar</w:t>
      </w:r>
      <w:bookmarkEnd w:id="2"/>
      <w:r w:rsidRPr="00EC250C">
        <w:rPr>
          <w:b/>
          <w:color w:val="C00000"/>
          <w:sz w:val="36"/>
        </w:rPr>
        <w:t xml:space="preserve">, </w:t>
      </w:r>
      <w:r w:rsidR="00F5668C" w:rsidRPr="00EC250C">
        <w:rPr>
          <w:b/>
          <w:color w:val="C00000"/>
          <w:sz w:val="36"/>
        </w:rPr>
        <w:t>R</w:t>
      </w:r>
      <w:r w:rsidRPr="00EC250C">
        <w:rPr>
          <w:b/>
          <w:color w:val="C00000"/>
          <w:sz w:val="36"/>
        </w:rPr>
        <w:t xml:space="preserve">zecznik </w:t>
      </w:r>
      <w:r w:rsidR="00F5668C" w:rsidRPr="00EC250C">
        <w:rPr>
          <w:b/>
          <w:color w:val="C00000"/>
          <w:sz w:val="36"/>
        </w:rPr>
        <w:t>P</w:t>
      </w:r>
      <w:r w:rsidRPr="00EC250C">
        <w:rPr>
          <w:b/>
          <w:color w:val="C00000"/>
          <w:sz w:val="36"/>
        </w:rPr>
        <w:t xml:space="preserve">raw </w:t>
      </w:r>
      <w:r w:rsidR="00F5668C" w:rsidRPr="00EC250C">
        <w:rPr>
          <w:b/>
          <w:color w:val="C00000"/>
          <w:sz w:val="36"/>
        </w:rPr>
        <w:t>O</w:t>
      </w:r>
      <w:r w:rsidRPr="00EC250C">
        <w:rPr>
          <w:b/>
          <w:color w:val="C00000"/>
          <w:sz w:val="36"/>
        </w:rPr>
        <w:t>bywatelskich</w:t>
      </w:r>
    </w:p>
    <w:p w14:paraId="71DF9954" w14:textId="77777777" w:rsidR="004B314D" w:rsidRPr="00C3177E" w:rsidRDefault="00D850F5" w:rsidP="00D131FA">
      <w:pPr>
        <w:pStyle w:val="Styl1"/>
        <w:ind w:firstLine="0"/>
        <w:rPr>
          <w:sz w:val="24"/>
          <w:szCs w:val="22"/>
        </w:rPr>
      </w:pPr>
      <w:r w:rsidRPr="00C3177E">
        <w:rPr>
          <w:sz w:val="24"/>
          <w:szCs w:val="22"/>
        </w:rPr>
        <w:t>P</w:t>
      </w:r>
      <w:r w:rsidR="004B314D" w:rsidRPr="00C3177E">
        <w:rPr>
          <w:sz w:val="24"/>
          <w:szCs w:val="22"/>
        </w:rPr>
        <w:t xml:space="preserve">rzedstawiamy dokument będący całościową diagnozą stanu państwa przez pryzmat respektowania praw konstytucyjnych obywateli. Staramy się w nim pokazać nie tylko działania RPO, ale i stworzyć mapę problemów i zaniedbań w całym obszarze państwowości. </w:t>
      </w:r>
    </w:p>
    <w:p w14:paraId="2A0A1A09" w14:textId="77777777" w:rsidR="004B314D" w:rsidRPr="00C3177E" w:rsidRDefault="004B314D" w:rsidP="00D131FA">
      <w:pPr>
        <w:pStyle w:val="Styl1"/>
        <w:rPr>
          <w:sz w:val="24"/>
          <w:szCs w:val="22"/>
        </w:rPr>
      </w:pPr>
      <w:r w:rsidRPr="00C3177E">
        <w:rPr>
          <w:sz w:val="24"/>
          <w:szCs w:val="22"/>
        </w:rPr>
        <w:t>Z natury rzeczy wydobywa on na światło dzienne kwestie trudne, bolesne, dotyczące naruszeń zagwarantowanych wszystkim nam praw.</w:t>
      </w:r>
    </w:p>
    <w:p w14:paraId="6095A21C" w14:textId="67C0C392" w:rsidR="004B314D" w:rsidRPr="00C3177E" w:rsidRDefault="004B314D" w:rsidP="006C70B7">
      <w:pPr>
        <w:pStyle w:val="Styl1"/>
        <w:numPr>
          <w:ilvl w:val="0"/>
          <w:numId w:val="148"/>
        </w:numPr>
        <w:ind w:left="360"/>
        <w:rPr>
          <w:sz w:val="24"/>
          <w:szCs w:val="22"/>
        </w:rPr>
      </w:pPr>
      <w:r w:rsidRPr="00C3177E">
        <w:rPr>
          <w:sz w:val="24"/>
          <w:szCs w:val="22"/>
        </w:rPr>
        <w:t>W 2018 r. narastało w naszym kraju wiele znanych wcześniej zagrożeń związanych z</w:t>
      </w:r>
      <w:r w:rsidR="00602EE3" w:rsidRPr="00C3177E">
        <w:rPr>
          <w:sz w:val="24"/>
          <w:szCs w:val="22"/>
        </w:rPr>
        <w:t> </w:t>
      </w:r>
      <w:r w:rsidRPr="00C3177E">
        <w:rPr>
          <w:sz w:val="24"/>
          <w:szCs w:val="22"/>
        </w:rPr>
        <w:t>przestrzeganiem wolności oraz ochroną praw człowieka i</w:t>
      </w:r>
      <w:r w:rsidR="00D131FA" w:rsidRPr="00C3177E">
        <w:rPr>
          <w:sz w:val="24"/>
          <w:szCs w:val="22"/>
        </w:rPr>
        <w:t> </w:t>
      </w:r>
      <w:r w:rsidRPr="00C3177E">
        <w:rPr>
          <w:sz w:val="24"/>
          <w:szCs w:val="22"/>
        </w:rPr>
        <w:t xml:space="preserve">obywatela, pojawiły się też zjawiska nowe. Przede wszystkim jednak nastąpiło pogłębienie obserwowanych w latach ubiegłych problemów systemowych związanych z kryzysem rządów prawa i przestrzeganiem ładu konstytucyjnego. </w:t>
      </w:r>
    </w:p>
    <w:p w14:paraId="6778FA04" w14:textId="77777777" w:rsidR="004B314D" w:rsidRPr="00C3177E" w:rsidRDefault="004B314D" w:rsidP="006C70B7">
      <w:pPr>
        <w:pStyle w:val="Styl1"/>
        <w:numPr>
          <w:ilvl w:val="0"/>
          <w:numId w:val="148"/>
        </w:numPr>
        <w:ind w:left="360"/>
        <w:rPr>
          <w:sz w:val="24"/>
          <w:szCs w:val="22"/>
        </w:rPr>
      </w:pPr>
      <w:r w:rsidRPr="00C3177E">
        <w:rPr>
          <w:sz w:val="24"/>
          <w:szCs w:val="22"/>
        </w:rPr>
        <w:t>Kontynuowany był proces zmian prowadzący do naruszenia równowagi władz, dyskredytujący rolę władzy sądowniczej i ograniczający w rezultacie realizację prawa obywatela do niezależnego i niezawisłego sądu.</w:t>
      </w:r>
    </w:p>
    <w:p w14:paraId="271C503C" w14:textId="77777777" w:rsidR="004B314D" w:rsidRPr="00C3177E" w:rsidRDefault="004B314D" w:rsidP="006C70B7">
      <w:pPr>
        <w:pStyle w:val="Styl1"/>
        <w:numPr>
          <w:ilvl w:val="0"/>
          <w:numId w:val="148"/>
        </w:numPr>
        <w:ind w:left="360"/>
        <w:rPr>
          <w:sz w:val="24"/>
          <w:szCs w:val="22"/>
        </w:rPr>
      </w:pPr>
      <w:r w:rsidRPr="00C3177E">
        <w:rPr>
          <w:sz w:val="24"/>
          <w:szCs w:val="22"/>
        </w:rPr>
        <w:t>Następowało dalsze osłabienie pozycji jednostki w relacjach z państwem i</w:t>
      </w:r>
      <w:r w:rsidR="00D131FA" w:rsidRPr="00C3177E">
        <w:rPr>
          <w:sz w:val="24"/>
          <w:szCs w:val="22"/>
        </w:rPr>
        <w:t> </w:t>
      </w:r>
      <w:r w:rsidRPr="00C3177E">
        <w:rPr>
          <w:sz w:val="24"/>
          <w:szCs w:val="22"/>
        </w:rPr>
        <w:t>instytucjami publicznymi. Rosły zagrożenia dla ochrony prawa do prywatności i</w:t>
      </w:r>
      <w:r w:rsidR="00D131FA" w:rsidRPr="00C3177E">
        <w:rPr>
          <w:sz w:val="24"/>
          <w:szCs w:val="22"/>
        </w:rPr>
        <w:t> </w:t>
      </w:r>
      <w:r w:rsidRPr="00C3177E">
        <w:rPr>
          <w:sz w:val="24"/>
          <w:szCs w:val="22"/>
        </w:rPr>
        <w:t xml:space="preserve">prawa do wolności zgromadzeń. Utrzymywały się trudności w dostępie do świadczeń opieki zdrowotnej. Niedostatecznie efektywnie działał system wsparcia dla osób z niepełnosprawnością i osób starszych.  </w:t>
      </w:r>
    </w:p>
    <w:p w14:paraId="043ECD0A" w14:textId="77777777" w:rsidR="004B314D" w:rsidRPr="00C3177E" w:rsidRDefault="004B314D" w:rsidP="006C70B7">
      <w:pPr>
        <w:pStyle w:val="Styl1"/>
        <w:numPr>
          <w:ilvl w:val="0"/>
          <w:numId w:val="148"/>
        </w:numPr>
        <w:ind w:left="360"/>
        <w:rPr>
          <w:sz w:val="24"/>
          <w:szCs w:val="22"/>
        </w:rPr>
      </w:pPr>
      <w:r w:rsidRPr="00C3177E">
        <w:rPr>
          <w:sz w:val="24"/>
          <w:szCs w:val="22"/>
        </w:rPr>
        <w:t>W wielu obszarach życia odnotowaliśmy naruszenia praw osób doświadczających dyskryminacji i przemocy. Niepokój budzi utrzymująca się nieskuteczność mechanizmów mających zapobiegać torturom i poniżającemu traktowaniu. Źle funkcjonował system wsparcia i zadośćuczynienia dla ofiar – osób pokrzywdzonych przestępstwem.</w:t>
      </w:r>
    </w:p>
    <w:p w14:paraId="784CB7CB" w14:textId="77777777" w:rsidR="004B314D" w:rsidRPr="00C3177E" w:rsidRDefault="004B314D" w:rsidP="006C70B7">
      <w:pPr>
        <w:pStyle w:val="Styl1"/>
        <w:numPr>
          <w:ilvl w:val="0"/>
          <w:numId w:val="148"/>
        </w:numPr>
        <w:spacing w:after="240"/>
        <w:ind w:left="360"/>
        <w:rPr>
          <w:sz w:val="24"/>
          <w:szCs w:val="22"/>
        </w:rPr>
      </w:pPr>
      <w:r w:rsidRPr="00C3177E">
        <w:rPr>
          <w:sz w:val="24"/>
          <w:szCs w:val="22"/>
        </w:rPr>
        <w:t xml:space="preserve">Poprawa sytuacji gospodarczej, polityka społeczna i spadek bezrobocia sprzyjały ograniczeniom obszarów biedy i podnoszeniu jakości życia obywateli. Jednocześnie, </w:t>
      </w:r>
      <w:r w:rsidRPr="00C3177E">
        <w:rPr>
          <w:sz w:val="24"/>
          <w:szCs w:val="22"/>
        </w:rPr>
        <w:lastRenderedPageBreak/>
        <w:t>brak jest efektywnych regulacji prawnych i skutecznych działań administracji w wielu występujących wciąż przypadkach wykluczenia społecznego czy bezdomności.</w:t>
      </w:r>
    </w:p>
    <w:p w14:paraId="3233EBAC" w14:textId="366F909A" w:rsidR="004B314D" w:rsidRPr="00C3177E" w:rsidRDefault="004B314D" w:rsidP="00D131FA">
      <w:pPr>
        <w:pStyle w:val="Styl1"/>
        <w:rPr>
          <w:sz w:val="24"/>
          <w:szCs w:val="22"/>
        </w:rPr>
      </w:pPr>
      <w:r w:rsidRPr="00C3177E">
        <w:rPr>
          <w:sz w:val="24"/>
          <w:szCs w:val="22"/>
        </w:rPr>
        <w:t>W 2018 roku kontynuowan</w:t>
      </w:r>
      <w:r w:rsidR="000F0E76" w:rsidRPr="00C3177E">
        <w:rPr>
          <w:sz w:val="24"/>
          <w:szCs w:val="22"/>
        </w:rPr>
        <w:t>y</w:t>
      </w:r>
      <w:r w:rsidRPr="00C3177E">
        <w:rPr>
          <w:sz w:val="24"/>
          <w:szCs w:val="22"/>
        </w:rPr>
        <w:t xml:space="preserve"> był </w:t>
      </w:r>
      <w:r w:rsidR="00224DA9" w:rsidRPr="00C3177E">
        <w:rPr>
          <w:sz w:val="24"/>
          <w:szCs w:val="22"/>
        </w:rPr>
        <w:t xml:space="preserve">program spotkań </w:t>
      </w:r>
      <w:r w:rsidRPr="00C3177E">
        <w:rPr>
          <w:sz w:val="24"/>
          <w:szCs w:val="22"/>
        </w:rPr>
        <w:t>regionalnych RPO. W</w:t>
      </w:r>
      <w:r w:rsidR="00D131FA" w:rsidRPr="00C3177E">
        <w:rPr>
          <w:sz w:val="24"/>
          <w:szCs w:val="22"/>
        </w:rPr>
        <w:t> </w:t>
      </w:r>
      <w:r w:rsidRPr="00C3177E">
        <w:rPr>
          <w:sz w:val="24"/>
          <w:szCs w:val="22"/>
        </w:rPr>
        <w:t xml:space="preserve">bezpośrednich spotkaniach i rozmowach z mieszkańcami mieliśmy możliwość poznać ich problemy i bolączki, dowiedzieć się co myślą o wielu sprawach. </w:t>
      </w:r>
      <w:r w:rsidR="00224DA9" w:rsidRPr="00C3177E">
        <w:rPr>
          <w:sz w:val="24"/>
          <w:szCs w:val="22"/>
        </w:rPr>
        <w:t>T</w:t>
      </w:r>
      <w:r w:rsidRPr="00C3177E">
        <w:rPr>
          <w:sz w:val="24"/>
          <w:szCs w:val="22"/>
        </w:rPr>
        <w:t>o bardzo cenne doświadczenie, aczkolwiek wnioskiem ogólnym, który nasuwa się najbardziej, jest stwierdzanie narastającego deficytu dialogu i</w:t>
      </w:r>
      <w:r w:rsidR="004C5825" w:rsidRPr="00C3177E">
        <w:rPr>
          <w:sz w:val="24"/>
          <w:szCs w:val="22"/>
        </w:rPr>
        <w:t> </w:t>
      </w:r>
      <w:r w:rsidRPr="00C3177E">
        <w:rPr>
          <w:sz w:val="24"/>
          <w:szCs w:val="22"/>
        </w:rPr>
        <w:t xml:space="preserve">porozumienia, także otwartości na drugiego człowieka. Stajemy się społeczeństwem coraz bardziej podzielonym, skonfliktowanym, coraz częściej dopuszczającym w mowie i w emocjach uczucia skrajne. </w:t>
      </w:r>
    </w:p>
    <w:p w14:paraId="0CE4E1F4" w14:textId="77777777" w:rsidR="004B314D" w:rsidRPr="00C3177E" w:rsidRDefault="004B314D" w:rsidP="00D131FA">
      <w:pPr>
        <w:pStyle w:val="Styl1"/>
        <w:rPr>
          <w:sz w:val="24"/>
          <w:szCs w:val="22"/>
        </w:rPr>
      </w:pPr>
      <w:r w:rsidRPr="00C3177E">
        <w:rPr>
          <w:sz w:val="24"/>
          <w:szCs w:val="22"/>
        </w:rPr>
        <w:t xml:space="preserve">Przyczyn tych podziałów i złego rozemocjonowania jest zapewne wiele. Troskę musi budzić jednak to, że rozkładają się one w całej przestrzeni społecznej. A jednym z ich ważnych źródeł są – co podkreślają na spotkaniach często mieszkańcy – relacje obywateli z władzą, zarówno tą na szczeblu samorządowym, jak i centralnym. </w:t>
      </w:r>
    </w:p>
    <w:p w14:paraId="43BD1785" w14:textId="509FCAA0" w:rsidR="004B314D" w:rsidRPr="00C3177E" w:rsidRDefault="004B314D" w:rsidP="00D131FA">
      <w:pPr>
        <w:pStyle w:val="Styl1"/>
        <w:rPr>
          <w:sz w:val="24"/>
          <w:szCs w:val="22"/>
        </w:rPr>
      </w:pPr>
      <w:r w:rsidRPr="00C3177E">
        <w:rPr>
          <w:sz w:val="24"/>
          <w:szCs w:val="22"/>
        </w:rPr>
        <w:t>Warto w tym miejscu zauważyć, że według tekstu preambuły Konstytucji została ona ustanowiona „jako prawa podstawowe dla państwa oparte na poszanowaniu wolności i</w:t>
      </w:r>
      <w:r w:rsidR="004C5825" w:rsidRPr="00C3177E">
        <w:rPr>
          <w:sz w:val="24"/>
          <w:szCs w:val="22"/>
        </w:rPr>
        <w:t> </w:t>
      </w:r>
      <w:r w:rsidRPr="00C3177E">
        <w:rPr>
          <w:sz w:val="24"/>
          <w:szCs w:val="22"/>
        </w:rPr>
        <w:t>sprawiedliwości, współdziałaniu władz, dialogu społecznym oraz na zasadzie pomocniczości umacniającej uprawnienia obywateli i</w:t>
      </w:r>
      <w:r w:rsidR="00D131FA" w:rsidRPr="00C3177E">
        <w:rPr>
          <w:sz w:val="24"/>
          <w:szCs w:val="22"/>
        </w:rPr>
        <w:t> </w:t>
      </w:r>
      <w:r w:rsidRPr="00C3177E">
        <w:rPr>
          <w:sz w:val="24"/>
          <w:szCs w:val="22"/>
        </w:rPr>
        <w:t>ich wspólnot”. Zasada dialogu społecznego oraz współdziałania władz zakłada, że prawo będzie stanowione po rozważeniu wszelkich racji, w tym również racji opozycji parlamentarnej, racji przedstawicieli społeczeństwa obywatelskiego oraz racji podmiotów powołanych z mocy prawa do przedstawienia stanowiska w sprawie będącej przedmiotem projektowanej regulacji. Tylko w ten sposób można budować zaufanie do</w:t>
      </w:r>
      <w:r w:rsidR="004C5825" w:rsidRPr="00C3177E">
        <w:rPr>
          <w:sz w:val="24"/>
          <w:szCs w:val="22"/>
        </w:rPr>
        <w:t> </w:t>
      </w:r>
      <w:r w:rsidRPr="00C3177E">
        <w:rPr>
          <w:sz w:val="24"/>
          <w:szCs w:val="22"/>
        </w:rPr>
        <w:t xml:space="preserve">stanowionego prawa. W szczególności zasada podziału władz i ich równowagi wymagałaby, aby w sprawach dotyczących wymiaru sprawiedliwości, władza ustawodawcza i wykonawcza podejmowała dialog z władzą sądowniczą. Równowaga jako cecha ustrojowa zakłada bowiem dialog, a nie dominację jednego segmentu władzy. Ten dialog nie jest jednak prowadzony. </w:t>
      </w:r>
    </w:p>
    <w:p w14:paraId="483C26E7" w14:textId="77777777" w:rsidR="004B314D" w:rsidRPr="00C3177E" w:rsidRDefault="004B314D" w:rsidP="00D131FA">
      <w:pPr>
        <w:pStyle w:val="Styl1"/>
        <w:rPr>
          <w:sz w:val="24"/>
          <w:szCs w:val="22"/>
        </w:rPr>
      </w:pPr>
      <w:r w:rsidRPr="00C3177E">
        <w:rPr>
          <w:sz w:val="24"/>
          <w:szCs w:val="22"/>
        </w:rPr>
        <w:t xml:space="preserve">Wprowadzone zmiany w funkcjonowaniu sądów powszechnych, Sądu Najwyższego oraz Krajowej Rady Sądownictwa zwiększyły wpływ czynników politycznych na funkcjonowanie wymiaru sprawiedliwości, co prowadzi do osłabienia całego systemu ochrony praw człowieka. Zmiany te stały się również przyczyną zainicjowania przed Trybunałem Sprawiedliwości Unii Europejskiej szeregu postępowań dotyczących zagrożeń dla niezależności i niezawisłości władzy sądowniczej w Polsce. Ich bezpośrednim efektem było też w zakresie dotyczącym Polski osłabienie mechanizmu funkcjonowania europejskiego nakazu aresztowania. Trybunał Sprawiedliwości UE uznał bowiem, że organ </w:t>
      </w:r>
      <w:r w:rsidRPr="00C3177E">
        <w:rPr>
          <w:sz w:val="24"/>
          <w:szCs w:val="22"/>
        </w:rPr>
        <w:lastRenderedPageBreak/>
        <w:t xml:space="preserve">sądowy, do którego zwrócono się o wykonanie europejskiego nakazu aresztowania, musi wstrzymać się od jego wykonania, jeżeli uzna, że dana osoba mogłaby zostać narażona na ryzyko naruszenia prawa do niezawisłego sądu, a tym samym prawa do rzetelnego procesu sądowego, ze względu na nieprawidłowości mogące mieć wpływ na niezawisłość władzy sądowniczej w wydającym nakaz państwie członkowskim. </w:t>
      </w:r>
    </w:p>
    <w:p w14:paraId="46AD40BD" w14:textId="6D72F442" w:rsidR="004B314D" w:rsidRPr="00C3177E" w:rsidRDefault="004B314D" w:rsidP="00D131FA">
      <w:pPr>
        <w:pStyle w:val="Styl1"/>
        <w:rPr>
          <w:sz w:val="24"/>
          <w:szCs w:val="22"/>
        </w:rPr>
      </w:pPr>
      <w:r w:rsidRPr="00C3177E">
        <w:rPr>
          <w:sz w:val="24"/>
          <w:szCs w:val="22"/>
        </w:rPr>
        <w:t>Wciąż funkcjonują przepisy stanowiące istotne zagrożenie dla ochrony prawa do prywatności, dające policji i innym służbom daleko idące uprawnienia dotyczące stosowania kontroli operacyjnej i pobierania danych telekomunikacyjnych. Zastrzeżenia nasuwa zarówno sam zakres danych o</w:t>
      </w:r>
      <w:r w:rsidR="004C5825" w:rsidRPr="00C3177E">
        <w:rPr>
          <w:sz w:val="24"/>
          <w:szCs w:val="22"/>
        </w:rPr>
        <w:t> </w:t>
      </w:r>
      <w:r w:rsidRPr="00C3177E">
        <w:rPr>
          <w:sz w:val="24"/>
          <w:szCs w:val="22"/>
        </w:rPr>
        <w:t xml:space="preserve">jednostce pozyskiwanych w toku tych niejawnych czynności, jak też i to, że nie ma efektywnej kontroli zewnętrznej procesu pozyskiwania tych danych. </w:t>
      </w:r>
    </w:p>
    <w:p w14:paraId="7F995DCF" w14:textId="77777777" w:rsidR="004B314D" w:rsidRPr="00C3177E" w:rsidRDefault="004B314D" w:rsidP="00D131FA">
      <w:pPr>
        <w:pStyle w:val="Styl1"/>
        <w:rPr>
          <w:sz w:val="24"/>
          <w:szCs w:val="22"/>
        </w:rPr>
      </w:pPr>
      <w:r w:rsidRPr="00C3177E">
        <w:rPr>
          <w:sz w:val="24"/>
          <w:szCs w:val="22"/>
        </w:rPr>
        <w:t>Wolność zgromadzeń naruszają zaś przepisy regulujące postępowanie w</w:t>
      </w:r>
      <w:r w:rsidR="00D131FA" w:rsidRPr="00C3177E">
        <w:rPr>
          <w:sz w:val="24"/>
          <w:szCs w:val="22"/>
        </w:rPr>
        <w:t> </w:t>
      </w:r>
      <w:r w:rsidRPr="00C3177E">
        <w:rPr>
          <w:sz w:val="24"/>
          <w:szCs w:val="22"/>
        </w:rPr>
        <w:t xml:space="preserve">sprawie zgromadzeń organizowanych cyklicznie. Wbrew konstytucyjnej formule nakazującej zapewnić wolność zgromadzeń każdemu, faworyzują one tzw. zgromadzenia cykliczne. </w:t>
      </w:r>
    </w:p>
    <w:p w14:paraId="39B0D585" w14:textId="77777777" w:rsidR="004B314D" w:rsidRPr="00C3177E" w:rsidRDefault="004B314D" w:rsidP="00D131FA">
      <w:pPr>
        <w:pStyle w:val="Styl1"/>
        <w:rPr>
          <w:sz w:val="24"/>
          <w:szCs w:val="22"/>
        </w:rPr>
      </w:pPr>
      <w:r w:rsidRPr="00C3177E">
        <w:rPr>
          <w:sz w:val="24"/>
          <w:szCs w:val="22"/>
        </w:rPr>
        <w:t>Pomimo wielu wystąpień Rzecznika Praw Obywatelskich, w dalszym ciągu w</w:t>
      </w:r>
      <w:r w:rsidR="00D131FA" w:rsidRPr="00C3177E">
        <w:rPr>
          <w:sz w:val="24"/>
          <w:szCs w:val="22"/>
        </w:rPr>
        <w:t> </w:t>
      </w:r>
      <w:r w:rsidRPr="00C3177E">
        <w:rPr>
          <w:sz w:val="24"/>
          <w:szCs w:val="22"/>
        </w:rPr>
        <w:t xml:space="preserve">zakresie dotyczącym zapewnienia dostępu zatrzymanego do obrońcy od momentu jego zatrzymania, nie jest w pełni realizowana konstytucyjna gwarancja prawa do obrony. </w:t>
      </w:r>
    </w:p>
    <w:p w14:paraId="4FFC2AF4" w14:textId="77777777" w:rsidR="004B314D" w:rsidRPr="00C3177E" w:rsidRDefault="004B314D" w:rsidP="00D131FA">
      <w:pPr>
        <w:pStyle w:val="Styl1"/>
        <w:rPr>
          <w:sz w:val="24"/>
          <w:szCs w:val="22"/>
        </w:rPr>
      </w:pPr>
      <w:r w:rsidRPr="00C3177E">
        <w:rPr>
          <w:sz w:val="24"/>
          <w:szCs w:val="22"/>
        </w:rPr>
        <w:t>Zmiany wprowadzone w zakresie funkcjonowania publicznej radiofonii i</w:t>
      </w:r>
      <w:r w:rsidR="00D131FA" w:rsidRPr="00C3177E">
        <w:rPr>
          <w:sz w:val="24"/>
          <w:szCs w:val="22"/>
        </w:rPr>
        <w:t> </w:t>
      </w:r>
      <w:r w:rsidRPr="00C3177E">
        <w:rPr>
          <w:sz w:val="24"/>
          <w:szCs w:val="22"/>
        </w:rPr>
        <w:t>telewizji poddały tę sferę kontroli politycznej. Organ konstytucyjny jakim jest Krajowa Rada Radiofonii i Telewizji stojący na straży wolności słowa i prawa do informacji został ograniczony w swoich kompetencjach przez pozakonstytucyjne ciało, tj. Radę Mediów Narodowych, co narusza ustrojowe gwarancje wolności środków społecznego przekazu oraz wolność wyrażania poglądów i pozyskiwania i</w:t>
      </w:r>
      <w:r w:rsidR="00D131FA" w:rsidRPr="00C3177E">
        <w:rPr>
          <w:sz w:val="24"/>
          <w:szCs w:val="22"/>
        </w:rPr>
        <w:t> </w:t>
      </w:r>
      <w:r w:rsidRPr="00C3177E">
        <w:rPr>
          <w:sz w:val="24"/>
          <w:szCs w:val="22"/>
        </w:rPr>
        <w:t xml:space="preserve">rozpowszechniania informacji. </w:t>
      </w:r>
    </w:p>
    <w:p w14:paraId="1808B21A" w14:textId="2F7FF708" w:rsidR="004B314D" w:rsidRPr="00C3177E" w:rsidRDefault="004B314D" w:rsidP="00D131FA">
      <w:pPr>
        <w:pStyle w:val="Styl1"/>
        <w:rPr>
          <w:sz w:val="24"/>
          <w:szCs w:val="22"/>
        </w:rPr>
      </w:pPr>
      <w:r w:rsidRPr="00C3177E">
        <w:rPr>
          <w:sz w:val="24"/>
          <w:szCs w:val="22"/>
        </w:rPr>
        <w:t>Nie uległa też zmianie sytuacja prawna opiekunów osób</w:t>
      </w:r>
      <w:r w:rsidR="00A437CC" w:rsidRPr="00C3177E">
        <w:rPr>
          <w:sz w:val="24"/>
          <w:szCs w:val="22"/>
        </w:rPr>
        <w:t>, których niepełnosprawność została stwierdzona wieku  dorosłym</w:t>
      </w:r>
      <w:r w:rsidRPr="00C3177E">
        <w:rPr>
          <w:sz w:val="24"/>
          <w:szCs w:val="22"/>
        </w:rPr>
        <w:t>. Chociaż od wydania w tej sprawie przez Trybunał Konstytucyjnych korzystnego dla tych osób wyroku upłynęło już prawie 5 lat, nie został on wykonany. Zmusza to opiekunów do inicjowania długotrwałych postępowań przed organami administracji publicznej i</w:t>
      </w:r>
      <w:r w:rsidR="004C5825" w:rsidRPr="00C3177E">
        <w:rPr>
          <w:sz w:val="24"/>
          <w:szCs w:val="22"/>
        </w:rPr>
        <w:t> </w:t>
      </w:r>
      <w:r w:rsidRPr="00C3177E">
        <w:rPr>
          <w:sz w:val="24"/>
          <w:szCs w:val="22"/>
        </w:rPr>
        <w:t>sądami administracyjnymi</w:t>
      </w:r>
      <w:r w:rsidR="00A437CC" w:rsidRPr="00C3177E">
        <w:rPr>
          <w:sz w:val="24"/>
          <w:szCs w:val="22"/>
        </w:rPr>
        <w:t>, by uzyskać pomoc państwa w takiej wysokości, w jakiej otrzymują ją opiekunowie osób, których niepełnosprawność stwierdzono w</w:t>
      </w:r>
      <w:r w:rsidR="00D131FA" w:rsidRPr="00C3177E">
        <w:rPr>
          <w:sz w:val="24"/>
          <w:szCs w:val="22"/>
        </w:rPr>
        <w:t> </w:t>
      </w:r>
      <w:r w:rsidR="00A437CC" w:rsidRPr="00C3177E">
        <w:rPr>
          <w:sz w:val="24"/>
          <w:szCs w:val="22"/>
        </w:rPr>
        <w:t>dzieciństwie lub przy urodzeniu</w:t>
      </w:r>
      <w:r w:rsidRPr="00C3177E">
        <w:rPr>
          <w:sz w:val="24"/>
          <w:szCs w:val="22"/>
        </w:rPr>
        <w:t xml:space="preserve">. </w:t>
      </w:r>
    </w:p>
    <w:p w14:paraId="20A552A9" w14:textId="77777777" w:rsidR="004B314D" w:rsidRPr="00C3177E" w:rsidRDefault="004B314D" w:rsidP="00D131FA">
      <w:pPr>
        <w:pStyle w:val="Styl1"/>
        <w:rPr>
          <w:sz w:val="24"/>
          <w:szCs w:val="22"/>
        </w:rPr>
      </w:pPr>
      <w:r w:rsidRPr="00C3177E">
        <w:rPr>
          <w:sz w:val="24"/>
          <w:szCs w:val="22"/>
        </w:rPr>
        <w:t>Wciąż na niezadawalającym poziomie realizowane jest konstytucyjne prawo do ochrony zdrowia. Obywatele postrzegają system świadczeń zdrowotnych finansowanych ze środków publicznych jako zbiurokratyzowany, nieefektywny i</w:t>
      </w:r>
      <w:r w:rsidR="00D131FA" w:rsidRPr="00C3177E">
        <w:rPr>
          <w:sz w:val="24"/>
          <w:szCs w:val="22"/>
        </w:rPr>
        <w:t> </w:t>
      </w:r>
      <w:r w:rsidRPr="00C3177E">
        <w:rPr>
          <w:sz w:val="24"/>
          <w:szCs w:val="22"/>
        </w:rPr>
        <w:t xml:space="preserve">mało przyjazny pacjentom. </w:t>
      </w:r>
    </w:p>
    <w:p w14:paraId="0160CE40" w14:textId="77777777" w:rsidR="004B314D" w:rsidRPr="00C3177E" w:rsidRDefault="004B314D" w:rsidP="00D131FA">
      <w:pPr>
        <w:pStyle w:val="Styl1"/>
        <w:rPr>
          <w:sz w:val="24"/>
          <w:szCs w:val="22"/>
        </w:rPr>
      </w:pPr>
      <w:r w:rsidRPr="00C3177E">
        <w:rPr>
          <w:sz w:val="24"/>
          <w:szCs w:val="22"/>
        </w:rPr>
        <w:t xml:space="preserve">Zmienione zasady nabywania nieruchomości rolnych wprowadziły daleko idące ograniczenia w obrocie tymi nieruchomościami i są postrzegane jako naruszające konstytucyjne standardy ochrony prawa własności. </w:t>
      </w:r>
    </w:p>
    <w:p w14:paraId="79D53135" w14:textId="77777777" w:rsidR="004B314D" w:rsidRPr="00C3177E" w:rsidRDefault="004B314D" w:rsidP="00D131FA">
      <w:pPr>
        <w:pStyle w:val="Styl1"/>
        <w:rPr>
          <w:sz w:val="24"/>
          <w:szCs w:val="22"/>
        </w:rPr>
      </w:pPr>
      <w:r w:rsidRPr="00C3177E">
        <w:rPr>
          <w:sz w:val="24"/>
          <w:szCs w:val="22"/>
        </w:rPr>
        <w:lastRenderedPageBreak/>
        <w:t xml:space="preserve">W wielu ustawach została zakwestionowana ustrojowa zasada, że praca znajduje się pod ochroną Rzeczypospolitej Polskiej, jak również konstytucyjne prawo obywateli dostępu do służby publicznej na jednakowych zasadach. W ustawach regulujących funkcjonowanie sektora publicznego ustawodawca zdecydował się bowiem na powielanie regulacji przewidujących wygaśnięcie z mocy prawa stosunku pracy (stosunku służbowego), jeśli publiczny pracodawca nie zaproponował dotychczasowym pracownikom nowych warunków pracy (służby). </w:t>
      </w:r>
    </w:p>
    <w:p w14:paraId="02CDB4CC" w14:textId="77777777" w:rsidR="004B314D" w:rsidRPr="00C3177E" w:rsidRDefault="004B314D" w:rsidP="00D131FA">
      <w:pPr>
        <w:pStyle w:val="Styl1"/>
        <w:rPr>
          <w:sz w:val="24"/>
          <w:szCs w:val="22"/>
        </w:rPr>
      </w:pPr>
      <w:r w:rsidRPr="00C3177E">
        <w:rPr>
          <w:sz w:val="24"/>
          <w:szCs w:val="22"/>
        </w:rPr>
        <w:t>Są to tylko niektóre problemy systemowe, które ujawniły się w toku rozpatrywania przez Rzecznika Praw Obywatelskich wpływających skarg. Więcej na ten temat można znaleźć pod opisem stanu realizacji praw zawartych w</w:t>
      </w:r>
      <w:r w:rsidR="00D131FA" w:rsidRPr="00C3177E">
        <w:rPr>
          <w:sz w:val="24"/>
          <w:szCs w:val="22"/>
        </w:rPr>
        <w:t> </w:t>
      </w:r>
      <w:r w:rsidRPr="00C3177E">
        <w:rPr>
          <w:sz w:val="24"/>
          <w:szCs w:val="22"/>
        </w:rPr>
        <w:t>poszczególnych artykułach Konstytucji.</w:t>
      </w:r>
    </w:p>
    <w:p w14:paraId="289D9C66" w14:textId="77777777" w:rsidR="00A437CC" w:rsidRPr="00C3177E" w:rsidRDefault="004B314D" w:rsidP="00D131FA">
      <w:pPr>
        <w:pStyle w:val="Styl1"/>
        <w:rPr>
          <w:sz w:val="24"/>
          <w:szCs w:val="22"/>
        </w:rPr>
      </w:pPr>
      <w:r w:rsidRPr="00C3177E">
        <w:rPr>
          <w:sz w:val="24"/>
          <w:szCs w:val="22"/>
        </w:rPr>
        <w:t xml:space="preserve">I jeszcze jedna uwaga. </w:t>
      </w:r>
    </w:p>
    <w:p w14:paraId="4185C7EE" w14:textId="77777777" w:rsidR="004B314D" w:rsidRPr="00C3177E" w:rsidRDefault="004B314D" w:rsidP="00D131FA">
      <w:pPr>
        <w:pStyle w:val="Styl1"/>
        <w:rPr>
          <w:sz w:val="24"/>
          <w:szCs w:val="22"/>
        </w:rPr>
      </w:pPr>
      <w:r w:rsidRPr="00C3177E">
        <w:rPr>
          <w:sz w:val="24"/>
          <w:szCs w:val="22"/>
        </w:rPr>
        <w:t>Patrząc z perspektywy ostatnich lat nie można nie zauważyć, że w 2018 roku prawa polskich obywateli były obiektem szczególnego zainteresowania i oceny ze strony instytucji europejskich oraz unijnego wymiaru sprawiedliwości. Rozpoczął się proces kontroli praworządności, który sam w sobie – niezależnie od jego ostatecznego wyniku – stanowi dla polskich obywateli ważną informację: jesteśmy częścią wspólnoty, która z najwyższą powagą traktuje demokratyczne wartości i zasady państwa prawa.</w:t>
      </w:r>
    </w:p>
    <w:p w14:paraId="4453BBE5" w14:textId="77777777" w:rsidR="002F0C81" w:rsidRPr="00EC250C" w:rsidRDefault="002F0C81" w:rsidP="00D131FA">
      <w:pPr>
        <w:spacing w:after="200" w:line="24" w:lineRule="auto"/>
        <w:jc w:val="both"/>
        <w:rPr>
          <w:sz w:val="22"/>
          <w:szCs w:val="18"/>
        </w:rPr>
      </w:pPr>
      <w:r w:rsidRPr="00EC250C">
        <w:rPr>
          <w:sz w:val="22"/>
          <w:szCs w:val="18"/>
        </w:rPr>
        <w:br w:type="page"/>
      </w:r>
    </w:p>
    <w:p w14:paraId="5B5C1023" w14:textId="77777777" w:rsidR="005E5C78" w:rsidRPr="00EC250C" w:rsidRDefault="005E5C78" w:rsidP="00A46160">
      <w:pPr>
        <w:pStyle w:val="Spistreci3"/>
      </w:pPr>
      <w:bookmarkStart w:id="3" w:name="SPIS"/>
      <w:r w:rsidRPr="00EC250C">
        <w:lastRenderedPageBreak/>
        <w:t>SPIS TREŚCI</w:t>
      </w:r>
    </w:p>
    <w:bookmarkEnd w:id="3"/>
    <w:p w14:paraId="703AEAFE" w14:textId="21F6B34F" w:rsidR="00845591" w:rsidRPr="00EC250C" w:rsidRDefault="00623C35" w:rsidP="00A46160">
      <w:pPr>
        <w:pStyle w:val="Spistreci3"/>
        <w:rPr>
          <w:rFonts w:asciiTheme="minorHAnsi" w:eastAsiaTheme="minorEastAsia" w:hAnsiTheme="minorHAnsi" w:cstheme="minorBidi"/>
          <w:color w:val="auto"/>
          <w:sz w:val="20"/>
        </w:rPr>
      </w:pPr>
      <w:r w:rsidRPr="00EC250C">
        <w:fldChar w:fldCharType="begin"/>
      </w:r>
      <w:r w:rsidRPr="00EC250C">
        <w:instrText xml:space="preserve"> TOC \o "1-4" \h \z \u </w:instrText>
      </w:r>
      <w:r w:rsidRPr="00EC250C">
        <w:fldChar w:fldCharType="separate"/>
      </w:r>
      <w:hyperlink w:anchor="_Toc11247523" w:history="1">
        <w:r w:rsidR="00845591" w:rsidRPr="00EC250C">
          <w:rPr>
            <w:rStyle w:val="Hipercze"/>
          </w:rPr>
          <w:t>57 tysięcy ludzkich spraw</w:t>
        </w:r>
        <w:r w:rsidR="00845591" w:rsidRPr="00EC250C">
          <w:rPr>
            <w:webHidden/>
          </w:rPr>
          <w:tab/>
        </w:r>
        <w:r w:rsidR="00845591" w:rsidRPr="00EC250C">
          <w:rPr>
            <w:webHidden/>
          </w:rPr>
          <w:fldChar w:fldCharType="begin"/>
        </w:r>
        <w:r w:rsidR="00845591" w:rsidRPr="00EC250C">
          <w:rPr>
            <w:webHidden/>
          </w:rPr>
          <w:instrText xml:space="preserve"> PAGEREF _Toc11247523 \h </w:instrText>
        </w:r>
        <w:r w:rsidR="00845591" w:rsidRPr="00EC250C">
          <w:rPr>
            <w:webHidden/>
          </w:rPr>
        </w:r>
        <w:r w:rsidR="00845591" w:rsidRPr="00EC250C">
          <w:rPr>
            <w:webHidden/>
          </w:rPr>
          <w:fldChar w:fldCharType="separate"/>
        </w:r>
        <w:r w:rsidR="00744B2D">
          <w:rPr>
            <w:webHidden/>
          </w:rPr>
          <w:t>20</w:t>
        </w:r>
        <w:r w:rsidR="00845591" w:rsidRPr="00EC250C">
          <w:rPr>
            <w:webHidden/>
          </w:rPr>
          <w:fldChar w:fldCharType="end"/>
        </w:r>
      </w:hyperlink>
    </w:p>
    <w:p w14:paraId="1F561194" w14:textId="4681C3CA" w:rsidR="00845591" w:rsidRPr="001759D6" w:rsidRDefault="00744B2D" w:rsidP="001759D6">
      <w:pPr>
        <w:pStyle w:val="Spistreci1"/>
        <w:rPr>
          <w:rFonts w:asciiTheme="minorHAnsi" w:eastAsiaTheme="minorEastAsia" w:hAnsiTheme="minorHAnsi" w:cstheme="minorBidi"/>
          <w:sz w:val="20"/>
        </w:rPr>
      </w:pPr>
      <w:hyperlink w:anchor="_Toc11247524" w:history="1">
        <w:r w:rsidR="00845591" w:rsidRPr="001759D6">
          <w:rPr>
            <w:rStyle w:val="Hipercze"/>
          </w:rPr>
          <w:t>CZĘŚĆ I – Stan przestrzegania wolności i praw człowieka i obywatela</w:t>
        </w:r>
        <w:r w:rsidR="00845591" w:rsidRPr="001759D6">
          <w:rPr>
            <w:webHidden/>
          </w:rPr>
          <w:tab/>
        </w:r>
        <w:r w:rsidR="00845591" w:rsidRPr="001759D6">
          <w:rPr>
            <w:webHidden/>
          </w:rPr>
          <w:fldChar w:fldCharType="begin"/>
        </w:r>
        <w:r w:rsidR="00845591" w:rsidRPr="001759D6">
          <w:rPr>
            <w:webHidden/>
          </w:rPr>
          <w:instrText xml:space="preserve"> PAGEREF _Toc11247524 \h </w:instrText>
        </w:r>
        <w:r w:rsidR="00845591" w:rsidRPr="001759D6">
          <w:rPr>
            <w:webHidden/>
          </w:rPr>
        </w:r>
        <w:r w:rsidR="00845591" w:rsidRPr="001759D6">
          <w:rPr>
            <w:webHidden/>
          </w:rPr>
          <w:fldChar w:fldCharType="separate"/>
        </w:r>
        <w:r>
          <w:rPr>
            <w:webHidden/>
          </w:rPr>
          <w:t>27</w:t>
        </w:r>
        <w:r w:rsidR="00845591" w:rsidRPr="001759D6">
          <w:rPr>
            <w:webHidden/>
          </w:rPr>
          <w:fldChar w:fldCharType="end"/>
        </w:r>
      </w:hyperlink>
    </w:p>
    <w:p w14:paraId="43ED259E" w14:textId="0863412A" w:rsidR="00845591" w:rsidRPr="00EC250C" w:rsidRDefault="00744B2D">
      <w:pPr>
        <w:pStyle w:val="Spistreci2"/>
        <w:rPr>
          <w:rFonts w:asciiTheme="minorHAnsi" w:eastAsiaTheme="minorEastAsia" w:hAnsiTheme="minorHAnsi" w:cstheme="minorBidi"/>
          <w:b w:val="0"/>
          <w:spacing w:val="0"/>
          <w:sz w:val="20"/>
          <w:szCs w:val="20"/>
        </w:rPr>
      </w:pPr>
      <w:hyperlink w:anchor="_Toc11247525" w:history="1">
        <w:r w:rsidR="00845591" w:rsidRPr="00EC250C">
          <w:rPr>
            <w:rStyle w:val="Hipercze"/>
            <w:sz w:val="28"/>
            <w:szCs w:val="24"/>
          </w:rPr>
          <w:t>1. Zasady ogólne Konstytucji</w:t>
        </w:r>
        <w:r w:rsidR="00845591" w:rsidRPr="00EC250C">
          <w:rPr>
            <w:webHidden/>
            <w:sz w:val="28"/>
            <w:szCs w:val="24"/>
          </w:rPr>
          <w:tab/>
        </w:r>
        <w:r w:rsidR="00845591" w:rsidRPr="00EC250C">
          <w:rPr>
            <w:webHidden/>
            <w:sz w:val="28"/>
            <w:szCs w:val="24"/>
          </w:rPr>
          <w:fldChar w:fldCharType="begin"/>
        </w:r>
        <w:r w:rsidR="00845591" w:rsidRPr="00EC250C">
          <w:rPr>
            <w:webHidden/>
            <w:sz w:val="28"/>
            <w:szCs w:val="24"/>
          </w:rPr>
          <w:instrText xml:space="preserve"> PAGEREF _Toc11247525 \h </w:instrText>
        </w:r>
        <w:r w:rsidR="00845591" w:rsidRPr="00EC250C">
          <w:rPr>
            <w:webHidden/>
            <w:sz w:val="28"/>
            <w:szCs w:val="24"/>
          </w:rPr>
        </w:r>
        <w:r w:rsidR="00845591" w:rsidRPr="00EC250C">
          <w:rPr>
            <w:webHidden/>
            <w:sz w:val="28"/>
            <w:szCs w:val="24"/>
          </w:rPr>
          <w:fldChar w:fldCharType="separate"/>
        </w:r>
        <w:r>
          <w:rPr>
            <w:webHidden/>
            <w:sz w:val="28"/>
            <w:szCs w:val="24"/>
          </w:rPr>
          <w:t>27</w:t>
        </w:r>
        <w:r w:rsidR="00845591" w:rsidRPr="00EC250C">
          <w:rPr>
            <w:webHidden/>
            <w:sz w:val="28"/>
            <w:szCs w:val="24"/>
          </w:rPr>
          <w:fldChar w:fldCharType="end"/>
        </w:r>
      </w:hyperlink>
    </w:p>
    <w:p w14:paraId="7BC909D8" w14:textId="1EED8A20" w:rsidR="00845591" w:rsidRPr="00EC250C" w:rsidRDefault="00744B2D" w:rsidP="00A46160">
      <w:pPr>
        <w:pStyle w:val="Spistreci3"/>
        <w:rPr>
          <w:rFonts w:asciiTheme="minorHAnsi" w:eastAsiaTheme="minorEastAsia" w:hAnsiTheme="minorHAnsi" w:cstheme="minorBidi"/>
          <w:color w:val="auto"/>
          <w:sz w:val="20"/>
        </w:rPr>
      </w:pPr>
      <w:hyperlink w:anchor="_Toc11247526" w:history="1">
        <w:r w:rsidR="00845591" w:rsidRPr="00EC250C">
          <w:rPr>
            <w:rStyle w:val="Hipercze"/>
          </w:rPr>
          <w:t>Art. 30 Konstytucji – Godność osobista</w:t>
        </w:r>
        <w:r w:rsidR="00845591" w:rsidRPr="00EC250C">
          <w:rPr>
            <w:webHidden/>
          </w:rPr>
          <w:tab/>
        </w:r>
        <w:r w:rsidR="00845591" w:rsidRPr="00EC250C">
          <w:rPr>
            <w:webHidden/>
          </w:rPr>
          <w:fldChar w:fldCharType="begin"/>
        </w:r>
        <w:r w:rsidR="00845591" w:rsidRPr="00EC250C">
          <w:rPr>
            <w:webHidden/>
          </w:rPr>
          <w:instrText xml:space="preserve"> PAGEREF _Toc11247526 \h </w:instrText>
        </w:r>
        <w:r w:rsidR="00845591" w:rsidRPr="00EC250C">
          <w:rPr>
            <w:webHidden/>
          </w:rPr>
        </w:r>
        <w:r w:rsidR="00845591" w:rsidRPr="00EC250C">
          <w:rPr>
            <w:webHidden/>
          </w:rPr>
          <w:fldChar w:fldCharType="separate"/>
        </w:r>
        <w:r>
          <w:rPr>
            <w:webHidden/>
          </w:rPr>
          <w:t>27</w:t>
        </w:r>
        <w:r w:rsidR="00845591" w:rsidRPr="00EC250C">
          <w:rPr>
            <w:webHidden/>
          </w:rPr>
          <w:fldChar w:fldCharType="end"/>
        </w:r>
      </w:hyperlink>
    </w:p>
    <w:p w14:paraId="6A8B8F70" w14:textId="2A410ABC" w:rsidR="00845591" w:rsidRPr="00EC250C" w:rsidRDefault="00744B2D" w:rsidP="001759D6">
      <w:pPr>
        <w:pStyle w:val="Spistreci4"/>
        <w:rPr>
          <w:rFonts w:asciiTheme="minorHAnsi" w:eastAsiaTheme="minorEastAsia" w:hAnsiTheme="minorHAnsi" w:cstheme="minorBidi"/>
        </w:rPr>
      </w:pPr>
      <w:hyperlink w:anchor="_Toc11247527" w:history="1">
        <w:r w:rsidR="00845591" w:rsidRPr="00EC250C">
          <w:rPr>
            <w:rStyle w:val="Hipercze"/>
          </w:rPr>
          <w:t>Ubezwłasnowolnienie – pozbawianie praw zamiast wsparcia w podejmowaniu decyzji</w:t>
        </w:r>
        <w:r w:rsidR="00845591" w:rsidRPr="00EC250C">
          <w:rPr>
            <w:webHidden/>
          </w:rPr>
          <w:tab/>
        </w:r>
        <w:r w:rsidR="00845591" w:rsidRPr="00EC250C">
          <w:rPr>
            <w:webHidden/>
          </w:rPr>
          <w:fldChar w:fldCharType="begin"/>
        </w:r>
        <w:r w:rsidR="00845591" w:rsidRPr="00EC250C">
          <w:rPr>
            <w:webHidden/>
          </w:rPr>
          <w:instrText xml:space="preserve"> PAGEREF _Toc11247527 \h </w:instrText>
        </w:r>
        <w:r w:rsidR="00845591" w:rsidRPr="00EC250C">
          <w:rPr>
            <w:webHidden/>
          </w:rPr>
        </w:r>
        <w:r w:rsidR="00845591" w:rsidRPr="00EC250C">
          <w:rPr>
            <w:webHidden/>
          </w:rPr>
          <w:fldChar w:fldCharType="separate"/>
        </w:r>
        <w:r>
          <w:rPr>
            <w:webHidden/>
          </w:rPr>
          <w:t>28</w:t>
        </w:r>
        <w:r w:rsidR="00845591" w:rsidRPr="00EC250C">
          <w:rPr>
            <w:webHidden/>
          </w:rPr>
          <w:fldChar w:fldCharType="end"/>
        </w:r>
      </w:hyperlink>
    </w:p>
    <w:p w14:paraId="070AB227" w14:textId="3516F1FF" w:rsidR="00845591" w:rsidRPr="00EC250C" w:rsidRDefault="00744B2D" w:rsidP="001759D6">
      <w:pPr>
        <w:pStyle w:val="Spistreci4"/>
        <w:rPr>
          <w:rFonts w:asciiTheme="minorHAnsi" w:eastAsiaTheme="minorEastAsia" w:hAnsiTheme="minorHAnsi" w:cstheme="minorBidi"/>
        </w:rPr>
      </w:pPr>
      <w:hyperlink w:anchor="_Toc11247528" w:history="1">
        <w:r w:rsidR="00845591" w:rsidRPr="00EC250C">
          <w:rPr>
            <w:rStyle w:val="Hipercze"/>
          </w:rPr>
          <w:t>Kłopoty w dostępie do publicznej opieki zdrowotnej dla osób bez dochodu lub w kryzysie bezdomności</w:t>
        </w:r>
        <w:r w:rsidR="00EC250C">
          <w:rPr>
            <w:webHidden/>
          </w:rPr>
          <w:tab/>
        </w:r>
        <w:r w:rsidR="00845591" w:rsidRPr="00EC250C">
          <w:rPr>
            <w:webHidden/>
          </w:rPr>
          <w:fldChar w:fldCharType="begin"/>
        </w:r>
        <w:r w:rsidR="00845591" w:rsidRPr="00EC250C">
          <w:rPr>
            <w:webHidden/>
          </w:rPr>
          <w:instrText xml:space="preserve"> PAGEREF _Toc11247528 \h </w:instrText>
        </w:r>
        <w:r w:rsidR="00845591" w:rsidRPr="00EC250C">
          <w:rPr>
            <w:webHidden/>
          </w:rPr>
        </w:r>
        <w:r w:rsidR="00845591" w:rsidRPr="00EC250C">
          <w:rPr>
            <w:webHidden/>
          </w:rPr>
          <w:fldChar w:fldCharType="separate"/>
        </w:r>
        <w:r>
          <w:rPr>
            <w:webHidden/>
          </w:rPr>
          <w:t>29</w:t>
        </w:r>
        <w:r w:rsidR="00845591" w:rsidRPr="00EC250C">
          <w:rPr>
            <w:webHidden/>
          </w:rPr>
          <w:fldChar w:fldCharType="end"/>
        </w:r>
      </w:hyperlink>
    </w:p>
    <w:p w14:paraId="40613C50" w14:textId="7AB7D422" w:rsidR="00845591" w:rsidRPr="00EC250C" w:rsidRDefault="00744B2D" w:rsidP="001759D6">
      <w:pPr>
        <w:pStyle w:val="Spistreci4"/>
        <w:rPr>
          <w:rFonts w:asciiTheme="minorHAnsi" w:eastAsiaTheme="minorEastAsia" w:hAnsiTheme="minorHAnsi" w:cstheme="minorBidi"/>
        </w:rPr>
      </w:pPr>
      <w:hyperlink w:anchor="_Toc11247529" w:history="1">
        <w:r w:rsidR="00845591" w:rsidRPr="00EC250C">
          <w:rPr>
            <w:rStyle w:val="Hipercze"/>
          </w:rPr>
          <w:t>Naruszone prawo do godnego pochówku osoby bezdomnej</w:t>
        </w:r>
        <w:r w:rsidR="00845591" w:rsidRPr="00EC250C">
          <w:rPr>
            <w:webHidden/>
          </w:rPr>
          <w:tab/>
        </w:r>
        <w:r w:rsidR="00845591" w:rsidRPr="00EC250C">
          <w:rPr>
            <w:webHidden/>
          </w:rPr>
          <w:fldChar w:fldCharType="begin"/>
        </w:r>
        <w:r w:rsidR="00845591" w:rsidRPr="00EC250C">
          <w:rPr>
            <w:webHidden/>
          </w:rPr>
          <w:instrText xml:space="preserve"> PAGEREF _Toc11247529 \h </w:instrText>
        </w:r>
        <w:r w:rsidR="00845591" w:rsidRPr="00EC250C">
          <w:rPr>
            <w:webHidden/>
          </w:rPr>
        </w:r>
        <w:r w:rsidR="00845591" w:rsidRPr="00EC250C">
          <w:rPr>
            <w:webHidden/>
          </w:rPr>
          <w:fldChar w:fldCharType="separate"/>
        </w:r>
        <w:r>
          <w:rPr>
            <w:webHidden/>
          </w:rPr>
          <w:t>29</w:t>
        </w:r>
        <w:r w:rsidR="00845591" w:rsidRPr="00EC250C">
          <w:rPr>
            <w:webHidden/>
          </w:rPr>
          <w:fldChar w:fldCharType="end"/>
        </w:r>
      </w:hyperlink>
    </w:p>
    <w:p w14:paraId="6D53A11A" w14:textId="5D049201" w:rsidR="00845591" w:rsidRPr="00EC250C" w:rsidRDefault="00744B2D" w:rsidP="001759D6">
      <w:pPr>
        <w:pStyle w:val="Spistreci4"/>
        <w:rPr>
          <w:rFonts w:asciiTheme="minorHAnsi" w:eastAsiaTheme="minorEastAsia" w:hAnsiTheme="minorHAnsi" w:cstheme="minorBidi"/>
        </w:rPr>
      </w:pPr>
      <w:hyperlink w:anchor="_Toc11247530" w:history="1">
        <w:r w:rsidR="00845591" w:rsidRPr="00EC250C">
          <w:rPr>
            <w:rStyle w:val="Hipercze"/>
          </w:rPr>
          <w:t>Niegodne traktowanie w komunikacji publicznej</w:t>
        </w:r>
        <w:r w:rsidR="00845591" w:rsidRPr="00EC250C">
          <w:rPr>
            <w:webHidden/>
          </w:rPr>
          <w:tab/>
        </w:r>
        <w:r w:rsidR="00845591" w:rsidRPr="00EC250C">
          <w:rPr>
            <w:webHidden/>
          </w:rPr>
          <w:fldChar w:fldCharType="begin"/>
        </w:r>
        <w:r w:rsidR="00845591" w:rsidRPr="00EC250C">
          <w:rPr>
            <w:webHidden/>
          </w:rPr>
          <w:instrText xml:space="preserve"> PAGEREF _Toc11247530 \h </w:instrText>
        </w:r>
        <w:r w:rsidR="00845591" w:rsidRPr="00EC250C">
          <w:rPr>
            <w:webHidden/>
          </w:rPr>
        </w:r>
        <w:r w:rsidR="00845591" w:rsidRPr="00EC250C">
          <w:rPr>
            <w:webHidden/>
          </w:rPr>
          <w:fldChar w:fldCharType="separate"/>
        </w:r>
        <w:r>
          <w:rPr>
            <w:webHidden/>
          </w:rPr>
          <w:t>29</w:t>
        </w:r>
        <w:r w:rsidR="00845591" w:rsidRPr="00EC250C">
          <w:rPr>
            <w:webHidden/>
          </w:rPr>
          <w:fldChar w:fldCharType="end"/>
        </w:r>
      </w:hyperlink>
    </w:p>
    <w:p w14:paraId="3C584CB2" w14:textId="37335044" w:rsidR="00845591" w:rsidRPr="00EC250C" w:rsidRDefault="00744B2D" w:rsidP="001759D6">
      <w:pPr>
        <w:pStyle w:val="Spistreci4"/>
        <w:rPr>
          <w:rFonts w:asciiTheme="minorHAnsi" w:eastAsiaTheme="minorEastAsia" w:hAnsiTheme="minorHAnsi" w:cstheme="minorBidi"/>
        </w:rPr>
      </w:pPr>
      <w:hyperlink w:anchor="_Toc11247531" w:history="1">
        <w:r w:rsidR="00845591" w:rsidRPr="00EC250C">
          <w:rPr>
            <w:rStyle w:val="Hipercze"/>
          </w:rPr>
          <w:t>Możliwość pozbawienia przedsiębiorcy z jednoosobową działalnością gospodarczą środków do życia – Konstytucja dla biznesu</w:t>
        </w:r>
        <w:r w:rsidR="00845591" w:rsidRPr="00EC250C">
          <w:rPr>
            <w:webHidden/>
          </w:rPr>
          <w:tab/>
        </w:r>
        <w:r w:rsidR="00C3177E">
          <w:rPr>
            <w:webHidden/>
          </w:rPr>
          <w:tab/>
        </w:r>
        <w:r w:rsidR="00845591" w:rsidRPr="00EC250C">
          <w:rPr>
            <w:webHidden/>
          </w:rPr>
          <w:fldChar w:fldCharType="begin"/>
        </w:r>
        <w:r w:rsidR="00845591" w:rsidRPr="00EC250C">
          <w:rPr>
            <w:webHidden/>
          </w:rPr>
          <w:instrText xml:space="preserve"> PAGEREF _Toc11247531 \h </w:instrText>
        </w:r>
        <w:r w:rsidR="00845591" w:rsidRPr="00EC250C">
          <w:rPr>
            <w:webHidden/>
          </w:rPr>
        </w:r>
        <w:r w:rsidR="00845591" w:rsidRPr="00EC250C">
          <w:rPr>
            <w:webHidden/>
          </w:rPr>
          <w:fldChar w:fldCharType="separate"/>
        </w:r>
        <w:r>
          <w:rPr>
            <w:webHidden/>
          </w:rPr>
          <w:t>30</w:t>
        </w:r>
        <w:r w:rsidR="00845591" w:rsidRPr="00EC250C">
          <w:rPr>
            <w:webHidden/>
          </w:rPr>
          <w:fldChar w:fldCharType="end"/>
        </w:r>
      </w:hyperlink>
    </w:p>
    <w:p w14:paraId="22831205" w14:textId="44A43735" w:rsidR="00845591" w:rsidRPr="00EC250C" w:rsidRDefault="00744B2D" w:rsidP="00A46160">
      <w:pPr>
        <w:pStyle w:val="Spistreci3"/>
        <w:rPr>
          <w:rFonts w:asciiTheme="minorHAnsi" w:eastAsiaTheme="minorEastAsia" w:hAnsiTheme="minorHAnsi" w:cstheme="minorBidi"/>
          <w:color w:val="auto"/>
          <w:sz w:val="20"/>
        </w:rPr>
      </w:pPr>
      <w:hyperlink w:anchor="_Toc11247532" w:history="1">
        <w:r w:rsidR="00845591" w:rsidRPr="00EC250C">
          <w:rPr>
            <w:rStyle w:val="Hipercze"/>
          </w:rPr>
          <w:t>Art. 31 Konstytucji – Wolność i dopuszczalne ograniczenia. Zasada proporcjonalności</w:t>
        </w:r>
        <w:r w:rsidR="00845591" w:rsidRPr="00EC250C">
          <w:rPr>
            <w:webHidden/>
          </w:rPr>
          <w:tab/>
        </w:r>
        <w:r w:rsidR="00845591" w:rsidRPr="00EC250C">
          <w:rPr>
            <w:webHidden/>
          </w:rPr>
          <w:fldChar w:fldCharType="begin"/>
        </w:r>
        <w:r w:rsidR="00845591" w:rsidRPr="00EC250C">
          <w:rPr>
            <w:webHidden/>
          </w:rPr>
          <w:instrText xml:space="preserve"> PAGEREF _Toc11247532 \h </w:instrText>
        </w:r>
        <w:r w:rsidR="00845591" w:rsidRPr="00EC250C">
          <w:rPr>
            <w:webHidden/>
          </w:rPr>
        </w:r>
        <w:r w:rsidR="00845591" w:rsidRPr="00EC250C">
          <w:rPr>
            <w:webHidden/>
          </w:rPr>
          <w:fldChar w:fldCharType="separate"/>
        </w:r>
        <w:r>
          <w:rPr>
            <w:webHidden/>
          </w:rPr>
          <w:t>31</w:t>
        </w:r>
        <w:r w:rsidR="00845591" w:rsidRPr="00EC250C">
          <w:rPr>
            <w:webHidden/>
          </w:rPr>
          <w:fldChar w:fldCharType="end"/>
        </w:r>
      </w:hyperlink>
    </w:p>
    <w:p w14:paraId="19571CFD" w14:textId="30F727A7" w:rsidR="00845591" w:rsidRPr="00EC250C" w:rsidRDefault="00744B2D" w:rsidP="001759D6">
      <w:pPr>
        <w:pStyle w:val="Spistreci4"/>
        <w:rPr>
          <w:rFonts w:asciiTheme="minorHAnsi" w:eastAsiaTheme="minorEastAsia" w:hAnsiTheme="minorHAnsi" w:cstheme="minorBidi"/>
        </w:rPr>
      </w:pPr>
      <w:hyperlink w:anchor="_Toc11247533" w:history="1">
        <w:r w:rsidR="00845591" w:rsidRPr="00EC250C">
          <w:rPr>
            <w:rStyle w:val="Hipercze"/>
          </w:rPr>
          <w:t>Odbieranie wolności mieszkańcom domów pomocy społecznej</w:t>
        </w:r>
        <w:r w:rsidR="00845591" w:rsidRPr="00EC250C">
          <w:rPr>
            <w:webHidden/>
          </w:rPr>
          <w:tab/>
        </w:r>
        <w:r w:rsidR="00845591" w:rsidRPr="00EC250C">
          <w:rPr>
            <w:webHidden/>
          </w:rPr>
          <w:fldChar w:fldCharType="begin"/>
        </w:r>
        <w:r w:rsidR="00845591" w:rsidRPr="00EC250C">
          <w:rPr>
            <w:webHidden/>
          </w:rPr>
          <w:instrText xml:space="preserve"> PAGEREF _Toc11247533 \h </w:instrText>
        </w:r>
        <w:r w:rsidR="00845591" w:rsidRPr="00EC250C">
          <w:rPr>
            <w:webHidden/>
          </w:rPr>
        </w:r>
        <w:r w:rsidR="00845591" w:rsidRPr="00EC250C">
          <w:rPr>
            <w:webHidden/>
          </w:rPr>
          <w:fldChar w:fldCharType="separate"/>
        </w:r>
        <w:r>
          <w:rPr>
            <w:webHidden/>
          </w:rPr>
          <w:t>32</w:t>
        </w:r>
        <w:r w:rsidR="00845591" w:rsidRPr="00EC250C">
          <w:rPr>
            <w:webHidden/>
          </w:rPr>
          <w:fldChar w:fldCharType="end"/>
        </w:r>
      </w:hyperlink>
    </w:p>
    <w:p w14:paraId="3DFFE137" w14:textId="180CE225" w:rsidR="00845591" w:rsidRPr="00EC250C" w:rsidRDefault="00744B2D" w:rsidP="001759D6">
      <w:pPr>
        <w:pStyle w:val="Spistreci4"/>
        <w:rPr>
          <w:rFonts w:asciiTheme="minorHAnsi" w:eastAsiaTheme="minorEastAsia" w:hAnsiTheme="minorHAnsi" w:cstheme="minorBidi"/>
        </w:rPr>
      </w:pPr>
      <w:hyperlink w:anchor="_Toc11247534" w:history="1">
        <w:r w:rsidR="00845591" w:rsidRPr="00EC250C">
          <w:rPr>
            <w:rStyle w:val="Hipercze"/>
          </w:rPr>
          <w:t>Jak osoba, która korzysta z pełni praw, ale nie może podpisać dokumentów, ma zostać przyjęta do zakładu opiekuńczo-leczniczego?</w:t>
        </w:r>
        <w:r w:rsidR="00845591" w:rsidRPr="00EC250C">
          <w:rPr>
            <w:webHidden/>
          </w:rPr>
          <w:tab/>
        </w:r>
        <w:r w:rsidR="00845591" w:rsidRPr="00EC250C">
          <w:rPr>
            <w:webHidden/>
          </w:rPr>
          <w:fldChar w:fldCharType="begin"/>
        </w:r>
        <w:r w:rsidR="00845591" w:rsidRPr="00EC250C">
          <w:rPr>
            <w:webHidden/>
          </w:rPr>
          <w:instrText xml:space="preserve"> PAGEREF _Toc11247534 \h </w:instrText>
        </w:r>
        <w:r w:rsidR="00845591" w:rsidRPr="00EC250C">
          <w:rPr>
            <w:webHidden/>
          </w:rPr>
        </w:r>
        <w:r w:rsidR="00845591" w:rsidRPr="00EC250C">
          <w:rPr>
            <w:webHidden/>
          </w:rPr>
          <w:fldChar w:fldCharType="separate"/>
        </w:r>
        <w:r>
          <w:rPr>
            <w:webHidden/>
          </w:rPr>
          <w:t>33</w:t>
        </w:r>
        <w:r w:rsidR="00845591" w:rsidRPr="00EC250C">
          <w:rPr>
            <w:webHidden/>
          </w:rPr>
          <w:fldChar w:fldCharType="end"/>
        </w:r>
      </w:hyperlink>
    </w:p>
    <w:p w14:paraId="1C6FC383" w14:textId="2BA82244" w:rsidR="00845591" w:rsidRPr="00EC250C" w:rsidRDefault="00744B2D" w:rsidP="001759D6">
      <w:pPr>
        <w:pStyle w:val="Spistreci4"/>
        <w:rPr>
          <w:rFonts w:asciiTheme="minorHAnsi" w:eastAsiaTheme="minorEastAsia" w:hAnsiTheme="minorHAnsi" w:cstheme="minorBidi"/>
        </w:rPr>
      </w:pPr>
      <w:hyperlink w:anchor="_Toc11247535" w:history="1">
        <w:r w:rsidR="00845591" w:rsidRPr="00EC250C">
          <w:rPr>
            <w:rStyle w:val="Hipercze"/>
          </w:rPr>
          <w:t>Kto i na jakiej podstawie ma decydować o tym, komu wolno wejść na stadion?</w:t>
        </w:r>
        <w:r w:rsidR="00845591" w:rsidRPr="00EC250C">
          <w:rPr>
            <w:webHidden/>
          </w:rPr>
          <w:tab/>
        </w:r>
        <w:r w:rsidR="00845591" w:rsidRPr="00EC250C">
          <w:rPr>
            <w:webHidden/>
          </w:rPr>
          <w:fldChar w:fldCharType="begin"/>
        </w:r>
        <w:r w:rsidR="00845591" w:rsidRPr="00EC250C">
          <w:rPr>
            <w:webHidden/>
          </w:rPr>
          <w:instrText xml:space="preserve"> PAGEREF _Toc11247535 \h </w:instrText>
        </w:r>
        <w:r w:rsidR="00845591" w:rsidRPr="00EC250C">
          <w:rPr>
            <w:webHidden/>
          </w:rPr>
        </w:r>
        <w:r w:rsidR="00845591" w:rsidRPr="00EC250C">
          <w:rPr>
            <w:webHidden/>
          </w:rPr>
          <w:fldChar w:fldCharType="separate"/>
        </w:r>
        <w:r>
          <w:rPr>
            <w:webHidden/>
          </w:rPr>
          <w:t>33</w:t>
        </w:r>
        <w:r w:rsidR="00845591" w:rsidRPr="00EC250C">
          <w:rPr>
            <w:webHidden/>
          </w:rPr>
          <w:fldChar w:fldCharType="end"/>
        </w:r>
      </w:hyperlink>
    </w:p>
    <w:p w14:paraId="06AC4BD7" w14:textId="20C62073" w:rsidR="00845591" w:rsidRPr="00EC250C" w:rsidRDefault="00744B2D" w:rsidP="00A46160">
      <w:pPr>
        <w:pStyle w:val="Spistreci3"/>
        <w:rPr>
          <w:rFonts w:asciiTheme="minorHAnsi" w:eastAsiaTheme="minorEastAsia" w:hAnsiTheme="minorHAnsi" w:cstheme="minorBidi"/>
          <w:color w:val="auto"/>
          <w:sz w:val="20"/>
        </w:rPr>
      </w:pPr>
      <w:hyperlink w:anchor="_Toc11247536" w:history="1">
        <w:r w:rsidR="00845591" w:rsidRPr="00EC250C">
          <w:rPr>
            <w:rStyle w:val="Hipercze"/>
          </w:rPr>
          <w:t>Art. 32 Konstytucji ust. 1 – Równość wobec prawa oraz równe traktowanie</w:t>
        </w:r>
        <w:r w:rsidR="00845591" w:rsidRPr="00EC250C">
          <w:rPr>
            <w:webHidden/>
          </w:rPr>
          <w:tab/>
        </w:r>
        <w:r w:rsidR="00845591" w:rsidRPr="00EC250C">
          <w:rPr>
            <w:webHidden/>
          </w:rPr>
          <w:fldChar w:fldCharType="begin"/>
        </w:r>
        <w:r w:rsidR="00845591" w:rsidRPr="00EC250C">
          <w:rPr>
            <w:webHidden/>
          </w:rPr>
          <w:instrText xml:space="preserve"> PAGEREF _Toc11247536 \h </w:instrText>
        </w:r>
        <w:r w:rsidR="00845591" w:rsidRPr="00EC250C">
          <w:rPr>
            <w:webHidden/>
          </w:rPr>
        </w:r>
        <w:r w:rsidR="00845591" w:rsidRPr="00EC250C">
          <w:rPr>
            <w:webHidden/>
          </w:rPr>
          <w:fldChar w:fldCharType="separate"/>
        </w:r>
        <w:r>
          <w:rPr>
            <w:webHidden/>
          </w:rPr>
          <w:t>34</w:t>
        </w:r>
        <w:r w:rsidR="00845591" w:rsidRPr="00EC250C">
          <w:rPr>
            <w:webHidden/>
          </w:rPr>
          <w:fldChar w:fldCharType="end"/>
        </w:r>
      </w:hyperlink>
    </w:p>
    <w:p w14:paraId="1AE62304" w14:textId="4C28CE09" w:rsidR="00845591" w:rsidRPr="00EC250C" w:rsidRDefault="00744B2D" w:rsidP="001759D6">
      <w:pPr>
        <w:pStyle w:val="Spistreci4"/>
        <w:rPr>
          <w:rFonts w:asciiTheme="minorHAnsi" w:eastAsiaTheme="minorEastAsia" w:hAnsiTheme="minorHAnsi" w:cstheme="minorBidi"/>
        </w:rPr>
      </w:pPr>
      <w:hyperlink w:anchor="_Toc11247537" w:history="1">
        <w:r w:rsidR="00845591" w:rsidRPr="00EC250C">
          <w:rPr>
            <w:rStyle w:val="Hipercze"/>
          </w:rPr>
          <w:t>Naruszone prawa opiekunów dorosłych osób z niepełnosprawnościami</w:t>
        </w:r>
        <w:r w:rsidR="00845591" w:rsidRPr="00EC250C">
          <w:rPr>
            <w:webHidden/>
          </w:rPr>
          <w:tab/>
        </w:r>
        <w:r w:rsidR="00845591" w:rsidRPr="00EC250C">
          <w:rPr>
            <w:webHidden/>
          </w:rPr>
          <w:fldChar w:fldCharType="begin"/>
        </w:r>
        <w:r w:rsidR="00845591" w:rsidRPr="00EC250C">
          <w:rPr>
            <w:webHidden/>
          </w:rPr>
          <w:instrText xml:space="preserve"> PAGEREF _Toc11247537 \h </w:instrText>
        </w:r>
        <w:r w:rsidR="00845591" w:rsidRPr="00EC250C">
          <w:rPr>
            <w:webHidden/>
          </w:rPr>
        </w:r>
        <w:r w:rsidR="00845591" w:rsidRPr="00EC250C">
          <w:rPr>
            <w:webHidden/>
          </w:rPr>
          <w:fldChar w:fldCharType="separate"/>
        </w:r>
        <w:r>
          <w:rPr>
            <w:webHidden/>
          </w:rPr>
          <w:t>35</w:t>
        </w:r>
        <w:r w:rsidR="00845591" w:rsidRPr="00EC250C">
          <w:rPr>
            <w:webHidden/>
          </w:rPr>
          <w:fldChar w:fldCharType="end"/>
        </w:r>
      </w:hyperlink>
    </w:p>
    <w:p w14:paraId="09DA14DE" w14:textId="2C552188" w:rsidR="00845591" w:rsidRPr="00EC250C" w:rsidRDefault="00744B2D" w:rsidP="001759D6">
      <w:pPr>
        <w:pStyle w:val="Spistreci4"/>
        <w:rPr>
          <w:rFonts w:asciiTheme="minorHAnsi" w:eastAsiaTheme="minorEastAsia" w:hAnsiTheme="minorHAnsi" w:cstheme="minorBidi"/>
        </w:rPr>
      </w:pPr>
      <w:hyperlink w:anchor="_Toc11247538" w:history="1">
        <w:r w:rsidR="00845591" w:rsidRPr="00EC250C">
          <w:rPr>
            <w:rStyle w:val="Hipercze"/>
          </w:rPr>
          <w:t>Wygasająca renta po ciężkim wypadku – bo leczenie było kosztowne, a suma gwarancyjna niska</w:t>
        </w:r>
        <w:r w:rsidR="00845591" w:rsidRPr="00EC250C">
          <w:rPr>
            <w:webHidden/>
          </w:rPr>
          <w:tab/>
        </w:r>
        <w:r w:rsidR="00845591" w:rsidRPr="00EC250C">
          <w:rPr>
            <w:webHidden/>
          </w:rPr>
          <w:fldChar w:fldCharType="begin"/>
        </w:r>
        <w:r w:rsidR="00845591" w:rsidRPr="00EC250C">
          <w:rPr>
            <w:webHidden/>
          </w:rPr>
          <w:instrText xml:space="preserve"> PAGEREF _Toc11247538 \h </w:instrText>
        </w:r>
        <w:r w:rsidR="00845591" w:rsidRPr="00EC250C">
          <w:rPr>
            <w:webHidden/>
          </w:rPr>
        </w:r>
        <w:r w:rsidR="00845591" w:rsidRPr="00EC250C">
          <w:rPr>
            <w:webHidden/>
          </w:rPr>
          <w:fldChar w:fldCharType="separate"/>
        </w:r>
        <w:r>
          <w:rPr>
            <w:webHidden/>
          </w:rPr>
          <w:t>37</w:t>
        </w:r>
        <w:r w:rsidR="00845591" w:rsidRPr="00EC250C">
          <w:rPr>
            <w:webHidden/>
          </w:rPr>
          <w:fldChar w:fldCharType="end"/>
        </w:r>
      </w:hyperlink>
    </w:p>
    <w:p w14:paraId="0E5F35E9" w14:textId="284786CA" w:rsidR="00845591" w:rsidRPr="00EC250C" w:rsidRDefault="00744B2D" w:rsidP="001759D6">
      <w:pPr>
        <w:pStyle w:val="Spistreci4"/>
        <w:rPr>
          <w:rFonts w:asciiTheme="minorHAnsi" w:eastAsiaTheme="minorEastAsia" w:hAnsiTheme="minorHAnsi" w:cstheme="minorBidi"/>
        </w:rPr>
      </w:pPr>
      <w:hyperlink w:anchor="_Toc11247539" w:history="1">
        <w:r w:rsidR="00845591" w:rsidRPr="00EC250C">
          <w:rPr>
            <w:rStyle w:val="Hipercze"/>
          </w:rPr>
          <w:t>Nierówne traktowanie osób starszych</w:t>
        </w:r>
        <w:r w:rsidR="00845591" w:rsidRPr="00EC250C">
          <w:rPr>
            <w:webHidden/>
          </w:rPr>
          <w:tab/>
        </w:r>
        <w:r w:rsidR="00845591" w:rsidRPr="00EC250C">
          <w:rPr>
            <w:webHidden/>
          </w:rPr>
          <w:fldChar w:fldCharType="begin"/>
        </w:r>
        <w:r w:rsidR="00845591" w:rsidRPr="00EC250C">
          <w:rPr>
            <w:webHidden/>
          </w:rPr>
          <w:instrText xml:space="preserve"> PAGEREF _Toc11247539 \h </w:instrText>
        </w:r>
        <w:r w:rsidR="00845591" w:rsidRPr="00EC250C">
          <w:rPr>
            <w:webHidden/>
          </w:rPr>
        </w:r>
        <w:r w:rsidR="00845591" w:rsidRPr="00EC250C">
          <w:rPr>
            <w:webHidden/>
          </w:rPr>
          <w:fldChar w:fldCharType="separate"/>
        </w:r>
        <w:r>
          <w:rPr>
            <w:webHidden/>
          </w:rPr>
          <w:t>38</w:t>
        </w:r>
        <w:r w:rsidR="00845591" w:rsidRPr="00EC250C">
          <w:rPr>
            <w:webHidden/>
          </w:rPr>
          <w:fldChar w:fldCharType="end"/>
        </w:r>
      </w:hyperlink>
    </w:p>
    <w:p w14:paraId="75A3D407" w14:textId="46DD677C" w:rsidR="00845591" w:rsidRPr="00EC250C" w:rsidRDefault="00744B2D" w:rsidP="001759D6">
      <w:pPr>
        <w:pStyle w:val="Spistreci4"/>
        <w:rPr>
          <w:rFonts w:asciiTheme="minorHAnsi" w:eastAsiaTheme="minorEastAsia" w:hAnsiTheme="minorHAnsi" w:cstheme="minorBidi"/>
        </w:rPr>
      </w:pPr>
      <w:hyperlink w:anchor="_Toc11247540" w:history="1">
        <w:r w:rsidR="00845591" w:rsidRPr="00EC250C">
          <w:rPr>
            <w:rStyle w:val="Hipercze"/>
          </w:rPr>
          <w:t>Niesprawiedliwe traktowanie osób niepoczytalnych w postępowaniu karnym</w:t>
        </w:r>
        <w:r w:rsidR="00845591" w:rsidRPr="00EC250C">
          <w:rPr>
            <w:webHidden/>
          </w:rPr>
          <w:tab/>
        </w:r>
        <w:r w:rsidR="00845591" w:rsidRPr="00EC250C">
          <w:rPr>
            <w:webHidden/>
          </w:rPr>
          <w:fldChar w:fldCharType="begin"/>
        </w:r>
        <w:r w:rsidR="00845591" w:rsidRPr="00EC250C">
          <w:rPr>
            <w:webHidden/>
          </w:rPr>
          <w:instrText xml:space="preserve"> PAGEREF _Toc11247540 \h </w:instrText>
        </w:r>
        <w:r w:rsidR="00845591" w:rsidRPr="00EC250C">
          <w:rPr>
            <w:webHidden/>
          </w:rPr>
        </w:r>
        <w:r w:rsidR="00845591" w:rsidRPr="00EC250C">
          <w:rPr>
            <w:webHidden/>
          </w:rPr>
          <w:fldChar w:fldCharType="separate"/>
        </w:r>
        <w:r>
          <w:rPr>
            <w:webHidden/>
          </w:rPr>
          <w:t>38</w:t>
        </w:r>
        <w:r w:rsidR="00845591" w:rsidRPr="00EC250C">
          <w:rPr>
            <w:webHidden/>
          </w:rPr>
          <w:fldChar w:fldCharType="end"/>
        </w:r>
      </w:hyperlink>
    </w:p>
    <w:p w14:paraId="290A0D13" w14:textId="11F6E954" w:rsidR="00845591" w:rsidRPr="00EC250C" w:rsidRDefault="00744B2D" w:rsidP="001759D6">
      <w:pPr>
        <w:pStyle w:val="Spistreci4"/>
        <w:rPr>
          <w:rFonts w:asciiTheme="minorHAnsi" w:eastAsiaTheme="minorEastAsia" w:hAnsiTheme="minorHAnsi" w:cstheme="minorBidi"/>
        </w:rPr>
      </w:pPr>
      <w:hyperlink w:anchor="_Toc11247541" w:history="1">
        <w:r w:rsidR="00845591" w:rsidRPr="00EC250C">
          <w:rPr>
            <w:rStyle w:val="Hipercze"/>
          </w:rPr>
          <w:t>Problematyczne zasady orzekania kary łącznej</w:t>
        </w:r>
        <w:r w:rsidR="00845591" w:rsidRPr="00EC250C">
          <w:rPr>
            <w:webHidden/>
          </w:rPr>
          <w:tab/>
        </w:r>
        <w:r w:rsidR="00845591" w:rsidRPr="00EC250C">
          <w:rPr>
            <w:webHidden/>
          </w:rPr>
          <w:fldChar w:fldCharType="begin"/>
        </w:r>
        <w:r w:rsidR="00845591" w:rsidRPr="00EC250C">
          <w:rPr>
            <w:webHidden/>
          </w:rPr>
          <w:instrText xml:space="preserve"> PAGEREF _Toc11247541 \h </w:instrText>
        </w:r>
        <w:r w:rsidR="00845591" w:rsidRPr="00EC250C">
          <w:rPr>
            <w:webHidden/>
          </w:rPr>
        </w:r>
        <w:r w:rsidR="00845591" w:rsidRPr="00EC250C">
          <w:rPr>
            <w:webHidden/>
          </w:rPr>
          <w:fldChar w:fldCharType="separate"/>
        </w:r>
        <w:r>
          <w:rPr>
            <w:webHidden/>
          </w:rPr>
          <w:t>39</w:t>
        </w:r>
        <w:r w:rsidR="00845591" w:rsidRPr="00EC250C">
          <w:rPr>
            <w:webHidden/>
          </w:rPr>
          <w:fldChar w:fldCharType="end"/>
        </w:r>
      </w:hyperlink>
    </w:p>
    <w:p w14:paraId="01A4678D" w14:textId="72E337DF" w:rsidR="00845591" w:rsidRPr="00EC250C" w:rsidRDefault="00744B2D" w:rsidP="001759D6">
      <w:pPr>
        <w:pStyle w:val="Spistreci4"/>
        <w:rPr>
          <w:rFonts w:asciiTheme="minorHAnsi" w:eastAsiaTheme="minorEastAsia" w:hAnsiTheme="minorHAnsi" w:cstheme="minorBidi"/>
        </w:rPr>
      </w:pPr>
      <w:hyperlink w:anchor="_Toc11247542" w:history="1">
        <w:r w:rsidR="00845591" w:rsidRPr="00EC250C">
          <w:rPr>
            <w:rStyle w:val="Hipercze"/>
          </w:rPr>
          <w:t>Obywatele nie mogą podważać decyzji państwa sprzed 40 lat na podstawie tzw. ustawy uwłaszczeniowej z 1971 r.</w:t>
        </w:r>
        <w:r w:rsidR="00845591" w:rsidRPr="00EC250C">
          <w:rPr>
            <w:webHidden/>
          </w:rPr>
          <w:tab/>
        </w:r>
        <w:r w:rsidR="00845591" w:rsidRPr="00EC250C">
          <w:rPr>
            <w:webHidden/>
          </w:rPr>
          <w:fldChar w:fldCharType="begin"/>
        </w:r>
        <w:r w:rsidR="00845591" w:rsidRPr="00EC250C">
          <w:rPr>
            <w:webHidden/>
          </w:rPr>
          <w:instrText xml:space="preserve"> PAGEREF _Toc11247542 \h </w:instrText>
        </w:r>
        <w:r w:rsidR="00845591" w:rsidRPr="00EC250C">
          <w:rPr>
            <w:webHidden/>
          </w:rPr>
        </w:r>
        <w:r w:rsidR="00845591" w:rsidRPr="00EC250C">
          <w:rPr>
            <w:webHidden/>
          </w:rPr>
          <w:fldChar w:fldCharType="separate"/>
        </w:r>
        <w:r>
          <w:rPr>
            <w:webHidden/>
          </w:rPr>
          <w:t>39</w:t>
        </w:r>
        <w:r w:rsidR="00845591" w:rsidRPr="00EC250C">
          <w:rPr>
            <w:webHidden/>
          </w:rPr>
          <w:fldChar w:fldCharType="end"/>
        </w:r>
      </w:hyperlink>
    </w:p>
    <w:p w14:paraId="1B2530F1" w14:textId="581508EC" w:rsidR="00845591" w:rsidRPr="00EC250C" w:rsidRDefault="00744B2D" w:rsidP="001759D6">
      <w:pPr>
        <w:pStyle w:val="Spistreci4"/>
        <w:rPr>
          <w:rFonts w:asciiTheme="minorHAnsi" w:eastAsiaTheme="minorEastAsia" w:hAnsiTheme="minorHAnsi" w:cstheme="minorBidi"/>
        </w:rPr>
      </w:pPr>
      <w:hyperlink w:anchor="_Toc11247543" w:history="1">
        <w:r w:rsidR="00845591" w:rsidRPr="00EC250C">
          <w:rPr>
            <w:rStyle w:val="Hipercze"/>
          </w:rPr>
          <w:t>Nierówne traktowanie w dostępie do abonamentów w strefach płatnego parkowania</w:t>
        </w:r>
        <w:r w:rsidR="00845591" w:rsidRPr="00EC250C">
          <w:rPr>
            <w:webHidden/>
          </w:rPr>
          <w:tab/>
        </w:r>
        <w:r w:rsidR="00845591" w:rsidRPr="00EC250C">
          <w:rPr>
            <w:webHidden/>
          </w:rPr>
          <w:fldChar w:fldCharType="begin"/>
        </w:r>
        <w:r w:rsidR="00845591" w:rsidRPr="00EC250C">
          <w:rPr>
            <w:webHidden/>
          </w:rPr>
          <w:instrText xml:space="preserve"> PAGEREF _Toc11247543 \h </w:instrText>
        </w:r>
        <w:r w:rsidR="00845591" w:rsidRPr="00EC250C">
          <w:rPr>
            <w:webHidden/>
          </w:rPr>
        </w:r>
        <w:r w:rsidR="00845591" w:rsidRPr="00EC250C">
          <w:rPr>
            <w:webHidden/>
          </w:rPr>
          <w:fldChar w:fldCharType="separate"/>
        </w:r>
        <w:r>
          <w:rPr>
            <w:webHidden/>
          </w:rPr>
          <w:t>39</w:t>
        </w:r>
        <w:r w:rsidR="00845591" w:rsidRPr="00EC250C">
          <w:rPr>
            <w:webHidden/>
          </w:rPr>
          <w:fldChar w:fldCharType="end"/>
        </w:r>
      </w:hyperlink>
    </w:p>
    <w:p w14:paraId="7CD3412D" w14:textId="4B83F8D7" w:rsidR="00845591" w:rsidRPr="00EC250C" w:rsidRDefault="00744B2D" w:rsidP="00A46160">
      <w:pPr>
        <w:pStyle w:val="Spistreci3"/>
        <w:rPr>
          <w:rFonts w:asciiTheme="minorHAnsi" w:eastAsiaTheme="minorEastAsia" w:hAnsiTheme="minorHAnsi" w:cstheme="minorBidi"/>
          <w:color w:val="auto"/>
          <w:sz w:val="20"/>
        </w:rPr>
      </w:pPr>
      <w:hyperlink w:anchor="_Toc11247544" w:history="1">
        <w:r w:rsidR="00845591" w:rsidRPr="00EC250C">
          <w:rPr>
            <w:rStyle w:val="Hipercze"/>
          </w:rPr>
          <w:t>Art. 32 ust. 2 Konstytucji – Zakaz dyskryminacji</w:t>
        </w:r>
        <w:r w:rsidR="00845591" w:rsidRPr="00EC250C">
          <w:rPr>
            <w:webHidden/>
          </w:rPr>
          <w:tab/>
        </w:r>
        <w:r w:rsidR="00845591" w:rsidRPr="00EC250C">
          <w:rPr>
            <w:webHidden/>
          </w:rPr>
          <w:fldChar w:fldCharType="begin"/>
        </w:r>
        <w:r w:rsidR="00845591" w:rsidRPr="00EC250C">
          <w:rPr>
            <w:webHidden/>
          </w:rPr>
          <w:instrText xml:space="preserve"> PAGEREF _Toc11247544 \h </w:instrText>
        </w:r>
        <w:r w:rsidR="00845591" w:rsidRPr="00EC250C">
          <w:rPr>
            <w:webHidden/>
          </w:rPr>
        </w:r>
        <w:r w:rsidR="00845591" w:rsidRPr="00EC250C">
          <w:rPr>
            <w:webHidden/>
          </w:rPr>
          <w:fldChar w:fldCharType="separate"/>
        </w:r>
        <w:r>
          <w:rPr>
            <w:webHidden/>
          </w:rPr>
          <w:t>41</w:t>
        </w:r>
        <w:r w:rsidR="00845591" w:rsidRPr="00EC250C">
          <w:rPr>
            <w:webHidden/>
          </w:rPr>
          <w:fldChar w:fldCharType="end"/>
        </w:r>
      </w:hyperlink>
    </w:p>
    <w:p w14:paraId="4F784675" w14:textId="6D89868A" w:rsidR="00845591" w:rsidRPr="00EC250C" w:rsidRDefault="00744B2D" w:rsidP="001759D6">
      <w:pPr>
        <w:pStyle w:val="Spistreci4"/>
        <w:rPr>
          <w:rFonts w:asciiTheme="minorHAnsi" w:eastAsiaTheme="minorEastAsia" w:hAnsiTheme="minorHAnsi" w:cstheme="minorBidi"/>
        </w:rPr>
      </w:pPr>
      <w:hyperlink w:anchor="_Toc11247545" w:history="1">
        <w:r w:rsidR="00845591" w:rsidRPr="00EC250C">
          <w:rPr>
            <w:rStyle w:val="Hipercze"/>
            <w:bdr w:val="none" w:sz="0" w:space="0" w:color="auto" w:frame="1"/>
          </w:rPr>
          <w:t>Polacy nieświadomi dyskryminacji</w:t>
        </w:r>
        <w:r w:rsidR="00845591" w:rsidRPr="00EC250C">
          <w:rPr>
            <w:webHidden/>
          </w:rPr>
          <w:tab/>
        </w:r>
        <w:r w:rsidR="00845591" w:rsidRPr="00EC250C">
          <w:rPr>
            <w:webHidden/>
          </w:rPr>
          <w:fldChar w:fldCharType="begin"/>
        </w:r>
        <w:r w:rsidR="00845591" w:rsidRPr="00EC250C">
          <w:rPr>
            <w:webHidden/>
          </w:rPr>
          <w:instrText xml:space="preserve"> PAGEREF _Toc11247545 \h </w:instrText>
        </w:r>
        <w:r w:rsidR="00845591" w:rsidRPr="00EC250C">
          <w:rPr>
            <w:webHidden/>
          </w:rPr>
        </w:r>
        <w:r w:rsidR="00845591" w:rsidRPr="00EC250C">
          <w:rPr>
            <w:webHidden/>
          </w:rPr>
          <w:fldChar w:fldCharType="separate"/>
        </w:r>
        <w:r>
          <w:rPr>
            <w:webHidden/>
          </w:rPr>
          <w:t>42</w:t>
        </w:r>
        <w:r w:rsidR="00845591" w:rsidRPr="00EC250C">
          <w:rPr>
            <w:webHidden/>
          </w:rPr>
          <w:fldChar w:fldCharType="end"/>
        </w:r>
      </w:hyperlink>
    </w:p>
    <w:p w14:paraId="5433D656" w14:textId="7543ACC1" w:rsidR="00845591" w:rsidRPr="00EC250C" w:rsidRDefault="00744B2D" w:rsidP="001759D6">
      <w:pPr>
        <w:pStyle w:val="Spistreci4"/>
        <w:rPr>
          <w:rFonts w:asciiTheme="minorHAnsi" w:eastAsiaTheme="minorEastAsia" w:hAnsiTheme="minorHAnsi" w:cstheme="minorBidi"/>
        </w:rPr>
      </w:pPr>
      <w:hyperlink w:anchor="_Toc11247546" w:history="1">
        <w:r w:rsidR="00845591" w:rsidRPr="00EC250C">
          <w:rPr>
            <w:rStyle w:val="Hipercze"/>
          </w:rPr>
          <w:t>Brak edukacji antydyskryminacyjnej – nie uczymy się, jak się bronić i jak nie krzywdzić innych</w:t>
        </w:r>
        <w:r w:rsidR="00845591" w:rsidRPr="00EC250C">
          <w:rPr>
            <w:webHidden/>
          </w:rPr>
          <w:tab/>
        </w:r>
        <w:r w:rsidR="00845591" w:rsidRPr="00EC250C">
          <w:rPr>
            <w:webHidden/>
          </w:rPr>
          <w:fldChar w:fldCharType="begin"/>
        </w:r>
        <w:r w:rsidR="00845591" w:rsidRPr="00EC250C">
          <w:rPr>
            <w:webHidden/>
          </w:rPr>
          <w:instrText xml:space="preserve"> PAGEREF _Toc11247546 \h </w:instrText>
        </w:r>
        <w:r w:rsidR="00845591" w:rsidRPr="00EC250C">
          <w:rPr>
            <w:webHidden/>
          </w:rPr>
        </w:r>
        <w:r w:rsidR="00845591" w:rsidRPr="00EC250C">
          <w:rPr>
            <w:webHidden/>
          </w:rPr>
          <w:fldChar w:fldCharType="separate"/>
        </w:r>
        <w:r>
          <w:rPr>
            <w:webHidden/>
          </w:rPr>
          <w:t>42</w:t>
        </w:r>
        <w:r w:rsidR="00845591" w:rsidRPr="00EC250C">
          <w:rPr>
            <w:webHidden/>
          </w:rPr>
          <w:fldChar w:fldCharType="end"/>
        </w:r>
      </w:hyperlink>
    </w:p>
    <w:p w14:paraId="63B2874B" w14:textId="0B0D04B2" w:rsidR="00845591" w:rsidRPr="00EC250C" w:rsidRDefault="00744B2D" w:rsidP="001759D6">
      <w:pPr>
        <w:pStyle w:val="Spistreci4"/>
        <w:rPr>
          <w:rFonts w:asciiTheme="minorHAnsi" w:eastAsiaTheme="minorEastAsia" w:hAnsiTheme="minorHAnsi" w:cstheme="minorBidi"/>
        </w:rPr>
      </w:pPr>
      <w:hyperlink w:anchor="_Toc11247547" w:history="1">
        <w:r w:rsidR="00845591" w:rsidRPr="00EC250C">
          <w:rPr>
            <w:rStyle w:val="Hipercze"/>
          </w:rPr>
          <w:t>Narastający problem z mową nienawiści w internecie</w:t>
        </w:r>
        <w:r w:rsidR="00845591" w:rsidRPr="00EC250C">
          <w:rPr>
            <w:webHidden/>
          </w:rPr>
          <w:tab/>
        </w:r>
        <w:r w:rsidR="00845591" w:rsidRPr="00EC250C">
          <w:rPr>
            <w:webHidden/>
          </w:rPr>
          <w:fldChar w:fldCharType="begin"/>
        </w:r>
        <w:r w:rsidR="00845591" w:rsidRPr="00EC250C">
          <w:rPr>
            <w:webHidden/>
          </w:rPr>
          <w:instrText xml:space="preserve"> PAGEREF _Toc11247547 \h </w:instrText>
        </w:r>
        <w:r w:rsidR="00845591" w:rsidRPr="00EC250C">
          <w:rPr>
            <w:webHidden/>
          </w:rPr>
        </w:r>
        <w:r w:rsidR="00845591" w:rsidRPr="00EC250C">
          <w:rPr>
            <w:webHidden/>
          </w:rPr>
          <w:fldChar w:fldCharType="separate"/>
        </w:r>
        <w:r>
          <w:rPr>
            <w:webHidden/>
          </w:rPr>
          <w:t>45</w:t>
        </w:r>
        <w:r w:rsidR="00845591" w:rsidRPr="00EC250C">
          <w:rPr>
            <w:webHidden/>
          </w:rPr>
          <w:fldChar w:fldCharType="end"/>
        </w:r>
      </w:hyperlink>
    </w:p>
    <w:p w14:paraId="52FD3138" w14:textId="1675D31F" w:rsidR="00845591" w:rsidRPr="00EC250C" w:rsidRDefault="00744B2D" w:rsidP="001759D6">
      <w:pPr>
        <w:pStyle w:val="Spistreci4"/>
        <w:rPr>
          <w:rFonts w:asciiTheme="minorHAnsi" w:eastAsiaTheme="minorEastAsia" w:hAnsiTheme="minorHAnsi" w:cstheme="minorBidi"/>
        </w:rPr>
      </w:pPr>
      <w:hyperlink w:anchor="_Toc11247548" w:history="1">
        <w:r w:rsidR="00845591" w:rsidRPr="00EC250C">
          <w:rPr>
            <w:rStyle w:val="Hipercze"/>
          </w:rPr>
          <w:t>Dyskryminacja w dostępie do usług</w:t>
        </w:r>
        <w:r w:rsidR="00845591" w:rsidRPr="00EC250C">
          <w:rPr>
            <w:webHidden/>
          </w:rPr>
          <w:tab/>
        </w:r>
        <w:r w:rsidR="00845591" w:rsidRPr="00EC250C">
          <w:rPr>
            <w:webHidden/>
          </w:rPr>
          <w:fldChar w:fldCharType="begin"/>
        </w:r>
        <w:r w:rsidR="00845591" w:rsidRPr="00EC250C">
          <w:rPr>
            <w:webHidden/>
          </w:rPr>
          <w:instrText xml:space="preserve"> PAGEREF _Toc11247548 \h </w:instrText>
        </w:r>
        <w:r w:rsidR="00845591" w:rsidRPr="00EC250C">
          <w:rPr>
            <w:webHidden/>
          </w:rPr>
        </w:r>
        <w:r w:rsidR="00845591" w:rsidRPr="00EC250C">
          <w:rPr>
            <w:webHidden/>
          </w:rPr>
          <w:fldChar w:fldCharType="separate"/>
        </w:r>
        <w:r>
          <w:rPr>
            <w:webHidden/>
          </w:rPr>
          <w:t>45</w:t>
        </w:r>
        <w:r w:rsidR="00845591" w:rsidRPr="00EC250C">
          <w:rPr>
            <w:webHidden/>
          </w:rPr>
          <w:fldChar w:fldCharType="end"/>
        </w:r>
      </w:hyperlink>
    </w:p>
    <w:p w14:paraId="56561D8A" w14:textId="138CFC45" w:rsidR="00845591" w:rsidRPr="00EC250C" w:rsidRDefault="00744B2D" w:rsidP="001759D6">
      <w:pPr>
        <w:pStyle w:val="Spistreci4"/>
        <w:rPr>
          <w:rFonts w:asciiTheme="minorHAnsi" w:eastAsiaTheme="minorEastAsia" w:hAnsiTheme="minorHAnsi" w:cstheme="minorBidi"/>
        </w:rPr>
      </w:pPr>
      <w:hyperlink w:anchor="_Toc11247549" w:history="1">
        <w:r w:rsidR="00845591" w:rsidRPr="00EC250C">
          <w:rPr>
            <w:rStyle w:val="Hipercze"/>
          </w:rPr>
          <w:t>Dyskryminacja ze względu na wiek</w:t>
        </w:r>
        <w:r w:rsidR="00845591" w:rsidRPr="00EC250C">
          <w:rPr>
            <w:webHidden/>
          </w:rPr>
          <w:tab/>
        </w:r>
        <w:r w:rsidR="00845591" w:rsidRPr="00EC250C">
          <w:rPr>
            <w:webHidden/>
          </w:rPr>
          <w:fldChar w:fldCharType="begin"/>
        </w:r>
        <w:r w:rsidR="00845591" w:rsidRPr="00EC250C">
          <w:rPr>
            <w:webHidden/>
          </w:rPr>
          <w:instrText xml:space="preserve"> PAGEREF _Toc11247549 \h </w:instrText>
        </w:r>
        <w:r w:rsidR="00845591" w:rsidRPr="00EC250C">
          <w:rPr>
            <w:webHidden/>
          </w:rPr>
        </w:r>
        <w:r w:rsidR="00845591" w:rsidRPr="00EC250C">
          <w:rPr>
            <w:webHidden/>
          </w:rPr>
          <w:fldChar w:fldCharType="separate"/>
        </w:r>
        <w:r>
          <w:rPr>
            <w:webHidden/>
          </w:rPr>
          <w:t>47</w:t>
        </w:r>
        <w:r w:rsidR="00845591" w:rsidRPr="00EC250C">
          <w:rPr>
            <w:webHidden/>
          </w:rPr>
          <w:fldChar w:fldCharType="end"/>
        </w:r>
      </w:hyperlink>
    </w:p>
    <w:p w14:paraId="40B81C10" w14:textId="52F935D0" w:rsidR="00845591" w:rsidRPr="00EC250C" w:rsidRDefault="00744B2D" w:rsidP="001759D6">
      <w:pPr>
        <w:pStyle w:val="Spistreci4"/>
        <w:rPr>
          <w:rFonts w:asciiTheme="minorHAnsi" w:eastAsiaTheme="minorEastAsia" w:hAnsiTheme="minorHAnsi" w:cstheme="minorBidi"/>
        </w:rPr>
      </w:pPr>
      <w:hyperlink w:anchor="_Toc11247550" w:history="1">
        <w:r w:rsidR="00845591" w:rsidRPr="00EC250C">
          <w:rPr>
            <w:rStyle w:val="Hipercze"/>
          </w:rPr>
          <w:t>Dyskryminacja ze względu na niepełnosprawność</w:t>
        </w:r>
        <w:r w:rsidR="00845591" w:rsidRPr="00EC250C">
          <w:rPr>
            <w:webHidden/>
          </w:rPr>
          <w:tab/>
        </w:r>
        <w:r w:rsidR="00845591" w:rsidRPr="00EC250C">
          <w:rPr>
            <w:webHidden/>
          </w:rPr>
          <w:fldChar w:fldCharType="begin"/>
        </w:r>
        <w:r w:rsidR="00845591" w:rsidRPr="00EC250C">
          <w:rPr>
            <w:webHidden/>
          </w:rPr>
          <w:instrText xml:space="preserve"> PAGEREF _Toc11247550 \h </w:instrText>
        </w:r>
        <w:r w:rsidR="00845591" w:rsidRPr="00EC250C">
          <w:rPr>
            <w:webHidden/>
          </w:rPr>
        </w:r>
        <w:r w:rsidR="00845591" w:rsidRPr="00EC250C">
          <w:rPr>
            <w:webHidden/>
          </w:rPr>
          <w:fldChar w:fldCharType="separate"/>
        </w:r>
        <w:r>
          <w:rPr>
            <w:webHidden/>
          </w:rPr>
          <w:t>49</w:t>
        </w:r>
        <w:r w:rsidR="00845591" w:rsidRPr="00EC250C">
          <w:rPr>
            <w:webHidden/>
          </w:rPr>
          <w:fldChar w:fldCharType="end"/>
        </w:r>
      </w:hyperlink>
    </w:p>
    <w:p w14:paraId="72195EFC" w14:textId="30028AD3" w:rsidR="00845591" w:rsidRPr="00EC250C" w:rsidRDefault="00744B2D" w:rsidP="001759D6">
      <w:pPr>
        <w:pStyle w:val="Spistreci4"/>
        <w:rPr>
          <w:rFonts w:asciiTheme="minorHAnsi" w:eastAsiaTheme="minorEastAsia" w:hAnsiTheme="minorHAnsi" w:cstheme="minorBidi"/>
        </w:rPr>
      </w:pPr>
      <w:hyperlink w:anchor="_Toc11247551" w:history="1">
        <w:r w:rsidR="00845591" w:rsidRPr="00EC250C">
          <w:rPr>
            <w:rStyle w:val="Hipercze"/>
          </w:rPr>
          <w:t>Dyskryminacja ze względu na narodowość</w:t>
        </w:r>
        <w:r w:rsidR="00845591" w:rsidRPr="00EC250C">
          <w:rPr>
            <w:webHidden/>
          </w:rPr>
          <w:tab/>
        </w:r>
        <w:r w:rsidR="00845591" w:rsidRPr="00EC250C">
          <w:rPr>
            <w:webHidden/>
          </w:rPr>
          <w:fldChar w:fldCharType="begin"/>
        </w:r>
        <w:r w:rsidR="00845591" w:rsidRPr="00EC250C">
          <w:rPr>
            <w:webHidden/>
          </w:rPr>
          <w:instrText xml:space="preserve"> PAGEREF _Toc11247551 \h </w:instrText>
        </w:r>
        <w:r w:rsidR="00845591" w:rsidRPr="00EC250C">
          <w:rPr>
            <w:webHidden/>
          </w:rPr>
        </w:r>
        <w:r w:rsidR="00845591" w:rsidRPr="00EC250C">
          <w:rPr>
            <w:webHidden/>
          </w:rPr>
          <w:fldChar w:fldCharType="separate"/>
        </w:r>
        <w:r>
          <w:rPr>
            <w:webHidden/>
          </w:rPr>
          <w:t>53</w:t>
        </w:r>
        <w:r w:rsidR="00845591" w:rsidRPr="00EC250C">
          <w:rPr>
            <w:webHidden/>
          </w:rPr>
          <w:fldChar w:fldCharType="end"/>
        </w:r>
      </w:hyperlink>
    </w:p>
    <w:p w14:paraId="525DED32" w14:textId="18C46A4E" w:rsidR="00845591" w:rsidRPr="00EC250C" w:rsidRDefault="00744B2D" w:rsidP="001759D6">
      <w:pPr>
        <w:pStyle w:val="Spistreci4"/>
        <w:rPr>
          <w:rFonts w:asciiTheme="minorHAnsi" w:eastAsiaTheme="minorEastAsia" w:hAnsiTheme="minorHAnsi" w:cstheme="minorBidi"/>
        </w:rPr>
      </w:pPr>
      <w:hyperlink w:anchor="_Toc11247552" w:history="1">
        <w:r w:rsidR="00845591" w:rsidRPr="00EC250C">
          <w:rPr>
            <w:rStyle w:val="Hipercze"/>
          </w:rPr>
          <w:t>Dyskryminacja ze względu na wyznanie</w:t>
        </w:r>
        <w:r w:rsidR="00845591" w:rsidRPr="00EC250C">
          <w:rPr>
            <w:webHidden/>
          </w:rPr>
          <w:tab/>
        </w:r>
        <w:r w:rsidR="00845591" w:rsidRPr="00EC250C">
          <w:rPr>
            <w:webHidden/>
          </w:rPr>
          <w:fldChar w:fldCharType="begin"/>
        </w:r>
        <w:r w:rsidR="00845591" w:rsidRPr="00EC250C">
          <w:rPr>
            <w:webHidden/>
          </w:rPr>
          <w:instrText xml:space="preserve"> PAGEREF _Toc11247552 \h </w:instrText>
        </w:r>
        <w:r w:rsidR="00845591" w:rsidRPr="00EC250C">
          <w:rPr>
            <w:webHidden/>
          </w:rPr>
        </w:r>
        <w:r w:rsidR="00845591" w:rsidRPr="00EC250C">
          <w:rPr>
            <w:webHidden/>
          </w:rPr>
          <w:fldChar w:fldCharType="separate"/>
        </w:r>
        <w:r>
          <w:rPr>
            <w:webHidden/>
          </w:rPr>
          <w:t>55</w:t>
        </w:r>
        <w:r w:rsidR="00845591" w:rsidRPr="00EC250C">
          <w:rPr>
            <w:webHidden/>
          </w:rPr>
          <w:fldChar w:fldCharType="end"/>
        </w:r>
      </w:hyperlink>
    </w:p>
    <w:p w14:paraId="7861768B" w14:textId="1FAE4625" w:rsidR="00845591" w:rsidRPr="00EC250C" w:rsidRDefault="00744B2D" w:rsidP="00A46160">
      <w:pPr>
        <w:pStyle w:val="Spistreci3"/>
        <w:rPr>
          <w:rFonts w:asciiTheme="minorHAnsi" w:eastAsiaTheme="minorEastAsia" w:hAnsiTheme="minorHAnsi" w:cstheme="minorBidi"/>
          <w:color w:val="auto"/>
          <w:sz w:val="20"/>
        </w:rPr>
      </w:pPr>
      <w:hyperlink w:anchor="_Toc11247553" w:history="1">
        <w:r w:rsidR="00845591" w:rsidRPr="00EC250C">
          <w:rPr>
            <w:rStyle w:val="Hipercze"/>
          </w:rPr>
          <w:t>Art. 33 Konstytucji – Równe traktowanie kobiet i mężczyzn</w:t>
        </w:r>
        <w:r w:rsidR="00845591" w:rsidRPr="00EC250C">
          <w:rPr>
            <w:webHidden/>
          </w:rPr>
          <w:tab/>
        </w:r>
        <w:r w:rsidR="00845591" w:rsidRPr="00EC250C">
          <w:rPr>
            <w:webHidden/>
          </w:rPr>
          <w:fldChar w:fldCharType="begin"/>
        </w:r>
        <w:r w:rsidR="00845591" w:rsidRPr="00EC250C">
          <w:rPr>
            <w:webHidden/>
          </w:rPr>
          <w:instrText xml:space="preserve"> PAGEREF _Toc11247553 \h </w:instrText>
        </w:r>
        <w:r w:rsidR="00845591" w:rsidRPr="00EC250C">
          <w:rPr>
            <w:webHidden/>
          </w:rPr>
        </w:r>
        <w:r w:rsidR="00845591" w:rsidRPr="00EC250C">
          <w:rPr>
            <w:webHidden/>
          </w:rPr>
          <w:fldChar w:fldCharType="separate"/>
        </w:r>
        <w:r>
          <w:rPr>
            <w:webHidden/>
          </w:rPr>
          <w:t>57</w:t>
        </w:r>
        <w:r w:rsidR="00845591" w:rsidRPr="00EC250C">
          <w:rPr>
            <w:webHidden/>
          </w:rPr>
          <w:fldChar w:fldCharType="end"/>
        </w:r>
      </w:hyperlink>
    </w:p>
    <w:p w14:paraId="4E0DBB77" w14:textId="6D7B5785" w:rsidR="00845591" w:rsidRPr="00EC250C" w:rsidRDefault="00744B2D" w:rsidP="001759D6">
      <w:pPr>
        <w:pStyle w:val="Spistreci4"/>
        <w:rPr>
          <w:rFonts w:asciiTheme="minorHAnsi" w:eastAsiaTheme="minorEastAsia" w:hAnsiTheme="minorHAnsi" w:cstheme="minorBidi"/>
        </w:rPr>
      </w:pPr>
      <w:hyperlink w:anchor="_Toc11247554" w:history="1">
        <w:r w:rsidR="00845591" w:rsidRPr="00EC250C">
          <w:rPr>
            <w:rStyle w:val="Hipercze"/>
          </w:rPr>
          <w:t>Nierówny udział kobiet i mężczyzn w życiu publicznym</w:t>
        </w:r>
        <w:r w:rsidR="00845591" w:rsidRPr="00EC250C">
          <w:rPr>
            <w:webHidden/>
          </w:rPr>
          <w:tab/>
        </w:r>
        <w:r w:rsidR="00845591" w:rsidRPr="00EC250C">
          <w:rPr>
            <w:webHidden/>
          </w:rPr>
          <w:fldChar w:fldCharType="begin"/>
        </w:r>
        <w:r w:rsidR="00845591" w:rsidRPr="00EC250C">
          <w:rPr>
            <w:webHidden/>
          </w:rPr>
          <w:instrText xml:space="preserve"> PAGEREF _Toc11247554 \h </w:instrText>
        </w:r>
        <w:r w:rsidR="00845591" w:rsidRPr="00EC250C">
          <w:rPr>
            <w:webHidden/>
          </w:rPr>
        </w:r>
        <w:r w:rsidR="00845591" w:rsidRPr="00EC250C">
          <w:rPr>
            <w:webHidden/>
          </w:rPr>
          <w:fldChar w:fldCharType="separate"/>
        </w:r>
        <w:r>
          <w:rPr>
            <w:webHidden/>
          </w:rPr>
          <w:t>58</w:t>
        </w:r>
        <w:r w:rsidR="00845591" w:rsidRPr="00EC250C">
          <w:rPr>
            <w:webHidden/>
          </w:rPr>
          <w:fldChar w:fldCharType="end"/>
        </w:r>
      </w:hyperlink>
    </w:p>
    <w:p w14:paraId="7FDD9F91" w14:textId="42C63B61" w:rsidR="00845591" w:rsidRPr="00EC250C" w:rsidRDefault="00744B2D" w:rsidP="001759D6">
      <w:pPr>
        <w:pStyle w:val="Spistreci4"/>
        <w:rPr>
          <w:rFonts w:asciiTheme="minorHAnsi" w:eastAsiaTheme="minorEastAsia" w:hAnsiTheme="minorHAnsi" w:cstheme="minorBidi"/>
        </w:rPr>
      </w:pPr>
      <w:hyperlink w:anchor="_Toc11247555" w:history="1">
        <w:r w:rsidR="00845591" w:rsidRPr="00EC250C">
          <w:rPr>
            <w:rStyle w:val="Hipercze"/>
            <w:bdr w:val="none" w:sz="0" w:space="0" w:color="auto" w:frame="1"/>
          </w:rPr>
          <w:t>Nieskuteczne zapobieganie przemocy domowej</w:t>
        </w:r>
        <w:r w:rsidR="00845591" w:rsidRPr="00EC250C">
          <w:rPr>
            <w:webHidden/>
          </w:rPr>
          <w:tab/>
        </w:r>
        <w:r w:rsidR="00845591" w:rsidRPr="00EC250C">
          <w:rPr>
            <w:webHidden/>
          </w:rPr>
          <w:fldChar w:fldCharType="begin"/>
        </w:r>
        <w:r w:rsidR="00845591" w:rsidRPr="00EC250C">
          <w:rPr>
            <w:webHidden/>
          </w:rPr>
          <w:instrText xml:space="preserve"> PAGEREF _Toc11247555 \h </w:instrText>
        </w:r>
        <w:r w:rsidR="00845591" w:rsidRPr="00EC250C">
          <w:rPr>
            <w:webHidden/>
          </w:rPr>
        </w:r>
        <w:r w:rsidR="00845591" w:rsidRPr="00EC250C">
          <w:rPr>
            <w:webHidden/>
          </w:rPr>
          <w:fldChar w:fldCharType="separate"/>
        </w:r>
        <w:r>
          <w:rPr>
            <w:webHidden/>
          </w:rPr>
          <w:t>59</w:t>
        </w:r>
        <w:r w:rsidR="00845591" w:rsidRPr="00EC250C">
          <w:rPr>
            <w:webHidden/>
          </w:rPr>
          <w:fldChar w:fldCharType="end"/>
        </w:r>
      </w:hyperlink>
    </w:p>
    <w:p w14:paraId="743F679F" w14:textId="528EA7ED" w:rsidR="00845591" w:rsidRPr="00EC250C" w:rsidRDefault="00744B2D" w:rsidP="001759D6">
      <w:pPr>
        <w:pStyle w:val="Spistreci4"/>
        <w:rPr>
          <w:rFonts w:asciiTheme="minorHAnsi" w:eastAsiaTheme="minorEastAsia" w:hAnsiTheme="minorHAnsi" w:cstheme="minorBidi"/>
        </w:rPr>
      </w:pPr>
      <w:hyperlink w:anchor="_Toc11247556" w:history="1">
        <w:r w:rsidR="00845591" w:rsidRPr="00EC250C">
          <w:rPr>
            <w:rStyle w:val="Hipercze"/>
          </w:rPr>
          <w:t>Ograniczanie dostępu do usług ze względu na płeć</w:t>
        </w:r>
        <w:r w:rsidR="00845591" w:rsidRPr="00EC250C">
          <w:rPr>
            <w:webHidden/>
          </w:rPr>
          <w:tab/>
        </w:r>
        <w:r w:rsidR="00845591" w:rsidRPr="00EC250C">
          <w:rPr>
            <w:webHidden/>
          </w:rPr>
          <w:fldChar w:fldCharType="begin"/>
        </w:r>
        <w:r w:rsidR="00845591" w:rsidRPr="00EC250C">
          <w:rPr>
            <w:webHidden/>
          </w:rPr>
          <w:instrText xml:space="preserve"> PAGEREF _Toc11247556 \h </w:instrText>
        </w:r>
        <w:r w:rsidR="00845591" w:rsidRPr="00EC250C">
          <w:rPr>
            <w:webHidden/>
          </w:rPr>
        </w:r>
        <w:r w:rsidR="00845591" w:rsidRPr="00EC250C">
          <w:rPr>
            <w:webHidden/>
          </w:rPr>
          <w:fldChar w:fldCharType="separate"/>
        </w:r>
        <w:r>
          <w:rPr>
            <w:webHidden/>
          </w:rPr>
          <w:t>62</w:t>
        </w:r>
        <w:r w:rsidR="00845591" w:rsidRPr="00EC250C">
          <w:rPr>
            <w:webHidden/>
          </w:rPr>
          <w:fldChar w:fldCharType="end"/>
        </w:r>
      </w:hyperlink>
    </w:p>
    <w:p w14:paraId="3F7738F8" w14:textId="66FF03CC" w:rsidR="00845591" w:rsidRPr="00EC250C" w:rsidRDefault="00744B2D" w:rsidP="001759D6">
      <w:pPr>
        <w:pStyle w:val="Spistreci4"/>
        <w:rPr>
          <w:rFonts w:asciiTheme="minorHAnsi" w:eastAsiaTheme="minorEastAsia" w:hAnsiTheme="minorHAnsi" w:cstheme="minorBidi"/>
        </w:rPr>
      </w:pPr>
      <w:hyperlink w:anchor="_Toc11247557" w:history="1">
        <w:r w:rsidR="00845591" w:rsidRPr="00EC250C">
          <w:rPr>
            <w:rStyle w:val="Hipercze"/>
          </w:rPr>
          <w:t>Doświadczenie molestowania i przemocy seksualnej</w:t>
        </w:r>
        <w:r w:rsidR="00845591" w:rsidRPr="00EC250C">
          <w:rPr>
            <w:webHidden/>
          </w:rPr>
          <w:tab/>
        </w:r>
        <w:r w:rsidR="00845591" w:rsidRPr="00EC250C">
          <w:rPr>
            <w:webHidden/>
          </w:rPr>
          <w:fldChar w:fldCharType="begin"/>
        </w:r>
        <w:r w:rsidR="00845591" w:rsidRPr="00EC250C">
          <w:rPr>
            <w:webHidden/>
          </w:rPr>
          <w:instrText xml:space="preserve"> PAGEREF _Toc11247557 \h </w:instrText>
        </w:r>
        <w:r w:rsidR="00845591" w:rsidRPr="00EC250C">
          <w:rPr>
            <w:webHidden/>
          </w:rPr>
        </w:r>
        <w:r w:rsidR="00845591" w:rsidRPr="00EC250C">
          <w:rPr>
            <w:webHidden/>
          </w:rPr>
          <w:fldChar w:fldCharType="separate"/>
        </w:r>
        <w:r>
          <w:rPr>
            <w:webHidden/>
          </w:rPr>
          <w:t>63</w:t>
        </w:r>
        <w:r w:rsidR="00845591" w:rsidRPr="00EC250C">
          <w:rPr>
            <w:webHidden/>
          </w:rPr>
          <w:fldChar w:fldCharType="end"/>
        </w:r>
      </w:hyperlink>
    </w:p>
    <w:p w14:paraId="5BD165D2" w14:textId="4D158CC4" w:rsidR="00845591" w:rsidRPr="00EC250C" w:rsidRDefault="00744B2D" w:rsidP="00A46160">
      <w:pPr>
        <w:pStyle w:val="Spistreci3"/>
        <w:rPr>
          <w:rFonts w:asciiTheme="minorHAnsi" w:eastAsiaTheme="minorEastAsia" w:hAnsiTheme="minorHAnsi" w:cstheme="minorBidi"/>
          <w:color w:val="auto"/>
          <w:sz w:val="20"/>
        </w:rPr>
      </w:pPr>
      <w:hyperlink w:anchor="_Toc11247558" w:history="1">
        <w:r w:rsidR="00845591" w:rsidRPr="00EC250C">
          <w:rPr>
            <w:rStyle w:val="Hipercze"/>
          </w:rPr>
          <w:t>Art. 34 Konstytucji – Prawo do obywatelstwa polskiego</w:t>
        </w:r>
        <w:r w:rsidR="00845591" w:rsidRPr="00EC250C">
          <w:rPr>
            <w:webHidden/>
          </w:rPr>
          <w:tab/>
        </w:r>
        <w:r w:rsidR="00845591" w:rsidRPr="00EC250C">
          <w:rPr>
            <w:webHidden/>
          </w:rPr>
          <w:fldChar w:fldCharType="begin"/>
        </w:r>
        <w:r w:rsidR="00845591" w:rsidRPr="00EC250C">
          <w:rPr>
            <w:webHidden/>
          </w:rPr>
          <w:instrText xml:space="preserve"> PAGEREF _Toc11247558 \h </w:instrText>
        </w:r>
        <w:r w:rsidR="00845591" w:rsidRPr="00EC250C">
          <w:rPr>
            <w:webHidden/>
          </w:rPr>
        </w:r>
        <w:r w:rsidR="00845591" w:rsidRPr="00EC250C">
          <w:rPr>
            <w:webHidden/>
          </w:rPr>
          <w:fldChar w:fldCharType="separate"/>
        </w:r>
        <w:r>
          <w:rPr>
            <w:webHidden/>
          </w:rPr>
          <w:t>65</w:t>
        </w:r>
        <w:r w:rsidR="00845591" w:rsidRPr="00EC250C">
          <w:rPr>
            <w:webHidden/>
          </w:rPr>
          <w:fldChar w:fldCharType="end"/>
        </w:r>
      </w:hyperlink>
    </w:p>
    <w:p w14:paraId="0B3C206E" w14:textId="2235E0BF" w:rsidR="00845591" w:rsidRPr="00EC250C" w:rsidRDefault="00744B2D" w:rsidP="001759D6">
      <w:pPr>
        <w:pStyle w:val="Spistreci4"/>
        <w:rPr>
          <w:rFonts w:asciiTheme="minorHAnsi" w:eastAsiaTheme="minorEastAsia" w:hAnsiTheme="minorHAnsi" w:cstheme="minorBidi"/>
        </w:rPr>
      </w:pPr>
      <w:hyperlink w:anchor="_Toc11247559" w:history="1">
        <w:r w:rsidR="00845591" w:rsidRPr="00EC250C">
          <w:rPr>
            <w:rStyle w:val="Hipercze"/>
          </w:rPr>
          <w:t>Problemy polskich dzieci z potwierdzaniem obywatelstwa polskiego</w:t>
        </w:r>
        <w:r w:rsidR="00845591" w:rsidRPr="00EC250C">
          <w:rPr>
            <w:webHidden/>
          </w:rPr>
          <w:tab/>
        </w:r>
        <w:r w:rsidR="00845591" w:rsidRPr="00EC250C">
          <w:rPr>
            <w:webHidden/>
          </w:rPr>
          <w:fldChar w:fldCharType="begin"/>
        </w:r>
        <w:r w:rsidR="00845591" w:rsidRPr="00EC250C">
          <w:rPr>
            <w:webHidden/>
          </w:rPr>
          <w:instrText xml:space="preserve"> PAGEREF _Toc11247559 \h </w:instrText>
        </w:r>
        <w:r w:rsidR="00845591" w:rsidRPr="00EC250C">
          <w:rPr>
            <w:webHidden/>
          </w:rPr>
        </w:r>
        <w:r w:rsidR="00845591" w:rsidRPr="00EC250C">
          <w:rPr>
            <w:webHidden/>
          </w:rPr>
          <w:fldChar w:fldCharType="separate"/>
        </w:r>
        <w:r>
          <w:rPr>
            <w:webHidden/>
          </w:rPr>
          <w:t>66</w:t>
        </w:r>
        <w:r w:rsidR="00845591" w:rsidRPr="00EC250C">
          <w:rPr>
            <w:webHidden/>
          </w:rPr>
          <w:fldChar w:fldCharType="end"/>
        </w:r>
      </w:hyperlink>
    </w:p>
    <w:p w14:paraId="1CB4C819" w14:textId="5EB33253" w:rsidR="00845591" w:rsidRPr="00EC250C" w:rsidRDefault="00744B2D" w:rsidP="001759D6">
      <w:pPr>
        <w:pStyle w:val="Spistreci4"/>
        <w:rPr>
          <w:rFonts w:asciiTheme="minorHAnsi" w:eastAsiaTheme="minorEastAsia" w:hAnsiTheme="minorHAnsi" w:cstheme="minorBidi"/>
        </w:rPr>
      </w:pPr>
      <w:hyperlink w:anchor="_Toc11247560" w:history="1">
        <w:r w:rsidR="00845591" w:rsidRPr="00EC250C">
          <w:rPr>
            <w:rStyle w:val="Hipercze"/>
          </w:rPr>
          <w:t>Nienaprawiona krzywda utraty obywatelstwa</w:t>
        </w:r>
        <w:r w:rsidR="00845591" w:rsidRPr="00EC250C">
          <w:rPr>
            <w:webHidden/>
          </w:rPr>
          <w:tab/>
        </w:r>
        <w:r w:rsidR="00845591" w:rsidRPr="00EC250C">
          <w:rPr>
            <w:webHidden/>
          </w:rPr>
          <w:fldChar w:fldCharType="begin"/>
        </w:r>
        <w:r w:rsidR="00845591" w:rsidRPr="00EC250C">
          <w:rPr>
            <w:webHidden/>
          </w:rPr>
          <w:instrText xml:space="preserve"> PAGEREF _Toc11247560 \h </w:instrText>
        </w:r>
        <w:r w:rsidR="00845591" w:rsidRPr="00EC250C">
          <w:rPr>
            <w:webHidden/>
          </w:rPr>
        </w:r>
        <w:r w:rsidR="00845591" w:rsidRPr="00EC250C">
          <w:rPr>
            <w:webHidden/>
          </w:rPr>
          <w:fldChar w:fldCharType="separate"/>
        </w:r>
        <w:r>
          <w:rPr>
            <w:webHidden/>
          </w:rPr>
          <w:t>67</w:t>
        </w:r>
        <w:r w:rsidR="00845591" w:rsidRPr="00EC250C">
          <w:rPr>
            <w:webHidden/>
          </w:rPr>
          <w:fldChar w:fldCharType="end"/>
        </w:r>
      </w:hyperlink>
    </w:p>
    <w:p w14:paraId="5E6D1A08" w14:textId="2C91DDE2" w:rsidR="00845591" w:rsidRPr="00EC250C" w:rsidRDefault="00744B2D" w:rsidP="00A46160">
      <w:pPr>
        <w:pStyle w:val="Spistreci3"/>
        <w:rPr>
          <w:rFonts w:asciiTheme="minorHAnsi" w:eastAsiaTheme="minorEastAsia" w:hAnsiTheme="minorHAnsi" w:cstheme="minorBidi"/>
          <w:color w:val="auto"/>
          <w:sz w:val="20"/>
        </w:rPr>
      </w:pPr>
      <w:hyperlink w:anchor="_Toc11247561" w:history="1">
        <w:r w:rsidR="00845591" w:rsidRPr="00EC250C">
          <w:rPr>
            <w:rStyle w:val="Hipercze"/>
          </w:rPr>
          <w:t>Art. 35 Konstytucji – Prawa mniejszości narodowych i etnicznych</w:t>
        </w:r>
        <w:r w:rsidR="00845591" w:rsidRPr="00EC250C">
          <w:rPr>
            <w:webHidden/>
          </w:rPr>
          <w:tab/>
        </w:r>
        <w:r w:rsidR="00845591" w:rsidRPr="00EC250C">
          <w:rPr>
            <w:webHidden/>
          </w:rPr>
          <w:fldChar w:fldCharType="begin"/>
        </w:r>
        <w:r w:rsidR="00845591" w:rsidRPr="00EC250C">
          <w:rPr>
            <w:webHidden/>
          </w:rPr>
          <w:instrText xml:space="preserve"> PAGEREF _Toc11247561 \h </w:instrText>
        </w:r>
        <w:r w:rsidR="00845591" w:rsidRPr="00EC250C">
          <w:rPr>
            <w:webHidden/>
          </w:rPr>
        </w:r>
        <w:r w:rsidR="00845591" w:rsidRPr="00EC250C">
          <w:rPr>
            <w:webHidden/>
          </w:rPr>
          <w:fldChar w:fldCharType="separate"/>
        </w:r>
        <w:r>
          <w:rPr>
            <w:webHidden/>
          </w:rPr>
          <w:t>68</w:t>
        </w:r>
        <w:r w:rsidR="00845591" w:rsidRPr="00EC250C">
          <w:rPr>
            <w:webHidden/>
          </w:rPr>
          <w:fldChar w:fldCharType="end"/>
        </w:r>
      </w:hyperlink>
    </w:p>
    <w:p w14:paraId="1A8C9287" w14:textId="77824314" w:rsidR="00845591" w:rsidRPr="00EC250C" w:rsidRDefault="00744B2D" w:rsidP="001759D6">
      <w:pPr>
        <w:pStyle w:val="Spistreci4"/>
        <w:rPr>
          <w:rFonts w:asciiTheme="minorHAnsi" w:eastAsiaTheme="minorEastAsia" w:hAnsiTheme="minorHAnsi" w:cstheme="minorBidi"/>
        </w:rPr>
      </w:pPr>
      <w:hyperlink w:anchor="_Toc11247562" w:history="1">
        <w:r w:rsidR="00845591" w:rsidRPr="00EC250C">
          <w:rPr>
            <w:rStyle w:val="Hipercze"/>
            <w:bCs/>
            <w:iCs/>
          </w:rPr>
          <w:t>Trudności w otrzymywaniu świadectw szkolnych w języku mniejszości</w:t>
        </w:r>
        <w:r w:rsidR="00845591" w:rsidRPr="00EC250C">
          <w:rPr>
            <w:webHidden/>
          </w:rPr>
          <w:tab/>
        </w:r>
        <w:r w:rsidR="00845591" w:rsidRPr="00EC250C">
          <w:rPr>
            <w:webHidden/>
          </w:rPr>
          <w:fldChar w:fldCharType="begin"/>
        </w:r>
        <w:r w:rsidR="00845591" w:rsidRPr="00EC250C">
          <w:rPr>
            <w:webHidden/>
          </w:rPr>
          <w:instrText xml:space="preserve"> PAGEREF _Toc11247562 \h </w:instrText>
        </w:r>
        <w:r w:rsidR="00845591" w:rsidRPr="00EC250C">
          <w:rPr>
            <w:webHidden/>
          </w:rPr>
        </w:r>
        <w:r w:rsidR="00845591" w:rsidRPr="00EC250C">
          <w:rPr>
            <w:webHidden/>
          </w:rPr>
          <w:fldChar w:fldCharType="separate"/>
        </w:r>
        <w:r>
          <w:rPr>
            <w:webHidden/>
          </w:rPr>
          <w:t>69</w:t>
        </w:r>
        <w:r w:rsidR="00845591" w:rsidRPr="00EC250C">
          <w:rPr>
            <w:webHidden/>
          </w:rPr>
          <w:fldChar w:fldCharType="end"/>
        </w:r>
      </w:hyperlink>
    </w:p>
    <w:p w14:paraId="1DDE14EB" w14:textId="4DE7C6F1" w:rsidR="00845591" w:rsidRPr="00EC250C" w:rsidRDefault="00744B2D" w:rsidP="001759D6">
      <w:pPr>
        <w:pStyle w:val="Spistreci4"/>
        <w:rPr>
          <w:rFonts w:asciiTheme="minorHAnsi" w:eastAsiaTheme="minorEastAsia" w:hAnsiTheme="minorHAnsi" w:cstheme="minorBidi"/>
        </w:rPr>
      </w:pPr>
      <w:hyperlink w:anchor="_Toc11247563" w:history="1">
        <w:r w:rsidR="00845591" w:rsidRPr="00EC250C">
          <w:rPr>
            <w:rStyle w:val="Hipercze"/>
            <w:bdr w:val="none" w:sz="0" w:space="0" w:color="auto" w:frame="1"/>
          </w:rPr>
          <w:t>Problemy mniejszości ukraińskiej i migrantów ukraińskich w Polsce</w:t>
        </w:r>
        <w:r w:rsidR="00845591" w:rsidRPr="00EC250C">
          <w:rPr>
            <w:webHidden/>
          </w:rPr>
          <w:tab/>
        </w:r>
        <w:r w:rsidR="00845591" w:rsidRPr="00EC250C">
          <w:rPr>
            <w:webHidden/>
          </w:rPr>
          <w:fldChar w:fldCharType="begin"/>
        </w:r>
        <w:r w:rsidR="00845591" w:rsidRPr="00EC250C">
          <w:rPr>
            <w:webHidden/>
          </w:rPr>
          <w:instrText xml:space="preserve"> PAGEREF _Toc11247563 \h </w:instrText>
        </w:r>
        <w:r w:rsidR="00845591" w:rsidRPr="00EC250C">
          <w:rPr>
            <w:webHidden/>
          </w:rPr>
        </w:r>
        <w:r w:rsidR="00845591" w:rsidRPr="00EC250C">
          <w:rPr>
            <w:webHidden/>
          </w:rPr>
          <w:fldChar w:fldCharType="separate"/>
        </w:r>
        <w:r>
          <w:rPr>
            <w:webHidden/>
          </w:rPr>
          <w:t>70</w:t>
        </w:r>
        <w:r w:rsidR="00845591" w:rsidRPr="00EC250C">
          <w:rPr>
            <w:webHidden/>
          </w:rPr>
          <w:fldChar w:fldCharType="end"/>
        </w:r>
      </w:hyperlink>
    </w:p>
    <w:p w14:paraId="6BD546F9" w14:textId="45B1BCBB" w:rsidR="00845591" w:rsidRPr="00EC250C" w:rsidRDefault="00744B2D" w:rsidP="00A46160">
      <w:pPr>
        <w:pStyle w:val="Spistreci3"/>
        <w:rPr>
          <w:rFonts w:asciiTheme="minorHAnsi" w:eastAsiaTheme="minorEastAsia" w:hAnsiTheme="minorHAnsi" w:cstheme="minorBidi"/>
          <w:color w:val="auto"/>
          <w:sz w:val="20"/>
        </w:rPr>
      </w:pPr>
      <w:hyperlink w:anchor="_Toc11247564" w:history="1">
        <w:r w:rsidR="00845591" w:rsidRPr="00EC250C">
          <w:rPr>
            <w:rStyle w:val="Hipercze"/>
          </w:rPr>
          <w:t>Art. 36</w:t>
        </w:r>
        <w:r w:rsidR="00845591" w:rsidRPr="00A46160">
          <w:rPr>
            <w:rStyle w:val="Hipercze"/>
            <w:spacing w:val="0"/>
          </w:rPr>
          <w:t xml:space="preserve"> Konstytucji – Prawo do opieki dyplomatycznej i konsularnej</w:t>
        </w:r>
        <w:r w:rsidR="00845591" w:rsidRPr="00EC250C">
          <w:rPr>
            <w:webHidden/>
          </w:rPr>
          <w:tab/>
        </w:r>
        <w:r w:rsidR="00845591" w:rsidRPr="00EC250C">
          <w:rPr>
            <w:webHidden/>
          </w:rPr>
          <w:fldChar w:fldCharType="begin"/>
        </w:r>
        <w:r w:rsidR="00845591" w:rsidRPr="00EC250C">
          <w:rPr>
            <w:webHidden/>
          </w:rPr>
          <w:instrText xml:space="preserve"> PAGEREF _Toc11247564 \h </w:instrText>
        </w:r>
        <w:r w:rsidR="00845591" w:rsidRPr="00EC250C">
          <w:rPr>
            <w:webHidden/>
          </w:rPr>
        </w:r>
        <w:r w:rsidR="00845591" w:rsidRPr="00EC250C">
          <w:rPr>
            <w:webHidden/>
          </w:rPr>
          <w:fldChar w:fldCharType="separate"/>
        </w:r>
        <w:r>
          <w:rPr>
            <w:webHidden/>
          </w:rPr>
          <w:t>73</w:t>
        </w:r>
        <w:r w:rsidR="00845591" w:rsidRPr="00EC250C">
          <w:rPr>
            <w:webHidden/>
          </w:rPr>
          <w:fldChar w:fldCharType="end"/>
        </w:r>
      </w:hyperlink>
    </w:p>
    <w:p w14:paraId="7010A2DC" w14:textId="3BB5DC49" w:rsidR="00845591" w:rsidRPr="00EC250C" w:rsidRDefault="00744B2D" w:rsidP="001759D6">
      <w:pPr>
        <w:pStyle w:val="Spistreci4"/>
        <w:rPr>
          <w:rFonts w:asciiTheme="minorHAnsi" w:eastAsiaTheme="minorEastAsia" w:hAnsiTheme="minorHAnsi" w:cstheme="minorBidi"/>
        </w:rPr>
      </w:pPr>
      <w:hyperlink w:anchor="_Toc11247565" w:history="1">
        <w:r w:rsidR="00845591" w:rsidRPr="00EC250C">
          <w:rPr>
            <w:rStyle w:val="Hipercze"/>
          </w:rPr>
          <w:t>Problemy z Kartą Polaka</w:t>
        </w:r>
        <w:r w:rsidR="00845591" w:rsidRPr="00EC250C">
          <w:rPr>
            <w:webHidden/>
          </w:rPr>
          <w:tab/>
        </w:r>
        <w:r w:rsidR="00845591" w:rsidRPr="00EC250C">
          <w:rPr>
            <w:webHidden/>
          </w:rPr>
          <w:fldChar w:fldCharType="begin"/>
        </w:r>
        <w:r w:rsidR="00845591" w:rsidRPr="00EC250C">
          <w:rPr>
            <w:webHidden/>
          </w:rPr>
          <w:instrText xml:space="preserve"> PAGEREF _Toc11247565 \h </w:instrText>
        </w:r>
        <w:r w:rsidR="00845591" w:rsidRPr="00EC250C">
          <w:rPr>
            <w:webHidden/>
          </w:rPr>
        </w:r>
        <w:r w:rsidR="00845591" w:rsidRPr="00EC250C">
          <w:rPr>
            <w:webHidden/>
          </w:rPr>
          <w:fldChar w:fldCharType="separate"/>
        </w:r>
        <w:r>
          <w:rPr>
            <w:webHidden/>
          </w:rPr>
          <w:t>74</w:t>
        </w:r>
        <w:r w:rsidR="00845591" w:rsidRPr="00EC250C">
          <w:rPr>
            <w:webHidden/>
          </w:rPr>
          <w:fldChar w:fldCharType="end"/>
        </w:r>
      </w:hyperlink>
    </w:p>
    <w:p w14:paraId="4944BB0C" w14:textId="45B404CA" w:rsidR="00845591" w:rsidRPr="00EC250C" w:rsidRDefault="00744B2D" w:rsidP="001759D6">
      <w:pPr>
        <w:pStyle w:val="Spistreci4"/>
        <w:rPr>
          <w:rFonts w:asciiTheme="minorHAnsi" w:eastAsiaTheme="minorEastAsia" w:hAnsiTheme="minorHAnsi" w:cstheme="minorBidi"/>
        </w:rPr>
      </w:pPr>
      <w:hyperlink w:anchor="_Toc11247566" w:history="1">
        <w:r w:rsidR="00845591" w:rsidRPr="00EC250C">
          <w:rPr>
            <w:rStyle w:val="Hipercze"/>
          </w:rPr>
          <w:t>Problemy Polaków mieszkających za granicą</w:t>
        </w:r>
        <w:r w:rsidR="00845591" w:rsidRPr="00EC250C">
          <w:rPr>
            <w:webHidden/>
          </w:rPr>
          <w:tab/>
        </w:r>
        <w:r w:rsidR="00845591" w:rsidRPr="00EC250C">
          <w:rPr>
            <w:webHidden/>
          </w:rPr>
          <w:fldChar w:fldCharType="begin"/>
        </w:r>
        <w:r w:rsidR="00845591" w:rsidRPr="00EC250C">
          <w:rPr>
            <w:webHidden/>
          </w:rPr>
          <w:instrText xml:space="preserve"> PAGEREF _Toc11247566 \h </w:instrText>
        </w:r>
        <w:r w:rsidR="00845591" w:rsidRPr="00EC250C">
          <w:rPr>
            <w:webHidden/>
          </w:rPr>
        </w:r>
        <w:r w:rsidR="00845591" w:rsidRPr="00EC250C">
          <w:rPr>
            <w:webHidden/>
          </w:rPr>
          <w:fldChar w:fldCharType="separate"/>
        </w:r>
        <w:r>
          <w:rPr>
            <w:webHidden/>
          </w:rPr>
          <w:t>74</w:t>
        </w:r>
        <w:r w:rsidR="00845591" w:rsidRPr="00EC250C">
          <w:rPr>
            <w:webHidden/>
          </w:rPr>
          <w:fldChar w:fldCharType="end"/>
        </w:r>
      </w:hyperlink>
    </w:p>
    <w:p w14:paraId="6CC88F34" w14:textId="7E59DB3A" w:rsidR="00845591" w:rsidRPr="00EC250C" w:rsidRDefault="00744B2D" w:rsidP="00A46160">
      <w:pPr>
        <w:pStyle w:val="Spistreci3"/>
        <w:rPr>
          <w:rFonts w:asciiTheme="minorHAnsi" w:eastAsiaTheme="minorEastAsia" w:hAnsiTheme="minorHAnsi" w:cstheme="minorBidi"/>
          <w:color w:val="auto"/>
          <w:sz w:val="20"/>
        </w:rPr>
      </w:pPr>
      <w:hyperlink w:anchor="_Toc11247567" w:history="1">
        <w:r w:rsidR="00845591" w:rsidRPr="00EC250C">
          <w:rPr>
            <w:rStyle w:val="Hipercze"/>
          </w:rPr>
          <w:t>Art. 37 Konstytucji – Jurysdykcja państwa polskiego</w:t>
        </w:r>
        <w:r w:rsidR="00845591" w:rsidRPr="00EC250C">
          <w:rPr>
            <w:webHidden/>
          </w:rPr>
          <w:tab/>
        </w:r>
        <w:r w:rsidR="00845591" w:rsidRPr="00EC250C">
          <w:rPr>
            <w:webHidden/>
          </w:rPr>
          <w:fldChar w:fldCharType="begin"/>
        </w:r>
        <w:r w:rsidR="00845591" w:rsidRPr="00EC250C">
          <w:rPr>
            <w:webHidden/>
          </w:rPr>
          <w:instrText xml:space="preserve"> PAGEREF _Toc11247567 \h </w:instrText>
        </w:r>
        <w:r w:rsidR="00845591" w:rsidRPr="00EC250C">
          <w:rPr>
            <w:webHidden/>
          </w:rPr>
        </w:r>
        <w:r w:rsidR="00845591" w:rsidRPr="00EC250C">
          <w:rPr>
            <w:webHidden/>
          </w:rPr>
          <w:fldChar w:fldCharType="separate"/>
        </w:r>
        <w:r>
          <w:rPr>
            <w:webHidden/>
          </w:rPr>
          <w:t>76</w:t>
        </w:r>
        <w:r w:rsidR="00845591" w:rsidRPr="00EC250C">
          <w:rPr>
            <w:webHidden/>
          </w:rPr>
          <w:fldChar w:fldCharType="end"/>
        </w:r>
      </w:hyperlink>
    </w:p>
    <w:p w14:paraId="652AA18B" w14:textId="1BBF607E" w:rsidR="00845591" w:rsidRPr="00EC250C" w:rsidRDefault="00744B2D" w:rsidP="001759D6">
      <w:pPr>
        <w:pStyle w:val="Spistreci4"/>
        <w:rPr>
          <w:rFonts w:asciiTheme="minorHAnsi" w:eastAsiaTheme="minorEastAsia" w:hAnsiTheme="minorHAnsi" w:cstheme="minorBidi"/>
        </w:rPr>
      </w:pPr>
      <w:hyperlink w:anchor="_Toc11247568" w:history="1">
        <w:r w:rsidR="00845591" w:rsidRPr="00EC250C">
          <w:rPr>
            <w:rStyle w:val="Hipercze"/>
          </w:rPr>
          <w:t>Brak możliwości odwołania się od odmowy wydania polskiej wizy</w:t>
        </w:r>
        <w:r w:rsidR="00845591" w:rsidRPr="00EC250C">
          <w:rPr>
            <w:webHidden/>
          </w:rPr>
          <w:tab/>
        </w:r>
        <w:r w:rsidR="00845591" w:rsidRPr="00EC250C">
          <w:rPr>
            <w:webHidden/>
          </w:rPr>
          <w:fldChar w:fldCharType="begin"/>
        </w:r>
        <w:r w:rsidR="00845591" w:rsidRPr="00EC250C">
          <w:rPr>
            <w:webHidden/>
          </w:rPr>
          <w:instrText xml:space="preserve"> PAGEREF _Toc11247568 \h </w:instrText>
        </w:r>
        <w:r w:rsidR="00845591" w:rsidRPr="00EC250C">
          <w:rPr>
            <w:webHidden/>
          </w:rPr>
        </w:r>
        <w:r w:rsidR="00845591" w:rsidRPr="00EC250C">
          <w:rPr>
            <w:webHidden/>
          </w:rPr>
          <w:fldChar w:fldCharType="separate"/>
        </w:r>
        <w:r>
          <w:rPr>
            <w:webHidden/>
          </w:rPr>
          <w:t>77</w:t>
        </w:r>
        <w:r w:rsidR="00845591" w:rsidRPr="00EC250C">
          <w:rPr>
            <w:webHidden/>
          </w:rPr>
          <w:fldChar w:fldCharType="end"/>
        </w:r>
      </w:hyperlink>
    </w:p>
    <w:p w14:paraId="2F8441D1" w14:textId="57F293E1" w:rsidR="00845591" w:rsidRPr="00EC250C" w:rsidRDefault="00744B2D">
      <w:pPr>
        <w:pStyle w:val="Spistreci2"/>
        <w:rPr>
          <w:rFonts w:asciiTheme="minorHAnsi" w:eastAsiaTheme="minorEastAsia" w:hAnsiTheme="minorHAnsi" w:cstheme="minorBidi"/>
          <w:b w:val="0"/>
          <w:spacing w:val="0"/>
          <w:sz w:val="20"/>
          <w:szCs w:val="20"/>
        </w:rPr>
      </w:pPr>
      <w:hyperlink w:anchor="_Toc11247569" w:history="1">
        <w:r w:rsidR="00845591" w:rsidRPr="00EC250C">
          <w:rPr>
            <w:rStyle w:val="Hipercze"/>
            <w:sz w:val="28"/>
            <w:szCs w:val="24"/>
          </w:rPr>
          <w:t>2. Wolności i prawa osobiste</w:t>
        </w:r>
        <w:r w:rsidR="00845591" w:rsidRPr="00EC250C">
          <w:rPr>
            <w:webHidden/>
            <w:sz w:val="28"/>
            <w:szCs w:val="24"/>
          </w:rPr>
          <w:tab/>
        </w:r>
        <w:r w:rsidR="00845591" w:rsidRPr="00EC250C">
          <w:rPr>
            <w:webHidden/>
            <w:sz w:val="28"/>
            <w:szCs w:val="24"/>
          </w:rPr>
          <w:fldChar w:fldCharType="begin"/>
        </w:r>
        <w:r w:rsidR="00845591" w:rsidRPr="00EC250C">
          <w:rPr>
            <w:webHidden/>
            <w:sz w:val="28"/>
            <w:szCs w:val="24"/>
          </w:rPr>
          <w:instrText xml:space="preserve"> PAGEREF _Toc11247569 \h </w:instrText>
        </w:r>
        <w:r w:rsidR="00845591" w:rsidRPr="00EC250C">
          <w:rPr>
            <w:webHidden/>
            <w:sz w:val="28"/>
            <w:szCs w:val="24"/>
          </w:rPr>
        </w:r>
        <w:r w:rsidR="00845591" w:rsidRPr="00EC250C">
          <w:rPr>
            <w:webHidden/>
            <w:sz w:val="28"/>
            <w:szCs w:val="24"/>
          </w:rPr>
          <w:fldChar w:fldCharType="separate"/>
        </w:r>
        <w:r>
          <w:rPr>
            <w:webHidden/>
            <w:sz w:val="28"/>
            <w:szCs w:val="24"/>
          </w:rPr>
          <w:t>79</w:t>
        </w:r>
        <w:r w:rsidR="00845591" w:rsidRPr="00EC250C">
          <w:rPr>
            <w:webHidden/>
            <w:sz w:val="28"/>
            <w:szCs w:val="24"/>
          </w:rPr>
          <w:fldChar w:fldCharType="end"/>
        </w:r>
      </w:hyperlink>
    </w:p>
    <w:p w14:paraId="7FDDAD1D" w14:textId="370E663D" w:rsidR="00845591" w:rsidRPr="00EC250C" w:rsidRDefault="00744B2D" w:rsidP="00A46160">
      <w:pPr>
        <w:pStyle w:val="Spistreci3"/>
        <w:rPr>
          <w:rFonts w:asciiTheme="minorHAnsi" w:eastAsiaTheme="minorEastAsia" w:hAnsiTheme="minorHAnsi" w:cstheme="minorBidi"/>
          <w:color w:val="auto"/>
          <w:sz w:val="20"/>
        </w:rPr>
      </w:pPr>
      <w:hyperlink w:anchor="_Toc11247570" w:history="1">
        <w:r w:rsidR="00845591" w:rsidRPr="00EC250C">
          <w:rPr>
            <w:rStyle w:val="Hipercze"/>
          </w:rPr>
          <w:t>Art. 38 Konstytucji – Prawo do życia</w:t>
        </w:r>
        <w:r w:rsidR="00845591" w:rsidRPr="00EC250C">
          <w:rPr>
            <w:webHidden/>
          </w:rPr>
          <w:tab/>
        </w:r>
        <w:r w:rsidR="00845591" w:rsidRPr="00EC250C">
          <w:rPr>
            <w:webHidden/>
          </w:rPr>
          <w:fldChar w:fldCharType="begin"/>
        </w:r>
        <w:r w:rsidR="00845591" w:rsidRPr="00EC250C">
          <w:rPr>
            <w:webHidden/>
          </w:rPr>
          <w:instrText xml:space="preserve"> PAGEREF _Toc11247570 \h </w:instrText>
        </w:r>
        <w:r w:rsidR="00845591" w:rsidRPr="00EC250C">
          <w:rPr>
            <w:webHidden/>
          </w:rPr>
        </w:r>
        <w:r w:rsidR="00845591" w:rsidRPr="00EC250C">
          <w:rPr>
            <w:webHidden/>
          </w:rPr>
          <w:fldChar w:fldCharType="separate"/>
        </w:r>
        <w:r>
          <w:rPr>
            <w:webHidden/>
          </w:rPr>
          <w:t>79</w:t>
        </w:r>
        <w:r w:rsidR="00845591" w:rsidRPr="00EC250C">
          <w:rPr>
            <w:webHidden/>
          </w:rPr>
          <w:fldChar w:fldCharType="end"/>
        </w:r>
      </w:hyperlink>
    </w:p>
    <w:p w14:paraId="76472898" w14:textId="29A26176" w:rsidR="00845591" w:rsidRPr="00EC250C" w:rsidRDefault="00744B2D" w:rsidP="001759D6">
      <w:pPr>
        <w:pStyle w:val="Spistreci4"/>
        <w:rPr>
          <w:rFonts w:asciiTheme="minorHAnsi" w:eastAsiaTheme="minorEastAsia" w:hAnsiTheme="minorHAnsi" w:cstheme="minorBidi"/>
        </w:rPr>
      </w:pPr>
      <w:hyperlink w:anchor="_Toc11247571" w:history="1">
        <w:r w:rsidR="00845591" w:rsidRPr="00EC250C">
          <w:rPr>
            <w:rStyle w:val="Hipercze"/>
          </w:rPr>
          <w:t>Śmierć na komisariacie</w:t>
        </w:r>
        <w:r w:rsidR="00845591" w:rsidRPr="00EC250C">
          <w:rPr>
            <w:webHidden/>
          </w:rPr>
          <w:tab/>
        </w:r>
        <w:r w:rsidR="00845591" w:rsidRPr="00EC250C">
          <w:rPr>
            <w:webHidden/>
          </w:rPr>
          <w:fldChar w:fldCharType="begin"/>
        </w:r>
        <w:r w:rsidR="00845591" w:rsidRPr="00EC250C">
          <w:rPr>
            <w:webHidden/>
          </w:rPr>
          <w:instrText xml:space="preserve"> PAGEREF _Toc11247571 \h </w:instrText>
        </w:r>
        <w:r w:rsidR="00845591" w:rsidRPr="00EC250C">
          <w:rPr>
            <w:webHidden/>
          </w:rPr>
        </w:r>
        <w:r w:rsidR="00845591" w:rsidRPr="00EC250C">
          <w:rPr>
            <w:webHidden/>
          </w:rPr>
          <w:fldChar w:fldCharType="separate"/>
        </w:r>
        <w:r>
          <w:rPr>
            <w:webHidden/>
          </w:rPr>
          <w:t>80</w:t>
        </w:r>
        <w:r w:rsidR="00845591" w:rsidRPr="00EC250C">
          <w:rPr>
            <w:webHidden/>
          </w:rPr>
          <w:fldChar w:fldCharType="end"/>
        </w:r>
      </w:hyperlink>
    </w:p>
    <w:p w14:paraId="22ED4130" w14:textId="6B3A8893" w:rsidR="00845591" w:rsidRPr="00EC250C" w:rsidRDefault="00744B2D" w:rsidP="001759D6">
      <w:pPr>
        <w:pStyle w:val="Spistreci4"/>
        <w:rPr>
          <w:rFonts w:asciiTheme="minorHAnsi" w:eastAsiaTheme="minorEastAsia" w:hAnsiTheme="minorHAnsi" w:cstheme="minorBidi"/>
        </w:rPr>
      </w:pPr>
      <w:hyperlink w:anchor="_Toc11247572" w:history="1">
        <w:r w:rsidR="00845591" w:rsidRPr="00EC250C">
          <w:rPr>
            <w:rStyle w:val="Hipercze"/>
          </w:rPr>
          <w:t>Nieprecyzyjne przepisy dotyczące broni gładkolufowej z gumowymi pociskami</w:t>
        </w:r>
        <w:r w:rsidR="00845591" w:rsidRPr="00EC250C">
          <w:rPr>
            <w:webHidden/>
          </w:rPr>
          <w:tab/>
        </w:r>
        <w:r w:rsidR="00845591" w:rsidRPr="00EC250C">
          <w:rPr>
            <w:webHidden/>
          </w:rPr>
          <w:fldChar w:fldCharType="begin"/>
        </w:r>
        <w:r w:rsidR="00845591" w:rsidRPr="00EC250C">
          <w:rPr>
            <w:webHidden/>
          </w:rPr>
          <w:instrText xml:space="preserve"> PAGEREF _Toc11247572 \h </w:instrText>
        </w:r>
        <w:r w:rsidR="00845591" w:rsidRPr="00EC250C">
          <w:rPr>
            <w:webHidden/>
          </w:rPr>
        </w:r>
        <w:r w:rsidR="00845591" w:rsidRPr="00EC250C">
          <w:rPr>
            <w:webHidden/>
          </w:rPr>
          <w:fldChar w:fldCharType="separate"/>
        </w:r>
        <w:r>
          <w:rPr>
            <w:webHidden/>
          </w:rPr>
          <w:t>80</w:t>
        </w:r>
        <w:r w:rsidR="00845591" w:rsidRPr="00EC250C">
          <w:rPr>
            <w:webHidden/>
          </w:rPr>
          <w:fldChar w:fldCharType="end"/>
        </w:r>
      </w:hyperlink>
    </w:p>
    <w:p w14:paraId="02EA8C8F" w14:textId="076A1479" w:rsidR="00845591" w:rsidRPr="00EC250C" w:rsidRDefault="00744B2D" w:rsidP="001759D6">
      <w:pPr>
        <w:pStyle w:val="Spistreci4"/>
        <w:rPr>
          <w:rFonts w:asciiTheme="minorHAnsi" w:eastAsiaTheme="minorEastAsia" w:hAnsiTheme="minorHAnsi" w:cstheme="minorBidi"/>
        </w:rPr>
      </w:pPr>
      <w:hyperlink w:anchor="_Toc11247573" w:history="1">
        <w:r w:rsidR="00845591" w:rsidRPr="00EC250C">
          <w:rPr>
            <w:rStyle w:val="Hipercze"/>
          </w:rPr>
          <w:t>Niebezpieczeństwo na polskich drogach</w:t>
        </w:r>
        <w:r w:rsidR="00845591" w:rsidRPr="00EC250C">
          <w:rPr>
            <w:webHidden/>
          </w:rPr>
          <w:tab/>
        </w:r>
        <w:r w:rsidR="00845591" w:rsidRPr="00EC250C">
          <w:rPr>
            <w:webHidden/>
          </w:rPr>
          <w:fldChar w:fldCharType="begin"/>
        </w:r>
        <w:r w:rsidR="00845591" w:rsidRPr="00EC250C">
          <w:rPr>
            <w:webHidden/>
          </w:rPr>
          <w:instrText xml:space="preserve"> PAGEREF _Toc11247573 \h </w:instrText>
        </w:r>
        <w:r w:rsidR="00845591" w:rsidRPr="00EC250C">
          <w:rPr>
            <w:webHidden/>
          </w:rPr>
        </w:r>
        <w:r w:rsidR="00845591" w:rsidRPr="00EC250C">
          <w:rPr>
            <w:webHidden/>
          </w:rPr>
          <w:fldChar w:fldCharType="separate"/>
        </w:r>
        <w:r>
          <w:rPr>
            <w:webHidden/>
          </w:rPr>
          <w:t>81</w:t>
        </w:r>
        <w:r w:rsidR="00845591" w:rsidRPr="00EC250C">
          <w:rPr>
            <w:webHidden/>
          </w:rPr>
          <w:fldChar w:fldCharType="end"/>
        </w:r>
      </w:hyperlink>
    </w:p>
    <w:p w14:paraId="7B1EED50" w14:textId="186CA3F5" w:rsidR="00845591" w:rsidRPr="00EC250C" w:rsidRDefault="00744B2D" w:rsidP="001759D6">
      <w:pPr>
        <w:pStyle w:val="Spistreci4"/>
        <w:rPr>
          <w:rFonts w:asciiTheme="minorHAnsi" w:eastAsiaTheme="minorEastAsia" w:hAnsiTheme="minorHAnsi" w:cstheme="minorBidi"/>
        </w:rPr>
      </w:pPr>
      <w:hyperlink w:anchor="_Toc11247574" w:history="1">
        <w:r w:rsidR="00845591" w:rsidRPr="00EC250C">
          <w:rPr>
            <w:rStyle w:val="Hipercze"/>
          </w:rPr>
          <w:t>Brak zasad prowadzenia badań genetycznych</w:t>
        </w:r>
        <w:r w:rsidR="00845591" w:rsidRPr="00EC250C">
          <w:rPr>
            <w:webHidden/>
          </w:rPr>
          <w:tab/>
        </w:r>
        <w:r w:rsidR="00845591" w:rsidRPr="00EC250C">
          <w:rPr>
            <w:webHidden/>
          </w:rPr>
          <w:fldChar w:fldCharType="begin"/>
        </w:r>
        <w:r w:rsidR="00845591" w:rsidRPr="00EC250C">
          <w:rPr>
            <w:webHidden/>
          </w:rPr>
          <w:instrText xml:space="preserve"> PAGEREF _Toc11247574 \h </w:instrText>
        </w:r>
        <w:r w:rsidR="00845591" w:rsidRPr="00EC250C">
          <w:rPr>
            <w:webHidden/>
          </w:rPr>
        </w:r>
        <w:r w:rsidR="00845591" w:rsidRPr="00EC250C">
          <w:rPr>
            <w:webHidden/>
          </w:rPr>
          <w:fldChar w:fldCharType="separate"/>
        </w:r>
        <w:r>
          <w:rPr>
            <w:webHidden/>
          </w:rPr>
          <w:t>81</w:t>
        </w:r>
        <w:r w:rsidR="00845591" w:rsidRPr="00EC250C">
          <w:rPr>
            <w:webHidden/>
          </w:rPr>
          <w:fldChar w:fldCharType="end"/>
        </w:r>
      </w:hyperlink>
    </w:p>
    <w:p w14:paraId="6C830C13" w14:textId="4F49AAAD" w:rsidR="00845591" w:rsidRPr="00EC250C" w:rsidRDefault="00744B2D" w:rsidP="001759D6">
      <w:pPr>
        <w:pStyle w:val="Spistreci4"/>
        <w:rPr>
          <w:rFonts w:asciiTheme="minorHAnsi" w:eastAsiaTheme="minorEastAsia" w:hAnsiTheme="minorHAnsi" w:cstheme="minorBidi"/>
        </w:rPr>
      </w:pPr>
      <w:hyperlink w:anchor="_Toc11247575" w:history="1">
        <w:r w:rsidR="00845591" w:rsidRPr="00EC250C">
          <w:rPr>
            <w:rStyle w:val="Hipercze"/>
          </w:rPr>
          <w:t>Pacjent nie może wydawać zgód co do przyszłych zabiegów</w:t>
        </w:r>
        <w:r w:rsidR="00845591" w:rsidRPr="00EC250C">
          <w:rPr>
            <w:webHidden/>
          </w:rPr>
          <w:tab/>
        </w:r>
        <w:r w:rsidR="00845591" w:rsidRPr="00EC250C">
          <w:rPr>
            <w:webHidden/>
          </w:rPr>
          <w:fldChar w:fldCharType="begin"/>
        </w:r>
        <w:r w:rsidR="00845591" w:rsidRPr="00EC250C">
          <w:rPr>
            <w:webHidden/>
          </w:rPr>
          <w:instrText xml:space="preserve"> PAGEREF _Toc11247575 \h </w:instrText>
        </w:r>
        <w:r w:rsidR="00845591" w:rsidRPr="00EC250C">
          <w:rPr>
            <w:webHidden/>
          </w:rPr>
        </w:r>
        <w:r w:rsidR="00845591" w:rsidRPr="00EC250C">
          <w:rPr>
            <w:webHidden/>
          </w:rPr>
          <w:fldChar w:fldCharType="separate"/>
        </w:r>
        <w:r>
          <w:rPr>
            <w:webHidden/>
          </w:rPr>
          <w:t>81</w:t>
        </w:r>
        <w:r w:rsidR="00845591" w:rsidRPr="00EC250C">
          <w:rPr>
            <w:webHidden/>
          </w:rPr>
          <w:fldChar w:fldCharType="end"/>
        </w:r>
      </w:hyperlink>
    </w:p>
    <w:p w14:paraId="7A7328F7" w14:textId="3347361E" w:rsidR="00845591" w:rsidRPr="00EC250C" w:rsidRDefault="00744B2D" w:rsidP="00A46160">
      <w:pPr>
        <w:pStyle w:val="Spistreci3"/>
        <w:rPr>
          <w:rFonts w:asciiTheme="minorHAnsi" w:eastAsiaTheme="minorEastAsia" w:hAnsiTheme="minorHAnsi" w:cstheme="minorBidi"/>
          <w:color w:val="auto"/>
          <w:sz w:val="20"/>
        </w:rPr>
      </w:pPr>
      <w:hyperlink w:anchor="_Toc11247576" w:history="1">
        <w:r w:rsidR="00845591" w:rsidRPr="00EC250C">
          <w:rPr>
            <w:rStyle w:val="Hipercze"/>
          </w:rPr>
          <w:t>Art. 39 Konstytucji – Zakaz eksperymentów naukowych</w:t>
        </w:r>
        <w:r w:rsidR="00845591" w:rsidRPr="00EC250C">
          <w:rPr>
            <w:webHidden/>
          </w:rPr>
          <w:tab/>
        </w:r>
        <w:r w:rsidR="00845591" w:rsidRPr="00EC250C">
          <w:rPr>
            <w:webHidden/>
          </w:rPr>
          <w:fldChar w:fldCharType="begin"/>
        </w:r>
        <w:r w:rsidR="00845591" w:rsidRPr="00EC250C">
          <w:rPr>
            <w:webHidden/>
          </w:rPr>
          <w:instrText xml:space="preserve"> PAGEREF _Toc11247576 \h </w:instrText>
        </w:r>
        <w:r w:rsidR="00845591" w:rsidRPr="00EC250C">
          <w:rPr>
            <w:webHidden/>
          </w:rPr>
        </w:r>
        <w:r w:rsidR="00845591" w:rsidRPr="00EC250C">
          <w:rPr>
            <w:webHidden/>
          </w:rPr>
          <w:fldChar w:fldCharType="separate"/>
        </w:r>
        <w:r>
          <w:rPr>
            <w:webHidden/>
          </w:rPr>
          <w:t>82</w:t>
        </w:r>
        <w:r w:rsidR="00845591" w:rsidRPr="00EC250C">
          <w:rPr>
            <w:webHidden/>
          </w:rPr>
          <w:fldChar w:fldCharType="end"/>
        </w:r>
      </w:hyperlink>
    </w:p>
    <w:p w14:paraId="2EF77382" w14:textId="23CEDC84" w:rsidR="00845591" w:rsidRPr="00EC250C" w:rsidRDefault="00744B2D" w:rsidP="00A46160">
      <w:pPr>
        <w:pStyle w:val="Spistreci3"/>
        <w:rPr>
          <w:rFonts w:asciiTheme="minorHAnsi" w:eastAsiaTheme="minorEastAsia" w:hAnsiTheme="minorHAnsi" w:cstheme="minorBidi"/>
          <w:color w:val="auto"/>
          <w:sz w:val="20"/>
        </w:rPr>
      </w:pPr>
      <w:hyperlink w:anchor="_Toc11247577" w:history="1">
        <w:r w:rsidR="00845591" w:rsidRPr="00EC250C">
          <w:rPr>
            <w:rStyle w:val="Hipercze"/>
          </w:rPr>
          <w:t>Art. 40 Konstytucji – Zakaz tortur, nieludzkiego i poniżającego traktowania</w:t>
        </w:r>
        <w:r w:rsidR="00845591" w:rsidRPr="00EC250C">
          <w:rPr>
            <w:webHidden/>
          </w:rPr>
          <w:tab/>
        </w:r>
        <w:r w:rsidR="00845591" w:rsidRPr="00EC250C">
          <w:rPr>
            <w:webHidden/>
          </w:rPr>
          <w:fldChar w:fldCharType="begin"/>
        </w:r>
        <w:r w:rsidR="00845591" w:rsidRPr="00EC250C">
          <w:rPr>
            <w:webHidden/>
          </w:rPr>
          <w:instrText xml:space="preserve"> PAGEREF _Toc11247577 \h </w:instrText>
        </w:r>
        <w:r w:rsidR="00845591" w:rsidRPr="00EC250C">
          <w:rPr>
            <w:webHidden/>
          </w:rPr>
        </w:r>
        <w:r w:rsidR="00845591" w:rsidRPr="00EC250C">
          <w:rPr>
            <w:webHidden/>
          </w:rPr>
          <w:fldChar w:fldCharType="separate"/>
        </w:r>
        <w:r>
          <w:rPr>
            <w:webHidden/>
          </w:rPr>
          <w:t>83</w:t>
        </w:r>
        <w:r w:rsidR="00845591" w:rsidRPr="00EC250C">
          <w:rPr>
            <w:webHidden/>
          </w:rPr>
          <w:fldChar w:fldCharType="end"/>
        </w:r>
      </w:hyperlink>
    </w:p>
    <w:p w14:paraId="66170BBB" w14:textId="42E5CE6B" w:rsidR="00845591" w:rsidRPr="00EC250C" w:rsidRDefault="00744B2D" w:rsidP="001759D6">
      <w:pPr>
        <w:pStyle w:val="Spistreci4"/>
        <w:rPr>
          <w:rFonts w:asciiTheme="minorHAnsi" w:eastAsiaTheme="minorEastAsia" w:hAnsiTheme="minorHAnsi" w:cstheme="minorBidi"/>
        </w:rPr>
      </w:pPr>
      <w:hyperlink w:anchor="_Toc11247578" w:history="1">
        <w:r w:rsidR="00845591" w:rsidRPr="00EC250C">
          <w:rPr>
            <w:rStyle w:val="Hipercze"/>
          </w:rPr>
          <w:t>Tortury w Polsce – ponura rzeczywistość</w:t>
        </w:r>
        <w:r w:rsidR="00845591" w:rsidRPr="00EC250C">
          <w:rPr>
            <w:webHidden/>
          </w:rPr>
          <w:tab/>
        </w:r>
        <w:r w:rsidR="00845591" w:rsidRPr="00EC250C">
          <w:rPr>
            <w:webHidden/>
          </w:rPr>
          <w:fldChar w:fldCharType="begin"/>
        </w:r>
        <w:r w:rsidR="00845591" w:rsidRPr="00EC250C">
          <w:rPr>
            <w:webHidden/>
          </w:rPr>
          <w:instrText xml:space="preserve"> PAGEREF _Toc11247578 \h </w:instrText>
        </w:r>
        <w:r w:rsidR="00845591" w:rsidRPr="00EC250C">
          <w:rPr>
            <w:webHidden/>
          </w:rPr>
        </w:r>
        <w:r w:rsidR="00845591" w:rsidRPr="00EC250C">
          <w:rPr>
            <w:webHidden/>
          </w:rPr>
          <w:fldChar w:fldCharType="separate"/>
        </w:r>
        <w:r>
          <w:rPr>
            <w:webHidden/>
          </w:rPr>
          <w:t>85</w:t>
        </w:r>
        <w:r w:rsidR="00845591" w:rsidRPr="00EC250C">
          <w:rPr>
            <w:webHidden/>
          </w:rPr>
          <w:fldChar w:fldCharType="end"/>
        </w:r>
      </w:hyperlink>
    </w:p>
    <w:p w14:paraId="1D29E60B" w14:textId="1CD9F0C5" w:rsidR="00845591" w:rsidRPr="00EC250C" w:rsidRDefault="00744B2D" w:rsidP="001759D6">
      <w:pPr>
        <w:pStyle w:val="Spistreci4"/>
        <w:rPr>
          <w:rFonts w:asciiTheme="minorHAnsi" w:eastAsiaTheme="minorEastAsia" w:hAnsiTheme="minorHAnsi" w:cstheme="minorBidi"/>
        </w:rPr>
      </w:pPr>
      <w:hyperlink w:anchor="_Toc11247579" w:history="1">
        <w:r w:rsidR="00845591" w:rsidRPr="00EC250C">
          <w:rPr>
            <w:rStyle w:val="Hipercze"/>
          </w:rPr>
          <w:t>Brak penalizacji tortur w polskim prawie</w:t>
        </w:r>
        <w:r w:rsidR="00845591" w:rsidRPr="00EC250C">
          <w:rPr>
            <w:webHidden/>
          </w:rPr>
          <w:tab/>
        </w:r>
        <w:r w:rsidR="00845591" w:rsidRPr="00EC250C">
          <w:rPr>
            <w:webHidden/>
          </w:rPr>
          <w:fldChar w:fldCharType="begin"/>
        </w:r>
        <w:r w:rsidR="00845591" w:rsidRPr="00EC250C">
          <w:rPr>
            <w:webHidden/>
          </w:rPr>
          <w:instrText xml:space="preserve"> PAGEREF _Toc11247579 \h </w:instrText>
        </w:r>
        <w:r w:rsidR="00845591" w:rsidRPr="00EC250C">
          <w:rPr>
            <w:webHidden/>
          </w:rPr>
        </w:r>
        <w:r w:rsidR="00845591" w:rsidRPr="00EC250C">
          <w:rPr>
            <w:webHidden/>
          </w:rPr>
          <w:fldChar w:fldCharType="separate"/>
        </w:r>
        <w:r>
          <w:rPr>
            <w:webHidden/>
          </w:rPr>
          <w:t>87</w:t>
        </w:r>
        <w:r w:rsidR="00845591" w:rsidRPr="00EC250C">
          <w:rPr>
            <w:webHidden/>
          </w:rPr>
          <w:fldChar w:fldCharType="end"/>
        </w:r>
      </w:hyperlink>
    </w:p>
    <w:p w14:paraId="6B6AF70E" w14:textId="5D592373" w:rsidR="00845591" w:rsidRPr="00EC250C" w:rsidRDefault="00744B2D" w:rsidP="001759D6">
      <w:pPr>
        <w:pStyle w:val="Spistreci4"/>
        <w:rPr>
          <w:rFonts w:asciiTheme="minorHAnsi" w:eastAsiaTheme="minorEastAsia" w:hAnsiTheme="minorHAnsi" w:cstheme="minorBidi"/>
        </w:rPr>
      </w:pPr>
      <w:hyperlink w:anchor="_Toc11247580" w:history="1">
        <w:r w:rsidR="00845591" w:rsidRPr="00EC250C">
          <w:rPr>
            <w:rStyle w:val="Hipercze"/>
          </w:rPr>
          <w:t>Niewdrożony kluczowy mechanizm zapobiegający torturom i poniżającemu traktowaniu – obrońca dla każdego</w:t>
        </w:r>
        <w:r w:rsidR="00845591" w:rsidRPr="00EC250C">
          <w:rPr>
            <w:webHidden/>
          </w:rPr>
          <w:tab/>
        </w:r>
        <w:r w:rsidR="00845591" w:rsidRPr="00EC250C">
          <w:rPr>
            <w:webHidden/>
          </w:rPr>
          <w:fldChar w:fldCharType="begin"/>
        </w:r>
        <w:r w:rsidR="00845591" w:rsidRPr="00EC250C">
          <w:rPr>
            <w:webHidden/>
          </w:rPr>
          <w:instrText xml:space="preserve"> PAGEREF _Toc11247580 \h </w:instrText>
        </w:r>
        <w:r w:rsidR="00845591" w:rsidRPr="00EC250C">
          <w:rPr>
            <w:webHidden/>
          </w:rPr>
        </w:r>
        <w:r w:rsidR="00845591" w:rsidRPr="00EC250C">
          <w:rPr>
            <w:webHidden/>
          </w:rPr>
          <w:fldChar w:fldCharType="separate"/>
        </w:r>
        <w:r>
          <w:rPr>
            <w:webHidden/>
          </w:rPr>
          <w:t>88</w:t>
        </w:r>
        <w:r w:rsidR="00845591" w:rsidRPr="00EC250C">
          <w:rPr>
            <w:webHidden/>
          </w:rPr>
          <w:fldChar w:fldCharType="end"/>
        </w:r>
      </w:hyperlink>
    </w:p>
    <w:p w14:paraId="0194C3BC" w14:textId="2342D83A" w:rsidR="00845591" w:rsidRPr="00EC250C" w:rsidRDefault="00744B2D" w:rsidP="001759D6">
      <w:pPr>
        <w:pStyle w:val="Spistreci4"/>
        <w:rPr>
          <w:rFonts w:asciiTheme="minorHAnsi" w:eastAsiaTheme="minorEastAsia" w:hAnsiTheme="minorHAnsi" w:cstheme="minorBidi"/>
        </w:rPr>
      </w:pPr>
      <w:hyperlink w:anchor="_Toc11247581" w:history="1">
        <w:r w:rsidR="00845591" w:rsidRPr="00EC250C">
          <w:rPr>
            <w:rStyle w:val="Hipercze"/>
          </w:rPr>
          <w:t>Brak ochrony sygnalistów ujawniających przypadki tortur</w:t>
        </w:r>
        <w:r w:rsidR="00845591" w:rsidRPr="00EC250C">
          <w:rPr>
            <w:webHidden/>
          </w:rPr>
          <w:tab/>
        </w:r>
        <w:r w:rsidR="00845591" w:rsidRPr="00EC250C">
          <w:rPr>
            <w:webHidden/>
          </w:rPr>
          <w:fldChar w:fldCharType="begin"/>
        </w:r>
        <w:r w:rsidR="00845591" w:rsidRPr="00EC250C">
          <w:rPr>
            <w:webHidden/>
          </w:rPr>
          <w:instrText xml:space="preserve"> PAGEREF _Toc11247581 \h </w:instrText>
        </w:r>
        <w:r w:rsidR="00845591" w:rsidRPr="00EC250C">
          <w:rPr>
            <w:webHidden/>
          </w:rPr>
        </w:r>
        <w:r w:rsidR="00845591" w:rsidRPr="00EC250C">
          <w:rPr>
            <w:webHidden/>
          </w:rPr>
          <w:fldChar w:fldCharType="separate"/>
        </w:r>
        <w:r>
          <w:rPr>
            <w:webHidden/>
          </w:rPr>
          <w:t>89</w:t>
        </w:r>
        <w:r w:rsidR="00845591" w:rsidRPr="00EC250C">
          <w:rPr>
            <w:webHidden/>
          </w:rPr>
          <w:fldChar w:fldCharType="end"/>
        </w:r>
      </w:hyperlink>
    </w:p>
    <w:p w14:paraId="4325A949" w14:textId="534A8F25" w:rsidR="00845591" w:rsidRPr="00EC250C" w:rsidRDefault="00744B2D" w:rsidP="001759D6">
      <w:pPr>
        <w:pStyle w:val="Spistreci4"/>
        <w:rPr>
          <w:rFonts w:asciiTheme="minorHAnsi" w:eastAsiaTheme="minorEastAsia" w:hAnsiTheme="minorHAnsi" w:cstheme="minorBidi"/>
        </w:rPr>
      </w:pPr>
      <w:hyperlink w:anchor="_Toc11247582" w:history="1">
        <w:r w:rsidR="00845591" w:rsidRPr="00EC250C">
          <w:rPr>
            <w:rStyle w:val="Hipercze"/>
          </w:rPr>
          <w:t>Przypadki okrutnego i poniżającego traktowania w placówkach opieki</w:t>
        </w:r>
        <w:r w:rsidR="00845591" w:rsidRPr="00EC250C">
          <w:rPr>
            <w:webHidden/>
          </w:rPr>
          <w:tab/>
        </w:r>
        <w:r w:rsidR="00845591" w:rsidRPr="00EC250C">
          <w:rPr>
            <w:webHidden/>
          </w:rPr>
          <w:fldChar w:fldCharType="begin"/>
        </w:r>
        <w:r w:rsidR="00845591" w:rsidRPr="00EC250C">
          <w:rPr>
            <w:webHidden/>
          </w:rPr>
          <w:instrText xml:space="preserve"> PAGEREF _Toc11247582 \h </w:instrText>
        </w:r>
        <w:r w:rsidR="00845591" w:rsidRPr="00EC250C">
          <w:rPr>
            <w:webHidden/>
          </w:rPr>
        </w:r>
        <w:r w:rsidR="00845591" w:rsidRPr="00EC250C">
          <w:rPr>
            <w:webHidden/>
          </w:rPr>
          <w:fldChar w:fldCharType="separate"/>
        </w:r>
        <w:r>
          <w:rPr>
            <w:webHidden/>
          </w:rPr>
          <w:t>90</w:t>
        </w:r>
        <w:r w:rsidR="00845591" w:rsidRPr="00EC250C">
          <w:rPr>
            <w:webHidden/>
          </w:rPr>
          <w:fldChar w:fldCharType="end"/>
        </w:r>
      </w:hyperlink>
    </w:p>
    <w:p w14:paraId="16DC32E2" w14:textId="51682B38" w:rsidR="00845591" w:rsidRPr="00EC250C" w:rsidRDefault="00744B2D" w:rsidP="00A46160">
      <w:pPr>
        <w:pStyle w:val="Spistreci3"/>
        <w:rPr>
          <w:rFonts w:asciiTheme="minorHAnsi" w:eastAsiaTheme="minorEastAsia" w:hAnsiTheme="minorHAnsi" w:cstheme="minorBidi"/>
          <w:color w:val="auto"/>
          <w:sz w:val="20"/>
        </w:rPr>
      </w:pPr>
      <w:hyperlink w:anchor="_Toc11247583" w:history="1">
        <w:r w:rsidR="00845591" w:rsidRPr="00EC250C">
          <w:rPr>
            <w:rStyle w:val="Hipercze"/>
          </w:rPr>
          <w:t>Art. 41 ust. 1 Konstytucji – Nietykalność osobista i wolność osobista</w:t>
        </w:r>
        <w:r w:rsidR="00845591" w:rsidRPr="00EC250C">
          <w:rPr>
            <w:webHidden/>
          </w:rPr>
          <w:tab/>
        </w:r>
        <w:r w:rsidR="00845591" w:rsidRPr="00EC250C">
          <w:rPr>
            <w:webHidden/>
          </w:rPr>
          <w:fldChar w:fldCharType="begin"/>
        </w:r>
        <w:r w:rsidR="00845591" w:rsidRPr="00EC250C">
          <w:rPr>
            <w:webHidden/>
          </w:rPr>
          <w:instrText xml:space="preserve"> PAGEREF _Toc11247583 \h </w:instrText>
        </w:r>
        <w:r w:rsidR="00845591" w:rsidRPr="00EC250C">
          <w:rPr>
            <w:webHidden/>
          </w:rPr>
        </w:r>
        <w:r w:rsidR="00845591" w:rsidRPr="00EC250C">
          <w:rPr>
            <w:webHidden/>
          </w:rPr>
          <w:fldChar w:fldCharType="separate"/>
        </w:r>
        <w:r>
          <w:rPr>
            <w:webHidden/>
          </w:rPr>
          <w:t>91</w:t>
        </w:r>
        <w:r w:rsidR="00845591" w:rsidRPr="00EC250C">
          <w:rPr>
            <w:webHidden/>
          </w:rPr>
          <w:fldChar w:fldCharType="end"/>
        </w:r>
      </w:hyperlink>
    </w:p>
    <w:p w14:paraId="1898D37B" w14:textId="020394AE" w:rsidR="00845591" w:rsidRPr="00EC250C" w:rsidRDefault="00744B2D" w:rsidP="001759D6">
      <w:pPr>
        <w:pStyle w:val="Spistreci4"/>
        <w:rPr>
          <w:rFonts w:asciiTheme="minorHAnsi" w:eastAsiaTheme="minorEastAsia" w:hAnsiTheme="minorHAnsi" w:cstheme="minorBidi"/>
        </w:rPr>
      </w:pPr>
      <w:hyperlink w:anchor="_Toc11247584" w:history="1">
        <w:r w:rsidR="00845591" w:rsidRPr="00EC250C">
          <w:rPr>
            <w:rStyle w:val="Hipercze"/>
          </w:rPr>
          <w:t>Iluzoryczna skuteczność środków odwoławczych dotyczących tymczasowego aresztowania</w:t>
        </w:r>
        <w:r w:rsidR="00845591" w:rsidRPr="00EC250C">
          <w:rPr>
            <w:webHidden/>
          </w:rPr>
          <w:tab/>
        </w:r>
        <w:r w:rsidR="00845591" w:rsidRPr="00EC250C">
          <w:rPr>
            <w:webHidden/>
          </w:rPr>
          <w:fldChar w:fldCharType="begin"/>
        </w:r>
        <w:r w:rsidR="00845591" w:rsidRPr="00EC250C">
          <w:rPr>
            <w:webHidden/>
          </w:rPr>
          <w:instrText xml:space="preserve"> PAGEREF _Toc11247584 \h </w:instrText>
        </w:r>
        <w:r w:rsidR="00845591" w:rsidRPr="00EC250C">
          <w:rPr>
            <w:webHidden/>
          </w:rPr>
        </w:r>
        <w:r w:rsidR="00845591" w:rsidRPr="00EC250C">
          <w:rPr>
            <w:webHidden/>
          </w:rPr>
          <w:fldChar w:fldCharType="separate"/>
        </w:r>
        <w:r>
          <w:rPr>
            <w:webHidden/>
          </w:rPr>
          <w:t>92</w:t>
        </w:r>
        <w:r w:rsidR="00845591" w:rsidRPr="00EC250C">
          <w:rPr>
            <w:webHidden/>
          </w:rPr>
          <w:fldChar w:fldCharType="end"/>
        </w:r>
      </w:hyperlink>
    </w:p>
    <w:p w14:paraId="39F5E52F" w14:textId="5D9AA049" w:rsidR="00845591" w:rsidRPr="00EC250C" w:rsidRDefault="00744B2D" w:rsidP="001759D6">
      <w:pPr>
        <w:pStyle w:val="Spistreci4"/>
        <w:rPr>
          <w:rFonts w:asciiTheme="minorHAnsi" w:eastAsiaTheme="minorEastAsia" w:hAnsiTheme="minorHAnsi" w:cstheme="minorBidi"/>
        </w:rPr>
      </w:pPr>
      <w:hyperlink w:anchor="_Toc11247585" w:history="1">
        <w:r w:rsidR="00845591" w:rsidRPr="00EC250C">
          <w:rPr>
            <w:rStyle w:val="Hipercze"/>
          </w:rPr>
          <w:t>Bezkarność strażników leśnych, którzy występowali przeciw demonstrującym w Puszczy Białowieskiej</w:t>
        </w:r>
        <w:r w:rsidR="00845591" w:rsidRPr="00EC250C">
          <w:rPr>
            <w:webHidden/>
          </w:rPr>
          <w:tab/>
        </w:r>
        <w:r w:rsidR="00845591" w:rsidRPr="00EC250C">
          <w:rPr>
            <w:webHidden/>
          </w:rPr>
          <w:fldChar w:fldCharType="begin"/>
        </w:r>
        <w:r w:rsidR="00845591" w:rsidRPr="00EC250C">
          <w:rPr>
            <w:webHidden/>
          </w:rPr>
          <w:instrText xml:space="preserve"> PAGEREF _Toc11247585 \h </w:instrText>
        </w:r>
        <w:r w:rsidR="00845591" w:rsidRPr="00EC250C">
          <w:rPr>
            <w:webHidden/>
          </w:rPr>
        </w:r>
        <w:r w:rsidR="00845591" w:rsidRPr="00EC250C">
          <w:rPr>
            <w:webHidden/>
          </w:rPr>
          <w:fldChar w:fldCharType="separate"/>
        </w:r>
        <w:r>
          <w:rPr>
            <w:webHidden/>
          </w:rPr>
          <w:t>93</w:t>
        </w:r>
        <w:r w:rsidR="00845591" w:rsidRPr="00EC250C">
          <w:rPr>
            <w:webHidden/>
          </w:rPr>
          <w:fldChar w:fldCharType="end"/>
        </w:r>
      </w:hyperlink>
    </w:p>
    <w:p w14:paraId="29660B33" w14:textId="01EC3578" w:rsidR="00845591" w:rsidRPr="00EC250C" w:rsidRDefault="00744B2D" w:rsidP="001759D6">
      <w:pPr>
        <w:pStyle w:val="Spistreci4"/>
        <w:rPr>
          <w:rFonts w:asciiTheme="minorHAnsi" w:eastAsiaTheme="minorEastAsia" w:hAnsiTheme="minorHAnsi" w:cstheme="minorBidi"/>
        </w:rPr>
      </w:pPr>
      <w:hyperlink w:anchor="_Toc11247586" w:history="1">
        <w:r w:rsidR="00845591" w:rsidRPr="00EC250C">
          <w:rPr>
            <w:rStyle w:val="Hipercze"/>
          </w:rPr>
          <w:t>Problemy z odszkodowaniami za bezprawne przeszukania i kontrolę osobistą</w:t>
        </w:r>
        <w:r w:rsidR="00845591" w:rsidRPr="00EC250C">
          <w:rPr>
            <w:webHidden/>
          </w:rPr>
          <w:tab/>
        </w:r>
        <w:r w:rsidR="00845591" w:rsidRPr="00EC250C">
          <w:rPr>
            <w:webHidden/>
          </w:rPr>
          <w:fldChar w:fldCharType="begin"/>
        </w:r>
        <w:r w:rsidR="00845591" w:rsidRPr="00EC250C">
          <w:rPr>
            <w:webHidden/>
          </w:rPr>
          <w:instrText xml:space="preserve"> PAGEREF _Toc11247586 \h </w:instrText>
        </w:r>
        <w:r w:rsidR="00845591" w:rsidRPr="00EC250C">
          <w:rPr>
            <w:webHidden/>
          </w:rPr>
        </w:r>
        <w:r w:rsidR="00845591" w:rsidRPr="00EC250C">
          <w:rPr>
            <w:webHidden/>
          </w:rPr>
          <w:fldChar w:fldCharType="separate"/>
        </w:r>
        <w:r>
          <w:rPr>
            <w:webHidden/>
          </w:rPr>
          <w:t>94</w:t>
        </w:r>
        <w:r w:rsidR="00845591" w:rsidRPr="00EC250C">
          <w:rPr>
            <w:webHidden/>
          </w:rPr>
          <w:fldChar w:fldCharType="end"/>
        </w:r>
      </w:hyperlink>
    </w:p>
    <w:p w14:paraId="4AC8762C" w14:textId="71C32B5C" w:rsidR="00845591" w:rsidRPr="00EC250C" w:rsidRDefault="00744B2D" w:rsidP="001759D6">
      <w:pPr>
        <w:pStyle w:val="Spistreci4"/>
        <w:rPr>
          <w:rFonts w:asciiTheme="minorHAnsi" w:eastAsiaTheme="minorEastAsia" w:hAnsiTheme="minorHAnsi" w:cstheme="minorBidi"/>
        </w:rPr>
      </w:pPr>
      <w:hyperlink w:anchor="_Toc11247587" w:history="1">
        <w:r w:rsidR="00845591" w:rsidRPr="00EC250C">
          <w:rPr>
            <w:rStyle w:val="Hipercze"/>
          </w:rPr>
          <w:t>Prawa mieszkańców Krajowego Ośrodka Zapobiegania Zachowaniom Dyssocjalnym w Gostyninie</w:t>
        </w:r>
        <w:r w:rsidR="00845591" w:rsidRPr="00EC250C">
          <w:rPr>
            <w:webHidden/>
          </w:rPr>
          <w:tab/>
        </w:r>
        <w:r w:rsidR="00845591" w:rsidRPr="00EC250C">
          <w:rPr>
            <w:webHidden/>
          </w:rPr>
          <w:fldChar w:fldCharType="begin"/>
        </w:r>
        <w:r w:rsidR="00845591" w:rsidRPr="00EC250C">
          <w:rPr>
            <w:webHidden/>
          </w:rPr>
          <w:instrText xml:space="preserve"> PAGEREF _Toc11247587 \h </w:instrText>
        </w:r>
        <w:r w:rsidR="00845591" w:rsidRPr="00EC250C">
          <w:rPr>
            <w:webHidden/>
          </w:rPr>
        </w:r>
        <w:r w:rsidR="00845591" w:rsidRPr="00EC250C">
          <w:rPr>
            <w:webHidden/>
          </w:rPr>
          <w:fldChar w:fldCharType="separate"/>
        </w:r>
        <w:r>
          <w:rPr>
            <w:webHidden/>
          </w:rPr>
          <w:t>95</w:t>
        </w:r>
        <w:r w:rsidR="00845591" w:rsidRPr="00EC250C">
          <w:rPr>
            <w:webHidden/>
          </w:rPr>
          <w:fldChar w:fldCharType="end"/>
        </w:r>
      </w:hyperlink>
    </w:p>
    <w:p w14:paraId="076A5D3D" w14:textId="6AA36007" w:rsidR="00845591" w:rsidRPr="00EC250C" w:rsidRDefault="00744B2D" w:rsidP="001759D6">
      <w:pPr>
        <w:pStyle w:val="Spistreci4"/>
        <w:rPr>
          <w:rFonts w:asciiTheme="minorHAnsi" w:eastAsiaTheme="minorEastAsia" w:hAnsiTheme="minorHAnsi" w:cstheme="minorBidi"/>
        </w:rPr>
      </w:pPr>
      <w:hyperlink w:anchor="_Toc11247588" w:history="1">
        <w:r w:rsidR="00845591" w:rsidRPr="00EC250C">
          <w:rPr>
            <w:rStyle w:val="Hipercze"/>
          </w:rPr>
          <w:t>Inne problemy dotyczące wolności osobistej</w:t>
        </w:r>
        <w:r w:rsidR="00845591" w:rsidRPr="00EC250C">
          <w:rPr>
            <w:webHidden/>
          </w:rPr>
          <w:tab/>
        </w:r>
        <w:r w:rsidR="00845591" w:rsidRPr="00EC250C">
          <w:rPr>
            <w:webHidden/>
          </w:rPr>
          <w:fldChar w:fldCharType="begin"/>
        </w:r>
        <w:r w:rsidR="00845591" w:rsidRPr="00EC250C">
          <w:rPr>
            <w:webHidden/>
          </w:rPr>
          <w:instrText xml:space="preserve"> PAGEREF _Toc11247588 \h </w:instrText>
        </w:r>
        <w:r w:rsidR="00845591" w:rsidRPr="00EC250C">
          <w:rPr>
            <w:webHidden/>
          </w:rPr>
        </w:r>
        <w:r w:rsidR="00845591" w:rsidRPr="00EC250C">
          <w:rPr>
            <w:webHidden/>
          </w:rPr>
          <w:fldChar w:fldCharType="separate"/>
        </w:r>
        <w:r>
          <w:rPr>
            <w:webHidden/>
          </w:rPr>
          <w:t>97</w:t>
        </w:r>
        <w:r w:rsidR="00845591" w:rsidRPr="00EC250C">
          <w:rPr>
            <w:webHidden/>
          </w:rPr>
          <w:fldChar w:fldCharType="end"/>
        </w:r>
      </w:hyperlink>
    </w:p>
    <w:p w14:paraId="1687AC2D" w14:textId="78FC3D8D" w:rsidR="00845591" w:rsidRPr="00EC250C" w:rsidRDefault="00744B2D" w:rsidP="00A46160">
      <w:pPr>
        <w:pStyle w:val="Spistreci3"/>
        <w:rPr>
          <w:rFonts w:asciiTheme="minorHAnsi" w:eastAsiaTheme="minorEastAsia" w:hAnsiTheme="minorHAnsi" w:cstheme="minorBidi"/>
          <w:color w:val="auto"/>
          <w:sz w:val="20"/>
        </w:rPr>
      </w:pPr>
      <w:hyperlink w:anchor="_Toc11247589" w:history="1">
        <w:r w:rsidR="00845591" w:rsidRPr="00EC250C">
          <w:rPr>
            <w:rStyle w:val="Hipercze"/>
          </w:rPr>
          <w:t>Art. 41 ust. 2 oraz ust. 3 Konstytucji– Prawa osób zatrzymanych</w:t>
        </w:r>
        <w:r w:rsidR="00845591" w:rsidRPr="00EC250C">
          <w:rPr>
            <w:webHidden/>
          </w:rPr>
          <w:tab/>
        </w:r>
        <w:r w:rsidR="00845591" w:rsidRPr="00EC250C">
          <w:rPr>
            <w:webHidden/>
          </w:rPr>
          <w:fldChar w:fldCharType="begin"/>
        </w:r>
        <w:r w:rsidR="00845591" w:rsidRPr="00EC250C">
          <w:rPr>
            <w:webHidden/>
          </w:rPr>
          <w:instrText xml:space="preserve"> PAGEREF _Toc11247589 \h </w:instrText>
        </w:r>
        <w:r w:rsidR="00845591" w:rsidRPr="00EC250C">
          <w:rPr>
            <w:webHidden/>
          </w:rPr>
        </w:r>
        <w:r w:rsidR="00845591" w:rsidRPr="00EC250C">
          <w:rPr>
            <w:webHidden/>
          </w:rPr>
          <w:fldChar w:fldCharType="separate"/>
        </w:r>
        <w:r>
          <w:rPr>
            <w:webHidden/>
          </w:rPr>
          <w:t>100</w:t>
        </w:r>
        <w:r w:rsidR="00845591" w:rsidRPr="00EC250C">
          <w:rPr>
            <w:webHidden/>
          </w:rPr>
          <w:fldChar w:fldCharType="end"/>
        </w:r>
      </w:hyperlink>
    </w:p>
    <w:p w14:paraId="6DE50AF8" w14:textId="430D9771" w:rsidR="00845591" w:rsidRPr="00EC250C" w:rsidRDefault="00744B2D" w:rsidP="001759D6">
      <w:pPr>
        <w:pStyle w:val="Spistreci4"/>
        <w:rPr>
          <w:rFonts w:asciiTheme="minorHAnsi" w:eastAsiaTheme="minorEastAsia" w:hAnsiTheme="minorHAnsi" w:cstheme="minorBidi"/>
        </w:rPr>
      </w:pPr>
      <w:hyperlink w:anchor="_Toc11247590" w:history="1">
        <w:r w:rsidR="00845591" w:rsidRPr="00EC250C">
          <w:rPr>
            <w:rStyle w:val="Hipercze"/>
          </w:rPr>
          <w:t>Zatrzymania podczas zgromadzeń</w:t>
        </w:r>
        <w:r w:rsidR="00845591" w:rsidRPr="00EC250C">
          <w:rPr>
            <w:webHidden/>
          </w:rPr>
          <w:tab/>
        </w:r>
        <w:r w:rsidR="00845591" w:rsidRPr="00EC250C">
          <w:rPr>
            <w:webHidden/>
          </w:rPr>
          <w:fldChar w:fldCharType="begin"/>
        </w:r>
        <w:r w:rsidR="00845591" w:rsidRPr="00EC250C">
          <w:rPr>
            <w:webHidden/>
          </w:rPr>
          <w:instrText xml:space="preserve"> PAGEREF _Toc11247590 \h </w:instrText>
        </w:r>
        <w:r w:rsidR="00845591" w:rsidRPr="00EC250C">
          <w:rPr>
            <w:webHidden/>
          </w:rPr>
        </w:r>
        <w:r w:rsidR="00845591" w:rsidRPr="00EC250C">
          <w:rPr>
            <w:webHidden/>
          </w:rPr>
          <w:fldChar w:fldCharType="separate"/>
        </w:r>
        <w:r>
          <w:rPr>
            <w:webHidden/>
          </w:rPr>
          <w:t>101</w:t>
        </w:r>
        <w:r w:rsidR="00845591" w:rsidRPr="00EC250C">
          <w:rPr>
            <w:webHidden/>
          </w:rPr>
          <w:fldChar w:fldCharType="end"/>
        </w:r>
      </w:hyperlink>
    </w:p>
    <w:p w14:paraId="06E2B705" w14:textId="3A441791" w:rsidR="00845591" w:rsidRPr="00EC250C" w:rsidRDefault="00744B2D" w:rsidP="001759D6">
      <w:pPr>
        <w:pStyle w:val="Spistreci4"/>
        <w:rPr>
          <w:rFonts w:asciiTheme="minorHAnsi" w:eastAsiaTheme="minorEastAsia" w:hAnsiTheme="minorHAnsi" w:cstheme="minorBidi"/>
        </w:rPr>
      </w:pPr>
      <w:hyperlink w:anchor="_Toc11247591" w:history="1">
        <w:r w:rsidR="00845591" w:rsidRPr="00EC250C">
          <w:rPr>
            <w:rStyle w:val="Hipercze"/>
          </w:rPr>
          <w:t>Prawo do pomocy i rady adwokata od momentu zatrzymania</w:t>
        </w:r>
        <w:r w:rsidR="00845591" w:rsidRPr="00EC250C">
          <w:rPr>
            <w:webHidden/>
          </w:rPr>
          <w:tab/>
        </w:r>
        <w:r w:rsidR="00845591" w:rsidRPr="00EC250C">
          <w:rPr>
            <w:webHidden/>
          </w:rPr>
          <w:fldChar w:fldCharType="begin"/>
        </w:r>
        <w:r w:rsidR="00845591" w:rsidRPr="00EC250C">
          <w:rPr>
            <w:webHidden/>
          </w:rPr>
          <w:instrText xml:space="preserve"> PAGEREF _Toc11247591 \h </w:instrText>
        </w:r>
        <w:r w:rsidR="00845591" w:rsidRPr="00EC250C">
          <w:rPr>
            <w:webHidden/>
          </w:rPr>
        </w:r>
        <w:r w:rsidR="00845591" w:rsidRPr="00EC250C">
          <w:rPr>
            <w:webHidden/>
          </w:rPr>
          <w:fldChar w:fldCharType="separate"/>
        </w:r>
        <w:r>
          <w:rPr>
            <w:webHidden/>
          </w:rPr>
          <w:t>101</w:t>
        </w:r>
        <w:r w:rsidR="00845591" w:rsidRPr="00EC250C">
          <w:rPr>
            <w:webHidden/>
          </w:rPr>
          <w:fldChar w:fldCharType="end"/>
        </w:r>
      </w:hyperlink>
    </w:p>
    <w:p w14:paraId="4293F616" w14:textId="44E2FA98" w:rsidR="00845591" w:rsidRPr="00EC250C" w:rsidRDefault="00744B2D" w:rsidP="001759D6">
      <w:pPr>
        <w:pStyle w:val="Spistreci4"/>
        <w:rPr>
          <w:rFonts w:asciiTheme="minorHAnsi" w:eastAsiaTheme="minorEastAsia" w:hAnsiTheme="minorHAnsi" w:cstheme="minorBidi"/>
        </w:rPr>
      </w:pPr>
      <w:hyperlink w:anchor="_Toc11247592" w:history="1">
        <w:r w:rsidR="00845591" w:rsidRPr="00EC250C">
          <w:rPr>
            <w:rStyle w:val="Hipercze"/>
          </w:rPr>
          <w:t>Skargi na niezasadność zatrzymania</w:t>
        </w:r>
        <w:r w:rsidR="00845591" w:rsidRPr="00EC250C">
          <w:rPr>
            <w:webHidden/>
          </w:rPr>
          <w:tab/>
        </w:r>
        <w:r w:rsidR="00845591" w:rsidRPr="00EC250C">
          <w:rPr>
            <w:webHidden/>
          </w:rPr>
          <w:fldChar w:fldCharType="begin"/>
        </w:r>
        <w:r w:rsidR="00845591" w:rsidRPr="00EC250C">
          <w:rPr>
            <w:webHidden/>
          </w:rPr>
          <w:instrText xml:space="preserve"> PAGEREF _Toc11247592 \h </w:instrText>
        </w:r>
        <w:r w:rsidR="00845591" w:rsidRPr="00EC250C">
          <w:rPr>
            <w:webHidden/>
          </w:rPr>
        </w:r>
        <w:r w:rsidR="00845591" w:rsidRPr="00EC250C">
          <w:rPr>
            <w:webHidden/>
          </w:rPr>
          <w:fldChar w:fldCharType="separate"/>
        </w:r>
        <w:r>
          <w:rPr>
            <w:webHidden/>
          </w:rPr>
          <w:t>102</w:t>
        </w:r>
        <w:r w:rsidR="00845591" w:rsidRPr="00EC250C">
          <w:rPr>
            <w:webHidden/>
          </w:rPr>
          <w:fldChar w:fldCharType="end"/>
        </w:r>
      </w:hyperlink>
    </w:p>
    <w:p w14:paraId="41547778" w14:textId="6D533347" w:rsidR="00845591" w:rsidRPr="00EC250C" w:rsidRDefault="00744B2D" w:rsidP="00A46160">
      <w:pPr>
        <w:pStyle w:val="Spistreci3"/>
        <w:rPr>
          <w:rFonts w:asciiTheme="minorHAnsi" w:eastAsiaTheme="minorEastAsia" w:hAnsiTheme="minorHAnsi" w:cstheme="minorBidi"/>
          <w:color w:val="auto"/>
          <w:sz w:val="20"/>
        </w:rPr>
      </w:pPr>
      <w:hyperlink w:anchor="_Toc11247593" w:history="1">
        <w:r w:rsidR="00845591" w:rsidRPr="00EC250C">
          <w:rPr>
            <w:rStyle w:val="Hipercze"/>
          </w:rPr>
          <w:t>Art. 41 ust. 4 Konstytucji – Prawo do humanitarnego traktowania</w:t>
        </w:r>
        <w:r w:rsidR="00845591" w:rsidRPr="00EC250C">
          <w:rPr>
            <w:webHidden/>
          </w:rPr>
          <w:tab/>
        </w:r>
        <w:r w:rsidR="00845591" w:rsidRPr="00EC250C">
          <w:rPr>
            <w:webHidden/>
          </w:rPr>
          <w:fldChar w:fldCharType="begin"/>
        </w:r>
        <w:r w:rsidR="00845591" w:rsidRPr="00EC250C">
          <w:rPr>
            <w:webHidden/>
          </w:rPr>
          <w:instrText xml:space="preserve"> PAGEREF _Toc11247593 \h </w:instrText>
        </w:r>
        <w:r w:rsidR="00845591" w:rsidRPr="00EC250C">
          <w:rPr>
            <w:webHidden/>
          </w:rPr>
        </w:r>
        <w:r w:rsidR="00845591" w:rsidRPr="00EC250C">
          <w:rPr>
            <w:webHidden/>
          </w:rPr>
          <w:fldChar w:fldCharType="separate"/>
        </w:r>
        <w:r>
          <w:rPr>
            <w:webHidden/>
          </w:rPr>
          <w:t>103</w:t>
        </w:r>
        <w:r w:rsidR="00845591" w:rsidRPr="00EC250C">
          <w:rPr>
            <w:webHidden/>
          </w:rPr>
          <w:fldChar w:fldCharType="end"/>
        </w:r>
      </w:hyperlink>
    </w:p>
    <w:p w14:paraId="60780963" w14:textId="425A6863" w:rsidR="00845591" w:rsidRPr="00EC250C" w:rsidRDefault="00744B2D" w:rsidP="001759D6">
      <w:pPr>
        <w:pStyle w:val="Spistreci4"/>
        <w:rPr>
          <w:rFonts w:asciiTheme="minorHAnsi" w:eastAsiaTheme="minorEastAsia" w:hAnsiTheme="minorHAnsi" w:cstheme="minorBidi"/>
        </w:rPr>
      </w:pPr>
      <w:hyperlink w:anchor="_Toc11247594" w:history="1">
        <w:r w:rsidR="00845591" w:rsidRPr="00EC250C">
          <w:rPr>
            <w:rStyle w:val="Hipercze"/>
          </w:rPr>
          <w:t>Kilkunastoosobowe cele w więzieniach</w:t>
        </w:r>
        <w:r w:rsidR="00845591" w:rsidRPr="00EC250C">
          <w:rPr>
            <w:webHidden/>
          </w:rPr>
          <w:tab/>
        </w:r>
        <w:r w:rsidR="00845591" w:rsidRPr="00EC250C">
          <w:rPr>
            <w:webHidden/>
          </w:rPr>
          <w:fldChar w:fldCharType="begin"/>
        </w:r>
        <w:r w:rsidR="00845591" w:rsidRPr="00EC250C">
          <w:rPr>
            <w:webHidden/>
          </w:rPr>
          <w:instrText xml:space="preserve"> PAGEREF _Toc11247594 \h </w:instrText>
        </w:r>
        <w:r w:rsidR="00845591" w:rsidRPr="00EC250C">
          <w:rPr>
            <w:webHidden/>
          </w:rPr>
        </w:r>
        <w:r w:rsidR="00845591" w:rsidRPr="00EC250C">
          <w:rPr>
            <w:webHidden/>
          </w:rPr>
          <w:fldChar w:fldCharType="separate"/>
        </w:r>
        <w:r>
          <w:rPr>
            <w:webHidden/>
          </w:rPr>
          <w:t>104</w:t>
        </w:r>
        <w:r w:rsidR="00845591" w:rsidRPr="00EC250C">
          <w:rPr>
            <w:webHidden/>
          </w:rPr>
          <w:fldChar w:fldCharType="end"/>
        </w:r>
      </w:hyperlink>
    </w:p>
    <w:p w14:paraId="780D1026" w14:textId="007F056F" w:rsidR="00845591" w:rsidRPr="00EC250C" w:rsidRDefault="00744B2D" w:rsidP="001759D6">
      <w:pPr>
        <w:pStyle w:val="Spistreci4"/>
        <w:rPr>
          <w:rFonts w:asciiTheme="minorHAnsi" w:eastAsiaTheme="minorEastAsia" w:hAnsiTheme="minorHAnsi" w:cstheme="minorBidi"/>
        </w:rPr>
      </w:pPr>
      <w:hyperlink w:anchor="_Toc11247595" w:history="1">
        <w:r w:rsidR="00845591" w:rsidRPr="00EC250C">
          <w:rPr>
            <w:rStyle w:val="Hipercze"/>
          </w:rPr>
          <w:t>Leczenie pozbawionych wolności chorych na wirusowe zapalenie wątroby typu C</w:t>
        </w:r>
        <w:r w:rsidR="00845591" w:rsidRPr="00EC250C">
          <w:rPr>
            <w:webHidden/>
          </w:rPr>
          <w:tab/>
        </w:r>
        <w:r w:rsidR="00845591" w:rsidRPr="00EC250C">
          <w:rPr>
            <w:webHidden/>
          </w:rPr>
          <w:fldChar w:fldCharType="begin"/>
        </w:r>
        <w:r w:rsidR="00845591" w:rsidRPr="00EC250C">
          <w:rPr>
            <w:webHidden/>
          </w:rPr>
          <w:instrText xml:space="preserve"> PAGEREF _Toc11247595 \h </w:instrText>
        </w:r>
        <w:r w:rsidR="00845591" w:rsidRPr="00EC250C">
          <w:rPr>
            <w:webHidden/>
          </w:rPr>
        </w:r>
        <w:r w:rsidR="00845591" w:rsidRPr="00EC250C">
          <w:rPr>
            <w:webHidden/>
          </w:rPr>
          <w:fldChar w:fldCharType="separate"/>
        </w:r>
        <w:r>
          <w:rPr>
            <w:webHidden/>
          </w:rPr>
          <w:t>104</w:t>
        </w:r>
        <w:r w:rsidR="00845591" w:rsidRPr="00EC250C">
          <w:rPr>
            <w:webHidden/>
          </w:rPr>
          <w:fldChar w:fldCharType="end"/>
        </w:r>
      </w:hyperlink>
    </w:p>
    <w:p w14:paraId="2831854E" w14:textId="34843C28" w:rsidR="00845591" w:rsidRPr="00EC250C" w:rsidRDefault="00744B2D" w:rsidP="001759D6">
      <w:pPr>
        <w:pStyle w:val="Spistreci4"/>
        <w:rPr>
          <w:rFonts w:asciiTheme="minorHAnsi" w:eastAsiaTheme="minorEastAsia" w:hAnsiTheme="minorHAnsi" w:cstheme="minorBidi"/>
        </w:rPr>
      </w:pPr>
      <w:hyperlink w:anchor="_Toc11247596" w:history="1">
        <w:r w:rsidR="00845591" w:rsidRPr="00EC250C">
          <w:rPr>
            <w:rStyle w:val="Hipercze"/>
          </w:rPr>
          <w:t>Funkcjonowanie Krajowego Ośrodka Zapobiegania Zachowaniom Dyssocjalnym w Gostyninie</w:t>
        </w:r>
        <w:r w:rsidR="00845591" w:rsidRPr="00EC250C">
          <w:rPr>
            <w:webHidden/>
          </w:rPr>
          <w:tab/>
        </w:r>
        <w:r w:rsidR="00845591" w:rsidRPr="00EC250C">
          <w:rPr>
            <w:webHidden/>
          </w:rPr>
          <w:fldChar w:fldCharType="begin"/>
        </w:r>
        <w:r w:rsidR="00845591" w:rsidRPr="00EC250C">
          <w:rPr>
            <w:webHidden/>
          </w:rPr>
          <w:instrText xml:space="preserve"> PAGEREF _Toc11247596 \h </w:instrText>
        </w:r>
        <w:r w:rsidR="00845591" w:rsidRPr="00EC250C">
          <w:rPr>
            <w:webHidden/>
          </w:rPr>
        </w:r>
        <w:r w:rsidR="00845591" w:rsidRPr="00EC250C">
          <w:rPr>
            <w:webHidden/>
          </w:rPr>
          <w:fldChar w:fldCharType="separate"/>
        </w:r>
        <w:r>
          <w:rPr>
            <w:webHidden/>
          </w:rPr>
          <w:t>105</w:t>
        </w:r>
        <w:r w:rsidR="00845591" w:rsidRPr="00EC250C">
          <w:rPr>
            <w:webHidden/>
          </w:rPr>
          <w:fldChar w:fldCharType="end"/>
        </w:r>
      </w:hyperlink>
    </w:p>
    <w:p w14:paraId="0ED3D2C9" w14:textId="5AF0AB77" w:rsidR="00845591" w:rsidRPr="00EC250C" w:rsidRDefault="00744B2D" w:rsidP="001759D6">
      <w:pPr>
        <w:pStyle w:val="Spistreci4"/>
        <w:rPr>
          <w:rFonts w:asciiTheme="minorHAnsi" w:eastAsiaTheme="minorEastAsia" w:hAnsiTheme="minorHAnsi" w:cstheme="minorBidi"/>
        </w:rPr>
      </w:pPr>
      <w:hyperlink w:anchor="_Toc11247597" w:history="1">
        <w:r w:rsidR="00845591" w:rsidRPr="00EC250C">
          <w:rPr>
            <w:rStyle w:val="Hipercze"/>
          </w:rPr>
          <w:t>Problemy osób chorujących psychicznie i z niepełnosprawnościami, które są pozbawione wolności</w:t>
        </w:r>
        <w:r w:rsidR="00845591" w:rsidRPr="00EC250C">
          <w:rPr>
            <w:webHidden/>
          </w:rPr>
          <w:tab/>
        </w:r>
        <w:r w:rsidR="00845591" w:rsidRPr="00EC250C">
          <w:rPr>
            <w:webHidden/>
          </w:rPr>
          <w:fldChar w:fldCharType="begin"/>
        </w:r>
        <w:r w:rsidR="00845591" w:rsidRPr="00EC250C">
          <w:rPr>
            <w:webHidden/>
          </w:rPr>
          <w:instrText xml:space="preserve"> PAGEREF _Toc11247597 \h </w:instrText>
        </w:r>
        <w:r w:rsidR="00845591" w:rsidRPr="00EC250C">
          <w:rPr>
            <w:webHidden/>
          </w:rPr>
        </w:r>
        <w:r w:rsidR="00845591" w:rsidRPr="00EC250C">
          <w:rPr>
            <w:webHidden/>
          </w:rPr>
          <w:fldChar w:fldCharType="separate"/>
        </w:r>
        <w:r>
          <w:rPr>
            <w:webHidden/>
          </w:rPr>
          <w:t>107</w:t>
        </w:r>
        <w:r w:rsidR="00845591" w:rsidRPr="00EC250C">
          <w:rPr>
            <w:webHidden/>
          </w:rPr>
          <w:fldChar w:fldCharType="end"/>
        </w:r>
      </w:hyperlink>
    </w:p>
    <w:p w14:paraId="6F4A2D80" w14:textId="3035D9C0" w:rsidR="00845591" w:rsidRPr="00EC250C" w:rsidRDefault="00744B2D" w:rsidP="001759D6">
      <w:pPr>
        <w:pStyle w:val="Spistreci4"/>
        <w:rPr>
          <w:rFonts w:asciiTheme="minorHAnsi" w:eastAsiaTheme="minorEastAsia" w:hAnsiTheme="minorHAnsi" w:cstheme="minorBidi"/>
        </w:rPr>
      </w:pPr>
      <w:hyperlink w:anchor="_Toc11247598" w:history="1">
        <w:r w:rsidR="00845591" w:rsidRPr="00EC250C">
          <w:rPr>
            <w:rStyle w:val="Hipercze"/>
          </w:rPr>
          <w:t>Procedury dotyczące osób pozbawionych wolności</w:t>
        </w:r>
        <w:r w:rsidR="00845591" w:rsidRPr="00EC250C">
          <w:rPr>
            <w:webHidden/>
          </w:rPr>
          <w:tab/>
        </w:r>
        <w:r w:rsidR="00845591" w:rsidRPr="00EC250C">
          <w:rPr>
            <w:webHidden/>
          </w:rPr>
          <w:fldChar w:fldCharType="begin"/>
        </w:r>
        <w:r w:rsidR="00845591" w:rsidRPr="00EC250C">
          <w:rPr>
            <w:webHidden/>
          </w:rPr>
          <w:instrText xml:space="preserve"> PAGEREF _Toc11247598 \h </w:instrText>
        </w:r>
        <w:r w:rsidR="00845591" w:rsidRPr="00EC250C">
          <w:rPr>
            <w:webHidden/>
          </w:rPr>
        </w:r>
        <w:r w:rsidR="00845591" w:rsidRPr="00EC250C">
          <w:rPr>
            <w:webHidden/>
          </w:rPr>
          <w:fldChar w:fldCharType="separate"/>
        </w:r>
        <w:r>
          <w:rPr>
            <w:webHidden/>
          </w:rPr>
          <w:t>110</w:t>
        </w:r>
        <w:r w:rsidR="00845591" w:rsidRPr="00EC250C">
          <w:rPr>
            <w:webHidden/>
          </w:rPr>
          <w:fldChar w:fldCharType="end"/>
        </w:r>
      </w:hyperlink>
    </w:p>
    <w:p w14:paraId="0BC08875" w14:textId="297DF4D9" w:rsidR="00845591" w:rsidRPr="00EC250C" w:rsidRDefault="00744B2D" w:rsidP="001759D6">
      <w:pPr>
        <w:pStyle w:val="Spistreci4"/>
        <w:rPr>
          <w:rFonts w:asciiTheme="minorHAnsi" w:eastAsiaTheme="minorEastAsia" w:hAnsiTheme="minorHAnsi" w:cstheme="minorBidi"/>
        </w:rPr>
      </w:pPr>
      <w:hyperlink w:anchor="_Toc11247599" w:history="1">
        <w:r w:rsidR="00845591" w:rsidRPr="00EC250C">
          <w:rPr>
            <w:rStyle w:val="Hipercze"/>
          </w:rPr>
          <w:t>Śluby, kontakty z dziećmi i innymi bliskimi osób pozbawionych wolności, resocjalizacja</w:t>
        </w:r>
        <w:r w:rsidR="00845591" w:rsidRPr="00EC250C">
          <w:rPr>
            <w:webHidden/>
          </w:rPr>
          <w:tab/>
        </w:r>
        <w:r w:rsidR="00845591" w:rsidRPr="00EC250C">
          <w:rPr>
            <w:webHidden/>
          </w:rPr>
          <w:fldChar w:fldCharType="begin"/>
        </w:r>
        <w:r w:rsidR="00845591" w:rsidRPr="00EC250C">
          <w:rPr>
            <w:webHidden/>
          </w:rPr>
          <w:instrText xml:space="preserve"> PAGEREF _Toc11247599 \h </w:instrText>
        </w:r>
        <w:r w:rsidR="00845591" w:rsidRPr="00EC250C">
          <w:rPr>
            <w:webHidden/>
          </w:rPr>
        </w:r>
        <w:r w:rsidR="00845591" w:rsidRPr="00EC250C">
          <w:rPr>
            <w:webHidden/>
          </w:rPr>
          <w:fldChar w:fldCharType="separate"/>
        </w:r>
        <w:r>
          <w:rPr>
            <w:webHidden/>
          </w:rPr>
          <w:t>112</w:t>
        </w:r>
        <w:r w:rsidR="00845591" w:rsidRPr="00EC250C">
          <w:rPr>
            <w:webHidden/>
          </w:rPr>
          <w:fldChar w:fldCharType="end"/>
        </w:r>
      </w:hyperlink>
    </w:p>
    <w:p w14:paraId="743F94D7" w14:textId="51458D2F" w:rsidR="00845591" w:rsidRPr="00EC250C" w:rsidRDefault="00744B2D" w:rsidP="00A46160">
      <w:pPr>
        <w:pStyle w:val="Spistreci3"/>
        <w:rPr>
          <w:rFonts w:asciiTheme="minorHAnsi" w:eastAsiaTheme="minorEastAsia" w:hAnsiTheme="minorHAnsi" w:cstheme="minorBidi"/>
          <w:color w:val="auto"/>
          <w:sz w:val="20"/>
        </w:rPr>
      </w:pPr>
      <w:hyperlink w:anchor="_Toc11247600" w:history="1">
        <w:r w:rsidR="00845591" w:rsidRPr="00EC250C">
          <w:rPr>
            <w:rStyle w:val="Hipercze"/>
          </w:rPr>
          <w:t>Art. 41 Konstytucji ust. 5 – Prawo do odszkodowania za bezprawne pozbawienie wolności</w:t>
        </w:r>
        <w:r w:rsidR="00845591" w:rsidRPr="00EC250C">
          <w:rPr>
            <w:webHidden/>
          </w:rPr>
          <w:tab/>
        </w:r>
        <w:r w:rsidR="00845591" w:rsidRPr="00EC250C">
          <w:rPr>
            <w:webHidden/>
          </w:rPr>
          <w:fldChar w:fldCharType="begin"/>
        </w:r>
        <w:r w:rsidR="00845591" w:rsidRPr="00EC250C">
          <w:rPr>
            <w:webHidden/>
          </w:rPr>
          <w:instrText xml:space="preserve"> PAGEREF _Toc11247600 \h </w:instrText>
        </w:r>
        <w:r w:rsidR="00845591" w:rsidRPr="00EC250C">
          <w:rPr>
            <w:webHidden/>
          </w:rPr>
        </w:r>
        <w:r w:rsidR="00845591" w:rsidRPr="00EC250C">
          <w:rPr>
            <w:webHidden/>
          </w:rPr>
          <w:fldChar w:fldCharType="separate"/>
        </w:r>
        <w:r>
          <w:rPr>
            <w:webHidden/>
          </w:rPr>
          <w:t>114</w:t>
        </w:r>
        <w:r w:rsidR="00845591" w:rsidRPr="00EC250C">
          <w:rPr>
            <w:webHidden/>
          </w:rPr>
          <w:fldChar w:fldCharType="end"/>
        </w:r>
      </w:hyperlink>
    </w:p>
    <w:p w14:paraId="463DFFFB" w14:textId="437D2E95" w:rsidR="00845591" w:rsidRPr="00EC250C" w:rsidRDefault="00744B2D" w:rsidP="001759D6">
      <w:pPr>
        <w:pStyle w:val="Spistreci4"/>
        <w:rPr>
          <w:rFonts w:asciiTheme="minorHAnsi" w:eastAsiaTheme="minorEastAsia" w:hAnsiTheme="minorHAnsi" w:cstheme="minorBidi"/>
        </w:rPr>
      </w:pPr>
      <w:hyperlink w:anchor="_Toc11247601" w:history="1">
        <w:r w:rsidR="00845591" w:rsidRPr="00EC250C">
          <w:rPr>
            <w:rStyle w:val="Hipercze"/>
          </w:rPr>
          <w:t>Jak zadośćuczynić dziecku za niesłuszne umieszczenie w schronisku dla nieletnich</w:t>
        </w:r>
        <w:r w:rsidR="00845591" w:rsidRPr="00EC250C">
          <w:rPr>
            <w:webHidden/>
          </w:rPr>
          <w:tab/>
        </w:r>
        <w:r w:rsidR="00845591" w:rsidRPr="00EC250C">
          <w:rPr>
            <w:webHidden/>
          </w:rPr>
          <w:fldChar w:fldCharType="begin"/>
        </w:r>
        <w:r w:rsidR="00845591" w:rsidRPr="00EC250C">
          <w:rPr>
            <w:webHidden/>
          </w:rPr>
          <w:instrText xml:space="preserve"> PAGEREF _Toc11247601 \h </w:instrText>
        </w:r>
        <w:r w:rsidR="00845591" w:rsidRPr="00EC250C">
          <w:rPr>
            <w:webHidden/>
          </w:rPr>
        </w:r>
        <w:r w:rsidR="00845591" w:rsidRPr="00EC250C">
          <w:rPr>
            <w:webHidden/>
          </w:rPr>
          <w:fldChar w:fldCharType="separate"/>
        </w:r>
        <w:r>
          <w:rPr>
            <w:webHidden/>
          </w:rPr>
          <w:t>115</w:t>
        </w:r>
        <w:r w:rsidR="00845591" w:rsidRPr="00EC250C">
          <w:rPr>
            <w:webHidden/>
          </w:rPr>
          <w:fldChar w:fldCharType="end"/>
        </w:r>
      </w:hyperlink>
    </w:p>
    <w:p w14:paraId="53920E09" w14:textId="68DDFEA9" w:rsidR="00845591" w:rsidRPr="00EC250C" w:rsidRDefault="00744B2D" w:rsidP="001759D6">
      <w:pPr>
        <w:pStyle w:val="Spistreci4"/>
        <w:rPr>
          <w:rFonts w:asciiTheme="minorHAnsi" w:eastAsiaTheme="minorEastAsia" w:hAnsiTheme="minorHAnsi" w:cstheme="minorBidi"/>
        </w:rPr>
      </w:pPr>
      <w:hyperlink w:anchor="_Toc11247602" w:history="1">
        <w:r w:rsidR="00845591" w:rsidRPr="00EC250C">
          <w:rPr>
            <w:rStyle w:val="Hipercze"/>
          </w:rPr>
          <w:t>Sposób naliczania odsetek od odszkodowania za niesłuszne skazanie, tymczasowe aresztowanie bądź zatrzymanie</w:t>
        </w:r>
        <w:r w:rsidR="00845591" w:rsidRPr="00EC250C">
          <w:rPr>
            <w:webHidden/>
          </w:rPr>
          <w:tab/>
        </w:r>
        <w:r w:rsidR="00845591" w:rsidRPr="00EC250C">
          <w:rPr>
            <w:webHidden/>
          </w:rPr>
          <w:fldChar w:fldCharType="begin"/>
        </w:r>
        <w:r w:rsidR="00845591" w:rsidRPr="00EC250C">
          <w:rPr>
            <w:webHidden/>
          </w:rPr>
          <w:instrText xml:space="preserve"> PAGEREF _Toc11247602 \h </w:instrText>
        </w:r>
        <w:r w:rsidR="00845591" w:rsidRPr="00EC250C">
          <w:rPr>
            <w:webHidden/>
          </w:rPr>
        </w:r>
        <w:r w:rsidR="00845591" w:rsidRPr="00EC250C">
          <w:rPr>
            <w:webHidden/>
          </w:rPr>
          <w:fldChar w:fldCharType="separate"/>
        </w:r>
        <w:r>
          <w:rPr>
            <w:webHidden/>
          </w:rPr>
          <w:t>115</w:t>
        </w:r>
        <w:r w:rsidR="00845591" w:rsidRPr="00EC250C">
          <w:rPr>
            <w:webHidden/>
          </w:rPr>
          <w:fldChar w:fldCharType="end"/>
        </w:r>
      </w:hyperlink>
    </w:p>
    <w:p w14:paraId="25313E8C" w14:textId="64769CCA" w:rsidR="00845591" w:rsidRPr="00EC250C" w:rsidRDefault="00744B2D" w:rsidP="00A46160">
      <w:pPr>
        <w:pStyle w:val="Spistreci3"/>
        <w:rPr>
          <w:rFonts w:asciiTheme="minorHAnsi" w:eastAsiaTheme="minorEastAsia" w:hAnsiTheme="minorHAnsi" w:cstheme="minorBidi"/>
          <w:color w:val="auto"/>
          <w:sz w:val="20"/>
        </w:rPr>
      </w:pPr>
      <w:hyperlink w:anchor="_Toc11247603" w:history="1">
        <w:r w:rsidR="00845591" w:rsidRPr="00EC250C">
          <w:rPr>
            <w:rStyle w:val="Hipercze"/>
          </w:rPr>
          <w:t>Art. 42 ust. 1 Konstytucji – Karane może być tylko to, co było wcześniej zabronione w ustawie</w:t>
        </w:r>
        <w:r w:rsidR="00845591" w:rsidRPr="00EC250C">
          <w:rPr>
            <w:webHidden/>
          </w:rPr>
          <w:tab/>
        </w:r>
        <w:r w:rsidR="00845591" w:rsidRPr="00EC250C">
          <w:rPr>
            <w:webHidden/>
          </w:rPr>
          <w:fldChar w:fldCharType="begin"/>
        </w:r>
        <w:r w:rsidR="00845591" w:rsidRPr="00EC250C">
          <w:rPr>
            <w:webHidden/>
          </w:rPr>
          <w:instrText xml:space="preserve"> PAGEREF _Toc11247603 \h </w:instrText>
        </w:r>
        <w:r w:rsidR="00845591" w:rsidRPr="00EC250C">
          <w:rPr>
            <w:webHidden/>
          </w:rPr>
        </w:r>
        <w:r w:rsidR="00845591" w:rsidRPr="00EC250C">
          <w:rPr>
            <w:webHidden/>
          </w:rPr>
          <w:fldChar w:fldCharType="separate"/>
        </w:r>
        <w:r>
          <w:rPr>
            <w:webHidden/>
          </w:rPr>
          <w:t>116</w:t>
        </w:r>
        <w:r w:rsidR="00845591" w:rsidRPr="00EC250C">
          <w:rPr>
            <w:webHidden/>
          </w:rPr>
          <w:fldChar w:fldCharType="end"/>
        </w:r>
      </w:hyperlink>
    </w:p>
    <w:p w14:paraId="6D393B14" w14:textId="37191635" w:rsidR="00845591" w:rsidRPr="001759D6" w:rsidRDefault="00744B2D" w:rsidP="001759D6">
      <w:pPr>
        <w:pStyle w:val="Spistreci4"/>
        <w:rPr>
          <w:rFonts w:asciiTheme="minorHAnsi" w:eastAsiaTheme="minorEastAsia" w:hAnsiTheme="minorHAnsi" w:cstheme="minorBidi"/>
        </w:rPr>
      </w:pPr>
      <w:hyperlink w:anchor="_Toc11247604" w:history="1">
        <w:r w:rsidR="00845591" w:rsidRPr="001759D6">
          <w:rPr>
            <w:rStyle w:val="Hipercze"/>
          </w:rPr>
          <w:t>Nieprecyzyjne postanowienia dotyczące ochrony dobrego imienia Narodu Polskiego i Rzeczypospolitej Polskiej</w:t>
        </w:r>
        <w:r w:rsidR="00845591" w:rsidRPr="001759D6">
          <w:rPr>
            <w:webHidden/>
          </w:rPr>
          <w:tab/>
        </w:r>
        <w:r w:rsidR="00845591" w:rsidRPr="001759D6">
          <w:rPr>
            <w:webHidden/>
          </w:rPr>
          <w:fldChar w:fldCharType="begin"/>
        </w:r>
        <w:r w:rsidR="00845591" w:rsidRPr="001759D6">
          <w:rPr>
            <w:webHidden/>
          </w:rPr>
          <w:instrText xml:space="preserve"> PAGEREF _Toc11247604 \h </w:instrText>
        </w:r>
        <w:r w:rsidR="00845591" w:rsidRPr="001759D6">
          <w:rPr>
            <w:webHidden/>
          </w:rPr>
        </w:r>
        <w:r w:rsidR="00845591" w:rsidRPr="001759D6">
          <w:rPr>
            <w:webHidden/>
          </w:rPr>
          <w:fldChar w:fldCharType="separate"/>
        </w:r>
        <w:r>
          <w:rPr>
            <w:webHidden/>
          </w:rPr>
          <w:t>117</w:t>
        </w:r>
        <w:r w:rsidR="00845591" w:rsidRPr="001759D6">
          <w:rPr>
            <w:webHidden/>
          </w:rPr>
          <w:fldChar w:fldCharType="end"/>
        </w:r>
      </w:hyperlink>
    </w:p>
    <w:p w14:paraId="479C4D46" w14:textId="37EA43D3" w:rsidR="00845591" w:rsidRPr="00EC250C" w:rsidRDefault="00744B2D" w:rsidP="001759D6">
      <w:pPr>
        <w:pStyle w:val="Spistreci4"/>
        <w:rPr>
          <w:rFonts w:asciiTheme="minorHAnsi" w:eastAsiaTheme="minorEastAsia" w:hAnsiTheme="minorHAnsi" w:cstheme="minorBidi"/>
        </w:rPr>
      </w:pPr>
      <w:hyperlink w:anchor="_Toc11247605" w:history="1">
        <w:r w:rsidR="00845591" w:rsidRPr="00EC250C">
          <w:rPr>
            <w:rStyle w:val="Hipercze"/>
          </w:rPr>
          <w:t>Arbitralność przepisów umożliwiających karanie obywateli na lotniskach</w:t>
        </w:r>
        <w:r w:rsidR="00845591" w:rsidRPr="00EC250C">
          <w:rPr>
            <w:webHidden/>
          </w:rPr>
          <w:tab/>
        </w:r>
        <w:r w:rsidR="00845591" w:rsidRPr="00EC250C">
          <w:rPr>
            <w:webHidden/>
          </w:rPr>
          <w:fldChar w:fldCharType="begin"/>
        </w:r>
        <w:r w:rsidR="00845591" w:rsidRPr="00EC250C">
          <w:rPr>
            <w:webHidden/>
          </w:rPr>
          <w:instrText xml:space="preserve"> PAGEREF _Toc11247605 \h </w:instrText>
        </w:r>
        <w:r w:rsidR="00845591" w:rsidRPr="00EC250C">
          <w:rPr>
            <w:webHidden/>
          </w:rPr>
        </w:r>
        <w:r w:rsidR="00845591" w:rsidRPr="00EC250C">
          <w:rPr>
            <w:webHidden/>
          </w:rPr>
          <w:fldChar w:fldCharType="separate"/>
        </w:r>
        <w:r>
          <w:rPr>
            <w:webHidden/>
          </w:rPr>
          <w:t>118</w:t>
        </w:r>
        <w:r w:rsidR="00845591" w:rsidRPr="00EC250C">
          <w:rPr>
            <w:webHidden/>
          </w:rPr>
          <w:fldChar w:fldCharType="end"/>
        </w:r>
      </w:hyperlink>
    </w:p>
    <w:p w14:paraId="524D5C8E" w14:textId="6B436908" w:rsidR="00845591" w:rsidRPr="00EC250C" w:rsidRDefault="00744B2D" w:rsidP="00A46160">
      <w:pPr>
        <w:pStyle w:val="Spistreci3"/>
        <w:rPr>
          <w:rFonts w:asciiTheme="minorHAnsi" w:eastAsiaTheme="minorEastAsia" w:hAnsiTheme="minorHAnsi" w:cstheme="minorBidi"/>
          <w:color w:val="auto"/>
          <w:sz w:val="20"/>
        </w:rPr>
      </w:pPr>
      <w:hyperlink w:anchor="_Toc11247606" w:history="1">
        <w:r w:rsidR="00845591" w:rsidRPr="00EC250C">
          <w:rPr>
            <w:rStyle w:val="Hipercze"/>
          </w:rPr>
          <w:t>Art. 42 ust. 2 Konstytucji – Prawo do obrony w sprawie karnej</w:t>
        </w:r>
        <w:r w:rsidR="00845591" w:rsidRPr="00EC250C">
          <w:rPr>
            <w:webHidden/>
          </w:rPr>
          <w:tab/>
        </w:r>
        <w:r w:rsidR="00845591" w:rsidRPr="00EC250C">
          <w:rPr>
            <w:webHidden/>
          </w:rPr>
          <w:fldChar w:fldCharType="begin"/>
        </w:r>
        <w:r w:rsidR="00845591" w:rsidRPr="00EC250C">
          <w:rPr>
            <w:webHidden/>
          </w:rPr>
          <w:instrText xml:space="preserve"> PAGEREF _Toc11247606 \h </w:instrText>
        </w:r>
        <w:r w:rsidR="00845591" w:rsidRPr="00EC250C">
          <w:rPr>
            <w:webHidden/>
          </w:rPr>
        </w:r>
        <w:r w:rsidR="00845591" w:rsidRPr="00EC250C">
          <w:rPr>
            <w:webHidden/>
          </w:rPr>
          <w:fldChar w:fldCharType="separate"/>
        </w:r>
        <w:r>
          <w:rPr>
            <w:webHidden/>
          </w:rPr>
          <w:t>119</w:t>
        </w:r>
        <w:r w:rsidR="00845591" w:rsidRPr="00EC250C">
          <w:rPr>
            <w:webHidden/>
          </w:rPr>
          <w:fldChar w:fldCharType="end"/>
        </w:r>
      </w:hyperlink>
    </w:p>
    <w:p w14:paraId="7CE4A387" w14:textId="59477514" w:rsidR="00845591" w:rsidRPr="00EC250C" w:rsidRDefault="00744B2D" w:rsidP="001759D6">
      <w:pPr>
        <w:pStyle w:val="Spistreci4"/>
        <w:rPr>
          <w:rFonts w:asciiTheme="minorHAnsi" w:eastAsiaTheme="minorEastAsia" w:hAnsiTheme="minorHAnsi" w:cstheme="minorBidi"/>
        </w:rPr>
      </w:pPr>
      <w:hyperlink w:anchor="_Toc11247607" w:history="1">
        <w:r w:rsidR="00845591" w:rsidRPr="00EC250C">
          <w:rPr>
            <w:rStyle w:val="Hipercze"/>
          </w:rPr>
          <w:t>Problemy z zapewnieniem europejskich standardów do obrony</w:t>
        </w:r>
        <w:r w:rsidR="00845591" w:rsidRPr="00EC250C">
          <w:rPr>
            <w:webHidden/>
          </w:rPr>
          <w:tab/>
        </w:r>
        <w:r w:rsidR="00845591" w:rsidRPr="00EC250C">
          <w:rPr>
            <w:webHidden/>
          </w:rPr>
          <w:fldChar w:fldCharType="begin"/>
        </w:r>
        <w:r w:rsidR="00845591" w:rsidRPr="00EC250C">
          <w:rPr>
            <w:webHidden/>
          </w:rPr>
          <w:instrText xml:space="preserve"> PAGEREF _Toc11247607 \h </w:instrText>
        </w:r>
        <w:r w:rsidR="00845591" w:rsidRPr="00EC250C">
          <w:rPr>
            <w:webHidden/>
          </w:rPr>
        </w:r>
        <w:r w:rsidR="00845591" w:rsidRPr="00EC250C">
          <w:rPr>
            <w:webHidden/>
          </w:rPr>
          <w:fldChar w:fldCharType="separate"/>
        </w:r>
        <w:r>
          <w:rPr>
            <w:webHidden/>
          </w:rPr>
          <w:t>120</w:t>
        </w:r>
        <w:r w:rsidR="00845591" w:rsidRPr="00EC250C">
          <w:rPr>
            <w:webHidden/>
          </w:rPr>
          <w:fldChar w:fldCharType="end"/>
        </w:r>
      </w:hyperlink>
    </w:p>
    <w:p w14:paraId="6A625A1E" w14:textId="7341C46A" w:rsidR="00845591" w:rsidRPr="00EC250C" w:rsidRDefault="00744B2D" w:rsidP="001759D6">
      <w:pPr>
        <w:pStyle w:val="Spistreci4"/>
        <w:rPr>
          <w:rFonts w:asciiTheme="minorHAnsi" w:eastAsiaTheme="minorEastAsia" w:hAnsiTheme="minorHAnsi" w:cstheme="minorBidi"/>
        </w:rPr>
      </w:pPr>
      <w:hyperlink w:anchor="_Toc11247608" w:history="1">
        <w:r w:rsidR="00845591" w:rsidRPr="00EC250C">
          <w:rPr>
            <w:rStyle w:val="Hipercze"/>
          </w:rPr>
          <w:t>Naruszanie prawa do obrony osób z niepełnosprawnością intelektualną lub psychiczną</w:t>
        </w:r>
        <w:r w:rsidR="00845591" w:rsidRPr="00EC250C">
          <w:rPr>
            <w:webHidden/>
          </w:rPr>
          <w:tab/>
        </w:r>
        <w:r w:rsidR="00845591" w:rsidRPr="00EC250C">
          <w:rPr>
            <w:webHidden/>
          </w:rPr>
          <w:fldChar w:fldCharType="begin"/>
        </w:r>
        <w:r w:rsidR="00845591" w:rsidRPr="00EC250C">
          <w:rPr>
            <w:webHidden/>
          </w:rPr>
          <w:instrText xml:space="preserve"> PAGEREF _Toc11247608 \h </w:instrText>
        </w:r>
        <w:r w:rsidR="00845591" w:rsidRPr="00EC250C">
          <w:rPr>
            <w:webHidden/>
          </w:rPr>
        </w:r>
        <w:r w:rsidR="00845591" w:rsidRPr="00EC250C">
          <w:rPr>
            <w:webHidden/>
          </w:rPr>
          <w:fldChar w:fldCharType="separate"/>
        </w:r>
        <w:r>
          <w:rPr>
            <w:webHidden/>
          </w:rPr>
          <w:t>121</w:t>
        </w:r>
        <w:r w:rsidR="00845591" w:rsidRPr="00EC250C">
          <w:rPr>
            <w:webHidden/>
          </w:rPr>
          <w:fldChar w:fldCharType="end"/>
        </w:r>
      </w:hyperlink>
    </w:p>
    <w:p w14:paraId="5A281646" w14:textId="020869CD" w:rsidR="00845591" w:rsidRPr="00EC250C" w:rsidRDefault="00744B2D" w:rsidP="001759D6">
      <w:pPr>
        <w:pStyle w:val="Spistreci4"/>
        <w:rPr>
          <w:rFonts w:asciiTheme="minorHAnsi" w:eastAsiaTheme="minorEastAsia" w:hAnsiTheme="minorHAnsi" w:cstheme="minorBidi"/>
        </w:rPr>
      </w:pPr>
      <w:hyperlink w:anchor="_Toc11247609" w:history="1">
        <w:r w:rsidR="00845591" w:rsidRPr="00EC250C">
          <w:rPr>
            <w:rStyle w:val="Hipercze"/>
          </w:rPr>
          <w:t>Praktyka przesłuchiwania podejrzanego w charakterze świadka narusza prawo do obrony</w:t>
        </w:r>
        <w:r w:rsidR="00845591" w:rsidRPr="00EC250C">
          <w:rPr>
            <w:webHidden/>
          </w:rPr>
          <w:tab/>
        </w:r>
        <w:r w:rsidR="00845591" w:rsidRPr="00EC250C">
          <w:rPr>
            <w:webHidden/>
          </w:rPr>
          <w:fldChar w:fldCharType="begin"/>
        </w:r>
        <w:r w:rsidR="00845591" w:rsidRPr="00EC250C">
          <w:rPr>
            <w:webHidden/>
          </w:rPr>
          <w:instrText xml:space="preserve"> PAGEREF _Toc11247609 \h </w:instrText>
        </w:r>
        <w:r w:rsidR="00845591" w:rsidRPr="00EC250C">
          <w:rPr>
            <w:webHidden/>
          </w:rPr>
        </w:r>
        <w:r w:rsidR="00845591" w:rsidRPr="00EC250C">
          <w:rPr>
            <w:webHidden/>
          </w:rPr>
          <w:fldChar w:fldCharType="separate"/>
        </w:r>
        <w:r>
          <w:rPr>
            <w:webHidden/>
          </w:rPr>
          <w:t>123</w:t>
        </w:r>
        <w:r w:rsidR="00845591" w:rsidRPr="00EC250C">
          <w:rPr>
            <w:webHidden/>
          </w:rPr>
          <w:fldChar w:fldCharType="end"/>
        </w:r>
      </w:hyperlink>
    </w:p>
    <w:p w14:paraId="4EEB726A" w14:textId="136E0FA2" w:rsidR="00845591" w:rsidRPr="00EC250C" w:rsidRDefault="00744B2D" w:rsidP="001759D6">
      <w:pPr>
        <w:pStyle w:val="Spistreci4"/>
        <w:rPr>
          <w:rFonts w:asciiTheme="minorHAnsi" w:eastAsiaTheme="minorEastAsia" w:hAnsiTheme="minorHAnsi" w:cstheme="minorBidi"/>
        </w:rPr>
      </w:pPr>
      <w:hyperlink w:anchor="_Toc11247610" w:history="1">
        <w:r w:rsidR="00845591" w:rsidRPr="00EC250C">
          <w:rPr>
            <w:rStyle w:val="Hipercze"/>
          </w:rPr>
          <w:t>Zbyt krótki termin na apelację w procesie karnym</w:t>
        </w:r>
        <w:r w:rsidR="00845591" w:rsidRPr="00EC250C">
          <w:rPr>
            <w:webHidden/>
          </w:rPr>
          <w:tab/>
        </w:r>
        <w:r w:rsidR="00845591" w:rsidRPr="00EC250C">
          <w:rPr>
            <w:webHidden/>
          </w:rPr>
          <w:fldChar w:fldCharType="begin"/>
        </w:r>
        <w:r w:rsidR="00845591" w:rsidRPr="00EC250C">
          <w:rPr>
            <w:webHidden/>
          </w:rPr>
          <w:instrText xml:space="preserve"> PAGEREF _Toc11247610 \h </w:instrText>
        </w:r>
        <w:r w:rsidR="00845591" w:rsidRPr="00EC250C">
          <w:rPr>
            <w:webHidden/>
          </w:rPr>
        </w:r>
        <w:r w:rsidR="00845591" w:rsidRPr="00EC250C">
          <w:rPr>
            <w:webHidden/>
          </w:rPr>
          <w:fldChar w:fldCharType="separate"/>
        </w:r>
        <w:r>
          <w:rPr>
            <w:webHidden/>
          </w:rPr>
          <w:t>125</w:t>
        </w:r>
        <w:r w:rsidR="00845591" w:rsidRPr="00EC250C">
          <w:rPr>
            <w:webHidden/>
          </w:rPr>
          <w:fldChar w:fldCharType="end"/>
        </w:r>
      </w:hyperlink>
    </w:p>
    <w:p w14:paraId="3991376E" w14:textId="287CFD0D" w:rsidR="00845591" w:rsidRPr="00EC250C" w:rsidRDefault="00744B2D" w:rsidP="001759D6">
      <w:pPr>
        <w:pStyle w:val="Spistreci4"/>
        <w:rPr>
          <w:rFonts w:asciiTheme="minorHAnsi" w:eastAsiaTheme="minorEastAsia" w:hAnsiTheme="minorHAnsi" w:cstheme="minorBidi"/>
        </w:rPr>
      </w:pPr>
      <w:hyperlink w:anchor="_Toc11247611" w:history="1">
        <w:r w:rsidR="00845591" w:rsidRPr="00EC250C">
          <w:rPr>
            <w:rStyle w:val="Hipercze"/>
          </w:rPr>
          <w:t>Niejednolite prawo do zwrotu kosztów obrony po skutecznej apelacji</w:t>
        </w:r>
        <w:r w:rsidR="00845591" w:rsidRPr="00EC250C">
          <w:rPr>
            <w:webHidden/>
          </w:rPr>
          <w:tab/>
        </w:r>
        <w:r w:rsidR="00845591" w:rsidRPr="00EC250C">
          <w:rPr>
            <w:webHidden/>
          </w:rPr>
          <w:fldChar w:fldCharType="begin"/>
        </w:r>
        <w:r w:rsidR="00845591" w:rsidRPr="00EC250C">
          <w:rPr>
            <w:webHidden/>
          </w:rPr>
          <w:instrText xml:space="preserve"> PAGEREF _Toc11247611 \h </w:instrText>
        </w:r>
        <w:r w:rsidR="00845591" w:rsidRPr="00EC250C">
          <w:rPr>
            <w:webHidden/>
          </w:rPr>
        </w:r>
        <w:r w:rsidR="00845591" w:rsidRPr="00EC250C">
          <w:rPr>
            <w:webHidden/>
          </w:rPr>
          <w:fldChar w:fldCharType="separate"/>
        </w:r>
        <w:r>
          <w:rPr>
            <w:webHidden/>
          </w:rPr>
          <w:t>126</w:t>
        </w:r>
        <w:r w:rsidR="00845591" w:rsidRPr="00EC250C">
          <w:rPr>
            <w:webHidden/>
          </w:rPr>
          <w:fldChar w:fldCharType="end"/>
        </w:r>
      </w:hyperlink>
    </w:p>
    <w:p w14:paraId="13085885" w14:textId="7321131D" w:rsidR="00845591" w:rsidRPr="00EC250C" w:rsidRDefault="00744B2D" w:rsidP="001759D6">
      <w:pPr>
        <w:pStyle w:val="Spistreci4"/>
        <w:rPr>
          <w:rFonts w:asciiTheme="minorHAnsi" w:eastAsiaTheme="minorEastAsia" w:hAnsiTheme="minorHAnsi" w:cstheme="minorBidi"/>
        </w:rPr>
      </w:pPr>
      <w:hyperlink w:anchor="_Toc11247612" w:history="1">
        <w:r w:rsidR="00845591" w:rsidRPr="00EC250C">
          <w:rPr>
            <w:rStyle w:val="Hipercze"/>
          </w:rPr>
          <w:t>Brak kontroli sądu nad decyzjami prokuratora</w:t>
        </w:r>
        <w:r w:rsidR="00845591" w:rsidRPr="00EC250C">
          <w:rPr>
            <w:webHidden/>
          </w:rPr>
          <w:tab/>
        </w:r>
        <w:r w:rsidR="00845591" w:rsidRPr="00EC250C">
          <w:rPr>
            <w:webHidden/>
          </w:rPr>
          <w:fldChar w:fldCharType="begin"/>
        </w:r>
        <w:r w:rsidR="00845591" w:rsidRPr="00EC250C">
          <w:rPr>
            <w:webHidden/>
          </w:rPr>
          <w:instrText xml:space="preserve"> PAGEREF _Toc11247612 \h </w:instrText>
        </w:r>
        <w:r w:rsidR="00845591" w:rsidRPr="00EC250C">
          <w:rPr>
            <w:webHidden/>
          </w:rPr>
        </w:r>
        <w:r w:rsidR="00845591" w:rsidRPr="00EC250C">
          <w:rPr>
            <w:webHidden/>
          </w:rPr>
          <w:fldChar w:fldCharType="separate"/>
        </w:r>
        <w:r>
          <w:rPr>
            <w:webHidden/>
          </w:rPr>
          <w:t>127</w:t>
        </w:r>
        <w:r w:rsidR="00845591" w:rsidRPr="00EC250C">
          <w:rPr>
            <w:webHidden/>
          </w:rPr>
          <w:fldChar w:fldCharType="end"/>
        </w:r>
      </w:hyperlink>
    </w:p>
    <w:p w14:paraId="4238ACD3" w14:textId="7E0CA3DB" w:rsidR="00845591" w:rsidRPr="00EC250C" w:rsidRDefault="00744B2D" w:rsidP="00A46160">
      <w:pPr>
        <w:pStyle w:val="Spistreci3"/>
        <w:rPr>
          <w:rFonts w:asciiTheme="minorHAnsi" w:eastAsiaTheme="minorEastAsia" w:hAnsiTheme="minorHAnsi" w:cstheme="minorBidi"/>
          <w:color w:val="auto"/>
          <w:sz w:val="20"/>
        </w:rPr>
      </w:pPr>
      <w:hyperlink w:anchor="_Toc11247613" w:history="1">
        <w:r w:rsidR="00845591" w:rsidRPr="00EC250C">
          <w:rPr>
            <w:rStyle w:val="Hipercze"/>
          </w:rPr>
          <w:t>Art. 42 ust. 3 Konstytucji – Zasada domniemania niewinności</w:t>
        </w:r>
        <w:r w:rsidR="00845591" w:rsidRPr="00EC250C">
          <w:rPr>
            <w:webHidden/>
          </w:rPr>
          <w:tab/>
        </w:r>
        <w:r w:rsidR="00845591" w:rsidRPr="00EC250C">
          <w:rPr>
            <w:webHidden/>
          </w:rPr>
          <w:fldChar w:fldCharType="begin"/>
        </w:r>
        <w:r w:rsidR="00845591" w:rsidRPr="00EC250C">
          <w:rPr>
            <w:webHidden/>
          </w:rPr>
          <w:instrText xml:space="preserve"> PAGEREF _Toc11247613 \h </w:instrText>
        </w:r>
        <w:r w:rsidR="00845591" w:rsidRPr="00EC250C">
          <w:rPr>
            <w:webHidden/>
          </w:rPr>
        </w:r>
        <w:r w:rsidR="00845591" w:rsidRPr="00EC250C">
          <w:rPr>
            <w:webHidden/>
          </w:rPr>
          <w:fldChar w:fldCharType="separate"/>
        </w:r>
        <w:r>
          <w:rPr>
            <w:webHidden/>
          </w:rPr>
          <w:t>129</w:t>
        </w:r>
        <w:r w:rsidR="00845591" w:rsidRPr="00EC250C">
          <w:rPr>
            <w:webHidden/>
          </w:rPr>
          <w:fldChar w:fldCharType="end"/>
        </w:r>
      </w:hyperlink>
    </w:p>
    <w:p w14:paraId="134AF192" w14:textId="2FF59FBA" w:rsidR="00845591" w:rsidRPr="00EC250C" w:rsidRDefault="00744B2D" w:rsidP="001759D6">
      <w:pPr>
        <w:pStyle w:val="Spistreci4"/>
        <w:rPr>
          <w:rFonts w:asciiTheme="minorHAnsi" w:eastAsiaTheme="minorEastAsia" w:hAnsiTheme="minorHAnsi" w:cstheme="minorBidi"/>
        </w:rPr>
      </w:pPr>
      <w:hyperlink w:anchor="_Toc11247614" w:history="1">
        <w:r w:rsidR="00845591" w:rsidRPr="00EC250C">
          <w:rPr>
            <w:rStyle w:val="Hipercze"/>
          </w:rPr>
          <w:t>Niewdrożone europejskie standardy uznawania człowieka za niewinnego</w:t>
        </w:r>
        <w:r w:rsidR="00845591" w:rsidRPr="00EC250C">
          <w:rPr>
            <w:webHidden/>
          </w:rPr>
          <w:tab/>
        </w:r>
        <w:r w:rsidR="00845591" w:rsidRPr="00EC250C">
          <w:rPr>
            <w:webHidden/>
          </w:rPr>
          <w:fldChar w:fldCharType="begin"/>
        </w:r>
        <w:r w:rsidR="00845591" w:rsidRPr="00EC250C">
          <w:rPr>
            <w:webHidden/>
          </w:rPr>
          <w:instrText xml:space="preserve"> PAGEREF _Toc11247614 \h </w:instrText>
        </w:r>
        <w:r w:rsidR="00845591" w:rsidRPr="00EC250C">
          <w:rPr>
            <w:webHidden/>
          </w:rPr>
        </w:r>
        <w:r w:rsidR="00845591" w:rsidRPr="00EC250C">
          <w:rPr>
            <w:webHidden/>
          </w:rPr>
          <w:fldChar w:fldCharType="separate"/>
        </w:r>
        <w:r>
          <w:rPr>
            <w:webHidden/>
          </w:rPr>
          <w:t>130</w:t>
        </w:r>
        <w:r w:rsidR="00845591" w:rsidRPr="00EC250C">
          <w:rPr>
            <w:webHidden/>
          </w:rPr>
          <w:fldChar w:fldCharType="end"/>
        </w:r>
      </w:hyperlink>
    </w:p>
    <w:p w14:paraId="3D223C7D" w14:textId="1F02EEB7" w:rsidR="00845591" w:rsidRPr="00EC250C" w:rsidRDefault="00744B2D" w:rsidP="00A46160">
      <w:pPr>
        <w:pStyle w:val="Spistreci3"/>
        <w:rPr>
          <w:rFonts w:asciiTheme="minorHAnsi" w:eastAsiaTheme="minorEastAsia" w:hAnsiTheme="minorHAnsi" w:cstheme="minorBidi"/>
          <w:color w:val="auto"/>
          <w:sz w:val="20"/>
        </w:rPr>
      </w:pPr>
      <w:hyperlink w:anchor="_Toc11247615" w:history="1">
        <w:r w:rsidR="00845591" w:rsidRPr="00EC250C">
          <w:rPr>
            <w:rStyle w:val="Hipercze"/>
          </w:rPr>
          <w:t>Art. 43 Konstytucji – Zakaz przedawnienia</w:t>
        </w:r>
        <w:r w:rsidR="00845591" w:rsidRPr="00EC250C">
          <w:rPr>
            <w:webHidden/>
          </w:rPr>
          <w:tab/>
        </w:r>
        <w:r w:rsidR="00845591" w:rsidRPr="00EC250C">
          <w:rPr>
            <w:webHidden/>
          </w:rPr>
          <w:fldChar w:fldCharType="begin"/>
        </w:r>
        <w:r w:rsidR="00845591" w:rsidRPr="00EC250C">
          <w:rPr>
            <w:webHidden/>
          </w:rPr>
          <w:instrText xml:space="preserve"> PAGEREF _Toc11247615 \h </w:instrText>
        </w:r>
        <w:r w:rsidR="00845591" w:rsidRPr="00EC250C">
          <w:rPr>
            <w:webHidden/>
          </w:rPr>
        </w:r>
        <w:r w:rsidR="00845591" w:rsidRPr="00EC250C">
          <w:rPr>
            <w:webHidden/>
          </w:rPr>
          <w:fldChar w:fldCharType="separate"/>
        </w:r>
        <w:r>
          <w:rPr>
            <w:webHidden/>
          </w:rPr>
          <w:t>131</w:t>
        </w:r>
        <w:r w:rsidR="00845591" w:rsidRPr="00EC250C">
          <w:rPr>
            <w:webHidden/>
          </w:rPr>
          <w:fldChar w:fldCharType="end"/>
        </w:r>
      </w:hyperlink>
    </w:p>
    <w:p w14:paraId="65776811" w14:textId="01F46E98" w:rsidR="00845591" w:rsidRPr="00EC250C" w:rsidRDefault="00744B2D" w:rsidP="00A46160">
      <w:pPr>
        <w:pStyle w:val="Spistreci3"/>
        <w:rPr>
          <w:rFonts w:asciiTheme="minorHAnsi" w:eastAsiaTheme="minorEastAsia" w:hAnsiTheme="minorHAnsi" w:cstheme="minorBidi"/>
          <w:color w:val="auto"/>
          <w:sz w:val="20"/>
        </w:rPr>
      </w:pPr>
      <w:hyperlink w:anchor="_Toc11247616" w:history="1">
        <w:r w:rsidR="00845591" w:rsidRPr="00EC250C">
          <w:rPr>
            <w:rStyle w:val="Hipercze"/>
          </w:rPr>
          <w:t>Art. 44 Konstytucji – Wstrzymanie biegu terminu przedawnienia</w:t>
        </w:r>
        <w:r w:rsidR="00845591" w:rsidRPr="00EC250C">
          <w:rPr>
            <w:webHidden/>
          </w:rPr>
          <w:tab/>
        </w:r>
        <w:r w:rsidR="00845591" w:rsidRPr="00EC250C">
          <w:rPr>
            <w:webHidden/>
          </w:rPr>
          <w:fldChar w:fldCharType="begin"/>
        </w:r>
        <w:r w:rsidR="00845591" w:rsidRPr="00EC250C">
          <w:rPr>
            <w:webHidden/>
          </w:rPr>
          <w:instrText xml:space="preserve"> PAGEREF _Toc11247616 \h </w:instrText>
        </w:r>
        <w:r w:rsidR="00845591" w:rsidRPr="00EC250C">
          <w:rPr>
            <w:webHidden/>
          </w:rPr>
        </w:r>
        <w:r w:rsidR="00845591" w:rsidRPr="00EC250C">
          <w:rPr>
            <w:webHidden/>
          </w:rPr>
          <w:fldChar w:fldCharType="separate"/>
        </w:r>
        <w:r>
          <w:rPr>
            <w:webHidden/>
          </w:rPr>
          <w:t>132</w:t>
        </w:r>
        <w:r w:rsidR="00845591" w:rsidRPr="00EC250C">
          <w:rPr>
            <w:webHidden/>
          </w:rPr>
          <w:fldChar w:fldCharType="end"/>
        </w:r>
      </w:hyperlink>
    </w:p>
    <w:p w14:paraId="30E03A28" w14:textId="4BAEA9AF" w:rsidR="00845591" w:rsidRPr="00EC250C" w:rsidRDefault="00744B2D" w:rsidP="00A46160">
      <w:pPr>
        <w:pStyle w:val="Spistreci3"/>
        <w:rPr>
          <w:rFonts w:asciiTheme="minorHAnsi" w:eastAsiaTheme="minorEastAsia" w:hAnsiTheme="minorHAnsi" w:cstheme="minorBidi"/>
          <w:color w:val="auto"/>
          <w:sz w:val="20"/>
        </w:rPr>
      </w:pPr>
      <w:hyperlink w:anchor="_Toc11247617" w:history="1">
        <w:r w:rsidR="00845591" w:rsidRPr="00EC250C">
          <w:rPr>
            <w:rStyle w:val="Hipercze"/>
          </w:rPr>
          <w:t>Art. 45 Konstytucji – Prawo do sądu</w:t>
        </w:r>
        <w:r w:rsidR="00845591" w:rsidRPr="00EC250C">
          <w:rPr>
            <w:webHidden/>
          </w:rPr>
          <w:tab/>
        </w:r>
        <w:r w:rsidR="00845591" w:rsidRPr="00EC250C">
          <w:rPr>
            <w:webHidden/>
          </w:rPr>
          <w:fldChar w:fldCharType="begin"/>
        </w:r>
        <w:r w:rsidR="00845591" w:rsidRPr="00EC250C">
          <w:rPr>
            <w:webHidden/>
          </w:rPr>
          <w:instrText xml:space="preserve"> PAGEREF _Toc11247617 \h </w:instrText>
        </w:r>
        <w:r w:rsidR="00845591" w:rsidRPr="00EC250C">
          <w:rPr>
            <w:webHidden/>
          </w:rPr>
        </w:r>
        <w:r w:rsidR="00845591" w:rsidRPr="00EC250C">
          <w:rPr>
            <w:webHidden/>
          </w:rPr>
          <w:fldChar w:fldCharType="separate"/>
        </w:r>
        <w:r>
          <w:rPr>
            <w:webHidden/>
          </w:rPr>
          <w:t>133</w:t>
        </w:r>
        <w:r w:rsidR="00845591" w:rsidRPr="00EC250C">
          <w:rPr>
            <w:webHidden/>
          </w:rPr>
          <w:fldChar w:fldCharType="end"/>
        </w:r>
      </w:hyperlink>
    </w:p>
    <w:p w14:paraId="2523CC2D" w14:textId="396D3EAD" w:rsidR="00845591" w:rsidRPr="00EC250C" w:rsidRDefault="00744B2D" w:rsidP="001759D6">
      <w:pPr>
        <w:pStyle w:val="Spistreci4"/>
        <w:rPr>
          <w:rFonts w:asciiTheme="minorHAnsi" w:eastAsiaTheme="minorEastAsia" w:hAnsiTheme="minorHAnsi" w:cstheme="minorBidi"/>
        </w:rPr>
      </w:pPr>
      <w:hyperlink w:anchor="_Toc11247618" w:history="1">
        <w:r w:rsidR="00845591" w:rsidRPr="00EC250C">
          <w:rPr>
            <w:rStyle w:val="Hipercze"/>
          </w:rPr>
          <w:t>Problemy polskiego sądownictwa – z czym się borykamy</w:t>
        </w:r>
        <w:r w:rsidR="00845591" w:rsidRPr="00EC250C">
          <w:rPr>
            <w:webHidden/>
          </w:rPr>
          <w:tab/>
        </w:r>
        <w:r w:rsidR="00845591" w:rsidRPr="00EC250C">
          <w:rPr>
            <w:webHidden/>
          </w:rPr>
          <w:fldChar w:fldCharType="begin"/>
        </w:r>
        <w:r w:rsidR="00845591" w:rsidRPr="00EC250C">
          <w:rPr>
            <w:webHidden/>
          </w:rPr>
          <w:instrText xml:space="preserve"> PAGEREF _Toc11247618 \h </w:instrText>
        </w:r>
        <w:r w:rsidR="00845591" w:rsidRPr="00EC250C">
          <w:rPr>
            <w:webHidden/>
          </w:rPr>
        </w:r>
        <w:r w:rsidR="00845591" w:rsidRPr="00EC250C">
          <w:rPr>
            <w:webHidden/>
          </w:rPr>
          <w:fldChar w:fldCharType="separate"/>
        </w:r>
        <w:r>
          <w:rPr>
            <w:webHidden/>
          </w:rPr>
          <w:t>134</w:t>
        </w:r>
        <w:r w:rsidR="00845591" w:rsidRPr="00EC250C">
          <w:rPr>
            <w:webHidden/>
          </w:rPr>
          <w:fldChar w:fldCharType="end"/>
        </w:r>
      </w:hyperlink>
    </w:p>
    <w:p w14:paraId="695CA44D" w14:textId="356F98AD" w:rsidR="00845591" w:rsidRPr="00EC250C" w:rsidRDefault="00744B2D" w:rsidP="001759D6">
      <w:pPr>
        <w:pStyle w:val="Spistreci4"/>
        <w:rPr>
          <w:rFonts w:asciiTheme="minorHAnsi" w:eastAsiaTheme="minorEastAsia" w:hAnsiTheme="minorHAnsi" w:cstheme="minorBidi"/>
        </w:rPr>
      </w:pPr>
      <w:hyperlink w:anchor="_Toc11247619" w:history="1">
        <w:r w:rsidR="00845591" w:rsidRPr="00EC250C">
          <w:rPr>
            <w:rStyle w:val="Hipercze"/>
          </w:rPr>
          <w:t>Status niezależnego sądownictwa – konsekwencje zmian wprowadzanych od 2017 r.</w:t>
        </w:r>
        <w:r w:rsidR="00845591" w:rsidRPr="00EC250C">
          <w:rPr>
            <w:webHidden/>
          </w:rPr>
          <w:tab/>
        </w:r>
        <w:r w:rsidR="00845591" w:rsidRPr="00EC250C">
          <w:rPr>
            <w:webHidden/>
          </w:rPr>
          <w:fldChar w:fldCharType="begin"/>
        </w:r>
        <w:r w:rsidR="00845591" w:rsidRPr="00EC250C">
          <w:rPr>
            <w:webHidden/>
          </w:rPr>
          <w:instrText xml:space="preserve"> PAGEREF _Toc11247619 \h </w:instrText>
        </w:r>
        <w:r w:rsidR="00845591" w:rsidRPr="00EC250C">
          <w:rPr>
            <w:webHidden/>
          </w:rPr>
        </w:r>
        <w:r w:rsidR="00845591" w:rsidRPr="00EC250C">
          <w:rPr>
            <w:webHidden/>
          </w:rPr>
          <w:fldChar w:fldCharType="separate"/>
        </w:r>
        <w:r>
          <w:rPr>
            <w:webHidden/>
          </w:rPr>
          <w:t>134</w:t>
        </w:r>
        <w:r w:rsidR="00845591" w:rsidRPr="00EC250C">
          <w:rPr>
            <w:webHidden/>
          </w:rPr>
          <w:fldChar w:fldCharType="end"/>
        </w:r>
      </w:hyperlink>
    </w:p>
    <w:p w14:paraId="22180287" w14:textId="7815E783" w:rsidR="00845591" w:rsidRPr="00EC250C" w:rsidRDefault="00744B2D" w:rsidP="001759D6">
      <w:pPr>
        <w:pStyle w:val="Spistreci4"/>
        <w:rPr>
          <w:rFonts w:asciiTheme="minorHAnsi" w:eastAsiaTheme="minorEastAsia" w:hAnsiTheme="minorHAnsi" w:cstheme="minorBidi"/>
        </w:rPr>
      </w:pPr>
      <w:hyperlink w:anchor="_Toc11247620" w:history="1">
        <w:r w:rsidR="00845591" w:rsidRPr="00EC250C">
          <w:rPr>
            <w:rStyle w:val="Hipercze"/>
          </w:rPr>
          <w:t>Status prokuratury. Wycofanie przez RPO wniosku do Trybunału Konstytucyjnego</w:t>
        </w:r>
        <w:r w:rsidR="00845591" w:rsidRPr="00EC250C">
          <w:rPr>
            <w:webHidden/>
          </w:rPr>
          <w:tab/>
        </w:r>
        <w:r w:rsidR="00845591" w:rsidRPr="00EC250C">
          <w:rPr>
            <w:webHidden/>
          </w:rPr>
          <w:fldChar w:fldCharType="begin"/>
        </w:r>
        <w:r w:rsidR="00845591" w:rsidRPr="00EC250C">
          <w:rPr>
            <w:webHidden/>
          </w:rPr>
          <w:instrText xml:space="preserve"> PAGEREF _Toc11247620 \h </w:instrText>
        </w:r>
        <w:r w:rsidR="00845591" w:rsidRPr="00EC250C">
          <w:rPr>
            <w:webHidden/>
          </w:rPr>
        </w:r>
        <w:r w:rsidR="00845591" w:rsidRPr="00EC250C">
          <w:rPr>
            <w:webHidden/>
          </w:rPr>
          <w:fldChar w:fldCharType="separate"/>
        </w:r>
        <w:r>
          <w:rPr>
            <w:webHidden/>
          </w:rPr>
          <w:t>141</w:t>
        </w:r>
        <w:r w:rsidR="00845591" w:rsidRPr="00EC250C">
          <w:rPr>
            <w:webHidden/>
          </w:rPr>
          <w:fldChar w:fldCharType="end"/>
        </w:r>
      </w:hyperlink>
    </w:p>
    <w:p w14:paraId="0E25C5BE" w14:textId="1CD12C40" w:rsidR="00845591" w:rsidRPr="00EC250C" w:rsidRDefault="00744B2D" w:rsidP="001759D6">
      <w:pPr>
        <w:pStyle w:val="Spistreci4"/>
        <w:rPr>
          <w:rFonts w:asciiTheme="minorHAnsi" w:eastAsiaTheme="minorEastAsia" w:hAnsiTheme="minorHAnsi" w:cstheme="minorBidi"/>
        </w:rPr>
      </w:pPr>
      <w:hyperlink w:anchor="_Toc11247621" w:history="1">
        <w:r w:rsidR="00845591" w:rsidRPr="00EC250C">
          <w:rPr>
            <w:rStyle w:val="Hipercze"/>
          </w:rPr>
          <w:t>Skutki zmian działania Trybunału Konstytucyjnego</w:t>
        </w:r>
        <w:r w:rsidR="00845591" w:rsidRPr="00EC250C">
          <w:rPr>
            <w:webHidden/>
          </w:rPr>
          <w:tab/>
        </w:r>
        <w:r w:rsidR="00845591" w:rsidRPr="00EC250C">
          <w:rPr>
            <w:webHidden/>
          </w:rPr>
          <w:fldChar w:fldCharType="begin"/>
        </w:r>
        <w:r w:rsidR="00845591" w:rsidRPr="00EC250C">
          <w:rPr>
            <w:webHidden/>
          </w:rPr>
          <w:instrText xml:space="preserve"> PAGEREF _Toc11247621 \h </w:instrText>
        </w:r>
        <w:r w:rsidR="00845591" w:rsidRPr="00EC250C">
          <w:rPr>
            <w:webHidden/>
          </w:rPr>
        </w:r>
        <w:r w:rsidR="00845591" w:rsidRPr="00EC250C">
          <w:rPr>
            <w:webHidden/>
          </w:rPr>
          <w:fldChar w:fldCharType="separate"/>
        </w:r>
        <w:r>
          <w:rPr>
            <w:webHidden/>
          </w:rPr>
          <w:t>142</w:t>
        </w:r>
        <w:r w:rsidR="00845591" w:rsidRPr="00EC250C">
          <w:rPr>
            <w:webHidden/>
          </w:rPr>
          <w:fldChar w:fldCharType="end"/>
        </w:r>
      </w:hyperlink>
    </w:p>
    <w:p w14:paraId="5A1FD58D" w14:textId="249E8C1B" w:rsidR="00845591" w:rsidRPr="00EC250C" w:rsidRDefault="00744B2D" w:rsidP="001759D6">
      <w:pPr>
        <w:pStyle w:val="Spistreci4"/>
        <w:rPr>
          <w:rFonts w:asciiTheme="minorHAnsi" w:eastAsiaTheme="minorEastAsia" w:hAnsiTheme="minorHAnsi" w:cstheme="minorBidi"/>
        </w:rPr>
      </w:pPr>
      <w:hyperlink w:anchor="_Toc11247622" w:history="1">
        <w:r w:rsidR="00845591" w:rsidRPr="00EC250C">
          <w:rPr>
            <w:rStyle w:val="Hipercze"/>
          </w:rPr>
          <w:t>Próby poprawiania efektywności wymiaru sprawiedliwości</w:t>
        </w:r>
        <w:r w:rsidR="00845591" w:rsidRPr="00EC250C">
          <w:rPr>
            <w:webHidden/>
          </w:rPr>
          <w:tab/>
        </w:r>
        <w:r w:rsidR="00845591" w:rsidRPr="00EC250C">
          <w:rPr>
            <w:webHidden/>
          </w:rPr>
          <w:fldChar w:fldCharType="begin"/>
        </w:r>
        <w:r w:rsidR="00845591" w:rsidRPr="00EC250C">
          <w:rPr>
            <w:webHidden/>
          </w:rPr>
          <w:instrText xml:space="preserve"> PAGEREF _Toc11247622 \h </w:instrText>
        </w:r>
        <w:r w:rsidR="00845591" w:rsidRPr="00EC250C">
          <w:rPr>
            <w:webHidden/>
          </w:rPr>
        </w:r>
        <w:r w:rsidR="00845591" w:rsidRPr="00EC250C">
          <w:rPr>
            <w:webHidden/>
          </w:rPr>
          <w:fldChar w:fldCharType="separate"/>
        </w:r>
        <w:r>
          <w:rPr>
            <w:webHidden/>
          </w:rPr>
          <w:t>143</w:t>
        </w:r>
        <w:r w:rsidR="00845591" w:rsidRPr="00EC250C">
          <w:rPr>
            <w:webHidden/>
          </w:rPr>
          <w:fldChar w:fldCharType="end"/>
        </w:r>
      </w:hyperlink>
    </w:p>
    <w:p w14:paraId="12505FA9" w14:textId="2EE34B3E" w:rsidR="00845591" w:rsidRPr="00EC250C" w:rsidRDefault="00744B2D" w:rsidP="001759D6">
      <w:pPr>
        <w:pStyle w:val="Spistreci4"/>
        <w:rPr>
          <w:rFonts w:asciiTheme="minorHAnsi" w:eastAsiaTheme="minorEastAsia" w:hAnsiTheme="minorHAnsi" w:cstheme="minorBidi"/>
        </w:rPr>
      </w:pPr>
      <w:hyperlink w:anchor="_Toc11247623" w:history="1">
        <w:r w:rsidR="00845591" w:rsidRPr="00EC250C">
          <w:rPr>
            <w:rStyle w:val="Hipercze"/>
          </w:rPr>
          <w:t>Problemy z ograniczeniem prawa do drogi sądowej</w:t>
        </w:r>
        <w:r w:rsidR="00845591" w:rsidRPr="00EC250C">
          <w:rPr>
            <w:webHidden/>
          </w:rPr>
          <w:tab/>
        </w:r>
        <w:r w:rsidR="00845591" w:rsidRPr="00EC250C">
          <w:rPr>
            <w:webHidden/>
          </w:rPr>
          <w:fldChar w:fldCharType="begin"/>
        </w:r>
        <w:r w:rsidR="00845591" w:rsidRPr="00EC250C">
          <w:rPr>
            <w:webHidden/>
          </w:rPr>
          <w:instrText xml:space="preserve"> PAGEREF _Toc11247623 \h </w:instrText>
        </w:r>
        <w:r w:rsidR="00845591" w:rsidRPr="00EC250C">
          <w:rPr>
            <w:webHidden/>
          </w:rPr>
        </w:r>
        <w:r w:rsidR="00845591" w:rsidRPr="00EC250C">
          <w:rPr>
            <w:webHidden/>
          </w:rPr>
          <w:fldChar w:fldCharType="separate"/>
        </w:r>
        <w:r>
          <w:rPr>
            <w:webHidden/>
          </w:rPr>
          <w:t>144</w:t>
        </w:r>
        <w:r w:rsidR="00845591" w:rsidRPr="00EC250C">
          <w:rPr>
            <w:webHidden/>
          </w:rPr>
          <w:fldChar w:fldCharType="end"/>
        </w:r>
      </w:hyperlink>
    </w:p>
    <w:p w14:paraId="30729D47" w14:textId="4F97B55A" w:rsidR="00845591" w:rsidRPr="00EC250C" w:rsidRDefault="00744B2D" w:rsidP="001759D6">
      <w:pPr>
        <w:pStyle w:val="Spistreci4"/>
        <w:rPr>
          <w:rFonts w:asciiTheme="minorHAnsi" w:eastAsiaTheme="minorEastAsia" w:hAnsiTheme="minorHAnsi" w:cstheme="minorBidi"/>
        </w:rPr>
      </w:pPr>
      <w:hyperlink w:anchor="_Toc11247624" w:history="1">
        <w:r w:rsidR="00845591" w:rsidRPr="00EC250C">
          <w:rPr>
            <w:rStyle w:val="Hipercze"/>
          </w:rPr>
          <w:t>Problemy z bezpłatną pomocą prawną i kosztami postępowań przed sądami</w:t>
        </w:r>
        <w:r w:rsidR="00845591" w:rsidRPr="00EC250C">
          <w:rPr>
            <w:webHidden/>
          </w:rPr>
          <w:tab/>
        </w:r>
        <w:r w:rsidR="00845591" w:rsidRPr="00EC250C">
          <w:rPr>
            <w:webHidden/>
          </w:rPr>
          <w:fldChar w:fldCharType="begin"/>
        </w:r>
        <w:r w:rsidR="00845591" w:rsidRPr="00EC250C">
          <w:rPr>
            <w:webHidden/>
          </w:rPr>
          <w:instrText xml:space="preserve"> PAGEREF _Toc11247624 \h </w:instrText>
        </w:r>
        <w:r w:rsidR="00845591" w:rsidRPr="00EC250C">
          <w:rPr>
            <w:webHidden/>
          </w:rPr>
        </w:r>
        <w:r w:rsidR="00845591" w:rsidRPr="00EC250C">
          <w:rPr>
            <w:webHidden/>
          </w:rPr>
          <w:fldChar w:fldCharType="separate"/>
        </w:r>
        <w:r>
          <w:rPr>
            <w:webHidden/>
          </w:rPr>
          <w:t>148</w:t>
        </w:r>
        <w:r w:rsidR="00845591" w:rsidRPr="00EC250C">
          <w:rPr>
            <w:webHidden/>
          </w:rPr>
          <w:fldChar w:fldCharType="end"/>
        </w:r>
      </w:hyperlink>
    </w:p>
    <w:p w14:paraId="38088030" w14:textId="68905948" w:rsidR="00845591" w:rsidRPr="00EC250C" w:rsidRDefault="00744B2D" w:rsidP="001759D6">
      <w:pPr>
        <w:pStyle w:val="Spistreci4"/>
        <w:rPr>
          <w:rFonts w:asciiTheme="minorHAnsi" w:eastAsiaTheme="minorEastAsia" w:hAnsiTheme="minorHAnsi" w:cstheme="minorBidi"/>
        </w:rPr>
      </w:pPr>
      <w:hyperlink w:anchor="_Toc11247625" w:history="1">
        <w:r w:rsidR="00845591" w:rsidRPr="00EC250C">
          <w:rPr>
            <w:rStyle w:val="Hipercze"/>
          </w:rPr>
          <w:t>Status pokrzywdzonych oraz ofiar przestępstw</w:t>
        </w:r>
        <w:r w:rsidR="00845591" w:rsidRPr="00EC250C">
          <w:rPr>
            <w:webHidden/>
          </w:rPr>
          <w:tab/>
        </w:r>
        <w:r w:rsidR="00845591" w:rsidRPr="00EC250C">
          <w:rPr>
            <w:webHidden/>
          </w:rPr>
          <w:fldChar w:fldCharType="begin"/>
        </w:r>
        <w:r w:rsidR="00845591" w:rsidRPr="00EC250C">
          <w:rPr>
            <w:webHidden/>
          </w:rPr>
          <w:instrText xml:space="preserve"> PAGEREF _Toc11247625 \h </w:instrText>
        </w:r>
        <w:r w:rsidR="00845591" w:rsidRPr="00EC250C">
          <w:rPr>
            <w:webHidden/>
          </w:rPr>
        </w:r>
        <w:r w:rsidR="00845591" w:rsidRPr="00EC250C">
          <w:rPr>
            <w:webHidden/>
          </w:rPr>
          <w:fldChar w:fldCharType="separate"/>
        </w:r>
        <w:r>
          <w:rPr>
            <w:webHidden/>
          </w:rPr>
          <w:t>150</w:t>
        </w:r>
        <w:r w:rsidR="00845591" w:rsidRPr="00EC250C">
          <w:rPr>
            <w:webHidden/>
          </w:rPr>
          <w:fldChar w:fldCharType="end"/>
        </w:r>
      </w:hyperlink>
    </w:p>
    <w:p w14:paraId="392A91A5" w14:textId="097E83DC" w:rsidR="00845591" w:rsidRPr="00EC250C" w:rsidRDefault="00744B2D" w:rsidP="001759D6">
      <w:pPr>
        <w:pStyle w:val="Spistreci4"/>
        <w:rPr>
          <w:rFonts w:asciiTheme="minorHAnsi" w:eastAsiaTheme="minorEastAsia" w:hAnsiTheme="minorHAnsi" w:cstheme="minorBidi"/>
        </w:rPr>
      </w:pPr>
      <w:hyperlink w:anchor="_Toc11247626" w:history="1">
        <w:r w:rsidR="00845591" w:rsidRPr="00EC250C">
          <w:rPr>
            <w:rStyle w:val="Hipercze"/>
          </w:rPr>
          <w:t>Przewlekłość postępowań sądowych i administracyjnych</w:t>
        </w:r>
        <w:r w:rsidR="00845591" w:rsidRPr="00EC250C">
          <w:rPr>
            <w:webHidden/>
          </w:rPr>
          <w:tab/>
        </w:r>
        <w:r w:rsidR="00845591" w:rsidRPr="00EC250C">
          <w:rPr>
            <w:webHidden/>
          </w:rPr>
          <w:fldChar w:fldCharType="begin"/>
        </w:r>
        <w:r w:rsidR="00845591" w:rsidRPr="00EC250C">
          <w:rPr>
            <w:webHidden/>
          </w:rPr>
          <w:instrText xml:space="preserve"> PAGEREF _Toc11247626 \h </w:instrText>
        </w:r>
        <w:r w:rsidR="00845591" w:rsidRPr="00EC250C">
          <w:rPr>
            <w:webHidden/>
          </w:rPr>
        </w:r>
        <w:r w:rsidR="00845591" w:rsidRPr="00EC250C">
          <w:rPr>
            <w:webHidden/>
          </w:rPr>
          <w:fldChar w:fldCharType="separate"/>
        </w:r>
        <w:r>
          <w:rPr>
            <w:webHidden/>
          </w:rPr>
          <w:t>154</w:t>
        </w:r>
        <w:r w:rsidR="00845591" w:rsidRPr="00EC250C">
          <w:rPr>
            <w:webHidden/>
          </w:rPr>
          <w:fldChar w:fldCharType="end"/>
        </w:r>
      </w:hyperlink>
    </w:p>
    <w:p w14:paraId="31224979" w14:textId="5C2C3D30" w:rsidR="00845591" w:rsidRPr="00EC250C" w:rsidRDefault="00744B2D" w:rsidP="001759D6">
      <w:pPr>
        <w:pStyle w:val="Spistreci4"/>
        <w:rPr>
          <w:rFonts w:asciiTheme="minorHAnsi" w:eastAsiaTheme="minorEastAsia" w:hAnsiTheme="minorHAnsi" w:cstheme="minorBidi"/>
        </w:rPr>
      </w:pPr>
      <w:hyperlink w:anchor="_Toc11247627" w:history="1">
        <w:r w:rsidR="00845591" w:rsidRPr="00EC250C">
          <w:rPr>
            <w:rStyle w:val="Hipercze"/>
          </w:rPr>
          <w:t>Problemy z uczestnictwem w rozprawach</w:t>
        </w:r>
        <w:r w:rsidR="00845591" w:rsidRPr="00EC250C">
          <w:rPr>
            <w:webHidden/>
          </w:rPr>
          <w:tab/>
        </w:r>
        <w:r w:rsidR="00845591" w:rsidRPr="00EC250C">
          <w:rPr>
            <w:webHidden/>
          </w:rPr>
          <w:fldChar w:fldCharType="begin"/>
        </w:r>
        <w:r w:rsidR="00845591" w:rsidRPr="00EC250C">
          <w:rPr>
            <w:webHidden/>
          </w:rPr>
          <w:instrText xml:space="preserve"> PAGEREF _Toc11247627 \h </w:instrText>
        </w:r>
        <w:r w:rsidR="00845591" w:rsidRPr="00EC250C">
          <w:rPr>
            <w:webHidden/>
          </w:rPr>
        </w:r>
        <w:r w:rsidR="00845591" w:rsidRPr="00EC250C">
          <w:rPr>
            <w:webHidden/>
          </w:rPr>
          <w:fldChar w:fldCharType="separate"/>
        </w:r>
        <w:r>
          <w:rPr>
            <w:webHidden/>
          </w:rPr>
          <w:t>156</w:t>
        </w:r>
        <w:r w:rsidR="00845591" w:rsidRPr="00EC250C">
          <w:rPr>
            <w:webHidden/>
          </w:rPr>
          <w:fldChar w:fldCharType="end"/>
        </w:r>
      </w:hyperlink>
    </w:p>
    <w:p w14:paraId="0B697B54" w14:textId="784A3C7E" w:rsidR="00845591" w:rsidRPr="00EC250C" w:rsidRDefault="00744B2D" w:rsidP="001759D6">
      <w:pPr>
        <w:pStyle w:val="Spistreci4"/>
        <w:rPr>
          <w:rFonts w:asciiTheme="minorHAnsi" w:eastAsiaTheme="minorEastAsia" w:hAnsiTheme="minorHAnsi" w:cstheme="minorBidi"/>
        </w:rPr>
      </w:pPr>
      <w:hyperlink w:anchor="_Toc11247628" w:history="1">
        <w:r w:rsidR="00845591" w:rsidRPr="00EC250C">
          <w:rPr>
            <w:rStyle w:val="Hipercze"/>
          </w:rPr>
          <w:t>Prawo do procesu</w:t>
        </w:r>
        <w:r w:rsidR="00845591" w:rsidRPr="00EC250C">
          <w:rPr>
            <w:webHidden/>
          </w:rPr>
          <w:tab/>
        </w:r>
        <w:r w:rsidR="00845591" w:rsidRPr="00EC250C">
          <w:rPr>
            <w:webHidden/>
          </w:rPr>
          <w:fldChar w:fldCharType="begin"/>
        </w:r>
        <w:r w:rsidR="00845591" w:rsidRPr="00EC250C">
          <w:rPr>
            <w:webHidden/>
          </w:rPr>
          <w:instrText xml:space="preserve"> PAGEREF _Toc11247628 \h </w:instrText>
        </w:r>
        <w:r w:rsidR="00845591" w:rsidRPr="00EC250C">
          <w:rPr>
            <w:webHidden/>
          </w:rPr>
        </w:r>
        <w:r w:rsidR="00845591" w:rsidRPr="00EC250C">
          <w:rPr>
            <w:webHidden/>
          </w:rPr>
          <w:fldChar w:fldCharType="separate"/>
        </w:r>
        <w:r>
          <w:rPr>
            <w:webHidden/>
          </w:rPr>
          <w:t>158</w:t>
        </w:r>
        <w:r w:rsidR="00845591" w:rsidRPr="00EC250C">
          <w:rPr>
            <w:webHidden/>
          </w:rPr>
          <w:fldChar w:fldCharType="end"/>
        </w:r>
      </w:hyperlink>
    </w:p>
    <w:p w14:paraId="68AD0D38" w14:textId="3554E67C" w:rsidR="00845591" w:rsidRPr="00EC250C" w:rsidRDefault="00744B2D" w:rsidP="00A46160">
      <w:pPr>
        <w:pStyle w:val="Spistreci3"/>
        <w:rPr>
          <w:rFonts w:asciiTheme="minorHAnsi" w:eastAsiaTheme="minorEastAsia" w:hAnsiTheme="minorHAnsi" w:cstheme="minorBidi"/>
          <w:color w:val="auto"/>
          <w:sz w:val="20"/>
        </w:rPr>
      </w:pPr>
      <w:hyperlink w:anchor="_Toc11247629" w:history="1">
        <w:r w:rsidR="00845591" w:rsidRPr="00EC250C">
          <w:rPr>
            <w:rStyle w:val="Hipercze"/>
          </w:rPr>
          <w:t>Art. 46 Konstytucji – Przepadek rzeczy</w:t>
        </w:r>
        <w:r w:rsidR="00845591" w:rsidRPr="00EC250C">
          <w:rPr>
            <w:webHidden/>
          </w:rPr>
          <w:tab/>
        </w:r>
        <w:r w:rsidR="00845591" w:rsidRPr="00EC250C">
          <w:rPr>
            <w:webHidden/>
          </w:rPr>
          <w:fldChar w:fldCharType="begin"/>
        </w:r>
        <w:r w:rsidR="00845591" w:rsidRPr="00EC250C">
          <w:rPr>
            <w:webHidden/>
          </w:rPr>
          <w:instrText xml:space="preserve"> PAGEREF _Toc11247629 \h </w:instrText>
        </w:r>
        <w:r w:rsidR="00845591" w:rsidRPr="00EC250C">
          <w:rPr>
            <w:webHidden/>
          </w:rPr>
        </w:r>
        <w:r w:rsidR="00845591" w:rsidRPr="00EC250C">
          <w:rPr>
            <w:webHidden/>
          </w:rPr>
          <w:fldChar w:fldCharType="separate"/>
        </w:r>
        <w:r>
          <w:rPr>
            <w:webHidden/>
          </w:rPr>
          <w:t>160</w:t>
        </w:r>
        <w:r w:rsidR="00845591" w:rsidRPr="00EC250C">
          <w:rPr>
            <w:webHidden/>
          </w:rPr>
          <w:fldChar w:fldCharType="end"/>
        </w:r>
      </w:hyperlink>
    </w:p>
    <w:p w14:paraId="51E11707" w14:textId="431773AB" w:rsidR="00845591" w:rsidRPr="00EC250C" w:rsidRDefault="00744B2D" w:rsidP="001759D6">
      <w:pPr>
        <w:pStyle w:val="Spistreci4"/>
        <w:rPr>
          <w:rFonts w:asciiTheme="minorHAnsi" w:eastAsiaTheme="minorEastAsia" w:hAnsiTheme="minorHAnsi" w:cstheme="minorBidi"/>
        </w:rPr>
      </w:pPr>
      <w:hyperlink w:anchor="_Toc11247630" w:history="1">
        <w:r w:rsidR="00845591" w:rsidRPr="00EC250C">
          <w:rPr>
            <w:rStyle w:val="Hipercze"/>
          </w:rPr>
          <w:t>Czy kary wobec spółek mogą doprowadzić do przepadku majątku? RPO krytycznie o projekcie odpowiedzialności karnej m.in. spółek</w:t>
        </w:r>
        <w:r w:rsidR="00845591" w:rsidRPr="00EC250C">
          <w:rPr>
            <w:webHidden/>
          </w:rPr>
          <w:tab/>
        </w:r>
        <w:r w:rsidR="00C3177E">
          <w:rPr>
            <w:webHidden/>
          </w:rPr>
          <w:tab/>
        </w:r>
        <w:r w:rsidR="00845591" w:rsidRPr="00EC250C">
          <w:rPr>
            <w:webHidden/>
          </w:rPr>
          <w:fldChar w:fldCharType="begin"/>
        </w:r>
        <w:r w:rsidR="00845591" w:rsidRPr="00EC250C">
          <w:rPr>
            <w:webHidden/>
          </w:rPr>
          <w:instrText xml:space="preserve"> PAGEREF _Toc11247630 \h </w:instrText>
        </w:r>
        <w:r w:rsidR="00845591" w:rsidRPr="00EC250C">
          <w:rPr>
            <w:webHidden/>
          </w:rPr>
        </w:r>
        <w:r w:rsidR="00845591" w:rsidRPr="00EC250C">
          <w:rPr>
            <w:webHidden/>
          </w:rPr>
          <w:fldChar w:fldCharType="separate"/>
        </w:r>
        <w:r>
          <w:rPr>
            <w:webHidden/>
          </w:rPr>
          <w:t>161</w:t>
        </w:r>
        <w:r w:rsidR="00845591" w:rsidRPr="00EC250C">
          <w:rPr>
            <w:webHidden/>
          </w:rPr>
          <w:fldChar w:fldCharType="end"/>
        </w:r>
      </w:hyperlink>
    </w:p>
    <w:p w14:paraId="433D40C8" w14:textId="7932865F" w:rsidR="00845591" w:rsidRPr="00EC250C" w:rsidRDefault="00744B2D" w:rsidP="00A46160">
      <w:pPr>
        <w:pStyle w:val="Spistreci3"/>
        <w:rPr>
          <w:rFonts w:asciiTheme="minorHAnsi" w:eastAsiaTheme="minorEastAsia" w:hAnsiTheme="minorHAnsi" w:cstheme="minorBidi"/>
          <w:color w:val="auto"/>
          <w:sz w:val="20"/>
        </w:rPr>
      </w:pPr>
      <w:hyperlink w:anchor="_Toc11247631" w:history="1">
        <w:r w:rsidR="00845591" w:rsidRPr="00EC250C">
          <w:rPr>
            <w:rStyle w:val="Hipercze"/>
          </w:rPr>
          <w:t>Art. 47 Konstytucji – Prawo do ochrony życia prywatnego, rodzinnego, czci i dobrego imienia</w:t>
        </w:r>
        <w:r w:rsidR="00845591" w:rsidRPr="00EC250C">
          <w:rPr>
            <w:webHidden/>
          </w:rPr>
          <w:tab/>
        </w:r>
        <w:r w:rsidR="00845591" w:rsidRPr="00EC250C">
          <w:rPr>
            <w:webHidden/>
          </w:rPr>
          <w:fldChar w:fldCharType="begin"/>
        </w:r>
        <w:r w:rsidR="00845591" w:rsidRPr="00EC250C">
          <w:rPr>
            <w:webHidden/>
          </w:rPr>
          <w:instrText xml:space="preserve"> PAGEREF _Toc11247631 \h </w:instrText>
        </w:r>
        <w:r w:rsidR="00845591" w:rsidRPr="00EC250C">
          <w:rPr>
            <w:webHidden/>
          </w:rPr>
        </w:r>
        <w:r w:rsidR="00845591" w:rsidRPr="00EC250C">
          <w:rPr>
            <w:webHidden/>
          </w:rPr>
          <w:fldChar w:fldCharType="separate"/>
        </w:r>
        <w:r>
          <w:rPr>
            <w:webHidden/>
          </w:rPr>
          <w:t>163</w:t>
        </w:r>
        <w:r w:rsidR="00845591" w:rsidRPr="00EC250C">
          <w:rPr>
            <w:webHidden/>
          </w:rPr>
          <w:fldChar w:fldCharType="end"/>
        </w:r>
      </w:hyperlink>
    </w:p>
    <w:p w14:paraId="1FEB1F4F" w14:textId="6D5D8DEF" w:rsidR="00845591" w:rsidRPr="00EC250C" w:rsidRDefault="00744B2D" w:rsidP="001759D6">
      <w:pPr>
        <w:pStyle w:val="Spistreci4"/>
        <w:rPr>
          <w:rFonts w:asciiTheme="minorHAnsi" w:eastAsiaTheme="minorEastAsia" w:hAnsiTheme="minorHAnsi" w:cstheme="minorBidi"/>
        </w:rPr>
      </w:pPr>
      <w:hyperlink w:anchor="_Toc11247632" w:history="1">
        <w:r w:rsidR="00845591" w:rsidRPr="00EC250C">
          <w:rPr>
            <w:rStyle w:val="Hipercze"/>
          </w:rPr>
          <w:t>Problemy życia rodzinnego</w:t>
        </w:r>
        <w:r w:rsidR="00845591" w:rsidRPr="00EC250C">
          <w:rPr>
            <w:webHidden/>
          </w:rPr>
          <w:tab/>
        </w:r>
        <w:r w:rsidR="00845591" w:rsidRPr="00EC250C">
          <w:rPr>
            <w:webHidden/>
          </w:rPr>
          <w:fldChar w:fldCharType="begin"/>
        </w:r>
        <w:r w:rsidR="00845591" w:rsidRPr="00EC250C">
          <w:rPr>
            <w:webHidden/>
          </w:rPr>
          <w:instrText xml:space="preserve"> PAGEREF _Toc11247632 \h </w:instrText>
        </w:r>
        <w:r w:rsidR="00845591" w:rsidRPr="00EC250C">
          <w:rPr>
            <w:webHidden/>
          </w:rPr>
        </w:r>
        <w:r w:rsidR="00845591" w:rsidRPr="00EC250C">
          <w:rPr>
            <w:webHidden/>
          </w:rPr>
          <w:fldChar w:fldCharType="separate"/>
        </w:r>
        <w:r>
          <w:rPr>
            <w:webHidden/>
          </w:rPr>
          <w:t>164</w:t>
        </w:r>
        <w:r w:rsidR="00845591" w:rsidRPr="00EC250C">
          <w:rPr>
            <w:webHidden/>
          </w:rPr>
          <w:fldChar w:fldCharType="end"/>
        </w:r>
      </w:hyperlink>
    </w:p>
    <w:p w14:paraId="1A1CEDB2" w14:textId="5ACFFD92" w:rsidR="00845591" w:rsidRPr="00EC250C" w:rsidRDefault="00744B2D" w:rsidP="001759D6">
      <w:pPr>
        <w:pStyle w:val="Spistreci4"/>
        <w:rPr>
          <w:rFonts w:asciiTheme="minorHAnsi" w:eastAsiaTheme="minorEastAsia" w:hAnsiTheme="minorHAnsi" w:cstheme="minorBidi"/>
        </w:rPr>
      </w:pPr>
      <w:hyperlink w:anchor="_Toc11247633" w:history="1">
        <w:r w:rsidR="00845591" w:rsidRPr="00EC250C">
          <w:rPr>
            <w:rStyle w:val="Hipercze"/>
          </w:rPr>
          <w:t>Problemy dotyczące prywatności</w:t>
        </w:r>
        <w:r w:rsidR="00845591" w:rsidRPr="00EC250C">
          <w:rPr>
            <w:webHidden/>
          </w:rPr>
          <w:tab/>
        </w:r>
        <w:r w:rsidR="00845591" w:rsidRPr="00EC250C">
          <w:rPr>
            <w:webHidden/>
          </w:rPr>
          <w:fldChar w:fldCharType="begin"/>
        </w:r>
        <w:r w:rsidR="00845591" w:rsidRPr="00EC250C">
          <w:rPr>
            <w:webHidden/>
          </w:rPr>
          <w:instrText xml:space="preserve"> PAGEREF _Toc11247633 \h </w:instrText>
        </w:r>
        <w:r w:rsidR="00845591" w:rsidRPr="00EC250C">
          <w:rPr>
            <w:webHidden/>
          </w:rPr>
        </w:r>
        <w:r w:rsidR="00845591" w:rsidRPr="00EC250C">
          <w:rPr>
            <w:webHidden/>
          </w:rPr>
          <w:fldChar w:fldCharType="separate"/>
        </w:r>
        <w:r>
          <w:rPr>
            <w:webHidden/>
          </w:rPr>
          <w:t>169</w:t>
        </w:r>
        <w:r w:rsidR="00845591" w:rsidRPr="00EC250C">
          <w:rPr>
            <w:webHidden/>
          </w:rPr>
          <w:fldChar w:fldCharType="end"/>
        </w:r>
      </w:hyperlink>
    </w:p>
    <w:p w14:paraId="62D790E4" w14:textId="3EA3C7B6" w:rsidR="00845591" w:rsidRPr="00EC250C" w:rsidRDefault="00744B2D" w:rsidP="001759D6">
      <w:pPr>
        <w:pStyle w:val="Spistreci4"/>
        <w:rPr>
          <w:rFonts w:asciiTheme="minorHAnsi" w:eastAsiaTheme="minorEastAsia" w:hAnsiTheme="minorHAnsi" w:cstheme="minorBidi"/>
        </w:rPr>
      </w:pPr>
      <w:hyperlink w:anchor="_Toc11247634" w:history="1">
        <w:r w:rsidR="00845591" w:rsidRPr="00EC250C">
          <w:rPr>
            <w:rStyle w:val="Hipercze"/>
          </w:rPr>
          <w:t>Problemy dotyczące czci i reputacji</w:t>
        </w:r>
        <w:r w:rsidR="00845591" w:rsidRPr="00EC250C">
          <w:rPr>
            <w:webHidden/>
          </w:rPr>
          <w:tab/>
        </w:r>
        <w:r w:rsidR="00845591" w:rsidRPr="00EC250C">
          <w:rPr>
            <w:webHidden/>
          </w:rPr>
          <w:fldChar w:fldCharType="begin"/>
        </w:r>
        <w:r w:rsidR="00845591" w:rsidRPr="00EC250C">
          <w:rPr>
            <w:webHidden/>
          </w:rPr>
          <w:instrText xml:space="preserve"> PAGEREF _Toc11247634 \h </w:instrText>
        </w:r>
        <w:r w:rsidR="00845591" w:rsidRPr="00EC250C">
          <w:rPr>
            <w:webHidden/>
          </w:rPr>
        </w:r>
        <w:r w:rsidR="00845591" w:rsidRPr="00EC250C">
          <w:rPr>
            <w:webHidden/>
          </w:rPr>
          <w:fldChar w:fldCharType="separate"/>
        </w:r>
        <w:r>
          <w:rPr>
            <w:webHidden/>
          </w:rPr>
          <w:t>171</w:t>
        </w:r>
        <w:r w:rsidR="00845591" w:rsidRPr="00EC250C">
          <w:rPr>
            <w:webHidden/>
          </w:rPr>
          <w:fldChar w:fldCharType="end"/>
        </w:r>
      </w:hyperlink>
    </w:p>
    <w:p w14:paraId="02DE62C2" w14:textId="7BD8ED97" w:rsidR="00845591" w:rsidRPr="00EC250C" w:rsidRDefault="00744B2D" w:rsidP="00A46160">
      <w:pPr>
        <w:pStyle w:val="Spistreci3"/>
        <w:rPr>
          <w:rFonts w:asciiTheme="minorHAnsi" w:eastAsiaTheme="minorEastAsia" w:hAnsiTheme="minorHAnsi" w:cstheme="minorBidi"/>
          <w:color w:val="auto"/>
          <w:sz w:val="20"/>
        </w:rPr>
      </w:pPr>
      <w:hyperlink w:anchor="_Toc11247635" w:history="1">
        <w:r w:rsidR="00845591" w:rsidRPr="00EC250C">
          <w:rPr>
            <w:rStyle w:val="Hipercze"/>
          </w:rPr>
          <w:t>Art. 48 Konstytucji – Prawo do wychowania dzieci zgodnie z przekonaniami</w:t>
        </w:r>
        <w:r w:rsidR="00845591" w:rsidRPr="00EC250C">
          <w:rPr>
            <w:webHidden/>
          </w:rPr>
          <w:tab/>
        </w:r>
        <w:r w:rsidR="00845591" w:rsidRPr="00EC250C">
          <w:rPr>
            <w:webHidden/>
          </w:rPr>
          <w:fldChar w:fldCharType="begin"/>
        </w:r>
        <w:r w:rsidR="00845591" w:rsidRPr="00EC250C">
          <w:rPr>
            <w:webHidden/>
          </w:rPr>
          <w:instrText xml:space="preserve"> PAGEREF _Toc11247635 \h </w:instrText>
        </w:r>
        <w:r w:rsidR="00845591" w:rsidRPr="00EC250C">
          <w:rPr>
            <w:webHidden/>
          </w:rPr>
        </w:r>
        <w:r w:rsidR="00845591" w:rsidRPr="00EC250C">
          <w:rPr>
            <w:webHidden/>
          </w:rPr>
          <w:fldChar w:fldCharType="separate"/>
        </w:r>
        <w:r>
          <w:rPr>
            <w:webHidden/>
          </w:rPr>
          <w:t>172</w:t>
        </w:r>
        <w:r w:rsidR="00845591" w:rsidRPr="00EC250C">
          <w:rPr>
            <w:webHidden/>
          </w:rPr>
          <w:fldChar w:fldCharType="end"/>
        </w:r>
      </w:hyperlink>
    </w:p>
    <w:p w14:paraId="287F5D7B" w14:textId="782623B6" w:rsidR="00845591" w:rsidRPr="00EC250C" w:rsidRDefault="00744B2D" w:rsidP="00A46160">
      <w:pPr>
        <w:pStyle w:val="Spistreci3"/>
        <w:rPr>
          <w:rFonts w:asciiTheme="minorHAnsi" w:eastAsiaTheme="minorEastAsia" w:hAnsiTheme="minorHAnsi" w:cstheme="minorBidi"/>
          <w:color w:val="auto"/>
          <w:sz w:val="20"/>
        </w:rPr>
      </w:pPr>
      <w:hyperlink w:anchor="_Toc11247636" w:history="1">
        <w:r w:rsidR="00845591" w:rsidRPr="00EC250C">
          <w:rPr>
            <w:rStyle w:val="Hipercze"/>
          </w:rPr>
          <w:t>Art. 49 Konstytucji – Wolność komunikowania się</w:t>
        </w:r>
        <w:r w:rsidR="00845591" w:rsidRPr="00EC250C">
          <w:rPr>
            <w:webHidden/>
          </w:rPr>
          <w:tab/>
        </w:r>
        <w:r w:rsidR="00845591" w:rsidRPr="00EC250C">
          <w:rPr>
            <w:webHidden/>
          </w:rPr>
          <w:fldChar w:fldCharType="begin"/>
        </w:r>
        <w:r w:rsidR="00845591" w:rsidRPr="00EC250C">
          <w:rPr>
            <w:webHidden/>
          </w:rPr>
          <w:instrText xml:space="preserve"> PAGEREF _Toc11247636 \h </w:instrText>
        </w:r>
        <w:r w:rsidR="00845591" w:rsidRPr="00EC250C">
          <w:rPr>
            <w:webHidden/>
          </w:rPr>
        </w:r>
        <w:r w:rsidR="00845591" w:rsidRPr="00EC250C">
          <w:rPr>
            <w:webHidden/>
          </w:rPr>
          <w:fldChar w:fldCharType="separate"/>
        </w:r>
        <w:r>
          <w:rPr>
            <w:webHidden/>
          </w:rPr>
          <w:t>173</w:t>
        </w:r>
        <w:r w:rsidR="00845591" w:rsidRPr="00EC250C">
          <w:rPr>
            <w:webHidden/>
          </w:rPr>
          <w:fldChar w:fldCharType="end"/>
        </w:r>
      </w:hyperlink>
    </w:p>
    <w:p w14:paraId="39320995" w14:textId="0B99BF20" w:rsidR="00845591" w:rsidRPr="00EC250C" w:rsidRDefault="00744B2D" w:rsidP="001759D6">
      <w:pPr>
        <w:pStyle w:val="Spistreci4"/>
        <w:rPr>
          <w:rFonts w:asciiTheme="minorHAnsi" w:eastAsiaTheme="minorEastAsia" w:hAnsiTheme="minorHAnsi" w:cstheme="minorBidi"/>
        </w:rPr>
      </w:pPr>
      <w:hyperlink w:anchor="_Toc11247637" w:history="1">
        <w:r w:rsidR="00845591" w:rsidRPr="00EC250C">
          <w:rPr>
            <w:rStyle w:val="Hipercze"/>
          </w:rPr>
          <w:t>Uprawnienia służb specjalnych do kontrolowania komunikacji obywateli</w:t>
        </w:r>
        <w:r w:rsidR="00845591" w:rsidRPr="00EC250C">
          <w:rPr>
            <w:webHidden/>
          </w:rPr>
          <w:tab/>
        </w:r>
        <w:r w:rsidR="00845591" w:rsidRPr="00EC250C">
          <w:rPr>
            <w:webHidden/>
          </w:rPr>
          <w:fldChar w:fldCharType="begin"/>
        </w:r>
        <w:r w:rsidR="00845591" w:rsidRPr="00EC250C">
          <w:rPr>
            <w:webHidden/>
          </w:rPr>
          <w:instrText xml:space="preserve"> PAGEREF _Toc11247637 \h </w:instrText>
        </w:r>
        <w:r w:rsidR="00845591" w:rsidRPr="00EC250C">
          <w:rPr>
            <w:webHidden/>
          </w:rPr>
        </w:r>
        <w:r w:rsidR="00845591" w:rsidRPr="00EC250C">
          <w:rPr>
            <w:webHidden/>
          </w:rPr>
          <w:fldChar w:fldCharType="separate"/>
        </w:r>
        <w:r>
          <w:rPr>
            <w:webHidden/>
          </w:rPr>
          <w:t>174</w:t>
        </w:r>
        <w:r w:rsidR="00845591" w:rsidRPr="00EC250C">
          <w:rPr>
            <w:webHidden/>
          </w:rPr>
          <w:fldChar w:fldCharType="end"/>
        </w:r>
      </w:hyperlink>
    </w:p>
    <w:p w14:paraId="4FA67810" w14:textId="2A24D86B" w:rsidR="00845591" w:rsidRPr="00EC250C" w:rsidRDefault="00744B2D" w:rsidP="001759D6">
      <w:pPr>
        <w:pStyle w:val="Spistreci4"/>
        <w:rPr>
          <w:rFonts w:asciiTheme="minorHAnsi" w:eastAsiaTheme="minorEastAsia" w:hAnsiTheme="minorHAnsi" w:cstheme="minorBidi"/>
        </w:rPr>
      </w:pPr>
      <w:hyperlink w:anchor="_Toc11247638" w:history="1">
        <w:r w:rsidR="00845591" w:rsidRPr="00EC250C">
          <w:rPr>
            <w:rStyle w:val="Hipercze"/>
          </w:rPr>
          <w:t>Zagrożenia dla tajemnicy zawodowej adwokatów, dziennikarzy i lekarzy</w:t>
        </w:r>
        <w:r w:rsidR="00845591" w:rsidRPr="00EC250C">
          <w:rPr>
            <w:webHidden/>
          </w:rPr>
          <w:tab/>
        </w:r>
        <w:r w:rsidR="00845591" w:rsidRPr="00EC250C">
          <w:rPr>
            <w:webHidden/>
          </w:rPr>
          <w:fldChar w:fldCharType="begin"/>
        </w:r>
        <w:r w:rsidR="00845591" w:rsidRPr="00EC250C">
          <w:rPr>
            <w:webHidden/>
          </w:rPr>
          <w:instrText xml:space="preserve"> PAGEREF _Toc11247638 \h </w:instrText>
        </w:r>
        <w:r w:rsidR="00845591" w:rsidRPr="00EC250C">
          <w:rPr>
            <w:webHidden/>
          </w:rPr>
        </w:r>
        <w:r w:rsidR="00845591" w:rsidRPr="00EC250C">
          <w:rPr>
            <w:webHidden/>
          </w:rPr>
          <w:fldChar w:fldCharType="separate"/>
        </w:r>
        <w:r>
          <w:rPr>
            <w:webHidden/>
          </w:rPr>
          <w:t>174</w:t>
        </w:r>
        <w:r w:rsidR="00845591" w:rsidRPr="00EC250C">
          <w:rPr>
            <w:webHidden/>
          </w:rPr>
          <w:fldChar w:fldCharType="end"/>
        </w:r>
      </w:hyperlink>
    </w:p>
    <w:p w14:paraId="4058DCF9" w14:textId="2D8CCCD6" w:rsidR="00845591" w:rsidRPr="00EC250C" w:rsidRDefault="00744B2D" w:rsidP="00A46160">
      <w:pPr>
        <w:pStyle w:val="Spistreci3"/>
        <w:rPr>
          <w:rFonts w:asciiTheme="minorHAnsi" w:eastAsiaTheme="minorEastAsia" w:hAnsiTheme="minorHAnsi" w:cstheme="minorBidi"/>
          <w:color w:val="auto"/>
          <w:sz w:val="20"/>
        </w:rPr>
      </w:pPr>
      <w:hyperlink w:anchor="_Toc11247639" w:history="1">
        <w:r w:rsidR="00845591" w:rsidRPr="00EC250C">
          <w:rPr>
            <w:rStyle w:val="Hipercze"/>
          </w:rPr>
          <w:t>Art. 50 Konstytucji – Prawo do nienaruszalności mieszkania</w:t>
        </w:r>
        <w:r w:rsidR="00845591" w:rsidRPr="00EC250C">
          <w:rPr>
            <w:webHidden/>
          </w:rPr>
          <w:tab/>
        </w:r>
        <w:r w:rsidR="00845591" w:rsidRPr="00EC250C">
          <w:rPr>
            <w:webHidden/>
          </w:rPr>
          <w:fldChar w:fldCharType="begin"/>
        </w:r>
        <w:r w:rsidR="00845591" w:rsidRPr="00EC250C">
          <w:rPr>
            <w:webHidden/>
          </w:rPr>
          <w:instrText xml:space="preserve"> PAGEREF _Toc11247639 \h </w:instrText>
        </w:r>
        <w:r w:rsidR="00845591" w:rsidRPr="00EC250C">
          <w:rPr>
            <w:webHidden/>
          </w:rPr>
        </w:r>
        <w:r w:rsidR="00845591" w:rsidRPr="00EC250C">
          <w:rPr>
            <w:webHidden/>
          </w:rPr>
          <w:fldChar w:fldCharType="separate"/>
        </w:r>
        <w:r>
          <w:rPr>
            <w:webHidden/>
          </w:rPr>
          <w:t>176</w:t>
        </w:r>
        <w:r w:rsidR="00845591" w:rsidRPr="00EC250C">
          <w:rPr>
            <w:webHidden/>
          </w:rPr>
          <w:fldChar w:fldCharType="end"/>
        </w:r>
      </w:hyperlink>
    </w:p>
    <w:p w14:paraId="2C220A29" w14:textId="10114A35" w:rsidR="00845591" w:rsidRPr="00EC250C" w:rsidRDefault="00744B2D" w:rsidP="001759D6">
      <w:pPr>
        <w:pStyle w:val="Spistreci4"/>
        <w:rPr>
          <w:rFonts w:asciiTheme="minorHAnsi" w:eastAsiaTheme="minorEastAsia" w:hAnsiTheme="minorHAnsi" w:cstheme="minorBidi"/>
        </w:rPr>
      </w:pPr>
      <w:hyperlink w:anchor="_Toc11247640" w:history="1">
        <w:r w:rsidR="00845591" w:rsidRPr="00EC250C">
          <w:rPr>
            <w:rStyle w:val="Hipercze"/>
          </w:rPr>
          <w:t>Poprawione standardy dotyczące przeszukania</w:t>
        </w:r>
        <w:r w:rsidR="00845591" w:rsidRPr="00EC250C">
          <w:rPr>
            <w:webHidden/>
          </w:rPr>
          <w:tab/>
        </w:r>
        <w:r w:rsidR="00845591" w:rsidRPr="00EC250C">
          <w:rPr>
            <w:webHidden/>
          </w:rPr>
          <w:fldChar w:fldCharType="begin"/>
        </w:r>
        <w:r w:rsidR="00845591" w:rsidRPr="00EC250C">
          <w:rPr>
            <w:webHidden/>
          </w:rPr>
          <w:instrText xml:space="preserve"> PAGEREF _Toc11247640 \h </w:instrText>
        </w:r>
        <w:r w:rsidR="00845591" w:rsidRPr="00EC250C">
          <w:rPr>
            <w:webHidden/>
          </w:rPr>
        </w:r>
        <w:r w:rsidR="00845591" w:rsidRPr="00EC250C">
          <w:rPr>
            <w:webHidden/>
          </w:rPr>
          <w:fldChar w:fldCharType="separate"/>
        </w:r>
        <w:r>
          <w:rPr>
            <w:webHidden/>
          </w:rPr>
          <w:t>177</w:t>
        </w:r>
        <w:r w:rsidR="00845591" w:rsidRPr="00EC250C">
          <w:rPr>
            <w:webHidden/>
          </w:rPr>
          <w:fldChar w:fldCharType="end"/>
        </w:r>
      </w:hyperlink>
    </w:p>
    <w:p w14:paraId="30EC883C" w14:textId="1C23C3DB" w:rsidR="00845591" w:rsidRPr="00EC250C" w:rsidRDefault="00744B2D" w:rsidP="00A46160">
      <w:pPr>
        <w:pStyle w:val="Spistreci3"/>
        <w:rPr>
          <w:rFonts w:asciiTheme="minorHAnsi" w:eastAsiaTheme="minorEastAsia" w:hAnsiTheme="minorHAnsi" w:cstheme="minorBidi"/>
          <w:color w:val="auto"/>
          <w:sz w:val="20"/>
        </w:rPr>
      </w:pPr>
      <w:hyperlink w:anchor="_Toc11247641" w:history="1">
        <w:r w:rsidR="00845591" w:rsidRPr="00EC250C">
          <w:rPr>
            <w:rStyle w:val="Hipercze"/>
          </w:rPr>
          <w:t>Art. 51 Konstytucji – Prawo do autonomii informacyjnej</w:t>
        </w:r>
        <w:r w:rsidR="00845591" w:rsidRPr="00EC250C">
          <w:rPr>
            <w:webHidden/>
          </w:rPr>
          <w:tab/>
        </w:r>
        <w:r w:rsidR="00845591" w:rsidRPr="00EC250C">
          <w:rPr>
            <w:webHidden/>
          </w:rPr>
          <w:fldChar w:fldCharType="begin"/>
        </w:r>
        <w:r w:rsidR="00845591" w:rsidRPr="00EC250C">
          <w:rPr>
            <w:webHidden/>
          </w:rPr>
          <w:instrText xml:space="preserve"> PAGEREF _Toc11247641 \h </w:instrText>
        </w:r>
        <w:r w:rsidR="00845591" w:rsidRPr="00EC250C">
          <w:rPr>
            <w:webHidden/>
          </w:rPr>
        </w:r>
        <w:r w:rsidR="00845591" w:rsidRPr="00EC250C">
          <w:rPr>
            <w:webHidden/>
          </w:rPr>
          <w:fldChar w:fldCharType="separate"/>
        </w:r>
        <w:r>
          <w:rPr>
            <w:webHidden/>
          </w:rPr>
          <w:t>178</w:t>
        </w:r>
        <w:r w:rsidR="00845591" w:rsidRPr="00EC250C">
          <w:rPr>
            <w:webHidden/>
          </w:rPr>
          <w:fldChar w:fldCharType="end"/>
        </w:r>
      </w:hyperlink>
    </w:p>
    <w:p w14:paraId="7D332841" w14:textId="3818D12E" w:rsidR="00845591" w:rsidRPr="00EC250C" w:rsidRDefault="00744B2D" w:rsidP="001759D6">
      <w:pPr>
        <w:pStyle w:val="Spistreci4"/>
        <w:rPr>
          <w:rFonts w:asciiTheme="minorHAnsi" w:eastAsiaTheme="minorEastAsia" w:hAnsiTheme="minorHAnsi" w:cstheme="minorBidi"/>
        </w:rPr>
      </w:pPr>
      <w:hyperlink w:anchor="_Toc11247642" w:history="1">
        <w:r w:rsidR="00845591" w:rsidRPr="00EC250C">
          <w:rPr>
            <w:rStyle w:val="Hipercze"/>
          </w:rPr>
          <w:t>Ochrona danych osobowych, rozpoczęcie stosowania unijnego rozporządzenia (RODO)</w:t>
        </w:r>
        <w:r w:rsidR="00845591" w:rsidRPr="00EC250C">
          <w:rPr>
            <w:webHidden/>
          </w:rPr>
          <w:tab/>
        </w:r>
        <w:r w:rsidR="00845591" w:rsidRPr="00EC250C">
          <w:rPr>
            <w:webHidden/>
          </w:rPr>
          <w:fldChar w:fldCharType="begin"/>
        </w:r>
        <w:r w:rsidR="00845591" w:rsidRPr="00EC250C">
          <w:rPr>
            <w:webHidden/>
          </w:rPr>
          <w:instrText xml:space="preserve"> PAGEREF _Toc11247642 \h </w:instrText>
        </w:r>
        <w:r w:rsidR="00845591" w:rsidRPr="00EC250C">
          <w:rPr>
            <w:webHidden/>
          </w:rPr>
        </w:r>
        <w:r w:rsidR="00845591" w:rsidRPr="00EC250C">
          <w:rPr>
            <w:webHidden/>
          </w:rPr>
          <w:fldChar w:fldCharType="separate"/>
        </w:r>
        <w:r>
          <w:rPr>
            <w:webHidden/>
          </w:rPr>
          <w:t>179</w:t>
        </w:r>
        <w:r w:rsidR="00845591" w:rsidRPr="00EC250C">
          <w:rPr>
            <w:webHidden/>
          </w:rPr>
          <w:fldChar w:fldCharType="end"/>
        </w:r>
      </w:hyperlink>
    </w:p>
    <w:p w14:paraId="2E9C4A3D" w14:textId="290F3724" w:rsidR="00845591" w:rsidRPr="00EC250C" w:rsidRDefault="00744B2D" w:rsidP="001759D6">
      <w:pPr>
        <w:pStyle w:val="Spistreci4"/>
        <w:rPr>
          <w:rFonts w:asciiTheme="minorHAnsi" w:eastAsiaTheme="minorEastAsia" w:hAnsiTheme="minorHAnsi" w:cstheme="minorBidi"/>
        </w:rPr>
      </w:pPr>
      <w:hyperlink w:anchor="_Toc11247643" w:history="1">
        <w:r w:rsidR="00845591" w:rsidRPr="00EC250C">
          <w:rPr>
            <w:rStyle w:val="Hipercze"/>
          </w:rPr>
          <w:t>Ochrona danych osobowych przetwarzanych w związku z zapobieganiem i zwalczaniem przestępczości</w:t>
        </w:r>
        <w:r w:rsidR="00EC250C">
          <w:rPr>
            <w:webHidden/>
          </w:rPr>
          <w:tab/>
        </w:r>
        <w:r w:rsidR="00845591" w:rsidRPr="00EC250C">
          <w:rPr>
            <w:webHidden/>
          </w:rPr>
          <w:fldChar w:fldCharType="begin"/>
        </w:r>
        <w:r w:rsidR="00845591" w:rsidRPr="00EC250C">
          <w:rPr>
            <w:webHidden/>
          </w:rPr>
          <w:instrText xml:space="preserve"> PAGEREF _Toc11247643 \h </w:instrText>
        </w:r>
        <w:r w:rsidR="00845591" w:rsidRPr="00EC250C">
          <w:rPr>
            <w:webHidden/>
          </w:rPr>
        </w:r>
        <w:r w:rsidR="00845591" w:rsidRPr="00EC250C">
          <w:rPr>
            <w:webHidden/>
          </w:rPr>
          <w:fldChar w:fldCharType="separate"/>
        </w:r>
        <w:r>
          <w:rPr>
            <w:webHidden/>
          </w:rPr>
          <w:t>179</w:t>
        </w:r>
        <w:r w:rsidR="00845591" w:rsidRPr="00EC250C">
          <w:rPr>
            <w:webHidden/>
          </w:rPr>
          <w:fldChar w:fldCharType="end"/>
        </w:r>
      </w:hyperlink>
    </w:p>
    <w:p w14:paraId="3CD8CD1E" w14:textId="272482F6" w:rsidR="00845591" w:rsidRPr="00EC250C" w:rsidRDefault="00744B2D" w:rsidP="001759D6">
      <w:pPr>
        <w:pStyle w:val="Spistreci4"/>
        <w:rPr>
          <w:rFonts w:asciiTheme="minorHAnsi" w:eastAsiaTheme="minorEastAsia" w:hAnsiTheme="minorHAnsi" w:cstheme="minorBidi"/>
        </w:rPr>
      </w:pPr>
      <w:hyperlink w:anchor="_Toc11247644" w:history="1">
        <w:r w:rsidR="00845591" w:rsidRPr="00EC250C">
          <w:rPr>
            <w:rStyle w:val="Hipercze"/>
          </w:rPr>
          <w:t>Dostęp służb do danych zawartych w rejestrze stanu cywilnego</w:t>
        </w:r>
        <w:r w:rsidR="00845591" w:rsidRPr="00EC250C">
          <w:rPr>
            <w:webHidden/>
          </w:rPr>
          <w:tab/>
        </w:r>
        <w:r w:rsidR="00845591" w:rsidRPr="00EC250C">
          <w:rPr>
            <w:webHidden/>
          </w:rPr>
          <w:fldChar w:fldCharType="begin"/>
        </w:r>
        <w:r w:rsidR="00845591" w:rsidRPr="00EC250C">
          <w:rPr>
            <w:webHidden/>
          </w:rPr>
          <w:instrText xml:space="preserve"> PAGEREF _Toc11247644 \h </w:instrText>
        </w:r>
        <w:r w:rsidR="00845591" w:rsidRPr="00EC250C">
          <w:rPr>
            <w:webHidden/>
          </w:rPr>
        </w:r>
        <w:r w:rsidR="00845591" w:rsidRPr="00EC250C">
          <w:rPr>
            <w:webHidden/>
          </w:rPr>
          <w:fldChar w:fldCharType="separate"/>
        </w:r>
        <w:r>
          <w:rPr>
            <w:webHidden/>
          </w:rPr>
          <w:t>180</w:t>
        </w:r>
        <w:r w:rsidR="00845591" w:rsidRPr="00EC250C">
          <w:rPr>
            <w:webHidden/>
          </w:rPr>
          <w:fldChar w:fldCharType="end"/>
        </w:r>
      </w:hyperlink>
    </w:p>
    <w:p w14:paraId="6441D243" w14:textId="059A0D7D" w:rsidR="00845591" w:rsidRPr="00EC250C" w:rsidRDefault="00744B2D" w:rsidP="001759D6">
      <w:pPr>
        <w:pStyle w:val="Spistreci4"/>
        <w:rPr>
          <w:rFonts w:asciiTheme="minorHAnsi" w:eastAsiaTheme="minorEastAsia" w:hAnsiTheme="minorHAnsi" w:cstheme="minorBidi"/>
        </w:rPr>
      </w:pPr>
      <w:hyperlink w:anchor="_Toc11247645" w:history="1">
        <w:r w:rsidR="00845591" w:rsidRPr="00EC250C">
          <w:rPr>
            <w:rStyle w:val="Hipercze"/>
          </w:rPr>
          <w:t>Zasady usuwania danych osób, które wystąpiły z kościoła, w księgach kościelnych</w:t>
        </w:r>
        <w:r w:rsidR="00845591" w:rsidRPr="00EC250C">
          <w:rPr>
            <w:webHidden/>
          </w:rPr>
          <w:tab/>
        </w:r>
        <w:r w:rsidR="00845591" w:rsidRPr="00EC250C">
          <w:rPr>
            <w:webHidden/>
          </w:rPr>
          <w:fldChar w:fldCharType="begin"/>
        </w:r>
        <w:r w:rsidR="00845591" w:rsidRPr="00EC250C">
          <w:rPr>
            <w:webHidden/>
          </w:rPr>
          <w:instrText xml:space="preserve"> PAGEREF _Toc11247645 \h </w:instrText>
        </w:r>
        <w:r w:rsidR="00845591" w:rsidRPr="00EC250C">
          <w:rPr>
            <w:webHidden/>
          </w:rPr>
        </w:r>
        <w:r w:rsidR="00845591" w:rsidRPr="00EC250C">
          <w:rPr>
            <w:webHidden/>
          </w:rPr>
          <w:fldChar w:fldCharType="separate"/>
        </w:r>
        <w:r>
          <w:rPr>
            <w:webHidden/>
          </w:rPr>
          <w:t>181</w:t>
        </w:r>
        <w:r w:rsidR="00845591" w:rsidRPr="00EC250C">
          <w:rPr>
            <w:webHidden/>
          </w:rPr>
          <w:fldChar w:fldCharType="end"/>
        </w:r>
      </w:hyperlink>
    </w:p>
    <w:p w14:paraId="4C2C306D" w14:textId="752D391E" w:rsidR="00845591" w:rsidRPr="00EC250C" w:rsidRDefault="00744B2D" w:rsidP="001759D6">
      <w:pPr>
        <w:pStyle w:val="Spistreci4"/>
        <w:rPr>
          <w:rFonts w:asciiTheme="minorHAnsi" w:eastAsiaTheme="minorEastAsia" w:hAnsiTheme="minorHAnsi" w:cstheme="minorBidi"/>
        </w:rPr>
      </w:pPr>
      <w:hyperlink w:anchor="_Toc11247646" w:history="1">
        <w:r w:rsidR="00845591" w:rsidRPr="00EC250C">
          <w:rPr>
            <w:rStyle w:val="Hipercze"/>
          </w:rPr>
          <w:t>Ujawnianie wrażliwych danych w publikowanych wyrokach Trybunału Konstytucyjnego</w:t>
        </w:r>
        <w:r w:rsidR="00845591" w:rsidRPr="00EC250C">
          <w:rPr>
            <w:webHidden/>
          </w:rPr>
          <w:tab/>
        </w:r>
        <w:r w:rsidR="00845591" w:rsidRPr="00EC250C">
          <w:rPr>
            <w:webHidden/>
          </w:rPr>
          <w:fldChar w:fldCharType="begin"/>
        </w:r>
        <w:r w:rsidR="00845591" w:rsidRPr="00EC250C">
          <w:rPr>
            <w:webHidden/>
          </w:rPr>
          <w:instrText xml:space="preserve"> PAGEREF _Toc11247646 \h </w:instrText>
        </w:r>
        <w:r w:rsidR="00845591" w:rsidRPr="00EC250C">
          <w:rPr>
            <w:webHidden/>
          </w:rPr>
        </w:r>
        <w:r w:rsidR="00845591" w:rsidRPr="00EC250C">
          <w:rPr>
            <w:webHidden/>
          </w:rPr>
          <w:fldChar w:fldCharType="separate"/>
        </w:r>
        <w:r>
          <w:rPr>
            <w:webHidden/>
          </w:rPr>
          <w:t>182</w:t>
        </w:r>
        <w:r w:rsidR="00845591" w:rsidRPr="00EC250C">
          <w:rPr>
            <w:webHidden/>
          </w:rPr>
          <w:fldChar w:fldCharType="end"/>
        </w:r>
      </w:hyperlink>
    </w:p>
    <w:p w14:paraId="564AA881" w14:textId="6FFFDE9B" w:rsidR="00845591" w:rsidRPr="00EC250C" w:rsidRDefault="00744B2D" w:rsidP="001759D6">
      <w:pPr>
        <w:pStyle w:val="Spistreci4"/>
        <w:rPr>
          <w:rFonts w:asciiTheme="minorHAnsi" w:eastAsiaTheme="minorEastAsia" w:hAnsiTheme="minorHAnsi" w:cstheme="minorBidi"/>
        </w:rPr>
      </w:pPr>
      <w:hyperlink w:anchor="_Toc11247647" w:history="1">
        <w:r w:rsidR="00845591" w:rsidRPr="00EC250C">
          <w:rPr>
            <w:rStyle w:val="Hipercze"/>
          </w:rPr>
          <w:t>Zagrożenia dla prywatności obywateli zawarte w projekcie ustawy o jawności życia publicznego</w:t>
        </w:r>
        <w:r w:rsidR="00845591" w:rsidRPr="00EC250C">
          <w:rPr>
            <w:webHidden/>
          </w:rPr>
          <w:tab/>
        </w:r>
        <w:r w:rsidR="00845591" w:rsidRPr="00EC250C">
          <w:rPr>
            <w:webHidden/>
          </w:rPr>
          <w:fldChar w:fldCharType="begin"/>
        </w:r>
        <w:r w:rsidR="00845591" w:rsidRPr="00EC250C">
          <w:rPr>
            <w:webHidden/>
          </w:rPr>
          <w:instrText xml:space="preserve"> PAGEREF _Toc11247647 \h </w:instrText>
        </w:r>
        <w:r w:rsidR="00845591" w:rsidRPr="00EC250C">
          <w:rPr>
            <w:webHidden/>
          </w:rPr>
        </w:r>
        <w:r w:rsidR="00845591" w:rsidRPr="00EC250C">
          <w:rPr>
            <w:webHidden/>
          </w:rPr>
          <w:fldChar w:fldCharType="separate"/>
        </w:r>
        <w:r>
          <w:rPr>
            <w:webHidden/>
          </w:rPr>
          <w:t>182</w:t>
        </w:r>
        <w:r w:rsidR="00845591" w:rsidRPr="00EC250C">
          <w:rPr>
            <w:webHidden/>
          </w:rPr>
          <w:fldChar w:fldCharType="end"/>
        </w:r>
      </w:hyperlink>
    </w:p>
    <w:p w14:paraId="092F2DB7" w14:textId="4EFEC6CA" w:rsidR="00845591" w:rsidRPr="00EC250C" w:rsidRDefault="00744B2D" w:rsidP="001759D6">
      <w:pPr>
        <w:pStyle w:val="Spistreci4"/>
        <w:rPr>
          <w:rFonts w:asciiTheme="minorHAnsi" w:eastAsiaTheme="minorEastAsia" w:hAnsiTheme="minorHAnsi" w:cstheme="minorBidi"/>
        </w:rPr>
      </w:pPr>
      <w:hyperlink w:anchor="_Toc11247648" w:history="1">
        <w:r w:rsidR="00845591" w:rsidRPr="00EC250C">
          <w:rPr>
            <w:rStyle w:val="Hipercze"/>
          </w:rPr>
          <w:t>Czy w lokalach wyborczych mogą być kamery transmitujące przebieg głosowania?</w:t>
        </w:r>
        <w:r w:rsidR="00845591" w:rsidRPr="00EC250C">
          <w:rPr>
            <w:webHidden/>
          </w:rPr>
          <w:tab/>
        </w:r>
        <w:r w:rsidR="00845591" w:rsidRPr="00EC250C">
          <w:rPr>
            <w:webHidden/>
          </w:rPr>
          <w:fldChar w:fldCharType="begin"/>
        </w:r>
        <w:r w:rsidR="00845591" w:rsidRPr="00EC250C">
          <w:rPr>
            <w:webHidden/>
          </w:rPr>
          <w:instrText xml:space="preserve"> PAGEREF _Toc11247648 \h </w:instrText>
        </w:r>
        <w:r w:rsidR="00845591" w:rsidRPr="00EC250C">
          <w:rPr>
            <w:webHidden/>
          </w:rPr>
        </w:r>
        <w:r w:rsidR="00845591" w:rsidRPr="00EC250C">
          <w:rPr>
            <w:webHidden/>
          </w:rPr>
          <w:fldChar w:fldCharType="separate"/>
        </w:r>
        <w:r>
          <w:rPr>
            <w:webHidden/>
          </w:rPr>
          <w:t>183</w:t>
        </w:r>
        <w:r w:rsidR="00845591" w:rsidRPr="00EC250C">
          <w:rPr>
            <w:webHidden/>
          </w:rPr>
          <w:fldChar w:fldCharType="end"/>
        </w:r>
      </w:hyperlink>
    </w:p>
    <w:p w14:paraId="71F97894" w14:textId="39C4A78B" w:rsidR="00845591" w:rsidRPr="00EC250C" w:rsidRDefault="00744B2D" w:rsidP="001759D6">
      <w:pPr>
        <w:pStyle w:val="Spistreci4"/>
        <w:rPr>
          <w:rFonts w:asciiTheme="minorHAnsi" w:eastAsiaTheme="minorEastAsia" w:hAnsiTheme="minorHAnsi" w:cstheme="minorBidi"/>
        </w:rPr>
      </w:pPr>
      <w:hyperlink w:anchor="_Toc11247649" w:history="1">
        <w:r w:rsidR="00845591" w:rsidRPr="00EC250C">
          <w:rPr>
            <w:rStyle w:val="Hipercze"/>
          </w:rPr>
          <w:t>Zmiana ustawy reprywatyzacyjnej a ochrona danych osobowych</w:t>
        </w:r>
        <w:r w:rsidR="00845591" w:rsidRPr="00EC250C">
          <w:rPr>
            <w:webHidden/>
          </w:rPr>
          <w:tab/>
        </w:r>
        <w:r w:rsidR="00845591" w:rsidRPr="00EC250C">
          <w:rPr>
            <w:webHidden/>
          </w:rPr>
          <w:fldChar w:fldCharType="begin"/>
        </w:r>
        <w:r w:rsidR="00845591" w:rsidRPr="00EC250C">
          <w:rPr>
            <w:webHidden/>
          </w:rPr>
          <w:instrText xml:space="preserve"> PAGEREF _Toc11247649 \h </w:instrText>
        </w:r>
        <w:r w:rsidR="00845591" w:rsidRPr="00EC250C">
          <w:rPr>
            <w:webHidden/>
          </w:rPr>
        </w:r>
        <w:r w:rsidR="00845591" w:rsidRPr="00EC250C">
          <w:rPr>
            <w:webHidden/>
          </w:rPr>
          <w:fldChar w:fldCharType="separate"/>
        </w:r>
        <w:r>
          <w:rPr>
            <w:webHidden/>
          </w:rPr>
          <w:t>184</w:t>
        </w:r>
        <w:r w:rsidR="00845591" w:rsidRPr="00EC250C">
          <w:rPr>
            <w:webHidden/>
          </w:rPr>
          <w:fldChar w:fldCharType="end"/>
        </w:r>
      </w:hyperlink>
    </w:p>
    <w:p w14:paraId="0A93C153" w14:textId="16F38B6A" w:rsidR="00845591" w:rsidRPr="00EC250C" w:rsidRDefault="00744B2D" w:rsidP="001759D6">
      <w:pPr>
        <w:pStyle w:val="Spistreci4"/>
        <w:rPr>
          <w:rFonts w:asciiTheme="minorHAnsi" w:eastAsiaTheme="minorEastAsia" w:hAnsiTheme="minorHAnsi" w:cstheme="minorBidi"/>
        </w:rPr>
      </w:pPr>
      <w:hyperlink w:anchor="_Toc11247650" w:history="1">
        <w:r w:rsidR="00845591" w:rsidRPr="00EC250C">
          <w:rPr>
            <w:rStyle w:val="Hipercze"/>
          </w:rPr>
          <w:t>Sposób profilowania bezrobotnych</w:t>
        </w:r>
        <w:r w:rsidR="00845591" w:rsidRPr="00EC250C">
          <w:rPr>
            <w:webHidden/>
          </w:rPr>
          <w:tab/>
        </w:r>
        <w:r w:rsidR="00845591" w:rsidRPr="00EC250C">
          <w:rPr>
            <w:webHidden/>
          </w:rPr>
          <w:fldChar w:fldCharType="begin"/>
        </w:r>
        <w:r w:rsidR="00845591" w:rsidRPr="00EC250C">
          <w:rPr>
            <w:webHidden/>
          </w:rPr>
          <w:instrText xml:space="preserve"> PAGEREF _Toc11247650 \h </w:instrText>
        </w:r>
        <w:r w:rsidR="00845591" w:rsidRPr="00EC250C">
          <w:rPr>
            <w:webHidden/>
          </w:rPr>
        </w:r>
        <w:r w:rsidR="00845591" w:rsidRPr="00EC250C">
          <w:rPr>
            <w:webHidden/>
          </w:rPr>
          <w:fldChar w:fldCharType="separate"/>
        </w:r>
        <w:r>
          <w:rPr>
            <w:webHidden/>
          </w:rPr>
          <w:t>185</w:t>
        </w:r>
        <w:r w:rsidR="00845591" w:rsidRPr="00EC250C">
          <w:rPr>
            <w:webHidden/>
          </w:rPr>
          <w:fldChar w:fldCharType="end"/>
        </w:r>
      </w:hyperlink>
    </w:p>
    <w:p w14:paraId="616C54DB" w14:textId="397305C4" w:rsidR="00845591" w:rsidRPr="00EC250C" w:rsidRDefault="00744B2D" w:rsidP="001759D6">
      <w:pPr>
        <w:pStyle w:val="Spistreci4"/>
        <w:rPr>
          <w:rFonts w:asciiTheme="minorHAnsi" w:eastAsiaTheme="minorEastAsia" w:hAnsiTheme="minorHAnsi" w:cstheme="minorBidi"/>
        </w:rPr>
      </w:pPr>
      <w:hyperlink w:anchor="_Toc11247651" w:history="1">
        <w:r w:rsidR="00845591" w:rsidRPr="00EC250C">
          <w:rPr>
            <w:rStyle w:val="Hipercze"/>
          </w:rPr>
          <w:t>Ochrona danych biometrycznych podawanych przy odbieraniu przesyłki</w:t>
        </w:r>
        <w:r w:rsidR="00845591" w:rsidRPr="00EC250C">
          <w:rPr>
            <w:webHidden/>
          </w:rPr>
          <w:tab/>
        </w:r>
        <w:r w:rsidR="00845591" w:rsidRPr="00EC250C">
          <w:rPr>
            <w:webHidden/>
          </w:rPr>
          <w:fldChar w:fldCharType="begin"/>
        </w:r>
        <w:r w:rsidR="00845591" w:rsidRPr="00EC250C">
          <w:rPr>
            <w:webHidden/>
          </w:rPr>
          <w:instrText xml:space="preserve"> PAGEREF _Toc11247651 \h </w:instrText>
        </w:r>
        <w:r w:rsidR="00845591" w:rsidRPr="00EC250C">
          <w:rPr>
            <w:webHidden/>
          </w:rPr>
        </w:r>
        <w:r w:rsidR="00845591" w:rsidRPr="00EC250C">
          <w:rPr>
            <w:webHidden/>
          </w:rPr>
          <w:fldChar w:fldCharType="separate"/>
        </w:r>
        <w:r>
          <w:rPr>
            <w:webHidden/>
          </w:rPr>
          <w:t>185</w:t>
        </w:r>
        <w:r w:rsidR="00845591" w:rsidRPr="00EC250C">
          <w:rPr>
            <w:webHidden/>
          </w:rPr>
          <w:fldChar w:fldCharType="end"/>
        </w:r>
      </w:hyperlink>
    </w:p>
    <w:p w14:paraId="14004F3F" w14:textId="7B7420DA" w:rsidR="00845591" w:rsidRPr="00EC250C" w:rsidRDefault="00744B2D" w:rsidP="001759D6">
      <w:pPr>
        <w:pStyle w:val="Spistreci4"/>
        <w:rPr>
          <w:rFonts w:asciiTheme="minorHAnsi" w:eastAsiaTheme="minorEastAsia" w:hAnsiTheme="minorHAnsi" w:cstheme="minorBidi"/>
        </w:rPr>
      </w:pPr>
      <w:hyperlink w:anchor="_Toc11247652" w:history="1">
        <w:r w:rsidR="00845591" w:rsidRPr="00EC250C">
          <w:rPr>
            <w:rStyle w:val="Hipercze"/>
          </w:rPr>
          <w:t>Ochrona danych pacjentów, którzy nie odebrali pieniędzy z depozytów</w:t>
        </w:r>
        <w:r w:rsidR="00845591" w:rsidRPr="00EC250C">
          <w:rPr>
            <w:webHidden/>
          </w:rPr>
          <w:tab/>
        </w:r>
        <w:r w:rsidR="00845591" w:rsidRPr="00EC250C">
          <w:rPr>
            <w:webHidden/>
          </w:rPr>
          <w:fldChar w:fldCharType="begin"/>
        </w:r>
        <w:r w:rsidR="00845591" w:rsidRPr="00EC250C">
          <w:rPr>
            <w:webHidden/>
          </w:rPr>
          <w:instrText xml:space="preserve"> PAGEREF _Toc11247652 \h </w:instrText>
        </w:r>
        <w:r w:rsidR="00845591" w:rsidRPr="00EC250C">
          <w:rPr>
            <w:webHidden/>
          </w:rPr>
        </w:r>
        <w:r w:rsidR="00845591" w:rsidRPr="00EC250C">
          <w:rPr>
            <w:webHidden/>
          </w:rPr>
          <w:fldChar w:fldCharType="separate"/>
        </w:r>
        <w:r>
          <w:rPr>
            <w:webHidden/>
          </w:rPr>
          <w:t>186</w:t>
        </w:r>
        <w:r w:rsidR="00845591" w:rsidRPr="00EC250C">
          <w:rPr>
            <w:webHidden/>
          </w:rPr>
          <w:fldChar w:fldCharType="end"/>
        </w:r>
      </w:hyperlink>
    </w:p>
    <w:p w14:paraId="6AECD6C3" w14:textId="49391887" w:rsidR="00845591" w:rsidRPr="00EC250C" w:rsidRDefault="00744B2D" w:rsidP="001759D6">
      <w:pPr>
        <w:pStyle w:val="Spistreci4"/>
        <w:rPr>
          <w:rFonts w:asciiTheme="minorHAnsi" w:eastAsiaTheme="minorEastAsia" w:hAnsiTheme="minorHAnsi" w:cstheme="minorBidi"/>
        </w:rPr>
      </w:pPr>
      <w:hyperlink w:anchor="_Toc11247653" w:history="1">
        <w:r w:rsidR="00845591" w:rsidRPr="00EC250C">
          <w:rPr>
            <w:rStyle w:val="Hipercze"/>
          </w:rPr>
          <w:t>Bariery w korzystaniu z prawa do kopiowania akt przez strony postępowania</w:t>
        </w:r>
        <w:r w:rsidR="00845591" w:rsidRPr="00EC250C">
          <w:rPr>
            <w:webHidden/>
          </w:rPr>
          <w:tab/>
        </w:r>
        <w:r w:rsidR="00845591" w:rsidRPr="00EC250C">
          <w:rPr>
            <w:webHidden/>
          </w:rPr>
          <w:fldChar w:fldCharType="begin"/>
        </w:r>
        <w:r w:rsidR="00845591" w:rsidRPr="00EC250C">
          <w:rPr>
            <w:webHidden/>
          </w:rPr>
          <w:instrText xml:space="preserve"> PAGEREF _Toc11247653 \h </w:instrText>
        </w:r>
        <w:r w:rsidR="00845591" w:rsidRPr="00EC250C">
          <w:rPr>
            <w:webHidden/>
          </w:rPr>
        </w:r>
        <w:r w:rsidR="00845591" w:rsidRPr="00EC250C">
          <w:rPr>
            <w:webHidden/>
          </w:rPr>
          <w:fldChar w:fldCharType="separate"/>
        </w:r>
        <w:r>
          <w:rPr>
            <w:webHidden/>
          </w:rPr>
          <w:t>186</w:t>
        </w:r>
        <w:r w:rsidR="00845591" w:rsidRPr="00EC250C">
          <w:rPr>
            <w:webHidden/>
          </w:rPr>
          <w:fldChar w:fldCharType="end"/>
        </w:r>
      </w:hyperlink>
    </w:p>
    <w:p w14:paraId="1AF7DD7F" w14:textId="6A9FF851" w:rsidR="00845591" w:rsidRPr="00EC250C" w:rsidRDefault="00744B2D" w:rsidP="001759D6">
      <w:pPr>
        <w:pStyle w:val="Spistreci4"/>
        <w:rPr>
          <w:rFonts w:asciiTheme="minorHAnsi" w:eastAsiaTheme="minorEastAsia" w:hAnsiTheme="minorHAnsi" w:cstheme="minorBidi"/>
        </w:rPr>
      </w:pPr>
      <w:hyperlink w:anchor="_Toc11247654" w:history="1">
        <w:r w:rsidR="00845591" w:rsidRPr="00EC250C">
          <w:rPr>
            <w:rStyle w:val="Hipercze"/>
          </w:rPr>
          <w:t>Kandydaci na biegłych rewidentów nie mogą zrobić kopii swojej pracy egzaminacyjnej</w:t>
        </w:r>
        <w:r w:rsidR="00845591" w:rsidRPr="00EC250C">
          <w:rPr>
            <w:webHidden/>
          </w:rPr>
          <w:tab/>
        </w:r>
        <w:r w:rsidR="00845591" w:rsidRPr="00EC250C">
          <w:rPr>
            <w:webHidden/>
          </w:rPr>
          <w:fldChar w:fldCharType="begin"/>
        </w:r>
        <w:r w:rsidR="00845591" w:rsidRPr="00EC250C">
          <w:rPr>
            <w:webHidden/>
          </w:rPr>
          <w:instrText xml:space="preserve"> PAGEREF _Toc11247654 \h </w:instrText>
        </w:r>
        <w:r w:rsidR="00845591" w:rsidRPr="00EC250C">
          <w:rPr>
            <w:webHidden/>
          </w:rPr>
        </w:r>
        <w:r w:rsidR="00845591" w:rsidRPr="00EC250C">
          <w:rPr>
            <w:webHidden/>
          </w:rPr>
          <w:fldChar w:fldCharType="separate"/>
        </w:r>
        <w:r>
          <w:rPr>
            <w:webHidden/>
          </w:rPr>
          <w:t>187</w:t>
        </w:r>
        <w:r w:rsidR="00845591" w:rsidRPr="00EC250C">
          <w:rPr>
            <w:webHidden/>
          </w:rPr>
          <w:fldChar w:fldCharType="end"/>
        </w:r>
      </w:hyperlink>
    </w:p>
    <w:p w14:paraId="31F8FEEB" w14:textId="04C3685A" w:rsidR="00845591" w:rsidRPr="00EC250C" w:rsidRDefault="00744B2D" w:rsidP="00A46160">
      <w:pPr>
        <w:pStyle w:val="Spistreci3"/>
        <w:rPr>
          <w:rFonts w:asciiTheme="minorHAnsi" w:eastAsiaTheme="minorEastAsia" w:hAnsiTheme="minorHAnsi" w:cstheme="minorBidi"/>
          <w:color w:val="auto"/>
          <w:sz w:val="20"/>
        </w:rPr>
      </w:pPr>
      <w:hyperlink w:anchor="_Toc11247655" w:history="1">
        <w:r w:rsidR="00845591" w:rsidRPr="00EC250C">
          <w:rPr>
            <w:rStyle w:val="Hipercze"/>
          </w:rPr>
          <w:t>Art. 52 Konstytucji – Wolność poruszania się po terytorium RP</w:t>
        </w:r>
        <w:r w:rsidR="00845591" w:rsidRPr="00EC250C">
          <w:rPr>
            <w:webHidden/>
          </w:rPr>
          <w:tab/>
        </w:r>
        <w:r w:rsidR="00845591" w:rsidRPr="00EC250C">
          <w:rPr>
            <w:webHidden/>
          </w:rPr>
          <w:fldChar w:fldCharType="begin"/>
        </w:r>
        <w:r w:rsidR="00845591" w:rsidRPr="00EC250C">
          <w:rPr>
            <w:webHidden/>
          </w:rPr>
          <w:instrText xml:space="preserve"> PAGEREF _Toc11247655 \h </w:instrText>
        </w:r>
        <w:r w:rsidR="00845591" w:rsidRPr="00EC250C">
          <w:rPr>
            <w:webHidden/>
          </w:rPr>
        </w:r>
        <w:r w:rsidR="00845591" w:rsidRPr="00EC250C">
          <w:rPr>
            <w:webHidden/>
          </w:rPr>
          <w:fldChar w:fldCharType="separate"/>
        </w:r>
        <w:r>
          <w:rPr>
            <w:webHidden/>
          </w:rPr>
          <w:t>188</w:t>
        </w:r>
        <w:r w:rsidR="00845591" w:rsidRPr="00EC250C">
          <w:rPr>
            <w:webHidden/>
          </w:rPr>
          <w:fldChar w:fldCharType="end"/>
        </w:r>
      </w:hyperlink>
    </w:p>
    <w:p w14:paraId="38585689" w14:textId="6D42404E" w:rsidR="00845591" w:rsidRPr="00EC250C" w:rsidRDefault="00744B2D" w:rsidP="001759D6">
      <w:pPr>
        <w:pStyle w:val="Spistreci4"/>
        <w:rPr>
          <w:rFonts w:asciiTheme="minorHAnsi" w:eastAsiaTheme="minorEastAsia" w:hAnsiTheme="minorHAnsi" w:cstheme="minorBidi"/>
        </w:rPr>
      </w:pPr>
      <w:hyperlink w:anchor="_Toc11247656" w:history="1">
        <w:r w:rsidR="00845591" w:rsidRPr="00EC250C">
          <w:rPr>
            <w:rStyle w:val="Hipercze"/>
          </w:rPr>
          <w:t>Ograniczenia wstępu do lasów państwowych</w:t>
        </w:r>
        <w:r w:rsidR="00845591" w:rsidRPr="00EC250C">
          <w:rPr>
            <w:webHidden/>
          </w:rPr>
          <w:tab/>
        </w:r>
        <w:r w:rsidR="00845591" w:rsidRPr="00EC250C">
          <w:rPr>
            <w:webHidden/>
          </w:rPr>
          <w:fldChar w:fldCharType="begin"/>
        </w:r>
        <w:r w:rsidR="00845591" w:rsidRPr="00EC250C">
          <w:rPr>
            <w:webHidden/>
          </w:rPr>
          <w:instrText xml:space="preserve"> PAGEREF _Toc11247656 \h </w:instrText>
        </w:r>
        <w:r w:rsidR="00845591" w:rsidRPr="00EC250C">
          <w:rPr>
            <w:webHidden/>
          </w:rPr>
        </w:r>
        <w:r w:rsidR="00845591" w:rsidRPr="00EC250C">
          <w:rPr>
            <w:webHidden/>
          </w:rPr>
          <w:fldChar w:fldCharType="separate"/>
        </w:r>
        <w:r>
          <w:rPr>
            <w:webHidden/>
          </w:rPr>
          <w:t>189</w:t>
        </w:r>
        <w:r w:rsidR="00845591" w:rsidRPr="00EC250C">
          <w:rPr>
            <w:webHidden/>
          </w:rPr>
          <w:fldChar w:fldCharType="end"/>
        </w:r>
      </w:hyperlink>
    </w:p>
    <w:p w14:paraId="2FFCA574" w14:textId="0C503468" w:rsidR="00845591" w:rsidRPr="00EC250C" w:rsidRDefault="00744B2D" w:rsidP="001759D6">
      <w:pPr>
        <w:pStyle w:val="Spistreci4"/>
        <w:rPr>
          <w:rFonts w:asciiTheme="minorHAnsi" w:eastAsiaTheme="minorEastAsia" w:hAnsiTheme="minorHAnsi" w:cstheme="minorBidi"/>
        </w:rPr>
      </w:pPr>
      <w:hyperlink w:anchor="_Toc11247657" w:history="1">
        <w:r w:rsidR="00845591" w:rsidRPr="00EC250C">
          <w:rPr>
            <w:rStyle w:val="Hipercze"/>
          </w:rPr>
          <w:t>Wykluczenie transportowe – brak publicznego transportu do lekarza, urzędu, szkoły czy instytucji kultury</w:t>
        </w:r>
        <w:r w:rsidR="00EC250C">
          <w:rPr>
            <w:webHidden/>
          </w:rPr>
          <w:tab/>
        </w:r>
        <w:r w:rsidR="00845591" w:rsidRPr="00EC250C">
          <w:rPr>
            <w:webHidden/>
          </w:rPr>
          <w:fldChar w:fldCharType="begin"/>
        </w:r>
        <w:r w:rsidR="00845591" w:rsidRPr="00EC250C">
          <w:rPr>
            <w:webHidden/>
          </w:rPr>
          <w:instrText xml:space="preserve"> PAGEREF _Toc11247657 \h </w:instrText>
        </w:r>
        <w:r w:rsidR="00845591" w:rsidRPr="00EC250C">
          <w:rPr>
            <w:webHidden/>
          </w:rPr>
        </w:r>
        <w:r w:rsidR="00845591" w:rsidRPr="00EC250C">
          <w:rPr>
            <w:webHidden/>
          </w:rPr>
          <w:fldChar w:fldCharType="separate"/>
        </w:r>
        <w:r>
          <w:rPr>
            <w:webHidden/>
          </w:rPr>
          <w:t>189</w:t>
        </w:r>
        <w:r w:rsidR="00845591" w:rsidRPr="00EC250C">
          <w:rPr>
            <w:webHidden/>
          </w:rPr>
          <w:fldChar w:fldCharType="end"/>
        </w:r>
      </w:hyperlink>
    </w:p>
    <w:p w14:paraId="0A642B43" w14:textId="56CC14E9" w:rsidR="00845591" w:rsidRPr="00EC250C" w:rsidRDefault="00744B2D" w:rsidP="00A46160">
      <w:pPr>
        <w:pStyle w:val="Spistreci3"/>
        <w:rPr>
          <w:rFonts w:asciiTheme="minorHAnsi" w:eastAsiaTheme="minorEastAsia" w:hAnsiTheme="minorHAnsi" w:cstheme="minorBidi"/>
          <w:color w:val="auto"/>
          <w:sz w:val="20"/>
        </w:rPr>
      </w:pPr>
      <w:hyperlink w:anchor="_Toc11247658" w:history="1">
        <w:r w:rsidR="00845591" w:rsidRPr="00EC250C">
          <w:rPr>
            <w:rStyle w:val="Hipercze"/>
          </w:rPr>
          <w:t>Art. 53 Konstytucji – Wolność sumienia i wyznania</w:t>
        </w:r>
        <w:r w:rsidR="00845591" w:rsidRPr="00EC250C">
          <w:rPr>
            <w:webHidden/>
          </w:rPr>
          <w:tab/>
        </w:r>
        <w:r w:rsidR="00845591" w:rsidRPr="00EC250C">
          <w:rPr>
            <w:webHidden/>
          </w:rPr>
          <w:fldChar w:fldCharType="begin"/>
        </w:r>
        <w:r w:rsidR="00845591" w:rsidRPr="00EC250C">
          <w:rPr>
            <w:webHidden/>
          </w:rPr>
          <w:instrText xml:space="preserve"> PAGEREF _Toc11247658 \h </w:instrText>
        </w:r>
        <w:r w:rsidR="00845591" w:rsidRPr="00EC250C">
          <w:rPr>
            <w:webHidden/>
          </w:rPr>
        </w:r>
        <w:r w:rsidR="00845591" w:rsidRPr="00EC250C">
          <w:rPr>
            <w:webHidden/>
          </w:rPr>
          <w:fldChar w:fldCharType="separate"/>
        </w:r>
        <w:r>
          <w:rPr>
            <w:webHidden/>
          </w:rPr>
          <w:t>191</w:t>
        </w:r>
        <w:r w:rsidR="00845591" w:rsidRPr="00EC250C">
          <w:rPr>
            <w:webHidden/>
          </w:rPr>
          <w:fldChar w:fldCharType="end"/>
        </w:r>
      </w:hyperlink>
    </w:p>
    <w:p w14:paraId="3FDC4DD5" w14:textId="5317E61C" w:rsidR="00845591" w:rsidRPr="00EC250C" w:rsidRDefault="00744B2D" w:rsidP="001759D6">
      <w:pPr>
        <w:pStyle w:val="Spistreci4"/>
        <w:rPr>
          <w:rFonts w:asciiTheme="minorHAnsi" w:eastAsiaTheme="minorEastAsia" w:hAnsiTheme="minorHAnsi" w:cstheme="minorBidi"/>
        </w:rPr>
      </w:pPr>
      <w:hyperlink w:anchor="_Toc11247659" w:history="1">
        <w:r w:rsidR="00845591" w:rsidRPr="00EC250C">
          <w:rPr>
            <w:rStyle w:val="Hipercze"/>
          </w:rPr>
          <w:t>Czy katecheta może być wychowawcą klasy?</w:t>
        </w:r>
        <w:r w:rsidR="00845591" w:rsidRPr="00EC250C">
          <w:rPr>
            <w:webHidden/>
          </w:rPr>
          <w:tab/>
        </w:r>
        <w:r w:rsidR="00845591" w:rsidRPr="00EC250C">
          <w:rPr>
            <w:webHidden/>
          </w:rPr>
          <w:fldChar w:fldCharType="begin"/>
        </w:r>
        <w:r w:rsidR="00845591" w:rsidRPr="00EC250C">
          <w:rPr>
            <w:webHidden/>
          </w:rPr>
          <w:instrText xml:space="preserve"> PAGEREF _Toc11247659 \h </w:instrText>
        </w:r>
        <w:r w:rsidR="00845591" w:rsidRPr="00EC250C">
          <w:rPr>
            <w:webHidden/>
          </w:rPr>
        </w:r>
        <w:r w:rsidR="00845591" w:rsidRPr="00EC250C">
          <w:rPr>
            <w:webHidden/>
          </w:rPr>
          <w:fldChar w:fldCharType="separate"/>
        </w:r>
        <w:r>
          <w:rPr>
            <w:webHidden/>
          </w:rPr>
          <w:t>192</w:t>
        </w:r>
        <w:r w:rsidR="00845591" w:rsidRPr="00EC250C">
          <w:rPr>
            <w:webHidden/>
          </w:rPr>
          <w:fldChar w:fldCharType="end"/>
        </w:r>
      </w:hyperlink>
    </w:p>
    <w:p w14:paraId="01A2A978" w14:textId="7613A5B0" w:rsidR="00845591" w:rsidRPr="00EC250C" w:rsidRDefault="00744B2D" w:rsidP="001759D6">
      <w:pPr>
        <w:pStyle w:val="Spistreci4"/>
        <w:rPr>
          <w:rFonts w:asciiTheme="minorHAnsi" w:eastAsiaTheme="minorEastAsia" w:hAnsiTheme="minorHAnsi" w:cstheme="minorBidi"/>
        </w:rPr>
      </w:pPr>
      <w:hyperlink w:anchor="_Toc11247660" w:history="1">
        <w:r w:rsidR="00845591" w:rsidRPr="00EC250C">
          <w:rPr>
            <w:rStyle w:val="Hipercze"/>
          </w:rPr>
          <w:t>Klauzula sumienia lekarza i jej konsekwencja dla praw pacjentów</w:t>
        </w:r>
        <w:r w:rsidR="00845591" w:rsidRPr="00EC250C">
          <w:rPr>
            <w:webHidden/>
          </w:rPr>
          <w:tab/>
        </w:r>
        <w:r w:rsidR="00845591" w:rsidRPr="00EC250C">
          <w:rPr>
            <w:webHidden/>
          </w:rPr>
          <w:fldChar w:fldCharType="begin"/>
        </w:r>
        <w:r w:rsidR="00845591" w:rsidRPr="00EC250C">
          <w:rPr>
            <w:webHidden/>
          </w:rPr>
          <w:instrText xml:space="preserve"> PAGEREF _Toc11247660 \h </w:instrText>
        </w:r>
        <w:r w:rsidR="00845591" w:rsidRPr="00EC250C">
          <w:rPr>
            <w:webHidden/>
          </w:rPr>
        </w:r>
        <w:r w:rsidR="00845591" w:rsidRPr="00EC250C">
          <w:rPr>
            <w:webHidden/>
          </w:rPr>
          <w:fldChar w:fldCharType="separate"/>
        </w:r>
        <w:r>
          <w:rPr>
            <w:webHidden/>
          </w:rPr>
          <w:t>193</w:t>
        </w:r>
        <w:r w:rsidR="00845591" w:rsidRPr="00EC250C">
          <w:rPr>
            <w:webHidden/>
          </w:rPr>
          <w:fldChar w:fldCharType="end"/>
        </w:r>
      </w:hyperlink>
    </w:p>
    <w:p w14:paraId="584BFFD6" w14:textId="20C3F080" w:rsidR="00845591" w:rsidRPr="00EC250C" w:rsidRDefault="00744B2D" w:rsidP="00A46160">
      <w:pPr>
        <w:pStyle w:val="Spistreci3"/>
        <w:rPr>
          <w:rFonts w:asciiTheme="minorHAnsi" w:eastAsiaTheme="minorEastAsia" w:hAnsiTheme="minorHAnsi" w:cstheme="minorBidi"/>
          <w:color w:val="auto"/>
          <w:sz w:val="20"/>
        </w:rPr>
      </w:pPr>
      <w:hyperlink w:anchor="_Toc11247661" w:history="1">
        <w:r w:rsidR="00845591" w:rsidRPr="00EC250C">
          <w:rPr>
            <w:rStyle w:val="Hipercze"/>
          </w:rPr>
          <w:t>Art. 54 Konstytucji – Wolność słowa</w:t>
        </w:r>
        <w:r w:rsidR="00845591" w:rsidRPr="00EC250C">
          <w:rPr>
            <w:webHidden/>
          </w:rPr>
          <w:tab/>
        </w:r>
        <w:r w:rsidR="00845591" w:rsidRPr="00EC250C">
          <w:rPr>
            <w:webHidden/>
          </w:rPr>
          <w:fldChar w:fldCharType="begin"/>
        </w:r>
        <w:r w:rsidR="00845591" w:rsidRPr="00EC250C">
          <w:rPr>
            <w:webHidden/>
          </w:rPr>
          <w:instrText xml:space="preserve"> PAGEREF _Toc11247661 \h </w:instrText>
        </w:r>
        <w:r w:rsidR="00845591" w:rsidRPr="00EC250C">
          <w:rPr>
            <w:webHidden/>
          </w:rPr>
        </w:r>
        <w:r w:rsidR="00845591" w:rsidRPr="00EC250C">
          <w:rPr>
            <w:webHidden/>
          </w:rPr>
          <w:fldChar w:fldCharType="separate"/>
        </w:r>
        <w:r>
          <w:rPr>
            <w:webHidden/>
          </w:rPr>
          <w:t>194</w:t>
        </w:r>
        <w:r w:rsidR="00845591" w:rsidRPr="00EC250C">
          <w:rPr>
            <w:webHidden/>
          </w:rPr>
          <w:fldChar w:fldCharType="end"/>
        </w:r>
      </w:hyperlink>
    </w:p>
    <w:p w14:paraId="76A2AB21" w14:textId="27398732" w:rsidR="00845591" w:rsidRPr="00EC250C" w:rsidRDefault="00744B2D" w:rsidP="001759D6">
      <w:pPr>
        <w:pStyle w:val="Spistreci4"/>
        <w:rPr>
          <w:rFonts w:asciiTheme="minorHAnsi" w:eastAsiaTheme="minorEastAsia" w:hAnsiTheme="minorHAnsi" w:cstheme="minorBidi"/>
        </w:rPr>
      </w:pPr>
      <w:hyperlink w:anchor="_Toc11247662" w:history="1">
        <w:r w:rsidR="00845591" w:rsidRPr="00EC250C">
          <w:rPr>
            <w:rStyle w:val="Hipercze"/>
          </w:rPr>
          <w:t>Niewykonany wyrok Trybunału Konstytucyjnego w sprawie sposobu wybierania władz publicznych mediów</w:t>
        </w:r>
        <w:r w:rsidR="00EC250C">
          <w:rPr>
            <w:rStyle w:val="Hipercze"/>
          </w:rPr>
          <w:tab/>
        </w:r>
        <w:r w:rsidR="00845591" w:rsidRPr="00EC250C">
          <w:rPr>
            <w:webHidden/>
          </w:rPr>
          <w:fldChar w:fldCharType="begin"/>
        </w:r>
        <w:r w:rsidR="00845591" w:rsidRPr="00EC250C">
          <w:rPr>
            <w:webHidden/>
          </w:rPr>
          <w:instrText xml:space="preserve"> PAGEREF _Toc11247662 \h </w:instrText>
        </w:r>
        <w:r w:rsidR="00845591" w:rsidRPr="00EC250C">
          <w:rPr>
            <w:webHidden/>
          </w:rPr>
        </w:r>
        <w:r w:rsidR="00845591" w:rsidRPr="00EC250C">
          <w:rPr>
            <w:webHidden/>
          </w:rPr>
          <w:fldChar w:fldCharType="separate"/>
        </w:r>
        <w:r>
          <w:rPr>
            <w:webHidden/>
          </w:rPr>
          <w:t>195</w:t>
        </w:r>
        <w:r w:rsidR="00845591" w:rsidRPr="00EC250C">
          <w:rPr>
            <w:webHidden/>
          </w:rPr>
          <w:fldChar w:fldCharType="end"/>
        </w:r>
      </w:hyperlink>
    </w:p>
    <w:p w14:paraId="598BF5FE" w14:textId="71A50E12" w:rsidR="00845591" w:rsidRPr="00EC250C" w:rsidRDefault="00744B2D" w:rsidP="001759D6">
      <w:pPr>
        <w:pStyle w:val="Spistreci4"/>
        <w:rPr>
          <w:rFonts w:asciiTheme="minorHAnsi" w:eastAsiaTheme="minorEastAsia" w:hAnsiTheme="minorHAnsi" w:cstheme="minorBidi"/>
        </w:rPr>
      </w:pPr>
      <w:hyperlink w:anchor="_Toc11247663" w:history="1">
        <w:r w:rsidR="00845591" w:rsidRPr="00EC250C">
          <w:rPr>
            <w:rStyle w:val="Hipercze"/>
          </w:rPr>
          <w:t>Wydawanie prasy przez władze samorządowe</w:t>
        </w:r>
        <w:r w:rsidR="00845591" w:rsidRPr="00EC250C">
          <w:rPr>
            <w:webHidden/>
          </w:rPr>
          <w:tab/>
        </w:r>
        <w:r w:rsidR="00845591" w:rsidRPr="00EC250C">
          <w:rPr>
            <w:webHidden/>
          </w:rPr>
          <w:fldChar w:fldCharType="begin"/>
        </w:r>
        <w:r w:rsidR="00845591" w:rsidRPr="00EC250C">
          <w:rPr>
            <w:webHidden/>
          </w:rPr>
          <w:instrText xml:space="preserve"> PAGEREF _Toc11247663 \h </w:instrText>
        </w:r>
        <w:r w:rsidR="00845591" w:rsidRPr="00EC250C">
          <w:rPr>
            <w:webHidden/>
          </w:rPr>
        </w:r>
        <w:r w:rsidR="00845591" w:rsidRPr="00EC250C">
          <w:rPr>
            <w:webHidden/>
          </w:rPr>
          <w:fldChar w:fldCharType="separate"/>
        </w:r>
        <w:r>
          <w:rPr>
            <w:webHidden/>
          </w:rPr>
          <w:t>195</w:t>
        </w:r>
        <w:r w:rsidR="00845591" w:rsidRPr="00EC250C">
          <w:rPr>
            <w:webHidden/>
          </w:rPr>
          <w:fldChar w:fldCharType="end"/>
        </w:r>
      </w:hyperlink>
    </w:p>
    <w:p w14:paraId="6968E56A" w14:textId="4AE3C208" w:rsidR="00845591" w:rsidRPr="00EC250C" w:rsidRDefault="00744B2D" w:rsidP="001759D6">
      <w:pPr>
        <w:pStyle w:val="Spistreci4"/>
        <w:rPr>
          <w:rFonts w:asciiTheme="minorHAnsi" w:eastAsiaTheme="minorEastAsia" w:hAnsiTheme="minorHAnsi" w:cstheme="minorBidi"/>
        </w:rPr>
      </w:pPr>
      <w:hyperlink w:anchor="_Toc11247664" w:history="1">
        <w:r w:rsidR="00845591" w:rsidRPr="00EC250C">
          <w:rPr>
            <w:rStyle w:val="Hipercze"/>
          </w:rPr>
          <w:t>Blokowanie lub usuwanie kont użytkowników portali społecznościowych</w:t>
        </w:r>
        <w:r w:rsidR="00845591" w:rsidRPr="00EC250C">
          <w:rPr>
            <w:webHidden/>
          </w:rPr>
          <w:tab/>
        </w:r>
        <w:r w:rsidR="00845591" w:rsidRPr="00EC250C">
          <w:rPr>
            <w:webHidden/>
          </w:rPr>
          <w:fldChar w:fldCharType="begin"/>
        </w:r>
        <w:r w:rsidR="00845591" w:rsidRPr="00EC250C">
          <w:rPr>
            <w:webHidden/>
          </w:rPr>
          <w:instrText xml:space="preserve"> PAGEREF _Toc11247664 \h </w:instrText>
        </w:r>
        <w:r w:rsidR="00845591" w:rsidRPr="00EC250C">
          <w:rPr>
            <w:webHidden/>
          </w:rPr>
        </w:r>
        <w:r w:rsidR="00845591" w:rsidRPr="00EC250C">
          <w:rPr>
            <w:webHidden/>
          </w:rPr>
          <w:fldChar w:fldCharType="separate"/>
        </w:r>
        <w:r>
          <w:rPr>
            <w:webHidden/>
          </w:rPr>
          <w:t>196</w:t>
        </w:r>
        <w:r w:rsidR="00845591" w:rsidRPr="00EC250C">
          <w:rPr>
            <w:webHidden/>
          </w:rPr>
          <w:fldChar w:fldCharType="end"/>
        </w:r>
      </w:hyperlink>
    </w:p>
    <w:p w14:paraId="78361308" w14:textId="35360947" w:rsidR="00845591" w:rsidRPr="00EC250C" w:rsidRDefault="00744B2D" w:rsidP="001759D6">
      <w:pPr>
        <w:pStyle w:val="Spistreci4"/>
        <w:rPr>
          <w:rFonts w:asciiTheme="minorHAnsi" w:eastAsiaTheme="minorEastAsia" w:hAnsiTheme="minorHAnsi" w:cstheme="minorBidi"/>
        </w:rPr>
      </w:pPr>
      <w:hyperlink w:anchor="_Toc11247665" w:history="1">
        <w:r w:rsidR="00845591" w:rsidRPr="00EC250C">
          <w:rPr>
            <w:rStyle w:val="Hipercze"/>
            <w:bdr w:val="none" w:sz="0" w:space="0" w:color="auto" w:frame="1"/>
          </w:rPr>
          <w:t>Problem patostreamingu w internecie</w:t>
        </w:r>
        <w:r w:rsidR="00845591" w:rsidRPr="00EC250C">
          <w:rPr>
            <w:webHidden/>
          </w:rPr>
          <w:tab/>
        </w:r>
        <w:r w:rsidR="00845591" w:rsidRPr="00EC250C">
          <w:rPr>
            <w:webHidden/>
          </w:rPr>
          <w:fldChar w:fldCharType="begin"/>
        </w:r>
        <w:r w:rsidR="00845591" w:rsidRPr="00EC250C">
          <w:rPr>
            <w:webHidden/>
          </w:rPr>
          <w:instrText xml:space="preserve"> PAGEREF _Toc11247665 \h </w:instrText>
        </w:r>
        <w:r w:rsidR="00845591" w:rsidRPr="00EC250C">
          <w:rPr>
            <w:webHidden/>
          </w:rPr>
        </w:r>
        <w:r w:rsidR="00845591" w:rsidRPr="00EC250C">
          <w:rPr>
            <w:webHidden/>
          </w:rPr>
          <w:fldChar w:fldCharType="separate"/>
        </w:r>
        <w:r>
          <w:rPr>
            <w:webHidden/>
          </w:rPr>
          <w:t>197</w:t>
        </w:r>
        <w:r w:rsidR="00845591" w:rsidRPr="00EC250C">
          <w:rPr>
            <w:webHidden/>
          </w:rPr>
          <w:fldChar w:fldCharType="end"/>
        </w:r>
      </w:hyperlink>
    </w:p>
    <w:p w14:paraId="4D851FF4" w14:textId="4F485550" w:rsidR="00845591" w:rsidRPr="00EC250C" w:rsidRDefault="00744B2D" w:rsidP="001759D6">
      <w:pPr>
        <w:pStyle w:val="Spistreci4"/>
        <w:rPr>
          <w:rFonts w:asciiTheme="minorHAnsi" w:eastAsiaTheme="minorEastAsia" w:hAnsiTheme="minorHAnsi" w:cstheme="minorBidi"/>
        </w:rPr>
      </w:pPr>
      <w:hyperlink w:anchor="_Toc11247666" w:history="1">
        <w:r w:rsidR="00845591" w:rsidRPr="00EC250C">
          <w:rPr>
            <w:rStyle w:val="Hipercze"/>
          </w:rPr>
          <w:t>Ograniczanie dziennikarzom dostępu do informacji na terenie sądu</w:t>
        </w:r>
        <w:r w:rsidR="00845591" w:rsidRPr="00EC250C">
          <w:rPr>
            <w:webHidden/>
          </w:rPr>
          <w:tab/>
        </w:r>
        <w:r w:rsidR="00845591" w:rsidRPr="00EC250C">
          <w:rPr>
            <w:webHidden/>
          </w:rPr>
          <w:fldChar w:fldCharType="begin"/>
        </w:r>
        <w:r w:rsidR="00845591" w:rsidRPr="00EC250C">
          <w:rPr>
            <w:webHidden/>
          </w:rPr>
          <w:instrText xml:space="preserve"> PAGEREF _Toc11247666 \h </w:instrText>
        </w:r>
        <w:r w:rsidR="00845591" w:rsidRPr="00EC250C">
          <w:rPr>
            <w:webHidden/>
          </w:rPr>
        </w:r>
        <w:r w:rsidR="00845591" w:rsidRPr="00EC250C">
          <w:rPr>
            <w:webHidden/>
          </w:rPr>
          <w:fldChar w:fldCharType="separate"/>
        </w:r>
        <w:r>
          <w:rPr>
            <w:webHidden/>
          </w:rPr>
          <w:t>199</w:t>
        </w:r>
        <w:r w:rsidR="00845591" w:rsidRPr="00EC250C">
          <w:rPr>
            <w:webHidden/>
          </w:rPr>
          <w:fldChar w:fldCharType="end"/>
        </w:r>
      </w:hyperlink>
    </w:p>
    <w:p w14:paraId="0727ABD6" w14:textId="33DE3217" w:rsidR="00845591" w:rsidRPr="00EC250C" w:rsidRDefault="00744B2D" w:rsidP="00A46160">
      <w:pPr>
        <w:pStyle w:val="Spistreci3"/>
        <w:rPr>
          <w:rFonts w:asciiTheme="minorHAnsi" w:eastAsiaTheme="minorEastAsia" w:hAnsiTheme="minorHAnsi" w:cstheme="minorBidi"/>
          <w:color w:val="auto"/>
          <w:sz w:val="20"/>
        </w:rPr>
      </w:pPr>
      <w:hyperlink w:anchor="_Toc11247667" w:history="1">
        <w:r w:rsidR="00845591" w:rsidRPr="00EC250C">
          <w:rPr>
            <w:rStyle w:val="Hipercze"/>
          </w:rPr>
          <w:t>Art. 55 Konstytucji – Zakaz ekstradycji obywatela polskiego</w:t>
        </w:r>
        <w:r w:rsidR="00845591" w:rsidRPr="00EC250C">
          <w:rPr>
            <w:webHidden/>
          </w:rPr>
          <w:tab/>
        </w:r>
        <w:r w:rsidR="00845591" w:rsidRPr="00EC250C">
          <w:rPr>
            <w:webHidden/>
          </w:rPr>
          <w:fldChar w:fldCharType="begin"/>
        </w:r>
        <w:r w:rsidR="00845591" w:rsidRPr="00EC250C">
          <w:rPr>
            <w:webHidden/>
          </w:rPr>
          <w:instrText xml:space="preserve"> PAGEREF _Toc11247667 \h </w:instrText>
        </w:r>
        <w:r w:rsidR="00845591" w:rsidRPr="00EC250C">
          <w:rPr>
            <w:webHidden/>
          </w:rPr>
        </w:r>
        <w:r w:rsidR="00845591" w:rsidRPr="00EC250C">
          <w:rPr>
            <w:webHidden/>
          </w:rPr>
          <w:fldChar w:fldCharType="separate"/>
        </w:r>
        <w:r>
          <w:rPr>
            <w:webHidden/>
          </w:rPr>
          <w:t>201</w:t>
        </w:r>
        <w:r w:rsidR="00845591" w:rsidRPr="00EC250C">
          <w:rPr>
            <w:webHidden/>
          </w:rPr>
          <w:fldChar w:fldCharType="end"/>
        </w:r>
      </w:hyperlink>
    </w:p>
    <w:p w14:paraId="17F7DC34" w14:textId="6EE91F59" w:rsidR="00845591" w:rsidRPr="00EC250C" w:rsidRDefault="00744B2D" w:rsidP="00A46160">
      <w:pPr>
        <w:pStyle w:val="Spistreci3"/>
        <w:rPr>
          <w:rFonts w:asciiTheme="minorHAnsi" w:eastAsiaTheme="minorEastAsia" w:hAnsiTheme="minorHAnsi" w:cstheme="minorBidi"/>
          <w:color w:val="auto"/>
          <w:sz w:val="20"/>
        </w:rPr>
      </w:pPr>
      <w:hyperlink w:anchor="_Toc11247668" w:history="1">
        <w:r w:rsidR="00845591" w:rsidRPr="00EC250C">
          <w:rPr>
            <w:rStyle w:val="Hipercze"/>
          </w:rPr>
          <w:t>Art. 56 Konstytucji – Prawo do azylu oraz status uchodźcy</w:t>
        </w:r>
        <w:r w:rsidR="00845591" w:rsidRPr="00EC250C">
          <w:rPr>
            <w:webHidden/>
          </w:rPr>
          <w:tab/>
        </w:r>
        <w:r w:rsidR="00845591" w:rsidRPr="00EC250C">
          <w:rPr>
            <w:webHidden/>
          </w:rPr>
          <w:fldChar w:fldCharType="begin"/>
        </w:r>
        <w:r w:rsidR="00845591" w:rsidRPr="00EC250C">
          <w:rPr>
            <w:webHidden/>
          </w:rPr>
          <w:instrText xml:space="preserve"> PAGEREF _Toc11247668 \h </w:instrText>
        </w:r>
        <w:r w:rsidR="00845591" w:rsidRPr="00EC250C">
          <w:rPr>
            <w:webHidden/>
          </w:rPr>
        </w:r>
        <w:r w:rsidR="00845591" w:rsidRPr="00EC250C">
          <w:rPr>
            <w:webHidden/>
          </w:rPr>
          <w:fldChar w:fldCharType="separate"/>
        </w:r>
        <w:r>
          <w:rPr>
            <w:webHidden/>
          </w:rPr>
          <w:t>203</w:t>
        </w:r>
        <w:r w:rsidR="00845591" w:rsidRPr="00EC250C">
          <w:rPr>
            <w:webHidden/>
          </w:rPr>
          <w:fldChar w:fldCharType="end"/>
        </w:r>
      </w:hyperlink>
    </w:p>
    <w:p w14:paraId="1AC777DB" w14:textId="2E29711B" w:rsidR="00845591" w:rsidRPr="00EC250C" w:rsidRDefault="00744B2D" w:rsidP="001759D6">
      <w:pPr>
        <w:pStyle w:val="Spistreci4"/>
        <w:rPr>
          <w:rFonts w:asciiTheme="minorHAnsi" w:eastAsiaTheme="minorEastAsia" w:hAnsiTheme="minorHAnsi" w:cstheme="minorBidi"/>
        </w:rPr>
      </w:pPr>
      <w:hyperlink w:anchor="_Toc11247669" w:history="1">
        <w:r w:rsidR="00845591" w:rsidRPr="00EC250C">
          <w:rPr>
            <w:rStyle w:val="Hipercze"/>
          </w:rPr>
          <w:t>Sposób traktowania cudzoziemców na przejściu granicznym w Terespolu</w:t>
        </w:r>
        <w:r w:rsidR="00845591" w:rsidRPr="00EC250C">
          <w:rPr>
            <w:webHidden/>
          </w:rPr>
          <w:tab/>
        </w:r>
        <w:r w:rsidR="00845591" w:rsidRPr="00EC250C">
          <w:rPr>
            <w:webHidden/>
          </w:rPr>
          <w:fldChar w:fldCharType="begin"/>
        </w:r>
        <w:r w:rsidR="00845591" w:rsidRPr="00EC250C">
          <w:rPr>
            <w:webHidden/>
          </w:rPr>
          <w:instrText xml:space="preserve"> PAGEREF _Toc11247669 \h </w:instrText>
        </w:r>
        <w:r w:rsidR="00845591" w:rsidRPr="00EC250C">
          <w:rPr>
            <w:webHidden/>
          </w:rPr>
        </w:r>
        <w:r w:rsidR="00845591" w:rsidRPr="00EC250C">
          <w:rPr>
            <w:webHidden/>
          </w:rPr>
          <w:fldChar w:fldCharType="separate"/>
        </w:r>
        <w:r>
          <w:rPr>
            <w:webHidden/>
          </w:rPr>
          <w:t>204</w:t>
        </w:r>
        <w:r w:rsidR="00845591" w:rsidRPr="00EC250C">
          <w:rPr>
            <w:webHidden/>
          </w:rPr>
          <w:fldChar w:fldCharType="end"/>
        </w:r>
      </w:hyperlink>
    </w:p>
    <w:p w14:paraId="714DD28A" w14:textId="14527780" w:rsidR="00845591" w:rsidRPr="00EC250C" w:rsidRDefault="00744B2D" w:rsidP="001759D6">
      <w:pPr>
        <w:pStyle w:val="Spistreci4"/>
        <w:rPr>
          <w:rFonts w:asciiTheme="minorHAnsi" w:eastAsiaTheme="minorEastAsia" w:hAnsiTheme="minorHAnsi" w:cstheme="minorBidi"/>
        </w:rPr>
      </w:pPr>
      <w:hyperlink w:anchor="_Toc11247670" w:history="1">
        <w:r w:rsidR="00845591" w:rsidRPr="00EC250C">
          <w:rPr>
            <w:rStyle w:val="Hipercze"/>
          </w:rPr>
          <w:t>Standardy europejskie dotyczące przyznawania ochrony międzynarodowej</w:t>
        </w:r>
        <w:r w:rsidR="00845591" w:rsidRPr="00EC250C">
          <w:rPr>
            <w:webHidden/>
          </w:rPr>
          <w:tab/>
        </w:r>
        <w:r w:rsidR="00845591" w:rsidRPr="00EC250C">
          <w:rPr>
            <w:webHidden/>
          </w:rPr>
          <w:fldChar w:fldCharType="begin"/>
        </w:r>
        <w:r w:rsidR="00845591" w:rsidRPr="00EC250C">
          <w:rPr>
            <w:webHidden/>
          </w:rPr>
          <w:instrText xml:space="preserve"> PAGEREF _Toc11247670 \h </w:instrText>
        </w:r>
        <w:r w:rsidR="00845591" w:rsidRPr="00EC250C">
          <w:rPr>
            <w:webHidden/>
          </w:rPr>
        </w:r>
        <w:r w:rsidR="00845591" w:rsidRPr="00EC250C">
          <w:rPr>
            <w:webHidden/>
          </w:rPr>
          <w:fldChar w:fldCharType="separate"/>
        </w:r>
        <w:r>
          <w:rPr>
            <w:webHidden/>
          </w:rPr>
          <w:t>207</w:t>
        </w:r>
        <w:r w:rsidR="00845591" w:rsidRPr="00EC250C">
          <w:rPr>
            <w:webHidden/>
          </w:rPr>
          <w:fldChar w:fldCharType="end"/>
        </w:r>
      </w:hyperlink>
    </w:p>
    <w:p w14:paraId="5192EAFF" w14:textId="52CFBD15" w:rsidR="00845591" w:rsidRPr="00EC250C" w:rsidRDefault="00744B2D">
      <w:pPr>
        <w:pStyle w:val="Spistreci2"/>
        <w:rPr>
          <w:rFonts w:asciiTheme="minorHAnsi" w:eastAsiaTheme="minorEastAsia" w:hAnsiTheme="minorHAnsi" w:cstheme="minorBidi"/>
          <w:b w:val="0"/>
          <w:spacing w:val="0"/>
          <w:sz w:val="20"/>
          <w:szCs w:val="20"/>
        </w:rPr>
      </w:pPr>
      <w:hyperlink w:anchor="_Toc11247671" w:history="1">
        <w:r w:rsidR="00845591" w:rsidRPr="00EC250C">
          <w:rPr>
            <w:rStyle w:val="Hipercze"/>
            <w:sz w:val="28"/>
            <w:szCs w:val="24"/>
          </w:rPr>
          <w:t>3. Wolności i prawa polityczne</w:t>
        </w:r>
        <w:r w:rsidR="00845591" w:rsidRPr="00EC250C">
          <w:rPr>
            <w:webHidden/>
            <w:sz w:val="28"/>
            <w:szCs w:val="24"/>
          </w:rPr>
          <w:tab/>
        </w:r>
        <w:r w:rsidR="00845591" w:rsidRPr="00EC250C">
          <w:rPr>
            <w:webHidden/>
            <w:sz w:val="28"/>
            <w:szCs w:val="24"/>
          </w:rPr>
          <w:fldChar w:fldCharType="begin"/>
        </w:r>
        <w:r w:rsidR="00845591" w:rsidRPr="00EC250C">
          <w:rPr>
            <w:webHidden/>
            <w:sz w:val="28"/>
            <w:szCs w:val="24"/>
          </w:rPr>
          <w:instrText xml:space="preserve"> PAGEREF _Toc11247671 \h </w:instrText>
        </w:r>
        <w:r w:rsidR="00845591" w:rsidRPr="00EC250C">
          <w:rPr>
            <w:webHidden/>
            <w:sz w:val="28"/>
            <w:szCs w:val="24"/>
          </w:rPr>
        </w:r>
        <w:r w:rsidR="00845591" w:rsidRPr="00EC250C">
          <w:rPr>
            <w:webHidden/>
            <w:sz w:val="28"/>
            <w:szCs w:val="24"/>
          </w:rPr>
          <w:fldChar w:fldCharType="separate"/>
        </w:r>
        <w:r>
          <w:rPr>
            <w:webHidden/>
            <w:sz w:val="28"/>
            <w:szCs w:val="24"/>
          </w:rPr>
          <w:t>209</w:t>
        </w:r>
        <w:r w:rsidR="00845591" w:rsidRPr="00EC250C">
          <w:rPr>
            <w:webHidden/>
            <w:sz w:val="28"/>
            <w:szCs w:val="24"/>
          </w:rPr>
          <w:fldChar w:fldCharType="end"/>
        </w:r>
      </w:hyperlink>
    </w:p>
    <w:p w14:paraId="0C4E2403" w14:textId="398ED12F" w:rsidR="00845591" w:rsidRPr="00EC250C" w:rsidRDefault="00744B2D" w:rsidP="00A46160">
      <w:pPr>
        <w:pStyle w:val="Spistreci3"/>
        <w:rPr>
          <w:rFonts w:asciiTheme="minorHAnsi" w:eastAsiaTheme="minorEastAsia" w:hAnsiTheme="minorHAnsi" w:cstheme="minorBidi"/>
          <w:color w:val="auto"/>
          <w:sz w:val="20"/>
        </w:rPr>
      </w:pPr>
      <w:hyperlink w:anchor="_Toc11247672" w:history="1">
        <w:r w:rsidR="00845591" w:rsidRPr="00EC250C">
          <w:rPr>
            <w:rStyle w:val="Hipercze"/>
          </w:rPr>
          <w:t>Art. 57 Konstytucji – Wolność organizowania pokojowych zgromadzeń</w:t>
        </w:r>
        <w:r w:rsidR="00845591" w:rsidRPr="00EC250C">
          <w:rPr>
            <w:webHidden/>
          </w:rPr>
          <w:tab/>
        </w:r>
        <w:r w:rsidR="00845591" w:rsidRPr="00EC250C">
          <w:rPr>
            <w:webHidden/>
          </w:rPr>
          <w:fldChar w:fldCharType="begin"/>
        </w:r>
        <w:r w:rsidR="00845591" w:rsidRPr="00EC250C">
          <w:rPr>
            <w:webHidden/>
          </w:rPr>
          <w:instrText xml:space="preserve"> PAGEREF _Toc11247672 \h </w:instrText>
        </w:r>
        <w:r w:rsidR="00845591" w:rsidRPr="00EC250C">
          <w:rPr>
            <w:webHidden/>
          </w:rPr>
        </w:r>
        <w:r w:rsidR="00845591" w:rsidRPr="00EC250C">
          <w:rPr>
            <w:webHidden/>
          </w:rPr>
          <w:fldChar w:fldCharType="separate"/>
        </w:r>
        <w:r>
          <w:rPr>
            <w:webHidden/>
          </w:rPr>
          <w:t>209</w:t>
        </w:r>
        <w:r w:rsidR="00845591" w:rsidRPr="00EC250C">
          <w:rPr>
            <w:webHidden/>
          </w:rPr>
          <w:fldChar w:fldCharType="end"/>
        </w:r>
      </w:hyperlink>
    </w:p>
    <w:p w14:paraId="2CC845BB" w14:textId="75CAAE83" w:rsidR="00845591" w:rsidRPr="00EC250C" w:rsidRDefault="00744B2D" w:rsidP="001759D6">
      <w:pPr>
        <w:pStyle w:val="Spistreci4"/>
        <w:rPr>
          <w:rFonts w:asciiTheme="minorHAnsi" w:eastAsiaTheme="minorEastAsia" w:hAnsiTheme="minorHAnsi" w:cstheme="minorBidi"/>
        </w:rPr>
      </w:pPr>
      <w:hyperlink w:anchor="_Toc11247673" w:history="1">
        <w:r w:rsidR="00845591" w:rsidRPr="00EC250C">
          <w:rPr>
            <w:rStyle w:val="Hipercze"/>
          </w:rPr>
          <w:t>Problem z kluczową dla wolności ustawą o zgromadzeniach. Raport RPO</w:t>
        </w:r>
        <w:r w:rsidR="00845591" w:rsidRPr="00EC250C">
          <w:rPr>
            <w:webHidden/>
          </w:rPr>
          <w:tab/>
        </w:r>
        <w:r w:rsidR="00845591" w:rsidRPr="00EC250C">
          <w:rPr>
            <w:webHidden/>
          </w:rPr>
          <w:fldChar w:fldCharType="begin"/>
        </w:r>
        <w:r w:rsidR="00845591" w:rsidRPr="00EC250C">
          <w:rPr>
            <w:webHidden/>
          </w:rPr>
          <w:instrText xml:space="preserve"> PAGEREF _Toc11247673 \h </w:instrText>
        </w:r>
        <w:r w:rsidR="00845591" w:rsidRPr="00EC250C">
          <w:rPr>
            <w:webHidden/>
          </w:rPr>
        </w:r>
        <w:r w:rsidR="00845591" w:rsidRPr="00EC250C">
          <w:rPr>
            <w:webHidden/>
          </w:rPr>
          <w:fldChar w:fldCharType="separate"/>
        </w:r>
        <w:r>
          <w:rPr>
            <w:webHidden/>
          </w:rPr>
          <w:t>210</w:t>
        </w:r>
        <w:r w:rsidR="00845591" w:rsidRPr="00EC250C">
          <w:rPr>
            <w:webHidden/>
          </w:rPr>
          <w:fldChar w:fldCharType="end"/>
        </w:r>
      </w:hyperlink>
    </w:p>
    <w:p w14:paraId="1A27EB15" w14:textId="3EA3F725" w:rsidR="00845591" w:rsidRPr="00EC250C" w:rsidRDefault="00744B2D" w:rsidP="001759D6">
      <w:pPr>
        <w:pStyle w:val="Spistreci4"/>
        <w:rPr>
          <w:rFonts w:asciiTheme="minorHAnsi" w:eastAsiaTheme="minorEastAsia" w:hAnsiTheme="minorHAnsi" w:cstheme="minorBidi"/>
        </w:rPr>
      </w:pPr>
      <w:hyperlink w:anchor="_Toc11247674" w:history="1">
        <w:r w:rsidR="00845591" w:rsidRPr="00EC250C">
          <w:rPr>
            <w:rStyle w:val="Hipercze"/>
          </w:rPr>
          <w:t>Problem „zgromadzeń cyklicznych”</w:t>
        </w:r>
        <w:r w:rsidR="00845591" w:rsidRPr="00EC250C">
          <w:rPr>
            <w:webHidden/>
          </w:rPr>
          <w:tab/>
        </w:r>
        <w:r w:rsidR="00845591" w:rsidRPr="00EC250C">
          <w:rPr>
            <w:webHidden/>
          </w:rPr>
          <w:fldChar w:fldCharType="begin"/>
        </w:r>
        <w:r w:rsidR="00845591" w:rsidRPr="00EC250C">
          <w:rPr>
            <w:webHidden/>
          </w:rPr>
          <w:instrText xml:space="preserve"> PAGEREF _Toc11247674 \h </w:instrText>
        </w:r>
        <w:r w:rsidR="00845591" w:rsidRPr="00EC250C">
          <w:rPr>
            <w:webHidden/>
          </w:rPr>
        </w:r>
        <w:r w:rsidR="00845591" w:rsidRPr="00EC250C">
          <w:rPr>
            <w:webHidden/>
          </w:rPr>
          <w:fldChar w:fldCharType="separate"/>
        </w:r>
        <w:r>
          <w:rPr>
            <w:webHidden/>
          </w:rPr>
          <w:t>211</w:t>
        </w:r>
        <w:r w:rsidR="00845591" w:rsidRPr="00EC250C">
          <w:rPr>
            <w:webHidden/>
          </w:rPr>
          <w:fldChar w:fldCharType="end"/>
        </w:r>
      </w:hyperlink>
    </w:p>
    <w:p w14:paraId="0872376F" w14:textId="31D93073" w:rsidR="00845591" w:rsidRPr="00EC250C" w:rsidRDefault="00744B2D" w:rsidP="001759D6">
      <w:pPr>
        <w:pStyle w:val="Spistreci4"/>
        <w:rPr>
          <w:rFonts w:asciiTheme="minorHAnsi" w:eastAsiaTheme="minorEastAsia" w:hAnsiTheme="minorHAnsi" w:cstheme="minorBidi"/>
        </w:rPr>
      </w:pPr>
      <w:hyperlink w:anchor="_Toc11247675" w:history="1">
        <w:r w:rsidR="00845591" w:rsidRPr="00EC250C">
          <w:rPr>
            <w:rStyle w:val="Hipercze"/>
          </w:rPr>
          <w:t>Brak skutecznych mechanizmów reagowania na treści i symbole rasistowskie oraz faszystowskie podczas zgromadzeń publicznych</w:t>
        </w:r>
        <w:r w:rsidR="00845591" w:rsidRPr="00EC250C">
          <w:rPr>
            <w:webHidden/>
          </w:rPr>
          <w:tab/>
        </w:r>
        <w:r w:rsidR="00845591" w:rsidRPr="00EC250C">
          <w:rPr>
            <w:webHidden/>
          </w:rPr>
          <w:fldChar w:fldCharType="begin"/>
        </w:r>
        <w:r w:rsidR="00845591" w:rsidRPr="00EC250C">
          <w:rPr>
            <w:webHidden/>
          </w:rPr>
          <w:instrText xml:space="preserve"> PAGEREF _Toc11247675 \h </w:instrText>
        </w:r>
        <w:r w:rsidR="00845591" w:rsidRPr="00EC250C">
          <w:rPr>
            <w:webHidden/>
          </w:rPr>
        </w:r>
        <w:r w:rsidR="00845591" w:rsidRPr="00EC250C">
          <w:rPr>
            <w:webHidden/>
          </w:rPr>
          <w:fldChar w:fldCharType="separate"/>
        </w:r>
        <w:r>
          <w:rPr>
            <w:webHidden/>
          </w:rPr>
          <w:t>213</w:t>
        </w:r>
        <w:r w:rsidR="00845591" w:rsidRPr="00EC250C">
          <w:rPr>
            <w:webHidden/>
          </w:rPr>
          <w:fldChar w:fldCharType="end"/>
        </w:r>
      </w:hyperlink>
    </w:p>
    <w:p w14:paraId="20C556A6" w14:textId="357AAEDA" w:rsidR="00845591" w:rsidRPr="00EC250C" w:rsidRDefault="00744B2D" w:rsidP="00A46160">
      <w:pPr>
        <w:pStyle w:val="Spistreci3"/>
        <w:rPr>
          <w:rFonts w:asciiTheme="minorHAnsi" w:eastAsiaTheme="minorEastAsia" w:hAnsiTheme="minorHAnsi" w:cstheme="minorBidi"/>
          <w:color w:val="auto"/>
          <w:sz w:val="20"/>
        </w:rPr>
      </w:pPr>
      <w:hyperlink w:anchor="_Toc11247676" w:history="1">
        <w:r w:rsidR="00845591" w:rsidRPr="00EC250C">
          <w:rPr>
            <w:rStyle w:val="Hipercze"/>
          </w:rPr>
          <w:t>Art. 58 Konstytucji – Wolność zrzeszania się</w:t>
        </w:r>
        <w:r w:rsidR="00845591" w:rsidRPr="00EC250C">
          <w:rPr>
            <w:webHidden/>
          </w:rPr>
          <w:tab/>
        </w:r>
        <w:r w:rsidR="00845591" w:rsidRPr="00EC250C">
          <w:rPr>
            <w:webHidden/>
          </w:rPr>
          <w:fldChar w:fldCharType="begin"/>
        </w:r>
        <w:r w:rsidR="00845591" w:rsidRPr="00EC250C">
          <w:rPr>
            <w:webHidden/>
          </w:rPr>
          <w:instrText xml:space="preserve"> PAGEREF _Toc11247676 \h </w:instrText>
        </w:r>
        <w:r w:rsidR="00845591" w:rsidRPr="00EC250C">
          <w:rPr>
            <w:webHidden/>
          </w:rPr>
        </w:r>
        <w:r w:rsidR="00845591" w:rsidRPr="00EC250C">
          <w:rPr>
            <w:webHidden/>
          </w:rPr>
          <w:fldChar w:fldCharType="separate"/>
        </w:r>
        <w:r>
          <w:rPr>
            <w:webHidden/>
          </w:rPr>
          <w:t>217</w:t>
        </w:r>
        <w:r w:rsidR="00845591" w:rsidRPr="00EC250C">
          <w:rPr>
            <w:webHidden/>
          </w:rPr>
          <w:fldChar w:fldCharType="end"/>
        </w:r>
      </w:hyperlink>
    </w:p>
    <w:p w14:paraId="4D99D00E" w14:textId="1B8EB76E" w:rsidR="00845591" w:rsidRPr="00EC250C" w:rsidRDefault="00744B2D" w:rsidP="001759D6">
      <w:pPr>
        <w:pStyle w:val="Spistreci4"/>
        <w:rPr>
          <w:rFonts w:asciiTheme="minorHAnsi" w:eastAsiaTheme="minorEastAsia" w:hAnsiTheme="minorHAnsi" w:cstheme="minorBidi"/>
        </w:rPr>
      </w:pPr>
      <w:hyperlink w:anchor="_Toc11247677" w:history="1">
        <w:r w:rsidR="00845591" w:rsidRPr="00EC250C">
          <w:rPr>
            <w:rStyle w:val="Hipercze"/>
          </w:rPr>
          <w:t>Zasady prowadzenia zbiórek publicznych</w:t>
        </w:r>
        <w:r w:rsidR="00845591" w:rsidRPr="00EC250C">
          <w:rPr>
            <w:webHidden/>
          </w:rPr>
          <w:tab/>
        </w:r>
        <w:r w:rsidR="00845591" w:rsidRPr="00EC250C">
          <w:rPr>
            <w:webHidden/>
          </w:rPr>
          <w:fldChar w:fldCharType="begin"/>
        </w:r>
        <w:r w:rsidR="00845591" w:rsidRPr="00EC250C">
          <w:rPr>
            <w:webHidden/>
          </w:rPr>
          <w:instrText xml:space="preserve"> PAGEREF _Toc11247677 \h </w:instrText>
        </w:r>
        <w:r w:rsidR="00845591" w:rsidRPr="00EC250C">
          <w:rPr>
            <w:webHidden/>
          </w:rPr>
        </w:r>
        <w:r w:rsidR="00845591" w:rsidRPr="00EC250C">
          <w:rPr>
            <w:webHidden/>
          </w:rPr>
          <w:fldChar w:fldCharType="separate"/>
        </w:r>
        <w:r>
          <w:rPr>
            <w:webHidden/>
          </w:rPr>
          <w:t>218</w:t>
        </w:r>
        <w:r w:rsidR="00845591" w:rsidRPr="00EC250C">
          <w:rPr>
            <w:webHidden/>
          </w:rPr>
          <w:fldChar w:fldCharType="end"/>
        </w:r>
      </w:hyperlink>
    </w:p>
    <w:p w14:paraId="20CF9A4E" w14:textId="559D7C8B" w:rsidR="00845591" w:rsidRPr="00EC250C" w:rsidRDefault="00744B2D" w:rsidP="001759D6">
      <w:pPr>
        <w:pStyle w:val="Spistreci4"/>
        <w:rPr>
          <w:rFonts w:asciiTheme="minorHAnsi" w:eastAsiaTheme="minorEastAsia" w:hAnsiTheme="minorHAnsi" w:cstheme="minorBidi"/>
        </w:rPr>
      </w:pPr>
      <w:hyperlink w:anchor="_Toc11247678" w:history="1">
        <w:r w:rsidR="00845591" w:rsidRPr="00EC250C">
          <w:rPr>
            <w:rStyle w:val="Hipercze"/>
          </w:rPr>
          <w:t>Zmiany w ustawie o kołach gospodyń wiejskich</w:t>
        </w:r>
        <w:r w:rsidR="00845591" w:rsidRPr="00EC250C">
          <w:rPr>
            <w:webHidden/>
          </w:rPr>
          <w:tab/>
        </w:r>
        <w:r w:rsidR="00845591" w:rsidRPr="00EC250C">
          <w:rPr>
            <w:webHidden/>
          </w:rPr>
          <w:fldChar w:fldCharType="begin"/>
        </w:r>
        <w:r w:rsidR="00845591" w:rsidRPr="00EC250C">
          <w:rPr>
            <w:webHidden/>
          </w:rPr>
          <w:instrText xml:space="preserve"> PAGEREF _Toc11247678 \h </w:instrText>
        </w:r>
        <w:r w:rsidR="00845591" w:rsidRPr="00EC250C">
          <w:rPr>
            <w:webHidden/>
          </w:rPr>
        </w:r>
        <w:r w:rsidR="00845591" w:rsidRPr="00EC250C">
          <w:rPr>
            <w:webHidden/>
          </w:rPr>
          <w:fldChar w:fldCharType="separate"/>
        </w:r>
        <w:r>
          <w:rPr>
            <w:webHidden/>
          </w:rPr>
          <w:t>219</w:t>
        </w:r>
        <w:r w:rsidR="00845591" w:rsidRPr="00EC250C">
          <w:rPr>
            <w:webHidden/>
          </w:rPr>
          <w:fldChar w:fldCharType="end"/>
        </w:r>
      </w:hyperlink>
    </w:p>
    <w:p w14:paraId="575F676B" w14:textId="7A9821AA" w:rsidR="00845591" w:rsidRPr="00EC250C" w:rsidRDefault="00744B2D" w:rsidP="00A46160">
      <w:pPr>
        <w:pStyle w:val="Spistreci3"/>
        <w:rPr>
          <w:rFonts w:asciiTheme="minorHAnsi" w:eastAsiaTheme="minorEastAsia" w:hAnsiTheme="minorHAnsi" w:cstheme="minorBidi"/>
          <w:color w:val="auto"/>
          <w:sz w:val="20"/>
        </w:rPr>
      </w:pPr>
      <w:hyperlink w:anchor="_Toc11247679" w:history="1">
        <w:r w:rsidR="00845591" w:rsidRPr="00EC250C">
          <w:rPr>
            <w:rStyle w:val="Hipercze"/>
          </w:rPr>
          <w:t>Art. 59 Konstytucji – Wolności związkowe</w:t>
        </w:r>
        <w:r w:rsidR="00845591" w:rsidRPr="00EC250C">
          <w:rPr>
            <w:webHidden/>
          </w:rPr>
          <w:tab/>
        </w:r>
        <w:r w:rsidR="00845591" w:rsidRPr="00EC250C">
          <w:rPr>
            <w:webHidden/>
          </w:rPr>
          <w:fldChar w:fldCharType="begin"/>
        </w:r>
        <w:r w:rsidR="00845591" w:rsidRPr="00EC250C">
          <w:rPr>
            <w:webHidden/>
          </w:rPr>
          <w:instrText xml:space="preserve"> PAGEREF _Toc11247679 \h </w:instrText>
        </w:r>
        <w:r w:rsidR="00845591" w:rsidRPr="00EC250C">
          <w:rPr>
            <w:webHidden/>
          </w:rPr>
        </w:r>
        <w:r w:rsidR="00845591" w:rsidRPr="00EC250C">
          <w:rPr>
            <w:webHidden/>
          </w:rPr>
          <w:fldChar w:fldCharType="separate"/>
        </w:r>
        <w:r>
          <w:rPr>
            <w:webHidden/>
          </w:rPr>
          <w:t>221</w:t>
        </w:r>
        <w:r w:rsidR="00845591" w:rsidRPr="00EC250C">
          <w:rPr>
            <w:webHidden/>
          </w:rPr>
          <w:fldChar w:fldCharType="end"/>
        </w:r>
      </w:hyperlink>
    </w:p>
    <w:p w14:paraId="020F5FD9" w14:textId="5F3B49C0" w:rsidR="00845591" w:rsidRPr="00A46160" w:rsidRDefault="00744B2D" w:rsidP="001759D6">
      <w:pPr>
        <w:pStyle w:val="Spistreci4"/>
        <w:rPr>
          <w:rFonts w:asciiTheme="minorHAnsi" w:eastAsiaTheme="minorEastAsia" w:hAnsiTheme="minorHAnsi" w:cstheme="minorBidi"/>
        </w:rPr>
      </w:pPr>
      <w:hyperlink w:anchor="_Toc11247680" w:history="1">
        <w:r w:rsidR="00845591" w:rsidRPr="00A46160">
          <w:rPr>
            <w:rStyle w:val="Hipercze"/>
            <w:spacing w:val="4"/>
          </w:rPr>
          <w:t>Prawo zrzeszania się w związkach zawodowych pracowników zatrudnionych na inne umowy niż o pracę</w:t>
        </w:r>
        <w:r w:rsidR="00845591" w:rsidRPr="00A46160">
          <w:rPr>
            <w:webHidden/>
          </w:rPr>
          <w:tab/>
        </w:r>
        <w:r w:rsidR="00845591" w:rsidRPr="00A46160">
          <w:rPr>
            <w:webHidden/>
          </w:rPr>
          <w:fldChar w:fldCharType="begin"/>
        </w:r>
        <w:r w:rsidR="00845591" w:rsidRPr="00A46160">
          <w:rPr>
            <w:webHidden/>
          </w:rPr>
          <w:instrText xml:space="preserve"> PAGEREF _Toc11247680 \h </w:instrText>
        </w:r>
        <w:r w:rsidR="00845591" w:rsidRPr="00A46160">
          <w:rPr>
            <w:webHidden/>
          </w:rPr>
        </w:r>
        <w:r w:rsidR="00845591" w:rsidRPr="00A46160">
          <w:rPr>
            <w:webHidden/>
          </w:rPr>
          <w:fldChar w:fldCharType="separate"/>
        </w:r>
        <w:r>
          <w:rPr>
            <w:webHidden/>
          </w:rPr>
          <w:t>222</w:t>
        </w:r>
        <w:r w:rsidR="00845591" w:rsidRPr="00A46160">
          <w:rPr>
            <w:webHidden/>
          </w:rPr>
          <w:fldChar w:fldCharType="end"/>
        </w:r>
      </w:hyperlink>
    </w:p>
    <w:p w14:paraId="22DCB17F" w14:textId="2A784D92" w:rsidR="00845591" w:rsidRPr="00EC250C" w:rsidRDefault="00744B2D" w:rsidP="00A46160">
      <w:pPr>
        <w:pStyle w:val="Spistreci3"/>
        <w:rPr>
          <w:rFonts w:asciiTheme="minorHAnsi" w:eastAsiaTheme="minorEastAsia" w:hAnsiTheme="minorHAnsi" w:cstheme="minorBidi"/>
          <w:color w:val="auto"/>
          <w:sz w:val="20"/>
        </w:rPr>
      </w:pPr>
      <w:hyperlink w:anchor="_Toc11247681" w:history="1">
        <w:r w:rsidR="00845591" w:rsidRPr="00EC250C">
          <w:rPr>
            <w:rStyle w:val="Hipercze"/>
          </w:rPr>
          <w:t>Art. 60 Konstytucji – Prawo równego dostępu do służby publicznej</w:t>
        </w:r>
        <w:r w:rsidR="00845591" w:rsidRPr="00EC250C">
          <w:rPr>
            <w:webHidden/>
          </w:rPr>
          <w:tab/>
        </w:r>
        <w:r w:rsidR="00845591" w:rsidRPr="00EC250C">
          <w:rPr>
            <w:webHidden/>
          </w:rPr>
          <w:fldChar w:fldCharType="begin"/>
        </w:r>
        <w:r w:rsidR="00845591" w:rsidRPr="00EC250C">
          <w:rPr>
            <w:webHidden/>
          </w:rPr>
          <w:instrText xml:space="preserve"> PAGEREF _Toc11247681 \h </w:instrText>
        </w:r>
        <w:r w:rsidR="00845591" w:rsidRPr="00EC250C">
          <w:rPr>
            <w:webHidden/>
          </w:rPr>
        </w:r>
        <w:r w:rsidR="00845591" w:rsidRPr="00EC250C">
          <w:rPr>
            <w:webHidden/>
          </w:rPr>
          <w:fldChar w:fldCharType="separate"/>
        </w:r>
        <w:r>
          <w:rPr>
            <w:webHidden/>
          </w:rPr>
          <w:t>223</w:t>
        </w:r>
        <w:r w:rsidR="00845591" w:rsidRPr="00EC250C">
          <w:rPr>
            <w:webHidden/>
          </w:rPr>
          <w:fldChar w:fldCharType="end"/>
        </w:r>
      </w:hyperlink>
    </w:p>
    <w:p w14:paraId="07920852" w14:textId="366E6D30" w:rsidR="00845591" w:rsidRPr="00EC250C" w:rsidRDefault="00744B2D" w:rsidP="001759D6">
      <w:pPr>
        <w:pStyle w:val="Spistreci4"/>
        <w:rPr>
          <w:rFonts w:asciiTheme="minorHAnsi" w:eastAsiaTheme="minorEastAsia" w:hAnsiTheme="minorHAnsi" w:cstheme="minorBidi"/>
        </w:rPr>
      </w:pPr>
      <w:hyperlink w:anchor="_Toc11247682" w:history="1">
        <w:r w:rsidR="00845591" w:rsidRPr="00EC250C">
          <w:rPr>
            <w:rStyle w:val="Hipercze"/>
            <w:bCs/>
            <w:iCs/>
          </w:rPr>
          <w:t>Wypowiadanie stosunku pracy z pracownikami administracji publicznej przy okazji przekształceń organizacyjnych</w:t>
        </w:r>
        <w:r w:rsidR="00845591" w:rsidRPr="00EC250C">
          <w:rPr>
            <w:webHidden/>
          </w:rPr>
          <w:tab/>
        </w:r>
        <w:r w:rsidR="00845591" w:rsidRPr="00EC250C">
          <w:rPr>
            <w:webHidden/>
          </w:rPr>
          <w:fldChar w:fldCharType="begin"/>
        </w:r>
        <w:r w:rsidR="00845591" w:rsidRPr="00EC250C">
          <w:rPr>
            <w:webHidden/>
          </w:rPr>
          <w:instrText xml:space="preserve"> PAGEREF _Toc11247682 \h </w:instrText>
        </w:r>
        <w:r w:rsidR="00845591" w:rsidRPr="00EC250C">
          <w:rPr>
            <w:webHidden/>
          </w:rPr>
        </w:r>
        <w:r w:rsidR="00845591" w:rsidRPr="00EC250C">
          <w:rPr>
            <w:webHidden/>
          </w:rPr>
          <w:fldChar w:fldCharType="separate"/>
        </w:r>
        <w:r>
          <w:rPr>
            <w:webHidden/>
          </w:rPr>
          <w:t>224</w:t>
        </w:r>
        <w:r w:rsidR="00845591" w:rsidRPr="00EC250C">
          <w:rPr>
            <w:webHidden/>
          </w:rPr>
          <w:fldChar w:fldCharType="end"/>
        </w:r>
      </w:hyperlink>
    </w:p>
    <w:p w14:paraId="0855D83B" w14:textId="7D2617E4" w:rsidR="00845591" w:rsidRPr="00EC250C" w:rsidRDefault="00744B2D" w:rsidP="001759D6">
      <w:pPr>
        <w:pStyle w:val="Spistreci4"/>
        <w:rPr>
          <w:rFonts w:asciiTheme="minorHAnsi" w:eastAsiaTheme="minorEastAsia" w:hAnsiTheme="minorHAnsi" w:cstheme="minorBidi"/>
        </w:rPr>
      </w:pPr>
      <w:hyperlink w:anchor="_Toc11247683" w:history="1">
        <w:r w:rsidR="00845591" w:rsidRPr="00EC250C">
          <w:rPr>
            <w:rStyle w:val="Hipercze"/>
          </w:rPr>
          <w:t>Problem z naborem do Służby Ochrony Państwa</w:t>
        </w:r>
        <w:r w:rsidR="00845591" w:rsidRPr="00EC250C">
          <w:rPr>
            <w:webHidden/>
          </w:rPr>
          <w:tab/>
        </w:r>
        <w:r w:rsidR="00845591" w:rsidRPr="00EC250C">
          <w:rPr>
            <w:webHidden/>
          </w:rPr>
          <w:fldChar w:fldCharType="begin"/>
        </w:r>
        <w:r w:rsidR="00845591" w:rsidRPr="00EC250C">
          <w:rPr>
            <w:webHidden/>
          </w:rPr>
          <w:instrText xml:space="preserve"> PAGEREF _Toc11247683 \h </w:instrText>
        </w:r>
        <w:r w:rsidR="00845591" w:rsidRPr="00EC250C">
          <w:rPr>
            <w:webHidden/>
          </w:rPr>
        </w:r>
        <w:r w:rsidR="00845591" w:rsidRPr="00EC250C">
          <w:rPr>
            <w:webHidden/>
          </w:rPr>
          <w:fldChar w:fldCharType="separate"/>
        </w:r>
        <w:r>
          <w:rPr>
            <w:webHidden/>
          </w:rPr>
          <w:t>225</w:t>
        </w:r>
        <w:r w:rsidR="00845591" w:rsidRPr="00EC250C">
          <w:rPr>
            <w:webHidden/>
          </w:rPr>
          <w:fldChar w:fldCharType="end"/>
        </w:r>
      </w:hyperlink>
    </w:p>
    <w:p w14:paraId="605509E0" w14:textId="03E37059" w:rsidR="00845591" w:rsidRPr="00EC250C" w:rsidRDefault="00744B2D" w:rsidP="001759D6">
      <w:pPr>
        <w:pStyle w:val="Spistreci4"/>
        <w:rPr>
          <w:rFonts w:asciiTheme="minorHAnsi" w:eastAsiaTheme="minorEastAsia" w:hAnsiTheme="minorHAnsi" w:cstheme="minorBidi"/>
        </w:rPr>
      </w:pPr>
      <w:hyperlink w:anchor="_Toc11247684" w:history="1">
        <w:r w:rsidR="00845591" w:rsidRPr="00EC250C">
          <w:rPr>
            <w:rStyle w:val="Hipercze"/>
          </w:rPr>
          <w:t>Przenoszenie do Służby Więziennej funkcjonariuszy innych służb mundurowych z zachowaniem stopnia służbowego</w:t>
        </w:r>
        <w:r w:rsidR="00845591" w:rsidRPr="00EC250C">
          <w:rPr>
            <w:webHidden/>
          </w:rPr>
          <w:tab/>
        </w:r>
        <w:r w:rsidR="00845591" w:rsidRPr="00EC250C">
          <w:rPr>
            <w:webHidden/>
          </w:rPr>
          <w:fldChar w:fldCharType="begin"/>
        </w:r>
        <w:r w:rsidR="00845591" w:rsidRPr="00EC250C">
          <w:rPr>
            <w:webHidden/>
          </w:rPr>
          <w:instrText xml:space="preserve"> PAGEREF _Toc11247684 \h </w:instrText>
        </w:r>
        <w:r w:rsidR="00845591" w:rsidRPr="00EC250C">
          <w:rPr>
            <w:webHidden/>
          </w:rPr>
        </w:r>
        <w:r w:rsidR="00845591" w:rsidRPr="00EC250C">
          <w:rPr>
            <w:webHidden/>
          </w:rPr>
          <w:fldChar w:fldCharType="separate"/>
        </w:r>
        <w:r>
          <w:rPr>
            <w:webHidden/>
          </w:rPr>
          <w:t>226</w:t>
        </w:r>
        <w:r w:rsidR="00845591" w:rsidRPr="00EC250C">
          <w:rPr>
            <w:webHidden/>
          </w:rPr>
          <w:fldChar w:fldCharType="end"/>
        </w:r>
      </w:hyperlink>
    </w:p>
    <w:p w14:paraId="3968CA4A" w14:textId="57F22F1A" w:rsidR="00845591" w:rsidRPr="00EC250C" w:rsidRDefault="00744B2D" w:rsidP="001759D6">
      <w:pPr>
        <w:pStyle w:val="Spistreci4"/>
        <w:rPr>
          <w:rFonts w:asciiTheme="minorHAnsi" w:eastAsiaTheme="minorEastAsia" w:hAnsiTheme="minorHAnsi" w:cstheme="minorBidi"/>
        </w:rPr>
      </w:pPr>
      <w:hyperlink w:anchor="_Toc11247685" w:history="1">
        <w:r w:rsidR="00845591" w:rsidRPr="00EC250C">
          <w:rPr>
            <w:rStyle w:val="Hipercze"/>
          </w:rPr>
          <w:t>Procedura powoływania na stanowisko prokuratorskie</w:t>
        </w:r>
        <w:r w:rsidR="00845591" w:rsidRPr="00EC250C">
          <w:rPr>
            <w:webHidden/>
          </w:rPr>
          <w:tab/>
        </w:r>
        <w:r w:rsidR="00845591" w:rsidRPr="00EC250C">
          <w:rPr>
            <w:webHidden/>
          </w:rPr>
          <w:fldChar w:fldCharType="begin"/>
        </w:r>
        <w:r w:rsidR="00845591" w:rsidRPr="00EC250C">
          <w:rPr>
            <w:webHidden/>
          </w:rPr>
          <w:instrText xml:space="preserve"> PAGEREF _Toc11247685 \h </w:instrText>
        </w:r>
        <w:r w:rsidR="00845591" w:rsidRPr="00EC250C">
          <w:rPr>
            <w:webHidden/>
          </w:rPr>
        </w:r>
        <w:r w:rsidR="00845591" w:rsidRPr="00EC250C">
          <w:rPr>
            <w:webHidden/>
          </w:rPr>
          <w:fldChar w:fldCharType="separate"/>
        </w:r>
        <w:r>
          <w:rPr>
            <w:webHidden/>
          </w:rPr>
          <w:t>226</w:t>
        </w:r>
        <w:r w:rsidR="00845591" w:rsidRPr="00EC250C">
          <w:rPr>
            <w:webHidden/>
          </w:rPr>
          <w:fldChar w:fldCharType="end"/>
        </w:r>
      </w:hyperlink>
    </w:p>
    <w:p w14:paraId="042552A7" w14:textId="5B40BF93" w:rsidR="00845591" w:rsidRPr="00EC250C" w:rsidRDefault="00744B2D" w:rsidP="001759D6">
      <w:pPr>
        <w:pStyle w:val="Spistreci4"/>
        <w:rPr>
          <w:rFonts w:asciiTheme="minorHAnsi" w:eastAsiaTheme="minorEastAsia" w:hAnsiTheme="minorHAnsi" w:cstheme="minorBidi"/>
        </w:rPr>
      </w:pPr>
      <w:hyperlink w:anchor="_Toc11247686" w:history="1">
        <w:r w:rsidR="00845591" w:rsidRPr="00EC250C">
          <w:rPr>
            <w:rStyle w:val="Hipercze"/>
          </w:rPr>
          <w:t>Możliwość sprzeciwu Ministra Sprawiedliwości wobec kandydatur na wykładowców Krajowej Szkoły Sądownictwa</w:t>
        </w:r>
        <w:r w:rsidR="00845591" w:rsidRPr="00EC250C">
          <w:rPr>
            <w:webHidden/>
          </w:rPr>
          <w:tab/>
        </w:r>
        <w:r w:rsidR="00845591" w:rsidRPr="00EC250C">
          <w:rPr>
            <w:webHidden/>
          </w:rPr>
          <w:fldChar w:fldCharType="begin"/>
        </w:r>
        <w:r w:rsidR="00845591" w:rsidRPr="00EC250C">
          <w:rPr>
            <w:webHidden/>
          </w:rPr>
          <w:instrText xml:space="preserve"> PAGEREF _Toc11247686 \h </w:instrText>
        </w:r>
        <w:r w:rsidR="00845591" w:rsidRPr="00EC250C">
          <w:rPr>
            <w:webHidden/>
          </w:rPr>
        </w:r>
        <w:r w:rsidR="00845591" w:rsidRPr="00EC250C">
          <w:rPr>
            <w:webHidden/>
          </w:rPr>
          <w:fldChar w:fldCharType="separate"/>
        </w:r>
        <w:r>
          <w:rPr>
            <w:webHidden/>
          </w:rPr>
          <w:t>227</w:t>
        </w:r>
        <w:r w:rsidR="00845591" w:rsidRPr="00EC250C">
          <w:rPr>
            <w:webHidden/>
          </w:rPr>
          <w:fldChar w:fldCharType="end"/>
        </w:r>
      </w:hyperlink>
    </w:p>
    <w:p w14:paraId="26E07503" w14:textId="17968072" w:rsidR="00845591" w:rsidRPr="00EC250C" w:rsidRDefault="00744B2D" w:rsidP="00A46160">
      <w:pPr>
        <w:pStyle w:val="Spistreci3"/>
        <w:rPr>
          <w:rFonts w:asciiTheme="minorHAnsi" w:eastAsiaTheme="minorEastAsia" w:hAnsiTheme="minorHAnsi" w:cstheme="minorBidi"/>
          <w:color w:val="auto"/>
          <w:sz w:val="20"/>
        </w:rPr>
      </w:pPr>
      <w:hyperlink w:anchor="_Toc11247687" w:history="1">
        <w:r w:rsidR="00845591" w:rsidRPr="00EC250C">
          <w:rPr>
            <w:rStyle w:val="Hipercze"/>
          </w:rPr>
          <w:t>Art. 61 Konstytucji – Prawo dostępu do informacji publicznej, dokumentów oraz wstępu na posiedzenia kolegialnych organów władzy</w:t>
        </w:r>
        <w:r w:rsidR="00EC250C">
          <w:rPr>
            <w:webHidden/>
          </w:rPr>
          <w:tab/>
        </w:r>
        <w:r w:rsidR="00845591" w:rsidRPr="00EC250C">
          <w:rPr>
            <w:webHidden/>
          </w:rPr>
          <w:fldChar w:fldCharType="begin"/>
        </w:r>
        <w:r w:rsidR="00845591" w:rsidRPr="00EC250C">
          <w:rPr>
            <w:webHidden/>
          </w:rPr>
          <w:instrText xml:space="preserve"> PAGEREF _Toc11247687 \h </w:instrText>
        </w:r>
        <w:r w:rsidR="00845591" w:rsidRPr="00EC250C">
          <w:rPr>
            <w:webHidden/>
          </w:rPr>
        </w:r>
        <w:r w:rsidR="00845591" w:rsidRPr="00EC250C">
          <w:rPr>
            <w:webHidden/>
          </w:rPr>
          <w:fldChar w:fldCharType="separate"/>
        </w:r>
        <w:r>
          <w:rPr>
            <w:webHidden/>
          </w:rPr>
          <w:t>229</w:t>
        </w:r>
        <w:r w:rsidR="00845591" w:rsidRPr="00EC250C">
          <w:rPr>
            <w:webHidden/>
          </w:rPr>
          <w:fldChar w:fldCharType="end"/>
        </w:r>
      </w:hyperlink>
    </w:p>
    <w:p w14:paraId="0BF5AB3E" w14:textId="06B0B296" w:rsidR="00845591" w:rsidRPr="00EC250C" w:rsidRDefault="00744B2D" w:rsidP="001759D6">
      <w:pPr>
        <w:pStyle w:val="Spistreci4"/>
        <w:rPr>
          <w:rFonts w:asciiTheme="minorHAnsi" w:eastAsiaTheme="minorEastAsia" w:hAnsiTheme="minorHAnsi" w:cstheme="minorBidi"/>
        </w:rPr>
      </w:pPr>
      <w:hyperlink w:anchor="_Toc11247688" w:history="1">
        <w:r w:rsidR="00845591" w:rsidRPr="00EC250C">
          <w:rPr>
            <w:rStyle w:val="Hipercze"/>
          </w:rPr>
          <w:t>Problem z dostępem do informacji publicznej na poziomie lokalnym</w:t>
        </w:r>
        <w:r w:rsidR="00845591" w:rsidRPr="00EC250C">
          <w:rPr>
            <w:webHidden/>
          </w:rPr>
          <w:tab/>
        </w:r>
        <w:r w:rsidR="00845591" w:rsidRPr="00EC250C">
          <w:rPr>
            <w:webHidden/>
          </w:rPr>
          <w:fldChar w:fldCharType="begin"/>
        </w:r>
        <w:r w:rsidR="00845591" w:rsidRPr="00EC250C">
          <w:rPr>
            <w:webHidden/>
          </w:rPr>
          <w:instrText xml:space="preserve"> PAGEREF _Toc11247688 \h </w:instrText>
        </w:r>
        <w:r w:rsidR="00845591" w:rsidRPr="00EC250C">
          <w:rPr>
            <w:webHidden/>
          </w:rPr>
        </w:r>
        <w:r w:rsidR="00845591" w:rsidRPr="00EC250C">
          <w:rPr>
            <w:webHidden/>
          </w:rPr>
          <w:fldChar w:fldCharType="separate"/>
        </w:r>
        <w:r>
          <w:rPr>
            <w:webHidden/>
          </w:rPr>
          <w:t>231</w:t>
        </w:r>
        <w:r w:rsidR="00845591" w:rsidRPr="00EC250C">
          <w:rPr>
            <w:webHidden/>
          </w:rPr>
          <w:fldChar w:fldCharType="end"/>
        </w:r>
      </w:hyperlink>
    </w:p>
    <w:p w14:paraId="6AB71102" w14:textId="2F0FB653" w:rsidR="00845591" w:rsidRPr="00EC250C" w:rsidRDefault="00744B2D" w:rsidP="001759D6">
      <w:pPr>
        <w:pStyle w:val="Spistreci4"/>
        <w:rPr>
          <w:rFonts w:asciiTheme="minorHAnsi" w:eastAsiaTheme="minorEastAsia" w:hAnsiTheme="minorHAnsi" w:cstheme="minorBidi"/>
        </w:rPr>
      </w:pPr>
      <w:hyperlink w:anchor="_Toc11247689" w:history="1">
        <w:r w:rsidR="00845591" w:rsidRPr="00EC250C">
          <w:rPr>
            <w:rStyle w:val="Hipercze"/>
          </w:rPr>
          <w:t>Problem informacji przetworzonej</w:t>
        </w:r>
        <w:r w:rsidR="00845591" w:rsidRPr="00EC250C">
          <w:rPr>
            <w:webHidden/>
          </w:rPr>
          <w:tab/>
        </w:r>
        <w:r w:rsidR="00845591" w:rsidRPr="00EC250C">
          <w:rPr>
            <w:webHidden/>
          </w:rPr>
          <w:fldChar w:fldCharType="begin"/>
        </w:r>
        <w:r w:rsidR="00845591" w:rsidRPr="00EC250C">
          <w:rPr>
            <w:webHidden/>
          </w:rPr>
          <w:instrText xml:space="preserve"> PAGEREF _Toc11247689 \h </w:instrText>
        </w:r>
        <w:r w:rsidR="00845591" w:rsidRPr="00EC250C">
          <w:rPr>
            <w:webHidden/>
          </w:rPr>
        </w:r>
        <w:r w:rsidR="00845591" w:rsidRPr="00EC250C">
          <w:rPr>
            <w:webHidden/>
          </w:rPr>
          <w:fldChar w:fldCharType="separate"/>
        </w:r>
        <w:r>
          <w:rPr>
            <w:webHidden/>
          </w:rPr>
          <w:t>231</w:t>
        </w:r>
        <w:r w:rsidR="00845591" w:rsidRPr="00EC250C">
          <w:rPr>
            <w:webHidden/>
          </w:rPr>
          <w:fldChar w:fldCharType="end"/>
        </w:r>
      </w:hyperlink>
    </w:p>
    <w:p w14:paraId="0C146F5E" w14:textId="0651C1F9" w:rsidR="00845591" w:rsidRPr="00EC250C" w:rsidRDefault="00744B2D" w:rsidP="001759D6">
      <w:pPr>
        <w:pStyle w:val="Spistreci4"/>
        <w:rPr>
          <w:rFonts w:asciiTheme="minorHAnsi" w:eastAsiaTheme="minorEastAsia" w:hAnsiTheme="minorHAnsi" w:cstheme="minorBidi"/>
        </w:rPr>
      </w:pPr>
      <w:hyperlink w:anchor="_Toc11247690" w:history="1">
        <w:r w:rsidR="00845591" w:rsidRPr="00EC250C">
          <w:rPr>
            <w:rStyle w:val="Hipercze"/>
          </w:rPr>
          <w:t>Inne utrudnienia dla obywateli i mediów w dostępie do informacji</w:t>
        </w:r>
        <w:r w:rsidR="00845591" w:rsidRPr="00EC250C">
          <w:rPr>
            <w:webHidden/>
          </w:rPr>
          <w:tab/>
        </w:r>
        <w:r w:rsidR="00845591" w:rsidRPr="00EC250C">
          <w:rPr>
            <w:webHidden/>
          </w:rPr>
          <w:fldChar w:fldCharType="begin"/>
        </w:r>
        <w:r w:rsidR="00845591" w:rsidRPr="00EC250C">
          <w:rPr>
            <w:webHidden/>
          </w:rPr>
          <w:instrText xml:space="preserve"> PAGEREF _Toc11247690 \h </w:instrText>
        </w:r>
        <w:r w:rsidR="00845591" w:rsidRPr="00EC250C">
          <w:rPr>
            <w:webHidden/>
          </w:rPr>
        </w:r>
        <w:r w:rsidR="00845591" w:rsidRPr="00EC250C">
          <w:rPr>
            <w:webHidden/>
          </w:rPr>
          <w:fldChar w:fldCharType="separate"/>
        </w:r>
        <w:r>
          <w:rPr>
            <w:webHidden/>
          </w:rPr>
          <w:t>233</w:t>
        </w:r>
        <w:r w:rsidR="00845591" w:rsidRPr="00EC250C">
          <w:rPr>
            <w:webHidden/>
          </w:rPr>
          <w:fldChar w:fldCharType="end"/>
        </w:r>
      </w:hyperlink>
    </w:p>
    <w:p w14:paraId="0701235F" w14:textId="39A9406D" w:rsidR="00845591" w:rsidRPr="00EC250C" w:rsidRDefault="00744B2D" w:rsidP="00A46160">
      <w:pPr>
        <w:pStyle w:val="Spistreci3"/>
        <w:rPr>
          <w:rFonts w:asciiTheme="minorHAnsi" w:eastAsiaTheme="minorEastAsia" w:hAnsiTheme="minorHAnsi" w:cstheme="minorBidi"/>
          <w:color w:val="auto"/>
          <w:sz w:val="20"/>
        </w:rPr>
      </w:pPr>
      <w:hyperlink w:anchor="_Toc11247691" w:history="1">
        <w:r w:rsidR="00845591" w:rsidRPr="00EC250C">
          <w:rPr>
            <w:rStyle w:val="Hipercze"/>
          </w:rPr>
          <w:t>Art. 62 Konstytucji – Prawa wyborcze</w:t>
        </w:r>
        <w:r w:rsidR="00845591" w:rsidRPr="00EC250C">
          <w:rPr>
            <w:webHidden/>
          </w:rPr>
          <w:tab/>
        </w:r>
        <w:r w:rsidR="00845591" w:rsidRPr="00EC250C">
          <w:rPr>
            <w:webHidden/>
          </w:rPr>
          <w:fldChar w:fldCharType="begin"/>
        </w:r>
        <w:r w:rsidR="00845591" w:rsidRPr="00EC250C">
          <w:rPr>
            <w:webHidden/>
          </w:rPr>
          <w:instrText xml:space="preserve"> PAGEREF _Toc11247691 \h </w:instrText>
        </w:r>
        <w:r w:rsidR="00845591" w:rsidRPr="00EC250C">
          <w:rPr>
            <w:webHidden/>
          </w:rPr>
        </w:r>
        <w:r w:rsidR="00845591" w:rsidRPr="00EC250C">
          <w:rPr>
            <w:webHidden/>
          </w:rPr>
          <w:fldChar w:fldCharType="separate"/>
        </w:r>
        <w:r>
          <w:rPr>
            <w:webHidden/>
          </w:rPr>
          <w:t>235</w:t>
        </w:r>
        <w:r w:rsidR="00845591" w:rsidRPr="00EC250C">
          <w:rPr>
            <w:webHidden/>
          </w:rPr>
          <w:fldChar w:fldCharType="end"/>
        </w:r>
      </w:hyperlink>
    </w:p>
    <w:p w14:paraId="51B6AC28" w14:textId="45619B83" w:rsidR="00845591" w:rsidRPr="00EC250C" w:rsidRDefault="00744B2D" w:rsidP="001759D6">
      <w:pPr>
        <w:pStyle w:val="Spistreci4"/>
        <w:rPr>
          <w:rFonts w:asciiTheme="minorHAnsi" w:eastAsiaTheme="minorEastAsia" w:hAnsiTheme="minorHAnsi" w:cstheme="minorBidi"/>
        </w:rPr>
      </w:pPr>
      <w:hyperlink w:anchor="_Toc11247692" w:history="1">
        <w:r w:rsidR="00845591" w:rsidRPr="00EC250C">
          <w:rPr>
            <w:rStyle w:val="Hipercze"/>
          </w:rPr>
          <w:t>Procedury powoływania urzędników wyborczych</w:t>
        </w:r>
        <w:r w:rsidR="00845591" w:rsidRPr="00EC250C">
          <w:rPr>
            <w:webHidden/>
          </w:rPr>
          <w:tab/>
        </w:r>
        <w:r w:rsidR="00845591" w:rsidRPr="00EC250C">
          <w:rPr>
            <w:webHidden/>
          </w:rPr>
          <w:fldChar w:fldCharType="begin"/>
        </w:r>
        <w:r w:rsidR="00845591" w:rsidRPr="00EC250C">
          <w:rPr>
            <w:webHidden/>
          </w:rPr>
          <w:instrText xml:space="preserve"> PAGEREF _Toc11247692 \h </w:instrText>
        </w:r>
        <w:r w:rsidR="00845591" w:rsidRPr="00EC250C">
          <w:rPr>
            <w:webHidden/>
          </w:rPr>
        </w:r>
        <w:r w:rsidR="00845591" w:rsidRPr="00EC250C">
          <w:rPr>
            <w:webHidden/>
          </w:rPr>
          <w:fldChar w:fldCharType="separate"/>
        </w:r>
        <w:r>
          <w:rPr>
            <w:webHidden/>
          </w:rPr>
          <w:t>236</w:t>
        </w:r>
        <w:r w:rsidR="00845591" w:rsidRPr="00EC250C">
          <w:rPr>
            <w:webHidden/>
          </w:rPr>
          <w:fldChar w:fldCharType="end"/>
        </w:r>
      </w:hyperlink>
    </w:p>
    <w:p w14:paraId="67F760A8" w14:textId="772F24C4" w:rsidR="00845591" w:rsidRPr="00EC250C" w:rsidRDefault="00744B2D" w:rsidP="001759D6">
      <w:pPr>
        <w:pStyle w:val="Spistreci4"/>
        <w:rPr>
          <w:rFonts w:asciiTheme="minorHAnsi" w:eastAsiaTheme="minorEastAsia" w:hAnsiTheme="minorHAnsi" w:cstheme="minorBidi"/>
        </w:rPr>
      </w:pPr>
      <w:hyperlink w:anchor="_Toc11247693" w:history="1">
        <w:r w:rsidR="00845591" w:rsidRPr="00EC250C">
          <w:rPr>
            <w:rStyle w:val="Hipercze"/>
          </w:rPr>
          <w:t>Zasady tzw. prekampanii wyborczej</w:t>
        </w:r>
        <w:r w:rsidR="00845591" w:rsidRPr="00EC250C">
          <w:rPr>
            <w:webHidden/>
          </w:rPr>
          <w:tab/>
        </w:r>
        <w:r w:rsidR="00845591" w:rsidRPr="00EC250C">
          <w:rPr>
            <w:webHidden/>
          </w:rPr>
          <w:fldChar w:fldCharType="begin"/>
        </w:r>
        <w:r w:rsidR="00845591" w:rsidRPr="00EC250C">
          <w:rPr>
            <w:webHidden/>
          </w:rPr>
          <w:instrText xml:space="preserve"> PAGEREF _Toc11247693 \h </w:instrText>
        </w:r>
        <w:r w:rsidR="00845591" w:rsidRPr="00EC250C">
          <w:rPr>
            <w:webHidden/>
          </w:rPr>
        </w:r>
        <w:r w:rsidR="00845591" w:rsidRPr="00EC250C">
          <w:rPr>
            <w:webHidden/>
          </w:rPr>
          <w:fldChar w:fldCharType="separate"/>
        </w:r>
        <w:r>
          <w:rPr>
            <w:webHidden/>
          </w:rPr>
          <w:t>236</w:t>
        </w:r>
        <w:r w:rsidR="00845591" w:rsidRPr="00EC250C">
          <w:rPr>
            <w:webHidden/>
          </w:rPr>
          <w:fldChar w:fldCharType="end"/>
        </w:r>
      </w:hyperlink>
    </w:p>
    <w:p w14:paraId="1843FCFA" w14:textId="00FE70DC" w:rsidR="00845591" w:rsidRPr="00EC250C" w:rsidRDefault="00744B2D" w:rsidP="001759D6">
      <w:pPr>
        <w:pStyle w:val="Spistreci4"/>
        <w:rPr>
          <w:rFonts w:asciiTheme="minorHAnsi" w:eastAsiaTheme="minorEastAsia" w:hAnsiTheme="minorHAnsi" w:cstheme="minorBidi"/>
        </w:rPr>
      </w:pPr>
      <w:hyperlink w:anchor="_Toc11247694" w:history="1">
        <w:r w:rsidR="00845591" w:rsidRPr="00EC250C">
          <w:rPr>
            <w:rStyle w:val="Hipercze"/>
          </w:rPr>
          <w:t>Wpisy do rejestru wyborców przez ePUAP</w:t>
        </w:r>
        <w:r w:rsidR="00845591" w:rsidRPr="00EC250C">
          <w:rPr>
            <w:webHidden/>
          </w:rPr>
          <w:tab/>
        </w:r>
        <w:r w:rsidR="00845591" w:rsidRPr="00EC250C">
          <w:rPr>
            <w:webHidden/>
          </w:rPr>
          <w:fldChar w:fldCharType="begin"/>
        </w:r>
        <w:r w:rsidR="00845591" w:rsidRPr="00EC250C">
          <w:rPr>
            <w:webHidden/>
          </w:rPr>
          <w:instrText xml:space="preserve"> PAGEREF _Toc11247694 \h </w:instrText>
        </w:r>
        <w:r w:rsidR="00845591" w:rsidRPr="00EC250C">
          <w:rPr>
            <w:webHidden/>
          </w:rPr>
        </w:r>
        <w:r w:rsidR="00845591" w:rsidRPr="00EC250C">
          <w:rPr>
            <w:webHidden/>
          </w:rPr>
          <w:fldChar w:fldCharType="separate"/>
        </w:r>
        <w:r>
          <w:rPr>
            <w:webHidden/>
          </w:rPr>
          <w:t>237</w:t>
        </w:r>
        <w:r w:rsidR="00845591" w:rsidRPr="00EC250C">
          <w:rPr>
            <w:webHidden/>
          </w:rPr>
          <w:fldChar w:fldCharType="end"/>
        </w:r>
      </w:hyperlink>
    </w:p>
    <w:p w14:paraId="034CC489" w14:textId="732382DF" w:rsidR="00845591" w:rsidRPr="00EC250C" w:rsidRDefault="00744B2D" w:rsidP="001759D6">
      <w:pPr>
        <w:pStyle w:val="Spistreci4"/>
        <w:rPr>
          <w:rFonts w:asciiTheme="minorHAnsi" w:eastAsiaTheme="minorEastAsia" w:hAnsiTheme="minorHAnsi" w:cstheme="minorBidi"/>
        </w:rPr>
      </w:pPr>
      <w:hyperlink w:anchor="_Toc11247695" w:history="1">
        <w:r w:rsidR="00845591" w:rsidRPr="00EC250C">
          <w:rPr>
            <w:rStyle w:val="Hipercze"/>
          </w:rPr>
          <w:t>Wpisy do rejestru wyborców osób dotkniętych kryzysem bezdomności</w:t>
        </w:r>
        <w:r w:rsidR="00845591" w:rsidRPr="00EC250C">
          <w:rPr>
            <w:webHidden/>
          </w:rPr>
          <w:tab/>
        </w:r>
        <w:r w:rsidR="00845591" w:rsidRPr="00EC250C">
          <w:rPr>
            <w:webHidden/>
          </w:rPr>
          <w:fldChar w:fldCharType="begin"/>
        </w:r>
        <w:r w:rsidR="00845591" w:rsidRPr="00EC250C">
          <w:rPr>
            <w:webHidden/>
          </w:rPr>
          <w:instrText xml:space="preserve"> PAGEREF _Toc11247695 \h </w:instrText>
        </w:r>
        <w:r w:rsidR="00845591" w:rsidRPr="00EC250C">
          <w:rPr>
            <w:webHidden/>
          </w:rPr>
        </w:r>
        <w:r w:rsidR="00845591" w:rsidRPr="00EC250C">
          <w:rPr>
            <w:webHidden/>
          </w:rPr>
          <w:fldChar w:fldCharType="separate"/>
        </w:r>
        <w:r>
          <w:rPr>
            <w:webHidden/>
          </w:rPr>
          <w:t>237</w:t>
        </w:r>
        <w:r w:rsidR="00845591" w:rsidRPr="00EC250C">
          <w:rPr>
            <w:webHidden/>
          </w:rPr>
          <w:fldChar w:fldCharType="end"/>
        </w:r>
      </w:hyperlink>
    </w:p>
    <w:p w14:paraId="331C7AB6" w14:textId="78591BA0" w:rsidR="00845591" w:rsidRPr="00EC250C" w:rsidRDefault="00744B2D" w:rsidP="001759D6">
      <w:pPr>
        <w:pStyle w:val="Spistreci4"/>
        <w:rPr>
          <w:rFonts w:asciiTheme="minorHAnsi" w:eastAsiaTheme="minorEastAsia" w:hAnsiTheme="minorHAnsi" w:cstheme="minorBidi"/>
        </w:rPr>
      </w:pPr>
      <w:hyperlink w:anchor="_Toc11247696" w:history="1">
        <w:r w:rsidR="00845591" w:rsidRPr="00EC250C">
          <w:rPr>
            <w:rStyle w:val="Hipercze"/>
          </w:rPr>
          <w:t>Dostosowanie lokali wyborczych do potrzeb wyborców z niepełnosprawnościami</w:t>
        </w:r>
        <w:r w:rsidR="00845591" w:rsidRPr="00EC250C">
          <w:rPr>
            <w:webHidden/>
          </w:rPr>
          <w:tab/>
        </w:r>
        <w:r w:rsidR="00845591" w:rsidRPr="00EC250C">
          <w:rPr>
            <w:webHidden/>
          </w:rPr>
          <w:fldChar w:fldCharType="begin"/>
        </w:r>
        <w:r w:rsidR="00845591" w:rsidRPr="00EC250C">
          <w:rPr>
            <w:webHidden/>
          </w:rPr>
          <w:instrText xml:space="preserve"> PAGEREF _Toc11247696 \h </w:instrText>
        </w:r>
        <w:r w:rsidR="00845591" w:rsidRPr="00EC250C">
          <w:rPr>
            <w:webHidden/>
          </w:rPr>
        </w:r>
        <w:r w:rsidR="00845591" w:rsidRPr="00EC250C">
          <w:rPr>
            <w:webHidden/>
          </w:rPr>
          <w:fldChar w:fldCharType="separate"/>
        </w:r>
        <w:r>
          <w:rPr>
            <w:webHidden/>
          </w:rPr>
          <w:t>238</w:t>
        </w:r>
        <w:r w:rsidR="00845591" w:rsidRPr="00EC250C">
          <w:rPr>
            <w:webHidden/>
          </w:rPr>
          <w:fldChar w:fldCharType="end"/>
        </w:r>
      </w:hyperlink>
    </w:p>
    <w:p w14:paraId="669C61C6" w14:textId="5DBDAD8A" w:rsidR="00845591" w:rsidRPr="00EC250C" w:rsidRDefault="00744B2D" w:rsidP="00A46160">
      <w:pPr>
        <w:pStyle w:val="Spistreci3"/>
        <w:rPr>
          <w:rFonts w:asciiTheme="minorHAnsi" w:eastAsiaTheme="minorEastAsia" w:hAnsiTheme="minorHAnsi" w:cstheme="minorBidi"/>
          <w:color w:val="auto"/>
          <w:sz w:val="20"/>
        </w:rPr>
      </w:pPr>
      <w:hyperlink w:anchor="_Toc11247697" w:history="1">
        <w:r w:rsidR="00845591" w:rsidRPr="00EC250C">
          <w:rPr>
            <w:rStyle w:val="Hipercze"/>
          </w:rPr>
          <w:t>Art. 63 Konstytucji – Prawo do petycji, wniosków i skarg</w:t>
        </w:r>
        <w:r w:rsidR="00845591" w:rsidRPr="00EC250C">
          <w:rPr>
            <w:webHidden/>
          </w:rPr>
          <w:tab/>
        </w:r>
        <w:r w:rsidR="00845591" w:rsidRPr="00EC250C">
          <w:rPr>
            <w:webHidden/>
          </w:rPr>
          <w:fldChar w:fldCharType="begin"/>
        </w:r>
        <w:r w:rsidR="00845591" w:rsidRPr="00EC250C">
          <w:rPr>
            <w:webHidden/>
          </w:rPr>
          <w:instrText xml:space="preserve"> PAGEREF _Toc11247697 \h </w:instrText>
        </w:r>
        <w:r w:rsidR="00845591" w:rsidRPr="00EC250C">
          <w:rPr>
            <w:webHidden/>
          </w:rPr>
        </w:r>
        <w:r w:rsidR="00845591" w:rsidRPr="00EC250C">
          <w:rPr>
            <w:webHidden/>
          </w:rPr>
          <w:fldChar w:fldCharType="separate"/>
        </w:r>
        <w:r>
          <w:rPr>
            <w:webHidden/>
          </w:rPr>
          <w:t>240</w:t>
        </w:r>
        <w:r w:rsidR="00845591" w:rsidRPr="00EC250C">
          <w:rPr>
            <w:webHidden/>
          </w:rPr>
          <w:fldChar w:fldCharType="end"/>
        </w:r>
      </w:hyperlink>
    </w:p>
    <w:p w14:paraId="185FC89E" w14:textId="26A29B89" w:rsidR="00845591" w:rsidRPr="00EC250C" w:rsidRDefault="00744B2D">
      <w:pPr>
        <w:pStyle w:val="Spistreci2"/>
        <w:rPr>
          <w:rFonts w:asciiTheme="minorHAnsi" w:eastAsiaTheme="minorEastAsia" w:hAnsiTheme="minorHAnsi" w:cstheme="minorBidi"/>
          <w:b w:val="0"/>
          <w:spacing w:val="0"/>
          <w:sz w:val="20"/>
          <w:szCs w:val="20"/>
        </w:rPr>
      </w:pPr>
      <w:hyperlink w:anchor="_Toc11247698" w:history="1">
        <w:r w:rsidR="00845591" w:rsidRPr="00EC250C">
          <w:rPr>
            <w:rStyle w:val="Hipercze"/>
            <w:sz w:val="28"/>
            <w:szCs w:val="24"/>
          </w:rPr>
          <w:t>4. Wolności i prawa ekonomiczne, socjalne i kulturalne</w:t>
        </w:r>
        <w:r w:rsidR="00845591" w:rsidRPr="00EC250C">
          <w:rPr>
            <w:webHidden/>
            <w:sz w:val="28"/>
            <w:szCs w:val="24"/>
          </w:rPr>
          <w:tab/>
        </w:r>
        <w:r w:rsidR="00845591" w:rsidRPr="00EC250C">
          <w:rPr>
            <w:webHidden/>
            <w:sz w:val="28"/>
            <w:szCs w:val="24"/>
          </w:rPr>
          <w:fldChar w:fldCharType="begin"/>
        </w:r>
        <w:r w:rsidR="00845591" w:rsidRPr="00EC250C">
          <w:rPr>
            <w:webHidden/>
            <w:sz w:val="28"/>
            <w:szCs w:val="24"/>
          </w:rPr>
          <w:instrText xml:space="preserve"> PAGEREF _Toc11247698 \h </w:instrText>
        </w:r>
        <w:r w:rsidR="00845591" w:rsidRPr="00EC250C">
          <w:rPr>
            <w:webHidden/>
            <w:sz w:val="28"/>
            <w:szCs w:val="24"/>
          </w:rPr>
        </w:r>
        <w:r w:rsidR="00845591" w:rsidRPr="00EC250C">
          <w:rPr>
            <w:webHidden/>
            <w:sz w:val="28"/>
            <w:szCs w:val="24"/>
          </w:rPr>
          <w:fldChar w:fldCharType="separate"/>
        </w:r>
        <w:r>
          <w:rPr>
            <w:webHidden/>
            <w:sz w:val="28"/>
            <w:szCs w:val="24"/>
          </w:rPr>
          <w:t>241</w:t>
        </w:r>
        <w:r w:rsidR="00845591" w:rsidRPr="00EC250C">
          <w:rPr>
            <w:webHidden/>
            <w:sz w:val="28"/>
            <w:szCs w:val="24"/>
          </w:rPr>
          <w:fldChar w:fldCharType="end"/>
        </w:r>
      </w:hyperlink>
    </w:p>
    <w:p w14:paraId="2DA00727" w14:textId="6EF3A2CD" w:rsidR="00845591" w:rsidRPr="00EC250C" w:rsidRDefault="00744B2D" w:rsidP="001759D6">
      <w:pPr>
        <w:pStyle w:val="Spistreci4"/>
        <w:rPr>
          <w:rFonts w:asciiTheme="minorHAnsi" w:eastAsiaTheme="minorEastAsia" w:hAnsiTheme="minorHAnsi" w:cstheme="minorBidi"/>
        </w:rPr>
      </w:pPr>
      <w:hyperlink w:anchor="_Toc11247699" w:history="1">
        <w:r w:rsidR="00845591" w:rsidRPr="00EC250C">
          <w:rPr>
            <w:rStyle w:val="Hipercze"/>
          </w:rPr>
          <w:t>Znaczenie praw socjalnych</w:t>
        </w:r>
        <w:r w:rsidR="00845591" w:rsidRPr="00EC250C">
          <w:rPr>
            <w:webHidden/>
          </w:rPr>
          <w:tab/>
        </w:r>
        <w:r w:rsidR="00845591" w:rsidRPr="00EC250C">
          <w:rPr>
            <w:webHidden/>
          </w:rPr>
          <w:fldChar w:fldCharType="begin"/>
        </w:r>
        <w:r w:rsidR="00845591" w:rsidRPr="00EC250C">
          <w:rPr>
            <w:webHidden/>
          </w:rPr>
          <w:instrText xml:space="preserve"> PAGEREF _Toc11247699 \h </w:instrText>
        </w:r>
        <w:r w:rsidR="00845591" w:rsidRPr="00EC250C">
          <w:rPr>
            <w:webHidden/>
          </w:rPr>
        </w:r>
        <w:r w:rsidR="00845591" w:rsidRPr="00EC250C">
          <w:rPr>
            <w:webHidden/>
          </w:rPr>
          <w:fldChar w:fldCharType="separate"/>
        </w:r>
        <w:r>
          <w:rPr>
            <w:webHidden/>
          </w:rPr>
          <w:t>241</w:t>
        </w:r>
        <w:r w:rsidR="00845591" w:rsidRPr="00EC250C">
          <w:rPr>
            <w:webHidden/>
          </w:rPr>
          <w:fldChar w:fldCharType="end"/>
        </w:r>
      </w:hyperlink>
    </w:p>
    <w:p w14:paraId="6F3F2E05" w14:textId="50F4EBE7" w:rsidR="00845591" w:rsidRPr="00EC250C" w:rsidRDefault="00744B2D" w:rsidP="00A46160">
      <w:pPr>
        <w:pStyle w:val="Spistreci3"/>
        <w:rPr>
          <w:rFonts w:asciiTheme="minorHAnsi" w:eastAsiaTheme="minorEastAsia" w:hAnsiTheme="minorHAnsi" w:cstheme="minorBidi"/>
          <w:color w:val="auto"/>
          <w:sz w:val="20"/>
        </w:rPr>
      </w:pPr>
      <w:hyperlink w:anchor="_Toc11247700" w:history="1">
        <w:r w:rsidR="00845591" w:rsidRPr="00EC250C">
          <w:rPr>
            <w:rStyle w:val="Hipercze"/>
          </w:rPr>
          <w:t>Art. 64 Konstytucji – Prawo do własności</w:t>
        </w:r>
        <w:r w:rsidR="00845591" w:rsidRPr="00EC250C">
          <w:rPr>
            <w:webHidden/>
          </w:rPr>
          <w:tab/>
        </w:r>
        <w:r w:rsidR="00845591" w:rsidRPr="00EC250C">
          <w:rPr>
            <w:webHidden/>
          </w:rPr>
          <w:fldChar w:fldCharType="begin"/>
        </w:r>
        <w:r w:rsidR="00845591" w:rsidRPr="00EC250C">
          <w:rPr>
            <w:webHidden/>
          </w:rPr>
          <w:instrText xml:space="preserve"> PAGEREF _Toc11247700 \h </w:instrText>
        </w:r>
        <w:r w:rsidR="00845591" w:rsidRPr="00EC250C">
          <w:rPr>
            <w:webHidden/>
          </w:rPr>
        </w:r>
        <w:r w:rsidR="00845591" w:rsidRPr="00EC250C">
          <w:rPr>
            <w:webHidden/>
          </w:rPr>
          <w:fldChar w:fldCharType="separate"/>
        </w:r>
        <w:r>
          <w:rPr>
            <w:webHidden/>
          </w:rPr>
          <w:t>243</w:t>
        </w:r>
        <w:r w:rsidR="00845591" w:rsidRPr="00EC250C">
          <w:rPr>
            <w:webHidden/>
          </w:rPr>
          <w:fldChar w:fldCharType="end"/>
        </w:r>
      </w:hyperlink>
    </w:p>
    <w:p w14:paraId="65D56143" w14:textId="3E143FB1" w:rsidR="00845591" w:rsidRPr="00EC250C" w:rsidRDefault="00744B2D" w:rsidP="001759D6">
      <w:pPr>
        <w:pStyle w:val="Spistreci4"/>
        <w:rPr>
          <w:rFonts w:asciiTheme="minorHAnsi" w:eastAsiaTheme="minorEastAsia" w:hAnsiTheme="minorHAnsi" w:cstheme="minorBidi"/>
        </w:rPr>
      </w:pPr>
      <w:hyperlink w:anchor="_Toc11247701" w:history="1">
        <w:r w:rsidR="00845591" w:rsidRPr="00EC250C">
          <w:rPr>
            <w:rStyle w:val="Hipercze"/>
          </w:rPr>
          <w:t>Brak ustawy reprywatyzacyjnej</w:t>
        </w:r>
        <w:r w:rsidR="00845591" w:rsidRPr="00EC250C">
          <w:rPr>
            <w:webHidden/>
          </w:rPr>
          <w:tab/>
        </w:r>
        <w:r w:rsidR="00845591" w:rsidRPr="00EC250C">
          <w:rPr>
            <w:webHidden/>
          </w:rPr>
          <w:fldChar w:fldCharType="begin"/>
        </w:r>
        <w:r w:rsidR="00845591" w:rsidRPr="00EC250C">
          <w:rPr>
            <w:webHidden/>
          </w:rPr>
          <w:instrText xml:space="preserve"> PAGEREF _Toc11247701 \h </w:instrText>
        </w:r>
        <w:r w:rsidR="00845591" w:rsidRPr="00EC250C">
          <w:rPr>
            <w:webHidden/>
          </w:rPr>
        </w:r>
        <w:r w:rsidR="00845591" w:rsidRPr="00EC250C">
          <w:rPr>
            <w:webHidden/>
          </w:rPr>
          <w:fldChar w:fldCharType="separate"/>
        </w:r>
        <w:r>
          <w:rPr>
            <w:webHidden/>
          </w:rPr>
          <w:t>244</w:t>
        </w:r>
        <w:r w:rsidR="00845591" w:rsidRPr="00EC250C">
          <w:rPr>
            <w:webHidden/>
          </w:rPr>
          <w:fldChar w:fldCharType="end"/>
        </w:r>
      </w:hyperlink>
    </w:p>
    <w:p w14:paraId="46013376" w14:textId="01BAF13F" w:rsidR="00845591" w:rsidRPr="00EC250C" w:rsidRDefault="00744B2D" w:rsidP="001759D6">
      <w:pPr>
        <w:pStyle w:val="Spistreci4"/>
        <w:rPr>
          <w:rFonts w:asciiTheme="minorHAnsi" w:eastAsiaTheme="minorEastAsia" w:hAnsiTheme="minorHAnsi" w:cstheme="minorBidi"/>
        </w:rPr>
      </w:pPr>
      <w:hyperlink w:anchor="_Toc11247702" w:history="1">
        <w:r w:rsidR="00845591" w:rsidRPr="00EC250C">
          <w:rPr>
            <w:rStyle w:val="Hipercze"/>
          </w:rPr>
          <w:t>Problem unieważniania decyzji administracyjnych z czasów PRL</w:t>
        </w:r>
        <w:r w:rsidR="00845591" w:rsidRPr="00EC250C">
          <w:rPr>
            <w:webHidden/>
          </w:rPr>
          <w:tab/>
        </w:r>
        <w:r w:rsidR="00845591" w:rsidRPr="00EC250C">
          <w:rPr>
            <w:webHidden/>
          </w:rPr>
          <w:fldChar w:fldCharType="begin"/>
        </w:r>
        <w:r w:rsidR="00845591" w:rsidRPr="00EC250C">
          <w:rPr>
            <w:webHidden/>
          </w:rPr>
          <w:instrText xml:space="preserve"> PAGEREF _Toc11247702 \h </w:instrText>
        </w:r>
        <w:r w:rsidR="00845591" w:rsidRPr="00EC250C">
          <w:rPr>
            <w:webHidden/>
          </w:rPr>
        </w:r>
        <w:r w:rsidR="00845591" w:rsidRPr="00EC250C">
          <w:rPr>
            <w:webHidden/>
          </w:rPr>
          <w:fldChar w:fldCharType="separate"/>
        </w:r>
        <w:r>
          <w:rPr>
            <w:webHidden/>
          </w:rPr>
          <w:t>246</w:t>
        </w:r>
        <w:r w:rsidR="00845591" w:rsidRPr="00EC250C">
          <w:rPr>
            <w:webHidden/>
          </w:rPr>
          <w:fldChar w:fldCharType="end"/>
        </w:r>
      </w:hyperlink>
    </w:p>
    <w:p w14:paraId="372013D4" w14:textId="698E35D4" w:rsidR="00845591" w:rsidRPr="00EC250C" w:rsidRDefault="00744B2D" w:rsidP="001759D6">
      <w:pPr>
        <w:pStyle w:val="Spistreci4"/>
        <w:rPr>
          <w:rFonts w:asciiTheme="minorHAnsi" w:eastAsiaTheme="minorEastAsia" w:hAnsiTheme="minorHAnsi" w:cstheme="minorBidi"/>
        </w:rPr>
      </w:pPr>
      <w:hyperlink w:anchor="_Toc11247703" w:history="1">
        <w:r w:rsidR="00845591" w:rsidRPr="00EC250C">
          <w:rPr>
            <w:rStyle w:val="Hipercze"/>
          </w:rPr>
          <w:t>T</w:t>
        </w:r>
        <w:r w:rsidR="00845591" w:rsidRPr="00A46160">
          <w:rPr>
            <w:rStyle w:val="Hipercze"/>
            <w:spacing w:val="0"/>
          </w:rPr>
          <w:t>ermin dochodzenia roszczeń właścicieli nieruchomości z  powodu pogorszenia warunków korzystania z niej</w:t>
        </w:r>
        <w:r w:rsidR="00845591" w:rsidRPr="00EC250C">
          <w:rPr>
            <w:webHidden/>
          </w:rPr>
          <w:tab/>
        </w:r>
        <w:r w:rsidR="00845591" w:rsidRPr="00EC250C">
          <w:rPr>
            <w:webHidden/>
          </w:rPr>
          <w:fldChar w:fldCharType="begin"/>
        </w:r>
        <w:r w:rsidR="00845591" w:rsidRPr="00EC250C">
          <w:rPr>
            <w:webHidden/>
          </w:rPr>
          <w:instrText xml:space="preserve"> PAGEREF _Toc11247703 \h </w:instrText>
        </w:r>
        <w:r w:rsidR="00845591" w:rsidRPr="00EC250C">
          <w:rPr>
            <w:webHidden/>
          </w:rPr>
        </w:r>
        <w:r w:rsidR="00845591" w:rsidRPr="00EC250C">
          <w:rPr>
            <w:webHidden/>
          </w:rPr>
          <w:fldChar w:fldCharType="separate"/>
        </w:r>
        <w:r>
          <w:rPr>
            <w:webHidden/>
          </w:rPr>
          <w:t>246</w:t>
        </w:r>
        <w:r w:rsidR="00845591" w:rsidRPr="00EC250C">
          <w:rPr>
            <w:webHidden/>
          </w:rPr>
          <w:fldChar w:fldCharType="end"/>
        </w:r>
      </w:hyperlink>
    </w:p>
    <w:p w14:paraId="64A57D50" w14:textId="06B5F729" w:rsidR="00845591" w:rsidRPr="00EC250C" w:rsidRDefault="00744B2D" w:rsidP="001759D6">
      <w:pPr>
        <w:pStyle w:val="Spistreci4"/>
        <w:rPr>
          <w:rFonts w:asciiTheme="minorHAnsi" w:eastAsiaTheme="minorEastAsia" w:hAnsiTheme="minorHAnsi" w:cstheme="minorBidi"/>
        </w:rPr>
      </w:pPr>
      <w:hyperlink w:anchor="_Toc11247704" w:history="1">
        <w:r w:rsidR="00845591" w:rsidRPr="00EC250C">
          <w:rPr>
            <w:rStyle w:val="Hipercze"/>
          </w:rPr>
          <w:t>Potrzeba lepszej ochrony interesów słabszych stron przy czynnościach notarialnych</w:t>
        </w:r>
        <w:r w:rsidR="00845591" w:rsidRPr="00EC250C">
          <w:rPr>
            <w:webHidden/>
          </w:rPr>
          <w:tab/>
        </w:r>
        <w:r w:rsidR="00845591" w:rsidRPr="00EC250C">
          <w:rPr>
            <w:webHidden/>
          </w:rPr>
          <w:fldChar w:fldCharType="begin"/>
        </w:r>
        <w:r w:rsidR="00845591" w:rsidRPr="00EC250C">
          <w:rPr>
            <w:webHidden/>
          </w:rPr>
          <w:instrText xml:space="preserve"> PAGEREF _Toc11247704 \h </w:instrText>
        </w:r>
        <w:r w:rsidR="00845591" w:rsidRPr="00EC250C">
          <w:rPr>
            <w:webHidden/>
          </w:rPr>
        </w:r>
        <w:r w:rsidR="00845591" w:rsidRPr="00EC250C">
          <w:rPr>
            <w:webHidden/>
          </w:rPr>
          <w:fldChar w:fldCharType="separate"/>
        </w:r>
        <w:r>
          <w:rPr>
            <w:webHidden/>
          </w:rPr>
          <w:t>248</w:t>
        </w:r>
        <w:r w:rsidR="00845591" w:rsidRPr="00EC250C">
          <w:rPr>
            <w:webHidden/>
          </w:rPr>
          <w:fldChar w:fldCharType="end"/>
        </w:r>
      </w:hyperlink>
    </w:p>
    <w:p w14:paraId="3BC542F9" w14:textId="2196BCB0" w:rsidR="00845591" w:rsidRPr="00EC250C" w:rsidRDefault="00744B2D" w:rsidP="001759D6">
      <w:pPr>
        <w:pStyle w:val="Spistreci4"/>
        <w:rPr>
          <w:rFonts w:asciiTheme="minorHAnsi" w:eastAsiaTheme="minorEastAsia" w:hAnsiTheme="minorHAnsi" w:cstheme="minorBidi"/>
        </w:rPr>
      </w:pPr>
      <w:hyperlink w:anchor="_Toc11247705" w:history="1">
        <w:r w:rsidR="00845591" w:rsidRPr="00EC250C">
          <w:rPr>
            <w:rStyle w:val="Hipercze"/>
          </w:rPr>
          <w:t>Przedawnienie wierzytelności zabezpieczonej hipoteką</w:t>
        </w:r>
        <w:r w:rsidR="00845591" w:rsidRPr="00EC250C">
          <w:rPr>
            <w:webHidden/>
          </w:rPr>
          <w:tab/>
        </w:r>
        <w:r w:rsidR="00845591" w:rsidRPr="00EC250C">
          <w:rPr>
            <w:webHidden/>
          </w:rPr>
          <w:fldChar w:fldCharType="begin"/>
        </w:r>
        <w:r w:rsidR="00845591" w:rsidRPr="00EC250C">
          <w:rPr>
            <w:webHidden/>
          </w:rPr>
          <w:instrText xml:space="preserve"> PAGEREF _Toc11247705 \h </w:instrText>
        </w:r>
        <w:r w:rsidR="00845591" w:rsidRPr="00EC250C">
          <w:rPr>
            <w:webHidden/>
          </w:rPr>
        </w:r>
        <w:r w:rsidR="00845591" w:rsidRPr="00EC250C">
          <w:rPr>
            <w:webHidden/>
          </w:rPr>
          <w:fldChar w:fldCharType="separate"/>
        </w:r>
        <w:r>
          <w:rPr>
            <w:webHidden/>
          </w:rPr>
          <w:t>249</w:t>
        </w:r>
        <w:r w:rsidR="00845591" w:rsidRPr="00EC250C">
          <w:rPr>
            <w:webHidden/>
          </w:rPr>
          <w:fldChar w:fldCharType="end"/>
        </w:r>
      </w:hyperlink>
    </w:p>
    <w:p w14:paraId="19A72D4A" w14:textId="328828B2" w:rsidR="00845591" w:rsidRPr="00EC250C" w:rsidRDefault="00744B2D" w:rsidP="001759D6">
      <w:pPr>
        <w:pStyle w:val="Spistreci4"/>
        <w:rPr>
          <w:rFonts w:asciiTheme="minorHAnsi" w:eastAsiaTheme="minorEastAsia" w:hAnsiTheme="minorHAnsi" w:cstheme="minorBidi"/>
        </w:rPr>
      </w:pPr>
      <w:hyperlink w:anchor="_Toc11247706" w:history="1">
        <w:r w:rsidR="00845591" w:rsidRPr="00EC250C">
          <w:rPr>
            <w:rStyle w:val="Hipercze"/>
          </w:rPr>
          <w:t>Pozbawienie mienia nabywców nieruchomości z Funduszu Wczasów Pracowniczych</w:t>
        </w:r>
        <w:r w:rsidR="00845591" w:rsidRPr="00EC250C">
          <w:rPr>
            <w:webHidden/>
          </w:rPr>
          <w:tab/>
        </w:r>
        <w:r w:rsidR="00845591" w:rsidRPr="00EC250C">
          <w:rPr>
            <w:webHidden/>
          </w:rPr>
          <w:fldChar w:fldCharType="begin"/>
        </w:r>
        <w:r w:rsidR="00845591" w:rsidRPr="00EC250C">
          <w:rPr>
            <w:webHidden/>
          </w:rPr>
          <w:instrText xml:space="preserve"> PAGEREF _Toc11247706 \h </w:instrText>
        </w:r>
        <w:r w:rsidR="00845591" w:rsidRPr="00EC250C">
          <w:rPr>
            <w:webHidden/>
          </w:rPr>
        </w:r>
        <w:r w:rsidR="00845591" w:rsidRPr="00EC250C">
          <w:rPr>
            <w:webHidden/>
          </w:rPr>
          <w:fldChar w:fldCharType="separate"/>
        </w:r>
        <w:r>
          <w:rPr>
            <w:webHidden/>
          </w:rPr>
          <w:t>250</w:t>
        </w:r>
        <w:r w:rsidR="00845591" w:rsidRPr="00EC250C">
          <w:rPr>
            <w:webHidden/>
          </w:rPr>
          <w:fldChar w:fldCharType="end"/>
        </w:r>
      </w:hyperlink>
    </w:p>
    <w:p w14:paraId="3D8139C3" w14:textId="608FFF61" w:rsidR="00845591" w:rsidRPr="00EC250C" w:rsidRDefault="00744B2D" w:rsidP="001759D6">
      <w:pPr>
        <w:pStyle w:val="Spistreci4"/>
        <w:rPr>
          <w:rFonts w:asciiTheme="minorHAnsi" w:eastAsiaTheme="minorEastAsia" w:hAnsiTheme="minorHAnsi" w:cstheme="minorBidi"/>
        </w:rPr>
      </w:pPr>
      <w:hyperlink w:anchor="_Toc11247707" w:history="1">
        <w:r w:rsidR="00845591" w:rsidRPr="00EC250C">
          <w:rPr>
            <w:rStyle w:val="Hipercze"/>
          </w:rPr>
          <w:t>Procedura wpisywania budynku do gminnej ewidencji zabytków</w:t>
        </w:r>
        <w:r w:rsidR="00845591" w:rsidRPr="00EC250C">
          <w:rPr>
            <w:webHidden/>
          </w:rPr>
          <w:tab/>
        </w:r>
        <w:r w:rsidR="00845591" w:rsidRPr="00EC250C">
          <w:rPr>
            <w:webHidden/>
          </w:rPr>
          <w:fldChar w:fldCharType="begin"/>
        </w:r>
        <w:r w:rsidR="00845591" w:rsidRPr="00EC250C">
          <w:rPr>
            <w:webHidden/>
          </w:rPr>
          <w:instrText xml:space="preserve"> PAGEREF _Toc11247707 \h </w:instrText>
        </w:r>
        <w:r w:rsidR="00845591" w:rsidRPr="00EC250C">
          <w:rPr>
            <w:webHidden/>
          </w:rPr>
        </w:r>
        <w:r w:rsidR="00845591" w:rsidRPr="00EC250C">
          <w:rPr>
            <w:webHidden/>
          </w:rPr>
          <w:fldChar w:fldCharType="separate"/>
        </w:r>
        <w:r>
          <w:rPr>
            <w:webHidden/>
          </w:rPr>
          <w:t>252</w:t>
        </w:r>
        <w:r w:rsidR="00845591" w:rsidRPr="00EC250C">
          <w:rPr>
            <w:webHidden/>
          </w:rPr>
          <w:fldChar w:fldCharType="end"/>
        </w:r>
      </w:hyperlink>
    </w:p>
    <w:p w14:paraId="2191CB6D" w14:textId="680C67A8" w:rsidR="00845591" w:rsidRPr="00EC250C" w:rsidRDefault="00744B2D" w:rsidP="001759D6">
      <w:pPr>
        <w:pStyle w:val="Spistreci4"/>
        <w:rPr>
          <w:rFonts w:asciiTheme="minorHAnsi" w:eastAsiaTheme="minorEastAsia" w:hAnsiTheme="minorHAnsi" w:cstheme="minorBidi"/>
        </w:rPr>
      </w:pPr>
      <w:hyperlink w:anchor="_Toc11247708" w:history="1">
        <w:r w:rsidR="00845591" w:rsidRPr="00EC250C">
          <w:rPr>
            <w:rStyle w:val="Hipercze"/>
          </w:rPr>
          <w:t>Problem z odwołaniem się od decyzji podjętej na mocy ustawy uwłaszczeniowej z 1971 r.</w:t>
        </w:r>
        <w:r w:rsidR="00845591" w:rsidRPr="00EC250C">
          <w:rPr>
            <w:webHidden/>
          </w:rPr>
          <w:tab/>
        </w:r>
        <w:r w:rsidR="00845591" w:rsidRPr="00EC250C">
          <w:rPr>
            <w:webHidden/>
          </w:rPr>
          <w:fldChar w:fldCharType="begin"/>
        </w:r>
        <w:r w:rsidR="00845591" w:rsidRPr="00EC250C">
          <w:rPr>
            <w:webHidden/>
          </w:rPr>
          <w:instrText xml:space="preserve"> PAGEREF _Toc11247708 \h </w:instrText>
        </w:r>
        <w:r w:rsidR="00845591" w:rsidRPr="00EC250C">
          <w:rPr>
            <w:webHidden/>
          </w:rPr>
        </w:r>
        <w:r w:rsidR="00845591" w:rsidRPr="00EC250C">
          <w:rPr>
            <w:webHidden/>
          </w:rPr>
          <w:fldChar w:fldCharType="separate"/>
        </w:r>
        <w:r>
          <w:rPr>
            <w:webHidden/>
          </w:rPr>
          <w:t>253</w:t>
        </w:r>
        <w:r w:rsidR="00845591" w:rsidRPr="00EC250C">
          <w:rPr>
            <w:webHidden/>
          </w:rPr>
          <w:fldChar w:fldCharType="end"/>
        </w:r>
      </w:hyperlink>
    </w:p>
    <w:p w14:paraId="7135E96A" w14:textId="536A5E7D" w:rsidR="00845591" w:rsidRPr="00EC250C" w:rsidRDefault="00744B2D" w:rsidP="001759D6">
      <w:pPr>
        <w:pStyle w:val="Spistreci4"/>
        <w:rPr>
          <w:rFonts w:asciiTheme="minorHAnsi" w:eastAsiaTheme="minorEastAsia" w:hAnsiTheme="minorHAnsi" w:cstheme="minorBidi"/>
        </w:rPr>
      </w:pPr>
      <w:hyperlink w:anchor="_Toc11247709" w:history="1">
        <w:r w:rsidR="00845591" w:rsidRPr="00EC250C">
          <w:rPr>
            <w:rStyle w:val="Hipercze"/>
          </w:rPr>
          <w:t>Ograniczenia w dysponowaniu własnością wynikające z ustawy o ziemi rolnej z 2016 r.</w:t>
        </w:r>
        <w:r w:rsidR="00845591" w:rsidRPr="00EC250C">
          <w:rPr>
            <w:webHidden/>
          </w:rPr>
          <w:tab/>
        </w:r>
        <w:r w:rsidR="00845591" w:rsidRPr="00EC250C">
          <w:rPr>
            <w:webHidden/>
          </w:rPr>
          <w:fldChar w:fldCharType="begin"/>
        </w:r>
        <w:r w:rsidR="00845591" w:rsidRPr="00EC250C">
          <w:rPr>
            <w:webHidden/>
          </w:rPr>
          <w:instrText xml:space="preserve"> PAGEREF _Toc11247709 \h </w:instrText>
        </w:r>
        <w:r w:rsidR="00845591" w:rsidRPr="00EC250C">
          <w:rPr>
            <w:webHidden/>
          </w:rPr>
        </w:r>
        <w:r w:rsidR="00845591" w:rsidRPr="00EC250C">
          <w:rPr>
            <w:webHidden/>
          </w:rPr>
          <w:fldChar w:fldCharType="separate"/>
        </w:r>
        <w:r>
          <w:rPr>
            <w:webHidden/>
          </w:rPr>
          <w:t>253</w:t>
        </w:r>
        <w:r w:rsidR="00845591" w:rsidRPr="00EC250C">
          <w:rPr>
            <w:webHidden/>
          </w:rPr>
          <w:fldChar w:fldCharType="end"/>
        </w:r>
      </w:hyperlink>
    </w:p>
    <w:p w14:paraId="3C487906" w14:textId="4E3850AE" w:rsidR="00845591" w:rsidRPr="00EC250C" w:rsidRDefault="00744B2D" w:rsidP="001759D6">
      <w:pPr>
        <w:pStyle w:val="Spistreci4"/>
        <w:rPr>
          <w:rFonts w:asciiTheme="minorHAnsi" w:eastAsiaTheme="minorEastAsia" w:hAnsiTheme="minorHAnsi" w:cstheme="minorBidi"/>
        </w:rPr>
      </w:pPr>
      <w:hyperlink w:anchor="_Toc11247710" w:history="1">
        <w:r w:rsidR="00845591" w:rsidRPr="00EC250C">
          <w:rPr>
            <w:rStyle w:val="Hipercze"/>
          </w:rPr>
          <w:t>Instalacje energetyczne. Zasiedzenie przez przedsiębiorcę przesyłowego lub Skarb Państwa służebności gruntowej</w:t>
        </w:r>
        <w:r w:rsidR="00845591" w:rsidRPr="00EC250C">
          <w:rPr>
            <w:webHidden/>
          </w:rPr>
          <w:tab/>
        </w:r>
        <w:r w:rsidR="00845591" w:rsidRPr="00EC250C">
          <w:rPr>
            <w:webHidden/>
          </w:rPr>
          <w:fldChar w:fldCharType="begin"/>
        </w:r>
        <w:r w:rsidR="00845591" w:rsidRPr="00EC250C">
          <w:rPr>
            <w:webHidden/>
          </w:rPr>
          <w:instrText xml:space="preserve"> PAGEREF _Toc11247710 \h </w:instrText>
        </w:r>
        <w:r w:rsidR="00845591" w:rsidRPr="00EC250C">
          <w:rPr>
            <w:webHidden/>
          </w:rPr>
        </w:r>
        <w:r w:rsidR="00845591" w:rsidRPr="00EC250C">
          <w:rPr>
            <w:webHidden/>
          </w:rPr>
          <w:fldChar w:fldCharType="separate"/>
        </w:r>
        <w:r>
          <w:rPr>
            <w:webHidden/>
          </w:rPr>
          <w:t>255</w:t>
        </w:r>
        <w:r w:rsidR="00845591" w:rsidRPr="00EC250C">
          <w:rPr>
            <w:webHidden/>
          </w:rPr>
          <w:fldChar w:fldCharType="end"/>
        </w:r>
      </w:hyperlink>
    </w:p>
    <w:p w14:paraId="4357BC36" w14:textId="6C7F6F34" w:rsidR="00845591" w:rsidRPr="00EC250C" w:rsidRDefault="00744B2D" w:rsidP="001759D6">
      <w:pPr>
        <w:pStyle w:val="Spistreci4"/>
        <w:rPr>
          <w:rFonts w:asciiTheme="minorHAnsi" w:eastAsiaTheme="minorEastAsia" w:hAnsiTheme="minorHAnsi" w:cstheme="minorBidi"/>
        </w:rPr>
      </w:pPr>
      <w:hyperlink w:anchor="_Toc11247711" w:history="1">
        <w:r w:rsidR="00845591" w:rsidRPr="00EC250C">
          <w:rPr>
            <w:rStyle w:val="Hipercze"/>
          </w:rPr>
          <w:t>Instalacje energetyczne. Nowe uprawnienia spółek energetycznych do wkraczania na nieruchomości, gdzie są instalacje przesyłowe</w:t>
        </w:r>
        <w:r w:rsidR="00845591" w:rsidRPr="00EC250C">
          <w:rPr>
            <w:webHidden/>
          </w:rPr>
          <w:tab/>
        </w:r>
        <w:r w:rsidR="00845591" w:rsidRPr="00EC250C">
          <w:rPr>
            <w:webHidden/>
          </w:rPr>
          <w:fldChar w:fldCharType="begin"/>
        </w:r>
        <w:r w:rsidR="00845591" w:rsidRPr="00EC250C">
          <w:rPr>
            <w:webHidden/>
          </w:rPr>
          <w:instrText xml:space="preserve"> PAGEREF _Toc11247711 \h </w:instrText>
        </w:r>
        <w:r w:rsidR="00845591" w:rsidRPr="00EC250C">
          <w:rPr>
            <w:webHidden/>
          </w:rPr>
        </w:r>
        <w:r w:rsidR="00845591" w:rsidRPr="00EC250C">
          <w:rPr>
            <w:webHidden/>
          </w:rPr>
          <w:fldChar w:fldCharType="separate"/>
        </w:r>
        <w:r>
          <w:rPr>
            <w:webHidden/>
          </w:rPr>
          <w:t>256</w:t>
        </w:r>
        <w:r w:rsidR="00845591" w:rsidRPr="00EC250C">
          <w:rPr>
            <w:webHidden/>
          </w:rPr>
          <w:fldChar w:fldCharType="end"/>
        </w:r>
      </w:hyperlink>
    </w:p>
    <w:p w14:paraId="17DC4613" w14:textId="1AD5F218" w:rsidR="00845591" w:rsidRPr="001759D6" w:rsidRDefault="00744B2D" w:rsidP="001759D6">
      <w:pPr>
        <w:pStyle w:val="Spistreci4"/>
        <w:rPr>
          <w:rFonts w:asciiTheme="minorHAnsi" w:eastAsiaTheme="minorEastAsia" w:hAnsiTheme="minorHAnsi" w:cstheme="minorBidi"/>
        </w:rPr>
      </w:pPr>
      <w:hyperlink w:anchor="_Toc11247712" w:history="1">
        <w:r w:rsidR="00845591" w:rsidRPr="001759D6">
          <w:rPr>
            <w:rStyle w:val="Hipercze"/>
            <w:spacing w:val="4"/>
          </w:rPr>
          <w:t>Wątpliwości dotyczące brzmienia tekstu jednolitego ustawy o gospodarowaniu nieruchomościami rolnymi Skarbu Państwa</w:t>
        </w:r>
        <w:r w:rsidR="001759D6" w:rsidRPr="001759D6">
          <w:rPr>
            <w:rStyle w:val="Hipercze"/>
            <w:webHidden/>
            <w:spacing w:val="4"/>
          </w:rPr>
          <w:tab/>
        </w:r>
        <w:r w:rsidR="00845591" w:rsidRPr="001759D6">
          <w:rPr>
            <w:webHidden/>
          </w:rPr>
          <w:fldChar w:fldCharType="begin"/>
        </w:r>
        <w:r w:rsidR="00845591" w:rsidRPr="001759D6">
          <w:rPr>
            <w:webHidden/>
          </w:rPr>
          <w:instrText xml:space="preserve"> PAGEREF _Toc11247712 \h </w:instrText>
        </w:r>
        <w:r w:rsidR="00845591" w:rsidRPr="001759D6">
          <w:rPr>
            <w:webHidden/>
          </w:rPr>
        </w:r>
        <w:r w:rsidR="00845591" w:rsidRPr="001759D6">
          <w:rPr>
            <w:webHidden/>
          </w:rPr>
          <w:fldChar w:fldCharType="separate"/>
        </w:r>
        <w:r>
          <w:rPr>
            <w:webHidden/>
          </w:rPr>
          <w:t>257</w:t>
        </w:r>
        <w:r w:rsidR="00845591" w:rsidRPr="001759D6">
          <w:rPr>
            <w:webHidden/>
          </w:rPr>
          <w:fldChar w:fldCharType="end"/>
        </w:r>
      </w:hyperlink>
    </w:p>
    <w:p w14:paraId="7879144D" w14:textId="6F82671C" w:rsidR="00845591" w:rsidRPr="00EC250C" w:rsidRDefault="00744B2D" w:rsidP="001759D6">
      <w:pPr>
        <w:pStyle w:val="Spistreci4"/>
        <w:rPr>
          <w:rFonts w:asciiTheme="minorHAnsi" w:eastAsiaTheme="minorEastAsia" w:hAnsiTheme="minorHAnsi" w:cstheme="minorBidi"/>
        </w:rPr>
      </w:pPr>
      <w:hyperlink w:anchor="_Toc11247713" w:history="1">
        <w:r w:rsidR="00845591" w:rsidRPr="00EC250C">
          <w:rPr>
            <w:rStyle w:val="Hipercze"/>
          </w:rPr>
          <w:t>Sankcje za naruszenie praw autorskich</w:t>
        </w:r>
        <w:r w:rsidR="00845591" w:rsidRPr="00EC250C">
          <w:rPr>
            <w:webHidden/>
          </w:rPr>
          <w:tab/>
        </w:r>
        <w:r w:rsidR="00845591" w:rsidRPr="00EC250C">
          <w:rPr>
            <w:webHidden/>
          </w:rPr>
          <w:fldChar w:fldCharType="begin"/>
        </w:r>
        <w:r w:rsidR="00845591" w:rsidRPr="00EC250C">
          <w:rPr>
            <w:webHidden/>
          </w:rPr>
          <w:instrText xml:space="preserve"> PAGEREF _Toc11247713 \h </w:instrText>
        </w:r>
        <w:r w:rsidR="00845591" w:rsidRPr="00EC250C">
          <w:rPr>
            <w:webHidden/>
          </w:rPr>
        </w:r>
        <w:r w:rsidR="00845591" w:rsidRPr="00EC250C">
          <w:rPr>
            <w:webHidden/>
          </w:rPr>
          <w:fldChar w:fldCharType="separate"/>
        </w:r>
        <w:r>
          <w:rPr>
            <w:webHidden/>
          </w:rPr>
          <w:t>257</w:t>
        </w:r>
        <w:r w:rsidR="00845591" w:rsidRPr="00EC250C">
          <w:rPr>
            <w:webHidden/>
          </w:rPr>
          <w:fldChar w:fldCharType="end"/>
        </w:r>
      </w:hyperlink>
    </w:p>
    <w:p w14:paraId="580CC02A" w14:textId="26C4A533" w:rsidR="00845591" w:rsidRPr="00EC250C" w:rsidRDefault="00744B2D" w:rsidP="001759D6">
      <w:pPr>
        <w:pStyle w:val="Spistreci4"/>
        <w:rPr>
          <w:rFonts w:asciiTheme="minorHAnsi" w:eastAsiaTheme="minorEastAsia" w:hAnsiTheme="minorHAnsi" w:cstheme="minorBidi"/>
        </w:rPr>
      </w:pPr>
      <w:hyperlink w:anchor="_Toc11247714" w:history="1">
        <w:r w:rsidR="00845591" w:rsidRPr="00EC250C">
          <w:rPr>
            <w:rStyle w:val="Hipercze"/>
          </w:rPr>
          <w:t>Zasady wynagradzania i dokumentowania wydatków biegłych sądowych</w:t>
        </w:r>
        <w:r w:rsidR="00845591" w:rsidRPr="00EC250C">
          <w:rPr>
            <w:webHidden/>
          </w:rPr>
          <w:tab/>
        </w:r>
        <w:r w:rsidR="00845591" w:rsidRPr="00EC250C">
          <w:rPr>
            <w:webHidden/>
          </w:rPr>
          <w:fldChar w:fldCharType="begin"/>
        </w:r>
        <w:r w:rsidR="00845591" w:rsidRPr="00EC250C">
          <w:rPr>
            <w:webHidden/>
          </w:rPr>
          <w:instrText xml:space="preserve"> PAGEREF _Toc11247714 \h </w:instrText>
        </w:r>
        <w:r w:rsidR="00845591" w:rsidRPr="00EC250C">
          <w:rPr>
            <w:webHidden/>
          </w:rPr>
        </w:r>
        <w:r w:rsidR="00845591" w:rsidRPr="00EC250C">
          <w:rPr>
            <w:webHidden/>
          </w:rPr>
          <w:fldChar w:fldCharType="separate"/>
        </w:r>
        <w:r>
          <w:rPr>
            <w:webHidden/>
          </w:rPr>
          <w:t>258</w:t>
        </w:r>
        <w:r w:rsidR="00845591" w:rsidRPr="00EC250C">
          <w:rPr>
            <w:webHidden/>
          </w:rPr>
          <w:fldChar w:fldCharType="end"/>
        </w:r>
      </w:hyperlink>
    </w:p>
    <w:p w14:paraId="7C34DE33" w14:textId="2FF6BA31" w:rsidR="00845591" w:rsidRPr="00EC250C" w:rsidRDefault="00744B2D" w:rsidP="001759D6">
      <w:pPr>
        <w:pStyle w:val="Spistreci4"/>
        <w:rPr>
          <w:rFonts w:asciiTheme="minorHAnsi" w:eastAsiaTheme="minorEastAsia" w:hAnsiTheme="minorHAnsi" w:cstheme="minorBidi"/>
        </w:rPr>
      </w:pPr>
      <w:hyperlink w:anchor="_Toc11247715" w:history="1">
        <w:r w:rsidR="00845591" w:rsidRPr="00EC250C">
          <w:rPr>
            <w:rStyle w:val="Hipercze"/>
          </w:rPr>
          <w:t>Zasady zwrotu samochodów odholowanych z drogi publicznej</w:t>
        </w:r>
        <w:r w:rsidR="00845591" w:rsidRPr="00EC250C">
          <w:rPr>
            <w:webHidden/>
          </w:rPr>
          <w:tab/>
        </w:r>
        <w:r w:rsidR="00845591" w:rsidRPr="00EC250C">
          <w:rPr>
            <w:webHidden/>
          </w:rPr>
          <w:fldChar w:fldCharType="begin"/>
        </w:r>
        <w:r w:rsidR="00845591" w:rsidRPr="00EC250C">
          <w:rPr>
            <w:webHidden/>
          </w:rPr>
          <w:instrText xml:space="preserve"> PAGEREF _Toc11247715 \h </w:instrText>
        </w:r>
        <w:r w:rsidR="00845591" w:rsidRPr="00EC250C">
          <w:rPr>
            <w:webHidden/>
          </w:rPr>
        </w:r>
        <w:r w:rsidR="00845591" w:rsidRPr="00EC250C">
          <w:rPr>
            <w:webHidden/>
          </w:rPr>
          <w:fldChar w:fldCharType="separate"/>
        </w:r>
        <w:r>
          <w:rPr>
            <w:webHidden/>
          </w:rPr>
          <w:t>258</w:t>
        </w:r>
        <w:r w:rsidR="00845591" w:rsidRPr="00EC250C">
          <w:rPr>
            <w:webHidden/>
          </w:rPr>
          <w:fldChar w:fldCharType="end"/>
        </w:r>
      </w:hyperlink>
    </w:p>
    <w:p w14:paraId="133D4DA8" w14:textId="04A35516" w:rsidR="00845591" w:rsidRPr="00A46160" w:rsidRDefault="00744B2D" w:rsidP="00A46160">
      <w:pPr>
        <w:pStyle w:val="Spistreci3"/>
        <w:rPr>
          <w:rFonts w:asciiTheme="minorHAnsi" w:eastAsiaTheme="minorEastAsia" w:hAnsiTheme="minorHAnsi" w:cstheme="minorBidi"/>
          <w:color w:val="auto"/>
          <w:sz w:val="20"/>
        </w:rPr>
      </w:pPr>
      <w:hyperlink w:anchor="_Toc11247716" w:history="1">
        <w:r w:rsidR="00845591" w:rsidRPr="00A46160">
          <w:rPr>
            <w:rStyle w:val="Hipercze"/>
            <w:spacing w:val="4"/>
          </w:rPr>
          <w:t>Art. 65 Konstytucji ust. 1 – Wolność wyboru i wykonywania zawodu</w:t>
        </w:r>
        <w:r w:rsidR="00845591" w:rsidRPr="00A46160">
          <w:rPr>
            <w:webHidden/>
          </w:rPr>
          <w:tab/>
        </w:r>
        <w:r w:rsidR="00845591" w:rsidRPr="00A46160">
          <w:rPr>
            <w:webHidden/>
          </w:rPr>
          <w:fldChar w:fldCharType="begin"/>
        </w:r>
        <w:r w:rsidR="00845591" w:rsidRPr="00A46160">
          <w:rPr>
            <w:webHidden/>
          </w:rPr>
          <w:instrText xml:space="preserve"> PAGEREF _Toc11247716 \h </w:instrText>
        </w:r>
        <w:r w:rsidR="00845591" w:rsidRPr="00A46160">
          <w:rPr>
            <w:webHidden/>
          </w:rPr>
        </w:r>
        <w:r w:rsidR="00845591" w:rsidRPr="00A46160">
          <w:rPr>
            <w:webHidden/>
          </w:rPr>
          <w:fldChar w:fldCharType="separate"/>
        </w:r>
        <w:r>
          <w:rPr>
            <w:webHidden/>
          </w:rPr>
          <w:t>260</w:t>
        </w:r>
        <w:r w:rsidR="00845591" w:rsidRPr="00A46160">
          <w:rPr>
            <w:webHidden/>
          </w:rPr>
          <w:fldChar w:fldCharType="end"/>
        </w:r>
      </w:hyperlink>
    </w:p>
    <w:p w14:paraId="31D8D4B6" w14:textId="728E06DF" w:rsidR="00845591" w:rsidRPr="00EC250C" w:rsidRDefault="00744B2D" w:rsidP="001759D6">
      <w:pPr>
        <w:pStyle w:val="Spistreci4"/>
        <w:rPr>
          <w:rFonts w:asciiTheme="minorHAnsi" w:eastAsiaTheme="minorEastAsia" w:hAnsiTheme="minorHAnsi" w:cstheme="minorBidi"/>
        </w:rPr>
      </w:pPr>
      <w:hyperlink w:anchor="_Toc11247717" w:history="1">
        <w:r w:rsidR="00845591" w:rsidRPr="00EC250C">
          <w:rPr>
            <w:rStyle w:val="Hipercze"/>
          </w:rPr>
          <w:t>Ograniczanie zakresu uprawnień budowlanych</w:t>
        </w:r>
        <w:r w:rsidR="00845591" w:rsidRPr="00EC250C">
          <w:rPr>
            <w:webHidden/>
          </w:rPr>
          <w:tab/>
        </w:r>
        <w:r w:rsidR="00845591" w:rsidRPr="00EC250C">
          <w:rPr>
            <w:webHidden/>
          </w:rPr>
          <w:fldChar w:fldCharType="begin"/>
        </w:r>
        <w:r w:rsidR="00845591" w:rsidRPr="00EC250C">
          <w:rPr>
            <w:webHidden/>
          </w:rPr>
          <w:instrText xml:space="preserve"> PAGEREF _Toc11247717 \h </w:instrText>
        </w:r>
        <w:r w:rsidR="00845591" w:rsidRPr="00EC250C">
          <w:rPr>
            <w:webHidden/>
          </w:rPr>
        </w:r>
        <w:r w:rsidR="00845591" w:rsidRPr="00EC250C">
          <w:rPr>
            <w:webHidden/>
          </w:rPr>
          <w:fldChar w:fldCharType="separate"/>
        </w:r>
        <w:r>
          <w:rPr>
            <w:webHidden/>
          </w:rPr>
          <w:t>261</w:t>
        </w:r>
        <w:r w:rsidR="00845591" w:rsidRPr="00EC250C">
          <w:rPr>
            <w:webHidden/>
          </w:rPr>
          <w:fldChar w:fldCharType="end"/>
        </w:r>
      </w:hyperlink>
    </w:p>
    <w:p w14:paraId="66652A2C" w14:textId="208055E0" w:rsidR="00845591" w:rsidRPr="00EC250C" w:rsidRDefault="00744B2D" w:rsidP="001759D6">
      <w:pPr>
        <w:pStyle w:val="Spistreci4"/>
        <w:rPr>
          <w:rFonts w:asciiTheme="minorHAnsi" w:eastAsiaTheme="minorEastAsia" w:hAnsiTheme="minorHAnsi" w:cstheme="minorBidi"/>
        </w:rPr>
      </w:pPr>
      <w:hyperlink w:anchor="_Toc11247718" w:history="1">
        <w:r w:rsidR="00845591" w:rsidRPr="00EC250C">
          <w:rPr>
            <w:rStyle w:val="Hipercze"/>
          </w:rPr>
          <w:t>Brak ustawowego określenia kwalifikacji gleboznawcy</w:t>
        </w:r>
        <w:r w:rsidR="00845591" w:rsidRPr="00EC250C">
          <w:rPr>
            <w:webHidden/>
          </w:rPr>
          <w:tab/>
        </w:r>
        <w:r w:rsidR="00845591" w:rsidRPr="00EC250C">
          <w:rPr>
            <w:webHidden/>
          </w:rPr>
          <w:fldChar w:fldCharType="begin"/>
        </w:r>
        <w:r w:rsidR="00845591" w:rsidRPr="00EC250C">
          <w:rPr>
            <w:webHidden/>
          </w:rPr>
          <w:instrText xml:space="preserve"> PAGEREF _Toc11247718 \h </w:instrText>
        </w:r>
        <w:r w:rsidR="00845591" w:rsidRPr="00EC250C">
          <w:rPr>
            <w:webHidden/>
          </w:rPr>
        </w:r>
        <w:r w:rsidR="00845591" w:rsidRPr="00EC250C">
          <w:rPr>
            <w:webHidden/>
          </w:rPr>
          <w:fldChar w:fldCharType="separate"/>
        </w:r>
        <w:r>
          <w:rPr>
            <w:webHidden/>
          </w:rPr>
          <w:t>261</w:t>
        </w:r>
        <w:r w:rsidR="00845591" w:rsidRPr="00EC250C">
          <w:rPr>
            <w:webHidden/>
          </w:rPr>
          <w:fldChar w:fldCharType="end"/>
        </w:r>
      </w:hyperlink>
    </w:p>
    <w:p w14:paraId="520FD4F1" w14:textId="07898E84" w:rsidR="00845591" w:rsidRPr="00EC250C" w:rsidRDefault="00744B2D" w:rsidP="00A46160">
      <w:pPr>
        <w:pStyle w:val="Spistreci3"/>
        <w:rPr>
          <w:rFonts w:asciiTheme="minorHAnsi" w:eastAsiaTheme="minorEastAsia" w:hAnsiTheme="minorHAnsi" w:cstheme="minorBidi"/>
          <w:color w:val="auto"/>
          <w:sz w:val="20"/>
        </w:rPr>
      </w:pPr>
      <w:hyperlink w:anchor="_Toc11247719" w:history="1">
        <w:r w:rsidR="00845591" w:rsidRPr="00EC250C">
          <w:rPr>
            <w:rStyle w:val="Hipercze"/>
          </w:rPr>
          <w:t>Art. 65 Konstytucji ust. 2-5 – Prawa pracownicze</w:t>
        </w:r>
        <w:r w:rsidR="00845591" w:rsidRPr="00EC250C">
          <w:rPr>
            <w:webHidden/>
          </w:rPr>
          <w:tab/>
        </w:r>
        <w:r w:rsidR="00845591" w:rsidRPr="00EC250C">
          <w:rPr>
            <w:webHidden/>
          </w:rPr>
          <w:fldChar w:fldCharType="begin"/>
        </w:r>
        <w:r w:rsidR="00845591" w:rsidRPr="00EC250C">
          <w:rPr>
            <w:webHidden/>
          </w:rPr>
          <w:instrText xml:space="preserve"> PAGEREF _Toc11247719 \h </w:instrText>
        </w:r>
        <w:r w:rsidR="00845591" w:rsidRPr="00EC250C">
          <w:rPr>
            <w:webHidden/>
          </w:rPr>
        </w:r>
        <w:r w:rsidR="00845591" w:rsidRPr="00EC250C">
          <w:rPr>
            <w:webHidden/>
          </w:rPr>
          <w:fldChar w:fldCharType="separate"/>
        </w:r>
        <w:r>
          <w:rPr>
            <w:webHidden/>
          </w:rPr>
          <w:t>263</w:t>
        </w:r>
        <w:r w:rsidR="00845591" w:rsidRPr="00EC250C">
          <w:rPr>
            <w:webHidden/>
          </w:rPr>
          <w:fldChar w:fldCharType="end"/>
        </w:r>
      </w:hyperlink>
    </w:p>
    <w:p w14:paraId="4468FE2A" w14:textId="360A97B7" w:rsidR="00845591" w:rsidRPr="00EC250C" w:rsidRDefault="00744B2D" w:rsidP="001759D6">
      <w:pPr>
        <w:pStyle w:val="Spistreci4"/>
        <w:rPr>
          <w:rFonts w:asciiTheme="minorHAnsi" w:eastAsiaTheme="minorEastAsia" w:hAnsiTheme="minorHAnsi" w:cstheme="minorBidi"/>
        </w:rPr>
      </w:pPr>
      <w:hyperlink w:anchor="_Toc11247720" w:history="1">
        <w:r w:rsidR="00845591" w:rsidRPr="00EC250C">
          <w:rPr>
            <w:rStyle w:val="Hipercze"/>
          </w:rPr>
          <w:t>Sytuacja nauczycieli w trakcie reformy oświaty</w:t>
        </w:r>
        <w:r w:rsidR="00845591" w:rsidRPr="00EC250C">
          <w:rPr>
            <w:webHidden/>
          </w:rPr>
          <w:tab/>
        </w:r>
        <w:r w:rsidR="00845591" w:rsidRPr="00EC250C">
          <w:rPr>
            <w:webHidden/>
          </w:rPr>
          <w:fldChar w:fldCharType="begin"/>
        </w:r>
        <w:r w:rsidR="00845591" w:rsidRPr="00EC250C">
          <w:rPr>
            <w:webHidden/>
          </w:rPr>
          <w:instrText xml:space="preserve"> PAGEREF _Toc11247720 \h </w:instrText>
        </w:r>
        <w:r w:rsidR="00845591" w:rsidRPr="00EC250C">
          <w:rPr>
            <w:webHidden/>
          </w:rPr>
        </w:r>
        <w:r w:rsidR="00845591" w:rsidRPr="00EC250C">
          <w:rPr>
            <w:webHidden/>
          </w:rPr>
          <w:fldChar w:fldCharType="separate"/>
        </w:r>
        <w:r>
          <w:rPr>
            <w:webHidden/>
          </w:rPr>
          <w:t>264</w:t>
        </w:r>
        <w:r w:rsidR="00845591" w:rsidRPr="00EC250C">
          <w:rPr>
            <w:webHidden/>
          </w:rPr>
          <w:fldChar w:fldCharType="end"/>
        </w:r>
      </w:hyperlink>
    </w:p>
    <w:p w14:paraId="0AEB5838" w14:textId="5BD3197E" w:rsidR="00845591" w:rsidRPr="00EC250C" w:rsidRDefault="00744B2D" w:rsidP="001759D6">
      <w:pPr>
        <w:pStyle w:val="Spistreci4"/>
        <w:rPr>
          <w:rFonts w:asciiTheme="minorHAnsi" w:eastAsiaTheme="minorEastAsia" w:hAnsiTheme="minorHAnsi" w:cstheme="minorBidi"/>
        </w:rPr>
      </w:pPr>
      <w:hyperlink w:anchor="_Toc11247721" w:history="1">
        <w:r w:rsidR="00845591" w:rsidRPr="00EC250C">
          <w:rPr>
            <w:rStyle w:val="Hipercze"/>
          </w:rPr>
          <w:t>Prawa pielęgniarek środowiskowych opiekujących się osobami chorującymi psychicznie</w:t>
        </w:r>
        <w:r w:rsidR="00845591" w:rsidRPr="00EC250C">
          <w:rPr>
            <w:webHidden/>
          </w:rPr>
          <w:tab/>
        </w:r>
        <w:r w:rsidR="00845591" w:rsidRPr="00EC250C">
          <w:rPr>
            <w:webHidden/>
          </w:rPr>
          <w:fldChar w:fldCharType="begin"/>
        </w:r>
        <w:r w:rsidR="00845591" w:rsidRPr="00EC250C">
          <w:rPr>
            <w:webHidden/>
          </w:rPr>
          <w:instrText xml:space="preserve"> PAGEREF _Toc11247721 \h </w:instrText>
        </w:r>
        <w:r w:rsidR="00845591" w:rsidRPr="00EC250C">
          <w:rPr>
            <w:webHidden/>
          </w:rPr>
        </w:r>
        <w:r w:rsidR="00845591" w:rsidRPr="00EC250C">
          <w:rPr>
            <w:webHidden/>
          </w:rPr>
          <w:fldChar w:fldCharType="separate"/>
        </w:r>
        <w:r>
          <w:rPr>
            <w:webHidden/>
          </w:rPr>
          <w:t>264</w:t>
        </w:r>
        <w:r w:rsidR="00845591" w:rsidRPr="00EC250C">
          <w:rPr>
            <w:webHidden/>
          </w:rPr>
          <w:fldChar w:fldCharType="end"/>
        </w:r>
      </w:hyperlink>
    </w:p>
    <w:p w14:paraId="01A41059" w14:textId="49807094" w:rsidR="00845591" w:rsidRPr="00EC250C" w:rsidRDefault="00744B2D" w:rsidP="001759D6">
      <w:pPr>
        <w:pStyle w:val="Spistreci4"/>
        <w:rPr>
          <w:rFonts w:asciiTheme="minorHAnsi" w:eastAsiaTheme="minorEastAsia" w:hAnsiTheme="minorHAnsi" w:cstheme="minorBidi"/>
        </w:rPr>
      </w:pPr>
      <w:hyperlink w:anchor="_Toc11247722" w:history="1">
        <w:r w:rsidR="00845591" w:rsidRPr="00EC250C">
          <w:rPr>
            <w:rStyle w:val="Hipercze"/>
          </w:rPr>
          <w:t>Sytuacja zawodowa i płace pielęgniarek</w:t>
        </w:r>
        <w:r w:rsidR="00845591" w:rsidRPr="00EC250C">
          <w:rPr>
            <w:webHidden/>
          </w:rPr>
          <w:tab/>
        </w:r>
        <w:r w:rsidR="00845591" w:rsidRPr="00EC250C">
          <w:rPr>
            <w:webHidden/>
          </w:rPr>
          <w:fldChar w:fldCharType="begin"/>
        </w:r>
        <w:r w:rsidR="00845591" w:rsidRPr="00EC250C">
          <w:rPr>
            <w:webHidden/>
          </w:rPr>
          <w:instrText xml:space="preserve"> PAGEREF _Toc11247722 \h </w:instrText>
        </w:r>
        <w:r w:rsidR="00845591" w:rsidRPr="00EC250C">
          <w:rPr>
            <w:webHidden/>
          </w:rPr>
        </w:r>
        <w:r w:rsidR="00845591" w:rsidRPr="00EC250C">
          <w:rPr>
            <w:webHidden/>
          </w:rPr>
          <w:fldChar w:fldCharType="separate"/>
        </w:r>
        <w:r>
          <w:rPr>
            <w:webHidden/>
          </w:rPr>
          <w:t>265</w:t>
        </w:r>
        <w:r w:rsidR="00845591" w:rsidRPr="00EC250C">
          <w:rPr>
            <w:webHidden/>
          </w:rPr>
          <w:fldChar w:fldCharType="end"/>
        </w:r>
      </w:hyperlink>
    </w:p>
    <w:p w14:paraId="0E13DC0F" w14:textId="448BEEAB" w:rsidR="00845591" w:rsidRPr="00EC250C" w:rsidRDefault="00744B2D" w:rsidP="001759D6">
      <w:pPr>
        <w:pStyle w:val="Spistreci4"/>
        <w:rPr>
          <w:rFonts w:asciiTheme="minorHAnsi" w:eastAsiaTheme="minorEastAsia" w:hAnsiTheme="minorHAnsi" w:cstheme="minorBidi"/>
        </w:rPr>
      </w:pPr>
      <w:hyperlink w:anchor="_Toc11247723" w:history="1">
        <w:r w:rsidR="00845591" w:rsidRPr="00EC250C">
          <w:rPr>
            <w:rStyle w:val="Hipercze"/>
          </w:rPr>
          <w:t>Nieskuteczność działań antymobbingowych w szpitalach</w:t>
        </w:r>
        <w:r w:rsidR="00845591" w:rsidRPr="00EC250C">
          <w:rPr>
            <w:webHidden/>
          </w:rPr>
          <w:tab/>
        </w:r>
        <w:r w:rsidR="00845591" w:rsidRPr="00EC250C">
          <w:rPr>
            <w:webHidden/>
          </w:rPr>
          <w:fldChar w:fldCharType="begin"/>
        </w:r>
        <w:r w:rsidR="00845591" w:rsidRPr="00EC250C">
          <w:rPr>
            <w:webHidden/>
          </w:rPr>
          <w:instrText xml:space="preserve"> PAGEREF _Toc11247723 \h </w:instrText>
        </w:r>
        <w:r w:rsidR="00845591" w:rsidRPr="00EC250C">
          <w:rPr>
            <w:webHidden/>
          </w:rPr>
        </w:r>
        <w:r w:rsidR="00845591" w:rsidRPr="00EC250C">
          <w:rPr>
            <w:webHidden/>
          </w:rPr>
          <w:fldChar w:fldCharType="separate"/>
        </w:r>
        <w:r>
          <w:rPr>
            <w:webHidden/>
          </w:rPr>
          <w:t>265</w:t>
        </w:r>
        <w:r w:rsidR="00845591" w:rsidRPr="00EC250C">
          <w:rPr>
            <w:webHidden/>
          </w:rPr>
          <w:fldChar w:fldCharType="end"/>
        </w:r>
      </w:hyperlink>
    </w:p>
    <w:p w14:paraId="2AEDE7FE" w14:textId="5F84CFBF" w:rsidR="00845591" w:rsidRPr="00EC250C" w:rsidRDefault="00744B2D" w:rsidP="001759D6">
      <w:pPr>
        <w:pStyle w:val="Spistreci4"/>
        <w:rPr>
          <w:rFonts w:asciiTheme="minorHAnsi" w:eastAsiaTheme="minorEastAsia" w:hAnsiTheme="minorHAnsi" w:cstheme="minorBidi"/>
        </w:rPr>
      </w:pPr>
      <w:hyperlink w:anchor="_Toc11247724" w:history="1">
        <w:r w:rsidR="00845591" w:rsidRPr="00EC250C">
          <w:rPr>
            <w:rStyle w:val="Hipercze"/>
          </w:rPr>
          <w:t>Sytuacja pilotów i pilotek oraz stewardów i stewardess</w:t>
        </w:r>
        <w:r w:rsidR="00845591" w:rsidRPr="00EC250C">
          <w:rPr>
            <w:webHidden/>
          </w:rPr>
          <w:tab/>
        </w:r>
        <w:r w:rsidR="00845591" w:rsidRPr="00EC250C">
          <w:rPr>
            <w:webHidden/>
          </w:rPr>
          <w:fldChar w:fldCharType="begin"/>
        </w:r>
        <w:r w:rsidR="00845591" w:rsidRPr="00EC250C">
          <w:rPr>
            <w:webHidden/>
          </w:rPr>
          <w:instrText xml:space="preserve"> PAGEREF _Toc11247724 \h </w:instrText>
        </w:r>
        <w:r w:rsidR="00845591" w:rsidRPr="00EC250C">
          <w:rPr>
            <w:webHidden/>
          </w:rPr>
        </w:r>
        <w:r w:rsidR="00845591" w:rsidRPr="00EC250C">
          <w:rPr>
            <w:webHidden/>
          </w:rPr>
          <w:fldChar w:fldCharType="separate"/>
        </w:r>
        <w:r>
          <w:rPr>
            <w:webHidden/>
          </w:rPr>
          <w:t>266</w:t>
        </w:r>
        <w:r w:rsidR="00845591" w:rsidRPr="00EC250C">
          <w:rPr>
            <w:webHidden/>
          </w:rPr>
          <w:fldChar w:fldCharType="end"/>
        </w:r>
      </w:hyperlink>
    </w:p>
    <w:p w14:paraId="03E9D7A0" w14:textId="205DE5EA" w:rsidR="00845591" w:rsidRPr="00EC250C" w:rsidRDefault="00744B2D" w:rsidP="001759D6">
      <w:pPr>
        <w:pStyle w:val="Spistreci4"/>
        <w:rPr>
          <w:rFonts w:asciiTheme="minorHAnsi" w:eastAsiaTheme="minorEastAsia" w:hAnsiTheme="minorHAnsi" w:cstheme="minorBidi"/>
        </w:rPr>
      </w:pPr>
      <w:hyperlink w:anchor="_Toc11247725" w:history="1">
        <w:r w:rsidR="00845591" w:rsidRPr="00EC250C">
          <w:rPr>
            <w:rStyle w:val="Hipercze"/>
          </w:rPr>
          <w:t>Brak minimalnej stawki dla pracowników sezonowych zatrudnianych przy zbiorach</w:t>
        </w:r>
        <w:r w:rsidR="00845591" w:rsidRPr="00EC250C">
          <w:rPr>
            <w:webHidden/>
          </w:rPr>
          <w:tab/>
        </w:r>
        <w:r w:rsidR="00845591" w:rsidRPr="00EC250C">
          <w:rPr>
            <w:webHidden/>
          </w:rPr>
          <w:fldChar w:fldCharType="begin"/>
        </w:r>
        <w:r w:rsidR="00845591" w:rsidRPr="00EC250C">
          <w:rPr>
            <w:webHidden/>
          </w:rPr>
          <w:instrText xml:space="preserve"> PAGEREF _Toc11247725 \h </w:instrText>
        </w:r>
        <w:r w:rsidR="00845591" w:rsidRPr="00EC250C">
          <w:rPr>
            <w:webHidden/>
          </w:rPr>
        </w:r>
        <w:r w:rsidR="00845591" w:rsidRPr="00EC250C">
          <w:rPr>
            <w:webHidden/>
          </w:rPr>
          <w:fldChar w:fldCharType="separate"/>
        </w:r>
        <w:r>
          <w:rPr>
            <w:webHidden/>
          </w:rPr>
          <w:t>267</w:t>
        </w:r>
        <w:r w:rsidR="00845591" w:rsidRPr="00EC250C">
          <w:rPr>
            <w:webHidden/>
          </w:rPr>
          <w:fldChar w:fldCharType="end"/>
        </w:r>
      </w:hyperlink>
    </w:p>
    <w:p w14:paraId="3D01D6E0" w14:textId="2B720FAA" w:rsidR="00845591" w:rsidRPr="00EC250C" w:rsidRDefault="00744B2D" w:rsidP="001759D6">
      <w:pPr>
        <w:pStyle w:val="Spistreci4"/>
        <w:rPr>
          <w:rFonts w:asciiTheme="minorHAnsi" w:eastAsiaTheme="minorEastAsia" w:hAnsiTheme="minorHAnsi" w:cstheme="minorBidi"/>
        </w:rPr>
      </w:pPr>
      <w:hyperlink w:anchor="_Toc11247726" w:history="1">
        <w:r w:rsidR="00845591" w:rsidRPr="00EC250C">
          <w:rPr>
            <w:rStyle w:val="Hipercze"/>
          </w:rPr>
          <w:t>Opóźnienia w rejestracji oświadczeń o sezonowej pracy cudzoziemców</w:t>
        </w:r>
        <w:r w:rsidR="00845591" w:rsidRPr="00EC250C">
          <w:rPr>
            <w:webHidden/>
          </w:rPr>
          <w:tab/>
        </w:r>
        <w:r w:rsidR="00845591" w:rsidRPr="00EC250C">
          <w:rPr>
            <w:webHidden/>
          </w:rPr>
          <w:fldChar w:fldCharType="begin"/>
        </w:r>
        <w:r w:rsidR="00845591" w:rsidRPr="00EC250C">
          <w:rPr>
            <w:webHidden/>
          </w:rPr>
          <w:instrText xml:space="preserve"> PAGEREF _Toc11247726 \h </w:instrText>
        </w:r>
        <w:r w:rsidR="00845591" w:rsidRPr="00EC250C">
          <w:rPr>
            <w:webHidden/>
          </w:rPr>
        </w:r>
        <w:r w:rsidR="00845591" w:rsidRPr="00EC250C">
          <w:rPr>
            <w:webHidden/>
          </w:rPr>
          <w:fldChar w:fldCharType="separate"/>
        </w:r>
        <w:r>
          <w:rPr>
            <w:webHidden/>
          </w:rPr>
          <w:t>267</w:t>
        </w:r>
        <w:r w:rsidR="00845591" w:rsidRPr="00EC250C">
          <w:rPr>
            <w:webHidden/>
          </w:rPr>
          <w:fldChar w:fldCharType="end"/>
        </w:r>
      </w:hyperlink>
    </w:p>
    <w:p w14:paraId="0A9D24FC" w14:textId="2B0E2CBD" w:rsidR="00845591" w:rsidRPr="00EC250C" w:rsidRDefault="00744B2D" w:rsidP="001759D6">
      <w:pPr>
        <w:pStyle w:val="Spistreci4"/>
        <w:rPr>
          <w:rFonts w:asciiTheme="minorHAnsi" w:eastAsiaTheme="minorEastAsia" w:hAnsiTheme="minorHAnsi" w:cstheme="minorBidi"/>
        </w:rPr>
      </w:pPr>
      <w:hyperlink w:anchor="_Toc11247727" w:history="1">
        <w:r w:rsidR="00845591" w:rsidRPr="00EC250C">
          <w:rPr>
            <w:rStyle w:val="Hipercze"/>
          </w:rPr>
          <w:t>Brak prawa do obniżenia wymiaru pracy sędziów z niepełnosprawnościami</w:t>
        </w:r>
        <w:r w:rsidR="00845591" w:rsidRPr="00EC250C">
          <w:rPr>
            <w:webHidden/>
          </w:rPr>
          <w:tab/>
        </w:r>
        <w:r w:rsidR="00845591" w:rsidRPr="00EC250C">
          <w:rPr>
            <w:webHidden/>
          </w:rPr>
          <w:fldChar w:fldCharType="begin"/>
        </w:r>
        <w:r w:rsidR="00845591" w:rsidRPr="00EC250C">
          <w:rPr>
            <w:webHidden/>
          </w:rPr>
          <w:instrText xml:space="preserve"> PAGEREF _Toc11247727 \h </w:instrText>
        </w:r>
        <w:r w:rsidR="00845591" w:rsidRPr="00EC250C">
          <w:rPr>
            <w:webHidden/>
          </w:rPr>
        </w:r>
        <w:r w:rsidR="00845591" w:rsidRPr="00EC250C">
          <w:rPr>
            <w:webHidden/>
          </w:rPr>
          <w:fldChar w:fldCharType="separate"/>
        </w:r>
        <w:r>
          <w:rPr>
            <w:webHidden/>
          </w:rPr>
          <w:t>269</w:t>
        </w:r>
        <w:r w:rsidR="00845591" w:rsidRPr="00EC250C">
          <w:rPr>
            <w:webHidden/>
          </w:rPr>
          <w:fldChar w:fldCharType="end"/>
        </w:r>
      </w:hyperlink>
    </w:p>
    <w:p w14:paraId="49A08BFF" w14:textId="2BAFE567" w:rsidR="00845591" w:rsidRPr="00EC250C" w:rsidRDefault="00744B2D" w:rsidP="00A46160">
      <w:pPr>
        <w:pStyle w:val="Spistreci3"/>
        <w:rPr>
          <w:rFonts w:asciiTheme="minorHAnsi" w:eastAsiaTheme="minorEastAsia" w:hAnsiTheme="minorHAnsi" w:cstheme="minorBidi"/>
          <w:color w:val="auto"/>
          <w:sz w:val="20"/>
        </w:rPr>
      </w:pPr>
      <w:hyperlink w:anchor="_Toc11247728" w:history="1">
        <w:r w:rsidR="00845591" w:rsidRPr="00EC250C">
          <w:rPr>
            <w:rStyle w:val="Hipercze"/>
          </w:rPr>
          <w:t>Art. 66 Konstytucji – Prawo do BHP oraz prawo do urlopu</w:t>
        </w:r>
        <w:r w:rsidR="00845591" w:rsidRPr="00EC250C">
          <w:rPr>
            <w:webHidden/>
          </w:rPr>
          <w:tab/>
        </w:r>
        <w:r w:rsidR="00845591" w:rsidRPr="00EC250C">
          <w:rPr>
            <w:webHidden/>
          </w:rPr>
          <w:fldChar w:fldCharType="begin"/>
        </w:r>
        <w:r w:rsidR="00845591" w:rsidRPr="00EC250C">
          <w:rPr>
            <w:webHidden/>
          </w:rPr>
          <w:instrText xml:space="preserve"> PAGEREF _Toc11247728 \h </w:instrText>
        </w:r>
        <w:r w:rsidR="00845591" w:rsidRPr="00EC250C">
          <w:rPr>
            <w:webHidden/>
          </w:rPr>
        </w:r>
        <w:r w:rsidR="00845591" w:rsidRPr="00EC250C">
          <w:rPr>
            <w:webHidden/>
          </w:rPr>
          <w:fldChar w:fldCharType="separate"/>
        </w:r>
        <w:r>
          <w:rPr>
            <w:webHidden/>
          </w:rPr>
          <w:t>270</w:t>
        </w:r>
        <w:r w:rsidR="00845591" w:rsidRPr="00EC250C">
          <w:rPr>
            <w:webHidden/>
          </w:rPr>
          <w:fldChar w:fldCharType="end"/>
        </w:r>
      </w:hyperlink>
    </w:p>
    <w:p w14:paraId="2F27952C" w14:textId="27263847" w:rsidR="00845591" w:rsidRPr="00EC250C" w:rsidRDefault="00744B2D" w:rsidP="001759D6">
      <w:pPr>
        <w:pStyle w:val="Spistreci4"/>
        <w:rPr>
          <w:rFonts w:asciiTheme="minorHAnsi" w:eastAsiaTheme="minorEastAsia" w:hAnsiTheme="minorHAnsi" w:cstheme="minorBidi"/>
        </w:rPr>
      </w:pPr>
      <w:hyperlink w:anchor="_Toc11247729" w:history="1">
        <w:r w:rsidR="00845591" w:rsidRPr="00EC250C">
          <w:rPr>
            <w:rStyle w:val="Hipercze"/>
          </w:rPr>
          <w:t>Brak przerw na odpoczynek kierowców autobusów miejskich</w:t>
        </w:r>
        <w:r w:rsidR="00845591" w:rsidRPr="00EC250C">
          <w:rPr>
            <w:webHidden/>
          </w:rPr>
          <w:tab/>
        </w:r>
        <w:r w:rsidR="00845591" w:rsidRPr="00EC250C">
          <w:rPr>
            <w:webHidden/>
          </w:rPr>
          <w:fldChar w:fldCharType="begin"/>
        </w:r>
        <w:r w:rsidR="00845591" w:rsidRPr="00EC250C">
          <w:rPr>
            <w:webHidden/>
          </w:rPr>
          <w:instrText xml:space="preserve"> PAGEREF _Toc11247729 \h </w:instrText>
        </w:r>
        <w:r w:rsidR="00845591" w:rsidRPr="00EC250C">
          <w:rPr>
            <w:webHidden/>
          </w:rPr>
        </w:r>
        <w:r w:rsidR="00845591" w:rsidRPr="00EC250C">
          <w:rPr>
            <w:webHidden/>
          </w:rPr>
          <w:fldChar w:fldCharType="separate"/>
        </w:r>
        <w:r>
          <w:rPr>
            <w:webHidden/>
          </w:rPr>
          <w:t>271</w:t>
        </w:r>
        <w:r w:rsidR="00845591" w:rsidRPr="00EC250C">
          <w:rPr>
            <w:webHidden/>
          </w:rPr>
          <w:fldChar w:fldCharType="end"/>
        </w:r>
      </w:hyperlink>
    </w:p>
    <w:p w14:paraId="1C92832A" w14:textId="280362A7" w:rsidR="00845591" w:rsidRPr="00EC250C" w:rsidRDefault="00744B2D" w:rsidP="001759D6">
      <w:pPr>
        <w:pStyle w:val="Spistreci4"/>
        <w:rPr>
          <w:rFonts w:asciiTheme="minorHAnsi" w:eastAsiaTheme="minorEastAsia" w:hAnsiTheme="minorHAnsi" w:cstheme="minorBidi"/>
        </w:rPr>
      </w:pPr>
      <w:hyperlink w:anchor="_Toc11247730" w:history="1">
        <w:r w:rsidR="00845591" w:rsidRPr="00EC250C">
          <w:rPr>
            <w:rStyle w:val="Hipercze"/>
          </w:rPr>
          <w:t>(Nie)Bezpieczeństwo pracy operatorów żurawi</w:t>
        </w:r>
        <w:r w:rsidR="00845591" w:rsidRPr="00EC250C">
          <w:rPr>
            <w:webHidden/>
          </w:rPr>
          <w:tab/>
        </w:r>
        <w:r w:rsidR="00845591" w:rsidRPr="00EC250C">
          <w:rPr>
            <w:webHidden/>
          </w:rPr>
          <w:fldChar w:fldCharType="begin"/>
        </w:r>
        <w:r w:rsidR="00845591" w:rsidRPr="00EC250C">
          <w:rPr>
            <w:webHidden/>
          </w:rPr>
          <w:instrText xml:space="preserve"> PAGEREF _Toc11247730 \h </w:instrText>
        </w:r>
        <w:r w:rsidR="00845591" w:rsidRPr="00EC250C">
          <w:rPr>
            <w:webHidden/>
          </w:rPr>
        </w:r>
        <w:r w:rsidR="00845591" w:rsidRPr="00EC250C">
          <w:rPr>
            <w:webHidden/>
          </w:rPr>
          <w:fldChar w:fldCharType="separate"/>
        </w:r>
        <w:r>
          <w:rPr>
            <w:webHidden/>
          </w:rPr>
          <w:t>271</w:t>
        </w:r>
        <w:r w:rsidR="00845591" w:rsidRPr="00EC250C">
          <w:rPr>
            <w:webHidden/>
          </w:rPr>
          <w:fldChar w:fldCharType="end"/>
        </w:r>
      </w:hyperlink>
    </w:p>
    <w:p w14:paraId="3BBEB55B" w14:textId="1A3F65AC" w:rsidR="00845591" w:rsidRPr="00EC250C" w:rsidRDefault="00744B2D" w:rsidP="001759D6">
      <w:pPr>
        <w:pStyle w:val="Spistreci4"/>
        <w:rPr>
          <w:rFonts w:asciiTheme="minorHAnsi" w:eastAsiaTheme="minorEastAsia" w:hAnsiTheme="minorHAnsi" w:cstheme="minorBidi"/>
        </w:rPr>
      </w:pPr>
      <w:hyperlink w:anchor="_Toc11247731" w:history="1">
        <w:r w:rsidR="00845591" w:rsidRPr="00EC250C">
          <w:rPr>
            <w:rStyle w:val="Hipercze"/>
          </w:rPr>
          <w:t>Zbyt długa służba policjantów</w:t>
        </w:r>
        <w:r w:rsidR="00845591" w:rsidRPr="00EC250C">
          <w:rPr>
            <w:webHidden/>
          </w:rPr>
          <w:tab/>
        </w:r>
        <w:r w:rsidR="00845591" w:rsidRPr="00EC250C">
          <w:rPr>
            <w:webHidden/>
          </w:rPr>
          <w:fldChar w:fldCharType="begin"/>
        </w:r>
        <w:r w:rsidR="00845591" w:rsidRPr="00EC250C">
          <w:rPr>
            <w:webHidden/>
          </w:rPr>
          <w:instrText xml:space="preserve"> PAGEREF _Toc11247731 \h </w:instrText>
        </w:r>
        <w:r w:rsidR="00845591" w:rsidRPr="00EC250C">
          <w:rPr>
            <w:webHidden/>
          </w:rPr>
        </w:r>
        <w:r w:rsidR="00845591" w:rsidRPr="00EC250C">
          <w:rPr>
            <w:webHidden/>
          </w:rPr>
          <w:fldChar w:fldCharType="separate"/>
        </w:r>
        <w:r>
          <w:rPr>
            <w:webHidden/>
          </w:rPr>
          <w:t>272</w:t>
        </w:r>
        <w:r w:rsidR="00845591" w:rsidRPr="00EC250C">
          <w:rPr>
            <w:webHidden/>
          </w:rPr>
          <w:fldChar w:fldCharType="end"/>
        </w:r>
      </w:hyperlink>
    </w:p>
    <w:p w14:paraId="1E402865" w14:textId="767E02BD" w:rsidR="00845591" w:rsidRPr="00EC250C" w:rsidRDefault="00744B2D" w:rsidP="001759D6">
      <w:pPr>
        <w:pStyle w:val="Spistreci4"/>
        <w:rPr>
          <w:rFonts w:asciiTheme="minorHAnsi" w:eastAsiaTheme="minorEastAsia" w:hAnsiTheme="minorHAnsi" w:cstheme="minorBidi"/>
        </w:rPr>
      </w:pPr>
      <w:hyperlink w:anchor="_Toc11247732" w:history="1">
        <w:r w:rsidR="00845591" w:rsidRPr="00EC250C">
          <w:rPr>
            <w:rStyle w:val="Hipercze"/>
          </w:rPr>
          <w:t>Niebezpieczeństwo powodowane przez przestarzały, źle serwisowany sprzęt wojskowy</w:t>
        </w:r>
        <w:r w:rsidR="00845591" w:rsidRPr="00EC250C">
          <w:rPr>
            <w:webHidden/>
          </w:rPr>
          <w:tab/>
        </w:r>
        <w:r w:rsidR="00845591" w:rsidRPr="00EC250C">
          <w:rPr>
            <w:webHidden/>
          </w:rPr>
          <w:fldChar w:fldCharType="begin"/>
        </w:r>
        <w:r w:rsidR="00845591" w:rsidRPr="00EC250C">
          <w:rPr>
            <w:webHidden/>
          </w:rPr>
          <w:instrText xml:space="preserve"> PAGEREF _Toc11247732 \h </w:instrText>
        </w:r>
        <w:r w:rsidR="00845591" w:rsidRPr="00EC250C">
          <w:rPr>
            <w:webHidden/>
          </w:rPr>
        </w:r>
        <w:r w:rsidR="00845591" w:rsidRPr="00EC250C">
          <w:rPr>
            <w:webHidden/>
          </w:rPr>
          <w:fldChar w:fldCharType="separate"/>
        </w:r>
        <w:r>
          <w:rPr>
            <w:webHidden/>
          </w:rPr>
          <w:t>273</w:t>
        </w:r>
        <w:r w:rsidR="00845591" w:rsidRPr="00EC250C">
          <w:rPr>
            <w:webHidden/>
          </w:rPr>
          <w:fldChar w:fldCharType="end"/>
        </w:r>
      </w:hyperlink>
    </w:p>
    <w:p w14:paraId="1E5A7758" w14:textId="27146B12" w:rsidR="00845591" w:rsidRPr="00EC250C" w:rsidRDefault="00744B2D" w:rsidP="00A46160">
      <w:pPr>
        <w:pStyle w:val="Spistreci3"/>
        <w:rPr>
          <w:rFonts w:asciiTheme="minorHAnsi" w:eastAsiaTheme="minorEastAsia" w:hAnsiTheme="minorHAnsi" w:cstheme="minorBidi"/>
          <w:color w:val="auto"/>
          <w:sz w:val="20"/>
        </w:rPr>
      </w:pPr>
      <w:hyperlink w:anchor="_Toc11247733" w:history="1">
        <w:r w:rsidR="00845591" w:rsidRPr="00EC250C">
          <w:rPr>
            <w:rStyle w:val="Hipercze"/>
          </w:rPr>
          <w:t>Art. 67 Konstytucji – Prawo do zabezpieczenia społecznego</w:t>
        </w:r>
        <w:r w:rsidR="00845591" w:rsidRPr="00EC250C">
          <w:rPr>
            <w:webHidden/>
          </w:rPr>
          <w:tab/>
        </w:r>
        <w:r w:rsidR="00845591" w:rsidRPr="00EC250C">
          <w:rPr>
            <w:webHidden/>
          </w:rPr>
          <w:fldChar w:fldCharType="begin"/>
        </w:r>
        <w:r w:rsidR="00845591" w:rsidRPr="00EC250C">
          <w:rPr>
            <w:webHidden/>
          </w:rPr>
          <w:instrText xml:space="preserve"> PAGEREF _Toc11247733 \h </w:instrText>
        </w:r>
        <w:r w:rsidR="00845591" w:rsidRPr="00EC250C">
          <w:rPr>
            <w:webHidden/>
          </w:rPr>
        </w:r>
        <w:r w:rsidR="00845591" w:rsidRPr="00EC250C">
          <w:rPr>
            <w:webHidden/>
          </w:rPr>
          <w:fldChar w:fldCharType="separate"/>
        </w:r>
        <w:r>
          <w:rPr>
            <w:webHidden/>
          </w:rPr>
          <w:t>274</w:t>
        </w:r>
        <w:r w:rsidR="00845591" w:rsidRPr="00EC250C">
          <w:rPr>
            <w:webHidden/>
          </w:rPr>
          <w:fldChar w:fldCharType="end"/>
        </w:r>
      </w:hyperlink>
    </w:p>
    <w:p w14:paraId="0FA13DD8" w14:textId="55485D24" w:rsidR="00845591" w:rsidRPr="00EC250C" w:rsidRDefault="00744B2D" w:rsidP="001759D6">
      <w:pPr>
        <w:pStyle w:val="Spistreci4"/>
        <w:rPr>
          <w:rFonts w:asciiTheme="minorHAnsi" w:eastAsiaTheme="minorEastAsia" w:hAnsiTheme="minorHAnsi" w:cstheme="minorBidi"/>
        </w:rPr>
      </w:pPr>
      <w:hyperlink w:anchor="_Toc11247734" w:history="1">
        <w:r w:rsidR="00845591" w:rsidRPr="00EC250C">
          <w:rPr>
            <w:rStyle w:val="Hipercze"/>
          </w:rPr>
          <w:t>Emerytury kobiet z rocznika 1953</w:t>
        </w:r>
        <w:r w:rsidR="00845591" w:rsidRPr="00EC250C">
          <w:rPr>
            <w:webHidden/>
          </w:rPr>
          <w:tab/>
        </w:r>
        <w:r w:rsidR="00845591" w:rsidRPr="00EC250C">
          <w:rPr>
            <w:webHidden/>
          </w:rPr>
          <w:fldChar w:fldCharType="begin"/>
        </w:r>
        <w:r w:rsidR="00845591" w:rsidRPr="00EC250C">
          <w:rPr>
            <w:webHidden/>
          </w:rPr>
          <w:instrText xml:space="preserve"> PAGEREF _Toc11247734 \h </w:instrText>
        </w:r>
        <w:r w:rsidR="00845591" w:rsidRPr="00EC250C">
          <w:rPr>
            <w:webHidden/>
          </w:rPr>
        </w:r>
        <w:r w:rsidR="00845591" w:rsidRPr="00EC250C">
          <w:rPr>
            <w:webHidden/>
          </w:rPr>
          <w:fldChar w:fldCharType="separate"/>
        </w:r>
        <w:r>
          <w:rPr>
            <w:webHidden/>
          </w:rPr>
          <w:t>275</w:t>
        </w:r>
        <w:r w:rsidR="00845591" w:rsidRPr="00EC250C">
          <w:rPr>
            <w:webHidden/>
          </w:rPr>
          <w:fldChar w:fldCharType="end"/>
        </w:r>
      </w:hyperlink>
    </w:p>
    <w:p w14:paraId="37CE36E6" w14:textId="6F5E476C" w:rsidR="00845591" w:rsidRPr="00EC250C" w:rsidRDefault="00744B2D" w:rsidP="001759D6">
      <w:pPr>
        <w:pStyle w:val="Spistreci4"/>
        <w:rPr>
          <w:rFonts w:asciiTheme="minorHAnsi" w:eastAsiaTheme="minorEastAsia" w:hAnsiTheme="minorHAnsi" w:cstheme="minorBidi"/>
        </w:rPr>
      </w:pPr>
      <w:hyperlink w:anchor="_Toc11247735" w:history="1">
        <w:r w:rsidR="00845591" w:rsidRPr="00EC250C">
          <w:rPr>
            <w:rStyle w:val="Hipercze"/>
          </w:rPr>
          <w:t>Wysokość emerytury zależna od miesiąca, w którym został złożony wniosek (emerytury „czerwcowe”)</w:t>
        </w:r>
        <w:r w:rsidR="00845591" w:rsidRPr="00EC250C">
          <w:rPr>
            <w:webHidden/>
          </w:rPr>
          <w:tab/>
        </w:r>
        <w:r w:rsidR="00845591" w:rsidRPr="00EC250C">
          <w:rPr>
            <w:webHidden/>
          </w:rPr>
          <w:fldChar w:fldCharType="begin"/>
        </w:r>
        <w:r w:rsidR="00845591" w:rsidRPr="00EC250C">
          <w:rPr>
            <w:webHidden/>
          </w:rPr>
          <w:instrText xml:space="preserve"> PAGEREF _Toc11247735 \h </w:instrText>
        </w:r>
        <w:r w:rsidR="00845591" w:rsidRPr="00EC250C">
          <w:rPr>
            <w:webHidden/>
          </w:rPr>
        </w:r>
        <w:r w:rsidR="00845591" w:rsidRPr="00EC250C">
          <w:rPr>
            <w:webHidden/>
          </w:rPr>
          <w:fldChar w:fldCharType="separate"/>
        </w:r>
        <w:r>
          <w:rPr>
            <w:webHidden/>
          </w:rPr>
          <w:t>275</w:t>
        </w:r>
        <w:r w:rsidR="00845591" w:rsidRPr="00EC250C">
          <w:rPr>
            <w:webHidden/>
          </w:rPr>
          <w:fldChar w:fldCharType="end"/>
        </w:r>
      </w:hyperlink>
    </w:p>
    <w:p w14:paraId="7D1CEE91" w14:textId="4DB8114B" w:rsidR="00845591" w:rsidRPr="00EC250C" w:rsidRDefault="00744B2D" w:rsidP="001759D6">
      <w:pPr>
        <w:pStyle w:val="Spistreci4"/>
        <w:rPr>
          <w:rFonts w:asciiTheme="minorHAnsi" w:eastAsiaTheme="minorEastAsia" w:hAnsiTheme="minorHAnsi" w:cstheme="minorBidi"/>
        </w:rPr>
      </w:pPr>
      <w:hyperlink w:anchor="_Toc11247736" w:history="1">
        <w:r w:rsidR="00845591" w:rsidRPr="00EC250C">
          <w:rPr>
            <w:rStyle w:val="Hipercze"/>
          </w:rPr>
          <w:t>Problem systemu emerytalnego dla twórców i artystów</w:t>
        </w:r>
        <w:r w:rsidR="00845591" w:rsidRPr="00EC250C">
          <w:rPr>
            <w:webHidden/>
          </w:rPr>
          <w:tab/>
        </w:r>
        <w:r w:rsidR="00845591" w:rsidRPr="00EC250C">
          <w:rPr>
            <w:webHidden/>
          </w:rPr>
          <w:fldChar w:fldCharType="begin"/>
        </w:r>
        <w:r w:rsidR="00845591" w:rsidRPr="00EC250C">
          <w:rPr>
            <w:webHidden/>
          </w:rPr>
          <w:instrText xml:space="preserve"> PAGEREF _Toc11247736 \h </w:instrText>
        </w:r>
        <w:r w:rsidR="00845591" w:rsidRPr="00EC250C">
          <w:rPr>
            <w:webHidden/>
          </w:rPr>
        </w:r>
        <w:r w:rsidR="00845591" w:rsidRPr="00EC250C">
          <w:rPr>
            <w:webHidden/>
          </w:rPr>
          <w:fldChar w:fldCharType="separate"/>
        </w:r>
        <w:r>
          <w:rPr>
            <w:webHidden/>
          </w:rPr>
          <w:t>277</w:t>
        </w:r>
        <w:r w:rsidR="00845591" w:rsidRPr="00EC250C">
          <w:rPr>
            <w:webHidden/>
          </w:rPr>
          <w:fldChar w:fldCharType="end"/>
        </w:r>
      </w:hyperlink>
    </w:p>
    <w:p w14:paraId="59F928C9" w14:textId="212CDC12" w:rsidR="00845591" w:rsidRPr="00EC250C" w:rsidRDefault="00744B2D" w:rsidP="001759D6">
      <w:pPr>
        <w:pStyle w:val="Spistreci4"/>
        <w:rPr>
          <w:rFonts w:asciiTheme="minorHAnsi" w:eastAsiaTheme="minorEastAsia" w:hAnsiTheme="minorHAnsi" w:cstheme="minorBidi"/>
        </w:rPr>
      </w:pPr>
      <w:hyperlink w:anchor="_Toc11247737" w:history="1">
        <w:r w:rsidR="00845591" w:rsidRPr="00EC250C">
          <w:rPr>
            <w:rStyle w:val="Hipercze"/>
          </w:rPr>
          <w:t>Kłopoty z emeryturami i rentami osób, które ogłosiły upadłość konsumencką</w:t>
        </w:r>
        <w:r w:rsidR="00845591" w:rsidRPr="00EC250C">
          <w:rPr>
            <w:webHidden/>
          </w:rPr>
          <w:tab/>
        </w:r>
        <w:r w:rsidR="00845591" w:rsidRPr="00EC250C">
          <w:rPr>
            <w:webHidden/>
          </w:rPr>
          <w:fldChar w:fldCharType="begin"/>
        </w:r>
        <w:r w:rsidR="00845591" w:rsidRPr="00EC250C">
          <w:rPr>
            <w:webHidden/>
          </w:rPr>
          <w:instrText xml:space="preserve"> PAGEREF _Toc11247737 \h </w:instrText>
        </w:r>
        <w:r w:rsidR="00845591" w:rsidRPr="00EC250C">
          <w:rPr>
            <w:webHidden/>
          </w:rPr>
        </w:r>
        <w:r w:rsidR="00845591" w:rsidRPr="00EC250C">
          <w:rPr>
            <w:webHidden/>
          </w:rPr>
          <w:fldChar w:fldCharType="separate"/>
        </w:r>
        <w:r>
          <w:rPr>
            <w:webHidden/>
          </w:rPr>
          <w:t>277</w:t>
        </w:r>
        <w:r w:rsidR="00845591" w:rsidRPr="00EC250C">
          <w:rPr>
            <w:webHidden/>
          </w:rPr>
          <w:fldChar w:fldCharType="end"/>
        </w:r>
      </w:hyperlink>
    </w:p>
    <w:p w14:paraId="469E8774" w14:textId="07B611E5" w:rsidR="00845591" w:rsidRPr="00EC250C" w:rsidRDefault="00744B2D" w:rsidP="001759D6">
      <w:pPr>
        <w:pStyle w:val="Spistreci4"/>
        <w:rPr>
          <w:rFonts w:asciiTheme="minorHAnsi" w:eastAsiaTheme="minorEastAsia" w:hAnsiTheme="minorHAnsi" w:cstheme="minorBidi"/>
        </w:rPr>
      </w:pPr>
      <w:hyperlink w:anchor="_Toc11247738" w:history="1">
        <w:r w:rsidR="00845591" w:rsidRPr="00EC250C">
          <w:rPr>
            <w:rStyle w:val="Hipercze"/>
          </w:rPr>
          <w:t>Strażnicy gminni bez prawa do emerytury pomostowej</w:t>
        </w:r>
        <w:r w:rsidR="00845591" w:rsidRPr="00EC250C">
          <w:rPr>
            <w:webHidden/>
          </w:rPr>
          <w:tab/>
        </w:r>
        <w:r w:rsidR="00845591" w:rsidRPr="00EC250C">
          <w:rPr>
            <w:webHidden/>
          </w:rPr>
          <w:fldChar w:fldCharType="begin"/>
        </w:r>
        <w:r w:rsidR="00845591" w:rsidRPr="00EC250C">
          <w:rPr>
            <w:webHidden/>
          </w:rPr>
          <w:instrText xml:space="preserve"> PAGEREF _Toc11247738 \h </w:instrText>
        </w:r>
        <w:r w:rsidR="00845591" w:rsidRPr="00EC250C">
          <w:rPr>
            <w:webHidden/>
          </w:rPr>
        </w:r>
        <w:r w:rsidR="00845591" w:rsidRPr="00EC250C">
          <w:rPr>
            <w:webHidden/>
          </w:rPr>
          <w:fldChar w:fldCharType="separate"/>
        </w:r>
        <w:r>
          <w:rPr>
            <w:webHidden/>
          </w:rPr>
          <w:t>278</w:t>
        </w:r>
        <w:r w:rsidR="00845591" w:rsidRPr="00EC250C">
          <w:rPr>
            <w:webHidden/>
          </w:rPr>
          <w:fldChar w:fldCharType="end"/>
        </w:r>
      </w:hyperlink>
    </w:p>
    <w:p w14:paraId="4ABF3E36" w14:textId="1F10CAC0" w:rsidR="00845591" w:rsidRPr="00EC250C" w:rsidRDefault="00744B2D" w:rsidP="001759D6">
      <w:pPr>
        <w:pStyle w:val="Spistreci4"/>
        <w:rPr>
          <w:rFonts w:asciiTheme="minorHAnsi" w:eastAsiaTheme="minorEastAsia" w:hAnsiTheme="minorHAnsi" w:cstheme="minorBidi"/>
        </w:rPr>
      </w:pPr>
      <w:hyperlink w:anchor="_Toc11247739" w:history="1">
        <w:r w:rsidR="00845591" w:rsidRPr="00EC250C">
          <w:rPr>
            <w:rStyle w:val="Hipercze"/>
          </w:rPr>
          <w:t>Celnicy, którym stosunek służbowy wygasł, nie mogą dostać zasiłku chorobowego</w:t>
        </w:r>
        <w:r w:rsidR="00845591" w:rsidRPr="00EC250C">
          <w:rPr>
            <w:webHidden/>
          </w:rPr>
          <w:tab/>
        </w:r>
        <w:r w:rsidR="00845591" w:rsidRPr="00EC250C">
          <w:rPr>
            <w:webHidden/>
          </w:rPr>
          <w:fldChar w:fldCharType="begin"/>
        </w:r>
        <w:r w:rsidR="00845591" w:rsidRPr="00EC250C">
          <w:rPr>
            <w:webHidden/>
          </w:rPr>
          <w:instrText xml:space="preserve"> PAGEREF _Toc11247739 \h </w:instrText>
        </w:r>
        <w:r w:rsidR="00845591" w:rsidRPr="00EC250C">
          <w:rPr>
            <w:webHidden/>
          </w:rPr>
        </w:r>
        <w:r w:rsidR="00845591" w:rsidRPr="00EC250C">
          <w:rPr>
            <w:webHidden/>
          </w:rPr>
          <w:fldChar w:fldCharType="separate"/>
        </w:r>
        <w:r>
          <w:rPr>
            <w:webHidden/>
          </w:rPr>
          <w:t>279</w:t>
        </w:r>
        <w:r w:rsidR="00845591" w:rsidRPr="00EC250C">
          <w:rPr>
            <w:webHidden/>
          </w:rPr>
          <w:fldChar w:fldCharType="end"/>
        </w:r>
      </w:hyperlink>
    </w:p>
    <w:p w14:paraId="25C28BFD" w14:textId="22613B3E" w:rsidR="00845591" w:rsidRPr="00EC250C" w:rsidRDefault="00744B2D" w:rsidP="001759D6">
      <w:pPr>
        <w:pStyle w:val="Spistreci4"/>
        <w:rPr>
          <w:rFonts w:asciiTheme="minorHAnsi" w:eastAsiaTheme="minorEastAsia" w:hAnsiTheme="minorHAnsi" w:cstheme="minorBidi"/>
        </w:rPr>
      </w:pPr>
      <w:hyperlink w:anchor="_Toc11247740" w:history="1">
        <w:r w:rsidR="00845591" w:rsidRPr="00EC250C">
          <w:rPr>
            <w:rStyle w:val="Hipercze"/>
          </w:rPr>
          <w:t>Przepisy obniżające świadczenia emerytalno-rentowe z tytułu służby pełnionej w PRL</w:t>
        </w:r>
        <w:r w:rsidR="00845591" w:rsidRPr="00EC250C">
          <w:rPr>
            <w:webHidden/>
          </w:rPr>
          <w:tab/>
        </w:r>
        <w:r w:rsidR="00845591" w:rsidRPr="00EC250C">
          <w:rPr>
            <w:webHidden/>
          </w:rPr>
          <w:fldChar w:fldCharType="begin"/>
        </w:r>
        <w:r w:rsidR="00845591" w:rsidRPr="00EC250C">
          <w:rPr>
            <w:webHidden/>
          </w:rPr>
          <w:instrText xml:space="preserve"> PAGEREF _Toc11247740 \h </w:instrText>
        </w:r>
        <w:r w:rsidR="00845591" w:rsidRPr="00EC250C">
          <w:rPr>
            <w:webHidden/>
          </w:rPr>
        </w:r>
        <w:r w:rsidR="00845591" w:rsidRPr="00EC250C">
          <w:rPr>
            <w:webHidden/>
          </w:rPr>
          <w:fldChar w:fldCharType="separate"/>
        </w:r>
        <w:r>
          <w:rPr>
            <w:webHidden/>
          </w:rPr>
          <w:t>280</w:t>
        </w:r>
        <w:r w:rsidR="00845591" w:rsidRPr="00EC250C">
          <w:rPr>
            <w:webHidden/>
          </w:rPr>
          <w:fldChar w:fldCharType="end"/>
        </w:r>
      </w:hyperlink>
    </w:p>
    <w:p w14:paraId="338131BE" w14:textId="03595705" w:rsidR="00845591" w:rsidRPr="00A46160" w:rsidRDefault="00744B2D" w:rsidP="001759D6">
      <w:pPr>
        <w:pStyle w:val="Spistreci4"/>
        <w:rPr>
          <w:rFonts w:asciiTheme="minorHAnsi" w:eastAsiaTheme="minorEastAsia" w:hAnsiTheme="minorHAnsi" w:cstheme="minorBidi"/>
        </w:rPr>
      </w:pPr>
      <w:hyperlink w:anchor="_Toc11247741" w:history="1">
        <w:r w:rsidR="00845591" w:rsidRPr="00A46160">
          <w:rPr>
            <w:rStyle w:val="Hipercze"/>
            <w:spacing w:val="0"/>
          </w:rPr>
          <w:t>Obowiązek płacenia za pobyt w DPS nawet tych rodziców, którzy zaniedbywali swoje rodzicielskie obowiązki</w:t>
        </w:r>
        <w:r w:rsidR="00845591" w:rsidRPr="00A46160">
          <w:rPr>
            <w:webHidden/>
          </w:rPr>
          <w:tab/>
        </w:r>
        <w:r w:rsidR="00845591" w:rsidRPr="00A46160">
          <w:rPr>
            <w:webHidden/>
          </w:rPr>
          <w:fldChar w:fldCharType="begin"/>
        </w:r>
        <w:r w:rsidR="00845591" w:rsidRPr="00A46160">
          <w:rPr>
            <w:webHidden/>
          </w:rPr>
          <w:instrText xml:space="preserve"> PAGEREF _Toc11247741 \h </w:instrText>
        </w:r>
        <w:r w:rsidR="00845591" w:rsidRPr="00A46160">
          <w:rPr>
            <w:webHidden/>
          </w:rPr>
        </w:r>
        <w:r w:rsidR="00845591" w:rsidRPr="00A46160">
          <w:rPr>
            <w:webHidden/>
          </w:rPr>
          <w:fldChar w:fldCharType="separate"/>
        </w:r>
        <w:r>
          <w:rPr>
            <w:webHidden/>
          </w:rPr>
          <w:t>283</w:t>
        </w:r>
        <w:r w:rsidR="00845591" w:rsidRPr="00A46160">
          <w:rPr>
            <w:webHidden/>
          </w:rPr>
          <w:fldChar w:fldCharType="end"/>
        </w:r>
      </w:hyperlink>
    </w:p>
    <w:p w14:paraId="7E5E0EC6" w14:textId="6B78FB6B" w:rsidR="00845591" w:rsidRPr="00EC250C" w:rsidRDefault="00744B2D" w:rsidP="001759D6">
      <w:pPr>
        <w:pStyle w:val="Spistreci4"/>
        <w:rPr>
          <w:rFonts w:asciiTheme="minorHAnsi" w:eastAsiaTheme="minorEastAsia" w:hAnsiTheme="minorHAnsi" w:cstheme="minorBidi"/>
        </w:rPr>
      </w:pPr>
      <w:hyperlink w:anchor="_Toc11247742" w:history="1">
        <w:r w:rsidR="00845591" w:rsidRPr="00EC250C">
          <w:rPr>
            <w:rStyle w:val="Hipercze"/>
          </w:rPr>
          <w:t>Nieprawidłowości w placówkach zapewniających całodobową opiekę</w:t>
        </w:r>
        <w:r w:rsidR="00845591" w:rsidRPr="00EC250C">
          <w:rPr>
            <w:webHidden/>
          </w:rPr>
          <w:tab/>
        </w:r>
        <w:r w:rsidR="00845591" w:rsidRPr="00EC250C">
          <w:rPr>
            <w:webHidden/>
          </w:rPr>
          <w:fldChar w:fldCharType="begin"/>
        </w:r>
        <w:r w:rsidR="00845591" w:rsidRPr="00EC250C">
          <w:rPr>
            <w:webHidden/>
          </w:rPr>
          <w:instrText xml:space="preserve"> PAGEREF _Toc11247742 \h </w:instrText>
        </w:r>
        <w:r w:rsidR="00845591" w:rsidRPr="00EC250C">
          <w:rPr>
            <w:webHidden/>
          </w:rPr>
        </w:r>
        <w:r w:rsidR="00845591" w:rsidRPr="00EC250C">
          <w:rPr>
            <w:webHidden/>
          </w:rPr>
          <w:fldChar w:fldCharType="separate"/>
        </w:r>
        <w:r>
          <w:rPr>
            <w:webHidden/>
          </w:rPr>
          <w:t>283</w:t>
        </w:r>
        <w:r w:rsidR="00845591" w:rsidRPr="00EC250C">
          <w:rPr>
            <w:webHidden/>
          </w:rPr>
          <w:fldChar w:fldCharType="end"/>
        </w:r>
      </w:hyperlink>
    </w:p>
    <w:p w14:paraId="7969D071" w14:textId="3A6697DC" w:rsidR="00845591" w:rsidRPr="00EC250C" w:rsidRDefault="00744B2D" w:rsidP="001759D6">
      <w:pPr>
        <w:pStyle w:val="Spistreci4"/>
        <w:rPr>
          <w:rFonts w:asciiTheme="minorHAnsi" w:eastAsiaTheme="minorEastAsia" w:hAnsiTheme="minorHAnsi" w:cstheme="minorBidi"/>
        </w:rPr>
      </w:pPr>
      <w:hyperlink w:anchor="_Toc11247743" w:history="1">
        <w:r w:rsidR="00845591" w:rsidRPr="00EC250C">
          <w:rPr>
            <w:rStyle w:val="Hipercze"/>
          </w:rPr>
          <w:t>Świadczenia z pomocy społecznej dla osób w kryzysie bezdomności</w:t>
        </w:r>
        <w:r w:rsidR="00845591" w:rsidRPr="00EC250C">
          <w:rPr>
            <w:webHidden/>
          </w:rPr>
          <w:tab/>
        </w:r>
        <w:r w:rsidR="00845591" w:rsidRPr="00EC250C">
          <w:rPr>
            <w:webHidden/>
          </w:rPr>
          <w:fldChar w:fldCharType="begin"/>
        </w:r>
        <w:r w:rsidR="00845591" w:rsidRPr="00EC250C">
          <w:rPr>
            <w:webHidden/>
          </w:rPr>
          <w:instrText xml:space="preserve"> PAGEREF _Toc11247743 \h </w:instrText>
        </w:r>
        <w:r w:rsidR="00845591" w:rsidRPr="00EC250C">
          <w:rPr>
            <w:webHidden/>
          </w:rPr>
        </w:r>
        <w:r w:rsidR="00845591" w:rsidRPr="00EC250C">
          <w:rPr>
            <w:webHidden/>
          </w:rPr>
          <w:fldChar w:fldCharType="separate"/>
        </w:r>
        <w:r>
          <w:rPr>
            <w:webHidden/>
          </w:rPr>
          <w:t>283</w:t>
        </w:r>
        <w:r w:rsidR="00845591" w:rsidRPr="00EC250C">
          <w:rPr>
            <w:webHidden/>
          </w:rPr>
          <w:fldChar w:fldCharType="end"/>
        </w:r>
      </w:hyperlink>
    </w:p>
    <w:p w14:paraId="6B6E6B78" w14:textId="07A3349D" w:rsidR="00845591" w:rsidRPr="00EC250C" w:rsidRDefault="00744B2D" w:rsidP="001759D6">
      <w:pPr>
        <w:pStyle w:val="Spistreci4"/>
        <w:rPr>
          <w:rFonts w:asciiTheme="minorHAnsi" w:eastAsiaTheme="minorEastAsia" w:hAnsiTheme="minorHAnsi" w:cstheme="minorBidi"/>
        </w:rPr>
      </w:pPr>
      <w:hyperlink w:anchor="_Toc11247744" w:history="1">
        <w:r w:rsidR="00845591" w:rsidRPr="00EC250C">
          <w:rPr>
            <w:rStyle w:val="Hipercze"/>
          </w:rPr>
          <w:t>Kłopoty z wypłatą świadczeń rodzinnych objętych koordynacją w Unii Europejskiej</w:t>
        </w:r>
        <w:r w:rsidR="00845591" w:rsidRPr="00EC250C">
          <w:rPr>
            <w:webHidden/>
          </w:rPr>
          <w:tab/>
        </w:r>
        <w:r w:rsidR="00845591" w:rsidRPr="00EC250C">
          <w:rPr>
            <w:webHidden/>
          </w:rPr>
          <w:fldChar w:fldCharType="begin"/>
        </w:r>
        <w:r w:rsidR="00845591" w:rsidRPr="00EC250C">
          <w:rPr>
            <w:webHidden/>
          </w:rPr>
          <w:instrText xml:space="preserve"> PAGEREF _Toc11247744 \h </w:instrText>
        </w:r>
        <w:r w:rsidR="00845591" w:rsidRPr="00EC250C">
          <w:rPr>
            <w:webHidden/>
          </w:rPr>
        </w:r>
        <w:r w:rsidR="00845591" w:rsidRPr="00EC250C">
          <w:rPr>
            <w:webHidden/>
          </w:rPr>
          <w:fldChar w:fldCharType="separate"/>
        </w:r>
        <w:r>
          <w:rPr>
            <w:webHidden/>
          </w:rPr>
          <w:t>284</w:t>
        </w:r>
        <w:r w:rsidR="00845591" w:rsidRPr="00EC250C">
          <w:rPr>
            <w:webHidden/>
          </w:rPr>
          <w:fldChar w:fldCharType="end"/>
        </w:r>
      </w:hyperlink>
    </w:p>
    <w:p w14:paraId="061DD482" w14:textId="1EAFCD4F" w:rsidR="00845591" w:rsidRPr="00EC250C" w:rsidRDefault="00744B2D" w:rsidP="00A46160">
      <w:pPr>
        <w:pStyle w:val="Spistreci3"/>
        <w:rPr>
          <w:rFonts w:asciiTheme="minorHAnsi" w:eastAsiaTheme="minorEastAsia" w:hAnsiTheme="minorHAnsi" w:cstheme="minorBidi"/>
          <w:color w:val="auto"/>
          <w:sz w:val="20"/>
        </w:rPr>
      </w:pPr>
      <w:hyperlink w:anchor="_Toc11247745" w:history="1">
        <w:r w:rsidR="00845591" w:rsidRPr="00EC250C">
          <w:rPr>
            <w:rStyle w:val="Hipercze"/>
          </w:rPr>
          <w:t>Art. 68 ust. 1 – Prawo do ochrony zdrowia</w:t>
        </w:r>
        <w:r w:rsidR="00845591" w:rsidRPr="00EC250C">
          <w:rPr>
            <w:webHidden/>
          </w:rPr>
          <w:tab/>
        </w:r>
        <w:r w:rsidR="00845591" w:rsidRPr="00EC250C">
          <w:rPr>
            <w:webHidden/>
          </w:rPr>
          <w:fldChar w:fldCharType="begin"/>
        </w:r>
        <w:r w:rsidR="00845591" w:rsidRPr="00EC250C">
          <w:rPr>
            <w:webHidden/>
          </w:rPr>
          <w:instrText xml:space="preserve"> PAGEREF _Toc11247745 \h </w:instrText>
        </w:r>
        <w:r w:rsidR="00845591" w:rsidRPr="00EC250C">
          <w:rPr>
            <w:webHidden/>
          </w:rPr>
        </w:r>
        <w:r w:rsidR="00845591" w:rsidRPr="00EC250C">
          <w:rPr>
            <w:webHidden/>
          </w:rPr>
          <w:fldChar w:fldCharType="separate"/>
        </w:r>
        <w:r>
          <w:rPr>
            <w:webHidden/>
          </w:rPr>
          <w:t>286</w:t>
        </w:r>
        <w:r w:rsidR="00845591" w:rsidRPr="00EC250C">
          <w:rPr>
            <w:webHidden/>
          </w:rPr>
          <w:fldChar w:fldCharType="end"/>
        </w:r>
      </w:hyperlink>
    </w:p>
    <w:p w14:paraId="416E20B8" w14:textId="70869CBA" w:rsidR="00845591" w:rsidRPr="00EC250C" w:rsidRDefault="00744B2D" w:rsidP="001759D6">
      <w:pPr>
        <w:pStyle w:val="Spistreci4"/>
        <w:rPr>
          <w:rFonts w:asciiTheme="minorHAnsi" w:eastAsiaTheme="minorEastAsia" w:hAnsiTheme="minorHAnsi" w:cstheme="minorBidi"/>
        </w:rPr>
      </w:pPr>
      <w:hyperlink w:anchor="_Toc11247746" w:history="1">
        <w:r w:rsidR="00845591" w:rsidRPr="00EC250C">
          <w:rPr>
            <w:rStyle w:val="Hipercze"/>
          </w:rPr>
          <w:t>Brak lekarzy i pielęgniarek</w:t>
        </w:r>
        <w:r w:rsidR="00845591" w:rsidRPr="00EC250C">
          <w:rPr>
            <w:webHidden/>
          </w:rPr>
          <w:tab/>
        </w:r>
        <w:r w:rsidR="00845591" w:rsidRPr="00EC250C">
          <w:rPr>
            <w:webHidden/>
          </w:rPr>
          <w:fldChar w:fldCharType="begin"/>
        </w:r>
        <w:r w:rsidR="00845591" w:rsidRPr="00EC250C">
          <w:rPr>
            <w:webHidden/>
          </w:rPr>
          <w:instrText xml:space="preserve"> PAGEREF _Toc11247746 \h </w:instrText>
        </w:r>
        <w:r w:rsidR="00845591" w:rsidRPr="00EC250C">
          <w:rPr>
            <w:webHidden/>
          </w:rPr>
        </w:r>
        <w:r w:rsidR="00845591" w:rsidRPr="00EC250C">
          <w:rPr>
            <w:webHidden/>
          </w:rPr>
          <w:fldChar w:fldCharType="separate"/>
        </w:r>
        <w:r>
          <w:rPr>
            <w:webHidden/>
          </w:rPr>
          <w:t>287</w:t>
        </w:r>
        <w:r w:rsidR="00845591" w:rsidRPr="00EC250C">
          <w:rPr>
            <w:webHidden/>
          </w:rPr>
          <w:fldChar w:fldCharType="end"/>
        </w:r>
      </w:hyperlink>
    </w:p>
    <w:p w14:paraId="38EA141A" w14:textId="282DE5C9" w:rsidR="00845591" w:rsidRPr="00EC250C" w:rsidRDefault="00744B2D" w:rsidP="001759D6">
      <w:pPr>
        <w:pStyle w:val="Spistreci4"/>
        <w:rPr>
          <w:rFonts w:asciiTheme="minorHAnsi" w:eastAsiaTheme="minorEastAsia" w:hAnsiTheme="minorHAnsi" w:cstheme="minorBidi"/>
        </w:rPr>
      </w:pPr>
      <w:hyperlink w:anchor="_Toc11247747" w:history="1">
        <w:r w:rsidR="00845591" w:rsidRPr="00EC250C">
          <w:rPr>
            <w:rStyle w:val="Hipercze"/>
          </w:rPr>
          <w:t>Problem z dostępem do świadczeń po tym, jak lekarz powoła się na klauzulę sumienia</w:t>
        </w:r>
        <w:r w:rsidR="00845591" w:rsidRPr="00EC250C">
          <w:rPr>
            <w:webHidden/>
          </w:rPr>
          <w:tab/>
        </w:r>
        <w:r w:rsidR="00845591" w:rsidRPr="00EC250C">
          <w:rPr>
            <w:webHidden/>
          </w:rPr>
          <w:fldChar w:fldCharType="begin"/>
        </w:r>
        <w:r w:rsidR="00845591" w:rsidRPr="00EC250C">
          <w:rPr>
            <w:webHidden/>
          </w:rPr>
          <w:instrText xml:space="preserve"> PAGEREF _Toc11247747 \h </w:instrText>
        </w:r>
        <w:r w:rsidR="00845591" w:rsidRPr="00EC250C">
          <w:rPr>
            <w:webHidden/>
          </w:rPr>
        </w:r>
        <w:r w:rsidR="00845591" w:rsidRPr="00EC250C">
          <w:rPr>
            <w:webHidden/>
          </w:rPr>
          <w:fldChar w:fldCharType="separate"/>
        </w:r>
        <w:r>
          <w:rPr>
            <w:webHidden/>
          </w:rPr>
          <w:t>287</w:t>
        </w:r>
        <w:r w:rsidR="00845591" w:rsidRPr="00EC250C">
          <w:rPr>
            <w:webHidden/>
          </w:rPr>
          <w:fldChar w:fldCharType="end"/>
        </w:r>
      </w:hyperlink>
    </w:p>
    <w:p w14:paraId="0711FA72" w14:textId="218047F2" w:rsidR="00845591" w:rsidRPr="00EC250C" w:rsidRDefault="00744B2D" w:rsidP="001759D6">
      <w:pPr>
        <w:pStyle w:val="Spistreci4"/>
        <w:rPr>
          <w:rFonts w:asciiTheme="minorHAnsi" w:eastAsiaTheme="minorEastAsia" w:hAnsiTheme="minorHAnsi" w:cstheme="minorBidi"/>
        </w:rPr>
      </w:pPr>
      <w:hyperlink w:anchor="_Toc11247748" w:history="1">
        <w:r w:rsidR="00845591" w:rsidRPr="00EC250C">
          <w:rPr>
            <w:rStyle w:val="Hipercze"/>
          </w:rPr>
          <w:t>Kłopoty z dostępem do pomocy ginekologa i znieczulenia okołoporodowego</w:t>
        </w:r>
        <w:r w:rsidR="00845591" w:rsidRPr="00EC250C">
          <w:rPr>
            <w:webHidden/>
          </w:rPr>
          <w:tab/>
        </w:r>
        <w:r w:rsidR="00845591" w:rsidRPr="00EC250C">
          <w:rPr>
            <w:webHidden/>
          </w:rPr>
          <w:fldChar w:fldCharType="begin"/>
        </w:r>
        <w:r w:rsidR="00845591" w:rsidRPr="00EC250C">
          <w:rPr>
            <w:webHidden/>
          </w:rPr>
          <w:instrText xml:space="preserve"> PAGEREF _Toc11247748 \h </w:instrText>
        </w:r>
        <w:r w:rsidR="00845591" w:rsidRPr="00EC250C">
          <w:rPr>
            <w:webHidden/>
          </w:rPr>
        </w:r>
        <w:r w:rsidR="00845591" w:rsidRPr="00EC250C">
          <w:rPr>
            <w:webHidden/>
          </w:rPr>
          <w:fldChar w:fldCharType="separate"/>
        </w:r>
        <w:r>
          <w:rPr>
            <w:webHidden/>
          </w:rPr>
          <w:t>288</w:t>
        </w:r>
        <w:r w:rsidR="00845591" w:rsidRPr="00EC250C">
          <w:rPr>
            <w:webHidden/>
          </w:rPr>
          <w:fldChar w:fldCharType="end"/>
        </w:r>
      </w:hyperlink>
    </w:p>
    <w:p w14:paraId="57C1A873" w14:textId="3BF18528" w:rsidR="00845591" w:rsidRPr="00EC250C" w:rsidRDefault="00744B2D" w:rsidP="001759D6">
      <w:pPr>
        <w:pStyle w:val="Spistreci4"/>
        <w:rPr>
          <w:rFonts w:asciiTheme="minorHAnsi" w:eastAsiaTheme="minorEastAsia" w:hAnsiTheme="minorHAnsi" w:cstheme="minorBidi"/>
        </w:rPr>
      </w:pPr>
      <w:hyperlink w:anchor="_Toc11247749" w:history="1">
        <w:r w:rsidR="00845591" w:rsidRPr="00EC250C">
          <w:rPr>
            <w:rStyle w:val="Hipercze"/>
          </w:rPr>
          <w:t>Problem rzeczywistego dostępu do marihuany medycznej</w:t>
        </w:r>
        <w:r w:rsidR="00845591" w:rsidRPr="00EC250C">
          <w:rPr>
            <w:webHidden/>
          </w:rPr>
          <w:tab/>
        </w:r>
        <w:r w:rsidR="00845591" w:rsidRPr="00EC250C">
          <w:rPr>
            <w:webHidden/>
          </w:rPr>
          <w:fldChar w:fldCharType="begin"/>
        </w:r>
        <w:r w:rsidR="00845591" w:rsidRPr="00EC250C">
          <w:rPr>
            <w:webHidden/>
          </w:rPr>
          <w:instrText xml:space="preserve"> PAGEREF _Toc11247749 \h </w:instrText>
        </w:r>
        <w:r w:rsidR="00845591" w:rsidRPr="00EC250C">
          <w:rPr>
            <w:webHidden/>
          </w:rPr>
        </w:r>
        <w:r w:rsidR="00845591" w:rsidRPr="00EC250C">
          <w:rPr>
            <w:webHidden/>
          </w:rPr>
          <w:fldChar w:fldCharType="separate"/>
        </w:r>
        <w:r>
          <w:rPr>
            <w:webHidden/>
          </w:rPr>
          <w:t>288</w:t>
        </w:r>
        <w:r w:rsidR="00845591" w:rsidRPr="00EC250C">
          <w:rPr>
            <w:webHidden/>
          </w:rPr>
          <w:fldChar w:fldCharType="end"/>
        </w:r>
      </w:hyperlink>
    </w:p>
    <w:p w14:paraId="3B683718" w14:textId="55AE0C03" w:rsidR="00845591" w:rsidRPr="00EC250C" w:rsidRDefault="00744B2D" w:rsidP="001759D6">
      <w:pPr>
        <w:pStyle w:val="Spistreci4"/>
        <w:rPr>
          <w:rFonts w:asciiTheme="minorHAnsi" w:eastAsiaTheme="minorEastAsia" w:hAnsiTheme="minorHAnsi" w:cstheme="minorBidi"/>
        </w:rPr>
      </w:pPr>
      <w:hyperlink w:anchor="_Toc11247750" w:history="1">
        <w:r w:rsidR="00845591" w:rsidRPr="00EC250C">
          <w:rPr>
            <w:rStyle w:val="Hipercze"/>
          </w:rPr>
          <w:t>Problemy żołnierzy z dostępem do pomocy lekarskiej</w:t>
        </w:r>
        <w:r w:rsidR="00845591" w:rsidRPr="00EC250C">
          <w:rPr>
            <w:webHidden/>
          </w:rPr>
          <w:tab/>
        </w:r>
        <w:r w:rsidR="00845591" w:rsidRPr="00EC250C">
          <w:rPr>
            <w:webHidden/>
          </w:rPr>
          <w:fldChar w:fldCharType="begin"/>
        </w:r>
        <w:r w:rsidR="00845591" w:rsidRPr="00EC250C">
          <w:rPr>
            <w:webHidden/>
          </w:rPr>
          <w:instrText xml:space="preserve"> PAGEREF _Toc11247750 \h </w:instrText>
        </w:r>
        <w:r w:rsidR="00845591" w:rsidRPr="00EC250C">
          <w:rPr>
            <w:webHidden/>
          </w:rPr>
        </w:r>
        <w:r w:rsidR="00845591" w:rsidRPr="00EC250C">
          <w:rPr>
            <w:webHidden/>
          </w:rPr>
          <w:fldChar w:fldCharType="separate"/>
        </w:r>
        <w:r>
          <w:rPr>
            <w:webHidden/>
          </w:rPr>
          <w:t>289</w:t>
        </w:r>
        <w:r w:rsidR="00845591" w:rsidRPr="00EC250C">
          <w:rPr>
            <w:webHidden/>
          </w:rPr>
          <w:fldChar w:fldCharType="end"/>
        </w:r>
      </w:hyperlink>
    </w:p>
    <w:p w14:paraId="28165C1A" w14:textId="24571B87" w:rsidR="00845591" w:rsidRPr="00A46160" w:rsidRDefault="00744B2D" w:rsidP="00A46160">
      <w:pPr>
        <w:pStyle w:val="Spistreci3"/>
        <w:rPr>
          <w:rFonts w:asciiTheme="minorHAnsi" w:eastAsiaTheme="minorEastAsia" w:hAnsiTheme="minorHAnsi" w:cstheme="minorBidi"/>
          <w:color w:val="auto"/>
          <w:sz w:val="20"/>
        </w:rPr>
      </w:pPr>
      <w:hyperlink w:anchor="_Toc11247751" w:history="1">
        <w:r w:rsidR="00845591" w:rsidRPr="00A46160">
          <w:rPr>
            <w:rStyle w:val="Hipercze"/>
            <w:spacing w:val="0"/>
          </w:rPr>
          <w:t>Art. 68 ust. 2 – Prawo równego dostępu do świadczeń opieki zdrowotnej</w:t>
        </w:r>
        <w:r w:rsidR="00A46160" w:rsidRPr="00A46160">
          <w:rPr>
            <w:rStyle w:val="Hipercze"/>
            <w:webHidden/>
            <w:spacing w:val="0"/>
          </w:rPr>
          <w:tab/>
        </w:r>
        <w:r w:rsidR="00845591" w:rsidRPr="00A46160">
          <w:rPr>
            <w:webHidden/>
          </w:rPr>
          <w:fldChar w:fldCharType="begin"/>
        </w:r>
        <w:r w:rsidR="00845591" w:rsidRPr="00A46160">
          <w:rPr>
            <w:webHidden/>
          </w:rPr>
          <w:instrText xml:space="preserve"> PAGEREF _Toc11247751 \h </w:instrText>
        </w:r>
        <w:r w:rsidR="00845591" w:rsidRPr="00A46160">
          <w:rPr>
            <w:webHidden/>
          </w:rPr>
        </w:r>
        <w:r w:rsidR="00845591" w:rsidRPr="00A46160">
          <w:rPr>
            <w:webHidden/>
          </w:rPr>
          <w:fldChar w:fldCharType="separate"/>
        </w:r>
        <w:r>
          <w:rPr>
            <w:webHidden/>
          </w:rPr>
          <w:t>290</w:t>
        </w:r>
        <w:r w:rsidR="00845591" w:rsidRPr="00A46160">
          <w:rPr>
            <w:webHidden/>
          </w:rPr>
          <w:fldChar w:fldCharType="end"/>
        </w:r>
      </w:hyperlink>
    </w:p>
    <w:p w14:paraId="7CD816C0" w14:textId="5739D7EB" w:rsidR="00845591" w:rsidRPr="00EC250C" w:rsidRDefault="00744B2D" w:rsidP="001759D6">
      <w:pPr>
        <w:pStyle w:val="Spistreci4"/>
        <w:rPr>
          <w:rFonts w:asciiTheme="minorHAnsi" w:eastAsiaTheme="minorEastAsia" w:hAnsiTheme="minorHAnsi" w:cstheme="minorBidi"/>
        </w:rPr>
      </w:pPr>
      <w:hyperlink w:anchor="_Toc11247752" w:history="1">
        <w:r w:rsidR="00845591" w:rsidRPr="00EC250C">
          <w:rPr>
            <w:rStyle w:val="Hipercze"/>
          </w:rPr>
          <w:t>Publiczna opieka zdrowotna osób w kryzysie bezdomności oraz bez dochodu</w:t>
        </w:r>
        <w:r w:rsidR="00845591" w:rsidRPr="00EC250C">
          <w:rPr>
            <w:webHidden/>
          </w:rPr>
          <w:tab/>
        </w:r>
        <w:r w:rsidR="00845591" w:rsidRPr="00EC250C">
          <w:rPr>
            <w:webHidden/>
          </w:rPr>
          <w:fldChar w:fldCharType="begin"/>
        </w:r>
        <w:r w:rsidR="00845591" w:rsidRPr="00EC250C">
          <w:rPr>
            <w:webHidden/>
          </w:rPr>
          <w:instrText xml:space="preserve"> PAGEREF _Toc11247752 \h </w:instrText>
        </w:r>
        <w:r w:rsidR="00845591" w:rsidRPr="00EC250C">
          <w:rPr>
            <w:webHidden/>
          </w:rPr>
        </w:r>
        <w:r w:rsidR="00845591" w:rsidRPr="00EC250C">
          <w:rPr>
            <w:webHidden/>
          </w:rPr>
          <w:fldChar w:fldCharType="separate"/>
        </w:r>
        <w:r>
          <w:rPr>
            <w:webHidden/>
          </w:rPr>
          <w:t>291</w:t>
        </w:r>
        <w:r w:rsidR="00845591" w:rsidRPr="00EC250C">
          <w:rPr>
            <w:webHidden/>
          </w:rPr>
          <w:fldChar w:fldCharType="end"/>
        </w:r>
      </w:hyperlink>
    </w:p>
    <w:p w14:paraId="08EDC4A1" w14:textId="361C31F7" w:rsidR="00845591" w:rsidRPr="00EC250C" w:rsidRDefault="00744B2D" w:rsidP="001759D6">
      <w:pPr>
        <w:pStyle w:val="Spistreci4"/>
        <w:rPr>
          <w:rFonts w:asciiTheme="minorHAnsi" w:eastAsiaTheme="minorEastAsia" w:hAnsiTheme="minorHAnsi" w:cstheme="minorBidi"/>
        </w:rPr>
      </w:pPr>
      <w:hyperlink w:anchor="_Toc11247753" w:history="1">
        <w:r w:rsidR="00845591" w:rsidRPr="00EC250C">
          <w:rPr>
            <w:rStyle w:val="Hipercze"/>
          </w:rPr>
          <w:t>Skierowania na leczenie uzdrowiskowe</w:t>
        </w:r>
        <w:r w:rsidR="00845591" w:rsidRPr="00EC250C">
          <w:rPr>
            <w:webHidden/>
          </w:rPr>
          <w:tab/>
        </w:r>
        <w:r w:rsidR="00845591" w:rsidRPr="00EC250C">
          <w:rPr>
            <w:webHidden/>
          </w:rPr>
          <w:fldChar w:fldCharType="begin"/>
        </w:r>
        <w:r w:rsidR="00845591" w:rsidRPr="00EC250C">
          <w:rPr>
            <w:webHidden/>
          </w:rPr>
          <w:instrText xml:space="preserve"> PAGEREF _Toc11247753 \h </w:instrText>
        </w:r>
        <w:r w:rsidR="00845591" w:rsidRPr="00EC250C">
          <w:rPr>
            <w:webHidden/>
          </w:rPr>
        </w:r>
        <w:r w:rsidR="00845591" w:rsidRPr="00EC250C">
          <w:rPr>
            <w:webHidden/>
          </w:rPr>
          <w:fldChar w:fldCharType="separate"/>
        </w:r>
        <w:r>
          <w:rPr>
            <w:webHidden/>
          </w:rPr>
          <w:t>291</w:t>
        </w:r>
        <w:r w:rsidR="00845591" w:rsidRPr="00EC250C">
          <w:rPr>
            <w:webHidden/>
          </w:rPr>
          <w:fldChar w:fldCharType="end"/>
        </w:r>
      </w:hyperlink>
    </w:p>
    <w:p w14:paraId="249D1827" w14:textId="3B9494C9" w:rsidR="00845591" w:rsidRPr="00EC250C" w:rsidRDefault="00744B2D" w:rsidP="001759D6">
      <w:pPr>
        <w:pStyle w:val="Spistreci4"/>
        <w:rPr>
          <w:rFonts w:asciiTheme="minorHAnsi" w:eastAsiaTheme="minorEastAsia" w:hAnsiTheme="minorHAnsi" w:cstheme="minorBidi"/>
        </w:rPr>
      </w:pPr>
      <w:hyperlink w:anchor="_Toc11247754" w:history="1">
        <w:r w:rsidR="00845591" w:rsidRPr="00EC250C">
          <w:rPr>
            <w:rStyle w:val="Hipercze"/>
          </w:rPr>
          <w:t>System ratunkowego dostępu do technologii lekowych</w:t>
        </w:r>
        <w:r w:rsidR="00845591" w:rsidRPr="00EC250C">
          <w:rPr>
            <w:webHidden/>
          </w:rPr>
          <w:tab/>
        </w:r>
        <w:r w:rsidR="00845591" w:rsidRPr="00EC250C">
          <w:rPr>
            <w:webHidden/>
          </w:rPr>
          <w:fldChar w:fldCharType="begin"/>
        </w:r>
        <w:r w:rsidR="00845591" w:rsidRPr="00EC250C">
          <w:rPr>
            <w:webHidden/>
          </w:rPr>
          <w:instrText xml:space="preserve"> PAGEREF _Toc11247754 \h </w:instrText>
        </w:r>
        <w:r w:rsidR="00845591" w:rsidRPr="00EC250C">
          <w:rPr>
            <w:webHidden/>
          </w:rPr>
        </w:r>
        <w:r w:rsidR="00845591" w:rsidRPr="00EC250C">
          <w:rPr>
            <w:webHidden/>
          </w:rPr>
          <w:fldChar w:fldCharType="separate"/>
        </w:r>
        <w:r>
          <w:rPr>
            <w:webHidden/>
          </w:rPr>
          <w:t>292</w:t>
        </w:r>
        <w:r w:rsidR="00845591" w:rsidRPr="00EC250C">
          <w:rPr>
            <w:webHidden/>
          </w:rPr>
          <w:fldChar w:fldCharType="end"/>
        </w:r>
      </w:hyperlink>
    </w:p>
    <w:p w14:paraId="39B44478" w14:textId="3D69ADE8" w:rsidR="00845591" w:rsidRPr="00EC250C" w:rsidRDefault="00744B2D" w:rsidP="001759D6">
      <w:pPr>
        <w:pStyle w:val="Spistreci4"/>
        <w:rPr>
          <w:rFonts w:asciiTheme="minorHAnsi" w:eastAsiaTheme="minorEastAsia" w:hAnsiTheme="minorHAnsi" w:cstheme="minorBidi"/>
        </w:rPr>
      </w:pPr>
      <w:hyperlink w:anchor="_Toc11247755" w:history="1">
        <w:r w:rsidR="00845591" w:rsidRPr="00EC250C">
          <w:rPr>
            <w:rStyle w:val="Hipercze"/>
          </w:rPr>
          <w:t>Wsparcie dla młodzieży w kryzysie psychicznym po uzyskaniu pełnoletności</w:t>
        </w:r>
        <w:r w:rsidR="00845591" w:rsidRPr="00EC250C">
          <w:rPr>
            <w:webHidden/>
          </w:rPr>
          <w:tab/>
        </w:r>
        <w:r w:rsidR="00845591" w:rsidRPr="00EC250C">
          <w:rPr>
            <w:webHidden/>
          </w:rPr>
          <w:fldChar w:fldCharType="begin"/>
        </w:r>
        <w:r w:rsidR="00845591" w:rsidRPr="00EC250C">
          <w:rPr>
            <w:webHidden/>
          </w:rPr>
          <w:instrText xml:space="preserve"> PAGEREF _Toc11247755 \h </w:instrText>
        </w:r>
        <w:r w:rsidR="00845591" w:rsidRPr="00EC250C">
          <w:rPr>
            <w:webHidden/>
          </w:rPr>
        </w:r>
        <w:r w:rsidR="00845591" w:rsidRPr="00EC250C">
          <w:rPr>
            <w:webHidden/>
          </w:rPr>
          <w:fldChar w:fldCharType="separate"/>
        </w:r>
        <w:r>
          <w:rPr>
            <w:webHidden/>
          </w:rPr>
          <w:t>294</w:t>
        </w:r>
        <w:r w:rsidR="00845591" w:rsidRPr="00EC250C">
          <w:rPr>
            <w:webHidden/>
          </w:rPr>
          <w:fldChar w:fldCharType="end"/>
        </w:r>
      </w:hyperlink>
    </w:p>
    <w:p w14:paraId="53B38131" w14:textId="5D91E5C7" w:rsidR="00845591" w:rsidRPr="00EC250C" w:rsidRDefault="00744B2D" w:rsidP="001759D6">
      <w:pPr>
        <w:pStyle w:val="Spistreci4"/>
        <w:rPr>
          <w:rFonts w:asciiTheme="minorHAnsi" w:eastAsiaTheme="minorEastAsia" w:hAnsiTheme="minorHAnsi" w:cstheme="minorBidi"/>
        </w:rPr>
      </w:pPr>
      <w:hyperlink w:anchor="_Toc11247756" w:history="1">
        <w:r w:rsidR="00845591" w:rsidRPr="00EC250C">
          <w:rPr>
            <w:rStyle w:val="Hipercze"/>
          </w:rPr>
          <w:t>Jakość żywienia w szpitalach</w:t>
        </w:r>
        <w:r w:rsidR="00845591" w:rsidRPr="00EC250C">
          <w:rPr>
            <w:webHidden/>
          </w:rPr>
          <w:tab/>
        </w:r>
        <w:r w:rsidR="00845591" w:rsidRPr="00EC250C">
          <w:rPr>
            <w:webHidden/>
          </w:rPr>
          <w:fldChar w:fldCharType="begin"/>
        </w:r>
        <w:r w:rsidR="00845591" w:rsidRPr="00EC250C">
          <w:rPr>
            <w:webHidden/>
          </w:rPr>
          <w:instrText xml:space="preserve"> PAGEREF _Toc11247756 \h </w:instrText>
        </w:r>
        <w:r w:rsidR="00845591" w:rsidRPr="00EC250C">
          <w:rPr>
            <w:webHidden/>
          </w:rPr>
        </w:r>
        <w:r w:rsidR="00845591" w:rsidRPr="00EC250C">
          <w:rPr>
            <w:webHidden/>
          </w:rPr>
          <w:fldChar w:fldCharType="separate"/>
        </w:r>
        <w:r>
          <w:rPr>
            <w:webHidden/>
          </w:rPr>
          <w:t>295</w:t>
        </w:r>
        <w:r w:rsidR="00845591" w:rsidRPr="00EC250C">
          <w:rPr>
            <w:webHidden/>
          </w:rPr>
          <w:fldChar w:fldCharType="end"/>
        </w:r>
      </w:hyperlink>
    </w:p>
    <w:p w14:paraId="28700739" w14:textId="57173A44" w:rsidR="00845591" w:rsidRPr="00EC250C" w:rsidRDefault="00744B2D" w:rsidP="00A46160">
      <w:pPr>
        <w:pStyle w:val="Spistreci3"/>
        <w:rPr>
          <w:rFonts w:asciiTheme="minorHAnsi" w:eastAsiaTheme="minorEastAsia" w:hAnsiTheme="minorHAnsi" w:cstheme="minorBidi"/>
          <w:color w:val="auto"/>
          <w:sz w:val="20"/>
        </w:rPr>
      </w:pPr>
      <w:hyperlink w:anchor="_Toc11247757" w:history="1">
        <w:r w:rsidR="00845591" w:rsidRPr="00EC250C">
          <w:rPr>
            <w:rStyle w:val="Hipercze"/>
          </w:rPr>
          <w:t>Art. 68 ust. 3 Konstytucji – Prawo do szczególnej opieki zdrowotnej dla grup wrażliwych</w:t>
        </w:r>
        <w:r w:rsidR="00845591" w:rsidRPr="00EC250C">
          <w:rPr>
            <w:webHidden/>
          </w:rPr>
          <w:tab/>
        </w:r>
        <w:r w:rsidR="00845591" w:rsidRPr="00EC250C">
          <w:rPr>
            <w:webHidden/>
          </w:rPr>
          <w:fldChar w:fldCharType="begin"/>
        </w:r>
        <w:r w:rsidR="00845591" w:rsidRPr="00EC250C">
          <w:rPr>
            <w:webHidden/>
          </w:rPr>
          <w:instrText xml:space="preserve"> PAGEREF _Toc11247757 \h </w:instrText>
        </w:r>
        <w:r w:rsidR="00845591" w:rsidRPr="00EC250C">
          <w:rPr>
            <w:webHidden/>
          </w:rPr>
        </w:r>
        <w:r w:rsidR="00845591" w:rsidRPr="00EC250C">
          <w:rPr>
            <w:webHidden/>
          </w:rPr>
          <w:fldChar w:fldCharType="separate"/>
        </w:r>
        <w:r>
          <w:rPr>
            <w:webHidden/>
          </w:rPr>
          <w:t>297</w:t>
        </w:r>
        <w:r w:rsidR="00845591" w:rsidRPr="00EC250C">
          <w:rPr>
            <w:webHidden/>
          </w:rPr>
          <w:fldChar w:fldCharType="end"/>
        </w:r>
      </w:hyperlink>
    </w:p>
    <w:p w14:paraId="6CD1E80D" w14:textId="2B1091E9" w:rsidR="00845591" w:rsidRPr="00EC250C" w:rsidRDefault="00744B2D" w:rsidP="001759D6">
      <w:pPr>
        <w:pStyle w:val="Spistreci4"/>
        <w:rPr>
          <w:rFonts w:asciiTheme="minorHAnsi" w:eastAsiaTheme="minorEastAsia" w:hAnsiTheme="minorHAnsi" w:cstheme="minorBidi"/>
        </w:rPr>
      </w:pPr>
      <w:hyperlink w:anchor="_Toc11247758" w:history="1">
        <w:r w:rsidR="00845591" w:rsidRPr="00EC250C">
          <w:rPr>
            <w:rStyle w:val="Hipercze"/>
          </w:rPr>
          <w:t>Problemy dotyczące opieki zdrowotnej nad dziećmi</w:t>
        </w:r>
        <w:r w:rsidR="00845591" w:rsidRPr="00EC250C">
          <w:rPr>
            <w:webHidden/>
          </w:rPr>
          <w:tab/>
        </w:r>
        <w:r w:rsidR="00845591" w:rsidRPr="00EC250C">
          <w:rPr>
            <w:webHidden/>
          </w:rPr>
          <w:fldChar w:fldCharType="begin"/>
        </w:r>
        <w:r w:rsidR="00845591" w:rsidRPr="00EC250C">
          <w:rPr>
            <w:webHidden/>
          </w:rPr>
          <w:instrText xml:space="preserve"> PAGEREF _Toc11247758 \h </w:instrText>
        </w:r>
        <w:r w:rsidR="00845591" w:rsidRPr="00EC250C">
          <w:rPr>
            <w:webHidden/>
          </w:rPr>
        </w:r>
        <w:r w:rsidR="00845591" w:rsidRPr="00EC250C">
          <w:rPr>
            <w:webHidden/>
          </w:rPr>
          <w:fldChar w:fldCharType="separate"/>
        </w:r>
        <w:r>
          <w:rPr>
            <w:webHidden/>
          </w:rPr>
          <w:t>298</w:t>
        </w:r>
        <w:r w:rsidR="00845591" w:rsidRPr="00EC250C">
          <w:rPr>
            <w:webHidden/>
          </w:rPr>
          <w:fldChar w:fldCharType="end"/>
        </w:r>
      </w:hyperlink>
    </w:p>
    <w:p w14:paraId="4BC02C77" w14:textId="4B5302B8" w:rsidR="00845591" w:rsidRPr="00EC250C" w:rsidRDefault="00744B2D" w:rsidP="001759D6">
      <w:pPr>
        <w:pStyle w:val="Spistreci4"/>
        <w:rPr>
          <w:rFonts w:asciiTheme="minorHAnsi" w:eastAsiaTheme="minorEastAsia" w:hAnsiTheme="minorHAnsi" w:cstheme="minorBidi"/>
        </w:rPr>
      </w:pPr>
      <w:hyperlink w:anchor="_Toc11247759" w:history="1">
        <w:r w:rsidR="00845591" w:rsidRPr="00EC250C">
          <w:rPr>
            <w:rStyle w:val="Hipercze"/>
          </w:rPr>
          <w:t>Problemy związane ze zdrowiem reprodukcyjnym</w:t>
        </w:r>
        <w:r w:rsidR="00845591" w:rsidRPr="00EC250C">
          <w:rPr>
            <w:webHidden/>
          </w:rPr>
          <w:tab/>
        </w:r>
        <w:r w:rsidR="00845591" w:rsidRPr="00EC250C">
          <w:rPr>
            <w:webHidden/>
          </w:rPr>
          <w:fldChar w:fldCharType="begin"/>
        </w:r>
        <w:r w:rsidR="00845591" w:rsidRPr="00EC250C">
          <w:rPr>
            <w:webHidden/>
          </w:rPr>
          <w:instrText xml:space="preserve"> PAGEREF _Toc11247759 \h </w:instrText>
        </w:r>
        <w:r w:rsidR="00845591" w:rsidRPr="00EC250C">
          <w:rPr>
            <w:webHidden/>
          </w:rPr>
        </w:r>
        <w:r w:rsidR="00845591" w:rsidRPr="00EC250C">
          <w:rPr>
            <w:webHidden/>
          </w:rPr>
          <w:fldChar w:fldCharType="separate"/>
        </w:r>
        <w:r>
          <w:rPr>
            <w:webHidden/>
          </w:rPr>
          <w:t>301</w:t>
        </w:r>
        <w:r w:rsidR="00845591" w:rsidRPr="00EC250C">
          <w:rPr>
            <w:webHidden/>
          </w:rPr>
          <w:fldChar w:fldCharType="end"/>
        </w:r>
      </w:hyperlink>
    </w:p>
    <w:p w14:paraId="2676A0E2" w14:textId="6619FB80" w:rsidR="00845591" w:rsidRPr="00EC250C" w:rsidRDefault="00744B2D" w:rsidP="001759D6">
      <w:pPr>
        <w:pStyle w:val="Spistreci4"/>
        <w:rPr>
          <w:rFonts w:asciiTheme="minorHAnsi" w:eastAsiaTheme="minorEastAsia" w:hAnsiTheme="minorHAnsi" w:cstheme="minorBidi"/>
        </w:rPr>
      </w:pPr>
      <w:hyperlink w:anchor="_Toc11247760" w:history="1">
        <w:r w:rsidR="00845591" w:rsidRPr="00EC250C">
          <w:rPr>
            <w:rStyle w:val="Hipercze"/>
          </w:rPr>
          <w:t>Komitet Ministrów Rady Europy o braku realnego dostępu do legalnej aborcji w Polsce</w:t>
        </w:r>
        <w:r w:rsidR="00845591" w:rsidRPr="00EC250C">
          <w:rPr>
            <w:webHidden/>
          </w:rPr>
          <w:tab/>
        </w:r>
        <w:r w:rsidR="00845591" w:rsidRPr="00EC250C">
          <w:rPr>
            <w:webHidden/>
          </w:rPr>
          <w:fldChar w:fldCharType="begin"/>
        </w:r>
        <w:r w:rsidR="00845591" w:rsidRPr="00EC250C">
          <w:rPr>
            <w:webHidden/>
          </w:rPr>
          <w:instrText xml:space="preserve"> PAGEREF _Toc11247760 \h </w:instrText>
        </w:r>
        <w:r w:rsidR="00845591" w:rsidRPr="00EC250C">
          <w:rPr>
            <w:webHidden/>
          </w:rPr>
        </w:r>
        <w:r w:rsidR="00845591" w:rsidRPr="00EC250C">
          <w:rPr>
            <w:webHidden/>
          </w:rPr>
          <w:fldChar w:fldCharType="separate"/>
        </w:r>
        <w:r>
          <w:rPr>
            <w:webHidden/>
          </w:rPr>
          <w:t>304</w:t>
        </w:r>
        <w:r w:rsidR="00845591" w:rsidRPr="00EC250C">
          <w:rPr>
            <w:webHidden/>
          </w:rPr>
          <w:fldChar w:fldCharType="end"/>
        </w:r>
      </w:hyperlink>
    </w:p>
    <w:p w14:paraId="3006B4CD" w14:textId="563FC3A7" w:rsidR="00845591" w:rsidRPr="00EC250C" w:rsidRDefault="00744B2D" w:rsidP="001759D6">
      <w:pPr>
        <w:pStyle w:val="Spistreci4"/>
        <w:rPr>
          <w:rFonts w:asciiTheme="minorHAnsi" w:eastAsiaTheme="minorEastAsia" w:hAnsiTheme="minorHAnsi" w:cstheme="minorBidi"/>
        </w:rPr>
      </w:pPr>
      <w:hyperlink w:anchor="_Toc11247761" w:history="1">
        <w:r w:rsidR="00845591" w:rsidRPr="00EC250C">
          <w:rPr>
            <w:rStyle w:val="Hipercze"/>
          </w:rPr>
          <w:t>Problemy dotyczące zdrowia seniorów</w:t>
        </w:r>
        <w:r w:rsidR="00845591" w:rsidRPr="00EC250C">
          <w:rPr>
            <w:webHidden/>
          </w:rPr>
          <w:tab/>
        </w:r>
        <w:r w:rsidR="00845591" w:rsidRPr="00EC250C">
          <w:rPr>
            <w:webHidden/>
          </w:rPr>
          <w:fldChar w:fldCharType="begin"/>
        </w:r>
        <w:r w:rsidR="00845591" w:rsidRPr="00EC250C">
          <w:rPr>
            <w:webHidden/>
          </w:rPr>
          <w:instrText xml:space="preserve"> PAGEREF _Toc11247761 \h </w:instrText>
        </w:r>
        <w:r w:rsidR="00845591" w:rsidRPr="00EC250C">
          <w:rPr>
            <w:webHidden/>
          </w:rPr>
        </w:r>
        <w:r w:rsidR="00845591" w:rsidRPr="00EC250C">
          <w:rPr>
            <w:webHidden/>
          </w:rPr>
          <w:fldChar w:fldCharType="separate"/>
        </w:r>
        <w:r>
          <w:rPr>
            <w:webHidden/>
          </w:rPr>
          <w:t>305</w:t>
        </w:r>
        <w:r w:rsidR="00845591" w:rsidRPr="00EC250C">
          <w:rPr>
            <w:webHidden/>
          </w:rPr>
          <w:fldChar w:fldCharType="end"/>
        </w:r>
      </w:hyperlink>
    </w:p>
    <w:p w14:paraId="0C52E6E1" w14:textId="6226657F" w:rsidR="00845591" w:rsidRPr="00EC250C" w:rsidRDefault="00744B2D" w:rsidP="00A46160">
      <w:pPr>
        <w:pStyle w:val="Spistreci3"/>
        <w:rPr>
          <w:rFonts w:asciiTheme="minorHAnsi" w:eastAsiaTheme="minorEastAsia" w:hAnsiTheme="minorHAnsi" w:cstheme="minorBidi"/>
          <w:color w:val="auto"/>
          <w:sz w:val="20"/>
        </w:rPr>
      </w:pPr>
      <w:hyperlink w:anchor="_Toc11247762" w:history="1">
        <w:r w:rsidR="00845591" w:rsidRPr="00EC250C">
          <w:rPr>
            <w:rStyle w:val="Hipercze"/>
          </w:rPr>
          <w:t>Art. 68 ust. 4 – Zwalczanie chorób epidemicznych i zapobieganie degradacji środowiska</w:t>
        </w:r>
        <w:r w:rsidR="00845591" w:rsidRPr="00EC250C">
          <w:rPr>
            <w:webHidden/>
          </w:rPr>
          <w:tab/>
        </w:r>
        <w:r w:rsidR="00845591" w:rsidRPr="00EC250C">
          <w:rPr>
            <w:webHidden/>
          </w:rPr>
          <w:fldChar w:fldCharType="begin"/>
        </w:r>
        <w:r w:rsidR="00845591" w:rsidRPr="00EC250C">
          <w:rPr>
            <w:webHidden/>
          </w:rPr>
          <w:instrText xml:space="preserve"> PAGEREF _Toc11247762 \h </w:instrText>
        </w:r>
        <w:r w:rsidR="00845591" w:rsidRPr="00EC250C">
          <w:rPr>
            <w:webHidden/>
          </w:rPr>
        </w:r>
        <w:r w:rsidR="00845591" w:rsidRPr="00EC250C">
          <w:rPr>
            <w:webHidden/>
          </w:rPr>
          <w:fldChar w:fldCharType="separate"/>
        </w:r>
        <w:r>
          <w:rPr>
            <w:webHidden/>
          </w:rPr>
          <w:t>306</w:t>
        </w:r>
        <w:r w:rsidR="00845591" w:rsidRPr="00EC250C">
          <w:rPr>
            <w:webHidden/>
          </w:rPr>
          <w:fldChar w:fldCharType="end"/>
        </w:r>
      </w:hyperlink>
    </w:p>
    <w:p w14:paraId="63700760" w14:textId="7744B712" w:rsidR="00845591" w:rsidRPr="00EC250C" w:rsidRDefault="00744B2D" w:rsidP="001759D6">
      <w:pPr>
        <w:pStyle w:val="Spistreci4"/>
        <w:rPr>
          <w:rFonts w:asciiTheme="minorHAnsi" w:eastAsiaTheme="minorEastAsia" w:hAnsiTheme="minorHAnsi" w:cstheme="minorBidi"/>
        </w:rPr>
      </w:pPr>
      <w:hyperlink w:anchor="_Toc11247763" w:history="1">
        <w:r w:rsidR="00845591" w:rsidRPr="00EC250C">
          <w:rPr>
            <w:rStyle w:val="Hipercze"/>
          </w:rPr>
          <w:t>Zagrożenie epidemią odry</w:t>
        </w:r>
        <w:r w:rsidR="00845591" w:rsidRPr="00EC250C">
          <w:rPr>
            <w:webHidden/>
          </w:rPr>
          <w:tab/>
        </w:r>
        <w:r w:rsidR="00845591" w:rsidRPr="00EC250C">
          <w:rPr>
            <w:webHidden/>
          </w:rPr>
          <w:fldChar w:fldCharType="begin"/>
        </w:r>
        <w:r w:rsidR="00845591" w:rsidRPr="00EC250C">
          <w:rPr>
            <w:webHidden/>
          </w:rPr>
          <w:instrText xml:space="preserve"> PAGEREF _Toc11247763 \h </w:instrText>
        </w:r>
        <w:r w:rsidR="00845591" w:rsidRPr="00EC250C">
          <w:rPr>
            <w:webHidden/>
          </w:rPr>
        </w:r>
        <w:r w:rsidR="00845591" w:rsidRPr="00EC250C">
          <w:rPr>
            <w:webHidden/>
          </w:rPr>
          <w:fldChar w:fldCharType="separate"/>
        </w:r>
        <w:r>
          <w:rPr>
            <w:webHidden/>
          </w:rPr>
          <w:t>307</w:t>
        </w:r>
        <w:r w:rsidR="00845591" w:rsidRPr="00EC250C">
          <w:rPr>
            <w:webHidden/>
          </w:rPr>
          <w:fldChar w:fldCharType="end"/>
        </w:r>
      </w:hyperlink>
    </w:p>
    <w:p w14:paraId="5BD7CC35" w14:textId="2E999549" w:rsidR="00845591" w:rsidRPr="00EC250C" w:rsidRDefault="00744B2D" w:rsidP="001759D6">
      <w:pPr>
        <w:pStyle w:val="Spistreci4"/>
        <w:rPr>
          <w:rFonts w:asciiTheme="minorHAnsi" w:eastAsiaTheme="minorEastAsia" w:hAnsiTheme="minorHAnsi" w:cstheme="minorBidi"/>
        </w:rPr>
      </w:pPr>
      <w:hyperlink w:anchor="_Toc11247764" w:history="1">
        <w:r w:rsidR="00845591" w:rsidRPr="00EC250C">
          <w:rPr>
            <w:rStyle w:val="Hipercze"/>
          </w:rPr>
          <w:t>Brak kontroli jakości wody pitnej w wewnętrznej instalacji budynków</w:t>
        </w:r>
        <w:r w:rsidR="00845591" w:rsidRPr="00EC250C">
          <w:rPr>
            <w:webHidden/>
          </w:rPr>
          <w:tab/>
        </w:r>
        <w:r w:rsidR="00845591" w:rsidRPr="00EC250C">
          <w:rPr>
            <w:webHidden/>
          </w:rPr>
          <w:fldChar w:fldCharType="begin"/>
        </w:r>
        <w:r w:rsidR="00845591" w:rsidRPr="00EC250C">
          <w:rPr>
            <w:webHidden/>
          </w:rPr>
          <w:instrText xml:space="preserve"> PAGEREF _Toc11247764 \h </w:instrText>
        </w:r>
        <w:r w:rsidR="00845591" w:rsidRPr="00EC250C">
          <w:rPr>
            <w:webHidden/>
          </w:rPr>
        </w:r>
        <w:r w:rsidR="00845591" w:rsidRPr="00EC250C">
          <w:rPr>
            <w:webHidden/>
          </w:rPr>
          <w:fldChar w:fldCharType="separate"/>
        </w:r>
        <w:r>
          <w:rPr>
            <w:webHidden/>
          </w:rPr>
          <w:t>308</w:t>
        </w:r>
        <w:r w:rsidR="00845591" w:rsidRPr="00EC250C">
          <w:rPr>
            <w:webHidden/>
          </w:rPr>
          <w:fldChar w:fldCharType="end"/>
        </w:r>
      </w:hyperlink>
    </w:p>
    <w:p w14:paraId="00C20166" w14:textId="201E10EA" w:rsidR="00845591" w:rsidRPr="00EC250C" w:rsidRDefault="00744B2D" w:rsidP="00A46160">
      <w:pPr>
        <w:pStyle w:val="Spistreci3"/>
        <w:rPr>
          <w:rFonts w:asciiTheme="minorHAnsi" w:eastAsiaTheme="minorEastAsia" w:hAnsiTheme="minorHAnsi" w:cstheme="minorBidi"/>
          <w:color w:val="auto"/>
          <w:sz w:val="20"/>
        </w:rPr>
      </w:pPr>
      <w:hyperlink w:anchor="_Toc11247765" w:history="1">
        <w:r w:rsidR="00845591" w:rsidRPr="00EC250C">
          <w:rPr>
            <w:rStyle w:val="Hipercze"/>
          </w:rPr>
          <w:t>Art. 69 Konstytucji – Pomoc na rzecz osób z niepełnosprawnościami</w:t>
        </w:r>
        <w:r w:rsidR="00845591" w:rsidRPr="00EC250C">
          <w:rPr>
            <w:webHidden/>
          </w:rPr>
          <w:tab/>
        </w:r>
        <w:r w:rsidR="00845591" w:rsidRPr="00EC250C">
          <w:rPr>
            <w:webHidden/>
          </w:rPr>
          <w:fldChar w:fldCharType="begin"/>
        </w:r>
        <w:r w:rsidR="00845591" w:rsidRPr="00EC250C">
          <w:rPr>
            <w:webHidden/>
          </w:rPr>
          <w:instrText xml:space="preserve"> PAGEREF _Toc11247765 \h </w:instrText>
        </w:r>
        <w:r w:rsidR="00845591" w:rsidRPr="00EC250C">
          <w:rPr>
            <w:webHidden/>
          </w:rPr>
        </w:r>
        <w:r w:rsidR="00845591" w:rsidRPr="00EC250C">
          <w:rPr>
            <w:webHidden/>
          </w:rPr>
          <w:fldChar w:fldCharType="separate"/>
        </w:r>
        <w:r>
          <w:rPr>
            <w:webHidden/>
          </w:rPr>
          <w:t>309</w:t>
        </w:r>
        <w:r w:rsidR="00845591" w:rsidRPr="00EC250C">
          <w:rPr>
            <w:webHidden/>
          </w:rPr>
          <w:fldChar w:fldCharType="end"/>
        </w:r>
      </w:hyperlink>
    </w:p>
    <w:p w14:paraId="2DBC4800" w14:textId="6E0FF2CA" w:rsidR="00845591" w:rsidRPr="00A46160" w:rsidRDefault="00744B2D" w:rsidP="001759D6">
      <w:pPr>
        <w:pStyle w:val="Spistreci4"/>
        <w:rPr>
          <w:rFonts w:asciiTheme="minorHAnsi" w:eastAsiaTheme="minorEastAsia" w:hAnsiTheme="minorHAnsi" w:cstheme="minorBidi"/>
        </w:rPr>
      </w:pPr>
      <w:hyperlink w:anchor="_Toc11247766" w:history="1">
        <w:r w:rsidR="00845591" w:rsidRPr="00A46160">
          <w:rPr>
            <w:rStyle w:val="Hipercze"/>
            <w:spacing w:val="-2"/>
          </w:rPr>
          <w:t>Prawa osób z niepełnosprawnościami poza głównym nurtem debaty publicznej. Co RPO słyszy z dala od Warszawy?</w:t>
        </w:r>
        <w:r w:rsidR="00845591" w:rsidRPr="00A46160">
          <w:rPr>
            <w:webHidden/>
          </w:rPr>
          <w:tab/>
        </w:r>
        <w:r w:rsidR="00845591" w:rsidRPr="00A46160">
          <w:rPr>
            <w:webHidden/>
          </w:rPr>
          <w:fldChar w:fldCharType="begin"/>
        </w:r>
        <w:r w:rsidR="00845591" w:rsidRPr="00A46160">
          <w:rPr>
            <w:webHidden/>
          </w:rPr>
          <w:instrText xml:space="preserve"> PAGEREF _Toc11247766 \h </w:instrText>
        </w:r>
        <w:r w:rsidR="00845591" w:rsidRPr="00A46160">
          <w:rPr>
            <w:webHidden/>
          </w:rPr>
        </w:r>
        <w:r w:rsidR="00845591" w:rsidRPr="00A46160">
          <w:rPr>
            <w:webHidden/>
          </w:rPr>
          <w:fldChar w:fldCharType="separate"/>
        </w:r>
        <w:r>
          <w:rPr>
            <w:webHidden/>
          </w:rPr>
          <w:t>310</w:t>
        </w:r>
        <w:r w:rsidR="00845591" w:rsidRPr="00A46160">
          <w:rPr>
            <w:webHidden/>
          </w:rPr>
          <w:fldChar w:fldCharType="end"/>
        </w:r>
      </w:hyperlink>
    </w:p>
    <w:p w14:paraId="2B22E658" w14:textId="24F1F7B0" w:rsidR="00845591" w:rsidRPr="00EC250C" w:rsidRDefault="00744B2D" w:rsidP="001759D6">
      <w:pPr>
        <w:pStyle w:val="Spistreci4"/>
        <w:rPr>
          <w:rFonts w:asciiTheme="minorHAnsi" w:eastAsiaTheme="minorEastAsia" w:hAnsiTheme="minorHAnsi" w:cstheme="minorBidi"/>
        </w:rPr>
      </w:pPr>
      <w:hyperlink w:anchor="_Toc11247767" w:history="1">
        <w:r w:rsidR="00845591" w:rsidRPr="00EC250C">
          <w:rPr>
            <w:rStyle w:val="Hipercze"/>
          </w:rPr>
          <w:t>Protest dorosłych osób z niepełnosprawnościami i ich opiekunów w Sejmie</w:t>
        </w:r>
        <w:r w:rsidR="00845591" w:rsidRPr="00EC250C">
          <w:rPr>
            <w:webHidden/>
          </w:rPr>
          <w:tab/>
        </w:r>
        <w:r w:rsidR="00845591" w:rsidRPr="00EC250C">
          <w:rPr>
            <w:webHidden/>
          </w:rPr>
          <w:fldChar w:fldCharType="begin"/>
        </w:r>
        <w:r w:rsidR="00845591" w:rsidRPr="00EC250C">
          <w:rPr>
            <w:webHidden/>
          </w:rPr>
          <w:instrText xml:space="preserve"> PAGEREF _Toc11247767 \h </w:instrText>
        </w:r>
        <w:r w:rsidR="00845591" w:rsidRPr="00EC250C">
          <w:rPr>
            <w:webHidden/>
          </w:rPr>
        </w:r>
        <w:r w:rsidR="00845591" w:rsidRPr="00EC250C">
          <w:rPr>
            <w:webHidden/>
          </w:rPr>
          <w:fldChar w:fldCharType="separate"/>
        </w:r>
        <w:r>
          <w:rPr>
            <w:webHidden/>
          </w:rPr>
          <w:t>312</w:t>
        </w:r>
        <w:r w:rsidR="00845591" w:rsidRPr="00EC250C">
          <w:rPr>
            <w:webHidden/>
          </w:rPr>
          <w:fldChar w:fldCharType="end"/>
        </w:r>
      </w:hyperlink>
    </w:p>
    <w:p w14:paraId="74EB81BD" w14:textId="338D8925" w:rsidR="00845591" w:rsidRPr="00EC250C" w:rsidRDefault="00744B2D" w:rsidP="001759D6">
      <w:pPr>
        <w:pStyle w:val="Spistreci4"/>
        <w:rPr>
          <w:rFonts w:asciiTheme="minorHAnsi" w:eastAsiaTheme="minorEastAsia" w:hAnsiTheme="minorHAnsi" w:cstheme="minorBidi"/>
        </w:rPr>
      </w:pPr>
      <w:hyperlink w:anchor="_Toc11247768" w:history="1">
        <w:r w:rsidR="00845591" w:rsidRPr="00EC250C">
          <w:rPr>
            <w:rStyle w:val="Hipercze"/>
          </w:rPr>
          <w:t>Najważniejsze problemy systemowe – wykazane przy okazji sprawozdania okresowego Polski przed Komitetem ONZ</w:t>
        </w:r>
        <w:r w:rsidR="00845591" w:rsidRPr="00EC250C">
          <w:rPr>
            <w:webHidden/>
          </w:rPr>
          <w:tab/>
        </w:r>
        <w:r w:rsidR="00845591" w:rsidRPr="00EC250C">
          <w:rPr>
            <w:webHidden/>
          </w:rPr>
          <w:fldChar w:fldCharType="begin"/>
        </w:r>
        <w:r w:rsidR="00845591" w:rsidRPr="00EC250C">
          <w:rPr>
            <w:webHidden/>
          </w:rPr>
          <w:instrText xml:space="preserve"> PAGEREF _Toc11247768 \h </w:instrText>
        </w:r>
        <w:r w:rsidR="00845591" w:rsidRPr="00EC250C">
          <w:rPr>
            <w:webHidden/>
          </w:rPr>
        </w:r>
        <w:r w:rsidR="00845591" w:rsidRPr="00EC250C">
          <w:rPr>
            <w:webHidden/>
          </w:rPr>
          <w:fldChar w:fldCharType="separate"/>
        </w:r>
        <w:r>
          <w:rPr>
            <w:webHidden/>
          </w:rPr>
          <w:t>313</w:t>
        </w:r>
        <w:r w:rsidR="00845591" w:rsidRPr="00EC250C">
          <w:rPr>
            <w:webHidden/>
          </w:rPr>
          <w:fldChar w:fldCharType="end"/>
        </w:r>
      </w:hyperlink>
    </w:p>
    <w:p w14:paraId="09DD27F6" w14:textId="5BCD5508" w:rsidR="00845591" w:rsidRPr="00EC250C" w:rsidRDefault="00744B2D" w:rsidP="00A46160">
      <w:pPr>
        <w:pStyle w:val="Spistreci3"/>
        <w:rPr>
          <w:rFonts w:asciiTheme="minorHAnsi" w:eastAsiaTheme="minorEastAsia" w:hAnsiTheme="minorHAnsi" w:cstheme="minorBidi"/>
          <w:color w:val="auto"/>
          <w:sz w:val="20"/>
        </w:rPr>
      </w:pPr>
      <w:hyperlink w:anchor="_Toc11247769" w:history="1">
        <w:r w:rsidR="00845591" w:rsidRPr="00EC250C">
          <w:rPr>
            <w:rStyle w:val="Hipercze"/>
          </w:rPr>
          <w:t>Art. 70 Konstytucji ust. 1 – Prawo do nauki</w:t>
        </w:r>
        <w:r w:rsidR="00845591" w:rsidRPr="00EC250C">
          <w:rPr>
            <w:webHidden/>
          </w:rPr>
          <w:tab/>
        </w:r>
        <w:r w:rsidR="00845591" w:rsidRPr="00EC250C">
          <w:rPr>
            <w:webHidden/>
          </w:rPr>
          <w:fldChar w:fldCharType="begin"/>
        </w:r>
        <w:r w:rsidR="00845591" w:rsidRPr="00EC250C">
          <w:rPr>
            <w:webHidden/>
          </w:rPr>
          <w:instrText xml:space="preserve"> PAGEREF _Toc11247769 \h </w:instrText>
        </w:r>
        <w:r w:rsidR="00845591" w:rsidRPr="00EC250C">
          <w:rPr>
            <w:webHidden/>
          </w:rPr>
        </w:r>
        <w:r w:rsidR="00845591" w:rsidRPr="00EC250C">
          <w:rPr>
            <w:webHidden/>
          </w:rPr>
          <w:fldChar w:fldCharType="separate"/>
        </w:r>
        <w:r>
          <w:rPr>
            <w:webHidden/>
          </w:rPr>
          <w:t>321</w:t>
        </w:r>
        <w:r w:rsidR="00845591" w:rsidRPr="00EC250C">
          <w:rPr>
            <w:webHidden/>
          </w:rPr>
          <w:fldChar w:fldCharType="end"/>
        </w:r>
      </w:hyperlink>
    </w:p>
    <w:p w14:paraId="0452C0A4" w14:textId="1FF29CCC" w:rsidR="00845591" w:rsidRPr="00EC250C" w:rsidRDefault="00744B2D" w:rsidP="001759D6">
      <w:pPr>
        <w:pStyle w:val="Spistreci4"/>
        <w:rPr>
          <w:rFonts w:asciiTheme="minorHAnsi" w:eastAsiaTheme="minorEastAsia" w:hAnsiTheme="minorHAnsi" w:cstheme="minorBidi"/>
        </w:rPr>
      </w:pPr>
      <w:hyperlink w:anchor="_Toc11247770" w:history="1">
        <w:r w:rsidR="00845591" w:rsidRPr="00EC250C">
          <w:rPr>
            <w:rStyle w:val="Hipercze"/>
          </w:rPr>
          <w:t>Negatywne skutki reformy systemu oświaty</w:t>
        </w:r>
        <w:r w:rsidR="00845591" w:rsidRPr="00EC250C">
          <w:rPr>
            <w:webHidden/>
          </w:rPr>
          <w:tab/>
        </w:r>
        <w:r w:rsidR="00845591" w:rsidRPr="00EC250C">
          <w:rPr>
            <w:webHidden/>
          </w:rPr>
          <w:fldChar w:fldCharType="begin"/>
        </w:r>
        <w:r w:rsidR="00845591" w:rsidRPr="00EC250C">
          <w:rPr>
            <w:webHidden/>
          </w:rPr>
          <w:instrText xml:space="preserve"> PAGEREF _Toc11247770 \h </w:instrText>
        </w:r>
        <w:r w:rsidR="00845591" w:rsidRPr="00EC250C">
          <w:rPr>
            <w:webHidden/>
          </w:rPr>
        </w:r>
        <w:r w:rsidR="00845591" w:rsidRPr="00EC250C">
          <w:rPr>
            <w:webHidden/>
          </w:rPr>
          <w:fldChar w:fldCharType="separate"/>
        </w:r>
        <w:r>
          <w:rPr>
            <w:webHidden/>
          </w:rPr>
          <w:t>322</w:t>
        </w:r>
        <w:r w:rsidR="00845591" w:rsidRPr="00EC250C">
          <w:rPr>
            <w:webHidden/>
          </w:rPr>
          <w:fldChar w:fldCharType="end"/>
        </w:r>
      </w:hyperlink>
    </w:p>
    <w:p w14:paraId="75B516DC" w14:textId="7F00BF4C" w:rsidR="00845591" w:rsidRPr="00EC250C" w:rsidRDefault="00744B2D" w:rsidP="001759D6">
      <w:pPr>
        <w:pStyle w:val="Spistreci4"/>
        <w:rPr>
          <w:rFonts w:asciiTheme="minorHAnsi" w:eastAsiaTheme="minorEastAsia" w:hAnsiTheme="minorHAnsi" w:cstheme="minorBidi"/>
        </w:rPr>
      </w:pPr>
      <w:hyperlink w:anchor="_Toc11247771" w:history="1">
        <w:r w:rsidR="00845591" w:rsidRPr="00EC250C">
          <w:rPr>
            <w:rStyle w:val="Hipercze"/>
          </w:rPr>
          <w:t>Problem pełnoletnich wychowanków młodzieżowych ośrodków wychowawczych</w:t>
        </w:r>
        <w:r w:rsidR="00845591" w:rsidRPr="00EC250C">
          <w:rPr>
            <w:webHidden/>
          </w:rPr>
          <w:tab/>
        </w:r>
        <w:r w:rsidR="00845591" w:rsidRPr="00EC250C">
          <w:rPr>
            <w:webHidden/>
          </w:rPr>
          <w:fldChar w:fldCharType="begin"/>
        </w:r>
        <w:r w:rsidR="00845591" w:rsidRPr="00EC250C">
          <w:rPr>
            <w:webHidden/>
          </w:rPr>
          <w:instrText xml:space="preserve"> PAGEREF _Toc11247771 \h </w:instrText>
        </w:r>
        <w:r w:rsidR="00845591" w:rsidRPr="00EC250C">
          <w:rPr>
            <w:webHidden/>
          </w:rPr>
        </w:r>
        <w:r w:rsidR="00845591" w:rsidRPr="00EC250C">
          <w:rPr>
            <w:webHidden/>
          </w:rPr>
          <w:fldChar w:fldCharType="separate"/>
        </w:r>
        <w:r>
          <w:rPr>
            <w:webHidden/>
          </w:rPr>
          <w:t>324</w:t>
        </w:r>
        <w:r w:rsidR="00845591" w:rsidRPr="00EC250C">
          <w:rPr>
            <w:webHidden/>
          </w:rPr>
          <w:fldChar w:fldCharType="end"/>
        </w:r>
      </w:hyperlink>
    </w:p>
    <w:p w14:paraId="3F3AFA78" w14:textId="5478CC28" w:rsidR="00845591" w:rsidRPr="00EC250C" w:rsidRDefault="00744B2D" w:rsidP="001759D6">
      <w:pPr>
        <w:pStyle w:val="Spistreci4"/>
        <w:rPr>
          <w:rFonts w:asciiTheme="minorHAnsi" w:eastAsiaTheme="minorEastAsia" w:hAnsiTheme="minorHAnsi" w:cstheme="minorBidi"/>
        </w:rPr>
      </w:pPr>
      <w:hyperlink w:anchor="_Toc11247772" w:history="1">
        <w:r w:rsidR="00845591" w:rsidRPr="00EC250C">
          <w:rPr>
            <w:rStyle w:val="Hipercze"/>
          </w:rPr>
          <w:t>Brak edukacji antydyskryminacyjnej</w:t>
        </w:r>
        <w:r w:rsidR="00845591" w:rsidRPr="00EC250C">
          <w:rPr>
            <w:webHidden/>
          </w:rPr>
          <w:tab/>
        </w:r>
        <w:r w:rsidR="00845591" w:rsidRPr="00EC250C">
          <w:rPr>
            <w:webHidden/>
          </w:rPr>
          <w:fldChar w:fldCharType="begin"/>
        </w:r>
        <w:r w:rsidR="00845591" w:rsidRPr="00EC250C">
          <w:rPr>
            <w:webHidden/>
          </w:rPr>
          <w:instrText xml:space="preserve"> PAGEREF _Toc11247772 \h </w:instrText>
        </w:r>
        <w:r w:rsidR="00845591" w:rsidRPr="00EC250C">
          <w:rPr>
            <w:webHidden/>
          </w:rPr>
        </w:r>
        <w:r w:rsidR="00845591" w:rsidRPr="00EC250C">
          <w:rPr>
            <w:webHidden/>
          </w:rPr>
          <w:fldChar w:fldCharType="separate"/>
        </w:r>
        <w:r>
          <w:rPr>
            <w:webHidden/>
          </w:rPr>
          <w:t>324</w:t>
        </w:r>
        <w:r w:rsidR="00845591" w:rsidRPr="00EC250C">
          <w:rPr>
            <w:webHidden/>
          </w:rPr>
          <w:fldChar w:fldCharType="end"/>
        </w:r>
      </w:hyperlink>
    </w:p>
    <w:p w14:paraId="54A7B3DF" w14:textId="7515740C" w:rsidR="00845591" w:rsidRPr="00EC250C" w:rsidRDefault="00744B2D" w:rsidP="00A46160">
      <w:pPr>
        <w:pStyle w:val="Spistreci3"/>
        <w:rPr>
          <w:rFonts w:asciiTheme="minorHAnsi" w:eastAsiaTheme="minorEastAsia" w:hAnsiTheme="minorHAnsi" w:cstheme="minorBidi"/>
          <w:color w:val="auto"/>
          <w:sz w:val="20"/>
        </w:rPr>
      </w:pPr>
      <w:hyperlink w:anchor="_Toc11247773" w:history="1">
        <w:r w:rsidR="00845591" w:rsidRPr="00EC250C">
          <w:rPr>
            <w:rStyle w:val="Hipercze"/>
          </w:rPr>
          <w:t>Art. 70 Konstytucji ust. 2 – Bezpłatność nauki</w:t>
        </w:r>
        <w:r w:rsidR="00845591" w:rsidRPr="00EC250C">
          <w:rPr>
            <w:webHidden/>
          </w:rPr>
          <w:tab/>
        </w:r>
        <w:r w:rsidR="00845591" w:rsidRPr="00EC250C">
          <w:rPr>
            <w:webHidden/>
          </w:rPr>
          <w:fldChar w:fldCharType="begin"/>
        </w:r>
        <w:r w:rsidR="00845591" w:rsidRPr="00EC250C">
          <w:rPr>
            <w:webHidden/>
          </w:rPr>
          <w:instrText xml:space="preserve"> PAGEREF _Toc11247773 \h </w:instrText>
        </w:r>
        <w:r w:rsidR="00845591" w:rsidRPr="00EC250C">
          <w:rPr>
            <w:webHidden/>
          </w:rPr>
        </w:r>
        <w:r w:rsidR="00845591" w:rsidRPr="00EC250C">
          <w:rPr>
            <w:webHidden/>
          </w:rPr>
          <w:fldChar w:fldCharType="separate"/>
        </w:r>
        <w:r>
          <w:rPr>
            <w:webHidden/>
          </w:rPr>
          <w:t>325</w:t>
        </w:r>
        <w:r w:rsidR="00845591" w:rsidRPr="00EC250C">
          <w:rPr>
            <w:webHidden/>
          </w:rPr>
          <w:fldChar w:fldCharType="end"/>
        </w:r>
      </w:hyperlink>
    </w:p>
    <w:p w14:paraId="40AC4987" w14:textId="720A38D9" w:rsidR="00845591" w:rsidRPr="00EC250C" w:rsidRDefault="00744B2D" w:rsidP="001759D6">
      <w:pPr>
        <w:pStyle w:val="Spistreci4"/>
        <w:rPr>
          <w:rFonts w:asciiTheme="minorHAnsi" w:eastAsiaTheme="minorEastAsia" w:hAnsiTheme="minorHAnsi" w:cstheme="minorBidi"/>
        </w:rPr>
      </w:pPr>
      <w:hyperlink w:anchor="_Toc11247774" w:history="1">
        <w:r w:rsidR="00845591" w:rsidRPr="00EC250C">
          <w:rPr>
            <w:rStyle w:val="Hipercze"/>
          </w:rPr>
          <w:t>Koszty dojazdu do szkoły i dowozu dziecka</w:t>
        </w:r>
        <w:r w:rsidR="00845591" w:rsidRPr="00EC250C">
          <w:rPr>
            <w:webHidden/>
          </w:rPr>
          <w:tab/>
        </w:r>
        <w:r w:rsidR="00845591" w:rsidRPr="00EC250C">
          <w:rPr>
            <w:webHidden/>
          </w:rPr>
          <w:fldChar w:fldCharType="begin"/>
        </w:r>
        <w:r w:rsidR="00845591" w:rsidRPr="00EC250C">
          <w:rPr>
            <w:webHidden/>
          </w:rPr>
          <w:instrText xml:space="preserve"> PAGEREF _Toc11247774 \h </w:instrText>
        </w:r>
        <w:r w:rsidR="00845591" w:rsidRPr="00EC250C">
          <w:rPr>
            <w:webHidden/>
          </w:rPr>
        </w:r>
        <w:r w:rsidR="00845591" w:rsidRPr="00EC250C">
          <w:rPr>
            <w:webHidden/>
          </w:rPr>
          <w:fldChar w:fldCharType="separate"/>
        </w:r>
        <w:r>
          <w:rPr>
            <w:webHidden/>
          </w:rPr>
          <w:t>326</w:t>
        </w:r>
        <w:r w:rsidR="00845591" w:rsidRPr="00EC250C">
          <w:rPr>
            <w:webHidden/>
          </w:rPr>
          <w:fldChar w:fldCharType="end"/>
        </w:r>
      </w:hyperlink>
    </w:p>
    <w:p w14:paraId="2C8D9FE1" w14:textId="1771AE17" w:rsidR="00845591" w:rsidRPr="00EC250C" w:rsidRDefault="00744B2D" w:rsidP="00A46160">
      <w:pPr>
        <w:pStyle w:val="Spistreci3"/>
        <w:rPr>
          <w:rFonts w:asciiTheme="minorHAnsi" w:eastAsiaTheme="minorEastAsia" w:hAnsiTheme="minorHAnsi" w:cstheme="minorBidi"/>
          <w:color w:val="auto"/>
          <w:sz w:val="20"/>
        </w:rPr>
      </w:pPr>
      <w:hyperlink w:anchor="_Toc11247775" w:history="1">
        <w:r w:rsidR="00845591" w:rsidRPr="00EC250C">
          <w:rPr>
            <w:rStyle w:val="Hipercze"/>
          </w:rPr>
          <w:t>Art. 70 Konstytucji ust. 3 – Prawo do szkół prywatnych</w:t>
        </w:r>
        <w:r w:rsidR="00845591" w:rsidRPr="00EC250C">
          <w:rPr>
            <w:webHidden/>
          </w:rPr>
          <w:tab/>
        </w:r>
        <w:r w:rsidR="00845591" w:rsidRPr="00EC250C">
          <w:rPr>
            <w:webHidden/>
          </w:rPr>
          <w:fldChar w:fldCharType="begin"/>
        </w:r>
        <w:r w:rsidR="00845591" w:rsidRPr="00EC250C">
          <w:rPr>
            <w:webHidden/>
          </w:rPr>
          <w:instrText xml:space="preserve"> PAGEREF _Toc11247775 \h </w:instrText>
        </w:r>
        <w:r w:rsidR="00845591" w:rsidRPr="00EC250C">
          <w:rPr>
            <w:webHidden/>
          </w:rPr>
        </w:r>
        <w:r w:rsidR="00845591" w:rsidRPr="00EC250C">
          <w:rPr>
            <w:webHidden/>
          </w:rPr>
          <w:fldChar w:fldCharType="separate"/>
        </w:r>
        <w:r>
          <w:rPr>
            <w:webHidden/>
          </w:rPr>
          <w:t>327</w:t>
        </w:r>
        <w:r w:rsidR="00845591" w:rsidRPr="00EC250C">
          <w:rPr>
            <w:webHidden/>
          </w:rPr>
          <w:fldChar w:fldCharType="end"/>
        </w:r>
      </w:hyperlink>
    </w:p>
    <w:p w14:paraId="503B3A6D" w14:textId="7CEC6FCC" w:rsidR="00845591" w:rsidRPr="00EC250C" w:rsidRDefault="00744B2D" w:rsidP="00A46160">
      <w:pPr>
        <w:pStyle w:val="Spistreci3"/>
        <w:rPr>
          <w:rFonts w:asciiTheme="minorHAnsi" w:eastAsiaTheme="minorEastAsia" w:hAnsiTheme="minorHAnsi" w:cstheme="minorBidi"/>
          <w:color w:val="auto"/>
          <w:sz w:val="20"/>
        </w:rPr>
      </w:pPr>
      <w:hyperlink w:anchor="_Toc11247776" w:history="1">
        <w:r w:rsidR="00845591" w:rsidRPr="00EC250C">
          <w:rPr>
            <w:rStyle w:val="Hipercze"/>
          </w:rPr>
          <w:t>Art. 70 Konstytucji ust. 4 – Równy dostęp do wykształcenia</w:t>
        </w:r>
        <w:r w:rsidR="00845591" w:rsidRPr="00EC250C">
          <w:rPr>
            <w:webHidden/>
          </w:rPr>
          <w:tab/>
        </w:r>
        <w:r w:rsidR="00845591" w:rsidRPr="00EC250C">
          <w:rPr>
            <w:webHidden/>
          </w:rPr>
          <w:fldChar w:fldCharType="begin"/>
        </w:r>
        <w:r w:rsidR="00845591" w:rsidRPr="00EC250C">
          <w:rPr>
            <w:webHidden/>
          </w:rPr>
          <w:instrText xml:space="preserve"> PAGEREF _Toc11247776 \h </w:instrText>
        </w:r>
        <w:r w:rsidR="00845591" w:rsidRPr="00EC250C">
          <w:rPr>
            <w:webHidden/>
          </w:rPr>
        </w:r>
        <w:r w:rsidR="00845591" w:rsidRPr="00EC250C">
          <w:rPr>
            <w:webHidden/>
          </w:rPr>
          <w:fldChar w:fldCharType="separate"/>
        </w:r>
        <w:r>
          <w:rPr>
            <w:webHidden/>
          </w:rPr>
          <w:t>328</w:t>
        </w:r>
        <w:r w:rsidR="00845591" w:rsidRPr="00EC250C">
          <w:rPr>
            <w:webHidden/>
          </w:rPr>
          <w:fldChar w:fldCharType="end"/>
        </w:r>
      </w:hyperlink>
    </w:p>
    <w:p w14:paraId="0B3D5093" w14:textId="66CA38D3" w:rsidR="00845591" w:rsidRPr="00EC250C" w:rsidRDefault="00744B2D" w:rsidP="001759D6">
      <w:pPr>
        <w:pStyle w:val="Spistreci4"/>
        <w:rPr>
          <w:rFonts w:asciiTheme="minorHAnsi" w:eastAsiaTheme="minorEastAsia" w:hAnsiTheme="minorHAnsi" w:cstheme="minorBidi"/>
        </w:rPr>
      </w:pPr>
      <w:hyperlink w:anchor="_Toc11247777" w:history="1">
        <w:r w:rsidR="00845591" w:rsidRPr="00EC250C">
          <w:rPr>
            <w:rStyle w:val="Hipercze"/>
          </w:rPr>
          <w:t>Dowóz uczniów z niepełnosprawnościami do szkół</w:t>
        </w:r>
        <w:r w:rsidR="00845591" w:rsidRPr="00EC250C">
          <w:rPr>
            <w:webHidden/>
          </w:rPr>
          <w:tab/>
        </w:r>
        <w:r w:rsidR="00845591" w:rsidRPr="00EC250C">
          <w:rPr>
            <w:webHidden/>
          </w:rPr>
          <w:fldChar w:fldCharType="begin"/>
        </w:r>
        <w:r w:rsidR="00845591" w:rsidRPr="00EC250C">
          <w:rPr>
            <w:webHidden/>
          </w:rPr>
          <w:instrText xml:space="preserve"> PAGEREF _Toc11247777 \h </w:instrText>
        </w:r>
        <w:r w:rsidR="00845591" w:rsidRPr="00EC250C">
          <w:rPr>
            <w:webHidden/>
          </w:rPr>
        </w:r>
        <w:r w:rsidR="00845591" w:rsidRPr="00EC250C">
          <w:rPr>
            <w:webHidden/>
          </w:rPr>
          <w:fldChar w:fldCharType="separate"/>
        </w:r>
        <w:r>
          <w:rPr>
            <w:webHidden/>
          </w:rPr>
          <w:t>329</w:t>
        </w:r>
        <w:r w:rsidR="00845591" w:rsidRPr="00EC250C">
          <w:rPr>
            <w:webHidden/>
          </w:rPr>
          <w:fldChar w:fldCharType="end"/>
        </w:r>
      </w:hyperlink>
    </w:p>
    <w:p w14:paraId="4A48DD3C" w14:textId="5E548B00" w:rsidR="00845591" w:rsidRPr="00EC250C" w:rsidRDefault="00744B2D" w:rsidP="001759D6">
      <w:pPr>
        <w:pStyle w:val="Spistreci4"/>
        <w:rPr>
          <w:rFonts w:asciiTheme="minorHAnsi" w:eastAsiaTheme="minorEastAsia" w:hAnsiTheme="minorHAnsi" w:cstheme="minorBidi"/>
        </w:rPr>
      </w:pPr>
      <w:hyperlink w:anchor="_Toc11247778" w:history="1">
        <w:r w:rsidR="00845591" w:rsidRPr="00EC250C">
          <w:rPr>
            <w:rStyle w:val="Hipercze"/>
          </w:rPr>
          <w:t>Organizacja nauczania indywidualnego</w:t>
        </w:r>
        <w:r w:rsidR="00845591" w:rsidRPr="00EC250C">
          <w:rPr>
            <w:webHidden/>
          </w:rPr>
          <w:tab/>
        </w:r>
        <w:r w:rsidR="00845591" w:rsidRPr="00EC250C">
          <w:rPr>
            <w:webHidden/>
          </w:rPr>
          <w:fldChar w:fldCharType="begin"/>
        </w:r>
        <w:r w:rsidR="00845591" w:rsidRPr="00EC250C">
          <w:rPr>
            <w:webHidden/>
          </w:rPr>
          <w:instrText xml:space="preserve"> PAGEREF _Toc11247778 \h </w:instrText>
        </w:r>
        <w:r w:rsidR="00845591" w:rsidRPr="00EC250C">
          <w:rPr>
            <w:webHidden/>
          </w:rPr>
        </w:r>
        <w:r w:rsidR="00845591" w:rsidRPr="00EC250C">
          <w:rPr>
            <w:webHidden/>
          </w:rPr>
          <w:fldChar w:fldCharType="separate"/>
        </w:r>
        <w:r>
          <w:rPr>
            <w:webHidden/>
          </w:rPr>
          <w:t>331</w:t>
        </w:r>
        <w:r w:rsidR="00845591" w:rsidRPr="00EC250C">
          <w:rPr>
            <w:webHidden/>
          </w:rPr>
          <w:fldChar w:fldCharType="end"/>
        </w:r>
      </w:hyperlink>
    </w:p>
    <w:p w14:paraId="685C2BB9" w14:textId="0B01D442" w:rsidR="00845591" w:rsidRPr="00EC250C" w:rsidRDefault="00744B2D" w:rsidP="001759D6">
      <w:pPr>
        <w:pStyle w:val="Spistreci4"/>
        <w:rPr>
          <w:rFonts w:asciiTheme="minorHAnsi" w:eastAsiaTheme="minorEastAsia" w:hAnsiTheme="minorHAnsi" w:cstheme="minorBidi"/>
        </w:rPr>
      </w:pPr>
      <w:hyperlink w:anchor="_Toc11247779" w:history="1">
        <w:r w:rsidR="00845591" w:rsidRPr="00EC250C">
          <w:rPr>
            <w:rStyle w:val="Hipercze"/>
          </w:rPr>
          <w:t>Dostęp do logopedów czy psychologów w szkołach niepublicznych</w:t>
        </w:r>
        <w:r w:rsidR="00845591" w:rsidRPr="00EC250C">
          <w:rPr>
            <w:webHidden/>
          </w:rPr>
          <w:tab/>
        </w:r>
        <w:r w:rsidR="00845591" w:rsidRPr="00EC250C">
          <w:rPr>
            <w:webHidden/>
          </w:rPr>
          <w:fldChar w:fldCharType="begin"/>
        </w:r>
        <w:r w:rsidR="00845591" w:rsidRPr="00EC250C">
          <w:rPr>
            <w:webHidden/>
          </w:rPr>
          <w:instrText xml:space="preserve"> PAGEREF _Toc11247779 \h </w:instrText>
        </w:r>
        <w:r w:rsidR="00845591" w:rsidRPr="00EC250C">
          <w:rPr>
            <w:webHidden/>
          </w:rPr>
        </w:r>
        <w:r w:rsidR="00845591" w:rsidRPr="00EC250C">
          <w:rPr>
            <w:webHidden/>
          </w:rPr>
          <w:fldChar w:fldCharType="separate"/>
        </w:r>
        <w:r>
          <w:rPr>
            <w:webHidden/>
          </w:rPr>
          <w:t>332</w:t>
        </w:r>
        <w:r w:rsidR="00845591" w:rsidRPr="00EC250C">
          <w:rPr>
            <w:webHidden/>
          </w:rPr>
          <w:fldChar w:fldCharType="end"/>
        </w:r>
      </w:hyperlink>
    </w:p>
    <w:p w14:paraId="33064BBF" w14:textId="77B8F6E9" w:rsidR="00845591" w:rsidRPr="00EC250C" w:rsidRDefault="00744B2D" w:rsidP="00A46160">
      <w:pPr>
        <w:pStyle w:val="Spistreci3"/>
        <w:rPr>
          <w:rFonts w:asciiTheme="minorHAnsi" w:eastAsiaTheme="minorEastAsia" w:hAnsiTheme="minorHAnsi" w:cstheme="minorBidi"/>
          <w:color w:val="auto"/>
          <w:sz w:val="20"/>
        </w:rPr>
      </w:pPr>
      <w:hyperlink w:anchor="_Toc11247780" w:history="1">
        <w:r w:rsidR="00845591" w:rsidRPr="00EC250C">
          <w:rPr>
            <w:rStyle w:val="Hipercze"/>
          </w:rPr>
          <w:t>Art. 70 Konstytucji ust. 5 – Autonomia szkół wyższych</w:t>
        </w:r>
        <w:r w:rsidR="00845591" w:rsidRPr="00EC250C">
          <w:rPr>
            <w:webHidden/>
          </w:rPr>
          <w:tab/>
        </w:r>
        <w:r w:rsidR="00845591" w:rsidRPr="00EC250C">
          <w:rPr>
            <w:webHidden/>
          </w:rPr>
          <w:fldChar w:fldCharType="begin"/>
        </w:r>
        <w:r w:rsidR="00845591" w:rsidRPr="00EC250C">
          <w:rPr>
            <w:webHidden/>
          </w:rPr>
          <w:instrText xml:space="preserve"> PAGEREF _Toc11247780 \h </w:instrText>
        </w:r>
        <w:r w:rsidR="00845591" w:rsidRPr="00EC250C">
          <w:rPr>
            <w:webHidden/>
          </w:rPr>
        </w:r>
        <w:r w:rsidR="00845591" w:rsidRPr="00EC250C">
          <w:rPr>
            <w:webHidden/>
          </w:rPr>
          <w:fldChar w:fldCharType="separate"/>
        </w:r>
        <w:r>
          <w:rPr>
            <w:webHidden/>
          </w:rPr>
          <w:t>333</w:t>
        </w:r>
        <w:r w:rsidR="00845591" w:rsidRPr="00EC250C">
          <w:rPr>
            <w:webHidden/>
          </w:rPr>
          <w:fldChar w:fldCharType="end"/>
        </w:r>
      </w:hyperlink>
    </w:p>
    <w:p w14:paraId="1394BBAD" w14:textId="30C3B799" w:rsidR="00845591" w:rsidRPr="00EC250C" w:rsidRDefault="00744B2D" w:rsidP="001759D6">
      <w:pPr>
        <w:pStyle w:val="Spistreci4"/>
        <w:rPr>
          <w:rFonts w:asciiTheme="minorHAnsi" w:eastAsiaTheme="minorEastAsia" w:hAnsiTheme="minorHAnsi" w:cstheme="minorBidi"/>
        </w:rPr>
      </w:pPr>
      <w:hyperlink w:anchor="_Toc11247781" w:history="1">
        <w:r w:rsidR="00845591" w:rsidRPr="00EC250C">
          <w:rPr>
            <w:rStyle w:val="Hipercze"/>
          </w:rPr>
          <w:t>Gwarancja dożywotniego zatrudnienia na uczelni wykładowców będących jednocześnie sędziami Trybunału Konstytucyjnego, Sądu Najwyższego i NSA</w:t>
        </w:r>
        <w:r w:rsidR="00845591" w:rsidRPr="00EC250C">
          <w:rPr>
            <w:webHidden/>
          </w:rPr>
          <w:tab/>
        </w:r>
        <w:r w:rsidR="00845591" w:rsidRPr="00EC250C">
          <w:rPr>
            <w:webHidden/>
          </w:rPr>
          <w:fldChar w:fldCharType="begin"/>
        </w:r>
        <w:r w:rsidR="00845591" w:rsidRPr="00EC250C">
          <w:rPr>
            <w:webHidden/>
          </w:rPr>
          <w:instrText xml:space="preserve"> PAGEREF _Toc11247781 \h </w:instrText>
        </w:r>
        <w:r w:rsidR="00845591" w:rsidRPr="00EC250C">
          <w:rPr>
            <w:webHidden/>
          </w:rPr>
        </w:r>
        <w:r w:rsidR="00845591" w:rsidRPr="00EC250C">
          <w:rPr>
            <w:webHidden/>
          </w:rPr>
          <w:fldChar w:fldCharType="separate"/>
        </w:r>
        <w:r>
          <w:rPr>
            <w:webHidden/>
          </w:rPr>
          <w:t>334</w:t>
        </w:r>
        <w:r w:rsidR="00845591" w:rsidRPr="00EC250C">
          <w:rPr>
            <w:webHidden/>
          </w:rPr>
          <w:fldChar w:fldCharType="end"/>
        </w:r>
      </w:hyperlink>
    </w:p>
    <w:p w14:paraId="4BF094CB" w14:textId="13CB84AE" w:rsidR="00845591" w:rsidRPr="00EC250C" w:rsidRDefault="00744B2D" w:rsidP="001759D6">
      <w:pPr>
        <w:pStyle w:val="Spistreci4"/>
        <w:rPr>
          <w:rFonts w:asciiTheme="minorHAnsi" w:eastAsiaTheme="minorEastAsia" w:hAnsiTheme="minorHAnsi" w:cstheme="minorBidi"/>
        </w:rPr>
      </w:pPr>
      <w:hyperlink w:anchor="_Toc11247782" w:history="1">
        <w:r w:rsidR="00845591" w:rsidRPr="00EC250C">
          <w:rPr>
            <w:rStyle w:val="Hipercze"/>
          </w:rPr>
          <w:t>Stopień trudności matury a rekrutacja na studia</w:t>
        </w:r>
        <w:r w:rsidR="00845591" w:rsidRPr="00EC250C">
          <w:rPr>
            <w:webHidden/>
          </w:rPr>
          <w:tab/>
        </w:r>
        <w:r w:rsidR="00845591" w:rsidRPr="00EC250C">
          <w:rPr>
            <w:webHidden/>
          </w:rPr>
          <w:fldChar w:fldCharType="begin"/>
        </w:r>
        <w:r w:rsidR="00845591" w:rsidRPr="00EC250C">
          <w:rPr>
            <w:webHidden/>
          </w:rPr>
          <w:instrText xml:space="preserve"> PAGEREF _Toc11247782 \h </w:instrText>
        </w:r>
        <w:r w:rsidR="00845591" w:rsidRPr="00EC250C">
          <w:rPr>
            <w:webHidden/>
          </w:rPr>
        </w:r>
        <w:r w:rsidR="00845591" w:rsidRPr="00EC250C">
          <w:rPr>
            <w:webHidden/>
          </w:rPr>
          <w:fldChar w:fldCharType="separate"/>
        </w:r>
        <w:r>
          <w:rPr>
            <w:webHidden/>
          </w:rPr>
          <w:t>335</w:t>
        </w:r>
        <w:r w:rsidR="00845591" w:rsidRPr="00EC250C">
          <w:rPr>
            <w:webHidden/>
          </w:rPr>
          <w:fldChar w:fldCharType="end"/>
        </w:r>
      </w:hyperlink>
    </w:p>
    <w:p w14:paraId="67890B62" w14:textId="04D0B638" w:rsidR="00845591" w:rsidRPr="00EC250C" w:rsidRDefault="00744B2D" w:rsidP="00A46160">
      <w:pPr>
        <w:pStyle w:val="Spistreci3"/>
        <w:rPr>
          <w:rFonts w:asciiTheme="minorHAnsi" w:eastAsiaTheme="minorEastAsia" w:hAnsiTheme="minorHAnsi" w:cstheme="minorBidi"/>
          <w:color w:val="auto"/>
          <w:sz w:val="20"/>
        </w:rPr>
      </w:pPr>
      <w:hyperlink w:anchor="_Toc11247783" w:history="1">
        <w:r w:rsidR="00845591" w:rsidRPr="00EC250C">
          <w:rPr>
            <w:rStyle w:val="Hipercze"/>
          </w:rPr>
          <w:t>Art. 71 Konstytucji ust. 1 – Dobro rodziny. Wsparcie dla rodzin</w:t>
        </w:r>
        <w:r w:rsidR="00845591" w:rsidRPr="00EC250C">
          <w:rPr>
            <w:webHidden/>
          </w:rPr>
          <w:tab/>
        </w:r>
        <w:r w:rsidR="00845591" w:rsidRPr="00EC250C">
          <w:rPr>
            <w:webHidden/>
          </w:rPr>
          <w:fldChar w:fldCharType="begin"/>
        </w:r>
        <w:r w:rsidR="00845591" w:rsidRPr="00EC250C">
          <w:rPr>
            <w:webHidden/>
          </w:rPr>
          <w:instrText xml:space="preserve"> PAGEREF _Toc11247783 \h </w:instrText>
        </w:r>
        <w:r w:rsidR="00845591" w:rsidRPr="00EC250C">
          <w:rPr>
            <w:webHidden/>
          </w:rPr>
        </w:r>
        <w:r w:rsidR="00845591" w:rsidRPr="00EC250C">
          <w:rPr>
            <w:webHidden/>
          </w:rPr>
          <w:fldChar w:fldCharType="separate"/>
        </w:r>
        <w:r>
          <w:rPr>
            <w:webHidden/>
          </w:rPr>
          <w:t>337</w:t>
        </w:r>
        <w:r w:rsidR="00845591" w:rsidRPr="00EC250C">
          <w:rPr>
            <w:webHidden/>
          </w:rPr>
          <w:fldChar w:fldCharType="end"/>
        </w:r>
      </w:hyperlink>
    </w:p>
    <w:p w14:paraId="0F868E10" w14:textId="3D1D6F34" w:rsidR="00845591" w:rsidRPr="00A46160" w:rsidRDefault="00744B2D" w:rsidP="001759D6">
      <w:pPr>
        <w:pStyle w:val="Spistreci4"/>
        <w:rPr>
          <w:rFonts w:asciiTheme="minorHAnsi" w:eastAsiaTheme="minorEastAsia" w:hAnsiTheme="minorHAnsi" w:cstheme="minorBidi"/>
        </w:rPr>
      </w:pPr>
      <w:hyperlink w:anchor="_Toc11247784" w:history="1">
        <w:r w:rsidR="00845591" w:rsidRPr="00A46160">
          <w:rPr>
            <w:rStyle w:val="Hipercze"/>
          </w:rPr>
          <w:t>Problemy polskich rodzin – przesłanie Rzecznika Praw Obywatelskich do uczestników Kongresu Praw Rodzicielskich</w:t>
        </w:r>
        <w:r w:rsidR="00845591" w:rsidRPr="00A46160">
          <w:rPr>
            <w:webHidden/>
          </w:rPr>
          <w:tab/>
        </w:r>
        <w:r w:rsidR="00845591" w:rsidRPr="00A46160">
          <w:rPr>
            <w:webHidden/>
          </w:rPr>
          <w:fldChar w:fldCharType="begin"/>
        </w:r>
        <w:r w:rsidR="00845591" w:rsidRPr="00A46160">
          <w:rPr>
            <w:webHidden/>
          </w:rPr>
          <w:instrText xml:space="preserve"> PAGEREF _Toc11247784 \h </w:instrText>
        </w:r>
        <w:r w:rsidR="00845591" w:rsidRPr="00A46160">
          <w:rPr>
            <w:webHidden/>
          </w:rPr>
        </w:r>
        <w:r w:rsidR="00845591" w:rsidRPr="00A46160">
          <w:rPr>
            <w:webHidden/>
          </w:rPr>
          <w:fldChar w:fldCharType="separate"/>
        </w:r>
        <w:r>
          <w:rPr>
            <w:webHidden/>
          </w:rPr>
          <w:t>338</w:t>
        </w:r>
        <w:r w:rsidR="00845591" w:rsidRPr="00A46160">
          <w:rPr>
            <w:webHidden/>
          </w:rPr>
          <w:fldChar w:fldCharType="end"/>
        </w:r>
      </w:hyperlink>
    </w:p>
    <w:p w14:paraId="3804BF06" w14:textId="08C7E15A" w:rsidR="00845591" w:rsidRPr="00EC250C" w:rsidRDefault="00744B2D" w:rsidP="001759D6">
      <w:pPr>
        <w:pStyle w:val="Spistreci4"/>
        <w:rPr>
          <w:rFonts w:asciiTheme="minorHAnsi" w:eastAsiaTheme="minorEastAsia" w:hAnsiTheme="minorHAnsi" w:cstheme="minorBidi"/>
        </w:rPr>
      </w:pPr>
      <w:hyperlink w:anchor="_Toc11247785" w:history="1">
        <w:r w:rsidR="00845591" w:rsidRPr="00EC250C">
          <w:rPr>
            <w:rStyle w:val="Hipercze"/>
          </w:rPr>
          <w:t>Problemy ze świadczeniem 500+</w:t>
        </w:r>
        <w:r w:rsidR="00845591" w:rsidRPr="00EC250C">
          <w:rPr>
            <w:webHidden/>
          </w:rPr>
          <w:tab/>
        </w:r>
        <w:r w:rsidR="00845591" w:rsidRPr="00EC250C">
          <w:rPr>
            <w:webHidden/>
          </w:rPr>
          <w:fldChar w:fldCharType="begin"/>
        </w:r>
        <w:r w:rsidR="00845591" w:rsidRPr="00EC250C">
          <w:rPr>
            <w:webHidden/>
          </w:rPr>
          <w:instrText xml:space="preserve"> PAGEREF _Toc11247785 \h </w:instrText>
        </w:r>
        <w:r w:rsidR="00845591" w:rsidRPr="00EC250C">
          <w:rPr>
            <w:webHidden/>
          </w:rPr>
        </w:r>
        <w:r w:rsidR="00845591" w:rsidRPr="00EC250C">
          <w:rPr>
            <w:webHidden/>
          </w:rPr>
          <w:fldChar w:fldCharType="separate"/>
        </w:r>
        <w:r>
          <w:rPr>
            <w:webHidden/>
          </w:rPr>
          <w:t>340</w:t>
        </w:r>
        <w:r w:rsidR="00845591" w:rsidRPr="00EC250C">
          <w:rPr>
            <w:webHidden/>
          </w:rPr>
          <w:fldChar w:fldCharType="end"/>
        </w:r>
      </w:hyperlink>
    </w:p>
    <w:p w14:paraId="29212066" w14:textId="2D1C7323" w:rsidR="00845591" w:rsidRPr="00A46160" w:rsidRDefault="00744B2D" w:rsidP="001759D6">
      <w:pPr>
        <w:pStyle w:val="Spistreci4"/>
        <w:rPr>
          <w:rFonts w:asciiTheme="minorHAnsi" w:eastAsiaTheme="minorEastAsia" w:hAnsiTheme="minorHAnsi" w:cstheme="minorBidi"/>
        </w:rPr>
      </w:pPr>
      <w:hyperlink w:anchor="_Toc11247786" w:history="1">
        <w:r w:rsidR="00845591" w:rsidRPr="00A46160">
          <w:rPr>
            <w:rStyle w:val="Hipercze"/>
            <w:spacing w:val="0"/>
          </w:rPr>
          <w:t>Ofiary przemocy stosowanej przez bliskie osoby poza systemem wsparcia – niekompletna definicja przemocy „domowej”</w:t>
        </w:r>
        <w:r w:rsidR="00845591" w:rsidRPr="00A46160">
          <w:rPr>
            <w:webHidden/>
          </w:rPr>
          <w:tab/>
        </w:r>
        <w:r w:rsidR="00845591" w:rsidRPr="00A46160">
          <w:rPr>
            <w:webHidden/>
          </w:rPr>
          <w:fldChar w:fldCharType="begin"/>
        </w:r>
        <w:r w:rsidR="00845591" w:rsidRPr="00A46160">
          <w:rPr>
            <w:webHidden/>
          </w:rPr>
          <w:instrText xml:space="preserve"> PAGEREF _Toc11247786 \h </w:instrText>
        </w:r>
        <w:r w:rsidR="00845591" w:rsidRPr="00A46160">
          <w:rPr>
            <w:webHidden/>
          </w:rPr>
        </w:r>
        <w:r w:rsidR="00845591" w:rsidRPr="00A46160">
          <w:rPr>
            <w:webHidden/>
          </w:rPr>
          <w:fldChar w:fldCharType="separate"/>
        </w:r>
        <w:r>
          <w:rPr>
            <w:webHidden/>
          </w:rPr>
          <w:t>342</w:t>
        </w:r>
        <w:r w:rsidR="00845591" w:rsidRPr="00A46160">
          <w:rPr>
            <w:webHidden/>
          </w:rPr>
          <w:fldChar w:fldCharType="end"/>
        </w:r>
      </w:hyperlink>
    </w:p>
    <w:p w14:paraId="76E4AD03" w14:textId="5A179588" w:rsidR="00845591" w:rsidRPr="00EC250C" w:rsidRDefault="00744B2D" w:rsidP="001759D6">
      <w:pPr>
        <w:pStyle w:val="Spistreci4"/>
        <w:rPr>
          <w:rFonts w:asciiTheme="minorHAnsi" w:eastAsiaTheme="minorEastAsia" w:hAnsiTheme="minorHAnsi" w:cstheme="minorBidi"/>
        </w:rPr>
      </w:pPr>
      <w:hyperlink w:anchor="_Toc11247787" w:history="1">
        <w:r w:rsidR="00845591" w:rsidRPr="00EC250C">
          <w:rPr>
            <w:rStyle w:val="Hipercze"/>
          </w:rPr>
          <w:t>Długotrwałość postępowań sądowych z wniosku osób dotkniętych przemocą domową</w:t>
        </w:r>
        <w:r w:rsidR="00845591" w:rsidRPr="00EC250C">
          <w:rPr>
            <w:webHidden/>
          </w:rPr>
          <w:tab/>
        </w:r>
        <w:r w:rsidR="00845591" w:rsidRPr="00EC250C">
          <w:rPr>
            <w:webHidden/>
          </w:rPr>
          <w:fldChar w:fldCharType="begin"/>
        </w:r>
        <w:r w:rsidR="00845591" w:rsidRPr="00EC250C">
          <w:rPr>
            <w:webHidden/>
          </w:rPr>
          <w:instrText xml:space="preserve"> PAGEREF _Toc11247787 \h </w:instrText>
        </w:r>
        <w:r w:rsidR="00845591" w:rsidRPr="00EC250C">
          <w:rPr>
            <w:webHidden/>
          </w:rPr>
        </w:r>
        <w:r w:rsidR="00845591" w:rsidRPr="00EC250C">
          <w:rPr>
            <w:webHidden/>
          </w:rPr>
          <w:fldChar w:fldCharType="separate"/>
        </w:r>
        <w:r>
          <w:rPr>
            <w:webHidden/>
          </w:rPr>
          <w:t>342</w:t>
        </w:r>
        <w:r w:rsidR="00845591" w:rsidRPr="00EC250C">
          <w:rPr>
            <w:webHidden/>
          </w:rPr>
          <w:fldChar w:fldCharType="end"/>
        </w:r>
      </w:hyperlink>
    </w:p>
    <w:p w14:paraId="3DCE42A0" w14:textId="37BFD3EB" w:rsidR="00845591" w:rsidRPr="00EC250C" w:rsidRDefault="00744B2D" w:rsidP="001759D6">
      <w:pPr>
        <w:pStyle w:val="Spistreci4"/>
        <w:rPr>
          <w:rFonts w:asciiTheme="minorHAnsi" w:eastAsiaTheme="minorEastAsia" w:hAnsiTheme="minorHAnsi" w:cstheme="minorBidi"/>
        </w:rPr>
      </w:pPr>
      <w:hyperlink w:anchor="_Toc11247788" w:history="1">
        <w:r w:rsidR="00845591" w:rsidRPr="00EC250C">
          <w:rPr>
            <w:rStyle w:val="Hipercze"/>
          </w:rPr>
          <w:t>Wsparcie dla dzieci i młodzieży z niepełnosprawnością po uzyskaniu pełnoletności</w:t>
        </w:r>
        <w:r w:rsidR="00845591" w:rsidRPr="00EC250C">
          <w:rPr>
            <w:webHidden/>
          </w:rPr>
          <w:tab/>
        </w:r>
        <w:r w:rsidR="00845591" w:rsidRPr="00EC250C">
          <w:rPr>
            <w:webHidden/>
          </w:rPr>
          <w:fldChar w:fldCharType="begin"/>
        </w:r>
        <w:r w:rsidR="00845591" w:rsidRPr="00EC250C">
          <w:rPr>
            <w:webHidden/>
          </w:rPr>
          <w:instrText xml:space="preserve"> PAGEREF _Toc11247788 \h </w:instrText>
        </w:r>
        <w:r w:rsidR="00845591" w:rsidRPr="00EC250C">
          <w:rPr>
            <w:webHidden/>
          </w:rPr>
        </w:r>
        <w:r w:rsidR="00845591" w:rsidRPr="00EC250C">
          <w:rPr>
            <w:webHidden/>
          </w:rPr>
          <w:fldChar w:fldCharType="separate"/>
        </w:r>
        <w:r>
          <w:rPr>
            <w:webHidden/>
          </w:rPr>
          <w:t>343</w:t>
        </w:r>
        <w:r w:rsidR="00845591" w:rsidRPr="00EC250C">
          <w:rPr>
            <w:webHidden/>
          </w:rPr>
          <w:fldChar w:fldCharType="end"/>
        </w:r>
      </w:hyperlink>
    </w:p>
    <w:p w14:paraId="2CDEDBC1" w14:textId="6EA5CA99" w:rsidR="00845591" w:rsidRPr="00A46160" w:rsidRDefault="00744B2D" w:rsidP="00A46160">
      <w:pPr>
        <w:pStyle w:val="Spistreci3"/>
        <w:rPr>
          <w:rFonts w:asciiTheme="minorHAnsi" w:eastAsiaTheme="minorEastAsia" w:hAnsiTheme="minorHAnsi" w:cstheme="minorBidi"/>
          <w:color w:val="auto"/>
          <w:sz w:val="20"/>
        </w:rPr>
      </w:pPr>
      <w:hyperlink w:anchor="_Toc11247789" w:history="1">
        <w:r w:rsidR="00845591" w:rsidRPr="00A46160">
          <w:rPr>
            <w:rStyle w:val="Hipercze"/>
            <w:spacing w:val="-4"/>
          </w:rPr>
          <w:t>Art. 71 Konstytucji ust. 2 – Pomoc dla matek przed i po urodzeniu dziecka</w:t>
        </w:r>
        <w:r w:rsidR="00EC250C" w:rsidRPr="00A46160">
          <w:rPr>
            <w:rStyle w:val="Hipercze"/>
            <w:spacing w:val="-4"/>
          </w:rPr>
          <w:tab/>
        </w:r>
        <w:r w:rsidR="00845591" w:rsidRPr="00A46160">
          <w:rPr>
            <w:webHidden/>
          </w:rPr>
          <w:fldChar w:fldCharType="begin"/>
        </w:r>
        <w:r w:rsidR="00845591" w:rsidRPr="00A46160">
          <w:rPr>
            <w:webHidden/>
          </w:rPr>
          <w:instrText xml:space="preserve"> PAGEREF _Toc11247789 \h </w:instrText>
        </w:r>
        <w:r w:rsidR="00845591" w:rsidRPr="00A46160">
          <w:rPr>
            <w:webHidden/>
          </w:rPr>
        </w:r>
        <w:r w:rsidR="00845591" w:rsidRPr="00A46160">
          <w:rPr>
            <w:webHidden/>
          </w:rPr>
          <w:fldChar w:fldCharType="separate"/>
        </w:r>
        <w:r>
          <w:rPr>
            <w:webHidden/>
          </w:rPr>
          <w:t>344</w:t>
        </w:r>
        <w:r w:rsidR="00845591" w:rsidRPr="00A46160">
          <w:rPr>
            <w:webHidden/>
          </w:rPr>
          <w:fldChar w:fldCharType="end"/>
        </w:r>
      </w:hyperlink>
    </w:p>
    <w:p w14:paraId="7CA1369A" w14:textId="471B7621" w:rsidR="00845591" w:rsidRPr="00EC250C" w:rsidRDefault="00744B2D" w:rsidP="001759D6">
      <w:pPr>
        <w:pStyle w:val="Spistreci4"/>
        <w:rPr>
          <w:rFonts w:asciiTheme="minorHAnsi" w:eastAsiaTheme="minorEastAsia" w:hAnsiTheme="minorHAnsi" w:cstheme="minorBidi"/>
        </w:rPr>
      </w:pPr>
      <w:hyperlink w:anchor="_Toc11247790" w:history="1">
        <w:r w:rsidR="00845591" w:rsidRPr="00EC250C">
          <w:rPr>
            <w:rStyle w:val="Hipercze"/>
          </w:rPr>
          <w:t>Nieprzystosowane więzienne sale widzeń</w:t>
        </w:r>
        <w:r w:rsidR="00845591" w:rsidRPr="00EC250C">
          <w:rPr>
            <w:webHidden/>
          </w:rPr>
          <w:tab/>
        </w:r>
        <w:r w:rsidR="00845591" w:rsidRPr="00EC250C">
          <w:rPr>
            <w:webHidden/>
          </w:rPr>
          <w:fldChar w:fldCharType="begin"/>
        </w:r>
        <w:r w:rsidR="00845591" w:rsidRPr="00EC250C">
          <w:rPr>
            <w:webHidden/>
          </w:rPr>
          <w:instrText xml:space="preserve"> PAGEREF _Toc11247790 \h </w:instrText>
        </w:r>
        <w:r w:rsidR="00845591" w:rsidRPr="00EC250C">
          <w:rPr>
            <w:webHidden/>
          </w:rPr>
        </w:r>
        <w:r w:rsidR="00845591" w:rsidRPr="00EC250C">
          <w:rPr>
            <w:webHidden/>
          </w:rPr>
          <w:fldChar w:fldCharType="separate"/>
        </w:r>
        <w:r>
          <w:rPr>
            <w:webHidden/>
          </w:rPr>
          <w:t>345</w:t>
        </w:r>
        <w:r w:rsidR="00845591" w:rsidRPr="00EC250C">
          <w:rPr>
            <w:webHidden/>
          </w:rPr>
          <w:fldChar w:fldCharType="end"/>
        </w:r>
      </w:hyperlink>
    </w:p>
    <w:p w14:paraId="4FB8BAB0" w14:textId="3BE2BFA0" w:rsidR="00845591" w:rsidRPr="00EC250C" w:rsidRDefault="00744B2D" w:rsidP="00A46160">
      <w:pPr>
        <w:pStyle w:val="Spistreci3"/>
        <w:rPr>
          <w:rFonts w:asciiTheme="minorHAnsi" w:eastAsiaTheme="minorEastAsia" w:hAnsiTheme="minorHAnsi" w:cstheme="minorBidi"/>
          <w:color w:val="auto"/>
          <w:sz w:val="20"/>
        </w:rPr>
      </w:pPr>
      <w:hyperlink w:anchor="_Toc11247791" w:history="1">
        <w:r w:rsidR="00845591" w:rsidRPr="00EC250C">
          <w:rPr>
            <w:rStyle w:val="Hipercze"/>
          </w:rPr>
          <w:t>Art. 72 Konstytucji – Prawa dziecka</w:t>
        </w:r>
        <w:r w:rsidR="00845591" w:rsidRPr="00EC250C">
          <w:rPr>
            <w:webHidden/>
          </w:rPr>
          <w:tab/>
        </w:r>
        <w:r w:rsidR="00845591" w:rsidRPr="00EC250C">
          <w:rPr>
            <w:webHidden/>
          </w:rPr>
          <w:fldChar w:fldCharType="begin"/>
        </w:r>
        <w:r w:rsidR="00845591" w:rsidRPr="00EC250C">
          <w:rPr>
            <w:webHidden/>
          </w:rPr>
          <w:instrText xml:space="preserve"> PAGEREF _Toc11247791 \h </w:instrText>
        </w:r>
        <w:r w:rsidR="00845591" w:rsidRPr="00EC250C">
          <w:rPr>
            <w:webHidden/>
          </w:rPr>
        </w:r>
        <w:r w:rsidR="00845591" w:rsidRPr="00EC250C">
          <w:rPr>
            <w:webHidden/>
          </w:rPr>
          <w:fldChar w:fldCharType="separate"/>
        </w:r>
        <w:r>
          <w:rPr>
            <w:webHidden/>
          </w:rPr>
          <w:t>346</w:t>
        </w:r>
        <w:r w:rsidR="00845591" w:rsidRPr="00EC250C">
          <w:rPr>
            <w:webHidden/>
          </w:rPr>
          <w:fldChar w:fldCharType="end"/>
        </w:r>
      </w:hyperlink>
    </w:p>
    <w:p w14:paraId="7CDEDECE" w14:textId="5A1528BD" w:rsidR="00845591" w:rsidRPr="00EC250C" w:rsidRDefault="00744B2D" w:rsidP="001759D6">
      <w:pPr>
        <w:pStyle w:val="Spistreci4"/>
        <w:rPr>
          <w:rFonts w:asciiTheme="minorHAnsi" w:eastAsiaTheme="minorEastAsia" w:hAnsiTheme="minorHAnsi" w:cstheme="minorBidi"/>
        </w:rPr>
      </w:pPr>
      <w:hyperlink w:anchor="_Toc11247792" w:history="1">
        <w:r w:rsidR="00845591" w:rsidRPr="00EC250C">
          <w:rPr>
            <w:rStyle w:val="Hipercze"/>
          </w:rPr>
          <w:t>Dzieci bez alimentów</w:t>
        </w:r>
        <w:r w:rsidR="00845591" w:rsidRPr="00EC250C">
          <w:rPr>
            <w:webHidden/>
          </w:rPr>
          <w:tab/>
        </w:r>
        <w:r w:rsidR="00845591" w:rsidRPr="00EC250C">
          <w:rPr>
            <w:webHidden/>
          </w:rPr>
          <w:fldChar w:fldCharType="begin"/>
        </w:r>
        <w:r w:rsidR="00845591" w:rsidRPr="00EC250C">
          <w:rPr>
            <w:webHidden/>
          </w:rPr>
          <w:instrText xml:space="preserve"> PAGEREF _Toc11247792 \h </w:instrText>
        </w:r>
        <w:r w:rsidR="00845591" w:rsidRPr="00EC250C">
          <w:rPr>
            <w:webHidden/>
          </w:rPr>
        </w:r>
        <w:r w:rsidR="00845591" w:rsidRPr="00EC250C">
          <w:rPr>
            <w:webHidden/>
          </w:rPr>
          <w:fldChar w:fldCharType="separate"/>
        </w:r>
        <w:r>
          <w:rPr>
            <w:webHidden/>
          </w:rPr>
          <w:t>348</w:t>
        </w:r>
        <w:r w:rsidR="00845591" w:rsidRPr="00EC250C">
          <w:rPr>
            <w:webHidden/>
          </w:rPr>
          <w:fldChar w:fldCharType="end"/>
        </w:r>
      </w:hyperlink>
    </w:p>
    <w:p w14:paraId="0D16821F" w14:textId="4ADA94F8" w:rsidR="00845591" w:rsidRPr="00EC250C" w:rsidRDefault="00744B2D" w:rsidP="001759D6">
      <w:pPr>
        <w:pStyle w:val="Spistreci4"/>
        <w:rPr>
          <w:rFonts w:asciiTheme="minorHAnsi" w:eastAsiaTheme="minorEastAsia" w:hAnsiTheme="minorHAnsi" w:cstheme="minorBidi"/>
        </w:rPr>
      </w:pPr>
      <w:hyperlink w:anchor="_Toc11247793" w:history="1">
        <w:r w:rsidR="00845591" w:rsidRPr="00EC250C">
          <w:rPr>
            <w:rStyle w:val="Hipercze"/>
          </w:rPr>
          <w:t>Zbyt długi czas podejmowania decyzji w sprawach o opiekę nad dziećmi</w:t>
        </w:r>
        <w:r w:rsidR="00845591" w:rsidRPr="00EC250C">
          <w:rPr>
            <w:webHidden/>
          </w:rPr>
          <w:tab/>
        </w:r>
        <w:r w:rsidR="00845591" w:rsidRPr="00EC250C">
          <w:rPr>
            <w:webHidden/>
          </w:rPr>
          <w:fldChar w:fldCharType="begin"/>
        </w:r>
        <w:r w:rsidR="00845591" w:rsidRPr="00EC250C">
          <w:rPr>
            <w:webHidden/>
          </w:rPr>
          <w:instrText xml:space="preserve"> PAGEREF _Toc11247793 \h </w:instrText>
        </w:r>
        <w:r w:rsidR="00845591" w:rsidRPr="00EC250C">
          <w:rPr>
            <w:webHidden/>
          </w:rPr>
        </w:r>
        <w:r w:rsidR="00845591" w:rsidRPr="00EC250C">
          <w:rPr>
            <w:webHidden/>
          </w:rPr>
          <w:fldChar w:fldCharType="separate"/>
        </w:r>
        <w:r>
          <w:rPr>
            <w:webHidden/>
          </w:rPr>
          <w:t>353</w:t>
        </w:r>
        <w:r w:rsidR="00845591" w:rsidRPr="00EC250C">
          <w:rPr>
            <w:webHidden/>
          </w:rPr>
          <w:fldChar w:fldCharType="end"/>
        </w:r>
      </w:hyperlink>
    </w:p>
    <w:p w14:paraId="338A8759" w14:textId="786DFBFA" w:rsidR="00845591" w:rsidRPr="00EC250C" w:rsidRDefault="00744B2D" w:rsidP="001759D6">
      <w:pPr>
        <w:pStyle w:val="Spistreci4"/>
        <w:rPr>
          <w:rFonts w:asciiTheme="minorHAnsi" w:eastAsiaTheme="minorEastAsia" w:hAnsiTheme="minorHAnsi" w:cstheme="minorBidi"/>
        </w:rPr>
      </w:pPr>
      <w:hyperlink w:anchor="_Toc11247794" w:history="1">
        <w:r w:rsidR="00845591" w:rsidRPr="00EC250C">
          <w:rPr>
            <w:rStyle w:val="Hipercze"/>
          </w:rPr>
          <w:t>Problem dzieci-ofiar przestępstwa pedofilii ze strony księży</w:t>
        </w:r>
        <w:r w:rsidR="00845591" w:rsidRPr="00EC250C">
          <w:rPr>
            <w:webHidden/>
          </w:rPr>
          <w:tab/>
        </w:r>
        <w:r w:rsidR="00845591" w:rsidRPr="00EC250C">
          <w:rPr>
            <w:webHidden/>
          </w:rPr>
          <w:fldChar w:fldCharType="begin"/>
        </w:r>
        <w:r w:rsidR="00845591" w:rsidRPr="00EC250C">
          <w:rPr>
            <w:webHidden/>
          </w:rPr>
          <w:instrText xml:space="preserve"> PAGEREF _Toc11247794 \h </w:instrText>
        </w:r>
        <w:r w:rsidR="00845591" w:rsidRPr="00EC250C">
          <w:rPr>
            <w:webHidden/>
          </w:rPr>
        </w:r>
        <w:r w:rsidR="00845591" w:rsidRPr="00EC250C">
          <w:rPr>
            <w:webHidden/>
          </w:rPr>
          <w:fldChar w:fldCharType="separate"/>
        </w:r>
        <w:r>
          <w:rPr>
            <w:webHidden/>
          </w:rPr>
          <w:t>353</w:t>
        </w:r>
        <w:r w:rsidR="00845591" w:rsidRPr="00EC250C">
          <w:rPr>
            <w:webHidden/>
          </w:rPr>
          <w:fldChar w:fldCharType="end"/>
        </w:r>
      </w:hyperlink>
    </w:p>
    <w:p w14:paraId="647741FD" w14:textId="7FD2C4A1" w:rsidR="00845591" w:rsidRPr="00EC250C" w:rsidRDefault="00744B2D" w:rsidP="001759D6">
      <w:pPr>
        <w:pStyle w:val="Spistreci4"/>
        <w:rPr>
          <w:rFonts w:asciiTheme="minorHAnsi" w:eastAsiaTheme="minorEastAsia" w:hAnsiTheme="minorHAnsi" w:cstheme="minorBidi"/>
        </w:rPr>
      </w:pPr>
      <w:hyperlink w:anchor="_Toc11247795" w:history="1">
        <w:r w:rsidR="00845591" w:rsidRPr="00EC250C">
          <w:rPr>
            <w:rStyle w:val="Hipercze"/>
          </w:rPr>
          <w:t>Kontrola osobista dzieci przed widzeniem w więzieniu</w:t>
        </w:r>
        <w:r w:rsidR="00845591" w:rsidRPr="00EC250C">
          <w:rPr>
            <w:webHidden/>
          </w:rPr>
          <w:tab/>
        </w:r>
        <w:r w:rsidR="00845591" w:rsidRPr="00EC250C">
          <w:rPr>
            <w:webHidden/>
          </w:rPr>
          <w:fldChar w:fldCharType="begin"/>
        </w:r>
        <w:r w:rsidR="00845591" w:rsidRPr="00EC250C">
          <w:rPr>
            <w:webHidden/>
          </w:rPr>
          <w:instrText xml:space="preserve"> PAGEREF _Toc11247795 \h </w:instrText>
        </w:r>
        <w:r w:rsidR="00845591" w:rsidRPr="00EC250C">
          <w:rPr>
            <w:webHidden/>
          </w:rPr>
        </w:r>
        <w:r w:rsidR="00845591" w:rsidRPr="00EC250C">
          <w:rPr>
            <w:webHidden/>
          </w:rPr>
          <w:fldChar w:fldCharType="separate"/>
        </w:r>
        <w:r>
          <w:rPr>
            <w:webHidden/>
          </w:rPr>
          <w:t>354</w:t>
        </w:r>
        <w:r w:rsidR="00845591" w:rsidRPr="00EC250C">
          <w:rPr>
            <w:webHidden/>
          </w:rPr>
          <w:fldChar w:fldCharType="end"/>
        </w:r>
      </w:hyperlink>
    </w:p>
    <w:p w14:paraId="4E2B6CE3" w14:textId="2E20B5A3" w:rsidR="00845591" w:rsidRPr="00EC250C" w:rsidRDefault="00744B2D" w:rsidP="001759D6">
      <w:pPr>
        <w:pStyle w:val="Spistreci4"/>
        <w:rPr>
          <w:rFonts w:asciiTheme="minorHAnsi" w:eastAsiaTheme="minorEastAsia" w:hAnsiTheme="minorHAnsi" w:cstheme="minorBidi"/>
        </w:rPr>
      </w:pPr>
      <w:hyperlink w:anchor="_Toc11247796" w:history="1">
        <w:r w:rsidR="00845591" w:rsidRPr="00EC250C">
          <w:rPr>
            <w:rStyle w:val="Hipercze"/>
          </w:rPr>
          <w:t>Transport nieletnich do zakładów opieki zdrowotnej na podstawie orzeczeń sądu</w:t>
        </w:r>
        <w:r w:rsidR="00845591" w:rsidRPr="00EC250C">
          <w:rPr>
            <w:webHidden/>
          </w:rPr>
          <w:tab/>
        </w:r>
        <w:r w:rsidR="00845591" w:rsidRPr="00EC250C">
          <w:rPr>
            <w:webHidden/>
          </w:rPr>
          <w:fldChar w:fldCharType="begin"/>
        </w:r>
        <w:r w:rsidR="00845591" w:rsidRPr="00EC250C">
          <w:rPr>
            <w:webHidden/>
          </w:rPr>
          <w:instrText xml:space="preserve"> PAGEREF _Toc11247796 \h </w:instrText>
        </w:r>
        <w:r w:rsidR="00845591" w:rsidRPr="00EC250C">
          <w:rPr>
            <w:webHidden/>
          </w:rPr>
        </w:r>
        <w:r w:rsidR="00845591" w:rsidRPr="00EC250C">
          <w:rPr>
            <w:webHidden/>
          </w:rPr>
          <w:fldChar w:fldCharType="separate"/>
        </w:r>
        <w:r>
          <w:rPr>
            <w:webHidden/>
          </w:rPr>
          <w:t>355</w:t>
        </w:r>
        <w:r w:rsidR="00845591" w:rsidRPr="00EC250C">
          <w:rPr>
            <w:webHidden/>
          </w:rPr>
          <w:fldChar w:fldCharType="end"/>
        </w:r>
      </w:hyperlink>
    </w:p>
    <w:p w14:paraId="72FD2278" w14:textId="66DD84FE" w:rsidR="00845591" w:rsidRPr="00EC250C" w:rsidRDefault="00744B2D" w:rsidP="001759D6">
      <w:pPr>
        <w:pStyle w:val="Spistreci4"/>
        <w:rPr>
          <w:rFonts w:asciiTheme="minorHAnsi" w:eastAsiaTheme="minorEastAsia" w:hAnsiTheme="minorHAnsi" w:cstheme="minorBidi"/>
        </w:rPr>
      </w:pPr>
      <w:hyperlink w:anchor="_Toc11247797" w:history="1">
        <w:r w:rsidR="00845591" w:rsidRPr="00EC250C">
          <w:rPr>
            <w:rStyle w:val="Hipercze"/>
          </w:rPr>
          <w:t>Problemy z potwierdzeniem obywatelstwa dzieci polskich obywateli</w:t>
        </w:r>
        <w:r w:rsidR="00845591" w:rsidRPr="00EC250C">
          <w:rPr>
            <w:webHidden/>
          </w:rPr>
          <w:tab/>
        </w:r>
        <w:r w:rsidR="00845591" w:rsidRPr="00EC250C">
          <w:rPr>
            <w:webHidden/>
          </w:rPr>
          <w:fldChar w:fldCharType="begin"/>
        </w:r>
        <w:r w:rsidR="00845591" w:rsidRPr="00EC250C">
          <w:rPr>
            <w:webHidden/>
          </w:rPr>
          <w:instrText xml:space="preserve"> PAGEREF _Toc11247797 \h </w:instrText>
        </w:r>
        <w:r w:rsidR="00845591" w:rsidRPr="00EC250C">
          <w:rPr>
            <w:webHidden/>
          </w:rPr>
        </w:r>
        <w:r w:rsidR="00845591" w:rsidRPr="00EC250C">
          <w:rPr>
            <w:webHidden/>
          </w:rPr>
          <w:fldChar w:fldCharType="separate"/>
        </w:r>
        <w:r>
          <w:rPr>
            <w:webHidden/>
          </w:rPr>
          <w:t>355</w:t>
        </w:r>
        <w:r w:rsidR="00845591" w:rsidRPr="00EC250C">
          <w:rPr>
            <w:webHidden/>
          </w:rPr>
          <w:fldChar w:fldCharType="end"/>
        </w:r>
      </w:hyperlink>
    </w:p>
    <w:p w14:paraId="742045E9" w14:textId="56732748" w:rsidR="00845591" w:rsidRPr="00EC250C" w:rsidRDefault="00744B2D" w:rsidP="00A46160">
      <w:pPr>
        <w:pStyle w:val="Spistreci3"/>
        <w:rPr>
          <w:rFonts w:asciiTheme="minorHAnsi" w:eastAsiaTheme="minorEastAsia" w:hAnsiTheme="minorHAnsi" w:cstheme="minorBidi"/>
          <w:color w:val="auto"/>
          <w:sz w:val="20"/>
        </w:rPr>
      </w:pPr>
      <w:hyperlink w:anchor="_Toc11247798" w:history="1">
        <w:r w:rsidR="00845591" w:rsidRPr="00EC250C">
          <w:rPr>
            <w:rStyle w:val="Hipercze"/>
          </w:rPr>
          <w:t>Art. 73 Konstytucji – Wolność artystyczna, badań naukowych oraz korzystania z dóbr kultury</w:t>
        </w:r>
        <w:r w:rsidR="00845591" w:rsidRPr="00EC250C">
          <w:rPr>
            <w:webHidden/>
          </w:rPr>
          <w:tab/>
        </w:r>
        <w:r w:rsidR="00845591" w:rsidRPr="00EC250C">
          <w:rPr>
            <w:webHidden/>
          </w:rPr>
          <w:fldChar w:fldCharType="begin"/>
        </w:r>
        <w:r w:rsidR="00845591" w:rsidRPr="00EC250C">
          <w:rPr>
            <w:webHidden/>
          </w:rPr>
          <w:instrText xml:space="preserve"> PAGEREF _Toc11247798 \h </w:instrText>
        </w:r>
        <w:r w:rsidR="00845591" w:rsidRPr="00EC250C">
          <w:rPr>
            <w:webHidden/>
          </w:rPr>
        </w:r>
        <w:r w:rsidR="00845591" w:rsidRPr="00EC250C">
          <w:rPr>
            <w:webHidden/>
          </w:rPr>
          <w:fldChar w:fldCharType="separate"/>
        </w:r>
        <w:r>
          <w:rPr>
            <w:webHidden/>
          </w:rPr>
          <w:t>356</w:t>
        </w:r>
        <w:r w:rsidR="00845591" w:rsidRPr="00EC250C">
          <w:rPr>
            <w:webHidden/>
          </w:rPr>
          <w:fldChar w:fldCharType="end"/>
        </w:r>
      </w:hyperlink>
    </w:p>
    <w:p w14:paraId="1526E047" w14:textId="757FD828" w:rsidR="00845591" w:rsidRPr="00EC250C" w:rsidRDefault="00744B2D" w:rsidP="001759D6">
      <w:pPr>
        <w:pStyle w:val="Spistreci4"/>
        <w:rPr>
          <w:rFonts w:asciiTheme="minorHAnsi" w:eastAsiaTheme="minorEastAsia" w:hAnsiTheme="minorHAnsi" w:cstheme="minorBidi"/>
        </w:rPr>
      </w:pPr>
      <w:hyperlink w:anchor="_Toc11247799" w:history="1">
        <w:r w:rsidR="00845591" w:rsidRPr="00EC250C">
          <w:rPr>
            <w:rStyle w:val="Hipercze"/>
          </w:rPr>
          <w:t>Erozja wolności w dziedzinie kultury zagraża bogactwu życia kulturalnego w Polsce – raport ekspertki ONZ ds. praw człowieka</w:t>
        </w:r>
        <w:r w:rsidR="00845591" w:rsidRPr="00EC250C">
          <w:rPr>
            <w:webHidden/>
          </w:rPr>
          <w:tab/>
        </w:r>
        <w:r w:rsidR="00C3177E">
          <w:rPr>
            <w:webHidden/>
          </w:rPr>
          <w:tab/>
        </w:r>
        <w:r w:rsidR="00845591" w:rsidRPr="00EC250C">
          <w:rPr>
            <w:webHidden/>
          </w:rPr>
          <w:fldChar w:fldCharType="begin"/>
        </w:r>
        <w:r w:rsidR="00845591" w:rsidRPr="00EC250C">
          <w:rPr>
            <w:webHidden/>
          </w:rPr>
          <w:instrText xml:space="preserve"> PAGEREF _Toc11247799 \h </w:instrText>
        </w:r>
        <w:r w:rsidR="00845591" w:rsidRPr="00EC250C">
          <w:rPr>
            <w:webHidden/>
          </w:rPr>
        </w:r>
        <w:r w:rsidR="00845591" w:rsidRPr="00EC250C">
          <w:rPr>
            <w:webHidden/>
          </w:rPr>
          <w:fldChar w:fldCharType="separate"/>
        </w:r>
        <w:r>
          <w:rPr>
            <w:webHidden/>
          </w:rPr>
          <w:t>357</w:t>
        </w:r>
        <w:r w:rsidR="00845591" w:rsidRPr="00EC250C">
          <w:rPr>
            <w:webHidden/>
          </w:rPr>
          <w:fldChar w:fldCharType="end"/>
        </w:r>
      </w:hyperlink>
    </w:p>
    <w:p w14:paraId="0F76B52D" w14:textId="0A93EA66" w:rsidR="00845591" w:rsidRPr="00EC250C" w:rsidRDefault="00744B2D" w:rsidP="001759D6">
      <w:pPr>
        <w:pStyle w:val="Spistreci4"/>
        <w:rPr>
          <w:rFonts w:asciiTheme="minorHAnsi" w:eastAsiaTheme="minorEastAsia" w:hAnsiTheme="minorHAnsi" w:cstheme="minorBidi"/>
        </w:rPr>
      </w:pPr>
      <w:hyperlink w:anchor="_Toc11247800" w:history="1">
        <w:r w:rsidR="00845591" w:rsidRPr="00EC250C">
          <w:rPr>
            <w:rStyle w:val="Hipercze"/>
          </w:rPr>
          <w:t>Zgodność przepisów Prawa łowieckiego z Konstytucją oraz Konwencją UNESCO w sprawie ochrony niematerialnego dziedzictwa kulturowego</w:t>
        </w:r>
        <w:r w:rsidR="00845591" w:rsidRPr="00EC250C">
          <w:rPr>
            <w:webHidden/>
          </w:rPr>
          <w:tab/>
        </w:r>
        <w:r w:rsidR="00845591" w:rsidRPr="00EC250C">
          <w:rPr>
            <w:webHidden/>
          </w:rPr>
          <w:fldChar w:fldCharType="begin"/>
        </w:r>
        <w:r w:rsidR="00845591" w:rsidRPr="00EC250C">
          <w:rPr>
            <w:webHidden/>
          </w:rPr>
          <w:instrText xml:space="preserve"> PAGEREF _Toc11247800 \h </w:instrText>
        </w:r>
        <w:r w:rsidR="00845591" w:rsidRPr="00EC250C">
          <w:rPr>
            <w:webHidden/>
          </w:rPr>
        </w:r>
        <w:r w:rsidR="00845591" w:rsidRPr="00EC250C">
          <w:rPr>
            <w:webHidden/>
          </w:rPr>
          <w:fldChar w:fldCharType="separate"/>
        </w:r>
        <w:r>
          <w:rPr>
            <w:webHidden/>
          </w:rPr>
          <w:t>359</w:t>
        </w:r>
        <w:r w:rsidR="00845591" w:rsidRPr="00EC250C">
          <w:rPr>
            <w:webHidden/>
          </w:rPr>
          <w:fldChar w:fldCharType="end"/>
        </w:r>
      </w:hyperlink>
    </w:p>
    <w:p w14:paraId="5811275C" w14:textId="36C5F47B" w:rsidR="00845591" w:rsidRPr="00A46160" w:rsidRDefault="00744B2D" w:rsidP="00A46160">
      <w:pPr>
        <w:pStyle w:val="Spistreci3"/>
        <w:rPr>
          <w:rFonts w:asciiTheme="minorHAnsi" w:eastAsiaTheme="minorEastAsia" w:hAnsiTheme="minorHAnsi" w:cstheme="minorBidi"/>
          <w:color w:val="auto"/>
          <w:sz w:val="20"/>
        </w:rPr>
      </w:pPr>
      <w:hyperlink w:anchor="_Toc11247801" w:history="1">
        <w:r w:rsidR="00845591" w:rsidRPr="00A46160">
          <w:rPr>
            <w:rStyle w:val="Hipercze"/>
          </w:rPr>
          <w:t>Art. 74 Konstytucji – Bezpieczeństwo ekologiczne oraz ochrona środowiska</w:t>
        </w:r>
        <w:r w:rsidR="00845591" w:rsidRPr="00A46160">
          <w:rPr>
            <w:webHidden/>
          </w:rPr>
          <w:tab/>
        </w:r>
        <w:r w:rsidR="00845591" w:rsidRPr="00A46160">
          <w:rPr>
            <w:webHidden/>
          </w:rPr>
          <w:fldChar w:fldCharType="begin"/>
        </w:r>
        <w:r w:rsidR="00845591" w:rsidRPr="00A46160">
          <w:rPr>
            <w:webHidden/>
          </w:rPr>
          <w:instrText xml:space="preserve"> PAGEREF _Toc11247801 \h </w:instrText>
        </w:r>
        <w:r w:rsidR="00845591" w:rsidRPr="00A46160">
          <w:rPr>
            <w:webHidden/>
          </w:rPr>
        </w:r>
        <w:r w:rsidR="00845591" w:rsidRPr="00A46160">
          <w:rPr>
            <w:webHidden/>
          </w:rPr>
          <w:fldChar w:fldCharType="separate"/>
        </w:r>
        <w:r>
          <w:rPr>
            <w:webHidden/>
          </w:rPr>
          <w:t>361</w:t>
        </w:r>
        <w:r w:rsidR="00845591" w:rsidRPr="00A46160">
          <w:rPr>
            <w:webHidden/>
          </w:rPr>
          <w:fldChar w:fldCharType="end"/>
        </w:r>
      </w:hyperlink>
    </w:p>
    <w:p w14:paraId="251FCE1D" w14:textId="4A601DA4" w:rsidR="00845591" w:rsidRPr="00EC250C" w:rsidRDefault="00744B2D" w:rsidP="001759D6">
      <w:pPr>
        <w:pStyle w:val="Spistreci4"/>
        <w:rPr>
          <w:rFonts w:asciiTheme="minorHAnsi" w:eastAsiaTheme="minorEastAsia" w:hAnsiTheme="minorHAnsi" w:cstheme="minorBidi"/>
        </w:rPr>
      </w:pPr>
      <w:hyperlink w:anchor="_Toc11247802" w:history="1">
        <w:r w:rsidR="00845591" w:rsidRPr="00EC250C">
          <w:rPr>
            <w:rStyle w:val="Hipercze"/>
          </w:rPr>
          <w:t>Smog w małych i dużych miejscowościach</w:t>
        </w:r>
        <w:r w:rsidR="00845591" w:rsidRPr="00EC250C">
          <w:rPr>
            <w:webHidden/>
          </w:rPr>
          <w:tab/>
        </w:r>
        <w:r w:rsidR="00845591" w:rsidRPr="00EC250C">
          <w:rPr>
            <w:webHidden/>
          </w:rPr>
          <w:fldChar w:fldCharType="begin"/>
        </w:r>
        <w:r w:rsidR="00845591" w:rsidRPr="00EC250C">
          <w:rPr>
            <w:webHidden/>
          </w:rPr>
          <w:instrText xml:space="preserve"> PAGEREF _Toc11247802 \h </w:instrText>
        </w:r>
        <w:r w:rsidR="00845591" w:rsidRPr="00EC250C">
          <w:rPr>
            <w:webHidden/>
          </w:rPr>
        </w:r>
        <w:r w:rsidR="00845591" w:rsidRPr="00EC250C">
          <w:rPr>
            <w:webHidden/>
          </w:rPr>
          <w:fldChar w:fldCharType="separate"/>
        </w:r>
        <w:r>
          <w:rPr>
            <w:webHidden/>
          </w:rPr>
          <w:t>362</w:t>
        </w:r>
        <w:r w:rsidR="00845591" w:rsidRPr="00EC250C">
          <w:rPr>
            <w:webHidden/>
          </w:rPr>
          <w:fldChar w:fldCharType="end"/>
        </w:r>
      </w:hyperlink>
    </w:p>
    <w:p w14:paraId="5032F245" w14:textId="01C66F70" w:rsidR="00845591" w:rsidRPr="00EC250C" w:rsidRDefault="00744B2D" w:rsidP="001759D6">
      <w:pPr>
        <w:pStyle w:val="Spistreci4"/>
        <w:rPr>
          <w:rFonts w:asciiTheme="minorHAnsi" w:eastAsiaTheme="minorEastAsia" w:hAnsiTheme="minorHAnsi" w:cstheme="minorBidi"/>
        </w:rPr>
      </w:pPr>
      <w:hyperlink w:anchor="_Toc11247803" w:history="1">
        <w:r w:rsidR="00845591" w:rsidRPr="00EC250C">
          <w:rPr>
            <w:rStyle w:val="Hipercze"/>
          </w:rPr>
          <w:t>Odpady i nielegalne wysypiska; gospodarka odpadami</w:t>
        </w:r>
        <w:r w:rsidR="00845591" w:rsidRPr="00EC250C">
          <w:rPr>
            <w:webHidden/>
          </w:rPr>
          <w:tab/>
        </w:r>
        <w:r w:rsidR="00845591" w:rsidRPr="00EC250C">
          <w:rPr>
            <w:webHidden/>
          </w:rPr>
          <w:fldChar w:fldCharType="begin"/>
        </w:r>
        <w:r w:rsidR="00845591" w:rsidRPr="00EC250C">
          <w:rPr>
            <w:webHidden/>
          </w:rPr>
          <w:instrText xml:space="preserve"> PAGEREF _Toc11247803 \h </w:instrText>
        </w:r>
        <w:r w:rsidR="00845591" w:rsidRPr="00EC250C">
          <w:rPr>
            <w:webHidden/>
          </w:rPr>
        </w:r>
        <w:r w:rsidR="00845591" w:rsidRPr="00EC250C">
          <w:rPr>
            <w:webHidden/>
          </w:rPr>
          <w:fldChar w:fldCharType="separate"/>
        </w:r>
        <w:r>
          <w:rPr>
            <w:webHidden/>
          </w:rPr>
          <w:t>365</w:t>
        </w:r>
        <w:r w:rsidR="00845591" w:rsidRPr="00EC250C">
          <w:rPr>
            <w:webHidden/>
          </w:rPr>
          <w:fldChar w:fldCharType="end"/>
        </w:r>
      </w:hyperlink>
    </w:p>
    <w:p w14:paraId="4D8522B3" w14:textId="0AF42FCE" w:rsidR="00845591" w:rsidRPr="00EC250C" w:rsidRDefault="00744B2D" w:rsidP="001759D6">
      <w:pPr>
        <w:pStyle w:val="Spistreci4"/>
        <w:rPr>
          <w:rFonts w:asciiTheme="minorHAnsi" w:eastAsiaTheme="minorEastAsia" w:hAnsiTheme="minorHAnsi" w:cstheme="minorBidi"/>
        </w:rPr>
      </w:pPr>
      <w:hyperlink w:anchor="_Toc11247804" w:history="1">
        <w:r w:rsidR="00845591" w:rsidRPr="00EC250C">
          <w:rPr>
            <w:rStyle w:val="Hipercze"/>
          </w:rPr>
          <w:t>Szkodliwe dla życia i zdrowia wyziewy</w:t>
        </w:r>
        <w:r w:rsidR="00845591" w:rsidRPr="00EC250C">
          <w:rPr>
            <w:webHidden/>
          </w:rPr>
          <w:tab/>
        </w:r>
        <w:r w:rsidR="00845591" w:rsidRPr="00EC250C">
          <w:rPr>
            <w:webHidden/>
          </w:rPr>
          <w:fldChar w:fldCharType="begin"/>
        </w:r>
        <w:r w:rsidR="00845591" w:rsidRPr="00EC250C">
          <w:rPr>
            <w:webHidden/>
          </w:rPr>
          <w:instrText xml:space="preserve"> PAGEREF _Toc11247804 \h </w:instrText>
        </w:r>
        <w:r w:rsidR="00845591" w:rsidRPr="00EC250C">
          <w:rPr>
            <w:webHidden/>
          </w:rPr>
        </w:r>
        <w:r w:rsidR="00845591" w:rsidRPr="00EC250C">
          <w:rPr>
            <w:webHidden/>
          </w:rPr>
          <w:fldChar w:fldCharType="separate"/>
        </w:r>
        <w:r>
          <w:rPr>
            <w:webHidden/>
          </w:rPr>
          <w:t>366</w:t>
        </w:r>
        <w:r w:rsidR="00845591" w:rsidRPr="00EC250C">
          <w:rPr>
            <w:webHidden/>
          </w:rPr>
          <w:fldChar w:fldCharType="end"/>
        </w:r>
      </w:hyperlink>
    </w:p>
    <w:p w14:paraId="0790FA82" w14:textId="65C7DFEB" w:rsidR="00845591" w:rsidRPr="00EC250C" w:rsidRDefault="00744B2D" w:rsidP="001759D6">
      <w:pPr>
        <w:pStyle w:val="Spistreci4"/>
        <w:rPr>
          <w:rFonts w:asciiTheme="minorHAnsi" w:eastAsiaTheme="minorEastAsia" w:hAnsiTheme="minorHAnsi" w:cstheme="minorBidi"/>
        </w:rPr>
      </w:pPr>
      <w:hyperlink w:anchor="_Toc11247805" w:history="1">
        <w:r w:rsidR="00845591" w:rsidRPr="00EC250C">
          <w:rPr>
            <w:rStyle w:val="Hipercze"/>
          </w:rPr>
          <w:t>Uciążliwe zapachy i hałas</w:t>
        </w:r>
        <w:r w:rsidR="00845591" w:rsidRPr="00EC250C">
          <w:rPr>
            <w:webHidden/>
          </w:rPr>
          <w:tab/>
        </w:r>
        <w:r w:rsidR="00845591" w:rsidRPr="00EC250C">
          <w:rPr>
            <w:webHidden/>
          </w:rPr>
          <w:fldChar w:fldCharType="begin"/>
        </w:r>
        <w:r w:rsidR="00845591" w:rsidRPr="00EC250C">
          <w:rPr>
            <w:webHidden/>
          </w:rPr>
          <w:instrText xml:space="preserve"> PAGEREF _Toc11247805 \h </w:instrText>
        </w:r>
        <w:r w:rsidR="00845591" w:rsidRPr="00EC250C">
          <w:rPr>
            <w:webHidden/>
          </w:rPr>
        </w:r>
        <w:r w:rsidR="00845591" w:rsidRPr="00EC250C">
          <w:rPr>
            <w:webHidden/>
          </w:rPr>
          <w:fldChar w:fldCharType="separate"/>
        </w:r>
        <w:r>
          <w:rPr>
            <w:webHidden/>
          </w:rPr>
          <w:t>366</w:t>
        </w:r>
        <w:r w:rsidR="00845591" w:rsidRPr="00EC250C">
          <w:rPr>
            <w:webHidden/>
          </w:rPr>
          <w:fldChar w:fldCharType="end"/>
        </w:r>
      </w:hyperlink>
    </w:p>
    <w:p w14:paraId="5FE6F9A8" w14:textId="7BDE080A" w:rsidR="00845591" w:rsidRPr="00EC250C" w:rsidRDefault="00744B2D" w:rsidP="001759D6">
      <w:pPr>
        <w:pStyle w:val="Spistreci4"/>
        <w:rPr>
          <w:rFonts w:asciiTheme="minorHAnsi" w:eastAsiaTheme="minorEastAsia" w:hAnsiTheme="minorHAnsi" w:cstheme="minorBidi"/>
        </w:rPr>
      </w:pPr>
      <w:hyperlink w:anchor="_Toc11247806" w:history="1">
        <w:r w:rsidR="00845591" w:rsidRPr="00EC250C">
          <w:rPr>
            <w:rStyle w:val="Hipercze"/>
          </w:rPr>
          <w:t>Nielegalna wycinka w Puszczy Białowieskiej</w:t>
        </w:r>
        <w:r w:rsidR="00845591" w:rsidRPr="00EC250C">
          <w:rPr>
            <w:webHidden/>
          </w:rPr>
          <w:tab/>
        </w:r>
        <w:r w:rsidR="00845591" w:rsidRPr="00EC250C">
          <w:rPr>
            <w:webHidden/>
          </w:rPr>
          <w:fldChar w:fldCharType="begin"/>
        </w:r>
        <w:r w:rsidR="00845591" w:rsidRPr="00EC250C">
          <w:rPr>
            <w:webHidden/>
          </w:rPr>
          <w:instrText xml:space="preserve"> PAGEREF _Toc11247806 \h </w:instrText>
        </w:r>
        <w:r w:rsidR="00845591" w:rsidRPr="00EC250C">
          <w:rPr>
            <w:webHidden/>
          </w:rPr>
        </w:r>
        <w:r w:rsidR="00845591" w:rsidRPr="00EC250C">
          <w:rPr>
            <w:webHidden/>
          </w:rPr>
          <w:fldChar w:fldCharType="separate"/>
        </w:r>
        <w:r>
          <w:rPr>
            <w:webHidden/>
          </w:rPr>
          <w:t>368</w:t>
        </w:r>
        <w:r w:rsidR="00845591" w:rsidRPr="00EC250C">
          <w:rPr>
            <w:webHidden/>
          </w:rPr>
          <w:fldChar w:fldCharType="end"/>
        </w:r>
      </w:hyperlink>
    </w:p>
    <w:p w14:paraId="3B049738" w14:textId="3BD20B21" w:rsidR="00845591" w:rsidRPr="00EC250C" w:rsidRDefault="00744B2D" w:rsidP="00A46160">
      <w:pPr>
        <w:pStyle w:val="Spistreci3"/>
        <w:rPr>
          <w:rFonts w:asciiTheme="minorHAnsi" w:eastAsiaTheme="minorEastAsia" w:hAnsiTheme="minorHAnsi" w:cstheme="minorBidi"/>
          <w:color w:val="auto"/>
          <w:sz w:val="20"/>
        </w:rPr>
      </w:pPr>
      <w:hyperlink w:anchor="_Toc11247807" w:history="1">
        <w:r w:rsidR="00845591" w:rsidRPr="00EC250C">
          <w:rPr>
            <w:rStyle w:val="Hipercze"/>
          </w:rPr>
          <w:t>Art. 75 Konstytucji – Polityka mieszkaniowa oraz ochrona praw lokatorów</w:t>
        </w:r>
        <w:r w:rsidR="00845591" w:rsidRPr="00EC250C">
          <w:rPr>
            <w:webHidden/>
          </w:rPr>
          <w:tab/>
        </w:r>
        <w:r w:rsidR="00845591" w:rsidRPr="00EC250C">
          <w:rPr>
            <w:webHidden/>
          </w:rPr>
          <w:fldChar w:fldCharType="begin"/>
        </w:r>
        <w:r w:rsidR="00845591" w:rsidRPr="00EC250C">
          <w:rPr>
            <w:webHidden/>
          </w:rPr>
          <w:instrText xml:space="preserve"> PAGEREF _Toc11247807 \h </w:instrText>
        </w:r>
        <w:r w:rsidR="00845591" w:rsidRPr="00EC250C">
          <w:rPr>
            <w:webHidden/>
          </w:rPr>
        </w:r>
        <w:r w:rsidR="00845591" w:rsidRPr="00EC250C">
          <w:rPr>
            <w:webHidden/>
          </w:rPr>
          <w:fldChar w:fldCharType="separate"/>
        </w:r>
        <w:r>
          <w:rPr>
            <w:webHidden/>
          </w:rPr>
          <w:t>371</w:t>
        </w:r>
        <w:r w:rsidR="00845591" w:rsidRPr="00EC250C">
          <w:rPr>
            <w:webHidden/>
          </w:rPr>
          <w:fldChar w:fldCharType="end"/>
        </w:r>
      </w:hyperlink>
    </w:p>
    <w:p w14:paraId="3A2A1C7B" w14:textId="503A01F1" w:rsidR="00845591" w:rsidRPr="00EC250C" w:rsidRDefault="00744B2D" w:rsidP="001759D6">
      <w:pPr>
        <w:pStyle w:val="Spistreci4"/>
        <w:rPr>
          <w:rFonts w:asciiTheme="minorHAnsi" w:eastAsiaTheme="minorEastAsia" w:hAnsiTheme="minorHAnsi" w:cstheme="minorBidi"/>
        </w:rPr>
      </w:pPr>
      <w:hyperlink w:anchor="_Toc11247808" w:history="1">
        <w:r w:rsidR="00845591" w:rsidRPr="00EC250C">
          <w:rPr>
            <w:rStyle w:val="Hipercze"/>
          </w:rPr>
          <w:t>Problemy właścicieli książeczek mieszkaniowych</w:t>
        </w:r>
        <w:r w:rsidR="00845591" w:rsidRPr="00EC250C">
          <w:rPr>
            <w:webHidden/>
          </w:rPr>
          <w:tab/>
        </w:r>
        <w:r w:rsidR="00845591" w:rsidRPr="00EC250C">
          <w:rPr>
            <w:webHidden/>
          </w:rPr>
          <w:fldChar w:fldCharType="begin"/>
        </w:r>
        <w:r w:rsidR="00845591" w:rsidRPr="00EC250C">
          <w:rPr>
            <w:webHidden/>
          </w:rPr>
          <w:instrText xml:space="preserve"> PAGEREF _Toc11247808 \h </w:instrText>
        </w:r>
        <w:r w:rsidR="00845591" w:rsidRPr="00EC250C">
          <w:rPr>
            <w:webHidden/>
          </w:rPr>
        </w:r>
        <w:r w:rsidR="00845591" w:rsidRPr="00EC250C">
          <w:rPr>
            <w:webHidden/>
          </w:rPr>
          <w:fldChar w:fldCharType="separate"/>
        </w:r>
        <w:r>
          <w:rPr>
            <w:webHidden/>
          </w:rPr>
          <w:t>372</w:t>
        </w:r>
        <w:r w:rsidR="00845591" w:rsidRPr="00EC250C">
          <w:rPr>
            <w:webHidden/>
          </w:rPr>
          <w:fldChar w:fldCharType="end"/>
        </w:r>
      </w:hyperlink>
    </w:p>
    <w:p w14:paraId="7C936C0D" w14:textId="514FE10F" w:rsidR="00845591" w:rsidRPr="00EC250C" w:rsidRDefault="00744B2D" w:rsidP="001759D6">
      <w:pPr>
        <w:pStyle w:val="Spistreci4"/>
        <w:rPr>
          <w:rFonts w:asciiTheme="minorHAnsi" w:eastAsiaTheme="minorEastAsia" w:hAnsiTheme="minorHAnsi" w:cstheme="minorBidi"/>
        </w:rPr>
      </w:pPr>
      <w:hyperlink w:anchor="_Toc11247809" w:history="1">
        <w:r w:rsidR="00845591" w:rsidRPr="00EC250C">
          <w:rPr>
            <w:rStyle w:val="Hipercze"/>
          </w:rPr>
          <w:t>Prawa ofiar "dzikiej reprywatyzacji" wobec których wydano wyroki eksmisji</w:t>
        </w:r>
        <w:r w:rsidR="00845591" w:rsidRPr="00EC250C">
          <w:rPr>
            <w:webHidden/>
          </w:rPr>
          <w:tab/>
        </w:r>
        <w:r w:rsidR="00845591" w:rsidRPr="00EC250C">
          <w:rPr>
            <w:webHidden/>
          </w:rPr>
          <w:fldChar w:fldCharType="begin"/>
        </w:r>
        <w:r w:rsidR="00845591" w:rsidRPr="00EC250C">
          <w:rPr>
            <w:webHidden/>
          </w:rPr>
          <w:instrText xml:space="preserve"> PAGEREF _Toc11247809 \h </w:instrText>
        </w:r>
        <w:r w:rsidR="00845591" w:rsidRPr="00EC250C">
          <w:rPr>
            <w:webHidden/>
          </w:rPr>
        </w:r>
        <w:r w:rsidR="00845591" w:rsidRPr="00EC250C">
          <w:rPr>
            <w:webHidden/>
          </w:rPr>
          <w:fldChar w:fldCharType="separate"/>
        </w:r>
        <w:r>
          <w:rPr>
            <w:webHidden/>
          </w:rPr>
          <w:t>373</w:t>
        </w:r>
        <w:r w:rsidR="00845591" w:rsidRPr="00EC250C">
          <w:rPr>
            <w:webHidden/>
          </w:rPr>
          <w:fldChar w:fldCharType="end"/>
        </w:r>
      </w:hyperlink>
    </w:p>
    <w:p w14:paraId="3EA538F7" w14:textId="5CA30C1D" w:rsidR="00845591" w:rsidRPr="00EC250C" w:rsidRDefault="00744B2D" w:rsidP="001759D6">
      <w:pPr>
        <w:pStyle w:val="Spistreci4"/>
        <w:rPr>
          <w:rFonts w:asciiTheme="minorHAnsi" w:eastAsiaTheme="minorEastAsia" w:hAnsiTheme="minorHAnsi" w:cstheme="minorBidi"/>
        </w:rPr>
      </w:pPr>
      <w:hyperlink w:anchor="_Toc11247810" w:history="1">
        <w:r w:rsidR="00845591" w:rsidRPr="00EC250C">
          <w:rPr>
            <w:rStyle w:val="Hipercze"/>
          </w:rPr>
          <w:t>Prawo do lokalu socjalnego</w:t>
        </w:r>
        <w:r w:rsidR="00845591" w:rsidRPr="00EC250C">
          <w:rPr>
            <w:webHidden/>
          </w:rPr>
          <w:tab/>
        </w:r>
        <w:r w:rsidR="00845591" w:rsidRPr="00EC250C">
          <w:rPr>
            <w:webHidden/>
          </w:rPr>
          <w:fldChar w:fldCharType="begin"/>
        </w:r>
        <w:r w:rsidR="00845591" w:rsidRPr="00EC250C">
          <w:rPr>
            <w:webHidden/>
          </w:rPr>
          <w:instrText xml:space="preserve"> PAGEREF _Toc11247810 \h </w:instrText>
        </w:r>
        <w:r w:rsidR="00845591" w:rsidRPr="00EC250C">
          <w:rPr>
            <w:webHidden/>
          </w:rPr>
        </w:r>
        <w:r w:rsidR="00845591" w:rsidRPr="00EC250C">
          <w:rPr>
            <w:webHidden/>
          </w:rPr>
          <w:fldChar w:fldCharType="separate"/>
        </w:r>
        <w:r>
          <w:rPr>
            <w:webHidden/>
          </w:rPr>
          <w:t>374</w:t>
        </w:r>
        <w:r w:rsidR="00845591" w:rsidRPr="00EC250C">
          <w:rPr>
            <w:webHidden/>
          </w:rPr>
          <w:fldChar w:fldCharType="end"/>
        </w:r>
      </w:hyperlink>
    </w:p>
    <w:p w14:paraId="63873A83" w14:textId="1124CDCB" w:rsidR="00845591" w:rsidRPr="00EC250C" w:rsidRDefault="00744B2D" w:rsidP="001759D6">
      <w:pPr>
        <w:pStyle w:val="Spistreci4"/>
        <w:rPr>
          <w:rFonts w:asciiTheme="minorHAnsi" w:eastAsiaTheme="minorEastAsia" w:hAnsiTheme="minorHAnsi" w:cstheme="minorBidi"/>
        </w:rPr>
      </w:pPr>
      <w:hyperlink w:anchor="_Toc11247811" w:history="1">
        <w:r w:rsidR="00845591" w:rsidRPr="00EC250C">
          <w:rPr>
            <w:rStyle w:val="Hipercze"/>
          </w:rPr>
          <w:t>Problemy spółdzielczości mieszkaniowej</w:t>
        </w:r>
        <w:r w:rsidR="00845591" w:rsidRPr="00EC250C">
          <w:rPr>
            <w:webHidden/>
          </w:rPr>
          <w:tab/>
        </w:r>
        <w:r w:rsidR="00845591" w:rsidRPr="00EC250C">
          <w:rPr>
            <w:webHidden/>
          </w:rPr>
          <w:fldChar w:fldCharType="begin"/>
        </w:r>
        <w:r w:rsidR="00845591" w:rsidRPr="00EC250C">
          <w:rPr>
            <w:webHidden/>
          </w:rPr>
          <w:instrText xml:space="preserve"> PAGEREF _Toc11247811 \h </w:instrText>
        </w:r>
        <w:r w:rsidR="00845591" w:rsidRPr="00EC250C">
          <w:rPr>
            <w:webHidden/>
          </w:rPr>
        </w:r>
        <w:r w:rsidR="00845591" w:rsidRPr="00EC250C">
          <w:rPr>
            <w:webHidden/>
          </w:rPr>
          <w:fldChar w:fldCharType="separate"/>
        </w:r>
        <w:r>
          <w:rPr>
            <w:webHidden/>
          </w:rPr>
          <w:t>377</w:t>
        </w:r>
        <w:r w:rsidR="00845591" w:rsidRPr="00EC250C">
          <w:rPr>
            <w:webHidden/>
          </w:rPr>
          <w:fldChar w:fldCharType="end"/>
        </w:r>
      </w:hyperlink>
    </w:p>
    <w:p w14:paraId="55DCAB2D" w14:textId="76BF7B8C" w:rsidR="00845591" w:rsidRPr="00EC250C" w:rsidRDefault="00744B2D" w:rsidP="001759D6">
      <w:pPr>
        <w:pStyle w:val="Spistreci4"/>
        <w:rPr>
          <w:rFonts w:asciiTheme="minorHAnsi" w:eastAsiaTheme="minorEastAsia" w:hAnsiTheme="minorHAnsi" w:cstheme="minorBidi"/>
        </w:rPr>
      </w:pPr>
      <w:hyperlink w:anchor="_Toc11247812" w:history="1">
        <w:r w:rsidR="00845591" w:rsidRPr="00EC250C">
          <w:rPr>
            <w:rStyle w:val="Hipercze"/>
          </w:rPr>
          <w:t>Niebezpieczeństwo utraty mieszkania z powodu niekorzystnej umowy pożyczki</w:t>
        </w:r>
        <w:r w:rsidR="00845591" w:rsidRPr="00EC250C">
          <w:rPr>
            <w:webHidden/>
          </w:rPr>
          <w:tab/>
        </w:r>
        <w:r w:rsidR="00845591" w:rsidRPr="00EC250C">
          <w:rPr>
            <w:webHidden/>
          </w:rPr>
          <w:fldChar w:fldCharType="begin"/>
        </w:r>
        <w:r w:rsidR="00845591" w:rsidRPr="00EC250C">
          <w:rPr>
            <w:webHidden/>
          </w:rPr>
          <w:instrText xml:space="preserve"> PAGEREF _Toc11247812 \h </w:instrText>
        </w:r>
        <w:r w:rsidR="00845591" w:rsidRPr="00EC250C">
          <w:rPr>
            <w:webHidden/>
          </w:rPr>
        </w:r>
        <w:r w:rsidR="00845591" w:rsidRPr="00EC250C">
          <w:rPr>
            <w:webHidden/>
          </w:rPr>
          <w:fldChar w:fldCharType="separate"/>
        </w:r>
        <w:r>
          <w:rPr>
            <w:webHidden/>
          </w:rPr>
          <w:t>380</w:t>
        </w:r>
        <w:r w:rsidR="00845591" w:rsidRPr="00EC250C">
          <w:rPr>
            <w:webHidden/>
          </w:rPr>
          <w:fldChar w:fldCharType="end"/>
        </w:r>
      </w:hyperlink>
    </w:p>
    <w:p w14:paraId="0D9FB34B" w14:textId="5D26E3B8" w:rsidR="00845591" w:rsidRPr="00EC250C" w:rsidRDefault="00744B2D" w:rsidP="001759D6">
      <w:pPr>
        <w:pStyle w:val="Spistreci4"/>
        <w:rPr>
          <w:rFonts w:asciiTheme="minorHAnsi" w:eastAsiaTheme="minorEastAsia" w:hAnsiTheme="minorHAnsi" w:cstheme="minorBidi"/>
        </w:rPr>
      </w:pPr>
      <w:hyperlink w:anchor="_Toc11247813" w:history="1">
        <w:r w:rsidR="00845591" w:rsidRPr="00EC250C">
          <w:rPr>
            <w:rStyle w:val="Hipercze"/>
          </w:rPr>
          <w:t>Problem rozliczenia kosztów ogrzewania (podzielniki kosztów ciepła)</w:t>
        </w:r>
        <w:r w:rsidR="00845591" w:rsidRPr="00EC250C">
          <w:rPr>
            <w:webHidden/>
          </w:rPr>
          <w:tab/>
        </w:r>
        <w:r w:rsidR="00845591" w:rsidRPr="00EC250C">
          <w:rPr>
            <w:webHidden/>
          </w:rPr>
          <w:fldChar w:fldCharType="begin"/>
        </w:r>
        <w:r w:rsidR="00845591" w:rsidRPr="00EC250C">
          <w:rPr>
            <w:webHidden/>
          </w:rPr>
          <w:instrText xml:space="preserve"> PAGEREF _Toc11247813 \h </w:instrText>
        </w:r>
        <w:r w:rsidR="00845591" w:rsidRPr="00EC250C">
          <w:rPr>
            <w:webHidden/>
          </w:rPr>
        </w:r>
        <w:r w:rsidR="00845591" w:rsidRPr="00EC250C">
          <w:rPr>
            <w:webHidden/>
          </w:rPr>
          <w:fldChar w:fldCharType="separate"/>
        </w:r>
        <w:r>
          <w:rPr>
            <w:webHidden/>
          </w:rPr>
          <w:t>380</w:t>
        </w:r>
        <w:r w:rsidR="00845591" w:rsidRPr="00EC250C">
          <w:rPr>
            <w:webHidden/>
          </w:rPr>
          <w:fldChar w:fldCharType="end"/>
        </w:r>
      </w:hyperlink>
    </w:p>
    <w:p w14:paraId="42AE04D6" w14:textId="301455B4" w:rsidR="00845591" w:rsidRPr="00EC250C" w:rsidRDefault="00744B2D" w:rsidP="00A46160">
      <w:pPr>
        <w:pStyle w:val="Spistreci3"/>
        <w:rPr>
          <w:rFonts w:asciiTheme="minorHAnsi" w:eastAsiaTheme="minorEastAsia" w:hAnsiTheme="minorHAnsi" w:cstheme="minorBidi"/>
          <w:color w:val="auto"/>
          <w:sz w:val="20"/>
        </w:rPr>
      </w:pPr>
      <w:hyperlink w:anchor="_Toc11247814" w:history="1">
        <w:r w:rsidR="00845591" w:rsidRPr="00EC250C">
          <w:rPr>
            <w:rStyle w:val="Hipercze"/>
          </w:rPr>
          <w:t>Art. 76 Konstytucji – Ochrona praw konsumentów</w:t>
        </w:r>
        <w:r w:rsidR="00845591" w:rsidRPr="00EC250C">
          <w:rPr>
            <w:webHidden/>
          </w:rPr>
          <w:tab/>
        </w:r>
        <w:r w:rsidR="00845591" w:rsidRPr="00EC250C">
          <w:rPr>
            <w:webHidden/>
          </w:rPr>
          <w:fldChar w:fldCharType="begin"/>
        </w:r>
        <w:r w:rsidR="00845591" w:rsidRPr="00EC250C">
          <w:rPr>
            <w:webHidden/>
          </w:rPr>
          <w:instrText xml:space="preserve"> PAGEREF _Toc11247814 \h </w:instrText>
        </w:r>
        <w:r w:rsidR="00845591" w:rsidRPr="00EC250C">
          <w:rPr>
            <w:webHidden/>
          </w:rPr>
        </w:r>
        <w:r w:rsidR="00845591" w:rsidRPr="00EC250C">
          <w:rPr>
            <w:webHidden/>
          </w:rPr>
          <w:fldChar w:fldCharType="separate"/>
        </w:r>
        <w:r>
          <w:rPr>
            <w:webHidden/>
          </w:rPr>
          <w:t>382</w:t>
        </w:r>
        <w:r w:rsidR="00845591" w:rsidRPr="00EC250C">
          <w:rPr>
            <w:webHidden/>
          </w:rPr>
          <w:fldChar w:fldCharType="end"/>
        </w:r>
      </w:hyperlink>
    </w:p>
    <w:p w14:paraId="28FC4F40" w14:textId="0D1BC9B1" w:rsidR="00845591" w:rsidRPr="00EC250C" w:rsidRDefault="00744B2D" w:rsidP="001759D6">
      <w:pPr>
        <w:pStyle w:val="Spistreci4"/>
        <w:rPr>
          <w:rFonts w:asciiTheme="minorHAnsi" w:eastAsiaTheme="minorEastAsia" w:hAnsiTheme="minorHAnsi" w:cstheme="minorBidi"/>
        </w:rPr>
      </w:pPr>
      <w:hyperlink w:anchor="_Toc11247815" w:history="1">
        <w:r w:rsidR="00845591" w:rsidRPr="00EC250C">
          <w:rPr>
            <w:rStyle w:val="Hipercze"/>
          </w:rPr>
          <w:t>Problemy z upadłością konsumencką</w:t>
        </w:r>
        <w:r w:rsidR="00845591" w:rsidRPr="00EC250C">
          <w:rPr>
            <w:webHidden/>
          </w:rPr>
          <w:tab/>
        </w:r>
        <w:r w:rsidR="00845591" w:rsidRPr="00EC250C">
          <w:rPr>
            <w:webHidden/>
          </w:rPr>
          <w:fldChar w:fldCharType="begin"/>
        </w:r>
        <w:r w:rsidR="00845591" w:rsidRPr="00EC250C">
          <w:rPr>
            <w:webHidden/>
          </w:rPr>
          <w:instrText xml:space="preserve"> PAGEREF _Toc11247815 \h </w:instrText>
        </w:r>
        <w:r w:rsidR="00845591" w:rsidRPr="00EC250C">
          <w:rPr>
            <w:webHidden/>
          </w:rPr>
        </w:r>
        <w:r w:rsidR="00845591" w:rsidRPr="00EC250C">
          <w:rPr>
            <w:webHidden/>
          </w:rPr>
          <w:fldChar w:fldCharType="separate"/>
        </w:r>
        <w:r>
          <w:rPr>
            <w:webHidden/>
          </w:rPr>
          <w:t>383</w:t>
        </w:r>
        <w:r w:rsidR="00845591" w:rsidRPr="00EC250C">
          <w:rPr>
            <w:webHidden/>
          </w:rPr>
          <w:fldChar w:fldCharType="end"/>
        </w:r>
      </w:hyperlink>
    </w:p>
    <w:p w14:paraId="727904FE" w14:textId="0E869BF2" w:rsidR="00845591" w:rsidRPr="00EC250C" w:rsidRDefault="00744B2D" w:rsidP="001759D6">
      <w:pPr>
        <w:pStyle w:val="Spistreci4"/>
        <w:rPr>
          <w:rFonts w:asciiTheme="minorHAnsi" w:eastAsiaTheme="minorEastAsia" w:hAnsiTheme="minorHAnsi" w:cstheme="minorBidi"/>
        </w:rPr>
      </w:pPr>
      <w:hyperlink w:anchor="_Toc11247816" w:history="1">
        <w:r w:rsidR="00845591" w:rsidRPr="00EC250C">
          <w:rPr>
            <w:rStyle w:val="Hipercze"/>
          </w:rPr>
          <w:t>Problem niehonorowania notarialnych pełnomocnictw przez banki</w:t>
        </w:r>
        <w:r w:rsidR="00845591" w:rsidRPr="00EC250C">
          <w:rPr>
            <w:webHidden/>
          </w:rPr>
          <w:tab/>
        </w:r>
        <w:r w:rsidR="00845591" w:rsidRPr="00EC250C">
          <w:rPr>
            <w:webHidden/>
          </w:rPr>
          <w:fldChar w:fldCharType="begin"/>
        </w:r>
        <w:r w:rsidR="00845591" w:rsidRPr="00EC250C">
          <w:rPr>
            <w:webHidden/>
          </w:rPr>
          <w:instrText xml:space="preserve"> PAGEREF _Toc11247816 \h </w:instrText>
        </w:r>
        <w:r w:rsidR="00845591" w:rsidRPr="00EC250C">
          <w:rPr>
            <w:webHidden/>
          </w:rPr>
        </w:r>
        <w:r w:rsidR="00845591" w:rsidRPr="00EC250C">
          <w:rPr>
            <w:webHidden/>
          </w:rPr>
          <w:fldChar w:fldCharType="separate"/>
        </w:r>
        <w:r>
          <w:rPr>
            <w:webHidden/>
          </w:rPr>
          <w:t>384</w:t>
        </w:r>
        <w:r w:rsidR="00845591" w:rsidRPr="00EC250C">
          <w:rPr>
            <w:webHidden/>
          </w:rPr>
          <w:fldChar w:fldCharType="end"/>
        </w:r>
      </w:hyperlink>
    </w:p>
    <w:p w14:paraId="27C16DB3" w14:textId="2D3B412D" w:rsidR="00845591" w:rsidRPr="00EC250C" w:rsidRDefault="00744B2D" w:rsidP="001759D6">
      <w:pPr>
        <w:pStyle w:val="Spistreci4"/>
        <w:rPr>
          <w:rFonts w:asciiTheme="minorHAnsi" w:eastAsiaTheme="minorEastAsia" w:hAnsiTheme="minorHAnsi" w:cstheme="minorBidi"/>
        </w:rPr>
      </w:pPr>
      <w:hyperlink w:anchor="_Toc11247817" w:history="1">
        <w:r w:rsidR="00845591" w:rsidRPr="00EC250C">
          <w:rPr>
            <w:rStyle w:val="Hipercze"/>
          </w:rPr>
          <w:t>Problemy osób, które zaciągnęły tzw. kredyty „frankowe”</w:t>
        </w:r>
        <w:r w:rsidR="00845591" w:rsidRPr="00EC250C">
          <w:rPr>
            <w:webHidden/>
          </w:rPr>
          <w:tab/>
        </w:r>
        <w:r w:rsidR="00845591" w:rsidRPr="00EC250C">
          <w:rPr>
            <w:webHidden/>
          </w:rPr>
          <w:fldChar w:fldCharType="begin"/>
        </w:r>
        <w:r w:rsidR="00845591" w:rsidRPr="00EC250C">
          <w:rPr>
            <w:webHidden/>
          </w:rPr>
          <w:instrText xml:space="preserve"> PAGEREF _Toc11247817 \h </w:instrText>
        </w:r>
        <w:r w:rsidR="00845591" w:rsidRPr="00EC250C">
          <w:rPr>
            <w:webHidden/>
          </w:rPr>
        </w:r>
        <w:r w:rsidR="00845591" w:rsidRPr="00EC250C">
          <w:rPr>
            <w:webHidden/>
          </w:rPr>
          <w:fldChar w:fldCharType="separate"/>
        </w:r>
        <w:r>
          <w:rPr>
            <w:webHidden/>
          </w:rPr>
          <w:t>385</w:t>
        </w:r>
        <w:r w:rsidR="00845591" w:rsidRPr="00EC250C">
          <w:rPr>
            <w:webHidden/>
          </w:rPr>
          <w:fldChar w:fldCharType="end"/>
        </w:r>
      </w:hyperlink>
    </w:p>
    <w:p w14:paraId="429A3562" w14:textId="17293372" w:rsidR="00845591" w:rsidRPr="00EC250C" w:rsidRDefault="00744B2D" w:rsidP="001759D6">
      <w:pPr>
        <w:pStyle w:val="Spistreci4"/>
        <w:rPr>
          <w:rFonts w:asciiTheme="minorHAnsi" w:eastAsiaTheme="minorEastAsia" w:hAnsiTheme="minorHAnsi" w:cstheme="minorBidi"/>
        </w:rPr>
      </w:pPr>
      <w:hyperlink w:anchor="_Toc11247818" w:history="1">
        <w:r w:rsidR="00845591" w:rsidRPr="00EC250C">
          <w:rPr>
            <w:rStyle w:val="Hipercze"/>
          </w:rPr>
          <w:t>Skutki kłopotów instytucji finansowych dla obywateli</w:t>
        </w:r>
        <w:r w:rsidR="00845591" w:rsidRPr="00EC250C">
          <w:rPr>
            <w:webHidden/>
          </w:rPr>
          <w:tab/>
        </w:r>
        <w:r w:rsidR="00845591" w:rsidRPr="00EC250C">
          <w:rPr>
            <w:webHidden/>
          </w:rPr>
          <w:fldChar w:fldCharType="begin"/>
        </w:r>
        <w:r w:rsidR="00845591" w:rsidRPr="00EC250C">
          <w:rPr>
            <w:webHidden/>
          </w:rPr>
          <w:instrText xml:space="preserve"> PAGEREF _Toc11247818 \h </w:instrText>
        </w:r>
        <w:r w:rsidR="00845591" w:rsidRPr="00EC250C">
          <w:rPr>
            <w:webHidden/>
          </w:rPr>
        </w:r>
        <w:r w:rsidR="00845591" w:rsidRPr="00EC250C">
          <w:rPr>
            <w:webHidden/>
          </w:rPr>
          <w:fldChar w:fldCharType="separate"/>
        </w:r>
        <w:r>
          <w:rPr>
            <w:webHidden/>
          </w:rPr>
          <w:t>385</w:t>
        </w:r>
        <w:r w:rsidR="00845591" w:rsidRPr="00EC250C">
          <w:rPr>
            <w:webHidden/>
          </w:rPr>
          <w:fldChar w:fldCharType="end"/>
        </w:r>
      </w:hyperlink>
    </w:p>
    <w:p w14:paraId="30FEC3C6" w14:textId="09711B54" w:rsidR="00845591" w:rsidRPr="00EC250C" w:rsidRDefault="00744B2D" w:rsidP="001759D6">
      <w:pPr>
        <w:pStyle w:val="Spistreci4"/>
        <w:rPr>
          <w:rFonts w:asciiTheme="minorHAnsi" w:eastAsiaTheme="minorEastAsia" w:hAnsiTheme="minorHAnsi" w:cstheme="minorBidi"/>
        </w:rPr>
      </w:pPr>
      <w:hyperlink w:anchor="_Toc11247819" w:history="1">
        <w:r w:rsidR="00845591" w:rsidRPr="00EC250C">
          <w:rPr>
            <w:rStyle w:val="Hipercze"/>
          </w:rPr>
          <w:t>Regulacje chroniące interesy osób oddających mieszkanie w zamian za renty</w:t>
        </w:r>
        <w:r w:rsidR="00845591" w:rsidRPr="00EC250C">
          <w:rPr>
            <w:webHidden/>
          </w:rPr>
          <w:tab/>
        </w:r>
        <w:r w:rsidR="00845591" w:rsidRPr="00EC250C">
          <w:rPr>
            <w:webHidden/>
          </w:rPr>
          <w:fldChar w:fldCharType="begin"/>
        </w:r>
        <w:r w:rsidR="00845591" w:rsidRPr="00EC250C">
          <w:rPr>
            <w:webHidden/>
          </w:rPr>
          <w:instrText xml:space="preserve"> PAGEREF _Toc11247819 \h </w:instrText>
        </w:r>
        <w:r w:rsidR="00845591" w:rsidRPr="00EC250C">
          <w:rPr>
            <w:webHidden/>
          </w:rPr>
        </w:r>
        <w:r w:rsidR="00845591" w:rsidRPr="00EC250C">
          <w:rPr>
            <w:webHidden/>
          </w:rPr>
          <w:fldChar w:fldCharType="separate"/>
        </w:r>
        <w:r>
          <w:rPr>
            <w:webHidden/>
          </w:rPr>
          <w:t>386</w:t>
        </w:r>
        <w:r w:rsidR="00845591" w:rsidRPr="00EC250C">
          <w:rPr>
            <w:webHidden/>
          </w:rPr>
          <w:fldChar w:fldCharType="end"/>
        </w:r>
      </w:hyperlink>
    </w:p>
    <w:p w14:paraId="38A94E3C" w14:textId="4548CAAF" w:rsidR="00845591" w:rsidRPr="00EC250C" w:rsidRDefault="00744B2D" w:rsidP="001759D6">
      <w:pPr>
        <w:pStyle w:val="Spistreci4"/>
        <w:rPr>
          <w:rFonts w:asciiTheme="minorHAnsi" w:eastAsiaTheme="minorEastAsia" w:hAnsiTheme="minorHAnsi" w:cstheme="minorBidi"/>
        </w:rPr>
      </w:pPr>
      <w:hyperlink w:anchor="_Toc11247820" w:history="1">
        <w:r w:rsidR="00845591" w:rsidRPr="00EC250C">
          <w:rPr>
            <w:rStyle w:val="Hipercze"/>
          </w:rPr>
          <w:t>Co z wykazem postępowań grupowych?</w:t>
        </w:r>
        <w:r w:rsidR="00845591" w:rsidRPr="00EC250C">
          <w:rPr>
            <w:webHidden/>
          </w:rPr>
          <w:tab/>
        </w:r>
        <w:r w:rsidR="00845591" w:rsidRPr="00EC250C">
          <w:rPr>
            <w:webHidden/>
          </w:rPr>
          <w:fldChar w:fldCharType="begin"/>
        </w:r>
        <w:r w:rsidR="00845591" w:rsidRPr="00EC250C">
          <w:rPr>
            <w:webHidden/>
          </w:rPr>
          <w:instrText xml:space="preserve"> PAGEREF _Toc11247820 \h </w:instrText>
        </w:r>
        <w:r w:rsidR="00845591" w:rsidRPr="00EC250C">
          <w:rPr>
            <w:webHidden/>
          </w:rPr>
        </w:r>
        <w:r w:rsidR="00845591" w:rsidRPr="00EC250C">
          <w:rPr>
            <w:webHidden/>
          </w:rPr>
          <w:fldChar w:fldCharType="separate"/>
        </w:r>
        <w:r>
          <w:rPr>
            <w:webHidden/>
          </w:rPr>
          <w:t>387</w:t>
        </w:r>
        <w:r w:rsidR="00845591" w:rsidRPr="00EC250C">
          <w:rPr>
            <w:webHidden/>
          </w:rPr>
          <w:fldChar w:fldCharType="end"/>
        </w:r>
      </w:hyperlink>
    </w:p>
    <w:p w14:paraId="522B1C54" w14:textId="2035207D" w:rsidR="00845591" w:rsidRPr="00EC250C" w:rsidRDefault="00744B2D">
      <w:pPr>
        <w:pStyle w:val="Spistreci2"/>
        <w:rPr>
          <w:rFonts w:asciiTheme="minorHAnsi" w:eastAsiaTheme="minorEastAsia" w:hAnsiTheme="minorHAnsi" w:cstheme="minorBidi"/>
          <w:b w:val="0"/>
          <w:spacing w:val="0"/>
          <w:sz w:val="20"/>
          <w:szCs w:val="20"/>
        </w:rPr>
      </w:pPr>
      <w:hyperlink w:anchor="_Toc11247821" w:history="1">
        <w:r w:rsidR="00845591" w:rsidRPr="00EC250C">
          <w:rPr>
            <w:rStyle w:val="Hipercze"/>
            <w:sz w:val="28"/>
            <w:szCs w:val="24"/>
          </w:rPr>
          <w:t>5. Środki ochrony praw i wolności</w:t>
        </w:r>
        <w:r w:rsidR="00845591" w:rsidRPr="00EC250C">
          <w:rPr>
            <w:webHidden/>
            <w:sz w:val="28"/>
            <w:szCs w:val="24"/>
          </w:rPr>
          <w:tab/>
        </w:r>
        <w:r w:rsidR="00845591" w:rsidRPr="00EC250C">
          <w:rPr>
            <w:webHidden/>
            <w:sz w:val="28"/>
            <w:szCs w:val="24"/>
          </w:rPr>
          <w:fldChar w:fldCharType="begin"/>
        </w:r>
        <w:r w:rsidR="00845591" w:rsidRPr="00EC250C">
          <w:rPr>
            <w:webHidden/>
            <w:sz w:val="28"/>
            <w:szCs w:val="24"/>
          </w:rPr>
          <w:instrText xml:space="preserve"> PAGEREF _Toc11247821 \h </w:instrText>
        </w:r>
        <w:r w:rsidR="00845591" w:rsidRPr="00EC250C">
          <w:rPr>
            <w:webHidden/>
            <w:sz w:val="28"/>
            <w:szCs w:val="24"/>
          </w:rPr>
        </w:r>
        <w:r w:rsidR="00845591" w:rsidRPr="00EC250C">
          <w:rPr>
            <w:webHidden/>
            <w:sz w:val="28"/>
            <w:szCs w:val="24"/>
          </w:rPr>
          <w:fldChar w:fldCharType="separate"/>
        </w:r>
        <w:r>
          <w:rPr>
            <w:webHidden/>
            <w:sz w:val="28"/>
            <w:szCs w:val="24"/>
          </w:rPr>
          <w:t>388</w:t>
        </w:r>
        <w:r w:rsidR="00845591" w:rsidRPr="00EC250C">
          <w:rPr>
            <w:webHidden/>
            <w:sz w:val="28"/>
            <w:szCs w:val="24"/>
          </w:rPr>
          <w:fldChar w:fldCharType="end"/>
        </w:r>
      </w:hyperlink>
    </w:p>
    <w:p w14:paraId="5AEA95C2" w14:textId="06DE771E" w:rsidR="00845591" w:rsidRPr="00EC250C" w:rsidRDefault="00744B2D" w:rsidP="00A46160">
      <w:pPr>
        <w:pStyle w:val="Spistreci3"/>
        <w:rPr>
          <w:rFonts w:asciiTheme="minorHAnsi" w:eastAsiaTheme="minorEastAsia" w:hAnsiTheme="minorHAnsi" w:cstheme="minorBidi"/>
          <w:color w:val="auto"/>
          <w:sz w:val="20"/>
        </w:rPr>
      </w:pPr>
      <w:hyperlink w:anchor="_Toc11247822" w:history="1">
        <w:r w:rsidR="00845591" w:rsidRPr="00EC250C">
          <w:rPr>
            <w:rStyle w:val="Hipercze"/>
          </w:rPr>
          <w:t>Art. 77 Konstytucji ust. 1 – Odpowiedzialność odszkodowawcza władzy publicznej</w:t>
        </w:r>
        <w:r w:rsidR="00845591" w:rsidRPr="00EC250C">
          <w:rPr>
            <w:webHidden/>
          </w:rPr>
          <w:tab/>
        </w:r>
        <w:r w:rsidR="00845591" w:rsidRPr="00EC250C">
          <w:rPr>
            <w:webHidden/>
          </w:rPr>
          <w:fldChar w:fldCharType="begin"/>
        </w:r>
        <w:r w:rsidR="00845591" w:rsidRPr="00EC250C">
          <w:rPr>
            <w:webHidden/>
          </w:rPr>
          <w:instrText xml:space="preserve"> PAGEREF _Toc11247822 \h </w:instrText>
        </w:r>
        <w:r w:rsidR="00845591" w:rsidRPr="00EC250C">
          <w:rPr>
            <w:webHidden/>
          </w:rPr>
        </w:r>
        <w:r w:rsidR="00845591" w:rsidRPr="00EC250C">
          <w:rPr>
            <w:webHidden/>
          </w:rPr>
          <w:fldChar w:fldCharType="separate"/>
        </w:r>
        <w:r>
          <w:rPr>
            <w:webHidden/>
          </w:rPr>
          <w:t>388</w:t>
        </w:r>
        <w:r w:rsidR="00845591" w:rsidRPr="00EC250C">
          <w:rPr>
            <w:webHidden/>
          </w:rPr>
          <w:fldChar w:fldCharType="end"/>
        </w:r>
      </w:hyperlink>
    </w:p>
    <w:p w14:paraId="74802C1C" w14:textId="68FC512A" w:rsidR="00845591" w:rsidRPr="00EC250C" w:rsidRDefault="00744B2D" w:rsidP="001759D6">
      <w:pPr>
        <w:pStyle w:val="Spistreci4"/>
        <w:rPr>
          <w:rFonts w:asciiTheme="minorHAnsi" w:eastAsiaTheme="minorEastAsia" w:hAnsiTheme="minorHAnsi" w:cstheme="minorBidi"/>
        </w:rPr>
      </w:pPr>
      <w:hyperlink w:anchor="_Toc11247823" w:history="1">
        <w:r w:rsidR="00845591" w:rsidRPr="00EC250C">
          <w:rPr>
            <w:rStyle w:val="Hipercze"/>
          </w:rPr>
          <w:t>Przepisy o niesłusznym skazaniu nie uwzględniają pojawienia się skargi nadzwyczajnej</w:t>
        </w:r>
        <w:r w:rsidR="00845591" w:rsidRPr="00EC250C">
          <w:rPr>
            <w:webHidden/>
          </w:rPr>
          <w:tab/>
        </w:r>
        <w:r w:rsidR="00845591" w:rsidRPr="00EC250C">
          <w:rPr>
            <w:webHidden/>
          </w:rPr>
          <w:fldChar w:fldCharType="begin"/>
        </w:r>
        <w:r w:rsidR="00845591" w:rsidRPr="00EC250C">
          <w:rPr>
            <w:webHidden/>
          </w:rPr>
          <w:instrText xml:space="preserve"> PAGEREF _Toc11247823 \h </w:instrText>
        </w:r>
        <w:r w:rsidR="00845591" w:rsidRPr="00EC250C">
          <w:rPr>
            <w:webHidden/>
          </w:rPr>
        </w:r>
        <w:r w:rsidR="00845591" w:rsidRPr="00EC250C">
          <w:rPr>
            <w:webHidden/>
          </w:rPr>
          <w:fldChar w:fldCharType="separate"/>
        </w:r>
        <w:r>
          <w:rPr>
            <w:webHidden/>
          </w:rPr>
          <w:t>389</w:t>
        </w:r>
        <w:r w:rsidR="00845591" w:rsidRPr="00EC250C">
          <w:rPr>
            <w:webHidden/>
          </w:rPr>
          <w:fldChar w:fldCharType="end"/>
        </w:r>
      </w:hyperlink>
    </w:p>
    <w:p w14:paraId="742918F1" w14:textId="732598CB" w:rsidR="00845591" w:rsidRPr="00EC250C" w:rsidRDefault="00744B2D" w:rsidP="001759D6">
      <w:pPr>
        <w:pStyle w:val="Spistreci4"/>
        <w:rPr>
          <w:rFonts w:asciiTheme="minorHAnsi" w:eastAsiaTheme="minorEastAsia" w:hAnsiTheme="minorHAnsi" w:cstheme="minorBidi"/>
        </w:rPr>
      </w:pPr>
      <w:hyperlink w:anchor="_Toc11247824" w:history="1">
        <w:r w:rsidR="00845591" w:rsidRPr="00EC250C">
          <w:rPr>
            <w:rStyle w:val="Hipercze"/>
          </w:rPr>
          <w:t>Brak odszkodowania dla części rodzin osób represjonowanych za działalność na rzecz niepodległości Polski</w:t>
        </w:r>
        <w:r w:rsidR="00845591" w:rsidRPr="00EC250C">
          <w:rPr>
            <w:webHidden/>
          </w:rPr>
          <w:tab/>
        </w:r>
        <w:r w:rsidR="00EC250C">
          <w:rPr>
            <w:webHidden/>
          </w:rPr>
          <w:tab/>
        </w:r>
        <w:r w:rsidR="00845591" w:rsidRPr="00EC250C">
          <w:rPr>
            <w:webHidden/>
          </w:rPr>
          <w:fldChar w:fldCharType="begin"/>
        </w:r>
        <w:r w:rsidR="00845591" w:rsidRPr="00EC250C">
          <w:rPr>
            <w:webHidden/>
          </w:rPr>
          <w:instrText xml:space="preserve"> PAGEREF _Toc11247824 \h </w:instrText>
        </w:r>
        <w:r w:rsidR="00845591" w:rsidRPr="00EC250C">
          <w:rPr>
            <w:webHidden/>
          </w:rPr>
        </w:r>
        <w:r w:rsidR="00845591" w:rsidRPr="00EC250C">
          <w:rPr>
            <w:webHidden/>
          </w:rPr>
          <w:fldChar w:fldCharType="separate"/>
        </w:r>
        <w:r>
          <w:rPr>
            <w:webHidden/>
          </w:rPr>
          <w:t>389</w:t>
        </w:r>
        <w:r w:rsidR="00845591" w:rsidRPr="00EC250C">
          <w:rPr>
            <w:webHidden/>
          </w:rPr>
          <w:fldChar w:fldCharType="end"/>
        </w:r>
      </w:hyperlink>
    </w:p>
    <w:p w14:paraId="67AECF9B" w14:textId="7EC06592" w:rsidR="00845591" w:rsidRPr="00EC250C" w:rsidRDefault="00744B2D" w:rsidP="001759D6">
      <w:pPr>
        <w:pStyle w:val="Spistreci4"/>
        <w:rPr>
          <w:rFonts w:asciiTheme="minorHAnsi" w:eastAsiaTheme="minorEastAsia" w:hAnsiTheme="minorHAnsi" w:cstheme="minorBidi"/>
        </w:rPr>
      </w:pPr>
      <w:hyperlink w:anchor="_Toc11247825" w:history="1">
        <w:r w:rsidR="00845591" w:rsidRPr="00EC250C">
          <w:rPr>
            <w:rStyle w:val="Hipercze"/>
          </w:rPr>
          <w:t>Odpowiedzialność Skarbu Państwa za szkody wyrządzone przez żurawie i wydry</w:t>
        </w:r>
        <w:r w:rsidR="00845591" w:rsidRPr="00EC250C">
          <w:rPr>
            <w:webHidden/>
          </w:rPr>
          <w:tab/>
        </w:r>
        <w:r w:rsidR="00845591" w:rsidRPr="00EC250C">
          <w:rPr>
            <w:webHidden/>
          </w:rPr>
          <w:fldChar w:fldCharType="begin"/>
        </w:r>
        <w:r w:rsidR="00845591" w:rsidRPr="00EC250C">
          <w:rPr>
            <w:webHidden/>
          </w:rPr>
          <w:instrText xml:space="preserve"> PAGEREF _Toc11247825 \h </w:instrText>
        </w:r>
        <w:r w:rsidR="00845591" w:rsidRPr="00EC250C">
          <w:rPr>
            <w:webHidden/>
          </w:rPr>
        </w:r>
        <w:r w:rsidR="00845591" w:rsidRPr="00EC250C">
          <w:rPr>
            <w:webHidden/>
          </w:rPr>
          <w:fldChar w:fldCharType="separate"/>
        </w:r>
        <w:r>
          <w:rPr>
            <w:webHidden/>
          </w:rPr>
          <w:t>390</w:t>
        </w:r>
        <w:r w:rsidR="00845591" w:rsidRPr="00EC250C">
          <w:rPr>
            <w:webHidden/>
          </w:rPr>
          <w:fldChar w:fldCharType="end"/>
        </w:r>
      </w:hyperlink>
    </w:p>
    <w:p w14:paraId="385F6977" w14:textId="0EC5467A" w:rsidR="00845591" w:rsidRPr="00EC250C" w:rsidRDefault="00744B2D" w:rsidP="001759D6">
      <w:pPr>
        <w:pStyle w:val="Spistreci4"/>
        <w:rPr>
          <w:rFonts w:asciiTheme="minorHAnsi" w:eastAsiaTheme="minorEastAsia" w:hAnsiTheme="minorHAnsi" w:cstheme="minorBidi"/>
        </w:rPr>
      </w:pPr>
      <w:hyperlink w:anchor="_Toc11247826" w:history="1">
        <w:r w:rsidR="00845591" w:rsidRPr="00EC250C">
          <w:rPr>
            <w:rStyle w:val="Hipercze"/>
          </w:rPr>
          <w:t>Odpowiedzialność odszkodowawcza państwa za niesłuszne skazanie – sprawa Tomasza Komendy</w:t>
        </w:r>
        <w:r w:rsidR="00845591" w:rsidRPr="00EC250C">
          <w:rPr>
            <w:webHidden/>
          </w:rPr>
          <w:tab/>
        </w:r>
        <w:r w:rsidR="00845591" w:rsidRPr="00EC250C">
          <w:rPr>
            <w:webHidden/>
          </w:rPr>
          <w:fldChar w:fldCharType="begin"/>
        </w:r>
        <w:r w:rsidR="00845591" w:rsidRPr="00EC250C">
          <w:rPr>
            <w:webHidden/>
          </w:rPr>
          <w:instrText xml:space="preserve"> PAGEREF _Toc11247826 \h </w:instrText>
        </w:r>
        <w:r w:rsidR="00845591" w:rsidRPr="00EC250C">
          <w:rPr>
            <w:webHidden/>
          </w:rPr>
        </w:r>
        <w:r w:rsidR="00845591" w:rsidRPr="00EC250C">
          <w:rPr>
            <w:webHidden/>
          </w:rPr>
          <w:fldChar w:fldCharType="separate"/>
        </w:r>
        <w:r>
          <w:rPr>
            <w:webHidden/>
          </w:rPr>
          <w:t>391</w:t>
        </w:r>
        <w:r w:rsidR="00845591" w:rsidRPr="00EC250C">
          <w:rPr>
            <w:webHidden/>
          </w:rPr>
          <w:fldChar w:fldCharType="end"/>
        </w:r>
      </w:hyperlink>
    </w:p>
    <w:p w14:paraId="3F5DD33F" w14:textId="08E40A65" w:rsidR="00845591" w:rsidRPr="00EC250C" w:rsidRDefault="00744B2D" w:rsidP="00A46160">
      <w:pPr>
        <w:pStyle w:val="Spistreci3"/>
        <w:rPr>
          <w:rFonts w:asciiTheme="minorHAnsi" w:eastAsiaTheme="minorEastAsia" w:hAnsiTheme="minorHAnsi" w:cstheme="minorBidi"/>
          <w:color w:val="auto"/>
          <w:sz w:val="20"/>
        </w:rPr>
      </w:pPr>
      <w:hyperlink w:anchor="_Toc11247827" w:history="1">
        <w:r w:rsidR="00845591" w:rsidRPr="00EC250C">
          <w:rPr>
            <w:rStyle w:val="Hipercze"/>
          </w:rPr>
          <w:t>Art. 77 Konstytucji ust. 2 – Prawo do drogi sądowej</w:t>
        </w:r>
        <w:r w:rsidR="00845591" w:rsidRPr="00EC250C">
          <w:rPr>
            <w:webHidden/>
          </w:rPr>
          <w:tab/>
        </w:r>
        <w:r w:rsidR="00845591" w:rsidRPr="00EC250C">
          <w:rPr>
            <w:webHidden/>
          </w:rPr>
          <w:fldChar w:fldCharType="begin"/>
        </w:r>
        <w:r w:rsidR="00845591" w:rsidRPr="00EC250C">
          <w:rPr>
            <w:webHidden/>
          </w:rPr>
          <w:instrText xml:space="preserve"> PAGEREF _Toc11247827 \h </w:instrText>
        </w:r>
        <w:r w:rsidR="00845591" w:rsidRPr="00EC250C">
          <w:rPr>
            <w:webHidden/>
          </w:rPr>
        </w:r>
        <w:r w:rsidR="00845591" w:rsidRPr="00EC250C">
          <w:rPr>
            <w:webHidden/>
          </w:rPr>
          <w:fldChar w:fldCharType="separate"/>
        </w:r>
        <w:r>
          <w:rPr>
            <w:webHidden/>
          </w:rPr>
          <w:t>392</w:t>
        </w:r>
        <w:r w:rsidR="00845591" w:rsidRPr="00EC250C">
          <w:rPr>
            <w:webHidden/>
          </w:rPr>
          <w:fldChar w:fldCharType="end"/>
        </w:r>
      </w:hyperlink>
    </w:p>
    <w:p w14:paraId="0D7DE9A3" w14:textId="60E94C3C" w:rsidR="00845591" w:rsidRPr="00EC250C" w:rsidRDefault="00744B2D" w:rsidP="001759D6">
      <w:pPr>
        <w:pStyle w:val="Spistreci4"/>
        <w:rPr>
          <w:rFonts w:asciiTheme="minorHAnsi" w:eastAsiaTheme="minorEastAsia" w:hAnsiTheme="minorHAnsi" w:cstheme="minorBidi"/>
        </w:rPr>
      </w:pPr>
      <w:hyperlink w:anchor="_Toc11247828" w:history="1">
        <w:r w:rsidR="00845591" w:rsidRPr="00EC250C">
          <w:rPr>
            <w:rStyle w:val="Hipercze"/>
          </w:rPr>
          <w:t>Brak kontroli sądowej przeszukań i kontroli osobistej prowadzonych przez służby celno-skarbowe i funkcjonariuszy SOP</w:t>
        </w:r>
        <w:r w:rsidR="00845591" w:rsidRPr="00EC250C">
          <w:rPr>
            <w:webHidden/>
          </w:rPr>
          <w:tab/>
        </w:r>
        <w:r w:rsidR="00845591" w:rsidRPr="00EC250C">
          <w:rPr>
            <w:webHidden/>
          </w:rPr>
          <w:fldChar w:fldCharType="begin"/>
        </w:r>
        <w:r w:rsidR="00845591" w:rsidRPr="00EC250C">
          <w:rPr>
            <w:webHidden/>
          </w:rPr>
          <w:instrText xml:space="preserve"> PAGEREF _Toc11247828 \h </w:instrText>
        </w:r>
        <w:r w:rsidR="00845591" w:rsidRPr="00EC250C">
          <w:rPr>
            <w:webHidden/>
          </w:rPr>
        </w:r>
        <w:r w:rsidR="00845591" w:rsidRPr="00EC250C">
          <w:rPr>
            <w:webHidden/>
          </w:rPr>
          <w:fldChar w:fldCharType="separate"/>
        </w:r>
        <w:r>
          <w:rPr>
            <w:webHidden/>
          </w:rPr>
          <w:t>393</w:t>
        </w:r>
        <w:r w:rsidR="00845591" w:rsidRPr="00EC250C">
          <w:rPr>
            <w:webHidden/>
          </w:rPr>
          <w:fldChar w:fldCharType="end"/>
        </w:r>
      </w:hyperlink>
    </w:p>
    <w:p w14:paraId="3278CC36" w14:textId="38A021E1" w:rsidR="00845591" w:rsidRPr="00EC250C" w:rsidRDefault="00744B2D" w:rsidP="001759D6">
      <w:pPr>
        <w:pStyle w:val="Spistreci4"/>
        <w:rPr>
          <w:rFonts w:asciiTheme="minorHAnsi" w:eastAsiaTheme="minorEastAsia" w:hAnsiTheme="minorHAnsi" w:cstheme="minorBidi"/>
        </w:rPr>
      </w:pPr>
      <w:hyperlink w:anchor="_Toc11247829" w:history="1">
        <w:r w:rsidR="00845591" w:rsidRPr="00EC250C">
          <w:rPr>
            <w:rStyle w:val="Hipercze"/>
          </w:rPr>
          <w:t>Wątpliwości wobec 5-letniego terminu na uchylenie decyzji administracyjnej wydanej na podstawie niekonstytucyjnego przepisu</w:t>
        </w:r>
        <w:r w:rsidR="00845591" w:rsidRPr="00EC250C">
          <w:rPr>
            <w:webHidden/>
          </w:rPr>
          <w:tab/>
        </w:r>
        <w:r w:rsidR="00803B7D">
          <w:rPr>
            <w:webHidden/>
          </w:rPr>
          <w:tab/>
        </w:r>
        <w:r w:rsidR="00845591" w:rsidRPr="00EC250C">
          <w:rPr>
            <w:webHidden/>
          </w:rPr>
          <w:fldChar w:fldCharType="begin"/>
        </w:r>
        <w:r w:rsidR="00845591" w:rsidRPr="00EC250C">
          <w:rPr>
            <w:webHidden/>
          </w:rPr>
          <w:instrText xml:space="preserve"> PAGEREF _Toc11247829 \h </w:instrText>
        </w:r>
        <w:r w:rsidR="00845591" w:rsidRPr="00EC250C">
          <w:rPr>
            <w:webHidden/>
          </w:rPr>
        </w:r>
        <w:r w:rsidR="00845591" w:rsidRPr="00EC250C">
          <w:rPr>
            <w:webHidden/>
          </w:rPr>
          <w:fldChar w:fldCharType="separate"/>
        </w:r>
        <w:r>
          <w:rPr>
            <w:webHidden/>
          </w:rPr>
          <w:t>394</w:t>
        </w:r>
        <w:r w:rsidR="00845591" w:rsidRPr="00EC250C">
          <w:rPr>
            <w:webHidden/>
          </w:rPr>
          <w:fldChar w:fldCharType="end"/>
        </w:r>
      </w:hyperlink>
    </w:p>
    <w:p w14:paraId="5F3EFDB8" w14:textId="2FB66BF1" w:rsidR="00845591" w:rsidRPr="00EC250C" w:rsidRDefault="00744B2D" w:rsidP="001759D6">
      <w:pPr>
        <w:pStyle w:val="Spistreci4"/>
        <w:rPr>
          <w:rFonts w:asciiTheme="minorHAnsi" w:eastAsiaTheme="minorEastAsia" w:hAnsiTheme="minorHAnsi" w:cstheme="minorBidi"/>
        </w:rPr>
      </w:pPr>
      <w:hyperlink w:anchor="_Toc11247830" w:history="1">
        <w:r w:rsidR="00845591" w:rsidRPr="00EC250C">
          <w:rPr>
            <w:rStyle w:val="Hipercze"/>
          </w:rPr>
          <w:t>Brak możliwości odwołania się do sądu od decyzji w sprawie dofinansowania przez Polski Instytut Sztuki Filmowej</w:t>
        </w:r>
        <w:r w:rsidR="00845591" w:rsidRPr="00EC250C">
          <w:rPr>
            <w:webHidden/>
          </w:rPr>
          <w:tab/>
        </w:r>
        <w:r w:rsidR="00845591" w:rsidRPr="00EC250C">
          <w:rPr>
            <w:webHidden/>
          </w:rPr>
          <w:fldChar w:fldCharType="begin"/>
        </w:r>
        <w:r w:rsidR="00845591" w:rsidRPr="00EC250C">
          <w:rPr>
            <w:webHidden/>
          </w:rPr>
          <w:instrText xml:space="preserve"> PAGEREF _Toc11247830 \h </w:instrText>
        </w:r>
        <w:r w:rsidR="00845591" w:rsidRPr="00EC250C">
          <w:rPr>
            <w:webHidden/>
          </w:rPr>
        </w:r>
        <w:r w:rsidR="00845591" w:rsidRPr="00EC250C">
          <w:rPr>
            <w:webHidden/>
          </w:rPr>
          <w:fldChar w:fldCharType="separate"/>
        </w:r>
        <w:r>
          <w:rPr>
            <w:webHidden/>
          </w:rPr>
          <w:t>395</w:t>
        </w:r>
        <w:r w:rsidR="00845591" w:rsidRPr="00EC250C">
          <w:rPr>
            <w:webHidden/>
          </w:rPr>
          <w:fldChar w:fldCharType="end"/>
        </w:r>
      </w:hyperlink>
    </w:p>
    <w:p w14:paraId="0E986E56" w14:textId="36F12136" w:rsidR="00845591" w:rsidRPr="00EC250C" w:rsidRDefault="00744B2D" w:rsidP="001759D6">
      <w:pPr>
        <w:pStyle w:val="Spistreci4"/>
        <w:rPr>
          <w:rFonts w:asciiTheme="minorHAnsi" w:eastAsiaTheme="minorEastAsia" w:hAnsiTheme="minorHAnsi" w:cstheme="minorBidi"/>
        </w:rPr>
      </w:pPr>
      <w:hyperlink w:anchor="_Toc11247831" w:history="1">
        <w:r w:rsidR="00845591" w:rsidRPr="00EC250C">
          <w:rPr>
            <w:rStyle w:val="Hipercze"/>
          </w:rPr>
          <w:t>Podwyżka opłaty za użytkowanie wieczyste. Dopuszczalność skargi do sądu administracyjnego na postanowienie SKO o odmowie przywrócenia terminu</w:t>
        </w:r>
        <w:r w:rsidR="00845591" w:rsidRPr="00EC250C">
          <w:rPr>
            <w:webHidden/>
          </w:rPr>
          <w:tab/>
        </w:r>
        <w:r w:rsidR="00845591" w:rsidRPr="00EC250C">
          <w:rPr>
            <w:webHidden/>
          </w:rPr>
          <w:fldChar w:fldCharType="begin"/>
        </w:r>
        <w:r w:rsidR="00845591" w:rsidRPr="00EC250C">
          <w:rPr>
            <w:webHidden/>
          </w:rPr>
          <w:instrText xml:space="preserve"> PAGEREF _Toc11247831 \h </w:instrText>
        </w:r>
        <w:r w:rsidR="00845591" w:rsidRPr="00EC250C">
          <w:rPr>
            <w:webHidden/>
          </w:rPr>
        </w:r>
        <w:r w:rsidR="00845591" w:rsidRPr="00EC250C">
          <w:rPr>
            <w:webHidden/>
          </w:rPr>
          <w:fldChar w:fldCharType="separate"/>
        </w:r>
        <w:r>
          <w:rPr>
            <w:webHidden/>
          </w:rPr>
          <w:t>395</w:t>
        </w:r>
        <w:r w:rsidR="00845591" w:rsidRPr="00EC250C">
          <w:rPr>
            <w:webHidden/>
          </w:rPr>
          <w:fldChar w:fldCharType="end"/>
        </w:r>
      </w:hyperlink>
    </w:p>
    <w:p w14:paraId="08CDA1B4" w14:textId="52EB2A4C" w:rsidR="00845591" w:rsidRPr="00EC250C" w:rsidRDefault="00744B2D" w:rsidP="001759D6">
      <w:pPr>
        <w:pStyle w:val="Spistreci4"/>
        <w:rPr>
          <w:rFonts w:asciiTheme="minorHAnsi" w:eastAsiaTheme="minorEastAsia" w:hAnsiTheme="minorHAnsi" w:cstheme="minorBidi"/>
        </w:rPr>
      </w:pPr>
      <w:hyperlink w:anchor="_Toc11247832" w:history="1">
        <w:r w:rsidR="00845591" w:rsidRPr="00EC250C">
          <w:rPr>
            <w:rStyle w:val="Hipercze"/>
          </w:rPr>
          <w:t>Czy wyrok „interpretacyjny” Trybunału Konstytucyjnego może stanowić podstawę wznowienia postępowania cywilnego?</w:t>
        </w:r>
        <w:r w:rsidR="00845591" w:rsidRPr="00EC250C">
          <w:rPr>
            <w:webHidden/>
          </w:rPr>
          <w:tab/>
        </w:r>
        <w:r w:rsidR="00845591" w:rsidRPr="00EC250C">
          <w:rPr>
            <w:webHidden/>
          </w:rPr>
          <w:fldChar w:fldCharType="begin"/>
        </w:r>
        <w:r w:rsidR="00845591" w:rsidRPr="00EC250C">
          <w:rPr>
            <w:webHidden/>
          </w:rPr>
          <w:instrText xml:space="preserve"> PAGEREF _Toc11247832 \h </w:instrText>
        </w:r>
        <w:r w:rsidR="00845591" w:rsidRPr="00EC250C">
          <w:rPr>
            <w:webHidden/>
          </w:rPr>
        </w:r>
        <w:r w:rsidR="00845591" w:rsidRPr="00EC250C">
          <w:rPr>
            <w:webHidden/>
          </w:rPr>
          <w:fldChar w:fldCharType="separate"/>
        </w:r>
        <w:r>
          <w:rPr>
            <w:webHidden/>
          </w:rPr>
          <w:t>396</w:t>
        </w:r>
        <w:r w:rsidR="00845591" w:rsidRPr="00EC250C">
          <w:rPr>
            <w:webHidden/>
          </w:rPr>
          <w:fldChar w:fldCharType="end"/>
        </w:r>
      </w:hyperlink>
    </w:p>
    <w:p w14:paraId="53C11C4E" w14:textId="1E9402EE" w:rsidR="00845591" w:rsidRPr="00EC250C" w:rsidRDefault="00744B2D" w:rsidP="001759D6">
      <w:pPr>
        <w:pStyle w:val="Spistreci4"/>
        <w:rPr>
          <w:rFonts w:asciiTheme="minorHAnsi" w:eastAsiaTheme="minorEastAsia" w:hAnsiTheme="minorHAnsi" w:cstheme="minorBidi"/>
        </w:rPr>
      </w:pPr>
      <w:hyperlink w:anchor="_Toc11247833" w:history="1">
        <w:r w:rsidR="00845591" w:rsidRPr="00EC250C">
          <w:rPr>
            <w:rStyle w:val="Hipercze"/>
          </w:rPr>
          <w:t>Problem odwołania od decyzji odmownej ws. dotacji celowej na wymianę ogrzewania</w:t>
        </w:r>
        <w:r w:rsidR="00845591" w:rsidRPr="00EC250C">
          <w:rPr>
            <w:webHidden/>
          </w:rPr>
          <w:tab/>
        </w:r>
        <w:r w:rsidR="00845591" w:rsidRPr="00EC250C">
          <w:rPr>
            <w:webHidden/>
          </w:rPr>
          <w:fldChar w:fldCharType="begin"/>
        </w:r>
        <w:r w:rsidR="00845591" w:rsidRPr="00EC250C">
          <w:rPr>
            <w:webHidden/>
          </w:rPr>
          <w:instrText xml:space="preserve"> PAGEREF _Toc11247833 \h </w:instrText>
        </w:r>
        <w:r w:rsidR="00845591" w:rsidRPr="00EC250C">
          <w:rPr>
            <w:webHidden/>
          </w:rPr>
        </w:r>
        <w:r w:rsidR="00845591" w:rsidRPr="00EC250C">
          <w:rPr>
            <w:webHidden/>
          </w:rPr>
          <w:fldChar w:fldCharType="separate"/>
        </w:r>
        <w:r>
          <w:rPr>
            <w:webHidden/>
          </w:rPr>
          <w:t>397</w:t>
        </w:r>
        <w:r w:rsidR="00845591" w:rsidRPr="00EC250C">
          <w:rPr>
            <w:webHidden/>
          </w:rPr>
          <w:fldChar w:fldCharType="end"/>
        </w:r>
      </w:hyperlink>
    </w:p>
    <w:p w14:paraId="3267B2BB" w14:textId="7042D838" w:rsidR="00845591" w:rsidRPr="00EC250C" w:rsidRDefault="00744B2D" w:rsidP="00A46160">
      <w:pPr>
        <w:pStyle w:val="Spistreci3"/>
        <w:rPr>
          <w:rFonts w:asciiTheme="minorHAnsi" w:eastAsiaTheme="minorEastAsia" w:hAnsiTheme="minorHAnsi" w:cstheme="minorBidi"/>
          <w:color w:val="auto"/>
          <w:sz w:val="20"/>
        </w:rPr>
      </w:pPr>
      <w:hyperlink w:anchor="_Toc11247834" w:history="1">
        <w:r w:rsidR="00845591" w:rsidRPr="00EC250C">
          <w:rPr>
            <w:rStyle w:val="Hipercze"/>
          </w:rPr>
          <w:t>Art. 78 Konstytucji – Prawo do dwóch instancji</w:t>
        </w:r>
        <w:r w:rsidR="00845591" w:rsidRPr="00EC250C">
          <w:rPr>
            <w:webHidden/>
          </w:rPr>
          <w:tab/>
        </w:r>
        <w:r w:rsidR="00845591" w:rsidRPr="00EC250C">
          <w:rPr>
            <w:webHidden/>
          </w:rPr>
          <w:fldChar w:fldCharType="begin"/>
        </w:r>
        <w:r w:rsidR="00845591" w:rsidRPr="00EC250C">
          <w:rPr>
            <w:webHidden/>
          </w:rPr>
          <w:instrText xml:space="preserve"> PAGEREF _Toc11247834 \h </w:instrText>
        </w:r>
        <w:r w:rsidR="00845591" w:rsidRPr="00EC250C">
          <w:rPr>
            <w:webHidden/>
          </w:rPr>
        </w:r>
        <w:r w:rsidR="00845591" w:rsidRPr="00EC250C">
          <w:rPr>
            <w:webHidden/>
          </w:rPr>
          <w:fldChar w:fldCharType="separate"/>
        </w:r>
        <w:r>
          <w:rPr>
            <w:webHidden/>
          </w:rPr>
          <w:t>398</w:t>
        </w:r>
        <w:r w:rsidR="00845591" w:rsidRPr="00EC250C">
          <w:rPr>
            <w:webHidden/>
          </w:rPr>
          <w:fldChar w:fldCharType="end"/>
        </w:r>
      </w:hyperlink>
    </w:p>
    <w:p w14:paraId="4F4073F8" w14:textId="40CA659D" w:rsidR="00845591" w:rsidRPr="00EC250C" w:rsidRDefault="00744B2D" w:rsidP="001759D6">
      <w:pPr>
        <w:pStyle w:val="Spistreci4"/>
        <w:rPr>
          <w:rFonts w:asciiTheme="minorHAnsi" w:eastAsiaTheme="minorEastAsia" w:hAnsiTheme="minorHAnsi" w:cstheme="minorBidi"/>
        </w:rPr>
      </w:pPr>
      <w:hyperlink w:anchor="_Toc11247835" w:history="1">
        <w:r w:rsidR="00845591" w:rsidRPr="00EC250C">
          <w:rPr>
            <w:rStyle w:val="Hipercze"/>
          </w:rPr>
          <w:t>Brak możliwości zaskarżenia decyzji sądu II instancji o zawieszeniu postępowania karnego</w:t>
        </w:r>
        <w:r w:rsidR="00845591" w:rsidRPr="00EC250C">
          <w:rPr>
            <w:webHidden/>
          </w:rPr>
          <w:tab/>
        </w:r>
        <w:r w:rsidR="00845591" w:rsidRPr="00EC250C">
          <w:rPr>
            <w:webHidden/>
          </w:rPr>
          <w:fldChar w:fldCharType="begin"/>
        </w:r>
        <w:r w:rsidR="00845591" w:rsidRPr="00EC250C">
          <w:rPr>
            <w:webHidden/>
          </w:rPr>
          <w:instrText xml:space="preserve"> PAGEREF _Toc11247835 \h </w:instrText>
        </w:r>
        <w:r w:rsidR="00845591" w:rsidRPr="00EC250C">
          <w:rPr>
            <w:webHidden/>
          </w:rPr>
        </w:r>
        <w:r w:rsidR="00845591" w:rsidRPr="00EC250C">
          <w:rPr>
            <w:webHidden/>
          </w:rPr>
          <w:fldChar w:fldCharType="separate"/>
        </w:r>
        <w:r>
          <w:rPr>
            <w:webHidden/>
          </w:rPr>
          <w:t>399</w:t>
        </w:r>
        <w:r w:rsidR="00845591" w:rsidRPr="00EC250C">
          <w:rPr>
            <w:webHidden/>
          </w:rPr>
          <w:fldChar w:fldCharType="end"/>
        </w:r>
      </w:hyperlink>
    </w:p>
    <w:p w14:paraId="76ADC83B" w14:textId="018D4DAB" w:rsidR="00845591" w:rsidRPr="00EC250C" w:rsidRDefault="00744B2D" w:rsidP="001759D6">
      <w:pPr>
        <w:pStyle w:val="Spistreci4"/>
        <w:rPr>
          <w:rFonts w:asciiTheme="minorHAnsi" w:eastAsiaTheme="minorEastAsia" w:hAnsiTheme="minorHAnsi" w:cstheme="minorBidi"/>
        </w:rPr>
      </w:pPr>
      <w:hyperlink w:anchor="_Toc11247836" w:history="1">
        <w:r w:rsidR="00845591" w:rsidRPr="00EC250C">
          <w:rPr>
            <w:rStyle w:val="Hipercze"/>
          </w:rPr>
          <w:t>Zażalenie oskarżyciela posiłkowego na odmowę dopuszczenia do procesu – TK uwzględnił wniosek RPO</w:t>
        </w:r>
        <w:r w:rsidR="00845591" w:rsidRPr="00EC250C">
          <w:rPr>
            <w:webHidden/>
          </w:rPr>
          <w:tab/>
        </w:r>
        <w:r w:rsidR="00845591" w:rsidRPr="00EC250C">
          <w:rPr>
            <w:webHidden/>
          </w:rPr>
          <w:fldChar w:fldCharType="begin"/>
        </w:r>
        <w:r w:rsidR="00845591" w:rsidRPr="00EC250C">
          <w:rPr>
            <w:webHidden/>
          </w:rPr>
          <w:instrText xml:space="preserve"> PAGEREF _Toc11247836 \h </w:instrText>
        </w:r>
        <w:r w:rsidR="00845591" w:rsidRPr="00EC250C">
          <w:rPr>
            <w:webHidden/>
          </w:rPr>
        </w:r>
        <w:r w:rsidR="00845591" w:rsidRPr="00EC250C">
          <w:rPr>
            <w:webHidden/>
          </w:rPr>
          <w:fldChar w:fldCharType="separate"/>
        </w:r>
        <w:r>
          <w:rPr>
            <w:webHidden/>
          </w:rPr>
          <w:t>399</w:t>
        </w:r>
        <w:r w:rsidR="00845591" w:rsidRPr="00EC250C">
          <w:rPr>
            <w:webHidden/>
          </w:rPr>
          <w:fldChar w:fldCharType="end"/>
        </w:r>
      </w:hyperlink>
    </w:p>
    <w:p w14:paraId="03E78928" w14:textId="22CDD68B" w:rsidR="00845591" w:rsidRPr="00EC250C" w:rsidRDefault="00744B2D" w:rsidP="001759D6">
      <w:pPr>
        <w:pStyle w:val="Spistreci4"/>
        <w:rPr>
          <w:rFonts w:asciiTheme="minorHAnsi" w:eastAsiaTheme="minorEastAsia" w:hAnsiTheme="minorHAnsi" w:cstheme="minorBidi"/>
        </w:rPr>
      </w:pPr>
      <w:hyperlink w:anchor="_Toc11247837" w:history="1">
        <w:r w:rsidR="00845591" w:rsidRPr="00EC250C">
          <w:rPr>
            <w:rStyle w:val="Hipercze"/>
          </w:rPr>
          <w:t>Możliwość zaskarżenia orzeczenia referendarza sądowego w postępowaniu egzekucyjnym</w:t>
        </w:r>
        <w:r w:rsidR="00845591" w:rsidRPr="00EC250C">
          <w:rPr>
            <w:webHidden/>
          </w:rPr>
          <w:tab/>
        </w:r>
        <w:r w:rsidR="00845591" w:rsidRPr="00EC250C">
          <w:rPr>
            <w:webHidden/>
          </w:rPr>
          <w:fldChar w:fldCharType="begin"/>
        </w:r>
        <w:r w:rsidR="00845591" w:rsidRPr="00EC250C">
          <w:rPr>
            <w:webHidden/>
          </w:rPr>
          <w:instrText xml:space="preserve"> PAGEREF _Toc11247837 \h </w:instrText>
        </w:r>
        <w:r w:rsidR="00845591" w:rsidRPr="00EC250C">
          <w:rPr>
            <w:webHidden/>
          </w:rPr>
        </w:r>
        <w:r w:rsidR="00845591" w:rsidRPr="00EC250C">
          <w:rPr>
            <w:webHidden/>
          </w:rPr>
          <w:fldChar w:fldCharType="separate"/>
        </w:r>
        <w:r>
          <w:rPr>
            <w:webHidden/>
          </w:rPr>
          <w:t>400</w:t>
        </w:r>
        <w:r w:rsidR="00845591" w:rsidRPr="00EC250C">
          <w:rPr>
            <w:webHidden/>
          </w:rPr>
          <w:fldChar w:fldCharType="end"/>
        </w:r>
      </w:hyperlink>
    </w:p>
    <w:p w14:paraId="6485719C" w14:textId="6A8163F3" w:rsidR="00845591" w:rsidRPr="00EC250C" w:rsidRDefault="00744B2D" w:rsidP="00A46160">
      <w:pPr>
        <w:pStyle w:val="Spistreci3"/>
        <w:rPr>
          <w:rFonts w:asciiTheme="minorHAnsi" w:eastAsiaTheme="minorEastAsia" w:hAnsiTheme="minorHAnsi" w:cstheme="minorBidi"/>
          <w:color w:val="auto"/>
          <w:sz w:val="20"/>
        </w:rPr>
      </w:pPr>
      <w:hyperlink w:anchor="_Toc11247838" w:history="1">
        <w:r w:rsidR="00845591" w:rsidRPr="00EC250C">
          <w:rPr>
            <w:rStyle w:val="Hipercze"/>
          </w:rPr>
          <w:t>Art. 79 Konstytucji ust. 1 – Prawo do skargi konstytucyjnej</w:t>
        </w:r>
        <w:r w:rsidR="00845591" w:rsidRPr="00EC250C">
          <w:rPr>
            <w:webHidden/>
          </w:rPr>
          <w:tab/>
        </w:r>
        <w:r w:rsidR="00845591" w:rsidRPr="00EC250C">
          <w:rPr>
            <w:webHidden/>
          </w:rPr>
          <w:fldChar w:fldCharType="begin"/>
        </w:r>
        <w:r w:rsidR="00845591" w:rsidRPr="00EC250C">
          <w:rPr>
            <w:webHidden/>
          </w:rPr>
          <w:instrText xml:space="preserve"> PAGEREF _Toc11247838 \h </w:instrText>
        </w:r>
        <w:r w:rsidR="00845591" w:rsidRPr="00EC250C">
          <w:rPr>
            <w:webHidden/>
          </w:rPr>
        </w:r>
        <w:r w:rsidR="00845591" w:rsidRPr="00EC250C">
          <w:rPr>
            <w:webHidden/>
          </w:rPr>
          <w:fldChar w:fldCharType="separate"/>
        </w:r>
        <w:r>
          <w:rPr>
            <w:webHidden/>
          </w:rPr>
          <w:t>401</w:t>
        </w:r>
        <w:r w:rsidR="00845591" w:rsidRPr="00EC250C">
          <w:rPr>
            <w:webHidden/>
          </w:rPr>
          <w:fldChar w:fldCharType="end"/>
        </w:r>
      </w:hyperlink>
    </w:p>
    <w:p w14:paraId="6E6462B5" w14:textId="54909C73" w:rsidR="00845591" w:rsidRPr="00EC250C" w:rsidRDefault="00744B2D" w:rsidP="00A46160">
      <w:pPr>
        <w:pStyle w:val="Spistreci3"/>
        <w:rPr>
          <w:rFonts w:asciiTheme="minorHAnsi" w:eastAsiaTheme="minorEastAsia" w:hAnsiTheme="minorHAnsi" w:cstheme="minorBidi"/>
          <w:color w:val="auto"/>
          <w:sz w:val="20"/>
        </w:rPr>
      </w:pPr>
      <w:hyperlink w:anchor="_Toc11247839" w:history="1">
        <w:r w:rsidR="00845591" w:rsidRPr="00EC250C">
          <w:rPr>
            <w:rStyle w:val="Hipercze"/>
          </w:rPr>
          <w:t>Art. 80 Konstytucji – Prawo wystąpienia do RPO</w:t>
        </w:r>
        <w:r w:rsidR="00845591" w:rsidRPr="00EC250C">
          <w:rPr>
            <w:webHidden/>
          </w:rPr>
          <w:tab/>
        </w:r>
        <w:r w:rsidR="00845591" w:rsidRPr="00EC250C">
          <w:rPr>
            <w:webHidden/>
          </w:rPr>
          <w:fldChar w:fldCharType="begin"/>
        </w:r>
        <w:r w:rsidR="00845591" w:rsidRPr="00EC250C">
          <w:rPr>
            <w:webHidden/>
          </w:rPr>
          <w:instrText xml:space="preserve"> PAGEREF _Toc11247839 \h </w:instrText>
        </w:r>
        <w:r w:rsidR="00845591" w:rsidRPr="00EC250C">
          <w:rPr>
            <w:webHidden/>
          </w:rPr>
        </w:r>
        <w:r w:rsidR="00845591" w:rsidRPr="00EC250C">
          <w:rPr>
            <w:webHidden/>
          </w:rPr>
          <w:fldChar w:fldCharType="separate"/>
        </w:r>
        <w:r>
          <w:rPr>
            <w:webHidden/>
          </w:rPr>
          <w:t>402</w:t>
        </w:r>
        <w:r w:rsidR="00845591" w:rsidRPr="00EC250C">
          <w:rPr>
            <w:webHidden/>
          </w:rPr>
          <w:fldChar w:fldCharType="end"/>
        </w:r>
      </w:hyperlink>
    </w:p>
    <w:p w14:paraId="1C2BAF52" w14:textId="7A4277E2" w:rsidR="00845591" w:rsidRPr="00EC250C" w:rsidRDefault="00744B2D">
      <w:pPr>
        <w:pStyle w:val="Spistreci2"/>
        <w:rPr>
          <w:rFonts w:asciiTheme="minorHAnsi" w:eastAsiaTheme="minorEastAsia" w:hAnsiTheme="minorHAnsi" w:cstheme="minorBidi"/>
          <w:b w:val="0"/>
          <w:spacing w:val="0"/>
          <w:sz w:val="20"/>
          <w:szCs w:val="20"/>
        </w:rPr>
      </w:pPr>
      <w:hyperlink w:anchor="_Toc11247840" w:history="1">
        <w:r w:rsidR="00845591" w:rsidRPr="00EC250C">
          <w:rPr>
            <w:rStyle w:val="Hipercze"/>
            <w:sz w:val="28"/>
            <w:szCs w:val="24"/>
          </w:rPr>
          <w:t>6. Inne standardy normatywne</w:t>
        </w:r>
        <w:r w:rsidR="00845591" w:rsidRPr="00EC250C">
          <w:rPr>
            <w:webHidden/>
            <w:sz w:val="28"/>
            <w:szCs w:val="24"/>
          </w:rPr>
          <w:tab/>
        </w:r>
        <w:r w:rsidR="00845591" w:rsidRPr="00EC250C">
          <w:rPr>
            <w:webHidden/>
            <w:sz w:val="28"/>
            <w:szCs w:val="24"/>
          </w:rPr>
          <w:fldChar w:fldCharType="begin"/>
        </w:r>
        <w:r w:rsidR="00845591" w:rsidRPr="00EC250C">
          <w:rPr>
            <w:webHidden/>
            <w:sz w:val="28"/>
            <w:szCs w:val="24"/>
          </w:rPr>
          <w:instrText xml:space="preserve"> PAGEREF _Toc11247840 \h </w:instrText>
        </w:r>
        <w:r w:rsidR="00845591" w:rsidRPr="00EC250C">
          <w:rPr>
            <w:webHidden/>
            <w:sz w:val="28"/>
            <w:szCs w:val="24"/>
          </w:rPr>
        </w:r>
        <w:r w:rsidR="00845591" w:rsidRPr="00EC250C">
          <w:rPr>
            <w:webHidden/>
            <w:sz w:val="28"/>
            <w:szCs w:val="24"/>
          </w:rPr>
          <w:fldChar w:fldCharType="separate"/>
        </w:r>
        <w:r>
          <w:rPr>
            <w:webHidden/>
            <w:sz w:val="28"/>
            <w:szCs w:val="24"/>
          </w:rPr>
          <w:t>403</w:t>
        </w:r>
        <w:r w:rsidR="00845591" w:rsidRPr="00EC250C">
          <w:rPr>
            <w:webHidden/>
            <w:sz w:val="28"/>
            <w:szCs w:val="24"/>
          </w:rPr>
          <w:fldChar w:fldCharType="end"/>
        </w:r>
      </w:hyperlink>
    </w:p>
    <w:p w14:paraId="52F1901D" w14:textId="47DBA591" w:rsidR="00845591" w:rsidRPr="00EC250C" w:rsidRDefault="00744B2D" w:rsidP="00A46160">
      <w:pPr>
        <w:pStyle w:val="Spistreci3"/>
        <w:rPr>
          <w:rFonts w:asciiTheme="minorHAnsi" w:eastAsiaTheme="minorEastAsia" w:hAnsiTheme="minorHAnsi" w:cstheme="minorBidi"/>
          <w:color w:val="auto"/>
          <w:sz w:val="20"/>
        </w:rPr>
      </w:pPr>
      <w:hyperlink w:anchor="_Toc11247841" w:history="1">
        <w:r w:rsidR="00845591" w:rsidRPr="00EC250C">
          <w:rPr>
            <w:rStyle w:val="Hipercze"/>
          </w:rPr>
          <w:t>Art. 2 Konstytucji – Zasada praworządności</w:t>
        </w:r>
        <w:r w:rsidR="00845591" w:rsidRPr="00EC250C">
          <w:rPr>
            <w:webHidden/>
          </w:rPr>
          <w:tab/>
        </w:r>
        <w:r w:rsidR="00845591" w:rsidRPr="00EC250C">
          <w:rPr>
            <w:webHidden/>
          </w:rPr>
          <w:fldChar w:fldCharType="begin"/>
        </w:r>
        <w:r w:rsidR="00845591" w:rsidRPr="00EC250C">
          <w:rPr>
            <w:webHidden/>
          </w:rPr>
          <w:instrText xml:space="preserve"> PAGEREF _Toc11247841 \h </w:instrText>
        </w:r>
        <w:r w:rsidR="00845591" w:rsidRPr="00EC250C">
          <w:rPr>
            <w:webHidden/>
          </w:rPr>
        </w:r>
        <w:r w:rsidR="00845591" w:rsidRPr="00EC250C">
          <w:rPr>
            <w:webHidden/>
          </w:rPr>
          <w:fldChar w:fldCharType="separate"/>
        </w:r>
        <w:r>
          <w:rPr>
            <w:webHidden/>
          </w:rPr>
          <w:t>403</w:t>
        </w:r>
        <w:r w:rsidR="00845591" w:rsidRPr="00EC250C">
          <w:rPr>
            <w:webHidden/>
          </w:rPr>
          <w:fldChar w:fldCharType="end"/>
        </w:r>
      </w:hyperlink>
    </w:p>
    <w:p w14:paraId="183292A3" w14:textId="4915FD4E" w:rsidR="00845591" w:rsidRPr="00EC250C" w:rsidRDefault="00744B2D" w:rsidP="001759D6">
      <w:pPr>
        <w:pStyle w:val="Spistreci4"/>
        <w:rPr>
          <w:rFonts w:asciiTheme="minorHAnsi" w:eastAsiaTheme="minorEastAsia" w:hAnsiTheme="minorHAnsi" w:cstheme="minorBidi"/>
        </w:rPr>
      </w:pPr>
      <w:hyperlink w:anchor="_Toc11247842" w:history="1">
        <w:r w:rsidR="00845591" w:rsidRPr="00EC250C">
          <w:rPr>
            <w:rStyle w:val="Hipercze"/>
          </w:rPr>
          <w:t>Prawo sądów do zwrócenia się z pytaniem prejudycjalnym do Trybunału Sprawiedliwości Unii Europejskiej</w:t>
        </w:r>
        <w:r w:rsidR="00845591" w:rsidRPr="00EC250C">
          <w:rPr>
            <w:webHidden/>
          </w:rPr>
          <w:tab/>
        </w:r>
        <w:r w:rsidR="00845591" w:rsidRPr="00EC250C">
          <w:rPr>
            <w:webHidden/>
          </w:rPr>
          <w:fldChar w:fldCharType="begin"/>
        </w:r>
        <w:r w:rsidR="00845591" w:rsidRPr="00EC250C">
          <w:rPr>
            <w:webHidden/>
          </w:rPr>
          <w:instrText xml:space="preserve"> PAGEREF _Toc11247842 \h </w:instrText>
        </w:r>
        <w:r w:rsidR="00845591" w:rsidRPr="00EC250C">
          <w:rPr>
            <w:webHidden/>
          </w:rPr>
        </w:r>
        <w:r w:rsidR="00845591" w:rsidRPr="00EC250C">
          <w:rPr>
            <w:webHidden/>
          </w:rPr>
          <w:fldChar w:fldCharType="separate"/>
        </w:r>
        <w:r>
          <w:rPr>
            <w:webHidden/>
          </w:rPr>
          <w:t>404</w:t>
        </w:r>
        <w:r w:rsidR="00845591" w:rsidRPr="00EC250C">
          <w:rPr>
            <w:webHidden/>
          </w:rPr>
          <w:fldChar w:fldCharType="end"/>
        </w:r>
      </w:hyperlink>
    </w:p>
    <w:p w14:paraId="6730327B" w14:textId="78163C0F" w:rsidR="00845591" w:rsidRPr="00EC250C" w:rsidRDefault="00744B2D" w:rsidP="001759D6">
      <w:pPr>
        <w:pStyle w:val="Spistreci4"/>
        <w:rPr>
          <w:rFonts w:asciiTheme="minorHAnsi" w:eastAsiaTheme="minorEastAsia" w:hAnsiTheme="minorHAnsi" w:cstheme="minorBidi"/>
        </w:rPr>
      </w:pPr>
      <w:hyperlink w:anchor="_Toc11247843" w:history="1">
        <w:r w:rsidR="00845591" w:rsidRPr="00EC250C">
          <w:rPr>
            <w:rStyle w:val="Hipercze"/>
          </w:rPr>
          <w:t>Wątpliwości dotyczące brzmienia</w:t>
        </w:r>
        <w:r w:rsidR="00845591" w:rsidRPr="00EC250C">
          <w:rPr>
            <w:rStyle w:val="Hipercze"/>
            <w:lang w:eastAsia="zh-CN"/>
          </w:rPr>
          <w:t xml:space="preserve"> </w:t>
        </w:r>
        <w:r w:rsidR="00845591" w:rsidRPr="00EC250C">
          <w:rPr>
            <w:rStyle w:val="Hipercze"/>
          </w:rPr>
          <w:t>tekstu jednolitego ustawy</w:t>
        </w:r>
        <w:r w:rsidR="00845591" w:rsidRPr="00EC250C">
          <w:rPr>
            <w:webHidden/>
          </w:rPr>
          <w:tab/>
        </w:r>
        <w:r w:rsidR="00845591" w:rsidRPr="00EC250C">
          <w:rPr>
            <w:webHidden/>
          </w:rPr>
          <w:fldChar w:fldCharType="begin"/>
        </w:r>
        <w:r w:rsidR="00845591" w:rsidRPr="00EC250C">
          <w:rPr>
            <w:webHidden/>
          </w:rPr>
          <w:instrText xml:space="preserve"> PAGEREF _Toc11247843 \h </w:instrText>
        </w:r>
        <w:r w:rsidR="00845591" w:rsidRPr="00EC250C">
          <w:rPr>
            <w:webHidden/>
          </w:rPr>
        </w:r>
        <w:r w:rsidR="00845591" w:rsidRPr="00EC250C">
          <w:rPr>
            <w:webHidden/>
          </w:rPr>
          <w:fldChar w:fldCharType="separate"/>
        </w:r>
        <w:r>
          <w:rPr>
            <w:webHidden/>
          </w:rPr>
          <w:t>405</w:t>
        </w:r>
        <w:r w:rsidR="00845591" w:rsidRPr="00EC250C">
          <w:rPr>
            <w:webHidden/>
          </w:rPr>
          <w:fldChar w:fldCharType="end"/>
        </w:r>
      </w:hyperlink>
    </w:p>
    <w:p w14:paraId="3F0D8C86" w14:textId="2BD34B85" w:rsidR="00845591" w:rsidRPr="00EC250C" w:rsidRDefault="00744B2D" w:rsidP="001759D6">
      <w:pPr>
        <w:pStyle w:val="Spistreci4"/>
        <w:rPr>
          <w:rFonts w:asciiTheme="minorHAnsi" w:eastAsiaTheme="minorEastAsia" w:hAnsiTheme="minorHAnsi" w:cstheme="minorBidi"/>
        </w:rPr>
      </w:pPr>
      <w:hyperlink w:anchor="_Toc11247844" w:history="1">
        <w:r w:rsidR="00845591" w:rsidRPr="00EC250C">
          <w:rPr>
            <w:rStyle w:val="Hipercze"/>
          </w:rPr>
          <w:t>Analogowa obywatelska inicjatywa ustawodawcza</w:t>
        </w:r>
        <w:r w:rsidR="00845591" w:rsidRPr="00EC250C">
          <w:rPr>
            <w:webHidden/>
          </w:rPr>
          <w:tab/>
        </w:r>
        <w:r w:rsidR="00845591" w:rsidRPr="00EC250C">
          <w:rPr>
            <w:webHidden/>
          </w:rPr>
          <w:fldChar w:fldCharType="begin"/>
        </w:r>
        <w:r w:rsidR="00845591" w:rsidRPr="00EC250C">
          <w:rPr>
            <w:webHidden/>
          </w:rPr>
          <w:instrText xml:space="preserve"> PAGEREF _Toc11247844 \h </w:instrText>
        </w:r>
        <w:r w:rsidR="00845591" w:rsidRPr="00EC250C">
          <w:rPr>
            <w:webHidden/>
          </w:rPr>
        </w:r>
        <w:r w:rsidR="00845591" w:rsidRPr="00EC250C">
          <w:rPr>
            <w:webHidden/>
          </w:rPr>
          <w:fldChar w:fldCharType="separate"/>
        </w:r>
        <w:r>
          <w:rPr>
            <w:webHidden/>
          </w:rPr>
          <w:t>405</w:t>
        </w:r>
        <w:r w:rsidR="00845591" w:rsidRPr="00EC250C">
          <w:rPr>
            <w:webHidden/>
          </w:rPr>
          <w:fldChar w:fldCharType="end"/>
        </w:r>
      </w:hyperlink>
    </w:p>
    <w:p w14:paraId="05D4C37B" w14:textId="2BD72A69" w:rsidR="00845591" w:rsidRPr="00EC250C" w:rsidRDefault="00744B2D" w:rsidP="001759D6">
      <w:pPr>
        <w:pStyle w:val="Spistreci4"/>
        <w:rPr>
          <w:rFonts w:asciiTheme="minorHAnsi" w:eastAsiaTheme="minorEastAsia" w:hAnsiTheme="minorHAnsi" w:cstheme="minorBidi"/>
        </w:rPr>
      </w:pPr>
      <w:hyperlink w:anchor="_Toc11247845" w:history="1">
        <w:r w:rsidR="00845591" w:rsidRPr="00EC250C">
          <w:rPr>
            <w:rStyle w:val="Hipercze"/>
          </w:rPr>
          <w:t>Zasady odpowiedzialności karnej za niezawiadomienie o przestępstwie</w:t>
        </w:r>
        <w:r w:rsidR="00845591" w:rsidRPr="00EC250C">
          <w:rPr>
            <w:webHidden/>
          </w:rPr>
          <w:tab/>
        </w:r>
        <w:r w:rsidR="00845591" w:rsidRPr="00EC250C">
          <w:rPr>
            <w:webHidden/>
          </w:rPr>
          <w:fldChar w:fldCharType="begin"/>
        </w:r>
        <w:r w:rsidR="00845591" w:rsidRPr="00EC250C">
          <w:rPr>
            <w:webHidden/>
          </w:rPr>
          <w:instrText xml:space="preserve"> PAGEREF _Toc11247845 \h </w:instrText>
        </w:r>
        <w:r w:rsidR="00845591" w:rsidRPr="00EC250C">
          <w:rPr>
            <w:webHidden/>
          </w:rPr>
        </w:r>
        <w:r w:rsidR="00845591" w:rsidRPr="00EC250C">
          <w:rPr>
            <w:webHidden/>
          </w:rPr>
          <w:fldChar w:fldCharType="separate"/>
        </w:r>
        <w:r>
          <w:rPr>
            <w:webHidden/>
          </w:rPr>
          <w:t>406</w:t>
        </w:r>
        <w:r w:rsidR="00845591" w:rsidRPr="00EC250C">
          <w:rPr>
            <w:webHidden/>
          </w:rPr>
          <w:fldChar w:fldCharType="end"/>
        </w:r>
      </w:hyperlink>
    </w:p>
    <w:p w14:paraId="4E5BEE25" w14:textId="4A07455F" w:rsidR="00845591" w:rsidRPr="00EC250C" w:rsidRDefault="00744B2D" w:rsidP="001759D6">
      <w:pPr>
        <w:pStyle w:val="Spistreci4"/>
        <w:rPr>
          <w:rFonts w:asciiTheme="minorHAnsi" w:eastAsiaTheme="minorEastAsia" w:hAnsiTheme="minorHAnsi" w:cstheme="minorBidi"/>
        </w:rPr>
      </w:pPr>
      <w:hyperlink w:anchor="_Toc11247846" w:history="1">
        <w:r w:rsidR="00845591" w:rsidRPr="00EC250C">
          <w:rPr>
            <w:rStyle w:val="Hipercze"/>
          </w:rPr>
          <w:t>Grzywna i kara administracyjna za wydobywanie kopalin ze złóż bez koncesji</w:t>
        </w:r>
        <w:r w:rsidR="00845591" w:rsidRPr="00EC250C">
          <w:rPr>
            <w:webHidden/>
          </w:rPr>
          <w:tab/>
        </w:r>
        <w:r w:rsidR="00845591" w:rsidRPr="00EC250C">
          <w:rPr>
            <w:webHidden/>
          </w:rPr>
          <w:fldChar w:fldCharType="begin"/>
        </w:r>
        <w:r w:rsidR="00845591" w:rsidRPr="00EC250C">
          <w:rPr>
            <w:webHidden/>
          </w:rPr>
          <w:instrText xml:space="preserve"> PAGEREF _Toc11247846 \h </w:instrText>
        </w:r>
        <w:r w:rsidR="00845591" w:rsidRPr="00EC250C">
          <w:rPr>
            <w:webHidden/>
          </w:rPr>
        </w:r>
        <w:r w:rsidR="00845591" w:rsidRPr="00EC250C">
          <w:rPr>
            <w:webHidden/>
          </w:rPr>
          <w:fldChar w:fldCharType="separate"/>
        </w:r>
        <w:r>
          <w:rPr>
            <w:webHidden/>
          </w:rPr>
          <w:t>407</w:t>
        </w:r>
        <w:r w:rsidR="00845591" w:rsidRPr="00EC250C">
          <w:rPr>
            <w:webHidden/>
          </w:rPr>
          <w:fldChar w:fldCharType="end"/>
        </w:r>
      </w:hyperlink>
    </w:p>
    <w:p w14:paraId="37CBDE94" w14:textId="72AA700E" w:rsidR="00845591" w:rsidRPr="00EC250C" w:rsidRDefault="00744B2D" w:rsidP="001759D6">
      <w:pPr>
        <w:pStyle w:val="Spistreci4"/>
        <w:rPr>
          <w:rFonts w:asciiTheme="minorHAnsi" w:eastAsiaTheme="minorEastAsia" w:hAnsiTheme="minorHAnsi" w:cstheme="minorBidi"/>
        </w:rPr>
      </w:pPr>
      <w:hyperlink w:anchor="_Toc11247847" w:history="1">
        <w:r w:rsidR="00845591" w:rsidRPr="00EC250C">
          <w:rPr>
            <w:rStyle w:val="Hipercze"/>
          </w:rPr>
          <w:t>Niejasne przepisy dotyczące szukania cennych przedmiotów</w:t>
        </w:r>
        <w:r w:rsidR="00845591" w:rsidRPr="00EC250C">
          <w:rPr>
            <w:webHidden/>
          </w:rPr>
          <w:tab/>
        </w:r>
        <w:r w:rsidR="00845591" w:rsidRPr="00EC250C">
          <w:rPr>
            <w:webHidden/>
          </w:rPr>
          <w:fldChar w:fldCharType="begin"/>
        </w:r>
        <w:r w:rsidR="00845591" w:rsidRPr="00EC250C">
          <w:rPr>
            <w:webHidden/>
          </w:rPr>
          <w:instrText xml:space="preserve"> PAGEREF _Toc11247847 \h </w:instrText>
        </w:r>
        <w:r w:rsidR="00845591" w:rsidRPr="00EC250C">
          <w:rPr>
            <w:webHidden/>
          </w:rPr>
        </w:r>
        <w:r w:rsidR="00845591" w:rsidRPr="00EC250C">
          <w:rPr>
            <w:webHidden/>
          </w:rPr>
          <w:fldChar w:fldCharType="separate"/>
        </w:r>
        <w:r>
          <w:rPr>
            <w:webHidden/>
          </w:rPr>
          <w:t>408</w:t>
        </w:r>
        <w:r w:rsidR="00845591" w:rsidRPr="00EC250C">
          <w:rPr>
            <w:webHidden/>
          </w:rPr>
          <w:fldChar w:fldCharType="end"/>
        </w:r>
      </w:hyperlink>
    </w:p>
    <w:p w14:paraId="2326A524" w14:textId="1581DF09" w:rsidR="00845591" w:rsidRPr="00EC250C" w:rsidRDefault="00744B2D" w:rsidP="001759D6">
      <w:pPr>
        <w:pStyle w:val="Spistreci4"/>
        <w:rPr>
          <w:rFonts w:asciiTheme="minorHAnsi" w:eastAsiaTheme="minorEastAsia" w:hAnsiTheme="minorHAnsi" w:cstheme="minorBidi"/>
        </w:rPr>
      </w:pPr>
      <w:hyperlink w:anchor="_Toc11247848" w:history="1">
        <w:r w:rsidR="00845591" w:rsidRPr="00EC250C">
          <w:rPr>
            <w:rStyle w:val="Hipercze"/>
          </w:rPr>
          <w:t>Niezamierzone ograniczenie działania policjantów służby kontrterrorystycznej</w:t>
        </w:r>
        <w:r w:rsidR="00845591" w:rsidRPr="00EC250C">
          <w:rPr>
            <w:webHidden/>
          </w:rPr>
          <w:tab/>
        </w:r>
        <w:r w:rsidR="00845591" w:rsidRPr="00EC250C">
          <w:rPr>
            <w:webHidden/>
          </w:rPr>
          <w:fldChar w:fldCharType="begin"/>
        </w:r>
        <w:r w:rsidR="00845591" w:rsidRPr="00EC250C">
          <w:rPr>
            <w:webHidden/>
          </w:rPr>
          <w:instrText xml:space="preserve"> PAGEREF _Toc11247848 \h </w:instrText>
        </w:r>
        <w:r w:rsidR="00845591" w:rsidRPr="00EC250C">
          <w:rPr>
            <w:webHidden/>
          </w:rPr>
        </w:r>
        <w:r w:rsidR="00845591" w:rsidRPr="00EC250C">
          <w:rPr>
            <w:webHidden/>
          </w:rPr>
          <w:fldChar w:fldCharType="separate"/>
        </w:r>
        <w:r>
          <w:rPr>
            <w:webHidden/>
          </w:rPr>
          <w:t>408</w:t>
        </w:r>
        <w:r w:rsidR="00845591" w:rsidRPr="00EC250C">
          <w:rPr>
            <w:webHidden/>
          </w:rPr>
          <w:fldChar w:fldCharType="end"/>
        </w:r>
      </w:hyperlink>
    </w:p>
    <w:p w14:paraId="1C9A1399" w14:textId="2BD4B67B" w:rsidR="00845591" w:rsidRPr="00EC250C" w:rsidRDefault="00744B2D" w:rsidP="001759D6">
      <w:pPr>
        <w:pStyle w:val="Spistreci4"/>
        <w:rPr>
          <w:rFonts w:asciiTheme="minorHAnsi" w:eastAsiaTheme="minorEastAsia" w:hAnsiTheme="minorHAnsi" w:cstheme="minorBidi"/>
        </w:rPr>
      </w:pPr>
      <w:hyperlink w:anchor="_Toc11247849" w:history="1">
        <w:r w:rsidR="00845591" w:rsidRPr="00EC250C">
          <w:rPr>
            <w:rStyle w:val="Hipercze"/>
          </w:rPr>
          <w:t>Inne problemy z przepisami, które mogą podważać zaufanie obywatela do państwa</w:t>
        </w:r>
        <w:r w:rsidR="00845591" w:rsidRPr="00EC250C">
          <w:rPr>
            <w:webHidden/>
          </w:rPr>
          <w:tab/>
        </w:r>
        <w:r w:rsidR="00845591" w:rsidRPr="00EC250C">
          <w:rPr>
            <w:webHidden/>
          </w:rPr>
          <w:fldChar w:fldCharType="begin"/>
        </w:r>
        <w:r w:rsidR="00845591" w:rsidRPr="00EC250C">
          <w:rPr>
            <w:webHidden/>
          </w:rPr>
          <w:instrText xml:space="preserve"> PAGEREF _Toc11247849 \h </w:instrText>
        </w:r>
        <w:r w:rsidR="00845591" w:rsidRPr="00EC250C">
          <w:rPr>
            <w:webHidden/>
          </w:rPr>
        </w:r>
        <w:r w:rsidR="00845591" w:rsidRPr="00EC250C">
          <w:rPr>
            <w:webHidden/>
          </w:rPr>
          <w:fldChar w:fldCharType="separate"/>
        </w:r>
        <w:r>
          <w:rPr>
            <w:webHidden/>
          </w:rPr>
          <w:t>410</w:t>
        </w:r>
        <w:r w:rsidR="00845591" w:rsidRPr="00EC250C">
          <w:rPr>
            <w:webHidden/>
          </w:rPr>
          <w:fldChar w:fldCharType="end"/>
        </w:r>
      </w:hyperlink>
    </w:p>
    <w:p w14:paraId="5DEE8CED" w14:textId="56E2A79F" w:rsidR="00845591" w:rsidRPr="00EC250C" w:rsidRDefault="00744B2D" w:rsidP="00A46160">
      <w:pPr>
        <w:pStyle w:val="Spistreci3"/>
        <w:rPr>
          <w:rFonts w:asciiTheme="minorHAnsi" w:eastAsiaTheme="minorEastAsia" w:hAnsiTheme="minorHAnsi" w:cstheme="minorBidi"/>
          <w:color w:val="auto"/>
          <w:sz w:val="20"/>
        </w:rPr>
      </w:pPr>
      <w:hyperlink w:anchor="_Toc11247850" w:history="1">
        <w:r w:rsidR="00845591" w:rsidRPr="00EC250C">
          <w:rPr>
            <w:rStyle w:val="Hipercze"/>
          </w:rPr>
          <w:t>Art. 22 Konstytucji – Wolność działalności gospodarczej</w:t>
        </w:r>
        <w:r w:rsidR="00845591" w:rsidRPr="00EC250C">
          <w:rPr>
            <w:webHidden/>
          </w:rPr>
          <w:tab/>
        </w:r>
        <w:r w:rsidR="00845591" w:rsidRPr="00EC250C">
          <w:rPr>
            <w:webHidden/>
          </w:rPr>
          <w:fldChar w:fldCharType="begin"/>
        </w:r>
        <w:r w:rsidR="00845591" w:rsidRPr="00EC250C">
          <w:rPr>
            <w:webHidden/>
          </w:rPr>
          <w:instrText xml:space="preserve"> PAGEREF _Toc11247850 \h </w:instrText>
        </w:r>
        <w:r w:rsidR="00845591" w:rsidRPr="00EC250C">
          <w:rPr>
            <w:webHidden/>
          </w:rPr>
        </w:r>
        <w:r w:rsidR="00845591" w:rsidRPr="00EC250C">
          <w:rPr>
            <w:webHidden/>
          </w:rPr>
          <w:fldChar w:fldCharType="separate"/>
        </w:r>
        <w:r>
          <w:rPr>
            <w:webHidden/>
          </w:rPr>
          <w:t>411</w:t>
        </w:r>
        <w:r w:rsidR="00845591" w:rsidRPr="00EC250C">
          <w:rPr>
            <w:webHidden/>
          </w:rPr>
          <w:fldChar w:fldCharType="end"/>
        </w:r>
      </w:hyperlink>
    </w:p>
    <w:p w14:paraId="23A150B8" w14:textId="0F5C3E02" w:rsidR="00845591" w:rsidRPr="00EC250C" w:rsidRDefault="00744B2D" w:rsidP="001759D6">
      <w:pPr>
        <w:pStyle w:val="Spistreci4"/>
        <w:rPr>
          <w:rFonts w:asciiTheme="minorHAnsi" w:eastAsiaTheme="minorEastAsia" w:hAnsiTheme="minorHAnsi" w:cstheme="minorBidi"/>
        </w:rPr>
      </w:pPr>
      <w:hyperlink w:anchor="_Toc11247851" w:history="1">
        <w:r w:rsidR="00845591" w:rsidRPr="00EC250C">
          <w:rPr>
            <w:rStyle w:val="Hipercze"/>
          </w:rPr>
          <w:t>Zasady kontroli towarów źle oznakowanych</w:t>
        </w:r>
        <w:r w:rsidR="00845591" w:rsidRPr="00EC250C">
          <w:rPr>
            <w:webHidden/>
          </w:rPr>
          <w:tab/>
        </w:r>
        <w:r w:rsidR="00845591" w:rsidRPr="00EC250C">
          <w:rPr>
            <w:webHidden/>
          </w:rPr>
          <w:fldChar w:fldCharType="begin"/>
        </w:r>
        <w:r w:rsidR="00845591" w:rsidRPr="00EC250C">
          <w:rPr>
            <w:webHidden/>
          </w:rPr>
          <w:instrText xml:space="preserve"> PAGEREF _Toc11247851 \h </w:instrText>
        </w:r>
        <w:r w:rsidR="00845591" w:rsidRPr="00EC250C">
          <w:rPr>
            <w:webHidden/>
          </w:rPr>
        </w:r>
        <w:r w:rsidR="00845591" w:rsidRPr="00EC250C">
          <w:rPr>
            <w:webHidden/>
          </w:rPr>
          <w:fldChar w:fldCharType="separate"/>
        </w:r>
        <w:r>
          <w:rPr>
            <w:webHidden/>
          </w:rPr>
          <w:t>412</w:t>
        </w:r>
        <w:r w:rsidR="00845591" w:rsidRPr="00EC250C">
          <w:rPr>
            <w:webHidden/>
          </w:rPr>
          <w:fldChar w:fldCharType="end"/>
        </w:r>
      </w:hyperlink>
    </w:p>
    <w:p w14:paraId="7EA2568A" w14:textId="49C95600" w:rsidR="00845591" w:rsidRPr="00EC250C" w:rsidRDefault="00744B2D" w:rsidP="00A46160">
      <w:pPr>
        <w:pStyle w:val="Spistreci3"/>
        <w:rPr>
          <w:rFonts w:asciiTheme="minorHAnsi" w:eastAsiaTheme="minorEastAsia" w:hAnsiTheme="minorHAnsi" w:cstheme="minorBidi"/>
          <w:color w:val="auto"/>
          <w:sz w:val="20"/>
        </w:rPr>
      </w:pPr>
      <w:hyperlink w:anchor="_Toc11247852" w:history="1">
        <w:r w:rsidR="00845591" w:rsidRPr="00EC250C">
          <w:rPr>
            <w:rStyle w:val="Hipercze"/>
          </w:rPr>
          <w:t>Art. 173 Konstytucji – Niezależność i niezawisłość sądów</w:t>
        </w:r>
        <w:r w:rsidR="00845591" w:rsidRPr="00EC250C">
          <w:rPr>
            <w:webHidden/>
          </w:rPr>
          <w:tab/>
        </w:r>
        <w:r w:rsidR="00845591" w:rsidRPr="00EC250C">
          <w:rPr>
            <w:webHidden/>
          </w:rPr>
          <w:fldChar w:fldCharType="begin"/>
        </w:r>
        <w:r w:rsidR="00845591" w:rsidRPr="00EC250C">
          <w:rPr>
            <w:webHidden/>
          </w:rPr>
          <w:instrText xml:space="preserve"> PAGEREF _Toc11247852 \h </w:instrText>
        </w:r>
        <w:r w:rsidR="00845591" w:rsidRPr="00EC250C">
          <w:rPr>
            <w:webHidden/>
          </w:rPr>
        </w:r>
        <w:r w:rsidR="00845591" w:rsidRPr="00EC250C">
          <w:rPr>
            <w:webHidden/>
          </w:rPr>
          <w:fldChar w:fldCharType="separate"/>
        </w:r>
        <w:r>
          <w:rPr>
            <w:webHidden/>
          </w:rPr>
          <w:t>414</w:t>
        </w:r>
        <w:r w:rsidR="00845591" w:rsidRPr="00EC250C">
          <w:rPr>
            <w:webHidden/>
          </w:rPr>
          <w:fldChar w:fldCharType="end"/>
        </w:r>
      </w:hyperlink>
    </w:p>
    <w:p w14:paraId="34DEF913" w14:textId="14194ADC" w:rsidR="00845591" w:rsidRPr="00EC250C" w:rsidRDefault="00744B2D" w:rsidP="001759D6">
      <w:pPr>
        <w:pStyle w:val="Spistreci4"/>
        <w:rPr>
          <w:rFonts w:asciiTheme="minorHAnsi" w:eastAsiaTheme="minorEastAsia" w:hAnsiTheme="minorHAnsi" w:cstheme="minorBidi"/>
        </w:rPr>
      </w:pPr>
      <w:hyperlink w:anchor="_Toc11247853" w:history="1">
        <w:r w:rsidR="00845591" w:rsidRPr="00EC250C">
          <w:rPr>
            <w:rStyle w:val="Hipercze"/>
          </w:rPr>
          <w:t>Postępowania dyscyplinarne wobec sędziów</w:t>
        </w:r>
        <w:r w:rsidR="00845591" w:rsidRPr="00EC250C">
          <w:rPr>
            <w:webHidden/>
          </w:rPr>
          <w:tab/>
        </w:r>
        <w:r w:rsidR="00845591" w:rsidRPr="00EC250C">
          <w:rPr>
            <w:webHidden/>
          </w:rPr>
          <w:fldChar w:fldCharType="begin"/>
        </w:r>
        <w:r w:rsidR="00845591" w:rsidRPr="00EC250C">
          <w:rPr>
            <w:webHidden/>
          </w:rPr>
          <w:instrText xml:space="preserve"> PAGEREF _Toc11247853 \h </w:instrText>
        </w:r>
        <w:r w:rsidR="00845591" w:rsidRPr="00EC250C">
          <w:rPr>
            <w:webHidden/>
          </w:rPr>
        </w:r>
        <w:r w:rsidR="00845591" w:rsidRPr="00EC250C">
          <w:rPr>
            <w:webHidden/>
          </w:rPr>
          <w:fldChar w:fldCharType="separate"/>
        </w:r>
        <w:r>
          <w:rPr>
            <w:webHidden/>
          </w:rPr>
          <w:t>415</w:t>
        </w:r>
        <w:r w:rsidR="00845591" w:rsidRPr="00EC250C">
          <w:rPr>
            <w:webHidden/>
          </w:rPr>
          <w:fldChar w:fldCharType="end"/>
        </w:r>
      </w:hyperlink>
    </w:p>
    <w:p w14:paraId="69061B00" w14:textId="6BC8F144" w:rsidR="00845591" w:rsidRPr="00EC250C" w:rsidRDefault="00744B2D" w:rsidP="00A46160">
      <w:pPr>
        <w:pStyle w:val="Spistreci3"/>
        <w:rPr>
          <w:rFonts w:asciiTheme="minorHAnsi" w:eastAsiaTheme="minorEastAsia" w:hAnsiTheme="minorHAnsi" w:cstheme="minorBidi"/>
          <w:color w:val="auto"/>
          <w:sz w:val="20"/>
        </w:rPr>
      </w:pPr>
      <w:hyperlink w:anchor="_Toc11247854" w:history="1">
        <w:r w:rsidR="00845591" w:rsidRPr="00EC250C">
          <w:rPr>
            <w:rStyle w:val="Hipercze"/>
          </w:rPr>
          <w:t>Art. 217 Konstytucji – Zasady nakładania podatków</w:t>
        </w:r>
        <w:r w:rsidR="00845591" w:rsidRPr="00EC250C">
          <w:rPr>
            <w:webHidden/>
          </w:rPr>
          <w:tab/>
        </w:r>
        <w:r w:rsidR="00845591" w:rsidRPr="00EC250C">
          <w:rPr>
            <w:webHidden/>
          </w:rPr>
          <w:fldChar w:fldCharType="begin"/>
        </w:r>
        <w:r w:rsidR="00845591" w:rsidRPr="00EC250C">
          <w:rPr>
            <w:webHidden/>
          </w:rPr>
          <w:instrText xml:space="preserve"> PAGEREF _Toc11247854 \h </w:instrText>
        </w:r>
        <w:r w:rsidR="00845591" w:rsidRPr="00EC250C">
          <w:rPr>
            <w:webHidden/>
          </w:rPr>
        </w:r>
        <w:r w:rsidR="00845591" w:rsidRPr="00EC250C">
          <w:rPr>
            <w:webHidden/>
          </w:rPr>
          <w:fldChar w:fldCharType="separate"/>
        </w:r>
        <w:r>
          <w:rPr>
            <w:webHidden/>
          </w:rPr>
          <w:t>417</w:t>
        </w:r>
        <w:r w:rsidR="00845591" w:rsidRPr="00EC250C">
          <w:rPr>
            <w:webHidden/>
          </w:rPr>
          <w:fldChar w:fldCharType="end"/>
        </w:r>
      </w:hyperlink>
    </w:p>
    <w:p w14:paraId="2A46CBAF" w14:textId="2D20A272" w:rsidR="00845591" w:rsidRPr="00EC250C" w:rsidRDefault="00744B2D" w:rsidP="001759D6">
      <w:pPr>
        <w:pStyle w:val="Spistreci4"/>
        <w:rPr>
          <w:rFonts w:asciiTheme="minorHAnsi" w:eastAsiaTheme="minorEastAsia" w:hAnsiTheme="minorHAnsi" w:cstheme="minorBidi"/>
        </w:rPr>
      </w:pPr>
      <w:hyperlink w:anchor="_Toc11247855" w:history="1">
        <w:r w:rsidR="00845591" w:rsidRPr="00EC250C">
          <w:rPr>
            <w:rStyle w:val="Hipercze"/>
          </w:rPr>
          <w:t>Problemy z Ordynacją Podatkową</w:t>
        </w:r>
        <w:r w:rsidR="00845591" w:rsidRPr="00EC250C">
          <w:rPr>
            <w:webHidden/>
          </w:rPr>
          <w:tab/>
        </w:r>
        <w:r w:rsidR="00845591" w:rsidRPr="00EC250C">
          <w:rPr>
            <w:webHidden/>
          </w:rPr>
          <w:fldChar w:fldCharType="begin"/>
        </w:r>
        <w:r w:rsidR="00845591" w:rsidRPr="00EC250C">
          <w:rPr>
            <w:webHidden/>
          </w:rPr>
          <w:instrText xml:space="preserve"> PAGEREF _Toc11247855 \h </w:instrText>
        </w:r>
        <w:r w:rsidR="00845591" w:rsidRPr="00EC250C">
          <w:rPr>
            <w:webHidden/>
          </w:rPr>
        </w:r>
        <w:r w:rsidR="00845591" w:rsidRPr="00EC250C">
          <w:rPr>
            <w:webHidden/>
          </w:rPr>
          <w:fldChar w:fldCharType="separate"/>
        </w:r>
        <w:r>
          <w:rPr>
            <w:webHidden/>
          </w:rPr>
          <w:t>418</w:t>
        </w:r>
        <w:r w:rsidR="00845591" w:rsidRPr="00EC250C">
          <w:rPr>
            <w:webHidden/>
          </w:rPr>
          <w:fldChar w:fldCharType="end"/>
        </w:r>
      </w:hyperlink>
    </w:p>
    <w:p w14:paraId="7900B5A3" w14:textId="4A05BBA8" w:rsidR="00845591" w:rsidRPr="00EC250C" w:rsidRDefault="00744B2D" w:rsidP="001759D6">
      <w:pPr>
        <w:pStyle w:val="Spistreci4"/>
        <w:rPr>
          <w:rFonts w:asciiTheme="minorHAnsi" w:eastAsiaTheme="minorEastAsia" w:hAnsiTheme="minorHAnsi" w:cstheme="minorBidi"/>
        </w:rPr>
      </w:pPr>
      <w:hyperlink w:anchor="_Toc11247856" w:history="1">
        <w:r w:rsidR="00845591" w:rsidRPr="00EC250C">
          <w:rPr>
            <w:rStyle w:val="Hipercze"/>
          </w:rPr>
          <w:t>Pułapki w podatku dochodowym od osób fizycznych</w:t>
        </w:r>
        <w:r w:rsidR="00845591" w:rsidRPr="00EC250C">
          <w:rPr>
            <w:webHidden/>
          </w:rPr>
          <w:tab/>
        </w:r>
        <w:r w:rsidR="00845591" w:rsidRPr="00EC250C">
          <w:rPr>
            <w:webHidden/>
          </w:rPr>
          <w:fldChar w:fldCharType="begin"/>
        </w:r>
        <w:r w:rsidR="00845591" w:rsidRPr="00EC250C">
          <w:rPr>
            <w:webHidden/>
          </w:rPr>
          <w:instrText xml:space="preserve"> PAGEREF _Toc11247856 \h </w:instrText>
        </w:r>
        <w:r w:rsidR="00845591" w:rsidRPr="00EC250C">
          <w:rPr>
            <w:webHidden/>
          </w:rPr>
        </w:r>
        <w:r w:rsidR="00845591" w:rsidRPr="00EC250C">
          <w:rPr>
            <w:webHidden/>
          </w:rPr>
          <w:fldChar w:fldCharType="separate"/>
        </w:r>
        <w:r>
          <w:rPr>
            <w:webHidden/>
          </w:rPr>
          <w:t>419</w:t>
        </w:r>
        <w:r w:rsidR="00845591" w:rsidRPr="00EC250C">
          <w:rPr>
            <w:webHidden/>
          </w:rPr>
          <w:fldChar w:fldCharType="end"/>
        </w:r>
      </w:hyperlink>
    </w:p>
    <w:p w14:paraId="2B452FD8" w14:textId="7C15164F" w:rsidR="00845591" w:rsidRPr="00EC250C" w:rsidRDefault="00744B2D" w:rsidP="001759D6">
      <w:pPr>
        <w:pStyle w:val="Spistreci4"/>
        <w:rPr>
          <w:rFonts w:asciiTheme="minorHAnsi" w:eastAsiaTheme="minorEastAsia" w:hAnsiTheme="minorHAnsi" w:cstheme="minorBidi"/>
        </w:rPr>
      </w:pPr>
      <w:hyperlink w:anchor="_Toc11247857" w:history="1">
        <w:r w:rsidR="00845591" w:rsidRPr="00EC250C">
          <w:rPr>
            <w:rStyle w:val="Hipercze"/>
          </w:rPr>
          <w:t>Wątpliwości dotyczące podatku od towarów i usług</w:t>
        </w:r>
        <w:r w:rsidR="00845591" w:rsidRPr="00EC250C">
          <w:rPr>
            <w:webHidden/>
          </w:rPr>
          <w:tab/>
        </w:r>
        <w:r w:rsidR="00845591" w:rsidRPr="00EC250C">
          <w:rPr>
            <w:webHidden/>
          </w:rPr>
          <w:fldChar w:fldCharType="begin"/>
        </w:r>
        <w:r w:rsidR="00845591" w:rsidRPr="00EC250C">
          <w:rPr>
            <w:webHidden/>
          </w:rPr>
          <w:instrText xml:space="preserve"> PAGEREF _Toc11247857 \h </w:instrText>
        </w:r>
        <w:r w:rsidR="00845591" w:rsidRPr="00EC250C">
          <w:rPr>
            <w:webHidden/>
          </w:rPr>
        </w:r>
        <w:r w:rsidR="00845591" w:rsidRPr="00EC250C">
          <w:rPr>
            <w:webHidden/>
          </w:rPr>
          <w:fldChar w:fldCharType="separate"/>
        </w:r>
        <w:r>
          <w:rPr>
            <w:webHidden/>
          </w:rPr>
          <w:t>421</w:t>
        </w:r>
        <w:r w:rsidR="00845591" w:rsidRPr="00EC250C">
          <w:rPr>
            <w:webHidden/>
          </w:rPr>
          <w:fldChar w:fldCharType="end"/>
        </w:r>
      </w:hyperlink>
    </w:p>
    <w:p w14:paraId="18492E3D" w14:textId="09FF1CAB" w:rsidR="00845591" w:rsidRPr="00EC250C" w:rsidRDefault="00744B2D" w:rsidP="001759D6">
      <w:pPr>
        <w:pStyle w:val="Spistreci4"/>
        <w:rPr>
          <w:rFonts w:asciiTheme="minorHAnsi" w:eastAsiaTheme="minorEastAsia" w:hAnsiTheme="minorHAnsi" w:cstheme="minorBidi"/>
        </w:rPr>
      </w:pPr>
      <w:hyperlink w:anchor="_Toc11247858" w:history="1">
        <w:r w:rsidR="00845591" w:rsidRPr="00EC250C">
          <w:rPr>
            <w:rStyle w:val="Hipercze"/>
          </w:rPr>
          <w:t>Kłopoty z cłami</w:t>
        </w:r>
        <w:r w:rsidR="00845591" w:rsidRPr="00EC250C">
          <w:rPr>
            <w:webHidden/>
          </w:rPr>
          <w:tab/>
        </w:r>
        <w:r w:rsidR="00845591" w:rsidRPr="00EC250C">
          <w:rPr>
            <w:webHidden/>
          </w:rPr>
          <w:fldChar w:fldCharType="begin"/>
        </w:r>
        <w:r w:rsidR="00845591" w:rsidRPr="00EC250C">
          <w:rPr>
            <w:webHidden/>
          </w:rPr>
          <w:instrText xml:space="preserve"> PAGEREF _Toc11247858 \h </w:instrText>
        </w:r>
        <w:r w:rsidR="00845591" w:rsidRPr="00EC250C">
          <w:rPr>
            <w:webHidden/>
          </w:rPr>
        </w:r>
        <w:r w:rsidR="00845591" w:rsidRPr="00EC250C">
          <w:rPr>
            <w:webHidden/>
          </w:rPr>
          <w:fldChar w:fldCharType="separate"/>
        </w:r>
        <w:r>
          <w:rPr>
            <w:webHidden/>
          </w:rPr>
          <w:t>422</w:t>
        </w:r>
        <w:r w:rsidR="00845591" w:rsidRPr="00EC250C">
          <w:rPr>
            <w:webHidden/>
          </w:rPr>
          <w:fldChar w:fldCharType="end"/>
        </w:r>
      </w:hyperlink>
    </w:p>
    <w:p w14:paraId="4A7F998D" w14:textId="3BFF11E7" w:rsidR="00845591" w:rsidRPr="00EC250C" w:rsidRDefault="00744B2D" w:rsidP="001759D6">
      <w:pPr>
        <w:pStyle w:val="Spistreci4"/>
        <w:rPr>
          <w:rFonts w:asciiTheme="minorHAnsi" w:eastAsiaTheme="minorEastAsia" w:hAnsiTheme="minorHAnsi" w:cstheme="minorBidi"/>
        </w:rPr>
      </w:pPr>
      <w:hyperlink w:anchor="_Toc11247859" w:history="1">
        <w:r w:rsidR="00845591" w:rsidRPr="00EC250C">
          <w:rPr>
            <w:rStyle w:val="Hipercze"/>
          </w:rPr>
          <w:t>Ciąg dalszy problemów z abonamentem RTV</w:t>
        </w:r>
        <w:r w:rsidR="00845591" w:rsidRPr="00EC250C">
          <w:rPr>
            <w:webHidden/>
          </w:rPr>
          <w:tab/>
        </w:r>
        <w:r w:rsidR="00845591" w:rsidRPr="00EC250C">
          <w:rPr>
            <w:webHidden/>
          </w:rPr>
          <w:fldChar w:fldCharType="begin"/>
        </w:r>
        <w:r w:rsidR="00845591" w:rsidRPr="00EC250C">
          <w:rPr>
            <w:webHidden/>
          </w:rPr>
          <w:instrText xml:space="preserve"> PAGEREF _Toc11247859 \h </w:instrText>
        </w:r>
        <w:r w:rsidR="00845591" w:rsidRPr="00EC250C">
          <w:rPr>
            <w:webHidden/>
          </w:rPr>
        </w:r>
        <w:r w:rsidR="00845591" w:rsidRPr="00EC250C">
          <w:rPr>
            <w:webHidden/>
          </w:rPr>
          <w:fldChar w:fldCharType="separate"/>
        </w:r>
        <w:r>
          <w:rPr>
            <w:webHidden/>
          </w:rPr>
          <w:t>422</w:t>
        </w:r>
        <w:r w:rsidR="00845591" w:rsidRPr="00EC250C">
          <w:rPr>
            <w:webHidden/>
          </w:rPr>
          <w:fldChar w:fldCharType="end"/>
        </w:r>
      </w:hyperlink>
    </w:p>
    <w:p w14:paraId="1C328354" w14:textId="20CF590E" w:rsidR="00845591" w:rsidRPr="00EC250C" w:rsidRDefault="00744B2D" w:rsidP="001759D6">
      <w:pPr>
        <w:pStyle w:val="Spistreci4"/>
        <w:rPr>
          <w:rFonts w:asciiTheme="minorHAnsi" w:eastAsiaTheme="minorEastAsia" w:hAnsiTheme="minorHAnsi" w:cstheme="minorBidi"/>
        </w:rPr>
      </w:pPr>
      <w:hyperlink w:anchor="_Toc11247860" w:history="1">
        <w:r w:rsidR="00845591" w:rsidRPr="00EC250C">
          <w:rPr>
            <w:rStyle w:val="Hipercze"/>
          </w:rPr>
          <w:t>Opłata za gospodarowanie odpadami komunalnymi</w:t>
        </w:r>
        <w:r w:rsidR="00845591" w:rsidRPr="00EC250C">
          <w:rPr>
            <w:webHidden/>
          </w:rPr>
          <w:tab/>
        </w:r>
        <w:r w:rsidR="00845591" w:rsidRPr="00EC250C">
          <w:rPr>
            <w:webHidden/>
          </w:rPr>
          <w:fldChar w:fldCharType="begin"/>
        </w:r>
        <w:r w:rsidR="00845591" w:rsidRPr="00EC250C">
          <w:rPr>
            <w:webHidden/>
          </w:rPr>
          <w:instrText xml:space="preserve"> PAGEREF _Toc11247860 \h </w:instrText>
        </w:r>
        <w:r w:rsidR="00845591" w:rsidRPr="00EC250C">
          <w:rPr>
            <w:webHidden/>
          </w:rPr>
        </w:r>
        <w:r w:rsidR="00845591" w:rsidRPr="00EC250C">
          <w:rPr>
            <w:webHidden/>
          </w:rPr>
          <w:fldChar w:fldCharType="separate"/>
        </w:r>
        <w:r>
          <w:rPr>
            <w:webHidden/>
          </w:rPr>
          <w:t>423</w:t>
        </w:r>
        <w:r w:rsidR="00845591" w:rsidRPr="00EC250C">
          <w:rPr>
            <w:webHidden/>
          </w:rPr>
          <w:fldChar w:fldCharType="end"/>
        </w:r>
      </w:hyperlink>
    </w:p>
    <w:p w14:paraId="58E4DD78" w14:textId="648DD1F8" w:rsidR="00845591" w:rsidRPr="00EC250C" w:rsidRDefault="00744B2D" w:rsidP="001759D6">
      <w:pPr>
        <w:pStyle w:val="Spistreci4"/>
        <w:rPr>
          <w:rFonts w:asciiTheme="minorHAnsi" w:eastAsiaTheme="minorEastAsia" w:hAnsiTheme="minorHAnsi" w:cstheme="minorBidi"/>
        </w:rPr>
      </w:pPr>
      <w:hyperlink w:anchor="_Toc11247861" w:history="1">
        <w:r w:rsidR="00845591" w:rsidRPr="00EC250C">
          <w:rPr>
            <w:rStyle w:val="Hipercze"/>
          </w:rPr>
          <w:t>Dochodzenie należności przez Skarb Państwa na drodze skargi pauliańskiej</w:t>
        </w:r>
        <w:r w:rsidR="00845591" w:rsidRPr="00EC250C">
          <w:rPr>
            <w:webHidden/>
          </w:rPr>
          <w:tab/>
        </w:r>
        <w:r w:rsidR="00845591" w:rsidRPr="00EC250C">
          <w:rPr>
            <w:webHidden/>
          </w:rPr>
          <w:fldChar w:fldCharType="begin"/>
        </w:r>
        <w:r w:rsidR="00845591" w:rsidRPr="00EC250C">
          <w:rPr>
            <w:webHidden/>
          </w:rPr>
          <w:instrText xml:space="preserve"> PAGEREF _Toc11247861 \h </w:instrText>
        </w:r>
        <w:r w:rsidR="00845591" w:rsidRPr="00EC250C">
          <w:rPr>
            <w:webHidden/>
          </w:rPr>
        </w:r>
        <w:r w:rsidR="00845591" w:rsidRPr="00EC250C">
          <w:rPr>
            <w:webHidden/>
          </w:rPr>
          <w:fldChar w:fldCharType="separate"/>
        </w:r>
        <w:r>
          <w:rPr>
            <w:webHidden/>
          </w:rPr>
          <w:t>424</w:t>
        </w:r>
        <w:r w:rsidR="00845591" w:rsidRPr="00EC250C">
          <w:rPr>
            <w:webHidden/>
          </w:rPr>
          <w:fldChar w:fldCharType="end"/>
        </w:r>
      </w:hyperlink>
    </w:p>
    <w:p w14:paraId="5F112806" w14:textId="00092044" w:rsidR="00845591" w:rsidRPr="00EC250C" w:rsidRDefault="00744B2D">
      <w:pPr>
        <w:pStyle w:val="Spistreci2"/>
        <w:rPr>
          <w:rFonts w:asciiTheme="minorHAnsi" w:eastAsiaTheme="minorEastAsia" w:hAnsiTheme="minorHAnsi" w:cstheme="minorBidi"/>
          <w:b w:val="0"/>
          <w:spacing w:val="0"/>
          <w:sz w:val="20"/>
          <w:szCs w:val="20"/>
        </w:rPr>
      </w:pPr>
      <w:hyperlink w:anchor="_Toc11247862" w:history="1">
        <w:r w:rsidR="00845591" w:rsidRPr="00EC250C">
          <w:rPr>
            <w:rStyle w:val="Hipercze"/>
            <w:sz w:val="28"/>
            <w:szCs w:val="24"/>
          </w:rPr>
          <w:t>7.</w:t>
        </w:r>
        <w:r w:rsidR="00845591" w:rsidRPr="00EC250C">
          <w:rPr>
            <w:rFonts w:asciiTheme="minorHAnsi" w:eastAsiaTheme="minorEastAsia" w:hAnsiTheme="minorHAnsi" w:cstheme="minorBidi"/>
            <w:b w:val="0"/>
            <w:spacing w:val="0"/>
            <w:sz w:val="20"/>
            <w:szCs w:val="20"/>
          </w:rPr>
          <w:tab/>
        </w:r>
        <w:r w:rsidR="00845591" w:rsidRPr="00EC250C">
          <w:rPr>
            <w:rStyle w:val="Hipercze"/>
            <w:sz w:val="28"/>
            <w:szCs w:val="24"/>
          </w:rPr>
          <w:t>Wdrożenie prawa europejskiego i wykonywanie wyroków ETPC i TSUE</w:t>
        </w:r>
        <w:r w:rsidR="00845591" w:rsidRPr="00EC250C">
          <w:rPr>
            <w:webHidden/>
            <w:sz w:val="28"/>
            <w:szCs w:val="24"/>
          </w:rPr>
          <w:tab/>
        </w:r>
        <w:r w:rsidR="00845591" w:rsidRPr="00EC250C">
          <w:rPr>
            <w:webHidden/>
            <w:sz w:val="28"/>
            <w:szCs w:val="24"/>
          </w:rPr>
          <w:fldChar w:fldCharType="begin"/>
        </w:r>
        <w:r w:rsidR="00845591" w:rsidRPr="00EC250C">
          <w:rPr>
            <w:webHidden/>
            <w:sz w:val="28"/>
            <w:szCs w:val="24"/>
          </w:rPr>
          <w:instrText xml:space="preserve"> PAGEREF _Toc11247862 \h </w:instrText>
        </w:r>
        <w:r w:rsidR="00845591" w:rsidRPr="00EC250C">
          <w:rPr>
            <w:webHidden/>
            <w:sz w:val="28"/>
            <w:szCs w:val="24"/>
          </w:rPr>
        </w:r>
        <w:r w:rsidR="00845591" w:rsidRPr="00EC250C">
          <w:rPr>
            <w:webHidden/>
            <w:sz w:val="28"/>
            <w:szCs w:val="24"/>
          </w:rPr>
          <w:fldChar w:fldCharType="separate"/>
        </w:r>
        <w:r>
          <w:rPr>
            <w:webHidden/>
            <w:sz w:val="28"/>
            <w:szCs w:val="24"/>
          </w:rPr>
          <w:t>425</w:t>
        </w:r>
        <w:r w:rsidR="00845591" w:rsidRPr="00EC250C">
          <w:rPr>
            <w:webHidden/>
            <w:sz w:val="28"/>
            <w:szCs w:val="24"/>
          </w:rPr>
          <w:fldChar w:fldCharType="end"/>
        </w:r>
      </w:hyperlink>
    </w:p>
    <w:p w14:paraId="30394972" w14:textId="7B1DD4DB" w:rsidR="00845591" w:rsidRPr="00EC250C" w:rsidRDefault="00744B2D" w:rsidP="001759D6">
      <w:pPr>
        <w:pStyle w:val="Spistreci4"/>
        <w:rPr>
          <w:rFonts w:asciiTheme="minorHAnsi" w:eastAsiaTheme="minorEastAsia" w:hAnsiTheme="minorHAnsi" w:cstheme="minorBidi"/>
        </w:rPr>
      </w:pPr>
      <w:hyperlink w:anchor="_Toc11247863" w:history="1">
        <w:r w:rsidR="00845591" w:rsidRPr="00EC250C">
          <w:rPr>
            <w:rStyle w:val="Hipercze"/>
          </w:rPr>
          <w:t>Wykonanie postanowienia Trybunału Sprawiedliwości UE dotyczącego przywrócenia sędziów SN odesłanych w stan spoczynku</w:t>
        </w:r>
        <w:r w:rsidR="00845591" w:rsidRPr="00EC250C">
          <w:rPr>
            <w:webHidden/>
          </w:rPr>
          <w:tab/>
        </w:r>
        <w:r w:rsidR="00C3177E">
          <w:rPr>
            <w:webHidden/>
          </w:rPr>
          <w:tab/>
        </w:r>
        <w:r w:rsidR="00845591" w:rsidRPr="00EC250C">
          <w:rPr>
            <w:webHidden/>
          </w:rPr>
          <w:fldChar w:fldCharType="begin"/>
        </w:r>
        <w:r w:rsidR="00845591" w:rsidRPr="00EC250C">
          <w:rPr>
            <w:webHidden/>
          </w:rPr>
          <w:instrText xml:space="preserve"> PAGEREF _Toc11247863 \h </w:instrText>
        </w:r>
        <w:r w:rsidR="00845591" w:rsidRPr="00EC250C">
          <w:rPr>
            <w:webHidden/>
          </w:rPr>
        </w:r>
        <w:r w:rsidR="00845591" w:rsidRPr="00EC250C">
          <w:rPr>
            <w:webHidden/>
          </w:rPr>
          <w:fldChar w:fldCharType="separate"/>
        </w:r>
        <w:r>
          <w:rPr>
            <w:webHidden/>
          </w:rPr>
          <w:t>425</w:t>
        </w:r>
        <w:r w:rsidR="00845591" w:rsidRPr="00EC250C">
          <w:rPr>
            <w:webHidden/>
          </w:rPr>
          <w:fldChar w:fldCharType="end"/>
        </w:r>
      </w:hyperlink>
    </w:p>
    <w:p w14:paraId="20C35709" w14:textId="2409687C" w:rsidR="00845591" w:rsidRPr="00EC250C" w:rsidRDefault="00744B2D" w:rsidP="001759D6">
      <w:pPr>
        <w:pStyle w:val="Spistreci4"/>
        <w:rPr>
          <w:rFonts w:asciiTheme="minorHAnsi" w:eastAsiaTheme="minorEastAsia" w:hAnsiTheme="minorHAnsi" w:cstheme="minorBidi"/>
        </w:rPr>
      </w:pPr>
      <w:hyperlink w:anchor="_Toc11247864" w:history="1">
        <w:r w:rsidR="00845591" w:rsidRPr="00EC250C">
          <w:rPr>
            <w:rStyle w:val="Hipercze"/>
          </w:rPr>
          <w:t>Wykonanie wyroku TSUE dotyczącego wycinki w Puszczy Białowieskiej</w:t>
        </w:r>
        <w:r w:rsidR="00845591" w:rsidRPr="00EC250C">
          <w:rPr>
            <w:webHidden/>
          </w:rPr>
          <w:tab/>
        </w:r>
        <w:r w:rsidR="00845591" w:rsidRPr="00EC250C">
          <w:rPr>
            <w:webHidden/>
          </w:rPr>
          <w:fldChar w:fldCharType="begin"/>
        </w:r>
        <w:r w:rsidR="00845591" w:rsidRPr="00EC250C">
          <w:rPr>
            <w:webHidden/>
          </w:rPr>
          <w:instrText xml:space="preserve"> PAGEREF _Toc11247864 \h </w:instrText>
        </w:r>
        <w:r w:rsidR="00845591" w:rsidRPr="00EC250C">
          <w:rPr>
            <w:webHidden/>
          </w:rPr>
        </w:r>
        <w:r w:rsidR="00845591" w:rsidRPr="00EC250C">
          <w:rPr>
            <w:webHidden/>
          </w:rPr>
          <w:fldChar w:fldCharType="separate"/>
        </w:r>
        <w:r>
          <w:rPr>
            <w:webHidden/>
          </w:rPr>
          <w:t>426</w:t>
        </w:r>
        <w:r w:rsidR="00845591" w:rsidRPr="00EC250C">
          <w:rPr>
            <w:webHidden/>
          </w:rPr>
          <w:fldChar w:fldCharType="end"/>
        </w:r>
      </w:hyperlink>
    </w:p>
    <w:p w14:paraId="00EEA5BA" w14:textId="72BFAF2A" w:rsidR="00845591" w:rsidRPr="00EC250C" w:rsidRDefault="00744B2D" w:rsidP="001759D6">
      <w:pPr>
        <w:pStyle w:val="Spistreci4"/>
        <w:rPr>
          <w:rFonts w:asciiTheme="minorHAnsi" w:eastAsiaTheme="minorEastAsia" w:hAnsiTheme="minorHAnsi" w:cstheme="minorBidi"/>
        </w:rPr>
      </w:pPr>
      <w:hyperlink w:anchor="_Toc11247865" w:history="1">
        <w:r w:rsidR="00845591" w:rsidRPr="00EC250C">
          <w:rPr>
            <w:rStyle w:val="Hipercze"/>
          </w:rPr>
          <w:t>Konieczność wdrożenia dyrektywy niewinnościowej</w:t>
        </w:r>
        <w:r w:rsidR="00845591" w:rsidRPr="00EC250C">
          <w:rPr>
            <w:webHidden/>
          </w:rPr>
          <w:tab/>
        </w:r>
        <w:r w:rsidR="00845591" w:rsidRPr="00EC250C">
          <w:rPr>
            <w:webHidden/>
          </w:rPr>
          <w:fldChar w:fldCharType="begin"/>
        </w:r>
        <w:r w:rsidR="00845591" w:rsidRPr="00EC250C">
          <w:rPr>
            <w:webHidden/>
          </w:rPr>
          <w:instrText xml:space="preserve"> PAGEREF _Toc11247865 \h </w:instrText>
        </w:r>
        <w:r w:rsidR="00845591" w:rsidRPr="00EC250C">
          <w:rPr>
            <w:webHidden/>
          </w:rPr>
        </w:r>
        <w:r w:rsidR="00845591" w:rsidRPr="00EC250C">
          <w:rPr>
            <w:webHidden/>
          </w:rPr>
          <w:fldChar w:fldCharType="separate"/>
        </w:r>
        <w:r>
          <w:rPr>
            <w:webHidden/>
          </w:rPr>
          <w:t>426</w:t>
        </w:r>
        <w:r w:rsidR="00845591" w:rsidRPr="00EC250C">
          <w:rPr>
            <w:webHidden/>
          </w:rPr>
          <w:fldChar w:fldCharType="end"/>
        </w:r>
      </w:hyperlink>
    </w:p>
    <w:p w14:paraId="5E587F8D" w14:textId="78BD2BA7" w:rsidR="00845591" w:rsidRDefault="00744B2D" w:rsidP="001759D6">
      <w:pPr>
        <w:pStyle w:val="Spistreci4"/>
      </w:pPr>
      <w:hyperlink w:anchor="_Toc11247866" w:history="1">
        <w:r w:rsidR="00845591" w:rsidRPr="00EC250C">
          <w:rPr>
            <w:rStyle w:val="Hipercze"/>
          </w:rPr>
          <w:t>Realizacja orzeczeń Europejskiego Trybunału Praw Człowieka w Strasburgu</w:t>
        </w:r>
        <w:r w:rsidR="00845591" w:rsidRPr="00EC250C">
          <w:rPr>
            <w:webHidden/>
          </w:rPr>
          <w:tab/>
        </w:r>
        <w:r w:rsidR="00845591" w:rsidRPr="00EC250C">
          <w:rPr>
            <w:webHidden/>
          </w:rPr>
          <w:fldChar w:fldCharType="begin"/>
        </w:r>
        <w:r w:rsidR="00845591" w:rsidRPr="00EC250C">
          <w:rPr>
            <w:webHidden/>
          </w:rPr>
          <w:instrText xml:space="preserve"> PAGEREF _Toc11247866 \h </w:instrText>
        </w:r>
        <w:r w:rsidR="00845591" w:rsidRPr="00EC250C">
          <w:rPr>
            <w:webHidden/>
          </w:rPr>
        </w:r>
        <w:r w:rsidR="00845591" w:rsidRPr="00EC250C">
          <w:rPr>
            <w:webHidden/>
          </w:rPr>
          <w:fldChar w:fldCharType="separate"/>
        </w:r>
        <w:r>
          <w:rPr>
            <w:webHidden/>
          </w:rPr>
          <w:t>426</w:t>
        </w:r>
        <w:r w:rsidR="00845591" w:rsidRPr="00EC250C">
          <w:rPr>
            <w:webHidden/>
          </w:rPr>
          <w:fldChar w:fldCharType="end"/>
        </w:r>
      </w:hyperlink>
    </w:p>
    <w:p w14:paraId="610B3D55" w14:textId="77777777" w:rsidR="00C3177E" w:rsidRPr="00C3177E" w:rsidRDefault="00C3177E" w:rsidP="00C3177E">
      <w:pPr>
        <w:rPr>
          <w:rFonts w:eastAsiaTheme="minorEastAsia"/>
          <w:lang w:bidi="hi-IN"/>
        </w:rPr>
      </w:pPr>
    </w:p>
    <w:p w14:paraId="042219CC" w14:textId="261CD9DD" w:rsidR="00845591" w:rsidRPr="00EC250C" w:rsidRDefault="00744B2D" w:rsidP="001759D6">
      <w:pPr>
        <w:pStyle w:val="Spistreci1"/>
        <w:rPr>
          <w:rFonts w:asciiTheme="minorHAnsi" w:eastAsiaTheme="minorEastAsia" w:hAnsiTheme="minorHAnsi" w:cstheme="minorBidi"/>
          <w:spacing w:val="0"/>
          <w:sz w:val="20"/>
        </w:rPr>
      </w:pPr>
      <w:hyperlink w:anchor="_Toc11247867" w:history="1">
        <w:r w:rsidR="00845591" w:rsidRPr="00EC250C">
          <w:rPr>
            <w:rStyle w:val="Hipercze"/>
          </w:rPr>
          <w:t>CZĘŚĆ II – Szczególne zadania Rzecznika Praw Obywatelskich</w:t>
        </w:r>
        <w:r w:rsidR="00845591" w:rsidRPr="00EC250C">
          <w:rPr>
            <w:webHidden/>
          </w:rPr>
          <w:tab/>
        </w:r>
        <w:r w:rsidR="00845591" w:rsidRPr="00EC250C">
          <w:rPr>
            <w:webHidden/>
          </w:rPr>
          <w:fldChar w:fldCharType="begin"/>
        </w:r>
        <w:r w:rsidR="00845591" w:rsidRPr="00EC250C">
          <w:rPr>
            <w:webHidden/>
          </w:rPr>
          <w:instrText xml:space="preserve"> PAGEREF _Toc11247867 \h </w:instrText>
        </w:r>
        <w:r w:rsidR="00845591" w:rsidRPr="00EC250C">
          <w:rPr>
            <w:webHidden/>
          </w:rPr>
        </w:r>
        <w:r w:rsidR="00845591" w:rsidRPr="00EC250C">
          <w:rPr>
            <w:webHidden/>
          </w:rPr>
          <w:fldChar w:fldCharType="separate"/>
        </w:r>
        <w:r>
          <w:rPr>
            <w:webHidden/>
          </w:rPr>
          <w:t>430</w:t>
        </w:r>
        <w:r w:rsidR="00845591" w:rsidRPr="00EC250C">
          <w:rPr>
            <w:webHidden/>
          </w:rPr>
          <w:fldChar w:fldCharType="end"/>
        </w:r>
      </w:hyperlink>
    </w:p>
    <w:p w14:paraId="2B445052" w14:textId="69A761E1" w:rsidR="00845591" w:rsidRPr="00EC250C" w:rsidRDefault="00744B2D" w:rsidP="00A46160">
      <w:pPr>
        <w:pStyle w:val="Spistreci3"/>
        <w:rPr>
          <w:rFonts w:asciiTheme="minorHAnsi" w:eastAsiaTheme="minorEastAsia" w:hAnsiTheme="minorHAnsi" w:cstheme="minorBidi"/>
          <w:color w:val="auto"/>
          <w:sz w:val="20"/>
        </w:rPr>
      </w:pPr>
      <w:hyperlink w:anchor="_Toc11247868" w:history="1">
        <w:r w:rsidR="00845591" w:rsidRPr="00EC250C">
          <w:rPr>
            <w:rStyle w:val="Hipercze"/>
          </w:rPr>
          <w:t>RPO jako niezależny organ ds. równego traktowania</w:t>
        </w:r>
        <w:r w:rsidR="00845591" w:rsidRPr="00EC250C">
          <w:rPr>
            <w:webHidden/>
          </w:rPr>
          <w:tab/>
        </w:r>
        <w:r w:rsidR="00845591" w:rsidRPr="00EC250C">
          <w:rPr>
            <w:webHidden/>
          </w:rPr>
          <w:fldChar w:fldCharType="begin"/>
        </w:r>
        <w:r w:rsidR="00845591" w:rsidRPr="00EC250C">
          <w:rPr>
            <w:webHidden/>
          </w:rPr>
          <w:instrText xml:space="preserve"> PAGEREF _Toc11247868 \h </w:instrText>
        </w:r>
        <w:r w:rsidR="00845591" w:rsidRPr="00EC250C">
          <w:rPr>
            <w:webHidden/>
          </w:rPr>
        </w:r>
        <w:r w:rsidR="00845591" w:rsidRPr="00EC250C">
          <w:rPr>
            <w:webHidden/>
          </w:rPr>
          <w:fldChar w:fldCharType="separate"/>
        </w:r>
        <w:r>
          <w:rPr>
            <w:webHidden/>
          </w:rPr>
          <w:t>430</w:t>
        </w:r>
        <w:r w:rsidR="00845591" w:rsidRPr="00EC250C">
          <w:rPr>
            <w:webHidden/>
          </w:rPr>
          <w:fldChar w:fldCharType="end"/>
        </w:r>
      </w:hyperlink>
    </w:p>
    <w:p w14:paraId="76CA2FE1" w14:textId="4BB2A8E4" w:rsidR="00845591" w:rsidRPr="00EC250C" w:rsidRDefault="00744B2D" w:rsidP="00A46160">
      <w:pPr>
        <w:pStyle w:val="Spistreci3"/>
        <w:rPr>
          <w:rFonts w:asciiTheme="minorHAnsi" w:eastAsiaTheme="minorEastAsia" w:hAnsiTheme="minorHAnsi" w:cstheme="minorBidi"/>
          <w:color w:val="auto"/>
          <w:sz w:val="20"/>
        </w:rPr>
      </w:pPr>
      <w:hyperlink w:anchor="_Toc11247869" w:history="1">
        <w:r w:rsidR="00845591" w:rsidRPr="00EC250C">
          <w:rPr>
            <w:rStyle w:val="Hipercze"/>
          </w:rPr>
          <w:t>Wykonywanie przez Rzecznika Praw Obywatelskich zadań Krajowego Mechanizmu Prewencji Tortur</w:t>
        </w:r>
        <w:r w:rsidR="00845591" w:rsidRPr="00EC250C">
          <w:rPr>
            <w:webHidden/>
          </w:rPr>
          <w:tab/>
        </w:r>
        <w:r w:rsidR="00845591" w:rsidRPr="00EC250C">
          <w:rPr>
            <w:webHidden/>
          </w:rPr>
          <w:fldChar w:fldCharType="begin"/>
        </w:r>
        <w:r w:rsidR="00845591" w:rsidRPr="00EC250C">
          <w:rPr>
            <w:webHidden/>
          </w:rPr>
          <w:instrText xml:space="preserve"> PAGEREF _Toc11247869 \h </w:instrText>
        </w:r>
        <w:r w:rsidR="00845591" w:rsidRPr="00EC250C">
          <w:rPr>
            <w:webHidden/>
          </w:rPr>
        </w:r>
        <w:r w:rsidR="00845591" w:rsidRPr="00EC250C">
          <w:rPr>
            <w:webHidden/>
          </w:rPr>
          <w:fldChar w:fldCharType="separate"/>
        </w:r>
        <w:r>
          <w:rPr>
            <w:webHidden/>
          </w:rPr>
          <w:t>437</w:t>
        </w:r>
        <w:r w:rsidR="00845591" w:rsidRPr="00EC250C">
          <w:rPr>
            <w:webHidden/>
          </w:rPr>
          <w:fldChar w:fldCharType="end"/>
        </w:r>
      </w:hyperlink>
    </w:p>
    <w:p w14:paraId="459BBFA0" w14:textId="26654829" w:rsidR="00845591" w:rsidRPr="00EC250C" w:rsidRDefault="00744B2D" w:rsidP="00A46160">
      <w:pPr>
        <w:pStyle w:val="Spistreci3"/>
        <w:rPr>
          <w:rFonts w:asciiTheme="minorHAnsi" w:eastAsiaTheme="minorEastAsia" w:hAnsiTheme="minorHAnsi" w:cstheme="minorBidi"/>
          <w:color w:val="auto"/>
          <w:sz w:val="20"/>
        </w:rPr>
      </w:pPr>
      <w:hyperlink w:anchor="_Toc11247870" w:history="1">
        <w:r w:rsidR="00845591" w:rsidRPr="00EC250C">
          <w:rPr>
            <w:rStyle w:val="Hipercze"/>
          </w:rPr>
          <w:t>Ochrona praw żołnierzy i funkcjonariuszy publicznych</w:t>
        </w:r>
        <w:r w:rsidR="00845591" w:rsidRPr="00EC250C">
          <w:rPr>
            <w:webHidden/>
          </w:rPr>
          <w:tab/>
        </w:r>
        <w:r w:rsidR="00845591" w:rsidRPr="00EC250C">
          <w:rPr>
            <w:webHidden/>
          </w:rPr>
          <w:fldChar w:fldCharType="begin"/>
        </w:r>
        <w:r w:rsidR="00845591" w:rsidRPr="00EC250C">
          <w:rPr>
            <w:webHidden/>
          </w:rPr>
          <w:instrText xml:space="preserve"> PAGEREF _Toc11247870 \h </w:instrText>
        </w:r>
        <w:r w:rsidR="00845591" w:rsidRPr="00EC250C">
          <w:rPr>
            <w:webHidden/>
          </w:rPr>
        </w:r>
        <w:r w:rsidR="00845591" w:rsidRPr="00EC250C">
          <w:rPr>
            <w:webHidden/>
          </w:rPr>
          <w:fldChar w:fldCharType="separate"/>
        </w:r>
        <w:r>
          <w:rPr>
            <w:webHidden/>
          </w:rPr>
          <w:t>443</w:t>
        </w:r>
        <w:r w:rsidR="00845591" w:rsidRPr="00EC250C">
          <w:rPr>
            <w:webHidden/>
          </w:rPr>
          <w:fldChar w:fldCharType="end"/>
        </w:r>
      </w:hyperlink>
    </w:p>
    <w:p w14:paraId="031344C1" w14:textId="64E13DF1" w:rsidR="00845591" w:rsidRPr="00EC250C" w:rsidRDefault="00744B2D" w:rsidP="001759D6">
      <w:pPr>
        <w:pStyle w:val="Spistreci1"/>
        <w:rPr>
          <w:rFonts w:asciiTheme="minorHAnsi" w:eastAsiaTheme="minorEastAsia" w:hAnsiTheme="minorHAnsi" w:cstheme="minorBidi"/>
          <w:spacing w:val="0"/>
          <w:sz w:val="20"/>
        </w:rPr>
      </w:pPr>
      <w:hyperlink w:anchor="_Toc11247871" w:history="1">
        <w:r w:rsidR="00845591" w:rsidRPr="00EC250C">
          <w:rPr>
            <w:rStyle w:val="Hipercze"/>
          </w:rPr>
          <w:t>CZĘŚĆ III – Mechanizmy i metody działań Rzecznika Praw Obywatelskich</w:t>
        </w:r>
        <w:r w:rsidR="00845591" w:rsidRPr="00EC250C">
          <w:rPr>
            <w:webHidden/>
          </w:rPr>
          <w:tab/>
        </w:r>
        <w:r w:rsidR="00845591" w:rsidRPr="00EC250C">
          <w:rPr>
            <w:webHidden/>
          </w:rPr>
          <w:fldChar w:fldCharType="begin"/>
        </w:r>
        <w:r w:rsidR="00845591" w:rsidRPr="00EC250C">
          <w:rPr>
            <w:webHidden/>
          </w:rPr>
          <w:instrText xml:space="preserve"> PAGEREF _Toc11247871 \h </w:instrText>
        </w:r>
        <w:r w:rsidR="00845591" w:rsidRPr="00EC250C">
          <w:rPr>
            <w:webHidden/>
          </w:rPr>
        </w:r>
        <w:r w:rsidR="00845591" w:rsidRPr="00EC250C">
          <w:rPr>
            <w:webHidden/>
          </w:rPr>
          <w:fldChar w:fldCharType="separate"/>
        </w:r>
        <w:r>
          <w:rPr>
            <w:webHidden/>
          </w:rPr>
          <w:t>451</w:t>
        </w:r>
        <w:r w:rsidR="00845591" w:rsidRPr="00EC250C">
          <w:rPr>
            <w:webHidden/>
          </w:rPr>
          <w:fldChar w:fldCharType="end"/>
        </w:r>
      </w:hyperlink>
    </w:p>
    <w:p w14:paraId="15415B9C" w14:textId="47BB5116" w:rsidR="00845591" w:rsidRPr="00EC250C" w:rsidRDefault="00744B2D" w:rsidP="001759D6">
      <w:pPr>
        <w:pStyle w:val="Spistreci4"/>
        <w:rPr>
          <w:rFonts w:asciiTheme="minorHAnsi" w:eastAsiaTheme="minorEastAsia" w:hAnsiTheme="minorHAnsi" w:cstheme="minorBidi"/>
        </w:rPr>
      </w:pPr>
      <w:hyperlink w:anchor="_Toc11247872" w:history="1">
        <w:r w:rsidR="00845591" w:rsidRPr="00EC250C">
          <w:rPr>
            <w:rStyle w:val="Hipercze"/>
          </w:rPr>
          <w:t>Biura terenowe RPO– szansa na pogłębianie więzi z lokalnymi społecznościami</w:t>
        </w:r>
        <w:r w:rsidR="00845591" w:rsidRPr="00EC250C">
          <w:rPr>
            <w:webHidden/>
          </w:rPr>
          <w:tab/>
        </w:r>
        <w:r w:rsidR="00845591" w:rsidRPr="00EC250C">
          <w:rPr>
            <w:webHidden/>
          </w:rPr>
          <w:fldChar w:fldCharType="begin"/>
        </w:r>
        <w:r w:rsidR="00845591" w:rsidRPr="00EC250C">
          <w:rPr>
            <w:webHidden/>
          </w:rPr>
          <w:instrText xml:space="preserve"> PAGEREF _Toc11247872 \h </w:instrText>
        </w:r>
        <w:r w:rsidR="00845591" w:rsidRPr="00EC250C">
          <w:rPr>
            <w:webHidden/>
          </w:rPr>
        </w:r>
        <w:r w:rsidR="00845591" w:rsidRPr="00EC250C">
          <w:rPr>
            <w:webHidden/>
          </w:rPr>
          <w:fldChar w:fldCharType="separate"/>
        </w:r>
        <w:r>
          <w:rPr>
            <w:webHidden/>
          </w:rPr>
          <w:t>452</w:t>
        </w:r>
        <w:r w:rsidR="00845591" w:rsidRPr="00EC250C">
          <w:rPr>
            <w:webHidden/>
          </w:rPr>
          <w:fldChar w:fldCharType="end"/>
        </w:r>
      </w:hyperlink>
    </w:p>
    <w:p w14:paraId="07642BB2" w14:textId="63A98D0E" w:rsidR="00845591" w:rsidRPr="00EC250C" w:rsidRDefault="00744B2D" w:rsidP="001759D6">
      <w:pPr>
        <w:pStyle w:val="Spistreci4"/>
        <w:rPr>
          <w:rFonts w:asciiTheme="minorHAnsi" w:eastAsiaTheme="minorEastAsia" w:hAnsiTheme="minorHAnsi" w:cstheme="minorBidi"/>
        </w:rPr>
      </w:pPr>
      <w:hyperlink w:anchor="_Toc11247873" w:history="1">
        <w:r w:rsidR="00845591" w:rsidRPr="00EC250C">
          <w:rPr>
            <w:rStyle w:val="Hipercze"/>
          </w:rPr>
          <w:t>Infolinia Rzecznika Praw Obywatelskich – Infolinia Obywatelska ( 800 – 676 – 676 )</w:t>
        </w:r>
        <w:r w:rsidR="00845591" w:rsidRPr="00EC250C">
          <w:rPr>
            <w:webHidden/>
          </w:rPr>
          <w:tab/>
        </w:r>
        <w:r w:rsidR="00845591" w:rsidRPr="00EC250C">
          <w:rPr>
            <w:webHidden/>
          </w:rPr>
          <w:fldChar w:fldCharType="begin"/>
        </w:r>
        <w:r w:rsidR="00845591" w:rsidRPr="00EC250C">
          <w:rPr>
            <w:webHidden/>
          </w:rPr>
          <w:instrText xml:space="preserve"> PAGEREF _Toc11247873 \h </w:instrText>
        </w:r>
        <w:r w:rsidR="00845591" w:rsidRPr="00EC250C">
          <w:rPr>
            <w:webHidden/>
          </w:rPr>
        </w:r>
        <w:r w:rsidR="00845591" w:rsidRPr="00EC250C">
          <w:rPr>
            <w:webHidden/>
          </w:rPr>
          <w:fldChar w:fldCharType="separate"/>
        </w:r>
        <w:r>
          <w:rPr>
            <w:webHidden/>
          </w:rPr>
          <w:t>453</w:t>
        </w:r>
        <w:r w:rsidR="00845591" w:rsidRPr="00EC250C">
          <w:rPr>
            <w:webHidden/>
          </w:rPr>
          <w:fldChar w:fldCharType="end"/>
        </w:r>
      </w:hyperlink>
    </w:p>
    <w:p w14:paraId="28ED02BD" w14:textId="4A0D5A63" w:rsidR="00845591" w:rsidRPr="00EC250C" w:rsidRDefault="00744B2D" w:rsidP="001759D6">
      <w:pPr>
        <w:pStyle w:val="Spistreci4"/>
        <w:rPr>
          <w:rFonts w:asciiTheme="minorHAnsi" w:eastAsiaTheme="minorEastAsia" w:hAnsiTheme="minorHAnsi" w:cstheme="minorBidi"/>
        </w:rPr>
      </w:pPr>
      <w:hyperlink w:anchor="_Toc11247874" w:history="1">
        <w:r w:rsidR="00845591" w:rsidRPr="00EC250C">
          <w:rPr>
            <w:rStyle w:val="Hipercze"/>
          </w:rPr>
          <w:t>Konsultacje regionalne Rzecznika Praw Obywatelskich</w:t>
        </w:r>
        <w:r w:rsidR="00845591" w:rsidRPr="00EC250C">
          <w:rPr>
            <w:webHidden/>
          </w:rPr>
          <w:tab/>
        </w:r>
        <w:r w:rsidR="00845591" w:rsidRPr="00EC250C">
          <w:rPr>
            <w:webHidden/>
          </w:rPr>
          <w:fldChar w:fldCharType="begin"/>
        </w:r>
        <w:r w:rsidR="00845591" w:rsidRPr="00EC250C">
          <w:rPr>
            <w:webHidden/>
          </w:rPr>
          <w:instrText xml:space="preserve"> PAGEREF _Toc11247874 \h </w:instrText>
        </w:r>
        <w:r w:rsidR="00845591" w:rsidRPr="00EC250C">
          <w:rPr>
            <w:webHidden/>
          </w:rPr>
        </w:r>
        <w:r w:rsidR="00845591" w:rsidRPr="00EC250C">
          <w:rPr>
            <w:webHidden/>
          </w:rPr>
          <w:fldChar w:fldCharType="separate"/>
        </w:r>
        <w:r>
          <w:rPr>
            <w:webHidden/>
          </w:rPr>
          <w:t>453</w:t>
        </w:r>
        <w:r w:rsidR="00845591" w:rsidRPr="00EC250C">
          <w:rPr>
            <w:webHidden/>
          </w:rPr>
          <w:fldChar w:fldCharType="end"/>
        </w:r>
      </w:hyperlink>
    </w:p>
    <w:p w14:paraId="278ED38B" w14:textId="3694E856" w:rsidR="00845591" w:rsidRPr="00EC250C" w:rsidRDefault="00744B2D" w:rsidP="001759D6">
      <w:pPr>
        <w:pStyle w:val="Spistreci4"/>
        <w:rPr>
          <w:rFonts w:asciiTheme="minorHAnsi" w:eastAsiaTheme="minorEastAsia" w:hAnsiTheme="minorHAnsi" w:cstheme="minorBidi"/>
        </w:rPr>
      </w:pPr>
      <w:hyperlink w:anchor="_Toc11247875" w:history="1">
        <w:r w:rsidR="00845591" w:rsidRPr="00EC250C">
          <w:rPr>
            <w:rStyle w:val="Hipercze"/>
          </w:rPr>
          <w:t>Wielkoduszna Polska</w:t>
        </w:r>
        <w:r w:rsidR="00845591" w:rsidRPr="00EC250C">
          <w:rPr>
            <w:webHidden/>
          </w:rPr>
          <w:tab/>
        </w:r>
        <w:r w:rsidR="00845591" w:rsidRPr="00EC250C">
          <w:rPr>
            <w:webHidden/>
          </w:rPr>
          <w:fldChar w:fldCharType="begin"/>
        </w:r>
        <w:r w:rsidR="00845591" w:rsidRPr="00EC250C">
          <w:rPr>
            <w:webHidden/>
          </w:rPr>
          <w:instrText xml:space="preserve"> PAGEREF _Toc11247875 \h </w:instrText>
        </w:r>
        <w:r w:rsidR="00845591" w:rsidRPr="00EC250C">
          <w:rPr>
            <w:webHidden/>
          </w:rPr>
        </w:r>
        <w:r w:rsidR="00845591" w:rsidRPr="00EC250C">
          <w:rPr>
            <w:webHidden/>
          </w:rPr>
          <w:fldChar w:fldCharType="separate"/>
        </w:r>
        <w:r>
          <w:rPr>
            <w:webHidden/>
          </w:rPr>
          <w:t>454</w:t>
        </w:r>
        <w:r w:rsidR="00845591" w:rsidRPr="00EC250C">
          <w:rPr>
            <w:webHidden/>
          </w:rPr>
          <w:fldChar w:fldCharType="end"/>
        </w:r>
      </w:hyperlink>
    </w:p>
    <w:p w14:paraId="2D564EE5" w14:textId="25E95C7A" w:rsidR="00845591" w:rsidRPr="00EC250C" w:rsidRDefault="00744B2D" w:rsidP="001759D6">
      <w:pPr>
        <w:pStyle w:val="Spistreci4"/>
        <w:rPr>
          <w:rFonts w:asciiTheme="minorHAnsi" w:eastAsiaTheme="minorEastAsia" w:hAnsiTheme="minorHAnsi" w:cstheme="minorBidi"/>
        </w:rPr>
      </w:pPr>
      <w:hyperlink w:anchor="_Toc11247876" w:history="1">
        <w:r w:rsidR="00845591" w:rsidRPr="00EC250C">
          <w:rPr>
            <w:rStyle w:val="Hipercze"/>
          </w:rPr>
          <w:t>Edukacja obywatelska</w:t>
        </w:r>
        <w:r w:rsidR="00845591" w:rsidRPr="00EC250C">
          <w:rPr>
            <w:webHidden/>
          </w:rPr>
          <w:tab/>
        </w:r>
        <w:r w:rsidR="00845591" w:rsidRPr="00EC250C">
          <w:rPr>
            <w:webHidden/>
          </w:rPr>
          <w:fldChar w:fldCharType="begin"/>
        </w:r>
        <w:r w:rsidR="00845591" w:rsidRPr="00EC250C">
          <w:rPr>
            <w:webHidden/>
          </w:rPr>
          <w:instrText xml:space="preserve"> PAGEREF _Toc11247876 \h </w:instrText>
        </w:r>
        <w:r w:rsidR="00845591" w:rsidRPr="00EC250C">
          <w:rPr>
            <w:webHidden/>
          </w:rPr>
        </w:r>
        <w:r w:rsidR="00845591" w:rsidRPr="00EC250C">
          <w:rPr>
            <w:webHidden/>
          </w:rPr>
          <w:fldChar w:fldCharType="separate"/>
        </w:r>
        <w:r>
          <w:rPr>
            <w:webHidden/>
          </w:rPr>
          <w:t>456</w:t>
        </w:r>
        <w:r w:rsidR="00845591" w:rsidRPr="00EC250C">
          <w:rPr>
            <w:webHidden/>
          </w:rPr>
          <w:fldChar w:fldCharType="end"/>
        </w:r>
      </w:hyperlink>
    </w:p>
    <w:p w14:paraId="631D6109" w14:textId="441DDD61" w:rsidR="00845591" w:rsidRPr="00EC250C" w:rsidRDefault="00744B2D" w:rsidP="001759D6">
      <w:pPr>
        <w:pStyle w:val="Spistreci4"/>
        <w:rPr>
          <w:rFonts w:asciiTheme="minorHAnsi" w:eastAsiaTheme="minorEastAsia" w:hAnsiTheme="minorHAnsi" w:cstheme="minorBidi"/>
        </w:rPr>
      </w:pPr>
      <w:hyperlink w:anchor="_Toc11247877" w:history="1">
        <w:r w:rsidR="00845591" w:rsidRPr="00EC250C">
          <w:rPr>
            <w:rStyle w:val="Hipercze"/>
          </w:rPr>
          <w:t>II Ogólnopolski Kongres Praw Obywatelskich 14-15 grudnia 2018 r.</w:t>
        </w:r>
        <w:r w:rsidR="00845591" w:rsidRPr="00EC250C">
          <w:rPr>
            <w:webHidden/>
          </w:rPr>
          <w:tab/>
        </w:r>
        <w:r w:rsidR="00845591" w:rsidRPr="00EC250C">
          <w:rPr>
            <w:webHidden/>
          </w:rPr>
          <w:fldChar w:fldCharType="begin"/>
        </w:r>
        <w:r w:rsidR="00845591" w:rsidRPr="00EC250C">
          <w:rPr>
            <w:webHidden/>
          </w:rPr>
          <w:instrText xml:space="preserve"> PAGEREF _Toc11247877 \h </w:instrText>
        </w:r>
        <w:r w:rsidR="00845591" w:rsidRPr="00EC250C">
          <w:rPr>
            <w:webHidden/>
          </w:rPr>
        </w:r>
        <w:r w:rsidR="00845591" w:rsidRPr="00EC250C">
          <w:rPr>
            <w:webHidden/>
          </w:rPr>
          <w:fldChar w:fldCharType="separate"/>
        </w:r>
        <w:r>
          <w:rPr>
            <w:webHidden/>
          </w:rPr>
          <w:t>460</w:t>
        </w:r>
        <w:r w:rsidR="00845591" w:rsidRPr="00EC250C">
          <w:rPr>
            <w:webHidden/>
          </w:rPr>
          <w:fldChar w:fldCharType="end"/>
        </w:r>
      </w:hyperlink>
    </w:p>
    <w:p w14:paraId="792078CC" w14:textId="6F0B500A" w:rsidR="00845591" w:rsidRPr="00EC250C" w:rsidRDefault="00744B2D" w:rsidP="001759D6">
      <w:pPr>
        <w:pStyle w:val="Spistreci4"/>
        <w:rPr>
          <w:rFonts w:asciiTheme="minorHAnsi" w:eastAsiaTheme="minorEastAsia" w:hAnsiTheme="minorHAnsi" w:cstheme="minorBidi"/>
        </w:rPr>
      </w:pPr>
      <w:hyperlink w:anchor="_Toc11247878" w:history="1">
        <w:r w:rsidR="00845591" w:rsidRPr="00EC250C">
          <w:rPr>
            <w:rStyle w:val="Hipercze"/>
          </w:rPr>
          <w:t>Kongres Praw Rodzicielskich 25-25 czerwca 2018 r.</w:t>
        </w:r>
        <w:r w:rsidR="00845591" w:rsidRPr="00EC250C">
          <w:rPr>
            <w:webHidden/>
          </w:rPr>
          <w:tab/>
        </w:r>
        <w:r w:rsidR="00845591" w:rsidRPr="00EC250C">
          <w:rPr>
            <w:webHidden/>
          </w:rPr>
          <w:fldChar w:fldCharType="begin"/>
        </w:r>
        <w:r w:rsidR="00845591" w:rsidRPr="00EC250C">
          <w:rPr>
            <w:webHidden/>
          </w:rPr>
          <w:instrText xml:space="preserve"> PAGEREF _Toc11247878 \h </w:instrText>
        </w:r>
        <w:r w:rsidR="00845591" w:rsidRPr="00EC250C">
          <w:rPr>
            <w:webHidden/>
          </w:rPr>
        </w:r>
        <w:r w:rsidR="00845591" w:rsidRPr="00EC250C">
          <w:rPr>
            <w:webHidden/>
          </w:rPr>
          <w:fldChar w:fldCharType="separate"/>
        </w:r>
        <w:r>
          <w:rPr>
            <w:webHidden/>
          </w:rPr>
          <w:t>468</w:t>
        </w:r>
        <w:r w:rsidR="00845591" w:rsidRPr="00EC250C">
          <w:rPr>
            <w:webHidden/>
          </w:rPr>
          <w:fldChar w:fldCharType="end"/>
        </w:r>
      </w:hyperlink>
    </w:p>
    <w:p w14:paraId="6DC724D7" w14:textId="4DBEB333" w:rsidR="00845591" w:rsidRPr="00EC250C" w:rsidRDefault="00744B2D" w:rsidP="001759D6">
      <w:pPr>
        <w:pStyle w:val="Spistreci4"/>
        <w:rPr>
          <w:rFonts w:asciiTheme="minorHAnsi" w:eastAsiaTheme="minorEastAsia" w:hAnsiTheme="minorHAnsi" w:cstheme="minorBidi"/>
        </w:rPr>
      </w:pPr>
      <w:hyperlink w:anchor="_Toc11247879" w:history="1">
        <w:r w:rsidR="00845591" w:rsidRPr="00EC250C">
          <w:rPr>
            <w:rStyle w:val="Hipercze"/>
          </w:rPr>
          <w:t>Litygacja strategiczna</w:t>
        </w:r>
        <w:r w:rsidR="00845591" w:rsidRPr="00EC250C">
          <w:rPr>
            <w:webHidden/>
          </w:rPr>
          <w:tab/>
        </w:r>
        <w:r w:rsidR="00845591" w:rsidRPr="00EC250C">
          <w:rPr>
            <w:webHidden/>
          </w:rPr>
          <w:fldChar w:fldCharType="begin"/>
        </w:r>
        <w:r w:rsidR="00845591" w:rsidRPr="00EC250C">
          <w:rPr>
            <w:webHidden/>
          </w:rPr>
          <w:instrText xml:space="preserve"> PAGEREF _Toc11247879 \h </w:instrText>
        </w:r>
        <w:r w:rsidR="00845591" w:rsidRPr="00EC250C">
          <w:rPr>
            <w:webHidden/>
          </w:rPr>
        </w:r>
        <w:r w:rsidR="00845591" w:rsidRPr="00EC250C">
          <w:rPr>
            <w:webHidden/>
          </w:rPr>
          <w:fldChar w:fldCharType="separate"/>
        </w:r>
        <w:r>
          <w:rPr>
            <w:webHidden/>
          </w:rPr>
          <w:t>476</w:t>
        </w:r>
        <w:r w:rsidR="00845591" w:rsidRPr="00EC250C">
          <w:rPr>
            <w:webHidden/>
          </w:rPr>
          <w:fldChar w:fldCharType="end"/>
        </w:r>
      </w:hyperlink>
    </w:p>
    <w:p w14:paraId="0BDD3A54" w14:textId="5E3C17A8" w:rsidR="00845591" w:rsidRPr="00EC250C" w:rsidRDefault="00744B2D" w:rsidP="001759D6">
      <w:pPr>
        <w:pStyle w:val="Spistreci4"/>
        <w:rPr>
          <w:rFonts w:asciiTheme="minorHAnsi" w:eastAsiaTheme="minorEastAsia" w:hAnsiTheme="minorHAnsi" w:cstheme="minorBidi"/>
        </w:rPr>
      </w:pPr>
      <w:hyperlink w:anchor="_Toc11247880" w:history="1">
        <w:r w:rsidR="00845591" w:rsidRPr="00EC250C">
          <w:rPr>
            <w:rStyle w:val="Hipercze"/>
          </w:rPr>
          <w:t>Nagrody i odznaczenia RPO</w:t>
        </w:r>
        <w:r w:rsidR="00845591" w:rsidRPr="00EC250C">
          <w:rPr>
            <w:webHidden/>
          </w:rPr>
          <w:tab/>
        </w:r>
        <w:r w:rsidR="00845591" w:rsidRPr="00EC250C">
          <w:rPr>
            <w:webHidden/>
          </w:rPr>
          <w:fldChar w:fldCharType="begin"/>
        </w:r>
        <w:r w:rsidR="00845591" w:rsidRPr="00EC250C">
          <w:rPr>
            <w:webHidden/>
          </w:rPr>
          <w:instrText xml:space="preserve"> PAGEREF _Toc11247880 \h </w:instrText>
        </w:r>
        <w:r w:rsidR="00845591" w:rsidRPr="00EC250C">
          <w:rPr>
            <w:webHidden/>
          </w:rPr>
        </w:r>
        <w:r w:rsidR="00845591" w:rsidRPr="00EC250C">
          <w:rPr>
            <w:webHidden/>
          </w:rPr>
          <w:fldChar w:fldCharType="separate"/>
        </w:r>
        <w:r>
          <w:rPr>
            <w:webHidden/>
          </w:rPr>
          <w:t>477</w:t>
        </w:r>
        <w:r w:rsidR="00845591" w:rsidRPr="00EC250C">
          <w:rPr>
            <w:webHidden/>
          </w:rPr>
          <w:fldChar w:fldCharType="end"/>
        </w:r>
      </w:hyperlink>
    </w:p>
    <w:p w14:paraId="4113637C" w14:textId="202B1843" w:rsidR="00845591" w:rsidRPr="00EC250C" w:rsidRDefault="00744B2D" w:rsidP="001759D6">
      <w:pPr>
        <w:pStyle w:val="Spistreci4"/>
        <w:rPr>
          <w:rFonts w:asciiTheme="minorHAnsi" w:eastAsiaTheme="minorEastAsia" w:hAnsiTheme="minorHAnsi" w:cstheme="minorBidi"/>
        </w:rPr>
      </w:pPr>
      <w:hyperlink w:anchor="_Toc11247881" w:history="1">
        <w:r w:rsidR="00845591" w:rsidRPr="00EC250C">
          <w:rPr>
            <w:rStyle w:val="Hipercze"/>
          </w:rPr>
          <w:t>Rady Społeczne przy Rzeczniku Praw Obywatelskich</w:t>
        </w:r>
        <w:r w:rsidR="00845591" w:rsidRPr="00EC250C">
          <w:rPr>
            <w:webHidden/>
          </w:rPr>
          <w:tab/>
        </w:r>
        <w:r w:rsidR="00845591" w:rsidRPr="00EC250C">
          <w:rPr>
            <w:webHidden/>
          </w:rPr>
          <w:fldChar w:fldCharType="begin"/>
        </w:r>
        <w:r w:rsidR="00845591" w:rsidRPr="00EC250C">
          <w:rPr>
            <w:webHidden/>
          </w:rPr>
          <w:instrText xml:space="preserve"> PAGEREF _Toc11247881 \h </w:instrText>
        </w:r>
        <w:r w:rsidR="00845591" w:rsidRPr="00EC250C">
          <w:rPr>
            <w:webHidden/>
          </w:rPr>
        </w:r>
        <w:r w:rsidR="00845591" w:rsidRPr="00EC250C">
          <w:rPr>
            <w:webHidden/>
          </w:rPr>
          <w:fldChar w:fldCharType="separate"/>
        </w:r>
        <w:r>
          <w:rPr>
            <w:webHidden/>
          </w:rPr>
          <w:t>479</w:t>
        </w:r>
        <w:r w:rsidR="00845591" w:rsidRPr="00EC250C">
          <w:rPr>
            <w:webHidden/>
          </w:rPr>
          <w:fldChar w:fldCharType="end"/>
        </w:r>
      </w:hyperlink>
    </w:p>
    <w:p w14:paraId="1FDC6404" w14:textId="51ADCF2F" w:rsidR="00845591" w:rsidRPr="00EC250C" w:rsidRDefault="00744B2D" w:rsidP="001759D6">
      <w:pPr>
        <w:pStyle w:val="Spistreci4"/>
        <w:rPr>
          <w:rFonts w:asciiTheme="minorHAnsi" w:eastAsiaTheme="minorEastAsia" w:hAnsiTheme="minorHAnsi" w:cstheme="minorBidi"/>
        </w:rPr>
      </w:pPr>
      <w:hyperlink w:anchor="_Toc11247882" w:history="1">
        <w:r w:rsidR="00845591" w:rsidRPr="00EC250C">
          <w:rPr>
            <w:rStyle w:val="Hipercze"/>
          </w:rPr>
          <w:t>Komisje ekspertów</w:t>
        </w:r>
        <w:r w:rsidR="00845591" w:rsidRPr="00EC250C">
          <w:rPr>
            <w:webHidden/>
          </w:rPr>
          <w:tab/>
        </w:r>
        <w:r w:rsidR="00845591" w:rsidRPr="00EC250C">
          <w:rPr>
            <w:webHidden/>
          </w:rPr>
          <w:fldChar w:fldCharType="begin"/>
        </w:r>
        <w:r w:rsidR="00845591" w:rsidRPr="00EC250C">
          <w:rPr>
            <w:webHidden/>
          </w:rPr>
          <w:instrText xml:space="preserve"> PAGEREF _Toc11247882 \h </w:instrText>
        </w:r>
        <w:r w:rsidR="00845591" w:rsidRPr="00EC250C">
          <w:rPr>
            <w:webHidden/>
          </w:rPr>
        </w:r>
        <w:r w:rsidR="00845591" w:rsidRPr="00EC250C">
          <w:rPr>
            <w:webHidden/>
          </w:rPr>
          <w:fldChar w:fldCharType="separate"/>
        </w:r>
        <w:r>
          <w:rPr>
            <w:webHidden/>
          </w:rPr>
          <w:t>481</w:t>
        </w:r>
        <w:r w:rsidR="00845591" w:rsidRPr="00EC250C">
          <w:rPr>
            <w:webHidden/>
          </w:rPr>
          <w:fldChar w:fldCharType="end"/>
        </w:r>
      </w:hyperlink>
    </w:p>
    <w:p w14:paraId="64F5AA5E" w14:textId="4D21346D" w:rsidR="00845591" w:rsidRPr="00EC250C" w:rsidRDefault="00744B2D" w:rsidP="001759D6">
      <w:pPr>
        <w:pStyle w:val="Spistreci4"/>
        <w:rPr>
          <w:rFonts w:asciiTheme="minorHAnsi" w:eastAsiaTheme="minorEastAsia" w:hAnsiTheme="minorHAnsi" w:cstheme="minorBidi"/>
        </w:rPr>
      </w:pPr>
      <w:hyperlink w:anchor="_Toc11247883" w:history="1">
        <w:r w:rsidR="00845591" w:rsidRPr="00EC250C">
          <w:rPr>
            <w:rStyle w:val="Hipercze"/>
          </w:rPr>
          <w:t>Nagroda RAFTO dla polskiego Rzecznika Praw Obywatelskich i jego Biura</w:t>
        </w:r>
        <w:r w:rsidR="00845591" w:rsidRPr="00EC250C">
          <w:rPr>
            <w:webHidden/>
          </w:rPr>
          <w:tab/>
        </w:r>
        <w:r w:rsidR="00845591" w:rsidRPr="00EC250C">
          <w:rPr>
            <w:webHidden/>
          </w:rPr>
          <w:fldChar w:fldCharType="begin"/>
        </w:r>
        <w:r w:rsidR="00845591" w:rsidRPr="00EC250C">
          <w:rPr>
            <w:webHidden/>
          </w:rPr>
          <w:instrText xml:space="preserve"> PAGEREF _Toc11247883 \h </w:instrText>
        </w:r>
        <w:r w:rsidR="00845591" w:rsidRPr="00EC250C">
          <w:rPr>
            <w:webHidden/>
          </w:rPr>
        </w:r>
        <w:r w:rsidR="00845591" w:rsidRPr="00EC250C">
          <w:rPr>
            <w:webHidden/>
          </w:rPr>
          <w:fldChar w:fldCharType="separate"/>
        </w:r>
        <w:r>
          <w:rPr>
            <w:webHidden/>
          </w:rPr>
          <w:t>512</w:t>
        </w:r>
        <w:r w:rsidR="00845591" w:rsidRPr="00EC250C">
          <w:rPr>
            <w:webHidden/>
          </w:rPr>
          <w:fldChar w:fldCharType="end"/>
        </w:r>
      </w:hyperlink>
    </w:p>
    <w:p w14:paraId="3F95CBD7" w14:textId="268C73DB" w:rsidR="00845591" w:rsidRPr="00EC250C" w:rsidRDefault="00744B2D" w:rsidP="001759D6">
      <w:pPr>
        <w:pStyle w:val="Spistreci4"/>
        <w:rPr>
          <w:rFonts w:asciiTheme="minorHAnsi" w:eastAsiaTheme="minorEastAsia" w:hAnsiTheme="minorHAnsi" w:cstheme="minorBidi"/>
        </w:rPr>
      </w:pPr>
      <w:hyperlink w:anchor="_Toc11247884" w:history="1">
        <w:r w:rsidR="00845591" w:rsidRPr="00EC250C">
          <w:rPr>
            <w:rStyle w:val="Hipercze"/>
          </w:rPr>
          <w:t>Działalność międzynarodowa RPO</w:t>
        </w:r>
        <w:r w:rsidR="00845591" w:rsidRPr="00EC250C">
          <w:rPr>
            <w:webHidden/>
          </w:rPr>
          <w:tab/>
        </w:r>
        <w:r w:rsidR="00845591" w:rsidRPr="00EC250C">
          <w:rPr>
            <w:webHidden/>
          </w:rPr>
          <w:fldChar w:fldCharType="begin"/>
        </w:r>
        <w:r w:rsidR="00845591" w:rsidRPr="00EC250C">
          <w:rPr>
            <w:webHidden/>
          </w:rPr>
          <w:instrText xml:space="preserve"> PAGEREF _Toc11247884 \h </w:instrText>
        </w:r>
        <w:r w:rsidR="00845591" w:rsidRPr="00EC250C">
          <w:rPr>
            <w:webHidden/>
          </w:rPr>
        </w:r>
        <w:r w:rsidR="00845591" w:rsidRPr="00EC250C">
          <w:rPr>
            <w:webHidden/>
          </w:rPr>
          <w:fldChar w:fldCharType="separate"/>
        </w:r>
        <w:r>
          <w:rPr>
            <w:webHidden/>
          </w:rPr>
          <w:t>512</w:t>
        </w:r>
        <w:r w:rsidR="00845591" w:rsidRPr="00EC250C">
          <w:rPr>
            <w:webHidden/>
          </w:rPr>
          <w:fldChar w:fldCharType="end"/>
        </w:r>
      </w:hyperlink>
    </w:p>
    <w:p w14:paraId="70B9BBF6" w14:textId="00854FCC" w:rsidR="00845591" w:rsidRPr="00EC250C" w:rsidRDefault="00744B2D" w:rsidP="001759D6">
      <w:pPr>
        <w:pStyle w:val="Spistreci1"/>
        <w:rPr>
          <w:rFonts w:asciiTheme="minorHAnsi" w:eastAsiaTheme="minorEastAsia" w:hAnsiTheme="minorHAnsi" w:cstheme="minorBidi"/>
          <w:spacing w:val="0"/>
          <w:sz w:val="20"/>
        </w:rPr>
      </w:pPr>
      <w:hyperlink w:anchor="_Toc11247885" w:history="1">
        <w:r w:rsidR="00845591" w:rsidRPr="00EC250C">
          <w:rPr>
            <w:rStyle w:val="Hipercze"/>
          </w:rPr>
          <w:t>CZĘŚĆ IV – Załączniki</w:t>
        </w:r>
        <w:r w:rsidR="00845591" w:rsidRPr="00EC250C">
          <w:rPr>
            <w:webHidden/>
          </w:rPr>
          <w:tab/>
        </w:r>
        <w:r w:rsidR="00845591" w:rsidRPr="00EC250C">
          <w:rPr>
            <w:webHidden/>
          </w:rPr>
          <w:fldChar w:fldCharType="begin"/>
        </w:r>
        <w:r w:rsidR="00845591" w:rsidRPr="00EC250C">
          <w:rPr>
            <w:webHidden/>
          </w:rPr>
          <w:instrText xml:space="preserve"> PAGEREF _Toc11247885 \h </w:instrText>
        </w:r>
        <w:r w:rsidR="00845591" w:rsidRPr="00EC250C">
          <w:rPr>
            <w:webHidden/>
          </w:rPr>
        </w:r>
        <w:r w:rsidR="00845591" w:rsidRPr="00EC250C">
          <w:rPr>
            <w:webHidden/>
          </w:rPr>
          <w:fldChar w:fldCharType="separate"/>
        </w:r>
        <w:r>
          <w:rPr>
            <w:webHidden/>
          </w:rPr>
          <w:t>518</w:t>
        </w:r>
        <w:r w:rsidR="00845591" w:rsidRPr="00EC250C">
          <w:rPr>
            <w:webHidden/>
          </w:rPr>
          <w:fldChar w:fldCharType="end"/>
        </w:r>
      </w:hyperlink>
    </w:p>
    <w:p w14:paraId="206CC9CD" w14:textId="29B8B3F2" w:rsidR="00845591" w:rsidRPr="00EC250C" w:rsidRDefault="00744B2D" w:rsidP="001759D6">
      <w:pPr>
        <w:pStyle w:val="Spistreci4"/>
        <w:rPr>
          <w:rFonts w:asciiTheme="minorHAnsi" w:eastAsiaTheme="minorEastAsia" w:hAnsiTheme="minorHAnsi" w:cstheme="minorBidi"/>
        </w:rPr>
      </w:pPr>
      <w:hyperlink w:anchor="_Toc11247886" w:history="1">
        <w:r w:rsidR="00845591" w:rsidRPr="00EC250C">
          <w:rPr>
            <w:rStyle w:val="Hipercze"/>
          </w:rPr>
          <w:t>Dane informacyjno-statystyczne</w:t>
        </w:r>
        <w:r w:rsidR="00845591" w:rsidRPr="00EC250C">
          <w:rPr>
            <w:webHidden/>
          </w:rPr>
          <w:tab/>
        </w:r>
        <w:r w:rsidR="00845591" w:rsidRPr="00EC250C">
          <w:rPr>
            <w:webHidden/>
          </w:rPr>
          <w:fldChar w:fldCharType="begin"/>
        </w:r>
        <w:r w:rsidR="00845591" w:rsidRPr="00EC250C">
          <w:rPr>
            <w:webHidden/>
          </w:rPr>
          <w:instrText xml:space="preserve"> PAGEREF _Toc11247886 \h </w:instrText>
        </w:r>
        <w:r w:rsidR="00845591" w:rsidRPr="00EC250C">
          <w:rPr>
            <w:webHidden/>
          </w:rPr>
        </w:r>
        <w:r w:rsidR="00845591" w:rsidRPr="00EC250C">
          <w:rPr>
            <w:webHidden/>
          </w:rPr>
          <w:fldChar w:fldCharType="separate"/>
        </w:r>
        <w:r>
          <w:rPr>
            <w:webHidden/>
          </w:rPr>
          <w:t>518</w:t>
        </w:r>
        <w:r w:rsidR="00845591" w:rsidRPr="00EC250C">
          <w:rPr>
            <w:webHidden/>
          </w:rPr>
          <w:fldChar w:fldCharType="end"/>
        </w:r>
      </w:hyperlink>
    </w:p>
    <w:p w14:paraId="088673A6" w14:textId="6DFE49F0" w:rsidR="00845591" w:rsidRPr="00EC250C" w:rsidRDefault="00744B2D" w:rsidP="001759D6">
      <w:pPr>
        <w:pStyle w:val="Spistreci4"/>
        <w:rPr>
          <w:rFonts w:asciiTheme="minorHAnsi" w:eastAsiaTheme="minorEastAsia" w:hAnsiTheme="minorHAnsi" w:cstheme="minorBidi"/>
        </w:rPr>
      </w:pPr>
      <w:hyperlink w:anchor="_Toc11247887" w:history="1">
        <w:r w:rsidR="00845591" w:rsidRPr="00EC250C">
          <w:rPr>
            <w:rStyle w:val="Hipercze"/>
          </w:rPr>
          <w:t>Wizyty i spotkania w kraju</w:t>
        </w:r>
        <w:r w:rsidR="00845591" w:rsidRPr="00EC250C">
          <w:rPr>
            <w:webHidden/>
          </w:rPr>
          <w:tab/>
        </w:r>
        <w:r w:rsidR="00845591" w:rsidRPr="00EC250C">
          <w:rPr>
            <w:webHidden/>
          </w:rPr>
          <w:fldChar w:fldCharType="begin"/>
        </w:r>
        <w:r w:rsidR="00845591" w:rsidRPr="00EC250C">
          <w:rPr>
            <w:webHidden/>
          </w:rPr>
          <w:instrText xml:space="preserve"> PAGEREF _Toc11247887 \h </w:instrText>
        </w:r>
        <w:r w:rsidR="00845591" w:rsidRPr="00EC250C">
          <w:rPr>
            <w:webHidden/>
          </w:rPr>
        </w:r>
        <w:r w:rsidR="00845591" w:rsidRPr="00EC250C">
          <w:rPr>
            <w:webHidden/>
          </w:rPr>
          <w:fldChar w:fldCharType="separate"/>
        </w:r>
        <w:r>
          <w:rPr>
            <w:webHidden/>
          </w:rPr>
          <w:t>530</w:t>
        </w:r>
        <w:r w:rsidR="00845591" w:rsidRPr="00EC250C">
          <w:rPr>
            <w:webHidden/>
          </w:rPr>
          <w:fldChar w:fldCharType="end"/>
        </w:r>
      </w:hyperlink>
    </w:p>
    <w:p w14:paraId="290F674C" w14:textId="4F347486" w:rsidR="00845591" w:rsidRPr="00EC250C" w:rsidRDefault="00744B2D" w:rsidP="001759D6">
      <w:pPr>
        <w:pStyle w:val="Spistreci4"/>
        <w:rPr>
          <w:rFonts w:asciiTheme="minorHAnsi" w:eastAsiaTheme="minorEastAsia" w:hAnsiTheme="minorHAnsi" w:cstheme="minorBidi"/>
        </w:rPr>
      </w:pPr>
      <w:hyperlink w:anchor="_Toc11247888" w:history="1">
        <w:r w:rsidR="00845591" w:rsidRPr="00EC250C">
          <w:rPr>
            <w:rStyle w:val="Hipercze"/>
          </w:rPr>
          <w:t>Działania RPO na forum międzynarodowym</w:t>
        </w:r>
        <w:r w:rsidR="00845591" w:rsidRPr="00EC250C">
          <w:rPr>
            <w:webHidden/>
          </w:rPr>
          <w:tab/>
        </w:r>
        <w:r w:rsidR="00845591" w:rsidRPr="00EC250C">
          <w:rPr>
            <w:webHidden/>
          </w:rPr>
          <w:fldChar w:fldCharType="begin"/>
        </w:r>
        <w:r w:rsidR="00845591" w:rsidRPr="00EC250C">
          <w:rPr>
            <w:webHidden/>
          </w:rPr>
          <w:instrText xml:space="preserve"> PAGEREF _Toc11247888 \h </w:instrText>
        </w:r>
        <w:r w:rsidR="00845591" w:rsidRPr="00EC250C">
          <w:rPr>
            <w:webHidden/>
          </w:rPr>
        </w:r>
        <w:r w:rsidR="00845591" w:rsidRPr="00EC250C">
          <w:rPr>
            <w:webHidden/>
          </w:rPr>
          <w:fldChar w:fldCharType="separate"/>
        </w:r>
        <w:r>
          <w:rPr>
            <w:webHidden/>
          </w:rPr>
          <w:t>554</w:t>
        </w:r>
        <w:r w:rsidR="00845591" w:rsidRPr="00EC250C">
          <w:rPr>
            <w:webHidden/>
          </w:rPr>
          <w:fldChar w:fldCharType="end"/>
        </w:r>
      </w:hyperlink>
    </w:p>
    <w:p w14:paraId="4EFA86BB" w14:textId="4EB73011" w:rsidR="00845591" w:rsidRPr="00EC250C" w:rsidRDefault="00744B2D" w:rsidP="001759D6">
      <w:pPr>
        <w:pStyle w:val="Spistreci4"/>
        <w:rPr>
          <w:rFonts w:asciiTheme="minorHAnsi" w:eastAsiaTheme="minorEastAsia" w:hAnsiTheme="minorHAnsi" w:cstheme="minorBidi"/>
        </w:rPr>
      </w:pPr>
      <w:hyperlink w:anchor="_Toc11247889" w:history="1">
        <w:r w:rsidR="00845591" w:rsidRPr="00EC250C">
          <w:rPr>
            <w:rStyle w:val="Hipercze"/>
          </w:rPr>
          <w:t>Honorowe patronaty Rzecznika Praw Obywatelskich w 2018 r.</w:t>
        </w:r>
        <w:r w:rsidR="00845591" w:rsidRPr="00EC250C">
          <w:rPr>
            <w:webHidden/>
          </w:rPr>
          <w:tab/>
        </w:r>
        <w:r w:rsidR="00845591" w:rsidRPr="00EC250C">
          <w:rPr>
            <w:webHidden/>
          </w:rPr>
          <w:fldChar w:fldCharType="begin"/>
        </w:r>
        <w:r w:rsidR="00845591" w:rsidRPr="00EC250C">
          <w:rPr>
            <w:webHidden/>
          </w:rPr>
          <w:instrText xml:space="preserve"> PAGEREF _Toc11247889 \h </w:instrText>
        </w:r>
        <w:r w:rsidR="00845591" w:rsidRPr="00EC250C">
          <w:rPr>
            <w:webHidden/>
          </w:rPr>
        </w:r>
        <w:r w:rsidR="00845591" w:rsidRPr="00EC250C">
          <w:rPr>
            <w:webHidden/>
          </w:rPr>
          <w:fldChar w:fldCharType="separate"/>
        </w:r>
        <w:r>
          <w:rPr>
            <w:webHidden/>
          </w:rPr>
          <w:t>561</w:t>
        </w:r>
        <w:r w:rsidR="00845591" w:rsidRPr="00EC250C">
          <w:rPr>
            <w:webHidden/>
          </w:rPr>
          <w:fldChar w:fldCharType="end"/>
        </w:r>
      </w:hyperlink>
    </w:p>
    <w:p w14:paraId="7C0F8FA4" w14:textId="1544C6AC" w:rsidR="00845591" w:rsidRPr="00EC250C" w:rsidRDefault="00744B2D" w:rsidP="001759D6">
      <w:pPr>
        <w:pStyle w:val="Spistreci4"/>
        <w:rPr>
          <w:rFonts w:asciiTheme="minorHAnsi" w:eastAsiaTheme="minorEastAsia" w:hAnsiTheme="minorHAnsi" w:cstheme="minorBidi"/>
        </w:rPr>
      </w:pPr>
      <w:hyperlink w:anchor="_Toc11247890" w:history="1">
        <w:r w:rsidR="00845591" w:rsidRPr="00EC250C">
          <w:rPr>
            <w:rStyle w:val="Hipercze"/>
          </w:rPr>
          <w:t>Sprawy polskich obywateli przed Europejskim Trybunałem w Strasburgu</w:t>
        </w:r>
        <w:r w:rsidR="00845591" w:rsidRPr="00EC250C">
          <w:rPr>
            <w:webHidden/>
          </w:rPr>
          <w:tab/>
        </w:r>
        <w:r w:rsidR="00845591" w:rsidRPr="00EC250C">
          <w:rPr>
            <w:webHidden/>
          </w:rPr>
          <w:fldChar w:fldCharType="begin"/>
        </w:r>
        <w:r w:rsidR="00845591" w:rsidRPr="00EC250C">
          <w:rPr>
            <w:webHidden/>
          </w:rPr>
          <w:instrText xml:space="preserve"> PAGEREF _Toc11247890 \h </w:instrText>
        </w:r>
        <w:r w:rsidR="00845591" w:rsidRPr="00EC250C">
          <w:rPr>
            <w:webHidden/>
          </w:rPr>
        </w:r>
        <w:r w:rsidR="00845591" w:rsidRPr="00EC250C">
          <w:rPr>
            <w:webHidden/>
          </w:rPr>
          <w:fldChar w:fldCharType="separate"/>
        </w:r>
        <w:r>
          <w:rPr>
            <w:webHidden/>
          </w:rPr>
          <w:t>565</w:t>
        </w:r>
        <w:r w:rsidR="00845591" w:rsidRPr="00EC250C">
          <w:rPr>
            <w:webHidden/>
          </w:rPr>
          <w:fldChar w:fldCharType="end"/>
        </w:r>
      </w:hyperlink>
    </w:p>
    <w:p w14:paraId="7C06935D" w14:textId="61017D87" w:rsidR="00845591" w:rsidRPr="00EC250C" w:rsidRDefault="00744B2D" w:rsidP="001759D6">
      <w:pPr>
        <w:pStyle w:val="Spistreci4"/>
        <w:rPr>
          <w:rFonts w:asciiTheme="minorHAnsi" w:eastAsiaTheme="minorEastAsia" w:hAnsiTheme="minorHAnsi" w:cstheme="minorBidi"/>
        </w:rPr>
      </w:pPr>
      <w:hyperlink w:anchor="_Toc11247891" w:history="1">
        <w:r w:rsidR="00845591" w:rsidRPr="00EC250C">
          <w:rPr>
            <w:rStyle w:val="Hipercze"/>
          </w:rPr>
          <w:t>Stanowiska organów międzynarodowych na temat zmian prawnych w Polsce</w:t>
        </w:r>
        <w:r w:rsidR="00845591" w:rsidRPr="00EC250C">
          <w:rPr>
            <w:webHidden/>
          </w:rPr>
          <w:tab/>
        </w:r>
        <w:r w:rsidR="00845591" w:rsidRPr="00EC250C">
          <w:rPr>
            <w:webHidden/>
          </w:rPr>
          <w:fldChar w:fldCharType="begin"/>
        </w:r>
        <w:r w:rsidR="00845591" w:rsidRPr="00EC250C">
          <w:rPr>
            <w:webHidden/>
          </w:rPr>
          <w:instrText xml:space="preserve"> PAGEREF _Toc11247891 \h </w:instrText>
        </w:r>
        <w:r w:rsidR="00845591" w:rsidRPr="00EC250C">
          <w:rPr>
            <w:webHidden/>
          </w:rPr>
        </w:r>
        <w:r w:rsidR="00845591" w:rsidRPr="00EC250C">
          <w:rPr>
            <w:webHidden/>
          </w:rPr>
          <w:fldChar w:fldCharType="separate"/>
        </w:r>
        <w:r>
          <w:rPr>
            <w:webHidden/>
          </w:rPr>
          <w:t>580</w:t>
        </w:r>
        <w:r w:rsidR="00845591" w:rsidRPr="00EC250C">
          <w:rPr>
            <w:webHidden/>
          </w:rPr>
          <w:fldChar w:fldCharType="end"/>
        </w:r>
      </w:hyperlink>
    </w:p>
    <w:p w14:paraId="08374945" w14:textId="28F23DD5" w:rsidR="0057796F" w:rsidRPr="00EC250C" w:rsidRDefault="00623C35" w:rsidP="001759D6">
      <w:pPr>
        <w:pStyle w:val="Spistreci4"/>
        <w:rPr>
          <w:b/>
          <w:color w:val="1F497D" w:themeColor="text2"/>
          <w:sz w:val="32"/>
        </w:rPr>
      </w:pPr>
      <w:r w:rsidRPr="00EC250C">
        <w:fldChar w:fldCharType="end"/>
      </w:r>
      <w:r w:rsidR="0057796F" w:rsidRPr="00EC250C">
        <w:br w:type="page"/>
      </w:r>
    </w:p>
    <w:p w14:paraId="4C0296CF" w14:textId="77777777" w:rsidR="00C91F6E" w:rsidRPr="00EC250C" w:rsidRDefault="008320BB" w:rsidP="00EC250C">
      <w:pPr>
        <w:pStyle w:val="Nagwek3"/>
      </w:pPr>
      <w:bookmarkStart w:id="4" w:name="_Toc11247523"/>
      <w:bookmarkStart w:id="5" w:name="_Hlk9494707"/>
      <w:bookmarkStart w:id="6" w:name="_Toc6257623"/>
      <w:bookmarkEnd w:id="0"/>
      <w:r w:rsidRPr="00EC250C">
        <w:lastRenderedPageBreak/>
        <w:t>57 tysięcy ludzkich spraw</w:t>
      </w:r>
      <w:bookmarkEnd w:id="4"/>
    </w:p>
    <w:p w14:paraId="1A606CA0" w14:textId="77777777" w:rsidR="00B473F5" w:rsidRPr="00EC250C" w:rsidRDefault="000018E2" w:rsidP="00D131FA">
      <w:pPr>
        <w:pStyle w:val="Problemczowieka"/>
        <w:jc w:val="both"/>
      </w:pPr>
      <w:r w:rsidRPr="00EC250C">
        <w:t>W 2018</w:t>
      </w:r>
      <w:r w:rsidR="00C91F6E" w:rsidRPr="00EC250C">
        <w:t> r.</w:t>
      </w:r>
      <w:r w:rsidRPr="00EC250C">
        <w:t xml:space="preserve"> ludzie zgłosili się do Rzecznika Praw Obywatelskich 57 tys. razy. </w:t>
      </w:r>
      <w:r w:rsidR="00E41149" w:rsidRPr="00EC250C">
        <w:t>To</w:t>
      </w:r>
      <w:r w:rsidR="00992FD0" w:rsidRPr="00EC250C">
        <w:t xml:space="preserve"> o </w:t>
      </w:r>
      <w:r w:rsidRPr="00EC250C">
        <w:t>5 tys. więcej niż</w:t>
      </w:r>
      <w:r w:rsidR="00992FD0" w:rsidRPr="00EC250C">
        <w:t xml:space="preserve"> w </w:t>
      </w:r>
      <w:r w:rsidRPr="00EC250C">
        <w:t>roku poprzednim. Niemal połowa</w:t>
      </w:r>
      <w:r w:rsidR="00992FD0" w:rsidRPr="00EC250C">
        <w:t xml:space="preserve"> z </w:t>
      </w:r>
      <w:r w:rsidRPr="00EC250C">
        <w:t>wpływów odnotowanych</w:t>
      </w:r>
      <w:r w:rsidR="00992FD0" w:rsidRPr="00EC250C">
        <w:t xml:space="preserve"> w </w:t>
      </w:r>
      <w:r w:rsidRPr="00EC250C">
        <w:t>2018 roku</w:t>
      </w:r>
      <w:r w:rsidR="00026572" w:rsidRPr="00EC250C">
        <w:t xml:space="preserve"> – </w:t>
      </w:r>
      <w:r w:rsidRPr="00EC250C">
        <w:t>25 tys.</w:t>
      </w:r>
      <w:r w:rsidR="00026572" w:rsidRPr="00EC250C">
        <w:t xml:space="preserve"> – </w:t>
      </w:r>
      <w:r w:rsidRPr="00EC250C">
        <w:t>to były sprawy</w:t>
      </w:r>
      <w:r w:rsidR="00992FD0" w:rsidRPr="00EC250C">
        <w:t xml:space="preserve"> i </w:t>
      </w:r>
      <w:r w:rsidRPr="00EC250C">
        <w:t>problemy nowe – reszta to korespondencja dotycząca problemów, które RPO zidentyfikował wcześniej</w:t>
      </w:r>
      <w:r w:rsidR="00992FD0" w:rsidRPr="00EC250C">
        <w:t xml:space="preserve"> i </w:t>
      </w:r>
      <w:r w:rsidRPr="00EC250C">
        <w:t>rozpoczął nad nimi pracę. Samych nowych spraw było</w:t>
      </w:r>
      <w:r w:rsidR="00992FD0" w:rsidRPr="00EC250C">
        <w:t xml:space="preserve"> o </w:t>
      </w:r>
      <w:r w:rsidRPr="00EC250C">
        <w:t>prawie 2,5 tys. więcej niż</w:t>
      </w:r>
      <w:r w:rsidR="00992FD0" w:rsidRPr="00EC250C">
        <w:t xml:space="preserve"> w </w:t>
      </w:r>
      <w:r w:rsidRPr="00EC250C">
        <w:t>roku poprzednim</w:t>
      </w:r>
      <w:r w:rsidR="00B473F5" w:rsidRPr="00EC250C">
        <w:t>.</w:t>
      </w:r>
    </w:p>
    <w:p w14:paraId="0033FF69" w14:textId="77777777" w:rsidR="000018E2" w:rsidRPr="00EC250C" w:rsidRDefault="000018E2" w:rsidP="000D56AB">
      <w:pPr>
        <w:pStyle w:val="Styl1"/>
        <w:rPr>
          <w:szCs w:val="22"/>
        </w:rPr>
      </w:pPr>
      <w:r w:rsidRPr="00EC250C">
        <w:rPr>
          <w:szCs w:val="22"/>
        </w:rPr>
        <w:t xml:space="preserve">Sprawy przedstawiane Rzecznikowi </w:t>
      </w:r>
      <w:r w:rsidR="003B6489" w:rsidRPr="00EC250C">
        <w:rPr>
          <w:szCs w:val="22"/>
        </w:rPr>
        <w:t>we wnioskach</w:t>
      </w:r>
      <w:r w:rsidR="00992FD0" w:rsidRPr="00EC250C">
        <w:rPr>
          <w:szCs w:val="22"/>
        </w:rPr>
        <w:t xml:space="preserve"> i </w:t>
      </w:r>
      <w:r w:rsidR="003B6489" w:rsidRPr="00EC250C">
        <w:rPr>
          <w:szCs w:val="22"/>
        </w:rPr>
        <w:t xml:space="preserve">skargach </w:t>
      </w:r>
      <w:r w:rsidRPr="00EC250C">
        <w:rPr>
          <w:szCs w:val="22"/>
        </w:rPr>
        <w:t>obywateli są głównym źródłem informacji</w:t>
      </w:r>
      <w:r w:rsidR="00992FD0" w:rsidRPr="00EC250C">
        <w:rPr>
          <w:szCs w:val="22"/>
        </w:rPr>
        <w:t xml:space="preserve"> o </w:t>
      </w:r>
      <w:r w:rsidRPr="00EC250C">
        <w:rPr>
          <w:szCs w:val="22"/>
        </w:rPr>
        <w:t>stanie przestrzegania praw</w:t>
      </w:r>
      <w:r w:rsidR="00992FD0" w:rsidRPr="00EC250C">
        <w:rPr>
          <w:szCs w:val="22"/>
        </w:rPr>
        <w:t xml:space="preserve"> i </w:t>
      </w:r>
      <w:r w:rsidRPr="00EC250C">
        <w:rPr>
          <w:szCs w:val="22"/>
        </w:rPr>
        <w:t>wolności</w:t>
      </w:r>
      <w:r w:rsidR="00992FD0" w:rsidRPr="00EC250C">
        <w:rPr>
          <w:szCs w:val="22"/>
        </w:rPr>
        <w:t xml:space="preserve"> w </w:t>
      </w:r>
      <w:r w:rsidRPr="00EC250C">
        <w:rPr>
          <w:szCs w:val="22"/>
        </w:rPr>
        <w:t xml:space="preserve">praktyce. </w:t>
      </w:r>
      <w:r w:rsidR="004B44F8" w:rsidRPr="00EC250C">
        <w:rPr>
          <w:szCs w:val="22"/>
        </w:rPr>
        <w:t>RPO</w:t>
      </w:r>
      <w:r w:rsidRPr="00EC250C">
        <w:rPr>
          <w:szCs w:val="22"/>
        </w:rPr>
        <w:t xml:space="preserve"> poznaje realia funkcjonowania prawa. Dowiaduje się</w:t>
      </w:r>
      <w:r w:rsidR="00992FD0" w:rsidRPr="00EC250C">
        <w:rPr>
          <w:szCs w:val="22"/>
        </w:rPr>
        <w:t xml:space="preserve"> o </w:t>
      </w:r>
      <w:r w:rsidRPr="00EC250C">
        <w:rPr>
          <w:szCs w:val="22"/>
        </w:rPr>
        <w:t>usterkach</w:t>
      </w:r>
      <w:r w:rsidR="00992FD0" w:rsidRPr="00EC250C">
        <w:rPr>
          <w:szCs w:val="22"/>
        </w:rPr>
        <w:t xml:space="preserve"> i </w:t>
      </w:r>
      <w:r w:rsidRPr="00EC250C">
        <w:rPr>
          <w:szCs w:val="22"/>
        </w:rPr>
        <w:t>niedostatkach wynikających</w:t>
      </w:r>
      <w:r w:rsidR="00992FD0" w:rsidRPr="00EC250C">
        <w:rPr>
          <w:szCs w:val="22"/>
        </w:rPr>
        <w:t xml:space="preserve"> z </w:t>
      </w:r>
      <w:r w:rsidRPr="00EC250C">
        <w:rPr>
          <w:szCs w:val="22"/>
        </w:rPr>
        <w:t>błędów legislacyjnych, ale często także</w:t>
      </w:r>
      <w:r w:rsidR="00992FD0" w:rsidRPr="00EC250C">
        <w:rPr>
          <w:szCs w:val="22"/>
        </w:rPr>
        <w:t xml:space="preserve"> z </w:t>
      </w:r>
      <w:r w:rsidRPr="00EC250C">
        <w:rPr>
          <w:szCs w:val="22"/>
        </w:rPr>
        <w:t>braku możliwości przewidzenia wszystkich</w:t>
      </w:r>
      <w:r w:rsidR="00392799" w:rsidRPr="00EC250C">
        <w:rPr>
          <w:szCs w:val="22"/>
        </w:rPr>
        <w:t xml:space="preserve"> </w:t>
      </w:r>
      <w:r w:rsidRPr="00EC250C">
        <w:rPr>
          <w:szCs w:val="22"/>
        </w:rPr>
        <w:t>wyjątkowych sytuacji,</w:t>
      </w:r>
      <w:r w:rsidR="00992FD0" w:rsidRPr="00EC250C">
        <w:rPr>
          <w:szCs w:val="22"/>
        </w:rPr>
        <w:t xml:space="preserve"> w </w:t>
      </w:r>
      <w:r w:rsidRPr="00EC250C">
        <w:rPr>
          <w:szCs w:val="22"/>
        </w:rPr>
        <w:t>jakich znajdą się ludzie. Rzecznik widzi też zjawiska nowe, niekoniecznie znane już opinii publicznej</w:t>
      </w:r>
      <w:r w:rsidR="00992FD0" w:rsidRPr="00EC250C">
        <w:rPr>
          <w:szCs w:val="22"/>
        </w:rPr>
        <w:t xml:space="preserve"> i </w:t>
      </w:r>
      <w:r w:rsidRPr="00EC250C">
        <w:rPr>
          <w:szCs w:val="22"/>
        </w:rPr>
        <w:t>władzom – rzeczywistość społeczna zmienia się bowiem szybciej niż prawo</w:t>
      </w:r>
      <w:r w:rsidR="00992FD0" w:rsidRPr="00EC250C">
        <w:rPr>
          <w:szCs w:val="22"/>
        </w:rPr>
        <w:t xml:space="preserve"> i </w:t>
      </w:r>
      <w:r w:rsidRPr="00EC250C">
        <w:rPr>
          <w:szCs w:val="22"/>
        </w:rPr>
        <w:t>procedury.</w:t>
      </w:r>
    </w:p>
    <w:p w14:paraId="65DA04FB" w14:textId="77777777" w:rsidR="00C91F6E" w:rsidRPr="00EC250C" w:rsidRDefault="000018E2" w:rsidP="000D56AB">
      <w:pPr>
        <w:pStyle w:val="Styl1"/>
        <w:rPr>
          <w:szCs w:val="22"/>
        </w:rPr>
      </w:pPr>
      <w:r w:rsidRPr="00EC250C">
        <w:rPr>
          <w:szCs w:val="22"/>
        </w:rPr>
        <w:t>Na obraz wyłaniający się ze skarg</w:t>
      </w:r>
      <w:r w:rsidR="00992FD0" w:rsidRPr="00EC250C">
        <w:rPr>
          <w:szCs w:val="22"/>
        </w:rPr>
        <w:t xml:space="preserve"> i </w:t>
      </w:r>
      <w:r w:rsidRPr="00EC250C">
        <w:rPr>
          <w:szCs w:val="22"/>
        </w:rPr>
        <w:t>wniosków,</w:t>
      </w:r>
      <w:r w:rsidR="00992FD0" w:rsidRPr="00EC250C">
        <w:rPr>
          <w:szCs w:val="22"/>
        </w:rPr>
        <w:t xml:space="preserve"> a </w:t>
      </w:r>
      <w:r w:rsidRPr="00EC250C">
        <w:rPr>
          <w:szCs w:val="22"/>
        </w:rPr>
        <w:t>tym samym</w:t>
      </w:r>
      <w:r w:rsidR="00992FD0" w:rsidRPr="00EC250C">
        <w:rPr>
          <w:szCs w:val="22"/>
        </w:rPr>
        <w:t xml:space="preserve"> z </w:t>
      </w:r>
      <w:r w:rsidRPr="00EC250C">
        <w:rPr>
          <w:szCs w:val="22"/>
        </w:rPr>
        <w:t>przedstawionego raportu niebagatelny wpływ ma świadomość prawna obywateli oraz ich umiejętność identyfikacji naruszeń</w:t>
      </w:r>
      <w:r w:rsidR="00992FD0" w:rsidRPr="00EC250C">
        <w:rPr>
          <w:szCs w:val="22"/>
        </w:rPr>
        <w:t xml:space="preserve"> i </w:t>
      </w:r>
      <w:r w:rsidRPr="00EC250C">
        <w:rPr>
          <w:szCs w:val="22"/>
        </w:rPr>
        <w:t>nazywania problemu,</w:t>
      </w:r>
      <w:r w:rsidR="00992FD0" w:rsidRPr="00EC250C">
        <w:rPr>
          <w:szCs w:val="22"/>
        </w:rPr>
        <w:t xml:space="preserve"> z </w:t>
      </w:r>
      <w:r w:rsidRPr="00EC250C">
        <w:rPr>
          <w:szCs w:val="22"/>
        </w:rPr>
        <w:t>jaki</w:t>
      </w:r>
      <w:r w:rsidR="00E41149" w:rsidRPr="00EC250C">
        <w:rPr>
          <w:szCs w:val="22"/>
        </w:rPr>
        <w:t>m</w:t>
      </w:r>
      <w:r w:rsidRPr="00EC250C">
        <w:rPr>
          <w:szCs w:val="22"/>
        </w:rPr>
        <w:t xml:space="preserve"> przychodzi im się mierzyć. </w:t>
      </w:r>
      <w:r w:rsidR="003B6489" w:rsidRPr="00EC250C">
        <w:rPr>
          <w:szCs w:val="22"/>
        </w:rPr>
        <w:t xml:space="preserve">Często zgłaszają się do RPO osoby, które poszukują jakiejkolwiek pomocy ze strony organów władzy publicznej, nie znając zakresu działań, jakie może podjąć </w:t>
      </w:r>
      <w:r w:rsidR="004B44F8" w:rsidRPr="00EC250C">
        <w:rPr>
          <w:szCs w:val="22"/>
        </w:rPr>
        <w:t>RPO</w:t>
      </w:r>
      <w:r w:rsidR="003B6489" w:rsidRPr="00EC250C">
        <w:rPr>
          <w:szCs w:val="22"/>
        </w:rPr>
        <w:t xml:space="preserve">. </w:t>
      </w:r>
      <w:r w:rsidRPr="00EC250C">
        <w:rPr>
          <w:szCs w:val="22"/>
        </w:rPr>
        <w:t>Zdarza się też, że sprawy do Biura RPO trafiają za późno, minęły już terminy pozwalające na skuteczną interwencję. Nasuwa się zatem refleksja, czy gdyby państwo</w:t>
      </w:r>
      <w:r w:rsidR="00992FD0" w:rsidRPr="00EC250C">
        <w:rPr>
          <w:szCs w:val="22"/>
        </w:rPr>
        <w:t xml:space="preserve"> z </w:t>
      </w:r>
      <w:r w:rsidRPr="00EC250C">
        <w:rPr>
          <w:szCs w:val="22"/>
        </w:rPr>
        <w:t>większą mocą angażowało się</w:t>
      </w:r>
      <w:r w:rsidR="00992FD0" w:rsidRPr="00EC250C">
        <w:rPr>
          <w:szCs w:val="22"/>
        </w:rPr>
        <w:t xml:space="preserve"> w </w:t>
      </w:r>
      <w:r w:rsidRPr="00EC250C">
        <w:rPr>
          <w:szCs w:val="22"/>
        </w:rPr>
        <w:t>edukację</w:t>
      </w:r>
      <w:r w:rsidR="00992FD0" w:rsidRPr="00EC250C">
        <w:rPr>
          <w:szCs w:val="22"/>
        </w:rPr>
        <w:t xml:space="preserve"> o </w:t>
      </w:r>
      <w:r w:rsidRPr="00EC250C">
        <w:rPr>
          <w:szCs w:val="22"/>
        </w:rPr>
        <w:t>prawach</w:t>
      </w:r>
      <w:r w:rsidR="00992FD0" w:rsidRPr="00EC250C">
        <w:rPr>
          <w:szCs w:val="22"/>
        </w:rPr>
        <w:t xml:space="preserve"> i </w:t>
      </w:r>
      <w:r w:rsidRPr="00EC250C">
        <w:rPr>
          <w:szCs w:val="22"/>
        </w:rPr>
        <w:t>możliwościach działania obywateli, to choć część</w:t>
      </w:r>
      <w:r w:rsidR="00992FD0" w:rsidRPr="00EC250C">
        <w:rPr>
          <w:szCs w:val="22"/>
        </w:rPr>
        <w:t xml:space="preserve"> z </w:t>
      </w:r>
      <w:r w:rsidRPr="00EC250C">
        <w:rPr>
          <w:szCs w:val="22"/>
        </w:rPr>
        <w:t>nich</w:t>
      </w:r>
      <w:r w:rsidR="00392799" w:rsidRPr="00EC250C">
        <w:rPr>
          <w:szCs w:val="22"/>
        </w:rPr>
        <w:t xml:space="preserve"> </w:t>
      </w:r>
      <w:r w:rsidRPr="00EC250C">
        <w:rPr>
          <w:szCs w:val="22"/>
        </w:rPr>
        <w:t>nie był</w:t>
      </w:r>
      <w:r w:rsidR="00E41149" w:rsidRPr="00EC250C">
        <w:rPr>
          <w:szCs w:val="22"/>
        </w:rPr>
        <w:t>a</w:t>
      </w:r>
      <w:r w:rsidRPr="00EC250C">
        <w:rPr>
          <w:szCs w:val="22"/>
        </w:rPr>
        <w:t>by dziś</w:t>
      </w:r>
      <w:r w:rsidR="00992FD0" w:rsidRPr="00EC250C">
        <w:rPr>
          <w:szCs w:val="22"/>
        </w:rPr>
        <w:t xml:space="preserve"> w </w:t>
      </w:r>
      <w:r w:rsidRPr="00EC250C">
        <w:rPr>
          <w:szCs w:val="22"/>
        </w:rPr>
        <w:t>tak trudnej sytuacji.</w:t>
      </w:r>
    </w:p>
    <w:p w14:paraId="77FE06F8" w14:textId="77777777" w:rsidR="00C91F6E" w:rsidRPr="00EC250C" w:rsidRDefault="000018E2" w:rsidP="000D56AB">
      <w:pPr>
        <w:pStyle w:val="Styl1"/>
        <w:rPr>
          <w:szCs w:val="22"/>
        </w:rPr>
      </w:pPr>
      <w:r w:rsidRPr="00EC250C">
        <w:rPr>
          <w:szCs w:val="22"/>
        </w:rPr>
        <w:t xml:space="preserve">Drugą myślą, jaka rodzi się po lekturze jest to, jak wiele spośród zgłaszanych </w:t>
      </w:r>
      <w:r w:rsidR="004B44F8" w:rsidRPr="00EC250C">
        <w:rPr>
          <w:szCs w:val="22"/>
        </w:rPr>
        <w:t xml:space="preserve">RPO </w:t>
      </w:r>
      <w:r w:rsidRPr="00EC250C">
        <w:rPr>
          <w:szCs w:val="22"/>
        </w:rPr>
        <w:t>problemów jest nierozwiązanych od lat, jak wiele wysiłku</w:t>
      </w:r>
      <w:r w:rsidR="00992FD0" w:rsidRPr="00EC250C">
        <w:rPr>
          <w:szCs w:val="22"/>
        </w:rPr>
        <w:t xml:space="preserve"> i </w:t>
      </w:r>
      <w:r w:rsidRPr="00EC250C">
        <w:rPr>
          <w:szCs w:val="22"/>
        </w:rPr>
        <w:t>starań podejmują instytucje, których działania niestety nie przynoszą oczekiwanych rezultatów. Czytelnik tej Informacji będzie to mógł sprawdzić przeglądając przedstawione problemy, jakie występują</w:t>
      </w:r>
      <w:r w:rsidR="00992FD0" w:rsidRPr="00EC250C">
        <w:rPr>
          <w:szCs w:val="22"/>
        </w:rPr>
        <w:t xml:space="preserve"> z </w:t>
      </w:r>
      <w:r w:rsidRPr="00EC250C">
        <w:rPr>
          <w:szCs w:val="22"/>
        </w:rPr>
        <w:t>realizacją praw obywateli zawartych</w:t>
      </w:r>
      <w:r w:rsidR="00992FD0" w:rsidRPr="00EC250C">
        <w:rPr>
          <w:szCs w:val="22"/>
        </w:rPr>
        <w:t xml:space="preserve"> w </w:t>
      </w:r>
      <w:r w:rsidRPr="00EC250C">
        <w:rPr>
          <w:szCs w:val="22"/>
        </w:rPr>
        <w:t>kolejnych artykułach Konstytucji. To ona bowiem, jako zasadnicza ustawa nadająca podstawy do określenia stosunków między obywatelem</w:t>
      </w:r>
      <w:r w:rsidR="00992FD0" w:rsidRPr="00EC250C">
        <w:rPr>
          <w:szCs w:val="22"/>
        </w:rPr>
        <w:t xml:space="preserve"> a </w:t>
      </w:r>
      <w:r w:rsidRPr="00EC250C">
        <w:rPr>
          <w:szCs w:val="22"/>
        </w:rPr>
        <w:t>państwem sygnalizuje, które ze zobowiązań</w:t>
      </w:r>
      <w:r w:rsidR="00992FD0" w:rsidRPr="00EC250C">
        <w:rPr>
          <w:szCs w:val="22"/>
        </w:rPr>
        <w:t xml:space="preserve"> i w </w:t>
      </w:r>
      <w:r w:rsidRPr="00EC250C">
        <w:rPr>
          <w:szCs w:val="22"/>
        </w:rPr>
        <w:t>jakim wymiarze nie są wykonywane. Przykładów niestety wciąż jest wiele…</w:t>
      </w:r>
    </w:p>
    <w:p w14:paraId="675E54FF" w14:textId="77777777" w:rsidR="000018E2" w:rsidRPr="00EC250C" w:rsidRDefault="000018E2" w:rsidP="000D56AB">
      <w:pPr>
        <w:pStyle w:val="Styl1"/>
        <w:rPr>
          <w:szCs w:val="22"/>
        </w:rPr>
      </w:pPr>
      <w:r w:rsidRPr="00EC250C">
        <w:rPr>
          <w:szCs w:val="22"/>
        </w:rPr>
        <w:t xml:space="preserve">W trudnej sytuacji jest </w:t>
      </w:r>
      <w:r w:rsidR="003B6489" w:rsidRPr="00EC250C">
        <w:rPr>
          <w:szCs w:val="22"/>
        </w:rPr>
        <w:t>p</w:t>
      </w:r>
      <w:r w:rsidRPr="00EC250C">
        <w:rPr>
          <w:szCs w:val="22"/>
        </w:rPr>
        <w:t>ani Katarzyna, która ma emeryturę</w:t>
      </w:r>
      <w:r w:rsidR="00992FD0" w:rsidRPr="00EC250C">
        <w:rPr>
          <w:szCs w:val="22"/>
        </w:rPr>
        <w:t xml:space="preserve"> o </w:t>
      </w:r>
      <w:r w:rsidRPr="00EC250C">
        <w:rPr>
          <w:szCs w:val="22"/>
        </w:rPr>
        <w:t>kilkaset złotych niższą od starszej</w:t>
      </w:r>
      <w:r w:rsidR="00992FD0" w:rsidRPr="00EC250C">
        <w:rPr>
          <w:szCs w:val="22"/>
        </w:rPr>
        <w:t xml:space="preserve"> o </w:t>
      </w:r>
      <w:r w:rsidRPr="00EC250C">
        <w:rPr>
          <w:szCs w:val="22"/>
        </w:rPr>
        <w:t>miesiąc koleżanki, choć obie pracowały dokładnie tyle samo</w:t>
      </w:r>
      <w:r w:rsidR="00992FD0" w:rsidRPr="00EC250C">
        <w:rPr>
          <w:szCs w:val="22"/>
        </w:rPr>
        <w:t xml:space="preserve"> i </w:t>
      </w:r>
      <w:r w:rsidRPr="00EC250C">
        <w:rPr>
          <w:szCs w:val="22"/>
        </w:rPr>
        <w:t>za tyle samo. Niestety, nie jest to historia odosobniona. W Polsce dostaje się niższą emeryturę, jeśli wniosek</w:t>
      </w:r>
      <w:r w:rsidR="00992FD0" w:rsidRPr="00EC250C">
        <w:rPr>
          <w:szCs w:val="22"/>
        </w:rPr>
        <w:t xml:space="preserve"> o </w:t>
      </w:r>
      <w:r w:rsidRPr="00EC250C">
        <w:rPr>
          <w:szCs w:val="22"/>
        </w:rPr>
        <w:t>nią złoży się</w:t>
      </w:r>
      <w:r w:rsidR="00992FD0" w:rsidRPr="00EC250C">
        <w:rPr>
          <w:szCs w:val="22"/>
        </w:rPr>
        <w:t xml:space="preserve"> w </w:t>
      </w:r>
      <w:r w:rsidRPr="00EC250C">
        <w:rPr>
          <w:szCs w:val="22"/>
        </w:rPr>
        <w:t>czerwcu. Wynika to ze sposobu,</w:t>
      </w:r>
      <w:r w:rsidR="00992FD0" w:rsidRPr="00EC250C">
        <w:rPr>
          <w:szCs w:val="22"/>
        </w:rPr>
        <w:t xml:space="preserve"> w </w:t>
      </w:r>
      <w:r w:rsidRPr="00EC250C">
        <w:rPr>
          <w:szCs w:val="22"/>
        </w:rPr>
        <w:t>jaki ZUS waloryzuje sk</w:t>
      </w:r>
      <w:r w:rsidRPr="00EC250C">
        <w:rPr>
          <w:rFonts w:hint="eastAsia"/>
          <w:szCs w:val="22"/>
        </w:rPr>
        <w:t>ł</w:t>
      </w:r>
      <w:r w:rsidRPr="00EC250C">
        <w:rPr>
          <w:szCs w:val="22"/>
        </w:rPr>
        <w:t xml:space="preserve">adki. Pan Henryk zaś dostał wezwanie do zapłacenia kilkudziesięciu tysięcy złotych zaległego podatku, bo zdaniem </w:t>
      </w:r>
      <w:r w:rsidR="003B6489" w:rsidRPr="00EC250C">
        <w:rPr>
          <w:szCs w:val="22"/>
        </w:rPr>
        <w:t>urzędu skarbowego</w:t>
      </w:r>
      <w:r w:rsidRPr="00EC250C">
        <w:rPr>
          <w:szCs w:val="22"/>
        </w:rPr>
        <w:t xml:space="preserve"> nie dopełnił wszystkich formalności uprawniających do skorzystania</w:t>
      </w:r>
      <w:r w:rsidR="00992FD0" w:rsidRPr="00EC250C">
        <w:rPr>
          <w:szCs w:val="22"/>
        </w:rPr>
        <w:t xml:space="preserve"> z </w:t>
      </w:r>
      <w:r w:rsidRPr="00EC250C">
        <w:rPr>
          <w:szCs w:val="22"/>
        </w:rPr>
        <w:t>ulgi za sprzedaż mieszkania,</w:t>
      </w:r>
      <w:r w:rsidR="00992FD0" w:rsidRPr="00EC250C">
        <w:rPr>
          <w:szCs w:val="22"/>
        </w:rPr>
        <w:t xml:space="preserve"> w </w:t>
      </w:r>
      <w:r w:rsidRPr="00EC250C">
        <w:rPr>
          <w:szCs w:val="22"/>
        </w:rPr>
        <w:t xml:space="preserve">którym wcześniej mieszkał od lat. Pani Hanna może nie dostać dla dzieci świadczenia 500+, bo </w:t>
      </w:r>
      <w:r w:rsidRPr="00EC250C">
        <w:rPr>
          <w:szCs w:val="22"/>
        </w:rPr>
        <w:lastRenderedPageBreak/>
        <w:t>ich ojciec, który porzucił rodzinę, jest legalnie zatrudniony</w:t>
      </w:r>
      <w:r w:rsidR="00992FD0" w:rsidRPr="00EC250C">
        <w:rPr>
          <w:szCs w:val="22"/>
        </w:rPr>
        <w:t xml:space="preserve"> w </w:t>
      </w:r>
      <w:r w:rsidRPr="00EC250C">
        <w:rPr>
          <w:szCs w:val="22"/>
        </w:rPr>
        <w:t>Niemczech. System zakłada bowiem, że skoro wysokość świadczeń niemieckich jest korzystniejsza dla rodziny, to stamtąd będą one pobierane. Ustalenie, że świadczenie nie trafia do dzieci, zajmuje czas. Problemy</w:t>
      </w:r>
      <w:r w:rsidR="00992FD0" w:rsidRPr="00EC250C">
        <w:rPr>
          <w:szCs w:val="22"/>
        </w:rPr>
        <w:t xml:space="preserve"> z </w:t>
      </w:r>
      <w:r w:rsidRPr="00EC250C">
        <w:rPr>
          <w:szCs w:val="22"/>
        </w:rPr>
        <w:t xml:space="preserve">egzekwowaniem swoich praw ma także </w:t>
      </w:r>
      <w:r w:rsidR="003639C3" w:rsidRPr="00EC250C">
        <w:rPr>
          <w:szCs w:val="22"/>
        </w:rPr>
        <w:t>p</w:t>
      </w:r>
      <w:r w:rsidRPr="00EC250C">
        <w:rPr>
          <w:szCs w:val="22"/>
        </w:rPr>
        <w:t>an Zbigniew, wyborca</w:t>
      </w:r>
      <w:r w:rsidR="00992FD0" w:rsidRPr="00EC250C">
        <w:rPr>
          <w:szCs w:val="22"/>
        </w:rPr>
        <w:t xml:space="preserve"> z </w:t>
      </w:r>
      <w:r w:rsidRPr="00EC250C">
        <w:rPr>
          <w:szCs w:val="22"/>
        </w:rPr>
        <w:t>niepełnosprawności</w:t>
      </w:r>
      <w:r w:rsidR="00FC0C3A" w:rsidRPr="00EC250C">
        <w:rPr>
          <w:szCs w:val="22"/>
        </w:rPr>
        <w:t>ą</w:t>
      </w:r>
      <w:r w:rsidRPr="00EC250C">
        <w:rPr>
          <w:szCs w:val="22"/>
        </w:rPr>
        <w:t xml:space="preserve">, któremu trudno jest się dostać do lokalu wyborczego – bo ten, który przygotowała gmina, nie spełnia wymogów dostosowania do jego potrzeb, </w:t>
      </w:r>
      <w:r w:rsidR="003639C3" w:rsidRPr="00EC250C">
        <w:rPr>
          <w:szCs w:val="22"/>
        </w:rPr>
        <w:t xml:space="preserve">więc </w:t>
      </w:r>
      <w:r w:rsidRPr="00EC250C">
        <w:rPr>
          <w:szCs w:val="22"/>
        </w:rPr>
        <w:t>samodzielne oddanie głosu staje się niemożliwe. Pani Małgorzata wie, że duży przedsiębiorca rozbudowuje fermy kurczaków</w:t>
      </w:r>
      <w:r w:rsidR="00992FD0" w:rsidRPr="00EC250C">
        <w:rPr>
          <w:szCs w:val="22"/>
        </w:rPr>
        <w:t xml:space="preserve"> i </w:t>
      </w:r>
      <w:r w:rsidRPr="00EC250C">
        <w:rPr>
          <w:szCs w:val="22"/>
        </w:rPr>
        <w:t>że zarówno ona</w:t>
      </w:r>
      <w:r w:rsidR="00E41149" w:rsidRPr="00EC250C">
        <w:rPr>
          <w:szCs w:val="22"/>
        </w:rPr>
        <w:t>,</w:t>
      </w:r>
      <w:r w:rsidR="00992FD0" w:rsidRPr="00EC250C">
        <w:rPr>
          <w:szCs w:val="22"/>
        </w:rPr>
        <w:t xml:space="preserve"> i </w:t>
      </w:r>
      <w:r w:rsidRPr="00EC250C">
        <w:rPr>
          <w:szCs w:val="22"/>
        </w:rPr>
        <w:t>sąsiedzi</w:t>
      </w:r>
      <w:r w:rsidR="00E41149" w:rsidRPr="00EC250C">
        <w:rPr>
          <w:szCs w:val="22"/>
        </w:rPr>
        <w:t>,</w:t>
      </w:r>
      <w:r w:rsidRPr="00EC250C">
        <w:rPr>
          <w:szCs w:val="22"/>
        </w:rPr>
        <w:t xml:space="preserve"> jak</w:t>
      </w:r>
      <w:r w:rsidR="00992FD0" w:rsidRPr="00EC250C">
        <w:rPr>
          <w:szCs w:val="22"/>
        </w:rPr>
        <w:t xml:space="preserve"> i </w:t>
      </w:r>
      <w:r w:rsidRPr="00EC250C">
        <w:rPr>
          <w:szCs w:val="22"/>
        </w:rPr>
        <w:t>cała gmina, są praktycznie bezradni – nie mają jak bronić się przed odorem, owadami</w:t>
      </w:r>
      <w:r w:rsidR="00992FD0" w:rsidRPr="00EC250C">
        <w:rPr>
          <w:szCs w:val="22"/>
        </w:rPr>
        <w:t xml:space="preserve"> i </w:t>
      </w:r>
      <w:r w:rsidRPr="00EC250C">
        <w:rPr>
          <w:szCs w:val="22"/>
        </w:rPr>
        <w:t>gryzoniami, które rozprzestrzenią się wokół ich domów. Jeszcze inny problem ma pan Klaudiusz</w:t>
      </w:r>
      <w:r w:rsidR="00992FD0" w:rsidRPr="00EC250C">
        <w:rPr>
          <w:szCs w:val="22"/>
        </w:rPr>
        <w:t xml:space="preserve"> i </w:t>
      </w:r>
      <w:r w:rsidRPr="00EC250C">
        <w:rPr>
          <w:szCs w:val="22"/>
        </w:rPr>
        <w:t>około miliona posiadaczy tzw. książeczek mieszkaniowych</w:t>
      </w:r>
      <w:r w:rsidR="00992FD0" w:rsidRPr="00EC250C">
        <w:rPr>
          <w:szCs w:val="22"/>
        </w:rPr>
        <w:t xml:space="preserve"> z </w:t>
      </w:r>
      <w:r w:rsidRPr="00EC250C">
        <w:rPr>
          <w:szCs w:val="22"/>
        </w:rPr>
        <w:t>czasów PRL, którzy nie mogą odzyskać nawet minimalnej części oszczędności</w:t>
      </w:r>
      <w:r w:rsidR="00992FD0" w:rsidRPr="00EC250C">
        <w:rPr>
          <w:szCs w:val="22"/>
        </w:rPr>
        <w:t xml:space="preserve"> w </w:t>
      </w:r>
      <w:r w:rsidRPr="00EC250C">
        <w:rPr>
          <w:szCs w:val="22"/>
        </w:rPr>
        <w:t>postaci premii gwarancyjnej.</w:t>
      </w:r>
    </w:p>
    <w:p w14:paraId="28EFB30C" w14:textId="77777777" w:rsidR="000018E2" w:rsidRPr="00EC250C" w:rsidRDefault="000018E2" w:rsidP="000D56AB">
      <w:pPr>
        <w:pStyle w:val="Styl1"/>
        <w:rPr>
          <w:szCs w:val="22"/>
        </w:rPr>
      </w:pPr>
      <w:r w:rsidRPr="00EC250C">
        <w:rPr>
          <w:szCs w:val="22"/>
        </w:rPr>
        <w:t>To tylko przykłady spraw,</w:t>
      </w:r>
      <w:r w:rsidR="00992FD0" w:rsidRPr="00EC250C">
        <w:rPr>
          <w:szCs w:val="22"/>
        </w:rPr>
        <w:t xml:space="preserve"> w </w:t>
      </w:r>
      <w:r w:rsidRPr="00EC250C">
        <w:rPr>
          <w:szCs w:val="22"/>
        </w:rPr>
        <w:t xml:space="preserve">których interweniował </w:t>
      </w:r>
      <w:r w:rsidR="004B44F8" w:rsidRPr="00EC250C">
        <w:rPr>
          <w:szCs w:val="22"/>
        </w:rPr>
        <w:t>RPO</w:t>
      </w:r>
      <w:r w:rsidR="00992FD0" w:rsidRPr="00EC250C">
        <w:rPr>
          <w:szCs w:val="22"/>
        </w:rPr>
        <w:t xml:space="preserve"> w </w:t>
      </w:r>
      <w:r w:rsidRPr="00EC250C">
        <w:rPr>
          <w:szCs w:val="22"/>
        </w:rPr>
        <w:t>2018 roku</w:t>
      </w:r>
      <w:r w:rsidR="00992FD0" w:rsidRPr="00EC250C">
        <w:rPr>
          <w:szCs w:val="22"/>
        </w:rPr>
        <w:t xml:space="preserve"> i </w:t>
      </w:r>
      <w:r w:rsidRPr="00EC250C">
        <w:rPr>
          <w:szCs w:val="22"/>
        </w:rPr>
        <w:t>niestety jest to dopiero wierzchołek góry lodowej zaniechań</w:t>
      </w:r>
      <w:r w:rsidR="00992FD0" w:rsidRPr="00EC250C">
        <w:rPr>
          <w:szCs w:val="22"/>
        </w:rPr>
        <w:t xml:space="preserve"> i </w:t>
      </w:r>
      <w:r w:rsidRPr="00EC250C">
        <w:rPr>
          <w:szCs w:val="22"/>
        </w:rPr>
        <w:t>niedostatków</w:t>
      </w:r>
      <w:r w:rsidR="00992FD0" w:rsidRPr="00EC250C">
        <w:rPr>
          <w:szCs w:val="22"/>
        </w:rPr>
        <w:t xml:space="preserve"> w </w:t>
      </w:r>
      <w:r w:rsidRPr="00EC250C">
        <w:rPr>
          <w:szCs w:val="22"/>
        </w:rPr>
        <w:t>realizacji praw polskich obywateli.</w:t>
      </w:r>
    </w:p>
    <w:p w14:paraId="0EB4A93B" w14:textId="77777777" w:rsidR="008320BB" w:rsidRPr="00EC250C" w:rsidRDefault="008320BB" w:rsidP="00EC250C">
      <w:pPr>
        <w:pStyle w:val="Nagwek5"/>
      </w:pPr>
      <w:r w:rsidRPr="00EC250C">
        <w:t>Sądy, sądy, sądy</w:t>
      </w:r>
    </w:p>
    <w:p w14:paraId="43CCF60E" w14:textId="77777777" w:rsidR="00C91F6E" w:rsidRPr="00EC250C" w:rsidRDefault="00735D16" w:rsidP="000D56AB">
      <w:pPr>
        <w:pStyle w:val="Styl1"/>
        <w:rPr>
          <w:szCs w:val="22"/>
        </w:rPr>
      </w:pPr>
      <w:r w:rsidRPr="00EC250C">
        <w:rPr>
          <w:szCs w:val="22"/>
        </w:rPr>
        <w:t>Sprawy związane</w:t>
      </w:r>
      <w:r w:rsidR="00992FD0" w:rsidRPr="00EC250C">
        <w:rPr>
          <w:szCs w:val="22"/>
        </w:rPr>
        <w:t xml:space="preserve"> z </w:t>
      </w:r>
      <w:r w:rsidRPr="00EC250C">
        <w:rPr>
          <w:szCs w:val="22"/>
        </w:rPr>
        <w:t>wyrokami sądowymi</w:t>
      </w:r>
      <w:r w:rsidR="00992FD0" w:rsidRPr="00EC250C">
        <w:rPr>
          <w:szCs w:val="22"/>
        </w:rPr>
        <w:t xml:space="preserve"> i </w:t>
      </w:r>
      <w:r w:rsidRPr="00EC250C">
        <w:rPr>
          <w:szCs w:val="22"/>
        </w:rPr>
        <w:t>ciągnącymi się sprawami</w:t>
      </w:r>
      <w:r w:rsidR="00992FD0" w:rsidRPr="00EC250C">
        <w:rPr>
          <w:szCs w:val="22"/>
        </w:rPr>
        <w:t xml:space="preserve"> w </w:t>
      </w:r>
      <w:r w:rsidRPr="00EC250C">
        <w:rPr>
          <w:szCs w:val="22"/>
        </w:rPr>
        <w:t xml:space="preserve">sądach stanowią – od lat – dużą część skarg do Rzecznika. </w:t>
      </w:r>
      <w:r w:rsidR="008320BB" w:rsidRPr="00EC250C">
        <w:rPr>
          <w:szCs w:val="22"/>
        </w:rPr>
        <w:t>W 2018</w:t>
      </w:r>
      <w:r w:rsidR="00C91F6E" w:rsidRPr="00EC250C">
        <w:rPr>
          <w:szCs w:val="22"/>
        </w:rPr>
        <w:t> r.</w:t>
      </w:r>
      <w:r w:rsidRPr="00EC250C">
        <w:rPr>
          <w:szCs w:val="22"/>
        </w:rPr>
        <w:t xml:space="preserve"> nie było inaczej</w:t>
      </w:r>
      <w:r w:rsidR="008320BB" w:rsidRPr="00EC250C">
        <w:rPr>
          <w:szCs w:val="22"/>
        </w:rPr>
        <w:t>. Wiele osób zgłaszało się</w:t>
      </w:r>
      <w:r w:rsidR="00992FD0" w:rsidRPr="00EC250C">
        <w:rPr>
          <w:szCs w:val="22"/>
        </w:rPr>
        <w:t xml:space="preserve"> z </w:t>
      </w:r>
      <w:r w:rsidR="008320BB" w:rsidRPr="00EC250C">
        <w:rPr>
          <w:szCs w:val="22"/>
        </w:rPr>
        <w:t>wnioskami</w:t>
      </w:r>
      <w:r w:rsidR="00992FD0" w:rsidRPr="00EC250C">
        <w:rPr>
          <w:szCs w:val="22"/>
        </w:rPr>
        <w:t xml:space="preserve"> o </w:t>
      </w:r>
      <w:r w:rsidR="008320BB" w:rsidRPr="00EC250C">
        <w:rPr>
          <w:szCs w:val="22"/>
        </w:rPr>
        <w:t xml:space="preserve">wniesienie kasacji, skarg kasacyjnych oraz </w:t>
      </w:r>
      <w:r w:rsidR="003B6489" w:rsidRPr="00EC250C">
        <w:rPr>
          <w:szCs w:val="22"/>
        </w:rPr>
        <w:t xml:space="preserve">skarg </w:t>
      </w:r>
      <w:r w:rsidR="008320BB" w:rsidRPr="00EC250C">
        <w:rPr>
          <w:szCs w:val="22"/>
        </w:rPr>
        <w:t>nadzwyczajnych, skarżąc się na błędne, niesprawiedliwe</w:t>
      </w:r>
      <w:r w:rsidR="00992FD0" w:rsidRPr="00EC250C">
        <w:rPr>
          <w:szCs w:val="22"/>
        </w:rPr>
        <w:t xml:space="preserve"> i </w:t>
      </w:r>
      <w:r w:rsidR="008320BB" w:rsidRPr="00EC250C">
        <w:rPr>
          <w:szCs w:val="22"/>
        </w:rPr>
        <w:t>niezrozumiałe rozstrzygnięcia.</w:t>
      </w:r>
    </w:p>
    <w:p w14:paraId="290844B7" w14:textId="77777777" w:rsidR="008320BB" w:rsidRPr="00EC250C" w:rsidRDefault="008320BB" w:rsidP="000D56AB">
      <w:pPr>
        <w:pStyle w:val="Styl1"/>
        <w:rPr>
          <w:szCs w:val="22"/>
        </w:rPr>
      </w:pPr>
      <w:r w:rsidRPr="00EC250C">
        <w:rPr>
          <w:szCs w:val="22"/>
        </w:rPr>
        <w:t>Obywatele skarżyli się także na przewlekłość post</w:t>
      </w:r>
      <w:r w:rsidR="00E41149" w:rsidRPr="00EC250C">
        <w:rPr>
          <w:szCs w:val="22"/>
        </w:rPr>
        <w:t>ę</w:t>
      </w:r>
      <w:r w:rsidRPr="00EC250C">
        <w:rPr>
          <w:szCs w:val="22"/>
        </w:rPr>
        <w:t>powań sądowych,</w:t>
      </w:r>
      <w:r w:rsidR="00992FD0" w:rsidRPr="00EC250C">
        <w:rPr>
          <w:szCs w:val="22"/>
        </w:rPr>
        <w:t xml:space="preserve"> w </w:t>
      </w:r>
      <w:r w:rsidRPr="00EC250C">
        <w:rPr>
          <w:szCs w:val="22"/>
        </w:rPr>
        <w:t xml:space="preserve">tym na długotrwałe czynności biegłych. Poruszali kwestię </w:t>
      </w:r>
      <w:r w:rsidR="003B6489" w:rsidRPr="00EC250C">
        <w:rPr>
          <w:szCs w:val="22"/>
        </w:rPr>
        <w:t xml:space="preserve">braku systemowej dostępności </w:t>
      </w:r>
      <w:r w:rsidRPr="00EC250C">
        <w:rPr>
          <w:szCs w:val="22"/>
        </w:rPr>
        <w:t>do adwokata</w:t>
      </w:r>
      <w:r w:rsidR="00992FD0" w:rsidRPr="00EC250C">
        <w:rPr>
          <w:szCs w:val="22"/>
        </w:rPr>
        <w:t xml:space="preserve"> w </w:t>
      </w:r>
      <w:r w:rsidRPr="00EC250C">
        <w:rPr>
          <w:szCs w:val="22"/>
        </w:rPr>
        <w:t>przypadku przesłuchania</w:t>
      </w:r>
      <w:r w:rsidR="003B6489" w:rsidRPr="00EC250C">
        <w:rPr>
          <w:szCs w:val="22"/>
        </w:rPr>
        <w:t xml:space="preserve"> osób mniej zamożnych</w:t>
      </w:r>
      <w:r w:rsidR="00992FD0" w:rsidRPr="00EC250C">
        <w:rPr>
          <w:szCs w:val="22"/>
        </w:rPr>
        <w:t xml:space="preserve"> i </w:t>
      </w:r>
      <w:r w:rsidR="003B6489" w:rsidRPr="00EC250C">
        <w:rPr>
          <w:szCs w:val="22"/>
        </w:rPr>
        <w:t>wykluczonych</w:t>
      </w:r>
      <w:r w:rsidRPr="00EC250C">
        <w:rPr>
          <w:szCs w:val="22"/>
        </w:rPr>
        <w:t xml:space="preserve">. </w:t>
      </w:r>
      <w:r w:rsidR="00735D16" w:rsidRPr="00EC250C">
        <w:rPr>
          <w:szCs w:val="22"/>
        </w:rPr>
        <w:t>Przychodziły też</w:t>
      </w:r>
      <w:r w:rsidR="00992FD0" w:rsidRPr="00EC250C">
        <w:rPr>
          <w:szCs w:val="22"/>
        </w:rPr>
        <w:t xml:space="preserve"> w </w:t>
      </w:r>
      <w:r w:rsidRPr="00EC250C">
        <w:rPr>
          <w:szCs w:val="22"/>
        </w:rPr>
        <w:t>2018 roku skargi na niewspółmiern</w:t>
      </w:r>
      <w:r w:rsidR="00735D16" w:rsidRPr="00EC250C">
        <w:rPr>
          <w:szCs w:val="22"/>
        </w:rPr>
        <w:t>e</w:t>
      </w:r>
      <w:r w:rsidRPr="00EC250C">
        <w:rPr>
          <w:szCs w:val="22"/>
        </w:rPr>
        <w:t xml:space="preserve"> </w:t>
      </w:r>
      <w:r w:rsidR="00735D16" w:rsidRPr="00EC250C">
        <w:rPr>
          <w:szCs w:val="22"/>
        </w:rPr>
        <w:t xml:space="preserve">do </w:t>
      </w:r>
      <w:r w:rsidRPr="00EC250C">
        <w:rPr>
          <w:szCs w:val="22"/>
        </w:rPr>
        <w:t>wysokości długu uciążliwości egzekucji komorników sądowych.</w:t>
      </w:r>
    </w:p>
    <w:p w14:paraId="3D40DADA" w14:textId="77777777" w:rsidR="008320BB" w:rsidRPr="00EC250C" w:rsidRDefault="00735D16" w:rsidP="000D56AB">
      <w:pPr>
        <w:pStyle w:val="Styl1"/>
        <w:rPr>
          <w:szCs w:val="22"/>
        </w:rPr>
      </w:pPr>
      <w:r w:rsidRPr="00EC250C">
        <w:rPr>
          <w:szCs w:val="22"/>
        </w:rPr>
        <w:t>Ludzie zgłaszali się</w:t>
      </w:r>
      <w:r w:rsidR="00992FD0" w:rsidRPr="00EC250C">
        <w:rPr>
          <w:szCs w:val="22"/>
        </w:rPr>
        <w:t xml:space="preserve"> z </w:t>
      </w:r>
      <w:r w:rsidR="008320BB" w:rsidRPr="00EC250C">
        <w:rPr>
          <w:szCs w:val="22"/>
        </w:rPr>
        <w:t>problem</w:t>
      </w:r>
      <w:r w:rsidRPr="00EC250C">
        <w:rPr>
          <w:szCs w:val="22"/>
        </w:rPr>
        <w:t>ami</w:t>
      </w:r>
      <w:r w:rsidR="008320BB" w:rsidRPr="00EC250C">
        <w:rPr>
          <w:szCs w:val="22"/>
        </w:rPr>
        <w:t xml:space="preserve">, które </w:t>
      </w:r>
      <w:r w:rsidRPr="00EC250C">
        <w:rPr>
          <w:szCs w:val="22"/>
        </w:rPr>
        <w:t>pojawiły się po wprowadzonych</w:t>
      </w:r>
      <w:r w:rsidR="00992FD0" w:rsidRPr="00EC250C">
        <w:rPr>
          <w:szCs w:val="22"/>
        </w:rPr>
        <w:t xml:space="preserve"> w </w:t>
      </w:r>
      <w:r w:rsidR="008320BB" w:rsidRPr="00EC250C">
        <w:rPr>
          <w:szCs w:val="22"/>
        </w:rPr>
        <w:t>kraju zmiana</w:t>
      </w:r>
      <w:r w:rsidR="003A4AD7" w:rsidRPr="00EC250C">
        <w:rPr>
          <w:szCs w:val="22"/>
        </w:rPr>
        <w:t>ch</w:t>
      </w:r>
      <w:r w:rsidR="00992FD0" w:rsidRPr="00EC250C">
        <w:rPr>
          <w:szCs w:val="22"/>
        </w:rPr>
        <w:t xml:space="preserve"> w </w:t>
      </w:r>
      <w:r w:rsidR="008320BB" w:rsidRPr="00EC250C">
        <w:rPr>
          <w:szCs w:val="22"/>
        </w:rPr>
        <w:t>systemie sądownictwa (zmiana pozycji Trybunału Konstytucyjnego, sposób wprowadzania zmian</w:t>
      </w:r>
      <w:r w:rsidR="00992FD0" w:rsidRPr="00EC250C">
        <w:rPr>
          <w:szCs w:val="22"/>
        </w:rPr>
        <w:t xml:space="preserve"> w </w:t>
      </w:r>
      <w:r w:rsidR="008320BB" w:rsidRPr="00EC250C">
        <w:rPr>
          <w:szCs w:val="22"/>
        </w:rPr>
        <w:t>ustawie</w:t>
      </w:r>
      <w:r w:rsidR="00992FD0" w:rsidRPr="00EC250C">
        <w:rPr>
          <w:szCs w:val="22"/>
        </w:rPr>
        <w:t xml:space="preserve"> o </w:t>
      </w:r>
      <w:r w:rsidR="008320BB" w:rsidRPr="00EC250C">
        <w:rPr>
          <w:szCs w:val="22"/>
        </w:rPr>
        <w:t>Sądzie Najwyższym</w:t>
      </w:r>
      <w:r w:rsidR="00992FD0" w:rsidRPr="00EC250C">
        <w:rPr>
          <w:szCs w:val="22"/>
        </w:rPr>
        <w:t xml:space="preserve"> i </w:t>
      </w:r>
      <w:r w:rsidR="008320BB" w:rsidRPr="00EC250C">
        <w:rPr>
          <w:szCs w:val="22"/>
        </w:rPr>
        <w:t>Krajowej Radzie Sądownictwa). To wszystko rodziło pytania nie tylko</w:t>
      </w:r>
      <w:r w:rsidR="00992FD0" w:rsidRPr="00EC250C">
        <w:rPr>
          <w:szCs w:val="22"/>
        </w:rPr>
        <w:t xml:space="preserve"> o </w:t>
      </w:r>
      <w:r w:rsidR="008320BB" w:rsidRPr="00EC250C">
        <w:rPr>
          <w:szCs w:val="22"/>
        </w:rPr>
        <w:t>przyszłość kraju, ale</w:t>
      </w:r>
      <w:r w:rsidR="00992FD0" w:rsidRPr="00EC250C">
        <w:rPr>
          <w:szCs w:val="22"/>
        </w:rPr>
        <w:t xml:space="preserve"> o </w:t>
      </w:r>
      <w:r w:rsidRPr="00EC250C">
        <w:rPr>
          <w:szCs w:val="22"/>
        </w:rPr>
        <w:t>to, do kogo można się zwrócić, kto może wydać niezależną od władz decyzję, kto może samodzielnie</w:t>
      </w:r>
      <w:r w:rsidR="00992FD0" w:rsidRPr="00EC250C">
        <w:rPr>
          <w:szCs w:val="22"/>
        </w:rPr>
        <w:t xml:space="preserve"> i </w:t>
      </w:r>
      <w:r w:rsidRPr="00EC250C">
        <w:rPr>
          <w:szCs w:val="22"/>
        </w:rPr>
        <w:t xml:space="preserve">bez lęku przyjrzeć </w:t>
      </w:r>
      <w:r w:rsidR="0086657F" w:rsidRPr="00EC250C">
        <w:rPr>
          <w:szCs w:val="22"/>
        </w:rPr>
        <w:t xml:space="preserve">się </w:t>
      </w:r>
      <w:r w:rsidRPr="00EC250C">
        <w:rPr>
          <w:szCs w:val="22"/>
        </w:rPr>
        <w:t>sprawie,</w:t>
      </w:r>
      <w:r w:rsidR="00992FD0" w:rsidRPr="00EC250C">
        <w:rPr>
          <w:szCs w:val="22"/>
        </w:rPr>
        <w:t xml:space="preserve"> z </w:t>
      </w:r>
      <w:r w:rsidRPr="00EC250C">
        <w:rPr>
          <w:szCs w:val="22"/>
        </w:rPr>
        <w:t>którą człowiek sobie nie radzi</w:t>
      </w:r>
      <w:r w:rsidR="008320BB" w:rsidRPr="00EC250C">
        <w:rPr>
          <w:szCs w:val="22"/>
        </w:rPr>
        <w:t>.</w:t>
      </w:r>
    </w:p>
    <w:p w14:paraId="7C18A3C6" w14:textId="77777777" w:rsidR="00C91F6E" w:rsidRPr="00EC250C" w:rsidRDefault="003B6489" w:rsidP="000D56AB">
      <w:pPr>
        <w:pStyle w:val="Styl1"/>
        <w:rPr>
          <w:szCs w:val="22"/>
        </w:rPr>
      </w:pPr>
      <w:r w:rsidRPr="00EC250C">
        <w:rPr>
          <w:szCs w:val="22"/>
        </w:rPr>
        <w:t>Niepokój obywateli wywoływały też działa</w:t>
      </w:r>
      <w:r w:rsidR="007D3DB5" w:rsidRPr="00EC250C">
        <w:rPr>
          <w:szCs w:val="22"/>
        </w:rPr>
        <w:t>nia</w:t>
      </w:r>
      <w:r w:rsidRPr="00EC250C">
        <w:rPr>
          <w:szCs w:val="22"/>
        </w:rPr>
        <w:t xml:space="preserve"> prokuratury, która doszukuje się naruszenia prawa</w:t>
      </w:r>
      <w:r w:rsidR="00992FD0" w:rsidRPr="00EC250C">
        <w:rPr>
          <w:szCs w:val="22"/>
        </w:rPr>
        <w:t xml:space="preserve"> w </w:t>
      </w:r>
      <w:r w:rsidRPr="00EC250C">
        <w:rPr>
          <w:szCs w:val="22"/>
        </w:rPr>
        <w:t>przypadku działalności niezgodnej</w:t>
      </w:r>
      <w:r w:rsidR="00992FD0" w:rsidRPr="00EC250C">
        <w:rPr>
          <w:szCs w:val="22"/>
        </w:rPr>
        <w:t xml:space="preserve"> z </w:t>
      </w:r>
      <w:r w:rsidRPr="00EC250C">
        <w:rPr>
          <w:szCs w:val="22"/>
        </w:rPr>
        <w:t>wolą</w:t>
      </w:r>
      <w:r w:rsidR="00992FD0" w:rsidRPr="00EC250C">
        <w:rPr>
          <w:szCs w:val="22"/>
        </w:rPr>
        <w:t xml:space="preserve"> i </w:t>
      </w:r>
      <w:r w:rsidRPr="00EC250C">
        <w:rPr>
          <w:szCs w:val="22"/>
        </w:rPr>
        <w:t>poglądami większości rządzącej.</w:t>
      </w:r>
    </w:p>
    <w:p w14:paraId="584FE72D" w14:textId="77777777" w:rsidR="00C91F6E" w:rsidRPr="00EC250C" w:rsidRDefault="008320BB" w:rsidP="00EC250C">
      <w:pPr>
        <w:pStyle w:val="Nagwek5"/>
      </w:pPr>
      <w:r w:rsidRPr="00EC250C">
        <w:t>Problemy rodzin,</w:t>
      </w:r>
      <w:r w:rsidR="00992FD0" w:rsidRPr="00EC250C">
        <w:t xml:space="preserve"> w </w:t>
      </w:r>
      <w:r w:rsidRPr="00EC250C">
        <w:t>tym rodzin</w:t>
      </w:r>
      <w:r w:rsidR="00992FD0" w:rsidRPr="00EC250C">
        <w:t xml:space="preserve"> w </w:t>
      </w:r>
      <w:r w:rsidRPr="00EC250C">
        <w:t>kryzysie</w:t>
      </w:r>
    </w:p>
    <w:p w14:paraId="0C649A1E" w14:textId="77777777" w:rsidR="008320BB" w:rsidRPr="00EC250C" w:rsidRDefault="008320BB" w:rsidP="000D56AB">
      <w:pPr>
        <w:pStyle w:val="Styl1"/>
        <w:rPr>
          <w:szCs w:val="22"/>
        </w:rPr>
      </w:pPr>
      <w:r w:rsidRPr="00EC250C">
        <w:rPr>
          <w:szCs w:val="22"/>
        </w:rPr>
        <w:t>Sprawy rodzinne zgłaszane</w:t>
      </w:r>
      <w:r w:rsidR="00992FD0" w:rsidRPr="00EC250C">
        <w:rPr>
          <w:szCs w:val="22"/>
        </w:rPr>
        <w:t xml:space="preserve"> w </w:t>
      </w:r>
      <w:r w:rsidRPr="00EC250C">
        <w:rPr>
          <w:szCs w:val="22"/>
        </w:rPr>
        <w:t>2018</w:t>
      </w:r>
      <w:r w:rsidR="00C91F6E" w:rsidRPr="00EC250C">
        <w:rPr>
          <w:szCs w:val="22"/>
        </w:rPr>
        <w:t> r.</w:t>
      </w:r>
      <w:r w:rsidRPr="00EC250C">
        <w:rPr>
          <w:szCs w:val="22"/>
        </w:rPr>
        <w:t xml:space="preserve"> dotyczyły</w:t>
      </w:r>
      <w:r w:rsidR="00992FD0" w:rsidRPr="00EC250C">
        <w:rPr>
          <w:szCs w:val="22"/>
        </w:rPr>
        <w:t xml:space="preserve"> w </w:t>
      </w:r>
      <w:r w:rsidRPr="00EC250C">
        <w:rPr>
          <w:szCs w:val="22"/>
        </w:rPr>
        <w:t>dużej mierze sporów byłych partnerów</w:t>
      </w:r>
      <w:r w:rsidR="00992FD0" w:rsidRPr="00EC250C">
        <w:rPr>
          <w:szCs w:val="22"/>
        </w:rPr>
        <w:t xml:space="preserve"> o </w:t>
      </w:r>
      <w:r w:rsidRPr="00EC250C">
        <w:rPr>
          <w:szCs w:val="22"/>
        </w:rPr>
        <w:t>prawo do opieki nad dziećmi,</w:t>
      </w:r>
      <w:r w:rsidR="00992FD0" w:rsidRPr="00EC250C">
        <w:rPr>
          <w:szCs w:val="22"/>
        </w:rPr>
        <w:t xml:space="preserve"> o </w:t>
      </w:r>
      <w:r w:rsidRPr="00EC250C">
        <w:rPr>
          <w:szCs w:val="22"/>
        </w:rPr>
        <w:t>prawo do kontaktów, kwestii przemocy</w:t>
      </w:r>
      <w:r w:rsidR="00992FD0" w:rsidRPr="00EC250C">
        <w:rPr>
          <w:szCs w:val="22"/>
        </w:rPr>
        <w:t xml:space="preserve"> w </w:t>
      </w:r>
      <w:r w:rsidRPr="00EC250C">
        <w:rPr>
          <w:szCs w:val="22"/>
        </w:rPr>
        <w:t>rodzinie, alimentów, rozwodów oraz wydawan</w:t>
      </w:r>
      <w:r w:rsidR="00FC0C3A" w:rsidRPr="00EC250C">
        <w:rPr>
          <w:szCs w:val="22"/>
        </w:rPr>
        <w:t>ia</w:t>
      </w:r>
      <w:r w:rsidRPr="00EC250C">
        <w:rPr>
          <w:szCs w:val="22"/>
        </w:rPr>
        <w:t xml:space="preserve"> przez sądy rodzinne zarządzeń opiekuńczych.</w:t>
      </w:r>
    </w:p>
    <w:p w14:paraId="0A79328A" w14:textId="77777777" w:rsidR="008320BB" w:rsidRPr="00EC250C" w:rsidRDefault="008320BB" w:rsidP="000D56AB">
      <w:pPr>
        <w:pStyle w:val="Styl1"/>
        <w:rPr>
          <w:szCs w:val="22"/>
        </w:rPr>
      </w:pPr>
      <w:r w:rsidRPr="00EC250C">
        <w:rPr>
          <w:szCs w:val="22"/>
        </w:rPr>
        <w:lastRenderedPageBreak/>
        <w:t>Ojcowie coraz wyraźniej zgłaszali potrzebę częstszych kontaktów</w:t>
      </w:r>
      <w:r w:rsidR="00992FD0" w:rsidRPr="00EC250C">
        <w:rPr>
          <w:szCs w:val="22"/>
        </w:rPr>
        <w:t xml:space="preserve"> z </w:t>
      </w:r>
      <w:r w:rsidRPr="00EC250C">
        <w:rPr>
          <w:szCs w:val="22"/>
        </w:rPr>
        <w:t xml:space="preserve">dziećmi także po rozpadzie małżeństwa. Tradycyjne podejście sądów rodzinnych do ról </w:t>
      </w:r>
      <w:r w:rsidR="003A4AD7" w:rsidRPr="00EC250C">
        <w:rPr>
          <w:szCs w:val="22"/>
        </w:rPr>
        <w:t>opiekuńczych</w:t>
      </w:r>
      <w:r w:rsidR="00992FD0" w:rsidRPr="00EC250C">
        <w:rPr>
          <w:szCs w:val="22"/>
        </w:rPr>
        <w:t xml:space="preserve"> i </w:t>
      </w:r>
      <w:r w:rsidRPr="00EC250C">
        <w:rPr>
          <w:szCs w:val="22"/>
        </w:rPr>
        <w:t>zawodowych przysparza ludziom coraz więcej kłopotów.</w:t>
      </w:r>
    </w:p>
    <w:p w14:paraId="6694901A" w14:textId="77777777" w:rsidR="008320BB" w:rsidRPr="00EC250C" w:rsidRDefault="008320BB" w:rsidP="000D56AB">
      <w:pPr>
        <w:pStyle w:val="Styl1"/>
        <w:rPr>
          <w:szCs w:val="22"/>
        </w:rPr>
      </w:pPr>
      <w:r w:rsidRPr="00EC250C">
        <w:rPr>
          <w:szCs w:val="22"/>
        </w:rPr>
        <w:t>Innym tematem zgłaszanym przez rodziców były skutki reformy szkolnictwa oraz kwestie dowozu dzieci do szkół.</w:t>
      </w:r>
    </w:p>
    <w:p w14:paraId="6C692995" w14:textId="77777777" w:rsidR="008320BB" w:rsidRPr="00EC250C" w:rsidRDefault="008320BB" w:rsidP="000D56AB">
      <w:pPr>
        <w:pStyle w:val="Styl1"/>
        <w:rPr>
          <w:szCs w:val="22"/>
        </w:rPr>
      </w:pPr>
      <w:r w:rsidRPr="00EC250C">
        <w:rPr>
          <w:szCs w:val="22"/>
        </w:rPr>
        <w:t>Coraz częściej wybrzmiewał też problem wykluczenia transportowego – braku transportu publicznego, przez co osoby bez samochodów nie mają jak dojechać do lekarza, urzędu</w:t>
      </w:r>
      <w:r w:rsidR="00E41149" w:rsidRPr="00EC250C">
        <w:rPr>
          <w:szCs w:val="22"/>
        </w:rPr>
        <w:t>,</w:t>
      </w:r>
      <w:r w:rsidR="00992FD0" w:rsidRPr="00EC250C">
        <w:rPr>
          <w:szCs w:val="22"/>
        </w:rPr>
        <w:t xml:space="preserve"> a </w:t>
      </w:r>
      <w:r w:rsidRPr="00EC250C">
        <w:rPr>
          <w:szCs w:val="22"/>
        </w:rPr>
        <w:t>nawet do szkoły (wybór szkoły zależy od tego, jak się da do niej dojechać)</w:t>
      </w:r>
      <w:r w:rsidR="00CC4D88" w:rsidRPr="00EC250C">
        <w:rPr>
          <w:szCs w:val="22"/>
        </w:rPr>
        <w:t>.</w:t>
      </w:r>
    </w:p>
    <w:p w14:paraId="196D27CD" w14:textId="77777777" w:rsidR="008320BB" w:rsidRPr="00EC250C" w:rsidRDefault="008320BB" w:rsidP="00EC250C">
      <w:pPr>
        <w:pStyle w:val="Nagwek5"/>
      </w:pPr>
      <w:r w:rsidRPr="00EC250C">
        <w:t>Za niskie emerytury</w:t>
      </w:r>
      <w:r w:rsidR="00992FD0" w:rsidRPr="00EC250C">
        <w:t xml:space="preserve"> i </w:t>
      </w:r>
      <w:r w:rsidRPr="00EC250C">
        <w:t>renty</w:t>
      </w:r>
    </w:p>
    <w:p w14:paraId="0B9CA1E4" w14:textId="77777777" w:rsidR="0044194B" w:rsidRPr="00EC250C" w:rsidRDefault="00317CAC" w:rsidP="000D56AB">
      <w:pPr>
        <w:pStyle w:val="Styl1"/>
      </w:pPr>
      <w:r w:rsidRPr="00EC250C">
        <w:t>Znaczna część wniosków kierowanych do RPO</w:t>
      </w:r>
      <w:r w:rsidR="00992FD0" w:rsidRPr="00EC250C">
        <w:t xml:space="preserve"> w </w:t>
      </w:r>
      <w:r w:rsidRPr="00EC250C">
        <w:t>2018</w:t>
      </w:r>
      <w:r w:rsidR="00C91F6E" w:rsidRPr="00EC250C">
        <w:t> r.</w:t>
      </w:r>
      <w:r w:rsidRPr="00EC250C">
        <w:t xml:space="preserve"> dotyczyła skarg na działalność organów rentowych.</w:t>
      </w:r>
      <w:r w:rsidR="0044194B" w:rsidRPr="00EC250C">
        <w:t xml:space="preserve"> Bardzo wiele skarg dotyczyło emerytur kobiet</w:t>
      </w:r>
      <w:r w:rsidR="00992FD0" w:rsidRPr="00EC250C">
        <w:t xml:space="preserve"> z </w:t>
      </w:r>
      <w:r w:rsidR="0044194B" w:rsidRPr="00EC250C">
        <w:t xml:space="preserve">rocznika 1953 (w ich przypadku fakt pobierania wcześniejszej emerytury wpływa na wysokość emerytury </w:t>
      </w:r>
      <w:r w:rsidR="00ED57EA" w:rsidRPr="00EC250C">
        <w:t>powszechnej</w:t>
      </w:r>
      <w:r w:rsidR="0044194B" w:rsidRPr="00EC250C">
        <w:t>; już</w:t>
      </w:r>
      <w:r w:rsidR="00992FD0" w:rsidRPr="00EC250C">
        <w:t xml:space="preserve"> w </w:t>
      </w:r>
      <w:r w:rsidR="0044194B" w:rsidRPr="00EC250C">
        <w:t>2019</w:t>
      </w:r>
      <w:r w:rsidR="00C91F6E" w:rsidRPr="00EC250C">
        <w:t> r.</w:t>
      </w:r>
      <w:r w:rsidR="0044194B" w:rsidRPr="00EC250C">
        <w:t xml:space="preserve"> Trybunał Konstytucyjny uznał te przepisy za niezgodne</w:t>
      </w:r>
      <w:r w:rsidR="00992FD0" w:rsidRPr="00EC250C">
        <w:t xml:space="preserve"> z </w:t>
      </w:r>
      <w:r w:rsidR="0044194B" w:rsidRPr="00EC250C">
        <w:t>Konstytucją</w:t>
      </w:r>
      <w:r w:rsidR="00ED57EA" w:rsidRPr="00EC250C">
        <w:t>, ale bez zmiany ustawy sytuacja większości zainteresowanych się nie poprawi</w:t>
      </w:r>
      <w:r w:rsidR="0044194B" w:rsidRPr="00EC250C">
        <w:t>).</w:t>
      </w:r>
    </w:p>
    <w:p w14:paraId="12FB6712" w14:textId="77777777" w:rsidR="0044194B" w:rsidRPr="00EC250C" w:rsidRDefault="0044194B" w:rsidP="000D56AB">
      <w:pPr>
        <w:pStyle w:val="Styl1"/>
      </w:pPr>
      <w:r w:rsidRPr="00EC250C">
        <w:t>Dotkliwym problemem jest długotrwałość postępowań</w:t>
      </w:r>
      <w:r w:rsidR="00992FD0" w:rsidRPr="00EC250C">
        <w:t xml:space="preserve"> w </w:t>
      </w:r>
      <w:r w:rsidRPr="00EC250C">
        <w:t>sprawach</w:t>
      </w:r>
      <w:r w:rsidR="00992FD0" w:rsidRPr="00EC250C">
        <w:t xml:space="preserve"> o </w:t>
      </w:r>
      <w:r w:rsidRPr="00EC250C">
        <w:t>ustalenie prawa do świadczeń rodzinnych oraz świadczenia wychowawczego, objętych koordynacją systemów zabezpieczenia społecznego  (wypłata świadczeń</w:t>
      </w:r>
      <w:r w:rsidR="00992FD0" w:rsidRPr="00EC250C">
        <w:t xml:space="preserve"> w </w:t>
      </w:r>
      <w:r w:rsidRPr="00EC250C">
        <w:t>sytuacji, gdy jedna</w:t>
      </w:r>
      <w:r w:rsidR="00992FD0" w:rsidRPr="00EC250C">
        <w:t xml:space="preserve"> z </w:t>
      </w:r>
      <w:r w:rsidRPr="00EC250C">
        <w:t>uprawionych do nich osób pracuje</w:t>
      </w:r>
      <w:r w:rsidR="00992FD0" w:rsidRPr="00EC250C">
        <w:t xml:space="preserve"> w </w:t>
      </w:r>
      <w:r w:rsidRPr="00EC250C">
        <w:t>innym kraju Unii).</w:t>
      </w:r>
    </w:p>
    <w:p w14:paraId="51ADDCB4" w14:textId="77777777" w:rsidR="00C91F6E" w:rsidRPr="00EC250C" w:rsidRDefault="0044194B" w:rsidP="000D56AB">
      <w:pPr>
        <w:pStyle w:val="Styl1"/>
      </w:pPr>
      <w:r w:rsidRPr="00EC250C">
        <w:t>Wpływały również wnioski dotyczące problemów wynikających</w:t>
      </w:r>
      <w:r w:rsidR="00992FD0" w:rsidRPr="00EC250C">
        <w:t xml:space="preserve"> z </w:t>
      </w:r>
      <w:r w:rsidRPr="00EC250C">
        <w:t>braku świadczeń emerytalnych dla artystów i,</w:t>
      </w:r>
      <w:r w:rsidR="00992FD0" w:rsidRPr="00EC250C">
        <w:t xml:space="preserve"> a </w:t>
      </w:r>
      <w:r w:rsidRPr="00EC250C">
        <w:t>także problem</w:t>
      </w:r>
      <w:r w:rsidR="00992FD0" w:rsidRPr="00EC250C">
        <w:t xml:space="preserve"> z </w:t>
      </w:r>
      <w:r w:rsidRPr="00EC250C">
        <w:t>dostępnością deputatów węglowych</w:t>
      </w:r>
      <w:r w:rsidR="00ED57EA" w:rsidRPr="00EC250C">
        <w:t xml:space="preserve"> dla emerytów</w:t>
      </w:r>
      <w:r w:rsidRPr="00EC250C">
        <w:t>.</w:t>
      </w:r>
    </w:p>
    <w:p w14:paraId="15F8C3F4" w14:textId="77777777" w:rsidR="0044194B" w:rsidRPr="00EC250C" w:rsidRDefault="0044194B" w:rsidP="000D56AB">
      <w:pPr>
        <w:pStyle w:val="Styl1"/>
      </w:pPr>
      <w:r w:rsidRPr="00EC250C">
        <w:t>W dalszym ciągu aktualne</w:t>
      </w:r>
      <w:r w:rsidR="00992FD0" w:rsidRPr="00EC250C">
        <w:t xml:space="preserve"> i </w:t>
      </w:r>
      <w:r w:rsidRPr="00EC250C">
        <w:t>budzące społeczny sprzeciw były kwestie tzw. ustawy represyjnej</w:t>
      </w:r>
      <w:r w:rsidR="00992FD0" w:rsidRPr="00EC250C">
        <w:t xml:space="preserve"> z </w:t>
      </w:r>
      <w:r w:rsidRPr="00EC250C">
        <w:t>16 grudnia 2016</w:t>
      </w:r>
      <w:r w:rsidR="00C91F6E" w:rsidRPr="00EC250C">
        <w:t> r.</w:t>
      </w:r>
      <w:r w:rsidRPr="00EC250C">
        <w:t xml:space="preserve"> powodującej obniżenie wysokości świadczeń emerytalnych za pracę</w:t>
      </w:r>
      <w:r w:rsidR="00992FD0" w:rsidRPr="00EC250C">
        <w:t xml:space="preserve"> w </w:t>
      </w:r>
      <w:r w:rsidRPr="00EC250C">
        <w:t>strukturach podległych MSW przed 1990</w:t>
      </w:r>
      <w:r w:rsidR="00C91F6E" w:rsidRPr="00EC250C">
        <w:t> r.</w:t>
      </w:r>
    </w:p>
    <w:p w14:paraId="038223F6" w14:textId="77777777" w:rsidR="00C91F6E" w:rsidRPr="00EC250C" w:rsidRDefault="008320BB" w:rsidP="00EC250C">
      <w:pPr>
        <w:pStyle w:val="Nagwek5"/>
      </w:pPr>
      <w:r w:rsidRPr="00EC250C">
        <w:t>Skargi osób</w:t>
      </w:r>
      <w:r w:rsidR="00992FD0" w:rsidRPr="00EC250C">
        <w:t xml:space="preserve"> z </w:t>
      </w:r>
      <w:r w:rsidRPr="00EC250C">
        <w:t>niepełnosprawnościami</w:t>
      </w:r>
    </w:p>
    <w:p w14:paraId="32AA5050" w14:textId="77777777" w:rsidR="00C91F6E" w:rsidRPr="00EC250C" w:rsidRDefault="008320BB" w:rsidP="000D56AB">
      <w:pPr>
        <w:pStyle w:val="Styl1"/>
      </w:pPr>
      <w:r w:rsidRPr="00EC250C">
        <w:t>Protest Rodziców Osób</w:t>
      </w:r>
      <w:r w:rsidR="00992FD0" w:rsidRPr="00EC250C">
        <w:t xml:space="preserve"> z </w:t>
      </w:r>
      <w:r w:rsidRPr="00EC250C">
        <w:t>Niepełnosprawnościami</w:t>
      </w:r>
      <w:r w:rsidR="00992FD0" w:rsidRPr="00EC250C">
        <w:t xml:space="preserve"> w </w:t>
      </w:r>
      <w:r w:rsidRPr="00EC250C">
        <w:t>Sejmie</w:t>
      </w:r>
      <w:r w:rsidR="00992FD0" w:rsidRPr="00EC250C">
        <w:t xml:space="preserve"> w </w:t>
      </w:r>
      <w:r w:rsidR="00E41149" w:rsidRPr="00EC250C">
        <w:t>2018</w:t>
      </w:r>
      <w:r w:rsidR="00C91F6E" w:rsidRPr="00EC250C">
        <w:t> r.</w:t>
      </w:r>
      <w:r w:rsidR="00E41149" w:rsidRPr="00EC250C">
        <w:t xml:space="preserve"> </w:t>
      </w:r>
      <w:r w:rsidRPr="00EC250C">
        <w:t>sprawił, że ludzie, którzy wcześniej nie potrafili nazwać swojego problemu, zidentyfikować jego przyczyn, zaczęli głośno mówić</w:t>
      </w:r>
      <w:r w:rsidR="00992FD0" w:rsidRPr="00EC250C">
        <w:t xml:space="preserve"> o </w:t>
      </w:r>
      <w:r w:rsidRPr="00EC250C">
        <w:t>łamaniu ich praw. Była to istotna zmiana</w:t>
      </w:r>
      <w:r w:rsidR="00992FD0" w:rsidRPr="00EC250C">
        <w:t xml:space="preserve"> w </w:t>
      </w:r>
      <w:r w:rsidRPr="00EC250C">
        <w:t>stosunku do lat ubiegłych.</w:t>
      </w:r>
    </w:p>
    <w:p w14:paraId="4AD7CC87" w14:textId="77777777" w:rsidR="00C91F6E" w:rsidRPr="00EC250C" w:rsidRDefault="008320BB" w:rsidP="000D56AB">
      <w:pPr>
        <w:pStyle w:val="Styl1"/>
      </w:pPr>
      <w:r w:rsidRPr="00EC250C">
        <w:t xml:space="preserve">Skargi kierowane do </w:t>
      </w:r>
      <w:r w:rsidR="00E41149" w:rsidRPr="00EC250C">
        <w:t>B</w:t>
      </w:r>
      <w:r w:rsidRPr="00EC250C">
        <w:t>iur</w:t>
      </w:r>
      <w:r w:rsidR="00E41149" w:rsidRPr="00EC250C">
        <w:t>a</w:t>
      </w:r>
      <w:r w:rsidRPr="00EC250C">
        <w:t xml:space="preserve"> RPO </w:t>
      </w:r>
      <w:r w:rsidR="0086657F" w:rsidRPr="00EC250C">
        <w:t xml:space="preserve">dotyczyły </w:t>
      </w:r>
      <w:r w:rsidRPr="00EC250C">
        <w:t>też bardzo złego funkcjonowania systemu orzecznictwa</w:t>
      </w:r>
      <w:r w:rsidR="00992FD0" w:rsidRPr="00EC250C">
        <w:t xml:space="preserve"> o </w:t>
      </w:r>
      <w:r w:rsidRPr="00EC250C">
        <w:t>niepełnosprawności, warunków przewożenia osób</w:t>
      </w:r>
      <w:r w:rsidR="00992FD0" w:rsidRPr="00EC250C">
        <w:t xml:space="preserve"> z </w:t>
      </w:r>
      <w:r w:rsidRPr="00EC250C">
        <w:t>niepełnosprawnością ruchową na dłuższych trasach kolejowych, lub odmowy uwzględnienia prawa do zniżek.</w:t>
      </w:r>
    </w:p>
    <w:p w14:paraId="53CE2B1D" w14:textId="77777777" w:rsidR="000018E2" w:rsidRPr="00EC250C" w:rsidRDefault="000018E2" w:rsidP="00EC250C">
      <w:pPr>
        <w:pStyle w:val="Nagwek5"/>
      </w:pPr>
      <w:r w:rsidRPr="00EC250C">
        <w:t>Niedostatki opieki zdrowotnej</w:t>
      </w:r>
    </w:p>
    <w:p w14:paraId="2758C9BC" w14:textId="77777777" w:rsidR="0086657F" w:rsidRPr="00EC250C" w:rsidRDefault="0086657F" w:rsidP="000D56AB">
      <w:pPr>
        <w:pStyle w:val="Styl1"/>
      </w:pPr>
      <w:r w:rsidRPr="00EC250C">
        <w:t>Dość często były także zgłaszane problemy</w:t>
      </w:r>
      <w:r w:rsidR="00992FD0" w:rsidRPr="00EC250C">
        <w:t xml:space="preserve"> z </w:t>
      </w:r>
      <w:r w:rsidRPr="00EC250C">
        <w:t>dostępem do usług medycznych</w:t>
      </w:r>
      <w:r w:rsidR="00992FD0" w:rsidRPr="00EC250C">
        <w:t xml:space="preserve"> i </w:t>
      </w:r>
      <w:r w:rsidRPr="00EC250C">
        <w:t xml:space="preserve">niedziałaniem programu leczenia osób przewlekle chorych. Coraz wyraźniej uwydatnia się też problem braku </w:t>
      </w:r>
      <w:r w:rsidRPr="00EC250C">
        <w:lastRenderedPageBreak/>
        <w:t>równego</w:t>
      </w:r>
      <w:r w:rsidR="00992FD0" w:rsidRPr="00EC250C">
        <w:t xml:space="preserve"> w </w:t>
      </w:r>
      <w:r w:rsidRPr="00EC250C">
        <w:t>skali kraju dostępu do służby zdrowia,</w:t>
      </w:r>
      <w:r w:rsidR="00992FD0" w:rsidRPr="00EC250C">
        <w:t xml:space="preserve"> a </w:t>
      </w:r>
      <w:r w:rsidRPr="00EC250C">
        <w:t>także jej niewydolności oraz niedostosowania do potrzeb wielu grup pacjentów. Wiele nowoczesnych leków nie jest nadal refundowanych.</w:t>
      </w:r>
    </w:p>
    <w:p w14:paraId="143FEEBE" w14:textId="77777777" w:rsidR="000018E2" w:rsidRPr="00EC250C" w:rsidRDefault="003B6489" w:rsidP="000D56AB">
      <w:pPr>
        <w:pStyle w:val="Styl1"/>
      </w:pPr>
      <w:r w:rsidRPr="00EC250C">
        <w:t>Eksperci Biura RPO monitorujący sytuację</w:t>
      </w:r>
      <w:r w:rsidR="00992FD0" w:rsidRPr="00EC250C">
        <w:t xml:space="preserve"> w </w:t>
      </w:r>
      <w:r w:rsidRPr="00EC250C">
        <w:t>miejscach pozbawienia wolności zauważali problemy o</w:t>
      </w:r>
      <w:r w:rsidR="000018E2" w:rsidRPr="00EC250C">
        <w:t>s</w:t>
      </w:r>
      <w:r w:rsidRPr="00EC250C">
        <w:t>ó</w:t>
      </w:r>
      <w:r w:rsidR="000018E2" w:rsidRPr="00EC250C">
        <w:t>b przebywając</w:t>
      </w:r>
      <w:r w:rsidRPr="00EC250C">
        <w:t>ych</w:t>
      </w:r>
      <w:r w:rsidR="00992FD0" w:rsidRPr="00EC250C">
        <w:t xml:space="preserve"> w </w:t>
      </w:r>
      <w:r w:rsidR="000018E2" w:rsidRPr="00EC250C">
        <w:t xml:space="preserve">domach </w:t>
      </w:r>
      <w:r w:rsidRPr="00EC250C">
        <w:t>opieki</w:t>
      </w:r>
      <w:r w:rsidR="00992FD0" w:rsidRPr="00EC250C">
        <w:t xml:space="preserve"> i </w:t>
      </w:r>
      <w:r w:rsidR="000018E2" w:rsidRPr="00EC250C">
        <w:t xml:space="preserve">pomocy społecznej </w:t>
      </w:r>
      <w:r w:rsidRPr="00EC250C">
        <w:t xml:space="preserve">(jeśli </w:t>
      </w:r>
      <w:r w:rsidR="00FC0C3A" w:rsidRPr="00EC250C">
        <w:t xml:space="preserve">osoby te </w:t>
      </w:r>
      <w:r w:rsidRPr="00EC250C">
        <w:t>nie mogą takiego ośrodka opuścić, zakładamy, że należą do grupy osób narażonych na złe traktowanie</w:t>
      </w:r>
      <w:r w:rsidR="00992FD0" w:rsidRPr="00EC250C">
        <w:t xml:space="preserve"> i </w:t>
      </w:r>
      <w:r w:rsidRPr="00EC250C">
        <w:t>sprawdzamy ich warunki pobytu)</w:t>
      </w:r>
      <w:r w:rsidR="00992FD0" w:rsidRPr="00EC250C">
        <w:t xml:space="preserve"> w </w:t>
      </w:r>
      <w:r w:rsidRPr="00EC250C">
        <w:t xml:space="preserve">związku ze </w:t>
      </w:r>
      <w:r w:rsidR="000018E2" w:rsidRPr="00EC250C">
        <w:t>spos</w:t>
      </w:r>
      <w:r w:rsidRPr="00EC250C">
        <w:t>obem</w:t>
      </w:r>
      <w:r w:rsidR="000018E2" w:rsidRPr="00EC250C">
        <w:t xml:space="preserve"> traktowania ich przez przedstawicieli organów administracji publicznej. Starzenie się społeczeństwa sprawia, że takich skarg będzie więcej.</w:t>
      </w:r>
    </w:p>
    <w:p w14:paraId="73B6A066" w14:textId="77777777" w:rsidR="0086657F" w:rsidRPr="00EC250C" w:rsidRDefault="0086657F" w:rsidP="00EC250C">
      <w:pPr>
        <w:pStyle w:val="Nagwek5"/>
      </w:pPr>
      <w:r w:rsidRPr="00EC250C">
        <w:t>Kłopoty mieszkaniowe</w:t>
      </w:r>
    </w:p>
    <w:p w14:paraId="40345DCB" w14:textId="77777777" w:rsidR="00C91F6E" w:rsidRPr="00EC250C" w:rsidRDefault="0086657F" w:rsidP="000D56AB">
      <w:pPr>
        <w:pStyle w:val="Styl1"/>
      </w:pPr>
      <w:r w:rsidRPr="00EC250C">
        <w:t>Sprawy mieszkaniowe dotyczyły głównie złego stanu technicznego lokali komunalnych, zbyt długiego czasu oczekiwania na lokale socjalne, sporów sąsiedzkich, skarg na spółdzielnie mieszkaniowe</w:t>
      </w:r>
      <w:r w:rsidR="00992FD0" w:rsidRPr="00EC250C">
        <w:t xml:space="preserve"> i </w:t>
      </w:r>
      <w:r w:rsidRPr="00EC250C">
        <w:t>wspólnoty mieszkaniowe.</w:t>
      </w:r>
    </w:p>
    <w:p w14:paraId="33FF0E96" w14:textId="77777777" w:rsidR="00C91F6E" w:rsidRPr="00EC250C" w:rsidRDefault="0086657F" w:rsidP="000D56AB">
      <w:pPr>
        <w:pStyle w:val="Styl1"/>
      </w:pPr>
      <w:r w:rsidRPr="00EC250C">
        <w:t>W wielu skargach obywatele krytycznie oceniali działanie nadzoru budowlanego, wskazując na jego opieszałość oraz brak skuteczności działania.</w:t>
      </w:r>
    </w:p>
    <w:p w14:paraId="5ADF622A" w14:textId="77777777" w:rsidR="0086657F" w:rsidRPr="00EC250C" w:rsidRDefault="0086657F" w:rsidP="00EC250C">
      <w:pPr>
        <w:pStyle w:val="Nagwek5"/>
      </w:pPr>
      <w:r w:rsidRPr="00EC250C">
        <w:t>Działalność gospodarcza</w:t>
      </w:r>
    </w:p>
    <w:p w14:paraId="46C5BEA6" w14:textId="77777777" w:rsidR="0086657F" w:rsidRPr="00EC250C" w:rsidRDefault="0086657F" w:rsidP="000D56AB">
      <w:pPr>
        <w:pStyle w:val="Styl1"/>
        <w:rPr>
          <w:szCs w:val="22"/>
        </w:rPr>
      </w:pPr>
      <w:r w:rsidRPr="00EC250C">
        <w:rPr>
          <w:szCs w:val="22"/>
        </w:rPr>
        <w:t>Coraz częściej podnoszono sprawy</w:t>
      </w:r>
      <w:r w:rsidR="00992FD0" w:rsidRPr="00EC250C">
        <w:rPr>
          <w:szCs w:val="22"/>
        </w:rPr>
        <w:t xml:space="preserve"> z </w:t>
      </w:r>
      <w:r w:rsidRPr="00EC250C">
        <w:rPr>
          <w:szCs w:val="22"/>
        </w:rPr>
        <w:t>zakresu praw konsumenta,</w:t>
      </w:r>
      <w:r w:rsidR="00992FD0" w:rsidRPr="00EC250C">
        <w:rPr>
          <w:szCs w:val="22"/>
        </w:rPr>
        <w:t xml:space="preserve"> w </w:t>
      </w:r>
      <w:r w:rsidRPr="00EC250C">
        <w:rPr>
          <w:szCs w:val="22"/>
        </w:rPr>
        <w:t>szczególności dotyczące nieuczciwych praktyk zawierania umów na specjalnie organizowanych spotkaniach lub na odległość przez telefon. Nadal osoby starsze nie są dostatecznie chronione.</w:t>
      </w:r>
    </w:p>
    <w:p w14:paraId="2B2FB488" w14:textId="77777777" w:rsidR="00ED57EA" w:rsidRPr="00EC250C" w:rsidRDefault="00ED57EA" w:rsidP="00D131FA">
      <w:pPr>
        <w:pStyle w:val="Styl1"/>
        <w:rPr>
          <w:szCs w:val="22"/>
        </w:rPr>
      </w:pPr>
      <w:r w:rsidRPr="00EC250C">
        <w:rPr>
          <w:szCs w:val="22"/>
        </w:rPr>
        <w:t>Rzecznik zaczął też otrzymywać wnioski</w:t>
      </w:r>
      <w:r w:rsidR="00992FD0" w:rsidRPr="00EC250C">
        <w:rPr>
          <w:szCs w:val="22"/>
        </w:rPr>
        <w:t xml:space="preserve"> o </w:t>
      </w:r>
      <w:r w:rsidRPr="00EC250C">
        <w:rPr>
          <w:szCs w:val="22"/>
        </w:rPr>
        <w:t>wniesienie skargi nadzwyczajnej</w:t>
      </w:r>
      <w:r w:rsidR="00992FD0" w:rsidRPr="00EC250C">
        <w:rPr>
          <w:szCs w:val="22"/>
        </w:rPr>
        <w:t xml:space="preserve"> w </w:t>
      </w:r>
      <w:r w:rsidRPr="00EC250C">
        <w:rPr>
          <w:szCs w:val="22"/>
        </w:rPr>
        <w:t>sprawach kredytów tzw. „frankowych”.</w:t>
      </w:r>
    </w:p>
    <w:p w14:paraId="602D9128" w14:textId="77777777" w:rsidR="00C91F6E" w:rsidRPr="00EC250C" w:rsidRDefault="0086657F" w:rsidP="00D131FA">
      <w:pPr>
        <w:pStyle w:val="Styl1"/>
        <w:rPr>
          <w:szCs w:val="22"/>
        </w:rPr>
      </w:pPr>
      <w:r w:rsidRPr="00EC250C">
        <w:rPr>
          <w:szCs w:val="22"/>
        </w:rPr>
        <w:t>Z zakresu problematyki prawa administracyjnego wpływały skargi dotyczące utrudnień</w:t>
      </w:r>
      <w:r w:rsidR="00992FD0" w:rsidRPr="00EC250C">
        <w:rPr>
          <w:szCs w:val="22"/>
        </w:rPr>
        <w:t xml:space="preserve"> w </w:t>
      </w:r>
      <w:r w:rsidRPr="00EC250C">
        <w:rPr>
          <w:szCs w:val="22"/>
        </w:rPr>
        <w:t>prowadzeniu działalności gospodarczej wskutek działań urzędów celnych oraz urzędów skarbowych. Zgłaszano również skargi konsumenckie.</w:t>
      </w:r>
    </w:p>
    <w:p w14:paraId="4F269DDF" w14:textId="77777777" w:rsidR="00C91F6E" w:rsidRPr="00EC250C" w:rsidRDefault="008320BB" w:rsidP="00EC250C">
      <w:pPr>
        <w:pStyle w:val="Nagwek5"/>
      </w:pPr>
      <w:r w:rsidRPr="00EC250C">
        <w:t>Problem skażenia środowiska</w:t>
      </w:r>
    </w:p>
    <w:p w14:paraId="178354E6" w14:textId="77777777" w:rsidR="008320BB" w:rsidRPr="00EC250C" w:rsidRDefault="008320BB" w:rsidP="00D131FA">
      <w:pPr>
        <w:pStyle w:val="Styl1"/>
      </w:pPr>
      <w:r w:rsidRPr="00EC250C">
        <w:t>Problem narastającego smogu, uciążliwego odoru</w:t>
      </w:r>
      <w:r w:rsidR="00992FD0" w:rsidRPr="00EC250C">
        <w:t xml:space="preserve"> i </w:t>
      </w:r>
      <w:r w:rsidRPr="00EC250C">
        <w:t xml:space="preserve">hałasu </w:t>
      </w:r>
      <w:r w:rsidR="003A4AD7" w:rsidRPr="00EC250C">
        <w:t xml:space="preserve">coraz częściej jest przekazywany do </w:t>
      </w:r>
      <w:r w:rsidR="00073A8C" w:rsidRPr="00EC250C">
        <w:t>RPO</w:t>
      </w:r>
      <w:r w:rsidRPr="00EC250C">
        <w:t xml:space="preserve">. </w:t>
      </w:r>
      <w:r w:rsidR="000018E2" w:rsidRPr="00EC250C">
        <w:t>Ludzie chcą</w:t>
      </w:r>
      <w:r w:rsidRPr="00EC250C">
        <w:t xml:space="preserve"> upewnić się, że</w:t>
      </w:r>
      <w:r w:rsidR="00992FD0" w:rsidRPr="00EC250C">
        <w:t xml:space="preserve"> w </w:t>
      </w:r>
      <w:r w:rsidRPr="00EC250C">
        <w:t>istocie zanieczyszczenie środowiska narusza ich prawa. W 2018</w:t>
      </w:r>
      <w:r w:rsidR="00C91F6E" w:rsidRPr="00EC250C">
        <w:t> r.</w:t>
      </w:r>
      <w:r w:rsidRPr="00EC250C">
        <w:t xml:space="preserve"> powracały też tematy farm wiatrowych</w:t>
      </w:r>
      <w:r w:rsidR="00992FD0" w:rsidRPr="00EC250C">
        <w:t xml:space="preserve"> i </w:t>
      </w:r>
      <w:r w:rsidRPr="00EC250C">
        <w:t>uciążliwych inwestycji (rzecznicy praw obywatelskich od 10 lat zabiegają</w:t>
      </w:r>
      <w:r w:rsidR="00992FD0" w:rsidRPr="00EC250C">
        <w:t xml:space="preserve"> o </w:t>
      </w:r>
      <w:r w:rsidRPr="00EC250C">
        <w:t>wprowadzenie ustawy antyodorowej). Podnoszono także nieprawidłowości przy budowaniu linii wysokiego napięcia</w:t>
      </w:r>
      <w:r w:rsidR="00992FD0" w:rsidRPr="00EC250C">
        <w:t xml:space="preserve"> i </w:t>
      </w:r>
      <w:r w:rsidRPr="00EC250C">
        <w:t>inwestycjach drogowych (chodzi m.in.</w:t>
      </w:r>
      <w:r w:rsidR="00992FD0" w:rsidRPr="00EC250C">
        <w:t xml:space="preserve"> o </w:t>
      </w:r>
      <w:r w:rsidRPr="00EC250C">
        <w:t>ekrany chroniące przed hałasem,</w:t>
      </w:r>
      <w:r w:rsidR="00992FD0" w:rsidRPr="00EC250C">
        <w:t xml:space="preserve"> a </w:t>
      </w:r>
      <w:r w:rsidRPr="00EC250C">
        <w:t>także</w:t>
      </w:r>
      <w:r w:rsidR="00992FD0" w:rsidRPr="00EC250C">
        <w:t xml:space="preserve"> o </w:t>
      </w:r>
      <w:r w:rsidRPr="00EC250C">
        <w:t>brak bezpiecznych przejść przez drogi, na których ruch jest większy</w:t>
      </w:r>
      <w:r w:rsidR="00992FD0" w:rsidRPr="00EC250C">
        <w:t xml:space="preserve"> i </w:t>
      </w:r>
      <w:r w:rsidRPr="00EC250C">
        <w:t>szybszy).</w:t>
      </w:r>
    </w:p>
    <w:p w14:paraId="245CA9B6" w14:textId="77777777" w:rsidR="00C91F6E" w:rsidRPr="00EC250C" w:rsidRDefault="008320BB" w:rsidP="00D131FA">
      <w:pPr>
        <w:pStyle w:val="Styl1"/>
      </w:pPr>
      <w:r w:rsidRPr="00EC250C">
        <w:t>Jednym</w:t>
      </w:r>
      <w:r w:rsidR="00992FD0" w:rsidRPr="00EC250C">
        <w:t xml:space="preserve"> z </w:t>
      </w:r>
      <w:r w:rsidRPr="00EC250C">
        <w:t>gorących tematów zgłaszanych</w:t>
      </w:r>
      <w:r w:rsidR="00992FD0" w:rsidRPr="00EC250C">
        <w:t xml:space="preserve"> w </w:t>
      </w:r>
      <w:r w:rsidRPr="00EC250C">
        <w:t>2018</w:t>
      </w:r>
      <w:r w:rsidR="00C91F6E" w:rsidRPr="00EC250C">
        <w:t> r.</w:t>
      </w:r>
      <w:r w:rsidRPr="00EC250C">
        <w:t xml:space="preserve"> były sprawy związane</w:t>
      </w:r>
      <w:r w:rsidR="00992FD0" w:rsidRPr="00EC250C">
        <w:t xml:space="preserve"> z </w:t>
      </w:r>
      <w:r w:rsidRPr="00EC250C">
        <w:t>wycinką Puszczy Białowieskiej</w:t>
      </w:r>
      <w:r w:rsidR="0086657F" w:rsidRPr="00EC250C">
        <w:t>.</w:t>
      </w:r>
    </w:p>
    <w:p w14:paraId="11E780C3" w14:textId="77777777" w:rsidR="008320BB" w:rsidRPr="00EC250C" w:rsidRDefault="008320BB" w:rsidP="00EC250C">
      <w:pPr>
        <w:pStyle w:val="Nagwek5"/>
      </w:pPr>
      <w:r w:rsidRPr="00EC250C">
        <w:lastRenderedPageBreak/>
        <w:t>Skargi na policję</w:t>
      </w:r>
    </w:p>
    <w:p w14:paraId="794383EA" w14:textId="77777777" w:rsidR="0086657F" w:rsidRPr="00EC250C" w:rsidRDefault="0086657F" w:rsidP="00D131FA">
      <w:pPr>
        <w:pStyle w:val="Styl1"/>
      </w:pPr>
      <w:r w:rsidRPr="00EC250C">
        <w:t>Sprawa Puszczy pojawiła się też</w:t>
      </w:r>
      <w:r w:rsidR="00992FD0" w:rsidRPr="00EC250C">
        <w:t xml:space="preserve"> w </w:t>
      </w:r>
      <w:r w:rsidRPr="00EC250C">
        <w:t>skargach obywateli, którzy protestowali przeciw nielegalnej, jak się okazało, wycince,</w:t>
      </w:r>
      <w:r w:rsidR="00992FD0" w:rsidRPr="00EC250C">
        <w:t xml:space="preserve"> a </w:t>
      </w:r>
      <w:r w:rsidRPr="00EC250C">
        <w:t>ponieśli</w:t>
      </w:r>
      <w:r w:rsidR="00992FD0" w:rsidRPr="00EC250C">
        <w:t xml:space="preserve"> z </w:t>
      </w:r>
      <w:r w:rsidRPr="00EC250C">
        <w:t>tego powodu konsekwencje.</w:t>
      </w:r>
    </w:p>
    <w:p w14:paraId="2E28A85D" w14:textId="77777777" w:rsidR="00C91F6E" w:rsidRPr="00EC250C" w:rsidRDefault="008320BB" w:rsidP="000D56AB">
      <w:pPr>
        <w:pStyle w:val="Styl1"/>
        <w:rPr>
          <w:sz w:val="20"/>
          <w:szCs w:val="18"/>
        </w:rPr>
      </w:pPr>
      <w:r w:rsidRPr="00EC250C">
        <w:rPr>
          <w:sz w:val="20"/>
          <w:szCs w:val="18"/>
        </w:rPr>
        <w:t>Skargi na policję</w:t>
      </w:r>
      <w:r w:rsidR="00992FD0" w:rsidRPr="00EC250C">
        <w:rPr>
          <w:sz w:val="20"/>
          <w:szCs w:val="18"/>
        </w:rPr>
        <w:t xml:space="preserve"> z </w:t>
      </w:r>
      <w:r w:rsidRPr="00EC250C">
        <w:rPr>
          <w:sz w:val="20"/>
          <w:szCs w:val="18"/>
        </w:rPr>
        <w:t xml:space="preserve">reguły dotyczyły niewłaściwego zachowania funkcjonariuszy </w:t>
      </w:r>
      <w:r w:rsidR="006E0486" w:rsidRPr="00EC250C">
        <w:rPr>
          <w:sz w:val="20"/>
          <w:szCs w:val="18"/>
        </w:rPr>
        <w:t>(szczególnie</w:t>
      </w:r>
      <w:r w:rsidR="00992FD0" w:rsidRPr="00EC250C">
        <w:rPr>
          <w:sz w:val="20"/>
          <w:szCs w:val="18"/>
        </w:rPr>
        <w:t xml:space="preserve"> w </w:t>
      </w:r>
      <w:r w:rsidR="006E0486" w:rsidRPr="00EC250C">
        <w:rPr>
          <w:sz w:val="20"/>
          <w:szCs w:val="18"/>
        </w:rPr>
        <w:t>kontekście organizacji zgromadzeń publicznych)</w:t>
      </w:r>
      <w:r w:rsidR="00992FD0" w:rsidRPr="00EC250C">
        <w:rPr>
          <w:sz w:val="20"/>
          <w:szCs w:val="18"/>
        </w:rPr>
        <w:t xml:space="preserve"> i </w:t>
      </w:r>
      <w:r w:rsidRPr="00EC250C">
        <w:rPr>
          <w:sz w:val="20"/>
          <w:szCs w:val="18"/>
        </w:rPr>
        <w:t>niepodjęcia oczekiwanych przez obywateli działań. Badano też nieprawidłowości</w:t>
      </w:r>
      <w:r w:rsidR="00992FD0" w:rsidRPr="00EC250C">
        <w:rPr>
          <w:sz w:val="20"/>
          <w:szCs w:val="18"/>
        </w:rPr>
        <w:t xml:space="preserve"> w </w:t>
      </w:r>
      <w:r w:rsidRPr="00EC250C">
        <w:rPr>
          <w:sz w:val="20"/>
          <w:szCs w:val="18"/>
        </w:rPr>
        <w:t xml:space="preserve">działaniach </w:t>
      </w:r>
      <w:r w:rsidR="00735D16" w:rsidRPr="00EC250C">
        <w:rPr>
          <w:sz w:val="20"/>
          <w:szCs w:val="18"/>
        </w:rPr>
        <w:t>p</w:t>
      </w:r>
      <w:r w:rsidRPr="00EC250C">
        <w:rPr>
          <w:sz w:val="20"/>
          <w:szCs w:val="18"/>
        </w:rPr>
        <w:t xml:space="preserve">olicji, straży miejskich oraz </w:t>
      </w:r>
      <w:r w:rsidR="00735D16" w:rsidRPr="00EC250C">
        <w:rPr>
          <w:sz w:val="20"/>
          <w:szCs w:val="18"/>
        </w:rPr>
        <w:t>i</w:t>
      </w:r>
      <w:r w:rsidRPr="00EC250C">
        <w:rPr>
          <w:sz w:val="20"/>
          <w:szCs w:val="18"/>
        </w:rPr>
        <w:t xml:space="preserve">nspekcji </w:t>
      </w:r>
      <w:r w:rsidR="00735D16" w:rsidRPr="00EC250C">
        <w:rPr>
          <w:sz w:val="20"/>
          <w:szCs w:val="18"/>
        </w:rPr>
        <w:t>t</w:t>
      </w:r>
      <w:r w:rsidRPr="00EC250C">
        <w:rPr>
          <w:sz w:val="20"/>
          <w:szCs w:val="18"/>
        </w:rPr>
        <w:t xml:space="preserve">ransportu </w:t>
      </w:r>
      <w:r w:rsidR="00735D16" w:rsidRPr="00EC250C">
        <w:rPr>
          <w:sz w:val="20"/>
          <w:szCs w:val="18"/>
        </w:rPr>
        <w:t>d</w:t>
      </w:r>
      <w:r w:rsidRPr="00EC250C">
        <w:rPr>
          <w:sz w:val="20"/>
          <w:szCs w:val="18"/>
        </w:rPr>
        <w:t>rogowego</w:t>
      </w:r>
      <w:r w:rsidR="00992FD0" w:rsidRPr="00EC250C">
        <w:rPr>
          <w:sz w:val="20"/>
          <w:szCs w:val="18"/>
        </w:rPr>
        <w:t xml:space="preserve"> w </w:t>
      </w:r>
      <w:r w:rsidRPr="00EC250C">
        <w:rPr>
          <w:sz w:val="20"/>
          <w:szCs w:val="18"/>
        </w:rPr>
        <w:t>związku</w:t>
      </w:r>
      <w:r w:rsidR="00992FD0" w:rsidRPr="00EC250C">
        <w:rPr>
          <w:sz w:val="20"/>
          <w:szCs w:val="18"/>
        </w:rPr>
        <w:t xml:space="preserve"> z </w:t>
      </w:r>
      <w:r w:rsidRPr="00EC250C">
        <w:rPr>
          <w:sz w:val="20"/>
          <w:szCs w:val="18"/>
        </w:rPr>
        <w:t>postępowaniami mandatowymi. Stawiane były zarzuty nadużywania władzy przez funkcjonariuszy przy zatrzymaniach, doprowadz</w:t>
      </w:r>
      <w:r w:rsidR="006E0486" w:rsidRPr="00EC250C">
        <w:rPr>
          <w:sz w:val="20"/>
          <w:szCs w:val="18"/>
        </w:rPr>
        <w:t>e</w:t>
      </w:r>
      <w:r w:rsidRPr="00EC250C">
        <w:rPr>
          <w:sz w:val="20"/>
          <w:szCs w:val="18"/>
        </w:rPr>
        <w:t>niach oraz przesłuchaniach osób zatrzymanych.</w:t>
      </w:r>
    </w:p>
    <w:p w14:paraId="68CFB11A" w14:textId="77777777" w:rsidR="00C91F6E" w:rsidRPr="00EC250C" w:rsidRDefault="008320BB" w:rsidP="00D131FA">
      <w:pPr>
        <w:pStyle w:val="Styl1"/>
      </w:pPr>
      <w:r w:rsidRPr="00EC250C">
        <w:t xml:space="preserve">Skargi na zaniechania </w:t>
      </w:r>
      <w:r w:rsidR="00735D16" w:rsidRPr="00EC250C">
        <w:t>p</w:t>
      </w:r>
      <w:r w:rsidRPr="00EC250C">
        <w:t>olicji dotyczyły także trudności</w:t>
      </w:r>
      <w:r w:rsidR="00992FD0" w:rsidRPr="00EC250C">
        <w:t xml:space="preserve"> w </w:t>
      </w:r>
      <w:r w:rsidRPr="00EC250C">
        <w:t>złożeniu zawiadomień</w:t>
      </w:r>
      <w:r w:rsidR="00992FD0" w:rsidRPr="00EC250C">
        <w:t xml:space="preserve"> o </w:t>
      </w:r>
      <w:r w:rsidRPr="00EC250C">
        <w:t>popełnieniu przestępstwa, zwłaszcza</w:t>
      </w:r>
      <w:r w:rsidR="00992FD0" w:rsidRPr="00EC250C">
        <w:t xml:space="preserve"> w </w:t>
      </w:r>
      <w:r w:rsidRPr="00EC250C">
        <w:t>sprawach przemocy domowej oraz przestępstw związanych</w:t>
      </w:r>
      <w:r w:rsidR="00992FD0" w:rsidRPr="00EC250C">
        <w:t xml:space="preserve"> z </w:t>
      </w:r>
      <w:r w:rsidRPr="00EC250C">
        <w:t>roszczeniami majątkowymi.</w:t>
      </w:r>
    </w:p>
    <w:p w14:paraId="02CA30EE" w14:textId="77777777" w:rsidR="008320BB" w:rsidRPr="00EC250C" w:rsidRDefault="008320BB" w:rsidP="00EC250C">
      <w:pPr>
        <w:pStyle w:val="Nagwek5"/>
      </w:pPr>
      <w:r w:rsidRPr="00EC250C">
        <w:t>Problemy</w:t>
      </w:r>
      <w:r w:rsidR="00992FD0" w:rsidRPr="00EC250C">
        <w:t xml:space="preserve"> w </w:t>
      </w:r>
      <w:r w:rsidRPr="00EC250C">
        <w:t>więzieniach</w:t>
      </w:r>
    </w:p>
    <w:p w14:paraId="21C3BEF4" w14:textId="77777777" w:rsidR="006E0486" w:rsidRPr="00EC250C" w:rsidRDefault="006E0486" w:rsidP="000D56AB">
      <w:pPr>
        <w:pStyle w:val="Styl1"/>
        <w:rPr>
          <w:sz w:val="20"/>
          <w:szCs w:val="18"/>
        </w:rPr>
      </w:pPr>
      <w:r w:rsidRPr="00EC250C">
        <w:rPr>
          <w:sz w:val="20"/>
          <w:szCs w:val="18"/>
        </w:rPr>
        <w:t>Osoby pozbawione wolności, przebywające</w:t>
      </w:r>
      <w:r w:rsidR="00992FD0" w:rsidRPr="00EC250C">
        <w:rPr>
          <w:sz w:val="20"/>
          <w:szCs w:val="18"/>
        </w:rPr>
        <w:t xml:space="preserve"> w </w:t>
      </w:r>
      <w:r w:rsidRPr="00EC250C">
        <w:rPr>
          <w:sz w:val="20"/>
          <w:szCs w:val="18"/>
        </w:rPr>
        <w:t>jednostkach penitencjarnych, skarżyły się na niezapewnienie odpowiedniej opieki medycznej, niewłaściwe traktowanie przez funkcjonariuszy Służby Więziennej oraz na złe warunki bytowe</w:t>
      </w:r>
      <w:r w:rsidR="00992FD0" w:rsidRPr="00EC250C">
        <w:rPr>
          <w:sz w:val="20"/>
          <w:szCs w:val="18"/>
        </w:rPr>
        <w:t xml:space="preserve"> w </w:t>
      </w:r>
      <w:r w:rsidRPr="00EC250C">
        <w:rPr>
          <w:sz w:val="20"/>
          <w:szCs w:val="18"/>
        </w:rPr>
        <w:t>zakładach karnych</w:t>
      </w:r>
      <w:r w:rsidR="00992FD0" w:rsidRPr="00EC250C">
        <w:rPr>
          <w:sz w:val="20"/>
          <w:szCs w:val="18"/>
        </w:rPr>
        <w:t xml:space="preserve"> i </w:t>
      </w:r>
      <w:r w:rsidRPr="00EC250C">
        <w:rPr>
          <w:sz w:val="20"/>
          <w:szCs w:val="18"/>
        </w:rPr>
        <w:t>aresztach śledczych.</w:t>
      </w:r>
    </w:p>
    <w:p w14:paraId="6D815BB9" w14:textId="77777777" w:rsidR="008320BB" w:rsidRPr="00EC250C" w:rsidRDefault="008320BB" w:rsidP="00EC250C">
      <w:pPr>
        <w:pStyle w:val="Nagwek5"/>
      </w:pPr>
      <w:r w:rsidRPr="00EC250C">
        <w:t>Sprawy lokalne zgłaszane</w:t>
      </w:r>
      <w:r w:rsidR="00073A8C" w:rsidRPr="00EC250C">
        <w:t xml:space="preserve"> RPO </w:t>
      </w:r>
      <w:r w:rsidRPr="00EC250C">
        <w:t>podczas konsultacji regionalnych</w:t>
      </w:r>
    </w:p>
    <w:p w14:paraId="16A8CB2F" w14:textId="77777777" w:rsidR="0086657F" w:rsidRPr="00EC250C" w:rsidRDefault="008320BB" w:rsidP="000D56AB">
      <w:pPr>
        <w:pStyle w:val="Styl1"/>
        <w:rPr>
          <w:sz w:val="20"/>
          <w:szCs w:val="18"/>
        </w:rPr>
      </w:pPr>
      <w:r w:rsidRPr="00EC250C">
        <w:rPr>
          <w:sz w:val="20"/>
          <w:szCs w:val="18"/>
        </w:rPr>
        <w:t>Wiele spraw zgłaszanych Rzecznikowi ma charakter lokalny, ale przez to nie mniej ważny</w:t>
      </w:r>
      <w:r w:rsidR="0086657F" w:rsidRPr="00EC250C">
        <w:rPr>
          <w:sz w:val="20"/>
          <w:szCs w:val="18"/>
        </w:rPr>
        <w:t>.</w:t>
      </w:r>
      <w:r w:rsidRPr="00EC250C">
        <w:rPr>
          <w:sz w:val="20"/>
          <w:szCs w:val="18"/>
        </w:rPr>
        <w:t xml:space="preserve"> </w:t>
      </w:r>
      <w:r w:rsidR="0086657F" w:rsidRPr="00EC250C">
        <w:rPr>
          <w:sz w:val="20"/>
          <w:szCs w:val="18"/>
        </w:rPr>
        <w:t>Ujawniane są przy tym kłopoty państwa</w:t>
      </w:r>
      <w:r w:rsidR="00992FD0" w:rsidRPr="00EC250C">
        <w:rPr>
          <w:sz w:val="20"/>
          <w:szCs w:val="18"/>
        </w:rPr>
        <w:t xml:space="preserve"> z </w:t>
      </w:r>
      <w:r w:rsidR="0086657F" w:rsidRPr="00EC250C">
        <w:rPr>
          <w:sz w:val="20"/>
          <w:szCs w:val="18"/>
        </w:rPr>
        <w:t>załatwianiem spraw szczególnych</w:t>
      </w:r>
      <w:r w:rsidR="00992FD0" w:rsidRPr="00EC250C">
        <w:rPr>
          <w:sz w:val="20"/>
          <w:szCs w:val="18"/>
        </w:rPr>
        <w:t xml:space="preserve"> i </w:t>
      </w:r>
      <w:r w:rsidR="0086657F" w:rsidRPr="00EC250C">
        <w:rPr>
          <w:sz w:val="20"/>
          <w:szCs w:val="18"/>
        </w:rPr>
        <w:t>wyjątkowych,</w:t>
      </w:r>
      <w:r w:rsidR="00992FD0" w:rsidRPr="00EC250C">
        <w:rPr>
          <w:sz w:val="20"/>
          <w:szCs w:val="18"/>
        </w:rPr>
        <w:t xml:space="preserve"> a </w:t>
      </w:r>
      <w:r w:rsidR="0086657F" w:rsidRPr="00EC250C">
        <w:rPr>
          <w:sz w:val="20"/>
          <w:szCs w:val="18"/>
        </w:rPr>
        <w:t>dotkliwych dla obywateli. Wiedząc, że dla części obywateli szukanie pomocy</w:t>
      </w:r>
      <w:r w:rsidR="00992FD0" w:rsidRPr="00EC250C">
        <w:rPr>
          <w:sz w:val="20"/>
          <w:szCs w:val="18"/>
        </w:rPr>
        <w:t xml:space="preserve"> w </w:t>
      </w:r>
      <w:r w:rsidR="0086657F" w:rsidRPr="00EC250C">
        <w:rPr>
          <w:sz w:val="20"/>
          <w:szCs w:val="18"/>
        </w:rPr>
        <w:t>Warszawie może być trudne , RPO jeździ po kraju, spotyka się</w:t>
      </w:r>
      <w:r w:rsidR="00992FD0" w:rsidRPr="00EC250C">
        <w:rPr>
          <w:sz w:val="20"/>
          <w:szCs w:val="18"/>
        </w:rPr>
        <w:t xml:space="preserve"> z </w:t>
      </w:r>
      <w:r w:rsidR="0086657F" w:rsidRPr="00EC250C">
        <w:rPr>
          <w:sz w:val="20"/>
          <w:szCs w:val="18"/>
        </w:rPr>
        <w:t>ludźmi</w:t>
      </w:r>
      <w:r w:rsidR="00992FD0" w:rsidRPr="00EC250C">
        <w:rPr>
          <w:sz w:val="20"/>
          <w:szCs w:val="18"/>
        </w:rPr>
        <w:t xml:space="preserve"> i </w:t>
      </w:r>
      <w:r w:rsidR="0086657F" w:rsidRPr="00EC250C">
        <w:rPr>
          <w:sz w:val="20"/>
          <w:szCs w:val="18"/>
        </w:rPr>
        <w:t>słucha ich relacji.</w:t>
      </w:r>
    </w:p>
    <w:p w14:paraId="64879108" w14:textId="77777777" w:rsidR="00C91F6E" w:rsidRPr="00EC250C" w:rsidRDefault="00735D16" w:rsidP="00D131FA">
      <w:pPr>
        <w:pStyle w:val="Styl1"/>
        <w:ind w:firstLine="0"/>
      </w:pPr>
      <w:r w:rsidRPr="00EC250C">
        <w:rPr>
          <w:b/>
        </w:rPr>
        <w:t>W Gołdapi</w:t>
      </w:r>
      <w:r w:rsidRPr="00EC250C">
        <w:t xml:space="preserve"> poskarżono się na sposób prowadzenia</w:t>
      </w:r>
      <w:r w:rsidR="00992FD0" w:rsidRPr="00EC250C">
        <w:t xml:space="preserve"> w </w:t>
      </w:r>
      <w:r w:rsidRPr="00EC250C">
        <w:t>mieście konsultacji społecznych,</w:t>
      </w:r>
      <w:r w:rsidR="00992FD0" w:rsidRPr="00EC250C">
        <w:t xml:space="preserve"> o </w:t>
      </w:r>
      <w:r w:rsidRPr="00EC250C">
        <w:t>których ludzie nic nie wiedzą, nawet jeśli bezpośrednio ich dotyczą.</w:t>
      </w:r>
    </w:p>
    <w:p w14:paraId="3FD3BA45" w14:textId="77777777" w:rsidR="00C91F6E" w:rsidRPr="00EC250C" w:rsidRDefault="008320BB" w:rsidP="00D131FA">
      <w:pPr>
        <w:pStyle w:val="Styl1"/>
        <w:ind w:firstLine="0"/>
      </w:pPr>
      <w:r w:rsidRPr="00EC250C">
        <w:rPr>
          <w:b/>
        </w:rPr>
        <w:t>W Ostrołęce</w:t>
      </w:r>
      <w:r w:rsidRPr="00EC250C">
        <w:t xml:space="preserve"> opowiedziano </w:t>
      </w:r>
      <w:r w:rsidR="00735D16" w:rsidRPr="00EC250C">
        <w:t>mu</w:t>
      </w:r>
      <w:r w:rsidR="00992FD0" w:rsidRPr="00EC250C">
        <w:t xml:space="preserve"> o </w:t>
      </w:r>
      <w:r w:rsidRPr="00EC250C">
        <w:t>sytuacji grupy ok. 300 osób – akcjonariuszy pracowniczych dawnej Elektrowni Ostrołęka, będącej obecnie częścią Grupy Energa, którzy od 6 lat nie otrzymują dywidendy,</w:t>
      </w:r>
    </w:p>
    <w:p w14:paraId="389DC527" w14:textId="77777777" w:rsidR="00735D16" w:rsidRPr="00EC250C" w:rsidRDefault="00735D16" w:rsidP="00D131FA">
      <w:pPr>
        <w:pStyle w:val="Styl1"/>
        <w:ind w:firstLine="0"/>
      </w:pPr>
      <w:r w:rsidRPr="00EC250C">
        <w:rPr>
          <w:b/>
        </w:rPr>
        <w:t>W Skarżysku Kamiennej</w:t>
      </w:r>
      <w:r w:rsidRPr="00EC250C">
        <w:t xml:space="preserve"> ludzie mieli problem związany</w:t>
      </w:r>
      <w:r w:rsidR="00992FD0" w:rsidRPr="00EC250C">
        <w:t xml:space="preserve"> z </w:t>
      </w:r>
      <w:r w:rsidRPr="00EC250C">
        <w:t>budową ulicy</w:t>
      </w:r>
      <w:r w:rsidR="006E0486" w:rsidRPr="00EC250C">
        <w:t xml:space="preserve"> (</w:t>
      </w:r>
      <w:r w:rsidR="006E0486" w:rsidRPr="00EC250C">
        <w:rPr>
          <w:shd w:val="clear" w:color="auto" w:fill="FFFFFF"/>
        </w:rPr>
        <w:t>o jej modernizację lokalna społeczność starała się od lat,</w:t>
      </w:r>
      <w:r w:rsidR="0086657F" w:rsidRPr="00EC250C">
        <w:rPr>
          <w:shd w:val="clear" w:color="auto" w:fill="FFFFFF"/>
        </w:rPr>
        <w:t xml:space="preserve"> bo ciężko nie tylko przejechać nią, ale też przejść</w:t>
      </w:r>
      <w:r w:rsidR="00026572" w:rsidRPr="00EC250C">
        <w:rPr>
          <w:shd w:val="clear" w:color="auto" w:fill="FFFFFF"/>
        </w:rPr>
        <w:t xml:space="preserve"> – </w:t>
      </w:r>
      <w:r w:rsidR="0086657F" w:rsidRPr="00EC250C">
        <w:rPr>
          <w:shd w:val="clear" w:color="auto" w:fill="FFFFFF"/>
        </w:rPr>
        <w:t>zwłaszcza osobom starszym).</w:t>
      </w:r>
    </w:p>
    <w:p w14:paraId="17A14C13" w14:textId="77777777" w:rsidR="00C91F6E" w:rsidRPr="00EC250C" w:rsidRDefault="00735D16" w:rsidP="00D131FA">
      <w:pPr>
        <w:pStyle w:val="Styl1"/>
        <w:ind w:firstLine="0"/>
      </w:pPr>
      <w:r w:rsidRPr="00EC250C">
        <w:rPr>
          <w:b/>
        </w:rPr>
        <w:t>W Wałczu</w:t>
      </w:r>
      <w:r w:rsidRPr="00EC250C">
        <w:t xml:space="preserve"> zwrócono uwagę na brak systemu powiadamiania SMS-ami służb ratunkowych</w:t>
      </w:r>
      <w:r w:rsidR="00992FD0" w:rsidRPr="00EC250C">
        <w:t xml:space="preserve"> i </w:t>
      </w:r>
      <w:r w:rsidRPr="00EC250C">
        <w:t>pomocowych, przez co osoby głuche nie mogą samodzielnie wezwać pomocy.</w:t>
      </w:r>
    </w:p>
    <w:p w14:paraId="21F045C1" w14:textId="77777777" w:rsidR="00C91F6E" w:rsidRPr="00EC250C" w:rsidRDefault="00735D16" w:rsidP="00D131FA">
      <w:pPr>
        <w:pStyle w:val="Styl1"/>
        <w:ind w:firstLine="0"/>
      </w:pPr>
      <w:r w:rsidRPr="00EC250C">
        <w:rPr>
          <w:b/>
        </w:rPr>
        <w:t>W</w:t>
      </w:r>
      <w:r w:rsidR="008320BB" w:rsidRPr="00EC250C">
        <w:rPr>
          <w:b/>
        </w:rPr>
        <w:t xml:space="preserve"> Szczytnie</w:t>
      </w:r>
      <w:r w:rsidR="008320BB" w:rsidRPr="00EC250C">
        <w:t xml:space="preserve"> skarżono się na trudności</w:t>
      </w:r>
      <w:r w:rsidR="00992FD0" w:rsidRPr="00EC250C">
        <w:t xml:space="preserve"> w </w:t>
      </w:r>
      <w:r w:rsidR="008320BB" w:rsidRPr="00EC250C">
        <w:t>dostępie do pracy osób po kryzysie psychicznym.</w:t>
      </w:r>
    </w:p>
    <w:p w14:paraId="19B0B038" w14:textId="77777777" w:rsidR="00C91F6E" w:rsidRPr="00EC250C" w:rsidRDefault="00735D16" w:rsidP="00D131FA">
      <w:pPr>
        <w:pStyle w:val="Styl1"/>
        <w:ind w:firstLine="0"/>
      </w:pPr>
      <w:r w:rsidRPr="00EC250C">
        <w:rPr>
          <w:b/>
        </w:rPr>
        <w:t>W Giżycku</w:t>
      </w:r>
      <w:r w:rsidRPr="00EC250C">
        <w:t xml:space="preserve"> podjęto temat reprezentacji dorosłych dzieci</w:t>
      </w:r>
      <w:r w:rsidR="00992FD0" w:rsidRPr="00EC250C">
        <w:t xml:space="preserve"> z </w:t>
      </w:r>
      <w:r w:rsidRPr="00EC250C">
        <w:t xml:space="preserve">niepełnosprawnościami, których rodzice nie chcą </w:t>
      </w:r>
      <w:r w:rsidR="0086657F" w:rsidRPr="00EC250C">
        <w:t>ubezwłasnowolnić, mimo namawiania,</w:t>
      </w:r>
      <w:r w:rsidR="00992FD0" w:rsidRPr="00EC250C">
        <w:t xml:space="preserve"> a </w:t>
      </w:r>
      <w:r w:rsidR="0086657F" w:rsidRPr="00EC250C">
        <w:t>czasem wręcz nacisków ze strony urzędników</w:t>
      </w:r>
      <w:r w:rsidR="00992FD0" w:rsidRPr="00EC250C">
        <w:t xml:space="preserve"> i </w:t>
      </w:r>
      <w:r w:rsidR="0086657F" w:rsidRPr="00EC250C">
        <w:t>lekarzy, bo to „uprości załatwianie spraw”.</w:t>
      </w:r>
    </w:p>
    <w:p w14:paraId="2A65032D" w14:textId="77777777" w:rsidR="00C91F6E" w:rsidRPr="00EC250C" w:rsidRDefault="008320BB" w:rsidP="00D131FA">
      <w:pPr>
        <w:pStyle w:val="Styl1"/>
        <w:ind w:firstLine="0"/>
      </w:pPr>
      <w:r w:rsidRPr="00EC250C">
        <w:rPr>
          <w:b/>
        </w:rPr>
        <w:lastRenderedPageBreak/>
        <w:t>W</w:t>
      </w:r>
      <w:r w:rsidR="00CC4D88" w:rsidRPr="00EC250C">
        <w:rPr>
          <w:b/>
        </w:rPr>
        <w:t> </w:t>
      </w:r>
      <w:r w:rsidRPr="00EC250C">
        <w:rPr>
          <w:b/>
        </w:rPr>
        <w:t>Radzyniu Podlaskim</w:t>
      </w:r>
      <w:r w:rsidRPr="00EC250C">
        <w:t xml:space="preserve"> zwrócono uwagę na brak odszkodowań za przymusowy ubój</w:t>
      </w:r>
      <w:r w:rsidR="00992FD0" w:rsidRPr="00EC250C">
        <w:t xml:space="preserve"> z </w:t>
      </w:r>
      <w:r w:rsidRPr="00EC250C">
        <w:t>powodu ASF (choroby afrykańskiego pomoru świń)</w:t>
      </w:r>
      <w:r w:rsidR="00735D16" w:rsidRPr="00EC250C">
        <w:t>.</w:t>
      </w:r>
    </w:p>
    <w:p w14:paraId="00379CFC" w14:textId="77777777" w:rsidR="00C91F6E" w:rsidRPr="00EC250C" w:rsidRDefault="00735D16" w:rsidP="00D131FA">
      <w:pPr>
        <w:pStyle w:val="Styl1"/>
        <w:ind w:firstLine="0"/>
      </w:pPr>
      <w:r w:rsidRPr="00EC250C">
        <w:rPr>
          <w:b/>
        </w:rPr>
        <w:t xml:space="preserve">W </w:t>
      </w:r>
      <w:r w:rsidR="008320BB" w:rsidRPr="00EC250C">
        <w:rPr>
          <w:b/>
        </w:rPr>
        <w:t>Hajnówce</w:t>
      </w:r>
      <w:r w:rsidR="008320BB" w:rsidRPr="00EC250C">
        <w:t xml:space="preserve"> społeczność prawosławna zgłosiła problemy</w:t>
      </w:r>
      <w:r w:rsidR="00992FD0" w:rsidRPr="00EC250C">
        <w:t xml:space="preserve"> z </w:t>
      </w:r>
      <w:r w:rsidR="008320BB" w:rsidRPr="00EC250C">
        <w:t>odbiorem dnia wolnego</w:t>
      </w:r>
      <w:r w:rsidR="00992FD0" w:rsidRPr="00EC250C">
        <w:t xml:space="preserve"> w </w:t>
      </w:r>
      <w:r w:rsidR="008320BB" w:rsidRPr="00EC250C">
        <w:t>dniu świątecznym zgodnie ze swoim kalendarzem liturgicznym.</w:t>
      </w:r>
    </w:p>
    <w:p w14:paraId="708E1588" w14:textId="77777777" w:rsidR="00735D16" w:rsidRPr="00EC250C" w:rsidRDefault="008320BB" w:rsidP="00D131FA">
      <w:pPr>
        <w:pStyle w:val="Styl1"/>
        <w:ind w:firstLine="0"/>
      </w:pPr>
      <w:r w:rsidRPr="00EC250C">
        <w:rPr>
          <w:b/>
        </w:rPr>
        <w:t>W</w:t>
      </w:r>
      <w:r w:rsidR="001E576A" w:rsidRPr="00EC250C">
        <w:rPr>
          <w:b/>
        </w:rPr>
        <w:t xml:space="preserve"> </w:t>
      </w:r>
      <w:r w:rsidRPr="00EC250C">
        <w:rPr>
          <w:b/>
        </w:rPr>
        <w:t>Szczecinku</w:t>
      </w:r>
      <w:r w:rsidRPr="00EC250C">
        <w:t xml:space="preserve"> podniesiono problem</w:t>
      </w:r>
      <w:r w:rsidR="00992FD0" w:rsidRPr="00EC250C">
        <w:t xml:space="preserve"> z </w:t>
      </w:r>
      <w:r w:rsidRPr="00EC250C">
        <w:t>dowozem dzieci</w:t>
      </w:r>
      <w:r w:rsidR="00992FD0" w:rsidRPr="00EC250C">
        <w:t xml:space="preserve"> z </w:t>
      </w:r>
      <w:r w:rsidRPr="00EC250C">
        <w:t>niepełnosprawnościami do szkół</w:t>
      </w:r>
      <w:r w:rsidR="00735D16" w:rsidRPr="00EC250C">
        <w:t>.</w:t>
      </w:r>
    </w:p>
    <w:p w14:paraId="15DD0622" w14:textId="77777777" w:rsidR="00735D16" w:rsidRPr="00EC250C" w:rsidRDefault="00735D16" w:rsidP="00D131FA">
      <w:pPr>
        <w:pStyle w:val="Styl1"/>
        <w:ind w:firstLine="0"/>
      </w:pPr>
      <w:r w:rsidRPr="00EC250C">
        <w:rPr>
          <w:b/>
        </w:rPr>
        <w:t>W</w:t>
      </w:r>
      <w:r w:rsidR="008320BB" w:rsidRPr="00EC250C">
        <w:rPr>
          <w:b/>
        </w:rPr>
        <w:t xml:space="preserve"> Ełku</w:t>
      </w:r>
      <w:r w:rsidR="008320BB" w:rsidRPr="00EC250C">
        <w:t xml:space="preserve"> poskarżono się na brak działań ze strony straży miejskiej</w:t>
      </w:r>
      <w:r w:rsidR="00992FD0" w:rsidRPr="00EC250C">
        <w:t xml:space="preserve"> i </w:t>
      </w:r>
      <w:r w:rsidR="008320BB" w:rsidRPr="00EC250C">
        <w:t>policji wobec rowerzystów, którzy nie korzystają ze ścieżek rowerowych</w:t>
      </w:r>
      <w:r w:rsidR="00992FD0" w:rsidRPr="00EC250C">
        <w:t xml:space="preserve"> i </w:t>
      </w:r>
      <w:r w:rsidR="008320BB" w:rsidRPr="00EC250C">
        <w:t>tym samym stwarzają realne zagrożenie dla przechodniów.</w:t>
      </w:r>
    </w:p>
    <w:p w14:paraId="5B4114A6" w14:textId="77777777" w:rsidR="0086657F" w:rsidRPr="00EC250C" w:rsidRDefault="0086657F" w:rsidP="00D131FA">
      <w:pPr>
        <w:pStyle w:val="Styl1"/>
        <w:ind w:firstLine="0"/>
      </w:pPr>
      <w:r w:rsidRPr="00EC250C">
        <w:t>Zgłaszane lokalnie sprawy są przez RPO podejmowane – na szczeblu samorządowym</w:t>
      </w:r>
      <w:r w:rsidR="00992FD0" w:rsidRPr="00EC250C">
        <w:t xml:space="preserve"> i </w:t>
      </w:r>
      <w:r w:rsidRPr="00EC250C">
        <w:t>centralnym. Dzięki bezpośrednim rozmowom RPO</w:t>
      </w:r>
      <w:r w:rsidR="00992FD0" w:rsidRPr="00EC250C">
        <w:t xml:space="preserve"> z </w:t>
      </w:r>
      <w:r w:rsidRPr="00EC250C">
        <w:t>mieszkańcami szybciej można zidentyfikować problem</w:t>
      </w:r>
      <w:r w:rsidR="00992FD0" w:rsidRPr="00EC250C">
        <w:t xml:space="preserve"> i </w:t>
      </w:r>
      <w:r w:rsidRPr="00EC250C">
        <w:t>zaproponować władzom rozwiązanie,</w:t>
      </w:r>
      <w:r w:rsidR="00992FD0" w:rsidRPr="00EC250C">
        <w:t xml:space="preserve"> a </w:t>
      </w:r>
      <w:r w:rsidRPr="00EC250C">
        <w:t>opinii publicznej uświadamiać jego wagę.</w:t>
      </w:r>
    </w:p>
    <w:p w14:paraId="6AC21D63" w14:textId="77777777" w:rsidR="003E5740" w:rsidRPr="00EC250C" w:rsidRDefault="003E5740" w:rsidP="00EC250C">
      <w:pPr>
        <w:pStyle w:val="Nagwek5"/>
      </w:pPr>
      <w:bookmarkStart w:id="7" w:name="_Hlk9939434"/>
      <w:r w:rsidRPr="00EC250C">
        <w:t>Sprawy ludzi młodych</w:t>
      </w:r>
    </w:p>
    <w:p w14:paraId="33EE4D2F" w14:textId="77777777" w:rsidR="003E5740" w:rsidRPr="00EC250C" w:rsidRDefault="003E5740" w:rsidP="00D131FA">
      <w:pPr>
        <w:pStyle w:val="Styl1"/>
        <w:rPr>
          <w:lang w:eastAsia="en-US" w:bidi="hi-IN"/>
        </w:rPr>
      </w:pPr>
      <w:r w:rsidRPr="00EC250C">
        <w:rPr>
          <w:lang w:eastAsia="en-US" w:bidi="hi-IN"/>
        </w:rPr>
        <w:t>Spotkania regionalne są także szansą na rozmowę</w:t>
      </w:r>
      <w:r w:rsidR="00992FD0" w:rsidRPr="00EC250C">
        <w:rPr>
          <w:lang w:eastAsia="en-US" w:bidi="hi-IN"/>
        </w:rPr>
        <w:t xml:space="preserve"> z </w:t>
      </w:r>
      <w:r w:rsidRPr="00EC250C">
        <w:rPr>
          <w:lang w:eastAsia="en-US" w:bidi="hi-IN"/>
        </w:rPr>
        <w:t>młodymi ludźmi. Zgłaszane przez nich uwagi nie mają statusu wniosków, jednak stanowią bezcenne źródło wiedzy</w:t>
      </w:r>
      <w:r w:rsidR="00992FD0" w:rsidRPr="00EC250C">
        <w:rPr>
          <w:lang w:eastAsia="en-US" w:bidi="hi-IN"/>
        </w:rPr>
        <w:t xml:space="preserve"> o </w:t>
      </w:r>
      <w:r w:rsidRPr="00EC250C">
        <w:rPr>
          <w:lang w:eastAsia="en-US" w:bidi="hi-IN"/>
        </w:rPr>
        <w:t xml:space="preserve">tym, jak na świat patrzy młode pokolenie Polaków. Młodzi zadają pytania </w:t>
      </w:r>
      <w:r w:rsidR="00073A8C" w:rsidRPr="00EC250C">
        <w:rPr>
          <w:lang w:eastAsia="en-US" w:bidi="hi-IN"/>
        </w:rPr>
        <w:t>r</w:t>
      </w:r>
      <w:r w:rsidRPr="00EC250C">
        <w:rPr>
          <w:lang w:eastAsia="en-US" w:bidi="hi-IN"/>
        </w:rPr>
        <w:t xml:space="preserve">zecznikowi </w:t>
      </w:r>
      <w:r w:rsidR="00073A8C" w:rsidRPr="00EC250C">
        <w:rPr>
          <w:lang w:eastAsia="en-US" w:bidi="hi-IN"/>
        </w:rPr>
        <w:t xml:space="preserve">praw obywatelskich </w:t>
      </w:r>
      <w:r w:rsidRPr="00EC250C">
        <w:rPr>
          <w:lang w:eastAsia="en-US" w:bidi="hi-IN"/>
        </w:rPr>
        <w:t xml:space="preserve">na karteczkach, anonimowo. </w:t>
      </w:r>
      <w:r w:rsidR="00073A8C" w:rsidRPr="00EC250C">
        <w:rPr>
          <w:lang w:eastAsia="en-US" w:bidi="hi-IN"/>
        </w:rPr>
        <w:t>RPO</w:t>
      </w:r>
      <w:r w:rsidRPr="00EC250C">
        <w:rPr>
          <w:lang w:eastAsia="en-US" w:bidi="hi-IN"/>
        </w:rPr>
        <w:t xml:space="preserve"> na nie odpowiada</w:t>
      </w:r>
      <w:r w:rsidR="00992FD0" w:rsidRPr="00EC250C">
        <w:rPr>
          <w:lang w:eastAsia="en-US" w:bidi="hi-IN"/>
        </w:rPr>
        <w:t xml:space="preserve"> w </w:t>
      </w:r>
      <w:r w:rsidRPr="00EC250C">
        <w:rPr>
          <w:lang w:eastAsia="en-US" w:bidi="hi-IN"/>
        </w:rPr>
        <w:t>czasie spotkań.</w:t>
      </w:r>
    </w:p>
    <w:p w14:paraId="5813E554" w14:textId="77777777" w:rsidR="00C91F6E" w:rsidRPr="00EC250C" w:rsidRDefault="003E5740" w:rsidP="00D131FA">
      <w:pPr>
        <w:pStyle w:val="Styl1"/>
        <w:rPr>
          <w:lang w:eastAsia="en-US" w:bidi="hi-IN"/>
        </w:rPr>
      </w:pPr>
      <w:r w:rsidRPr="00EC250C">
        <w:rPr>
          <w:lang w:eastAsia="en-US" w:bidi="hi-IN"/>
        </w:rPr>
        <w:t xml:space="preserve">Młodzi wskazują </w:t>
      </w:r>
      <w:r w:rsidR="00ED57EA" w:rsidRPr="00EC250C">
        <w:rPr>
          <w:lang w:eastAsia="en-US" w:bidi="hi-IN"/>
        </w:rPr>
        <w:t xml:space="preserve">przede wszystkim </w:t>
      </w:r>
      <w:r w:rsidRPr="00EC250C">
        <w:rPr>
          <w:lang w:eastAsia="en-US" w:bidi="hi-IN"/>
        </w:rPr>
        <w:t xml:space="preserve">na zagrożenia dotyczące rzeczywistości cyfrowej – dla nich nie jest to świat „wirtualny”, lecz prawdziwy, więc poważnie traktują przemoc, </w:t>
      </w:r>
      <w:r w:rsidR="00335C99" w:rsidRPr="00EC250C">
        <w:rPr>
          <w:lang w:eastAsia="en-US" w:bidi="hi-IN"/>
        </w:rPr>
        <w:t xml:space="preserve">poniżanie czy </w:t>
      </w:r>
      <w:r w:rsidRPr="00EC250C">
        <w:rPr>
          <w:lang w:eastAsia="en-US" w:bidi="hi-IN"/>
        </w:rPr>
        <w:t xml:space="preserve">nieprawdziwe informacje. </w:t>
      </w:r>
      <w:r w:rsidR="00335C99" w:rsidRPr="00EC250C">
        <w:rPr>
          <w:lang w:eastAsia="en-US" w:bidi="hi-IN"/>
        </w:rPr>
        <w:t xml:space="preserve">Niepokoi ich </w:t>
      </w:r>
      <w:r w:rsidRPr="00EC250C">
        <w:rPr>
          <w:lang w:eastAsia="en-US" w:bidi="hi-IN"/>
        </w:rPr>
        <w:t>przyszłoś</w:t>
      </w:r>
      <w:r w:rsidR="00335C99" w:rsidRPr="00EC250C">
        <w:rPr>
          <w:lang w:eastAsia="en-US" w:bidi="hi-IN"/>
        </w:rPr>
        <w:t>ć</w:t>
      </w:r>
      <w:r w:rsidRPr="00EC250C">
        <w:rPr>
          <w:lang w:eastAsia="en-US" w:bidi="hi-IN"/>
        </w:rPr>
        <w:t xml:space="preserve"> (czy będą musieli chodzić do szkoły</w:t>
      </w:r>
      <w:r w:rsidR="00992FD0" w:rsidRPr="00EC250C">
        <w:rPr>
          <w:lang w:eastAsia="en-US" w:bidi="hi-IN"/>
        </w:rPr>
        <w:t xml:space="preserve"> w </w:t>
      </w:r>
      <w:r w:rsidRPr="00EC250C">
        <w:rPr>
          <w:lang w:eastAsia="en-US" w:bidi="hi-IN"/>
        </w:rPr>
        <w:t>soboty</w:t>
      </w:r>
      <w:r w:rsidR="00335C99" w:rsidRPr="00EC250C">
        <w:rPr>
          <w:lang w:eastAsia="en-US" w:bidi="hi-IN"/>
        </w:rPr>
        <w:t>?</w:t>
      </w:r>
      <w:r w:rsidRPr="00EC250C">
        <w:rPr>
          <w:lang w:eastAsia="en-US" w:bidi="hi-IN"/>
        </w:rPr>
        <w:t xml:space="preserve"> czy matematyka będzie na maturze</w:t>
      </w:r>
      <w:r w:rsidR="00335C99" w:rsidRPr="00EC250C">
        <w:rPr>
          <w:lang w:eastAsia="en-US" w:bidi="hi-IN"/>
        </w:rPr>
        <w:t>?</w:t>
      </w:r>
      <w:r w:rsidRPr="00EC250C">
        <w:rPr>
          <w:lang w:eastAsia="en-US" w:bidi="hi-IN"/>
        </w:rPr>
        <w:t xml:space="preserve"> </w:t>
      </w:r>
      <w:r w:rsidR="00AD5C17" w:rsidRPr="00EC250C">
        <w:t>dlaczego nie mogę korzystać z zajęć pozalekcyjnych, bo nie mam jak wrócić do mojej wsi po godz. 15,</w:t>
      </w:r>
      <w:r w:rsidR="00AD5C17" w:rsidRPr="00EC250C">
        <w:rPr>
          <w:lang w:eastAsia="en-US" w:bidi="hi-IN"/>
        </w:rPr>
        <w:t xml:space="preserve"> </w:t>
      </w:r>
      <w:r w:rsidR="00335C99" w:rsidRPr="00EC250C">
        <w:rPr>
          <w:lang w:eastAsia="en-US" w:bidi="hi-IN"/>
        </w:rPr>
        <w:t xml:space="preserve">czy zdołają zdobyć </w:t>
      </w:r>
      <w:r w:rsidRPr="00EC250C">
        <w:rPr>
          <w:lang w:eastAsia="en-US" w:bidi="hi-IN"/>
        </w:rPr>
        <w:t>wymarzon</w:t>
      </w:r>
      <w:r w:rsidR="00335C99" w:rsidRPr="00EC250C">
        <w:rPr>
          <w:lang w:eastAsia="en-US" w:bidi="hi-IN"/>
        </w:rPr>
        <w:t>y</w:t>
      </w:r>
      <w:r w:rsidRPr="00EC250C">
        <w:rPr>
          <w:lang w:eastAsia="en-US" w:bidi="hi-IN"/>
        </w:rPr>
        <w:t xml:space="preserve"> zaw</w:t>
      </w:r>
      <w:r w:rsidR="00335C99" w:rsidRPr="00EC250C">
        <w:rPr>
          <w:lang w:eastAsia="en-US" w:bidi="hi-IN"/>
        </w:rPr>
        <w:t>ó</w:t>
      </w:r>
      <w:r w:rsidRPr="00EC250C">
        <w:rPr>
          <w:lang w:eastAsia="en-US" w:bidi="hi-IN"/>
        </w:rPr>
        <w:t>d</w:t>
      </w:r>
      <w:r w:rsidR="00335C99" w:rsidRPr="00EC250C">
        <w:rPr>
          <w:lang w:eastAsia="en-US" w:bidi="hi-IN"/>
        </w:rPr>
        <w:t>? czy mają szanse na satysfakcjonujące zarobki</w:t>
      </w:r>
      <w:r w:rsidR="00ED57EA" w:rsidRPr="00EC250C">
        <w:rPr>
          <w:lang w:eastAsia="en-US" w:bidi="hi-IN"/>
        </w:rPr>
        <w:t>?</w:t>
      </w:r>
      <w:r w:rsidR="00AD5C17" w:rsidRPr="00EC250C">
        <w:t xml:space="preserve"> czy będą mogli wynająć mieszkanie w przystępnej cenie</w:t>
      </w:r>
      <w:r w:rsidRPr="00EC250C">
        <w:rPr>
          <w:lang w:eastAsia="en-US" w:bidi="hi-IN"/>
        </w:rPr>
        <w:t>). Dużo ostrzej niż dorośli reagują na zaniechania państwa</w:t>
      </w:r>
      <w:r w:rsidR="00992FD0" w:rsidRPr="00EC250C">
        <w:rPr>
          <w:lang w:eastAsia="en-US" w:bidi="hi-IN"/>
        </w:rPr>
        <w:t xml:space="preserve"> i </w:t>
      </w:r>
      <w:r w:rsidRPr="00EC250C">
        <w:rPr>
          <w:lang w:eastAsia="en-US" w:bidi="hi-IN"/>
        </w:rPr>
        <w:t>błędy urzędnicze – zgłaszają problemy</w:t>
      </w:r>
      <w:r w:rsidR="00992FD0" w:rsidRPr="00EC250C">
        <w:rPr>
          <w:lang w:eastAsia="en-US" w:bidi="hi-IN"/>
        </w:rPr>
        <w:t xml:space="preserve"> z </w:t>
      </w:r>
      <w:r w:rsidRPr="00EC250C">
        <w:rPr>
          <w:lang w:eastAsia="en-US" w:bidi="hi-IN"/>
        </w:rPr>
        <w:t>usługami komunalnymi,</w:t>
      </w:r>
      <w:r w:rsidR="00992FD0" w:rsidRPr="00EC250C">
        <w:rPr>
          <w:lang w:eastAsia="en-US" w:bidi="hi-IN"/>
        </w:rPr>
        <w:t xml:space="preserve"> z </w:t>
      </w:r>
      <w:r w:rsidRPr="00EC250C">
        <w:rPr>
          <w:lang w:eastAsia="en-US" w:bidi="hi-IN"/>
        </w:rPr>
        <w:t>alimentami,</w:t>
      </w:r>
      <w:r w:rsidR="00992FD0" w:rsidRPr="00EC250C">
        <w:rPr>
          <w:lang w:eastAsia="en-US" w:bidi="hi-IN"/>
        </w:rPr>
        <w:t xml:space="preserve"> z </w:t>
      </w:r>
      <w:r w:rsidRPr="00EC250C">
        <w:rPr>
          <w:lang w:eastAsia="en-US" w:bidi="hi-IN"/>
        </w:rPr>
        <w:t>zachowaniem policji</w:t>
      </w:r>
      <w:r w:rsidR="00335C99" w:rsidRPr="00EC250C">
        <w:rPr>
          <w:lang w:eastAsia="en-US" w:bidi="hi-IN"/>
        </w:rPr>
        <w:t>, błędami</w:t>
      </w:r>
      <w:r w:rsidR="00992FD0" w:rsidRPr="00EC250C">
        <w:rPr>
          <w:lang w:eastAsia="en-US" w:bidi="hi-IN"/>
        </w:rPr>
        <w:t xml:space="preserve"> w </w:t>
      </w:r>
      <w:r w:rsidR="00335C99" w:rsidRPr="00EC250C">
        <w:rPr>
          <w:lang w:eastAsia="en-US" w:bidi="hi-IN"/>
        </w:rPr>
        <w:t>inwestycjach (to np. młodzi ludzie zwróci</w:t>
      </w:r>
      <w:r w:rsidR="009C5B20" w:rsidRPr="00EC250C">
        <w:rPr>
          <w:lang w:eastAsia="en-US" w:bidi="hi-IN"/>
        </w:rPr>
        <w:t>li</w:t>
      </w:r>
      <w:r w:rsidR="00992FD0" w:rsidRPr="00EC250C">
        <w:rPr>
          <w:lang w:eastAsia="en-US" w:bidi="hi-IN"/>
        </w:rPr>
        <w:t xml:space="preserve"> w </w:t>
      </w:r>
      <w:r w:rsidR="00335C99" w:rsidRPr="00EC250C">
        <w:rPr>
          <w:lang w:eastAsia="en-US" w:bidi="hi-IN"/>
        </w:rPr>
        <w:t>Mikołowie uwagę RPO na problem drogi krajowej przebiegającej przez osiedle</w:t>
      </w:r>
      <w:r w:rsidR="00992FD0" w:rsidRPr="00EC250C">
        <w:rPr>
          <w:lang w:eastAsia="en-US" w:bidi="hi-IN"/>
        </w:rPr>
        <w:t xml:space="preserve"> i </w:t>
      </w:r>
      <w:r w:rsidR="00335C99" w:rsidRPr="00EC250C">
        <w:rPr>
          <w:lang w:eastAsia="en-US" w:bidi="hi-IN"/>
        </w:rPr>
        <w:t>brak bezpiecznych przejść dla pieszych).</w:t>
      </w:r>
    </w:p>
    <w:bookmarkEnd w:id="7"/>
    <w:p w14:paraId="0E51BEE1" w14:textId="77777777" w:rsidR="008320BB" w:rsidRPr="00EC250C" w:rsidRDefault="008320BB" w:rsidP="00EC250C">
      <w:pPr>
        <w:pStyle w:val="Nagwek5"/>
      </w:pPr>
      <w:r w:rsidRPr="00EC250C">
        <w:t>Kanały, jakimi sprawy trafiają do RPO</w:t>
      </w:r>
    </w:p>
    <w:p w14:paraId="71147EC6" w14:textId="77777777" w:rsidR="008320BB" w:rsidRPr="00EC250C" w:rsidRDefault="008320BB" w:rsidP="00D131FA">
      <w:pPr>
        <w:pStyle w:val="Styl1"/>
      </w:pPr>
      <w:r w:rsidRPr="00EC250C">
        <w:t>Wnioski do RPO kierować można pocztą</w:t>
      </w:r>
      <w:r w:rsidR="00992FD0" w:rsidRPr="00EC250C">
        <w:t xml:space="preserve"> i </w:t>
      </w:r>
      <w:r w:rsidRPr="00EC250C">
        <w:t xml:space="preserve">drogą elektroniczną, także poprzez stronę </w:t>
      </w:r>
      <w:hyperlink r:id="rId9" w:history="1">
        <w:r w:rsidRPr="00EC250C">
          <w:rPr>
            <w:rStyle w:val="Hipercze"/>
          </w:rPr>
          <w:t>www.rpo.gov.pl</w:t>
        </w:r>
      </w:hyperlink>
      <w:r w:rsidRPr="00EC250C">
        <w:t>. Można też zgłosić się osobiście.</w:t>
      </w:r>
      <w:r w:rsidR="00ED57EA" w:rsidRPr="00EC250C">
        <w:t xml:space="preserve"> W czasie spotkań regionalnych można rozmawiać</w:t>
      </w:r>
      <w:r w:rsidR="00992FD0" w:rsidRPr="00EC250C">
        <w:t xml:space="preserve"> z </w:t>
      </w:r>
      <w:r w:rsidR="00ED57EA" w:rsidRPr="00EC250C">
        <w:t>rzecznikiem praw obywatelskich.</w:t>
      </w:r>
    </w:p>
    <w:p w14:paraId="3A50653F" w14:textId="77777777" w:rsidR="008320BB" w:rsidRPr="00EC250C" w:rsidRDefault="00ED57EA" w:rsidP="00D131FA">
      <w:pPr>
        <w:pStyle w:val="Styl1"/>
      </w:pPr>
      <w:r w:rsidRPr="00EC250C">
        <w:t>Prawnicy</w:t>
      </w:r>
      <w:r w:rsidR="00992FD0" w:rsidRPr="00EC250C">
        <w:t xml:space="preserve"> z </w:t>
      </w:r>
      <w:r w:rsidRPr="00EC250C">
        <w:t xml:space="preserve">Biura </w:t>
      </w:r>
      <w:r w:rsidR="008320BB" w:rsidRPr="00EC250C">
        <w:t>RPO przyjmują inter</w:t>
      </w:r>
      <w:r w:rsidR="001342B8" w:rsidRPr="00EC250C">
        <w:t>e</w:t>
      </w:r>
      <w:r w:rsidR="008320BB" w:rsidRPr="00EC250C">
        <w:t>santów codziennie:</w:t>
      </w:r>
      <w:r w:rsidR="00992FD0" w:rsidRPr="00EC250C">
        <w:t xml:space="preserve"> w </w:t>
      </w:r>
      <w:r w:rsidR="008320BB" w:rsidRPr="00EC250C">
        <w:t>Warszawie</w:t>
      </w:r>
      <w:r w:rsidR="00992FD0" w:rsidRPr="00EC250C">
        <w:t xml:space="preserve"> i </w:t>
      </w:r>
      <w:r w:rsidR="008320BB" w:rsidRPr="00EC250C">
        <w:t>trzech biurach terenowych (w Gdańsku, Katowicach, Wrocławiu),</w:t>
      </w:r>
      <w:r w:rsidR="00992FD0" w:rsidRPr="00EC250C">
        <w:t xml:space="preserve"> a </w:t>
      </w:r>
      <w:r w:rsidR="008320BB" w:rsidRPr="00EC250C">
        <w:t>także</w:t>
      </w:r>
      <w:r w:rsidR="00992FD0" w:rsidRPr="00EC250C">
        <w:t xml:space="preserve"> w </w:t>
      </w:r>
      <w:r w:rsidR="008320BB" w:rsidRPr="00EC250C">
        <w:t>czasie regularnych dyżurów</w:t>
      </w:r>
      <w:r w:rsidR="00992FD0" w:rsidRPr="00EC250C">
        <w:t xml:space="preserve"> w </w:t>
      </w:r>
      <w:r w:rsidR="008320BB" w:rsidRPr="00EC250C">
        <w:t xml:space="preserve">jedenastu miastach (w Bydgoszczy, Częstochowie, Kielcach, Koszalinie, Krakowie, Lublinie, </w:t>
      </w:r>
      <w:r w:rsidR="008320BB" w:rsidRPr="00EC250C">
        <w:lastRenderedPageBreak/>
        <w:t>Łodzi, Poznaniu, Słupsku, Szczecinie</w:t>
      </w:r>
      <w:r w:rsidR="00992FD0" w:rsidRPr="00EC250C">
        <w:t xml:space="preserve"> i </w:t>
      </w:r>
      <w:r w:rsidR="008320BB" w:rsidRPr="00EC250C">
        <w:t>Wałbrzychu) oraz</w:t>
      </w:r>
      <w:r w:rsidR="00992FD0" w:rsidRPr="00EC250C">
        <w:t xml:space="preserve"> w </w:t>
      </w:r>
      <w:r w:rsidR="008320BB" w:rsidRPr="00EC250C">
        <w:t>czasie wszystkich spotkań regionalnych RPO (w 2018</w:t>
      </w:r>
      <w:r w:rsidR="00C91F6E" w:rsidRPr="00EC250C">
        <w:t> r.</w:t>
      </w:r>
      <w:r w:rsidR="008320BB" w:rsidRPr="00EC250C">
        <w:t xml:space="preserve"> odwiedzi</w:t>
      </w:r>
      <w:r w:rsidR="00E26C08" w:rsidRPr="00EC250C">
        <w:t xml:space="preserve">liśmy </w:t>
      </w:r>
      <w:r w:rsidR="008320BB" w:rsidRPr="00EC250C">
        <w:t>46 miejscowości).</w:t>
      </w:r>
    </w:p>
    <w:p w14:paraId="3948EA58" w14:textId="77777777" w:rsidR="008320BB" w:rsidRPr="00EC250C" w:rsidRDefault="008320BB" w:rsidP="00D131FA">
      <w:pPr>
        <w:pStyle w:val="Styl1"/>
      </w:pPr>
      <w:r w:rsidRPr="00EC250C">
        <w:t>We wszystkie dni robocze działa też bezpłatna infolinia RPO 800 676 676. W 2018</w:t>
      </w:r>
      <w:r w:rsidR="00C91F6E" w:rsidRPr="00EC250C">
        <w:t> r.</w:t>
      </w:r>
      <w:r w:rsidRPr="00EC250C">
        <w:t xml:space="preserve"> zarejestrowaliśmy 31 973</w:t>
      </w:r>
      <w:r w:rsidR="00CC4D88" w:rsidRPr="00EC250C">
        <w:t xml:space="preserve"> </w:t>
      </w:r>
      <w:r w:rsidRPr="00EC250C">
        <w:t>rozmowy telefoniczne,</w:t>
      </w:r>
      <w:r w:rsidR="00CC4D88" w:rsidRPr="00EC250C">
        <w:t xml:space="preserve"> </w:t>
      </w:r>
      <w:r w:rsidR="001E576A" w:rsidRPr="00EC250C">
        <w:t>podczas</w:t>
      </w:r>
      <w:r w:rsidRPr="00EC250C">
        <w:t xml:space="preserve"> których prawnicy BRPO udzieli wyjaśnień</w:t>
      </w:r>
      <w:r w:rsidR="00992FD0" w:rsidRPr="00EC250C">
        <w:t xml:space="preserve"> i </w:t>
      </w:r>
      <w:r w:rsidRPr="00EC250C">
        <w:t>porad.</w:t>
      </w:r>
    </w:p>
    <w:p w14:paraId="3D52FE3F" w14:textId="77777777" w:rsidR="008320BB" w:rsidRPr="00EC250C" w:rsidRDefault="001342B8" w:rsidP="00D131FA">
      <w:pPr>
        <w:pStyle w:val="Styl1"/>
      </w:pPr>
      <w:r w:rsidRPr="00EC250C">
        <w:t>Warto pamiętać, że Rzecznik Praw Obywatelskich jest częścią systemu wsparcia obywateli</w:t>
      </w:r>
      <w:r w:rsidR="00992FD0" w:rsidRPr="00EC250C">
        <w:t xml:space="preserve"> w </w:t>
      </w:r>
      <w:r w:rsidRPr="00EC250C">
        <w:t xml:space="preserve">ich problemach. </w:t>
      </w:r>
      <w:r w:rsidR="0086657F" w:rsidRPr="00EC250C">
        <w:t>RPO ściśle współpracuje</w:t>
      </w:r>
      <w:r w:rsidR="00992FD0" w:rsidRPr="00EC250C">
        <w:t xml:space="preserve"> z </w:t>
      </w:r>
      <w:r w:rsidR="0086657F" w:rsidRPr="00EC250C">
        <w:t>Rzecznikiem Praw Dziecka, Rzecznikiem Finansowym, Urzędem Ochrony Konkurencji</w:t>
      </w:r>
      <w:r w:rsidR="00992FD0" w:rsidRPr="00EC250C">
        <w:t xml:space="preserve"> i </w:t>
      </w:r>
      <w:r w:rsidR="0086657F" w:rsidRPr="00EC250C">
        <w:t>Konsumentów czy Urzędem Ochrony Danych Osobowych, dzieląc się wiedzą ekspercką</w:t>
      </w:r>
      <w:r w:rsidR="00992FD0" w:rsidRPr="00EC250C">
        <w:t xml:space="preserve"> o </w:t>
      </w:r>
      <w:r w:rsidR="0086657F" w:rsidRPr="00EC250C">
        <w:t>problemach ze stosowaniem prawa</w:t>
      </w:r>
      <w:r w:rsidR="00992FD0" w:rsidRPr="00EC250C">
        <w:t xml:space="preserve"> w </w:t>
      </w:r>
      <w:r w:rsidR="0086657F" w:rsidRPr="00EC250C">
        <w:t>praktyce</w:t>
      </w:r>
      <w:r w:rsidR="00992FD0" w:rsidRPr="00EC250C">
        <w:t xml:space="preserve"> i o </w:t>
      </w:r>
      <w:r w:rsidR="0086657F" w:rsidRPr="00EC250C">
        <w:t xml:space="preserve">kłopotach ludzi. RPO na swojej stronie </w:t>
      </w:r>
      <w:r w:rsidR="0086657F" w:rsidRPr="00EC250C">
        <w:rPr>
          <w:b/>
        </w:rPr>
        <w:t>www</w:t>
      </w:r>
      <w:r w:rsidR="00190678" w:rsidRPr="00EC250C">
        <w:rPr>
          <w:b/>
        </w:rPr>
        <w:t>.rpo.gov.pl</w:t>
      </w:r>
      <w:r w:rsidR="0086657F" w:rsidRPr="00EC250C">
        <w:t xml:space="preserve"> promuje także informacje</w:t>
      </w:r>
      <w:r w:rsidR="00992FD0" w:rsidRPr="00EC250C">
        <w:t xml:space="preserve"> o </w:t>
      </w:r>
      <w:r w:rsidR="0086657F" w:rsidRPr="00EC250C">
        <w:t xml:space="preserve">działaniach </w:t>
      </w:r>
      <w:r w:rsidR="00190678" w:rsidRPr="00EC250C">
        <w:t>tych instytucji</w:t>
      </w:r>
      <w:r w:rsidR="00992FD0" w:rsidRPr="00EC250C">
        <w:t xml:space="preserve"> i o </w:t>
      </w:r>
      <w:r w:rsidR="0086657F" w:rsidRPr="00EC250C">
        <w:t>innych dostępnych formach pomocy – jak np. telefoniczne infolinie</w:t>
      </w:r>
      <w:r w:rsidR="00992FD0" w:rsidRPr="00EC250C">
        <w:t xml:space="preserve"> i </w:t>
      </w:r>
      <w:r w:rsidR="0086657F" w:rsidRPr="00EC250C">
        <w:t>telefony zaufania</w:t>
      </w:r>
      <w:r w:rsidR="0086657F" w:rsidRPr="00EC250C">
        <w:rPr>
          <w:rStyle w:val="Odwoanieprzypisudolnego"/>
        </w:rPr>
        <w:footnoteReference w:id="3"/>
      </w:r>
      <w:r w:rsidR="0086657F" w:rsidRPr="00EC250C">
        <w:t>.</w:t>
      </w:r>
      <w:r w:rsidR="008320BB" w:rsidRPr="00EC250C">
        <w:br w:type="page"/>
      </w:r>
    </w:p>
    <w:p w14:paraId="33F08D48" w14:textId="77777777" w:rsidR="000D40FF" w:rsidRPr="00EC250C" w:rsidRDefault="00432660" w:rsidP="00D131FA">
      <w:pPr>
        <w:pStyle w:val="Nagwek1"/>
        <w:jc w:val="both"/>
        <w:rPr>
          <w:b w:val="0"/>
        </w:rPr>
      </w:pPr>
      <w:bookmarkStart w:id="8" w:name="_Toc11247524"/>
      <w:bookmarkEnd w:id="5"/>
      <w:r w:rsidRPr="00EC250C">
        <w:lastRenderedPageBreak/>
        <w:t>CZĘŚĆ I – S</w:t>
      </w:r>
      <w:r w:rsidR="00F4277F" w:rsidRPr="00EC250C">
        <w:t>tan</w:t>
      </w:r>
      <w:r w:rsidRPr="00EC250C">
        <w:t xml:space="preserve"> </w:t>
      </w:r>
      <w:r w:rsidR="00F4277F" w:rsidRPr="00EC250C">
        <w:t>przestrzegania</w:t>
      </w:r>
      <w:r w:rsidRPr="00EC250C">
        <w:t xml:space="preserve"> </w:t>
      </w:r>
      <w:r w:rsidR="00F4277F" w:rsidRPr="00EC250C">
        <w:t>wolności</w:t>
      </w:r>
      <w:r w:rsidR="00992FD0" w:rsidRPr="00EC250C">
        <w:t xml:space="preserve"> i </w:t>
      </w:r>
      <w:r w:rsidR="00F4277F" w:rsidRPr="00EC250C">
        <w:t>praw człowieka</w:t>
      </w:r>
      <w:r w:rsidR="00992FD0" w:rsidRPr="00EC250C">
        <w:t xml:space="preserve"> i </w:t>
      </w:r>
      <w:r w:rsidR="00F4277F" w:rsidRPr="00EC250C">
        <w:t>obywatela</w:t>
      </w:r>
      <w:bookmarkStart w:id="9" w:name="_Toc6257624"/>
      <w:bookmarkEnd w:id="6"/>
      <w:bookmarkEnd w:id="8"/>
    </w:p>
    <w:p w14:paraId="2E68C731" w14:textId="5F7531CD" w:rsidR="00BD1966" w:rsidRPr="00EC250C" w:rsidRDefault="003C30AD" w:rsidP="00D131FA">
      <w:pPr>
        <w:pStyle w:val="Nagwek2"/>
        <w:jc w:val="both"/>
      </w:pPr>
      <w:bookmarkStart w:id="10" w:name="_Toc11247525"/>
      <w:r w:rsidRPr="00EC250C">
        <w:t>1.</w:t>
      </w:r>
      <w:r w:rsidR="00E40979" w:rsidRPr="00EC250C">
        <w:t xml:space="preserve"> </w:t>
      </w:r>
      <w:r w:rsidRPr="00EC250C">
        <w:t>Zasady</w:t>
      </w:r>
      <w:r w:rsidR="00BD1966" w:rsidRPr="00EC250C">
        <w:t xml:space="preserve"> </w:t>
      </w:r>
      <w:r w:rsidRPr="00EC250C">
        <w:t>ogólne</w:t>
      </w:r>
      <w:bookmarkEnd w:id="9"/>
      <w:r w:rsidRPr="00EC250C">
        <w:t xml:space="preserve"> </w:t>
      </w:r>
      <w:r w:rsidR="00335AF8" w:rsidRPr="00EC250C">
        <w:t>Konstytucji</w:t>
      </w:r>
      <w:bookmarkEnd w:id="10"/>
    </w:p>
    <w:p w14:paraId="04AE79F2" w14:textId="77777777" w:rsidR="00C91F6E" w:rsidRPr="00EC250C" w:rsidRDefault="00425A62" w:rsidP="00EC250C">
      <w:pPr>
        <w:pStyle w:val="Nagwek3"/>
      </w:pPr>
      <w:bookmarkStart w:id="11" w:name="_Toc6257625"/>
      <w:bookmarkStart w:id="12" w:name="_Toc11247526"/>
      <w:r w:rsidRPr="00EC250C">
        <w:t>Art. 30 Konstytucji – Godność osobista</w:t>
      </w:r>
      <w:bookmarkEnd w:id="11"/>
      <w:bookmarkEnd w:id="12"/>
    </w:p>
    <w:p w14:paraId="3488F5E8" w14:textId="77777777" w:rsidR="00C91F6E" w:rsidRPr="00EC250C" w:rsidRDefault="00425A62" w:rsidP="00D131FA">
      <w:pPr>
        <w:pStyle w:val="konstytucja"/>
        <w:jc w:val="both"/>
      </w:pPr>
      <w:r w:rsidRPr="00EC250C">
        <w:t>Przyrodzona</w:t>
      </w:r>
      <w:r w:rsidR="00992FD0" w:rsidRPr="00EC250C">
        <w:t xml:space="preserve"> i </w:t>
      </w:r>
      <w:r w:rsidRPr="00EC250C">
        <w:t>niezbywalna godność człowieka stanowi źródło wolności</w:t>
      </w:r>
      <w:r w:rsidR="00992FD0" w:rsidRPr="00EC250C">
        <w:t xml:space="preserve"> i </w:t>
      </w:r>
      <w:r w:rsidRPr="00EC250C">
        <w:t>praw człowieka</w:t>
      </w:r>
      <w:r w:rsidR="00992FD0" w:rsidRPr="00EC250C">
        <w:t xml:space="preserve"> i </w:t>
      </w:r>
      <w:r w:rsidRPr="00EC250C">
        <w:t>obywatela. Jest ona nienaruszalna,</w:t>
      </w:r>
      <w:r w:rsidR="00992FD0" w:rsidRPr="00EC250C">
        <w:t xml:space="preserve"> a </w:t>
      </w:r>
      <w:r w:rsidRPr="00EC250C">
        <w:t>jej poszanowanie</w:t>
      </w:r>
      <w:r w:rsidR="00992FD0" w:rsidRPr="00EC250C">
        <w:t xml:space="preserve"> i </w:t>
      </w:r>
      <w:r w:rsidRPr="00EC250C">
        <w:t>ochrona jest obowiązkiem władz publicznych.</w:t>
      </w:r>
    </w:p>
    <w:p w14:paraId="054E9994" w14:textId="77777777" w:rsidR="00C91F6E" w:rsidRPr="00EC250C" w:rsidRDefault="00425A62" w:rsidP="00D131FA">
      <w:pPr>
        <w:pStyle w:val="ComwiKonstytucja"/>
      </w:pPr>
      <w:r w:rsidRPr="00EC250C">
        <w:t>Konstytucja wywodzi nasze prawa</w:t>
      </w:r>
      <w:r w:rsidR="00992FD0" w:rsidRPr="00EC250C">
        <w:t xml:space="preserve"> z </w:t>
      </w:r>
      <w:r w:rsidRPr="00EC250C">
        <w:t>trzech fundamentalnych wartości: godności, wolności</w:t>
      </w:r>
      <w:r w:rsidR="00992FD0" w:rsidRPr="00EC250C">
        <w:t xml:space="preserve"> i </w:t>
      </w:r>
      <w:r w:rsidRPr="00EC250C">
        <w:t>równości. Godność jest najważniejszym</w:t>
      </w:r>
      <w:r w:rsidR="00992FD0" w:rsidRPr="00EC250C">
        <w:t xml:space="preserve"> z </w:t>
      </w:r>
      <w:r w:rsidRPr="00EC250C">
        <w:t>tych terminów. Możemy rozumieć ją zarówno jako źródło</w:t>
      </w:r>
      <w:r w:rsidR="00992FD0" w:rsidRPr="00EC250C">
        <w:t xml:space="preserve"> i </w:t>
      </w:r>
      <w:r w:rsidRPr="00EC250C">
        <w:t>podstawę wolności</w:t>
      </w:r>
      <w:r w:rsidR="00992FD0" w:rsidRPr="00EC250C">
        <w:t xml:space="preserve"> i </w:t>
      </w:r>
      <w:r w:rsidRPr="00EC250C">
        <w:t xml:space="preserve">praw człowieka lub jako odrębne, przysługujące nam prawo. </w:t>
      </w:r>
      <w:bookmarkStart w:id="13" w:name="_Hlk5276852"/>
      <w:r w:rsidRPr="00EC250C">
        <w:t>Godność przysługuje każdemu</w:t>
      </w:r>
      <w:r w:rsidR="00992FD0" w:rsidRPr="00EC250C">
        <w:t xml:space="preserve"> z </w:t>
      </w:r>
      <w:r w:rsidRPr="00EC250C">
        <w:t>nas, każdemu człowiekowi, bez względu na jakiekolwiek cechy – wiek, płeć, niepełnosprawność, chorobę, pochodzenie, poglądy itd. – niezależnie również od naszego zachowania. Obowiązkiem państwa, społeczeństwa</w:t>
      </w:r>
      <w:r w:rsidR="00992FD0" w:rsidRPr="00EC250C">
        <w:t xml:space="preserve"> i </w:t>
      </w:r>
      <w:r w:rsidRPr="00EC250C">
        <w:t>innych ludzi jest uznawanie</w:t>
      </w:r>
      <w:r w:rsidR="00992FD0" w:rsidRPr="00EC250C">
        <w:t xml:space="preserve"> i </w:t>
      </w:r>
      <w:r w:rsidRPr="00EC250C">
        <w:t>nienaruszanie tej godności. Oznacza to zapewnienie wszystkim „minimum szacunku” oraz takich ram do samorealizacji, które umożliwią działanie zgodne</w:t>
      </w:r>
      <w:r w:rsidR="00992FD0" w:rsidRPr="00EC250C">
        <w:t xml:space="preserve"> z </w:t>
      </w:r>
      <w:r w:rsidRPr="00EC250C">
        <w:t>naszą wolą</w:t>
      </w:r>
      <w:r w:rsidR="00992FD0" w:rsidRPr="00EC250C">
        <w:t xml:space="preserve"> i </w:t>
      </w:r>
      <w:r w:rsidRPr="00EC250C">
        <w:t xml:space="preserve">systemem wartości. Naruszeniem godności będzie </w:t>
      </w:r>
      <w:r w:rsidR="00C852A5" w:rsidRPr="00EC250C">
        <w:t xml:space="preserve">zatem </w:t>
      </w:r>
      <w:r w:rsidRPr="00EC250C">
        <w:t>każda sytuacja,</w:t>
      </w:r>
      <w:r w:rsidR="00992FD0" w:rsidRPr="00EC250C">
        <w:t xml:space="preserve"> w </w:t>
      </w:r>
      <w:r w:rsidR="00C852A5" w:rsidRPr="00EC250C">
        <w:t>której</w:t>
      </w:r>
      <w:r w:rsidRPr="00EC250C">
        <w:t xml:space="preserve"> człowiek staje się wyłącznie przedmiotem działań podejmowanych przez władzę. Godność jest przyrodzona – jej źródłem nie jest Konstytucja lub inny akt prawny, ale sam fakt bycia człowiekiem (prawo naturalne). Jest również nienaruszalna – co oznacza, że żaden, nawet najważniejszy interes publiczny nie może uzasadniać ingerencji</w:t>
      </w:r>
      <w:r w:rsidR="00992FD0" w:rsidRPr="00EC250C">
        <w:t xml:space="preserve"> w </w:t>
      </w:r>
      <w:r w:rsidRPr="00EC250C">
        <w:t>naszą godność.</w:t>
      </w:r>
    </w:p>
    <w:p w14:paraId="33668381" w14:textId="77777777" w:rsidR="00C91F6E" w:rsidRPr="00EC250C" w:rsidRDefault="00425A62" w:rsidP="00D131FA">
      <w:pPr>
        <w:pStyle w:val="ComwiKonstytucja"/>
      </w:pPr>
      <w:r w:rsidRPr="00EC250C">
        <w:t>Nie można jej</w:t>
      </w:r>
      <w:r w:rsidR="00992FD0" w:rsidRPr="00EC250C">
        <w:t xml:space="preserve"> w </w:t>
      </w:r>
      <w:r w:rsidRPr="00EC250C">
        <w:t>żaden sposób stracić, nawet wskutek najbardziej nagannego zachowania czy popełnienia najcięższego przestępstwa, nie może zostać nam odebrana</w:t>
      </w:r>
      <w:r w:rsidR="00992FD0" w:rsidRPr="00EC250C">
        <w:t xml:space="preserve"> i </w:t>
      </w:r>
      <w:r w:rsidRPr="00EC250C">
        <w:t>nie możemy się jej zrzec.</w:t>
      </w:r>
    </w:p>
    <w:p w14:paraId="7ECFC34D" w14:textId="77777777" w:rsidR="00425A62" w:rsidRPr="00EC250C" w:rsidRDefault="00425A62" w:rsidP="00D131FA">
      <w:pPr>
        <w:pStyle w:val="ComwiKonstytucja"/>
      </w:pPr>
      <w:r w:rsidRPr="00EC250C">
        <w:t>Godność jest więc</w:t>
      </w:r>
      <w:r w:rsidR="00992FD0" w:rsidRPr="00EC250C">
        <w:t xml:space="preserve"> z </w:t>
      </w:r>
      <w:r w:rsidRPr="00EC250C">
        <w:t xml:space="preserve">jednej strony matką innych praw, „pojęciem-kluczem” dla rozumienia całego systemu, gwarantem naszych wolności. </w:t>
      </w:r>
      <w:bookmarkEnd w:id="13"/>
      <w:r w:rsidRPr="00EC250C">
        <w:t>Z drugiej zaś osobnym prawem, pewnego rodzaju buforem bezpieczeństwa dla jednostki. Niektóre naganne działania, które formalnie nie naruszają innych praw lub wolności wynikających</w:t>
      </w:r>
      <w:r w:rsidR="00992FD0" w:rsidRPr="00EC250C">
        <w:t xml:space="preserve"> z </w:t>
      </w:r>
      <w:r w:rsidRPr="00EC250C">
        <w:t>Konstytucji, mogą stanowić naruszenie samej godności</w:t>
      </w:r>
      <w:r w:rsidR="00992FD0" w:rsidRPr="00EC250C">
        <w:t xml:space="preserve"> i </w:t>
      </w:r>
      <w:r w:rsidRPr="00EC250C">
        <w:t>właśnie dlatego być niedopuszczalne. Bardzo rzadko jednak prawnicy powołują się na pojęcie godności bezpośrednio – zazwyczaj godność naruszana jest wskutek naruszenia innego przysługującego nam prawa</w:t>
      </w:r>
      <w:r w:rsidR="00C852A5" w:rsidRPr="00EC250C">
        <w:t>.</w:t>
      </w:r>
    </w:p>
    <w:p w14:paraId="03846034" w14:textId="77777777" w:rsidR="00EE09AA" w:rsidRPr="00EC250C" w:rsidRDefault="00EE09AA" w:rsidP="00D131FA">
      <w:pPr>
        <w:pStyle w:val="ComwiKonstytucja"/>
      </w:pPr>
    </w:p>
    <w:p w14:paraId="086B6EDB" w14:textId="77777777" w:rsidR="0088184E" w:rsidRPr="00EC250C" w:rsidRDefault="0088184E" w:rsidP="00D131FA">
      <w:pPr>
        <w:spacing w:after="200" w:line="24" w:lineRule="auto"/>
        <w:jc w:val="both"/>
        <w:rPr>
          <w:sz w:val="24"/>
        </w:rPr>
      </w:pPr>
      <w:r w:rsidRPr="00EC250C">
        <w:rPr>
          <w:sz w:val="24"/>
        </w:rPr>
        <w:br w:type="page"/>
      </w:r>
    </w:p>
    <w:p w14:paraId="1C88715F" w14:textId="77777777" w:rsidR="00C91F6E" w:rsidRPr="00EC250C" w:rsidRDefault="009B4CA6" w:rsidP="00EC79EB">
      <w:pPr>
        <w:pStyle w:val="Nagwek4"/>
      </w:pPr>
      <w:bookmarkStart w:id="14" w:name="_Toc6257626"/>
      <w:bookmarkStart w:id="15" w:name="_Toc11247527"/>
      <w:r w:rsidRPr="00EC250C">
        <w:lastRenderedPageBreak/>
        <w:t xml:space="preserve">Ubezwłasnowolnienie – </w:t>
      </w:r>
      <w:r w:rsidR="0074144A" w:rsidRPr="00EC250C">
        <w:t xml:space="preserve">pozbawianie praw </w:t>
      </w:r>
      <w:r w:rsidRPr="00EC250C">
        <w:t>zamiast wsparcia</w:t>
      </w:r>
      <w:r w:rsidR="00992FD0" w:rsidRPr="00EC250C">
        <w:t xml:space="preserve"> w </w:t>
      </w:r>
      <w:r w:rsidRPr="00EC250C">
        <w:t>podejmowaniu decyzji</w:t>
      </w:r>
      <w:bookmarkEnd w:id="14"/>
      <w:bookmarkEnd w:id="15"/>
    </w:p>
    <w:p w14:paraId="39720AA0" w14:textId="77777777" w:rsidR="00B473F5" w:rsidRPr="00EC250C" w:rsidRDefault="00DA3107" w:rsidP="00D131FA">
      <w:pPr>
        <w:pStyle w:val="Problemczowieka"/>
        <w:jc w:val="both"/>
        <w:rPr>
          <w:bdr w:val="none" w:sz="0" w:space="0" w:color="auto" w:frame="1"/>
        </w:rPr>
      </w:pPr>
      <w:r w:rsidRPr="00EC250C">
        <w:rPr>
          <w:bdr w:val="none" w:sz="0" w:space="0" w:color="auto" w:frame="1"/>
        </w:rPr>
        <w:t>W Polsce nadal rekomendowanym przez władze</w:t>
      </w:r>
      <w:r w:rsidR="00992FD0" w:rsidRPr="00EC250C">
        <w:rPr>
          <w:bdr w:val="none" w:sz="0" w:space="0" w:color="auto" w:frame="1"/>
        </w:rPr>
        <w:t xml:space="preserve"> i </w:t>
      </w:r>
      <w:r w:rsidRPr="00EC250C">
        <w:rPr>
          <w:bdr w:val="none" w:sz="0" w:space="0" w:color="auto" w:frame="1"/>
        </w:rPr>
        <w:t>służbę zdrowia sposobem na radzenie sobie</w:t>
      </w:r>
      <w:r w:rsidR="00992FD0" w:rsidRPr="00EC250C">
        <w:rPr>
          <w:bdr w:val="none" w:sz="0" w:space="0" w:color="auto" w:frame="1"/>
        </w:rPr>
        <w:t xml:space="preserve"> z </w:t>
      </w:r>
      <w:r w:rsidRPr="00EC250C">
        <w:rPr>
          <w:bdr w:val="none" w:sz="0" w:space="0" w:color="auto" w:frame="1"/>
        </w:rPr>
        <w:t>ciężarem opieki nad osobą</w:t>
      </w:r>
      <w:r w:rsidR="00992FD0" w:rsidRPr="00EC250C">
        <w:rPr>
          <w:bdr w:val="none" w:sz="0" w:space="0" w:color="auto" w:frame="1"/>
        </w:rPr>
        <w:t xml:space="preserve"> z </w:t>
      </w:r>
      <w:r w:rsidRPr="00EC250C">
        <w:rPr>
          <w:bdr w:val="none" w:sz="0" w:space="0" w:color="auto" w:frame="1"/>
        </w:rPr>
        <w:t>niepełnosprawnością jest jej u</w:t>
      </w:r>
      <w:r w:rsidR="00F22483" w:rsidRPr="00EC250C">
        <w:rPr>
          <w:bdr w:val="none" w:sz="0" w:space="0" w:color="auto" w:frame="1"/>
        </w:rPr>
        <w:t>bezwłasnowolnienie</w:t>
      </w:r>
      <w:r w:rsidRPr="00EC250C">
        <w:rPr>
          <w:bdr w:val="none" w:sz="0" w:space="0" w:color="auto" w:frame="1"/>
        </w:rPr>
        <w:t xml:space="preserve">. A jest to dla takiej osoby </w:t>
      </w:r>
      <w:r w:rsidR="00351659" w:rsidRPr="00EC250C">
        <w:rPr>
          <w:bdr w:val="none" w:sz="0" w:space="0" w:color="auto" w:frame="1"/>
        </w:rPr>
        <w:t>praktycznie śmierć cywilna</w:t>
      </w:r>
      <w:r w:rsidR="00B473F5" w:rsidRPr="00EC250C">
        <w:rPr>
          <w:bdr w:val="none" w:sz="0" w:space="0" w:color="auto" w:frame="1"/>
        </w:rPr>
        <w:t>.</w:t>
      </w:r>
    </w:p>
    <w:p w14:paraId="670E700B" w14:textId="77777777" w:rsidR="00F22483" w:rsidRPr="00EC250C" w:rsidRDefault="00F22483" w:rsidP="00D131FA">
      <w:pPr>
        <w:pStyle w:val="Styl1"/>
      </w:pPr>
      <w:r w:rsidRPr="00EC250C">
        <w:t xml:space="preserve">Ubezwłasnowolnienie polega bowiem na </w:t>
      </w:r>
      <w:r w:rsidR="00E00404" w:rsidRPr="00EC250C">
        <w:t xml:space="preserve">sądowym </w:t>
      </w:r>
      <w:r w:rsidRPr="00EC250C">
        <w:t xml:space="preserve">pozbawieniu </w:t>
      </w:r>
      <w:r w:rsidR="00107AD3" w:rsidRPr="00EC250C">
        <w:t xml:space="preserve">obywatela </w:t>
      </w:r>
      <w:r w:rsidRPr="00EC250C">
        <w:t>zdolności do czynności prawnych</w:t>
      </w:r>
      <w:r w:rsidR="00992FD0" w:rsidRPr="00EC250C">
        <w:t xml:space="preserve"> z </w:t>
      </w:r>
      <w:r w:rsidRPr="00EC250C">
        <w:t xml:space="preserve">uwagi na </w:t>
      </w:r>
      <w:r w:rsidR="00107AD3" w:rsidRPr="00EC250C">
        <w:t xml:space="preserve">jego </w:t>
      </w:r>
      <w:r w:rsidRPr="00EC250C">
        <w:t>chorobę lub psychiczne problemy. Jeśli jest to ubezwłasnowolnienie całkowite (a jest tak</w:t>
      </w:r>
      <w:r w:rsidR="00992FD0" w:rsidRPr="00EC250C">
        <w:t xml:space="preserve"> w </w:t>
      </w:r>
      <w:r w:rsidRPr="00EC250C">
        <w:t>Polsce</w:t>
      </w:r>
      <w:r w:rsidR="00992FD0" w:rsidRPr="00EC250C">
        <w:t xml:space="preserve"> w </w:t>
      </w:r>
      <w:r w:rsidRPr="00EC250C">
        <w:t xml:space="preserve">90 proc. </w:t>
      </w:r>
      <w:r w:rsidR="00107AD3" w:rsidRPr="00EC250C">
        <w:t>p</w:t>
      </w:r>
      <w:r w:rsidRPr="00EC250C">
        <w:t>rzypadków)</w:t>
      </w:r>
      <w:r w:rsidR="00E44B23" w:rsidRPr="00EC250C">
        <w:t>,</w:t>
      </w:r>
      <w:r w:rsidRPr="00EC250C">
        <w:t xml:space="preserve"> to</w:t>
      </w:r>
      <w:r w:rsidR="00A25603" w:rsidRPr="00EC250C">
        <w:t xml:space="preserve"> </w:t>
      </w:r>
      <w:r w:rsidR="00E44B23" w:rsidRPr="00EC250C">
        <w:t xml:space="preserve">osoba ta </w:t>
      </w:r>
      <w:r w:rsidRPr="00EC250C">
        <w:t xml:space="preserve">nie może </w:t>
      </w:r>
      <w:r w:rsidR="00992FD0" w:rsidRPr="00EC250C">
        <w:t>o </w:t>
      </w:r>
      <w:r w:rsidRPr="00EC250C">
        <w:t>sobie stanowić</w:t>
      </w:r>
      <w:r w:rsidR="00992FD0" w:rsidRPr="00EC250C">
        <w:t xml:space="preserve"> w </w:t>
      </w:r>
      <w:r w:rsidR="00A25603" w:rsidRPr="00EC250C">
        <w:t>ogóle</w:t>
      </w:r>
      <w:r w:rsidRPr="00EC250C">
        <w:t>.</w:t>
      </w:r>
    </w:p>
    <w:p w14:paraId="2FED409F" w14:textId="77777777" w:rsidR="00F22483" w:rsidRPr="00EC250C" w:rsidRDefault="00073A8C" w:rsidP="00D131FA">
      <w:pPr>
        <w:pStyle w:val="Styl1"/>
      </w:pPr>
      <w:r w:rsidRPr="00EC250C">
        <w:rPr>
          <w:rStyle w:val="Pogrubienie"/>
          <w:rFonts w:eastAsiaTheme="minorHAnsi"/>
          <w:bCs w:val="0"/>
        </w:rPr>
        <w:t>RPO</w:t>
      </w:r>
      <w:r w:rsidR="00F22483" w:rsidRPr="00EC250C">
        <w:rPr>
          <w:rStyle w:val="Pogrubienie"/>
          <w:rFonts w:eastAsiaTheme="minorHAnsi"/>
          <w:bCs w:val="0"/>
        </w:rPr>
        <w:t xml:space="preserve"> od dawna uważa, że instytucja ubezwłasnowolnienia powinna zostać zniesiona</w:t>
      </w:r>
      <w:r w:rsidR="00992FD0" w:rsidRPr="00EC250C">
        <w:rPr>
          <w:rStyle w:val="Pogrubienie"/>
          <w:rFonts w:eastAsiaTheme="minorHAnsi"/>
          <w:bCs w:val="0"/>
        </w:rPr>
        <w:t xml:space="preserve"> i </w:t>
      </w:r>
      <w:r w:rsidR="00F22483" w:rsidRPr="00EC250C">
        <w:rPr>
          <w:rStyle w:val="Pogrubienie"/>
          <w:rFonts w:eastAsiaTheme="minorHAnsi"/>
          <w:bCs w:val="0"/>
        </w:rPr>
        <w:t>zastąpiona systemem wspieranego podejmowania decyzji. Domaga się także tego środowisko osób</w:t>
      </w:r>
      <w:r w:rsidR="00992FD0" w:rsidRPr="00EC250C">
        <w:rPr>
          <w:rStyle w:val="Pogrubienie"/>
          <w:rFonts w:eastAsiaTheme="minorHAnsi"/>
          <w:bCs w:val="0"/>
        </w:rPr>
        <w:t xml:space="preserve"> z </w:t>
      </w:r>
      <w:r w:rsidR="00F22483" w:rsidRPr="00EC250C">
        <w:rPr>
          <w:rStyle w:val="Pogrubienie"/>
          <w:rFonts w:eastAsiaTheme="minorHAnsi"/>
          <w:bCs w:val="0"/>
        </w:rPr>
        <w:t>niepełnosprawnościami.</w:t>
      </w:r>
    </w:p>
    <w:p w14:paraId="3BD4D972" w14:textId="77777777" w:rsidR="00F22483" w:rsidRPr="00EC250C" w:rsidRDefault="00F22483" w:rsidP="00D131FA">
      <w:pPr>
        <w:pStyle w:val="Styl1"/>
      </w:pPr>
      <w:r w:rsidRPr="00EC250C">
        <w:rPr>
          <w:bdr w:val="none" w:sz="0" w:space="0" w:color="auto" w:frame="1"/>
        </w:rPr>
        <w:t>W większości przypadków osoby</w:t>
      </w:r>
      <w:r w:rsidR="00992FD0" w:rsidRPr="00EC250C">
        <w:rPr>
          <w:bdr w:val="none" w:sz="0" w:space="0" w:color="auto" w:frame="1"/>
        </w:rPr>
        <w:t xml:space="preserve"> z </w:t>
      </w:r>
      <w:r w:rsidRPr="00EC250C">
        <w:rPr>
          <w:bdr w:val="none" w:sz="0" w:space="0" w:color="auto" w:frame="1"/>
        </w:rPr>
        <w:t>niepełnosprawnością intelektualną</w:t>
      </w:r>
      <w:r w:rsidR="00992FD0" w:rsidRPr="00EC250C">
        <w:rPr>
          <w:bdr w:val="none" w:sz="0" w:space="0" w:color="auto" w:frame="1"/>
        </w:rPr>
        <w:t xml:space="preserve"> i </w:t>
      </w:r>
      <w:r w:rsidR="00E44B23" w:rsidRPr="00EC250C">
        <w:rPr>
          <w:bdr w:val="none" w:sz="0" w:space="0" w:color="auto" w:frame="1"/>
        </w:rPr>
        <w:t xml:space="preserve">chorujące </w:t>
      </w:r>
      <w:r w:rsidRPr="00EC250C">
        <w:rPr>
          <w:bdr w:val="none" w:sz="0" w:space="0" w:color="auto" w:frame="1"/>
        </w:rPr>
        <w:t>psychiczn</w:t>
      </w:r>
      <w:r w:rsidR="00E44B23" w:rsidRPr="00EC250C">
        <w:rPr>
          <w:bdr w:val="none" w:sz="0" w:space="0" w:color="auto" w:frame="1"/>
        </w:rPr>
        <w:t>ie</w:t>
      </w:r>
      <w:r w:rsidRPr="00EC250C">
        <w:rPr>
          <w:bdr w:val="none" w:sz="0" w:space="0" w:color="auto" w:frame="1"/>
        </w:rPr>
        <w:t xml:space="preserve"> potrafią artykułować sw</w:t>
      </w:r>
      <w:r w:rsidR="001E576A" w:rsidRPr="00EC250C">
        <w:rPr>
          <w:bdr w:val="none" w:sz="0" w:space="0" w:color="auto" w:frame="1"/>
        </w:rPr>
        <w:t>oje</w:t>
      </w:r>
      <w:r w:rsidRPr="00EC250C">
        <w:rPr>
          <w:bdr w:val="none" w:sz="0" w:space="0" w:color="auto" w:frame="1"/>
        </w:rPr>
        <w:t xml:space="preserve"> potrzeby</w:t>
      </w:r>
      <w:r w:rsidR="00992FD0" w:rsidRPr="00EC250C">
        <w:rPr>
          <w:bdr w:val="none" w:sz="0" w:space="0" w:color="auto" w:frame="1"/>
        </w:rPr>
        <w:t xml:space="preserve"> i </w:t>
      </w:r>
      <w:r w:rsidRPr="00EC250C">
        <w:rPr>
          <w:bdr w:val="none" w:sz="0" w:space="0" w:color="auto" w:frame="1"/>
        </w:rPr>
        <w:t>wolę. Może to wprawdzie wymagać zmiany języka na bardzo prosty bądź pomocy innej osoby, ale trudności komunikacyjne nie mogą pozbawiać człowieka wszystkich praw</w:t>
      </w:r>
      <w:r w:rsidR="00992FD0" w:rsidRPr="00EC250C">
        <w:rPr>
          <w:bdr w:val="none" w:sz="0" w:space="0" w:color="auto" w:frame="1"/>
        </w:rPr>
        <w:t xml:space="preserve"> w </w:t>
      </w:r>
      <w:r w:rsidRPr="00EC250C">
        <w:rPr>
          <w:bdr w:val="none" w:sz="0" w:space="0" w:color="auto" w:frame="1"/>
        </w:rPr>
        <w:t>każdym zakresie.</w:t>
      </w:r>
    </w:p>
    <w:p w14:paraId="6FA6C167" w14:textId="77777777" w:rsidR="00F22483" w:rsidRPr="00EC250C" w:rsidRDefault="00107AD3" w:rsidP="00D131FA">
      <w:pPr>
        <w:pStyle w:val="Styl1"/>
      </w:pPr>
      <w:r w:rsidRPr="00EC250C">
        <w:t>Co prawda</w:t>
      </w:r>
      <w:r w:rsidR="00F22483" w:rsidRPr="00EC250C">
        <w:t xml:space="preserve"> osoby</w:t>
      </w:r>
      <w:r w:rsidR="00992FD0" w:rsidRPr="00EC250C">
        <w:t xml:space="preserve"> z </w:t>
      </w:r>
      <w:r w:rsidR="00F22483" w:rsidRPr="00EC250C">
        <w:t>niepełnosprawnością intelektualną</w:t>
      </w:r>
      <w:r w:rsidR="00992FD0" w:rsidRPr="00EC250C">
        <w:t xml:space="preserve"> i </w:t>
      </w:r>
      <w:r w:rsidR="00130131" w:rsidRPr="00EC250C">
        <w:t xml:space="preserve">chorujące </w:t>
      </w:r>
      <w:r w:rsidR="00F22483" w:rsidRPr="00EC250C">
        <w:t>psychiczn</w:t>
      </w:r>
      <w:r w:rsidR="00130131" w:rsidRPr="00EC250C">
        <w:t>ie</w:t>
      </w:r>
      <w:r w:rsidR="00F22483" w:rsidRPr="00EC250C">
        <w:t xml:space="preserve"> </w:t>
      </w:r>
      <w:r w:rsidRPr="00EC250C">
        <w:t xml:space="preserve">niekiedy </w:t>
      </w:r>
      <w:r w:rsidR="00F22483" w:rsidRPr="00EC250C">
        <w:t>nie mogą świadomie podjąć decyzji np.</w:t>
      </w:r>
      <w:r w:rsidR="00992FD0" w:rsidRPr="00EC250C">
        <w:t xml:space="preserve"> o </w:t>
      </w:r>
      <w:r w:rsidR="00F22483" w:rsidRPr="00EC250C">
        <w:t>zakup</w:t>
      </w:r>
      <w:r w:rsidRPr="00EC250C">
        <w:t>ie</w:t>
      </w:r>
      <w:r w:rsidR="00F22483" w:rsidRPr="00EC250C">
        <w:t xml:space="preserve"> czy sprzedaż</w:t>
      </w:r>
      <w:r w:rsidRPr="00EC250C">
        <w:t>y</w:t>
      </w:r>
      <w:r w:rsidR="00F22483" w:rsidRPr="00EC250C">
        <w:t xml:space="preserve"> nieruchomości, </w:t>
      </w:r>
      <w:r w:rsidRPr="00EC250C">
        <w:t>przyjęciu bądź odrzuceniu</w:t>
      </w:r>
      <w:r w:rsidR="00F22483" w:rsidRPr="00EC250C">
        <w:t xml:space="preserve"> spadku, ale </w:t>
      </w:r>
      <w:r w:rsidRPr="00EC250C">
        <w:t>są zdolne</w:t>
      </w:r>
      <w:r w:rsidR="00F22483" w:rsidRPr="00EC250C">
        <w:t xml:space="preserve"> </w:t>
      </w:r>
      <w:r w:rsidRPr="00EC250C">
        <w:t xml:space="preserve">samodzielnie </w:t>
      </w:r>
      <w:r w:rsidR="00F22483" w:rsidRPr="00EC250C">
        <w:t>działać</w:t>
      </w:r>
      <w:r w:rsidR="00992FD0" w:rsidRPr="00EC250C">
        <w:t xml:space="preserve"> i </w:t>
      </w:r>
      <w:r w:rsidR="00F22483" w:rsidRPr="00EC250C">
        <w:t>wyrażać sw</w:t>
      </w:r>
      <w:r w:rsidR="001E576A" w:rsidRPr="00EC250C">
        <w:t>oj</w:t>
      </w:r>
      <w:r w:rsidR="00F22483" w:rsidRPr="00EC250C">
        <w:t xml:space="preserve">ą wolę </w:t>
      </w:r>
      <w:r w:rsidRPr="00EC250C">
        <w:t>np.</w:t>
      </w:r>
      <w:r w:rsidR="00992FD0" w:rsidRPr="00EC250C">
        <w:t xml:space="preserve"> w </w:t>
      </w:r>
      <w:r w:rsidRPr="00EC250C">
        <w:t xml:space="preserve">sprawie zawarcia </w:t>
      </w:r>
      <w:r w:rsidR="00F22483" w:rsidRPr="00EC250C">
        <w:t>małżeństwa</w:t>
      </w:r>
      <w:r w:rsidRPr="00EC250C">
        <w:t xml:space="preserve"> czy</w:t>
      </w:r>
      <w:r w:rsidR="00F22483" w:rsidRPr="00EC250C">
        <w:t xml:space="preserve"> </w:t>
      </w:r>
      <w:r w:rsidRPr="00EC250C">
        <w:t xml:space="preserve">podjęcia </w:t>
      </w:r>
      <w:r w:rsidR="00F22483" w:rsidRPr="00EC250C">
        <w:t>zatrudnienia</w:t>
      </w:r>
      <w:r w:rsidRPr="00EC250C">
        <w:t>.</w:t>
      </w:r>
      <w:r w:rsidR="00FE040E" w:rsidRPr="00EC250C">
        <w:rPr>
          <w:rFonts w:eastAsiaTheme="minorHAnsi"/>
        </w:rPr>
        <w:t xml:space="preserve"> </w:t>
      </w:r>
      <w:r w:rsidR="00F22483" w:rsidRPr="00EC250C">
        <w:rPr>
          <w:rFonts w:eastAsiaTheme="minorHAnsi"/>
        </w:rPr>
        <w:t>Całkowite odebranie osobie prawa do wszelkich decyzji to fundamentalne naruszenie jej godności.</w:t>
      </w:r>
    </w:p>
    <w:p w14:paraId="6B568832" w14:textId="77777777" w:rsidR="00F22483" w:rsidRPr="00EC250C" w:rsidRDefault="00F22483" w:rsidP="00D131FA">
      <w:pPr>
        <w:pStyle w:val="Styl1"/>
      </w:pPr>
      <w:r w:rsidRPr="00EC250C">
        <w:t>W 2018</w:t>
      </w:r>
      <w:r w:rsidR="00C91F6E" w:rsidRPr="00EC250C">
        <w:t> r.</w:t>
      </w:r>
      <w:r w:rsidRPr="00EC250C">
        <w:t xml:space="preserve"> Ministerstwo Sprawiedliwości przyznało rację RPO, że zmiany są konieczne, ale muszą zaczekać, „z uwagi na inne priorytetowe projekty</w:t>
      </w:r>
      <w:r w:rsidR="00992FD0" w:rsidRPr="00EC250C">
        <w:t xml:space="preserve"> i </w:t>
      </w:r>
      <w:r w:rsidRPr="00EC250C">
        <w:t>zadania”</w:t>
      </w:r>
      <w:r w:rsidRPr="00EC250C">
        <w:rPr>
          <w:bCs/>
          <w:vertAlign w:val="superscript"/>
        </w:rPr>
        <w:t xml:space="preserve"> </w:t>
      </w:r>
      <w:r w:rsidRPr="00EC250C">
        <w:rPr>
          <w:bCs/>
          <w:vertAlign w:val="superscript"/>
        </w:rPr>
        <w:footnoteReference w:id="4"/>
      </w:r>
      <w:r w:rsidRPr="00EC250C">
        <w:t>.</w:t>
      </w:r>
    </w:p>
    <w:p w14:paraId="71B3E910" w14:textId="77777777" w:rsidR="00F22483" w:rsidRPr="00EC250C" w:rsidRDefault="00F22483" w:rsidP="00D131FA">
      <w:pPr>
        <w:pStyle w:val="Styl1"/>
      </w:pPr>
      <w:r w:rsidRPr="00EC250C">
        <w:t>We wrześniu 2018</w:t>
      </w:r>
      <w:r w:rsidR="00C91F6E" w:rsidRPr="00EC250C">
        <w:t> r.</w:t>
      </w:r>
      <w:r w:rsidRPr="00EC250C">
        <w:t xml:space="preserve"> </w:t>
      </w:r>
      <w:r w:rsidR="001E576A" w:rsidRPr="00EC250C">
        <w:t xml:space="preserve">jednak </w:t>
      </w:r>
      <w:r w:rsidRPr="00EC250C">
        <w:t>inne stanowisko zaprezentował przedstawiciel rządu podczas dialogu</w:t>
      </w:r>
      <w:r w:rsidR="00992FD0" w:rsidRPr="00EC250C">
        <w:t xml:space="preserve"> z </w:t>
      </w:r>
      <w:r w:rsidRPr="00EC250C">
        <w:t>Komitetem ONZ ds. Praw Osób</w:t>
      </w:r>
      <w:r w:rsidR="00992FD0" w:rsidRPr="00EC250C">
        <w:t xml:space="preserve"> z </w:t>
      </w:r>
      <w:r w:rsidRPr="00EC250C">
        <w:t>Niepełnosprawnościami</w:t>
      </w:r>
      <w:r w:rsidR="00992FD0" w:rsidRPr="00EC250C">
        <w:t xml:space="preserve"> w </w:t>
      </w:r>
      <w:r w:rsidRPr="00EC250C">
        <w:t>Genewie</w:t>
      </w:r>
      <w:r w:rsidR="00992FD0" w:rsidRPr="00EC250C">
        <w:t xml:space="preserve"> w </w:t>
      </w:r>
      <w:r w:rsidRPr="00EC250C">
        <w:t>ramach badania przez Komitet polskiego raportu</w:t>
      </w:r>
      <w:r w:rsidR="00992FD0" w:rsidRPr="00EC250C">
        <w:t xml:space="preserve"> z </w:t>
      </w:r>
      <w:r w:rsidRPr="00EC250C">
        <w:t>wykonywania Konwencji ONZ</w:t>
      </w:r>
      <w:r w:rsidR="00992FD0" w:rsidRPr="00EC250C">
        <w:t xml:space="preserve"> o </w:t>
      </w:r>
      <w:r w:rsidRPr="00EC250C">
        <w:t>prawach osób</w:t>
      </w:r>
      <w:r w:rsidR="00992FD0" w:rsidRPr="00EC250C">
        <w:t xml:space="preserve"> z </w:t>
      </w:r>
      <w:r w:rsidRPr="00EC250C">
        <w:t>niepełnosprawnościami (przyznaje im ona zdolność do czynności prawnych). Przedstawiciel rządu zapowiedział, że</w:t>
      </w:r>
      <w:r w:rsidR="00992FD0" w:rsidRPr="00EC250C">
        <w:t xml:space="preserve"> w </w:t>
      </w:r>
      <w:r w:rsidR="00A25603" w:rsidRPr="00EC250C">
        <w:t xml:space="preserve">resorcie sprawiedliwości </w:t>
      </w:r>
      <w:r w:rsidRPr="00EC250C">
        <w:t>zostaną podjęte prace koncepcyjne nad zmianą</w:t>
      </w:r>
      <w:r w:rsidR="00992FD0" w:rsidRPr="00EC250C">
        <w:t xml:space="preserve"> w </w:t>
      </w:r>
      <w:r w:rsidRPr="00EC250C">
        <w:t xml:space="preserve">zakresie ubezwłasnowolnienia. </w:t>
      </w:r>
      <w:r w:rsidR="00C93209" w:rsidRPr="00EC250C">
        <w:t>Kierunku zmian nadal nie określono</w:t>
      </w:r>
      <w:r w:rsidR="003F63AD" w:rsidRPr="00EC250C">
        <w:t>.</w:t>
      </w:r>
    </w:p>
    <w:p w14:paraId="1E00F13E" w14:textId="77777777" w:rsidR="00623C35" w:rsidRPr="00EC250C" w:rsidRDefault="00623C35" w:rsidP="00D131FA">
      <w:pPr>
        <w:pStyle w:val="ODESANIE"/>
        <w:jc w:val="both"/>
      </w:pPr>
      <w:r w:rsidRPr="00EC250C">
        <w:lastRenderedPageBreak/>
        <w:t>Zobacz</w:t>
      </w:r>
      <w:r w:rsidR="00F22483" w:rsidRPr="00EC250C">
        <w:t xml:space="preserve"> także</w:t>
      </w:r>
      <w:r w:rsidRPr="00EC250C">
        <w:t>: Art. 47 – Prawo do ochrony życia prywatnego, rodzinnego, czci</w:t>
      </w:r>
      <w:r w:rsidR="00992FD0" w:rsidRPr="00EC250C">
        <w:t xml:space="preserve"> i </w:t>
      </w:r>
      <w:r w:rsidRPr="00EC250C">
        <w:t>dobrego imienia.</w:t>
      </w:r>
    </w:p>
    <w:p w14:paraId="253396B1" w14:textId="77777777" w:rsidR="00623C35" w:rsidRPr="00EC250C" w:rsidRDefault="00751E23" w:rsidP="00EC79EB">
      <w:pPr>
        <w:pStyle w:val="Nagwek4"/>
      </w:pPr>
      <w:bookmarkStart w:id="16" w:name="_Toc6257627"/>
      <w:bookmarkStart w:id="17" w:name="_Toc11247528"/>
      <w:r w:rsidRPr="00EC250C">
        <w:t>Kłopoty</w:t>
      </w:r>
      <w:r w:rsidR="00992FD0" w:rsidRPr="00EC250C">
        <w:t xml:space="preserve"> w </w:t>
      </w:r>
      <w:r w:rsidRPr="00EC250C">
        <w:t xml:space="preserve">dostępie do publicznej </w:t>
      </w:r>
      <w:r w:rsidR="00B26A47" w:rsidRPr="00EC250C">
        <w:t>opiek</w:t>
      </w:r>
      <w:r w:rsidRPr="00EC250C">
        <w:t>i</w:t>
      </w:r>
      <w:r w:rsidR="00B26A47" w:rsidRPr="00EC250C">
        <w:t xml:space="preserve"> zdrowotn</w:t>
      </w:r>
      <w:r w:rsidR="001E576A" w:rsidRPr="00EC250C">
        <w:t>ej</w:t>
      </w:r>
      <w:r w:rsidR="00B26A47" w:rsidRPr="00EC250C">
        <w:t xml:space="preserve"> dla osób </w:t>
      </w:r>
      <w:r w:rsidR="00FE040E" w:rsidRPr="00EC250C">
        <w:t xml:space="preserve">bez </w:t>
      </w:r>
      <w:r w:rsidR="00B26A47" w:rsidRPr="00EC250C">
        <w:t>dochodu lub</w:t>
      </w:r>
      <w:r w:rsidR="00992FD0" w:rsidRPr="00EC250C">
        <w:t xml:space="preserve"> w </w:t>
      </w:r>
      <w:r w:rsidR="00B26A47" w:rsidRPr="00EC250C">
        <w:t>kryzysie bezdomności</w:t>
      </w:r>
      <w:bookmarkEnd w:id="16"/>
      <w:bookmarkEnd w:id="17"/>
    </w:p>
    <w:p w14:paraId="4728BC7F" w14:textId="77777777" w:rsidR="00B473F5" w:rsidRPr="00EC250C" w:rsidRDefault="00792567" w:rsidP="00D131FA">
      <w:pPr>
        <w:pStyle w:val="Problemczowieka"/>
        <w:jc w:val="both"/>
      </w:pPr>
      <w:r w:rsidRPr="00EC250C">
        <w:t>Nadal zdarza się, że szpitale kierują osoby bezdomne wymagające opieki medycznej „donikąd”, na ulicę lub do placówek nieprzystosowanych do pobytu osób niezdolnych do zadbania</w:t>
      </w:r>
      <w:r w:rsidR="00992FD0" w:rsidRPr="00EC250C">
        <w:t xml:space="preserve"> o </w:t>
      </w:r>
      <w:r w:rsidRPr="00EC250C">
        <w:t>siebie</w:t>
      </w:r>
      <w:r w:rsidR="00B473F5" w:rsidRPr="00EC250C">
        <w:t>.</w:t>
      </w:r>
    </w:p>
    <w:p w14:paraId="00D436D2" w14:textId="77777777" w:rsidR="00792567" w:rsidRPr="00EC250C" w:rsidRDefault="00792567" w:rsidP="00D131FA">
      <w:pPr>
        <w:pStyle w:val="Styl1"/>
        <w:rPr>
          <w:lang w:eastAsia="en-US"/>
        </w:rPr>
      </w:pPr>
      <w:r w:rsidRPr="00EC250C">
        <w:t>Kłopoty są także</w:t>
      </w:r>
      <w:r w:rsidR="00992FD0" w:rsidRPr="00EC250C">
        <w:t xml:space="preserve"> z </w:t>
      </w:r>
      <w:r w:rsidRPr="00EC250C">
        <w:t>opieką długoterminową (przewlekła procedura przyjęcia, szczególnie osób</w:t>
      </w:r>
      <w:r w:rsidR="00992FD0" w:rsidRPr="00EC250C">
        <w:t xml:space="preserve"> o </w:t>
      </w:r>
      <w:r w:rsidRPr="00EC250C">
        <w:t>nieustalonej tożsamości nieposiadających dowodu osobistego, do zakładów opiekuńczych</w:t>
      </w:r>
      <w:r w:rsidR="00992FD0" w:rsidRPr="00EC250C">
        <w:t xml:space="preserve"> i </w:t>
      </w:r>
      <w:r w:rsidRPr="00EC250C">
        <w:t>domów pomocy społecznej skutkuje niejednokrotnie koniecznością ich długotrwałej</w:t>
      </w:r>
      <w:r w:rsidR="00992FD0" w:rsidRPr="00EC250C">
        <w:t xml:space="preserve"> i </w:t>
      </w:r>
      <w:r w:rsidRPr="00EC250C">
        <w:t>kosztownej hospitalizacji</w:t>
      </w:r>
    </w:p>
    <w:p w14:paraId="6847D23B" w14:textId="77777777" w:rsidR="00623C35" w:rsidRPr="00EC250C" w:rsidRDefault="00792567" w:rsidP="00D131FA">
      <w:pPr>
        <w:pStyle w:val="ODESANIE"/>
        <w:jc w:val="both"/>
      </w:pPr>
      <w:r w:rsidRPr="00EC250C">
        <w:t>Więcej</w:t>
      </w:r>
      <w:r w:rsidR="00992FD0" w:rsidRPr="00EC250C">
        <w:t xml:space="preserve"> o </w:t>
      </w:r>
      <w:r w:rsidRPr="00EC250C">
        <w:t>tym problemie</w:t>
      </w:r>
      <w:r w:rsidR="00623C35" w:rsidRPr="00EC250C">
        <w:t>: Art. 68 ust. 1 – Prawo do ochrony zdrowia.</w:t>
      </w:r>
    </w:p>
    <w:p w14:paraId="26590744" w14:textId="77777777" w:rsidR="00623C35" w:rsidRPr="00EC250C" w:rsidRDefault="00751E23" w:rsidP="00EC79EB">
      <w:pPr>
        <w:pStyle w:val="Nagwek4"/>
      </w:pPr>
      <w:bookmarkStart w:id="18" w:name="_Toc6257628"/>
      <w:bookmarkStart w:id="19" w:name="_Toc11247529"/>
      <w:r w:rsidRPr="00EC250C">
        <w:t>Narusz</w:t>
      </w:r>
      <w:r w:rsidR="009B4CA6" w:rsidRPr="00EC250C">
        <w:t>o</w:t>
      </w:r>
      <w:r w:rsidRPr="00EC250C">
        <w:t>ne p</w:t>
      </w:r>
      <w:r w:rsidR="00A9079A" w:rsidRPr="00EC250C">
        <w:t>rawo do godnego pochówku</w:t>
      </w:r>
      <w:bookmarkEnd w:id="18"/>
      <w:r w:rsidR="009B4CA6" w:rsidRPr="00EC250C">
        <w:t xml:space="preserve"> osoby bezdomnej</w:t>
      </w:r>
      <w:bookmarkEnd w:id="19"/>
    </w:p>
    <w:p w14:paraId="407874E0" w14:textId="77777777" w:rsidR="009D2074" w:rsidRPr="00EC250C" w:rsidRDefault="009D2074" w:rsidP="00EC250C">
      <w:pPr>
        <w:pStyle w:val="Nagwek8"/>
      </w:pPr>
      <w:r w:rsidRPr="00EC250C">
        <w:t>Pogrzeb pani Ewy Musiał</w:t>
      </w:r>
    </w:p>
    <w:p w14:paraId="68287F8D" w14:textId="77777777" w:rsidR="009D2074" w:rsidRPr="00EC250C" w:rsidRDefault="009D2074" w:rsidP="00D131FA">
      <w:pPr>
        <w:pStyle w:val="Styl2"/>
        <w:rPr>
          <w:szCs w:val="24"/>
        </w:rPr>
      </w:pPr>
      <w:r w:rsidRPr="00EC250C">
        <w:rPr>
          <w:szCs w:val="24"/>
        </w:rPr>
        <w:t>15 listopada 2018</w:t>
      </w:r>
      <w:r w:rsidR="00C91F6E" w:rsidRPr="00EC250C">
        <w:rPr>
          <w:szCs w:val="24"/>
        </w:rPr>
        <w:t> r.</w:t>
      </w:r>
      <w:r w:rsidRPr="00EC250C">
        <w:rPr>
          <w:szCs w:val="24"/>
        </w:rPr>
        <w:t xml:space="preserve"> na cmentarzu</w:t>
      </w:r>
      <w:r w:rsidR="00992FD0" w:rsidRPr="00EC250C">
        <w:rPr>
          <w:szCs w:val="24"/>
        </w:rPr>
        <w:t xml:space="preserve"> w </w:t>
      </w:r>
      <w:r w:rsidRPr="00EC250C">
        <w:rPr>
          <w:szCs w:val="24"/>
        </w:rPr>
        <w:t>Otwocku pod Warszawą pochowano panią Ewę Musiał. O jej godny pochówek starała się dyrektorka Kamiliańskiej Misji Pomocy Społecznej, członkini Rady Społecznej przy RPO Adriana Porowska</w:t>
      </w:r>
      <w:r w:rsidR="00992FD0" w:rsidRPr="00EC250C">
        <w:rPr>
          <w:szCs w:val="24"/>
        </w:rPr>
        <w:t xml:space="preserve"> i </w:t>
      </w:r>
      <w:r w:rsidRPr="00EC250C">
        <w:rPr>
          <w:szCs w:val="24"/>
        </w:rPr>
        <w:t>jej współpracownice.</w:t>
      </w:r>
    </w:p>
    <w:p w14:paraId="74B23DAE" w14:textId="77777777" w:rsidR="00C91F6E" w:rsidRPr="00EC250C" w:rsidRDefault="009D2074" w:rsidP="00D131FA">
      <w:pPr>
        <w:pStyle w:val="Styl2"/>
        <w:rPr>
          <w:b w:val="0"/>
          <w:szCs w:val="24"/>
        </w:rPr>
      </w:pPr>
      <w:r w:rsidRPr="00EC250C">
        <w:rPr>
          <w:szCs w:val="24"/>
        </w:rPr>
        <w:t>Starania</w:t>
      </w:r>
      <w:r w:rsidR="00992FD0" w:rsidRPr="00EC250C">
        <w:rPr>
          <w:szCs w:val="24"/>
        </w:rPr>
        <w:t xml:space="preserve"> o </w:t>
      </w:r>
      <w:r w:rsidRPr="00EC250C">
        <w:rPr>
          <w:szCs w:val="24"/>
        </w:rPr>
        <w:t>zorganizowanie pogrzebu trwały ponad 40 dni, ponieważ tyle czasu zajmują</w:t>
      </w:r>
      <w:r w:rsidR="00992FD0" w:rsidRPr="00EC250C">
        <w:rPr>
          <w:szCs w:val="24"/>
        </w:rPr>
        <w:t xml:space="preserve"> w </w:t>
      </w:r>
      <w:r w:rsidRPr="00EC250C">
        <w:rPr>
          <w:szCs w:val="24"/>
        </w:rPr>
        <w:t>Polsce procedury formalnego ustaleni</w:t>
      </w:r>
      <w:r w:rsidR="00C13819" w:rsidRPr="00EC250C">
        <w:rPr>
          <w:szCs w:val="24"/>
        </w:rPr>
        <w:t>a</w:t>
      </w:r>
      <w:r w:rsidRPr="00EC250C">
        <w:rPr>
          <w:szCs w:val="24"/>
        </w:rPr>
        <w:t xml:space="preserve">, czy </w:t>
      </w:r>
      <w:r w:rsidR="00792567" w:rsidRPr="00EC250C">
        <w:rPr>
          <w:szCs w:val="24"/>
        </w:rPr>
        <w:t>z</w:t>
      </w:r>
      <w:r w:rsidRPr="00EC250C">
        <w:rPr>
          <w:szCs w:val="24"/>
        </w:rPr>
        <w:t>marły nie miał rodziny</w:t>
      </w:r>
      <w:r w:rsidR="00992FD0" w:rsidRPr="00EC250C">
        <w:rPr>
          <w:szCs w:val="24"/>
        </w:rPr>
        <w:t xml:space="preserve"> i </w:t>
      </w:r>
      <w:r w:rsidRPr="00EC250C">
        <w:rPr>
          <w:szCs w:val="24"/>
        </w:rPr>
        <w:t>czy nie zechce ona zorganizować pogrzebu</w:t>
      </w:r>
      <w:r w:rsidRPr="00EC250C">
        <w:rPr>
          <w:b w:val="0"/>
          <w:szCs w:val="24"/>
        </w:rPr>
        <w:t>.</w:t>
      </w:r>
    </w:p>
    <w:p w14:paraId="74F526E8" w14:textId="77777777" w:rsidR="009D2074" w:rsidRPr="00EC250C" w:rsidRDefault="009D2074" w:rsidP="00D131FA">
      <w:pPr>
        <w:pStyle w:val="Styl2"/>
        <w:rPr>
          <w:szCs w:val="24"/>
        </w:rPr>
      </w:pPr>
      <w:r w:rsidRPr="00EC250C">
        <w:rPr>
          <w:szCs w:val="24"/>
        </w:rPr>
        <w:t>Pani Ewa Musiał mieszkała przez kilkanaście ostatnich lat na ulicach</w:t>
      </w:r>
      <w:r w:rsidR="00992FD0" w:rsidRPr="00EC250C">
        <w:rPr>
          <w:szCs w:val="24"/>
        </w:rPr>
        <w:t xml:space="preserve"> i </w:t>
      </w:r>
      <w:r w:rsidRPr="00EC250C">
        <w:rPr>
          <w:szCs w:val="24"/>
        </w:rPr>
        <w:t>dworcach</w:t>
      </w:r>
      <w:r w:rsidR="00992FD0" w:rsidRPr="00EC250C">
        <w:rPr>
          <w:szCs w:val="24"/>
        </w:rPr>
        <w:t xml:space="preserve"> w </w:t>
      </w:r>
      <w:r w:rsidRPr="00EC250C">
        <w:rPr>
          <w:szCs w:val="24"/>
        </w:rPr>
        <w:t>Warszawie. Ostatnie miesiące życia spędziła</w:t>
      </w:r>
      <w:r w:rsidR="00992FD0" w:rsidRPr="00EC250C">
        <w:rPr>
          <w:szCs w:val="24"/>
        </w:rPr>
        <w:t xml:space="preserve"> w </w:t>
      </w:r>
      <w:r w:rsidRPr="00EC250C">
        <w:rPr>
          <w:szCs w:val="24"/>
        </w:rPr>
        <w:t>hospicjum otwockim, zmarła 29 września 2018</w:t>
      </w:r>
      <w:r w:rsidR="00C91F6E" w:rsidRPr="00EC250C">
        <w:rPr>
          <w:szCs w:val="24"/>
        </w:rPr>
        <w:t> r.</w:t>
      </w:r>
    </w:p>
    <w:p w14:paraId="7BE2854B" w14:textId="77777777" w:rsidR="008E211F" w:rsidRPr="00EC250C" w:rsidRDefault="009D2074" w:rsidP="00D131FA">
      <w:pPr>
        <w:pStyle w:val="Styl2"/>
        <w:rPr>
          <w:szCs w:val="24"/>
        </w:rPr>
      </w:pPr>
      <w:r w:rsidRPr="00EC250C">
        <w:rPr>
          <w:szCs w:val="24"/>
        </w:rPr>
        <w:t>W pogrzebie udział wzięli mieszkańcy</w:t>
      </w:r>
      <w:r w:rsidR="00992FD0" w:rsidRPr="00EC250C">
        <w:rPr>
          <w:szCs w:val="24"/>
        </w:rPr>
        <w:t xml:space="preserve"> i </w:t>
      </w:r>
      <w:r w:rsidRPr="00EC250C">
        <w:rPr>
          <w:szCs w:val="24"/>
        </w:rPr>
        <w:t>pracownicy ośrodka św. Łazarza</w:t>
      </w:r>
      <w:r w:rsidR="00992FD0" w:rsidRPr="00EC250C">
        <w:rPr>
          <w:szCs w:val="24"/>
        </w:rPr>
        <w:t xml:space="preserve"> z </w:t>
      </w:r>
      <w:r w:rsidRPr="00EC250C">
        <w:rPr>
          <w:szCs w:val="24"/>
        </w:rPr>
        <w:t>warszawskiego Ursusa, przedstawiciele Fundacji Ks. Jana Kaczkowskiego,</w:t>
      </w:r>
      <w:r w:rsidR="00992FD0" w:rsidRPr="00EC250C">
        <w:rPr>
          <w:szCs w:val="24"/>
        </w:rPr>
        <w:t xml:space="preserve"> a </w:t>
      </w:r>
      <w:r w:rsidRPr="00EC250C">
        <w:rPr>
          <w:szCs w:val="24"/>
        </w:rPr>
        <w:t>także przedstawiciel Rzecznika Praw Obywatelskich</w:t>
      </w:r>
      <w:r w:rsidR="00182887" w:rsidRPr="00EC250C">
        <w:rPr>
          <w:rStyle w:val="Odwoanieprzypisudolnego"/>
          <w:szCs w:val="24"/>
        </w:rPr>
        <w:footnoteReference w:id="5"/>
      </w:r>
      <w:r w:rsidRPr="00EC250C">
        <w:rPr>
          <w:szCs w:val="24"/>
        </w:rPr>
        <w:t>.</w:t>
      </w:r>
      <w:r w:rsidR="00B01CFE" w:rsidRPr="00EC250C">
        <w:rPr>
          <w:szCs w:val="24"/>
        </w:rPr>
        <w:t xml:space="preserve"> </w:t>
      </w:r>
      <w:r w:rsidR="008E211F" w:rsidRPr="00EC250C">
        <w:rPr>
          <w:szCs w:val="24"/>
        </w:rPr>
        <w:t xml:space="preserve">Sprawa została podjęta przez </w:t>
      </w:r>
      <w:r w:rsidR="00073A8C" w:rsidRPr="00EC250C">
        <w:rPr>
          <w:szCs w:val="24"/>
        </w:rPr>
        <w:t>RPO</w:t>
      </w:r>
      <w:r w:rsidR="008E211F" w:rsidRPr="00EC250C">
        <w:rPr>
          <w:szCs w:val="24"/>
        </w:rPr>
        <w:t>.</w:t>
      </w:r>
    </w:p>
    <w:p w14:paraId="3C20878E" w14:textId="77777777" w:rsidR="00A9079A" w:rsidRPr="00EC250C" w:rsidRDefault="00A9079A" w:rsidP="00EC79EB">
      <w:pPr>
        <w:pStyle w:val="Nagwek4"/>
      </w:pPr>
      <w:bookmarkStart w:id="20" w:name="_Toc6257629"/>
      <w:bookmarkStart w:id="21" w:name="_Toc11247530"/>
      <w:r w:rsidRPr="00EC250C">
        <w:t>Niegodne traktowanie</w:t>
      </w:r>
      <w:r w:rsidR="00992FD0" w:rsidRPr="00EC250C">
        <w:t xml:space="preserve"> w </w:t>
      </w:r>
      <w:r w:rsidRPr="00EC250C">
        <w:t>komunikacji publicznej</w:t>
      </w:r>
      <w:bookmarkEnd w:id="20"/>
      <w:bookmarkEnd w:id="21"/>
    </w:p>
    <w:p w14:paraId="46FD2F6C" w14:textId="77777777" w:rsidR="00AB6652" w:rsidRPr="00EC250C" w:rsidRDefault="0043573D" w:rsidP="00EC250C">
      <w:pPr>
        <w:pStyle w:val="Nagwek8"/>
      </w:pPr>
      <w:r w:rsidRPr="00EC250C">
        <w:t xml:space="preserve">Czy </w:t>
      </w:r>
      <w:r w:rsidR="00E14DB9" w:rsidRPr="00EC250C">
        <w:t>„uciążliwego pasażera”</w:t>
      </w:r>
      <w:r w:rsidR="00AB6652" w:rsidRPr="00EC250C">
        <w:t xml:space="preserve"> </w:t>
      </w:r>
      <w:r w:rsidRPr="00EC250C">
        <w:t>można usuwać</w:t>
      </w:r>
      <w:r w:rsidR="00992FD0" w:rsidRPr="00EC250C">
        <w:t xml:space="preserve"> z </w:t>
      </w:r>
      <w:r w:rsidR="00AB6652" w:rsidRPr="00EC250C">
        <w:t>autobusów</w:t>
      </w:r>
      <w:r w:rsidRPr="00EC250C">
        <w:t>,</w:t>
      </w:r>
      <w:r w:rsidR="00CC4D88" w:rsidRPr="00EC250C">
        <w:t xml:space="preserve"> </w:t>
      </w:r>
      <w:r w:rsidR="00AB6652" w:rsidRPr="00EC250C">
        <w:t>tramwajów</w:t>
      </w:r>
      <w:r w:rsidR="00992FD0" w:rsidRPr="00EC250C">
        <w:t xml:space="preserve"> i </w:t>
      </w:r>
      <w:r w:rsidRPr="00EC250C">
        <w:t>metra?</w:t>
      </w:r>
    </w:p>
    <w:p w14:paraId="7A111E18" w14:textId="77777777" w:rsidR="00952F29" w:rsidRPr="00EC250C" w:rsidRDefault="00E861C7" w:rsidP="00D131FA">
      <w:pPr>
        <w:pStyle w:val="Styl2"/>
        <w:rPr>
          <w:szCs w:val="24"/>
        </w:rPr>
      </w:pPr>
      <w:r w:rsidRPr="00EC250C">
        <w:rPr>
          <w:szCs w:val="24"/>
          <w:bdr w:val="none" w:sz="0" w:space="0" w:color="auto" w:frame="1"/>
        </w:rPr>
        <w:t xml:space="preserve">Rada </w:t>
      </w:r>
      <w:r w:rsidR="00792567" w:rsidRPr="00EC250C">
        <w:rPr>
          <w:szCs w:val="24"/>
          <w:bdr w:val="none" w:sz="0" w:space="0" w:color="auto" w:frame="1"/>
        </w:rPr>
        <w:t xml:space="preserve">m. st. </w:t>
      </w:r>
      <w:r w:rsidRPr="00EC250C">
        <w:rPr>
          <w:szCs w:val="24"/>
          <w:bdr w:val="none" w:sz="0" w:space="0" w:color="auto" w:frame="1"/>
        </w:rPr>
        <w:t>Warszawy uchwaliła, że</w:t>
      </w:r>
      <w:r w:rsidR="00992FD0" w:rsidRPr="00EC250C">
        <w:rPr>
          <w:szCs w:val="24"/>
          <w:bdr w:val="none" w:sz="0" w:space="0" w:color="auto" w:frame="1"/>
        </w:rPr>
        <w:t xml:space="preserve"> z </w:t>
      </w:r>
      <w:r w:rsidR="001E576A" w:rsidRPr="00EC250C">
        <w:rPr>
          <w:szCs w:val="24"/>
          <w:bdr w:val="none" w:sz="0" w:space="0" w:color="auto" w:frame="1"/>
        </w:rPr>
        <w:t xml:space="preserve">komunikacji miejskiej można usuwać </w:t>
      </w:r>
      <w:r w:rsidR="00FE040E" w:rsidRPr="00EC250C">
        <w:rPr>
          <w:szCs w:val="24"/>
          <w:bdr w:val="none" w:sz="0" w:space="0" w:color="auto" w:frame="1"/>
        </w:rPr>
        <w:t>„</w:t>
      </w:r>
      <w:r w:rsidRPr="00EC250C">
        <w:rPr>
          <w:szCs w:val="24"/>
          <w:bdr w:val="none" w:sz="0" w:space="0" w:color="auto" w:frame="1"/>
        </w:rPr>
        <w:t>uciążliwego pasażera" bez uwzględniania zasad współżycia społecznego</w:t>
      </w:r>
      <w:r w:rsidR="00A25603" w:rsidRPr="00EC250C">
        <w:rPr>
          <w:szCs w:val="24"/>
          <w:bdr w:val="none" w:sz="0" w:space="0" w:color="auto" w:frame="1"/>
        </w:rPr>
        <w:t>:</w:t>
      </w:r>
      <w:r w:rsidR="00992FD0" w:rsidRPr="00EC250C">
        <w:rPr>
          <w:szCs w:val="24"/>
          <w:bdr w:val="none" w:sz="0" w:space="0" w:color="auto" w:frame="1"/>
        </w:rPr>
        <w:t xml:space="preserve"> z </w:t>
      </w:r>
      <w:r w:rsidR="00952F29" w:rsidRPr="00EC250C">
        <w:rPr>
          <w:szCs w:val="24"/>
        </w:rPr>
        <w:t>pojazdu można usunąć osoby narażające współpasażerów na dyskomfort podróży</w:t>
      </w:r>
      <w:r w:rsidR="00992FD0" w:rsidRPr="00EC250C">
        <w:rPr>
          <w:szCs w:val="24"/>
        </w:rPr>
        <w:t xml:space="preserve"> z </w:t>
      </w:r>
      <w:r w:rsidR="00952F29" w:rsidRPr="00EC250C">
        <w:rPr>
          <w:szCs w:val="24"/>
        </w:rPr>
        <w:t>powodu odrażającego wyglądu</w:t>
      </w:r>
      <w:r w:rsidR="00FC0C3A" w:rsidRPr="00EC250C">
        <w:rPr>
          <w:szCs w:val="24"/>
        </w:rPr>
        <w:t>, zapachu</w:t>
      </w:r>
      <w:r w:rsidR="00952F29" w:rsidRPr="00EC250C">
        <w:rPr>
          <w:szCs w:val="24"/>
        </w:rPr>
        <w:t xml:space="preserve"> lub </w:t>
      </w:r>
      <w:r w:rsidR="00952F29" w:rsidRPr="00EC250C">
        <w:rPr>
          <w:szCs w:val="24"/>
        </w:rPr>
        <w:lastRenderedPageBreak/>
        <w:t>zachowania. Można to zrobić nie zważając na sytuację tej osoby, czyli coś, co prawo przewozowe nazywa zasadami współżycia społecznego.</w:t>
      </w:r>
    </w:p>
    <w:p w14:paraId="7DBC7314" w14:textId="77777777" w:rsidR="00952F29" w:rsidRPr="00EC250C" w:rsidRDefault="00A25603" w:rsidP="00D131FA">
      <w:pPr>
        <w:pStyle w:val="Styl2"/>
        <w:rPr>
          <w:szCs w:val="24"/>
        </w:rPr>
      </w:pPr>
      <w:r w:rsidRPr="00EC250C">
        <w:rPr>
          <w:szCs w:val="24"/>
        </w:rPr>
        <w:t>Tymczasem p</w:t>
      </w:r>
      <w:r w:rsidR="00952F29" w:rsidRPr="00EC250C">
        <w:rPr>
          <w:szCs w:val="24"/>
        </w:rPr>
        <w:t xml:space="preserve">rawo </w:t>
      </w:r>
      <w:r w:rsidR="00CE61C3" w:rsidRPr="00EC250C">
        <w:rPr>
          <w:szCs w:val="24"/>
        </w:rPr>
        <w:t>przewozowe (ustawa,</w:t>
      </w:r>
      <w:r w:rsidR="00992FD0" w:rsidRPr="00EC250C">
        <w:rPr>
          <w:szCs w:val="24"/>
        </w:rPr>
        <w:t xml:space="preserve"> a </w:t>
      </w:r>
      <w:r w:rsidR="00CE61C3" w:rsidRPr="00EC250C">
        <w:rPr>
          <w:szCs w:val="24"/>
        </w:rPr>
        <w:t xml:space="preserve">więc akt wyższej rangi) </w:t>
      </w:r>
      <w:r w:rsidR="00952F29" w:rsidRPr="00EC250C">
        <w:rPr>
          <w:szCs w:val="24"/>
        </w:rPr>
        <w:t>wskazuje przypadki,</w:t>
      </w:r>
      <w:r w:rsidR="00992FD0" w:rsidRPr="00EC250C">
        <w:rPr>
          <w:szCs w:val="24"/>
        </w:rPr>
        <w:t xml:space="preserve"> w </w:t>
      </w:r>
      <w:r w:rsidR="00952F29" w:rsidRPr="00EC250C">
        <w:rPr>
          <w:szCs w:val="24"/>
        </w:rPr>
        <w:t>których pasażer może być usunięty</w:t>
      </w:r>
      <w:r w:rsidR="00992FD0" w:rsidRPr="00EC250C">
        <w:rPr>
          <w:szCs w:val="24"/>
        </w:rPr>
        <w:t xml:space="preserve"> z </w:t>
      </w:r>
      <w:r w:rsidR="00952F29" w:rsidRPr="00EC250C">
        <w:rPr>
          <w:szCs w:val="24"/>
        </w:rPr>
        <w:t xml:space="preserve">pojazdu: można to zrobić, jeśli zagraża bezpieczeństwu lub porządkowi. </w:t>
      </w:r>
      <w:r w:rsidR="00CE61C3" w:rsidRPr="00EC250C">
        <w:rPr>
          <w:szCs w:val="24"/>
        </w:rPr>
        <w:t>J</w:t>
      </w:r>
      <w:r w:rsidR="00952F29" w:rsidRPr="00EC250C">
        <w:rPr>
          <w:szCs w:val="24"/>
        </w:rPr>
        <w:t xml:space="preserve">eśli </w:t>
      </w:r>
      <w:r w:rsidR="00CE61C3" w:rsidRPr="00EC250C">
        <w:rPr>
          <w:szCs w:val="24"/>
        </w:rPr>
        <w:t xml:space="preserve">zaś </w:t>
      </w:r>
      <w:r w:rsidR="00952F29" w:rsidRPr="00EC250C">
        <w:rPr>
          <w:szCs w:val="24"/>
        </w:rPr>
        <w:t xml:space="preserve">ktoś odmawia zapłaty za przejazd albo jest uciążliwy, </w:t>
      </w:r>
      <w:r w:rsidR="00CE61C3" w:rsidRPr="00EC250C">
        <w:rPr>
          <w:szCs w:val="24"/>
        </w:rPr>
        <w:t>można go wyprosić</w:t>
      </w:r>
      <w:r w:rsidR="00992FD0" w:rsidRPr="00EC250C">
        <w:rPr>
          <w:szCs w:val="24"/>
        </w:rPr>
        <w:t xml:space="preserve"> z </w:t>
      </w:r>
      <w:r w:rsidR="00CE61C3" w:rsidRPr="00EC250C">
        <w:rPr>
          <w:szCs w:val="24"/>
        </w:rPr>
        <w:t xml:space="preserve">pojazdu, O ILE nie </w:t>
      </w:r>
      <w:r w:rsidR="00952F29" w:rsidRPr="00EC250C">
        <w:rPr>
          <w:szCs w:val="24"/>
        </w:rPr>
        <w:t>narusza to zasad współżycia społecznego.</w:t>
      </w:r>
      <w:r w:rsidR="00CE61C3" w:rsidRPr="00EC250C">
        <w:rPr>
          <w:szCs w:val="24"/>
        </w:rPr>
        <w:t xml:space="preserve"> W ten sposób prawo chroni konstytucyjnie </w:t>
      </w:r>
      <w:r w:rsidR="00A541E0" w:rsidRPr="00EC250C">
        <w:rPr>
          <w:szCs w:val="24"/>
        </w:rPr>
        <w:t xml:space="preserve">zagwarantowaną </w:t>
      </w:r>
      <w:r w:rsidR="00CE61C3" w:rsidRPr="00EC250C">
        <w:rPr>
          <w:szCs w:val="24"/>
        </w:rPr>
        <w:t>godności</w:t>
      </w:r>
      <w:r w:rsidR="00FC0C3A" w:rsidRPr="00EC250C">
        <w:rPr>
          <w:szCs w:val="24"/>
        </w:rPr>
        <w:t>ą</w:t>
      </w:r>
      <w:r w:rsidR="00CE61C3" w:rsidRPr="00EC250C">
        <w:rPr>
          <w:szCs w:val="24"/>
        </w:rPr>
        <w:t xml:space="preserve"> człowieka</w:t>
      </w:r>
      <w:r w:rsidR="00992FD0" w:rsidRPr="00EC250C">
        <w:rPr>
          <w:szCs w:val="24"/>
        </w:rPr>
        <w:t xml:space="preserve"> i </w:t>
      </w:r>
      <w:r w:rsidR="00CE61C3" w:rsidRPr="00EC250C">
        <w:rPr>
          <w:szCs w:val="24"/>
        </w:rPr>
        <w:t>broni go przed niehumanitarnym traktowaniem.</w:t>
      </w:r>
    </w:p>
    <w:p w14:paraId="4197C9EA" w14:textId="77777777" w:rsidR="00C91F6E" w:rsidRPr="00EC250C" w:rsidRDefault="00CE61C3" w:rsidP="00D131FA">
      <w:pPr>
        <w:pStyle w:val="Styl2"/>
        <w:rPr>
          <w:szCs w:val="24"/>
        </w:rPr>
      </w:pPr>
      <w:r w:rsidRPr="00EC250C">
        <w:rPr>
          <w:szCs w:val="24"/>
        </w:rPr>
        <w:t>Warszawskie przepisy pominęły ten aspekt, d</w:t>
      </w:r>
      <w:r w:rsidR="00952F29" w:rsidRPr="00EC250C">
        <w:rPr>
          <w:szCs w:val="24"/>
        </w:rPr>
        <w:t xml:space="preserve">latego </w:t>
      </w:r>
      <w:r w:rsidR="00073A8C" w:rsidRPr="00EC250C">
        <w:rPr>
          <w:szCs w:val="24"/>
        </w:rPr>
        <w:t>RPO</w:t>
      </w:r>
      <w:r w:rsidR="00992FD0" w:rsidRPr="00EC250C">
        <w:rPr>
          <w:szCs w:val="24"/>
        </w:rPr>
        <w:t xml:space="preserve"> w </w:t>
      </w:r>
      <w:r w:rsidR="00AB6652" w:rsidRPr="00EC250C">
        <w:rPr>
          <w:szCs w:val="24"/>
        </w:rPr>
        <w:t>2017</w:t>
      </w:r>
      <w:r w:rsidR="00C91F6E" w:rsidRPr="00EC250C">
        <w:rPr>
          <w:szCs w:val="24"/>
        </w:rPr>
        <w:t> r.</w:t>
      </w:r>
      <w:r w:rsidR="00AB6652" w:rsidRPr="00EC250C">
        <w:rPr>
          <w:szCs w:val="24"/>
        </w:rPr>
        <w:t xml:space="preserve"> wniósł</w:t>
      </w:r>
      <w:r w:rsidRPr="00EC250C">
        <w:rPr>
          <w:szCs w:val="24"/>
        </w:rPr>
        <w:t xml:space="preserve"> na nie</w:t>
      </w:r>
      <w:r w:rsidR="00AB6652" w:rsidRPr="00EC250C">
        <w:rPr>
          <w:rStyle w:val="Odwoanieprzypisudolnego"/>
          <w:szCs w:val="24"/>
        </w:rPr>
        <w:footnoteReference w:id="6"/>
      </w:r>
      <w:r w:rsidR="00AB6652" w:rsidRPr="00EC250C">
        <w:rPr>
          <w:szCs w:val="24"/>
        </w:rPr>
        <w:t xml:space="preserve"> skargę do W</w:t>
      </w:r>
      <w:r w:rsidRPr="00EC250C">
        <w:rPr>
          <w:szCs w:val="24"/>
        </w:rPr>
        <w:t xml:space="preserve">ojewódzkiego </w:t>
      </w:r>
      <w:r w:rsidR="00AB6652" w:rsidRPr="00EC250C">
        <w:rPr>
          <w:szCs w:val="24"/>
        </w:rPr>
        <w:t>S</w:t>
      </w:r>
      <w:r w:rsidRPr="00EC250C">
        <w:rPr>
          <w:szCs w:val="24"/>
        </w:rPr>
        <w:t xml:space="preserve">ądu </w:t>
      </w:r>
      <w:r w:rsidR="00AB6652" w:rsidRPr="00EC250C">
        <w:rPr>
          <w:szCs w:val="24"/>
        </w:rPr>
        <w:t>A</w:t>
      </w:r>
      <w:r w:rsidRPr="00EC250C">
        <w:rPr>
          <w:szCs w:val="24"/>
        </w:rPr>
        <w:t>dministracyjnego.</w:t>
      </w:r>
    </w:p>
    <w:p w14:paraId="7729F563" w14:textId="77777777" w:rsidR="00C91F6E" w:rsidRPr="00EC250C" w:rsidRDefault="00CE61C3" w:rsidP="00D131FA">
      <w:pPr>
        <w:pStyle w:val="Styl2"/>
        <w:rPr>
          <w:szCs w:val="24"/>
        </w:rPr>
      </w:pPr>
      <w:r w:rsidRPr="00EC250C">
        <w:rPr>
          <w:szCs w:val="24"/>
        </w:rPr>
        <w:t xml:space="preserve">Ten </w:t>
      </w:r>
      <w:r w:rsidR="00AB6652" w:rsidRPr="00EC250C">
        <w:rPr>
          <w:szCs w:val="24"/>
        </w:rPr>
        <w:t xml:space="preserve">podzielił zastrzeżenia </w:t>
      </w:r>
      <w:r w:rsidR="00073A8C" w:rsidRPr="00EC250C">
        <w:rPr>
          <w:szCs w:val="24"/>
        </w:rPr>
        <w:t>RPO</w:t>
      </w:r>
      <w:r w:rsidR="0043573D" w:rsidRPr="00EC250C">
        <w:rPr>
          <w:szCs w:val="24"/>
        </w:rPr>
        <w:t>.</w:t>
      </w:r>
      <w:r w:rsidR="00AB6652" w:rsidRPr="00EC250C">
        <w:rPr>
          <w:szCs w:val="24"/>
        </w:rPr>
        <w:t xml:space="preserve"> </w:t>
      </w:r>
    </w:p>
    <w:p w14:paraId="1FB7DFF0" w14:textId="39EC64FF" w:rsidR="00AB6652" w:rsidRPr="00EC250C" w:rsidRDefault="00AB6652" w:rsidP="00D131FA">
      <w:pPr>
        <w:pStyle w:val="Styl2"/>
        <w:rPr>
          <w:szCs w:val="24"/>
        </w:rPr>
      </w:pPr>
      <w:r w:rsidRPr="00EC250C">
        <w:rPr>
          <w:szCs w:val="24"/>
        </w:rPr>
        <w:t>Rada m.st. Warszawy zaskarżyła wyrok do Naczelnego Sądu Administracyjnego</w:t>
      </w:r>
      <w:r w:rsidR="00792567" w:rsidRPr="00EC250C">
        <w:rPr>
          <w:szCs w:val="24"/>
        </w:rPr>
        <w:t xml:space="preserve">, ale ten </w:t>
      </w:r>
      <w:r w:rsidR="00414281" w:rsidRPr="00EC250C">
        <w:rPr>
          <w:szCs w:val="24"/>
        </w:rPr>
        <w:t xml:space="preserve">jej skargę </w:t>
      </w:r>
      <w:r w:rsidR="00992FD0" w:rsidRPr="00EC250C">
        <w:rPr>
          <w:szCs w:val="24"/>
        </w:rPr>
        <w:t>w </w:t>
      </w:r>
      <w:r w:rsidR="00792567" w:rsidRPr="00EC250C">
        <w:rPr>
          <w:szCs w:val="24"/>
        </w:rPr>
        <w:t>grudniu 2018</w:t>
      </w:r>
      <w:r w:rsidR="00C91F6E" w:rsidRPr="00EC250C">
        <w:rPr>
          <w:szCs w:val="24"/>
        </w:rPr>
        <w:t> r.</w:t>
      </w:r>
      <w:r w:rsidR="00792567" w:rsidRPr="00EC250C">
        <w:rPr>
          <w:szCs w:val="24"/>
        </w:rPr>
        <w:t xml:space="preserve"> </w:t>
      </w:r>
      <w:r w:rsidR="00414281" w:rsidRPr="00EC250C">
        <w:rPr>
          <w:szCs w:val="24"/>
        </w:rPr>
        <w:t>oddalil</w:t>
      </w:r>
      <w:r w:rsidR="0055699F" w:rsidRPr="00EC250C">
        <w:rPr>
          <w:szCs w:val="24"/>
          <w:vertAlign w:val="superscript"/>
        </w:rPr>
        <w:footnoteReference w:id="7"/>
      </w:r>
      <w:r w:rsidR="00792567" w:rsidRPr="00EC250C">
        <w:rPr>
          <w:szCs w:val="24"/>
        </w:rPr>
        <w:t>.</w:t>
      </w:r>
    </w:p>
    <w:p w14:paraId="6C16AF29" w14:textId="77777777" w:rsidR="009D188B" w:rsidRPr="00EC250C" w:rsidRDefault="00751E23" w:rsidP="00EC79EB">
      <w:pPr>
        <w:pStyle w:val="Nagwek4"/>
      </w:pPr>
      <w:bookmarkStart w:id="22" w:name="_Toc6257630"/>
      <w:bookmarkStart w:id="23" w:name="_Toc11247531"/>
      <w:r w:rsidRPr="00EC250C">
        <w:t xml:space="preserve">Możliwość pozbawienia </w:t>
      </w:r>
      <w:r w:rsidR="007826CE" w:rsidRPr="00EC250C">
        <w:t>przedsiębiorcy</w:t>
      </w:r>
      <w:r w:rsidR="00992FD0" w:rsidRPr="00EC250C">
        <w:t xml:space="preserve"> z </w:t>
      </w:r>
      <w:r w:rsidR="00EF4ACC" w:rsidRPr="00EC250C">
        <w:t xml:space="preserve">jednoosobową działalnością </w:t>
      </w:r>
      <w:r w:rsidRPr="00EC250C">
        <w:t xml:space="preserve">gospodarczą środków do życia </w:t>
      </w:r>
      <w:r w:rsidR="00623C35" w:rsidRPr="00EC250C">
        <w:t>– Konstytucja dla biznesu</w:t>
      </w:r>
      <w:bookmarkEnd w:id="22"/>
      <w:bookmarkEnd w:id="23"/>
    </w:p>
    <w:p w14:paraId="3D4AA1D8" w14:textId="77777777" w:rsidR="00B473F5" w:rsidRPr="00EC250C" w:rsidRDefault="007826CE" w:rsidP="00D131FA">
      <w:pPr>
        <w:pStyle w:val="Problemczowieka"/>
        <w:jc w:val="both"/>
        <w:rPr>
          <w:rStyle w:val="Pogrubienie"/>
          <w:b/>
          <w:bCs w:val="0"/>
        </w:rPr>
      </w:pPr>
      <w:r w:rsidRPr="00EC250C">
        <w:rPr>
          <w:rStyle w:val="Pogrubienie"/>
          <w:b/>
          <w:bCs w:val="0"/>
        </w:rPr>
        <w:t>Przedsiębiorcy prowadzącemu jednoosobową działalność, któr</w:t>
      </w:r>
      <w:r w:rsidR="006664EB" w:rsidRPr="00EC250C">
        <w:rPr>
          <w:rStyle w:val="Pogrubienie"/>
          <w:b/>
          <w:bCs w:val="0"/>
        </w:rPr>
        <w:t>y popadnie</w:t>
      </w:r>
      <w:r w:rsidR="00992FD0" w:rsidRPr="00EC250C">
        <w:rPr>
          <w:rStyle w:val="Pogrubienie"/>
          <w:b/>
          <w:bCs w:val="0"/>
        </w:rPr>
        <w:t xml:space="preserve"> w </w:t>
      </w:r>
      <w:r w:rsidR="006664EB" w:rsidRPr="00EC250C">
        <w:rPr>
          <w:rStyle w:val="Pogrubienie"/>
          <w:b/>
          <w:bCs w:val="0"/>
        </w:rPr>
        <w:t>długi</w:t>
      </w:r>
      <w:r w:rsidRPr="00EC250C">
        <w:rPr>
          <w:rStyle w:val="Pogrubienie"/>
          <w:b/>
          <w:bCs w:val="0"/>
        </w:rPr>
        <w:t>, komornik może zabrać wszystkie dochody, nie zostawiając nic na zaspokojenie najbardziej podstawowych potrzeb życiowych</w:t>
      </w:r>
      <w:r w:rsidR="00B473F5" w:rsidRPr="00EC250C">
        <w:rPr>
          <w:rStyle w:val="Pogrubienie"/>
          <w:b/>
          <w:bCs w:val="0"/>
        </w:rPr>
        <w:t>.</w:t>
      </w:r>
    </w:p>
    <w:p w14:paraId="732FAF50" w14:textId="77777777" w:rsidR="00C91F6E" w:rsidRPr="00EC250C" w:rsidRDefault="007826CE" w:rsidP="00D131FA">
      <w:pPr>
        <w:pStyle w:val="Styl1"/>
        <w:rPr>
          <w:rStyle w:val="Pogrubienie"/>
          <w:b w:val="0"/>
          <w:bCs w:val="0"/>
        </w:rPr>
      </w:pPr>
      <w:r w:rsidRPr="00EC250C">
        <w:rPr>
          <w:rStyle w:val="Pogrubienie"/>
          <w:b w:val="0"/>
          <w:bCs w:val="0"/>
        </w:rPr>
        <w:t xml:space="preserve">„Konstytucja biznesu” nie przewiduje </w:t>
      </w:r>
      <w:r w:rsidRPr="00EC250C">
        <w:rPr>
          <w:rStyle w:val="Pogrubienie"/>
          <w:rFonts w:hint="eastAsia"/>
          <w:b w:val="0"/>
          <w:bCs w:val="0"/>
        </w:rPr>
        <w:t>ż</w:t>
      </w:r>
      <w:r w:rsidRPr="00EC250C">
        <w:rPr>
          <w:rStyle w:val="Pogrubienie"/>
          <w:b w:val="0"/>
          <w:bCs w:val="0"/>
        </w:rPr>
        <w:t>adnych ogranicze</w:t>
      </w:r>
      <w:r w:rsidRPr="00EC250C">
        <w:rPr>
          <w:rStyle w:val="Pogrubienie"/>
          <w:rFonts w:hint="eastAsia"/>
          <w:b w:val="0"/>
          <w:bCs w:val="0"/>
        </w:rPr>
        <w:t>ń</w:t>
      </w:r>
      <w:r w:rsidRPr="00EC250C">
        <w:rPr>
          <w:rStyle w:val="Pogrubienie"/>
          <w:b w:val="0"/>
          <w:bCs w:val="0"/>
        </w:rPr>
        <w:t xml:space="preserve"> przy egzekucji komorniczej wobec dochod</w:t>
      </w:r>
      <w:r w:rsidRPr="00EC250C">
        <w:rPr>
          <w:rStyle w:val="Pogrubienie"/>
          <w:rFonts w:hint="eastAsia"/>
          <w:b w:val="0"/>
          <w:bCs w:val="0"/>
        </w:rPr>
        <w:t>ó</w:t>
      </w:r>
      <w:r w:rsidRPr="00EC250C">
        <w:rPr>
          <w:rStyle w:val="Pogrubienie"/>
          <w:b w:val="0"/>
          <w:bCs w:val="0"/>
        </w:rPr>
        <w:t>w przedsi</w:t>
      </w:r>
      <w:r w:rsidRPr="00EC250C">
        <w:rPr>
          <w:rStyle w:val="Pogrubienie"/>
          <w:rFonts w:hint="eastAsia"/>
          <w:b w:val="0"/>
          <w:bCs w:val="0"/>
        </w:rPr>
        <w:t>ę</w:t>
      </w:r>
      <w:r w:rsidRPr="00EC250C">
        <w:rPr>
          <w:rStyle w:val="Pogrubienie"/>
          <w:b w:val="0"/>
          <w:bCs w:val="0"/>
        </w:rPr>
        <w:t>biorc</w:t>
      </w:r>
      <w:r w:rsidRPr="00EC250C">
        <w:rPr>
          <w:rStyle w:val="Pogrubienie"/>
          <w:rFonts w:hint="eastAsia"/>
          <w:b w:val="0"/>
          <w:bCs w:val="0"/>
        </w:rPr>
        <w:t>ó</w:t>
      </w:r>
      <w:r w:rsidRPr="00EC250C">
        <w:rPr>
          <w:rStyle w:val="Pogrubienie"/>
          <w:b w:val="0"/>
          <w:bCs w:val="0"/>
        </w:rPr>
        <w:t>w prowadz</w:t>
      </w:r>
      <w:r w:rsidRPr="00EC250C">
        <w:rPr>
          <w:rStyle w:val="Pogrubienie"/>
          <w:rFonts w:hint="eastAsia"/>
          <w:b w:val="0"/>
          <w:bCs w:val="0"/>
        </w:rPr>
        <w:t>ą</w:t>
      </w:r>
      <w:r w:rsidRPr="00EC250C">
        <w:rPr>
          <w:rStyle w:val="Pogrubienie"/>
          <w:b w:val="0"/>
          <w:bCs w:val="0"/>
        </w:rPr>
        <w:t>cych jednoosobow</w:t>
      </w:r>
      <w:r w:rsidRPr="00EC250C">
        <w:rPr>
          <w:rStyle w:val="Pogrubienie"/>
          <w:rFonts w:hint="eastAsia"/>
          <w:b w:val="0"/>
          <w:bCs w:val="0"/>
        </w:rPr>
        <w:t>ą</w:t>
      </w:r>
      <w:r w:rsidRPr="00EC250C">
        <w:rPr>
          <w:rStyle w:val="Pogrubienie"/>
          <w:b w:val="0"/>
          <w:bCs w:val="0"/>
        </w:rPr>
        <w:t xml:space="preserve"> dzia</w:t>
      </w:r>
      <w:r w:rsidRPr="00EC250C">
        <w:rPr>
          <w:rStyle w:val="Pogrubienie"/>
          <w:rFonts w:hint="eastAsia"/>
          <w:b w:val="0"/>
          <w:bCs w:val="0"/>
        </w:rPr>
        <w:t>ł</w:t>
      </w:r>
      <w:r w:rsidRPr="00EC250C">
        <w:rPr>
          <w:rStyle w:val="Pogrubienie"/>
          <w:b w:val="0"/>
          <w:bCs w:val="0"/>
        </w:rPr>
        <w:t>alno</w:t>
      </w:r>
      <w:r w:rsidRPr="00EC250C">
        <w:rPr>
          <w:rStyle w:val="Pogrubienie"/>
          <w:rFonts w:hint="eastAsia"/>
          <w:b w:val="0"/>
          <w:bCs w:val="0"/>
        </w:rPr>
        <w:t>ść</w:t>
      </w:r>
      <w:r w:rsidRPr="00EC250C">
        <w:rPr>
          <w:rStyle w:val="Pogrubienie"/>
          <w:b w:val="0"/>
          <w:bCs w:val="0"/>
        </w:rPr>
        <w:t xml:space="preserve"> gospodarcz</w:t>
      </w:r>
      <w:r w:rsidRPr="00EC250C">
        <w:rPr>
          <w:rStyle w:val="Pogrubienie"/>
          <w:rFonts w:hint="eastAsia"/>
          <w:b w:val="0"/>
          <w:bCs w:val="0"/>
        </w:rPr>
        <w:t>ą</w:t>
      </w:r>
      <w:r w:rsidRPr="00EC250C">
        <w:rPr>
          <w:rStyle w:val="Pogrubienie"/>
          <w:b w:val="0"/>
          <w:bCs w:val="0"/>
        </w:rPr>
        <w:t>. Powo</w:t>
      </w:r>
      <w:r w:rsidRPr="00EC250C">
        <w:rPr>
          <w:rStyle w:val="Pogrubienie"/>
          <w:rFonts w:hint="eastAsia"/>
          <w:b w:val="0"/>
          <w:bCs w:val="0"/>
        </w:rPr>
        <w:t>ł</w:t>
      </w:r>
      <w:r w:rsidRPr="00EC250C">
        <w:rPr>
          <w:rStyle w:val="Pogrubienie"/>
          <w:b w:val="0"/>
          <w:bCs w:val="0"/>
        </w:rPr>
        <w:t>uj</w:t>
      </w:r>
      <w:r w:rsidRPr="00EC250C">
        <w:rPr>
          <w:rStyle w:val="Pogrubienie"/>
          <w:rFonts w:hint="eastAsia"/>
          <w:b w:val="0"/>
          <w:bCs w:val="0"/>
        </w:rPr>
        <w:t>ą</w:t>
      </w:r>
      <w:r w:rsidRPr="00EC250C">
        <w:rPr>
          <w:rStyle w:val="Pogrubienie"/>
          <w:b w:val="0"/>
          <w:bCs w:val="0"/>
        </w:rPr>
        <w:t>c si</w:t>
      </w:r>
      <w:r w:rsidRPr="00EC250C">
        <w:rPr>
          <w:rStyle w:val="Pogrubienie"/>
          <w:rFonts w:hint="eastAsia"/>
          <w:b w:val="0"/>
          <w:bCs w:val="0"/>
        </w:rPr>
        <w:t>ę</w:t>
      </w:r>
      <w:r w:rsidRPr="00EC250C">
        <w:rPr>
          <w:rStyle w:val="Pogrubienie"/>
          <w:b w:val="0"/>
          <w:bCs w:val="0"/>
        </w:rPr>
        <w:t xml:space="preserve"> na konstytucyjn</w:t>
      </w:r>
      <w:r w:rsidRPr="00EC250C">
        <w:rPr>
          <w:rStyle w:val="Pogrubienie"/>
          <w:rFonts w:hint="eastAsia"/>
          <w:b w:val="0"/>
          <w:bCs w:val="0"/>
        </w:rPr>
        <w:t>ą</w:t>
      </w:r>
      <w:r w:rsidRPr="00EC250C">
        <w:rPr>
          <w:rStyle w:val="Pogrubienie"/>
          <w:b w:val="0"/>
          <w:bCs w:val="0"/>
        </w:rPr>
        <w:t xml:space="preserve"> zasad</w:t>
      </w:r>
      <w:r w:rsidRPr="00EC250C">
        <w:rPr>
          <w:rStyle w:val="Pogrubienie"/>
          <w:rFonts w:hint="eastAsia"/>
          <w:b w:val="0"/>
          <w:bCs w:val="0"/>
        </w:rPr>
        <w:t>ę</w:t>
      </w:r>
      <w:r w:rsidRPr="00EC250C">
        <w:rPr>
          <w:rStyle w:val="Pogrubienie"/>
          <w:b w:val="0"/>
          <w:bCs w:val="0"/>
        </w:rPr>
        <w:t xml:space="preserve"> poszanowania godno</w:t>
      </w:r>
      <w:r w:rsidRPr="00EC250C">
        <w:rPr>
          <w:rStyle w:val="Pogrubienie"/>
          <w:rFonts w:hint="eastAsia"/>
          <w:b w:val="0"/>
          <w:bCs w:val="0"/>
        </w:rPr>
        <w:t>ś</w:t>
      </w:r>
      <w:r w:rsidRPr="00EC250C">
        <w:rPr>
          <w:rStyle w:val="Pogrubienie"/>
          <w:b w:val="0"/>
          <w:bCs w:val="0"/>
        </w:rPr>
        <w:t>ci, RPO zwr</w:t>
      </w:r>
      <w:r w:rsidRPr="00EC250C">
        <w:rPr>
          <w:rStyle w:val="Pogrubienie"/>
          <w:rFonts w:hint="eastAsia"/>
          <w:b w:val="0"/>
          <w:bCs w:val="0"/>
        </w:rPr>
        <w:t>ó</w:t>
      </w:r>
      <w:r w:rsidRPr="00EC250C">
        <w:rPr>
          <w:rStyle w:val="Pogrubienie"/>
          <w:b w:val="0"/>
          <w:bCs w:val="0"/>
        </w:rPr>
        <w:t>ci</w:t>
      </w:r>
      <w:r w:rsidRPr="00EC250C">
        <w:rPr>
          <w:rStyle w:val="Pogrubienie"/>
          <w:rFonts w:hint="eastAsia"/>
          <w:b w:val="0"/>
          <w:bCs w:val="0"/>
        </w:rPr>
        <w:t>ł</w:t>
      </w:r>
      <w:r w:rsidRPr="00EC250C">
        <w:rPr>
          <w:rStyle w:val="Pogrubienie"/>
          <w:b w:val="0"/>
          <w:bCs w:val="0"/>
        </w:rPr>
        <w:t xml:space="preserve"> si</w:t>
      </w:r>
      <w:r w:rsidRPr="00EC250C">
        <w:rPr>
          <w:rStyle w:val="Pogrubienie"/>
          <w:rFonts w:hint="eastAsia"/>
          <w:b w:val="0"/>
          <w:bCs w:val="0"/>
        </w:rPr>
        <w:t>ę</w:t>
      </w:r>
      <w:r w:rsidRPr="00EC250C">
        <w:rPr>
          <w:rStyle w:val="Pogrubienie"/>
          <w:b w:val="0"/>
          <w:bCs w:val="0"/>
        </w:rPr>
        <w:t xml:space="preserve"> do Ministra Przedsi</w:t>
      </w:r>
      <w:r w:rsidRPr="00EC250C">
        <w:rPr>
          <w:rStyle w:val="Pogrubienie"/>
          <w:rFonts w:hint="eastAsia"/>
          <w:b w:val="0"/>
          <w:bCs w:val="0"/>
        </w:rPr>
        <w:t>ę</w:t>
      </w:r>
      <w:r w:rsidRPr="00EC250C">
        <w:rPr>
          <w:rStyle w:val="Pogrubienie"/>
          <w:b w:val="0"/>
          <w:bCs w:val="0"/>
        </w:rPr>
        <w:t>biorczo</w:t>
      </w:r>
      <w:r w:rsidRPr="00EC250C">
        <w:rPr>
          <w:rStyle w:val="Pogrubienie"/>
          <w:rFonts w:hint="eastAsia"/>
          <w:b w:val="0"/>
          <w:bCs w:val="0"/>
        </w:rPr>
        <w:t>ś</w:t>
      </w:r>
      <w:r w:rsidRPr="00EC250C">
        <w:rPr>
          <w:rStyle w:val="Pogrubienie"/>
          <w:b w:val="0"/>
          <w:bCs w:val="0"/>
        </w:rPr>
        <w:t>ci</w:t>
      </w:r>
      <w:r w:rsidR="00992FD0" w:rsidRPr="00EC250C">
        <w:rPr>
          <w:rStyle w:val="Pogrubienie"/>
          <w:b w:val="0"/>
          <w:bCs w:val="0"/>
        </w:rPr>
        <w:t xml:space="preserve"> i </w:t>
      </w:r>
      <w:r w:rsidRPr="00EC250C">
        <w:rPr>
          <w:rStyle w:val="Pogrubienie"/>
          <w:b w:val="0"/>
          <w:bCs w:val="0"/>
        </w:rPr>
        <w:t>Technologii</w:t>
      </w:r>
      <w:r w:rsidR="00992FD0" w:rsidRPr="00EC250C">
        <w:rPr>
          <w:rStyle w:val="Pogrubienie"/>
          <w:b w:val="0"/>
          <w:bCs w:val="0"/>
        </w:rPr>
        <w:t xml:space="preserve"> o </w:t>
      </w:r>
      <w:r w:rsidRPr="00EC250C">
        <w:rPr>
          <w:rStyle w:val="Pogrubienie"/>
          <w:b w:val="0"/>
          <w:bCs w:val="0"/>
        </w:rPr>
        <w:t>zagwarantowanie takim osobom minimum socjalnego.</w:t>
      </w:r>
    </w:p>
    <w:p w14:paraId="076573B9" w14:textId="77777777" w:rsidR="007826CE" w:rsidRPr="00EC250C" w:rsidRDefault="006664EB" w:rsidP="00D131FA">
      <w:pPr>
        <w:pStyle w:val="Styl1"/>
      </w:pPr>
      <w:r w:rsidRPr="00EC250C">
        <w:t>W ustawach sk</w:t>
      </w:r>
      <w:r w:rsidRPr="00EC250C">
        <w:rPr>
          <w:rFonts w:hint="eastAsia"/>
        </w:rPr>
        <w:t>ł</w:t>
      </w:r>
      <w:r w:rsidRPr="00EC250C">
        <w:t>adaj</w:t>
      </w:r>
      <w:r w:rsidRPr="00EC250C">
        <w:rPr>
          <w:rFonts w:hint="eastAsia"/>
        </w:rPr>
        <w:t>ą</w:t>
      </w:r>
      <w:r w:rsidRPr="00EC250C">
        <w:t>cych si</w:t>
      </w:r>
      <w:r w:rsidRPr="00EC250C">
        <w:rPr>
          <w:rFonts w:hint="eastAsia"/>
        </w:rPr>
        <w:t>ę</w:t>
      </w:r>
      <w:r w:rsidRPr="00EC250C">
        <w:t xml:space="preserve"> na „konstytucj</w:t>
      </w:r>
      <w:r w:rsidRPr="00EC250C">
        <w:rPr>
          <w:rFonts w:hint="eastAsia"/>
        </w:rPr>
        <w:t>ę</w:t>
      </w:r>
      <w:r w:rsidRPr="00EC250C">
        <w:t xml:space="preserve"> biznesu” (zw</w:t>
      </w:r>
      <w:r w:rsidRPr="00EC250C">
        <w:rPr>
          <w:rFonts w:hint="eastAsia"/>
        </w:rPr>
        <w:t>ł</w:t>
      </w:r>
      <w:r w:rsidRPr="00EC250C">
        <w:t>aszcza ustawa</w:t>
      </w:r>
      <w:r w:rsidR="00992FD0" w:rsidRPr="00EC250C">
        <w:t xml:space="preserve"> z </w:t>
      </w:r>
      <w:r w:rsidRPr="00EC250C">
        <w:t>6 marca 2018</w:t>
      </w:r>
      <w:r w:rsidR="00C91F6E" w:rsidRPr="00EC250C">
        <w:t> r.</w:t>
      </w:r>
      <w:r w:rsidR="00026572" w:rsidRPr="00EC250C">
        <w:t xml:space="preserve"> – </w:t>
      </w:r>
      <w:r w:rsidRPr="00EC250C">
        <w:t>Prawo przedsi</w:t>
      </w:r>
      <w:r w:rsidRPr="00EC250C">
        <w:rPr>
          <w:rFonts w:hint="eastAsia"/>
        </w:rPr>
        <w:t>ę</w:t>
      </w:r>
      <w:r w:rsidRPr="00EC250C">
        <w:t>biorc</w:t>
      </w:r>
      <w:r w:rsidRPr="00EC250C">
        <w:rPr>
          <w:rFonts w:hint="eastAsia"/>
        </w:rPr>
        <w:t>ó</w:t>
      </w:r>
      <w:r w:rsidRPr="00EC250C">
        <w:t>w) nie ma ograniczeń</w:t>
      </w:r>
      <w:r w:rsidR="00026572" w:rsidRPr="00EC250C">
        <w:t xml:space="preserve"> – </w:t>
      </w:r>
      <w:r w:rsidRPr="00EC250C">
        <w:t>tak jak</w:t>
      </w:r>
      <w:r w:rsidR="00992FD0" w:rsidRPr="00EC250C">
        <w:t xml:space="preserve"> w </w:t>
      </w:r>
      <w:r w:rsidRPr="00EC250C">
        <w:t>przypadku pracowników czy emerytów</w:t>
      </w:r>
      <w:r w:rsidR="00026572" w:rsidRPr="00EC250C">
        <w:t xml:space="preserve"> – </w:t>
      </w:r>
      <w:r w:rsidR="00992FD0" w:rsidRPr="00EC250C">
        <w:t>w </w:t>
      </w:r>
      <w:r w:rsidRPr="00EC250C">
        <w:t>egzekucji</w:t>
      </w:r>
      <w:r w:rsidR="00992FD0" w:rsidRPr="00EC250C">
        <w:t xml:space="preserve"> z </w:t>
      </w:r>
      <w:r w:rsidRPr="00EC250C">
        <w:t>dochod</w:t>
      </w:r>
      <w:r w:rsidRPr="00EC250C">
        <w:rPr>
          <w:rFonts w:hint="eastAsia"/>
        </w:rPr>
        <w:t>ó</w:t>
      </w:r>
      <w:r w:rsidRPr="00EC250C">
        <w:t>w</w:t>
      </w:r>
      <w:r w:rsidR="00992FD0" w:rsidRPr="00EC250C">
        <w:t xml:space="preserve"> z </w:t>
      </w:r>
      <w:r w:rsidRPr="00EC250C">
        <w:t>jednoosobowej dzia</w:t>
      </w:r>
      <w:r w:rsidRPr="00EC250C">
        <w:rPr>
          <w:rFonts w:hint="eastAsia"/>
        </w:rPr>
        <w:t>ł</w:t>
      </w:r>
      <w:r w:rsidRPr="00EC250C">
        <w:t>alno</w:t>
      </w:r>
      <w:r w:rsidRPr="00EC250C">
        <w:rPr>
          <w:rFonts w:hint="eastAsia"/>
        </w:rPr>
        <w:t>ś</w:t>
      </w:r>
      <w:r w:rsidRPr="00EC250C">
        <w:t>ci gospodarczej. Komornik nie musi zostawić ani złotówki.</w:t>
      </w:r>
    </w:p>
    <w:p w14:paraId="5A1523CC" w14:textId="77777777" w:rsidR="007826CE" w:rsidRPr="00EC250C" w:rsidRDefault="00073A8C" w:rsidP="00D131FA">
      <w:pPr>
        <w:pStyle w:val="Styl1"/>
      </w:pPr>
      <w:r w:rsidRPr="00EC250C">
        <w:t>RPO</w:t>
      </w:r>
      <w:r w:rsidR="007826CE" w:rsidRPr="00EC250C">
        <w:t xml:space="preserve"> zwr</w:t>
      </w:r>
      <w:r w:rsidR="00130131" w:rsidRPr="00EC250C">
        <w:t>ó</w:t>
      </w:r>
      <w:r w:rsidR="007826CE" w:rsidRPr="00EC250C">
        <w:t>c</w:t>
      </w:r>
      <w:r w:rsidR="00130131" w:rsidRPr="00EC250C">
        <w:t>ił</w:t>
      </w:r>
      <w:r w:rsidR="007826CE" w:rsidRPr="00EC250C">
        <w:t xml:space="preserve"> uwag</w:t>
      </w:r>
      <w:r w:rsidR="007826CE" w:rsidRPr="00EC250C">
        <w:rPr>
          <w:rFonts w:hint="eastAsia"/>
        </w:rPr>
        <w:t>ę</w:t>
      </w:r>
      <w:r w:rsidR="007826CE" w:rsidRPr="00EC250C">
        <w:t xml:space="preserve">, </w:t>
      </w:r>
      <w:r w:rsidR="007826CE" w:rsidRPr="00EC250C">
        <w:rPr>
          <w:rFonts w:hint="eastAsia"/>
        </w:rPr>
        <w:t>ż</w:t>
      </w:r>
      <w:r w:rsidR="007826CE" w:rsidRPr="00EC250C">
        <w:t>e niejednokrotnie trudna sytuacja finansowa drobnych przedsi</w:t>
      </w:r>
      <w:r w:rsidR="007826CE" w:rsidRPr="00EC250C">
        <w:rPr>
          <w:rFonts w:hint="eastAsia"/>
        </w:rPr>
        <w:t>ę</w:t>
      </w:r>
      <w:r w:rsidR="007826CE" w:rsidRPr="00EC250C">
        <w:t>biorc</w:t>
      </w:r>
      <w:r w:rsidR="007826CE" w:rsidRPr="00EC250C">
        <w:rPr>
          <w:rFonts w:hint="eastAsia"/>
        </w:rPr>
        <w:t>ó</w:t>
      </w:r>
      <w:r w:rsidR="007826CE" w:rsidRPr="00EC250C">
        <w:t>w nie wynika</w:t>
      </w:r>
      <w:r w:rsidR="00992FD0" w:rsidRPr="00EC250C">
        <w:t xml:space="preserve"> z </w:t>
      </w:r>
      <w:r w:rsidR="007826CE" w:rsidRPr="00EC250C">
        <w:t>ich niefrasobliwo</w:t>
      </w:r>
      <w:r w:rsidR="007826CE" w:rsidRPr="00EC250C">
        <w:rPr>
          <w:rFonts w:hint="eastAsia"/>
        </w:rPr>
        <w:t>ś</w:t>
      </w:r>
      <w:r w:rsidR="007826CE" w:rsidRPr="00EC250C">
        <w:t>ci, czy lekkomy</w:t>
      </w:r>
      <w:r w:rsidR="007826CE" w:rsidRPr="00EC250C">
        <w:rPr>
          <w:rFonts w:hint="eastAsia"/>
        </w:rPr>
        <w:t>ś</w:t>
      </w:r>
      <w:r w:rsidR="007826CE" w:rsidRPr="00EC250C">
        <w:t>lno</w:t>
      </w:r>
      <w:r w:rsidR="007826CE" w:rsidRPr="00EC250C">
        <w:rPr>
          <w:rFonts w:hint="eastAsia"/>
        </w:rPr>
        <w:t>ś</w:t>
      </w:r>
      <w:r w:rsidR="007826CE" w:rsidRPr="00EC250C">
        <w:t>ci, lecz jest konsekwencj</w:t>
      </w:r>
      <w:r w:rsidR="007826CE" w:rsidRPr="00EC250C">
        <w:rPr>
          <w:rFonts w:hint="eastAsia"/>
        </w:rPr>
        <w:t>ą</w:t>
      </w:r>
      <w:r w:rsidR="007826CE" w:rsidRPr="00EC250C">
        <w:t xml:space="preserve"> obiektywnych zdarze</w:t>
      </w:r>
      <w:r w:rsidR="007826CE" w:rsidRPr="00EC250C">
        <w:rPr>
          <w:rFonts w:hint="eastAsia"/>
        </w:rPr>
        <w:t>ń</w:t>
      </w:r>
      <w:r w:rsidR="007826CE" w:rsidRPr="00EC250C">
        <w:t>, jak np. nieuregulowania nale</w:t>
      </w:r>
      <w:r w:rsidR="007826CE" w:rsidRPr="00EC250C">
        <w:rPr>
          <w:rFonts w:hint="eastAsia"/>
        </w:rPr>
        <w:t>ż</w:t>
      </w:r>
      <w:r w:rsidR="007826CE" w:rsidRPr="00EC250C">
        <w:t>no</w:t>
      </w:r>
      <w:r w:rsidR="007826CE" w:rsidRPr="00EC250C">
        <w:rPr>
          <w:rFonts w:hint="eastAsia"/>
        </w:rPr>
        <w:t>ś</w:t>
      </w:r>
      <w:r w:rsidR="007826CE" w:rsidRPr="00EC250C">
        <w:t>ci przez nierzetelnego kontrahenta czy jego upad</w:t>
      </w:r>
      <w:r w:rsidR="007826CE" w:rsidRPr="00EC250C">
        <w:rPr>
          <w:rFonts w:hint="eastAsia"/>
        </w:rPr>
        <w:t>ł</w:t>
      </w:r>
      <w:r w:rsidR="007826CE" w:rsidRPr="00EC250C">
        <w:t>o</w:t>
      </w:r>
      <w:r w:rsidR="007826CE" w:rsidRPr="00EC250C">
        <w:rPr>
          <w:rFonts w:hint="eastAsia"/>
        </w:rPr>
        <w:t>ś</w:t>
      </w:r>
      <w:r w:rsidR="007826CE" w:rsidRPr="00EC250C">
        <w:t>ci.</w:t>
      </w:r>
    </w:p>
    <w:p w14:paraId="780B2DA9" w14:textId="77777777" w:rsidR="00B01CFE" w:rsidRPr="00EC250C" w:rsidRDefault="007826CE" w:rsidP="00D131FA">
      <w:pPr>
        <w:pStyle w:val="Styl1"/>
      </w:pPr>
      <w:r w:rsidRPr="00EC250C">
        <w:t>Minister poinformował, że nie zdawał sobie sprawy</w:t>
      </w:r>
      <w:r w:rsidR="00992FD0" w:rsidRPr="00EC250C">
        <w:t xml:space="preserve"> z </w:t>
      </w:r>
      <w:r w:rsidRPr="00EC250C">
        <w:t>luki</w:t>
      </w:r>
      <w:r w:rsidR="00992FD0" w:rsidRPr="00EC250C">
        <w:t xml:space="preserve"> w </w:t>
      </w:r>
      <w:r w:rsidRPr="00EC250C">
        <w:t>przepisach</w:t>
      </w:r>
      <w:r w:rsidR="00992FD0" w:rsidRPr="00EC250C">
        <w:t xml:space="preserve"> i w </w:t>
      </w:r>
      <w:r w:rsidRPr="00EC250C">
        <w:t xml:space="preserve">pełni podzielił stanowisko </w:t>
      </w:r>
      <w:r w:rsidR="00073A8C" w:rsidRPr="00EC250C">
        <w:t>RPO</w:t>
      </w:r>
      <w:r w:rsidRPr="00EC250C">
        <w:t>.</w:t>
      </w:r>
      <w:r w:rsidR="006664EB" w:rsidRPr="00EC250C">
        <w:t xml:space="preserve"> W 2019</w:t>
      </w:r>
      <w:r w:rsidR="00C91F6E" w:rsidRPr="00EC250C">
        <w:t> r.</w:t>
      </w:r>
      <w:r w:rsidR="006664EB" w:rsidRPr="00EC250C">
        <w:t xml:space="preserve"> poinformował, że trwają już prace nad zmianą przepisów</w:t>
      </w:r>
      <w:r w:rsidR="006664EB" w:rsidRPr="00EC250C">
        <w:rPr>
          <w:rStyle w:val="Odwoanieprzypisudolnego"/>
        </w:rPr>
        <w:footnoteReference w:id="8"/>
      </w:r>
      <w:r w:rsidR="006664EB" w:rsidRPr="00EC250C">
        <w:t>.</w:t>
      </w:r>
      <w:r w:rsidR="00B01CFE" w:rsidRPr="00EC250C">
        <w:br w:type="page"/>
      </w:r>
    </w:p>
    <w:p w14:paraId="5FE3A374" w14:textId="77777777" w:rsidR="00C91F6E" w:rsidRPr="00EC250C" w:rsidRDefault="0046702B" w:rsidP="00EC250C">
      <w:pPr>
        <w:pStyle w:val="Nagwek3"/>
      </w:pPr>
      <w:bookmarkStart w:id="24" w:name="_Toc6257631"/>
      <w:bookmarkStart w:id="25" w:name="_Toc11247532"/>
      <w:r w:rsidRPr="00EC250C">
        <w:lastRenderedPageBreak/>
        <w:t xml:space="preserve">Art. 31 </w:t>
      </w:r>
      <w:r w:rsidR="007A2D46" w:rsidRPr="00EC250C">
        <w:t xml:space="preserve">Konstytucji </w:t>
      </w:r>
      <w:r w:rsidRPr="00EC250C">
        <w:t>– Wolność</w:t>
      </w:r>
      <w:r w:rsidR="00992FD0" w:rsidRPr="00EC250C">
        <w:t xml:space="preserve"> i </w:t>
      </w:r>
      <w:r w:rsidRPr="00EC250C">
        <w:t>dopuszczalne ograniczenia. Zasada proporcjonalności</w:t>
      </w:r>
      <w:bookmarkEnd w:id="24"/>
      <w:bookmarkEnd w:id="25"/>
    </w:p>
    <w:p w14:paraId="3B028B1B" w14:textId="77777777" w:rsidR="00992629" w:rsidRPr="00EC250C" w:rsidRDefault="0046702B" w:rsidP="00D131FA">
      <w:pPr>
        <w:pStyle w:val="konstytucja"/>
        <w:jc w:val="both"/>
      </w:pPr>
      <w:r w:rsidRPr="00EC250C">
        <w:t>1. Wolność człowieka podlega ochronie prawnej.</w:t>
      </w:r>
    </w:p>
    <w:p w14:paraId="6B9F6F36" w14:textId="77777777" w:rsidR="00992629" w:rsidRPr="00EC250C" w:rsidRDefault="0046702B" w:rsidP="00D131FA">
      <w:pPr>
        <w:pStyle w:val="konstytucja"/>
        <w:jc w:val="both"/>
      </w:pPr>
      <w:r w:rsidRPr="00EC250C">
        <w:t>2. Każdy jest obowiązany szanować wolności</w:t>
      </w:r>
      <w:r w:rsidR="00992FD0" w:rsidRPr="00EC250C">
        <w:t xml:space="preserve"> i </w:t>
      </w:r>
      <w:r w:rsidRPr="00EC250C">
        <w:t>prawa innych. Nikogo nie wolno zmuszać do czynienia tego, czego prawo mu nie nakazuje.</w:t>
      </w:r>
    </w:p>
    <w:p w14:paraId="5E7A53BD" w14:textId="77777777" w:rsidR="0046702B" w:rsidRPr="00EC250C" w:rsidRDefault="0046702B" w:rsidP="00D131FA">
      <w:pPr>
        <w:pStyle w:val="konstytucja"/>
        <w:jc w:val="both"/>
      </w:pPr>
      <w:r w:rsidRPr="00EC250C">
        <w:t>3. Ograniczenia</w:t>
      </w:r>
      <w:r w:rsidR="00992FD0" w:rsidRPr="00EC250C">
        <w:t xml:space="preserve"> w </w:t>
      </w:r>
      <w:r w:rsidRPr="00EC250C">
        <w:t>zakresie korzystania</w:t>
      </w:r>
      <w:r w:rsidR="00992FD0" w:rsidRPr="00EC250C">
        <w:t xml:space="preserve"> z </w:t>
      </w:r>
      <w:r w:rsidRPr="00EC250C">
        <w:t>konstytucyjnych wolności</w:t>
      </w:r>
      <w:r w:rsidR="00992FD0" w:rsidRPr="00EC250C">
        <w:t xml:space="preserve"> i </w:t>
      </w:r>
      <w:r w:rsidRPr="00EC250C">
        <w:t>praw mogą być ustanawiane tylko</w:t>
      </w:r>
      <w:r w:rsidR="00992FD0" w:rsidRPr="00EC250C">
        <w:t xml:space="preserve"> w </w:t>
      </w:r>
      <w:r w:rsidRPr="00EC250C">
        <w:t>ustawie</w:t>
      </w:r>
      <w:r w:rsidR="00992FD0" w:rsidRPr="00EC250C">
        <w:t xml:space="preserve"> i </w:t>
      </w:r>
      <w:r w:rsidRPr="00EC250C">
        <w:t>tylko wtedy, gdy są konieczne</w:t>
      </w:r>
      <w:r w:rsidR="00992FD0" w:rsidRPr="00EC250C">
        <w:t xml:space="preserve"> w </w:t>
      </w:r>
      <w:r w:rsidRPr="00EC250C">
        <w:t>demokratycznym państwie dla jego bezpieczeństwa lub porządku publicznego, bądź dla ochrony środowiska, zdrowia</w:t>
      </w:r>
      <w:r w:rsidR="00992FD0" w:rsidRPr="00EC250C">
        <w:t xml:space="preserve"> i </w:t>
      </w:r>
      <w:r w:rsidRPr="00EC250C">
        <w:t>moralności publicznej, albo wolności</w:t>
      </w:r>
      <w:r w:rsidR="00992FD0" w:rsidRPr="00EC250C">
        <w:t xml:space="preserve"> i </w:t>
      </w:r>
      <w:r w:rsidRPr="00EC250C">
        <w:t>praw innych osób. Ograniczenia te nie mogą naruszać istoty wolności</w:t>
      </w:r>
      <w:r w:rsidR="00992FD0" w:rsidRPr="00EC250C">
        <w:t xml:space="preserve"> i </w:t>
      </w:r>
      <w:r w:rsidRPr="00EC250C">
        <w:t>praw.</w:t>
      </w:r>
    </w:p>
    <w:p w14:paraId="15EB73DF" w14:textId="77777777" w:rsidR="00C91F6E" w:rsidRPr="00EC250C" w:rsidRDefault="00501E12" w:rsidP="00D131FA">
      <w:pPr>
        <w:pStyle w:val="ComwiKonstytucja"/>
      </w:pPr>
      <w:r w:rsidRPr="00EC250C">
        <w:t>Prawa</w:t>
      </w:r>
      <w:r w:rsidR="00992FD0" w:rsidRPr="00EC250C">
        <w:t xml:space="preserve"> i </w:t>
      </w:r>
      <w:r w:rsidRPr="00EC250C">
        <w:t>wolności zawarte</w:t>
      </w:r>
      <w:r w:rsidR="00992FD0" w:rsidRPr="00EC250C">
        <w:t xml:space="preserve"> w </w:t>
      </w:r>
      <w:r w:rsidRPr="00EC250C">
        <w:t>Konstytucji nie mają charakteru absolutnego – to znaczy, że mogą podlegać ograniczeniom</w:t>
      </w:r>
      <w:r w:rsidR="00E91652" w:rsidRPr="00EC250C">
        <w:t>. Przy spełnieniu pewnych warunków dopuszczalne jest więc ograniczenie konstytucyjnych praw</w:t>
      </w:r>
      <w:r w:rsidR="00992FD0" w:rsidRPr="00EC250C">
        <w:t xml:space="preserve"> i </w:t>
      </w:r>
      <w:r w:rsidR="00E91652" w:rsidRPr="00EC250C">
        <w:t>wolności jednostki dla ochrony innych dóbr. P</w:t>
      </w:r>
      <w:r w:rsidRPr="00EC250C">
        <w:t xml:space="preserve">recyzuje </w:t>
      </w:r>
      <w:r w:rsidR="00E91652" w:rsidRPr="00EC250C">
        <w:t xml:space="preserve">je </w:t>
      </w:r>
      <w:r w:rsidRPr="00EC250C">
        <w:t>ust.</w:t>
      </w:r>
      <w:r w:rsidR="00E91652" w:rsidRPr="00EC250C">
        <w:t> </w:t>
      </w:r>
      <w:r w:rsidRPr="00EC250C">
        <w:t>3 art. 31</w:t>
      </w:r>
      <w:r w:rsidR="008C1228" w:rsidRPr="00EC250C">
        <w:t xml:space="preserve"> </w:t>
      </w:r>
      <w:r w:rsidRPr="00EC250C">
        <w:t xml:space="preserve">Konstytucji. </w:t>
      </w:r>
      <w:r w:rsidR="00E91652" w:rsidRPr="00EC250C">
        <w:t>T</w:t>
      </w:r>
      <w:r w:rsidRPr="00EC250C">
        <w:t>o przepis wyjątkowy, bo służy zawężeniu wolności</w:t>
      </w:r>
      <w:r w:rsidR="00992FD0" w:rsidRPr="00EC250C">
        <w:t xml:space="preserve"> i </w:t>
      </w:r>
      <w:r w:rsidRPr="00EC250C">
        <w:t xml:space="preserve">praw. Dlatego </w:t>
      </w:r>
      <w:r w:rsidR="00E91652" w:rsidRPr="00EC250C">
        <w:t>nie wolno zastanawiając się, co on oznacza</w:t>
      </w:r>
      <w:r w:rsidR="00992FD0" w:rsidRPr="00EC250C">
        <w:t xml:space="preserve"> i </w:t>
      </w:r>
      <w:r w:rsidR="00E91652" w:rsidRPr="00EC250C">
        <w:t xml:space="preserve">stosować </w:t>
      </w:r>
      <w:r w:rsidRPr="00EC250C">
        <w:t>interpretacji rozszerzającej jego postanowienia.</w:t>
      </w:r>
    </w:p>
    <w:p w14:paraId="04C8EF4F" w14:textId="77777777" w:rsidR="008C1228" w:rsidRPr="00EC250C" w:rsidRDefault="00E91652" w:rsidP="00D131FA">
      <w:pPr>
        <w:pStyle w:val="ComwiKonstytucja"/>
      </w:pPr>
      <w:r w:rsidRPr="00EC250C">
        <w:t xml:space="preserve">To, czy dane </w:t>
      </w:r>
      <w:r w:rsidR="00501E12" w:rsidRPr="00EC250C">
        <w:t>ograniczeni</w:t>
      </w:r>
      <w:r w:rsidRPr="00EC250C">
        <w:t>e</w:t>
      </w:r>
      <w:r w:rsidR="00501E12" w:rsidRPr="00EC250C">
        <w:t xml:space="preserve"> </w:t>
      </w:r>
      <w:r w:rsidRPr="00EC250C">
        <w:t>praw</w:t>
      </w:r>
      <w:r w:rsidR="00992FD0" w:rsidRPr="00EC250C">
        <w:t xml:space="preserve"> i </w:t>
      </w:r>
      <w:r w:rsidRPr="00EC250C">
        <w:t>wolności jest zgodne</w:t>
      </w:r>
      <w:r w:rsidR="00992FD0" w:rsidRPr="00EC250C">
        <w:t xml:space="preserve"> z </w:t>
      </w:r>
      <w:r w:rsidR="00501E12" w:rsidRPr="00EC250C">
        <w:t>Konstytucją</w:t>
      </w:r>
      <w:r w:rsidRPr="00EC250C">
        <w:t>,</w:t>
      </w:r>
      <w:r w:rsidR="00501E12" w:rsidRPr="00EC250C">
        <w:t xml:space="preserve"> zależy od odpowiedzi na trzy pytania:</w:t>
      </w:r>
    </w:p>
    <w:p w14:paraId="2B914D24" w14:textId="77777777" w:rsidR="00C91F6E" w:rsidRPr="00EC250C" w:rsidRDefault="00501E12" w:rsidP="00D131FA">
      <w:pPr>
        <w:pStyle w:val="ComwiKonstytucja"/>
      </w:pPr>
      <w:r w:rsidRPr="00EC250C">
        <w:t>1. czy wprowadzone ograniczenia służą realizacji określonego celu (</w:t>
      </w:r>
      <w:r w:rsidR="00E91652" w:rsidRPr="00EC250C">
        <w:t xml:space="preserve">czy są </w:t>
      </w:r>
      <w:r w:rsidRPr="00EC250C">
        <w:t>przydatn</w:t>
      </w:r>
      <w:r w:rsidR="00E91652" w:rsidRPr="00EC250C">
        <w:t>e</w:t>
      </w:r>
      <w:r w:rsidRPr="00EC250C">
        <w:t>),</w:t>
      </w:r>
    </w:p>
    <w:p w14:paraId="004934B3" w14:textId="77777777" w:rsidR="00C91F6E" w:rsidRPr="00EC250C" w:rsidRDefault="00501E12" w:rsidP="00D131FA">
      <w:pPr>
        <w:pStyle w:val="ComwiKonstytucja"/>
      </w:pPr>
      <w:r w:rsidRPr="00EC250C">
        <w:t>2. czy jest niezbędne dla jego osiągnięcia (</w:t>
      </w:r>
      <w:r w:rsidR="00E91652" w:rsidRPr="00EC250C">
        <w:t xml:space="preserve">czy są </w:t>
      </w:r>
      <w:r w:rsidRPr="00EC250C">
        <w:t>konieczn</w:t>
      </w:r>
      <w:r w:rsidR="00E91652" w:rsidRPr="00EC250C">
        <w:t>e</w:t>
      </w:r>
      <w:r w:rsidRPr="00EC250C">
        <w:t>),</w:t>
      </w:r>
    </w:p>
    <w:p w14:paraId="1377699B" w14:textId="77777777" w:rsidR="00501E12" w:rsidRPr="00EC250C" w:rsidRDefault="00501E12" w:rsidP="00D131FA">
      <w:pPr>
        <w:pStyle w:val="ComwiKonstytucja"/>
      </w:pPr>
      <w:r w:rsidRPr="00EC250C">
        <w:t>3. czy nie stanowi zbyt wysokiego kosztu realizacji założonego celu,</w:t>
      </w:r>
      <w:r w:rsidR="00992FD0" w:rsidRPr="00EC250C">
        <w:t xml:space="preserve"> a </w:t>
      </w:r>
      <w:r w:rsidRPr="00EC250C">
        <w:t>zatem czy poświęcone dobro pozostaje we właściwej proporcji do osiągniętego efektu (</w:t>
      </w:r>
      <w:r w:rsidR="00E91652" w:rsidRPr="00EC250C">
        <w:t>czy</w:t>
      </w:r>
      <w:r w:rsidR="00A541E0" w:rsidRPr="00EC250C">
        <w:t xml:space="preserve"> ograniczenia</w:t>
      </w:r>
      <w:r w:rsidR="00E91652" w:rsidRPr="00EC250C">
        <w:t xml:space="preserve"> są </w:t>
      </w:r>
      <w:r w:rsidRPr="00EC250C">
        <w:t>proporcjonaln</w:t>
      </w:r>
      <w:r w:rsidR="00E91652" w:rsidRPr="00EC250C">
        <w:t>e do celu</w:t>
      </w:r>
      <w:r w:rsidRPr="00EC250C">
        <w:t>)</w:t>
      </w:r>
    </w:p>
    <w:p w14:paraId="671B2A16" w14:textId="77777777" w:rsidR="00EE09AA" w:rsidRPr="00EC250C" w:rsidRDefault="00EE09AA" w:rsidP="00D131FA">
      <w:pPr>
        <w:pStyle w:val="ComwiKonstytucja"/>
      </w:pPr>
    </w:p>
    <w:p w14:paraId="182A80D7" w14:textId="77777777" w:rsidR="007A2D46" w:rsidRPr="00EC250C" w:rsidRDefault="007A2D46" w:rsidP="00D131FA">
      <w:pPr>
        <w:spacing w:after="200" w:line="24" w:lineRule="auto"/>
        <w:jc w:val="both"/>
        <w:rPr>
          <w:rFonts w:cs="Arial"/>
          <w:i/>
          <w:color w:val="000000"/>
          <w:sz w:val="24"/>
        </w:rPr>
      </w:pPr>
      <w:r w:rsidRPr="00EC250C">
        <w:rPr>
          <w:sz w:val="24"/>
        </w:rPr>
        <w:br w:type="page"/>
      </w:r>
    </w:p>
    <w:p w14:paraId="319D84E8" w14:textId="77777777" w:rsidR="00C91F6E" w:rsidRPr="00EC250C" w:rsidRDefault="00D55FD3" w:rsidP="00EC79EB">
      <w:pPr>
        <w:pStyle w:val="Nagwek4"/>
      </w:pPr>
      <w:bookmarkStart w:id="26" w:name="_Toc6257632"/>
      <w:bookmarkStart w:id="27" w:name="_Toc11247533"/>
      <w:r w:rsidRPr="00EC250C">
        <w:lastRenderedPageBreak/>
        <w:t xml:space="preserve">Odbieranie wolności </w:t>
      </w:r>
      <w:r w:rsidR="00913407" w:rsidRPr="00EC250C">
        <w:t>mieszkańc</w:t>
      </w:r>
      <w:r w:rsidRPr="00EC250C">
        <w:t>om</w:t>
      </w:r>
      <w:r w:rsidR="00913407" w:rsidRPr="00EC250C">
        <w:t xml:space="preserve"> domów pomocy społecznej</w:t>
      </w:r>
      <w:bookmarkEnd w:id="26"/>
      <w:bookmarkEnd w:id="27"/>
    </w:p>
    <w:p w14:paraId="03009918" w14:textId="77777777" w:rsidR="00B473F5" w:rsidRPr="00EC250C" w:rsidRDefault="0047188E" w:rsidP="00D131FA">
      <w:pPr>
        <w:pStyle w:val="Problemczowieka"/>
        <w:jc w:val="both"/>
      </w:pPr>
      <w:r w:rsidRPr="00EC250C">
        <w:t>Mieszkańcom domów pomocy społecznej często ogranicza się możliwość wyjścia poza teren placówki. Bywa, że personel po prostu zniechęca do samodzielnego wyjścia, pozwala na to tylko</w:t>
      </w:r>
      <w:r w:rsidR="00992FD0" w:rsidRPr="00EC250C">
        <w:t xml:space="preserve"> w </w:t>
      </w:r>
      <w:r w:rsidRPr="00EC250C">
        <w:t>godzinach pracy placówki, wydaje przepustki ,</w:t>
      </w:r>
      <w:r w:rsidR="00992FD0" w:rsidRPr="00EC250C">
        <w:t xml:space="preserve"> a </w:t>
      </w:r>
      <w:r w:rsidRPr="00EC250C">
        <w:t>nawet po prostu zamyka drzwi do budynku</w:t>
      </w:r>
      <w:r w:rsidR="00B473F5" w:rsidRPr="00EC250C">
        <w:t>.</w:t>
      </w:r>
    </w:p>
    <w:p w14:paraId="48FDD4E8" w14:textId="77777777" w:rsidR="00C91F6E" w:rsidRPr="00EC250C" w:rsidRDefault="0047188E" w:rsidP="00D131FA">
      <w:pPr>
        <w:pStyle w:val="Styl1"/>
      </w:pPr>
      <w:r w:rsidRPr="00EC250C">
        <w:t>Dotyczy to przede wszystkim osób przewlekle chorujących psychicznie,</w:t>
      </w:r>
      <w:r w:rsidR="00992FD0" w:rsidRPr="00EC250C">
        <w:t xml:space="preserve"> z </w:t>
      </w:r>
      <w:r w:rsidRPr="00EC250C">
        <w:t>niepełnosprawnością intelektualną, nadużywających alkoholu, umieszczonych</w:t>
      </w:r>
      <w:r w:rsidR="00992FD0" w:rsidRPr="00EC250C">
        <w:t xml:space="preserve"> w </w:t>
      </w:r>
      <w:r w:rsidRPr="00EC250C">
        <w:t>placówce na podstawie orzeczenia sądowego oraz ubezwłasnowolnionych.</w:t>
      </w:r>
    </w:p>
    <w:p w14:paraId="4CDDA20C" w14:textId="77777777" w:rsidR="0047188E" w:rsidRPr="00EC250C" w:rsidRDefault="0047188E" w:rsidP="00D131FA">
      <w:pPr>
        <w:pStyle w:val="Styl1"/>
      </w:pPr>
      <w:r w:rsidRPr="00EC250C">
        <w:t>Zdaniem RPO, wolność osobista tych osób jest bezprawnie ograniczana.</w:t>
      </w:r>
    </w:p>
    <w:p w14:paraId="6D9E8810" w14:textId="77777777" w:rsidR="00C91F6E" w:rsidRPr="00EC250C" w:rsidRDefault="0047188E" w:rsidP="00EC250C">
      <w:pPr>
        <w:pStyle w:val="Nagwek5"/>
      </w:pPr>
      <w:r w:rsidRPr="00EC250C">
        <w:t>Prawo do swobodnego wychodzenia</w:t>
      </w:r>
      <w:r w:rsidR="00992FD0" w:rsidRPr="00EC250C">
        <w:t xml:space="preserve"> z </w:t>
      </w:r>
      <w:r w:rsidRPr="00EC250C">
        <w:t>budynku oraz opuszczania terenu placówki</w:t>
      </w:r>
    </w:p>
    <w:p w14:paraId="75D6C89E" w14:textId="77777777" w:rsidR="00C91F6E" w:rsidRPr="00EC250C" w:rsidRDefault="0047188E" w:rsidP="00D131FA">
      <w:pPr>
        <w:pStyle w:val="Styl1"/>
        <w:rPr>
          <w:bCs/>
          <w:iCs/>
        </w:rPr>
      </w:pPr>
      <w:r w:rsidRPr="00EC250C">
        <w:rPr>
          <w:bCs/>
          <w:iCs/>
        </w:rPr>
        <w:t>Krajowy Mechanizm Prewencji Tortur działający</w:t>
      </w:r>
      <w:r w:rsidR="00992FD0" w:rsidRPr="00EC250C">
        <w:rPr>
          <w:bCs/>
          <w:iCs/>
        </w:rPr>
        <w:t xml:space="preserve"> w </w:t>
      </w:r>
      <w:r w:rsidRPr="00EC250C">
        <w:rPr>
          <w:bCs/>
          <w:iCs/>
        </w:rPr>
        <w:t>ramach Biura Rzecznika Praw Obywatelskich po przeprowadzeniu 146 wizytacji</w:t>
      </w:r>
      <w:r w:rsidR="00992FD0" w:rsidRPr="00EC250C">
        <w:rPr>
          <w:bCs/>
          <w:iCs/>
        </w:rPr>
        <w:t xml:space="preserve"> w </w:t>
      </w:r>
      <w:r w:rsidRPr="00EC250C">
        <w:rPr>
          <w:bCs/>
          <w:iCs/>
        </w:rPr>
        <w:t>domach pomocy społecznej zwrócił uwagę na istotne problemy związane</w:t>
      </w:r>
      <w:r w:rsidR="00992FD0" w:rsidRPr="00EC250C">
        <w:rPr>
          <w:bCs/>
          <w:iCs/>
        </w:rPr>
        <w:t xml:space="preserve"> z </w:t>
      </w:r>
      <w:r w:rsidRPr="00EC250C">
        <w:rPr>
          <w:bCs/>
          <w:iCs/>
        </w:rPr>
        <w:t>ograniczaniem wolności osobistej ich mieszkańców.</w:t>
      </w:r>
    </w:p>
    <w:p w14:paraId="4BDB4A83" w14:textId="77777777" w:rsidR="0047188E" w:rsidRPr="00EC250C" w:rsidRDefault="0047188E" w:rsidP="00D131FA">
      <w:pPr>
        <w:pStyle w:val="Styl1"/>
        <w:rPr>
          <w:bCs/>
          <w:iCs/>
        </w:rPr>
      </w:pPr>
      <w:r w:rsidRPr="00EC250C">
        <w:rPr>
          <w:bCs/>
          <w:iCs/>
        </w:rPr>
        <w:t xml:space="preserve">W obowiązującym stanie prawnym nie ma podstaw do ograniczania swobodnego opuszczania budynków oraz terenu DPS. </w:t>
      </w:r>
      <w:r w:rsidRPr="00EC250C">
        <w:rPr>
          <w:b/>
          <w:bCs/>
          <w:iCs/>
        </w:rPr>
        <w:t>Zważywszy jednak na stan psychofizyczny części mieszkańców, dla których samodzielne wyjście poza teren placówki może wiązać się</w:t>
      </w:r>
      <w:r w:rsidR="00992FD0" w:rsidRPr="00EC250C">
        <w:rPr>
          <w:b/>
          <w:bCs/>
          <w:iCs/>
        </w:rPr>
        <w:t xml:space="preserve"> z </w:t>
      </w:r>
      <w:r w:rsidRPr="00EC250C">
        <w:rPr>
          <w:b/>
          <w:bCs/>
          <w:iCs/>
        </w:rPr>
        <w:t>zagrożeniem życia lub zdrowia, KMPT dostrzega potrzebę wprowadzenia odpowiednich regulacji ustawowych.</w:t>
      </w:r>
      <w:r w:rsidRPr="00EC250C">
        <w:rPr>
          <w:bCs/>
          <w:iCs/>
        </w:rPr>
        <w:t xml:space="preserve"> Warto również – co także pokazuje </w:t>
      </w:r>
      <w:r w:rsidRPr="00EC250C">
        <w:t>opublikowany</w:t>
      </w:r>
      <w:r w:rsidR="00992FD0" w:rsidRPr="00EC250C">
        <w:t xml:space="preserve"> w </w:t>
      </w:r>
      <w:r w:rsidRPr="00EC250C">
        <w:t>2017</w:t>
      </w:r>
      <w:r w:rsidR="00C91F6E" w:rsidRPr="00EC250C">
        <w:t> r.</w:t>
      </w:r>
      <w:r w:rsidRPr="00EC250C">
        <w:t xml:space="preserve"> raport na temat DPS</w:t>
      </w:r>
      <w:r w:rsidRPr="00EC250C">
        <w:footnoteReference w:id="9"/>
      </w:r>
      <w:r w:rsidRPr="00EC250C">
        <w:t>– korzystać</w:t>
      </w:r>
      <w:r w:rsidR="00992FD0" w:rsidRPr="00EC250C">
        <w:t xml:space="preserve"> z </w:t>
      </w:r>
      <w:r w:rsidRPr="00EC250C">
        <w:t>dobrych pomysłów wypracowanych przez różne placówki</w:t>
      </w:r>
      <w:r w:rsidR="00992FD0" w:rsidRPr="00EC250C">
        <w:t xml:space="preserve"> w </w:t>
      </w:r>
      <w:r w:rsidRPr="00EC250C">
        <w:t>kraju, które wiedzą, jak dbać</w:t>
      </w:r>
      <w:r w:rsidR="00992FD0" w:rsidRPr="00EC250C">
        <w:t xml:space="preserve"> o </w:t>
      </w:r>
      <w:r w:rsidRPr="00EC250C">
        <w:t>bezpieczeństwo mieszkańców nie ograniczając przy tym ich wolności.</w:t>
      </w:r>
    </w:p>
    <w:p w14:paraId="36C659D5" w14:textId="77777777" w:rsidR="0047188E" w:rsidRPr="00EC250C" w:rsidRDefault="0047188E" w:rsidP="00D131FA">
      <w:pPr>
        <w:pStyle w:val="Styl1"/>
        <w:rPr>
          <w:bCs/>
          <w:iCs/>
        </w:rPr>
      </w:pPr>
      <w:r w:rsidRPr="00EC250C">
        <w:rPr>
          <w:bCs/>
          <w:iCs/>
        </w:rPr>
        <w:t>W 2018</w:t>
      </w:r>
      <w:r w:rsidR="00C91F6E" w:rsidRPr="00EC250C">
        <w:rPr>
          <w:bCs/>
          <w:iCs/>
        </w:rPr>
        <w:t> r.</w:t>
      </w:r>
      <w:r w:rsidRPr="00EC250C">
        <w:rPr>
          <w:bCs/>
          <w:iCs/>
        </w:rPr>
        <w:t xml:space="preserve"> Minister Rodziny, Pracy</w:t>
      </w:r>
      <w:r w:rsidR="00992FD0" w:rsidRPr="00EC250C">
        <w:rPr>
          <w:bCs/>
          <w:iCs/>
        </w:rPr>
        <w:t xml:space="preserve"> i </w:t>
      </w:r>
      <w:r w:rsidRPr="00EC250C">
        <w:rPr>
          <w:bCs/>
          <w:iCs/>
        </w:rPr>
        <w:t>Polityki Społecznej informował</w:t>
      </w:r>
      <w:r w:rsidRPr="00EC250C">
        <w:rPr>
          <w:rStyle w:val="Odwoanieprzypisudolnego"/>
          <w:bCs/>
          <w:iCs/>
        </w:rPr>
        <w:footnoteReference w:id="10"/>
      </w:r>
      <w:r w:rsidRPr="00EC250C">
        <w:rPr>
          <w:bCs/>
          <w:iCs/>
        </w:rPr>
        <w:t>, że kwestia umożliwienia mieszkańcom swobodnych wyjść</w:t>
      </w:r>
      <w:r w:rsidR="00992FD0" w:rsidRPr="00EC250C">
        <w:rPr>
          <w:bCs/>
          <w:iCs/>
        </w:rPr>
        <w:t xml:space="preserve"> z </w:t>
      </w:r>
      <w:r w:rsidRPr="00EC250C">
        <w:rPr>
          <w:bCs/>
          <w:iCs/>
        </w:rPr>
        <w:t>DPS znalazła się</w:t>
      </w:r>
      <w:r w:rsidR="00992FD0" w:rsidRPr="00EC250C">
        <w:rPr>
          <w:bCs/>
          <w:iCs/>
        </w:rPr>
        <w:t xml:space="preserve"> w </w:t>
      </w:r>
      <w:r w:rsidRPr="00EC250C">
        <w:rPr>
          <w:bCs/>
          <w:iCs/>
        </w:rPr>
        <w:t>projekcie zmiany ustawy</w:t>
      </w:r>
      <w:r w:rsidR="00992FD0" w:rsidRPr="00EC250C">
        <w:rPr>
          <w:bCs/>
          <w:iCs/>
        </w:rPr>
        <w:t xml:space="preserve"> o </w:t>
      </w:r>
      <w:r w:rsidRPr="00EC250C">
        <w:rPr>
          <w:bCs/>
          <w:iCs/>
        </w:rPr>
        <w:t>pomocy społecznej.</w:t>
      </w:r>
    </w:p>
    <w:p w14:paraId="72711CD6" w14:textId="77777777" w:rsidR="006266A7" w:rsidRPr="00EC250C" w:rsidRDefault="003B7614" w:rsidP="00EC250C">
      <w:pPr>
        <w:pStyle w:val="Nagwek5"/>
      </w:pPr>
      <w:r w:rsidRPr="00EC250C">
        <w:t>Brak odpowiedniej p</w:t>
      </w:r>
      <w:r w:rsidR="006266A7" w:rsidRPr="00EC250C">
        <w:t>omoc</w:t>
      </w:r>
      <w:r w:rsidRPr="00EC250C">
        <w:t>y</w:t>
      </w:r>
      <w:r w:rsidR="006266A7" w:rsidRPr="00EC250C">
        <w:t xml:space="preserve"> psychologiczn</w:t>
      </w:r>
      <w:r w:rsidRPr="00EC250C">
        <w:t>ej</w:t>
      </w:r>
      <w:r w:rsidR="00992FD0" w:rsidRPr="00EC250C">
        <w:t xml:space="preserve"> i </w:t>
      </w:r>
      <w:r w:rsidR="006266A7" w:rsidRPr="00EC250C">
        <w:t>psychiatryczn</w:t>
      </w:r>
      <w:r w:rsidRPr="00EC250C">
        <w:t>ej</w:t>
      </w:r>
    </w:p>
    <w:p w14:paraId="786C437C" w14:textId="77777777" w:rsidR="00B473F5" w:rsidRPr="00EC250C" w:rsidRDefault="0047188E" w:rsidP="00D131FA">
      <w:pPr>
        <w:pStyle w:val="Problemczowieka"/>
        <w:jc w:val="both"/>
      </w:pPr>
      <w:r w:rsidRPr="00EC250C">
        <w:t>Opieka psychologiczna to ważny element właściwego traktowania mieszkańców domów pomocy społecznej</w:t>
      </w:r>
      <w:r w:rsidR="00B473F5" w:rsidRPr="00EC250C">
        <w:t>.</w:t>
      </w:r>
    </w:p>
    <w:p w14:paraId="6C65F517" w14:textId="77777777" w:rsidR="00186E76" w:rsidRPr="00EC250C" w:rsidRDefault="00724A06" w:rsidP="00D131FA">
      <w:pPr>
        <w:pStyle w:val="Styl1"/>
        <w:rPr>
          <w:bCs/>
          <w:iCs/>
        </w:rPr>
      </w:pPr>
      <w:r w:rsidRPr="00EC250C">
        <w:rPr>
          <w:bCs/>
          <w:iCs/>
        </w:rPr>
        <w:t>Kontakt</w:t>
      </w:r>
      <w:r w:rsidR="00992FD0" w:rsidRPr="00EC250C">
        <w:rPr>
          <w:bCs/>
          <w:iCs/>
        </w:rPr>
        <w:t xml:space="preserve"> z </w:t>
      </w:r>
      <w:r w:rsidRPr="00EC250C">
        <w:rPr>
          <w:bCs/>
          <w:iCs/>
        </w:rPr>
        <w:t>psychologiem powinien mieć charakter stały,</w:t>
      </w:r>
      <w:r w:rsidR="00992FD0" w:rsidRPr="00EC250C">
        <w:rPr>
          <w:bCs/>
          <w:iCs/>
        </w:rPr>
        <w:t xml:space="preserve"> a </w:t>
      </w:r>
      <w:r w:rsidRPr="00EC250C">
        <w:rPr>
          <w:bCs/>
          <w:iCs/>
        </w:rPr>
        <w:t>nie doraźny, bo wtedy można zbudować relację opartą na zaufaniu. Ta zaś stanowi warunek niezbędny prowadzenia skutecznych oddziaływań.</w:t>
      </w:r>
    </w:p>
    <w:p w14:paraId="1E7855BD" w14:textId="77777777" w:rsidR="0047188E" w:rsidRPr="00EC250C" w:rsidRDefault="0047188E" w:rsidP="00D131FA">
      <w:pPr>
        <w:pStyle w:val="Styl1"/>
        <w:rPr>
          <w:bCs/>
          <w:iCs/>
        </w:rPr>
      </w:pPr>
      <w:r w:rsidRPr="00EC250C">
        <w:rPr>
          <w:bCs/>
          <w:iCs/>
        </w:rPr>
        <w:lastRenderedPageBreak/>
        <w:t xml:space="preserve">RPO uważa, że potrzebne są prawne regulacje </w:t>
      </w:r>
      <w:r w:rsidR="00FC0C3A" w:rsidRPr="00EC250C">
        <w:rPr>
          <w:bCs/>
          <w:iCs/>
        </w:rPr>
        <w:t xml:space="preserve">dotyczące </w:t>
      </w:r>
      <w:r w:rsidRPr="00EC250C">
        <w:rPr>
          <w:bCs/>
          <w:iCs/>
        </w:rPr>
        <w:t>częstotliwości kontaktów</w:t>
      </w:r>
      <w:r w:rsidR="00992FD0" w:rsidRPr="00EC250C">
        <w:rPr>
          <w:bCs/>
          <w:iCs/>
        </w:rPr>
        <w:t xml:space="preserve"> z </w:t>
      </w:r>
      <w:r w:rsidRPr="00EC250C">
        <w:rPr>
          <w:bCs/>
          <w:iCs/>
        </w:rPr>
        <w:t>psychologiem lub psychiatrą. Niestety zdaniem Ministra Rodziny, Pracy</w:t>
      </w:r>
      <w:r w:rsidR="00992FD0" w:rsidRPr="00EC250C">
        <w:rPr>
          <w:bCs/>
          <w:iCs/>
        </w:rPr>
        <w:t xml:space="preserve"> i </w:t>
      </w:r>
      <w:r w:rsidRPr="00EC250C">
        <w:rPr>
          <w:bCs/>
          <w:iCs/>
        </w:rPr>
        <w:t>Polityki Społecznej wystarczą ogólne zasady korzystania</w:t>
      </w:r>
      <w:r w:rsidR="00992FD0" w:rsidRPr="00EC250C">
        <w:rPr>
          <w:bCs/>
          <w:iCs/>
        </w:rPr>
        <w:t xml:space="preserve"> z </w:t>
      </w:r>
      <w:r w:rsidRPr="00EC250C">
        <w:rPr>
          <w:bCs/>
          <w:iCs/>
        </w:rPr>
        <w:t>pomocy lekarskiej</w:t>
      </w:r>
      <w:r w:rsidR="00992FD0" w:rsidRPr="00EC250C">
        <w:rPr>
          <w:bCs/>
          <w:iCs/>
        </w:rPr>
        <w:t xml:space="preserve"> w </w:t>
      </w:r>
      <w:r w:rsidRPr="00EC250C">
        <w:rPr>
          <w:bCs/>
          <w:iCs/>
        </w:rPr>
        <w:t>ramach ubezpieczenia</w:t>
      </w:r>
      <w:r w:rsidR="00724A06" w:rsidRPr="00EC250C">
        <w:rPr>
          <w:rStyle w:val="Odwoanieprzypisudolnego"/>
          <w:bCs/>
          <w:iCs/>
        </w:rPr>
        <w:footnoteReference w:id="11"/>
      </w:r>
      <w:r w:rsidRPr="00EC250C">
        <w:rPr>
          <w:bCs/>
          <w:iCs/>
        </w:rPr>
        <w:t>.</w:t>
      </w:r>
    </w:p>
    <w:p w14:paraId="097DFA2C" w14:textId="77777777" w:rsidR="00B40706" w:rsidRPr="00EC250C" w:rsidRDefault="00D55FD3" w:rsidP="00EC79EB">
      <w:pPr>
        <w:pStyle w:val="Nagwek4"/>
      </w:pPr>
      <w:bookmarkStart w:id="29" w:name="_Toc6257634"/>
      <w:bookmarkStart w:id="30" w:name="_Toc11247534"/>
      <w:r w:rsidRPr="00EC250C">
        <w:t>Jak osoba, która korzysta</w:t>
      </w:r>
      <w:r w:rsidR="00992FD0" w:rsidRPr="00EC250C">
        <w:t xml:space="preserve"> z </w:t>
      </w:r>
      <w:r w:rsidRPr="00EC250C">
        <w:t xml:space="preserve">pełni praw, ale </w:t>
      </w:r>
      <w:r w:rsidR="00B8780F" w:rsidRPr="00EC250C">
        <w:t xml:space="preserve">nie może podpisać dokumentów, </w:t>
      </w:r>
      <w:r w:rsidRPr="00EC250C">
        <w:t>ma zostać przyjęta do zakładu opiekuńczo-leczniczego</w:t>
      </w:r>
      <w:bookmarkEnd w:id="29"/>
      <w:r w:rsidRPr="00EC250C">
        <w:t>?</w:t>
      </w:r>
      <w:bookmarkEnd w:id="30"/>
    </w:p>
    <w:p w14:paraId="40F31A8A" w14:textId="77777777" w:rsidR="00D414A9" w:rsidRPr="00EC250C" w:rsidRDefault="00B40706" w:rsidP="00D131FA">
      <w:pPr>
        <w:pStyle w:val="ODESANIE"/>
        <w:jc w:val="both"/>
      </w:pPr>
      <w:r w:rsidRPr="00EC250C">
        <w:t>Omówienie</w:t>
      </w:r>
      <w:r w:rsidR="00A356D5" w:rsidRPr="00EC250C">
        <w:t xml:space="preserve">: </w:t>
      </w:r>
      <w:r w:rsidR="00276C19" w:rsidRPr="00EC250C">
        <w:t>A</w:t>
      </w:r>
      <w:r w:rsidR="00A356D5" w:rsidRPr="00EC250C">
        <w:t>rt. 41 ust. 1 – Nietykalność osobista</w:t>
      </w:r>
      <w:r w:rsidR="00992FD0" w:rsidRPr="00EC250C">
        <w:t xml:space="preserve"> i </w:t>
      </w:r>
      <w:r w:rsidR="00A356D5" w:rsidRPr="00EC250C">
        <w:t>wolność osobista.</w:t>
      </w:r>
    </w:p>
    <w:p w14:paraId="494DEE95" w14:textId="77777777" w:rsidR="00C91F6E" w:rsidRPr="00EC250C" w:rsidRDefault="00D55FD3" w:rsidP="00EC79EB">
      <w:pPr>
        <w:pStyle w:val="Nagwek4"/>
      </w:pPr>
      <w:bookmarkStart w:id="31" w:name="_Toc6257635"/>
      <w:bookmarkStart w:id="32" w:name="_Toc11247535"/>
      <w:r w:rsidRPr="00EC250C">
        <w:t>Kto</w:t>
      </w:r>
      <w:r w:rsidR="00992FD0" w:rsidRPr="00EC250C">
        <w:t xml:space="preserve"> i </w:t>
      </w:r>
      <w:r w:rsidRPr="00EC250C">
        <w:t>na jakiej podstawie ma decydować</w:t>
      </w:r>
      <w:r w:rsidR="00992FD0" w:rsidRPr="00EC250C">
        <w:t xml:space="preserve"> o </w:t>
      </w:r>
      <w:r w:rsidRPr="00EC250C">
        <w:t>tym, komu wolno wejść na stadion</w:t>
      </w:r>
      <w:bookmarkEnd w:id="31"/>
      <w:r w:rsidRPr="00EC250C">
        <w:t>?</w:t>
      </w:r>
      <w:bookmarkEnd w:id="32"/>
    </w:p>
    <w:p w14:paraId="4DC6AAC9" w14:textId="77777777" w:rsidR="00B473F5" w:rsidRPr="00EC250C" w:rsidRDefault="002B267E" w:rsidP="00D131FA">
      <w:pPr>
        <w:pStyle w:val="Problemczowieka"/>
        <w:jc w:val="both"/>
        <w:rPr>
          <w:rStyle w:val="Pogrubienie"/>
          <w:b/>
          <w:bCs w:val="0"/>
        </w:rPr>
      </w:pPr>
      <w:r w:rsidRPr="00EC250C">
        <w:rPr>
          <w:rStyle w:val="Pogrubienie"/>
          <w:b/>
          <w:bCs w:val="0"/>
        </w:rPr>
        <w:t>Klub sportowy może zakazywać wstępu na mecz piłki nożnej kibicom, którzy złamali regulamin obiektu lub imprezy. Trybunał Konstytucyjny</w:t>
      </w:r>
      <w:r w:rsidR="00992FD0" w:rsidRPr="00EC250C">
        <w:rPr>
          <w:rStyle w:val="Pogrubienie"/>
          <w:b/>
          <w:bCs w:val="0"/>
        </w:rPr>
        <w:t xml:space="preserve"> w </w:t>
      </w:r>
      <w:r w:rsidR="00F50DF9" w:rsidRPr="00EC250C">
        <w:rPr>
          <w:rStyle w:val="Pogrubienie"/>
          <w:b/>
          <w:bCs w:val="0"/>
        </w:rPr>
        <w:t>odpowiedzi na wniosek RPO</w:t>
      </w:r>
      <w:r w:rsidR="00992FD0" w:rsidRPr="00EC250C">
        <w:rPr>
          <w:rStyle w:val="Pogrubienie"/>
          <w:b/>
          <w:bCs w:val="0"/>
        </w:rPr>
        <w:t xml:space="preserve"> o </w:t>
      </w:r>
      <w:r w:rsidR="00F50DF9" w:rsidRPr="00EC250C">
        <w:rPr>
          <w:rStyle w:val="Pogrubienie"/>
          <w:b/>
          <w:bCs w:val="0"/>
        </w:rPr>
        <w:t>sprawdzenie zgodności tego przepisu</w:t>
      </w:r>
      <w:r w:rsidR="00992FD0" w:rsidRPr="00EC250C">
        <w:rPr>
          <w:rStyle w:val="Pogrubienie"/>
          <w:b/>
          <w:bCs w:val="0"/>
        </w:rPr>
        <w:t xml:space="preserve"> z </w:t>
      </w:r>
      <w:r w:rsidR="00F50DF9" w:rsidRPr="00EC250C">
        <w:rPr>
          <w:rStyle w:val="Pogrubienie"/>
          <w:b/>
          <w:bCs w:val="0"/>
        </w:rPr>
        <w:t>Konstytucją uznał przepis za właściwy</w:t>
      </w:r>
      <w:r w:rsidR="00B473F5" w:rsidRPr="00EC250C">
        <w:rPr>
          <w:rStyle w:val="Pogrubienie"/>
          <w:b/>
          <w:bCs w:val="0"/>
        </w:rPr>
        <w:t>.</w:t>
      </w:r>
    </w:p>
    <w:p w14:paraId="5992C6FF" w14:textId="77777777" w:rsidR="002B267E" w:rsidRPr="00EC250C" w:rsidRDefault="002B267E" w:rsidP="00D131FA">
      <w:pPr>
        <w:pStyle w:val="Styl1"/>
      </w:pPr>
      <w:r w:rsidRPr="00EC250C">
        <w:t>Wniosek złożyła</w:t>
      </w:r>
      <w:r w:rsidR="00992FD0" w:rsidRPr="00EC250C">
        <w:t xml:space="preserve"> w </w:t>
      </w:r>
      <w:r w:rsidRPr="00EC250C">
        <w:t>grudniu 2014</w:t>
      </w:r>
      <w:r w:rsidR="00C91F6E" w:rsidRPr="00EC250C">
        <w:t> r.</w:t>
      </w:r>
      <w:r w:rsidRPr="00EC250C">
        <w:t xml:space="preserve"> Irena Lipowicz, ówczesna rzeczniczka praw obywatelskich. </w:t>
      </w:r>
      <w:r w:rsidR="00367B04" w:rsidRPr="00EC250C">
        <w:t>Według RPO regulamin imprezy bądź obiektu nie jest wystarczając</w:t>
      </w:r>
      <w:r w:rsidR="004608B6" w:rsidRPr="00EC250C">
        <w:t>ą</w:t>
      </w:r>
      <w:r w:rsidR="00367B04" w:rsidRPr="00EC250C">
        <w:t xml:space="preserve"> </w:t>
      </w:r>
      <w:r w:rsidR="004608B6" w:rsidRPr="00EC250C">
        <w:t xml:space="preserve">podstawą do </w:t>
      </w:r>
      <w:r w:rsidR="00367B04" w:rsidRPr="00EC250C">
        <w:t>ogranicza</w:t>
      </w:r>
      <w:r w:rsidR="004608B6" w:rsidRPr="00EC250C">
        <w:t>nia</w:t>
      </w:r>
      <w:r w:rsidR="00367B04" w:rsidRPr="00EC250C">
        <w:t xml:space="preserve"> możliwoś</w:t>
      </w:r>
      <w:r w:rsidR="00FC0C3A" w:rsidRPr="00EC250C">
        <w:t>ci</w:t>
      </w:r>
      <w:r w:rsidR="00367B04" w:rsidRPr="00EC250C">
        <w:t xml:space="preserve"> udziału</w:t>
      </w:r>
      <w:r w:rsidR="00992FD0" w:rsidRPr="00EC250C">
        <w:t xml:space="preserve"> w </w:t>
      </w:r>
      <w:r w:rsidR="00367B04" w:rsidRPr="00EC250C">
        <w:t xml:space="preserve">wydarzeniu. </w:t>
      </w:r>
      <w:r w:rsidR="004608B6" w:rsidRPr="00EC250C">
        <w:t>I</w:t>
      </w:r>
      <w:r w:rsidRPr="00EC250C">
        <w:t>ntencją RPO nie było pozbawienie organizatorów meczów możliwości ograniczania udziału osób, które naruszają spokój</w:t>
      </w:r>
      <w:r w:rsidR="00992FD0" w:rsidRPr="00EC250C">
        <w:t xml:space="preserve"> i </w:t>
      </w:r>
      <w:r w:rsidRPr="00EC250C">
        <w:t>porządek publiczny</w:t>
      </w:r>
      <w:r w:rsidR="00367B04" w:rsidRPr="00EC250C">
        <w:t>, ale wskazanie, że</w:t>
      </w:r>
      <w:r w:rsidRPr="00EC250C">
        <w:t xml:space="preserve"> zakaz klubowy wymaga dookreślenia</w:t>
      </w:r>
      <w:r w:rsidR="00992FD0" w:rsidRPr="00EC250C">
        <w:t xml:space="preserve"> w </w:t>
      </w:r>
      <w:r w:rsidR="00923959" w:rsidRPr="00EC250C">
        <w:t xml:space="preserve">ustawie. Zaproponowane rozwiązanie </w:t>
      </w:r>
      <w:r w:rsidRPr="00EC250C">
        <w:t>ograniczyłoby arbitralność</w:t>
      </w:r>
      <w:r w:rsidR="00992FD0" w:rsidRPr="00EC250C">
        <w:t xml:space="preserve"> i </w:t>
      </w:r>
      <w:r w:rsidRPr="00EC250C">
        <w:t>dowolność</w:t>
      </w:r>
      <w:r w:rsidR="00992FD0" w:rsidRPr="00EC250C">
        <w:t xml:space="preserve"> w </w:t>
      </w:r>
      <w:r w:rsidRPr="00EC250C">
        <w:t>wymierzaniu</w:t>
      </w:r>
      <w:r w:rsidR="00923959" w:rsidRPr="00EC250C">
        <w:t xml:space="preserve"> kary, jaką jest zakaz wejścia na stadion</w:t>
      </w:r>
      <w:r w:rsidR="003909A2" w:rsidRPr="00EC250C">
        <w:t xml:space="preserve">. </w:t>
      </w:r>
      <w:r w:rsidRPr="00EC250C">
        <w:t>Zakaz klubowy nakładany jest bowiem nie przez sąd</w:t>
      </w:r>
      <w:r w:rsidR="00026572" w:rsidRPr="00EC250C">
        <w:t xml:space="preserve"> – </w:t>
      </w:r>
      <w:r w:rsidRPr="00EC250C">
        <w:t>jak zakaz stadionowy</w:t>
      </w:r>
      <w:r w:rsidR="00026572" w:rsidRPr="00EC250C">
        <w:t xml:space="preserve"> – </w:t>
      </w:r>
      <w:r w:rsidRPr="00EC250C">
        <w:t xml:space="preserve">ale przez podmiot niebędący organem władzy publicznej. Regulamin </w:t>
      </w:r>
      <w:r w:rsidR="00E811BA" w:rsidRPr="00EC250C">
        <w:t xml:space="preserve">zaś </w:t>
      </w:r>
      <w:r w:rsidRPr="00EC250C">
        <w:t>nie jest źródłem prawa powszechnie obowiązującego</w:t>
      </w:r>
      <w:r w:rsidR="002A1F05" w:rsidRPr="00EC250C">
        <w:t>. Trybunał Konstytucyjny podkreślił jednocześnie, że niniejszy wyrok nie oznacza, iż wolność uczestniczenia</w:t>
      </w:r>
      <w:r w:rsidR="00992FD0" w:rsidRPr="00EC250C">
        <w:t xml:space="preserve"> w </w:t>
      </w:r>
      <w:r w:rsidR="002A1F05" w:rsidRPr="00EC250C">
        <w:t>publicznych widowiskach sportowych nie podlega ochronie konstytucyjnej,</w:t>
      </w:r>
      <w:r w:rsidR="00992FD0" w:rsidRPr="00EC250C">
        <w:t xml:space="preserve"> a </w:t>
      </w:r>
      <w:r w:rsidR="002A1F05" w:rsidRPr="00EC250C">
        <w:t>ograniczenia tej wolności nie muszą spełniać wymogów przewidzianych</w:t>
      </w:r>
      <w:r w:rsidR="00992FD0" w:rsidRPr="00EC250C">
        <w:t xml:space="preserve"> w </w:t>
      </w:r>
      <w:r w:rsidR="002A1F05" w:rsidRPr="00EC250C">
        <w:t>ustawie zasadniczej. Ze względów formalnych Trybunał nie był jednak uprawniony rozstrzygnąć definitywnie, jakie wzorce kontroli byłyby adekwatne</w:t>
      </w:r>
      <w:r w:rsidR="00992FD0" w:rsidRPr="00EC250C">
        <w:t xml:space="preserve"> w </w:t>
      </w:r>
      <w:r w:rsidR="002A1F05" w:rsidRPr="00EC250C">
        <w:t>tym wypadku</w:t>
      </w:r>
      <w:r w:rsidRPr="00EC250C">
        <w:rPr>
          <w:rStyle w:val="Odwoanieprzypisudolnego"/>
        </w:rPr>
        <w:footnoteReference w:id="12"/>
      </w:r>
      <w:r w:rsidRPr="00EC250C">
        <w:t>.</w:t>
      </w:r>
    </w:p>
    <w:p w14:paraId="6EE906A4" w14:textId="77777777" w:rsidR="0046702B" w:rsidRPr="00EC250C" w:rsidRDefault="0046702B" w:rsidP="00D131FA">
      <w:pPr>
        <w:pStyle w:val="Styl1"/>
      </w:pPr>
      <w:r w:rsidRPr="00EC250C">
        <w:br w:type="page"/>
      </w:r>
    </w:p>
    <w:p w14:paraId="7CB0B1E4" w14:textId="77777777" w:rsidR="00AE2F35" w:rsidRPr="00EC250C" w:rsidRDefault="00AE2F35" w:rsidP="00EC250C">
      <w:pPr>
        <w:pStyle w:val="Nagwek3"/>
      </w:pPr>
      <w:bookmarkStart w:id="33" w:name="_Toc6257636"/>
      <w:bookmarkStart w:id="34" w:name="_Toc11247536"/>
      <w:r w:rsidRPr="00EC250C">
        <w:lastRenderedPageBreak/>
        <w:t xml:space="preserve">Art. 32 </w:t>
      </w:r>
      <w:r w:rsidR="002B267E" w:rsidRPr="00EC250C">
        <w:t>Konstytucji</w:t>
      </w:r>
      <w:r w:rsidR="00A945AC" w:rsidRPr="00EC250C">
        <w:t xml:space="preserve"> </w:t>
      </w:r>
      <w:r w:rsidRPr="00EC250C">
        <w:t>ust. 1 – Równość wobec prawa oraz równe traktowanie</w:t>
      </w:r>
      <w:bookmarkEnd w:id="33"/>
      <w:bookmarkEnd w:id="34"/>
    </w:p>
    <w:p w14:paraId="21A582D3" w14:textId="77777777" w:rsidR="001A7CC9" w:rsidRPr="00EC250C" w:rsidRDefault="00AE2F35" w:rsidP="00D131FA">
      <w:pPr>
        <w:pStyle w:val="konstytucja"/>
        <w:jc w:val="both"/>
      </w:pPr>
      <w:r w:rsidRPr="00EC250C">
        <w:t>Wszyscy są wobec prawa równi. Wszyscy mają prawo do równego traktowania przez władze publiczne.</w:t>
      </w:r>
    </w:p>
    <w:p w14:paraId="65988A07" w14:textId="77777777" w:rsidR="00C91F6E" w:rsidRPr="00EC250C" w:rsidRDefault="00006CB7" w:rsidP="00D131FA">
      <w:pPr>
        <w:pStyle w:val="ComwiKonstytucja"/>
      </w:pPr>
      <w:r w:rsidRPr="00EC250C">
        <w:t>Równość — wraz</w:t>
      </w:r>
      <w:r w:rsidR="00992FD0" w:rsidRPr="00EC250C">
        <w:t xml:space="preserve"> z </w:t>
      </w:r>
      <w:r w:rsidRPr="00EC250C">
        <w:t>godnością</w:t>
      </w:r>
      <w:r w:rsidR="00992FD0" w:rsidRPr="00EC250C">
        <w:t xml:space="preserve"> i </w:t>
      </w:r>
      <w:r w:rsidRPr="00EC250C">
        <w:t>wolnością — stanowi podstawę porządku ustrojowego</w:t>
      </w:r>
      <w:r w:rsidR="00992FD0" w:rsidRPr="00EC250C">
        <w:t xml:space="preserve"> i w </w:t>
      </w:r>
      <w:r w:rsidRPr="00EC250C">
        <w:t>tym powiązaniu należy ją rozpatrywać. Jest to zarówno zasada konstytucyjna, jak</w:t>
      </w:r>
      <w:r w:rsidR="00992FD0" w:rsidRPr="00EC250C">
        <w:t xml:space="preserve"> i </w:t>
      </w:r>
      <w:r w:rsidRPr="00EC250C">
        <w:t>zasada systemu praw</w:t>
      </w:r>
      <w:r w:rsidR="00992FD0" w:rsidRPr="00EC250C">
        <w:t xml:space="preserve"> i </w:t>
      </w:r>
      <w:r w:rsidRPr="00EC250C">
        <w:t>wolności. Zasada równości wyznacza sposób</w:t>
      </w:r>
      <w:r w:rsidR="00992FD0" w:rsidRPr="00EC250C">
        <w:t xml:space="preserve"> i </w:t>
      </w:r>
      <w:r w:rsidRPr="00EC250C">
        <w:t>zakres korzystania</w:t>
      </w:r>
      <w:r w:rsidR="00992FD0" w:rsidRPr="00EC250C">
        <w:t xml:space="preserve"> z </w:t>
      </w:r>
      <w:r w:rsidRPr="00EC250C">
        <w:t>innych wolności</w:t>
      </w:r>
      <w:r w:rsidR="00992FD0" w:rsidRPr="00EC250C">
        <w:t xml:space="preserve"> i </w:t>
      </w:r>
      <w:r w:rsidRPr="00EC250C">
        <w:t>praw oraz określa zakres dopuszczalnych ograniczeń.</w:t>
      </w:r>
    </w:p>
    <w:p w14:paraId="27F42348" w14:textId="77777777" w:rsidR="00006CB7" w:rsidRPr="00EC250C" w:rsidRDefault="00006CB7" w:rsidP="00D131FA">
      <w:pPr>
        <w:pStyle w:val="ComwiKonstytucja"/>
      </w:pPr>
      <w:r w:rsidRPr="00EC250C">
        <w:t>Konstytucja gwarantuje wszystkim równość wobec prawa. Oznacza to, że nierówności społeczne będą niezgodne</w:t>
      </w:r>
      <w:r w:rsidR="00992FD0" w:rsidRPr="00EC250C">
        <w:t xml:space="preserve"> z </w:t>
      </w:r>
      <w:r w:rsidRPr="00EC250C">
        <w:t>Konstytucją wtedy, gdy są efektem obowiązującego prawa.</w:t>
      </w:r>
    </w:p>
    <w:p w14:paraId="5BFA5AD8" w14:textId="77777777" w:rsidR="00C91F6E" w:rsidRPr="00EC250C" w:rsidRDefault="00006CB7" w:rsidP="00D131FA">
      <w:pPr>
        <w:pStyle w:val="ComwiKonstytucja"/>
      </w:pPr>
      <w:r w:rsidRPr="00EC250C">
        <w:t>Zasadę równości rozpatruje się</w:t>
      </w:r>
      <w:r w:rsidR="00992FD0" w:rsidRPr="00EC250C">
        <w:t xml:space="preserve"> w </w:t>
      </w:r>
      <w:r w:rsidRPr="00EC250C">
        <w:t xml:space="preserve">relacjach jednostka – władza publiczna. Zasada równości oznacza, że wszystkie podmioty prawa </w:t>
      </w:r>
      <w:r w:rsidR="00203B35" w:rsidRPr="00EC250C">
        <w:t xml:space="preserve">charakteryzujące </w:t>
      </w:r>
      <w:r w:rsidRPr="00EC250C">
        <w:t>się daną cechą istotną</w:t>
      </w:r>
      <w:r w:rsidR="00992FD0" w:rsidRPr="00EC250C">
        <w:t xml:space="preserve"> w </w:t>
      </w:r>
      <w:r w:rsidR="00203B35" w:rsidRPr="00EC250C">
        <w:t xml:space="preserve">tym samym </w:t>
      </w:r>
      <w:r w:rsidRPr="00EC250C">
        <w:t>stopniu powinny być traktowane równo, według jednolitej miary, bez zróżnicowań dyskryminujących lub faworyzujących.</w:t>
      </w:r>
    </w:p>
    <w:p w14:paraId="2E7BFA92" w14:textId="77777777" w:rsidR="00006CB7" w:rsidRPr="00EC250C" w:rsidRDefault="00006CB7" w:rsidP="00D131FA">
      <w:pPr>
        <w:pStyle w:val="ComwiKonstytucja"/>
      </w:pPr>
      <w:r w:rsidRPr="00EC250C">
        <w:t>Jednocześnie zasada ta zakłada odmienne traktowanie tych podmiotów, które nie posiadają wspólnej cechy istotnej.</w:t>
      </w:r>
    </w:p>
    <w:p w14:paraId="65486E4E" w14:textId="77777777" w:rsidR="00EE09AA" w:rsidRPr="00EC250C" w:rsidRDefault="00EE09AA" w:rsidP="00D131FA">
      <w:pPr>
        <w:pStyle w:val="ComwiKonstytucja"/>
      </w:pPr>
    </w:p>
    <w:p w14:paraId="26BC9A2D" w14:textId="77777777" w:rsidR="00173B92" w:rsidRPr="00EC250C" w:rsidRDefault="00006CB7" w:rsidP="00D131FA">
      <w:pPr>
        <w:spacing w:after="200" w:line="24" w:lineRule="auto"/>
        <w:jc w:val="both"/>
        <w:rPr>
          <w:i/>
          <w:spacing w:val="5"/>
          <w:sz w:val="22"/>
        </w:rPr>
      </w:pPr>
      <w:r w:rsidRPr="00EC250C">
        <w:rPr>
          <w:sz w:val="24"/>
        </w:rPr>
        <w:br w:type="page"/>
      </w:r>
    </w:p>
    <w:p w14:paraId="2C738325" w14:textId="77777777" w:rsidR="00924A18" w:rsidRPr="00EC250C" w:rsidRDefault="00751E23" w:rsidP="00EC79EB">
      <w:pPr>
        <w:pStyle w:val="Nagwek4"/>
      </w:pPr>
      <w:bookmarkStart w:id="35" w:name="_Toc6257637"/>
      <w:bookmarkStart w:id="36" w:name="_Toc11247537"/>
      <w:r w:rsidRPr="00EC250C">
        <w:lastRenderedPageBreak/>
        <w:t>Narusz</w:t>
      </w:r>
      <w:r w:rsidR="00D55FD3" w:rsidRPr="00EC250C">
        <w:t>o</w:t>
      </w:r>
      <w:r w:rsidRPr="00EC250C">
        <w:t>ne p</w:t>
      </w:r>
      <w:r w:rsidR="002A1BCF" w:rsidRPr="00EC250C">
        <w:t>rawa o</w:t>
      </w:r>
      <w:r w:rsidR="00B8780F" w:rsidRPr="00EC250C">
        <w:t>piekun</w:t>
      </w:r>
      <w:r w:rsidR="002A1BCF" w:rsidRPr="00EC250C">
        <w:t>ów</w:t>
      </w:r>
      <w:r w:rsidR="00B8780F" w:rsidRPr="00EC250C">
        <w:t xml:space="preserve"> dorosłych osób</w:t>
      </w:r>
      <w:r w:rsidR="00992FD0" w:rsidRPr="00EC250C">
        <w:t xml:space="preserve"> z </w:t>
      </w:r>
      <w:r w:rsidR="00B8780F" w:rsidRPr="00EC250C">
        <w:t>niepełnosprawnościami</w:t>
      </w:r>
      <w:bookmarkEnd w:id="35"/>
      <w:bookmarkEnd w:id="36"/>
    </w:p>
    <w:p w14:paraId="667AF144" w14:textId="77777777" w:rsidR="00B473F5" w:rsidRPr="00EC250C" w:rsidRDefault="00EE7156" w:rsidP="00D131FA">
      <w:pPr>
        <w:pStyle w:val="Problemczowieka"/>
        <w:jc w:val="both"/>
        <w:rPr>
          <w:bdr w:val="none" w:sz="0" w:space="0" w:color="auto" w:frame="1"/>
        </w:rPr>
      </w:pPr>
      <w:r w:rsidRPr="00EC250C">
        <w:rPr>
          <w:bdr w:val="none" w:sz="0" w:space="0" w:color="auto" w:frame="1"/>
        </w:rPr>
        <w:t>Opiekun dorosłej osoby</w:t>
      </w:r>
      <w:r w:rsidR="00992FD0" w:rsidRPr="00EC250C">
        <w:rPr>
          <w:bdr w:val="none" w:sz="0" w:space="0" w:color="auto" w:frame="1"/>
        </w:rPr>
        <w:t xml:space="preserve"> z </w:t>
      </w:r>
      <w:r w:rsidRPr="00EC250C">
        <w:rPr>
          <w:bdr w:val="none" w:sz="0" w:space="0" w:color="auto" w:frame="1"/>
        </w:rPr>
        <w:t xml:space="preserve">niepełnosprawnością dostaje </w:t>
      </w:r>
      <w:r w:rsidR="00CF5E2C" w:rsidRPr="00EC250C">
        <w:rPr>
          <w:bdr w:val="none" w:sz="0" w:space="0" w:color="auto" w:frame="1"/>
        </w:rPr>
        <w:t xml:space="preserve">połowę </w:t>
      </w:r>
      <w:r w:rsidRPr="00EC250C">
        <w:rPr>
          <w:bdr w:val="none" w:sz="0" w:space="0" w:color="auto" w:frame="1"/>
        </w:rPr>
        <w:t>niższe świadczenie niż opiekun dziecka lub osoby, której niepełnosprawność stwierdzono</w:t>
      </w:r>
      <w:r w:rsidR="00992FD0" w:rsidRPr="00EC250C">
        <w:rPr>
          <w:bdr w:val="none" w:sz="0" w:space="0" w:color="auto" w:frame="1"/>
        </w:rPr>
        <w:t xml:space="preserve"> w </w:t>
      </w:r>
      <w:r w:rsidRPr="00EC250C">
        <w:rPr>
          <w:bdr w:val="none" w:sz="0" w:space="0" w:color="auto" w:frame="1"/>
        </w:rPr>
        <w:t>dzieciństwie</w:t>
      </w:r>
      <w:r w:rsidR="00B473F5" w:rsidRPr="00EC250C">
        <w:rPr>
          <w:bdr w:val="none" w:sz="0" w:space="0" w:color="auto" w:frame="1"/>
        </w:rPr>
        <w:t>.</w:t>
      </w:r>
    </w:p>
    <w:p w14:paraId="15869AD8" w14:textId="77777777" w:rsidR="002A1F05" w:rsidRPr="00EC250C" w:rsidRDefault="002A1F05" w:rsidP="00D131FA">
      <w:pPr>
        <w:pStyle w:val="Styl1"/>
      </w:pPr>
      <w:r w:rsidRPr="00EC250C">
        <w:rPr>
          <w:bdr w:val="none" w:sz="0" w:space="0" w:color="auto" w:frame="1"/>
        </w:rPr>
        <w:t xml:space="preserve">Rząd nie tylko nadal nie doprowadził do zmiany niekonstytucyjnego prawa, ale </w:t>
      </w:r>
      <w:r w:rsidR="00907A50" w:rsidRPr="00EC250C">
        <w:rPr>
          <w:bdr w:val="none" w:sz="0" w:space="0" w:color="auto" w:frame="1"/>
        </w:rPr>
        <w:t>Minister</w:t>
      </w:r>
      <w:r w:rsidR="00E8079B" w:rsidRPr="00EC250C">
        <w:rPr>
          <w:bdr w:val="none" w:sz="0" w:space="0" w:color="auto" w:frame="1"/>
        </w:rPr>
        <w:t xml:space="preserve"> R</w:t>
      </w:r>
      <w:r w:rsidRPr="00EC250C">
        <w:rPr>
          <w:bdr w:val="none" w:sz="0" w:space="0" w:color="auto" w:frame="1"/>
        </w:rPr>
        <w:t xml:space="preserve">odziny, </w:t>
      </w:r>
      <w:r w:rsidR="00E8079B" w:rsidRPr="00EC250C">
        <w:rPr>
          <w:bdr w:val="none" w:sz="0" w:space="0" w:color="auto" w:frame="1"/>
        </w:rPr>
        <w:t>P</w:t>
      </w:r>
      <w:r w:rsidRPr="00EC250C">
        <w:rPr>
          <w:bdr w:val="none" w:sz="0" w:space="0" w:color="auto" w:frame="1"/>
        </w:rPr>
        <w:t>racy</w:t>
      </w:r>
      <w:r w:rsidR="00992FD0" w:rsidRPr="00EC250C">
        <w:rPr>
          <w:bdr w:val="none" w:sz="0" w:space="0" w:color="auto" w:frame="1"/>
        </w:rPr>
        <w:t xml:space="preserve"> i </w:t>
      </w:r>
      <w:r w:rsidR="00E8079B" w:rsidRPr="00EC250C">
        <w:rPr>
          <w:bdr w:val="none" w:sz="0" w:space="0" w:color="auto" w:frame="1"/>
        </w:rPr>
        <w:t>P</w:t>
      </w:r>
      <w:r w:rsidRPr="00EC250C">
        <w:rPr>
          <w:bdr w:val="none" w:sz="0" w:space="0" w:color="auto" w:frame="1"/>
        </w:rPr>
        <w:t xml:space="preserve">olityki </w:t>
      </w:r>
      <w:r w:rsidR="00E8079B" w:rsidRPr="00EC250C">
        <w:rPr>
          <w:bdr w:val="none" w:sz="0" w:space="0" w:color="auto" w:frame="1"/>
        </w:rPr>
        <w:t>S</w:t>
      </w:r>
      <w:r w:rsidRPr="00EC250C">
        <w:rPr>
          <w:bdr w:val="none" w:sz="0" w:space="0" w:color="auto" w:frame="1"/>
        </w:rPr>
        <w:t>połecznej domaga się od samorządów stosowania go ignorując jednocześnie wyrok Trybunału Konstytucyjnego</w:t>
      </w:r>
      <w:r w:rsidR="00992FD0" w:rsidRPr="00EC250C">
        <w:rPr>
          <w:bdr w:val="none" w:sz="0" w:space="0" w:color="auto" w:frame="1"/>
        </w:rPr>
        <w:t xml:space="preserve"> z </w:t>
      </w:r>
      <w:r w:rsidRPr="00EC250C">
        <w:rPr>
          <w:bdr w:val="none" w:sz="0" w:space="0" w:color="auto" w:frame="1"/>
        </w:rPr>
        <w:t>2014 roku</w:t>
      </w:r>
      <w:r w:rsidR="00992FD0" w:rsidRPr="00EC250C">
        <w:rPr>
          <w:bdr w:val="none" w:sz="0" w:space="0" w:color="auto" w:frame="1"/>
        </w:rPr>
        <w:t xml:space="preserve"> w </w:t>
      </w:r>
      <w:r w:rsidRPr="00EC250C">
        <w:rPr>
          <w:bdr w:val="none" w:sz="0" w:space="0" w:color="auto" w:frame="1"/>
        </w:rPr>
        <w:t>sprawie złamania zasady równości przy ustalaniu reguł dla świadczeń pielęgnacyjnych</w:t>
      </w:r>
      <w:r w:rsidR="00041A7B" w:rsidRPr="00EC250C">
        <w:rPr>
          <w:rStyle w:val="Odwoanieprzypisudolnego"/>
        </w:rPr>
        <w:footnoteReference w:id="13"/>
      </w:r>
      <w:r w:rsidRPr="00EC250C">
        <w:rPr>
          <w:bdr w:val="none" w:sz="0" w:space="0" w:color="auto" w:frame="1"/>
        </w:rPr>
        <w:t>.</w:t>
      </w:r>
    </w:p>
    <w:p w14:paraId="67EEFB7A" w14:textId="77777777" w:rsidR="002A1F05" w:rsidRPr="00EC250C" w:rsidRDefault="002A1F05" w:rsidP="00D131FA">
      <w:pPr>
        <w:pStyle w:val="Styl1"/>
      </w:pPr>
      <w:r w:rsidRPr="00EC250C">
        <w:t>W maju 2018</w:t>
      </w:r>
      <w:r w:rsidR="00C91F6E" w:rsidRPr="00EC250C">
        <w:t> r.</w:t>
      </w:r>
      <w:r w:rsidRPr="00EC250C">
        <w:t>, kiedy trwał</w:t>
      </w:r>
      <w:r w:rsidR="00992FD0" w:rsidRPr="00EC250C">
        <w:t xml:space="preserve"> w </w:t>
      </w:r>
      <w:r w:rsidRPr="00EC250C">
        <w:t>Sejmie protest dorosłych osób</w:t>
      </w:r>
      <w:r w:rsidR="00992FD0" w:rsidRPr="00EC250C">
        <w:t xml:space="preserve"> z </w:t>
      </w:r>
      <w:r w:rsidRPr="00EC250C">
        <w:t>niepełnosprawnościami</w:t>
      </w:r>
      <w:r w:rsidR="00992FD0" w:rsidRPr="00EC250C">
        <w:t xml:space="preserve"> i </w:t>
      </w:r>
      <w:r w:rsidRPr="00EC250C">
        <w:t xml:space="preserve">ich opiekunów, </w:t>
      </w:r>
      <w:r w:rsidR="00073A8C" w:rsidRPr="00EC250C">
        <w:t xml:space="preserve">RPO </w:t>
      </w:r>
      <w:r w:rsidRPr="00EC250C">
        <w:t>zwrócił się do Ministra Rodziny, Pracy</w:t>
      </w:r>
      <w:r w:rsidR="00992FD0" w:rsidRPr="00EC250C">
        <w:t xml:space="preserve"> i </w:t>
      </w:r>
      <w:r w:rsidRPr="00EC250C">
        <w:t>Polityki Społecznej</w:t>
      </w:r>
      <w:r w:rsidR="00992FD0" w:rsidRPr="00EC250C">
        <w:t xml:space="preserve"> o </w:t>
      </w:r>
      <w:r w:rsidRPr="00EC250C">
        <w:t>zrewidowanie stanowiska przedstawionego</w:t>
      </w:r>
      <w:r w:rsidR="00992FD0" w:rsidRPr="00EC250C">
        <w:t xml:space="preserve"> w </w:t>
      </w:r>
      <w:r w:rsidRPr="00EC250C">
        <w:t xml:space="preserve">piśmie </w:t>
      </w:r>
      <w:r w:rsidR="00FC0C3A" w:rsidRPr="00EC250C">
        <w:t xml:space="preserve">do </w:t>
      </w:r>
      <w:r w:rsidRPr="00EC250C">
        <w:t>Wojewody Pomorskiego, by egzekwować przepisy ustawy mimo jej niekonstytucyjności</w:t>
      </w:r>
      <w:r w:rsidRPr="00EC250C">
        <w:rPr>
          <w:rStyle w:val="Odwoanieprzypisudolnego"/>
        </w:rPr>
        <w:footnoteReference w:id="14"/>
      </w:r>
      <w:r w:rsidRPr="00EC250C">
        <w:t>.</w:t>
      </w:r>
    </w:p>
    <w:p w14:paraId="56325B33" w14:textId="77777777" w:rsidR="0052734B" w:rsidRPr="00EC250C" w:rsidRDefault="002A1F05" w:rsidP="00D131FA">
      <w:pPr>
        <w:pStyle w:val="Styl1"/>
      </w:pPr>
      <w:r w:rsidRPr="00EC250C">
        <w:t>Rzecznik Praw Obywatelskich upominał się</w:t>
      </w:r>
      <w:r w:rsidR="00992FD0" w:rsidRPr="00EC250C">
        <w:t xml:space="preserve"> o </w:t>
      </w:r>
      <w:r w:rsidRPr="00EC250C">
        <w:t>świadczenia dla wszystkich opiekunów osób</w:t>
      </w:r>
      <w:r w:rsidR="00992FD0" w:rsidRPr="00EC250C">
        <w:t xml:space="preserve"> z </w:t>
      </w:r>
      <w:r w:rsidRPr="00EC250C">
        <w:t>niepełnosprawnością oraz</w:t>
      </w:r>
      <w:r w:rsidR="00992FD0" w:rsidRPr="00EC250C">
        <w:t xml:space="preserve"> o </w:t>
      </w:r>
      <w:r w:rsidRPr="00EC250C">
        <w:t>wykonanie wyroku Trybunału Konstytucyjnego</w:t>
      </w:r>
      <w:r w:rsidR="00992FD0" w:rsidRPr="00EC250C">
        <w:t xml:space="preserve"> z </w:t>
      </w:r>
      <w:r w:rsidRPr="00EC250C">
        <w:t>2014</w:t>
      </w:r>
      <w:r w:rsidR="00C91F6E" w:rsidRPr="00EC250C">
        <w:t> r.</w:t>
      </w:r>
      <w:r w:rsidRPr="00EC250C">
        <w:t xml:space="preserve"> W maju 2017</w:t>
      </w:r>
      <w:r w:rsidR="00C91F6E" w:rsidRPr="00EC250C">
        <w:t> r.</w:t>
      </w:r>
      <w:r w:rsidRPr="00EC250C">
        <w:t xml:space="preserve"> prosił Prezesa Rady Ministrów</w:t>
      </w:r>
      <w:r w:rsidR="00992FD0" w:rsidRPr="00EC250C">
        <w:t xml:space="preserve"> o </w:t>
      </w:r>
      <w:r w:rsidRPr="00EC250C">
        <w:t>objęcie szczególnym nadzorem procesu legislacyjnego związanego</w:t>
      </w:r>
      <w:r w:rsidR="00992FD0" w:rsidRPr="00EC250C">
        <w:t xml:space="preserve"> z </w:t>
      </w:r>
      <w:r w:rsidRPr="00EC250C">
        <w:t>wykonaniem tego wyroku. Przepisy nie zostały jednak zmienione,</w:t>
      </w:r>
      <w:r w:rsidR="00992FD0" w:rsidRPr="00EC250C">
        <w:t xml:space="preserve"> a </w:t>
      </w:r>
      <w:r w:rsidRPr="00EC250C">
        <w:t>już</w:t>
      </w:r>
      <w:r w:rsidR="00992FD0" w:rsidRPr="00EC250C">
        <w:t xml:space="preserve"> w </w:t>
      </w:r>
      <w:r w:rsidRPr="00EC250C">
        <w:t>2019</w:t>
      </w:r>
      <w:r w:rsidR="00C91F6E" w:rsidRPr="00EC250C">
        <w:t> r.</w:t>
      </w:r>
      <w:r w:rsidRPr="00EC250C">
        <w:t xml:space="preserve"> okazało się, że Wojewoda Pomorski zażądał od władz Sopotu zwrotu ponad 800 tys. zł</w:t>
      </w:r>
      <w:r w:rsidR="00992FD0" w:rsidRPr="00EC250C">
        <w:t xml:space="preserve"> z </w:t>
      </w:r>
      <w:r w:rsidRPr="00EC250C">
        <w:t xml:space="preserve">odsetkami </w:t>
      </w:r>
      <w:r w:rsidR="00E44B23" w:rsidRPr="00EC250C">
        <w:t xml:space="preserve">świadczeń </w:t>
      </w:r>
      <w:r w:rsidRPr="00EC250C">
        <w:t>wypłaconych opiekunom zgodnie ze stanowiskiem TK,</w:t>
      </w:r>
      <w:r w:rsidR="00992FD0" w:rsidRPr="00EC250C">
        <w:t xml:space="preserve"> a </w:t>
      </w:r>
      <w:r w:rsidRPr="00EC250C">
        <w:t>wbrew niekonstytucyjnej ustawie. Postępowanie</w:t>
      </w:r>
      <w:r w:rsidR="00992FD0" w:rsidRPr="00EC250C">
        <w:t xml:space="preserve"> w </w:t>
      </w:r>
      <w:r w:rsidRPr="00EC250C">
        <w:t xml:space="preserve">sprawie nadal jest monitorowane przez </w:t>
      </w:r>
      <w:r w:rsidR="00073A8C" w:rsidRPr="00EC250C">
        <w:t>RPO</w:t>
      </w:r>
      <w:r w:rsidRPr="00EC250C">
        <w:t xml:space="preserve"> pod k</w:t>
      </w:r>
      <w:r w:rsidR="00FC0C3A" w:rsidRPr="00EC250C">
        <w:t>ą</w:t>
      </w:r>
      <w:r w:rsidRPr="00EC250C">
        <w:t xml:space="preserve">tem możliwości skorzystania </w:t>
      </w:r>
      <w:r w:rsidR="00992FD0" w:rsidRPr="00EC250C">
        <w:t xml:space="preserve"> z </w:t>
      </w:r>
      <w:r w:rsidRPr="00EC250C">
        <w:t>przysługujących środków prawnych.</w:t>
      </w:r>
    </w:p>
    <w:p w14:paraId="33430CA2" w14:textId="77777777" w:rsidR="00414281" w:rsidRPr="00EC250C" w:rsidRDefault="00414281" w:rsidP="00EC250C">
      <w:pPr>
        <w:pStyle w:val="Nagwek8"/>
        <w:rPr>
          <w:rFonts w:eastAsia="Times New Roman"/>
        </w:rPr>
      </w:pPr>
      <w:r w:rsidRPr="00EC250C">
        <w:rPr>
          <w:rFonts w:eastAsia="Times New Roman"/>
        </w:rPr>
        <w:t>Pomoc dla osób, które opiekują się rodzicami z niepełnosprawnościami. Sąd zwiększa świadczenia dla opiekunów</w:t>
      </w:r>
    </w:p>
    <w:p w14:paraId="3EF46A2D" w14:textId="77777777" w:rsidR="00414281" w:rsidRPr="00EC250C" w:rsidRDefault="00384224" w:rsidP="006C70B7">
      <w:pPr>
        <w:pStyle w:val="Styl2"/>
        <w:numPr>
          <w:ilvl w:val="0"/>
          <w:numId w:val="159"/>
        </w:numPr>
        <w:rPr>
          <w:szCs w:val="24"/>
        </w:rPr>
      </w:pPr>
      <w:r w:rsidRPr="00EC250C">
        <w:rPr>
          <w:szCs w:val="24"/>
        </w:rPr>
        <w:t>Pani Z, która opiekuje się matką, pobierała specjalny zasiłek opiekuńczy. Chciała jednak uzyskać bardziej korzystne świadczenie –</w:t>
      </w:r>
      <w:r w:rsidR="00FC0C3A" w:rsidRPr="00EC250C">
        <w:rPr>
          <w:szCs w:val="24"/>
        </w:rPr>
        <w:t xml:space="preserve"> </w:t>
      </w:r>
      <w:r w:rsidRPr="00EC250C">
        <w:rPr>
          <w:szCs w:val="24"/>
        </w:rPr>
        <w:t xml:space="preserve">pielęgnacyjne. </w:t>
      </w:r>
    </w:p>
    <w:p w14:paraId="3CB3F86A" w14:textId="50A0AC07" w:rsidR="00384224" w:rsidRPr="00EC250C" w:rsidRDefault="00384224" w:rsidP="00414281">
      <w:pPr>
        <w:pStyle w:val="Styl2"/>
        <w:rPr>
          <w:szCs w:val="24"/>
        </w:rPr>
      </w:pPr>
      <w:r w:rsidRPr="00EC250C">
        <w:rPr>
          <w:szCs w:val="24"/>
        </w:rPr>
        <w:t>Gminny Ośrodek Opieki Społecznej doszedł jednak do wniosku, że nie ma do niego prawa, bo niepełnosprawność matki została stwierdzona, gdy była ona osobą dorosłą (po skończeniu 60 lat). W 2014</w:t>
      </w:r>
      <w:r w:rsidR="00C91F6E" w:rsidRPr="00EC250C">
        <w:rPr>
          <w:szCs w:val="24"/>
        </w:rPr>
        <w:t> r.</w:t>
      </w:r>
      <w:r w:rsidRPr="00EC250C">
        <w:rPr>
          <w:szCs w:val="24"/>
        </w:rPr>
        <w:t xml:space="preserve"> Trybunał Konstytucyjny orzekł, że dzielenie osób</w:t>
      </w:r>
      <w:r w:rsidR="00992FD0" w:rsidRPr="00EC250C">
        <w:rPr>
          <w:szCs w:val="24"/>
        </w:rPr>
        <w:t xml:space="preserve"> z </w:t>
      </w:r>
      <w:r w:rsidRPr="00EC250C">
        <w:rPr>
          <w:szCs w:val="24"/>
        </w:rPr>
        <w:t>niepełnosprawnościami na takie, których niepełnosprawność potwierdzona została</w:t>
      </w:r>
      <w:r w:rsidR="00992FD0" w:rsidRPr="00EC250C">
        <w:rPr>
          <w:szCs w:val="24"/>
        </w:rPr>
        <w:t xml:space="preserve"> w </w:t>
      </w:r>
      <w:r w:rsidRPr="00EC250C">
        <w:rPr>
          <w:szCs w:val="24"/>
        </w:rPr>
        <w:t xml:space="preserve">dzieciństwie (wtedy świadczenie opiekunowi </w:t>
      </w:r>
      <w:r w:rsidRPr="00EC250C">
        <w:rPr>
          <w:szCs w:val="24"/>
        </w:rPr>
        <w:lastRenderedPageBreak/>
        <w:t>przysługuje)</w:t>
      </w:r>
      <w:r w:rsidR="00992FD0" w:rsidRPr="00EC250C">
        <w:rPr>
          <w:szCs w:val="24"/>
        </w:rPr>
        <w:t xml:space="preserve"> i </w:t>
      </w:r>
      <w:r w:rsidRPr="00EC250C">
        <w:rPr>
          <w:szCs w:val="24"/>
        </w:rPr>
        <w:t>takich, których niepełnosprawność powstała</w:t>
      </w:r>
      <w:r w:rsidR="00992FD0" w:rsidRPr="00EC250C">
        <w:rPr>
          <w:szCs w:val="24"/>
        </w:rPr>
        <w:t xml:space="preserve"> w </w:t>
      </w:r>
      <w:r w:rsidRPr="00EC250C">
        <w:rPr>
          <w:szCs w:val="24"/>
        </w:rPr>
        <w:t>dorosłości, jest niekonstytucyjne. Jednak dla gminy to było za mało – bo przepisy różnicujące poziom wsparcia dla opiekuna nie zostały zmienione.</w:t>
      </w:r>
    </w:p>
    <w:p w14:paraId="5F4DD492" w14:textId="77777777" w:rsidR="00384224" w:rsidRPr="00EC250C" w:rsidRDefault="00384224" w:rsidP="00D131FA">
      <w:pPr>
        <w:pStyle w:val="Styl2"/>
        <w:rPr>
          <w:szCs w:val="24"/>
        </w:rPr>
      </w:pPr>
      <w:r w:rsidRPr="00EC250C">
        <w:rPr>
          <w:szCs w:val="24"/>
        </w:rPr>
        <w:t>Pani Z. odwołała się do Samorządowego Kolegium Odwoławczego. SKO co prawda przyznało jej rację, że dzielenie opiekunów na lepszych</w:t>
      </w:r>
      <w:r w:rsidR="00992FD0" w:rsidRPr="00EC250C">
        <w:rPr>
          <w:szCs w:val="24"/>
        </w:rPr>
        <w:t xml:space="preserve"> i </w:t>
      </w:r>
      <w:r w:rsidRPr="00EC250C">
        <w:rPr>
          <w:szCs w:val="24"/>
        </w:rPr>
        <w:t>gorszych</w:t>
      </w:r>
      <w:r w:rsidR="00992FD0" w:rsidRPr="00EC250C">
        <w:rPr>
          <w:szCs w:val="24"/>
        </w:rPr>
        <w:t xml:space="preserve"> w </w:t>
      </w:r>
      <w:r w:rsidRPr="00EC250C">
        <w:rPr>
          <w:szCs w:val="24"/>
        </w:rPr>
        <w:t>zależności od tego, kiedy powstała niepełnosprawność podopiecznego, jest niekonstytucyjne. Ale wskazało na inny powód tego, że pani Z. wyższa pomoc się nie należy: pobierała już zasiłek, więc nie przysługuje jej świadczenie.</w:t>
      </w:r>
    </w:p>
    <w:p w14:paraId="47E0CB9E" w14:textId="77777777" w:rsidR="00384224" w:rsidRPr="00EC250C" w:rsidRDefault="00384224" w:rsidP="00D131FA">
      <w:pPr>
        <w:pStyle w:val="Styl2"/>
        <w:rPr>
          <w:szCs w:val="24"/>
        </w:rPr>
      </w:pPr>
      <w:r w:rsidRPr="00EC250C">
        <w:rPr>
          <w:szCs w:val="24"/>
        </w:rPr>
        <w:t>Sprawa trafiła do sądu administracyjnego</w:t>
      </w:r>
      <w:r w:rsidR="00992FD0" w:rsidRPr="00EC250C">
        <w:rPr>
          <w:szCs w:val="24"/>
        </w:rPr>
        <w:t xml:space="preserve"> i </w:t>
      </w:r>
      <w:r w:rsidRPr="00EC250C">
        <w:rPr>
          <w:szCs w:val="24"/>
        </w:rPr>
        <w:t>przystąpił do niej RPO powtarzając swój argument: fakt, że ktoś pobiera specjalny zasiłek opiekuńczy nie wyklucza go</w:t>
      </w:r>
      <w:r w:rsidR="00992FD0" w:rsidRPr="00EC250C">
        <w:rPr>
          <w:szCs w:val="24"/>
        </w:rPr>
        <w:t xml:space="preserve"> z </w:t>
      </w:r>
      <w:r w:rsidRPr="00EC250C">
        <w:rPr>
          <w:szCs w:val="24"/>
        </w:rPr>
        <w:t>prawa do uzyskania świadczenia pielęgnacyjnego. Musi tylko dokonać wyboru.</w:t>
      </w:r>
    </w:p>
    <w:p w14:paraId="15F0396D" w14:textId="77777777" w:rsidR="00384224" w:rsidRPr="00EC250C" w:rsidRDefault="00384224" w:rsidP="00D131FA">
      <w:pPr>
        <w:pStyle w:val="Styl2"/>
        <w:rPr>
          <w:szCs w:val="24"/>
          <w:lang w:eastAsia="pl-PL"/>
        </w:rPr>
      </w:pPr>
      <w:r w:rsidRPr="00EC250C">
        <w:rPr>
          <w:szCs w:val="24"/>
        </w:rPr>
        <w:t>WSA</w:t>
      </w:r>
      <w:r w:rsidR="00992FD0" w:rsidRPr="00EC250C">
        <w:rPr>
          <w:szCs w:val="24"/>
        </w:rPr>
        <w:t xml:space="preserve"> w </w:t>
      </w:r>
      <w:r w:rsidRPr="00EC250C">
        <w:rPr>
          <w:szCs w:val="24"/>
        </w:rPr>
        <w:t>Poznaniu</w:t>
      </w:r>
      <w:r w:rsidR="00992FD0" w:rsidRPr="00EC250C">
        <w:rPr>
          <w:szCs w:val="24"/>
        </w:rPr>
        <w:t xml:space="preserve"> w </w:t>
      </w:r>
      <w:r w:rsidRPr="00EC250C">
        <w:rPr>
          <w:szCs w:val="24"/>
        </w:rPr>
        <w:t>wyroku</w:t>
      </w:r>
      <w:r w:rsidR="00992FD0" w:rsidRPr="00EC250C">
        <w:rPr>
          <w:szCs w:val="24"/>
        </w:rPr>
        <w:t xml:space="preserve"> z </w:t>
      </w:r>
      <w:r w:rsidRPr="00EC250C">
        <w:rPr>
          <w:szCs w:val="24"/>
        </w:rPr>
        <w:t>dnia 5 grudnia 2018</w:t>
      </w:r>
      <w:r w:rsidR="00C91F6E" w:rsidRPr="00EC250C">
        <w:rPr>
          <w:szCs w:val="24"/>
        </w:rPr>
        <w:t> r.</w:t>
      </w:r>
      <w:r w:rsidRPr="00EC250C">
        <w:rPr>
          <w:szCs w:val="24"/>
        </w:rPr>
        <w:t xml:space="preserve"> podzielił ten pogląd</w:t>
      </w:r>
      <w:r w:rsidR="00992FD0" w:rsidRPr="00EC250C">
        <w:rPr>
          <w:szCs w:val="24"/>
        </w:rPr>
        <w:t xml:space="preserve"> i </w:t>
      </w:r>
      <w:r w:rsidRPr="00EC250C">
        <w:rPr>
          <w:szCs w:val="24"/>
        </w:rPr>
        <w:t>przyznał rację Pani Z</w:t>
      </w:r>
      <w:r w:rsidR="006E29DE" w:rsidRPr="00EC250C">
        <w:rPr>
          <w:rStyle w:val="Odwoanieprzypisudolnego"/>
          <w:rFonts w:ascii="Open Sans Regular" w:eastAsia="Times New Roman" w:hAnsi="Open Sans Regular"/>
          <w:sz w:val="21"/>
          <w:szCs w:val="20"/>
          <w:lang w:eastAsia="pl-PL"/>
        </w:rPr>
        <w:footnoteReference w:id="15"/>
      </w:r>
      <w:r w:rsidRPr="00EC250C">
        <w:rPr>
          <w:szCs w:val="24"/>
          <w:lang w:eastAsia="pl-PL"/>
        </w:rPr>
        <w:t>.</w:t>
      </w:r>
    </w:p>
    <w:p w14:paraId="4E112A73" w14:textId="77777777" w:rsidR="00414281" w:rsidRPr="00EC250C" w:rsidRDefault="00414281" w:rsidP="006C70B7">
      <w:pPr>
        <w:pStyle w:val="Styl2"/>
        <w:numPr>
          <w:ilvl w:val="0"/>
          <w:numId w:val="159"/>
        </w:numPr>
        <w:rPr>
          <w:szCs w:val="24"/>
        </w:rPr>
      </w:pPr>
      <w:r w:rsidRPr="00EC250C">
        <w:rPr>
          <w:szCs w:val="24"/>
        </w:rPr>
        <w:t xml:space="preserve">Pan X opiekuje się matką z niepełnosprawnością, pobiera zasiłek dla opiekuna. Chciał jednak zyskać bardziej korzystne świadczenie – świadczenie pielęgnacyjne. </w:t>
      </w:r>
    </w:p>
    <w:p w14:paraId="6C8A4E76" w14:textId="419A0DD3" w:rsidR="00414281" w:rsidRPr="00EC250C" w:rsidRDefault="00414281" w:rsidP="00414281">
      <w:pPr>
        <w:pStyle w:val="Styl2"/>
        <w:rPr>
          <w:szCs w:val="24"/>
        </w:rPr>
      </w:pPr>
      <w:r w:rsidRPr="00EC250C">
        <w:rPr>
          <w:szCs w:val="24"/>
        </w:rPr>
        <w:t>Gminny Ośrodek Opieki Społecznej doszedł jednak do wniosku, że wybór świadczenia możliwy jest tylko wtedy, gdy żadnego się jeszcze nie pobiera. Skoro opiekun już dostaje zasiłek dla opiekuna, to o świadczeniu mowy być nie może.</w:t>
      </w:r>
    </w:p>
    <w:p w14:paraId="10F0EAB3" w14:textId="77777777" w:rsidR="00414281" w:rsidRPr="00EC250C" w:rsidRDefault="00414281" w:rsidP="00414281">
      <w:pPr>
        <w:pStyle w:val="Styl2"/>
        <w:rPr>
          <w:szCs w:val="24"/>
        </w:rPr>
      </w:pPr>
      <w:r w:rsidRPr="00EC250C">
        <w:rPr>
          <w:szCs w:val="24"/>
        </w:rPr>
        <w:t>Sprawa trafiła do sądu administracyjnego. WSA w Warszawie w wyroku 2 czerwca 2017 r. nie podzielił zarzutów skarżącego, że takie stanowisko urzędu de facto pozbawiło go prawa wyboru rodzaju przysługującego świadczenia. Ale NSA 5 października 2018 r. uchylił ten wyrok uznając argumenty RPO. W ocenie Rzecznika nie można powoływać się na przepis, że świadczenia nie może dostawać, skoro się wystąpiło o zasiłek, bo pan X. wystąpił o zasiłek, bo stracił prawo do świadczenia – a stracił je z powodu przepisu, który rok później został uznany za niekonstytucyjny.</w:t>
      </w:r>
    </w:p>
    <w:p w14:paraId="056882D0" w14:textId="77777777" w:rsidR="00414281" w:rsidRPr="00EC250C" w:rsidRDefault="00414281" w:rsidP="00414281">
      <w:pPr>
        <w:pStyle w:val="Styl2"/>
        <w:rPr>
          <w:szCs w:val="24"/>
        </w:rPr>
      </w:pPr>
      <w:r w:rsidRPr="00EC250C">
        <w:rPr>
          <w:szCs w:val="24"/>
        </w:rPr>
        <w:t>Pobieranie zasiłku dla opiekuna nie może być zatem w takich okolicznościach przeszkodą do przyznania świadczenia pielęgnacyjnego, skoro skarżący jednoznacznie wyraża wolę rezygnacji z zasiłku dla opiekuna. Przepis art. 27 ust. 5 ustawy o świadczeniach przewiduje przecież, że w sytuacji zbiegu uprawnień do świadczenia pielęgnacyjnego (pkt 2) i zasiłku dla opiekuna (pkt 5) przysługuje jedno z tych świadczeń wybrane przez osobę uprawnioną. W sytuacji rezygnacji z zasiłku dla opiekuna możliwe jest zatem skuteczne ubieganie się o zmianę świadczenia na świadczenie pielęgnacyjne przez opiekuna osoby, której  niepełnosprawność powstała po 18. lub 25. roku życia.</w:t>
      </w:r>
    </w:p>
    <w:p w14:paraId="156F185E" w14:textId="77777777" w:rsidR="00414281" w:rsidRPr="00EC250C" w:rsidRDefault="00414281" w:rsidP="00414281">
      <w:pPr>
        <w:pStyle w:val="Styl2"/>
        <w:rPr>
          <w:szCs w:val="24"/>
        </w:rPr>
      </w:pPr>
      <w:r w:rsidRPr="00EC250C">
        <w:rPr>
          <w:szCs w:val="24"/>
        </w:rPr>
        <w:t>Wyrokiem z 5 października 2018 r. Naczelny Sąd Administracyjny uchylił w całości zaskarżony wyrok, a także zaskarżoną decyzję i poprzedzającą ją decyzję Wójta Gminy</w:t>
      </w:r>
      <w:r w:rsidRPr="00EC250C">
        <w:rPr>
          <w:rStyle w:val="Odwoanieprzypisudolnego"/>
          <w:szCs w:val="24"/>
        </w:rPr>
        <w:footnoteReference w:id="16"/>
      </w:r>
      <w:r w:rsidRPr="00EC250C">
        <w:rPr>
          <w:szCs w:val="24"/>
        </w:rPr>
        <w:t>.</w:t>
      </w:r>
    </w:p>
    <w:p w14:paraId="38058D15" w14:textId="77777777" w:rsidR="00414281" w:rsidRPr="00EC250C" w:rsidRDefault="00414281" w:rsidP="006C70B7">
      <w:pPr>
        <w:pStyle w:val="Styl2"/>
        <w:numPr>
          <w:ilvl w:val="0"/>
          <w:numId w:val="159"/>
        </w:numPr>
        <w:rPr>
          <w:rFonts w:ascii="Open Sans Regular" w:eastAsia="Times New Roman" w:hAnsi="Open Sans Regular"/>
          <w:sz w:val="21"/>
          <w:szCs w:val="20"/>
          <w:lang w:eastAsia="pl-PL"/>
        </w:rPr>
      </w:pPr>
      <w:r w:rsidRPr="00EC250C">
        <w:rPr>
          <w:rFonts w:ascii="inherit" w:eastAsia="Times New Roman" w:hAnsi="inherit"/>
          <w:sz w:val="21"/>
          <w:szCs w:val="20"/>
          <w:bdr w:val="none" w:sz="0" w:space="0" w:color="auto" w:frame="1"/>
          <w:lang w:eastAsia="pl-PL"/>
        </w:rPr>
        <w:t>Podobna sprawa dotyczyła p</w:t>
      </w:r>
      <w:r w:rsidR="00384224" w:rsidRPr="00EC250C">
        <w:rPr>
          <w:rFonts w:ascii="inherit" w:eastAsia="Times New Roman" w:hAnsi="inherit"/>
          <w:sz w:val="21"/>
          <w:szCs w:val="20"/>
          <w:bdr w:val="none" w:sz="0" w:space="0" w:color="auto" w:frame="1"/>
          <w:lang w:eastAsia="pl-PL"/>
        </w:rPr>
        <w:t>ani H</w:t>
      </w:r>
      <w:r w:rsidR="00E44B23" w:rsidRPr="00EC250C">
        <w:rPr>
          <w:rFonts w:ascii="inherit" w:eastAsia="Times New Roman" w:hAnsi="inherit"/>
          <w:sz w:val="21"/>
          <w:szCs w:val="20"/>
          <w:bdr w:val="none" w:sz="0" w:space="0" w:color="auto" w:frame="1"/>
          <w:lang w:eastAsia="pl-PL"/>
        </w:rPr>
        <w:t>.</w:t>
      </w:r>
      <w:r w:rsidRPr="00EC250C">
        <w:rPr>
          <w:rFonts w:ascii="inherit" w:eastAsia="Times New Roman" w:hAnsi="inherit"/>
          <w:sz w:val="21"/>
          <w:szCs w:val="20"/>
          <w:bdr w:val="none" w:sz="0" w:space="0" w:color="auto" w:frame="1"/>
          <w:lang w:eastAsia="pl-PL"/>
        </w:rPr>
        <w:t xml:space="preserve">, która </w:t>
      </w:r>
      <w:r w:rsidR="00384224" w:rsidRPr="00EC250C">
        <w:rPr>
          <w:rFonts w:ascii="inherit" w:eastAsia="Times New Roman" w:hAnsi="inherit"/>
          <w:sz w:val="21"/>
          <w:szCs w:val="20"/>
          <w:bdr w:val="none" w:sz="0" w:space="0" w:color="auto" w:frame="1"/>
          <w:lang w:eastAsia="pl-PL"/>
        </w:rPr>
        <w:t>opiekuj</w:t>
      </w:r>
      <w:r w:rsidRPr="00EC250C">
        <w:rPr>
          <w:rFonts w:ascii="inherit" w:eastAsia="Times New Roman" w:hAnsi="inherit"/>
          <w:sz w:val="21"/>
          <w:szCs w:val="20"/>
          <w:bdr w:val="none" w:sz="0" w:space="0" w:color="auto" w:frame="1"/>
          <w:lang w:eastAsia="pl-PL"/>
        </w:rPr>
        <w:t>e</w:t>
      </w:r>
      <w:r w:rsidR="00384224" w:rsidRPr="00EC250C">
        <w:rPr>
          <w:rFonts w:ascii="inherit" w:eastAsia="Times New Roman" w:hAnsi="inherit"/>
          <w:sz w:val="21"/>
          <w:szCs w:val="20"/>
          <w:bdr w:val="none" w:sz="0" w:space="0" w:color="auto" w:frame="1"/>
          <w:lang w:eastAsia="pl-PL"/>
        </w:rPr>
        <w:t xml:space="preserve"> się matką</w:t>
      </w:r>
      <w:r w:rsidR="00992FD0" w:rsidRPr="00EC250C">
        <w:rPr>
          <w:rFonts w:ascii="inherit" w:eastAsia="Times New Roman" w:hAnsi="inherit"/>
          <w:sz w:val="21"/>
          <w:szCs w:val="20"/>
          <w:bdr w:val="none" w:sz="0" w:space="0" w:color="auto" w:frame="1"/>
          <w:lang w:eastAsia="pl-PL"/>
        </w:rPr>
        <w:t xml:space="preserve"> z </w:t>
      </w:r>
      <w:r w:rsidR="00384224" w:rsidRPr="00EC250C">
        <w:rPr>
          <w:rFonts w:ascii="inherit" w:eastAsia="Times New Roman" w:hAnsi="inherit"/>
          <w:sz w:val="21"/>
          <w:szCs w:val="20"/>
          <w:bdr w:val="none" w:sz="0" w:space="0" w:color="auto" w:frame="1"/>
          <w:lang w:eastAsia="pl-PL"/>
        </w:rPr>
        <w:t xml:space="preserve">niepełnosprawnością </w:t>
      </w:r>
      <w:r w:rsidRPr="00EC250C">
        <w:rPr>
          <w:rFonts w:ascii="inherit" w:eastAsia="Times New Roman" w:hAnsi="inherit"/>
          <w:sz w:val="21"/>
          <w:szCs w:val="20"/>
          <w:bdr w:val="none" w:sz="0" w:space="0" w:color="auto" w:frame="1"/>
          <w:lang w:eastAsia="pl-PL"/>
        </w:rPr>
        <w:t xml:space="preserve">Tu chodziło o to, czy ma ona prawo do </w:t>
      </w:r>
      <w:r w:rsidR="00384224" w:rsidRPr="00EC250C">
        <w:rPr>
          <w:rFonts w:ascii="inherit" w:eastAsia="Times New Roman" w:hAnsi="inherit"/>
          <w:sz w:val="21"/>
          <w:szCs w:val="20"/>
          <w:bdr w:val="none" w:sz="0" w:space="0" w:color="auto" w:frame="1"/>
          <w:lang w:eastAsia="pl-PL"/>
        </w:rPr>
        <w:t xml:space="preserve">1406 zł świadczenia pielęgnacyjnego za 10 dodatkowych miesięcy. </w:t>
      </w:r>
    </w:p>
    <w:p w14:paraId="62D10077" w14:textId="03964C9B" w:rsidR="00384224" w:rsidRPr="00EC250C" w:rsidRDefault="00384224" w:rsidP="00414281">
      <w:pPr>
        <w:pStyle w:val="Styl2"/>
        <w:rPr>
          <w:rFonts w:ascii="Open Sans Regular" w:hAnsi="Open Sans Regular"/>
          <w:szCs w:val="24"/>
          <w:lang w:eastAsia="pl-PL"/>
        </w:rPr>
      </w:pPr>
      <w:r w:rsidRPr="00EC250C">
        <w:rPr>
          <w:szCs w:val="24"/>
          <w:bdr w:val="none" w:sz="0" w:space="0" w:color="auto" w:frame="1"/>
          <w:lang w:eastAsia="pl-PL"/>
        </w:rPr>
        <w:t>WSA</w:t>
      </w:r>
      <w:r w:rsidR="00992FD0" w:rsidRPr="00EC250C">
        <w:rPr>
          <w:szCs w:val="24"/>
          <w:bdr w:val="none" w:sz="0" w:space="0" w:color="auto" w:frame="1"/>
          <w:lang w:eastAsia="pl-PL"/>
        </w:rPr>
        <w:t xml:space="preserve"> w </w:t>
      </w:r>
      <w:r w:rsidRPr="00EC250C">
        <w:rPr>
          <w:szCs w:val="24"/>
          <w:bdr w:val="none" w:sz="0" w:space="0" w:color="auto" w:frame="1"/>
          <w:lang w:eastAsia="pl-PL"/>
        </w:rPr>
        <w:t xml:space="preserve"> Gorzowie Wielkopolskim</w:t>
      </w:r>
      <w:r w:rsidR="00992FD0" w:rsidRPr="00EC250C">
        <w:rPr>
          <w:szCs w:val="24"/>
          <w:bdr w:val="none" w:sz="0" w:space="0" w:color="auto" w:frame="1"/>
          <w:lang w:eastAsia="pl-PL"/>
        </w:rPr>
        <w:t xml:space="preserve"> w </w:t>
      </w:r>
      <w:r w:rsidRPr="00EC250C">
        <w:rPr>
          <w:szCs w:val="24"/>
          <w:bdr w:val="none" w:sz="0" w:space="0" w:color="auto" w:frame="1"/>
          <w:lang w:eastAsia="pl-PL"/>
        </w:rPr>
        <w:t xml:space="preserve"> sprawie, do której przystąpił RPO</w:t>
      </w:r>
      <w:r w:rsidR="00414281" w:rsidRPr="00EC250C">
        <w:rPr>
          <w:szCs w:val="24"/>
          <w:bdr w:val="none" w:sz="0" w:space="0" w:color="auto" w:frame="1"/>
          <w:lang w:eastAsia="pl-PL"/>
        </w:rPr>
        <w:t>, uznał, że tak.</w:t>
      </w:r>
      <w:r w:rsidRPr="00EC250C">
        <w:rPr>
          <w:szCs w:val="24"/>
          <w:bdr w:val="none" w:sz="0" w:space="0" w:color="auto" w:frame="1"/>
          <w:lang w:eastAsia="pl-PL"/>
        </w:rPr>
        <w:t xml:space="preserve">. </w:t>
      </w:r>
      <w:r w:rsidR="00414281" w:rsidRPr="00EC250C">
        <w:rPr>
          <w:szCs w:val="24"/>
          <w:bdr w:val="none" w:sz="0" w:space="0" w:color="auto" w:frame="1"/>
          <w:lang w:eastAsia="pl-PL"/>
        </w:rPr>
        <w:t>RPO a</w:t>
      </w:r>
      <w:r w:rsidRPr="00EC250C">
        <w:rPr>
          <w:szCs w:val="24"/>
          <w:bdr w:val="none" w:sz="0" w:space="0" w:color="auto" w:frame="1"/>
          <w:lang w:eastAsia="pl-PL"/>
        </w:rPr>
        <w:t>rgumentował, że władze samorządowe dobrze zastosowały Konstytucję,</w:t>
      </w:r>
      <w:r w:rsidR="00992FD0" w:rsidRPr="00EC250C">
        <w:rPr>
          <w:szCs w:val="24"/>
          <w:bdr w:val="none" w:sz="0" w:space="0" w:color="auto" w:frame="1"/>
          <w:lang w:eastAsia="pl-PL"/>
        </w:rPr>
        <w:t xml:space="preserve"> a </w:t>
      </w:r>
      <w:r w:rsidRPr="00EC250C">
        <w:rPr>
          <w:szCs w:val="24"/>
          <w:bdr w:val="none" w:sz="0" w:space="0" w:color="auto" w:frame="1"/>
          <w:lang w:eastAsia="pl-PL"/>
        </w:rPr>
        <w:t xml:space="preserve"> nie niekonstytucyjną ustawę, ale źle ustaliły czas, za jaki pani Halinie przysługuje świadczenie. Pominięto 10 miesięcy. To, że pani</w:t>
      </w:r>
      <w:r w:rsidR="00E44B23" w:rsidRPr="00EC250C">
        <w:rPr>
          <w:rFonts w:hint="eastAsia"/>
          <w:szCs w:val="24"/>
          <w:bdr w:val="none" w:sz="0" w:space="0" w:color="auto" w:frame="1"/>
          <w:lang w:eastAsia="pl-PL"/>
        </w:rPr>
        <w:t> </w:t>
      </w:r>
      <w:r w:rsidRPr="00EC250C">
        <w:rPr>
          <w:szCs w:val="24"/>
          <w:bdr w:val="none" w:sz="0" w:space="0" w:color="auto" w:frame="1"/>
          <w:lang w:eastAsia="pl-PL"/>
        </w:rPr>
        <w:t>H</w:t>
      </w:r>
      <w:r w:rsidR="00E44B23" w:rsidRPr="00EC250C">
        <w:rPr>
          <w:szCs w:val="24"/>
          <w:bdr w:val="none" w:sz="0" w:space="0" w:color="auto" w:frame="1"/>
          <w:lang w:eastAsia="pl-PL"/>
        </w:rPr>
        <w:t>.</w:t>
      </w:r>
      <w:r w:rsidRPr="00EC250C">
        <w:rPr>
          <w:szCs w:val="24"/>
          <w:bdr w:val="none" w:sz="0" w:space="0" w:color="auto" w:frame="1"/>
          <w:lang w:eastAsia="pl-PL"/>
        </w:rPr>
        <w:t>, zanim dostała świadczenie pielęgnacyjne, dostawała zasiłek opiekuńczy, nie ma znaczenia. 1406 zł należy jej się od momentu złożenia wniosku</w:t>
      </w:r>
      <w:r w:rsidR="00E44B23" w:rsidRPr="00EC250C">
        <w:rPr>
          <w:szCs w:val="24"/>
          <w:bdr w:val="none" w:sz="0" w:space="0" w:color="auto" w:frame="1"/>
          <w:lang w:eastAsia="pl-PL"/>
        </w:rPr>
        <w:t>.</w:t>
      </w:r>
    </w:p>
    <w:p w14:paraId="070BB01F" w14:textId="18FBE770" w:rsidR="00384224" w:rsidRPr="00EC250C" w:rsidRDefault="00384224" w:rsidP="00D131FA">
      <w:pPr>
        <w:pStyle w:val="Styl2"/>
        <w:rPr>
          <w:szCs w:val="24"/>
          <w:vertAlign w:val="superscript"/>
        </w:rPr>
      </w:pPr>
      <w:r w:rsidRPr="00EC250C">
        <w:rPr>
          <w:szCs w:val="24"/>
        </w:rPr>
        <w:lastRenderedPageBreak/>
        <w:t>Wojewódzki Sąd Administracyjny</w:t>
      </w:r>
      <w:r w:rsidR="00992FD0" w:rsidRPr="00EC250C">
        <w:rPr>
          <w:szCs w:val="24"/>
        </w:rPr>
        <w:t xml:space="preserve"> w </w:t>
      </w:r>
      <w:r w:rsidRPr="00EC250C">
        <w:rPr>
          <w:szCs w:val="24"/>
        </w:rPr>
        <w:t>Gorzowie Wielkopolskim podzielił tę argumentację</w:t>
      </w:r>
      <w:r w:rsidR="00992FD0" w:rsidRPr="00EC250C">
        <w:rPr>
          <w:szCs w:val="24"/>
        </w:rPr>
        <w:t xml:space="preserve"> i </w:t>
      </w:r>
      <w:r w:rsidRPr="00EC250C">
        <w:rPr>
          <w:szCs w:val="24"/>
        </w:rPr>
        <w:t>wyrokiem</w:t>
      </w:r>
      <w:r w:rsidR="00992FD0" w:rsidRPr="00EC250C">
        <w:rPr>
          <w:szCs w:val="24"/>
        </w:rPr>
        <w:t xml:space="preserve"> z </w:t>
      </w:r>
      <w:r w:rsidRPr="00EC250C">
        <w:rPr>
          <w:szCs w:val="24"/>
        </w:rPr>
        <w:t>18 lipca</w:t>
      </w:r>
      <w:r w:rsidR="00992FD0" w:rsidRPr="00EC250C">
        <w:rPr>
          <w:szCs w:val="24"/>
        </w:rPr>
        <w:t xml:space="preserve"> w </w:t>
      </w:r>
      <w:r w:rsidRPr="00EC250C">
        <w:rPr>
          <w:szCs w:val="24"/>
        </w:rPr>
        <w:t>sprawie II SA/Go 386/18 uznał, że skarżąca, opiekująca się niepełnosprawną</w:t>
      </w:r>
      <w:r w:rsidR="00992FD0" w:rsidRPr="00EC250C">
        <w:rPr>
          <w:szCs w:val="24"/>
        </w:rPr>
        <w:t xml:space="preserve"> w </w:t>
      </w:r>
      <w:r w:rsidRPr="00EC250C">
        <w:rPr>
          <w:szCs w:val="24"/>
        </w:rPr>
        <w:t>stopniu znacznym matką, jest osobą uprawnioną do uzyskania świadczenia pielęgnacyjnego od miesiąca,</w:t>
      </w:r>
      <w:r w:rsidR="00992FD0" w:rsidRPr="00EC250C">
        <w:rPr>
          <w:szCs w:val="24"/>
        </w:rPr>
        <w:t xml:space="preserve"> w </w:t>
      </w:r>
      <w:r w:rsidRPr="00EC250C">
        <w:rPr>
          <w:szCs w:val="24"/>
        </w:rPr>
        <w:t>którym złożyła wniosek,</w:t>
      </w:r>
      <w:r w:rsidR="00992FD0" w:rsidRPr="00EC250C">
        <w:rPr>
          <w:szCs w:val="24"/>
        </w:rPr>
        <w:t xml:space="preserve"> a </w:t>
      </w:r>
      <w:r w:rsidRPr="00EC250C">
        <w:rPr>
          <w:szCs w:val="24"/>
        </w:rPr>
        <w:t>posiadanie uprawnienia do specjalnego zasiłku opiekuńczego we wcześniejszym okresie nie może skutkować odmową przyznania świadczenia pielęgnacyjnego. Skarżąca korzysta</w:t>
      </w:r>
      <w:r w:rsidR="00992FD0" w:rsidRPr="00EC250C">
        <w:rPr>
          <w:szCs w:val="24"/>
        </w:rPr>
        <w:t xml:space="preserve"> w </w:t>
      </w:r>
      <w:r w:rsidRPr="00EC250C">
        <w:rPr>
          <w:szCs w:val="24"/>
        </w:rPr>
        <w:t>tej sytuacji</w:t>
      </w:r>
      <w:r w:rsidR="00992FD0" w:rsidRPr="00EC250C">
        <w:rPr>
          <w:szCs w:val="24"/>
        </w:rPr>
        <w:t xml:space="preserve"> z </w:t>
      </w:r>
      <w:r w:rsidRPr="00EC250C">
        <w:rPr>
          <w:szCs w:val="24"/>
        </w:rPr>
        <w:t>prawa wyboru świadczenia korzystniejszego</w:t>
      </w:r>
      <w:r w:rsidR="006E29DE" w:rsidRPr="00EC250C">
        <w:rPr>
          <w:szCs w:val="24"/>
          <w:vertAlign w:val="superscript"/>
        </w:rPr>
        <w:footnoteReference w:id="17"/>
      </w:r>
      <w:r w:rsidRPr="00EC250C">
        <w:rPr>
          <w:szCs w:val="24"/>
          <w:vertAlign w:val="superscript"/>
        </w:rPr>
        <w:t>.</w:t>
      </w:r>
    </w:p>
    <w:p w14:paraId="03A69742" w14:textId="77777777" w:rsidR="0052734B" w:rsidRPr="00EC250C" w:rsidRDefault="00A46C6B" w:rsidP="00D131FA">
      <w:pPr>
        <w:pStyle w:val="ODESANIE"/>
        <w:jc w:val="both"/>
      </w:pPr>
      <w:r w:rsidRPr="00EC250C">
        <w:t>O pracach</w:t>
      </w:r>
      <w:r w:rsidR="00992FD0" w:rsidRPr="00EC250C">
        <w:t xml:space="preserve"> w </w:t>
      </w:r>
      <w:r w:rsidRPr="00EC250C">
        <w:t>Sejmie nad projektem ustawy wypełniającej postanowienie TK</w:t>
      </w:r>
      <w:r w:rsidR="00D27D3C" w:rsidRPr="00EC250C">
        <w:t>– art. 71</w:t>
      </w:r>
      <w:r w:rsidRPr="00EC250C">
        <w:t xml:space="preserve"> Konstytucji</w:t>
      </w:r>
    </w:p>
    <w:p w14:paraId="29055E99" w14:textId="77777777" w:rsidR="00A9079A" w:rsidRPr="00EC250C" w:rsidRDefault="00D55FD3" w:rsidP="00EC79EB">
      <w:pPr>
        <w:pStyle w:val="Nagwek4"/>
      </w:pPr>
      <w:bookmarkStart w:id="37" w:name="_Toc6257638"/>
      <w:bookmarkStart w:id="38" w:name="_Toc11247538"/>
      <w:bookmarkStart w:id="39" w:name="_Toc515021730"/>
      <w:bookmarkStart w:id="40" w:name="_Hlk4747871"/>
      <w:r w:rsidRPr="00EC250C">
        <w:t>Wygasająca renta po ciężkim wypadku – bo leczenie było kosztowne,</w:t>
      </w:r>
      <w:r w:rsidR="00992FD0" w:rsidRPr="00EC250C">
        <w:t xml:space="preserve"> a </w:t>
      </w:r>
      <w:r w:rsidR="00A9079A" w:rsidRPr="00EC250C">
        <w:t>sum</w:t>
      </w:r>
      <w:r w:rsidRPr="00EC250C">
        <w:t>a</w:t>
      </w:r>
      <w:r w:rsidR="00A9079A" w:rsidRPr="00EC250C">
        <w:t xml:space="preserve"> gwarancyjn</w:t>
      </w:r>
      <w:bookmarkEnd w:id="37"/>
      <w:r w:rsidRPr="00EC250C">
        <w:t>a niska</w:t>
      </w:r>
      <w:bookmarkEnd w:id="38"/>
    </w:p>
    <w:p w14:paraId="4E0AE015" w14:textId="77777777" w:rsidR="009C12EB" w:rsidRPr="00EC250C" w:rsidRDefault="009C12EB" w:rsidP="00EC250C">
      <w:pPr>
        <w:pStyle w:val="Nagwek8"/>
      </w:pPr>
      <w:r w:rsidRPr="00EC250C">
        <w:t>Sprawa pana Tomasza</w:t>
      </w:r>
      <w:r w:rsidR="00992FD0" w:rsidRPr="00EC250C">
        <w:t xml:space="preserve"> i </w:t>
      </w:r>
      <w:r w:rsidRPr="00EC250C">
        <w:t>innych ofiar wypadkó</w:t>
      </w:r>
      <w:r w:rsidR="00483DA9" w:rsidRPr="00EC250C">
        <w:t>w</w:t>
      </w:r>
      <w:r w:rsidRPr="00EC250C">
        <w:t xml:space="preserve"> komunikacyjnych</w:t>
      </w:r>
      <w:bookmarkEnd w:id="39"/>
    </w:p>
    <w:p w14:paraId="124370EE" w14:textId="77777777" w:rsidR="00C91F6E" w:rsidRPr="00EC250C" w:rsidRDefault="00483DA9" w:rsidP="00D131FA">
      <w:pPr>
        <w:pStyle w:val="Styl2"/>
        <w:rPr>
          <w:szCs w:val="24"/>
        </w:rPr>
      </w:pPr>
      <w:r w:rsidRPr="00EC250C">
        <w:rPr>
          <w:szCs w:val="24"/>
        </w:rPr>
        <w:t>Parlament</w:t>
      </w:r>
      <w:r w:rsidR="00992FD0" w:rsidRPr="00EC250C">
        <w:rPr>
          <w:szCs w:val="24"/>
        </w:rPr>
        <w:t xml:space="preserve"> w </w:t>
      </w:r>
      <w:r w:rsidRPr="00EC250C">
        <w:rPr>
          <w:szCs w:val="24"/>
        </w:rPr>
        <w:t>2018</w:t>
      </w:r>
      <w:r w:rsidR="00C91F6E" w:rsidRPr="00EC250C">
        <w:rPr>
          <w:szCs w:val="24"/>
        </w:rPr>
        <w:t> r.</w:t>
      </w:r>
      <w:r w:rsidRPr="00EC250C">
        <w:rPr>
          <w:szCs w:val="24"/>
        </w:rPr>
        <w:t xml:space="preserve"> nie rozwiązał problemu osób, które </w:t>
      </w:r>
      <w:r w:rsidR="00B719EE" w:rsidRPr="00EC250C">
        <w:rPr>
          <w:szCs w:val="24"/>
        </w:rPr>
        <w:t>na skutek wypadku komunikacyjnego otrzymują rentę,</w:t>
      </w:r>
      <w:r w:rsidR="00992FD0" w:rsidRPr="00EC250C">
        <w:rPr>
          <w:szCs w:val="24"/>
        </w:rPr>
        <w:t xml:space="preserve"> a </w:t>
      </w:r>
      <w:r w:rsidR="00B719EE" w:rsidRPr="00EC250C">
        <w:rPr>
          <w:szCs w:val="24"/>
        </w:rPr>
        <w:t>suma gwarancyjna na ten cel</w:t>
      </w:r>
      <w:r w:rsidR="00992FD0" w:rsidRPr="00EC250C">
        <w:rPr>
          <w:szCs w:val="24"/>
        </w:rPr>
        <w:t xml:space="preserve"> w </w:t>
      </w:r>
      <w:r w:rsidR="00B719EE" w:rsidRPr="00EC250C">
        <w:rPr>
          <w:szCs w:val="24"/>
        </w:rPr>
        <w:t>ich przypadku wyczerpuje się</w:t>
      </w:r>
      <w:r w:rsidR="00FE040E" w:rsidRPr="00EC250C">
        <w:rPr>
          <w:szCs w:val="24"/>
        </w:rPr>
        <w:t xml:space="preserve"> ze względu na wysokie koszty leczenia</w:t>
      </w:r>
      <w:r w:rsidR="00992FD0" w:rsidRPr="00EC250C">
        <w:rPr>
          <w:szCs w:val="24"/>
        </w:rPr>
        <w:t xml:space="preserve"> i </w:t>
      </w:r>
      <w:r w:rsidR="00FE040E" w:rsidRPr="00EC250C">
        <w:rPr>
          <w:szCs w:val="24"/>
        </w:rPr>
        <w:t>rehabilitacji. Takie osoby przestają otrzymywać rentę przyznaną im po wypadku, mimo że bez tych pieniędzy nie są</w:t>
      </w:r>
      <w:r w:rsidR="00992FD0" w:rsidRPr="00EC250C">
        <w:rPr>
          <w:szCs w:val="24"/>
        </w:rPr>
        <w:t xml:space="preserve"> w </w:t>
      </w:r>
      <w:r w:rsidR="00FE040E" w:rsidRPr="00EC250C">
        <w:rPr>
          <w:szCs w:val="24"/>
        </w:rPr>
        <w:t>stanie funkcjonować</w:t>
      </w:r>
      <w:r w:rsidR="00B719EE" w:rsidRPr="00EC250C">
        <w:rPr>
          <w:szCs w:val="24"/>
        </w:rPr>
        <w:t>.</w:t>
      </w:r>
    </w:p>
    <w:p w14:paraId="40501222" w14:textId="77777777" w:rsidR="00C91F6E" w:rsidRPr="00EC250C" w:rsidRDefault="00B719EE" w:rsidP="00D131FA">
      <w:pPr>
        <w:pStyle w:val="Styl2"/>
        <w:rPr>
          <w:szCs w:val="24"/>
        </w:rPr>
      </w:pPr>
      <w:r w:rsidRPr="00EC250C">
        <w:rPr>
          <w:szCs w:val="24"/>
        </w:rPr>
        <w:t>W</w:t>
      </w:r>
      <w:r w:rsidR="005905FE" w:rsidRPr="00EC250C">
        <w:rPr>
          <w:szCs w:val="24"/>
        </w:rPr>
        <w:t xml:space="preserve"> </w:t>
      </w:r>
      <w:r w:rsidR="009C12EB" w:rsidRPr="00EC250C">
        <w:rPr>
          <w:szCs w:val="24"/>
        </w:rPr>
        <w:t>Polsce</w:t>
      </w:r>
      <w:r w:rsidR="00992FD0" w:rsidRPr="00EC250C">
        <w:rPr>
          <w:szCs w:val="24"/>
        </w:rPr>
        <w:t xml:space="preserve"> w </w:t>
      </w:r>
      <w:r w:rsidRPr="00EC250C">
        <w:rPr>
          <w:szCs w:val="24"/>
        </w:rPr>
        <w:t>podobnej sytuacji jest</w:t>
      </w:r>
      <w:r w:rsidR="009C12EB" w:rsidRPr="00EC250C">
        <w:rPr>
          <w:szCs w:val="24"/>
        </w:rPr>
        <w:t xml:space="preserve"> około st</w:t>
      </w:r>
      <w:r w:rsidR="00E811BA" w:rsidRPr="00EC250C">
        <w:rPr>
          <w:szCs w:val="24"/>
        </w:rPr>
        <w:t>o</w:t>
      </w:r>
      <w:r w:rsidRPr="00EC250C">
        <w:rPr>
          <w:szCs w:val="24"/>
        </w:rPr>
        <w:t xml:space="preserve"> osób</w:t>
      </w:r>
      <w:r w:rsidR="00D27D3C" w:rsidRPr="00EC250C">
        <w:rPr>
          <w:szCs w:val="24"/>
        </w:rPr>
        <w:t>.</w:t>
      </w:r>
    </w:p>
    <w:p w14:paraId="5AD47A9E" w14:textId="77777777" w:rsidR="009C12EB" w:rsidRPr="00EC250C" w:rsidRDefault="009C12EB" w:rsidP="00D131FA">
      <w:pPr>
        <w:pStyle w:val="Styl2"/>
        <w:rPr>
          <w:szCs w:val="24"/>
        </w:rPr>
      </w:pPr>
      <w:r w:rsidRPr="00EC250C">
        <w:rPr>
          <w:szCs w:val="24"/>
        </w:rPr>
        <w:t>Jedną</w:t>
      </w:r>
      <w:r w:rsidR="00992FD0" w:rsidRPr="00EC250C">
        <w:rPr>
          <w:szCs w:val="24"/>
        </w:rPr>
        <w:t xml:space="preserve"> z </w:t>
      </w:r>
      <w:r w:rsidR="00FE040E" w:rsidRPr="00EC250C">
        <w:rPr>
          <w:szCs w:val="24"/>
        </w:rPr>
        <w:t xml:space="preserve">takich osób jest </w:t>
      </w:r>
      <w:r w:rsidRPr="00EC250C">
        <w:rPr>
          <w:szCs w:val="24"/>
        </w:rPr>
        <w:t>pan Tomasz, który</w:t>
      </w:r>
      <w:r w:rsidR="00992FD0" w:rsidRPr="00EC250C">
        <w:rPr>
          <w:szCs w:val="24"/>
        </w:rPr>
        <w:t xml:space="preserve"> w </w:t>
      </w:r>
      <w:r w:rsidRPr="00EC250C">
        <w:rPr>
          <w:szCs w:val="24"/>
        </w:rPr>
        <w:t>1992</w:t>
      </w:r>
      <w:r w:rsidR="00C91F6E" w:rsidRPr="00EC250C">
        <w:rPr>
          <w:szCs w:val="24"/>
        </w:rPr>
        <w:t> r.</w:t>
      </w:r>
      <w:r w:rsidR="00992FD0" w:rsidRPr="00EC250C">
        <w:rPr>
          <w:szCs w:val="24"/>
        </w:rPr>
        <w:t xml:space="preserve"> w </w:t>
      </w:r>
      <w:r w:rsidRPr="00EC250C">
        <w:rPr>
          <w:szCs w:val="24"/>
        </w:rPr>
        <w:t>wieku trzech lat został potrącony przez samochód</w:t>
      </w:r>
      <w:r w:rsidR="00992FD0" w:rsidRPr="00EC250C">
        <w:rPr>
          <w:szCs w:val="24"/>
        </w:rPr>
        <w:t xml:space="preserve"> i </w:t>
      </w:r>
      <w:r w:rsidRPr="00EC250C">
        <w:rPr>
          <w:szCs w:val="24"/>
        </w:rPr>
        <w:t>od tego czasu porusza się na wózku. Sprawca wypadku nie miał obowiązkowego ubezpieczenia OC, dlatego odszkodowanie</w:t>
      </w:r>
      <w:r w:rsidR="00992FD0" w:rsidRPr="00EC250C">
        <w:rPr>
          <w:szCs w:val="24"/>
        </w:rPr>
        <w:t xml:space="preserve"> i </w:t>
      </w:r>
      <w:r w:rsidRPr="00EC250C">
        <w:rPr>
          <w:szCs w:val="24"/>
        </w:rPr>
        <w:t>rentę wypłacił Ubezpieczeniowy Fundusz Gwarancyjny. Maksymalna suma gwarancyjna ustalona była</w:t>
      </w:r>
      <w:r w:rsidR="00992FD0" w:rsidRPr="00EC250C">
        <w:rPr>
          <w:szCs w:val="24"/>
        </w:rPr>
        <w:t xml:space="preserve"> w </w:t>
      </w:r>
      <w:r w:rsidRPr="00EC250C">
        <w:rPr>
          <w:szCs w:val="24"/>
        </w:rPr>
        <w:t>tym czasie na 720 tys. zł</w:t>
      </w:r>
      <w:r w:rsidR="00992FD0" w:rsidRPr="00EC250C">
        <w:rPr>
          <w:szCs w:val="24"/>
        </w:rPr>
        <w:t xml:space="preserve"> i </w:t>
      </w:r>
      <w:r w:rsidRPr="00EC250C">
        <w:rPr>
          <w:szCs w:val="24"/>
        </w:rPr>
        <w:t>po 20 latach wyczerpała się. Ofiara wypadku, osoba nadal bardzo młoda, wystąpiła więc</w:t>
      </w:r>
      <w:r w:rsidR="00992FD0" w:rsidRPr="00EC250C">
        <w:rPr>
          <w:szCs w:val="24"/>
        </w:rPr>
        <w:t xml:space="preserve"> o </w:t>
      </w:r>
      <w:r w:rsidRPr="00EC250C">
        <w:rPr>
          <w:szCs w:val="24"/>
        </w:rPr>
        <w:t>podwyższenie tej kwoty, jednak sądy</w:t>
      </w:r>
      <w:r w:rsidR="00992FD0" w:rsidRPr="00EC250C">
        <w:rPr>
          <w:szCs w:val="24"/>
        </w:rPr>
        <w:t xml:space="preserve"> w </w:t>
      </w:r>
      <w:r w:rsidRPr="00EC250C">
        <w:rPr>
          <w:szCs w:val="24"/>
        </w:rPr>
        <w:t>dwóch instancjach uznały, że odpowiedzialność Funduszu wygasła</w:t>
      </w:r>
      <w:r w:rsidR="00992FD0" w:rsidRPr="00EC250C">
        <w:rPr>
          <w:szCs w:val="24"/>
        </w:rPr>
        <w:t xml:space="preserve"> w </w:t>
      </w:r>
      <w:r w:rsidRPr="00EC250C">
        <w:rPr>
          <w:szCs w:val="24"/>
        </w:rPr>
        <w:t>momencie wyczerpania się kwoty, więc roszczenia nie mają podstaw. W ten sposób obywatel poszkodowany</w:t>
      </w:r>
      <w:r w:rsidR="00992FD0" w:rsidRPr="00EC250C">
        <w:rPr>
          <w:szCs w:val="24"/>
        </w:rPr>
        <w:t xml:space="preserve"> w </w:t>
      </w:r>
      <w:r w:rsidRPr="00EC250C">
        <w:rPr>
          <w:szCs w:val="24"/>
        </w:rPr>
        <w:t>wypadku został pozbawiony ochrony</w:t>
      </w:r>
      <w:r w:rsidR="00992FD0" w:rsidRPr="00EC250C">
        <w:rPr>
          <w:szCs w:val="24"/>
        </w:rPr>
        <w:t xml:space="preserve"> i </w:t>
      </w:r>
      <w:r w:rsidRPr="00EC250C">
        <w:rPr>
          <w:szCs w:val="24"/>
        </w:rPr>
        <w:t>środków koniecznych do dalszego leczenia</w:t>
      </w:r>
      <w:r w:rsidR="00992FD0" w:rsidRPr="00EC250C">
        <w:rPr>
          <w:szCs w:val="24"/>
        </w:rPr>
        <w:t xml:space="preserve"> i </w:t>
      </w:r>
      <w:r w:rsidRPr="00EC250C">
        <w:rPr>
          <w:szCs w:val="24"/>
        </w:rPr>
        <w:t>egzystencji.</w:t>
      </w:r>
    </w:p>
    <w:p w14:paraId="2470D831" w14:textId="77777777" w:rsidR="009C12EB" w:rsidRPr="00EC250C" w:rsidRDefault="009C12EB" w:rsidP="00D131FA">
      <w:pPr>
        <w:pStyle w:val="Styl2"/>
        <w:rPr>
          <w:szCs w:val="24"/>
        </w:rPr>
      </w:pPr>
      <w:r w:rsidRPr="00EC250C">
        <w:rPr>
          <w:szCs w:val="24"/>
        </w:rPr>
        <w:t>O sprawie tej RPO dowiedział się</w:t>
      </w:r>
      <w:r w:rsidR="00992FD0" w:rsidRPr="00EC250C">
        <w:rPr>
          <w:szCs w:val="24"/>
        </w:rPr>
        <w:t xml:space="preserve"> w </w:t>
      </w:r>
      <w:r w:rsidRPr="00EC250C">
        <w:rPr>
          <w:szCs w:val="24"/>
        </w:rPr>
        <w:t>czasie spotkania regionalnego</w:t>
      </w:r>
      <w:r w:rsidR="00992FD0" w:rsidRPr="00EC250C">
        <w:rPr>
          <w:szCs w:val="24"/>
        </w:rPr>
        <w:t xml:space="preserve"> w </w:t>
      </w:r>
      <w:r w:rsidRPr="00EC250C">
        <w:rPr>
          <w:szCs w:val="24"/>
        </w:rPr>
        <w:t>Białymstoku</w:t>
      </w:r>
      <w:r w:rsidR="00992FD0" w:rsidRPr="00EC250C">
        <w:rPr>
          <w:szCs w:val="24"/>
        </w:rPr>
        <w:t xml:space="preserve"> w </w:t>
      </w:r>
      <w:r w:rsidR="00A11DAD" w:rsidRPr="00EC250C">
        <w:rPr>
          <w:szCs w:val="24"/>
        </w:rPr>
        <w:t>2016</w:t>
      </w:r>
      <w:r w:rsidR="00C91F6E" w:rsidRPr="00EC250C">
        <w:rPr>
          <w:szCs w:val="24"/>
        </w:rPr>
        <w:t> r.</w:t>
      </w:r>
      <w:r w:rsidRPr="00EC250C">
        <w:rPr>
          <w:szCs w:val="24"/>
        </w:rPr>
        <w:t>. Złożył skuteczną skargę kasacyjną do Sądu Najwyższego przywołując m.in. art. 32 ust. 1</w:t>
      </w:r>
      <w:r w:rsidR="00992FD0" w:rsidRPr="00EC250C">
        <w:rPr>
          <w:szCs w:val="24"/>
        </w:rPr>
        <w:t xml:space="preserve"> i </w:t>
      </w:r>
      <w:r w:rsidRPr="00EC250C">
        <w:rPr>
          <w:szCs w:val="24"/>
        </w:rPr>
        <w:t>2 Konstytucji. Przypomniał, że równość wobec prawa odnosi się do jego stanowienia</w:t>
      </w:r>
      <w:r w:rsidR="00992FD0" w:rsidRPr="00EC250C">
        <w:rPr>
          <w:szCs w:val="24"/>
        </w:rPr>
        <w:t xml:space="preserve"> i </w:t>
      </w:r>
      <w:r w:rsidRPr="00EC250C">
        <w:rPr>
          <w:szCs w:val="24"/>
        </w:rPr>
        <w:t>nakłada na ustawodawcę obowiązek tworzenia prawa, które nakazuje jednakowo traktować podmioty podobne.</w:t>
      </w:r>
      <w:r w:rsidR="00BD67E2" w:rsidRPr="00EC250C">
        <w:rPr>
          <w:szCs w:val="24"/>
        </w:rPr>
        <w:t xml:space="preserve"> Po wyroku SN sprawa wróciła do ponownego rozpatrzenia,</w:t>
      </w:r>
      <w:r w:rsidR="00992FD0" w:rsidRPr="00EC250C">
        <w:rPr>
          <w:szCs w:val="24"/>
        </w:rPr>
        <w:t xml:space="preserve"> a </w:t>
      </w:r>
      <w:r w:rsidR="00BD67E2" w:rsidRPr="00EC250C">
        <w:rPr>
          <w:szCs w:val="24"/>
        </w:rPr>
        <w:t>Rzecznik do niej przystąpił.</w:t>
      </w:r>
    </w:p>
    <w:p w14:paraId="18228CA5" w14:textId="77777777" w:rsidR="00FE040E" w:rsidRPr="00EC250C" w:rsidRDefault="005905FE" w:rsidP="00D131FA">
      <w:pPr>
        <w:pStyle w:val="Styl2"/>
        <w:rPr>
          <w:szCs w:val="24"/>
        </w:rPr>
      </w:pPr>
      <w:r w:rsidRPr="00EC250C">
        <w:rPr>
          <w:szCs w:val="24"/>
        </w:rPr>
        <w:t xml:space="preserve">RPO przedstawił też sprawę Senatowi, który wniósł inicjatywę ustawodawczą do Sejmu. </w:t>
      </w:r>
      <w:r w:rsidR="00FE040E" w:rsidRPr="00EC250C">
        <w:rPr>
          <w:szCs w:val="24"/>
        </w:rPr>
        <w:t>Parlamentarzyści podjęli prace dzięki ogromnemu zaangażowaniu samego pana Tomasza, który – walcząc</w:t>
      </w:r>
      <w:r w:rsidR="00992FD0" w:rsidRPr="00EC250C">
        <w:rPr>
          <w:szCs w:val="24"/>
        </w:rPr>
        <w:t xml:space="preserve"> o </w:t>
      </w:r>
      <w:r w:rsidR="00FE040E" w:rsidRPr="00EC250C">
        <w:rPr>
          <w:szCs w:val="24"/>
        </w:rPr>
        <w:t>prawa innych osób – przekonująco dowodził, jak ważne jest systemowe rozwiązanie tego problemu.</w:t>
      </w:r>
    </w:p>
    <w:p w14:paraId="007A5C4E" w14:textId="77777777" w:rsidR="009C12EB" w:rsidRPr="00EC250C" w:rsidRDefault="00FE040E" w:rsidP="00D131FA">
      <w:pPr>
        <w:pStyle w:val="Styl2"/>
        <w:rPr>
          <w:szCs w:val="24"/>
        </w:rPr>
      </w:pPr>
      <w:r w:rsidRPr="00EC250C">
        <w:rPr>
          <w:szCs w:val="24"/>
        </w:rPr>
        <w:lastRenderedPageBreak/>
        <w:t>W Sejmie jednak – mimo przyjaznych deklaracji polityków – prace stanęły</w:t>
      </w:r>
      <w:r w:rsidR="00992FD0" w:rsidRPr="00EC250C">
        <w:rPr>
          <w:szCs w:val="24"/>
        </w:rPr>
        <w:t xml:space="preserve"> w </w:t>
      </w:r>
      <w:r w:rsidRPr="00EC250C">
        <w:rPr>
          <w:szCs w:val="24"/>
        </w:rPr>
        <w:t xml:space="preserve">momencie, gdy przedstawiciele ubezpieczycieli zaczęli zgłaszać wątpliwości do </w:t>
      </w:r>
      <w:r w:rsidR="00170E82" w:rsidRPr="00EC250C">
        <w:rPr>
          <w:szCs w:val="24"/>
        </w:rPr>
        <w:t>projektu, który nie uzyskał też wyraźnego wsparcia ze strony rządu</w:t>
      </w:r>
      <w:r w:rsidR="005905FE" w:rsidRPr="00EC250C">
        <w:rPr>
          <w:szCs w:val="24"/>
        </w:rPr>
        <w:t>.</w:t>
      </w:r>
      <w:r w:rsidR="005905FE" w:rsidRPr="00EC250C">
        <w:rPr>
          <w:rStyle w:val="Odwoanieprzypisudolnego"/>
          <w:szCs w:val="24"/>
        </w:rPr>
        <w:footnoteReference w:id="18"/>
      </w:r>
    </w:p>
    <w:p w14:paraId="7133BEF3" w14:textId="77777777" w:rsidR="00C91F6E" w:rsidRPr="00EC250C" w:rsidRDefault="002A1BCF" w:rsidP="00EC79EB">
      <w:pPr>
        <w:pStyle w:val="Nagwek4"/>
      </w:pPr>
      <w:bookmarkStart w:id="41" w:name="_Toc6257639"/>
      <w:bookmarkStart w:id="42" w:name="_Toc11247539"/>
      <w:bookmarkEnd w:id="40"/>
      <w:r w:rsidRPr="00EC250C">
        <w:t>N</w:t>
      </w:r>
      <w:r w:rsidR="00DC01AC" w:rsidRPr="00EC250C">
        <w:t>ierówne traktowani</w:t>
      </w:r>
      <w:r w:rsidRPr="00EC250C">
        <w:t>e</w:t>
      </w:r>
      <w:r w:rsidR="00DC01AC" w:rsidRPr="00EC250C">
        <w:t xml:space="preserve"> osób starszych</w:t>
      </w:r>
      <w:bookmarkEnd w:id="41"/>
      <w:bookmarkEnd w:id="42"/>
    </w:p>
    <w:p w14:paraId="69316D55" w14:textId="77777777" w:rsidR="00B473F5" w:rsidRPr="00EC250C" w:rsidRDefault="00B533BD" w:rsidP="00D131FA">
      <w:pPr>
        <w:pStyle w:val="Problemczowieka"/>
        <w:jc w:val="both"/>
      </w:pPr>
      <w:r w:rsidRPr="00EC250C">
        <w:t xml:space="preserve">Aby seniorzy byli traktowani </w:t>
      </w:r>
      <w:r w:rsidR="00B719EE" w:rsidRPr="00EC250C">
        <w:t>na równi</w:t>
      </w:r>
      <w:r w:rsidR="00992FD0" w:rsidRPr="00EC250C">
        <w:t xml:space="preserve"> z </w:t>
      </w:r>
      <w:r w:rsidRPr="00EC250C">
        <w:t>innymi obywatelami, potrzebna jest aktywna polityka państwa. Tymczasem</w:t>
      </w:r>
      <w:r w:rsidR="00992FD0" w:rsidRPr="00EC250C">
        <w:t xml:space="preserve"> w </w:t>
      </w:r>
      <w:r w:rsidRPr="00EC250C">
        <w:t>Polsce</w:t>
      </w:r>
      <w:r w:rsidR="00992FD0" w:rsidRPr="00EC250C">
        <w:t xml:space="preserve"> o </w:t>
      </w:r>
      <w:r w:rsidRPr="00EC250C">
        <w:t>prawach seniorów dyskutuje się</w:t>
      </w:r>
      <w:r w:rsidR="00992FD0" w:rsidRPr="00EC250C">
        <w:t xml:space="preserve"> w </w:t>
      </w:r>
      <w:r w:rsidRPr="00EC250C">
        <w:t>kategorii dodatkowych wydatków</w:t>
      </w:r>
      <w:r w:rsidR="00B719EE" w:rsidRPr="00EC250C">
        <w:t>,</w:t>
      </w:r>
      <w:r w:rsidR="00992FD0" w:rsidRPr="00EC250C">
        <w:t xml:space="preserve"> a </w:t>
      </w:r>
      <w:r w:rsidRPr="00EC250C">
        <w:t>nie realizacji podstawowych praw konstytucyjnych</w:t>
      </w:r>
      <w:r w:rsidR="00B473F5" w:rsidRPr="00EC250C">
        <w:t>.</w:t>
      </w:r>
    </w:p>
    <w:p w14:paraId="283C4167" w14:textId="77777777" w:rsidR="00C91F6E" w:rsidRPr="00EC250C" w:rsidRDefault="00310B01" w:rsidP="00D131FA">
      <w:pPr>
        <w:pStyle w:val="Styl1"/>
      </w:pPr>
      <w:r w:rsidRPr="00EC250C">
        <w:t>Obowiązujący</w:t>
      </w:r>
      <w:r w:rsidR="00992FD0" w:rsidRPr="00EC250C">
        <w:t xml:space="preserve"> w </w:t>
      </w:r>
      <w:r w:rsidRPr="00EC250C">
        <w:t>Polsce model,</w:t>
      </w:r>
      <w:r w:rsidR="00992FD0" w:rsidRPr="00EC250C">
        <w:t xml:space="preserve"> w </w:t>
      </w:r>
      <w:r w:rsidRPr="00EC250C">
        <w:t>którym to na rodzinie spoczywa głównie obowiązek opieki nad osobą starszą,</w:t>
      </w:r>
      <w:r w:rsidR="00992FD0" w:rsidRPr="00EC250C">
        <w:t xml:space="preserve"> w </w:t>
      </w:r>
      <w:r w:rsidRPr="00EC250C">
        <w:t xml:space="preserve">praktyce nie </w:t>
      </w:r>
      <w:r w:rsidR="00A47C72" w:rsidRPr="00EC250C">
        <w:t>realizuje</w:t>
      </w:r>
      <w:r w:rsidRPr="00EC250C">
        <w:t xml:space="preserve"> </w:t>
      </w:r>
      <w:r w:rsidR="00A717DA" w:rsidRPr="00EC250C">
        <w:t xml:space="preserve">jej </w:t>
      </w:r>
      <w:r w:rsidRPr="00EC250C">
        <w:t>prawa do</w:t>
      </w:r>
      <w:r w:rsidR="00E811BA" w:rsidRPr="00EC250C">
        <w:t xml:space="preserve"> </w:t>
      </w:r>
      <w:r w:rsidRPr="00EC250C">
        <w:t>godności. Skargi od seniorów</w:t>
      </w:r>
      <w:r w:rsidR="00992FD0" w:rsidRPr="00EC250C">
        <w:t xml:space="preserve"> i </w:t>
      </w:r>
      <w:r w:rsidRPr="00EC250C">
        <w:t>rozmowy</w:t>
      </w:r>
      <w:r w:rsidR="00992FD0" w:rsidRPr="00EC250C">
        <w:t xml:space="preserve"> z </w:t>
      </w:r>
      <w:r w:rsidRPr="00EC250C">
        <w:t>nimi</w:t>
      </w:r>
      <w:r w:rsidR="00992FD0" w:rsidRPr="00EC250C">
        <w:t xml:space="preserve"> w </w:t>
      </w:r>
      <w:r w:rsidRPr="00EC250C">
        <w:t>czasie spotkań regionalnych coraz bardziej uświadamiają, jak pilne</w:t>
      </w:r>
      <w:r w:rsidR="00992FD0" w:rsidRPr="00EC250C">
        <w:t xml:space="preserve"> i </w:t>
      </w:r>
      <w:r w:rsidRPr="00EC250C">
        <w:t>ważne jest przyjęcie – na poziomie międzynarodowym – konwencji, która wyliczałaby prawa człowieka odnoszące się do osób starszych, uwzględniając specyficzne uwarunkowania związane ze starszym wiekiem</w:t>
      </w:r>
      <w:r w:rsidR="00992FD0" w:rsidRPr="00EC250C">
        <w:t xml:space="preserve"> i </w:t>
      </w:r>
      <w:r w:rsidRPr="00EC250C">
        <w:t xml:space="preserve">wskazując mechanizmy zapewniające realizację tych praw. Taka konwencja spełniłaby podobną rolę </w:t>
      </w:r>
      <w:r w:rsidR="00B719EE" w:rsidRPr="00EC250C">
        <w:t xml:space="preserve">jak </w:t>
      </w:r>
      <w:r w:rsidR="007D02B7" w:rsidRPr="00EC250C">
        <w:t xml:space="preserve">Konwencja </w:t>
      </w:r>
      <w:r w:rsidRPr="00EC250C">
        <w:t>ONZ</w:t>
      </w:r>
      <w:r w:rsidR="00992FD0" w:rsidRPr="00EC250C">
        <w:t xml:space="preserve"> o </w:t>
      </w:r>
      <w:r w:rsidR="007D02B7" w:rsidRPr="00EC250C">
        <w:t>prawach dziecka czy Konwencja</w:t>
      </w:r>
      <w:r w:rsidR="00992FD0" w:rsidRPr="00EC250C">
        <w:t xml:space="preserve"> o </w:t>
      </w:r>
      <w:r w:rsidR="007D02B7" w:rsidRPr="00EC250C">
        <w:t xml:space="preserve">prawach osób </w:t>
      </w:r>
      <w:r w:rsidR="00B719EE" w:rsidRPr="00EC250C">
        <w:t>niepełnosprawnych</w:t>
      </w:r>
      <w:r w:rsidRPr="00EC250C">
        <w:t>.</w:t>
      </w:r>
    </w:p>
    <w:p w14:paraId="2AA5D8FF" w14:textId="77777777" w:rsidR="00C91F6E" w:rsidRPr="00EC250C" w:rsidRDefault="00310B01" w:rsidP="00D131FA">
      <w:pPr>
        <w:pStyle w:val="Styl1"/>
      </w:pPr>
      <w:r w:rsidRPr="00EC250C">
        <w:t>Od 2016</w:t>
      </w:r>
      <w:r w:rsidR="00C91F6E" w:rsidRPr="00EC250C">
        <w:t> r.</w:t>
      </w:r>
      <w:r w:rsidRPr="00EC250C">
        <w:t xml:space="preserve"> RPO stara się zachęcić polskie władze do zaangażowania na rzecz takiego </w:t>
      </w:r>
      <w:r w:rsidR="009C73F6" w:rsidRPr="00EC250C">
        <w:t xml:space="preserve">stworzenia </w:t>
      </w:r>
      <w:r w:rsidRPr="00EC250C">
        <w:t>aktu międzynarodowego, buduje też społeczne zaplecze tej zmiany</w:t>
      </w:r>
      <w:r w:rsidR="00992FD0" w:rsidRPr="00EC250C">
        <w:t xml:space="preserve"> w </w:t>
      </w:r>
      <w:r w:rsidRPr="00EC250C">
        <w:t>ramach akcji „Za starość naszą</w:t>
      </w:r>
      <w:r w:rsidR="00992FD0" w:rsidRPr="00EC250C">
        <w:t xml:space="preserve"> i </w:t>
      </w:r>
      <w:r w:rsidRPr="00EC250C">
        <w:t>waszą”.</w:t>
      </w:r>
    </w:p>
    <w:p w14:paraId="37827A8A" w14:textId="77777777" w:rsidR="007D02B7" w:rsidRPr="00EC250C" w:rsidRDefault="00342A62" w:rsidP="00D131FA">
      <w:pPr>
        <w:pStyle w:val="Styl1"/>
      </w:pPr>
      <w:r w:rsidRPr="00EC250C">
        <w:t>Jeszcze</w:t>
      </w:r>
      <w:r w:rsidR="00992FD0" w:rsidRPr="00EC250C">
        <w:t xml:space="preserve"> w </w:t>
      </w:r>
      <w:r w:rsidRPr="00EC250C">
        <w:t>2017</w:t>
      </w:r>
      <w:r w:rsidR="00C91F6E" w:rsidRPr="00EC250C">
        <w:t> r.</w:t>
      </w:r>
      <w:r w:rsidRPr="00EC250C">
        <w:t xml:space="preserve"> odpowiedzi władz nie były zachęcające. </w:t>
      </w:r>
      <w:r w:rsidR="00DC58D8" w:rsidRPr="00EC250C">
        <w:t>Po kolejnych wystąpieniach</w:t>
      </w:r>
      <w:r w:rsidR="00F66E2E" w:rsidRPr="00EC250C">
        <w:rPr>
          <w:rStyle w:val="Odwoanieprzypisudolnego"/>
        </w:rPr>
        <w:footnoteReference w:id="19"/>
      </w:r>
      <w:r w:rsidR="007D02B7" w:rsidRPr="00EC250C">
        <w:t xml:space="preserve"> </w:t>
      </w:r>
      <w:r w:rsidR="009C73F6" w:rsidRPr="00EC250C">
        <w:t xml:space="preserve">RPO </w:t>
      </w:r>
      <w:r w:rsidR="00DC58D8" w:rsidRPr="00EC250C">
        <w:t>uzyskał zapewnienie Ministra Spraw Zagranicznych</w:t>
      </w:r>
      <w:r w:rsidR="0052734B" w:rsidRPr="00EC250C">
        <w:t>,</w:t>
      </w:r>
      <w:r w:rsidR="00DC58D8" w:rsidRPr="00EC250C">
        <w:t xml:space="preserve"> że rząd stara się aktywnie angażować</w:t>
      </w:r>
      <w:r w:rsidR="00992FD0" w:rsidRPr="00EC250C">
        <w:t xml:space="preserve"> w </w:t>
      </w:r>
      <w:r w:rsidR="00DC58D8" w:rsidRPr="00EC250C">
        <w:t>działania podejmowane na arenie międzynarodowej na rzecz wdrażania</w:t>
      </w:r>
      <w:r w:rsidR="00992FD0" w:rsidRPr="00EC250C">
        <w:t xml:space="preserve"> i </w:t>
      </w:r>
      <w:r w:rsidR="00DC58D8" w:rsidRPr="00EC250C">
        <w:t>egzekwowania istniejących już mechanizmów ochrony praw osób starszych</w:t>
      </w:r>
      <w:r w:rsidR="00C83E0E" w:rsidRPr="00EC250C">
        <w:t>,</w:t>
      </w:r>
      <w:r w:rsidR="00992FD0" w:rsidRPr="00EC250C">
        <w:t xml:space="preserve"> a w </w:t>
      </w:r>
      <w:r w:rsidR="00C83E0E" w:rsidRPr="00EC250C">
        <w:t>resorcie rodziny</w:t>
      </w:r>
      <w:r w:rsidR="007D02B7" w:rsidRPr="00EC250C">
        <w:t xml:space="preserve"> trwa</w:t>
      </w:r>
      <w:r w:rsidR="00310B01" w:rsidRPr="00EC250C">
        <w:t xml:space="preserve"> </w:t>
      </w:r>
      <w:r w:rsidR="007D02B7" w:rsidRPr="00EC250C">
        <w:t>rewizj</w:t>
      </w:r>
      <w:r w:rsidR="00310B01" w:rsidRPr="00EC250C">
        <w:t>a</w:t>
      </w:r>
      <w:r w:rsidR="007D02B7" w:rsidRPr="00EC250C">
        <w:t xml:space="preserve"> p</w:t>
      </w:r>
      <w:r w:rsidR="003930EA" w:rsidRPr="00EC250C">
        <w:t>rogramów</w:t>
      </w:r>
      <w:r w:rsidR="00992FD0" w:rsidRPr="00EC250C">
        <w:t xml:space="preserve"> i </w:t>
      </w:r>
      <w:r w:rsidR="003930EA" w:rsidRPr="00EC250C">
        <w:t>dokumentów rządowych</w:t>
      </w:r>
      <w:r w:rsidR="00310B01" w:rsidRPr="00EC250C">
        <w:t xml:space="preserve"> dotyczących seniorów</w:t>
      </w:r>
      <w:r w:rsidR="003930EA" w:rsidRPr="00EC250C">
        <w:t>.</w:t>
      </w:r>
    </w:p>
    <w:p w14:paraId="23A3DA0C" w14:textId="77777777" w:rsidR="0052734B" w:rsidRPr="00EC250C" w:rsidRDefault="00DC01AC" w:rsidP="00D131FA">
      <w:pPr>
        <w:pStyle w:val="ODESANIE"/>
        <w:ind w:left="-96" w:firstLine="0"/>
        <w:jc w:val="both"/>
      </w:pPr>
      <w:r w:rsidRPr="00EC250C">
        <w:t>Nierówne traktowanie kobiet</w:t>
      </w:r>
      <w:r w:rsidR="00992FD0" w:rsidRPr="00EC250C">
        <w:t xml:space="preserve"> z </w:t>
      </w:r>
      <w:r w:rsidRPr="00EC250C">
        <w:t>rocznika 1953, które pobierały wcześniejszą emeryturę</w:t>
      </w:r>
      <w:r w:rsidR="00026572" w:rsidRPr="00EC250C">
        <w:t xml:space="preserve"> – </w:t>
      </w:r>
      <w:r w:rsidRPr="00EC250C">
        <w:t>art. 67</w:t>
      </w:r>
    </w:p>
    <w:p w14:paraId="5FF0D6FF" w14:textId="77777777" w:rsidR="00C91F6E" w:rsidRPr="00EC250C" w:rsidRDefault="00D55FD3" w:rsidP="00EC79EB">
      <w:pPr>
        <w:pStyle w:val="Nagwek4"/>
      </w:pPr>
      <w:bookmarkStart w:id="43" w:name="_Toc6257640"/>
      <w:bookmarkStart w:id="44" w:name="_Toc11247540"/>
      <w:r w:rsidRPr="00EC250C">
        <w:t>Niesprawiedliwe traktowanie o</w:t>
      </w:r>
      <w:r w:rsidR="00B8780F" w:rsidRPr="00EC250C">
        <w:t>s</w:t>
      </w:r>
      <w:r w:rsidRPr="00EC250C">
        <w:t>ó</w:t>
      </w:r>
      <w:r w:rsidR="00B8780F" w:rsidRPr="00EC250C">
        <w:t>b niepoczytaln</w:t>
      </w:r>
      <w:r w:rsidRPr="00EC250C">
        <w:t>ych</w:t>
      </w:r>
      <w:r w:rsidR="00992FD0" w:rsidRPr="00EC250C">
        <w:t xml:space="preserve"> w </w:t>
      </w:r>
      <w:r w:rsidR="00DC01AC" w:rsidRPr="00EC250C">
        <w:t>postępowaniu karnym</w:t>
      </w:r>
      <w:bookmarkEnd w:id="43"/>
      <w:bookmarkEnd w:id="44"/>
    </w:p>
    <w:p w14:paraId="3574F045" w14:textId="77777777" w:rsidR="00B473F5" w:rsidRPr="00EC250C" w:rsidRDefault="00DC01AC" w:rsidP="00D131FA">
      <w:pPr>
        <w:pStyle w:val="Problemczowieka"/>
        <w:jc w:val="both"/>
        <w:rPr>
          <w:bdr w:val="none" w:sz="0" w:space="0" w:color="auto" w:frame="1"/>
        </w:rPr>
      </w:pPr>
      <w:r w:rsidRPr="00EC250C">
        <w:rPr>
          <w:bdr w:val="none" w:sz="0" w:space="0" w:color="auto" w:frame="1"/>
        </w:rPr>
        <w:t xml:space="preserve">Jeśli sąd stwierdza, że podsądny nie popełnił zarzucanego </w:t>
      </w:r>
      <w:r w:rsidR="00A11DAD" w:rsidRPr="00EC250C">
        <w:rPr>
          <w:bdr w:val="none" w:sz="0" w:space="0" w:color="auto" w:frame="1"/>
        </w:rPr>
        <w:t xml:space="preserve">mu </w:t>
      </w:r>
      <w:r w:rsidRPr="00EC250C">
        <w:rPr>
          <w:bdr w:val="none" w:sz="0" w:space="0" w:color="auto" w:frame="1"/>
        </w:rPr>
        <w:t>czynu lub braku</w:t>
      </w:r>
      <w:r w:rsidR="00B719EE" w:rsidRPr="00EC250C">
        <w:rPr>
          <w:bdr w:val="none" w:sz="0" w:space="0" w:color="auto" w:frame="1"/>
        </w:rPr>
        <w:t>je</w:t>
      </w:r>
      <w:r w:rsidRPr="00EC250C">
        <w:rPr>
          <w:bdr w:val="none" w:sz="0" w:space="0" w:color="auto" w:frame="1"/>
        </w:rPr>
        <w:t xml:space="preserve"> </w:t>
      </w:r>
      <w:r w:rsidR="00A11DAD" w:rsidRPr="00EC250C">
        <w:rPr>
          <w:bdr w:val="none" w:sz="0" w:space="0" w:color="auto" w:frame="1"/>
        </w:rPr>
        <w:t xml:space="preserve">temu czynowi </w:t>
      </w:r>
      <w:r w:rsidRPr="00EC250C">
        <w:rPr>
          <w:bdr w:val="none" w:sz="0" w:space="0" w:color="auto" w:frame="1"/>
        </w:rPr>
        <w:t>cech przestępstwa – to uniewinnia</w:t>
      </w:r>
      <w:r w:rsidR="00B719EE" w:rsidRPr="00EC250C">
        <w:rPr>
          <w:bdr w:val="none" w:sz="0" w:space="0" w:color="auto" w:frame="1"/>
        </w:rPr>
        <w:t xml:space="preserve"> go</w:t>
      </w:r>
      <w:r w:rsidRPr="00EC250C">
        <w:rPr>
          <w:bdr w:val="none" w:sz="0" w:space="0" w:color="auto" w:frame="1"/>
        </w:rPr>
        <w:t>. Chyba</w:t>
      </w:r>
      <w:r w:rsidR="00B719EE" w:rsidRPr="00EC250C">
        <w:rPr>
          <w:bdr w:val="none" w:sz="0" w:space="0" w:color="auto" w:frame="1"/>
        </w:rPr>
        <w:t>,</w:t>
      </w:r>
      <w:r w:rsidRPr="00EC250C">
        <w:rPr>
          <w:bdr w:val="none" w:sz="0" w:space="0" w:color="auto" w:frame="1"/>
        </w:rPr>
        <w:t xml:space="preserve"> że </w:t>
      </w:r>
      <w:r w:rsidR="008930C0" w:rsidRPr="00EC250C">
        <w:rPr>
          <w:bdr w:val="none" w:sz="0" w:space="0" w:color="auto" w:frame="1"/>
        </w:rPr>
        <w:t xml:space="preserve">oskarżony jest osobą niepoczytalną </w:t>
      </w:r>
      <w:r w:rsidRPr="00EC250C">
        <w:rPr>
          <w:bdr w:val="none" w:sz="0" w:space="0" w:color="auto" w:frame="1"/>
        </w:rPr>
        <w:t xml:space="preserve">– </w:t>
      </w:r>
      <w:r w:rsidR="008930C0" w:rsidRPr="00EC250C">
        <w:rPr>
          <w:bdr w:val="none" w:sz="0" w:space="0" w:color="auto" w:frame="1"/>
        </w:rPr>
        <w:t xml:space="preserve">wówczas </w:t>
      </w:r>
      <w:r w:rsidRPr="00EC250C">
        <w:rPr>
          <w:bdr w:val="none" w:sz="0" w:space="0" w:color="auto" w:frame="1"/>
        </w:rPr>
        <w:t xml:space="preserve">nie można </w:t>
      </w:r>
      <w:r w:rsidR="008930C0" w:rsidRPr="00EC250C">
        <w:rPr>
          <w:bdr w:val="none" w:sz="0" w:space="0" w:color="auto" w:frame="1"/>
        </w:rPr>
        <w:t xml:space="preserve">jej </w:t>
      </w:r>
      <w:r w:rsidRPr="00EC250C">
        <w:rPr>
          <w:bdr w:val="none" w:sz="0" w:space="0" w:color="auto" w:frame="1"/>
        </w:rPr>
        <w:t>uniewinnić, trzeba sprawę umorzyć</w:t>
      </w:r>
      <w:r w:rsidR="00B473F5" w:rsidRPr="00EC250C">
        <w:rPr>
          <w:bdr w:val="none" w:sz="0" w:space="0" w:color="auto" w:frame="1"/>
        </w:rPr>
        <w:t>.</w:t>
      </w:r>
    </w:p>
    <w:p w14:paraId="623255AA" w14:textId="77777777" w:rsidR="00C91F6E" w:rsidRPr="00EC250C" w:rsidRDefault="00DC01AC" w:rsidP="00D131FA">
      <w:pPr>
        <w:pStyle w:val="Styl1"/>
        <w:rPr>
          <w:bCs/>
          <w:iCs/>
        </w:rPr>
      </w:pPr>
      <w:r w:rsidRPr="00EC250C">
        <w:rPr>
          <w:bCs/>
          <w:iCs/>
        </w:rPr>
        <w:t>To wynika</w:t>
      </w:r>
      <w:r w:rsidR="00992FD0" w:rsidRPr="00EC250C">
        <w:rPr>
          <w:bCs/>
          <w:iCs/>
        </w:rPr>
        <w:t xml:space="preserve"> z </w:t>
      </w:r>
      <w:r w:rsidRPr="00EC250C">
        <w:rPr>
          <w:bCs/>
          <w:iCs/>
        </w:rPr>
        <w:t>art. 414 § 1 Kodeksu postępowania karnego. Tymczasem wyrok umarzający postępowanie różni się</w:t>
      </w:r>
      <w:r w:rsidR="00992FD0" w:rsidRPr="00EC250C">
        <w:rPr>
          <w:bCs/>
          <w:iCs/>
        </w:rPr>
        <w:t xml:space="preserve"> w </w:t>
      </w:r>
      <w:r w:rsidRPr="00EC250C">
        <w:rPr>
          <w:bCs/>
          <w:iCs/>
        </w:rPr>
        <w:t xml:space="preserve">konsekwencjach od wyroku uniewinniającego. W wyroku umarzającym </w:t>
      </w:r>
      <w:r w:rsidRPr="00EC250C">
        <w:rPr>
          <w:bCs/>
          <w:iCs/>
        </w:rPr>
        <w:lastRenderedPageBreak/>
        <w:t>sąd mówi już</w:t>
      </w:r>
      <w:r w:rsidR="00992FD0" w:rsidRPr="00EC250C">
        <w:rPr>
          <w:bCs/>
          <w:iCs/>
        </w:rPr>
        <w:t xml:space="preserve"> o </w:t>
      </w:r>
      <w:r w:rsidRPr="00EC250C">
        <w:rPr>
          <w:bCs/>
          <w:iCs/>
        </w:rPr>
        <w:t>popełnionym (a nie tylko zarzucanym) czynie zabronionym, mimo że osoba ta nie popełniła go albo brak jest na to dowodów.</w:t>
      </w:r>
    </w:p>
    <w:p w14:paraId="400D495A" w14:textId="77777777" w:rsidR="00DC01AC" w:rsidRPr="00EC250C" w:rsidRDefault="00073A8C" w:rsidP="00D131FA">
      <w:pPr>
        <w:pStyle w:val="Styl1"/>
      </w:pPr>
      <w:r w:rsidRPr="00EC250C">
        <w:rPr>
          <w:bCs/>
          <w:iCs/>
        </w:rPr>
        <w:t>RPO</w:t>
      </w:r>
      <w:r w:rsidR="00DC01AC" w:rsidRPr="00EC250C">
        <w:rPr>
          <w:bCs/>
          <w:iCs/>
        </w:rPr>
        <w:t xml:space="preserve"> zwrócił się</w:t>
      </w:r>
      <w:r w:rsidR="00DC01AC" w:rsidRPr="00EC250C">
        <w:rPr>
          <w:rStyle w:val="Odwoanieprzypisudolnego"/>
          <w:bCs/>
          <w:iCs/>
        </w:rPr>
        <w:footnoteReference w:id="20"/>
      </w:r>
      <w:r w:rsidR="00DC01AC" w:rsidRPr="00EC250C">
        <w:rPr>
          <w:bCs/>
          <w:iCs/>
        </w:rPr>
        <w:t xml:space="preserve"> </w:t>
      </w:r>
      <w:r w:rsidR="008930C0" w:rsidRPr="00EC250C">
        <w:rPr>
          <w:bCs/>
          <w:iCs/>
        </w:rPr>
        <w:t xml:space="preserve">więc </w:t>
      </w:r>
      <w:r w:rsidR="00DC01AC" w:rsidRPr="00EC250C">
        <w:rPr>
          <w:bCs/>
          <w:iCs/>
        </w:rPr>
        <w:t>do Ministra Sprawiedliwości</w:t>
      </w:r>
      <w:r w:rsidR="00992FD0" w:rsidRPr="00EC250C">
        <w:rPr>
          <w:bCs/>
          <w:iCs/>
        </w:rPr>
        <w:t xml:space="preserve"> o </w:t>
      </w:r>
      <w:r w:rsidR="00DC01AC" w:rsidRPr="00EC250C">
        <w:rPr>
          <w:bCs/>
          <w:iCs/>
        </w:rPr>
        <w:t xml:space="preserve">rozważenie zmiany prawa. Odpowiedzi </w:t>
      </w:r>
      <w:r w:rsidR="00DC01AC" w:rsidRPr="00EC250C">
        <w:t>dotychczas nie dostał.</w:t>
      </w:r>
    </w:p>
    <w:p w14:paraId="58C3DF6E" w14:textId="77777777" w:rsidR="00C91F6E" w:rsidRPr="00EC250C" w:rsidRDefault="00A11DAD" w:rsidP="00EC79EB">
      <w:pPr>
        <w:pStyle w:val="Nagwek4"/>
      </w:pPr>
      <w:bookmarkStart w:id="45" w:name="_Toc6257641"/>
      <w:bookmarkStart w:id="46" w:name="_Toc11247541"/>
      <w:r w:rsidRPr="00EC250C">
        <w:t>Problem</w:t>
      </w:r>
      <w:r w:rsidR="00D55FD3" w:rsidRPr="00EC250C">
        <w:t>atyczne</w:t>
      </w:r>
      <w:r w:rsidRPr="00EC250C">
        <w:t xml:space="preserve"> z</w:t>
      </w:r>
      <w:r w:rsidR="00B8780F" w:rsidRPr="00EC250C">
        <w:t>asad</w:t>
      </w:r>
      <w:r w:rsidR="00D55FD3" w:rsidRPr="00EC250C">
        <w:t>y</w:t>
      </w:r>
      <w:r w:rsidR="00B8780F" w:rsidRPr="00EC250C">
        <w:t xml:space="preserve"> </w:t>
      </w:r>
      <w:r w:rsidR="008930C0" w:rsidRPr="00EC250C">
        <w:t xml:space="preserve">orzekania </w:t>
      </w:r>
      <w:r w:rsidR="0060444F" w:rsidRPr="00EC250C">
        <w:t>kary łącznej</w:t>
      </w:r>
      <w:bookmarkEnd w:id="45"/>
      <w:bookmarkEnd w:id="46"/>
    </w:p>
    <w:p w14:paraId="6D5F61B7" w14:textId="77777777" w:rsidR="00B473F5" w:rsidRPr="00EC250C" w:rsidRDefault="008930C0" w:rsidP="00D131FA">
      <w:pPr>
        <w:pStyle w:val="Problemczowieka"/>
        <w:jc w:val="both"/>
      </w:pPr>
      <w:r w:rsidRPr="00EC250C">
        <w:t>Po wprowadzeniu zmian</w:t>
      </w:r>
      <w:r w:rsidR="00992FD0" w:rsidRPr="00EC250C">
        <w:t xml:space="preserve"> w </w:t>
      </w:r>
      <w:r w:rsidRPr="00EC250C">
        <w:t>kodeksie karn</w:t>
      </w:r>
      <w:r w:rsidR="00351659" w:rsidRPr="00EC250C">
        <w:t>y</w:t>
      </w:r>
      <w:r w:rsidRPr="00EC250C">
        <w:t>m</w:t>
      </w:r>
      <w:r w:rsidR="00992FD0" w:rsidRPr="00EC250C">
        <w:t xml:space="preserve"> z </w:t>
      </w:r>
      <w:r w:rsidRPr="00EC250C">
        <w:t xml:space="preserve">2015 roku </w:t>
      </w:r>
      <w:r w:rsidR="009C55AF" w:rsidRPr="00EC250C">
        <w:t xml:space="preserve">przepisy przejściowe wskazywały, że </w:t>
      </w:r>
      <w:r w:rsidRPr="00EC250C">
        <w:t>w</w:t>
      </w:r>
      <w:r w:rsidR="00B91891" w:rsidRPr="00EC250C">
        <w:t xml:space="preserve">ysokość kary łącznej </w:t>
      </w:r>
      <w:r w:rsidRPr="00EC250C">
        <w:t>zależy</w:t>
      </w:r>
      <w:r w:rsidR="00992FD0" w:rsidRPr="00EC250C">
        <w:t xml:space="preserve"> w </w:t>
      </w:r>
      <w:r w:rsidR="00B91891" w:rsidRPr="00EC250C">
        <w:t>niektórych przypadkach od tego, kiedy uprawomocnił się wyrok,</w:t>
      </w:r>
      <w:r w:rsidR="00992FD0" w:rsidRPr="00EC250C">
        <w:t xml:space="preserve"> a </w:t>
      </w:r>
      <w:r w:rsidR="00B91891" w:rsidRPr="00EC250C">
        <w:t xml:space="preserve">nie od tego, kiedy </w:t>
      </w:r>
      <w:r w:rsidR="009C55AF" w:rsidRPr="00EC250C">
        <w:t xml:space="preserve">zostało </w:t>
      </w:r>
      <w:r w:rsidR="00B91891" w:rsidRPr="00EC250C">
        <w:t xml:space="preserve">popełnione </w:t>
      </w:r>
      <w:r w:rsidR="009C55AF" w:rsidRPr="00EC250C">
        <w:t>przestępstwo</w:t>
      </w:r>
      <w:r w:rsidR="00B473F5" w:rsidRPr="00EC250C">
        <w:t>.</w:t>
      </w:r>
    </w:p>
    <w:p w14:paraId="7F3492C0" w14:textId="77777777" w:rsidR="0060444F" w:rsidRPr="00EC250C" w:rsidRDefault="00B91891" w:rsidP="00D131FA">
      <w:pPr>
        <w:pStyle w:val="Styl1"/>
        <w:rPr>
          <w:bCs/>
          <w:iCs/>
        </w:rPr>
      </w:pPr>
      <w:r w:rsidRPr="00EC250C">
        <w:rPr>
          <w:bCs/>
          <w:iCs/>
        </w:rPr>
        <w:t>Jeszcze</w:t>
      </w:r>
      <w:r w:rsidR="00992FD0" w:rsidRPr="00EC250C">
        <w:rPr>
          <w:bCs/>
          <w:iCs/>
        </w:rPr>
        <w:t xml:space="preserve"> w </w:t>
      </w:r>
      <w:r w:rsidRPr="00EC250C">
        <w:rPr>
          <w:bCs/>
          <w:iCs/>
        </w:rPr>
        <w:t>2016</w:t>
      </w:r>
      <w:r w:rsidR="00C91F6E" w:rsidRPr="00EC250C">
        <w:rPr>
          <w:bCs/>
          <w:iCs/>
        </w:rPr>
        <w:t> r.</w:t>
      </w:r>
      <w:r w:rsidRPr="00EC250C">
        <w:rPr>
          <w:bCs/>
          <w:iCs/>
        </w:rPr>
        <w:t xml:space="preserve"> </w:t>
      </w:r>
      <w:r w:rsidR="00073A8C" w:rsidRPr="00EC250C">
        <w:rPr>
          <w:bCs/>
          <w:iCs/>
        </w:rPr>
        <w:t>RPO</w:t>
      </w:r>
      <w:r w:rsidRPr="00EC250C">
        <w:rPr>
          <w:bCs/>
          <w:iCs/>
        </w:rPr>
        <w:t xml:space="preserve"> zaskarżył </w:t>
      </w:r>
      <w:r w:rsidR="009C55AF" w:rsidRPr="00EC250C">
        <w:rPr>
          <w:bCs/>
          <w:iCs/>
        </w:rPr>
        <w:t>te przepisy</w:t>
      </w:r>
      <w:r w:rsidR="00CC4D88" w:rsidRPr="00EC250C">
        <w:rPr>
          <w:bCs/>
          <w:iCs/>
        </w:rPr>
        <w:t xml:space="preserve"> </w:t>
      </w:r>
      <w:r w:rsidRPr="00EC250C">
        <w:rPr>
          <w:bCs/>
          <w:iCs/>
        </w:rPr>
        <w:t>do Trybunału Konstytucyjnego</w:t>
      </w:r>
      <w:r w:rsidR="00944443" w:rsidRPr="00EC250C">
        <w:rPr>
          <w:rStyle w:val="Odwoanieprzypisudolnego"/>
          <w:bCs/>
          <w:iCs/>
        </w:rPr>
        <w:footnoteReference w:id="21"/>
      </w:r>
      <w:r w:rsidR="00944443" w:rsidRPr="00EC250C">
        <w:rPr>
          <w:bCs/>
          <w:iCs/>
        </w:rPr>
        <w:t xml:space="preserve">. </w:t>
      </w:r>
      <w:r w:rsidR="0060444F" w:rsidRPr="00EC250C">
        <w:rPr>
          <w:bCs/>
          <w:iCs/>
        </w:rPr>
        <w:t>Trybunał</w:t>
      </w:r>
      <w:r w:rsidR="00992FD0" w:rsidRPr="00EC250C">
        <w:rPr>
          <w:bCs/>
          <w:iCs/>
        </w:rPr>
        <w:t xml:space="preserve"> w </w:t>
      </w:r>
      <w:r w:rsidR="00944443" w:rsidRPr="00EC250C">
        <w:rPr>
          <w:bCs/>
          <w:iCs/>
        </w:rPr>
        <w:t>2018</w:t>
      </w:r>
      <w:r w:rsidR="00C91F6E" w:rsidRPr="00EC250C">
        <w:rPr>
          <w:bCs/>
          <w:iCs/>
        </w:rPr>
        <w:t> r.</w:t>
      </w:r>
      <w:r w:rsidR="0060444F" w:rsidRPr="00EC250C">
        <w:rPr>
          <w:bCs/>
          <w:iCs/>
        </w:rPr>
        <w:t xml:space="preserve"> </w:t>
      </w:r>
      <w:r w:rsidR="00944443" w:rsidRPr="00EC250C">
        <w:rPr>
          <w:bCs/>
          <w:iCs/>
        </w:rPr>
        <w:t>uzna</w:t>
      </w:r>
      <w:r w:rsidR="00C83E0E" w:rsidRPr="00EC250C">
        <w:rPr>
          <w:bCs/>
          <w:iCs/>
        </w:rPr>
        <w:t>ł</w:t>
      </w:r>
      <w:r w:rsidR="00944443" w:rsidRPr="00EC250C">
        <w:rPr>
          <w:bCs/>
          <w:iCs/>
        </w:rPr>
        <w:t>, że Konstytucj</w:t>
      </w:r>
      <w:r w:rsidR="00C83E0E" w:rsidRPr="00EC250C">
        <w:rPr>
          <w:bCs/>
          <w:iCs/>
        </w:rPr>
        <w:t>a</w:t>
      </w:r>
      <w:r w:rsidR="00944443" w:rsidRPr="00EC250C">
        <w:rPr>
          <w:bCs/>
          <w:iCs/>
        </w:rPr>
        <w:t xml:space="preserve"> nie </w:t>
      </w:r>
      <w:r w:rsidR="00C83E0E" w:rsidRPr="00EC250C">
        <w:rPr>
          <w:bCs/>
          <w:iCs/>
        </w:rPr>
        <w:t xml:space="preserve">jest tu </w:t>
      </w:r>
      <w:r w:rsidR="00944443" w:rsidRPr="00EC250C">
        <w:rPr>
          <w:bCs/>
          <w:iCs/>
        </w:rPr>
        <w:t>narusza</w:t>
      </w:r>
      <w:r w:rsidR="00C83E0E" w:rsidRPr="00EC250C">
        <w:rPr>
          <w:bCs/>
          <w:iCs/>
        </w:rPr>
        <w:t>na</w:t>
      </w:r>
      <w:r w:rsidR="0060444F" w:rsidRPr="00EC250C">
        <w:rPr>
          <w:rStyle w:val="Odwoanieprzypisudolnego"/>
          <w:bCs/>
          <w:iCs/>
        </w:rPr>
        <w:footnoteReference w:id="22"/>
      </w:r>
      <w:r w:rsidR="009C55AF" w:rsidRPr="00EC250C">
        <w:rPr>
          <w:bCs/>
          <w:iCs/>
        </w:rPr>
        <w:t>.</w:t>
      </w:r>
      <w:r w:rsidR="0060444F" w:rsidRPr="00EC250C">
        <w:rPr>
          <w:bCs/>
          <w:iCs/>
        </w:rPr>
        <w:t xml:space="preserve"> </w:t>
      </w:r>
      <w:r w:rsidR="009C55AF" w:rsidRPr="00EC250C">
        <w:rPr>
          <w:bCs/>
          <w:iCs/>
        </w:rPr>
        <w:t>Owszem</w:t>
      </w:r>
      <w:r w:rsidR="00944443" w:rsidRPr="00EC250C">
        <w:rPr>
          <w:bCs/>
          <w:iCs/>
        </w:rPr>
        <w:t xml:space="preserve">, </w:t>
      </w:r>
      <w:r w:rsidR="0060444F" w:rsidRPr="00EC250C">
        <w:rPr>
          <w:bCs/>
          <w:iCs/>
        </w:rPr>
        <w:t xml:space="preserve">przepis ten może prowadzić do wymierzenia sprawcom kary łącznej na </w:t>
      </w:r>
      <w:r w:rsidR="00944443" w:rsidRPr="00EC250C">
        <w:rPr>
          <w:bCs/>
          <w:iCs/>
        </w:rPr>
        <w:t xml:space="preserve">różnych </w:t>
      </w:r>
      <w:r w:rsidR="0060444F" w:rsidRPr="00EC250C">
        <w:rPr>
          <w:bCs/>
          <w:iCs/>
        </w:rPr>
        <w:t>zasadach</w:t>
      </w:r>
      <w:r w:rsidR="009C55AF" w:rsidRPr="00EC250C">
        <w:rPr>
          <w:bCs/>
          <w:iCs/>
        </w:rPr>
        <w:t>, ale</w:t>
      </w:r>
      <w:r w:rsidR="00170E82" w:rsidRPr="00EC250C">
        <w:rPr>
          <w:bCs/>
          <w:iCs/>
        </w:rPr>
        <w:t xml:space="preserve"> </w:t>
      </w:r>
      <w:r w:rsidR="009C55AF" w:rsidRPr="00EC250C">
        <w:rPr>
          <w:bCs/>
          <w:iCs/>
        </w:rPr>
        <w:t>n</w:t>
      </w:r>
      <w:r w:rsidR="0060444F" w:rsidRPr="00EC250C">
        <w:rPr>
          <w:bCs/>
          <w:iCs/>
        </w:rPr>
        <w:t>ie oznacza to automatycznie, że któreś</w:t>
      </w:r>
      <w:r w:rsidR="00992FD0" w:rsidRPr="00EC250C">
        <w:rPr>
          <w:bCs/>
          <w:iCs/>
        </w:rPr>
        <w:t xml:space="preserve"> z </w:t>
      </w:r>
      <w:r w:rsidR="0060444F" w:rsidRPr="00EC250C">
        <w:rPr>
          <w:bCs/>
          <w:iCs/>
        </w:rPr>
        <w:t>tych orzeczeń można uznać za niespełniające konstytucyjnych wymogów sprawiedliwego wyroku.</w:t>
      </w:r>
    </w:p>
    <w:p w14:paraId="1EEED7E6" w14:textId="77777777" w:rsidR="002A1F05" w:rsidRPr="00EC250C" w:rsidRDefault="00C93209" w:rsidP="00EC79EB">
      <w:pPr>
        <w:pStyle w:val="Nagwek4"/>
      </w:pPr>
      <w:bookmarkStart w:id="47" w:name="_Toc11247542"/>
      <w:r w:rsidRPr="00EC250C">
        <w:t xml:space="preserve">Obywatele nie mogą podważać decyzji </w:t>
      </w:r>
      <w:r w:rsidR="00E44B23" w:rsidRPr="00EC250C">
        <w:t>p</w:t>
      </w:r>
      <w:r w:rsidR="00E8031D" w:rsidRPr="00EC250C">
        <w:t xml:space="preserve">aństwa sprzed 40 lat </w:t>
      </w:r>
      <w:r w:rsidRPr="00EC250C">
        <w:t>na podstawie tzw. ustawy uwłaszczeniowej</w:t>
      </w:r>
      <w:r w:rsidR="00992FD0" w:rsidRPr="00EC250C">
        <w:t xml:space="preserve"> z </w:t>
      </w:r>
      <w:r w:rsidRPr="00EC250C">
        <w:t>1971</w:t>
      </w:r>
      <w:r w:rsidR="00C91F6E" w:rsidRPr="00EC250C">
        <w:t> r.</w:t>
      </w:r>
      <w:bookmarkEnd w:id="47"/>
    </w:p>
    <w:p w14:paraId="4BDD47AE" w14:textId="77777777" w:rsidR="00B473F5" w:rsidRPr="00EC250C" w:rsidRDefault="002A1F05" w:rsidP="00D131FA">
      <w:pPr>
        <w:pStyle w:val="Problemczowieka"/>
        <w:jc w:val="both"/>
        <w:rPr>
          <w:rStyle w:val="Pogrubienie"/>
          <w:b/>
          <w:bCs w:val="0"/>
        </w:rPr>
      </w:pPr>
      <w:r w:rsidRPr="00EC250C">
        <w:rPr>
          <w:rStyle w:val="Pogrubienie"/>
          <w:b/>
          <w:bCs w:val="0"/>
        </w:rPr>
        <w:t>Obywatele nie mogą kwestionować decyzji</w:t>
      </w:r>
      <w:r w:rsidR="00992FD0" w:rsidRPr="00EC250C">
        <w:rPr>
          <w:rStyle w:val="Pogrubienie"/>
          <w:b/>
          <w:bCs w:val="0"/>
        </w:rPr>
        <w:t xml:space="preserve"> o </w:t>
      </w:r>
      <w:r w:rsidRPr="00EC250C">
        <w:rPr>
          <w:rStyle w:val="Pogrubienie"/>
          <w:b/>
          <w:bCs w:val="0"/>
        </w:rPr>
        <w:t>przejęciu ich nieruchomości wchodzących</w:t>
      </w:r>
      <w:r w:rsidR="00992FD0" w:rsidRPr="00EC250C">
        <w:rPr>
          <w:rStyle w:val="Pogrubienie"/>
          <w:b/>
          <w:bCs w:val="0"/>
        </w:rPr>
        <w:t xml:space="preserve"> w </w:t>
      </w:r>
      <w:r w:rsidRPr="00EC250C">
        <w:rPr>
          <w:rStyle w:val="Pogrubienie"/>
          <w:b/>
          <w:bCs w:val="0"/>
        </w:rPr>
        <w:t>skład gospodarstw rolnych przez państwo na podstawie tzw. ustawy uwłaszczeniowej</w:t>
      </w:r>
      <w:r w:rsidR="00992FD0" w:rsidRPr="00EC250C">
        <w:rPr>
          <w:rStyle w:val="Pogrubienie"/>
          <w:b/>
          <w:bCs w:val="0"/>
        </w:rPr>
        <w:t xml:space="preserve"> z </w:t>
      </w:r>
      <w:r w:rsidRPr="00EC250C">
        <w:rPr>
          <w:rStyle w:val="Pogrubienie"/>
          <w:b/>
          <w:bCs w:val="0"/>
        </w:rPr>
        <w:t>1971</w:t>
      </w:r>
      <w:r w:rsidR="00C91F6E" w:rsidRPr="00EC250C">
        <w:rPr>
          <w:rStyle w:val="Pogrubienie"/>
          <w:b/>
          <w:bCs w:val="0"/>
        </w:rPr>
        <w:t> r.</w:t>
      </w:r>
      <w:r w:rsidRPr="00EC250C">
        <w:rPr>
          <w:rStyle w:val="Pogrubienie"/>
          <w:b/>
          <w:bCs w:val="0"/>
        </w:rPr>
        <w:t xml:space="preserve"> Od 1992</w:t>
      </w:r>
      <w:r w:rsidR="00C91F6E" w:rsidRPr="00EC250C">
        <w:rPr>
          <w:rStyle w:val="Pogrubienie"/>
          <w:b/>
          <w:bCs w:val="0"/>
        </w:rPr>
        <w:t> r.</w:t>
      </w:r>
      <w:r w:rsidR="00992FD0" w:rsidRPr="00EC250C">
        <w:rPr>
          <w:rStyle w:val="Pogrubienie"/>
          <w:b/>
          <w:bCs w:val="0"/>
        </w:rPr>
        <w:t xml:space="preserve"> w </w:t>
      </w:r>
      <w:r w:rsidRPr="00EC250C">
        <w:rPr>
          <w:rStyle w:val="Pogrubienie"/>
          <w:b/>
          <w:bCs w:val="0"/>
        </w:rPr>
        <w:t>tych sprawach nie można bowiem stosować przepisów Kodeksu postępowania administracyjnego</w:t>
      </w:r>
      <w:r w:rsidR="00992FD0" w:rsidRPr="00EC250C">
        <w:rPr>
          <w:rStyle w:val="Pogrubienie"/>
          <w:b/>
          <w:bCs w:val="0"/>
        </w:rPr>
        <w:t xml:space="preserve"> o </w:t>
      </w:r>
      <w:r w:rsidRPr="00EC250C">
        <w:rPr>
          <w:rStyle w:val="Pogrubienie"/>
          <w:b/>
          <w:bCs w:val="0"/>
        </w:rPr>
        <w:t>wznowieniu postępowania</w:t>
      </w:r>
      <w:r w:rsidR="00B473F5" w:rsidRPr="00EC250C">
        <w:rPr>
          <w:rStyle w:val="Pogrubienie"/>
          <w:b/>
          <w:bCs w:val="0"/>
        </w:rPr>
        <w:t>.</w:t>
      </w:r>
    </w:p>
    <w:p w14:paraId="0313AFBD" w14:textId="77777777" w:rsidR="002A1F05" w:rsidRPr="00EC250C" w:rsidRDefault="002A1F05" w:rsidP="00D131FA">
      <w:pPr>
        <w:pStyle w:val="Styl1"/>
      </w:pPr>
      <w:r w:rsidRPr="00EC250C">
        <w:rPr>
          <w:rStyle w:val="Pogrubienie"/>
          <w:b w:val="0"/>
          <w:bCs w:val="0"/>
        </w:rPr>
        <w:t>Według RPO</w:t>
      </w:r>
      <w:r w:rsidR="00992FD0" w:rsidRPr="00EC250C">
        <w:rPr>
          <w:rStyle w:val="Pogrubienie"/>
          <w:b w:val="0"/>
          <w:bCs w:val="0"/>
        </w:rPr>
        <w:t xml:space="preserve"> w </w:t>
      </w:r>
      <w:r w:rsidRPr="00EC250C">
        <w:rPr>
          <w:rStyle w:val="Pogrubienie"/>
          <w:b w:val="0"/>
          <w:bCs w:val="0"/>
        </w:rPr>
        <w:t>niekonstytucyjny sposób pozbawia to obywateli możliwości weryfikacji</w:t>
      </w:r>
      <w:r w:rsidR="00992FD0" w:rsidRPr="00EC250C">
        <w:rPr>
          <w:rStyle w:val="Pogrubienie"/>
          <w:b w:val="0"/>
          <w:bCs w:val="0"/>
        </w:rPr>
        <w:t xml:space="preserve"> w </w:t>
      </w:r>
      <w:r w:rsidRPr="00EC250C">
        <w:rPr>
          <w:rStyle w:val="Pogrubienie"/>
          <w:b w:val="0"/>
          <w:bCs w:val="0"/>
        </w:rPr>
        <w:t>tym trybie decyzji</w:t>
      </w:r>
      <w:r w:rsidR="00992FD0" w:rsidRPr="00EC250C">
        <w:rPr>
          <w:rStyle w:val="Pogrubienie"/>
          <w:b w:val="0"/>
          <w:bCs w:val="0"/>
        </w:rPr>
        <w:t xml:space="preserve"> o </w:t>
      </w:r>
      <w:r w:rsidRPr="00EC250C">
        <w:rPr>
          <w:rStyle w:val="Pogrubienie"/>
          <w:b w:val="0"/>
          <w:bCs w:val="0"/>
        </w:rPr>
        <w:t>przejęciu ich nieruchomości</w:t>
      </w:r>
    </w:p>
    <w:p w14:paraId="25498AC0" w14:textId="77777777" w:rsidR="00C91F6E" w:rsidRPr="00EC250C" w:rsidRDefault="00C93209" w:rsidP="00D131FA">
      <w:pPr>
        <w:pStyle w:val="ODESANIE"/>
        <w:jc w:val="both"/>
        <w:rPr>
          <w:lang w:eastAsia="en-US"/>
        </w:rPr>
      </w:pPr>
      <w:r w:rsidRPr="00EC250C">
        <w:t>wniosek RPO do TK</w:t>
      </w:r>
      <w:r w:rsidR="00992FD0" w:rsidRPr="00EC250C">
        <w:t xml:space="preserve"> w </w:t>
      </w:r>
      <w:r w:rsidRPr="00EC250C">
        <w:t xml:space="preserve">tej sprawie omówiony </w:t>
      </w:r>
      <w:r w:rsidR="001874B8" w:rsidRPr="00EC250C">
        <w:t>w kontekście</w:t>
      </w:r>
      <w:r w:rsidRPr="00EC250C">
        <w:t xml:space="preserve"> art. 64 Konstytucji (prawo własności)</w:t>
      </w:r>
    </w:p>
    <w:p w14:paraId="115CBE39" w14:textId="77777777" w:rsidR="00F3140B" w:rsidRPr="00EC250C" w:rsidRDefault="00F3140B" w:rsidP="00EC79EB">
      <w:pPr>
        <w:pStyle w:val="Nagwek4"/>
      </w:pPr>
      <w:bookmarkStart w:id="48" w:name="_Toc11247543"/>
      <w:r w:rsidRPr="00EC250C">
        <w:t>Nierówne traktowanie</w:t>
      </w:r>
      <w:r w:rsidR="00992FD0" w:rsidRPr="00EC250C">
        <w:t xml:space="preserve"> w </w:t>
      </w:r>
      <w:r w:rsidRPr="00EC250C">
        <w:t>dostępie do abonamentów</w:t>
      </w:r>
      <w:r w:rsidR="00992FD0" w:rsidRPr="00EC250C">
        <w:t xml:space="preserve"> w </w:t>
      </w:r>
      <w:r w:rsidRPr="00EC250C">
        <w:t>strefach płatnego parkowania</w:t>
      </w:r>
      <w:bookmarkEnd w:id="48"/>
    </w:p>
    <w:p w14:paraId="2DFA4C5A" w14:textId="77777777" w:rsidR="00B473F5" w:rsidRPr="00EC250C" w:rsidRDefault="00F3140B" w:rsidP="00D131FA">
      <w:pPr>
        <w:pStyle w:val="Problemczowieka"/>
        <w:jc w:val="both"/>
        <w:rPr>
          <w:bdr w:val="none" w:sz="0" w:space="0" w:color="auto" w:frame="1"/>
        </w:rPr>
      </w:pPr>
      <w:r w:rsidRPr="00EC250C">
        <w:rPr>
          <w:bdr w:val="none" w:sz="0" w:space="0" w:color="auto" w:frame="1"/>
        </w:rPr>
        <w:t>Niektórzy mieszkańcy stref płatnego parkowania nie dostawali prawa do zniżek przy wykupywaniu abonamentu</w:t>
      </w:r>
      <w:r w:rsidR="00B473F5" w:rsidRPr="00EC250C">
        <w:rPr>
          <w:bdr w:val="none" w:sz="0" w:space="0" w:color="auto" w:frame="1"/>
        </w:rPr>
        <w:t>.</w:t>
      </w:r>
    </w:p>
    <w:p w14:paraId="764FE2A6" w14:textId="77777777" w:rsidR="00F3140B" w:rsidRPr="00EC250C" w:rsidRDefault="00F3140B" w:rsidP="00D131FA">
      <w:pPr>
        <w:pStyle w:val="Styl1"/>
        <w:rPr>
          <w:rFonts w:ascii="Open Sans Regular" w:hAnsi="Open Sans Regular"/>
        </w:rPr>
      </w:pPr>
      <w:r w:rsidRPr="00EC250C">
        <w:rPr>
          <w:bdr w:val="none" w:sz="0" w:space="0" w:color="auto" w:frame="1"/>
        </w:rPr>
        <w:t>Opłaty za postój</w:t>
      </w:r>
      <w:r w:rsidR="00992FD0" w:rsidRPr="00EC250C">
        <w:rPr>
          <w:bdr w:val="none" w:sz="0" w:space="0" w:color="auto" w:frame="1"/>
        </w:rPr>
        <w:t xml:space="preserve"> w </w:t>
      </w:r>
      <w:r w:rsidRPr="00EC250C">
        <w:rPr>
          <w:bdr w:val="none" w:sz="0" w:space="0" w:color="auto" w:frame="1"/>
        </w:rPr>
        <w:t>strefach płatnego parkowania mają wymusić większą rotację</w:t>
      </w:r>
      <w:r w:rsidR="00992FD0" w:rsidRPr="00EC250C">
        <w:rPr>
          <w:bdr w:val="none" w:sz="0" w:space="0" w:color="auto" w:frame="1"/>
        </w:rPr>
        <w:t xml:space="preserve"> i </w:t>
      </w:r>
      <w:r w:rsidRPr="00EC250C">
        <w:rPr>
          <w:bdr w:val="none" w:sz="0" w:space="0" w:color="auto" w:frame="1"/>
        </w:rPr>
        <w:t>ograniczyć ruch</w:t>
      </w:r>
      <w:r w:rsidR="00992FD0" w:rsidRPr="00EC250C">
        <w:rPr>
          <w:bdr w:val="none" w:sz="0" w:space="0" w:color="auto" w:frame="1"/>
        </w:rPr>
        <w:t xml:space="preserve"> w </w:t>
      </w:r>
      <w:r w:rsidRPr="00EC250C">
        <w:rPr>
          <w:bdr w:val="none" w:sz="0" w:space="0" w:color="auto" w:frame="1"/>
        </w:rPr>
        <w:t>centrach miast. Co jednak</w:t>
      </w:r>
      <w:r w:rsidR="00992FD0" w:rsidRPr="00EC250C">
        <w:rPr>
          <w:bdr w:val="none" w:sz="0" w:space="0" w:color="auto" w:frame="1"/>
        </w:rPr>
        <w:t xml:space="preserve"> w </w:t>
      </w:r>
      <w:r w:rsidRPr="00EC250C">
        <w:rPr>
          <w:bdr w:val="none" w:sz="0" w:space="0" w:color="auto" w:frame="1"/>
        </w:rPr>
        <w:t xml:space="preserve">sytuacji, gdy jesteśmy mieszkańcami tych centrów? Wówczas </w:t>
      </w:r>
      <w:r w:rsidRPr="00EC250C">
        <w:rPr>
          <w:bdr w:val="none" w:sz="0" w:space="0" w:color="auto" w:frame="1"/>
        </w:rPr>
        <w:lastRenderedPageBreak/>
        <w:t xml:space="preserve">samorządy wprowadzają zwykle możliwość wykupu tańszego „abonamentu mieszkańca”, dzięki czemu opłaty nie są tak dotkliwe dla kieszeni. Do </w:t>
      </w:r>
      <w:r w:rsidR="00073A8C" w:rsidRPr="00EC250C">
        <w:rPr>
          <w:bdr w:val="none" w:sz="0" w:space="0" w:color="auto" w:frame="1"/>
        </w:rPr>
        <w:t>RPO</w:t>
      </w:r>
      <w:r w:rsidRPr="00EC250C">
        <w:rPr>
          <w:bdr w:val="none" w:sz="0" w:space="0" w:color="auto" w:frame="1"/>
        </w:rPr>
        <w:t xml:space="preserve"> trafiły skargi związane</w:t>
      </w:r>
      <w:r w:rsidR="00992FD0" w:rsidRPr="00EC250C">
        <w:rPr>
          <w:bdr w:val="none" w:sz="0" w:space="0" w:color="auto" w:frame="1"/>
        </w:rPr>
        <w:t xml:space="preserve"> z </w:t>
      </w:r>
      <w:r w:rsidRPr="00EC250C">
        <w:rPr>
          <w:bdr w:val="none" w:sz="0" w:space="0" w:color="auto" w:frame="1"/>
        </w:rPr>
        <w:t>uzależnieniem prawa mieszkańca strefy płatnego parkowania do abonamentu (i tym samym tańszego parkowania) od konkretnego tytułu prawnego do użytkowanego pojazdu. Rzecznik uznał takie zróżnicowanie za nieuzasadnione</w:t>
      </w:r>
      <w:r w:rsidR="00992FD0" w:rsidRPr="00EC250C">
        <w:rPr>
          <w:bdr w:val="none" w:sz="0" w:space="0" w:color="auto" w:frame="1"/>
        </w:rPr>
        <w:t xml:space="preserve"> i </w:t>
      </w:r>
      <w:r w:rsidRPr="00EC250C">
        <w:rPr>
          <w:bdr w:val="none" w:sz="0" w:space="0" w:color="auto" w:frame="1"/>
        </w:rPr>
        <w:t>po analizie lokalnych uchwał zaskarżył dwie</w:t>
      </w:r>
      <w:r w:rsidR="00992FD0" w:rsidRPr="00EC250C">
        <w:rPr>
          <w:bdr w:val="none" w:sz="0" w:space="0" w:color="auto" w:frame="1"/>
        </w:rPr>
        <w:t xml:space="preserve"> z </w:t>
      </w:r>
      <w:r w:rsidRPr="00EC250C">
        <w:rPr>
          <w:bdr w:val="none" w:sz="0" w:space="0" w:color="auto" w:frame="1"/>
        </w:rPr>
        <w:t>nich: dotyczącą Nysy</w:t>
      </w:r>
      <w:r w:rsidR="00992FD0" w:rsidRPr="00EC250C">
        <w:rPr>
          <w:bdr w:val="none" w:sz="0" w:space="0" w:color="auto" w:frame="1"/>
        </w:rPr>
        <w:t xml:space="preserve"> i </w:t>
      </w:r>
      <w:r w:rsidRPr="00EC250C">
        <w:rPr>
          <w:bdr w:val="none" w:sz="0" w:space="0" w:color="auto" w:frame="1"/>
        </w:rPr>
        <w:t>obowiązującą</w:t>
      </w:r>
      <w:r w:rsidR="00992FD0" w:rsidRPr="00EC250C">
        <w:rPr>
          <w:bdr w:val="none" w:sz="0" w:space="0" w:color="auto" w:frame="1"/>
        </w:rPr>
        <w:t xml:space="preserve"> w </w:t>
      </w:r>
      <w:r w:rsidRPr="00EC250C">
        <w:rPr>
          <w:bdr w:val="none" w:sz="0" w:space="0" w:color="auto" w:frame="1"/>
        </w:rPr>
        <w:t>Krakowie.</w:t>
      </w:r>
    </w:p>
    <w:p w14:paraId="71B6DEDB" w14:textId="77777777" w:rsidR="00F3140B" w:rsidRPr="00EC250C" w:rsidRDefault="00B04745" w:rsidP="00D131FA">
      <w:pPr>
        <w:pStyle w:val="Styl1"/>
        <w:rPr>
          <w:lang w:eastAsia="en-US"/>
        </w:rPr>
      </w:pPr>
      <w:r w:rsidRPr="00EC250C">
        <w:rPr>
          <w:bdr w:val="none" w:sz="0" w:space="0" w:color="auto" w:frame="1"/>
        </w:rPr>
        <w:t>RPO</w:t>
      </w:r>
      <w:r w:rsidR="00F3140B" w:rsidRPr="00EC250C">
        <w:rPr>
          <w:bdr w:val="none" w:sz="0" w:space="0" w:color="auto" w:frame="1"/>
        </w:rPr>
        <w:t xml:space="preserve"> zaskarżył te przepisy jako naruszające konstytucyjną zasadę równości wobec prawa</w:t>
      </w:r>
      <w:r w:rsidR="00F3140B" w:rsidRPr="00EC250C">
        <w:rPr>
          <w:rStyle w:val="Odwoanieprzypisudolnego"/>
        </w:rPr>
        <w:footnoteReference w:id="23"/>
      </w:r>
      <w:r w:rsidR="00F3140B" w:rsidRPr="00EC250C">
        <w:rPr>
          <w:bdr w:val="none" w:sz="0" w:space="0" w:color="auto" w:frame="1"/>
        </w:rPr>
        <w:t>.</w:t>
      </w:r>
      <w:r w:rsidR="00F3140B" w:rsidRPr="00EC250C">
        <w:t xml:space="preserve"> </w:t>
      </w:r>
      <w:r w:rsidR="00F3140B" w:rsidRPr="00EC250C">
        <w:rPr>
          <w:bdr w:val="none" w:sz="0" w:space="0" w:color="auto" w:frame="1"/>
        </w:rPr>
        <w:t>WSA</w:t>
      </w:r>
      <w:r w:rsidR="00992FD0" w:rsidRPr="00EC250C">
        <w:rPr>
          <w:bdr w:val="none" w:sz="0" w:space="0" w:color="auto" w:frame="1"/>
        </w:rPr>
        <w:t xml:space="preserve"> w </w:t>
      </w:r>
      <w:r w:rsidR="00F3140B" w:rsidRPr="00EC250C">
        <w:rPr>
          <w:bdr w:val="none" w:sz="0" w:space="0" w:color="auto" w:frame="1"/>
        </w:rPr>
        <w:t>Opolu oddalił skargę RPO na uchwałę Rady Nysy, dlatego Rzecznik złożył skargę kasacyjną do Naczelnego Sądu Administracyjnego</w:t>
      </w:r>
      <w:r w:rsidR="002A1F05" w:rsidRPr="00EC250C">
        <w:rPr>
          <w:bdr w:val="none" w:sz="0" w:space="0" w:color="auto" w:frame="1"/>
        </w:rPr>
        <w:t>.</w:t>
      </w:r>
      <w:r w:rsidR="00F3140B" w:rsidRPr="00EC250C">
        <w:rPr>
          <w:bdr w:val="none" w:sz="0" w:space="0" w:color="auto" w:frame="1"/>
        </w:rPr>
        <w:t xml:space="preserve"> Z kolei</w:t>
      </w:r>
      <w:r w:rsidR="00992FD0" w:rsidRPr="00EC250C">
        <w:rPr>
          <w:bdr w:val="none" w:sz="0" w:space="0" w:color="auto" w:frame="1"/>
        </w:rPr>
        <w:t xml:space="preserve"> w </w:t>
      </w:r>
      <w:r w:rsidR="00F3140B" w:rsidRPr="00EC250C">
        <w:rPr>
          <w:bdr w:val="none" w:sz="0" w:space="0" w:color="auto" w:frame="1"/>
        </w:rPr>
        <w:t>styczniu 2019 roku Wojewódzki Sąd Administracyjny</w:t>
      </w:r>
      <w:r w:rsidR="00992FD0" w:rsidRPr="00EC250C">
        <w:rPr>
          <w:bdr w:val="none" w:sz="0" w:space="0" w:color="auto" w:frame="1"/>
        </w:rPr>
        <w:t xml:space="preserve"> w </w:t>
      </w:r>
      <w:r w:rsidR="00F3140B" w:rsidRPr="00EC250C">
        <w:rPr>
          <w:bdr w:val="none" w:sz="0" w:space="0" w:color="auto" w:frame="1"/>
        </w:rPr>
        <w:t>Krakowie stwierdził nieważność zapisów zawartych</w:t>
      </w:r>
      <w:r w:rsidR="00992FD0" w:rsidRPr="00EC250C">
        <w:rPr>
          <w:bdr w:val="none" w:sz="0" w:space="0" w:color="auto" w:frame="1"/>
        </w:rPr>
        <w:t xml:space="preserve"> w </w:t>
      </w:r>
      <w:r w:rsidR="00F3140B" w:rsidRPr="00EC250C">
        <w:rPr>
          <w:bdr w:val="none" w:sz="0" w:space="0" w:color="auto" w:frame="1"/>
        </w:rPr>
        <w:t>uchwale Rady Miasta Krakowa.</w:t>
      </w:r>
    </w:p>
    <w:p w14:paraId="0F906EC6" w14:textId="77777777" w:rsidR="00A11DAD" w:rsidRPr="00EC250C" w:rsidRDefault="00A11DAD" w:rsidP="00D131FA">
      <w:pPr>
        <w:spacing w:after="200" w:line="24" w:lineRule="auto"/>
        <w:jc w:val="both"/>
        <w:rPr>
          <w:b/>
          <w:bCs/>
          <w:color w:val="044892"/>
          <w:sz w:val="24"/>
        </w:rPr>
      </w:pPr>
      <w:r w:rsidRPr="00EC250C">
        <w:rPr>
          <w:b/>
          <w:bCs/>
          <w:color w:val="044892"/>
          <w:sz w:val="24"/>
        </w:rPr>
        <w:br w:type="page"/>
      </w:r>
    </w:p>
    <w:p w14:paraId="32F6551B" w14:textId="77777777" w:rsidR="00C91F6E" w:rsidRPr="00EC250C" w:rsidRDefault="006403F2" w:rsidP="00EC250C">
      <w:pPr>
        <w:pStyle w:val="Nagwek3"/>
      </w:pPr>
      <w:bookmarkStart w:id="49" w:name="_Toc6257642"/>
      <w:bookmarkStart w:id="50" w:name="_Toc11247544"/>
      <w:r w:rsidRPr="00EC250C">
        <w:lastRenderedPageBreak/>
        <w:t xml:space="preserve">Art. 32 ust. 2 </w:t>
      </w:r>
      <w:r w:rsidR="00FD3AE2" w:rsidRPr="00EC250C">
        <w:t xml:space="preserve">Konstytucji </w:t>
      </w:r>
      <w:r w:rsidRPr="00EC250C">
        <w:t>– Za</w:t>
      </w:r>
      <w:r w:rsidR="00A74CAC" w:rsidRPr="00EC250C">
        <w:t>kaz</w:t>
      </w:r>
      <w:r w:rsidRPr="00EC250C">
        <w:t xml:space="preserve"> </w:t>
      </w:r>
      <w:r w:rsidR="00A74CAC" w:rsidRPr="00EC250C">
        <w:t>dyskryminacji</w:t>
      </w:r>
      <w:bookmarkEnd w:id="49"/>
      <w:bookmarkEnd w:id="50"/>
    </w:p>
    <w:p w14:paraId="2F2BC8F9" w14:textId="77777777" w:rsidR="006403F2" w:rsidRPr="00EC250C" w:rsidRDefault="006403F2" w:rsidP="00D131FA">
      <w:pPr>
        <w:pStyle w:val="konstytucja"/>
        <w:jc w:val="both"/>
      </w:pPr>
      <w:r w:rsidRPr="00EC250C">
        <w:t>Nikt nie może być dyskryminowany</w:t>
      </w:r>
      <w:r w:rsidR="00992FD0" w:rsidRPr="00EC250C">
        <w:t xml:space="preserve"> w </w:t>
      </w:r>
      <w:r w:rsidRPr="00EC250C">
        <w:t>życiu politycznym, społecznym lub gospodarczym</w:t>
      </w:r>
      <w:r w:rsidR="00992FD0" w:rsidRPr="00EC250C">
        <w:t xml:space="preserve"> z </w:t>
      </w:r>
      <w:r w:rsidRPr="00EC250C">
        <w:t>jakiejkolwiek przyczyny.</w:t>
      </w:r>
    </w:p>
    <w:p w14:paraId="3DC9BBF8" w14:textId="77777777" w:rsidR="00DC01AC" w:rsidRPr="00EC250C" w:rsidRDefault="00DC01AC" w:rsidP="00D131FA">
      <w:pPr>
        <w:pStyle w:val="ComwiKonstytucja"/>
      </w:pPr>
      <w:r w:rsidRPr="00EC250C">
        <w:t>Konstytucja zakazuje dyskryminacji</w:t>
      </w:r>
      <w:r w:rsidR="00992FD0" w:rsidRPr="00EC250C">
        <w:t xml:space="preserve"> z </w:t>
      </w:r>
      <w:r w:rsidRPr="00EC250C">
        <w:t>jakiejkolwiek przyczyny. Zakaz dyskryminacji jest konsekwencją</w:t>
      </w:r>
      <w:r w:rsidR="00992FD0" w:rsidRPr="00EC250C">
        <w:t xml:space="preserve"> i </w:t>
      </w:r>
      <w:r w:rsidRPr="00EC250C">
        <w:t>logicznym następstwem zasady równości.</w:t>
      </w:r>
    </w:p>
    <w:p w14:paraId="7F3CE5D1" w14:textId="77777777" w:rsidR="00C91F6E" w:rsidRPr="00EC250C" w:rsidRDefault="00DC01AC" w:rsidP="00D131FA">
      <w:pPr>
        <w:pStyle w:val="ComwiKonstytucja"/>
      </w:pPr>
      <w:r w:rsidRPr="00EC250C">
        <w:t>Dyskryminacja to gorsze traktowanie ze względu na cechę osobistą. Do najczęściej wymienianych przesłanek dyskryminacji zalicza się płeć, rasę, pochodzenie etniczne, narodowość, religię, wyznanie, światopogląd, niepełnosprawność, wiek, orientację seksualną lub tożsamość płciową, ale mogą do nich należeć także inne cechy osobiste jak np. pochodzenie społeczne czy status materialny.</w:t>
      </w:r>
    </w:p>
    <w:p w14:paraId="5E498320" w14:textId="77777777" w:rsidR="00DC01AC" w:rsidRPr="00EC250C" w:rsidRDefault="00DC01AC" w:rsidP="00D131FA">
      <w:pPr>
        <w:pStyle w:val="ComwiKonstytucja"/>
      </w:pPr>
      <w:r w:rsidRPr="00EC250C">
        <w:t>Niedopuszczalne jest, by organy władzy publicznej odstępowały od zakazu dyskryminacji.</w:t>
      </w:r>
    </w:p>
    <w:p w14:paraId="45385ABC" w14:textId="77777777" w:rsidR="00C91F6E" w:rsidRPr="00EC250C" w:rsidRDefault="00DC01AC" w:rsidP="00D131FA">
      <w:pPr>
        <w:pStyle w:val="ComwiKonstytucja"/>
      </w:pPr>
      <w:r w:rsidRPr="00EC250C">
        <w:t>Żeby ustalić, czy mamy do czynienia</w:t>
      </w:r>
      <w:r w:rsidR="00992FD0" w:rsidRPr="00EC250C">
        <w:t xml:space="preserve"> z </w:t>
      </w:r>
      <w:r w:rsidRPr="00EC250C">
        <w:t>dyskryminacją, musimy zbadać, czy rzeczywiście dwa podmioty zostały różnie potraktowane. Jeśli tak, to dlaczego: czy powodem była konkretna cecha danej osoby (to jest dyskryminacja) czy też inne przyczyny</w:t>
      </w:r>
      <w:r w:rsidR="009C73F6" w:rsidRPr="00EC250C">
        <w:t>.</w:t>
      </w:r>
    </w:p>
    <w:p w14:paraId="1DFDBEA8" w14:textId="77777777" w:rsidR="00C91F6E" w:rsidRPr="00EC250C" w:rsidRDefault="00DC01AC" w:rsidP="00D131FA">
      <w:pPr>
        <w:pStyle w:val="ComwiKonstytucja"/>
      </w:pPr>
      <w:r w:rsidRPr="00EC250C">
        <w:t>Standard ochrony prawnej przed dyskryminacją wynika</w:t>
      </w:r>
      <w:r w:rsidR="00992FD0" w:rsidRPr="00EC250C">
        <w:t xml:space="preserve"> z </w:t>
      </w:r>
      <w:r w:rsidRPr="00EC250C">
        <w:t>aktów prawa międzynarodowego</w:t>
      </w:r>
      <w:r w:rsidR="00992FD0" w:rsidRPr="00EC250C">
        <w:t xml:space="preserve"> i </w:t>
      </w:r>
      <w:r w:rsidRPr="00EC250C">
        <w:t>europejskiego. Na gruncie prawa polskiego podstawowe znaczenie mają regulacje Kodeksu pracy oraz ustawy</w:t>
      </w:r>
      <w:r w:rsidR="00992FD0" w:rsidRPr="00EC250C">
        <w:t xml:space="preserve"> o </w:t>
      </w:r>
      <w:r w:rsidRPr="00EC250C">
        <w:t>wdrożeniu niektórych przepisów Unii Europejskiej</w:t>
      </w:r>
      <w:r w:rsidR="00992FD0" w:rsidRPr="00EC250C">
        <w:t xml:space="preserve"> w </w:t>
      </w:r>
      <w:r w:rsidRPr="00EC250C">
        <w:t>zakresie równego traktowania.</w:t>
      </w:r>
    </w:p>
    <w:p w14:paraId="2A87FD23" w14:textId="77777777" w:rsidR="00992629" w:rsidRPr="00EC250C" w:rsidRDefault="00DC01AC" w:rsidP="00D131FA">
      <w:pPr>
        <w:pStyle w:val="ComwiKonstytucja"/>
      </w:pPr>
      <w:r w:rsidRPr="00EC250C">
        <w:t xml:space="preserve">W ocenie </w:t>
      </w:r>
      <w:r w:rsidR="00073A8C" w:rsidRPr="00EC250C">
        <w:t>RPO</w:t>
      </w:r>
      <w:r w:rsidRPr="00EC250C">
        <w:t xml:space="preserve"> – niezależnego organu ds. równego traktowania – środki ochrony prawnej przed dyskryminacją są</w:t>
      </w:r>
      <w:r w:rsidR="00992FD0" w:rsidRPr="00EC250C">
        <w:t xml:space="preserve"> w </w:t>
      </w:r>
      <w:r w:rsidRPr="00EC250C">
        <w:t>Polsce niewystarczające.</w:t>
      </w:r>
    </w:p>
    <w:p w14:paraId="3E06F3D8" w14:textId="77777777" w:rsidR="00EE09AA" w:rsidRPr="00EC250C" w:rsidRDefault="00EE09AA" w:rsidP="00D131FA">
      <w:pPr>
        <w:pStyle w:val="ComwiKonstytucja"/>
      </w:pPr>
    </w:p>
    <w:p w14:paraId="2BC56DED" w14:textId="77777777" w:rsidR="00DC01AC" w:rsidRPr="00EC250C" w:rsidRDefault="00DC01AC" w:rsidP="00D131FA">
      <w:pPr>
        <w:spacing w:after="200" w:line="24" w:lineRule="auto"/>
        <w:jc w:val="both"/>
        <w:rPr>
          <w:i/>
          <w:spacing w:val="5"/>
          <w:sz w:val="22"/>
        </w:rPr>
      </w:pPr>
      <w:r w:rsidRPr="00EC250C">
        <w:rPr>
          <w:sz w:val="24"/>
        </w:rPr>
        <w:br w:type="page"/>
      </w:r>
    </w:p>
    <w:p w14:paraId="5016E960" w14:textId="77777777" w:rsidR="00DC75D8" w:rsidRPr="00EC250C" w:rsidRDefault="0029783D" w:rsidP="00EC79EB">
      <w:pPr>
        <w:pStyle w:val="Nagwek4"/>
        <w:rPr>
          <w:bdr w:val="none" w:sz="0" w:space="0" w:color="auto" w:frame="1"/>
        </w:rPr>
      </w:pPr>
      <w:bookmarkStart w:id="51" w:name="_Toc11247545"/>
      <w:bookmarkStart w:id="52" w:name="_Toc6257643"/>
      <w:r w:rsidRPr="00EC250C">
        <w:rPr>
          <w:bdr w:val="none" w:sz="0" w:space="0" w:color="auto" w:frame="1"/>
        </w:rPr>
        <w:lastRenderedPageBreak/>
        <w:t>Polacy nieświadomi dyskryminacji</w:t>
      </w:r>
      <w:bookmarkEnd w:id="51"/>
    </w:p>
    <w:p w14:paraId="1A03DE45" w14:textId="77777777" w:rsidR="00B473F5" w:rsidRPr="00EC250C" w:rsidRDefault="00DC75D8" w:rsidP="00D131FA">
      <w:pPr>
        <w:pStyle w:val="Problemczowieka"/>
        <w:jc w:val="both"/>
        <w:rPr>
          <w:bdr w:val="none" w:sz="0" w:space="0" w:color="auto" w:frame="1"/>
        </w:rPr>
      </w:pPr>
      <w:r w:rsidRPr="00EC250C">
        <w:rPr>
          <w:bdr w:val="none" w:sz="0" w:space="0" w:color="auto" w:frame="1"/>
        </w:rPr>
        <w:t>Tylko trzech na stu Polaków uważa</w:t>
      </w:r>
      <w:r w:rsidR="0029783D" w:rsidRPr="00EC250C">
        <w:rPr>
          <w:bdr w:val="none" w:sz="0" w:space="0" w:color="auto" w:frame="1"/>
        </w:rPr>
        <w:t>ło</w:t>
      </w:r>
      <w:r w:rsidR="00992FD0" w:rsidRPr="00EC250C">
        <w:rPr>
          <w:bdr w:val="none" w:sz="0" w:space="0" w:color="auto" w:frame="1"/>
        </w:rPr>
        <w:t xml:space="preserve"> w </w:t>
      </w:r>
      <w:r w:rsidR="0029783D" w:rsidRPr="00EC250C">
        <w:rPr>
          <w:bdr w:val="none" w:sz="0" w:space="0" w:color="auto" w:frame="1"/>
        </w:rPr>
        <w:t>2018</w:t>
      </w:r>
      <w:r w:rsidR="00C91F6E" w:rsidRPr="00EC250C">
        <w:rPr>
          <w:bdr w:val="none" w:sz="0" w:space="0" w:color="auto" w:frame="1"/>
        </w:rPr>
        <w:t> r.</w:t>
      </w:r>
      <w:r w:rsidRPr="00EC250C">
        <w:rPr>
          <w:bdr w:val="none" w:sz="0" w:space="0" w:color="auto" w:frame="1"/>
        </w:rPr>
        <w:t>, że doświadczyło dyskryminacji,</w:t>
      </w:r>
      <w:r w:rsidR="00992FD0" w:rsidRPr="00EC250C">
        <w:rPr>
          <w:bdr w:val="none" w:sz="0" w:space="0" w:color="auto" w:frame="1"/>
        </w:rPr>
        <w:t xml:space="preserve"> a </w:t>
      </w:r>
      <w:r w:rsidRPr="00EC250C">
        <w:rPr>
          <w:bdr w:val="none" w:sz="0" w:space="0" w:color="auto" w:frame="1"/>
        </w:rPr>
        <w:t>dwóch na stu</w:t>
      </w:r>
      <w:r w:rsidR="00026572" w:rsidRPr="00EC250C">
        <w:rPr>
          <w:bdr w:val="none" w:sz="0" w:space="0" w:color="auto" w:frame="1"/>
        </w:rPr>
        <w:t xml:space="preserve"> – </w:t>
      </w:r>
      <w:r w:rsidRPr="00EC250C">
        <w:rPr>
          <w:bdr w:val="none" w:sz="0" w:space="0" w:color="auto" w:frame="1"/>
        </w:rPr>
        <w:t>dobrze zna osoby dyskryminowane. Co piąty Polak nie widzi jednak dyskryminacji</w:t>
      </w:r>
      <w:r w:rsidR="00992FD0" w:rsidRPr="00EC250C">
        <w:rPr>
          <w:bdr w:val="none" w:sz="0" w:space="0" w:color="auto" w:frame="1"/>
        </w:rPr>
        <w:t xml:space="preserve"> w </w:t>
      </w:r>
      <w:r w:rsidRPr="00EC250C">
        <w:rPr>
          <w:bdr w:val="none" w:sz="0" w:space="0" w:color="auto" w:frame="1"/>
        </w:rPr>
        <w:t>wyproszeniu matki karmiącej</w:t>
      </w:r>
      <w:r w:rsidR="00992FD0" w:rsidRPr="00EC250C">
        <w:rPr>
          <w:bdr w:val="none" w:sz="0" w:space="0" w:color="auto" w:frame="1"/>
        </w:rPr>
        <w:t xml:space="preserve"> z </w:t>
      </w:r>
      <w:r w:rsidRPr="00EC250C">
        <w:rPr>
          <w:bdr w:val="none" w:sz="0" w:space="0" w:color="auto" w:frame="1"/>
        </w:rPr>
        <w:t>restauracji,</w:t>
      </w:r>
      <w:r w:rsidR="00992FD0" w:rsidRPr="00EC250C">
        <w:rPr>
          <w:bdr w:val="none" w:sz="0" w:space="0" w:color="auto" w:frame="1"/>
        </w:rPr>
        <w:t xml:space="preserve"> a </w:t>
      </w:r>
      <w:r w:rsidRPr="00EC250C">
        <w:rPr>
          <w:bdr w:val="none" w:sz="0" w:space="0" w:color="auto" w:frame="1"/>
        </w:rPr>
        <w:t>co trzeci –</w:t>
      </w:r>
      <w:r w:rsidR="00992FD0" w:rsidRPr="00EC250C">
        <w:rPr>
          <w:bdr w:val="none" w:sz="0" w:space="0" w:color="auto" w:frame="1"/>
        </w:rPr>
        <w:t xml:space="preserve"> w </w:t>
      </w:r>
      <w:r w:rsidRPr="00EC250C">
        <w:rPr>
          <w:bdr w:val="none" w:sz="0" w:space="0" w:color="auto" w:frame="1"/>
        </w:rPr>
        <w:t>tym, że młodemu ojcu odmawia się urlopu ojcowskiego</w:t>
      </w:r>
      <w:r w:rsidR="00B473F5" w:rsidRPr="00EC250C">
        <w:rPr>
          <w:bdr w:val="none" w:sz="0" w:space="0" w:color="auto" w:frame="1"/>
        </w:rPr>
        <w:t>.</w:t>
      </w:r>
    </w:p>
    <w:p w14:paraId="2172C11A" w14:textId="77777777" w:rsidR="00C91F6E" w:rsidRPr="00EC250C" w:rsidRDefault="00DC75D8" w:rsidP="00D131FA">
      <w:pPr>
        <w:pStyle w:val="Styl1"/>
        <w:rPr>
          <w:bdr w:val="none" w:sz="0" w:space="0" w:color="auto" w:frame="1"/>
        </w:rPr>
      </w:pPr>
      <w:r w:rsidRPr="00EC250C">
        <w:rPr>
          <w:bdr w:val="none" w:sz="0" w:space="0" w:color="auto" w:frame="1"/>
        </w:rPr>
        <w:t>Większość Polaków twierdzi, że nie jest narażona na dyskryminację. Ale czy wiemy, czym jest dyskryminacja? Raczej nie – wynika</w:t>
      </w:r>
      <w:r w:rsidR="00992FD0" w:rsidRPr="00EC250C">
        <w:rPr>
          <w:bdr w:val="none" w:sz="0" w:space="0" w:color="auto" w:frame="1"/>
        </w:rPr>
        <w:t xml:space="preserve"> z </w:t>
      </w:r>
      <w:r w:rsidRPr="00EC250C">
        <w:rPr>
          <w:bdr w:val="none" w:sz="0" w:space="0" w:color="auto" w:frame="1"/>
        </w:rPr>
        <w:t>badań przeprowadzonych</w:t>
      </w:r>
      <w:r w:rsidR="00992FD0" w:rsidRPr="00EC250C">
        <w:rPr>
          <w:bdr w:val="none" w:sz="0" w:space="0" w:color="auto" w:frame="1"/>
        </w:rPr>
        <w:t xml:space="preserve"> w </w:t>
      </w:r>
      <w:r w:rsidRPr="00EC250C">
        <w:rPr>
          <w:bdr w:val="none" w:sz="0" w:space="0" w:color="auto" w:frame="1"/>
        </w:rPr>
        <w:t>2018</w:t>
      </w:r>
      <w:r w:rsidR="00C91F6E" w:rsidRPr="00EC250C">
        <w:rPr>
          <w:bdr w:val="none" w:sz="0" w:space="0" w:color="auto" w:frame="1"/>
        </w:rPr>
        <w:t> r.</w:t>
      </w:r>
      <w:r w:rsidRPr="00EC250C">
        <w:rPr>
          <w:bdr w:val="none" w:sz="0" w:space="0" w:color="auto" w:frame="1"/>
        </w:rPr>
        <w:t xml:space="preserve"> na zlecenie Rzecznika Praw Obywatelskich przez Kantar Public.</w:t>
      </w:r>
    </w:p>
    <w:p w14:paraId="4A66D996" w14:textId="77777777" w:rsidR="00DC75D8" w:rsidRPr="00EC250C" w:rsidRDefault="00DC75D8" w:rsidP="00D131FA">
      <w:pPr>
        <w:pStyle w:val="Styl1"/>
      </w:pPr>
      <w:r w:rsidRPr="00EC250C">
        <w:t>Badacze sprawdzili to, zadając ankietowanym 15 pytań</w:t>
      </w:r>
      <w:r w:rsidR="00992FD0" w:rsidRPr="00EC250C">
        <w:t xml:space="preserve"> o </w:t>
      </w:r>
      <w:r w:rsidRPr="00EC250C">
        <w:t>konkretne sytuacje. 13</w:t>
      </w:r>
      <w:r w:rsidR="00992FD0" w:rsidRPr="00EC250C">
        <w:t xml:space="preserve"> z </w:t>
      </w:r>
      <w:r w:rsidRPr="00EC250C">
        <w:t>nich opisuje zdarzenia, które są przejawem dyskryminacji. Jedno pytanie jest podchwytliwe,</w:t>
      </w:r>
      <w:r w:rsidR="00992FD0" w:rsidRPr="00EC250C">
        <w:t xml:space="preserve"> a </w:t>
      </w:r>
      <w:r w:rsidRPr="00EC250C">
        <w:t>jedno opisuje sytuację, która na pewno nie jest dyskryminacją.</w:t>
      </w:r>
    </w:p>
    <w:p w14:paraId="66B632D8" w14:textId="77777777" w:rsidR="00DC75D8" w:rsidRPr="00EC250C" w:rsidRDefault="00DC75D8" w:rsidP="00D131FA">
      <w:pPr>
        <w:pStyle w:val="Styl1"/>
      </w:pPr>
      <w:r w:rsidRPr="00EC250C">
        <w:t>Okazało się, że stosunkowo wielu</w:t>
      </w:r>
      <w:r w:rsidR="00992FD0" w:rsidRPr="00EC250C">
        <w:t xml:space="preserve"> z </w:t>
      </w:r>
      <w:r w:rsidRPr="00EC250C">
        <w:t>nas</w:t>
      </w:r>
      <w:r w:rsidR="00992FD0" w:rsidRPr="00EC250C">
        <w:t xml:space="preserve"> w </w:t>
      </w:r>
      <w:r w:rsidRPr="00EC250C">
        <w:t>sytuacjach tych nie dostrzega niczego nagannego. Nie widzimy krzywdy ani niesprawiedliwości.</w:t>
      </w:r>
    </w:p>
    <w:p w14:paraId="76C98320" w14:textId="77777777" w:rsidR="00DC75D8" w:rsidRPr="00EC250C" w:rsidRDefault="00DC75D8" w:rsidP="006C70B7">
      <w:pPr>
        <w:pStyle w:val="Styl1"/>
        <w:numPr>
          <w:ilvl w:val="0"/>
          <w:numId w:val="144"/>
        </w:numPr>
      </w:pPr>
      <w:r w:rsidRPr="00EC250C">
        <w:t>Np. co siódmy Polak nie uważa za dyskryminację zwyzywania osoby czarnoskórej</w:t>
      </w:r>
      <w:r w:rsidR="00992FD0" w:rsidRPr="00EC250C">
        <w:t xml:space="preserve"> w </w:t>
      </w:r>
      <w:r w:rsidRPr="00EC250C">
        <w:t>tramwaju, co piąty – sądzi, że nie jest nią wyproszenie</w:t>
      </w:r>
      <w:r w:rsidR="00992FD0" w:rsidRPr="00EC250C">
        <w:t xml:space="preserve"> z </w:t>
      </w:r>
      <w:r w:rsidRPr="00EC250C">
        <w:t>restauracji osoby niewidomej</w:t>
      </w:r>
      <w:r w:rsidR="00992FD0" w:rsidRPr="00EC250C">
        <w:t xml:space="preserve"> z </w:t>
      </w:r>
      <w:r w:rsidRPr="00EC250C">
        <w:t>psem asystującym.</w:t>
      </w:r>
    </w:p>
    <w:p w14:paraId="2BB849BA" w14:textId="77777777" w:rsidR="00DC75D8" w:rsidRPr="00EC250C" w:rsidRDefault="00DC75D8" w:rsidP="006C70B7">
      <w:pPr>
        <w:pStyle w:val="Styl1"/>
        <w:numPr>
          <w:ilvl w:val="0"/>
          <w:numId w:val="144"/>
        </w:numPr>
      </w:pPr>
      <w:r w:rsidRPr="00EC250C">
        <w:t>Dla co czwartego badanego nie jest dyskryminacją odmowa przyjęcia dziecka</w:t>
      </w:r>
      <w:r w:rsidR="00992FD0" w:rsidRPr="00EC250C">
        <w:t xml:space="preserve"> z </w:t>
      </w:r>
      <w:r w:rsidRPr="00EC250C">
        <w:t>zespołem Downa do przedszkola, dla co trzeciego Polaka – zapytanie kandydatki do pracy</w:t>
      </w:r>
      <w:r w:rsidR="00992FD0" w:rsidRPr="00EC250C">
        <w:t xml:space="preserve"> o </w:t>
      </w:r>
      <w:r w:rsidRPr="00EC250C">
        <w:t>„plany rodzinne”.</w:t>
      </w:r>
    </w:p>
    <w:p w14:paraId="57F13C03" w14:textId="77777777" w:rsidR="00DC75D8" w:rsidRPr="00EC250C" w:rsidRDefault="00DC75D8" w:rsidP="006C70B7">
      <w:pPr>
        <w:pStyle w:val="Styl1"/>
        <w:numPr>
          <w:ilvl w:val="0"/>
          <w:numId w:val="144"/>
        </w:numPr>
      </w:pPr>
      <w:r w:rsidRPr="00EC250C">
        <w:t>Do tego co trzeci Polak uważa, że dyskryminacją jest odmowa podania alkoholu osobie nietrzeźwej (a to nie jest dyskryminacja!).</w:t>
      </w:r>
    </w:p>
    <w:p w14:paraId="5C9817F4" w14:textId="77777777" w:rsidR="00DC75D8" w:rsidRPr="00EC250C" w:rsidRDefault="00DC75D8" w:rsidP="00D131FA">
      <w:pPr>
        <w:pStyle w:val="Styl1"/>
      </w:pPr>
      <w:r w:rsidRPr="00EC250C">
        <w:t>Badacze zauważają, że</w:t>
      </w:r>
      <w:r w:rsidR="00992FD0" w:rsidRPr="00EC250C">
        <w:t xml:space="preserve"> w </w:t>
      </w:r>
      <w:r w:rsidRPr="00EC250C">
        <w:t>2015</w:t>
      </w:r>
      <w:r w:rsidR="00992FD0" w:rsidRPr="00EC250C">
        <w:t xml:space="preserve"> i </w:t>
      </w:r>
      <w:r w:rsidRPr="00EC250C">
        <w:t>2016 roku więcej osób</w:t>
      </w:r>
      <w:r w:rsidR="00992FD0" w:rsidRPr="00EC250C">
        <w:t xml:space="preserve"> </w:t>
      </w:r>
      <w:r w:rsidRPr="00EC250C">
        <w:t>niż obecnie</w:t>
      </w:r>
      <w:r w:rsidR="00E8031D" w:rsidRPr="00EC250C">
        <w:t xml:space="preserve"> wiedziało</w:t>
      </w:r>
      <w:r w:rsidRPr="00EC250C">
        <w:t>, że dyskryminacja jest zakazana prawnie na rynku pracy</w:t>
      </w:r>
      <w:r w:rsidR="00992FD0" w:rsidRPr="00EC250C">
        <w:t xml:space="preserve"> i w </w:t>
      </w:r>
      <w:r w:rsidRPr="00EC250C">
        <w:t>usługach.</w:t>
      </w:r>
    </w:p>
    <w:p w14:paraId="51DBD5D0" w14:textId="77777777" w:rsidR="00DC75D8" w:rsidRPr="00EC250C" w:rsidRDefault="00DC75D8" w:rsidP="00D131FA">
      <w:pPr>
        <w:pStyle w:val="Styl1"/>
      </w:pPr>
      <w:r w:rsidRPr="00EC250C">
        <w:t>Widać więc, że podnoszenie świadomości</w:t>
      </w:r>
      <w:r w:rsidR="00992FD0" w:rsidRPr="00EC250C">
        <w:t xml:space="preserve"> w </w:t>
      </w:r>
      <w:r w:rsidRPr="00EC250C">
        <w:t>zakresie równego traktowania</w:t>
      </w:r>
      <w:r w:rsidR="00992FD0" w:rsidRPr="00EC250C">
        <w:t xml:space="preserve"> i </w:t>
      </w:r>
      <w:r w:rsidRPr="00EC250C">
        <w:t>możliwych ścieżek szukania zaprzestania działań dyskryminacyjnych jest ważnym zadaniem organów publicznych. Nie będą mogły ludziom pomóc, jeśli nie wyjaśnią wcześniej, jakie prawa nam wszystkim przysługują</w:t>
      </w:r>
      <w:r w:rsidRPr="00EC250C">
        <w:rPr>
          <w:rStyle w:val="Odwoanieprzypisudolnego"/>
        </w:rPr>
        <w:footnoteReference w:id="24"/>
      </w:r>
      <w:r w:rsidRPr="00EC250C">
        <w:t>.</w:t>
      </w:r>
    </w:p>
    <w:p w14:paraId="79A67529" w14:textId="77777777" w:rsidR="00C91F6E" w:rsidRPr="00EC250C" w:rsidRDefault="00B8780F" w:rsidP="00EC79EB">
      <w:pPr>
        <w:pStyle w:val="Nagwek4"/>
      </w:pPr>
      <w:bookmarkStart w:id="53" w:name="_Toc11247546"/>
      <w:r w:rsidRPr="00EC250C">
        <w:t>Brak e</w:t>
      </w:r>
      <w:r w:rsidR="00CE2887" w:rsidRPr="00EC250C">
        <w:t>dukacj</w:t>
      </w:r>
      <w:r w:rsidRPr="00EC250C">
        <w:t>i</w:t>
      </w:r>
      <w:r w:rsidR="00CE2887" w:rsidRPr="00EC250C">
        <w:t xml:space="preserve"> antydyskryminacyjn</w:t>
      </w:r>
      <w:r w:rsidRPr="00EC250C">
        <w:t>ej</w:t>
      </w:r>
      <w:bookmarkEnd w:id="52"/>
      <w:r w:rsidR="00D55FD3" w:rsidRPr="00EC250C">
        <w:t xml:space="preserve"> – nie uczymy się, jak się bronić</w:t>
      </w:r>
      <w:r w:rsidR="00992FD0" w:rsidRPr="00EC250C">
        <w:t xml:space="preserve"> i </w:t>
      </w:r>
      <w:r w:rsidR="00D55FD3" w:rsidRPr="00EC250C">
        <w:t>jak nie krzywdzić innych</w:t>
      </w:r>
      <w:bookmarkEnd w:id="53"/>
    </w:p>
    <w:p w14:paraId="01E9959E" w14:textId="77777777" w:rsidR="00B473F5" w:rsidRPr="00EC250C" w:rsidRDefault="00CE2887" w:rsidP="00D131FA">
      <w:pPr>
        <w:pStyle w:val="Problemczowieka"/>
        <w:jc w:val="both"/>
        <w:rPr>
          <w:lang w:eastAsia="en-US"/>
        </w:rPr>
      </w:pPr>
      <w:r w:rsidRPr="00EC250C">
        <w:rPr>
          <w:lang w:eastAsia="en-US"/>
        </w:rPr>
        <w:t>O tym, czym jest dyskryminacja</w:t>
      </w:r>
      <w:r w:rsidR="00992FD0" w:rsidRPr="00EC250C">
        <w:rPr>
          <w:lang w:eastAsia="en-US"/>
        </w:rPr>
        <w:t xml:space="preserve"> i </w:t>
      </w:r>
      <w:r w:rsidRPr="00EC250C">
        <w:rPr>
          <w:lang w:eastAsia="en-US"/>
        </w:rPr>
        <w:t>powodowana przez nią krzywda innego człowieka, powinniśmy dowiadywać się</w:t>
      </w:r>
      <w:r w:rsidR="00992FD0" w:rsidRPr="00EC250C">
        <w:rPr>
          <w:lang w:eastAsia="en-US"/>
        </w:rPr>
        <w:t xml:space="preserve"> w </w:t>
      </w:r>
      <w:r w:rsidRPr="00EC250C">
        <w:rPr>
          <w:lang w:eastAsia="en-US"/>
        </w:rPr>
        <w:t>szkole. Niestety, tak się nie dzieje,</w:t>
      </w:r>
      <w:r w:rsidR="00992FD0" w:rsidRPr="00EC250C">
        <w:rPr>
          <w:lang w:eastAsia="en-US"/>
        </w:rPr>
        <w:t xml:space="preserve"> a </w:t>
      </w:r>
      <w:r w:rsidRPr="00EC250C">
        <w:rPr>
          <w:lang w:eastAsia="en-US"/>
        </w:rPr>
        <w:t xml:space="preserve">oddolne, </w:t>
      </w:r>
      <w:r w:rsidRPr="00EC250C">
        <w:rPr>
          <w:lang w:eastAsia="en-US"/>
        </w:rPr>
        <w:lastRenderedPageBreak/>
        <w:t>uczniowskie inicjatywy na rzecz promowania równości</w:t>
      </w:r>
      <w:r w:rsidR="00992FD0" w:rsidRPr="00EC250C">
        <w:rPr>
          <w:lang w:eastAsia="en-US"/>
        </w:rPr>
        <w:t xml:space="preserve"> i </w:t>
      </w:r>
      <w:r w:rsidRPr="00EC250C">
        <w:rPr>
          <w:lang w:eastAsia="en-US"/>
        </w:rPr>
        <w:t>zakazu dyskryminacji spotykały się</w:t>
      </w:r>
      <w:r w:rsidR="00992FD0" w:rsidRPr="00EC250C">
        <w:rPr>
          <w:lang w:eastAsia="en-US"/>
        </w:rPr>
        <w:t xml:space="preserve"> w </w:t>
      </w:r>
      <w:r w:rsidRPr="00EC250C">
        <w:rPr>
          <w:lang w:eastAsia="en-US"/>
        </w:rPr>
        <w:t>2018</w:t>
      </w:r>
      <w:r w:rsidR="00C91F6E" w:rsidRPr="00EC250C">
        <w:rPr>
          <w:lang w:eastAsia="en-US"/>
        </w:rPr>
        <w:t> r.</w:t>
      </w:r>
      <w:r w:rsidR="00992FD0" w:rsidRPr="00EC250C">
        <w:rPr>
          <w:lang w:eastAsia="en-US"/>
        </w:rPr>
        <w:t xml:space="preserve"> z </w:t>
      </w:r>
      <w:r w:rsidRPr="00EC250C">
        <w:rPr>
          <w:lang w:eastAsia="en-US"/>
        </w:rPr>
        <w:t>krytyką władz oświatowych</w:t>
      </w:r>
      <w:r w:rsidR="00B473F5" w:rsidRPr="00EC250C">
        <w:rPr>
          <w:lang w:eastAsia="en-US"/>
        </w:rPr>
        <w:t>.</w:t>
      </w:r>
    </w:p>
    <w:p w14:paraId="791D7B47" w14:textId="77777777" w:rsidR="00305D31" w:rsidRPr="00EC250C" w:rsidRDefault="00CE2887" w:rsidP="00D131FA">
      <w:pPr>
        <w:pStyle w:val="Styl1"/>
      </w:pPr>
      <w:r w:rsidRPr="00EC250C">
        <w:rPr>
          <w:lang w:eastAsia="en-US"/>
        </w:rPr>
        <w:t>Rzecznik Praw Obywatelskich</w:t>
      </w:r>
      <w:r w:rsidR="00992FD0" w:rsidRPr="00EC250C">
        <w:rPr>
          <w:lang w:eastAsia="en-US"/>
        </w:rPr>
        <w:t xml:space="preserve"> z </w:t>
      </w:r>
      <w:r w:rsidRPr="00EC250C">
        <w:rPr>
          <w:lang w:eastAsia="en-US"/>
        </w:rPr>
        <w:t xml:space="preserve">niepokojem przyjął </w:t>
      </w:r>
      <w:r w:rsidR="00FF0196" w:rsidRPr="00EC250C">
        <w:rPr>
          <w:lang w:eastAsia="en-US"/>
        </w:rPr>
        <w:t>więc</w:t>
      </w:r>
      <w:r w:rsidR="00992FD0" w:rsidRPr="00EC250C">
        <w:rPr>
          <w:lang w:eastAsia="en-US"/>
        </w:rPr>
        <w:t xml:space="preserve"> </w:t>
      </w:r>
      <w:r w:rsidR="00591D2A" w:rsidRPr="00EC250C">
        <w:rPr>
          <w:lang w:eastAsia="en-US"/>
        </w:rPr>
        <w:t>informacj</w:t>
      </w:r>
      <w:r w:rsidR="00A74CAC" w:rsidRPr="00EC250C">
        <w:rPr>
          <w:lang w:eastAsia="en-US"/>
        </w:rPr>
        <w:t>e</w:t>
      </w:r>
      <w:r w:rsidR="00992FD0" w:rsidRPr="00EC250C">
        <w:rPr>
          <w:lang w:eastAsia="en-US"/>
        </w:rPr>
        <w:t xml:space="preserve"> o </w:t>
      </w:r>
      <w:r w:rsidRPr="00EC250C">
        <w:rPr>
          <w:lang w:eastAsia="en-US"/>
        </w:rPr>
        <w:t>próbach zniechęcania uczniów</w:t>
      </w:r>
      <w:r w:rsidR="00992FD0" w:rsidRPr="00EC250C">
        <w:rPr>
          <w:lang w:eastAsia="en-US"/>
        </w:rPr>
        <w:t xml:space="preserve"> i </w:t>
      </w:r>
      <w:r w:rsidRPr="00EC250C">
        <w:rPr>
          <w:lang w:eastAsia="en-US"/>
        </w:rPr>
        <w:t>nauczycieli do przedsięwzięć</w:t>
      </w:r>
      <w:r w:rsidR="00FF0196" w:rsidRPr="00EC250C">
        <w:rPr>
          <w:lang w:eastAsia="en-US"/>
        </w:rPr>
        <w:t>, które pozwalają pogłębiać wiedzę na temat praw człowieka</w:t>
      </w:r>
      <w:r w:rsidR="00992FD0" w:rsidRPr="00EC250C">
        <w:rPr>
          <w:lang w:eastAsia="en-US"/>
        </w:rPr>
        <w:t xml:space="preserve"> </w:t>
      </w:r>
      <w:r w:rsidR="00FF0196" w:rsidRPr="00EC250C">
        <w:rPr>
          <w:lang w:eastAsia="en-US"/>
        </w:rPr>
        <w:t xml:space="preserve">oraz podejmować dyskusję dotyczącą istotnych problemów społecznych. Zaniepokoiły go też </w:t>
      </w:r>
      <w:r w:rsidRPr="00EC250C">
        <w:rPr>
          <w:lang w:eastAsia="en-US"/>
        </w:rPr>
        <w:t>wprowadzan</w:t>
      </w:r>
      <w:r w:rsidR="00FF0196" w:rsidRPr="00EC250C">
        <w:rPr>
          <w:lang w:eastAsia="en-US"/>
        </w:rPr>
        <w:t>e</w:t>
      </w:r>
      <w:r w:rsidRPr="00EC250C">
        <w:rPr>
          <w:lang w:eastAsia="en-US"/>
        </w:rPr>
        <w:t xml:space="preserve"> przez władze szkolne zakaz</w:t>
      </w:r>
      <w:r w:rsidR="00FF0196" w:rsidRPr="00EC250C">
        <w:rPr>
          <w:lang w:eastAsia="en-US"/>
        </w:rPr>
        <w:t>y</w:t>
      </w:r>
      <w:r w:rsidRPr="00EC250C">
        <w:rPr>
          <w:lang w:eastAsia="en-US"/>
        </w:rPr>
        <w:t xml:space="preserve"> organizowania takich wydarzeń. </w:t>
      </w:r>
      <w:r w:rsidR="00305D31" w:rsidRPr="00EC250C">
        <w:t>Przykładem jest blokowanie edukacji antydyskryminacyjnej</w:t>
      </w:r>
      <w:r w:rsidR="00992FD0" w:rsidRPr="00EC250C">
        <w:t xml:space="preserve"> w </w:t>
      </w:r>
      <w:r w:rsidR="00305D31" w:rsidRPr="00EC250C">
        <w:t>związku</w:t>
      </w:r>
      <w:r w:rsidR="00992FD0" w:rsidRPr="00EC250C">
        <w:t xml:space="preserve"> z </w:t>
      </w:r>
      <w:r w:rsidR="00305D31" w:rsidRPr="00EC250C">
        <w:t>organizacją 26 października 2018</w:t>
      </w:r>
      <w:r w:rsidR="00C91F6E" w:rsidRPr="00EC250C">
        <w:t> r.</w:t>
      </w:r>
      <w:r w:rsidR="00305D31" w:rsidRPr="00EC250C">
        <w:t xml:space="preserve"> „Tęczowego piątku”</w:t>
      </w:r>
      <w:r w:rsidR="00992FD0" w:rsidRPr="00EC250C">
        <w:t xml:space="preserve"> w </w:t>
      </w:r>
      <w:r w:rsidR="00305D31" w:rsidRPr="00EC250C">
        <w:t>szkołach.</w:t>
      </w:r>
    </w:p>
    <w:p w14:paraId="7B0F4B6D" w14:textId="77777777" w:rsidR="00DD4741" w:rsidRPr="00EC250C" w:rsidRDefault="00DD4741" w:rsidP="00EC250C">
      <w:pPr>
        <w:pStyle w:val="Nagwek8"/>
      </w:pPr>
      <w:r w:rsidRPr="00EC250C">
        <w:t>Przykład liceum</w:t>
      </w:r>
      <w:r w:rsidR="00992FD0" w:rsidRPr="00EC250C">
        <w:t xml:space="preserve"> z </w:t>
      </w:r>
      <w:r w:rsidRPr="00EC250C">
        <w:t>Tarnowskich Gór</w:t>
      </w:r>
    </w:p>
    <w:p w14:paraId="14CD9674" w14:textId="77777777" w:rsidR="009F41AA" w:rsidRPr="00EC250C" w:rsidRDefault="009F41AA" w:rsidP="00D131FA">
      <w:pPr>
        <w:pStyle w:val="Styl2"/>
        <w:spacing w:before="240"/>
        <w:rPr>
          <w:szCs w:val="24"/>
        </w:rPr>
      </w:pPr>
      <w:r w:rsidRPr="00EC250C">
        <w:rPr>
          <w:szCs w:val="24"/>
        </w:rPr>
        <w:t>W liceum</w:t>
      </w:r>
      <w:r w:rsidR="00992FD0" w:rsidRPr="00EC250C">
        <w:rPr>
          <w:szCs w:val="24"/>
        </w:rPr>
        <w:t xml:space="preserve"> w </w:t>
      </w:r>
      <w:r w:rsidRPr="00EC250C">
        <w:rPr>
          <w:szCs w:val="24"/>
        </w:rPr>
        <w:t>Tarnowskich Górach zajęcia odwołano ze względu na kierowane wobec organizatorów ataki słowne, pochwały przemocy wobec przedstawicieli mniejszości seksualnych</w:t>
      </w:r>
      <w:r w:rsidR="00992FD0" w:rsidRPr="00EC250C">
        <w:rPr>
          <w:szCs w:val="24"/>
        </w:rPr>
        <w:t xml:space="preserve"> w </w:t>
      </w:r>
      <w:r w:rsidRPr="00EC250C">
        <w:rPr>
          <w:szCs w:val="24"/>
        </w:rPr>
        <w:t>reżimach nazistowskich</w:t>
      </w:r>
      <w:r w:rsidR="00992FD0" w:rsidRPr="00EC250C">
        <w:rPr>
          <w:szCs w:val="24"/>
        </w:rPr>
        <w:t xml:space="preserve"> i </w:t>
      </w:r>
      <w:r w:rsidRPr="00EC250C">
        <w:rPr>
          <w:szCs w:val="24"/>
        </w:rPr>
        <w:t>komunistycznych oraz groźby przeprowadzenia agresywnych działań</w:t>
      </w:r>
      <w:r w:rsidR="00992FD0" w:rsidRPr="00EC250C">
        <w:rPr>
          <w:szCs w:val="24"/>
        </w:rPr>
        <w:t xml:space="preserve"> w </w:t>
      </w:r>
      <w:r w:rsidRPr="00EC250C">
        <w:rPr>
          <w:szCs w:val="24"/>
        </w:rPr>
        <w:t>otoczeniu szkoły.</w:t>
      </w:r>
    </w:p>
    <w:p w14:paraId="2E118B60" w14:textId="77777777" w:rsidR="00C91F6E" w:rsidRPr="00EC250C" w:rsidRDefault="009F41AA" w:rsidP="00D131FA">
      <w:pPr>
        <w:pStyle w:val="Styl1"/>
      </w:pPr>
      <w:r w:rsidRPr="00EC250C">
        <w:t xml:space="preserve">W ocenie </w:t>
      </w:r>
      <w:r w:rsidR="00C83E0E" w:rsidRPr="00EC250C">
        <w:t xml:space="preserve">RPO </w:t>
      </w:r>
      <w:r w:rsidRPr="00EC250C">
        <w:t>takie zachowania stanowią rażące naruszenie praw uczniów</w:t>
      </w:r>
      <w:r w:rsidR="00992FD0" w:rsidRPr="00EC250C">
        <w:t xml:space="preserve"> i </w:t>
      </w:r>
      <w:r w:rsidRPr="00EC250C">
        <w:t>uczennic oraz godzą</w:t>
      </w:r>
      <w:r w:rsidR="00992FD0" w:rsidRPr="00EC250C">
        <w:t xml:space="preserve"> w </w:t>
      </w:r>
      <w:r w:rsidRPr="00EC250C">
        <w:t>ich poczucie bezpieczeństwa</w:t>
      </w:r>
      <w:r w:rsidR="00992FD0" w:rsidRPr="00EC250C">
        <w:t xml:space="preserve"> w </w:t>
      </w:r>
      <w:r w:rsidRPr="00EC250C">
        <w:t>szkole</w:t>
      </w:r>
      <w:r w:rsidR="00C83E0E" w:rsidRPr="00EC250C">
        <w:t xml:space="preserve">. </w:t>
      </w:r>
      <w:r w:rsidRPr="00EC250C">
        <w:t>Przypomniał</w:t>
      </w:r>
      <w:r w:rsidR="00992FD0" w:rsidRPr="00EC250C">
        <w:t xml:space="preserve"> o </w:t>
      </w:r>
      <w:r w:rsidRPr="00EC250C">
        <w:t>opisywanych</w:t>
      </w:r>
      <w:r w:rsidR="00992FD0" w:rsidRPr="00EC250C">
        <w:t xml:space="preserve"> w </w:t>
      </w:r>
      <w:r w:rsidRPr="00EC250C">
        <w:t>mediach samobójczych śmierciach dwóch chłopców – Dominika</w:t>
      </w:r>
      <w:r w:rsidR="00992FD0" w:rsidRPr="00EC250C">
        <w:t xml:space="preserve"> i </w:t>
      </w:r>
      <w:r w:rsidRPr="00EC250C">
        <w:t>Kacpra. Prześladowanie,</w:t>
      </w:r>
      <w:r w:rsidR="00992FD0" w:rsidRPr="00EC250C">
        <w:t xml:space="preserve"> z </w:t>
      </w:r>
      <w:r w:rsidRPr="00EC250C">
        <w:t>jakim spotkali się</w:t>
      </w:r>
      <w:r w:rsidR="00992FD0" w:rsidRPr="00EC250C">
        <w:t xml:space="preserve"> z </w:t>
      </w:r>
      <w:r w:rsidRPr="00EC250C">
        <w:t>powodu przypisywanej im homoseksualnej orientacji, miało wpływ na decyzję</w:t>
      </w:r>
      <w:r w:rsidR="00992FD0" w:rsidRPr="00EC250C">
        <w:t xml:space="preserve"> o </w:t>
      </w:r>
      <w:r w:rsidRPr="00EC250C">
        <w:t>takim dramatycznym kroku.</w:t>
      </w:r>
    </w:p>
    <w:p w14:paraId="721CB44B" w14:textId="77777777" w:rsidR="00CE2887" w:rsidRPr="00EC250C" w:rsidRDefault="00CE2887" w:rsidP="00D131FA">
      <w:pPr>
        <w:pStyle w:val="Styl1"/>
        <w:rPr>
          <w:rFonts w:eastAsia="Calibri"/>
          <w:szCs w:val="24"/>
        </w:rPr>
      </w:pPr>
      <w:r w:rsidRPr="00EC250C">
        <w:rPr>
          <w:lang w:eastAsia="en-US"/>
        </w:rPr>
        <w:t xml:space="preserve">Minister </w:t>
      </w:r>
      <w:r w:rsidR="00FF0196" w:rsidRPr="00EC250C">
        <w:rPr>
          <w:lang w:eastAsia="en-US"/>
        </w:rPr>
        <w:t>Edukacji Narodowej jest jednak zdania</w:t>
      </w:r>
      <w:r w:rsidRPr="00EC250C">
        <w:rPr>
          <w:lang w:eastAsia="en-US"/>
        </w:rPr>
        <w:t xml:space="preserve">, </w:t>
      </w:r>
      <w:r w:rsidRPr="00EC250C">
        <w:rPr>
          <w:rFonts w:eastAsia="Calibri"/>
          <w:szCs w:val="24"/>
        </w:rPr>
        <w:t xml:space="preserve">że polska polityka oświatowa </w:t>
      </w:r>
      <w:r w:rsidR="00FF0196" w:rsidRPr="00EC250C">
        <w:rPr>
          <w:rFonts w:eastAsia="Calibri"/>
          <w:szCs w:val="24"/>
        </w:rPr>
        <w:t xml:space="preserve">wystarczająco </w:t>
      </w:r>
      <w:r w:rsidRPr="00EC250C">
        <w:rPr>
          <w:rFonts w:eastAsia="Calibri"/>
          <w:szCs w:val="24"/>
        </w:rPr>
        <w:t>kład</w:t>
      </w:r>
      <w:r w:rsidR="00FF0196" w:rsidRPr="00EC250C">
        <w:rPr>
          <w:rFonts w:eastAsia="Calibri"/>
          <w:szCs w:val="24"/>
        </w:rPr>
        <w:t xml:space="preserve">zie </w:t>
      </w:r>
      <w:r w:rsidRPr="00EC250C">
        <w:rPr>
          <w:rFonts w:eastAsia="Calibri"/>
          <w:szCs w:val="24"/>
        </w:rPr>
        <w:t>nacisk na formowanie wśród uczniów postaw otwartości</w:t>
      </w:r>
      <w:r w:rsidR="00992FD0" w:rsidRPr="00EC250C">
        <w:rPr>
          <w:rFonts w:eastAsia="Calibri"/>
          <w:szCs w:val="24"/>
        </w:rPr>
        <w:t xml:space="preserve"> i </w:t>
      </w:r>
      <w:r w:rsidRPr="00EC250C">
        <w:rPr>
          <w:rFonts w:eastAsia="Calibri"/>
          <w:szCs w:val="24"/>
        </w:rPr>
        <w:t>tolerancji,</w:t>
      </w:r>
      <w:r w:rsidR="00992FD0" w:rsidRPr="00EC250C">
        <w:rPr>
          <w:rFonts w:eastAsia="Calibri"/>
          <w:szCs w:val="24"/>
        </w:rPr>
        <w:t xml:space="preserve"> a </w:t>
      </w:r>
      <w:r w:rsidRPr="00EC250C">
        <w:rPr>
          <w:rFonts w:eastAsia="Calibri"/>
          <w:szCs w:val="24"/>
        </w:rPr>
        <w:t xml:space="preserve">także na kształtowanie szacunku dla godności innych ludzi oraz poczucia indywidualnej tożsamości. </w:t>
      </w:r>
      <w:r w:rsidR="00FF0196" w:rsidRPr="00EC250C">
        <w:rPr>
          <w:rFonts w:eastAsia="Calibri"/>
          <w:szCs w:val="24"/>
        </w:rPr>
        <w:t>D</w:t>
      </w:r>
      <w:r w:rsidRPr="00EC250C">
        <w:rPr>
          <w:rFonts w:eastAsia="Calibri"/>
          <w:szCs w:val="24"/>
        </w:rPr>
        <w:t>ziałania kuratorów oświaty</w:t>
      </w:r>
      <w:r w:rsidR="00992FD0" w:rsidRPr="00EC250C">
        <w:rPr>
          <w:rFonts w:eastAsia="Calibri"/>
          <w:szCs w:val="24"/>
        </w:rPr>
        <w:t xml:space="preserve"> w </w:t>
      </w:r>
      <w:r w:rsidRPr="00EC250C">
        <w:rPr>
          <w:rFonts w:eastAsia="Calibri"/>
          <w:szCs w:val="24"/>
        </w:rPr>
        <w:t>związku</w:t>
      </w:r>
      <w:r w:rsidR="00992FD0" w:rsidRPr="00EC250C">
        <w:rPr>
          <w:rFonts w:eastAsia="Calibri"/>
          <w:szCs w:val="24"/>
        </w:rPr>
        <w:t xml:space="preserve"> z </w:t>
      </w:r>
      <w:r w:rsidRPr="00EC250C">
        <w:rPr>
          <w:rFonts w:eastAsia="Calibri"/>
          <w:szCs w:val="24"/>
        </w:rPr>
        <w:t>akcjami organizacji pozarządowych dotyczących równego traktowania</w:t>
      </w:r>
      <w:r w:rsidR="00992FD0" w:rsidRPr="00EC250C">
        <w:rPr>
          <w:rFonts w:eastAsia="Calibri"/>
          <w:szCs w:val="24"/>
        </w:rPr>
        <w:t xml:space="preserve"> i </w:t>
      </w:r>
      <w:r w:rsidRPr="00EC250C">
        <w:rPr>
          <w:rFonts w:eastAsia="Calibri"/>
          <w:szCs w:val="24"/>
        </w:rPr>
        <w:t>niedyskryminacji stanowią formę doraźnego nadzoru pedagogicznego.</w:t>
      </w:r>
    </w:p>
    <w:p w14:paraId="523D99F4" w14:textId="77777777" w:rsidR="00C91F6E" w:rsidRPr="00EC250C" w:rsidRDefault="00073A8C" w:rsidP="00D131FA">
      <w:pPr>
        <w:pStyle w:val="Styl1"/>
      </w:pPr>
      <w:r w:rsidRPr="00EC250C">
        <w:rPr>
          <w:lang w:eastAsia="en-US"/>
        </w:rPr>
        <w:t>RPO</w:t>
      </w:r>
      <w:r w:rsidR="00CE2887" w:rsidRPr="00EC250C">
        <w:rPr>
          <w:lang w:eastAsia="en-US"/>
        </w:rPr>
        <w:t xml:space="preserve"> uznał wyjaśnienia Ministra za niepełne</w:t>
      </w:r>
      <w:r w:rsidR="00992FD0" w:rsidRPr="00EC250C">
        <w:rPr>
          <w:lang w:eastAsia="en-US"/>
        </w:rPr>
        <w:t xml:space="preserve"> i </w:t>
      </w:r>
      <w:r w:rsidR="008E52D9" w:rsidRPr="00EC250C">
        <w:rPr>
          <w:lang w:eastAsia="en-US"/>
        </w:rPr>
        <w:t>zwrócił się</w:t>
      </w:r>
      <w:r w:rsidR="00992FD0" w:rsidRPr="00EC250C">
        <w:rPr>
          <w:lang w:eastAsia="en-US"/>
        </w:rPr>
        <w:t xml:space="preserve"> o </w:t>
      </w:r>
      <w:r w:rsidR="008E52D9" w:rsidRPr="00EC250C">
        <w:rPr>
          <w:lang w:eastAsia="en-US"/>
        </w:rPr>
        <w:t>szczegóły</w:t>
      </w:r>
      <w:r w:rsidR="008E045B" w:rsidRPr="00EC250C">
        <w:rPr>
          <w:rStyle w:val="Odwoanieprzypisudolnego"/>
          <w:bCs/>
          <w:lang w:eastAsia="en-US"/>
        </w:rPr>
        <w:footnoteReference w:id="25"/>
      </w:r>
      <w:r w:rsidR="00CE2887" w:rsidRPr="00EC250C">
        <w:rPr>
          <w:lang w:eastAsia="en-US"/>
        </w:rPr>
        <w:t xml:space="preserve">. </w:t>
      </w:r>
      <w:r w:rsidR="00A74CAC" w:rsidRPr="00EC250C">
        <w:rPr>
          <w:lang w:eastAsia="en-US"/>
        </w:rPr>
        <w:t>Z informacji przekazanych przez kuratorów oświaty wynika, że kontrole wyglądały różnie w różnych województwach – w niektórych, jak na Mazowszu, przeprowadzono ich aż 7, a w innych nie przeprowadzono ich wcale. Wszystkie miały na celu sprawdzenie, czy dyrektorzy szkół, w których Tęczowy Piątek zorganizowano przy współpracy z organizacją pozarządową, spełnili prawny wymóg pozyskania pozytywnej opinii rady rodziców. W czasie niektórych kontroli uznano, że dyrektor miał obowiązek uzyskania zgody każdego rodzica na organizację wydarzenia. Ten, i inne wnioski z odpowiedzi kuratorów, pozostają niepokojące i wymagają dalszych działań Rzecznika.</w:t>
      </w:r>
    </w:p>
    <w:p w14:paraId="20481775" w14:textId="77777777" w:rsidR="00305D31" w:rsidRPr="00EC250C" w:rsidRDefault="00305D31" w:rsidP="00EC250C">
      <w:pPr>
        <w:pStyle w:val="Nagwek8"/>
      </w:pPr>
      <w:r w:rsidRPr="00EC250C">
        <w:lastRenderedPageBreak/>
        <w:t>Czego polska szkoła mogłaby uczyć</w:t>
      </w:r>
      <w:r w:rsidR="00992FD0" w:rsidRPr="00EC250C">
        <w:t xml:space="preserve"> w </w:t>
      </w:r>
      <w:r w:rsidR="00DD4741" w:rsidRPr="00EC250C">
        <w:t>„</w:t>
      </w:r>
      <w:r w:rsidRPr="00EC250C">
        <w:t>Tęczowy piątek"?</w:t>
      </w:r>
    </w:p>
    <w:p w14:paraId="08B8B9FA" w14:textId="77777777" w:rsidR="00305D31" w:rsidRPr="00EC250C" w:rsidRDefault="00305D31" w:rsidP="00D131FA">
      <w:pPr>
        <w:pStyle w:val="Styl2"/>
        <w:rPr>
          <w:szCs w:val="24"/>
        </w:rPr>
      </w:pPr>
      <w:r w:rsidRPr="00EC250C">
        <w:rPr>
          <w:szCs w:val="24"/>
        </w:rPr>
        <w:t>Rzecznik praw obywatelskich włączył się do debaty publicznej</w:t>
      </w:r>
      <w:r w:rsidR="00992FD0" w:rsidRPr="00EC250C">
        <w:rPr>
          <w:szCs w:val="24"/>
        </w:rPr>
        <w:t xml:space="preserve"> w </w:t>
      </w:r>
      <w:r w:rsidRPr="00EC250C">
        <w:rPr>
          <w:szCs w:val="24"/>
        </w:rPr>
        <w:t>sprawie „Tęczowego piątku” na łamach jednej</w:t>
      </w:r>
      <w:r w:rsidR="00992FD0" w:rsidRPr="00EC250C">
        <w:rPr>
          <w:szCs w:val="24"/>
        </w:rPr>
        <w:t xml:space="preserve"> z </w:t>
      </w:r>
      <w:r w:rsidRPr="00EC250C">
        <w:rPr>
          <w:szCs w:val="24"/>
        </w:rPr>
        <w:t>gazet</w:t>
      </w:r>
      <w:r w:rsidRPr="00EC250C">
        <w:rPr>
          <w:szCs w:val="24"/>
          <w:vertAlign w:val="superscript"/>
        </w:rPr>
        <w:footnoteReference w:id="26"/>
      </w:r>
      <w:r w:rsidRPr="00EC250C">
        <w:rPr>
          <w:szCs w:val="24"/>
          <w:vertAlign w:val="superscript"/>
        </w:rPr>
        <w:t>.</w:t>
      </w:r>
      <w:r w:rsidR="00026572" w:rsidRPr="00EC250C">
        <w:rPr>
          <w:szCs w:val="24"/>
        </w:rPr>
        <w:t xml:space="preserve"> – </w:t>
      </w:r>
      <w:r w:rsidR="000F36E1" w:rsidRPr="00EC250C">
        <w:rPr>
          <w:szCs w:val="24"/>
        </w:rPr>
        <w:t>G</w:t>
      </w:r>
      <w:r w:rsidRPr="00EC250C">
        <w:rPr>
          <w:szCs w:val="24"/>
        </w:rPr>
        <w:t>dyby</w:t>
      </w:r>
      <w:r w:rsidR="00992FD0" w:rsidRPr="00EC250C">
        <w:rPr>
          <w:szCs w:val="24"/>
        </w:rPr>
        <w:t xml:space="preserve"> w </w:t>
      </w:r>
      <w:r w:rsidR="000F36E1" w:rsidRPr="00EC250C">
        <w:rPr>
          <w:szCs w:val="24"/>
        </w:rPr>
        <w:t xml:space="preserve">polskiej szkole były </w:t>
      </w:r>
      <w:r w:rsidRPr="00EC250C">
        <w:rPr>
          <w:szCs w:val="24"/>
        </w:rPr>
        <w:t>rzeczywiste zajęcia</w:t>
      </w:r>
      <w:r w:rsidR="00992FD0" w:rsidRPr="00EC250C">
        <w:rPr>
          <w:szCs w:val="24"/>
        </w:rPr>
        <w:t xml:space="preserve"> o </w:t>
      </w:r>
      <w:r w:rsidRPr="00EC250C">
        <w:rPr>
          <w:szCs w:val="24"/>
        </w:rPr>
        <w:t>przeciwdziałani</w:t>
      </w:r>
      <w:r w:rsidR="000F36E1" w:rsidRPr="00EC250C">
        <w:rPr>
          <w:szCs w:val="24"/>
        </w:rPr>
        <w:t>u</w:t>
      </w:r>
      <w:r w:rsidRPr="00EC250C">
        <w:rPr>
          <w:szCs w:val="24"/>
        </w:rPr>
        <w:t xml:space="preserve"> dyskryminacji, nikt by się nie przejmował tym, że raz do roku uczniowie postanawiają trochę więcej uwagi poświęcić osobom LGBT. Może Dominik</w:t>
      </w:r>
      <w:r w:rsidR="00992FD0" w:rsidRPr="00EC250C">
        <w:rPr>
          <w:szCs w:val="24"/>
        </w:rPr>
        <w:t xml:space="preserve"> z </w:t>
      </w:r>
      <w:r w:rsidRPr="00EC250C">
        <w:rPr>
          <w:szCs w:val="24"/>
        </w:rPr>
        <w:t>Bieżunia, który</w:t>
      </w:r>
      <w:r w:rsidR="00992FD0" w:rsidRPr="00EC250C">
        <w:rPr>
          <w:szCs w:val="24"/>
        </w:rPr>
        <w:t xml:space="preserve"> w </w:t>
      </w:r>
      <w:r w:rsidRPr="00EC250C">
        <w:rPr>
          <w:szCs w:val="24"/>
        </w:rPr>
        <w:t>2015</w:t>
      </w:r>
      <w:r w:rsidR="00C91F6E" w:rsidRPr="00EC250C">
        <w:rPr>
          <w:szCs w:val="24"/>
        </w:rPr>
        <w:t> r.</w:t>
      </w:r>
      <w:r w:rsidRPr="00EC250C">
        <w:rPr>
          <w:szCs w:val="24"/>
        </w:rPr>
        <w:t xml:space="preserve"> popełnił samobójstwo, przygotowywałby się teraz do matury</w:t>
      </w:r>
      <w:r w:rsidR="000F36E1" w:rsidRPr="00EC250C">
        <w:rPr>
          <w:szCs w:val="24"/>
        </w:rPr>
        <w:t xml:space="preserve"> – napisał </w:t>
      </w:r>
      <w:r w:rsidRPr="00EC250C">
        <w:rPr>
          <w:szCs w:val="24"/>
        </w:rPr>
        <w:t>Adam Bodnar</w:t>
      </w:r>
      <w:r w:rsidR="008E52D9" w:rsidRPr="00EC250C">
        <w:rPr>
          <w:szCs w:val="24"/>
        </w:rPr>
        <w:t>. P</w:t>
      </w:r>
      <w:r w:rsidRPr="00EC250C">
        <w:rPr>
          <w:szCs w:val="24"/>
        </w:rPr>
        <w:t xml:space="preserve">odał </w:t>
      </w:r>
      <w:r w:rsidR="008E52D9" w:rsidRPr="00EC250C">
        <w:rPr>
          <w:szCs w:val="24"/>
        </w:rPr>
        <w:t xml:space="preserve">także </w:t>
      </w:r>
      <w:r w:rsidRPr="00EC250C">
        <w:rPr>
          <w:szCs w:val="24"/>
        </w:rPr>
        <w:t>przykłady tematów do rozmowy</w:t>
      </w:r>
      <w:r w:rsidR="00992FD0" w:rsidRPr="00EC250C">
        <w:rPr>
          <w:szCs w:val="24"/>
        </w:rPr>
        <w:t xml:space="preserve"> z </w:t>
      </w:r>
      <w:r w:rsidRPr="00EC250C">
        <w:rPr>
          <w:szCs w:val="24"/>
        </w:rPr>
        <w:t>uczniami:</w:t>
      </w:r>
    </w:p>
    <w:p w14:paraId="31C35076" w14:textId="77777777" w:rsidR="00C91F6E" w:rsidRPr="00EC250C" w:rsidRDefault="000F36E1" w:rsidP="00D131FA">
      <w:pPr>
        <w:pStyle w:val="Styl2"/>
        <w:rPr>
          <w:szCs w:val="24"/>
        </w:rPr>
      </w:pPr>
      <w:r w:rsidRPr="00EC250C">
        <w:rPr>
          <w:b w:val="0"/>
          <w:smallCaps/>
          <w:szCs w:val="24"/>
        </w:rPr>
        <w:t>L</w:t>
      </w:r>
      <w:r w:rsidR="00305D31" w:rsidRPr="00EC250C">
        <w:rPr>
          <w:b w:val="0"/>
          <w:smallCaps/>
          <w:szCs w:val="24"/>
        </w:rPr>
        <w:t>ekcj</w:t>
      </w:r>
      <w:r w:rsidRPr="00EC250C">
        <w:rPr>
          <w:b w:val="0"/>
          <w:smallCaps/>
          <w:szCs w:val="24"/>
        </w:rPr>
        <w:t>e</w:t>
      </w:r>
      <w:r w:rsidR="00305D31" w:rsidRPr="00EC250C">
        <w:rPr>
          <w:b w:val="0"/>
          <w:smallCaps/>
          <w:szCs w:val="24"/>
        </w:rPr>
        <w:t xml:space="preserve"> historii</w:t>
      </w:r>
      <w:r w:rsidR="00305D31" w:rsidRPr="00EC250C">
        <w:rPr>
          <w:szCs w:val="24"/>
        </w:rPr>
        <w:t>. Z pewnością uczniów zainteresowałby los osób homoseksualnych</w:t>
      </w:r>
      <w:r w:rsidR="00992FD0" w:rsidRPr="00EC250C">
        <w:rPr>
          <w:szCs w:val="24"/>
        </w:rPr>
        <w:t xml:space="preserve"> z </w:t>
      </w:r>
      <w:r w:rsidR="00305D31" w:rsidRPr="00EC250C">
        <w:rPr>
          <w:szCs w:val="24"/>
        </w:rPr>
        <w:t>czasów II wojny światowej – pozbawianie ich wolności, oznaczanie różowym trójkątem</w:t>
      </w:r>
      <w:r w:rsidR="00992FD0" w:rsidRPr="00EC250C">
        <w:rPr>
          <w:szCs w:val="24"/>
        </w:rPr>
        <w:t xml:space="preserve"> w </w:t>
      </w:r>
      <w:r w:rsidR="00305D31" w:rsidRPr="00EC250C">
        <w:rPr>
          <w:szCs w:val="24"/>
        </w:rPr>
        <w:t xml:space="preserve">obozach koncentracyjnych oraz systemowa eksterminacja. </w:t>
      </w:r>
      <w:r w:rsidR="008E52D9" w:rsidRPr="00EC250C">
        <w:rPr>
          <w:szCs w:val="24"/>
        </w:rPr>
        <w:t xml:space="preserve">Na </w:t>
      </w:r>
      <w:r w:rsidR="00305D31" w:rsidRPr="00EC250C">
        <w:rPr>
          <w:szCs w:val="24"/>
        </w:rPr>
        <w:t>tle praktyk nazistowskich Niemiec Polska mogłaby się rysować jako miejsce akceptacji.</w:t>
      </w:r>
    </w:p>
    <w:p w14:paraId="2CF291E4" w14:textId="77777777" w:rsidR="00305D31" w:rsidRPr="00EC250C" w:rsidRDefault="000F36E1" w:rsidP="00D131FA">
      <w:pPr>
        <w:pStyle w:val="Styl2"/>
        <w:rPr>
          <w:szCs w:val="24"/>
        </w:rPr>
      </w:pPr>
      <w:r w:rsidRPr="00EC250C">
        <w:rPr>
          <w:szCs w:val="24"/>
        </w:rPr>
        <w:t>M</w:t>
      </w:r>
      <w:r w:rsidR="00305D31" w:rsidRPr="00EC250C">
        <w:rPr>
          <w:szCs w:val="24"/>
        </w:rPr>
        <w:t xml:space="preserve">ożna </w:t>
      </w:r>
      <w:r w:rsidRPr="00EC250C">
        <w:rPr>
          <w:szCs w:val="24"/>
        </w:rPr>
        <w:t xml:space="preserve">też </w:t>
      </w:r>
      <w:r w:rsidR="00305D31" w:rsidRPr="00EC250C">
        <w:rPr>
          <w:szCs w:val="24"/>
        </w:rPr>
        <w:t>trochę więcej czasu poświęcić opowieści</w:t>
      </w:r>
      <w:r w:rsidR="00992FD0" w:rsidRPr="00EC250C">
        <w:rPr>
          <w:szCs w:val="24"/>
        </w:rPr>
        <w:t xml:space="preserve"> o </w:t>
      </w:r>
      <w:r w:rsidR="00305D31" w:rsidRPr="00EC250C">
        <w:rPr>
          <w:szCs w:val="24"/>
        </w:rPr>
        <w:t>maszynie Enigma</w:t>
      </w:r>
      <w:r w:rsidRPr="00EC250C">
        <w:rPr>
          <w:szCs w:val="24"/>
        </w:rPr>
        <w:t>, której szyfry Brytyjczycy złamali dzięki pomocy Polaków.</w:t>
      </w:r>
      <w:r w:rsidR="00305D31" w:rsidRPr="00EC250C">
        <w:rPr>
          <w:szCs w:val="24"/>
        </w:rPr>
        <w:t xml:space="preserve"> Można uczniom powiedzieć, jaki los spotkał </w:t>
      </w:r>
      <w:r w:rsidRPr="00EC250C">
        <w:rPr>
          <w:szCs w:val="24"/>
        </w:rPr>
        <w:t xml:space="preserve">Alana Turinga </w:t>
      </w:r>
      <w:r w:rsidR="00305D31" w:rsidRPr="00EC250C">
        <w:rPr>
          <w:szCs w:val="24"/>
        </w:rPr>
        <w:t>już po wojnie – jak był przymusowo leczony</w:t>
      </w:r>
      <w:r w:rsidR="00992FD0" w:rsidRPr="00EC250C">
        <w:rPr>
          <w:szCs w:val="24"/>
        </w:rPr>
        <w:t xml:space="preserve"> i </w:t>
      </w:r>
      <w:r w:rsidR="00305D31" w:rsidRPr="00EC250C">
        <w:rPr>
          <w:szCs w:val="24"/>
        </w:rPr>
        <w:t>poddawany terapii hormonalnej, co</w:t>
      </w:r>
      <w:r w:rsidR="00992FD0" w:rsidRPr="00EC250C">
        <w:rPr>
          <w:szCs w:val="24"/>
        </w:rPr>
        <w:t xml:space="preserve"> w </w:t>
      </w:r>
      <w:r w:rsidR="00305D31" w:rsidRPr="00EC250C">
        <w:rPr>
          <w:szCs w:val="24"/>
        </w:rPr>
        <w:t>efekcie doprowadziło do jego samobójstwa.</w:t>
      </w:r>
    </w:p>
    <w:p w14:paraId="70D39531" w14:textId="77777777" w:rsidR="00C91F6E" w:rsidRPr="00EC250C" w:rsidRDefault="00305D31" w:rsidP="00D131FA">
      <w:pPr>
        <w:pStyle w:val="Styl2"/>
        <w:rPr>
          <w:szCs w:val="24"/>
        </w:rPr>
      </w:pPr>
      <w:r w:rsidRPr="00EC250C">
        <w:rPr>
          <w:b w:val="0"/>
          <w:smallCaps/>
          <w:szCs w:val="24"/>
        </w:rPr>
        <w:t>Lekcje biologii</w:t>
      </w:r>
      <w:r w:rsidRPr="00EC250C">
        <w:rPr>
          <w:szCs w:val="24"/>
        </w:rPr>
        <w:t xml:space="preserve"> mogą też posłużyć dyskusji na temat płciowości – dlaczego niektórzy ludzie nie czują się dobrze we własnym ciele</w:t>
      </w:r>
      <w:r w:rsidR="00992FD0" w:rsidRPr="00EC250C">
        <w:rPr>
          <w:szCs w:val="24"/>
        </w:rPr>
        <w:t xml:space="preserve"> i </w:t>
      </w:r>
      <w:r w:rsidRPr="00EC250C">
        <w:rPr>
          <w:szCs w:val="24"/>
        </w:rPr>
        <w:t xml:space="preserve">jakie są procedury, aby </w:t>
      </w:r>
      <w:r w:rsidR="00644EA4" w:rsidRPr="00EC250C">
        <w:rPr>
          <w:szCs w:val="24"/>
        </w:rPr>
        <w:t>zapewnić im prawo do zachowania własnej</w:t>
      </w:r>
      <w:r w:rsidRPr="00EC250C">
        <w:rPr>
          <w:szCs w:val="24"/>
        </w:rPr>
        <w:t xml:space="preserve"> tożsamości oraz godności. Znów historia</w:t>
      </w:r>
      <w:r w:rsidR="00992FD0" w:rsidRPr="00EC250C">
        <w:rPr>
          <w:szCs w:val="24"/>
        </w:rPr>
        <w:t xml:space="preserve"> z </w:t>
      </w:r>
      <w:r w:rsidRPr="00EC250C">
        <w:rPr>
          <w:szCs w:val="24"/>
        </w:rPr>
        <w:t>Polski – to dzięki orzecznictwu naszych sądów jeszcze</w:t>
      </w:r>
      <w:r w:rsidR="00992FD0" w:rsidRPr="00EC250C">
        <w:rPr>
          <w:szCs w:val="24"/>
        </w:rPr>
        <w:t xml:space="preserve"> z </w:t>
      </w:r>
      <w:r w:rsidRPr="00EC250C">
        <w:rPr>
          <w:szCs w:val="24"/>
        </w:rPr>
        <w:t>lat 60. można</w:t>
      </w:r>
      <w:r w:rsidR="00992FD0" w:rsidRPr="00EC250C">
        <w:rPr>
          <w:szCs w:val="24"/>
        </w:rPr>
        <w:t xml:space="preserve"> w </w:t>
      </w:r>
      <w:r w:rsidRPr="00EC250C">
        <w:rPr>
          <w:szCs w:val="24"/>
        </w:rPr>
        <w:t>Polsce dokonywać korekty płci.</w:t>
      </w:r>
    </w:p>
    <w:p w14:paraId="000F6FF1" w14:textId="77777777" w:rsidR="00305D31" w:rsidRPr="00EC250C" w:rsidRDefault="00305D31" w:rsidP="00D131FA">
      <w:pPr>
        <w:pStyle w:val="Styl2"/>
        <w:rPr>
          <w:szCs w:val="24"/>
        </w:rPr>
      </w:pPr>
      <w:r w:rsidRPr="00EC250C">
        <w:rPr>
          <w:szCs w:val="24"/>
        </w:rPr>
        <w:t>Ale można również wrócić do czasów komunistycznych</w:t>
      </w:r>
      <w:r w:rsidR="00992FD0" w:rsidRPr="00EC250C">
        <w:rPr>
          <w:szCs w:val="24"/>
        </w:rPr>
        <w:t xml:space="preserve"> i </w:t>
      </w:r>
      <w:r w:rsidRPr="00EC250C">
        <w:rPr>
          <w:szCs w:val="24"/>
        </w:rPr>
        <w:t>opowiedzieć</w:t>
      </w:r>
      <w:r w:rsidR="00992FD0" w:rsidRPr="00EC250C">
        <w:rPr>
          <w:szCs w:val="24"/>
        </w:rPr>
        <w:t xml:space="preserve"> o </w:t>
      </w:r>
      <w:r w:rsidRPr="00EC250C">
        <w:rPr>
          <w:szCs w:val="24"/>
        </w:rPr>
        <w:t xml:space="preserve">akcji </w:t>
      </w:r>
      <w:r w:rsidR="00E8031D" w:rsidRPr="00EC250C">
        <w:rPr>
          <w:szCs w:val="24"/>
        </w:rPr>
        <w:t>„</w:t>
      </w:r>
      <w:r w:rsidRPr="00EC250C">
        <w:rPr>
          <w:szCs w:val="24"/>
        </w:rPr>
        <w:t>Hiacynt” – zastraszaniu osób homoseksualnych</w:t>
      </w:r>
      <w:r w:rsidR="00992FD0" w:rsidRPr="00EC250C">
        <w:rPr>
          <w:szCs w:val="24"/>
        </w:rPr>
        <w:t xml:space="preserve"> i </w:t>
      </w:r>
      <w:r w:rsidRPr="00EC250C">
        <w:rPr>
          <w:szCs w:val="24"/>
        </w:rPr>
        <w:t>zmuszaniu do współpracy przez Służbę Bezpieczeństwa.</w:t>
      </w:r>
      <w:r w:rsidR="004608B6" w:rsidRPr="00EC250C">
        <w:rPr>
          <w:szCs w:val="24"/>
        </w:rPr>
        <w:t xml:space="preserve"> </w:t>
      </w:r>
      <w:r w:rsidR="00644EA4" w:rsidRPr="00EC250C">
        <w:rPr>
          <w:szCs w:val="24"/>
        </w:rPr>
        <w:t>Takie praktyki były niestety stosowane wobec różnych grup zwalczanych przez system komunistyczny: księży, świeckich osób wierzących, naukowców</w:t>
      </w:r>
      <w:r w:rsidRPr="00EC250C">
        <w:rPr>
          <w:szCs w:val="24"/>
        </w:rPr>
        <w:t>. Dlatego właśnie preambuła do Konstytucji RP wskazuje, że musimy być „pomni gorzkich doświadczeń</w:t>
      </w:r>
      <w:r w:rsidR="00992FD0" w:rsidRPr="00EC250C">
        <w:rPr>
          <w:szCs w:val="24"/>
        </w:rPr>
        <w:t xml:space="preserve"> z </w:t>
      </w:r>
      <w:r w:rsidRPr="00EC250C">
        <w:rPr>
          <w:szCs w:val="24"/>
        </w:rPr>
        <w:t>czasów, gdy podstawowe wolności</w:t>
      </w:r>
      <w:r w:rsidR="00992FD0" w:rsidRPr="00EC250C">
        <w:rPr>
          <w:szCs w:val="24"/>
        </w:rPr>
        <w:t xml:space="preserve"> i </w:t>
      </w:r>
      <w:r w:rsidRPr="00EC250C">
        <w:rPr>
          <w:szCs w:val="24"/>
        </w:rPr>
        <w:t>prawa człowieka były</w:t>
      </w:r>
      <w:r w:rsidR="00992FD0" w:rsidRPr="00EC250C">
        <w:rPr>
          <w:szCs w:val="24"/>
        </w:rPr>
        <w:t xml:space="preserve"> w </w:t>
      </w:r>
      <w:r w:rsidRPr="00EC250C">
        <w:rPr>
          <w:szCs w:val="24"/>
        </w:rPr>
        <w:t>naszej Ojczyźnie łamane”.</w:t>
      </w:r>
    </w:p>
    <w:p w14:paraId="6B461CD5" w14:textId="77777777" w:rsidR="00305D31" w:rsidRPr="00EC250C" w:rsidRDefault="000F36E1" w:rsidP="00D131FA">
      <w:pPr>
        <w:pStyle w:val="Styl2"/>
        <w:spacing w:after="0"/>
        <w:rPr>
          <w:szCs w:val="24"/>
        </w:rPr>
      </w:pPr>
      <w:r w:rsidRPr="00EC250C">
        <w:rPr>
          <w:b w:val="0"/>
          <w:smallCaps/>
          <w:szCs w:val="24"/>
        </w:rPr>
        <w:t>L</w:t>
      </w:r>
      <w:r w:rsidR="00305D31" w:rsidRPr="00EC250C">
        <w:rPr>
          <w:b w:val="0"/>
          <w:smallCaps/>
          <w:szCs w:val="24"/>
        </w:rPr>
        <w:t>ekcje języka polskiego</w:t>
      </w:r>
      <w:r w:rsidR="00305D31" w:rsidRPr="00EC250C">
        <w:rPr>
          <w:b w:val="0"/>
          <w:szCs w:val="24"/>
        </w:rPr>
        <w:t xml:space="preserve"> </w:t>
      </w:r>
      <w:r w:rsidR="00305D31" w:rsidRPr="00EC250C">
        <w:rPr>
          <w:szCs w:val="24"/>
        </w:rPr>
        <w:t>to przestrzeń do dyskusji na temat przeciwdziałania dyskryminacji. Można spojrzeć na wersy Wisławy Szymborskiej</w:t>
      </w:r>
      <w:r w:rsidR="00992FD0" w:rsidRPr="00EC250C">
        <w:rPr>
          <w:szCs w:val="24"/>
        </w:rPr>
        <w:t xml:space="preserve"> o </w:t>
      </w:r>
      <w:r w:rsidR="00305D31" w:rsidRPr="00EC250C">
        <w:rPr>
          <w:szCs w:val="24"/>
        </w:rPr>
        <w:t>tym, jak nienawiść jest „wciąż sprawna, jak dobrze się trzyma</w:t>
      </w:r>
      <w:r w:rsidR="00992FD0" w:rsidRPr="00EC250C">
        <w:rPr>
          <w:szCs w:val="24"/>
        </w:rPr>
        <w:t xml:space="preserve"> w </w:t>
      </w:r>
      <w:r w:rsidR="00305D31" w:rsidRPr="00EC250C">
        <w:rPr>
          <w:szCs w:val="24"/>
        </w:rPr>
        <w:t>naszym stuleciu”. Ale można również sięgnąć do biografii takich pisarzy jak Oscar Wilde, Jarosław Iwaszkiewicz czy Maria Konopnicka – argumentował Adam Bodnar.</w:t>
      </w:r>
    </w:p>
    <w:p w14:paraId="7BCCFEA1" w14:textId="77777777" w:rsidR="0056670D" w:rsidRPr="00EC250C" w:rsidRDefault="0056670D" w:rsidP="00D131FA">
      <w:pPr>
        <w:pStyle w:val="WICEJ"/>
        <w:ind w:left="782"/>
        <w:jc w:val="both"/>
      </w:pPr>
      <w:r w:rsidRPr="00EC250C">
        <w:lastRenderedPageBreak/>
        <w:t>Sprawa zakazu Marszu Równości</w:t>
      </w:r>
      <w:r w:rsidR="00992FD0" w:rsidRPr="00EC250C">
        <w:t xml:space="preserve"> w </w:t>
      </w:r>
      <w:r w:rsidRPr="00EC250C">
        <w:t>Lublinie – patrz art. 57, wolność organizowania pokojowych zgromadzeń</w:t>
      </w:r>
    </w:p>
    <w:p w14:paraId="025159A8" w14:textId="77777777" w:rsidR="0056670D" w:rsidRPr="00EC250C" w:rsidRDefault="0056670D" w:rsidP="00D131FA">
      <w:pPr>
        <w:pStyle w:val="ODESANIE"/>
        <w:ind w:left="782"/>
        <w:jc w:val="both"/>
      </w:pPr>
      <w:r w:rsidRPr="00EC250C">
        <w:t>Transkrypcja aktu urodzenia dziecka pary tej samej płci urodzonego za granicą – patrz art. 72, prawa dziecka</w:t>
      </w:r>
    </w:p>
    <w:p w14:paraId="05E93C8E" w14:textId="77777777" w:rsidR="0056670D" w:rsidRPr="00EC250C" w:rsidRDefault="0056670D" w:rsidP="00D131FA">
      <w:pPr>
        <w:pStyle w:val="ODESANIE"/>
        <w:ind w:left="782"/>
        <w:jc w:val="both"/>
      </w:pPr>
      <w:r w:rsidRPr="00EC250C">
        <w:t>Potwierdzenie obywatelstwa dzieci urodzonych za granic</w:t>
      </w:r>
      <w:r w:rsidR="00F6610F" w:rsidRPr="00EC250C">
        <w:t>ą</w:t>
      </w:r>
      <w:r w:rsidR="00992FD0" w:rsidRPr="00EC250C">
        <w:t xml:space="preserve"> w </w:t>
      </w:r>
      <w:r w:rsidRPr="00EC250C">
        <w:t>drodze surogacji</w:t>
      </w:r>
      <w:r w:rsidR="00026572" w:rsidRPr="00EC250C">
        <w:t xml:space="preserve"> – </w:t>
      </w:r>
      <w:r w:rsidRPr="00EC250C">
        <w:t>– patrz art. 72, prawa dziecka</w:t>
      </w:r>
    </w:p>
    <w:p w14:paraId="5FC4C1BE" w14:textId="77777777" w:rsidR="00CE2887" w:rsidRPr="00EC250C" w:rsidRDefault="00D55FD3" w:rsidP="00EC79EB">
      <w:pPr>
        <w:pStyle w:val="Nagwek4"/>
      </w:pPr>
      <w:bookmarkStart w:id="54" w:name="_Toc6257644"/>
      <w:bookmarkStart w:id="55" w:name="_Toc11247547"/>
      <w:r w:rsidRPr="00EC250C">
        <w:t>Narastający problem</w:t>
      </w:r>
      <w:r w:rsidR="00992FD0" w:rsidRPr="00EC250C">
        <w:t xml:space="preserve"> z </w:t>
      </w:r>
      <w:r w:rsidRPr="00EC250C">
        <w:t>m</w:t>
      </w:r>
      <w:r w:rsidR="00B8780F" w:rsidRPr="00EC250C">
        <w:t>ow</w:t>
      </w:r>
      <w:r w:rsidRPr="00EC250C">
        <w:t>ą</w:t>
      </w:r>
      <w:r w:rsidR="00CE2887" w:rsidRPr="00EC250C">
        <w:t xml:space="preserve"> nienawiści</w:t>
      </w:r>
      <w:r w:rsidR="00992FD0" w:rsidRPr="00EC250C">
        <w:t xml:space="preserve"> w </w:t>
      </w:r>
      <w:r w:rsidR="00CE2887" w:rsidRPr="00EC250C">
        <w:t>internecie</w:t>
      </w:r>
      <w:bookmarkEnd w:id="54"/>
      <w:bookmarkEnd w:id="55"/>
    </w:p>
    <w:p w14:paraId="1A4982AA" w14:textId="77777777" w:rsidR="00B473F5" w:rsidRPr="00EC250C" w:rsidRDefault="009631DD" w:rsidP="00D131FA">
      <w:pPr>
        <w:pStyle w:val="Problemczowieka"/>
        <w:jc w:val="both"/>
      </w:pPr>
      <w:r w:rsidRPr="00EC250C">
        <w:t>Mowa nienawiści</w:t>
      </w:r>
      <w:r w:rsidR="00992FD0" w:rsidRPr="00EC250C">
        <w:t xml:space="preserve"> w </w:t>
      </w:r>
      <w:r w:rsidRPr="00EC250C">
        <w:t xml:space="preserve">internecie szczególnie dotyka ludzi młodych, </w:t>
      </w:r>
      <w:r w:rsidR="00FB1892" w:rsidRPr="00EC250C">
        <w:t>którzy spędzają</w:t>
      </w:r>
      <w:r w:rsidR="00992FD0" w:rsidRPr="00EC250C">
        <w:t xml:space="preserve"> w </w:t>
      </w:r>
      <w:r w:rsidR="00FB1892" w:rsidRPr="00EC250C">
        <w:t>sieci najwięcej czasu</w:t>
      </w:r>
      <w:r w:rsidR="00992FD0" w:rsidRPr="00EC250C">
        <w:t xml:space="preserve"> i </w:t>
      </w:r>
      <w:r w:rsidRPr="00EC250C">
        <w:t>stale są narażeni na występujący tam hejt</w:t>
      </w:r>
      <w:r w:rsidR="00992FD0" w:rsidRPr="00EC250C">
        <w:t xml:space="preserve"> i </w:t>
      </w:r>
      <w:r w:rsidRPr="00EC250C">
        <w:t>przemoc słowną</w:t>
      </w:r>
      <w:r w:rsidR="00B473F5" w:rsidRPr="00EC250C">
        <w:t>.</w:t>
      </w:r>
    </w:p>
    <w:p w14:paraId="1126667D" w14:textId="77777777" w:rsidR="009631DD" w:rsidRPr="00EC250C" w:rsidRDefault="00073A8C" w:rsidP="00D131FA">
      <w:pPr>
        <w:pStyle w:val="Styl1"/>
        <w:rPr>
          <w:bCs/>
          <w:iCs/>
          <w:lang w:eastAsia="en-US"/>
        </w:rPr>
      </w:pPr>
      <w:r w:rsidRPr="00EC250C">
        <w:t>RPO</w:t>
      </w:r>
      <w:r w:rsidR="009631DD" w:rsidRPr="00EC250C">
        <w:t xml:space="preserve"> powtarza, że granicą dla swobody wypowiedzi musi </w:t>
      </w:r>
      <w:r w:rsidR="00F6610F" w:rsidRPr="00EC250C">
        <w:t xml:space="preserve">być </w:t>
      </w:r>
      <w:r w:rsidR="009631DD" w:rsidRPr="00EC250C">
        <w:t>godność drugiego człowieka. Przekraczają ją ci, którzy</w:t>
      </w:r>
      <w:r w:rsidR="00992FD0" w:rsidRPr="00EC250C">
        <w:t xml:space="preserve"> w </w:t>
      </w:r>
      <w:r w:rsidR="009631DD" w:rsidRPr="00EC250C">
        <w:t>przestrzeni publicznej posługują się nienawiścią</w:t>
      </w:r>
      <w:r w:rsidR="00992FD0" w:rsidRPr="00EC250C">
        <w:t xml:space="preserve"> i </w:t>
      </w:r>
      <w:r w:rsidR="009631DD" w:rsidRPr="00EC250C">
        <w:t>pogardą. Możemy się przed nimi obronić, tylko wspólnie musimy poczuć się strażnikami tej granicy.</w:t>
      </w:r>
    </w:p>
    <w:p w14:paraId="09367BC4" w14:textId="77777777" w:rsidR="00C91F6E" w:rsidRPr="00EC250C" w:rsidRDefault="00FB1892" w:rsidP="00D131FA">
      <w:pPr>
        <w:pStyle w:val="Styl1"/>
        <w:rPr>
          <w:bCs/>
          <w:iCs/>
          <w:lang w:eastAsia="en-US"/>
        </w:rPr>
      </w:pPr>
      <w:r w:rsidRPr="00EC250C">
        <w:rPr>
          <w:bCs/>
          <w:iCs/>
          <w:lang w:eastAsia="en-US"/>
        </w:rPr>
        <w:t>W wystąpieniu do MSWiA Rzecznik zaproponował m.in.</w:t>
      </w:r>
      <w:r w:rsidR="00CE2887" w:rsidRPr="00EC250C">
        <w:rPr>
          <w:bCs/>
          <w:iCs/>
          <w:lang w:eastAsia="en-US"/>
        </w:rPr>
        <w:t>:</w:t>
      </w:r>
    </w:p>
    <w:p w14:paraId="0A36C415" w14:textId="77777777" w:rsidR="009631DD" w:rsidRPr="00EC250C" w:rsidRDefault="00CE2887" w:rsidP="006C70B7">
      <w:pPr>
        <w:pStyle w:val="Styl1"/>
        <w:numPr>
          <w:ilvl w:val="0"/>
          <w:numId w:val="29"/>
        </w:numPr>
        <w:rPr>
          <w:bCs/>
          <w:iCs/>
          <w:lang w:eastAsia="en-US"/>
        </w:rPr>
      </w:pPr>
      <w:r w:rsidRPr="00EC250C">
        <w:rPr>
          <w:bCs/>
          <w:iCs/>
          <w:lang w:eastAsia="en-US"/>
        </w:rPr>
        <w:t>wyznaczenie niezależnego organu doradczego, który opracowałby kodeks dobrych praktyk</w:t>
      </w:r>
      <w:r w:rsidR="00D0465F" w:rsidRPr="00EC250C">
        <w:rPr>
          <w:bCs/>
          <w:iCs/>
          <w:lang w:eastAsia="en-US"/>
        </w:rPr>
        <w:t>,</w:t>
      </w:r>
    </w:p>
    <w:p w14:paraId="720CFDBE" w14:textId="77777777" w:rsidR="009631DD" w:rsidRPr="00EC250C" w:rsidRDefault="00D0465F" w:rsidP="006C70B7">
      <w:pPr>
        <w:pStyle w:val="Styl1"/>
        <w:numPr>
          <w:ilvl w:val="0"/>
          <w:numId w:val="29"/>
        </w:numPr>
        <w:rPr>
          <w:bCs/>
          <w:iCs/>
          <w:lang w:eastAsia="en-US"/>
        </w:rPr>
      </w:pPr>
      <w:r w:rsidRPr="00EC250C">
        <w:rPr>
          <w:bCs/>
          <w:iCs/>
          <w:lang w:eastAsia="en-US"/>
        </w:rPr>
        <w:t xml:space="preserve">prowadzenie </w:t>
      </w:r>
      <w:r w:rsidR="00CE2887" w:rsidRPr="00EC250C">
        <w:rPr>
          <w:bCs/>
          <w:iCs/>
          <w:lang w:eastAsia="en-US"/>
        </w:rPr>
        <w:t xml:space="preserve">postępowań wyjaśniających oraz </w:t>
      </w:r>
      <w:r w:rsidRPr="00EC250C">
        <w:rPr>
          <w:bCs/>
          <w:iCs/>
          <w:lang w:eastAsia="en-US"/>
        </w:rPr>
        <w:t xml:space="preserve">wymierzanie </w:t>
      </w:r>
      <w:r w:rsidR="00CE2887" w:rsidRPr="00EC250C">
        <w:rPr>
          <w:bCs/>
          <w:iCs/>
          <w:lang w:eastAsia="en-US"/>
        </w:rPr>
        <w:t>proporcjonalnych sankcji administracyjnych</w:t>
      </w:r>
      <w:r w:rsidR="00992FD0" w:rsidRPr="00EC250C">
        <w:rPr>
          <w:bCs/>
          <w:iCs/>
          <w:lang w:eastAsia="en-US"/>
        </w:rPr>
        <w:t xml:space="preserve"> w </w:t>
      </w:r>
      <w:r w:rsidR="00CE2887" w:rsidRPr="00EC250C">
        <w:rPr>
          <w:bCs/>
          <w:iCs/>
          <w:lang w:eastAsia="en-US"/>
        </w:rPr>
        <w:t>razie stwierdzenia uchybień; doprecyzowanie zasad współpracy dostawców usług internetowych</w:t>
      </w:r>
      <w:r w:rsidR="00992FD0" w:rsidRPr="00EC250C">
        <w:rPr>
          <w:bCs/>
          <w:iCs/>
          <w:lang w:eastAsia="en-US"/>
        </w:rPr>
        <w:t xml:space="preserve"> z </w:t>
      </w:r>
      <w:r w:rsidR="00CE2887" w:rsidRPr="00EC250C">
        <w:rPr>
          <w:bCs/>
          <w:iCs/>
          <w:lang w:eastAsia="en-US"/>
        </w:rPr>
        <w:t>organami ścigania</w:t>
      </w:r>
      <w:r w:rsidRPr="00EC250C">
        <w:rPr>
          <w:bCs/>
          <w:iCs/>
          <w:lang w:eastAsia="en-US"/>
        </w:rPr>
        <w:t>,</w:t>
      </w:r>
    </w:p>
    <w:p w14:paraId="776F50FD" w14:textId="77777777" w:rsidR="009631DD" w:rsidRPr="00EC250C" w:rsidRDefault="00CE2887" w:rsidP="006C70B7">
      <w:pPr>
        <w:pStyle w:val="Styl1"/>
        <w:numPr>
          <w:ilvl w:val="0"/>
          <w:numId w:val="28"/>
        </w:numPr>
        <w:rPr>
          <w:bCs/>
          <w:iCs/>
          <w:lang w:eastAsia="en-US"/>
        </w:rPr>
      </w:pPr>
      <w:r w:rsidRPr="00EC250C">
        <w:rPr>
          <w:bCs/>
          <w:iCs/>
          <w:lang w:eastAsia="en-US"/>
        </w:rPr>
        <w:t>nałożenie na komercyjnych dostawców usług internetowych obowiązku informowania organów ścigania</w:t>
      </w:r>
      <w:r w:rsidR="00992FD0" w:rsidRPr="00EC250C">
        <w:rPr>
          <w:bCs/>
          <w:iCs/>
          <w:lang w:eastAsia="en-US"/>
        </w:rPr>
        <w:t xml:space="preserve"> o </w:t>
      </w:r>
      <w:r w:rsidRPr="00EC250C">
        <w:rPr>
          <w:bCs/>
          <w:iCs/>
          <w:lang w:eastAsia="en-US"/>
        </w:rPr>
        <w:t>przestępstwach związanych</w:t>
      </w:r>
      <w:r w:rsidR="00992FD0" w:rsidRPr="00EC250C">
        <w:rPr>
          <w:bCs/>
          <w:iCs/>
          <w:lang w:eastAsia="en-US"/>
        </w:rPr>
        <w:t xml:space="preserve"> z </w:t>
      </w:r>
      <w:r w:rsidRPr="00EC250C">
        <w:rPr>
          <w:bCs/>
          <w:iCs/>
          <w:lang w:eastAsia="en-US"/>
        </w:rPr>
        <w:t>mową nienawiści</w:t>
      </w:r>
      <w:r w:rsidR="00293951" w:rsidRPr="00EC250C">
        <w:rPr>
          <w:bCs/>
          <w:iCs/>
          <w:lang w:eastAsia="en-US"/>
        </w:rPr>
        <w:t xml:space="preserve"> oraz </w:t>
      </w:r>
      <w:r w:rsidRPr="00EC250C">
        <w:rPr>
          <w:bCs/>
          <w:iCs/>
          <w:lang w:eastAsia="en-US"/>
        </w:rPr>
        <w:t>doprecyzowanie obowiązku dostawców usług do usunięcia mowy nienawiści lub uniemożliwienia dostępu do nich</w:t>
      </w:r>
      <w:r w:rsidR="00992FD0" w:rsidRPr="00EC250C">
        <w:rPr>
          <w:bCs/>
          <w:iCs/>
          <w:lang w:eastAsia="en-US"/>
        </w:rPr>
        <w:t xml:space="preserve"> w </w:t>
      </w:r>
      <w:r w:rsidRPr="00EC250C">
        <w:rPr>
          <w:bCs/>
          <w:iCs/>
          <w:lang w:eastAsia="en-US"/>
        </w:rPr>
        <w:t>określonym terminie od otrzymania wiarygodnej wiadomości</w:t>
      </w:r>
      <w:r w:rsidR="00D0465F" w:rsidRPr="00EC250C">
        <w:rPr>
          <w:bCs/>
          <w:iCs/>
          <w:lang w:eastAsia="en-US"/>
        </w:rPr>
        <w:t>,</w:t>
      </w:r>
    </w:p>
    <w:p w14:paraId="0482FA91" w14:textId="77777777" w:rsidR="00C83E0E" w:rsidRPr="00EC250C" w:rsidRDefault="00CE2887" w:rsidP="006C70B7">
      <w:pPr>
        <w:pStyle w:val="Styl1"/>
        <w:numPr>
          <w:ilvl w:val="0"/>
          <w:numId w:val="28"/>
        </w:numPr>
        <w:rPr>
          <w:bCs/>
          <w:iCs/>
          <w:lang w:eastAsia="en-US"/>
        </w:rPr>
      </w:pPr>
      <w:r w:rsidRPr="00EC250C">
        <w:rPr>
          <w:bCs/>
          <w:iCs/>
          <w:lang w:eastAsia="en-US"/>
        </w:rPr>
        <w:t>opracowanie</w:t>
      </w:r>
      <w:r w:rsidR="00992FD0" w:rsidRPr="00EC250C">
        <w:rPr>
          <w:bCs/>
          <w:iCs/>
          <w:lang w:eastAsia="en-US"/>
        </w:rPr>
        <w:t xml:space="preserve"> i </w:t>
      </w:r>
      <w:r w:rsidRPr="00EC250C">
        <w:rPr>
          <w:bCs/>
          <w:iCs/>
          <w:lang w:eastAsia="en-US"/>
        </w:rPr>
        <w:t>prowadzenie publicznie dostępnej listy zaufanych podmiotów zgłaszających oraz wprowadzenie ustawowego zakazu stosowania mowy nienawiści</w:t>
      </w:r>
      <w:r w:rsidR="00992FD0" w:rsidRPr="00EC250C">
        <w:rPr>
          <w:bCs/>
          <w:iCs/>
          <w:lang w:eastAsia="en-US"/>
        </w:rPr>
        <w:t xml:space="preserve"> w </w:t>
      </w:r>
      <w:r w:rsidRPr="00EC250C">
        <w:rPr>
          <w:bCs/>
          <w:iCs/>
          <w:lang w:eastAsia="en-US"/>
        </w:rPr>
        <w:t>internecie</w:t>
      </w:r>
      <w:r w:rsidRPr="00EC250C">
        <w:rPr>
          <w:rStyle w:val="Odwoanieprzypisudolnego"/>
          <w:bCs/>
          <w:iCs/>
          <w:lang w:eastAsia="en-US"/>
        </w:rPr>
        <w:footnoteReference w:id="27"/>
      </w:r>
      <w:r w:rsidR="00D0465F" w:rsidRPr="00EC250C">
        <w:rPr>
          <w:bCs/>
          <w:iCs/>
          <w:lang w:eastAsia="en-US"/>
        </w:rPr>
        <w:t>.</w:t>
      </w:r>
    </w:p>
    <w:p w14:paraId="2FD33B82" w14:textId="77777777" w:rsidR="00C822BD" w:rsidRPr="00EC250C" w:rsidRDefault="00CE2887" w:rsidP="00D131FA">
      <w:pPr>
        <w:pStyle w:val="Styl1"/>
      </w:pPr>
      <w:r w:rsidRPr="00EC250C">
        <w:rPr>
          <w:lang w:eastAsia="en-US"/>
        </w:rPr>
        <w:t>Minist</w:t>
      </w:r>
      <w:r w:rsidR="00C83E0E" w:rsidRPr="00EC250C">
        <w:rPr>
          <w:lang w:eastAsia="en-US"/>
        </w:rPr>
        <w:t>e</w:t>
      </w:r>
      <w:r w:rsidRPr="00EC250C">
        <w:rPr>
          <w:lang w:eastAsia="en-US"/>
        </w:rPr>
        <w:t>r</w:t>
      </w:r>
      <w:r w:rsidR="00C83E0E" w:rsidRPr="00EC250C">
        <w:rPr>
          <w:lang w:eastAsia="en-US"/>
        </w:rPr>
        <w:t xml:space="preserve"> </w:t>
      </w:r>
      <w:r w:rsidRPr="00EC250C">
        <w:rPr>
          <w:lang w:eastAsia="en-US"/>
        </w:rPr>
        <w:t>Spraw Wewnętrznych</w:t>
      </w:r>
      <w:r w:rsidR="00992FD0" w:rsidRPr="00EC250C">
        <w:rPr>
          <w:lang w:eastAsia="en-US"/>
        </w:rPr>
        <w:t xml:space="preserve"> i </w:t>
      </w:r>
      <w:r w:rsidRPr="00EC250C">
        <w:rPr>
          <w:lang w:eastAsia="en-US"/>
        </w:rPr>
        <w:t>Administracji</w:t>
      </w:r>
      <w:r w:rsidRPr="00EC250C">
        <w:rPr>
          <w:b/>
          <w:lang w:eastAsia="en-US"/>
        </w:rPr>
        <w:t xml:space="preserve"> </w:t>
      </w:r>
      <w:r w:rsidRPr="00EC250C">
        <w:rPr>
          <w:lang w:eastAsia="en-US"/>
        </w:rPr>
        <w:t xml:space="preserve">poinformował, że uwagi </w:t>
      </w:r>
      <w:r w:rsidR="00C83E0E" w:rsidRPr="00EC250C">
        <w:rPr>
          <w:lang w:eastAsia="en-US"/>
        </w:rPr>
        <w:t xml:space="preserve">te </w:t>
      </w:r>
      <w:r w:rsidRPr="00EC250C">
        <w:rPr>
          <w:lang w:eastAsia="en-US"/>
        </w:rPr>
        <w:t>są przedmiotem analiz</w:t>
      </w:r>
      <w:r w:rsidR="00992FD0" w:rsidRPr="00EC250C">
        <w:rPr>
          <w:lang w:eastAsia="en-US"/>
        </w:rPr>
        <w:t xml:space="preserve"> w </w:t>
      </w:r>
      <w:r w:rsidRPr="00EC250C">
        <w:rPr>
          <w:lang w:eastAsia="en-US"/>
        </w:rPr>
        <w:t>ramach prac Międzyresortowego Zespołu ds. przeciwdziałania propagowania faszyzmu</w:t>
      </w:r>
      <w:r w:rsidR="00992FD0" w:rsidRPr="00EC250C">
        <w:rPr>
          <w:lang w:eastAsia="en-US"/>
        </w:rPr>
        <w:t xml:space="preserve"> i </w:t>
      </w:r>
      <w:r w:rsidRPr="00EC250C">
        <w:rPr>
          <w:lang w:eastAsia="en-US"/>
        </w:rPr>
        <w:t>innych ustrojów totalitarnych oraz przestępstwom nawoływania do nienawiści.</w:t>
      </w:r>
      <w:r w:rsidR="00C83E0E" w:rsidRPr="00EC250C">
        <w:rPr>
          <w:lang w:eastAsia="en-US"/>
        </w:rPr>
        <w:t xml:space="preserve"> Jednym</w:t>
      </w:r>
      <w:r w:rsidR="00992FD0" w:rsidRPr="00EC250C">
        <w:rPr>
          <w:lang w:eastAsia="en-US"/>
        </w:rPr>
        <w:t xml:space="preserve"> z </w:t>
      </w:r>
      <w:r w:rsidRPr="00EC250C">
        <w:rPr>
          <w:lang w:eastAsia="en-US"/>
        </w:rPr>
        <w:t>postulatów zespołu jest wprowadzenie zmian</w:t>
      </w:r>
      <w:r w:rsidR="00992FD0" w:rsidRPr="00EC250C">
        <w:rPr>
          <w:lang w:eastAsia="en-US"/>
        </w:rPr>
        <w:t xml:space="preserve"> w </w:t>
      </w:r>
      <w:r w:rsidRPr="00EC250C">
        <w:rPr>
          <w:lang w:eastAsia="en-US"/>
        </w:rPr>
        <w:t xml:space="preserve">art. 256 </w:t>
      </w:r>
      <w:r w:rsidR="00A717DA" w:rsidRPr="00EC250C">
        <w:rPr>
          <w:lang w:eastAsia="en-US"/>
        </w:rPr>
        <w:t>K</w:t>
      </w:r>
      <w:r w:rsidR="00C822BD" w:rsidRPr="00EC250C">
        <w:rPr>
          <w:lang w:eastAsia="en-US"/>
        </w:rPr>
        <w:t xml:space="preserve">odeksu </w:t>
      </w:r>
      <w:r w:rsidRPr="00EC250C">
        <w:rPr>
          <w:lang w:eastAsia="en-US"/>
        </w:rPr>
        <w:t>k</w:t>
      </w:r>
      <w:r w:rsidR="00C822BD" w:rsidRPr="00EC250C">
        <w:rPr>
          <w:lang w:eastAsia="en-US"/>
        </w:rPr>
        <w:t>arnego, który mówi</w:t>
      </w:r>
      <w:r w:rsidR="00992FD0" w:rsidRPr="00EC250C">
        <w:rPr>
          <w:lang w:eastAsia="en-US"/>
        </w:rPr>
        <w:t xml:space="preserve"> o </w:t>
      </w:r>
      <w:r w:rsidR="00C822BD" w:rsidRPr="00EC250C">
        <w:rPr>
          <w:lang w:eastAsia="en-US"/>
        </w:rPr>
        <w:t xml:space="preserve">sankcjach za </w:t>
      </w:r>
      <w:r w:rsidR="00C822BD" w:rsidRPr="00EC250C">
        <w:t>propagowanie faszyzmu lub innego ustroju totalitarnego lub nawoływanie do nienawiści</w:t>
      </w:r>
      <w:r w:rsidR="00523F6E" w:rsidRPr="00EC250C">
        <w:t>.</w:t>
      </w:r>
    </w:p>
    <w:p w14:paraId="559EB1DB" w14:textId="77777777" w:rsidR="00C822BD" w:rsidRPr="00EC250C" w:rsidRDefault="00C822BD" w:rsidP="00D131FA">
      <w:pPr>
        <w:pStyle w:val="WICEJ"/>
        <w:ind w:left="782"/>
        <w:jc w:val="both"/>
      </w:pPr>
      <w:r w:rsidRPr="00EC250C">
        <w:t xml:space="preserve">O </w:t>
      </w:r>
      <w:r w:rsidR="0095444B" w:rsidRPr="00EC250C">
        <w:t xml:space="preserve">przeciwdziałaniu </w:t>
      </w:r>
      <w:r w:rsidRPr="00EC250C">
        <w:t>patostreaming</w:t>
      </w:r>
      <w:r w:rsidR="0095444B" w:rsidRPr="00EC250C">
        <w:t>owi</w:t>
      </w:r>
      <w:r w:rsidRPr="00EC250C">
        <w:t xml:space="preserve"> </w:t>
      </w:r>
      <w:r w:rsidR="0083399C" w:rsidRPr="00EC250C">
        <w:t>–</w:t>
      </w:r>
      <w:r w:rsidRPr="00EC250C">
        <w:t xml:space="preserve"> </w:t>
      </w:r>
      <w:r w:rsidR="00F55581" w:rsidRPr="00EC250C">
        <w:t>art. 54 Konstytucji (wolność słowa)</w:t>
      </w:r>
    </w:p>
    <w:p w14:paraId="441A1146" w14:textId="77777777" w:rsidR="00CE2887" w:rsidRPr="00EC250C" w:rsidRDefault="00B8780F" w:rsidP="00EC79EB">
      <w:pPr>
        <w:pStyle w:val="Nagwek4"/>
      </w:pPr>
      <w:bookmarkStart w:id="56" w:name="_Toc6257645"/>
      <w:bookmarkStart w:id="57" w:name="_Toc11247548"/>
      <w:r w:rsidRPr="00EC250C">
        <w:t>D</w:t>
      </w:r>
      <w:r w:rsidR="00CE2887" w:rsidRPr="00EC250C">
        <w:t>yskryminacj</w:t>
      </w:r>
      <w:r w:rsidR="00F6610F" w:rsidRPr="00EC250C">
        <w:t>a</w:t>
      </w:r>
      <w:r w:rsidR="00992FD0" w:rsidRPr="00EC250C">
        <w:t xml:space="preserve"> w </w:t>
      </w:r>
      <w:r w:rsidR="00CE2887" w:rsidRPr="00EC250C">
        <w:t>dostępie do usług</w:t>
      </w:r>
      <w:bookmarkEnd w:id="56"/>
      <w:bookmarkEnd w:id="57"/>
    </w:p>
    <w:p w14:paraId="371587CB" w14:textId="77777777" w:rsidR="00546C7B" w:rsidRPr="00EC250C" w:rsidRDefault="00546C7B" w:rsidP="00D131FA">
      <w:pPr>
        <w:pStyle w:val="Styl1"/>
        <w:ind w:firstLine="0"/>
        <w:rPr>
          <w:b/>
          <w:sz w:val="24"/>
          <w:szCs w:val="24"/>
        </w:rPr>
      </w:pPr>
      <w:r w:rsidRPr="00EC250C">
        <w:rPr>
          <w:b/>
          <w:sz w:val="24"/>
          <w:szCs w:val="24"/>
        </w:rPr>
        <w:t>Artykuł 138 Kodeksu wykroczeń narusza Konstytucję? Czy też jest najskuteczniejszym środkiem ochrony przed dyskryminacją w dostępie do usług?</w:t>
      </w:r>
    </w:p>
    <w:p w14:paraId="500736A9" w14:textId="77777777" w:rsidR="00546C7B" w:rsidRPr="00EC250C" w:rsidRDefault="00546C7B" w:rsidP="00D131FA">
      <w:pPr>
        <w:pStyle w:val="Styl1"/>
        <w:ind w:firstLine="0"/>
        <w:rPr>
          <w:b/>
          <w:sz w:val="24"/>
          <w:szCs w:val="24"/>
        </w:rPr>
      </w:pPr>
      <w:r w:rsidRPr="00EC250C">
        <w:lastRenderedPageBreak/>
        <w:t xml:space="preserve">Stanowi on, że „kto umyślnie, bez uzasadnionej przyczyny odmawia świadczenia, do którego jest obowiązany, podlega karze </w:t>
      </w:r>
      <w:r w:rsidRPr="00EC250C">
        <w:rPr>
          <w:szCs w:val="22"/>
        </w:rPr>
        <w:t>grzywny”.</w:t>
      </w:r>
    </w:p>
    <w:p w14:paraId="3FC8C8E9" w14:textId="77777777" w:rsidR="00546C7B" w:rsidRPr="00EC250C" w:rsidRDefault="00546C7B" w:rsidP="00EC250C">
      <w:pPr>
        <w:pStyle w:val="Nagwek8"/>
      </w:pPr>
      <w:r w:rsidRPr="00EC250C">
        <w:t>Sprawa „drukarza” przed Sądem Najwyższym</w:t>
      </w:r>
    </w:p>
    <w:p w14:paraId="14D0727B" w14:textId="77777777" w:rsidR="00C91F6E" w:rsidRPr="00EC250C" w:rsidRDefault="00B8780F" w:rsidP="00D131FA">
      <w:pPr>
        <w:pStyle w:val="Styl2"/>
        <w:rPr>
          <w:szCs w:val="24"/>
        </w:rPr>
      </w:pPr>
      <w:r w:rsidRPr="00EC250C">
        <w:rPr>
          <w:szCs w:val="24"/>
        </w:rPr>
        <w:t>S</w:t>
      </w:r>
      <w:r w:rsidR="0095444B" w:rsidRPr="00EC250C">
        <w:rPr>
          <w:szCs w:val="24"/>
        </w:rPr>
        <w:t>praw</w:t>
      </w:r>
      <w:r w:rsidR="00F4401B" w:rsidRPr="00EC250C">
        <w:rPr>
          <w:szCs w:val="24"/>
        </w:rPr>
        <w:t>a</w:t>
      </w:r>
      <w:r w:rsidR="0095444B" w:rsidRPr="00EC250C">
        <w:rPr>
          <w:szCs w:val="24"/>
        </w:rPr>
        <w:t xml:space="preserve"> „drukarza” </w:t>
      </w:r>
      <w:r w:rsidR="00A74CAC" w:rsidRPr="00EC250C">
        <w:rPr>
          <w:szCs w:val="24"/>
        </w:rPr>
        <w:t>„odmowy wykonania świadczenia nie mogą uzasadniać indywidualne przymioty osób (np. wyznanie religijne, manifestowane poglądy czy preferencje seksualne), na rzecz których usługę tę określony podmiot zobowiązany jest wykonać” – stwierdził Sąd Najwyższy</w:t>
      </w:r>
      <w:r w:rsidR="00D43623" w:rsidRPr="00EC250C">
        <w:rPr>
          <w:szCs w:val="24"/>
        </w:rPr>
        <w:t>.</w:t>
      </w:r>
    </w:p>
    <w:p w14:paraId="1BC49860" w14:textId="77777777" w:rsidR="00546C7B" w:rsidRPr="00EC250C" w:rsidRDefault="00546C7B" w:rsidP="00D131FA">
      <w:pPr>
        <w:pStyle w:val="Styl2"/>
        <w:rPr>
          <w:szCs w:val="24"/>
        </w:rPr>
      </w:pPr>
      <w:bookmarkStart w:id="58" w:name="_Toc6257646"/>
      <w:bookmarkStart w:id="59" w:name="_Hlk9245360"/>
      <w:r w:rsidRPr="00EC250C">
        <w:rPr>
          <w:szCs w:val="24"/>
        </w:rPr>
        <w:t xml:space="preserve">Zaczęło się od tego, że fundacja LGBT zwróciła się do drukarni o wykonanie roll-upu. Spotkała się z odmową. Jak napisał pracownik drukarni, „nie przyczyniamy się do promocji ruchów LGBT naszą pracą”. </w:t>
      </w:r>
      <w:r w:rsidRPr="00EC250C">
        <w:rPr>
          <w:szCs w:val="20"/>
        </w:rPr>
        <w:t>W związku z tym Rzecznik, do którego wpłynęła skarga w tej sprawie, zwrócił się do Policji o jej zbadanie i o rozważenie skierowania do sądu wniosku o ukaranie podejrzanych o popełnienie wykroczenia z art. 138 K.w.</w:t>
      </w:r>
      <w:r w:rsidRPr="00EC250C">
        <w:rPr>
          <w:rStyle w:val="Odwoanieprzypisudolnego"/>
          <w:szCs w:val="22"/>
        </w:rPr>
        <w:footnoteReference w:id="28"/>
      </w:r>
      <w:r w:rsidRPr="00EC250C">
        <w:rPr>
          <w:szCs w:val="22"/>
        </w:rPr>
        <w:t>. Na podstawie tego przepisu sąd</w:t>
      </w:r>
      <w:r w:rsidRPr="00EC250C">
        <w:rPr>
          <w:szCs w:val="24"/>
        </w:rPr>
        <w:t xml:space="preserve"> rejonowy uznał drukarza za winnego wykroczenia, ale odstąpił od wymierzenia mu kary</w:t>
      </w:r>
      <w:r w:rsidRPr="00EC250C">
        <w:rPr>
          <w:rStyle w:val="Odwoanieprzypisudolnego"/>
          <w:szCs w:val="24"/>
        </w:rPr>
        <w:footnoteReference w:id="29"/>
      </w:r>
      <w:r w:rsidRPr="00EC250C">
        <w:rPr>
          <w:szCs w:val="24"/>
        </w:rPr>
        <w:t>, następnie sąd okręgowy utrzymał ten wyrok</w:t>
      </w:r>
      <w:r w:rsidRPr="00EC250C">
        <w:rPr>
          <w:rStyle w:val="Odwoanieprzypisudolnego"/>
          <w:szCs w:val="24"/>
        </w:rPr>
        <w:footnoteReference w:id="30"/>
      </w:r>
      <w:r w:rsidRPr="00EC250C">
        <w:rPr>
          <w:szCs w:val="24"/>
        </w:rPr>
        <w:t xml:space="preserve">. </w:t>
      </w:r>
    </w:p>
    <w:p w14:paraId="60165D7C" w14:textId="77777777" w:rsidR="00546C7B" w:rsidRPr="00EC250C" w:rsidRDefault="00546C7B" w:rsidP="00D131FA">
      <w:pPr>
        <w:pStyle w:val="Styl2"/>
        <w:rPr>
          <w:szCs w:val="24"/>
        </w:rPr>
      </w:pPr>
      <w:r w:rsidRPr="00EC250C">
        <w:rPr>
          <w:szCs w:val="24"/>
        </w:rPr>
        <w:t>W czerwcu 2018 r. Sąd Najwyższy</w:t>
      </w:r>
      <w:r w:rsidRPr="00EC250C">
        <w:rPr>
          <w:rStyle w:val="Odwoanieprzypisudolnego"/>
          <w:szCs w:val="24"/>
        </w:rPr>
        <w:footnoteReference w:id="31"/>
      </w:r>
      <w:r w:rsidRPr="00EC250C">
        <w:rPr>
          <w:szCs w:val="24"/>
        </w:rPr>
        <w:t xml:space="preserve"> oddalił kasację Prokuratora Generalnego wniesioną na korzyść obwinionego. Ocenił, że w sprawie nie doszło do konfliktu sumienia, ani też naruszenia zasady swobody umów. Wskazał, że przedsiębiorca jest zobowiązany do świadczenia usług, dlatego że oferuje je publicznie. Zdaniem SN przepis ten pełni obecnie funkcję antydyskryminacyjną: „O ile przy wykonaniu konkretnej usługi powstaje konflikt podstawowych wolności i praw między usługodawcą a konsumentem, to w pojęciu »uzasadnionej przyczyny« użytym w art. 138 k.w. mieszczą się również przekonania religijne, co oznacza, że gdy pozostają one w oczywistej sprzeczności z cechami i charakterem usługi, wolno odmówić wykonania takiego świadczenia, nawet jeżeli pozostają one w konflikcie z innymi wartościami, w tym także konstytucyjnymi, takimi jak zakaz dyskryminacji. Natomiast odmowy wykonania świadczenia nie mogą uzasadniać indywidualne przymioty osób (np. wyznanie religijne, manifestowane poglądy czy preferencje seksualne), na rzecz których usługę tę określony podmiot zobowiązany jest wykonać”.</w:t>
      </w:r>
    </w:p>
    <w:p w14:paraId="550D4A3E" w14:textId="77777777" w:rsidR="00546C7B" w:rsidRPr="00EC250C" w:rsidRDefault="00546C7B" w:rsidP="00D131FA">
      <w:pPr>
        <w:pStyle w:val="Styl1"/>
      </w:pPr>
      <w:r w:rsidRPr="00EC250C">
        <w:t>Pod koniec 2017 r. Prokurator Generalny złożył wniosek do Trybunału Konstytucyjnego</w:t>
      </w:r>
      <w:r w:rsidRPr="00EC250C">
        <w:rPr>
          <w:rStyle w:val="Odwoanieprzypisudolnego"/>
        </w:rPr>
        <w:footnoteReference w:id="32"/>
      </w:r>
      <w:r w:rsidRPr="00EC250C">
        <w:t xml:space="preserve"> o uznanie art. 138 Kw za niezgodny z konstytucyjnymi zasadami demokratycznego państwa prawa, wolności sumienia i religii, a także wolności gospodarczej (sygn. K 16/17). </w:t>
      </w:r>
    </w:p>
    <w:p w14:paraId="79E61173" w14:textId="77777777" w:rsidR="00546C7B" w:rsidRPr="00EC250C" w:rsidRDefault="00546C7B" w:rsidP="00D131FA">
      <w:pPr>
        <w:pStyle w:val="Styl1"/>
      </w:pPr>
      <w:r w:rsidRPr="00EC250C">
        <w:t>RPO przystąpił do postępowania i wniósł, aby Trybunał uznał art. 138 K.w. za zgodny z Konstytucją. Karanie za bezzasadną odmowę wykonania usługi zapobiega bowiem dyskryminacji z jakiejkolwiek przyczyny. Według RPO drukarz nie mógł powoływać się na wolność sumienia i religii, bo jego odmowa nie polegała na bezpośrednim wyrażaniu określonego wyznania czy światopoglądu. Dlatego ocenił, że zasady wolności sumienia i religii nie są tu właściwymi wzorcami kontroli</w:t>
      </w:r>
      <w:r w:rsidRPr="00EC250C">
        <w:rPr>
          <w:rStyle w:val="Odwoanieprzypisudolnego"/>
        </w:rPr>
        <w:footnoteReference w:id="33"/>
      </w:r>
      <w:r w:rsidRPr="00EC250C">
        <w:t>.</w:t>
      </w:r>
    </w:p>
    <w:p w14:paraId="0A385C52" w14:textId="77777777" w:rsidR="00546C7B" w:rsidRPr="00EC250C" w:rsidRDefault="00546C7B" w:rsidP="00D131FA">
      <w:pPr>
        <w:pStyle w:val="Styl1"/>
      </w:pPr>
      <w:r w:rsidRPr="00EC250C">
        <w:lastRenderedPageBreak/>
        <w:t>Warto pamiętać, że do Biura RPO wpływa wiele skarg dotyczących naruszenia zasady równego traktowania w dostępie do usług. Przykładem jest:</w:t>
      </w:r>
    </w:p>
    <w:p w14:paraId="2F3A6CDD" w14:textId="77777777" w:rsidR="00546C7B" w:rsidRPr="00EC250C" w:rsidRDefault="00546C7B" w:rsidP="006C70B7">
      <w:pPr>
        <w:pStyle w:val="Styl1"/>
        <w:numPr>
          <w:ilvl w:val="0"/>
          <w:numId w:val="139"/>
        </w:numPr>
      </w:pPr>
      <w:r w:rsidRPr="00EC250C">
        <w:t xml:space="preserve">odmowa wynajmu mieszkania kobiecie, która samodzielnie wychowywała dzieci; </w:t>
      </w:r>
    </w:p>
    <w:p w14:paraId="6F6F212A" w14:textId="77777777" w:rsidR="00546C7B" w:rsidRPr="00EC250C" w:rsidRDefault="00546C7B" w:rsidP="006C70B7">
      <w:pPr>
        <w:pStyle w:val="Styl1"/>
        <w:numPr>
          <w:ilvl w:val="0"/>
          <w:numId w:val="139"/>
        </w:numPr>
      </w:pPr>
      <w:r w:rsidRPr="00EC250C">
        <w:t xml:space="preserve">wyproszenie z restauracji kobiety, która karmiła piersią niemowlę; </w:t>
      </w:r>
    </w:p>
    <w:p w14:paraId="15584205" w14:textId="77777777" w:rsidR="00546C7B" w:rsidRPr="00EC250C" w:rsidRDefault="00546C7B" w:rsidP="006C70B7">
      <w:pPr>
        <w:pStyle w:val="Styl1"/>
        <w:numPr>
          <w:ilvl w:val="0"/>
          <w:numId w:val="139"/>
        </w:numPr>
      </w:pPr>
      <w:r w:rsidRPr="00EC250C">
        <w:t xml:space="preserve">odwołanie wizyty lekarskiej osoby niewidomej poruszającej się z psem przewodnikiem; </w:t>
      </w:r>
    </w:p>
    <w:p w14:paraId="75E973BC" w14:textId="77777777" w:rsidR="00546C7B" w:rsidRPr="00EC250C" w:rsidRDefault="00546C7B" w:rsidP="006C70B7">
      <w:pPr>
        <w:pStyle w:val="Styl1"/>
        <w:numPr>
          <w:ilvl w:val="0"/>
          <w:numId w:val="139"/>
        </w:numPr>
      </w:pPr>
      <w:r w:rsidRPr="00EC250C">
        <w:t xml:space="preserve">zmuszenie przez biuro podróży organizujące wyjazdy na narty osoby starszej do samodzielnej podróży samochodem z uwagi na to, że autokarem podróżowały wyłącznie osoby młode </w:t>
      </w:r>
    </w:p>
    <w:p w14:paraId="1809DCCC" w14:textId="77777777" w:rsidR="00546C7B" w:rsidRPr="00EC250C" w:rsidRDefault="00546C7B" w:rsidP="006C70B7">
      <w:pPr>
        <w:pStyle w:val="Styl1"/>
        <w:numPr>
          <w:ilvl w:val="0"/>
          <w:numId w:val="139"/>
        </w:numPr>
      </w:pPr>
      <w:r w:rsidRPr="00EC250C">
        <w:t xml:space="preserve">czy też odmowa wstępu na basen ojca z kilkuletnią córką. </w:t>
      </w:r>
    </w:p>
    <w:p w14:paraId="4D684E5B" w14:textId="77777777" w:rsidR="00546C7B" w:rsidRPr="00EC250C" w:rsidRDefault="00546C7B" w:rsidP="00D131FA">
      <w:pPr>
        <w:pStyle w:val="Styl1"/>
      </w:pPr>
      <w:r w:rsidRPr="00EC250C">
        <w:t xml:space="preserve">We wszystkich tych sprawach wyłączną przyczyną odmowy wykonania usługi była cecha klienta – płeć, wiek lub niepełnosprawność. </w:t>
      </w:r>
    </w:p>
    <w:p w14:paraId="3592E781" w14:textId="77777777" w:rsidR="00546C7B" w:rsidRPr="00EC250C" w:rsidRDefault="00546C7B" w:rsidP="00D131FA">
      <w:pPr>
        <w:pStyle w:val="Styl1"/>
        <w:rPr>
          <w:szCs w:val="22"/>
        </w:rPr>
      </w:pPr>
      <w:r w:rsidRPr="00EC250C">
        <w:rPr>
          <w:szCs w:val="22"/>
        </w:rPr>
        <w:t>W ocenie Rzecznika jedynym skutecznym środkiem ochrony przed niezgodną z prawem dyskryminacją w dostępie do usług polegającą na odmowie świadczenia usługi właśnie ze względu na cechę osobistą klienta jest art. 138 Kodeksu wykroczeń. Warto odnotować, że za winnych popełnienia tego wykroczenia, poza „drukarzem”, sądy już uznały: właściciela sklepu obuwniczego w Tarnobrzegu, który odmówił obsłużenia klientki poruszającej się na wózku</w:t>
      </w:r>
      <w:r w:rsidRPr="00EC250C">
        <w:rPr>
          <w:rStyle w:val="Odwoanieprzypisudolnego"/>
          <w:szCs w:val="22"/>
        </w:rPr>
        <w:footnoteReference w:id="34"/>
      </w:r>
      <w:r w:rsidRPr="00EC250C">
        <w:rPr>
          <w:szCs w:val="22"/>
        </w:rPr>
        <w:t>; właściciela sklepu z używaną odzieżą, który zakazał wejścia do sklepu osobom z wózkami dziecięcymi</w:t>
      </w:r>
      <w:r w:rsidRPr="00EC250C">
        <w:rPr>
          <w:rStyle w:val="Odwoanieprzypisudolnego"/>
          <w:szCs w:val="22"/>
        </w:rPr>
        <w:footnoteReference w:id="35"/>
      </w:r>
      <w:r w:rsidRPr="00EC250C">
        <w:rPr>
          <w:szCs w:val="22"/>
        </w:rPr>
        <w:t>; właściciela klubu, który odmówił wstępu na koncert osobie poruszającej się na wózku</w:t>
      </w:r>
      <w:r w:rsidRPr="00EC250C">
        <w:rPr>
          <w:rStyle w:val="Odwoanieprzypisudolnego"/>
          <w:szCs w:val="22"/>
        </w:rPr>
        <w:footnoteReference w:id="36"/>
      </w:r>
      <w:r w:rsidRPr="00EC250C">
        <w:rPr>
          <w:szCs w:val="22"/>
        </w:rPr>
        <w:t xml:space="preserve"> i trenera, który odmówił przeprowadzenia szkolenia z samoobrony organizacji działającej m.in. na rzecz przeciwdziałania dyskryminacji ze względu na orientację seksualną</w:t>
      </w:r>
      <w:r w:rsidRPr="00EC250C">
        <w:rPr>
          <w:rStyle w:val="Odwoanieprzypisudolnego"/>
          <w:szCs w:val="22"/>
        </w:rPr>
        <w:footnoteReference w:id="37"/>
      </w:r>
    </w:p>
    <w:p w14:paraId="5FC80FA9" w14:textId="77777777" w:rsidR="00C926E9" w:rsidRPr="00EC250C" w:rsidRDefault="00C0546B" w:rsidP="00EC79EB">
      <w:pPr>
        <w:pStyle w:val="Nagwek4"/>
      </w:pPr>
      <w:bookmarkStart w:id="60" w:name="_Toc11247549"/>
      <w:r w:rsidRPr="00EC250C">
        <w:t>Dyskryminacja z</w:t>
      </w:r>
      <w:r w:rsidR="00C926E9" w:rsidRPr="00EC250C">
        <w:t>e względu na wiek</w:t>
      </w:r>
      <w:bookmarkEnd w:id="58"/>
      <w:bookmarkEnd w:id="60"/>
    </w:p>
    <w:p w14:paraId="190DB165" w14:textId="77777777" w:rsidR="00C91F6E" w:rsidRPr="00EC250C" w:rsidRDefault="00747BFE" w:rsidP="00EC250C">
      <w:pPr>
        <w:pStyle w:val="Nagwek5"/>
      </w:pPr>
      <w:r w:rsidRPr="00EC250C">
        <w:t>Definicja „młodego naukowca”</w:t>
      </w:r>
    </w:p>
    <w:p w14:paraId="3D5B31DB" w14:textId="77777777" w:rsidR="00B473F5" w:rsidRPr="00EC250C" w:rsidRDefault="00F91704" w:rsidP="00D131FA">
      <w:pPr>
        <w:pStyle w:val="Problemczowieka"/>
        <w:jc w:val="both"/>
      </w:pPr>
      <w:r w:rsidRPr="00EC250C">
        <w:t>Osoby rozpoczynające karierę naukową mogą korzystać ze specjaln</w:t>
      </w:r>
      <w:r w:rsidR="00532233" w:rsidRPr="00EC250C">
        <w:t xml:space="preserve">ego </w:t>
      </w:r>
      <w:r w:rsidRPr="00EC250C">
        <w:t xml:space="preserve">wsparcia ze strony państwa. Tyle że </w:t>
      </w:r>
      <w:r w:rsidR="002510D9" w:rsidRPr="00EC250C">
        <w:t>zdaniem ustawodawcy młod</w:t>
      </w:r>
      <w:r w:rsidR="00532233" w:rsidRPr="00EC250C">
        <w:t>ość naukowca kończy</w:t>
      </w:r>
      <w:r w:rsidR="00523F6E" w:rsidRPr="00EC250C">
        <w:t>ł</w:t>
      </w:r>
      <w:r w:rsidR="00A717DA" w:rsidRPr="00EC250C">
        <w:t>a</w:t>
      </w:r>
      <w:r w:rsidR="00532233" w:rsidRPr="00EC250C">
        <w:t xml:space="preserve"> się</w:t>
      </w:r>
      <w:r w:rsidR="00992FD0" w:rsidRPr="00EC250C">
        <w:t xml:space="preserve"> z </w:t>
      </w:r>
      <w:r w:rsidR="00F954BD" w:rsidRPr="00EC250C">
        <w:t xml:space="preserve">chwilą </w:t>
      </w:r>
      <w:r w:rsidR="002510D9" w:rsidRPr="00EC250C">
        <w:t>35</w:t>
      </w:r>
      <w:r w:rsidR="00351659" w:rsidRPr="00EC250C">
        <w:t>.</w:t>
      </w:r>
      <w:r w:rsidR="00F954BD" w:rsidRPr="00EC250C">
        <w:t xml:space="preserve"> urodzin</w:t>
      </w:r>
      <w:r w:rsidR="002510D9" w:rsidRPr="00EC250C">
        <w:t xml:space="preserve"> – niezależnie od tego, jak się człowiekowi ułożyło życie</w:t>
      </w:r>
      <w:r w:rsidR="00992FD0" w:rsidRPr="00EC250C">
        <w:t xml:space="preserve"> i </w:t>
      </w:r>
      <w:r w:rsidR="002510D9" w:rsidRPr="00EC250C">
        <w:t>kariera zawodowa.</w:t>
      </w:r>
      <w:r w:rsidR="00532233" w:rsidRPr="00EC250C">
        <w:t xml:space="preserve"> Od 1 października 2018</w:t>
      </w:r>
      <w:r w:rsidR="00C91F6E" w:rsidRPr="00EC250C">
        <w:t> r.</w:t>
      </w:r>
      <w:r w:rsidR="00532233" w:rsidRPr="00EC250C">
        <w:t xml:space="preserve"> kryteria się zmieniły</w:t>
      </w:r>
      <w:r w:rsidR="00B473F5" w:rsidRPr="00EC250C">
        <w:t>.</w:t>
      </w:r>
    </w:p>
    <w:p w14:paraId="6E9460F1" w14:textId="77777777" w:rsidR="00C91F6E" w:rsidRPr="00EC250C" w:rsidRDefault="00747BFE" w:rsidP="00D131FA">
      <w:pPr>
        <w:pStyle w:val="Styl1"/>
        <w:rPr>
          <w:bCs/>
          <w:iCs/>
        </w:rPr>
      </w:pPr>
      <w:r w:rsidRPr="00EC250C">
        <w:rPr>
          <w:bCs/>
          <w:iCs/>
        </w:rPr>
        <w:t xml:space="preserve">W ocenie </w:t>
      </w:r>
      <w:r w:rsidR="00073A8C" w:rsidRPr="00EC250C">
        <w:rPr>
          <w:bCs/>
          <w:iCs/>
        </w:rPr>
        <w:t>RPO</w:t>
      </w:r>
      <w:r w:rsidR="00FE66F9" w:rsidRPr="00EC250C">
        <w:rPr>
          <w:bCs/>
          <w:iCs/>
        </w:rPr>
        <w:t xml:space="preserve"> przedstawionej</w:t>
      </w:r>
      <w:r w:rsidR="00992FD0" w:rsidRPr="00EC250C">
        <w:rPr>
          <w:bCs/>
          <w:iCs/>
        </w:rPr>
        <w:t xml:space="preserve"> w </w:t>
      </w:r>
      <w:r w:rsidR="00FE66F9" w:rsidRPr="00EC250C">
        <w:rPr>
          <w:bCs/>
          <w:iCs/>
        </w:rPr>
        <w:t>wystąpieniu do MNiSW</w:t>
      </w:r>
      <w:r w:rsidRPr="00EC250C">
        <w:rPr>
          <w:bCs/>
          <w:iCs/>
        </w:rPr>
        <w:t xml:space="preserve"> </w:t>
      </w:r>
      <w:r w:rsidR="00F954BD" w:rsidRPr="00EC250C">
        <w:rPr>
          <w:bCs/>
          <w:iCs/>
        </w:rPr>
        <w:t xml:space="preserve">taki </w:t>
      </w:r>
      <w:r w:rsidRPr="00EC250C">
        <w:rPr>
          <w:bCs/>
          <w:iCs/>
        </w:rPr>
        <w:t>przepis ustawy</w:t>
      </w:r>
      <w:r w:rsidR="00992FD0" w:rsidRPr="00EC250C">
        <w:rPr>
          <w:bCs/>
          <w:iCs/>
        </w:rPr>
        <w:t xml:space="preserve"> o </w:t>
      </w:r>
      <w:r w:rsidRPr="00EC250C">
        <w:rPr>
          <w:bCs/>
          <w:iCs/>
        </w:rPr>
        <w:t>zasadach finansowania nauki</w:t>
      </w:r>
      <w:r w:rsidR="00FE66F9" w:rsidRPr="00EC250C">
        <w:rPr>
          <w:rStyle w:val="Odwoanieprzypisudolnego"/>
          <w:bCs/>
          <w:iCs/>
        </w:rPr>
        <w:footnoteReference w:id="38"/>
      </w:r>
      <w:r w:rsidRPr="00EC250C">
        <w:rPr>
          <w:bCs/>
          <w:iCs/>
        </w:rPr>
        <w:t xml:space="preserve"> </w:t>
      </w:r>
      <w:r w:rsidR="00F954BD" w:rsidRPr="00EC250C">
        <w:rPr>
          <w:bCs/>
          <w:iCs/>
        </w:rPr>
        <w:t>m</w:t>
      </w:r>
      <w:r w:rsidR="00FE66F9" w:rsidRPr="00EC250C">
        <w:rPr>
          <w:bCs/>
          <w:iCs/>
        </w:rPr>
        <w:t>iał</w:t>
      </w:r>
      <w:r w:rsidR="00F954BD" w:rsidRPr="00EC250C">
        <w:rPr>
          <w:bCs/>
          <w:iCs/>
        </w:rPr>
        <w:t xml:space="preserve"> </w:t>
      </w:r>
      <w:r w:rsidRPr="00EC250C">
        <w:rPr>
          <w:bCs/>
          <w:iCs/>
        </w:rPr>
        <w:t>charakter dyskryminujący.</w:t>
      </w:r>
      <w:r w:rsidR="00852A02" w:rsidRPr="00EC250C">
        <w:rPr>
          <w:bCs/>
          <w:iCs/>
        </w:rPr>
        <w:t xml:space="preserve"> </w:t>
      </w:r>
      <w:r w:rsidR="001825CA" w:rsidRPr="00EC250C">
        <w:rPr>
          <w:bCs/>
          <w:iCs/>
        </w:rPr>
        <w:t>W</w:t>
      </w:r>
      <w:r w:rsidRPr="00EC250C">
        <w:rPr>
          <w:bCs/>
          <w:iCs/>
        </w:rPr>
        <w:t>iek,</w:t>
      </w:r>
      <w:r w:rsidR="00992FD0" w:rsidRPr="00EC250C">
        <w:rPr>
          <w:bCs/>
          <w:iCs/>
        </w:rPr>
        <w:t xml:space="preserve"> w </w:t>
      </w:r>
      <w:r w:rsidRPr="00EC250C">
        <w:rPr>
          <w:bCs/>
          <w:iCs/>
        </w:rPr>
        <w:t>którym dana osoba rozpoczęła pracę naukową</w:t>
      </w:r>
      <w:r w:rsidR="002510D9" w:rsidRPr="00EC250C">
        <w:rPr>
          <w:bCs/>
          <w:iCs/>
        </w:rPr>
        <w:t>,</w:t>
      </w:r>
      <w:r w:rsidRPr="00EC250C">
        <w:rPr>
          <w:bCs/>
          <w:iCs/>
        </w:rPr>
        <w:t xml:space="preserve"> nie </w:t>
      </w:r>
      <w:r w:rsidR="002510D9" w:rsidRPr="00EC250C">
        <w:rPr>
          <w:bCs/>
          <w:iCs/>
        </w:rPr>
        <w:t>powinien decydować</w:t>
      </w:r>
      <w:r w:rsidR="00992FD0" w:rsidRPr="00EC250C">
        <w:rPr>
          <w:bCs/>
          <w:iCs/>
        </w:rPr>
        <w:t xml:space="preserve"> o </w:t>
      </w:r>
      <w:r w:rsidR="00532233" w:rsidRPr="00EC250C">
        <w:rPr>
          <w:bCs/>
          <w:iCs/>
        </w:rPr>
        <w:t xml:space="preserve">zasadach dostępu do </w:t>
      </w:r>
      <w:r w:rsidRPr="00EC250C">
        <w:rPr>
          <w:bCs/>
          <w:iCs/>
        </w:rPr>
        <w:t>środk</w:t>
      </w:r>
      <w:r w:rsidR="00532233" w:rsidRPr="00EC250C">
        <w:rPr>
          <w:bCs/>
          <w:iCs/>
        </w:rPr>
        <w:t>ów</w:t>
      </w:r>
      <w:r w:rsidRPr="00EC250C">
        <w:rPr>
          <w:bCs/>
          <w:iCs/>
        </w:rPr>
        <w:t xml:space="preserve"> na badania</w:t>
      </w:r>
      <w:r w:rsidR="00532233" w:rsidRPr="00EC250C">
        <w:rPr>
          <w:bCs/>
          <w:iCs/>
        </w:rPr>
        <w:t>.</w:t>
      </w:r>
    </w:p>
    <w:p w14:paraId="4D57FB34" w14:textId="77777777" w:rsidR="00747BFE" w:rsidRPr="00EC250C" w:rsidRDefault="00747BFE" w:rsidP="00D131FA">
      <w:pPr>
        <w:pStyle w:val="Styl1"/>
        <w:rPr>
          <w:bCs/>
          <w:iCs/>
        </w:rPr>
      </w:pPr>
      <w:r w:rsidRPr="00EC250C">
        <w:rPr>
          <w:bCs/>
          <w:iCs/>
        </w:rPr>
        <w:lastRenderedPageBreak/>
        <w:t>Minist</w:t>
      </w:r>
      <w:r w:rsidR="00532233" w:rsidRPr="00EC250C">
        <w:rPr>
          <w:bCs/>
          <w:iCs/>
        </w:rPr>
        <w:t>e</w:t>
      </w:r>
      <w:r w:rsidRPr="00EC250C">
        <w:rPr>
          <w:bCs/>
          <w:iCs/>
        </w:rPr>
        <w:t>r</w:t>
      </w:r>
      <w:r w:rsidR="005D43E5" w:rsidRPr="00EC250C">
        <w:rPr>
          <w:bCs/>
          <w:iCs/>
        </w:rPr>
        <w:t xml:space="preserve"> Nauki</w:t>
      </w:r>
      <w:r w:rsidR="00992FD0" w:rsidRPr="00EC250C">
        <w:rPr>
          <w:bCs/>
          <w:iCs/>
        </w:rPr>
        <w:t xml:space="preserve"> i </w:t>
      </w:r>
      <w:r w:rsidR="005D43E5" w:rsidRPr="00EC250C">
        <w:rPr>
          <w:bCs/>
          <w:iCs/>
        </w:rPr>
        <w:t>Szkolnictwa Wyższego</w:t>
      </w:r>
      <w:r w:rsidRPr="00EC250C">
        <w:rPr>
          <w:bCs/>
          <w:iCs/>
        </w:rPr>
        <w:t xml:space="preserve"> </w:t>
      </w:r>
      <w:r w:rsidR="00532233" w:rsidRPr="00EC250C">
        <w:rPr>
          <w:bCs/>
          <w:iCs/>
        </w:rPr>
        <w:t>zgodził się</w:t>
      </w:r>
      <w:r w:rsidR="00992FD0" w:rsidRPr="00EC250C">
        <w:rPr>
          <w:bCs/>
          <w:iCs/>
        </w:rPr>
        <w:t xml:space="preserve"> z </w:t>
      </w:r>
      <w:r w:rsidR="00532233" w:rsidRPr="00EC250C">
        <w:rPr>
          <w:bCs/>
          <w:iCs/>
        </w:rPr>
        <w:t>tym</w:t>
      </w:r>
      <w:r w:rsidR="00992FD0" w:rsidRPr="00EC250C">
        <w:rPr>
          <w:bCs/>
          <w:iCs/>
        </w:rPr>
        <w:t xml:space="preserve"> i </w:t>
      </w:r>
      <w:r w:rsidR="00532233" w:rsidRPr="00EC250C">
        <w:rPr>
          <w:bCs/>
          <w:iCs/>
        </w:rPr>
        <w:t>poinformował</w:t>
      </w:r>
      <w:r w:rsidRPr="00EC250C">
        <w:rPr>
          <w:bCs/>
          <w:iCs/>
        </w:rPr>
        <w:t>, że</w:t>
      </w:r>
      <w:r w:rsidR="00963EDF" w:rsidRPr="00EC250C">
        <w:rPr>
          <w:bCs/>
          <w:iCs/>
        </w:rPr>
        <w:t xml:space="preserve"> </w:t>
      </w:r>
      <w:r w:rsidR="00532233" w:rsidRPr="00EC250C">
        <w:rPr>
          <w:bCs/>
          <w:iCs/>
        </w:rPr>
        <w:t xml:space="preserve">po zmianach przepisów </w:t>
      </w:r>
      <w:r w:rsidRPr="00EC250C">
        <w:rPr>
          <w:bCs/>
          <w:iCs/>
        </w:rPr>
        <w:t>„młod</w:t>
      </w:r>
      <w:r w:rsidR="00532233" w:rsidRPr="00EC250C">
        <w:rPr>
          <w:bCs/>
          <w:iCs/>
        </w:rPr>
        <w:t>ym</w:t>
      </w:r>
      <w:r w:rsidRPr="00EC250C">
        <w:rPr>
          <w:bCs/>
          <w:iCs/>
        </w:rPr>
        <w:t xml:space="preserve"> naukowc</w:t>
      </w:r>
      <w:r w:rsidR="00532233" w:rsidRPr="00EC250C">
        <w:rPr>
          <w:bCs/>
          <w:iCs/>
        </w:rPr>
        <w:t>em</w:t>
      </w:r>
      <w:r w:rsidRPr="00EC250C">
        <w:rPr>
          <w:bCs/>
          <w:iCs/>
        </w:rPr>
        <w:t>”</w:t>
      </w:r>
      <w:r w:rsidR="00532233" w:rsidRPr="00EC250C">
        <w:rPr>
          <w:bCs/>
          <w:iCs/>
        </w:rPr>
        <w:t xml:space="preserve"> będzie ktoś, kto </w:t>
      </w:r>
      <w:r w:rsidRPr="00EC250C">
        <w:rPr>
          <w:bCs/>
          <w:iCs/>
        </w:rPr>
        <w:t>prowadz</w:t>
      </w:r>
      <w:r w:rsidR="00532233" w:rsidRPr="00EC250C">
        <w:rPr>
          <w:bCs/>
          <w:iCs/>
        </w:rPr>
        <w:t>i</w:t>
      </w:r>
      <w:r w:rsidRPr="00EC250C">
        <w:rPr>
          <w:bCs/>
          <w:iCs/>
        </w:rPr>
        <w:t xml:space="preserve"> działalność naukową, jest doktorantem</w:t>
      </w:r>
      <w:r w:rsidR="00532233" w:rsidRPr="00EC250C">
        <w:rPr>
          <w:bCs/>
          <w:iCs/>
        </w:rPr>
        <w:t xml:space="preserve"> </w:t>
      </w:r>
      <w:r w:rsidRPr="00EC250C">
        <w:rPr>
          <w:bCs/>
          <w:iCs/>
        </w:rPr>
        <w:t xml:space="preserve">albo </w:t>
      </w:r>
      <w:r w:rsidR="00532233" w:rsidRPr="00EC250C">
        <w:rPr>
          <w:bCs/>
          <w:iCs/>
        </w:rPr>
        <w:t xml:space="preserve">ma </w:t>
      </w:r>
      <w:r w:rsidRPr="00EC250C">
        <w:rPr>
          <w:bCs/>
          <w:iCs/>
        </w:rPr>
        <w:t xml:space="preserve">stopień doktora </w:t>
      </w:r>
      <w:r w:rsidR="00532233" w:rsidRPr="00EC250C">
        <w:rPr>
          <w:bCs/>
          <w:iCs/>
        </w:rPr>
        <w:t xml:space="preserve">nie dłużej niż </w:t>
      </w:r>
      <w:r w:rsidRPr="00EC250C">
        <w:rPr>
          <w:bCs/>
          <w:iCs/>
        </w:rPr>
        <w:t>7 lat</w:t>
      </w:r>
      <w:r w:rsidR="00523F6E" w:rsidRPr="00EC250C">
        <w:rPr>
          <w:rStyle w:val="Odwoanieprzypisudolnego"/>
          <w:bCs/>
          <w:iCs/>
        </w:rPr>
        <w:footnoteReference w:id="39"/>
      </w:r>
      <w:r w:rsidRPr="00EC250C">
        <w:rPr>
          <w:bCs/>
          <w:iCs/>
        </w:rPr>
        <w:t>.</w:t>
      </w:r>
    </w:p>
    <w:p w14:paraId="434CEB42" w14:textId="77777777" w:rsidR="008B073B" w:rsidRPr="00EC250C" w:rsidRDefault="008B073B" w:rsidP="00EC250C">
      <w:pPr>
        <w:pStyle w:val="Nagwek5"/>
      </w:pPr>
      <w:r w:rsidRPr="00EC250C">
        <w:t>Pozbawienie biernego prawa wyborczego</w:t>
      </w:r>
      <w:r w:rsidR="00774C23" w:rsidRPr="00EC250C">
        <w:t xml:space="preserve"> części</w:t>
      </w:r>
      <w:r w:rsidRPr="00EC250C">
        <w:t xml:space="preserve"> pracowników naukowych</w:t>
      </w:r>
      <w:r w:rsidR="00992FD0" w:rsidRPr="00EC250C">
        <w:t xml:space="preserve"> w </w:t>
      </w:r>
      <w:r w:rsidRPr="00EC250C">
        <w:t>wyborach do władz uczelni</w:t>
      </w:r>
    </w:p>
    <w:p w14:paraId="78EA15FE" w14:textId="77777777" w:rsidR="00B473F5" w:rsidRPr="00EC250C" w:rsidRDefault="00F954BD" w:rsidP="00D131FA">
      <w:pPr>
        <w:pStyle w:val="Problemczowieka"/>
        <w:jc w:val="both"/>
      </w:pPr>
      <w:r w:rsidRPr="00EC250C">
        <w:t>Do władz uczelni można kandydować do 67. roku życia,</w:t>
      </w:r>
      <w:r w:rsidR="00992FD0" w:rsidRPr="00EC250C">
        <w:t xml:space="preserve"> a w </w:t>
      </w:r>
      <w:r w:rsidRPr="00EC250C">
        <w:t>instytucjach wspierających zarządzanie nauką – do 70. roku</w:t>
      </w:r>
      <w:r w:rsidR="00101A3F" w:rsidRPr="00EC250C">
        <w:rPr>
          <w:rStyle w:val="Odwoanieprzypisudolnego"/>
          <w:bCs/>
          <w:iCs/>
        </w:rPr>
        <w:footnoteReference w:id="40"/>
      </w:r>
      <w:r w:rsidR="00B473F5" w:rsidRPr="00EC250C">
        <w:rPr>
          <w:bCs/>
          <w:iCs/>
        </w:rPr>
        <w:t>.</w:t>
      </w:r>
    </w:p>
    <w:p w14:paraId="475ABB5E" w14:textId="77777777" w:rsidR="00C91F6E" w:rsidRPr="00EC250C" w:rsidRDefault="008B073B" w:rsidP="00D131FA">
      <w:pPr>
        <w:pStyle w:val="Styl1"/>
        <w:rPr>
          <w:bCs/>
          <w:iCs/>
        </w:rPr>
      </w:pPr>
      <w:r w:rsidRPr="00EC250C">
        <w:rPr>
          <w:bCs/>
          <w:iCs/>
        </w:rPr>
        <w:t xml:space="preserve">W ocenie </w:t>
      </w:r>
      <w:r w:rsidR="00073A8C" w:rsidRPr="00EC250C">
        <w:rPr>
          <w:bCs/>
          <w:iCs/>
        </w:rPr>
        <w:t>RPO</w:t>
      </w:r>
      <w:r w:rsidRPr="00EC250C">
        <w:rPr>
          <w:bCs/>
          <w:iCs/>
        </w:rPr>
        <w:t xml:space="preserve"> </w:t>
      </w:r>
      <w:r w:rsidR="00F954BD" w:rsidRPr="00EC250C">
        <w:rPr>
          <w:bCs/>
          <w:iCs/>
        </w:rPr>
        <w:t xml:space="preserve">wystarczyłoby kryterium </w:t>
      </w:r>
      <w:r w:rsidRPr="00EC250C">
        <w:rPr>
          <w:bCs/>
          <w:iCs/>
        </w:rPr>
        <w:t>doświadczeni</w:t>
      </w:r>
      <w:r w:rsidR="00F954BD" w:rsidRPr="00EC250C">
        <w:rPr>
          <w:bCs/>
          <w:iCs/>
        </w:rPr>
        <w:t>a</w:t>
      </w:r>
      <w:r w:rsidR="00992FD0" w:rsidRPr="00EC250C">
        <w:rPr>
          <w:bCs/>
          <w:iCs/>
        </w:rPr>
        <w:t xml:space="preserve"> i </w:t>
      </w:r>
      <w:r w:rsidRPr="00EC250C">
        <w:rPr>
          <w:bCs/>
          <w:iCs/>
        </w:rPr>
        <w:t>wiedz</w:t>
      </w:r>
      <w:r w:rsidR="00F954BD" w:rsidRPr="00EC250C">
        <w:rPr>
          <w:bCs/>
          <w:iCs/>
        </w:rPr>
        <w:t>y</w:t>
      </w:r>
      <w:r w:rsidRPr="00EC250C">
        <w:rPr>
          <w:bCs/>
          <w:iCs/>
        </w:rPr>
        <w:t xml:space="preserve">. </w:t>
      </w:r>
      <w:r w:rsidR="00101A3F" w:rsidRPr="00EC250C">
        <w:rPr>
          <w:bCs/>
          <w:iCs/>
        </w:rPr>
        <w:t>O</w:t>
      </w:r>
      <w:r w:rsidRPr="00EC250C">
        <w:rPr>
          <w:bCs/>
          <w:iCs/>
        </w:rPr>
        <w:t>graniczenie wiekowe wyklucza możliwość pełnienia funkcji przez wybitnych specjalistów, których wiedza</w:t>
      </w:r>
      <w:r w:rsidR="00992FD0" w:rsidRPr="00EC250C">
        <w:rPr>
          <w:bCs/>
          <w:iCs/>
        </w:rPr>
        <w:t xml:space="preserve"> i </w:t>
      </w:r>
      <w:r w:rsidRPr="00EC250C">
        <w:rPr>
          <w:bCs/>
          <w:iCs/>
        </w:rPr>
        <w:t>doświadczenie mają kluczowe znaczenie dla odpowiedniej realizacji celów wspomnianych organów</w:t>
      </w:r>
      <w:r w:rsidR="00992FD0" w:rsidRPr="00EC250C">
        <w:rPr>
          <w:bCs/>
          <w:iCs/>
        </w:rPr>
        <w:t xml:space="preserve"> i </w:t>
      </w:r>
      <w:r w:rsidRPr="00EC250C">
        <w:rPr>
          <w:bCs/>
          <w:iCs/>
        </w:rPr>
        <w:t>instytucji</w:t>
      </w:r>
      <w:r w:rsidR="00F954BD" w:rsidRPr="00EC250C">
        <w:rPr>
          <w:bCs/>
          <w:iCs/>
        </w:rPr>
        <w:t>.</w:t>
      </w:r>
    </w:p>
    <w:p w14:paraId="7ED2D5FE" w14:textId="77777777" w:rsidR="005B0840" w:rsidRPr="00EC250C" w:rsidRDefault="008B073B" w:rsidP="00D131FA">
      <w:pPr>
        <w:pStyle w:val="Styl1"/>
        <w:rPr>
          <w:bCs/>
          <w:iCs/>
        </w:rPr>
      </w:pPr>
      <w:r w:rsidRPr="00EC250C">
        <w:rPr>
          <w:bCs/>
          <w:iCs/>
        </w:rPr>
        <w:t>Minist</w:t>
      </w:r>
      <w:r w:rsidR="00F954BD" w:rsidRPr="00EC250C">
        <w:rPr>
          <w:bCs/>
          <w:iCs/>
        </w:rPr>
        <w:t>e</w:t>
      </w:r>
      <w:r w:rsidRPr="00EC250C">
        <w:rPr>
          <w:bCs/>
          <w:iCs/>
        </w:rPr>
        <w:t>r Nauki</w:t>
      </w:r>
      <w:r w:rsidR="00992FD0" w:rsidRPr="00EC250C">
        <w:rPr>
          <w:bCs/>
          <w:iCs/>
        </w:rPr>
        <w:t xml:space="preserve"> i </w:t>
      </w:r>
      <w:r w:rsidRPr="00EC250C">
        <w:rPr>
          <w:bCs/>
          <w:iCs/>
        </w:rPr>
        <w:t xml:space="preserve">Szkolnictwa Wyższego </w:t>
      </w:r>
      <w:r w:rsidR="00F954BD" w:rsidRPr="00EC250C">
        <w:rPr>
          <w:bCs/>
          <w:iCs/>
        </w:rPr>
        <w:t>uznał jednak</w:t>
      </w:r>
      <w:r w:rsidR="005B0840" w:rsidRPr="00EC250C">
        <w:rPr>
          <w:bCs/>
          <w:iCs/>
        </w:rPr>
        <w:t xml:space="preserve">, że </w:t>
      </w:r>
      <w:r w:rsidR="00101A3F" w:rsidRPr="00EC250C">
        <w:rPr>
          <w:bCs/>
          <w:iCs/>
        </w:rPr>
        <w:t xml:space="preserve">stosowane rozwiązania są </w:t>
      </w:r>
      <w:r w:rsidR="005B0840" w:rsidRPr="00EC250C">
        <w:rPr>
          <w:bCs/>
          <w:iCs/>
        </w:rPr>
        <w:t>dopuszczalne</w:t>
      </w:r>
      <w:r w:rsidR="00523F6E" w:rsidRPr="00EC250C">
        <w:rPr>
          <w:rStyle w:val="Odwoanieprzypisudolnego"/>
          <w:bCs/>
          <w:iCs/>
        </w:rPr>
        <w:footnoteReference w:id="41"/>
      </w:r>
      <w:r w:rsidR="00101A3F" w:rsidRPr="00EC250C">
        <w:rPr>
          <w:bCs/>
          <w:iCs/>
        </w:rPr>
        <w:t>.</w:t>
      </w:r>
    </w:p>
    <w:p w14:paraId="79687119" w14:textId="77777777" w:rsidR="00C91F6E" w:rsidRPr="00EC250C" w:rsidRDefault="00F954BD" w:rsidP="00EC250C">
      <w:pPr>
        <w:pStyle w:val="Nagwek5"/>
      </w:pPr>
      <w:r w:rsidRPr="00EC250C">
        <w:t>D</w:t>
      </w:r>
      <w:r w:rsidR="00552BA0" w:rsidRPr="00EC250C">
        <w:t>yskryminacja ze względu na wiek wobec kandydatów na aplikacje</w:t>
      </w:r>
      <w:r w:rsidR="00992FD0" w:rsidRPr="00EC250C">
        <w:t xml:space="preserve"> w </w:t>
      </w:r>
      <w:r w:rsidR="00552BA0" w:rsidRPr="00EC250C">
        <w:t>Krajowej Szkole Sądownictwa</w:t>
      </w:r>
      <w:r w:rsidR="00992FD0" w:rsidRPr="00EC250C">
        <w:t xml:space="preserve"> i </w:t>
      </w:r>
      <w:r w:rsidR="00552BA0" w:rsidRPr="00EC250C">
        <w:t>Prokuratury</w:t>
      </w:r>
    </w:p>
    <w:p w14:paraId="36C7C7CA" w14:textId="77777777" w:rsidR="00B473F5" w:rsidRPr="00EC250C" w:rsidRDefault="00BF637F" w:rsidP="00D131FA">
      <w:pPr>
        <w:pStyle w:val="Problemczowieka"/>
        <w:jc w:val="both"/>
      </w:pPr>
      <w:r w:rsidRPr="00EC250C">
        <w:t>N</w:t>
      </w:r>
      <w:r w:rsidR="00552BA0" w:rsidRPr="00EC250C">
        <w:t xml:space="preserve">a aplikację sędziowską oraz aplikację sędziowską uzupełniającą </w:t>
      </w:r>
      <w:r w:rsidR="006B3DAE" w:rsidRPr="00EC250C">
        <w:t>m</w:t>
      </w:r>
      <w:r w:rsidRPr="00EC250C">
        <w:t>oże się dostać tylko osoba, która nie ma jeszcze 35 lat,</w:t>
      </w:r>
      <w:r w:rsidR="00992FD0" w:rsidRPr="00EC250C">
        <w:t xml:space="preserve"> a w </w:t>
      </w:r>
      <w:r w:rsidRPr="00EC250C">
        <w:t>przypadku aplikacji prokuratorskiej – 40 lat</w:t>
      </w:r>
      <w:r w:rsidR="00101A3F" w:rsidRPr="00EC250C">
        <w:rPr>
          <w:rStyle w:val="Odwoanieprzypisudolnego"/>
          <w:bCs/>
          <w:iCs/>
        </w:rPr>
        <w:footnoteReference w:id="42"/>
      </w:r>
      <w:r w:rsidR="00B473F5" w:rsidRPr="00EC250C">
        <w:t>.</w:t>
      </w:r>
    </w:p>
    <w:p w14:paraId="29486607" w14:textId="0B1E69F9" w:rsidR="005A39E4" w:rsidRPr="00EC250C" w:rsidRDefault="006B3DAE" w:rsidP="00D131FA">
      <w:pPr>
        <w:pStyle w:val="Styl1"/>
        <w:rPr>
          <w:bCs/>
          <w:iCs/>
        </w:rPr>
      </w:pPr>
      <w:r w:rsidRPr="00EC250C">
        <w:rPr>
          <w:bCs/>
          <w:iCs/>
        </w:rPr>
        <w:t>W ocenie Rzecznika nie wiek, lecz kwalifikacje</w:t>
      </w:r>
      <w:r w:rsidR="00992FD0" w:rsidRPr="00EC250C">
        <w:rPr>
          <w:bCs/>
          <w:iCs/>
        </w:rPr>
        <w:t xml:space="preserve"> i </w:t>
      </w:r>
      <w:r w:rsidR="00101A3F" w:rsidRPr="00EC250C">
        <w:rPr>
          <w:bCs/>
          <w:iCs/>
        </w:rPr>
        <w:t xml:space="preserve">doświadczenie </w:t>
      </w:r>
      <w:r w:rsidRPr="00EC250C">
        <w:rPr>
          <w:bCs/>
          <w:iCs/>
        </w:rPr>
        <w:t>zawodowe powinny decydować</w:t>
      </w:r>
      <w:r w:rsidR="00992FD0" w:rsidRPr="00EC250C">
        <w:rPr>
          <w:bCs/>
          <w:iCs/>
        </w:rPr>
        <w:t xml:space="preserve"> o </w:t>
      </w:r>
      <w:r w:rsidRPr="00EC250C">
        <w:rPr>
          <w:bCs/>
          <w:iCs/>
        </w:rPr>
        <w:t>dostępie do zawodu sędziego lub prokuratora.</w:t>
      </w:r>
      <w:r w:rsidR="00101A3F" w:rsidRPr="00EC250C">
        <w:rPr>
          <w:bCs/>
          <w:iCs/>
        </w:rPr>
        <w:t xml:space="preserve"> </w:t>
      </w:r>
      <w:r w:rsidR="00552BA0" w:rsidRPr="00EC250C">
        <w:rPr>
          <w:bCs/>
          <w:iCs/>
        </w:rPr>
        <w:t>Minist</w:t>
      </w:r>
      <w:r w:rsidRPr="00EC250C">
        <w:rPr>
          <w:bCs/>
          <w:iCs/>
        </w:rPr>
        <w:t>e</w:t>
      </w:r>
      <w:r w:rsidR="00552BA0" w:rsidRPr="00EC250C">
        <w:rPr>
          <w:bCs/>
          <w:iCs/>
        </w:rPr>
        <w:t>r</w:t>
      </w:r>
      <w:r w:rsidR="008559D9" w:rsidRPr="00EC250C">
        <w:rPr>
          <w:bCs/>
          <w:iCs/>
        </w:rPr>
        <w:t xml:space="preserve"> Sprawiedliwości</w:t>
      </w:r>
      <w:r w:rsidR="00010153" w:rsidRPr="00EC250C">
        <w:rPr>
          <w:bCs/>
          <w:iCs/>
        </w:rPr>
        <w:t xml:space="preserve"> </w:t>
      </w:r>
      <w:r w:rsidRPr="00EC250C">
        <w:rPr>
          <w:bCs/>
          <w:iCs/>
        </w:rPr>
        <w:t>uważa jednak, że przepisów zmieniać nie trzeba</w:t>
      </w:r>
      <w:r w:rsidR="00774C23" w:rsidRPr="00EC250C">
        <w:rPr>
          <w:bCs/>
          <w:iCs/>
        </w:rPr>
        <w:t xml:space="preserve"> podnosząc argument finansowy. Uważa bowiem, że koszty wyszkolenia aplikanta ponoszone przez państwo w relacji do krótkiego okresu pracy byłyby zbyt wysokie. Dla RPO nie jest to wystarczający argument różnicowania kandydatów ze względu na wiek</w:t>
      </w:r>
      <w:r w:rsidR="00262BFC" w:rsidRPr="00EC250C">
        <w:rPr>
          <w:bCs/>
          <w:iCs/>
        </w:rPr>
        <w:t>. RPO rozważa w tej sprawie kolejne kroki prawne</w:t>
      </w:r>
      <w:r w:rsidR="00523F6E" w:rsidRPr="00EC250C">
        <w:rPr>
          <w:rStyle w:val="Odwoanieprzypisudolnego"/>
          <w:bCs/>
          <w:iCs/>
        </w:rPr>
        <w:footnoteReference w:id="43"/>
      </w:r>
      <w:r w:rsidR="00010153" w:rsidRPr="00EC250C">
        <w:rPr>
          <w:bCs/>
          <w:iCs/>
        </w:rPr>
        <w:t>.</w:t>
      </w:r>
    </w:p>
    <w:p w14:paraId="597EE59F" w14:textId="77777777" w:rsidR="005A39E4" w:rsidRPr="00EC250C" w:rsidRDefault="005A39E4" w:rsidP="00EC250C">
      <w:pPr>
        <w:pStyle w:val="Nagwek5"/>
      </w:pPr>
      <w:r w:rsidRPr="00EC250C">
        <w:t>Ograniczenie wiekowe dla słuchaczy Krajowej Szkoły Administracji Publicznej</w:t>
      </w:r>
    </w:p>
    <w:p w14:paraId="743BDEBF" w14:textId="77777777" w:rsidR="00B473F5" w:rsidRPr="00EC250C" w:rsidRDefault="00E305D3" w:rsidP="00D131FA">
      <w:pPr>
        <w:pStyle w:val="Problemczowieka"/>
        <w:jc w:val="both"/>
      </w:pPr>
      <w:r w:rsidRPr="00EC250C">
        <w:t xml:space="preserve">O </w:t>
      </w:r>
      <w:r w:rsidR="006C1447" w:rsidRPr="00EC250C">
        <w:t xml:space="preserve">przyjęcie </w:t>
      </w:r>
      <w:r w:rsidRPr="00EC250C">
        <w:t>na KSAP można się ubiegać do 32. roku życia</w:t>
      </w:r>
      <w:r w:rsidR="00523F6E" w:rsidRPr="00EC250C">
        <w:rPr>
          <w:vertAlign w:val="superscript"/>
        </w:rPr>
        <w:footnoteReference w:id="44"/>
      </w:r>
      <w:r w:rsidR="00B473F5" w:rsidRPr="00EC250C">
        <w:t>.</w:t>
      </w:r>
    </w:p>
    <w:p w14:paraId="37DD4B5C" w14:textId="77777777" w:rsidR="00523F6E" w:rsidRPr="00EC250C" w:rsidRDefault="005A39E4" w:rsidP="00D131FA">
      <w:pPr>
        <w:pStyle w:val="Styl1"/>
      </w:pPr>
      <w:r w:rsidRPr="00EC250C">
        <w:t>W ocenie R</w:t>
      </w:r>
      <w:r w:rsidR="007939F2" w:rsidRPr="00EC250C">
        <w:t>zecznika</w:t>
      </w:r>
      <w:r w:rsidRPr="00EC250C">
        <w:t xml:space="preserve"> </w:t>
      </w:r>
      <w:r w:rsidR="00073A8C" w:rsidRPr="00EC250C">
        <w:t xml:space="preserve">Praw Obywatelskich </w:t>
      </w:r>
      <w:r w:rsidR="00E305D3" w:rsidRPr="00EC250C">
        <w:t xml:space="preserve">to </w:t>
      </w:r>
      <w:r w:rsidRPr="00EC250C">
        <w:t xml:space="preserve">ograniczenie wiekowe </w:t>
      </w:r>
      <w:r w:rsidR="00E305D3" w:rsidRPr="00EC250C">
        <w:t>jest niepotrzebne</w:t>
      </w:r>
      <w:r w:rsidR="00992FD0" w:rsidRPr="00EC250C">
        <w:t xml:space="preserve"> i </w:t>
      </w:r>
      <w:r w:rsidRPr="00EC250C">
        <w:t xml:space="preserve">niewspółmierne do celu, jakim jest </w:t>
      </w:r>
      <w:r w:rsidR="00E305D3" w:rsidRPr="00EC250C">
        <w:t xml:space="preserve">to, by absolwent tej elitarnej szkoły przepracował </w:t>
      </w:r>
      <w:r w:rsidR="00334ACC" w:rsidRPr="00EC250C">
        <w:t xml:space="preserve">potem </w:t>
      </w:r>
      <w:r w:rsidRPr="00EC250C">
        <w:t>minimum 5 lat</w:t>
      </w:r>
      <w:r w:rsidR="00992FD0" w:rsidRPr="00EC250C">
        <w:t xml:space="preserve"> w </w:t>
      </w:r>
      <w:r w:rsidRPr="00EC250C">
        <w:t>administracji publicznej</w:t>
      </w:r>
      <w:r w:rsidR="00101A3F" w:rsidRPr="00EC250C">
        <w:t xml:space="preserve">. Jak się dowiedział RPO, „prowadzone są teraz prace </w:t>
      </w:r>
      <w:r w:rsidR="00101A3F" w:rsidRPr="00EC250C">
        <w:lastRenderedPageBreak/>
        <w:t>analityczne nad kompleksową zmianą systemu kształcenia</w:t>
      </w:r>
      <w:r w:rsidR="00992FD0" w:rsidRPr="00EC250C">
        <w:t xml:space="preserve"> w </w:t>
      </w:r>
      <w:r w:rsidR="00101A3F" w:rsidRPr="00EC250C">
        <w:t>KSAP”,</w:t>
      </w:r>
      <w:r w:rsidR="00992FD0" w:rsidRPr="00EC250C">
        <w:t xml:space="preserve"> a </w:t>
      </w:r>
      <w:r w:rsidR="00101A3F" w:rsidRPr="00EC250C">
        <w:t>argumenty Rzecznika zostaną wzięte pod uwagę</w:t>
      </w:r>
      <w:r w:rsidR="00523F6E" w:rsidRPr="00EC250C">
        <w:rPr>
          <w:vertAlign w:val="superscript"/>
        </w:rPr>
        <w:footnoteReference w:id="45"/>
      </w:r>
      <w:r w:rsidR="00101A3F" w:rsidRPr="00EC250C">
        <w:t>.</w:t>
      </w:r>
      <w:bookmarkStart w:id="61" w:name="_Toc6257647"/>
      <w:bookmarkStart w:id="62" w:name="_Toc7113853"/>
      <w:bookmarkEnd w:id="59"/>
    </w:p>
    <w:p w14:paraId="3FA0D992" w14:textId="77777777" w:rsidR="00D20AD3" w:rsidRPr="00EC250C" w:rsidRDefault="00D20AD3" w:rsidP="00EC79EB">
      <w:pPr>
        <w:pStyle w:val="Nagwek4"/>
      </w:pPr>
      <w:bookmarkStart w:id="63" w:name="_Toc11247550"/>
      <w:r w:rsidRPr="00EC250C">
        <w:t>Dyskryminacja ze względu na niepełnosprawność</w:t>
      </w:r>
      <w:bookmarkEnd w:id="61"/>
      <w:bookmarkEnd w:id="63"/>
    </w:p>
    <w:p w14:paraId="18C78504" w14:textId="77777777" w:rsidR="00B473F5" w:rsidRPr="00EC250C" w:rsidRDefault="00073A8C" w:rsidP="00D131FA">
      <w:pPr>
        <w:pStyle w:val="Problemczowieka"/>
        <w:jc w:val="both"/>
      </w:pPr>
      <w:r w:rsidRPr="00EC250C">
        <w:t xml:space="preserve">RPO </w:t>
      </w:r>
      <w:r w:rsidR="00584C2A" w:rsidRPr="00EC250C">
        <w:t>niemal na każdym wyjeździe regionalnym, niezależnie od miejsca, od wielkości miejscowości, którą odwiedza, spotyka ludzi borykających się</w:t>
      </w:r>
      <w:r w:rsidR="00992FD0" w:rsidRPr="00EC250C">
        <w:t xml:space="preserve"> z </w:t>
      </w:r>
      <w:r w:rsidR="00584C2A" w:rsidRPr="00EC250C">
        <w:t>trudnościami związanymi</w:t>
      </w:r>
      <w:r w:rsidR="00992FD0" w:rsidRPr="00EC250C">
        <w:t xml:space="preserve"> z </w:t>
      </w:r>
      <w:r w:rsidR="00584C2A" w:rsidRPr="00EC250C">
        <w:t>niepełnosprawnością</w:t>
      </w:r>
      <w:r w:rsidR="00992FD0" w:rsidRPr="00EC250C">
        <w:t xml:space="preserve"> i </w:t>
      </w:r>
      <w:r w:rsidR="00584C2A" w:rsidRPr="00EC250C">
        <w:t>niewydolnością państwowego systemu wsparcia. Na skalę tego problemu – który uniemożliwia realizację podstawowych praw</w:t>
      </w:r>
      <w:r w:rsidR="00992FD0" w:rsidRPr="00EC250C">
        <w:t xml:space="preserve"> i </w:t>
      </w:r>
      <w:r w:rsidR="00584C2A" w:rsidRPr="00EC250C">
        <w:t>wolności</w:t>
      </w:r>
      <w:r w:rsidR="00992FD0" w:rsidRPr="00EC250C">
        <w:t xml:space="preserve"> z </w:t>
      </w:r>
      <w:r w:rsidR="00584C2A" w:rsidRPr="00EC250C">
        <w:t>powodu niepełnosprawności – zwracali też uwagę obywatele</w:t>
      </w:r>
      <w:r w:rsidR="00992FD0" w:rsidRPr="00EC250C">
        <w:t xml:space="preserve"> z </w:t>
      </w:r>
      <w:r w:rsidR="00584C2A" w:rsidRPr="00EC250C">
        <w:t>niepełnosprawnościami, którzy</w:t>
      </w:r>
      <w:r w:rsidR="00992FD0" w:rsidRPr="00EC250C">
        <w:t xml:space="preserve"> w </w:t>
      </w:r>
      <w:r w:rsidR="00584C2A" w:rsidRPr="00EC250C">
        <w:t>kwietniu</w:t>
      </w:r>
      <w:r w:rsidR="00992FD0" w:rsidRPr="00EC250C">
        <w:t xml:space="preserve"> i w </w:t>
      </w:r>
      <w:r w:rsidR="00584C2A" w:rsidRPr="00EC250C">
        <w:t>maju 2018</w:t>
      </w:r>
      <w:r w:rsidR="00C91F6E" w:rsidRPr="00EC250C">
        <w:t> r.</w:t>
      </w:r>
      <w:r w:rsidR="00584C2A" w:rsidRPr="00EC250C">
        <w:t xml:space="preserve"> protestowali</w:t>
      </w:r>
      <w:r w:rsidR="00992FD0" w:rsidRPr="00EC250C">
        <w:t xml:space="preserve"> w </w:t>
      </w:r>
      <w:r w:rsidR="00584C2A" w:rsidRPr="00EC250C">
        <w:t>Sejmie</w:t>
      </w:r>
      <w:r w:rsidR="00B473F5" w:rsidRPr="00EC250C">
        <w:t>.</w:t>
      </w:r>
    </w:p>
    <w:p w14:paraId="3946AF2A" w14:textId="77777777" w:rsidR="00546C7B" w:rsidRPr="00EC250C" w:rsidRDefault="00094536" w:rsidP="00D131FA">
      <w:pPr>
        <w:pStyle w:val="Styl1"/>
      </w:pPr>
      <w:r w:rsidRPr="00EC250C">
        <w:t>Problemy osób</w:t>
      </w:r>
      <w:r w:rsidR="00992FD0" w:rsidRPr="00EC250C">
        <w:t xml:space="preserve"> z </w:t>
      </w:r>
      <w:r w:rsidRPr="00EC250C">
        <w:t>niepełnosprawnościami dotyczą wielu dziedzin życia</w:t>
      </w:r>
      <w:r w:rsidR="00992FD0" w:rsidRPr="00EC250C">
        <w:t xml:space="preserve"> i </w:t>
      </w:r>
      <w:r w:rsidRPr="00EC250C">
        <w:t>nie kończą się na zagadnieniu dyskryminacji. Równie poważną kwestią jest umożliwienie faktycznego korzystania</w:t>
      </w:r>
      <w:r w:rsidR="00992FD0" w:rsidRPr="00EC250C">
        <w:t xml:space="preserve"> z </w:t>
      </w:r>
      <w:r w:rsidRPr="00EC250C">
        <w:t>praw, jakie gwarantuje Konstytucja. Zobowiązała ona państwo do tego</w:t>
      </w:r>
      <w:r w:rsidR="00992FD0" w:rsidRPr="00EC250C">
        <w:t xml:space="preserve"> w </w:t>
      </w:r>
      <w:r w:rsidRPr="00EC250C">
        <w:t>osobnym artykule.</w:t>
      </w:r>
      <w:r w:rsidR="00546C7B" w:rsidRPr="00EC250C">
        <w:t xml:space="preserve"> Rzecznik niemal na każdym wyjeździe regionalnym, niezależnie od miejsca, od wielkości miejscowości, którą odwiedza, spotyka ludzi borykających się z trudnościami związanymi z niepełnosprawnością i niewydolnością państwowego systemu wsparcia. Na skalę tego problemu – który uniemożliwia realizację podstawowych praw i wolności – zwracali też uwagę obywatele z niepełnosprawnościami, którzy w kwietniu i w maju 2018 r. protestowali w Sejmie. </w:t>
      </w:r>
    </w:p>
    <w:p w14:paraId="67BAA763" w14:textId="77777777" w:rsidR="00C91F6E" w:rsidRPr="00EC250C" w:rsidRDefault="00546C7B" w:rsidP="00D131FA">
      <w:pPr>
        <w:pStyle w:val="Styl1"/>
      </w:pPr>
      <w:r w:rsidRPr="00EC250C">
        <w:t>Bariery, z jakimi spotykają się osoby z niepełnosprawnościami, które uniemożliwiają im funkcjonowanie na zasadzie równości z innymi, dotyczą wielu dziedzin życia. Faktyczne korzystanie z praw, jakie gwarantuje Konstytucja czy Konwencja o prawach osób z niepełnosprawnościami</w:t>
      </w:r>
      <w:r w:rsidRPr="00EC250C">
        <w:rPr>
          <w:rStyle w:val="Odwoanieprzypisudolnego"/>
        </w:rPr>
        <w:footnoteReference w:id="46"/>
      </w:r>
      <w:r w:rsidRPr="00EC250C">
        <w:t xml:space="preserve"> nie jest możliwe bez odpowiednich regulacji prawnych i rzeczywistych działań. Państwo ma w tym zakresie konkretne obowiązki i nie może uchylać się od ich wykonania.</w:t>
      </w:r>
    </w:p>
    <w:p w14:paraId="7EB46597" w14:textId="77777777" w:rsidR="00094536" w:rsidRPr="00EC250C" w:rsidRDefault="00094536" w:rsidP="00D131FA">
      <w:pPr>
        <w:pStyle w:val="ODESANIE"/>
        <w:jc w:val="both"/>
      </w:pPr>
      <w:r w:rsidRPr="00EC250C">
        <w:t>art. 69 Konstytucji (Pomoc na rzecz osób</w:t>
      </w:r>
      <w:r w:rsidR="00992FD0" w:rsidRPr="00EC250C">
        <w:t xml:space="preserve"> z </w:t>
      </w:r>
      <w:r w:rsidRPr="00EC250C">
        <w:t>niepełnosprawnościami)</w:t>
      </w:r>
      <w:r w:rsidR="00584C2A" w:rsidRPr="00EC250C">
        <w:t>.</w:t>
      </w:r>
    </w:p>
    <w:p w14:paraId="69AA4FE2" w14:textId="77777777" w:rsidR="00C91F6E" w:rsidRPr="00EC250C" w:rsidRDefault="00094536" w:rsidP="00D131FA">
      <w:pPr>
        <w:pStyle w:val="Styl1"/>
      </w:pPr>
      <w:r w:rsidRPr="00EC250C">
        <w:t xml:space="preserve">W tym miejscu </w:t>
      </w:r>
      <w:r w:rsidR="00B95921" w:rsidRPr="00EC250C">
        <w:t xml:space="preserve">Informacji </w:t>
      </w:r>
      <w:r w:rsidRPr="00EC250C">
        <w:t xml:space="preserve">mowa </w:t>
      </w:r>
      <w:r w:rsidR="00B95921" w:rsidRPr="00EC250C">
        <w:t xml:space="preserve">jest </w:t>
      </w:r>
      <w:r w:rsidR="00992FD0" w:rsidRPr="00EC250C">
        <w:t>o </w:t>
      </w:r>
      <w:r w:rsidRPr="00EC250C">
        <w:t>problemach związanych</w:t>
      </w:r>
      <w:r w:rsidR="00992FD0" w:rsidRPr="00EC250C">
        <w:t xml:space="preserve"> z </w:t>
      </w:r>
      <w:r w:rsidRPr="00EC250C">
        <w:t>dyskryminacją. Cały czas trzeba jednak pamiętać, że problemy osób</w:t>
      </w:r>
      <w:r w:rsidR="00992FD0" w:rsidRPr="00EC250C">
        <w:t xml:space="preserve"> z </w:t>
      </w:r>
      <w:r w:rsidRPr="00EC250C">
        <w:t>niepełnosprawnościami dotyczą (i są opisane) m.in. przy następujących artykułach Konstytucji:</w:t>
      </w:r>
    </w:p>
    <w:p w14:paraId="45C77F05" w14:textId="77777777" w:rsidR="00C91F6E" w:rsidRPr="00EC250C" w:rsidRDefault="00094536" w:rsidP="00D131FA">
      <w:pPr>
        <w:pStyle w:val="ODESANIE"/>
        <w:ind w:left="782"/>
        <w:jc w:val="both"/>
      </w:pPr>
      <w:r w:rsidRPr="00EC250C">
        <w:lastRenderedPageBreak/>
        <w:t>art. 40 (Zakaz tortur, nieludzkiego</w:t>
      </w:r>
      <w:r w:rsidR="00992FD0" w:rsidRPr="00EC250C">
        <w:t xml:space="preserve"> i </w:t>
      </w:r>
      <w:r w:rsidRPr="00EC250C">
        <w:t>poniżającego traktowania)</w:t>
      </w:r>
    </w:p>
    <w:p w14:paraId="1160CE91" w14:textId="77777777" w:rsidR="00C91F6E" w:rsidRPr="00EC250C" w:rsidRDefault="00094536" w:rsidP="00D131FA">
      <w:pPr>
        <w:pStyle w:val="ODESANIE"/>
        <w:ind w:left="782"/>
        <w:jc w:val="both"/>
      </w:pPr>
      <w:r w:rsidRPr="00EC250C">
        <w:t>art. 41 ust. 1 (Nietykalność</w:t>
      </w:r>
      <w:r w:rsidR="00992FD0" w:rsidRPr="00EC250C">
        <w:t xml:space="preserve"> i </w:t>
      </w:r>
      <w:r w:rsidRPr="00EC250C">
        <w:t>wolność osobista)</w:t>
      </w:r>
    </w:p>
    <w:p w14:paraId="49E14BCB" w14:textId="77777777" w:rsidR="00C91F6E" w:rsidRPr="00EC250C" w:rsidRDefault="00094536" w:rsidP="00D131FA">
      <w:pPr>
        <w:pStyle w:val="ODESANIE"/>
        <w:ind w:left="782"/>
        <w:jc w:val="both"/>
      </w:pPr>
      <w:r w:rsidRPr="00EC250C">
        <w:t>art. 41 ust 4 (Prawo do humanitarnego traktowania)</w:t>
      </w:r>
    </w:p>
    <w:p w14:paraId="632590A6" w14:textId="77777777" w:rsidR="00C91F6E" w:rsidRPr="00EC250C" w:rsidRDefault="00094536" w:rsidP="00D131FA">
      <w:pPr>
        <w:pStyle w:val="ODESANIE"/>
        <w:ind w:left="782"/>
        <w:jc w:val="both"/>
      </w:pPr>
      <w:r w:rsidRPr="00EC250C">
        <w:t>art. 62 (Prawa wyborcze)</w:t>
      </w:r>
    </w:p>
    <w:p w14:paraId="332B0B58" w14:textId="77777777" w:rsidR="00C91F6E" w:rsidRPr="00EC250C" w:rsidRDefault="00094536" w:rsidP="00D131FA">
      <w:pPr>
        <w:pStyle w:val="ODESANIE"/>
        <w:ind w:left="782"/>
        <w:jc w:val="both"/>
      </w:pPr>
      <w:r w:rsidRPr="00EC250C">
        <w:t>art. 68 ust 1 (Prawo do ochrony zdrowia)</w:t>
      </w:r>
    </w:p>
    <w:p w14:paraId="155EFD0C" w14:textId="77777777" w:rsidR="00094536" w:rsidRPr="00EC250C" w:rsidRDefault="00094536" w:rsidP="00D131FA">
      <w:pPr>
        <w:pStyle w:val="ODESANIE"/>
        <w:ind w:left="782"/>
        <w:jc w:val="both"/>
      </w:pPr>
      <w:r w:rsidRPr="00EC250C">
        <w:t>art. 70 ust. 4 (Równy dostęp do wykształcenia)</w:t>
      </w:r>
    </w:p>
    <w:p w14:paraId="781E732C" w14:textId="77777777" w:rsidR="00B95921" w:rsidRPr="00EC250C" w:rsidRDefault="00B95921" w:rsidP="00EC250C">
      <w:pPr>
        <w:pStyle w:val="Nagwek5"/>
      </w:pPr>
      <w:r w:rsidRPr="00EC250C">
        <w:t>Konieczność ustanowienia nowego systemu orzekania o</w:t>
      </w:r>
      <w:r w:rsidRPr="00EC250C">
        <w:rPr>
          <w:rFonts w:hint="eastAsia"/>
        </w:rPr>
        <w:t> </w:t>
      </w:r>
      <w:r w:rsidRPr="00EC250C">
        <w:t xml:space="preserve">niepełnosprawności </w:t>
      </w:r>
    </w:p>
    <w:p w14:paraId="43355991" w14:textId="77777777" w:rsidR="00B473F5" w:rsidRPr="00EC250C" w:rsidRDefault="00B95921" w:rsidP="00D131FA">
      <w:pPr>
        <w:pStyle w:val="Problemczowieka"/>
        <w:jc w:val="both"/>
      </w:pPr>
      <w:r w:rsidRPr="00EC250C">
        <w:t>Polski system, niespójny i niekonsekwentny, skupia się na orzekaniu stopnia niepełnosprawności, a nie na jej potencjale. Tymczasem powinniśmy mówić raczej o tym, jakiego wsparcia potrzebuje dana osoba, by móc samodzielnie żyć i nie cierpieć z powodu dyskryminacji</w:t>
      </w:r>
      <w:r w:rsidR="00B473F5" w:rsidRPr="00EC250C">
        <w:t>.</w:t>
      </w:r>
    </w:p>
    <w:p w14:paraId="70B9EFCE" w14:textId="77777777" w:rsidR="00DB1253" w:rsidRPr="00EC250C" w:rsidRDefault="00B95921" w:rsidP="00D131FA">
      <w:pPr>
        <w:pStyle w:val="Styl1"/>
        <w:rPr>
          <w:bCs/>
          <w:iCs/>
        </w:rPr>
      </w:pPr>
      <w:r w:rsidRPr="00EC250C">
        <w:rPr>
          <w:bCs/>
          <w:iCs/>
        </w:rPr>
        <w:t>Rzecznik Praw Obywatelskich wielokrotnie zwracał uwagę na potrzebę wprowadzenia zmian w systemie orzekania o niepełnosprawności. W kierowanych do niego skargach osoby z niepełnosprawnościami postulują odejście od stosowania terminów takich jak „osoba niezdolna do pracy” czy „osoba niezdolna do samodzielnej egzystencji”, jako stygmatyzujących i wprowadzających w błąd. Konwencja ONZ o prawach osób z niepełnosprawnością</w:t>
      </w:r>
      <w:r w:rsidR="00732AD3" w:rsidRPr="00EC250C">
        <w:rPr>
          <w:rStyle w:val="Odwoanieprzypisudolnego"/>
          <w:bCs/>
          <w:iCs/>
        </w:rPr>
        <w:footnoteReference w:id="47"/>
      </w:r>
      <w:r w:rsidRPr="00EC250C">
        <w:rPr>
          <w:bCs/>
          <w:iCs/>
        </w:rPr>
        <w:t xml:space="preserve"> posługuje się terminem „osoby wymagające bardziej intensywnego wsparcia”, pozwalającym na określenie osób z niepełnosprawnościami, którym – ze względu na rodzaj i stopień niepełnosprawności – należy zapewnić możliwość dostępu do szerszego katalogu różnych form wsparcia. Z tego względu Rzecznik podkreślił konieczność uwzględnienia przy formułowaniu nowych rozwiązań ustawowych terminologii spójnej z Konwencją. </w:t>
      </w:r>
    </w:p>
    <w:p w14:paraId="2831B3C3" w14:textId="77777777" w:rsidR="00B95921" w:rsidRPr="00EC250C" w:rsidRDefault="00B95921" w:rsidP="00D131FA">
      <w:pPr>
        <w:pStyle w:val="Styl1"/>
      </w:pPr>
      <w:r w:rsidRPr="00EC250C">
        <w:rPr>
          <w:bCs/>
          <w:iCs/>
        </w:rPr>
        <w:t xml:space="preserve">Rzecznik zwrócił się </w:t>
      </w:r>
      <w:r w:rsidR="00DB1253" w:rsidRPr="00EC250C">
        <w:rPr>
          <w:bCs/>
          <w:iCs/>
        </w:rPr>
        <w:t xml:space="preserve">z tym </w:t>
      </w:r>
      <w:r w:rsidRPr="00EC250C">
        <w:rPr>
          <w:bCs/>
          <w:iCs/>
        </w:rPr>
        <w:t xml:space="preserve">do </w:t>
      </w:r>
      <w:r w:rsidRPr="00EC250C">
        <w:rPr>
          <w:rFonts w:hint="eastAsia"/>
          <w:bCs/>
          <w:iCs/>
        </w:rPr>
        <w:t>P</w:t>
      </w:r>
      <w:r w:rsidRPr="00EC250C">
        <w:rPr>
          <w:bCs/>
          <w:iCs/>
        </w:rPr>
        <w:t>rezesa Zakładu Ubezpieczeń Społecznych</w:t>
      </w:r>
      <w:r w:rsidR="00DB1253" w:rsidRPr="00EC250C">
        <w:rPr>
          <w:bCs/>
          <w:iCs/>
        </w:rPr>
        <w:t xml:space="preserve">. Dostał odpowiedź, że </w:t>
      </w:r>
      <w:r w:rsidRPr="00EC250C">
        <w:rPr>
          <w:bCs/>
          <w:iCs/>
        </w:rPr>
        <w:t>Międzyresortowy Zespół do spraw Opracowania Systemu Orzekania o Niepełnosprawności oraz Niezdolności do Pracy zakończył przegląd funkcjonujących systemów orzekania o niepełnosprawności i niezdolności do pracy. Przygotowane zostały także założenia do projektu ustawy o orzekaniu niepełnosprawności i niezdolności do pracy</w:t>
      </w:r>
      <w:r w:rsidRPr="00EC250C">
        <w:rPr>
          <w:rStyle w:val="Odwoanieprzypisudolnego"/>
          <w:iCs/>
        </w:rPr>
        <w:footnoteReference w:id="48"/>
      </w:r>
      <w:r w:rsidR="00DB1253" w:rsidRPr="00EC250C">
        <w:rPr>
          <w:bCs/>
          <w:iCs/>
        </w:rPr>
        <w:t>.</w:t>
      </w:r>
      <w:r w:rsidRPr="00EC250C">
        <w:rPr>
          <w:rStyle w:val="Odwoanieprzypisudolnego"/>
          <w:iCs/>
        </w:rPr>
        <w:t>.</w:t>
      </w:r>
      <w:r w:rsidR="00DB1253" w:rsidRPr="00EC250C">
        <w:rPr>
          <w:iCs/>
        </w:rPr>
        <w:t xml:space="preserve"> Ponieważ efekty tych prac trafiły do </w:t>
      </w:r>
      <w:r w:rsidRPr="00EC250C">
        <w:t>Ministra Rodziny, Pracy i Polityki Społecznej</w:t>
      </w:r>
      <w:r w:rsidR="00DB1253" w:rsidRPr="00EC250C">
        <w:t>, RPO przekazał mu</w:t>
      </w:r>
      <w:r w:rsidRPr="00EC250C">
        <w:rPr>
          <w:rStyle w:val="Odwoanieprzypisudolnego"/>
        </w:rPr>
        <w:footnoteReference w:id="49"/>
      </w:r>
      <w:r w:rsidRPr="00EC250C">
        <w:t xml:space="preserve"> </w:t>
      </w:r>
      <w:r w:rsidR="00DB1253" w:rsidRPr="00EC250C">
        <w:t xml:space="preserve">swoje </w:t>
      </w:r>
      <w:r w:rsidRPr="00EC250C">
        <w:t xml:space="preserve">argumenty </w:t>
      </w:r>
      <w:r w:rsidR="00DB1253" w:rsidRPr="00EC250C">
        <w:t>w sprawie</w:t>
      </w:r>
      <w:r w:rsidRPr="00EC250C">
        <w:t xml:space="preserve">. </w:t>
      </w:r>
      <w:r w:rsidR="00DB1253" w:rsidRPr="00EC250C">
        <w:t>P</w:t>
      </w:r>
      <w:r w:rsidRPr="00EC250C">
        <w:t>odkreślił również konieczność szerszych konsultacji projektu reformy orzecznictwa, a także potrzebę rezygnacji z symboli niepełnosprawności umieszczanych na orzeczeniu o niepełnosprawności, w związku z wyrokiem</w:t>
      </w:r>
      <w:r w:rsidRPr="00EC250C">
        <w:rPr>
          <w:rStyle w:val="Odwoanieprzypisudolnego"/>
        </w:rPr>
        <w:footnoteReference w:id="50"/>
      </w:r>
      <w:r w:rsidRPr="00EC250C">
        <w:t xml:space="preserve"> Trybunału Konstytucyjnego. W 2018 r. nie </w:t>
      </w:r>
      <w:r w:rsidR="00DB1253" w:rsidRPr="00EC250C">
        <w:t xml:space="preserve">dostał </w:t>
      </w:r>
      <w:r w:rsidRPr="00EC250C">
        <w:t>odpowiedzi</w:t>
      </w:r>
      <w:r w:rsidR="00DB1253" w:rsidRPr="00EC250C">
        <w:t>.</w:t>
      </w:r>
    </w:p>
    <w:p w14:paraId="15CA187C" w14:textId="6CCE786C" w:rsidR="00DB1253" w:rsidRPr="00EC250C" w:rsidRDefault="00DB1253" w:rsidP="00EC250C">
      <w:pPr>
        <w:pStyle w:val="Nagwek5"/>
      </w:pPr>
      <w:r w:rsidRPr="00EC250C">
        <w:lastRenderedPageBreak/>
        <w:t>Ujawnianie przyczyny niepełnosprawności poprzez umieszczanie na</w:t>
      </w:r>
      <w:r w:rsidR="00EC250C">
        <w:t> </w:t>
      </w:r>
      <w:r w:rsidRPr="00EC250C">
        <w:t>orzeczeniu o stopniu niepełnosprawności symbolu przyczyny niepełnosprawności</w:t>
      </w:r>
    </w:p>
    <w:p w14:paraId="0519FBF5" w14:textId="77777777" w:rsidR="00DB1253" w:rsidRPr="00EC250C" w:rsidRDefault="00DB1253" w:rsidP="00EC250C">
      <w:pPr>
        <w:pStyle w:val="Nagwek8"/>
      </w:pPr>
      <w:r w:rsidRPr="00EC250C">
        <w:t>Skarga konstytucyjna obywatela z niepełnosprawnością</w:t>
      </w:r>
    </w:p>
    <w:p w14:paraId="50E38E3D" w14:textId="77777777" w:rsidR="00DB1253" w:rsidRPr="00EC250C" w:rsidRDefault="00DB1253" w:rsidP="00EC250C">
      <w:pPr>
        <w:pStyle w:val="Styl2"/>
        <w:spacing w:after="0"/>
        <w:rPr>
          <w:szCs w:val="24"/>
        </w:rPr>
      </w:pPr>
      <w:r w:rsidRPr="00EC250C">
        <w:rPr>
          <w:szCs w:val="24"/>
        </w:rPr>
        <w:t>Pan X dostał w 2015 r. orzeczenie o niepełnosprawności z symbolem O2-P. Każdy łatwo dziś sprawdzi, że oznacza to chorobę psychiczną. Pan X. uważał, że to prowadzi do jego dyskryminacji. Chciał dostać orzeczenie o niepełnosprawności bez symbolu niepełnosprawności. Jego argumenty nie zostały uwzględnione – ani przez orzeczników ani przez sądy.</w:t>
      </w:r>
    </w:p>
    <w:p w14:paraId="44D4A8C1" w14:textId="77777777" w:rsidR="00DB1253" w:rsidRPr="00EC250C" w:rsidRDefault="00DB1253" w:rsidP="00EC250C">
      <w:pPr>
        <w:pStyle w:val="Styl2"/>
        <w:spacing w:after="0"/>
        <w:rPr>
          <w:szCs w:val="24"/>
        </w:rPr>
      </w:pPr>
      <w:r w:rsidRPr="00EC250C">
        <w:rPr>
          <w:szCs w:val="24"/>
        </w:rPr>
        <w:t>W opinii sądu I i II instancji osoba, która chce korzystać z określonych świadczeń o charakterze publicznoprawnym, w tym świadczeń z ubezpieczeń społecznych, musi godzić się na ograniczenie jej prawa do prywatności, zaś symbol wskazany w orzeczeniu ma istotne znaczenie z punktu widzenia uprawnień ubezpieczonego wynikających z ustawy o rehabilitacji zawodowej.</w:t>
      </w:r>
    </w:p>
    <w:p w14:paraId="2D5AD1DA" w14:textId="77777777" w:rsidR="00DB1253" w:rsidRPr="00EC250C" w:rsidRDefault="00DB1253" w:rsidP="00EC250C">
      <w:pPr>
        <w:pStyle w:val="Styl2"/>
        <w:spacing w:after="0"/>
        <w:rPr>
          <w:szCs w:val="24"/>
        </w:rPr>
      </w:pPr>
      <w:r w:rsidRPr="00EC250C">
        <w:rPr>
          <w:szCs w:val="24"/>
        </w:rPr>
        <w:t>W takiej sytuacji (czyli po zakończeniu sprawy w sądzie) obywatel ma prawo do skargi konstytucyjnej – czyli zakwestionowanie przepisu, który był podstawą rozstrzygnięcia w sprawie. Do tej sprawy tej skargi przystąpił w 2017 r. RPO, a Trybunał Konstytucyjny rozpoznał ją w 2018 r.</w:t>
      </w:r>
    </w:p>
    <w:p w14:paraId="10315497" w14:textId="77777777" w:rsidR="00DB1253" w:rsidRPr="00EC250C" w:rsidRDefault="00DB1253" w:rsidP="00EC250C">
      <w:pPr>
        <w:pStyle w:val="Styl2"/>
        <w:spacing w:after="0"/>
        <w:rPr>
          <w:szCs w:val="24"/>
        </w:rPr>
      </w:pPr>
      <w:r w:rsidRPr="00EC250C">
        <w:rPr>
          <w:szCs w:val="24"/>
        </w:rPr>
        <w:t>RPO argumentował, że przepis rozporządzenia w sprawie orzekania o niepełnosprawności i stopniu niepełnosprawności jest niezgodny z konstytucyjnym prawem do prywatności, ochrony danych osobowych i zasadą proporcjonalności w zakresie, w jakim przewiduje obligatoryjne zamieszczenie symbolu przyczyny niepełnosprawności, a w konsekwencji rodzaju choroby jako przyczyny niepełnosprawności, w orzeczeniu o stopniu niepełnosprawności.</w:t>
      </w:r>
    </w:p>
    <w:p w14:paraId="4F86E7C4" w14:textId="471B6ED0" w:rsidR="00DB1253" w:rsidRPr="00EC250C" w:rsidRDefault="00DB1253" w:rsidP="00EC250C">
      <w:pPr>
        <w:pStyle w:val="Styl2"/>
        <w:spacing w:after="0"/>
        <w:rPr>
          <w:szCs w:val="24"/>
        </w:rPr>
      </w:pPr>
      <w:r w:rsidRPr="00EC250C">
        <w:rPr>
          <w:szCs w:val="24"/>
        </w:rPr>
        <w:t>Trybunał Konstytucyjn</w:t>
      </w:r>
      <w:r w:rsidR="00262BFC" w:rsidRPr="00EC250C">
        <w:rPr>
          <w:szCs w:val="24"/>
        </w:rPr>
        <w:t>y uznał</w:t>
      </w:r>
      <w:r w:rsidRPr="00EC250C">
        <w:rPr>
          <w:szCs w:val="24"/>
        </w:rPr>
        <w:t xml:space="preserve"> zakwestionowany przez Rzecznika Praw Obywatelskich przepis za niezgodny z art. 47 oraz art. 51 Konstytucji</w:t>
      </w:r>
      <w:r w:rsidRPr="00EC250C">
        <w:rPr>
          <w:rStyle w:val="Odwoanieprzypisudolnego"/>
          <w:szCs w:val="24"/>
        </w:rPr>
        <w:footnoteReference w:id="51"/>
      </w:r>
      <w:r w:rsidRPr="00EC250C">
        <w:rPr>
          <w:szCs w:val="24"/>
        </w:rPr>
        <w:t>.</w:t>
      </w:r>
    </w:p>
    <w:p w14:paraId="05762BEA" w14:textId="35A8A58A" w:rsidR="00DB1253" w:rsidRPr="00EC250C" w:rsidRDefault="00DB1253" w:rsidP="00D131FA">
      <w:pPr>
        <w:pStyle w:val="ODESANIE"/>
        <w:ind w:left="782"/>
        <w:jc w:val="both"/>
      </w:pPr>
      <w:r w:rsidRPr="00EC250C">
        <w:t>Choć obywatel wygrał przed Trybunałem, to ten publikując w 2018 r. wyrok w jego sprawie podał też imię i nazwisko skarżącego – o czym mowa jest</w:t>
      </w:r>
      <w:r w:rsidR="00262BFC" w:rsidRPr="00EC250C">
        <w:t xml:space="preserve"> w kontekście </w:t>
      </w:r>
      <w:r w:rsidRPr="00EC250C">
        <w:t>artykułu 51 Konstytucji (Prawo od autonomii informacyjnej)</w:t>
      </w:r>
    </w:p>
    <w:p w14:paraId="217F5E17" w14:textId="77777777" w:rsidR="00D20AD3" w:rsidRPr="00EC250C" w:rsidRDefault="00D20AD3" w:rsidP="00EC250C">
      <w:pPr>
        <w:pStyle w:val="Nagwek5"/>
      </w:pPr>
      <w:r w:rsidRPr="00EC250C">
        <w:t>Dyskryminacja</w:t>
      </w:r>
      <w:r w:rsidR="00992FD0" w:rsidRPr="00EC250C">
        <w:t xml:space="preserve"> w </w:t>
      </w:r>
      <w:r w:rsidRPr="00EC250C">
        <w:t>dostępie osób</w:t>
      </w:r>
      <w:r w:rsidR="00992FD0" w:rsidRPr="00EC250C">
        <w:t xml:space="preserve"> z </w:t>
      </w:r>
      <w:r w:rsidRPr="00EC250C">
        <w:t>niepełnosprawnościami do służby zdrowia</w:t>
      </w:r>
    </w:p>
    <w:p w14:paraId="2E496708" w14:textId="77777777" w:rsidR="00C91F6E" w:rsidRPr="00EC250C" w:rsidRDefault="00D20AD3" w:rsidP="00EC250C">
      <w:pPr>
        <w:pStyle w:val="Nagwek8"/>
      </w:pPr>
      <w:r w:rsidRPr="00EC250C">
        <w:t>Dostęp osób poruszających się</w:t>
      </w:r>
      <w:r w:rsidR="00992FD0" w:rsidRPr="00EC250C">
        <w:t xml:space="preserve"> z </w:t>
      </w:r>
      <w:r w:rsidRPr="00EC250C">
        <w:t>psem przewodnikiem do świadczeń zdrowotnych</w:t>
      </w:r>
    </w:p>
    <w:p w14:paraId="51026D1B" w14:textId="77777777" w:rsidR="00D20AD3" w:rsidRPr="00EC250C" w:rsidRDefault="00D20AD3" w:rsidP="00EC250C">
      <w:pPr>
        <w:pStyle w:val="Styl2"/>
        <w:spacing w:after="0"/>
        <w:rPr>
          <w:szCs w:val="24"/>
        </w:rPr>
      </w:pPr>
      <w:r w:rsidRPr="00EC250C">
        <w:rPr>
          <w:szCs w:val="24"/>
        </w:rPr>
        <w:t>Osoba niewidoma</w:t>
      </w:r>
      <w:r w:rsidR="00992FD0" w:rsidRPr="00EC250C">
        <w:rPr>
          <w:szCs w:val="24"/>
        </w:rPr>
        <w:t xml:space="preserve"> z </w:t>
      </w:r>
      <w:r w:rsidRPr="00EC250C">
        <w:rPr>
          <w:szCs w:val="24"/>
        </w:rPr>
        <w:t>psem asystującym nie została przyjęta przez okulistę. Z pomocą RPO wygrała</w:t>
      </w:r>
      <w:r w:rsidR="00992FD0" w:rsidRPr="00EC250C">
        <w:rPr>
          <w:szCs w:val="24"/>
        </w:rPr>
        <w:t xml:space="preserve"> w </w:t>
      </w:r>
      <w:r w:rsidRPr="00EC250C">
        <w:rPr>
          <w:szCs w:val="24"/>
        </w:rPr>
        <w:t>2018</w:t>
      </w:r>
      <w:r w:rsidR="00C91F6E" w:rsidRPr="00EC250C">
        <w:rPr>
          <w:szCs w:val="24"/>
        </w:rPr>
        <w:t> r.</w:t>
      </w:r>
      <w:r w:rsidRPr="00EC250C">
        <w:rPr>
          <w:szCs w:val="24"/>
        </w:rPr>
        <w:t xml:space="preserve"> sprawę</w:t>
      </w:r>
      <w:r w:rsidR="00992FD0" w:rsidRPr="00EC250C">
        <w:rPr>
          <w:szCs w:val="24"/>
        </w:rPr>
        <w:t xml:space="preserve"> o </w:t>
      </w:r>
      <w:r w:rsidRPr="00EC250C">
        <w:rPr>
          <w:szCs w:val="24"/>
        </w:rPr>
        <w:t>odszkodowanie.</w:t>
      </w:r>
    </w:p>
    <w:p w14:paraId="65207E6C" w14:textId="77777777" w:rsidR="00C91F6E" w:rsidRPr="00EC250C" w:rsidRDefault="00D20AD3" w:rsidP="00EC250C">
      <w:pPr>
        <w:pStyle w:val="Styl2"/>
        <w:spacing w:after="0"/>
        <w:rPr>
          <w:szCs w:val="24"/>
        </w:rPr>
      </w:pPr>
      <w:r w:rsidRPr="00EC250C">
        <w:rPr>
          <w:szCs w:val="24"/>
        </w:rPr>
        <w:t>Sąd Rejonowy dla Krakowa-Podgórza potwierdził, że obowiązek świadczenia usług na rzecz osób poruszających się</w:t>
      </w:r>
      <w:r w:rsidR="00992FD0" w:rsidRPr="00EC250C">
        <w:rPr>
          <w:szCs w:val="24"/>
        </w:rPr>
        <w:t xml:space="preserve"> z </w:t>
      </w:r>
      <w:r w:rsidRPr="00EC250C">
        <w:rPr>
          <w:szCs w:val="24"/>
        </w:rPr>
        <w:t>ps</w:t>
      </w:r>
      <w:r w:rsidR="001E66D1" w:rsidRPr="00EC250C">
        <w:rPr>
          <w:szCs w:val="24"/>
        </w:rPr>
        <w:t>em</w:t>
      </w:r>
      <w:r w:rsidRPr="00EC250C">
        <w:rPr>
          <w:szCs w:val="24"/>
        </w:rPr>
        <w:t xml:space="preserve"> przewodnik</w:t>
      </w:r>
      <w:r w:rsidR="001E66D1" w:rsidRPr="00EC250C">
        <w:rPr>
          <w:szCs w:val="24"/>
        </w:rPr>
        <w:t>iem</w:t>
      </w:r>
      <w:r w:rsidRPr="00EC250C">
        <w:rPr>
          <w:szCs w:val="24"/>
        </w:rPr>
        <w:t xml:space="preserve"> wynika wprost</w:t>
      </w:r>
      <w:r w:rsidR="00992FD0" w:rsidRPr="00EC250C">
        <w:rPr>
          <w:szCs w:val="24"/>
        </w:rPr>
        <w:t xml:space="preserve"> z </w:t>
      </w:r>
      <w:r w:rsidRPr="00EC250C">
        <w:rPr>
          <w:szCs w:val="24"/>
        </w:rPr>
        <w:t>powszechnie obowiązujących przepisów prawa. Zasądził od lekarza na rzecz pacjentki tysiąc zł</w:t>
      </w:r>
      <w:r w:rsidR="00416298" w:rsidRPr="00EC250C">
        <w:rPr>
          <w:szCs w:val="24"/>
        </w:rPr>
        <w:t>otych</w:t>
      </w:r>
      <w:r w:rsidRPr="00EC250C">
        <w:rPr>
          <w:szCs w:val="24"/>
        </w:rPr>
        <w:t xml:space="preserve"> zadośćuczynienia</w:t>
      </w:r>
      <w:r w:rsidR="00026572" w:rsidRPr="00EC250C">
        <w:rPr>
          <w:szCs w:val="24"/>
        </w:rPr>
        <w:t xml:space="preserve"> – </w:t>
      </w:r>
      <w:r w:rsidRPr="00EC250C">
        <w:rPr>
          <w:szCs w:val="24"/>
        </w:rPr>
        <w:t>za krzywdę spowodowaną bezprawnym</w:t>
      </w:r>
      <w:r w:rsidR="00992FD0" w:rsidRPr="00EC250C">
        <w:rPr>
          <w:szCs w:val="24"/>
        </w:rPr>
        <w:t xml:space="preserve"> i </w:t>
      </w:r>
      <w:r w:rsidRPr="00EC250C">
        <w:rPr>
          <w:szCs w:val="24"/>
        </w:rPr>
        <w:t>zawinionym naruszeniem praw pacjenta.</w:t>
      </w:r>
      <w:r w:rsidR="00416298" w:rsidRPr="00EC250C">
        <w:rPr>
          <w:szCs w:val="24"/>
        </w:rPr>
        <w:t xml:space="preserve"> </w:t>
      </w:r>
      <w:r w:rsidR="001E66D1" w:rsidRPr="00EC250C">
        <w:rPr>
          <w:szCs w:val="24"/>
        </w:rPr>
        <w:t>O</w:t>
      </w:r>
      <w:r w:rsidRPr="00EC250C">
        <w:rPr>
          <w:szCs w:val="24"/>
        </w:rPr>
        <w:t>ddalił zaś roszczenie, by lekarz wpłacił 25 tys. zł na cel społeczny</w:t>
      </w:r>
      <w:r w:rsidR="00026572" w:rsidRPr="00EC250C">
        <w:rPr>
          <w:szCs w:val="24"/>
        </w:rPr>
        <w:t xml:space="preserve"> – </w:t>
      </w:r>
      <w:r w:rsidR="00992FD0" w:rsidRPr="00EC250C">
        <w:rPr>
          <w:szCs w:val="24"/>
        </w:rPr>
        <w:t>w </w:t>
      </w:r>
      <w:r w:rsidRPr="00EC250C">
        <w:rPr>
          <w:szCs w:val="24"/>
        </w:rPr>
        <w:t>związku</w:t>
      </w:r>
      <w:r w:rsidR="00992FD0" w:rsidRPr="00EC250C">
        <w:rPr>
          <w:szCs w:val="24"/>
        </w:rPr>
        <w:t xml:space="preserve"> z </w:t>
      </w:r>
      <w:r w:rsidRPr="00EC250C">
        <w:rPr>
          <w:szCs w:val="24"/>
        </w:rPr>
        <w:t>krzywdą spowodowaną bezprawnym</w:t>
      </w:r>
      <w:r w:rsidR="00992FD0" w:rsidRPr="00EC250C">
        <w:rPr>
          <w:szCs w:val="24"/>
        </w:rPr>
        <w:t xml:space="preserve"> i </w:t>
      </w:r>
      <w:r w:rsidRPr="00EC250C">
        <w:rPr>
          <w:szCs w:val="24"/>
        </w:rPr>
        <w:t>zawinionym naruszeniem dóbr osobistych kobiety.</w:t>
      </w:r>
      <w:r w:rsidR="001E66D1" w:rsidRPr="00EC250C">
        <w:rPr>
          <w:szCs w:val="24"/>
        </w:rPr>
        <w:t xml:space="preserve"> </w:t>
      </w:r>
      <w:r w:rsidRPr="00EC250C">
        <w:rPr>
          <w:szCs w:val="24"/>
        </w:rPr>
        <w:t>W apelacji RPO</w:t>
      </w:r>
      <w:r w:rsidRPr="00EC250C">
        <w:rPr>
          <w:szCs w:val="24"/>
          <w:vertAlign w:val="superscript"/>
        </w:rPr>
        <w:footnoteReference w:id="52"/>
      </w:r>
      <w:r w:rsidRPr="00EC250C">
        <w:rPr>
          <w:szCs w:val="24"/>
        </w:rPr>
        <w:t xml:space="preserve"> kwestionował wniosek sądu, że pacjentka nie doznała takiej krzywdy.</w:t>
      </w:r>
    </w:p>
    <w:p w14:paraId="2A9ED85E" w14:textId="77777777" w:rsidR="00D20AD3" w:rsidRPr="00EC250C" w:rsidRDefault="00D20AD3" w:rsidP="00EC250C">
      <w:pPr>
        <w:pStyle w:val="Styl2"/>
        <w:spacing w:after="0"/>
        <w:rPr>
          <w:szCs w:val="24"/>
        </w:rPr>
      </w:pPr>
      <w:r w:rsidRPr="00EC250C">
        <w:rPr>
          <w:szCs w:val="24"/>
        </w:rPr>
        <w:t>Sąd Okręgowy uwzględnił apelację RPO</w:t>
      </w:r>
      <w:r w:rsidR="00992FD0" w:rsidRPr="00EC250C">
        <w:rPr>
          <w:szCs w:val="24"/>
        </w:rPr>
        <w:t xml:space="preserve"> i </w:t>
      </w:r>
      <w:r w:rsidRPr="00EC250C">
        <w:rPr>
          <w:szCs w:val="24"/>
        </w:rPr>
        <w:t>zasądził 10 tys. zł na cel społeczny.</w:t>
      </w:r>
    </w:p>
    <w:p w14:paraId="2ADF4D8A" w14:textId="77777777" w:rsidR="00D20AD3" w:rsidRPr="00EC250C" w:rsidRDefault="00D20AD3" w:rsidP="00EC250C">
      <w:pPr>
        <w:pStyle w:val="Nagwek8"/>
      </w:pPr>
      <w:r w:rsidRPr="00EC250C">
        <w:lastRenderedPageBreak/>
        <w:t>Jak osoba głucha ma skorzystać</w:t>
      </w:r>
      <w:r w:rsidR="00992FD0" w:rsidRPr="00EC250C">
        <w:t xml:space="preserve"> z </w:t>
      </w:r>
      <w:r w:rsidRPr="00EC250C">
        <w:t>numeru alarmowego 112?</w:t>
      </w:r>
    </w:p>
    <w:p w14:paraId="53AE743C" w14:textId="77777777" w:rsidR="00A717DA" w:rsidRPr="00EC250C" w:rsidRDefault="00A717DA" w:rsidP="00D131FA">
      <w:pPr>
        <w:pStyle w:val="Styl2"/>
        <w:rPr>
          <w:szCs w:val="24"/>
        </w:rPr>
      </w:pPr>
      <w:r w:rsidRPr="00EC250C">
        <w:rPr>
          <w:szCs w:val="24"/>
        </w:rPr>
        <w:t>Wiele osób głuchych sprawnie posługuje się językiem polskim</w:t>
      </w:r>
      <w:r w:rsidR="00992FD0" w:rsidRPr="00EC250C">
        <w:rPr>
          <w:szCs w:val="24"/>
        </w:rPr>
        <w:t xml:space="preserve"> i </w:t>
      </w:r>
      <w:r w:rsidRPr="00EC250C">
        <w:rPr>
          <w:szCs w:val="24"/>
        </w:rPr>
        <w:t>rozumie rozmówcę czytając</w:t>
      </w:r>
      <w:r w:rsidR="00992FD0" w:rsidRPr="00EC250C">
        <w:rPr>
          <w:szCs w:val="24"/>
        </w:rPr>
        <w:t xml:space="preserve"> z </w:t>
      </w:r>
      <w:r w:rsidRPr="00EC250C">
        <w:rPr>
          <w:szCs w:val="24"/>
        </w:rPr>
        <w:t xml:space="preserve"> ust. Ale nie da się tej umiejętności wykorzystać przez telefon. </w:t>
      </w:r>
      <w:r w:rsidR="001E66D1" w:rsidRPr="00EC250C">
        <w:rPr>
          <w:szCs w:val="24"/>
        </w:rPr>
        <w:t>W sytuacji nadzwyczajnej n</w:t>
      </w:r>
      <w:r w:rsidRPr="00EC250C">
        <w:rPr>
          <w:szCs w:val="24"/>
        </w:rPr>
        <w:t xml:space="preserve">iektórzy wyślą </w:t>
      </w:r>
      <w:r w:rsidR="001E66D1" w:rsidRPr="00EC250C">
        <w:rPr>
          <w:szCs w:val="24"/>
        </w:rPr>
        <w:t>sms-a</w:t>
      </w:r>
      <w:r w:rsidRPr="00EC250C">
        <w:rPr>
          <w:szCs w:val="24"/>
        </w:rPr>
        <w:t xml:space="preserve">, ale dla części </w:t>
      </w:r>
      <w:r w:rsidR="001E66D1" w:rsidRPr="00EC250C">
        <w:rPr>
          <w:szCs w:val="24"/>
        </w:rPr>
        <w:t xml:space="preserve">osób głuchych </w:t>
      </w:r>
      <w:r w:rsidRPr="00EC250C">
        <w:rPr>
          <w:szCs w:val="24"/>
        </w:rPr>
        <w:t xml:space="preserve">to niemożliwe. </w:t>
      </w:r>
      <w:r w:rsidR="001E66D1" w:rsidRPr="00EC250C">
        <w:rPr>
          <w:szCs w:val="24"/>
        </w:rPr>
        <w:t>S</w:t>
      </w:r>
      <w:r w:rsidRPr="00EC250C">
        <w:rPr>
          <w:szCs w:val="24"/>
        </w:rPr>
        <w:t xml:space="preserve">ą </w:t>
      </w:r>
      <w:r w:rsidR="001E66D1" w:rsidRPr="00EC250C">
        <w:rPr>
          <w:szCs w:val="24"/>
        </w:rPr>
        <w:t xml:space="preserve">wśród nich </w:t>
      </w:r>
      <w:r w:rsidRPr="00EC250C">
        <w:rPr>
          <w:szCs w:val="24"/>
        </w:rPr>
        <w:t>osoby, które mniej sprawnie posługują się językiem polskim – dla części</w:t>
      </w:r>
      <w:r w:rsidR="00992FD0" w:rsidRPr="00EC250C">
        <w:rPr>
          <w:szCs w:val="24"/>
        </w:rPr>
        <w:t xml:space="preserve"> z </w:t>
      </w:r>
      <w:r w:rsidRPr="00EC250C">
        <w:rPr>
          <w:szCs w:val="24"/>
        </w:rPr>
        <w:t>nich narzędziem komunikacji jest język migowy (Polski Język Migowy lub System Znaków Migowych). Dla nich najbardziej intuicyjnym sposobem komunikacji na odległość</w:t>
      </w:r>
      <w:r w:rsidR="00992FD0" w:rsidRPr="00EC250C">
        <w:rPr>
          <w:szCs w:val="24"/>
        </w:rPr>
        <w:t xml:space="preserve"> w </w:t>
      </w:r>
      <w:r w:rsidRPr="00EC250C">
        <w:rPr>
          <w:szCs w:val="24"/>
        </w:rPr>
        <w:t>sytuacji stresu będzie system obrazów.</w:t>
      </w:r>
    </w:p>
    <w:p w14:paraId="66ADF81D" w14:textId="77777777" w:rsidR="00D20AD3" w:rsidRPr="00EC250C" w:rsidRDefault="00A717DA" w:rsidP="00D131FA">
      <w:pPr>
        <w:pStyle w:val="Styl2"/>
        <w:rPr>
          <w:szCs w:val="24"/>
        </w:rPr>
      </w:pPr>
      <w:r w:rsidRPr="00EC250C">
        <w:rPr>
          <w:szCs w:val="24"/>
        </w:rPr>
        <w:t>Tymczasem</w:t>
      </w:r>
      <w:r w:rsidR="00992FD0" w:rsidRPr="00EC250C">
        <w:rPr>
          <w:szCs w:val="24"/>
        </w:rPr>
        <w:t xml:space="preserve"> w </w:t>
      </w:r>
      <w:r w:rsidRPr="00EC250C">
        <w:rPr>
          <w:szCs w:val="24"/>
        </w:rPr>
        <w:t>naszym kraju p</w:t>
      </w:r>
      <w:r w:rsidR="00D20AD3" w:rsidRPr="00EC250C">
        <w:rPr>
          <w:szCs w:val="24"/>
        </w:rPr>
        <w:t>race nad stworzeniem systemu alarmowego dla osób</w:t>
      </w:r>
      <w:r w:rsidR="00992FD0" w:rsidRPr="00EC250C">
        <w:rPr>
          <w:szCs w:val="24"/>
        </w:rPr>
        <w:t xml:space="preserve"> z </w:t>
      </w:r>
      <w:r w:rsidR="00D20AD3" w:rsidRPr="00EC250C">
        <w:rPr>
          <w:szCs w:val="24"/>
        </w:rPr>
        <w:t>niepełnosprawnością słuchu wciąż nie zostały zakończone. W 2018</w:t>
      </w:r>
      <w:r w:rsidR="00C91F6E" w:rsidRPr="00EC250C">
        <w:rPr>
          <w:szCs w:val="24"/>
        </w:rPr>
        <w:t> r.</w:t>
      </w:r>
      <w:r w:rsidR="00D20AD3" w:rsidRPr="00EC250C">
        <w:rPr>
          <w:szCs w:val="24"/>
        </w:rPr>
        <w:t xml:space="preserve"> miał ruszyć pilotaż zgłoszeń alarmowych za pomocą sms-ów. </w:t>
      </w:r>
      <w:r w:rsidR="00DB1253" w:rsidRPr="00EC250C">
        <w:rPr>
          <w:szCs w:val="24"/>
        </w:rPr>
        <w:t>RPO</w:t>
      </w:r>
      <w:r w:rsidR="00D20AD3" w:rsidRPr="00EC250C">
        <w:rPr>
          <w:szCs w:val="24"/>
        </w:rPr>
        <w:t xml:space="preserve"> dowiedział si</w:t>
      </w:r>
      <w:r w:rsidRPr="00EC250C">
        <w:rPr>
          <w:szCs w:val="24"/>
        </w:rPr>
        <w:t>ę</w:t>
      </w:r>
      <w:r w:rsidR="00DB1253" w:rsidRPr="00EC250C">
        <w:rPr>
          <w:szCs w:val="24"/>
        </w:rPr>
        <w:t xml:space="preserve"> jednak</w:t>
      </w:r>
      <w:r w:rsidR="00D20AD3" w:rsidRPr="00EC250C">
        <w:rPr>
          <w:szCs w:val="24"/>
        </w:rPr>
        <w:t>, że prace</w:t>
      </w:r>
      <w:r w:rsidR="00992FD0" w:rsidRPr="00EC250C">
        <w:rPr>
          <w:szCs w:val="24"/>
        </w:rPr>
        <w:t xml:space="preserve"> w </w:t>
      </w:r>
      <w:r w:rsidR="00D20AD3" w:rsidRPr="00EC250C">
        <w:rPr>
          <w:szCs w:val="24"/>
        </w:rPr>
        <w:t>MSWiA trwają, ale aplikacja mobilna wciąż nie została oficjalnie udostępniona</w:t>
      </w:r>
      <w:r w:rsidR="00523F6E" w:rsidRPr="00EC250C">
        <w:rPr>
          <w:szCs w:val="24"/>
          <w:vertAlign w:val="superscript"/>
        </w:rPr>
        <w:footnoteReference w:id="53"/>
      </w:r>
      <w:r w:rsidR="00D20AD3" w:rsidRPr="00EC250C">
        <w:rPr>
          <w:szCs w:val="24"/>
        </w:rPr>
        <w:t>.</w:t>
      </w:r>
    </w:p>
    <w:p w14:paraId="3B1453F7" w14:textId="21E37F58" w:rsidR="00A717DA" w:rsidRPr="00EC250C" w:rsidRDefault="00A717DA" w:rsidP="00D131FA">
      <w:pPr>
        <w:pStyle w:val="Styl2"/>
        <w:rPr>
          <w:szCs w:val="24"/>
        </w:rPr>
      </w:pPr>
      <w:r w:rsidRPr="00EC250C">
        <w:rPr>
          <w:szCs w:val="24"/>
        </w:rPr>
        <w:t>Tymczasem</w:t>
      </w:r>
      <w:r w:rsidR="00992FD0" w:rsidRPr="00EC250C">
        <w:rPr>
          <w:szCs w:val="24"/>
        </w:rPr>
        <w:t xml:space="preserve"> w </w:t>
      </w:r>
      <w:r w:rsidRPr="00EC250C">
        <w:rPr>
          <w:szCs w:val="24"/>
        </w:rPr>
        <w:t>2019</w:t>
      </w:r>
      <w:r w:rsidR="00C91F6E" w:rsidRPr="00EC250C">
        <w:rPr>
          <w:szCs w:val="24"/>
        </w:rPr>
        <w:t> r.</w:t>
      </w:r>
      <w:r w:rsidRPr="00EC250C">
        <w:rPr>
          <w:szCs w:val="24"/>
        </w:rPr>
        <w:t xml:space="preserve"> </w:t>
      </w:r>
      <w:r w:rsidR="00416298" w:rsidRPr="00EC250C">
        <w:rPr>
          <w:szCs w:val="24"/>
        </w:rPr>
        <w:t xml:space="preserve">osoby głuche zgłaszały problem z </w:t>
      </w:r>
      <w:r w:rsidRPr="00EC250C">
        <w:rPr>
          <w:szCs w:val="24"/>
        </w:rPr>
        <w:t>pilotażow</w:t>
      </w:r>
      <w:r w:rsidR="00416298" w:rsidRPr="00EC250C">
        <w:rPr>
          <w:szCs w:val="24"/>
        </w:rPr>
        <w:t>ą</w:t>
      </w:r>
      <w:r w:rsidRPr="00EC250C">
        <w:rPr>
          <w:szCs w:val="24"/>
        </w:rPr>
        <w:t xml:space="preserve"> aplikacj</w:t>
      </w:r>
      <w:r w:rsidR="00416298" w:rsidRPr="00EC250C">
        <w:rPr>
          <w:szCs w:val="24"/>
        </w:rPr>
        <w:t>ą</w:t>
      </w:r>
      <w:r w:rsidRPr="00EC250C">
        <w:rPr>
          <w:szCs w:val="24"/>
        </w:rPr>
        <w:t xml:space="preserve"> pozwalając</w:t>
      </w:r>
      <w:r w:rsidR="00416298" w:rsidRPr="00EC250C">
        <w:rPr>
          <w:szCs w:val="24"/>
        </w:rPr>
        <w:t>ą</w:t>
      </w:r>
      <w:r w:rsidRPr="00EC250C">
        <w:rPr>
          <w:szCs w:val="24"/>
        </w:rPr>
        <w:t xml:space="preserve"> </w:t>
      </w:r>
      <w:r w:rsidR="00416298" w:rsidRPr="00EC250C">
        <w:rPr>
          <w:szCs w:val="24"/>
        </w:rPr>
        <w:t xml:space="preserve">alarmować służby za </w:t>
      </w:r>
      <w:r w:rsidRPr="00EC250C">
        <w:rPr>
          <w:szCs w:val="24"/>
        </w:rPr>
        <w:t>pomoc</w:t>
      </w:r>
      <w:r w:rsidR="00416298" w:rsidRPr="00EC250C">
        <w:rPr>
          <w:szCs w:val="24"/>
        </w:rPr>
        <w:t>ą</w:t>
      </w:r>
      <w:r w:rsidRPr="00EC250C">
        <w:rPr>
          <w:szCs w:val="24"/>
        </w:rPr>
        <w:t xml:space="preserve"> systemu obrazków. </w:t>
      </w:r>
      <w:r w:rsidR="00DB1253" w:rsidRPr="00EC250C">
        <w:rPr>
          <w:szCs w:val="24"/>
        </w:rPr>
        <w:t xml:space="preserve">Po przejściowych kłopotach </w:t>
      </w:r>
      <w:r w:rsidR="00145A9C" w:rsidRPr="00EC250C">
        <w:rPr>
          <w:szCs w:val="24"/>
        </w:rPr>
        <w:t>a</w:t>
      </w:r>
      <w:r w:rsidRPr="00EC250C">
        <w:rPr>
          <w:szCs w:val="24"/>
        </w:rPr>
        <w:t>plikacja ta działa</w:t>
      </w:r>
      <w:r w:rsidR="00992FD0" w:rsidRPr="00EC250C">
        <w:rPr>
          <w:szCs w:val="24"/>
        </w:rPr>
        <w:t xml:space="preserve"> w </w:t>
      </w:r>
      <w:r w:rsidRPr="00EC250C">
        <w:rPr>
          <w:szCs w:val="24"/>
        </w:rPr>
        <w:t>województwie warmińsko-mazurskim</w:t>
      </w:r>
      <w:r w:rsidR="00DB1253" w:rsidRPr="00EC250C">
        <w:rPr>
          <w:szCs w:val="24"/>
        </w:rPr>
        <w:t>. Z</w:t>
      </w:r>
      <w:r w:rsidR="00416298" w:rsidRPr="00EC250C">
        <w:rPr>
          <w:szCs w:val="24"/>
        </w:rPr>
        <w:t>ostała</w:t>
      </w:r>
      <w:r w:rsidRPr="00EC250C">
        <w:rPr>
          <w:szCs w:val="24"/>
        </w:rPr>
        <w:t xml:space="preserve"> przygotowana we współpracy ze środowiskiem osób g</w:t>
      </w:r>
      <w:r w:rsidR="001E66D1" w:rsidRPr="00EC250C">
        <w:rPr>
          <w:szCs w:val="24"/>
        </w:rPr>
        <w:t>ł</w:t>
      </w:r>
      <w:r w:rsidRPr="00EC250C">
        <w:rPr>
          <w:szCs w:val="24"/>
        </w:rPr>
        <w:t>uchych.</w:t>
      </w:r>
    </w:p>
    <w:p w14:paraId="15E605FF" w14:textId="77777777" w:rsidR="00C91F6E" w:rsidRPr="00EC250C" w:rsidRDefault="00D20AD3" w:rsidP="00EC250C">
      <w:pPr>
        <w:pStyle w:val="Nagwek8"/>
      </w:pPr>
      <w:r w:rsidRPr="00EC250C">
        <w:t>Ograniczenie realizacji mandatu radnej</w:t>
      </w:r>
      <w:r w:rsidR="00992FD0" w:rsidRPr="00EC250C">
        <w:t xml:space="preserve"> z </w:t>
      </w:r>
      <w:r w:rsidRPr="00EC250C">
        <w:t>niepełnosprawnością</w:t>
      </w:r>
    </w:p>
    <w:p w14:paraId="3480C441" w14:textId="77777777" w:rsidR="00C91F6E" w:rsidRPr="00EC250C" w:rsidRDefault="00D20AD3" w:rsidP="00D131FA">
      <w:pPr>
        <w:pStyle w:val="Styl2"/>
        <w:rPr>
          <w:szCs w:val="24"/>
        </w:rPr>
      </w:pPr>
      <w:r w:rsidRPr="00EC250C">
        <w:rPr>
          <w:szCs w:val="24"/>
        </w:rPr>
        <w:t>Radna</w:t>
      </w:r>
      <w:r w:rsidR="00992FD0" w:rsidRPr="00EC250C">
        <w:rPr>
          <w:szCs w:val="24"/>
        </w:rPr>
        <w:t xml:space="preserve"> z </w:t>
      </w:r>
      <w:r w:rsidRPr="00EC250C">
        <w:rPr>
          <w:szCs w:val="24"/>
        </w:rPr>
        <w:t>niepełnosprawnością nie mogła na równi</w:t>
      </w:r>
      <w:r w:rsidR="00992FD0" w:rsidRPr="00EC250C">
        <w:rPr>
          <w:szCs w:val="24"/>
        </w:rPr>
        <w:t xml:space="preserve"> z </w:t>
      </w:r>
      <w:r w:rsidRPr="00EC250C">
        <w:rPr>
          <w:szCs w:val="24"/>
        </w:rPr>
        <w:t>innymi realizować swojego mandatu, choć została wybrana</w:t>
      </w:r>
      <w:r w:rsidR="00992FD0" w:rsidRPr="00EC250C">
        <w:rPr>
          <w:szCs w:val="24"/>
        </w:rPr>
        <w:t xml:space="preserve"> w </w:t>
      </w:r>
      <w:r w:rsidRPr="00EC250C">
        <w:rPr>
          <w:szCs w:val="24"/>
        </w:rPr>
        <w:t>powszechnych wyborach. Przewodniczący rady miejskiej zablokował korzystanie</w:t>
      </w:r>
      <w:r w:rsidR="00992FD0" w:rsidRPr="00EC250C">
        <w:rPr>
          <w:szCs w:val="24"/>
        </w:rPr>
        <w:t xml:space="preserve"> z </w:t>
      </w:r>
      <w:r w:rsidRPr="00EC250C">
        <w:rPr>
          <w:szCs w:val="24"/>
        </w:rPr>
        <w:t>przenośnych mikrofonów,</w:t>
      </w:r>
      <w:r w:rsidR="00992FD0" w:rsidRPr="00EC250C">
        <w:rPr>
          <w:szCs w:val="24"/>
        </w:rPr>
        <w:t xml:space="preserve"> a </w:t>
      </w:r>
      <w:r w:rsidRPr="00EC250C">
        <w:rPr>
          <w:szCs w:val="24"/>
        </w:rPr>
        <w:t>mównica</w:t>
      </w:r>
      <w:r w:rsidR="00992FD0" w:rsidRPr="00EC250C">
        <w:rPr>
          <w:szCs w:val="24"/>
        </w:rPr>
        <w:t xml:space="preserve"> z </w:t>
      </w:r>
      <w:r w:rsidRPr="00EC250C">
        <w:rPr>
          <w:szCs w:val="24"/>
        </w:rPr>
        <w:t>mikrofonem stacjonarnym nie jest dostępna dla osób</w:t>
      </w:r>
      <w:r w:rsidR="00992FD0" w:rsidRPr="00EC250C">
        <w:rPr>
          <w:szCs w:val="24"/>
        </w:rPr>
        <w:t xml:space="preserve"> z </w:t>
      </w:r>
      <w:r w:rsidRPr="00EC250C">
        <w:rPr>
          <w:szCs w:val="24"/>
        </w:rPr>
        <w:t xml:space="preserve">niepełnosprawnością. </w:t>
      </w:r>
      <w:r w:rsidR="001E66D1" w:rsidRPr="00EC250C">
        <w:rPr>
          <w:szCs w:val="24"/>
        </w:rPr>
        <w:t>R</w:t>
      </w:r>
      <w:r w:rsidRPr="00EC250C">
        <w:rPr>
          <w:szCs w:val="24"/>
        </w:rPr>
        <w:t>adna straciła prawo zabierania głosu (art. 29 Konwencji</w:t>
      </w:r>
      <w:r w:rsidR="00992FD0" w:rsidRPr="00EC250C">
        <w:rPr>
          <w:szCs w:val="24"/>
        </w:rPr>
        <w:t xml:space="preserve"> o </w:t>
      </w:r>
      <w:r w:rsidRPr="00EC250C">
        <w:rPr>
          <w:szCs w:val="24"/>
        </w:rPr>
        <w:t>prawach osób niepełnosprawnych gwarantuje osobom</w:t>
      </w:r>
      <w:r w:rsidR="00992FD0" w:rsidRPr="00EC250C">
        <w:rPr>
          <w:szCs w:val="24"/>
        </w:rPr>
        <w:t xml:space="preserve"> z </w:t>
      </w:r>
      <w:r w:rsidRPr="00EC250C">
        <w:rPr>
          <w:szCs w:val="24"/>
        </w:rPr>
        <w:t>niepełnosprawnościami prawa polityczne oraz możliwości korzystania</w:t>
      </w:r>
      <w:r w:rsidR="00992FD0" w:rsidRPr="00EC250C">
        <w:rPr>
          <w:szCs w:val="24"/>
        </w:rPr>
        <w:t xml:space="preserve"> z </w:t>
      </w:r>
      <w:r w:rsidRPr="00EC250C">
        <w:rPr>
          <w:szCs w:val="24"/>
        </w:rPr>
        <w:t>nich na zasadzie równości</w:t>
      </w:r>
      <w:r w:rsidR="00992FD0" w:rsidRPr="00EC250C">
        <w:rPr>
          <w:szCs w:val="24"/>
        </w:rPr>
        <w:t xml:space="preserve"> z </w:t>
      </w:r>
      <w:r w:rsidRPr="00EC250C">
        <w:rPr>
          <w:szCs w:val="24"/>
        </w:rPr>
        <w:t>innymi osobami). Wnioski</w:t>
      </w:r>
      <w:r w:rsidR="00992FD0" w:rsidRPr="00EC250C">
        <w:rPr>
          <w:szCs w:val="24"/>
        </w:rPr>
        <w:t xml:space="preserve"> o </w:t>
      </w:r>
      <w:r w:rsidRPr="00EC250C">
        <w:rPr>
          <w:szCs w:val="24"/>
        </w:rPr>
        <w:t>przywrócenie możliwości korzystania</w:t>
      </w:r>
      <w:r w:rsidR="00992FD0" w:rsidRPr="00EC250C">
        <w:rPr>
          <w:szCs w:val="24"/>
        </w:rPr>
        <w:t xml:space="preserve"> z </w:t>
      </w:r>
      <w:r w:rsidRPr="00EC250C">
        <w:rPr>
          <w:szCs w:val="24"/>
        </w:rPr>
        <w:t>przenośnych mikrofonów nie spotkały się ze zrozumieniem.</w:t>
      </w:r>
    </w:p>
    <w:p w14:paraId="4AF5C96E" w14:textId="77777777" w:rsidR="00D20AD3" w:rsidRPr="00EC250C" w:rsidRDefault="00073A8C" w:rsidP="00D131FA">
      <w:pPr>
        <w:pStyle w:val="Styl2"/>
        <w:rPr>
          <w:szCs w:val="24"/>
        </w:rPr>
      </w:pPr>
      <w:r w:rsidRPr="00EC250C">
        <w:rPr>
          <w:szCs w:val="24"/>
        </w:rPr>
        <w:t>RPO</w:t>
      </w:r>
      <w:r w:rsidR="00D20AD3" w:rsidRPr="00EC250C">
        <w:rPr>
          <w:szCs w:val="24"/>
        </w:rPr>
        <w:t xml:space="preserve"> interweniował</w:t>
      </w:r>
      <w:r w:rsidR="00992FD0" w:rsidRPr="00EC250C">
        <w:rPr>
          <w:szCs w:val="24"/>
        </w:rPr>
        <w:t xml:space="preserve"> w </w:t>
      </w:r>
      <w:r w:rsidR="00D20AD3" w:rsidRPr="00EC250C">
        <w:rPr>
          <w:szCs w:val="24"/>
        </w:rPr>
        <w:t>tej sprawie</w:t>
      </w:r>
      <w:r w:rsidR="00D20AD3" w:rsidRPr="00EC250C">
        <w:rPr>
          <w:szCs w:val="24"/>
          <w:vertAlign w:val="superscript"/>
        </w:rPr>
        <w:footnoteReference w:id="54"/>
      </w:r>
      <w:r w:rsidR="00D20AD3" w:rsidRPr="00EC250C">
        <w:rPr>
          <w:szCs w:val="24"/>
        </w:rPr>
        <w:t>. Przewodniczący rady miejskiej wyjaśnił, że radna korzystała już</w:t>
      </w:r>
      <w:r w:rsidR="00992FD0" w:rsidRPr="00EC250C">
        <w:rPr>
          <w:szCs w:val="24"/>
        </w:rPr>
        <w:t xml:space="preserve"> z </w:t>
      </w:r>
      <w:r w:rsidR="00D20AD3" w:rsidRPr="00EC250C">
        <w:rPr>
          <w:szCs w:val="24"/>
        </w:rPr>
        <w:t>mikrofonu przy mównicy oraz że –</w:t>
      </w:r>
      <w:r w:rsidR="00992FD0" w:rsidRPr="00EC250C">
        <w:rPr>
          <w:szCs w:val="24"/>
        </w:rPr>
        <w:t xml:space="preserve"> w </w:t>
      </w:r>
      <w:r w:rsidR="00D20AD3" w:rsidRPr="00EC250C">
        <w:rPr>
          <w:szCs w:val="24"/>
        </w:rPr>
        <w:t xml:space="preserve">jego ocenie – nie stanowiło to dla niej problemu. </w:t>
      </w:r>
      <w:r w:rsidR="001E66D1" w:rsidRPr="00EC250C">
        <w:rPr>
          <w:szCs w:val="24"/>
        </w:rPr>
        <w:t>U</w:t>
      </w:r>
      <w:r w:rsidR="00D20AD3" w:rsidRPr="00EC250C">
        <w:rPr>
          <w:szCs w:val="24"/>
        </w:rPr>
        <w:t xml:space="preserve">trzymywał, że radna może </w:t>
      </w:r>
      <w:r w:rsidR="001E66D1" w:rsidRPr="00EC250C">
        <w:rPr>
          <w:szCs w:val="24"/>
        </w:rPr>
        <w:t xml:space="preserve">za każdym razie </w:t>
      </w:r>
      <w:r w:rsidR="00D20AD3" w:rsidRPr="00EC250C">
        <w:rPr>
          <w:szCs w:val="24"/>
        </w:rPr>
        <w:t>prosić</w:t>
      </w:r>
      <w:r w:rsidR="00992FD0" w:rsidRPr="00EC250C">
        <w:rPr>
          <w:szCs w:val="24"/>
        </w:rPr>
        <w:t xml:space="preserve"> o </w:t>
      </w:r>
      <w:r w:rsidR="00D20AD3" w:rsidRPr="00EC250C">
        <w:rPr>
          <w:szCs w:val="24"/>
        </w:rPr>
        <w:t>mikrofon przenośny, którym dysponuje pracownik urzędu. Nie odniósł się jednak do tego, że taka asysta nie spełnia standardów Konwencji. Sprawa będzie kontynuowana.</w:t>
      </w:r>
    </w:p>
    <w:p w14:paraId="523D564E" w14:textId="77777777" w:rsidR="00584C2A" w:rsidRPr="00EC250C" w:rsidRDefault="00584C2A" w:rsidP="00EC250C">
      <w:pPr>
        <w:pStyle w:val="Nagwek5"/>
      </w:pPr>
      <w:r w:rsidRPr="00EC250C">
        <w:t>Dyskryminacja</w:t>
      </w:r>
      <w:r w:rsidR="00992FD0" w:rsidRPr="00EC250C">
        <w:t xml:space="preserve"> w </w:t>
      </w:r>
      <w:r w:rsidRPr="00EC250C">
        <w:t>zakresie praw wyborczych osób</w:t>
      </w:r>
      <w:r w:rsidR="00992FD0" w:rsidRPr="00EC250C">
        <w:t xml:space="preserve"> z </w:t>
      </w:r>
      <w:r w:rsidRPr="00EC250C">
        <w:t>niepełnosprawnościami</w:t>
      </w:r>
    </w:p>
    <w:p w14:paraId="1624C3E8" w14:textId="77777777" w:rsidR="00B473F5" w:rsidRPr="00EC250C" w:rsidRDefault="00F01DA9" w:rsidP="00D131FA">
      <w:pPr>
        <w:pStyle w:val="Problemczowieka"/>
        <w:jc w:val="both"/>
      </w:pPr>
      <w:r w:rsidRPr="00EC250C">
        <w:t>Wyborcy</w:t>
      </w:r>
      <w:r w:rsidR="00992FD0" w:rsidRPr="00EC250C">
        <w:t xml:space="preserve"> z </w:t>
      </w:r>
      <w:r w:rsidRPr="00EC250C">
        <w:t>niepełnosprawnościami mają kłopoty</w:t>
      </w:r>
      <w:r w:rsidR="00992FD0" w:rsidRPr="00EC250C">
        <w:t xml:space="preserve"> z </w:t>
      </w:r>
      <w:r w:rsidRPr="00EC250C">
        <w:t>dotarciem do lokali wyborczych</w:t>
      </w:r>
      <w:r w:rsidR="00992FD0" w:rsidRPr="00EC250C">
        <w:t xml:space="preserve"> i </w:t>
      </w:r>
      <w:r w:rsidRPr="00EC250C">
        <w:t>głosowaniem</w:t>
      </w:r>
      <w:r w:rsidR="00B473F5" w:rsidRPr="00EC250C">
        <w:t>.</w:t>
      </w:r>
    </w:p>
    <w:p w14:paraId="1B7C5F65" w14:textId="77777777" w:rsidR="00584C2A" w:rsidRPr="00EC250C" w:rsidRDefault="00F01DA9" w:rsidP="00D131FA">
      <w:pPr>
        <w:pStyle w:val="Styl1"/>
        <w:rPr>
          <w:lang w:eastAsia="en-US" w:bidi="hi-IN"/>
        </w:rPr>
      </w:pPr>
      <w:r w:rsidRPr="00EC250C">
        <w:rPr>
          <w:lang w:eastAsia="en-US" w:bidi="hi-IN"/>
        </w:rPr>
        <w:t>Przepisy, które wymagają, by co drugi lokal wyborczy był dostosowany do potrzeb osób</w:t>
      </w:r>
      <w:r w:rsidR="00992FD0" w:rsidRPr="00EC250C">
        <w:rPr>
          <w:lang w:eastAsia="en-US" w:bidi="hi-IN"/>
        </w:rPr>
        <w:t xml:space="preserve"> z </w:t>
      </w:r>
      <w:r w:rsidRPr="00EC250C">
        <w:rPr>
          <w:lang w:eastAsia="en-US" w:bidi="hi-IN"/>
        </w:rPr>
        <w:t>niepełnosprawnościami</w:t>
      </w:r>
      <w:r w:rsidR="00870161" w:rsidRPr="00EC250C">
        <w:rPr>
          <w:lang w:eastAsia="en-US" w:bidi="hi-IN"/>
        </w:rPr>
        <w:t>, nie są</w:t>
      </w:r>
      <w:r w:rsidR="00992FD0" w:rsidRPr="00EC250C">
        <w:rPr>
          <w:lang w:eastAsia="en-US" w:bidi="hi-IN"/>
        </w:rPr>
        <w:t xml:space="preserve"> w </w:t>
      </w:r>
      <w:r w:rsidR="00870161" w:rsidRPr="00EC250C">
        <w:rPr>
          <w:lang w:eastAsia="en-US" w:bidi="hi-IN"/>
        </w:rPr>
        <w:t>praktyce realizowane, co eksperci RPO sprawdzili</w:t>
      </w:r>
      <w:r w:rsidR="00992FD0" w:rsidRPr="00EC250C">
        <w:rPr>
          <w:lang w:eastAsia="en-US" w:bidi="hi-IN"/>
        </w:rPr>
        <w:t xml:space="preserve"> w </w:t>
      </w:r>
      <w:r w:rsidR="00870161" w:rsidRPr="00EC250C">
        <w:rPr>
          <w:lang w:eastAsia="en-US" w:bidi="hi-IN"/>
        </w:rPr>
        <w:t>czasie wyborów samorządowych</w:t>
      </w:r>
      <w:r w:rsidR="00992FD0" w:rsidRPr="00EC250C">
        <w:rPr>
          <w:lang w:eastAsia="en-US" w:bidi="hi-IN"/>
        </w:rPr>
        <w:t xml:space="preserve"> w </w:t>
      </w:r>
      <w:r w:rsidR="00870161" w:rsidRPr="00EC250C">
        <w:rPr>
          <w:lang w:eastAsia="en-US" w:bidi="hi-IN"/>
        </w:rPr>
        <w:t>2018</w:t>
      </w:r>
      <w:r w:rsidR="00C91F6E" w:rsidRPr="00EC250C">
        <w:rPr>
          <w:lang w:eastAsia="en-US" w:bidi="hi-IN"/>
        </w:rPr>
        <w:t> r.</w:t>
      </w:r>
    </w:p>
    <w:p w14:paraId="0D645D71" w14:textId="77777777" w:rsidR="00870161" w:rsidRPr="00EC250C" w:rsidRDefault="00870161" w:rsidP="00D131FA">
      <w:pPr>
        <w:pStyle w:val="ODESANIE"/>
        <w:jc w:val="both"/>
        <w:rPr>
          <w:lang w:eastAsia="en-US" w:bidi="hi-IN"/>
        </w:rPr>
      </w:pPr>
      <w:r w:rsidRPr="00EC250C">
        <w:rPr>
          <w:lang w:eastAsia="en-US" w:bidi="hi-IN"/>
        </w:rPr>
        <w:lastRenderedPageBreak/>
        <w:t xml:space="preserve">Więcej na ten temat </w:t>
      </w:r>
      <w:r w:rsidR="001874B8" w:rsidRPr="00EC250C">
        <w:rPr>
          <w:lang w:eastAsia="en-US" w:bidi="hi-IN"/>
        </w:rPr>
        <w:t xml:space="preserve">- w </w:t>
      </w:r>
      <w:r w:rsidRPr="00EC250C">
        <w:rPr>
          <w:lang w:eastAsia="en-US" w:bidi="hi-IN"/>
        </w:rPr>
        <w:t>art. 62 Konstytucji (Prawa wyborcze)</w:t>
      </w:r>
    </w:p>
    <w:p w14:paraId="5E6170EB" w14:textId="77777777" w:rsidR="00D20AD3" w:rsidRPr="00EC250C" w:rsidRDefault="00D20AD3" w:rsidP="00EC250C">
      <w:pPr>
        <w:pStyle w:val="Nagwek5"/>
        <w:rPr>
          <w:rStyle w:val="Nagwek5Znak"/>
          <w:b/>
          <w:bCs/>
          <w:iCs/>
        </w:rPr>
      </w:pPr>
      <w:r w:rsidRPr="00EC250C">
        <w:rPr>
          <w:rStyle w:val="Nagwek5Znak"/>
          <w:b/>
          <w:bCs/>
          <w:iCs/>
        </w:rPr>
        <w:t>Problemy uczniów</w:t>
      </w:r>
      <w:r w:rsidR="00992FD0" w:rsidRPr="00EC250C">
        <w:rPr>
          <w:rStyle w:val="Nagwek5Znak"/>
          <w:b/>
          <w:bCs/>
          <w:iCs/>
        </w:rPr>
        <w:t xml:space="preserve"> z </w:t>
      </w:r>
      <w:r w:rsidRPr="00EC250C">
        <w:rPr>
          <w:rStyle w:val="Nagwek5Znak"/>
          <w:b/>
          <w:bCs/>
          <w:iCs/>
        </w:rPr>
        <w:t>niepełnosprawnościami</w:t>
      </w:r>
      <w:r w:rsidR="00992FD0" w:rsidRPr="00EC250C">
        <w:rPr>
          <w:rStyle w:val="Nagwek5Znak"/>
          <w:b/>
          <w:bCs/>
          <w:iCs/>
        </w:rPr>
        <w:t xml:space="preserve"> w </w:t>
      </w:r>
      <w:r w:rsidRPr="00EC250C">
        <w:rPr>
          <w:rStyle w:val="Nagwek5Znak"/>
          <w:b/>
          <w:bCs/>
          <w:iCs/>
        </w:rPr>
        <w:t>dostępie do edukacji</w:t>
      </w:r>
    </w:p>
    <w:p w14:paraId="5B35E267" w14:textId="77777777" w:rsidR="00B473F5" w:rsidRPr="00EC250C" w:rsidRDefault="00870161" w:rsidP="00D131FA">
      <w:pPr>
        <w:pStyle w:val="Problemczowieka"/>
        <w:jc w:val="both"/>
        <w:rPr>
          <w:lang w:eastAsia="en-US" w:bidi="hi-IN"/>
        </w:rPr>
      </w:pPr>
      <w:r w:rsidRPr="00EC250C">
        <w:rPr>
          <w:lang w:eastAsia="en-US" w:bidi="hi-IN"/>
        </w:rPr>
        <w:t>Dotyczą one zarówno samej możliwości korzystania</w:t>
      </w:r>
      <w:r w:rsidR="00992FD0" w:rsidRPr="00EC250C">
        <w:rPr>
          <w:lang w:eastAsia="en-US" w:bidi="hi-IN"/>
        </w:rPr>
        <w:t xml:space="preserve"> z </w:t>
      </w:r>
      <w:r w:rsidRPr="00EC250C">
        <w:rPr>
          <w:lang w:eastAsia="en-US" w:bidi="hi-IN"/>
        </w:rPr>
        <w:t>edukacji (w tym problemów związanych</w:t>
      </w:r>
      <w:r w:rsidR="00992FD0" w:rsidRPr="00EC250C">
        <w:rPr>
          <w:lang w:eastAsia="en-US" w:bidi="hi-IN"/>
        </w:rPr>
        <w:t xml:space="preserve"> z </w:t>
      </w:r>
      <w:r w:rsidRPr="00EC250C">
        <w:rPr>
          <w:lang w:eastAsia="en-US" w:bidi="hi-IN"/>
        </w:rPr>
        <w:t>dojazdem do placówek), jak</w:t>
      </w:r>
      <w:r w:rsidR="00992FD0" w:rsidRPr="00EC250C">
        <w:rPr>
          <w:lang w:eastAsia="en-US" w:bidi="hi-IN"/>
        </w:rPr>
        <w:t xml:space="preserve"> i z </w:t>
      </w:r>
      <w:r w:rsidRPr="00EC250C">
        <w:rPr>
          <w:lang w:eastAsia="en-US" w:bidi="hi-IN"/>
        </w:rPr>
        <w:t>możliwości korzystania</w:t>
      </w:r>
      <w:r w:rsidR="00992FD0" w:rsidRPr="00EC250C">
        <w:rPr>
          <w:lang w:eastAsia="en-US" w:bidi="hi-IN"/>
        </w:rPr>
        <w:t xml:space="preserve"> z </w:t>
      </w:r>
      <w:r w:rsidRPr="00EC250C">
        <w:rPr>
          <w:lang w:eastAsia="en-US" w:bidi="hi-IN"/>
        </w:rPr>
        <w:t>zajęć edukacyjnych dostoswanych do potrzeb – ale nie wykluczających ucznia</w:t>
      </w:r>
      <w:r w:rsidR="00992FD0" w:rsidRPr="00EC250C">
        <w:rPr>
          <w:lang w:eastAsia="en-US" w:bidi="hi-IN"/>
        </w:rPr>
        <w:t xml:space="preserve"> z </w:t>
      </w:r>
      <w:r w:rsidRPr="00EC250C">
        <w:rPr>
          <w:lang w:eastAsia="en-US" w:bidi="hi-IN"/>
        </w:rPr>
        <w:t>grona rówieśników</w:t>
      </w:r>
      <w:r w:rsidR="00B473F5" w:rsidRPr="00EC250C">
        <w:rPr>
          <w:lang w:eastAsia="en-US" w:bidi="hi-IN"/>
        </w:rPr>
        <w:t>.</w:t>
      </w:r>
    </w:p>
    <w:p w14:paraId="3D3B6D00" w14:textId="77777777" w:rsidR="00D20AD3" w:rsidRPr="00EC250C" w:rsidRDefault="00870161" w:rsidP="00D131FA">
      <w:pPr>
        <w:pStyle w:val="ODESANIE"/>
        <w:ind w:left="782"/>
        <w:jc w:val="both"/>
        <w:rPr>
          <w:lang w:eastAsia="en-US"/>
        </w:rPr>
      </w:pPr>
      <w:r w:rsidRPr="00EC250C">
        <w:rPr>
          <w:lang w:eastAsia="en-US"/>
        </w:rPr>
        <w:t xml:space="preserve">Problem został szerzej omówiony </w:t>
      </w:r>
      <w:r w:rsidR="001874B8" w:rsidRPr="00EC250C">
        <w:rPr>
          <w:lang w:eastAsia="en-US"/>
        </w:rPr>
        <w:t xml:space="preserve">w kontekście </w:t>
      </w:r>
      <w:r w:rsidRPr="00EC250C">
        <w:rPr>
          <w:lang w:eastAsia="en-US"/>
        </w:rPr>
        <w:t>a</w:t>
      </w:r>
      <w:r w:rsidR="00D20AD3" w:rsidRPr="00EC250C">
        <w:rPr>
          <w:lang w:eastAsia="en-US"/>
        </w:rPr>
        <w:t xml:space="preserve">rt. 70 ust. 4 </w:t>
      </w:r>
      <w:r w:rsidRPr="00EC250C">
        <w:rPr>
          <w:lang w:eastAsia="en-US"/>
        </w:rPr>
        <w:t>Konstytucji (</w:t>
      </w:r>
      <w:r w:rsidR="00D20AD3" w:rsidRPr="00EC250C">
        <w:rPr>
          <w:lang w:eastAsia="en-US"/>
        </w:rPr>
        <w:t>Równy dostęp do wykształcenia</w:t>
      </w:r>
      <w:r w:rsidRPr="00EC250C">
        <w:rPr>
          <w:lang w:eastAsia="en-US"/>
        </w:rPr>
        <w:t>)</w:t>
      </w:r>
      <w:r w:rsidR="00D20AD3" w:rsidRPr="00EC250C">
        <w:rPr>
          <w:lang w:eastAsia="en-US"/>
        </w:rPr>
        <w:t>.</w:t>
      </w:r>
    </w:p>
    <w:p w14:paraId="2BD15BD6" w14:textId="77777777" w:rsidR="00C91F6E" w:rsidRPr="00EC250C" w:rsidRDefault="00B8780F" w:rsidP="00EC79EB">
      <w:pPr>
        <w:pStyle w:val="Nagwek4"/>
      </w:pPr>
      <w:bookmarkStart w:id="64" w:name="_Toc11247551"/>
      <w:bookmarkEnd w:id="62"/>
      <w:r w:rsidRPr="00EC250C">
        <w:t>D</w:t>
      </w:r>
      <w:r w:rsidR="00C926E9" w:rsidRPr="00EC250C">
        <w:t>yskryminacj</w:t>
      </w:r>
      <w:r w:rsidRPr="00EC250C">
        <w:t>a</w:t>
      </w:r>
      <w:r w:rsidR="00C926E9" w:rsidRPr="00EC250C">
        <w:t xml:space="preserve"> ze względu na narodowość</w:t>
      </w:r>
      <w:bookmarkEnd w:id="64"/>
    </w:p>
    <w:p w14:paraId="19BCFB7C" w14:textId="77777777" w:rsidR="00ED0A80" w:rsidRPr="00EC250C" w:rsidRDefault="00ED0A80" w:rsidP="00EC250C">
      <w:pPr>
        <w:pStyle w:val="Nagwek8"/>
      </w:pPr>
      <w:r w:rsidRPr="00EC250C">
        <w:t>Badania RPO</w:t>
      </w:r>
      <w:r w:rsidR="00992FD0" w:rsidRPr="00EC250C">
        <w:t xml:space="preserve"> i </w:t>
      </w:r>
      <w:r w:rsidR="008D34FB" w:rsidRPr="00EC250C">
        <w:t>Biura Instytucji Demokratycznych</w:t>
      </w:r>
      <w:r w:rsidR="00992FD0" w:rsidRPr="00EC250C">
        <w:t xml:space="preserve"> i </w:t>
      </w:r>
      <w:r w:rsidR="008D34FB" w:rsidRPr="00EC250C">
        <w:t>Praw Człowieka OBWE (ODIHR)</w:t>
      </w:r>
    </w:p>
    <w:p w14:paraId="02087641" w14:textId="77777777" w:rsidR="00ED0A80" w:rsidRPr="00EC250C" w:rsidRDefault="00ED0A80" w:rsidP="006C70B7">
      <w:pPr>
        <w:pStyle w:val="Styl2"/>
        <w:numPr>
          <w:ilvl w:val="0"/>
          <w:numId w:val="43"/>
        </w:numPr>
        <w:ind w:left="714" w:hanging="357"/>
        <w:contextualSpacing/>
        <w:rPr>
          <w:szCs w:val="24"/>
        </w:rPr>
      </w:pPr>
      <w:r w:rsidRPr="00EC250C">
        <w:rPr>
          <w:rStyle w:val="Pogrubienie"/>
          <w:b/>
          <w:bCs/>
          <w:szCs w:val="24"/>
        </w:rPr>
        <w:t>Najczęstszym dostrzeganym powodem dyskryminacji</w:t>
      </w:r>
      <w:r w:rsidR="00992FD0" w:rsidRPr="00EC250C">
        <w:rPr>
          <w:rStyle w:val="Pogrubienie"/>
          <w:b/>
          <w:bCs/>
          <w:szCs w:val="24"/>
        </w:rPr>
        <w:t xml:space="preserve"> w </w:t>
      </w:r>
      <w:r w:rsidRPr="00EC250C">
        <w:rPr>
          <w:rStyle w:val="Pogrubienie"/>
          <w:b/>
          <w:bCs/>
          <w:szCs w:val="24"/>
        </w:rPr>
        <w:t>Polsce jest pochodzenie etniczne</w:t>
      </w:r>
      <w:r w:rsidR="00992FD0" w:rsidRPr="00EC250C">
        <w:rPr>
          <w:rStyle w:val="Pogrubienie"/>
          <w:b/>
          <w:bCs/>
          <w:szCs w:val="24"/>
        </w:rPr>
        <w:t xml:space="preserve"> i </w:t>
      </w:r>
      <w:r w:rsidRPr="00EC250C">
        <w:rPr>
          <w:rStyle w:val="Pogrubienie"/>
          <w:b/>
          <w:bCs/>
          <w:szCs w:val="24"/>
        </w:rPr>
        <w:t>narodowość – na tę przesłankę</w:t>
      </w:r>
      <w:r w:rsidR="00992FD0" w:rsidRPr="00EC250C">
        <w:rPr>
          <w:rStyle w:val="Pogrubienie"/>
          <w:b/>
          <w:bCs/>
          <w:szCs w:val="24"/>
        </w:rPr>
        <w:t xml:space="preserve"> w </w:t>
      </w:r>
      <w:r w:rsidRPr="00EC250C">
        <w:rPr>
          <w:rStyle w:val="Pogrubienie"/>
          <w:b/>
          <w:bCs/>
          <w:szCs w:val="24"/>
        </w:rPr>
        <w:t>2018</w:t>
      </w:r>
      <w:r w:rsidR="00C91F6E" w:rsidRPr="00EC250C">
        <w:rPr>
          <w:rStyle w:val="Pogrubienie"/>
          <w:b/>
          <w:bCs/>
          <w:szCs w:val="24"/>
        </w:rPr>
        <w:t> r.</w:t>
      </w:r>
      <w:r w:rsidRPr="00EC250C">
        <w:rPr>
          <w:rStyle w:val="Pogrubienie"/>
          <w:b/>
          <w:bCs/>
          <w:szCs w:val="24"/>
        </w:rPr>
        <w:t xml:space="preserve"> wskazało aż 49% badanych</w:t>
      </w:r>
      <w:r w:rsidR="00992FD0" w:rsidRPr="00EC250C">
        <w:rPr>
          <w:rStyle w:val="Pogrubienie"/>
          <w:b/>
          <w:bCs/>
          <w:szCs w:val="24"/>
        </w:rPr>
        <w:t xml:space="preserve"> i </w:t>
      </w:r>
      <w:r w:rsidRPr="00EC250C">
        <w:rPr>
          <w:rStyle w:val="Pogrubienie"/>
          <w:b/>
          <w:bCs/>
          <w:szCs w:val="24"/>
        </w:rPr>
        <w:t>wskaźnik ten</w:t>
      </w:r>
      <w:r w:rsidR="00992FD0" w:rsidRPr="00EC250C">
        <w:rPr>
          <w:rStyle w:val="Pogrubienie"/>
          <w:b/>
          <w:bCs/>
          <w:szCs w:val="24"/>
        </w:rPr>
        <w:t xml:space="preserve"> w </w:t>
      </w:r>
      <w:r w:rsidRPr="00EC250C">
        <w:rPr>
          <w:rStyle w:val="Pogrubienie"/>
          <w:b/>
          <w:bCs/>
          <w:szCs w:val="24"/>
        </w:rPr>
        <w:t>ostatnim czasie istotnie się zwiększył</w:t>
      </w:r>
    </w:p>
    <w:p w14:paraId="19AD438D" w14:textId="77777777" w:rsidR="00ED0A80" w:rsidRPr="00EC250C" w:rsidRDefault="00ED0A80" w:rsidP="006C70B7">
      <w:pPr>
        <w:pStyle w:val="Styl2"/>
        <w:numPr>
          <w:ilvl w:val="0"/>
          <w:numId w:val="43"/>
        </w:numPr>
        <w:ind w:left="714" w:hanging="357"/>
        <w:contextualSpacing/>
        <w:rPr>
          <w:szCs w:val="24"/>
        </w:rPr>
      </w:pPr>
      <w:r w:rsidRPr="00EC250C">
        <w:rPr>
          <w:rStyle w:val="Pogrubienie"/>
          <w:b/>
          <w:bCs/>
          <w:szCs w:val="24"/>
        </w:rPr>
        <w:t>Aż 43% osób</w:t>
      </w:r>
      <w:r w:rsidR="00992FD0" w:rsidRPr="00EC250C">
        <w:rPr>
          <w:rStyle w:val="Pogrubienie"/>
          <w:b/>
          <w:bCs/>
          <w:szCs w:val="24"/>
        </w:rPr>
        <w:t xml:space="preserve"> z </w:t>
      </w:r>
      <w:r w:rsidRPr="00EC250C">
        <w:rPr>
          <w:rStyle w:val="Pogrubienie"/>
          <w:b/>
          <w:bCs/>
          <w:szCs w:val="24"/>
        </w:rPr>
        <w:t>Afryki Subsaharyjskiej, 18% obywateli Ukrainy</w:t>
      </w:r>
      <w:r w:rsidR="00992FD0" w:rsidRPr="00EC250C">
        <w:rPr>
          <w:rStyle w:val="Pogrubienie"/>
          <w:b/>
          <w:bCs/>
          <w:szCs w:val="24"/>
        </w:rPr>
        <w:t xml:space="preserve"> i </w:t>
      </w:r>
      <w:r w:rsidRPr="00EC250C">
        <w:rPr>
          <w:rStyle w:val="Pogrubienie"/>
          <w:b/>
          <w:bCs/>
          <w:szCs w:val="24"/>
        </w:rPr>
        <w:t>8% mieszkających</w:t>
      </w:r>
      <w:r w:rsidR="00992FD0" w:rsidRPr="00EC250C">
        <w:rPr>
          <w:rStyle w:val="Pogrubienie"/>
          <w:b/>
          <w:bCs/>
          <w:szCs w:val="24"/>
        </w:rPr>
        <w:t xml:space="preserve"> w </w:t>
      </w:r>
      <w:r w:rsidRPr="00EC250C">
        <w:rPr>
          <w:rStyle w:val="Pogrubienie"/>
          <w:b/>
          <w:bCs/>
          <w:szCs w:val="24"/>
        </w:rPr>
        <w:t>Polsce wyznawców Islamu mogło doświadczyć przestępstwa</w:t>
      </w:r>
      <w:r w:rsidR="00992FD0" w:rsidRPr="00EC250C">
        <w:rPr>
          <w:rStyle w:val="Pogrubienie"/>
          <w:b/>
          <w:bCs/>
          <w:szCs w:val="24"/>
        </w:rPr>
        <w:t xml:space="preserve"> z </w:t>
      </w:r>
      <w:r w:rsidRPr="00EC250C">
        <w:rPr>
          <w:rStyle w:val="Pogrubienie"/>
          <w:b/>
          <w:bCs/>
          <w:szCs w:val="24"/>
        </w:rPr>
        <w:t>nienawiści</w:t>
      </w:r>
      <w:r w:rsidR="00992FD0" w:rsidRPr="00EC250C">
        <w:rPr>
          <w:rStyle w:val="Pogrubienie"/>
          <w:b/>
          <w:bCs/>
          <w:szCs w:val="24"/>
        </w:rPr>
        <w:t xml:space="preserve"> w </w:t>
      </w:r>
      <w:r w:rsidRPr="00EC250C">
        <w:rPr>
          <w:rStyle w:val="Pogrubienie"/>
          <w:b/>
          <w:bCs/>
          <w:szCs w:val="24"/>
        </w:rPr>
        <w:t>latach 2016-2017.</w:t>
      </w:r>
    </w:p>
    <w:p w14:paraId="27054AF3" w14:textId="77777777" w:rsidR="00ED0A80" w:rsidRPr="00EC250C" w:rsidRDefault="00ED0A80" w:rsidP="006C70B7">
      <w:pPr>
        <w:pStyle w:val="Styl2"/>
        <w:numPr>
          <w:ilvl w:val="0"/>
          <w:numId w:val="43"/>
        </w:numPr>
        <w:ind w:left="714" w:hanging="357"/>
        <w:contextualSpacing/>
        <w:rPr>
          <w:szCs w:val="24"/>
        </w:rPr>
      </w:pPr>
      <w:r w:rsidRPr="00EC250C">
        <w:rPr>
          <w:rStyle w:val="Pogrubienie"/>
          <w:b/>
          <w:bCs/>
          <w:szCs w:val="24"/>
        </w:rPr>
        <w:t>Tylko 5% takich czynów zostało zgłoszonych policji.</w:t>
      </w:r>
    </w:p>
    <w:p w14:paraId="111904C7" w14:textId="77777777" w:rsidR="00ED0A80" w:rsidRPr="00EC250C" w:rsidRDefault="00ED0A80" w:rsidP="00D131FA">
      <w:pPr>
        <w:pStyle w:val="Styl2"/>
        <w:rPr>
          <w:szCs w:val="24"/>
        </w:rPr>
      </w:pPr>
      <w:r w:rsidRPr="00EC250C">
        <w:rPr>
          <w:rStyle w:val="Pogrubienie"/>
          <w:b/>
          <w:bCs/>
          <w:szCs w:val="24"/>
        </w:rPr>
        <w:t>Takie są wyniki nowatorskich badań przeprowadzonych przez Rzecznika Praw Obywatelskich we współpracy</w:t>
      </w:r>
      <w:r w:rsidR="00992FD0" w:rsidRPr="00EC250C">
        <w:rPr>
          <w:rStyle w:val="Pogrubienie"/>
          <w:b/>
          <w:bCs/>
          <w:szCs w:val="24"/>
        </w:rPr>
        <w:t xml:space="preserve"> z </w:t>
      </w:r>
      <w:r w:rsidRPr="00EC250C">
        <w:rPr>
          <w:rStyle w:val="Pogrubienie"/>
          <w:b/>
          <w:bCs/>
          <w:szCs w:val="24"/>
        </w:rPr>
        <w:t>Biurem Instytucji Demokratycznych</w:t>
      </w:r>
      <w:r w:rsidR="00992FD0" w:rsidRPr="00EC250C">
        <w:rPr>
          <w:rStyle w:val="Pogrubienie"/>
          <w:b/>
          <w:bCs/>
          <w:szCs w:val="24"/>
        </w:rPr>
        <w:t xml:space="preserve"> i </w:t>
      </w:r>
      <w:r w:rsidRPr="00EC250C">
        <w:rPr>
          <w:rStyle w:val="Pogrubienie"/>
          <w:b/>
          <w:bCs/>
          <w:szCs w:val="24"/>
        </w:rPr>
        <w:t>Praw Człowieka Organizacji Bezpieczeństwa</w:t>
      </w:r>
      <w:r w:rsidR="00992FD0" w:rsidRPr="00EC250C">
        <w:rPr>
          <w:rStyle w:val="Pogrubienie"/>
          <w:b/>
          <w:bCs/>
          <w:szCs w:val="24"/>
        </w:rPr>
        <w:t xml:space="preserve"> i </w:t>
      </w:r>
      <w:r w:rsidRPr="00EC250C">
        <w:rPr>
          <w:rStyle w:val="Pogrubienie"/>
          <w:b/>
          <w:bCs/>
          <w:szCs w:val="24"/>
        </w:rPr>
        <w:t>Współpracy</w:t>
      </w:r>
      <w:r w:rsidR="00992FD0" w:rsidRPr="00EC250C">
        <w:rPr>
          <w:rStyle w:val="Pogrubienie"/>
          <w:b/>
          <w:bCs/>
          <w:szCs w:val="24"/>
        </w:rPr>
        <w:t xml:space="preserve"> w </w:t>
      </w:r>
      <w:r w:rsidRPr="00EC250C">
        <w:rPr>
          <w:rStyle w:val="Pogrubienie"/>
          <w:b/>
          <w:bCs/>
          <w:szCs w:val="24"/>
        </w:rPr>
        <w:t>Europie</w:t>
      </w:r>
      <w:r w:rsidR="00992FD0" w:rsidRPr="00EC250C">
        <w:rPr>
          <w:rStyle w:val="Pogrubienie"/>
          <w:b/>
          <w:bCs/>
          <w:szCs w:val="24"/>
        </w:rPr>
        <w:t xml:space="preserve"> i </w:t>
      </w:r>
      <w:r w:rsidRPr="00EC250C">
        <w:rPr>
          <w:rStyle w:val="Pogrubienie"/>
          <w:b/>
          <w:bCs/>
          <w:szCs w:val="24"/>
        </w:rPr>
        <w:t>ogłaszane</w:t>
      </w:r>
      <w:r w:rsidR="00992FD0" w:rsidRPr="00EC250C">
        <w:rPr>
          <w:rStyle w:val="Pogrubienie"/>
          <w:b/>
          <w:bCs/>
          <w:szCs w:val="24"/>
        </w:rPr>
        <w:t xml:space="preserve"> w </w:t>
      </w:r>
      <w:r w:rsidRPr="00EC250C">
        <w:rPr>
          <w:rStyle w:val="Pogrubienie"/>
          <w:b/>
          <w:bCs/>
          <w:szCs w:val="24"/>
        </w:rPr>
        <w:t>Międzynarodowym Dniu Walki</w:t>
      </w:r>
      <w:r w:rsidR="00992FD0" w:rsidRPr="00EC250C">
        <w:rPr>
          <w:rStyle w:val="Pogrubienie"/>
          <w:b/>
          <w:bCs/>
          <w:szCs w:val="24"/>
        </w:rPr>
        <w:t xml:space="preserve"> z </w:t>
      </w:r>
      <w:r w:rsidRPr="00EC250C">
        <w:rPr>
          <w:rStyle w:val="Pogrubienie"/>
          <w:b/>
          <w:bCs/>
          <w:szCs w:val="24"/>
        </w:rPr>
        <w:t>Dyskryminacją Rasową</w:t>
      </w:r>
    </w:p>
    <w:p w14:paraId="07D8F820" w14:textId="77777777" w:rsidR="00ED0A80" w:rsidRPr="00EC250C" w:rsidRDefault="00ED0A80" w:rsidP="00D131FA">
      <w:pPr>
        <w:pStyle w:val="Styl2"/>
        <w:rPr>
          <w:szCs w:val="24"/>
        </w:rPr>
      </w:pPr>
      <w:r w:rsidRPr="00EC250C">
        <w:rPr>
          <w:szCs w:val="24"/>
        </w:rPr>
        <w:t>W</w:t>
      </w:r>
      <w:r w:rsidR="009561BD" w:rsidRPr="00EC250C">
        <w:rPr>
          <w:szCs w:val="24"/>
        </w:rPr>
        <w:t xml:space="preserve"> </w:t>
      </w:r>
      <w:r w:rsidRPr="00EC250C">
        <w:rPr>
          <w:szCs w:val="24"/>
        </w:rPr>
        <w:t>skutek doświadczonej agresji członkowie narażonych społeczności zmieniają swoje nawyki życia codziennego. Dotyczy to 46% pokrzywdzonych wywodzących się</w:t>
      </w:r>
      <w:r w:rsidR="00992FD0" w:rsidRPr="00EC250C">
        <w:rPr>
          <w:szCs w:val="24"/>
        </w:rPr>
        <w:t xml:space="preserve"> z </w:t>
      </w:r>
      <w:r w:rsidRPr="00EC250C">
        <w:rPr>
          <w:szCs w:val="24"/>
        </w:rPr>
        <w:t>krajów Afryki Subsaharyjskiej, które</w:t>
      </w:r>
      <w:r w:rsidR="00992FD0" w:rsidRPr="00EC250C">
        <w:rPr>
          <w:szCs w:val="24"/>
        </w:rPr>
        <w:t xml:space="preserve"> w </w:t>
      </w:r>
      <w:r w:rsidRPr="00EC250C">
        <w:rPr>
          <w:szCs w:val="24"/>
        </w:rPr>
        <w:t>miejscach publicznych próbują ukrywać kolor skóry (nosząc koszule</w:t>
      </w:r>
      <w:r w:rsidR="00992FD0" w:rsidRPr="00EC250C">
        <w:rPr>
          <w:szCs w:val="24"/>
        </w:rPr>
        <w:t xml:space="preserve"> z </w:t>
      </w:r>
      <w:r w:rsidRPr="00EC250C">
        <w:rPr>
          <w:szCs w:val="24"/>
        </w:rPr>
        <w:t>długimi rękawami nawet latem) czy 59% Ukraińców, unikających rozmawiania</w:t>
      </w:r>
      <w:r w:rsidR="00992FD0" w:rsidRPr="00EC250C">
        <w:rPr>
          <w:szCs w:val="24"/>
        </w:rPr>
        <w:t xml:space="preserve"> w </w:t>
      </w:r>
      <w:r w:rsidRPr="00EC250C">
        <w:rPr>
          <w:szCs w:val="24"/>
        </w:rPr>
        <w:t>swoim języku.</w:t>
      </w:r>
    </w:p>
    <w:p w14:paraId="29B38F16" w14:textId="77777777" w:rsidR="00ED0A80" w:rsidRPr="00EC250C" w:rsidRDefault="00ED0A80" w:rsidP="00D131FA">
      <w:pPr>
        <w:pStyle w:val="Styl2"/>
        <w:rPr>
          <w:szCs w:val="24"/>
        </w:rPr>
      </w:pPr>
      <w:r w:rsidRPr="00EC250C">
        <w:rPr>
          <w:szCs w:val="24"/>
        </w:rPr>
        <w:t>Dane te zebrane zostały</w:t>
      </w:r>
      <w:r w:rsidR="00992FD0" w:rsidRPr="00EC250C">
        <w:rPr>
          <w:szCs w:val="24"/>
        </w:rPr>
        <w:t xml:space="preserve"> w </w:t>
      </w:r>
      <w:r w:rsidRPr="00EC250C">
        <w:rPr>
          <w:szCs w:val="24"/>
        </w:rPr>
        <w:t xml:space="preserve">innowacyjny sposób: </w:t>
      </w:r>
      <w:r w:rsidR="005152C0" w:rsidRPr="00EC250C">
        <w:rPr>
          <w:szCs w:val="24"/>
        </w:rPr>
        <w:t>przeprowadzono badania</w:t>
      </w:r>
      <w:r w:rsidRPr="00EC250C">
        <w:rPr>
          <w:szCs w:val="24"/>
        </w:rPr>
        <w:t xml:space="preserve"> ankietowe,</w:t>
      </w:r>
      <w:r w:rsidR="00992FD0" w:rsidRPr="00EC250C">
        <w:rPr>
          <w:szCs w:val="24"/>
        </w:rPr>
        <w:t xml:space="preserve"> w </w:t>
      </w:r>
      <w:r w:rsidRPr="00EC250C">
        <w:rPr>
          <w:szCs w:val="24"/>
        </w:rPr>
        <w:t>czasie których uczestnicy opisują swoje doświadczenia</w:t>
      </w:r>
      <w:r w:rsidR="00992FD0" w:rsidRPr="00EC250C">
        <w:rPr>
          <w:szCs w:val="24"/>
        </w:rPr>
        <w:t xml:space="preserve"> w </w:t>
      </w:r>
      <w:r w:rsidRPr="00EC250C">
        <w:rPr>
          <w:szCs w:val="24"/>
        </w:rPr>
        <w:t>zetknięciu</w:t>
      </w:r>
      <w:r w:rsidR="00992FD0" w:rsidRPr="00EC250C">
        <w:rPr>
          <w:szCs w:val="24"/>
        </w:rPr>
        <w:t xml:space="preserve"> z </w:t>
      </w:r>
      <w:r w:rsidRPr="00EC250C">
        <w:rPr>
          <w:szCs w:val="24"/>
        </w:rPr>
        <w:t>tego rodzaju przestępczością,</w:t>
      </w:r>
      <w:r w:rsidR="00992FD0" w:rsidRPr="00EC250C">
        <w:rPr>
          <w:szCs w:val="24"/>
        </w:rPr>
        <w:t xml:space="preserve"> a </w:t>
      </w:r>
      <w:r w:rsidRPr="00EC250C">
        <w:rPr>
          <w:szCs w:val="24"/>
        </w:rPr>
        <w:t>następnie typują do podobnej ankiety inne osoby</w:t>
      </w:r>
      <w:r w:rsidR="00992FD0" w:rsidRPr="00EC250C">
        <w:rPr>
          <w:szCs w:val="24"/>
        </w:rPr>
        <w:t xml:space="preserve"> z </w:t>
      </w:r>
      <w:r w:rsidRPr="00EC250C">
        <w:rPr>
          <w:szCs w:val="24"/>
        </w:rPr>
        <w:t>tej samej społeczności. Dzięki temu ankietowani sami odtwarzają istniejące sieci społeczne. Wszystkim zadawane są pytania</w:t>
      </w:r>
      <w:r w:rsidR="00992FD0" w:rsidRPr="00EC250C">
        <w:rPr>
          <w:szCs w:val="24"/>
        </w:rPr>
        <w:t xml:space="preserve"> o </w:t>
      </w:r>
      <w:r w:rsidRPr="00EC250C">
        <w:rPr>
          <w:szCs w:val="24"/>
        </w:rPr>
        <w:t>to, czy doświadczali przestępstw</w:t>
      </w:r>
      <w:r w:rsidR="00992FD0" w:rsidRPr="00EC250C">
        <w:rPr>
          <w:szCs w:val="24"/>
        </w:rPr>
        <w:t xml:space="preserve"> z </w:t>
      </w:r>
      <w:r w:rsidRPr="00EC250C">
        <w:rPr>
          <w:szCs w:val="24"/>
        </w:rPr>
        <w:t>nienawiści, czy zgłaszali je policji,</w:t>
      </w:r>
      <w:r w:rsidR="00992FD0" w:rsidRPr="00EC250C">
        <w:rPr>
          <w:szCs w:val="24"/>
        </w:rPr>
        <w:t xml:space="preserve"> a </w:t>
      </w:r>
      <w:r w:rsidRPr="00EC250C">
        <w:rPr>
          <w:szCs w:val="24"/>
        </w:rPr>
        <w:t>jeżeli nie, to dlaczego</w:t>
      </w:r>
      <w:r w:rsidRPr="00EC250C">
        <w:rPr>
          <w:rStyle w:val="Odwoanieprzypisudolnego"/>
          <w:szCs w:val="24"/>
        </w:rPr>
        <w:footnoteReference w:id="55"/>
      </w:r>
      <w:r w:rsidRPr="00EC250C">
        <w:rPr>
          <w:szCs w:val="24"/>
        </w:rPr>
        <w:t>.</w:t>
      </w:r>
    </w:p>
    <w:p w14:paraId="6884FFF4" w14:textId="77777777" w:rsidR="00C91F6E" w:rsidRPr="00EC250C" w:rsidRDefault="00C926E9" w:rsidP="00EC250C">
      <w:pPr>
        <w:pStyle w:val="Nagwek5"/>
      </w:pPr>
      <w:r w:rsidRPr="00EC250C">
        <w:t>Nasilanie się postaw rasistowskich</w:t>
      </w:r>
      <w:r w:rsidR="00992FD0" w:rsidRPr="00EC250C">
        <w:t xml:space="preserve"> i </w:t>
      </w:r>
      <w:r w:rsidRPr="00EC250C">
        <w:t>ksenofobicznych</w:t>
      </w:r>
      <w:r w:rsidR="00992FD0" w:rsidRPr="00EC250C">
        <w:t xml:space="preserve"> w </w:t>
      </w:r>
      <w:r w:rsidRPr="00EC250C">
        <w:t>Polsce</w:t>
      </w:r>
    </w:p>
    <w:p w14:paraId="515C1FFC" w14:textId="77777777" w:rsidR="00B473F5" w:rsidRPr="00EC250C" w:rsidRDefault="00101A3F" w:rsidP="00D131FA">
      <w:pPr>
        <w:pStyle w:val="Problemczowieka"/>
        <w:jc w:val="both"/>
        <w:rPr>
          <w:rFonts w:eastAsia="Calibri"/>
          <w:lang w:eastAsia="zh-CN" w:bidi="hi-IN"/>
        </w:rPr>
      </w:pPr>
      <w:r w:rsidRPr="00EC250C">
        <w:rPr>
          <w:rFonts w:eastAsia="Calibri"/>
          <w:lang w:eastAsia="zh-CN" w:bidi="hi-IN"/>
        </w:rPr>
        <w:t>K</w:t>
      </w:r>
      <w:r w:rsidR="001E6406" w:rsidRPr="00EC250C">
        <w:rPr>
          <w:rFonts w:eastAsia="Calibri"/>
          <w:lang w:eastAsia="zh-CN" w:bidi="hi-IN"/>
        </w:rPr>
        <w:t>onieczne wydaje się opracowanie nowej, kompleksowej strategii mającej na celu zwalczanie rasizmu</w:t>
      </w:r>
      <w:r w:rsidR="00992FD0" w:rsidRPr="00EC250C">
        <w:rPr>
          <w:rFonts w:eastAsia="Calibri"/>
          <w:lang w:eastAsia="zh-CN" w:bidi="hi-IN"/>
        </w:rPr>
        <w:t xml:space="preserve"> i </w:t>
      </w:r>
      <w:r w:rsidR="001E6406" w:rsidRPr="00EC250C">
        <w:rPr>
          <w:rFonts w:eastAsia="Calibri"/>
          <w:lang w:eastAsia="zh-CN" w:bidi="hi-IN"/>
        </w:rPr>
        <w:t>ksenofobii</w:t>
      </w:r>
      <w:r w:rsidR="00992FD0" w:rsidRPr="00EC250C">
        <w:rPr>
          <w:rFonts w:eastAsia="Calibri"/>
          <w:lang w:eastAsia="zh-CN" w:bidi="hi-IN"/>
        </w:rPr>
        <w:t xml:space="preserve"> w </w:t>
      </w:r>
      <w:r w:rsidR="001E6406" w:rsidRPr="00EC250C">
        <w:rPr>
          <w:rFonts w:eastAsia="Calibri"/>
          <w:lang w:eastAsia="zh-CN" w:bidi="hi-IN"/>
        </w:rPr>
        <w:t>Polsce</w:t>
      </w:r>
      <w:r w:rsidR="00B473F5" w:rsidRPr="00EC250C">
        <w:rPr>
          <w:rFonts w:eastAsia="Calibri"/>
          <w:lang w:eastAsia="zh-CN" w:bidi="hi-IN"/>
        </w:rPr>
        <w:t>.</w:t>
      </w:r>
    </w:p>
    <w:p w14:paraId="5643F969" w14:textId="77777777" w:rsidR="00C91F6E" w:rsidRPr="00EC250C" w:rsidRDefault="00EC5B0D" w:rsidP="00D131FA">
      <w:pPr>
        <w:pStyle w:val="Styl1"/>
        <w:rPr>
          <w:rFonts w:eastAsia="Calibri"/>
          <w:lang w:eastAsia="zh-CN" w:bidi="hi-IN"/>
        </w:rPr>
      </w:pPr>
      <w:r w:rsidRPr="00EC250C">
        <w:rPr>
          <w:rFonts w:eastAsia="Calibri"/>
          <w:lang w:eastAsia="zh-CN" w:bidi="hi-IN"/>
        </w:rPr>
        <w:lastRenderedPageBreak/>
        <w:t>19 stycznia 2018</w:t>
      </w:r>
      <w:r w:rsidR="00C91F6E" w:rsidRPr="00EC250C">
        <w:rPr>
          <w:rFonts w:eastAsia="Calibri"/>
          <w:lang w:eastAsia="zh-CN" w:bidi="hi-IN"/>
        </w:rPr>
        <w:t> r.</w:t>
      </w:r>
      <w:r w:rsidR="00C926E9" w:rsidRPr="00EC250C">
        <w:rPr>
          <w:rFonts w:eastAsia="Calibri"/>
          <w:lang w:eastAsia="zh-CN" w:bidi="hi-IN"/>
        </w:rPr>
        <w:t xml:space="preserve"> </w:t>
      </w:r>
      <w:r w:rsidR="002230B7" w:rsidRPr="00EC250C">
        <w:rPr>
          <w:rFonts w:eastAsia="Calibri"/>
          <w:lang w:eastAsia="zh-CN" w:bidi="hi-IN"/>
        </w:rPr>
        <w:t xml:space="preserve">TVN </w:t>
      </w:r>
      <w:r w:rsidR="008157D8" w:rsidRPr="00EC250C">
        <w:rPr>
          <w:rFonts w:eastAsia="Calibri"/>
          <w:lang w:eastAsia="zh-CN" w:bidi="hi-IN"/>
        </w:rPr>
        <w:t xml:space="preserve">pokazała </w:t>
      </w:r>
      <w:r w:rsidR="00C926E9" w:rsidRPr="00EC250C">
        <w:rPr>
          <w:rFonts w:eastAsia="Calibri"/>
          <w:lang w:eastAsia="zh-CN" w:bidi="hi-IN"/>
        </w:rPr>
        <w:t>reportaż „Polscy neonaziści”</w:t>
      </w:r>
      <w:r w:rsidR="00992FD0" w:rsidRPr="00EC250C">
        <w:rPr>
          <w:rFonts w:eastAsia="Calibri"/>
          <w:lang w:eastAsia="zh-CN" w:bidi="hi-IN"/>
        </w:rPr>
        <w:t xml:space="preserve"> o </w:t>
      </w:r>
      <w:r w:rsidR="00C926E9" w:rsidRPr="00EC250C">
        <w:rPr>
          <w:rFonts w:eastAsia="Calibri"/>
          <w:lang w:eastAsia="zh-CN" w:bidi="hi-IN"/>
        </w:rPr>
        <w:t>organizacji propag</w:t>
      </w:r>
      <w:r w:rsidR="001E6406" w:rsidRPr="00EC250C">
        <w:rPr>
          <w:rFonts w:eastAsia="Calibri"/>
          <w:lang w:eastAsia="zh-CN" w:bidi="hi-IN"/>
        </w:rPr>
        <w:t xml:space="preserve">ującej </w:t>
      </w:r>
      <w:r w:rsidR="00C926E9" w:rsidRPr="00EC250C">
        <w:rPr>
          <w:rFonts w:eastAsia="Calibri"/>
          <w:lang w:eastAsia="zh-CN" w:bidi="hi-IN"/>
        </w:rPr>
        <w:t>treści</w:t>
      </w:r>
      <w:r w:rsidR="00992FD0" w:rsidRPr="00EC250C">
        <w:rPr>
          <w:rFonts w:eastAsia="Calibri"/>
          <w:lang w:eastAsia="zh-CN" w:bidi="hi-IN"/>
        </w:rPr>
        <w:t xml:space="preserve"> i </w:t>
      </w:r>
      <w:r w:rsidR="00C926E9" w:rsidRPr="00EC250C">
        <w:rPr>
          <w:rFonts w:eastAsia="Calibri"/>
          <w:lang w:eastAsia="zh-CN" w:bidi="hi-IN"/>
        </w:rPr>
        <w:t xml:space="preserve">symbole wprost odwołujące się do ideologii III Rzeszy. </w:t>
      </w:r>
      <w:r w:rsidR="001E6406" w:rsidRPr="00EC250C">
        <w:rPr>
          <w:rFonts w:eastAsia="Calibri"/>
          <w:lang w:eastAsia="zh-CN" w:bidi="hi-IN"/>
        </w:rPr>
        <w:t xml:space="preserve">Nie jest to </w:t>
      </w:r>
      <w:r w:rsidR="00C926E9" w:rsidRPr="00EC250C">
        <w:rPr>
          <w:rFonts w:eastAsia="Calibri"/>
          <w:lang w:eastAsia="zh-CN" w:bidi="hi-IN"/>
        </w:rPr>
        <w:t>zjawisk</w:t>
      </w:r>
      <w:r w:rsidR="001E6406" w:rsidRPr="00EC250C">
        <w:rPr>
          <w:rFonts w:eastAsia="Calibri"/>
          <w:lang w:eastAsia="zh-CN" w:bidi="hi-IN"/>
        </w:rPr>
        <w:t>o</w:t>
      </w:r>
      <w:r w:rsidR="00C926E9" w:rsidRPr="00EC250C">
        <w:rPr>
          <w:rFonts w:eastAsia="Calibri"/>
          <w:lang w:eastAsia="zh-CN" w:bidi="hi-IN"/>
        </w:rPr>
        <w:t xml:space="preserve"> marginaln</w:t>
      </w:r>
      <w:r w:rsidR="001E6406" w:rsidRPr="00EC250C">
        <w:rPr>
          <w:rFonts w:eastAsia="Calibri"/>
          <w:lang w:eastAsia="zh-CN" w:bidi="hi-IN"/>
        </w:rPr>
        <w:t>e</w:t>
      </w:r>
      <w:r w:rsidR="00026572" w:rsidRPr="00EC250C">
        <w:rPr>
          <w:rFonts w:eastAsia="Calibri"/>
          <w:lang w:eastAsia="zh-CN" w:bidi="hi-IN"/>
        </w:rPr>
        <w:t xml:space="preserve"> – </w:t>
      </w:r>
      <w:r w:rsidR="001E6406" w:rsidRPr="00EC250C">
        <w:rPr>
          <w:rFonts w:eastAsia="Calibri"/>
          <w:lang w:eastAsia="zh-CN" w:bidi="hi-IN"/>
        </w:rPr>
        <w:t>d</w:t>
      </w:r>
      <w:r w:rsidR="00C926E9" w:rsidRPr="00EC250C">
        <w:rPr>
          <w:rFonts w:eastAsia="Calibri"/>
          <w:lang w:eastAsia="zh-CN" w:bidi="hi-IN"/>
        </w:rPr>
        <w:t>o ataków na tle dyskryminacyjnym dochodzi</w:t>
      </w:r>
      <w:r w:rsidR="00992FD0" w:rsidRPr="00EC250C">
        <w:rPr>
          <w:rFonts w:eastAsia="Calibri"/>
          <w:lang w:eastAsia="zh-CN" w:bidi="hi-IN"/>
        </w:rPr>
        <w:t xml:space="preserve"> w </w:t>
      </w:r>
      <w:r w:rsidR="00C926E9" w:rsidRPr="00EC250C">
        <w:rPr>
          <w:rFonts w:eastAsia="Calibri"/>
          <w:lang w:eastAsia="zh-CN" w:bidi="hi-IN"/>
        </w:rPr>
        <w:t>Polsce coraz częściej</w:t>
      </w:r>
      <w:r w:rsidR="007746F3" w:rsidRPr="00EC250C">
        <w:rPr>
          <w:rFonts w:eastAsia="Calibri"/>
          <w:lang w:eastAsia="zh-CN" w:bidi="hi-IN"/>
        </w:rPr>
        <w:t>.</w:t>
      </w:r>
    </w:p>
    <w:p w14:paraId="08C41C72" w14:textId="77777777" w:rsidR="00C91F6E" w:rsidRPr="00EC250C" w:rsidRDefault="008157D8" w:rsidP="00D131FA">
      <w:pPr>
        <w:pStyle w:val="Styl1"/>
        <w:rPr>
          <w:rFonts w:eastAsia="Calibri"/>
          <w:lang w:eastAsia="zh-CN" w:bidi="hi-IN"/>
        </w:rPr>
      </w:pPr>
      <w:r w:rsidRPr="00EC250C">
        <w:rPr>
          <w:rFonts w:eastAsia="Calibri"/>
          <w:lang w:eastAsia="zh-CN" w:bidi="hi-IN"/>
        </w:rPr>
        <w:t xml:space="preserve">Przeciwdziałanie im wymaga </w:t>
      </w:r>
      <w:r w:rsidR="009561BD" w:rsidRPr="00EC250C">
        <w:rPr>
          <w:rFonts w:eastAsia="Calibri"/>
          <w:lang w:eastAsia="zh-CN" w:bidi="hi-IN"/>
        </w:rPr>
        <w:t>–</w:t>
      </w:r>
      <w:r w:rsidRPr="00EC250C">
        <w:rPr>
          <w:rFonts w:eastAsia="Calibri"/>
          <w:lang w:eastAsia="zh-CN" w:bidi="hi-IN"/>
        </w:rPr>
        <w:t xml:space="preserve"> z</w:t>
      </w:r>
      <w:r w:rsidR="001E6406" w:rsidRPr="00EC250C">
        <w:rPr>
          <w:rFonts w:eastAsia="Calibri"/>
          <w:lang w:eastAsia="zh-CN" w:bidi="hi-IN"/>
        </w:rPr>
        <w:t xml:space="preserve">daniem RPO </w:t>
      </w:r>
      <w:r w:rsidRPr="00EC250C">
        <w:rPr>
          <w:rFonts w:eastAsia="Calibri"/>
          <w:lang w:eastAsia="zh-CN" w:bidi="hi-IN"/>
        </w:rPr>
        <w:t xml:space="preserve">– przede wszystkim </w:t>
      </w:r>
      <w:r w:rsidR="001E6406" w:rsidRPr="00EC250C">
        <w:rPr>
          <w:rFonts w:eastAsia="Calibri"/>
          <w:lang w:eastAsia="zh-CN" w:bidi="hi-IN"/>
        </w:rPr>
        <w:t>sprawdz</w:t>
      </w:r>
      <w:r w:rsidRPr="00EC250C">
        <w:rPr>
          <w:rFonts w:eastAsia="Calibri"/>
          <w:lang w:eastAsia="zh-CN" w:bidi="hi-IN"/>
        </w:rPr>
        <w:t>enia</w:t>
      </w:r>
      <w:r w:rsidR="001E6406" w:rsidRPr="00EC250C">
        <w:rPr>
          <w:rFonts w:eastAsia="Calibri"/>
          <w:lang w:eastAsia="zh-CN" w:bidi="hi-IN"/>
        </w:rPr>
        <w:t xml:space="preserve">, czy </w:t>
      </w:r>
      <w:r w:rsidR="00C926E9" w:rsidRPr="00EC250C">
        <w:rPr>
          <w:rFonts w:eastAsia="Calibri"/>
          <w:lang w:eastAsia="zh-CN" w:bidi="hi-IN"/>
        </w:rPr>
        <w:t xml:space="preserve">organy ścigania dysponują odpowiednimi środkami prawnymi, aby skutecznie zwalczać działalność </w:t>
      </w:r>
      <w:r w:rsidRPr="00EC250C">
        <w:rPr>
          <w:rFonts w:eastAsia="Calibri"/>
          <w:lang w:eastAsia="zh-CN" w:bidi="hi-IN"/>
        </w:rPr>
        <w:t xml:space="preserve">takich </w:t>
      </w:r>
      <w:r w:rsidR="00C926E9" w:rsidRPr="00EC250C">
        <w:rPr>
          <w:rFonts w:eastAsia="Calibri"/>
          <w:lang w:eastAsia="zh-CN" w:bidi="hi-IN"/>
        </w:rPr>
        <w:t>organizacji</w:t>
      </w:r>
      <w:r w:rsidRPr="00EC250C">
        <w:rPr>
          <w:rFonts w:eastAsia="Calibri"/>
          <w:lang w:eastAsia="zh-CN" w:bidi="hi-IN"/>
        </w:rPr>
        <w:t xml:space="preserve"> (</w:t>
      </w:r>
      <w:r w:rsidR="00C926E9" w:rsidRPr="00EC250C">
        <w:rPr>
          <w:rFonts w:eastAsia="Calibri"/>
          <w:lang w:eastAsia="zh-CN" w:bidi="hi-IN"/>
        </w:rPr>
        <w:t>odwołują</w:t>
      </w:r>
      <w:r w:rsidRPr="00EC250C">
        <w:rPr>
          <w:rFonts w:eastAsia="Calibri"/>
          <w:lang w:eastAsia="zh-CN" w:bidi="hi-IN"/>
        </w:rPr>
        <w:t>cych</w:t>
      </w:r>
      <w:r w:rsidR="00C926E9" w:rsidRPr="00EC250C">
        <w:rPr>
          <w:rFonts w:eastAsia="Calibri"/>
          <w:lang w:eastAsia="zh-CN" w:bidi="hi-IN"/>
        </w:rPr>
        <w:t xml:space="preserve"> się do totalitarnych metod</w:t>
      </w:r>
      <w:r w:rsidR="00992FD0" w:rsidRPr="00EC250C">
        <w:rPr>
          <w:rFonts w:eastAsia="Calibri"/>
          <w:lang w:eastAsia="zh-CN" w:bidi="hi-IN"/>
        </w:rPr>
        <w:t xml:space="preserve"> i </w:t>
      </w:r>
      <w:r w:rsidR="00C926E9" w:rsidRPr="00EC250C">
        <w:rPr>
          <w:rFonts w:eastAsia="Calibri"/>
          <w:lang w:eastAsia="zh-CN" w:bidi="hi-IN"/>
        </w:rPr>
        <w:t>praktyk nazizmu czy faszyzmu,</w:t>
      </w:r>
      <w:r w:rsidR="00992FD0" w:rsidRPr="00EC250C">
        <w:rPr>
          <w:rFonts w:eastAsia="Calibri"/>
          <w:lang w:eastAsia="zh-CN" w:bidi="hi-IN"/>
        </w:rPr>
        <w:t xml:space="preserve"> a </w:t>
      </w:r>
      <w:r w:rsidR="00C926E9" w:rsidRPr="00EC250C">
        <w:rPr>
          <w:rFonts w:eastAsia="Calibri"/>
          <w:lang w:eastAsia="zh-CN" w:bidi="hi-IN"/>
        </w:rPr>
        <w:t>także tych, których program lub działalność zakłada lub dopuszcza nienawiść rasową</w:t>
      </w:r>
      <w:r w:rsidR="00992FD0" w:rsidRPr="00EC250C">
        <w:rPr>
          <w:rFonts w:eastAsia="Calibri"/>
          <w:lang w:eastAsia="zh-CN" w:bidi="hi-IN"/>
        </w:rPr>
        <w:t xml:space="preserve"> i </w:t>
      </w:r>
      <w:r w:rsidR="00C926E9" w:rsidRPr="00EC250C">
        <w:rPr>
          <w:rFonts w:eastAsia="Calibri"/>
          <w:lang w:eastAsia="zh-CN" w:bidi="hi-IN"/>
        </w:rPr>
        <w:t>narodowościową</w:t>
      </w:r>
      <w:r w:rsidRPr="00EC250C">
        <w:rPr>
          <w:rFonts w:eastAsia="Calibri"/>
          <w:lang w:eastAsia="zh-CN" w:bidi="hi-IN"/>
        </w:rPr>
        <w:t>)</w:t>
      </w:r>
      <w:r w:rsidR="00C926E9" w:rsidRPr="00EC250C">
        <w:rPr>
          <w:rFonts w:eastAsia="Calibri"/>
          <w:lang w:eastAsia="zh-CN" w:bidi="hi-IN"/>
        </w:rPr>
        <w:t xml:space="preserve">. </w:t>
      </w:r>
      <w:r w:rsidRPr="00EC250C">
        <w:rPr>
          <w:rFonts w:eastAsia="Calibri"/>
          <w:lang w:eastAsia="zh-CN" w:bidi="hi-IN"/>
        </w:rPr>
        <w:t xml:space="preserve">Trzeba też </w:t>
      </w:r>
      <w:r w:rsidR="00C926E9" w:rsidRPr="00EC250C">
        <w:rPr>
          <w:rFonts w:eastAsia="Calibri"/>
          <w:lang w:eastAsia="zh-CN" w:bidi="hi-IN"/>
        </w:rPr>
        <w:t>ponown</w:t>
      </w:r>
      <w:r w:rsidRPr="00EC250C">
        <w:rPr>
          <w:rFonts w:eastAsia="Calibri"/>
          <w:lang w:eastAsia="zh-CN" w:bidi="hi-IN"/>
        </w:rPr>
        <w:t xml:space="preserve">ie przeanalizować </w:t>
      </w:r>
      <w:r w:rsidR="00C926E9" w:rsidRPr="00EC250C">
        <w:rPr>
          <w:rFonts w:eastAsia="Calibri"/>
          <w:lang w:eastAsia="zh-CN" w:bidi="hi-IN"/>
        </w:rPr>
        <w:t>przepis</w:t>
      </w:r>
      <w:r w:rsidRPr="00EC250C">
        <w:rPr>
          <w:rFonts w:eastAsia="Calibri"/>
          <w:lang w:eastAsia="zh-CN" w:bidi="hi-IN"/>
        </w:rPr>
        <w:t>y</w:t>
      </w:r>
      <w:r w:rsidR="00C926E9" w:rsidRPr="00EC250C">
        <w:rPr>
          <w:rFonts w:eastAsia="Calibri"/>
          <w:lang w:eastAsia="zh-CN" w:bidi="hi-IN"/>
        </w:rPr>
        <w:t xml:space="preserve"> Kodeksu karnego regulujących materię przestępczości motywowanej uprzedzeniami.</w:t>
      </w:r>
    </w:p>
    <w:p w14:paraId="6683F915" w14:textId="77777777" w:rsidR="00960800" w:rsidRPr="00EC250C" w:rsidRDefault="00073A8C" w:rsidP="00D131FA">
      <w:pPr>
        <w:pStyle w:val="Styl1"/>
        <w:rPr>
          <w:rFonts w:eastAsia="Calibri"/>
          <w:lang w:eastAsia="zh-CN" w:bidi="hi-IN"/>
        </w:rPr>
      </w:pPr>
      <w:r w:rsidRPr="00EC250C">
        <w:rPr>
          <w:rFonts w:eastAsia="Calibri"/>
          <w:lang w:eastAsia="zh-CN" w:bidi="hi-IN"/>
        </w:rPr>
        <w:t>RPO</w:t>
      </w:r>
      <w:r w:rsidR="00C926E9" w:rsidRPr="00EC250C">
        <w:rPr>
          <w:rFonts w:eastAsia="Calibri"/>
          <w:lang w:eastAsia="zh-CN" w:bidi="hi-IN"/>
        </w:rPr>
        <w:t xml:space="preserve"> zwrócił się</w:t>
      </w:r>
      <w:r w:rsidR="001E66D1" w:rsidRPr="00EC250C">
        <w:rPr>
          <w:rFonts w:eastAsia="Calibri"/>
          <w:lang w:eastAsia="zh-CN" w:bidi="hi-IN"/>
        </w:rPr>
        <w:t xml:space="preserve"> </w:t>
      </w:r>
      <w:r w:rsidR="00C926E9" w:rsidRPr="00EC250C">
        <w:rPr>
          <w:rFonts w:eastAsia="Calibri"/>
          <w:lang w:eastAsia="zh-CN" w:bidi="hi-IN"/>
        </w:rPr>
        <w:t xml:space="preserve">do </w:t>
      </w:r>
      <w:r w:rsidR="00ED0535" w:rsidRPr="00EC250C">
        <w:rPr>
          <w:rFonts w:eastAsia="Calibri"/>
          <w:lang w:eastAsia="zh-CN" w:bidi="hi-IN"/>
        </w:rPr>
        <w:t>p</w:t>
      </w:r>
      <w:r w:rsidR="00C926E9" w:rsidRPr="00EC250C">
        <w:rPr>
          <w:rFonts w:eastAsia="Calibri"/>
          <w:lang w:eastAsia="zh-CN" w:bidi="hi-IN"/>
        </w:rPr>
        <w:t>remiera</w:t>
      </w:r>
      <w:r w:rsidR="00992FD0" w:rsidRPr="00EC250C">
        <w:rPr>
          <w:rFonts w:eastAsia="Calibri"/>
          <w:lang w:eastAsia="zh-CN" w:bidi="hi-IN"/>
        </w:rPr>
        <w:t xml:space="preserve"> o </w:t>
      </w:r>
      <w:r w:rsidR="00C926E9" w:rsidRPr="00EC250C">
        <w:rPr>
          <w:rFonts w:eastAsia="Calibri"/>
          <w:lang w:eastAsia="zh-CN" w:bidi="hi-IN"/>
        </w:rPr>
        <w:t xml:space="preserve">wdrożenia zaleceń Komitetu </w:t>
      </w:r>
      <w:r w:rsidR="008157D8" w:rsidRPr="00EC250C">
        <w:rPr>
          <w:rFonts w:eastAsia="Calibri"/>
          <w:lang w:eastAsia="zh-CN" w:bidi="hi-IN"/>
        </w:rPr>
        <w:t xml:space="preserve">ONZ </w:t>
      </w:r>
      <w:r w:rsidR="00C926E9" w:rsidRPr="00EC250C">
        <w:rPr>
          <w:rFonts w:eastAsia="Calibri"/>
          <w:lang w:eastAsia="zh-CN" w:bidi="hi-IN"/>
        </w:rPr>
        <w:t>ds. Eliminacji Dyskryminacji Rasowej.</w:t>
      </w:r>
      <w:r w:rsidR="001E6406" w:rsidRPr="00EC250C">
        <w:rPr>
          <w:rFonts w:eastAsia="Calibri"/>
          <w:lang w:eastAsia="zh-CN" w:bidi="hi-IN"/>
        </w:rPr>
        <w:t xml:space="preserve"> </w:t>
      </w:r>
      <w:r w:rsidR="00697BF3" w:rsidRPr="00EC250C">
        <w:rPr>
          <w:rFonts w:eastAsia="Calibri"/>
          <w:lang w:eastAsia="zh-CN" w:bidi="hi-IN"/>
        </w:rPr>
        <w:t xml:space="preserve">Z odpowiedzi </w:t>
      </w:r>
      <w:r w:rsidR="003F51CE" w:rsidRPr="00EC250C">
        <w:rPr>
          <w:rFonts w:eastAsia="Calibri"/>
          <w:lang w:eastAsia="zh-CN" w:bidi="hi-IN"/>
        </w:rPr>
        <w:t>Ministr</w:t>
      </w:r>
      <w:r w:rsidR="00697BF3" w:rsidRPr="00EC250C">
        <w:rPr>
          <w:rFonts w:eastAsia="Calibri"/>
          <w:lang w:eastAsia="zh-CN" w:bidi="hi-IN"/>
        </w:rPr>
        <w:t>a</w:t>
      </w:r>
      <w:r w:rsidR="00960800" w:rsidRPr="00EC250C">
        <w:rPr>
          <w:rFonts w:eastAsia="Calibri"/>
          <w:lang w:eastAsia="zh-CN" w:bidi="hi-IN"/>
        </w:rPr>
        <w:t xml:space="preserve"> Spraw Wewnętrznych</w:t>
      </w:r>
      <w:r w:rsidR="00992FD0" w:rsidRPr="00EC250C">
        <w:rPr>
          <w:rFonts w:eastAsia="Calibri"/>
          <w:lang w:eastAsia="zh-CN" w:bidi="hi-IN"/>
        </w:rPr>
        <w:t xml:space="preserve"> i </w:t>
      </w:r>
      <w:r w:rsidR="00960800" w:rsidRPr="00EC250C">
        <w:rPr>
          <w:rFonts w:eastAsia="Calibri"/>
          <w:lang w:eastAsia="zh-CN" w:bidi="hi-IN"/>
        </w:rPr>
        <w:t xml:space="preserve">Administracji </w:t>
      </w:r>
      <w:r w:rsidR="00691284" w:rsidRPr="00EC250C">
        <w:rPr>
          <w:rFonts w:eastAsia="Calibri"/>
          <w:lang w:eastAsia="zh-CN" w:bidi="hi-IN"/>
        </w:rPr>
        <w:t>dowiedział się jedynie</w:t>
      </w:r>
      <w:r w:rsidR="00960800" w:rsidRPr="00EC250C">
        <w:rPr>
          <w:rFonts w:eastAsia="Calibri"/>
          <w:lang w:eastAsia="zh-CN" w:bidi="hi-IN"/>
        </w:rPr>
        <w:t xml:space="preserve">, że </w:t>
      </w:r>
      <w:r w:rsidR="00691284" w:rsidRPr="00EC250C">
        <w:rPr>
          <w:rFonts w:eastAsia="Calibri"/>
          <w:lang w:eastAsia="zh-CN" w:bidi="hi-IN"/>
        </w:rPr>
        <w:t>p</w:t>
      </w:r>
      <w:r w:rsidR="001E6406" w:rsidRPr="00EC250C">
        <w:rPr>
          <w:rFonts w:eastAsia="Calibri"/>
          <w:lang w:eastAsia="zh-CN" w:bidi="hi-IN"/>
        </w:rPr>
        <w:t xml:space="preserve">remier powołał już </w:t>
      </w:r>
      <w:r w:rsidR="00960800" w:rsidRPr="00EC250C">
        <w:rPr>
          <w:rFonts w:eastAsia="Calibri"/>
          <w:lang w:eastAsia="zh-CN" w:bidi="hi-IN"/>
        </w:rPr>
        <w:t>Międzyresortowy Zespół do spraw przeciwdziałania propagowaniu faszyzmu</w:t>
      </w:r>
      <w:r w:rsidR="00992FD0" w:rsidRPr="00EC250C">
        <w:rPr>
          <w:rFonts w:eastAsia="Calibri"/>
          <w:lang w:eastAsia="zh-CN" w:bidi="hi-IN"/>
        </w:rPr>
        <w:t xml:space="preserve"> i </w:t>
      </w:r>
      <w:r w:rsidR="00960800" w:rsidRPr="00EC250C">
        <w:rPr>
          <w:rFonts w:eastAsia="Calibri"/>
          <w:lang w:eastAsia="zh-CN" w:bidi="hi-IN"/>
        </w:rPr>
        <w:t>innych ustrojów totalitarnych oraz przestępstwom nawoływania do nienawiści na tle różnic narodowościowych, etnicznych, rasowych, wyznaniowych albo ze względu na bezwyznaniowość</w:t>
      </w:r>
      <w:r w:rsidR="00691284" w:rsidRPr="00EC250C">
        <w:rPr>
          <w:rFonts w:eastAsia="Calibri"/>
          <w:lang w:eastAsia="zh-CN" w:bidi="hi-IN"/>
        </w:rPr>
        <w:t>,</w:t>
      </w:r>
      <w:r w:rsidR="00992FD0" w:rsidRPr="00EC250C">
        <w:rPr>
          <w:rFonts w:eastAsia="Calibri"/>
          <w:lang w:eastAsia="zh-CN" w:bidi="hi-IN"/>
        </w:rPr>
        <w:t xml:space="preserve"> a </w:t>
      </w:r>
      <w:r w:rsidR="00691284" w:rsidRPr="00EC250C">
        <w:rPr>
          <w:rFonts w:eastAsia="Calibri"/>
          <w:lang w:eastAsia="zh-CN" w:bidi="hi-IN"/>
        </w:rPr>
        <w:t xml:space="preserve">także że </w:t>
      </w:r>
      <w:r w:rsidR="001E6406" w:rsidRPr="00EC250C">
        <w:rPr>
          <w:rFonts w:eastAsia="Calibri"/>
          <w:lang w:eastAsia="zh-CN" w:bidi="hi-IN"/>
        </w:rPr>
        <w:t>edukacyjne podstawy programowe właściwie opisują d</w:t>
      </w:r>
      <w:r w:rsidR="00960800" w:rsidRPr="00EC250C">
        <w:rPr>
          <w:rFonts w:eastAsia="Calibri"/>
          <w:lang w:eastAsia="zh-CN" w:bidi="hi-IN"/>
        </w:rPr>
        <w:t>ziała</w:t>
      </w:r>
      <w:r w:rsidR="001E6406" w:rsidRPr="00EC250C">
        <w:rPr>
          <w:rFonts w:eastAsia="Calibri"/>
          <w:lang w:eastAsia="zh-CN" w:bidi="hi-IN"/>
        </w:rPr>
        <w:t>nia</w:t>
      </w:r>
      <w:r w:rsidR="00992FD0" w:rsidRPr="00EC250C">
        <w:rPr>
          <w:rFonts w:eastAsia="Calibri"/>
          <w:lang w:eastAsia="zh-CN" w:bidi="hi-IN"/>
        </w:rPr>
        <w:t xml:space="preserve"> z </w:t>
      </w:r>
      <w:r w:rsidR="00960800" w:rsidRPr="00EC250C">
        <w:rPr>
          <w:rFonts w:eastAsia="Calibri"/>
          <w:lang w:eastAsia="zh-CN" w:bidi="hi-IN"/>
        </w:rPr>
        <w:t>zakresu edukacji obywatelskiej</w:t>
      </w:r>
      <w:r w:rsidR="00992FD0" w:rsidRPr="00EC250C">
        <w:rPr>
          <w:rFonts w:eastAsia="Calibri"/>
          <w:lang w:eastAsia="zh-CN" w:bidi="hi-IN"/>
        </w:rPr>
        <w:t xml:space="preserve"> i </w:t>
      </w:r>
      <w:r w:rsidR="00960800" w:rsidRPr="00EC250C">
        <w:rPr>
          <w:rFonts w:eastAsia="Calibri"/>
          <w:lang w:eastAsia="zh-CN" w:bidi="hi-IN"/>
        </w:rPr>
        <w:t>historycznej</w:t>
      </w:r>
      <w:r w:rsidR="001E66D1" w:rsidRPr="00EC250C">
        <w:rPr>
          <w:rStyle w:val="Odwoanieprzypisudolnego"/>
          <w:rFonts w:eastAsia="Calibri"/>
          <w:lang w:eastAsia="zh-CN" w:bidi="hi-IN"/>
        </w:rPr>
        <w:footnoteReference w:id="56"/>
      </w:r>
      <w:r w:rsidR="00960800" w:rsidRPr="00EC250C">
        <w:rPr>
          <w:rFonts w:eastAsia="Calibri"/>
          <w:lang w:eastAsia="zh-CN" w:bidi="hi-IN"/>
        </w:rPr>
        <w:t>.</w:t>
      </w:r>
    </w:p>
    <w:p w14:paraId="6FF79941" w14:textId="77777777" w:rsidR="00ED0A80" w:rsidRPr="00EC250C" w:rsidRDefault="00ED0A80" w:rsidP="00EC250C">
      <w:pPr>
        <w:pStyle w:val="Nagwek8"/>
        <w:rPr>
          <w:spacing w:val="0"/>
        </w:rPr>
      </w:pPr>
      <w:r w:rsidRPr="00EC250C">
        <w:t>Sprawa marszu</w:t>
      </w:r>
      <w:r w:rsidR="00992FD0" w:rsidRPr="00EC250C">
        <w:t xml:space="preserve"> w </w:t>
      </w:r>
      <w:r w:rsidRPr="00EC250C">
        <w:t xml:space="preserve">Hajnówce wraca do </w:t>
      </w:r>
      <w:r w:rsidR="008D34FB" w:rsidRPr="00EC250C">
        <w:t>prokuratury</w:t>
      </w:r>
      <w:r w:rsidRPr="00EC250C">
        <w:t>. Sąd uznał zażalenie RPO</w:t>
      </w:r>
    </w:p>
    <w:p w14:paraId="08BF51C5" w14:textId="77777777" w:rsidR="00C91F6E" w:rsidRPr="00EC250C" w:rsidRDefault="00ED0A80" w:rsidP="00D131FA">
      <w:pPr>
        <w:pStyle w:val="Styl2"/>
        <w:rPr>
          <w:rStyle w:val="Pogrubienie"/>
          <w:b/>
          <w:bCs/>
          <w:szCs w:val="24"/>
        </w:rPr>
      </w:pPr>
      <w:r w:rsidRPr="00EC250C">
        <w:rPr>
          <w:rStyle w:val="Pogrubienie"/>
          <w:b/>
          <w:bCs/>
          <w:szCs w:val="24"/>
        </w:rPr>
        <w:t xml:space="preserve">Sąd uchylił </w:t>
      </w:r>
      <w:r w:rsidR="00240F89" w:rsidRPr="00EC250C">
        <w:rPr>
          <w:rStyle w:val="Pogrubienie"/>
          <w:b/>
          <w:bCs/>
          <w:szCs w:val="24"/>
        </w:rPr>
        <w:t>postanowienie</w:t>
      </w:r>
      <w:r w:rsidRPr="00EC250C">
        <w:rPr>
          <w:rStyle w:val="Pogrubienie"/>
          <w:b/>
          <w:bCs/>
          <w:szCs w:val="24"/>
        </w:rPr>
        <w:t xml:space="preserve"> </w:t>
      </w:r>
      <w:r w:rsidR="001E66D1" w:rsidRPr="00EC250C">
        <w:rPr>
          <w:rStyle w:val="Pogrubienie"/>
          <w:b/>
          <w:bCs/>
          <w:szCs w:val="24"/>
        </w:rPr>
        <w:t>prokuratury</w:t>
      </w:r>
      <w:r w:rsidR="00992FD0" w:rsidRPr="00EC250C">
        <w:rPr>
          <w:rStyle w:val="Pogrubienie"/>
          <w:b/>
          <w:bCs/>
          <w:szCs w:val="24"/>
        </w:rPr>
        <w:t xml:space="preserve"> o </w:t>
      </w:r>
      <w:r w:rsidRPr="00EC250C">
        <w:rPr>
          <w:rStyle w:val="Pogrubienie"/>
          <w:b/>
          <w:bCs/>
          <w:szCs w:val="24"/>
        </w:rPr>
        <w:t>umorzeniu dochodzenia</w:t>
      </w:r>
      <w:r w:rsidR="00992FD0" w:rsidRPr="00EC250C">
        <w:rPr>
          <w:rStyle w:val="Pogrubienie"/>
          <w:b/>
          <w:bCs/>
          <w:szCs w:val="24"/>
        </w:rPr>
        <w:t xml:space="preserve"> w </w:t>
      </w:r>
      <w:r w:rsidRPr="00EC250C">
        <w:rPr>
          <w:rStyle w:val="Pogrubienie"/>
          <w:b/>
          <w:bCs/>
          <w:szCs w:val="24"/>
        </w:rPr>
        <w:t>sprawie propagowania rasizmu</w:t>
      </w:r>
      <w:r w:rsidR="00992FD0" w:rsidRPr="00EC250C">
        <w:rPr>
          <w:rStyle w:val="Pogrubienie"/>
          <w:b/>
          <w:bCs/>
          <w:szCs w:val="24"/>
        </w:rPr>
        <w:t xml:space="preserve"> i </w:t>
      </w:r>
      <w:r w:rsidRPr="00EC250C">
        <w:rPr>
          <w:rStyle w:val="Pogrubienie"/>
          <w:b/>
          <w:bCs/>
          <w:szCs w:val="24"/>
        </w:rPr>
        <w:t xml:space="preserve">faszystowskiego ustroju państwa </w:t>
      </w:r>
      <w:r w:rsidR="008157D8" w:rsidRPr="00EC250C">
        <w:rPr>
          <w:rStyle w:val="Pogrubienie"/>
          <w:b/>
          <w:bCs/>
          <w:szCs w:val="24"/>
        </w:rPr>
        <w:t xml:space="preserve">na </w:t>
      </w:r>
      <w:r w:rsidRPr="00EC250C">
        <w:rPr>
          <w:rStyle w:val="Pogrubienie"/>
          <w:b/>
          <w:bCs/>
          <w:szCs w:val="24"/>
        </w:rPr>
        <w:t>„Marszu Pamięci Żołnierzy Wyklętych</w:t>
      </w:r>
      <w:r w:rsidR="006B6A81" w:rsidRPr="00EC250C">
        <w:rPr>
          <w:rStyle w:val="Pogrubienie"/>
          <w:b/>
          <w:bCs/>
          <w:szCs w:val="24"/>
        </w:rPr>
        <w:t>”</w:t>
      </w:r>
      <w:r w:rsidR="00992FD0" w:rsidRPr="00EC250C">
        <w:rPr>
          <w:rStyle w:val="Pogrubienie"/>
          <w:b/>
          <w:bCs/>
          <w:szCs w:val="24"/>
        </w:rPr>
        <w:t xml:space="preserve"> w </w:t>
      </w:r>
      <w:r w:rsidRPr="00EC250C">
        <w:rPr>
          <w:rStyle w:val="Pogrubienie"/>
          <w:b/>
          <w:bCs/>
          <w:szCs w:val="24"/>
        </w:rPr>
        <w:t>Hajnówce.</w:t>
      </w:r>
    </w:p>
    <w:p w14:paraId="2EB0AF7C" w14:textId="77777777" w:rsidR="00C91F6E" w:rsidRPr="00EC250C" w:rsidRDefault="008157D8" w:rsidP="00D131FA">
      <w:pPr>
        <w:pStyle w:val="Styl2"/>
        <w:rPr>
          <w:szCs w:val="24"/>
        </w:rPr>
      </w:pPr>
      <w:r w:rsidRPr="00EC250C">
        <w:rPr>
          <w:szCs w:val="24"/>
        </w:rPr>
        <w:t>W lutym 2018</w:t>
      </w:r>
      <w:r w:rsidR="00C91F6E" w:rsidRPr="00EC250C">
        <w:rPr>
          <w:szCs w:val="24"/>
        </w:rPr>
        <w:t> r.</w:t>
      </w:r>
      <w:r w:rsidRPr="00EC250C">
        <w:rPr>
          <w:szCs w:val="24"/>
        </w:rPr>
        <w:t xml:space="preserve"> </w:t>
      </w:r>
      <w:r w:rsidR="007A22DC" w:rsidRPr="00EC250C">
        <w:rPr>
          <w:szCs w:val="24"/>
        </w:rPr>
        <w:t>RPO</w:t>
      </w:r>
      <w:r w:rsidRPr="00EC250C">
        <w:rPr>
          <w:szCs w:val="24"/>
        </w:rPr>
        <w:t xml:space="preserve"> spotykał się</w:t>
      </w:r>
      <w:r w:rsidR="00992FD0" w:rsidRPr="00EC250C">
        <w:rPr>
          <w:szCs w:val="24"/>
        </w:rPr>
        <w:t xml:space="preserve"> z </w:t>
      </w:r>
      <w:r w:rsidRPr="00EC250C">
        <w:rPr>
          <w:szCs w:val="24"/>
        </w:rPr>
        <w:t>mieszkańcami Podlasia</w:t>
      </w:r>
      <w:r w:rsidR="00992FD0" w:rsidRPr="00EC250C">
        <w:rPr>
          <w:szCs w:val="24"/>
        </w:rPr>
        <w:t xml:space="preserve"> i </w:t>
      </w:r>
      <w:r w:rsidRPr="00EC250C">
        <w:rPr>
          <w:szCs w:val="24"/>
        </w:rPr>
        <w:t>usłyszał, jak bolesnym doświadczeniem był dla nich ten marsz.</w:t>
      </w:r>
    </w:p>
    <w:p w14:paraId="4B48F55F" w14:textId="77777777" w:rsidR="00ED0A80" w:rsidRPr="00EC250C" w:rsidRDefault="00ED0A80" w:rsidP="00D131FA">
      <w:pPr>
        <w:pStyle w:val="Styl2"/>
        <w:rPr>
          <w:szCs w:val="24"/>
        </w:rPr>
      </w:pPr>
      <w:r w:rsidRPr="00EC250C">
        <w:rPr>
          <w:szCs w:val="24"/>
        </w:rPr>
        <w:t xml:space="preserve">Marsz przeszedł ulicami </w:t>
      </w:r>
      <w:r w:rsidR="001E66D1" w:rsidRPr="00EC250C">
        <w:rPr>
          <w:szCs w:val="24"/>
        </w:rPr>
        <w:t xml:space="preserve">miasta </w:t>
      </w:r>
      <w:r w:rsidRPr="00EC250C">
        <w:rPr>
          <w:szCs w:val="24"/>
        </w:rPr>
        <w:t>24 lutego 2018</w:t>
      </w:r>
      <w:r w:rsidR="00C91F6E" w:rsidRPr="00EC250C">
        <w:rPr>
          <w:szCs w:val="24"/>
        </w:rPr>
        <w:t> r.</w:t>
      </w:r>
      <w:r w:rsidRPr="00EC250C">
        <w:rPr>
          <w:szCs w:val="24"/>
        </w:rPr>
        <w:t xml:space="preserve"> Jego uczestnicy prezentowali symbole „krzyża celtyckiego</w:t>
      </w:r>
      <w:r w:rsidR="006B6A81" w:rsidRPr="00EC250C">
        <w:rPr>
          <w:szCs w:val="24"/>
        </w:rPr>
        <w:t>”</w:t>
      </w:r>
      <w:r w:rsidRPr="00EC250C">
        <w:rPr>
          <w:szCs w:val="24"/>
        </w:rPr>
        <w:t>, „falangi”</w:t>
      </w:r>
      <w:r w:rsidR="00CC4D88" w:rsidRPr="00EC250C">
        <w:rPr>
          <w:szCs w:val="24"/>
        </w:rPr>
        <w:t xml:space="preserve"> </w:t>
      </w:r>
      <w:r w:rsidRPr="00EC250C">
        <w:rPr>
          <w:szCs w:val="24"/>
        </w:rPr>
        <w:t>oraz odznaki trupiej główki</w:t>
      </w:r>
      <w:r w:rsidR="00992FD0" w:rsidRPr="00EC250C">
        <w:rPr>
          <w:szCs w:val="24"/>
        </w:rPr>
        <w:t xml:space="preserve"> z </w:t>
      </w:r>
      <w:r w:rsidRPr="00EC250C">
        <w:rPr>
          <w:szCs w:val="24"/>
        </w:rPr>
        <w:t>piszczelami (tzw. „Totenkopf</w:t>
      </w:r>
      <w:r w:rsidR="006B6A81" w:rsidRPr="00EC250C">
        <w:rPr>
          <w:szCs w:val="24"/>
        </w:rPr>
        <w:t>”</w:t>
      </w:r>
      <w:r w:rsidRPr="00EC250C">
        <w:rPr>
          <w:szCs w:val="24"/>
        </w:rPr>
        <w:t>), wraz</w:t>
      </w:r>
      <w:r w:rsidR="00992FD0" w:rsidRPr="00EC250C">
        <w:rPr>
          <w:szCs w:val="24"/>
        </w:rPr>
        <w:t xml:space="preserve"> z </w:t>
      </w:r>
      <w:r w:rsidRPr="00EC250C">
        <w:rPr>
          <w:szCs w:val="24"/>
        </w:rPr>
        <w:t>literami ŚWO („Śmierć Wrogom Ojczyzny”). Wznosili też okrzyki na cześć Romualda Rajsa ps. „Bury</w:t>
      </w:r>
      <w:r w:rsidR="00CF6FDF" w:rsidRPr="00EC250C">
        <w:rPr>
          <w:szCs w:val="24"/>
        </w:rPr>
        <w:t>”</w:t>
      </w:r>
      <w:r w:rsidRPr="00EC250C">
        <w:rPr>
          <w:szCs w:val="24"/>
        </w:rPr>
        <w:t>, dowódcy oddziału Narodowego Zjednoczenia Wojskowego (w 1946</w:t>
      </w:r>
      <w:r w:rsidR="00C91F6E" w:rsidRPr="00EC250C">
        <w:rPr>
          <w:szCs w:val="24"/>
        </w:rPr>
        <w:t> r.</w:t>
      </w:r>
      <w:r w:rsidRPr="00EC250C">
        <w:rPr>
          <w:szCs w:val="24"/>
        </w:rPr>
        <w:t xml:space="preserve"> </w:t>
      </w:r>
      <w:r w:rsidR="008157D8" w:rsidRPr="00EC250C">
        <w:rPr>
          <w:szCs w:val="24"/>
        </w:rPr>
        <w:t xml:space="preserve"> ofiarami </w:t>
      </w:r>
      <w:r w:rsidRPr="00EC250C">
        <w:rPr>
          <w:szCs w:val="24"/>
        </w:rPr>
        <w:t>on czystek na ludności prawosławne</w:t>
      </w:r>
      <w:r w:rsidR="008157D8" w:rsidRPr="00EC250C">
        <w:rPr>
          <w:szCs w:val="24"/>
        </w:rPr>
        <w:t>j</w:t>
      </w:r>
      <w:r w:rsidRPr="00EC250C">
        <w:rPr>
          <w:szCs w:val="24"/>
        </w:rPr>
        <w:t xml:space="preserve"> padło kilkadziesiąt osób,</w:t>
      </w:r>
      <w:r w:rsidR="00992FD0" w:rsidRPr="00EC250C">
        <w:rPr>
          <w:szCs w:val="24"/>
        </w:rPr>
        <w:t xml:space="preserve"> w </w:t>
      </w:r>
      <w:r w:rsidRPr="00EC250C">
        <w:rPr>
          <w:szCs w:val="24"/>
        </w:rPr>
        <w:t>tym kobiety</w:t>
      </w:r>
      <w:r w:rsidR="00992FD0" w:rsidRPr="00EC250C">
        <w:rPr>
          <w:szCs w:val="24"/>
        </w:rPr>
        <w:t xml:space="preserve"> i </w:t>
      </w:r>
      <w:r w:rsidRPr="00EC250C">
        <w:rPr>
          <w:szCs w:val="24"/>
        </w:rPr>
        <w:t>dzieci).</w:t>
      </w:r>
    </w:p>
    <w:p w14:paraId="48FA28BC" w14:textId="77777777" w:rsidR="00ED0A80" w:rsidRPr="00EC250C" w:rsidRDefault="006B6A81" w:rsidP="00D131FA">
      <w:pPr>
        <w:pStyle w:val="Styl2"/>
        <w:rPr>
          <w:szCs w:val="24"/>
        </w:rPr>
      </w:pPr>
      <w:r w:rsidRPr="00EC250C">
        <w:rPr>
          <w:szCs w:val="24"/>
        </w:rPr>
        <w:t xml:space="preserve">RPO </w:t>
      </w:r>
      <w:r w:rsidR="008D34FB" w:rsidRPr="00EC250C">
        <w:rPr>
          <w:szCs w:val="24"/>
        </w:rPr>
        <w:t>złożył</w:t>
      </w:r>
      <w:r w:rsidRPr="00EC250C">
        <w:rPr>
          <w:szCs w:val="24"/>
        </w:rPr>
        <w:t xml:space="preserve"> </w:t>
      </w:r>
      <w:r w:rsidR="00CF6FDF" w:rsidRPr="00EC250C">
        <w:rPr>
          <w:szCs w:val="24"/>
        </w:rPr>
        <w:t xml:space="preserve">do </w:t>
      </w:r>
      <w:r w:rsidRPr="00EC250C">
        <w:rPr>
          <w:szCs w:val="24"/>
        </w:rPr>
        <w:t>prokuratury</w:t>
      </w:r>
      <w:r w:rsidR="008D34FB" w:rsidRPr="00EC250C">
        <w:rPr>
          <w:szCs w:val="24"/>
        </w:rPr>
        <w:t xml:space="preserve"> zawiadomienie</w:t>
      </w:r>
      <w:r w:rsidR="00992FD0" w:rsidRPr="00EC250C">
        <w:rPr>
          <w:szCs w:val="24"/>
        </w:rPr>
        <w:t xml:space="preserve"> o </w:t>
      </w:r>
      <w:r w:rsidR="008D34FB" w:rsidRPr="00EC250C">
        <w:rPr>
          <w:szCs w:val="24"/>
        </w:rPr>
        <w:t>możliwości popełnienia przestępstwa</w:t>
      </w:r>
      <w:r w:rsidR="00ED0A80" w:rsidRPr="00EC250C">
        <w:rPr>
          <w:szCs w:val="24"/>
        </w:rPr>
        <w:t>,</w:t>
      </w:r>
      <w:r w:rsidR="00992FD0" w:rsidRPr="00EC250C">
        <w:rPr>
          <w:szCs w:val="24"/>
        </w:rPr>
        <w:t xml:space="preserve"> a </w:t>
      </w:r>
      <w:r w:rsidR="00ED0A80" w:rsidRPr="00EC250C">
        <w:rPr>
          <w:szCs w:val="24"/>
        </w:rPr>
        <w:t xml:space="preserve">kiedy </w:t>
      </w:r>
      <w:r w:rsidRPr="00EC250C">
        <w:rPr>
          <w:szCs w:val="24"/>
        </w:rPr>
        <w:t xml:space="preserve">ta </w:t>
      </w:r>
      <w:r w:rsidR="00ED0A80" w:rsidRPr="00EC250C">
        <w:rPr>
          <w:szCs w:val="24"/>
        </w:rPr>
        <w:t xml:space="preserve">odmówiła działań, skierował sprawę do sądu. </w:t>
      </w:r>
      <w:r w:rsidR="00ED0A80" w:rsidRPr="00EC250C">
        <w:rPr>
          <w:rStyle w:val="Pogrubienie"/>
          <w:b/>
          <w:bCs/>
          <w:szCs w:val="24"/>
        </w:rPr>
        <w:t>Wskazywał na błędy</w:t>
      </w:r>
      <w:r w:rsidR="00992FD0" w:rsidRPr="00EC250C">
        <w:rPr>
          <w:rStyle w:val="Pogrubienie"/>
          <w:b/>
          <w:bCs/>
          <w:szCs w:val="24"/>
        </w:rPr>
        <w:t xml:space="preserve"> i </w:t>
      </w:r>
      <w:r w:rsidR="00ED0A80" w:rsidRPr="00EC250C">
        <w:rPr>
          <w:rStyle w:val="Pogrubienie"/>
          <w:b/>
          <w:bCs/>
          <w:szCs w:val="24"/>
        </w:rPr>
        <w:t>wybiórczą ocenę zdarzeń</w:t>
      </w:r>
      <w:r w:rsidR="00992FD0" w:rsidRPr="00EC250C">
        <w:rPr>
          <w:rStyle w:val="Pogrubienie"/>
          <w:b/>
          <w:bCs/>
          <w:szCs w:val="24"/>
        </w:rPr>
        <w:t xml:space="preserve"> w </w:t>
      </w:r>
      <w:r w:rsidR="00240F89" w:rsidRPr="00EC250C">
        <w:rPr>
          <w:rStyle w:val="Pogrubienie"/>
          <w:b/>
          <w:bCs/>
          <w:szCs w:val="24"/>
        </w:rPr>
        <w:t>postanowieniu</w:t>
      </w:r>
      <w:r w:rsidR="00992FD0" w:rsidRPr="00EC250C">
        <w:rPr>
          <w:rStyle w:val="Pogrubienie"/>
          <w:b/>
          <w:bCs/>
          <w:szCs w:val="24"/>
        </w:rPr>
        <w:t xml:space="preserve"> o </w:t>
      </w:r>
      <w:r w:rsidR="00ED0A80" w:rsidRPr="00EC250C">
        <w:rPr>
          <w:rStyle w:val="Pogrubienie"/>
          <w:b/>
          <w:bCs/>
          <w:szCs w:val="24"/>
        </w:rPr>
        <w:t xml:space="preserve">umorzeniu. </w:t>
      </w:r>
      <w:r w:rsidR="008157D8" w:rsidRPr="00EC250C">
        <w:rPr>
          <w:rStyle w:val="Pogrubienie"/>
          <w:b/>
          <w:bCs/>
          <w:szCs w:val="24"/>
        </w:rPr>
        <w:t>P</w:t>
      </w:r>
      <w:r w:rsidR="00ED0A80" w:rsidRPr="00EC250C">
        <w:rPr>
          <w:rStyle w:val="Pogrubienie"/>
          <w:b/>
          <w:bCs/>
          <w:szCs w:val="24"/>
        </w:rPr>
        <w:t>odkreślał, że „krzyż celtycki” nie jest już wpisanym</w:t>
      </w:r>
      <w:r w:rsidR="00CC4D88" w:rsidRPr="00EC250C">
        <w:rPr>
          <w:rStyle w:val="Pogrubienie"/>
          <w:b/>
          <w:bCs/>
          <w:szCs w:val="24"/>
        </w:rPr>
        <w:t xml:space="preserve"> </w:t>
      </w:r>
      <w:r w:rsidR="00ED0A80" w:rsidRPr="00EC250C">
        <w:rPr>
          <w:rStyle w:val="Pogrubienie"/>
          <w:b/>
          <w:bCs/>
          <w:szCs w:val="24"/>
        </w:rPr>
        <w:t>do rejestru sądowego symbolem Narodowego Odrodzenia Polski</w:t>
      </w:r>
      <w:r w:rsidR="00026572" w:rsidRPr="00EC250C">
        <w:rPr>
          <w:rStyle w:val="Pogrubienie"/>
          <w:b/>
          <w:bCs/>
          <w:szCs w:val="24"/>
        </w:rPr>
        <w:t xml:space="preserve"> – </w:t>
      </w:r>
      <w:r w:rsidR="00ED0A80" w:rsidRPr="00EC250C">
        <w:rPr>
          <w:rStyle w:val="Pogrubienie"/>
          <w:b/>
          <w:bCs/>
          <w:szCs w:val="24"/>
        </w:rPr>
        <w:t xml:space="preserve">jak </w:t>
      </w:r>
      <w:r w:rsidR="00240F89" w:rsidRPr="00EC250C">
        <w:rPr>
          <w:rStyle w:val="Pogrubienie"/>
          <w:b/>
          <w:bCs/>
          <w:szCs w:val="24"/>
        </w:rPr>
        <w:t xml:space="preserve">twierdziła </w:t>
      </w:r>
      <w:r w:rsidR="008157D8" w:rsidRPr="00EC250C">
        <w:rPr>
          <w:rStyle w:val="Pogrubienie"/>
          <w:b/>
          <w:bCs/>
          <w:szCs w:val="24"/>
        </w:rPr>
        <w:t>p</w:t>
      </w:r>
      <w:r w:rsidR="00240F89" w:rsidRPr="00EC250C">
        <w:rPr>
          <w:rStyle w:val="Pogrubienie"/>
          <w:b/>
          <w:bCs/>
          <w:szCs w:val="24"/>
        </w:rPr>
        <w:t>rokuratura</w:t>
      </w:r>
      <w:r w:rsidR="00ED0A80" w:rsidRPr="00EC250C">
        <w:rPr>
          <w:rStyle w:val="Pogrubienie"/>
          <w:b/>
          <w:bCs/>
          <w:szCs w:val="24"/>
        </w:rPr>
        <w:t>. Brak było też podstaw do uznania, że</w:t>
      </w:r>
      <w:r w:rsidR="008157D8" w:rsidRPr="00EC250C">
        <w:rPr>
          <w:rStyle w:val="Pogrubienie"/>
          <w:b/>
          <w:bCs/>
          <w:szCs w:val="24"/>
        </w:rPr>
        <w:t xml:space="preserve"> </w:t>
      </w:r>
      <w:r w:rsidR="00ED0A80" w:rsidRPr="00EC250C">
        <w:rPr>
          <w:rStyle w:val="Pogrubienie"/>
          <w:b/>
          <w:bCs/>
          <w:szCs w:val="24"/>
        </w:rPr>
        <w:t>„trupią główkę”</w:t>
      </w:r>
      <w:r w:rsidR="008157D8" w:rsidRPr="00EC250C">
        <w:rPr>
          <w:rStyle w:val="Pogrubienie"/>
          <w:b/>
          <w:bCs/>
          <w:szCs w:val="24"/>
        </w:rPr>
        <w:t xml:space="preserve"> </w:t>
      </w:r>
      <w:r w:rsidR="00ED0A80" w:rsidRPr="00EC250C">
        <w:rPr>
          <w:rStyle w:val="Pogrubienie"/>
          <w:b/>
          <w:bCs/>
          <w:szCs w:val="24"/>
        </w:rPr>
        <w:t>prezentowano nie jako symbol „SS-Totenkopf”, ale jako odznakę honorową Narodowego Zjednoczenia Wojskowego</w:t>
      </w:r>
      <w:r w:rsidR="008D34FB" w:rsidRPr="00EC250C">
        <w:rPr>
          <w:rStyle w:val="Pogrubienie"/>
          <w:b/>
          <w:bCs/>
          <w:szCs w:val="24"/>
        </w:rPr>
        <w:t>.</w:t>
      </w:r>
    </w:p>
    <w:p w14:paraId="3FF98B5D" w14:textId="7DB87A61" w:rsidR="00ED0A80" w:rsidRPr="00EC250C" w:rsidRDefault="00ED0A80" w:rsidP="00D131FA">
      <w:pPr>
        <w:pStyle w:val="Styl2"/>
        <w:rPr>
          <w:szCs w:val="24"/>
        </w:rPr>
      </w:pPr>
      <w:r w:rsidRPr="00EC250C">
        <w:rPr>
          <w:szCs w:val="24"/>
        </w:rPr>
        <w:lastRenderedPageBreak/>
        <w:t>13 grudnia 2018</w:t>
      </w:r>
      <w:r w:rsidR="00C91F6E" w:rsidRPr="00EC250C">
        <w:rPr>
          <w:szCs w:val="24"/>
        </w:rPr>
        <w:t> r.</w:t>
      </w:r>
      <w:r w:rsidRPr="00EC250C">
        <w:rPr>
          <w:szCs w:val="24"/>
        </w:rPr>
        <w:t xml:space="preserve"> sąd</w:t>
      </w:r>
      <w:r w:rsidR="00992FD0" w:rsidRPr="00EC250C">
        <w:rPr>
          <w:szCs w:val="24"/>
        </w:rPr>
        <w:t xml:space="preserve"> w </w:t>
      </w:r>
      <w:r w:rsidRPr="00EC250C">
        <w:rPr>
          <w:szCs w:val="24"/>
        </w:rPr>
        <w:t>Hajnówce uwzględnił zażalenie Rzecznika Praw Obywatelskich</w:t>
      </w:r>
      <w:r w:rsidR="00240F89" w:rsidRPr="00EC250C">
        <w:rPr>
          <w:szCs w:val="24"/>
        </w:rPr>
        <w:t xml:space="preserve"> </w:t>
      </w:r>
      <w:r w:rsidR="00145A9C" w:rsidRPr="00EC250C">
        <w:rPr>
          <w:szCs w:val="24"/>
        </w:rPr>
        <w:t xml:space="preserve">oraz </w:t>
      </w:r>
      <w:r w:rsidR="00240F89" w:rsidRPr="00EC250C">
        <w:rPr>
          <w:szCs w:val="24"/>
        </w:rPr>
        <w:t>wrócił</w:t>
      </w:r>
      <w:r w:rsidRPr="00EC250C">
        <w:rPr>
          <w:szCs w:val="24"/>
        </w:rPr>
        <w:t xml:space="preserve"> sprawę prokuraturze</w:t>
      </w:r>
      <w:r w:rsidR="00C2408B" w:rsidRPr="00EC250C">
        <w:rPr>
          <w:rStyle w:val="Odwoanieprzypisudolnego"/>
          <w:szCs w:val="24"/>
        </w:rPr>
        <w:footnoteReference w:id="57"/>
      </w:r>
      <w:r w:rsidRPr="00EC250C">
        <w:rPr>
          <w:szCs w:val="24"/>
        </w:rPr>
        <w:t>.</w:t>
      </w:r>
      <w:r w:rsidR="00AA5921" w:rsidRPr="00EC250C">
        <w:rPr>
          <w:szCs w:val="24"/>
        </w:rPr>
        <w:t xml:space="preserve"> Prośledztwo, powokuratura obecnie prowadzi śledztwo, powołała biegłych.</w:t>
      </w:r>
    </w:p>
    <w:p w14:paraId="63644B2B" w14:textId="77777777" w:rsidR="00C91F6E" w:rsidRPr="00EC250C" w:rsidRDefault="00384549" w:rsidP="00EC250C">
      <w:pPr>
        <w:pStyle w:val="Nagwek5"/>
      </w:pPr>
      <w:r w:rsidRPr="00EC250C">
        <w:t>Konieczność wdrożenia przez Policję skutecznych mechanizmów reagowania na treści</w:t>
      </w:r>
      <w:r w:rsidR="00992FD0" w:rsidRPr="00EC250C">
        <w:t xml:space="preserve"> i </w:t>
      </w:r>
      <w:r w:rsidRPr="00EC250C">
        <w:t>symbole rasistowskie oraz faszystowskie, pojawiające się podczas zgromadzeń publicznych</w:t>
      </w:r>
    </w:p>
    <w:p w14:paraId="19A4AF67" w14:textId="77777777" w:rsidR="00384549" w:rsidRPr="00EC250C" w:rsidRDefault="00384549" w:rsidP="00D131FA">
      <w:pPr>
        <w:pStyle w:val="ODESANIE"/>
        <w:jc w:val="both"/>
      </w:pPr>
      <w:r w:rsidRPr="00EC250C">
        <w:t xml:space="preserve">Omówienie: Art. 57 – Wolność </w:t>
      </w:r>
      <w:r w:rsidR="001A59A9" w:rsidRPr="00EC250C">
        <w:t>organizowania pokojowych zgromadzeń.</w:t>
      </w:r>
    </w:p>
    <w:p w14:paraId="5DE9C2C8" w14:textId="77777777" w:rsidR="00B227A7" w:rsidRPr="00EC250C" w:rsidRDefault="00B227A7" w:rsidP="00EC250C">
      <w:pPr>
        <w:pStyle w:val="Nagwek8"/>
      </w:pPr>
      <w:r w:rsidRPr="00EC250C">
        <w:rPr>
          <w:rStyle w:val="Nagwek8Znak"/>
          <w:i/>
        </w:rPr>
        <w:t xml:space="preserve">Propagowanie separatyzmu rasowego </w:t>
      </w:r>
      <w:r w:rsidR="001E6406" w:rsidRPr="00EC250C">
        <w:rPr>
          <w:rStyle w:val="Nagwek8Znak"/>
          <w:i/>
        </w:rPr>
        <w:t xml:space="preserve">przez </w:t>
      </w:r>
      <w:r w:rsidRPr="00EC250C">
        <w:rPr>
          <w:rStyle w:val="Nagwek8Znak"/>
          <w:i/>
        </w:rPr>
        <w:t>mazowieck</w:t>
      </w:r>
      <w:r w:rsidR="001E6406" w:rsidRPr="00EC250C">
        <w:rPr>
          <w:rStyle w:val="Nagwek8Znak"/>
          <w:i/>
        </w:rPr>
        <w:t>ą</w:t>
      </w:r>
      <w:r w:rsidRPr="00EC250C">
        <w:rPr>
          <w:rStyle w:val="Nagwek8Znak"/>
          <w:i/>
        </w:rPr>
        <w:t xml:space="preserve"> brygad</w:t>
      </w:r>
      <w:r w:rsidR="001E6406" w:rsidRPr="00EC250C">
        <w:rPr>
          <w:rStyle w:val="Nagwek8Znak"/>
          <w:i/>
        </w:rPr>
        <w:t>ę</w:t>
      </w:r>
      <w:r w:rsidRPr="00EC250C">
        <w:rPr>
          <w:rStyle w:val="Nagwek8Znak"/>
          <w:i/>
        </w:rPr>
        <w:t xml:space="preserve"> </w:t>
      </w:r>
      <w:r w:rsidR="001E6406" w:rsidRPr="00EC250C">
        <w:rPr>
          <w:rStyle w:val="Nagwek8Znak"/>
          <w:i/>
        </w:rPr>
        <w:t>ONR</w:t>
      </w:r>
    </w:p>
    <w:p w14:paraId="6BE24D9E" w14:textId="77777777" w:rsidR="00C91F6E" w:rsidRPr="00EC250C" w:rsidRDefault="001E6406" w:rsidP="00D131FA">
      <w:pPr>
        <w:pStyle w:val="Styl2"/>
        <w:rPr>
          <w:szCs w:val="24"/>
        </w:rPr>
      </w:pPr>
      <w:r w:rsidRPr="00EC250C">
        <w:rPr>
          <w:szCs w:val="24"/>
        </w:rPr>
        <w:t>Na stronie internetowej mazowieckiej brygady ONR pojawił się artykuł „Separatyzm rasowy – odpowiedź na multikulti</w:t>
      </w:r>
      <w:r w:rsidR="00992FD0" w:rsidRPr="00EC250C">
        <w:rPr>
          <w:szCs w:val="24"/>
        </w:rPr>
        <w:t xml:space="preserve"> w </w:t>
      </w:r>
      <w:r w:rsidRPr="00EC250C">
        <w:rPr>
          <w:szCs w:val="24"/>
        </w:rPr>
        <w:t>XXI wieku”</w:t>
      </w:r>
      <w:r w:rsidR="00636422" w:rsidRPr="00EC250C">
        <w:rPr>
          <w:rStyle w:val="Odwoanieprzypisudolnego"/>
          <w:szCs w:val="24"/>
        </w:rPr>
        <w:footnoteReference w:id="58"/>
      </w:r>
      <w:r w:rsidRPr="00EC250C">
        <w:rPr>
          <w:szCs w:val="24"/>
        </w:rPr>
        <w:t xml:space="preserve">. </w:t>
      </w:r>
      <w:r w:rsidR="006B6A81" w:rsidRPr="00EC250C">
        <w:rPr>
          <w:szCs w:val="24"/>
        </w:rPr>
        <w:t xml:space="preserve">Autor artykułu wskazywał jakoby </w:t>
      </w:r>
      <w:r w:rsidR="00DF47F5" w:rsidRPr="00EC250C">
        <w:rPr>
          <w:szCs w:val="24"/>
        </w:rPr>
        <w:t>osoby</w:t>
      </w:r>
      <w:r w:rsidR="00992FD0" w:rsidRPr="00EC250C">
        <w:rPr>
          <w:szCs w:val="24"/>
        </w:rPr>
        <w:t xml:space="preserve"> o </w:t>
      </w:r>
      <w:r w:rsidR="00DF47F5" w:rsidRPr="00EC250C">
        <w:rPr>
          <w:szCs w:val="24"/>
        </w:rPr>
        <w:t>innym pochodzeniu odpowiada</w:t>
      </w:r>
      <w:r w:rsidR="009B3AF4" w:rsidRPr="00EC250C">
        <w:rPr>
          <w:szCs w:val="24"/>
        </w:rPr>
        <w:t>ły</w:t>
      </w:r>
      <w:r w:rsidR="00DF47F5" w:rsidRPr="00EC250C">
        <w:rPr>
          <w:szCs w:val="24"/>
        </w:rPr>
        <w:t xml:space="preserve"> za wzrost przestępczości</w:t>
      </w:r>
      <w:r w:rsidR="00992FD0" w:rsidRPr="00EC250C">
        <w:rPr>
          <w:szCs w:val="24"/>
        </w:rPr>
        <w:t xml:space="preserve"> i </w:t>
      </w:r>
      <w:r w:rsidR="00DF47F5" w:rsidRPr="00EC250C">
        <w:rPr>
          <w:szCs w:val="24"/>
        </w:rPr>
        <w:t>konflikty „między rdzenną ludnością</w:t>
      </w:r>
      <w:r w:rsidR="00992FD0" w:rsidRPr="00EC250C">
        <w:rPr>
          <w:szCs w:val="24"/>
        </w:rPr>
        <w:t xml:space="preserve"> a </w:t>
      </w:r>
      <w:r w:rsidR="00DF47F5" w:rsidRPr="00EC250C">
        <w:rPr>
          <w:szCs w:val="24"/>
        </w:rPr>
        <w:t>kolorowymi imigrantami”, co m</w:t>
      </w:r>
      <w:r w:rsidR="009B3AF4" w:rsidRPr="00EC250C">
        <w:rPr>
          <w:szCs w:val="24"/>
        </w:rPr>
        <w:t>iałoby</w:t>
      </w:r>
      <w:r w:rsidR="00DF47F5" w:rsidRPr="00EC250C">
        <w:rPr>
          <w:szCs w:val="24"/>
        </w:rPr>
        <w:t xml:space="preserve"> doprowadzić do „kulturowego</w:t>
      </w:r>
      <w:r w:rsidR="00992FD0" w:rsidRPr="00EC250C">
        <w:rPr>
          <w:szCs w:val="24"/>
        </w:rPr>
        <w:t xml:space="preserve"> i </w:t>
      </w:r>
      <w:r w:rsidR="00DF47F5" w:rsidRPr="00EC250C">
        <w:rPr>
          <w:szCs w:val="24"/>
        </w:rPr>
        <w:t>cywilizacyjnego ludobójstwa na rdzennej ludności</w:t>
      </w:r>
      <w:r w:rsidR="00992FD0" w:rsidRPr="00EC250C">
        <w:rPr>
          <w:szCs w:val="24"/>
        </w:rPr>
        <w:t xml:space="preserve"> o </w:t>
      </w:r>
      <w:r w:rsidR="00DF47F5" w:rsidRPr="00EC250C">
        <w:rPr>
          <w:szCs w:val="24"/>
        </w:rPr>
        <w:t>białej skórze”.</w:t>
      </w:r>
    </w:p>
    <w:p w14:paraId="19F7F278" w14:textId="77777777" w:rsidR="007F75BC" w:rsidRPr="00EC250C" w:rsidRDefault="00073A8C" w:rsidP="00D131FA">
      <w:pPr>
        <w:pStyle w:val="Styl2"/>
        <w:rPr>
          <w:szCs w:val="24"/>
        </w:rPr>
      </w:pPr>
      <w:r w:rsidRPr="00EC250C">
        <w:rPr>
          <w:szCs w:val="24"/>
        </w:rPr>
        <w:t>RPO</w:t>
      </w:r>
      <w:r w:rsidR="006A6FCE" w:rsidRPr="00EC250C">
        <w:rPr>
          <w:szCs w:val="24"/>
        </w:rPr>
        <w:t xml:space="preserve"> zwrócił się do Prokuratora Okręgowego</w:t>
      </w:r>
      <w:r w:rsidR="00992FD0" w:rsidRPr="00EC250C">
        <w:rPr>
          <w:szCs w:val="24"/>
        </w:rPr>
        <w:t xml:space="preserve"> w </w:t>
      </w:r>
      <w:r w:rsidR="006A6FCE" w:rsidRPr="00EC250C">
        <w:rPr>
          <w:szCs w:val="24"/>
        </w:rPr>
        <w:t>Warszawie</w:t>
      </w:r>
      <w:r w:rsidR="00992FD0" w:rsidRPr="00EC250C">
        <w:rPr>
          <w:szCs w:val="24"/>
        </w:rPr>
        <w:t xml:space="preserve"> z </w:t>
      </w:r>
      <w:r w:rsidR="006A6FCE" w:rsidRPr="00EC250C">
        <w:rPr>
          <w:szCs w:val="24"/>
        </w:rPr>
        <w:t>żądaniem wszczęcia</w:t>
      </w:r>
      <w:r w:rsidR="00992FD0" w:rsidRPr="00EC250C">
        <w:rPr>
          <w:szCs w:val="24"/>
        </w:rPr>
        <w:t xml:space="preserve"> z </w:t>
      </w:r>
      <w:r w:rsidR="006A6FCE" w:rsidRPr="00EC250C">
        <w:rPr>
          <w:szCs w:val="24"/>
        </w:rPr>
        <w:t>urzędu postępowania</w:t>
      </w:r>
      <w:r w:rsidR="00992FD0" w:rsidRPr="00EC250C">
        <w:rPr>
          <w:szCs w:val="24"/>
        </w:rPr>
        <w:t xml:space="preserve"> w </w:t>
      </w:r>
      <w:r w:rsidR="006A6FCE" w:rsidRPr="00EC250C">
        <w:rPr>
          <w:szCs w:val="24"/>
        </w:rPr>
        <w:t>sprawie publicznego nawoływania do nienawiści na tle różnic narodowościowych, etnicznych</w:t>
      </w:r>
      <w:r w:rsidR="00992FD0" w:rsidRPr="00EC250C">
        <w:rPr>
          <w:szCs w:val="24"/>
        </w:rPr>
        <w:t xml:space="preserve"> i </w:t>
      </w:r>
      <w:r w:rsidR="006A6FCE" w:rsidRPr="00EC250C">
        <w:rPr>
          <w:szCs w:val="24"/>
        </w:rPr>
        <w:t>rasowych oraz publicznego propagowania ideologii rasistowskiej</w:t>
      </w:r>
      <w:r w:rsidR="00992FD0" w:rsidRPr="00EC250C">
        <w:rPr>
          <w:szCs w:val="24"/>
        </w:rPr>
        <w:t xml:space="preserve"> i </w:t>
      </w:r>
      <w:r w:rsidR="006A6FCE" w:rsidRPr="00EC250C">
        <w:rPr>
          <w:szCs w:val="24"/>
        </w:rPr>
        <w:t xml:space="preserve">idei charakterystycznych dla faszystowskiego lub innego totalitarnego ustroju państwa. </w:t>
      </w:r>
      <w:r w:rsidR="00C566C1" w:rsidRPr="00EC250C">
        <w:rPr>
          <w:szCs w:val="24"/>
        </w:rPr>
        <w:t xml:space="preserve">Sprawa trafiła ostatecznie do Prokuratura Rejonowego dla Warszawa-Ochota, który odmówił działań. </w:t>
      </w:r>
      <w:r w:rsidR="00101A3F" w:rsidRPr="00EC250C">
        <w:rPr>
          <w:szCs w:val="24"/>
        </w:rPr>
        <w:t>Śledztwo</w:t>
      </w:r>
      <w:r w:rsidR="00992FD0" w:rsidRPr="00EC250C">
        <w:rPr>
          <w:szCs w:val="24"/>
        </w:rPr>
        <w:t xml:space="preserve"> w </w:t>
      </w:r>
      <w:r w:rsidR="00101A3F" w:rsidRPr="00EC250C">
        <w:rPr>
          <w:szCs w:val="24"/>
        </w:rPr>
        <w:t>tej sprawie ruszyło dopiero po interwencji RPO</w:t>
      </w:r>
      <w:r w:rsidR="00DF47F5" w:rsidRPr="00EC250C">
        <w:rPr>
          <w:szCs w:val="24"/>
        </w:rPr>
        <w:t xml:space="preserve">, który </w:t>
      </w:r>
      <w:r w:rsidR="00C566C1" w:rsidRPr="00EC250C">
        <w:rPr>
          <w:szCs w:val="24"/>
        </w:rPr>
        <w:t>10 października 2018</w:t>
      </w:r>
      <w:r w:rsidR="00C91F6E" w:rsidRPr="00EC250C">
        <w:rPr>
          <w:szCs w:val="24"/>
        </w:rPr>
        <w:t> r.</w:t>
      </w:r>
      <w:r w:rsidR="00C566C1" w:rsidRPr="00EC250C">
        <w:rPr>
          <w:szCs w:val="24"/>
        </w:rPr>
        <w:t xml:space="preserve"> </w:t>
      </w:r>
      <w:r w:rsidR="00DF47F5" w:rsidRPr="00EC250C">
        <w:rPr>
          <w:szCs w:val="24"/>
        </w:rPr>
        <w:t>skierował do sądu</w:t>
      </w:r>
      <w:r w:rsidR="00911C39" w:rsidRPr="00EC250C">
        <w:rPr>
          <w:szCs w:val="24"/>
        </w:rPr>
        <w:t xml:space="preserve"> zażalenie na post</w:t>
      </w:r>
      <w:r w:rsidR="00CF6FDF" w:rsidRPr="00EC250C">
        <w:rPr>
          <w:szCs w:val="24"/>
        </w:rPr>
        <w:t>anowienie</w:t>
      </w:r>
      <w:r w:rsidR="00992FD0" w:rsidRPr="00EC250C">
        <w:rPr>
          <w:szCs w:val="24"/>
        </w:rPr>
        <w:t xml:space="preserve"> o </w:t>
      </w:r>
      <w:r w:rsidR="0096462C" w:rsidRPr="00EC250C">
        <w:rPr>
          <w:szCs w:val="24"/>
        </w:rPr>
        <w:t>odmowie</w:t>
      </w:r>
      <w:r w:rsidR="00C566C1" w:rsidRPr="00EC250C">
        <w:rPr>
          <w:szCs w:val="24"/>
        </w:rPr>
        <w:t xml:space="preserve">. </w:t>
      </w:r>
    </w:p>
    <w:p w14:paraId="04ED3D8A" w14:textId="77777777" w:rsidR="007F75BC" w:rsidRPr="00EC250C" w:rsidRDefault="00C566C1" w:rsidP="00D131FA">
      <w:pPr>
        <w:pStyle w:val="Styl2"/>
        <w:rPr>
          <w:szCs w:val="24"/>
        </w:rPr>
      </w:pPr>
      <w:r w:rsidRPr="00EC250C">
        <w:rPr>
          <w:szCs w:val="24"/>
        </w:rPr>
        <w:t>Sąd podzielił argumenty RPO</w:t>
      </w:r>
      <w:r w:rsidR="00992FD0" w:rsidRPr="00EC250C">
        <w:rPr>
          <w:szCs w:val="24"/>
        </w:rPr>
        <w:t xml:space="preserve"> i </w:t>
      </w:r>
      <w:r w:rsidRPr="00EC250C">
        <w:rPr>
          <w:szCs w:val="24"/>
        </w:rPr>
        <w:t>nakazał wszczęcie śledztwa.</w:t>
      </w:r>
      <w:r w:rsidR="007F75BC" w:rsidRPr="00EC250C">
        <w:rPr>
          <w:szCs w:val="24"/>
        </w:rPr>
        <w:t xml:space="preserve"> </w:t>
      </w:r>
    </w:p>
    <w:p w14:paraId="63C893DE" w14:textId="6715D370" w:rsidR="00636422" w:rsidRPr="00EC250C" w:rsidRDefault="007F75BC" w:rsidP="00D131FA">
      <w:pPr>
        <w:pStyle w:val="Styl2"/>
        <w:rPr>
          <w:szCs w:val="24"/>
        </w:rPr>
      </w:pPr>
      <w:r w:rsidRPr="00EC250C">
        <w:rPr>
          <w:szCs w:val="24"/>
        </w:rPr>
        <w:t>Jednak 31 maja 2019 r. prokuratura ponownie umorzyła śledztwa. W zażaleniu do Sądu Rejonowego dla m.st. Warszawy RPO zarzucił prokuraturze nieprzeprowadzenie skrupulatnej oceny całości materiału dowodowego, w tym opinii biegłej z zakresu językoznawstwa. Zakwestionował też oparcie rozstrzygnięcia wyłącznie na opinii biegłej z zakresu językoznawstwa – w sprawie powinni byli wypowiedzieć się również historycy.</w:t>
      </w:r>
    </w:p>
    <w:p w14:paraId="20DD9407" w14:textId="77777777" w:rsidR="00B67976" w:rsidRPr="00EC250C" w:rsidRDefault="00B8780F" w:rsidP="00EC79EB">
      <w:pPr>
        <w:pStyle w:val="Nagwek4"/>
      </w:pPr>
      <w:bookmarkStart w:id="65" w:name="_Toc6257648"/>
      <w:bookmarkStart w:id="66" w:name="_Toc11247552"/>
      <w:r w:rsidRPr="00EC250C">
        <w:t>D</w:t>
      </w:r>
      <w:r w:rsidR="00B67976" w:rsidRPr="00EC250C">
        <w:t>yskryminacj</w:t>
      </w:r>
      <w:r w:rsidRPr="00EC250C">
        <w:t>a</w:t>
      </w:r>
      <w:r w:rsidR="00B67976" w:rsidRPr="00EC250C">
        <w:t xml:space="preserve"> ze względu na wyznanie</w:t>
      </w:r>
      <w:bookmarkEnd w:id="65"/>
      <w:bookmarkEnd w:id="66"/>
    </w:p>
    <w:p w14:paraId="6F8484FD" w14:textId="77777777" w:rsidR="00C91F6E" w:rsidRPr="00EC250C" w:rsidRDefault="003E5631" w:rsidP="00EC250C">
      <w:pPr>
        <w:pStyle w:val="Nagwek5"/>
      </w:pPr>
      <w:r w:rsidRPr="00EC250C">
        <w:t>Równy dostęp do nauczania religii lub etyki</w:t>
      </w:r>
    </w:p>
    <w:p w14:paraId="49EEE3CF" w14:textId="77777777" w:rsidR="00B473F5" w:rsidRPr="00EC250C" w:rsidRDefault="00ED0A80" w:rsidP="00D131FA">
      <w:pPr>
        <w:pStyle w:val="Problemczowieka"/>
        <w:jc w:val="both"/>
        <w:rPr>
          <w:lang w:eastAsia="en-US"/>
        </w:rPr>
      </w:pPr>
      <w:r w:rsidRPr="00EC250C">
        <w:rPr>
          <w:lang w:eastAsia="en-US"/>
        </w:rPr>
        <w:t>Szkoły rzadko powiadamiają rodziców</w:t>
      </w:r>
      <w:r w:rsidR="00992FD0" w:rsidRPr="00EC250C">
        <w:rPr>
          <w:lang w:eastAsia="en-US"/>
        </w:rPr>
        <w:t xml:space="preserve"> i </w:t>
      </w:r>
      <w:r w:rsidRPr="00EC250C">
        <w:rPr>
          <w:lang w:eastAsia="en-US"/>
        </w:rPr>
        <w:t>uczniów</w:t>
      </w:r>
      <w:r w:rsidR="00992FD0" w:rsidRPr="00EC250C">
        <w:rPr>
          <w:lang w:eastAsia="en-US"/>
        </w:rPr>
        <w:t xml:space="preserve"> o </w:t>
      </w:r>
      <w:r w:rsidRPr="00EC250C">
        <w:rPr>
          <w:lang w:eastAsia="en-US"/>
        </w:rPr>
        <w:t>możliwości zorganizowania, na ich życzenie, lekcji religii mniejszości wyznaniowych</w:t>
      </w:r>
      <w:r w:rsidR="00992FD0" w:rsidRPr="00EC250C">
        <w:rPr>
          <w:lang w:eastAsia="en-US"/>
        </w:rPr>
        <w:t xml:space="preserve"> i </w:t>
      </w:r>
      <w:r w:rsidRPr="00EC250C">
        <w:rPr>
          <w:lang w:eastAsia="en-US"/>
        </w:rPr>
        <w:t>lekcji etyki</w:t>
      </w:r>
      <w:r w:rsidR="00B473F5" w:rsidRPr="00EC250C">
        <w:rPr>
          <w:lang w:eastAsia="en-US"/>
        </w:rPr>
        <w:t>.</w:t>
      </w:r>
    </w:p>
    <w:p w14:paraId="6CA64673" w14:textId="77777777" w:rsidR="00C91F6E" w:rsidRPr="00EC250C" w:rsidRDefault="00ED0A80" w:rsidP="00D131FA">
      <w:pPr>
        <w:pStyle w:val="Styl1"/>
        <w:rPr>
          <w:bCs/>
          <w:iCs/>
          <w:lang w:eastAsia="en-US"/>
        </w:rPr>
      </w:pPr>
      <w:r w:rsidRPr="00EC250C">
        <w:rPr>
          <w:bCs/>
          <w:iCs/>
          <w:lang w:eastAsia="en-US"/>
        </w:rPr>
        <w:t xml:space="preserve">Problem dostępu do </w:t>
      </w:r>
      <w:r w:rsidR="00B67976" w:rsidRPr="00EC250C">
        <w:rPr>
          <w:bCs/>
          <w:iCs/>
          <w:lang w:eastAsia="en-US"/>
        </w:rPr>
        <w:t>zajęć religii mniejszościowych</w:t>
      </w:r>
      <w:r w:rsidR="00992FD0" w:rsidRPr="00EC250C">
        <w:rPr>
          <w:bCs/>
          <w:iCs/>
          <w:lang w:eastAsia="en-US"/>
        </w:rPr>
        <w:t xml:space="preserve"> i </w:t>
      </w:r>
      <w:r w:rsidR="00B67976" w:rsidRPr="00EC250C">
        <w:rPr>
          <w:bCs/>
          <w:iCs/>
          <w:lang w:eastAsia="en-US"/>
        </w:rPr>
        <w:t>etyki</w:t>
      </w:r>
      <w:r w:rsidRPr="00EC250C">
        <w:rPr>
          <w:bCs/>
          <w:iCs/>
          <w:lang w:eastAsia="en-US"/>
        </w:rPr>
        <w:t xml:space="preserve"> </w:t>
      </w:r>
      <w:r w:rsidR="00073A8C" w:rsidRPr="00EC250C">
        <w:rPr>
          <w:bCs/>
          <w:iCs/>
          <w:lang w:eastAsia="en-US"/>
        </w:rPr>
        <w:t>RPO</w:t>
      </w:r>
      <w:r w:rsidRPr="00EC250C">
        <w:rPr>
          <w:bCs/>
          <w:iCs/>
          <w:lang w:eastAsia="en-US"/>
        </w:rPr>
        <w:t xml:space="preserve"> przedstawił</w:t>
      </w:r>
      <w:r w:rsidR="00992FD0" w:rsidRPr="00EC250C">
        <w:rPr>
          <w:bCs/>
          <w:iCs/>
          <w:lang w:eastAsia="en-US"/>
        </w:rPr>
        <w:t xml:space="preserve"> w </w:t>
      </w:r>
      <w:r w:rsidR="00B67976" w:rsidRPr="00EC250C">
        <w:rPr>
          <w:bCs/>
          <w:iCs/>
          <w:lang w:eastAsia="en-US"/>
        </w:rPr>
        <w:t>raporcie „Dostępność lekcji religii wyznań mniejszościowych</w:t>
      </w:r>
      <w:r w:rsidR="00992FD0" w:rsidRPr="00EC250C">
        <w:rPr>
          <w:bCs/>
          <w:iCs/>
          <w:lang w:eastAsia="en-US"/>
        </w:rPr>
        <w:t xml:space="preserve"> i </w:t>
      </w:r>
      <w:r w:rsidR="00B67976" w:rsidRPr="00EC250C">
        <w:rPr>
          <w:bCs/>
          <w:iCs/>
          <w:lang w:eastAsia="en-US"/>
        </w:rPr>
        <w:t>lekcji etyki</w:t>
      </w:r>
      <w:r w:rsidR="00992FD0" w:rsidRPr="00EC250C">
        <w:rPr>
          <w:bCs/>
          <w:iCs/>
          <w:lang w:eastAsia="en-US"/>
        </w:rPr>
        <w:t xml:space="preserve"> w </w:t>
      </w:r>
      <w:r w:rsidR="00B67976" w:rsidRPr="00EC250C">
        <w:rPr>
          <w:bCs/>
          <w:iCs/>
          <w:lang w:eastAsia="en-US"/>
        </w:rPr>
        <w:t>ramach systemu edukacji szkolnej. Analiza</w:t>
      </w:r>
      <w:r w:rsidR="00992FD0" w:rsidRPr="00EC250C">
        <w:rPr>
          <w:bCs/>
          <w:iCs/>
          <w:lang w:eastAsia="en-US"/>
        </w:rPr>
        <w:t xml:space="preserve"> i </w:t>
      </w:r>
      <w:r w:rsidR="00B67976" w:rsidRPr="00EC250C">
        <w:rPr>
          <w:bCs/>
          <w:iCs/>
          <w:lang w:eastAsia="en-US"/>
        </w:rPr>
        <w:t>zalecenia”</w:t>
      </w:r>
      <w:r w:rsidR="00A04FBB" w:rsidRPr="00EC250C">
        <w:rPr>
          <w:rStyle w:val="Odwoanieprzypisudolnego"/>
          <w:bCs/>
          <w:iCs/>
          <w:lang w:eastAsia="en-US"/>
        </w:rPr>
        <w:footnoteReference w:id="59"/>
      </w:r>
      <w:r w:rsidR="00B67976" w:rsidRPr="00EC250C">
        <w:rPr>
          <w:bCs/>
          <w:iCs/>
          <w:lang w:eastAsia="en-US"/>
        </w:rPr>
        <w:t>.</w:t>
      </w:r>
    </w:p>
    <w:p w14:paraId="41E9AA34" w14:textId="77777777" w:rsidR="00B67976" w:rsidRPr="00EC250C" w:rsidRDefault="00A04FBB" w:rsidP="00D131FA">
      <w:pPr>
        <w:pStyle w:val="Styl1"/>
        <w:rPr>
          <w:bCs/>
          <w:iCs/>
          <w:lang w:eastAsia="en-US"/>
        </w:rPr>
      </w:pPr>
      <w:r w:rsidRPr="00EC250C">
        <w:rPr>
          <w:bCs/>
          <w:iCs/>
          <w:lang w:eastAsia="en-US"/>
        </w:rPr>
        <w:lastRenderedPageBreak/>
        <w:t xml:space="preserve">Kiedy RPO pytał </w:t>
      </w:r>
      <w:r w:rsidR="00DF47F5" w:rsidRPr="00EC250C">
        <w:rPr>
          <w:bCs/>
          <w:iCs/>
          <w:lang w:eastAsia="en-US"/>
        </w:rPr>
        <w:t>MEN</w:t>
      </w:r>
      <w:r w:rsidR="00992FD0" w:rsidRPr="00EC250C">
        <w:rPr>
          <w:bCs/>
          <w:iCs/>
          <w:lang w:eastAsia="en-US"/>
        </w:rPr>
        <w:t xml:space="preserve"> o </w:t>
      </w:r>
      <w:r w:rsidRPr="00EC250C">
        <w:rPr>
          <w:bCs/>
          <w:iCs/>
          <w:lang w:eastAsia="en-US"/>
        </w:rPr>
        <w:t>sposób informowania rodziców</w:t>
      </w:r>
      <w:r w:rsidR="00992FD0" w:rsidRPr="00EC250C">
        <w:rPr>
          <w:bCs/>
          <w:iCs/>
          <w:lang w:eastAsia="en-US"/>
        </w:rPr>
        <w:t xml:space="preserve"> o </w:t>
      </w:r>
      <w:r w:rsidRPr="00EC250C">
        <w:rPr>
          <w:bCs/>
          <w:iCs/>
          <w:lang w:eastAsia="en-US"/>
        </w:rPr>
        <w:t xml:space="preserve">tym, że dzieci mają prawo do lekcji swojej religii lub etyki, dowiedział się, </w:t>
      </w:r>
      <w:r w:rsidR="00B67976" w:rsidRPr="00EC250C">
        <w:rPr>
          <w:bCs/>
          <w:iCs/>
          <w:lang w:eastAsia="en-US"/>
        </w:rPr>
        <w:t xml:space="preserve">że obowiązek ten jest spełniany poprzez zamieszczenie </w:t>
      </w:r>
      <w:r w:rsidRPr="00EC250C">
        <w:rPr>
          <w:bCs/>
          <w:iCs/>
          <w:lang w:eastAsia="en-US"/>
        </w:rPr>
        <w:t xml:space="preserve">informacji </w:t>
      </w:r>
      <w:r w:rsidR="00B67976" w:rsidRPr="00EC250C">
        <w:rPr>
          <w:bCs/>
          <w:iCs/>
          <w:lang w:eastAsia="en-US"/>
        </w:rPr>
        <w:t xml:space="preserve">na stronie </w:t>
      </w:r>
      <w:r w:rsidR="0096462C" w:rsidRPr="00EC250C">
        <w:rPr>
          <w:bCs/>
          <w:iCs/>
          <w:lang w:eastAsia="en-US"/>
        </w:rPr>
        <w:t>internetowej</w:t>
      </w:r>
      <w:r w:rsidRPr="00EC250C">
        <w:rPr>
          <w:bCs/>
          <w:iCs/>
          <w:lang w:eastAsia="en-US"/>
        </w:rPr>
        <w:t xml:space="preserve"> </w:t>
      </w:r>
      <w:r w:rsidR="00907A50" w:rsidRPr="00EC250C">
        <w:rPr>
          <w:bCs/>
          <w:iCs/>
          <w:lang w:eastAsia="en-US"/>
        </w:rPr>
        <w:t>MEN</w:t>
      </w:r>
      <w:r w:rsidR="00DF47F5" w:rsidRPr="00EC250C">
        <w:rPr>
          <w:bCs/>
          <w:iCs/>
          <w:lang w:eastAsia="en-US"/>
        </w:rPr>
        <w:t>. Takiej informacji tam jednak nie ma,</w:t>
      </w:r>
      <w:r w:rsidR="00992FD0" w:rsidRPr="00EC250C">
        <w:rPr>
          <w:bCs/>
          <w:iCs/>
          <w:lang w:eastAsia="en-US"/>
        </w:rPr>
        <w:t xml:space="preserve"> a </w:t>
      </w:r>
      <w:r w:rsidR="00B67976" w:rsidRPr="00EC250C">
        <w:rPr>
          <w:bCs/>
          <w:iCs/>
          <w:lang w:eastAsia="en-US"/>
        </w:rPr>
        <w:t xml:space="preserve">nawet gdyby została tam zamieszczona, to </w:t>
      </w:r>
      <w:r w:rsidR="00C566C1" w:rsidRPr="00EC250C">
        <w:rPr>
          <w:bCs/>
          <w:iCs/>
          <w:lang w:eastAsia="en-US"/>
        </w:rPr>
        <w:t>wg RPO jest to informacja niewystarczająca</w:t>
      </w:r>
      <w:r w:rsidR="003E5631" w:rsidRPr="00EC250C">
        <w:rPr>
          <w:rStyle w:val="Odwoanieprzypisudolnego"/>
          <w:bCs/>
          <w:iCs/>
          <w:lang w:eastAsia="en-US"/>
        </w:rPr>
        <w:footnoteReference w:id="60"/>
      </w:r>
      <w:r w:rsidR="00CF6FDF" w:rsidRPr="00EC250C">
        <w:rPr>
          <w:bCs/>
          <w:iCs/>
          <w:lang w:eastAsia="en-US"/>
        </w:rPr>
        <w:t>.</w:t>
      </w:r>
      <w:r w:rsidR="00C566C1" w:rsidRPr="00EC250C">
        <w:rPr>
          <w:bCs/>
          <w:iCs/>
          <w:lang w:eastAsia="en-US"/>
        </w:rPr>
        <w:t xml:space="preserve"> Zdaniem Rzecznika Praw Obywatelskich to </w:t>
      </w:r>
      <w:r w:rsidR="00B67976" w:rsidRPr="00EC250C">
        <w:rPr>
          <w:bCs/>
          <w:iCs/>
          <w:lang w:eastAsia="en-US"/>
        </w:rPr>
        <w:t>dyrektor</w:t>
      </w:r>
      <w:r w:rsidRPr="00EC250C">
        <w:rPr>
          <w:bCs/>
          <w:iCs/>
          <w:lang w:eastAsia="en-US"/>
        </w:rPr>
        <w:t>zy</w:t>
      </w:r>
      <w:r w:rsidR="00B67976" w:rsidRPr="00EC250C">
        <w:rPr>
          <w:bCs/>
          <w:iCs/>
          <w:lang w:eastAsia="en-US"/>
        </w:rPr>
        <w:t xml:space="preserve"> szkół </w:t>
      </w:r>
      <w:r w:rsidRPr="00EC250C">
        <w:rPr>
          <w:bCs/>
          <w:iCs/>
          <w:lang w:eastAsia="en-US"/>
        </w:rPr>
        <w:t xml:space="preserve">powinni mieć obowiązek </w:t>
      </w:r>
      <w:r w:rsidR="00B67976" w:rsidRPr="00EC250C">
        <w:rPr>
          <w:bCs/>
          <w:iCs/>
          <w:lang w:eastAsia="en-US"/>
        </w:rPr>
        <w:t>informowania rodziców</w:t>
      </w:r>
      <w:r w:rsidR="00992FD0" w:rsidRPr="00EC250C">
        <w:rPr>
          <w:bCs/>
          <w:iCs/>
          <w:lang w:eastAsia="en-US"/>
        </w:rPr>
        <w:t xml:space="preserve"> i </w:t>
      </w:r>
      <w:r w:rsidR="00B67976" w:rsidRPr="00EC250C">
        <w:rPr>
          <w:bCs/>
          <w:iCs/>
          <w:lang w:eastAsia="en-US"/>
        </w:rPr>
        <w:t>uczniów</w:t>
      </w:r>
      <w:r w:rsidR="00992FD0" w:rsidRPr="00EC250C">
        <w:rPr>
          <w:bCs/>
          <w:iCs/>
          <w:lang w:eastAsia="en-US"/>
        </w:rPr>
        <w:t xml:space="preserve"> o </w:t>
      </w:r>
      <w:r w:rsidR="00B67976" w:rsidRPr="00EC250C">
        <w:rPr>
          <w:bCs/>
          <w:iCs/>
          <w:lang w:eastAsia="en-US"/>
        </w:rPr>
        <w:t>możliwości</w:t>
      </w:r>
      <w:r w:rsidR="00C566C1" w:rsidRPr="00EC250C">
        <w:rPr>
          <w:bCs/>
          <w:iCs/>
          <w:lang w:eastAsia="en-US"/>
        </w:rPr>
        <w:t>ach</w:t>
      </w:r>
      <w:r w:rsidR="00992FD0" w:rsidRPr="00EC250C">
        <w:rPr>
          <w:bCs/>
          <w:iCs/>
          <w:lang w:eastAsia="en-US"/>
        </w:rPr>
        <w:t xml:space="preserve"> i </w:t>
      </w:r>
      <w:r w:rsidR="00B67976" w:rsidRPr="00EC250C">
        <w:rPr>
          <w:bCs/>
          <w:iCs/>
          <w:lang w:eastAsia="en-US"/>
        </w:rPr>
        <w:t>zasadach organizacji lekcji religii lub lekcji etyki.</w:t>
      </w:r>
    </w:p>
    <w:p w14:paraId="3C33739E" w14:textId="77777777" w:rsidR="00C91F6E" w:rsidRPr="00EC250C" w:rsidRDefault="003D461A" w:rsidP="00D131FA">
      <w:pPr>
        <w:pStyle w:val="Styl1"/>
        <w:rPr>
          <w:bCs/>
          <w:iCs/>
          <w:lang w:eastAsia="en-US"/>
        </w:rPr>
      </w:pPr>
      <w:r w:rsidRPr="00EC250C">
        <w:rPr>
          <w:bCs/>
          <w:iCs/>
          <w:lang w:eastAsia="en-US"/>
        </w:rPr>
        <w:t>Minister</w:t>
      </w:r>
      <w:r w:rsidR="00A04FBB" w:rsidRPr="00EC250C">
        <w:rPr>
          <w:bCs/>
          <w:iCs/>
          <w:lang w:eastAsia="en-US"/>
        </w:rPr>
        <w:t xml:space="preserve"> Edukacji Narodowej zapewnił</w:t>
      </w:r>
      <w:r w:rsidR="000E652C" w:rsidRPr="00EC250C">
        <w:rPr>
          <w:bCs/>
          <w:iCs/>
          <w:lang w:eastAsia="en-US"/>
        </w:rPr>
        <w:t xml:space="preserve">, że podczas kolejnej nowelizacji ustawy </w:t>
      </w:r>
      <w:r w:rsidR="0096462C" w:rsidRPr="00EC250C">
        <w:rPr>
          <w:bCs/>
          <w:iCs/>
          <w:lang w:eastAsia="en-US"/>
        </w:rPr>
        <w:t>Prawo oświatowe zostaną przedstawione propozycje zmian</w:t>
      </w:r>
      <w:r w:rsidR="00992FD0" w:rsidRPr="00EC250C">
        <w:rPr>
          <w:bCs/>
          <w:iCs/>
          <w:lang w:eastAsia="en-US"/>
        </w:rPr>
        <w:t xml:space="preserve"> w </w:t>
      </w:r>
      <w:r w:rsidR="0096462C" w:rsidRPr="00EC250C">
        <w:rPr>
          <w:bCs/>
          <w:iCs/>
          <w:lang w:eastAsia="en-US"/>
        </w:rPr>
        <w:t>tym zakresie</w:t>
      </w:r>
      <w:r w:rsidR="00023E83" w:rsidRPr="00EC250C">
        <w:rPr>
          <w:rStyle w:val="Odwoanieprzypisudolnego"/>
          <w:bCs/>
          <w:iCs/>
          <w:lang w:eastAsia="en-US"/>
        </w:rPr>
        <w:footnoteReference w:id="61"/>
      </w:r>
      <w:r w:rsidR="000E652C" w:rsidRPr="00EC250C">
        <w:rPr>
          <w:bCs/>
          <w:iCs/>
          <w:lang w:eastAsia="en-US"/>
        </w:rPr>
        <w:t>.</w:t>
      </w:r>
    </w:p>
    <w:p w14:paraId="1CE74F5D" w14:textId="77777777" w:rsidR="00FA4FBB" w:rsidRPr="00EC250C" w:rsidRDefault="00FA4FBB" w:rsidP="00EC250C">
      <w:pPr>
        <w:pStyle w:val="Nagwek5"/>
      </w:pPr>
      <w:r w:rsidRPr="00EC250C">
        <w:t xml:space="preserve">Raport </w:t>
      </w:r>
      <w:r w:rsidR="00DD4741" w:rsidRPr="00EC250C">
        <w:t xml:space="preserve">RPO </w:t>
      </w:r>
      <w:r w:rsidRPr="00EC250C">
        <w:t>„Równe traktowanie ze względu na wyznanie</w:t>
      </w:r>
      <w:r w:rsidR="00992FD0" w:rsidRPr="00EC250C">
        <w:t xml:space="preserve"> w </w:t>
      </w:r>
      <w:r w:rsidRPr="00EC250C">
        <w:t>zatrudnieniu. Analiza</w:t>
      </w:r>
      <w:r w:rsidR="00992FD0" w:rsidRPr="00EC250C">
        <w:t xml:space="preserve"> i </w:t>
      </w:r>
      <w:r w:rsidRPr="00EC250C">
        <w:t>zalecenia”</w:t>
      </w:r>
      <w:r w:rsidR="002C0A3F" w:rsidRPr="00EC250C">
        <w:t>, 2018</w:t>
      </w:r>
    </w:p>
    <w:p w14:paraId="70DC69E4" w14:textId="77777777" w:rsidR="00B473F5" w:rsidRPr="00EC250C" w:rsidRDefault="002C0A3F" w:rsidP="00D131FA">
      <w:pPr>
        <w:pStyle w:val="Problemczowieka"/>
        <w:jc w:val="both"/>
        <w:rPr>
          <w:rStyle w:val="Pogrubienie"/>
          <w:b/>
          <w:bCs w:val="0"/>
        </w:rPr>
      </w:pPr>
      <w:r w:rsidRPr="00EC250C">
        <w:rPr>
          <w:rStyle w:val="Pogrubienie"/>
          <w:b/>
          <w:bCs w:val="0"/>
        </w:rPr>
        <w:t>Dyskryminacja ze względu na wyznanie</w:t>
      </w:r>
      <w:r w:rsidR="00992FD0" w:rsidRPr="00EC250C">
        <w:rPr>
          <w:rStyle w:val="Pogrubienie"/>
          <w:b/>
          <w:bCs w:val="0"/>
        </w:rPr>
        <w:t xml:space="preserve"> w </w:t>
      </w:r>
      <w:r w:rsidRPr="00EC250C">
        <w:rPr>
          <w:rStyle w:val="Pogrubienie"/>
          <w:b/>
          <w:bCs w:val="0"/>
        </w:rPr>
        <w:t>miejscu pracy może dotyczyć zarówno przedstawicieli mniejszości religijnych, jak</w:t>
      </w:r>
      <w:r w:rsidR="00992FD0" w:rsidRPr="00EC250C">
        <w:rPr>
          <w:rStyle w:val="Pogrubienie"/>
          <w:b/>
          <w:bCs w:val="0"/>
        </w:rPr>
        <w:t xml:space="preserve"> i </w:t>
      </w:r>
      <w:r w:rsidRPr="00EC250C">
        <w:rPr>
          <w:rStyle w:val="Pogrubienie"/>
          <w:b/>
          <w:bCs w:val="0"/>
        </w:rPr>
        <w:t>dominującej większości</w:t>
      </w:r>
      <w:r w:rsidR="00B473F5" w:rsidRPr="00EC250C">
        <w:rPr>
          <w:rStyle w:val="Pogrubienie"/>
          <w:b/>
          <w:bCs w:val="0"/>
        </w:rPr>
        <w:t>.</w:t>
      </w:r>
    </w:p>
    <w:p w14:paraId="52D73821" w14:textId="77777777" w:rsidR="006D413D" w:rsidRPr="00EC250C" w:rsidRDefault="006D413D" w:rsidP="00D131FA">
      <w:pPr>
        <w:pStyle w:val="Styl1"/>
        <w:rPr>
          <w:rStyle w:val="Pogrubienie"/>
          <w:b w:val="0"/>
          <w:bCs w:val="0"/>
        </w:rPr>
      </w:pPr>
      <w:r w:rsidRPr="00EC250C">
        <w:t>Wbrew utartym opiniom, źródła nierównego traktowania nie są bowiem związane tylko</w:t>
      </w:r>
      <w:r w:rsidR="00992FD0" w:rsidRPr="00EC250C">
        <w:t xml:space="preserve"> z </w:t>
      </w:r>
      <w:r w:rsidRPr="00EC250C">
        <w:t>rodzajem wyznawanej religii. Dyskryminowani czują się zarówno przedstawiciele wyznań mniejszościowych (prawosławni, wyznawcy judaizmu, muzułmanie), jak</w:t>
      </w:r>
      <w:r w:rsidR="00992FD0" w:rsidRPr="00EC250C">
        <w:t xml:space="preserve"> i </w:t>
      </w:r>
      <w:r w:rsidRPr="00EC250C">
        <w:t>przedstawiciele wyznania katolickiego, będącego</w:t>
      </w:r>
      <w:r w:rsidR="00992FD0" w:rsidRPr="00EC250C">
        <w:t xml:space="preserve"> w </w:t>
      </w:r>
      <w:r w:rsidRPr="00EC250C">
        <w:t>Polsce</w:t>
      </w:r>
      <w:r w:rsidR="00992FD0" w:rsidRPr="00EC250C">
        <w:t xml:space="preserve"> w </w:t>
      </w:r>
      <w:r w:rsidRPr="00EC250C">
        <w:t>zdecydowanej większości. Jednak</w:t>
      </w:r>
      <w:r w:rsidR="00992FD0" w:rsidRPr="00EC250C">
        <w:t xml:space="preserve"> w </w:t>
      </w:r>
      <w:r w:rsidRPr="00EC250C">
        <w:t>przeważającej praktyce – jak wskazują badacze – niebezpieczeństwo dyskryminacji wzrasta tam, gdzie pracownik ujawnia</w:t>
      </w:r>
      <w:r w:rsidR="00992FD0" w:rsidRPr="00EC250C">
        <w:t xml:space="preserve"> w </w:t>
      </w:r>
      <w:r w:rsidRPr="00EC250C">
        <w:t>miejscu pracy swoje zaangażowanie religijne</w:t>
      </w:r>
      <w:r w:rsidR="00992FD0" w:rsidRPr="00EC250C">
        <w:t xml:space="preserve"> i </w:t>
      </w:r>
      <w:r w:rsidRPr="00EC250C">
        <w:t>podkreśla</w:t>
      </w:r>
      <w:r w:rsidR="00992FD0" w:rsidRPr="00EC250C">
        <w:t xml:space="preserve"> w </w:t>
      </w:r>
      <w:r w:rsidRPr="00EC250C">
        <w:t>widoczny sposób swoją identyfikację wyznaniową. Innymi słowy, chodzi nie tyle</w:t>
      </w:r>
      <w:r w:rsidR="00992FD0" w:rsidRPr="00EC250C">
        <w:t xml:space="preserve"> o </w:t>
      </w:r>
      <w:r w:rsidRPr="00EC250C">
        <w:t>nazwę czy powszechność wyznania, co</w:t>
      </w:r>
      <w:r w:rsidR="00992FD0" w:rsidRPr="00EC250C">
        <w:t xml:space="preserve"> o </w:t>
      </w:r>
      <w:r w:rsidRPr="00EC250C">
        <w:t>intensywność jego przeżywania</w:t>
      </w:r>
      <w:r w:rsidR="00992FD0" w:rsidRPr="00EC250C">
        <w:t xml:space="preserve"> i </w:t>
      </w:r>
      <w:r w:rsidRPr="00EC250C">
        <w:t>formy ekspresji.</w:t>
      </w:r>
    </w:p>
    <w:p w14:paraId="25911DD6" w14:textId="77777777" w:rsidR="002C0A3F" w:rsidRPr="00EC250C" w:rsidRDefault="002C0A3F" w:rsidP="00D131FA">
      <w:pPr>
        <w:pStyle w:val="Styl1"/>
      </w:pPr>
      <w:r w:rsidRPr="00EC250C">
        <w:rPr>
          <w:rStyle w:val="Pogrubienie"/>
          <w:b w:val="0"/>
          <w:bCs w:val="0"/>
        </w:rPr>
        <w:t>Wynika to</w:t>
      </w:r>
      <w:r w:rsidR="00992FD0" w:rsidRPr="00EC250C">
        <w:rPr>
          <w:rStyle w:val="Pogrubienie"/>
          <w:b w:val="0"/>
          <w:bCs w:val="0"/>
        </w:rPr>
        <w:t xml:space="preserve"> z </w:t>
      </w:r>
      <w:r w:rsidRPr="00EC250C">
        <w:rPr>
          <w:rStyle w:val="Pogrubienie"/>
          <w:b w:val="0"/>
          <w:bCs w:val="0"/>
        </w:rPr>
        <w:t>badań „Rynek pracy</w:t>
      </w:r>
      <w:r w:rsidR="00992FD0" w:rsidRPr="00EC250C">
        <w:rPr>
          <w:rStyle w:val="Pogrubienie"/>
          <w:b w:val="0"/>
          <w:bCs w:val="0"/>
        </w:rPr>
        <w:t xml:space="preserve"> a </w:t>
      </w:r>
      <w:r w:rsidRPr="00EC250C">
        <w:rPr>
          <w:rStyle w:val="Pogrubienie"/>
          <w:b w:val="0"/>
          <w:bCs w:val="0"/>
        </w:rPr>
        <w:t>równe traktowanie ze względu na wyznanie” przeprowadzonych na zlecenie Rzecznika Praw Obywatelskich przez Instytut Stosowanych Nauk Społecznych Uniwersytetu Warszawskiego.</w:t>
      </w:r>
    </w:p>
    <w:p w14:paraId="4B325808" w14:textId="77777777" w:rsidR="002C0A3F" w:rsidRPr="00EC250C" w:rsidRDefault="002C0A3F" w:rsidP="00D131FA">
      <w:pPr>
        <w:pStyle w:val="Styl1"/>
      </w:pPr>
      <w:r w:rsidRPr="00EC250C">
        <w:t>Badania potwierdziły występowanie różnych form dyskryminacji ze względu na wyznanie</w:t>
      </w:r>
      <w:r w:rsidR="00992FD0" w:rsidRPr="00EC250C">
        <w:t xml:space="preserve"> w </w:t>
      </w:r>
      <w:r w:rsidRPr="00EC250C">
        <w:t>miejscu pracy</w:t>
      </w:r>
      <w:r w:rsidR="00992FD0" w:rsidRPr="00EC250C">
        <w:t xml:space="preserve"> i </w:t>
      </w:r>
      <w:r w:rsidRPr="00EC250C">
        <w:t>ujawniły najczęściej spotykane mechanizmy wykluczenia.</w:t>
      </w:r>
      <w:r w:rsidR="00CC4D88" w:rsidRPr="00EC250C">
        <w:t xml:space="preserve"> </w:t>
      </w:r>
      <w:r w:rsidRPr="00EC250C">
        <w:t>Mogą one być spowodowane zarówno uprzedzeniami lub negatywnymi stereotypami wobec określonej grupy religijnej, jak</w:t>
      </w:r>
      <w:r w:rsidR="00992FD0" w:rsidRPr="00EC250C">
        <w:t xml:space="preserve"> i </w:t>
      </w:r>
      <w:r w:rsidRPr="00EC250C">
        <w:t>brakiem wiedzy lub odpowiedniej wrażliwości pracodawców</w:t>
      </w:r>
      <w:r w:rsidR="00992FD0" w:rsidRPr="00EC250C">
        <w:t xml:space="preserve"> i </w:t>
      </w:r>
      <w:r w:rsidRPr="00EC250C">
        <w:t>współpracowników.</w:t>
      </w:r>
    </w:p>
    <w:p w14:paraId="65681B12" w14:textId="77777777" w:rsidR="00FA2CED" w:rsidRPr="00EC250C" w:rsidRDefault="002C0A3F" w:rsidP="00D131FA">
      <w:pPr>
        <w:pStyle w:val="Styl1"/>
      </w:pPr>
      <w:r w:rsidRPr="00EC250C">
        <w:t>Warto jednak zaznaczyć, że na dyskryminację narażeni są przede wszystkim przedstawiciele tych mniejszości religijnych, których dotyczą najbardziej utrwalone społecznie stereotypy</w:t>
      </w:r>
      <w:r w:rsidRPr="00EC250C">
        <w:rPr>
          <w:rStyle w:val="Odwoanieprzypisudolnego"/>
        </w:rPr>
        <w:footnoteReference w:id="62"/>
      </w:r>
      <w:r w:rsidRPr="00EC250C">
        <w:t>.</w:t>
      </w:r>
      <w:r w:rsidR="000633CF" w:rsidRPr="00EC250C">
        <w:t xml:space="preserve"> </w:t>
      </w:r>
      <w:r w:rsidR="00FA2CED" w:rsidRPr="00EC250C">
        <w:br w:type="page"/>
      </w:r>
    </w:p>
    <w:p w14:paraId="65E37E84" w14:textId="77777777" w:rsidR="00C91F6E" w:rsidRPr="00EC250C" w:rsidRDefault="00F736E0" w:rsidP="00EC250C">
      <w:pPr>
        <w:pStyle w:val="Nagwek3"/>
      </w:pPr>
      <w:bookmarkStart w:id="67" w:name="_Toc6257649"/>
      <w:bookmarkStart w:id="68" w:name="_Toc11247553"/>
      <w:r w:rsidRPr="00EC250C">
        <w:lastRenderedPageBreak/>
        <w:t xml:space="preserve">Art. </w:t>
      </w:r>
      <w:r w:rsidR="00FD3AE2" w:rsidRPr="00EC250C">
        <w:t xml:space="preserve">33 </w:t>
      </w:r>
      <w:r w:rsidR="00FA2CED" w:rsidRPr="00EC250C">
        <w:t>Konstytucji</w:t>
      </w:r>
      <w:r w:rsidR="0095228D" w:rsidRPr="00EC250C">
        <w:t xml:space="preserve"> </w:t>
      </w:r>
      <w:r w:rsidRPr="00EC250C">
        <w:t>– Równe traktowanie kobiet</w:t>
      </w:r>
      <w:r w:rsidR="00992FD0" w:rsidRPr="00EC250C">
        <w:t xml:space="preserve"> i </w:t>
      </w:r>
      <w:r w:rsidRPr="00EC250C">
        <w:t>mężczyzn</w:t>
      </w:r>
      <w:bookmarkEnd w:id="67"/>
      <w:bookmarkEnd w:id="68"/>
    </w:p>
    <w:p w14:paraId="63798D41" w14:textId="77777777" w:rsidR="00992629" w:rsidRPr="00EC250C" w:rsidRDefault="00F736E0" w:rsidP="00D131FA">
      <w:pPr>
        <w:pStyle w:val="konstytucja"/>
        <w:jc w:val="both"/>
      </w:pPr>
      <w:r w:rsidRPr="00EC250C">
        <w:t>1. Kobieta</w:t>
      </w:r>
      <w:r w:rsidR="00992FD0" w:rsidRPr="00EC250C">
        <w:t xml:space="preserve"> i </w:t>
      </w:r>
      <w:r w:rsidRPr="00EC250C">
        <w:t>mężczyzna</w:t>
      </w:r>
      <w:r w:rsidR="00992FD0" w:rsidRPr="00EC250C">
        <w:t xml:space="preserve"> w </w:t>
      </w:r>
      <w:r w:rsidRPr="00EC250C">
        <w:t>Rzeczypospolitej Polskiej mają równe prawa</w:t>
      </w:r>
      <w:r w:rsidR="00992FD0" w:rsidRPr="00EC250C">
        <w:t xml:space="preserve"> w </w:t>
      </w:r>
      <w:r w:rsidRPr="00EC250C">
        <w:t>życiu rodzinnym, politycznym, społecznym</w:t>
      </w:r>
      <w:r w:rsidR="00992FD0" w:rsidRPr="00EC250C">
        <w:t xml:space="preserve"> i </w:t>
      </w:r>
      <w:r w:rsidRPr="00EC250C">
        <w:t>gospodarczym.</w:t>
      </w:r>
    </w:p>
    <w:p w14:paraId="492CE7C1" w14:textId="77777777" w:rsidR="00F736E0" w:rsidRPr="00EC250C" w:rsidRDefault="00F736E0" w:rsidP="00D131FA">
      <w:pPr>
        <w:pStyle w:val="konstytucja"/>
        <w:jc w:val="both"/>
      </w:pPr>
      <w:r w:rsidRPr="00EC250C">
        <w:t>2. Kobieta</w:t>
      </w:r>
      <w:r w:rsidR="00992FD0" w:rsidRPr="00EC250C">
        <w:t xml:space="preserve"> i </w:t>
      </w:r>
      <w:r w:rsidRPr="00EC250C">
        <w:t>mężczyzna mają</w:t>
      </w:r>
      <w:r w:rsidR="00992FD0" w:rsidRPr="00EC250C">
        <w:t xml:space="preserve"> w </w:t>
      </w:r>
      <w:r w:rsidRPr="00EC250C">
        <w:t>szczególności równe prawo do kształcenia, zatrudnienia</w:t>
      </w:r>
      <w:r w:rsidR="00992FD0" w:rsidRPr="00EC250C">
        <w:t xml:space="preserve"> i </w:t>
      </w:r>
      <w:r w:rsidRPr="00EC250C">
        <w:t>awansów, do jednakowego wynagradzania za pracę jednakowej wartości, do zabezpieczenia społecznego oraz do zajmowania stanowisk, pełnienia funkcji oraz uzyskiwania godności publicznych</w:t>
      </w:r>
      <w:r w:rsidR="00992FD0" w:rsidRPr="00EC250C">
        <w:t xml:space="preserve"> i </w:t>
      </w:r>
      <w:r w:rsidRPr="00EC250C">
        <w:t>odznaczeń.</w:t>
      </w:r>
    </w:p>
    <w:p w14:paraId="5AC3BB97" w14:textId="77777777" w:rsidR="0063789E" w:rsidRPr="00EC250C" w:rsidRDefault="0063789E" w:rsidP="00D131FA">
      <w:pPr>
        <w:pStyle w:val="ComwiKonstytucja"/>
      </w:pPr>
      <w:r w:rsidRPr="00EC250C">
        <w:t>Zasad</w:t>
      </w:r>
      <w:r w:rsidR="00E94BB8" w:rsidRPr="00EC250C">
        <w:t>a</w:t>
      </w:r>
      <w:r w:rsidRPr="00EC250C">
        <w:t xml:space="preserve"> równości płci </w:t>
      </w:r>
      <w:r w:rsidR="00A76D7E" w:rsidRPr="00EC250C">
        <w:t>wynika</w:t>
      </w:r>
      <w:r w:rsidR="00992FD0" w:rsidRPr="00EC250C">
        <w:t xml:space="preserve"> z </w:t>
      </w:r>
      <w:r w:rsidRPr="00EC250C">
        <w:t xml:space="preserve">ogólnej </w:t>
      </w:r>
      <w:r w:rsidR="00165B8B" w:rsidRPr="00EC250C">
        <w:t xml:space="preserve">zasady </w:t>
      </w:r>
      <w:r w:rsidRPr="00EC250C">
        <w:t>równości. Ponieważ Konstytucja nie tworzy katalogu cech,</w:t>
      </w:r>
      <w:r w:rsidR="00992FD0" w:rsidRPr="00EC250C">
        <w:t xml:space="preserve"> w </w:t>
      </w:r>
      <w:r w:rsidRPr="00EC250C">
        <w:t>oparciu</w:t>
      </w:r>
      <w:r w:rsidR="00992FD0" w:rsidRPr="00EC250C">
        <w:t xml:space="preserve"> o </w:t>
      </w:r>
      <w:r w:rsidRPr="00EC250C">
        <w:t>które zakazane jest różnicowanie sytuacji jednostek, artykuł 33 ma szczególne znaczenie.</w:t>
      </w:r>
    </w:p>
    <w:p w14:paraId="22007FF3" w14:textId="77777777" w:rsidR="0063789E" w:rsidRPr="00EC250C" w:rsidRDefault="0063789E" w:rsidP="00D131FA">
      <w:pPr>
        <w:pStyle w:val="ComwiKonstytucja"/>
      </w:pPr>
      <w:r w:rsidRPr="00EC250C">
        <w:t xml:space="preserve">Zakazuje </w:t>
      </w:r>
      <w:r w:rsidR="00A76D7E" w:rsidRPr="00EC250C">
        <w:t xml:space="preserve">on </w:t>
      </w:r>
      <w:r w:rsidRPr="00EC250C">
        <w:t>dyskryminacji, tj. nieuzasadnionego różnicowania sytuacji prawnej obu płci. Zatem przyjęcie płci jako podstawy zróżnicowania rodzi domniemanie niekonstytucyjności danego rozwiązania. Wynika to także bezpośrednio</w:t>
      </w:r>
      <w:r w:rsidR="00992FD0" w:rsidRPr="00EC250C">
        <w:t xml:space="preserve"> z </w:t>
      </w:r>
      <w:r w:rsidRPr="00EC250C">
        <w:t>zakazu różnicowania ze względu na płeć zawartego</w:t>
      </w:r>
      <w:r w:rsidR="00992FD0" w:rsidRPr="00EC250C">
        <w:t xml:space="preserve"> w </w:t>
      </w:r>
      <w:r w:rsidRPr="00EC250C">
        <w:t>art. 14 E</w:t>
      </w:r>
      <w:r w:rsidR="00A76D7E" w:rsidRPr="00EC250C">
        <w:t xml:space="preserve">uropejskiej </w:t>
      </w:r>
      <w:r w:rsidRPr="00EC250C">
        <w:t>K</w:t>
      </w:r>
      <w:r w:rsidR="00A76D7E" w:rsidRPr="00EC250C">
        <w:t xml:space="preserve">onwencji </w:t>
      </w:r>
      <w:r w:rsidRPr="00EC250C">
        <w:t>P</w:t>
      </w:r>
      <w:r w:rsidR="00A76D7E" w:rsidRPr="00EC250C">
        <w:t xml:space="preserve">raw </w:t>
      </w:r>
      <w:r w:rsidRPr="00EC250C">
        <w:t>Cz</w:t>
      </w:r>
      <w:r w:rsidR="00A76D7E" w:rsidRPr="00EC250C">
        <w:t>łowieka</w:t>
      </w:r>
      <w:r w:rsidRPr="00EC250C">
        <w:t>. Zróżnicowania są uzasadnione, gdy spełniają warunki konieczności, proporcjonalności oraz związku</w:t>
      </w:r>
      <w:r w:rsidR="00992FD0" w:rsidRPr="00EC250C">
        <w:t xml:space="preserve"> z </w:t>
      </w:r>
      <w:r w:rsidRPr="00EC250C">
        <w:t>innymi normami konstytucyjnymi.</w:t>
      </w:r>
    </w:p>
    <w:p w14:paraId="08395CEE" w14:textId="77777777" w:rsidR="00C2408B" w:rsidRPr="00EC250C" w:rsidRDefault="00C2408B" w:rsidP="00D131FA">
      <w:pPr>
        <w:pStyle w:val="ComwiKonstytucja"/>
      </w:pPr>
      <w:r w:rsidRPr="00EC250C">
        <w:t>Dopuszczalne jest przyznanie przywilejów zarówno kobietom, jak</w:t>
      </w:r>
      <w:r w:rsidR="00992FD0" w:rsidRPr="00EC250C">
        <w:t xml:space="preserve"> i </w:t>
      </w:r>
      <w:r w:rsidRPr="00EC250C">
        <w:t>mężczyznom,</w:t>
      </w:r>
      <w:r w:rsidR="00992FD0" w:rsidRPr="00EC250C">
        <w:t xml:space="preserve"> o </w:t>
      </w:r>
      <w:r w:rsidRPr="00EC250C">
        <w:t>ile dotyczą ich faktyczne nierówności. Ma to szczególne znacznie np. na rynku pracy. W zawodach sfeminizowanych dopuszczalne będzie priorytetowe traktowanie mężczyzn.</w:t>
      </w:r>
    </w:p>
    <w:p w14:paraId="1BAECD29" w14:textId="77777777" w:rsidR="00FA2CED" w:rsidRPr="00EC250C" w:rsidRDefault="00FA2CED" w:rsidP="00D131FA">
      <w:pPr>
        <w:spacing w:after="200" w:line="24" w:lineRule="auto"/>
        <w:jc w:val="both"/>
        <w:rPr>
          <w:spacing w:val="5"/>
          <w:sz w:val="24"/>
        </w:rPr>
      </w:pPr>
      <w:r w:rsidRPr="00EC250C">
        <w:rPr>
          <w:sz w:val="24"/>
        </w:rPr>
        <w:br w:type="page"/>
      </w:r>
    </w:p>
    <w:p w14:paraId="1C01684D" w14:textId="77777777" w:rsidR="00452A56" w:rsidRPr="00EC250C" w:rsidRDefault="00B8780F" w:rsidP="00EC79EB">
      <w:pPr>
        <w:pStyle w:val="Nagwek4"/>
      </w:pPr>
      <w:bookmarkStart w:id="69" w:name="_Toc6257650"/>
      <w:bookmarkStart w:id="70" w:name="_Toc11247554"/>
      <w:r w:rsidRPr="00EC250C">
        <w:lastRenderedPageBreak/>
        <w:t>Nier</w:t>
      </w:r>
      <w:r w:rsidR="00452A56" w:rsidRPr="00EC250C">
        <w:t>ówn</w:t>
      </w:r>
      <w:r w:rsidR="001C4069" w:rsidRPr="00EC250C">
        <w:t>y</w:t>
      </w:r>
      <w:r w:rsidR="00452A56" w:rsidRPr="00EC250C">
        <w:t xml:space="preserve"> udział kobiet</w:t>
      </w:r>
      <w:r w:rsidR="00992FD0" w:rsidRPr="00EC250C">
        <w:t xml:space="preserve"> i </w:t>
      </w:r>
      <w:r w:rsidR="00452A56" w:rsidRPr="00EC250C">
        <w:t>mężczyzn</w:t>
      </w:r>
      <w:r w:rsidR="00992FD0" w:rsidRPr="00EC250C">
        <w:t xml:space="preserve"> w </w:t>
      </w:r>
      <w:r w:rsidR="00452A56" w:rsidRPr="00EC250C">
        <w:t>życiu publicznym</w:t>
      </w:r>
      <w:bookmarkEnd w:id="69"/>
      <w:bookmarkEnd w:id="70"/>
    </w:p>
    <w:p w14:paraId="7D0B139B" w14:textId="77777777" w:rsidR="00B473F5" w:rsidRPr="00EC250C" w:rsidRDefault="003A7F61" w:rsidP="00D131FA">
      <w:pPr>
        <w:pStyle w:val="Problemczowieka"/>
        <w:jc w:val="both"/>
        <w:rPr>
          <w:shd w:val="clear" w:color="auto" w:fill="FFFFFF"/>
        </w:rPr>
      </w:pPr>
      <w:r w:rsidRPr="00EC250C">
        <w:rPr>
          <w:shd w:val="clear" w:color="auto" w:fill="FFFFFF"/>
        </w:rPr>
        <w:t>W 2018</w:t>
      </w:r>
      <w:r w:rsidR="00C91F6E" w:rsidRPr="00EC250C">
        <w:rPr>
          <w:shd w:val="clear" w:color="auto" w:fill="FFFFFF"/>
        </w:rPr>
        <w:t> r.</w:t>
      </w:r>
      <w:r w:rsidRPr="00EC250C">
        <w:rPr>
          <w:shd w:val="clear" w:color="auto" w:fill="FFFFFF"/>
        </w:rPr>
        <w:t xml:space="preserve"> minęło sto lat od wywalczenia przez </w:t>
      </w:r>
      <w:r w:rsidRPr="00EC250C">
        <w:t xml:space="preserve">kobiety </w:t>
      </w:r>
      <w:r w:rsidR="0079072C" w:rsidRPr="00EC250C">
        <w:t>praw wyborcz</w:t>
      </w:r>
      <w:r w:rsidR="00165B8B" w:rsidRPr="00EC250C">
        <w:t>ych</w:t>
      </w:r>
      <w:r w:rsidR="0079072C" w:rsidRPr="00EC250C">
        <w:t>.</w:t>
      </w:r>
      <w:r w:rsidR="009B3AF4" w:rsidRPr="00EC250C">
        <w:t xml:space="preserve"> Nadal jednak napotykają </w:t>
      </w:r>
      <w:r w:rsidR="0056670D" w:rsidRPr="00EC250C">
        <w:t xml:space="preserve">one </w:t>
      </w:r>
      <w:r w:rsidR="009B3AF4" w:rsidRPr="00EC250C">
        <w:t>problemy, gdy chcą uczestniczyć</w:t>
      </w:r>
      <w:r w:rsidR="00992FD0" w:rsidRPr="00EC250C">
        <w:t xml:space="preserve"> w </w:t>
      </w:r>
      <w:r w:rsidR="009B3AF4" w:rsidRPr="00EC250C">
        <w:rPr>
          <w:shd w:val="clear" w:color="auto" w:fill="FFFFFF"/>
        </w:rPr>
        <w:t>życiu publicznym na równi</w:t>
      </w:r>
      <w:r w:rsidR="00992FD0" w:rsidRPr="00EC250C">
        <w:rPr>
          <w:shd w:val="clear" w:color="auto" w:fill="FFFFFF"/>
        </w:rPr>
        <w:t xml:space="preserve"> z </w:t>
      </w:r>
      <w:r w:rsidR="009B3AF4" w:rsidRPr="00EC250C">
        <w:rPr>
          <w:shd w:val="clear" w:color="auto" w:fill="FFFFFF"/>
        </w:rPr>
        <w:t>mężczyznami, państwo nie reaguje też odpowiednio na dotyczące kobiet</w:t>
      </w:r>
      <w:r w:rsidR="00CC4D88" w:rsidRPr="00EC250C">
        <w:rPr>
          <w:shd w:val="clear" w:color="auto" w:fill="FFFFFF"/>
        </w:rPr>
        <w:t xml:space="preserve"> </w:t>
      </w:r>
      <w:r w:rsidR="009D712A" w:rsidRPr="00EC250C">
        <w:rPr>
          <w:shd w:val="clear" w:color="auto" w:fill="FFFFFF"/>
        </w:rPr>
        <w:t>problemy ochrony zdrowia</w:t>
      </w:r>
      <w:r w:rsidR="00992FD0" w:rsidRPr="00EC250C">
        <w:rPr>
          <w:shd w:val="clear" w:color="auto" w:fill="FFFFFF"/>
        </w:rPr>
        <w:t xml:space="preserve"> i </w:t>
      </w:r>
      <w:r w:rsidR="009D712A" w:rsidRPr="00EC250C">
        <w:rPr>
          <w:shd w:val="clear" w:color="auto" w:fill="FFFFFF"/>
        </w:rPr>
        <w:t>życia</w:t>
      </w:r>
      <w:r w:rsidR="00B473F5" w:rsidRPr="00EC250C">
        <w:rPr>
          <w:shd w:val="clear" w:color="auto" w:fill="FFFFFF"/>
        </w:rPr>
        <w:t>.</w:t>
      </w:r>
    </w:p>
    <w:p w14:paraId="2CFC2602" w14:textId="77777777" w:rsidR="0079072C" w:rsidRPr="00EC250C" w:rsidRDefault="003A7F61" w:rsidP="00D131FA">
      <w:pPr>
        <w:pStyle w:val="Styl1"/>
      </w:pPr>
      <w:r w:rsidRPr="00EC250C">
        <w:rPr>
          <w:shd w:val="clear" w:color="auto" w:fill="FFFFFF"/>
        </w:rPr>
        <w:t>28 listopada 1918</w:t>
      </w:r>
      <w:r w:rsidR="00C91F6E" w:rsidRPr="00EC250C">
        <w:rPr>
          <w:shd w:val="clear" w:color="auto" w:fill="FFFFFF"/>
        </w:rPr>
        <w:t> r.</w:t>
      </w:r>
      <w:r w:rsidRPr="00EC250C">
        <w:rPr>
          <w:shd w:val="clear" w:color="auto" w:fill="FFFFFF"/>
        </w:rPr>
        <w:t xml:space="preserve"> n</w:t>
      </w:r>
      <w:r w:rsidR="0079072C" w:rsidRPr="00EC250C">
        <w:rPr>
          <w:shd w:val="clear" w:color="auto" w:fill="FFFFFF"/>
        </w:rPr>
        <w:t xml:space="preserve">aczelnik </w:t>
      </w:r>
      <w:r w:rsidR="0079072C" w:rsidRPr="00EC250C">
        <w:t>Józef Piłsudski stwierdził</w:t>
      </w:r>
      <w:r w:rsidR="00992FD0" w:rsidRPr="00EC250C">
        <w:t xml:space="preserve"> w </w:t>
      </w:r>
      <w:r w:rsidR="0079072C" w:rsidRPr="00EC250C">
        <w:t>dekrecie, że: „Wyborcą do Sejmu jest każdy obywatel Państwa bez różnicy płci” oraz że: „Wybieralni do Sejmu są wszyscy obywatele/obywatelki państwa posiadający czynne prawo wyborcze”.</w:t>
      </w:r>
    </w:p>
    <w:p w14:paraId="604AE893" w14:textId="77777777" w:rsidR="0079072C" w:rsidRPr="00EC250C" w:rsidRDefault="00CF6FDF" w:rsidP="00D131FA">
      <w:pPr>
        <w:pStyle w:val="Styl1"/>
      </w:pPr>
      <w:r w:rsidRPr="00EC250C">
        <w:t>–</w:t>
      </w:r>
      <w:r w:rsidR="009B3AF4" w:rsidRPr="00EC250C">
        <w:t xml:space="preserve"> </w:t>
      </w:r>
      <w:r w:rsidR="0079072C" w:rsidRPr="00EC250C">
        <w:t xml:space="preserve">Polki uzyskały </w:t>
      </w:r>
      <w:r w:rsidR="00DF47F5" w:rsidRPr="00EC250C">
        <w:t xml:space="preserve">prawa wyborcze </w:t>
      </w:r>
      <w:r w:rsidR="0079072C" w:rsidRPr="00EC250C">
        <w:t>jako jedne</w:t>
      </w:r>
      <w:r w:rsidR="00992FD0" w:rsidRPr="00EC250C">
        <w:t xml:space="preserve"> z </w:t>
      </w:r>
      <w:r w:rsidR="0079072C" w:rsidRPr="00EC250C">
        <w:t>pierwszych</w:t>
      </w:r>
      <w:r w:rsidR="00992FD0" w:rsidRPr="00EC250C">
        <w:t xml:space="preserve"> w </w:t>
      </w:r>
      <w:r w:rsidR="0079072C" w:rsidRPr="00EC250C">
        <w:t>Europie. I chociaż nie oznaczało to rozwiązania wielu ważnych problemów – np. dominacji</w:t>
      </w:r>
      <w:r w:rsidR="00992FD0" w:rsidRPr="00EC250C">
        <w:t xml:space="preserve"> w </w:t>
      </w:r>
      <w:r w:rsidR="0079072C" w:rsidRPr="00EC250C">
        <w:t>społeczeństwie postaw patriarchalnych czy spychania kobiet na margines życia publicznego – to</w:t>
      </w:r>
      <w:r w:rsidR="00992FD0" w:rsidRPr="00EC250C">
        <w:t xml:space="preserve"> i </w:t>
      </w:r>
      <w:r w:rsidR="0079072C" w:rsidRPr="00EC250C">
        <w:t>tak jesteśmy</w:t>
      </w:r>
      <w:r w:rsidR="00992FD0" w:rsidRPr="00EC250C">
        <w:t xml:space="preserve"> z </w:t>
      </w:r>
      <w:r w:rsidR="0079072C" w:rsidRPr="00EC250C">
        <w:t>tego faktu dumni – stwierdził RPO</w:t>
      </w:r>
      <w:r w:rsidR="00992FD0" w:rsidRPr="00EC250C">
        <w:t xml:space="preserve"> w </w:t>
      </w:r>
      <w:r w:rsidR="0079072C" w:rsidRPr="00EC250C">
        <w:t>specjalnym oświadczeniu</w:t>
      </w:r>
      <w:r w:rsidR="00992FD0" w:rsidRPr="00EC250C">
        <w:t xml:space="preserve"> z </w:t>
      </w:r>
      <w:r w:rsidR="0079072C" w:rsidRPr="00EC250C">
        <w:t>okazji stulecia tego wydarzenia</w:t>
      </w:r>
      <w:r w:rsidR="0079072C" w:rsidRPr="00EC250C">
        <w:rPr>
          <w:rStyle w:val="Odwoanieprzypisudolnego"/>
          <w:rFonts w:ascii="Open Sans Regular" w:hAnsi="Open Sans Regular"/>
          <w:color w:val="18223E"/>
          <w:spacing w:val="0"/>
          <w:sz w:val="21"/>
        </w:rPr>
        <w:footnoteReference w:id="63"/>
      </w:r>
      <w:r w:rsidR="0079072C" w:rsidRPr="00EC250C">
        <w:t>.</w:t>
      </w:r>
    </w:p>
    <w:p w14:paraId="34C9450A" w14:textId="77777777" w:rsidR="003A7F61" w:rsidRPr="00EC250C" w:rsidRDefault="003A7F61" w:rsidP="00D131FA">
      <w:pPr>
        <w:pStyle w:val="Styl1"/>
      </w:pPr>
      <w:r w:rsidRPr="00EC250C">
        <w:t>Do rozwiązania pozostają jednak nadal następujące kwestie</w:t>
      </w:r>
      <w:r w:rsidRPr="00EC250C">
        <w:rPr>
          <w:vertAlign w:val="superscript"/>
        </w:rPr>
        <w:footnoteReference w:id="64"/>
      </w:r>
      <w:r w:rsidRPr="00EC250C">
        <w:t>:</w:t>
      </w:r>
    </w:p>
    <w:p w14:paraId="286A7138" w14:textId="77777777" w:rsidR="009D712A" w:rsidRPr="00EC250C" w:rsidRDefault="009D712A" w:rsidP="006C70B7">
      <w:pPr>
        <w:pStyle w:val="Styl1"/>
        <w:numPr>
          <w:ilvl w:val="0"/>
          <w:numId w:val="133"/>
        </w:numPr>
        <w:ind w:left="360"/>
      </w:pPr>
      <w:r w:rsidRPr="00EC250C">
        <w:t>zatrudnienie: to nadal kobiety</w:t>
      </w:r>
      <w:r w:rsidR="00E811BA" w:rsidRPr="00EC250C">
        <w:t xml:space="preserve"> </w:t>
      </w:r>
      <w:r w:rsidRPr="00EC250C">
        <w:t>częściej wykonują nieodpłatną pracą</w:t>
      </w:r>
      <w:r w:rsidR="00992FD0" w:rsidRPr="00EC250C">
        <w:t xml:space="preserve"> w </w:t>
      </w:r>
      <w:r w:rsidRPr="00EC250C">
        <w:t>domu, opiekują się starzejącymi się rodzicami, nadal zarabiają mniej niż mężczyźni. Wszystko to razem skutkuje niższymi</w:t>
      </w:r>
      <w:r w:rsidR="00CC4D88" w:rsidRPr="00EC250C">
        <w:t xml:space="preserve"> </w:t>
      </w:r>
      <w:r w:rsidRPr="00EC250C">
        <w:t>emeryturami;</w:t>
      </w:r>
    </w:p>
    <w:p w14:paraId="168629FE" w14:textId="77777777" w:rsidR="009D712A" w:rsidRPr="00EC250C" w:rsidRDefault="009D712A" w:rsidP="006C70B7">
      <w:pPr>
        <w:pStyle w:val="Styl1"/>
        <w:numPr>
          <w:ilvl w:val="0"/>
          <w:numId w:val="134"/>
        </w:numPr>
        <w:ind w:left="360"/>
      </w:pPr>
      <w:r w:rsidRPr="00EC250C">
        <w:t>życie publiczne: kobiety mają utrudniony dostęp do funkcji publicznych, dla przykładu:</w:t>
      </w:r>
      <w:r w:rsidR="00992FD0" w:rsidRPr="00EC250C">
        <w:t xml:space="preserve"> w </w:t>
      </w:r>
      <w:r w:rsidRPr="00EC250C">
        <w:t>Senacie jest ich jedynie 13%, system kwot nadal nie doprowadził do tzw. masy krytycznej</w:t>
      </w:r>
      <w:r w:rsidR="00992FD0" w:rsidRPr="00EC250C">
        <w:t xml:space="preserve"> w </w:t>
      </w:r>
      <w:r w:rsidRPr="00EC250C">
        <w:t>Sejmie,</w:t>
      </w:r>
      <w:r w:rsidR="00992FD0" w:rsidRPr="00EC250C">
        <w:t xml:space="preserve"> a </w:t>
      </w:r>
      <w:r w:rsidRPr="00EC250C">
        <w:t>kobiety są umieszczane na tzw. miejscach niebiorących</w:t>
      </w:r>
      <w:r w:rsidR="00CF6FDF" w:rsidRPr="00EC250C">
        <w:t>;</w:t>
      </w:r>
    </w:p>
    <w:p w14:paraId="3405B50A" w14:textId="77777777" w:rsidR="003A7F61" w:rsidRPr="00EC250C" w:rsidRDefault="003A7F61" w:rsidP="006C70B7">
      <w:pPr>
        <w:pStyle w:val="Styl1"/>
        <w:numPr>
          <w:ilvl w:val="0"/>
          <w:numId w:val="134"/>
        </w:numPr>
        <w:ind w:left="360"/>
      </w:pPr>
      <w:r w:rsidRPr="00EC250C">
        <w:t>przemoc wobec kobiet</w:t>
      </w:r>
      <w:r w:rsidR="00992FD0" w:rsidRPr="00EC250C">
        <w:t xml:space="preserve"> i </w:t>
      </w:r>
      <w:r w:rsidRPr="00EC250C">
        <w:t>przemoc</w:t>
      </w:r>
      <w:r w:rsidR="00992FD0" w:rsidRPr="00EC250C">
        <w:t xml:space="preserve"> w </w:t>
      </w:r>
      <w:r w:rsidRPr="00EC250C">
        <w:t>rodzinie: brakuje skutecznych mechanizmów izolacji sprawcy od ofiary, policjanci</w:t>
      </w:r>
      <w:r w:rsidR="00CC4D88" w:rsidRPr="00EC250C">
        <w:t xml:space="preserve"> </w:t>
      </w:r>
      <w:r w:rsidRPr="00EC250C">
        <w:t>powinni wydawać nakaz opuszczeni</w:t>
      </w:r>
      <w:r w:rsidR="00E73BE3" w:rsidRPr="00EC250C">
        <w:t>a</w:t>
      </w:r>
      <w:r w:rsidRPr="00EC250C">
        <w:t xml:space="preserve"> lokalu przez sprawcę przemocy;</w:t>
      </w:r>
    </w:p>
    <w:p w14:paraId="59FF0A36" w14:textId="77777777" w:rsidR="003A7F61" w:rsidRPr="00EC250C" w:rsidRDefault="003A7F61" w:rsidP="006C70B7">
      <w:pPr>
        <w:pStyle w:val="Styl1"/>
        <w:numPr>
          <w:ilvl w:val="0"/>
          <w:numId w:val="134"/>
        </w:numPr>
        <w:ind w:left="360"/>
      </w:pPr>
      <w:r w:rsidRPr="00EC250C">
        <w:t>zdrowie:</w:t>
      </w:r>
      <w:r w:rsidR="00523F6E" w:rsidRPr="00EC250C">
        <w:t xml:space="preserve"> </w:t>
      </w:r>
      <w:r w:rsidRPr="00EC250C">
        <w:t>są województwa, gdzie ponad 90</w:t>
      </w:r>
      <w:r w:rsidR="00CE7208" w:rsidRPr="00EC250C">
        <w:t>%</w:t>
      </w:r>
      <w:r w:rsidRPr="00EC250C">
        <w:t xml:space="preserve"> kobiet nie dostaje znieczulenia porodowego, co jest torturą</w:t>
      </w:r>
      <w:r w:rsidR="00992FD0" w:rsidRPr="00EC250C">
        <w:t xml:space="preserve"> w </w:t>
      </w:r>
      <w:r w:rsidRPr="00EC250C">
        <w:t>świetle standardów międzynarodowych;</w:t>
      </w:r>
    </w:p>
    <w:p w14:paraId="2837A1B2" w14:textId="77777777" w:rsidR="003A7F61" w:rsidRPr="00EC250C" w:rsidRDefault="003A7F61" w:rsidP="006C70B7">
      <w:pPr>
        <w:pStyle w:val="Styl1"/>
        <w:numPr>
          <w:ilvl w:val="0"/>
          <w:numId w:val="134"/>
        </w:numPr>
        <w:ind w:left="360"/>
      </w:pPr>
      <w:r w:rsidRPr="00EC250C">
        <w:t>prawa reprodukcyjne:</w:t>
      </w:r>
      <w:r w:rsidR="00992FD0" w:rsidRPr="00EC250C">
        <w:t xml:space="preserve"> w </w:t>
      </w:r>
      <w:r w:rsidRPr="00EC250C">
        <w:t>szkołach nie ma edukacji seksualnej,</w:t>
      </w:r>
      <w:r w:rsidR="00992FD0" w:rsidRPr="00EC250C">
        <w:t xml:space="preserve"> a </w:t>
      </w:r>
      <w:r w:rsidR="001D5C93" w:rsidRPr="00EC250C">
        <w:t xml:space="preserve">treści </w:t>
      </w:r>
      <w:r w:rsidR="00CE7208" w:rsidRPr="00EC250C">
        <w:t>zawarte</w:t>
      </w:r>
      <w:r w:rsidR="00992FD0" w:rsidRPr="00EC250C">
        <w:t xml:space="preserve"> w </w:t>
      </w:r>
      <w:r w:rsidRPr="00EC250C">
        <w:t>podręcznik</w:t>
      </w:r>
      <w:r w:rsidR="00CE7208" w:rsidRPr="00EC250C">
        <w:t>ach nie oddają stanu aktualnej wiedzy</w:t>
      </w:r>
      <w:r w:rsidRPr="00EC250C">
        <w:t xml:space="preserve">, kobiety nie maja </w:t>
      </w:r>
      <w:r w:rsidR="00CE7208" w:rsidRPr="00EC250C">
        <w:t xml:space="preserve">realnego </w:t>
      </w:r>
      <w:r w:rsidRPr="00EC250C">
        <w:t>prawa do antykoncepcji, odmawia się im przerwania ciąży, nawet</w:t>
      </w:r>
      <w:r w:rsidR="00992FD0" w:rsidRPr="00EC250C">
        <w:t xml:space="preserve"> w </w:t>
      </w:r>
      <w:r w:rsidRPr="00EC250C">
        <w:t>legalnych trzech przypadkach, ponadto odebrano im prawo dostępu do ich własnych zapłodnionych zarodków, gdy nie mają męża czy partnera;</w:t>
      </w:r>
    </w:p>
    <w:p w14:paraId="7942E89A" w14:textId="77777777" w:rsidR="003A7F61" w:rsidRPr="00EC250C" w:rsidRDefault="003A7F61" w:rsidP="006C70B7">
      <w:pPr>
        <w:pStyle w:val="Styl1"/>
        <w:numPr>
          <w:ilvl w:val="0"/>
          <w:numId w:val="134"/>
        </w:numPr>
        <w:ind w:left="360"/>
      </w:pPr>
      <w:r w:rsidRPr="00EC250C">
        <w:t>alimenty: to jest problem kobiet, bo 96</w:t>
      </w:r>
      <w:r w:rsidR="00CE7208" w:rsidRPr="00EC250C">
        <w:t>%</w:t>
      </w:r>
      <w:r w:rsidRPr="00EC250C">
        <w:t xml:space="preserve"> nie płacących na dzieci to ojcowie, nadal wiele matek pozostaje bez pomocy państwa</w:t>
      </w:r>
      <w:r w:rsidR="00CF6FDF" w:rsidRPr="00EC250C">
        <w:t>.</w:t>
      </w:r>
    </w:p>
    <w:p w14:paraId="16E24BF7" w14:textId="24197654" w:rsidR="000F61CE" w:rsidRPr="00EC250C" w:rsidRDefault="000F61CE" w:rsidP="00D131FA">
      <w:pPr>
        <w:pStyle w:val="ODESANIE"/>
        <w:jc w:val="both"/>
      </w:pPr>
      <w:bookmarkStart w:id="71" w:name="_Toc513750439"/>
      <w:bookmarkStart w:id="72" w:name="_Toc514830896"/>
      <w:r w:rsidRPr="00EC250C">
        <w:lastRenderedPageBreak/>
        <w:t>Ochrona praw reprodukcyjnych</w:t>
      </w:r>
      <w:bookmarkEnd w:id="71"/>
      <w:r w:rsidRPr="00EC250C">
        <w:t xml:space="preserve"> – patrz </w:t>
      </w:r>
      <w:hyperlink w:anchor="_Art._68_ust._1" w:history="1">
        <w:r w:rsidRPr="00EC250C">
          <w:t>art. 68 ust. 1-3 (Prawo do ochrony zdrowia</w:t>
        </w:r>
        <w:r w:rsidR="00992FD0" w:rsidRPr="00EC250C">
          <w:t xml:space="preserve"> i </w:t>
        </w:r>
        <w:r w:rsidRPr="00EC250C">
          <w:t>równego dostępu do świadczeń opieki zdrowotnej)</w:t>
        </w:r>
      </w:hyperlink>
    </w:p>
    <w:p w14:paraId="7F24E9F8" w14:textId="1A8EC4DB" w:rsidR="00C84CC0" w:rsidRPr="00EC250C" w:rsidRDefault="00C84CC0" w:rsidP="00EC250C">
      <w:pPr>
        <w:pStyle w:val="Nagwek8"/>
        <w:rPr>
          <w:spacing w:val="0"/>
        </w:rPr>
      </w:pPr>
      <w:r w:rsidRPr="00EC250C">
        <w:t>Niedokończona emancypacja? 100 lat praw wyborczych kobiet. Kongerencja naukowa RPO i Uniwersytetu SWPS</w:t>
      </w:r>
    </w:p>
    <w:p w14:paraId="7FDD4D61" w14:textId="42868CAE" w:rsidR="00C84CC0" w:rsidRPr="00EC250C" w:rsidRDefault="00C84CC0" w:rsidP="00C84CC0">
      <w:pPr>
        <w:pStyle w:val="Styl2"/>
        <w:rPr>
          <w:szCs w:val="24"/>
        </w:rPr>
      </w:pPr>
      <w:r w:rsidRPr="00EC250C">
        <w:rPr>
          <w:szCs w:val="24"/>
          <w:shd w:val="clear" w:color="auto" w:fill="FFFFFF"/>
        </w:rPr>
        <w:t xml:space="preserve">22 listopada 2018 r. odbyła się konferencja "Niedokończona emancypacja? 100 lat praw wyborczych kobiet", współorganizowana przez RPO i SWPS. Prezentowano </w:t>
      </w:r>
      <w:r w:rsidRPr="00EC250C">
        <w:rPr>
          <w:szCs w:val="24"/>
        </w:rPr>
        <w:t>w jej trakcie wyniki badań socjologicznych przeprowadzonych prze Kantar Public. Wynika z nich, że w ciągu ostatnich lat przekonania społeczne przesuwają się  w kierunku konserwatywnym, akcentującym odmienną - wobec mężczyzn - rolę społeczną i obywatelską kobiet, ich odmienne preferencje, zainteresowania i zdolności. Z drugiej strony Polacy nie mają jednak uprzedzeń wobec mechanizmów antydyskryminacyjnych w polityce (kwoty i parytety).</w:t>
      </w:r>
      <w:r w:rsidRPr="00EC250C">
        <w:rPr>
          <w:rStyle w:val="Odwoanieprzypisudolnego"/>
          <w:szCs w:val="24"/>
        </w:rPr>
        <w:footnoteReference w:id="65"/>
      </w:r>
    </w:p>
    <w:p w14:paraId="02890B7D" w14:textId="77777777" w:rsidR="00CC64FD" w:rsidRPr="00EC250C" w:rsidRDefault="0074144A" w:rsidP="00EC79EB">
      <w:pPr>
        <w:pStyle w:val="Nagwek4"/>
        <w:rPr>
          <w:bdr w:val="none" w:sz="0" w:space="0" w:color="auto" w:frame="1"/>
        </w:rPr>
      </w:pPr>
      <w:bookmarkStart w:id="73" w:name="_Toc11247555"/>
      <w:bookmarkEnd w:id="72"/>
      <w:r w:rsidRPr="00EC250C">
        <w:rPr>
          <w:bdr w:val="none" w:sz="0" w:space="0" w:color="auto" w:frame="1"/>
        </w:rPr>
        <w:t>Nieskuteczne zapobieganie p</w:t>
      </w:r>
      <w:r w:rsidR="00CC64FD" w:rsidRPr="00EC250C">
        <w:rPr>
          <w:bdr w:val="none" w:sz="0" w:space="0" w:color="auto" w:frame="1"/>
        </w:rPr>
        <w:t>rzemoc</w:t>
      </w:r>
      <w:r w:rsidRPr="00EC250C">
        <w:rPr>
          <w:bdr w:val="none" w:sz="0" w:space="0" w:color="auto" w:frame="1"/>
        </w:rPr>
        <w:t>y</w:t>
      </w:r>
      <w:r w:rsidR="00CC64FD" w:rsidRPr="00EC250C">
        <w:rPr>
          <w:bdr w:val="none" w:sz="0" w:space="0" w:color="auto" w:frame="1"/>
        </w:rPr>
        <w:t xml:space="preserve"> domow</w:t>
      </w:r>
      <w:r w:rsidRPr="00EC250C">
        <w:rPr>
          <w:bdr w:val="none" w:sz="0" w:space="0" w:color="auto" w:frame="1"/>
        </w:rPr>
        <w:t>ej</w:t>
      </w:r>
      <w:bookmarkEnd w:id="73"/>
    </w:p>
    <w:p w14:paraId="5E8A7C32" w14:textId="77777777" w:rsidR="00B473F5" w:rsidRPr="00EC250C" w:rsidRDefault="00CB4CFE" w:rsidP="00D131FA">
      <w:pPr>
        <w:pStyle w:val="Problemczowieka"/>
        <w:jc w:val="both"/>
        <w:rPr>
          <w:rFonts w:eastAsiaTheme="majorEastAsia"/>
        </w:rPr>
      </w:pPr>
      <w:r w:rsidRPr="00EC250C">
        <w:rPr>
          <w:rFonts w:eastAsiaTheme="majorEastAsia"/>
        </w:rPr>
        <w:t>Trzeba lepiej pomagać ofiarom przemocy. Sprawca przemocy musi natychmiast dostawać nakaz opuszczenia mieszkania, które dzieli</w:t>
      </w:r>
      <w:r w:rsidR="00992FD0" w:rsidRPr="00EC250C">
        <w:rPr>
          <w:rFonts w:eastAsiaTheme="majorEastAsia"/>
        </w:rPr>
        <w:t xml:space="preserve"> z </w:t>
      </w:r>
      <w:r w:rsidRPr="00EC250C">
        <w:rPr>
          <w:rFonts w:eastAsiaTheme="majorEastAsia"/>
        </w:rPr>
        <w:t>ofiarą</w:t>
      </w:r>
      <w:r w:rsidRPr="00EC250C">
        <w:t xml:space="preserve">. </w:t>
      </w:r>
      <w:r w:rsidRPr="00EC250C">
        <w:rPr>
          <w:rFonts w:eastAsiaTheme="majorEastAsia"/>
        </w:rPr>
        <w:t xml:space="preserve">Definicja przemocy powinna obejmować wszelkie jej </w:t>
      </w:r>
      <w:r w:rsidR="00E73BE3" w:rsidRPr="00EC250C">
        <w:rPr>
          <w:rFonts w:eastAsiaTheme="majorEastAsia"/>
        </w:rPr>
        <w:t>przejawy</w:t>
      </w:r>
      <w:r w:rsidRPr="00EC250C">
        <w:rPr>
          <w:rFonts w:eastAsiaTheme="majorEastAsia"/>
        </w:rPr>
        <w:t>, także ekonomiczną</w:t>
      </w:r>
      <w:r w:rsidRPr="00EC250C">
        <w:t xml:space="preserve">. </w:t>
      </w:r>
      <w:r w:rsidRPr="00EC250C">
        <w:rPr>
          <w:rFonts w:eastAsiaTheme="majorEastAsia"/>
        </w:rPr>
        <w:t>Państwo musi zapewnić ochronę również ofiarom jednorazowego aktu przemocy</w:t>
      </w:r>
      <w:r w:rsidR="00B473F5" w:rsidRPr="00EC250C">
        <w:rPr>
          <w:rFonts w:eastAsiaTheme="majorEastAsia"/>
        </w:rPr>
        <w:t>.</w:t>
      </w:r>
    </w:p>
    <w:p w14:paraId="01CB7671" w14:textId="77777777" w:rsidR="00AE2CEA" w:rsidRPr="00EC250C" w:rsidRDefault="00CB4CFE" w:rsidP="00D131FA">
      <w:pPr>
        <w:pStyle w:val="Styl1"/>
      </w:pPr>
      <w:r w:rsidRPr="00EC250C">
        <w:t>Takie są główne postulaty RPO</w:t>
      </w:r>
      <w:r w:rsidR="00696441" w:rsidRPr="00EC250C">
        <w:t>, nad którymi pracował</w:t>
      </w:r>
      <w:r w:rsidR="00992FD0" w:rsidRPr="00EC250C">
        <w:t xml:space="preserve"> w </w:t>
      </w:r>
      <w:r w:rsidR="00696441" w:rsidRPr="00EC250C">
        <w:t>2018</w:t>
      </w:r>
      <w:r w:rsidR="00C91F6E" w:rsidRPr="00EC250C">
        <w:t> r.</w:t>
      </w:r>
      <w:r w:rsidR="00696441" w:rsidRPr="00EC250C">
        <w:t xml:space="preserve"> O</w:t>
      </w:r>
      <w:r w:rsidR="008B2B7E" w:rsidRPr="00EC250C">
        <w:t>s</w:t>
      </w:r>
      <w:r w:rsidR="00696441" w:rsidRPr="00EC250C">
        <w:t>t</w:t>
      </w:r>
      <w:r w:rsidR="008B2B7E" w:rsidRPr="00EC250C">
        <w:t>at</w:t>
      </w:r>
      <w:r w:rsidR="00696441" w:rsidRPr="00EC250C">
        <w:t xml:space="preserve">ecznie </w:t>
      </w:r>
      <w:r w:rsidR="008B2B7E" w:rsidRPr="00EC250C">
        <w:t>s</w:t>
      </w:r>
      <w:r w:rsidR="00696441" w:rsidRPr="00EC250C">
        <w:t>formułował je</w:t>
      </w:r>
      <w:r w:rsidR="00992FD0" w:rsidRPr="00EC250C">
        <w:t xml:space="preserve"> w </w:t>
      </w:r>
      <w:r w:rsidR="00696441" w:rsidRPr="00EC250C">
        <w:t>styczniu 2019</w:t>
      </w:r>
      <w:r w:rsidR="00C91F6E" w:rsidRPr="00EC250C">
        <w:t> r.</w:t>
      </w:r>
      <w:r w:rsidR="00696441" w:rsidRPr="00EC250C">
        <w:rPr>
          <w:rStyle w:val="Odwoanieprzypisudolnego"/>
        </w:rPr>
        <w:footnoteReference w:id="66"/>
      </w:r>
      <w:r w:rsidR="00AE2CEA" w:rsidRPr="00EC250C">
        <w:t xml:space="preserve"> Rzecznik Praw Obywatelskich formułuje je także jako organ badający, jak państwo wykonuje zobowiązania na podstawie umów międzynarodowych –</w:t>
      </w:r>
      <w:r w:rsidR="00992FD0" w:rsidRPr="00EC250C">
        <w:t xml:space="preserve"> w </w:t>
      </w:r>
      <w:r w:rsidR="00AE2CEA" w:rsidRPr="00EC250C">
        <w:t>tym przypadku ratyfikowanej przez nasz kraj Konwencji Stambulskiej (Konwencja Rady Europy</w:t>
      </w:r>
      <w:r w:rsidR="00992FD0" w:rsidRPr="00EC250C">
        <w:t xml:space="preserve"> o </w:t>
      </w:r>
      <w:r w:rsidR="00AE2CEA" w:rsidRPr="00EC250C">
        <w:t>zapobieganiu</w:t>
      </w:r>
      <w:r w:rsidR="00992FD0" w:rsidRPr="00EC250C">
        <w:t xml:space="preserve"> i </w:t>
      </w:r>
      <w:r w:rsidR="00AE2CEA" w:rsidRPr="00EC250C">
        <w:t>zwalczaniu przemocy wobec kobiet</w:t>
      </w:r>
      <w:r w:rsidR="00992FD0" w:rsidRPr="00EC250C">
        <w:t xml:space="preserve"> i </w:t>
      </w:r>
      <w:r w:rsidR="00AE2CEA" w:rsidRPr="00EC250C">
        <w:t>przemocy domowej)</w:t>
      </w:r>
      <w:r w:rsidR="00AE2CEA" w:rsidRPr="00EC250C">
        <w:rPr>
          <w:rStyle w:val="Odwoanieprzypisudolnego"/>
        </w:rPr>
        <w:footnoteReference w:id="67"/>
      </w:r>
      <w:r w:rsidR="00AE2CEA" w:rsidRPr="00EC250C">
        <w:t>.</w:t>
      </w:r>
    </w:p>
    <w:p w14:paraId="758B8339" w14:textId="77777777" w:rsidR="000F3BDA" w:rsidRPr="00EC250C" w:rsidRDefault="000F3BDA" w:rsidP="00EC250C">
      <w:pPr>
        <w:pStyle w:val="Nagwek5"/>
      </w:pPr>
      <w:r w:rsidRPr="00EC250C">
        <w:t>Postulowane zmiany</w:t>
      </w:r>
      <w:r w:rsidR="00992FD0" w:rsidRPr="00EC250C">
        <w:t xml:space="preserve"> w </w:t>
      </w:r>
      <w:r w:rsidRPr="00EC250C">
        <w:t>ustawie</w:t>
      </w:r>
      <w:r w:rsidR="00992FD0" w:rsidRPr="00EC250C">
        <w:t xml:space="preserve"> o </w:t>
      </w:r>
      <w:r w:rsidRPr="00EC250C">
        <w:t>przemocy</w:t>
      </w:r>
      <w:r w:rsidR="00992FD0" w:rsidRPr="00EC250C">
        <w:t xml:space="preserve"> w </w:t>
      </w:r>
      <w:r w:rsidRPr="00EC250C">
        <w:t>rodzinie</w:t>
      </w:r>
    </w:p>
    <w:p w14:paraId="04360811" w14:textId="77777777" w:rsidR="00B473F5" w:rsidRPr="00EC250C" w:rsidRDefault="000F3BDA" w:rsidP="00D131FA">
      <w:pPr>
        <w:pStyle w:val="Problemczowieka"/>
        <w:jc w:val="both"/>
        <w:rPr>
          <w:bdr w:val="none" w:sz="0" w:space="0" w:color="auto" w:frame="1"/>
        </w:rPr>
      </w:pPr>
      <w:r w:rsidRPr="00EC250C">
        <w:rPr>
          <w:bdr w:val="none" w:sz="0" w:space="0" w:color="auto" w:frame="1"/>
        </w:rPr>
        <w:t>Pojęcie przemocy</w:t>
      </w:r>
      <w:r w:rsidR="00992FD0" w:rsidRPr="00EC250C">
        <w:rPr>
          <w:bdr w:val="none" w:sz="0" w:space="0" w:color="auto" w:frame="1"/>
        </w:rPr>
        <w:t xml:space="preserve"> w </w:t>
      </w:r>
      <w:r w:rsidRPr="00EC250C">
        <w:rPr>
          <w:bdr w:val="none" w:sz="0" w:space="0" w:color="auto" w:frame="1"/>
        </w:rPr>
        <w:t>rodzinie nie obejmuje dziś przemocy ekonomicznej, nie dotyczy też relacji osób, które nie są</w:t>
      </w:r>
      <w:r w:rsidR="00992FD0" w:rsidRPr="00EC250C">
        <w:rPr>
          <w:bdr w:val="none" w:sz="0" w:space="0" w:color="auto" w:frame="1"/>
        </w:rPr>
        <w:t xml:space="preserve"> w </w:t>
      </w:r>
      <w:r w:rsidRPr="00EC250C">
        <w:rPr>
          <w:bdr w:val="none" w:sz="0" w:space="0" w:color="auto" w:frame="1"/>
        </w:rPr>
        <w:t>stałym związku lub małżeństwie</w:t>
      </w:r>
      <w:r w:rsidR="00992FD0" w:rsidRPr="00EC250C">
        <w:rPr>
          <w:bdr w:val="none" w:sz="0" w:space="0" w:color="auto" w:frame="1"/>
        </w:rPr>
        <w:t xml:space="preserve"> i </w:t>
      </w:r>
      <w:r w:rsidRPr="00EC250C">
        <w:rPr>
          <w:bdr w:val="none" w:sz="0" w:space="0" w:color="auto" w:frame="1"/>
        </w:rPr>
        <w:t>nie mieszkają razem, ale dochodzi między nimi do przemocy</w:t>
      </w:r>
      <w:r w:rsidR="00B473F5" w:rsidRPr="00EC250C">
        <w:rPr>
          <w:bdr w:val="none" w:sz="0" w:space="0" w:color="auto" w:frame="1"/>
        </w:rPr>
        <w:t>.</w:t>
      </w:r>
    </w:p>
    <w:p w14:paraId="27E01D03" w14:textId="77777777" w:rsidR="000F3BDA" w:rsidRPr="00EC250C" w:rsidRDefault="00BE1E83" w:rsidP="00D131FA">
      <w:pPr>
        <w:pStyle w:val="Styl1"/>
      </w:pPr>
      <w:r w:rsidRPr="00EC250C">
        <w:t>Pracując nad generalnym wystąpieniem</w:t>
      </w:r>
      <w:r w:rsidR="00992FD0" w:rsidRPr="00EC250C">
        <w:t xml:space="preserve"> w </w:t>
      </w:r>
      <w:r w:rsidRPr="00EC250C">
        <w:t>sprawie przemocy domowej</w:t>
      </w:r>
      <w:r w:rsidR="00992FD0" w:rsidRPr="00EC250C">
        <w:t xml:space="preserve"> w </w:t>
      </w:r>
      <w:r w:rsidR="006D314A" w:rsidRPr="00EC250C">
        <w:t>2018</w:t>
      </w:r>
      <w:r w:rsidR="00C91F6E" w:rsidRPr="00EC250C">
        <w:t> r.</w:t>
      </w:r>
      <w:r w:rsidR="006D314A" w:rsidRPr="00EC250C">
        <w:t xml:space="preserve"> </w:t>
      </w:r>
      <w:r w:rsidR="000F3BDA" w:rsidRPr="00EC250C">
        <w:t xml:space="preserve">Rzecznik Praw Obywatelskich </w:t>
      </w:r>
      <w:r w:rsidR="006D314A" w:rsidRPr="00EC250C">
        <w:t xml:space="preserve">przekazał </w:t>
      </w:r>
      <w:r w:rsidR="000F3BDA" w:rsidRPr="00EC250C">
        <w:t>Ministr</w:t>
      </w:r>
      <w:r w:rsidR="006D314A" w:rsidRPr="00EC250C">
        <w:t>owi</w:t>
      </w:r>
      <w:r w:rsidR="000F3BDA" w:rsidRPr="00EC250C">
        <w:t xml:space="preserve"> Rodziny, Pracy</w:t>
      </w:r>
      <w:r w:rsidR="00992FD0" w:rsidRPr="00EC250C">
        <w:t xml:space="preserve"> i </w:t>
      </w:r>
      <w:r w:rsidR="000F3BDA" w:rsidRPr="00EC250C">
        <w:t xml:space="preserve">Polityki Społecznej </w:t>
      </w:r>
      <w:r w:rsidR="006D314A" w:rsidRPr="00EC250C">
        <w:t>wnioski</w:t>
      </w:r>
      <w:r w:rsidR="00992FD0" w:rsidRPr="00EC250C">
        <w:t xml:space="preserve"> z </w:t>
      </w:r>
      <w:r w:rsidR="006D314A" w:rsidRPr="00EC250C">
        <w:t>opublikowanego</w:t>
      </w:r>
      <w:r w:rsidR="00992FD0" w:rsidRPr="00EC250C">
        <w:t xml:space="preserve"> w </w:t>
      </w:r>
      <w:r w:rsidR="000F3BDA" w:rsidRPr="00EC250C">
        <w:t>lipcu 2018</w:t>
      </w:r>
      <w:r w:rsidR="00C91F6E" w:rsidRPr="00EC250C">
        <w:t> r.</w:t>
      </w:r>
      <w:r w:rsidR="000F3BDA" w:rsidRPr="00EC250C">
        <w:t xml:space="preserve"> </w:t>
      </w:r>
      <w:r w:rsidR="006D314A" w:rsidRPr="00EC250C">
        <w:t xml:space="preserve">raportu </w:t>
      </w:r>
      <w:r w:rsidR="000F3BDA" w:rsidRPr="00EC250C">
        <w:t>Europejski</w:t>
      </w:r>
      <w:r w:rsidR="006D314A" w:rsidRPr="00EC250C">
        <w:t>ego</w:t>
      </w:r>
      <w:r w:rsidR="000F3BDA" w:rsidRPr="00EC250C">
        <w:t xml:space="preserve"> Instytut</w:t>
      </w:r>
      <w:r w:rsidR="006D314A" w:rsidRPr="00EC250C">
        <w:t>u</w:t>
      </w:r>
      <w:r w:rsidR="000F3BDA" w:rsidRPr="00EC250C">
        <w:t xml:space="preserve"> ds. Równości Kobiet</w:t>
      </w:r>
      <w:r w:rsidR="00992FD0" w:rsidRPr="00EC250C">
        <w:t xml:space="preserve"> i </w:t>
      </w:r>
      <w:r w:rsidR="000F3BDA" w:rsidRPr="00EC250C">
        <w:t>Mężczyzn (EIGE)</w:t>
      </w:r>
      <w:r w:rsidR="00992FD0" w:rsidRPr="00EC250C">
        <w:t xml:space="preserve"> o </w:t>
      </w:r>
      <w:r w:rsidR="000F3BDA" w:rsidRPr="00EC250C">
        <w:t>gromadzeniu danych statystycznych dotyczących przemocy</w:t>
      </w:r>
      <w:r w:rsidR="00992FD0" w:rsidRPr="00EC250C">
        <w:t xml:space="preserve"> w </w:t>
      </w:r>
      <w:r w:rsidR="000F3BDA" w:rsidRPr="00EC250C">
        <w:t>bliskich związkach. Eksperci Instytutu przedstawili</w:t>
      </w:r>
      <w:r w:rsidR="00992FD0" w:rsidRPr="00EC250C">
        <w:t xml:space="preserve"> w </w:t>
      </w:r>
      <w:r w:rsidR="006D314A" w:rsidRPr="00EC250C">
        <w:t xml:space="preserve">nim </w:t>
      </w:r>
      <w:r w:rsidR="000F3BDA" w:rsidRPr="00EC250C">
        <w:t>zalecenia dla Polski.</w:t>
      </w:r>
      <w:r w:rsidR="00F176D4" w:rsidRPr="00EC250C">
        <w:t xml:space="preserve"> </w:t>
      </w:r>
      <w:r w:rsidR="006D314A" w:rsidRPr="00EC250C">
        <w:t xml:space="preserve">RPO podzielił stanowisko, że trzeba </w:t>
      </w:r>
      <w:r w:rsidR="000F3BDA" w:rsidRPr="00EC250C">
        <w:lastRenderedPageBreak/>
        <w:t>dostosowa</w:t>
      </w:r>
      <w:r w:rsidR="006D314A" w:rsidRPr="00EC250C">
        <w:t>ć</w:t>
      </w:r>
      <w:r w:rsidR="000F3BDA" w:rsidRPr="00EC250C">
        <w:t xml:space="preserve"> </w:t>
      </w:r>
      <w:r w:rsidR="006D314A" w:rsidRPr="00EC250C">
        <w:t xml:space="preserve">polskie </w:t>
      </w:r>
      <w:r w:rsidR="000F3BDA" w:rsidRPr="00EC250C">
        <w:t>praw</w:t>
      </w:r>
      <w:r w:rsidR="006D314A" w:rsidRPr="00EC250C">
        <w:t>o</w:t>
      </w:r>
      <w:r w:rsidRPr="00EC250C">
        <w:t xml:space="preserve"> </w:t>
      </w:r>
      <w:r w:rsidR="000F3BDA" w:rsidRPr="00EC250C">
        <w:t>do standardów międzynarodowych</w:t>
      </w:r>
      <w:r w:rsidR="00992FD0" w:rsidRPr="00EC250C">
        <w:t xml:space="preserve"> w </w:t>
      </w:r>
      <w:r w:rsidR="000F3BDA" w:rsidRPr="00EC250C">
        <w:t>zakresie dostarczania danych określonych</w:t>
      </w:r>
      <w:r w:rsidR="00992FD0" w:rsidRPr="00EC250C">
        <w:t xml:space="preserve"> w </w:t>
      </w:r>
      <w:r w:rsidR="000F3BDA" w:rsidRPr="00EC250C">
        <w:t>unijnej Dyrektywie</w:t>
      </w:r>
      <w:r w:rsidR="00992FD0" w:rsidRPr="00EC250C">
        <w:t xml:space="preserve"> w </w:t>
      </w:r>
      <w:r w:rsidR="000F3BDA" w:rsidRPr="00EC250C">
        <w:t>s</w:t>
      </w:r>
      <w:r w:rsidRPr="00EC250C">
        <w:t>prawie</w:t>
      </w:r>
      <w:r w:rsidR="000F3BDA" w:rsidRPr="00EC250C">
        <w:t xml:space="preserve"> Praw Ofiar</w:t>
      </w:r>
      <w:r w:rsidR="000F3BDA" w:rsidRPr="00EC250C">
        <w:rPr>
          <w:rStyle w:val="Odwoanieprzypisudolnego"/>
        </w:rPr>
        <w:footnoteReference w:id="68"/>
      </w:r>
      <w:r w:rsidR="000F3BDA" w:rsidRPr="00EC250C">
        <w:t>.</w:t>
      </w:r>
    </w:p>
    <w:p w14:paraId="5BC5D5B4" w14:textId="77777777" w:rsidR="000F3BDA" w:rsidRPr="00EC250C" w:rsidRDefault="000F3BDA" w:rsidP="00D131FA">
      <w:pPr>
        <w:pStyle w:val="Styl1"/>
      </w:pPr>
      <w:r w:rsidRPr="00EC250C">
        <w:t>EIGE definiuje przemoc</w:t>
      </w:r>
      <w:r w:rsidR="00992FD0" w:rsidRPr="00EC250C">
        <w:t xml:space="preserve"> w </w:t>
      </w:r>
      <w:r w:rsidRPr="00EC250C">
        <w:t xml:space="preserve">bliskich związkach </w:t>
      </w:r>
      <w:r w:rsidR="00A30BD4" w:rsidRPr="00EC250C">
        <w:t>– zgodnie</w:t>
      </w:r>
      <w:r w:rsidR="00992FD0" w:rsidRPr="00EC250C">
        <w:t xml:space="preserve"> z </w:t>
      </w:r>
      <w:r w:rsidR="00A30BD4" w:rsidRPr="00EC250C">
        <w:t>Konwencją Stambulską</w:t>
      </w:r>
      <w:r w:rsidR="00026572" w:rsidRPr="00EC250C">
        <w:t xml:space="preserve"> – </w:t>
      </w:r>
      <w:r w:rsidRPr="00EC250C">
        <w:t>jako wszystkie akty przemocy fizycznej, seksualnej, psychicznej lub ekonomicznej, któr</w:t>
      </w:r>
      <w:r w:rsidR="00E73BE3" w:rsidRPr="00EC250C">
        <w:t>e</w:t>
      </w:r>
      <w:r w:rsidRPr="00EC250C">
        <w:t xml:space="preserve"> występuj</w:t>
      </w:r>
      <w:r w:rsidR="00E73BE3" w:rsidRPr="00EC250C">
        <w:t>ą</w:t>
      </w:r>
      <w:r w:rsidRPr="00EC250C">
        <w:t xml:space="preserve"> między byłymi bądź obecnymi małżonkami lub partnerami, niezależnie od tego, czy sprawca mieszka </w:t>
      </w:r>
      <w:r w:rsidR="00992FD0" w:rsidRPr="00EC250C">
        <w:t>z </w:t>
      </w:r>
      <w:r w:rsidRPr="00EC250C">
        <w:t>ofiarą.</w:t>
      </w:r>
      <w:r w:rsidR="00A30BD4" w:rsidRPr="00EC250C">
        <w:t xml:space="preserve"> </w:t>
      </w:r>
      <w:r w:rsidRPr="00EC250C">
        <w:t>Z kolei na gruncie polskiego prawa przemoc</w:t>
      </w:r>
      <w:r w:rsidR="00992FD0" w:rsidRPr="00EC250C">
        <w:t xml:space="preserve"> w </w:t>
      </w:r>
      <w:r w:rsidRPr="00EC250C">
        <w:t>rodzinie jest zdefiniowana</w:t>
      </w:r>
      <w:r w:rsidR="00992FD0" w:rsidRPr="00EC250C">
        <w:t xml:space="preserve"> w </w:t>
      </w:r>
      <w:r w:rsidRPr="00EC250C">
        <w:t>ustawie</w:t>
      </w:r>
      <w:r w:rsidR="00992FD0" w:rsidRPr="00EC250C">
        <w:t xml:space="preserve"> o </w:t>
      </w:r>
      <w:r w:rsidRPr="00EC250C">
        <w:t>przeciwdziałaniu przemocy</w:t>
      </w:r>
      <w:r w:rsidR="00992FD0" w:rsidRPr="00EC250C">
        <w:t xml:space="preserve"> w </w:t>
      </w:r>
      <w:r w:rsidRPr="00EC250C">
        <w:t>rodzinie jako jednorazowe albo powtarzające się umyślne działanie lub zaniechanie naruszające prawa lub dobra osobiste „członka rodziny”,</w:t>
      </w:r>
      <w:r w:rsidR="00992FD0" w:rsidRPr="00EC250C">
        <w:t xml:space="preserve"> w </w:t>
      </w:r>
      <w:r w:rsidRPr="00EC250C">
        <w:t>szczególności narażanie na niebezpieczeństwo utraty życia, zdrowia, naruszanie godności, nietykalności cielesnej, wolności,</w:t>
      </w:r>
      <w:r w:rsidR="00992FD0" w:rsidRPr="00EC250C">
        <w:t xml:space="preserve"> w </w:t>
      </w:r>
      <w:r w:rsidRPr="00EC250C">
        <w:t>tym wolności seksualnej, powodujące szkody</w:t>
      </w:r>
      <w:r w:rsidR="00992FD0" w:rsidRPr="00EC250C">
        <w:t xml:space="preserve"> w </w:t>
      </w:r>
      <w:r w:rsidRPr="00EC250C">
        <w:t>obszarze zdrowia fizycznego lub psychicznego,</w:t>
      </w:r>
      <w:r w:rsidR="00992FD0" w:rsidRPr="00EC250C">
        <w:t xml:space="preserve"> a </w:t>
      </w:r>
      <w:r w:rsidRPr="00EC250C">
        <w:t>także wywołujące cierpienia</w:t>
      </w:r>
      <w:r w:rsidR="00992FD0" w:rsidRPr="00EC250C">
        <w:t xml:space="preserve"> i </w:t>
      </w:r>
      <w:r w:rsidRPr="00EC250C">
        <w:t>krzywdy moralne. Definicja „członka rodziny” obejmuje małżonków, wstępnych, zstępnych, rodzeństwo, powinowatych, adoptowane dzieci, osobę pozostającą we wspólnym pożyciu,</w:t>
      </w:r>
      <w:r w:rsidR="00992FD0" w:rsidRPr="00EC250C">
        <w:t xml:space="preserve"> a </w:t>
      </w:r>
      <w:r w:rsidRPr="00EC250C">
        <w:t>także inną osobę wspólnie zamieszkującą lub gospodarującą.</w:t>
      </w:r>
    </w:p>
    <w:p w14:paraId="4FA43D85" w14:textId="77777777" w:rsidR="000F3BDA" w:rsidRPr="00EC250C" w:rsidRDefault="000F3BDA" w:rsidP="00D131FA">
      <w:pPr>
        <w:pStyle w:val="Styl1"/>
      </w:pPr>
      <w:r w:rsidRPr="00EC250C">
        <w:t>Jak podkreśla RPO, taka konstrukcja ustawy uniemożliwia identyfikację przemocy</w:t>
      </w:r>
      <w:r w:rsidR="00992FD0" w:rsidRPr="00EC250C">
        <w:t xml:space="preserve"> w </w:t>
      </w:r>
      <w:r w:rsidRPr="00EC250C">
        <w:t>bliskich związkach</w:t>
      </w:r>
      <w:r w:rsidR="00B01CFE" w:rsidRPr="00EC250C">
        <w:t xml:space="preserve">, </w:t>
      </w:r>
      <w:r w:rsidRPr="00EC250C">
        <w:t xml:space="preserve">nie obejmuje </w:t>
      </w:r>
      <w:r w:rsidR="00B01CFE" w:rsidRPr="00EC250C">
        <w:t xml:space="preserve">też </w:t>
      </w:r>
      <w:r w:rsidRPr="00EC250C">
        <w:t>niezamieszkujących wspólnie partnerów. RPO wskazywał także na konieczność rozszerzenia stosowania ustawy na sytuacje, gdy do przemocy dochodzi poza rodziną (m.in. na uczelniach,</w:t>
      </w:r>
      <w:r w:rsidR="00992FD0" w:rsidRPr="00EC250C">
        <w:t xml:space="preserve"> w </w:t>
      </w:r>
      <w:r w:rsidRPr="00EC250C">
        <w:t>szkołach,</w:t>
      </w:r>
      <w:r w:rsidR="00992FD0" w:rsidRPr="00EC250C">
        <w:t xml:space="preserve"> w </w:t>
      </w:r>
      <w:r w:rsidRPr="00EC250C">
        <w:t>przestrzeni publicznej)</w:t>
      </w:r>
      <w:r w:rsidRPr="00EC250C">
        <w:rPr>
          <w:rStyle w:val="Odwoanieprzypisudolnego"/>
        </w:rPr>
        <w:footnoteReference w:id="69"/>
      </w:r>
      <w:r w:rsidRPr="00EC250C">
        <w:t>.</w:t>
      </w:r>
    </w:p>
    <w:p w14:paraId="6AD8FD11" w14:textId="77777777" w:rsidR="006D314A" w:rsidRPr="00EC250C" w:rsidRDefault="006D314A" w:rsidP="00D131FA">
      <w:pPr>
        <w:pStyle w:val="Styl1"/>
        <w:rPr>
          <w:shd w:val="clear" w:color="auto" w:fill="FFFFFF"/>
        </w:rPr>
      </w:pPr>
      <w:r w:rsidRPr="00EC250C">
        <w:rPr>
          <w:shd w:val="clear" w:color="auto" w:fill="FFFFFF"/>
        </w:rPr>
        <w:t>W odpowiedzi</w:t>
      </w:r>
      <w:r w:rsidRPr="00EC250C">
        <w:rPr>
          <w:rStyle w:val="Odwoanieprzypisudolnego"/>
          <w:shd w:val="clear" w:color="auto" w:fill="FFFFFF"/>
        </w:rPr>
        <w:footnoteReference w:id="70"/>
      </w:r>
      <w:r w:rsidRPr="00EC250C">
        <w:rPr>
          <w:shd w:val="clear" w:color="auto" w:fill="FFFFFF"/>
        </w:rPr>
        <w:t xml:space="preserve"> </w:t>
      </w:r>
      <w:r w:rsidR="00907A50" w:rsidRPr="00EC250C">
        <w:rPr>
          <w:shd w:val="clear" w:color="auto" w:fill="FFFFFF"/>
        </w:rPr>
        <w:t xml:space="preserve">MRPiPS </w:t>
      </w:r>
      <w:r w:rsidRPr="00EC250C">
        <w:rPr>
          <w:shd w:val="clear" w:color="auto" w:fill="FFFFFF"/>
        </w:rPr>
        <w:t>zapowiedział zmiany</w:t>
      </w:r>
      <w:r w:rsidR="00992FD0" w:rsidRPr="00EC250C">
        <w:rPr>
          <w:shd w:val="clear" w:color="auto" w:fill="FFFFFF"/>
        </w:rPr>
        <w:t xml:space="preserve"> w </w:t>
      </w:r>
      <w:r w:rsidRPr="00EC250C">
        <w:rPr>
          <w:shd w:val="clear" w:color="auto" w:fill="FFFFFF"/>
        </w:rPr>
        <w:t>ustawie</w:t>
      </w:r>
      <w:r w:rsidR="00992FD0" w:rsidRPr="00EC250C">
        <w:rPr>
          <w:shd w:val="clear" w:color="auto" w:fill="FFFFFF"/>
        </w:rPr>
        <w:t xml:space="preserve"> o </w:t>
      </w:r>
      <w:r w:rsidRPr="00EC250C">
        <w:rPr>
          <w:shd w:val="clear" w:color="auto" w:fill="FFFFFF"/>
        </w:rPr>
        <w:t>przemocy</w:t>
      </w:r>
      <w:r w:rsidR="00992FD0" w:rsidRPr="00EC250C">
        <w:rPr>
          <w:shd w:val="clear" w:color="auto" w:fill="FFFFFF"/>
        </w:rPr>
        <w:t xml:space="preserve"> w </w:t>
      </w:r>
      <w:r w:rsidRPr="00EC250C">
        <w:rPr>
          <w:shd w:val="clear" w:color="auto" w:fill="FFFFFF"/>
        </w:rPr>
        <w:t>rodzinie. Jednak</w:t>
      </w:r>
      <w:r w:rsidR="00992FD0" w:rsidRPr="00EC250C">
        <w:rPr>
          <w:shd w:val="clear" w:color="auto" w:fill="FFFFFF"/>
        </w:rPr>
        <w:t xml:space="preserve"> z </w:t>
      </w:r>
      <w:r w:rsidRPr="00EC250C">
        <w:rPr>
          <w:shd w:val="clear" w:color="auto" w:fill="FFFFFF"/>
        </w:rPr>
        <w:t>opublikowanego</w:t>
      </w:r>
      <w:r w:rsidR="00992FD0" w:rsidRPr="00EC250C">
        <w:rPr>
          <w:shd w:val="clear" w:color="auto" w:fill="FFFFFF"/>
        </w:rPr>
        <w:t xml:space="preserve"> w </w:t>
      </w:r>
      <w:r w:rsidRPr="00EC250C">
        <w:rPr>
          <w:shd w:val="clear" w:color="auto" w:fill="FFFFFF"/>
        </w:rPr>
        <w:t>końcu 2018</w:t>
      </w:r>
      <w:r w:rsidR="00C91F6E" w:rsidRPr="00EC250C">
        <w:rPr>
          <w:shd w:val="clear" w:color="auto" w:fill="FFFFFF"/>
        </w:rPr>
        <w:t> r.</w:t>
      </w:r>
      <w:r w:rsidRPr="00EC250C">
        <w:rPr>
          <w:shd w:val="clear" w:color="auto" w:fill="FFFFFF"/>
        </w:rPr>
        <w:t xml:space="preserve"> projektu wynikało, że zmierzać on będzie</w:t>
      </w:r>
      <w:r w:rsidR="00992FD0" w:rsidRPr="00EC250C">
        <w:rPr>
          <w:shd w:val="clear" w:color="auto" w:fill="FFFFFF"/>
        </w:rPr>
        <w:t xml:space="preserve"> w </w:t>
      </w:r>
      <w:r w:rsidRPr="00EC250C">
        <w:rPr>
          <w:shd w:val="clear" w:color="auto" w:fill="FFFFFF"/>
        </w:rPr>
        <w:t>kierunku mniejszej</w:t>
      </w:r>
      <w:r w:rsidR="00BE1E83" w:rsidRPr="00EC250C">
        <w:rPr>
          <w:shd w:val="clear" w:color="auto" w:fill="FFFFFF"/>
        </w:rPr>
        <w:t>,</w:t>
      </w:r>
      <w:r w:rsidR="00992FD0" w:rsidRPr="00EC250C">
        <w:rPr>
          <w:shd w:val="clear" w:color="auto" w:fill="FFFFFF"/>
        </w:rPr>
        <w:t xml:space="preserve"> a </w:t>
      </w:r>
      <w:r w:rsidR="00BE1E83" w:rsidRPr="00EC250C">
        <w:rPr>
          <w:shd w:val="clear" w:color="auto" w:fill="FFFFFF"/>
        </w:rPr>
        <w:t>nie większej</w:t>
      </w:r>
      <w:r w:rsidRPr="00EC250C">
        <w:rPr>
          <w:shd w:val="clear" w:color="auto" w:fill="FFFFFF"/>
        </w:rPr>
        <w:t xml:space="preserve"> ochrony ofiar. Np. </w:t>
      </w:r>
      <w:r w:rsidRPr="00EC250C">
        <w:rPr>
          <w:spacing w:val="0"/>
        </w:rPr>
        <w:t xml:space="preserve">sprawcą przemocy miała </w:t>
      </w:r>
      <w:r w:rsidR="00BE1E83" w:rsidRPr="00EC250C">
        <w:rPr>
          <w:spacing w:val="0"/>
        </w:rPr>
        <w:t xml:space="preserve">już nie być </w:t>
      </w:r>
      <w:r w:rsidRPr="00EC250C">
        <w:rPr>
          <w:spacing w:val="0"/>
        </w:rPr>
        <w:t>osoba, która dopuściła się jej „jednorazowo”. Niebieska Karta miała być wystawiana co do zasady jedynie za zgodą ofiary przemocy.</w:t>
      </w:r>
    </w:p>
    <w:p w14:paraId="217168A4" w14:textId="77777777" w:rsidR="00C91F6E" w:rsidRPr="00EC250C" w:rsidRDefault="006D314A" w:rsidP="00D131FA">
      <w:pPr>
        <w:pStyle w:val="Styl1"/>
        <w:rPr>
          <w:shd w:val="clear" w:color="auto" w:fill="FFFFFF"/>
        </w:rPr>
      </w:pPr>
      <w:r w:rsidRPr="00EC250C">
        <w:rPr>
          <w:shd w:val="clear" w:color="auto" w:fill="FFFFFF"/>
        </w:rPr>
        <w:t>Po krytyce projektu –</w:t>
      </w:r>
      <w:r w:rsidR="00CF6FDF" w:rsidRPr="00EC250C">
        <w:rPr>
          <w:shd w:val="clear" w:color="auto" w:fill="FFFFFF"/>
        </w:rPr>
        <w:t xml:space="preserve"> </w:t>
      </w:r>
      <w:r w:rsidRPr="00EC250C">
        <w:rPr>
          <w:shd w:val="clear" w:color="auto" w:fill="FFFFFF"/>
        </w:rPr>
        <w:t>w styczniu 2019</w:t>
      </w:r>
      <w:r w:rsidR="00C91F6E" w:rsidRPr="00EC250C">
        <w:rPr>
          <w:shd w:val="clear" w:color="auto" w:fill="FFFFFF"/>
        </w:rPr>
        <w:t> </w:t>
      </w:r>
      <w:r w:rsidR="00C91F6E" w:rsidRPr="00EC250C">
        <w:rPr>
          <w:rFonts w:hint="eastAsia"/>
          <w:shd w:val="clear" w:color="auto" w:fill="FFFFFF"/>
        </w:rPr>
        <w:t>r.</w:t>
      </w:r>
      <w:r w:rsidRPr="00EC250C">
        <w:rPr>
          <w:shd w:val="clear" w:color="auto" w:fill="FFFFFF"/>
        </w:rPr>
        <w:t xml:space="preserve"> – rząd zwrócił go do Ministerstwa Rodziny, Pracy</w:t>
      </w:r>
      <w:r w:rsidR="00992FD0" w:rsidRPr="00EC250C">
        <w:rPr>
          <w:shd w:val="clear" w:color="auto" w:fill="FFFFFF"/>
        </w:rPr>
        <w:t xml:space="preserve"> i </w:t>
      </w:r>
      <w:r w:rsidRPr="00EC250C">
        <w:rPr>
          <w:shd w:val="clear" w:color="auto" w:fill="FFFFFF"/>
        </w:rPr>
        <w:t>Polityki Społecznej do popraw</w:t>
      </w:r>
      <w:r w:rsidR="00CF6FDF" w:rsidRPr="00EC250C">
        <w:rPr>
          <w:shd w:val="clear" w:color="auto" w:fill="FFFFFF"/>
        </w:rPr>
        <w:t>y</w:t>
      </w:r>
      <w:r w:rsidRPr="00EC250C">
        <w:rPr>
          <w:shd w:val="clear" w:color="auto" w:fill="FFFFFF"/>
        </w:rPr>
        <w:t>. Przedstawiciele rządu mówili</w:t>
      </w:r>
      <w:r w:rsidR="00992FD0" w:rsidRPr="00EC250C">
        <w:rPr>
          <w:shd w:val="clear" w:color="auto" w:fill="FFFFFF"/>
        </w:rPr>
        <w:t xml:space="preserve"> w </w:t>
      </w:r>
      <w:r w:rsidRPr="00EC250C">
        <w:rPr>
          <w:shd w:val="clear" w:color="auto" w:fill="FFFFFF"/>
        </w:rPr>
        <w:t>mediach</w:t>
      </w:r>
      <w:r w:rsidR="00992FD0" w:rsidRPr="00EC250C">
        <w:rPr>
          <w:shd w:val="clear" w:color="auto" w:fill="FFFFFF"/>
        </w:rPr>
        <w:t xml:space="preserve"> o </w:t>
      </w:r>
      <w:r w:rsidRPr="00EC250C">
        <w:rPr>
          <w:shd w:val="clear" w:color="auto" w:fill="FFFFFF"/>
        </w:rPr>
        <w:t>zatrzymaniu prac, do dymisji podała się też wiceministra odpowiedzialna za projekt. Jednak dopiero 1 kwietnia 2019</w:t>
      </w:r>
      <w:r w:rsidR="00C91F6E" w:rsidRPr="00EC250C">
        <w:rPr>
          <w:shd w:val="clear" w:color="auto" w:fill="FFFFFF"/>
        </w:rPr>
        <w:t> r.</w:t>
      </w:r>
      <w:r w:rsidRPr="00EC250C">
        <w:rPr>
          <w:shd w:val="clear" w:color="auto" w:fill="FFFFFF"/>
        </w:rPr>
        <w:t xml:space="preserve"> </w:t>
      </w:r>
      <w:r w:rsidR="00907A50" w:rsidRPr="00EC250C">
        <w:rPr>
          <w:shd w:val="clear" w:color="auto" w:fill="FFFFFF"/>
        </w:rPr>
        <w:t>Minister R</w:t>
      </w:r>
      <w:r w:rsidRPr="00EC250C">
        <w:rPr>
          <w:shd w:val="clear" w:color="auto" w:fill="FFFFFF"/>
        </w:rPr>
        <w:t>odziny</w:t>
      </w:r>
      <w:r w:rsidR="00907A50" w:rsidRPr="00EC250C">
        <w:rPr>
          <w:shd w:val="clear" w:color="auto" w:fill="FFFFFF"/>
        </w:rPr>
        <w:t>,</w:t>
      </w:r>
      <w:r w:rsidRPr="00EC250C">
        <w:rPr>
          <w:shd w:val="clear" w:color="auto" w:fill="FFFFFF"/>
        </w:rPr>
        <w:t xml:space="preserve"> </w:t>
      </w:r>
      <w:r w:rsidR="00907A50" w:rsidRPr="00EC250C">
        <w:rPr>
          <w:shd w:val="clear" w:color="auto" w:fill="FFFFFF"/>
        </w:rPr>
        <w:t xml:space="preserve">Pracy i Polityki Społecznej </w:t>
      </w:r>
      <w:r w:rsidRPr="00EC250C">
        <w:rPr>
          <w:shd w:val="clear" w:color="auto" w:fill="FFFFFF"/>
        </w:rPr>
        <w:t>przesłał oficjalne pisemne stanowisko</w:t>
      </w:r>
      <w:r w:rsidR="00992FD0" w:rsidRPr="00EC250C">
        <w:rPr>
          <w:shd w:val="clear" w:color="auto" w:fill="FFFFFF"/>
        </w:rPr>
        <w:t xml:space="preserve"> o </w:t>
      </w:r>
      <w:r w:rsidRPr="00EC250C">
        <w:rPr>
          <w:shd w:val="clear" w:color="auto" w:fill="FFFFFF"/>
        </w:rPr>
        <w:t>porzuceniu prac nad projektem.</w:t>
      </w:r>
    </w:p>
    <w:p w14:paraId="16C831F9" w14:textId="3474E40D" w:rsidR="006D314A" w:rsidRPr="00EC250C" w:rsidRDefault="006D314A" w:rsidP="00D131FA">
      <w:pPr>
        <w:pStyle w:val="Styl1"/>
        <w:rPr>
          <w:spacing w:val="0"/>
        </w:rPr>
      </w:pPr>
      <w:r w:rsidRPr="00EC250C">
        <w:rPr>
          <w:shd w:val="clear" w:color="auto" w:fill="FFFFFF"/>
        </w:rPr>
        <w:t>Wcześniej –</w:t>
      </w:r>
      <w:r w:rsidR="00992FD0" w:rsidRPr="00EC250C">
        <w:rPr>
          <w:shd w:val="clear" w:color="auto" w:fill="FFFFFF"/>
        </w:rPr>
        <w:t xml:space="preserve"> w </w:t>
      </w:r>
      <w:r w:rsidRPr="00EC250C">
        <w:rPr>
          <w:shd w:val="clear" w:color="auto" w:fill="FFFFFF"/>
        </w:rPr>
        <w:t>wystąpieniu ze stycznia 2019</w:t>
      </w:r>
      <w:r w:rsidR="00C91F6E" w:rsidRPr="00EC250C">
        <w:rPr>
          <w:shd w:val="clear" w:color="auto" w:fill="FFFFFF"/>
        </w:rPr>
        <w:t> r.</w:t>
      </w:r>
      <w:r w:rsidRPr="00EC250C">
        <w:rPr>
          <w:shd w:val="clear" w:color="auto" w:fill="FFFFFF"/>
        </w:rPr>
        <w:t xml:space="preserve"> – RPO pisał, co naprawdę należy zmienić</w:t>
      </w:r>
      <w:r w:rsidR="00992FD0" w:rsidRPr="00EC250C">
        <w:rPr>
          <w:shd w:val="clear" w:color="auto" w:fill="FFFFFF"/>
        </w:rPr>
        <w:t xml:space="preserve"> w </w:t>
      </w:r>
      <w:r w:rsidRPr="00EC250C">
        <w:rPr>
          <w:shd w:val="clear" w:color="auto" w:fill="FFFFFF"/>
        </w:rPr>
        <w:t xml:space="preserve">ustawie. W tym samym czasie </w:t>
      </w:r>
      <w:r w:rsidRPr="00EC250C">
        <w:rPr>
          <w:spacing w:val="0"/>
        </w:rPr>
        <w:t>za zmianami</w:t>
      </w:r>
      <w:r w:rsidR="00992FD0" w:rsidRPr="00EC250C">
        <w:rPr>
          <w:spacing w:val="0"/>
        </w:rPr>
        <w:t xml:space="preserve"> w </w:t>
      </w:r>
      <w:r w:rsidRPr="00EC250C">
        <w:rPr>
          <w:spacing w:val="0"/>
        </w:rPr>
        <w:t>podobnym do proponowanego przez RPO kierunku (za większą ochroną ofiar przemocy domowej) – opowiedział się</w:t>
      </w:r>
      <w:r w:rsidR="00992FD0" w:rsidRPr="00EC250C">
        <w:rPr>
          <w:spacing w:val="0"/>
        </w:rPr>
        <w:t xml:space="preserve"> w </w:t>
      </w:r>
      <w:r w:rsidRPr="00EC250C">
        <w:rPr>
          <w:spacing w:val="0"/>
        </w:rPr>
        <w:t>programie TVN „Czarno na Białym” pełnomocnik rządu ds. równego traktowania Adam Lipiński. Uznał, że pojęcie przemocy</w:t>
      </w:r>
      <w:r w:rsidR="00992FD0" w:rsidRPr="00EC250C">
        <w:rPr>
          <w:spacing w:val="0"/>
        </w:rPr>
        <w:t xml:space="preserve"> w </w:t>
      </w:r>
      <w:r w:rsidRPr="00EC250C">
        <w:rPr>
          <w:spacing w:val="0"/>
        </w:rPr>
        <w:t xml:space="preserve">rodzinie </w:t>
      </w:r>
      <w:r w:rsidRPr="00EC250C">
        <w:rPr>
          <w:spacing w:val="0"/>
        </w:rPr>
        <w:lastRenderedPageBreak/>
        <w:t>powinno być poszerzone</w:t>
      </w:r>
      <w:r w:rsidR="00992FD0" w:rsidRPr="00EC250C">
        <w:rPr>
          <w:spacing w:val="0"/>
        </w:rPr>
        <w:t xml:space="preserve"> o </w:t>
      </w:r>
      <w:r w:rsidRPr="00EC250C">
        <w:rPr>
          <w:spacing w:val="0"/>
        </w:rPr>
        <w:t>przemoc psychiczną</w:t>
      </w:r>
      <w:r w:rsidR="00992FD0" w:rsidRPr="00EC250C">
        <w:rPr>
          <w:spacing w:val="0"/>
        </w:rPr>
        <w:t xml:space="preserve"> i </w:t>
      </w:r>
      <w:r w:rsidRPr="00EC250C">
        <w:rPr>
          <w:spacing w:val="0"/>
        </w:rPr>
        <w:t>seksualną,</w:t>
      </w:r>
      <w:r w:rsidR="00992FD0" w:rsidRPr="00EC250C">
        <w:rPr>
          <w:spacing w:val="0"/>
        </w:rPr>
        <w:t xml:space="preserve"> a </w:t>
      </w:r>
      <w:r w:rsidRPr="00EC250C">
        <w:rPr>
          <w:spacing w:val="0"/>
        </w:rPr>
        <w:t>ochrona przed przemocą powinna objąć także związki osób nie będących małżeństwem,</w:t>
      </w:r>
      <w:r w:rsidR="00992FD0" w:rsidRPr="00EC250C">
        <w:rPr>
          <w:spacing w:val="0"/>
        </w:rPr>
        <w:t xml:space="preserve"> a </w:t>
      </w:r>
      <w:r w:rsidRPr="00EC250C">
        <w:rPr>
          <w:spacing w:val="0"/>
        </w:rPr>
        <w:t>nawet nie mieszkających razem.</w:t>
      </w:r>
      <w:r w:rsidR="00BE1E83" w:rsidRPr="00EC250C">
        <w:rPr>
          <w:spacing w:val="0"/>
        </w:rPr>
        <w:t xml:space="preserve"> </w:t>
      </w:r>
      <w:r w:rsidRPr="00EC250C">
        <w:rPr>
          <w:spacing w:val="0"/>
        </w:rPr>
        <w:t>Jest to zgodne ze standardami Konwencji Stambulskiej, co RPO podkreślił dziękując min. Lipińskiemu za stanowisko</w:t>
      </w:r>
      <w:r w:rsidRPr="00EC250C">
        <w:rPr>
          <w:rStyle w:val="Odwoanieprzypisudolnego"/>
          <w:spacing w:val="0"/>
        </w:rPr>
        <w:footnoteReference w:id="71"/>
      </w:r>
      <w:r w:rsidRPr="00EC250C">
        <w:rPr>
          <w:spacing w:val="0"/>
        </w:rPr>
        <w:t>.</w:t>
      </w:r>
      <w:r w:rsidR="00BE1E83" w:rsidRPr="00EC250C">
        <w:rPr>
          <w:spacing w:val="0"/>
        </w:rPr>
        <w:t xml:space="preserve"> </w:t>
      </w:r>
      <w:r w:rsidRPr="00EC250C">
        <w:rPr>
          <w:spacing w:val="0"/>
        </w:rPr>
        <w:t>Problem</w:t>
      </w:r>
      <w:r w:rsidR="00992FD0" w:rsidRPr="00EC250C">
        <w:rPr>
          <w:spacing w:val="0"/>
        </w:rPr>
        <w:t xml:space="preserve"> w </w:t>
      </w:r>
      <w:r w:rsidRPr="00EC250C">
        <w:rPr>
          <w:spacing w:val="0"/>
        </w:rPr>
        <w:t>tym, że polskie władze</w:t>
      </w:r>
      <w:r w:rsidR="00992FD0" w:rsidRPr="00EC250C">
        <w:rPr>
          <w:spacing w:val="0"/>
        </w:rPr>
        <w:t xml:space="preserve"> w </w:t>
      </w:r>
      <w:r w:rsidRPr="00EC250C">
        <w:rPr>
          <w:spacing w:val="0"/>
        </w:rPr>
        <w:t>2016</w:t>
      </w:r>
      <w:r w:rsidR="00C91F6E" w:rsidRPr="00EC250C">
        <w:rPr>
          <w:spacing w:val="0"/>
        </w:rPr>
        <w:t> r.</w:t>
      </w:r>
      <w:r w:rsidRPr="00EC250C">
        <w:rPr>
          <w:spacing w:val="0"/>
        </w:rPr>
        <w:t xml:space="preserve"> zapowiedziały, że Polska wycofa się</w:t>
      </w:r>
      <w:r w:rsidR="00992FD0" w:rsidRPr="00EC250C">
        <w:rPr>
          <w:spacing w:val="0"/>
        </w:rPr>
        <w:t xml:space="preserve"> z </w:t>
      </w:r>
      <w:r w:rsidRPr="00EC250C">
        <w:rPr>
          <w:spacing w:val="0"/>
        </w:rPr>
        <w:t>Konwencji. Tamten projekt – tak jak ten resortu rodziny</w:t>
      </w:r>
      <w:r w:rsidR="00992FD0" w:rsidRPr="00EC250C">
        <w:rPr>
          <w:spacing w:val="0"/>
        </w:rPr>
        <w:t xml:space="preserve"> z </w:t>
      </w:r>
      <w:r w:rsidRPr="00EC250C">
        <w:rPr>
          <w:spacing w:val="0"/>
        </w:rPr>
        <w:t>końca 2018</w:t>
      </w:r>
      <w:r w:rsidR="00C91F6E" w:rsidRPr="00EC250C">
        <w:rPr>
          <w:spacing w:val="0"/>
        </w:rPr>
        <w:t> r.</w:t>
      </w:r>
      <w:r w:rsidR="00026572" w:rsidRPr="00EC250C">
        <w:rPr>
          <w:spacing w:val="0"/>
        </w:rPr>
        <w:t xml:space="preserve"> – </w:t>
      </w:r>
      <w:r w:rsidRPr="00EC250C">
        <w:rPr>
          <w:spacing w:val="0"/>
        </w:rPr>
        <w:t xml:space="preserve">był już na etapie konsultacji międzyresortowych. Opinia publiczna nie dowiedziała się, co dokładnie </w:t>
      </w:r>
      <w:r w:rsidR="00BE1E83" w:rsidRPr="00EC250C">
        <w:rPr>
          <w:spacing w:val="0"/>
        </w:rPr>
        <w:t>planowano</w:t>
      </w:r>
      <w:r w:rsidR="00992FD0" w:rsidRPr="00EC250C">
        <w:rPr>
          <w:spacing w:val="0"/>
        </w:rPr>
        <w:t xml:space="preserve"> i </w:t>
      </w:r>
      <w:r w:rsidRPr="00EC250C">
        <w:rPr>
          <w:spacing w:val="0"/>
        </w:rPr>
        <w:t xml:space="preserve">jakie było uzasadnienie zmian, gdyż </w:t>
      </w:r>
      <w:r w:rsidR="00907A50" w:rsidRPr="00EC250C">
        <w:rPr>
          <w:spacing w:val="0"/>
        </w:rPr>
        <w:t xml:space="preserve">Minister </w:t>
      </w:r>
      <w:r w:rsidRPr="00EC250C">
        <w:rPr>
          <w:spacing w:val="0"/>
        </w:rPr>
        <w:t>odmówił ujawnienia dokumentu. (RPO przyłączył się więc do postępowania przed WSA</w:t>
      </w:r>
      <w:r w:rsidR="00992FD0" w:rsidRPr="00EC250C">
        <w:rPr>
          <w:spacing w:val="0"/>
        </w:rPr>
        <w:t xml:space="preserve"> w </w:t>
      </w:r>
      <w:r w:rsidRPr="00EC250C">
        <w:rPr>
          <w:spacing w:val="0"/>
        </w:rPr>
        <w:t>Warszawie</w:t>
      </w:r>
      <w:r w:rsidR="00992FD0" w:rsidRPr="00EC250C">
        <w:rPr>
          <w:spacing w:val="0"/>
        </w:rPr>
        <w:t xml:space="preserve"> w </w:t>
      </w:r>
      <w:r w:rsidRPr="00EC250C">
        <w:rPr>
          <w:spacing w:val="0"/>
        </w:rPr>
        <w:t>sprawie dostępu do informacji publicznej</w:t>
      </w:r>
      <w:r w:rsidR="00992FD0" w:rsidRPr="00EC250C">
        <w:rPr>
          <w:spacing w:val="0"/>
        </w:rPr>
        <w:t xml:space="preserve"> w </w:t>
      </w:r>
      <w:r w:rsidRPr="00EC250C">
        <w:rPr>
          <w:spacing w:val="0"/>
        </w:rPr>
        <w:t>tej sprawie zainicjowanej przez Polskie Towarzystwo Prawa Antydyskryminacyjnego, sprawa się toczy)</w:t>
      </w:r>
      <w:r w:rsidRPr="00EC250C">
        <w:rPr>
          <w:rStyle w:val="Odwoanieprzypisudolnego"/>
          <w:spacing w:val="0"/>
        </w:rPr>
        <w:footnoteReference w:id="72"/>
      </w:r>
      <w:r w:rsidRPr="00EC250C">
        <w:rPr>
          <w:spacing w:val="0"/>
        </w:rPr>
        <w:t>.</w:t>
      </w:r>
    </w:p>
    <w:p w14:paraId="1931E17F" w14:textId="77777777" w:rsidR="00775EAF" w:rsidRPr="00EC250C" w:rsidRDefault="00744B2D" w:rsidP="00EC250C">
      <w:pPr>
        <w:pStyle w:val="Nagwek8"/>
      </w:pPr>
      <w:hyperlink r:id="rId10" w:history="1">
        <w:r w:rsidR="00775EAF" w:rsidRPr="00EC250C">
          <w:t>Problemy</w:t>
        </w:r>
        <w:r w:rsidR="00992FD0" w:rsidRPr="00EC250C">
          <w:t xml:space="preserve"> w </w:t>
        </w:r>
        <w:r w:rsidR="00775EAF" w:rsidRPr="00EC250C">
          <w:t>rodzinie</w:t>
        </w:r>
        <w:r w:rsidR="00026572" w:rsidRPr="00EC250C">
          <w:t xml:space="preserve"> – </w:t>
        </w:r>
        <w:r w:rsidR="00775EAF" w:rsidRPr="00EC250C">
          <w:t>Przemoc czy konflikt. Spojrzenie</w:t>
        </w:r>
        <w:r w:rsidR="00992FD0" w:rsidRPr="00EC250C">
          <w:t xml:space="preserve"> z </w:t>
        </w:r>
        <w:r w:rsidR="00775EAF" w:rsidRPr="00EC250C">
          <w:t>punktu psychologicznego, pedagogicznego, socjologicznego. Relacja</w:t>
        </w:r>
        <w:r w:rsidR="00992FD0" w:rsidRPr="00EC250C">
          <w:t xml:space="preserve"> z </w:t>
        </w:r>
        <w:r w:rsidR="00775EAF" w:rsidRPr="00EC250C">
          <w:t>panelu Kongres</w:t>
        </w:r>
        <w:r w:rsidR="00E73BE3" w:rsidRPr="00EC250C">
          <w:t>u</w:t>
        </w:r>
        <w:r w:rsidR="00775EAF" w:rsidRPr="00EC250C">
          <w:t xml:space="preserve"> Praw Rodzicielskich</w:t>
        </w:r>
      </w:hyperlink>
    </w:p>
    <w:p w14:paraId="29A475EB" w14:textId="77777777" w:rsidR="00775EAF" w:rsidRPr="00EC250C" w:rsidRDefault="00775EAF" w:rsidP="00D131FA">
      <w:pPr>
        <w:pStyle w:val="Styl2"/>
        <w:rPr>
          <w:szCs w:val="24"/>
        </w:rPr>
      </w:pPr>
      <w:r w:rsidRPr="00EC250C">
        <w:rPr>
          <w:szCs w:val="24"/>
        </w:rPr>
        <w:t>Przemoc to przemoc,</w:t>
      </w:r>
      <w:r w:rsidR="00992FD0" w:rsidRPr="00EC250C">
        <w:rPr>
          <w:szCs w:val="24"/>
        </w:rPr>
        <w:t xml:space="preserve"> a </w:t>
      </w:r>
      <w:r w:rsidRPr="00EC250C">
        <w:rPr>
          <w:szCs w:val="24"/>
        </w:rPr>
        <w:t>nie „konflikt</w:t>
      </w:r>
      <w:r w:rsidR="00992FD0" w:rsidRPr="00EC250C">
        <w:rPr>
          <w:szCs w:val="24"/>
        </w:rPr>
        <w:t xml:space="preserve"> w </w:t>
      </w:r>
      <w:r w:rsidRPr="00EC250C">
        <w:rPr>
          <w:szCs w:val="24"/>
        </w:rPr>
        <w:t>rodzinie”. Konflikt</w:t>
      </w:r>
      <w:r w:rsidR="00992FD0" w:rsidRPr="00EC250C">
        <w:rPr>
          <w:szCs w:val="24"/>
        </w:rPr>
        <w:t xml:space="preserve"> i </w:t>
      </w:r>
      <w:r w:rsidRPr="00EC250C">
        <w:rPr>
          <w:szCs w:val="24"/>
        </w:rPr>
        <w:t>kryzys to naturalne zjawiska</w:t>
      </w:r>
      <w:r w:rsidR="00992FD0" w:rsidRPr="00EC250C">
        <w:rPr>
          <w:szCs w:val="24"/>
        </w:rPr>
        <w:t xml:space="preserve"> w </w:t>
      </w:r>
      <w:r w:rsidRPr="00EC250C">
        <w:rPr>
          <w:szCs w:val="24"/>
        </w:rPr>
        <w:t>rodzinie,</w:t>
      </w:r>
      <w:r w:rsidR="00992FD0" w:rsidRPr="00EC250C">
        <w:rPr>
          <w:szCs w:val="24"/>
        </w:rPr>
        <w:t xml:space="preserve"> a </w:t>
      </w:r>
      <w:r w:rsidRPr="00EC250C">
        <w:rPr>
          <w:szCs w:val="24"/>
        </w:rPr>
        <w:t>przemoc to przestępstwo</w:t>
      </w:r>
      <w:r w:rsidR="00E73BE3" w:rsidRPr="00EC250C">
        <w:rPr>
          <w:szCs w:val="24"/>
        </w:rPr>
        <w:t>.</w:t>
      </w:r>
    </w:p>
    <w:p w14:paraId="254C755D" w14:textId="77777777" w:rsidR="00775EAF" w:rsidRPr="00EC250C" w:rsidRDefault="00775EAF" w:rsidP="00D131FA">
      <w:pPr>
        <w:pStyle w:val="Styl2"/>
        <w:rPr>
          <w:szCs w:val="24"/>
        </w:rPr>
      </w:pPr>
      <w:r w:rsidRPr="00EC250C">
        <w:rPr>
          <w:szCs w:val="24"/>
        </w:rPr>
        <w:t>Przemoc należy zawsze nazywać przemocą,</w:t>
      </w:r>
      <w:r w:rsidR="00992FD0" w:rsidRPr="00EC250C">
        <w:rPr>
          <w:szCs w:val="24"/>
        </w:rPr>
        <w:t xml:space="preserve"> a </w:t>
      </w:r>
      <w:r w:rsidRPr="00EC250C">
        <w:rPr>
          <w:szCs w:val="24"/>
        </w:rPr>
        <w:t>przestępstwo</w:t>
      </w:r>
      <w:r w:rsidR="00026572" w:rsidRPr="00EC250C">
        <w:rPr>
          <w:szCs w:val="24"/>
        </w:rPr>
        <w:t xml:space="preserve"> – </w:t>
      </w:r>
      <w:r w:rsidRPr="00EC250C">
        <w:rPr>
          <w:szCs w:val="24"/>
        </w:rPr>
        <w:t>przestępstwem, nie zaś</w:t>
      </w:r>
      <w:r w:rsidR="00026572" w:rsidRPr="00EC250C">
        <w:rPr>
          <w:szCs w:val="24"/>
        </w:rPr>
        <w:t xml:space="preserve"> – </w:t>
      </w:r>
      <w:r w:rsidRPr="00EC250C">
        <w:rPr>
          <w:szCs w:val="24"/>
        </w:rPr>
        <w:t>„konfliktem</w:t>
      </w:r>
      <w:r w:rsidR="00992FD0" w:rsidRPr="00EC250C">
        <w:rPr>
          <w:szCs w:val="24"/>
        </w:rPr>
        <w:t xml:space="preserve"> w </w:t>
      </w:r>
      <w:r w:rsidRPr="00EC250C">
        <w:rPr>
          <w:szCs w:val="24"/>
        </w:rPr>
        <w:t>rodzinie”. Tymczasem wymiar sprawiedliwości często tak właśnie traktuje przemoc</w:t>
      </w:r>
      <w:r w:rsidR="00992FD0" w:rsidRPr="00EC250C">
        <w:rPr>
          <w:szCs w:val="24"/>
        </w:rPr>
        <w:t xml:space="preserve"> w </w:t>
      </w:r>
      <w:r w:rsidRPr="00EC250C">
        <w:rPr>
          <w:szCs w:val="24"/>
        </w:rPr>
        <w:t xml:space="preserve">rodzinie. W efekcie przestaje być </w:t>
      </w:r>
      <w:r w:rsidR="00E73BE3" w:rsidRPr="00EC250C">
        <w:rPr>
          <w:szCs w:val="24"/>
        </w:rPr>
        <w:t>o</w:t>
      </w:r>
      <w:r w:rsidRPr="00EC250C">
        <w:rPr>
          <w:szCs w:val="24"/>
        </w:rPr>
        <w:t>na uznawana za przestępstwo nie tylko przez prokuraturę czy sądy, ale także przez samych pokrzywdzonych oraz sprawców</w:t>
      </w:r>
      <w:r w:rsidR="00026572" w:rsidRPr="00EC250C">
        <w:rPr>
          <w:szCs w:val="24"/>
        </w:rPr>
        <w:t xml:space="preserve"> – </w:t>
      </w:r>
      <w:r w:rsidRPr="00EC250C">
        <w:rPr>
          <w:szCs w:val="24"/>
        </w:rPr>
        <w:t>wskazywano podczas panelu na ten temat podczas zorganizowanego przez RPO Kongresu Praw Rodzicielskich</w:t>
      </w:r>
      <w:r w:rsidR="00992FD0" w:rsidRPr="00EC250C">
        <w:rPr>
          <w:szCs w:val="24"/>
        </w:rPr>
        <w:t xml:space="preserve"> w </w:t>
      </w:r>
      <w:r w:rsidRPr="00EC250C">
        <w:rPr>
          <w:szCs w:val="24"/>
        </w:rPr>
        <w:t>czerwcu 2018</w:t>
      </w:r>
      <w:r w:rsidR="00C91F6E" w:rsidRPr="00EC250C">
        <w:rPr>
          <w:szCs w:val="24"/>
        </w:rPr>
        <w:t> </w:t>
      </w:r>
      <w:r w:rsidR="00C91F6E" w:rsidRPr="00EC250C">
        <w:rPr>
          <w:rFonts w:hint="eastAsia"/>
          <w:szCs w:val="24"/>
        </w:rPr>
        <w:t>r.</w:t>
      </w:r>
    </w:p>
    <w:p w14:paraId="013F4515" w14:textId="77777777" w:rsidR="00775EAF" w:rsidRPr="00EC250C" w:rsidRDefault="00775EAF" w:rsidP="00D131FA">
      <w:pPr>
        <w:pStyle w:val="Styl2"/>
        <w:rPr>
          <w:szCs w:val="24"/>
        </w:rPr>
      </w:pPr>
      <w:r w:rsidRPr="00EC250C">
        <w:rPr>
          <w:szCs w:val="24"/>
        </w:rPr>
        <w:t>Konflikty mogą być dezorganizujące, ale także</w:t>
      </w:r>
      <w:r w:rsidR="00992FD0" w:rsidRPr="00EC250C">
        <w:rPr>
          <w:szCs w:val="24"/>
        </w:rPr>
        <w:t xml:space="preserve"> i </w:t>
      </w:r>
      <w:r w:rsidRPr="00EC250C">
        <w:rPr>
          <w:szCs w:val="24"/>
        </w:rPr>
        <w:t>mobilizujące. Konflikt może mieć pozytywny efekt dla rodziny</w:t>
      </w:r>
      <w:r w:rsidR="00026572" w:rsidRPr="00EC250C">
        <w:rPr>
          <w:szCs w:val="24"/>
        </w:rPr>
        <w:t xml:space="preserve"> – </w:t>
      </w:r>
      <w:r w:rsidRPr="00EC250C">
        <w:rPr>
          <w:szCs w:val="24"/>
        </w:rPr>
        <w:t>gdy zostanie pozytywnie przepracowany. Jeśli nie zostanie tak zakończony, przeradza się</w:t>
      </w:r>
      <w:r w:rsidR="00992FD0" w:rsidRPr="00EC250C">
        <w:rPr>
          <w:szCs w:val="24"/>
        </w:rPr>
        <w:t xml:space="preserve"> w </w:t>
      </w:r>
      <w:r w:rsidRPr="00EC250C">
        <w:rPr>
          <w:szCs w:val="24"/>
        </w:rPr>
        <w:t>kryzys. Przemocą jest zaś zamierzone działanie wykorzystujące czyjąś przewagę na niekorzyść członka rodziny. Żadn</w:t>
      </w:r>
      <w:r w:rsidR="00E73BE3" w:rsidRPr="00EC250C">
        <w:rPr>
          <w:szCs w:val="24"/>
        </w:rPr>
        <w:t>e</w:t>
      </w:r>
      <w:r w:rsidRPr="00EC250C">
        <w:rPr>
          <w:szCs w:val="24"/>
        </w:rPr>
        <w:t xml:space="preserve"> zachowania ofiary nie mogą przenosić na nią odpowiedzialności na przemoc.</w:t>
      </w:r>
    </w:p>
    <w:p w14:paraId="7349F75D" w14:textId="77777777" w:rsidR="00775EAF" w:rsidRPr="00EC250C" w:rsidRDefault="00775EAF" w:rsidP="00D131FA">
      <w:pPr>
        <w:pStyle w:val="Styl2"/>
        <w:rPr>
          <w:szCs w:val="24"/>
        </w:rPr>
      </w:pPr>
      <w:r w:rsidRPr="00EC250C">
        <w:rPr>
          <w:szCs w:val="24"/>
        </w:rPr>
        <w:t>Rozwiązywanie sporów</w:t>
      </w:r>
      <w:r w:rsidR="00992FD0" w:rsidRPr="00EC250C">
        <w:rPr>
          <w:szCs w:val="24"/>
        </w:rPr>
        <w:t xml:space="preserve"> i </w:t>
      </w:r>
      <w:r w:rsidRPr="00EC250C">
        <w:rPr>
          <w:szCs w:val="24"/>
        </w:rPr>
        <w:t>napięć</w:t>
      </w:r>
      <w:r w:rsidR="00992FD0" w:rsidRPr="00EC250C">
        <w:rPr>
          <w:szCs w:val="24"/>
        </w:rPr>
        <w:t xml:space="preserve"> w </w:t>
      </w:r>
      <w:r w:rsidRPr="00EC250C">
        <w:rPr>
          <w:szCs w:val="24"/>
        </w:rPr>
        <w:t>rodzinie to jedno</w:t>
      </w:r>
      <w:r w:rsidR="00992FD0" w:rsidRPr="00EC250C">
        <w:rPr>
          <w:szCs w:val="24"/>
        </w:rPr>
        <w:t xml:space="preserve"> z </w:t>
      </w:r>
      <w:r w:rsidRPr="00EC250C">
        <w:rPr>
          <w:szCs w:val="24"/>
        </w:rPr>
        <w:t>najtrudniejszych zadań</w:t>
      </w:r>
      <w:r w:rsidR="00992FD0" w:rsidRPr="00EC250C">
        <w:rPr>
          <w:szCs w:val="24"/>
        </w:rPr>
        <w:t xml:space="preserve"> w </w:t>
      </w:r>
      <w:r w:rsidRPr="00EC250C">
        <w:rPr>
          <w:szCs w:val="24"/>
        </w:rPr>
        <w:t>życiu. Nie możemy zakładać, że będziemy to robić tylko tak, jak nasi rodzice. Możemy – mamy prawo</w:t>
      </w:r>
      <w:r w:rsidR="00992FD0" w:rsidRPr="00EC250C">
        <w:rPr>
          <w:szCs w:val="24"/>
        </w:rPr>
        <w:t xml:space="preserve"> i </w:t>
      </w:r>
      <w:r w:rsidRPr="00EC250C">
        <w:rPr>
          <w:szCs w:val="24"/>
        </w:rPr>
        <w:t>obowiązek – poznawać</w:t>
      </w:r>
      <w:r w:rsidR="00992FD0" w:rsidRPr="00EC250C">
        <w:rPr>
          <w:szCs w:val="24"/>
        </w:rPr>
        <w:t xml:space="preserve"> i </w:t>
      </w:r>
      <w:r w:rsidRPr="00EC250C">
        <w:rPr>
          <w:szCs w:val="24"/>
        </w:rPr>
        <w:t>stosować inne metody wychowania</w:t>
      </w:r>
      <w:r w:rsidRPr="00EC250C">
        <w:rPr>
          <w:rStyle w:val="Odwoanieprzypisudolnego"/>
          <w:szCs w:val="24"/>
        </w:rPr>
        <w:footnoteReference w:id="73"/>
      </w:r>
      <w:r w:rsidRPr="00EC250C">
        <w:rPr>
          <w:szCs w:val="24"/>
        </w:rPr>
        <w:t>.</w:t>
      </w:r>
    </w:p>
    <w:p w14:paraId="77A3A896" w14:textId="77777777" w:rsidR="00E8445A" w:rsidRPr="00EC250C" w:rsidRDefault="00E8445A" w:rsidP="00EC250C">
      <w:pPr>
        <w:pStyle w:val="Nagwek5"/>
      </w:pPr>
      <w:r w:rsidRPr="00EC250C">
        <w:t>Jak przyspieszyć sprawy</w:t>
      </w:r>
      <w:r w:rsidR="00992FD0" w:rsidRPr="00EC250C">
        <w:t xml:space="preserve"> o </w:t>
      </w:r>
      <w:r w:rsidRPr="00EC250C">
        <w:t>nakaz opuszczenia mieszkania przez sprawcę przemocy</w:t>
      </w:r>
    </w:p>
    <w:p w14:paraId="5C878D55" w14:textId="77777777" w:rsidR="00B473F5" w:rsidRPr="00EC250C" w:rsidRDefault="00E8445A" w:rsidP="00D131FA">
      <w:pPr>
        <w:pStyle w:val="Problemczowieka"/>
        <w:jc w:val="both"/>
      </w:pPr>
      <w:r w:rsidRPr="00EC250C">
        <w:t>Ofiary przemocy domowej skarżą się na długotrwałość spraw sądowych,</w:t>
      </w:r>
      <w:r w:rsidR="00992FD0" w:rsidRPr="00EC250C">
        <w:t xml:space="preserve"> w </w:t>
      </w:r>
      <w:r w:rsidRPr="00EC250C">
        <w:t>których wnoszą</w:t>
      </w:r>
      <w:r w:rsidR="00992FD0" w:rsidRPr="00EC250C">
        <w:t xml:space="preserve"> o </w:t>
      </w:r>
      <w:r w:rsidRPr="00EC250C">
        <w:t>nakazanie sprawcy opuszczenia wspólnego mieszkania</w:t>
      </w:r>
      <w:r w:rsidR="00B473F5" w:rsidRPr="00EC250C">
        <w:t>.</w:t>
      </w:r>
    </w:p>
    <w:p w14:paraId="5745E60C" w14:textId="77777777" w:rsidR="00E8445A" w:rsidRPr="00EC250C" w:rsidRDefault="00E8445A" w:rsidP="00D131FA">
      <w:pPr>
        <w:pStyle w:val="Styl1"/>
      </w:pPr>
      <w:r w:rsidRPr="00EC250C">
        <w:lastRenderedPageBreak/>
        <w:t>Według ustawy</w:t>
      </w:r>
      <w:r w:rsidR="00992FD0" w:rsidRPr="00EC250C">
        <w:t xml:space="preserve"> o </w:t>
      </w:r>
      <w:r w:rsidRPr="00EC250C">
        <w:t>przeciwdziałaniu przemocy</w:t>
      </w:r>
      <w:r w:rsidR="00992FD0" w:rsidRPr="00EC250C">
        <w:t xml:space="preserve"> w </w:t>
      </w:r>
      <w:r w:rsidRPr="00EC250C">
        <w:t>rodzinie</w:t>
      </w:r>
      <w:r w:rsidR="00AE2CEA" w:rsidRPr="00EC250C">
        <w:rPr>
          <w:rStyle w:val="Odwoanieprzypisudolnego"/>
        </w:rPr>
        <w:footnoteReference w:id="74"/>
      </w:r>
      <w:r w:rsidRPr="00EC250C">
        <w:t>, postanowienie</w:t>
      </w:r>
      <w:r w:rsidR="00992FD0" w:rsidRPr="00EC250C">
        <w:t xml:space="preserve"> w </w:t>
      </w:r>
      <w:r w:rsidRPr="00EC250C">
        <w:t>takiej sprawie zapada po rozprawie, która powinna odbyć się</w:t>
      </w:r>
      <w:r w:rsidR="00992FD0" w:rsidRPr="00EC250C">
        <w:t xml:space="preserve"> w </w:t>
      </w:r>
      <w:r w:rsidRPr="00EC250C">
        <w:t xml:space="preserve">miesiąc od złożenia wniosku. Dotrzymanie tego terminu często jest niemożliwe; </w:t>
      </w:r>
      <w:r w:rsidR="00073A8C" w:rsidRPr="00EC250C">
        <w:t xml:space="preserve">RPO </w:t>
      </w:r>
      <w:r w:rsidRPr="00EC250C">
        <w:t>postuluje, aby sprawy te badali sędziowie</w:t>
      </w:r>
      <w:r w:rsidR="00992FD0" w:rsidRPr="00EC250C">
        <w:t xml:space="preserve"> z </w:t>
      </w:r>
      <w:r w:rsidRPr="00EC250C">
        <w:t>wydziałów rodzinnych. Przyspieszeniu spraw może też służyć to, że od 1 stycznia 2018</w:t>
      </w:r>
      <w:r w:rsidR="00C91F6E" w:rsidRPr="00EC250C">
        <w:t> r.</w:t>
      </w:r>
      <w:r w:rsidRPr="00EC250C">
        <w:t xml:space="preserve"> są one określone jako pilne</w:t>
      </w:r>
      <w:r w:rsidR="00992FD0" w:rsidRPr="00EC250C">
        <w:t xml:space="preserve"> w </w:t>
      </w:r>
      <w:r w:rsidRPr="00EC250C">
        <w:t xml:space="preserve">Regulaminie urzędowania sądów </w:t>
      </w:r>
      <w:r w:rsidR="003662A0" w:rsidRPr="00EC250C">
        <w:t>powszechnych</w:t>
      </w:r>
      <w:r w:rsidR="00026572" w:rsidRPr="00EC250C">
        <w:t xml:space="preserve"> – </w:t>
      </w:r>
      <w:r w:rsidR="00992FD0" w:rsidRPr="00EC250C">
        <w:t>o </w:t>
      </w:r>
      <w:r w:rsidRPr="00EC250C">
        <w:t>co wcześniej wnosił RPO</w:t>
      </w:r>
      <w:r w:rsidR="008B2B7E" w:rsidRPr="00EC250C">
        <w:t>.</w:t>
      </w:r>
    </w:p>
    <w:p w14:paraId="2F9730FA" w14:textId="77777777" w:rsidR="00E8445A" w:rsidRPr="00EC250C" w:rsidRDefault="00E8445A" w:rsidP="00D131FA">
      <w:pPr>
        <w:pStyle w:val="Styl1"/>
      </w:pPr>
      <w:r w:rsidRPr="00EC250C">
        <w:t>Rzecznik Praw Obywatelskich spytał Ministra Sprawiedliwości, czy zakończono analizy dotyczące powierzenia tych spraw wydziałom rodzinnym sądów powszechnych,</w:t>
      </w:r>
      <w:r w:rsidR="00992FD0" w:rsidRPr="00EC250C">
        <w:t xml:space="preserve"> a </w:t>
      </w:r>
      <w:r w:rsidRPr="00EC250C">
        <w:t>jeżeli tak, to jakie płyną</w:t>
      </w:r>
      <w:r w:rsidR="00992FD0" w:rsidRPr="00EC250C">
        <w:t xml:space="preserve"> z </w:t>
      </w:r>
      <w:r w:rsidRPr="00EC250C">
        <w:t xml:space="preserve">nich wnioski. </w:t>
      </w:r>
      <w:r w:rsidR="00073A8C" w:rsidRPr="00EC250C">
        <w:t>RPO</w:t>
      </w:r>
      <w:r w:rsidRPr="00EC250C">
        <w:t xml:space="preserve"> pyta</w:t>
      </w:r>
      <w:r w:rsidR="003662A0" w:rsidRPr="00EC250C">
        <w:t>ł</w:t>
      </w:r>
      <w:r w:rsidRPr="00EC250C">
        <w:t xml:space="preserve"> też</w:t>
      </w:r>
      <w:r w:rsidR="00992FD0" w:rsidRPr="00EC250C">
        <w:t xml:space="preserve"> o </w:t>
      </w:r>
      <w:r w:rsidRPr="00EC250C">
        <w:t xml:space="preserve">inne działania planowane lub podjęte przez </w:t>
      </w:r>
      <w:r w:rsidR="00907A50" w:rsidRPr="00EC250C">
        <w:t xml:space="preserve">Ministra </w:t>
      </w:r>
      <w:r w:rsidR="00992FD0" w:rsidRPr="00EC250C">
        <w:t>w </w:t>
      </w:r>
      <w:r w:rsidRPr="00EC250C">
        <w:t>celu zapewnienia efektywnej pomocy</w:t>
      </w:r>
      <w:r w:rsidR="00992FD0" w:rsidRPr="00EC250C">
        <w:t xml:space="preserve"> w </w:t>
      </w:r>
      <w:r w:rsidRPr="00EC250C">
        <w:t>ochronie przed sprawcą przemocy na podstawie przepisów ustawy</w:t>
      </w:r>
      <w:r w:rsidR="00992FD0" w:rsidRPr="00EC250C">
        <w:t xml:space="preserve"> o </w:t>
      </w:r>
      <w:r w:rsidRPr="00EC250C">
        <w:t>przeciwdziałaniu przemocy</w:t>
      </w:r>
      <w:r w:rsidR="00992FD0" w:rsidRPr="00EC250C">
        <w:t xml:space="preserve"> w </w:t>
      </w:r>
      <w:r w:rsidRPr="00EC250C">
        <w:t>rodzinie.</w:t>
      </w:r>
    </w:p>
    <w:p w14:paraId="563EBFC2" w14:textId="77777777" w:rsidR="00E8445A" w:rsidRPr="00EC250C" w:rsidRDefault="00E8445A" w:rsidP="00D131FA">
      <w:pPr>
        <w:pStyle w:val="Styl1"/>
      </w:pPr>
      <w:r w:rsidRPr="00EC250C">
        <w:t>Zgodnie</w:t>
      </w:r>
      <w:r w:rsidR="00992FD0" w:rsidRPr="00EC250C">
        <w:t xml:space="preserve"> z </w:t>
      </w:r>
      <w:r w:rsidRPr="00EC250C">
        <w:t>jej art. 11a,</w:t>
      </w:r>
      <w:r w:rsidR="00392799" w:rsidRPr="00EC250C">
        <w:t xml:space="preserve"> </w:t>
      </w:r>
      <w:r w:rsidRPr="00EC250C">
        <w:t>jeżeli członek rodziny wspólnie zajmujący mieszkanie stosuje przemoc, osoba nią dotknięta może żądać, aby sąd zobowiązał go do opuszczenia mieszkania. Postanowienie zapada po przeprowadzeniu rozprawy, która powinna odbyć się</w:t>
      </w:r>
      <w:r w:rsidR="00992FD0" w:rsidRPr="00EC250C">
        <w:t xml:space="preserve"> w </w:t>
      </w:r>
      <w:r w:rsidRPr="00EC250C">
        <w:t>terminie</w:t>
      </w:r>
      <w:r w:rsidR="00392799" w:rsidRPr="00EC250C">
        <w:t xml:space="preserve"> </w:t>
      </w:r>
      <w:r w:rsidRPr="00EC250C">
        <w:t>miesiąca od dnia wpływu wniosku. Staje się ono wykonalne</w:t>
      </w:r>
      <w:r w:rsidR="00992FD0" w:rsidRPr="00EC250C">
        <w:t xml:space="preserve"> z </w:t>
      </w:r>
      <w:r w:rsidRPr="00EC250C">
        <w:t>chwilą ogłoszenia</w:t>
      </w:r>
      <w:r w:rsidR="00992FD0" w:rsidRPr="00EC250C">
        <w:t xml:space="preserve"> i </w:t>
      </w:r>
      <w:r w:rsidRPr="00EC250C">
        <w:t>może być zmienione lub uchylone</w:t>
      </w:r>
      <w:r w:rsidR="00992FD0" w:rsidRPr="00EC250C">
        <w:t xml:space="preserve"> w </w:t>
      </w:r>
      <w:r w:rsidRPr="00EC250C">
        <w:t>razie zmiany okoliczności.</w:t>
      </w:r>
      <w:r w:rsidR="008B2B7E" w:rsidRPr="00EC250C">
        <w:t xml:space="preserve"> </w:t>
      </w:r>
      <w:r w:rsidRPr="00EC250C">
        <w:t>Zobowiązanie do opuszczenia mieszkania na tej podstawie nie jest eksmisją</w:t>
      </w:r>
      <w:r w:rsidR="00992FD0" w:rsidRPr="00EC250C">
        <w:t xml:space="preserve"> i </w:t>
      </w:r>
      <w:r w:rsidRPr="00EC250C">
        <w:t>nie powoduje utraty tytułu prawnego do lokalu,</w:t>
      </w:r>
      <w:r w:rsidR="00992FD0" w:rsidRPr="00EC250C">
        <w:t xml:space="preserve"> a </w:t>
      </w:r>
      <w:r w:rsidRPr="00EC250C">
        <w:t>jedynie czasowe ograniczenie korzystania</w:t>
      </w:r>
      <w:r w:rsidR="00992FD0" w:rsidRPr="00EC250C">
        <w:t xml:space="preserve"> z </w:t>
      </w:r>
      <w:r w:rsidRPr="00EC250C">
        <w:t>niego. Sąd nie bada tytułu prawnego uczestnika do zajmowanego lokalu, ale jedynie faktyczne relacje między członkami rodziny.</w:t>
      </w:r>
    </w:p>
    <w:p w14:paraId="404F669E" w14:textId="77777777" w:rsidR="00E8445A" w:rsidRPr="00EC250C" w:rsidRDefault="00E8445A" w:rsidP="00D131FA">
      <w:pPr>
        <w:pStyle w:val="Styl1"/>
      </w:pPr>
      <w:r w:rsidRPr="00EC250C">
        <w:t>Przepis, wprowadzony do polskiego prawa 1 sierpnia 2010</w:t>
      </w:r>
      <w:r w:rsidR="00C91F6E" w:rsidRPr="00EC250C">
        <w:t> r.</w:t>
      </w:r>
      <w:r w:rsidRPr="00EC250C">
        <w:t>, miał zapewnić szybką</w:t>
      </w:r>
      <w:r w:rsidR="00026572" w:rsidRPr="00EC250C">
        <w:t xml:space="preserve"> – </w:t>
      </w:r>
      <w:r w:rsidRPr="00EC250C">
        <w:t>choć nie natychmiastową</w:t>
      </w:r>
      <w:r w:rsidR="00026572" w:rsidRPr="00EC250C">
        <w:t xml:space="preserve"> – </w:t>
      </w:r>
      <w:r w:rsidRPr="00EC250C">
        <w:t>ochronę ofierze przemocy</w:t>
      </w:r>
      <w:r w:rsidR="00992FD0" w:rsidRPr="00EC250C">
        <w:t xml:space="preserve"> w </w:t>
      </w:r>
      <w:r w:rsidRPr="00EC250C">
        <w:t>rodzinie. Jednak na przykładzie spraw rozpoznawanych</w:t>
      </w:r>
      <w:r w:rsidR="00992FD0" w:rsidRPr="00EC250C">
        <w:t xml:space="preserve"> w </w:t>
      </w:r>
      <w:r w:rsidRPr="00EC250C">
        <w:t>Biurze RPO widać, że</w:t>
      </w:r>
      <w:r w:rsidR="00992FD0" w:rsidRPr="00EC250C">
        <w:t xml:space="preserve"> w </w:t>
      </w:r>
      <w:r w:rsidRPr="00EC250C">
        <w:t>praktyce dotrzymanie miesięcznego terminu rozprawy</w:t>
      </w:r>
      <w:r w:rsidR="00992FD0" w:rsidRPr="00EC250C">
        <w:t xml:space="preserve"> i </w:t>
      </w:r>
      <w:r w:rsidRPr="00EC250C">
        <w:t>szybkie zakończenie postępowania jest trudne do osiągnięcia. Część spraw nie kończy się rozstrzygnięciem po</w:t>
      </w:r>
      <w:r w:rsidR="00392799" w:rsidRPr="00EC250C">
        <w:t xml:space="preserve"> </w:t>
      </w:r>
      <w:r w:rsidRPr="00EC250C">
        <w:t>jednej rozprawie, zwłaszcza gdy strony postępowania składają wnioski dowodowe,</w:t>
      </w:r>
      <w:r w:rsidR="00992FD0" w:rsidRPr="00EC250C">
        <w:t xml:space="preserve"> w </w:t>
      </w:r>
      <w:r w:rsidRPr="00EC250C">
        <w:t>tym</w:t>
      </w:r>
      <w:r w:rsidR="00992FD0" w:rsidRPr="00EC250C">
        <w:t xml:space="preserve"> o </w:t>
      </w:r>
      <w:r w:rsidRPr="00EC250C">
        <w:t>przesłuchanie świadków. W jednej</w:t>
      </w:r>
      <w:r w:rsidR="00992FD0" w:rsidRPr="00EC250C">
        <w:t xml:space="preserve"> z </w:t>
      </w:r>
      <w:r w:rsidRPr="00EC250C">
        <w:t>badanych przez RPO spraw rozprawa odbyła się dopiero po 9 miesiącach od wpływu wniosku.</w:t>
      </w:r>
    </w:p>
    <w:p w14:paraId="41209FE1" w14:textId="77777777" w:rsidR="00F7579B" w:rsidRPr="00EC250C" w:rsidRDefault="003662A0" w:rsidP="00D131FA">
      <w:pPr>
        <w:pStyle w:val="Styl1"/>
        <w:rPr>
          <w:rFonts w:eastAsia="SimSun"/>
          <w:lang w:eastAsia="en-US"/>
        </w:rPr>
      </w:pPr>
      <w:r w:rsidRPr="00EC250C">
        <w:t>Korespondencja</w:t>
      </w:r>
      <w:r w:rsidR="00992FD0" w:rsidRPr="00EC250C">
        <w:t xml:space="preserve"> w </w:t>
      </w:r>
      <w:r w:rsidRPr="00EC250C">
        <w:t>tej sprawie trwa</w:t>
      </w:r>
      <w:r w:rsidR="00992FD0" w:rsidRPr="00EC250C">
        <w:t xml:space="preserve"> z </w:t>
      </w:r>
      <w:r w:rsidR="00907A50" w:rsidRPr="00EC250C">
        <w:t>Ministrem S</w:t>
      </w:r>
      <w:r w:rsidRPr="00EC250C">
        <w:t>prawiedliwości do 2016</w:t>
      </w:r>
      <w:r w:rsidR="00C91F6E" w:rsidRPr="00EC250C">
        <w:t> r.</w:t>
      </w:r>
      <w:r w:rsidRPr="00EC250C">
        <w:t xml:space="preserve"> </w:t>
      </w:r>
      <w:r w:rsidR="00BE1E83" w:rsidRPr="00EC250C">
        <w:t>W styczniu 201</w:t>
      </w:r>
      <w:r w:rsidR="00F7579B" w:rsidRPr="00EC250C">
        <w:t>9</w:t>
      </w:r>
      <w:r w:rsidR="00C91F6E" w:rsidRPr="00EC250C">
        <w:t> r.</w:t>
      </w:r>
      <w:r w:rsidR="00F7579B" w:rsidRPr="00EC250C">
        <w:t xml:space="preserve"> odpowiedział, że sprawa nadal jest analizowana,</w:t>
      </w:r>
      <w:r w:rsidR="00992FD0" w:rsidRPr="00EC250C">
        <w:t xml:space="preserve"> a </w:t>
      </w:r>
      <w:r w:rsidR="00F7579B" w:rsidRPr="00EC250C">
        <w:rPr>
          <w:rFonts w:eastAsia="SimSun"/>
          <w:lang w:eastAsia="en-US"/>
        </w:rPr>
        <w:t>problematyka ustawy jest tematem zajęć podczas aplikacji sędziowskiej oraz szkoleń organizowanych przez Krajową Szkolę Sądownictwa</w:t>
      </w:r>
      <w:r w:rsidR="00992FD0" w:rsidRPr="00EC250C">
        <w:rPr>
          <w:rFonts w:eastAsia="SimSun"/>
          <w:lang w:eastAsia="en-US"/>
        </w:rPr>
        <w:t xml:space="preserve"> i </w:t>
      </w:r>
      <w:r w:rsidR="00F7579B" w:rsidRPr="00EC250C">
        <w:rPr>
          <w:rFonts w:eastAsia="SimSun"/>
          <w:lang w:eastAsia="en-US"/>
        </w:rPr>
        <w:t>Prokuratury</w:t>
      </w:r>
      <w:r w:rsidR="00215A26" w:rsidRPr="00EC250C">
        <w:rPr>
          <w:rStyle w:val="Odwoanieprzypisudolnego"/>
        </w:rPr>
        <w:footnoteReference w:id="75"/>
      </w:r>
      <w:r w:rsidR="00F7579B" w:rsidRPr="00EC250C">
        <w:rPr>
          <w:rFonts w:eastAsia="SimSun"/>
          <w:lang w:eastAsia="en-US"/>
        </w:rPr>
        <w:t>.</w:t>
      </w:r>
    </w:p>
    <w:p w14:paraId="1BA24478" w14:textId="77777777" w:rsidR="008E1DF2" w:rsidRPr="00EC250C" w:rsidRDefault="00B8780F" w:rsidP="00EC79EB">
      <w:pPr>
        <w:pStyle w:val="Nagwek4"/>
      </w:pPr>
      <w:bookmarkStart w:id="74" w:name="_Toc6257651"/>
      <w:bookmarkStart w:id="75" w:name="_Toc11247556"/>
      <w:r w:rsidRPr="00EC250C">
        <w:t>O</w:t>
      </w:r>
      <w:r w:rsidR="008E1DF2" w:rsidRPr="00EC250C">
        <w:t>granicz</w:t>
      </w:r>
      <w:r w:rsidRPr="00EC250C">
        <w:t>a</w:t>
      </w:r>
      <w:r w:rsidR="008E1DF2" w:rsidRPr="00EC250C">
        <w:t xml:space="preserve">nie dostępu do usług </w:t>
      </w:r>
      <w:r w:rsidR="00F609E8" w:rsidRPr="00EC250C">
        <w:t>ze względu na płeć</w:t>
      </w:r>
      <w:bookmarkEnd w:id="74"/>
      <w:bookmarkEnd w:id="75"/>
    </w:p>
    <w:p w14:paraId="3B297F3E" w14:textId="77777777" w:rsidR="00D91FBD" w:rsidRPr="00EC250C" w:rsidRDefault="00F609E8" w:rsidP="00D131FA">
      <w:pPr>
        <w:pStyle w:val="Problemczowieka"/>
        <w:jc w:val="both"/>
      </w:pPr>
      <w:r w:rsidRPr="00EC250C">
        <w:t>Zdarzają się</w:t>
      </w:r>
      <w:r w:rsidR="00992FD0" w:rsidRPr="00EC250C">
        <w:t xml:space="preserve"> w </w:t>
      </w:r>
      <w:r w:rsidRPr="00EC250C">
        <w:t>Polsce oferty usług</w:t>
      </w:r>
      <w:r w:rsidR="001911F3" w:rsidRPr="00EC250C">
        <w:t xml:space="preserve"> bądź promocji dostępnych</w:t>
      </w:r>
      <w:r w:rsidRPr="00EC250C">
        <w:t xml:space="preserve"> tylko dla </w:t>
      </w:r>
      <w:r w:rsidR="0096462C" w:rsidRPr="00EC250C">
        <w:t>przedstawicieli jednej</w:t>
      </w:r>
      <w:r w:rsidR="00992FD0" w:rsidRPr="00EC250C">
        <w:t xml:space="preserve"> z </w:t>
      </w:r>
      <w:r w:rsidR="0096462C" w:rsidRPr="00EC250C">
        <w:t>płci</w:t>
      </w:r>
      <w:r w:rsidR="009D712A" w:rsidRPr="00EC250C">
        <w:t>,</w:t>
      </w:r>
      <w:r w:rsidRPr="00EC250C">
        <w:t xml:space="preserve"> np. na basenach czy saunach. Czy to</w:t>
      </w:r>
      <w:r w:rsidR="00992FD0" w:rsidRPr="00EC250C">
        <w:t xml:space="preserve"> w </w:t>
      </w:r>
      <w:r w:rsidRPr="00EC250C">
        <w:t>porządku</w:t>
      </w:r>
      <w:r w:rsidR="00D91FBD" w:rsidRPr="00EC250C">
        <w:t>?</w:t>
      </w:r>
    </w:p>
    <w:p w14:paraId="42034A96" w14:textId="77777777" w:rsidR="008E1DF2" w:rsidRPr="00EC250C" w:rsidRDefault="008E1DF2" w:rsidP="00D131FA">
      <w:pPr>
        <w:pStyle w:val="Styl1"/>
      </w:pPr>
      <w:r w:rsidRPr="00EC250C">
        <w:lastRenderedPageBreak/>
        <w:t xml:space="preserve">Rzecznik </w:t>
      </w:r>
      <w:r w:rsidR="009D712A" w:rsidRPr="00EC250C">
        <w:t>dostawał</w:t>
      </w:r>
      <w:r w:rsidR="00992FD0" w:rsidRPr="00EC250C">
        <w:t xml:space="preserve"> w </w:t>
      </w:r>
      <w:r w:rsidR="009D712A" w:rsidRPr="00EC250C">
        <w:t>tej sprawie skargi</w:t>
      </w:r>
      <w:r w:rsidR="00992FD0" w:rsidRPr="00EC250C">
        <w:t xml:space="preserve"> i </w:t>
      </w:r>
      <w:r w:rsidRPr="00EC250C">
        <w:t>powziął wątpliwość, czy oferowanie usług</w:t>
      </w:r>
      <w:r w:rsidR="00992FD0" w:rsidRPr="00EC250C">
        <w:t xml:space="preserve"> w </w:t>
      </w:r>
      <w:r w:rsidRPr="00EC250C">
        <w:t>określone dni tygodnia jedynie kobietom lub mężczyznom – jako działanie sprzeczne</w:t>
      </w:r>
      <w:r w:rsidR="00992FD0" w:rsidRPr="00EC250C">
        <w:t xml:space="preserve"> z </w:t>
      </w:r>
      <w:r w:rsidRPr="00EC250C">
        <w:t xml:space="preserve">dobrymi obyczajami – </w:t>
      </w:r>
      <w:r w:rsidR="00F609E8" w:rsidRPr="00EC250C">
        <w:t>nie jest</w:t>
      </w:r>
      <w:r w:rsidR="009D712A" w:rsidRPr="00EC250C">
        <w:t xml:space="preserve"> </w:t>
      </w:r>
      <w:r w:rsidRPr="00EC250C">
        <w:t>nieuczciwą praktyk</w:t>
      </w:r>
      <w:r w:rsidR="00E73BE3" w:rsidRPr="00EC250C">
        <w:t>ą</w:t>
      </w:r>
      <w:r w:rsidRPr="00EC250C">
        <w:t xml:space="preserve"> rynkową</w:t>
      </w:r>
      <w:r w:rsidR="00F609E8" w:rsidRPr="00EC250C">
        <w:t>.</w:t>
      </w:r>
      <w:r w:rsidRPr="00EC250C">
        <w:t xml:space="preserve"> </w:t>
      </w:r>
      <w:r w:rsidR="009D712A" w:rsidRPr="00EC250C">
        <w:t>Z</w:t>
      </w:r>
      <w:r w:rsidR="00497FDC" w:rsidRPr="00EC250C">
        <w:t>wrócił się do Urzędu Ochrony Konkurencji</w:t>
      </w:r>
      <w:r w:rsidR="00992FD0" w:rsidRPr="00EC250C">
        <w:t xml:space="preserve"> i </w:t>
      </w:r>
      <w:r w:rsidR="00497FDC" w:rsidRPr="00EC250C">
        <w:t>Konsumenta</w:t>
      </w:r>
      <w:r w:rsidR="00992FD0" w:rsidRPr="00EC250C">
        <w:t xml:space="preserve"> o </w:t>
      </w:r>
      <w:r w:rsidR="00497FDC" w:rsidRPr="00EC250C">
        <w:t>rozważanie przeprowadzenia kontroli</w:t>
      </w:r>
      <w:r w:rsidR="009D712A" w:rsidRPr="00EC250C">
        <w:t>, czy takie regulaminy korzystania</w:t>
      </w:r>
      <w:r w:rsidR="00992FD0" w:rsidRPr="00EC250C">
        <w:t xml:space="preserve"> z </w:t>
      </w:r>
      <w:r w:rsidR="009D712A" w:rsidRPr="00EC250C">
        <w:t>usług są zgodne</w:t>
      </w:r>
      <w:r w:rsidR="00992FD0" w:rsidRPr="00EC250C">
        <w:t xml:space="preserve"> z </w:t>
      </w:r>
      <w:r w:rsidR="009D712A" w:rsidRPr="00EC250C">
        <w:t>prawem. Podał przykład konkretnej spółki</w:t>
      </w:r>
      <w:r w:rsidR="00497FDC" w:rsidRPr="00EC250C">
        <w:t>. UOKiK</w:t>
      </w:r>
      <w:r w:rsidRPr="00EC250C">
        <w:t xml:space="preserve"> </w:t>
      </w:r>
      <w:r w:rsidR="00F609E8" w:rsidRPr="00EC250C">
        <w:t>nie znalazł</w:t>
      </w:r>
      <w:r w:rsidR="001911F3" w:rsidRPr="00EC250C">
        <w:t xml:space="preserve"> </w:t>
      </w:r>
      <w:r w:rsidRPr="00EC250C">
        <w:t>podstaw do</w:t>
      </w:r>
      <w:r w:rsidR="00D73997" w:rsidRPr="00EC250C">
        <w:t xml:space="preserve"> </w:t>
      </w:r>
      <w:r w:rsidRPr="00EC250C">
        <w:t>interwencji, gdyż</w:t>
      </w:r>
      <w:r w:rsidR="00992FD0" w:rsidRPr="00EC250C">
        <w:t xml:space="preserve"> w </w:t>
      </w:r>
      <w:r w:rsidR="00497FDC" w:rsidRPr="00EC250C">
        <w:t>jego ocenie</w:t>
      </w:r>
      <w:r w:rsidRPr="00EC250C">
        <w:t xml:space="preserve"> nie doszło do naruszenia zbiorowych interesów konsumentów – </w:t>
      </w:r>
      <w:r w:rsidR="001911F3" w:rsidRPr="00EC250C">
        <w:t>informacja</w:t>
      </w:r>
      <w:r w:rsidR="00992FD0" w:rsidRPr="00EC250C">
        <w:t xml:space="preserve"> o </w:t>
      </w:r>
      <w:r w:rsidR="00F609E8" w:rsidRPr="00EC250C">
        <w:t>tym, że danego dnia na saunę mogą wejść tylko kobiety, była łatwo dostępna</w:t>
      </w:r>
      <w:r w:rsidRPr="00EC250C">
        <w:t>,</w:t>
      </w:r>
      <w:r w:rsidR="00992FD0" w:rsidRPr="00EC250C">
        <w:t xml:space="preserve"> a </w:t>
      </w:r>
      <w:r w:rsidRPr="00EC250C">
        <w:t>rozwiązanie było zbieżne</w:t>
      </w:r>
      <w:r w:rsidR="00992FD0" w:rsidRPr="00EC250C">
        <w:t xml:space="preserve"> z </w:t>
      </w:r>
      <w:r w:rsidRPr="00EC250C">
        <w:t xml:space="preserve">potrzebami klientek. </w:t>
      </w:r>
      <w:r w:rsidR="003B78A5" w:rsidRPr="00EC250C">
        <w:t>Wątpliwości RPO budzi to, czy zastosowane środki są proporcjonalne. Postępowanie jest kontynuowane</w:t>
      </w:r>
      <w:r w:rsidR="008B2B7E" w:rsidRPr="00EC250C">
        <w:rPr>
          <w:rStyle w:val="Odwoanieprzypisudolnego"/>
        </w:rPr>
        <w:footnoteReference w:id="76"/>
      </w:r>
      <w:r w:rsidR="003B78A5" w:rsidRPr="00EC250C">
        <w:t>.</w:t>
      </w:r>
    </w:p>
    <w:p w14:paraId="135126E6" w14:textId="77777777" w:rsidR="000B34EC" w:rsidRPr="00EC250C" w:rsidRDefault="000B34EC" w:rsidP="00EC79EB">
      <w:pPr>
        <w:pStyle w:val="Nagwek4"/>
      </w:pPr>
      <w:bookmarkStart w:id="76" w:name="_Toc11247557"/>
      <w:r w:rsidRPr="00EC250C">
        <w:t>Doświadczenie molestowania</w:t>
      </w:r>
      <w:r w:rsidR="00992FD0" w:rsidRPr="00EC250C">
        <w:t xml:space="preserve"> i </w:t>
      </w:r>
      <w:r w:rsidRPr="00EC250C">
        <w:t>przemocy seksualnej</w:t>
      </w:r>
      <w:bookmarkEnd w:id="76"/>
    </w:p>
    <w:p w14:paraId="2B4E0732" w14:textId="77777777" w:rsidR="000B34EC" w:rsidRPr="00EC250C" w:rsidRDefault="000B34EC" w:rsidP="00EC250C">
      <w:pPr>
        <w:pStyle w:val="Nagwek5"/>
      </w:pPr>
      <w:r w:rsidRPr="00EC250C">
        <w:t>Problem molestowania studentek</w:t>
      </w:r>
      <w:r w:rsidR="00992FD0" w:rsidRPr="00EC250C">
        <w:t xml:space="preserve"> i </w:t>
      </w:r>
      <w:r w:rsidRPr="00EC250C">
        <w:t>studentów</w:t>
      </w:r>
    </w:p>
    <w:p w14:paraId="6B76C122" w14:textId="77777777" w:rsidR="00B473F5" w:rsidRPr="00EC250C" w:rsidRDefault="000B34EC" w:rsidP="00D131FA">
      <w:pPr>
        <w:pStyle w:val="Problemczowieka"/>
        <w:jc w:val="both"/>
        <w:rPr>
          <w:rStyle w:val="Pogrubienie"/>
          <w:b/>
          <w:bCs w:val="0"/>
        </w:rPr>
      </w:pPr>
      <w:r w:rsidRPr="00EC250C">
        <w:rPr>
          <w:rStyle w:val="Pogrubienie"/>
          <w:b/>
          <w:bCs w:val="0"/>
        </w:rPr>
        <w:t>Płeć jest jednym</w:t>
      </w:r>
      <w:r w:rsidR="00992FD0" w:rsidRPr="00EC250C">
        <w:rPr>
          <w:rStyle w:val="Pogrubienie"/>
          <w:b/>
          <w:bCs w:val="0"/>
        </w:rPr>
        <w:t xml:space="preserve"> z </w:t>
      </w:r>
      <w:r w:rsidRPr="00EC250C">
        <w:rPr>
          <w:rStyle w:val="Pogrubienie"/>
          <w:b/>
          <w:bCs w:val="0"/>
        </w:rPr>
        <w:t>kluczowych czynników związanych</w:t>
      </w:r>
      <w:r w:rsidR="00992FD0" w:rsidRPr="00EC250C">
        <w:rPr>
          <w:rStyle w:val="Pogrubienie"/>
          <w:b/>
          <w:bCs w:val="0"/>
        </w:rPr>
        <w:t xml:space="preserve"> z </w:t>
      </w:r>
      <w:r w:rsidRPr="00EC250C">
        <w:rPr>
          <w:rStyle w:val="Pogrubienie"/>
          <w:b/>
          <w:bCs w:val="0"/>
        </w:rPr>
        <w:t>molestowaniem, molestowaniem seksualnym</w:t>
      </w:r>
      <w:r w:rsidR="00992FD0" w:rsidRPr="00EC250C">
        <w:rPr>
          <w:rStyle w:val="Pogrubienie"/>
          <w:b/>
          <w:bCs w:val="0"/>
        </w:rPr>
        <w:t xml:space="preserve"> i </w:t>
      </w:r>
      <w:r w:rsidRPr="00EC250C">
        <w:rPr>
          <w:rStyle w:val="Pogrubienie"/>
          <w:b/>
          <w:bCs w:val="0"/>
        </w:rPr>
        <w:t>przemocą seksualną. Czynnikami mającymi wpływ na występowanie przemocy,</w:t>
      </w:r>
      <w:r w:rsidR="00992FD0" w:rsidRPr="00EC250C">
        <w:rPr>
          <w:rStyle w:val="Pogrubienie"/>
          <w:b/>
          <w:bCs w:val="0"/>
        </w:rPr>
        <w:t xml:space="preserve"> w </w:t>
      </w:r>
      <w:r w:rsidRPr="00EC250C">
        <w:rPr>
          <w:rStyle w:val="Pogrubienie"/>
          <w:b/>
          <w:bCs w:val="0"/>
        </w:rPr>
        <w:t>tym przemocy seksualnej, są także władza</w:t>
      </w:r>
      <w:r w:rsidR="00992FD0" w:rsidRPr="00EC250C">
        <w:rPr>
          <w:rStyle w:val="Pogrubienie"/>
          <w:b/>
          <w:bCs w:val="0"/>
        </w:rPr>
        <w:t xml:space="preserve"> i </w:t>
      </w:r>
      <w:r w:rsidRPr="00EC250C">
        <w:rPr>
          <w:rStyle w:val="Pogrubienie"/>
          <w:b/>
          <w:bCs w:val="0"/>
        </w:rPr>
        <w:t>zwierzchnictwo</w:t>
      </w:r>
      <w:r w:rsidR="00992FD0" w:rsidRPr="00EC250C">
        <w:rPr>
          <w:rStyle w:val="Pogrubienie"/>
          <w:b/>
          <w:bCs w:val="0"/>
        </w:rPr>
        <w:t xml:space="preserve"> w </w:t>
      </w:r>
      <w:r w:rsidRPr="00EC250C">
        <w:rPr>
          <w:rStyle w:val="Pogrubienie"/>
          <w:b/>
          <w:bCs w:val="0"/>
        </w:rPr>
        <w:t>organizacji. Osoby doświadczające molestowania, molestowania seksualnego czy przemocy seksualnej na uczelni mogą ponosić długotrwałe konsekwencje tych zdarzeń</w:t>
      </w:r>
      <w:r w:rsidR="00B473F5" w:rsidRPr="00EC250C">
        <w:rPr>
          <w:rStyle w:val="Pogrubienie"/>
          <w:b/>
          <w:bCs w:val="0"/>
        </w:rPr>
        <w:t>.</w:t>
      </w:r>
    </w:p>
    <w:p w14:paraId="45DC297E" w14:textId="77777777" w:rsidR="00C91F6E" w:rsidRPr="00EC250C" w:rsidRDefault="000B34EC" w:rsidP="00D131FA">
      <w:pPr>
        <w:pStyle w:val="Styl1"/>
      </w:pPr>
      <w:r w:rsidRPr="00EC250C">
        <w:rPr>
          <w:rStyle w:val="Pogrubienie"/>
          <w:b w:val="0"/>
          <w:bCs w:val="0"/>
        </w:rPr>
        <w:t>Takie wnioski wynikają</w:t>
      </w:r>
      <w:r w:rsidR="00992FD0" w:rsidRPr="00EC250C">
        <w:rPr>
          <w:rStyle w:val="Pogrubienie"/>
          <w:b w:val="0"/>
          <w:bCs w:val="0"/>
        </w:rPr>
        <w:t xml:space="preserve"> z </w:t>
      </w:r>
      <w:r w:rsidRPr="00EC250C">
        <w:rPr>
          <w:rStyle w:val="Pogrubienie"/>
          <w:b w:val="0"/>
          <w:bCs w:val="0"/>
        </w:rPr>
        <w:t>analizy danych zebranych</w:t>
      </w:r>
      <w:r w:rsidR="00992FD0" w:rsidRPr="00EC250C">
        <w:rPr>
          <w:rStyle w:val="Pogrubienie"/>
          <w:b w:val="0"/>
          <w:bCs w:val="0"/>
        </w:rPr>
        <w:t xml:space="preserve"> w </w:t>
      </w:r>
      <w:r w:rsidRPr="00EC250C">
        <w:rPr>
          <w:rStyle w:val="Pogrubienie"/>
          <w:b w:val="0"/>
          <w:bCs w:val="0"/>
        </w:rPr>
        <w:t xml:space="preserve">ramach badania ankietowego przeprowadzonego na zlecenie </w:t>
      </w:r>
      <w:r w:rsidR="00073A8C" w:rsidRPr="00EC250C">
        <w:rPr>
          <w:rStyle w:val="Pogrubienie"/>
          <w:b w:val="0"/>
          <w:bCs w:val="0"/>
        </w:rPr>
        <w:t>RPO</w:t>
      </w:r>
      <w:r w:rsidRPr="00EC250C">
        <w:t>. Jest to jeden</w:t>
      </w:r>
      <w:r w:rsidR="00992FD0" w:rsidRPr="00EC250C">
        <w:t xml:space="preserve"> z </w:t>
      </w:r>
      <w:r w:rsidRPr="00EC250C">
        <w:t>tych raportów, których temat jest wybrany na podstawie konsultacji społecznych</w:t>
      </w:r>
      <w:r w:rsidR="00992FD0" w:rsidRPr="00EC250C">
        <w:t xml:space="preserve"> z </w:t>
      </w:r>
      <w:r w:rsidRPr="00EC250C">
        <w:t>przedstawicielami organizacji pozarządowych, instytucji państwowych oraz uczelni</w:t>
      </w:r>
      <w:r w:rsidR="00992FD0" w:rsidRPr="00EC250C">
        <w:t xml:space="preserve"> i </w:t>
      </w:r>
      <w:r w:rsidRPr="00EC250C">
        <w:t>ośrodków naukowo-badawczych.</w:t>
      </w:r>
    </w:p>
    <w:p w14:paraId="2A308F3B" w14:textId="77777777" w:rsidR="00C91F6E" w:rsidRPr="00EC250C" w:rsidRDefault="000B34EC" w:rsidP="00D131FA">
      <w:pPr>
        <w:pStyle w:val="Styl1"/>
      </w:pPr>
      <w:r w:rsidRPr="00EC250C">
        <w:t>Raport kończy się konkretnymi zaleceniami,</w:t>
      </w:r>
    </w:p>
    <w:p w14:paraId="23F396B6" w14:textId="77777777" w:rsidR="00C91F6E" w:rsidRPr="00EC250C" w:rsidRDefault="000B34EC" w:rsidP="006C70B7">
      <w:pPr>
        <w:pStyle w:val="Styl1"/>
        <w:numPr>
          <w:ilvl w:val="0"/>
          <w:numId w:val="140"/>
        </w:numPr>
      </w:pPr>
      <w:r w:rsidRPr="00EC250C">
        <w:t>jak wzmacniać ochronę prawną przed molestowaniem (m.in. przez wprowadzenie obowiązku uchwalenia przez uczelnie tzw. standardów antydyskryminacyjnych, tj. opisu wartości etycznych, którymi powinni kierować się zarówno pracownicy</w:t>
      </w:r>
      <w:r w:rsidR="00992FD0" w:rsidRPr="00EC250C">
        <w:t xml:space="preserve"> i </w:t>
      </w:r>
      <w:r w:rsidRPr="00EC250C">
        <w:t>pracowniczki uczelni oraz studenci</w:t>
      </w:r>
      <w:r w:rsidR="00992FD0" w:rsidRPr="00EC250C">
        <w:t xml:space="preserve"> i </w:t>
      </w:r>
      <w:r w:rsidRPr="00EC250C">
        <w:t>studentki</w:t>
      </w:r>
      <w:r w:rsidR="00992FD0" w:rsidRPr="00EC250C">
        <w:t xml:space="preserve"> w </w:t>
      </w:r>
      <w:r w:rsidRPr="00EC250C">
        <w:t>zakresie równego traktowania, jak</w:t>
      </w:r>
      <w:r w:rsidR="00992FD0" w:rsidRPr="00EC250C">
        <w:t xml:space="preserve"> i </w:t>
      </w:r>
      <w:r w:rsidRPr="00EC250C">
        <w:t>kompleksowych procedur związanych</w:t>
      </w:r>
      <w:r w:rsidR="00992FD0" w:rsidRPr="00EC250C">
        <w:t xml:space="preserve"> z </w:t>
      </w:r>
      <w:r w:rsidRPr="00EC250C">
        <w:t>przeciwdziałaniem</w:t>
      </w:r>
      <w:r w:rsidR="00992FD0" w:rsidRPr="00EC250C">
        <w:t xml:space="preserve"> i </w:t>
      </w:r>
      <w:r w:rsidRPr="00EC250C">
        <w:t>reagowaniem na przejawy dyskryminacji),</w:t>
      </w:r>
    </w:p>
    <w:p w14:paraId="52E99A82" w14:textId="77777777" w:rsidR="00C91F6E" w:rsidRPr="00EC250C" w:rsidRDefault="000B34EC" w:rsidP="006C70B7">
      <w:pPr>
        <w:pStyle w:val="Styl1"/>
        <w:numPr>
          <w:ilvl w:val="0"/>
          <w:numId w:val="140"/>
        </w:numPr>
      </w:pPr>
      <w:r w:rsidRPr="00EC250C">
        <w:t>jak rozpowszechniać wiedzę</w:t>
      </w:r>
      <w:r w:rsidR="00992FD0" w:rsidRPr="00EC250C">
        <w:t xml:space="preserve"> o </w:t>
      </w:r>
      <w:r w:rsidRPr="00EC250C">
        <w:t>tym, czym jest molestowanie seksualne (chodzi m.in.</w:t>
      </w:r>
      <w:r w:rsidR="00992FD0" w:rsidRPr="00EC250C">
        <w:t xml:space="preserve"> o </w:t>
      </w:r>
      <w:r w:rsidRPr="00EC250C">
        <w:t>rzetelną edukację antydyskryminacyjną),</w:t>
      </w:r>
    </w:p>
    <w:p w14:paraId="66D9579F" w14:textId="77777777" w:rsidR="000B34EC" w:rsidRPr="00EC250C" w:rsidRDefault="000B34EC" w:rsidP="006C70B7">
      <w:pPr>
        <w:pStyle w:val="Styl1"/>
        <w:numPr>
          <w:ilvl w:val="0"/>
          <w:numId w:val="140"/>
        </w:numPr>
      </w:pPr>
      <w:r w:rsidRPr="00EC250C">
        <w:t>jak zwiększać wiedzę</w:t>
      </w:r>
      <w:r w:rsidR="00992FD0" w:rsidRPr="00EC250C">
        <w:t xml:space="preserve"> o </w:t>
      </w:r>
      <w:r w:rsidRPr="00EC250C">
        <w:t>środkach ochrony prawnej przed molestowaniem</w:t>
      </w:r>
    </w:p>
    <w:p w14:paraId="3B036C44" w14:textId="77777777" w:rsidR="000B34EC" w:rsidRPr="00EC250C" w:rsidRDefault="000B34EC" w:rsidP="006C70B7">
      <w:pPr>
        <w:pStyle w:val="Styl1"/>
        <w:numPr>
          <w:ilvl w:val="0"/>
          <w:numId w:val="140"/>
        </w:numPr>
      </w:pPr>
      <w:r w:rsidRPr="00EC250C">
        <w:t>jak wspierać studentów</w:t>
      </w:r>
      <w:r w:rsidR="00992FD0" w:rsidRPr="00EC250C">
        <w:t xml:space="preserve"> i </w:t>
      </w:r>
      <w:r w:rsidRPr="00EC250C">
        <w:t>studentki znajdujących się</w:t>
      </w:r>
      <w:r w:rsidR="00992FD0" w:rsidRPr="00EC250C">
        <w:t xml:space="preserve"> w </w:t>
      </w:r>
      <w:r w:rsidRPr="00EC250C">
        <w:t>szczególnej sytuacji, narażonych na molestowanie, molestowanie seksualne</w:t>
      </w:r>
      <w:r w:rsidR="00992FD0" w:rsidRPr="00EC250C">
        <w:t xml:space="preserve"> i </w:t>
      </w:r>
      <w:r w:rsidRPr="00EC250C">
        <w:t>przestępstwa seksualne</w:t>
      </w:r>
      <w:r w:rsidR="00CF6FDF" w:rsidRPr="00EC250C">
        <w:t xml:space="preserve"> </w:t>
      </w:r>
      <w:r w:rsidRPr="00EC250C">
        <w:t>(jednym ze sposobów jest zapewnienie darmowego wsparcia psychologicznego</w:t>
      </w:r>
      <w:r w:rsidRPr="00EC250C">
        <w:rPr>
          <w:rStyle w:val="Odwoanieprzypisudolnego"/>
        </w:rPr>
        <w:footnoteReference w:id="77"/>
      </w:r>
      <w:r w:rsidRPr="00EC250C">
        <w:t>.</w:t>
      </w:r>
    </w:p>
    <w:p w14:paraId="0D5D5010" w14:textId="77777777" w:rsidR="004A72FD" w:rsidRPr="00EC250C" w:rsidRDefault="007A5B7E" w:rsidP="00EC250C">
      <w:pPr>
        <w:pStyle w:val="Nagwek5"/>
      </w:pPr>
      <w:r w:rsidRPr="00EC250C">
        <w:lastRenderedPageBreak/>
        <w:t>Molestowanie kobiet</w:t>
      </w:r>
      <w:r w:rsidR="00992FD0" w:rsidRPr="00EC250C">
        <w:t xml:space="preserve"> w </w:t>
      </w:r>
      <w:r w:rsidR="004A72FD" w:rsidRPr="00EC250C">
        <w:t>służbach mundurowych</w:t>
      </w:r>
    </w:p>
    <w:p w14:paraId="4FD523BE" w14:textId="77777777" w:rsidR="00B473F5" w:rsidRPr="00EC250C" w:rsidRDefault="004A72FD" w:rsidP="00D131FA">
      <w:pPr>
        <w:pStyle w:val="Problemczowieka"/>
        <w:jc w:val="both"/>
      </w:pPr>
      <w:r w:rsidRPr="00EC250C">
        <w:t>Specyfika służb mundurowych sprawia, że są one instytucjami zhierarchizowanymi, hermetycznymi,</w:t>
      </w:r>
      <w:r w:rsidR="00992FD0" w:rsidRPr="00EC250C">
        <w:t xml:space="preserve"> o </w:t>
      </w:r>
      <w:r w:rsidRPr="00EC250C">
        <w:t xml:space="preserve">silnych strukturach pionowego podporządkowania. </w:t>
      </w:r>
      <w:r w:rsidR="006350C6" w:rsidRPr="00EC250C">
        <w:t>Dlatego</w:t>
      </w:r>
      <w:r w:rsidRPr="00EC250C">
        <w:t xml:space="preserve"> realia służby stwarzają zagrożenie </w:t>
      </w:r>
      <w:r w:rsidR="006350C6" w:rsidRPr="00EC250C">
        <w:t xml:space="preserve">częstszego </w:t>
      </w:r>
      <w:r w:rsidRPr="00EC250C">
        <w:t>naruszania,</w:t>
      </w:r>
      <w:r w:rsidR="00992FD0" w:rsidRPr="00EC250C">
        <w:t xml:space="preserve"> a </w:t>
      </w:r>
      <w:r w:rsidRPr="00EC250C">
        <w:t>nawet łamania wolności</w:t>
      </w:r>
      <w:r w:rsidR="00992FD0" w:rsidRPr="00EC250C">
        <w:t xml:space="preserve"> i </w:t>
      </w:r>
      <w:r w:rsidRPr="00EC250C">
        <w:t>praw</w:t>
      </w:r>
      <w:r w:rsidR="00B473F5" w:rsidRPr="00EC250C">
        <w:t>.</w:t>
      </w:r>
    </w:p>
    <w:p w14:paraId="3EC91720" w14:textId="77777777" w:rsidR="004A72FD" w:rsidRPr="00EC250C" w:rsidRDefault="004A72FD" w:rsidP="00D131FA">
      <w:pPr>
        <w:pStyle w:val="Styl1"/>
      </w:pPr>
      <w:r w:rsidRPr="00EC250C">
        <w:t>RPO – jako organ ds. równego traktowania – zajmuje się przeciwdziałaniem dyskryminacji ze względu na płeć</w:t>
      </w:r>
      <w:r w:rsidR="00992FD0" w:rsidRPr="00EC250C">
        <w:t xml:space="preserve"> w </w:t>
      </w:r>
      <w:r w:rsidRPr="00EC250C">
        <w:t>służbach mundurowych. Lista spraw do załatwienia dotyczących praw kobiet jest długa – począwszy od życia prywatnego, poprzez zatrudnienie, po udział</w:t>
      </w:r>
      <w:r w:rsidR="00992FD0" w:rsidRPr="00EC250C">
        <w:t xml:space="preserve"> w </w:t>
      </w:r>
      <w:r w:rsidRPr="00EC250C">
        <w:t>życiu publicznym.</w:t>
      </w:r>
    </w:p>
    <w:p w14:paraId="4388FE11" w14:textId="77777777" w:rsidR="004A72FD" w:rsidRPr="00EC250C" w:rsidRDefault="004A72FD" w:rsidP="00EC250C">
      <w:pPr>
        <w:pStyle w:val="Nagwek8"/>
      </w:pPr>
      <w:bookmarkStart w:id="77" w:name="_Hlk9418159"/>
      <w:r w:rsidRPr="00EC250C">
        <w:t>Wydział do spraw Żołnierzy</w:t>
      </w:r>
      <w:r w:rsidR="00992FD0" w:rsidRPr="00EC250C">
        <w:t xml:space="preserve"> i </w:t>
      </w:r>
      <w:r w:rsidRPr="00EC250C">
        <w:t>Funkcjonariuszy</w:t>
      </w:r>
      <w:r w:rsidR="00992FD0" w:rsidRPr="00EC250C">
        <w:t xml:space="preserve"> w </w:t>
      </w:r>
      <w:r w:rsidRPr="00EC250C">
        <w:t>Biurze RPO interweniował</w:t>
      </w:r>
      <w:r w:rsidR="00992FD0" w:rsidRPr="00EC250C">
        <w:t xml:space="preserve"> w </w:t>
      </w:r>
      <w:r w:rsidR="000B34EC" w:rsidRPr="00EC250C">
        <w:t>2018</w:t>
      </w:r>
      <w:r w:rsidR="00C91F6E" w:rsidRPr="00EC250C">
        <w:t> </w:t>
      </w:r>
      <w:r w:rsidR="00C91F6E" w:rsidRPr="00EC250C">
        <w:rPr>
          <w:rFonts w:hint="eastAsia"/>
        </w:rPr>
        <w:t>r.</w:t>
      </w:r>
      <w:r w:rsidR="00992FD0" w:rsidRPr="00EC250C">
        <w:t xml:space="preserve"> w </w:t>
      </w:r>
      <w:r w:rsidRPr="00EC250C">
        <w:t>sprawie:</w:t>
      </w:r>
    </w:p>
    <w:bookmarkEnd w:id="77"/>
    <w:p w14:paraId="7987AB0A" w14:textId="77777777" w:rsidR="00D07F37" w:rsidRPr="00EC250C" w:rsidRDefault="00D07F37" w:rsidP="006C70B7">
      <w:pPr>
        <w:pStyle w:val="Styl2"/>
        <w:numPr>
          <w:ilvl w:val="0"/>
          <w:numId w:val="141"/>
        </w:numPr>
        <w:spacing w:after="0" w:line="240" w:lineRule="auto"/>
        <w:rPr>
          <w:szCs w:val="24"/>
        </w:rPr>
      </w:pPr>
      <w:r w:rsidRPr="00EC250C">
        <w:rPr>
          <w:szCs w:val="24"/>
        </w:rPr>
        <w:t>wymiaru czasu służby policjantów,</w:t>
      </w:r>
      <w:r w:rsidR="00992FD0" w:rsidRPr="00EC250C">
        <w:rPr>
          <w:szCs w:val="24"/>
        </w:rPr>
        <w:t xml:space="preserve"> w </w:t>
      </w:r>
      <w:r w:rsidRPr="00EC250C">
        <w:rPr>
          <w:szCs w:val="24"/>
        </w:rPr>
        <w:t>tym rozwiązań umożliwiających służbę np. na pół etatu (w związku</w:t>
      </w:r>
      <w:r w:rsidR="00992FD0" w:rsidRPr="00EC250C">
        <w:rPr>
          <w:szCs w:val="24"/>
        </w:rPr>
        <w:t xml:space="preserve"> z </w:t>
      </w:r>
      <w:r w:rsidRPr="00EC250C">
        <w:rPr>
          <w:szCs w:val="24"/>
        </w:rPr>
        <w:t>rodzicielstwem),</w:t>
      </w:r>
    </w:p>
    <w:p w14:paraId="64B988CE" w14:textId="77777777" w:rsidR="00D07F37" w:rsidRPr="00EC250C" w:rsidRDefault="00D07F37" w:rsidP="006C70B7">
      <w:pPr>
        <w:pStyle w:val="Styl2"/>
        <w:numPr>
          <w:ilvl w:val="0"/>
          <w:numId w:val="141"/>
        </w:numPr>
        <w:spacing w:after="0" w:line="240" w:lineRule="auto"/>
        <w:rPr>
          <w:szCs w:val="24"/>
        </w:rPr>
      </w:pPr>
      <w:r w:rsidRPr="00EC250C">
        <w:rPr>
          <w:szCs w:val="24"/>
        </w:rPr>
        <w:t>korzystania</w:t>
      </w:r>
      <w:r w:rsidR="00992FD0" w:rsidRPr="00EC250C">
        <w:rPr>
          <w:szCs w:val="24"/>
        </w:rPr>
        <w:t xml:space="preserve"> z </w:t>
      </w:r>
      <w:r w:rsidRPr="00EC250C">
        <w:rPr>
          <w:szCs w:val="24"/>
        </w:rPr>
        <w:t>uprawnień rodzicielskich</w:t>
      </w:r>
      <w:r w:rsidR="00992FD0" w:rsidRPr="00EC250C">
        <w:rPr>
          <w:szCs w:val="24"/>
        </w:rPr>
        <w:t xml:space="preserve"> w </w:t>
      </w:r>
      <w:r w:rsidRPr="00EC250C">
        <w:rPr>
          <w:szCs w:val="24"/>
        </w:rPr>
        <w:t>sytuacji, gdy matka dziecka nie jest funkcjonariuszem lub żołnierzem,</w:t>
      </w:r>
    </w:p>
    <w:p w14:paraId="3CC22F83" w14:textId="77777777" w:rsidR="00D07F37" w:rsidRPr="00EC250C" w:rsidRDefault="00D07F37" w:rsidP="006C70B7">
      <w:pPr>
        <w:pStyle w:val="Styl2"/>
        <w:numPr>
          <w:ilvl w:val="0"/>
          <w:numId w:val="141"/>
        </w:numPr>
        <w:spacing w:after="0" w:line="240" w:lineRule="auto"/>
        <w:rPr>
          <w:szCs w:val="24"/>
        </w:rPr>
      </w:pPr>
      <w:r w:rsidRPr="00EC250C">
        <w:rPr>
          <w:szCs w:val="24"/>
        </w:rPr>
        <w:t>molestowania seksualnego policjantek</w:t>
      </w:r>
      <w:r w:rsidR="00992FD0" w:rsidRPr="00EC250C">
        <w:rPr>
          <w:szCs w:val="24"/>
        </w:rPr>
        <w:t xml:space="preserve"> i </w:t>
      </w:r>
      <w:r w:rsidRPr="00EC250C">
        <w:rPr>
          <w:szCs w:val="24"/>
        </w:rPr>
        <w:t>stażystek</w:t>
      </w:r>
      <w:r w:rsidR="00992FD0" w:rsidRPr="00EC250C">
        <w:rPr>
          <w:szCs w:val="24"/>
        </w:rPr>
        <w:t xml:space="preserve"> w </w:t>
      </w:r>
      <w:r w:rsidRPr="00EC250C">
        <w:rPr>
          <w:szCs w:val="24"/>
        </w:rPr>
        <w:t>jednostce Policji,</w:t>
      </w:r>
    </w:p>
    <w:p w14:paraId="00A584EB" w14:textId="77777777" w:rsidR="00D07F37" w:rsidRPr="00EC250C" w:rsidRDefault="00D07F37" w:rsidP="006C70B7">
      <w:pPr>
        <w:pStyle w:val="Styl2"/>
        <w:numPr>
          <w:ilvl w:val="0"/>
          <w:numId w:val="141"/>
        </w:numPr>
        <w:spacing w:after="0" w:line="240" w:lineRule="auto"/>
        <w:rPr>
          <w:szCs w:val="24"/>
        </w:rPr>
      </w:pPr>
      <w:r w:rsidRPr="00EC250C">
        <w:rPr>
          <w:szCs w:val="24"/>
        </w:rPr>
        <w:t>degradacji funkcjonariuszki Służby Kontrwywiadu Wojskowego,</w:t>
      </w:r>
    </w:p>
    <w:p w14:paraId="68E8D40E" w14:textId="77777777" w:rsidR="00D07F37" w:rsidRPr="00EC250C" w:rsidRDefault="00D07F37" w:rsidP="006C70B7">
      <w:pPr>
        <w:pStyle w:val="Styl2"/>
        <w:numPr>
          <w:ilvl w:val="0"/>
          <w:numId w:val="141"/>
        </w:numPr>
        <w:spacing w:after="0" w:line="240" w:lineRule="auto"/>
        <w:rPr>
          <w:szCs w:val="24"/>
        </w:rPr>
      </w:pPr>
      <w:r w:rsidRPr="00EC250C">
        <w:rPr>
          <w:szCs w:val="24"/>
        </w:rPr>
        <w:t>obowiązku dostarczania pracodawcy zaświadczeń</w:t>
      </w:r>
      <w:r w:rsidR="00992FD0" w:rsidRPr="00EC250C">
        <w:rPr>
          <w:szCs w:val="24"/>
        </w:rPr>
        <w:t xml:space="preserve"> o </w:t>
      </w:r>
      <w:r w:rsidRPr="00EC250C">
        <w:rPr>
          <w:szCs w:val="24"/>
        </w:rPr>
        <w:t>karmieniu piersią.</w:t>
      </w:r>
    </w:p>
    <w:p w14:paraId="471C0F21" w14:textId="77777777" w:rsidR="00C7664B" w:rsidRPr="00EC250C" w:rsidRDefault="00C7664B" w:rsidP="00EC250C">
      <w:pPr>
        <w:pStyle w:val="Nagwek5"/>
        <w:rPr>
          <w:spacing w:val="0"/>
        </w:rPr>
      </w:pPr>
      <w:r w:rsidRPr="00EC250C">
        <w:t>Przeciwdziałanie mobbingowi</w:t>
      </w:r>
      <w:r w:rsidR="00992FD0" w:rsidRPr="00EC250C">
        <w:t xml:space="preserve"> i </w:t>
      </w:r>
      <w:r w:rsidRPr="00EC250C">
        <w:t>dyskryminacji</w:t>
      </w:r>
      <w:r w:rsidR="00992FD0" w:rsidRPr="00EC250C">
        <w:t xml:space="preserve"> w </w:t>
      </w:r>
      <w:r w:rsidRPr="00EC250C">
        <w:t>służbach mundurowych. Analiza</w:t>
      </w:r>
      <w:r w:rsidR="00992FD0" w:rsidRPr="00EC250C">
        <w:t xml:space="preserve"> i </w:t>
      </w:r>
      <w:r w:rsidRPr="00EC250C">
        <w:t>zalecenia</w:t>
      </w:r>
    </w:p>
    <w:p w14:paraId="1A7D3577" w14:textId="77777777" w:rsidR="00B473F5" w:rsidRPr="00EC250C" w:rsidRDefault="00C7664B" w:rsidP="00D131FA">
      <w:pPr>
        <w:pStyle w:val="Problemczowieka"/>
        <w:jc w:val="both"/>
        <w:rPr>
          <w:rStyle w:val="Pogrubienie"/>
          <w:b/>
          <w:bCs w:val="0"/>
        </w:rPr>
      </w:pPr>
      <w:r w:rsidRPr="00EC250C">
        <w:rPr>
          <w:rStyle w:val="Pogrubienie"/>
          <w:b/>
          <w:bCs w:val="0"/>
        </w:rPr>
        <w:t>Mobbing</w:t>
      </w:r>
      <w:r w:rsidR="00992FD0" w:rsidRPr="00EC250C">
        <w:rPr>
          <w:rStyle w:val="Pogrubienie"/>
          <w:b/>
          <w:bCs w:val="0"/>
        </w:rPr>
        <w:t xml:space="preserve"> i </w:t>
      </w:r>
      <w:r w:rsidRPr="00EC250C">
        <w:rPr>
          <w:rStyle w:val="Pogrubienie"/>
          <w:b/>
          <w:bCs w:val="0"/>
        </w:rPr>
        <w:t>molestowanie</w:t>
      </w:r>
      <w:r w:rsidR="00992FD0" w:rsidRPr="00EC250C">
        <w:rPr>
          <w:rStyle w:val="Pogrubienie"/>
          <w:b/>
          <w:bCs w:val="0"/>
        </w:rPr>
        <w:t xml:space="preserve"> w </w:t>
      </w:r>
      <w:r w:rsidRPr="00EC250C">
        <w:rPr>
          <w:rStyle w:val="Pogrubienie"/>
          <w:b/>
          <w:bCs w:val="0"/>
        </w:rPr>
        <w:t>służbach mundurowych to problem,</w:t>
      </w:r>
      <w:r w:rsidR="00992FD0" w:rsidRPr="00EC250C">
        <w:rPr>
          <w:rStyle w:val="Pogrubienie"/>
          <w:b/>
          <w:bCs w:val="0"/>
        </w:rPr>
        <w:t xml:space="preserve"> o </w:t>
      </w:r>
      <w:r w:rsidRPr="00EC250C">
        <w:rPr>
          <w:rStyle w:val="Pogrubienie"/>
          <w:b/>
          <w:bCs w:val="0"/>
        </w:rPr>
        <w:t>którym coraz głośniej się mówi</w:t>
      </w:r>
      <w:r w:rsidR="00B473F5" w:rsidRPr="00EC250C">
        <w:rPr>
          <w:rStyle w:val="Pogrubienie"/>
          <w:b/>
          <w:bCs w:val="0"/>
        </w:rPr>
        <w:t>.</w:t>
      </w:r>
    </w:p>
    <w:p w14:paraId="5078CCDA" w14:textId="77777777" w:rsidR="00C7664B" w:rsidRPr="00EC250C" w:rsidRDefault="00C7664B" w:rsidP="00D131FA">
      <w:pPr>
        <w:pStyle w:val="Styl1"/>
      </w:pPr>
      <w:r w:rsidRPr="00EC250C">
        <w:t>W mediach pojawiało się wiele informacji dotyczących mobbingu</w:t>
      </w:r>
      <w:r w:rsidR="00992FD0" w:rsidRPr="00EC250C">
        <w:t xml:space="preserve"> i </w:t>
      </w:r>
      <w:r w:rsidRPr="00EC250C">
        <w:t>molestowania</w:t>
      </w:r>
      <w:r w:rsidR="00992FD0" w:rsidRPr="00EC250C">
        <w:t xml:space="preserve"> w </w:t>
      </w:r>
      <w:r w:rsidRPr="00EC250C">
        <w:t>służbach mundurowych. Tego typu skargi trafiają też bezpośrednio do Biura RPO. Na podstawie m.in. korespondencji</w:t>
      </w:r>
      <w:r w:rsidR="00992FD0" w:rsidRPr="00EC250C">
        <w:t xml:space="preserve"> z </w:t>
      </w:r>
      <w:r w:rsidRPr="00EC250C">
        <w:t>szefami wszystkich służb mundurowych</w:t>
      </w:r>
      <w:r w:rsidR="00992FD0" w:rsidRPr="00EC250C">
        <w:t xml:space="preserve"> i </w:t>
      </w:r>
      <w:r w:rsidRPr="00EC250C">
        <w:t xml:space="preserve">przesłanych przez nich materiałów, </w:t>
      </w:r>
      <w:r w:rsidR="00073A8C" w:rsidRPr="00EC250C">
        <w:t>RPO</w:t>
      </w:r>
      <w:r w:rsidRPr="00EC250C">
        <w:t xml:space="preserve"> przygotował</w:t>
      </w:r>
      <w:r w:rsidR="00992FD0" w:rsidRPr="00EC250C">
        <w:t xml:space="preserve"> w </w:t>
      </w:r>
      <w:r w:rsidRPr="00EC250C">
        <w:t>2017</w:t>
      </w:r>
      <w:r w:rsidR="00C91F6E" w:rsidRPr="00EC250C">
        <w:t> r.</w:t>
      </w:r>
      <w:r w:rsidRPr="00EC250C">
        <w:t xml:space="preserve"> opracowanie „Przeciwdziałanie mobbingowi</w:t>
      </w:r>
      <w:r w:rsidR="00992FD0" w:rsidRPr="00EC250C">
        <w:t xml:space="preserve"> i </w:t>
      </w:r>
      <w:r w:rsidRPr="00EC250C">
        <w:t>dyskryminacji</w:t>
      </w:r>
      <w:r w:rsidR="00992FD0" w:rsidRPr="00EC250C">
        <w:t xml:space="preserve"> w </w:t>
      </w:r>
      <w:r w:rsidRPr="00EC250C">
        <w:t>służbach mundurowych. Analiza</w:t>
      </w:r>
      <w:r w:rsidR="00992FD0" w:rsidRPr="00EC250C">
        <w:t xml:space="preserve"> i </w:t>
      </w:r>
      <w:r w:rsidRPr="00EC250C">
        <w:t>zalecenia”. Książka została wydana</w:t>
      </w:r>
      <w:r w:rsidR="00992FD0" w:rsidRPr="00EC250C">
        <w:t xml:space="preserve"> w </w:t>
      </w:r>
      <w:r w:rsidRPr="00EC250C">
        <w:t>2018</w:t>
      </w:r>
      <w:r w:rsidR="00C91F6E" w:rsidRPr="00EC250C">
        <w:t> r.</w:t>
      </w:r>
      <w:r w:rsidRPr="00EC250C">
        <w:t xml:space="preserve"> (</w:t>
      </w:r>
      <w:r w:rsidR="004A72FD" w:rsidRPr="00EC250C">
        <w:t xml:space="preserve">a jej </w:t>
      </w:r>
      <w:r w:rsidRPr="00EC250C">
        <w:t xml:space="preserve">wersja elektroniczna została ściągnięta ze strony RPO prawie </w:t>
      </w:r>
      <w:r w:rsidR="004A72FD" w:rsidRPr="00EC250C">
        <w:t>5 tys. razy).</w:t>
      </w:r>
    </w:p>
    <w:p w14:paraId="4557B0FE" w14:textId="77777777" w:rsidR="00C7664B" w:rsidRPr="00EC250C" w:rsidRDefault="004A72FD" w:rsidP="00D131FA">
      <w:pPr>
        <w:pStyle w:val="Styl1"/>
      </w:pPr>
      <w:r w:rsidRPr="00EC250C">
        <w:t>I</w:t>
      </w:r>
      <w:r w:rsidR="00C7664B" w:rsidRPr="00EC250C">
        <w:t>stnienie wewnętrznych procedur antymobbingowych</w:t>
      </w:r>
      <w:r w:rsidR="00992FD0" w:rsidRPr="00EC250C">
        <w:t xml:space="preserve"> i </w:t>
      </w:r>
      <w:r w:rsidR="00C7664B" w:rsidRPr="00EC250C">
        <w:t>antydyskryminacyjnych pozwala na obiektywne wyjaśnienie nieprawidłowego zachowania oraz podjęcie adekwatnych decyzji kadrowych. Bieżąca analiza spraw połączona</w:t>
      </w:r>
      <w:r w:rsidR="00992FD0" w:rsidRPr="00EC250C">
        <w:t xml:space="preserve"> z </w:t>
      </w:r>
      <w:r w:rsidR="00C7664B" w:rsidRPr="00EC250C">
        <w:t>praktycznym szkoleniem zainteresowanych może się przyczynić do ograniczenia takich zachowań</w:t>
      </w:r>
      <w:r w:rsidR="00992FD0" w:rsidRPr="00EC250C">
        <w:t xml:space="preserve"> w </w:t>
      </w:r>
      <w:r w:rsidR="00C7664B" w:rsidRPr="00EC250C">
        <w:t>przyszłości.</w:t>
      </w:r>
    </w:p>
    <w:p w14:paraId="0CD2BCA8" w14:textId="1232EE38" w:rsidR="00320D38" w:rsidRPr="00EC250C" w:rsidRDefault="00C7664B" w:rsidP="00EC250C">
      <w:pPr>
        <w:pStyle w:val="Styl1"/>
        <w:rPr>
          <w:bCs/>
          <w:color w:val="044892"/>
          <w:sz w:val="24"/>
        </w:rPr>
      </w:pPr>
      <w:r w:rsidRPr="00EC250C">
        <w:t>Zawarte</w:t>
      </w:r>
      <w:r w:rsidR="00992FD0" w:rsidRPr="00EC250C">
        <w:t xml:space="preserve"> w </w:t>
      </w:r>
      <w:r w:rsidRPr="00EC250C">
        <w:t>opracowaniu RPO regulacje, wskazówki, dobre praktyki oraz załączone materiały źródłowe umożliwią poszczególnym służbom wypracowanie optymalnych rozwiązań, pozwalających na zachowanie odpowiednich proporcji pomiędzy interesem służby</w:t>
      </w:r>
      <w:r w:rsidR="00992FD0" w:rsidRPr="00EC250C">
        <w:t xml:space="preserve"> a </w:t>
      </w:r>
      <w:r w:rsidRPr="00EC250C">
        <w:t>interesem poszczególnych funkcjonariuszy</w:t>
      </w:r>
      <w:r w:rsidR="004A72FD" w:rsidRPr="00EC250C">
        <w:rPr>
          <w:rStyle w:val="Odwoanieprzypisudolnego"/>
        </w:rPr>
        <w:footnoteReference w:id="78"/>
      </w:r>
      <w:r w:rsidRPr="00EC250C">
        <w:t>.</w:t>
      </w:r>
      <w:r w:rsidR="00320D38" w:rsidRPr="00EC250C">
        <w:rPr>
          <w:sz w:val="24"/>
        </w:rPr>
        <w:br w:type="page"/>
      </w:r>
    </w:p>
    <w:p w14:paraId="0B9C23F8" w14:textId="77777777" w:rsidR="00C91F6E" w:rsidRPr="00EC250C" w:rsidRDefault="005E5BDF" w:rsidP="00EC250C">
      <w:pPr>
        <w:pStyle w:val="Nagwek3"/>
      </w:pPr>
      <w:bookmarkStart w:id="78" w:name="_Toc6257652"/>
      <w:bookmarkStart w:id="79" w:name="_Toc11247558"/>
      <w:r w:rsidRPr="00EC250C">
        <w:lastRenderedPageBreak/>
        <w:t xml:space="preserve">Art. 34 </w:t>
      </w:r>
      <w:r w:rsidR="00F67B1D" w:rsidRPr="00EC250C">
        <w:t xml:space="preserve">Konstytucji </w:t>
      </w:r>
      <w:r w:rsidRPr="00EC250C">
        <w:t>– Prawo do obywatelstwa polskiego</w:t>
      </w:r>
      <w:bookmarkEnd w:id="78"/>
      <w:bookmarkEnd w:id="79"/>
    </w:p>
    <w:p w14:paraId="001C97A5" w14:textId="77777777" w:rsidR="005E5BDF" w:rsidRPr="00EC250C" w:rsidRDefault="005E5BDF" w:rsidP="00D131FA">
      <w:pPr>
        <w:pStyle w:val="konstytucja"/>
        <w:jc w:val="both"/>
      </w:pPr>
      <w:r w:rsidRPr="00EC250C">
        <w:t>1. Obywatelstwo polskie nabywa się przez urodzenie</w:t>
      </w:r>
      <w:r w:rsidR="00992FD0" w:rsidRPr="00EC250C">
        <w:t xml:space="preserve"> z </w:t>
      </w:r>
      <w:r w:rsidRPr="00EC250C">
        <w:t>rodziców będących obywatelami polskimi. Inne przypadki nabycia obywatelstwa polskiego określa ustawa.</w:t>
      </w:r>
    </w:p>
    <w:p w14:paraId="63F25168" w14:textId="77777777" w:rsidR="005E5BDF" w:rsidRPr="00EC250C" w:rsidRDefault="005E5BDF" w:rsidP="00D131FA">
      <w:pPr>
        <w:pStyle w:val="konstytucja"/>
        <w:jc w:val="both"/>
      </w:pPr>
      <w:r w:rsidRPr="00EC250C">
        <w:t>2. Obywatel polski nie może utracić obywatelstwa polskiego, chyba że sam się go zrzeknie.</w:t>
      </w:r>
    </w:p>
    <w:p w14:paraId="6229F306" w14:textId="77777777" w:rsidR="00425901" w:rsidRPr="00EC250C" w:rsidRDefault="00425901" w:rsidP="00D131FA">
      <w:pPr>
        <w:pStyle w:val="ComwiKonstytucja"/>
      </w:pPr>
      <w:r w:rsidRPr="00EC250C">
        <w:t>Konstytucj</w:t>
      </w:r>
      <w:r w:rsidR="00807EB0" w:rsidRPr="00EC250C">
        <w:t xml:space="preserve">a </w:t>
      </w:r>
      <w:r w:rsidRPr="00EC250C">
        <w:t>odróżni</w:t>
      </w:r>
      <w:r w:rsidR="00807EB0" w:rsidRPr="00EC250C">
        <w:t>a</w:t>
      </w:r>
      <w:r w:rsidRPr="00EC250C">
        <w:t xml:space="preserve"> wyraźnie prawa człowieka od praw obywatela. </w:t>
      </w:r>
      <w:r w:rsidR="00807EB0" w:rsidRPr="00EC250C">
        <w:t>Dlatego trzeba wyraźnie wskazać, kto ma prawo do polskiego obywatelstwa</w:t>
      </w:r>
      <w:r w:rsidRPr="00EC250C">
        <w:t>.</w:t>
      </w:r>
    </w:p>
    <w:p w14:paraId="7E5D1926" w14:textId="77777777" w:rsidR="00425901" w:rsidRPr="00EC250C" w:rsidRDefault="00425901" w:rsidP="00D131FA">
      <w:pPr>
        <w:pStyle w:val="ComwiKonstytucja"/>
      </w:pPr>
      <w:r w:rsidRPr="00EC250C">
        <w:t>Artykuł 34 wskazuje trzy główne zasady:</w:t>
      </w:r>
    </w:p>
    <w:p w14:paraId="549ABD31" w14:textId="77777777" w:rsidR="00425901" w:rsidRPr="00EC250C" w:rsidRDefault="00425901" w:rsidP="006C70B7">
      <w:pPr>
        <w:pStyle w:val="ComwiKonstytucja"/>
        <w:numPr>
          <w:ilvl w:val="0"/>
          <w:numId w:val="30"/>
        </w:numPr>
        <w:spacing w:line="400" w:lineRule="exact"/>
      </w:pPr>
      <w:r w:rsidRPr="00EC250C">
        <w:t>zasadę krwi (obywatelstwo nabywa się poprzez urodzenie, gdy przynajmniej jedno</w:t>
      </w:r>
      <w:r w:rsidR="00992FD0" w:rsidRPr="00EC250C">
        <w:t xml:space="preserve"> z </w:t>
      </w:r>
      <w:r w:rsidRPr="00EC250C">
        <w:t xml:space="preserve">rodziców </w:t>
      </w:r>
      <w:r w:rsidR="00807EB0" w:rsidRPr="00EC250C">
        <w:t xml:space="preserve">ma </w:t>
      </w:r>
      <w:r w:rsidRPr="00EC250C">
        <w:t>obywatelstwo polskie),</w:t>
      </w:r>
    </w:p>
    <w:p w14:paraId="4F58DA57" w14:textId="77777777" w:rsidR="00425901" w:rsidRPr="00EC250C" w:rsidRDefault="00425901" w:rsidP="006C70B7">
      <w:pPr>
        <w:pStyle w:val="ComwiKonstytucja"/>
        <w:numPr>
          <w:ilvl w:val="0"/>
          <w:numId w:val="30"/>
        </w:numPr>
        <w:spacing w:line="400" w:lineRule="exact"/>
      </w:pPr>
      <w:r w:rsidRPr="00EC250C">
        <w:t>zasadę dopuszczalności innych dróg (określonych</w:t>
      </w:r>
      <w:r w:rsidR="00992FD0" w:rsidRPr="00EC250C">
        <w:t xml:space="preserve"> w </w:t>
      </w:r>
      <w:r w:rsidRPr="00EC250C">
        <w:t>ustawie),</w:t>
      </w:r>
    </w:p>
    <w:p w14:paraId="1EBD17C5" w14:textId="77777777" w:rsidR="00425901" w:rsidRPr="00EC250C" w:rsidRDefault="00425901" w:rsidP="006C70B7">
      <w:pPr>
        <w:pStyle w:val="ComwiKonstytucja"/>
        <w:numPr>
          <w:ilvl w:val="0"/>
          <w:numId w:val="30"/>
        </w:numPr>
        <w:spacing w:line="400" w:lineRule="exact"/>
      </w:pPr>
      <w:r w:rsidRPr="00EC250C">
        <w:t>zasadę trwałości obywatelstwa (nie można go utracić inaczej niż poprzez zrzeczenie się go).</w:t>
      </w:r>
    </w:p>
    <w:p w14:paraId="5745A413" w14:textId="77777777" w:rsidR="00425901" w:rsidRPr="00EC250C" w:rsidRDefault="00425901" w:rsidP="00D131FA">
      <w:pPr>
        <w:pStyle w:val="ComwiKonstytucja"/>
      </w:pPr>
      <w:r w:rsidRPr="00EC250C">
        <w:t>Konstytucja wyklucza możliwość pozbawienia obywatelstwa bez zgody obywatela. Historycznie jest to niezwykle istotne rozwiązanie, ponieważ</w:t>
      </w:r>
      <w:r w:rsidR="00992FD0" w:rsidRPr="00EC250C">
        <w:t xml:space="preserve"> w </w:t>
      </w:r>
      <w:r w:rsidRPr="00EC250C">
        <w:t>Polsce utrata obywatelstwa stosowana była jako forma kary lub represji zazwyczaj</w:t>
      </w:r>
      <w:r w:rsidR="00992FD0" w:rsidRPr="00EC250C">
        <w:t xml:space="preserve"> w </w:t>
      </w:r>
      <w:r w:rsidRPr="00EC250C">
        <w:t>kontekście politycznym</w:t>
      </w:r>
      <w:r w:rsidR="000450CB" w:rsidRPr="00EC250C">
        <w:rPr>
          <w:rStyle w:val="Odwoanieprzypisudolnego"/>
        </w:rPr>
        <w:footnoteReference w:id="79"/>
      </w:r>
      <w:r w:rsidRPr="00EC250C">
        <w:t>.</w:t>
      </w:r>
    </w:p>
    <w:p w14:paraId="25B45FFE" w14:textId="77777777" w:rsidR="00425901" w:rsidRPr="00EC250C" w:rsidRDefault="00425901" w:rsidP="00D131FA">
      <w:pPr>
        <w:pStyle w:val="ComwiKonstytucja"/>
      </w:pPr>
      <w:r w:rsidRPr="00EC250C">
        <w:t>Warto przypomnieć tu, że obywatelom polskim – tak jak wszystkim obywatelom państw członkowskich Unii Europejskiej – przysługuje także obywatelstwo europejskie.</w:t>
      </w:r>
    </w:p>
    <w:p w14:paraId="13D36D1E" w14:textId="77777777" w:rsidR="00EE09AA" w:rsidRPr="00EC250C" w:rsidRDefault="00EE09AA" w:rsidP="00D131FA">
      <w:pPr>
        <w:pStyle w:val="ComwiKonstytucja"/>
      </w:pPr>
    </w:p>
    <w:p w14:paraId="310DC335" w14:textId="77777777" w:rsidR="00425901" w:rsidRPr="00EC250C" w:rsidRDefault="00425901" w:rsidP="00D131FA">
      <w:pPr>
        <w:spacing w:after="200" w:line="24" w:lineRule="auto"/>
        <w:jc w:val="both"/>
        <w:rPr>
          <w:rFonts w:cs="Arial"/>
          <w:b/>
          <w:i/>
          <w:color w:val="000000"/>
          <w:sz w:val="24"/>
        </w:rPr>
      </w:pPr>
      <w:r w:rsidRPr="00EC250C">
        <w:rPr>
          <w:sz w:val="24"/>
        </w:rPr>
        <w:br w:type="page"/>
      </w:r>
    </w:p>
    <w:p w14:paraId="7806A1A4" w14:textId="77777777" w:rsidR="008F4FD2" w:rsidRPr="00EC250C" w:rsidRDefault="008F4FD2" w:rsidP="00EC79EB">
      <w:pPr>
        <w:pStyle w:val="Nagwek4"/>
      </w:pPr>
      <w:bookmarkStart w:id="80" w:name="_Toc6257653"/>
      <w:bookmarkStart w:id="81" w:name="_Toc11247559"/>
      <w:r w:rsidRPr="00EC250C">
        <w:lastRenderedPageBreak/>
        <w:t xml:space="preserve">Problemy </w:t>
      </w:r>
      <w:r w:rsidR="00D55FD3" w:rsidRPr="00EC250C">
        <w:t>polskich dzieci</w:t>
      </w:r>
      <w:r w:rsidR="00992FD0" w:rsidRPr="00EC250C">
        <w:t xml:space="preserve"> z </w:t>
      </w:r>
      <w:r w:rsidRPr="00EC250C">
        <w:t>potwierdzaniem obywatelstwa polskiego</w:t>
      </w:r>
      <w:bookmarkEnd w:id="80"/>
      <w:bookmarkEnd w:id="81"/>
    </w:p>
    <w:p w14:paraId="3174052B" w14:textId="77777777" w:rsidR="00C91F6E" w:rsidRPr="00EC250C" w:rsidRDefault="0096462C" w:rsidP="00EC250C">
      <w:pPr>
        <w:pStyle w:val="Nagwek8"/>
      </w:pPr>
      <w:r w:rsidRPr="00EC250C">
        <w:t>Potwierdzenie polskiego obywatelstwa dzieci urodzonych</w:t>
      </w:r>
      <w:r w:rsidR="00992FD0" w:rsidRPr="00EC250C">
        <w:t xml:space="preserve"> z </w:t>
      </w:r>
      <w:r w:rsidRPr="00EC250C">
        <w:t>matki zastępczej lub</w:t>
      </w:r>
      <w:r w:rsidR="00992FD0" w:rsidRPr="00EC250C">
        <w:t xml:space="preserve"> w </w:t>
      </w:r>
      <w:r w:rsidRPr="00EC250C">
        <w:t>związku jednopłciowym</w:t>
      </w:r>
    </w:p>
    <w:p w14:paraId="4AF70E60" w14:textId="77777777" w:rsidR="00C91F6E" w:rsidRPr="00EC250C" w:rsidRDefault="00DB4C8E" w:rsidP="006C70B7">
      <w:pPr>
        <w:pStyle w:val="Styl2"/>
        <w:numPr>
          <w:ilvl w:val="0"/>
          <w:numId w:val="31"/>
        </w:numPr>
        <w:ind w:left="357" w:hanging="357"/>
        <w:contextualSpacing/>
        <w:rPr>
          <w:rStyle w:val="Pogrubienie"/>
          <w:b/>
          <w:bCs/>
          <w:szCs w:val="24"/>
        </w:rPr>
      </w:pPr>
      <w:r w:rsidRPr="00EC250C">
        <w:rPr>
          <w:rStyle w:val="Pogrubienie"/>
          <w:b/>
          <w:bCs/>
          <w:szCs w:val="24"/>
        </w:rPr>
        <w:t>Dzieci urodzone</w:t>
      </w:r>
      <w:r w:rsidR="00992FD0" w:rsidRPr="00EC250C">
        <w:rPr>
          <w:rStyle w:val="Pogrubienie"/>
          <w:b/>
          <w:bCs/>
          <w:szCs w:val="24"/>
        </w:rPr>
        <w:t xml:space="preserve"> w </w:t>
      </w:r>
      <w:r w:rsidRPr="00EC250C">
        <w:rPr>
          <w:rStyle w:val="Pogrubienie"/>
          <w:b/>
          <w:bCs/>
          <w:szCs w:val="24"/>
        </w:rPr>
        <w:t>USA</w:t>
      </w:r>
      <w:r w:rsidR="00992FD0" w:rsidRPr="00EC250C">
        <w:rPr>
          <w:rStyle w:val="Pogrubienie"/>
          <w:b/>
          <w:bCs/>
          <w:szCs w:val="24"/>
        </w:rPr>
        <w:t xml:space="preserve"> z </w:t>
      </w:r>
      <w:r w:rsidRPr="00EC250C">
        <w:rPr>
          <w:rStyle w:val="Pogrubienie"/>
          <w:b/>
          <w:bCs/>
          <w:szCs w:val="24"/>
        </w:rPr>
        <w:t>matki zastępczej</w:t>
      </w:r>
      <w:r w:rsidR="00992FD0" w:rsidRPr="00EC250C">
        <w:rPr>
          <w:rStyle w:val="Pogrubienie"/>
          <w:b/>
          <w:bCs/>
          <w:szCs w:val="24"/>
        </w:rPr>
        <w:t xml:space="preserve"> i w </w:t>
      </w:r>
      <w:r w:rsidRPr="00EC250C">
        <w:rPr>
          <w:rStyle w:val="Pogrubienie"/>
          <w:b/>
          <w:bCs/>
          <w:szCs w:val="24"/>
        </w:rPr>
        <w:t>związku dwóch mężczyzn</w:t>
      </w:r>
      <w:r w:rsidR="00026572" w:rsidRPr="00EC250C">
        <w:rPr>
          <w:rStyle w:val="Pogrubienie"/>
          <w:b/>
          <w:bCs/>
          <w:szCs w:val="24"/>
        </w:rPr>
        <w:t xml:space="preserve"> – </w:t>
      </w:r>
      <w:r w:rsidR="00992FD0" w:rsidRPr="00EC250C">
        <w:rPr>
          <w:rStyle w:val="Pogrubienie"/>
          <w:b/>
          <w:bCs/>
          <w:szCs w:val="24"/>
        </w:rPr>
        <w:t>z </w:t>
      </w:r>
      <w:r w:rsidRPr="00EC250C">
        <w:rPr>
          <w:rStyle w:val="Pogrubienie"/>
          <w:b/>
          <w:bCs/>
          <w:szCs w:val="24"/>
        </w:rPr>
        <w:t>których jeden to obywatel RP</w:t>
      </w:r>
      <w:r w:rsidR="00026572" w:rsidRPr="00EC250C">
        <w:rPr>
          <w:rStyle w:val="Pogrubienie"/>
          <w:b/>
          <w:bCs/>
          <w:szCs w:val="24"/>
        </w:rPr>
        <w:t xml:space="preserve"> – </w:t>
      </w:r>
      <w:r w:rsidRPr="00EC250C">
        <w:rPr>
          <w:rStyle w:val="Pogrubienie"/>
          <w:b/>
          <w:bCs/>
          <w:szCs w:val="24"/>
        </w:rPr>
        <w:t>mają prawo do potwierdzenia polskiego obywatelstwa</w:t>
      </w:r>
      <w:r w:rsidR="00394C5B" w:rsidRPr="00EC250C">
        <w:rPr>
          <w:rStyle w:val="Pogrubienie"/>
          <w:b/>
          <w:bCs/>
          <w:szCs w:val="24"/>
        </w:rPr>
        <w:t>.</w:t>
      </w:r>
    </w:p>
    <w:p w14:paraId="02EF44DB" w14:textId="77777777" w:rsidR="00DB4C8E" w:rsidRPr="00EC250C" w:rsidRDefault="00DB4C8E" w:rsidP="00D131FA">
      <w:pPr>
        <w:pStyle w:val="Styl2"/>
        <w:rPr>
          <w:szCs w:val="24"/>
        </w:rPr>
      </w:pPr>
      <w:r w:rsidRPr="00EC250C">
        <w:rPr>
          <w:rStyle w:val="Pogrubienie"/>
          <w:b/>
          <w:bCs/>
          <w:szCs w:val="24"/>
        </w:rPr>
        <w:t>Orzekł tak Naczelny Sąd Administracyjny, który uchylił decyzje odmawiające potwierdzenia obywatelstwa dzieci. NSA odwołał się m.in. do zasady priorytetu dobra dziecka</w:t>
      </w:r>
      <w:r w:rsidR="00394C5B" w:rsidRPr="00EC250C">
        <w:rPr>
          <w:rStyle w:val="Pogrubienie"/>
          <w:b/>
          <w:bCs/>
          <w:szCs w:val="24"/>
        </w:rPr>
        <w:t xml:space="preserve">. </w:t>
      </w:r>
      <w:r w:rsidRPr="00EC250C">
        <w:rPr>
          <w:rStyle w:val="Pogrubienie"/>
          <w:b/>
          <w:bCs/>
          <w:szCs w:val="24"/>
        </w:rPr>
        <w:t>RPO, który przyłączył się do sprawy</w:t>
      </w:r>
      <w:r w:rsidR="001D14BB" w:rsidRPr="00EC250C">
        <w:rPr>
          <w:rStyle w:val="Odwoanieprzypisudolnego"/>
          <w:szCs w:val="24"/>
        </w:rPr>
        <w:footnoteReference w:id="80"/>
      </w:r>
      <w:r w:rsidRPr="00EC250C">
        <w:rPr>
          <w:rStyle w:val="Pogrubienie"/>
          <w:b/>
          <w:bCs/>
          <w:szCs w:val="24"/>
        </w:rPr>
        <w:t xml:space="preserve">, </w:t>
      </w:r>
      <w:r w:rsidR="0096462C" w:rsidRPr="00EC250C">
        <w:rPr>
          <w:rStyle w:val="Pogrubienie"/>
          <w:b/>
          <w:bCs/>
          <w:szCs w:val="24"/>
        </w:rPr>
        <w:t>uznając odmowę potwierdzenia obywatelstwa dziecka wyłącznie</w:t>
      </w:r>
      <w:r w:rsidR="00992FD0" w:rsidRPr="00EC250C">
        <w:rPr>
          <w:rStyle w:val="Pogrubienie"/>
          <w:b/>
          <w:bCs/>
          <w:szCs w:val="24"/>
        </w:rPr>
        <w:t xml:space="preserve"> z </w:t>
      </w:r>
      <w:r w:rsidR="0096462C" w:rsidRPr="00EC250C">
        <w:rPr>
          <w:rStyle w:val="Pogrubienie"/>
          <w:b/>
          <w:bCs/>
          <w:szCs w:val="24"/>
        </w:rPr>
        <w:t xml:space="preserve">powodu statusu jego rodziców (pary jednopłciowej) </w:t>
      </w:r>
      <w:r w:rsidRPr="00EC250C">
        <w:rPr>
          <w:rStyle w:val="Pogrubienie"/>
          <w:b/>
          <w:bCs/>
          <w:szCs w:val="24"/>
        </w:rPr>
        <w:t xml:space="preserve">za dyskryminację </w:t>
      </w:r>
      <w:r w:rsidR="0096462C" w:rsidRPr="00EC250C">
        <w:rPr>
          <w:rStyle w:val="Pogrubienie"/>
          <w:b/>
          <w:bCs/>
          <w:szCs w:val="24"/>
        </w:rPr>
        <w:t>ze względu na orientację seksualną.</w:t>
      </w:r>
    </w:p>
    <w:p w14:paraId="30314014" w14:textId="77777777" w:rsidR="00C91F6E" w:rsidRPr="00EC250C" w:rsidRDefault="00DB4C8E" w:rsidP="00D131FA">
      <w:pPr>
        <w:pStyle w:val="Styl2"/>
        <w:spacing w:before="240"/>
        <w:rPr>
          <w:szCs w:val="24"/>
        </w:rPr>
      </w:pPr>
      <w:r w:rsidRPr="00EC250C">
        <w:rPr>
          <w:szCs w:val="24"/>
        </w:rPr>
        <w:t>NSA podkreślał, że</w:t>
      </w:r>
      <w:r w:rsidR="00992FD0" w:rsidRPr="00EC250C">
        <w:rPr>
          <w:szCs w:val="24"/>
        </w:rPr>
        <w:t xml:space="preserve"> w </w:t>
      </w:r>
      <w:r w:rsidRPr="00EC250C">
        <w:rPr>
          <w:szCs w:val="24"/>
        </w:rPr>
        <w:t>sprawie chodzi tylko</w:t>
      </w:r>
      <w:r w:rsidR="00992FD0" w:rsidRPr="00EC250C">
        <w:rPr>
          <w:szCs w:val="24"/>
        </w:rPr>
        <w:t xml:space="preserve"> i </w:t>
      </w:r>
      <w:r w:rsidRPr="00EC250C">
        <w:rPr>
          <w:szCs w:val="24"/>
        </w:rPr>
        <w:t>wyłącznie</w:t>
      </w:r>
      <w:r w:rsidR="00992FD0" w:rsidRPr="00EC250C">
        <w:rPr>
          <w:szCs w:val="24"/>
        </w:rPr>
        <w:t xml:space="preserve"> o </w:t>
      </w:r>
      <w:r w:rsidRPr="00EC250C">
        <w:rPr>
          <w:szCs w:val="24"/>
        </w:rPr>
        <w:t>potwierdzenie obywatelstwa czwórki dzieci. A obywatelstwo to „szczególna więź mi</w:t>
      </w:r>
      <w:r w:rsidR="00CF6FDF" w:rsidRPr="00EC250C">
        <w:rPr>
          <w:szCs w:val="24"/>
        </w:rPr>
        <w:t>ę</w:t>
      </w:r>
      <w:r w:rsidRPr="00EC250C">
        <w:rPr>
          <w:szCs w:val="24"/>
        </w:rPr>
        <w:t>dzy jednostk</w:t>
      </w:r>
      <w:r w:rsidR="00E811BA" w:rsidRPr="00EC250C">
        <w:rPr>
          <w:szCs w:val="24"/>
        </w:rPr>
        <w:t>ą</w:t>
      </w:r>
      <w:r w:rsidR="00992FD0" w:rsidRPr="00EC250C">
        <w:rPr>
          <w:szCs w:val="24"/>
        </w:rPr>
        <w:t xml:space="preserve"> a </w:t>
      </w:r>
      <w:r w:rsidRPr="00EC250C">
        <w:rPr>
          <w:szCs w:val="24"/>
        </w:rPr>
        <w:t>państwem”. Zwracając uwagę, że</w:t>
      </w:r>
      <w:r w:rsidR="00CC4D88" w:rsidRPr="00EC250C">
        <w:rPr>
          <w:szCs w:val="24"/>
        </w:rPr>
        <w:t xml:space="preserve"> </w:t>
      </w:r>
      <w:r w:rsidRPr="00EC250C">
        <w:rPr>
          <w:szCs w:val="24"/>
        </w:rPr>
        <w:t>„jesteśmy na gruncie prawa publicznego</w:t>
      </w:r>
      <w:r w:rsidR="00992FD0" w:rsidRPr="00EC250C">
        <w:rPr>
          <w:szCs w:val="24"/>
        </w:rPr>
        <w:t xml:space="preserve"> i </w:t>
      </w:r>
      <w:r w:rsidRPr="00EC250C">
        <w:rPr>
          <w:szCs w:val="24"/>
        </w:rPr>
        <w:t>Konstytucji”, NSA wskazał, że można mówić</w:t>
      </w:r>
      <w:r w:rsidR="00992FD0" w:rsidRPr="00EC250C">
        <w:rPr>
          <w:szCs w:val="24"/>
        </w:rPr>
        <w:t xml:space="preserve"> o </w:t>
      </w:r>
      <w:r w:rsidRPr="00EC250C">
        <w:rPr>
          <w:szCs w:val="24"/>
        </w:rPr>
        <w:t>prawie do</w:t>
      </w:r>
      <w:r w:rsidR="00CC4D88" w:rsidRPr="00EC250C">
        <w:rPr>
          <w:szCs w:val="24"/>
        </w:rPr>
        <w:t xml:space="preserve"> </w:t>
      </w:r>
      <w:r w:rsidRPr="00EC250C">
        <w:rPr>
          <w:szCs w:val="24"/>
        </w:rPr>
        <w:t>obywatelstwa.</w:t>
      </w:r>
      <w:r w:rsidR="00026572" w:rsidRPr="00EC250C">
        <w:rPr>
          <w:szCs w:val="24"/>
        </w:rPr>
        <w:t xml:space="preserve"> – </w:t>
      </w:r>
      <w:r w:rsidRPr="00EC250C">
        <w:rPr>
          <w:szCs w:val="24"/>
        </w:rPr>
        <w:t>Nie chodzi</w:t>
      </w:r>
      <w:r w:rsidR="00992FD0" w:rsidRPr="00EC250C">
        <w:rPr>
          <w:szCs w:val="24"/>
        </w:rPr>
        <w:t xml:space="preserve"> o </w:t>
      </w:r>
      <w:r w:rsidRPr="00EC250C">
        <w:rPr>
          <w:szCs w:val="24"/>
        </w:rPr>
        <w:t>to, czy dziecko pochodzi</w:t>
      </w:r>
      <w:r w:rsidR="00992FD0" w:rsidRPr="00EC250C">
        <w:rPr>
          <w:szCs w:val="24"/>
        </w:rPr>
        <w:t xml:space="preserve"> z </w:t>
      </w:r>
      <w:r w:rsidRPr="00EC250C">
        <w:rPr>
          <w:szCs w:val="24"/>
        </w:rPr>
        <w:t>surogacji, ale</w:t>
      </w:r>
      <w:r w:rsidR="00992FD0" w:rsidRPr="00EC250C">
        <w:rPr>
          <w:szCs w:val="24"/>
        </w:rPr>
        <w:t xml:space="preserve"> o </w:t>
      </w:r>
      <w:r w:rsidRPr="00EC250C">
        <w:rPr>
          <w:szCs w:val="24"/>
        </w:rPr>
        <w:t>to, że rodzi się istota ludzka obdarzona godnością, która ma prawo do obywatelstwa, jeśli jej rodzic jest Polakiem – podkreśl</w:t>
      </w:r>
      <w:r w:rsidR="00394C5B" w:rsidRPr="00EC250C">
        <w:rPr>
          <w:szCs w:val="24"/>
        </w:rPr>
        <w:t>ił Sąd</w:t>
      </w:r>
      <w:r w:rsidR="00FB4999" w:rsidRPr="00EC250C">
        <w:rPr>
          <w:rStyle w:val="Odwoanieprzypisudolnego"/>
          <w:szCs w:val="24"/>
        </w:rPr>
        <w:footnoteReference w:id="81"/>
      </w:r>
      <w:r w:rsidR="006D1648" w:rsidRPr="00EC250C">
        <w:rPr>
          <w:szCs w:val="24"/>
        </w:rPr>
        <w:t>.</w:t>
      </w:r>
    </w:p>
    <w:p w14:paraId="6C7413C9" w14:textId="77777777" w:rsidR="00AF0A70" w:rsidRPr="00EC250C" w:rsidRDefault="00AF0A70" w:rsidP="00EC250C">
      <w:pPr>
        <w:pStyle w:val="Nagwek8"/>
      </w:pPr>
      <w:r w:rsidRPr="00EC250C">
        <w:t>Transkrypcja aktu urodzenia dziecka pary tej samej płci urodzonego za granicą</w:t>
      </w:r>
    </w:p>
    <w:p w14:paraId="3C27F2AB" w14:textId="77777777" w:rsidR="00AF0A70" w:rsidRPr="00EC250C" w:rsidRDefault="00AF0A70" w:rsidP="00D131FA">
      <w:pPr>
        <w:pStyle w:val="Styl2"/>
        <w:rPr>
          <w:szCs w:val="24"/>
        </w:rPr>
      </w:pPr>
      <w:r w:rsidRPr="00EC250C">
        <w:rPr>
          <w:szCs w:val="24"/>
        </w:rPr>
        <w:t>Obywatele skarżą się RPO, że dzieci,</w:t>
      </w:r>
      <w:r w:rsidR="00992FD0" w:rsidRPr="00EC250C">
        <w:rPr>
          <w:szCs w:val="24"/>
        </w:rPr>
        <w:t xml:space="preserve"> w </w:t>
      </w:r>
      <w:r w:rsidRPr="00EC250C">
        <w:rPr>
          <w:szCs w:val="24"/>
        </w:rPr>
        <w:t xml:space="preserve">których </w:t>
      </w:r>
      <w:r w:rsidR="0096462C" w:rsidRPr="00EC250C">
        <w:rPr>
          <w:szCs w:val="24"/>
        </w:rPr>
        <w:t xml:space="preserve">zagranicznych </w:t>
      </w:r>
      <w:r w:rsidRPr="00EC250C">
        <w:rPr>
          <w:szCs w:val="24"/>
        </w:rPr>
        <w:t>aktach urodzenia figurują rodzice tej samej płci, nie mogą dostać polskiego dokumentu tożsamości ani potwierdzenia obywatelstwa polskiego. Z uwagi na klauzulę porządku publicznego (art. 107 pkt 3 ustawy</w:t>
      </w:r>
      <w:r w:rsidR="00026572" w:rsidRPr="00EC250C">
        <w:rPr>
          <w:szCs w:val="24"/>
        </w:rPr>
        <w:t xml:space="preserve"> – </w:t>
      </w:r>
      <w:r w:rsidRPr="00EC250C">
        <w:rPr>
          <w:szCs w:val="24"/>
        </w:rPr>
        <w:t>Prawo</w:t>
      </w:r>
      <w:r w:rsidR="00992FD0" w:rsidRPr="00EC250C">
        <w:rPr>
          <w:szCs w:val="24"/>
        </w:rPr>
        <w:t xml:space="preserve"> o </w:t>
      </w:r>
      <w:r w:rsidRPr="00EC250C">
        <w:rPr>
          <w:szCs w:val="24"/>
        </w:rPr>
        <w:t>aktach stanu cywilnego), kierownicy urzędów stanu cywilnego odmawiają dokonania transkrypcji zagranicznego aktu urodzenia</w:t>
      </w:r>
      <w:r w:rsidR="00992FD0" w:rsidRPr="00EC250C">
        <w:rPr>
          <w:szCs w:val="24"/>
        </w:rPr>
        <w:t xml:space="preserve"> i </w:t>
      </w:r>
      <w:r w:rsidRPr="00EC250C">
        <w:rPr>
          <w:szCs w:val="24"/>
        </w:rPr>
        <w:t>wpisania dziecka do polskich ksiąg stanu cywilnego. Tym samym uniemożliwiają wydanie polskiego dokumentu tożsamości. Sądy dotychczas podtrzymywały takie odmowy.</w:t>
      </w:r>
    </w:p>
    <w:p w14:paraId="63954C48" w14:textId="77777777" w:rsidR="00AF0A70" w:rsidRPr="00EC250C" w:rsidRDefault="00AF0A70" w:rsidP="00D131FA">
      <w:pPr>
        <w:pStyle w:val="Styl2"/>
        <w:rPr>
          <w:szCs w:val="24"/>
        </w:rPr>
      </w:pPr>
      <w:r w:rsidRPr="00EC250C">
        <w:rPr>
          <w:rStyle w:val="Pogrubienie"/>
          <w:b/>
          <w:bCs/>
          <w:szCs w:val="24"/>
        </w:rPr>
        <w:t>Tak właśnie było</w:t>
      </w:r>
      <w:r w:rsidR="00992FD0" w:rsidRPr="00EC250C">
        <w:rPr>
          <w:rStyle w:val="Pogrubienie"/>
          <w:b/>
          <w:bCs/>
          <w:szCs w:val="24"/>
        </w:rPr>
        <w:t xml:space="preserve"> w </w:t>
      </w:r>
      <w:r w:rsidRPr="00EC250C">
        <w:rPr>
          <w:rStyle w:val="Pogrubienie"/>
          <w:b/>
          <w:bCs/>
          <w:szCs w:val="24"/>
        </w:rPr>
        <w:t>sytuacji pani I</w:t>
      </w:r>
      <w:r w:rsidR="00CF6FDF" w:rsidRPr="00EC250C">
        <w:rPr>
          <w:rStyle w:val="Pogrubienie"/>
          <w:b/>
          <w:bCs/>
          <w:szCs w:val="24"/>
        </w:rPr>
        <w:t>.</w:t>
      </w:r>
      <w:r w:rsidRPr="00EC250C">
        <w:rPr>
          <w:rStyle w:val="Pogrubienie"/>
          <w:b/>
          <w:bCs/>
          <w:szCs w:val="24"/>
        </w:rPr>
        <w:t>: odmówiono jej wpisania do polskich akt stanu cywilnego aktu urodzenia syna</w:t>
      </w:r>
      <w:r w:rsidR="00026572" w:rsidRPr="00EC250C">
        <w:rPr>
          <w:rStyle w:val="Pogrubienie"/>
          <w:b/>
          <w:bCs/>
          <w:szCs w:val="24"/>
        </w:rPr>
        <w:t xml:space="preserve"> – </w:t>
      </w:r>
      <w:r w:rsidR="00992FD0" w:rsidRPr="00EC250C">
        <w:rPr>
          <w:rStyle w:val="Pogrubienie"/>
          <w:b/>
          <w:bCs/>
          <w:szCs w:val="24"/>
        </w:rPr>
        <w:t>z </w:t>
      </w:r>
      <w:r w:rsidRPr="00EC250C">
        <w:rPr>
          <w:rStyle w:val="Pogrubienie"/>
          <w:b/>
          <w:bCs/>
          <w:szCs w:val="24"/>
        </w:rPr>
        <w:t>małżeństwa jednopłciowego</w:t>
      </w:r>
      <w:r w:rsidR="00992FD0" w:rsidRPr="00EC250C">
        <w:rPr>
          <w:rStyle w:val="Pogrubienie"/>
          <w:b/>
          <w:bCs/>
          <w:szCs w:val="24"/>
        </w:rPr>
        <w:t xml:space="preserve"> w </w:t>
      </w:r>
      <w:r w:rsidRPr="00EC250C">
        <w:rPr>
          <w:rStyle w:val="Pogrubienie"/>
          <w:b/>
          <w:bCs/>
          <w:szCs w:val="24"/>
        </w:rPr>
        <w:t>Wlk. Brytanii. W precedensowym wyroku NSA ocenił, że doszło do dyskryminacji dziecka-obywatela Rzeczypospolitej</w:t>
      </w:r>
      <w:r w:rsidR="00992FD0" w:rsidRPr="00EC250C">
        <w:rPr>
          <w:rStyle w:val="Pogrubienie"/>
          <w:b/>
          <w:bCs/>
          <w:szCs w:val="24"/>
        </w:rPr>
        <w:t xml:space="preserve"> i </w:t>
      </w:r>
      <w:r w:rsidRPr="00EC250C">
        <w:rPr>
          <w:rStyle w:val="Pogrubienie"/>
          <w:b/>
          <w:bCs/>
          <w:szCs w:val="24"/>
        </w:rPr>
        <w:t>zwrócił sprawę urzędowi stanu cywilnego.</w:t>
      </w:r>
    </w:p>
    <w:p w14:paraId="719C4EE7" w14:textId="77777777" w:rsidR="00C91F6E" w:rsidRPr="00EC250C" w:rsidRDefault="00AF0A70" w:rsidP="00D131FA">
      <w:pPr>
        <w:pStyle w:val="Styl2"/>
        <w:rPr>
          <w:rStyle w:val="Pogrubienie"/>
          <w:b/>
          <w:bCs/>
          <w:szCs w:val="24"/>
        </w:rPr>
      </w:pPr>
      <w:r w:rsidRPr="00EC250C">
        <w:rPr>
          <w:rStyle w:val="Pogrubienie"/>
          <w:b/>
          <w:bCs/>
          <w:szCs w:val="24"/>
        </w:rPr>
        <w:t>RPO, który przyłączył się do sprawy</w:t>
      </w:r>
      <w:r w:rsidRPr="00EC250C">
        <w:rPr>
          <w:szCs w:val="24"/>
          <w:vertAlign w:val="superscript"/>
        </w:rPr>
        <w:footnoteReference w:id="82"/>
      </w:r>
      <w:r w:rsidRPr="00EC250C">
        <w:rPr>
          <w:rStyle w:val="Pogrubienie"/>
          <w:b/>
          <w:bCs/>
          <w:szCs w:val="24"/>
        </w:rPr>
        <w:t>, wskazywał że polskie przepisy należy stosować zgodnie</w:t>
      </w:r>
      <w:r w:rsidR="00992FD0" w:rsidRPr="00EC250C">
        <w:rPr>
          <w:rStyle w:val="Pogrubienie"/>
          <w:b/>
          <w:bCs/>
          <w:szCs w:val="24"/>
        </w:rPr>
        <w:t xml:space="preserve"> z </w:t>
      </w:r>
      <w:r w:rsidRPr="00EC250C">
        <w:rPr>
          <w:rStyle w:val="Pogrubienie"/>
          <w:b/>
          <w:bCs/>
          <w:szCs w:val="24"/>
        </w:rPr>
        <w:t>Konstytucją</w:t>
      </w:r>
      <w:r w:rsidR="00992FD0" w:rsidRPr="00EC250C">
        <w:rPr>
          <w:rStyle w:val="Pogrubienie"/>
          <w:b/>
          <w:bCs/>
          <w:szCs w:val="24"/>
        </w:rPr>
        <w:t xml:space="preserve"> i </w:t>
      </w:r>
      <w:r w:rsidRPr="00EC250C">
        <w:rPr>
          <w:rStyle w:val="Pogrubienie"/>
          <w:b/>
          <w:bCs/>
          <w:szCs w:val="24"/>
        </w:rPr>
        <w:t>Konwencją</w:t>
      </w:r>
      <w:r w:rsidR="00992FD0" w:rsidRPr="00EC250C">
        <w:rPr>
          <w:rStyle w:val="Pogrubienie"/>
          <w:b/>
          <w:bCs/>
          <w:szCs w:val="24"/>
        </w:rPr>
        <w:t xml:space="preserve"> o </w:t>
      </w:r>
      <w:r w:rsidRPr="00EC250C">
        <w:rPr>
          <w:rStyle w:val="Pogrubienie"/>
          <w:b/>
          <w:bCs/>
          <w:szCs w:val="24"/>
        </w:rPr>
        <w:t>prawach dziecka oraz według zasady priorytetu dobra dziecka.</w:t>
      </w:r>
    </w:p>
    <w:p w14:paraId="148BF193" w14:textId="77777777" w:rsidR="00AF0A70" w:rsidRPr="00EC250C" w:rsidRDefault="00AF0A70" w:rsidP="00D131FA">
      <w:pPr>
        <w:pStyle w:val="Styl2"/>
        <w:rPr>
          <w:szCs w:val="24"/>
        </w:rPr>
      </w:pPr>
      <w:r w:rsidRPr="00EC250C">
        <w:rPr>
          <w:rStyle w:val="Pogrubienie"/>
          <w:b/>
          <w:bCs/>
          <w:szCs w:val="24"/>
        </w:rPr>
        <w:lastRenderedPageBreak/>
        <w:t>NSA uznał te argument</w:t>
      </w:r>
      <w:r w:rsidR="00C5711C" w:rsidRPr="00EC250C">
        <w:rPr>
          <w:rStyle w:val="Pogrubienie"/>
          <w:b/>
          <w:bCs/>
          <w:szCs w:val="24"/>
        </w:rPr>
        <w:t>y,</w:t>
      </w:r>
      <w:r w:rsidRPr="00EC250C">
        <w:rPr>
          <w:rStyle w:val="Pogrubienie"/>
          <w:b/>
          <w:bCs/>
          <w:szCs w:val="24"/>
        </w:rPr>
        <w:t xml:space="preserve"> podkreślił, że sprawa nie dotyczy związku dwóch osób jednej płci, ale dziecka „w jakimś zakresie wyjętego spod prawa”</w:t>
      </w:r>
      <w:r w:rsidR="00C5711C" w:rsidRPr="00EC250C">
        <w:rPr>
          <w:rStyle w:val="Pogrubienie"/>
          <w:b/>
          <w:bCs/>
          <w:szCs w:val="24"/>
        </w:rPr>
        <w:t>.</w:t>
      </w:r>
    </w:p>
    <w:p w14:paraId="57BF5F68" w14:textId="77777777" w:rsidR="00C91F6E" w:rsidRPr="00EC250C" w:rsidRDefault="006C19A6" w:rsidP="00EC79EB">
      <w:pPr>
        <w:pStyle w:val="Nagwek4"/>
      </w:pPr>
      <w:bookmarkStart w:id="82" w:name="_Toc11247560"/>
      <w:r w:rsidRPr="00EC250C">
        <w:t>Nienaprawiona krzywda utraty obywatelstwa</w:t>
      </w:r>
      <w:bookmarkEnd w:id="82"/>
    </w:p>
    <w:p w14:paraId="63BBEBCD" w14:textId="77777777" w:rsidR="00B473F5" w:rsidRPr="00EC250C" w:rsidRDefault="00D91370" w:rsidP="00D131FA">
      <w:pPr>
        <w:pStyle w:val="Problemczowieka"/>
        <w:jc w:val="both"/>
      </w:pPr>
      <w:r w:rsidRPr="00EC250C">
        <w:t>W marcu 1968</w:t>
      </w:r>
      <w:r w:rsidR="00C91F6E" w:rsidRPr="00EC250C">
        <w:t> r.</w:t>
      </w:r>
      <w:r w:rsidRPr="00EC250C">
        <w:t xml:space="preserve"> mieliśmy</w:t>
      </w:r>
      <w:r w:rsidR="00992FD0" w:rsidRPr="00EC250C">
        <w:t xml:space="preserve"> w </w:t>
      </w:r>
      <w:r w:rsidR="00394C5B" w:rsidRPr="00EC250C">
        <w:t xml:space="preserve">Polsce </w:t>
      </w:r>
      <w:r w:rsidRPr="00EC250C">
        <w:t>do czynienia</w:t>
      </w:r>
      <w:r w:rsidR="00992FD0" w:rsidRPr="00EC250C">
        <w:t xml:space="preserve"> z </w:t>
      </w:r>
      <w:r w:rsidRPr="00EC250C">
        <w:t>przemocą fizyczną, symboliczną, psychiczną</w:t>
      </w:r>
      <w:r w:rsidR="00992FD0" w:rsidRPr="00EC250C">
        <w:t xml:space="preserve"> i </w:t>
      </w:r>
      <w:r w:rsidRPr="00EC250C">
        <w:t>ekonomiczną na wielką skalę</w:t>
      </w:r>
      <w:r w:rsidR="00394C5B" w:rsidRPr="00EC250C">
        <w:t>,</w:t>
      </w:r>
      <w:r w:rsidR="00992FD0" w:rsidRPr="00EC250C">
        <w:t xml:space="preserve"> i </w:t>
      </w:r>
      <w:r w:rsidRPr="00EC250C">
        <w:t>jedn</w:t>
      </w:r>
      <w:r w:rsidR="00394C5B" w:rsidRPr="00EC250C">
        <w:t>ym</w:t>
      </w:r>
      <w:r w:rsidR="00992FD0" w:rsidRPr="00EC250C">
        <w:t xml:space="preserve"> z </w:t>
      </w:r>
      <w:r w:rsidRPr="00EC250C">
        <w:t>najgłębszych</w:t>
      </w:r>
      <w:r w:rsidR="00992FD0" w:rsidRPr="00EC250C">
        <w:t xml:space="preserve"> w </w:t>
      </w:r>
      <w:r w:rsidRPr="00EC250C">
        <w:t>historii wewnętrzny</w:t>
      </w:r>
      <w:r w:rsidR="00394C5B" w:rsidRPr="00EC250C">
        <w:t>ch</w:t>
      </w:r>
      <w:r w:rsidRPr="00EC250C">
        <w:t xml:space="preserve"> konflikt</w:t>
      </w:r>
      <w:r w:rsidR="00394C5B" w:rsidRPr="00EC250C">
        <w:t>ów</w:t>
      </w:r>
      <w:r w:rsidRPr="00EC250C">
        <w:t xml:space="preserve"> na tle narodowościowym. </w:t>
      </w:r>
      <w:r w:rsidR="003331B3" w:rsidRPr="00EC250C">
        <w:t>W wyniku zorganizowanej przez władze kampanii nienawiści wielu obywateli zostało wtedy zmuszonych do emigracji</w:t>
      </w:r>
      <w:r w:rsidR="00B473F5" w:rsidRPr="00EC250C">
        <w:t>.</w:t>
      </w:r>
    </w:p>
    <w:p w14:paraId="3B51FB34" w14:textId="77777777" w:rsidR="00D91370" w:rsidRPr="00EC250C" w:rsidRDefault="004662F6" w:rsidP="00D131FA">
      <w:pPr>
        <w:pStyle w:val="Styl1"/>
      </w:pPr>
      <w:r w:rsidRPr="00EC250C">
        <w:t xml:space="preserve">Dramatowi tych osób poświęcona była </w:t>
      </w:r>
      <w:r w:rsidR="00D91370" w:rsidRPr="00EC250C">
        <w:t>debat</w:t>
      </w:r>
      <w:r w:rsidRPr="00EC250C">
        <w:t>a</w:t>
      </w:r>
      <w:r w:rsidR="00D91370" w:rsidRPr="00EC250C">
        <w:t xml:space="preserve"> </w:t>
      </w:r>
      <w:r w:rsidR="006C19A6" w:rsidRPr="00EC250C">
        <w:t>„Rok 1968. Obywatelstwo: łaska władzy czy prawo?” zorganizowan</w:t>
      </w:r>
      <w:r w:rsidRPr="00EC250C">
        <w:t>a</w:t>
      </w:r>
      <w:r w:rsidR="00992FD0" w:rsidRPr="00EC250C">
        <w:t xml:space="preserve"> w </w:t>
      </w:r>
      <w:r w:rsidR="006C19A6" w:rsidRPr="00EC250C">
        <w:t>Biurze RPO</w:t>
      </w:r>
      <w:r w:rsidR="00992FD0" w:rsidRPr="00EC250C">
        <w:t xml:space="preserve"> z </w:t>
      </w:r>
      <w:r w:rsidR="00D91370" w:rsidRPr="00EC250C">
        <w:t>okazji</w:t>
      </w:r>
      <w:r w:rsidR="00CC4D88" w:rsidRPr="00EC250C">
        <w:t xml:space="preserve"> </w:t>
      </w:r>
      <w:r w:rsidR="00D91370" w:rsidRPr="00EC250C">
        <w:t>50. rocznicy Marca’68</w:t>
      </w:r>
      <w:r w:rsidR="008B2B7E" w:rsidRPr="00EC250C">
        <w:t>.</w:t>
      </w:r>
      <w:r w:rsidRPr="00EC250C">
        <w:t xml:space="preserve"> </w:t>
      </w:r>
      <w:r w:rsidR="00D91370" w:rsidRPr="00EC250C">
        <w:t>Uczestniczyli</w:t>
      </w:r>
      <w:r w:rsidR="00992FD0" w:rsidRPr="00EC250C">
        <w:t xml:space="preserve"> w </w:t>
      </w:r>
      <w:r w:rsidR="00D91370" w:rsidRPr="00EC250C">
        <w:t>niej wygnani</w:t>
      </w:r>
      <w:r w:rsidR="00992FD0" w:rsidRPr="00EC250C">
        <w:t xml:space="preserve"> w </w:t>
      </w:r>
      <w:r w:rsidR="00D91370" w:rsidRPr="00EC250C">
        <w:t>1968</w:t>
      </w:r>
      <w:r w:rsidR="00C91F6E" w:rsidRPr="00EC250C">
        <w:t> r.</w:t>
      </w:r>
      <w:r w:rsidR="00D91370" w:rsidRPr="00EC250C">
        <w:t>, świadkowie wydarzeń oraz naukowcy, prawnicy, dziennikarze</w:t>
      </w:r>
      <w:r w:rsidR="00394C5B" w:rsidRPr="00EC250C">
        <w:t xml:space="preserve">, </w:t>
      </w:r>
      <w:r w:rsidR="00D91370" w:rsidRPr="00EC250C">
        <w:t>wicemarszałek Senatu Bogdan Borusewicz</w:t>
      </w:r>
      <w:r w:rsidR="00992FD0" w:rsidRPr="00EC250C">
        <w:t xml:space="preserve"> i </w:t>
      </w:r>
      <w:r w:rsidR="00D91370" w:rsidRPr="00EC250C">
        <w:t>ambasador Izraela Anna Azari.</w:t>
      </w:r>
      <w:r w:rsidR="004A0F00" w:rsidRPr="00EC250C">
        <w:t xml:space="preserve"> </w:t>
      </w:r>
    </w:p>
    <w:p w14:paraId="531ECAAA" w14:textId="77777777" w:rsidR="004A0F00" w:rsidRPr="00EC250C" w:rsidRDefault="00D91370" w:rsidP="00D131FA">
      <w:pPr>
        <w:pStyle w:val="Styl1"/>
      </w:pPr>
      <w:r w:rsidRPr="00EC250C">
        <w:t>Obywatelstwo to nie „łaska pańska”, tylko coś, co się obywatelowi należy</w:t>
      </w:r>
      <w:r w:rsidR="00026572" w:rsidRPr="00EC250C">
        <w:t xml:space="preserve"> – </w:t>
      </w:r>
      <w:r w:rsidRPr="00EC250C">
        <w:t>mówiła prof. Krystyna Skarżyńska</w:t>
      </w:r>
      <w:r w:rsidR="00992FD0" w:rsidRPr="00EC250C">
        <w:t xml:space="preserve"> z </w:t>
      </w:r>
      <w:r w:rsidRPr="00EC250C">
        <w:t>Wydziału Psychologii SWPS. Podkreślała, że</w:t>
      </w:r>
      <w:r w:rsidR="00992FD0" w:rsidRPr="00EC250C">
        <w:t xml:space="preserve"> z </w:t>
      </w:r>
      <w:r w:rsidRPr="00EC250C">
        <w:t>Polski wyjeżdżali wzorowi obywatele,</w:t>
      </w:r>
      <w:r w:rsidR="00992FD0" w:rsidRPr="00EC250C">
        <w:t xml:space="preserve"> z </w:t>
      </w:r>
      <w:r w:rsidRPr="00EC250C">
        <w:t>bardzo silną polską tożsamością, którzy do dziś recytują</w:t>
      </w:r>
      <w:r w:rsidR="00992FD0" w:rsidRPr="00EC250C">
        <w:t xml:space="preserve"> z </w:t>
      </w:r>
      <w:r w:rsidRPr="00EC250C">
        <w:t>pamięci najważniejsze polskie poezje. Dziś są to dziś ludzie sukcesu, choć są obywatelami innych państw, Polska ich straciła „na własne życzenie” – zaznaczyła.</w:t>
      </w:r>
      <w:r w:rsidR="004A0F00" w:rsidRPr="00EC250C">
        <w:t xml:space="preserve"> Według informacji przedstawionych podczas debaty, wyjechało wtedy z Polski ponad 13 tys. osób. Do Izraela pojechało ok 3,5 tys., inni trafili do Szwecji, Danii i USA. Wśród emigrantów było kilkuset naukowców, wielu twórców i artystów. 36 proc. emigrantów pochodziło z Warszawy.</w:t>
      </w:r>
    </w:p>
    <w:p w14:paraId="5F51AE41" w14:textId="77777777" w:rsidR="00275B1D" w:rsidRPr="00EC250C" w:rsidRDefault="00D91370" w:rsidP="00D131FA">
      <w:pPr>
        <w:pStyle w:val="Styl1"/>
        <w:rPr>
          <w:b/>
          <w:bCs/>
          <w:color w:val="044892"/>
          <w:sz w:val="28"/>
        </w:rPr>
      </w:pPr>
      <w:r w:rsidRPr="00EC250C">
        <w:t>Prof. Andrzej Krakowski (City University of New York), który</w:t>
      </w:r>
      <w:r w:rsidR="00992FD0" w:rsidRPr="00EC250C">
        <w:t xml:space="preserve"> w </w:t>
      </w:r>
      <w:r w:rsidRPr="00EC250C">
        <w:t>1968</w:t>
      </w:r>
      <w:r w:rsidR="00C91F6E" w:rsidRPr="00EC250C">
        <w:t> r.</w:t>
      </w:r>
      <w:r w:rsidRPr="00EC250C">
        <w:t xml:space="preserve"> jako student „filmówki” przebywał</w:t>
      </w:r>
      <w:r w:rsidR="00992FD0" w:rsidRPr="00EC250C">
        <w:t xml:space="preserve"> w </w:t>
      </w:r>
      <w:r w:rsidRPr="00EC250C">
        <w:t>USA, wspominał, że urzędnik peerelowskiego MSW uzależniał zgodę na wyjazd</w:t>
      </w:r>
      <w:r w:rsidR="00992FD0" w:rsidRPr="00EC250C">
        <w:t xml:space="preserve"> z </w:t>
      </w:r>
      <w:r w:rsidRPr="00EC250C">
        <w:t>Polski ojca od zgody syna na zrzeczenie się obywatelstwa polskiego. „Z siostrą od tego czasu nie rozmawialiśmy po polsku. Polska nas nie chciała; my nie chcieliśmy Polski” – mówił</w:t>
      </w:r>
      <w:r w:rsidR="00992FD0" w:rsidRPr="00EC250C">
        <w:t xml:space="preserve"> z </w:t>
      </w:r>
      <w:r w:rsidRPr="00EC250C">
        <w:t>goryczą.</w:t>
      </w:r>
      <w:r w:rsidR="004A0F00" w:rsidRPr="00EC250C">
        <w:t xml:space="preserve"> </w:t>
      </w:r>
      <w:r w:rsidR="004662F6" w:rsidRPr="00EC250C">
        <w:t>B</w:t>
      </w:r>
      <w:r w:rsidR="00CF6FDF" w:rsidRPr="00EC250C">
        <w:t>yła</w:t>
      </w:r>
      <w:r w:rsidR="004662F6" w:rsidRPr="00EC250C">
        <w:t xml:space="preserve"> sekretarz stanu</w:t>
      </w:r>
      <w:r w:rsidR="00992FD0" w:rsidRPr="00EC250C">
        <w:t xml:space="preserve"> w </w:t>
      </w:r>
      <w:r w:rsidR="004662F6" w:rsidRPr="00EC250C">
        <w:t>Kancelarii Prezydenta Lecha Kaczyńskiego Ewa Juńczyk-Ziomecka mówiła</w:t>
      </w:r>
      <w:r w:rsidR="00992FD0" w:rsidRPr="00EC250C">
        <w:t xml:space="preserve"> o </w:t>
      </w:r>
      <w:r w:rsidR="004662F6" w:rsidRPr="00EC250C">
        <w:t>tym, jak k</w:t>
      </w:r>
      <w:r w:rsidRPr="00EC250C">
        <w:t>olejni prezydenci usiłowali szukać sposobów na sprawiedliwość dla wygnanych. Jedna</w:t>
      </w:r>
      <w:r w:rsidR="00992FD0" w:rsidRPr="00EC250C">
        <w:t xml:space="preserve"> z </w:t>
      </w:r>
      <w:r w:rsidRPr="00EC250C">
        <w:t>takich osób</w:t>
      </w:r>
      <w:r w:rsidR="00992FD0" w:rsidRPr="00EC250C">
        <w:t xml:space="preserve"> w </w:t>
      </w:r>
      <w:r w:rsidRPr="00EC250C">
        <w:t>Naczelnym Sądzie Administracyjnym</w:t>
      </w:r>
      <w:r w:rsidR="00CC4D88" w:rsidRPr="00EC250C">
        <w:t xml:space="preserve"> </w:t>
      </w:r>
      <w:r w:rsidRPr="00EC250C">
        <w:t>uzyskała wyrok, że nigdy nie straciła polskiego obywatelstwa. Z kolei Sąd Najwyższy wypowiedział się, że nie można było gremialnie pozbawiać obywatelstwa</w:t>
      </w:r>
      <w:r w:rsidR="00CC4D88" w:rsidRPr="00EC250C">
        <w:t xml:space="preserve"> </w:t>
      </w:r>
      <w:r w:rsidRPr="00EC250C">
        <w:t>wszystkich, którzy deklarowali wtedy chęć wyjazdu do Izraela. Oznaczałoby to, że wszyscy oni nadal są obywatelami Polski.</w:t>
      </w:r>
      <w:r w:rsidR="004662F6" w:rsidRPr="00EC250C">
        <w:t xml:space="preserve"> </w:t>
      </w:r>
      <w:r w:rsidRPr="00EC250C">
        <w:t>„Dziś każdy kto wyjechał</w:t>
      </w:r>
      <w:r w:rsidR="00992FD0" w:rsidRPr="00EC250C">
        <w:t xml:space="preserve"> w </w:t>
      </w:r>
      <w:r w:rsidRPr="00EC250C">
        <w:t>Marcu, może prosić</w:t>
      </w:r>
      <w:r w:rsidR="00992FD0" w:rsidRPr="00EC250C">
        <w:t xml:space="preserve"> o </w:t>
      </w:r>
      <w:r w:rsidRPr="00EC250C">
        <w:t>potwierdzenie obywatelstwa” – powiedziała Juńczyk-Ziomecka. Przyznała, że taka prośba jest dla wielu trudna</w:t>
      </w:r>
      <w:r w:rsidR="00DB5DBE" w:rsidRPr="00EC250C">
        <w:rPr>
          <w:rStyle w:val="Odwoanieprzypisudolnego"/>
        </w:rPr>
        <w:footnoteReference w:id="83"/>
      </w:r>
      <w:r w:rsidRPr="00EC250C">
        <w:t>.</w:t>
      </w:r>
      <w:r w:rsidR="00275B1D" w:rsidRPr="00EC250C">
        <w:br w:type="page"/>
      </w:r>
    </w:p>
    <w:p w14:paraId="5B96CCED" w14:textId="77777777" w:rsidR="00C91F6E" w:rsidRPr="00EC250C" w:rsidRDefault="005E5BDF" w:rsidP="00EC250C">
      <w:pPr>
        <w:pStyle w:val="Nagwek3"/>
      </w:pPr>
      <w:bookmarkStart w:id="83" w:name="_Toc6257654"/>
      <w:bookmarkStart w:id="84" w:name="_Toc11247561"/>
      <w:r w:rsidRPr="00EC250C">
        <w:lastRenderedPageBreak/>
        <w:t xml:space="preserve">Art. 35 </w:t>
      </w:r>
      <w:r w:rsidR="00365621" w:rsidRPr="00EC250C">
        <w:t xml:space="preserve">Konstytucji </w:t>
      </w:r>
      <w:r w:rsidRPr="00EC250C">
        <w:t>– Prawa mniejszości narodowych</w:t>
      </w:r>
      <w:r w:rsidR="00992FD0" w:rsidRPr="00EC250C">
        <w:t xml:space="preserve"> i </w:t>
      </w:r>
      <w:r w:rsidRPr="00EC250C">
        <w:t>etnicznych</w:t>
      </w:r>
      <w:bookmarkEnd w:id="83"/>
      <w:bookmarkEnd w:id="84"/>
    </w:p>
    <w:p w14:paraId="43408DB8" w14:textId="77777777" w:rsidR="00001399" w:rsidRPr="00EC250C" w:rsidRDefault="005E5BDF" w:rsidP="00D131FA">
      <w:pPr>
        <w:pStyle w:val="konstytucja"/>
        <w:jc w:val="both"/>
      </w:pPr>
      <w:r w:rsidRPr="00EC250C">
        <w:t>1. Rzeczpospolita Polska zapewnia obywatelom polskim należącym do mniejszości narodowych</w:t>
      </w:r>
      <w:r w:rsidR="00992FD0" w:rsidRPr="00EC250C">
        <w:t xml:space="preserve"> i </w:t>
      </w:r>
      <w:r w:rsidRPr="00EC250C">
        <w:t>etnicznych wolność zachowania</w:t>
      </w:r>
      <w:r w:rsidR="00992FD0" w:rsidRPr="00EC250C">
        <w:t xml:space="preserve"> i </w:t>
      </w:r>
      <w:r w:rsidRPr="00EC250C">
        <w:t>rozwoju własnego języka, zachowania obyczajów</w:t>
      </w:r>
      <w:r w:rsidR="00992FD0" w:rsidRPr="00EC250C">
        <w:t xml:space="preserve"> i </w:t>
      </w:r>
      <w:r w:rsidRPr="00EC250C">
        <w:t>tradycji oraz rozwoju własnej kultury.</w:t>
      </w:r>
    </w:p>
    <w:p w14:paraId="1E899BB8" w14:textId="77777777" w:rsidR="005E5BDF" w:rsidRPr="00EC250C" w:rsidRDefault="005E5BDF" w:rsidP="00D131FA">
      <w:pPr>
        <w:pStyle w:val="konstytucja"/>
        <w:jc w:val="both"/>
      </w:pPr>
      <w:r w:rsidRPr="00EC250C">
        <w:t>2. Mniejszości narodowe</w:t>
      </w:r>
      <w:r w:rsidR="00992FD0" w:rsidRPr="00EC250C">
        <w:t xml:space="preserve"> i </w:t>
      </w:r>
      <w:r w:rsidRPr="00EC250C">
        <w:t>etniczne mają prawo do tworzenia własnych instytucji edukacyjnych, kulturalnych</w:t>
      </w:r>
      <w:r w:rsidR="00992FD0" w:rsidRPr="00EC250C">
        <w:t xml:space="preserve"> i </w:t>
      </w:r>
      <w:r w:rsidRPr="00EC250C">
        <w:t>instytucji służących ochronie tożsamości religijnej oraz do uczestnictwa</w:t>
      </w:r>
      <w:r w:rsidR="00992FD0" w:rsidRPr="00EC250C">
        <w:t xml:space="preserve"> w </w:t>
      </w:r>
      <w:r w:rsidRPr="00EC250C">
        <w:t>rozstrzyganiu spraw dotyczących ich tożsamości kulturowej.</w:t>
      </w:r>
    </w:p>
    <w:p w14:paraId="2027AD73" w14:textId="77777777" w:rsidR="00C91F6E" w:rsidRPr="00EC250C" w:rsidRDefault="00AA0285" w:rsidP="00D131FA">
      <w:pPr>
        <w:pStyle w:val="ComwiKonstytucja"/>
      </w:pPr>
      <w:r w:rsidRPr="00EC250C">
        <w:t>Obowiązek ochrony praw mniejszości wynika nie tylko</w:t>
      </w:r>
      <w:r w:rsidR="00992FD0" w:rsidRPr="00EC250C">
        <w:t xml:space="preserve"> z </w:t>
      </w:r>
      <w:r w:rsidRPr="00EC250C">
        <w:t>tego artykułu Konstytucji, ale także</w:t>
      </w:r>
      <w:r w:rsidR="00992FD0" w:rsidRPr="00EC250C">
        <w:t xml:space="preserve"> z </w:t>
      </w:r>
      <w:r w:rsidRPr="00EC250C">
        <w:t>artykułu 32 oraz regulacji międzynarodowych (takich jak art. 27 Międzynarodowego Paktu Praw Obywatelskich</w:t>
      </w:r>
      <w:r w:rsidR="00992FD0" w:rsidRPr="00EC250C">
        <w:t xml:space="preserve"> i </w:t>
      </w:r>
      <w:r w:rsidRPr="00EC250C">
        <w:t>Politycznych, europejskiej Konwencji</w:t>
      </w:r>
      <w:r w:rsidR="00992FD0" w:rsidRPr="00EC250C">
        <w:t xml:space="preserve"> o </w:t>
      </w:r>
      <w:r w:rsidRPr="00EC250C">
        <w:t>ochronie mniejszości narodowych</w:t>
      </w:r>
      <w:r w:rsidR="00992FD0" w:rsidRPr="00EC250C">
        <w:t xml:space="preserve"> z </w:t>
      </w:r>
      <w:r w:rsidRPr="00EC250C">
        <w:t>1995</w:t>
      </w:r>
      <w:r w:rsidR="00C91F6E" w:rsidRPr="00EC250C">
        <w:t> r.</w:t>
      </w:r>
      <w:r w:rsidRPr="00EC250C">
        <w:t>, traktatów dwustronnych zawierane przez Polskę). Łączne odczytywanie tych przepisów pozwoliło komentatorom na sformułowanie trzech reguł uniwersalnych:</w:t>
      </w:r>
    </w:p>
    <w:p w14:paraId="2D35D2D2" w14:textId="77777777" w:rsidR="00C91F6E" w:rsidRPr="00EC250C" w:rsidRDefault="00AA0285" w:rsidP="006C70B7">
      <w:pPr>
        <w:pStyle w:val="ComwiKonstytucja"/>
        <w:numPr>
          <w:ilvl w:val="0"/>
          <w:numId w:val="32"/>
        </w:numPr>
        <w:spacing w:line="240" w:lineRule="auto"/>
      </w:pPr>
      <w:r w:rsidRPr="00EC250C">
        <w:t>zakazu asymilacji (rozumianego jako eliminacja odrębności narodowych</w:t>
      </w:r>
      <w:r w:rsidR="00992FD0" w:rsidRPr="00EC250C">
        <w:t xml:space="preserve"> i </w:t>
      </w:r>
      <w:r w:rsidRPr="00EC250C">
        <w:t>etnicznych),</w:t>
      </w:r>
    </w:p>
    <w:p w14:paraId="04E5850E" w14:textId="77777777" w:rsidR="00C91F6E" w:rsidRPr="00EC250C" w:rsidRDefault="00AA0285" w:rsidP="006C70B7">
      <w:pPr>
        <w:pStyle w:val="ComwiKonstytucja"/>
        <w:numPr>
          <w:ilvl w:val="0"/>
          <w:numId w:val="32"/>
        </w:numPr>
        <w:spacing w:line="240" w:lineRule="auto"/>
      </w:pPr>
      <w:r w:rsidRPr="00EC250C">
        <w:t>zasady równego traktowania,</w:t>
      </w:r>
    </w:p>
    <w:p w14:paraId="742E177D" w14:textId="77777777" w:rsidR="00C91F6E" w:rsidRPr="00EC250C" w:rsidRDefault="00AA0285" w:rsidP="006C70B7">
      <w:pPr>
        <w:pStyle w:val="ComwiKonstytucja"/>
        <w:numPr>
          <w:ilvl w:val="0"/>
          <w:numId w:val="32"/>
        </w:numPr>
        <w:spacing w:line="240" w:lineRule="auto"/>
      </w:pPr>
      <w:r w:rsidRPr="00EC250C">
        <w:t>i zakazu dyskryminacji.</w:t>
      </w:r>
    </w:p>
    <w:p w14:paraId="27481976" w14:textId="77777777" w:rsidR="00C91F6E" w:rsidRPr="00EC250C" w:rsidRDefault="00AA0285" w:rsidP="00D131FA">
      <w:pPr>
        <w:pStyle w:val="ComwiKonstytucja"/>
      </w:pPr>
      <w:r w:rsidRPr="00EC250C">
        <w:t>Obywatel polski będący przedstawicielem mniejszości ma prawo do zachowania</w:t>
      </w:r>
      <w:r w:rsidR="00992FD0" w:rsidRPr="00EC250C">
        <w:t xml:space="preserve"> i </w:t>
      </w:r>
      <w:r w:rsidRPr="00EC250C">
        <w:t>rozwoju języka, obyczajów, tradycji</w:t>
      </w:r>
      <w:r w:rsidR="00992FD0" w:rsidRPr="00EC250C">
        <w:t xml:space="preserve"> i </w:t>
      </w:r>
      <w:r w:rsidRPr="00EC250C">
        <w:t>kultury.</w:t>
      </w:r>
    </w:p>
    <w:p w14:paraId="140591DF" w14:textId="77777777" w:rsidR="00C91F6E" w:rsidRPr="00EC250C" w:rsidRDefault="00AA0285" w:rsidP="00D131FA">
      <w:pPr>
        <w:pStyle w:val="ComwiKonstytucja"/>
      </w:pPr>
      <w:r w:rsidRPr="00EC250C">
        <w:t>Mniejszością narodową (w rozumieniu ustawy</w:t>
      </w:r>
      <w:r w:rsidR="00992FD0" w:rsidRPr="00EC250C">
        <w:t xml:space="preserve"> o </w:t>
      </w:r>
      <w:r w:rsidRPr="00EC250C">
        <w:t>mniejszościach narodowych</w:t>
      </w:r>
      <w:r w:rsidR="00992FD0" w:rsidRPr="00EC250C">
        <w:t xml:space="preserve"> i </w:t>
      </w:r>
      <w:r w:rsidRPr="00EC250C">
        <w:t>etnicznych) jest grupa obywateli polskich, która jest mniej liczebna od pozostałej części ludności Rzeczypospolitej,</w:t>
      </w:r>
      <w:r w:rsidR="00992FD0" w:rsidRPr="00EC250C">
        <w:t xml:space="preserve"> w </w:t>
      </w:r>
      <w:r w:rsidRPr="00EC250C">
        <w:t>sposób istotny odróżnia się od pozostałych obywateli językiem, kulturą lub tradycją, dąży do zachowania tych odrębności, ma świadomość własnej historycznej wspólnoty narodowej</w:t>
      </w:r>
      <w:r w:rsidR="00992FD0" w:rsidRPr="00EC250C">
        <w:t xml:space="preserve"> i </w:t>
      </w:r>
      <w:r w:rsidRPr="00EC250C">
        <w:t>jest ukierunkowana na jej wyrażanie</w:t>
      </w:r>
      <w:r w:rsidR="00992FD0" w:rsidRPr="00EC250C">
        <w:t xml:space="preserve"> i </w:t>
      </w:r>
      <w:r w:rsidRPr="00EC250C">
        <w:t>ochronę,</w:t>
      </w:r>
      <w:r w:rsidR="00992FD0" w:rsidRPr="00EC250C">
        <w:t xml:space="preserve"> a </w:t>
      </w:r>
      <w:r w:rsidRPr="00EC250C">
        <w:t>jej przodkowie zamieszkiwali obecne terytorium Polski od co najmniej 100 lat.</w:t>
      </w:r>
    </w:p>
    <w:p w14:paraId="34B9CEDC" w14:textId="77777777" w:rsidR="00EE09AA" w:rsidRPr="00EC250C" w:rsidRDefault="00AA0285" w:rsidP="00D131FA">
      <w:pPr>
        <w:pStyle w:val="ComwiKonstytucja"/>
      </w:pPr>
      <w:r w:rsidRPr="00EC250C">
        <w:t>Grupa taka, aby zostać uznana za mniejszość narodową, powinna ponadto utożsamiać się</w:t>
      </w:r>
      <w:r w:rsidR="00992FD0" w:rsidRPr="00EC250C">
        <w:t xml:space="preserve"> z </w:t>
      </w:r>
      <w:r w:rsidRPr="00EC250C">
        <w:t>narodem zorganizowanym we własnym państwie. Mniejszością etniczną jest natomiast grupa obywateli polskich spełniająca powyższe kryteria, lecz nieutożsamiająca się</w:t>
      </w:r>
      <w:r w:rsidR="00992FD0" w:rsidRPr="00EC250C">
        <w:t xml:space="preserve"> z </w:t>
      </w:r>
      <w:r w:rsidRPr="00EC250C">
        <w:t>narodem zorganizowanym we własnym państwie</w:t>
      </w:r>
      <w:r w:rsidR="00EE09AA" w:rsidRPr="00EC250C">
        <w:t>.</w:t>
      </w:r>
    </w:p>
    <w:p w14:paraId="5741A643" w14:textId="77777777" w:rsidR="00EE09AA" w:rsidRPr="00EC250C" w:rsidRDefault="00EE09AA" w:rsidP="00D131FA">
      <w:pPr>
        <w:pStyle w:val="ComwiKonstytucja"/>
      </w:pPr>
    </w:p>
    <w:p w14:paraId="0C94381A" w14:textId="77777777" w:rsidR="00365621" w:rsidRPr="00EC250C" w:rsidRDefault="00365621" w:rsidP="00D131FA">
      <w:pPr>
        <w:pStyle w:val="ComwiKonstytucja"/>
        <w:rPr>
          <w:rStyle w:val="Nagwek8Znak"/>
          <w:b w:val="0"/>
          <w:bCs/>
          <w:lang w:eastAsia="en-US"/>
        </w:rPr>
      </w:pPr>
      <w:r w:rsidRPr="00EC250C">
        <w:rPr>
          <w:rStyle w:val="Nagwek8Znak"/>
          <w:b w:val="0"/>
          <w:i/>
        </w:rPr>
        <w:br w:type="page"/>
      </w:r>
    </w:p>
    <w:p w14:paraId="2D38F62B" w14:textId="77777777" w:rsidR="00C91F6E" w:rsidRPr="00EC250C" w:rsidRDefault="00F67B1D" w:rsidP="00EC79EB">
      <w:pPr>
        <w:pStyle w:val="Nagwek4"/>
      </w:pPr>
      <w:bookmarkStart w:id="85" w:name="_Toc6257656"/>
      <w:bookmarkStart w:id="86" w:name="_Toc11247562"/>
      <w:r w:rsidRPr="00EC250C">
        <w:rPr>
          <w:rStyle w:val="Nagwek8Znak"/>
          <w:b/>
          <w:bCs/>
          <w:i w:val="0"/>
          <w:color w:val="18223E"/>
          <w:sz w:val="36"/>
          <w:szCs w:val="32"/>
          <w:shd w:val="clear" w:color="auto" w:fill="auto"/>
        </w:rPr>
        <w:lastRenderedPageBreak/>
        <w:t>Trudności</w:t>
      </w:r>
      <w:r w:rsidR="00992FD0" w:rsidRPr="00EC250C">
        <w:rPr>
          <w:rStyle w:val="Nagwek8Znak"/>
          <w:b/>
          <w:bCs/>
          <w:i w:val="0"/>
          <w:color w:val="18223E"/>
          <w:sz w:val="36"/>
          <w:szCs w:val="32"/>
          <w:shd w:val="clear" w:color="auto" w:fill="auto"/>
        </w:rPr>
        <w:t xml:space="preserve"> w </w:t>
      </w:r>
      <w:r w:rsidRPr="00EC250C">
        <w:rPr>
          <w:rStyle w:val="Nagwek8Znak"/>
          <w:b/>
          <w:bCs/>
          <w:i w:val="0"/>
          <w:color w:val="18223E"/>
          <w:sz w:val="36"/>
          <w:szCs w:val="32"/>
          <w:shd w:val="clear" w:color="auto" w:fill="auto"/>
        </w:rPr>
        <w:t xml:space="preserve">otrzymywaniu </w:t>
      </w:r>
      <w:r w:rsidR="0065445D" w:rsidRPr="00EC250C">
        <w:rPr>
          <w:rStyle w:val="Nagwek8Znak"/>
          <w:b/>
          <w:bCs/>
          <w:i w:val="0"/>
          <w:color w:val="18223E"/>
          <w:sz w:val="36"/>
          <w:szCs w:val="32"/>
          <w:shd w:val="clear" w:color="auto" w:fill="auto"/>
        </w:rPr>
        <w:t>świadectw szkoln</w:t>
      </w:r>
      <w:r w:rsidRPr="00EC250C">
        <w:rPr>
          <w:rStyle w:val="Nagwek8Znak"/>
          <w:b/>
          <w:bCs/>
          <w:i w:val="0"/>
          <w:color w:val="18223E"/>
          <w:sz w:val="36"/>
          <w:szCs w:val="32"/>
          <w:shd w:val="clear" w:color="auto" w:fill="auto"/>
        </w:rPr>
        <w:t>ych</w:t>
      </w:r>
      <w:r w:rsidR="00992FD0" w:rsidRPr="00EC250C">
        <w:rPr>
          <w:rStyle w:val="Nagwek8Znak"/>
          <w:b/>
          <w:bCs/>
          <w:i w:val="0"/>
          <w:color w:val="18223E"/>
          <w:sz w:val="36"/>
          <w:szCs w:val="32"/>
          <w:shd w:val="clear" w:color="auto" w:fill="auto"/>
        </w:rPr>
        <w:t xml:space="preserve"> w </w:t>
      </w:r>
      <w:r w:rsidR="0065445D" w:rsidRPr="00EC250C">
        <w:rPr>
          <w:rStyle w:val="Nagwek8Znak"/>
          <w:b/>
          <w:bCs/>
          <w:i w:val="0"/>
          <w:color w:val="18223E"/>
          <w:sz w:val="36"/>
          <w:szCs w:val="32"/>
          <w:shd w:val="clear" w:color="auto" w:fill="auto"/>
        </w:rPr>
        <w:t>języku mniejszości</w:t>
      </w:r>
      <w:bookmarkEnd w:id="85"/>
      <w:bookmarkEnd w:id="86"/>
    </w:p>
    <w:p w14:paraId="7D48965A" w14:textId="77777777" w:rsidR="00B473F5" w:rsidRPr="00EC250C" w:rsidRDefault="00911C39" w:rsidP="00D131FA">
      <w:pPr>
        <w:pStyle w:val="Problemczowieka"/>
        <w:jc w:val="both"/>
      </w:pPr>
      <w:r w:rsidRPr="00EC250C">
        <w:t>Przedstawiciele mniejszości litewskiej</w:t>
      </w:r>
      <w:r w:rsidR="007244E0" w:rsidRPr="00EC250C">
        <w:t xml:space="preserve"> poskarżyli się na trudności, jakie napotykają ubiegając się</w:t>
      </w:r>
      <w:r w:rsidR="00992FD0" w:rsidRPr="00EC250C">
        <w:t xml:space="preserve"> o </w:t>
      </w:r>
      <w:r w:rsidR="007244E0" w:rsidRPr="00EC250C">
        <w:t>świadectw</w:t>
      </w:r>
      <w:r w:rsidR="0056670D" w:rsidRPr="00EC250C">
        <w:t>o</w:t>
      </w:r>
      <w:r w:rsidR="007244E0" w:rsidRPr="00EC250C">
        <w:t xml:space="preserve"> szkolne </w:t>
      </w:r>
      <w:r w:rsidR="0056670D" w:rsidRPr="00EC250C">
        <w:t>po polsku</w:t>
      </w:r>
      <w:r w:rsidR="00992FD0" w:rsidRPr="00EC250C">
        <w:t xml:space="preserve"> i </w:t>
      </w:r>
      <w:r w:rsidR="0056670D" w:rsidRPr="00EC250C">
        <w:t>litewsku</w:t>
      </w:r>
      <w:r w:rsidR="00B473F5" w:rsidRPr="00EC250C">
        <w:t>.</w:t>
      </w:r>
    </w:p>
    <w:p w14:paraId="64BCE684" w14:textId="77777777" w:rsidR="0010001E" w:rsidRPr="00EC250C" w:rsidRDefault="0010001E" w:rsidP="00D131FA">
      <w:pPr>
        <w:pStyle w:val="Styl1"/>
      </w:pPr>
      <w:r w:rsidRPr="00EC250C">
        <w:t>W</w:t>
      </w:r>
      <w:r w:rsidR="0065445D" w:rsidRPr="00EC250C">
        <w:t>ydawnictwo odpowiedzialne za dostarczenie świadectw odmawia</w:t>
      </w:r>
      <w:r w:rsidRPr="00EC250C">
        <w:t>ło</w:t>
      </w:r>
      <w:r w:rsidR="0065445D" w:rsidRPr="00EC250C">
        <w:t xml:space="preserve"> druku </w:t>
      </w:r>
      <w:r w:rsidR="00E94B52" w:rsidRPr="00EC250C">
        <w:t xml:space="preserve">dokumentu dwujęzycznego. Rozporządzenie MEN co prawda wskazuje, że </w:t>
      </w:r>
      <w:r w:rsidR="005D046E" w:rsidRPr="00EC250C">
        <w:t xml:space="preserve">rodzic lub </w:t>
      </w:r>
      <w:r w:rsidR="00E94B52" w:rsidRPr="00EC250C">
        <w:t>pełnoletni uczeń może wnioskować</w:t>
      </w:r>
      <w:r w:rsidR="00992FD0" w:rsidRPr="00EC250C">
        <w:t xml:space="preserve"> o </w:t>
      </w:r>
      <w:r w:rsidR="00E94B52" w:rsidRPr="00EC250C">
        <w:t>przygotowanie świadectwa dwuczęściowego</w:t>
      </w:r>
      <w:r w:rsidR="005D046E" w:rsidRPr="00EC250C">
        <w:t>,</w:t>
      </w:r>
      <w:r w:rsidR="00992FD0" w:rsidRPr="00EC250C">
        <w:t xml:space="preserve"> z </w:t>
      </w:r>
      <w:r w:rsidR="00E94B52" w:rsidRPr="00EC250C">
        <w:t>częś</w:t>
      </w:r>
      <w:r w:rsidR="005D046E" w:rsidRPr="00EC250C">
        <w:t>cią</w:t>
      </w:r>
      <w:r w:rsidR="00992FD0" w:rsidRPr="00EC250C">
        <w:t xml:space="preserve"> w </w:t>
      </w:r>
      <w:r w:rsidR="00E94B52" w:rsidRPr="00EC250C">
        <w:t>języku mniejszościowym</w:t>
      </w:r>
      <w:r w:rsidR="00E94B52" w:rsidRPr="00EC250C">
        <w:rPr>
          <w:rStyle w:val="Odwoanieprzypisudolnego"/>
        </w:rPr>
        <w:footnoteReference w:id="84"/>
      </w:r>
      <w:r w:rsidR="00E94B52" w:rsidRPr="00EC250C">
        <w:t>, ale według wydawnictwa nie jest to jednoznaczne</w:t>
      </w:r>
      <w:r w:rsidR="00992FD0" w:rsidRPr="00EC250C">
        <w:t xml:space="preserve"> z </w:t>
      </w:r>
      <w:r w:rsidR="00E94B52" w:rsidRPr="00EC250C">
        <w:t>obowiązkiem przygotowania takiego dokumentu</w:t>
      </w:r>
      <w:r w:rsidR="006558D9" w:rsidRPr="00EC250C">
        <w:t>.</w:t>
      </w:r>
      <w:r w:rsidR="007D5150" w:rsidRPr="00EC250C">
        <w:t xml:space="preserve"> </w:t>
      </w:r>
      <w:r w:rsidR="00E94B52" w:rsidRPr="00EC250C">
        <w:t>W związku</w:t>
      </w:r>
      <w:r w:rsidR="00992FD0" w:rsidRPr="00EC250C">
        <w:t xml:space="preserve"> z </w:t>
      </w:r>
      <w:r w:rsidR="00E94B52" w:rsidRPr="00EC250C">
        <w:t xml:space="preserve">tym </w:t>
      </w:r>
      <w:r w:rsidR="00073A8C" w:rsidRPr="00EC250C">
        <w:t xml:space="preserve">RPO </w:t>
      </w:r>
      <w:r w:rsidR="00E94B52" w:rsidRPr="00EC250C">
        <w:t>zwrócił się do Ministra</w:t>
      </w:r>
      <w:r w:rsidR="00992FD0" w:rsidRPr="00EC250C">
        <w:t xml:space="preserve"> o </w:t>
      </w:r>
      <w:r w:rsidR="00E94B52" w:rsidRPr="00EC250C">
        <w:t>wyjaśnienie.</w:t>
      </w:r>
    </w:p>
    <w:p w14:paraId="3DE43E7B" w14:textId="77777777" w:rsidR="0065445D" w:rsidRPr="00EC250C" w:rsidRDefault="0010001E" w:rsidP="00D131FA">
      <w:pPr>
        <w:pStyle w:val="Styl1"/>
      </w:pPr>
      <w:r w:rsidRPr="00EC250C">
        <w:t>Zdaniem MEN wydawnictwo się myl</w:t>
      </w:r>
      <w:r w:rsidR="006558D9" w:rsidRPr="00EC250C">
        <w:t>i</w:t>
      </w:r>
      <w:r w:rsidR="00F67B1D" w:rsidRPr="00EC250C">
        <w:t xml:space="preserve">: </w:t>
      </w:r>
      <w:r w:rsidR="0065445D" w:rsidRPr="00EC250C">
        <w:t>przy okazji ostatniej nowelizacji rozporządzenia rzeczywiście zrezygnowano</w:t>
      </w:r>
      <w:r w:rsidR="00992FD0" w:rsidRPr="00EC250C">
        <w:t xml:space="preserve"> z </w:t>
      </w:r>
      <w:r w:rsidR="0065445D" w:rsidRPr="00EC250C">
        <w:t xml:space="preserve">obligatoryjnego wydawania świadectw szkolnych </w:t>
      </w:r>
      <w:r w:rsidR="00CF6FDF" w:rsidRPr="00EC250C">
        <w:t xml:space="preserve">przez </w:t>
      </w:r>
      <w:r w:rsidR="0065445D" w:rsidRPr="00EC250C">
        <w:t>szkoły</w:t>
      </w:r>
      <w:r w:rsidR="00992FD0" w:rsidRPr="00EC250C">
        <w:t xml:space="preserve"> z </w:t>
      </w:r>
      <w:r w:rsidR="0065445D" w:rsidRPr="00EC250C">
        <w:t>językiem nauczania mniejszości narodowej</w:t>
      </w:r>
      <w:r w:rsidRPr="00EC250C">
        <w:t xml:space="preserve"> po polsku</w:t>
      </w:r>
      <w:r w:rsidR="00992FD0" w:rsidRPr="00EC250C">
        <w:t xml:space="preserve"> i w </w:t>
      </w:r>
      <w:r w:rsidR="0065445D" w:rsidRPr="00EC250C">
        <w:t xml:space="preserve">języku mniejszości, ale </w:t>
      </w:r>
      <w:r w:rsidRPr="00EC250C">
        <w:t>uczeń lub jego rodzic ma prawo</w:t>
      </w:r>
      <w:r w:rsidR="00992FD0" w:rsidRPr="00EC250C">
        <w:t xml:space="preserve"> o </w:t>
      </w:r>
      <w:r w:rsidRPr="00EC250C">
        <w:t>to wystąpić,</w:t>
      </w:r>
      <w:r w:rsidR="00992FD0" w:rsidRPr="00EC250C">
        <w:t xml:space="preserve"> a </w:t>
      </w:r>
      <w:r w:rsidRPr="00EC250C">
        <w:t>drukarnia nie ma podstaw do odmowy przygotowania odpowiedniego druku</w:t>
      </w:r>
      <w:r w:rsidR="008B2B7E" w:rsidRPr="00EC250C">
        <w:rPr>
          <w:vertAlign w:val="superscript"/>
        </w:rPr>
        <w:footnoteReference w:id="85"/>
      </w:r>
      <w:r w:rsidR="0065445D" w:rsidRPr="00EC250C">
        <w:t>.</w:t>
      </w:r>
    </w:p>
    <w:p w14:paraId="783DB711" w14:textId="77777777" w:rsidR="0096462C" w:rsidRPr="00EC250C" w:rsidRDefault="005823DA" w:rsidP="00EC250C">
      <w:pPr>
        <w:pStyle w:val="Nagwek8"/>
      </w:pPr>
      <w:r w:rsidRPr="00EC250C">
        <w:rPr>
          <w:rStyle w:val="field-content"/>
          <w:sz w:val="28"/>
        </w:rPr>
        <w:t>S</w:t>
      </w:r>
      <w:r w:rsidR="0096462C" w:rsidRPr="00EC250C">
        <w:rPr>
          <w:rStyle w:val="field-content"/>
          <w:sz w:val="28"/>
        </w:rPr>
        <w:t>praw</w:t>
      </w:r>
      <w:r w:rsidRPr="00EC250C">
        <w:rPr>
          <w:rStyle w:val="field-content"/>
          <w:sz w:val="28"/>
        </w:rPr>
        <w:t>a</w:t>
      </w:r>
      <w:r w:rsidR="0096462C" w:rsidRPr="00EC250C">
        <w:rPr>
          <w:rStyle w:val="field-content"/>
          <w:sz w:val="28"/>
        </w:rPr>
        <w:t xml:space="preserve"> Romów</w:t>
      </w:r>
      <w:r w:rsidR="00992FD0" w:rsidRPr="00EC250C">
        <w:rPr>
          <w:rStyle w:val="field-content"/>
          <w:sz w:val="28"/>
        </w:rPr>
        <w:t xml:space="preserve"> z </w:t>
      </w:r>
      <w:r w:rsidR="0096462C" w:rsidRPr="00EC250C">
        <w:rPr>
          <w:rStyle w:val="field-content"/>
          <w:sz w:val="28"/>
        </w:rPr>
        <w:t>Limanowej</w:t>
      </w:r>
    </w:p>
    <w:p w14:paraId="72A504D4" w14:textId="77777777" w:rsidR="00C91F6E" w:rsidRPr="00EC250C" w:rsidRDefault="00EB2583" w:rsidP="00D131FA">
      <w:pPr>
        <w:pStyle w:val="Styl2"/>
        <w:rPr>
          <w:szCs w:val="24"/>
        </w:rPr>
      </w:pPr>
      <w:r w:rsidRPr="00EC250C">
        <w:rPr>
          <w:szCs w:val="24"/>
        </w:rPr>
        <w:t xml:space="preserve">Władze Limanowej korzystając ze środków </w:t>
      </w:r>
      <w:r w:rsidR="00992FD0" w:rsidRPr="00EC250C">
        <w:rPr>
          <w:szCs w:val="24"/>
        </w:rPr>
        <w:t xml:space="preserve"> z </w:t>
      </w:r>
      <w:r w:rsidRPr="00EC250C">
        <w:rPr>
          <w:szCs w:val="24"/>
        </w:rPr>
        <w:t>programu integracji społeczności romskiej  zakupiły dla Romów, którzy mieszkali</w:t>
      </w:r>
      <w:r w:rsidR="00992FD0" w:rsidRPr="00EC250C">
        <w:rPr>
          <w:szCs w:val="24"/>
        </w:rPr>
        <w:t xml:space="preserve"> w </w:t>
      </w:r>
      <w:r w:rsidRPr="00EC250C">
        <w:rPr>
          <w:szCs w:val="24"/>
        </w:rPr>
        <w:t>budynku komunalnym, domy na terenach innych gmin.</w:t>
      </w:r>
    </w:p>
    <w:p w14:paraId="3FB72A62" w14:textId="77777777" w:rsidR="00EB2583" w:rsidRPr="00EC250C" w:rsidRDefault="00EB2583" w:rsidP="00D131FA">
      <w:pPr>
        <w:pStyle w:val="Styl2"/>
        <w:rPr>
          <w:rFonts w:ascii="Open Sans Regular" w:hAnsi="Open Sans Regular"/>
          <w:sz w:val="21"/>
          <w:szCs w:val="20"/>
        </w:rPr>
      </w:pPr>
      <w:r w:rsidRPr="00EC250C">
        <w:rPr>
          <w:szCs w:val="24"/>
          <w:bdr w:val="none" w:sz="0" w:space="0" w:color="auto" w:frame="1"/>
        </w:rPr>
        <w:t>Tocząca się od 2015</w:t>
      </w:r>
      <w:r w:rsidR="00C91F6E" w:rsidRPr="00EC250C">
        <w:rPr>
          <w:szCs w:val="24"/>
          <w:bdr w:val="none" w:sz="0" w:space="0" w:color="auto" w:frame="1"/>
        </w:rPr>
        <w:t> r.</w:t>
      </w:r>
      <w:r w:rsidRPr="00EC250C">
        <w:rPr>
          <w:szCs w:val="24"/>
          <w:bdr w:val="none" w:sz="0" w:space="0" w:color="auto" w:frame="1"/>
        </w:rPr>
        <w:t xml:space="preserve"> sprawa miała dla Rzecznika </w:t>
      </w:r>
      <w:r w:rsidR="00073A8C" w:rsidRPr="00EC250C">
        <w:rPr>
          <w:szCs w:val="24"/>
          <w:bdr w:val="none" w:sz="0" w:space="0" w:color="auto" w:frame="1"/>
        </w:rPr>
        <w:t xml:space="preserve">Praw Obywatelskich </w:t>
      </w:r>
      <w:r w:rsidRPr="00EC250C">
        <w:rPr>
          <w:szCs w:val="24"/>
          <w:bdr w:val="none" w:sz="0" w:space="0" w:color="auto" w:frame="1"/>
        </w:rPr>
        <w:t>charakter precedensowy. Fundusze publiczne, które powinny służyć Romom, poprawiać ich sytuację</w:t>
      </w:r>
      <w:r w:rsidR="00992FD0" w:rsidRPr="00EC250C">
        <w:rPr>
          <w:szCs w:val="24"/>
          <w:bdr w:val="none" w:sz="0" w:space="0" w:color="auto" w:frame="1"/>
        </w:rPr>
        <w:t xml:space="preserve"> i </w:t>
      </w:r>
      <w:r w:rsidRPr="00EC250C">
        <w:rPr>
          <w:szCs w:val="24"/>
          <w:bdr w:val="none" w:sz="0" w:space="0" w:color="auto" w:frame="1"/>
        </w:rPr>
        <w:t>warunki życia, zostały wykorzystane</w:t>
      </w:r>
      <w:r w:rsidR="00992FD0" w:rsidRPr="00EC250C">
        <w:rPr>
          <w:szCs w:val="24"/>
          <w:bdr w:val="none" w:sz="0" w:space="0" w:color="auto" w:frame="1"/>
        </w:rPr>
        <w:t xml:space="preserve"> w </w:t>
      </w:r>
      <w:r w:rsidRPr="00EC250C">
        <w:rPr>
          <w:szCs w:val="24"/>
          <w:bdr w:val="none" w:sz="0" w:space="0" w:color="auto" w:frame="1"/>
        </w:rPr>
        <w:t>sposób niezgodny</w:t>
      </w:r>
      <w:r w:rsidR="00992FD0" w:rsidRPr="00EC250C">
        <w:rPr>
          <w:szCs w:val="24"/>
          <w:bdr w:val="none" w:sz="0" w:space="0" w:color="auto" w:frame="1"/>
        </w:rPr>
        <w:t xml:space="preserve"> z </w:t>
      </w:r>
      <w:r w:rsidRPr="00EC250C">
        <w:rPr>
          <w:szCs w:val="24"/>
          <w:bdr w:val="none" w:sz="0" w:space="0" w:color="auto" w:frame="1"/>
        </w:rPr>
        <w:t>wolą samych zainteresowanych. Samorząd limanowski, wykorzystał je</w:t>
      </w:r>
      <w:r w:rsidR="00992FD0" w:rsidRPr="00EC250C">
        <w:rPr>
          <w:szCs w:val="24"/>
          <w:bdr w:val="none" w:sz="0" w:space="0" w:color="auto" w:frame="1"/>
        </w:rPr>
        <w:t xml:space="preserve"> z </w:t>
      </w:r>
      <w:r w:rsidRPr="00EC250C">
        <w:rPr>
          <w:szCs w:val="24"/>
          <w:bdr w:val="none" w:sz="0" w:space="0" w:color="auto" w:frame="1"/>
        </w:rPr>
        <w:t>założeniem, że Romowie przestaną być częścią wspólnoty samorządowej Limanowej.</w:t>
      </w:r>
    </w:p>
    <w:p w14:paraId="70E1C4B2" w14:textId="77777777" w:rsidR="00C91F6E" w:rsidRPr="00EC250C" w:rsidRDefault="0096462C" w:rsidP="00D131FA">
      <w:pPr>
        <w:pStyle w:val="Styl2"/>
        <w:rPr>
          <w:szCs w:val="24"/>
          <w:bdr w:val="none" w:sz="0" w:space="0" w:color="auto" w:frame="1"/>
        </w:rPr>
      </w:pPr>
      <w:r w:rsidRPr="00EC250C">
        <w:rPr>
          <w:szCs w:val="24"/>
        </w:rPr>
        <w:t xml:space="preserve">Wobec grożącej Romom egzekucji komorniczej, sprowadzającej się do przymusowego przeniesienia do </w:t>
      </w:r>
      <w:r w:rsidR="00EB2583" w:rsidRPr="00EC250C">
        <w:rPr>
          <w:szCs w:val="24"/>
        </w:rPr>
        <w:t>innej miejscowości</w:t>
      </w:r>
      <w:r w:rsidRPr="00EC250C">
        <w:rPr>
          <w:szCs w:val="24"/>
        </w:rPr>
        <w:t xml:space="preserve">, </w:t>
      </w:r>
      <w:r w:rsidR="00073A8C" w:rsidRPr="00EC250C">
        <w:rPr>
          <w:szCs w:val="24"/>
        </w:rPr>
        <w:t xml:space="preserve">RPO </w:t>
      </w:r>
      <w:r w:rsidRPr="00EC250C">
        <w:rPr>
          <w:szCs w:val="24"/>
        </w:rPr>
        <w:t>skier</w:t>
      </w:r>
      <w:r w:rsidR="005823DA" w:rsidRPr="00EC250C">
        <w:rPr>
          <w:szCs w:val="24"/>
        </w:rPr>
        <w:t>ował</w:t>
      </w:r>
      <w:r w:rsidRPr="00EC250C">
        <w:rPr>
          <w:szCs w:val="24"/>
        </w:rPr>
        <w:t xml:space="preserve"> do Sądu Rejonowego</w:t>
      </w:r>
      <w:r w:rsidR="00992FD0" w:rsidRPr="00EC250C">
        <w:rPr>
          <w:szCs w:val="24"/>
        </w:rPr>
        <w:t xml:space="preserve"> w </w:t>
      </w:r>
      <w:r w:rsidRPr="00EC250C">
        <w:rPr>
          <w:szCs w:val="24"/>
        </w:rPr>
        <w:t xml:space="preserve">Limanowej powództwa przeciwko Gminie </w:t>
      </w:r>
      <w:r w:rsidR="005823DA" w:rsidRPr="00EC250C">
        <w:rPr>
          <w:szCs w:val="24"/>
        </w:rPr>
        <w:t>M</w:t>
      </w:r>
      <w:r w:rsidRPr="00EC250C">
        <w:rPr>
          <w:szCs w:val="24"/>
        </w:rPr>
        <w:t>iejskiej Limanowa,</w:t>
      </w:r>
      <w:r w:rsidR="00992FD0" w:rsidRPr="00EC250C">
        <w:rPr>
          <w:szCs w:val="24"/>
        </w:rPr>
        <w:t xml:space="preserve"> w </w:t>
      </w:r>
      <w:r w:rsidRPr="00EC250C">
        <w:rPr>
          <w:szCs w:val="24"/>
        </w:rPr>
        <w:t>których wniósł</w:t>
      </w:r>
      <w:r w:rsidR="00992FD0" w:rsidRPr="00EC250C">
        <w:rPr>
          <w:szCs w:val="24"/>
        </w:rPr>
        <w:t xml:space="preserve"> o </w:t>
      </w:r>
      <w:r w:rsidRPr="00EC250C">
        <w:rPr>
          <w:szCs w:val="24"/>
        </w:rPr>
        <w:t>pozbawienie wystawionych tytułów wykonawczych wykonalności</w:t>
      </w:r>
      <w:r w:rsidRPr="00EC250C">
        <w:rPr>
          <w:szCs w:val="24"/>
          <w:vertAlign w:val="superscript"/>
        </w:rPr>
        <w:footnoteReference w:id="86"/>
      </w:r>
      <w:r w:rsidRPr="00EC250C">
        <w:rPr>
          <w:szCs w:val="24"/>
        </w:rPr>
        <w:t xml:space="preserve">. Sąd Rejonowy oddalił </w:t>
      </w:r>
      <w:r w:rsidR="00EB2583" w:rsidRPr="00EC250C">
        <w:rPr>
          <w:szCs w:val="24"/>
        </w:rPr>
        <w:t xml:space="preserve">to </w:t>
      </w:r>
      <w:r w:rsidRPr="00EC250C">
        <w:rPr>
          <w:szCs w:val="24"/>
        </w:rPr>
        <w:t>powództw</w:t>
      </w:r>
      <w:r w:rsidR="00EB2583" w:rsidRPr="00EC250C">
        <w:rPr>
          <w:szCs w:val="24"/>
        </w:rPr>
        <w:t>o</w:t>
      </w:r>
      <w:r w:rsidRPr="00EC250C">
        <w:rPr>
          <w:szCs w:val="24"/>
        </w:rPr>
        <w:t xml:space="preserve">. </w:t>
      </w:r>
      <w:r w:rsidR="00073A8C" w:rsidRPr="00EC250C">
        <w:rPr>
          <w:szCs w:val="24"/>
        </w:rPr>
        <w:t>RPO</w:t>
      </w:r>
      <w:r w:rsidRPr="00EC250C">
        <w:rPr>
          <w:szCs w:val="24"/>
        </w:rPr>
        <w:t xml:space="preserve"> złożył od apelację do Sądu Okręgowego</w:t>
      </w:r>
      <w:r w:rsidR="00992FD0" w:rsidRPr="00EC250C">
        <w:rPr>
          <w:szCs w:val="24"/>
        </w:rPr>
        <w:t xml:space="preserve"> w </w:t>
      </w:r>
      <w:r w:rsidRPr="00EC250C">
        <w:rPr>
          <w:szCs w:val="24"/>
        </w:rPr>
        <w:t>Nowym Sączu</w:t>
      </w:r>
      <w:r w:rsidR="00992FD0" w:rsidRPr="00EC250C">
        <w:rPr>
          <w:szCs w:val="24"/>
        </w:rPr>
        <w:t xml:space="preserve"> i </w:t>
      </w:r>
      <w:r w:rsidR="005823DA" w:rsidRPr="00EC250C">
        <w:rPr>
          <w:szCs w:val="24"/>
        </w:rPr>
        <w:t xml:space="preserve">ten </w:t>
      </w:r>
      <w:r w:rsidR="00EB2583" w:rsidRPr="00EC250C">
        <w:rPr>
          <w:szCs w:val="24"/>
          <w:bdr w:val="none" w:sz="0" w:space="0" w:color="auto" w:frame="1"/>
        </w:rPr>
        <w:t>14 maja 2019</w:t>
      </w:r>
      <w:r w:rsidR="00C91F6E" w:rsidRPr="00EC250C">
        <w:rPr>
          <w:szCs w:val="24"/>
          <w:bdr w:val="none" w:sz="0" w:space="0" w:color="auto" w:frame="1"/>
        </w:rPr>
        <w:t> </w:t>
      </w:r>
      <w:r w:rsidR="00C91F6E" w:rsidRPr="00EC250C">
        <w:rPr>
          <w:rFonts w:hint="eastAsia"/>
          <w:szCs w:val="24"/>
          <w:bdr w:val="none" w:sz="0" w:space="0" w:color="auto" w:frame="1"/>
        </w:rPr>
        <w:t>r.</w:t>
      </w:r>
      <w:r w:rsidR="00EB2583" w:rsidRPr="00EC250C">
        <w:rPr>
          <w:szCs w:val="24"/>
          <w:bdr w:val="none" w:sz="0" w:space="0" w:color="auto" w:frame="1"/>
        </w:rPr>
        <w:t xml:space="preserve"> </w:t>
      </w:r>
      <w:r w:rsidR="005823DA" w:rsidRPr="00EC250C">
        <w:rPr>
          <w:szCs w:val="24"/>
        </w:rPr>
        <w:t>uznał jego argumenty</w:t>
      </w:r>
      <w:r w:rsidRPr="00EC250C">
        <w:rPr>
          <w:szCs w:val="24"/>
        </w:rPr>
        <w:t>.</w:t>
      </w:r>
      <w:r w:rsidR="00EB2583" w:rsidRPr="00EC250C">
        <w:rPr>
          <w:szCs w:val="24"/>
          <w:bdr w:val="none" w:sz="0" w:space="0" w:color="auto" w:frame="1"/>
        </w:rPr>
        <w:t xml:space="preserve"> Eksmisja Romów</w:t>
      </w:r>
      <w:r w:rsidR="00992FD0" w:rsidRPr="00EC250C">
        <w:rPr>
          <w:szCs w:val="24"/>
          <w:bdr w:val="none" w:sz="0" w:space="0" w:color="auto" w:frame="1"/>
        </w:rPr>
        <w:t xml:space="preserve"> z </w:t>
      </w:r>
      <w:r w:rsidR="00EB2583" w:rsidRPr="00EC250C">
        <w:rPr>
          <w:szCs w:val="24"/>
          <w:bdr w:val="none" w:sz="0" w:space="0" w:color="auto" w:frame="1"/>
        </w:rPr>
        <w:t>budynku</w:t>
      </w:r>
      <w:r w:rsidR="00992FD0" w:rsidRPr="00EC250C">
        <w:rPr>
          <w:szCs w:val="24"/>
          <w:bdr w:val="none" w:sz="0" w:space="0" w:color="auto" w:frame="1"/>
        </w:rPr>
        <w:t xml:space="preserve"> w </w:t>
      </w:r>
      <w:r w:rsidR="00EB2583" w:rsidRPr="00EC250C">
        <w:rPr>
          <w:szCs w:val="24"/>
          <w:bdr w:val="none" w:sz="0" w:space="0" w:color="auto" w:frame="1"/>
        </w:rPr>
        <w:t>Limanowej została wstrzymana.</w:t>
      </w:r>
    </w:p>
    <w:p w14:paraId="1C2B511D" w14:textId="1BD6656C" w:rsidR="00F220A0" w:rsidRPr="00EC250C" w:rsidRDefault="00F220A0" w:rsidP="00EC250C">
      <w:pPr>
        <w:pStyle w:val="Nagwek8"/>
        <w:rPr>
          <w:rStyle w:val="field-content"/>
          <w:sz w:val="28"/>
        </w:rPr>
      </w:pPr>
      <w:bookmarkStart w:id="88" w:name="_Hlk11227741"/>
      <w:r w:rsidRPr="00EC250C">
        <w:rPr>
          <w:rStyle w:val="field-content"/>
          <w:sz w:val="28"/>
        </w:rPr>
        <w:t>Sytuacja Romów w Maszkowicach</w:t>
      </w:r>
    </w:p>
    <w:bookmarkEnd w:id="88"/>
    <w:p w14:paraId="0226AE50" w14:textId="54FD2F83" w:rsidR="00AF0F4B" w:rsidRPr="00EC250C" w:rsidRDefault="00AF0F4B" w:rsidP="00AF0F4B">
      <w:pPr>
        <w:pStyle w:val="Styl2"/>
        <w:rPr>
          <w:szCs w:val="24"/>
          <w:shd w:val="clear" w:color="auto" w:fill="FFFFFF"/>
        </w:rPr>
      </w:pPr>
      <w:r w:rsidRPr="00EC250C">
        <w:rPr>
          <w:szCs w:val="24"/>
          <w:shd w:val="clear" w:color="auto" w:fill="FFFFFF"/>
        </w:rPr>
        <w:t xml:space="preserve">W stałym zainteresowaniu Rzecznika Praw Obywatelskich pozostaje też sytuacja Romów w Maszkowicach w gminie Łącko, gdzie w domach postawionych kilkanaście lub nawet kilkadziesiąt lat temu mieszka 270 osób. Standard większości budowli jest dramatycznie niski. Jakość materiałów wykorzystanych do ich budowy, sposób, w jaki zostały one użyte, a także upływ czasu </w:t>
      </w:r>
      <w:r w:rsidRPr="00EC250C">
        <w:rPr>
          <w:szCs w:val="24"/>
          <w:shd w:val="clear" w:color="auto" w:fill="FFFFFF"/>
        </w:rPr>
        <w:lastRenderedPageBreak/>
        <w:t>spowodowały, że większość domów nie tylko nie zapewnia god</w:t>
      </w:r>
      <w:r w:rsidRPr="00EC250C">
        <w:rPr>
          <w:szCs w:val="24"/>
          <w:shd w:val="clear" w:color="auto" w:fill="FFFFFF"/>
        </w:rPr>
        <w:softHyphen/>
        <w:t>nych warunków zamieszkania, ale wręcz stwarza realne zagro</w:t>
      </w:r>
      <w:r w:rsidRPr="00EC250C">
        <w:rPr>
          <w:szCs w:val="24"/>
          <w:shd w:val="clear" w:color="auto" w:fill="FFFFFF"/>
        </w:rPr>
        <w:softHyphen/>
        <w:t>żenie dla zdrowia ich mieszkańców. Część budynków, także mieszkalnych, to samowole budowlane, wybudowane bez wymaganych prawem pozwoleń, na gruntach należących do osób prywatnych lub gminy Łącko. W 2017 r. Powiatowy Inspektorat Nadzoru Budowlanego w Nowym Sączu wszczął ponad 40 postępowań w sprawach tych samowoli: część zakończyła się decyzjami nakazującymi rozbiórkę. To wywołało duży niepokój wśród mieszkańców. Budynki, które na mocy tych decyzji mają zostać rozebrane, to ich jedyne miejsce zamieszkania. Rzecznik zwrócił się w tej sprawie do PINB</w:t>
      </w:r>
      <w:r w:rsidRPr="00EC250C">
        <w:rPr>
          <w:rStyle w:val="Odwoanieprzypisudolnego"/>
          <w:szCs w:val="24"/>
          <w:shd w:val="clear" w:color="auto" w:fill="FFFFFF"/>
        </w:rPr>
        <w:footnoteReference w:id="87"/>
      </w:r>
      <w:r w:rsidRPr="00EC250C">
        <w:rPr>
          <w:szCs w:val="24"/>
          <w:shd w:val="clear" w:color="auto" w:fill="FFFFFF"/>
        </w:rPr>
        <w:t>. Inspektor wyjaśnił</w:t>
      </w:r>
      <w:r w:rsidRPr="00EC250C">
        <w:rPr>
          <w:rStyle w:val="Odwoanieprzypisudolnego"/>
          <w:szCs w:val="24"/>
          <w:shd w:val="clear" w:color="auto" w:fill="FFFFFF"/>
        </w:rPr>
        <w:footnoteReference w:id="88"/>
      </w:r>
      <w:r w:rsidRPr="00EC250C">
        <w:rPr>
          <w:szCs w:val="24"/>
          <w:shd w:val="clear" w:color="auto" w:fill="FFFFFF"/>
        </w:rPr>
        <w:t xml:space="preserve">, że wszystkie wszczęte postępowania </w:t>
      </w:r>
      <w:r w:rsidRPr="00EC250C">
        <w:rPr>
          <w:szCs w:val="24"/>
        </w:rPr>
        <w:t xml:space="preserve">zainicjowane zostały interwencją organu samorządu terytorialnego (Wójta Łącka), występującego z żądaniem podjęcia działań z uwagi na wystąpienie zagrożenia życia, zdrowia mieszkańców i środowiska. Podkreślił też, że zdecydowana większość obiektów objętych wszczętymi postępowaniami, poza formalno-materialnymi nieprawidłowościami, </w:t>
      </w:r>
      <w:r w:rsidRPr="00EC250C">
        <w:rPr>
          <w:bCs w:val="0"/>
          <w:szCs w:val="24"/>
        </w:rPr>
        <w:t>znajduje się w stanie technicznym odbiegającym od podstawowych zasad określonych w przepisach prawa gwarantujących ich bezpieczne użytkowanie jako obiektów mieszkalnych.</w:t>
      </w:r>
      <w:r w:rsidRPr="00EC250C">
        <w:rPr>
          <w:szCs w:val="24"/>
          <w:shd w:val="clear" w:color="auto" w:fill="FFFFFF"/>
        </w:rPr>
        <w:t xml:space="preserve"> </w:t>
      </w:r>
    </w:p>
    <w:p w14:paraId="30445455" w14:textId="179F4A97" w:rsidR="00AF0F4B" w:rsidRPr="00EC250C" w:rsidRDefault="00AF0F4B" w:rsidP="00AF0F4B">
      <w:pPr>
        <w:pStyle w:val="Styl2"/>
        <w:rPr>
          <w:szCs w:val="24"/>
        </w:rPr>
      </w:pPr>
      <w:r w:rsidRPr="00EC250C">
        <w:rPr>
          <w:szCs w:val="24"/>
        </w:rPr>
        <w:t>Rzecznik krytycznie ocenia stopień i sposób zaangażowania władz Gminy Łącko w działania na rzecz poprawy warunków mieszkaniowych na osiedlu w Maszkowicach</w:t>
      </w:r>
      <w:r w:rsidRPr="00EC250C">
        <w:rPr>
          <w:rStyle w:val="Odwoanieprzypisudolnego"/>
          <w:szCs w:val="24"/>
        </w:rPr>
        <w:footnoteReference w:id="89"/>
      </w:r>
      <w:r w:rsidRPr="00EC250C">
        <w:rPr>
          <w:szCs w:val="24"/>
        </w:rPr>
        <w:t>. W związku z brakiem adekwatnych do sytuacji działań zwraca się do Wójta Gminy i Wojewody Małopolskiego o pilne działania na rzecz poprawy warunków bytowych tej społeczności. Sprawa pozostaje w zainteresowaniu Rzecznika.</w:t>
      </w:r>
    </w:p>
    <w:p w14:paraId="2043CB5D" w14:textId="5A702AEB" w:rsidR="00C91F6E" w:rsidRPr="00EC250C" w:rsidRDefault="0074144A" w:rsidP="00EC79EB">
      <w:pPr>
        <w:pStyle w:val="Nagwek4"/>
        <w:rPr>
          <w:rStyle w:val="field-content"/>
          <w:sz w:val="28"/>
        </w:rPr>
      </w:pPr>
      <w:bookmarkStart w:id="89" w:name="_Toc11247563"/>
      <w:r w:rsidRPr="00EC250C">
        <w:rPr>
          <w:rStyle w:val="field-content"/>
          <w:sz w:val="28"/>
        </w:rPr>
        <w:t xml:space="preserve">Problemy </w:t>
      </w:r>
      <w:r w:rsidR="00850CE0" w:rsidRPr="00EC250C">
        <w:rPr>
          <w:rStyle w:val="field-content"/>
          <w:sz w:val="28"/>
        </w:rPr>
        <w:t>mniejszości ukraińskiej</w:t>
      </w:r>
      <w:r w:rsidR="00992FD0" w:rsidRPr="00EC250C">
        <w:rPr>
          <w:rStyle w:val="field-content"/>
          <w:sz w:val="28"/>
        </w:rPr>
        <w:t xml:space="preserve"> i </w:t>
      </w:r>
      <w:r w:rsidR="00850CE0" w:rsidRPr="00EC250C">
        <w:rPr>
          <w:rStyle w:val="field-content"/>
          <w:sz w:val="28"/>
        </w:rPr>
        <w:t>migrantów ukraińskich</w:t>
      </w:r>
      <w:r w:rsidR="00992FD0" w:rsidRPr="00EC250C">
        <w:rPr>
          <w:rStyle w:val="field-content"/>
          <w:sz w:val="28"/>
        </w:rPr>
        <w:t xml:space="preserve"> w </w:t>
      </w:r>
      <w:r w:rsidR="00850CE0" w:rsidRPr="00EC250C">
        <w:rPr>
          <w:rStyle w:val="field-content"/>
          <w:sz w:val="28"/>
        </w:rPr>
        <w:t>Polsce</w:t>
      </w:r>
      <w:bookmarkEnd w:id="89"/>
    </w:p>
    <w:p w14:paraId="63DD7B6F" w14:textId="77777777" w:rsidR="00B473F5" w:rsidRPr="00EC250C" w:rsidRDefault="006C19A6" w:rsidP="00D131FA">
      <w:pPr>
        <w:pStyle w:val="Problemczowieka"/>
        <w:jc w:val="both"/>
        <w:rPr>
          <w:rStyle w:val="Pogrubienie"/>
          <w:b/>
          <w:bCs w:val="0"/>
        </w:rPr>
      </w:pPr>
      <w:r w:rsidRPr="00EC250C">
        <w:rPr>
          <w:rStyle w:val="Pogrubienie"/>
          <w:b/>
          <w:bCs w:val="0"/>
        </w:rPr>
        <w:t>W Polsce może pracować nawet 1,3 mln obywateli Ukrainy,</w:t>
      </w:r>
      <w:r w:rsidR="00992FD0" w:rsidRPr="00EC250C">
        <w:rPr>
          <w:rStyle w:val="Pogrubienie"/>
          <w:b/>
          <w:bCs w:val="0"/>
        </w:rPr>
        <w:t xml:space="preserve"> w </w:t>
      </w:r>
      <w:r w:rsidRPr="00EC250C">
        <w:rPr>
          <w:rStyle w:val="Pogrubienie"/>
          <w:b/>
          <w:bCs w:val="0"/>
        </w:rPr>
        <w:t>tym 40% –</w:t>
      </w:r>
      <w:r w:rsidR="00992FD0" w:rsidRPr="00EC250C">
        <w:rPr>
          <w:rStyle w:val="Pogrubienie"/>
          <w:b/>
          <w:bCs w:val="0"/>
        </w:rPr>
        <w:t xml:space="preserve"> w </w:t>
      </w:r>
      <w:r w:rsidRPr="00EC250C">
        <w:rPr>
          <w:rStyle w:val="Pogrubienie"/>
          <w:b/>
          <w:bCs w:val="0"/>
        </w:rPr>
        <w:t>„szarej strefie”.</w:t>
      </w:r>
      <w:r w:rsidR="008B2B7E" w:rsidRPr="00EC250C">
        <w:rPr>
          <w:rStyle w:val="Pogrubienie"/>
          <w:b/>
          <w:bCs w:val="0"/>
        </w:rPr>
        <w:t xml:space="preserve"> </w:t>
      </w:r>
      <w:r w:rsidR="00850CE0" w:rsidRPr="00EC250C">
        <w:rPr>
          <w:rStyle w:val="Pogrubienie"/>
          <w:b/>
          <w:bCs w:val="0"/>
        </w:rPr>
        <w:t>Wspólna polsko-ukraińska pamięć istnieje co do faktów, ale nie co do ich interpretacji</w:t>
      </w:r>
      <w:r w:rsidR="00B473F5" w:rsidRPr="00EC250C">
        <w:rPr>
          <w:rStyle w:val="Pogrubienie"/>
          <w:b/>
          <w:bCs w:val="0"/>
        </w:rPr>
        <w:t>.</w:t>
      </w:r>
    </w:p>
    <w:p w14:paraId="42D54A8F" w14:textId="77777777" w:rsidR="00850CE0" w:rsidRPr="00EC250C" w:rsidRDefault="00850CE0" w:rsidP="00D131FA">
      <w:pPr>
        <w:pStyle w:val="Styl1"/>
      </w:pPr>
      <w:r w:rsidRPr="00EC250C">
        <w:rPr>
          <w:rStyle w:val="Pogrubienie"/>
          <w:b w:val="0"/>
          <w:bCs w:val="0"/>
        </w:rPr>
        <w:t>Polityka władz nie sprzyja tworzeniu wspólnej pamięci. Nie służy też temu nowela ustawy</w:t>
      </w:r>
      <w:r w:rsidR="00992FD0" w:rsidRPr="00EC250C">
        <w:rPr>
          <w:rStyle w:val="Pogrubienie"/>
          <w:b w:val="0"/>
          <w:bCs w:val="0"/>
        </w:rPr>
        <w:t xml:space="preserve"> o </w:t>
      </w:r>
      <w:r w:rsidRPr="00EC250C">
        <w:rPr>
          <w:rStyle w:val="Pogrubienie"/>
          <w:b w:val="0"/>
          <w:bCs w:val="0"/>
        </w:rPr>
        <w:t>IPN.</w:t>
      </w:r>
      <w:r w:rsidR="006C19A6" w:rsidRPr="00EC250C">
        <w:rPr>
          <w:rStyle w:val="Pogrubienie"/>
          <w:b w:val="0"/>
          <w:bCs w:val="0"/>
        </w:rPr>
        <w:t xml:space="preserve"> </w:t>
      </w:r>
      <w:r w:rsidRPr="00EC250C">
        <w:rPr>
          <w:rStyle w:val="Pogrubienie"/>
          <w:b w:val="0"/>
          <w:bCs w:val="0"/>
        </w:rPr>
        <w:t>Efektem jest narastanie fali wrogości motywowanej narodowościowo.</w:t>
      </w:r>
      <w:r w:rsidR="008B2B7E" w:rsidRPr="00EC250C">
        <w:rPr>
          <w:rStyle w:val="Pogrubienie"/>
          <w:b w:val="0"/>
          <w:bCs w:val="0"/>
        </w:rPr>
        <w:t xml:space="preserve"> </w:t>
      </w:r>
      <w:r w:rsidRPr="00EC250C">
        <w:rPr>
          <w:rStyle w:val="Pogrubienie"/>
          <w:b w:val="0"/>
          <w:bCs w:val="0"/>
        </w:rPr>
        <w:t>Tymczasem los polskiej gospodarki jest już nieodłącznie związany</w:t>
      </w:r>
      <w:r w:rsidR="00992FD0" w:rsidRPr="00EC250C">
        <w:rPr>
          <w:rStyle w:val="Pogrubienie"/>
          <w:b w:val="0"/>
          <w:bCs w:val="0"/>
        </w:rPr>
        <w:t xml:space="preserve"> z </w:t>
      </w:r>
      <w:r w:rsidRPr="00EC250C">
        <w:rPr>
          <w:rStyle w:val="Pogrubienie"/>
          <w:b w:val="0"/>
          <w:bCs w:val="0"/>
        </w:rPr>
        <w:t>pracownikami</w:t>
      </w:r>
      <w:r w:rsidR="00992FD0" w:rsidRPr="00EC250C">
        <w:rPr>
          <w:rStyle w:val="Pogrubienie"/>
          <w:b w:val="0"/>
          <w:bCs w:val="0"/>
        </w:rPr>
        <w:t xml:space="preserve"> z </w:t>
      </w:r>
      <w:r w:rsidRPr="00EC250C">
        <w:rPr>
          <w:rStyle w:val="Pogrubienie"/>
          <w:b w:val="0"/>
          <w:bCs w:val="0"/>
        </w:rPr>
        <w:t>Ukrainy</w:t>
      </w:r>
      <w:r w:rsidR="006C19A6" w:rsidRPr="00EC250C">
        <w:rPr>
          <w:rStyle w:val="Pogrubienie"/>
          <w:b w:val="0"/>
          <w:bCs w:val="0"/>
        </w:rPr>
        <w:t xml:space="preserve"> – mówili</w:t>
      </w:r>
      <w:r w:rsidR="00992FD0" w:rsidRPr="00EC250C">
        <w:rPr>
          <w:rStyle w:val="Pogrubienie"/>
          <w:b w:val="0"/>
          <w:bCs w:val="0"/>
        </w:rPr>
        <w:t xml:space="preserve"> o </w:t>
      </w:r>
      <w:r w:rsidR="006C19A6" w:rsidRPr="00EC250C">
        <w:rPr>
          <w:rStyle w:val="Pogrubienie"/>
          <w:b w:val="0"/>
          <w:bCs w:val="0"/>
        </w:rPr>
        <w:t>tym uczestnicy</w:t>
      </w:r>
      <w:r w:rsidR="00392799" w:rsidRPr="00EC250C">
        <w:rPr>
          <w:rStyle w:val="Pogrubienie"/>
          <w:b w:val="0"/>
          <w:bCs w:val="0"/>
        </w:rPr>
        <w:t xml:space="preserve"> </w:t>
      </w:r>
      <w:r w:rsidR="006C19A6" w:rsidRPr="00EC250C">
        <w:rPr>
          <w:rStyle w:val="field-content"/>
          <w:sz w:val="22"/>
          <w:szCs w:val="20"/>
          <w:bdr w:val="none" w:sz="0" w:space="0" w:color="auto"/>
        </w:rPr>
        <w:t>konferencji zorganizowanej</w:t>
      </w:r>
      <w:r w:rsidR="00992FD0" w:rsidRPr="00EC250C">
        <w:rPr>
          <w:rStyle w:val="field-content"/>
          <w:sz w:val="22"/>
          <w:szCs w:val="20"/>
          <w:bdr w:val="none" w:sz="0" w:space="0" w:color="auto"/>
        </w:rPr>
        <w:t xml:space="preserve"> w </w:t>
      </w:r>
      <w:r w:rsidR="006C19A6" w:rsidRPr="00EC250C">
        <w:rPr>
          <w:rStyle w:val="field-content"/>
          <w:sz w:val="22"/>
          <w:szCs w:val="20"/>
          <w:bdr w:val="none" w:sz="0" w:space="0" w:color="auto"/>
        </w:rPr>
        <w:t>Biurze RPO</w:t>
      </w:r>
      <w:r w:rsidR="008B2B7E" w:rsidRPr="00EC250C">
        <w:rPr>
          <w:rStyle w:val="field-content"/>
          <w:sz w:val="22"/>
          <w:szCs w:val="20"/>
          <w:bdr w:val="none" w:sz="0" w:space="0" w:color="auto"/>
        </w:rPr>
        <w:t>.</w:t>
      </w:r>
    </w:p>
    <w:p w14:paraId="0B9A25BF" w14:textId="77777777" w:rsidR="00850CE0" w:rsidRPr="00EC250C" w:rsidRDefault="00850CE0" w:rsidP="00D131FA">
      <w:pPr>
        <w:pStyle w:val="Styl1"/>
      </w:pPr>
      <w:r w:rsidRPr="00EC250C">
        <w:t>Uczestniczyli</w:t>
      </w:r>
      <w:r w:rsidR="00992FD0" w:rsidRPr="00EC250C">
        <w:t xml:space="preserve"> w </w:t>
      </w:r>
      <w:r w:rsidRPr="00EC250C">
        <w:t>niej eksperci, przedstawiciele społeczności ukraińskiej</w:t>
      </w:r>
      <w:r w:rsidR="00992FD0" w:rsidRPr="00EC250C">
        <w:t xml:space="preserve"> i </w:t>
      </w:r>
      <w:r w:rsidRPr="00EC250C">
        <w:t>działacze pozarządowi</w:t>
      </w:r>
      <w:r w:rsidR="00992FD0" w:rsidRPr="00EC250C">
        <w:t xml:space="preserve"> z </w:t>
      </w:r>
      <w:r w:rsidRPr="00EC250C">
        <w:t>całej Polski. Obecny był ambasador Ukrainy Andrij Deszczyca. W czterech panelach dyskutowano</w:t>
      </w:r>
      <w:r w:rsidR="00992FD0" w:rsidRPr="00EC250C">
        <w:t xml:space="preserve"> o </w:t>
      </w:r>
      <w:r w:rsidRPr="00EC250C">
        <w:t>polityce pamięci, aktach nienawiści, sytuacji pracowników</w:t>
      </w:r>
      <w:r w:rsidR="00992FD0" w:rsidRPr="00EC250C">
        <w:t xml:space="preserve"> z </w:t>
      </w:r>
      <w:r w:rsidRPr="00EC250C">
        <w:t>Ukrainy</w:t>
      </w:r>
      <w:r w:rsidR="00992FD0" w:rsidRPr="00EC250C">
        <w:t xml:space="preserve"> i o </w:t>
      </w:r>
      <w:r w:rsidRPr="00EC250C">
        <w:t>tym, jak lokalne społeczności radzą sobie</w:t>
      </w:r>
      <w:r w:rsidR="00992FD0" w:rsidRPr="00EC250C">
        <w:t xml:space="preserve"> z </w:t>
      </w:r>
      <w:r w:rsidRPr="00EC250C">
        <w:t>integracją przybyszy</w:t>
      </w:r>
      <w:r w:rsidR="003B371C" w:rsidRPr="00EC250C">
        <w:rPr>
          <w:rStyle w:val="Odwoanieprzypisudolnego"/>
        </w:rPr>
        <w:footnoteReference w:id="90"/>
      </w:r>
      <w:r w:rsidRPr="00EC250C">
        <w:t>.</w:t>
      </w:r>
    </w:p>
    <w:p w14:paraId="33A6C30A" w14:textId="77777777" w:rsidR="00361DFD" w:rsidRPr="00EC250C" w:rsidRDefault="00361DFD" w:rsidP="00EC250C">
      <w:pPr>
        <w:pStyle w:val="Nagwek8"/>
        <w:rPr>
          <w:spacing w:val="0"/>
        </w:rPr>
      </w:pPr>
      <w:r w:rsidRPr="00EC250C">
        <w:lastRenderedPageBreak/>
        <w:t>Sprawa wulgaryzmów wobec obywateli Ukrainy.</w:t>
      </w:r>
    </w:p>
    <w:p w14:paraId="1F952862" w14:textId="77777777" w:rsidR="00361DFD" w:rsidRPr="00EC250C" w:rsidRDefault="00361DFD" w:rsidP="00D131FA">
      <w:pPr>
        <w:pStyle w:val="Styl2"/>
        <w:rPr>
          <w:szCs w:val="24"/>
        </w:rPr>
      </w:pPr>
      <w:r w:rsidRPr="00EC250C">
        <w:rPr>
          <w:szCs w:val="24"/>
        </w:rPr>
        <w:t>Obywatele Ukrainy, którzy</w:t>
      </w:r>
      <w:r w:rsidR="00992FD0" w:rsidRPr="00EC250C">
        <w:rPr>
          <w:szCs w:val="24"/>
        </w:rPr>
        <w:t xml:space="preserve"> w </w:t>
      </w:r>
      <w:r w:rsidRPr="00EC250C">
        <w:rPr>
          <w:szCs w:val="24"/>
        </w:rPr>
        <w:t>marcu 2018</w:t>
      </w:r>
      <w:r w:rsidR="00C91F6E" w:rsidRPr="00EC250C">
        <w:rPr>
          <w:szCs w:val="24"/>
        </w:rPr>
        <w:t> </w:t>
      </w:r>
      <w:r w:rsidR="00C91F6E" w:rsidRPr="00EC250C">
        <w:rPr>
          <w:rFonts w:hint="eastAsia"/>
          <w:szCs w:val="24"/>
        </w:rPr>
        <w:t>r.</w:t>
      </w:r>
      <w:r w:rsidRPr="00EC250C">
        <w:rPr>
          <w:szCs w:val="24"/>
        </w:rPr>
        <w:t xml:space="preserve"> przekraczali granicę</w:t>
      </w:r>
      <w:r w:rsidR="00992FD0" w:rsidRPr="00EC250C">
        <w:rPr>
          <w:szCs w:val="24"/>
        </w:rPr>
        <w:t xml:space="preserve"> w </w:t>
      </w:r>
      <w:r w:rsidRPr="00EC250C">
        <w:rPr>
          <w:szCs w:val="24"/>
        </w:rPr>
        <w:t xml:space="preserve">Medyce, usłyszeli pod swoim adresem od polskich funkcjonariuszy Straży Granicznej niecenzuralne słowa. Sprawa trafiła do mediów, więc </w:t>
      </w:r>
      <w:r w:rsidR="00073A8C" w:rsidRPr="00EC250C">
        <w:rPr>
          <w:szCs w:val="24"/>
        </w:rPr>
        <w:t>RPO</w:t>
      </w:r>
      <w:r w:rsidRPr="00EC250C">
        <w:rPr>
          <w:szCs w:val="24"/>
        </w:rPr>
        <w:t xml:space="preserve"> skierował do Komendanta Bieszczadzkiego Oddziału Straży Granicznej wniosek</w:t>
      </w:r>
      <w:r w:rsidR="00992FD0" w:rsidRPr="00EC250C">
        <w:rPr>
          <w:szCs w:val="24"/>
        </w:rPr>
        <w:t xml:space="preserve"> o </w:t>
      </w:r>
      <w:r w:rsidRPr="00EC250C">
        <w:rPr>
          <w:szCs w:val="24"/>
        </w:rPr>
        <w:t>informacje</w:t>
      </w:r>
      <w:r w:rsidR="00992FD0" w:rsidRPr="00EC250C">
        <w:rPr>
          <w:szCs w:val="24"/>
        </w:rPr>
        <w:t xml:space="preserve"> o </w:t>
      </w:r>
      <w:r w:rsidRPr="00EC250C">
        <w:rPr>
          <w:szCs w:val="24"/>
        </w:rPr>
        <w:t>ustaleniach postępowania wyjaśniającego.</w:t>
      </w:r>
    </w:p>
    <w:p w14:paraId="383AF199" w14:textId="77777777" w:rsidR="00361DFD" w:rsidRPr="00EC250C" w:rsidRDefault="00361DFD" w:rsidP="00D131FA">
      <w:pPr>
        <w:pStyle w:val="Styl2"/>
        <w:rPr>
          <w:szCs w:val="24"/>
        </w:rPr>
      </w:pPr>
      <w:r w:rsidRPr="00EC250C">
        <w:rPr>
          <w:szCs w:val="24"/>
        </w:rPr>
        <w:t>Komendant wyjaśnił, że nie udało się ustalić, czy rzeczywiście słowa cytowane</w:t>
      </w:r>
      <w:r w:rsidR="00992FD0" w:rsidRPr="00EC250C">
        <w:rPr>
          <w:szCs w:val="24"/>
        </w:rPr>
        <w:t xml:space="preserve"> w </w:t>
      </w:r>
      <w:r w:rsidRPr="00EC250C">
        <w:rPr>
          <w:szCs w:val="24"/>
        </w:rPr>
        <w:t xml:space="preserve">mediach padły pod adresem wjeżdżających do Polski. Postanowił jednak zorganizować dla </w:t>
      </w:r>
      <w:r w:rsidR="0090374B" w:rsidRPr="00EC250C">
        <w:rPr>
          <w:szCs w:val="24"/>
        </w:rPr>
        <w:t xml:space="preserve">swoich </w:t>
      </w:r>
      <w:r w:rsidRPr="00EC250C">
        <w:rPr>
          <w:szCs w:val="24"/>
        </w:rPr>
        <w:t>funk</w:t>
      </w:r>
      <w:r w:rsidR="0090374B" w:rsidRPr="00EC250C">
        <w:rPr>
          <w:szCs w:val="24"/>
        </w:rPr>
        <w:t>c</w:t>
      </w:r>
      <w:r w:rsidRPr="00EC250C">
        <w:rPr>
          <w:szCs w:val="24"/>
        </w:rPr>
        <w:t>jonariuszy szkolenia</w:t>
      </w:r>
      <w:r w:rsidR="00992FD0" w:rsidRPr="00EC250C">
        <w:rPr>
          <w:szCs w:val="24"/>
        </w:rPr>
        <w:t xml:space="preserve"> z </w:t>
      </w:r>
      <w:r w:rsidRPr="00EC250C">
        <w:rPr>
          <w:szCs w:val="24"/>
        </w:rPr>
        <w:t>komunikacji interpersonalnej</w:t>
      </w:r>
      <w:r w:rsidRPr="00EC250C">
        <w:rPr>
          <w:rStyle w:val="Odwoanieprzypisudolnego"/>
          <w:szCs w:val="24"/>
        </w:rPr>
        <w:footnoteReference w:id="91"/>
      </w:r>
      <w:r w:rsidR="0090374B" w:rsidRPr="00EC250C">
        <w:rPr>
          <w:szCs w:val="24"/>
        </w:rPr>
        <w:t>.</w:t>
      </w:r>
    </w:p>
    <w:p w14:paraId="485344B0" w14:textId="77777777" w:rsidR="00850CE0" w:rsidRPr="00EC250C" w:rsidRDefault="00FB48CA" w:rsidP="00EC250C">
      <w:pPr>
        <w:pStyle w:val="Nagwek8"/>
      </w:pPr>
      <w:r w:rsidRPr="00EC250C">
        <w:rPr>
          <w:rStyle w:val="field-content"/>
          <w:sz w:val="28"/>
        </w:rPr>
        <w:t>„</w:t>
      </w:r>
      <w:r w:rsidR="00850CE0" w:rsidRPr="00EC250C">
        <w:rPr>
          <w:rStyle w:val="field-content"/>
          <w:sz w:val="28"/>
        </w:rPr>
        <w:t>Księg</w:t>
      </w:r>
      <w:r w:rsidR="00A74DCF" w:rsidRPr="00EC250C">
        <w:rPr>
          <w:rStyle w:val="field-content"/>
          <w:sz w:val="28"/>
        </w:rPr>
        <w:t>a</w:t>
      </w:r>
      <w:r w:rsidR="00850CE0" w:rsidRPr="00EC250C">
        <w:rPr>
          <w:rStyle w:val="field-content"/>
          <w:sz w:val="28"/>
        </w:rPr>
        <w:t xml:space="preserve"> Dobrych Praktyk działań na rzecz mniejszości narodowych</w:t>
      </w:r>
      <w:r w:rsidR="00992FD0" w:rsidRPr="00EC250C">
        <w:rPr>
          <w:rStyle w:val="field-content"/>
          <w:sz w:val="28"/>
        </w:rPr>
        <w:t xml:space="preserve"> i </w:t>
      </w:r>
      <w:r w:rsidR="00850CE0" w:rsidRPr="00EC250C">
        <w:rPr>
          <w:rStyle w:val="field-content"/>
          <w:sz w:val="28"/>
        </w:rPr>
        <w:t>etnicznych oraz obcokrajowców"</w:t>
      </w:r>
    </w:p>
    <w:p w14:paraId="3D7EE011" w14:textId="77777777" w:rsidR="00C91F6E" w:rsidRPr="00EC250C" w:rsidRDefault="00850CE0" w:rsidP="00D131FA">
      <w:pPr>
        <w:pStyle w:val="Styl2"/>
        <w:rPr>
          <w:szCs w:val="24"/>
        </w:rPr>
      </w:pPr>
      <w:r w:rsidRPr="00EC250C">
        <w:rPr>
          <w:szCs w:val="24"/>
        </w:rPr>
        <w:t>Jakie korzyści czerpią lokalne wspólnoty</w:t>
      </w:r>
      <w:r w:rsidR="00992FD0" w:rsidRPr="00EC250C">
        <w:rPr>
          <w:szCs w:val="24"/>
        </w:rPr>
        <w:t xml:space="preserve"> z </w:t>
      </w:r>
      <w:r w:rsidRPr="00EC250C">
        <w:rPr>
          <w:szCs w:val="24"/>
        </w:rPr>
        <w:t>realizowania projektów na rzecz mniejszości narodowych</w:t>
      </w:r>
      <w:r w:rsidR="00992FD0" w:rsidRPr="00EC250C">
        <w:rPr>
          <w:szCs w:val="24"/>
        </w:rPr>
        <w:t xml:space="preserve"> i </w:t>
      </w:r>
      <w:r w:rsidRPr="00EC250C">
        <w:rPr>
          <w:szCs w:val="24"/>
        </w:rPr>
        <w:t>etnicznych? Czego uczy się administracja? Jakie problemy udaje się załatwić?</w:t>
      </w:r>
    </w:p>
    <w:p w14:paraId="4766B4A2" w14:textId="77777777" w:rsidR="00850CE0" w:rsidRPr="00EC250C" w:rsidRDefault="00850CE0" w:rsidP="00D131FA">
      <w:pPr>
        <w:pStyle w:val="Styl2"/>
        <w:rPr>
          <w:szCs w:val="24"/>
        </w:rPr>
      </w:pPr>
      <w:r w:rsidRPr="00EC250C">
        <w:rPr>
          <w:szCs w:val="24"/>
        </w:rPr>
        <w:t>Na te pytania starali się odpowiedzieć uczestnicy konferencji</w:t>
      </w:r>
      <w:r w:rsidR="00992FD0" w:rsidRPr="00EC250C">
        <w:rPr>
          <w:szCs w:val="24"/>
        </w:rPr>
        <w:t xml:space="preserve"> w </w:t>
      </w:r>
      <w:r w:rsidRPr="00EC250C">
        <w:rPr>
          <w:szCs w:val="24"/>
        </w:rPr>
        <w:t>Biurze RPO,</w:t>
      </w:r>
      <w:r w:rsidR="00992FD0" w:rsidRPr="00EC250C">
        <w:rPr>
          <w:szCs w:val="24"/>
        </w:rPr>
        <w:t xml:space="preserve"> w </w:t>
      </w:r>
      <w:r w:rsidRPr="00EC250C">
        <w:rPr>
          <w:szCs w:val="24"/>
        </w:rPr>
        <w:t>czasie której przedstawiona została „Księga Dobrych Praktyk działań na rzecz mniejszości narodowych</w:t>
      </w:r>
      <w:r w:rsidR="00992FD0" w:rsidRPr="00EC250C">
        <w:rPr>
          <w:szCs w:val="24"/>
        </w:rPr>
        <w:t xml:space="preserve"> i </w:t>
      </w:r>
      <w:r w:rsidRPr="00EC250C">
        <w:rPr>
          <w:szCs w:val="24"/>
        </w:rPr>
        <w:t>etnicznych oraz obcokrajowców”</w:t>
      </w:r>
      <w:r w:rsidR="00FC2D50" w:rsidRPr="00EC250C">
        <w:rPr>
          <w:szCs w:val="24"/>
        </w:rPr>
        <w:t>, któr</w:t>
      </w:r>
      <w:r w:rsidR="00FB48CA" w:rsidRPr="00EC250C">
        <w:rPr>
          <w:szCs w:val="24"/>
        </w:rPr>
        <w:t>ą</w:t>
      </w:r>
      <w:r w:rsidR="00FC2D50" w:rsidRPr="00EC250C">
        <w:rPr>
          <w:szCs w:val="24"/>
        </w:rPr>
        <w:t xml:space="preserve"> </w:t>
      </w:r>
      <w:r w:rsidR="006946F6" w:rsidRPr="00EC250C">
        <w:rPr>
          <w:szCs w:val="24"/>
        </w:rPr>
        <w:t>współtworz</w:t>
      </w:r>
      <w:r w:rsidR="00FC2D50" w:rsidRPr="00EC250C">
        <w:rPr>
          <w:szCs w:val="24"/>
        </w:rPr>
        <w:t>yli</w:t>
      </w:r>
      <w:r w:rsidR="006946F6" w:rsidRPr="00EC250C">
        <w:rPr>
          <w:szCs w:val="24"/>
        </w:rPr>
        <w:t xml:space="preserve">: </w:t>
      </w:r>
      <w:r w:rsidR="00FC2D50" w:rsidRPr="00EC250C">
        <w:rPr>
          <w:szCs w:val="24"/>
        </w:rPr>
        <w:t xml:space="preserve">Stowarzyszenia Żydowskiego CZULENT, </w:t>
      </w:r>
      <w:r w:rsidR="006946F6" w:rsidRPr="00EC250C">
        <w:rPr>
          <w:szCs w:val="24"/>
        </w:rPr>
        <w:t>Fundacja Zustricz, Gmina Wyznaniowa Żydowska</w:t>
      </w:r>
      <w:r w:rsidR="00992FD0" w:rsidRPr="00EC250C">
        <w:rPr>
          <w:szCs w:val="24"/>
        </w:rPr>
        <w:t xml:space="preserve"> w </w:t>
      </w:r>
      <w:r w:rsidR="006946F6" w:rsidRPr="00EC250C">
        <w:rPr>
          <w:szCs w:val="24"/>
        </w:rPr>
        <w:t>Warszawie oraz Instytut Allehandra we współpracy</w:t>
      </w:r>
      <w:r w:rsidR="00992FD0" w:rsidRPr="00EC250C">
        <w:rPr>
          <w:szCs w:val="24"/>
        </w:rPr>
        <w:t xml:space="preserve"> z </w:t>
      </w:r>
      <w:r w:rsidR="006946F6" w:rsidRPr="00EC250C">
        <w:rPr>
          <w:szCs w:val="24"/>
        </w:rPr>
        <w:t>Fundacją Dialog – Pheniben oraz Związek Tatarów Rzeczypospolitej Polskiej</w:t>
      </w:r>
      <w:r w:rsidR="00FC2D50" w:rsidRPr="00EC250C">
        <w:rPr>
          <w:szCs w:val="24"/>
        </w:rPr>
        <w:t>.</w:t>
      </w:r>
    </w:p>
    <w:p w14:paraId="4A2C7721" w14:textId="77777777" w:rsidR="00850CE0" w:rsidRPr="00EC250C" w:rsidRDefault="00850CE0" w:rsidP="00D131FA">
      <w:pPr>
        <w:pStyle w:val="Styl2"/>
        <w:rPr>
          <w:szCs w:val="24"/>
        </w:rPr>
      </w:pPr>
      <w:r w:rsidRPr="00EC250C">
        <w:rPr>
          <w:szCs w:val="24"/>
        </w:rPr>
        <w:t>Z inicjatywy władz samorządowych</w:t>
      </w:r>
      <w:r w:rsidR="00992FD0" w:rsidRPr="00EC250C">
        <w:rPr>
          <w:szCs w:val="24"/>
        </w:rPr>
        <w:t xml:space="preserve"> w </w:t>
      </w:r>
      <w:r w:rsidRPr="00EC250C">
        <w:rPr>
          <w:szCs w:val="24"/>
        </w:rPr>
        <w:t>wielu miastach powstały lokalne modele integracji cudzoziemców. Oprócz Warszawy,</w:t>
      </w:r>
      <w:r w:rsidR="00992FD0" w:rsidRPr="00EC250C">
        <w:rPr>
          <w:szCs w:val="24"/>
        </w:rPr>
        <w:t xml:space="preserve"> w </w:t>
      </w:r>
      <w:r w:rsidRPr="00EC250C">
        <w:rPr>
          <w:szCs w:val="24"/>
        </w:rPr>
        <w:t>której mieszka najwięcej obcokrajowców</w:t>
      </w:r>
      <w:r w:rsidR="00992FD0" w:rsidRPr="00EC250C">
        <w:rPr>
          <w:szCs w:val="24"/>
        </w:rPr>
        <w:t xml:space="preserve"> i </w:t>
      </w:r>
      <w:r w:rsidRPr="00EC250C">
        <w:rPr>
          <w:szCs w:val="24"/>
        </w:rPr>
        <w:t>działa największa liczb</w:t>
      </w:r>
      <w:r w:rsidR="003331B3" w:rsidRPr="00EC250C">
        <w:rPr>
          <w:szCs w:val="24"/>
        </w:rPr>
        <w:t>a</w:t>
      </w:r>
      <w:r w:rsidRPr="00EC250C">
        <w:rPr>
          <w:szCs w:val="24"/>
        </w:rPr>
        <w:t xml:space="preserve"> organizacji wspierających imigrantów, inicjatywy integracyjne funkcjonują we: Wrocławiu czy Lublinie. Od 2016 roku również</w:t>
      </w:r>
      <w:r w:rsidR="00992FD0" w:rsidRPr="00EC250C">
        <w:rPr>
          <w:szCs w:val="24"/>
        </w:rPr>
        <w:t xml:space="preserve"> w </w:t>
      </w:r>
      <w:r w:rsidRPr="00EC250C">
        <w:rPr>
          <w:szCs w:val="24"/>
        </w:rPr>
        <w:t>Krakowie istnieje program „Otwarty Kraków”.</w:t>
      </w:r>
    </w:p>
    <w:p w14:paraId="26E30362" w14:textId="77777777" w:rsidR="00850CE0" w:rsidRPr="00EC250C" w:rsidRDefault="00850CE0" w:rsidP="00D131FA">
      <w:pPr>
        <w:pStyle w:val="Styl2"/>
        <w:rPr>
          <w:szCs w:val="24"/>
        </w:rPr>
      </w:pPr>
      <w:r w:rsidRPr="00EC250C">
        <w:rPr>
          <w:szCs w:val="24"/>
        </w:rPr>
        <w:t>Społeczności lokalne rozumieją, że np. imigracja</w:t>
      </w:r>
      <w:r w:rsidR="00992FD0" w:rsidRPr="00EC250C">
        <w:rPr>
          <w:szCs w:val="24"/>
        </w:rPr>
        <w:t xml:space="preserve"> z </w:t>
      </w:r>
      <w:r w:rsidRPr="00EC250C">
        <w:rPr>
          <w:szCs w:val="24"/>
        </w:rPr>
        <w:t>Ukrainy jest dla polskiego społeczeństwa</w:t>
      </w:r>
      <w:r w:rsidR="00992FD0" w:rsidRPr="00EC250C">
        <w:rPr>
          <w:szCs w:val="24"/>
        </w:rPr>
        <w:t xml:space="preserve"> i </w:t>
      </w:r>
      <w:r w:rsidRPr="00EC250C">
        <w:rPr>
          <w:szCs w:val="24"/>
        </w:rPr>
        <w:t>gospodarki zjawiskiem pozytywnym. Jako jedną</w:t>
      </w:r>
      <w:r w:rsidR="00992FD0" w:rsidRPr="00EC250C">
        <w:rPr>
          <w:szCs w:val="24"/>
        </w:rPr>
        <w:t xml:space="preserve"> z </w:t>
      </w:r>
      <w:r w:rsidRPr="00EC250C">
        <w:rPr>
          <w:szCs w:val="24"/>
        </w:rPr>
        <w:t xml:space="preserve">bardziej wymiernych korzyści można podać wpłacane przez </w:t>
      </w:r>
      <w:r w:rsidR="00FC2D50" w:rsidRPr="00EC250C">
        <w:rPr>
          <w:szCs w:val="24"/>
        </w:rPr>
        <w:t>Ukraińców</w:t>
      </w:r>
      <w:r w:rsidRPr="00EC250C">
        <w:rPr>
          <w:szCs w:val="24"/>
        </w:rPr>
        <w:t xml:space="preserve"> skład</w:t>
      </w:r>
      <w:r w:rsidR="003331B3" w:rsidRPr="00EC250C">
        <w:rPr>
          <w:szCs w:val="24"/>
        </w:rPr>
        <w:t>k</w:t>
      </w:r>
      <w:r w:rsidRPr="00EC250C">
        <w:rPr>
          <w:szCs w:val="24"/>
        </w:rPr>
        <w:t>i emerytalne – szacuje się, że rocznie ich suma wynosi co najmniej 2,2 mld złotych (zakładając, że każdy zatrudniony otrzymuję pensję minimalną)</w:t>
      </w:r>
      <w:r w:rsidR="003B371C" w:rsidRPr="00EC250C">
        <w:rPr>
          <w:rStyle w:val="Odwoanieprzypisudolnego"/>
          <w:szCs w:val="24"/>
        </w:rPr>
        <w:footnoteReference w:id="92"/>
      </w:r>
      <w:r w:rsidRPr="00EC250C">
        <w:rPr>
          <w:szCs w:val="24"/>
        </w:rPr>
        <w:t>.</w:t>
      </w:r>
    </w:p>
    <w:p w14:paraId="6E058AA2" w14:textId="77777777" w:rsidR="00CA3F12" w:rsidRPr="00EC250C" w:rsidRDefault="00CA3F12" w:rsidP="00EC250C">
      <w:pPr>
        <w:pStyle w:val="Nagwek8"/>
      </w:pPr>
      <w:r w:rsidRPr="00EC250C">
        <w:t>Spotkania eksperckie</w:t>
      </w:r>
      <w:r w:rsidR="00992FD0" w:rsidRPr="00EC250C">
        <w:t xml:space="preserve"> z </w:t>
      </w:r>
      <w:r w:rsidRPr="00EC250C">
        <w:t>przedstawicielami mniejszości narodowych</w:t>
      </w:r>
      <w:r w:rsidR="00992FD0" w:rsidRPr="00EC250C">
        <w:t xml:space="preserve"> i </w:t>
      </w:r>
      <w:r w:rsidRPr="00EC250C">
        <w:t>etnicznych</w:t>
      </w:r>
    </w:p>
    <w:p w14:paraId="65A4665B" w14:textId="77777777" w:rsidR="008F63C3" w:rsidRPr="00EC250C" w:rsidRDefault="00F471DF" w:rsidP="00D131FA">
      <w:pPr>
        <w:pStyle w:val="Styl2"/>
        <w:rPr>
          <w:rFonts w:ascii="TimesNewRomanPSMT" w:hAnsi="TimesNewRomanPSMT" w:cs="TimesNewRomanPSMT"/>
        </w:rPr>
      </w:pPr>
      <w:r w:rsidRPr="00EC250C">
        <w:rPr>
          <w:szCs w:val="24"/>
        </w:rPr>
        <w:t>W 2018</w:t>
      </w:r>
      <w:r w:rsidR="00C91F6E" w:rsidRPr="00EC250C">
        <w:rPr>
          <w:szCs w:val="24"/>
        </w:rPr>
        <w:t> r.</w:t>
      </w:r>
      <w:r w:rsidRPr="00EC250C">
        <w:rPr>
          <w:szCs w:val="24"/>
        </w:rPr>
        <w:t xml:space="preserve"> odbyły się trzy s</w:t>
      </w:r>
      <w:r w:rsidR="008F63C3" w:rsidRPr="00EC250C">
        <w:rPr>
          <w:szCs w:val="24"/>
        </w:rPr>
        <w:t>potkania eksperckie Rzecznika Praw Obywatelskich</w:t>
      </w:r>
      <w:r w:rsidR="00992FD0" w:rsidRPr="00EC250C">
        <w:rPr>
          <w:szCs w:val="24"/>
        </w:rPr>
        <w:t xml:space="preserve"> z </w:t>
      </w:r>
      <w:r w:rsidR="008F63C3" w:rsidRPr="00EC250C">
        <w:rPr>
          <w:szCs w:val="24"/>
        </w:rPr>
        <w:t>przedstawicielami mniejszości narodowych</w:t>
      </w:r>
      <w:r w:rsidR="00992FD0" w:rsidRPr="00EC250C">
        <w:rPr>
          <w:szCs w:val="24"/>
        </w:rPr>
        <w:t xml:space="preserve"> i </w:t>
      </w:r>
      <w:r w:rsidR="008F63C3" w:rsidRPr="00EC250C">
        <w:rPr>
          <w:szCs w:val="24"/>
        </w:rPr>
        <w:t>etnicznych.</w:t>
      </w:r>
    </w:p>
    <w:p w14:paraId="6EF7947C" w14:textId="77777777" w:rsidR="00C91F6E" w:rsidRPr="00EC250C" w:rsidRDefault="00F471DF" w:rsidP="00D131FA">
      <w:pPr>
        <w:pStyle w:val="Styl2"/>
        <w:rPr>
          <w:szCs w:val="24"/>
        </w:rPr>
      </w:pPr>
      <w:r w:rsidRPr="00EC250C">
        <w:rPr>
          <w:szCs w:val="24"/>
        </w:rPr>
        <w:t>Pierwsze</w:t>
      </w:r>
      <w:r w:rsidR="00EB2583" w:rsidRPr="00EC250C">
        <w:rPr>
          <w:szCs w:val="24"/>
        </w:rPr>
        <w:t>,</w:t>
      </w:r>
      <w:r w:rsidRPr="00EC250C">
        <w:rPr>
          <w:szCs w:val="24"/>
        </w:rPr>
        <w:t xml:space="preserve"> 11 kwietnia 2018</w:t>
      </w:r>
      <w:r w:rsidR="00C91F6E" w:rsidRPr="00EC250C">
        <w:rPr>
          <w:szCs w:val="24"/>
        </w:rPr>
        <w:t> r.</w:t>
      </w:r>
      <w:r w:rsidRPr="00EC250C">
        <w:rPr>
          <w:szCs w:val="24"/>
        </w:rPr>
        <w:t xml:space="preserve">, </w:t>
      </w:r>
      <w:r w:rsidR="008F63C3" w:rsidRPr="00EC250C">
        <w:rPr>
          <w:szCs w:val="24"/>
        </w:rPr>
        <w:t xml:space="preserve">poświęcone </w:t>
      </w:r>
      <w:r w:rsidRPr="00EC250C">
        <w:rPr>
          <w:szCs w:val="24"/>
        </w:rPr>
        <w:t xml:space="preserve">było </w:t>
      </w:r>
      <w:r w:rsidR="008F63C3" w:rsidRPr="00EC250C">
        <w:rPr>
          <w:szCs w:val="24"/>
        </w:rPr>
        <w:t>zagrożeniom związanym</w:t>
      </w:r>
      <w:r w:rsidR="00992FD0" w:rsidRPr="00EC250C">
        <w:rPr>
          <w:szCs w:val="24"/>
        </w:rPr>
        <w:t xml:space="preserve"> z </w:t>
      </w:r>
      <w:r w:rsidR="008F63C3" w:rsidRPr="00EC250C">
        <w:rPr>
          <w:szCs w:val="24"/>
        </w:rPr>
        <w:t>ksenofobią</w:t>
      </w:r>
      <w:r w:rsidR="00992FD0" w:rsidRPr="00EC250C">
        <w:rPr>
          <w:szCs w:val="24"/>
        </w:rPr>
        <w:t xml:space="preserve"> i </w:t>
      </w:r>
      <w:r w:rsidR="008F63C3" w:rsidRPr="00EC250C">
        <w:rPr>
          <w:szCs w:val="24"/>
        </w:rPr>
        <w:t>agresją motywowaną nienawiścią na tle narodowości, pochodzenia etnicznego</w:t>
      </w:r>
      <w:r w:rsidR="00992FD0" w:rsidRPr="00EC250C">
        <w:rPr>
          <w:szCs w:val="24"/>
        </w:rPr>
        <w:t xml:space="preserve"> i </w:t>
      </w:r>
      <w:r w:rsidR="008F63C3" w:rsidRPr="00EC250C">
        <w:rPr>
          <w:szCs w:val="24"/>
        </w:rPr>
        <w:t>wyznania</w:t>
      </w:r>
      <w:r w:rsidRPr="00EC250C">
        <w:rPr>
          <w:szCs w:val="24"/>
        </w:rPr>
        <w:t>. Zorganizowano je</w:t>
      </w:r>
      <w:r w:rsidR="00992FD0" w:rsidRPr="00EC250C">
        <w:rPr>
          <w:szCs w:val="24"/>
        </w:rPr>
        <w:t xml:space="preserve"> w </w:t>
      </w:r>
      <w:r w:rsidRPr="00EC250C">
        <w:rPr>
          <w:szCs w:val="24"/>
        </w:rPr>
        <w:t>reakcji na oświadczenie wydane przez</w:t>
      </w:r>
      <w:r w:rsidR="008F63C3" w:rsidRPr="00EC250C">
        <w:rPr>
          <w:szCs w:val="24"/>
        </w:rPr>
        <w:t xml:space="preserve"> przedstawiciel</w:t>
      </w:r>
      <w:r w:rsidRPr="00EC250C">
        <w:rPr>
          <w:szCs w:val="24"/>
        </w:rPr>
        <w:t>i</w:t>
      </w:r>
      <w:r w:rsidR="008F63C3" w:rsidRPr="00EC250C">
        <w:rPr>
          <w:szCs w:val="24"/>
        </w:rPr>
        <w:t xml:space="preserve"> piętnastu organizacji mniejszości narodowych</w:t>
      </w:r>
      <w:r w:rsidR="00992FD0" w:rsidRPr="00EC250C">
        <w:rPr>
          <w:szCs w:val="24"/>
        </w:rPr>
        <w:t xml:space="preserve"> i </w:t>
      </w:r>
      <w:r w:rsidR="008F63C3" w:rsidRPr="00EC250C">
        <w:rPr>
          <w:szCs w:val="24"/>
        </w:rPr>
        <w:t>etnicznych</w:t>
      </w:r>
      <w:r w:rsidRPr="00EC250C">
        <w:rPr>
          <w:szCs w:val="24"/>
        </w:rPr>
        <w:t>.</w:t>
      </w:r>
      <w:r w:rsidR="00EB2583" w:rsidRPr="00EC250C">
        <w:rPr>
          <w:szCs w:val="24"/>
        </w:rPr>
        <w:t xml:space="preserve"> W</w:t>
      </w:r>
      <w:r w:rsidR="008F63C3" w:rsidRPr="00EC250C">
        <w:rPr>
          <w:szCs w:val="24"/>
        </w:rPr>
        <w:t xml:space="preserve">ezwali </w:t>
      </w:r>
      <w:r w:rsidR="00EB2583" w:rsidRPr="00EC250C">
        <w:rPr>
          <w:szCs w:val="24"/>
        </w:rPr>
        <w:t xml:space="preserve">oni </w:t>
      </w:r>
      <w:r w:rsidR="008F63C3" w:rsidRPr="00EC250C">
        <w:rPr>
          <w:szCs w:val="24"/>
        </w:rPr>
        <w:t xml:space="preserve">Prezydenta, </w:t>
      </w:r>
      <w:r w:rsidR="00F67B1D" w:rsidRPr="00EC250C">
        <w:rPr>
          <w:szCs w:val="24"/>
        </w:rPr>
        <w:t>r</w:t>
      </w:r>
      <w:r w:rsidR="008F63C3" w:rsidRPr="00EC250C">
        <w:rPr>
          <w:szCs w:val="24"/>
        </w:rPr>
        <w:t>ząd</w:t>
      </w:r>
      <w:r w:rsidR="00992FD0" w:rsidRPr="00EC250C">
        <w:rPr>
          <w:szCs w:val="24"/>
        </w:rPr>
        <w:t xml:space="preserve"> i </w:t>
      </w:r>
      <w:r w:rsidR="00F67B1D" w:rsidRPr="00EC250C">
        <w:rPr>
          <w:szCs w:val="24"/>
        </w:rPr>
        <w:t>p</w:t>
      </w:r>
      <w:r w:rsidR="008F63C3" w:rsidRPr="00EC250C">
        <w:rPr>
          <w:szCs w:val="24"/>
        </w:rPr>
        <w:t>arlament do przeciwdziałania wszelkim formom ksenofobii, nietolerancji</w:t>
      </w:r>
      <w:r w:rsidR="00992FD0" w:rsidRPr="00EC250C">
        <w:rPr>
          <w:szCs w:val="24"/>
        </w:rPr>
        <w:t xml:space="preserve"> i </w:t>
      </w:r>
      <w:r w:rsidR="008F63C3" w:rsidRPr="00EC250C">
        <w:rPr>
          <w:szCs w:val="24"/>
        </w:rPr>
        <w:t xml:space="preserve">antysemityzmu. Diagnoza przedstawiona przez </w:t>
      </w:r>
      <w:r w:rsidRPr="00EC250C">
        <w:rPr>
          <w:szCs w:val="24"/>
        </w:rPr>
        <w:t xml:space="preserve">organizacje </w:t>
      </w:r>
      <w:r w:rsidR="008F63C3" w:rsidRPr="00EC250C">
        <w:rPr>
          <w:szCs w:val="24"/>
        </w:rPr>
        <w:t xml:space="preserve">okazała się zbieżna ze stanowiskiem </w:t>
      </w:r>
      <w:r w:rsidR="00073A8C" w:rsidRPr="00EC250C">
        <w:rPr>
          <w:szCs w:val="24"/>
        </w:rPr>
        <w:t>RPO</w:t>
      </w:r>
      <w:r w:rsidR="008F63C3" w:rsidRPr="00EC250C">
        <w:rPr>
          <w:szCs w:val="24"/>
        </w:rPr>
        <w:t xml:space="preserve"> dotyczącym konieczności wypracowania nowych rozwiązań</w:t>
      </w:r>
      <w:r w:rsidR="00992FD0" w:rsidRPr="00EC250C">
        <w:rPr>
          <w:szCs w:val="24"/>
        </w:rPr>
        <w:t xml:space="preserve"> w </w:t>
      </w:r>
      <w:r w:rsidR="008F63C3" w:rsidRPr="00EC250C">
        <w:rPr>
          <w:szCs w:val="24"/>
        </w:rPr>
        <w:t>zakresie przeciwdziałania</w:t>
      </w:r>
      <w:r w:rsidR="00992FD0" w:rsidRPr="00EC250C">
        <w:rPr>
          <w:szCs w:val="24"/>
        </w:rPr>
        <w:t xml:space="preserve"> i </w:t>
      </w:r>
      <w:r w:rsidR="008F63C3" w:rsidRPr="00EC250C">
        <w:rPr>
          <w:szCs w:val="24"/>
        </w:rPr>
        <w:t>zwalczania przejawów nienawiści opartej na ww. motywach</w:t>
      </w:r>
      <w:r w:rsidR="00992FD0" w:rsidRPr="00EC250C">
        <w:rPr>
          <w:szCs w:val="24"/>
        </w:rPr>
        <w:t xml:space="preserve"> i </w:t>
      </w:r>
      <w:r w:rsidRPr="00EC250C">
        <w:rPr>
          <w:szCs w:val="24"/>
        </w:rPr>
        <w:t>przeciwstawiania się wszelkim przejawom</w:t>
      </w:r>
      <w:r w:rsidR="008F63C3" w:rsidRPr="00EC250C">
        <w:rPr>
          <w:szCs w:val="24"/>
        </w:rPr>
        <w:t xml:space="preserve"> rasizmu</w:t>
      </w:r>
      <w:r w:rsidR="00992FD0" w:rsidRPr="00EC250C">
        <w:rPr>
          <w:szCs w:val="24"/>
        </w:rPr>
        <w:t xml:space="preserve"> i </w:t>
      </w:r>
      <w:r w:rsidR="008F63C3" w:rsidRPr="00EC250C">
        <w:rPr>
          <w:szCs w:val="24"/>
        </w:rPr>
        <w:t>ksenofobii</w:t>
      </w:r>
      <w:r w:rsidR="00992FD0" w:rsidRPr="00EC250C">
        <w:rPr>
          <w:szCs w:val="24"/>
        </w:rPr>
        <w:t xml:space="preserve"> w </w:t>
      </w:r>
      <w:r w:rsidR="008F63C3" w:rsidRPr="00EC250C">
        <w:rPr>
          <w:szCs w:val="24"/>
        </w:rPr>
        <w:t>Polsce.</w:t>
      </w:r>
    </w:p>
    <w:p w14:paraId="2B085AAD" w14:textId="77777777" w:rsidR="00C91F6E" w:rsidRPr="00EC250C" w:rsidRDefault="00C3107A" w:rsidP="00D131FA">
      <w:pPr>
        <w:pStyle w:val="Styl2"/>
        <w:rPr>
          <w:szCs w:val="24"/>
        </w:rPr>
      </w:pPr>
      <w:r w:rsidRPr="00EC250C">
        <w:rPr>
          <w:szCs w:val="24"/>
        </w:rPr>
        <w:lastRenderedPageBreak/>
        <w:t>W czerwcu</w:t>
      </w:r>
      <w:r w:rsidR="008F63C3" w:rsidRPr="00EC250C">
        <w:rPr>
          <w:szCs w:val="24"/>
        </w:rPr>
        <w:t xml:space="preserve"> odbyło się </w:t>
      </w:r>
      <w:r w:rsidR="00F471DF" w:rsidRPr="00EC250C">
        <w:rPr>
          <w:szCs w:val="24"/>
        </w:rPr>
        <w:t xml:space="preserve">drugie </w:t>
      </w:r>
      <w:r w:rsidR="008F63C3" w:rsidRPr="00EC250C">
        <w:rPr>
          <w:szCs w:val="24"/>
        </w:rPr>
        <w:t>spotkanie poświęcone</w:t>
      </w:r>
      <w:r w:rsidR="009226BC" w:rsidRPr="00EC250C">
        <w:rPr>
          <w:szCs w:val="24"/>
        </w:rPr>
        <w:t xml:space="preserve"> </w:t>
      </w:r>
      <w:r w:rsidR="008F63C3" w:rsidRPr="00EC250C">
        <w:rPr>
          <w:szCs w:val="24"/>
        </w:rPr>
        <w:t xml:space="preserve">realizacji praw oświatowych mniejszości. Przedstawiciele organizacji mniejszościowych zwrócili uwagę m.in. na zgłaszane przez </w:t>
      </w:r>
      <w:r w:rsidR="00907A50" w:rsidRPr="00EC250C">
        <w:rPr>
          <w:szCs w:val="24"/>
        </w:rPr>
        <w:t xml:space="preserve">MEN </w:t>
      </w:r>
      <w:r w:rsidR="008F63C3" w:rsidRPr="00EC250C">
        <w:rPr>
          <w:szCs w:val="24"/>
        </w:rPr>
        <w:t xml:space="preserve">wątpliwości dotyczące równoległego nauczania określonego języka jako języka mniejszości narodowej oraz języka obcego nowożytnego. </w:t>
      </w:r>
      <w:r w:rsidR="00E2124F" w:rsidRPr="00EC250C">
        <w:rPr>
          <w:szCs w:val="24"/>
        </w:rPr>
        <w:t>W</w:t>
      </w:r>
      <w:r w:rsidR="008F63C3" w:rsidRPr="00EC250C">
        <w:rPr>
          <w:szCs w:val="24"/>
        </w:rPr>
        <w:t>skazali również na brak jakiegokolwiek systemu motywowania uczniów do nauki języka lub</w:t>
      </w:r>
      <w:r w:rsidR="00992FD0" w:rsidRPr="00EC250C">
        <w:rPr>
          <w:szCs w:val="24"/>
        </w:rPr>
        <w:t xml:space="preserve"> w </w:t>
      </w:r>
      <w:r w:rsidR="008F63C3" w:rsidRPr="00EC250C">
        <w:rPr>
          <w:szCs w:val="24"/>
        </w:rPr>
        <w:t>języku mniejszości.</w:t>
      </w:r>
    </w:p>
    <w:p w14:paraId="7A8B5B9C" w14:textId="77777777" w:rsidR="00C91F6E" w:rsidRPr="00EC250C" w:rsidRDefault="008F63C3" w:rsidP="00D131FA">
      <w:pPr>
        <w:pStyle w:val="Styl2"/>
        <w:rPr>
          <w:szCs w:val="24"/>
        </w:rPr>
      </w:pPr>
      <w:r w:rsidRPr="00EC250C">
        <w:rPr>
          <w:szCs w:val="24"/>
        </w:rPr>
        <w:t>Trzecie spotkanie</w:t>
      </w:r>
      <w:r w:rsidR="00EB2583" w:rsidRPr="00EC250C">
        <w:rPr>
          <w:szCs w:val="24"/>
        </w:rPr>
        <w:t>,</w:t>
      </w:r>
      <w:r w:rsidR="00992FD0" w:rsidRPr="00EC250C">
        <w:rPr>
          <w:szCs w:val="24"/>
        </w:rPr>
        <w:t xml:space="preserve"> w </w:t>
      </w:r>
      <w:r w:rsidR="00C3107A" w:rsidRPr="00EC250C">
        <w:rPr>
          <w:szCs w:val="24"/>
        </w:rPr>
        <w:t>grudniu</w:t>
      </w:r>
      <w:r w:rsidR="009226BC" w:rsidRPr="00EC250C">
        <w:rPr>
          <w:szCs w:val="24"/>
        </w:rPr>
        <w:t xml:space="preserve"> </w:t>
      </w:r>
      <w:r w:rsidR="00EB2583" w:rsidRPr="00EC250C">
        <w:rPr>
          <w:szCs w:val="24"/>
        </w:rPr>
        <w:t>2018</w:t>
      </w:r>
      <w:r w:rsidR="00C91F6E" w:rsidRPr="00EC250C">
        <w:rPr>
          <w:szCs w:val="24"/>
        </w:rPr>
        <w:t> r.</w:t>
      </w:r>
      <w:r w:rsidR="00EB2583" w:rsidRPr="00EC250C">
        <w:rPr>
          <w:szCs w:val="24"/>
        </w:rPr>
        <w:t xml:space="preserve">, </w:t>
      </w:r>
      <w:r w:rsidRPr="00EC250C">
        <w:rPr>
          <w:szCs w:val="24"/>
        </w:rPr>
        <w:t>poświęcon</w:t>
      </w:r>
      <w:r w:rsidR="009226BC" w:rsidRPr="00EC250C">
        <w:rPr>
          <w:szCs w:val="24"/>
        </w:rPr>
        <w:t xml:space="preserve">o </w:t>
      </w:r>
      <w:r w:rsidRPr="00EC250C">
        <w:rPr>
          <w:szCs w:val="24"/>
        </w:rPr>
        <w:t>realizacji prawa mniejszości do utrzymania</w:t>
      </w:r>
      <w:r w:rsidR="00992FD0" w:rsidRPr="00EC250C">
        <w:rPr>
          <w:szCs w:val="24"/>
        </w:rPr>
        <w:t xml:space="preserve"> i </w:t>
      </w:r>
      <w:r w:rsidRPr="00EC250C">
        <w:rPr>
          <w:szCs w:val="24"/>
        </w:rPr>
        <w:t>rozwoju własnej kultury</w:t>
      </w:r>
      <w:r w:rsidR="00992FD0" w:rsidRPr="00EC250C">
        <w:rPr>
          <w:szCs w:val="24"/>
        </w:rPr>
        <w:t xml:space="preserve"> i </w:t>
      </w:r>
      <w:r w:rsidRPr="00EC250C">
        <w:rPr>
          <w:szCs w:val="24"/>
        </w:rPr>
        <w:t>dziedzictwa.</w:t>
      </w:r>
      <w:r w:rsidR="00C3107A" w:rsidRPr="00EC250C">
        <w:rPr>
          <w:szCs w:val="24"/>
        </w:rPr>
        <w:t>.</w:t>
      </w:r>
    </w:p>
    <w:p w14:paraId="4F467BCA" w14:textId="77777777" w:rsidR="0090374B" w:rsidRPr="00EC250C" w:rsidRDefault="0090374B" w:rsidP="00D131FA">
      <w:pPr>
        <w:pStyle w:val="ODESANIE"/>
        <w:jc w:val="both"/>
      </w:pPr>
      <w:r w:rsidRPr="00EC250C">
        <w:t>Dotyczące relacji</w:t>
      </w:r>
      <w:r w:rsidR="00992FD0" w:rsidRPr="00EC250C">
        <w:t xml:space="preserve"> z </w:t>
      </w:r>
      <w:r w:rsidRPr="00EC250C">
        <w:t>Ukrainą konsekwencje zmiany ustawy</w:t>
      </w:r>
      <w:r w:rsidR="00992FD0" w:rsidRPr="00EC250C">
        <w:t xml:space="preserve"> o </w:t>
      </w:r>
      <w:r w:rsidRPr="00EC250C">
        <w:t>IPN – art. 42 ust 1 Konstytucji</w:t>
      </w:r>
    </w:p>
    <w:p w14:paraId="5E07C1A2" w14:textId="77777777" w:rsidR="00320D38" w:rsidRPr="00EC250C" w:rsidRDefault="008F63C3" w:rsidP="00D131FA">
      <w:pPr>
        <w:pStyle w:val="Styl1"/>
      </w:pPr>
      <w:r w:rsidRPr="00EC250C">
        <w:br w:type="page"/>
      </w:r>
    </w:p>
    <w:p w14:paraId="6A9C481A" w14:textId="77777777" w:rsidR="00C91F6E" w:rsidRPr="00EC250C" w:rsidRDefault="00E271F3" w:rsidP="00EC250C">
      <w:pPr>
        <w:pStyle w:val="Nagwek3"/>
      </w:pPr>
      <w:bookmarkStart w:id="90" w:name="_Toc6257657"/>
      <w:bookmarkStart w:id="91" w:name="_Toc11247564"/>
      <w:r w:rsidRPr="00EC250C">
        <w:lastRenderedPageBreak/>
        <w:t>Art. 36</w:t>
      </w:r>
      <w:r w:rsidR="00FD3AE2" w:rsidRPr="00EC250C">
        <w:t xml:space="preserve"> Konstytucji</w:t>
      </w:r>
      <w:r w:rsidRPr="00EC250C">
        <w:t xml:space="preserve"> – Prawo do opieki dyplomatycznej</w:t>
      </w:r>
      <w:r w:rsidR="00992FD0" w:rsidRPr="00EC250C">
        <w:t xml:space="preserve"> i </w:t>
      </w:r>
      <w:r w:rsidRPr="00EC250C">
        <w:t>konsularnej</w:t>
      </w:r>
      <w:bookmarkEnd w:id="90"/>
      <w:bookmarkEnd w:id="91"/>
    </w:p>
    <w:p w14:paraId="08870F00" w14:textId="77777777" w:rsidR="00E271F3" w:rsidRPr="00EC250C" w:rsidRDefault="00E271F3" w:rsidP="00D131FA">
      <w:pPr>
        <w:pStyle w:val="konstytucja"/>
        <w:jc w:val="both"/>
      </w:pPr>
      <w:r w:rsidRPr="00EC250C">
        <w:t>Podczas pobytu za granicą obywatel polski ma prawo do opieki ze strony Rzeczypospolitej Polskiej.</w:t>
      </w:r>
    </w:p>
    <w:p w14:paraId="405728A6" w14:textId="77777777" w:rsidR="00C91F6E" w:rsidRPr="00EC250C" w:rsidRDefault="00E62B3A" w:rsidP="00D131FA">
      <w:pPr>
        <w:pStyle w:val="ComwiKonstytucja"/>
      </w:pPr>
      <w:r w:rsidRPr="00EC250C">
        <w:t>Takie ujęcie obowiązku opieki nad obywatelem oraz umieszczenie go</w:t>
      </w:r>
      <w:r w:rsidR="00992FD0" w:rsidRPr="00EC250C">
        <w:t xml:space="preserve"> w </w:t>
      </w:r>
      <w:r w:rsidRPr="00EC250C">
        <w:t>rozdziale II Konstytucji oznacza, że chodzi tu</w:t>
      </w:r>
      <w:r w:rsidR="00992FD0" w:rsidRPr="00EC250C">
        <w:t xml:space="preserve"> o </w:t>
      </w:r>
      <w:r w:rsidRPr="00EC250C">
        <w:t>prawo podmiotowe.</w:t>
      </w:r>
    </w:p>
    <w:p w14:paraId="6ABF443D" w14:textId="77777777" w:rsidR="00C91F6E" w:rsidRPr="00EC250C" w:rsidRDefault="00E62B3A" w:rsidP="00D131FA">
      <w:pPr>
        <w:pStyle w:val="ComwiKonstytucja"/>
      </w:pPr>
      <w:r w:rsidRPr="00EC250C">
        <w:t>Podmiotem jest obywatel polski, poza zakresem ochrony pozostają więc Polacy nieposiadający obywatelstwa polskiego.</w:t>
      </w:r>
    </w:p>
    <w:p w14:paraId="46A9D37E" w14:textId="77777777" w:rsidR="00C91F6E" w:rsidRPr="00EC250C" w:rsidRDefault="00E62B3A" w:rsidP="00D131FA">
      <w:pPr>
        <w:pStyle w:val="ComwiKonstytucja"/>
      </w:pPr>
      <w:r w:rsidRPr="00EC250C">
        <w:t>Prawo do opieki ze strony Rzeczypospolitej istnieje niezależnie od charakteru pobytu za granicą (stałego, tymczasowego, legalnego etc.). Obowiązek opieki spoczywa na władzach publicznych, przede wszystkim na instytucjach działających</w:t>
      </w:r>
      <w:r w:rsidR="00992FD0" w:rsidRPr="00EC250C">
        <w:t xml:space="preserve"> w </w:t>
      </w:r>
      <w:r w:rsidRPr="00EC250C">
        <w:t>stosunkach zagranicznych (np. konsulatach). Prawo to istnieje</w:t>
      </w:r>
      <w:r w:rsidR="00992FD0" w:rsidRPr="00EC250C">
        <w:t xml:space="preserve"> w </w:t>
      </w:r>
      <w:r w:rsidRPr="00EC250C">
        <w:t>każdej sytuacji, także</w:t>
      </w:r>
      <w:r w:rsidR="00992FD0" w:rsidRPr="00EC250C">
        <w:t xml:space="preserve"> w </w:t>
      </w:r>
      <w:r w:rsidRPr="00EC250C">
        <w:t>przypadku naruszenia przez obywatela prawa (polskiego lub obcego). Artykuł 36 nie precyzuje, na czym ma polegać opieka.</w:t>
      </w:r>
    </w:p>
    <w:p w14:paraId="7C2361DC" w14:textId="77777777" w:rsidR="00E62B3A" w:rsidRPr="00EC250C" w:rsidRDefault="00E62B3A" w:rsidP="00D131FA">
      <w:pPr>
        <w:pStyle w:val="ComwiKonstytucja"/>
      </w:pPr>
      <w:r w:rsidRPr="00EC250C">
        <w:t>Pozostawia to ustawodawcy, dlatego trudno sprecyzować katalog uprawnień</w:t>
      </w:r>
      <w:r w:rsidR="00992FD0" w:rsidRPr="00EC250C">
        <w:t xml:space="preserve"> i </w:t>
      </w:r>
      <w:r w:rsidRPr="00EC250C">
        <w:t>obowiązków.</w:t>
      </w:r>
    </w:p>
    <w:p w14:paraId="746E33FF" w14:textId="77777777" w:rsidR="00EE09AA" w:rsidRPr="00EC250C" w:rsidRDefault="00EE09AA" w:rsidP="00D131FA">
      <w:pPr>
        <w:pStyle w:val="ComwiKonstytucja"/>
      </w:pPr>
    </w:p>
    <w:p w14:paraId="42CDC03D" w14:textId="77777777" w:rsidR="00E62B3A" w:rsidRPr="00EC250C" w:rsidRDefault="00E62B3A" w:rsidP="00D131FA">
      <w:pPr>
        <w:spacing w:after="200" w:line="24" w:lineRule="auto"/>
        <w:jc w:val="both"/>
        <w:rPr>
          <w:i/>
          <w:spacing w:val="5"/>
          <w:sz w:val="22"/>
        </w:rPr>
      </w:pPr>
      <w:r w:rsidRPr="00EC250C">
        <w:rPr>
          <w:sz w:val="24"/>
        </w:rPr>
        <w:br w:type="page"/>
      </w:r>
    </w:p>
    <w:p w14:paraId="6A54AEB6" w14:textId="77777777" w:rsidR="00BD7286" w:rsidRPr="00EC250C" w:rsidRDefault="00744B2D" w:rsidP="00EC79EB">
      <w:pPr>
        <w:pStyle w:val="Nagwek4"/>
        <w:rPr>
          <w:spacing w:val="0"/>
        </w:rPr>
      </w:pPr>
      <w:hyperlink r:id="rId11" w:history="1">
        <w:bookmarkStart w:id="92" w:name="_Toc6257658"/>
        <w:bookmarkStart w:id="93" w:name="_Toc11247565"/>
        <w:r w:rsidR="00BD7286" w:rsidRPr="00EC250C">
          <w:t>Problemy</w:t>
        </w:r>
        <w:r w:rsidR="00992FD0" w:rsidRPr="00EC250C">
          <w:t xml:space="preserve"> z </w:t>
        </w:r>
        <w:r w:rsidR="00BD7286" w:rsidRPr="00EC250C">
          <w:t>Kartą Polaka</w:t>
        </w:r>
        <w:bookmarkEnd w:id="92"/>
        <w:bookmarkEnd w:id="93"/>
      </w:hyperlink>
    </w:p>
    <w:p w14:paraId="4DBF720E" w14:textId="77777777" w:rsidR="00B473F5" w:rsidRPr="00EC250C" w:rsidRDefault="00C3107A" w:rsidP="00D131FA">
      <w:pPr>
        <w:pStyle w:val="Problemczowieka"/>
        <w:jc w:val="both"/>
        <w:rPr>
          <w:rStyle w:val="Pogrubienie"/>
          <w:b/>
          <w:bCs w:val="0"/>
        </w:rPr>
      </w:pPr>
      <w:r w:rsidRPr="00EC250C">
        <w:rPr>
          <w:rStyle w:val="Pogrubienie"/>
          <w:b/>
          <w:bCs w:val="0"/>
        </w:rPr>
        <w:t xml:space="preserve">Z raportów Najwyższej Izby Kontroli wynika, że </w:t>
      </w:r>
      <w:r w:rsidR="00B200F1" w:rsidRPr="00EC250C">
        <w:rPr>
          <w:rStyle w:val="Pogrubienie"/>
          <w:b/>
          <w:bCs w:val="0"/>
        </w:rPr>
        <w:t>Polacy mieszkający za naszą wschodnią granicą mają problemy</w:t>
      </w:r>
      <w:r w:rsidR="00992FD0" w:rsidRPr="00EC250C">
        <w:rPr>
          <w:rStyle w:val="Pogrubienie"/>
          <w:b/>
          <w:bCs w:val="0"/>
        </w:rPr>
        <w:t xml:space="preserve"> z </w:t>
      </w:r>
      <w:r w:rsidR="00B200F1" w:rsidRPr="00EC250C">
        <w:rPr>
          <w:rStyle w:val="Pogrubienie"/>
          <w:b/>
          <w:bCs w:val="0"/>
        </w:rPr>
        <w:t>uzyskaniem Karty Polaka. Czas oczekiwania na spotkanie</w:t>
      </w:r>
      <w:r w:rsidR="00992FD0" w:rsidRPr="00EC250C">
        <w:rPr>
          <w:rStyle w:val="Pogrubienie"/>
          <w:b/>
          <w:bCs w:val="0"/>
        </w:rPr>
        <w:t xml:space="preserve"> z </w:t>
      </w:r>
      <w:r w:rsidR="00B200F1" w:rsidRPr="00EC250C">
        <w:rPr>
          <w:rStyle w:val="Pogrubienie"/>
          <w:b/>
          <w:bCs w:val="0"/>
        </w:rPr>
        <w:t>konsulem, które jest jednym</w:t>
      </w:r>
      <w:r w:rsidR="00992FD0" w:rsidRPr="00EC250C">
        <w:rPr>
          <w:rStyle w:val="Pogrubienie"/>
          <w:b/>
          <w:bCs w:val="0"/>
        </w:rPr>
        <w:t xml:space="preserve"> z </w:t>
      </w:r>
      <w:r w:rsidR="00B200F1" w:rsidRPr="00EC250C">
        <w:rPr>
          <w:rStyle w:val="Pogrubienie"/>
          <w:b/>
          <w:bCs w:val="0"/>
        </w:rPr>
        <w:t>niezbędnych elementów procesu, wynosi niekiedy nawet rok</w:t>
      </w:r>
      <w:r w:rsidR="00B473F5" w:rsidRPr="00EC250C">
        <w:rPr>
          <w:rStyle w:val="Pogrubienie"/>
          <w:b/>
          <w:bCs w:val="0"/>
        </w:rPr>
        <w:t>.</w:t>
      </w:r>
    </w:p>
    <w:p w14:paraId="4487592E" w14:textId="77777777" w:rsidR="00BD7286" w:rsidRPr="00EC250C" w:rsidRDefault="00073A8C" w:rsidP="00D131FA">
      <w:pPr>
        <w:pStyle w:val="Styl1"/>
      </w:pPr>
      <w:r w:rsidRPr="00EC250C">
        <w:rPr>
          <w:rStyle w:val="Pogrubienie"/>
          <w:b w:val="0"/>
          <w:bCs w:val="0"/>
        </w:rPr>
        <w:t>RPO</w:t>
      </w:r>
      <w:r w:rsidR="00BD7286" w:rsidRPr="00EC250C">
        <w:rPr>
          <w:rStyle w:val="Pogrubienie"/>
          <w:b w:val="0"/>
          <w:bCs w:val="0"/>
        </w:rPr>
        <w:t xml:space="preserve"> </w:t>
      </w:r>
      <w:r w:rsidR="00B200F1" w:rsidRPr="00EC250C">
        <w:rPr>
          <w:rStyle w:val="Pogrubienie"/>
          <w:b w:val="0"/>
          <w:bCs w:val="0"/>
        </w:rPr>
        <w:t xml:space="preserve">zapytał </w:t>
      </w:r>
      <w:r w:rsidR="00BD7286" w:rsidRPr="00EC250C">
        <w:rPr>
          <w:rStyle w:val="Pogrubienie"/>
          <w:b w:val="0"/>
          <w:bCs w:val="0"/>
        </w:rPr>
        <w:t>szefa MSZ, jakie działania podjęto</w:t>
      </w:r>
      <w:r w:rsidR="00992FD0" w:rsidRPr="00EC250C">
        <w:rPr>
          <w:rStyle w:val="Pogrubienie"/>
          <w:b w:val="0"/>
          <w:bCs w:val="0"/>
        </w:rPr>
        <w:t xml:space="preserve"> w </w:t>
      </w:r>
      <w:r w:rsidR="00BD7286" w:rsidRPr="00EC250C">
        <w:rPr>
          <w:rStyle w:val="Pogrubienie"/>
          <w:b w:val="0"/>
          <w:bCs w:val="0"/>
        </w:rPr>
        <w:t>związku</w:t>
      </w:r>
      <w:r w:rsidR="00992FD0" w:rsidRPr="00EC250C">
        <w:rPr>
          <w:rStyle w:val="Pogrubienie"/>
          <w:b w:val="0"/>
          <w:bCs w:val="0"/>
        </w:rPr>
        <w:t xml:space="preserve"> z </w:t>
      </w:r>
      <w:r w:rsidR="00BD7286" w:rsidRPr="00EC250C">
        <w:rPr>
          <w:rStyle w:val="Pogrubienie"/>
          <w:b w:val="0"/>
          <w:bCs w:val="0"/>
        </w:rPr>
        <w:t>wynikami kontroli</w:t>
      </w:r>
      <w:r w:rsidR="00B200F1" w:rsidRPr="00EC250C">
        <w:rPr>
          <w:rStyle w:val="Pogrubienie"/>
          <w:b w:val="0"/>
          <w:bCs w:val="0"/>
        </w:rPr>
        <w:t xml:space="preserve"> NIK</w:t>
      </w:r>
      <w:r w:rsidR="00BD7286" w:rsidRPr="00EC250C">
        <w:rPr>
          <w:rStyle w:val="Odwoanieprzypisudolnego"/>
        </w:rPr>
        <w:footnoteReference w:id="93"/>
      </w:r>
      <w:r w:rsidR="00BD7286" w:rsidRPr="00EC250C">
        <w:rPr>
          <w:rStyle w:val="Pogrubienie"/>
          <w:b w:val="0"/>
          <w:bCs w:val="0"/>
        </w:rPr>
        <w:t xml:space="preserve">. </w:t>
      </w:r>
      <w:r w:rsidR="00BD7286" w:rsidRPr="00EC250C">
        <w:rPr>
          <w:rFonts w:eastAsia="Calibri"/>
          <w:lang w:eastAsia="en-US"/>
        </w:rPr>
        <w:t>MSZ odpowiedziało, że na bieżąco monitoruje sytuację kadrową placówek</w:t>
      </w:r>
      <w:r w:rsidR="00992FD0" w:rsidRPr="00EC250C">
        <w:rPr>
          <w:rFonts w:eastAsia="Calibri"/>
          <w:lang w:eastAsia="en-US"/>
        </w:rPr>
        <w:t xml:space="preserve"> i </w:t>
      </w:r>
      <w:r w:rsidR="009B6830" w:rsidRPr="00EC250C">
        <w:rPr>
          <w:rFonts w:eastAsia="Calibri"/>
          <w:lang w:eastAsia="en-US"/>
        </w:rPr>
        <w:t xml:space="preserve">organizuje </w:t>
      </w:r>
      <w:r w:rsidR="00BD7286" w:rsidRPr="00EC250C">
        <w:rPr>
          <w:rFonts w:eastAsia="Calibri"/>
          <w:lang w:eastAsia="en-US"/>
        </w:rPr>
        <w:t>dyżury poza siedzibami urzędów konsularnych.</w:t>
      </w:r>
    </w:p>
    <w:p w14:paraId="1775083D" w14:textId="77777777" w:rsidR="00BD7286" w:rsidRPr="00EC250C" w:rsidRDefault="00BD7286" w:rsidP="00D131FA">
      <w:pPr>
        <w:pStyle w:val="Styl1"/>
      </w:pPr>
      <w:r w:rsidRPr="00EC250C">
        <w:t>Wprowadzona</w:t>
      </w:r>
      <w:r w:rsidR="00992FD0" w:rsidRPr="00EC250C">
        <w:t xml:space="preserve"> w </w:t>
      </w:r>
      <w:r w:rsidRPr="00EC250C">
        <w:t>2007</w:t>
      </w:r>
      <w:r w:rsidR="00C91F6E" w:rsidRPr="00EC250C">
        <w:t> r.</w:t>
      </w:r>
      <w:r w:rsidRPr="00EC250C">
        <w:t xml:space="preserve"> Karta Polaka miała pomóc rodakom zamieszkałym za wschodnią granicą</w:t>
      </w:r>
      <w:r w:rsidR="00992FD0" w:rsidRPr="00EC250C">
        <w:t xml:space="preserve"> w </w:t>
      </w:r>
      <w:r w:rsidRPr="00EC250C">
        <w:t>zachowani</w:t>
      </w:r>
      <w:r w:rsidR="00C3107A" w:rsidRPr="00EC250C">
        <w:t>u</w:t>
      </w:r>
      <w:r w:rsidRPr="00EC250C">
        <w:t xml:space="preserve"> związków</w:t>
      </w:r>
      <w:r w:rsidR="00992FD0" w:rsidRPr="00EC250C">
        <w:t xml:space="preserve"> z </w:t>
      </w:r>
      <w:r w:rsidRPr="00EC250C">
        <w:t>narodowym dziedzictwem kulturalnym oraz wesprzeć ich starania</w:t>
      </w:r>
      <w:r w:rsidR="00992FD0" w:rsidRPr="00EC250C">
        <w:t xml:space="preserve"> o </w:t>
      </w:r>
      <w:r w:rsidRPr="00EC250C">
        <w:t>zachowanie języka polskiego. Chodzi</w:t>
      </w:r>
      <w:r w:rsidR="00992FD0" w:rsidRPr="00EC250C">
        <w:t xml:space="preserve"> o </w:t>
      </w:r>
      <w:r w:rsidRPr="00EC250C">
        <w:t>osoby z: Armenii, Azerbejdżanu, Białorusi, Estonii, Gruzji, Kazachstanu, Kirgistanu, Litwy, Łotwy, Republiki Mołdowy, Federacji Rosyjskiej, Tadżykistanu, Turkmenistanu, Ukrainy</w:t>
      </w:r>
      <w:r w:rsidR="00992FD0" w:rsidRPr="00EC250C">
        <w:t xml:space="preserve"> i </w:t>
      </w:r>
      <w:r w:rsidRPr="00EC250C">
        <w:t>Uzbekistanu.</w:t>
      </w:r>
    </w:p>
    <w:p w14:paraId="7FC9CD6B" w14:textId="77777777" w:rsidR="00C91F6E" w:rsidRPr="00EC250C" w:rsidRDefault="00B0221B" w:rsidP="00EC79EB">
      <w:pPr>
        <w:pStyle w:val="Nagwek4"/>
      </w:pPr>
      <w:bookmarkStart w:id="94" w:name="_Toc6257659"/>
      <w:bookmarkStart w:id="95" w:name="_Toc11247566"/>
      <w:r w:rsidRPr="00EC250C">
        <w:t>Problemy Polaków mieszkających</w:t>
      </w:r>
      <w:r w:rsidR="00E62B3A" w:rsidRPr="00EC250C">
        <w:t xml:space="preserve"> za granicą</w:t>
      </w:r>
      <w:bookmarkEnd w:id="94"/>
      <w:bookmarkEnd w:id="95"/>
    </w:p>
    <w:p w14:paraId="7BDA8A16" w14:textId="77777777" w:rsidR="00E271F3" w:rsidRPr="00EC250C" w:rsidRDefault="000672C3" w:rsidP="00D131FA">
      <w:pPr>
        <w:pStyle w:val="Styl1"/>
      </w:pPr>
      <w:r w:rsidRPr="00EC250C">
        <w:t>W indywidu</w:t>
      </w:r>
      <w:r w:rsidR="004916E7" w:rsidRPr="00EC250C">
        <w:t>a</w:t>
      </w:r>
      <w:r w:rsidRPr="00EC250C">
        <w:t xml:space="preserve">lnych sprawach </w:t>
      </w:r>
      <w:r w:rsidR="00B04745" w:rsidRPr="00EC250C">
        <w:t>RPO</w:t>
      </w:r>
      <w:r w:rsidRPr="00EC250C">
        <w:t xml:space="preserve"> podejmował działania</w:t>
      </w:r>
      <w:r w:rsidR="00992FD0" w:rsidRPr="00EC250C">
        <w:t xml:space="preserve"> w </w:t>
      </w:r>
      <w:r w:rsidRPr="00EC250C">
        <w:t>celu zapewnienia opieki konsul</w:t>
      </w:r>
      <w:r w:rsidR="007012BB" w:rsidRPr="00EC250C">
        <w:t>a</w:t>
      </w:r>
      <w:r w:rsidRPr="00EC250C">
        <w:t>rnej Polakom przebywającym poza granicami.</w:t>
      </w:r>
    </w:p>
    <w:p w14:paraId="09F076E4" w14:textId="77777777" w:rsidR="00320D38" w:rsidRPr="00EC250C" w:rsidRDefault="007012BB" w:rsidP="00EC250C">
      <w:pPr>
        <w:pStyle w:val="Nagwek8"/>
      </w:pPr>
      <w:r w:rsidRPr="00EC250C">
        <w:t>Dyskryminacja obywatelki RP</w:t>
      </w:r>
      <w:r w:rsidR="00992FD0" w:rsidRPr="00EC250C">
        <w:t xml:space="preserve"> w </w:t>
      </w:r>
      <w:r w:rsidR="008E4E70" w:rsidRPr="00EC250C">
        <w:t>Holandii</w:t>
      </w:r>
    </w:p>
    <w:p w14:paraId="690DB6E8" w14:textId="77777777" w:rsidR="00E62B3A" w:rsidRPr="00EC250C" w:rsidRDefault="00B0221B" w:rsidP="00D131FA">
      <w:pPr>
        <w:pStyle w:val="Styl2"/>
        <w:rPr>
          <w:szCs w:val="24"/>
        </w:rPr>
      </w:pPr>
      <w:r w:rsidRPr="00EC250C">
        <w:rPr>
          <w:szCs w:val="24"/>
        </w:rPr>
        <w:t>Polka</w:t>
      </w:r>
      <w:r w:rsidR="008E4E70" w:rsidRPr="00EC250C">
        <w:rPr>
          <w:szCs w:val="24"/>
        </w:rPr>
        <w:t xml:space="preserve"> </w:t>
      </w:r>
      <w:r w:rsidR="007012BB" w:rsidRPr="00EC250C">
        <w:rPr>
          <w:szCs w:val="24"/>
        </w:rPr>
        <w:t>mieszkająca</w:t>
      </w:r>
      <w:r w:rsidR="00992FD0" w:rsidRPr="00EC250C">
        <w:rPr>
          <w:szCs w:val="24"/>
        </w:rPr>
        <w:t xml:space="preserve"> w </w:t>
      </w:r>
      <w:r w:rsidR="007012BB" w:rsidRPr="00EC250C">
        <w:rPr>
          <w:szCs w:val="24"/>
        </w:rPr>
        <w:t>Holandii została zwolniona</w:t>
      </w:r>
      <w:r w:rsidR="00992FD0" w:rsidRPr="00EC250C">
        <w:rPr>
          <w:szCs w:val="24"/>
        </w:rPr>
        <w:t xml:space="preserve"> z </w:t>
      </w:r>
      <w:r w:rsidR="00E62B3A" w:rsidRPr="00EC250C">
        <w:rPr>
          <w:szCs w:val="24"/>
        </w:rPr>
        <w:t>pracy</w:t>
      </w:r>
      <w:r w:rsidR="00992FD0" w:rsidRPr="00EC250C">
        <w:rPr>
          <w:szCs w:val="24"/>
        </w:rPr>
        <w:t xml:space="preserve"> z </w:t>
      </w:r>
      <w:r w:rsidR="007012BB" w:rsidRPr="00EC250C">
        <w:rPr>
          <w:szCs w:val="24"/>
        </w:rPr>
        <w:t xml:space="preserve">powodu </w:t>
      </w:r>
      <w:r w:rsidR="00E62B3A" w:rsidRPr="00EC250C">
        <w:rPr>
          <w:szCs w:val="24"/>
        </w:rPr>
        <w:t xml:space="preserve">używania </w:t>
      </w:r>
      <w:r w:rsidR="007012BB" w:rsidRPr="00EC250C">
        <w:rPr>
          <w:szCs w:val="24"/>
        </w:rPr>
        <w:t>język</w:t>
      </w:r>
      <w:r w:rsidR="00E62B3A" w:rsidRPr="00EC250C">
        <w:rPr>
          <w:szCs w:val="24"/>
        </w:rPr>
        <w:t>a</w:t>
      </w:r>
      <w:r w:rsidR="007012BB" w:rsidRPr="00EC250C">
        <w:rPr>
          <w:szCs w:val="24"/>
        </w:rPr>
        <w:t xml:space="preserve"> polski</w:t>
      </w:r>
      <w:r w:rsidR="00E62B3A" w:rsidRPr="00EC250C">
        <w:rPr>
          <w:szCs w:val="24"/>
        </w:rPr>
        <w:t>ego</w:t>
      </w:r>
      <w:r w:rsidR="007012BB" w:rsidRPr="00EC250C">
        <w:rPr>
          <w:szCs w:val="24"/>
        </w:rPr>
        <w:t xml:space="preserve">. </w:t>
      </w:r>
      <w:r w:rsidR="008E4E70" w:rsidRPr="00EC250C">
        <w:rPr>
          <w:szCs w:val="24"/>
        </w:rPr>
        <w:t xml:space="preserve">Jak się dowiedział </w:t>
      </w:r>
      <w:r w:rsidR="00E62B3A" w:rsidRPr="00EC250C">
        <w:rPr>
          <w:szCs w:val="24"/>
        </w:rPr>
        <w:t>RPO,</w:t>
      </w:r>
      <w:r w:rsidR="00992FD0" w:rsidRPr="00EC250C">
        <w:rPr>
          <w:szCs w:val="24"/>
        </w:rPr>
        <w:t xml:space="preserve"> z </w:t>
      </w:r>
      <w:r w:rsidR="00E62B3A" w:rsidRPr="00EC250C">
        <w:rPr>
          <w:szCs w:val="24"/>
        </w:rPr>
        <w:t xml:space="preserve">inicjatywy </w:t>
      </w:r>
      <w:r w:rsidR="008E4E70" w:rsidRPr="00EC250C">
        <w:rPr>
          <w:szCs w:val="24"/>
        </w:rPr>
        <w:t xml:space="preserve">polskiego konsula </w:t>
      </w:r>
      <w:r w:rsidR="00E62B3A" w:rsidRPr="00EC250C">
        <w:rPr>
          <w:szCs w:val="24"/>
        </w:rPr>
        <w:t xml:space="preserve">sprawą zajęło się </w:t>
      </w:r>
      <w:r w:rsidR="007012BB" w:rsidRPr="00EC250C">
        <w:rPr>
          <w:szCs w:val="24"/>
        </w:rPr>
        <w:t>holenderski</w:t>
      </w:r>
      <w:r w:rsidR="00E62B3A" w:rsidRPr="00EC250C">
        <w:rPr>
          <w:szCs w:val="24"/>
        </w:rPr>
        <w:t>e</w:t>
      </w:r>
      <w:r w:rsidR="007012BB" w:rsidRPr="00EC250C">
        <w:rPr>
          <w:szCs w:val="24"/>
        </w:rPr>
        <w:t xml:space="preserve"> Kolegium Praw Człowieka. </w:t>
      </w:r>
      <w:r w:rsidR="00E62B3A" w:rsidRPr="00EC250C">
        <w:rPr>
          <w:szCs w:val="24"/>
        </w:rPr>
        <w:t>U</w:t>
      </w:r>
      <w:r w:rsidR="007012BB" w:rsidRPr="00EC250C">
        <w:rPr>
          <w:szCs w:val="24"/>
        </w:rPr>
        <w:t>znało</w:t>
      </w:r>
      <w:r w:rsidR="00E62B3A" w:rsidRPr="00EC250C">
        <w:rPr>
          <w:szCs w:val="24"/>
        </w:rPr>
        <w:t xml:space="preserve"> jednak, że nie doszło do </w:t>
      </w:r>
      <w:r w:rsidR="007012BB" w:rsidRPr="00EC250C">
        <w:rPr>
          <w:szCs w:val="24"/>
        </w:rPr>
        <w:t xml:space="preserve">dyskryminacji </w:t>
      </w:r>
      <w:r w:rsidR="00E62B3A" w:rsidRPr="00EC250C">
        <w:rPr>
          <w:szCs w:val="24"/>
        </w:rPr>
        <w:t xml:space="preserve">Polki, bo </w:t>
      </w:r>
      <w:r w:rsidR="007012BB" w:rsidRPr="00EC250C">
        <w:rPr>
          <w:szCs w:val="24"/>
        </w:rPr>
        <w:t>„zastosowana wobec niej pośrednia forma dyskryminacji była uzasadniona czynnikami obiektywnymi, za jakie uznano dbałość</w:t>
      </w:r>
      <w:r w:rsidR="00992FD0" w:rsidRPr="00EC250C">
        <w:rPr>
          <w:szCs w:val="24"/>
        </w:rPr>
        <w:t xml:space="preserve"> o </w:t>
      </w:r>
      <w:r w:rsidR="007012BB" w:rsidRPr="00EC250C">
        <w:rPr>
          <w:szCs w:val="24"/>
        </w:rPr>
        <w:t>dobrą atmosferę</w:t>
      </w:r>
      <w:r w:rsidR="00992FD0" w:rsidRPr="00EC250C">
        <w:rPr>
          <w:szCs w:val="24"/>
        </w:rPr>
        <w:t xml:space="preserve"> w </w:t>
      </w:r>
      <w:r w:rsidR="007012BB" w:rsidRPr="00EC250C">
        <w:rPr>
          <w:szCs w:val="24"/>
        </w:rPr>
        <w:t>miejscu pracy</w:t>
      </w:r>
      <w:r w:rsidR="00992FD0" w:rsidRPr="00EC250C">
        <w:rPr>
          <w:szCs w:val="24"/>
        </w:rPr>
        <w:t xml:space="preserve"> i </w:t>
      </w:r>
      <w:r w:rsidR="007012BB" w:rsidRPr="00EC250C">
        <w:rPr>
          <w:szCs w:val="24"/>
        </w:rPr>
        <w:t>dobrą komunikację”.</w:t>
      </w:r>
    </w:p>
    <w:p w14:paraId="4E2ED752" w14:textId="77777777" w:rsidR="007012BB" w:rsidRPr="00EC250C" w:rsidRDefault="007012BB" w:rsidP="00D131FA">
      <w:pPr>
        <w:pStyle w:val="Styl2"/>
        <w:rPr>
          <w:szCs w:val="24"/>
        </w:rPr>
      </w:pPr>
      <w:r w:rsidRPr="00EC250C">
        <w:rPr>
          <w:szCs w:val="24"/>
        </w:rPr>
        <w:t xml:space="preserve">Sprawa ta budzi poważne wątpliwości </w:t>
      </w:r>
      <w:r w:rsidR="00073A8C" w:rsidRPr="00EC250C">
        <w:rPr>
          <w:szCs w:val="24"/>
        </w:rPr>
        <w:t>RPO</w:t>
      </w:r>
      <w:r w:rsidRPr="00EC250C">
        <w:rPr>
          <w:szCs w:val="24"/>
        </w:rPr>
        <w:t xml:space="preserve">. Poza </w:t>
      </w:r>
      <w:r w:rsidR="008E4E70" w:rsidRPr="00EC250C">
        <w:rPr>
          <w:szCs w:val="24"/>
        </w:rPr>
        <w:t xml:space="preserve">jego </w:t>
      </w:r>
      <w:r w:rsidRPr="00EC250C">
        <w:rPr>
          <w:szCs w:val="24"/>
        </w:rPr>
        <w:t>kompetencjami pozostaje jednak ocena działalności instytucji ochrony praw człowieka</w:t>
      </w:r>
      <w:r w:rsidR="00992FD0" w:rsidRPr="00EC250C">
        <w:rPr>
          <w:szCs w:val="24"/>
        </w:rPr>
        <w:t xml:space="preserve"> w </w:t>
      </w:r>
      <w:r w:rsidRPr="00EC250C">
        <w:rPr>
          <w:szCs w:val="24"/>
        </w:rPr>
        <w:t xml:space="preserve">innych </w:t>
      </w:r>
      <w:r w:rsidR="008E4E70" w:rsidRPr="00EC250C">
        <w:rPr>
          <w:szCs w:val="24"/>
        </w:rPr>
        <w:t>krajach</w:t>
      </w:r>
      <w:r w:rsidRPr="00EC250C">
        <w:rPr>
          <w:szCs w:val="24"/>
        </w:rPr>
        <w:t>.</w:t>
      </w:r>
    </w:p>
    <w:p w14:paraId="760733FC" w14:textId="77777777" w:rsidR="00BA2F5A" w:rsidRPr="00EC250C" w:rsidRDefault="00BA2F5A" w:rsidP="00D131FA">
      <w:pPr>
        <w:pStyle w:val="Styl2"/>
        <w:rPr>
          <w:szCs w:val="24"/>
        </w:rPr>
      </w:pPr>
      <w:r w:rsidRPr="00EC250C">
        <w:rPr>
          <w:szCs w:val="24"/>
        </w:rPr>
        <w:t xml:space="preserve">Przedstawiciel RPO wziął udział w </w:t>
      </w:r>
      <w:r w:rsidRPr="00EC250C">
        <w:rPr>
          <w:i/>
          <w:szCs w:val="24"/>
        </w:rPr>
        <w:t>Seminarium nt. problemów polskich pracowników tymczasowych w Królestwie Niderlandów</w:t>
      </w:r>
      <w:r w:rsidRPr="00EC250C">
        <w:rPr>
          <w:szCs w:val="24"/>
        </w:rPr>
        <w:t>, jakie odbyło się w dniu 3 lutego 2018 r. w Hadze. Seminarium zorganizował Wydział Konsularnego Ambasady RP w Holandii z udziałem m.in. Głównego Inspektora Pracy oraz MSWiA. Seminarium posłużyło omówieniu głównych bolączek i problemów naszych rodaków, z jakimi spotykają się na holenderskim</w:t>
      </w:r>
      <w:r w:rsidRPr="00EC250C">
        <w:rPr>
          <w:color w:val="1F497D"/>
          <w:szCs w:val="24"/>
        </w:rPr>
        <w:t xml:space="preserve"> </w:t>
      </w:r>
      <w:r w:rsidRPr="00EC250C">
        <w:rPr>
          <w:szCs w:val="24"/>
        </w:rPr>
        <w:t>rynku pracy. Jednocześnie wykazało, że chociaż Polacy generalnie narzekają na warunki pracy tymczasowej, to tylko sporadycznie korzystają z przysługującego im prawa do skargi i nie informują</w:t>
      </w:r>
      <w:r w:rsidRPr="00EC250C">
        <w:rPr>
          <w:color w:val="1F497D"/>
          <w:szCs w:val="24"/>
        </w:rPr>
        <w:t xml:space="preserve"> </w:t>
      </w:r>
      <w:r w:rsidRPr="00EC250C">
        <w:rPr>
          <w:szCs w:val="24"/>
        </w:rPr>
        <w:t xml:space="preserve">władz, o nieprawidłowościach. </w:t>
      </w:r>
      <w:r w:rsidR="00171E7E" w:rsidRPr="00EC250C">
        <w:rPr>
          <w:szCs w:val="24"/>
        </w:rPr>
        <w:t>Z dyskusji wynika</w:t>
      </w:r>
      <w:r w:rsidRPr="00EC250C">
        <w:rPr>
          <w:szCs w:val="24"/>
        </w:rPr>
        <w:t>, że czynnikiem krytycznym z punktu widzenia praw polskich pracowników tymczasowych jest charakter umów o pracę z agencjami w pierwszej fazie zatrudnienia (tzw. umowy śmieciowe).</w:t>
      </w:r>
    </w:p>
    <w:p w14:paraId="0D624A87" w14:textId="77777777" w:rsidR="002278D2" w:rsidRPr="00EC250C" w:rsidRDefault="002278D2" w:rsidP="00EC250C">
      <w:pPr>
        <w:pStyle w:val="Nagwek8"/>
      </w:pPr>
      <w:r w:rsidRPr="00EC250C">
        <w:lastRenderedPageBreak/>
        <w:t>Skarga na działania Jugendamt</w:t>
      </w:r>
    </w:p>
    <w:p w14:paraId="0ED1D9D0" w14:textId="77777777" w:rsidR="00C91F6E" w:rsidRPr="00EC250C" w:rsidRDefault="007012BB" w:rsidP="00D131FA">
      <w:pPr>
        <w:pStyle w:val="Styl2"/>
        <w:rPr>
          <w:szCs w:val="24"/>
        </w:rPr>
      </w:pPr>
      <w:r w:rsidRPr="00EC250C">
        <w:rPr>
          <w:szCs w:val="24"/>
        </w:rPr>
        <w:t xml:space="preserve">Rzecznik </w:t>
      </w:r>
      <w:r w:rsidR="00073A8C" w:rsidRPr="00EC250C">
        <w:rPr>
          <w:szCs w:val="24"/>
        </w:rPr>
        <w:t xml:space="preserve">Praw Obywatelskich </w:t>
      </w:r>
      <w:r w:rsidRPr="00EC250C">
        <w:rPr>
          <w:szCs w:val="24"/>
        </w:rPr>
        <w:t xml:space="preserve">prowadzi sprawę </w:t>
      </w:r>
      <w:r w:rsidR="00E62B3A" w:rsidRPr="00EC250C">
        <w:rPr>
          <w:szCs w:val="24"/>
        </w:rPr>
        <w:t>dziewczynki</w:t>
      </w:r>
      <w:r w:rsidRPr="00EC250C">
        <w:rPr>
          <w:szCs w:val="24"/>
        </w:rPr>
        <w:t>, przetrzymywanej, jak twierdzi jej matka, bezprawnie</w:t>
      </w:r>
      <w:r w:rsidR="00992FD0" w:rsidRPr="00EC250C">
        <w:rPr>
          <w:szCs w:val="24"/>
        </w:rPr>
        <w:t xml:space="preserve"> i w </w:t>
      </w:r>
      <w:r w:rsidRPr="00EC250C">
        <w:rPr>
          <w:szCs w:val="24"/>
        </w:rPr>
        <w:t xml:space="preserve">dramatycznych okolicznościach przez </w:t>
      </w:r>
      <w:r w:rsidR="00E62B3A" w:rsidRPr="00EC250C">
        <w:rPr>
          <w:szCs w:val="24"/>
        </w:rPr>
        <w:t xml:space="preserve">niemiecki </w:t>
      </w:r>
      <w:r w:rsidRPr="00EC250C">
        <w:rPr>
          <w:szCs w:val="24"/>
        </w:rPr>
        <w:t>Jugendamt.</w:t>
      </w:r>
    </w:p>
    <w:p w14:paraId="239DBFF4" w14:textId="77777777" w:rsidR="00C91F6E" w:rsidRPr="00EC250C" w:rsidRDefault="007012BB" w:rsidP="00D131FA">
      <w:pPr>
        <w:pStyle w:val="Styl2"/>
        <w:rPr>
          <w:szCs w:val="24"/>
        </w:rPr>
      </w:pPr>
      <w:r w:rsidRPr="00EC250C">
        <w:rPr>
          <w:szCs w:val="24"/>
        </w:rPr>
        <w:t>Ministerstw</w:t>
      </w:r>
      <w:r w:rsidR="00E62B3A" w:rsidRPr="00EC250C">
        <w:rPr>
          <w:szCs w:val="24"/>
        </w:rPr>
        <w:t>o</w:t>
      </w:r>
      <w:r w:rsidRPr="00EC250C">
        <w:rPr>
          <w:szCs w:val="24"/>
        </w:rPr>
        <w:t xml:space="preserve"> Sprawiedliwości poinformowało</w:t>
      </w:r>
      <w:r w:rsidR="00E62B3A" w:rsidRPr="00EC250C">
        <w:rPr>
          <w:szCs w:val="24"/>
        </w:rPr>
        <w:t xml:space="preserve"> Rzecznika</w:t>
      </w:r>
      <w:r w:rsidRPr="00EC250C">
        <w:rPr>
          <w:szCs w:val="24"/>
        </w:rPr>
        <w:t>, że służby konsularne udzielają matce</w:t>
      </w:r>
      <w:r w:rsidR="00992FD0" w:rsidRPr="00EC250C">
        <w:rPr>
          <w:szCs w:val="24"/>
        </w:rPr>
        <w:t xml:space="preserve"> i </w:t>
      </w:r>
      <w:r w:rsidRPr="00EC250C">
        <w:rPr>
          <w:szCs w:val="24"/>
        </w:rPr>
        <w:t>dziecku stosownej pomocy</w:t>
      </w:r>
      <w:r w:rsidR="00203802" w:rsidRPr="00EC250C">
        <w:rPr>
          <w:szCs w:val="24"/>
        </w:rPr>
        <w:t>,</w:t>
      </w:r>
      <w:r w:rsidR="00992FD0" w:rsidRPr="00EC250C">
        <w:rPr>
          <w:szCs w:val="24"/>
        </w:rPr>
        <w:t xml:space="preserve"> a </w:t>
      </w:r>
      <w:r w:rsidR="00907A50" w:rsidRPr="00EC250C">
        <w:rPr>
          <w:szCs w:val="24"/>
        </w:rPr>
        <w:t xml:space="preserve">Minister </w:t>
      </w:r>
      <w:r w:rsidRPr="00EC250C">
        <w:rPr>
          <w:szCs w:val="24"/>
        </w:rPr>
        <w:t>pozostaje</w:t>
      </w:r>
      <w:r w:rsidR="00992FD0" w:rsidRPr="00EC250C">
        <w:rPr>
          <w:szCs w:val="24"/>
        </w:rPr>
        <w:t xml:space="preserve"> w </w:t>
      </w:r>
      <w:r w:rsidRPr="00EC250C">
        <w:rPr>
          <w:szCs w:val="24"/>
        </w:rPr>
        <w:t>kontakcie z</w:t>
      </w:r>
      <w:r w:rsidR="00203802" w:rsidRPr="00EC250C">
        <w:rPr>
          <w:szCs w:val="24"/>
        </w:rPr>
        <w:t>e swoim niemieckim odpowiednikiem</w:t>
      </w:r>
      <w:r w:rsidRPr="00EC250C">
        <w:rPr>
          <w:szCs w:val="24"/>
        </w:rPr>
        <w:t>.</w:t>
      </w:r>
    </w:p>
    <w:p w14:paraId="75D9C0BD" w14:textId="77777777" w:rsidR="00203802" w:rsidRPr="00EC250C" w:rsidRDefault="00203802" w:rsidP="00D131FA">
      <w:pPr>
        <w:pStyle w:val="Styl2"/>
        <w:rPr>
          <w:szCs w:val="24"/>
        </w:rPr>
      </w:pPr>
      <w:r w:rsidRPr="00EC250C">
        <w:rPr>
          <w:szCs w:val="24"/>
        </w:rPr>
        <w:t xml:space="preserve">Matka dziecka </w:t>
      </w:r>
      <w:r w:rsidR="00745D67" w:rsidRPr="00EC250C">
        <w:rPr>
          <w:szCs w:val="24"/>
        </w:rPr>
        <w:t>nie była usatysfakcjonowana odpowiedzią Ministerstwa</w:t>
      </w:r>
      <w:r w:rsidRPr="00EC250C">
        <w:rPr>
          <w:szCs w:val="24"/>
        </w:rPr>
        <w:t xml:space="preserve">, więc </w:t>
      </w:r>
      <w:r w:rsidR="00073A8C" w:rsidRPr="00EC250C">
        <w:rPr>
          <w:szCs w:val="24"/>
        </w:rPr>
        <w:t>RPO</w:t>
      </w:r>
      <w:r w:rsidR="007012BB" w:rsidRPr="00EC250C">
        <w:rPr>
          <w:szCs w:val="24"/>
        </w:rPr>
        <w:t xml:space="preserve"> wystąpił do Prezydenta Landtagu Nadrenii Westfalii (w Niemczech nie istnieje instytucja będąca odpowiednikiem R</w:t>
      </w:r>
      <w:r w:rsidR="002E6D08" w:rsidRPr="00EC250C">
        <w:rPr>
          <w:szCs w:val="24"/>
        </w:rPr>
        <w:t>PO</w:t>
      </w:r>
      <w:r w:rsidR="007012BB" w:rsidRPr="00EC250C">
        <w:rPr>
          <w:szCs w:val="24"/>
        </w:rPr>
        <w:t>)</w:t>
      </w:r>
      <w:r w:rsidR="00992FD0" w:rsidRPr="00EC250C">
        <w:rPr>
          <w:szCs w:val="24"/>
        </w:rPr>
        <w:t xml:space="preserve"> o </w:t>
      </w:r>
      <w:r w:rsidR="007012BB" w:rsidRPr="00EC250C">
        <w:rPr>
          <w:szCs w:val="24"/>
        </w:rPr>
        <w:t>przekazanie pisma Rzecznika do Komisji Petycj</w:t>
      </w:r>
      <w:r w:rsidRPr="00EC250C">
        <w:rPr>
          <w:szCs w:val="24"/>
        </w:rPr>
        <w:t xml:space="preserve">i, która mogłaby doprowadzić do skutecznego </w:t>
      </w:r>
      <w:r w:rsidR="007012BB" w:rsidRPr="00EC250C">
        <w:rPr>
          <w:szCs w:val="24"/>
        </w:rPr>
        <w:t>udzielenia pomocy dziecku.</w:t>
      </w:r>
      <w:bookmarkStart w:id="96" w:name="_Hlk536516472"/>
      <w:r w:rsidRPr="00EC250C">
        <w:rPr>
          <w:szCs w:val="24"/>
        </w:rPr>
        <w:t xml:space="preserve"> Odpowiedź</w:t>
      </w:r>
      <w:r w:rsidR="00992FD0" w:rsidRPr="00EC250C">
        <w:rPr>
          <w:szCs w:val="24"/>
        </w:rPr>
        <w:t xml:space="preserve"> w </w:t>
      </w:r>
      <w:r w:rsidRPr="00EC250C">
        <w:rPr>
          <w:szCs w:val="24"/>
        </w:rPr>
        <w:t>2018</w:t>
      </w:r>
      <w:r w:rsidR="00C91F6E" w:rsidRPr="00EC250C">
        <w:rPr>
          <w:szCs w:val="24"/>
        </w:rPr>
        <w:t> r.</w:t>
      </w:r>
      <w:r w:rsidR="00CC4D88" w:rsidRPr="00EC250C">
        <w:rPr>
          <w:szCs w:val="24"/>
        </w:rPr>
        <w:t xml:space="preserve"> </w:t>
      </w:r>
      <w:r w:rsidRPr="00EC250C">
        <w:rPr>
          <w:szCs w:val="24"/>
        </w:rPr>
        <w:t>nie nadeszła.</w:t>
      </w:r>
    </w:p>
    <w:p w14:paraId="3DC40F57" w14:textId="77777777" w:rsidR="005A44D1" w:rsidRPr="00EC250C" w:rsidRDefault="005A44D1" w:rsidP="00EC250C">
      <w:pPr>
        <w:pStyle w:val="Nagwek8"/>
        <w:rPr>
          <w:spacing w:val="0"/>
        </w:rPr>
      </w:pPr>
      <w:r w:rsidRPr="00EC250C">
        <w:t>Polak</w:t>
      </w:r>
      <w:r w:rsidR="00992FD0" w:rsidRPr="00EC250C">
        <w:t xml:space="preserve"> w </w:t>
      </w:r>
      <w:r w:rsidRPr="00EC250C">
        <w:t>więzieniu</w:t>
      </w:r>
      <w:r w:rsidR="00992FD0" w:rsidRPr="00EC250C">
        <w:t xml:space="preserve"> w </w:t>
      </w:r>
      <w:r w:rsidRPr="00EC250C">
        <w:t>Zjednoczonych Emiratach Arabskich. Interwencja RPO</w:t>
      </w:r>
    </w:p>
    <w:p w14:paraId="258D600A" w14:textId="77777777" w:rsidR="005A44D1" w:rsidRPr="00EC250C" w:rsidRDefault="005A44D1" w:rsidP="00D131FA">
      <w:pPr>
        <w:pStyle w:val="Styl2"/>
        <w:rPr>
          <w:szCs w:val="24"/>
        </w:rPr>
      </w:pPr>
      <w:r w:rsidRPr="00EC250C">
        <w:rPr>
          <w:szCs w:val="24"/>
        </w:rPr>
        <w:t xml:space="preserve">Według doniesień polskich mediów pan Artur </w:t>
      </w:r>
      <w:r w:rsidR="00CB6FDD" w:rsidRPr="00EC250C">
        <w:rPr>
          <w:szCs w:val="24"/>
        </w:rPr>
        <w:t xml:space="preserve">Ligęska </w:t>
      </w:r>
      <w:r w:rsidRPr="00EC250C">
        <w:rPr>
          <w:szCs w:val="24"/>
        </w:rPr>
        <w:t>miał być zatrzymany pod zarzutem posiadania narkotyków. W więzieniu jest pozbawiony godziwych warunków pobytu: nie ma miejsca do spania, możliwości utrzymywania higieny osobistej, nie otrzymuje niezbędnych leków. Twierdzi, że działając pod groźbą, podpisywał dokumenty</w:t>
      </w:r>
      <w:r w:rsidR="00992FD0" w:rsidRPr="00EC250C">
        <w:rPr>
          <w:szCs w:val="24"/>
        </w:rPr>
        <w:t xml:space="preserve"> w </w:t>
      </w:r>
      <w:r w:rsidRPr="00EC250C">
        <w:rPr>
          <w:szCs w:val="24"/>
        </w:rPr>
        <w:t>języku arabskim, którego nie zna.</w:t>
      </w:r>
    </w:p>
    <w:p w14:paraId="3BAA1488" w14:textId="77777777" w:rsidR="005A44D1" w:rsidRPr="00EC250C" w:rsidRDefault="005A44D1" w:rsidP="00D131FA">
      <w:pPr>
        <w:pStyle w:val="Styl2"/>
        <w:rPr>
          <w:szCs w:val="24"/>
        </w:rPr>
      </w:pPr>
      <w:r w:rsidRPr="00EC250C">
        <w:rPr>
          <w:szCs w:val="24"/>
        </w:rPr>
        <w:t>Możliwość naruszenia wolności</w:t>
      </w:r>
      <w:r w:rsidR="00992FD0" w:rsidRPr="00EC250C">
        <w:rPr>
          <w:szCs w:val="24"/>
        </w:rPr>
        <w:t xml:space="preserve"> i </w:t>
      </w:r>
      <w:r w:rsidRPr="00EC250C">
        <w:rPr>
          <w:szCs w:val="24"/>
        </w:rPr>
        <w:t>praw polskiego obywatel rodzi obowiązek podjęcia działań przez Rzecznika. Dlatego skierował on pismo</w:t>
      </w:r>
      <w:r w:rsidR="00992FD0" w:rsidRPr="00EC250C">
        <w:rPr>
          <w:szCs w:val="24"/>
        </w:rPr>
        <w:t xml:space="preserve"> w </w:t>
      </w:r>
      <w:r w:rsidRPr="00EC250C">
        <w:rPr>
          <w:szCs w:val="24"/>
        </w:rPr>
        <w:t>tej sprawie do ministra sprawiedliwości ZEA Sultana Saeeda Al Badi.</w:t>
      </w:r>
    </w:p>
    <w:p w14:paraId="06E28864" w14:textId="77777777" w:rsidR="005A44D1" w:rsidRPr="00EC250C" w:rsidRDefault="007A22DC" w:rsidP="00D131FA">
      <w:pPr>
        <w:pStyle w:val="Styl2"/>
        <w:rPr>
          <w:szCs w:val="24"/>
        </w:rPr>
      </w:pPr>
      <w:r w:rsidRPr="00EC250C">
        <w:rPr>
          <w:szCs w:val="24"/>
        </w:rPr>
        <w:t>RPO</w:t>
      </w:r>
      <w:r w:rsidR="005A44D1" w:rsidRPr="00EC250C">
        <w:rPr>
          <w:szCs w:val="24"/>
        </w:rPr>
        <w:t xml:space="preserve"> napisał, że jest świadomy faktu, iż polski konsul podjął działania na rzecz obywatela polskiego oraz monitoruje postępowanie prowadzone przez emiracki wymiar sprawiedliwości pod kątem dopełnienia określonych prawem procedur.</w:t>
      </w:r>
    </w:p>
    <w:p w14:paraId="3B9715C8" w14:textId="77777777" w:rsidR="005A44D1" w:rsidRPr="00EC250C" w:rsidRDefault="005A44D1" w:rsidP="00D131FA">
      <w:pPr>
        <w:pStyle w:val="Styl2"/>
        <w:rPr>
          <w:szCs w:val="24"/>
        </w:rPr>
      </w:pPr>
      <w:r w:rsidRPr="00EC250C">
        <w:rPr>
          <w:szCs w:val="24"/>
        </w:rPr>
        <w:t>- Jednak</w:t>
      </w:r>
      <w:r w:rsidR="00992FD0" w:rsidRPr="00EC250C">
        <w:rPr>
          <w:szCs w:val="24"/>
        </w:rPr>
        <w:t xml:space="preserve"> w </w:t>
      </w:r>
      <w:r w:rsidRPr="00EC250C">
        <w:rPr>
          <w:szCs w:val="24"/>
        </w:rPr>
        <w:t>trosce</w:t>
      </w:r>
      <w:r w:rsidR="00992FD0" w:rsidRPr="00EC250C">
        <w:rPr>
          <w:szCs w:val="24"/>
        </w:rPr>
        <w:t xml:space="preserve"> o </w:t>
      </w:r>
      <w:r w:rsidRPr="00EC250C">
        <w:rPr>
          <w:szCs w:val="24"/>
        </w:rPr>
        <w:t>zabezpieczenie jego praw</w:t>
      </w:r>
      <w:r w:rsidR="00992FD0" w:rsidRPr="00EC250C">
        <w:rPr>
          <w:szCs w:val="24"/>
        </w:rPr>
        <w:t xml:space="preserve"> i </w:t>
      </w:r>
      <w:r w:rsidRPr="00EC250C">
        <w:rPr>
          <w:szCs w:val="24"/>
        </w:rPr>
        <w:t>ochronę przed niehumanitarnym traktowaniem, zwracam się do Waszej Ekscelencji</w:t>
      </w:r>
      <w:r w:rsidR="00992FD0" w:rsidRPr="00EC250C">
        <w:rPr>
          <w:szCs w:val="24"/>
        </w:rPr>
        <w:t xml:space="preserve"> z </w:t>
      </w:r>
      <w:r w:rsidRPr="00EC250C">
        <w:rPr>
          <w:szCs w:val="24"/>
        </w:rPr>
        <w:t>uprzejmą prośbą</w:t>
      </w:r>
      <w:r w:rsidR="00992FD0" w:rsidRPr="00EC250C">
        <w:rPr>
          <w:szCs w:val="24"/>
        </w:rPr>
        <w:t xml:space="preserve"> o </w:t>
      </w:r>
      <w:r w:rsidRPr="00EC250C">
        <w:rPr>
          <w:szCs w:val="24"/>
        </w:rPr>
        <w:t>podjęcie działań</w:t>
      </w:r>
      <w:r w:rsidR="00992FD0" w:rsidRPr="00EC250C">
        <w:rPr>
          <w:szCs w:val="24"/>
        </w:rPr>
        <w:t xml:space="preserve"> w </w:t>
      </w:r>
      <w:r w:rsidRPr="00EC250C">
        <w:rPr>
          <w:szCs w:val="24"/>
        </w:rPr>
        <w:t>celu zweryfikowania, czy prawa obywatela są respektowane</w:t>
      </w:r>
      <w:r w:rsidR="00992FD0" w:rsidRPr="00EC250C">
        <w:rPr>
          <w:szCs w:val="24"/>
        </w:rPr>
        <w:t xml:space="preserve"> i </w:t>
      </w:r>
      <w:r w:rsidRPr="00EC250C">
        <w:rPr>
          <w:szCs w:val="24"/>
        </w:rPr>
        <w:t>poinformowanie mnie</w:t>
      </w:r>
      <w:r w:rsidR="00992FD0" w:rsidRPr="00EC250C">
        <w:rPr>
          <w:szCs w:val="24"/>
        </w:rPr>
        <w:t xml:space="preserve"> o </w:t>
      </w:r>
      <w:r w:rsidRPr="00EC250C">
        <w:rPr>
          <w:szCs w:val="24"/>
        </w:rPr>
        <w:t>dokonanych ustaleniach</w:t>
      </w:r>
      <w:r w:rsidR="00026572" w:rsidRPr="00EC250C">
        <w:rPr>
          <w:szCs w:val="24"/>
        </w:rPr>
        <w:t xml:space="preserve"> – </w:t>
      </w:r>
      <w:r w:rsidRPr="00EC250C">
        <w:rPr>
          <w:szCs w:val="24"/>
        </w:rPr>
        <w:t>głosi pismo RPO</w:t>
      </w:r>
      <w:r w:rsidRPr="00EC250C">
        <w:rPr>
          <w:rStyle w:val="Odwoanieprzypisudolnego"/>
          <w:szCs w:val="24"/>
        </w:rPr>
        <w:footnoteReference w:id="94"/>
      </w:r>
      <w:r w:rsidRPr="00EC250C">
        <w:rPr>
          <w:szCs w:val="24"/>
        </w:rPr>
        <w:t>.</w:t>
      </w:r>
    </w:p>
    <w:p w14:paraId="2E2B6F00" w14:textId="25FD7DB7" w:rsidR="00FD4FB3" w:rsidRPr="00EC250C" w:rsidRDefault="00FD4FB3" w:rsidP="00D131FA">
      <w:pPr>
        <w:pStyle w:val="Styl2"/>
        <w:rPr>
          <w:szCs w:val="24"/>
        </w:rPr>
      </w:pPr>
      <w:r w:rsidRPr="00EC250C">
        <w:rPr>
          <w:szCs w:val="24"/>
        </w:rPr>
        <w:t>W maju 2019</w:t>
      </w:r>
      <w:r w:rsidR="00C91F6E" w:rsidRPr="00EC250C">
        <w:rPr>
          <w:szCs w:val="24"/>
        </w:rPr>
        <w:t> r.</w:t>
      </w:r>
      <w:r w:rsidRPr="00EC250C">
        <w:rPr>
          <w:szCs w:val="24"/>
        </w:rPr>
        <w:t xml:space="preserve"> Polak został zwolniony</w:t>
      </w:r>
      <w:r w:rsidR="00992FD0" w:rsidRPr="00EC250C">
        <w:rPr>
          <w:szCs w:val="24"/>
        </w:rPr>
        <w:t xml:space="preserve"> i </w:t>
      </w:r>
      <w:r w:rsidRPr="00EC250C">
        <w:rPr>
          <w:szCs w:val="24"/>
        </w:rPr>
        <w:t>wrócił do kraju.</w:t>
      </w:r>
      <w:r w:rsidR="00255450" w:rsidRPr="00EC250C">
        <w:rPr>
          <w:szCs w:val="24"/>
        </w:rPr>
        <w:t xml:space="preserve"> Podziękował Rzecznikowi Praw Obywatelskich za pomoc w sprawie.</w:t>
      </w:r>
    </w:p>
    <w:p w14:paraId="534E2891" w14:textId="77777777" w:rsidR="00203802" w:rsidRPr="00EC250C" w:rsidRDefault="00203802" w:rsidP="00D131FA">
      <w:pPr>
        <w:spacing w:after="200" w:line="24" w:lineRule="auto"/>
        <w:jc w:val="both"/>
        <w:rPr>
          <w:rFonts w:eastAsia="Calibri"/>
          <w:bCs/>
          <w:iCs/>
          <w:color w:val="C00000"/>
          <w:spacing w:val="0"/>
          <w:sz w:val="24"/>
          <w:szCs w:val="24"/>
          <w:lang w:eastAsia="zh-CN" w:bidi="hi-IN"/>
        </w:rPr>
      </w:pPr>
      <w:r w:rsidRPr="00EC250C">
        <w:rPr>
          <w:sz w:val="24"/>
        </w:rPr>
        <w:br w:type="page"/>
      </w:r>
    </w:p>
    <w:p w14:paraId="78772D25" w14:textId="77777777" w:rsidR="00C91F6E" w:rsidRPr="00EC250C" w:rsidRDefault="00F76D54" w:rsidP="00EC250C">
      <w:pPr>
        <w:pStyle w:val="Nagwek3"/>
      </w:pPr>
      <w:bookmarkStart w:id="97" w:name="_Toc6257660"/>
      <w:bookmarkStart w:id="98" w:name="_Toc11247567"/>
      <w:bookmarkEnd w:id="96"/>
      <w:r w:rsidRPr="00EC250C">
        <w:lastRenderedPageBreak/>
        <w:t>Art. 37</w:t>
      </w:r>
      <w:r w:rsidR="00203802" w:rsidRPr="00EC250C">
        <w:t xml:space="preserve"> Konstytucji</w:t>
      </w:r>
      <w:r w:rsidRPr="00EC250C">
        <w:t xml:space="preserve"> – Jurysdykcja państwa polskiego</w:t>
      </w:r>
      <w:bookmarkEnd w:id="97"/>
      <w:bookmarkEnd w:id="98"/>
    </w:p>
    <w:p w14:paraId="0F0BE8EB" w14:textId="77777777" w:rsidR="00F76D54" w:rsidRPr="00EC250C" w:rsidRDefault="00F76D54" w:rsidP="00D131FA">
      <w:pPr>
        <w:pStyle w:val="konstytucja"/>
        <w:jc w:val="both"/>
      </w:pPr>
      <w:r w:rsidRPr="00EC250C">
        <w:t>1. Kto znajduje się pod władzą Rzeczypospolitej Polskiej, korzysta</w:t>
      </w:r>
      <w:r w:rsidR="00992FD0" w:rsidRPr="00EC250C">
        <w:t xml:space="preserve"> z </w:t>
      </w:r>
      <w:r w:rsidRPr="00EC250C">
        <w:t>wolności</w:t>
      </w:r>
      <w:r w:rsidR="00992FD0" w:rsidRPr="00EC250C">
        <w:t xml:space="preserve"> i </w:t>
      </w:r>
      <w:r w:rsidRPr="00EC250C">
        <w:t>praw zapewnionych</w:t>
      </w:r>
      <w:r w:rsidR="00992FD0" w:rsidRPr="00EC250C">
        <w:t xml:space="preserve"> w </w:t>
      </w:r>
      <w:r w:rsidRPr="00EC250C">
        <w:t>Konstytucji.</w:t>
      </w:r>
    </w:p>
    <w:p w14:paraId="56F3383E" w14:textId="77777777" w:rsidR="00F76D54" w:rsidRPr="00EC250C" w:rsidRDefault="00F76D54" w:rsidP="00D131FA">
      <w:pPr>
        <w:pStyle w:val="konstytucja"/>
        <w:jc w:val="both"/>
      </w:pPr>
      <w:r w:rsidRPr="00EC250C">
        <w:t>2. Wyjątki od tej zasady, odnoszące się do cudzoziemców, określa ustawa.</w:t>
      </w:r>
    </w:p>
    <w:p w14:paraId="4BC17731" w14:textId="77777777" w:rsidR="00203802" w:rsidRPr="00EC250C" w:rsidRDefault="00203802" w:rsidP="00D131FA">
      <w:pPr>
        <w:pStyle w:val="ComwiKonstytucja"/>
      </w:pPr>
      <w:r w:rsidRPr="00EC250C">
        <w:t>Rozwój międzynarodowych regulacji praw człowieka</w:t>
      </w:r>
      <w:r w:rsidR="00992FD0" w:rsidRPr="00EC250C">
        <w:t xml:space="preserve"> w </w:t>
      </w:r>
      <w:r w:rsidRPr="00EC250C">
        <w:t>II połowie XX wieku doprowadził do uznania, że pewne prawa przysługują jednostkom niezależnie od ich przynależności państwowej.</w:t>
      </w:r>
    </w:p>
    <w:p w14:paraId="58067661" w14:textId="77777777" w:rsidR="00C91F6E" w:rsidRPr="00EC250C" w:rsidRDefault="00203802" w:rsidP="00D131FA">
      <w:pPr>
        <w:pStyle w:val="ComwiKonstytucja"/>
      </w:pPr>
      <w:r w:rsidRPr="00EC250C">
        <w:t>Różnicowanie sytuacji obywateli danego państwa</w:t>
      </w:r>
      <w:r w:rsidR="00992FD0" w:rsidRPr="00EC250C">
        <w:t xml:space="preserve"> i </w:t>
      </w:r>
      <w:r w:rsidRPr="00EC250C">
        <w:t>cudzoziemców może być dopuszczalne tylko</w:t>
      </w:r>
      <w:r w:rsidR="00992FD0" w:rsidRPr="00EC250C">
        <w:t xml:space="preserve"> w </w:t>
      </w:r>
      <w:r w:rsidRPr="00EC250C">
        <w:t>uzasadnionych przypadkach. Dlatego wszystkie prawa</w:t>
      </w:r>
      <w:r w:rsidR="00992FD0" w:rsidRPr="00EC250C">
        <w:t xml:space="preserve"> i </w:t>
      </w:r>
      <w:r w:rsidRPr="00EC250C">
        <w:t>wolności, których Konstytucja nie zastrzega dla obywateli, przysługują także cudzoziemcom.</w:t>
      </w:r>
    </w:p>
    <w:p w14:paraId="0AF85071" w14:textId="77777777" w:rsidR="00C91F6E" w:rsidRPr="00EC250C" w:rsidRDefault="00203802" w:rsidP="00D131FA">
      <w:pPr>
        <w:pStyle w:val="ComwiKonstytucja"/>
      </w:pPr>
      <w:r w:rsidRPr="00EC250C">
        <w:t>Pod władzą RP znajdują się przede wszystkim osoby, które przebywają na terytorium Polski (w rozumieniu regulacji prawa międzynarodowego) lub są poddane polskim regulacjom prawnym. Wyjątki od zasady uniwersalności mogą odnosić się jedynie do cudzoziemców</w:t>
      </w:r>
      <w:r w:rsidR="00992FD0" w:rsidRPr="00EC250C">
        <w:t xml:space="preserve"> i </w:t>
      </w:r>
      <w:r w:rsidRPr="00EC250C">
        <w:t>muszą zostać ustanowione</w:t>
      </w:r>
      <w:r w:rsidR="00992FD0" w:rsidRPr="00EC250C">
        <w:t xml:space="preserve"> w </w:t>
      </w:r>
      <w:r w:rsidRPr="00EC250C">
        <w:t>ustawie. Dopuszczalny zakres wyjątków należy ustalić</w:t>
      </w:r>
      <w:r w:rsidR="00992FD0" w:rsidRPr="00EC250C">
        <w:t xml:space="preserve"> w </w:t>
      </w:r>
      <w:r w:rsidRPr="00EC250C">
        <w:t>relacji</w:t>
      </w:r>
      <w:r w:rsidR="00992FD0" w:rsidRPr="00EC250C">
        <w:t xml:space="preserve"> z </w:t>
      </w:r>
      <w:r w:rsidRPr="00EC250C">
        <w:t>art. 31 ust. 3, art. 32 (zasada równości) oraz art. 30 Konstytucji (zasada godności).</w:t>
      </w:r>
    </w:p>
    <w:p w14:paraId="7332B36C" w14:textId="77777777" w:rsidR="00EE09AA" w:rsidRPr="00EC250C" w:rsidRDefault="00EE09AA" w:rsidP="00D131FA">
      <w:pPr>
        <w:pStyle w:val="ComwiKonstytucja"/>
      </w:pPr>
    </w:p>
    <w:p w14:paraId="7B1A3529" w14:textId="77777777" w:rsidR="00203802" w:rsidRPr="00EC250C" w:rsidRDefault="00203802" w:rsidP="00D131FA">
      <w:pPr>
        <w:spacing w:after="200" w:line="24" w:lineRule="auto"/>
        <w:jc w:val="both"/>
        <w:rPr>
          <w:spacing w:val="5"/>
          <w:sz w:val="24"/>
        </w:rPr>
      </w:pPr>
      <w:r w:rsidRPr="00EC250C">
        <w:rPr>
          <w:sz w:val="24"/>
        </w:rPr>
        <w:br w:type="page"/>
      </w:r>
    </w:p>
    <w:p w14:paraId="37765AB5" w14:textId="77777777" w:rsidR="00316021" w:rsidRPr="00EC250C" w:rsidRDefault="00316021" w:rsidP="00EC79EB">
      <w:pPr>
        <w:pStyle w:val="Nagwek4"/>
      </w:pPr>
      <w:bookmarkStart w:id="99" w:name="_Toc6257661"/>
      <w:bookmarkStart w:id="100" w:name="_Toc11247568"/>
      <w:r w:rsidRPr="00EC250C">
        <w:lastRenderedPageBreak/>
        <w:t xml:space="preserve">Brak możliwości </w:t>
      </w:r>
      <w:r w:rsidR="00B0221B" w:rsidRPr="00EC250C">
        <w:t>odwołania się od odmow</w:t>
      </w:r>
      <w:r w:rsidR="00A74DCF" w:rsidRPr="00EC250C">
        <w:t xml:space="preserve">y wydania </w:t>
      </w:r>
      <w:r w:rsidR="00F6389E" w:rsidRPr="00EC250C">
        <w:t>polskiej wizy</w:t>
      </w:r>
      <w:bookmarkEnd w:id="99"/>
      <w:bookmarkEnd w:id="100"/>
    </w:p>
    <w:p w14:paraId="5282B27C" w14:textId="77777777" w:rsidR="00B473F5" w:rsidRPr="00EC250C" w:rsidRDefault="00A40A0D" w:rsidP="00D131FA">
      <w:pPr>
        <w:pStyle w:val="Problemczowieka"/>
        <w:jc w:val="both"/>
      </w:pPr>
      <w:r w:rsidRPr="00EC250C">
        <w:t xml:space="preserve">Cudzoziemcy – obywatele państw trzecich </w:t>
      </w:r>
      <w:r w:rsidR="005D046E" w:rsidRPr="00EC250C">
        <w:t xml:space="preserve">wobec </w:t>
      </w:r>
      <w:r w:rsidRPr="00EC250C">
        <w:t>UE – starając się</w:t>
      </w:r>
      <w:r w:rsidR="00992FD0" w:rsidRPr="00EC250C">
        <w:t xml:space="preserve"> o </w:t>
      </w:r>
      <w:r w:rsidRPr="00EC250C">
        <w:t xml:space="preserve">polską wizę nie </w:t>
      </w:r>
      <w:r w:rsidR="00FF5E72" w:rsidRPr="00EC250C">
        <w:t>mogli</w:t>
      </w:r>
      <w:r w:rsidR="005D046E" w:rsidRPr="00EC250C">
        <w:t xml:space="preserve"> </w:t>
      </w:r>
      <w:r w:rsidRPr="00EC250C">
        <w:t>odwoła</w:t>
      </w:r>
      <w:r w:rsidR="005D046E" w:rsidRPr="00EC250C">
        <w:t>ć</w:t>
      </w:r>
      <w:r w:rsidRPr="00EC250C">
        <w:t xml:space="preserve"> się od decyzji </w:t>
      </w:r>
      <w:r w:rsidR="005D046E" w:rsidRPr="00EC250C">
        <w:t xml:space="preserve">odmownej </w:t>
      </w:r>
      <w:r w:rsidR="00203802" w:rsidRPr="00EC250C">
        <w:t>konsul</w:t>
      </w:r>
      <w:r w:rsidRPr="00EC250C">
        <w:t>a</w:t>
      </w:r>
      <w:r w:rsidR="00B473F5" w:rsidRPr="00EC250C">
        <w:t>.</w:t>
      </w:r>
    </w:p>
    <w:p w14:paraId="7B062BFD" w14:textId="77777777" w:rsidR="007E6633" w:rsidRPr="00EC250C" w:rsidRDefault="00073A8C" w:rsidP="00D131FA">
      <w:pPr>
        <w:pStyle w:val="Styl1"/>
      </w:pPr>
      <w:r w:rsidRPr="00EC250C">
        <w:t>RPO</w:t>
      </w:r>
      <w:r w:rsidR="00A40A0D" w:rsidRPr="00EC250C">
        <w:t xml:space="preserve"> </w:t>
      </w:r>
      <w:r w:rsidR="00DD03D4" w:rsidRPr="00EC250C">
        <w:t>zwrócił się do MSZ</w:t>
      </w:r>
      <w:r w:rsidR="00992FD0" w:rsidRPr="00EC250C">
        <w:t xml:space="preserve"> o </w:t>
      </w:r>
      <w:r w:rsidR="00DD03D4" w:rsidRPr="00EC250C">
        <w:t>zajęcie stanowiska</w:t>
      </w:r>
      <w:r w:rsidR="00992FD0" w:rsidRPr="00EC250C">
        <w:t xml:space="preserve"> w </w:t>
      </w:r>
      <w:r w:rsidR="00DD03D4" w:rsidRPr="00EC250C">
        <w:t>sprawie</w:t>
      </w:r>
      <w:r w:rsidR="006558D9" w:rsidRPr="00EC250C">
        <w:rPr>
          <w:rStyle w:val="Odwoanieprzypisudolnego"/>
        </w:rPr>
        <w:footnoteReference w:id="95"/>
      </w:r>
      <w:r w:rsidR="006558D9" w:rsidRPr="00EC250C">
        <w:t xml:space="preserve">, </w:t>
      </w:r>
      <w:r w:rsidR="00DD03D4" w:rsidRPr="00EC250C">
        <w:t xml:space="preserve">wskazując, </w:t>
      </w:r>
      <w:r w:rsidR="00A40A0D" w:rsidRPr="00EC250C">
        <w:t>że</w:t>
      </w:r>
      <w:r w:rsidR="00992FD0" w:rsidRPr="00EC250C">
        <w:t xml:space="preserve"> w </w:t>
      </w:r>
      <w:r w:rsidR="00A40A0D" w:rsidRPr="00EC250C">
        <w:t>sprawach odmowy wydania wizy konieczne jest zapewnienie prawa do sądu</w:t>
      </w:r>
      <w:r w:rsidR="005D046E" w:rsidRPr="00EC250C">
        <w:t xml:space="preserve">, by dało się </w:t>
      </w:r>
      <w:r w:rsidR="00A40A0D" w:rsidRPr="00EC250C">
        <w:t>skontrolowa</w:t>
      </w:r>
      <w:r w:rsidR="005D046E" w:rsidRPr="00EC250C">
        <w:t>ć</w:t>
      </w:r>
      <w:r w:rsidR="00A40A0D" w:rsidRPr="00EC250C">
        <w:t xml:space="preserve">, czy owa odmowa jest uzasadniona. </w:t>
      </w:r>
      <w:r w:rsidR="00DD03D4" w:rsidRPr="00EC250C">
        <w:t>RPO przypomniał także, że p</w:t>
      </w:r>
      <w:r w:rsidR="00316021" w:rsidRPr="00EC250C">
        <w:t>o rozpoznaniu pytania prejudycjalnego wniesionego przez Naczelny Sąd Administracyjny Trybunał Sprawiedliwości UE orzekł</w:t>
      </w:r>
      <w:r w:rsidR="007C221B" w:rsidRPr="00EC250C">
        <w:rPr>
          <w:rStyle w:val="Odwoanieprzypisudolnego"/>
        </w:rPr>
        <w:footnoteReference w:id="96"/>
      </w:r>
      <w:r w:rsidR="00316021" w:rsidRPr="00EC250C">
        <w:t xml:space="preserve">, że </w:t>
      </w:r>
      <w:r w:rsidR="00203802" w:rsidRPr="00EC250C">
        <w:t xml:space="preserve">państwa członkowskie </w:t>
      </w:r>
      <w:r w:rsidR="005D046E" w:rsidRPr="00EC250C">
        <w:t xml:space="preserve">UE </w:t>
      </w:r>
      <w:r w:rsidR="00203802" w:rsidRPr="00EC250C">
        <w:t xml:space="preserve">mają </w:t>
      </w:r>
      <w:r w:rsidR="00316021" w:rsidRPr="00EC250C">
        <w:t>obowiązek ustanowenia procedury odwoławczej</w:t>
      </w:r>
      <w:r w:rsidR="00992FD0" w:rsidRPr="00EC250C">
        <w:t xml:space="preserve"> w </w:t>
      </w:r>
      <w:r w:rsidR="008E4E70" w:rsidRPr="00EC250C">
        <w:t>takiej sytuacji</w:t>
      </w:r>
      <w:r w:rsidR="00316021" w:rsidRPr="00EC250C">
        <w:t>.</w:t>
      </w:r>
      <w:r w:rsidR="007C221B" w:rsidRPr="00EC250C">
        <w:t xml:space="preserve"> W efekcie NSA odmówił</w:t>
      </w:r>
      <w:r w:rsidR="007C221B" w:rsidRPr="00EC250C">
        <w:rPr>
          <w:rStyle w:val="Odwoanieprzypisudolnego"/>
        </w:rPr>
        <w:footnoteReference w:id="97"/>
      </w:r>
      <w:r w:rsidR="007C221B" w:rsidRPr="00EC250C">
        <w:t xml:space="preserve"> zastosowania przepisu wyłączającego</w:t>
      </w:r>
      <w:r w:rsidR="00992FD0" w:rsidRPr="00EC250C">
        <w:t xml:space="preserve"> w </w:t>
      </w:r>
      <w:r w:rsidR="007C221B" w:rsidRPr="00EC250C">
        <w:t>sprawach wizowych drogę sądową. Nastąpiła również zmiana procedury sądowoadministracyjnej</w:t>
      </w:r>
      <w:r w:rsidR="007C221B" w:rsidRPr="00EC250C">
        <w:rPr>
          <w:rStyle w:val="Odwoanieprzypisudolnego"/>
        </w:rPr>
        <w:footnoteReference w:id="98"/>
      </w:r>
      <w:r w:rsidR="007C221B" w:rsidRPr="00EC250C">
        <w:t xml:space="preserve"> polegająca na objęciu kontrolą sądów administracyjnych spraw wizowych prowadzonych na podstawie </w:t>
      </w:r>
      <w:r w:rsidR="00557FF8" w:rsidRPr="00EC250C">
        <w:t xml:space="preserve">unijnego </w:t>
      </w:r>
      <w:r w:rsidR="007C221B" w:rsidRPr="00EC250C">
        <w:t>kodeksu wizowego.</w:t>
      </w:r>
    </w:p>
    <w:p w14:paraId="36D28D29" w14:textId="77777777" w:rsidR="00E43A14" w:rsidRPr="00EC250C" w:rsidRDefault="00E43A14" w:rsidP="00D131FA">
      <w:pPr>
        <w:pStyle w:val="Srdtytul6"/>
        <w:jc w:val="both"/>
      </w:pPr>
      <w:r w:rsidRPr="00EC250C">
        <w:t>Sytuacja na przejściu</w:t>
      </w:r>
      <w:r w:rsidR="00992FD0" w:rsidRPr="00EC250C">
        <w:t xml:space="preserve"> w </w:t>
      </w:r>
      <w:r w:rsidRPr="00EC250C">
        <w:t>Terespolu</w:t>
      </w:r>
    </w:p>
    <w:p w14:paraId="467E284C" w14:textId="77777777" w:rsidR="001F2BD9" w:rsidRPr="00EC250C" w:rsidRDefault="00F24E44" w:rsidP="00D131FA">
      <w:pPr>
        <w:pStyle w:val="Styl1"/>
      </w:pPr>
      <w:r w:rsidRPr="00EC250C">
        <w:t>Co najmniej od 2016</w:t>
      </w:r>
      <w:r w:rsidR="00C91F6E" w:rsidRPr="00EC250C">
        <w:t> r.</w:t>
      </w:r>
      <w:r w:rsidRPr="00EC250C">
        <w:t xml:space="preserve"> do Biura RPO nieprzerwanie docierają informacje</w:t>
      </w:r>
      <w:r w:rsidR="00992FD0" w:rsidRPr="00EC250C">
        <w:t xml:space="preserve"> o </w:t>
      </w:r>
      <w:r w:rsidRPr="00EC250C">
        <w:t>przypadkach niewpuszczania cudzoziemców, którzy nie</w:t>
      </w:r>
      <w:r w:rsidR="00E43A14" w:rsidRPr="00EC250C">
        <w:t xml:space="preserve"> mają </w:t>
      </w:r>
      <w:r w:rsidRPr="00EC250C">
        <w:t>dokument</w:t>
      </w:r>
      <w:r w:rsidR="00E43A14" w:rsidRPr="00EC250C">
        <w:t>u</w:t>
      </w:r>
      <w:r w:rsidRPr="00EC250C">
        <w:t xml:space="preserve"> uprawniając</w:t>
      </w:r>
      <w:r w:rsidR="00E43A14" w:rsidRPr="00EC250C">
        <w:t>ego</w:t>
      </w:r>
      <w:r w:rsidRPr="00EC250C">
        <w:t xml:space="preserve"> do przekroczenia granicy, ale deklarują zamiar ubiegania się</w:t>
      </w:r>
      <w:r w:rsidR="00992FD0" w:rsidRPr="00EC250C">
        <w:t xml:space="preserve"> w </w:t>
      </w:r>
      <w:r w:rsidRPr="00EC250C">
        <w:t>Polsce</w:t>
      </w:r>
      <w:r w:rsidR="00992FD0" w:rsidRPr="00EC250C">
        <w:t xml:space="preserve"> o </w:t>
      </w:r>
      <w:r w:rsidRPr="00EC250C">
        <w:t>ochronę międzynarodową (status uchodźcy). Funkcjonariusze SG nie przyjmują tych deklaracji</w:t>
      </w:r>
      <w:r w:rsidR="00992FD0" w:rsidRPr="00EC250C">
        <w:t xml:space="preserve"> i </w:t>
      </w:r>
      <w:r w:rsidRPr="00EC250C">
        <w:t>nie dopuszczają do złożenia wniosku</w:t>
      </w:r>
      <w:r w:rsidR="00992FD0" w:rsidRPr="00EC250C">
        <w:t xml:space="preserve"> o </w:t>
      </w:r>
      <w:r w:rsidRPr="00EC250C">
        <w:t>ochronę</w:t>
      </w:r>
      <w:r w:rsidR="00E43A14" w:rsidRPr="00EC250C">
        <w:rPr>
          <w:rStyle w:val="Odwoanieprzypisudolnego"/>
        </w:rPr>
        <w:footnoteReference w:id="99"/>
      </w:r>
      <w:r w:rsidRPr="00EC250C">
        <w:t>.</w:t>
      </w:r>
    </w:p>
    <w:p w14:paraId="70DCD39B" w14:textId="77777777" w:rsidR="00F24E44" w:rsidRPr="00EC250C" w:rsidRDefault="001F2BD9" w:rsidP="00D131FA">
      <w:pPr>
        <w:pStyle w:val="ODESANIE"/>
        <w:jc w:val="both"/>
      </w:pPr>
      <w:r w:rsidRPr="00EC250C">
        <w:t>Szczegóły tej sprawy – art. 56 Konstytucji</w:t>
      </w:r>
    </w:p>
    <w:p w14:paraId="62AEE601" w14:textId="77777777" w:rsidR="00C91F6E" w:rsidRPr="00EC250C" w:rsidRDefault="00E92147" w:rsidP="00EC250C">
      <w:pPr>
        <w:pStyle w:val="Nagwek8"/>
      </w:pPr>
      <w:r w:rsidRPr="00EC250C">
        <w:t>Ekstradycja obywatela Ukrainy</w:t>
      </w:r>
    </w:p>
    <w:p w14:paraId="6ABAA893" w14:textId="77777777" w:rsidR="00C91F6E" w:rsidRPr="00EC250C" w:rsidRDefault="00203802" w:rsidP="00D131FA">
      <w:pPr>
        <w:pStyle w:val="Styl2"/>
        <w:numPr>
          <w:ilvl w:val="0"/>
          <w:numId w:val="0"/>
        </w:numPr>
        <w:rPr>
          <w:rStyle w:val="Pogrubienie"/>
          <w:b/>
          <w:bCs/>
          <w:szCs w:val="24"/>
        </w:rPr>
      </w:pPr>
      <w:r w:rsidRPr="00EC250C">
        <w:rPr>
          <w:rStyle w:val="Pogrubienie"/>
          <w:b/>
          <w:bCs/>
          <w:szCs w:val="24"/>
        </w:rPr>
        <w:t>Sąd Najwyższy po kasacji RPO uchylił prawomocną zgodę polskich sądów na ekstradycję</w:t>
      </w:r>
      <w:r w:rsidR="005D046E" w:rsidRPr="00EC250C">
        <w:rPr>
          <w:rStyle w:val="Pogrubienie"/>
          <w:b/>
          <w:bCs/>
          <w:szCs w:val="24"/>
        </w:rPr>
        <w:t xml:space="preserve"> </w:t>
      </w:r>
      <w:r w:rsidRPr="00EC250C">
        <w:rPr>
          <w:rStyle w:val="Pogrubienie"/>
          <w:b/>
          <w:bCs/>
          <w:szCs w:val="24"/>
        </w:rPr>
        <w:t>do Rosji</w:t>
      </w:r>
      <w:r w:rsidR="005D046E" w:rsidRPr="00EC250C">
        <w:rPr>
          <w:rStyle w:val="Pogrubienie"/>
          <w:b/>
          <w:bCs/>
          <w:szCs w:val="24"/>
        </w:rPr>
        <w:t xml:space="preserve"> </w:t>
      </w:r>
      <w:r w:rsidRPr="00EC250C">
        <w:rPr>
          <w:rStyle w:val="Pogrubienie"/>
          <w:b/>
          <w:bCs/>
          <w:szCs w:val="24"/>
        </w:rPr>
        <w:t>obywatela Ukrainy podejrzanego</w:t>
      </w:r>
      <w:r w:rsidR="00992FD0" w:rsidRPr="00EC250C">
        <w:rPr>
          <w:rStyle w:val="Pogrubienie"/>
          <w:b/>
          <w:bCs/>
          <w:szCs w:val="24"/>
        </w:rPr>
        <w:t xml:space="preserve"> o </w:t>
      </w:r>
      <w:r w:rsidRPr="00EC250C">
        <w:rPr>
          <w:rStyle w:val="Pogrubienie"/>
          <w:b/>
          <w:bCs/>
          <w:szCs w:val="24"/>
        </w:rPr>
        <w:t>przestępstwo kryminalne</w:t>
      </w:r>
      <w:r w:rsidR="005D046E" w:rsidRPr="00EC250C">
        <w:rPr>
          <w:rStyle w:val="Pogrubienie"/>
          <w:b/>
          <w:bCs/>
          <w:szCs w:val="24"/>
        </w:rPr>
        <w:t>.</w:t>
      </w:r>
    </w:p>
    <w:p w14:paraId="15E2050B" w14:textId="77777777" w:rsidR="00236E31" w:rsidRPr="00EC250C" w:rsidRDefault="00203802" w:rsidP="00D131FA">
      <w:pPr>
        <w:pStyle w:val="Styl2"/>
        <w:numPr>
          <w:ilvl w:val="0"/>
          <w:numId w:val="0"/>
        </w:numPr>
        <w:rPr>
          <w:rStyle w:val="Pogrubienie"/>
          <w:b/>
          <w:bCs/>
          <w:szCs w:val="24"/>
        </w:rPr>
      </w:pPr>
      <w:r w:rsidRPr="00EC250C">
        <w:rPr>
          <w:rStyle w:val="Pogrubienie"/>
          <w:b/>
          <w:bCs/>
          <w:szCs w:val="24"/>
        </w:rPr>
        <w:t>Yaroslav K. miał je popełnić</w:t>
      </w:r>
      <w:r w:rsidR="00992FD0" w:rsidRPr="00EC250C">
        <w:rPr>
          <w:rStyle w:val="Pogrubienie"/>
          <w:b/>
          <w:bCs/>
          <w:szCs w:val="24"/>
        </w:rPr>
        <w:t xml:space="preserve"> w </w:t>
      </w:r>
      <w:r w:rsidRPr="00EC250C">
        <w:rPr>
          <w:rStyle w:val="Pogrubienie"/>
          <w:b/>
          <w:bCs/>
          <w:szCs w:val="24"/>
        </w:rPr>
        <w:t>2005</w:t>
      </w:r>
      <w:r w:rsidR="00C91F6E" w:rsidRPr="00EC250C">
        <w:rPr>
          <w:rStyle w:val="Pogrubienie"/>
          <w:b/>
          <w:bCs/>
          <w:szCs w:val="24"/>
        </w:rPr>
        <w:t> r.</w:t>
      </w:r>
      <w:r w:rsidRPr="00EC250C">
        <w:rPr>
          <w:rStyle w:val="Pogrubienie"/>
          <w:b/>
          <w:bCs/>
          <w:szCs w:val="24"/>
        </w:rPr>
        <w:t>, ale Rosja zaczęła jego poszukiwania międzynarodowe dopiero</w:t>
      </w:r>
      <w:r w:rsidR="00992FD0" w:rsidRPr="00EC250C">
        <w:rPr>
          <w:rStyle w:val="Pogrubienie"/>
          <w:b/>
          <w:bCs/>
          <w:szCs w:val="24"/>
        </w:rPr>
        <w:t xml:space="preserve"> w </w:t>
      </w:r>
      <w:r w:rsidRPr="00EC250C">
        <w:rPr>
          <w:rStyle w:val="Pogrubienie"/>
          <w:b/>
          <w:bCs/>
          <w:szCs w:val="24"/>
        </w:rPr>
        <w:t>2017</w:t>
      </w:r>
      <w:r w:rsidR="00C91F6E" w:rsidRPr="00EC250C">
        <w:rPr>
          <w:rStyle w:val="Pogrubienie"/>
          <w:b/>
          <w:bCs/>
          <w:szCs w:val="24"/>
        </w:rPr>
        <w:t> r.</w:t>
      </w:r>
      <w:r w:rsidR="00CC4D88" w:rsidRPr="00EC250C">
        <w:rPr>
          <w:rStyle w:val="Pogrubienie"/>
          <w:b/>
          <w:bCs/>
          <w:szCs w:val="24"/>
        </w:rPr>
        <w:t xml:space="preserve"> </w:t>
      </w:r>
      <w:r w:rsidRPr="00EC250C">
        <w:rPr>
          <w:rStyle w:val="Pogrubienie"/>
          <w:b/>
          <w:bCs/>
          <w:szCs w:val="24"/>
        </w:rPr>
        <w:t>W 2015</w:t>
      </w:r>
      <w:r w:rsidR="00C91F6E" w:rsidRPr="00EC250C">
        <w:rPr>
          <w:rStyle w:val="Pogrubienie"/>
          <w:b/>
          <w:bCs/>
          <w:szCs w:val="24"/>
        </w:rPr>
        <w:t> r.</w:t>
      </w:r>
      <w:r w:rsidRPr="00EC250C">
        <w:rPr>
          <w:rStyle w:val="Pogrubienie"/>
          <w:b/>
          <w:bCs/>
          <w:szCs w:val="24"/>
        </w:rPr>
        <w:t xml:space="preserve"> brał on zaś </w:t>
      </w:r>
      <w:r w:rsidR="003331B3" w:rsidRPr="00EC250C">
        <w:rPr>
          <w:rStyle w:val="Pogrubienie"/>
          <w:b/>
          <w:bCs/>
          <w:szCs w:val="24"/>
        </w:rPr>
        <w:t>udział</w:t>
      </w:r>
      <w:r w:rsidR="00992FD0" w:rsidRPr="00EC250C">
        <w:rPr>
          <w:rStyle w:val="Pogrubienie"/>
          <w:b/>
          <w:bCs/>
          <w:szCs w:val="24"/>
        </w:rPr>
        <w:t xml:space="preserve"> w </w:t>
      </w:r>
      <w:r w:rsidRPr="00EC250C">
        <w:rPr>
          <w:rStyle w:val="Pogrubienie"/>
          <w:b/>
          <w:bCs/>
          <w:szCs w:val="24"/>
        </w:rPr>
        <w:t>budowie konstrukcji obronnych na wschodzie Ukrainy</w:t>
      </w:r>
      <w:r w:rsidR="00992FD0" w:rsidRPr="00EC250C">
        <w:rPr>
          <w:rStyle w:val="Pogrubienie"/>
          <w:b/>
          <w:bCs/>
          <w:szCs w:val="24"/>
        </w:rPr>
        <w:t xml:space="preserve"> w </w:t>
      </w:r>
      <w:r w:rsidRPr="00EC250C">
        <w:rPr>
          <w:rStyle w:val="Pogrubienie"/>
          <w:b/>
          <w:bCs/>
          <w:szCs w:val="24"/>
        </w:rPr>
        <w:t>rejonie działań wojennych</w:t>
      </w:r>
      <w:r w:rsidR="00236E31" w:rsidRPr="00EC250C">
        <w:rPr>
          <w:rStyle w:val="Pogrubienie"/>
          <w:b/>
          <w:bCs/>
          <w:szCs w:val="24"/>
        </w:rPr>
        <w:t>.</w:t>
      </w:r>
    </w:p>
    <w:p w14:paraId="1AE83138" w14:textId="77777777" w:rsidR="00203802" w:rsidRPr="00EC250C" w:rsidRDefault="00236E31" w:rsidP="00D131FA">
      <w:pPr>
        <w:pStyle w:val="Styl2"/>
        <w:numPr>
          <w:ilvl w:val="0"/>
          <w:numId w:val="0"/>
        </w:numPr>
        <w:rPr>
          <w:szCs w:val="24"/>
        </w:rPr>
      </w:pPr>
      <w:r w:rsidRPr="00EC250C">
        <w:rPr>
          <w:szCs w:val="24"/>
        </w:rPr>
        <w:t>W kasacji RPO argumentował m.in., że sądy nie wyjaśniły, czy skutkiem ekstradycji może być naruszenie wolności</w:t>
      </w:r>
      <w:r w:rsidR="00992FD0" w:rsidRPr="00EC250C">
        <w:rPr>
          <w:szCs w:val="24"/>
        </w:rPr>
        <w:t xml:space="preserve"> i </w:t>
      </w:r>
      <w:r w:rsidRPr="00EC250C">
        <w:rPr>
          <w:szCs w:val="24"/>
        </w:rPr>
        <w:t>praw ściganego. Przeszły też do porządku nad kwestią, czy</w:t>
      </w:r>
      <w:r w:rsidR="00992FD0" w:rsidRPr="00EC250C">
        <w:rPr>
          <w:szCs w:val="24"/>
        </w:rPr>
        <w:t xml:space="preserve"> w </w:t>
      </w:r>
      <w:r w:rsidRPr="00EC250C">
        <w:rPr>
          <w:szCs w:val="24"/>
        </w:rPr>
        <w:t>Rosji nie dojdzie do istotnego naruszenia praw</w:t>
      </w:r>
      <w:r w:rsidR="00992FD0" w:rsidRPr="00EC250C">
        <w:rPr>
          <w:szCs w:val="24"/>
        </w:rPr>
        <w:t xml:space="preserve"> i </w:t>
      </w:r>
      <w:r w:rsidRPr="00EC250C">
        <w:rPr>
          <w:szCs w:val="24"/>
        </w:rPr>
        <w:t>wolności ściganego, mając na uwadze jego udział</w:t>
      </w:r>
      <w:r w:rsidR="00992FD0" w:rsidRPr="00EC250C">
        <w:rPr>
          <w:szCs w:val="24"/>
        </w:rPr>
        <w:t xml:space="preserve"> w </w:t>
      </w:r>
      <w:r w:rsidRPr="00EC250C">
        <w:rPr>
          <w:szCs w:val="24"/>
        </w:rPr>
        <w:t>wojnie</w:t>
      </w:r>
      <w:r w:rsidR="00992FD0" w:rsidRPr="00EC250C">
        <w:rPr>
          <w:szCs w:val="24"/>
        </w:rPr>
        <w:t xml:space="preserve"> z </w:t>
      </w:r>
      <w:r w:rsidRPr="00EC250C">
        <w:rPr>
          <w:szCs w:val="24"/>
        </w:rPr>
        <w:t>Rosją</w:t>
      </w:r>
      <w:r w:rsidR="00203802" w:rsidRPr="00EC250C">
        <w:rPr>
          <w:szCs w:val="24"/>
          <w:vertAlign w:val="superscript"/>
        </w:rPr>
        <w:footnoteReference w:id="100"/>
      </w:r>
      <w:r w:rsidRPr="00EC250C">
        <w:rPr>
          <w:szCs w:val="24"/>
        </w:rPr>
        <w:t>.</w:t>
      </w:r>
    </w:p>
    <w:p w14:paraId="58B4E9FD" w14:textId="77777777" w:rsidR="00EE14A3" w:rsidRPr="00EC250C" w:rsidRDefault="00EE14A3" w:rsidP="00D131FA">
      <w:pPr>
        <w:pStyle w:val="Styl2"/>
        <w:numPr>
          <w:ilvl w:val="0"/>
          <w:numId w:val="0"/>
        </w:numPr>
        <w:rPr>
          <w:rFonts w:ascii="Open Sans Regular" w:hAnsi="Open Sans Regular"/>
          <w:szCs w:val="24"/>
        </w:rPr>
      </w:pPr>
      <w:r w:rsidRPr="00EC250C">
        <w:rPr>
          <w:szCs w:val="24"/>
        </w:rPr>
        <w:lastRenderedPageBreak/>
        <w:t>Sąd Najwyższy przyznał mu rację: „przeprowadzona</w:t>
      </w:r>
      <w:r w:rsidR="00992FD0" w:rsidRPr="00EC250C">
        <w:rPr>
          <w:szCs w:val="24"/>
        </w:rPr>
        <w:t xml:space="preserve"> w </w:t>
      </w:r>
      <w:r w:rsidRPr="00EC250C">
        <w:rPr>
          <w:szCs w:val="24"/>
        </w:rPr>
        <w:t xml:space="preserve">przedmiotowej sprawie kontrola odwoławcza nie spełniła standardów wyznaczanych przez treść przepisów art. 433 § 2 </w:t>
      </w:r>
      <w:r w:rsidR="00F842CC" w:rsidRPr="00EC250C">
        <w:rPr>
          <w:szCs w:val="24"/>
        </w:rPr>
        <w:t>K.p.k</w:t>
      </w:r>
      <w:r w:rsidRPr="00EC250C">
        <w:rPr>
          <w:szCs w:val="24"/>
        </w:rPr>
        <w:t>.</w:t>
      </w:r>
      <w:r w:rsidR="00992FD0" w:rsidRPr="00EC250C">
        <w:rPr>
          <w:szCs w:val="24"/>
        </w:rPr>
        <w:t xml:space="preserve"> i </w:t>
      </w:r>
      <w:r w:rsidRPr="00EC250C">
        <w:rPr>
          <w:szCs w:val="24"/>
        </w:rPr>
        <w:t xml:space="preserve">art. 94 § 1 pkt 5 </w:t>
      </w:r>
      <w:r w:rsidR="00F842CC" w:rsidRPr="00EC250C">
        <w:rPr>
          <w:szCs w:val="24"/>
        </w:rPr>
        <w:t>K.p.k</w:t>
      </w:r>
      <w:r w:rsidRPr="00EC250C">
        <w:rPr>
          <w:szCs w:val="24"/>
        </w:rPr>
        <w:t>. Uchybienia te były przy tym tak istotne, że nie tylko uzasadniają stanowczą konkluzję, iż</w:t>
      </w:r>
      <w:r w:rsidR="00992FD0" w:rsidRPr="00EC250C">
        <w:rPr>
          <w:szCs w:val="24"/>
        </w:rPr>
        <w:t xml:space="preserve"> w </w:t>
      </w:r>
      <w:r w:rsidRPr="00EC250C">
        <w:rPr>
          <w:szCs w:val="24"/>
        </w:rPr>
        <w:t>niniejszej  sprawie nie został osiągnięty stan sprawiedliwości proceduralnej, ale na obecnym etapie nie pozwalają również na uznanie, że wieńcząca niniejsze postępowanie decyzja procesowa została wydana na podstawie zgodnych</w:t>
      </w:r>
      <w:r w:rsidR="00992FD0" w:rsidRPr="00EC250C">
        <w:rPr>
          <w:szCs w:val="24"/>
        </w:rPr>
        <w:t xml:space="preserve"> z </w:t>
      </w:r>
      <w:r w:rsidRPr="00EC250C">
        <w:rPr>
          <w:szCs w:val="24"/>
        </w:rPr>
        <w:t>rzeczywistością ustaleń faktycznych, prawidłowo ocenionych przez pryzmat przepisów określających pozytywne</w:t>
      </w:r>
      <w:r w:rsidR="00992FD0" w:rsidRPr="00EC250C">
        <w:rPr>
          <w:szCs w:val="24"/>
        </w:rPr>
        <w:t xml:space="preserve"> i </w:t>
      </w:r>
      <w:r w:rsidRPr="00EC250C">
        <w:rPr>
          <w:szCs w:val="24"/>
        </w:rPr>
        <w:t>negatywne przesłanki ekstradycji”.</w:t>
      </w:r>
    </w:p>
    <w:p w14:paraId="2F81750A" w14:textId="77777777" w:rsidR="00105108" w:rsidRPr="00EC250C" w:rsidRDefault="00105108" w:rsidP="00D131FA">
      <w:pPr>
        <w:spacing w:after="200" w:line="24" w:lineRule="auto"/>
        <w:jc w:val="both"/>
        <w:rPr>
          <w:b/>
          <w:color w:val="002368"/>
          <w:spacing w:val="0"/>
          <w:sz w:val="32"/>
        </w:rPr>
      </w:pPr>
      <w:r w:rsidRPr="00EC250C">
        <w:rPr>
          <w:sz w:val="24"/>
        </w:rPr>
        <w:br w:type="page"/>
      </w:r>
    </w:p>
    <w:p w14:paraId="1473CA37" w14:textId="77777777" w:rsidR="00341B0A" w:rsidRPr="00EC250C" w:rsidRDefault="00F76D54" w:rsidP="00D131FA">
      <w:pPr>
        <w:pStyle w:val="Nagwek2"/>
        <w:jc w:val="both"/>
        <w:rPr>
          <w:b w:val="0"/>
          <w:color w:val="C00000"/>
          <w:sz w:val="52"/>
        </w:rPr>
      </w:pPr>
      <w:bookmarkStart w:id="101" w:name="_Toc6257662"/>
      <w:bookmarkStart w:id="102" w:name="_Toc11247569"/>
      <w:r w:rsidRPr="00EC250C">
        <w:lastRenderedPageBreak/>
        <w:t>2. W</w:t>
      </w:r>
      <w:r w:rsidR="00F4277F" w:rsidRPr="00EC250C">
        <w:t>olności</w:t>
      </w:r>
      <w:r w:rsidR="00992FD0" w:rsidRPr="00EC250C">
        <w:t xml:space="preserve"> i </w:t>
      </w:r>
      <w:r w:rsidR="00F4277F" w:rsidRPr="00EC250C">
        <w:t>prawa osobiste</w:t>
      </w:r>
      <w:bookmarkEnd w:id="101"/>
      <w:bookmarkEnd w:id="102"/>
    </w:p>
    <w:p w14:paraId="392161B1" w14:textId="77777777" w:rsidR="00C91F6E" w:rsidRPr="00EC250C" w:rsidRDefault="00F76D54" w:rsidP="00EC250C">
      <w:pPr>
        <w:pStyle w:val="Nagwek3"/>
      </w:pPr>
      <w:bookmarkStart w:id="103" w:name="_Toc6257663"/>
      <w:bookmarkStart w:id="104" w:name="_Toc11247570"/>
      <w:r w:rsidRPr="00EC250C">
        <w:t xml:space="preserve">Art. 38 </w:t>
      </w:r>
      <w:r w:rsidR="00341B0A" w:rsidRPr="00EC250C">
        <w:t xml:space="preserve">Konstytucji </w:t>
      </w:r>
      <w:r w:rsidRPr="00EC250C">
        <w:t>– Prawo do życia</w:t>
      </w:r>
      <w:bookmarkEnd w:id="103"/>
      <w:bookmarkEnd w:id="104"/>
    </w:p>
    <w:p w14:paraId="50ADA89A" w14:textId="77777777" w:rsidR="003875BA" w:rsidRPr="00EC250C" w:rsidRDefault="00F76D54" w:rsidP="00D131FA">
      <w:pPr>
        <w:pStyle w:val="konstytucja"/>
        <w:jc w:val="both"/>
      </w:pPr>
      <w:r w:rsidRPr="00EC250C">
        <w:t>Rzeczpospolita Polska zapewnia każdemu człowiekowi prawną ochronę życia.</w:t>
      </w:r>
    </w:p>
    <w:p w14:paraId="312A0BF7" w14:textId="77777777" w:rsidR="00C91F6E" w:rsidRPr="00EC250C" w:rsidRDefault="005317AC" w:rsidP="00D131FA">
      <w:pPr>
        <w:pStyle w:val="ComwiKonstytucja"/>
        <w:rPr>
          <w:rStyle w:val="ComwiKonstytucjaZnak"/>
          <w:i/>
        </w:rPr>
      </w:pPr>
      <w:r w:rsidRPr="00EC250C">
        <w:t>Prawo do ochrony życia jest jedną</w:t>
      </w:r>
      <w:r w:rsidR="00992FD0" w:rsidRPr="00EC250C">
        <w:t xml:space="preserve"> z </w:t>
      </w:r>
      <w:r w:rsidRPr="00EC250C">
        <w:t xml:space="preserve">najważniejszych gwarancji konstytucyjnych, </w:t>
      </w:r>
      <w:r w:rsidRPr="00EC250C">
        <w:rPr>
          <w:rStyle w:val="ComwiKonstytucjaZnak"/>
          <w:i/>
        </w:rPr>
        <w:t>które</w:t>
      </w:r>
      <w:r w:rsidR="00992FD0" w:rsidRPr="00EC250C">
        <w:rPr>
          <w:rStyle w:val="ComwiKonstytucjaZnak"/>
          <w:i/>
        </w:rPr>
        <w:t xml:space="preserve"> w </w:t>
      </w:r>
      <w:r w:rsidRPr="00EC250C">
        <w:rPr>
          <w:rStyle w:val="ComwiKonstytucjaZnak"/>
          <w:i/>
        </w:rPr>
        <w:t>sposób naturalny warunkuje istnienie wszystkich dalszych wolności</w:t>
      </w:r>
      <w:r w:rsidR="00992FD0" w:rsidRPr="00EC250C">
        <w:rPr>
          <w:rStyle w:val="ComwiKonstytucjaZnak"/>
          <w:i/>
        </w:rPr>
        <w:t xml:space="preserve"> i </w:t>
      </w:r>
      <w:r w:rsidRPr="00EC250C">
        <w:rPr>
          <w:rStyle w:val="ComwiKonstytucjaZnak"/>
          <w:i/>
        </w:rPr>
        <w:t>praw.</w:t>
      </w:r>
    </w:p>
    <w:p w14:paraId="3519CB69" w14:textId="77777777" w:rsidR="005317AC" w:rsidRPr="00EC250C" w:rsidRDefault="005317AC" w:rsidP="00D131FA">
      <w:pPr>
        <w:pStyle w:val="ComwiKonstytucja"/>
        <w:rPr>
          <w:rStyle w:val="ComwiKonstytucjaZnak"/>
          <w:i/>
        </w:rPr>
      </w:pPr>
      <w:r w:rsidRPr="00EC250C">
        <w:rPr>
          <w:rStyle w:val="ComwiKonstytucjaZnak"/>
          <w:i/>
        </w:rPr>
        <w:t>Ponieważ życie ludzkie jest wartością konstytucyjną, państwo</w:t>
      </w:r>
      <w:r w:rsidR="00992FD0" w:rsidRPr="00EC250C">
        <w:rPr>
          <w:rStyle w:val="ComwiKonstytucjaZnak"/>
          <w:i/>
        </w:rPr>
        <w:t xml:space="preserve"> w </w:t>
      </w:r>
      <w:r w:rsidRPr="00EC250C">
        <w:rPr>
          <w:rStyle w:val="ComwiKonstytucjaZnak"/>
          <w:i/>
        </w:rPr>
        <w:t>sposób bezpośredni powołane zostaje do jego ochrony. Ochrona życia wynika</w:t>
      </w:r>
      <w:r w:rsidR="00992FD0" w:rsidRPr="00EC250C">
        <w:rPr>
          <w:rStyle w:val="ComwiKonstytucjaZnak"/>
          <w:i/>
        </w:rPr>
        <w:t xml:space="preserve"> z </w:t>
      </w:r>
      <w:r w:rsidRPr="00EC250C">
        <w:rPr>
          <w:rStyle w:val="ComwiKonstytucjaZnak"/>
          <w:i/>
        </w:rPr>
        <w:t>samej zasady państwa demokratycznego. Dlatego przed 1997</w:t>
      </w:r>
      <w:r w:rsidR="00C91F6E" w:rsidRPr="00EC250C">
        <w:rPr>
          <w:rStyle w:val="ComwiKonstytucjaZnak"/>
          <w:i/>
        </w:rPr>
        <w:t> r.</w:t>
      </w:r>
      <w:r w:rsidRPr="00EC250C">
        <w:rPr>
          <w:rStyle w:val="ComwiKonstytucjaZnak"/>
          <w:i/>
        </w:rPr>
        <w:t>, gdy Konstytucja nie odnosiła się wprost do ochrony życia ludzkiego, Trybunał Konstytucyjny wywiódł zasadę jego ochrony</w:t>
      </w:r>
      <w:r w:rsidR="00992FD0" w:rsidRPr="00EC250C">
        <w:rPr>
          <w:rStyle w:val="ComwiKonstytucjaZnak"/>
          <w:i/>
        </w:rPr>
        <w:t xml:space="preserve"> z </w:t>
      </w:r>
      <w:r w:rsidRPr="00EC250C">
        <w:rPr>
          <w:rStyle w:val="ComwiKonstytucjaZnak"/>
          <w:i/>
        </w:rPr>
        <w:t>samej charakterystyki polskiej państwowości –</w:t>
      </w:r>
      <w:r w:rsidR="00992FD0" w:rsidRPr="00EC250C">
        <w:rPr>
          <w:rStyle w:val="ComwiKonstytucjaZnak"/>
          <w:i/>
        </w:rPr>
        <w:t xml:space="preserve"> z </w:t>
      </w:r>
      <w:r w:rsidRPr="00EC250C">
        <w:rPr>
          <w:rStyle w:val="ComwiKonstytucjaZnak"/>
          <w:i/>
        </w:rPr>
        <w:t>zasady demokratycznego państwa prawnego (por. orzeczenie K 26/96).</w:t>
      </w:r>
    </w:p>
    <w:p w14:paraId="399D5C54" w14:textId="77777777" w:rsidR="003875BA" w:rsidRPr="00EC250C" w:rsidRDefault="005317AC" w:rsidP="00D131FA">
      <w:pPr>
        <w:pStyle w:val="ComwiKonstytucja"/>
        <w:rPr>
          <w:rStyle w:val="ComwiKonstytucjaZnak"/>
          <w:i/>
        </w:rPr>
      </w:pPr>
      <w:r w:rsidRPr="00EC250C">
        <w:rPr>
          <w:rStyle w:val="ComwiKonstytucjaZnak"/>
          <w:i/>
        </w:rPr>
        <w:t>Konstytucja wymaga od państwa nie tylko powstrzymania się od wprowadzania regulacji dopuszczających pozbawianie życia ludzkiego, np.</w:t>
      </w:r>
      <w:r w:rsidR="00992FD0" w:rsidRPr="00EC250C">
        <w:rPr>
          <w:rStyle w:val="ComwiKonstytucjaZnak"/>
          <w:i/>
        </w:rPr>
        <w:t xml:space="preserve"> w </w:t>
      </w:r>
      <w:r w:rsidRPr="00EC250C">
        <w:rPr>
          <w:rStyle w:val="ComwiKonstytucjaZnak"/>
          <w:i/>
        </w:rPr>
        <w:t>ramach kary śmierci, ale również podejmowania określonych kroków</w:t>
      </w:r>
      <w:r w:rsidR="00992FD0" w:rsidRPr="00EC250C">
        <w:rPr>
          <w:rStyle w:val="ComwiKonstytucjaZnak"/>
          <w:i/>
        </w:rPr>
        <w:t xml:space="preserve"> w </w:t>
      </w:r>
      <w:r w:rsidRPr="00EC250C">
        <w:rPr>
          <w:rStyle w:val="ComwiKonstytucjaZnak"/>
          <w:i/>
        </w:rPr>
        <w:t>celu ochrony tego życia.</w:t>
      </w:r>
    </w:p>
    <w:p w14:paraId="64EBCC8B" w14:textId="77777777" w:rsidR="00EE09AA" w:rsidRPr="00EC250C" w:rsidRDefault="00EE09AA" w:rsidP="00D131FA">
      <w:pPr>
        <w:pStyle w:val="ComwiKonstytucja"/>
      </w:pPr>
    </w:p>
    <w:p w14:paraId="4512DC05" w14:textId="77777777" w:rsidR="003875BA" w:rsidRPr="00EC250C" w:rsidRDefault="003875BA" w:rsidP="00D131FA">
      <w:pPr>
        <w:spacing w:after="200" w:line="24" w:lineRule="auto"/>
        <w:jc w:val="both"/>
        <w:rPr>
          <w:rFonts w:cs="Arial"/>
          <w:i/>
          <w:color w:val="000000"/>
          <w:sz w:val="24"/>
          <w:szCs w:val="24"/>
        </w:rPr>
      </w:pPr>
      <w:r w:rsidRPr="00EC250C">
        <w:rPr>
          <w:rFonts w:cs="Arial"/>
          <w:i/>
          <w:color w:val="000000"/>
          <w:sz w:val="24"/>
          <w:szCs w:val="24"/>
        </w:rPr>
        <w:br w:type="page"/>
      </w:r>
    </w:p>
    <w:p w14:paraId="7F8F7864" w14:textId="77777777" w:rsidR="00C04004" w:rsidRPr="00EC250C" w:rsidRDefault="00C04004" w:rsidP="00EC79EB">
      <w:pPr>
        <w:pStyle w:val="Nagwek4"/>
      </w:pPr>
      <w:bookmarkStart w:id="105" w:name="_Toc11247571"/>
      <w:bookmarkStart w:id="106" w:name="_Toc6257665"/>
      <w:r w:rsidRPr="00EC250C">
        <w:lastRenderedPageBreak/>
        <w:t>Śmierć na komisariacie</w:t>
      </w:r>
      <w:bookmarkEnd w:id="105"/>
    </w:p>
    <w:p w14:paraId="3E0A8698" w14:textId="77777777" w:rsidR="00D00CA9" w:rsidRPr="00EC250C" w:rsidRDefault="00C04004" w:rsidP="00EC250C">
      <w:pPr>
        <w:pStyle w:val="Nagwek8"/>
      </w:pPr>
      <w:r w:rsidRPr="00EC250C">
        <w:t xml:space="preserve">Sprawa </w:t>
      </w:r>
      <w:r w:rsidR="00D00CA9" w:rsidRPr="00EC250C">
        <w:t>Igora Stachowiaka</w:t>
      </w:r>
    </w:p>
    <w:p w14:paraId="34DA4F35" w14:textId="77777777" w:rsidR="00D00CA9" w:rsidRPr="00EC250C" w:rsidRDefault="00A74DCF" w:rsidP="00D131FA">
      <w:pPr>
        <w:pStyle w:val="Styl2"/>
        <w:rPr>
          <w:szCs w:val="24"/>
        </w:rPr>
      </w:pPr>
      <w:r w:rsidRPr="00EC250C">
        <w:rPr>
          <w:szCs w:val="24"/>
        </w:rPr>
        <w:t xml:space="preserve">Od </w:t>
      </w:r>
      <w:r w:rsidR="00D00CA9" w:rsidRPr="00EC250C">
        <w:rPr>
          <w:szCs w:val="24"/>
        </w:rPr>
        <w:t xml:space="preserve">15 maja </w:t>
      </w:r>
      <w:r w:rsidR="00A32418" w:rsidRPr="00EC250C">
        <w:rPr>
          <w:szCs w:val="24"/>
        </w:rPr>
        <w:t>201</w:t>
      </w:r>
      <w:r w:rsidRPr="00EC250C">
        <w:rPr>
          <w:szCs w:val="24"/>
        </w:rPr>
        <w:t>6</w:t>
      </w:r>
      <w:r w:rsidR="00C91F6E" w:rsidRPr="00EC250C">
        <w:rPr>
          <w:szCs w:val="24"/>
        </w:rPr>
        <w:t> r.</w:t>
      </w:r>
      <w:r w:rsidRPr="00EC250C">
        <w:rPr>
          <w:szCs w:val="24"/>
        </w:rPr>
        <w:t xml:space="preserve">, kiedy </w:t>
      </w:r>
      <w:r w:rsidR="00D00CA9" w:rsidRPr="00EC250C">
        <w:rPr>
          <w:szCs w:val="24"/>
        </w:rPr>
        <w:t>Igor Stachowiak</w:t>
      </w:r>
      <w:r w:rsidRPr="00EC250C">
        <w:rPr>
          <w:szCs w:val="24"/>
        </w:rPr>
        <w:t xml:space="preserve"> zmarł na wrocławskim komisariacie, trwa wyjaśnianie tej tragedii. Rzecznik</w:t>
      </w:r>
      <w:r w:rsidR="00992FD0" w:rsidRPr="00EC250C">
        <w:rPr>
          <w:szCs w:val="24"/>
        </w:rPr>
        <w:t xml:space="preserve"> </w:t>
      </w:r>
      <w:r w:rsidR="00073A8C" w:rsidRPr="00EC250C">
        <w:rPr>
          <w:szCs w:val="24"/>
        </w:rPr>
        <w:t xml:space="preserve">Praw Obywatelskich </w:t>
      </w:r>
      <w:r w:rsidR="00992FD0" w:rsidRPr="00EC250C">
        <w:rPr>
          <w:szCs w:val="24"/>
        </w:rPr>
        <w:t>z </w:t>
      </w:r>
      <w:r w:rsidRPr="00EC250C">
        <w:rPr>
          <w:szCs w:val="24"/>
        </w:rPr>
        <w:t xml:space="preserve">ubolewaniem stwierdza, że </w:t>
      </w:r>
      <w:r w:rsidR="00DA2795" w:rsidRPr="00EC250C">
        <w:rPr>
          <w:szCs w:val="24"/>
        </w:rPr>
        <w:t xml:space="preserve">mimo upływu trzech lat </w:t>
      </w:r>
      <w:r w:rsidRPr="00EC250C">
        <w:rPr>
          <w:szCs w:val="24"/>
        </w:rPr>
        <w:t xml:space="preserve">nie dopracowaliśmy się </w:t>
      </w:r>
      <w:r w:rsidR="00D00CA9" w:rsidRPr="00EC250C">
        <w:rPr>
          <w:szCs w:val="24"/>
        </w:rPr>
        <w:t>spójn</w:t>
      </w:r>
      <w:r w:rsidRPr="00EC250C">
        <w:rPr>
          <w:szCs w:val="24"/>
        </w:rPr>
        <w:t>ego</w:t>
      </w:r>
      <w:r w:rsidR="00992FD0" w:rsidRPr="00EC250C">
        <w:rPr>
          <w:szCs w:val="24"/>
        </w:rPr>
        <w:t xml:space="preserve"> i </w:t>
      </w:r>
      <w:r w:rsidR="00D00CA9" w:rsidRPr="00EC250C">
        <w:rPr>
          <w:szCs w:val="24"/>
        </w:rPr>
        <w:t>funkcjonaln</w:t>
      </w:r>
      <w:r w:rsidRPr="00EC250C">
        <w:rPr>
          <w:szCs w:val="24"/>
        </w:rPr>
        <w:t>ego</w:t>
      </w:r>
      <w:r w:rsidR="00D00CA9" w:rsidRPr="00EC250C">
        <w:rPr>
          <w:szCs w:val="24"/>
        </w:rPr>
        <w:t xml:space="preserve"> system</w:t>
      </w:r>
      <w:r w:rsidR="00DA2795" w:rsidRPr="00EC250C">
        <w:rPr>
          <w:szCs w:val="24"/>
        </w:rPr>
        <w:t>u</w:t>
      </w:r>
      <w:r w:rsidR="00D00CA9" w:rsidRPr="00EC250C">
        <w:rPr>
          <w:szCs w:val="24"/>
        </w:rPr>
        <w:t xml:space="preserve"> skutecznej ochrony obywateli przed torturami. </w:t>
      </w:r>
      <w:r w:rsidR="00C04004" w:rsidRPr="00EC250C">
        <w:rPr>
          <w:szCs w:val="24"/>
        </w:rPr>
        <w:t>F</w:t>
      </w:r>
      <w:r w:rsidR="00D00CA9" w:rsidRPr="00EC250C">
        <w:rPr>
          <w:szCs w:val="24"/>
        </w:rPr>
        <w:t>undamentalne elementy gwarancyjne,</w:t>
      </w:r>
      <w:r w:rsidR="00992FD0" w:rsidRPr="00EC250C">
        <w:rPr>
          <w:szCs w:val="24"/>
        </w:rPr>
        <w:t xml:space="preserve"> o </w:t>
      </w:r>
      <w:r w:rsidR="00D00CA9" w:rsidRPr="00EC250C">
        <w:rPr>
          <w:szCs w:val="24"/>
        </w:rPr>
        <w:t xml:space="preserve">których wprowadzenie </w:t>
      </w:r>
      <w:r w:rsidR="00073A8C" w:rsidRPr="00EC250C">
        <w:rPr>
          <w:szCs w:val="24"/>
        </w:rPr>
        <w:t xml:space="preserve">RPO </w:t>
      </w:r>
      <w:r w:rsidR="00D00CA9" w:rsidRPr="00EC250C">
        <w:rPr>
          <w:szCs w:val="24"/>
        </w:rPr>
        <w:t>zabiega od lat, nadal nie zostały potraktowane</w:t>
      </w:r>
      <w:r w:rsidR="00992FD0" w:rsidRPr="00EC250C">
        <w:rPr>
          <w:szCs w:val="24"/>
        </w:rPr>
        <w:t xml:space="preserve"> z </w:t>
      </w:r>
      <w:r w:rsidR="00D00CA9" w:rsidRPr="00EC250C">
        <w:rPr>
          <w:szCs w:val="24"/>
        </w:rPr>
        <w:t>należytą atencją</w:t>
      </w:r>
      <w:r w:rsidR="00C04004" w:rsidRPr="00EC250C">
        <w:rPr>
          <w:rStyle w:val="Odwoanieprzypisudolnego"/>
          <w:szCs w:val="24"/>
        </w:rPr>
        <w:footnoteReference w:id="101"/>
      </w:r>
      <w:r w:rsidR="00D00CA9" w:rsidRPr="00EC250C">
        <w:rPr>
          <w:szCs w:val="24"/>
        </w:rPr>
        <w:t>.</w:t>
      </w:r>
    </w:p>
    <w:p w14:paraId="361D83DD" w14:textId="77777777" w:rsidR="00A74DCF" w:rsidRPr="00EC250C" w:rsidRDefault="00A74DCF" w:rsidP="00D131FA">
      <w:pPr>
        <w:pStyle w:val="Styl2"/>
        <w:rPr>
          <w:szCs w:val="24"/>
        </w:rPr>
      </w:pPr>
      <w:r w:rsidRPr="00EC250C">
        <w:rPr>
          <w:szCs w:val="24"/>
        </w:rPr>
        <w:t>Ani przypadek Stachowiaka, który nie doczekał się jeszcze orzeczenia sądu, ani kolejne wyroki, które zapadły wobec funkcjonariuszy stosujących tortury, nie spowodowały pogłębionej refleksji,</w:t>
      </w:r>
      <w:r w:rsidR="00992FD0" w:rsidRPr="00EC250C">
        <w:rPr>
          <w:szCs w:val="24"/>
        </w:rPr>
        <w:t xml:space="preserve"> o </w:t>
      </w:r>
      <w:r w:rsidRPr="00EC250C">
        <w:rPr>
          <w:szCs w:val="24"/>
        </w:rPr>
        <w:t>którą zabiega RPO.</w:t>
      </w:r>
    </w:p>
    <w:p w14:paraId="2558866F" w14:textId="77777777" w:rsidR="00C04004" w:rsidRPr="00EC250C" w:rsidRDefault="00C04004" w:rsidP="00D131FA">
      <w:pPr>
        <w:pStyle w:val="ODESANIE"/>
        <w:jc w:val="both"/>
      </w:pPr>
      <w:r w:rsidRPr="00EC250C">
        <w:t xml:space="preserve">Postulaty RPO dotyczące skutecznego zapobiegania torturom, opisane są </w:t>
      </w:r>
      <w:r w:rsidR="001874B8" w:rsidRPr="00EC250C">
        <w:t xml:space="preserve">w kontekście </w:t>
      </w:r>
      <w:r w:rsidRPr="00EC250C">
        <w:t>art. 40 Konstytucji</w:t>
      </w:r>
    </w:p>
    <w:p w14:paraId="502A1F4C" w14:textId="77777777" w:rsidR="00C91F6E" w:rsidRPr="00EC250C" w:rsidRDefault="005647F6" w:rsidP="00EC79EB">
      <w:pPr>
        <w:pStyle w:val="Nagwek4"/>
        <w:rPr>
          <w:rStyle w:val="field-content"/>
          <w:sz w:val="34"/>
          <w:szCs w:val="32"/>
          <w:bdr w:val="none" w:sz="0" w:space="0" w:color="auto"/>
        </w:rPr>
      </w:pPr>
      <w:bookmarkStart w:id="107" w:name="_Toc11247572"/>
      <w:r w:rsidRPr="00EC250C">
        <w:rPr>
          <w:rStyle w:val="field-content"/>
          <w:sz w:val="34"/>
          <w:szCs w:val="32"/>
          <w:bdr w:val="none" w:sz="0" w:space="0" w:color="auto"/>
        </w:rPr>
        <w:t xml:space="preserve">Nieprecyzyjne przepisy </w:t>
      </w:r>
      <w:r w:rsidR="00380C22" w:rsidRPr="00EC250C">
        <w:rPr>
          <w:rStyle w:val="field-content"/>
          <w:sz w:val="34"/>
          <w:szCs w:val="32"/>
          <w:bdr w:val="none" w:sz="0" w:space="0" w:color="auto"/>
        </w:rPr>
        <w:t>dotyczące broni gładkolufowej</w:t>
      </w:r>
      <w:r w:rsidR="00992FD0" w:rsidRPr="00EC250C">
        <w:rPr>
          <w:rStyle w:val="field-content"/>
          <w:sz w:val="34"/>
          <w:szCs w:val="32"/>
          <w:bdr w:val="none" w:sz="0" w:space="0" w:color="auto"/>
        </w:rPr>
        <w:t xml:space="preserve"> z </w:t>
      </w:r>
      <w:r w:rsidR="0000292D" w:rsidRPr="00EC250C">
        <w:rPr>
          <w:rStyle w:val="field-content"/>
          <w:sz w:val="34"/>
          <w:szCs w:val="32"/>
          <w:bdr w:val="none" w:sz="0" w:space="0" w:color="auto"/>
        </w:rPr>
        <w:t>gumowymi pociskami</w:t>
      </w:r>
      <w:bookmarkEnd w:id="106"/>
      <w:bookmarkEnd w:id="107"/>
    </w:p>
    <w:p w14:paraId="7AFF91AE" w14:textId="77777777" w:rsidR="00B473F5" w:rsidRPr="00EC250C" w:rsidRDefault="007113FE" w:rsidP="00D131FA">
      <w:pPr>
        <w:pStyle w:val="Problemczowieka"/>
        <w:jc w:val="both"/>
        <w:rPr>
          <w:rStyle w:val="Pogrubienie"/>
          <w:b/>
          <w:bCs w:val="0"/>
        </w:rPr>
      </w:pPr>
      <w:r w:rsidRPr="00EC250C">
        <w:rPr>
          <w:rStyle w:val="Pogrubienie"/>
          <w:b/>
          <w:bCs w:val="0"/>
        </w:rPr>
        <w:t>Policjanci nie zawsze wiedzą, że pociskami gumowymi nie wolno strzelać</w:t>
      </w:r>
      <w:r w:rsidR="00992FD0" w:rsidRPr="00EC250C">
        <w:rPr>
          <w:rStyle w:val="Pogrubienie"/>
          <w:b/>
          <w:bCs w:val="0"/>
        </w:rPr>
        <w:t xml:space="preserve"> z </w:t>
      </w:r>
      <w:r w:rsidRPr="00EC250C">
        <w:rPr>
          <w:rStyle w:val="Pogrubienie"/>
          <w:b/>
          <w:bCs w:val="0"/>
        </w:rPr>
        <w:t>odległości mniejszej niż 50 m; nie regulują też tego policyjne przepisy. Użycie tych pocisków</w:t>
      </w:r>
      <w:r w:rsidR="00992FD0" w:rsidRPr="00EC250C">
        <w:rPr>
          <w:rStyle w:val="Pogrubienie"/>
          <w:b/>
          <w:bCs w:val="0"/>
        </w:rPr>
        <w:t xml:space="preserve"> z </w:t>
      </w:r>
      <w:r w:rsidRPr="00EC250C">
        <w:rPr>
          <w:rStyle w:val="Pogrubienie"/>
          <w:b/>
          <w:bCs w:val="0"/>
        </w:rPr>
        <w:t>mniejszej odległości jest niebezpieczne dla zdrowia</w:t>
      </w:r>
      <w:r w:rsidR="00992FD0" w:rsidRPr="00EC250C">
        <w:rPr>
          <w:rStyle w:val="Pogrubienie"/>
          <w:b/>
          <w:bCs w:val="0"/>
        </w:rPr>
        <w:t xml:space="preserve"> i </w:t>
      </w:r>
      <w:r w:rsidRPr="00EC250C">
        <w:rPr>
          <w:rStyle w:val="Pogrubienie"/>
          <w:b/>
          <w:bCs w:val="0"/>
        </w:rPr>
        <w:t>życia ludzi</w:t>
      </w:r>
      <w:r w:rsidR="00B473F5" w:rsidRPr="00EC250C">
        <w:rPr>
          <w:rStyle w:val="Pogrubienie"/>
          <w:b/>
          <w:bCs w:val="0"/>
        </w:rPr>
        <w:t>.</w:t>
      </w:r>
    </w:p>
    <w:p w14:paraId="3984AFB4" w14:textId="77777777" w:rsidR="007113FE" w:rsidRPr="00EC250C" w:rsidRDefault="008157D8" w:rsidP="00D131FA">
      <w:pPr>
        <w:pStyle w:val="Styl1"/>
      </w:pPr>
      <w:r w:rsidRPr="00EC250C">
        <w:t xml:space="preserve">Taką wiedzę zdobywa się dzięki </w:t>
      </w:r>
      <w:r w:rsidR="00DA2795" w:rsidRPr="00EC250C">
        <w:t>szkole</w:t>
      </w:r>
      <w:r w:rsidRPr="00EC250C">
        <w:t>niom</w:t>
      </w:r>
      <w:r w:rsidR="00DA2795" w:rsidRPr="00EC250C">
        <w:t>, których – jak wynika</w:t>
      </w:r>
      <w:r w:rsidR="00992FD0" w:rsidRPr="00EC250C">
        <w:t xml:space="preserve"> z </w:t>
      </w:r>
      <w:r w:rsidR="00DA2795" w:rsidRPr="00EC250C">
        <w:t>analizy jednej ze spraw</w:t>
      </w:r>
      <w:r w:rsidR="00992FD0" w:rsidRPr="00EC250C">
        <w:t xml:space="preserve"> w </w:t>
      </w:r>
      <w:r w:rsidR="00DA2795" w:rsidRPr="00EC250C">
        <w:t>Biurze RPO – nie ma</w:t>
      </w:r>
      <w:r w:rsidR="00966EDA" w:rsidRPr="00EC250C">
        <w:t>. W</w:t>
      </w:r>
      <w:r w:rsidR="007113FE" w:rsidRPr="00EC250C">
        <w:t xml:space="preserve"> 2015</w:t>
      </w:r>
      <w:r w:rsidR="00C91F6E" w:rsidRPr="00EC250C">
        <w:t> r.</w:t>
      </w:r>
      <w:r w:rsidR="00992FD0" w:rsidRPr="00EC250C">
        <w:t xml:space="preserve"> w </w:t>
      </w:r>
      <w:r w:rsidR="007113FE" w:rsidRPr="00EC250C">
        <w:t xml:space="preserve">Warszawie </w:t>
      </w:r>
      <w:r w:rsidR="00DA2795" w:rsidRPr="00EC250C">
        <w:t xml:space="preserve">próbując zatrzymać </w:t>
      </w:r>
      <w:r w:rsidR="007113FE" w:rsidRPr="00EC250C">
        <w:t>członków grupy przestępczej kradnącej samochód funkcjonariusz wydziału do walki</w:t>
      </w:r>
      <w:r w:rsidR="00992FD0" w:rsidRPr="00EC250C">
        <w:t xml:space="preserve"> z </w:t>
      </w:r>
      <w:r w:rsidR="007113FE" w:rsidRPr="00EC250C">
        <w:t>przestępczością samochodową Komendy Stołecznej Policji strzelił</w:t>
      </w:r>
      <w:r w:rsidR="00992FD0" w:rsidRPr="00EC250C">
        <w:t xml:space="preserve"> w </w:t>
      </w:r>
      <w:r w:rsidR="007113FE" w:rsidRPr="00EC250C">
        <w:t>kierunku najbardziej agresywnego mężczyzny pociskiem gumowym „Chrabąszcz-50”.</w:t>
      </w:r>
      <w:r w:rsidR="008E4E70" w:rsidRPr="00EC250C">
        <w:t xml:space="preserve"> </w:t>
      </w:r>
      <w:r w:rsidR="007113FE" w:rsidRPr="00EC250C">
        <w:t>Mężczyzna odniósł poważne obrażenia (rozkawałkowanie śledziony, rozerwanie lewej kopuły przepony, złamanie żeber).</w:t>
      </w:r>
    </w:p>
    <w:p w14:paraId="32557105" w14:textId="77777777" w:rsidR="007113FE" w:rsidRPr="00EC250C" w:rsidRDefault="007113FE" w:rsidP="00D131FA">
      <w:pPr>
        <w:pStyle w:val="Styl1"/>
      </w:pPr>
      <w:r w:rsidRPr="00EC250C">
        <w:t>W 2016</w:t>
      </w:r>
      <w:r w:rsidR="00C91F6E" w:rsidRPr="00EC250C">
        <w:t> r.</w:t>
      </w:r>
      <w:r w:rsidRPr="00EC250C">
        <w:t xml:space="preserve"> prokuratura umorzyła śledztwo</w:t>
      </w:r>
      <w:r w:rsidR="00992FD0" w:rsidRPr="00EC250C">
        <w:t xml:space="preserve"> w </w:t>
      </w:r>
      <w:r w:rsidRPr="00EC250C">
        <w:t xml:space="preserve">sprawie </w:t>
      </w:r>
      <w:r w:rsidR="00DA2795" w:rsidRPr="00EC250C">
        <w:t xml:space="preserve">takiego </w:t>
      </w:r>
      <w:r w:rsidRPr="00EC250C">
        <w:t xml:space="preserve"> użycia broni, stwierdzając brak znamion przestępstwa</w:t>
      </w:r>
      <w:r w:rsidR="008E4E70" w:rsidRPr="00EC250C">
        <w:t xml:space="preserve"> (policjant nie naruszył żadnych regulacji). </w:t>
      </w:r>
      <w:r w:rsidRPr="00EC250C">
        <w:t xml:space="preserve">Prokurator zauważył </w:t>
      </w:r>
      <w:r w:rsidR="008E4E70" w:rsidRPr="00EC250C">
        <w:t>jednak</w:t>
      </w:r>
      <w:r w:rsidRPr="00EC250C">
        <w:t>, że</w:t>
      </w:r>
      <w:r w:rsidR="00992FD0" w:rsidRPr="00EC250C">
        <w:t xml:space="preserve"> z </w:t>
      </w:r>
      <w:r w:rsidRPr="00EC250C">
        <w:t xml:space="preserve">zeznań wszystkich policjantów wynika, iż nie </w:t>
      </w:r>
      <w:r w:rsidR="00DA2795" w:rsidRPr="00EC250C">
        <w:t>wiedzieli</w:t>
      </w:r>
      <w:r w:rsidRPr="00EC250C">
        <w:t>, jak poważne skutki może powodować użycie pocisków „niepenetracyjnych</w:t>
      </w:r>
      <w:r w:rsidR="00966EDA" w:rsidRPr="00EC250C">
        <w:t>”</w:t>
      </w:r>
      <w:r w:rsidRPr="00EC250C">
        <w:t xml:space="preserve">. </w:t>
      </w:r>
      <w:r w:rsidR="008E4E70" w:rsidRPr="00EC250C">
        <w:t>Tymczasem</w:t>
      </w:r>
      <w:r w:rsidR="00992FD0" w:rsidRPr="00EC250C">
        <w:t xml:space="preserve"> w </w:t>
      </w:r>
      <w:r w:rsidRPr="00EC250C">
        <w:t>dostępnych opisach amunicji „Chrabąszcz-50” (np. na stronie internetowej producenta czy</w:t>
      </w:r>
      <w:r w:rsidR="00992FD0" w:rsidRPr="00EC250C">
        <w:t xml:space="preserve"> w </w:t>
      </w:r>
      <w:r w:rsidRPr="00EC250C">
        <w:t>materiałach dydaktycznych szkoły policji</w:t>
      </w:r>
      <w:r w:rsidR="00992FD0" w:rsidRPr="00EC250C">
        <w:t xml:space="preserve"> w </w:t>
      </w:r>
      <w:r w:rsidRPr="00EC250C">
        <w:t xml:space="preserve">Katowicach) „zalecany </w:t>
      </w:r>
      <w:r w:rsidR="00CB1651" w:rsidRPr="00EC250C">
        <w:t>[</w:t>
      </w:r>
      <w:r w:rsidR="008E4E70" w:rsidRPr="00EC250C">
        <w:t>jest</w:t>
      </w:r>
      <w:r w:rsidR="00CB1651" w:rsidRPr="00EC250C">
        <w:t>]</w:t>
      </w:r>
      <w:r w:rsidR="008E4E70" w:rsidRPr="00EC250C">
        <w:t xml:space="preserve"> </w:t>
      </w:r>
      <w:r w:rsidRPr="00EC250C">
        <w:t>minimalny dystans strzału” wynoszący 50 m</w:t>
      </w:r>
      <w:r w:rsidRPr="00EC250C">
        <w:rPr>
          <w:rStyle w:val="Odwoanieprzypisudolnego"/>
        </w:rPr>
        <w:footnoteReference w:id="102"/>
      </w:r>
      <w:r w:rsidRPr="00EC250C">
        <w:t>.</w:t>
      </w:r>
      <w:r w:rsidR="00DA2795" w:rsidRPr="00EC250C">
        <w:t xml:space="preserve"> Dlatego </w:t>
      </w:r>
      <w:r w:rsidR="00073A8C" w:rsidRPr="00EC250C">
        <w:t>RPO</w:t>
      </w:r>
      <w:r w:rsidR="004D6201" w:rsidRPr="00EC250C">
        <w:t xml:space="preserve"> zwrócił się do Komendanta Głównego Policji</w:t>
      </w:r>
      <w:r w:rsidR="00992FD0" w:rsidRPr="00EC250C">
        <w:t xml:space="preserve"> o </w:t>
      </w:r>
      <w:r w:rsidR="004D6201" w:rsidRPr="00EC250C">
        <w:t>zbadanie problemu.</w:t>
      </w:r>
      <w:r w:rsidR="0065399F" w:rsidRPr="00EC250C">
        <w:t xml:space="preserve"> Komendant odpowiedział, że</w:t>
      </w:r>
      <w:r w:rsidR="00992FD0" w:rsidRPr="00EC250C">
        <w:t xml:space="preserve"> w </w:t>
      </w:r>
      <w:r w:rsidR="0065399F" w:rsidRPr="00EC250C">
        <w:t>jego ocenie policjanci są właściwie szkoleni</w:t>
      </w:r>
      <w:r w:rsidR="00992FD0" w:rsidRPr="00EC250C">
        <w:t xml:space="preserve"> i </w:t>
      </w:r>
      <w:r w:rsidR="0065399F" w:rsidRPr="00EC250C">
        <w:t>mają odpowiednią wiedzę.</w:t>
      </w:r>
    </w:p>
    <w:p w14:paraId="12DDA47C" w14:textId="77777777" w:rsidR="00CC5535" w:rsidRPr="00EC250C" w:rsidRDefault="004D6201" w:rsidP="00EC79EB">
      <w:pPr>
        <w:pStyle w:val="Nagwek4"/>
        <w:rPr>
          <w:sz w:val="38"/>
        </w:rPr>
      </w:pPr>
      <w:bookmarkStart w:id="108" w:name="_Toc6257666"/>
      <w:bookmarkStart w:id="109" w:name="_Toc11247573"/>
      <w:r w:rsidRPr="00EC250C">
        <w:rPr>
          <w:rStyle w:val="field-content"/>
          <w:sz w:val="34"/>
          <w:szCs w:val="32"/>
          <w:bdr w:val="none" w:sz="0" w:space="0" w:color="auto"/>
        </w:rPr>
        <w:lastRenderedPageBreak/>
        <w:t xml:space="preserve">Niebezpieczeństwo na </w:t>
      </w:r>
      <w:r w:rsidR="0074144A" w:rsidRPr="00EC250C">
        <w:rPr>
          <w:rStyle w:val="field-content"/>
          <w:sz w:val="34"/>
          <w:szCs w:val="32"/>
          <w:bdr w:val="none" w:sz="0" w:space="0" w:color="auto"/>
        </w:rPr>
        <w:t xml:space="preserve">polskich </w:t>
      </w:r>
      <w:r w:rsidRPr="00EC250C">
        <w:rPr>
          <w:rStyle w:val="field-content"/>
          <w:sz w:val="34"/>
          <w:szCs w:val="32"/>
          <w:bdr w:val="none" w:sz="0" w:space="0" w:color="auto"/>
        </w:rPr>
        <w:t>drogach</w:t>
      </w:r>
      <w:bookmarkEnd w:id="108"/>
      <w:bookmarkEnd w:id="109"/>
    </w:p>
    <w:p w14:paraId="5BFBF074" w14:textId="77777777" w:rsidR="00B473F5" w:rsidRPr="00EC250C" w:rsidRDefault="00CC5535" w:rsidP="00D131FA">
      <w:pPr>
        <w:pStyle w:val="Problemczowieka"/>
        <w:jc w:val="both"/>
        <w:rPr>
          <w:rStyle w:val="Pogrubienie"/>
          <w:b/>
          <w:bCs w:val="0"/>
        </w:rPr>
      </w:pPr>
      <w:r w:rsidRPr="00EC250C">
        <w:rPr>
          <w:rStyle w:val="Pogrubienie"/>
          <w:b/>
          <w:bCs w:val="0"/>
        </w:rPr>
        <w:t>Polska jest ci</w:t>
      </w:r>
      <w:r w:rsidR="002E175F" w:rsidRPr="00EC250C">
        <w:rPr>
          <w:rStyle w:val="Pogrubienie"/>
          <w:b/>
          <w:bCs w:val="0"/>
        </w:rPr>
        <w:t>ą</w:t>
      </w:r>
      <w:r w:rsidRPr="00EC250C">
        <w:rPr>
          <w:rStyle w:val="Pogrubienie"/>
          <w:b/>
          <w:bCs w:val="0"/>
        </w:rPr>
        <w:t xml:space="preserve">gle </w:t>
      </w:r>
      <w:r w:rsidR="004D6201" w:rsidRPr="00EC250C">
        <w:rPr>
          <w:rStyle w:val="Pogrubienie"/>
          <w:b/>
          <w:bCs w:val="0"/>
        </w:rPr>
        <w:t>na czele</w:t>
      </w:r>
      <w:r w:rsidRPr="00EC250C">
        <w:rPr>
          <w:rStyle w:val="Pogrubienie"/>
          <w:b/>
          <w:bCs w:val="0"/>
        </w:rPr>
        <w:t xml:space="preserve"> Europy pod względem liczby ofiar śmiertelnych na milion mieszkańców. Fotoradary nie są skuteczne – sprawy za szybką jazdę kończą się tylko karą za odmowę wskazania, kto prowadził samochód. Za dużo jest wypadków</w:t>
      </w:r>
      <w:r w:rsidR="00992FD0" w:rsidRPr="00EC250C">
        <w:rPr>
          <w:rStyle w:val="Pogrubienie"/>
          <w:b/>
          <w:bCs w:val="0"/>
        </w:rPr>
        <w:t xml:space="preserve"> z </w:t>
      </w:r>
      <w:r w:rsidRPr="00EC250C">
        <w:rPr>
          <w:rStyle w:val="Pogrubienie"/>
          <w:b/>
          <w:bCs w:val="0"/>
        </w:rPr>
        <w:t>udziałem pieszych</w:t>
      </w:r>
      <w:r w:rsidR="00B473F5" w:rsidRPr="00EC250C">
        <w:rPr>
          <w:rStyle w:val="Pogrubienie"/>
          <w:b/>
          <w:bCs w:val="0"/>
        </w:rPr>
        <w:t>.</w:t>
      </w:r>
    </w:p>
    <w:p w14:paraId="6B446FF3" w14:textId="77777777" w:rsidR="00C91F6E" w:rsidRPr="00EC250C" w:rsidRDefault="00CC5535" w:rsidP="00D131FA">
      <w:pPr>
        <w:pStyle w:val="Styl1"/>
        <w:rPr>
          <w:shd w:val="clear" w:color="auto" w:fill="FFFFFF"/>
        </w:rPr>
      </w:pPr>
      <w:r w:rsidRPr="00EC250C">
        <w:rPr>
          <w:rStyle w:val="Pogrubienie"/>
          <w:b w:val="0"/>
          <w:bCs w:val="0"/>
        </w:rPr>
        <w:t>Od ponad czterech lat władze nie uwzględniają rekomendacji Najwyższej Izby Kontroli</w:t>
      </w:r>
      <w:r w:rsidR="00992FD0" w:rsidRPr="00EC250C">
        <w:rPr>
          <w:rStyle w:val="Pogrubienie"/>
          <w:b w:val="0"/>
          <w:bCs w:val="0"/>
        </w:rPr>
        <w:t xml:space="preserve"> w </w:t>
      </w:r>
      <w:r w:rsidRPr="00EC250C">
        <w:rPr>
          <w:rStyle w:val="Pogrubienie"/>
          <w:b w:val="0"/>
          <w:bCs w:val="0"/>
        </w:rPr>
        <w:t>sprawie poprawy bezpieczeństwa ruchu drogowego</w:t>
      </w:r>
      <w:r w:rsidR="00A92698" w:rsidRPr="00EC250C">
        <w:rPr>
          <w:rStyle w:val="Pogrubienie"/>
          <w:b w:val="0"/>
          <w:bCs w:val="0"/>
        </w:rPr>
        <w:t>.</w:t>
      </w:r>
      <w:r w:rsidRPr="00EC250C">
        <w:rPr>
          <w:rStyle w:val="Pogrubienie"/>
          <w:b w:val="0"/>
          <w:bCs w:val="0"/>
        </w:rPr>
        <w:t xml:space="preserve"> </w:t>
      </w:r>
      <w:r w:rsidR="008157D8" w:rsidRPr="00EC250C">
        <w:rPr>
          <w:shd w:val="clear" w:color="auto" w:fill="FFFFFF"/>
        </w:rPr>
        <w:t>Już wtedy NIK alarmowała, że budowa dróg</w:t>
      </w:r>
      <w:r w:rsidR="00992FD0" w:rsidRPr="00EC250C">
        <w:rPr>
          <w:shd w:val="clear" w:color="auto" w:fill="FFFFFF"/>
        </w:rPr>
        <w:t xml:space="preserve"> i </w:t>
      </w:r>
      <w:r w:rsidR="008157D8" w:rsidRPr="00EC250C">
        <w:rPr>
          <w:shd w:val="clear" w:color="auto" w:fill="FFFFFF"/>
        </w:rPr>
        <w:t xml:space="preserve">autostrad nie rozwiąże problemu bezpieczeństwa na drogach. To wymaga znacznie bardziej złożonych działań państwa. </w:t>
      </w:r>
      <w:r w:rsidRPr="00EC250C">
        <w:rPr>
          <w:rStyle w:val="Pogrubienie"/>
          <w:b w:val="0"/>
          <w:bCs w:val="0"/>
        </w:rPr>
        <w:t>RPO pyta</w:t>
      </w:r>
      <w:r w:rsidR="00367EDE" w:rsidRPr="00EC250C">
        <w:rPr>
          <w:rStyle w:val="Pogrubienie"/>
          <w:b w:val="0"/>
          <w:bCs w:val="0"/>
        </w:rPr>
        <w:t>ł</w:t>
      </w:r>
      <w:r w:rsidR="00550DF3" w:rsidRPr="00EC250C">
        <w:rPr>
          <w:rStyle w:val="Odwoanieprzypisudolnego"/>
        </w:rPr>
        <w:footnoteReference w:id="103"/>
      </w:r>
      <w:r w:rsidRPr="00EC250C">
        <w:rPr>
          <w:rStyle w:val="Pogrubienie"/>
          <w:b w:val="0"/>
          <w:bCs w:val="0"/>
        </w:rPr>
        <w:t xml:space="preserve"> MSWiA</w:t>
      </w:r>
      <w:r w:rsidR="00992FD0" w:rsidRPr="00EC250C">
        <w:rPr>
          <w:rStyle w:val="Pogrubienie"/>
          <w:b w:val="0"/>
          <w:bCs w:val="0"/>
        </w:rPr>
        <w:t xml:space="preserve"> i </w:t>
      </w:r>
      <w:r w:rsidRPr="00EC250C">
        <w:rPr>
          <w:rStyle w:val="Pogrubienie"/>
          <w:b w:val="0"/>
          <w:bCs w:val="0"/>
        </w:rPr>
        <w:t>Ministra Infrastruktury, czy wykorzystają rekomendacje Izby</w:t>
      </w:r>
      <w:r w:rsidR="00550DF3" w:rsidRPr="00EC250C">
        <w:rPr>
          <w:rStyle w:val="Odwoanieprzypisudolnego"/>
        </w:rPr>
        <w:footnoteReference w:id="104"/>
      </w:r>
      <w:r w:rsidR="00550DF3" w:rsidRPr="00EC250C">
        <w:rPr>
          <w:rStyle w:val="Pogrubienie"/>
          <w:b w:val="0"/>
          <w:bCs w:val="0"/>
        </w:rPr>
        <w:t>.</w:t>
      </w:r>
      <w:r w:rsidR="00367EDE" w:rsidRPr="00EC250C">
        <w:rPr>
          <w:rStyle w:val="Pogrubienie"/>
          <w:b w:val="0"/>
          <w:bCs w:val="0"/>
        </w:rPr>
        <w:t xml:space="preserve"> </w:t>
      </w:r>
      <w:r w:rsidR="00550DF3" w:rsidRPr="00EC250C">
        <w:rPr>
          <w:shd w:val="clear" w:color="auto" w:fill="FFFFFF"/>
        </w:rPr>
        <w:t>Wystąpieni</w:t>
      </w:r>
      <w:r w:rsidR="004D6201" w:rsidRPr="00EC250C">
        <w:rPr>
          <w:shd w:val="clear" w:color="auto" w:fill="FFFFFF"/>
        </w:rPr>
        <w:t>e</w:t>
      </w:r>
      <w:r w:rsidR="00550DF3" w:rsidRPr="00EC250C">
        <w:rPr>
          <w:shd w:val="clear" w:color="auto" w:fill="FFFFFF"/>
        </w:rPr>
        <w:t xml:space="preserve"> było efektem spotkania</w:t>
      </w:r>
      <w:r w:rsidR="00992FD0" w:rsidRPr="00EC250C">
        <w:rPr>
          <w:shd w:val="clear" w:color="auto" w:fill="FFFFFF"/>
        </w:rPr>
        <w:t xml:space="preserve"> w </w:t>
      </w:r>
      <w:r w:rsidR="00550DF3" w:rsidRPr="00EC250C">
        <w:rPr>
          <w:shd w:val="clear" w:color="auto" w:fill="FFFFFF"/>
        </w:rPr>
        <w:t>czerwcu 2018</w:t>
      </w:r>
      <w:r w:rsidR="00C91F6E" w:rsidRPr="00EC250C">
        <w:rPr>
          <w:shd w:val="clear" w:color="auto" w:fill="FFFFFF"/>
        </w:rPr>
        <w:t> r.</w:t>
      </w:r>
      <w:r w:rsidR="00992FD0" w:rsidRPr="00EC250C">
        <w:rPr>
          <w:shd w:val="clear" w:color="auto" w:fill="FFFFFF"/>
        </w:rPr>
        <w:t xml:space="preserve"> z </w:t>
      </w:r>
      <w:r w:rsidR="00550DF3" w:rsidRPr="00EC250C">
        <w:rPr>
          <w:shd w:val="clear" w:color="auto" w:fill="FFFFFF"/>
        </w:rPr>
        <w:t>przedstawicielami organizacji społecznej „Piesza Masa Krytyczna”</w:t>
      </w:r>
      <w:r w:rsidR="00550DF3" w:rsidRPr="00EC250C">
        <w:rPr>
          <w:bdr w:val="none" w:sz="0" w:space="0" w:color="auto" w:frame="1"/>
          <w:shd w:val="clear" w:color="auto" w:fill="FFFFFF"/>
        </w:rPr>
        <w:t>.</w:t>
      </w:r>
    </w:p>
    <w:p w14:paraId="3B87A700" w14:textId="77777777" w:rsidR="00FA1359" w:rsidRPr="00EC250C" w:rsidRDefault="00F02ADD" w:rsidP="00EC79EB">
      <w:pPr>
        <w:pStyle w:val="Nagwek4"/>
      </w:pPr>
      <w:bookmarkStart w:id="110" w:name="_Toc6257668"/>
      <w:bookmarkStart w:id="111" w:name="_Toc11247574"/>
      <w:r w:rsidRPr="00EC250C">
        <w:rPr>
          <w:rStyle w:val="field-content"/>
          <w:sz w:val="32"/>
          <w:szCs w:val="32"/>
          <w:bdr w:val="none" w:sz="0" w:space="0" w:color="auto"/>
        </w:rPr>
        <w:t xml:space="preserve">Brak zasad </w:t>
      </w:r>
      <w:r w:rsidR="000D744D" w:rsidRPr="00EC250C">
        <w:rPr>
          <w:rStyle w:val="field-content"/>
          <w:sz w:val="32"/>
          <w:szCs w:val="32"/>
          <w:bdr w:val="none" w:sz="0" w:space="0" w:color="auto"/>
        </w:rPr>
        <w:t xml:space="preserve">prowadzenia </w:t>
      </w:r>
      <w:r w:rsidR="00FA1359" w:rsidRPr="00EC250C">
        <w:rPr>
          <w:rStyle w:val="field-content"/>
          <w:sz w:val="32"/>
          <w:szCs w:val="32"/>
          <w:bdr w:val="none" w:sz="0" w:space="0" w:color="auto"/>
        </w:rPr>
        <w:t xml:space="preserve">badań </w:t>
      </w:r>
      <w:r w:rsidRPr="00EC250C">
        <w:rPr>
          <w:rStyle w:val="field-content"/>
          <w:sz w:val="32"/>
          <w:szCs w:val="32"/>
          <w:bdr w:val="none" w:sz="0" w:space="0" w:color="auto"/>
        </w:rPr>
        <w:t>genetycznych</w:t>
      </w:r>
      <w:bookmarkEnd w:id="110"/>
      <w:bookmarkEnd w:id="111"/>
    </w:p>
    <w:p w14:paraId="5E1E903A" w14:textId="77777777" w:rsidR="00B473F5" w:rsidRPr="00EC250C" w:rsidRDefault="00A66397" w:rsidP="00D131FA">
      <w:pPr>
        <w:pStyle w:val="Problemczowieka"/>
        <w:jc w:val="both"/>
      </w:pPr>
      <w:r w:rsidRPr="00EC250C">
        <w:t>Nowoczesne procedury medyczne</w:t>
      </w:r>
      <w:r w:rsidR="00992FD0" w:rsidRPr="00EC250C">
        <w:t xml:space="preserve"> i </w:t>
      </w:r>
      <w:r w:rsidRPr="00EC250C">
        <w:t>nowe technologie wymagają jasnych ram prawnych, by podstawowe prawa człowieka nie były naruszane</w:t>
      </w:r>
      <w:r w:rsidR="00B473F5" w:rsidRPr="00EC250C">
        <w:t>.</w:t>
      </w:r>
    </w:p>
    <w:p w14:paraId="558FEA1E" w14:textId="77777777" w:rsidR="00CA40F6" w:rsidRPr="00EC250C" w:rsidRDefault="00FF5E72" w:rsidP="00D131FA">
      <w:pPr>
        <w:pStyle w:val="Styl1"/>
      </w:pPr>
      <w:r w:rsidRPr="00EC250C">
        <w:rPr>
          <w:rStyle w:val="Pogrubienie"/>
          <w:b w:val="0"/>
          <w:bCs w:val="0"/>
        </w:rPr>
        <w:t>Dziś nikt nie nadzoruje komercyjnego wykonywania testów genetycznych, które często mają niską jakość. Zdaniem RPO może to prowadzić pacjenta do podejmowania nieracjonalnych lub wręcz groźnych dla jego zdrowia decyzji.</w:t>
      </w:r>
      <w:r w:rsidR="00367EDE" w:rsidRPr="00EC250C">
        <w:rPr>
          <w:rStyle w:val="Pogrubienie"/>
          <w:b w:val="0"/>
          <w:bCs w:val="0"/>
        </w:rPr>
        <w:t xml:space="preserve"> </w:t>
      </w:r>
      <w:r w:rsidR="00CA40F6" w:rsidRPr="00EC250C">
        <w:rPr>
          <w:rStyle w:val="Pogrubienie"/>
          <w:b w:val="0"/>
          <w:bCs w:val="0"/>
        </w:rPr>
        <w:t>RPO apel</w:t>
      </w:r>
      <w:r w:rsidR="00367EDE" w:rsidRPr="00EC250C">
        <w:rPr>
          <w:rStyle w:val="Pogrubienie"/>
          <w:b w:val="0"/>
          <w:bCs w:val="0"/>
        </w:rPr>
        <w:t>ował</w:t>
      </w:r>
      <w:r w:rsidR="00CA40F6" w:rsidRPr="00EC250C">
        <w:rPr>
          <w:rStyle w:val="Pogrubienie"/>
          <w:b w:val="0"/>
          <w:bCs w:val="0"/>
        </w:rPr>
        <w:t xml:space="preserve"> do Ministra Zdrowia</w:t>
      </w:r>
      <w:r w:rsidR="00992FD0" w:rsidRPr="00EC250C">
        <w:rPr>
          <w:rStyle w:val="Pogrubienie"/>
          <w:b w:val="0"/>
          <w:bCs w:val="0"/>
        </w:rPr>
        <w:t xml:space="preserve"> o </w:t>
      </w:r>
      <w:r w:rsidR="00CA40F6" w:rsidRPr="00EC250C">
        <w:rPr>
          <w:rStyle w:val="Pogrubienie"/>
          <w:b w:val="0"/>
          <w:bCs w:val="0"/>
        </w:rPr>
        <w:t xml:space="preserve">pilne uregulowanie </w:t>
      </w:r>
      <w:r w:rsidRPr="00EC250C">
        <w:rPr>
          <w:rStyle w:val="Pogrubienie"/>
          <w:b w:val="0"/>
          <w:bCs w:val="0"/>
        </w:rPr>
        <w:t>zasad</w:t>
      </w:r>
      <w:r w:rsidR="00B97613" w:rsidRPr="00EC250C">
        <w:rPr>
          <w:rStyle w:val="Pogrubienie"/>
          <w:b w:val="0"/>
          <w:bCs w:val="0"/>
        </w:rPr>
        <w:t>.</w:t>
      </w:r>
      <w:r w:rsidRPr="00EC250C">
        <w:rPr>
          <w:rStyle w:val="Pogrubienie"/>
          <w:b w:val="0"/>
          <w:bCs w:val="0"/>
        </w:rPr>
        <w:t xml:space="preserve"> </w:t>
      </w:r>
      <w:r w:rsidR="00CA40F6" w:rsidRPr="00EC250C">
        <w:rPr>
          <w:rStyle w:val="Pogrubienie"/>
          <w:b w:val="0"/>
          <w:bCs w:val="0"/>
        </w:rPr>
        <w:t>Wzmocniłoby to m.in. prawo do ochrony życia</w:t>
      </w:r>
      <w:r w:rsidR="00992FD0" w:rsidRPr="00EC250C">
        <w:rPr>
          <w:rStyle w:val="Pogrubienie"/>
          <w:b w:val="0"/>
          <w:bCs w:val="0"/>
        </w:rPr>
        <w:t xml:space="preserve"> i </w:t>
      </w:r>
      <w:r w:rsidR="00CA40F6" w:rsidRPr="00EC250C">
        <w:rPr>
          <w:rStyle w:val="Pogrubienie"/>
          <w:b w:val="0"/>
          <w:bCs w:val="0"/>
        </w:rPr>
        <w:t>zdrowia oraz</w:t>
      </w:r>
      <w:r w:rsidR="000D744D" w:rsidRPr="00EC250C">
        <w:rPr>
          <w:rStyle w:val="Pogrubienie"/>
          <w:b w:val="0"/>
          <w:bCs w:val="0"/>
        </w:rPr>
        <w:t xml:space="preserve"> prawo</w:t>
      </w:r>
      <w:r w:rsidR="00CA40F6" w:rsidRPr="00EC250C">
        <w:rPr>
          <w:rStyle w:val="Pogrubienie"/>
          <w:b w:val="0"/>
          <w:bCs w:val="0"/>
        </w:rPr>
        <w:t xml:space="preserve"> do prywatności</w:t>
      </w:r>
      <w:r w:rsidR="00B97613" w:rsidRPr="00EC250C">
        <w:rPr>
          <w:rStyle w:val="Odwoanieprzypisudolnego"/>
        </w:rPr>
        <w:footnoteReference w:id="105"/>
      </w:r>
      <w:r w:rsidR="00CA40F6" w:rsidRPr="00EC250C">
        <w:rPr>
          <w:rStyle w:val="Pogrubienie"/>
          <w:b w:val="0"/>
          <w:bCs w:val="0"/>
        </w:rPr>
        <w:t>.</w:t>
      </w:r>
    </w:p>
    <w:p w14:paraId="0D157411" w14:textId="77777777" w:rsidR="00CA40F6" w:rsidRPr="00EC250C" w:rsidRDefault="008157D8" w:rsidP="00D131FA">
      <w:pPr>
        <w:pStyle w:val="ODESANIE"/>
        <w:jc w:val="both"/>
      </w:pPr>
      <w:r w:rsidRPr="00EC250C">
        <w:t xml:space="preserve">Problem </w:t>
      </w:r>
      <w:r w:rsidR="00CA40F6" w:rsidRPr="00EC250C">
        <w:t>komercyjnych testów </w:t>
      </w:r>
      <w:r w:rsidR="00367EDE" w:rsidRPr="00EC250C">
        <w:t>ge</w:t>
      </w:r>
      <w:r w:rsidR="00896628" w:rsidRPr="00EC250C">
        <w:t>netycznych – art. 47 Konstytucji</w:t>
      </w:r>
    </w:p>
    <w:p w14:paraId="0B126AA0" w14:textId="77777777" w:rsidR="00FA1359" w:rsidRPr="00EC250C" w:rsidRDefault="00171219" w:rsidP="00EC79EB">
      <w:pPr>
        <w:pStyle w:val="Nagwek4"/>
      </w:pPr>
      <w:bookmarkStart w:id="112" w:name="_Toc6257669"/>
      <w:bookmarkStart w:id="113" w:name="_Toc11247575"/>
      <w:r w:rsidRPr="00EC250C">
        <w:rPr>
          <w:rStyle w:val="field-content"/>
          <w:sz w:val="32"/>
          <w:szCs w:val="32"/>
          <w:bdr w:val="none" w:sz="0" w:space="0" w:color="auto"/>
        </w:rPr>
        <w:t>P</w:t>
      </w:r>
      <w:r w:rsidR="00FA1359" w:rsidRPr="00EC250C">
        <w:rPr>
          <w:rStyle w:val="field-content"/>
          <w:sz w:val="32"/>
          <w:szCs w:val="32"/>
          <w:bdr w:val="none" w:sz="0" w:space="0" w:color="auto"/>
        </w:rPr>
        <w:t xml:space="preserve">acjent </w:t>
      </w:r>
      <w:r w:rsidRPr="00EC250C">
        <w:rPr>
          <w:rStyle w:val="field-content"/>
          <w:sz w:val="32"/>
          <w:szCs w:val="32"/>
          <w:bdr w:val="none" w:sz="0" w:space="0" w:color="auto"/>
        </w:rPr>
        <w:t xml:space="preserve">nie może </w:t>
      </w:r>
      <w:r w:rsidR="00FA1359" w:rsidRPr="00EC250C">
        <w:rPr>
          <w:rStyle w:val="field-content"/>
          <w:sz w:val="32"/>
          <w:szCs w:val="32"/>
          <w:bdr w:val="none" w:sz="0" w:space="0" w:color="auto"/>
        </w:rPr>
        <w:t xml:space="preserve">wydawać </w:t>
      </w:r>
      <w:r w:rsidRPr="00EC250C">
        <w:rPr>
          <w:rStyle w:val="field-content"/>
          <w:sz w:val="32"/>
          <w:szCs w:val="32"/>
          <w:bdr w:val="none" w:sz="0" w:space="0" w:color="auto"/>
        </w:rPr>
        <w:t>zgód co do przyszłych zabiegów</w:t>
      </w:r>
      <w:bookmarkEnd w:id="112"/>
      <w:bookmarkEnd w:id="113"/>
    </w:p>
    <w:p w14:paraId="5C912350" w14:textId="77777777" w:rsidR="00B473F5" w:rsidRPr="00EC250C" w:rsidRDefault="00B944E0" w:rsidP="00D131FA">
      <w:pPr>
        <w:pStyle w:val="Problemczowieka"/>
        <w:jc w:val="both"/>
        <w:rPr>
          <w:rStyle w:val="Pogrubienie"/>
          <w:b/>
          <w:bCs w:val="0"/>
        </w:rPr>
      </w:pPr>
      <w:r w:rsidRPr="00EC250C">
        <w:rPr>
          <w:rStyle w:val="Pogrubienie"/>
          <w:b/>
          <w:bCs w:val="0"/>
        </w:rPr>
        <w:t>Gdy pacjent nie może wyrazić świadomej zgody na zabieg,</w:t>
      </w:r>
      <w:r w:rsidR="00992FD0" w:rsidRPr="00EC250C">
        <w:rPr>
          <w:rStyle w:val="Pogrubienie"/>
          <w:b/>
          <w:bCs w:val="0"/>
        </w:rPr>
        <w:t xml:space="preserve"> a </w:t>
      </w:r>
      <w:r w:rsidRPr="00EC250C">
        <w:rPr>
          <w:rStyle w:val="Pogrubienie"/>
          <w:b/>
          <w:bCs w:val="0"/>
        </w:rPr>
        <w:t>nie ma osoby działającej</w:t>
      </w:r>
      <w:r w:rsidR="00992FD0" w:rsidRPr="00EC250C">
        <w:rPr>
          <w:rStyle w:val="Pogrubienie"/>
          <w:b/>
          <w:bCs w:val="0"/>
        </w:rPr>
        <w:t xml:space="preserve"> w </w:t>
      </w:r>
      <w:r w:rsidRPr="00EC250C">
        <w:rPr>
          <w:rStyle w:val="Pogrubienie"/>
          <w:b/>
          <w:bCs w:val="0"/>
        </w:rPr>
        <w:t>jego imieniu, na interwencję medyczną musi zezwolić sąd opiekuńczy</w:t>
      </w:r>
      <w:r w:rsidR="00B473F5" w:rsidRPr="00EC250C">
        <w:rPr>
          <w:rStyle w:val="Pogrubienie"/>
          <w:b/>
          <w:bCs w:val="0"/>
        </w:rPr>
        <w:t>.</w:t>
      </w:r>
    </w:p>
    <w:p w14:paraId="47048DD4" w14:textId="77777777" w:rsidR="00C91F6E" w:rsidRPr="00EC250C" w:rsidRDefault="008157D8" w:rsidP="00D131FA">
      <w:pPr>
        <w:pStyle w:val="Styl1"/>
        <w:rPr>
          <w:rStyle w:val="Pogrubienie"/>
          <w:b w:val="0"/>
          <w:bCs w:val="0"/>
        </w:rPr>
      </w:pPr>
      <w:r w:rsidRPr="00EC250C">
        <w:rPr>
          <w:rStyle w:val="Pogrubienie"/>
          <w:b w:val="0"/>
          <w:bCs w:val="0"/>
        </w:rPr>
        <w:t>P</w:t>
      </w:r>
      <w:r w:rsidR="00B944E0" w:rsidRPr="00EC250C">
        <w:rPr>
          <w:rStyle w:val="Pogrubienie"/>
          <w:b w:val="0"/>
          <w:bCs w:val="0"/>
        </w:rPr>
        <w:t xml:space="preserve">owinniśmy mieć prawo do </w:t>
      </w:r>
      <w:r w:rsidR="00FC679E" w:rsidRPr="00EC250C">
        <w:rPr>
          <w:rStyle w:val="Pogrubienie"/>
          <w:b w:val="0"/>
          <w:bCs w:val="0"/>
        </w:rPr>
        <w:t xml:space="preserve">wydawania zgody </w:t>
      </w:r>
      <w:r w:rsidR="00FA1359" w:rsidRPr="00EC250C">
        <w:rPr>
          <w:rStyle w:val="Pogrubienie"/>
          <w:b w:val="0"/>
          <w:bCs w:val="0"/>
        </w:rPr>
        <w:t>na zabieg medyczny „na przyszłość”</w:t>
      </w:r>
      <w:r w:rsidR="00B944E0" w:rsidRPr="00EC250C">
        <w:rPr>
          <w:rStyle w:val="Pogrubienie"/>
          <w:b w:val="0"/>
          <w:bCs w:val="0"/>
        </w:rPr>
        <w:t>. Powin</w:t>
      </w:r>
      <w:r w:rsidR="007A7EF2" w:rsidRPr="00EC250C">
        <w:rPr>
          <w:rStyle w:val="Pogrubienie"/>
          <w:b w:val="0"/>
          <w:bCs w:val="0"/>
        </w:rPr>
        <w:t>niśmy</w:t>
      </w:r>
      <w:r w:rsidR="00FA1359" w:rsidRPr="00EC250C">
        <w:rPr>
          <w:rStyle w:val="Pogrubienie"/>
          <w:b w:val="0"/>
          <w:bCs w:val="0"/>
        </w:rPr>
        <w:t xml:space="preserve"> móc wskazać osobę, która podejmowałaby decyzje dotyczące </w:t>
      </w:r>
      <w:r w:rsidR="00FC679E" w:rsidRPr="00EC250C">
        <w:rPr>
          <w:rStyle w:val="Pogrubienie"/>
          <w:b w:val="0"/>
          <w:bCs w:val="0"/>
        </w:rPr>
        <w:t xml:space="preserve">naszego </w:t>
      </w:r>
      <w:r w:rsidR="00FA1359" w:rsidRPr="00EC250C">
        <w:rPr>
          <w:rStyle w:val="Pogrubienie"/>
          <w:b w:val="0"/>
          <w:bCs w:val="0"/>
        </w:rPr>
        <w:t>zdrowia</w:t>
      </w:r>
      <w:r w:rsidR="00B944E0" w:rsidRPr="00EC250C">
        <w:rPr>
          <w:rStyle w:val="Pogrubienie"/>
          <w:b w:val="0"/>
          <w:bCs w:val="0"/>
        </w:rPr>
        <w:t>.</w:t>
      </w:r>
    </w:p>
    <w:p w14:paraId="14C1C8B9" w14:textId="77777777" w:rsidR="00FF606C" w:rsidRPr="00EC250C" w:rsidRDefault="00FA1359" w:rsidP="00D131FA">
      <w:pPr>
        <w:pStyle w:val="Styl1"/>
        <w:rPr>
          <w:b/>
          <w:bCs/>
          <w:color w:val="044892"/>
          <w:sz w:val="28"/>
        </w:rPr>
      </w:pPr>
      <w:r w:rsidRPr="00EC250C">
        <w:t xml:space="preserve">RPO wystąpił do </w:t>
      </w:r>
      <w:r w:rsidR="00A66397" w:rsidRPr="00EC250C">
        <w:t>M</w:t>
      </w:r>
      <w:r w:rsidRPr="00EC250C">
        <w:t xml:space="preserve">inistra </w:t>
      </w:r>
      <w:r w:rsidR="00A66397" w:rsidRPr="00EC250C">
        <w:t>Z</w:t>
      </w:r>
      <w:r w:rsidRPr="00EC250C">
        <w:t>drowia</w:t>
      </w:r>
      <w:r w:rsidR="00992FD0" w:rsidRPr="00EC250C">
        <w:t xml:space="preserve"> w </w:t>
      </w:r>
      <w:r w:rsidRPr="00EC250C">
        <w:t>sprawie konieczności uregulowania instytucji pełnomocnictwa medycznego. Wskazał, że instytucja świadomej zgody jest jedną</w:t>
      </w:r>
      <w:r w:rsidR="00992FD0" w:rsidRPr="00EC250C">
        <w:t xml:space="preserve"> z </w:t>
      </w:r>
      <w:r w:rsidRPr="00EC250C">
        <w:t>podstawowych gwarancji poszanowania prawa pacjenta do samostanowienia</w:t>
      </w:r>
      <w:r w:rsidR="00392799" w:rsidRPr="00EC250C">
        <w:rPr>
          <w:rStyle w:val="Odwoanieprzypisudolnego"/>
        </w:rPr>
        <w:footnoteReference w:id="106"/>
      </w:r>
      <w:r w:rsidRPr="00EC250C">
        <w:t>.</w:t>
      </w:r>
      <w:r w:rsidR="00FF606C" w:rsidRPr="00EC250C">
        <w:br w:type="page"/>
      </w:r>
    </w:p>
    <w:p w14:paraId="693E185A" w14:textId="77777777" w:rsidR="00384F4E" w:rsidRPr="00EC250C" w:rsidRDefault="00384F4E" w:rsidP="00EC250C">
      <w:pPr>
        <w:pStyle w:val="Nagwek3"/>
      </w:pPr>
      <w:bookmarkStart w:id="114" w:name="_Toc6257670"/>
      <w:bookmarkStart w:id="115" w:name="_Toc11247576"/>
      <w:r w:rsidRPr="00EC250C">
        <w:lastRenderedPageBreak/>
        <w:t xml:space="preserve">Art. 39 </w:t>
      </w:r>
      <w:r w:rsidR="00B944E0" w:rsidRPr="00EC250C">
        <w:t xml:space="preserve">Konstytucji </w:t>
      </w:r>
      <w:r w:rsidRPr="00EC250C">
        <w:t>– Zakaz eksperymentów naukowych</w:t>
      </w:r>
      <w:bookmarkEnd w:id="114"/>
      <w:bookmarkEnd w:id="115"/>
    </w:p>
    <w:p w14:paraId="0E3928EA" w14:textId="77777777" w:rsidR="00384F4E" w:rsidRPr="00EC250C" w:rsidRDefault="00384F4E" w:rsidP="00D131FA">
      <w:pPr>
        <w:pStyle w:val="konstytucja"/>
        <w:jc w:val="both"/>
      </w:pPr>
      <w:r w:rsidRPr="00EC250C">
        <w:t>Nikt nie może być poddany eksperymentom naukowym,</w:t>
      </w:r>
      <w:r w:rsidR="00992FD0" w:rsidRPr="00EC250C">
        <w:t xml:space="preserve"> w </w:t>
      </w:r>
      <w:r w:rsidRPr="00EC250C">
        <w:t>tym medycznym, bez dobrowolnie wyrażonej zgody.</w:t>
      </w:r>
    </w:p>
    <w:p w14:paraId="41E341EB" w14:textId="77777777" w:rsidR="00C91F6E" w:rsidRPr="00EC250C" w:rsidRDefault="00B944E0" w:rsidP="00D131FA">
      <w:pPr>
        <w:pStyle w:val="ComwiKonstytucja"/>
      </w:pPr>
      <w:r w:rsidRPr="00EC250C">
        <w:t>Rozwój medycyny</w:t>
      </w:r>
      <w:r w:rsidR="00992FD0" w:rsidRPr="00EC250C">
        <w:t xml:space="preserve"> i </w:t>
      </w:r>
      <w:r w:rsidRPr="00EC250C">
        <w:t>nauk biologicznych stawia nowe wyzwania dla ochrony praw człowieka</w:t>
      </w:r>
      <w:r w:rsidR="00992FD0" w:rsidRPr="00EC250C">
        <w:t xml:space="preserve"> i </w:t>
      </w:r>
      <w:r w:rsidRPr="00EC250C">
        <w:t>realizacji podstawowych praw</w:t>
      </w:r>
      <w:r w:rsidR="00992FD0" w:rsidRPr="00EC250C">
        <w:t xml:space="preserve"> i </w:t>
      </w:r>
      <w:r w:rsidRPr="00EC250C">
        <w:t>wolności konstytucyjnych. Z Konstytucji wynika, że eksperymenty medyczne oraz inne nie mogą być obarczone świadomym ryzykiem negatywnych skutków dla osób poddanych eksperymentowi. Dobrowolnie wyrażona zgoda na udział</w:t>
      </w:r>
      <w:r w:rsidR="00992FD0" w:rsidRPr="00EC250C">
        <w:t xml:space="preserve"> w </w:t>
      </w:r>
      <w:r w:rsidRPr="00EC250C">
        <w:t>eksperymencie powinna być zawsze udzielona indywidualnie,</w:t>
      </w:r>
      <w:r w:rsidR="00992FD0" w:rsidRPr="00EC250C">
        <w:t xml:space="preserve"> a </w:t>
      </w:r>
      <w:r w:rsidRPr="00EC250C">
        <w:t>nie</w:t>
      </w:r>
      <w:r w:rsidR="00992FD0" w:rsidRPr="00EC250C">
        <w:t xml:space="preserve"> w </w:t>
      </w:r>
      <w:r w:rsidRPr="00EC250C">
        <w:t>sposób zbiorowy. Dobrowolność zgody oznacza również pełne poinformowanie</w:t>
      </w:r>
      <w:r w:rsidR="00992FD0" w:rsidRPr="00EC250C">
        <w:t xml:space="preserve"> o </w:t>
      </w:r>
      <w:r w:rsidRPr="00EC250C">
        <w:t>celach, przebiegu oraz możliwych następstwach poddania się procedurze. Eksperymentem naukowym może być jedynie eksperyment przeprowadzony przez osoby posiadające odpowiednią wiedzę</w:t>
      </w:r>
      <w:r w:rsidR="00992FD0" w:rsidRPr="00EC250C">
        <w:t xml:space="preserve"> i </w:t>
      </w:r>
      <w:r w:rsidRPr="00EC250C">
        <w:t>uprawnienia.</w:t>
      </w:r>
    </w:p>
    <w:p w14:paraId="4664B4F4" w14:textId="77777777" w:rsidR="00EE09AA" w:rsidRPr="00EC250C" w:rsidRDefault="00EE09AA" w:rsidP="00D131FA">
      <w:pPr>
        <w:pStyle w:val="ComwiKonstytucja"/>
      </w:pPr>
    </w:p>
    <w:p w14:paraId="207ED3A7" w14:textId="77777777" w:rsidR="00EE09AA" w:rsidRPr="00EC250C" w:rsidRDefault="00EE09AA" w:rsidP="00D131FA">
      <w:pPr>
        <w:pStyle w:val="Styl1"/>
      </w:pPr>
    </w:p>
    <w:p w14:paraId="3C8A6D6F" w14:textId="77777777" w:rsidR="001A25C9" w:rsidRPr="00EC250C" w:rsidRDefault="002A6CA4" w:rsidP="00D131FA">
      <w:pPr>
        <w:pStyle w:val="Styl1"/>
      </w:pPr>
      <w:r w:rsidRPr="00EC250C">
        <w:t xml:space="preserve">W roku 2018 nie odnotowano wpływu do Rzecznika </w:t>
      </w:r>
      <w:r w:rsidR="00073A8C" w:rsidRPr="00EC250C">
        <w:t xml:space="preserve">Praw Obywatelskich </w:t>
      </w:r>
      <w:r w:rsidRPr="00EC250C">
        <w:t>spraw, które sta</w:t>
      </w:r>
      <w:r w:rsidR="00E572EB" w:rsidRPr="00EC250C">
        <w:t>wiał</w:t>
      </w:r>
      <w:r w:rsidRPr="00EC250C">
        <w:t>yby zarzut naruszenia tej normy konstytuc</w:t>
      </w:r>
      <w:r w:rsidR="00E572EB" w:rsidRPr="00EC250C">
        <w:t>y</w:t>
      </w:r>
      <w:r w:rsidRPr="00EC250C">
        <w:t>jnej.</w:t>
      </w:r>
    </w:p>
    <w:p w14:paraId="259504E8" w14:textId="77777777" w:rsidR="001A25C9" w:rsidRPr="00EC250C" w:rsidRDefault="001A25C9" w:rsidP="00D131FA">
      <w:pPr>
        <w:spacing w:after="200" w:line="24" w:lineRule="auto"/>
        <w:jc w:val="both"/>
        <w:rPr>
          <w:bCs/>
          <w:color w:val="044892"/>
          <w:sz w:val="24"/>
        </w:rPr>
      </w:pPr>
      <w:r w:rsidRPr="00EC250C">
        <w:rPr>
          <w:sz w:val="24"/>
        </w:rPr>
        <w:br w:type="page"/>
      </w:r>
    </w:p>
    <w:p w14:paraId="60E9F9FE" w14:textId="77777777" w:rsidR="00C91F6E" w:rsidRPr="00EC250C" w:rsidRDefault="004334CC" w:rsidP="00EC250C">
      <w:pPr>
        <w:pStyle w:val="Nagwek3"/>
      </w:pPr>
      <w:bookmarkStart w:id="116" w:name="_Toc6257671"/>
      <w:bookmarkStart w:id="117" w:name="_Toc11247577"/>
      <w:r w:rsidRPr="00EC250C">
        <w:lastRenderedPageBreak/>
        <w:t xml:space="preserve">Art. 40 </w:t>
      </w:r>
      <w:r w:rsidR="00FD3AE2" w:rsidRPr="00EC250C">
        <w:t xml:space="preserve">Konstytucji </w:t>
      </w:r>
      <w:r w:rsidRPr="00EC250C">
        <w:t>– Zakaz tortur, nieludzkiego</w:t>
      </w:r>
      <w:r w:rsidR="00992FD0" w:rsidRPr="00EC250C">
        <w:t xml:space="preserve"> i </w:t>
      </w:r>
      <w:r w:rsidRPr="00EC250C">
        <w:t>poniżającego traktowania</w:t>
      </w:r>
      <w:bookmarkEnd w:id="116"/>
      <w:bookmarkEnd w:id="117"/>
    </w:p>
    <w:p w14:paraId="0B286A94" w14:textId="77777777" w:rsidR="004334CC" w:rsidRPr="00EC250C" w:rsidRDefault="004334CC" w:rsidP="00D131FA">
      <w:pPr>
        <w:pStyle w:val="konstytucja"/>
        <w:jc w:val="both"/>
      </w:pPr>
      <w:r w:rsidRPr="00EC250C">
        <w:t>Nikt nie może być poddany torturom ani okrutnemu, nieludzkiemu lub poniżającemu traktowaniu</w:t>
      </w:r>
      <w:r w:rsidR="00992FD0" w:rsidRPr="00EC250C">
        <w:t xml:space="preserve"> i </w:t>
      </w:r>
      <w:r w:rsidRPr="00EC250C">
        <w:t>karaniu. Zakazuje się stosowania kar cielesnych.</w:t>
      </w:r>
    </w:p>
    <w:p w14:paraId="288D796C" w14:textId="77777777" w:rsidR="00C91F6E" w:rsidRPr="00EC250C" w:rsidRDefault="003C4059" w:rsidP="00D131FA">
      <w:pPr>
        <w:pStyle w:val="ComwiKonstytucja"/>
      </w:pPr>
      <w:r w:rsidRPr="00EC250C">
        <w:t>Zakaz stosowania tortur oraz nieludzkiego, poniżającego traktowania albo karania ma charakter absolutny</w:t>
      </w:r>
      <w:r w:rsidR="00992FD0" w:rsidRPr="00EC250C">
        <w:t xml:space="preserve"> i </w:t>
      </w:r>
      <w:r w:rsidRPr="00EC250C">
        <w:t>bezwzględny.</w:t>
      </w:r>
    </w:p>
    <w:p w14:paraId="5677ECEA" w14:textId="77777777" w:rsidR="00C91F6E" w:rsidRPr="00EC250C" w:rsidRDefault="00FD3AE2" w:rsidP="00D131FA">
      <w:pPr>
        <w:pStyle w:val="ComwiKonstytucja"/>
      </w:pPr>
      <w:r w:rsidRPr="00EC250C">
        <w:t>Wywodzi się nie tylko</w:t>
      </w:r>
      <w:r w:rsidR="00992FD0" w:rsidRPr="00EC250C">
        <w:t xml:space="preserve"> z </w:t>
      </w:r>
      <w:r w:rsidRPr="00EC250C">
        <w:t>Konstytucji. Ale</w:t>
      </w:r>
      <w:r w:rsidR="00992FD0" w:rsidRPr="00EC250C">
        <w:t xml:space="preserve"> z </w:t>
      </w:r>
      <w:r w:rsidRPr="00EC250C">
        <w:t xml:space="preserve">przyjętych przez Polskę </w:t>
      </w:r>
      <w:r w:rsidR="003C4059" w:rsidRPr="00EC250C">
        <w:t>regulacj</w:t>
      </w:r>
      <w:r w:rsidRPr="00EC250C">
        <w:t>i</w:t>
      </w:r>
      <w:r w:rsidR="003C4059" w:rsidRPr="00EC250C">
        <w:t xml:space="preserve"> międzynarodowych. Jest on zawarty m.in. w: Powszechnej Deklaracji Praw Człowieka</w:t>
      </w:r>
      <w:r w:rsidRPr="00EC250C">
        <w:t>,</w:t>
      </w:r>
      <w:r w:rsidR="003C4059" w:rsidRPr="00EC250C">
        <w:t xml:space="preserve"> Konwencjach Genewskich</w:t>
      </w:r>
      <w:r w:rsidR="00992FD0" w:rsidRPr="00EC250C">
        <w:t xml:space="preserve"> z </w:t>
      </w:r>
      <w:r w:rsidR="003C4059" w:rsidRPr="00EC250C">
        <w:t>1949</w:t>
      </w:r>
      <w:r w:rsidR="00C91F6E" w:rsidRPr="00EC250C">
        <w:t> r.</w:t>
      </w:r>
      <w:r w:rsidR="003C4059" w:rsidRPr="00EC250C">
        <w:t>, Europejskiej Konwencji Praw Człowieka, Międzynarodowym Pakcie Praw Osobistych</w:t>
      </w:r>
      <w:r w:rsidR="00992FD0" w:rsidRPr="00EC250C">
        <w:t xml:space="preserve"> i </w:t>
      </w:r>
      <w:r w:rsidR="003C4059" w:rsidRPr="00EC250C">
        <w:t>Politycznych.</w:t>
      </w:r>
    </w:p>
    <w:p w14:paraId="51C8AE30" w14:textId="77777777" w:rsidR="003A07AA" w:rsidRPr="00EC250C" w:rsidRDefault="003A07AA" w:rsidP="00D131FA">
      <w:pPr>
        <w:pStyle w:val="ComwiKonstytucja"/>
        <w:rPr>
          <w:b/>
        </w:rPr>
      </w:pPr>
      <w:r w:rsidRPr="00EC250C">
        <w:rPr>
          <w:b/>
        </w:rPr>
        <w:t>Bezwzględność zakazu tortur</w:t>
      </w:r>
    </w:p>
    <w:p w14:paraId="1ACF57D5" w14:textId="77777777" w:rsidR="00FD3AE2" w:rsidRPr="00EC250C" w:rsidRDefault="003C4059" w:rsidP="00D131FA">
      <w:pPr>
        <w:pStyle w:val="ComwiKonstytucja"/>
      </w:pPr>
      <w:r w:rsidRPr="00EC250C">
        <w:t>W europejskim systemie ochrony praw człowieka zagadnienie to reguluje przede wszystkim Europejska Konwencja</w:t>
      </w:r>
      <w:r w:rsidR="00992FD0" w:rsidRPr="00EC250C">
        <w:t xml:space="preserve"> o </w:t>
      </w:r>
      <w:r w:rsidRPr="00EC250C">
        <w:t>Ochronie Praw Człowieka</w:t>
      </w:r>
      <w:r w:rsidR="00992FD0" w:rsidRPr="00EC250C">
        <w:t xml:space="preserve"> i </w:t>
      </w:r>
      <w:r w:rsidRPr="00EC250C">
        <w:t>Podstawowych Wolności, która została podpisana przez Polskę</w:t>
      </w:r>
      <w:r w:rsidR="00992FD0" w:rsidRPr="00EC250C">
        <w:t xml:space="preserve"> w </w:t>
      </w:r>
      <w:r w:rsidRPr="00EC250C">
        <w:t>1991</w:t>
      </w:r>
      <w:r w:rsidR="00C91F6E" w:rsidRPr="00EC250C">
        <w:t> r.</w:t>
      </w:r>
      <w:r w:rsidRPr="00EC250C">
        <w:t>, zaś weszła</w:t>
      </w:r>
      <w:r w:rsidR="00992FD0" w:rsidRPr="00EC250C">
        <w:t xml:space="preserve"> w </w:t>
      </w:r>
      <w:r w:rsidRPr="00EC250C">
        <w:t>życie</w:t>
      </w:r>
      <w:r w:rsidR="00992FD0" w:rsidRPr="00EC250C">
        <w:t xml:space="preserve"> w </w:t>
      </w:r>
      <w:r w:rsidRPr="00EC250C">
        <w:t>1993</w:t>
      </w:r>
      <w:r w:rsidR="00C91F6E" w:rsidRPr="00EC250C">
        <w:t> r.</w:t>
      </w:r>
      <w:r w:rsidRPr="00EC250C">
        <w:t xml:space="preserve"> Zakaz tortur zajmuje</w:t>
      </w:r>
      <w:r w:rsidR="00992FD0" w:rsidRPr="00EC250C">
        <w:t xml:space="preserve"> w </w:t>
      </w:r>
      <w:r w:rsidRPr="00EC250C">
        <w:t>niej trzecie miejsce, tuż za obowiązkiem przestrzegania praw</w:t>
      </w:r>
      <w:r w:rsidR="00992FD0" w:rsidRPr="00EC250C">
        <w:t xml:space="preserve"> i </w:t>
      </w:r>
      <w:r w:rsidRPr="00EC250C">
        <w:t>wolności człowieka oraz prawem do życia</w:t>
      </w:r>
      <w:r w:rsidR="00FD3AE2" w:rsidRPr="00EC250C">
        <w:t>.</w:t>
      </w:r>
      <w:r w:rsidRPr="00EC250C">
        <w:t xml:space="preserve"> </w:t>
      </w:r>
      <w:r w:rsidR="00FD3AE2" w:rsidRPr="00EC250C">
        <w:t>O</w:t>
      </w:r>
      <w:r w:rsidRPr="00EC250C">
        <w:t>znacza, że prawo to można zaliczyć do grona praw stanowiących twardy rdzeń Konwencji, określanych jako prawa podstawowe.</w:t>
      </w:r>
    </w:p>
    <w:p w14:paraId="1F694B8A" w14:textId="77777777" w:rsidR="00FD3AE2" w:rsidRPr="00EC250C" w:rsidRDefault="003C4059" w:rsidP="00D131FA">
      <w:pPr>
        <w:pStyle w:val="ComwiKonstytucja"/>
      </w:pPr>
      <w:r w:rsidRPr="00EC250C">
        <w:t>Konwencj</w:t>
      </w:r>
      <w:r w:rsidR="00FD3AE2" w:rsidRPr="00EC250C">
        <w:t>a</w:t>
      </w:r>
      <w:r w:rsidRPr="00EC250C">
        <w:t xml:space="preserve"> wyraźnie podkreśla, że nikt nie może być poddany torturom ani nieludzkiemu lub poniżającemu traktowaniu albo karaniu chroniąc tym samym jedną</w:t>
      </w:r>
      <w:r w:rsidR="00992FD0" w:rsidRPr="00EC250C">
        <w:t xml:space="preserve"> z </w:t>
      </w:r>
      <w:r w:rsidRPr="00EC250C">
        <w:t>podstawowych wartości demokratycznego społeczeństwa</w:t>
      </w:r>
      <w:r w:rsidR="00FD3AE2" w:rsidRPr="00EC250C">
        <w:t xml:space="preserve"> (artykuł 3)</w:t>
      </w:r>
      <w:r w:rsidRPr="00EC250C">
        <w:t xml:space="preserve">. Tak szerokie ujęcie zakazu było </w:t>
      </w:r>
      <w:r w:rsidR="00FD3AE2" w:rsidRPr="00EC250C">
        <w:t>z</w:t>
      </w:r>
      <w:r w:rsidRPr="00EC250C">
        <w:t>amierzon</w:t>
      </w:r>
      <w:r w:rsidR="00FD3AE2" w:rsidRPr="00EC250C">
        <w:t>e</w:t>
      </w:r>
      <w:r w:rsidRPr="00EC250C">
        <w:t xml:space="preserve">. </w:t>
      </w:r>
      <w:r w:rsidR="00FD3AE2" w:rsidRPr="00EC250C">
        <w:t>N</w:t>
      </w:r>
      <w:r w:rsidRPr="00EC250C">
        <w:t xml:space="preserve">ie </w:t>
      </w:r>
      <w:r w:rsidR="00FD3AE2" w:rsidRPr="00EC250C">
        <w:t xml:space="preserve">ma tu żadnych </w:t>
      </w:r>
      <w:r w:rsidRPr="00EC250C">
        <w:t>wyjątków</w:t>
      </w:r>
      <w:r w:rsidR="00992FD0" w:rsidRPr="00EC250C">
        <w:t xml:space="preserve"> i </w:t>
      </w:r>
      <w:r w:rsidRPr="00EC250C">
        <w:t>odstępstw nawet</w:t>
      </w:r>
      <w:r w:rsidR="00992FD0" w:rsidRPr="00EC250C">
        <w:t xml:space="preserve"> w </w:t>
      </w:r>
      <w:r w:rsidRPr="00EC250C">
        <w:t>przypadku wojny lub innego niebezpieczeństwa publicznego.</w:t>
      </w:r>
      <w:r w:rsidR="00FD3AE2" w:rsidRPr="00EC250C">
        <w:t xml:space="preserve"> Zatem dotyczy także </w:t>
      </w:r>
      <w:r w:rsidRPr="00EC250C">
        <w:t>walk</w:t>
      </w:r>
      <w:r w:rsidR="00FD3AE2" w:rsidRPr="00EC250C">
        <w:t>i</w:t>
      </w:r>
      <w:r w:rsidR="00992FD0" w:rsidRPr="00EC250C">
        <w:t xml:space="preserve"> z </w:t>
      </w:r>
      <w:r w:rsidRPr="00EC250C">
        <w:t>terroryzmem</w:t>
      </w:r>
      <w:r w:rsidR="00992FD0" w:rsidRPr="00EC250C">
        <w:t xml:space="preserve"> i </w:t>
      </w:r>
      <w:r w:rsidRPr="00EC250C">
        <w:t>zorganizowaną przestępczością.</w:t>
      </w:r>
    </w:p>
    <w:p w14:paraId="2583B9B6" w14:textId="77777777" w:rsidR="00C91F6E" w:rsidRPr="00EC250C" w:rsidRDefault="003C4059" w:rsidP="00D131FA">
      <w:pPr>
        <w:pStyle w:val="ComwiKonstytucja"/>
      </w:pPr>
      <w:r w:rsidRPr="00EC250C">
        <w:t>Konwencja także bezwzględnie zakazuje stosowania tortur</w:t>
      </w:r>
      <w:r w:rsidR="00992FD0" w:rsidRPr="00EC250C">
        <w:t xml:space="preserve"> i </w:t>
      </w:r>
      <w:r w:rsidRPr="00EC250C">
        <w:t>nieludzkiego lub poniżającego traktowania albo karania, niezależnie od postępowania danych osób. Użycie siły wobec drugiej osoby możliwe jest jedynie</w:t>
      </w:r>
      <w:r w:rsidR="00992FD0" w:rsidRPr="00EC250C">
        <w:t xml:space="preserve"> w </w:t>
      </w:r>
      <w:r w:rsidRPr="00EC250C">
        <w:t>niektórych sytuacjach</w:t>
      </w:r>
      <w:r w:rsidR="00992FD0" w:rsidRPr="00EC250C">
        <w:t xml:space="preserve"> o </w:t>
      </w:r>
      <w:r w:rsidRPr="00EC250C">
        <w:t>charakterze ściśle koniecznym</w:t>
      </w:r>
      <w:r w:rsidR="00FD3AE2" w:rsidRPr="00EC250C">
        <w:t>.</w:t>
      </w:r>
      <w:r w:rsidRPr="00EC250C">
        <w:t xml:space="preserve"> </w:t>
      </w:r>
      <w:r w:rsidR="00FD3AE2" w:rsidRPr="00EC250C">
        <w:t>K</w:t>
      </w:r>
      <w:r w:rsidRPr="00EC250C">
        <w:t>ażde użycie siły, które wykracza poza ścisłą konieczność, narusza ludzką godność</w:t>
      </w:r>
      <w:r w:rsidR="00992FD0" w:rsidRPr="00EC250C">
        <w:t xml:space="preserve"> i </w:t>
      </w:r>
      <w:r w:rsidRPr="00EC250C">
        <w:t>stanowi naruszenie art. 3 Konwencji.</w:t>
      </w:r>
    </w:p>
    <w:p w14:paraId="49784705" w14:textId="77777777" w:rsidR="003A07AA" w:rsidRPr="00EC250C" w:rsidRDefault="003A07AA" w:rsidP="00D131FA">
      <w:pPr>
        <w:pStyle w:val="ComwiKonstytucja"/>
        <w:rPr>
          <w:b/>
        </w:rPr>
      </w:pPr>
      <w:r w:rsidRPr="00EC250C">
        <w:rPr>
          <w:b/>
        </w:rPr>
        <w:t>Czym są tortury?</w:t>
      </w:r>
    </w:p>
    <w:p w14:paraId="264964BB" w14:textId="77777777" w:rsidR="00FD3AE2" w:rsidRPr="00EC250C" w:rsidRDefault="003C4059" w:rsidP="00D131FA">
      <w:pPr>
        <w:pStyle w:val="ComwiKonstytucja"/>
      </w:pPr>
      <w:r w:rsidRPr="00EC250C">
        <w:t>Ochronę praw człowieka zawartych</w:t>
      </w:r>
      <w:r w:rsidR="00992FD0" w:rsidRPr="00EC250C">
        <w:t xml:space="preserve"> w </w:t>
      </w:r>
      <w:r w:rsidRPr="00EC250C">
        <w:t>Konwencji zapewnia Europejski Trybunał Praw Człowieka (ETPCz), który rozpatruje skargi</w:t>
      </w:r>
      <w:r w:rsidR="00992FD0" w:rsidRPr="00EC250C">
        <w:t xml:space="preserve"> i </w:t>
      </w:r>
      <w:r w:rsidRPr="00EC250C">
        <w:t xml:space="preserve">zobowiązuje </w:t>
      </w:r>
      <w:r w:rsidR="00FD3AE2" w:rsidRPr="00EC250C">
        <w:t>p</w:t>
      </w:r>
      <w:r w:rsidRPr="00EC250C">
        <w:t>aństwa-</w:t>
      </w:r>
      <w:r w:rsidR="00FD3AE2" w:rsidRPr="00EC250C">
        <w:t>s</w:t>
      </w:r>
      <w:r w:rsidRPr="00EC250C">
        <w:t>trony do udoskonalania</w:t>
      </w:r>
      <w:r w:rsidR="00992FD0" w:rsidRPr="00EC250C">
        <w:t xml:space="preserve"> i </w:t>
      </w:r>
      <w:r w:rsidRPr="00EC250C">
        <w:t>uszczelniania systemów prawnych mogących stanowić pole do nadużyć. Wieloletnia praktyka Trybunału pozwoliła na rozróżnienie pojęć takich jak tortury</w:t>
      </w:r>
      <w:r w:rsidR="00992FD0" w:rsidRPr="00EC250C">
        <w:t xml:space="preserve"> i </w:t>
      </w:r>
      <w:r w:rsidRPr="00EC250C">
        <w:t>nieludzkie, poniżające traktowanie,</w:t>
      </w:r>
      <w:r w:rsidR="00FD3AE2" w:rsidRPr="00EC250C">
        <w:t>.</w:t>
      </w:r>
    </w:p>
    <w:p w14:paraId="68AA3292" w14:textId="77777777" w:rsidR="00C91F6E" w:rsidRPr="00EC250C" w:rsidRDefault="003C4059" w:rsidP="00D131FA">
      <w:pPr>
        <w:pStyle w:val="ComwiKonstytucja"/>
      </w:pPr>
      <w:r w:rsidRPr="00EC250C">
        <w:t>We współczesnym orzecznictwie Trybunał określa tortury wyłącznie jako umyślne, nieludzkie traktowanie powodujące bardzo poważne</w:t>
      </w:r>
      <w:r w:rsidR="00992FD0" w:rsidRPr="00EC250C">
        <w:t xml:space="preserve"> i </w:t>
      </w:r>
      <w:r w:rsidRPr="00EC250C">
        <w:t>okrutne cierpienie.</w:t>
      </w:r>
    </w:p>
    <w:p w14:paraId="646306AB" w14:textId="77777777" w:rsidR="00FD3AE2" w:rsidRPr="00EC250C" w:rsidRDefault="003C4059" w:rsidP="00D131FA">
      <w:pPr>
        <w:pStyle w:val="ComwiKonstytucja"/>
      </w:pPr>
      <w:r w:rsidRPr="00EC250C">
        <w:lastRenderedPageBreak/>
        <w:t>Za nieludzkie uznaje zachowanie, jeżeli, między innymi, było ono stosowane</w:t>
      </w:r>
      <w:r w:rsidR="00992FD0" w:rsidRPr="00EC250C">
        <w:t xml:space="preserve"> z </w:t>
      </w:r>
      <w:r w:rsidRPr="00EC250C">
        <w:t>premedytacją przez wiele godzin</w:t>
      </w:r>
      <w:r w:rsidR="00992FD0" w:rsidRPr="00EC250C">
        <w:t xml:space="preserve"> i </w:t>
      </w:r>
      <w:r w:rsidRPr="00EC250C">
        <w:t>spowodowało albo faktyczne uszkodzenie ciała, albo intensywne fizyczne</w:t>
      </w:r>
      <w:r w:rsidR="00992FD0" w:rsidRPr="00EC250C">
        <w:t xml:space="preserve"> i </w:t>
      </w:r>
      <w:r w:rsidRPr="00EC250C">
        <w:t>psychiczne cierpienie.</w:t>
      </w:r>
    </w:p>
    <w:p w14:paraId="4603C316" w14:textId="77777777" w:rsidR="00C91F6E" w:rsidRPr="00EC250C" w:rsidRDefault="00FD3AE2" w:rsidP="00D131FA">
      <w:pPr>
        <w:pStyle w:val="ComwiKonstytucja"/>
      </w:pPr>
      <w:r w:rsidRPr="00EC250C">
        <w:t>T</w:t>
      </w:r>
      <w:r w:rsidR="003C4059" w:rsidRPr="00EC250C">
        <w:t>raktowanie można określić jako poniżające, jeżeli miało na celu wywołanie</w:t>
      </w:r>
      <w:r w:rsidR="00992FD0" w:rsidRPr="00EC250C">
        <w:t xml:space="preserve"> w </w:t>
      </w:r>
      <w:r w:rsidR="003C4059" w:rsidRPr="00EC250C">
        <w:t>ofierze uczucia strachu, udręczenia</w:t>
      </w:r>
      <w:r w:rsidR="00992FD0" w:rsidRPr="00EC250C">
        <w:t xml:space="preserve"> i </w:t>
      </w:r>
      <w:r w:rsidR="003C4059" w:rsidRPr="00EC250C">
        <w:t>niższości będącego</w:t>
      </w:r>
      <w:r w:rsidR="00992FD0" w:rsidRPr="00EC250C">
        <w:t xml:space="preserve"> w </w:t>
      </w:r>
      <w:r w:rsidR="003C4059" w:rsidRPr="00EC250C">
        <w:t>stanie poniżyć</w:t>
      </w:r>
      <w:r w:rsidR="00992FD0" w:rsidRPr="00EC250C">
        <w:t xml:space="preserve"> i </w:t>
      </w:r>
      <w:r w:rsidR="003C4059" w:rsidRPr="00EC250C">
        <w:t>upokorzyć.</w:t>
      </w:r>
    </w:p>
    <w:p w14:paraId="195FEB3A" w14:textId="77777777" w:rsidR="00C91F6E" w:rsidRPr="00EC250C" w:rsidRDefault="003C4059" w:rsidP="00D131FA">
      <w:pPr>
        <w:pStyle w:val="ComwiKonstytucja"/>
      </w:pPr>
      <w:r w:rsidRPr="00EC250C">
        <w:t>Trybunał stale podkreślał, że wchodzące</w:t>
      </w:r>
      <w:r w:rsidR="00992FD0" w:rsidRPr="00EC250C">
        <w:t xml:space="preserve"> w </w:t>
      </w:r>
      <w:r w:rsidRPr="00EC250C">
        <w:t>grę cierpienie</w:t>
      </w:r>
      <w:r w:rsidR="00992FD0" w:rsidRPr="00EC250C">
        <w:t xml:space="preserve"> i </w:t>
      </w:r>
      <w:r w:rsidRPr="00EC250C">
        <w:t>poniżenie musi</w:t>
      </w:r>
      <w:r w:rsidR="00992FD0" w:rsidRPr="00EC250C">
        <w:t xml:space="preserve"> w </w:t>
      </w:r>
      <w:r w:rsidRPr="00EC250C">
        <w:t>każdym razie wykraczać poza nieunikniony element cierpienia lub poniżenia związany</w:t>
      </w:r>
      <w:r w:rsidR="00992FD0" w:rsidRPr="00EC250C">
        <w:t xml:space="preserve"> z </w:t>
      </w:r>
      <w:r w:rsidRPr="00EC250C">
        <w:t>daną formą zgodnego</w:t>
      </w:r>
      <w:r w:rsidR="00992FD0" w:rsidRPr="00EC250C">
        <w:t xml:space="preserve"> z </w:t>
      </w:r>
      <w:r w:rsidRPr="00EC250C">
        <w:t>prawem traktowania lub karania.</w:t>
      </w:r>
    </w:p>
    <w:p w14:paraId="0FCFC772" w14:textId="77777777" w:rsidR="00C91F6E" w:rsidRPr="00EC250C" w:rsidRDefault="003C4059" w:rsidP="00D131FA">
      <w:pPr>
        <w:pStyle w:val="ComwiKonstytucja"/>
      </w:pPr>
      <w:r w:rsidRPr="00EC250C">
        <w:t>W rozumieniu Konwencji</w:t>
      </w:r>
      <w:r w:rsidR="00992FD0" w:rsidRPr="00EC250C">
        <w:t xml:space="preserve"> w </w:t>
      </w:r>
      <w:r w:rsidRPr="00EC250C">
        <w:t>sprawie zakazu stosowania tortur tortury oznaczają każde działanie, którym jakiejkolwiek osobie umyślnie zadaje się ostry ból lub cierpienie, fizyczne bądź psychiczne,</w:t>
      </w:r>
      <w:r w:rsidR="00992FD0" w:rsidRPr="00EC250C">
        <w:t xml:space="preserve"> w </w:t>
      </w:r>
      <w:r w:rsidRPr="00EC250C">
        <w:t>celu uzyskania od niej lub od osoby trzeciej informacji lub wyznania,</w:t>
      </w:r>
      <w:r w:rsidR="00992FD0" w:rsidRPr="00EC250C">
        <w:t xml:space="preserve"> w </w:t>
      </w:r>
      <w:r w:rsidRPr="00EC250C">
        <w:t>celu ukarania jej za czyn popełniony przez nią lub osobę trzecią albo</w:t>
      </w:r>
      <w:r w:rsidR="00992FD0" w:rsidRPr="00EC250C">
        <w:t xml:space="preserve"> o </w:t>
      </w:r>
      <w:r w:rsidRPr="00EC250C">
        <w:t>którego dokonanie jest ona podejrzana,</w:t>
      </w:r>
      <w:r w:rsidR="00992FD0" w:rsidRPr="00EC250C">
        <w:t xml:space="preserve"> a </w:t>
      </w:r>
      <w:r w:rsidRPr="00EC250C">
        <w:t>także</w:t>
      </w:r>
      <w:r w:rsidR="00992FD0" w:rsidRPr="00EC250C">
        <w:t xml:space="preserve"> w </w:t>
      </w:r>
      <w:r w:rsidRPr="00EC250C">
        <w:t>celu zastraszenia lub wywarcia nacisku na nią lub trzecią osobę albo</w:t>
      </w:r>
      <w:r w:rsidR="00992FD0" w:rsidRPr="00EC250C">
        <w:t xml:space="preserve"> w </w:t>
      </w:r>
      <w:r w:rsidRPr="00EC250C">
        <w:t>jakimkolwiek innym celu wynikającym</w:t>
      </w:r>
      <w:r w:rsidR="00992FD0" w:rsidRPr="00EC250C">
        <w:t xml:space="preserve"> z </w:t>
      </w:r>
      <w:r w:rsidRPr="00EC250C">
        <w:t>wszelkiej formy dyskryminacji, gdy taki ból lub cierpienie powodowane są przez funkcjonariusza państwowego lub inną osobę występującą</w:t>
      </w:r>
      <w:r w:rsidR="00992FD0" w:rsidRPr="00EC250C">
        <w:t xml:space="preserve"> w </w:t>
      </w:r>
      <w:r w:rsidRPr="00EC250C">
        <w:t>charakterze urzędowym lub</w:t>
      </w:r>
      <w:r w:rsidR="00992FD0" w:rsidRPr="00EC250C">
        <w:t xml:space="preserve"> z </w:t>
      </w:r>
      <w:r w:rsidRPr="00EC250C">
        <w:t>ich polecenia albo za wyraźną lub milczącą zgodą. Określenie to nie obejmuje bólu lub cierpienia wynikających jedynie ze zgodnych</w:t>
      </w:r>
      <w:r w:rsidR="00992FD0" w:rsidRPr="00EC250C">
        <w:t xml:space="preserve"> z </w:t>
      </w:r>
      <w:r w:rsidRPr="00EC250C">
        <w:t>prawem sankcji, nieodłącznie związanych</w:t>
      </w:r>
      <w:r w:rsidR="00992FD0" w:rsidRPr="00EC250C">
        <w:t xml:space="preserve"> z </w:t>
      </w:r>
      <w:r w:rsidRPr="00EC250C">
        <w:t>tymi sankcjami lub wywołanych przez nie przypadkowo.</w:t>
      </w:r>
    </w:p>
    <w:p w14:paraId="31231CCF" w14:textId="77777777" w:rsidR="003A07AA" w:rsidRPr="00EC250C" w:rsidRDefault="003A07AA" w:rsidP="00D131FA">
      <w:pPr>
        <w:pStyle w:val="ComwiKonstytucja"/>
        <w:rPr>
          <w:b/>
        </w:rPr>
      </w:pPr>
      <w:r w:rsidRPr="00EC250C">
        <w:rPr>
          <w:b/>
        </w:rPr>
        <w:t>Zapobieganie torturom, nieludzkiemu</w:t>
      </w:r>
      <w:r w:rsidR="00992FD0" w:rsidRPr="00EC250C">
        <w:rPr>
          <w:b/>
        </w:rPr>
        <w:t xml:space="preserve"> i </w:t>
      </w:r>
      <w:r w:rsidRPr="00EC250C">
        <w:rPr>
          <w:b/>
        </w:rPr>
        <w:t>poniżającemu traktowaniu</w:t>
      </w:r>
    </w:p>
    <w:p w14:paraId="2B14F41D" w14:textId="77777777" w:rsidR="003A07AA" w:rsidRPr="00EC250C" w:rsidRDefault="003C4059" w:rsidP="00D131FA">
      <w:pPr>
        <w:pStyle w:val="ComwiKonstytucja"/>
      </w:pPr>
      <w:r w:rsidRPr="00EC250C">
        <w:t>Konwencja nie odnosi się do kwestii zapobiegania torturom</w:t>
      </w:r>
      <w:r w:rsidR="00992FD0" w:rsidRPr="00EC250C">
        <w:t xml:space="preserve"> i </w:t>
      </w:r>
      <w:r w:rsidRPr="00EC250C">
        <w:t>nieludzkiemu traktowaniu. Tymczasem</w:t>
      </w:r>
      <w:r w:rsidR="00992FD0" w:rsidRPr="00EC250C">
        <w:t xml:space="preserve"> w </w:t>
      </w:r>
      <w:r w:rsidRPr="00EC250C">
        <w:t>latach 70. rozpoczęła się dyskusja na temat znaczenia działań prewencyjnych</w:t>
      </w:r>
      <w:r w:rsidR="00992FD0" w:rsidRPr="00EC250C">
        <w:t xml:space="preserve"> w </w:t>
      </w:r>
      <w:r w:rsidRPr="00EC250C">
        <w:t>eliminowaniu tego typu praktyk</w:t>
      </w:r>
      <w:r w:rsidR="003A07AA" w:rsidRPr="00EC250C">
        <w:t>.</w:t>
      </w:r>
      <w:r w:rsidRPr="00EC250C">
        <w:t>. Ukoronowaniem starań</w:t>
      </w:r>
      <w:r w:rsidR="00992FD0" w:rsidRPr="00EC250C">
        <w:t xml:space="preserve"> o </w:t>
      </w:r>
      <w:r w:rsidRPr="00EC250C">
        <w:t>uzupełnienie systemu prewencji tortur było podpisanie</w:t>
      </w:r>
      <w:r w:rsidR="00992FD0" w:rsidRPr="00EC250C">
        <w:t xml:space="preserve"> w </w:t>
      </w:r>
      <w:r w:rsidRPr="00EC250C">
        <w:t>dniu 18 grudnia 2002</w:t>
      </w:r>
      <w:r w:rsidR="00C91F6E" w:rsidRPr="00EC250C">
        <w:t> r.</w:t>
      </w:r>
      <w:r w:rsidRPr="00EC250C">
        <w:t xml:space="preserve"> Protokołu Fakultatywnego do Konwencji ONZ</w:t>
      </w:r>
      <w:r w:rsidR="00992FD0" w:rsidRPr="00EC250C">
        <w:t xml:space="preserve"> w </w:t>
      </w:r>
      <w:r w:rsidRPr="00EC250C">
        <w:t>sprawie zakazu stosowania tortur oraz nieludzkiego</w:t>
      </w:r>
      <w:r w:rsidR="00992FD0" w:rsidRPr="00EC250C">
        <w:t xml:space="preserve"> i </w:t>
      </w:r>
      <w:r w:rsidRPr="00EC250C">
        <w:t>poniżającego traktowania (OPCAT).</w:t>
      </w:r>
    </w:p>
    <w:p w14:paraId="5DE5B7E0" w14:textId="77777777" w:rsidR="003A07AA" w:rsidRPr="00EC250C" w:rsidRDefault="003A07AA" w:rsidP="00D131FA">
      <w:pPr>
        <w:pStyle w:val="ComwiKonstytucja"/>
      </w:pPr>
      <w:r w:rsidRPr="00EC250C">
        <w:t>Polska ratyfikowała OPCAT</w:t>
      </w:r>
      <w:r w:rsidR="00992FD0" w:rsidRPr="00EC250C">
        <w:t xml:space="preserve"> w </w:t>
      </w:r>
      <w:r w:rsidRPr="00EC250C">
        <w:t>2005</w:t>
      </w:r>
      <w:r w:rsidR="00C91F6E" w:rsidRPr="00EC250C">
        <w:t> r.</w:t>
      </w:r>
    </w:p>
    <w:p w14:paraId="50CC072F" w14:textId="77777777" w:rsidR="00C91F6E" w:rsidRPr="00EC250C" w:rsidRDefault="003A07AA" w:rsidP="00D131FA">
      <w:pPr>
        <w:pStyle w:val="ComwiKonstytucja"/>
      </w:pPr>
      <w:r w:rsidRPr="00EC250C">
        <w:t xml:space="preserve">OPCAT zakłada, że </w:t>
      </w:r>
      <w:r w:rsidR="003C4059" w:rsidRPr="00EC250C">
        <w:t>jednym</w:t>
      </w:r>
      <w:r w:rsidR="00992FD0" w:rsidRPr="00EC250C">
        <w:t xml:space="preserve"> z </w:t>
      </w:r>
      <w:r w:rsidR="003C4059" w:rsidRPr="00EC250C">
        <w:t>najskuteczniejszych sposobów zapobiegania torturom jest stworzenie systemu regularnych, kontrolnych wizyt</w:t>
      </w:r>
      <w:r w:rsidR="00992FD0" w:rsidRPr="00EC250C">
        <w:t xml:space="preserve"> w </w:t>
      </w:r>
      <w:r w:rsidR="003C4059" w:rsidRPr="00EC250C">
        <w:t>miejscach, gdzie przebywają osoby pozbawione wolności.</w:t>
      </w:r>
    </w:p>
    <w:p w14:paraId="3E3C64C0" w14:textId="77777777" w:rsidR="003A07AA" w:rsidRPr="00EC250C" w:rsidRDefault="003C4059" w:rsidP="00D131FA">
      <w:pPr>
        <w:pStyle w:val="ComwiKonstytucja"/>
      </w:pPr>
      <w:r w:rsidRPr="00EC250C">
        <w:t xml:space="preserve">Protokół przewiduje powołanie tzw. międzynarodowego mechanizmu prewencji </w:t>
      </w:r>
      <w:r w:rsidR="003A07AA" w:rsidRPr="00EC250C">
        <w:t xml:space="preserve">tortur </w:t>
      </w:r>
      <w:r w:rsidRPr="00EC250C">
        <w:t>oraz krajowych mechanizmów prewencji</w:t>
      </w:r>
      <w:r w:rsidR="003A07AA" w:rsidRPr="00EC250C">
        <w:t xml:space="preserve"> tortur (w Polsce działa on</w:t>
      </w:r>
      <w:r w:rsidR="00992FD0" w:rsidRPr="00EC250C">
        <w:t xml:space="preserve"> w </w:t>
      </w:r>
      <w:r w:rsidR="003A07AA" w:rsidRPr="00EC250C">
        <w:t>ramach Biura RPO)</w:t>
      </w:r>
      <w:r w:rsidRPr="00EC250C">
        <w:t>.</w:t>
      </w:r>
    </w:p>
    <w:p w14:paraId="2DF1E8F3" w14:textId="77777777" w:rsidR="003C4059" w:rsidRPr="00EC250C" w:rsidRDefault="003C4059" w:rsidP="00D131FA">
      <w:pPr>
        <w:pStyle w:val="ComwiKonstytucja"/>
      </w:pPr>
      <w:r w:rsidRPr="00EC250C">
        <w:t>Zgodnie</w:t>
      </w:r>
      <w:r w:rsidR="00992FD0" w:rsidRPr="00EC250C">
        <w:t xml:space="preserve"> z </w:t>
      </w:r>
      <w:r w:rsidRPr="00EC250C">
        <w:t xml:space="preserve">OPCAT każde państwo-strona zezwala na przeprowadzanie </w:t>
      </w:r>
      <w:r w:rsidR="003A07AA" w:rsidRPr="00EC250C">
        <w:t>takich wizytacji</w:t>
      </w:r>
      <w:r w:rsidR="00992FD0" w:rsidRPr="00EC250C">
        <w:t xml:space="preserve"> w </w:t>
      </w:r>
      <w:r w:rsidRPr="00EC250C">
        <w:t>jakimkolwiek miejscu pozostającym pod jego jurysdykcją</w:t>
      </w:r>
      <w:r w:rsidR="00992FD0" w:rsidRPr="00EC250C">
        <w:t xml:space="preserve"> i </w:t>
      </w:r>
      <w:r w:rsidRPr="00EC250C">
        <w:t>kontrolą, gdzie przebywają lub mogą przebywać osoby pozbawione wolności na podstawie polecenia organu władzy publicznej bądź za jego namową, zgodą lub przyzwoleniem</w:t>
      </w:r>
      <w:r w:rsidR="003A07AA" w:rsidRPr="00EC250C">
        <w:t>. Są to zatem: zakłady karne</w:t>
      </w:r>
      <w:r w:rsidR="00992FD0" w:rsidRPr="00EC250C">
        <w:t xml:space="preserve"> i </w:t>
      </w:r>
      <w:r w:rsidR="003A07AA" w:rsidRPr="00EC250C">
        <w:t>areszty śledcze, pomieszczenia policyjne,</w:t>
      </w:r>
      <w:r w:rsidR="00992FD0" w:rsidRPr="00EC250C">
        <w:t xml:space="preserve"> w </w:t>
      </w:r>
      <w:r w:rsidR="003A07AA" w:rsidRPr="00EC250C">
        <w:t>tym izby zatrzymań, miejsca detencji nieletnich, szpitale psychiatryczne</w:t>
      </w:r>
      <w:r w:rsidR="00992FD0" w:rsidRPr="00EC250C">
        <w:t xml:space="preserve"> i </w:t>
      </w:r>
      <w:r w:rsidR="003A07AA" w:rsidRPr="00EC250C">
        <w:t>domy pomocy społecznej.</w:t>
      </w:r>
    </w:p>
    <w:p w14:paraId="34828BE5" w14:textId="77777777" w:rsidR="003C4059" w:rsidRPr="00EC250C" w:rsidRDefault="003C4059" w:rsidP="00D131FA">
      <w:pPr>
        <w:pStyle w:val="ComwiKonstytucja"/>
      </w:pPr>
    </w:p>
    <w:p w14:paraId="0F3D8CF6" w14:textId="77777777" w:rsidR="003C4059" w:rsidRPr="00EC250C" w:rsidRDefault="003C4059" w:rsidP="00D131FA">
      <w:pPr>
        <w:spacing w:after="200" w:line="24" w:lineRule="auto"/>
        <w:jc w:val="both"/>
        <w:rPr>
          <w:i/>
          <w:spacing w:val="5"/>
          <w:sz w:val="22"/>
        </w:rPr>
      </w:pPr>
      <w:r w:rsidRPr="00EC250C">
        <w:rPr>
          <w:sz w:val="24"/>
        </w:rPr>
        <w:br w:type="page"/>
      </w:r>
    </w:p>
    <w:p w14:paraId="475578C2" w14:textId="77777777" w:rsidR="00C91F6E" w:rsidRPr="00EC250C" w:rsidRDefault="00D55FD3" w:rsidP="00EC79EB">
      <w:pPr>
        <w:pStyle w:val="Nagwek4"/>
      </w:pPr>
      <w:bookmarkStart w:id="118" w:name="_Toc6257672"/>
      <w:bookmarkStart w:id="119" w:name="_Toc11247578"/>
      <w:r w:rsidRPr="00EC250C">
        <w:lastRenderedPageBreak/>
        <w:t>T</w:t>
      </w:r>
      <w:r w:rsidR="00A66397" w:rsidRPr="00EC250C">
        <w:t>ortur</w:t>
      </w:r>
      <w:r w:rsidRPr="00EC250C">
        <w:t>y</w:t>
      </w:r>
      <w:r w:rsidR="00992FD0" w:rsidRPr="00EC250C">
        <w:t xml:space="preserve"> w </w:t>
      </w:r>
      <w:r w:rsidR="002C6F03" w:rsidRPr="00EC250C">
        <w:t>Polsce</w:t>
      </w:r>
      <w:r w:rsidRPr="00EC250C">
        <w:t xml:space="preserve"> – ponura rzeczywistość</w:t>
      </w:r>
      <w:bookmarkEnd w:id="118"/>
      <w:bookmarkEnd w:id="119"/>
    </w:p>
    <w:p w14:paraId="35067794" w14:textId="77777777" w:rsidR="00B473F5" w:rsidRPr="00EC250C" w:rsidRDefault="009F351A" w:rsidP="00D131FA">
      <w:pPr>
        <w:pStyle w:val="Problemczowieka"/>
        <w:jc w:val="both"/>
      </w:pPr>
      <w:r w:rsidRPr="00EC250C">
        <w:t>Najczęściej ofiarami tortur są</w:t>
      </w:r>
      <w:r w:rsidR="00992FD0" w:rsidRPr="00EC250C">
        <w:t xml:space="preserve"> w </w:t>
      </w:r>
      <w:r w:rsidRPr="00EC250C">
        <w:t>Polsce osoby</w:t>
      </w:r>
      <w:r w:rsidR="00992FD0" w:rsidRPr="00EC250C">
        <w:t xml:space="preserve"> o </w:t>
      </w:r>
      <w:r w:rsidRPr="00EC250C">
        <w:t>niewielkiej świadomości społecznej, bardzo często niepełnoletni,</w:t>
      </w:r>
      <w:r w:rsidR="00992FD0" w:rsidRPr="00EC250C">
        <w:t xml:space="preserve"> a </w:t>
      </w:r>
      <w:r w:rsidRPr="00EC250C">
        <w:t>także osoby</w:t>
      </w:r>
      <w:r w:rsidR="00992FD0" w:rsidRPr="00EC250C">
        <w:t xml:space="preserve"> z </w:t>
      </w:r>
      <w:r w:rsidRPr="00EC250C">
        <w:t>niepełnosprawnościami</w:t>
      </w:r>
      <w:r w:rsidR="00B473F5" w:rsidRPr="00EC250C">
        <w:t>.</w:t>
      </w:r>
    </w:p>
    <w:p w14:paraId="54263F15" w14:textId="77777777" w:rsidR="003A412A" w:rsidRPr="00EC250C" w:rsidRDefault="009F351A" w:rsidP="00D131FA">
      <w:pPr>
        <w:pStyle w:val="Styl1"/>
      </w:pPr>
      <w:r w:rsidRPr="00EC250C">
        <w:t>Osoby zatrzymywane przez policję są bite</w:t>
      </w:r>
      <w:r w:rsidR="00992FD0" w:rsidRPr="00EC250C">
        <w:t xml:space="preserve"> </w:t>
      </w:r>
      <w:r w:rsidRPr="00EC250C">
        <w:t>(przy</w:t>
      </w:r>
      <w:r w:rsidR="00392799" w:rsidRPr="00EC250C">
        <w:t xml:space="preserve"> </w:t>
      </w:r>
      <w:r w:rsidRPr="00EC250C">
        <w:t>użyciu m.in. policyjnych pałek), podduszane, straszone bronią, zmuszane bez</w:t>
      </w:r>
      <w:r w:rsidR="00392799" w:rsidRPr="00EC250C">
        <w:t xml:space="preserve"> </w:t>
      </w:r>
      <w:r w:rsidRPr="00EC250C">
        <w:t>powodu</w:t>
      </w:r>
      <w:r w:rsidR="00392799" w:rsidRPr="00EC250C">
        <w:t xml:space="preserve"> </w:t>
      </w:r>
      <w:r w:rsidRPr="00EC250C">
        <w:t>do</w:t>
      </w:r>
      <w:r w:rsidR="00392799" w:rsidRPr="00EC250C">
        <w:t xml:space="preserve"> </w:t>
      </w:r>
      <w:r w:rsidRPr="00EC250C">
        <w:t>poddania się</w:t>
      </w:r>
      <w:r w:rsidR="00392799" w:rsidRPr="00EC250C">
        <w:t xml:space="preserve"> </w:t>
      </w:r>
      <w:r w:rsidRPr="00EC250C">
        <w:t>kontroli</w:t>
      </w:r>
      <w:r w:rsidR="00392799" w:rsidRPr="00EC250C">
        <w:t xml:space="preserve"> </w:t>
      </w:r>
      <w:r w:rsidRPr="00EC250C">
        <w:t>osobistej</w:t>
      </w:r>
      <w:r w:rsidR="00F26875" w:rsidRPr="00EC250C">
        <w:t xml:space="preserve"> (co wiąże się </w:t>
      </w:r>
      <w:r w:rsidRPr="00EC250C">
        <w:t>ze</w:t>
      </w:r>
      <w:r w:rsidR="00392799" w:rsidRPr="00EC250C">
        <w:t xml:space="preserve"> </w:t>
      </w:r>
      <w:r w:rsidRPr="00EC250C">
        <w:t>zdjęciem</w:t>
      </w:r>
      <w:r w:rsidR="00392799" w:rsidRPr="00EC250C">
        <w:t xml:space="preserve"> </w:t>
      </w:r>
      <w:r w:rsidRPr="00EC250C">
        <w:t>bielizny</w:t>
      </w:r>
      <w:r w:rsidR="00992FD0" w:rsidRPr="00EC250C">
        <w:t xml:space="preserve"> i </w:t>
      </w:r>
      <w:r w:rsidRPr="00EC250C">
        <w:t>rozchyleniem pośladków</w:t>
      </w:r>
      <w:r w:rsidR="00F26875" w:rsidRPr="00EC250C">
        <w:t>)</w:t>
      </w:r>
      <w:r w:rsidRPr="00EC250C">
        <w:t>, rozbieran</w:t>
      </w:r>
      <w:r w:rsidR="00F26875" w:rsidRPr="00EC250C">
        <w:t>e</w:t>
      </w:r>
      <w:r w:rsidR="00992FD0" w:rsidRPr="00EC250C">
        <w:t xml:space="preserve"> i </w:t>
      </w:r>
      <w:r w:rsidRPr="00EC250C">
        <w:t>wystawian</w:t>
      </w:r>
      <w:r w:rsidR="00F26875" w:rsidRPr="00EC250C">
        <w:t>e</w:t>
      </w:r>
      <w:r w:rsidRPr="00EC250C">
        <w:t xml:space="preserve"> na widok publiczny </w:t>
      </w:r>
      <w:r w:rsidR="00F26875" w:rsidRPr="00EC250C">
        <w:t>(</w:t>
      </w:r>
      <w:r w:rsidRPr="00EC250C">
        <w:t>przez okno</w:t>
      </w:r>
      <w:r w:rsidR="00F26875" w:rsidRPr="00EC250C">
        <w:t>)</w:t>
      </w:r>
      <w:r w:rsidRPr="00EC250C">
        <w:t>, straszon</w:t>
      </w:r>
      <w:r w:rsidR="00F26875" w:rsidRPr="00EC250C">
        <w:t>e</w:t>
      </w:r>
      <w:r w:rsidRPr="00EC250C">
        <w:t xml:space="preserve"> zgwałceniem, pobiciem metalowym młotkiem, przestrzeleniem kolan </w:t>
      </w:r>
      <w:r w:rsidR="00F26875" w:rsidRPr="00EC250C">
        <w:t>„</w:t>
      </w:r>
      <w:r w:rsidRPr="00EC250C">
        <w:t>przy próbie ucieczki</w:t>
      </w:r>
      <w:r w:rsidR="00F26875" w:rsidRPr="00EC250C">
        <w:t>”</w:t>
      </w:r>
      <w:r w:rsidRPr="00EC250C">
        <w:t>.</w:t>
      </w:r>
      <w:r w:rsidR="003A412A" w:rsidRPr="00EC250C">
        <w:t xml:space="preserve"> </w:t>
      </w:r>
      <w:r w:rsidR="00F26875" w:rsidRPr="00EC250C">
        <w:t xml:space="preserve">To wynika z </w:t>
      </w:r>
      <w:r w:rsidR="003A412A" w:rsidRPr="00EC250C">
        <w:t xml:space="preserve">analiz akt </w:t>
      </w:r>
      <w:r w:rsidR="00F26875" w:rsidRPr="00EC250C">
        <w:t>sądowych –</w:t>
      </w:r>
      <w:r w:rsidR="00FB48CA" w:rsidRPr="00EC250C">
        <w:t xml:space="preserve"> </w:t>
      </w:r>
      <w:r w:rsidR="00992FD0" w:rsidRPr="00EC250C">
        <w:t>w </w:t>
      </w:r>
      <w:r w:rsidR="003A412A" w:rsidRPr="00EC250C">
        <w:t>latach 2008-2016 skazano</w:t>
      </w:r>
      <w:r w:rsidR="00992FD0" w:rsidRPr="00EC250C">
        <w:t xml:space="preserve"> w </w:t>
      </w:r>
      <w:r w:rsidR="003A412A" w:rsidRPr="00EC250C">
        <w:t xml:space="preserve">Polsce prawomocnie </w:t>
      </w:r>
      <w:r w:rsidR="00D60803" w:rsidRPr="00EC250C">
        <w:t xml:space="preserve">za to </w:t>
      </w:r>
      <w:r w:rsidR="003A412A" w:rsidRPr="00EC250C">
        <w:t>4</w:t>
      </w:r>
      <w:r w:rsidR="004671E5" w:rsidRPr="00EC250C">
        <w:t>3</w:t>
      </w:r>
      <w:r w:rsidR="003A412A" w:rsidRPr="00EC250C">
        <w:t xml:space="preserve"> policjantów</w:t>
      </w:r>
      <w:r w:rsidR="003A412A" w:rsidRPr="00EC250C">
        <w:rPr>
          <w:vertAlign w:val="superscript"/>
        </w:rPr>
        <w:footnoteReference w:id="107"/>
      </w:r>
      <w:r w:rsidR="003A412A" w:rsidRPr="00EC250C">
        <w:t>.</w:t>
      </w:r>
    </w:p>
    <w:p w14:paraId="5A4EEC0F" w14:textId="77777777" w:rsidR="00C91F6E" w:rsidRPr="00EC250C" w:rsidRDefault="009F351A" w:rsidP="00D131FA">
      <w:pPr>
        <w:pStyle w:val="Styl1"/>
      </w:pPr>
      <w:r w:rsidRPr="00EC250C">
        <w:t>Problem tortur</w:t>
      </w:r>
      <w:r w:rsidR="00992FD0" w:rsidRPr="00EC250C">
        <w:t xml:space="preserve"> w </w:t>
      </w:r>
      <w:r w:rsidRPr="00EC250C">
        <w:t xml:space="preserve">Polsce jest </w:t>
      </w:r>
      <w:r w:rsidR="00DA68E8" w:rsidRPr="00EC250C">
        <w:t xml:space="preserve">od lat </w:t>
      </w:r>
      <w:r w:rsidRPr="00EC250C">
        <w:t>aktualny, co potwierdza jedenastoletnie doświadczenie zespołu Krajowego Mechanizmu Prewencji Tortur</w:t>
      </w:r>
      <w:r w:rsidR="00DA68E8" w:rsidRPr="00EC250C">
        <w:t xml:space="preserve"> (KMPT)</w:t>
      </w:r>
      <w:r w:rsidRPr="00EC250C">
        <w:t xml:space="preserve">, który nie tylko wizytuje miejsca pozbawienia wolności, ale też analizuje </w:t>
      </w:r>
      <w:r w:rsidR="00DA68E8" w:rsidRPr="00EC250C">
        <w:t xml:space="preserve">dokumenty, w tym </w:t>
      </w:r>
      <w:r w:rsidRPr="00EC250C">
        <w:t>akty oskarżenia oraz wyroki</w:t>
      </w:r>
      <w:r w:rsidR="00D87FC7" w:rsidRPr="00EC250C">
        <w:t>. Wynika</w:t>
      </w:r>
      <w:r w:rsidR="00992FD0" w:rsidRPr="00EC250C">
        <w:t xml:space="preserve"> z </w:t>
      </w:r>
      <w:r w:rsidR="00D87FC7" w:rsidRPr="00EC250C">
        <w:t>nich</w:t>
      </w:r>
      <w:r w:rsidR="00992FD0" w:rsidRPr="00EC250C">
        <w:t xml:space="preserve"> w </w:t>
      </w:r>
      <w:r w:rsidRPr="00EC250C">
        <w:t>sposób jednoznaczn</w:t>
      </w:r>
      <w:r w:rsidR="007817B7" w:rsidRPr="00EC250C">
        <w:t>y</w:t>
      </w:r>
      <w:r w:rsidR="00D87FC7" w:rsidRPr="00EC250C">
        <w:t xml:space="preserve">, że </w:t>
      </w:r>
      <w:r w:rsidRPr="00EC250C">
        <w:t>funkcjonariusz</w:t>
      </w:r>
      <w:r w:rsidR="00D87FC7" w:rsidRPr="00EC250C">
        <w:t>e</w:t>
      </w:r>
      <w:r w:rsidRPr="00EC250C">
        <w:t xml:space="preserve"> </w:t>
      </w:r>
      <w:r w:rsidR="00D87FC7" w:rsidRPr="00EC250C">
        <w:t>p</w:t>
      </w:r>
      <w:r w:rsidRPr="00EC250C">
        <w:t xml:space="preserve">olicji </w:t>
      </w:r>
      <w:r w:rsidR="00D87FC7" w:rsidRPr="00EC250C">
        <w:t xml:space="preserve">popełniają </w:t>
      </w:r>
      <w:r w:rsidRPr="00EC250C">
        <w:t>przestępstw</w:t>
      </w:r>
      <w:r w:rsidR="00D87FC7" w:rsidRPr="00EC250C">
        <w:t>a</w:t>
      </w:r>
      <w:r w:rsidRPr="00EC250C">
        <w:t>, które wypełniają znamiona tortur</w:t>
      </w:r>
      <w:r w:rsidR="00DA68E8" w:rsidRPr="00EC250C">
        <w:t xml:space="preserve">, czyli działania, których </w:t>
      </w:r>
      <w:r w:rsidRPr="00EC250C">
        <w:t>definicja znajduje się</w:t>
      </w:r>
      <w:r w:rsidR="00992FD0" w:rsidRPr="00EC250C">
        <w:t xml:space="preserve"> w </w:t>
      </w:r>
      <w:r w:rsidRPr="00EC250C">
        <w:t>art</w:t>
      </w:r>
      <w:r w:rsidR="00D87FC7" w:rsidRPr="00EC250C">
        <w:t>ykule</w:t>
      </w:r>
      <w:r w:rsidR="00392799" w:rsidRPr="00EC250C">
        <w:t> </w:t>
      </w:r>
      <w:r w:rsidRPr="00EC250C">
        <w:t>1 Konwencji</w:t>
      </w:r>
      <w:r w:rsidR="00992FD0" w:rsidRPr="00EC250C">
        <w:t xml:space="preserve"> w </w:t>
      </w:r>
      <w:r w:rsidRPr="00EC250C">
        <w:t>sprawie zakazu stosowania tortur oraz innego okrutnego, nieludzkiego lub poniżającego traktowania albo karania przyjętej przez Zgromadzenie Ogólne Narodów Zjednoczonych</w:t>
      </w:r>
      <w:r w:rsidR="00992FD0" w:rsidRPr="00EC250C">
        <w:t xml:space="preserve"> </w:t>
      </w:r>
      <w:r w:rsidRPr="00EC250C">
        <w:t>10</w:t>
      </w:r>
      <w:r w:rsidR="00392799" w:rsidRPr="00EC250C">
        <w:t> </w:t>
      </w:r>
      <w:r w:rsidRPr="00EC250C">
        <w:t>grudnia 1984</w:t>
      </w:r>
      <w:r w:rsidR="00C91F6E" w:rsidRPr="00EC250C">
        <w:t> r.</w:t>
      </w:r>
    </w:p>
    <w:p w14:paraId="20C2D6B7" w14:textId="77777777" w:rsidR="00C91F6E" w:rsidRPr="00EC250C" w:rsidRDefault="009F351A" w:rsidP="00D131FA">
      <w:pPr>
        <w:pStyle w:val="Styl1"/>
      </w:pPr>
      <w:r w:rsidRPr="00EC250C">
        <w:t>Polska jest stroną Konwencji od 1989</w:t>
      </w:r>
      <w:r w:rsidR="00C91F6E" w:rsidRPr="00EC250C">
        <w:t> r.</w:t>
      </w:r>
    </w:p>
    <w:p w14:paraId="6DB3E718" w14:textId="77777777" w:rsidR="00C91F6E" w:rsidRPr="00EC250C" w:rsidRDefault="00DA68E8" w:rsidP="00EC250C">
      <w:pPr>
        <w:pStyle w:val="Nagwek8"/>
      </w:pPr>
      <w:bookmarkStart w:id="120" w:name="_Hlk9862245"/>
      <w:r w:rsidRPr="00EC250C">
        <w:t xml:space="preserve">Przykład. </w:t>
      </w:r>
      <w:r w:rsidR="00D87FC7" w:rsidRPr="00EC250C">
        <w:t>Tortury na komisariacie</w:t>
      </w:r>
      <w:r w:rsidR="00992FD0" w:rsidRPr="00EC250C">
        <w:t xml:space="preserve"> w </w:t>
      </w:r>
      <w:r w:rsidR="00D87FC7" w:rsidRPr="00EC250C">
        <w:t>Rykach</w:t>
      </w:r>
    </w:p>
    <w:p w14:paraId="29B581E6" w14:textId="77777777" w:rsidR="00C91F6E" w:rsidRPr="00EC250C" w:rsidRDefault="006E36B1" w:rsidP="00D131FA">
      <w:pPr>
        <w:pStyle w:val="Styl2"/>
        <w:rPr>
          <w:szCs w:val="24"/>
        </w:rPr>
      </w:pPr>
      <w:r w:rsidRPr="00EC250C">
        <w:rPr>
          <w:szCs w:val="24"/>
        </w:rPr>
        <w:t>Rutynowa wizytacja na komisariacie</w:t>
      </w:r>
      <w:r w:rsidR="00992FD0" w:rsidRPr="00EC250C">
        <w:rPr>
          <w:szCs w:val="24"/>
        </w:rPr>
        <w:t xml:space="preserve"> w </w:t>
      </w:r>
      <w:r w:rsidRPr="00EC250C">
        <w:rPr>
          <w:szCs w:val="24"/>
        </w:rPr>
        <w:t xml:space="preserve">Rykach </w:t>
      </w:r>
      <w:r w:rsidR="00DA68E8" w:rsidRPr="00EC250C">
        <w:rPr>
          <w:szCs w:val="24"/>
        </w:rPr>
        <w:t xml:space="preserve">w 2018 r. </w:t>
      </w:r>
      <w:r w:rsidRPr="00EC250C">
        <w:rPr>
          <w:szCs w:val="24"/>
        </w:rPr>
        <w:t>doprowadziła do złożenia aktu oskarżenia przeciwko trzem policjantom.</w:t>
      </w:r>
    </w:p>
    <w:p w14:paraId="334529E6" w14:textId="77777777" w:rsidR="00C91F6E" w:rsidRPr="00EC250C" w:rsidRDefault="006E36B1" w:rsidP="00D131FA">
      <w:pPr>
        <w:pStyle w:val="Styl2"/>
        <w:rPr>
          <w:szCs w:val="24"/>
        </w:rPr>
      </w:pPr>
      <w:r w:rsidRPr="00EC250C">
        <w:rPr>
          <w:szCs w:val="24"/>
        </w:rPr>
        <w:t>W sierpniu 2018</w:t>
      </w:r>
      <w:r w:rsidR="00C91F6E" w:rsidRPr="00EC250C">
        <w:rPr>
          <w:szCs w:val="24"/>
        </w:rPr>
        <w:t> r.</w:t>
      </w:r>
      <w:r w:rsidRPr="00EC250C">
        <w:rPr>
          <w:szCs w:val="24"/>
        </w:rPr>
        <w:t xml:space="preserve"> n</w:t>
      </w:r>
      <w:r w:rsidR="00037A93" w:rsidRPr="00EC250C">
        <w:rPr>
          <w:szCs w:val="24"/>
        </w:rPr>
        <w:t>a komendzie policji</w:t>
      </w:r>
      <w:r w:rsidR="00992FD0" w:rsidRPr="00EC250C">
        <w:rPr>
          <w:szCs w:val="24"/>
        </w:rPr>
        <w:t xml:space="preserve"> w </w:t>
      </w:r>
      <w:r w:rsidR="00037A93" w:rsidRPr="00EC250C">
        <w:rPr>
          <w:szCs w:val="24"/>
        </w:rPr>
        <w:t>Rykach, p</w:t>
      </w:r>
      <w:r w:rsidR="008C13D5" w:rsidRPr="00EC250C">
        <w:rPr>
          <w:szCs w:val="24"/>
        </w:rPr>
        <w:t>odczas jednej</w:t>
      </w:r>
      <w:r w:rsidR="00992FD0" w:rsidRPr="00EC250C">
        <w:rPr>
          <w:szCs w:val="24"/>
        </w:rPr>
        <w:t xml:space="preserve"> z </w:t>
      </w:r>
      <w:r w:rsidR="008C13D5" w:rsidRPr="00EC250C">
        <w:rPr>
          <w:szCs w:val="24"/>
        </w:rPr>
        <w:t>niezapowiedzianych</w:t>
      </w:r>
      <w:r w:rsidR="00992FD0" w:rsidRPr="00EC250C">
        <w:rPr>
          <w:szCs w:val="24"/>
        </w:rPr>
        <w:t xml:space="preserve"> i </w:t>
      </w:r>
      <w:r w:rsidR="008C13D5" w:rsidRPr="00EC250C">
        <w:rPr>
          <w:szCs w:val="24"/>
        </w:rPr>
        <w:t>rutynowych wizytacji</w:t>
      </w:r>
      <w:r w:rsidR="00037A93" w:rsidRPr="00EC250C">
        <w:rPr>
          <w:szCs w:val="24"/>
        </w:rPr>
        <w:t>,</w:t>
      </w:r>
      <w:r w:rsidR="008C13D5" w:rsidRPr="00EC250C">
        <w:rPr>
          <w:szCs w:val="24"/>
        </w:rPr>
        <w:t xml:space="preserve"> przedstawiciele KMPT </w:t>
      </w:r>
      <w:r w:rsidR="00037A93" w:rsidRPr="00EC250C">
        <w:rPr>
          <w:szCs w:val="24"/>
        </w:rPr>
        <w:t xml:space="preserve">od </w:t>
      </w:r>
      <w:r w:rsidR="008C13D5" w:rsidRPr="00EC250C">
        <w:rPr>
          <w:szCs w:val="24"/>
        </w:rPr>
        <w:t>70-letniego mężczyzn</w:t>
      </w:r>
      <w:r w:rsidR="00037A93" w:rsidRPr="00EC250C">
        <w:rPr>
          <w:szCs w:val="24"/>
        </w:rPr>
        <w:t>y dowiedzieli się</w:t>
      </w:r>
      <w:r w:rsidR="008C13D5" w:rsidRPr="00EC250C">
        <w:rPr>
          <w:szCs w:val="24"/>
        </w:rPr>
        <w:t>, że został pobity</w:t>
      </w:r>
      <w:r w:rsidR="00992FD0" w:rsidRPr="00EC250C">
        <w:rPr>
          <w:szCs w:val="24"/>
        </w:rPr>
        <w:t xml:space="preserve"> w </w:t>
      </w:r>
      <w:r w:rsidR="008C13D5" w:rsidRPr="00EC250C">
        <w:rPr>
          <w:szCs w:val="24"/>
        </w:rPr>
        <w:t>trakcie przesłuchania przed umieszczeniem</w:t>
      </w:r>
      <w:r w:rsidR="00992FD0" w:rsidRPr="00EC250C">
        <w:rPr>
          <w:szCs w:val="24"/>
        </w:rPr>
        <w:t xml:space="preserve"> w </w:t>
      </w:r>
      <w:r w:rsidR="008C13D5" w:rsidRPr="00EC250C">
        <w:rPr>
          <w:szCs w:val="24"/>
        </w:rPr>
        <w:t>pomieszczeniu dla osób zatrzymanych.</w:t>
      </w:r>
    </w:p>
    <w:p w14:paraId="7F65321F" w14:textId="77777777" w:rsidR="008C13D5" w:rsidRPr="00EC250C" w:rsidRDefault="008C13D5" w:rsidP="00D131FA">
      <w:pPr>
        <w:pStyle w:val="Styl2"/>
        <w:rPr>
          <w:szCs w:val="24"/>
        </w:rPr>
      </w:pPr>
      <w:r w:rsidRPr="00EC250C">
        <w:rPr>
          <w:szCs w:val="24"/>
        </w:rPr>
        <w:t xml:space="preserve">Jako sprawcę pobicia </w:t>
      </w:r>
      <w:r w:rsidR="00037A93" w:rsidRPr="00EC250C">
        <w:rPr>
          <w:szCs w:val="24"/>
        </w:rPr>
        <w:t xml:space="preserve">mężczyzna </w:t>
      </w:r>
      <w:r w:rsidRPr="00EC250C">
        <w:rPr>
          <w:szCs w:val="24"/>
        </w:rPr>
        <w:t>wskazał zastępcę komendanta. Poproszony</w:t>
      </w:r>
      <w:r w:rsidR="00992FD0" w:rsidRPr="00EC250C">
        <w:rPr>
          <w:szCs w:val="24"/>
        </w:rPr>
        <w:t xml:space="preserve"> o </w:t>
      </w:r>
      <w:r w:rsidRPr="00EC250C">
        <w:rPr>
          <w:szCs w:val="24"/>
        </w:rPr>
        <w:t>wskazanie miejsc na ciele, gdzie zadawane były ciosy, pokazał okolice żuchwy, czoła, szyi</w:t>
      </w:r>
      <w:r w:rsidR="00992FD0" w:rsidRPr="00EC250C">
        <w:rPr>
          <w:szCs w:val="24"/>
        </w:rPr>
        <w:t xml:space="preserve"> i </w:t>
      </w:r>
      <w:r w:rsidRPr="00EC250C">
        <w:rPr>
          <w:szCs w:val="24"/>
        </w:rPr>
        <w:t>karku,</w:t>
      </w:r>
      <w:r w:rsidR="00992FD0" w:rsidRPr="00EC250C">
        <w:rPr>
          <w:szCs w:val="24"/>
        </w:rPr>
        <w:t xml:space="preserve"> a </w:t>
      </w:r>
      <w:r w:rsidRPr="00EC250C">
        <w:rPr>
          <w:szCs w:val="24"/>
        </w:rPr>
        <w:t xml:space="preserve">także okolice nerek. W miejscach tych </w:t>
      </w:r>
      <w:r w:rsidR="00037A93" w:rsidRPr="00EC250C">
        <w:rPr>
          <w:szCs w:val="24"/>
        </w:rPr>
        <w:t xml:space="preserve">widać było </w:t>
      </w:r>
      <w:r w:rsidRPr="00EC250C">
        <w:rPr>
          <w:szCs w:val="24"/>
        </w:rPr>
        <w:t>opuchliznę</w:t>
      </w:r>
      <w:r w:rsidR="00992FD0" w:rsidRPr="00EC250C">
        <w:rPr>
          <w:szCs w:val="24"/>
        </w:rPr>
        <w:t xml:space="preserve"> i </w:t>
      </w:r>
      <w:r w:rsidRPr="00EC250C">
        <w:rPr>
          <w:szCs w:val="24"/>
        </w:rPr>
        <w:t>zaczerwienienia, co uprawdopodobniło wersję zatrzymanego.</w:t>
      </w:r>
      <w:r w:rsidR="00DA68E8" w:rsidRPr="00EC250C">
        <w:rPr>
          <w:szCs w:val="24"/>
        </w:rPr>
        <w:t xml:space="preserve"> </w:t>
      </w:r>
      <w:r w:rsidRPr="00EC250C">
        <w:rPr>
          <w:szCs w:val="24"/>
        </w:rPr>
        <w:t>Mężczyzna opowiedział także</w:t>
      </w:r>
      <w:r w:rsidR="00992FD0" w:rsidRPr="00EC250C">
        <w:rPr>
          <w:szCs w:val="24"/>
        </w:rPr>
        <w:t xml:space="preserve"> o </w:t>
      </w:r>
      <w:r w:rsidRPr="00EC250C">
        <w:rPr>
          <w:szCs w:val="24"/>
        </w:rPr>
        <w:t>słownictwie</w:t>
      </w:r>
      <w:r w:rsidR="00992FD0" w:rsidRPr="00EC250C">
        <w:rPr>
          <w:szCs w:val="24"/>
        </w:rPr>
        <w:t xml:space="preserve"> i </w:t>
      </w:r>
      <w:r w:rsidRPr="00EC250C">
        <w:rPr>
          <w:szCs w:val="24"/>
        </w:rPr>
        <w:t>groźbach, które były</w:t>
      </w:r>
      <w:r w:rsidR="00992FD0" w:rsidRPr="00EC250C">
        <w:rPr>
          <w:szCs w:val="24"/>
        </w:rPr>
        <w:t xml:space="preserve"> w </w:t>
      </w:r>
      <w:r w:rsidRPr="00EC250C">
        <w:rPr>
          <w:szCs w:val="24"/>
        </w:rPr>
        <w:t>jego stronę kierowane.</w:t>
      </w:r>
      <w:r w:rsidR="00DA68E8" w:rsidRPr="00EC250C">
        <w:rPr>
          <w:szCs w:val="24"/>
        </w:rPr>
        <w:t xml:space="preserve"> </w:t>
      </w:r>
      <w:r w:rsidR="00037A93" w:rsidRPr="00EC250C">
        <w:rPr>
          <w:szCs w:val="24"/>
        </w:rPr>
        <w:t xml:space="preserve">Przedstawiciele KMPT uznali, że </w:t>
      </w:r>
      <w:r w:rsidRPr="00EC250C">
        <w:rPr>
          <w:szCs w:val="24"/>
        </w:rPr>
        <w:t xml:space="preserve">te twierdzenia </w:t>
      </w:r>
      <w:r w:rsidR="006E36B1" w:rsidRPr="00EC250C">
        <w:rPr>
          <w:szCs w:val="24"/>
        </w:rPr>
        <w:t xml:space="preserve">mogą być prawdziwe, ponieważ </w:t>
      </w:r>
      <w:r w:rsidRPr="00EC250C">
        <w:rPr>
          <w:szCs w:val="24"/>
        </w:rPr>
        <w:t xml:space="preserve">zastępca komendanta </w:t>
      </w:r>
      <w:r w:rsidR="006E36B1" w:rsidRPr="00EC250C">
        <w:rPr>
          <w:szCs w:val="24"/>
        </w:rPr>
        <w:t>mówił im</w:t>
      </w:r>
      <w:r w:rsidR="00992FD0" w:rsidRPr="00EC250C">
        <w:rPr>
          <w:szCs w:val="24"/>
        </w:rPr>
        <w:t xml:space="preserve"> o </w:t>
      </w:r>
      <w:r w:rsidRPr="00EC250C">
        <w:rPr>
          <w:szCs w:val="24"/>
        </w:rPr>
        <w:t>zatrzyman</w:t>
      </w:r>
      <w:r w:rsidR="006E36B1" w:rsidRPr="00EC250C">
        <w:rPr>
          <w:szCs w:val="24"/>
        </w:rPr>
        <w:t>ym</w:t>
      </w:r>
      <w:r w:rsidRPr="00EC250C">
        <w:rPr>
          <w:szCs w:val="24"/>
        </w:rPr>
        <w:t>, iż „to nie jest człowiek”</w:t>
      </w:r>
      <w:r w:rsidR="00F3260B" w:rsidRPr="00EC250C">
        <w:rPr>
          <w:szCs w:val="24"/>
        </w:rPr>
        <w:t xml:space="preserve">, bo </w:t>
      </w:r>
      <w:r w:rsidRPr="00EC250C">
        <w:rPr>
          <w:szCs w:val="24"/>
        </w:rPr>
        <w:t xml:space="preserve">człowiek nie dopuściłby się </w:t>
      </w:r>
      <w:r w:rsidR="00F3260B" w:rsidRPr="00EC250C">
        <w:rPr>
          <w:szCs w:val="24"/>
        </w:rPr>
        <w:t xml:space="preserve">zarzucanych </w:t>
      </w:r>
      <w:r w:rsidRPr="00EC250C">
        <w:rPr>
          <w:szCs w:val="24"/>
        </w:rPr>
        <w:t>czynów</w:t>
      </w:r>
      <w:r w:rsidR="006E36B1" w:rsidRPr="00EC250C">
        <w:rPr>
          <w:szCs w:val="24"/>
        </w:rPr>
        <w:t xml:space="preserve"> </w:t>
      </w:r>
      <w:r w:rsidRPr="00EC250C">
        <w:rPr>
          <w:szCs w:val="24"/>
        </w:rPr>
        <w:t>(bezczeszczeni</w:t>
      </w:r>
      <w:r w:rsidR="00F3260B" w:rsidRPr="00EC250C">
        <w:rPr>
          <w:szCs w:val="24"/>
        </w:rPr>
        <w:t>a</w:t>
      </w:r>
      <w:r w:rsidRPr="00EC250C">
        <w:rPr>
          <w:szCs w:val="24"/>
        </w:rPr>
        <w:t xml:space="preserve"> grobu zmarłego policjanta).</w:t>
      </w:r>
      <w:r w:rsidR="00037A93" w:rsidRPr="00EC250C">
        <w:rPr>
          <w:szCs w:val="24"/>
        </w:rPr>
        <w:t xml:space="preserve"> A k</w:t>
      </w:r>
      <w:r w:rsidRPr="00EC250C">
        <w:rPr>
          <w:szCs w:val="24"/>
        </w:rPr>
        <w:t>iedy wizytujący powiedzieli, że bez względu na czyn,</w:t>
      </w:r>
      <w:r w:rsidR="00992FD0" w:rsidRPr="00EC250C">
        <w:rPr>
          <w:szCs w:val="24"/>
        </w:rPr>
        <w:t xml:space="preserve"> o </w:t>
      </w:r>
      <w:r w:rsidR="006E36B1" w:rsidRPr="00EC250C">
        <w:rPr>
          <w:szCs w:val="24"/>
        </w:rPr>
        <w:t xml:space="preserve">jaki jest </w:t>
      </w:r>
      <w:r w:rsidRPr="00EC250C">
        <w:rPr>
          <w:szCs w:val="24"/>
        </w:rPr>
        <w:t>podejrzewany, spróbują</w:t>
      </w:r>
      <w:r w:rsidR="00992FD0" w:rsidRPr="00EC250C">
        <w:rPr>
          <w:szCs w:val="24"/>
        </w:rPr>
        <w:t xml:space="preserve"> z </w:t>
      </w:r>
      <w:r w:rsidR="006E36B1" w:rsidRPr="00EC250C">
        <w:rPr>
          <w:szCs w:val="24"/>
        </w:rPr>
        <w:t xml:space="preserve">zatrzymanym </w:t>
      </w:r>
      <w:r w:rsidRPr="00EC250C">
        <w:rPr>
          <w:szCs w:val="24"/>
        </w:rPr>
        <w:t xml:space="preserve">porozmawiać, zastępca </w:t>
      </w:r>
      <w:r w:rsidR="00037A93" w:rsidRPr="00EC250C">
        <w:rPr>
          <w:szCs w:val="24"/>
        </w:rPr>
        <w:t xml:space="preserve">komendanta </w:t>
      </w:r>
      <w:r w:rsidRPr="00EC250C">
        <w:rPr>
          <w:szCs w:val="24"/>
        </w:rPr>
        <w:t>odparł, że rozumie, ale trudno będzie porozmawiać</w:t>
      </w:r>
      <w:r w:rsidR="00992FD0" w:rsidRPr="00EC250C">
        <w:rPr>
          <w:szCs w:val="24"/>
        </w:rPr>
        <w:t xml:space="preserve"> z </w:t>
      </w:r>
      <w:r w:rsidRPr="00EC250C">
        <w:rPr>
          <w:szCs w:val="24"/>
        </w:rPr>
        <w:t>„niemową”.</w:t>
      </w:r>
    </w:p>
    <w:p w14:paraId="6840B9BC" w14:textId="77777777" w:rsidR="00C91F6E" w:rsidRPr="00EC250C" w:rsidRDefault="006E36B1" w:rsidP="00D131FA">
      <w:pPr>
        <w:pStyle w:val="Styl2"/>
        <w:rPr>
          <w:szCs w:val="24"/>
        </w:rPr>
      </w:pPr>
      <w:r w:rsidRPr="00EC250C">
        <w:rPr>
          <w:szCs w:val="24"/>
        </w:rPr>
        <w:lastRenderedPageBreak/>
        <w:t>Na tej podstawie</w:t>
      </w:r>
      <w:r w:rsidR="00992FD0" w:rsidRPr="00EC250C">
        <w:rPr>
          <w:szCs w:val="24"/>
        </w:rPr>
        <w:t xml:space="preserve"> i </w:t>
      </w:r>
      <w:r w:rsidRPr="00EC250C">
        <w:rPr>
          <w:szCs w:val="24"/>
        </w:rPr>
        <w:t>za zgodą zatrzymanego RPO złożył do prokuratury wniosek</w:t>
      </w:r>
      <w:r w:rsidR="00992FD0" w:rsidRPr="00EC250C">
        <w:rPr>
          <w:szCs w:val="24"/>
        </w:rPr>
        <w:t xml:space="preserve"> o </w:t>
      </w:r>
      <w:r w:rsidRPr="00EC250C">
        <w:rPr>
          <w:szCs w:val="24"/>
        </w:rPr>
        <w:t>wszczęcie postępowania przygotowawczego. W efekcie ś</w:t>
      </w:r>
      <w:r w:rsidR="008C13D5" w:rsidRPr="00EC250C">
        <w:rPr>
          <w:szCs w:val="24"/>
        </w:rPr>
        <w:t>ledczy postawili policjantom zarzuty dotyczące znęcania się, przekroczenia uprawnień</w:t>
      </w:r>
      <w:r w:rsidR="00992FD0" w:rsidRPr="00EC250C">
        <w:rPr>
          <w:szCs w:val="24"/>
        </w:rPr>
        <w:t xml:space="preserve"> i </w:t>
      </w:r>
      <w:r w:rsidR="008C13D5" w:rsidRPr="00EC250C">
        <w:rPr>
          <w:szCs w:val="24"/>
        </w:rPr>
        <w:t>niedopełnienia obowiązków.</w:t>
      </w:r>
    </w:p>
    <w:p w14:paraId="16223F7C" w14:textId="77777777" w:rsidR="00037A93" w:rsidRPr="00EC250C" w:rsidRDefault="00037A93" w:rsidP="00D131FA">
      <w:pPr>
        <w:pStyle w:val="Styl2"/>
        <w:rPr>
          <w:szCs w:val="24"/>
        </w:rPr>
      </w:pPr>
      <w:r w:rsidRPr="00EC250C">
        <w:rPr>
          <w:szCs w:val="24"/>
        </w:rPr>
        <w:t>Z</w:t>
      </w:r>
      <w:r w:rsidR="006E36B1" w:rsidRPr="00EC250C">
        <w:rPr>
          <w:szCs w:val="24"/>
        </w:rPr>
        <w:t xml:space="preserve"> akt spr</w:t>
      </w:r>
      <w:r w:rsidRPr="00EC250C">
        <w:rPr>
          <w:szCs w:val="24"/>
        </w:rPr>
        <w:t>awy wynika, że po zatrzymaniu mężczyzna siedział skuty</w:t>
      </w:r>
      <w:r w:rsidR="00992FD0" w:rsidRPr="00EC250C">
        <w:rPr>
          <w:szCs w:val="24"/>
        </w:rPr>
        <w:t xml:space="preserve"> w </w:t>
      </w:r>
      <w:r w:rsidRPr="00EC250C">
        <w:rPr>
          <w:szCs w:val="24"/>
        </w:rPr>
        <w:t>pokoju razem</w:t>
      </w:r>
      <w:r w:rsidR="00992FD0" w:rsidRPr="00EC250C">
        <w:rPr>
          <w:szCs w:val="24"/>
        </w:rPr>
        <w:t xml:space="preserve"> z </w:t>
      </w:r>
      <w:r w:rsidRPr="00EC250C">
        <w:rPr>
          <w:szCs w:val="24"/>
        </w:rPr>
        <w:t>dwoma funkcjonariuszami; po niespełna godzinie dołączył do nich zastępca komendanta. Śledczy ustalili, że zastępca bił zatrzymanego otwartą dłonią</w:t>
      </w:r>
      <w:r w:rsidR="00992FD0" w:rsidRPr="00EC250C">
        <w:rPr>
          <w:szCs w:val="24"/>
        </w:rPr>
        <w:t xml:space="preserve"> w </w:t>
      </w:r>
      <w:r w:rsidRPr="00EC250C">
        <w:rPr>
          <w:szCs w:val="24"/>
        </w:rPr>
        <w:t>głowę, szyję, nerki</w:t>
      </w:r>
      <w:r w:rsidR="00992FD0" w:rsidRPr="00EC250C">
        <w:rPr>
          <w:szCs w:val="24"/>
        </w:rPr>
        <w:t xml:space="preserve"> i </w:t>
      </w:r>
      <w:r w:rsidRPr="00EC250C">
        <w:rPr>
          <w:szCs w:val="24"/>
        </w:rPr>
        <w:t>wątrobę. Wyłamywał mu również palec u ręki. Inny</w:t>
      </w:r>
      <w:r w:rsidR="00992FD0" w:rsidRPr="00EC250C">
        <w:rPr>
          <w:szCs w:val="24"/>
        </w:rPr>
        <w:t xml:space="preserve"> z </w:t>
      </w:r>
      <w:r w:rsidRPr="00EC250C">
        <w:rPr>
          <w:szCs w:val="24"/>
        </w:rPr>
        <w:t xml:space="preserve">policjantów bił zatrzymanego </w:t>
      </w:r>
      <w:r w:rsidR="00992FD0" w:rsidRPr="00EC250C">
        <w:rPr>
          <w:szCs w:val="24"/>
        </w:rPr>
        <w:t>w </w:t>
      </w:r>
      <w:r w:rsidRPr="00EC250C">
        <w:rPr>
          <w:szCs w:val="24"/>
        </w:rPr>
        <w:t>czoło tak mocno, że mężczyzna stracił przytomność</w:t>
      </w:r>
      <w:r w:rsidR="00992FD0" w:rsidRPr="00EC250C">
        <w:rPr>
          <w:szCs w:val="24"/>
        </w:rPr>
        <w:t xml:space="preserve"> i </w:t>
      </w:r>
      <w:r w:rsidRPr="00EC250C">
        <w:rPr>
          <w:szCs w:val="24"/>
        </w:rPr>
        <w:t>spadł</w:t>
      </w:r>
      <w:r w:rsidR="00992FD0" w:rsidRPr="00EC250C">
        <w:rPr>
          <w:szCs w:val="24"/>
        </w:rPr>
        <w:t xml:space="preserve"> z </w:t>
      </w:r>
      <w:r w:rsidRPr="00EC250C">
        <w:rPr>
          <w:szCs w:val="24"/>
        </w:rPr>
        <w:t>krzesła. Wszystkiemu miał przyglądać się trzeci</w:t>
      </w:r>
      <w:r w:rsidR="00992FD0" w:rsidRPr="00EC250C">
        <w:rPr>
          <w:szCs w:val="24"/>
        </w:rPr>
        <w:t xml:space="preserve"> z </w:t>
      </w:r>
      <w:r w:rsidRPr="00EC250C">
        <w:rPr>
          <w:szCs w:val="24"/>
        </w:rPr>
        <w:t>oskarżonych, który pisał</w:t>
      </w:r>
      <w:r w:rsidR="00992FD0" w:rsidRPr="00EC250C">
        <w:rPr>
          <w:szCs w:val="24"/>
        </w:rPr>
        <w:t xml:space="preserve"> w </w:t>
      </w:r>
      <w:r w:rsidRPr="00EC250C">
        <w:rPr>
          <w:szCs w:val="24"/>
        </w:rPr>
        <w:t>tym czasie protokół</w:t>
      </w:r>
      <w:r w:rsidR="00992FD0" w:rsidRPr="00EC250C">
        <w:rPr>
          <w:szCs w:val="24"/>
        </w:rPr>
        <w:t xml:space="preserve"> z </w:t>
      </w:r>
      <w:r w:rsidRPr="00EC250C">
        <w:rPr>
          <w:szCs w:val="24"/>
        </w:rPr>
        <w:t>przesłuchania mężczyzny</w:t>
      </w:r>
      <w:r w:rsidR="00DA68E8" w:rsidRPr="00EC250C">
        <w:rPr>
          <w:rStyle w:val="Odwoanieprzypisudolnego"/>
          <w:szCs w:val="24"/>
        </w:rPr>
        <w:footnoteReference w:id="108"/>
      </w:r>
      <w:r w:rsidRPr="00EC250C">
        <w:rPr>
          <w:szCs w:val="24"/>
        </w:rPr>
        <w:t>.</w:t>
      </w:r>
    </w:p>
    <w:bookmarkEnd w:id="120"/>
    <w:p w14:paraId="3AEA37E3" w14:textId="77777777" w:rsidR="00DA68E8" w:rsidRPr="00EC250C" w:rsidRDefault="00DA68E8" w:rsidP="00D131FA">
      <w:pPr>
        <w:pStyle w:val="ODESANIE"/>
        <w:jc w:val="both"/>
      </w:pPr>
      <w:r w:rsidRPr="00EC250C">
        <w:t>Sprawa Igora Stachowiaka</w:t>
      </w:r>
      <w:r w:rsidR="00026572" w:rsidRPr="00EC250C">
        <w:t xml:space="preserve"> – </w:t>
      </w:r>
      <w:r w:rsidRPr="00EC250C">
        <w:t>patrz art. 38 Konstytucji</w:t>
      </w:r>
    </w:p>
    <w:p w14:paraId="466ED003" w14:textId="77777777" w:rsidR="0045189F" w:rsidRPr="00EC250C" w:rsidRDefault="0045189F" w:rsidP="00EC250C">
      <w:pPr>
        <w:pStyle w:val="Nagwek5"/>
      </w:pPr>
      <w:r w:rsidRPr="00EC250C">
        <w:t>Jak przeciwdziałać</w:t>
      </w:r>
      <w:r w:rsidR="00D87FC7" w:rsidRPr="00EC250C">
        <w:t xml:space="preserve"> zjawisku tortur</w:t>
      </w:r>
      <w:r w:rsidRPr="00EC250C">
        <w:t xml:space="preserve">? </w:t>
      </w:r>
      <w:r w:rsidR="005A5556" w:rsidRPr="00EC250C">
        <w:t>Zmieniając prawo</w:t>
      </w:r>
      <w:r w:rsidR="00992FD0" w:rsidRPr="00EC250C">
        <w:t xml:space="preserve"> i </w:t>
      </w:r>
      <w:r w:rsidR="005A5556" w:rsidRPr="00EC250C">
        <w:t>z</w:t>
      </w:r>
      <w:r w:rsidRPr="00EC250C">
        <w:t xml:space="preserve">mieniając stosunek </w:t>
      </w:r>
      <w:r w:rsidR="00A66397" w:rsidRPr="00EC250C">
        <w:t xml:space="preserve">Polaków </w:t>
      </w:r>
      <w:r w:rsidRPr="00EC250C">
        <w:t>do przemocy.</w:t>
      </w:r>
    </w:p>
    <w:p w14:paraId="242EE70C" w14:textId="77777777" w:rsidR="00C91F6E" w:rsidRPr="00EC250C" w:rsidRDefault="00D87FC7" w:rsidP="00D131FA">
      <w:pPr>
        <w:pStyle w:val="Styl1"/>
      </w:pPr>
      <w:r w:rsidRPr="00EC250C">
        <w:t>Krajowy Mechanizm Prewencji Tortur BRPO wraz</w:t>
      </w:r>
      <w:r w:rsidR="00992FD0" w:rsidRPr="00EC250C">
        <w:t xml:space="preserve"> z </w:t>
      </w:r>
      <w:r w:rsidRPr="00EC250C">
        <w:t xml:space="preserve">partnerami </w:t>
      </w:r>
      <w:r w:rsidR="00E40B3D" w:rsidRPr="00EC250C">
        <w:t>(</w:t>
      </w:r>
      <w:r w:rsidRPr="00EC250C">
        <w:t>Naczelną Radą Adwokacką, Krajową Izbą Radców Prawnych, Radą Europy, ODIHR OBWE, Stowarzyszeniem Zapobiegania Torturom oraz Kantar Millward Brown</w:t>
      </w:r>
      <w:r w:rsidR="00E40B3D" w:rsidRPr="00EC250C">
        <w:t>)</w:t>
      </w:r>
      <w:r w:rsidRPr="00EC250C">
        <w:t xml:space="preserve"> rozpoczął</w:t>
      </w:r>
      <w:r w:rsidR="00992FD0" w:rsidRPr="00EC250C">
        <w:t xml:space="preserve"> w </w:t>
      </w:r>
      <w:r w:rsidRPr="00EC250C">
        <w:t>2018</w:t>
      </w:r>
      <w:r w:rsidR="00C91F6E" w:rsidRPr="00EC250C">
        <w:t> r.</w:t>
      </w:r>
      <w:r w:rsidRPr="00EC250C">
        <w:t xml:space="preserve"> kampanię społeczną pod hasłem „Państwo bez tortur”. </w:t>
      </w:r>
    </w:p>
    <w:p w14:paraId="366276AD" w14:textId="77777777" w:rsidR="00C91F6E" w:rsidRPr="00EC250C" w:rsidRDefault="0045189F" w:rsidP="00D131FA">
      <w:pPr>
        <w:pStyle w:val="Styl1"/>
      </w:pPr>
      <w:r w:rsidRPr="00EC250C">
        <w:t>Z badania</w:t>
      </w:r>
      <w:r w:rsidR="00A66397" w:rsidRPr="00EC250C">
        <w:t xml:space="preserve"> </w:t>
      </w:r>
      <w:r w:rsidRPr="00EC250C">
        <w:t>„Tortury – opinie Polaków”</w:t>
      </w:r>
      <w:r w:rsidRPr="00EC250C">
        <w:rPr>
          <w:vertAlign w:val="superscript"/>
        </w:rPr>
        <w:footnoteReference w:id="109"/>
      </w:r>
      <w:r w:rsidR="003F0D27" w:rsidRPr="00EC250C">
        <w:t xml:space="preserve"> </w:t>
      </w:r>
      <w:r w:rsidRPr="00EC250C">
        <w:t xml:space="preserve">wynika, </w:t>
      </w:r>
      <w:r w:rsidRPr="00EC250C">
        <w:rPr>
          <w:rFonts w:hint="eastAsia"/>
        </w:rPr>
        <w:t>ż</w:t>
      </w:r>
      <w:r w:rsidRPr="00EC250C">
        <w:t xml:space="preserve">e </w:t>
      </w:r>
      <w:r w:rsidR="00A66397" w:rsidRPr="00EC250C">
        <w:t xml:space="preserve">dla </w:t>
      </w:r>
      <w:r w:rsidRPr="00EC250C">
        <w:t>41% Polaków stosowanie tortur może być uzasadnione</w:t>
      </w:r>
      <w:r w:rsidR="00992FD0" w:rsidRPr="00EC250C">
        <w:t xml:space="preserve"> w </w:t>
      </w:r>
      <w:r w:rsidRPr="00EC250C">
        <w:t>szczególnych przypadkach! O tym, jak niezwykle krzywdząca jest to postawa, najdobitniej świadczy nag</w:t>
      </w:r>
      <w:r w:rsidR="003F0D27" w:rsidRPr="00EC250C">
        <w:t>ł</w:t>
      </w:r>
      <w:r w:rsidRPr="00EC250C">
        <w:t>ośniona</w:t>
      </w:r>
      <w:r w:rsidR="00992FD0" w:rsidRPr="00EC250C">
        <w:t xml:space="preserve"> w </w:t>
      </w:r>
      <w:r w:rsidRPr="00EC250C">
        <w:t>2018</w:t>
      </w:r>
      <w:r w:rsidR="00C91F6E" w:rsidRPr="00EC250C">
        <w:t> r.</w:t>
      </w:r>
      <w:r w:rsidRPr="00EC250C">
        <w:t xml:space="preserve"> sprawa Tomasza Komendy, który jak sam kilkukrotnie wskazywał, przyznał się do zbrodni, której nie popełnił, bo był bity przez policjantów podczas przesłuchania. </w:t>
      </w:r>
      <w:r w:rsidR="000C2F59" w:rsidRPr="00EC250C">
        <w:t>W konsekwencji</w:t>
      </w:r>
      <w:r w:rsidR="003F0D27" w:rsidRPr="00EC250C">
        <w:t xml:space="preserve"> spędził</w:t>
      </w:r>
      <w:r w:rsidR="00992FD0" w:rsidRPr="00EC250C">
        <w:t xml:space="preserve"> w </w:t>
      </w:r>
      <w:r w:rsidR="003F0D27" w:rsidRPr="00EC250C">
        <w:t>więzieniu</w:t>
      </w:r>
      <w:r w:rsidR="007C3DEC" w:rsidRPr="00EC250C">
        <w:t xml:space="preserve"> </w:t>
      </w:r>
      <w:r w:rsidR="000C2F59" w:rsidRPr="00EC250C">
        <w:t>18</w:t>
      </w:r>
      <w:r w:rsidR="007C3DEC" w:rsidRPr="00EC250C">
        <w:t> </w:t>
      </w:r>
      <w:r w:rsidR="000C2F59" w:rsidRPr="00EC250C">
        <w:t>lat</w:t>
      </w:r>
      <w:r w:rsidR="003F0D27" w:rsidRPr="00EC250C">
        <w:t>.</w:t>
      </w:r>
    </w:p>
    <w:p w14:paraId="7A6F90FA" w14:textId="77777777" w:rsidR="0045189F" w:rsidRPr="00EC250C" w:rsidRDefault="0045189F" w:rsidP="00D131FA">
      <w:pPr>
        <w:pStyle w:val="Styl1"/>
      </w:pPr>
      <w:r w:rsidRPr="00EC250C">
        <w:t>Tymczasem każdy członek społeczeństwa powinien czuć się bezpiecznie</w:t>
      </w:r>
      <w:r w:rsidR="00992FD0" w:rsidRPr="00EC250C">
        <w:t xml:space="preserve"> w </w:t>
      </w:r>
      <w:r w:rsidRPr="00EC250C">
        <w:t>kontaktach</w:t>
      </w:r>
      <w:r w:rsidR="00992FD0" w:rsidRPr="00EC250C">
        <w:t xml:space="preserve"> z </w:t>
      </w:r>
      <w:r w:rsidRPr="00EC250C">
        <w:t>organami ścigania, nawet jeśli jest podejrzany</w:t>
      </w:r>
      <w:r w:rsidR="00992FD0" w:rsidRPr="00EC250C">
        <w:t xml:space="preserve"> o </w:t>
      </w:r>
      <w:r w:rsidRPr="00EC250C">
        <w:t xml:space="preserve">popełnienie przestępstwa. Nie powinien obawiać się, że powtórzy się historia Igora Stachowiaka, który </w:t>
      </w:r>
      <w:r w:rsidR="00680A3D" w:rsidRPr="00EC250C">
        <w:t>15 maja</w:t>
      </w:r>
      <w:r w:rsidR="003F0D27" w:rsidRPr="00EC250C">
        <w:t xml:space="preserve"> 2016</w:t>
      </w:r>
      <w:r w:rsidR="00C91F6E" w:rsidRPr="00EC250C">
        <w:t> r.</w:t>
      </w:r>
      <w:r w:rsidR="003F0D27" w:rsidRPr="00EC250C">
        <w:t xml:space="preserve"> </w:t>
      </w:r>
      <w:r w:rsidRPr="00EC250C">
        <w:t xml:space="preserve">zmarł po tym, jak policjanci </w:t>
      </w:r>
      <w:r w:rsidR="003F0D27" w:rsidRPr="00EC250C">
        <w:t xml:space="preserve">na komisariacie we Wrocławiu </w:t>
      </w:r>
      <w:r w:rsidRPr="00EC250C">
        <w:t>kilkukrotnie razili go paralizatorem</w:t>
      </w:r>
      <w:r w:rsidR="003A412A" w:rsidRPr="00EC250C">
        <w:t xml:space="preserve"> (ta sprawa ci</w:t>
      </w:r>
      <w:r w:rsidR="00680A3D" w:rsidRPr="00EC250C">
        <w:t>ą</w:t>
      </w:r>
      <w:r w:rsidR="003A412A" w:rsidRPr="00EC250C">
        <w:t>gle nie zakończyła się jeszcze wyrokiem sądu).</w:t>
      </w:r>
    </w:p>
    <w:p w14:paraId="2519C7A0" w14:textId="77777777" w:rsidR="00207376" w:rsidRPr="00EC250C" w:rsidRDefault="00207376" w:rsidP="00EC250C">
      <w:pPr>
        <w:pStyle w:val="Nagwek5"/>
        <w:rPr>
          <w:rStyle w:val="Hipercze"/>
          <w:color w:val="18223E"/>
          <w:u w:val="none"/>
        </w:rPr>
      </w:pPr>
      <w:r w:rsidRPr="00EC250C">
        <w:rPr>
          <w:rStyle w:val="Hipercze"/>
          <w:color w:val="18223E"/>
          <w:u w:val="none"/>
        </w:rPr>
        <w:t>Debaty regionalne Krajowego Mechanizmu Prewencji Tortur</w:t>
      </w:r>
    </w:p>
    <w:p w14:paraId="690C01E4" w14:textId="77777777" w:rsidR="00B473F5" w:rsidRPr="00EC250C" w:rsidRDefault="00207376" w:rsidP="00D131FA">
      <w:pPr>
        <w:pStyle w:val="Problemczowieka"/>
        <w:jc w:val="both"/>
        <w:rPr>
          <w:rStyle w:val="Hipercze"/>
          <w:color w:val="auto"/>
          <w:u w:val="none"/>
        </w:rPr>
      </w:pPr>
      <w:r w:rsidRPr="00EC250C">
        <w:rPr>
          <w:rStyle w:val="Hipercze"/>
          <w:color w:val="auto"/>
          <w:u w:val="none"/>
        </w:rPr>
        <w:t>Jednym ze sposobów budowania kultury sprzeciwu wobec tortur, nieludzkiego</w:t>
      </w:r>
      <w:r w:rsidR="00992FD0" w:rsidRPr="00EC250C">
        <w:rPr>
          <w:rStyle w:val="Hipercze"/>
          <w:color w:val="auto"/>
          <w:u w:val="none"/>
        </w:rPr>
        <w:t xml:space="preserve"> i </w:t>
      </w:r>
      <w:r w:rsidRPr="00EC250C">
        <w:rPr>
          <w:rStyle w:val="Hipercze"/>
          <w:color w:val="auto"/>
          <w:u w:val="none"/>
        </w:rPr>
        <w:t xml:space="preserve">poniżającego traktowania, były debaty regionalne </w:t>
      </w:r>
      <w:r w:rsidR="00D030D2" w:rsidRPr="00EC250C">
        <w:rPr>
          <w:rStyle w:val="Hipercze"/>
          <w:color w:val="auto"/>
          <w:u w:val="none"/>
        </w:rPr>
        <w:t>KMPT</w:t>
      </w:r>
      <w:r w:rsidR="00B473F5" w:rsidRPr="00EC250C">
        <w:rPr>
          <w:rStyle w:val="Hipercze"/>
          <w:color w:val="auto"/>
          <w:u w:val="none"/>
        </w:rPr>
        <w:t>.</w:t>
      </w:r>
    </w:p>
    <w:p w14:paraId="0CB16D96" w14:textId="77777777" w:rsidR="00C91F6E" w:rsidRPr="00EC250C" w:rsidRDefault="00D030D2" w:rsidP="00D131FA">
      <w:pPr>
        <w:pStyle w:val="Styl1"/>
        <w:rPr>
          <w:rStyle w:val="Hipercze"/>
          <w:color w:val="auto"/>
          <w:u w:val="none"/>
        </w:rPr>
      </w:pPr>
      <w:r w:rsidRPr="00EC250C">
        <w:rPr>
          <w:rStyle w:val="Hipercze"/>
          <w:color w:val="auto"/>
          <w:u w:val="none"/>
        </w:rPr>
        <w:t xml:space="preserve">Są one </w:t>
      </w:r>
      <w:r w:rsidR="00207376" w:rsidRPr="00EC250C">
        <w:rPr>
          <w:rStyle w:val="Hipercze"/>
          <w:color w:val="auto"/>
          <w:u w:val="none"/>
        </w:rPr>
        <w:t>organizowane przez RPO</w:t>
      </w:r>
      <w:r w:rsidR="00992FD0" w:rsidRPr="00EC250C">
        <w:rPr>
          <w:rStyle w:val="Hipercze"/>
          <w:color w:val="auto"/>
          <w:u w:val="none"/>
        </w:rPr>
        <w:t xml:space="preserve"> </w:t>
      </w:r>
      <w:r w:rsidRPr="00EC250C">
        <w:rPr>
          <w:rStyle w:val="Hipercze"/>
          <w:color w:val="auto"/>
          <w:u w:val="none"/>
        </w:rPr>
        <w:t xml:space="preserve">od 2016 r. </w:t>
      </w:r>
      <w:r w:rsidR="00207376" w:rsidRPr="00EC250C">
        <w:rPr>
          <w:rStyle w:val="Hipercze"/>
          <w:color w:val="auto"/>
          <w:u w:val="none"/>
        </w:rPr>
        <w:t>W 2018</w:t>
      </w:r>
      <w:r w:rsidR="00C91F6E" w:rsidRPr="00EC250C">
        <w:rPr>
          <w:rStyle w:val="Hipercze"/>
          <w:color w:val="auto"/>
          <w:u w:val="none"/>
        </w:rPr>
        <w:t> r.</w:t>
      </w:r>
      <w:r w:rsidR="00207376" w:rsidRPr="00EC250C">
        <w:rPr>
          <w:rStyle w:val="Hipercze"/>
          <w:color w:val="auto"/>
          <w:u w:val="none"/>
        </w:rPr>
        <w:t xml:space="preserve"> debaty odbyły się</w:t>
      </w:r>
      <w:r w:rsidR="00992FD0" w:rsidRPr="00EC250C">
        <w:rPr>
          <w:rStyle w:val="Hipercze"/>
          <w:color w:val="auto"/>
          <w:u w:val="none"/>
        </w:rPr>
        <w:t xml:space="preserve"> w </w:t>
      </w:r>
      <w:r w:rsidR="00207376" w:rsidRPr="00EC250C">
        <w:rPr>
          <w:rStyle w:val="Hipercze"/>
          <w:color w:val="auto"/>
          <w:u w:val="none"/>
        </w:rPr>
        <w:t>Poznaniu, Kielcach, Łodzi</w:t>
      </w:r>
      <w:r w:rsidR="00992FD0" w:rsidRPr="00EC250C">
        <w:rPr>
          <w:rStyle w:val="Hipercze"/>
          <w:color w:val="auto"/>
          <w:u w:val="none"/>
        </w:rPr>
        <w:t xml:space="preserve"> i </w:t>
      </w:r>
      <w:r w:rsidR="00207376" w:rsidRPr="00EC250C">
        <w:rPr>
          <w:rStyle w:val="Hipercze"/>
          <w:color w:val="auto"/>
          <w:u w:val="none"/>
        </w:rPr>
        <w:t>Warszawie. Spotkania adresowane były do funkcjonariuszy</w:t>
      </w:r>
      <w:r w:rsidR="00992FD0" w:rsidRPr="00EC250C">
        <w:rPr>
          <w:rStyle w:val="Hipercze"/>
          <w:color w:val="auto"/>
          <w:u w:val="none"/>
        </w:rPr>
        <w:t xml:space="preserve"> i </w:t>
      </w:r>
      <w:r w:rsidR="00207376" w:rsidRPr="00EC250C">
        <w:rPr>
          <w:rStyle w:val="Hipercze"/>
          <w:color w:val="auto"/>
          <w:u w:val="none"/>
        </w:rPr>
        <w:t>osób pracujących we wszystkich typach miejsc pozbawienia wolności, oraz przedstawicieli prokuratury, władzy sądowniczej, samorządu wojewódzkiego oraz uczelni.</w:t>
      </w:r>
    </w:p>
    <w:p w14:paraId="0DC5BA3C" w14:textId="77777777" w:rsidR="00207376" w:rsidRPr="00EC250C" w:rsidRDefault="00207376" w:rsidP="00D131FA">
      <w:pPr>
        <w:pStyle w:val="Styl1"/>
        <w:rPr>
          <w:rStyle w:val="Hipercze"/>
          <w:color w:val="auto"/>
          <w:u w:val="none"/>
        </w:rPr>
      </w:pPr>
      <w:r w:rsidRPr="00EC250C">
        <w:rPr>
          <w:rStyle w:val="Hipercze"/>
          <w:color w:val="auto"/>
          <w:u w:val="none"/>
        </w:rPr>
        <w:lastRenderedPageBreak/>
        <w:t>Przedstawiciele KMPT dzielili się</w:t>
      </w:r>
      <w:r w:rsidR="00992FD0" w:rsidRPr="00EC250C">
        <w:rPr>
          <w:rStyle w:val="Hipercze"/>
          <w:color w:val="auto"/>
          <w:u w:val="none"/>
        </w:rPr>
        <w:t xml:space="preserve"> w </w:t>
      </w:r>
      <w:r w:rsidRPr="00EC250C">
        <w:rPr>
          <w:rStyle w:val="Hipercze"/>
          <w:color w:val="auto"/>
          <w:u w:val="none"/>
        </w:rPr>
        <w:t>trakcie tych spotkań spostrzeżeniami, opowiadali nie tylko</w:t>
      </w:r>
      <w:r w:rsidR="00992FD0" w:rsidRPr="00EC250C">
        <w:rPr>
          <w:rStyle w:val="Hipercze"/>
          <w:color w:val="auto"/>
          <w:u w:val="none"/>
        </w:rPr>
        <w:t xml:space="preserve"> o </w:t>
      </w:r>
      <w:r w:rsidRPr="00EC250C">
        <w:rPr>
          <w:rStyle w:val="Hipercze"/>
          <w:color w:val="auto"/>
          <w:u w:val="none"/>
        </w:rPr>
        <w:t>problemach, ale</w:t>
      </w:r>
      <w:r w:rsidR="00992FD0" w:rsidRPr="00EC250C">
        <w:rPr>
          <w:rStyle w:val="Hipercze"/>
          <w:color w:val="auto"/>
          <w:u w:val="none"/>
        </w:rPr>
        <w:t xml:space="preserve"> i o </w:t>
      </w:r>
      <w:r w:rsidRPr="00EC250C">
        <w:rPr>
          <w:rStyle w:val="Hipercze"/>
          <w:color w:val="auto"/>
          <w:u w:val="none"/>
        </w:rPr>
        <w:t>dobrych praktykach, które poznali</w:t>
      </w:r>
      <w:r w:rsidR="00992FD0" w:rsidRPr="00EC250C">
        <w:rPr>
          <w:rStyle w:val="Hipercze"/>
          <w:color w:val="auto"/>
          <w:u w:val="none"/>
        </w:rPr>
        <w:t xml:space="preserve"> w </w:t>
      </w:r>
      <w:r w:rsidRPr="00EC250C">
        <w:rPr>
          <w:rStyle w:val="Hipercze"/>
          <w:color w:val="auto"/>
          <w:u w:val="none"/>
        </w:rPr>
        <w:t>toku wizytacji. Uczestnicy debaty zadawali pytania</w:t>
      </w:r>
      <w:r w:rsidR="00992FD0" w:rsidRPr="00EC250C">
        <w:rPr>
          <w:rStyle w:val="Hipercze"/>
          <w:color w:val="auto"/>
          <w:u w:val="none"/>
        </w:rPr>
        <w:t xml:space="preserve"> i </w:t>
      </w:r>
      <w:r w:rsidRPr="00EC250C">
        <w:rPr>
          <w:rStyle w:val="Hipercze"/>
          <w:color w:val="auto"/>
          <w:u w:val="none"/>
        </w:rPr>
        <w:t>dzielili się wątpliwościami</w:t>
      </w:r>
      <w:r w:rsidR="00D60803" w:rsidRPr="00EC250C">
        <w:rPr>
          <w:rStyle w:val="Odwoanieprzypisudolnego"/>
        </w:rPr>
        <w:footnoteReference w:id="110"/>
      </w:r>
      <w:r w:rsidRPr="00EC250C">
        <w:rPr>
          <w:rStyle w:val="Hipercze"/>
          <w:color w:val="auto"/>
          <w:u w:val="none"/>
        </w:rPr>
        <w:t>.</w:t>
      </w:r>
    </w:p>
    <w:p w14:paraId="75863FBF" w14:textId="77777777" w:rsidR="00D60803" w:rsidRPr="00EC250C" w:rsidRDefault="00D60803" w:rsidP="00D131FA">
      <w:pPr>
        <w:pStyle w:val="Styl1"/>
      </w:pPr>
      <w:r w:rsidRPr="00EC250C">
        <w:rPr>
          <w:shd w:val="clear" w:color="auto" w:fill="FFFFFF"/>
        </w:rPr>
        <w:t>Dyrektorzy DPS mówi</w:t>
      </w:r>
      <w:r w:rsidR="00CC53B3" w:rsidRPr="00EC250C">
        <w:rPr>
          <w:shd w:val="clear" w:color="auto" w:fill="FFFFFF"/>
        </w:rPr>
        <w:t>li</w:t>
      </w:r>
      <w:r w:rsidRPr="00EC250C">
        <w:rPr>
          <w:shd w:val="clear" w:color="auto" w:fill="FFFFFF"/>
        </w:rPr>
        <w:t xml:space="preserve"> np.</w:t>
      </w:r>
      <w:r w:rsidR="00992FD0" w:rsidRPr="00EC250C">
        <w:rPr>
          <w:shd w:val="clear" w:color="auto" w:fill="FFFFFF"/>
        </w:rPr>
        <w:t xml:space="preserve"> o </w:t>
      </w:r>
      <w:r w:rsidRPr="00EC250C">
        <w:rPr>
          <w:shd w:val="clear" w:color="auto" w:fill="FFFFFF"/>
        </w:rPr>
        <w:t>problemie</w:t>
      </w:r>
      <w:r w:rsidR="00992FD0" w:rsidRPr="00EC250C">
        <w:rPr>
          <w:shd w:val="clear" w:color="auto" w:fill="FFFFFF"/>
        </w:rPr>
        <w:t xml:space="preserve"> </w:t>
      </w:r>
      <w:r w:rsidRPr="00EC250C">
        <w:rPr>
          <w:shd w:val="clear" w:color="auto" w:fill="FFFFFF"/>
        </w:rPr>
        <w:t>zabezpieczani</w:t>
      </w:r>
      <w:r w:rsidR="00FB48CA" w:rsidRPr="00EC250C">
        <w:rPr>
          <w:shd w:val="clear" w:color="auto" w:fill="FFFFFF"/>
        </w:rPr>
        <w:t>a</w:t>
      </w:r>
      <w:r w:rsidRPr="00EC250C">
        <w:rPr>
          <w:shd w:val="clear" w:color="auto" w:fill="FFFFFF"/>
        </w:rPr>
        <w:t xml:space="preserve"> mieszkańców poprzez np. przywiązywanie ich do krzeseł, aby nie wyrządzili sobie </w:t>
      </w:r>
      <w:r w:rsidRPr="00EC250C">
        <w:t>krzywdy. Często jest to robione za pomocą prześcieradeł czy rajstop. Dyrektorzy Młodzieżowych Ośrodków Wychowawczych analiz</w:t>
      </w:r>
      <w:r w:rsidR="00CC53B3" w:rsidRPr="00EC250C">
        <w:t>owali</w:t>
      </w:r>
      <w:r w:rsidRPr="00EC250C">
        <w:t xml:space="preserve"> problem, jakim jest nadużywanie alkoholu czy środków psychoaktywnych przez podopiecznych – zastanawia</w:t>
      </w:r>
      <w:r w:rsidR="00FB48CA" w:rsidRPr="00EC250C">
        <w:t>li</w:t>
      </w:r>
      <w:r w:rsidRPr="00EC250C">
        <w:t xml:space="preserve"> się, jak stawiać wychowankom granice nie łamiąc ich praw</w:t>
      </w:r>
      <w:r w:rsidR="00CC53B3" w:rsidRPr="00EC250C">
        <w:t xml:space="preserve">. W szpitalach psychiatrycznych narasta problem braku miejsc: </w:t>
      </w:r>
      <w:r w:rsidR="00C13D32" w:rsidRPr="00EC250C">
        <w:t>c</w:t>
      </w:r>
      <w:r w:rsidR="00CC53B3" w:rsidRPr="00EC250C">
        <w:t>zasami zdarza się też, że pacjenci leżą na korytarzach, nawet na materacach</w:t>
      </w:r>
      <w:r w:rsidR="00FB48CA" w:rsidRPr="00EC250C">
        <w:t>.</w:t>
      </w:r>
      <w:r w:rsidR="00C13D32" w:rsidRPr="00EC250C">
        <w:t xml:space="preserve"> Powstaje </w:t>
      </w:r>
      <w:r w:rsidR="00CC53B3" w:rsidRPr="00EC250C">
        <w:t>pytani</w:t>
      </w:r>
      <w:r w:rsidR="00C13D32" w:rsidRPr="00EC250C">
        <w:t>e</w:t>
      </w:r>
      <w:r w:rsidR="00CC53B3" w:rsidRPr="00EC250C">
        <w:t>: co zrobić</w:t>
      </w:r>
      <w:r w:rsidR="00992FD0" w:rsidRPr="00EC250C">
        <w:t xml:space="preserve"> w </w:t>
      </w:r>
      <w:r w:rsidR="00CC53B3" w:rsidRPr="00EC250C">
        <w:t xml:space="preserve">tej sytuacji, gdy nieprzyjęcie kogoś do placówki stanowiłoby zagrożenie </w:t>
      </w:r>
      <w:r w:rsidR="00C13D32" w:rsidRPr="00EC250C">
        <w:t xml:space="preserve">dla jego </w:t>
      </w:r>
      <w:r w:rsidR="00CC53B3" w:rsidRPr="00EC250C">
        <w:t>życia?</w:t>
      </w:r>
    </w:p>
    <w:p w14:paraId="3A488C2E" w14:textId="77777777" w:rsidR="00C91F6E" w:rsidRPr="00EC250C" w:rsidRDefault="00207376" w:rsidP="00EC79EB">
      <w:pPr>
        <w:pStyle w:val="Nagwek4"/>
      </w:pPr>
      <w:bookmarkStart w:id="121" w:name="_Toc6257673"/>
      <w:bookmarkStart w:id="122" w:name="_Toc7113646"/>
      <w:bookmarkStart w:id="123" w:name="_Toc11247579"/>
      <w:r w:rsidRPr="00EC250C">
        <w:t>Brak penalizacji tortur</w:t>
      </w:r>
      <w:r w:rsidR="00992FD0" w:rsidRPr="00EC250C">
        <w:t xml:space="preserve"> w </w:t>
      </w:r>
      <w:r w:rsidRPr="00EC250C">
        <w:t>polskim prawie</w:t>
      </w:r>
      <w:bookmarkEnd w:id="121"/>
      <w:bookmarkEnd w:id="122"/>
      <w:bookmarkEnd w:id="123"/>
    </w:p>
    <w:p w14:paraId="0C369C0D" w14:textId="77777777" w:rsidR="00B473F5" w:rsidRPr="00EC250C" w:rsidRDefault="00207376" w:rsidP="00D131FA">
      <w:pPr>
        <w:pStyle w:val="Problemczowieka"/>
        <w:jc w:val="both"/>
      </w:pPr>
      <w:r w:rsidRPr="00EC250C">
        <w:rPr>
          <w:bCs/>
          <w:iCs/>
        </w:rPr>
        <w:t>Brak przestępstwa tortur</w:t>
      </w:r>
      <w:r w:rsidR="00992FD0" w:rsidRPr="00EC250C">
        <w:rPr>
          <w:bCs/>
          <w:iCs/>
        </w:rPr>
        <w:t xml:space="preserve"> w </w:t>
      </w:r>
      <w:r w:rsidRPr="00EC250C">
        <w:rPr>
          <w:bCs/>
          <w:iCs/>
        </w:rPr>
        <w:t>przepisach karnych utrudnia lub wręcz uniemożliwia kwalifikację konkretnych czynów jako tortur – trudniej je nazywać, karać za nie,</w:t>
      </w:r>
      <w:r w:rsidR="00992FD0" w:rsidRPr="00EC250C">
        <w:rPr>
          <w:bCs/>
          <w:iCs/>
        </w:rPr>
        <w:t xml:space="preserve"> a </w:t>
      </w:r>
      <w:r w:rsidRPr="00EC250C">
        <w:rPr>
          <w:bCs/>
          <w:iCs/>
        </w:rPr>
        <w:t>także przeciwdziałać im</w:t>
      </w:r>
      <w:r w:rsidR="00B473F5" w:rsidRPr="00EC250C">
        <w:rPr>
          <w:bCs/>
          <w:iCs/>
        </w:rPr>
        <w:t>.</w:t>
      </w:r>
    </w:p>
    <w:p w14:paraId="260D624F" w14:textId="77777777" w:rsidR="00C91F6E" w:rsidRPr="00EC250C" w:rsidRDefault="00207376" w:rsidP="00D131FA">
      <w:pPr>
        <w:pStyle w:val="Styl1"/>
      </w:pPr>
      <w:r w:rsidRPr="00EC250C">
        <w:t xml:space="preserve">Rzecznik </w:t>
      </w:r>
      <w:r w:rsidR="00C13D32" w:rsidRPr="00EC250C">
        <w:t xml:space="preserve">Praw Obywatelskich </w:t>
      </w:r>
      <w:r w:rsidRPr="00EC250C">
        <w:t>od początku swojej kadencji zwraca uwagę na konieczność wprowadzenia do polskiego porządku prawnego definicji tortur oraz innego okrutnego, nieludzkiego lub poniżającego traktowania albo karania. Postulat ten kieruje</w:t>
      </w:r>
      <w:r w:rsidR="00992FD0" w:rsidRPr="00EC250C">
        <w:t xml:space="preserve"> w </w:t>
      </w:r>
      <w:r w:rsidRPr="00EC250C">
        <w:t>oparciu</w:t>
      </w:r>
      <w:r w:rsidR="00992FD0" w:rsidRPr="00EC250C">
        <w:t xml:space="preserve"> o </w:t>
      </w:r>
      <w:r w:rsidRPr="00EC250C">
        <w:t>rekomendacje Komitetu ONZ Przeciwko Torturom oraz instytucji międzynarodowych działających</w:t>
      </w:r>
      <w:r w:rsidR="00992FD0" w:rsidRPr="00EC250C">
        <w:t xml:space="preserve"> w </w:t>
      </w:r>
      <w:r w:rsidRPr="00EC250C">
        <w:t>obszarze zapobiegania torturom</w:t>
      </w:r>
      <w:r w:rsidR="00992FD0" w:rsidRPr="00EC250C">
        <w:t xml:space="preserve"> i </w:t>
      </w:r>
      <w:r w:rsidRPr="00EC250C">
        <w:t>innemu złemu traktowaniu.</w:t>
      </w:r>
    </w:p>
    <w:p w14:paraId="6A814464" w14:textId="77777777" w:rsidR="00CC53B3" w:rsidRPr="00EC250C" w:rsidRDefault="00CC53B3" w:rsidP="00D131FA">
      <w:pPr>
        <w:pStyle w:val="Styl1"/>
      </w:pPr>
      <w:r w:rsidRPr="00EC250C">
        <w:t>W 2018</w:t>
      </w:r>
      <w:r w:rsidR="00C91F6E" w:rsidRPr="00EC250C">
        <w:t> r.</w:t>
      </w:r>
      <w:r w:rsidRPr="00EC250C">
        <w:t xml:space="preserve"> RPO zwrócił się do Biura Instytucji Demokratycznych</w:t>
      </w:r>
      <w:r w:rsidR="00992FD0" w:rsidRPr="00EC250C">
        <w:t xml:space="preserve"> i </w:t>
      </w:r>
      <w:r w:rsidRPr="00EC250C">
        <w:t>Praw Człowieka OBWE</w:t>
      </w:r>
      <w:r w:rsidR="00992FD0" w:rsidRPr="00EC250C">
        <w:t xml:space="preserve"> o </w:t>
      </w:r>
      <w:r w:rsidRPr="00EC250C">
        <w:t>opinię</w:t>
      </w:r>
      <w:r w:rsidR="00992FD0" w:rsidRPr="00EC250C">
        <w:t xml:space="preserve"> w </w:t>
      </w:r>
      <w:r w:rsidRPr="00EC250C">
        <w:t xml:space="preserve">tej sprawie. </w:t>
      </w:r>
      <w:r w:rsidR="00C13D32" w:rsidRPr="00EC250C">
        <w:t>Wynika z niej</w:t>
      </w:r>
      <w:r w:rsidRPr="00EC250C">
        <w:t xml:space="preserve">, że </w:t>
      </w:r>
      <w:r w:rsidR="00C13D32" w:rsidRPr="00EC250C">
        <w:t xml:space="preserve">rzeczywiście </w:t>
      </w:r>
      <w:r w:rsidRPr="00EC250C">
        <w:t>najważniejsz</w:t>
      </w:r>
      <w:r w:rsidR="00C13D32" w:rsidRPr="00EC250C">
        <w:t xml:space="preserve">e jest </w:t>
      </w:r>
      <w:r w:rsidRPr="00EC250C">
        <w:t>zapewnieni</w:t>
      </w:r>
      <w:r w:rsidR="00C13D32" w:rsidRPr="00EC250C">
        <w:t>e</w:t>
      </w:r>
      <w:r w:rsidRPr="00EC250C">
        <w:t xml:space="preserve">, aby </w:t>
      </w:r>
      <w:r w:rsidR="00C13D32" w:rsidRPr="00EC250C">
        <w:t xml:space="preserve">w systemie prawnym </w:t>
      </w:r>
      <w:r w:rsidRPr="00EC250C">
        <w:t xml:space="preserve">akty tortur </w:t>
      </w:r>
      <w:r w:rsidR="00C13D32" w:rsidRPr="00EC250C">
        <w:t xml:space="preserve">były </w:t>
      </w:r>
      <w:r w:rsidRPr="00EC250C">
        <w:t>poważn</w:t>
      </w:r>
      <w:r w:rsidR="00C13D32" w:rsidRPr="00EC250C">
        <w:t>ymi</w:t>
      </w:r>
      <w:r w:rsidRPr="00EC250C">
        <w:t xml:space="preserve"> przestępstwa</w:t>
      </w:r>
      <w:r w:rsidR="00C13D32" w:rsidRPr="00EC250C">
        <w:t>mi</w:t>
      </w:r>
      <w:r w:rsidR="005E5FF0" w:rsidRPr="00EC250C">
        <w:rPr>
          <w:rStyle w:val="Odwoanieprzypisudolnego"/>
        </w:rPr>
        <w:footnoteReference w:id="111"/>
      </w:r>
      <w:r w:rsidRPr="00EC250C">
        <w:t>.</w:t>
      </w:r>
    </w:p>
    <w:p w14:paraId="7C29AC68" w14:textId="77777777" w:rsidR="00C91F6E" w:rsidRPr="00EC250C" w:rsidRDefault="00C13D32" w:rsidP="00D131FA">
      <w:pPr>
        <w:pStyle w:val="Styl1"/>
      </w:pPr>
      <w:r w:rsidRPr="00EC250C">
        <w:t xml:space="preserve">Dlatego </w:t>
      </w:r>
      <w:r w:rsidR="00073A8C" w:rsidRPr="00EC250C">
        <w:t xml:space="preserve">RPO </w:t>
      </w:r>
      <w:r w:rsidRPr="00EC250C">
        <w:t xml:space="preserve">upominał się o rozwiązanie problemu </w:t>
      </w:r>
      <w:r w:rsidR="00992FD0" w:rsidRPr="00EC250C">
        <w:t>w </w:t>
      </w:r>
      <w:r w:rsidR="005E5FF0" w:rsidRPr="00EC250C">
        <w:t xml:space="preserve">kolejnym wystąpieniu </w:t>
      </w:r>
      <w:r w:rsidR="005E5FF0" w:rsidRPr="00EC250C">
        <w:rPr>
          <w:bCs/>
          <w:iCs/>
        </w:rPr>
        <w:t>do Ministra Sprawiedliwości</w:t>
      </w:r>
      <w:r w:rsidR="005E5FF0" w:rsidRPr="00EC250C">
        <w:rPr>
          <w:rStyle w:val="Odwoanieprzypisudolnego"/>
          <w:bCs/>
          <w:iCs/>
        </w:rPr>
        <w:footnoteReference w:id="112"/>
      </w:r>
      <w:r w:rsidR="005E5FF0" w:rsidRPr="00EC250C">
        <w:rPr>
          <w:bCs/>
          <w:iCs/>
        </w:rPr>
        <w:t xml:space="preserve">: </w:t>
      </w:r>
      <w:r w:rsidR="005E5FF0" w:rsidRPr="00EC250C">
        <w:t>b</w:t>
      </w:r>
      <w:r w:rsidR="00207376" w:rsidRPr="00EC250C">
        <w:t>rak przestępstwa tortur</w:t>
      </w:r>
      <w:r w:rsidR="00992FD0" w:rsidRPr="00EC250C">
        <w:t xml:space="preserve"> w </w:t>
      </w:r>
      <w:r w:rsidR="00207376" w:rsidRPr="00EC250C">
        <w:t>kodyfikacji karnej utrudnia lub wręcz uniemożliwia kwalifikację konkretnych czynów jako tortur</w:t>
      </w:r>
      <w:r w:rsidR="00992FD0" w:rsidRPr="00EC250C">
        <w:t xml:space="preserve"> w </w:t>
      </w:r>
      <w:r w:rsidR="00207376" w:rsidRPr="00EC250C">
        <w:t>rozumieniu Konwencji ONZ</w:t>
      </w:r>
      <w:r w:rsidR="00992FD0" w:rsidRPr="00EC250C">
        <w:t xml:space="preserve"> w </w:t>
      </w:r>
      <w:r w:rsidR="00207376" w:rsidRPr="00EC250C">
        <w:t>sprawie zakazu stosowania tortur oraz innego okrutnego, nieludzkiego lub poniżającego traktowania albo karania. Nie pozwala na przeprowadzenie szybkiego</w:t>
      </w:r>
      <w:r w:rsidR="00992FD0" w:rsidRPr="00EC250C">
        <w:t xml:space="preserve"> i </w:t>
      </w:r>
      <w:r w:rsidR="00207376" w:rsidRPr="00EC250C">
        <w:t>bezstronnego dochodzenia</w:t>
      </w:r>
      <w:r w:rsidR="00992FD0" w:rsidRPr="00EC250C">
        <w:t xml:space="preserve"> w </w:t>
      </w:r>
      <w:r w:rsidR="00207376" w:rsidRPr="00EC250C">
        <w:t>przypadku informacji</w:t>
      </w:r>
      <w:r w:rsidR="00992FD0" w:rsidRPr="00EC250C">
        <w:t xml:space="preserve"> o </w:t>
      </w:r>
      <w:r w:rsidR="00207376" w:rsidRPr="00EC250C">
        <w:t>stosowaniu tortur lub innego złego traktowania. Nie pozwala na wymierzenie odpowiedniej kary sprawcom.</w:t>
      </w:r>
    </w:p>
    <w:p w14:paraId="65C80A30" w14:textId="77777777" w:rsidR="00C91F6E" w:rsidRPr="00EC250C" w:rsidRDefault="00207376" w:rsidP="00D131FA">
      <w:pPr>
        <w:pStyle w:val="Styl1"/>
      </w:pPr>
      <w:r w:rsidRPr="00EC250C">
        <w:lastRenderedPageBreak/>
        <w:t>Polskie ustawodawstwo karne nie uwzględnia wszystkich elementów definicji tortur zawartej</w:t>
      </w:r>
      <w:r w:rsidR="00992FD0" w:rsidRPr="00EC250C">
        <w:t xml:space="preserve"> w </w:t>
      </w:r>
      <w:r w:rsidRPr="00EC250C">
        <w:t>art.</w:t>
      </w:r>
      <w:r w:rsidR="00C13D32" w:rsidRPr="00EC250C">
        <w:t> </w:t>
      </w:r>
      <w:r w:rsidRPr="00EC250C">
        <w:t>1 Konwencji ONZ. Przepisy przewidują karę za czyny świadczące</w:t>
      </w:r>
      <w:r w:rsidR="00992FD0" w:rsidRPr="00EC250C">
        <w:t xml:space="preserve"> o </w:t>
      </w:r>
      <w:r w:rsidRPr="00EC250C">
        <w:t>złym traktowaniu obywateli przez funkcjonariuszy publicznych lub osób działających na ich polecenie. Pomijają natomiast udział innych osób np. występujących</w:t>
      </w:r>
      <w:r w:rsidR="00992FD0" w:rsidRPr="00EC250C">
        <w:t xml:space="preserve"> w </w:t>
      </w:r>
      <w:r w:rsidRPr="00EC250C">
        <w:t>charakterze urzędowym lub osób działających za ich wyraźną lub milczącą zgodą, na co wskazuje Konwencja ONZ. Polskie przepisy nie przewidują także przestępstwa tortur lub innego złego traktowania wynikającego</w:t>
      </w:r>
      <w:r w:rsidR="00992FD0" w:rsidRPr="00EC250C">
        <w:t xml:space="preserve"> z </w:t>
      </w:r>
      <w:r w:rsidRPr="00EC250C">
        <w:t>wszelkiej formy dyskryminacji.</w:t>
      </w:r>
    </w:p>
    <w:p w14:paraId="463BCFBE" w14:textId="77777777" w:rsidR="00C91F6E" w:rsidRPr="00EC250C" w:rsidRDefault="00C13D32" w:rsidP="00D131FA">
      <w:pPr>
        <w:pStyle w:val="Styl1"/>
        <w:rPr>
          <w:bCs/>
          <w:iCs/>
        </w:rPr>
      </w:pPr>
      <w:r w:rsidRPr="00EC250C">
        <w:rPr>
          <w:bCs/>
          <w:iCs/>
        </w:rPr>
        <w:t xml:space="preserve">Także w </w:t>
      </w:r>
      <w:r w:rsidR="00207376" w:rsidRPr="00EC250C">
        <w:rPr>
          <w:bCs/>
          <w:iCs/>
        </w:rPr>
        <w:t>2018</w:t>
      </w:r>
      <w:r w:rsidR="00C91F6E" w:rsidRPr="00EC250C">
        <w:rPr>
          <w:bCs/>
          <w:iCs/>
        </w:rPr>
        <w:t> r.</w:t>
      </w:r>
      <w:r w:rsidR="00207376" w:rsidRPr="00EC250C">
        <w:rPr>
          <w:bCs/>
          <w:iCs/>
        </w:rPr>
        <w:t xml:space="preserve"> </w:t>
      </w:r>
      <w:r w:rsidR="005E5FF0" w:rsidRPr="00EC250C">
        <w:rPr>
          <w:bCs/>
          <w:iCs/>
        </w:rPr>
        <w:t xml:space="preserve">RPO </w:t>
      </w:r>
      <w:r w:rsidR="00207376" w:rsidRPr="00EC250C">
        <w:rPr>
          <w:bCs/>
          <w:iCs/>
        </w:rPr>
        <w:t>nie dostał</w:t>
      </w:r>
      <w:r w:rsidR="005E5FF0" w:rsidRPr="00EC250C">
        <w:rPr>
          <w:bCs/>
          <w:iCs/>
        </w:rPr>
        <w:t xml:space="preserve"> odpowiedzi </w:t>
      </w:r>
      <w:r w:rsidR="00907A50" w:rsidRPr="00EC250C">
        <w:rPr>
          <w:bCs/>
          <w:iCs/>
        </w:rPr>
        <w:t>Ministra S</w:t>
      </w:r>
      <w:r w:rsidR="005E5FF0" w:rsidRPr="00EC250C">
        <w:rPr>
          <w:bCs/>
          <w:iCs/>
        </w:rPr>
        <w:t>prawiedliwości</w:t>
      </w:r>
      <w:r w:rsidR="00207376" w:rsidRPr="00EC250C">
        <w:rPr>
          <w:bCs/>
          <w:iCs/>
        </w:rPr>
        <w:t>.</w:t>
      </w:r>
    </w:p>
    <w:p w14:paraId="7F9D92F9" w14:textId="77777777" w:rsidR="004671E5" w:rsidRPr="00EC250C" w:rsidRDefault="004671E5" w:rsidP="00EC250C">
      <w:pPr>
        <w:pStyle w:val="Nagwek8"/>
        <w:rPr>
          <w:spacing w:val="0"/>
        </w:rPr>
      </w:pPr>
      <w:r w:rsidRPr="00EC250C">
        <w:t xml:space="preserve">Pilotażowy program </w:t>
      </w:r>
      <w:r w:rsidR="001B24DE" w:rsidRPr="00EC250C">
        <w:t>b</w:t>
      </w:r>
      <w:r w:rsidRPr="00EC250C">
        <w:t>ody cameras</w:t>
      </w:r>
      <w:r w:rsidR="007411FA" w:rsidRPr="00EC250C">
        <w:t xml:space="preserve"> (kamer na mundurach)</w:t>
      </w:r>
    </w:p>
    <w:p w14:paraId="5B1C4A53" w14:textId="77777777" w:rsidR="004671E5" w:rsidRPr="00EC250C" w:rsidRDefault="004671E5" w:rsidP="00D131FA">
      <w:pPr>
        <w:pStyle w:val="Styl2"/>
        <w:rPr>
          <w:szCs w:val="24"/>
        </w:rPr>
      </w:pPr>
      <w:r w:rsidRPr="00EC250C">
        <w:rPr>
          <w:szCs w:val="24"/>
        </w:rPr>
        <w:t>Od połowy grudnia 2017</w:t>
      </w:r>
      <w:r w:rsidR="00C91F6E" w:rsidRPr="00EC250C">
        <w:rPr>
          <w:szCs w:val="24"/>
        </w:rPr>
        <w:t> r.</w:t>
      </w:r>
      <w:r w:rsidRPr="00EC250C">
        <w:rPr>
          <w:szCs w:val="24"/>
        </w:rPr>
        <w:t xml:space="preserve"> działa pilotażowy program wyposaż</w:t>
      </w:r>
      <w:r w:rsidR="001B63F4" w:rsidRPr="00EC250C">
        <w:rPr>
          <w:szCs w:val="24"/>
        </w:rPr>
        <w:t>a</w:t>
      </w:r>
      <w:r w:rsidRPr="00EC250C">
        <w:rPr>
          <w:szCs w:val="24"/>
        </w:rPr>
        <w:t>ni</w:t>
      </w:r>
      <w:r w:rsidR="001B63F4" w:rsidRPr="00EC250C">
        <w:rPr>
          <w:szCs w:val="24"/>
        </w:rPr>
        <w:t>a</w:t>
      </w:r>
      <w:r w:rsidRPr="00EC250C">
        <w:rPr>
          <w:szCs w:val="24"/>
        </w:rPr>
        <w:t xml:space="preserve"> policjantów</w:t>
      </w:r>
      <w:r w:rsidR="00992FD0" w:rsidRPr="00EC250C">
        <w:rPr>
          <w:szCs w:val="24"/>
        </w:rPr>
        <w:t xml:space="preserve"> w </w:t>
      </w:r>
      <w:r w:rsidRPr="00EC250C">
        <w:rPr>
          <w:szCs w:val="24"/>
        </w:rPr>
        <w:t>kamery na mundurach. Jako pierwsi</w:t>
      </w:r>
      <w:r w:rsidR="001B63F4" w:rsidRPr="00EC250C">
        <w:rPr>
          <w:szCs w:val="24"/>
        </w:rPr>
        <w:t xml:space="preserve"> </w:t>
      </w:r>
      <w:r w:rsidRPr="00EC250C">
        <w:rPr>
          <w:szCs w:val="24"/>
        </w:rPr>
        <w:t>wyposażeni</w:t>
      </w:r>
      <w:r w:rsidR="00992FD0" w:rsidRPr="00EC250C">
        <w:rPr>
          <w:szCs w:val="24"/>
        </w:rPr>
        <w:t xml:space="preserve"> w </w:t>
      </w:r>
      <w:r w:rsidR="001B63F4" w:rsidRPr="00EC250C">
        <w:rPr>
          <w:szCs w:val="24"/>
        </w:rPr>
        <w:t xml:space="preserve">nie </w:t>
      </w:r>
      <w:r w:rsidRPr="00EC250C">
        <w:rPr>
          <w:szCs w:val="24"/>
        </w:rPr>
        <w:t>zostali policjanci</w:t>
      </w:r>
      <w:r w:rsidR="00992FD0" w:rsidRPr="00EC250C">
        <w:rPr>
          <w:szCs w:val="24"/>
        </w:rPr>
        <w:t xml:space="preserve"> z </w:t>
      </w:r>
      <w:r w:rsidRPr="00EC250C">
        <w:rPr>
          <w:szCs w:val="24"/>
        </w:rPr>
        <w:t>garnizonów: stołecznego, dolnośląskiego</w:t>
      </w:r>
      <w:r w:rsidR="00992FD0" w:rsidRPr="00EC250C">
        <w:rPr>
          <w:szCs w:val="24"/>
        </w:rPr>
        <w:t xml:space="preserve"> i </w:t>
      </w:r>
      <w:r w:rsidRPr="00EC250C">
        <w:rPr>
          <w:szCs w:val="24"/>
        </w:rPr>
        <w:t>podlaskiego.</w:t>
      </w:r>
    </w:p>
    <w:p w14:paraId="675C3355" w14:textId="77777777" w:rsidR="004671E5" w:rsidRPr="00EC250C" w:rsidRDefault="001B63F4" w:rsidP="00D131FA">
      <w:pPr>
        <w:pStyle w:val="Styl2"/>
        <w:rPr>
          <w:szCs w:val="24"/>
        </w:rPr>
      </w:pPr>
      <w:r w:rsidRPr="00EC250C">
        <w:rPr>
          <w:szCs w:val="24"/>
        </w:rPr>
        <w:t>Z i</w:t>
      </w:r>
      <w:r w:rsidR="004671E5" w:rsidRPr="00EC250C">
        <w:rPr>
          <w:szCs w:val="24"/>
        </w:rPr>
        <w:t>nformacj</w:t>
      </w:r>
      <w:r w:rsidRPr="00EC250C">
        <w:rPr>
          <w:szCs w:val="24"/>
        </w:rPr>
        <w:t xml:space="preserve">i </w:t>
      </w:r>
      <w:r w:rsidR="004671E5" w:rsidRPr="00EC250C">
        <w:rPr>
          <w:szCs w:val="24"/>
        </w:rPr>
        <w:t xml:space="preserve">od policjantów </w:t>
      </w:r>
      <w:r w:rsidRPr="00EC250C">
        <w:rPr>
          <w:szCs w:val="24"/>
        </w:rPr>
        <w:t>wynika</w:t>
      </w:r>
      <w:r w:rsidR="007411FA" w:rsidRPr="00EC250C">
        <w:rPr>
          <w:szCs w:val="24"/>
        </w:rPr>
        <w:t>, że</w:t>
      </w:r>
      <w:r w:rsidR="004671E5" w:rsidRPr="00EC250C">
        <w:rPr>
          <w:szCs w:val="24"/>
        </w:rPr>
        <w:t xml:space="preserve"> </w:t>
      </w:r>
      <w:r w:rsidRPr="00EC250C">
        <w:rPr>
          <w:szCs w:val="24"/>
        </w:rPr>
        <w:t>ludzie uprzedzeni</w:t>
      </w:r>
      <w:r w:rsidR="00992FD0" w:rsidRPr="00EC250C">
        <w:rPr>
          <w:szCs w:val="24"/>
        </w:rPr>
        <w:t xml:space="preserve"> o </w:t>
      </w:r>
      <w:r w:rsidR="004671E5" w:rsidRPr="00EC250C">
        <w:rPr>
          <w:szCs w:val="24"/>
        </w:rPr>
        <w:t>tym, iż są nagrywan</w:t>
      </w:r>
      <w:r w:rsidRPr="00EC250C">
        <w:rPr>
          <w:szCs w:val="24"/>
        </w:rPr>
        <w:t>i</w:t>
      </w:r>
      <w:r w:rsidR="007411FA" w:rsidRPr="00EC250C">
        <w:rPr>
          <w:szCs w:val="24"/>
        </w:rPr>
        <w:t>,</w:t>
      </w:r>
      <w:r w:rsidR="004671E5" w:rsidRPr="00EC250C">
        <w:rPr>
          <w:szCs w:val="24"/>
        </w:rPr>
        <w:t xml:space="preserve"> zmieniają zachowanie</w:t>
      </w:r>
      <w:r w:rsidRPr="00EC250C">
        <w:rPr>
          <w:szCs w:val="24"/>
        </w:rPr>
        <w:t>,</w:t>
      </w:r>
      <w:r w:rsidR="007411FA" w:rsidRPr="00EC250C">
        <w:rPr>
          <w:szCs w:val="24"/>
        </w:rPr>
        <w:t xml:space="preserve"> </w:t>
      </w:r>
      <w:r w:rsidR="004671E5" w:rsidRPr="00EC250C">
        <w:rPr>
          <w:szCs w:val="24"/>
        </w:rPr>
        <w:t>stają się mniej agresywn</w:t>
      </w:r>
      <w:r w:rsidRPr="00EC250C">
        <w:rPr>
          <w:szCs w:val="24"/>
        </w:rPr>
        <w:t>i</w:t>
      </w:r>
      <w:r w:rsidR="00992FD0" w:rsidRPr="00EC250C">
        <w:rPr>
          <w:szCs w:val="24"/>
        </w:rPr>
        <w:t xml:space="preserve"> i </w:t>
      </w:r>
      <w:r w:rsidR="004671E5" w:rsidRPr="00EC250C">
        <w:rPr>
          <w:szCs w:val="24"/>
        </w:rPr>
        <w:t>bardziej skłonn</w:t>
      </w:r>
      <w:r w:rsidRPr="00EC250C">
        <w:rPr>
          <w:szCs w:val="24"/>
        </w:rPr>
        <w:t>i</w:t>
      </w:r>
      <w:r w:rsidR="004671E5" w:rsidRPr="00EC250C">
        <w:rPr>
          <w:szCs w:val="24"/>
        </w:rPr>
        <w:t xml:space="preserve"> do wykonywania poleceń policjanta. </w:t>
      </w:r>
      <w:r w:rsidR="007411FA" w:rsidRPr="00EC250C">
        <w:rPr>
          <w:szCs w:val="24"/>
        </w:rPr>
        <w:t>R</w:t>
      </w:r>
      <w:r w:rsidR="004671E5" w:rsidRPr="00EC250C">
        <w:rPr>
          <w:szCs w:val="24"/>
        </w:rPr>
        <w:t xml:space="preserve">zadziej podważana jest zasadność czynności służbowych </w:t>
      </w:r>
      <w:r w:rsidRPr="00EC250C">
        <w:rPr>
          <w:szCs w:val="24"/>
        </w:rPr>
        <w:t xml:space="preserve">podejmowanych </w:t>
      </w:r>
      <w:r w:rsidR="004671E5" w:rsidRPr="00EC250C">
        <w:rPr>
          <w:szCs w:val="24"/>
        </w:rPr>
        <w:t>przez policjantów, co skutkuje zwiększeniem ich bezpieczeństwa.</w:t>
      </w:r>
    </w:p>
    <w:p w14:paraId="572A3445" w14:textId="77777777" w:rsidR="004671E5" w:rsidRPr="00EC250C" w:rsidRDefault="004671E5" w:rsidP="00D131FA">
      <w:pPr>
        <w:pStyle w:val="Styl2"/>
        <w:rPr>
          <w:szCs w:val="24"/>
        </w:rPr>
      </w:pPr>
      <w:r w:rsidRPr="00EC250C">
        <w:rPr>
          <w:szCs w:val="24"/>
        </w:rPr>
        <w:t>Niestety,</w:t>
      </w:r>
      <w:r w:rsidR="00992FD0" w:rsidRPr="00EC250C">
        <w:rPr>
          <w:szCs w:val="24"/>
        </w:rPr>
        <w:t xml:space="preserve"> z </w:t>
      </w:r>
      <w:r w:rsidRPr="00EC250C">
        <w:rPr>
          <w:szCs w:val="24"/>
        </w:rPr>
        <w:t>informacji RPO wynika, że mimo tak pozytywnych wyników, Komenda Główna Policji nie planuje objęcia nim również funkcjonariuszy służby kryminalnej</w:t>
      </w:r>
      <w:r w:rsidR="00992FD0" w:rsidRPr="00EC250C">
        <w:rPr>
          <w:szCs w:val="24"/>
        </w:rPr>
        <w:t xml:space="preserve"> i </w:t>
      </w:r>
      <w:r w:rsidRPr="00EC250C">
        <w:rPr>
          <w:szCs w:val="24"/>
        </w:rPr>
        <w:t>śledczej.</w:t>
      </w:r>
    </w:p>
    <w:p w14:paraId="09242698" w14:textId="77777777" w:rsidR="001B63F4" w:rsidRPr="00EC250C" w:rsidRDefault="001B63F4" w:rsidP="00EC250C">
      <w:pPr>
        <w:pStyle w:val="Nagwek8"/>
      </w:pPr>
      <w:r w:rsidRPr="00EC250C">
        <w:t>Używanie paralizatorów przez policjantów</w:t>
      </w:r>
    </w:p>
    <w:p w14:paraId="4AE93B6F" w14:textId="77777777" w:rsidR="00C91F6E" w:rsidRPr="00EC250C" w:rsidRDefault="001B63F4" w:rsidP="00D131FA">
      <w:pPr>
        <w:pStyle w:val="Styl2"/>
        <w:rPr>
          <w:szCs w:val="24"/>
        </w:rPr>
      </w:pPr>
      <w:r w:rsidRPr="00EC250C">
        <w:rPr>
          <w:szCs w:val="24"/>
        </w:rPr>
        <w:t xml:space="preserve">Rzecznik </w:t>
      </w:r>
      <w:r w:rsidR="00073A8C" w:rsidRPr="00EC250C">
        <w:rPr>
          <w:szCs w:val="24"/>
        </w:rPr>
        <w:t xml:space="preserve">Praw Obywatelskich </w:t>
      </w:r>
      <w:r w:rsidRPr="00EC250C">
        <w:rPr>
          <w:szCs w:val="24"/>
        </w:rPr>
        <w:t>po raz kolejny zwrócił się do Komendanta Głównego Policji</w:t>
      </w:r>
      <w:r w:rsidR="00992FD0" w:rsidRPr="00EC250C">
        <w:rPr>
          <w:szCs w:val="24"/>
        </w:rPr>
        <w:t xml:space="preserve"> w </w:t>
      </w:r>
      <w:r w:rsidRPr="00EC250C">
        <w:rPr>
          <w:szCs w:val="24"/>
        </w:rPr>
        <w:t>sprawie potrzeby wprowadzenia procedury szczegółowego dokumentowania użycia paralizatorów – podobnie jak to się robi</w:t>
      </w:r>
      <w:r w:rsidR="00992FD0" w:rsidRPr="00EC250C">
        <w:rPr>
          <w:szCs w:val="24"/>
        </w:rPr>
        <w:t xml:space="preserve"> z </w:t>
      </w:r>
      <w:r w:rsidRPr="00EC250C">
        <w:rPr>
          <w:szCs w:val="24"/>
        </w:rPr>
        <w:t>bronią palną.</w:t>
      </w:r>
    </w:p>
    <w:p w14:paraId="7099DD39" w14:textId="77777777" w:rsidR="001B63F4" w:rsidRPr="00EC250C" w:rsidRDefault="001B63F4" w:rsidP="00D131FA">
      <w:pPr>
        <w:pStyle w:val="Styl2"/>
        <w:rPr>
          <w:rStyle w:val="Hipercze"/>
          <w:color w:val="18223E"/>
          <w:szCs w:val="24"/>
          <w:u w:val="none"/>
        </w:rPr>
      </w:pPr>
      <w:r w:rsidRPr="00EC250C">
        <w:rPr>
          <w:szCs w:val="24"/>
        </w:rPr>
        <w:t xml:space="preserve">Komendant poinformował, że polecił przygotowanie wytycznych określających sposób postępowania </w:t>
      </w:r>
      <w:r w:rsidR="00200617" w:rsidRPr="00EC250C">
        <w:rPr>
          <w:szCs w:val="24"/>
        </w:rPr>
        <w:t xml:space="preserve">z </w:t>
      </w:r>
      <w:r w:rsidRPr="00EC250C">
        <w:rPr>
          <w:szCs w:val="24"/>
        </w:rPr>
        <w:t>paralizator</w:t>
      </w:r>
      <w:r w:rsidR="00200617" w:rsidRPr="00EC250C">
        <w:rPr>
          <w:szCs w:val="24"/>
        </w:rPr>
        <w:t>ami</w:t>
      </w:r>
      <w:r w:rsidRPr="00EC250C">
        <w:rPr>
          <w:szCs w:val="24"/>
        </w:rPr>
        <w:t>. Przekaza</w:t>
      </w:r>
      <w:r w:rsidR="00200617" w:rsidRPr="00EC250C">
        <w:rPr>
          <w:szCs w:val="24"/>
        </w:rPr>
        <w:t>ł</w:t>
      </w:r>
      <w:r w:rsidRPr="00EC250C">
        <w:rPr>
          <w:szCs w:val="24"/>
        </w:rPr>
        <w:t xml:space="preserve"> też komendantom wojewódzkim</w:t>
      </w:r>
      <w:r w:rsidR="00992FD0" w:rsidRPr="00EC250C">
        <w:rPr>
          <w:szCs w:val="24"/>
        </w:rPr>
        <w:t xml:space="preserve"> i </w:t>
      </w:r>
      <w:r w:rsidR="00FB48CA" w:rsidRPr="00EC250C">
        <w:rPr>
          <w:szCs w:val="24"/>
        </w:rPr>
        <w:t xml:space="preserve">Komendantowi </w:t>
      </w:r>
      <w:r w:rsidRPr="00EC250C">
        <w:rPr>
          <w:szCs w:val="24"/>
        </w:rPr>
        <w:t>Stołecznemu Policji szereg poleceń regulujących m.in. kwestie dokumentowania użycia lub wykorzystania paralizatorów, zabezpieczenia</w:t>
      </w:r>
      <w:r w:rsidR="00992FD0" w:rsidRPr="00EC250C">
        <w:rPr>
          <w:szCs w:val="24"/>
        </w:rPr>
        <w:t xml:space="preserve"> i </w:t>
      </w:r>
      <w:r w:rsidRPr="00EC250C">
        <w:rPr>
          <w:szCs w:val="24"/>
        </w:rPr>
        <w:t>nadzoru nad zapisami</w:t>
      </w:r>
      <w:r w:rsidR="00992FD0" w:rsidRPr="00EC250C">
        <w:rPr>
          <w:szCs w:val="24"/>
        </w:rPr>
        <w:t xml:space="preserve"> z </w:t>
      </w:r>
      <w:r w:rsidRPr="00EC250C">
        <w:rPr>
          <w:szCs w:val="24"/>
        </w:rPr>
        <w:t>tych urządzeń oraz szkolenia policjantów</w:t>
      </w:r>
      <w:r w:rsidR="00200617" w:rsidRPr="00EC250C">
        <w:rPr>
          <w:rStyle w:val="Odwoanieprzypisudolnego"/>
          <w:szCs w:val="24"/>
        </w:rPr>
        <w:footnoteReference w:id="113"/>
      </w:r>
      <w:r w:rsidRPr="00EC250C">
        <w:rPr>
          <w:szCs w:val="24"/>
        </w:rPr>
        <w:t>.</w:t>
      </w:r>
    </w:p>
    <w:p w14:paraId="59C8D3FC" w14:textId="77777777" w:rsidR="004671E5" w:rsidRPr="00EC250C" w:rsidRDefault="00A012BF" w:rsidP="00EC79EB">
      <w:pPr>
        <w:pStyle w:val="Nagwek4"/>
      </w:pPr>
      <w:bookmarkStart w:id="124" w:name="_Toc11247580"/>
      <w:r w:rsidRPr="00EC250C">
        <w:t>Niewdrożony kluczowy mechanizm zapobiegający torturom i poniżającemu traktowaniu</w:t>
      </w:r>
      <w:r w:rsidR="00E07575" w:rsidRPr="00EC250C">
        <w:t xml:space="preserve"> – obrońca dla każdego</w:t>
      </w:r>
      <w:bookmarkEnd w:id="124"/>
    </w:p>
    <w:p w14:paraId="08794331" w14:textId="77777777" w:rsidR="004671E5" w:rsidRPr="00EC250C" w:rsidRDefault="00680A3D" w:rsidP="00D131FA">
      <w:pPr>
        <w:pStyle w:val="Styl1"/>
      </w:pPr>
      <w:r w:rsidRPr="00EC250C">
        <w:t>Od kwietnia 2017</w:t>
      </w:r>
      <w:r w:rsidR="00C91F6E" w:rsidRPr="00EC250C">
        <w:t> r.</w:t>
      </w:r>
      <w:r w:rsidRPr="00EC250C">
        <w:t xml:space="preserve"> RPO nie dostał odpowiedzi na wystąpienie</w:t>
      </w:r>
      <w:r w:rsidR="00992FD0" w:rsidRPr="00EC250C">
        <w:t xml:space="preserve"> w </w:t>
      </w:r>
      <w:r w:rsidRPr="00EC250C">
        <w:t>sprawie stworzenia rzeczywistych gwarancji zabezpieczenia przed torturami. Doświadczenia światowe pokazują, że ryzyko tortur</w:t>
      </w:r>
      <w:r w:rsidR="00992FD0" w:rsidRPr="00EC250C">
        <w:t xml:space="preserve"> i </w:t>
      </w:r>
      <w:r w:rsidRPr="00EC250C">
        <w:t xml:space="preserve">okrutnego traktowania spada, jeśli osoba zatrzymana – zwłaszcza niezamożna czy </w:t>
      </w:r>
      <w:r w:rsidRPr="00EC250C">
        <w:lastRenderedPageBreak/>
        <w:t>wykluczona społecznie – ma natychmiastowy dostęp do pomocy prawnej. Odpowiedź nie nadeszła mimo ponaglenia wysłanego na ręce premiera</w:t>
      </w:r>
      <w:r w:rsidR="00992FD0" w:rsidRPr="00EC250C">
        <w:t xml:space="preserve"> w </w:t>
      </w:r>
      <w:r w:rsidRPr="00EC250C">
        <w:t>2017</w:t>
      </w:r>
      <w:r w:rsidR="00C91F6E" w:rsidRPr="00EC250C">
        <w:t> </w:t>
      </w:r>
      <w:r w:rsidR="00C91F6E" w:rsidRPr="00EC250C">
        <w:rPr>
          <w:rFonts w:hint="eastAsia"/>
        </w:rPr>
        <w:t>r.</w:t>
      </w:r>
    </w:p>
    <w:p w14:paraId="2F135DB5" w14:textId="77777777" w:rsidR="00680A3D" w:rsidRPr="00EC250C" w:rsidRDefault="00680A3D" w:rsidP="00D131FA">
      <w:pPr>
        <w:pStyle w:val="ODESANIE"/>
        <w:jc w:val="both"/>
      </w:pPr>
      <w:r w:rsidRPr="00EC250C">
        <w:t>Więcej na ten temat –</w:t>
      </w:r>
      <w:r w:rsidR="001874B8" w:rsidRPr="00EC250C">
        <w:t xml:space="preserve"> </w:t>
      </w:r>
      <w:r w:rsidRPr="00EC250C">
        <w:t>art. 41 ust 2 Konstytucji</w:t>
      </w:r>
    </w:p>
    <w:p w14:paraId="14FEB75B" w14:textId="77777777" w:rsidR="00777CF9" w:rsidRPr="00EC250C" w:rsidRDefault="00777CF9" w:rsidP="00EC250C">
      <w:pPr>
        <w:pStyle w:val="Nagwek8"/>
      </w:pPr>
      <w:r w:rsidRPr="00EC250C">
        <w:rPr>
          <w:rStyle w:val="Hipercze"/>
          <w:color w:val="C00000"/>
          <w:u w:val="none"/>
        </w:rPr>
        <w:t>Europejski Trybunał Praw Człowieka: Kara za tortury powinna być odpowiednia do czynu</w:t>
      </w:r>
      <w:r w:rsidR="00992FD0" w:rsidRPr="00EC250C">
        <w:rPr>
          <w:rStyle w:val="Hipercze"/>
          <w:color w:val="C00000"/>
          <w:u w:val="none"/>
        </w:rPr>
        <w:t xml:space="preserve"> i </w:t>
      </w:r>
      <w:r w:rsidRPr="00EC250C">
        <w:rPr>
          <w:rStyle w:val="Hipercze"/>
          <w:color w:val="C00000"/>
          <w:u w:val="none"/>
        </w:rPr>
        <w:t>mieć efekt odstraszający</w:t>
      </w:r>
    </w:p>
    <w:p w14:paraId="0ACCE64B" w14:textId="77777777" w:rsidR="00C91F6E" w:rsidRPr="00EC250C" w:rsidRDefault="00777CF9" w:rsidP="00D131FA">
      <w:pPr>
        <w:pStyle w:val="Styl2"/>
        <w:rPr>
          <w:rStyle w:val="Pogrubienie"/>
          <w:b/>
          <w:bCs/>
          <w:szCs w:val="24"/>
        </w:rPr>
      </w:pPr>
      <w:r w:rsidRPr="00EC250C">
        <w:rPr>
          <w:szCs w:val="24"/>
        </w:rPr>
        <w:t>25 stycznia 2018</w:t>
      </w:r>
      <w:r w:rsidR="00C91F6E" w:rsidRPr="00EC250C">
        <w:rPr>
          <w:szCs w:val="24"/>
        </w:rPr>
        <w:t> r.</w:t>
      </w:r>
      <w:r w:rsidRPr="00EC250C">
        <w:rPr>
          <w:szCs w:val="24"/>
        </w:rPr>
        <w:t xml:space="preserve"> Europejski Trybunał Praw Człowieka</w:t>
      </w:r>
      <w:r w:rsidR="00992FD0" w:rsidRPr="00EC250C">
        <w:rPr>
          <w:szCs w:val="24"/>
        </w:rPr>
        <w:t xml:space="preserve"> w </w:t>
      </w:r>
      <w:r w:rsidRPr="00EC250C">
        <w:rPr>
          <w:szCs w:val="24"/>
        </w:rPr>
        <w:t>Strasburgu wydał wyrok</w:t>
      </w:r>
      <w:r w:rsidR="00992FD0" w:rsidRPr="00EC250C">
        <w:rPr>
          <w:szCs w:val="24"/>
        </w:rPr>
        <w:t xml:space="preserve"> w </w:t>
      </w:r>
      <w:r w:rsidRPr="00EC250C">
        <w:rPr>
          <w:szCs w:val="24"/>
        </w:rPr>
        <w:t>sprawie Sidiropoulos</w:t>
      </w:r>
      <w:r w:rsidR="00992FD0" w:rsidRPr="00EC250C">
        <w:rPr>
          <w:szCs w:val="24"/>
        </w:rPr>
        <w:t xml:space="preserve"> i </w:t>
      </w:r>
      <w:r w:rsidRPr="00EC250C">
        <w:rPr>
          <w:szCs w:val="24"/>
        </w:rPr>
        <w:t>Papakostas przeciwko Grecji (skarga nr 33349/10).</w:t>
      </w:r>
      <w:r w:rsidR="001B63F4" w:rsidRPr="00EC250C">
        <w:rPr>
          <w:rStyle w:val="Pogrubienie"/>
          <w:b/>
          <w:bCs/>
          <w:szCs w:val="24"/>
        </w:rPr>
        <w:t xml:space="preserve"> Wynika</w:t>
      </w:r>
      <w:r w:rsidR="00992FD0" w:rsidRPr="00EC250C">
        <w:rPr>
          <w:rStyle w:val="Pogrubienie"/>
          <w:b/>
          <w:bCs/>
          <w:szCs w:val="24"/>
        </w:rPr>
        <w:t xml:space="preserve"> z </w:t>
      </w:r>
      <w:r w:rsidR="001B63F4" w:rsidRPr="00EC250C">
        <w:rPr>
          <w:rStyle w:val="Pogrubienie"/>
          <w:b/>
          <w:bCs/>
          <w:szCs w:val="24"/>
        </w:rPr>
        <w:t>niego, że Trybunał może uznać też</w:t>
      </w:r>
      <w:r w:rsidR="00992FD0" w:rsidRPr="00EC250C">
        <w:rPr>
          <w:rStyle w:val="Pogrubienie"/>
          <w:b/>
          <w:bCs/>
          <w:szCs w:val="24"/>
        </w:rPr>
        <w:t xml:space="preserve"> w </w:t>
      </w:r>
      <w:r w:rsidR="001B63F4" w:rsidRPr="00EC250C">
        <w:rPr>
          <w:rStyle w:val="Pogrubienie"/>
          <w:b/>
          <w:bCs/>
          <w:szCs w:val="24"/>
        </w:rPr>
        <w:t>przyszłości, że także Polska</w:t>
      </w:r>
      <w:r w:rsidR="00026572" w:rsidRPr="00EC250C">
        <w:rPr>
          <w:rStyle w:val="Pogrubienie"/>
          <w:b/>
          <w:bCs/>
          <w:szCs w:val="24"/>
        </w:rPr>
        <w:t xml:space="preserve"> – </w:t>
      </w:r>
      <w:r w:rsidR="001B63F4" w:rsidRPr="00EC250C">
        <w:rPr>
          <w:rStyle w:val="Pogrubienie"/>
          <w:b/>
          <w:bCs/>
          <w:szCs w:val="24"/>
        </w:rPr>
        <w:t>swoim stanem prawnym</w:t>
      </w:r>
      <w:r w:rsidR="00992FD0" w:rsidRPr="00EC250C">
        <w:rPr>
          <w:rStyle w:val="Pogrubienie"/>
          <w:b/>
          <w:bCs/>
          <w:szCs w:val="24"/>
        </w:rPr>
        <w:t xml:space="preserve"> i </w:t>
      </w:r>
      <w:r w:rsidR="001B63F4" w:rsidRPr="00EC250C">
        <w:rPr>
          <w:rStyle w:val="Pogrubienie"/>
          <w:b/>
          <w:bCs/>
          <w:szCs w:val="24"/>
        </w:rPr>
        <w:t>praktyką sądową</w:t>
      </w:r>
      <w:r w:rsidR="00026572" w:rsidRPr="00EC250C">
        <w:rPr>
          <w:rStyle w:val="Pogrubienie"/>
          <w:b/>
          <w:bCs/>
          <w:szCs w:val="24"/>
        </w:rPr>
        <w:t xml:space="preserve"> – </w:t>
      </w:r>
      <w:r w:rsidR="001B63F4" w:rsidRPr="00EC250C">
        <w:rPr>
          <w:rStyle w:val="Pogrubienie"/>
          <w:b/>
          <w:bCs/>
          <w:szCs w:val="24"/>
        </w:rPr>
        <w:t>narusza art. 3 Konwencji</w:t>
      </w:r>
      <w:r w:rsidR="00992FD0" w:rsidRPr="00EC250C">
        <w:rPr>
          <w:rStyle w:val="Pogrubienie"/>
          <w:b/>
          <w:bCs/>
          <w:szCs w:val="24"/>
        </w:rPr>
        <w:t xml:space="preserve"> o </w:t>
      </w:r>
      <w:r w:rsidR="001B63F4" w:rsidRPr="00EC250C">
        <w:rPr>
          <w:rStyle w:val="Pogrubienie"/>
          <w:b/>
          <w:bCs/>
          <w:szCs w:val="24"/>
        </w:rPr>
        <w:t>Ochronie Praw Człowieka</w:t>
      </w:r>
      <w:r w:rsidR="00992FD0" w:rsidRPr="00EC250C">
        <w:rPr>
          <w:rStyle w:val="Pogrubienie"/>
          <w:b/>
          <w:bCs/>
          <w:szCs w:val="24"/>
        </w:rPr>
        <w:t xml:space="preserve"> i </w:t>
      </w:r>
      <w:r w:rsidR="001B63F4" w:rsidRPr="00EC250C">
        <w:rPr>
          <w:rStyle w:val="Pogrubienie"/>
          <w:b/>
          <w:bCs/>
          <w:szCs w:val="24"/>
        </w:rPr>
        <w:t>Podstawowych Wolności</w:t>
      </w:r>
      <w:r w:rsidR="001B63F4" w:rsidRPr="00EC250C">
        <w:rPr>
          <w:rStyle w:val="Odwoanieprzypisudolnego"/>
          <w:szCs w:val="24"/>
        </w:rPr>
        <w:footnoteReference w:id="114"/>
      </w:r>
      <w:r w:rsidR="001B63F4" w:rsidRPr="00EC250C">
        <w:rPr>
          <w:rStyle w:val="Pogrubienie"/>
          <w:b/>
          <w:bCs/>
          <w:szCs w:val="24"/>
        </w:rPr>
        <w:t>.</w:t>
      </w:r>
    </w:p>
    <w:p w14:paraId="71AB829E" w14:textId="77777777" w:rsidR="00777CF9" w:rsidRPr="00EC250C" w:rsidRDefault="001B63F4" w:rsidP="00D131FA">
      <w:pPr>
        <w:pStyle w:val="Styl2"/>
        <w:rPr>
          <w:szCs w:val="24"/>
        </w:rPr>
      </w:pPr>
      <w:r w:rsidRPr="00EC250C">
        <w:rPr>
          <w:szCs w:val="24"/>
        </w:rPr>
        <w:t xml:space="preserve">Grecka sprawa dotyczyła dwóch mężczyzn zatrzymanych </w:t>
      </w:r>
      <w:r w:rsidR="00777CF9" w:rsidRPr="00EC250C">
        <w:rPr>
          <w:szCs w:val="24"/>
        </w:rPr>
        <w:t>przez grecką policję</w:t>
      </w:r>
      <w:r w:rsidR="00992FD0" w:rsidRPr="00EC250C">
        <w:rPr>
          <w:szCs w:val="24"/>
        </w:rPr>
        <w:t xml:space="preserve"> i </w:t>
      </w:r>
      <w:r w:rsidRPr="00EC250C">
        <w:rPr>
          <w:szCs w:val="24"/>
        </w:rPr>
        <w:t xml:space="preserve">torturowanych </w:t>
      </w:r>
      <w:r w:rsidR="00200617" w:rsidRPr="00EC250C">
        <w:rPr>
          <w:szCs w:val="24"/>
        </w:rPr>
        <w:t>–</w:t>
      </w:r>
      <w:r w:rsidRPr="00EC250C">
        <w:rPr>
          <w:szCs w:val="24"/>
        </w:rPr>
        <w:t xml:space="preserve"> </w:t>
      </w:r>
      <w:r w:rsidR="00200617" w:rsidRPr="00EC250C">
        <w:rPr>
          <w:szCs w:val="24"/>
        </w:rPr>
        <w:t xml:space="preserve">byli </w:t>
      </w:r>
      <w:r w:rsidRPr="00EC250C">
        <w:rPr>
          <w:szCs w:val="24"/>
        </w:rPr>
        <w:t>skuci kajdankami, bici pałką policyjną oraz rażeni paralizatorem (</w:t>
      </w:r>
      <w:r w:rsidR="00200617" w:rsidRPr="00EC250C">
        <w:rPr>
          <w:szCs w:val="24"/>
        </w:rPr>
        <w:t xml:space="preserve">powodem zatrzymania jednego było </w:t>
      </w:r>
      <w:r w:rsidRPr="00EC250C">
        <w:rPr>
          <w:szCs w:val="24"/>
        </w:rPr>
        <w:t>kierowani</w:t>
      </w:r>
      <w:r w:rsidR="00200617" w:rsidRPr="00EC250C">
        <w:rPr>
          <w:szCs w:val="24"/>
        </w:rPr>
        <w:t>e</w:t>
      </w:r>
      <w:r w:rsidRPr="00EC250C">
        <w:rPr>
          <w:szCs w:val="24"/>
        </w:rPr>
        <w:t xml:space="preserve"> motocyklem bez prawa jazdy</w:t>
      </w:r>
      <w:r w:rsidR="00992FD0" w:rsidRPr="00EC250C">
        <w:rPr>
          <w:szCs w:val="24"/>
        </w:rPr>
        <w:t xml:space="preserve"> i </w:t>
      </w:r>
      <w:r w:rsidRPr="00EC250C">
        <w:rPr>
          <w:szCs w:val="24"/>
        </w:rPr>
        <w:t>ubezpieczenia, drugi</w:t>
      </w:r>
      <w:r w:rsidR="00200617" w:rsidRPr="00EC250C">
        <w:rPr>
          <w:szCs w:val="24"/>
        </w:rPr>
        <w:t>ego</w:t>
      </w:r>
      <w:r w:rsidR="00026572" w:rsidRPr="00EC250C">
        <w:rPr>
          <w:szCs w:val="24"/>
        </w:rPr>
        <w:t xml:space="preserve"> – </w:t>
      </w:r>
      <w:r w:rsidRPr="00EC250C">
        <w:rPr>
          <w:szCs w:val="24"/>
        </w:rPr>
        <w:t>niezatrzymanie się do kontroli)</w:t>
      </w:r>
      <w:r w:rsidR="00777CF9" w:rsidRPr="00EC250C">
        <w:rPr>
          <w:szCs w:val="24"/>
        </w:rPr>
        <w:t>.</w:t>
      </w:r>
    </w:p>
    <w:p w14:paraId="5BBECA27" w14:textId="77777777" w:rsidR="00777CF9" w:rsidRPr="00EC250C" w:rsidRDefault="00777CF9" w:rsidP="00D131FA">
      <w:pPr>
        <w:pStyle w:val="Styl2"/>
        <w:rPr>
          <w:szCs w:val="24"/>
        </w:rPr>
      </w:pPr>
      <w:r w:rsidRPr="00EC250C">
        <w:rPr>
          <w:szCs w:val="24"/>
        </w:rPr>
        <w:t>Greckie prawo karne</w:t>
      </w:r>
      <w:r w:rsidR="00200617" w:rsidRPr="00EC250C">
        <w:rPr>
          <w:szCs w:val="24"/>
        </w:rPr>
        <w:t>, w przeciwieństwie do polskiego,</w:t>
      </w:r>
      <w:r w:rsidRPr="00EC250C">
        <w:rPr>
          <w:szCs w:val="24"/>
        </w:rPr>
        <w:t xml:space="preserve"> </w:t>
      </w:r>
      <w:r w:rsidR="001B63F4" w:rsidRPr="00EC250C">
        <w:rPr>
          <w:szCs w:val="24"/>
        </w:rPr>
        <w:t xml:space="preserve">zna </w:t>
      </w:r>
      <w:r w:rsidRPr="00EC250C">
        <w:rPr>
          <w:szCs w:val="24"/>
        </w:rPr>
        <w:t xml:space="preserve">przestępstwo tortur. </w:t>
      </w:r>
      <w:r w:rsidR="00200617" w:rsidRPr="00EC250C">
        <w:rPr>
          <w:szCs w:val="24"/>
        </w:rPr>
        <w:t xml:space="preserve">Zakazuje też </w:t>
      </w:r>
      <w:r w:rsidRPr="00EC250C">
        <w:rPr>
          <w:szCs w:val="24"/>
        </w:rPr>
        <w:t>funkcjonariusz</w:t>
      </w:r>
      <w:r w:rsidR="00200617" w:rsidRPr="00EC250C">
        <w:rPr>
          <w:szCs w:val="24"/>
        </w:rPr>
        <w:t>om</w:t>
      </w:r>
      <w:r w:rsidRPr="00EC250C">
        <w:rPr>
          <w:szCs w:val="24"/>
        </w:rPr>
        <w:t xml:space="preserve"> podczas przesłuchań</w:t>
      </w:r>
      <w:r w:rsidR="00200617" w:rsidRPr="00EC250C">
        <w:rPr>
          <w:szCs w:val="24"/>
        </w:rPr>
        <w:t>:</w:t>
      </w:r>
      <w:r w:rsidR="001B63F4" w:rsidRPr="00EC250C">
        <w:rPr>
          <w:szCs w:val="24"/>
        </w:rPr>
        <w:t xml:space="preserve"> </w:t>
      </w:r>
      <w:r w:rsidRPr="00EC250C">
        <w:rPr>
          <w:szCs w:val="24"/>
        </w:rPr>
        <w:t>uderzani</w:t>
      </w:r>
      <w:r w:rsidR="001B63F4" w:rsidRPr="00EC250C">
        <w:rPr>
          <w:szCs w:val="24"/>
        </w:rPr>
        <w:t>a</w:t>
      </w:r>
      <w:r w:rsidR="00992FD0" w:rsidRPr="00EC250C">
        <w:rPr>
          <w:szCs w:val="24"/>
        </w:rPr>
        <w:t xml:space="preserve"> w </w:t>
      </w:r>
      <w:r w:rsidRPr="00EC250C">
        <w:rPr>
          <w:szCs w:val="24"/>
        </w:rPr>
        <w:t>podeszwy stóp, rażeni</w:t>
      </w:r>
      <w:r w:rsidR="001B63F4" w:rsidRPr="00EC250C">
        <w:rPr>
          <w:szCs w:val="24"/>
        </w:rPr>
        <w:t>a</w:t>
      </w:r>
      <w:r w:rsidRPr="00EC250C">
        <w:rPr>
          <w:szCs w:val="24"/>
        </w:rPr>
        <w:t xml:space="preserve"> prądem, symulowani</w:t>
      </w:r>
      <w:r w:rsidR="001B63F4" w:rsidRPr="00EC250C">
        <w:rPr>
          <w:szCs w:val="24"/>
        </w:rPr>
        <w:t>a</w:t>
      </w:r>
      <w:r w:rsidRPr="00EC250C">
        <w:rPr>
          <w:szCs w:val="24"/>
        </w:rPr>
        <w:t xml:space="preserve"> egzekucji, długotrwał</w:t>
      </w:r>
      <w:r w:rsidR="001B63F4" w:rsidRPr="00EC250C">
        <w:rPr>
          <w:szCs w:val="24"/>
        </w:rPr>
        <w:t>ej</w:t>
      </w:r>
      <w:r w:rsidRPr="00EC250C">
        <w:rPr>
          <w:szCs w:val="24"/>
        </w:rPr>
        <w:t xml:space="preserve"> izolacja, używani</w:t>
      </w:r>
      <w:r w:rsidR="001B63F4" w:rsidRPr="00EC250C">
        <w:rPr>
          <w:szCs w:val="24"/>
        </w:rPr>
        <w:t>a</w:t>
      </w:r>
      <w:r w:rsidRPr="00EC250C">
        <w:rPr>
          <w:szCs w:val="24"/>
        </w:rPr>
        <w:t xml:space="preserve"> wykrywacza kłamstw, chemikaliów lub innych środków farmakologicznych, </w:t>
      </w:r>
      <w:r w:rsidR="00200617" w:rsidRPr="00EC250C">
        <w:rPr>
          <w:szCs w:val="24"/>
        </w:rPr>
        <w:t xml:space="preserve">a także </w:t>
      </w:r>
      <w:r w:rsidRPr="00EC250C">
        <w:rPr>
          <w:szCs w:val="24"/>
        </w:rPr>
        <w:t>naruszani</w:t>
      </w:r>
      <w:r w:rsidR="001B63F4" w:rsidRPr="00EC250C">
        <w:rPr>
          <w:szCs w:val="24"/>
        </w:rPr>
        <w:t>a</w:t>
      </w:r>
      <w:r w:rsidRPr="00EC250C">
        <w:rPr>
          <w:szCs w:val="24"/>
        </w:rPr>
        <w:t xml:space="preserve"> godności seksualnej.</w:t>
      </w:r>
    </w:p>
    <w:p w14:paraId="415E2398" w14:textId="77777777" w:rsidR="00777CF9" w:rsidRPr="00EC250C" w:rsidRDefault="00777CF9" w:rsidP="00D131FA">
      <w:pPr>
        <w:pStyle w:val="Styl2"/>
        <w:rPr>
          <w:szCs w:val="24"/>
        </w:rPr>
      </w:pPr>
      <w:r w:rsidRPr="00EC250C">
        <w:rPr>
          <w:szCs w:val="24"/>
        </w:rPr>
        <w:t>Kary za tortury wynoszą</w:t>
      </w:r>
      <w:r w:rsidR="00992FD0" w:rsidRPr="00EC250C">
        <w:rPr>
          <w:szCs w:val="24"/>
        </w:rPr>
        <w:t xml:space="preserve"> w </w:t>
      </w:r>
      <w:r w:rsidRPr="00EC250C">
        <w:rPr>
          <w:szCs w:val="24"/>
        </w:rPr>
        <w:t>Grecji co najmniej 3 lata więzienia. W przypadku metod takich jak bicie</w:t>
      </w:r>
      <w:r w:rsidR="00992FD0" w:rsidRPr="00EC250C">
        <w:rPr>
          <w:szCs w:val="24"/>
        </w:rPr>
        <w:t xml:space="preserve"> w </w:t>
      </w:r>
      <w:r w:rsidRPr="00EC250C">
        <w:rPr>
          <w:szCs w:val="24"/>
        </w:rPr>
        <w:t>podeszwy stóp lub rażenie prądem jest to co najmniej 10 lat. Ustawa przewiduje też automatyczne pozbawienie sprawcy praw politycznych.</w:t>
      </w:r>
    </w:p>
    <w:p w14:paraId="5388477F" w14:textId="77777777" w:rsidR="00777CF9" w:rsidRPr="00EC250C" w:rsidRDefault="00777CF9" w:rsidP="00D131FA">
      <w:pPr>
        <w:pStyle w:val="Styl2"/>
        <w:rPr>
          <w:szCs w:val="24"/>
        </w:rPr>
      </w:pPr>
      <w:r w:rsidRPr="00EC250C">
        <w:rPr>
          <w:szCs w:val="24"/>
        </w:rPr>
        <w:t xml:space="preserve">W sprawie </w:t>
      </w:r>
      <w:r w:rsidR="00B672B5" w:rsidRPr="00EC250C">
        <w:rPr>
          <w:szCs w:val="24"/>
        </w:rPr>
        <w:t xml:space="preserve">tej </w:t>
      </w:r>
      <w:r w:rsidRPr="00EC250C">
        <w:rPr>
          <w:szCs w:val="24"/>
        </w:rPr>
        <w:t>funkcjonariusz policji został skazany za tortury na 5 lat. Sąd apelacyjny z</w:t>
      </w:r>
      <w:r w:rsidR="001B63F4" w:rsidRPr="00EC250C">
        <w:rPr>
          <w:szCs w:val="24"/>
        </w:rPr>
        <w:t>a</w:t>
      </w:r>
      <w:r w:rsidRPr="00EC250C">
        <w:rPr>
          <w:szCs w:val="24"/>
        </w:rPr>
        <w:t xml:space="preserve">mienił jednak karę </w:t>
      </w:r>
      <w:r w:rsidR="001B63F4" w:rsidRPr="00EC250C">
        <w:rPr>
          <w:szCs w:val="24"/>
        </w:rPr>
        <w:t xml:space="preserve">więzienia </w:t>
      </w:r>
      <w:r w:rsidRPr="00EC250C">
        <w:rPr>
          <w:szCs w:val="24"/>
        </w:rPr>
        <w:t xml:space="preserve">na grzywnę </w:t>
      </w:r>
      <w:r w:rsidR="001B63F4" w:rsidRPr="00EC250C">
        <w:rPr>
          <w:szCs w:val="24"/>
        </w:rPr>
        <w:t>(</w:t>
      </w:r>
      <w:r w:rsidRPr="00EC250C">
        <w:rPr>
          <w:szCs w:val="24"/>
        </w:rPr>
        <w:t>5 euro za każdy dzień pozbawienia wolności</w:t>
      </w:r>
      <w:r w:rsidR="001B63F4" w:rsidRPr="00EC250C">
        <w:rPr>
          <w:szCs w:val="24"/>
        </w:rPr>
        <w:t>)</w:t>
      </w:r>
      <w:r w:rsidRPr="00EC250C">
        <w:rPr>
          <w:szCs w:val="24"/>
        </w:rPr>
        <w:t>.</w:t>
      </w:r>
    </w:p>
    <w:p w14:paraId="2E2BC5B4" w14:textId="77777777" w:rsidR="00777CF9" w:rsidRPr="00EC250C" w:rsidRDefault="00777CF9" w:rsidP="00D131FA">
      <w:pPr>
        <w:pStyle w:val="Styl2"/>
        <w:rPr>
          <w:szCs w:val="24"/>
        </w:rPr>
      </w:pPr>
      <w:r w:rsidRPr="00EC250C">
        <w:rPr>
          <w:szCs w:val="24"/>
        </w:rPr>
        <w:t>Trybunał</w:t>
      </w:r>
      <w:r w:rsidR="00992FD0" w:rsidRPr="00EC250C">
        <w:rPr>
          <w:szCs w:val="24"/>
        </w:rPr>
        <w:t xml:space="preserve"> w </w:t>
      </w:r>
      <w:r w:rsidR="001B63F4" w:rsidRPr="00EC250C">
        <w:rPr>
          <w:szCs w:val="24"/>
        </w:rPr>
        <w:t xml:space="preserve">Strasburgu </w:t>
      </w:r>
      <w:r w:rsidRPr="00EC250C">
        <w:rPr>
          <w:szCs w:val="24"/>
        </w:rPr>
        <w:t xml:space="preserve">uznał, że </w:t>
      </w:r>
      <w:r w:rsidR="001B63F4" w:rsidRPr="00EC250C">
        <w:rPr>
          <w:szCs w:val="24"/>
        </w:rPr>
        <w:t xml:space="preserve">Grecja </w:t>
      </w:r>
      <w:r w:rsidRPr="00EC250C">
        <w:rPr>
          <w:szCs w:val="24"/>
        </w:rPr>
        <w:t>wykazał</w:t>
      </w:r>
      <w:r w:rsidR="001B63F4" w:rsidRPr="00EC250C">
        <w:rPr>
          <w:szCs w:val="24"/>
        </w:rPr>
        <w:t>a</w:t>
      </w:r>
      <w:r w:rsidRPr="00EC250C">
        <w:rPr>
          <w:szCs w:val="24"/>
        </w:rPr>
        <w:t xml:space="preserve"> się brakiem surowości</w:t>
      </w:r>
      <w:r w:rsidR="001B63F4" w:rsidRPr="00EC250C">
        <w:rPr>
          <w:szCs w:val="24"/>
        </w:rPr>
        <w:t>, przez co</w:t>
      </w:r>
      <w:r w:rsidR="00992FD0" w:rsidRPr="00EC250C">
        <w:rPr>
          <w:szCs w:val="24"/>
        </w:rPr>
        <w:t xml:space="preserve"> i w </w:t>
      </w:r>
      <w:r w:rsidR="001B63F4" w:rsidRPr="00EC250C">
        <w:rPr>
          <w:szCs w:val="24"/>
        </w:rPr>
        <w:t xml:space="preserve">sposób nieskuteczny przeciwdziała </w:t>
      </w:r>
      <w:r w:rsidR="00200617" w:rsidRPr="00EC250C">
        <w:rPr>
          <w:szCs w:val="24"/>
        </w:rPr>
        <w:t>t</w:t>
      </w:r>
      <w:r w:rsidRPr="00EC250C">
        <w:rPr>
          <w:szCs w:val="24"/>
        </w:rPr>
        <w:t>orturom.</w:t>
      </w:r>
      <w:r w:rsidR="001B63F4" w:rsidRPr="00EC250C">
        <w:rPr>
          <w:szCs w:val="24"/>
        </w:rPr>
        <w:t xml:space="preserve"> Owszem, z</w:t>
      </w:r>
      <w:r w:rsidRPr="00EC250C">
        <w:rPr>
          <w:szCs w:val="24"/>
        </w:rPr>
        <w:t>amiana kar</w:t>
      </w:r>
      <w:r w:rsidR="002F72FC" w:rsidRPr="00EC250C">
        <w:rPr>
          <w:szCs w:val="24"/>
        </w:rPr>
        <w:t>y pozbawienia wolności</w:t>
      </w:r>
      <w:r w:rsidR="007C3DEC" w:rsidRPr="00EC250C">
        <w:rPr>
          <w:szCs w:val="24"/>
        </w:rPr>
        <w:t xml:space="preserve"> </w:t>
      </w:r>
      <w:r w:rsidRPr="00EC250C">
        <w:rPr>
          <w:szCs w:val="24"/>
        </w:rPr>
        <w:t>na kar</w:t>
      </w:r>
      <w:r w:rsidR="002F72FC" w:rsidRPr="00EC250C">
        <w:rPr>
          <w:szCs w:val="24"/>
        </w:rPr>
        <w:t>ę</w:t>
      </w:r>
      <w:r w:rsidRPr="00EC250C">
        <w:rPr>
          <w:szCs w:val="24"/>
        </w:rPr>
        <w:t xml:space="preserve"> finansow</w:t>
      </w:r>
      <w:r w:rsidR="002F72FC" w:rsidRPr="00EC250C">
        <w:rPr>
          <w:szCs w:val="24"/>
        </w:rPr>
        <w:t>ą</w:t>
      </w:r>
      <w:r w:rsidRPr="00EC250C">
        <w:rPr>
          <w:szCs w:val="24"/>
        </w:rPr>
        <w:t xml:space="preserve"> może być korzystna dla systemu penitencjarnego, nie zwalnia to jednak władz od zapewnienia odpowiedniego</w:t>
      </w:r>
      <w:r w:rsidR="00992FD0" w:rsidRPr="00EC250C">
        <w:rPr>
          <w:szCs w:val="24"/>
        </w:rPr>
        <w:t xml:space="preserve"> i </w:t>
      </w:r>
      <w:r w:rsidRPr="00EC250C">
        <w:rPr>
          <w:szCs w:val="24"/>
        </w:rPr>
        <w:t>odstraszającego charakteru kary nałożonej we wszystkich przypadkach złego traktowania ze strony funkcjonariuszy państwowych.</w:t>
      </w:r>
    </w:p>
    <w:p w14:paraId="604C59D0" w14:textId="77777777" w:rsidR="00BF6844" w:rsidRPr="00EC250C" w:rsidRDefault="005F7A02" w:rsidP="00EC79EB">
      <w:pPr>
        <w:pStyle w:val="Nagwek4"/>
      </w:pPr>
      <w:bookmarkStart w:id="125" w:name="_Toc6257674"/>
      <w:bookmarkStart w:id="126" w:name="_Toc11247581"/>
      <w:bookmarkStart w:id="127" w:name="_Hlk9435658"/>
      <w:r w:rsidRPr="00EC250C">
        <w:rPr>
          <w:rStyle w:val="Hipercze"/>
          <w:color w:val="18223E"/>
          <w:u w:val="none"/>
        </w:rPr>
        <w:t>Brak ochrony s</w:t>
      </w:r>
      <w:r w:rsidR="00734160" w:rsidRPr="00EC250C">
        <w:rPr>
          <w:rStyle w:val="Hipercze"/>
          <w:color w:val="18223E"/>
          <w:u w:val="none"/>
        </w:rPr>
        <w:t>ygnali</w:t>
      </w:r>
      <w:r w:rsidRPr="00EC250C">
        <w:rPr>
          <w:rStyle w:val="Hipercze"/>
          <w:color w:val="18223E"/>
          <w:u w:val="none"/>
        </w:rPr>
        <w:t>stów</w:t>
      </w:r>
      <w:r w:rsidR="00992FD0" w:rsidRPr="00EC250C">
        <w:rPr>
          <w:rStyle w:val="Hipercze"/>
          <w:color w:val="18223E"/>
          <w:u w:val="none"/>
        </w:rPr>
        <w:t xml:space="preserve"> </w:t>
      </w:r>
      <w:r w:rsidR="00734160" w:rsidRPr="00EC250C">
        <w:rPr>
          <w:rStyle w:val="Hipercze"/>
          <w:color w:val="18223E"/>
          <w:u w:val="none"/>
        </w:rPr>
        <w:t>ujawniający</w:t>
      </w:r>
      <w:r w:rsidRPr="00EC250C">
        <w:rPr>
          <w:rStyle w:val="Hipercze"/>
          <w:color w:val="18223E"/>
          <w:u w:val="none"/>
        </w:rPr>
        <w:t>ch</w:t>
      </w:r>
      <w:r w:rsidR="00734160" w:rsidRPr="00EC250C">
        <w:rPr>
          <w:rStyle w:val="Hipercze"/>
          <w:color w:val="18223E"/>
          <w:u w:val="none"/>
        </w:rPr>
        <w:t xml:space="preserve"> przypadki tortur</w:t>
      </w:r>
      <w:bookmarkEnd w:id="125"/>
      <w:bookmarkEnd w:id="126"/>
    </w:p>
    <w:p w14:paraId="6C1E6F14" w14:textId="77777777" w:rsidR="00B473F5" w:rsidRPr="00EC250C" w:rsidRDefault="00BF6844" w:rsidP="00D131FA">
      <w:pPr>
        <w:pStyle w:val="Problemczowieka"/>
        <w:jc w:val="both"/>
        <w:rPr>
          <w:rStyle w:val="Pogrubienie"/>
          <w:b/>
          <w:bCs w:val="0"/>
        </w:rPr>
      </w:pPr>
      <w:r w:rsidRPr="00EC250C">
        <w:rPr>
          <w:rStyle w:val="Pogrubienie"/>
          <w:b/>
          <w:bCs w:val="0"/>
        </w:rPr>
        <w:t>Funkcjonariusze</w:t>
      </w:r>
      <w:r w:rsidR="00734160" w:rsidRPr="00EC250C">
        <w:rPr>
          <w:rStyle w:val="Pogrubienie"/>
          <w:b/>
          <w:bCs w:val="0"/>
        </w:rPr>
        <w:t>, którzy są świadkami tortur</w:t>
      </w:r>
      <w:r w:rsidR="00992FD0" w:rsidRPr="00EC250C">
        <w:rPr>
          <w:rStyle w:val="Pogrubienie"/>
          <w:b/>
          <w:bCs w:val="0"/>
        </w:rPr>
        <w:t xml:space="preserve"> i </w:t>
      </w:r>
      <w:r w:rsidR="00734160" w:rsidRPr="00EC250C">
        <w:rPr>
          <w:rStyle w:val="Pogrubienie"/>
          <w:b/>
          <w:bCs w:val="0"/>
        </w:rPr>
        <w:t>nieludzkiego traktowania, nie zgłaszają tego</w:t>
      </w:r>
      <w:r w:rsidR="00992FD0" w:rsidRPr="00EC250C">
        <w:rPr>
          <w:rStyle w:val="Pogrubienie"/>
          <w:b/>
          <w:bCs w:val="0"/>
        </w:rPr>
        <w:t xml:space="preserve"> z </w:t>
      </w:r>
      <w:r w:rsidR="00734160" w:rsidRPr="00EC250C">
        <w:rPr>
          <w:rStyle w:val="Pogrubienie"/>
          <w:b/>
          <w:bCs w:val="0"/>
        </w:rPr>
        <w:t>obawy przed konsekwencjami</w:t>
      </w:r>
      <w:r w:rsidR="00B473F5" w:rsidRPr="00EC250C">
        <w:rPr>
          <w:rStyle w:val="Pogrubienie"/>
          <w:b/>
          <w:bCs w:val="0"/>
        </w:rPr>
        <w:t>.</w:t>
      </w:r>
    </w:p>
    <w:p w14:paraId="66984F65" w14:textId="77777777" w:rsidR="00734160" w:rsidRPr="00EC250C" w:rsidRDefault="00734160" w:rsidP="00D131FA">
      <w:pPr>
        <w:pStyle w:val="Styl1"/>
      </w:pPr>
      <w:r w:rsidRPr="00EC250C">
        <w:rPr>
          <w:rStyle w:val="Pogrubienie"/>
          <w:b w:val="0"/>
          <w:bCs w:val="0"/>
        </w:rPr>
        <w:t>Rzecznik Praw Obywatelskich wystąpił do premiera</w:t>
      </w:r>
      <w:r w:rsidR="00992FD0" w:rsidRPr="00EC250C">
        <w:rPr>
          <w:rStyle w:val="Pogrubienie"/>
          <w:b w:val="0"/>
          <w:bCs w:val="0"/>
        </w:rPr>
        <w:t xml:space="preserve"> o </w:t>
      </w:r>
      <w:r w:rsidRPr="00EC250C">
        <w:rPr>
          <w:rStyle w:val="Pogrubienie"/>
          <w:b w:val="0"/>
          <w:bCs w:val="0"/>
        </w:rPr>
        <w:t>skuteczną ochronę prawną osób ze służb mundurowych</w:t>
      </w:r>
      <w:r w:rsidR="00992FD0" w:rsidRPr="00EC250C">
        <w:rPr>
          <w:rStyle w:val="Pogrubienie"/>
          <w:b w:val="0"/>
          <w:bCs w:val="0"/>
        </w:rPr>
        <w:t xml:space="preserve"> i </w:t>
      </w:r>
      <w:r w:rsidRPr="00EC250C">
        <w:rPr>
          <w:rStyle w:val="Pogrubienie"/>
          <w:b w:val="0"/>
          <w:bCs w:val="0"/>
        </w:rPr>
        <w:t xml:space="preserve">specjalnych, które ujawniałyby przypadki </w:t>
      </w:r>
      <w:r w:rsidR="004733A6" w:rsidRPr="00EC250C">
        <w:rPr>
          <w:rStyle w:val="Pogrubienie"/>
          <w:b w:val="0"/>
          <w:bCs w:val="0"/>
        </w:rPr>
        <w:t>złego traktowania</w:t>
      </w:r>
      <w:r w:rsidRPr="00EC250C">
        <w:rPr>
          <w:rStyle w:val="Pogrubienie"/>
          <w:b w:val="0"/>
          <w:bCs w:val="0"/>
        </w:rPr>
        <w:t xml:space="preserve"> zatrzymanych. </w:t>
      </w:r>
    </w:p>
    <w:p w14:paraId="7C2ABCB7" w14:textId="77777777" w:rsidR="00BF6844" w:rsidRPr="00EC250C" w:rsidRDefault="00BF6844" w:rsidP="00D131FA">
      <w:pPr>
        <w:pStyle w:val="Styl1"/>
      </w:pPr>
      <w:r w:rsidRPr="00EC250C">
        <w:t xml:space="preserve">Sygnalistami (ang. </w:t>
      </w:r>
      <w:r w:rsidRPr="00EC250C">
        <w:rPr>
          <w:i/>
        </w:rPr>
        <w:t>whistleblower</w:t>
      </w:r>
      <w:r w:rsidR="00D030D2" w:rsidRPr="00EC250C">
        <w:rPr>
          <w:i/>
        </w:rPr>
        <w:t>s</w:t>
      </w:r>
      <w:r w:rsidRPr="00EC250C">
        <w:t>) nazwa się osoby ujawniające</w:t>
      </w:r>
      <w:r w:rsidR="00992FD0" w:rsidRPr="00EC250C">
        <w:t xml:space="preserve"> w </w:t>
      </w:r>
      <w:r w:rsidR="001B63F4" w:rsidRPr="00EC250C">
        <w:t xml:space="preserve">środowisku pracy lub służby </w:t>
      </w:r>
      <w:r w:rsidRPr="00EC250C">
        <w:t>nieprawidłowości godzące</w:t>
      </w:r>
      <w:r w:rsidR="00992FD0" w:rsidRPr="00EC250C">
        <w:t xml:space="preserve"> w </w:t>
      </w:r>
      <w:r w:rsidRPr="00EC250C">
        <w:t>interes społeczny.</w:t>
      </w:r>
      <w:r w:rsidR="00734160" w:rsidRPr="00EC250C">
        <w:t xml:space="preserve"> </w:t>
      </w:r>
      <w:r w:rsidRPr="00EC250C">
        <w:t xml:space="preserve">Stworzenie </w:t>
      </w:r>
      <w:r w:rsidR="00734160" w:rsidRPr="00EC250C">
        <w:t xml:space="preserve">im </w:t>
      </w:r>
      <w:r w:rsidRPr="00EC250C">
        <w:t>warunków</w:t>
      </w:r>
      <w:r w:rsidR="00992FD0" w:rsidRPr="00EC250C">
        <w:t xml:space="preserve"> i </w:t>
      </w:r>
      <w:r w:rsidRPr="00EC250C">
        <w:t xml:space="preserve">narzędzi </w:t>
      </w:r>
      <w:r w:rsidRPr="00EC250C">
        <w:lastRenderedPageBreak/>
        <w:t>prawnych, które zmotywują do działania</w:t>
      </w:r>
      <w:r w:rsidR="00992FD0" w:rsidRPr="00EC250C">
        <w:t xml:space="preserve"> i </w:t>
      </w:r>
      <w:r w:rsidRPr="00EC250C">
        <w:t xml:space="preserve">zapewnią ochronę, </w:t>
      </w:r>
      <w:r w:rsidR="00734160" w:rsidRPr="00EC250C">
        <w:t xml:space="preserve">to </w:t>
      </w:r>
      <w:r w:rsidRPr="00EC250C">
        <w:t>cenny element prewencji tortur</w:t>
      </w:r>
      <w:r w:rsidR="00992FD0" w:rsidRPr="00EC250C">
        <w:t xml:space="preserve"> i </w:t>
      </w:r>
      <w:r w:rsidRPr="00EC250C">
        <w:t>działań państwa</w:t>
      </w:r>
      <w:r w:rsidR="00992FD0" w:rsidRPr="00EC250C">
        <w:t xml:space="preserve"> w </w:t>
      </w:r>
      <w:r w:rsidRPr="00EC250C">
        <w:t>wypełnianiu zobowiązań wynikających</w:t>
      </w:r>
      <w:r w:rsidR="00992FD0" w:rsidRPr="00EC250C">
        <w:t xml:space="preserve"> z </w:t>
      </w:r>
      <w:r w:rsidRPr="00EC250C">
        <w:t>Konwencji OPCAT.</w:t>
      </w:r>
    </w:p>
    <w:p w14:paraId="0E96AF52" w14:textId="77777777" w:rsidR="001B63F4" w:rsidRPr="00EC250C" w:rsidRDefault="002B038C" w:rsidP="00D131FA">
      <w:pPr>
        <w:pStyle w:val="Styl1"/>
        <w:rPr>
          <w:bCs/>
          <w:iCs/>
        </w:rPr>
      </w:pPr>
      <w:r w:rsidRPr="00EC250C">
        <w:rPr>
          <w:bCs/>
          <w:iCs/>
        </w:rPr>
        <w:t>Sekretarz Kolegium do spraw Służb Specjalnych poinformował</w:t>
      </w:r>
      <w:r w:rsidR="001B63F4" w:rsidRPr="00EC250C">
        <w:rPr>
          <w:bCs/>
          <w:iCs/>
        </w:rPr>
        <w:t xml:space="preserve"> RPO</w:t>
      </w:r>
      <w:r w:rsidRPr="00EC250C">
        <w:rPr>
          <w:bCs/>
          <w:iCs/>
        </w:rPr>
        <w:t>,</w:t>
      </w:r>
      <w:r w:rsidR="009C1364" w:rsidRPr="00EC250C">
        <w:rPr>
          <w:bCs/>
          <w:iCs/>
        </w:rPr>
        <w:t xml:space="preserve"> </w:t>
      </w:r>
      <w:r w:rsidR="002F72FC" w:rsidRPr="00EC250C">
        <w:rPr>
          <w:bCs/>
          <w:iCs/>
        </w:rPr>
        <w:t>że</w:t>
      </w:r>
      <w:r w:rsidR="00BF6844" w:rsidRPr="00EC250C">
        <w:t xml:space="preserve"> </w:t>
      </w:r>
      <w:r w:rsidRPr="00EC250C">
        <w:rPr>
          <w:bCs/>
          <w:iCs/>
        </w:rPr>
        <w:t xml:space="preserve">rozważane jest objęcie statusem sygnalisty funkcjonariuszy służb mundurowych oraz służb specjalnych oraz </w:t>
      </w:r>
      <w:r w:rsidR="00FB48CA" w:rsidRPr="00EC250C">
        <w:rPr>
          <w:bCs/>
          <w:iCs/>
        </w:rPr>
        <w:t>zdefiniowanie e</w:t>
      </w:r>
      <w:r w:rsidRPr="00EC250C">
        <w:rPr>
          <w:bCs/>
          <w:iCs/>
        </w:rPr>
        <w:t>wentualn</w:t>
      </w:r>
      <w:r w:rsidR="00FB48CA" w:rsidRPr="00EC250C">
        <w:rPr>
          <w:bCs/>
          <w:iCs/>
        </w:rPr>
        <w:t>ego</w:t>
      </w:r>
      <w:r w:rsidRPr="00EC250C">
        <w:rPr>
          <w:bCs/>
          <w:iCs/>
        </w:rPr>
        <w:t xml:space="preserve"> zakres tej ochrony</w:t>
      </w:r>
      <w:r w:rsidR="00A66397" w:rsidRPr="00EC250C">
        <w:rPr>
          <w:rStyle w:val="Odwoanieprzypisudolnego"/>
        </w:rPr>
        <w:footnoteReference w:id="115"/>
      </w:r>
      <w:r w:rsidRPr="00EC250C">
        <w:rPr>
          <w:bCs/>
          <w:iCs/>
        </w:rPr>
        <w:t>.</w:t>
      </w:r>
    </w:p>
    <w:p w14:paraId="45D09390" w14:textId="77777777" w:rsidR="00227344" w:rsidRPr="00EC250C" w:rsidRDefault="00227344" w:rsidP="00D131FA">
      <w:pPr>
        <w:pStyle w:val="Styl1"/>
      </w:pPr>
      <w:r w:rsidRPr="00EC250C">
        <w:t>Warto</w:t>
      </w:r>
      <w:r w:rsidR="00992FD0" w:rsidRPr="00EC250C">
        <w:t xml:space="preserve"> w </w:t>
      </w:r>
      <w:r w:rsidRPr="00EC250C">
        <w:t>tym miejscu wspomnieć, że 23 kwietnia 2018</w:t>
      </w:r>
      <w:r w:rsidR="00C91F6E" w:rsidRPr="00EC250C">
        <w:t> r.</w:t>
      </w:r>
      <w:r w:rsidRPr="00EC250C">
        <w:t xml:space="preserve"> Komisja Europejska przedstawiła projekt dyrektywy dotyczącej ochrony sygnalistów</w:t>
      </w:r>
      <w:r w:rsidRPr="00EC250C">
        <w:rPr>
          <w:rStyle w:val="Odwoanieprzypisudolnego"/>
        </w:rPr>
        <w:footnoteReference w:id="116"/>
      </w:r>
      <w:r w:rsidRPr="00EC250C">
        <w:t>,</w:t>
      </w:r>
      <w:r w:rsidR="00992FD0" w:rsidRPr="00EC250C">
        <w:t xml:space="preserve"> a </w:t>
      </w:r>
      <w:r w:rsidRPr="00EC250C">
        <w:t>16 kwietnia 2019</w:t>
      </w:r>
      <w:r w:rsidR="00C91F6E" w:rsidRPr="00EC250C">
        <w:t> r.</w:t>
      </w:r>
      <w:r w:rsidRPr="00EC250C">
        <w:t xml:space="preserve"> przyjął ją Parlament Europejski. Dyrektywa zakłada, że</w:t>
      </w:r>
      <w:r w:rsidR="00992FD0" w:rsidRPr="00EC250C">
        <w:t xml:space="preserve"> w </w:t>
      </w:r>
      <w:r w:rsidRPr="00EC250C">
        <w:t>każdej instytucji publicznej czy prywatnej, zatrudniającej co najmniej 50 osób miałaby powstać procedura zgłaszania nieprawidłowości</w:t>
      </w:r>
      <w:r w:rsidR="00992FD0" w:rsidRPr="00EC250C">
        <w:t xml:space="preserve"> w </w:t>
      </w:r>
      <w:r w:rsidRPr="00EC250C">
        <w:t>miejscu pracy</w:t>
      </w:r>
      <w:r w:rsidRPr="00EC250C">
        <w:rPr>
          <w:rStyle w:val="Odwoanieprzypisudolnego"/>
        </w:rPr>
        <w:footnoteReference w:id="117"/>
      </w:r>
      <w:r w:rsidRPr="00EC250C">
        <w:t>. Projekt wraca teraz do PE</w:t>
      </w:r>
      <w:r w:rsidR="00992FD0" w:rsidRPr="00EC250C">
        <w:t xml:space="preserve"> i </w:t>
      </w:r>
      <w:r w:rsidRPr="00EC250C">
        <w:t>Rady UE,</w:t>
      </w:r>
      <w:r w:rsidR="00992FD0" w:rsidRPr="00EC250C">
        <w:t xml:space="preserve"> w </w:t>
      </w:r>
      <w:r w:rsidRPr="00EC250C">
        <w:t>celu jej ostatecznego zatwierdzenia. W dalszej perspektywie pozostanie wdrożenie jej do polskiego porządku prawnego.</w:t>
      </w:r>
    </w:p>
    <w:p w14:paraId="6DB9CCAF" w14:textId="77777777" w:rsidR="00C91F6E" w:rsidRPr="00EC250C" w:rsidRDefault="00777CF9" w:rsidP="00EC79EB">
      <w:pPr>
        <w:pStyle w:val="Nagwek4"/>
      </w:pPr>
      <w:bookmarkStart w:id="128" w:name="_Toc6257675"/>
      <w:bookmarkStart w:id="129" w:name="_Toc11247582"/>
      <w:bookmarkEnd w:id="127"/>
      <w:r w:rsidRPr="00EC250C">
        <w:rPr>
          <w:rStyle w:val="Hipercze"/>
          <w:color w:val="18223E"/>
          <w:u w:val="none"/>
        </w:rPr>
        <w:t>Przypadki okrutnego</w:t>
      </w:r>
      <w:r w:rsidR="00992FD0" w:rsidRPr="00EC250C">
        <w:rPr>
          <w:rStyle w:val="Hipercze"/>
          <w:color w:val="18223E"/>
          <w:u w:val="none"/>
        </w:rPr>
        <w:t xml:space="preserve"> i </w:t>
      </w:r>
      <w:r w:rsidRPr="00EC250C">
        <w:rPr>
          <w:rStyle w:val="Hipercze"/>
          <w:color w:val="18223E"/>
          <w:u w:val="none"/>
        </w:rPr>
        <w:t>poniżającego traktowania</w:t>
      </w:r>
      <w:r w:rsidR="00992FD0" w:rsidRPr="00EC250C">
        <w:rPr>
          <w:rStyle w:val="Hipercze"/>
          <w:color w:val="18223E"/>
          <w:u w:val="none"/>
        </w:rPr>
        <w:t xml:space="preserve"> w </w:t>
      </w:r>
      <w:r w:rsidRPr="00EC250C">
        <w:rPr>
          <w:rStyle w:val="Hipercze"/>
          <w:color w:val="18223E"/>
          <w:u w:val="none"/>
        </w:rPr>
        <w:t>placówkach opiek</w:t>
      </w:r>
      <w:bookmarkEnd w:id="128"/>
      <w:r w:rsidR="006234C6" w:rsidRPr="00EC250C">
        <w:rPr>
          <w:rStyle w:val="Hipercze"/>
          <w:color w:val="18223E"/>
          <w:u w:val="none"/>
        </w:rPr>
        <w:t>i</w:t>
      </w:r>
      <w:bookmarkEnd w:id="129"/>
    </w:p>
    <w:p w14:paraId="0BEE3975" w14:textId="77777777" w:rsidR="00B473F5" w:rsidRPr="00EC250C" w:rsidRDefault="00777CF9" w:rsidP="00D131FA">
      <w:pPr>
        <w:pStyle w:val="Problemczowieka"/>
        <w:jc w:val="both"/>
      </w:pPr>
      <w:r w:rsidRPr="00EC250C">
        <w:t xml:space="preserve">Przypadki nieludzkiego traktowania </w:t>
      </w:r>
      <w:r w:rsidR="00227344" w:rsidRPr="00EC250C">
        <w:t>mieszkańców</w:t>
      </w:r>
      <w:r w:rsidR="00992FD0" w:rsidRPr="00EC250C">
        <w:t xml:space="preserve"> w </w:t>
      </w:r>
      <w:r w:rsidRPr="00EC250C">
        <w:t>prywatnych obiektach całodobowej opieki są znane</w:t>
      </w:r>
      <w:r w:rsidR="00992FD0" w:rsidRPr="00EC250C">
        <w:t xml:space="preserve"> z </w:t>
      </w:r>
      <w:r w:rsidRPr="00EC250C">
        <w:t xml:space="preserve">mediów. </w:t>
      </w:r>
      <w:r w:rsidR="00E40B3D" w:rsidRPr="00EC250C">
        <w:t>RPO</w:t>
      </w:r>
      <w:r w:rsidRPr="00EC250C">
        <w:t xml:space="preserve"> od dawna wskazuje, co zmienić</w:t>
      </w:r>
      <w:r w:rsidR="00992FD0" w:rsidRPr="00EC250C">
        <w:t xml:space="preserve"> w </w:t>
      </w:r>
      <w:r w:rsidRPr="00EC250C">
        <w:t>przepisach</w:t>
      </w:r>
      <w:r w:rsidR="00992FD0" w:rsidRPr="00EC250C">
        <w:t xml:space="preserve"> i </w:t>
      </w:r>
      <w:r w:rsidRPr="00EC250C">
        <w:t>organizacji pracy, by uchronić ludzi przed takim losem</w:t>
      </w:r>
      <w:r w:rsidRPr="00EC250C">
        <w:rPr>
          <w:rStyle w:val="Odwoanieprzypisudolnego"/>
          <w:rFonts w:ascii="Open Sans Regular" w:hAnsi="Open Sans Regular"/>
          <w:color w:val="18223E"/>
          <w:sz w:val="21"/>
        </w:rPr>
        <w:footnoteReference w:id="118"/>
      </w:r>
      <w:r w:rsidR="00B473F5" w:rsidRPr="00EC250C">
        <w:t>.</w:t>
      </w:r>
    </w:p>
    <w:p w14:paraId="4D1EF5ED" w14:textId="77777777" w:rsidR="003042E1" w:rsidRPr="00EC250C" w:rsidRDefault="00291293" w:rsidP="00D131FA">
      <w:pPr>
        <w:pStyle w:val="Styl1"/>
      </w:pPr>
      <w:r w:rsidRPr="00EC250C">
        <w:rPr>
          <w:rStyle w:val="Pogrubienie"/>
          <w:b w:val="0"/>
          <w:bCs w:val="0"/>
        </w:rPr>
        <w:t>Mimo kontroli</w:t>
      </w:r>
      <w:r w:rsidR="00992FD0" w:rsidRPr="00EC250C">
        <w:rPr>
          <w:rStyle w:val="Pogrubienie"/>
          <w:b w:val="0"/>
          <w:bCs w:val="0"/>
        </w:rPr>
        <w:t xml:space="preserve"> i </w:t>
      </w:r>
      <w:r w:rsidRPr="00EC250C">
        <w:rPr>
          <w:rStyle w:val="Pogrubienie"/>
          <w:b w:val="0"/>
          <w:bCs w:val="0"/>
        </w:rPr>
        <w:t>kar finansowych nie maleje bowiem liczba takich placówek działających niezgodnie</w:t>
      </w:r>
      <w:r w:rsidR="00992FD0" w:rsidRPr="00EC250C">
        <w:rPr>
          <w:rStyle w:val="Pogrubienie"/>
          <w:b w:val="0"/>
          <w:bCs w:val="0"/>
        </w:rPr>
        <w:t xml:space="preserve"> z </w:t>
      </w:r>
      <w:r w:rsidRPr="00EC250C">
        <w:rPr>
          <w:rStyle w:val="Pogrubienie"/>
          <w:b w:val="0"/>
          <w:bCs w:val="0"/>
        </w:rPr>
        <w:t>prawem, gdzie może dochodzić (i dochodzi) do nadużyć</w:t>
      </w:r>
      <w:r w:rsidR="00EC77A2" w:rsidRPr="00EC250C">
        <w:rPr>
          <w:rStyle w:val="Pogrubienie"/>
          <w:b w:val="0"/>
          <w:bCs w:val="0"/>
        </w:rPr>
        <w:t>.</w:t>
      </w:r>
      <w:r w:rsidR="00227344" w:rsidRPr="00EC250C">
        <w:rPr>
          <w:rStyle w:val="Pogrubienie"/>
          <w:b w:val="0"/>
          <w:bCs w:val="0"/>
        </w:rPr>
        <w:t xml:space="preserve"> </w:t>
      </w:r>
      <w:r w:rsidR="00A66397" w:rsidRPr="00EC250C">
        <w:t xml:space="preserve">Od </w:t>
      </w:r>
      <w:r w:rsidRPr="00EC250C">
        <w:t>październik</w:t>
      </w:r>
      <w:r w:rsidR="00A66397" w:rsidRPr="00EC250C">
        <w:t>a</w:t>
      </w:r>
      <w:r w:rsidRPr="00EC250C">
        <w:t xml:space="preserve"> 2016</w:t>
      </w:r>
      <w:r w:rsidR="00C91F6E" w:rsidRPr="00EC250C">
        <w:t> r.</w:t>
      </w:r>
      <w:r w:rsidRPr="00EC250C">
        <w:t xml:space="preserve"> </w:t>
      </w:r>
      <w:r w:rsidR="00073A8C" w:rsidRPr="00EC250C">
        <w:t>RPO</w:t>
      </w:r>
      <w:r w:rsidRPr="00EC250C">
        <w:t xml:space="preserve"> </w:t>
      </w:r>
      <w:r w:rsidR="00A66397" w:rsidRPr="00EC250C">
        <w:t>zabiega</w:t>
      </w:r>
      <w:r w:rsidR="00992FD0" w:rsidRPr="00EC250C">
        <w:t xml:space="preserve"> o </w:t>
      </w:r>
      <w:r w:rsidRPr="00EC250C">
        <w:t>stworzenie systemu, który umożliwiłby wojewod</w:t>
      </w:r>
      <w:r w:rsidR="003042E1" w:rsidRPr="00EC250C">
        <w:t>om</w:t>
      </w:r>
      <w:r w:rsidRPr="00EC250C">
        <w:t xml:space="preserve"> kontrolę wszystkich prywatnych obiektów</w:t>
      </w:r>
      <w:r w:rsidR="00EC77A2" w:rsidRPr="00EC250C">
        <w:t xml:space="preserve"> opieki</w:t>
      </w:r>
      <w:r w:rsidRPr="00EC250C">
        <w:t>, niezależnie od ich nazwy</w:t>
      </w:r>
      <w:r w:rsidR="00992FD0" w:rsidRPr="00EC250C">
        <w:t xml:space="preserve"> i </w:t>
      </w:r>
      <w:r w:rsidRPr="00EC250C">
        <w:t>deklarowanego przeznaczenia.</w:t>
      </w:r>
      <w:r w:rsidR="00A66397" w:rsidRPr="00EC250C">
        <w:t xml:space="preserve"> Taki projekt powstał</w:t>
      </w:r>
      <w:r w:rsidR="00992FD0" w:rsidRPr="00EC250C">
        <w:t xml:space="preserve"> i w </w:t>
      </w:r>
      <w:r w:rsidR="003042E1" w:rsidRPr="00EC250C">
        <w:t>listopadzie 2017</w:t>
      </w:r>
      <w:r w:rsidR="00C91F6E" w:rsidRPr="00EC250C">
        <w:t> r.</w:t>
      </w:r>
      <w:r w:rsidR="003042E1" w:rsidRPr="00EC250C">
        <w:t xml:space="preserve"> trafił do konsultacji 13 grudnia 2018</w:t>
      </w:r>
      <w:r w:rsidR="00C91F6E" w:rsidRPr="00EC250C">
        <w:t> r.</w:t>
      </w:r>
      <w:r w:rsidR="003042E1" w:rsidRPr="00EC250C">
        <w:t xml:space="preserve"> Stały Komitet Rady Ministrów przyjął</w:t>
      </w:r>
      <w:r w:rsidR="00992FD0" w:rsidRPr="00EC250C">
        <w:t xml:space="preserve"> i </w:t>
      </w:r>
      <w:r w:rsidR="003042E1" w:rsidRPr="00EC250C">
        <w:t>rekomendował projekt Radzie Ministrów.</w:t>
      </w:r>
    </w:p>
    <w:p w14:paraId="37CD5652" w14:textId="77777777" w:rsidR="00C91F6E" w:rsidRPr="00EC250C" w:rsidRDefault="003042E1" w:rsidP="00D131FA">
      <w:pPr>
        <w:pStyle w:val="Styl1"/>
      </w:pPr>
      <w:r w:rsidRPr="00EC250C">
        <w:t>Projekt z</w:t>
      </w:r>
      <w:r w:rsidR="00EC77A2" w:rsidRPr="00EC250C">
        <w:t>akłada</w:t>
      </w:r>
      <w:r w:rsidR="00A66397" w:rsidRPr="00EC250C">
        <w:t xml:space="preserve"> </w:t>
      </w:r>
      <w:r w:rsidR="00291293" w:rsidRPr="00EC250C">
        <w:t>m.in. zaostrzeni</w:t>
      </w:r>
      <w:r w:rsidR="00EC77A2" w:rsidRPr="00EC250C">
        <w:t>e</w:t>
      </w:r>
      <w:r w:rsidR="00291293" w:rsidRPr="00EC250C">
        <w:t xml:space="preserve"> odpowiedzialności</w:t>
      </w:r>
      <w:r w:rsidR="00992FD0" w:rsidRPr="00EC250C">
        <w:t xml:space="preserve"> i </w:t>
      </w:r>
      <w:r w:rsidR="00A66397" w:rsidRPr="00EC250C">
        <w:t>g</w:t>
      </w:r>
      <w:r w:rsidR="00291293" w:rsidRPr="00EC250C">
        <w:t>warantuje możliwość</w:t>
      </w:r>
      <w:r w:rsidR="00026572" w:rsidRPr="00EC250C">
        <w:t xml:space="preserve"> – </w:t>
      </w:r>
      <w:r w:rsidR="00992FD0" w:rsidRPr="00EC250C">
        <w:t>w </w:t>
      </w:r>
      <w:r w:rsidR="00291293" w:rsidRPr="00EC250C">
        <w:t>przypadku zagrożenia życia lub zdrowia osób przebywających</w:t>
      </w:r>
      <w:r w:rsidR="00992FD0" w:rsidRPr="00EC250C">
        <w:t xml:space="preserve"> w </w:t>
      </w:r>
      <w:r w:rsidR="00291293" w:rsidRPr="00EC250C">
        <w:t>placówce</w:t>
      </w:r>
      <w:r w:rsidR="00026572" w:rsidRPr="00EC250C">
        <w:t xml:space="preserve"> – </w:t>
      </w:r>
      <w:r w:rsidR="00291293" w:rsidRPr="00EC250C">
        <w:t>jednoczesnego cofnięcia przez wojewodę zezwolenia na prowadzenie placówki oraz nakazania wstrzymania jej prowadzenia</w:t>
      </w:r>
      <w:r w:rsidR="00026572" w:rsidRPr="00EC250C">
        <w:t xml:space="preserve"> </w:t>
      </w:r>
      <w:r w:rsidR="00992FD0" w:rsidRPr="00EC250C">
        <w:t>z </w:t>
      </w:r>
      <w:r w:rsidR="00291293" w:rsidRPr="00EC250C">
        <w:t>rygorem natychmiastowej wykonalności</w:t>
      </w:r>
      <w:r w:rsidR="00227344" w:rsidRPr="00EC250C">
        <w:t>.</w:t>
      </w:r>
    </w:p>
    <w:p w14:paraId="5B755DBB" w14:textId="77777777" w:rsidR="000D0563" w:rsidRPr="00EC250C" w:rsidRDefault="00227344" w:rsidP="00D131FA">
      <w:pPr>
        <w:pStyle w:val="Styl1"/>
        <w:rPr>
          <w:sz w:val="18"/>
        </w:rPr>
      </w:pPr>
      <w:r w:rsidRPr="00EC250C">
        <w:t>RPO czeka na wprowadzenie tych zmian.</w:t>
      </w:r>
      <w:r w:rsidR="00E40B3D" w:rsidRPr="00EC250C">
        <w:t xml:space="preserve"> </w:t>
      </w:r>
      <w:r w:rsidR="00291293" w:rsidRPr="00EC250C">
        <w:t xml:space="preserve">Ponieważ </w:t>
      </w:r>
      <w:r w:rsidR="00E40B3D" w:rsidRPr="00EC250C">
        <w:t xml:space="preserve">jednak </w:t>
      </w:r>
      <w:r w:rsidR="00291293" w:rsidRPr="00EC250C">
        <w:t>sytuacja mieszkańców domów opieki wymaga pilnej interwencji, Rzecznik zdecydował, że Krajowy Mechanizm Prewencji Tortur obejmie w</w:t>
      </w:r>
      <w:r w:rsidR="004733A6" w:rsidRPr="00EC250C">
        <w:t xml:space="preserve">izytacjami </w:t>
      </w:r>
      <w:r w:rsidR="00291293" w:rsidRPr="00EC250C">
        <w:t>także prywatne placówki opiekuńcze</w:t>
      </w:r>
      <w:r w:rsidRPr="00EC250C">
        <w:t xml:space="preserve"> (a nie tylko domy pomocy społecznej)</w:t>
      </w:r>
      <w:r w:rsidR="00291293" w:rsidRPr="00EC250C">
        <w:t xml:space="preserve">. </w:t>
      </w:r>
      <w:r w:rsidR="003042E1" w:rsidRPr="00EC250C">
        <w:t>Wizytacje takie ruszyły już</w:t>
      </w:r>
      <w:r w:rsidR="00992FD0" w:rsidRPr="00EC250C">
        <w:t xml:space="preserve"> w </w:t>
      </w:r>
      <w:r w:rsidR="003042E1" w:rsidRPr="00EC250C">
        <w:t>2017</w:t>
      </w:r>
      <w:r w:rsidR="00C91F6E" w:rsidRPr="00EC250C">
        <w:t> r.</w:t>
      </w:r>
      <w:r w:rsidR="002230B7" w:rsidRPr="00EC250C">
        <w:t xml:space="preserve"> Prowadzone były także</w:t>
      </w:r>
      <w:r w:rsidR="00992FD0" w:rsidRPr="00EC250C">
        <w:t xml:space="preserve"> w </w:t>
      </w:r>
      <w:r w:rsidR="002230B7" w:rsidRPr="00EC250C">
        <w:t>2018</w:t>
      </w:r>
      <w:r w:rsidR="00C91F6E" w:rsidRPr="00EC250C">
        <w:t> r.</w:t>
      </w:r>
      <w:r w:rsidR="00E40B3D" w:rsidRPr="00EC250C">
        <w:br w:type="page"/>
      </w:r>
    </w:p>
    <w:p w14:paraId="4099B5E3" w14:textId="77777777" w:rsidR="003728FE" w:rsidRPr="00EC250C" w:rsidRDefault="003728FE" w:rsidP="00EC250C">
      <w:pPr>
        <w:pStyle w:val="Nagwek3"/>
      </w:pPr>
      <w:bookmarkStart w:id="130" w:name="_Toc6257676"/>
      <w:bookmarkStart w:id="131" w:name="_Toc11247583"/>
      <w:r w:rsidRPr="00EC250C">
        <w:lastRenderedPageBreak/>
        <w:t xml:space="preserve">Art. 41 </w:t>
      </w:r>
      <w:r w:rsidR="00DB1333" w:rsidRPr="00EC250C">
        <w:t xml:space="preserve">ust. 1 </w:t>
      </w:r>
      <w:r w:rsidR="003C7122" w:rsidRPr="00EC250C">
        <w:t>Konstytucji</w:t>
      </w:r>
      <w:r w:rsidR="000E5D1A" w:rsidRPr="00EC250C">
        <w:t xml:space="preserve"> </w:t>
      </w:r>
      <w:r w:rsidRPr="00EC250C">
        <w:t>– Nietykalność osobista</w:t>
      </w:r>
      <w:r w:rsidR="00992FD0" w:rsidRPr="00EC250C">
        <w:t xml:space="preserve"> i </w:t>
      </w:r>
      <w:r w:rsidRPr="00EC250C">
        <w:t>wolność osobista</w:t>
      </w:r>
      <w:bookmarkEnd w:id="130"/>
      <w:bookmarkEnd w:id="131"/>
    </w:p>
    <w:p w14:paraId="63E38EF8" w14:textId="77777777" w:rsidR="003728FE" w:rsidRPr="00EC250C" w:rsidRDefault="003728FE" w:rsidP="006C70B7">
      <w:pPr>
        <w:pStyle w:val="konstytucja"/>
        <w:numPr>
          <w:ilvl w:val="0"/>
          <w:numId w:val="142"/>
        </w:numPr>
        <w:jc w:val="both"/>
      </w:pPr>
      <w:r w:rsidRPr="00EC250C">
        <w:t>Każdemu zapewnia się nietykalność osobistą</w:t>
      </w:r>
      <w:r w:rsidR="00992FD0" w:rsidRPr="00EC250C">
        <w:t xml:space="preserve"> i </w:t>
      </w:r>
      <w:r w:rsidRPr="00EC250C">
        <w:t>wolność osobistą. Pozbawienie lub ograniczenie wolności może nastąpić tylko na zasadach</w:t>
      </w:r>
      <w:r w:rsidR="00992FD0" w:rsidRPr="00EC250C">
        <w:t xml:space="preserve"> i w </w:t>
      </w:r>
      <w:r w:rsidRPr="00EC250C">
        <w:t>trybie określonych</w:t>
      </w:r>
      <w:r w:rsidR="00992FD0" w:rsidRPr="00EC250C">
        <w:t xml:space="preserve"> w </w:t>
      </w:r>
      <w:r w:rsidRPr="00EC250C">
        <w:t>ustawie.</w:t>
      </w:r>
    </w:p>
    <w:p w14:paraId="2BF0A134" w14:textId="77777777" w:rsidR="00C91F6E" w:rsidRPr="00EC250C" w:rsidRDefault="00832455" w:rsidP="00D131FA">
      <w:pPr>
        <w:pStyle w:val="ComwiKonstytucja"/>
      </w:pPr>
      <w:r w:rsidRPr="00EC250C">
        <w:t>Wolnością osobistą jest możliwość swobodnego określania przez jednostkę swojego zachowania</w:t>
      </w:r>
      <w:r w:rsidR="00992FD0" w:rsidRPr="00EC250C">
        <w:t xml:space="preserve"> i </w:t>
      </w:r>
      <w:r w:rsidRPr="00EC250C">
        <w:t xml:space="preserve">postępowania, </w:t>
      </w:r>
      <w:r w:rsidR="002923B6" w:rsidRPr="00EC250C">
        <w:t xml:space="preserve">nieograniczona </w:t>
      </w:r>
      <w:r w:rsidRPr="00EC250C">
        <w:t>przez jakiekolwiek inne czynniki ludzkie. Umożliwia faktyczne korzystanie</w:t>
      </w:r>
      <w:r w:rsidR="00992FD0" w:rsidRPr="00EC250C">
        <w:t xml:space="preserve"> z </w:t>
      </w:r>
      <w:r w:rsidRPr="00EC250C">
        <w:t>pozostałych praw</w:t>
      </w:r>
      <w:r w:rsidR="00992FD0" w:rsidRPr="00EC250C">
        <w:t xml:space="preserve"> i </w:t>
      </w:r>
      <w:r w:rsidRPr="00EC250C">
        <w:t>wolności. Wolność osobista nie jest jednak absolutna – możliwość określania swojego zachowania musi mieścić się</w:t>
      </w:r>
      <w:r w:rsidR="00992FD0" w:rsidRPr="00EC250C">
        <w:t xml:space="preserve"> w </w:t>
      </w:r>
      <w:r w:rsidRPr="00EC250C">
        <w:t>obowiązujących granicach prawnych.</w:t>
      </w:r>
    </w:p>
    <w:p w14:paraId="49650AF4" w14:textId="77777777" w:rsidR="00832455" w:rsidRPr="00EC250C" w:rsidRDefault="00832455" w:rsidP="00D131FA">
      <w:pPr>
        <w:pStyle w:val="ComwiKonstytucja"/>
      </w:pPr>
      <w:r w:rsidRPr="00EC250C">
        <w:t>W ścisłym związku</w:t>
      </w:r>
      <w:r w:rsidR="00992FD0" w:rsidRPr="00EC250C">
        <w:t xml:space="preserve"> z </w:t>
      </w:r>
      <w:r w:rsidRPr="00EC250C">
        <w:t>wolnością osobistą pozostaje nietykalność osobista. Jest to zagwarantowana możliwość utrzymywania tożsamości</w:t>
      </w:r>
      <w:r w:rsidR="00992FD0" w:rsidRPr="00EC250C">
        <w:t xml:space="preserve"> i </w:t>
      </w:r>
      <w:r w:rsidRPr="00EC250C">
        <w:t>integralności (fizycznej</w:t>
      </w:r>
      <w:r w:rsidR="00992FD0" w:rsidRPr="00EC250C">
        <w:t xml:space="preserve"> i </w:t>
      </w:r>
      <w:r w:rsidRPr="00EC250C">
        <w:t>psychicznej) oraz zakaz bezpośredniej lub pośredniej ingerencji</w:t>
      </w:r>
      <w:r w:rsidR="00992FD0" w:rsidRPr="00EC250C">
        <w:t xml:space="preserve"> z </w:t>
      </w:r>
      <w:r w:rsidRPr="00EC250C">
        <w:t>zewnątrz. Nietykalność osobista ma bezpośredni związek</w:t>
      </w:r>
      <w:r w:rsidR="00992FD0" w:rsidRPr="00EC250C">
        <w:t xml:space="preserve"> z </w:t>
      </w:r>
      <w:r w:rsidRPr="00EC250C">
        <w:t>zasadą godności, posiada wymiar absolutny</w:t>
      </w:r>
      <w:r w:rsidR="00992FD0" w:rsidRPr="00EC250C">
        <w:t xml:space="preserve"> i </w:t>
      </w:r>
      <w:r w:rsidRPr="00EC250C">
        <w:t>ustawy nie mogą jej ograniczać. Ustawy powinny uregulować zasady</w:t>
      </w:r>
      <w:r w:rsidR="00992FD0" w:rsidRPr="00EC250C">
        <w:t xml:space="preserve"> i </w:t>
      </w:r>
      <w:r w:rsidRPr="00EC250C">
        <w:t>tryb ograniczania lub pozbawiania wolności osobistej</w:t>
      </w:r>
      <w:r w:rsidR="002923B6" w:rsidRPr="00EC250C">
        <w:t>.</w:t>
      </w:r>
    </w:p>
    <w:p w14:paraId="4461FBEC" w14:textId="77777777" w:rsidR="00EE09AA" w:rsidRPr="00EC250C" w:rsidRDefault="00EE09AA" w:rsidP="00D131FA">
      <w:pPr>
        <w:pStyle w:val="ComwiKonstytucja"/>
      </w:pPr>
    </w:p>
    <w:p w14:paraId="7E0A58EF" w14:textId="77777777" w:rsidR="00832455" w:rsidRPr="00EC250C" w:rsidRDefault="00832455" w:rsidP="00D131FA">
      <w:pPr>
        <w:spacing w:after="200" w:line="24" w:lineRule="auto"/>
        <w:jc w:val="both"/>
        <w:rPr>
          <w:rFonts w:cs="Arial"/>
          <w:b/>
          <w:i/>
          <w:color w:val="000000"/>
          <w:sz w:val="24"/>
        </w:rPr>
      </w:pPr>
      <w:r w:rsidRPr="00EC250C">
        <w:rPr>
          <w:sz w:val="24"/>
        </w:rPr>
        <w:br w:type="page"/>
      </w:r>
    </w:p>
    <w:p w14:paraId="6E02BE9C" w14:textId="77777777" w:rsidR="00C91F6E" w:rsidRPr="00EC250C" w:rsidRDefault="005F7A02" w:rsidP="00EC79EB">
      <w:pPr>
        <w:pStyle w:val="Nagwek4"/>
      </w:pPr>
      <w:bookmarkStart w:id="132" w:name="_Toc6257677"/>
      <w:bookmarkStart w:id="133" w:name="_Toc11247584"/>
      <w:r w:rsidRPr="00EC250C">
        <w:lastRenderedPageBreak/>
        <w:t>I</w:t>
      </w:r>
      <w:r w:rsidR="00832455" w:rsidRPr="00EC250C">
        <w:t>luzoryczna s</w:t>
      </w:r>
      <w:r w:rsidR="00B23D27" w:rsidRPr="00EC250C">
        <w:t>kuteczność środków odwoławczych dotyczących tymczasowego aresztowania</w:t>
      </w:r>
      <w:bookmarkEnd w:id="132"/>
      <w:bookmarkEnd w:id="133"/>
    </w:p>
    <w:p w14:paraId="7A575530" w14:textId="77777777" w:rsidR="00B473F5" w:rsidRPr="00EC250C" w:rsidRDefault="00B01CFE" w:rsidP="00D131FA">
      <w:pPr>
        <w:pStyle w:val="Problemczowieka"/>
        <w:jc w:val="both"/>
        <w:rPr>
          <w:rStyle w:val="Pogrubienie"/>
          <w:b/>
          <w:bCs w:val="0"/>
        </w:rPr>
      </w:pPr>
      <w:r w:rsidRPr="00EC250C">
        <w:rPr>
          <w:rStyle w:val="Pogrubienie"/>
          <w:b/>
          <w:bCs w:val="0"/>
        </w:rPr>
        <w:t>Jeśli ktoś zostanie tymczasowo aresztowany, to niewielka jest szansa, że sąd uzna jego zażalenie za zasadne</w:t>
      </w:r>
      <w:r w:rsidR="00832455" w:rsidRPr="00EC250C">
        <w:rPr>
          <w:rStyle w:val="Pogrubienie"/>
          <w:b/>
          <w:bCs w:val="0"/>
        </w:rPr>
        <w:t>. Może to świadczyć</w:t>
      </w:r>
      <w:r w:rsidR="00992FD0" w:rsidRPr="00EC250C">
        <w:rPr>
          <w:rStyle w:val="Pogrubienie"/>
          <w:b/>
          <w:bCs w:val="0"/>
        </w:rPr>
        <w:t xml:space="preserve"> o </w:t>
      </w:r>
      <w:r w:rsidR="00832455" w:rsidRPr="00EC250C">
        <w:rPr>
          <w:rStyle w:val="Pogrubienie"/>
          <w:b/>
          <w:bCs w:val="0"/>
        </w:rPr>
        <w:t>systemowym problemie</w:t>
      </w:r>
      <w:r w:rsidR="00992FD0" w:rsidRPr="00EC250C">
        <w:rPr>
          <w:rStyle w:val="Pogrubienie"/>
          <w:b/>
          <w:bCs w:val="0"/>
        </w:rPr>
        <w:t xml:space="preserve"> w </w:t>
      </w:r>
      <w:r w:rsidR="00832455" w:rsidRPr="00EC250C">
        <w:rPr>
          <w:rStyle w:val="Pogrubienie"/>
          <w:b/>
          <w:bCs w:val="0"/>
        </w:rPr>
        <w:t>praktyce sądów</w:t>
      </w:r>
      <w:r w:rsidR="00B473F5" w:rsidRPr="00EC250C">
        <w:rPr>
          <w:rStyle w:val="Pogrubienie"/>
          <w:b/>
          <w:bCs w:val="0"/>
        </w:rPr>
        <w:t>.</w:t>
      </w:r>
    </w:p>
    <w:p w14:paraId="036C0FA6" w14:textId="77777777" w:rsidR="00832455" w:rsidRPr="00EC250C" w:rsidRDefault="00832455" w:rsidP="00D131FA">
      <w:pPr>
        <w:pStyle w:val="Styl1"/>
        <w:rPr>
          <w:rFonts w:ascii="Open Sans Regular" w:hAnsi="Open Sans Regular"/>
          <w:color w:val="18223E"/>
          <w:sz w:val="21"/>
        </w:rPr>
      </w:pPr>
      <w:r w:rsidRPr="00EC250C">
        <w:rPr>
          <w:rStyle w:val="Pogrubienie"/>
          <w:b w:val="0"/>
          <w:bCs w:val="0"/>
        </w:rPr>
        <w:t xml:space="preserve">Dlatego </w:t>
      </w:r>
      <w:r w:rsidR="006B477D" w:rsidRPr="00EC250C">
        <w:rPr>
          <w:rStyle w:val="Pogrubienie"/>
          <w:b w:val="0"/>
          <w:bCs w:val="0"/>
        </w:rPr>
        <w:t>R</w:t>
      </w:r>
      <w:r w:rsidRPr="00EC250C">
        <w:rPr>
          <w:rStyle w:val="Pogrubienie"/>
          <w:b w:val="0"/>
          <w:bCs w:val="0"/>
        </w:rPr>
        <w:t xml:space="preserve">zecznik </w:t>
      </w:r>
      <w:r w:rsidR="00073A8C" w:rsidRPr="00EC250C">
        <w:rPr>
          <w:rStyle w:val="Pogrubienie"/>
          <w:b w:val="0"/>
          <w:bCs w:val="0"/>
        </w:rPr>
        <w:t xml:space="preserve">Praw Obywatelskich </w:t>
      </w:r>
      <w:r w:rsidRPr="00EC250C">
        <w:rPr>
          <w:rStyle w:val="Pogrubienie"/>
          <w:b w:val="0"/>
          <w:bCs w:val="0"/>
        </w:rPr>
        <w:t>proponuje odejście od zasady</w:t>
      </w:r>
      <w:r w:rsidR="002923B6" w:rsidRPr="00EC250C">
        <w:rPr>
          <w:bCs/>
          <w:iCs/>
        </w:rPr>
        <w:t xml:space="preserve"> pozwalającej na stosowanie tymczasowego aresztowania </w:t>
      </w:r>
      <w:r w:rsidR="00DB2BB2" w:rsidRPr="00EC250C">
        <w:rPr>
          <w:bCs/>
          <w:iCs/>
        </w:rPr>
        <w:t xml:space="preserve">jedynie z powodu </w:t>
      </w:r>
      <w:r w:rsidR="002923B6" w:rsidRPr="00EC250C">
        <w:rPr>
          <w:bCs/>
          <w:iCs/>
        </w:rPr>
        <w:t>grożąc</w:t>
      </w:r>
      <w:r w:rsidR="00DB2BB2" w:rsidRPr="00EC250C">
        <w:rPr>
          <w:bCs/>
          <w:iCs/>
        </w:rPr>
        <w:t>ej</w:t>
      </w:r>
      <w:r w:rsidR="002923B6" w:rsidRPr="00EC250C">
        <w:rPr>
          <w:bCs/>
          <w:iCs/>
        </w:rPr>
        <w:t xml:space="preserve"> surow</w:t>
      </w:r>
      <w:r w:rsidR="00DB2BB2" w:rsidRPr="00EC250C">
        <w:rPr>
          <w:bCs/>
          <w:iCs/>
        </w:rPr>
        <w:t>ej</w:t>
      </w:r>
      <w:r w:rsidR="002923B6" w:rsidRPr="00EC250C">
        <w:rPr>
          <w:bCs/>
          <w:iCs/>
        </w:rPr>
        <w:t xml:space="preserve"> kar</w:t>
      </w:r>
      <w:r w:rsidR="00DB2BB2" w:rsidRPr="00EC250C">
        <w:rPr>
          <w:bCs/>
          <w:iCs/>
        </w:rPr>
        <w:t>y</w:t>
      </w:r>
      <w:r w:rsidR="002923B6" w:rsidRPr="00EC250C">
        <w:rPr>
          <w:bCs/>
          <w:iCs/>
        </w:rPr>
        <w:t>. Jeżeli nie ma obawy, że sprawca będzie utrudniał postępowanie, ani nie występują pozostałe wskazane</w:t>
      </w:r>
      <w:r w:rsidR="00992FD0" w:rsidRPr="00EC250C">
        <w:rPr>
          <w:bCs/>
          <w:iCs/>
        </w:rPr>
        <w:t xml:space="preserve"> w </w:t>
      </w:r>
      <w:r w:rsidR="002923B6" w:rsidRPr="00EC250C">
        <w:rPr>
          <w:bCs/>
          <w:iCs/>
        </w:rPr>
        <w:t>ustawie zagrożenia dla prawidłowego toku postępowania, to trudno znaleźć podstawy do stosowania tymczasowego aresztowania.</w:t>
      </w:r>
      <w:r w:rsidRPr="00EC250C">
        <w:rPr>
          <w:rStyle w:val="Pogrubienie"/>
          <w:b w:val="0"/>
          <w:bCs w:val="0"/>
        </w:rPr>
        <w:t xml:space="preserve"> </w:t>
      </w:r>
      <w:r w:rsidR="002923B6" w:rsidRPr="00EC250C">
        <w:rPr>
          <w:rStyle w:val="Pogrubienie"/>
          <w:b w:val="0"/>
          <w:bCs w:val="0"/>
        </w:rPr>
        <w:t xml:space="preserve">Ponadto według RPO powinno się odchodzić od stosowania aresztu wobec osób </w:t>
      </w:r>
      <w:r w:rsidRPr="00EC250C">
        <w:rPr>
          <w:rStyle w:val="Pogrubienie"/>
          <w:b w:val="0"/>
          <w:bCs w:val="0"/>
        </w:rPr>
        <w:t xml:space="preserve">zagrożonych karą niższą niż 2 lata więzienia. </w:t>
      </w:r>
      <w:r w:rsidR="002D0272" w:rsidRPr="00EC250C">
        <w:t xml:space="preserve">Rzecznik proponuje także </w:t>
      </w:r>
      <w:r w:rsidRPr="00EC250C">
        <w:t>wprowadzenie maksymalnej granicy czasowej, po której przekroczeniu areszt można byłoby przedłużać tylko</w:t>
      </w:r>
      <w:r w:rsidR="00992FD0" w:rsidRPr="00EC250C">
        <w:t xml:space="preserve"> w </w:t>
      </w:r>
      <w:r w:rsidRPr="00EC250C">
        <w:t>wyjątkowych przypadkach</w:t>
      </w:r>
      <w:r w:rsidR="003D5003" w:rsidRPr="00EC250C">
        <w:rPr>
          <w:rStyle w:val="Odwoanieprzypisudolnego"/>
        </w:rPr>
        <w:footnoteReference w:id="119"/>
      </w:r>
      <w:r w:rsidR="002D0272" w:rsidRPr="00EC250C">
        <w:t>.</w:t>
      </w:r>
    </w:p>
    <w:p w14:paraId="63A0F47F" w14:textId="77777777" w:rsidR="00832455" w:rsidRPr="00EC250C" w:rsidRDefault="00832455" w:rsidP="00D131FA">
      <w:pPr>
        <w:pStyle w:val="Styl1"/>
      </w:pPr>
      <w:r w:rsidRPr="00EC250C">
        <w:t>Z kwerendy przeprowadzonej przez RPO wynika, że zażalenia na postanowienia sądów rejonowych</w:t>
      </w:r>
      <w:r w:rsidR="00992FD0" w:rsidRPr="00EC250C">
        <w:t xml:space="preserve"> w </w:t>
      </w:r>
      <w:r w:rsidRPr="00EC250C">
        <w:t>sprawach aresztów</w:t>
      </w:r>
      <w:r w:rsidR="00026572" w:rsidRPr="00EC250C">
        <w:t xml:space="preserve"> – </w:t>
      </w:r>
      <w:r w:rsidRPr="00EC250C">
        <w:t>wniesione do sądów okręgowych przez obrońców, oskarżonych</w:t>
      </w:r>
      <w:r w:rsidR="00992FD0" w:rsidRPr="00EC250C">
        <w:t xml:space="preserve"> i </w:t>
      </w:r>
      <w:r w:rsidRPr="00EC250C">
        <w:t>podejrzanych</w:t>
      </w:r>
      <w:r w:rsidR="00026572" w:rsidRPr="00EC250C">
        <w:t xml:space="preserve"> – </w:t>
      </w:r>
      <w:r w:rsidRPr="00EC250C">
        <w:t>były skuteczne przeciętnie</w:t>
      </w:r>
      <w:r w:rsidR="00992FD0" w:rsidRPr="00EC250C">
        <w:t xml:space="preserve"> w </w:t>
      </w:r>
      <w:r w:rsidRPr="00EC250C">
        <w:t>9% spraw. Zażalenia co do aresztów wniesione przez prokuratorów okazały się zaś skuteczne przeciętnie</w:t>
      </w:r>
      <w:r w:rsidR="00992FD0" w:rsidRPr="00EC250C">
        <w:t xml:space="preserve"> w </w:t>
      </w:r>
      <w:r w:rsidRPr="00EC250C">
        <w:t xml:space="preserve">28% spraw. W </w:t>
      </w:r>
      <w:r w:rsidR="005A364A" w:rsidRPr="00EC250C">
        <w:t>ośmiu</w:t>
      </w:r>
      <w:r w:rsidR="00992FD0" w:rsidRPr="00EC250C">
        <w:t xml:space="preserve"> z </w:t>
      </w:r>
      <w:r w:rsidRPr="00EC250C">
        <w:t>17 sądów</w:t>
      </w:r>
      <w:r w:rsidR="00992FD0" w:rsidRPr="00EC250C">
        <w:t xml:space="preserve"> z </w:t>
      </w:r>
      <w:r w:rsidRPr="00EC250C">
        <w:t>lat 2010-2016 nie odnotowano ani jednego przypadku,</w:t>
      </w:r>
      <w:r w:rsidR="00992FD0" w:rsidRPr="00EC250C">
        <w:t xml:space="preserve"> w </w:t>
      </w:r>
      <w:r w:rsidRPr="00EC250C">
        <w:t>którym wskutek zażalenia obrońcy, oskarżonego lub podejrzanego sąd okręgowy postanowiłby</w:t>
      </w:r>
      <w:r w:rsidR="00992FD0" w:rsidRPr="00EC250C">
        <w:t xml:space="preserve"> o </w:t>
      </w:r>
      <w:r w:rsidRPr="00EC250C">
        <w:t>odmowie zastosowania bądź odmowie przedłużenia aresztowania.</w:t>
      </w:r>
    </w:p>
    <w:p w14:paraId="30D097E3" w14:textId="77777777" w:rsidR="00832455" w:rsidRPr="00EC250C" w:rsidRDefault="00D97B9F" w:rsidP="00D131FA">
      <w:pPr>
        <w:pStyle w:val="Styl1"/>
      </w:pPr>
      <w:r w:rsidRPr="00EC250C">
        <w:t>Z</w:t>
      </w:r>
      <w:r w:rsidR="00832455" w:rsidRPr="00EC250C">
        <w:t>ażalenia na postanowienia sądów okręgowych</w:t>
      </w:r>
      <w:r w:rsidR="00992FD0" w:rsidRPr="00EC250C">
        <w:t xml:space="preserve"> o </w:t>
      </w:r>
      <w:r w:rsidR="00832455" w:rsidRPr="00EC250C">
        <w:t>aresztach są jeszcze mniej skuteczne niż zażalenia na postanowienia wydawane przez sądy rejonowe. Zażalenia wniesione przez obrońców były skuteczne przeciętnie</w:t>
      </w:r>
      <w:r w:rsidR="00992FD0" w:rsidRPr="00EC250C">
        <w:t xml:space="preserve"> w </w:t>
      </w:r>
      <w:r w:rsidR="00832455" w:rsidRPr="00EC250C">
        <w:t>5,3% spraw, przez oskarżonych</w:t>
      </w:r>
      <w:r w:rsidR="00992FD0" w:rsidRPr="00EC250C">
        <w:t xml:space="preserve"> w </w:t>
      </w:r>
      <w:r w:rsidR="00832455" w:rsidRPr="00EC250C">
        <w:t>5,7% spraw, przez podejrzanych</w:t>
      </w:r>
      <w:r w:rsidR="00992FD0" w:rsidRPr="00EC250C">
        <w:t xml:space="preserve"> w </w:t>
      </w:r>
      <w:r w:rsidR="00832455" w:rsidRPr="00EC250C">
        <w:t>2,6% spraw. Zażalenia na postanowienia aresztowe wniesione przez prokuratorów okazały się zaś skuteczne przeciętnie</w:t>
      </w:r>
      <w:r w:rsidR="00992FD0" w:rsidRPr="00EC250C">
        <w:t xml:space="preserve"> w </w:t>
      </w:r>
      <w:r w:rsidR="00832455" w:rsidRPr="00EC250C">
        <w:t>26% spraw.</w:t>
      </w:r>
    </w:p>
    <w:p w14:paraId="4D5F9A95" w14:textId="77777777" w:rsidR="00832455" w:rsidRPr="00EC250C" w:rsidRDefault="00832455" w:rsidP="00D131FA">
      <w:pPr>
        <w:pStyle w:val="Styl1"/>
      </w:pPr>
      <w:r w:rsidRPr="00EC250C">
        <w:t>W czterech sądach apelacyjnych nie odnotowano</w:t>
      </w:r>
      <w:r w:rsidR="00992FD0" w:rsidRPr="00EC250C">
        <w:t xml:space="preserve"> w </w:t>
      </w:r>
      <w:r w:rsidRPr="00EC250C">
        <w:t>latach 2010-2016 ani jednego przypadku, aby wskutek zażalenia odmówiono tymczasowego aresztowania lub przedłużenia jego trwania.</w:t>
      </w:r>
    </w:p>
    <w:p w14:paraId="67BA2C07" w14:textId="77777777" w:rsidR="00C91F6E" w:rsidRPr="00EC250C" w:rsidRDefault="00832455" w:rsidP="00D131FA">
      <w:pPr>
        <w:pStyle w:val="Styl1"/>
      </w:pPr>
      <w:r w:rsidRPr="00EC250C">
        <w:t>Z kolei wnioski sądów rejonowych</w:t>
      </w:r>
      <w:r w:rsidR="00992FD0" w:rsidRPr="00EC250C">
        <w:t xml:space="preserve"> i </w:t>
      </w:r>
      <w:r w:rsidRPr="00EC250C">
        <w:t>okręgowych oraz prokuratur</w:t>
      </w:r>
      <w:r w:rsidR="00992FD0" w:rsidRPr="00EC250C">
        <w:t xml:space="preserve"> o </w:t>
      </w:r>
      <w:r w:rsidRPr="00EC250C">
        <w:t>przedłużenie aresztowania na okres ponad dwóch lat są uwzględniane przez sądy apelacyjne prawie</w:t>
      </w:r>
      <w:r w:rsidR="00992FD0" w:rsidRPr="00EC250C">
        <w:t xml:space="preserve"> w </w:t>
      </w:r>
      <w:r w:rsidRPr="00EC250C">
        <w:t>każdej sprawie, tj.</w:t>
      </w:r>
      <w:r w:rsidR="00992FD0" w:rsidRPr="00EC250C">
        <w:t xml:space="preserve"> w </w:t>
      </w:r>
      <w:r w:rsidRPr="00EC250C">
        <w:t>94,2% przypadków.</w:t>
      </w:r>
    </w:p>
    <w:p w14:paraId="6C3809F1" w14:textId="77777777" w:rsidR="00506EF4" w:rsidRPr="00EC250C" w:rsidRDefault="007022F5" w:rsidP="00D131FA">
      <w:pPr>
        <w:pStyle w:val="Styl1"/>
        <w:rPr>
          <w:bCs/>
          <w:iCs/>
        </w:rPr>
      </w:pPr>
      <w:r w:rsidRPr="00EC250C">
        <w:rPr>
          <w:bCs/>
          <w:iCs/>
        </w:rPr>
        <w:t xml:space="preserve">W odpowiedzi </w:t>
      </w:r>
      <w:r w:rsidR="002D0272" w:rsidRPr="00EC250C">
        <w:rPr>
          <w:bCs/>
          <w:iCs/>
        </w:rPr>
        <w:t xml:space="preserve">na wystąpienie </w:t>
      </w:r>
      <w:r w:rsidR="00073A8C" w:rsidRPr="00EC250C">
        <w:rPr>
          <w:bCs/>
          <w:iCs/>
        </w:rPr>
        <w:t xml:space="preserve">RPO </w:t>
      </w:r>
      <w:r w:rsidRPr="00EC250C">
        <w:rPr>
          <w:bCs/>
          <w:iCs/>
        </w:rPr>
        <w:t>Minister</w:t>
      </w:r>
      <w:r w:rsidR="00B23D27" w:rsidRPr="00EC250C">
        <w:rPr>
          <w:bCs/>
          <w:iCs/>
        </w:rPr>
        <w:t xml:space="preserve"> </w:t>
      </w:r>
      <w:r w:rsidR="00D97B9F" w:rsidRPr="00EC250C">
        <w:rPr>
          <w:bCs/>
          <w:iCs/>
        </w:rPr>
        <w:t xml:space="preserve">Sprawiedliwości </w:t>
      </w:r>
      <w:r w:rsidR="00B23D27" w:rsidRPr="00EC250C">
        <w:rPr>
          <w:bCs/>
          <w:iCs/>
        </w:rPr>
        <w:t>wyraził przekonanie, że obowiązujące przepisy są zgodne ze standardami</w:t>
      </w:r>
      <w:r w:rsidR="00992FD0" w:rsidRPr="00EC250C">
        <w:rPr>
          <w:bCs/>
          <w:iCs/>
        </w:rPr>
        <w:t xml:space="preserve"> i </w:t>
      </w:r>
      <w:r w:rsidR="00B23D27" w:rsidRPr="00EC250C">
        <w:rPr>
          <w:bCs/>
          <w:iCs/>
        </w:rPr>
        <w:t xml:space="preserve">nie wymagają </w:t>
      </w:r>
      <w:r w:rsidR="00D97B9F" w:rsidRPr="00EC250C">
        <w:rPr>
          <w:bCs/>
          <w:iCs/>
        </w:rPr>
        <w:t>zmiany</w:t>
      </w:r>
      <w:r w:rsidR="003042E1" w:rsidRPr="00EC250C">
        <w:rPr>
          <w:rStyle w:val="Odwoanieprzypisudolnego"/>
          <w:bCs/>
          <w:iCs/>
        </w:rPr>
        <w:footnoteReference w:id="120"/>
      </w:r>
      <w:r w:rsidR="00B23D27" w:rsidRPr="00EC250C">
        <w:rPr>
          <w:bCs/>
          <w:iCs/>
        </w:rPr>
        <w:t>.</w:t>
      </w:r>
    </w:p>
    <w:p w14:paraId="3CE256FD" w14:textId="77777777" w:rsidR="00C91F6E" w:rsidRPr="00EC250C" w:rsidRDefault="00CF43D5" w:rsidP="00EC250C">
      <w:pPr>
        <w:pStyle w:val="Nagwek8"/>
      </w:pPr>
      <w:r w:rsidRPr="00EC250C">
        <w:lastRenderedPageBreak/>
        <w:t>Tymczasowe aresztowanie oskarżonego</w:t>
      </w:r>
      <w:r w:rsidR="00992FD0" w:rsidRPr="00EC250C">
        <w:t xml:space="preserve"> o </w:t>
      </w:r>
      <w:r w:rsidRPr="00EC250C">
        <w:t>działalnoś</w:t>
      </w:r>
      <w:r w:rsidR="003C4873" w:rsidRPr="00EC250C">
        <w:t xml:space="preserve">ć wywiadowczą </w:t>
      </w:r>
      <w:r w:rsidRPr="00EC250C">
        <w:t>na szkodę Rzeczypospolitej Polskiej</w:t>
      </w:r>
    </w:p>
    <w:p w14:paraId="52300C3D" w14:textId="77777777" w:rsidR="00E700E2" w:rsidRPr="00EC250C" w:rsidRDefault="00D97B9F" w:rsidP="00D131FA">
      <w:pPr>
        <w:pStyle w:val="Styl2"/>
        <w:rPr>
          <w:szCs w:val="24"/>
        </w:rPr>
      </w:pPr>
      <w:r w:rsidRPr="00EC250C">
        <w:rPr>
          <w:szCs w:val="24"/>
        </w:rPr>
        <w:t>M</w:t>
      </w:r>
      <w:r w:rsidR="00F136CE" w:rsidRPr="00EC250C">
        <w:rPr>
          <w:szCs w:val="24"/>
        </w:rPr>
        <w:t xml:space="preserve">ateusz </w:t>
      </w:r>
      <w:r w:rsidRPr="00EC250C">
        <w:rPr>
          <w:szCs w:val="24"/>
        </w:rPr>
        <w:t>P</w:t>
      </w:r>
      <w:r w:rsidR="003042E1" w:rsidRPr="00EC250C">
        <w:rPr>
          <w:szCs w:val="24"/>
        </w:rPr>
        <w:t>.</w:t>
      </w:r>
      <w:r w:rsidRPr="00EC250C">
        <w:rPr>
          <w:szCs w:val="24"/>
        </w:rPr>
        <w:t xml:space="preserve"> przebywa</w:t>
      </w:r>
      <w:r w:rsidR="00992FD0" w:rsidRPr="00EC250C">
        <w:rPr>
          <w:szCs w:val="24"/>
        </w:rPr>
        <w:t xml:space="preserve"> w </w:t>
      </w:r>
      <w:r w:rsidRPr="00EC250C">
        <w:rPr>
          <w:szCs w:val="24"/>
        </w:rPr>
        <w:t>areszcie tymczasowym</w:t>
      </w:r>
      <w:r w:rsidR="005A364A" w:rsidRPr="00EC250C">
        <w:rPr>
          <w:szCs w:val="24"/>
        </w:rPr>
        <w:t xml:space="preserve"> przesz trzy lata, </w:t>
      </w:r>
      <w:r w:rsidR="00CF43D5" w:rsidRPr="00EC250C">
        <w:rPr>
          <w:szCs w:val="24"/>
        </w:rPr>
        <w:t>od 18 maja 2016</w:t>
      </w:r>
      <w:r w:rsidR="00C91F6E" w:rsidRPr="00EC250C">
        <w:rPr>
          <w:szCs w:val="24"/>
        </w:rPr>
        <w:t> r.</w:t>
      </w:r>
      <w:r w:rsidR="00CF43D5" w:rsidRPr="00EC250C">
        <w:rPr>
          <w:szCs w:val="24"/>
        </w:rPr>
        <w:t xml:space="preserve"> W sprawie tej </w:t>
      </w:r>
      <w:r w:rsidR="005A364A" w:rsidRPr="00EC250C">
        <w:rPr>
          <w:szCs w:val="24"/>
        </w:rPr>
        <w:t xml:space="preserve">jego </w:t>
      </w:r>
      <w:r w:rsidR="00CF43D5" w:rsidRPr="00EC250C">
        <w:rPr>
          <w:szCs w:val="24"/>
        </w:rPr>
        <w:t xml:space="preserve">obrońcy zwrócili się do Grupy roboczej ONZ ds. arbitralnego pozbawienia wolności, działającej przy urzędzie Wysokiego Komisarza ds. Praw Człowieka ONZ. Po zbadaniu sprawy Grupa stwierdziła, że </w:t>
      </w:r>
      <w:r w:rsidR="002D0272" w:rsidRPr="00EC250C">
        <w:rPr>
          <w:szCs w:val="24"/>
        </w:rPr>
        <w:t>decyzja</w:t>
      </w:r>
      <w:r w:rsidR="00992FD0" w:rsidRPr="00EC250C">
        <w:rPr>
          <w:szCs w:val="24"/>
        </w:rPr>
        <w:t xml:space="preserve"> w </w:t>
      </w:r>
      <w:r w:rsidR="002D0272" w:rsidRPr="00EC250C">
        <w:rPr>
          <w:szCs w:val="24"/>
        </w:rPr>
        <w:t xml:space="preserve">sprawie </w:t>
      </w:r>
      <w:r w:rsidR="00CF43D5" w:rsidRPr="00EC250C">
        <w:rPr>
          <w:szCs w:val="24"/>
        </w:rPr>
        <w:t>tymczasowe</w:t>
      </w:r>
      <w:r w:rsidR="002D0272" w:rsidRPr="00EC250C">
        <w:rPr>
          <w:szCs w:val="24"/>
        </w:rPr>
        <w:t>go</w:t>
      </w:r>
      <w:r w:rsidR="00CF43D5" w:rsidRPr="00EC250C">
        <w:rPr>
          <w:szCs w:val="24"/>
        </w:rPr>
        <w:t xml:space="preserve"> aresztowani</w:t>
      </w:r>
      <w:r w:rsidR="002D0272" w:rsidRPr="00EC250C">
        <w:rPr>
          <w:szCs w:val="24"/>
        </w:rPr>
        <w:t>a</w:t>
      </w:r>
      <w:r w:rsidR="00CF43D5" w:rsidRPr="00EC250C">
        <w:rPr>
          <w:szCs w:val="24"/>
        </w:rPr>
        <w:t xml:space="preserve"> </w:t>
      </w:r>
      <w:r w:rsidRPr="00EC250C">
        <w:rPr>
          <w:szCs w:val="24"/>
        </w:rPr>
        <w:t>p</w:t>
      </w:r>
      <w:r w:rsidR="00CF43D5" w:rsidRPr="00EC250C">
        <w:rPr>
          <w:szCs w:val="24"/>
        </w:rPr>
        <w:t>ana P. miał</w:t>
      </w:r>
      <w:r w:rsidR="002D0272" w:rsidRPr="00EC250C">
        <w:rPr>
          <w:szCs w:val="24"/>
        </w:rPr>
        <w:t>a</w:t>
      </w:r>
      <w:r w:rsidR="00CF43D5" w:rsidRPr="00EC250C">
        <w:rPr>
          <w:szCs w:val="24"/>
        </w:rPr>
        <w:t xml:space="preserve"> charakter arbitralny. Zaleciła natychmiastowe zwolnienie, wypłacenie odszkodowania oraz niekierowanie sprawy do sądu,</w:t>
      </w:r>
      <w:r w:rsidR="00992FD0" w:rsidRPr="00EC250C">
        <w:rPr>
          <w:szCs w:val="24"/>
        </w:rPr>
        <w:t xml:space="preserve"> a </w:t>
      </w:r>
      <w:r w:rsidR="00CF43D5" w:rsidRPr="00EC250C">
        <w:rPr>
          <w:szCs w:val="24"/>
        </w:rPr>
        <w:t xml:space="preserve">także przeprowadzenie śledztwa dotyczącego okoliczności pozbawienia go wolności. </w:t>
      </w:r>
      <w:r w:rsidRPr="00EC250C">
        <w:rPr>
          <w:szCs w:val="24"/>
        </w:rPr>
        <w:t xml:space="preserve">Dlatego </w:t>
      </w:r>
      <w:r w:rsidR="00073A8C" w:rsidRPr="00EC250C">
        <w:rPr>
          <w:szCs w:val="24"/>
        </w:rPr>
        <w:t>RPO</w:t>
      </w:r>
      <w:r w:rsidR="00CF43D5" w:rsidRPr="00EC250C">
        <w:rPr>
          <w:szCs w:val="24"/>
        </w:rPr>
        <w:t xml:space="preserve"> zwrócił się do Ministra Sprawiedliwości</w:t>
      </w:r>
      <w:r w:rsidR="00992FD0" w:rsidRPr="00EC250C">
        <w:rPr>
          <w:szCs w:val="24"/>
        </w:rPr>
        <w:t xml:space="preserve"> o </w:t>
      </w:r>
      <w:r w:rsidR="00CF43D5" w:rsidRPr="00EC250C">
        <w:rPr>
          <w:szCs w:val="24"/>
        </w:rPr>
        <w:t xml:space="preserve"> stanowisk</w:t>
      </w:r>
      <w:r w:rsidR="005A364A" w:rsidRPr="00EC250C">
        <w:rPr>
          <w:szCs w:val="24"/>
        </w:rPr>
        <w:t>o</w:t>
      </w:r>
      <w:r w:rsidR="00CF43D5" w:rsidRPr="00EC250C">
        <w:rPr>
          <w:szCs w:val="24"/>
        </w:rPr>
        <w:t xml:space="preserve">. Minister wskazał, że zasadność stosowania wobec </w:t>
      </w:r>
      <w:r w:rsidRPr="00EC250C">
        <w:rPr>
          <w:szCs w:val="24"/>
        </w:rPr>
        <w:t xml:space="preserve">pana </w:t>
      </w:r>
      <w:r w:rsidR="00CF43D5" w:rsidRPr="00EC250C">
        <w:rPr>
          <w:szCs w:val="24"/>
        </w:rPr>
        <w:t xml:space="preserve">P. </w:t>
      </w:r>
      <w:r w:rsidRPr="00EC250C">
        <w:rPr>
          <w:szCs w:val="24"/>
        </w:rPr>
        <w:t xml:space="preserve">aresztu </w:t>
      </w:r>
      <w:r w:rsidR="0080092E" w:rsidRPr="00EC250C">
        <w:rPr>
          <w:szCs w:val="24"/>
        </w:rPr>
        <w:t xml:space="preserve">jest obecnie sprawą </w:t>
      </w:r>
      <w:r w:rsidR="00CF43D5" w:rsidRPr="00EC250C">
        <w:rPr>
          <w:szCs w:val="24"/>
        </w:rPr>
        <w:t xml:space="preserve">sądu. </w:t>
      </w:r>
      <w:r w:rsidR="0080092E" w:rsidRPr="00EC250C">
        <w:rPr>
          <w:szCs w:val="24"/>
        </w:rPr>
        <w:t xml:space="preserve">Ten zaś uznał, że </w:t>
      </w:r>
      <w:r w:rsidR="00CF43D5" w:rsidRPr="00EC250C">
        <w:rPr>
          <w:szCs w:val="24"/>
        </w:rPr>
        <w:t>opini</w:t>
      </w:r>
      <w:r w:rsidR="0080092E" w:rsidRPr="00EC250C">
        <w:rPr>
          <w:szCs w:val="24"/>
        </w:rPr>
        <w:t>a</w:t>
      </w:r>
      <w:r w:rsidR="00CF43D5" w:rsidRPr="00EC250C">
        <w:rPr>
          <w:szCs w:val="24"/>
        </w:rPr>
        <w:t xml:space="preserve"> Grupy roboczej opart</w:t>
      </w:r>
      <w:r w:rsidR="0080092E" w:rsidRPr="00EC250C">
        <w:rPr>
          <w:szCs w:val="24"/>
        </w:rPr>
        <w:t>a</w:t>
      </w:r>
      <w:r w:rsidR="00CF43D5" w:rsidRPr="00EC250C">
        <w:rPr>
          <w:szCs w:val="24"/>
        </w:rPr>
        <w:t xml:space="preserve"> był</w:t>
      </w:r>
      <w:r w:rsidR="0080092E" w:rsidRPr="00EC250C">
        <w:rPr>
          <w:szCs w:val="24"/>
        </w:rPr>
        <w:t>a</w:t>
      </w:r>
      <w:r w:rsidR="00992FD0" w:rsidRPr="00EC250C">
        <w:rPr>
          <w:szCs w:val="24"/>
        </w:rPr>
        <w:t xml:space="preserve"> o </w:t>
      </w:r>
      <w:r w:rsidR="00CF43D5" w:rsidRPr="00EC250C">
        <w:rPr>
          <w:szCs w:val="24"/>
        </w:rPr>
        <w:t>niepełny materiał dowodowy</w:t>
      </w:r>
      <w:r w:rsidR="003042E1" w:rsidRPr="00EC250C">
        <w:rPr>
          <w:szCs w:val="24"/>
          <w:vertAlign w:val="superscript"/>
        </w:rPr>
        <w:footnoteReference w:id="121"/>
      </w:r>
      <w:r w:rsidR="0080092E" w:rsidRPr="00EC250C">
        <w:rPr>
          <w:szCs w:val="24"/>
        </w:rPr>
        <w:t>.</w:t>
      </w:r>
    </w:p>
    <w:p w14:paraId="18526252" w14:textId="77777777" w:rsidR="003D5003" w:rsidRPr="00EC250C" w:rsidRDefault="003D5003" w:rsidP="00D131FA">
      <w:pPr>
        <w:pStyle w:val="Styl2"/>
        <w:rPr>
          <w:szCs w:val="24"/>
        </w:rPr>
      </w:pPr>
      <w:r w:rsidRPr="00EC250C">
        <w:rPr>
          <w:szCs w:val="24"/>
        </w:rPr>
        <w:t>W maju 2019, po uiszczeniu 200 tys. złotych poręczenia majątkowego, areszt tymczasowy wobec Mateusza P. został uchylony.</w:t>
      </w:r>
    </w:p>
    <w:p w14:paraId="2B929551" w14:textId="77777777" w:rsidR="00E700E2" w:rsidRPr="00EC250C" w:rsidRDefault="00E700E2" w:rsidP="00EC250C">
      <w:pPr>
        <w:pStyle w:val="Nagwek8"/>
      </w:pPr>
      <w:r w:rsidRPr="00EC250C">
        <w:t>Przedłużające się tymczasowe aresztowanie</w:t>
      </w:r>
    </w:p>
    <w:p w14:paraId="317720BD" w14:textId="77777777" w:rsidR="00C91F6E" w:rsidRPr="00EC250C" w:rsidRDefault="00E700E2" w:rsidP="00D131FA">
      <w:pPr>
        <w:pStyle w:val="Styl2"/>
        <w:rPr>
          <w:szCs w:val="24"/>
        </w:rPr>
      </w:pPr>
      <w:r w:rsidRPr="00EC250C">
        <w:rPr>
          <w:szCs w:val="24"/>
        </w:rPr>
        <w:t xml:space="preserve">Rzecznik </w:t>
      </w:r>
      <w:r w:rsidR="00073A8C" w:rsidRPr="00EC250C">
        <w:rPr>
          <w:szCs w:val="24"/>
        </w:rPr>
        <w:t xml:space="preserve">Praw Obywatelskich </w:t>
      </w:r>
      <w:r w:rsidRPr="00EC250C">
        <w:rPr>
          <w:szCs w:val="24"/>
        </w:rPr>
        <w:t>podjął interwencję</w:t>
      </w:r>
      <w:r w:rsidR="00992FD0" w:rsidRPr="00EC250C">
        <w:rPr>
          <w:szCs w:val="24"/>
        </w:rPr>
        <w:t xml:space="preserve"> w </w:t>
      </w:r>
      <w:r w:rsidRPr="00EC250C">
        <w:rPr>
          <w:szCs w:val="24"/>
        </w:rPr>
        <w:t>sprawie tymczasowo aresztowanego Wojciecha K.</w:t>
      </w:r>
      <w:r w:rsidR="00827B31" w:rsidRPr="00EC250C">
        <w:rPr>
          <w:rStyle w:val="Odwoanieprzypisudolnego"/>
          <w:sz w:val="24"/>
          <w:szCs w:val="24"/>
        </w:rPr>
        <w:t xml:space="preserve"> </w:t>
      </w:r>
      <w:r w:rsidR="00827B31" w:rsidRPr="00EC250C">
        <w:rPr>
          <w:rStyle w:val="Odwoanieprzypisudolnego"/>
          <w:sz w:val="24"/>
          <w:szCs w:val="24"/>
        </w:rPr>
        <w:footnoteReference w:id="122"/>
      </w:r>
      <w:r w:rsidR="00827B31" w:rsidRPr="00EC250C">
        <w:rPr>
          <w:sz w:val="24"/>
          <w:szCs w:val="24"/>
        </w:rPr>
        <w:t>.</w:t>
      </w:r>
      <w:r w:rsidRPr="00EC250C">
        <w:rPr>
          <w:szCs w:val="24"/>
        </w:rPr>
        <w:t xml:space="preserve"> Środek zapobiegawczy stosowany jest wobec niego od 12 marca 2016</w:t>
      </w:r>
      <w:r w:rsidR="00C91F6E" w:rsidRPr="00EC250C">
        <w:rPr>
          <w:szCs w:val="24"/>
        </w:rPr>
        <w:t> r.</w:t>
      </w:r>
      <w:r w:rsidRPr="00EC250C">
        <w:rPr>
          <w:szCs w:val="24"/>
        </w:rPr>
        <w:t xml:space="preserve"> K. oskarżony jest</w:t>
      </w:r>
      <w:r w:rsidR="00992FD0" w:rsidRPr="00EC250C">
        <w:rPr>
          <w:szCs w:val="24"/>
        </w:rPr>
        <w:t xml:space="preserve"> o </w:t>
      </w:r>
      <w:r w:rsidRPr="00EC250C">
        <w:rPr>
          <w:szCs w:val="24"/>
        </w:rPr>
        <w:t>nakłonienie do spowodowania ciężkiego uszkodzenia ciała poprzez potrącenie samochodem. 28 grudnia 2017</w:t>
      </w:r>
      <w:r w:rsidR="00C91F6E" w:rsidRPr="00EC250C">
        <w:rPr>
          <w:szCs w:val="24"/>
        </w:rPr>
        <w:t> r.</w:t>
      </w:r>
      <w:r w:rsidRPr="00EC250C">
        <w:rPr>
          <w:szCs w:val="24"/>
        </w:rPr>
        <w:t xml:space="preserve"> z</w:t>
      </w:r>
      <w:r w:rsidR="00F136CE" w:rsidRPr="00EC250C">
        <w:rPr>
          <w:szCs w:val="24"/>
        </w:rPr>
        <w:t xml:space="preserve">ostał skazany </w:t>
      </w:r>
      <w:r w:rsidRPr="00EC250C">
        <w:rPr>
          <w:szCs w:val="24"/>
        </w:rPr>
        <w:t>na 6 lat pozbawienia wolności. Wyrok ten został jednak uchylony przez sąd odwoławczy</w:t>
      </w:r>
      <w:r w:rsidR="00992FD0" w:rsidRPr="00EC250C">
        <w:rPr>
          <w:szCs w:val="24"/>
        </w:rPr>
        <w:t xml:space="preserve"> i </w:t>
      </w:r>
      <w:r w:rsidR="00F136CE" w:rsidRPr="00EC250C">
        <w:rPr>
          <w:szCs w:val="24"/>
        </w:rPr>
        <w:t>s</w:t>
      </w:r>
      <w:r w:rsidRPr="00EC250C">
        <w:rPr>
          <w:szCs w:val="24"/>
        </w:rPr>
        <w:t>prawa rozpoznawana jest ponownie</w:t>
      </w:r>
      <w:r w:rsidR="00F136CE" w:rsidRPr="00EC250C">
        <w:rPr>
          <w:szCs w:val="24"/>
        </w:rPr>
        <w:t>. Do 2</w:t>
      </w:r>
      <w:r w:rsidR="003D5003" w:rsidRPr="00EC250C">
        <w:rPr>
          <w:szCs w:val="24"/>
        </w:rPr>
        <w:t>5</w:t>
      </w:r>
      <w:r w:rsidR="00F136CE" w:rsidRPr="00EC250C">
        <w:rPr>
          <w:szCs w:val="24"/>
        </w:rPr>
        <w:t xml:space="preserve"> </w:t>
      </w:r>
      <w:r w:rsidR="003D5003" w:rsidRPr="00EC250C">
        <w:rPr>
          <w:szCs w:val="24"/>
        </w:rPr>
        <w:t xml:space="preserve">maja </w:t>
      </w:r>
      <w:r w:rsidR="00F136CE" w:rsidRPr="00EC250C">
        <w:rPr>
          <w:szCs w:val="24"/>
        </w:rPr>
        <w:t>2019</w:t>
      </w:r>
      <w:r w:rsidR="00C91F6E" w:rsidRPr="00EC250C">
        <w:rPr>
          <w:szCs w:val="24"/>
        </w:rPr>
        <w:t> r.</w:t>
      </w:r>
      <w:r w:rsidR="00F136CE" w:rsidRPr="00EC250C">
        <w:rPr>
          <w:szCs w:val="24"/>
        </w:rPr>
        <w:t xml:space="preserve"> pan K. miał nadal pozostawać</w:t>
      </w:r>
      <w:r w:rsidR="00992FD0" w:rsidRPr="00EC250C">
        <w:rPr>
          <w:szCs w:val="24"/>
        </w:rPr>
        <w:t xml:space="preserve"> w </w:t>
      </w:r>
      <w:r w:rsidR="00F136CE" w:rsidRPr="00EC250C">
        <w:rPr>
          <w:szCs w:val="24"/>
        </w:rPr>
        <w:t>areszcie.</w:t>
      </w:r>
    </w:p>
    <w:p w14:paraId="422FC41B" w14:textId="77777777" w:rsidR="003A4348" w:rsidRPr="00EC250C" w:rsidRDefault="003A4348" w:rsidP="00EC79EB">
      <w:pPr>
        <w:pStyle w:val="Nagwek4"/>
      </w:pPr>
      <w:bookmarkStart w:id="134" w:name="_Toc6257678"/>
      <w:bookmarkStart w:id="135" w:name="_Toc11247585"/>
      <w:r w:rsidRPr="00EC250C">
        <w:t>Bezkarność strażników leśnych</w:t>
      </w:r>
      <w:bookmarkEnd w:id="134"/>
      <w:r w:rsidR="00D55FD3" w:rsidRPr="00EC250C">
        <w:t>, którzy występowali przeciw demonstrującym</w:t>
      </w:r>
      <w:r w:rsidR="00992FD0" w:rsidRPr="00EC250C">
        <w:t xml:space="preserve"> w </w:t>
      </w:r>
      <w:r w:rsidR="00D55FD3" w:rsidRPr="00EC250C">
        <w:t>Puszczy Białowieskiej</w:t>
      </w:r>
      <w:bookmarkEnd w:id="135"/>
    </w:p>
    <w:p w14:paraId="3D832AA8" w14:textId="77777777" w:rsidR="00B473F5" w:rsidRPr="00EC250C" w:rsidRDefault="003A4348" w:rsidP="00D131FA">
      <w:pPr>
        <w:pStyle w:val="Problemczowieka"/>
        <w:jc w:val="both"/>
      </w:pPr>
      <w:r w:rsidRPr="00EC250C">
        <w:rPr>
          <w:shd w:val="clear" w:color="auto" w:fill="FFFFFF"/>
        </w:rPr>
        <w:t xml:space="preserve">Śledztwa wobec strażników </w:t>
      </w:r>
      <w:r w:rsidRPr="00EC250C">
        <w:t xml:space="preserve">leśnych za nieuprawnione używanie siły wobec protestujących przeciw wycince </w:t>
      </w:r>
      <w:r w:rsidR="003042E1" w:rsidRPr="00EC250C">
        <w:t>drzew</w:t>
      </w:r>
      <w:r w:rsidR="00CC4D88" w:rsidRPr="00EC250C">
        <w:t xml:space="preserve"> </w:t>
      </w:r>
      <w:r w:rsidRPr="00EC250C">
        <w:t>są umarzane</w:t>
      </w:r>
      <w:r w:rsidR="00932DB4" w:rsidRPr="00EC250C">
        <w:t>. S</w:t>
      </w:r>
      <w:r w:rsidRPr="00EC250C">
        <w:t>trażnicy nie mają</w:t>
      </w:r>
      <w:r w:rsidR="00932DB4" w:rsidRPr="00EC250C">
        <w:t xml:space="preserve"> bowiem</w:t>
      </w:r>
      <w:r w:rsidRPr="00EC250C">
        <w:t xml:space="preserve"> statusu funkcjonariuszy publicznych</w:t>
      </w:r>
      <w:r w:rsidR="00932DB4" w:rsidRPr="00EC250C">
        <w:t>, choć korzystają</w:t>
      </w:r>
      <w:r w:rsidR="00992FD0" w:rsidRPr="00EC250C">
        <w:t xml:space="preserve"> z </w:t>
      </w:r>
      <w:r w:rsidR="00932DB4" w:rsidRPr="00EC250C">
        <w:t>przysługującej im ochrony prawnej</w:t>
      </w:r>
      <w:r w:rsidRPr="00EC250C">
        <w:t>. Obywatel jest zatem represjonowany za czyny przeciw strażnikowi</w:t>
      </w:r>
      <w:r w:rsidR="00026572" w:rsidRPr="00EC250C">
        <w:t xml:space="preserve"> – </w:t>
      </w:r>
      <w:r w:rsidRPr="00EC250C">
        <w:t xml:space="preserve">nie </w:t>
      </w:r>
      <w:r w:rsidR="00B01CFE" w:rsidRPr="00EC250C">
        <w:t>jest zaś chroniony</w:t>
      </w:r>
      <w:r w:rsidRPr="00EC250C">
        <w:t xml:space="preserve">, gdy </w:t>
      </w:r>
      <w:r w:rsidR="00B01CFE" w:rsidRPr="00EC250C">
        <w:t xml:space="preserve">strażnik </w:t>
      </w:r>
      <w:r w:rsidRPr="00EC250C">
        <w:t>dokonuje przestępstwa na szkodę obywatela</w:t>
      </w:r>
      <w:r w:rsidR="00B473F5" w:rsidRPr="00EC250C">
        <w:t>.</w:t>
      </w:r>
    </w:p>
    <w:p w14:paraId="6C08499E" w14:textId="77777777" w:rsidR="003A4348" w:rsidRPr="00EC250C" w:rsidRDefault="003A4348" w:rsidP="00D131FA">
      <w:pPr>
        <w:pStyle w:val="Styl1"/>
        <w:rPr>
          <w:rFonts w:ascii="Open Sans Regular" w:hAnsi="Open Sans Regular"/>
          <w:color w:val="18223E"/>
          <w:sz w:val="21"/>
        </w:rPr>
      </w:pPr>
      <w:r w:rsidRPr="00EC250C">
        <w:t>Minister Sprawiedliwości nie zgodził się</w:t>
      </w:r>
      <w:r w:rsidR="00992FD0" w:rsidRPr="00EC250C">
        <w:t xml:space="preserve"> z </w:t>
      </w:r>
      <w:r w:rsidR="00073A8C" w:rsidRPr="00EC250C">
        <w:t>RPO</w:t>
      </w:r>
      <w:r w:rsidRPr="00EC250C">
        <w:t xml:space="preserve">, że nadanie strażnikom statusu </w:t>
      </w:r>
      <w:r w:rsidR="00932DB4" w:rsidRPr="00EC250C">
        <w:t xml:space="preserve">funkcjonariusza publicznego </w:t>
      </w:r>
      <w:r w:rsidRPr="00EC250C">
        <w:t xml:space="preserve">poprawiłoby ochronę praw obywateli. Tylko zaś </w:t>
      </w:r>
      <w:r w:rsidR="00932DB4" w:rsidRPr="00EC250C">
        <w:t>posiadający ten statut</w:t>
      </w:r>
      <w:r w:rsidRPr="00EC250C">
        <w:t xml:space="preserve"> mogą odpowiadać</w:t>
      </w:r>
      <w:r w:rsidR="00992FD0" w:rsidRPr="00EC250C">
        <w:t xml:space="preserve"> z </w:t>
      </w:r>
      <w:r w:rsidRPr="00EC250C">
        <w:t>art. 231 § 1 Kodeksu karnego (przewiduje on karę pozbawienia wolności do lat 3 wobec funkcjonariusza, który przekraczając uprawnienia lub nie dopełniając obowiązków działa na szkodę interesu publicznego lub prywatnego).</w:t>
      </w:r>
    </w:p>
    <w:p w14:paraId="14FD2365" w14:textId="77777777" w:rsidR="003A4348" w:rsidRPr="00EC250C" w:rsidRDefault="003A4348" w:rsidP="00D131FA">
      <w:pPr>
        <w:pStyle w:val="Styl1"/>
      </w:pPr>
      <w:r w:rsidRPr="00EC250C">
        <w:lastRenderedPageBreak/>
        <w:t xml:space="preserve">RPO widzi </w:t>
      </w:r>
      <w:r w:rsidR="003077C8" w:rsidRPr="00EC250C">
        <w:t xml:space="preserve">nadal </w:t>
      </w:r>
      <w:r w:rsidRPr="00EC250C">
        <w:t>konieczność zrównania ochrony funkcjonariusza publicznego</w:t>
      </w:r>
      <w:r w:rsidR="00992FD0" w:rsidRPr="00EC250C">
        <w:t xml:space="preserve"> z </w:t>
      </w:r>
      <w:r w:rsidRPr="00EC250C">
        <w:t>jego odpowiedzialnością karną za przestępstwa popełnione podczas lub</w:t>
      </w:r>
      <w:r w:rsidR="00992FD0" w:rsidRPr="00EC250C">
        <w:t xml:space="preserve"> w </w:t>
      </w:r>
      <w:r w:rsidRPr="00EC250C">
        <w:t>związku</w:t>
      </w:r>
      <w:r w:rsidR="00992FD0" w:rsidRPr="00EC250C">
        <w:t xml:space="preserve"> z </w:t>
      </w:r>
      <w:r w:rsidRPr="00EC250C">
        <w:t>pełnieniem obowiązków służbowych. W 2019</w:t>
      </w:r>
      <w:r w:rsidR="00C91F6E" w:rsidRPr="00EC250C">
        <w:t> r.</w:t>
      </w:r>
      <w:r w:rsidRPr="00EC250C">
        <w:t xml:space="preserve"> RPO ponowił wystąpienie</w:t>
      </w:r>
      <w:r w:rsidR="00992FD0" w:rsidRPr="00EC250C">
        <w:t xml:space="preserve"> w </w:t>
      </w:r>
      <w:r w:rsidRPr="00EC250C">
        <w:t>tej sprawie</w:t>
      </w:r>
      <w:r w:rsidR="003042E1" w:rsidRPr="00EC250C">
        <w:rPr>
          <w:rStyle w:val="Odwoanieprzypisudolnego"/>
        </w:rPr>
        <w:footnoteReference w:id="123"/>
      </w:r>
      <w:r w:rsidRPr="00EC250C">
        <w:t>.</w:t>
      </w:r>
    </w:p>
    <w:p w14:paraId="4E4389DF" w14:textId="77777777" w:rsidR="003A4348" w:rsidRPr="00EC250C" w:rsidRDefault="003A4348" w:rsidP="00EC250C">
      <w:pPr>
        <w:pStyle w:val="Nagwek8"/>
      </w:pPr>
      <w:r w:rsidRPr="00EC250C">
        <w:t>Protesty</w:t>
      </w:r>
      <w:r w:rsidR="00992FD0" w:rsidRPr="00EC250C">
        <w:t xml:space="preserve"> w </w:t>
      </w:r>
      <w:r w:rsidRPr="00EC250C">
        <w:t>Puszczy Białowieskiej</w:t>
      </w:r>
    </w:p>
    <w:p w14:paraId="100D01FD" w14:textId="77777777" w:rsidR="00C91F6E" w:rsidRPr="00EC250C" w:rsidRDefault="003A4348" w:rsidP="00D131FA">
      <w:pPr>
        <w:pStyle w:val="Styl2"/>
        <w:rPr>
          <w:szCs w:val="24"/>
        </w:rPr>
      </w:pPr>
      <w:r w:rsidRPr="00EC250C">
        <w:rPr>
          <w:szCs w:val="24"/>
        </w:rPr>
        <w:t xml:space="preserve">Rzecznik </w:t>
      </w:r>
      <w:r w:rsidR="00073A8C" w:rsidRPr="00EC250C">
        <w:rPr>
          <w:szCs w:val="24"/>
        </w:rPr>
        <w:t xml:space="preserve">Praw Obywatelskich </w:t>
      </w:r>
      <w:r w:rsidRPr="00EC250C">
        <w:rPr>
          <w:szCs w:val="24"/>
        </w:rPr>
        <w:t>monitorował</w:t>
      </w:r>
      <w:r w:rsidR="00992FD0" w:rsidRPr="00EC250C">
        <w:rPr>
          <w:szCs w:val="24"/>
        </w:rPr>
        <w:t xml:space="preserve"> w </w:t>
      </w:r>
      <w:r w:rsidR="00B01CFE" w:rsidRPr="00EC250C">
        <w:rPr>
          <w:szCs w:val="24"/>
        </w:rPr>
        <w:t>2018</w:t>
      </w:r>
      <w:r w:rsidR="00C91F6E" w:rsidRPr="00EC250C">
        <w:rPr>
          <w:szCs w:val="24"/>
        </w:rPr>
        <w:t> r.</w:t>
      </w:r>
      <w:r w:rsidRPr="00EC250C">
        <w:rPr>
          <w:rStyle w:val="Odwoanieprzypisudolnego"/>
          <w:szCs w:val="24"/>
        </w:rPr>
        <w:footnoteReference w:id="124"/>
      </w:r>
      <w:r w:rsidRPr="00EC250C">
        <w:rPr>
          <w:szCs w:val="24"/>
        </w:rPr>
        <w:t xml:space="preserve"> bieg postępowań przygotowawczych dotyczących czynności strażników leśnych wobec osób protestujących przeciwko wycince Puszczy Białowieskiej. Prokuratura Rejonowa</w:t>
      </w:r>
      <w:r w:rsidR="00992FD0" w:rsidRPr="00EC250C">
        <w:rPr>
          <w:szCs w:val="24"/>
        </w:rPr>
        <w:t xml:space="preserve"> w </w:t>
      </w:r>
      <w:r w:rsidRPr="00EC250C">
        <w:rPr>
          <w:szCs w:val="24"/>
        </w:rPr>
        <w:t>Hajnówce prowadziła lub nadzorowała kilka śledztw</w:t>
      </w:r>
      <w:r w:rsidR="00992FD0" w:rsidRPr="00EC250C">
        <w:rPr>
          <w:szCs w:val="24"/>
        </w:rPr>
        <w:t xml:space="preserve"> w </w:t>
      </w:r>
      <w:r w:rsidRPr="00EC250C">
        <w:rPr>
          <w:szCs w:val="24"/>
        </w:rPr>
        <w:t>sprawach,</w:t>
      </w:r>
      <w:r w:rsidR="00992FD0" w:rsidRPr="00EC250C">
        <w:rPr>
          <w:szCs w:val="24"/>
        </w:rPr>
        <w:t xml:space="preserve"> w </w:t>
      </w:r>
      <w:r w:rsidRPr="00EC250C">
        <w:rPr>
          <w:szCs w:val="24"/>
        </w:rPr>
        <w:t>których zawiadamiający wskazywali na obrażenia ciała, jakich doznali</w:t>
      </w:r>
      <w:r w:rsidR="00992FD0" w:rsidRPr="00EC250C">
        <w:rPr>
          <w:szCs w:val="24"/>
        </w:rPr>
        <w:t xml:space="preserve"> w </w:t>
      </w:r>
      <w:r w:rsidRPr="00EC250C">
        <w:rPr>
          <w:szCs w:val="24"/>
        </w:rPr>
        <w:t>skutek interwencji strażników. Postępowania te,</w:t>
      </w:r>
      <w:r w:rsidR="00992FD0" w:rsidRPr="00EC250C">
        <w:rPr>
          <w:szCs w:val="24"/>
        </w:rPr>
        <w:t xml:space="preserve"> w </w:t>
      </w:r>
      <w:r w:rsidRPr="00EC250C">
        <w:rPr>
          <w:szCs w:val="24"/>
        </w:rPr>
        <w:t>zakresie przekroczenia uprawnień, były umarzane ze względu na brak znamion czynu zabronionego, bowiem strażnicy leśni nie mają statusu funkcjonariuszy publicznych.</w:t>
      </w:r>
    </w:p>
    <w:p w14:paraId="5E11EF72" w14:textId="77777777" w:rsidR="00C91F6E" w:rsidRPr="00EC250C" w:rsidRDefault="003A4348" w:rsidP="00D131FA">
      <w:pPr>
        <w:pStyle w:val="Styl2"/>
        <w:rPr>
          <w:szCs w:val="24"/>
        </w:rPr>
      </w:pPr>
      <w:r w:rsidRPr="00EC250C">
        <w:rPr>
          <w:szCs w:val="24"/>
        </w:rPr>
        <w:t>Jednocześnie prokurator nie stwierdzał istnienia interesu publicznego</w:t>
      </w:r>
      <w:r w:rsidR="00992FD0" w:rsidRPr="00EC250C">
        <w:rPr>
          <w:szCs w:val="24"/>
        </w:rPr>
        <w:t xml:space="preserve"> w </w:t>
      </w:r>
      <w:r w:rsidRPr="00EC250C">
        <w:rPr>
          <w:szCs w:val="24"/>
        </w:rPr>
        <w:t>kontynuowaniu</w:t>
      </w:r>
      <w:r w:rsidR="00992FD0" w:rsidRPr="00EC250C">
        <w:rPr>
          <w:szCs w:val="24"/>
        </w:rPr>
        <w:t xml:space="preserve"> z </w:t>
      </w:r>
      <w:r w:rsidRPr="00EC250C">
        <w:rPr>
          <w:szCs w:val="24"/>
        </w:rPr>
        <w:t>urzędu postępowań</w:t>
      </w:r>
      <w:r w:rsidR="00992FD0" w:rsidRPr="00EC250C">
        <w:rPr>
          <w:szCs w:val="24"/>
        </w:rPr>
        <w:t xml:space="preserve"> o </w:t>
      </w:r>
      <w:r w:rsidRPr="00EC250C">
        <w:rPr>
          <w:szCs w:val="24"/>
        </w:rPr>
        <w:t>czyny ścigane</w:t>
      </w:r>
      <w:r w:rsidR="00992FD0" w:rsidRPr="00EC250C">
        <w:rPr>
          <w:szCs w:val="24"/>
        </w:rPr>
        <w:t xml:space="preserve"> z </w:t>
      </w:r>
      <w:r w:rsidRPr="00EC250C">
        <w:rPr>
          <w:szCs w:val="24"/>
        </w:rPr>
        <w:t>oskarżenia prywatnego.</w:t>
      </w:r>
    </w:p>
    <w:p w14:paraId="711BCC84" w14:textId="77777777" w:rsidR="00E956ED" w:rsidRPr="00EC250C" w:rsidRDefault="00A408BE" w:rsidP="00D131FA">
      <w:pPr>
        <w:pStyle w:val="ODESANIE"/>
        <w:jc w:val="both"/>
        <w:rPr>
          <w:b/>
          <w:bCs/>
          <w:color w:val="044892"/>
        </w:rPr>
      </w:pPr>
      <w:r w:rsidRPr="00EC250C">
        <w:t xml:space="preserve">Sprawa </w:t>
      </w:r>
      <w:r w:rsidR="003042E1" w:rsidRPr="00EC250C">
        <w:t>protestów przeciw wycince</w:t>
      </w:r>
      <w:r w:rsidR="00992FD0" w:rsidRPr="00EC250C">
        <w:t xml:space="preserve"> w </w:t>
      </w:r>
      <w:r w:rsidRPr="00EC250C">
        <w:t xml:space="preserve">Puszczy Białowieskiej – patrz art. </w:t>
      </w:r>
      <w:r w:rsidR="00827B31" w:rsidRPr="00EC250C">
        <w:t>57</w:t>
      </w:r>
      <w:r w:rsidRPr="00EC250C">
        <w:t xml:space="preserve"> </w:t>
      </w:r>
      <w:r w:rsidR="00CC5375" w:rsidRPr="00EC250C">
        <w:t>Konstytucji</w:t>
      </w:r>
      <w:bookmarkStart w:id="136" w:name="_Hlk533941749"/>
    </w:p>
    <w:p w14:paraId="5281D791" w14:textId="77777777" w:rsidR="00C73F45" w:rsidRPr="00EC250C" w:rsidRDefault="00CC5375" w:rsidP="00EC79EB">
      <w:pPr>
        <w:pStyle w:val="Nagwek4"/>
      </w:pPr>
      <w:bookmarkStart w:id="137" w:name="_Toc6257679"/>
      <w:bookmarkStart w:id="138" w:name="_Toc11247586"/>
      <w:bookmarkStart w:id="139" w:name="_Hlk7437408"/>
      <w:r w:rsidRPr="00EC250C">
        <w:t>Problemy</w:t>
      </w:r>
      <w:r w:rsidR="00992FD0" w:rsidRPr="00EC250C">
        <w:t xml:space="preserve"> z </w:t>
      </w:r>
      <w:r w:rsidRPr="00EC250C">
        <w:t>odszkodowaniami</w:t>
      </w:r>
      <w:r w:rsidR="0009343C" w:rsidRPr="00EC250C">
        <w:t xml:space="preserve"> za bezprawne przeszukania</w:t>
      </w:r>
      <w:r w:rsidR="00992FD0" w:rsidRPr="00EC250C">
        <w:t xml:space="preserve"> i </w:t>
      </w:r>
      <w:r w:rsidR="0009343C" w:rsidRPr="00EC250C">
        <w:t>kontrolę osobistą</w:t>
      </w:r>
      <w:bookmarkEnd w:id="137"/>
      <w:bookmarkEnd w:id="138"/>
    </w:p>
    <w:bookmarkEnd w:id="136"/>
    <w:p w14:paraId="5A37BA01" w14:textId="77777777" w:rsidR="00B473F5" w:rsidRPr="00EC250C" w:rsidRDefault="00DD4CE8" w:rsidP="00D131FA">
      <w:pPr>
        <w:pStyle w:val="Problemczowieka"/>
        <w:jc w:val="both"/>
      </w:pPr>
      <w:r w:rsidRPr="00EC250C">
        <w:t>Czy przepisy dotyczące kontroli osobistych zosta</w:t>
      </w:r>
      <w:r w:rsidR="00F631F1" w:rsidRPr="00EC250C">
        <w:t>ły</w:t>
      </w:r>
      <w:r w:rsidRPr="00EC250C">
        <w:t xml:space="preserve"> zmienione </w:t>
      </w:r>
      <w:r w:rsidR="00F631F1" w:rsidRPr="00EC250C">
        <w:t>tak, by</w:t>
      </w:r>
      <w:r w:rsidR="00992FD0" w:rsidRPr="00EC250C">
        <w:t xml:space="preserve"> w </w:t>
      </w:r>
      <w:r w:rsidRPr="00EC250C">
        <w:t>pełni chronić prawa obywateli?</w:t>
      </w:r>
      <w:r w:rsidR="006B66E8" w:rsidRPr="00EC250C">
        <w:t xml:space="preserve"> </w:t>
      </w:r>
      <w:r w:rsidR="00F631F1" w:rsidRPr="00EC250C">
        <w:t>Ustawa przyjęta</w:t>
      </w:r>
      <w:r w:rsidR="00992FD0" w:rsidRPr="00EC250C">
        <w:t xml:space="preserve"> w </w:t>
      </w:r>
      <w:r w:rsidR="00F631F1" w:rsidRPr="00EC250C">
        <w:t>2018</w:t>
      </w:r>
      <w:r w:rsidR="00C91F6E" w:rsidRPr="00EC250C">
        <w:t> r.</w:t>
      </w:r>
      <w:r w:rsidR="00F631F1" w:rsidRPr="00EC250C">
        <w:t xml:space="preserve"> stanowi m.in., </w:t>
      </w:r>
      <w:r w:rsidR="00CC5375" w:rsidRPr="00EC250C">
        <w:t xml:space="preserve">że </w:t>
      </w:r>
      <w:r w:rsidR="00F631F1" w:rsidRPr="00EC250C">
        <w:t xml:space="preserve">zasadność kontroli może ocenić sąd, jednak jeśli stwierdzi naruszenie prawa obywatela, to </w:t>
      </w:r>
      <w:r w:rsidR="006B66E8" w:rsidRPr="00EC250C">
        <w:t xml:space="preserve">nie </w:t>
      </w:r>
      <w:r w:rsidR="00B01CFE" w:rsidRPr="00EC250C">
        <w:t xml:space="preserve">może </w:t>
      </w:r>
      <w:r w:rsidR="006B66E8" w:rsidRPr="00EC250C">
        <w:t>orzec</w:t>
      </w:r>
      <w:r w:rsidR="00992FD0" w:rsidRPr="00EC250C">
        <w:t xml:space="preserve"> o </w:t>
      </w:r>
      <w:r w:rsidR="006B66E8" w:rsidRPr="00EC250C">
        <w:t>zadośćuczynieniu</w:t>
      </w:r>
      <w:r w:rsidR="00F631F1" w:rsidRPr="00EC250C">
        <w:t xml:space="preserve"> czy odszkodowaniu</w:t>
      </w:r>
      <w:r w:rsidR="006B66E8" w:rsidRPr="00EC250C">
        <w:t>. Obywatel musiałby wystąpić</w:t>
      </w:r>
      <w:r w:rsidR="00992FD0" w:rsidRPr="00EC250C">
        <w:t xml:space="preserve"> o </w:t>
      </w:r>
      <w:r w:rsidR="006B66E8" w:rsidRPr="00EC250C">
        <w:t>to osobno, korzystając</w:t>
      </w:r>
      <w:r w:rsidR="00992FD0" w:rsidRPr="00EC250C">
        <w:t xml:space="preserve"> z </w:t>
      </w:r>
      <w:r w:rsidR="006B66E8" w:rsidRPr="00EC250C">
        <w:t>czasochłonnej procedury cywilnej</w:t>
      </w:r>
      <w:r w:rsidR="00B473F5" w:rsidRPr="00EC250C">
        <w:t>.</w:t>
      </w:r>
    </w:p>
    <w:p w14:paraId="26E79A85" w14:textId="77777777" w:rsidR="00C91F6E" w:rsidRPr="00EC250C" w:rsidRDefault="00746F18" w:rsidP="00D131FA">
      <w:pPr>
        <w:pStyle w:val="Styl1"/>
        <w:rPr>
          <w:bCs/>
          <w:iCs/>
        </w:rPr>
      </w:pPr>
      <w:r w:rsidRPr="00EC250C">
        <w:rPr>
          <w:bCs/>
          <w:iCs/>
        </w:rPr>
        <w:t xml:space="preserve">Po roku od wyroku </w:t>
      </w:r>
      <w:r w:rsidR="003077C8" w:rsidRPr="00EC250C">
        <w:rPr>
          <w:bCs/>
          <w:iCs/>
        </w:rPr>
        <w:t>Trybunału Konstytucyjnego</w:t>
      </w:r>
      <w:r w:rsidR="003077C8" w:rsidRPr="00EC250C">
        <w:rPr>
          <w:rStyle w:val="Odwoanieprzypisudolnego"/>
          <w:bCs/>
          <w:iCs/>
        </w:rPr>
        <w:footnoteReference w:id="125"/>
      </w:r>
      <w:r w:rsidR="003077C8" w:rsidRPr="00EC250C">
        <w:rPr>
          <w:bCs/>
          <w:iCs/>
        </w:rPr>
        <w:t xml:space="preserve"> </w:t>
      </w:r>
      <w:r w:rsidRPr="00EC250C">
        <w:rPr>
          <w:bCs/>
          <w:iCs/>
        </w:rPr>
        <w:t xml:space="preserve">parlament przyjął </w:t>
      </w:r>
      <w:r w:rsidR="006B66E8" w:rsidRPr="00EC250C">
        <w:rPr>
          <w:bCs/>
          <w:iCs/>
        </w:rPr>
        <w:t>nowelizacj</w:t>
      </w:r>
      <w:r w:rsidR="00CE479F" w:rsidRPr="00EC250C">
        <w:rPr>
          <w:bCs/>
          <w:iCs/>
        </w:rPr>
        <w:t>ę</w:t>
      </w:r>
      <w:r w:rsidR="006B66E8" w:rsidRPr="00EC250C">
        <w:rPr>
          <w:bCs/>
          <w:iCs/>
        </w:rPr>
        <w:t xml:space="preserve"> </w:t>
      </w:r>
      <w:r w:rsidR="00C73F45" w:rsidRPr="00EC250C">
        <w:rPr>
          <w:bCs/>
          <w:iCs/>
        </w:rPr>
        <w:t>ustawy</w:t>
      </w:r>
      <w:r w:rsidR="00992FD0" w:rsidRPr="00EC250C">
        <w:rPr>
          <w:bCs/>
          <w:iCs/>
        </w:rPr>
        <w:t xml:space="preserve"> o </w:t>
      </w:r>
      <w:r w:rsidR="00C73F45" w:rsidRPr="00EC250C">
        <w:rPr>
          <w:bCs/>
          <w:iCs/>
        </w:rPr>
        <w:t>Policji</w:t>
      </w:r>
      <w:r w:rsidRPr="00EC250C">
        <w:rPr>
          <w:bCs/>
          <w:iCs/>
        </w:rPr>
        <w:t xml:space="preserve">, która zdaniem RPO realizuje zalecenia TK </w:t>
      </w:r>
      <w:r w:rsidR="006B66E8" w:rsidRPr="00EC250C">
        <w:rPr>
          <w:bCs/>
          <w:iCs/>
        </w:rPr>
        <w:t>tylko</w:t>
      </w:r>
      <w:r w:rsidR="00992FD0" w:rsidRPr="00EC250C">
        <w:rPr>
          <w:bCs/>
          <w:iCs/>
        </w:rPr>
        <w:t xml:space="preserve"> w </w:t>
      </w:r>
      <w:r w:rsidR="006B66E8" w:rsidRPr="00EC250C">
        <w:rPr>
          <w:bCs/>
          <w:iCs/>
        </w:rPr>
        <w:t>pewnym stopniu</w:t>
      </w:r>
      <w:r w:rsidRPr="00EC250C">
        <w:rPr>
          <w:rStyle w:val="Odwoanieprzypisudolnego"/>
          <w:bCs/>
          <w:iCs/>
        </w:rPr>
        <w:footnoteReference w:id="126"/>
      </w:r>
      <w:r w:rsidR="00C73F45" w:rsidRPr="00EC250C">
        <w:rPr>
          <w:bCs/>
          <w:iCs/>
        </w:rPr>
        <w:t>.</w:t>
      </w:r>
    </w:p>
    <w:p w14:paraId="1E1FB836" w14:textId="77777777" w:rsidR="00C91F6E" w:rsidRPr="00EC250C" w:rsidRDefault="00CE479F" w:rsidP="00D131FA">
      <w:pPr>
        <w:pStyle w:val="Styl1"/>
        <w:rPr>
          <w:bCs/>
          <w:iCs/>
        </w:rPr>
      </w:pPr>
      <w:r w:rsidRPr="00EC250C">
        <w:rPr>
          <w:bCs/>
          <w:iCs/>
        </w:rPr>
        <w:t>W sposób szczegółowy reguluje tryb przeszukania osoby</w:t>
      </w:r>
      <w:r w:rsidR="00992FD0" w:rsidRPr="00EC250C">
        <w:rPr>
          <w:bCs/>
          <w:iCs/>
        </w:rPr>
        <w:t xml:space="preserve"> i </w:t>
      </w:r>
      <w:r w:rsidRPr="00EC250C">
        <w:rPr>
          <w:bCs/>
          <w:iCs/>
        </w:rPr>
        <w:t>bagażu (dotychczas materia ta precyzowana była jedynie</w:t>
      </w:r>
      <w:r w:rsidR="00992FD0" w:rsidRPr="00EC250C">
        <w:rPr>
          <w:bCs/>
          <w:iCs/>
        </w:rPr>
        <w:t xml:space="preserve"> w </w:t>
      </w:r>
      <w:r w:rsidRPr="00EC250C">
        <w:rPr>
          <w:bCs/>
          <w:iCs/>
        </w:rPr>
        <w:t>rozporządzeniu). Przewiduje także możliwość złożenia zażalenia na przeszukanie do sądu rejonowego (za pośrednictwem jednostki służby mundurowej, która dokonała przeszukania).</w:t>
      </w:r>
    </w:p>
    <w:p w14:paraId="41EAA591" w14:textId="77777777" w:rsidR="00C91F6E" w:rsidRPr="00EC250C" w:rsidRDefault="00CE479F" w:rsidP="00D131FA">
      <w:pPr>
        <w:pStyle w:val="Styl1"/>
        <w:rPr>
          <w:bCs/>
          <w:iCs/>
        </w:rPr>
      </w:pPr>
      <w:r w:rsidRPr="00EC250C">
        <w:rPr>
          <w:bCs/>
          <w:iCs/>
        </w:rPr>
        <w:t>Jednakże jedyną konsekwencją uwzględnienia przez sąd zażalenia jest zawiadomienie</w:t>
      </w:r>
      <w:r w:rsidR="00992FD0" w:rsidRPr="00EC250C">
        <w:rPr>
          <w:bCs/>
          <w:iCs/>
        </w:rPr>
        <w:t xml:space="preserve"> o </w:t>
      </w:r>
      <w:r w:rsidRPr="00EC250C">
        <w:rPr>
          <w:bCs/>
          <w:iCs/>
        </w:rPr>
        <w:t>tym prokuratora</w:t>
      </w:r>
      <w:r w:rsidR="00992FD0" w:rsidRPr="00EC250C">
        <w:rPr>
          <w:bCs/>
          <w:iCs/>
        </w:rPr>
        <w:t xml:space="preserve"> i </w:t>
      </w:r>
      <w:r w:rsidRPr="00EC250C">
        <w:rPr>
          <w:bCs/>
          <w:iCs/>
        </w:rPr>
        <w:t>kierownika jednostki służby nadrzędnej.</w:t>
      </w:r>
    </w:p>
    <w:p w14:paraId="61DE7D1F" w14:textId="77777777" w:rsidR="006B66E8" w:rsidRPr="00EC250C" w:rsidRDefault="00C73F45" w:rsidP="00D131FA">
      <w:pPr>
        <w:pStyle w:val="Styl1"/>
        <w:rPr>
          <w:bCs/>
          <w:iCs/>
        </w:rPr>
      </w:pPr>
      <w:r w:rsidRPr="00EC250C">
        <w:rPr>
          <w:bCs/>
          <w:iCs/>
        </w:rPr>
        <w:lastRenderedPageBreak/>
        <w:t xml:space="preserve">Co prawda </w:t>
      </w:r>
      <w:r w:rsidR="00746F18" w:rsidRPr="00EC250C">
        <w:rPr>
          <w:bCs/>
          <w:iCs/>
        </w:rPr>
        <w:t xml:space="preserve">obywatelowi </w:t>
      </w:r>
      <w:r w:rsidRPr="00EC250C">
        <w:rPr>
          <w:bCs/>
          <w:iCs/>
        </w:rPr>
        <w:t>przysługiwać będzie</w:t>
      </w:r>
      <w:r w:rsidR="00992FD0" w:rsidRPr="00EC250C">
        <w:rPr>
          <w:bCs/>
          <w:iCs/>
        </w:rPr>
        <w:t xml:space="preserve"> w </w:t>
      </w:r>
      <w:r w:rsidR="00746F18" w:rsidRPr="00EC250C">
        <w:rPr>
          <w:bCs/>
          <w:iCs/>
        </w:rPr>
        <w:t xml:space="preserve">takiej sytuacji </w:t>
      </w:r>
      <w:r w:rsidRPr="00EC250C">
        <w:rPr>
          <w:bCs/>
          <w:iCs/>
        </w:rPr>
        <w:t>prawo dochodzenia zadośćuczynienia lub odszkodowania na drodze cywilnej, lecz odbywać się to będzie musiało</w:t>
      </w:r>
      <w:r w:rsidR="00992FD0" w:rsidRPr="00EC250C">
        <w:rPr>
          <w:bCs/>
          <w:iCs/>
        </w:rPr>
        <w:t xml:space="preserve"> w </w:t>
      </w:r>
      <w:r w:rsidRPr="00EC250C">
        <w:rPr>
          <w:bCs/>
          <w:iCs/>
        </w:rPr>
        <w:t xml:space="preserve">ramach odrębnego postępowania. </w:t>
      </w:r>
      <w:r w:rsidR="00073A8C" w:rsidRPr="00EC250C">
        <w:rPr>
          <w:bCs/>
          <w:iCs/>
        </w:rPr>
        <w:t xml:space="preserve">RPO </w:t>
      </w:r>
      <w:r w:rsidR="00746F18" w:rsidRPr="00EC250C">
        <w:rPr>
          <w:bCs/>
          <w:iCs/>
        </w:rPr>
        <w:t>postulował</w:t>
      </w:r>
      <w:r w:rsidR="00746F18" w:rsidRPr="00EC250C">
        <w:rPr>
          <w:rStyle w:val="Odwoanieprzypisudolnego"/>
          <w:bCs/>
          <w:iCs/>
        </w:rPr>
        <w:footnoteReference w:id="127"/>
      </w:r>
      <w:r w:rsidR="00CC4D88" w:rsidRPr="00EC250C">
        <w:rPr>
          <w:bCs/>
          <w:iCs/>
        </w:rPr>
        <w:t xml:space="preserve"> </w:t>
      </w:r>
      <w:r w:rsidR="00746F18" w:rsidRPr="00EC250C">
        <w:rPr>
          <w:bCs/>
          <w:iCs/>
        </w:rPr>
        <w:t>– bezskutecznie – by</w:t>
      </w:r>
      <w:r w:rsidR="00992FD0" w:rsidRPr="00EC250C">
        <w:rPr>
          <w:bCs/>
          <w:iCs/>
        </w:rPr>
        <w:t xml:space="preserve"> w </w:t>
      </w:r>
      <w:r w:rsidR="00746F18" w:rsidRPr="00EC250C">
        <w:rPr>
          <w:bCs/>
          <w:iCs/>
        </w:rPr>
        <w:t xml:space="preserve">takiej sytuacji sąd mógł od razu </w:t>
      </w:r>
      <w:r w:rsidRPr="00EC250C">
        <w:rPr>
          <w:bCs/>
          <w:iCs/>
        </w:rPr>
        <w:t>przyzna</w:t>
      </w:r>
      <w:r w:rsidR="00746F18" w:rsidRPr="00EC250C">
        <w:rPr>
          <w:bCs/>
          <w:iCs/>
        </w:rPr>
        <w:t>wać</w:t>
      </w:r>
      <w:r w:rsidRPr="00EC250C">
        <w:rPr>
          <w:bCs/>
          <w:iCs/>
        </w:rPr>
        <w:t xml:space="preserve"> odszkodowani</w:t>
      </w:r>
      <w:r w:rsidR="00746F18" w:rsidRPr="00EC250C">
        <w:rPr>
          <w:bCs/>
          <w:iCs/>
        </w:rPr>
        <w:t>e</w:t>
      </w:r>
      <w:r w:rsidRPr="00EC250C">
        <w:rPr>
          <w:bCs/>
          <w:iCs/>
        </w:rPr>
        <w:t xml:space="preserve"> lub zadośćuczynieni</w:t>
      </w:r>
      <w:r w:rsidR="00746F18" w:rsidRPr="00EC250C">
        <w:rPr>
          <w:bCs/>
          <w:iCs/>
        </w:rPr>
        <w:t>e</w:t>
      </w:r>
      <w:r w:rsidRPr="00EC250C">
        <w:rPr>
          <w:bCs/>
          <w:iCs/>
        </w:rPr>
        <w:t xml:space="preserve">. </w:t>
      </w:r>
      <w:r w:rsidR="003D5003" w:rsidRPr="00EC250C">
        <w:rPr>
          <w:bCs/>
          <w:iCs/>
        </w:rPr>
        <w:t>Komisja senacka</w:t>
      </w:r>
      <w:r w:rsidR="00992FD0" w:rsidRPr="00EC250C">
        <w:rPr>
          <w:bCs/>
          <w:iCs/>
        </w:rPr>
        <w:t xml:space="preserve"> w </w:t>
      </w:r>
      <w:r w:rsidR="003D5003" w:rsidRPr="00EC250C">
        <w:rPr>
          <w:bCs/>
          <w:iCs/>
        </w:rPr>
        <w:t>grudniu 2018</w:t>
      </w:r>
      <w:r w:rsidR="00C91F6E" w:rsidRPr="00EC250C">
        <w:rPr>
          <w:bCs/>
          <w:iCs/>
        </w:rPr>
        <w:t> r.</w:t>
      </w:r>
      <w:r w:rsidR="003D5003" w:rsidRPr="00EC250C">
        <w:rPr>
          <w:bCs/>
          <w:iCs/>
        </w:rPr>
        <w:t xml:space="preserve"> nad projektem zmian nie przyjęła argumentów RPO.</w:t>
      </w:r>
    </w:p>
    <w:bookmarkEnd w:id="139"/>
    <w:p w14:paraId="2F72F91C" w14:textId="77777777" w:rsidR="00B84BD7" w:rsidRPr="00EC250C" w:rsidRDefault="00B84BD7" w:rsidP="00D131FA">
      <w:pPr>
        <w:pStyle w:val="ODESANIE"/>
        <w:jc w:val="both"/>
      </w:pPr>
      <w:r w:rsidRPr="00EC250C">
        <w:t>Brak kontroli s</w:t>
      </w:r>
      <w:r w:rsidRPr="00EC250C">
        <w:rPr>
          <w:rFonts w:hint="eastAsia"/>
        </w:rPr>
        <w:t>ą</w:t>
      </w:r>
      <w:r w:rsidRPr="00EC250C">
        <w:t>dowej przeszuka</w:t>
      </w:r>
      <w:r w:rsidRPr="00EC250C">
        <w:rPr>
          <w:rFonts w:hint="eastAsia"/>
        </w:rPr>
        <w:t>ń</w:t>
      </w:r>
      <w:r w:rsidR="00992FD0" w:rsidRPr="00EC250C">
        <w:t xml:space="preserve"> i </w:t>
      </w:r>
      <w:r w:rsidRPr="00EC250C">
        <w:t>kontroli osobistej prowadzonych przez s</w:t>
      </w:r>
      <w:r w:rsidRPr="00EC250C">
        <w:rPr>
          <w:rFonts w:hint="eastAsia"/>
        </w:rPr>
        <w:t>ł</w:t>
      </w:r>
      <w:r w:rsidRPr="00EC250C">
        <w:t>u</w:t>
      </w:r>
      <w:r w:rsidRPr="00EC250C">
        <w:rPr>
          <w:rFonts w:hint="eastAsia"/>
        </w:rPr>
        <w:t>ż</w:t>
      </w:r>
      <w:r w:rsidRPr="00EC250C">
        <w:t>by celno-skarbowe</w:t>
      </w:r>
      <w:r w:rsidR="00992FD0" w:rsidRPr="00EC250C">
        <w:t xml:space="preserve"> i </w:t>
      </w:r>
      <w:r w:rsidRPr="00EC250C">
        <w:t>funkcjonariuszy SOP – patrz art. 77 ust. 2 Konstytucji</w:t>
      </w:r>
    </w:p>
    <w:p w14:paraId="68CB81C2" w14:textId="77777777" w:rsidR="00247988" w:rsidRPr="00EC250C" w:rsidRDefault="00247988" w:rsidP="00EC250C">
      <w:pPr>
        <w:pStyle w:val="Nagwek8"/>
        <w:rPr>
          <w:spacing w:val="0"/>
        </w:rPr>
      </w:pPr>
      <w:r w:rsidRPr="00EC250C">
        <w:t>RPO podjął sprawę zatrzymania b</w:t>
      </w:r>
      <w:r w:rsidR="005A364A" w:rsidRPr="00EC250C">
        <w:t>yłych</w:t>
      </w:r>
      <w:r w:rsidRPr="00EC250C">
        <w:t xml:space="preserve"> szefów KNF</w:t>
      </w:r>
    </w:p>
    <w:p w14:paraId="623DE077" w14:textId="77777777" w:rsidR="00247988" w:rsidRPr="00EC250C" w:rsidRDefault="00247988" w:rsidP="00D131FA">
      <w:pPr>
        <w:pStyle w:val="Styl2"/>
        <w:rPr>
          <w:szCs w:val="24"/>
        </w:rPr>
      </w:pPr>
      <w:r w:rsidRPr="00EC250C">
        <w:rPr>
          <w:szCs w:val="24"/>
        </w:rPr>
        <w:t>Rzecznik Praw Obywatelskich podjął sprawę zatrzymania byłego wiceprzewodniczącego Komisji Nadzoru Finansowego Wojciecha Kwaśniaka oraz kilkorga innych pracowników KNF,</w:t>
      </w:r>
      <w:r w:rsidR="00992FD0" w:rsidRPr="00EC250C">
        <w:rPr>
          <w:szCs w:val="24"/>
        </w:rPr>
        <w:t xml:space="preserve"> w </w:t>
      </w:r>
      <w:r w:rsidRPr="00EC250C">
        <w:rPr>
          <w:szCs w:val="24"/>
        </w:rPr>
        <w:t>tym b</w:t>
      </w:r>
      <w:r w:rsidR="005A364A" w:rsidRPr="00EC250C">
        <w:rPr>
          <w:szCs w:val="24"/>
        </w:rPr>
        <w:t>yłego</w:t>
      </w:r>
      <w:r w:rsidRPr="00EC250C">
        <w:rPr>
          <w:szCs w:val="24"/>
        </w:rPr>
        <w:t xml:space="preserve"> jej przewodniczącego Andrzeja Jakubiaka.</w:t>
      </w:r>
    </w:p>
    <w:p w14:paraId="7AD93222" w14:textId="4FEAA884" w:rsidR="00C91F6E" w:rsidRPr="00EC250C" w:rsidRDefault="00B04745" w:rsidP="00D131FA">
      <w:pPr>
        <w:pStyle w:val="Styl2"/>
        <w:rPr>
          <w:szCs w:val="24"/>
        </w:rPr>
      </w:pPr>
      <w:r w:rsidRPr="00EC250C">
        <w:rPr>
          <w:szCs w:val="24"/>
        </w:rPr>
        <w:t>RPO</w:t>
      </w:r>
      <w:r w:rsidR="00247988" w:rsidRPr="00EC250C">
        <w:rPr>
          <w:szCs w:val="24"/>
        </w:rPr>
        <w:t xml:space="preserve"> wystąpił</w:t>
      </w:r>
      <w:r w:rsidR="00992FD0" w:rsidRPr="00EC250C">
        <w:rPr>
          <w:szCs w:val="24"/>
        </w:rPr>
        <w:t xml:space="preserve"> o </w:t>
      </w:r>
      <w:r w:rsidR="00247988" w:rsidRPr="00EC250C">
        <w:rPr>
          <w:szCs w:val="24"/>
        </w:rPr>
        <w:t>informacje dotyczące podstaw prawnych oraz przesłanek zatrzymań</w:t>
      </w:r>
      <w:r w:rsidR="00992FD0" w:rsidRPr="00EC250C">
        <w:rPr>
          <w:szCs w:val="24"/>
        </w:rPr>
        <w:t xml:space="preserve"> i </w:t>
      </w:r>
      <w:r w:rsidR="00247988" w:rsidRPr="00EC250C">
        <w:rPr>
          <w:szCs w:val="24"/>
        </w:rPr>
        <w:t>okoliczności ich realizacji.</w:t>
      </w:r>
      <w:r w:rsidR="00023DE2" w:rsidRPr="00EC250C">
        <w:rPr>
          <w:szCs w:val="24"/>
        </w:rPr>
        <w:t xml:space="preserve"> W lutym 2019 r. Sąd Rejonowy w Szczecinie uznał zatrzymanie przeprowadzone przez CBA za bezpodstawne, ponieważ nie istniało duże prawdopodobieństwo popełnienia czynu zabronionego: nie było podstaw do postawienia zarzutów, podobie jak do zastosowania środków zapobiegawczych.</w:t>
      </w:r>
    </w:p>
    <w:p w14:paraId="79653AAF" w14:textId="27864067" w:rsidR="00247988" w:rsidRPr="00EC250C" w:rsidRDefault="00247988" w:rsidP="00D131FA">
      <w:pPr>
        <w:pStyle w:val="Styl2"/>
        <w:rPr>
          <w:szCs w:val="24"/>
        </w:rPr>
      </w:pPr>
      <w:r w:rsidRPr="00EC250C">
        <w:rPr>
          <w:szCs w:val="24"/>
        </w:rPr>
        <w:t>W związku</w:t>
      </w:r>
      <w:r w:rsidR="00992FD0" w:rsidRPr="00EC250C">
        <w:rPr>
          <w:szCs w:val="24"/>
        </w:rPr>
        <w:t xml:space="preserve"> z </w:t>
      </w:r>
      <w:r w:rsidRPr="00EC250C">
        <w:rPr>
          <w:szCs w:val="24"/>
        </w:rPr>
        <w:t>tym, że przy okazji zatrzymania media nagłośniły sprawę ciężkiego pobicia Wojciecha Kwaśniaka</w:t>
      </w:r>
      <w:r w:rsidR="00992FD0" w:rsidRPr="00EC250C">
        <w:rPr>
          <w:szCs w:val="24"/>
        </w:rPr>
        <w:t xml:space="preserve"> w </w:t>
      </w:r>
      <w:r w:rsidRPr="00EC250C">
        <w:rPr>
          <w:szCs w:val="24"/>
        </w:rPr>
        <w:t>2014</w:t>
      </w:r>
      <w:r w:rsidR="00C91F6E" w:rsidRPr="00EC250C">
        <w:rPr>
          <w:szCs w:val="24"/>
        </w:rPr>
        <w:t> r.</w:t>
      </w:r>
      <w:r w:rsidRPr="00EC250C">
        <w:rPr>
          <w:szCs w:val="24"/>
        </w:rPr>
        <w:t xml:space="preserve">, </w:t>
      </w:r>
      <w:r w:rsidR="00073A8C" w:rsidRPr="00EC250C">
        <w:rPr>
          <w:szCs w:val="24"/>
        </w:rPr>
        <w:t>RPO</w:t>
      </w:r>
      <w:r w:rsidRPr="00EC250C">
        <w:rPr>
          <w:szCs w:val="24"/>
        </w:rPr>
        <w:t xml:space="preserve"> wystąpił do Prokuratury Krajowej</w:t>
      </w:r>
      <w:r w:rsidR="00992FD0" w:rsidRPr="00EC250C">
        <w:rPr>
          <w:szCs w:val="24"/>
        </w:rPr>
        <w:t xml:space="preserve"> o </w:t>
      </w:r>
      <w:r w:rsidRPr="00EC250C">
        <w:rPr>
          <w:szCs w:val="24"/>
        </w:rPr>
        <w:t>informacje, jaki jest obecny stan postępowania</w:t>
      </w:r>
      <w:r w:rsidR="00992FD0" w:rsidRPr="00EC250C">
        <w:rPr>
          <w:szCs w:val="24"/>
        </w:rPr>
        <w:t xml:space="preserve"> w </w:t>
      </w:r>
      <w:r w:rsidRPr="00EC250C">
        <w:rPr>
          <w:szCs w:val="24"/>
        </w:rPr>
        <w:t>tej sprawie</w:t>
      </w:r>
      <w:r w:rsidRPr="00EC250C">
        <w:rPr>
          <w:rStyle w:val="Odwoanieprzypisudolnego"/>
          <w:rFonts w:ascii="Open Sans Regular" w:hAnsi="Open Sans Regular"/>
          <w:sz w:val="21"/>
          <w:szCs w:val="20"/>
        </w:rPr>
        <w:footnoteReference w:id="128"/>
      </w:r>
      <w:r w:rsidRPr="00EC250C">
        <w:rPr>
          <w:szCs w:val="24"/>
        </w:rPr>
        <w:t>.</w:t>
      </w:r>
      <w:r w:rsidR="003D5003" w:rsidRPr="00EC250C">
        <w:rPr>
          <w:szCs w:val="24"/>
        </w:rPr>
        <w:t xml:space="preserve"> </w:t>
      </w:r>
      <w:r w:rsidR="00023DE2" w:rsidRPr="00EC250C">
        <w:rPr>
          <w:szCs w:val="24"/>
        </w:rPr>
        <w:t>W styczniu 2019 r. p</w:t>
      </w:r>
      <w:r w:rsidR="003D5003" w:rsidRPr="00EC250C">
        <w:rPr>
          <w:szCs w:val="24"/>
        </w:rPr>
        <w:t>rokurator napisał, że 7</w:t>
      </w:r>
      <w:r w:rsidR="00023DE2" w:rsidRPr="00EC250C">
        <w:rPr>
          <w:szCs w:val="24"/>
        </w:rPr>
        <w:t> </w:t>
      </w:r>
      <w:r w:rsidR="003D5003" w:rsidRPr="00EC250C">
        <w:rPr>
          <w:szCs w:val="24"/>
        </w:rPr>
        <w:t>października 2015</w:t>
      </w:r>
      <w:r w:rsidR="00C91F6E" w:rsidRPr="00EC250C">
        <w:rPr>
          <w:szCs w:val="24"/>
        </w:rPr>
        <w:t> r.</w:t>
      </w:r>
      <w:r w:rsidR="003D5003" w:rsidRPr="00EC250C">
        <w:rPr>
          <w:szCs w:val="24"/>
        </w:rPr>
        <w:t xml:space="preserve"> przesłał akt oskarżenia do Sądu Rejonowego dla Warszawy-Mokotowa.</w:t>
      </w:r>
      <w:r w:rsidR="004017AC" w:rsidRPr="00EC250C">
        <w:rPr>
          <w:szCs w:val="24"/>
        </w:rPr>
        <w:t xml:space="preserve"> Sprawa przed sądem się nadal toczy.</w:t>
      </w:r>
    </w:p>
    <w:p w14:paraId="3B8940FD" w14:textId="77777777" w:rsidR="00C91F6E" w:rsidRPr="00EC250C" w:rsidRDefault="001B2599" w:rsidP="00EC79EB">
      <w:pPr>
        <w:pStyle w:val="Nagwek4"/>
      </w:pPr>
      <w:bookmarkStart w:id="142" w:name="_Toc11247587"/>
      <w:bookmarkStart w:id="143" w:name="_Toc6257680"/>
      <w:r w:rsidRPr="00EC250C">
        <w:t xml:space="preserve">Prawa mieszkańców </w:t>
      </w:r>
      <w:r w:rsidR="00F3551D" w:rsidRPr="00EC250C">
        <w:t>Krajowego Ośrodka Zapobiegania Zachowaniom Dyssocjalnym</w:t>
      </w:r>
      <w:r w:rsidR="00992FD0" w:rsidRPr="00EC250C">
        <w:t xml:space="preserve"> w </w:t>
      </w:r>
      <w:r w:rsidRPr="00EC250C">
        <w:t>Gostyninie</w:t>
      </w:r>
      <w:bookmarkEnd w:id="142"/>
    </w:p>
    <w:p w14:paraId="1B8EF5AA" w14:textId="77777777" w:rsidR="00C91F6E" w:rsidRPr="00EC250C" w:rsidRDefault="00A51A14" w:rsidP="00EC250C">
      <w:pPr>
        <w:pStyle w:val="Nagwek5"/>
      </w:pPr>
      <w:r w:rsidRPr="00EC250C">
        <w:t>Umieszczanie pacjenta</w:t>
      </w:r>
      <w:r w:rsidR="00992FD0" w:rsidRPr="00EC250C">
        <w:t xml:space="preserve"> w </w:t>
      </w:r>
      <w:r w:rsidR="001F4A0E" w:rsidRPr="00EC250C">
        <w:t>Ośrodku</w:t>
      </w:r>
      <w:r w:rsidR="00992FD0" w:rsidRPr="00EC250C">
        <w:t xml:space="preserve"> w </w:t>
      </w:r>
      <w:r w:rsidR="001F4A0E" w:rsidRPr="00EC250C">
        <w:t xml:space="preserve">Gostyninie </w:t>
      </w:r>
      <w:r w:rsidRPr="00EC250C">
        <w:t>przed orzeczeniem sąd</w:t>
      </w:r>
      <w:r w:rsidR="001F4A0E" w:rsidRPr="00EC250C">
        <w:t>u</w:t>
      </w:r>
      <w:r w:rsidR="00992FD0" w:rsidRPr="00EC250C">
        <w:t xml:space="preserve"> o </w:t>
      </w:r>
      <w:r w:rsidRPr="00EC250C">
        <w:t>zastosowaniu takiego środka zapobiegawczego</w:t>
      </w:r>
      <w:bookmarkEnd w:id="143"/>
    </w:p>
    <w:p w14:paraId="567346BC" w14:textId="77777777" w:rsidR="00B473F5" w:rsidRPr="00EC250C" w:rsidRDefault="003A4348" w:rsidP="00D131FA">
      <w:pPr>
        <w:pStyle w:val="Problemczowieka"/>
        <w:jc w:val="both"/>
      </w:pPr>
      <w:r w:rsidRPr="00EC250C">
        <w:t>W</w:t>
      </w:r>
      <w:r w:rsidR="0036437F" w:rsidRPr="00EC250C">
        <w:t xml:space="preserve"> </w:t>
      </w:r>
      <w:r w:rsidRPr="00EC250C">
        <w:t>Ośrodku</w:t>
      </w:r>
      <w:r w:rsidR="00992FD0" w:rsidRPr="00EC250C">
        <w:rPr>
          <w:bCs/>
          <w:iCs/>
        </w:rPr>
        <w:t xml:space="preserve"> w </w:t>
      </w:r>
      <w:r w:rsidR="006C378D" w:rsidRPr="00EC250C">
        <w:t xml:space="preserve">Gostyninie </w:t>
      </w:r>
      <w:r w:rsidRPr="00EC250C">
        <w:t xml:space="preserve">są bezterminowo pozbawiane wolności (już jako pacjenci) </w:t>
      </w:r>
      <w:r w:rsidR="005A364A" w:rsidRPr="00EC250C">
        <w:t>ci</w:t>
      </w:r>
      <w:r w:rsidRPr="00EC250C">
        <w:t>, któr</w:t>
      </w:r>
      <w:r w:rsidR="005A364A" w:rsidRPr="00EC250C">
        <w:t>zy</w:t>
      </w:r>
      <w:r w:rsidRPr="00EC250C">
        <w:t xml:space="preserve"> odby</w:t>
      </w:r>
      <w:r w:rsidR="005A364A" w:rsidRPr="00EC250C">
        <w:t>li</w:t>
      </w:r>
      <w:r w:rsidRPr="00EC250C">
        <w:t xml:space="preserve"> kary więzienia, ale ze względu na zaburzenia psychiczne zosta</w:t>
      </w:r>
      <w:r w:rsidR="005A364A" w:rsidRPr="00EC250C">
        <w:t>li</w:t>
      </w:r>
      <w:r w:rsidRPr="00EC250C">
        <w:t xml:space="preserve"> uznan</w:t>
      </w:r>
      <w:r w:rsidR="005A364A" w:rsidRPr="00EC250C">
        <w:t>i</w:t>
      </w:r>
      <w:r w:rsidRPr="00EC250C">
        <w:t xml:space="preserve"> za stwarzając</w:t>
      </w:r>
      <w:r w:rsidR="005A364A" w:rsidRPr="00EC250C">
        <w:t>ych</w:t>
      </w:r>
      <w:r w:rsidRPr="00EC250C">
        <w:t xml:space="preserve"> zagrożenie dla życia, zdrowia lub wolności seksualnej innych osób</w:t>
      </w:r>
      <w:r w:rsidRPr="00EC250C">
        <w:rPr>
          <w:rStyle w:val="Odwoanieprzypisudolnego"/>
          <w:bCs/>
          <w:iCs/>
        </w:rPr>
        <w:footnoteReference w:id="129"/>
      </w:r>
      <w:r w:rsidR="00B473F5" w:rsidRPr="00EC250C">
        <w:t>.</w:t>
      </w:r>
    </w:p>
    <w:p w14:paraId="1F6D7B2E" w14:textId="77777777" w:rsidR="00FD0BE3" w:rsidRPr="00EC250C" w:rsidRDefault="00F3551D" w:rsidP="00D131FA">
      <w:pPr>
        <w:pStyle w:val="Styl1"/>
        <w:rPr>
          <w:bCs/>
          <w:iCs/>
        </w:rPr>
      </w:pPr>
      <w:r w:rsidRPr="00EC250C">
        <w:rPr>
          <w:bCs/>
          <w:iCs/>
        </w:rPr>
        <w:t>Problem polega na tym, że</w:t>
      </w:r>
      <w:r w:rsidR="00992FD0" w:rsidRPr="00EC250C">
        <w:rPr>
          <w:bCs/>
          <w:iCs/>
        </w:rPr>
        <w:t xml:space="preserve"> </w:t>
      </w:r>
      <w:r w:rsidRPr="00EC250C">
        <w:rPr>
          <w:bCs/>
          <w:iCs/>
        </w:rPr>
        <w:t>nie ma jednoznacznej podstawy prawnej do umieszczenia danej osoby</w:t>
      </w:r>
      <w:r w:rsidR="00992FD0" w:rsidRPr="00EC250C">
        <w:rPr>
          <w:bCs/>
          <w:iCs/>
        </w:rPr>
        <w:t xml:space="preserve"> w </w:t>
      </w:r>
      <w:r w:rsidRPr="00EC250C">
        <w:rPr>
          <w:bCs/>
          <w:iCs/>
        </w:rPr>
        <w:t>KOZZD</w:t>
      </w:r>
      <w:r w:rsidR="00992FD0" w:rsidRPr="00EC250C">
        <w:rPr>
          <w:bCs/>
          <w:iCs/>
        </w:rPr>
        <w:t xml:space="preserve"> w </w:t>
      </w:r>
      <w:r w:rsidRPr="00EC250C">
        <w:rPr>
          <w:bCs/>
          <w:iCs/>
        </w:rPr>
        <w:t>toku postępowania, zanim sąd orzeknie, że zostały spełnione ustawowe przesłanki. Może się zatem zdarzyć, że sąd nie zdążył orzec</w:t>
      </w:r>
      <w:r w:rsidR="00992FD0" w:rsidRPr="00EC250C">
        <w:rPr>
          <w:bCs/>
          <w:iCs/>
        </w:rPr>
        <w:t xml:space="preserve"> </w:t>
      </w:r>
      <w:r w:rsidRPr="00EC250C">
        <w:rPr>
          <w:bCs/>
          <w:iCs/>
        </w:rPr>
        <w:t>skierowania do KOZZD</w:t>
      </w:r>
      <w:r w:rsidR="005A364A" w:rsidRPr="00EC250C">
        <w:rPr>
          <w:bCs/>
          <w:iCs/>
        </w:rPr>
        <w:t xml:space="preserve"> przed opuszczeniem przed daną osobę więzienia</w:t>
      </w:r>
    </w:p>
    <w:p w14:paraId="461B683B" w14:textId="77777777" w:rsidR="00C91F6E" w:rsidRPr="00EC250C" w:rsidRDefault="005A364A" w:rsidP="00D131FA">
      <w:pPr>
        <w:pStyle w:val="Styl1"/>
        <w:rPr>
          <w:bCs/>
          <w:iCs/>
        </w:rPr>
      </w:pPr>
      <w:r w:rsidRPr="00EC250C">
        <w:rPr>
          <w:bCs/>
          <w:iCs/>
        </w:rPr>
        <w:t xml:space="preserve">Dlatego </w:t>
      </w:r>
      <w:r w:rsidR="00F3551D" w:rsidRPr="00EC250C">
        <w:rPr>
          <w:bCs/>
          <w:iCs/>
        </w:rPr>
        <w:t>przyjęło się, że</w:t>
      </w:r>
      <w:r w:rsidR="00992FD0" w:rsidRPr="00EC250C">
        <w:rPr>
          <w:bCs/>
          <w:iCs/>
        </w:rPr>
        <w:t xml:space="preserve"> w </w:t>
      </w:r>
      <w:r w:rsidR="00F3551D" w:rsidRPr="00EC250C">
        <w:rPr>
          <w:bCs/>
          <w:iCs/>
        </w:rPr>
        <w:t>takich sytuacjach stosuje się odpowiednio przepisy procedury cywilnej</w:t>
      </w:r>
      <w:r w:rsidR="00992FD0" w:rsidRPr="00EC250C">
        <w:rPr>
          <w:bCs/>
          <w:iCs/>
        </w:rPr>
        <w:t xml:space="preserve"> o </w:t>
      </w:r>
      <w:r w:rsidR="00F3551D" w:rsidRPr="00EC250C">
        <w:rPr>
          <w:bCs/>
          <w:iCs/>
        </w:rPr>
        <w:t xml:space="preserve">zabezpieczeniu roszczenia. </w:t>
      </w:r>
      <w:r w:rsidRPr="00EC250C">
        <w:rPr>
          <w:bCs/>
          <w:iCs/>
        </w:rPr>
        <w:t>S</w:t>
      </w:r>
      <w:r w:rsidR="00F3551D" w:rsidRPr="00EC250C">
        <w:rPr>
          <w:bCs/>
          <w:iCs/>
        </w:rPr>
        <w:t xml:space="preserve">ądy orzekają </w:t>
      </w:r>
      <w:r w:rsidRPr="00EC250C">
        <w:rPr>
          <w:bCs/>
          <w:iCs/>
        </w:rPr>
        <w:t xml:space="preserve">w tym trybie </w:t>
      </w:r>
      <w:r w:rsidR="00F3551D" w:rsidRPr="00EC250C">
        <w:rPr>
          <w:bCs/>
          <w:iCs/>
        </w:rPr>
        <w:t>m.in.</w:t>
      </w:r>
      <w:r w:rsidR="00992FD0" w:rsidRPr="00EC250C">
        <w:rPr>
          <w:bCs/>
          <w:iCs/>
        </w:rPr>
        <w:t xml:space="preserve"> o </w:t>
      </w:r>
      <w:r w:rsidR="00F3551D" w:rsidRPr="00EC250C">
        <w:rPr>
          <w:bCs/>
          <w:iCs/>
        </w:rPr>
        <w:t>umieszczeniu</w:t>
      </w:r>
      <w:r w:rsidR="00992FD0" w:rsidRPr="00EC250C">
        <w:rPr>
          <w:bCs/>
          <w:iCs/>
        </w:rPr>
        <w:t xml:space="preserve"> w </w:t>
      </w:r>
      <w:r w:rsidR="00F3551D" w:rsidRPr="00EC250C">
        <w:rPr>
          <w:bCs/>
          <w:iCs/>
        </w:rPr>
        <w:t xml:space="preserve">ośrodku </w:t>
      </w:r>
      <w:r w:rsidR="00F3551D" w:rsidRPr="00EC250C">
        <w:rPr>
          <w:bCs/>
          <w:iCs/>
        </w:rPr>
        <w:lastRenderedPageBreak/>
        <w:t>danej osoby – na czas trwania postępowania sądowego. Sytuacja jeszcze bardziej komplikuje się, gdy Sąd Najwyższy po rozpoznaniu skargi kasacyjnej uchyli prawomocne orzeczenie sądu</w:t>
      </w:r>
      <w:r w:rsidR="00992FD0" w:rsidRPr="00EC250C">
        <w:rPr>
          <w:bCs/>
          <w:iCs/>
        </w:rPr>
        <w:t xml:space="preserve"> o </w:t>
      </w:r>
      <w:r w:rsidR="00F3551D" w:rsidRPr="00EC250C">
        <w:rPr>
          <w:bCs/>
          <w:iCs/>
        </w:rPr>
        <w:t>umieszczeniu</w:t>
      </w:r>
      <w:r w:rsidR="00992FD0" w:rsidRPr="00EC250C">
        <w:rPr>
          <w:bCs/>
          <w:iCs/>
        </w:rPr>
        <w:t xml:space="preserve"> w </w:t>
      </w:r>
      <w:r w:rsidR="00F3551D" w:rsidRPr="00EC250C">
        <w:rPr>
          <w:bCs/>
          <w:iCs/>
        </w:rPr>
        <w:t>Ośrodku –</w:t>
      </w:r>
      <w:r w:rsidR="00992FD0" w:rsidRPr="00EC250C">
        <w:rPr>
          <w:bCs/>
          <w:iCs/>
        </w:rPr>
        <w:t xml:space="preserve"> w </w:t>
      </w:r>
      <w:r w:rsidR="00F3551D" w:rsidRPr="00EC250C">
        <w:rPr>
          <w:bCs/>
          <w:iCs/>
        </w:rPr>
        <w:t>takiej bowiem sytuacji osoba umieszczona tam wcześniej</w:t>
      </w:r>
      <w:r w:rsidR="00992FD0" w:rsidRPr="00EC250C">
        <w:rPr>
          <w:bCs/>
          <w:iCs/>
        </w:rPr>
        <w:t xml:space="preserve"> w </w:t>
      </w:r>
      <w:r w:rsidR="00F3551D" w:rsidRPr="00EC250C">
        <w:rPr>
          <w:bCs/>
          <w:iCs/>
        </w:rPr>
        <w:t>trybie postanowienia</w:t>
      </w:r>
      <w:r w:rsidR="00992FD0" w:rsidRPr="00EC250C">
        <w:rPr>
          <w:bCs/>
          <w:iCs/>
        </w:rPr>
        <w:t xml:space="preserve"> o </w:t>
      </w:r>
      <w:r w:rsidR="00F3551D" w:rsidRPr="00EC250C">
        <w:rPr>
          <w:bCs/>
          <w:iCs/>
        </w:rPr>
        <w:t>zabezpieczeniu jest pozbawiona wolności bez podstawy prawnej (postanowienie</w:t>
      </w:r>
      <w:r w:rsidR="00992FD0" w:rsidRPr="00EC250C">
        <w:rPr>
          <w:bCs/>
          <w:iCs/>
        </w:rPr>
        <w:t xml:space="preserve"> o </w:t>
      </w:r>
      <w:r w:rsidR="00F3551D" w:rsidRPr="00EC250C">
        <w:rPr>
          <w:bCs/>
          <w:iCs/>
        </w:rPr>
        <w:t>zabezpieczeniu utraciło moc już</w:t>
      </w:r>
      <w:r w:rsidR="00992FD0" w:rsidRPr="00EC250C">
        <w:rPr>
          <w:bCs/>
          <w:iCs/>
        </w:rPr>
        <w:t xml:space="preserve"> z </w:t>
      </w:r>
      <w:r w:rsidR="00F3551D" w:rsidRPr="00EC250C">
        <w:rPr>
          <w:bCs/>
          <w:iCs/>
        </w:rPr>
        <w:t>chwilą wydania tego prawomocnego,</w:t>
      </w:r>
      <w:r w:rsidR="00992FD0" w:rsidRPr="00EC250C">
        <w:rPr>
          <w:bCs/>
          <w:iCs/>
        </w:rPr>
        <w:t xml:space="preserve"> a </w:t>
      </w:r>
      <w:r w:rsidR="00F3551D" w:rsidRPr="00EC250C">
        <w:rPr>
          <w:bCs/>
          <w:iCs/>
        </w:rPr>
        <w:t>następnie uchylonego przez SN orzeczenia).</w:t>
      </w:r>
    </w:p>
    <w:p w14:paraId="247A7514" w14:textId="77777777" w:rsidR="00253505" w:rsidRPr="00EC250C" w:rsidRDefault="00F3551D" w:rsidP="00D131FA">
      <w:pPr>
        <w:pStyle w:val="Styl1"/>
        <w:rPr>
          <w:bCs/>
          <w:iCs/>
        </w:rPr>
      </w:pPr>
      <w:r w:rsidRPr="00EC250C">
        <w:rPr>
          <w:bCs/>
          <w:iCs/>
        </w:rPr>
        <w:t>Uregulowania wymaga także kwestia terminów (okresu) stosowania tych środków tymczasowych, bądź przynajmniej trybu obowiązkowego badania przez sąd zasadności dalszego ich stosowania</w:t>
      </w:r>
      <w:r w:rsidR="00992FD0" w:rsidRPr="00EC250C">
        <w:rPr>
          <w:bCs/>
          <w:iCs/>
        </w:rPr>
        <w:t xml:space="preserve"> w </w:t>
      </w:r>
      <w:r w:rsidRPr="00EC250C">
        <w:rPr>
          <w:bCs/>
          <w:iCs/>
        </w:rPr>
        <w:t xml:space="preserve">trakcie postępowania. </w:t>
      </w:r>
      <w:r w:rsidR="001F4A0E" w:rsidRPr="00EC250C">
        <w:rPr>
          <w:bCs/>
          <w:iCs/>
        </w:rPr>
        <w:t>I</w:t>
      </w:r>
      <w:r w:rsidRPr="00EC250C">
        <w:rPr>
          <w:bCs/>
          <w:iCs/>
        </w:rPr>
        <w:t>ngerencja</w:t>
      </w:r>
      <w:r w:rsidR="00992FD0" w:rsidRPr="00EC250C">
        <w:rPr>
          <w:bCs/>
          <w:iCs/>
        </w:rPr>
        <w:t xml:space="preserve"> w </w:t>
      </w:r>
      <w:r w:rsidRPr="00EC250C">
        <w:rPr>
          <w:bCs/>
          <w:iCs/>
        </w:rPr>
        <w:t>konstytucyjnie gwarantowaną wolność jednostki musi spełniać najwyższe standardy jeśli chodzi</w:t>
      </w:r>
      <w:r w:rsidR="00992FD0" w:rsidRPr="00EC250C">
        <w:rPr>
          <w:bCs/>
          <w:iCs/>
        </w:rPr>
        <w:t xml:space="preserve"> o </w:t>
      </w:r>
      <w:r w:rsidRPr="00EC250C">
        <w:rPr>
          <w:bCs/>
          <w:iCs/>
        </w:rPr>
        <w:t>precyzyjność regulacji prawnej.</w:t>
      </w:r>
    </w:p>
    <w:p w14:paraId="08EA4B59" w14:textId="77777777" w:rsidR="00147B4B" w:rsidRPr="00EC250C" w:rsidRDefault="00073A8C" w:rsidP="00D131FA">
      <w:pPr>
        <w:pStyle w:val="Styl1"/>
      </w:pPr>
      <w:r w:rsidRPr="00EC250C">
        <w:rPr>
          <w:bCs/>
          <w:iCs/>
        </w:rPr>
        <w:t>RPO</w:t>
      </w:r>
      <w:r w:rsidR="00147B4B" w:rsidRPr="00EC250C">
        <w:rPr>
          <w:bCs/>
          <w:iCs/>
        </w:rPr>
        <w:t xml:space="preserve"> ponawia</w:t>
      </w:r>
      <w:r w:rsidR="00147B4B" w:rsidRPr="00EC250C">
        <w:rPr>
          <w:rStyle w:val="Odwoanieprzypisudolnego"/>
          <w:bCs/>
          <w:iCs/>
        </w:rPr>
        <w:footnoteReference w:id="130"/>
      </w:r>
      <w:r w:rsidR="00147B4B" w:rsidRPr="00EC250C">
        <w:rPr>
          <w:bCs/>
          <w:iCs/>
        </w:rPr>
        <w:t xml:space="preserve"> wystąpienie</w:t>
      </w:r>
      <w:r w:rsidR="00992FD0" w:rsidRPr="00EC250C">
        <w:rPr>
          <w:bCs/>
          <w:iCs/>
        </w:rPr>
        <w:t xml:space="preserve"> w </w:t>
      </w:r>
      <w:r w:rsidR="00147B4B" w:rsidRPr="00EC250C">
        <w:rPr>
          <w:bCs/>
          <w:iCs/>
        </w:rPr>
        <w:t xml:space="preserve">tej sprawie, ponieważ nie dostaje odpowiedzi od </w:t>
      </w:r>
      <w:r w:rsidR="00E315B8" w:rsidRPr="00EC250C">
        <w:rPr>
          <w:bCs/>
          <w:iCs/>
        </w:rPr>
        <w:t>Ministr</w:t>
      </w:r>
      <w:r w:rsidR="00147B4B" w:rsidRPr="00EC250C">
        <w:rPr>
          <w:bCs/>
          <w:iCs/>
        </w:rPr>
        <w:t>a</w:t>
      </w:r>
      <w:r w:rsidR="00E315B8" w:rsidRPr="00EC250C">
        <w:rPr>
          <w:bCs/>
          <w:iCs/>
        </w:rPr>
        <w:t xml:space="preserve"> Sprawiedliwości</w:t>
      </w:r>
      <w:r w:rsidR="00147B4B" w:rsidRPr="00EC250C">
        <w:rPr>
          <w:bCs/>
          <w:iCs/>
        </w:rPr>
        <w:t>. Nie otrzymał jej także</w:t>
      </w:r>
      <w:r w:rsidR="00992FD0" w:rsidRPr="00EC250C">
        <w:rPr>
          <w:bCs/>
          <w:iCs/>
        </w:rPr>
        <w:t xml:space="preserve"> w </w:t>
      </w:r>
      <w:r w:rsidR="00147B4B" w:rsidRPr="00EC250C">
        <w:rPr>
          <w:bCs/>
          <w:iCs/>
        </w:rPr>
        <w:t>2018</w:t>
      </w:r>
      <w:r w:rsidR="00C91F6E" w:rsidRPr="00EC250C">
        <w:rPr>
          <w:bCs/>
          <w:iCs/>
        </w:rPr>
        <w:t> r.</w:t>
      </w:r>
    </w:p>
    <w:p w14:paraId="1F5948F6" w14:textId="77777777" w:rsidR="003A4348" w:rsidRPr="00EC250C" w:rsidRDefault="003A4348" w:rsidP="00EC250C">
      <w:pPr>
        <w:pStyle w:val="Nagwek5"/>
      </w:pPr>
      <w:bookmarkStart w:id="144" w:name="_Toc6257681"/>
      <w:r w:rsidRPr="00EC250C">
        <w:t>Stosowanie</w:t>
      </w:r>
      <w:r w:rsidR="00992FD0" w:rsidRPr="00EC250C">
        <w:t xml:space="preserve"> w </w:t>
      </w:r>
      <w:r w:rsidRPr="00EC250C">
        <w:t>postępowaniu</w:t>
      </w:r>
      <w:r w:rsidR="00992FD0" w:rsidRPr="00EC250C">
        <w:t xml:space="preserve"> o </w:t>
      </w:r>
      <w:r w:rsidRPr="00EC250C">
        <w:t>uznanie osoby za stwarzającą zagrożenie przepisów Kodeksu postępowania cywilnego</w:t>
      </w:r>
      <w:r w:rsidR="00992FD0" w:rsidRPr="00EC250C">
        <w:t xml:space="preserve"> o </w:t>
      </w:r>
      <w:r w:rsidRPr="00EC250C">
        <w:t xml:space="preserve">postępowaniu zabezpieczającym </w:t>
      </w:r>
      <w:r w:rsidR="00A51A14" w:rsidRPr="00EC250C">
        <w:t>– KOZZD</w:t>
      </w:r>
      <w:r w:rsidR="00992FD0" w:rsidRPr="00EC250C">
        <w:t xml:space="preserve"> w </w:t>
      </w:r>
      <w:r w:rsidR="00A51A14" w:rsidRPr="00EC250C">
        <w:t>Gostyninie</w:t>
      </w:r>
      <w:bookmarkEnd w:id="144"/>
    </w:p>
    <w:p w14:paraId="3F50BE9D" w14:textId="77777777" w:rsidR="00B473F5" w:rsidRPr="00EC250C" w:rsidRDefault="003A4348" w:rsidP="00D131FA">
      <w:pPr>
        <w:pStyle w:val="Problemczowieka"/>
        <w:jc w:val="both"/>
      </w:pPr>
      <w:r w:rsidRPr="00EC250C">
        <w:t>Czy przepisy</w:t>
      </w:r>
      <w:r w:rsidR="00992FD0" w:rsidRPr="00EC250C">
        <w:t xml:space="preserve"> o </w:t>
      </w:r>
      <w:r w:rsidRPr="00EC250C">
        <w:t>zabezpieczeniu mogą być podstawą umieszczania</w:t>
      </w:r>
      <w:r w:rsidR="00992FD0" w:rsidRPr="00EC250C">
        <w:t xml:space="preserve"> w </w:t>
      </w:r>
      <w:r w:rsidRPr="00EC250C">
        <w:t>ośrodku</w:t>
      </w:r>
      <w:r w:rsidR="00992FD0" w:rsidRPr="00EC250C">
        <w:t xml:space="preserve"> w </w:t>
      </w:r>
      <w:r w:rsidRPr="00EC250C">
        <w:t xml:space="preserve">Gostyninie? </w:t>
      </w:r>
      <w:r w:rsidR="00183348" w:rsidRPr="00EC250C">
        <w:t>Sąd Najwyższy uznał, że nie</w:t>
      </w:r>
      <w:r w:rsidR="00B473F5" w:rsidRPr="00EC250C">
        <w:t>.</w:t>
      </w:r>
    </w:p>
    <w:p w14:paraId="17AD5E2F" w14:textId="77777777" w:rsidR="003A4348" w:rsidRPr="00EC250C" w:rsidRDefault="003A4348" w:rsidP="00D131FA">
      <w:pPr>
        <w:pStyle w:val="Styl1"/>
      </w:pPr>
      <w:r w:rsidRPr="00EC250C">
        <w:t>Jeden</w:t>
      </w:r>
      <w:r w:rsidR="00992FD0" w:rsidRPr="00EC250C">
        <w:t xml:space="preserve"> z </w:t>
      </w:r>
      <w:r w:rsidRPr="00EC250C">
        <w:t>sądów apelacyjnych przedstawił Izbie Cywilnej Sądu Najwyższego pytanie prawne (sygn. III CZP 75/18)</w:t>
      </w:r>
      <w:r w:rsidR="003077C8" w:rsidRPr="00EC250C">
        <w:t>.</w:t>
      </w:r>
      <w:r w:rsidRPr="00EC250C">
        <w:t> </w:t>
      </w:r>
      <w:r w:rsidR="003077C8" w:rsidRPr="00EC250C">
        <w:t>N</w:t>
      </w:r>
      <w:r w:rsidRPr="00EC250C">
        <w:t xml:space="preserve">abrał </w:t>
      </w:r>
      <w:r w:rsidR="003077C8" w:rsidRPr="00EC250C">
        <w:t xml:space="preserve">bowiem </w:t>
      </w:r>
      <w:r w:rsidRPr="00EC250C">
        <w:t>wątpliwości co do dopuszczalności stosowania przepisów Kodeksu postępowania cywilnego</w:t>
      </w:r>
      <w:r w:rsidR="00992FD0" w:rsidRPr="00EC250C">
        <w:t xml:space="preserve"> o </w:t>
      </w:r>
      <w:r w:rsidRPr="00EC250C">
        <w:t>postępowaniu zabezpieczającym</w:t>
      </w:r>
      <w:r w:rsidR="00992FD0" w:rsidRPr="00EC250C">
        <w:t xml:space="preserve"> w </w:t>
      </w:r>
      <w:r w:rsidR="003077C8" w:rsidRPr="00EC250C">
        <w:t>sprawie umieszczania kogoś</w:t>
      </w:r>
      <w:r w:rsidR="00992FD0" w:rsidRPr="00EC250C">
        <w:t xml:space="preserve"> w </w:t>
      </w:r>
      <w:r w:rsidR="003077C8" w:rsidRPr="00EC250C">
        <w:t>Gostyninie</w:t>
      </w:r>
      <w:r w:rsidRPr="00EC250C">
        <w:t xml:space="preserve">. </w:t>
      </w:r>
      <w:r w:rsidRPr="00EC250C">
        <w:rPr>
          <w:rStyle w:val="Pogrubienie"/>
          <w:b w:val="0"/>
          <w:bCs w:val="0"/>
        </w:rPr>
        <w:t>RPO zgłosił udział</w:t>
      </w:r>
      <w:r w:rsidR="00992FD0" w:rsidRPr="00EC250C">
        <w:rPr>
          <w:rStyle w:val="Pogrubienie"/>
          <w:b w:val="0"/>
          <w:bCs w:val="0"/>
        </w:rPr>
        <w:t xml:space="preserve"> w </w:t>
      </w:r>
      <w:r w:rsidRPr="00EC250C">
        <w:rPr>
          <w:rStyle w:val="Pogrubienie"/>
          <w:b w:val="0"/>
          <w:bCs w:val="0"/>
        </w:rPr>
        <w:t>tym postępowaniu</w:t>
      </w:r>
      <w:r w:rsidRPr="00EC250C">
        <w:rPr>
          <w:rStyle w:val="Odwoanieprzypisudolnego"/>
          <w:rFonts w:eastAsia="Calibri"/>
          <w:bCs/>
          <w:iCs/>
          <w:spacing w:val="0"/>
          <w:szCs w:val="24"/>
          <w:lang w:eastAsia="zh-CN" w:bidi="hi-IN"/>
        </w:rPr>
        <w:footnoteReference w:id="131"/>
      </w:r>
      <w:r w:rsidRPr="00EC250C">
        <w:rPr>
          <w:rStyle w:val="Pogrubienie"/>
          <w:b w:val="0"/>
          <w:bCs w:val="0"/>
        </w:rPr>
        <w:t>. Powołał się na przypadki dwóch osób, które</w:t>
      </w:r>
      <w:r w:rsidR="00992FD0" w:rsidRPr="00EC250C">
        <w:rPr>
          <w:rStyle w:val="Pogrubienie"/>
          <w:b w:val="0"/>
          <w:bCs w:val="0"/>
        </w:rPr>
        <w:t xml:space="preserve"> w </w:t>
      </w:r>
      <w:r w:rsidRPr="00EC250C">
        <w:rPr>
          <w:rStyle w:val="Pogrubienie"/>
          <w:b w:val="0"/>
          <w:bCs w:val="0"/>
        </w:rPr>
        <w:t>Gostyninie przebywały bez podstawy prawnej – po tym, gdy Sąd Najwyższy uchylił orzeczenia sądów apelacyjnych, zwracając sprawy do</w:t>
      </w:r>
      <w:r w:rsidR="00CC4D88" w:rsidRPr="00EC250C">
        <w:rPr>
          <w:rStyle w:val="Pogrubienie"/>
          <w:b w:val="0"/>
          <w:bCs w:val="0"/>
        </w:rPr>
        <w:t xml:space="preserve"> </w:t>
      </w:r>
      <w:r w:rsidRPr="00EC250C">
        <w:rPr>
          <w:rStyle w:val="Pogrubienie"/>
          <w:b w:val="0"/>
          <w:bCs w:val="0"/>
        </w:rPr>
        <w:t>ponownego rozpatrzenia</w:t>
      </w:r>
      <w:r w:rsidR="00FB48CA" w:rsidRPr="00EC250C">
        <w:rPr>
          <w:rStyle w:val="Pogrubienie"/>
          <w:b w:val="0"/>
          <w:bCs w:val="0"/>
        </w:rPr>
        <w:t>.</w:t>
      </w:r>
    </w:p>
    <w:p w14:paraId="7103000C" w14:textId="77777777" w:rsidR="00F3551D" w:rsidRPr="00EC250C" w:rsidRDefault="003A4348" w:rsidP="00D131FA">
      <w:pPr>
        <w:pStyle w:val="Styl1"/>
      </w:pPr>
      <w:r w:rsidRPr="00EC250C">
        <w:t>Sąd Najwyższy podjął uchwałę, że przepisy k.p.c.</w:t>
      </w:r>
      <w:r w:rsidR="00992FD0" w:rsidRPr="00EC250C">
        <w:t xml:space="preserve"> o </w:t>
      </w:r>
      <w:r w:rsidRPr="00EC250C">
        <w:t>zabezpieczeniu mają zastosowanie do ustawy</w:t>
      </w:r>
      <w:r w:rsidR="00992FD0" w:rsidRPr="00EC250C">
        <w:t xml:space="preserve"> z </w:t>
      </w:r>
      <w:r w:rsidRPr="00EC250C">
        <w:t>22 listopada 2013</w:t>
      </w:r>
      <w:r w:rsidR="00C91F6E" w:rsidRPr="00EC250C">
        <w:t> r.</w:t>
      </w:r>
      <w:r w:rsidRPr="00EC250C">
        <w:t>, ale niedopuszczalne jest udzielenie takiego zabezpieczenia</w:t>
      </w:r>
      <w:r w:rsidR="00992FD0" w:rsidRPr="00EC250C">
        <w:t xml:space="preserve"> w </w:t>
      </w:r>
      <w:r w:rsidRPr="00EC250C">
        <w:t>postaci umieszczenia danej osoby</w:t>
      </w:r>
      <w:r w:rsidR="00992FD0" w:rsidRPr="00EC250C">
        <w:t xml:space="preserve"> w </w:t>
      </w:r>
      <w:r w:rsidRPr="00EC250C">
        <w:rPr>
          <w:bCs/>
        </w:rPr>
        <w:t>Krajowym Ośrodku Zapobiegania Zachowaniom Dyssocjalnym.</w:t>
      </w:r>
      <w:r w:rsidR="00F3551D" w:rsidRPr="00EC250C">
        <w:rPr>
          <w:bCs/>
        </w:rPr>
        <w:t xml:space="preserve"> </w:t>
      </w:r>
      <w:r w:rsidR="00F3551D" w:rsidRPr="00EC250C">
        <w:t xml:space="preserve">Jest to bowiem sytuacja pozbawienia wolności, przypominająca </w:t>
      </w:r>
      <w:r w:rsidR="00FB48CA" w:rsidRPr="00EC250C">
        <w:t xml:space="preserve">umieszczenie w </w:t>
      </w:r>
      <w:r w:rsidR="00F3551D" w:rsidRPr="00EC250C">
        <w:t>zakład</w:t>
      </w:r>
      <w:r w:rsidR="00FB48CA" w:rsidRPr="00EC250C">
        <w:t>zie</w:t>
      </w:r>
      <w:r w:rsidR="00F3551D" w:rsidRPr="00EC250C">
        <w:t xml:space="preserve"> karny</w:t>
      </w:r>
      <w:r w:rsidR="00FB48CA" w:rsidRPr="00EC250C">
        <w:t>m</w:t>
      </w:r>
      <w:r w:rsidR="00992FD0" w:rsidRPr="00EC250C">
        <w:t xml:space="preserve"> </w:t>
      </w:r>
      <w:r w:rsidR="00FB48CA" w:rsidRPr="00EC250C">
        <w:t>ale</w:t>
      </w:r>
      <w:r w:rsidR="00992FD0" w:rsidRPr="00EC250C">
        <w:t> </w:t>
      </w:r>
      <w:r w:rsidR="00F3551D" w:rsidRPr="00EC250C">
        <w:t>rządz</w:t>
      </w:r>
      <w:r w:rsidR="00BE554D" w:rsidRPr="00EC250C">
        <w:t>ąca</w:t>
      </w:r>
      <w:r w:rsidR="00F3551D" w:rsidRPr="00EC250C">
        <w:t xml:space="preserve"> się przepisami prawa cywilnego</w:t>
      </w:r>
      <w:r w:rsidR="00FB48CA" w:rsidRPr="00EC250C">
        <w:t>.</w:t>
      </w:r>
      <w:r w:rsidR="00F3551D" w:rsidRPr="00EC250C">
        <w:t xml:space="preserve"> Przepisy regulujące zabezpieczenie cywilne nie spełniają zatem wymogu określoności, stawianego przez art. 41 Konstytucji RP. Dlatego nie mogą stanowić podstawy umieszczenia danej osoby</w:t>
      </w:r>
      <w:r w:rsidR="00992FD0" w:rsidRPr="00EC250C">
        <w:t xml:space="preserve"> w </w:t>
      </w:r>
      <w:r w:rsidR="00F3551D" w:rsidRPr="00EC250C">
        <w:t>KOZZD.</w:t>
      </w:r>
    </w:p>
    <w:p w14:paraId="1B25B76F" w14:textId="77777777" w:rsidR="00C91F6E" w:rsidRPr="00EC250C" w:rsidRDefault="003A4348" w:rsidP="00EC250C">
      <w:pPr>
        <w:pStyle w:val="Nagwek5"/>
      </w:pPr>
      <w:r w:rsidRPr="00EC250C">
        <w:lastRenderedPageBreak/>
        <w:t>Umieszczenie</w:t>
      </w:r>
      <w:r w:rsidR="00992FD0" w:rsidRPr="00EC250C">
        <w:t xml:space="preserve"> w </w:t>
      </w:r>
      <w:r w:rsidR="00F3551D" w:rsidRPr="00EC250C">
        <w:t>KOZZD</w:t>
      </w:r>
      <w:r w:rsidR="00992FD0" w:rsidRPr="00EC250C">
        <w:t xml:space="preserve"> w </w:t>
      </w:r>
      <w:r w:rsidR="00160D81" w:rsidRPr="00EC250C">
        <w:t>Gostyninie</w:t>
      </w:r>
      <w:r w:rsidRPr="00EC250C">
        <w:t>, gdy kto</w:t>
      </w:r>
      <w:r w:rsidR="001B2599" w:rsidRPr="00EC250C">
        <w:t>ś</w:t>
      </w:r>
      <w:r w:rsidRPr="00EC250C">
        <w:t xml:space="preserve"> odmawia realizacji obowiązków nałożonych na nią przez sąd</w:t>
      </w:r>
    </w:p>
    <w:p w14:paraId="10FAE688" w14:textId="77777777" w:rsidR="00B473F5" w:rsidRPr="00EC250C" w:rsidRDefault="00DA265E" w:rsidP="00D131FA">
      <w:pPr>
        <w:pStyle w:val="Problemczowieka"/>
        <w:jc w:val="both"/>
        <w:rPr>
          <w:bdr w:val="none" w:sz="0" w:space="0" w:color="auto" w:frame="1"/>
        </w:rPr>
      </w:pPr>
      <w:r w:rsidRPr="00EC250C">
        <w:rPr>
          <w:bdr w:val="none" w:sz="0" w:space="0" w:color="auto" w:frame="1"/>
        </w:rPr>
        <w:t>Trzech sędziów,</w:t>
      </w:r>
      <w:r w:rsidR="00992FD0" w:rsidRPr="00EC250C">
        <w:rPr>
          <w:bdr w:val="none" w:sz="0" w:space="0" w:color="auto" w:frame="1"/>
        </w:rPr>
        <w:t xml:space="preserve"> a </w:t>
      </w:r>
      <w:r w:rsidRPr="00EC250C">
        <w:rPr>
          <w:bdr w:val="none" w:sz="0" w:space="0" w:color="auto" w:frame="1"/>
        </w:rPr>
        <w:t>nie jeden, ma orzekać</w:t>
      </w:r>
      <w:r w:rsidR="00992FD0" w:rsidRPr="00EC250C">
        <w:rPr>
          <w:bdr w:val="none" w:sz="0" w:space="0" w:color="auto" w:frame="1"/>
        </w:rPr>
        <w:t xml:space="preserve"> o </w:t>
      </w:r>
      <w:r w:rsidRPr="00EC250C">
        <w:rPr>
          <w:bdr w:val="none" w:sz="0" w:space="0" w:color="auto" w:frame="1"/>
        </w:rPr>
        <w:t>umieszczeniu</w:t>
      </w:r>
      <w:r w:rsidR="00992FD0" w:rsidRPr="00EC250C">
        <w:rPr>
          <w:bdr w:val="none" w:sz="0" w:space="0" w:color="auto" w:frame="1"/>
        </w:rPr>
        <w:t xml:space="preserve"> w </w:t>
      </w:r>
      <w:r w:rsidRPr="00EC250C">
        <w:rPr>
          <w:bdr w:val="none" w:sz="0" w:space="0" w:color="auto" w:frame="1"/>
        </w:rPr>
        <w:t>ośrodku</w:t>
      </w:r>
      <w:r w:rsidR="00992FD0" w:rsidRPr="00EC250C">
        <w:rPr>
          <w:bdr w:val="none" w:sz="0" w:space="0" w:color="auto" w:frame="1"/>
        </w:rPr>
        <w:t xml:space="preserve"> w </w:t>
      </w:r>
      <w:r w:rsidRPr="00EC250C">
        <w:rPr>
          <w:bdr w:val="none" w:sz="0" w:space="0" w:color="auto" w:frame="1"/>
        </w:rPr>
        <w:t>Gostyninie osoby</w:t>
      </w:r>
      <w:r w:rsidR="003077C8" w:rsidRPr="00EC250C">
        <w:rPr>
          <w:bdr w:val="none" w:sz="0" w:space="0" w:color="auto" w:frame="1"/>
        </w:rPr>
        <w:t xml:space="preserve">, która </w:t>
      </w:r>
      <w:r w:rsidRPr="00EC250C">
        <w:rPr>
          <w:bdr w:val="none" w:sz="0" w:space="0" w:color="auto" w:frame="1"/>
        </w:rPr>
        <w:t xml:space="preserve">stwarza zagrożenie, </w:t>
      </w:r>
      <w:r w:rsidR="003077C8" w:rsidRPr="00EC250C">
        <w:rPr>
          <w:bdr w:val="none" w:sz="0" w:space="0" w:color="auto" w:frame="1"/>
        </w:rPr>
        <w:t xml:space="preserve">ale </w:t>
      </w:r>
      <w:r w:rsidRPr="00EC250C">
        <w:rPr>
          <w:bdr w:val="none" w:sz="0" w:space="0" w:color="auto" w:frame="1"/>
        </w:rPr>
        <w:t>nie chce poddać się leczeniu. Tak, zgodnie</w:t>
      </w:r>
      <w:r w:rsidR="00992FD0" w:rsidRPr="00EC250C">
        <w:rPr>
          <w:bdr w:val="none" w:sz="0" w:space="0" w:color="auto" w:frame="1"/>
        </w:rPr>
        <w:t xml:space="preserve"> z </w:t>
      </w:r>
      <w:r w:rsidRPr="00EC250C">
        <w:rPr>
          <w:bdr w:val="none" w:sz="0" w:space="0" w:color="auto" w:frame="1"/>
        </w:rPr>
        <w:t>wnioskiem RPO, orzekł Sąd Najwyższy</w:t>
      </w:r>
      <w:r w:rsidR="00992FD0" w:rsidRPr="00EC250C">
        <w:rPr>
          <w:bdr w:val="none" w:sz="0" w:space="0" w:color="auto" w:frame="1"/>
        </w:rPr>
        <w:t xml:space="preserve"> w </w:t>
      </w:r>
      <w:r w:rsidRPr="00EC250C">
        <w:rPr>
          <w:bdr w:val="none" w:sz="0" w:space="0" w:color="auto" w:frame="1"/>
        </w:rPr>
        <w:t>sprawie mężczyzny, którego początkowo nie skierowano do ośrodka, ale orzeczono tzw.</w:t>
      </w:r>
      <w:r w:rsidR="00CC4D88" w:rsidRPr="00EC250C">
        <w:rPr>
          <w:bdr w:val="none" w:sz="0" w:space="0" w:color="auto" w:frame="1"/>
        </w:rPr>
        <w:t xml:space="preserve"> </w:t>
      </w:r>
      <w:r w:rsidRPr="00EC250C">
        <w:rPr>
          <w:bdr w:val="none" w:sz="0" w:space="0" w:color="auto" w:frame="1"/>
        </w:rPr>
        <w:t>nadzór prewencyjny, połączony</w:t>
      </w:r>
      <w:r w:rsidR="00992FD0" w:rsidRPr="00EC250C">
        <w:rPr>
          <w:bdr w:val="none" w:sz="0" w:space="0" w:color="auto" w:frame="1"/>
        </w:rPr>
        <w:t xml:space="preserve"> z </w:t>
      </w:r>
      <w:r w:rsidRPr="00EC250C">
        <w:rPr>
          <w:bdr w:val="none" w:sz="0" w:space="0" w:color="auto" w:frame="1"/>
        </w:rPr>
        <w:t>nakazem leczenia</w:t>
      </w:r>
      <w:r w:rsidR="00B473F5" w:rsidRPr="00EC250C">
        <w:rPr>
          <w:bdr w:val="none" w:sz="0" w:space="0" w:color="auto" w:frame="1"/>
        </w:rPr>
        <w:t>.</w:t>
      </w:r>
    </w:p>
    <w:p w14:paraId="046AB4A5" w14:textId="77777777" w:rsidR="00DA265E" w:rsidRPr="00EC250C" w:rsidRDefault="00DA265E" w:rsidP="00D131FA">
      <w:pPr>
        <w:pStyle w:val="Styl1"/>
        <w:rPr>
          <w:rFonts w:ascii="Open Sans Regular" w:hAnsi="Open Sans Regular"/>
        </w:rPr>
      </w:pPr>
      <w:r w:rsidRPr="00EC250C">
        <w:rPr>
          <w:bdr w:val="none" w:sz="0" w:space="0" w:color="auto" w:frame="1"/>
        </w:rPr>
        <w:t>Wobec odmowy poddania się terapii, policja wniosła</w:t>
      </w:r>
      <w:r w:rsidR="00992FD0" w:rsidRPr="00EC250C">
        <w:rPr>
          <w:bdr w:val="none" w:sz="0" w:space="0" w:color="auto" w:frame="1"/>
        </w:rPr>
        <w:t xml:space="preserve"> o </w:t>
      </w:r>
      <w:r w:rsidRPr="00EC250C">
        <w:rPr>
          <w:bdr w:val="none" w:sz="0" w:space="0" w:color="auto" w:frame="1"/>
        </w:rPr>
        <w:t>umieszczenie go</w:t>
      </w:r>
      <w:r w:rsidR="00992FD0" w:rsidRPr="00EC250C">
        <w:rPr>
          <w:bdr w:val="none" w:sz="0" w:space="0" w:color="auto" w:frame="1"/>
        </w:rPr>
        <w:t xml:space="preserve"> w </w:t>
      </w:r>
      <w:r w:rsidRPr="00EC250C">
        <w:rPr>
          <w:bdr w:val="none" w:sz="0" w:space="0" w:color="auto" w:frame="1"/>
        </w:rPr>
        <w:t>ośrodku. Jeden</w:t>
      </w:r>
      <w:r w:rsidR="00992FD0" w:rsidRPr="00EC250C">
        <w:rPr>
          <w:bdr w:val="none" w:sz="0" w:space="0" w:color="auto" w:frame="1"/>
        </w:rPr>
        <w:t xml:space="preserve"> z </w:t>
      </w:r>
      <w:r w:rsidRPr="00EC250C">
        <w:rPr>
          <w:bdr w:val="none" w:sz="0" w:space="0" w:color="auto" w:frame="1"/>
        </w:rPr>
        <w:t>sądów nabrał wątpliwości, czy ma</w:t>
      </w:r>
      <w:r w:rsidR="00992FD0" w:rsidRPr="00EC250C">
        <w:rPr>
          <w:bdr w:val="none" w:sz="0" w:space="0" w:color="auto" w:frame="1"/>
        </w:rPr>
        <w:t xml:space="preserve"> o </w:t>
      </w:r>
      <w:r w:rsidRPr="00EC250C">
        <w:rPr>
          <w:bdr w:val="none" w:sz="0" w:space="0" w:color="auto" w:frame="1"/>
        </w:rPr>
        <w:t>tym orzekać skład jedno-, czy też trzyosobowy</w:t>
      </w:r>
      <w:r w:rsidR="00160D81" w:rsidRPr="00EC250C">
        <w:rPr>
          <w:bdr w:val="none" w:sz="0" w:space="0" w:color="auto" w:frame="1"/>
        </w:rPr>
        <w:t>.</w:t>
      </w:r>
    </w:p>
    <w:p w14:paraId="0CA0CB20" w14:textId="77777777" w:rsidR="00C91F6E" w:rsidRPr="00EC250C" w:rsidRDefault="00DA265E" w:rsidP="00D131FA">
      <w:pPr>
        <w:pStyle w:val="Styl1"/>
      </w:pPr>
      <w:r w:rsidRPr="00EC250C">
        <w:rPr>
          <w:bdr w:val="none" w:sz="0" w:space="0" w:color="auto" w:frame="1"/>
        </w:rPr>
        <w:t xml:space="preserve">Według Rzecznika </w:t>
      </w:r>
      <w:r w:rsidR="00073A8C" w:rsidRPr="00EC250C">
        <w:rPr>
          <w:bdr w:val="none" w:sz="0" w:space="0" w:color="auto" w:frame="1"/>
        </w:rPr>
        <w:t xml:space="preserve">Praw Obywatelskich </w:t>
      </w:r>
      <w:r w:rsidRPr="00EC250C">
        <w:rPr>
          <w:bdr w:val="none" w:sz="0" w:space="0" w:color="auto" w:frame="1"/>
        </w:rPr>
        <w:t>m.in.</w:t>
      </w:r>
      <w:r w:rsidR="00992FD0" w:rsidRPr="00EC250C">
        <w:rPr>
          <w:bdr w:val="none" w:sz="0" w:space="0" w:color="auto" w:frame="1"/>
        </w:rPr>
        <w:t xml:space="preserve"> z </w:t>
      </w:r>
      <w:r w:rsidRPr="00EC250C">
        <w:rPr>
          <w:bdr w:val="none" w:sz="0" w:space="0" w:color="auto" w:frame="1"/>
        </w:rPr>
        <w:t>powodów konstytucyjnych ma to być trzech sędziów</w:t>
      </w:r>
      <w:r w:rsidR="00026572" w:rsidRPr="00EC250C">
        <w:rPr>
          <w:bdr w:val="none" w:sz="0" w:space="0" w:color="auto" w:frame="1"/>
        </w:rPr>
        <w:t xml:space="preserve"> – </w:t>
      </w:r>
      <w:r w:rsidRPr="00EC250C">
        <w:rPr>
          <w:bdr w:val="none" w:sz="0" w:space="0" w:color="auto" w:frame="1"/>
        </w:rPr>
        <w:t>skoro</w:t>
      </w:r>
      <w:r w:rsidR="00992FD0" w:rsidRPr="00EC250C">
        <w:rPr>
          <w:bdr w:val="none" w:sz="0" w:space="0" w:color="auto" w:frame="1"/>
        </w:rPr>
        <w:t xml:space="preserve"> w </w:t>
      </w:r>
      <w:r w:rsidRPr="00EC250C">
        <w:rPr>
          <w:bdr w:val="none" w:sz="0" w:space="0" w:color="auto" w:frame="1"/>
        </w:rPr>
        <w:t>efekcie dana osoba może być</w:t>
      </w:r>
      <w:r w:rsidR="00992FD0" w:rsidRPr="00EC250C">
        <w:rPr>
          <w:bdr w:val="none" w:sz="0" w:space="0" w:color="auto" w:frame="1"/>
        </w:rPr>
        <w:t xml:space="preserve"> w </w:t>
      </w:r>
      <w:r w:rsidRPr="00EC250C">
        <w:rPr>
          <w:bdr w:val="none" w:sz="0" w:space="0" w:color="auto" w:frame="1"/>
        </w:rPr>
        <w:t>tym ośrodku pozbawiona wolności</w:t>
      </w:r>
      <w:r w:rsidR="003A4348" w:rsidRPr="00EC250C">
        <w:rPr>
          <w:rStyle w:val="Odwoanieprzypisudolnego"/>
        </w:rPr>
        <w:footnoteReference w:id="132"/>
      </w:r>
      <w:r w:rsidR="003077C8" w:rsidRPr="00EC250C">
        <w:rPr>
          <w:bdr w:val="none" w:sz="0" w:space="0" w:color="auto" w:frame="1"/>
        </w:rPr>
        <w:t>.</w:t>
      </w:r>
    </w:p>
    <w:p w14:paraId="0F9D5269" w14:textId="77777777" w:rsidR="003A4348" w:rsidRPr="00EC250C" w:rsidRDefault="003A4348" w:rsidP="00D131FA">
      <w:pPr>
        <w:pStyle w:val="Styl1"/>
      </w:pPr>
      <w:r w:rsidRPr="00EC250C">
        <w:t xml:space="preserve">Sąd Najwyższy rozstrzygnął tę sprawę podzielając pogląd </w:t>
      </w:r>
      <w:r w:rsidR="00073A8C" w:rsidRPr="00EC250C">
        <w:t>RPO</w:t>
      </w:r>
      <w:r w:rsidR="00202540" w:rsidRPr="00EC250C">
        <w:t>. P</w:t>
      </w:r>
      <w:r w:rsidRPr="00EC250C">
        <w:t>odjął uchwałę,</w:t>
      </w:r>
      <w:r w:rsidR="00992FD0" w:rsidRPr="00EC250C">
        <w:t xml:space="preserve"> w </w:t>
      </w:r>
      <w:r w:rsidRPr="00EC250C">
        <w:t xml:space="preserve">której </w:t>
      </w:r>
      <w:r w:rsidR="00202540" w:rsidRPr="00EC250C">
        <w:t>zwrócił uwagę na to</w:t>
      </w:r>
      <w:r w:rsidRPr="00EC250C">
        <w:t>, że</w:t>
      </w:r>
      <w:r w:rsidR="00992FD0" w:rsidRPr="00EC250C">
        <w:t xml:space="preserve"> w </w:t>
      </w:r>
      <w:r w:rsidRPr="00EC250C">
        <w:t xml:space="preserve">tym samym rozdziale </w:t>
      </w:r>
      <w:r w:rsidR="00202540" w:rsidRPr="00EC250C">
        <w:t xml:space="preserve">umieszczona została </w:t>
      </w:r>
      <w:r w:rsidRPr="00EC250C">
        <w:t>regulacj</w:t>
      </w:r>
      <w:r w:rsidR="00202540" w:rsidRPr="00EC250C">
        <w:t>a</w:t>
      </w:r>
      <w:r w:rsidRPr="00EC250C">
        <w:t xml:space="preserve"> </w:t>
      </w:r>
      <w:r w:rsidR="00202540" w:rsidRPr="00EC250C">
        <w:t xml:space="preserve">dotycząca </w:t>
      </w:r>
      <w:r w:rsidRPr="00EC250C">
        <w:t>orzekania</w:t>
      </w:r>
      <w:r w:rsidR="00992FD0" w:rsidRPr="00EC250C">
        <w:t xml:space="preserve"> w </w:t>
      </w:r>
      <w:r w:rsidRPr="00EC250C">
        <w:t xml:space="preserve">przedmiocie uznania danej osoby za stwarzającą zagrożenie </w:t>
      </w:r>
      <w:r w:rsidR="00202540" w:rsidRPr="00EC250C">
        <w:t>(</w:t>
      </w:r>
      <w:r w:rsidRPr="00EC250C">
        <w:t>i zastosowania wobec niej określonego rodzaju środka</w:t>
      </w:r>
      <w:r w:rsidR="00202540" w:rsidRPr="00EC250C">
        <w:t>)</w:t>
      </w:r>
      <w:r w:rsidRPr="00EC250C">
        <w:t xml:space="preserve"> oraz regulacj</w:t>
      </w:r>
      <w:r w:rsidR="00202540" w:rsidRPr="00EC250C">
        <w:t xml:space="preserve">a dotycząca </w:t>
      </w:r>
      <w:r w:rsidRPr="00EC250C">
        <w:t>orzekania</w:t>
      </w:r>
      <w:r w:rsidR="00992FD0" w:rsidRPr="00EC250C">
        <w:t xml:space="preserve"> o </w:t>
      </w:r>
      <w:r w:rsidRPr="00EC250C">
        <w:t>zastąpieniu nadzoru prewencyjnego środkiem</w:t>
      </w:r>
      <w:r w:rsidR="00992FD0" w:rsidRPr="00EC250C">
        <w:t xml:space="preserve"> w </w:t>
      </w:r>
      <w:r w:rsidRPr="00EC250C">
        <w:t>postaci umieszczenia</w:t>
      </w:r>
      <w:r w:rsidR="00992FD0" w:rsidRPr="00EC250C">
        <w:t xml:space="preserve"> w </w:t>
      </w:r>
      <w:r w:rsidRPr="00EC250C">
        <w:t>Ośrodku</w:t>
      </w:r>
      <w:r w:rsidR="00202540" w:rsidRPr="00EC250C">
        <w:t xml:space="preserve">. Zdaniem SN </w:t>
      </w:r>
      <w:r w:rsidRPr="00EC250C">
        <w:t xml:space="preserve">przemawia </w:t>
      </w:r>
      <w:r w:rsidR="00202540" w:rsidRPr="00EC250C">
        <w:t xml:space="preserve">to </w:t>
      </w:r>
      <w:r w:rsidRPr="00EC250C">
        <w:t>za tym, aby gwarancje proceduralne dotyczące pierwszej</w:t>
      </w:r>
      <w:r w:rsidR="00992FD0" w:rsidRPr="00EC250C">
        <w:t xml:space="preserve"> z </w:t>
      </w:r>
      <w:r w:rsidRPr="00EC250C">
        <w:t>tych sytuacji stosować także</w:t>
      </w:r>
      <w:r w:rsidR="00992FD0" w:rsidRPr="00EC250C">
        <w:t xml:space="preserve"> w </w:t>
      </w:r>
      <w:r w:rsidRPr="00EC250C">
        <w:t>odniesieniu do drugiej, jeśli nie jest ona samodzielnie</w:t>
      </w:r>
      <w:r w:rsidR="00992FD0" w:rsidRPr="00EC250C">
        <w:t xml:space="preserve"> w </w:t>
      </w:r>
      <w:r w:rsidRPr="00EC250C">
        <w:t>pełni unormowana.</w:t>
      </w:r>
    </w:p>
    <w:p w14:paraId="216F3A12" w14:textId="77777777" w:rsidR="00A012BF" w:rsidRPr="00EC250C" w:rsidRDefault="00A012BF" w:rsidP="00EC79EB">
      <w:pPr>
        <w:pStyle w:val="Nagwek4"/>
      </w:pPr>
      <w:bookmarkStart w:id="145" w:name="_Toc11247588"/>
      <w:bookmarkStart w:id="146" w:name="_Toc6257682"/>
      <w:r w:rsidRPr="00EC250C">
        <w:t>Inne problemy dotyczące wolności osobistej</w:t>
      </w:r>
      <w:bookmarkEnd w:id="145"/>
    </w:p>
    <w:p w14:paraId="431399A8" w14:textId="77777777" w:rsidR="00C91F6E" w:rsidRPr="00EC250C" w:rsidRDefault="00E4087A" w:rsidP="00EC250C">
      <w:pPr>
        <w:pStyle w:val="Nagwek5"/>
      </w:pPr>
      <w:r w:rsidRPr="00EC250C">
        <w:t>P</w:t>
      </w:r>
      <w:r w:rsidR="007B34C1" w:rsidRPr="00EC250C">
        <w:t>rewencyjne</w:t>
      </w:r>
      <w:r w:rsidRPr="00EC250C">
        <w:t xml:space="preserve"> stosowanie</w:t>
      </w:r>
      <w:r w:rsidR="007B34C1" w:rsidRPr="00EC250C">
        <w:t xml:space="preserve"> </w:t>
      </w:r>
      <w:r w:rsidR="00F676B7" w:rsidRPr="00EC250C">
        <w:t xml:space="preserve">kajdanek </w:t>
      </w:r>
      <w:r w:rsidR="007B34C1" w:rsidRPr="00EC250C">
        <w:t>wobec osób chorujących psychicznie</w:t>
      </w:r>
      <w:r w:rsidR="00992FD0" w:rsidRPr="00EC250C">
        <w:t xml:space="preserve"> w </w:t>
      </w:r>
      <w:r w:rsidR="007B34C1" w:rsidRPr="00EC250C">
        <w:t>więzienn</w:t>
      </w:r>
      <w:r w:rsidRPr="00EC250C">
        <w:t>ych szpitalach psychiatrycznych</w:t>
      </w:r>
      <w:bookmarkEnd w:id="146"/>
    </w:p>
    <w:p w14:paraId="61FAA90E" w14:textId="77777777" w:rsidR="00B473F5" w:rsidRPr="00EC250C" w:rsidRDefault="00A308DF" w:rsidP="00D131FA">
      <w:pPr>
        <w:pStyle w:val="Problemczowieka"/>
        <w:jc w:val="both"/>
      </w:pPr>
      <w:r w:rsidRPr="00EC250C">
        <w:t>W więziennych szpitalach wobec osób chorujących psychicznie stosuje się kajdanki, unieruchamiając ręce</w:t>
      </w:r>
      <w:r w:rsidR="00992FD0" w:rsidRPr="00EC250C">
        <w:t xml:space="preserve"> z </w:t>
      </w:r>
      <w:r w:rsidRPr="00EC250C">
        <w:t>przodu albo</w:t>
      </w:r>
      <w:r w:rsidR="00992FD0" w:rsidRPr="00EC250C">
        <w:t xml:space="preserve"> z </w:t>
      </w:r>
      <w:r w:rsidRPr="00EC250C">
        <w:t>tyłu</w:t>
      </w:r>
      <w:r w:rsidR="00B473F5" w:rsidRPr="00EC250C">
        <w:t>.</w:t>
      </w:r>
    </w:p>
    <w:p w14:paraId="683474EC" w14:textId="77777777" w:rsidR="00A308DF" w:rsidRPr="00EC250C" w:rsidRDefault="00A308DF" w:rsidP="00D131FA">
      <w:pPr>
        <w:pStyle w:val="Styl1"/>
        <w:rPr>
          <w:rStyle w:val="Pogrubienie"/>
          <w:b w:val="0"/>
          <w:bCs w:val="0"/>
        </w:rPr>
      </w:pPr>
      <w:r w:rsidRPr="00EC250C">
        <w:rPr>
          <w:rStyle w:val="Pogrubienie"/>
          <w:b w:val="0"/>
          <w:bCs w:val="0"/>
        </w:rPr>
        <w:t>Z takich środków przymusu bezpośredniego korzystamy sporadycznie – wyjaśnił Dyrektor Generalny Służby Więziennej</w:t>
      </w:r>
      <w:r w:rsidR="00992FD0" w:rsidRPr="00EC250C">
        <w:rPr>
          <w:rStyle w:val="Pogrubienie"/>
          <w:b w:val="0"/>
          <w:bCs w:val="0"/>
        </w:rPr>
        <w:t xml:space="preserve"> w </w:t>
      </w:r>
      <w:r w:rsidRPr="00EC250C">
        <w:rPr>
          <w:rStyle w:val="Pogrubienie"/>
          <w:b w:val="0"/>
          <w:bCs w:val="0"/>
        </w:rPr>
        <w:t>liście do RPO. Według przepisów ustawy</w:t>
      </w:r>
      <w:r w:rsidR="00992FD0" w:rsidRPr="00EC250C">
        <w:rPr>
          <w:rStyle w:val="Pogrubienie"/>
          <w:b w:val="0"/>
          <w:bCs w:val="0"/>
        </w:rPr>
        <w:t xml:space="preserve"> o </w:t>
      </w:r>
      <w:r w:rsidRPr="00EC250C">
        <w:rPr>
          <w:rStyle w:val="Pogrubienie"/>
          <w:b w:val="0"/>
          <w:bCs w:val="0"/>
        </w:rPr>
        <w:t>środkach przymusu bezpośredniego</w:t>
      </w:r>
      <w:r w:rsidR="00992FD0" w:rsidRPr="00EC250C">
        <w:rPr>
          <w:rStyle w:val="Pogrubienie"/>
          <w:b w:val="0"/>
          <w:bCs w:val="0"/>
        </w:rPr>
        <w:t xml:space="preserve"> i </w:t>
      </w:r>
      <w:r w:rsidRPr="00EC250C">
        <w:rPr>
          <w:rStyle w:val="Pogrubienie"/>
          <w:b w:val="0"/>
          <w:bCs w:val="0"/>
        </w:rPr>
        <w:t>broni palnej, środków przymusu bezpośredniego można użyć także prewencyjnie. Stosuje się je np.</w:t>
      </w:r>
      <w:r w:rsidR="00992FD0" w:rsidRPr="00EC250C">
        <w:rPr>
          <w:rStyle w:val="Pogrubienie"/>
          <w:b w:val="0"/>
          <w:bCs w:val="0"/>
        </w:rPr>
        <w:t xml:space="preserve"> w </w:t>
      </w:r>
      <w:r w:rsidRPr="00EC250C">
        <w:rPr>
          <w:rStyle w:val="Pogrubienie"/>
          <w:b w:val="0"/>
          <w:bCs w:val="0"/>
        </w:rPr>
        <w:t>celu zapobieżenia objawom agresji lub autoagresji osób pozbawionych wolności. Zdaniem Służby Więziennej przepisy tej ustawy pozwalają na ich stosowanie także wobec osób wymagających pobytu</w:t>
      </w:r>
      <w:r w:rsidR="00992FD0" w:rsidRPr="00EC250C">
        <w:rPr>
          <w:rStyle w:val="Pogrubienie"/>
          <w:b w:val="0"/>
          <w:bCs w:val="0"/>
        </w:rPr>
        <w:t xml:space="preserve"> w </w:t>
      </w:r>
      <w:r w:rsidRPr="00EC250C">
        <w:rPr>
          <w:rStyle w:val="Pogrubienie"/>
          <w:b w:val="0"/>
          <w:bCs w:val="0"/>
        </w:rPr>
        <w:t>szpitalu psychiatrycznym.</w:t>
      </w:r>
    </w:p>
    <w:p w14:paraId="3F765EB9" w14:textId="77777777" w:rsidR="00C91F6E" w:rsidRPr="00EC250C" w:rsidRDefault="00A308DF" w:rsidP="00D131FA">
      <w:pPr>
        <w:pStyle w:val="Styl1"/>
        <w:rPr>
          <w:rStyle w:val="Pogrubienie"/>
          <w:b w:val="0"/>
          <w:bCs w:val="0"/>
        </w:rPr>
      </w:pPr>
      <w:r w:rsidRPr="00EC250C">
        <w:rPr>
          <w:rStyle w:val="Pogrubienie"/>
          <w:b w:val="0"/>
          <w:bCs w:val="0"/>
        </w:rPr>
        <w:t>RPO nie kwestionuje stosowania środków przymusu bezpośredniego wobec osób naruszających porządek</w:t>
      </w:r>
      <w:r w:rsidR="00992FD0" w:rsidRPr="00EC250C">
        <w:rPr>
          <w:rStyle w:val="Pogrubienie"/>
          <w:b w:val="0"/>
          <w:bCs w:val="0"/>
        </w:rPr>
        <w:t xml:space="preserve"> i </w:t>
      </w:r>
      <w:r w:rsidRPr="00EC250C">
        <w:rPr>
          <w:rStyle w:val="Pogrubienie"/>
          <w:b w:val="0"/>
          <w:bCs w:val="0"/>
        </w:rPr>
        <w:t>bezpieczeństwo, które są zdrowe</w:t>
      </w:r>
      <w:r w:rsidR="00992FD0" w:rsidRPr="00EC250C">
        <w:rPr>
          <w:rStyle w:val="Pogrubienie"/>
          <w:b w:val="0"/>
          <w:bCs w:val="0"/>
        </w:rPr>
        <w:t xml:space="preserve"> i </w:t>
      </w:r>
      <w:r w:rsidRPr="00EC250C">
        <w:rPr>
          <w:rStyle w:val="Pogrubienie"/>
          <w:b w:val="0"/>
          <w:bCs w:val="0"/>
        </w:rPr>
        <w:t>mogą świadomie kierować swoim postępowaniem. Natomiast</w:t>
      </w:r>
      <w:r w:rsidR="00992FD0" w:rsidRPr="00EC250C">
        <w:rPr>
          <w:rStyle w:val="Pogrubienie"/>
          <w:b w:val="0"/>
          <w:bCs w:val="0"/>
        </w:rPr>
        <w:t xml:space="preserve"> w </w:t>
      </w:r>
      <w:r w:rsidRPr="00EC250C">
        <w:rPr>
          <w:rStyle w:val="Pogrubienie"/>
          <w:b w:val="0"/>
          <w:bCs w:val="0"/>
        </w:rPr>
        <w:t>przypadku osób chorujących psychicznie, niezdolnych do racjonalnego postrzegania</w:t>
      </w:r>
      <w:r w:rsidR="00992FD0" w:rsidRPr="00EC250C">
        <w:rPr>
          <w:rStyle w:val="Pogrubienie"/>
          <w:b w:val="0"/>
          <w:bCs w:val="0"/>
        </w:rPr>
        <w:t xml:space="preserve"> i </w:t>
      </w:r>
      <w:r w:rsidRPr="00EC250C">
        <w:rPr>
          <w:rStyle w:val="Pogrubienie"/>
          <w:b w:val="0"/>
          <w:bCs w:val="0"/>
        </w:rPr>
        <w:t>postępowania, działania muszą być zgodne zarówno</w:t>
      </w:r>
      <w:r w:rsidR="00992FD0" w:rsidRPr="00EC250C">
        <w:rPr>
          <w:rStyle w:val="Pogrubienie"/>
          <w:b w:val="0"/>
          <w:bCs w:val="0"/>
        </w:rPr>
        <w:t xml:space="preserve"> z </w:t>
      </w:r>
      <w:r w:rsidRPr="00EC250C">
        <w:rPr>
          <w:rStyle w:val="Pogrubienie"/>
          <w:b w:val="0"/>
          <w:bCs w:val="0"/>
        </w:rPr>
        <w:t xml:space="preserve">obowiązującym </w:t>
      </w:r>
      <w:r w:rsidRPr="00EC250C">
        <w:rPr>
          <w:rStyle w:val="Pogrubienie"/>
          <w:b w:val="0"/>
          <w:bCs w:val="0"/>
        </w:rPr>
        <w:lastRenderedPageBreak/>
        <w:t>stanem prawnym, jak</w:t>
      </w:r>
      <w:r w:rsidR="00992FD0" w:rsidRPr="00EC250C">
        <w:rPr>
          <w:rStyle w:val="Pogrubienie"/>
          <w:b w:val="0"/>
          <w:bCs w:val="0"/>
        </w:rPr>
        <w:t xml:space="preserve"> i </w:t>
      </w:r>
      <w:r w:rsidRPr="00EC250C">
        <w:rPr>
          <w:rStyle w:val="Pogrubienie"/>
          <w:b w:val="0"/>
          <w:bCs w:val="0"/>
        </w:rPr>
        <w:t>ze standardami obowiązującymi</w:t>
      </w:r>
      <w:r w:rsidR="00992FD0" w:rsidRPr="00EC250C">
        <w:rPr>
          <w:rStyle w:val="Pogrubienie"/>
          <w:b w:val="0"/>
          <w:bCs w:val="0"/>
        </w:rPr>
        <w:t xml:space="preserve"> w </w:t>
      </w:r>
      <w:r w:rsidRPr="00EC250C">
        <w:rPr>
          <w:rStyle w:val="Pogrubienie"/>
          <w:b w:val="0"/>
          <w:bCs w:val="0"/>
        </w:rPr>
        <w:t>procesie leczenia. Ustawodawca wypracował więc model postępowania leczniczego</w:t>
      </w:r>
      <w:r w:rsidR="00992FD0" w:rsidRPr="00EC250C">
        <w:rPr>
          <w:rStyle w:val="Pogrubienie"/>
          <w:b w:val="0"/>
          <w:bCs w:val="0"/>
        </w:rPr>
        <w:t xml:space="preserve"> w </w:t>
      </w:r>
      <w:r w:rsidRPr="00EC250C">
        <w:rPr>
          <w:rStyle w:val="Pogrubienie"/>
          <w:b w:val="0"/>
          <w:bCs w:val="0"/>
        </w:rPr>
        <w:t>sytuacjach, gdy bezpieczeństwo chorego</w:t>
      </w:r>
      <w:r w:rsidR="00992FD0" w:rsidRPr="00EC250C">
        <w:rPr>
          <w:rStyle w:val="Pogrubienie"/>
          <w:b w:val="0"/>
          <w:bCs w:val="0"/>
        </w:rPr>
        <w:t xml:space="preserve"> i </w:t>
      </w:r>
      <w:r w:rsidRPr="00EC250C">
        <w:rPr>
          <w:rStyle w:val="Pogrubienie"/>
          <w:b w:val="0"/>
          <w:bCs w:val="0"/>
        </w:rPr>
        <w:t>jego otoczenia jest zagrożone. Wskazał go</w:t>
      </w:r>
      <w:r w:rsidR="00992FD0" w:rsidRPr="00EC250C">
        <w:rPr>
          <w:rStyle w:val="Pogrubienie"/>
          <w:b w:val="0"/>
          <w:bCs w:val="0"/>
        </w:rPr>
        <w:t xml:space="preserve"> w </w:t>
      </w:r>
      <w:r w:rsidRPr="00EC250C">
        <w:rPr>
          <w:rStyle w:val="Pogrubienie"/>
          <w:b w:val="0"/>
          <w:bCs w:val="0"/>
        </w:rPr>
        <w:t>ustawie</w:t>
      </w:r>
      <w:r w:rsidR="00992FD0" w:rsidRPr="00EC250C">
        <w:rPr>
          <w:rStyle w:val="Pogrubienie"/>
          <w:b w:val="0"/>
          <w:bCs w:val="0"/>
        </w:rPr>
        <w:t xml:space="preserve"> o </w:t>
      </w:r>
      <w:r w:rsidRPr="00EC250C">
        <w:rPr>
          <w:rStyle w:val="Pogrubienie"/>
          <w:b w:val="0"/>
          <w:bCs w:val="0"/>
        </w:rPr>
        <w:t>ochronie zdrowia psychicznego oraz rozporządzeniu Ministra Zdrowia</w:t>
      </w:r>
      <w:r w:rsidR="00992FD0" w:rsidRPr="00EC250C">
        <w:rPr>
          <w:rStyle w:val="Pogrubienie"/>
          <w:b w:val="0"/>
          <w:bCs w:val="0"/>
        </w:rPr>
        <w:t xml:space="preserve"> w </w:t>
      </w:r>
      <w:r w:rsidRPr="00EC250C">
        <w:rPr>
          <w:rStyle w:val="Pogrubienie"/>
          <w:b w:val="0"/>
          <w:bCs w:val="0"/>
        </w:rPr>
        <w:t>sprawie sposobu stosowania</w:t>
      </w:r>
      <w:r w:rsidR="00992FD0" w:rsidRPr="00EC250C">
        <w:rPr>
          <w:rStyle w:val="Pogrubienie"/>
          <w:b w:val="0"/>
          <w:bCs w:val="0"/>
        </w:rPr>
        <w:t xml:space="preserve"> i </w:t>
      </w:r>
      <w:r w:rsidRPr="00EC250C">
        <w:rPr>
          <w:rStyle w:val="Pogrubienie"/>
          <w:b w:val="0"/>
          <w:bCs w:val="0"/>
        </w:rPr>
        <w:t>dokumentowania zastosowania przymusu bezpośredniego oraz dokonywania oceny zasadności jego zastosowania</w:t>
      </w:r>
      <w:r w:rsidRPr="00EC250C">
        <w:rPr>
          <w:rStyle w:val="Odwoanieprzypisudolnego"/>
          <w:bCs/>
          <w:iCs/>
        </w:rPr>
        <w:footnoteReference w:id="133"/>
      </w:r>
      <w:r w:rsidRPr="00EC250C">
        <w:rPr>
          <w:rStyle w:val="Pogrubienie"/>
          <w:b w:val="0"/>
          <w:bCs w:val="0"/>
        </w:rPr>
        <w:t xml:space="preserve">. Wobec chorych można zastosować przymus bezpośredni, tj.: siła fizyczna, podanie leku bez zgody, unieruchomienie, izolacja. </w:t>
      </w:r>
      <w:r w:rsidR="00073A8C" w:rsidRPr="00EC250C">
        <w:rPr>
          <w:rStyle w:val="Pogrubienie"/>
          <w:b w:val="0"/>
          <w:bCs w:val="0"/>
        </w:rPr>
        <w:t>RPO</w:t>
      </w:r>
      <w:r w:rsidRPr="00EC250C">
        <w:rPr>
          <w:rStyle w:val="Pogrubienie"/>
          <w:b w:val="0"/>
          <w:bCs w:val="0"/>
        </w:rPr>
        <w:t xml:space="preserve"> zwrócił uwagę, że przepisy ustawy</w:t>
      </w:r>
      <w:r w:rsidR="00992FD0" w:rsidRPr="00EC250C">
        <w:rPr>
          <w:rStyle w:val="Pogrubienie"/>
          <w:b w:val="0"/>
          <w:bCs w:val="0"/>
        </w:rPr>
        <w:t xml:space="preserve"> o </w:t>
      </w:r>
      <w:r w:rsidRPr="00EC250C">
        <w:rPr>
          <w:rStyle w:val="Pogrubienie"/>
          <w:b w:val="0"/>
          <w:bCs w:val="0"/>
        </w:rPr>
        <w:t>ochronie zdrowia psychicznego nie przewidują prewencyjnego stosowania przymusu bezpośredniego, np.</w:t>
      </w:r>
      <w:r w:rsidR="00992FD0" w:rsidRPr="00EC250C">
        <w:rPr>
          <w:rStyle w:val="Pogrubienie"/>
          <w:b w:val="0"/>
          <w:bCs w:val="0"/>
        </w:rPr>
        <w:t xml:space="preserve"> w </w:t>
      </w:r>
      <w:r w:rsidRPr="00EC250C">
        <w:rPr>
          <w:rStyle w:val="Pogrubienie"/>
          <w:b w:val="0"/>
          <w:bCs w:val="0"/>
        </w:rPr>
        <w:t>postaci kajdanek zakładanych na ręce.</w:t>
      </w:r>
    </w:p>
    <w:p w14:paraId="3B1CA2A5" w14:textId="77777777" w:rsidR="00A308DF" w:rsidRPr="00EC250C" w:rsidRDefault="00A308DF" w:rsidP="00D131FA">
      <w:pPr>
        <w:pStyle w:val="Styl1"/>
        <w:rPr>
          <w:rStyle w:val="Pogrubienie"/>
          <w:b w:val="0"/>
          <w:bCs w:val="0"/>
        </w:rPr>
      </w:pPr>
      <w:r w:rsidRPr="00EC250C">
        <w:rPr>
          <w:rStyle w:val="Pogrubienie"/>
          <w:b w:val="0"/>
          <w:bCs w:val="0"/>
        </w:rPr>
        <w:t>RPO powołał się na sprawę skazanego, umieszczonego</w:t>
      </w:r>
      <w:r w:rsidR="00992FD0" w:rsidRPr="00EC250C">
        <w:rPr>
          <w:rStyle w:val="Pogrubienie"/>
          <w:b w:val="0"/>
          <w:bCs w:val="0"/>
        </w:rPr>
        <w:t xml:space="preserve"> w </w:t>
      </w:r>
      <w:r w:rsidRPr="00EC250C">
        <w:rPr>
          <w:rStyle w:val="Pogrubienie"/>
          <w:b w:val="0"/>
          <w:bCs w:val="0"/>
        </w:rPr>
        <w:t>szpitalu psychiatrycznym Aresztu Śledczego</w:t>
      </w:r>
      <w:r w:rsidR="00992FD0" w:rsidRPr="00EC250C">
        <w:rPr>
          <w:rStyle w:val="Pogrubienie"/>
          <w:b w:val="0"/>
          <w:bCs w:val="0"/>
        </w:rPr>
        <w:t xml:space="preserve"> w </w:t>
      </w:r>
      <w:r w:rsidRPr="00EC250C">
        <w:rPr>
          <w:rStyle w:val="Pogrubienie"/>
          <w:b w:val="0"/>
          <w:bCs w:val="0"/>
        </w:rPr>
        <w:t>Szczecinie</w:t>
      </w:r>
      <w:r w:rsidR="00992FD0" w:rsidRPr="00EC250C">
        <w:rPr>
          <w:rStyle w:val="Pogrubienie"/>
          <w:b w:val="0"/>
          <w:bCs w:val="0"/>
        </w:rPr>
        <w:t xml:space="preserve"> z </w:t>
      </w:r>
      <w:r w:rsidRPr="00EC250C">
        <w:rPr>
          <w:rStyle w:val="Pogrubienie"/>
          <w:b w:val="0"/>
          <w:bCs w:val="0"/>
        </w:rPr>
        <w:t>powodu ostrych objawów choroby psychicznej</w:t>
      </w:r>
      <w:r w:rsidRPr="00EC250C">
        <w:rPr>
          <w:rStyle w:val="Odwoanieprzypisudolnego"/>
        </w:rPr>
        <w:footnoteReference w:id="134"/>
      </w:r>
      <w:r w:rsidRPr="00EC250C">
        <w:rPr>
          <w:rStyle w:val="Pogrubienie"/>
          <w:b w:val="0"/>
          <w:bCs w:val="0"/>
        </w:rPr>
        <w:t>. Był on agresywny, niszczył przedmioty</w:t>
      </w:r>
      <w:r w:rsidR="00992FD0" w:rsidRPr="00EC250C">
        <w:rPr>
          <w:rStyle w:val="Pogrubienie"/>
          <w:b w:val="0"/>
          <w:bCs w:val="0"/>
        </w:rPr>
        <w:t xml:space="preserve"> w </w:t>
      </w:r>
      <w:r w:rsidRPr="00EC250C">
        <w:rPr>
          <w:rStyle w:val="Pogrubienie"/>
          <w:b w:val="0"/>
          <w:bCs w:val="0"/>
        </w:rPr>
        <w:t>celi. Zastosowano wobec niego przymus bezpośredni</w:t>
      </w:r>
      <w:r w:rsidR="00992FD0" w:rsidRPr="00EC250C">
        <w:rPr>
          <w:rStyle w:val="Pogrubienie"/>
          <w:b w:val="0"/>
          <w:bCs w:val="0"/>
        </w:rPr>
        <w:t xml:space="preserve"> w </w:t>
      </w:r>
      <w:r w:rsidRPr="00EC250C">
        <w:rPr>
          <w:rStyle w:val="Pogrubienie"/>
          <w:b w:val="0"/>
          <w:bCs w:val="0"/>
        </w:rPr>
        <w:t>postaci unieruchomienia</w:t>
      </w:r>
      <w:r w:rsidR="00992FD0" w:rsidRPr="00EC250C">
        <w:rPr>
          <w:rStyle w:val="Pogrubienie"/>
          <w:b w:val="0"/>
          <w:bCs w:val="0"/>
        </w:rPr>
        <w:t xml:space="preserve"> i </w:t>
      </w:r>
      <w:r w:rsidRPr="00EC250C">
        <w:rPr>
          <w:rStyle w:val="Pogrubienie"/>
          <w:b w:val="0"/>
          <w:bCs w:val="0"/>
        </w:rPr>
        <w:t>podania leku bez zgody- zgodnie</w:t>
      </w:r>
      <w:r w:rsidR="00992FD0" w:rsidRPr="00EC250C">
        <w:rPr>
          <w:rStyle w:val="Pogrubienie"/>
          <w:b w:val="0"/>
          <w:bCs w:val="0"/>
        </w:rPr>
        <w:t xml:space="preserve"> z </w:t>
      </w:r>
      <w:r w:rsidRPr="00EC250C">
        <w:rPr>
          <w:rStyle w:val="Pogrubienie"/>
          <w:b w:val="0"/>
          <w:bCs w:val="0"/>
        </w:rPr>
        <w:t>ustawą</w:t>
      </w:r>
      <w:r w:rsidR="00992FD0" w:rsidRPr="00EC250C">
        <w:rPr>
          <w:rStyle w:val="Pogrubienie"/>
          <w:b w:val="0"/>
          <w:bCs w:val="0"/>
        </w:rPr>
        <w:t xml:space="preserve"> o </w:t>
      </w:r>
      <w:r w:rsidRPr="00EC250C">
        <w:rPr>
          <w:rStyle w:val="Pogrubienie"/>
          <w:b w:val="0"/>
          <w:bCs w:val="0"/>
        </w:rPr>
        <w:t>ochronie zdrowia psychicznego. Dyrektor aresztu, bez konsultacji</w:t>
      </w:r>
      <w:r w:rsidR="00992FD0" w:rsidRPr="00EC250C">
        <w:rPr>
          <w:rStyle w:val="Pogrubienie"/>
          <w:b w:val="0"/>
          <w:bCs w:val="0"/>
        </w:rPr>
        <w:t xml:space="preserve"> z </w:t>
      </w:r>
      <w:r w:rsidRPr="00EC250C">
        <w:rPr>
          <w:rStyle w:val="Pogrubienie"/>
          <w:b w:val="0"/>
          <w:bCs w:val="0"/>
        </w:rPr>
        <w:t>lekarzem, zalecił prewencyjne stosowanie kajdanek poza celą</w:t>
      </w:r>
      <w:r w:rsidR="00026572" w:rsidRPr="00EC250C">
        <w:rPr>
          <w:rStyle w:val="Pogrubienie"/>
          <w:b w:val="0"/>
          <w:bCs w:val="0"/>
        </w:rPr>
        <w:t xml:space="preserve"> – </w:t>
      </w:r>
      <w:r w:rsidRPr="00EC250C">
        <w:rPr>
          <w:rStyle w:val="Pogrubienie"/>
          <w:b w:val="0"/>
          <w:bCs w:val="0"/>
        </w:rPr>
        <w:t>na podstawie ustawy</w:t>
      </w:r>
      <w:r w:rsidR="00992FD0" w:rsidRPr="00EC250C">
        <w:rPr>
          <w:rStyle w:val="Pogrubienie"/>
          <w:b w:val="0"/>
          <w:bCs w:val="0"/>
        </w:rPr>
        <w:t xml:space="preserve"> o </w:t>
      </w:r>
      <w:r w:rsidRPr="00EC250C">
        <w:rPr>
          <w:rStyle w:val="Pogrubienie"/>
          <w:b w:val="0"/>
          <w:bCs w:val="0"/>
        </w:rPr>
        <w:t>ośrodkach przymusu bezpośredniego</w:t>
      </w:r>
      <w:r w:rsidR="00992FD0" w:rsidRPr="00EC250C">
        <w:rPr>
          <w:rStyle w:val="Pogrubienie"/>
          <w:b w:val="0"/>
          <w:bCs w:val="0"/>
        </w:rPr>
        <w:t xml:space="preserve"> i </w:t>
      </w:r>
      <w:r w:rsidRPr="00EC250C">
        <w:rPr>
          <w:rStyle w:val="Pogrubienie"/>
          <w:b w:val="0"/>
          <w:bCs w:val="0"/>
        </w:rPr>
        <w:t>broni palnej. Przez cztery miesiące pacjent ten brał udział</w:t>
      </w:r>
      <w:r w:rsidR="00992FD0" w:rsidRPr="00EC250C">
        <w:rPr>
          <w:rStyle w:val="Pogrubienie"/>
          <w:b w:val="0"/>
          <w:bCs w:val="0"/>
        </w:rPr>
        <w:t xml:space="preserve"> w </w:t>
      </w:r>
      <w:r w:rsidRPr="00EC250C">
        <w:rPr>
          <w:rStyle w:val="Pogrubienie"/>
          <w:b w:val="0"/>
          <w:bCs w:val="0"/>
        </w:rPr>
        <w:t>terapii indywidualnej</w:t>
      </w:r>
      <w:r w:rsidR="00992FD0" w:rsidRPr="00EC250C">
        <w:rPr>
          <w:rStyle w:val="Pogrubienie"/>
          <w:b w:val="0"/>
          <w:bCs w:val="0"/>
        </w:rPr>
        <w:t xml:space="preserve"> i </w:t>
      </w:r>
      <w:r w:rsidRPr="00EC250C">
        <w:rPr>
          <w:rStyle w:val="Pogrubienie"/>
          <w:b w:val="0"/>
          <w:bCs w:val="0"/>
        </w:rPr>
        <w:t>grupowej</w:t>
      </w:r>
      <w:r w:rsidR="00992FD0" w:rsidRPr="00EC250C">
        <w:rPr>
          <w:rStyle w:val="Pogrubienie"/>
          <w:b w:val="0"/>
          <w:bCs w:val="0"/>
        </w:rPr>
        <w:t xml:space="preserve"> z </w:t>
      </w:r>
      <w:r w:rsidRPr="00EC250C">
        <w:rPr>
          <w:rStyle w:val="Pogrubienie"/>
          <w:b w:val="0"/>
          <w:bCs w:val="0"/>
        </w:rPr>
        <w:t>kajdankami założonymi na ręce</w:t>
      </w:r>
      <w:r w:rsidR="00992FD0" w:rsidRPr="00EC250C">
        <w:rPr>
          <w:rStyle w:val="Pogrubienie"/>
          <w:b w:val="0"/>
          <w:bCs w:val="0"/>
        </w:rPr>
        <w:t xml:space="preserve"> z </w:t>
      </w:r>
      <w:r w:rsidRPr="00EC250C">
        <w:rPr>
          <w:rStyle w:val="Pogrubienie"/>
          <w:b w:val="0"/>
          <w:bCs w:val="0"/>
        </w:rPr>
        <w:t>tyłu.</w:t>
      </w:r>
    </w:p>
    <w:p w14:paraId="549859B3" w14:textId="77777777" w:rsidR="00A308DF" w:rsidRPr="00EC250C" w:rsidRDefault="00A308DF" w:rsidP="00D131FA">
      <w:pPr>
        <w:pStyle w:val="Styl1"/>
        <w:rPr>
          <w:rStyle w:val="Pogrubienie"/>
          <w:b w:val="0"/>
          <w:bCs w:val="0"/>
        </w:rPr>
      </w:pPr>
      <w:r w:rsidRPr="00EC250C">
        <w:rPr>
          <w:rStyle w:val="Pogrubienie"/>
          <w:b w:val="0"/>
          <w:bCs w:val="0"/>
        </w:rPr>
        <w:t>Badane</w:t>
      </w:r>
      <w:r w:rsidR="00992FD0" w:rsidRPr="00EC250C">
        <w:rPr>
          <w:rStyle w:val="Pogrubienie"/>
          <w:b w:val="0"/>
          <w:bCs w:val="0"/>
        </w:rPr>
        <w:t xml:space="preserve"> w </w:t>
      </w:r>
      <w:r w:rsidRPr="00EC250C">
        <w:rPr>
          <w:rStyle w:val="Pogrubienie"/>
          <w:b w:val="0"/>
          <w:bCs w:val="0"/>
        </w:rPr>
        <w:t>Biurze RPO sprawy pokazują, że rygor więzienny nie sprzyja procesowi zdrowienia,</w:t>
      </w:r>
      <w:r w:rsidR="00992FD0" w:rsidRPr="00EC250C">
        <w:rPr>
          <w:rStyle w:val="Pogrubienie"/>
          <w:b w:val="0"/>
          <w:bCs w:val="0"/>
        </w:rPr>
        <w:t xml:space="preserve"> a </w:t>
      </w:r>
      <w:r w:rsidRPr="00EC250C">
        <w:rPr>
          <w:rStyle w:val="Pogrubienie"/>
          <w:b w:val="0"/>
          <w:bCs w:val="0"/>
        </w:rPr>
        <w:t xml:space="preserve">podejmowane przez Służbę Więzienną działania, mające na celu zwiększenie dolegliwości, mogą prowadzić do pogorszenia stanu zdrowia chorego. </w:t>
      </w:r>
      <w:r w:rsidR="007447EE" w:rsidRPr="00EC250C">
        <w:rPr>
          <w:rStyle w:val="Pogrubienie"/>
          <w:b w:val="0"/>
          <w:bCs w:val="0"/>
        </w:rPr>
        <w:t>Dlatego</w:t>
      </w:r>
      <w:r w:rsidRPr="00EC250C">
        <w:rPr>
          <w:rStyle w:val="Pogrubienie"/>
          <w:b w:val="0"/>
          <w:bCs w:val="0"/>
        </w:rPr>
        <w:t xml:space="preserve"> </w:t>
      </w:r>
      <w:r w:rsidR="00073A8C" w:rsidRPr="00EC250C">
        <w:rPr>
          <w:rStyle w:val="Pogrubienie"/>
          <w:b w:val="0"/>
          <w:bCs w:val="0"/>
        </w:rPr>
        <w:t>RPO</w:t>
      </w:r>
      <w:r w:rsidRPr="00EC250C">
        <w:rPr>
          <w:rStyle w:val="Pogrubienie"/>
          <w:b w:val="0"/>
          <w:bCs w:val="0"/>
        </w:rPr>
        <w:t xml:space="preserve"> zwrócił się do Dyrektora Generalnego SW</w:t>
      </w:r>
      <w:r w:rsidR="00992FD0" w:rsidRPr="00EC250C">
        <w:rPr>
          <w:rStyle w:val="Pogrubienie"/>
          <w:b w:val="0"/>
          <w:bCs w:val="0"/>
        </w:rPr>
        <w:t xml:space="preserve"> o </w:t>
      </w:r>
      <w:r w:rsidRPr="00EC250C">
        <w:rPr>
          <w:rStyle w:val="Pogrubienie"/>
          <w:b w:val="0"/>
          <w:bCs w:val="0"/>
        </w:rPr>
        <w:t>podjęcie stosownych działań, które wyeliminują stosowanie przez Służbę Więzienną środków przymusu bezpośredniego, wskazanych</w:t>
      </w:r>
      <w:r w:rsidR="00992FD0" w:rsidRPr="00EC250C">
        <w:rPr>
          <w:rStyle w:val="Pogrubienie"/>
          <w:b w:val="0"/>
          <w:bCs w:val="0"/>
        </w:rPr>
        <w:t xml:space="preserve"> w </w:t>
      </w:r>
      <w:r w:rsidRPr="00EC250C">
        <w:rPr>
          <w:rStyle w:val="Pogrubienie"/>
          <w:b w:val="0"/>
          <w:bCs w:val="0"/>
        </w:rPr>
        <w:t>ustawie</w:t>
      </w:r>
      <w:r w:rsidR="00992FD0" w:rsidRPr="00EC250C">
        <w:rPr>
          <w:rStyle w:val="Pogrubienie"/>
          <w:b w:val="0"/>
          <w:bCs w:val="0"/>
        </w:rPr>
        <w:t xml:space="preserve"> o </w:t>
      </w:r>
      <w:r w:rsidRPr="00EC250C">
        <w:rPr>
          <w:rStyle w:val="Pogrubienie"/>
          <w:b w:val="0"/>
          <w:bCs w:val="0"/>
        </w:rPr>
        <w:t>środkach przymusu bezpośredniego</w:t>
      </w:r>
      <w:r w:rsidR="00992FD0" w:rsidRPr="00EC250C">
        <w:rPr>
          <w:rStyle w:val="Pogrubienie"/>
          <w:b w:val="0"/>
          <w:bCs w:val="0"/>
        </w:rPr>
        <w:t xml:space="preserve"> i </w:t>
      </w:r>
      <w:r w:rsidRPr="00EC250C">
        <w:rPr>
          <w:rStyle w:val="Pogrubienie"/>
          <w:b w:val="0"/>
          <w:bCs w:val="0"/>
        </w:rPr>
        <w:t>broni palnej, wobec więźniów objętych leczeniem</w:t>
      </w:r>
      <w:r w:rsidR="00992FD0" w:rsidRPr="00EC250C">
        <w:rPr>
          <w:rStyle w:val="Pogrubienie"/>
          <w:b w:val="0"/>
          <w:bCs w:val="0"/>
        </w:rPr>
        <w:t xml:space="preserve"> w </w:t>
      </w:r>
      <w:r w:rsidRPr="00EC250C">
        <w:rPr>
          <w:rStyle w:val="Pogrubienie"/>
          <w:b w:val="0"/>
          <w:bCs w:val="0"/>
        </w:rPr>
        <w:t>szpitalach psychiatrycznych.</w:t>
      </w:r>
    </w:p>
    <w:p w14:paraId="73B605FC" w14:textId="77777777" w:rsidR="00A308DF" w:rsidRPr="00EC250C" w:rsidRDefault="00A308DF" w:rsidP="00D131FA">
      <w:pPr>
        <w:pStyle w:val="Styl1"/>
        <w:rPr>
          <w:rStyle w:val="Pogrubienie"/>
          <w:b w:val="0"/>
          <w:bCs w:val="0"/>
        </w:rPr>
      </w:pPr>
      <w:r w:rsidRPr="00EC250C">
        <w:rPr>
          <w:rStyle w:val="Pogrubienie"/>
          <w:b w:val="0"/>
          <w:bCs w:val="0"/>
        </w:rPr>
        <w:t>Dyrektor Generalny odpowiedział, że</w:t>
      </w:r>
      <w:r w:rsidR="00992FD0" w:rsidRPr="00EC250C">
        <w:rPr>
          <w:rStyle w:val="Pogrubienie"/>
          <w:b w:val="0"/>
          <w:bCs w:val="0"/>
        </w:rPr>
        <w:t xml:space="preserve"> w </w:t>
      </w:r>
      <w:r w:rsidRPr="00EC250C">
        <w:rPr>
          <w:rStyle w:val="Pogrubienie"/>
          <w:b w:val="0"/>
          <w:bCs w:val="0"/>
        </w:rPr>
        <w:t>postępowaniu</w:t>
      </w:r>
      <w:r w:rsidR="00992FD0" w:rsidRPr="00EC250C">
        <w:rPr>
          <w:rStyle w:val="Pogrubienie"/>
          <w:b w:val="0"/>
          <w:bCs w:val="0"/>
        </w:rPr>
        <w:t xml:space="preserve"> z </w:t>
      </w:r>
      <w:r w:rsidRPr="00EC250C">
        <w:rPr>
          <w:rStyle w:val="Pogrubienie"/>
          <w:b w:val="0"/>
          <w:bCs w:val="0"/>
        </w:rPr>
        <w:t>osadzonymi chor</w:t>
      </w:r>
      <w:r w:rsidR="00BE554D" w:rsidRPr="00EC250C">
        <w:rPr>
          <w:rStyle w:val="Pogrubienie"/>
          <w:b w:val="0"/>
          <w:bCs w:val="0"/>
        </w:rPr>
        <w:t>ującymi</w:t>
      </w:r>
      <w:r w:rsidRPr="00EC250C">
        <w:rPr>
          <w:rStyle w:val="Pogrubienie"/>
          <w:b w:val="0"/>
          <w:bCs w:val="0"/>
        </w:rPr>
        <w:t xml:space="preserve"> psychicznie, co do zasady</w:t>
      </w:r>
      <w:r w:rsidR="00992FD0" w:rsidRPr="00EC250C">
        <w:rPr>
          <w:rStyle w:val="Pogrubienie"/>
          <w:b w:val="0"/>
          <w:bCs w:val="0"/>
        </w:rPr>
        <w:t xml:space="preserve"> w </w:t>
      </w:r>
      <w:r w:rsidRPr="00EC250C">
        <w:rPr>
          <w:rStyle w:val="Pogrubienie"/>
          <w:b w:val="0"/>
          <w:bCs w:val="0"/>
        </w:rPr>
        <w:t>pierwszej kolejności uwzględniane są wszelkie zalecenia personelu medycznego,</w:t>
      </w:r>
      <w:r w:rsidR="00992FD0" w:rsidRPr="00EC250C">
        <w:rPr>
          <w:rStyle w:val="Pogrubienie"/>
          <w:b w:val="0"/>
          <w:bCs w:val="0"/>
        </w:rPr>
        <w:t xml:space="preserve"> a </w:t>
      </w:r>
      <w:r w:rsidRPr="00EC250C">
        <w:rPr>
          <w:rStyle w:val="Pogrubienie"/>
          <w:b w:val="0"/>
          <w:bCs w:val="0"/>
        </w:rPr>
        <w:t>priorytetem jest stosowanie zapisów ustawy</w:t>
      </w:r>
      <w:r w:rsidR="00992FD0" w:rsidRPr="00EC250C">
        <w:rPr>
          <w:rStyle w:val="Pogrubienie"/>
          <w:b w:val="0"/>
          <w:bCs w:val="0"/>
        </w:rPr>
        <w:t xml:space="preserve"> o </w:t>
      </w:r>
      <w:r w:rsidRPr="00EC250C">
        <w:rPr>
          <w:rStyle w:val="Pogrubienie"/>
          <w:b w:val="0"/>
          <w:bCs w:val="0"/>
        </w:rPr>
        <w:t>ochronie zdrowia psychicznego. Niemniej jednak osoby te mają również status osób pozbawionych wolności lub tymczasowo aresztowanych,</w:t>
      </w:r>
      <w:r w:rsidR="00992FD0" w:rsidRPr="00EC250C">
        <w:rPr>
          <w:rStyle w:val="Pogrubienie"/>
          <w:b w:val="0"/>
          <w:bCs w:val="0"/>
        </w:rPr>
        <w:t xml:space="preserve"> a </w:t>
      </w:r>
      <w:r w:rsidRPr="00EC250C">
        <w:rPr>
          <w:rStyle w:val="Pogrubienie"/>
          <w:b w:val="0"/>
          <w:bCs w:val="0"/>
        </w:rPr>
        <w:t>ustawowymi obowiązkami Służby Więziennej jest przede wszystkim podejmowanie odpowiednich działań celem zapewnienia im bezpieczeństwa osobistego</w:t>
      </w:r>
      <w:r w:rsidR="00992FD0" w:rsidRPr="00EC250C">
        <w:rPr>
          <w:rStyle w:val="Pogrubienie"/>
          <w:b w:val="0"/>
          <w:bCs w:val="0"/>
        </w:rPr>
        <w:t xml:space="preserve"> w </w:t>
      </w:r>
      <w:r w:rsidRPr="00EC250C">
        <w:rPr>
          <w:rStyle w:val="Pogrubienie"/>
          <w:b w:val="0"/>
          <w:bCs w:val="0"/>
        </w:rPr>
        <w:t>czasie pobytu</w:t>
      </w:r>
      <w:r w:rsidR="00992FD0" w:rsidRPr="00EC250C">
        <w:rPr>
          <w:rStyle w:val="Pogrubienie"/>
          <w:b w:val="0"/>
          <w:bCs w:val="0"/>
        </w:rPr>
        <w:t xml:space="preserve"> w </w:t>
      </w:r>
      <w:r w:rsidRPr="00EC250C">
        <w:rPr>
          <w:rStyle w:val="Pogrubienie"/>
          <w:b w:val="0"/>
          <w:bCs w:val="0"/>
        </w:rPr>
        <w:t>więzieniu oraz bezpieczeństwa kadry więziennej.</w:t>
      </w:r>
    </w:p>
    <w:p w14:paraId="29108C36" w14:textId="77777777" w:rsidR="00C91F6E" w:rsidRPr="00EC250C" w:rsidRDefault="003A4348" w:rsidP="00EC250C">
      <w:pPr>
        <w:pStyle w:val="Nagwek5"/>
      </w:pPr>
      <w:bookmarkStart w:id="147" w:name="_Toc6257683"/>
      <w:bookmarkStart w:id="148" w:name="_Hlk532803813"/>
      <w:r w:rsidRPr="00EC250C">
        <w:lastRenderedPageBreak/>
        <w:t>Procedury przyjęcia osób nieubezwłasnowolnionych do zakładów opiekuńczo-leczniczych</w:t>
      </w:r>
      <w:bookmarkEnd w:id="147"/>
    </w:p>
    <w:bookmarkEnd w:id="148"/>
    <w:p w14:paraId="7ADFAA3D" w14:textId="77777777" w:rsidR="00D91FBD" w:rsidRPr="00EC250C" w:rsidRDefault="0030050B" w:rsidP="00D131FA">
      <w:pPr>
        <w:pStyle w:val="Problemczowieka"/>
        <w:jc w:val="both"/>
      </w:pPr>
      <w:r w:rsidRPr="00EC250C">
        <w:t>Jak ma wyglądać przyjęcie do ZOL osoby, która nie jest ubezwłasnowolniona, ale nie jest</w:t>
      </w:r>
      <w:r w:rsidR="00992FD0" w:rsidRPr="00EC250C">
        <w:t xml:space="preserve"> w </w:t>
      </w:r>
      <w:r w:rsidRPr="00EC250C">
        <w:t xml:space="preserve">stanie wyrazić </w:t>
      </w:r>
      <w:r w:rsidR="00D341A8" w:rsidRPr="00EC250C">
        <w:t xml:space="preserve">pisemnie </w:t>
      </w:r>
      <w:r w:rsidRPr="00EC250C">
        <w:t>swojej woli</w:t>
      </w:r>
      <w:r w:rsidR="00D91FBD" w:rsidRPr="00EC250C">
        <w:t>?</w:t>
      </w:r>
    </w:p>
    <w:p w14:paraId="7192CFF5" w14:textId="77777777" w:rsidR="003A4348" w:rsidRPr="00EC250C" w:rsidRDefault="0030050B" w:rsidP="00D131FA">
      <w:pPr>
        <w:pStyle w:val="Styl1"/>
        <w:rPr>
          <w:bCs/>
          <w:iCs/>
        </w:rPr>
      </w:pPr>
      <w:r w:rsidRPr="00EC250C">
        <w:rPr>
          <w:bCs/>
          <w:iCs/>
        </w:rPr>
        <w:t>Z</w:t>
      </w:r>
      <w:r w:rsidR="00764330" w:rsidRPr="00EC250C">
        <w:rPr>
          <w:bCs/>
          <w:iCs/>
        </w:rPr>
        <w:t>akłady opiekuńczo-lecznicze to placówki, do których przyjmowane są osoby, które są na tyle niesprawne, że nie są</w:t>
      </w:r>
      <w:r w:rsidR="00992FD0" w:rsidRPr="00EC250C">
        <w:rPr>
          <w:bCs/>
          <w:iCs/>
        </w:rPr>
        <w:t xml:space="preserve"> w </w:t>
      </w:r>
      <w:r w:rsidR="00764330" w:rsidRPr="00EC250C">
        <w:rPr>
          <w:bCs/>
          <w:iCs/>
        </w:rPr>
        <w:t xml:space="preserve">stanie się sobą </w:t>
      </w:r>
      <w:r w:rsidR="00764330" w:rsidRPr="00EC250C">
        <w:t>zająć</w:t>
      </w:r>
      <w:r w:rsidR="004733A6" w:rsidRPr="00EC250C">
        <w:t xml:space="preserve"> (przewlekle chore,</w:t>
      </w:r>
      <w:r w:rsidR="00992FD0" w:rsidRPr="00EC250C">
        <w:t xml:space="preserve"> z </w:t>
      </w:r>
      <w:r w:rsidR="004733A6" w:rsidRPr="00EC250C">
        <w:t>niepełnosprawnościami,</w:t>
      </w:r>
      <w:r w:rsidR="00992FD0" w:rsidRPr="00EC250C">
        <w:t xml:space="preserve"> w </w:t>
      </w:r>
      <w:r w:rsidR="004733A6" w:rsidRPr="00EC250C">
        <w:t>podeszłym wieku oraz pacjen</w:t>
      </w:r>
      <w:r w:rsidR="00DC0F62" w:rsidRPr="00EC250C">
        <w:t>ci</w:t>
      </w:r>
      <w:r w:rsidR="004733A6" w:rsidRPr="00EC250C">
        <w:t xml:space="preserve"> bez kontaktu</w:t>
      </w:r>
      <w:r w:rsidR="00992FD0" w:rsidRPr="00EC250C">
        <w:t xml:space="preserve"> z </w:t>
      </w:r>
      <w:r w:rsidR="004733A6" w:rsidRPr="00EC250C">
        <w:t>otoczeniem, wymagający kompleksowej, całodobowej opieki).</w:t>
      </w:r>
      <w:r w:rsidR="003744FC" w:rsidRPr="00EC250C">
        <w:rPr>
          <w:bCs/>
          <w:iCs/>
        </w:rPr>
        <w:t xml:space="preserve"> Problem, który zauważyli </w:t>
      </w:r>
      <w:r w:rsidR="003A4348" w:rsidRPr="00EC250C">
        <w:rPr>
          <w:bCs/>
          <w:iCs/>
        </w:rPr>
        <w:t>pracownicy Krajowego Mechanizmu Prewencji Tortur</w:t>
      </w:r>
      <w:r w:rsidR="003744FC" w:rsidRPr="00EC250C">
        <w:rPr>
          <w:bCs/>
          <w:iCs/>
        </w:rPr>
        <w:t>, dotyczy os</w:t>
      </w:r>
      <w:r w:rsidR="00DC6EEC" w:rsidRPr="00EC250C">
        <w:rPr>
          <w:bCs/>
          <w:iCs/>
        </w:rPr>
        <w:t>ó</w:t>
      </w:r>
      <w:r w:rsidR="003744FC" w:rsidRPr="00EC250C">
        <w:rPr>
          <w:bCs/>
          <w:iCs/>
        </w:rPr>
        <w:t>b, które są pełnoletnie</w:t>
      </w:r>
      <w:r w:rsidR="00992FD0" w:rsidRPr="00EC250C">
        <w:rPr>
          <w:bCs/>
          <w:iCs/>
        </w:rPr>
        <w:t xml:space="preserve"> i </w:t>
      </w:r>
      <w:r w:rsidR="003A4348" w:rsidRPr="00EC250C">
        <w:rPr>
          <w:bCs/>
          <w:iCs/>
        </w:rPr>
        <w:t>nieubezwłasnowolnion</w:t>
      </w:r>
      <w:r w:rsidR="003744FC" w:rsidRPr="00EC250C">
        <w:rPr>
          <w:bCs/>
          <w:iCs/>
        </w:rPr>
        <w:t xml:space="preserve">e, </w:t>
      </w:r>
      <w:r w:rsidR="004733A6" w:rsidRPr="00EC250C">
        <w:rPr>
          <w:bCs/>
          <w:iCs/>
        </w:rPr>
        <w:t>ale ze względu na stan psychofizyczny nie są</w:t>
      </w:r>
      <w:r w:rsidR="00992FD0" w:rsidRPr="00EC250C">
        <w:rPr>
          <w:bCs/>
          <w:iCs/>
        </w:rPr>
        <w:t xml:space="preserve"> w </w:t>
      </w:r>
      <w:r w:rsidR="004733A6" w:rsidRPr="00EC250C">
        <w:rPr>
          <w:bCs/>
          <w:iCs/>
        </w:rPr>
        <w:t>stanie samodzielnie podpisać wniosku</w:t>
      </w:r>
      <w:r w:rsidR="00992FD0" w:rsidRPr="00EC250C">
        <w:rPr>
          <w:bCs/>
          <w:iCs/>
        </w:rPr>
        <w:t xml:space="preserve"> o </w:t>
      </w:r>
      <w:r w:rsidR="004733A6" w:rsidRPr="00EC250C">
        <w:rPr>
          <w:bCs/>
          <w:iCs/>
        </w:rPr>
        <w:t>przyjęcie</w:t>
      </w:r>
      <w:r w:rsidR="00992FD0" w:rsidRPr="00EC250C">
        <w:rPr>
          <w:bCs/>
          <w:iCs/>
        </w:rPr>
        <w:t xml:space="preserve"> i </w:t>
      </w:r>
      <w:r w:rsidR="004733A6" w:rsidRPr="00EC250C">
        <w:rPr>
          <w:bCs/>
          <w:iCs/>
        </w:rPr>
        <w:t>nie mają jednocześnie ustanowionych przedstawicieli ustawowych, którzy mogliby tego obowiązku dopełnić.</w:t>
      </w:r>
    </w:p>
    <w:p w14:paraId="2840D621" w14:textId="77777777" w:rsidR="00C91F6E" w:rsidRPr="00EC250C" w:rsidRDefault="003744FC" w:rsidP="00D131FA">
      <w:pPr>
        <w:pStyle w:val="Styl1"/>
        <w:rPr>
          <w:bCs/>
          <w:iCs/>
        </w:rPr>
      </w:pPr>
      <w:r w:rsidRPr="00EC250C">
        <w:rPr>
          <w:bCs/>
          <w:iCs/>
        </w:rPr>
        <w:t>P</w:t>
      </w:r>
      <w:r w:rsidR="003A4348" w:rsidRPr="00EC250C">
        <w:rPr>
          <w:bCs/>
          <w:iCs/>
        </w:rPr>
        <w:t xml:space="preserve">roblem ten </w:t>
      </w:r>
      <w:r w:rsidRPr="00EC250C">
        <w:rPr>
          <w:bCs/>
          <w:iCs/>
        </w:rPr>
        <w:t xml:space="preserve">dotyczy </w:t>
      </w:r>
      <w:r w:rsidR="003A4348" w:rsidRPr="00EC250C">
        <w:rPr>
          <w:bCs/>
          <w:iCs/>
        </w:rPr>
        <w:t>wyłącznie zakładów opiekuńczo-leczniczych</w:t>
      </w:r>
      <w:r w:rsidR="00992FD0" w:rsidRPr="00EC250C">
        <w:rPr>
          <w:bCs/>
          <w:iCs/>
        </w:rPr>
        <w:t xml:space="preserve"> o </w:t>
      </w:r>
      <w:r w:rsidR="003A4348" w:rsidRPr="00EC250C">
        <w:rPr>
          <w:bCs/>
          <w:iCs/>
        </w:rPr>
        <w:t xml:space="preserve">charakterze ogólnym. W </w:t>
      </w:r>
      <w:r w:rsidRPr="00EC250C">
        <w:rPr>
          <w:bCs/>
          <w:iCs/>
        </w:rPr>
        <w:t>ZOL-u</w:t>
      </w:r>
      <w:r w:rsidR="00992FD0" w:rsidRPr="00EC250C">
        <w:rPr>
          <w:bCs/>
          <w:iCs/>
        </w:rPr>
        <w:t xml:space="preserve"> o </w:t>
      </w:r>
      <w:r w:rsidR="003A4348" w:rsidRPr="00EC250C">
        <w:rPr>
          <w:bCs/>
          <w:iCs/>
        </w:rPr>
        <w:t>profilu psychiatrycznym</w:t>
      </w:r>
      <w:r w:rsidRPr="00EC250C">
        <w:rPr>
          <w:bCs/>
          <w:iCs/>
        </w:rPr>
        <w:t xml:space="preserve"> można potrzebującego chorego umieścić na podstawie </w:t>
      </w:r>
      <w:r w:rsidR="003A4348" w:rsidRPr="00EC250C">
        <w:rPr>
          <w:bCs/>
          <w:iCs/>
        </w:rPr>
        <w:t>ustaw</w:t>
      </w:r>
      <w:r w:rsidRPr="00EC250C">
        <w:rPr>
          <w:bCs/>
          <w:iCs/>
        </w:rPr>
        <w:t>y</w:t>
      </w:r>
      <w:r w:rsidR="00992FD0" w:rsidRPr="00EC250C">
        <w:rPr>
          <w:bCs/>
          <w:iCs/>
        </w:rPr>
        <w:t xml:space="preserve"> o </w:t>
      </w:r>
      <w:r w:rsidR="003A4348" w:rsidRPr="00EC250C">
        <w:rPr>
          <w:bCs/>
          <w:iCs/>
        </w:rPr>
        <w:t>ochronie zdrowia psychicznego</w:t>
      </w:r>
      <w:r w:rsidR="003A4348" w:rsidRPr="00EC250C">
        <w:rPr>
          <w:rStyle w:val="Odwoanieprzypisudolnego"/>
          <w:bCs/>
          <w:iCs/>
        </w:rPr>
        <w:footnoteReference w:id="135"/>
      </w:r>
      <w:r w:rsidR="003A4348" w:rsidRPr="00EC250C">
        <w:rPr>
          <w:bCs/>
          <w:iCs/>
        </w:rPr>
        <w:t>.</w:t>
      </w:r>
    </w:p>
    <w:p w14:paraId="5A6367A9" w14:textId="77777777" w:rsidR="00C91F6E" w:rsidRPr="00EC250C" w:rsidRDefault="003A4348" w:rsidP="00D131FA">
      <w:pPr>
        <w:pStyle w:val="Styl1"/>
        <w:rPr>
          <w:bCs/>
          <w:iCs/>
        </w:rPr>
      </w:pPr>
      <w:r w:rsidRPr="00EC250C">
        <w:rPr>
          <w:bCs/>
          <w:iCs/>
        </w:rPr>
        <w:t xml:space="preserve">Zdaniem Rzecznika </w:t>
      </w:r>
      <w:r w:rsidR="007447EE" w:rsidRPr="00EC250C">
        <w:rPr>
          <w:bCs/>
          <w:iCs/>
        </w:rPr>
        <w:t xml:space="preserve">Praw Obywatelskich </w:t>
      </w:r>
      <w:r w:rsidRPr="00EC250C">
        <w:rPr>
          <w:bCs/>
          <w:iCs/>
        </w:rPr>
        <w:t xml:space="preserve">pożądane byłoby uregulowanie tej kwestii np. </w:t>
      </w:r>
      <w:r w:rsidR="003744FC" w:rsidRPr="00EC250C">
        <w:rPr>
          <w:bCs/>
          <w:iCs/>
        </w:rPr>
        <w:t>poprzez</w:t>
      </w:r>
      <w:r w:rsidRPr="00EC250C">
        <w:rPr>
          <w:bCs/>
          <w:iCs/>
        </w:rPr>
        <w:t xml:space="preserve"> przyznanie członkom rodzin takich osób</w:t>
      </w:r>
      <w:r w:rsidR="00992FD0" w:rsidRPr="00EC250C">
        <w:rPr>
          <w:bCs/>
          <w:iCs/>
        </w:rPr>
        <w:t xml:space="preserve"> i </w:t>
      </w:r>
      <w:r w:rsidRPr="00EC250C">
        <w:rPr>
          <w:bCs/>
          <w:iCs/>
        </w:rPr>
        <w:t>innym osobom bliskim legitymacji do występowania do sądów</w:t>
      </w:r>
      <w:r w:rsidR="00992FD0" w:rsidRPr="00EC250C">
        <w:rPr>
          <w:bCs/>
          <w:iCs/>
        </w:rPr>
        <w:t xml:space="preserve"> w </w:t>
      </w:r>
      <w:r w:rsidRPr="00EC250C">
        <w:rPr>
          <w:bCs/>
          <w:iCs/>
        </w:rPr>
        <w:t>sprawie umieszczenia</w:t>
      </w:r>
      <w:r w:rsidR="00992FD0" w:rsidRPr="00EC250C">
        <w:rPr>
          <w:bCs/>
          <w:iCs/>
        </w:rPr>
        <w:t xml:space="preserve"> w </w:t>
      </w:r>
      <w:r w:rsidRPr="00EC250C">
        <w:rPr>
          <w:bCs/>
          <w:iCs/>
        </w:rPr>
        <w:t>placówce.</w:t>
      </w:r>
    </w:p>
    <w:p w14:paraId="328C96A9" w14:textId="77777777" w:rsidR="003A4348" w:rsidRPr="00EC250C" w:rsidRDefault="007447EE" w:rsidP="00D131FA">
      <w:pPr>
        <w:pStyle w:val="Styl1"/>
        <w:rPr>
          <w:bCs/>
          <w:iCs/>
        </w:rPr>
      </w:pPr>
      <w:r w:rsidRPr="00EC250C">
        <w:rPr>
          <w:bCs/>
          <w:iCs/>
        </w:rPr>
        <w:t xml:space="preserve">RPO </w:t>
      </w:r>
      <w:r w:rsidR="003A4348" w:rsidRPr="00EC250C">
        <w:rPr>
          <w:bCs/>
          <w:iCs/>
        </w:rPr>
        <w:t>zwrócił się</w:t>
      </w:r>
      <w:r w:rsidR="00992FD0" w:rsidRPr="00EC250C">
        <w:rPr>
          <w:bCs/>
          <w:iCs/>
        </w:rPr>
        <w:t xml:space="preserve"> z </w:t>
      </w:r>
      <w:r w:rsidR="003744FC" w:rsidRPr="00EC250C">
        <w:rPr>
          <w:bCs/>
          <w:iCs/>
        </w:rPr>
        <w:t>taki postulatem</w:t>
      </w:r>
      <w:r w:rsidR="003A4348" w:rsidRPr="00EC250C">
        <w:rPr>
          <w:bCs/>
          <w:iCs/>
        </w:rPr>
        <w:t xml:space="preserve"> do Ministra Zdrowia</w:t>
      </w:r>
      <w:r w:rsidR="003744FC" w:rsidRPr="00EC250C">
        <w:rPr>
          <w:bCs/>
          <w:iCs/>
        </w:rPr>
        <w:t>, ten</w:t>
      </w:r>
      <w:r w:rsidR="003A4348" w:rsidRPr="00EC250C">
        <w:rPr>
          <w:bCs/>
          <w:iCs/>
        </w:rPr>
        <w:t xml:space="preserve"> </w:t>
      </w:r>
      <w:r w:rsidR="003744FC" w:rsidRPr="00EC250C">
        <w:rPr>
          <w:bCs/>
          <w:iCs/>
        </w:rPr>
        <w:t>jednak nie</w:t>
      </w:r>
      <w:r w:rsidR="003A4348" w:rsidRPr="00EC250C">
        <w:rPr>
          <w:bCs/>
          <w:iCs/>
        </w:rPr>
        <w:t xml:space="preserve"> widzi potrzeby zmiany </w:t>
      </w:r>
      <w:r w:rsidR="003744FC" w:rsidRPr="00EC250C">
        <w:rPr>
          <w:bCs/>
          <w:iCs/>
        </w:rPr>
        <w:t>prawa</w:t>
      </w:r>
      <w:r w:rsidR="00F3551D" w:rsidRPr="00EC250C">
        <w:rPr>
          <w:rStyle w:val="Odwoanieprzypisudolnego"/>
          <w:bCs/>
          <w:iCs/>
        </w:rPr>
        <w:footnoteReference w:id="136"/>
      </w:r>
      <w:r w:rsidR="003744FC" w:rsidRPr="00EC250C">
        <w:rPr>
          <w:bCs/>
          <w:iCs/>
        </w:rPr>
        <w:t>.</w:t>
      </w:r>
    </w:p>
    <w:p w14:paraId="567CAA2F" w14:textId="77777777" w:rsidR="00E259E0" w:rsidRPr="00EC250C" w:rsidRDefault="00E259E0" w:rsidP="00D131FA">
      <w:pPr>
        <w:spacing w:after="200" w:line="24" w:lineRule="auto"/>
        <w:jc w:val="both"/>
        <w:rPr>
          <w:spacing w:val="5"/>
          <w:sz w:val="24"/>
        </w:rPr>
      </w:pPr>
      <w:r w:rsidRPr="00EC250C">
        <w:rPr>
          <w:sz w:val="24"/>
        </w:rPr>
        <w:br w:type="page"/>
      </w:r>
    </w:p>
    <w:p w14:paraId="0799B048" w14:textId="77777777" w:rsidR="00C91F6E" w:rsidRPr="00EC250C" w:rsidRDefault="006A5E62" w:rsidP="00EC250C">
      <w:pPr>
        <w:pStyle w:val="Nagwek3"/>
      </w:pPr>
      <w:bookmarkStart w:id="149" w:name="_Toc6257684"/>
      <w:bookmarkStart w:id="150" w:name="_Toc11247589"/>
      <w:r w:rsidRPr="00EC250C">
        <w:lastRenderedPageBreak/>
        <w:t xml:space="preserve">Art. 41 </w:t>
      </w:r>
      <w:r w:rsidR="00DB1333" w:rsidRPr="00EC250C">
        <w:t xml:space="preserve">ust. 2 oraz ust. 3 </w:t>
      </w:r>
      <w:r w:rsidR="003C7122" w:rsidRPr="00EC250C">
        <w:t>Konstytucji</w:t>
      </w:r>
      <w:r w:rsidRPr="00EC250C">
        <w:t>– Prawa osób zatrzymanych</w:t>
      </w:r>
      <w:bookmarkEnd w:id="149"/>
      <w:bookmarkEnd w:id="150"/>
    </w:p>
    <w:p w14:paraId="2E0C8084" w14:textId="77777777" w:rsidR="006A5E62" w:rsidRPr="00EC250C" w:rsidRDefault="006A5E62" w:rsidP="00D131FA">
      <w:pPr>
        <w:pStyle w:val="konstytucja"/>
        <w:jc w:val="both"/>
      </w:pPr>
      <w:r w:rsidRPr="00EC250C">
        <w:t>2. Każdy pozbawiony wolności nie na podstawie wyroku sądowego ma prawo odwołania się do sądu</w:t>
      </w:r>
      <w:r w:rsidR="00992FD0" w:rsidRPr="00EC250C">
        <w:t xml:space="preserve"> w </w:t>
      </w:r>
      <w:r w:rsidRPr="00EC250C">
        <w:t>celu niezwłocznego ustalenia legalności tego pozbawienia. O pozbawieniu wolności powiadamia się niezwłocznie rodzinę lub osobę wskazaną przez pozbawionego wolności.</w:t>
      </w:r>
    </w:p>
    <w:p w14:paraId="30AB10EF" w14:textId="77777777" w:rsidR="006A5E62" w:rsidRPr="00EC250C" w:rsidRDefault="006A5E62" w:rsidP="00D131FA">
      <w:pPr>
        <w:pStyle w:val="konstytucja"/>
        <w:jc w:val="both"/>
      </w:pPr>
      <w:r w:rsidRPr="00EC250C">
        <w:t>3. Każdy zatrzymany powinien być niezwłocznie</w:t>
      </w:r>
      <w:r w:rsidR="00992FD0" w:rsidRPr="00EC250C">
        <w:t xml:space="preserve"> i w </w:t>
      </w:r>
      <w:r w:rsidRPr="00EC250C">
        <w:t>sposób zrozumiały dla niego poinformowany</w:t>
      </w:r>
      <w:r w:rsidR="00992FD0" w:rsidRPr="00EC250C">
        <w:t xml:space="preserve"> o </w:t>
      </w:r>
      <w:r w:rsidRPr="00EC250C">
        <w:t>przyczynach zatrzymania. Powinien on być</w:t>
      </w:r>
      <w:r w:rsidR="00992FD0" w:rsidRPr="00EC250C">
        <w:t xml:space="preserve"> w </w:t>
      </w:r>
      <w:r w:rsidRPr="00EC250C">
        <w:t>ciągu 48 godzin od chwili zatrzymania przekazany do dyspozycji sądu. Zatrzymanego należy zwolnić, jeżeli</w:t>
      </w:r>
      <w:r w:rsidR="00992FD0" w:rsidRPr="00EC250C">
        <w:t xml:space="preserve"> w </w:t>
      </w:r>
      <w:r w:rsidRPr="00EC250C">
        <w:t>ciągu 24 godzin od przekazania do dyspozycji sądu nie zostanie mu doręczone postanowienie sądu</w:t>
      </w:r>
      <w:r w:rsidR="00992FD0" w:rsidRPr="00EC250C">
        <w:t xml:space="preserve"> o </w:t>
      </w:r>
      <w:r w:rsidRPr="00EC250C">
        <w:t>tymczasowym aresztowaniu wraz</w:t>
      </w:r>
      <w:r w:rsidR="00992FD0" w:rsidRPr="00EC250C">
        <w:t xml:space="preserve"> z </w:t>
      </w:r>
      <w:r w:rsidRPr="00EC250C">
        <w:t>przedstawionymi zarzutami.</w:t>
      </w:r>
    </w:p>
    <w:p w14:paraId="2DB57785" w14:textId="77777777" w:rsidR="00C91F6E" w:rsidRPr="00EC250C" w:rsidRDefault="00D4375A" w:rsidP="00D131FA">
      <w:pPr>
        <w:pStyle w:val="ComwiKonstytucja"/>
      </w:pPr>
      <w:r w:rsidRPr="00EC250C">
        <w:t>Pozbawienie wolności osobistej nie oznacza pozbawienia jednostki możliwości decydowania</w:t>
      </w:r>
      <w:r w:rsidR="00992FD0" w:rsidRPr="00EC250C">
        <w:t xml:space="preserve"> o </w:t>
      </w:r>
      <w:r w:rsidRPr="00EC250C">
        <w:t>sobie, ale jedynie pozbawienie samej wolności osobistej. Orzeka</w:t>
      </w:r>
      <w:r w:rsidR="00992FD0" w:rsidRPr="00EC250C">
        <w:t xml:space="preserve"> o </w:t>
      </w:r>
      <w:r w:rsidRPr="00EC250C">
        <w:t>tym sąd. Zasada ta nie ma zastosowania do sytuacji ograniczenia wolności, chyba, że uzna tak ustawodawca.</w:t>
      </w:r>
    </w:p>
    <w:p w14:paraId="25B6E2DD" w14:textId="77777777" w:rsidR="00C91F6E" w:rsidRPr="00EC250C" w:rsidRDefault="00D4375A" w:rsidP="00D131FA">
      <w:pPr>
        <w:pStyle w:val="ComwiKonstytucja"/>
      </w:pPr>
      <w:r w:rsidRPr="00EC250C">
        <w:t>Konstytucja posługuje się także pojęciem „zatrzymanie”, które umożliwia innym instytucjom publicznym ingerencję</w:t>
      </w:r>
      <w:r w:rsidR="00992FD0" w:rsidRPr="00EC250C">
        <w:t xml:space="preserve"> w </w:t>
      </w:r>
      <w:r w:rsidRPr="00EC250C">
        <w:t>wolność. Musi się ono odbywać jednak wyjątkowo,</w:t>
      </w:r>
      <w:r w:rsidR="00992FD0" w:rsidRPr="00EC250C">
        <w:t xml:space="preserve"> w </w:t>
      </w:r>
      <w:r w:rsidRPr="00EC250C">
        <w:t>trybie</w:t>
      </w:r>
      <w:r w:rsidR="00992FD0" w:rsidRPr="00EC250C">
        <w:t xml:space="preserve"> i </w:t>
      </w:r>
      <w:r w:rsidRPr="00EC250C">
        <w:t>sytuacjach określonych na podstawie przepisów ustawy. Przedstawiciele władzy</w:t>
      </w:r>
      <w:r w:rsidR="00992FD0" w:rsidRPr="00EC250C">
        <w:t xml:space="preserve"> w </w:t>
      </w:r>
      <w:r w:rsidRPr="00EC250C">
        <w:t>momencie zatrzymania mają obowiązek niezwłocznego poinformowania zatrzymanego</w:t>
      </w:r>
      <w:r w:rsidR="00992FD0" w:rsidRPr="00EC250C">
        <w:t xml:space="preserve"> o </w:t>
      </w:r>
      <w:r w:rsidRPr="00EC250C">
        <w:t>przyczynach ich ingerencji. Poinformowanie to powinno polegać również na wskazaniu konieczności danej interwencji</w:t>
      </w:r>
      <w:r w:rsidR="00992FD0" w:rsidRPr="00EC250C">
        <w:t xml:space="preserve"> w </w:t>
      </w:r>
      <w:r w:rsidRPr="00EC250C">
        <w:t>formie zatrzymania.</w:t>
      </w:r>
    </w:p>
    <w:p w14:paraId="7429FEF1" w14:textId="77777777" w:rsidR="00C91F6E" w:rsidRPr="00EC250C" w:rsidRDefault="00D4375A" w:rsidP="00D131FA">
      <w:pPr>
        <w:pStyle w:val="ComwiKonstytucja"/>
      </w:pPr>
      <w:r w:rsidRPr="00EC250C">
        <w:t>Kolejny obowiązek spoczywający na władzach publicznych</w:t>
      </w:r>
      <w:r w:rsidR="00992FD0" w:rsidRPr="00EC250C">
        <w:t xml:space="preserve"> w </w:t>
      </w:r>
      <w:r w:rsidRPr="00EC250C">
        <w:t>sytuacji zatrzymania to przekazanie zatrzymanego</w:t>
      </w:r>
      <w:r w:rsidR="00992FD0" w:rsidRPr="00EC250C">
        <w:t xml:space="preserve"> w </w:t>
      </w:r>
      <w:r w:rsidRPr="00EC250C">
        <w:t>ciągu 48 godzin do dyspozycji sądu. Oznacza to między innymi obowiązek starannego rozważenia całokształtu sytuacji zatrzymanego</w:t>
      </w:r>
      <w:r w:rsidR="00992FD0" w:rsidRPr="00EC250C">
        <w:t xml:space="preserve"> i </w:t>
      </w:r>
      <w:r w:rsidRPr="00EC250C">
        <w:t>natychmiastowe zwolnienie go,</w:t>
      </w:r>
      <w:r w:rsidR="00992FD0" w:rsidRPr="00EC250C">
        <w:t xml:space="preserve"> o </w:t>
      </w:r>
      <w:r w:rsidRPr="00EC250C">
        <w:t>ile wygasły przyczyny zatrzymania.</w:t>
      </w:r>
    </w:p>
    <w:p w14:paraId="0A264868" w14:textId="77777777" w:rsidR="00847282" w:rsidRPr="00EC250C" w:rsidRDefault="00D4375A" w:rsidP="00D131FA">
      <w:pPr>
        <w:pStyle w:val="ComwiKonstytucja"/>
      </w:pPr>
      <w:r w:rsidRPr="00EC250C">
        <w:t>Przekazanie do dyspozycji sądu oznacza uznanie przez przedstawicieli władz konieczności podjęcia dalszych kroków prawnych wobec zatrzymanego. Powinno więc być połączone</w:t>
      </w:r>
      <w:r w:rsidR="00992FD0" w:rsidRPr="00EC250C">
        <w:t xml:space="preserve"> z </w:t>
      </w:r>
      <w:r w:rsidRPr="00EC250C">
        <w:t>odpowiednim wnioskiem,</w:t>
      </w:r>
      <w:r w:rsidR="00992FD0" w:rsidRPr="00EC250C">
        <w:t xml:space="preserve"> o </w:t>
      </w:r>
      <w:r w:rsidRPr="00EC250C">
        <w:t>czym należy poinformować zatrzymanego. Sąd</w:t>
      </w:r>
      <w:r w:rsidR="00992FD0" w:rsidRPr="00EC250C">
        <w:t xml:space="preserve"> w </w:t>
      </w:r>
      <w:r w:rsidRPr="00EC250C">
        <w:t>takiej sytuacji może zdecydować</w:t>
      </w:r>
      <w:r w:rsidR="00992FD0" w:rsidRPr="00EC250C">
        <w:t xml:space="preserve"> o </w:t>
      </w:r>
      <w:r w:rsidRPr="00EC250C">
        <w:t>zwolnieniu zatrzymanego lub tymczasowym aresztowaniu go (na doręczenie postanowienia sądu</w:t>
      </w:r>
      <w:r w:rsidR="00992FD0" w:rsidRPr="00EC250C">
        <w:t xml:space="preserve"> w </w:t>
      </w:r>
      <w:r w:rsidRPr="00EC250C">
        <w:t>tym zakresie przedstawiciele władz mają 24 godziny).</w:t>
      </w:r>
    </w:p>
    <w:p w14:paraId="79B48423" w14:textId="77777777" w:rsidR="00EE09AA" w:rsidRPr="00EC250C" w:rsidRDefault="00EE09AA" w:rsidP="00D131FA">
      <w:pPr>
        <w:pStyle w:val="ComwiKonstytucja"/>
      </w:pPr>
    </w:p>
    <w:p w14:paraId="1D3E2210" w14:textId="77777777" w:rsidR="009171EC" w:rsidRPr="00EC250C" w:rsidRDefault="009171EC" w:rsidP="00D131FA">
      <w:pPr>
        <w:spacing w:after="200" w:line="24" w:lineRule="auto"/>
        <w:jc w:val="both"/>
        <w:rPr>
          <w:spacing w:val="5"/>
          <w:sz w:val="24"/>
        </w:rPr>
      </w:pPr>
      <w:r w:rsidRPr="00EC250C">
        <w:rPr>
          <w:sz w:val="24"/>
        </w:rPr>
        <w:br w:type="page"/>
      </w:r>
    </w:p>
    <w:p w14:paraId="73AD704A" w14:textId="77777777" w:rsidR="005F7A02" w:rsidRPr="00EC250C" w:rsidRDefault="005F7A02" w:rsidP="00EC79EB">
      <w:pPr>
        <w:pStyle w:val="Nagwek4"/>
      </w:pPr>
      <w:bookmarkStart w:id="151" w:name="_Toc6257685"/>
      <w:bookmarkStart w:id="152" w:name="_Toc11247590"/>
      <w:bookmarkStart w:id="153" w:name="_Hlk5012682"/>
      <w:r w:rsidRPr="00EC250C">
        <w:lastRenderedPageBreak/>
        <w:t>Zatrzymania</w:t>
      </w:r>
      <w:r w:rsidR="00992FD0" w:rsidRPr="00EC250C">
        <w:t xml:space="preserve"> </w:t>
      </w:r>
      <w:r w:rsidR="00464A82" w:rsidRPr="00EC250C">
        <w:t>podczas</w:t>
      </w:r>
      <w:r w:rsidRPr="00EC250C">
        <w:t xml:space="preserve"> zgromadzeń</w:t>
      </w:r>
      <w:bookmarkEnd w:id="151"/>
      <w:bookmarkEnd w:id="152"/>
    </w:p>
    <w:p w14:paraId="5FB9B4BA" w14:textId="77777777" w:rsidR="00CA51FE" w:rsidRPr="00EC250C" w:rsidRDefault="00CA51FE" w:rsidP="00EC250C">
      <w:pPr>
        <w:pStyle w:val="Nagwek8"/>
      </w:pPr>
      <w:r w:rsidRPr="00EC250C">
        <w:t>Działania Policji podczas Marszu Niepodległości</w:t>
      </w:r>
      <w:r w:rsidR="00992FD0" w:rsidRPr="00EC250C">
        <w:t xml:space="preserve"> w </w:t>
      </w:r>
      <w:r w:rsidRPr="00EC250C">
        <w:t>2017</w:t>
      </w:r>
      <w:r w:rsidR="00D341A8" w:rsidRPr="00EC250C">
        <w:t xml:space="preserve"> roku</w:t>
      </w:r>
    </w:p>
    <w:p w14:paraId="7257287F" w14:textId="77777777" w:rsidR="00642DF4" w:rsidRPr="00EC250C" w:rsidRDefault="00642DF4" w:rsidP="00D131FA">
      <w:pPr>
        <w:pStyle w:val="Styl2"/>
        <w:rPr>
          <w:szCs w:val="24"/>
        </w:rPr>
      </w:pPr>
      <w:r w:rsidRPr="00EC250C">
        <w:rPr>
          <w:szCs w:val="24"/>
        </w:rPr>
        <w:t>W 2018</w:t>
      </w:r>
      <w:r w:rsidR="00C91F6E" w:rsidRPr="00EC250C">
        <w:rPr>
          <w:szCs w:val="24"/>
        </w:rPr>
        <w:t> r.</w:t>
      </w:r>
      <w:r w:rsidRPr="00EC250C">
        <w:rPr>
          <w:szCs w:val="24"/>
        </w:rPr>
        <w:t xml:space="preserve"> Rzecznik </w:t>
      </w:r>
      <w:r w:rsidR="007447EE" w:rsidRPr="00EC250C">
        <w:rPr>
          <w:szCs w:val="24"/>
        </w:rPr>
        <w:t xml:space="preserve">Praw Obywatelskich </w:t>
      </w:r>
      <w:r w:rsidRPr="00EC250C">
        <w:rPr>
          <w:szCs w:val="24"/>
        </w:rPr>
        <w:t>zajmował się sprawą działań policji</w:t>
      </w:r>
      <w:r w:rsidR="00992FD0" w:rsidRPr="00EC250C">
        <w:rPr>
          <w:szCs w:val="24"/>
        </w:rPr>
        <w:t xml:space="preserve"> w </w:t>
      </w:r>
      <w:r w:rsidRPr="00EC250C">
        <w:rPr>
          <w:szCs w:val="24"/>
        </w:rPr>
        <w:t>czasie Marszu Niepodległości</w:t>
      </w:r>
      <w:r w:rsidR="00992FD0" w:rsidRPr="00EC250C">
        <w:rPr>
          <w:szCs w:val="24"/>
        </w:rPr>
        <w:t xml:space="preserve"> z </w:t>
      </w:r>
      <w:r w:rsidRPr="00EC250C">
        <w:rPr>
          <w:szCs w:val="24"/>
        </w:rPr>
        <w:t>2017</w:t>
      </w:r>
      <w:r w:rsidR="00C91F6E" w:rsidRPr="00EC250C">
        <w:rPr>
          <w:szCs w:val="24"/>
        </w:rPr>
        <w:t> r.</w:t>
      </w:r>
      <w:r w:rsidRPr="00EC250C">
        <w:rPr>
          <w:szCs w:val="24"/>
        </w:rPr>
        <w:t xml:space="preserve"> Zwrócił się</w:t>
      </w:r>
      <w:r w:rsidRPr="00EC250C">
        <w:rPr>
          <w:rStyle w:val="Odwoanieprzypisudolnego"/>
          <w:szCs w:val="24"/>
        </w:rPr>
        <w:footnoteReference w:id="137"/>
      </w:r>
      <w:r w:rsidRPr="00EC250C">
        <w:rPr>
          <w:szCs w:val="24"/>
        </w:rPr>
        <w:t xml:space="preserve"> do Komendanta Głównego Policji wskazując, że przy wykonywaniu czynności podczas Marszu Niepodległości</w:t>
      </w:r>
      <w:r w:rsidR="00992FD0" w:rsidRPr="00EC250C">
        <w:rPr>
          <w:szCs w:val="24"/>
        </w:rPr>
        <w:t xml:space="preserve"> </w:t>
      </w:r>
      <w:r w:rsidRPr="00EC250C">
        <w:rPr>
          <w:szCs w:val="24"/>
        </w:rPr>
        <w:t>11 listopada 2017</w:t>
      </w:r>
      <w:r w:rsidR="00C91F6E" w:rsidRPr="00EC250C">
        <w:rPr>
          <w:szCs w:val="24"/>
        </w:rPr>
        <w:t> r.</w:t>
      </w:r>
      <w:r w:rsidRPr="00EC250C">
        <w:rPr>
          <w:szCs w:val="24"/>
        </w:rPr>
        <w:t xml:space="preserve"> funkcjonariusze policji</w:t>
      </w:r>
      <w:r w:rsidR="00992FD0" w:rsidRPr="00EC250C">
        <w:rPr>
          <w:szCs w:val="24"/>
        </w:rPr>
        <w:t xml:space="preserve"> w </w:t>
      </w:r>
      <w:r w:rsidRPr="00EC250C">
        <w:rPr>
          <w:szCs w:val="24"/>
        </w:rPr>
        <w:t>szerokim zakresie naruszyli prawa</w:t>
      </w:r>
      <w:r w:rsidR="00992FD0" w:rsidRPr="00EC250C">
        <w:rPr>
          <w:szCs w:val="24"/>
        </w:rPr>
        <w:t xml:space="preserve"> i </w:t>
      </w:r>
      <w:r w:rsidRPr="00EC250C">
        <w:rPr>
          <w:szCs w:val="24"/>
        </w:rPr>
        <w:t xml:space="preserve">wolności obywatelskie: nie </w:t>
      </w:r>
      <w:r w:rsidR="005A364A" w:rsidRPr="00EC250C">
        <w:rPr>
          <w:szCs w:val="24"/>
        </w:rPr>
        <w:t xml:space="preserve">działali skutecznie w </w:t>
      </w:r>
      <w:r w:rsidRPr="00EC250C">
        <w:rPr>
          <w:szCs w:val="24"/>
        </w:rPr>
        <w:t xml:space="preserve">celu usunięcie stanu zagrożenia uczestników </w:t>
      </w:r>
      <w:r w:rsidR="005A364A" w:rsidRPr="00EC250C">
        <w:rPr>
          <w:szCs w:val="24"/>
        </w:rPr>
        <w:t xml:space="preserve">przez </w:t>
      </w:r>
      <w:r w:rsidRPr="00EC250C">
        <w:rPr>
          <w:szCs w:val="24"/>
        </w:rPr>
        <w:t>powszechn</w:t>
      </w:r>
      <w:r w:rsidR="005A364A" w:rsidRPr="00EC250C">
        <w:rPr>
          <w:szCs w:val="24"/>
        </w:rPr>
        <w:t>e</w:t>
      </w:r>
      <w:r w:rsidRPr="00EC250C">
        <w:rPr>
          <w:szCs w:val="24"/>
        </w:rPr>
        <w:t xml:space="preserve"> uży</w:t>
      </w:r>
      <w:r w:rsidR="005A364A" w:rsidRPr="00EC250C">
        <w:rPr>
          <w:szCs w:val="24"/>
        </w:rPr>
        <w:t xml:space="preserve">wanie </w:t>
      </w:r>
      <w:r w:rsidRPr="00EC250C">
        <w:rPr>
          <w:szCs w:val="24"/>
        </w:rPr>
        <w:t>materiałów pirotechnicznych;</w:t>
      </w:r>
      <w:r w:rsidR="00992FD0" w:rsidRPr="00EC250C">
        <w:rPr>
          <w:szCs w:val="24"/>
        </w:rPr>
        <w:t xml:space="preserve"> i </w:t>
      </w:r>
      <w:r w:rsidRPr="00EC250C">
        <w:rPr>
          <w:szCs w:val="24"/>
        </w:rPr>
        <w:t>sprzecznie</w:t>
      </w:r>
      <w:r w:rsidR="00992FD0" w:rsidRPr="00EC250C">
        <w:rPr>
          <w:szCs w:val="24"/>
        </w:rPr>
        <w:t xml:space="preserve"> z </w:t>
      </w:r>
      <w:r w:rsidRPr="00EC250C">
        <w:rPr>
          <w:szCs w:val="24"/>
        </w:rPr>
        <w:t>prawem zatrzym</w:t>
      </w:r>
      <w:r w:rsidR="00986E81" w:rsidRPr="00EC250C">
        <w:rPr>
          <w:szCs w:val="24"/>
        </w:rPr>
        <w:t>ywali</w:t>
      </w:r>
      <w:r w:rsidRPr="00EC250C">
        <w:rPr>
          <w:szCs w:val="24"/>
        </w:rPr>
        <w:t xml:space="preserve"> osoby pragnące zamanifestować poglądy inne niż prezentowane przez uczestników Marszu oraz różnicując sposób swojej reakcji</w:t>
      </w:r>
      <w:r w:rsidR="00992FD0" w:rsidRPr="00EC250C">
        <w:rPr>
          <w:szCs w:val="24"/>
        </w:rPr>
        <w:t xml:space="preserve"> w </w:t>
      </w:r>
      <w:r w:rsidRPr="00EC250C">
        <w:rPr>
          <w:szCs w:val="24"/>
        </w:rPr>
        <w:t>zależności od tego, która</w:t>
      </w:r>
      <w:r w:rsidR="00992FD0" w:rsidRPr="00EC250C">
        <w:rPr>
          <w:szCs w:val="24"/>
        </w:rPr>
        <w:t xml:space="preserve"> z </w:t>
      </w:r>
      <w:r w:rsidRPr="00EC250C">
        <w:rPr>
          <w:szCs w:val="24"/>
        </w:rPr>
        <w:t>grup (uczestnicy Marszu czy też inne osoby) miała być przedmiotem interwencji.</w:t>
      </w:r>
    </w:p>
    <w:p w14:paraId="14B983AE" w14:textId="77777777" w:rsidR="00642DF4" w:rsidRPr="00EC250C" w:rsidRDefault="00642DF4" w:rsidP="00D131FA">
      <w:pPr>
        <w:pStyle w:val="Styl2"/>
        <w:rPr>
          <w:szCs w:val="24"/>
        </w:rPr>
      </w:pPr>
      <w:r w:rsidRPr="00EC250C">
        <w:rPr>
          <w:szCs w:val="24"/>
        </w:rPr>
        <w:t>Komendant Główny Policji poinformował, że Komendant Stołecznej Policji zlecił czynności wyjaśniające, ale zebrany materiał nie dał podstaw do wdrożenia procedury dyscyplinarnej. Działania policji</w:t>
      </w:r>
      <w:r w:rsidR="00992FD0" w:rsidRPr="00EC250C">
        <w:rPr>
          <w:szCs w:val="24"/>
        </w:rPr>
        <w:t xml:space="preserve"> w </w:t>
      </w:r>
      <w:r w:rsidRPr="00EC250C">
        <w:rPr>
          <w:szCs w:val="24"/>
        </w:rPr>
        <w:t>trakcie Marszu Niepodległości były zasadne</w:t>
      </w:r>
      <w:r w:rsidR="00992FD0" w:rsidRPr="00EC250C">
        <w:rPr>
          <w:szCs w:val="24"/>
        </w:rPr>
        <w:t xml:space="preserve"> i </w:t>
      </w:r>
      <w:r w:rsidRPr="00EC250C">
        <w:rPr>
          <w:szCs w:val="24"/>
        </w:rPr>
        <w:t>prawidłowe.</w:t>
      </w:r>
    </w:p>
    <w:bookmarkEnd w:id="153"/>
    <w:p w14:paraId="2BFD6149" w14:textId="77777777" w:rsidR="00CA51FE" w:rsidRPr="00EC250C" w:rsidRDefault="00CA51FE" w:rsidP="00D131FA">
      <w:pPr>
        <w:pStyle w:val="ODESANIE"/>
        <w:jc w:val="both"/>
      </w:pPr>
      <w:r w:rsidRPr="00EC250C">
        <w:t>Prawo do pokojowych zgromadzeń – patrz art. 57 Konstytucji</w:t>
      </w:r>
    </w:p>
    <w:p w14:paraId="3289F467" w14:textId="77777777" w:rsidR="00C91F6E" w:rsidRPr="00EC250C" w:rsidRDefault="009171EC" w:rsidP="00EC79EB">
      <w:pPr>
        <w:pStyle w:val="Nagwek4"/>
      </w:pPr>
      <w:bookmarkStart w:id="154" w:name="_Toc6257686"/>
      <w:bookmarkStart w:id="155" w:name="_Toc11247591"/>
      <w:r w:rsidRPr="00EC250C">
        <w:t xml:space="preserve">Prawo </w:t>
      </w:r>
      <w:r w:rsidR="00E07575" w:rsidRPr="00EC250C">
        <w:t xml:space="preserve">do pomocy i rady adwokata </w:t>
      </w:r>
      <w:r w:rsidRPr="00EC250C">
        <w:t>od momentu zatrzymania</w:t>
      </w:r>
      <w:bookmarkEnd w:id="154"/>
      <w:bookmarkEnd w:id="155"/>
    </w:p>
    <w:p w14:paraId="7171E6CF" w14:textId="77777777" w:rsidR="00B473F5" w:rsidRPr="00EC250C" w:rsidRDefault="003E2D96" w:rsidP="00D131FA">
      <w:pPr>
        <w:pStyle w:val="Problemczowieka"/>
        <w:jc w:val="both"/>
        <w:rPr>
          <w:rStyle w:val="Pogrubienie"/>
          <w:b/>
          <w:bCs w:val="0"/>
        </w:rPr>
      </w:pPr>
      <w:r w:rsidRPr="00EC250C">
        <w:rPr>
          <w:rStyle w:val="Pogrubienie"/>
          <w:b/>
          <w:bCs w:val="0"/>
        </w:rPr>
        <w:t>Nie każda osoba zatrzymana</w:t>
      </w:r>
      <w:r w:rsidR="00992FD0" w:rsidRPr="00EC250C">
        <w:rPr>
          <w:rStyle w:val="Pogrubienie"/>
          <w:b/>
          <w:bCs w:val="0"/>
        </w:rPr>
        <w:t xml:space="preserve"> w </w:t>
      </w:r>
      <w:r w:rsidRPr="00EC250C">
        <w:rPr>
          <w:rStyle w:val="Pogrubienie"/>
          <w:b/>
          <w:bCs w:val="0"/>
        </w:rPr>
        <w:t>Polsce ma od razu dostęp do obrońcy</w:t>
      </w:r>
      <w:r w:rsidR="00B473F5" w:rsidRPr="00EC250C">
        <w:rPr>
          <w:rStyle w:val="Pogrubienie"/>
          <w:b/>
          <w:bCs w:val="0"/>
        </w:rPr>
        <w:t>.</w:t>
      </w:r>
    </w:p>
    <w:p w14:paraId="39B099C5" w14:textId="77777777" w:rsidR="003E2D96" w:rsidRPr="00EC250C" w:rsidRDefault="004733A6" w:rsidP="00D131FA">
      <w:pPr>
        <w:pStyle w:val="Styl1"/>
      </w:pPr>
      <w:r w:rsidRPr="00EC250C">
        <w:rPr>
          <w:rStyle w:val="Pogrubienie"/>
          <w:b w:val="0"/>
          <w:bCs w:val="0"/>
        </w:rPr>
        <w:t>O to, by zmienić polskie prawo tak, by każdy – bez względu na stopień zamożności czy wykształcenia – miał po zatrzymaniu natychmiastowy dostęp do obrońcy</w:t>
      </w:r>
      <w:r w:rsidR="00BE554D" w:rsidRPr="00EC250C">
        <w:rPr>
          <w:rStyle w:val="Pogrubienie"/>
          <w:b w:val="0"/>
          <w:bCs w:val="0"/>
        </w:rPr>
        <w:t xml:space="preserve"> –</w:t>
      </w:r>
      <w:r w:rsidRPr="00EC250C">
        <w:rPr>
          <w:rStyle w:val="Pogrubienie"/>
          <w:b w:val="0"/>
          <w:bCs w:val="0"/>
        </w:rPr>
        <w:t xml:space="preserve"> opowiadają się zarówno </w:t>
      </w:r>
      <w:r w:rsidRPr="00EC250C">
        <w:t xml:space="preserve">Podkomitet ONZ do Spraw Zapobiegania Torturom oraz Nieludzkiemu lub Poniżającemu Traktowaniu albo Karaniu (SPT) </w:t>
      </w:r>
      <w:r w:rsidRPr="00EC250C">
        <w:rPr>
          <w:rStyle w:val="Pogrubienie"/>
          <w:b w:val="0"/>
          <w:bCs w:val="0"/>
        </w:rPr>
        <w:t xml:space="preserve">oraz </w:t>
      </w:r>
      <w:r w:rsidRPr="00EC250C">
        <w:t>Europejski Komitet Zapobiegania Torturom oraz Nieludzkiemu</w:t>
      </w:r>
      <w:r w:rsidR="00992FD0" w:rsidRPr="00EC250C">
        <w:t xml:space="preserve"> i </w:t>
      </w:r>
      <w:r w:rsidRPr="00EC250C">
        <w:t xml:space="preserve">Poniżającemu Traktowaniu (CPT). </w:t>
      </w:r>
      <w:r w:rsidR="003E2D96" w:rsidRPr="00EC250C">
        <w:rPr>
          <w:rStyle w:val="Pogrubienie"/>
          <w:b w:val="0"/>
          <w:bCs w:val="0"/>
        </w:rPr>
        <w:t>Od 2017</w:t>
      </w:r>
      <w:r w:rsidR="00C91F6E" w:rsidRPr="00EC250C">
        <w:rPr>
          <w:rStyle w:val="Pogrubienie"/>
          <w:b w:val="0"/>
          <w:bCs w:val="0"/>
        </w:rPr>
        <w:t> r.</w:t>
      </w:r>
      <w:r w:rsidR="003E2D96" w:rsidRPr="00EC250C">
        <w:rPr>
          <w:rStyle w:val="Pogrubienie"/>
          <w:b w:val="0"/>
          <w:bCs w:val="0"/>
        </w:rPr>
        <w:t xml:space="preserve"> RPO apeluje do Ministra Sprawiedliwości, który do końca 2018</w:t>
      </w:r>
      <w:r w:rsidR="00C91F6E" w:rsidRPr="00EC250C">
        <w:rPr>
          <w:rStyle w:val="Pogrubienie"/>
          <w:b w:val="0"/>
          <w:bCs w:val="0"/>
        </w:rPr>
        <w:t> r.</w:t>
      </w:r>
      <w:r w:rsidR="003E2D96" w:rsidRPr="00EC250C">
        <w:rPr>
          <w:rStyle w:val="Pogrubienie"/>
          <w:b w:val="0"/>
          <w:bCs w:val="0"/>
        </w:rPr>
        <w:t xml:space="preserve"> nie odpowiedział </w:t>
      </w:r>
      <w:r w:rsidRPr="00EC250C">
        <w:rPr>
          <w:rStyle w:val="Pogrubienie"/>
          <w:b w:val="0"/>
          <w:bCs w:val="0"/>
        </w:rPr>
        <w:t>na wystąpienia</w:t>
      </w:r>
      <w:r w:rsidR="00992FD0" w:rsidRPr="00EC250C">
        <w:rPr>
          <w:rStyle w:val="Pogrubienie"/>
          <w:b w:val="0"/>
          <w:bCs w:val="0"/>
        </w:rPr>
        <w:t xml:space="preserve"> i </w:t>
      </w:r>
      <w:r w:rsidRPr="00EC250C">
        <w:rPr>
          <w:rStyle w:val="Pogrubienie"/>
          <w:b w:val="0"/>
          <w:bCs w:val="0"/>
        </w:rPr>
        <w:t>zawarte</w:t>
      </w:r>
      <w:r w:rsidR="00992FD0" w:rsidRPr="00EC250C">
        <w:rPr>
          <w:rStyle w:val="Pogrubienie"/>
          <w:b w:val="0"/>
          <w:bCs w:val="0"/>
        </w:rPr>
        <w:t xml:space="preserve"> w </w:t>
      </w:r>
      <w:r w:rsidRPr="00EC250C">
        <w:rPr>
          <w:rStyle w:val="Pogrubienie"/>
          <w:b w:val="0"/>
          <w:bCs w:val="0"/>
        </w:rPr>
        <w:t>nich argumenty</w:t>
      </w:r>
      <w:r w:rsidR="003E2D96" w:rsidRPr="00EC250C">
        <w:rPr>
          <w:rStyle w:val="Pogrubienie"/>
          <w:b w:val="0"/>
          <w:bCs w:val="0"/>
        </w:rPr>
        <w:t>.</w:t>
      </w:r>
    </w:p>
    <w:p w14:paraId="4707FD19" w14:textId="77777777" w:rsidR="003E2D96" w:rsidRPr="00EC250C" w:rsidRDefault="003E2D96" w:rsidP="00D131FA">
      <w:pPr>
        <w:pStyle w:val="Styl1"/>
      </w:pPr>
      <w:r w:rsidRPr="00EC250C">
        <w:t>Dostęp zatrzymanego do obrońcy od początku zatrzymania uważany jest za podstawową gwarancję prewencji tortur, na co wskazują międzynarodowe standardy, instytucje monitorujące</w:t>
      </w:r>
      <w:r w:rsidR="00992FD0" w:rsidRPr="00EC250C">
        <w:t xml:space="preserve"> i </w:t>
      </w:r>
      <w:r w:rsidRPr="00EC250C">
        <w:t>środowiska eksperckie. System taki musi objąć wszystkie osoby zatrzymane,</w:t>
      </w:r>
      <w:r w:rsidR="00992FD0" w:rsidRPr="00EC250C">
        <w:t xml:space="preserve"> w </w:t>
      </w:r>
      <w:r w:rsidRPr="00EC250C">
        <w:t>tym także niezamożne. Będzie to służyć zarówno obywatelom, funkcjonariuszom dokonujących zatrzymania, jak</w:t>
      </w:r>
      <w:r w:rsidR="00992FD0" w:rsidRPr="00EC250C">
        <w:t xml:space="preserve"> i </w:t>
      </w:r>
      <w:r w:rsidRPr="00EC250C">
        <w:t>całemu wymiarowi sprawiedliwości.</w:t>
      </w:r>
    </w:p>
    <w:p w14:paraId="18857C74" w14:textId="77777777" w:rsidR="003E2D96" w:rsidRPr="00EC250C" w:rsidRDefault="003E2D96" w:rsidP="00D131FA">
      <w:pPr>
        <w:pStyle w:val="Styl1"/>
      </w:pPr>
      <w:r w:rsidRPr="00EC250C">
        <w:t xml:space="preserve">Wobec braku odpowiedzi, RPO ponowił wystąpienie do </w:t>
      </w:r>
      <w:r w:rsidR="00F3551D" w:rsidRPr="00EC250C">
        <w:t>M</w:t>
      </w:r>
      <w:r w:rsidRPr="00EC250C">
        <w:t xml:space="preserve">inistra </w:t>
      </w:r>
      <w:r w:rsidR="00F3551D" w:rsidRPr="00EC250C">
        <w:t>Sprawiedliwości,</w:t>
      </w:r>
      <w:r w:rsidR="00992FD0" w:rsidRPr="00EC250C">
        <w:t xml:space="preserve"> a </w:t>
      </w:r>
      <w:r w:rsidRPr="00EC250C">
        <w:t>8 stycznia 2018</w:t>
      </w:r>
      <w:r w:rsidR="00C91F6E" w:rsidRPr="00EC250C">
        <w:t> r.</w:t>
      </w:r>
      <w:r w:rsidRPr="00EC250C">
        <w:t xml:space="preserve"> napisał do premiera. 26 kwietnia 2018</w:t>
      </w:r>
      <w:r w:rsidR="00C91F6E" w:rsidRPr="00EC250C">
        <w:t> r.</w:t>
      </w:r>
      <w:r w:rsidRPr="00EC250C">
        <w:t xml:space="preserve"> RPO napisał premierowi, że nadal nie otrzymał stanowiska ministra</w:t>
      </w:r>
      <w:r w:rsidRPr="00EC250C">
        <w:rPr>
          <w:rStyle w:val="Odwoanieprzypisudolnego"/>
        </w:rPr>
        <w:footnoteReference w:id="138"/>
      </w:r>
      <w:r w:rsidRPr="00EC250C">
        <w:t>.</w:t>
      </w:r>
    </w:p>
    <w:p w14:paraId="540435D9" w14:textId="77777777" w:rsidR="00224D26" w:rsidRPr="00EC250C" w:rsidRDefault="00224D26" w:rsidP="00EC79EB">
      <w:pPr>
        <w:pStyle w:val="Nagwek4"/>
      </w:pPr>
      <w:bookmarkStart w:id="156" w:name="_Toc11247592"/>
      <w:bookmarkStart w:id="157" w:name="_Hlk11227318"/>
      <w:r w:rsidRPr="00EC250C">
        <w:lastRenderedPageBreak/>
        <w:t>Skargi na niezasadność zatrzymania</w:t>
      </w:r>
      <w:bookmarkEnd w:id="156"/>
    </w:p>
    <w:p w14:paraId="40929927" w14:textId="77777777" w:rsidR="00B473F5" w:rsidRPr="00EC250C" w:rsidRDefault="000E5D1A" w:rsidP="00D131FA">
      <w:pPr>
        <w:pStyle w:val="Problemczowieka"/>
        <w:jc w:val="both"/>
      </w:pPr>
      <w:r w:rsidRPr="00EC250C">
        <w:t>Przedmiotem zainteresowania</w:t>
      </w:r>
      <w:r w:rsidR="007447EE" w:rsidRPr="00EC250C">
        <w:t xml:space="preserve"> RPO </w:t>
      </w:r>
      <w:r w:rsidR="00992FD0" w:rsidRPr="00EC250C">
        <w:t>w </w:t>
      </w:r>
      <w:r w:rsidRPr="00EC250C">
        <w:t>2018</w:t>
      </w:r>
      <w:r w:rsidR="00C91F6E" w:rsidRPr="00EC250C">
        <w:t> r.</w:t>
      </w:r>
      <w:r w:rsidRPr="00EC250C">
        <w:t xml:space="preserve"> były dokonywane przez policję lub inne służby zatrzymania na podstawie zarządzenia prokuratora</w:t>
      </w:r>
      <w:r w:rsidR="00B473F5" w:rsidRPr="00EC250C">
        <w:t>.</w:t>
      </w:r>
    </w:p>
    <w:p w14:paraId="530A4668" w14:textId="77777777" w:rsidR="000E5D1A" w:rsidRPr="00EC250C" w:rsidRDefault="000E5D1A" w:rsidP="00D131FA">
      <w:pPr>
        <w:pStyle w:val="Styl1"/>
      </w:pPr>
      <w:r w:rsidRPr="00EC250C">
        <w:t>Chodzi m.in.</w:t>
      </w:r>
      <w:r w:rsidR="00992FD0" w:rsidRPr="00EC250C">
        <w:t xml:space="preserve"> o </w:t>
      </w:r>
      <w:r w:rsidRPr="00EC250C">
        <w:t>sprawy Wojciecha Kwaśniaka</w:t>
      </w:r>
      <w:r w:rsidR="00992FD0" w:rsidRPr="00EC250C">
        <w:t xml:space="preserve"> i </w:t>
      </w:r>
      <w:r w:rsidRPr="00EC250C">
        <w:t>innych pracowników Komisji Nadzoru Finansowego</w:t>
      </w:r>
      <w:r w:rsidRPr="00EC250C">
        <w:rPr>
          <w:rStyle w:val="Odwoanieprzypisudolnego"/>
        </w:rPr>
        <w:footnoteReference w:id="139"/>
      </w:r>
      <w:r w:rsidRPr="00EC250C">
        <w:t>, Władysława Frasyniuka</w:t>
      </w:r>
      <w:r w:rsidRPr="00EC250C">
        <w:rPr>
          <w:rStyle w:val="Odwoanieprzypisudolnego"/>
        </w:rPr>
        <w:footnoteReference w:id="140"/>
      </w:r>
      <w:r w:rsidRPr="00EC250C">
        <w:t>, czy Marka Chrzanowskiego</w:t>
      </w:r>
      <w:r w:rsidRPr="00EC250C">
        <w:rPr>
          <w:rStyle w:val="Odwoanieprzypisudolnego"/>
        </w:rPr>
        <w:footnoteReference w:id="141"/>
      </w:r>
    </w:p>
    <w:p w14:paraId="4C3BEA6F" w14:textId="77777777" w:rsidR="00C91F6E" w:rsidRPr="00EC250C" w:rsidRDefault="000E5D1A" w:rsidP="00D131FA">
      <w:pPr>
        <w:pStyle w:val="Styl1"/>
      </w:pPr>
      <w:r w:rsidRPr="00EC250C">
        <w:t>Sprawdzał też zatrzymania bez zarządzenia prokuratora (np. sprawa zatrzymania</w:t>
      </w:r>
      <w:r w:rsidR="00992FD0" w:rsidRPr="00EC250C">
        <w:t xml:space="preserve"> w </w:t>
      </w:r>
      <w:r w:rsidRPr="00EC250C">
        <w:t>dniu 20 lipca 2018 r czterech osób demonstrujących przed Sejmem RP</w:t>
      </w:r>
      <w:r w:rsidRPr="00EC250C">
        <w:rPr>
          <w:rStyle w:val="Odwoanieprzypisudolnego"/>
        </w:rPr>
        <w:footnoteReference w:id="142"/>
      </w:r>
      <w:r w:rsidRPr="00EC250C">
        <w:t>, zatrzymania osób próbujących zatrzymać marsz ONR</w:t>
      </w:r>
      <w:r w:rsidR="00992FD0" w:rsidRPr="00EC250C">
        <w:t xml:space="preserve"> w </w:t>
      </w:r>
      <w:r w:rsidRPr="00EC250C">
        <w:t>dniu 1 marca 2018</w:t>
      </w:r>
      <w:r w:rsidR="00C91F6E" w:rsidRPr="00EC250C">
        <w:t> r.</w:t>
      </w:r>
      <w:r w:rsidRPr="00EC250C">
        <w:rPr>
          <w:rStyle w:val="Odwoanieprzypisudolnego"/>
        </w:rPr>
        <w:footnoteReference w:id="143"/>
      </w:r>
      <w:r w:rsidRPr="00EC250C">
        <w:t>).</w:t>
      </w:r>
    </w:p>
    <w:p w14:paraId="406D7061" w14:textId="5F2A2008" w:rsidR="00CD7BD4" w:rsidRPr="00EC250C" w:rsidRDefault="007447EE" w:rsidP="001C7E31">
      <w:pPr>
        <w:pStyle w:val="Styl1"/>
      </w:pPr>
      <w:r w:rsidRPr="00EC250C">
        <w:t>RPO</w:t>
      </w:r>
      <w:r w:rsidR="000E5D1A" w:rsidRPr="00EC250C">
        <w:t xml:space="preserve"> zwracał uwagę zwłaszcza na to, czy zatrzymania te stanowiły uzasadnioną ingerencję</w:t>
      </w:r>
      <w:r w:rsidR="00992FD0" w:rsidRPr="00EC250C">
        <w:t xml:space="preserve"> w </w:t>
      </w:r>
      <w:r w:rsidR="000E5D1A" w:rsidRPr="00EC250C">
        <w:t>sferę prawa do wolności osobistej,</w:t>
      </w:r>
      <w:r w:rsidR="00992FD0" w:rsidRPr="00EC250C">
        <w:t xml:space="preserve"> a </w:t>
      </w:r>
      <w:r w:rsidR="000E5D1A" w:rsidRPr="00EC250C">
        <w:t>więc przede wszystkim, czy istniały przesłanki prawne</w:t>
      </w:r>
      <w:r w:rsidR="00992FD0" w:rsidRPr="00EC250C">
        <w:t xml:space="preserve"> i </w:t>
      </w:r>
      <w:r w:rsidR="000E5D1A" w:rsidRPr="00EC250C">
        <w:t>faktyczne do pozbawienia obywateli wolności. We wszystkich przypadkach Rzecznik analizował również prawidłowość czynności funkcjonariuszy przeprowadzających zatrzymanie</w:t>
      </w:r>
      <w:r w:rsidR="00992FD0" w:rsidRPr="00EC250C">
        <w:t xml:space="preserve"> w </w:t>
      </w:r>
      <w:r w:rsidR="000E5D1A" w:rsidRPr="00EC250C">
        <w:t>szczególności pod kątem zasadności użycia środków przymusu bezpośredniego</w:t>
      </w:r>
      <w:r w:rsidR="00224D26" w:rsidRPr="00EC250C">
        <w:rPr>
          <w:lang w:eastAsia="en-US"/>
        </w:rPr>
        <w:t>.</w:t>
      </w:r>
      <w:r w:rsidR="00CD7BD4" w:rsidRPr="00EC250C">
        <w:t xml:space="preserve"> </w:t>
      </w:r>
    </w:p>
    <w:p w14:paraId="74C229E9" w14:textId="675C8112" w:rsidR="00CD7BD4" w:rsidRPr="00EC250C" w:rsidRDefault="00CD7BD4" w:rsidP="001C7E31">
      <w:pPr>
        <w:pStyle w:val="Styl1"/>
      </w:pPr>
      <w:r w:rsidRPr="00EC250C">
        <w:t>Mar</w:t>
      </w:r>
      <w:r w:rsidR="001C7E31" w:rsidRPr="00EC250C">
        <w:t>e</w:t>
      </w:r>
      <w:r w:rsidRPr="00EC250C">
        <w:t xml:space="preserve">k Chrzanowski nie składał zażalenia na zatrzymanie. </w:t>
      </w:r>
      <w:r w:rsidR="001C7E31" w:rsidRPr="00EC250C">
        <w:t>Z</w:t>
      </w:r>
      <w:r w:rsidRPr="00EC250C">
        <w:t xml:space="preserve">atrzymanie Władysława Frasyniuka zostało uznane przez sąd jako legalne i zasadne ale jednocześnie sposób zatrzymania został oceniony jako nieprawidłowy ze względu na użycie środków przymusu bezpośredniego. </w:t>
      </w:r>
    </w:p>
    <w:p w14:paraId="57CECCC6" w14:textId="13FCE92D" w:rsidR="00CD7BD4" w:rsidRPr="00EC250C" w:rsidRDefault="00CD7BD4" w:rsidP="001C7E31">
      <w:pPr>
        <w:pStyle w:val="Styl1"/>
      </w:pPr>
      <w:r w:rsidRPr="00EC250C">
        <w:t>W sprawie zatrzymania 20 lipca 2018 r czterech osób demonstrujących przed Sejmem zażalenia na zatrzymanie złożyły dwie osoby. W jednym przypadku zażalenie nie zostało uwzględnione przez sąd, a zatem zatrzymanie było legalne, zasadne i prawidłowe. W drugim rozstrzygnięciu miało zapaść pod koniec maja 2019 r.</w:t>
      </w:r>
    </w:p>
    <w:p w14:paraId="1D4EBD7B" w14:textId="13CE5782" w:rsidR="00CD7BD4" w:rsidRPr="00EC250C" w:rsidRDefault="00CD7BD4" w:rsidP="001C7E31">
      <w:pPr>
        <w:pStyle w:val="Styl1"/>
      </w:pPr>
      <w:r w:rsidRPr="00EC250C">
        <w:t xml:space="preserve">W sprawie zatrzymania osób próbujących zatrzymać marsz ONR w dniu 1 marca 2018 r. dwóch zatrzymanych złożyło zażalenia na zatrzymanie. </w:t>
      </w:r>
    </w:p>
    <w:p w14:paraId="372937DF" w14:textId="77777777" w:rsidR="00CD7BD4" w:rsidRPr="00EC250C" w:rsidRDefault="00CD7BD4" w:rsidP="00D131FA">
      <w:pPr>
        <w:pStyle w:val="Styl1"/>
      </w:pPr>
    </w:p>
    <w:bookmarkEnd w:id="157"/>
    <w:p w14:paraId="011DAD05" w14:textId="77777777" w:rsidR="008E3922" w:rsidRPr="00EC250C" w:rsidRDefault="008E3922" w:rsidP="00D131FA">
      <w:pPr>
        <w:spacing w:after="200" w:line="24" w:lineRule="auto"/>
        <w:jc w:val="both"/>
        <w:rPr>
          <w:spacing w:val="5"/>
          <w:sz w:val="24"/>
        </w:rPr>
      </w:pPr>
      <w:r w:rsidRPr="00EC250C">
        <w:rPr>
          <w:sz w:val="24"/>
        </w:rPr>
        <w:br w:type="page"/>
      </w:r>
    </w:p>
    <w:p w14:paraId="6A835A60" w14:textId="77777777" w:rsidR="006A5E62" w:rsidRPr="00EC250C" w:rsidRDefault="006A5E62" w:rsidP="00EC250C">
      <w:pPr>
        <w:pStyle w:val="Nagwek3"/>
      </w:pPr>
      <w:bookmarkStart w:id="158" w:name="_Toc6257687"/>
      <w:bookmarkStart w:id="159" w:name="_Toc11247593"/>
      <w:r w:rsidRPr="00EC250C">
        <w:lastRenderedPageBreak/>
        <w:t xml:space="preserve">Art. 41 </w:t>
      </w:r>
      <w:r w:rsidR="00DB1333" w:rsidRPr="00EC250C">
        <w:t xml:space="preserve">ust. 4 </w:t>
      </w:r>
      <w:r w:rsidR="003C7122" w:rsidRPr="00EC250C">
        <w:t>Konstytucji</w:t>
      </w:r>
      <w:r w:rsidR="00264232" w:rsidRPr="00EC250C">
        <w:t xml:space="preserve"> </w:t>
      </w:r>
      <w:r w:rsidRPr="00EC250C">
        <w:t>– Prawo do humanitarnego traktowania</w:t>
      </w:r>
      <w:bookmarkEnd w:id="158"/>
      <w:bookmarkEnd w:id="159"/>
    </w:p>
    <w:p w14:paraId="4C2F129B" w14:textId="77777777" w:rsidR="006A5E62" w:rsidRPr="00EC250C" w:rsidRDefault="006A5E62" w:rsidP="00D131FA">
      <w:pPr>
        <w:pStyle w:val="konstytucja"/>
        <w:jc w:val="both"/>
      </w:pPr>
      <w:r w:rsidRPr="00EC250C">
        <w:t>Każdy pozbawiony wolności powinien być traktowany</w:t>
      </w:r>
      <w:r w:rsidR="00992FD0" w:rsidRPr="00EC250C">
        <w:t xml:space="preserve"> w </w:t>
      </w:r>
      <w:r w:rsidRPr="00EC250C">
        <w:t>sposób humanitarny.</w:t>
      </w:r>
    </w:p>
    <w:p w14:paraId="44E9A1AB" w14:textId="77777777" w:rsidR="00C91F6E" w:rsidRPr="00EC250C" w:rsidRDefault="00042076" w:rsidP="00D131FA">
      <w:pPr>
        <w:pStyle w:val="ComwiKonstytucja"/>
      </w:pPr>
      <w:r w:rsidRPr="00EC250C">
        <w:t>Humanitarne traktowanie to coś więcej niż zakaz tortur, okrutnego, poniżającego</w:t>
      </w:r>
      <w:r w:rsidR="00992FD0" w:rsidRPr="00EC250C">
        <w:t xml:space="preserve"> i </w:t>
      </w:r>
      <w:r w:rsidRPr="00EC250C">
        <w:t>nieludzkiego traktowania. Oznacza ono takie obchodzenie się</w:t>
      </w:r>
      <w:r w:rsidR="00992FD0" w:rsidRPr="00EC250C">
        <w:t xml:space="preserve"> z </w:t>
      </w:r>
      <w:r w:rsidRPr="00EC250C">
        <w:t>osobą pozbawioną wolności, które uwzględnia</w:t>
      </w:r>
      <w:r w:rsidR="00992FD0" w:rsidRPr="00EC250C">
        <w:t xml:space="preserve"> i </w:t>
      </w:r>
      <w:r w:rsidRPr="00EC250C">
        <w:t>respektuje pewne minimalne potrzeby każdego człowieka, odnosząc je do standardów danego społeczeństwa.</w:t>
      </w:r>
    </w:p>
    <w:p w14:paraId="51EC0366" w14:textId="77777777" w:rsidR="00042076" w:rsidRPr="00EC250C" w:rsidRDefault="00042076" w:rsidP="00D131FA">
      <w:pPr>
        <w:pStyle w:val="ComwiKonstytucja"/>
      </w:pPr>
      <w:r w:rsidRPr="00EC250C">
        <w:t>Warto podkreślić, że sposób traktowania osób pozbawionych wolności określono za pomocą najbardziej pojemnego terminu. Twórcy Konstytucji wykorzystali pojęcie humanitarnego traktowania, kierując się założeniem</w:t>
      </w:r>
      <w:r w:rsidR="00992FD0" w:rsidRPr="00EC250C">
        <w:t xml:space="preserve"> o </w:t>
      </w:r>
      <w:r w:rsidRPr="00EC250C">
        <w:t>możliwości resocjalizacji</w:t>
      </w:r>
      <w:r w:rsidR="00992FD0" w:rsidRPr="00EC250C">
        <w:t xml:space="preserve"> i </w:t>
      </w:r>
      <w:r w:rsidRPr="00EC250C">
        <w:t>powrotu do społeczeństwa. Dlatego rolą państwa jest także tworzenie warunków sprzyjających resocjalizacji</w:t>
      </w:r>
      <w:r w:rsidR="00992FD0" w:rsidRPr="00EC250C">
        <w:t xml:space="preserve"> i </w:t>
      </w:r>
      <w:r w:rsidRPr="00EC250C">
        <w:t>podejmowanie na szeroką skalę działań wychowawczych.</w:t>
      </w:r>
    </w:p>
    <w:p w14:paraId="664B3792" w14:textId="77777777" w:rsidR="00EE09AA" w:rsidRPr="00EC250C" w:rsidRDefault="00EE09AA" w:rsidP="00D131FA">
      <w:pPr>
        <w:pStyle w:val="ComwiKonstytucja"/>
      </w:pPr>
    </w:p>
    <w:p w14:paraId="6E9FBBDF" w14:textId="77777777" w:rsidR="00042076" w:rsidRPr="00EC250C" w:rsidRDefault="00042076" w:rsidP="00D131FA">
      <w:pPr>
        <w:spacing w:after="200" w:line="24" w:lineRule="auto"/>
        <w:jc w:val="both"/>
        <w:rPr>
          <w:i/>
          <w:spacing w:val="5"/>
          <w:sz w:val="22"/>
        </w:rPr>
      </w:pPr>
      <w:r w:rsidRPr="00EC250C">
        <w:rPr>
          <w:sz w:val="24"/>
        </w:rPr>
        <w:br w:type="page"/>
      </w:r>
    </w:p>
    <w:p w14:paraId="00F74011" w14:textId="77777777" w:rsidR="0036470E" w:rsidRPr="00EC250C" w:rsidRDefault="00CA51FE" w:rsidP="00EC79EB">
      <w:pPr>
        <w:pStyle w:val="Nagwek4"/>
      </w:pPr>
      <w:bookmarkStart w:id="160" w:name="_Toc6257688"/>
      <w:bookmarkStart w:id="161" w:name="_Toc11247594"/>
      <w:r w:rsidRPr="00EC250C">
        <w:lastRenderedPageBreak/>
        <w:t>Kilkunastoosobowe cele</w:t>
      </w:r>
      <w:r w:rsidR="00992FD0" w:rsidRPr="00EC250C">
        <w:t xml:space="preserve"> w </w:t>
      </w:r>
      <w:r w:rsidRPr="00EC250C">
        <w:t>więzieniach</w:t>
      </w:r>
      <w:bookmarkEnd w:id="160"/>
      <w:bookmarkEnd w:id="161"/>
    </w:p>
    <w:p w14:paraId="28618EF0" w14:textId="77777777" w:rsidR="00B473F5" w:rsidRPr="00EC250C" w:rsidRDefault="00FB2FAC" w:rsidP="00D131FA">
      <w:pPr>
        <w:pStyle w:val="Problemczowieka"/>
        <w:jc w:val="both"/>
        <w:rPr>
          <w:rStyle w:val="Pogrubienie"/>
          <w:b/>
          <w:bCs w:val="0"/>
        </w:rPr>
      </w:pPr>
      <w:r w:rsidRPr="00EC250C">
        <w:rPr>
          <w:rStyle w:val="Pogrubienie"/>
          <w:b/>
          <w:bCs w:val="0"/>
        </w:rPr>
        <w:t>Umieszczenie</w:t>
      </w:r>
      <w:r w:rsidR="00992FD0" w:rsidRPr="00EC250C">
        <w:rPr>
          <w:rStyle w:val="Pogrubienie"/>
          <w:b/>
          <w:bCs w:val="0"/>
        </w:rPr>
        <w:t xml:space="preserve"> w </w:t>
      </w:r>
      <w:r w:rsidRPr="00EC250C">
        <w:rPr>
          <w:rStyle w:val="Pogrubienie"/>
          <w:b/>
          <w:bCs w:val="0"/>
        </w:rPr>
        <w:t>bardzo dużych celach wielu osób, często mających trudności</w:t>
      </w:r>
      <w:r w:rsidR="00992FD0" w:rsidRPr="00EC250C">
        <w:rPr>
          <w:rStyle w:val="Pogrubienie"/>
          <w:b/>
          <w:bCs w:val="0"/>
        </w:rPr>
        <w:t xml:space="preserve"> z </w:t>
      </w:r>
      <w:r w:rsidRPr="00EC250C">
        <w:rPr>
          <w:rStyle w:val="Pogrubienie"/>
          <w:b/>
          <w:bCs w:val="0"/>
        </w:rPr>
        <w:t>kontrolowaniem emocji, stymuluje wzrost napięcia</w:t>
      </w:r>
      <w:r w:rsidR="00992FD0" w:rsidRPr="00EC250C">
        <w:rPr>
          <w:rStyle w:val="Pogrubienie"/>
          <w:b/>
          <w:bCs w:val="0"/>
        </w:rPr>
        <w:t xml:space="preserve"> i </w:t>
      </w:r>
      <w:r w:rsidRPr="00EC250C">
        <w:rPr>
          <w:rStyle w:val="Pogrubienie"/>
          <w:b/>
          <w:bCs w:val="0"/>
        </w:rPr>
        <w:t>stresu, które znajdują upust</w:t>
      </w:r>
      <w:r w:rsidR="00992FD0" w:rsidRPr="00EC250C">
        <w:rPr>
          <w:rStyle w:val="Pogrubienie"/>
          <w:b/>
          <w:bCs w:val="0"/>
        </w:rPr>
        <w:t xml:space="preserve"> w </w:t>
      </w:r>
      <w:r w:rsidRPr="00EC250C">
        <w:rPr>
          <w:rStyle w:val="Pogrubienie"/>
          <w:b/>
          <w:bCs w:val="0"/>
        </w:rPr>
        <w:t>sytuacjach konfliktowych. Każdy konflikt,</w:t>
      </w:r>
      <w:r w:rsidR="00992FD0" w:rsidRPr="00EC250C">
        <w:rPr>
          <w:rStyle w:val="Pogrubienie"/>
          <w:b/>
          <w:bCs w:val="0"/>
        </w:rPr>
        <w:t xml:space="preserve"> z </w:t>
      </w:r>
      <w:r w:rsidRPr="00EC250C">
        <w:rPr>
          <w:rStyle w:val="Pogrubienie"/>
          <w:b/>
          <w:bCs w:val="0"/>
        </w:rPr>
        <w:t>uwagi na możliwość eskalacji, stanowi</w:t>
      </w:r>
      <w:r w:rsidR="00992FD0" w:rsidRPr="00EC250C">
        <w:rPr>
          <w:rStyle w:val="Pogrubienie"/>
          <w:b/>
          <w:bCs w:val="0"/>
        </w:rPr>
        <w:t xml:space="preserve"> z </w:t>
      </w:r>
      <w:r w:rsidRPr="00EC250C">
        <w:rPr>
          <w:rStyle w:val="Pogrubienie"/>
          <w:b/>
          <w:bCs w:val="0"/>
        </w:rPr>
        <w:t>kolei zagrożenie dla wewnętrznego bezpieczeństwa jednostki</w:t>
      </w:r>
      <w:r w:rsidR="00992FD0" w:rsidRPr="00EC250C">
        <w:rPr>
          <w:rStyle w:val="Pogrubienie"/>
          <w:b/>
          <w:bCs w:val="0"/>
        </w:rPr>
        <w:t xml:space="preserve"> i </w:t>
      </w:r>
      <w:r w:rsidRPr="00EC250C">
        <w:rPr>
          <w:rStyle w:val="Pogrubienie"/>
          <w:b/>
          <w:bCs w:val="0"/>
        </w:rPr>
        <w:t>bezpieczeństwa osobistego osadzonego</w:t>
      </w:r>
      <w:r w:rsidR="00B473F5" w:rsidRPr="00EC250C">
        <w:rPr>
          <w:rStyle w:val="Pogrubienie"/>
          <w:b/>
          <w:bCs w:val="0"/>
        </w:rPr>
        <w:t>.</w:t>
      </w:r>
    </w:p>
    <w:p w14:paraId="41B560F5" w14:textId="77777777" w:rsidR="00C91F6E" w:rsidRPr="00EC250C" w:rsidRDefault="00FB2FAC" w:rsidP="00D131FA">
      <w:pPr>
        <w:pStyle w:val="Styl1"/>
        <w:rPr>
          <w:rStyle w:val="Pogrubienie"/>
          <w:b w:val="0"/>
          <w:bCs w:val="0"/>
        </w:rPr>
      </w:pPr>
      <w:r w:rsidRPr="00EC250C">
        <w:rPr>
          <w:rStyle w:val="Pogrubienie"/>
          <w:b w:val="0"/>
          <w:bCs w:val="0"/>
        </w:rPr>
        <w:t>Cierpią przede wszystkim więźniowie słabsi, zajmujący</w:t>
      </w:r>
      <w:r w:rsidR="00992FD0" w:rsidRPr="00EC250C">
        <w:rPr>
          <w:rStyle w:val="Pogrubienie"/>
          <w:b w:val="0"/>
          <w:bCs w:val="0"/>
        </w:rPr>
        <w:t xml:space="preserve"> z </w:t>
      </w:r>
      <w:r w:rsidRPr="00EC250C">
        <w:rPr>
          <w:rStyle w:val="Pogrubienie"/>
          <w:b w:val="0"/>
          <w:bCs w:val="0"/>
        </w:rPr>
        <w:t>różnych powodów niższą pozycję</w:t>
      </w:r>
      <w:r w:rsidR="00992FD0" w:rsidRPr="00EC250C">
        <w:rPr>
          <w:rStyle w:val="Pogrubienie"/>
          <w:b w:val="0"/>
          <w:bCs w:val="0"/>
        </w:rPr>
        <w:t xml:space="preserve"> w </w:t>
      </w:r>
      <w:r w:rsidRPr="00EC250C">
        <w:rPr>
          <w:rStyle w:val="Pogrubienie"/>
          <w:b w:val="0"/>
          <w:bCs w:val="0"/>
        </w:rPr>
        <w:t>grupie. W celach kilkunastoosobowych trudne są również warunki bytowe, godzące</w:t>
      </w:r>
      <w:r w:rsidR="00992FD0" w:rsidRPr="00EC250C">
        <w:rPr>
          <w:rStyle w:val="Pogrubienie"/>
          <w:b w:val="0"/>
          <w:bCs w:val="0"/>
        </w:rPr>
        <w:t xml:space="preserve"> w </w:t>
      </w:r>
      <w:r w:rsidRPr="00EC250C">
        <w:rPr>
          <w:rStyle w:val="Pogrubienie"/>
          <w:b w:val="0"/>
          <w:bCs w:val="0"/>
        </w:rPr>
        <w:t>poszanowanie prawa do prywatności. Niejednokrotnie cele te wyposażone są zaledwie</w:t>
      </w:r>
      <w:r w:rsidR="00992FD0" w:rsidRPr="00EC250C">
        <w:rPr>
          <w:rStyle w:val="Pogrubienie"/>
          <w:b w:val="0"/>
          <w:bCs w:val="0"/>
        </w:rPr>
        <w:t xml:space="preserve"> w </w:t>
      </w:r>
      <w:r w:rsidRPr="00EC250C">
        <w:rPr>
          <w:rStyle w:val="Pogrubienie"/>
          <w:b w:val="0"/>
          <w:bCs w:val="0"/>
        </w:rPr>
        <w:t>jedną toaletę</w:t>
      </w:r>
      <w:r w:rsidR="00992FD0" w:rsidRPr="00EC250C">
        <w:rPr>
          <w:rStyle w:val="Pogrubienie"/>
          <w:b w:val="0"/>
          <w:bCs w:val="0"/>
        </w:rPr>
        <w:t xml:space="preserve"> i </w:t>
      </w:r>
      <w:r w:rsidRPr="00EC250C">
        <w:rPr>
          <w:rStyle w:val="Pogrubienie"/>
          <w:b w:val="0"/>
          <w:bCs w:val="0"/>
        </w:rPr>
        <w:t>jedną umywalkę.</w:t>
      </w:r>
    </w:p>
    <w:p w14:paraId="66557F31" w14:textId="77777777" w:rsidR="00C91F6E" w:rsidRPr="00EC250C" w:rsidRDefault="00FB2FAC" w:rsidP="00D131FA">
      <w:pPr>
        <w:pStyle w:val="Styl1"/>
        <w:rPr>
          <w:rStyle w:val="Pogrubienie"/>
          <w:b w:val="0"/>
          <w:bCs w:val="0"/>
        </w:rPr>
      </w:pPr>
      <w:r w:rsidRPr="00EC250C">
        <w:rPr>
          <w:rStyle w:val="Pogrubienie"/>
          <w:b w:val="0"/>
          <w:bCs w:val="0"/>
        </w:rPr>
        <w:t>Przepisy krajowe nie regulują maksymalnej pojemności cel mieszkalnych</w:t>
      </w:r>
      <w:r w:rsidR="00992FD0" w:rsidRPr="00EC250C">
        <w:rPr>
          <w:rStyle w:val="Pogrubienie"/>
          <w:b w:val="0"/>
          <w:bCs w:val="0"/>
        </w:rPr>
        <w:t xml:space="preserve"> w </w:t>
      </w:r>
      <w:r w:rsidRPr="00EC250C">
        <w:rPr>
          <w:rStyle w:val="Pogrubienie"/>
          <w:b w:val="0"/>
          <w:bCs w:val="0"/>
        </w:rPr>
        <w:t>jednostkach penitencjarnych. Mając jednak na uwadze kodeksową zasadę wykonywania kary</w:t>
      </w:r>
      <w:r w:rsidR="00992FD0" w:rsidRPr="00EC250C">
        <w:rPr>
          <w:rStyle w:val="Pogrubienie"/>
          <w:b w:val="0"/>
          <w:bCs w:val="0"/>
        </w:rPr>
        <w:t xml:space="preserve"> w </w:t>
      </w:r>
      <w:r w:rsidRPr="00EC250C">
        <w:rPr>
          <w:rStyle w:val="Pogrubienie"/>
          <w:b w:val="0"/>
          <w:bCs w:val="0"/>
        </w:rPr>
        <w:t>sposób humanitarny,</w:t>
      </w:r>
      <w:r w:rsidR="00992FD0" w:rsidRPr="00EC250C">
        <w:rPr>
          <w:rStyle w:val="Pogrubienie"/>
          <w:b w:val="0"/>
          <w:bCs w:val="0"/>
        </w:rPr>
        <w:t xml:space="preserve"> z </w:t>
      </w:r>
      <w:r w:rsidRPr="00EC250C">
        <w:rPr>
          <w:rStyle w:val="Pogrubienie"/>
          <w:b w:val="0"/>
          <w:bCs w:val="0"/>
        </w:rPr>
        <w:t>poszanowaniem godności ludzkiej,</w:t>
      </w:r>
      <w:r w:rsidR="00992FD0" w:rsidRPr="00EC250C">
        <w:rPr>
          <w:rStyle w:val="Pogrubienie"/>
          <w:b w:val="0"/>
          <w:bCs w:val="0"/>
        </w:rPr>
        <w:t xml:space="preserve"> a </w:t>
      </w:r>
      <w:r w:rsidRPr="00EC250C">
        <w:rPr>
          <w:rStyle w:val="Pogrubienie"/>
          <w:b w:val="0"/>
          <w:bCs w:val="0"/>
        </w:rPr>
        <w:t>także zalecenia międzynarodowe, należy stwierdzić, iż warunki sanitarno-higieniczne panujące</w:t>
      </w:r>
      <w:r w:rsidR="00992FD0" w:rsidRPr="00EC250C">
        <w:rPr>
          <w:rStyle w:val="Pogrubienie"/>
          <w:b w:val="0"/>
          <w:bCs w:val="0"/>
        </w:rPr>
        <w:t xml:space="preserve"> w </w:t>
      </w:r>
      <w:r w:rsidRPr="00EC250C">
        <w:rPr>
          <w:rStyle w:val="Pogrubienie"/>
          <w:b w:val="0"/>
          <w:bCs w:val="0"/>
        </w:rPr>
        <w:t>kilkunastoosobowych celach mieszkalnych,</w:t>
      </w:r>
      <w:r w:rsidR="00992FD0" w:rsidRPr="00EC250C">
        <w:rPr>
          <w:rStyle w:val="Pogrubienie"/>
          <w:b w:val="0"/>
          <w:bCs w:val="0"/>
        </w:rPr>
        <w:t xml:space="preserve"> w </w:t>
      </w:r>
      <w:r w:rsidRPr="00EC250C">
        <w:rPr>
          <w:rStyle w:val="Pogrubienie"/>
          <w:b w:val="0"/>
          <w:bCs w:val="0"/>
        </w:rPr>
        <w:t>jednostkach penitencjarnych typu zamkniętego, nie spełniają tych standardów.</w:t>
      </w:r>
    </w:p>
    <w:p w14:paraId="78FD5769" w14:textId="77777777" w:rsidR="00FB2FAC" w:rsidRPr="00EC250C" w:rsidRDefault="00FB2FAC" w:rsidP="00D131FA">
      <w:pPr>
        <w:pStyle w:val="Styl1"/>
        <w:rPr>
          <w:rStyle w:val="Pogrubienie"/>
          <w:b w:val="0"/>
          <w:bCs w:val="0"/>
          <w:sz w:val="24"/>
        </w:rPr>
      </w:pPr>
      <w:r w:rsidRPr="00EC250C">
        <w:rPr>
          <w:rStyle w:val="Pogrubienie"/>
          <w:b w:val="0"/>
          <w:bCs w:val="0"/>
        </w:rPr>
        <w:t>RPO uzyskał zapewnienie władz więziennictwa, że cele większe niż 10-osobowe będą likwidowane.</w:t>
      </w:r>
      <w:r w:rsidRPr="00EC250C">
        <w:rPr>
          <w:rStyle w:val="Odwoanieprzypisudolnego"/>
          <w:b/>
          <w:bCs/>
          <w:iCs/>
        </w:rPr>
        <w:t xml:space="preserve"> </w:t>
      </w:r>
      <w:r w:rsidRPr="00EC250C">
        <w:rPr>
          <w:rStyle w:val="Odwoanieprzypisudolnego"/>
          <w:b/>
          <w:bCs/>
          <w:iCs/>
        </w:rPr>
        <w:footnoteReference w:id="144"/>
      </w:r>
    </w:p>
    <w:p w14:paraId="2A0F4477" w14:textId="77777777" w:rsidR="003042E1" w:rsidRPr="00EC250C" w:rsidRDefault="003042E1" w:rsidP="00D131FA">
      <w:pPr>
        <w:pStyle w:val="ODESANIE"/>
        <w:jc w:val="both"/>
      </w:pPr>
      <w:r w:rsidRPr="00EC250C">
        <w:t>Wyroki ETPCz</w:t>
      </w:r>
      <w:r w:rsidR="00992FD0" w:rsidRPr="00EC250C">
        <w:t xml:space="preserve"> w </w:t>
      </w:r>
      <w:r w:rsidRPr="00EC250C">
        <w:t>sprawach obywateli polskich skarżących Polskę</w:t>
      </w:r>
      <w:r w:rsidR="00992FD0" w:rsidRPr="00EC250C">
        <w:t xml:space="preserve"> o </w:t>
      </w:r>
      <w:r w:rsidRPr="00EC250C">
        <w:t>warunki</w:t>
      </w:r>
      <w:r w:rsidR="00992FD0" w:rsidRPr="00EC250C">
        <w:t xml:space="preserve"> w </w:t>
      </w:r>
      <w:r w:rsidRPr="00EC250C">
        <w:t>więzieniach – patrz – część IV, sprawy polskich obywateli przed Europejskim Trybunałem Praw Człowieka</w:t>
      </w:r>
    </w:p>
    <w:p w14:paraId="26C263AC" w14:textId="77777777" w:rsidR="00C91F6E" w:rsidRPr="00EC250C" w:rsidRDefault="00900CE2" w:rsidP="00EC79EB">
      <w:pPr>
        <w:pStyle w:val="Nagwek4"/>
      </w:pPr>
      <w:bookmarkStart w:id="162" w:name="_Toc6257689"/>
      <w:bookmarkStart w:id="163" w:name="_Toc11247595"/>
      <w:r w:rsidRPr="00EC250C">
        <w:t>Leczenie pozbawionych wolności chorych na wirusowe zapalenie wątroby typu C</w:t>
      </w:r>
      <w:bookmarkEnd w:id="162"/>
      <w:bookmarkEnd w:id="163"/>
    </w:p>
    <w:p w14:paraId="0A767A2E" w14:textId="77777777" w:rsidR="00B473F5" w:rsidRPr="00EC250C" w:rsidRDefault="00FB2FAC" w:rsidP="00D131FA">
      <w:pPr>
        <w:pStyle w:val="Problemczowieka"/>
        <w:jc w:val="both"/>
      </w:pPr>
      <w:r w:rsidRPr="00EC250C">
        <w:t xml:space="preserve">Więźniowie są grupą, która częściej choruje na żółtaczkę typu C. To poważna choroba, na którą nie ma szczepionki. Właściwe leczenie nie tylko pomaga chorym, ale chroni inne osoby przed zakażeniem. Dlatego też, zdaniem </w:t>
      </w:r>
      <w:r w:rsidR="007447EE" w:rsidRPr="00EC250C">
        <w:t>RPO</w:t>
      </w:r>
      <w:r w:rsidRPr="00EC250C">
        <w:t>, zasadne byłoby stworzenie podstaw do zaplanowania długofalowej strategii przeciwdziałania zakażeniom HCV</w:t>
      </w:r>
      <w:r w:rsidR="00992FD0" w:rsidRPr="00EC250C">
        <w:t xml:space="preserve"> i </w:t>
      </w:r>
      <w:r w:rsidRPr="00EC250C">
        <w:t>zwalczania WZW typu C</w:t>
      </w:r>
      <w:r w:rsidR="00992FD0" w:rsidRPr="00EC250C">
        <w:t xml:space="preserve"> w </w:t>
      </w:r>
      <w:r w:rsidRPr="00EC250C">
        <w:t>jednostkach penitencjarnych</w:t>
      </w:r>
      <w:r w:rsidR="00B473F5" w:rsidRPr="00EC250C">
        <w:t>.</w:t>
      </w:r>
    </w:p>
    <w:p w14:paraId="7E39EF21" w14:textId="77777777" w:rsidR="00900CE2" w:rsidRPr="00EC250C" w:rsidRDefault="00FB2FAC" w:rsidP="00D131FA">
      <w:pPr>
        <w:pStyle w:val="Styl1"/>
        <w:rPr>
          <w:bCs/>
          <w:iCs/>
        </w:rPr>
      </w:pPr>
      <w:r w:rsidRPr="00EC250C">
        <w:rPr>
          <w:sz w:val="24"/>
        </w:rPr>
        <w:t>Ważne jest też, by chory wymagający pilnego leczenia, opuszczający więzienie, miał zapewnione niezbędne świadczenia medyczne. Zostały więc podjęte działania</w:t>
      </w:r>
      <w:r w:rsidR="00992FD0" w:rsidRPr="00EC250C">
        <w:rPr>
          <w:sz w:val="24"/>
        </w:rPr>
        <w:t xml:space="preserve"> w </w:t>
      </w:r>
      <w:r w:rsidRPr="00EC250C">
        <w:rPr>
          <w:sz w:val="24"/>
        </w:rPr>
        <w:t>celu wypracowania wspólnie</w:t>
      </w:r>
      <w:r w:rsidR="00992FD0" w:rsidRPr="00EC250C">
        <w:rPr>
          <w:sz w:val="24"/>
        </w:rPr>
        <w:t xml:space="preserve"> z </w:t>
      </w:r>
      <w:r w:rsidRPr="00EC250C">
        <w:rPr>
          <w:sz w:val="24"/>
        </w:rPr>
        <w:t>Ministrem Zdrowia nowych rozwiązań, które będą zapewniały osobom osadzonym</w:t>
      </w:r>
      <w:r w:rsidR="00992FD0" w:rsidRPr="00EC250C">
        <w:rPr>
          <w:sz w:val="24"/>
        </w:rPr>
        <w:t xml:space="preserve"> w </w:t>
      </w:r>
      <w:r w:rsidRPr="00EC250C">
        <w:rPr>
          <w:sz w:val="24"/>
        </w:rPr>
        <w:t>zakładach karnych</w:t>
      </w:r>
      <w:r w:rsidR="00992FD0" w:rsidRPr="00EC250C">
        <w:rPr>
          <w:sz w:val="24"/>
        </w:rPr>
        <w:t xml:space="preserve"> i </w:t>
      </w:r>
      <w:r w:rsidRPr="00EC250C">
        <w:rPr>
          <w:sz w:val="24"/>
        </w:rPr>
        <w:t>aresztach śledczych dostęp do nowoczesnych metod leczenia oferowanych</w:t>
      </w:r>
      <w:r w:rsidR="00992FD0" w:rsidRPr="00EC250C">
        <w:rPr>
          <w:sz w:val="24"/>
        </w:rPr>
        <w:t xml:space="preserve"> w </w:t>
      </w:r>
      <w:r w:rsidRPr="00EC250C">
        <w:rPr>
          <w:sz w:val="24"/>
        </w:rPr>
        <w:t>ramach programów zdrowotnych</w:t>
      </w:r>
      <w:r w:rsidR="00992FD0" w:rsidRPr="00EC250C">
        <w:rPr>
          <w:sz w:val="24"/>
        </w:rPr>
        <w:t xml:space="preserve"> i </w:t>
      </w:r>
      <w:r w:rsidRPr="00EC250C">
        <w:rPr>
          <w:sz w:val="24"/>
        </w:rPr>
        <w:t xml:space="preserve">lekowych </w:t>
      </w:r>
      <w:r w:rsidR="00907A50" w:rsidRPr="00EC250C">
        <w:rPr>
          <w:sz w:val="24"/>
        </w:rPr>
        <w:t xml:space="preserve">Ministra </w:t>
      </w:r>
      <w:r w:rsidR="00907A50" w:rsidRPr="00EC250C">
        <w:rPr>
          <w:sz w:val="24"/>
        </w:rPr>
        <w:lastRenderedPageBreak/>
        <w:t>Z</w:t>
      </w:r>
      <w:r w:rsidRPr="00EC250C">
        <w:rPr>
          <w:sz w:val="24"/>
        </w:rPr>
        <w:t>drowia. Pozwoli to na zapewnienie pacjentom możliwości kontynuowania programów zarówno po przyjęciu do jednostki penitencjarnej, jak</w:t>
      </w:r>
      <w:r w:rsidR="00992FD0" w:rsidRPr="00EC250C">
        <w:rPr>
          <w:sz w:val="24"/>
        </w:rPr>
        <w:t xml:space="preserve"> i </w:t>
      </w:r>
      <w:r w:rsidRPr="00EC250C">
        <w:rPr>
          <w:sz w:val="24"/>
        </w:rPr>
        <w:t>po jej opuszczeniu</w:t>
      </w:r>
      <w:r w:rsidR="00C27FF6" w:rsidRPr="00EC250C">
        <w:rPr>
          <w:rStyle w:val="Odwoanieprzypisudolnego"/>
          <w:bCs/>
          <w:iCs/>
        </w:rPr>
        <w:footnoteReference w:id="145"/>
      </w:r>
      <w:r w:rsidR="00DC6EEC" w:rsidRPr="00EC250C">
        <w:rPr>
          <w:bCs/>
          <w:iCs/>
        </w:rPr>
        <w:t>.</w:t>
      </w:r>
    </w:p>
    <w:p w14:paraId="0F97BC94" w14:textId="77777777" w:rsidR="00965E52" w:rsidRPr="00EC250C" w:rsidRDefault="00965E52" w:rsidP="00EC79EB">
      <w:pPr>
        <w:pStyle w:val="Nagwek4"/>
      </w:pPr>
      <w:bookmarkStart w:id="164" w:name="_Toc6257692"/>
      <w:bookmarkStart w:id="165" w:name="_Toc11247596"/>
      <w:r w:rsidRPr="00EC250C">
        <w:t>Funkcjonowanie Krajowego Ośrodka Zapobiegania Zachowaniom Dyssocjalnym</w:t>
      </w:r>
      <w:r w:rsidR="00992FD0" w:rsidRPr="00EC250C">
        <w:t xml:space="preserve"> w </w:t>
      </w:r>
      <w:r w:rsidR="007028E0" w:rsidRPr="00EC250C">
        <w:t>Gostyninie</w:t>
      </w:r>
      <w:bookmarkEnd w:id="164"/>
      <w:bookmarkEnd w:id="165"/>
    </w:p>
    <w:p w14:paraId="4B2A2958" w14:textId="77777777" w:rsidR="00B473F5" w:rsidRPr="00EC250C" w:rsidRDefault="00693BE4" w:rsidP="00D131FA">
      <w:pPr>
        <w:pStyle w:val="Problemczowieka"/>
        <w:jc w:val="both"/>
        <w:rPr>
          <w:rStyle w:val="Pogrubienie"/>
          <w:b/>
          <w:bCs w:val="0"/>
        </w:rPr>
      </w:pPr>
      <w:r w:rsidRPr="00EC250C">
        <w:rPr>
          <w:rStyle w:val="Pogrubienie"/>
          <w:b/>
          <w:bCs w:val="0"/>
        </w:rPr>
        <w:t>Ustawa dotycząca Ośrodka</w:t>
      </w:r>
      <w:r w:rsidR="00992FD0" w:rsidRPr="00EC250C">
        <w:rPr>
          <w:rStyle w:val="Pogrubienie"/>
          <w:b/>
          <w:bCs w:val="0"/>
        </w:rPr>
        <w:t xml:space="preserve"> w </w:t>
      </w:r>
      <w:r w:rsidRPr="00EC250C">
        <w:rPr>
          <w:rStyle w:val="Pogrubienie"/>
          <w:b/>
          <w:bCs w:val="0"/>
        </w:rPr>
        <w:t>Gostyninie, gdzie trafiają osoby uznane za stwarzające zagrożenie dla społeczeństwa, wymaga zmian,</w:t>
      </w:r>
      <w:r w:rsidR="00992FD0" w:rsidRPr="00EC250C">
        <w:rPr>
          <w:rStyle w:val="Pogrubienie"/>
          <w:b/>
          <w:bCs w:val="0"/>
        </w:rPr>
        <w:t xml:space="preserve"> a </w:t>
      </w:r>
      <w:r w:rsidRPr="00EC250C">
        <w:rPr>
          <w:rStyle w:val="Pogrubienie"/>
          <w:b/>
          <w:bCs w:val="0"/>
        </w:rPr>
        <w:t>koncepcja jego funkcjonowania musi być zweryfikowana</w:t>
      </w:r>
      <w:r w:rsidR="00B473F5" w:rsidRPr="00EC250C">
        <w:rPr>
          <w:rStyle w:val="Pogrubienie"/>
          <w:b/>
          <w:bCs w:val="0"/>
        </w:rPr>
        <w:t>.</w:t>
      </w:r>
    </w:p>
    <w:p w14:paraId="2B80FBEC" w14:textId="77777777" w:rsidR="00965E52" w:rsidRPr="00EC250C" w:rsidRDefault="00693BE4" w:rsidP="00D131FA">
      <w:pPr>
        <w:pStyle w:val="Styl1"/>
      </w:pPr>
      <w:r w:rsidRPr="00EC250C">
        <w:t>Okres 5 lat stosowania ustawy</w:t>
      </w:r>
      <w:r w:rsidR="00992FD0" w:rsidRPr="00EC250C">
        <w:t xml:space="preserve"> o </w:t>
      </w:r>
      <w:r w:rsidRPr="00EC250C">
        <w:t>postępowaniu wobec osób</w:t>
      </w:r>
      <w:r w:rsidR="00992FD0" w:rsidRPr="00EC250C">
        <w:t xml:space="preserve"> z </w:t>
      </w:r>
      <w:r w:rsidRPr="00EC250C">
        <w:t>zaburzeniami psychicznymi stwarzających zagrożenie życia, zdrowia lub wolności seksualnej innych osób, pozwala stwierdzić, że wymaga ona nowelizacji,</w:t>
      </w:r>
      <w:r w:rsidR="00992FD0" w:rsidRPr="00EC250C">
        <w:t xml:space="preserve"> a </w:t>
      </w:r>
      <w:r w:rsidRPr="00EC250C">
        <w:t>sama koncepcja funkcjonowania Krajowego Ośrodka Zapobiegania Zachowaniom Dyssocjalnym</w:t>
      </w:r>
      <w:r w:rsidR="00992FD0" w:rsidRPr="00EC250C">
        <w:t xml:space="preserve"> w </w:t>
      </w:r>
      <w:r w:rsidRPr="00EC250C">
        <w:t>Gostyninie musi zostać poddana weryfikacji. RPO powtarza</w:t>
      </w:r>
      <w:r w:rsidRPr="00EC250C">
        <w:rPr>
          <w:rStyle w:val="Odwoanieprzypisudolnego"/>
          <w:bCs/>
          <w:iCs/>
        </w:rPr>
        <w:footnoteReference w:id="146"/>
      </w:r>
      <w:r w:rsidRPr="00EC250C">
        <w:t>, że należy przyjąć rozwiązania, które będą gwarantowały poszanowanie praw pacjentów Ośrodka.</w:t>
      </w:r>
    </w:p>
    <w:p w14:paraId="0E4D563E" w14:textId="77777777" w:rsidR="00693BE4" w:rsidRPr="00EC250C" w:rsidRDefault="00693BE4" w:rsidP="00D131FA">
      <w:pPr>
        <w:pStyle w:val="Styl1"/>
      </w:pPr>
      <w:r w:rsidRPr="00EC250C">
        <w:t>Poważne rozważenie koncepcji</w:t>
      </w:r>
      <w:r w:rsidR="00992FD0" w:rsidRPr="00EC250C">
        <w:t xml:space="preserve"> i </w:t>
      </w:r>
      <w:r w:rsidRPr="00EC250C">
        <w:t>filozofii leczenia rekomenduje Polsce także Europejski Komitet do spraw Zapobiegania Torturom oraz Nieludzkiemu lub Poniżającemu Traktowaniu albo Karaniu (CPT).</w:t>
      </w:r>
    </w:p>
    <w:p w14:paraId="47F24344" w14:textId="77777777" w:rsidR="00693BE4" w:rsidRPr="00EC250C" w:rsidRDefault="00693BE4" w:rsidP="00D131FA">
      <w:pPr>
        <w:pStyle w:val="Styl1"/>
        <w:rPr>
          <w:b/>
          <w:bCs/>
          <w:iCs/>
        </w:rPr>
      </w:pPr>
      <w:r w:rsidRPr="00EC250C">
        <w:t>Ośrodek ten funkcjonuje jako podmiot leczniczy, podlegający Ministrowi Zdrowia. Pierwszy pacjent trafił na początku 2014</w:t>
      </w:r>
      <w:r w:rsidR="00C91F6E" w:rsidRPr="00EC250C">
        <w:t> r.</w:t>
      </w:r>
      <w:r w:rsidRPr="00EC250C">
        <w:t xml:space="preserve"> Obecnie ich liczba przekroczyła maksymalną pojemność (60 osób)</w:t>
      </w:r>
      <w:r w:rsidR="00A840EB" w:rsidRPr="00EC250C">
        <w:t>; w</w:t>
      </w:r>
      <w:r w:rsidRPr="00EC250C">
        <w:t>ciąż napływają nowi.</w:t>
      </w:r>
    </w:p>
    <w:p w14:paraId="340B7121" w14:textId="77777777" w:rsidR="00965E52" w:rsidRPr="00EC250C" w:rsidRDefault="00693BE4" w:rsidP="00EC250C">
      <w:pPr>
        <w:pStyle w:val="Nagwek5"/>
      </w:pPr>
      <w:r w:rsidRPr="00EC250C">
        <w:t>Dozór elektroniczny przy nadzorze prewencyjnym, który stanowi alternatywę dla umieszczenia</w:t>
      </w:r>
      <w:r w:rsidR="00992FD0" w:rsidRPr="00EC250C">
        <w:t xml:space="preserve"> w </w:t>
      </w:r>
      <w:r w:rsidRPr="00EC250C">
        <w:t>KOZZD</w:t>
      </w:r>
    </w:p>
    <w:p w14:paraId="35FFC845" w14:textId="77777777" w:rsidR="009C572F" w:rsidRPr="00EC250C" w:rsidRDefault="00693BE4" w:rsidP="00D131FA">
      <w:pPr>
        <w:pStyle w:val="Styl1"/>
      </w:pPr>
      <w:r w:rsidRPr="00EC250C">
        <w:t>Uwzględniając jak trudna jest dla sądu ewentualna decyzja</w:t>
      </w:r>
      <w:r w:rsidR="00992FD0" w:rsidRPr="00EC250C">
        <w:t xml:space="preserve"> o </w:t>
      </w:r>
      <w:r w:rsidRPr="00EC250C">
        <w:t>zwolnieniu pacjenta</w:t>
      </w:r>
      <w:r w:rsidR="00992FD0" w:rsidRPr="00EC250C">
        <w:t xml:space="preserve"> z </w:t>
      </w:r>
      <w:r w:rsidRPr="00EC250C">
        <w:t xml:space="preserve">Ośrodka, Rzecznik </w:t>
      </w:r>
      <w:r w:rsidR="007447EE" w:rsidRPr="00EC250C">
        <w:t xml:space="preserve">Praw Obywatelskich </w:t>
      </w:r>
      <w:r w:rsidRPr="00EC250C">
        <w:t>proponuje umożliwienie sądowi stosowania tzw. bransoletek</w:t>
      </w:r>
      <w:r w:rsidR="00992FD0" w:rsidRPr="00EC250C">
        <w:t xml:space="preserve"> z </w:t>
      </w:r>
      <w:r w:rsidRPr="00EC250C">
        <w:t>GPS (System Dozoru Elektronicznego) przy orzekaniu nadzoru prewencyjnego</w:t>
      </w:r>
      <w:r w:rsidR="009C572F" w:rsidRPr="00EC250C">
        <w:rPr>
          <w:rStyle w:val="Odwoanieprzypisudolnego"/>
        </w:rPr>
        <w:footnoteReference w:id="147"/>
      </w:r>
      <w:r w:rsidRPr="00EC250C">
        <w:t>. Ten sprawdzony już</w:t>
      </w:r>
      <w:r w:rsidR="00992FD0" w:rsidRPr="00EC250C">
        <w:t xml:space="preserve"> w </w:t>
      </w:r>
      <w:r w:rsidRPr="00EC250C">
        <w:t>Polsce system elektronicznej kontroli miejsca pobytu mógłby zdecydowanie pomóc funkcjonariuszom Policji, wykonującym z</w:t>
      </w:r>
      <w:r w:rsidR="003A4948" w:rsidRPr="00EC250C">
        <w:t>a</w:t>
      </w:r>
      <w:r w:rsidRPr="00EC250C">
        <w:t>dania związane</w:t>
      </w:r>
      <w:r w:rsidR="00992FD0" w:rsidRPr="00EC250C">
        <w:t xml:space="preserve"> z </w:t>
      </w:r>
      <w:r w:rsidRPr="00EC250C">
        <w:t>nadzorem prewencyjnym</w:t>
      </w:r>
      <w:r w:rsidR="00992FD0" w:rsidRPr="00EC250C">
        <w:t xml:space="preserve"> i </w:t>
      </w:r>
      <w:r w:rsidRPr="00EC250C">
        <w:t>stanowić większą gwarancję kontroli osoby zwolnionej</w:t>
      </w:r>
      <w:r w:rsidR="00992FD0" w:rsidRPr="00EC250C">
        <w:t xml:space="preserve"> z </w:t>
      </w:r>
      <w:r w:rsidRPr="00EC250C">
        <w:t>Ośrodka, bądź której nie umieszczono</w:t>
      </w:r>
      <w:r w:rsidR="00992FD0" w:rsidRPr="00EC250C">
        <w:t xml:space="preserve"> w </w:t>
      </w:r>
      <w:r w:rsidRPr="00EC250C">
        <w:t>KOZZD</w:t>
      </w:r>
      <w:r w:rsidR="00992FD0" w:rsidRPr="00EC250C">
        <w:t xml:space="preserve"> a </w:t>
      </w:r>
      <w:r w:rsidRPr="00EC250C">
        <w:t>orzeczono wobec niej nadzór prewencyjny.</w:t>
      </w:r>
    </w:p>
    <w:p w14:paraId="30B2CB45" w14:textId="77777777" w:rsidR="00965E52" w:rsidRPr="00EC250C" w:rsidRDefault="00965E52" w:rsidP="00EC250C">
      <w:pPr>
        <w:pStyle w:val="Nagwek5"/>
      </w:pPr>
      <w:r w:rsidRPr="00EC250C">
        <w:t>Prawa pacjentów –</w:t>
      </w:r>
      <w:r w:rsidR="00992FD0" w:rsidRPr="00EC250C">
        <w:t xml:space="preserve"> w </w:t>
      </w:r>
      <w:r w:rsidRPr="00EC250C">
        <w:t>ustawie, nie</w:t>
      </w:r>
      <w:r w:rsidR="00992FD0" w:rsidRPr="00EC250C">
        <w:t xml:space="preserve"> w </w:t>
      </w:r>
      <w:r w:rsidRPr="00EC250C">
        <w:t>regulaminie</w:t>
      </w:r>
    </w:p>
    <w:p w14:paraId="562CE57D" w14:textId="77777777" w:rsidR="00C91F6E" w:rsidRPr="00EC250C" w:rsidRDefault="009C572F" w:rsidP="00D131FA">
      <w:pPr>
        <w:pStyle w:val="Styl1"/>
      </w:pPr>
      <w:r w:rsidRPr="00EC250C">
        <w:t>RPO od dawna zwraca uwagę ministrów zdrowia</w:t>
      </w:r>
      <w:r w:rsidR="00992FD0" w:rsidRPr="00EC250C">
        <w:t xml:space="preserve"> i </w:t>
      </w:r>
      <w:r w:rsidRPr="00EC250C">
        <w:t>sprawiedliwości na luki</w:t>
      </w:r>
      <w:r w:rsidR="00992FD0" w:rsidRPr="00EC250C">
        <w:t xml:space="preserve"> w </w:t>
      </w:r>
      <w:r w:rsidRPr="00EC250C">
        <w:t>przepisach prawa, m.in. wskazując, że prawa</w:t>
      </w:r>
      <w:r w:rsidR="00992FD0" w:rsidRPr="00EC250C">
        <w:t xml:space="preserve"> i </w:t>
      </w:r>
      <w:r w:rsidRPr="00EC250C">
        <w:t>ograniczenia praw pacjentów KOZZD powinny być zapisane</w:t>
      </w:r>
      <w:r w:rsidR="00992FD0" w:rsidRPr="00EC250C">
        <w:t xml:space="preserve"> w </w:t>
      </w:r>
      <w:r w:rsidRPr="00EC250C">
        <w:t>ustawie,</w:t>
      </w:r>
      <w:r w:rsidR="00992FD0" w:rsidRPr="00EC250C">
        <w:t xml:space="preserve"> a </w:t>
      </w:r>
      <w:r w:rsidRPr="00EC250C">
        <w:t>nie</w:t>
      </w:r>
      <w:r w:rsidR="00992FD0" w:rsidRPr="00EC250C">
        <w:t xml:space="preserve"> w </w:t>
      </w:r>
      <w:r w:rsidRPr="00EC250C">
        <w:t>regulaminie wewnętrznym placówki.</w:t>
      </w:r>
    </w:p>
    <w:p w14:paraId="136CDAEF" w14:textId="77777777" w:rsidR="00965E52" w:rsidRPr="00EC250C" w:rsidRDefault="00965E52" w:rsidP="00EC250C">
      <w:pPr>
        <w:pStyle w:val="Nagwek5"/>
      </w:pPr>
      <w:r w:rsidRPr="00EC250C">
        <w:lastRenderedPageBreak/>
        <w:t>Zwolnienie na pogrzeb bliskiej osoby</w:t>
      </w:r>
    </w:p>
    <w:p w14:paraId="5217B33A" w14:textId="77777777" w:rsidR="00C91F6E" w:rsidRPr="00EC250C" w:rsidRDefault="009C572F" w:rsidP="00D131FA">
      <w:pPr>
        <w:pStyle w:val="Styl1"/>
      </w:pPr>
      <w:r w:rsidRPr="00EC250C">
        <w:t>Dziś ustawa, na podstawie której działa KOZZD nie przewiduje udzielenia osobom umieszczonym</w:t>
      </w:r>
      <w:r w:rsidR="00992FD0" w:rsidRPr="00EC250C">
        <w:t xml:space="preserve"> w </w:t>
      </w:r>
      <w:r w:rsidRPr="00EC250C">
        <w:t>Ośrodku zezwolenia na pogrzeb najbliższej osoby.</w:t>
      </w:r>
    </w:p>
    <w:p w14:paraId="72439EF2" w14:textId="77777777" w:rsidR="00965E52" w:rsidRPr="00EC250C" w:rsidRDefault="00965E52" w:rsidP="00EC250C">
      <w:pPr>
        <w:pStyle w:val="Nagwek5"/>
      </w:pPr>
      <w:r w:rsidRPr="00EC250C">
        <w:t>Zasady leczenia chorych</w:t>
      </w:r>
      <w:r w:rsidR="00992FD0" w:rsidRPr="00EC250C">
        <w:t xml:space="preserve"> w </w:t>
      </w:r>
      <w:r w:rsidRPr="00EC250C">
        <w:t>Ośrodku</w:t>
      </w:r>
    </w:p>
    <w:p w14:paraId="273592D1" w14:textId="77777777" w:rsidR="009C572F" w:rsidRPr="00EC250C" w:rsidRDefault="009C572F" w:rsidP="00D131FA">
      <w:pPr>
        <w:pStyle w:val="Styl1"/>
      </w:pPr>
      <w:r w:rsidRPr="00EC250C">
        <w:t>Kolejną kwestią jest przepis ustawy, który stanowi, że świadczenia zdrowotne są udzielane osobie stwarzającej zagrożenie, umieszczonej</w:t>
      </w:r>
      <w:r w:rsidR="00992FD0" w:rsidRPr="00EC250C">
        <w:t xml:space="preserve"> w </w:t>
      </w:r>
      <w:r w:rsidRPr="00EC250C">
        <w:t>Ośrodku</w:t>
      </w:r>
      <w:r w:rsidR="00992FD0" w:rsidRPr="00EC250C">
        <w:t xml:space="preserve"> w </w:t>
      </w:r>
      <w:r w:rsidRPr="00EC250C">
        <w:t>obecności upoważnionych pracowników, chyba że kierownik Ośrodka</w:t>
      </w:r>
      <w:r w:rsidR="00992FD0" w:rsidRPr="00EC250C">
        <w:t xml:space="preserve"> w </w:t>
      </w:r>
      <w:r w:rsidRPr="00EC250C">
        <w:t xml:space="preserve">uzasadnionych przypadkach zdecyduje inaczej. Zdaniem </w:t>
      </w:r>
      <w:r w:rsidR="007447EE" w:rsidRPr="00EC250C">
        <w:t>RPO</w:t>
      </w:r>
      <w:r w:rsidRPr="00EC250C">
        <w:t>, sformułowanie „uzasadnione przypadki” jest zbyt ogólne. Podobnie jak zwrot „upoważnionych pracowników Ośrodka”, oznaczający zarówno pracowników służby zdrowia, jak</w:t>
      </w:r>
      <w:r w:rsidR="00992FD0" w:rsidRPr="00EC250C">
        <w:t xml:space="preserve"> i </w:t>
      </w:r>
      <w:r w:rsidRPr="00EC250C">
        <w:t>osoby niewykonujące zawodu medycznego.</w:t>
      </w:r>
    </w:p>
    <w:p w14:paraId="4D4E1ACA" w14:textId="77777777" w:rsidR="00965E52" w:rsidRPr="00EC250C" w:rsidRDefault="007447EE" w:rsidP="00D131FA">
      <w:pPr>
        <w:pStyle w:val="Styl1"/>
        <w:rPr>
          <w:bCs/>
          <w:iCs/>
        </w:rPr>
      </w:pPr>
      <w:r w:rsidRPr="00EC250C">
        <w:t>RPO</w:t>
      </w:r>
      <w:r w:rsidR="009C572F" w:rsidRPr="00EC250C">
        <w:t xml:space="preserve"> zwrócił także uwagę ministrów zdrowia</w:t>
      </w:r>
      <w:r w:rsidR="00992FD0" w:rsidRPr="00EC250C">
        <w:t xml:space="preserve"> i </w:t>
      </w:r>
      <w:r w:rsidR="009C572F" w:rsidRPr="00EC250C">
        <w:t>sprawiedliwości na problem braku podstaw prawnych do przeprowadzania koniecznego zabiegu lekarskiego mimo sprzeciwu pacjenta. Ustawa nie reguluje tego zagadnienia, co ma miejsce np.</w:t>
      </w:r>
      <w:r w:rsidR="00992FD0" w:rsidRPr="00EC250C">
        <w:t xml:space="preserve"> w </w:t>
      </w:r>
      <w:r w:rsidR="009C572F" w:rsidRPr="00EC250C">
        <w:t>odniesieniu do osób pozbawionych wolności</w:t>
      </w:r>
      <w:r w:rsidR="00992FD0" w:rsidRPr="00EC250C">
        <w:t xml:space="preserve"> w </w:t>
      </w:r>
      <w:r w:rsidR="009C572F" w:rsidRPr="00EC250C">
        <w:t xml:space="preserve">jednostkach </w:t>
      </w:r>
      <w:r w:rsidR="00965E52" w:rsidRPr="00EC250C">
        <w:t>penitencjarnych</w:t>
      </w:r>
      <w:r w:rsidR="00965E52" w:rsidRPr="00EC250C">
        <w:rPr>
          <w:rStyle w:val="Odwoanieprzypisudolnego"/>
        </w:rPr>
        <w:footnoteReference w:id="148"/>
      </w:r>
      <w:r w:rsidR="00BE554D" w:rsidRPr="00EC250C">
        <w:t>.</w:t>
      </w:r>
    </w:p>
    <w:p w14:paraId="4866A06F" w14:textId="77777777" w:rsidR="009C572F" w:rsidRPr="00EC250C" w:rsidRDefault="009C572F" w:rsidP="00D131FA">
      <w:pPr>
        <w:pStyle w:val="Styl1"/>
        <w:rPr>
          <w:bCs/>
          <w:iCs/>
        </w:rPr>
      </w:pPr>
      <w:r w:rsidRPr="00EC250C">
        <w:rPr>
          <w:bCs/>
          <w:iCs/>
        </w:rPr>
        <w:t xml:space="preserve">Minister Zdrowia poinformował </w:t>
      </w:r>
      <w:r w:rsidR="007447EE" w:rsidRPr="00EC250C">
        <w:rPr>
          <w:bCs/>
          <w:iCs/>
        </w:rPr>
        <w:t>RPO</w:t>
      </w:r>
      <w:r w:rsidRPr="00EC250C">
        <w:rPr>
          <w:bCs/>
          <w:iCs/>
        </w:rPr>
        <w:t>, że analizuje problem. Wie też, że konieczne jest zwiększenie dofinansowania Ośrodka.</w:t>
      </w:r>
    </w:p>
    <w:p w14:paraId="24258F21" w14:textId="77777777" w:rsidR="00C91F6E" w:rsidRPr="00EC250C" w:rsidRDefault="00965E52" w:rsidP="00D131FA">
      <w:pPr>
        <w:pStyle w:val="Styl1"/>
        <w:rPr>
          <w:bCs/>
          <w:iCs/>
        </w:rPr>
      </w:pPr>
      <w:r w:rsidRPr="00EC250C">
        <w:rPr>
          <w:bCs/>
          <w:iCs/>
        </w:rPr>
        <w:t>Minister Sprawiedliwości nie odpowiedział.</w:t>
      </w:r>
    </w:p>
    <w:p w14:paraId="4FF09F6F" w14:textId="77777777" w:rsidR="00965E52" w:rsidRPr="00EC250C" w:rsidRDefault="00965E52" w:rsidP="00EC250C">
      <w:pPr>
        <w:pStyle w:val="Nagwek5"/>
      </w:pPr>
      <w:r w:rsidRPr="00EC250C">
        <w:t>Brak pomocy Rzecznika Praw Pacjenta</w:t>
      </w:r>
    </w:p>
    <w:p w14:paraId="5D2132E0" w14:textId="77777777" w:rsidR="00965E52" w:rsidRPr="00EC250C" w:rsidRDefault="009C572F" w:rsidP="00D131FA">
      <w:pPr>
        <w:pStyle w:val="Styl1"/>
        <w:rPr>
          <w:bCs/>
          <w:iCs/>
        </w:rPr>
      </w:pPr>
      <w:r w:rsidRPr="00EC250C">
        <w:rPr>
          <w:bCs/>
          <w:iCs/>
        </w:rPr>
        <w:t>RPO opisał ten problem</w:t>
      </w:r>
      <w:r w:rsidR="00992FD0" w:rsidRPr="00EC250C">
        <w:rPr>
          <w:bCs/>
          <w:iCs/>
        </w:rPr>
        <w:t xml:space="preserve"> w </w:t>
      </w:r>
      <w:r w:rsidRPr="00EC250C">
        <w:rPr>
          <w:bCs/>
          <w:iCs/>
        </w:rPr>
        <w:t>wystąpieniu do Rzecznika Praw Pacjenta Szpitala Psychiatrycznego</w:t>
      </w:r>
      <w:r w:rsidR="00992FD0" w:rsidRPr="00EC250C">
        <w:rPr>
          <w:bCs/>
          <w:iCs/>
        </w:rPr>
        <w:t xml:space="preserve"> w </w:t>
      </w:r>
      <w:r w:rsidRPr="00EC250C">
        <w:rPr>
          <w:bCs/>
          <w:iCs/>
        </w:rPr>
        <w:t>KOZZD</w:t>
      </w:r>
      <w:r w:rsidR="00965E52" w:rsidRPr="00EC250C">
        <w:rPr>
          <w:bCs/>
          <w:iCs/>
          <w:vertAlign w:val="superscript"/>
        </w:rPr>
        <w:footnoteReference w:id="149"/>
      </w:r>
      <w:r w:rsidR="00965E52" w:rsidRPr="00EC250C">
        <w:rPr>
          <w:bCs/>
          <w:iCs/>
        </w:rPr>
        <w:t xml:space="preserve">. Z odpowiedzi </w:t>
      </w:r>
      <w:r w:rsidR="00FF3187" w:rsidRPr="00EC250C">
        <w:rPr>
          <w:bCs/>
          <w:iCs/>
        </w:rPr>
        <w:t xml:space="preserve">udzielonej na to pismo przez Ministerstwo </w:t>
      </w:r>
      <w:r w:rsidR="00965E52" w:rsidRPr="00EC250C">
        <w:rPr>
          <w:bCs/>
          <w:iCs/>
        </w:rPr>
        <w:t>Zdrowia wynika, iż stopień przestrzegania praw pacjenta</w:t>
      </w:r>
      <w:r w:rsidR="00992FD0" w:rsidRPr="00EC250C">
        <w:rPr>
          <w:bCs/>
          <w:iCs/>
        </w:rPr>
        <w:t xml:space="preserve"> w </w:t>
      </w:r>
      <w:r w:rsidR="00965E52" w:rsidRPr="00EC250C">
        <w:rPr>
          <w:bCs/>
          <w:iCs/>
        </w:rPr>
        <w:t>KOZZD kształtuje się na podobnym poziomie jak</w:t>
      </w:r>
      <w:r w:rsidR="00992FD0" w:rsidRPr="00EC250C">
        <w:rPr>
          <w:bCs/>
          <w:iCs/>
        </w:rPr>
        <w:t xml:space="preserve"> w </w:t>
      </w:r>
      <w:r w:rsidR="00965E52" w:rsidRPr="00EC250C">
        <w:rPr>
          <w:bCs/>
          <w:iCs/>
        </w:rPr>
        <w:t>wielu innych szpitalach psychiatrycznych. Zaś Rzecznik Praw Pacjenta nie podziela obaw RPO. Stąd decyzja, by</w:t>
      </w:r>
      <w:r w:rsidR="00992FD0" w:rsidRPr="00EC250C">
        <w:rPr>
          <w:bCs/>
          <w:iCs/>
        </w:rPr>
        <w:t xml:space="preserve"> w </w:t>
      </w:r>
      <w:r w:rsidR="00965E52" w:rsidRPr="00EC250C">
        <w:rPr>
          <w:bCs/>
          <w:iCs/>
        </w:rPr>
        <w:t>KOZZD nie było już specjalnego Rzecznika Praw Pacjenta. Pacjenci KOZZD mogą teraz korzystać ze wsparcia jedynie za pośrednictwem bezpłatnej, ogólnopolskiej infolinii Rzecznika Praw Pacjenta lub wysyłając mu skargi.</w:t>
      </w:r>
    </w:p>
    <w:p w14:paraId="5DA99523" w14:textId="77777777" w:rsidR="006006AB" w:rsidRPr="00EC250C" w:rsidRDefault="0061218E" w:rsidP="00D131FA">
      <w:pPr>
        <w:pStyle w:val="Styl1"/>
      </w:pPr>
      <w:r w:rsidRPr="00EC250C">
        <w:t>W związku</w:t>
      </w:r>
      <w:r w:rsidR="00992FD0" w:rsidRPr="00EC250C">
        <w:t xml:space="preserve"> z </w:t>
      </w:r>
      <w:r w:rsidRPr="00EC250C">
        <w:t>wciąż napływającymi do Biura RPO niepokojącymi sygnałami dotyczącymi pacjentów KOZZD, RPO zdecydował, że po raz kolejny zwróci się</w:t>
      </w:r>
      <w:r w:rsidR="00992FD0" w:rsidRPr="00EC250C">
        <w:t xml:space="preserve"> w </w:t>
      </w:r>
      <w:r w:rsidRPr="00EC250C">
        <w:t>tej sprawie do Rzecznika Praw Pacjenta</w:t>
      </w:r>
      <w:r w:rsidRPr="00EC250C">
        <w:rPr>
          <w:rStyle w:val="Odwoanieprzypisudolnego"/>
          <w:rFonts w:eastAsiaTheme="majorEastAsia"/>
        </w:rPr>
        <w:footnoteReference w:id="150"/>
      </w:r>
      <w:r w:rsidRPr="00EC250C">
        <w:t xml:space="preserve">. </w:t>
      </w:r>
      <w:r w:rsidR="007447EE" w:rsidRPr="00EC250C">
        <w:t>RPO</w:t>
      </w:r>
      <w:r w:rsidRPr="00EC250C">
        <w:t xml:space="preserve"> wskazał, że przepisy ustawy</w:t>
      </w:r>
      <w:r w:rsidR="00992FD0" w:rsidRPr="00EC250C">
        <w:t xml:space="preserve"> z </w:t>
      </w:r>
      <w:r w:rsidRPr="00EC250C">
        <w:t>dnia 22 listopada 2013</w:t>
      </w:r>
      <w:r w:rsidR="00C91F6E" w:rsidRPr="00EC250C">
        <w:t> r.</w:t>
      </w:r>
      <w:r w:rsidR="00992FD0" w:rsidRPr="00EC250C">
        <w:t xml:space="preserve"> o </w:t>
      </w:r>
      <w:r w:rsidRPr="00EC250C">
        <w:t>postępowaniu wobec osób</w:t>
      </w:r>
      <w:r w:rsidR="00992FD0" w:rsidRPr="00EC250C">
        <w:t xml:space="preserve"> z </w:t>
      </w:r>
      <w:r w:rsidRPr="00EC250C">
        <w:t>zaburzeniami psychicznymi stwarzających zagrożenie życia, zdrowia lub wolności seksualnej innych osób, stanowią, że ochrona praw osób przebywających</w:t>
      </w:r>
      <w:r w:rsidR="00992FD0" w:rsidRPr="00EC250C">
        <w:t xml:space="preserve"> w </w:t>
      </w:r>
      <w:r w:rsidRPr="00EC250C">
        <w:t>Ośrodku należy do zadań Rzeczników Praw Pacjenta Szpitala Psychiatrycznego. RPO zwrócił się</w:t>
      </w:r>
      <w:r w:rsidR="00992FD0" w:rsidRPr="00EC250C">
        <w:t xml:space="preserve"> z </w:t>
      </w:r>
      <w:r w:rsidRPr="00EC250C">
        <w:t>apelem</w:t>
      </w:r>
      <w:r w:rsidR="00992FD0" w:rsidRPr="00EC250C">
        <w:t xml:space="preserve"> o </w:t>
      </w:r>
      <w:r w:rsidRPr="00EC250C">
        <w:t xml:space="preserve">jak najszybsze przywrócenie funkcji Rzecznika Praw Pacjenta Szpitala Psychiatrycznego na terenie </w:t>
      </w:r>
      <w:r w:rsidRPr="00EC250C">
        <w:lastRenderedPageBreak/>
        <w:t>Krajowego Ośrodka Zapobiegania Zachowaniom Dyssocjalnym,</w:t>
      </w:r>
      <w:r w:rsidR="00992FD0" w:rsidRPr="00EC250C">
        <w:t xml:space="preserve"> w </w:t>
      </w:r>
      <w:r w:rsidRPr="00EC250C">
        <w:t>określonych, regularnych odstępach czasowych, uwzględniając potrzeby pacjentów tego Ośrodka. Apel nie spotkał się ze zrozumieniem</w:t>
      </w:r>
      <w:r w:rsidR="00D41016" w:rsidRPr="00EC250C">
        <w:rPr>
          <w:rFonts w:eastAsiaTheme="majorEastAsia"/>
        </w:rPr>
        <w:t>.</w:t>
      </w:r>
    </w:p>
    <w:p w14:paraId="4DCB50C8" w14:textId="77777777" w:rsidR="00264232" w:rsidRPr="00EC250C" w:rsidRDefault="00264232" w:rsidP="00EC79EB">
      <w:pPr>
        <w:pStyle w:val="Nagwek4"/>
      </w:pPr>
      <w:bookmarkStart w:id="166" w:name="_Toc11247597"/>
      <w:bookmarkStart w:id="167" w:name="_Hlk8907358"/>
      <w:bookmarkStart w:id="168" w:name="_Toc6257693"/>
      <w:r w:rsidRPr="00EC250C">
        <w:t xml:space="preserve">Problemy osób chorujących psychicznie i </w:t>
      </w:r>
      <w:r w:rsidR="00A74943" w:rsidRPr="00EC250C">
        <w:t>z</w:t>
      </w:r>
      <w:r w:rsidR="00A74943" w:rsidRPr="00EC250C">
        <w:rPr>
          <w:rFonts w:hint="eastAsia"/>
        </w:rPr>
        <w:t> </w:t>
      </w:r>
      <w:r w:rsidR="00A74943" w:rsidRPr="00EC250C">
        <w:t xml:space="preserve">niepełnosprawnościami, które są </w:t>
      </w:r>
      <w:r w:rsidRPr="00EC250C">
        <w:t>pozbawion</w:t>
      </w:r>
      <w:r w:rsidR="00A74943" w:rsidRPr="00EC250C">
        <w:t>e</w:t>
      </w:r>
      <w:r w:rsidRPr="00EC250C">
        <w:t xml:space="preserve"> wolności</w:t>
      </w:r>
      <w:bookmarkEnd w:id="166"/>
    </w:p>
    <w:p w14:paraId="0BE6E62C" w14:textId="77777777" w:rsidR="004E0156" w:rsidRPr="00EC250C" w:rsidRDefault="004E0156" w:rsidP="00EC250C">
      <w:pPr>
        <w:pStyle w:val="Nagwek5"/>
      </w:pPr>
      <w:r w:rsidRPr="00EC250C">
        <w:t>Utrudnienia</w:t>
      </w:r>
      <w:r w:rsidR="00992FD0" w:rsidRPr="00EC250C">
        <w:t xml:space="preserve"> w </w:t>
      </w:r>
      <w:r w:rsidRPr="00EC250C">
        <w:t>kontakcie więźniów przebywający</w:t>
      </w:r>
      <w:r w:rsidR="00E127C4" w:rsidRPr="00EC250C">
        <w:t>ch</w:t>
      </w:r>
      <w:r w:rsidR="00992FD0" w:rsidRPr="00EC250C">
        <w:t xml:space="preserve"> w </w:t>
      </w:r>
      <w:r w:rsidRPr="00EC250C">
        <w:t>szpitalach psychiatrycznych</w:t>
      </w:r>
      <w:r w:rsidR="00992FD0" w:rsidRPr="00EC250C">
        <w:t xml:space="preserve"> z </w:t>
      </w:r>
      <w:r w:rsidRPr="00EC250C">
        <w:t>rzecznikiem praw pacjenta szpitala psychiatrycznego</w:t>
      </w:r>
      <w:bookmarkEnd w:id="167"/>
    </w:p>
    <w:p w14:paraId="3418CD79" w14:textId="77777777" w:rsidR="00B473F5" w:rsidRPr="00EC250C" w:rsidRDefault="00F221B7" w:rsidP="00D131FA">
      <w:pPr>
        <w:pStyle w:val="Problemczowieka"/>
        <w:jc w:val="both"/>
        <w:rPr>
          <w:rStyle w:val="ProblemczowiekaZnak"/>
          <w:b/>
        </w:rPr>
      </w:pPr>
      <w:r w:rsidRPr="00EC250C">
        <w:rPr>
          <w:rStyle w:val="ProblemczowiekaZnak"/>
          <w:b/>
        </w:rPr>
        <w:t>Kontrolując przywięzienne szpitale psychiatryczne przedstawiciele RPO stwierdzili, że</w:t>
      </w:r>
      <w:r w:rsidR="00992FD0" w:rsidRPr="00EC250C">
        <w:rPr>
          <w:rStyle w:val="ProblemczowiekaZnak"/>
          <w:b/>
        </w:rPr>
        <w:t xml:space="preserve"> w </w:t>
      </w:r>
      <w:r w:rsidRPr="00EC250C">
        <w:rPr>
          <w:rStyle w:val="ProblemczowiekaZnak"/>
          <w:b/>
        </w:rPr>
        <w:t>żadnym</w:t>
      </w:r>
      <w:r w:rsidR="00992FD0" w:rsidRPr="00EC250C">
        <w:rPr>
          <w:rStyle w:val="ProblemczowiekaZnak"/>
          <w:b/>
        </w:rPr>
        <w:t xml:space="preserve"> z </w:t>
      </w:r>
      <w:r w:rsidRPr="00EC250C">
        <w:rPr>
          <w:rStyle w:val="ProblemczowiekaZnak"/>
          <w:b/>
        </w:rPr>
        <w:t>tych szpitali, rzecznik praw pacjenta szpitala psychiatrycznego nie prowadzi działań</w:t>
      </w:r>
      <w:r w:rsidR="00B473F5" w:rsidRPr="00EC250C">
        <w:rPr>
          <w:rStyle w:val="ProblemczowiekaZnak"/>
          <w:b/>
        </w:rPr>
        <w:t>.</w:t>
      </w:r>
    </w:p>
    <w:p w14:paraId="368F6A3B" w14:textId="77777777" w:rsidR="00F221B7" w:rsidRPr="00EC250C" w:rsidRDefault="00F221B7" w:rsidP="00D131FA">
      <w:pPr>
        <w:pStyle w:val="Styl1"/>
        <w:rPr>
          <w:bCs/>
          <w:iCs/>
        </w:rPr>
      </w:pPr>
      <w:r w:rsidRPr="00EC250C">
        <w:rPr>
          <w:bCs/>
          <w:iCs/>
        </w:rPr>
        <w:t>Dzieje się tak, mimo iż ustawa</w:t>
      </w:r>
      <w:r w:rsidR="00992FD0" w:rsidRPr="00EC250C">
        <w:rPr>
          <w:bCs/>
          <w:iCs/>
        </w:rPr>
        <w:t xml:space="preserve"> o </w:t>
      </w:r>
      <w:r w:rsidRPr="00EC250C">
        <w:rPr>
          <w:bCs/>
          <w:iCs/>
        </w:rPr>
        <w:t>ochronie zdrowia psychicznego przyznaje osobom korzystającym ze świadczeń zdrowotnych udzielanych przez szpital psychiatryczny (a więc również pacjentom więziennych szpitali psychiatrycznych) prawo do pomocy rzecznika praw pacjenta szpitala psychiatrycznego. Stwierdzono również znaczną skalę nieprawidłowości</w:t>
      </w:r>
      <w:r w:rsidR="00992FD0" w:rsidRPr="00EC250C">
        <w:rPr>
          <w:bCs/>
          <w:iCs/>
        </w:rPr>
        <w:t xml:space="preserve"> w </w:t>
      </w:r>
      <w:r w:rsidRPr="00EC250C">
        <w:rPr>
          <w:bCs/>
          <w:iCs/>
        </w:rPr>
        <w:t>zakresie stosowania przymusu bezpośredniego wobec pacjentów</w:t>
      </w:r>
      <w:r w:rsidRPr="00EC250C">
        <w:rPr>
          <w:bCs/>
          <w:iCs/>
          <w:vertAlign w:val="superscript"/>
        </w:rPr>
        <w:footnoteReference w:id="151"/>
      </w:r>
      <w:r w:rsidRPr="00EC250C">
        <w:rPr>
          <w:bCs/>
          <w:iCs/>
        </w:rPr>
        <w:t>.</w:t>
      </w:r>
    </w:p>
    <w:p w14:paraId="36EB3A04" w14:textId="77777777" w:rsidR="00C91F6E" w:rsidRPr="00EC250C" w:rsidRDefault="00F221B7" w:rsidP="00D131FA">
      <w:pPr>
        <w:pStyle w:val="Styl1"/>
        <w:rPr>
          <w:bCs/>
          <w:iCs/>
        </w:rPr>
      </w:pPr>
      <w:r w:rsidRPr="00EC250C">
        <w:rPr>
          <w:bCs/>
          <w:iCs/>
        </w:rPr>
        <w:t>Możliwość uzyskania pomocy przez pacjentów więziennych szpitali psychiatrycznych jest dużo bardziej ograniczona</w:t>
      </w:r>
      <w:r w:rsidR="00992FD0" w:rsidRPr="00EC250C">
        <w:rPr>
          <w:bCs/>
          <w:iCs/>
        </w:rPr>
        <w:t xml:space="preserve"> w </w:t>
      </w:r>
      <w:r w:rsidRPr="00EC250C">
        <w:rPr>
          <w:bCs/>
          <w:iCs/>
        </w:rPr>
        <w:t>porównaniu</w:t>
      </w:r>
      <w:r w:rsidR="00992FD0" w:rsidRPr="00EC250C">
        <w:rPr>
          <w:bCs/>
          <w:iCs/>
        </w:rPr>
        <w:t xml:space="preserve"> z </w:t>
      </w:r>
      <w:r w:rsidRPr="00EC250C">
        <w:rPr>
          <w:bCs/>
          <w:iCs/>
        </w:rPr>
        <w:t>pacjentami szpitali powszechnej służby zdrowia, zaś możliwość naruszania ich praw potencjalnie zwiększona. Obecność rzeczników</w:t>
      </w:r>
      <w:r w:rsidR="00992FD0" w:rsidRPr="00EC250C">
        <w:rPr>
          <w:bCs/>
          <w:iCs/>
        </w:rPr>
        <w:t xml:space="preserve"> w </w:t>
      </w:r>
      <w:r w:rsidRPr="00EC250C">
        <w:rPr>
          <w:bCs/>
          <w:iCs/>
        </w:rPr>
        <w:t>szpitalach psychiatrycznych pełni więc istotną funkcję prewencyjną,</w:t>
      </w:r>
      <w:r w:rsidR="00992FD0" w:rsidRPr="00EC250C">
        <w:rPr>
          <w:bCs/>
          <w:iCs/>
        </w:rPr>
        <w:t xml:space="preserve"> w </w:t>
      </w:r>
      <w:r w:rsidRPr="00EC250C">
        <w:rPr>
          <w:bCs/>
          <w:iCs/>
        </w:rPr>
        <w:t>znaczący sposób zwiększając gwarancje praworządnego postępowania wobec pacjentów.</w:t>
      </w:r>
    </w:p>
    <w:p w14:paraId="791D8A76" w14:textId="77777777" w:rsidR="00F221B7" w:rsidRPr="00EC250C" w:rsidRDefault="00F221B7" w:rsidP="00D131FA">
      <w:pPr>
        <w:pStyle w:val="Styl1"/>
        <w:rPr>
          <w:bCs/>
          <w:iCs/>
        </w:rPr>
      </w:pPr>
      <w:r w:rsidRPr="00EC250C">
        <w:rPr>
          <w:bCs/>
          <w:iCs/>
        </w:rPr>
        <w:t>RPO zwrócił się do Rzecznika Praw Pacjenta, by zapewnił obecność rzeczników praw pacjenta szpitala psychiatrycznego</w:t>
      </w:r>
      <w:r w:rsidR="00992FD0" w:rsidRPr="00EC250C">
        <w:rPr>
          <w:bCs/>
          <w:iCs/>
        </w:rPr>
        <w:t xml:space="preserve"> w </w:t>
      </w:r>
      <w:r w:rsidRPr="00EC250C">
        <w:rPr>
          <w:bCs/>
          <w:iCs/>
        </w:rPr>
        <w:t>tych placówkach.</w:t>
      </w:r>
    </w:p>
    <w:p w14:paraId="7D55B6FE" w14:textId="77777777" w:rsidR="0025053A" w:rsidRPr="00EC250C" w:rsidRDefault="00F221B7" w:rsidP="00D131FA">
      <w:pPr>
        <w:pStyle w:val="Styl1"/>
        <w:rPr>
          <w:bCs/>
          <w:iCs/>
        </w:rPr>
      </w:pPr>
      <w:r w:rsidRPr="00EC250C">
        <w:rPr>
          <w:bCs/>
          <w:iCs/>
        </w:rPr>
        <w:t>Rzecznik Praw Pacjenta odpowiedział, że priorytety (zapewnienie pomocy dzieciom, młodzieży, osobom starszym, przebywającym</w:t>
      </w:r>
      <w:r w:rsidR="00992FD0" w:rsidRPr="00EC250C">
        <w:rPr>
          <w:bCs/>
          <w:iCs/>
        </w:rPr>
        <w:t xml:space="preserve"> w </w:t>
      </w:r>
      <w:r w:rsidRPr="00EC250C">
        <w:rPr>
          <w:bCs/>
          <w:iCs/>
        </w:rPr>
        <w:t>szpitalach psychiatrycznych), przy ograniczonych zasobach kadrowych, umożliwiają jedynie czasowe oddelegowanie rzeczników do więziennych szpitali psychiatrycznych.</w:t>
      </w:r>
    </w:p>
    <w:bookmarkEnd w:id="168"/>
    <w:p w14:paraId="5C5A1E4A" w14:textId="77777777" w:rsidR="00C103A9" w:rsidRPr="00EC250C" w:rsidRDefault="00C103A9" w:rsidP="00EC250C">
      <w:pPr>
        <w:pStyle w:val="Nagwek5"/>
      </w:pPr>
      <w:r w:rsidRPr="00EC250C">
        <w:t>Sytuacja osób</w:t>
      </w:r>
      <w:r w:rsidR="00992FD0" w:rsidRPr="00EC250C">
        <w:t xml:space="preserve"> w </w:t>
      </w:r>
      <w:r w:rsidRPr="00EC250C">
        <w:t>jednostkach penitencjarnych, które powinny być leczone</w:t>
      </w:r>
      <w:r w:rsidR="00992FD0" w:rsidRPr="00EC250C">
        <w:t xml:space="preserve"> w </w:t>
      </w:r>
      <w:r w:rsidRPr="00EC250C">
        <w:t>publicznych szpitalach psychiatrycznych</w:t>
      </w:r>
    </w:p>
    <w:p w14:paraId="0848EC01" w14:textId="77777777" w:rsidR="00B473F5" w:rsidRPr="00EC250C" w:rsidRDefault="00C103A9" w:rsidP="00D131FA">
      <w:pPr>
        <w:pStyle w:val="Problemczowieka"/>
        <w:jc w:val="both"/>
      </w:pPr>
      <w:r w:rsidRPr="00EC250C">
        <w:t>W więzieniach ciągle przebywają osoby, ciężko cho</w:t>
      </w:r>
      <w:r w:rsidR="00BE554D" w:rsidRPr="00EC250C">
        <w:t>rujące</w:t>
      </w:r>
      <w:r w:rsidRPr="00EC250C">
        <w:t xml:space="preserve"> psychicznie, które powinny być leczone</w:t>
      </w:r>
      <w:r w:rsidR="00992FD0" w:rsidRPr="00EC250C">
        <w:t xml:space="preserve"> w </w:t>
      </w:r>
      <w:r w:rsidRPr="00EC250C">
        <w:t>wolnościowych szpitalach psychiatrycznych, bo tylko te mogą im pomóc. W</w:t>
      </w:r>
      <w:r w:rsidR="00F16A7D" w:rsidRPr="00EC250C">
        <w:t> </w:t>
      </w:r>
      <w:r w:rsidRPr="00EC250C">
        <w:t>pięciu więziennych szpitalach psychiatrycznych nie ma bowiem warunków do właściwego, długoterminowego leczenia</w:t>
      </w:r>
      <w:r w:rsidR="00992FD0" w:rsidRPr="00EC250C">
        <w:t xml:space="preserve"> i </w:t>
      </w:r>
      <w:r w:rsidRPr="00EC250C">
        <w:t>rehabilitacji chorych</w:t>
      </w:r>
      <w:r w:rsidR="00B473F5" w:rsidRPr="00EC250C">
        <w:t>.</w:t>
      </w:r>
    </w:p>
    <w:p w14:paraId="7092A426" w14:textId="77777777" w:rsidR="00C103A9" w:rsidRPr="00EC250C" w:rsidRDefault="00C103A9" w:rsidP="00D131FA">
      <w:pPr>
        <w:pStyle w:val="Styl1"/>
      </w:pPr>
      <w:r w:rsidRPr="00EC250C">
        <w:lastRenderedPageBreak/>
        <w:t>Dziś regulacje prawne</w:t>
      </w:r>
      <w:r w:rsidR="00992FD0" w:rsidRPr="00EC250C">
        <w:t xml:space="preserve"> i </w:t>
      </w:r>
      <w:r w:rsidRPr="00EC250C">
        <w:t>systemowe nie przewidują szpitali psychiatrycznych</w:t>
      </w:r>
      <w:r w:rsidR="00992FD0" w:rsidRPr="00EC250C">
        <w:t xml:space="preserve"> o </w:t>
      </w:r>
      <w:r w:rsidRPr="00EC250C">
        <w:t>odpowiednim stopniu zabezpieczenia,</w:t>
      </w:r>
      <w:r w:rsidR="00992FD0" w:rsidRPr="00EC250C">
        <w:t xml:space="preserve"> w </w:t>
      </w:r>
      <w:r w:rsidRPr="00EC250C">
        <w:t>których można byłoby umieszczać osoby, które</w:t>
      </w:r>
      <w:r w:rsidR="00992FD0" w:rsidRPr="00EC250C">
        <w:t xml:space="preserve"> w </w:t>
      </w:r>
      <w:r w:rsidRPr="00EC250C">
        <w:t>momencie popełnienia czynu karalnego</w:t>
      </w:r>
      <w:r w:rsidR="00992FD0" w:rsidRPr="00EC250C">
        <w:t xml:space="preserve"> w </w:t>
      </w:r>
      <w:r w:rsidRPr="00EC250C">
        <w:t>świetle opinii biegłych były poczytalne,</w:t>
      </w:r>
      <w:r w:rsidR="00992FD0" w:rsidRPr="00EC250C">
        <w:t xml:space="preserve"> a </w:t>
      </w:r>
      <w:r w:rsidRPr="00EC250C">
        <w:t>stanowią zagrożenie dla siebie</w:t>
      </w:r>
      <w:r w:rsidR="00992FD0" w:rsidRPr="00EC250C">
        <w:t xml:space="preserve"> i </w:t>
      </w:r>
      <w:r w:rsidRPr="00EC250C">
        <w:t>innych osób. Zdarzają się więc przypadki nieudzielenia skazanym, chor</w:t>
      </w:r>
      <w:r w:rsidR="00BE554D" w:rsidRPr="00EC250C">
        <w:t>ującym</w:t>
      </w:r>
      <w:r w:rsidRPr="00EC250C">
        <w:t xml:space="preserve"> psychicznie, przerwy</w:t>
      </w:r>
      <w:r w:rsidR="00992FD0" w:rsidRPr="00EC250C">
        <w:t xml:space="preserve"> w </w:t>
      </w:r>
      <w:r w:rsidRPr="00EC250C">
        <w:t>wykonaniu kary pozbawienia wolności, ze względu na brak możliwości przeniesienia ich do szpitala psychiatrycznego.</w:t>
      </w:r>
    </w:p>
    <w:p w14:paraId="44B03213" w14:textId="77777777" w:rsidR="00C103A9" w:rsidRPr="00EC250C" w:rsidRDefault="00C103A9" w:rsidP="00D131FA">
      <w:pPr>
        <w:pStyle w:val="Styl1"/>
        <w:rPr>
          <w:bCs/>
          <w:iCs/>
        </w:rPr>
      </w:pPr>
      <w:r w:rsidRPr="00EC250C">
        <w:rPr>
          <w:bCs/>
          <w:iCs/>
        </w:rPr>
        <w:t xml:space="preserve">Od kilku lat Rzecznik </w:t>
      </w:r>
      <w:r w:rsidR="007447EE" w:rsidRPr="00EC250C">
        <w:rPr>
          <w:bCs/>
          <w:iCs/>
        </w:rPr>
        <w:t xml:space="preserve">Praw Obywatelskich </w:t>
      </w:r>
      <w:r w:rsidRPr="00EC250C">
        <w:rPr>
          <w:bCs/>
          <w:iCs/>
        </w:rPr>
        <w:t>apeluje do Ministra Sprawiedliwości</w:t>
      </w:r>
      <w:r w:rsidR="00992FD0" w:rsidRPr="00EC250C">
        <w:rPr>
          <w:bCs/>
          <w:iCs/>
        </w:rPr>
        <w:t xml:space="preserve"> o </w:t>
      </w:r>
      <w:r w:rsidRPr="00EC250C">
        <w:rPr>
          <w:bCs/>
          <w:iCs/>
        </w:rPr>
        <w:t>stworzenie podstaw prawnych umieszczenia</w:t>
      </w:r>
      <w:r w:rsidR="00992FD0" w:rsidRPr="00EC250C">
        <w:rPr>
          <w:bCs/>
          <w:iCs/>
        </w:rPr>
        <w:t xml:space="preserve"> w </w:t>
      </w:r>
      <w:r w:rsidRPr="00EC250C">
        <w:rPr>
          <w:bCs/>
          <w:iCs/>
        </w:rPr>
        <w:t>szpitalu psychiatrycznym</w:t>
      </w:r>
      <w:r w:rsidR="00992FD0" w:rsidRPr="00EC250C">
        <w:rPr>
          <w:bCs/>
          <w:iCs/>
        </w:rPr>
        <w:t xml:space="preserve"> o </w:t>
      </w:r>
      <w:r w:rsidRPr="00EC250C">
        <w:rPr>
          <w:bCs/>
          <w:iCs/>
        </w:rPr>
        <w:t>odpowiednim stopniu zabezpieczenia osób, którym sąd penitencjarny udzielił przerwy</w:t>
      </w:r>
      <w:r w:rsidR="00992FD0" w:rsidRPr="00EC250C">
        <w:rPr>
          <w:bCs/>
          <w:iCs/>
        </w:rPr>
        <w:t xml:space="preserve"> w </w:t>
      </w:r>
      <w:r w:rsidRPr="00EC250C">
        <w:rPr>
          <w:bCs/>
          <w:iCs/>
        </w:rPr>
        <w:t>karze</w:t>
      </w:r>
      <w:r w:rsidR="00992FD0" w:rsidRPr="00EC250C">
        <w:rPr>
          <w:bCs/>
          <w:iCs/>
        </w:rPr>
        <w:t xml:space="preserve"> z </w:t>
      </w:r>
      <w:r w:rsidRPr="00EC250C">
        <w:rPr>
          <w:bCs/>
          <w:iCs/>
        </w:rPr>
        <w:t>powodu choroby psychicznej</w:t>
      </w:r>
      <w:r w:rsidR="00E127C4" w:rsidRPr="00EC250C">
        <w:rPr>
          <w:bCs/>
          <w:iCs/>
          <w:vertAlign w:val="superscript"/>
        </w:rPr>
        <w:footnoteReference w:id="152"/>
      </w:r>
      <w:r w:rsidRPr="00EC250C">
        <w:rPr>
          <w:bCs/>
          <w:iCs/>
        </w:rPr>
        <w:t>.</w:t>
      </w:r>
      <w:r w:rsidR="007447EE" w:rsidRPr="00EC250C">
        <w:rPr>
          <w:bCs/>
          <w:iCs/>
        </w:rPr>
        <w:t xml:space="preserve"> </w:t>
      </w:r>
      <w:r w:rsidRPr="00EC250C">
        <w:rPr>
          <w:bCs/>
          <w:iCs/>
        </w:rPr>
        <w:t xml:space="preserve">Z odpowiedzi wynika, że </w:t>
      </w:r>
      <w:r w:rsidR="00907A50" w:rsidRPr="00EC250C">
        <w:rPr>
          <w:bCs/>
          <w:iCs/>
        </w:rPr>
        <w:t xml:space="preserve">ministerstwa </w:t>
      </w:r>
      <w:r w:rsidRPr="00EC250C">
        <w:rPr>
          <w:bCs/>
          <w:iCs/>
        </w:rPr>
        <w:t>zdrowia oraz sprawiedliwości tworzą już zespół roboczy</w:t>
      </w:r>
      <w:r w:rsidR="00992FD0" w:rsidRPr="00EC250C">
        <w:rPr>
          <w:bCs/>
          <w:iCs/>
        </w:rPr>
        <w:t xml:space="preserve"> w </w:t>
      </w:r>
      <w:r w:rsidRPr="00EC250C">
        <w:rPr>
          <w:bCs/>
          <w:iCs/>
        </w:rPr>
        <w:t>tej sprawie.</w:t>
      </w:r>
    </w:p>
    <w:p w14:paraId="367DEEE0" w14:textId="77777777" w:rsidR="00394BD8" w:rsidRPr="00EC250C" w:rsidRDefault="00394BD8" w:rsidP="00EC250C">
      <w:pPr>
        <w:pStyle w:val="Nagwek5"/>
      </w:pPr>
      <w:r w:rsidRPr="00EC250C">
        <w:t>Konwojowani</w:t>
      </w:r>
      <w:r w:rsidR="00074B3C" w:rsidRPr="00EC250C">
        <w:t>e</w:t>
      </w:r>
      <w:r w:rsidRPr="00EC250C">
        <w:t xml:space="preserve"> pacjentów przebywających</w:t>
      </w:r>
      <w:r w:rsidR="00992FD0" w:rsidRPr="00EC250C">
        <w:t xml:space="preserve"> w </w:t>
      </w:r>
      <w:r w:rsidRPr="00EC250C">
        <w:t>ramach środka zabezpieczającego</w:t>
      </w:r>
      <w:r w:rsidR="00992FD0" w:rsidRPr="00EC250C">
        <w:t xml:space="preserve"> w </w:t>
      </w:r>
      <w:r w:rsidRPr="00EC250C">
        <w:t>szpitalach</w:t>
      </w:r>
    </w:p>
    <w:p w14:paraId="1841D767" w14:textId="77777777" w:rsidR="00B473F5" w:rsidRPr="00EC250C" w:rsidRDefault="007447EE" w:rsidP="00D131FA">
      <w:pPr>
        <w:pStyle w:val="Problemczowieka"/>
        <w:jc w:val="both"/>
      </w:pPr>
      <w:r w:rsidRPr="00EC250C">
        <w:t xml:space="preserve">RPO </w:t>
      </w:r>
      <w:r w:rsidR="00394BD8" w:rsidRPr="00EC250C">
        <w:rPr>
          <w:bCs/>
          <w:iCs/>
        </w:rPr>
        <w:t>zwrócił też uwagę na</w:t>
      </w:r>
      <w:r w:rsidR="00394BD8" w:rsidRPr="00EC250C">
        <w:t xml:space="preserve"> kwestię konwojowania pacjentów przebywających</w:t>
      </w:r>
      <w:r w:rsidR="00992FD0" w:rsidRPr="00EC250C">
        <w:t xml:space="preserve"> w </w:t>
      </w:r>
      <w:r w:rsidR="00394BD8" w:rsidRPr="00EC250C">
        <w:t>ramach środka zabezpieczającego</w:t>
      </w:r>
      <w:r w:rsidR="00992FD0" w:rsidRPr="00EC250C">
        <w:t xml:space="preserve"> w </w:t>
      </w:r>
      <w:r w:rsidR="00394BD8" w:rsidRPr="00EC250C">
        <w:t>szpitalach</w:t>
      </w:r>
      <w:r w:rsidR="00992FD0" w:rsidRPr="00EC250C">
        <w:t xml:space="preserve"> i </w:t>
      </w:r>
      <w:r w:rsidR="00394BD8" w:rsidRPr="00EC250C">
        <w:t>oddziałach psychiatrycznych poza teren tych placówek</w:t>
      </w:r>
      <w:r w:rsidR="00B473F5" w:rsidRPr="00EC250C">
        <w:t>.</w:t>
      </w:r>
    </w:p>
    <w:p w14:paraId="30F13D98" w14:textId="77777777" w:rsidR="00C91F6E" w:rsidRPr="00EC250C" w:rsidRDefault="00394BD8" w:rsidP="00D131FA">
      <w:pPr>
        <w:pStyle w:val="Styl1"/>
      </w:pPr>
      <w:r w:rsidRPr="00EC250C">
        <w:t xml:space="preserve">W ocenie Rzecznika </w:t>
      </w:r>
      <w:r w:rsidR="007447EE" w:rsidRPr="00EC250C">
        <w:t xml:space="preserve">Praw Obywatelskich </w:t>
      </w:r>
      <w:r w:rsidRPr="00EC250C">
        <w:t>niezbędne jest określenie warunków</w:t>
      </w:r>
      <w:r w:rsidR="00992FD0" w:rsidRPr="00EC250C">
        <w:t xml:space="preserve"> i </w:t>
      </w:r>
      <w:r w:rsidRPr="00EC250C">
        <w:t>zasad konwojowania wszystkich pacjentów przebywających</w:t>
      </w:r>
      <w:r w:rsidR="00992FD0" w:rsidRPr="00EC250C">
        <w:t xml:space="preserve"> w </w:t>
      </w:r>
      <w:r w:rsidRPr="00EC250C">
        <w:t>placówkach psychiatrycznych,</w:t>
      </w:r>
      <w:r w:rsidR="00992FD0" w:rsidRPr="00EC250C">
        <w:t xml:space="preserve"> a </w:t>
      </w:r>
      <w:r w:rsidRPr="00EC250C">
        <w:t>nie tylko osób, wobec których wykonywany jest środek zabezpieczający. Niestety, obowiązujące przepisy nie określają podmiotu odpowiedzialnego za realizację konwoju, środka transportu, którym przewożony jest pacjent</w:t>
      </w:r>
      <w:r w:rsidRPr="00EC250C">
        <w:rPr>
          <w:bCs/>
          <w:iCs/>
        </w:rPr>
        <w:t>,</w:t>
      </w:r>
      <w:r w:rsidRPr="00EC250C">
        <w:t xml:space="preserve"> oraz zasad postępowania konwojentów</w:t>
      </w:r>
      <w:r w:rsidR="00992FD0" w:rsidRPr="00EC250C">
        <w:t xml:space="preserve"> w </w:t>
      </w:r>
      <w:r w:rsidRPr="00EC250C">
        <w:t xml:space="preserve">sytuacjach kryzysowych (agresja pacjenta, </w:t>
      </w:r>
      <w:bookmarkStart w:id="169" w:name="_Toc6257695"/>
    </w:p>
    <w:p w14:paraId="31D4CC62" w14:textId="77777777" w:rsidR="00C91F6E" w:rsidRPr="00EC250C" w:rsidRDefault="00981353" w:rsidP="00EC250C">
      <w:pPr>
        <w:pStyle w:val="Nagwek5"/>
      </w:pPr>
      <w:r w:rsidRPr="00EC250C">
        <w:t>Prawa osób</w:t>
      </w:r>
      <w:r w:rsidR="00992FD0" w:rsidRPr="00EC250C">
        <w:t xml:space="preserve"> z </w:t>
      </w:r>
      <w:r w:rsidRPr="00EC250C">
        <w:t xml:space="preserve">niepełnosprawnością </w:t>
      </w:r>
      <w:r w:rsidR="004F1020" w:rsidRPr="00EC250C">
        <w:t>psychiczną</w:t>
      </w:r>
      <w:r w:rsidR="00992FD0" w:rsidRPr="00EC250C">
        <w:t xml:space="preserve"> i </w:t>
      </w:r>
      <w:r w:rsidR="004F1020" w:rsidRPr="00EC250C">
        <w:t>intelektualną zatrzymanych przez policję</w:t>
      </w:r>
      <w:bookmarkEnd w:id="169"/>
    </w:p>
    <w:p w14:paraId="4BB18F1D" w14:textId="77777777" w:rsidR="00B473F5" w:rsidRPr="00EC250C" w:rsidRDefault="004F1020" w:rsidP="00D131FA">
      <w:pPr>
        <w:pStyle w:val="Problemczowieka"/>
        <w:jc w:val="both"/>
      </w:pPr>
      <w:r w:rsidRPr="00EC250C">
        <w:t>Jeśli policjant nie odnotuje, że zatrzymany może być osobą</w:t>
      </w:r>
      <w:r w:rsidR="00992FD0" w:rsidRPr="00EC250C">
        <w:t xml:space="preserve"> z </w:t>
      </w:r>
      <w:r w:rsidRPr="00EC250C">
        <w:t>niepełnosprawnością intelektualną lub chorować psychicznie, może to dramatycznie zdecydować</w:t>
      </w:r>
      <w:r w:rsidR="00992FD0" w:rsidRPr="00EC250C">
        <w:t xml:space="preserve"> o </w:t>
      </w:r>
      <w:r w:rsidRPr="00EC250C">
        <w:t>losach tej osoby</w:t>
      </w:r>
      <w:r w:rsidR="00B473F5" w:rsidRPr="00EC250C">
        <w:t>.</w:t>
      </w:r>
    </w:p>
    <w:p w14:paraId="75CC1842" w14:textId="77777777" w:rsidR="004F1020" w:rsidRPr="00EC250C" w:rsidRDefault="004F1020" w:rsidP="00D131FA">
      <w:pPr>
        <w:pStyle w:val="Styl1"/>
      </w:pPr>
      <w:r w:rsidRPr="00EC250C">
        <w:t xml:space="preserve">Wczesne zidentyfikowanie problemu </w:t>
      </w:r>
      <w:r w:rsidR="006E66C5" w:rsidRPr="00EC250C">
        <w:t>pozwala na ustanowienie odpowiednich zabezpieczeń procesowych</w:t>
      </w:r>
      <w:r w:rsidR="00992FD0" w:rsidRPr="00EC250C">
        <w:t xml:space="preserve"> i </w:t>
      </w:r>
      <w:r w:rsidR="006E66C5" w:rsidRPr="00EC250C">
        <w:t xml:space="preserve">zapewnia, </w:t>
      </w:r>
      <w:r w:rsidRPr="00EC250C">
        <w:t xml:space="preserve">że osoba taka nie </w:t>
      </w:r>
      <w:r w:rsidR="006E66C5" w:rsidRPr="00EC250C">
        <w:t xml:space="preserve">doświadcza </w:t>
      </w:r>
      <w:r w:rsidRPr="00EC250C">
        <w:t>dyskryminacji</w:t>
      </w:r>
      <w:r w:rsidR="00992FD0" w:rsidRPr="00EC250C">
        <w:t xml:space="preserve"> i </w:t>
      </w:r>
      <w:r w:rsidRPr="00EC250C">
        <w:t>nierównego traktowania. Dlatego też potrzebne jest wypracowanie standardów postępowania przez funkcjonariuszy Policji</w:t>
      </w:r>
      <w:r w:rsidR="00992FD0" w:rsidRPr="00EC250C">
        <w:t xml:space="preserve"> z </w:t>
      </w:r>
      <w:r w:rsidRPr="00EC250C">
        <w:t>osobami przejawiającymi dysfunkcje intelektualne</w:t>
      </w:r>
      <w:r w:rsidR="00992FD0" w:rsidRPr="00EC250C">
        <w:t xml:space="preserve"> i </w:t>
      </w:r>
      <w:r w:rsidRPr="00EC250C">
        <w:t xml:space="preserve">psychiczne. </w:t>
      </w:r>
      <w:r w:rsidR="007447EE" w:rsidRPr="00EC250C">
        <w:t>RPO</w:t>
      </w:r>
      <w:r w:rsidRPr="00EC250C">
        <w:t xml:space="preserve"> zwrócił się</w:t>
      </w:r>
      <w:r w:rsidR="00992FD0" w:rsidRPr="00EC250C">
        <w:t xml:space="preserve"> o </w:t>
      </w:r>
      <w:r w:rsidRPr="00EC250C">
        <w:t>to</w:t>
      </w:r>
      <w:r w:rsidRPr="00EC250C">
        <w:rPr>
          <w:rStyle w:val="Odwoanieprzypisudolnego"/>
          <w:szCs w:val="24"/>
        </w:rPr>
        <w:footnoteReference w:id="153"/>
      </w:r>
      <w:r w:rsidRPr="00EC250C">
        <w:t xml:space="preserve"> do Komendanta Głównego Policji.</w:t>
      </w:r>
    </w:p>
    <w:p w14:paraId="31CB9C2E" w14:textId="77777777" w:rsidR="004F1020" w:rsidRPr="00EC250C" w:rsidRDefault="004F1020" w:rsidP="00D131FA">
      <w:pPr>
        <w:pStyle w:val="Styl1"/>
      </w:pPr>
      <w:r w:rsidRPr="00EC250C">
        <w:lastRenderedPageBreak/>
        <w:t>Dowiedział się, iż powstał już „Uproszczony raport</w:t>
      </w:r>
      <w:r w:rsidR="00992FD0" w:rsidRPr="00EC250C">
        <w:t xml:space="preserve"> z </w:t>
      </w:r>
      <w:r w:rsidRPr="00EC250C">
        <w:t>działań Policji na rzecz osób</w:t>
      </w:r>
      <w:r w:rsidR="00992FD0" w:rsidRPr="00EC250C">
        <w:t xml:space="preserve"> z </w:t>
      </w:r>
      <w:r w:rsidRPr="00EC250C">
        <w:t>niepełnosprawnością intelektualną (osób wymagających szczególnego traktowania)”. Rolę „opiekuna-gospodarza” problematyki przejęła Szkoł</w:t>
      </w:r>
      <w:r w:rsidR="00DC0F62" w:rsidRPr="00EC250C">
        <w:t>a</w:t>
      </w:r>
      <w:r w:rsidRPr="00EC250C">
        <w:t xml:space="preserve"> Policji</w:t>
      </w:r>
      <w:r w:rsidR="00992FD0" w:rsidRPr="00EC250C">
        <w:t xml:space="preserve"> w </w:t>
      </w:r>
      <w:r w:rsidRPr="00EC250C">
        <w:t>Słupsku. Przygotowano</w:t>
      </w:r>
      <w:r w:rsidR="00992FD0" w:rsidRPr="00EC250C">
        <w:t xml:space="preserve"> i </w:t>
      </w:r>
      <w:r w:rsidRPr="00EC250C">
        <w:t>wdrożono specjalistyczne szkolenia</w:t>
      </w:r>
      <w:r w:rsidR="00992FD0" w:rsidRPr="00EC250C">
        <w:t xml:space="preserve"> z </w:t>
      </w:r>
      <w:r w:rsidRPr="00EC250C">
        <w:t>zakresu zasad podejmowania interwencji wobec osób</w:t>
      </w:r>
      <w:r w:rsidR="00992FD0" w:rsidRPr="00EC250C">
        <w:t xml:space="preserve"> z </w:t>
      </w:r>
      <w:r w:rsidRPr="00EC250C">
        <w:t>zaburzeniami psychicznymi lub po zażyciu środków psychoaktywnych. Podjęto działania</w:t>
      </w:r>
      <w:r w:rsidR="00992FD0" w:rsidRPr="00EC250C">
        <w:t xml:space="preserve"> w </w:t>
      </w:r>
      <w:r w:rsidRPr="00EC250C">
        <w:t>celu zacieśnieni</w:t>
      </w:r>
      <w:r w:rsidR="00DC0F62" w:rsidRPr="00EC250C">
        <w:t>a</w:t>
      </w:r>
      <w:r w:rsidRPr="00EC250C">
        <w:t xml:space="preserve"> współpracy</w:t>
      </w:r>
      <w:r w:rsidR="00992FD0" w:rsidRPr="00EC250C">
        <w:t xml:space="preserve"> z </w:t>
      </w:r>
      <w:r w:rsidRPr="00EC250C">
        <w:t>placówkami leczenia psychiatrycznego</w:t>
      </w:r>
      <w:r w:rsidR="00992FD0" w:rsidRPr="00EC250C">
        <w:t xml:space="preserve"> w </w:t>
      </w:r>
      <w:r w:rsidRPr="00EC250C">
        <w:t>celu wymiany doświadczeń, poznawania specyfiki poszczególnych chorób</w:t>
      </w:r>
      <w:r w:rsidR="00992FD0" w:rsidRPr="00EC250C">
        <w:t xml:space="preserve"> i </w:t>
      </w:r>
      <w:r w:rsidRPr="00EC250C">
        <w:t>zaburzeń psychicznych.</w:t>
      </w:r>
    </w:p>
    <w:p w14:paraId="6B336275" w14:textId="77777777" w:rsidR="00C103A9" w:rsidRPr="00EC250C" w:rsidRDefault="00C103A9" w:rsidP="00EC250C">
      <w:pPr>
        <w:pStyle w:val="Nagwek5"/>
      </w:pPr>
      <w:r w:rsidRPr="00EC250C">
        <w:t>Sytuacja osób</w:t>
      </w:r>
      <w:r w:rsidR="00992FD0" w:rsidRPr="00EC250C">
        <w:t xml:space="preserve"> z </w:t>
      </w:r>
      <w:r w:rsidR="007F7DDB" w:rsidRPr="00EC250C">
        <w:t>chorujących psychicznie lub</w:t>
      </w:r>
      <w:r w:rsidR="00992FD0" w:rsidRPr="00EC250C">
        <w:t xml:space="preserve"> z </w:t>
      </w:r>
      <w:r w:rsidR="007F7DDB" w:rsidRPr="00EC250C">
        <w:t>ni</w:t>
      </w:r>
      <w:r w:rsidRPr="00EC250C">
        <w:t>epełnosprawnością intelektualną</w:t>
      </w:r>
      <w:r w:rsidR="00992FD0" w:rsidRPr="00EC250C">
        <w:t xml:space="preserve"> w </w:t>
      </w:r>
      <w:r w:rsidRPr="00EC250C">
        <w:t>jednostkach penitencjarnych</w:t>
      </w:r>
    </w:p>
    <w:p w14:paraId="2D5502DD" w14:textId="77777777" w:rsidR="00B473F5" w:rsidRPr="00EC250C" w:rsidRDefault="00965E52" w:rsidP="00D131FA">
      <w:pPr>
        <w:pStyle w:val="Problemczowieka"/>
        <w:jc w:val="both"/>
      </w:pPr>
      <w:r w:rsidRPr="00EC250C">
        <w:t xml:space="preserve">Sędziowie penitencjarni nie dostrzegają </w:t>
      </w:r>
      <w:r w:rsidR="00DC0F62" w:rsidRPr="00EC250C">
        <w:t xml:space="preserve">problemów </w:t>
      </w:r>
      <w:r w:rsidRPr="00EC250C">
        <w:t>tej grupy osób pozbawionych wolności, nie oceniają</w:t>
      </w:r>
      <w:r w:rsidR="00992FD0" w:rsidRPr="00EC250C">
        <w:t xml:space="preserve"> i </w:t>
      </w:r>
      <w:r w:rsidRPr="00EC250C">
        <w:t>nie weryfikują ich sytuacji</w:t>
      </w:r>
      <w:r w:rsidR="00B473F5" w:rsidRPr="00EC250C">
        <w:t>.</w:t>
      </w:r>
    </w:p>
    <w:p w14:paraId="315BA28A" w14:textId="77777777" w:rsidR="00C91F6E" w:rsidRPr="00EC250C" w:rsidRDefault="00243486" w:rsidP="00D131FA">
      <w:pPr>
        <w:pStyle w:val="Styl1"/>
      </w:pPr>
      <w:r w:rsidRPr="00EC250C">
        <w:t>W Biurze przeanalizowano 149 protokołów:</w:t>
      </w:r>
      <w:r w:rsidR="00992FD0" w:rsidRPr="00EC250C">
        <w:t xml:space="preserve"> z </w:t>
      </w:r>
      <w:r w:rsidRPr="00EC250C">
        <w:t>wizytacji (52)</w:t>
      </w:r>
      <w:r w:rsidR="00992FD0" w:rsidRPr="00EC250C">
        <w:t xml:space="preserve"> i z </w:t>
      </w:r>
      <w:r w:rsidRPr="00EC250C">
        <w:t xml:space="preserve">lustracji (97) </w:t>
      </w:r>
      <w:r w:rsidR="007F7DDB" w:rsidRPr="00EC250C">
        <w:t xml:space="preserve">jednostek penitencjarnych </w:t>
      </w:r>
      <w:r w:rsidRPr="00EC250C">
        <w:t>przeprowadzonych przez sędziów penitencjarnych. Wynik</w:t>
      </w:r>
      <w:r w:rsidR="00DC0F62" w:rsidRPr="00EC250C">
        <w:t>a</w:t>
      </w:r>
      <w:r w:rsidR="00992FD0" w:rsidRPr="00EC250C">
        <w:t xml:space="preserve"> z </w:t>
      </w:r>
      <w:r w:rsidR="00DC0F62" w:rsidRPr="00EC250C">
        <w:t>nich</w:t>
      </w:r>
      <w:r w:rsidRPr="00EC250C">
        <w:t>, że s</w:t>
      </w:r>
      <w:r w:rsidR="00965E52" w:rsidRPr="00EC250C">
        <w:t xml:space="preserve">ędziowie </w:t>
      </w:r>
      <w:r w:rsidR="00045B71" w:rsidRPr="00EC250C">
        <w:t>penitencjarni</w:t>
      </w:r>
      <w:r w:rsidR="006E28CF" w:rsidRPr="00EC250C">
        <w:t xml:space="preserve"> analizują sytuację tych skazanych </w:t>
      </w:r>
      <w:r w:rsidR="00965E52" w:rsidRPr="00EC250C">
        <w:t>wyłącznie</w:t>
      </w:r>
      <w:r w:rsidR="00992FD0" w:rsidRPr="00EC250C">
        <w:t xml:space="preserve"> w </w:t>
      </w:r>
      <w:r w:rsidR="006E28CF" w:rsidRPr="00EC250C">
        <w:t>oparciu</w:t>
      </w:r>
      <w:r w:rsidR="00992FD0" w:rsidRPr="00EC250C">
        <w:t xml:space="preserve"> o </w:t>
      </w:r>
      <w:r w:rsidR="00965E52" w:rsidRPr="00EC250C">
        <w:t>dokumentacj</w:t>
      </w:r>
      <w:r w:rsidR="006E28CF" w:rsidRPr="00EC250C">
        <w:t>ę.</w:t>
      </w:r>
      <w:r w:rsidR="00965E52" w:rsidRPr="00EC250C">
        <w:t xml:space="preserve"> Nie </w:t>
      </w:r>
      <w:r w:rsidR="006E28CF" w:rsidRPr="00EC250C">
        <w:t xml:space="preserve">sprawdzają, czy </w:t>
      </w:r>
      <w:r w:rsidR="00965E52" w:rsidRPr="00EC250C">
        <w:t>zasadn</w:t>
      </w:r>
      <w:r w:rsidR="006E28CF" w:rsidRPr="00EC250C">
        <w:t xml:space="preserve">e jest odbywanie </w:t>
      </w:r>
      <w:r w:rsidR="00965E52" w:rsidRPr="00EC250C">
        <w:t>kary pozbawienia</w:t>
      </w:r>
      <w:r w:rsidR="00992FD0" w:rsidRPr="00EC250C">
        <w:t xml:space="preserve"> w </w:t>
      </w:r>
      <w:r w:rsidR="006E28CF" w:rsidRPr="00EC250C">
        <w:t xml:space="preserve">takim </w:t>
      </w:r>
      <w:r w:rsidR="00965E52" w:rsidRPr="00EC250C">
        <w:t>stanie zdrowia psychicznego</w:t>
      </w:r>
      <w:r w:rsidR="00992FD0" w:rsidRPr="00EC250C">
        <w:t xml:space="preserve"> i </w:t>
      </w:r>
      <w:r w:rsidR="00965E52" w:rsidRPr="00EC250C">
        <w:t>możliwości intelektualnych</w:t>
      </w:r>
      <w:r w:rsidR="00965E52" w:rsidRPr="00EC250C">
        <w:rPr>
          <w:vertAlign w:val="superscript"/>
        </w:rPr>
        <w:footnoteReference w:id="154"/>
      </w:r>
      <w:r w:rsidR="006E28CF" w:rsidRPr="00EC250C">
        <w:t>.</w:t>
      </w:r>
    </w:p>
    <w:p w14:paraId="23776233" w14:textId="77777777" w:rsidR="00C91F6E" w:rsidRPr="00EC250C" w:rsidRDefault="00965E52" w:rsidP="00D131FA">
      <w:pPr>
        <w:pStyle w:val="Styl1"/>
      </w:pPr>
      <w:r w:rsidRPr="00EC250C">
        <w:t>Minist</w:t>
      </w:r>
      <w:r w:rsidR="006E28CF" w:rsidRPr="00EC250C">
        <w:t>e</w:t>
      </w:r>
      <w:r w:rsidRPr="00EC250C">
        <w:t>r</w:t>
      </w:r>
      <w:r w:rsidR="006E28CF" w:rsidRPr="00EC250C">
        <w:t xml:space="preserve">stwo </w:t>
      </w:r>
      <w:r w:rsidRPr="00EC250C">
        <w:t>Sprawiedliwości dostrzega problem. Zaproponowało</w:t>
      </w:r>
      <w:r w:rsidR="006E28CF" w:rsidRPr="00EC250C">
        <w:t xml:space="preserve"> m.in.</w:t>
      </w:r>
      <w:r w:rsidRPr="00EC250C">
        <w:t>, aby tematyką szkoleniową</w:t>
      </w:r>
      <w:r w:rsidR="00992FD0" w:rsidRPr="00EC250C">
        <w:t xml:space="preserve"> w </w:t>
      </w:r>
      <w:r w:rsidRPr="00EC250C">
        <w:t>Krajowej Szkole Sądownictwa</w:t>
      </w:r>
      <w:r w:rsidR="00992FD0" w:rsidRPr="00EC250C">
        <w:t xml:space="preserve"> i </w:t>
      </w:r>
      <w:r w:rsidRPr="00EC250C">
        <w:t>Prokuratury objąć kwestię respektowania uprawnień osadzonych osób</w:t>
      </w:r>
      <w:r w:rsidR="00992FD0" w:rsidRPr="00EC250C">
        <w:t xml:space="preserve"> z </w:t>
      </w:r>
      <w:r w:rsidRPr="00EC250C">
        <w:t>niepełnosprawnością fizyczną lub umysłową oraz</w:t>
      </w:r>
      <w:r w:rsidR="00992FD0" w:rsidRPr="00EC250C">
        <w:t xml:space="preserve"> z </w:t>
      </w:r>
      <w:r w:rsidRPr="00EC250C">
        <w:t>zaburzeniami psychicznymi. Wyśle też do prezesów sądów apelacyjnych pismo zwracające uwagę na problem.</w:t>
      </w:r>
    </w:p>
    <w:p w14:paraId="35FEFEBE" w14:textId="77777777" w:rsidR="00C91F6E" w:rsidRPr="00EC250C" w:rsidRDefault="003B7614" w:rsidP="00EC250C">
      <w:pPr>
        <w:pStyle w:val="Nagwek5"/>
      </w:pPr>
      <w:bookmarkStart w:id="170" w:name="_Toc6257698"/>
      <w:bookmarkStart w:id="171" w:name="_Hlk7446227"/>
      <w:bookmarkStart w:id="172" w:name="_Toc6257691"/>
      <w:bookmarkStart w:id="173" w:name="_Toc6257697"/>
      <w:r w:rsidRPr="00EC250C">
        <w:t>Sytuacja osób niewidomych</w:t>
      </w:r>
      <w:r w:rsidR="00992FD0" w:rsidRPr="00EC250C">
        <w:t xml:space="preserve"> i </w:t>
      </w:r>
      <w:r w:rsidRPr="00EC250C">
        <w:t>niedowidzących odbywających karę pozbawienia wolności</w:t>
      </w:r>
      <w:bookmarkEnd w:id="170"/>
    </w:p>
    <w:p w14:paraId="127F8C0E" w14:textId="77777777" w:rsidR="00B473F5" w:rsidRPr="00EC250C" w:rsidRDefault="007F7DDB" w:rsidP="00D131FA">
      <w:pPr>
        <w:pStyle w:val="Problemczowieka"/>
        <w:jc w:val="both"/>
      </w:pPr>
      <w:r w:rsidRPr="00EC250C">
        <w:t>W więzieniach pomoc lekarska dla osób niewidomych</w:t>
      </w:r>
      <w:r w:rsidR="00992FD0" w:rsidRPr="00EC250C">
        <w:t xml:space="preserve"> i </w:t>
      </w:r>
      <w:r w:rsidRPr="00EC250C">
        <w:t>niedowidzących nie jest wystarczająca. Osoby te nie mają też wystarczającej pomocy</w:t>
      </w:r>
      <w:r w:rsidR="00992FD0" w:rsidRPr="00EC250C">
        <w:t xml:space="preserve"> i </w:t>
      </w:r>
      <w:r w:rsidRPr="00EC250C">
        <w:t>wsparcia</w:t>
      </w:r>
      <w:r w:rsidR="00992FD0" w:rsidRPr="00EC250C">
        <w:t xml:space="preserve"> w </w:t>
      </w:r>
      <w:r w:rsidRPr="00EC250C">
        <w:t>codziennym funkcjonowaniu. Także infrastruktura nie jest dostosowana do ich potrzeb</w:t>
      </w:r>
      <w:r w:rsidR="00B473F5" w:rsidRPr="00EC250C">
        <w:t>.</w:t>
      </w:r>
    </w:p>
    <w:p w14:paraId="422C9E12" w14:textId="77777777" w:rsidR="00C91F6E" w:rsidRPr="00EC250C" w:rsidRDefault="007F7DDB" w:rsidP="00D131FA">
      <w:pPr>
        <w:pStyle w:val="Styl1"/>
      </w:pPr>
      <w:r w:rsidRPr="00EC250C">
        <w:t>Niewidomi zwykle nie posiadają sprzętu ułatwiającego życie: czujnika poziomu cieczy, zegarka brajlowskiego oraz białej laski. Brak tabliczki</w:t>
      </w:r>
      <w:r w:rsidR="00992FD0" w:rsidRPr="00EC250C">
        <w:t xml:space="preserve"> i </w:t>
      </w:r>
      <w:r w:rsidRPr="00EC250C">
        <w:t>dłutka brajlowskiego czy maszyny brajlowskiej powoduje, że osadzeni ci nie mają zapewnionej możliwości samodzielnego prowadzenia korespondencji. Są pozbawieni dostępu do dokumentów</w:t>
      </w:r>
      <w:r w:rsidR="00992FD0" w:rsidRPr="00EC250C">
        <w:t xml:space="preserve"> i </w:t>
      </w:r>
      <w:r w:rsidRPr="00EC250C">
        <w:t>informacji,</w:t>
      </w:r>
      <w:r w:rsidR="00992FD0" w:rsidRPr="00EC250C">
        <w:t xml:space="preserve"> w </w:t>
      </w:r>
      <w:r w:rsidRPr="00EC250C">
        <w:t>szczególności aktów prawnych.</w:t>
      </w:r>
    </w:p>
    <w:p w14:paraId="44B90017" w14:textId="77777777" w:rsidR="00C91F6E" w:rsidRPr="00EC250C" w:rsidRDefault="007447EE" w:rsidP="00D131FA">
      <w:pPr>
        <w:pStyle w:val="Styl1"/>
      </w:pPr>
      <w:bookmarkStart w:id="174" w:name="_Hlk536050133"/>
      <w:r w:rsidRPr="00EC250C">
        <w:t>RPO</w:t>
      </w:r>
      <w:r w:rsidR="003B7614" w:rsidRPr="00EC250C">
        <w:t xml:space="preserve"> zwrócił się</w:t>
      </w:r>
      <w:r w:rsidR="00992FD0" w:rsidRPr="00EC250C">
        <w:t xml:space="preserve"> z </w:t>
      </w:r>
      <w:r w:rsidR="003B7614" w:rsidRPr="00EC250C">
        <w:t>tym problemem do Dyrektora Generalnego Służby Więziennej</w:t>
      </w:r>
      <w:r w:rsidR="003B7614" w:rsidRPr="00EC250C">
        <w:rPr>
          <w:vertAlign w:val="superscript"/>
        </w:rPr>
        <w:footnoteReference w:id="155"/>
      </w:r>
      <w:bookmarkEnd w:id="171"/>
      <w:bookmarkEnd w:id="174"/>
      <w:r w:rsidR="00992FD0" w:rsidRPr="00EC250C">
        <w:t xml:space="preserve"> i </w:t>
      </w:r>
      <w:r w:rsidR="00D97420" w:rsidRPr="00EC250C">
        <w:t>otrzymał odpowiedź, że żadna jednostka penitencjarna</w:t>
      </w:r>
      <w:r w:rsidR="00992FD0" w:rsidRPr="00EC250C">
        <w:t xml:space="preserve"> w </w:t>
      </w:r>
      <w:r w:rsidR="00D97420" w:rsidRPr="00EC250C">
        <w:t>Polsce nie jest</w:t>
      </w:r>
      <w:r w:rsidR="00992FD0" w:rsidRPr="00EC250C">
        <w:t xml:space="preserve"> w </w:t>
      </w:r>
      <w:r w:rsidR="00D97420" w:rsidRPr="00EC250C">
        <w:t>pełni dostosowana do potrzeb osób</w:t>
      </w:r>
      <w:r w:rsidR="00992FD0" w:rsidRPr="00EC250C">
        <w:t xml:space="preserve"> </w:t>
      </w:r>
      <w:r w:rsidR="00992FD0" w:rsidRPr="00EC250C">
        <w:lastRenderedPageBreak/>
        <w:t>z </w:t>
      </w:r>
      <w:r w:rsidR="00D97420" w:rsidRPr="00EC250C">
        <w:t>problemami wzroku. Służba Więzienna stara się jednak mieć na uwadze tę grupę skazanych</w:t>
      </w:r>
      <w:r w:rsidR="00992FD0" w:rsidRPr="00EC250C">
        <w:t xml:space="preserve"> i </w:t>
      </w:r>
      <w:r w:rsidR="00D97420" w:rsidRPr="00EC250C">
        <w:t>podejmuje działania</w:t>
      </w:r>
      <w:r w:rsidR="00992FD0" w:rsidRPr="00EC250C">
        <w:t xml:space="preserve"> w </w:t>
      </w:r>
      <w:r w:rsidR="00D97420" w:rsidRPr="00EC250C">
        <w:t>celu zlikwidowania barier architektonicznych</w:t>
      </w:r>
      <w:r w:rsidR="00992FD0" w:rsidRPr="00EC250C">
        <w:t xml:space="preserve"> i </w:t>
      </w:r>
      <w:r w:rsidR="00D97420" w:rsidRPr="00EC250C">
        <w:t>dostosowa</w:t>
      </w:r>
      <w:r w:rsidR="00DC0F62" w:rsidRPr="00EC250C">
        <w:t>nia</w:t>
      </w:r>
      <w:r w:rsidR="00D97420" w:rsidRPr="00EC250C">
        <w:t xml:space="preserve"> obiekty do ich potrzeb.</w:t>
      </w:r>
    </w:p>
    <w:p w14:paraId="08454D3F" w14:textId="77777777" w:rsidR="00BE554D" w:rsidRPr="00EC250C" w:rsidRDefault="00BE554D" w:rsidP="00EC79EB">
      <w:pPr>
        <w:pStyle w:val="Nagwek4"/>
      </w:pPr>
      <w:bookmarkStart w:id="175" w:name="_Toc11247598"/>
      <w:r w:rsidRPr="00EC250C">
        <w:t>Procedury dotyczące osób pozbawionych wolności</w:t>
      </w:r>
      <w:bookmarkEnd w:id="175"/>
    </w:p>
    <w:p w14:paraId="65B12A06" w14:textId="77777777" w:rsidR="003B7614" w:rsidRPr="00EC250C" w:rsidRDefault="00BF0F46" w:rsidP="00EC250C">
      <w:pPr>
        <w:pStyle w:val="Nagwek5"/>
      </w:pPr>
      <w:r w:rsidRPr="00EC250C">
        <w:t xml:space="preserve">Procedury </w:t>
      </w:r>
      <w:r w:rsidR="003B7614" w:rsidRPr="00EC250C">
        <w:t>ochronne</w:t>
      </w:r>
      <w:r w:rsidR="00992FD0" w:rsidRPr="00EC250C">
        <w:t xml:space="preserve"> w </w:t>
      </w:r>
      <w:r w:rsidR="003B7614" w:rsidRPr="00EC250C">
        <w:t>więzieniach nadmiernie ingerują</w:t>
      </w:r>
      <w:r w:rsidR="00992FD0" w:rsidRPr="00EC250C">
        <w:t xml:space="preserve"> w </w:t>
      </w:r>
      <w:r w:rsidR="003B7614" w:rsidRPr="00EC250C">
        <w:t>prawa osadzonych</w:t>
      </w:r>
      <w:bookmarkEnd w:id="172"/>
    </w:p>
    <w:p w14:paraId="58A6149A" w14:textId="77777777" w:rsidR="00D91FBD" w:rsidRPr="00EC250C" w:rsidRDefault="00FB2FAC" w:rsidP="00D131FA">
      <w:pPr>
        <w:pStyle w:val="Problemczowieka"/>
        <w:jc w:val="both"/>
        <w:rPr>
          <w:rStyle w:val="Pogrubienie"/>
          <w:b/>
          <w:bCs w:val="0"/>
        </w:rPr>
      </w:pPr>
      <w:r w:rsidRPr="00EC250C">
        <w:rPr>
          <w:rStyle w:val="Pogrubienie"/>
          <w:b/>
          <w:bCs w:val="0"/>
        </w:rPr>
        <w:t>Czy</w:t>
      </w:r>
      <w:r w:rsidR="00992FD0" w:rsidRPr="00EC250C">
        <w:rPr>
          <w:rStyle w:val="Pogrubienie"/>
          <w:b/>
          <w:bCs w:val="0"/>
        </w:rPr>
        <w:t xml:space="preserve"> w </w:t>
      </w:r>
      <w:r w:rsidRPr="00EC250C">
        <w:rPr>
          <w:rStyle w:val="Pogrubienie"/>
          <w:b/>
          <w:bCs w:val="0"/>
        </w:rPr>
        <w:t>zakładach karnych</w:t>
      </w:r>
      <w:r w:rsidR="00992FD0" w:rsidRPr="00EC250C">
        <w:rPr>
          <w:rStyle w:val="Pogrubienie"/>
          <w:b/>
          <w:bCs w:val="0"/>
        </w:rPr>
        <w:t xml:space="preserve"> i </w:t>
      </w:r>
      <w:r w:rsidRPr="00EC250C">
        <w:rPr>
          <w:rStyle w:val="Pogrubienie"/>
          <w:b/>
          <w:bCs w:val="0"/>
        </w:rPr>
        <w:t>aresztach śledczych stosuje się nieuprawnione procedury ochronne, które</w:t>
      </w:r>
      <w:r w:rsidR="00992FD0" w:rsidRPr="00EC250C">
        <w:rPr>
          <w:rStyle w:val="Pogrubienie"/>
          <w:b/>
          <w:bCs w:val="0"/>
        </w:rPr>
        <w:t xml:space="preserve"> w </w:t>
      </w:r>
      <w:r w:rsidRPr="00EC250C">
        <w:rPr>
          <w:rStyle w:val="Pogrubienie"/>
          <w:b/>
          <w:bCs w:val="0"/>
        </w:rPr>
        <w:t>nadmierny</w:t>
      </w:r>
      <w:r w:rsidR="00992FD0" w:rsidRPr="00EC250C">
        <w:rPr>
          <w:rStyle w:val="Pogrubienie"/>
          <w:b/>
          <w:bCs w:val="0"/>
        </w:rPr>
        <w:t xml:space="preserve"> i </w:t>
      </w:r>
      <w:r w:rsidRPr="00EC250C">
        <w:rPr>
          <w:rStyle w:val="Pogrubienie"/>
          <w:b/>
          <w:bCs w:val="0"/>
        </w:rPr>
        <w:t>nieuzasadniony sposób ingerują</w:t>
      </w:r>
      <w:r w:rsidR="00992FD0" w:rsidRPr="00EC250C">
        <w:rPr>
          <w:rStyle w:val="Pogrubienie"/>
          <w:b/>
          <w:bCs w:val="0"/>
        </w:rPr>
        <w:t xml:space="preserve"> w </w:t>
      </w:r>
      <w:r w:rsidRPr="00EC250C">
        <w:rPr>
          <w:rStyle w:val="Pogrubienie"/>
          <w:b/>
          <w:bCs w:val="0"/>
        </w:rPr>
        <w:t>prawa osadzonych</w:t>
      </w:r>
      <w:r w:rsidR="00D91FBD" w:rsidRPr="00EC250C">
        <w:rPr>
          <w:rStyle w:val="Pogrubienie"/>
          <w:b/>
          <w:bCs w:val="0"/>
        </w:rPr>
        <w:t>?</w:t>
      </w:r>
    </w:p>
    <w:p w14:paraId="76712B6A" w14:textId="77777777" w:rsidR="001B5622" w:rsidRPr="00EC250C" w:rsidRDefault="001B5622" w:rsidP="00D131FA">
      <w:pPr>
        <w:pStyle w:val="Styl1"/>
      </w:pPr>
      <w:r w:rsidRPr="00EC250C">
        <w:t>Jak wynika</w:t>
      </w:r>
      <w:r w:rsidR="00992FD0" w:rsidRPr="00EC250C">
        <w:t xml:space="preserve"> z </w:t>
      </w:r>
      <w:r w:rsidRPr="00EC250C">
        <w:t>ustaleń poczynionych przez RPO, Służba Więzienna realizuje zalecenia ochronne, efektem których jest tworzenie szczególnego reżimu wykonywania tymczasowego aresztowania lub kary pozbawienia wolności, niejednokrotnie zbliżonego</w:t>
      </w:r>
      <w:r w:rsidR="00992FD0" w:rsidRPr="00EC250C">
        <w:t xml:space="preserve"> w </w:t>
      </w:r>
      <w:r w:rsidRPr="00EC250C">
        <w:t>swym charakterze do reżimu stosowanego wobec tzw. więźniów niebezpiecznych. Szczególne zalecenia prewencyjne polegają np. na zakładaniu kajdanek na ręce, gdy osadzony znajduje się poza celą mieszkalną, obecności funkcjonariuszy podczas rozmów</w:t>
      </w:r>
      <w:r w:rsidR="00992FD0" w:rsidRPr="00EC250C">
        <w:t xml:space="preserve"> z </w:t>
      </w:r>
      <w:r w:rsidRPr="00EC250C">
        <w:t>wychowawcą czy psychologiem, przeprowadzaniu codziennej kontroli celi mieszkalnej</w:t>
      </w:r>
      <w:r w:rsidR="00992FD0" w:rsidRPr="00EC250C">
        <w:t xml:space="preserve"> i </w:t>
      </w:r>
      <w:r w:rsidRPr="00EC250C">
        <w:t>poddawaniu więźnia każdego dnia kontroli osobistej. Więzień zwykle nie otrzymuje informacji</w:t>
      </w:r>
      <w:r w:rsidR="00992FD0" w:rsidRPr="00EC250C">
        <w:t xml:space="preserve"> o </w:t>
      </w:r>
      <w:r w:rsidRPr="00EC250C">
        <w:t>wydaniu decyzji</w:t>
      </w:r>
      <w:r w:rsidR="00992FD0" w:rsidRPr="00EC250C">
        <w:t xml:space="preserve"> o </w:t>
      </w:r>
      <w:r w:rsidRPr="00EC250C">
        <w:t>wdrożeniu wobec niego szczególnych zaleceń</w:t>
      </w:r>
      <w:r w:rsidR="00992FD0" w:rsidRPr="00EC250C">
        <w:t xml:space="preserve"> i </w:t>
      </w:r>
      <w:r w:rsidRPr="00EC250C">
        <w:t>nie jest poinformowany</w:t>
      </w:r>
      <w:r w:rsidR="00992FD0" w:rsidRPr="00EC250C">
        <w:t xml:space="preserve"> o </w:t>
      </w:r>
      <w:r w:rsidRPr="00EC250C">
        <w:t>prawie do zaskarżenia tej decyzji. Raz wydana decyzja obowiązuje bezterminowo, bowiem nie określa się terminu jej weryfikacji, co pozbawia więźnia możliwości zaskarżenia ewentualnych kolejnych decyzji</w:t>
      </w:r>
      <w:r w:rsidR="00992FD0" w:rsidRPr="00EC250C">
        <w:t xml:space="preserve"> o </w:t>
      </w:r>
      <w:r w:rsidRPr="00EC250C">
        <w:t>utrzymaniu reżimu.</w:t>
      </w:r>
    </w:p>
    <w:p w14:paraId="6E9B68AE" w14:textId="77777777" w:rsidR="00C91F6E" w:rsidRPr="00EC250C" w:rsidRDefault="007447EE" w:rsidP="00D131FA">
      <w:pPr>
        <w:pStyle w:val="Styl1"/>
      </w:pPr>
      <w:r w:rsidRPr="00EC250C">
        <w:t>RPO</w:t>
      </w:r>
      <w:r w:rsidR="001B5622" w:rsidRPr="00EC250C">
        <w:t xml:space="preserve"> nie kwestionuje prawa Służby Więziennej do zapewnienia porządku</w:t>
      </w:r>
      <w:r w:rsidR="00992FD0" w:rsidRPr="00EC250C">
        <w:t xml:space="preserve"> i </w:t>
      </w:r>
      <w:r w:rsidR="001B5622" w:rsidRPr="00EC250C">
        <w:t>bezpieczeństwa</w:t>
      </w:r>
      <w:r w:rsidR="00992FD0" w:rsidRPr="00EC250C">
        <w:t xml:space="preserve"> w </w:t>
      </w:r>
      <w:r w:rsidR="001B5622" w:rsidRPr="00EC250C">
        <w:t>jednostkach penitencjarnych oraz bezpieczeństwa osadzonym. Działania muszą być jednak adekwatne do zagrożeń</w:t>
      </w:r>
      <w:r w:rsidR="00992FD0" w:rsidRPr="00EC250C">
        <w:t xml:space="preserve"> i </w:t>
      </w:r>
      <w:r w:rsidR="001B5622" w:rsidRPr="00EC250C">
        <w:t>indywidualnie dostosowane do sytuacji osadzonego oraz realizowane zgodnie</w:t>
      </w:r>
      <w:r w:rsidR="00992FD0" w:rsidRPr="00EC250C">
        <w:t xml:space="preserve"> z </w:t>
      </w:r>
      <w:r w:rsidR="001B5622" w:rsidRPr="00EC250C">
        <w:t>obowiązującym prawem, aby nie naruszały praw tych osób.</w:t>
      </w:r>
    </w:p>
    <w:p w14:paraId="5B0BE00F" w14:textId="77777777" w:rsidR="003B7614" w:rsidRPr="00EC250C" w:rsidRDefault="007447EE" w:rsidP="00D131FA">
      <w:pPr>
        <w:pStyle w:val="Styl1"/>
      </w:pPr>
      <w:r w:rsidRPr="00EC250C">
        <w:rPr>
          <w:bCs/>
          <w:iCs/>
        </w:rPr>
        <w:t>RPO</w:t>
      </w:r>
      <w:r w:rsidR="003B7614" w:rsidRPr="00EC250C">
        <w:rPr>
          <w:bCs/>
          <w:iCs/>
        </w:rPr>
        <w:t xml:space="preserve"> zwrócił się</w:t>
      </w:r>
      <w:r w:rsidR="003B7614" w:rsidRPr="00EC250C">
        <w:rPr>
          <w:rStyle w:val="Odwoanieprzypisudolnego"/>
          <w:bCs/>
          <w:iCs/>
        </w:rPr>
        <w:footnoteReference w:id="156"/>
      </w:r>
      <w:r w:rsidR="003B7614" w:rsidRPr="00EC250C">
        <w:rPr>
          <w:bCs/>
          <w:iCs/>
        </w:rPr>
        <w:t xml:space="preserve"> do Dyrektora Generalnego Służby Więziennej</w:t>
      </w:r>
      <w:r w:rsidR="00992FD0" w:rsidRPr="00EC250C">
        <w:rPr>
          <w:bCs/>
          <w:iCs/>
        </w:rPr>
        <w:t xml:space="preserve"> o </w:t>
      </w:r>
      <w:r w:rsidR="001B5622" w:rsidRPr="00EC250C">
        <w:rPr>
          <w:bCs/>
          <w:iCs/>
        </w:rPr>
        <w:t>wyeliminowanie przypadków nieuprawnionego stosowania wobec osadzonych procedur ochronnych. Dyrektor zapewnił, że kwestionowane przez RPO postępowanie wynika wyłącznie</w:t>
      </w:r>
      <w:r w:rsidR="00992FD0" w:rsidRPr="00EC250C">
        <w:rPr>
          <w:bCs/>
          <w:iCs/>
        </w:rPr>
        <w:t xml:space="preserve"> z </w:t>
      </w:r>
      <w:r w:rsidR="001B5622" w:rsidRPr="00EC250C">
        <w:rPr>
          <w:bCs/>
          <w:iCs/>
        </w:rPr>
        <w:t>potrzeby prewencji lub szczególnie trudnej sytuacji osobistej konkretnego osadzonego</w:t>
      </w:r>
      <w:r w:rsidR="003B7614" w:rsidRPr="00EC250C">
        <w:t>.</w:t>
      </w:r>
    </w:p>
    <w:p w14:paraId="719F7B3C" w14:textId="77777777" w:rsidR="00C91F6E" w:rsidRPr="00EC250C" w:rsidRDefault="003B7614" w:rsidP="00EC250C">
      <w:pPr>
        <w:pStyle w:val="Nagwek5"/>
      </w:pPr>
      <w:bookmarkStart w:id="176" w:name="_Toc6257704"/>
      <w:r w:rsidRPr="00EC250C">
        <w:t>Badania skazanych na obecność</w:t>
      </w:r>
      <w:r w:rsidR="00992FD0" w:rsidRPr="00EC250C">
        <w:t xml:space="preserve"> w </w:t>
      </w:r>
      <w:r w:rsidRPr="00EC250C">
        <w:t>organizmie środków odurzających lub substancji psychotropowych</w:t>
      </w:r>
      <w:bookmarkEnd w:id="176"/>
    </w:p>
    <w:p w14:paraId="0E479A32" w14:textId="77777777" w:rsidR="00B473F5" w:rsidRPr="00EC250C" w:rsidRDefault="00C44C2F" w:rsidP="00D131FA">
      <w:pPr>
        <w:pStyle w:val="Problemczowieka"/>
        <w:jc w:val="both"/>
        <w:rPr>
          <w:bdr w:val="none" w:sz="0" w:space="0" w:color="auto" w:frame="1"/>
        </w:rPr>
      </w:pPr>
      <w:r w:rsidRPr="00EC250C">
        <w:rPr>
          <w:bdr w:val="none" w:sz="0" w:space="0" w:color="auto" w:frame="1"/>
        </w:rPr>
        <w:t>Przepisy dotyczące przeprowadzania badań skazanych na obecność</w:t>
      </w:r>
      <w:r w:rsidR="00992FD0" w:rsidRPr="00EC250C">
        <w:rPr>
          <w:bdr w:val="none" w:sz="0" w:space="0" w:color="auto" w:frame="1"/>
        </w:rPr>
        <w:t xml:space="preserve"> w </w:t>
      </w:r>
      <w:r w:rsidRPr="00EC250C">
        <w:rPr>
          <w:bdr w:val="none" w:sz="0" w:space="0" w:color="auto" w:frame="1"/>
        </w:rPr>
        <w:t>organizmie środków odurzających lub substancji psychotropowych nie odpowiadają standardom wiedzy</w:t>
      </w:r>
      <w:r w:rsidR="00992FD0" w:rsidRPr="00EC250C">
        <w:rPr>
          <w:bdr w:val="none" w:sz="0" w:space="0" w:color="auto" w:frame="1"/>
        </w:rPr>
        <w:t xml:space="preserve"> z </w:t>
      </w:r>
      <w:r w:rsidRPr="00EC250C">
        <w:rPr>
          <w:bdr w:val="none" w:sz="0" w:space="0" w:color="auto" w:frame="1"/>
        </w:rPr>
        <w:t>zakresu toksykologii</w:t>
      </w:r>
      <w:r w:rsidR="00992FD0" w:rsidRPr="00EC250C">
        <w:rPr>
          <w:bdr w:val="none" w:sz="0" w:space="0" w:color="auto" w:frame="1"/>
        </w:rPr>
        <w:t xml:space="preserve"> i </w:t>
      </w:r>
      <w:r w:rsidRPr="00EC250C">
        <w:rPr>
          <w:bdr w:val="none" w:sz="0" w:space="0" w:color="auto" w:frame="1"/>
        </w:rPr>
        <w:t>nie uwzględniają problemu dopalaczy</w:t>
      </w:r>
      <w:r w:rsidR="00B473F5" w:rsidRPr="00EC250C">
        <w:rPr>
          <w:bdr w:val="none" w:sz="0" w:space="0" w:color="auto" w:frame="1"/>
        </w:rPr>
        <w:t>.</w:t>
      </w:r>
    </w:p>
    <w:p w14:paraId="6BF32B21" w14:textId="77777777" w:rsidR="003B7614" w:rsidRPr="00EC250C" w:rsidRDefault="003B7614" w:rsidP="00D131FA">
      <w:pPr>
        <w:pStyle w:val="Styl1"/>
      </w:pPr>
      <w:r w:rsidRPr="00EC250C">
        <w:lastRenderedPageBreak/>
        <w:t>RPO wskazuje przede wszystkim na:</w:t>
      </w:r>
    </w:p>
    <w:p w14:paraId="6ACA8F51" w14:textId="77777777" w:rsidR="00C44C2F" w:rsidRPr="00EC250C" w:rsidRDefault="00C44C2F" w:rsidP="006C70B7">
      <w:pPr>
        <w:pStyle w:val="Styl1"/>
        <w:numPr>
          <w:ilvl w:val="0"/>
          <w:numId w:val="33"/>
        </w:numPr>
      </w:pPr>
      <w:r w:rsidRPr="00EC250C">
        <w:t>kwestię materiału badawczego – postulowanym rozwiązaniem jest pobieranie dwóch próbek moczu: jedna posłużyłaby do badania za pomocą testerów, druga do przeprowadzenia weryfikacji wyniku pierwszego badania. Weryfikacja przeprowadzona</w:t>
      </w:r>
      <w:r w:rsidR="00992FD0" w:rsidRPr="00EC250C">
        <w:t xml:space="preserve"> w </w:t>
      </w:r>
      <w:r w:rsidRPr="00EC250C">
        <w:t>warunkach laboratoryjnych za pomocą materiału biologicznego tego samego rodzaju, czyli próbek moczu (a nie jak obecnie krwi), przyspieszyłaby ten proces,</w:t>
      </w:r>
      <w:r w:rsidR="00992FD0" w:rsidRPr="00EC250C">
        <w:t xml:space="preserve"> a </w:t>
      </w:r>
      <w:r w:rsidRPr="00EC250C">
        <w:t>także pozwoliłaby na zaoszczędzenie środków budżetowych.</w:t>
      </w:r>
    </w:p>
    <w:p w14:paraId="77E8F9DA" w14:textId="77777777" w:rsidR="00C44C2F" w:rsidRPr="00EC250C" w:rsidRDefault="00BE554D" w:rsidP="006C70B7">
      <w:pPr>
        <w:pStyle w:val="Styl1"/>
        <w:numPr>
          <w:ilvl w:val="0"/>
          <w:numId w:val="33"/>
        </w:numPr>
      </w:pPr>
      <w:r w:rsidRPr="00EC250C">
        <w:t>p</w:t>
      </w:r>
      <w:r w:rsidR="00C44C2F" w:rsidRPr="00EC250C">
        <w:t>roblem tzw. dopalaczy – trzeba uwzględnić zażywanie nowych substancji psychoaktywnych. Często zdarza się, że wynik badania jest negatywny,</w:t>
      </w:r>
      <w:r w:rsidR="00992FD0" w:rsidRPr="00EC250C">
        <w:t xml:space="preserve"> a </w:t>
      </w:r>
      <w:r w:rsidR="00C44C2F" w:rsidRPr="00EC250C">
        <w:t>po zachowaniu osadzonego widać, że jest pod wpływem zabronionych środków. Przepisy rozporządzenia nie odnoszą się do postępowania</w:t>
      </w:r>
      <w:r w:rsidR="00992FD0" w:rsidRPr="00EC250C">
        <w:t xml:space="preserve"> w </w:t>
      </w:r>
      <w:r w:rsidR="00C44C2F" w:rsidRPr="00EC250C">
        <w:t>takich sytuacjach.</w:t>
      </w:r>
    </w:p>
    <w:p w14:paraId="3FC621E6" w14:textId="77777777" w:rsidR="00C91F6E" w:rsidRPr="00EC250C" w:rsidRDefault="00C44C2F" w:rsidP="006C70B7">
      <w:pPr>
        <w:pStyle w:val="Styl1"/>
        <w:numPr>
          <w:ilvl w:val="0"/>
          <w:numId w:val="33"/>
        </w:numPr>
      </w:pPr>
      <w:r w:rsidRPr="00EC250C">
        <w:t>raport</w:t>
      </w:r>
      <w:r w:rsidR="00992FD0" w:rsidRPr="00EC250C">
        <w:t xml:space="preserve"> z </w:t>
      </w:r>
      <w:r w:rsidRPr="00EC250C">
        <w:t>badań powinien być interpretowany przez lekarza (więziennego), uwzględniającego stan zdrowia oraz aktualne leczenie osadzonego. Przyjmowane przez skazanego leki mogą bowiem zaburzać wynik badania</w:t>
      </w:r>
      <w:r w:rsidR="00992FD0" w:rsidRPr="00EC250C">
        <w:t xml:space="preserve"> i </w:t>
      </w:r>
      <w:r w:rsidRPr="00EC250C">
        <w:t>dawać wynik fałszywie dodatni</w:t>
      </w:r>
      <w:r w:rsidR="003B7614" w:rsidRPr="00EC250C">
        <w:rPr>
          <w:rStyle w:val="Odwoanieprzypisudolnego"/>
          <w:szCs w:val="24"/>
        </w:rPr>
        <w:footnoteReference w:id="157"/>
      </w:r>
      <w:r w:rsidR="00BE554D" w:rsidRPr="00EC250C">
        <w:t>.</w:t>
      </w:r>
    </w:p>
    <w:p w14:paraId="2F0F3837" w14:textId="77777777" w:rsidR="00C44C2F" w:rsidRPr="00EC250C" w:rsidRDefault="00C44C2F" w:rsidP="00D131FA">
      <w:pPr>
        <w:pStyle w:val="Styl1"/>
        <w:ind w:firstLine="0"/>
      </w:pPr>
      <w:r w:rsidRPr="00EC250C">
        <w:t>Dyrektor Generalny Służby Więziennej przyznał, że zagrożenie związane</w:t>
      </w:r>
      <w:r w:rsidR="00992FD0" w:rsidRPr="00EC250C">
        <w:t xml:space="preserve"> z </w:t>
      </w:r>
      <w:r w:rsidRPr="00EC250C">
        <w:t>zażywaniem środków odurzających,</w:t>
      </w:r>
      <w:r w:rsidR="00992FD0" w:rsidRPr="00EC250C">
        <w:t xml:space="preserve"> w </w:t>
      </w:r>
      <w:r w:rsidRPr="00EC250C">
        <w:t>tym „dopalaczy” wymaga bardziej skutecznych działań.</w:t>
      </w:r>
    </w:p>
    <w:p w14:paraId="75EC70A4" w14:textId="77777777" w:rsidR="00C91F6E" w:rsidRPr="00EC250C" w:rsidRDefault="00243486" w:rsidP="00EC250C">
      <w:pPr>
        <w:pStyle w:val="Nagwek5"/>
      </w:pPr>
      <w:r w:rsidRPr="00EC250C">
        <w:t xml:space="preserve">Niedostosowanie regulaminów jednostek penitencjarnych do powszechnych </w:t>
      </w:r>
      <w:r w:rsidR="00DB0A8A" w:rsidRPr="00EC250C">
        <w:t>przepisów prawa</w:t>
      </w:r>
      <w:bookmarkEnd w:id="173"/>
    </w:p>
    <w:p w14:paraId="0AAA3B8B" w14:textId="77777777" w:rsidR="00B473F5" w:rsidRPr="00EC250C" w:rsidRDefault="007F7DDB" w:rsidP="00D131FA">
      <w:pPr>
        <w:pStyle w:val="Problemczowieka"/>
        <w:jc w:val="both"/>
      </w:pPr>
      <w:r w:rsidRPr="00EC250C">
        <w:t>W aresztach śledczych</w:t>
      </w:r>
      <w:r w:rsidR="00992FD0" w:rsidRPr="00EC250C">
        <w:t xml:space="preserve"> i </w:t>
      </w:r>
      <w:r w:rsidRPr="00EC250C">
        <w:t>zakładach karnych obowiązują różne porządki wewnętrzne. Wiele</w:t>
      </w:r>
      <w:r w:rsidR="00992FD0" w:rsidRPr="00EC250C">
        <w:t xml:space="preserve"> z </w:t>
      </w:r>
      <w:r w:rsidRPr="00EC250C">
        <w:t>nich zawiera zapisy sprzeczne</w:t>
      </w:r>
      <w:r w:rsidR="00992FD0" w:rsidRPr="00EC250C">
        <w:t xml:space="preserve"> z </w:t>
      </w:r>
      <w:r w:rsidRPr="00EC250C">
        <w:t>regulacjami zawartymi</w:t>
      </w:r>
      <w:r w:rsidR="00992FD0" w:rsidRPr="00EC250C">
        <w:t xml:space="preserve"> w </w:t>
      </w:r>
      <w:r w:rsidRPr="00EC250C">
        <w:t>aktach wyższego rzędu</w:t>
      </w:r>
      <w:r w:rsidR="00B473F5" w:rsidRPr="00EC250C">
        <w:t>.</w:t>
      </w:r>
    </w:p>
    <w:p w14:paraId="3FBAEFA1" w14:textId="77777777" w:rsidR="00C91F6E" w:rsidRPr="00EC250C" w:rsidRDefault="007F7DDB" w:rsidP="00D131FA">
      <w:pPr>
        <w:pStyle w:val="Styl1"/>
      </w:pPr>
      <w:r w:rsidRPr="00EC250C">
        <w:t xml:space="preserve">Rzecznik </w:t>
      </w:r>
      <w:r w:rsidR="007447EE" w:rsidRPr="00EC250C">
        <w:t xml:space="preserve">Praw Obywatelskich </w:t>
      </w:r>
      <w:r w:rsidRPr="00EC250C">
        <w:t>zwraca uwagę na ten problem po raz kolejny. Oczywiście, że skazany musi liczyć się</w:t>
      </w:r>
      <w:r w:rsidR="00992FD0" w:rsidRPr="00EC250C">
        <w:t xml:space="preserve"> z </w:t>
      </w:r>
      <w:r w:rsidRPr="00EC250C">
        <w:t>ograniczeniami, które są nieodzownym elementem wykonania kary. Ograniczenia te nie mogą być jednak dalej idące, niż określa to Kodeks karny wykonawczy. Tymczasem</w:t>
      </w:r>
      <w:r w:rsidR="00992FD0" w:rsidRPr="00EC250C">
        <w:t xml:space="preserve"> w </w:t>
      </w:r>
      <w:r w:rsidRPr="00EC250C">
        <w:t>niektórych placówkach wciąż obowiązują regulaminy umożliwiające np. cenzurowanie korespondencji osadzonych, która ustawowo nie podlega takim czynnościom, daleko idące ograniczenia dotyczące przekazywania paczek skazanym czy ograniczenia</w:t>
      </w:r>
      <w:r w:rsidR="00992FD0" w:rsidRPr="00EC250C">
        <w:t xml:space="preserve"> w </w:t>
      </w:r>
      <w:r w:rsidRPr="00EC250C">
        <w:t>dostępie do informacji publicznej. Zastrzeżenia wzbudzają też przepisy precyzujące, że kara dyscyplinarna umieszczenia</w:t>
      </w:r>
      <w:r w:rsidR="00992FD0" w:rsidRPr="00EC250C">
        <w:t xml:space="preserve"> w </w:t>
      </w:r>
      <w:r w:rsidRPr="00EC250C">
        <w:t>celi izolacyjnej polega także na odebraniu możliwości korzystania</w:t>
      </w:r>
      <w:r w:rsidR="00992FD0" w:rsidRPr="00EC250C">
        <w:t xml:space="preserve"> z </w:t>
      </w:r>
      <w:r w:rsidRPr="00EC250C">
        <w:t>ciepłej wody (poza regulaminowymi kąpielami</w:t>
      </w:r>
      <w:r w:rsidR="00992FD0" w:rsidRPr="00EC250C">
        <w:t xml:space="preserve"> w </w:t>
      </w:r>
      <w:r w:rsidRPr="00EC250C">
        <w:t>łaźni).</w:t>
      </w:r>
    </w:p>
    <w:p w14:paraId="0187CCCF" w14:textId="77777777" w:rsidR="00DB0A8A" w:rsidRPr="00EC250C" w:rsidRDefault="007447EE" w:rsidP="00D131FA">
      <w:pPr>
        <w:pStyle w:val="Styl1"/>
        <w:rPr>
          <w:bCs/>
          <w:iCs/>
        </w:rPr>
      </w:pPr>
      <w:r w:rsidRPr="00EC250C">
        <w:rPr>
          <w:bCs/>
          <w:iCs/>
        </w:rPr>
        <w:t>RPO</w:t>
      </w:r>
      <w:r w:rsidR="00DB0A8A" w:rsidRPr="00EC250C">
        <w:rPr>
          <w:bCs/>
          <w:iCs/>
        </w:rPr>
        <w:t xml:space="preserve"> kolejny raz zwrócił się</w:t>
      </w:r>
      <w:r w:rsidR="00DB0A8A" w:rsidRPr="00EC250C">
        <w:rPr>
          <w:rStyle w:val="Odwoanieprzypisudolnego"/>
          <w:bCs/>
          <w:iCs/>
        </w:rPr>
        <w:footnoteReference w:id="158"/>
      </w:r>
      <w:r w:rsidR="00DB0A8A" w:rsidRPr="00EC250C">
        <w:rPr>
          <w:bCs/>
          <w:iCs/>
        </w:rPr>
        <w:t xml:space="preserve"> do Dyrektora Generalnego S</w:t>
      </w:r>
      <w:r w:rsidR="00822CFC" w:rsidRPr="00EC250C">
        <w:rPr>
          <w:bCs/>
          <w:iCs/>
        </w:rPr>
        <w:t xml:space="preserve">łużby </w:t>
      </w:r>
      <w:r w:rsidR="00DB0A8A" w:rsidRPr="00EC250C">
        <w:rPr>
          <w:bCs/>
          <w:iCs/>
        </w:rPr>
        <w:t>W</w:t>
      </w:r>
      <w:r w:rsidR="00822CFC" w:rsidRPr="00EC250C">
        <w:rPr>
          <w:bCs/>
          <w:iCs/>
        </w:rPr>
        <w:t>ięziennej</w:t>
      </w:r>
      <w:r w:rsidR="00992FD0" w:rsidRPr="00EC250C">
        <w:rPr>
          <w:bCs/>
          <w:iCs/>
        </w:rPr>
        <w:t xml:space="preserve"> o </w:t>
      </w:r>
      <w:r w:rsidR="00243486" w:rsidRPr="00EC250C">
        <w:rPr>
          <w:bCs/>
          <w:iCs/>
        </w:rPr>
        <w:t xml:space="preserve">podjęcie </w:t>
      </w:r>
      <w:r w:rsidR="00822CFC" w:rsidRPr="00EC250C">
        <w:rPr>
          <w:bCs/>
          <w:iCs/>
        </w:rPr>
        <w:t xml:space="preserve">bardziej </w:t>
      </w:r>
      <w:r w:rsidR="00243486" w:rsidRPr="00EC250C">
        <w:rPr>
          <w:bCs/>
          <w:iCs/>
        </w:rPr>
        <w:t xml:space="preserve">skutecznych </w:t>
      </w:r>
      <w:r w:rsidR="00DB0A8A" w:rsidRPr="00EC250C">
        <w:rPr>
          <w:bCs/>
          <w:iCs/>
        </w:rPr>
        <w:t>działań</w:t>
      </w:r>
      <w:r w:rsidR="00992FD0" w:rsidRPr="00EC250C">
        <w:rPr>
          <w:bCs/>
          <w:iCs/>
        </w:rPr>
        <w:t xml:space="preserve"> w </w:t>
      </w:r>
      <w:r w:rsidR="007F7DDB" w:rsidRPr="00EC250C">
        <w:rPr>
          <w:bCs/>
          <w:iCs/>
        </w:rPr>
        <w:t>celu wyeliminowania</w:t>
      </w:r>
      <w:r w:rsidR="00992FD0" w:rsidRPr="00EC250C">
        <w:rPr>
          <w:bCs/>
          <w:iCs/>
        </w:rPr>
        <w:t xml:space="preserve"> z </w:t>
      </w:r>
      <w:r w:rsidR="007F7DDB" w:rsidRPr="00EC250C">
        <w:rPr>
          <w:bCs/>
          <w:iCs/>
        </w:rPr>
        <w:t xml:space="preserve">zarządzeń regulujących porządek </w:t>
      </w:r>
      <w:r w:rsidR="007F7DDB" w:rsidRPr="00EC250C">
        <w:rPr>
          <w:bCs/>
          <w:iCs/>
        </w:rPr>
        <w:lastRenderedPageBreak/>
        <w:t>wewnętrzny jednostek penitencjarnych zapisów, które nie gwarantują pełni praw osadzonym</w:t>
      </w:r>
      <w:r w:rsidR="00992FD0" w:rsidRPr="00EC250C">
        <w:rPr>
          <w:bCs/>
          <w:iCs/>
        </w:rPr>
        <w:t xml:space="preserve"> i </w:t>
      </w:r>
      <w:r w:rsidR="007F7DDB" w:rsidRPr="00EC250C">
        <w:rPr>
          <w:bCs/>
          <w:iCs/>
        </w:rPr>
        <w:t>są niezgodne</w:t>
      </w:r>
      <w:r w:rsidR="00992FD0" w:rsidRPr="00EC250C">
        <w:rPr>
          <w:bCs/>
          <w:iCs/>
        </w:rPr>
        <w:t xml:space="preserve"> z </w:t>
      </w:r>
      <w:r w:rsidR="007F7DDB" w:rsidRPr="00EC250C">
        <w:rPr>
          <w:bCs/>
          <w:iCs/>
        </w:rPr>
        <w:t>aktami prawa powszechnie obowiązującego.</w:t>
      </w:r>
    </w:p>
    <w:p w14:paraId="51C8C218" w14:textId="77777777" w:rsidR="00D93B1D" w:rsidRPr="00EC250C" w:rsidRDefault="00D93B1D" w:rsidP="00EC79EB">
      <w:pPr>
        <w:pStyle w:val="Nagwek4"/>
      </w:pPr>
      <w:bookmarkStart w:id="177" w:name="_Toc6257699"/>
      <w:bookmarkStart w:id="178" w:name="_Toc11247599"/>
      <w:r w:rsidRPr="00EC250C">
        <w:t>Śluby, kontakty</w:t>
      </w:r>
      <w:r w:rsidR="00992FD0" w:rsidRPr="00EC250C">
        <w:t xml:space="preserve"> z </w:t>
      </w:r>
      <w:r w:rsidRPr="00EC250C">
        <w:t>dziećmi</w:t>
      </w:r>
      <w:r w:rsidR="00992FD0" w:rsidRPr="00EC250C">
        <w:t xml:space="preserve"> i </w:t>
      </w:r>
      <w:r w:rsidRPr="00EC250C">
        <w:t xml:space="preserve">innymi bliskimi </w:t>
      </w:r>
      <w:r w:rsidR="00BF0F46" w:rsidRPr="00EC250C">
        <w:t>osób pozbawionych wolności</w:t>
      </w:r>
      <w:bookmarkEnd w:id="177"/>
      <w:r w:rsidR="00A74943" w:rsidRPr="00EC250C">
        <w:t>, resocjalizacja</w:t>
      </w:r>
      <w:bookmarkEnd w:id="178"/>
    </w:p>
    <w:p w14:paraId="1DCAE299" w14:textId="77777777" w:rsidR="00B473F5" w:rsidRPr="00EC250C" w:rsidRDefault="00D93B1D" w:rsidP="00D131FA">
      <w:pPr>
        <w:pStyle w:val="Problemczowieka"/>
        <w:jc w:val="both"/>
        <w:rPr>
          <w:lang w:eastAsia="en-US"/>
        </w:rPr>
      </w:pPr>
      <w:r w:rsidRPr="00EC250C">
        <w:rPr>
          <w:lang w:eastAsia="en-US"/>
        </w:rPr>
        <w:t>Utrzymywanie kontaktów</w:t>
      </w:r>
      <w:r w:rsidR="00992FD0" w:rsidRPr="00EC250C">
        <w:rPr>
          <w:lang w:eastAsia="en-US"/>
        </w:rPr>
        <w:t xml:space="preserve"> z </w:t>
      </w:r>
      <w:r w:rsidRPr="00EC250C">
        <w:rPr>
          <w:lang w:eastAsia="en-US"/>
        </w:rPr>
        <w:t>bliskimi jest bardzo ważne dla resocjalizacji</w:t>
      </w:r>
      <w:r w:rsidR="00F16A7D" w:rsidRPr="00EC250C">
        <w:rPr>
          <w:lang w:eastAsia="en-US"/>
        </w:rPr>
        <w:t xml:space="preserve"> i</w:t>
      </w:r>
      <w:r w:rsidRPr="00EC250C">
        <w:rPr>
          <w:lang w:eastAsia="en-US"/>
        </w:rPr>
        <w:t xml:space="preserve"> </w:t>
      </w:r>
      <w:r w:rsidR="00F16A7D" w:rsidRPr="00EC250C">
        <w:rPr>
          <w:lang w:eastAsia="en-US"/>
        </w:rPr>
        <w:t>z</w:t>
      </w:r>
      <w:r w:rsidRPr="00EC250C">
        <w:rPr>
          <w:lang w:eastAsia="en-US"/>
        </w:rPr>
        <w:t>większa szanse udanego powrotu do społeczeństwa. Tymczasem:</w:t>
      </w:r>
      <w:r w:rsidR="00B473F5" w:rsidRPr="00EC250C">
        <w:rPr>
          <w:lang w:eastAsia="en-US"/>
        </w:rPr>
        <w:t>.</w:t>
      </w:r>
    </w:p>
    <w:p w14:paraId="0B63B84A" w14:textId="77777777" w:rsidR="00C91F6E" w:rsidRPr="00EC250C" w:rsidRDefault="00D93B1D" w:rsidP="006C70B7">
      <w:pPr>
        <w:pStyle w:val="Styl1"/>
        <w:numPr>
          <w:ilvl w:val="0"/>
          <w:numId w:val="143"/>
        </w:numPr>
        <w:rPr>
          <w:rStyle w:val="Styl1Znak"/>
        </w:rPr>
      </w:pPr>
      <w:r w:rsidRPr="00EC250C">
        <w:rPr>
          <w:rStyle w:val="Styl1Znak"/>
        </w:rPr>
        <w:t>Przepisy dotyczące widzeń</w:t>
      </w:r>
      <w:r w:rsidR="00992FD0" w:rsidRPr="00EC250C">
        <w:rPr>
          <w:rStyle w:val="Styl1Znak"/>
        </w:rPr>
        <w:t xml:space="preserve"> z </w:t>
      </w:r>
      <w:r w:rsidRPr="00EC250C">
        <w:rPr>
          <w:rStyle w:val="Styl1Znak"/>
        </w:rPr>
        <w:t>dziećmi są kłopotliwe. Ze skazanym rodzicem dziecko może się widzieć tylko</w:t>
      </w:r>
      <w:r w:rsidR="00992FD0" w:rsidRPr="00EC250C">
        <w:rPr>
          <w:rStyle w:val="Styl1Znak"/>
        </w:rPr>
        <w:t xml:space="preserve"> w </w:t>
      </w:r>
      <w:r w:rsidRPr="00EC250C">
        <w:rPr>
          <w:rStyle w:val="Styl1Znak"/>
        </w:rPr>
        <w:t>obecności osoby dorosłej. W przypadku widzeń</w:t>
      </w:r>
      <w:r w:rsidR="00992FD0" w:rsidRPr="00EC250C">
        <w:rPr>
          <w:rStyle w:val="Styl1Znak"/>
        </w:rPr>
        <w:t xml:space="preserve"> z </w:t>
      </w:r>
      <w:r w:rsidRPr="00EC250C">
        <w:rPr>
          <w:rStyle w:val="Styl1Znak"/>
        </w:rPr>
        <w:t>tymczasowo aresztowanym przepisy dopuszczają, aby małoletni, który ukończył 15 lat korzystał</w:t>
      </w:r>
      <w:r w:rsidR="00992FD0" w:rsidRPr="00EC250C">
        <w:rPr>
          <w:rStyle w:val="Styl1Znak"/>
        </w:rPr>
        <w:t xml:space="preserve"> z </w:t>
      </w:r>
      <w:r w:rsidRPr="00EC250C">
        <w:rPr>
          <w:rStyle w:val="Styl1Znak"/>
        </w:rPr>
        <w:t>widzenia</w:t>
      </w:r>
      <w:r w:rsidR="00992FD0" w:rsidRPr="00EC250C">
        <w:rPr>
          <w:rStyle w:val="Styl1Znak"/>
        </w:rPr>
        <w:t xml:space="preserve"> z </w:t>
      </w:r>
      <w:r w:rsidRPr="00EC250C">
        <w:rPr>
          <w:rStyle w:val="Styl1Znak"/>
        </w:rPr>
        <w:t>tymczasowo aresztowanym bez obecności innych osób dorosłych.</w:t>
      </w:r>
    </w:p>
    <w:p w14:paraId="0BA1A4E9" w14:textId="77777777" w:rsidR="00D93B1D" w:rsidRPr="00EC250C" w:rsidRDefault="00D93B1D" w:rsidP="006C70B7">
      <w:pPr>
        <w:pStyle w:val="Styl1"/>
        <w:numPr>
          <w:ilvl w:val="0"/>
          <w:numId w:val="143"/>
        </w:numPr>
        <w:rPr>
          <w:bdr w:val="none" w:sz="0" w:space="0" w:color="auto" w:frame="1"/>
        </w:rPr>
      </w:pPr>
      <w:r w:rsidRPr="00EC250C">
        <w:rPr>
          <w:bdr w:val="none" w:sz="0" w:space="0" w:color="auto" w:frame="1"/>
        </w:rPr>
        <w:t>Skazany może dostać nagrodę</w:t>
      </w:r>
      <w:r w:rsidR="00992FD0" w:rsidRPr="00EC250C">
        <w:rPr>
          <w:bdr w:val="none" w:sz="0" w:space="0" w:color="auto" w:frame="1"/>
        </w:rPr>
        <w:t xml:space="preserve"> w </w:t>
      </w:r>
      <w:r w:rsidRPr="00EC250C">
        <w:rPr>
          <w:bdr w:val="none" w:sz="0" w:space="0" w:color="auto" w:frame="1"/>
        </w:rPr>
        <w:t>postaci widzenia</w:t>
      </w:r>
      <w:r w:rsidR="00992FD0" w:rsidRPr="00EC250C">
        <w:rPr>
          <w:bdr w:val="none" w:sz="0" w:space="0" w:color="auto" w:frame="1"/>
        </w:rPr>
        <w:t xml:space="preserve"> z </w:t>
      </w:r>
      <w:r w:rsidRPr="00EC250C">
        <w:rPr>
          <w:bdr w:val="none" w:sz="0" w:space="0" w:color="auto" w:frame="1"/>
        </w:rPr>
        <w:t>osobą bliską bez udziału osoby dozorującej. Ale do RPO dotarły informacje</w:t>
      </w:r>
      <w:r w:rsidR="00992FD0" w:rsidRPr="00EC250C">
        <w:rPr>
          <w:bdr w:val="none" w:sz="0" w:space="0" w:color="auto" w:frame="1"/>
        </w:rPr>
        <w:t xml:space="preserve"> o </w:t>
      </w:r>
      <w:r w:rsidRPr="00EC250C">
        <w:rPr>
          <w:bdr w:val="none" w:sz="0" w:space="0" w:color="auto" w:frame="1"/>
        </w:rPr>
        <w:t>realizacji takich nagród</w:t>
      </w:r>
      <w:r w:rsidR="00992FD0" w:rsidRPr="00EC250C">
        <w:rPr>
          <w:bdr w:val="none" w:sz="0" w:space="0" w:color="auto" w:frame="1"/>
        </w:rPr>
        <w:t xml:space="preserve"> w </w:t>
      </w:r>
      <w:r w:rsidRPr="00EC250C">
        <w:rPr>
          <w:bdr w:val="none" w:sz="0" w:space="0" w:color="auto" w:frame="1"/>
        </w:rPr>
        <w:t>pomieszczeniu</w:t>
      </w:r>
      <w:r w:rsidR="00992FD0" w:rsidRPr="00EC250C">
        <w:rPr>
          <w:bdr w:val="none" w:sz="0" w:space="0" w:color="auto" w:frame="1"/>
        </w:rPr>
        <w:t xml:space="preserve"> z </w:t>
      </w:r>
      <w:r w:rsidRPr="00EC250C">
        <w:rPr>
          <w:bdr w:val="none" w:sz="0" w:space="0" w:color="auto" w:frame="1"/>
        </w:rPr>
        <w:t>kamerą, rejestrującą obraz lub dźwięk albo</w:t>
      </w:r>
      <w:r w:rsidR="00992FD0" w:rsidRPr="00EC250C">
        <w:rPr>
          <w:bdr w:val="none" w:sz="0" w:space="0" w:color="auto" w:frame="1"/>
        </w:rPr>
        <w:t xml:space="preserve"> w </w:t>
      </w:r>
      <w:r w:rsidRPr="00EC250C">
        <w:rPr>
          <w:bdr w:val="none" w:sz="0" w:space="0" w:color="auto" w:frame="1"/>
        </w:rPr>
        <w:t>pokoju bez drzwi.</w:t>
      </w:r>
    </w:p>
    <w:p w14:paraId="534030B2" w14:textId="77777777" w:rsidR="00D97420" w:rsidRPr="00EC250C" w:rsidRDefault="00D93B1D" w:rsidP="006C70B7">
      <w:pPr>
        <w:pStyle w:val="Styl1"/>
        <w:numPr>
          <w:ilvl w:val="0"/>
          <w:numId w:val="143"/>
        </w:numPr>
        <w:rPr>
          <w:rStyle w:val="Pogrubienie"/>
          <w:b w:val="0"/>
          <w:bCs w:val="0"/>
        </w:rPr>
      </w:pPr>
      <w:r w:rsidRPr="00EC250C">
        <w:rPr>
          <w:rStyle w:val="Pogrubienie"/>
          <w:b w:val="0"/>
          <w:bCs w:val="0"/>
        </w:rPr>
        <w:t>Dwie osoby skazane, które planują wspólną przyszłość</w:t>
      </w:r>
      <w:r w:rsidR="00992FD0" w:rsidRPr="00EC250C">
        <w:rPr>
          <w:rStyle w:val="Pogrubienie"/>
          <w:b w:val="0"/>
          <w:bCs w:val="0"/>
        </w:rPr>
        <w:t xml:space="preserve"> i </w:t>
      </w:r>
      <w:r w:rsidRPr="00EC250C">
        <w:rPr>
          <w:rStyle w:val="Pogrubienie"/>
          <w:b w:val="0"/>
          <w:bCs w:val="0"/>
        </w:rPr>
        <w:t xml:space="preserve">chcą wziąć ślub, </w:t>
      </w:r>
      <w:r w:rsidR="00A840EB" w:rsidRPr="00EC250C">
        <w:rPr>
          <w:rStyle w:val="Pogrubienie"/>
          <w:b w:val="0"/>
          <w:bCs w:val="0"/>
        </w:rPr>
        <w:t xml:space="preserve">muszą </w:t>
      </w:r>
      <w:r w:rsidRPr="00EC250C">
        <w:rPr>
          <w:rStyle w:val="Pogrubienie"/>
          <w:b w:val="0"/>
          <w:bCs w:val="0"/>
        </w:rPr>
        <w:t xml:space="preserve">nie tylko załatwić wszystkie formalności cywilne – dodatkową przeszkodą jest konieczność uzyskania </w:t>
      </w:r>
      <w:r w:rsidR="00A840EB" w:rsidRPr="00EC250C">
        <w:rPr>
          <w:rStyle w:val="Pogrubienie"/>
          <w:b w:val="0"/>
          <w:bCs w:val="0"/>
        </w:rPr>
        <w:t>zgod</w:t>
      </w:r>
      <w:r w:rsidRPr="00EC250C">
        <w:rPr>
          <w:rStyle w:val="Pogrubienie"/>
          <w:b w:val="0"/>
          <w:bCs w:val="0"/>
        </w:rPr>
        <w:t>y</w:t>
      </w:r>
      <w:r w:rsidR="00A840EB" w:rsidRPr="00EC250C">
        <w:rPr>
          <w:rStyle w:val="Pogrubienie"/>
          <w:b w:val="0"/>
          <w:bCs w:val="0"/>
        </w:rPr>
        <w:t xml:space="preserve"> na przetransportowanie do </w:t>
      </w:r>
      <w:r w:rsidRPr="00EC250C">
        <w:rPr>
          <w:rStyle w:val="Pogrubienie"/>
          <w:b w:val="0"/>
          <w:bCs w:val="0"/>
        </w:rPr>
        <w:t>jednej jednostki penitencjarnej.</w:t>
      </w:r>
      <w:bookmarkStart w:id="179" w:name="_Toc6257690"/>
      <w:bookmarkStart w:id="180" w:name="_Toc6257701"/>
    </w:p>
    <w:bookmarkEnd w:id="179"/>
    <w:p w14:paraId="60990364" w14:textId="77777777" w:rsidR="00D93B1D" w:rsidRPr="00EC250C" w:rsidRDefault="00D93B1D" w:rsidP="006C70B7">
      <w:pPr>
        <w:pStyle w:val="Styl1"/>
        <w:numPr>
          <w:ilvl w:val="0"/>
          <w:numId w:val="143"/>
        </w:numPr>
        <w:rPr>
          <w:rStyle w:val="Pogrubienie"/>
          <w:b w:val="0"/>
          <w:bCs w:val="0"/>
        </w:rPr>
      </w:pPr>
      <w:r w:rsidRPr="00EC250C">
        <w:rPr>
          <w:rStyle w:val="Pogrubienie"/>
          <w:b w:val="0"/>
          <w:bCs w:val="0"/>
        </w:rPr>
        <w:t>Osoby tymczasowo aresztowane nie wiedzą, że ślub mogą wziąć przez pełnomocnika. W ich sytuacji to ważne, bo mogą nie dostać zgody na kontakt</w:t>
      </w:r>
      <w:r w:rsidR="00992FD0" w:rsidRPr="00EC250C">
        <w:rPr>
          <w:rStyle w:val="Pogrubienie"/>
          <w:b w:val="0"/>
          <w:bCs w:val="0"/>
        </w:rPr>
        <w:t xml:space="preserve"> z </w:t>
      </w:r>
      <w:r w:rsidRPr="00EC250C">
        <w:rPr>
          <w:rStyle w:val="Pogrubienie"/>
          <w:b w:val="0"/>
          <w:bCs w:val="0"/>
        </w:rPr>
        <w:t>narzeczonym, jeśli zagraża to dobru śledztwa.</w:t>
      </w:r>
    </w:p>
    <w:bookmarkEnd w:id="180"/>
    <w:p w14:paraId="6923EE4A" w14:textId="77777777" w:rsidR="00354252" w:rsidRPr="00EC250C" w:rsidRDefault="00354252" w:rsidP="006C70B7">
      <w:pPr>
        <w:pStyle w:val="Styl1"/>
        <w:numPr>
          <w:ilvl w:val="0"/>
          <w:numId w:val="143"/>
        </w:numPr>
      </w:pPr>
      <w:r w:rsidRPr="00EC250C">
        <w:t>Sprawcy przestępstw umieszczeni</w:t>
      </w:r>
      <w:r w:rsidR="00992FD0" w:rsidRPr="00EC250C">
        <w:t xml:space="preserve"> w </w:t>
      </w:r>
      <w:r w:rsidRPr="00EC250C">
        <w:t xml:space="preserve">zakładach psychiatrycznych </w:t>
      </w:r>
      <w:r w:rsidR="00D93B1D" w:rsidRPr="00EC250C">
        <w:t>nie mają</w:t>
      </w:r>
      <w:r w:rsidR="00026572" w:rsidRPr="00EC250C">
        <w:t xml:space="preserve"> – </w:t>
      </w:r>
      <w:r w:rsidRPr="00EC250C">
        <w:t>tak jak skazani</w:t>
      </w:r>
      <w:r w:rsidR="00992FD0" w:rsidRPr="00EC250C">
        <w:t xml:space="preserve"> w </w:t>
      </w:r>
      <w:r w:rsidRPr="00EC250C">
        <w:t>więzieniach</w:t>
      </w:r>
      <w:r w:rsidR="00026572" w:rsidRPr="00EC250C">
        <w:t xml:space="preserve"> – </w:t>
      </w:r>
      <w:r w:rsidRPr="00EC250C">
        <w:t>praw</w:t>
      </w:r>
      <w:r w:rsidR="00D93B1D" w:rsidRPr="00EC250C">
        <w:t>a</w:t>
      </w:r>
      <w:r w:rsidRPr="00EC250C">
        <w:t xml:space="preserve"> do spotkań</w:t>
      </w:r>
      <w:r w:rsidR="00992FD0" w:rsidRPr="00EC250C">
        <w:t xml:space="preserve"> w </w:t>
      </w:r>
      <w:r w:rsidRPr="00EC250C">
        <w:t>warunkach zwiększonej intymności, czyli</w:t>
      </w:r>
      <w:r w:rsidR="00992FD0" w:rsidRPr="00EC250C">
        <w:t xml:space="preserve"> w </w:t>
      </w:r>
      <w:r w:rsidRPr="00EC250C">
        <w:t xml:space="preserve">oddzielnym pomieszczeniu, bez nadzoru personelu. </w:t>
      </w:r>
      <w:r w:rsidR="00D93B1D" w:rsidRPr="00EC250C">
        <w:t>T</w:t>
      </w:r>
      <w:r w:rsidRPr="00EC250C">
        <w:t>akie widzenie zależy od decyzji kierownika zakładu psychiatrycznego. Tymczasem podtrzymywanie więzów</w:t>
      </w:r>
      <w:r w:rsidR="00992FD0" w:rsidRPr="00EC250C">
        <w:t xml:space="preserve"> z </w:t>
      </w:r>
      <w:r w:rsidRPr="00EC250C">
        <w:t>najbliższymi wpływa na proces zdrowienia</w:t>
      </w:r>
      <w:r w:rsidR="00992FD0" w:rsidRPr="00EC250C">
        <w:t xml:space="preserve"> i </w:t>
      </w:r>
      <w:r w:rsidRPr="00EC250C">
        <w:t>właściwe funkcjonowanie po opuszczeniu placówki.</w:t>
      </w:r>
    </w:p>
    <w:p w14:paraId="22797A5B" w14:textId="77777777" w:rsidR="00264232" w:rsidRPr="00EC250C" w:rsidRDefault="00264232" w:rsidP="00EC250C">
      <w:pPr>
        <w:pStyle w:val="Nagwek5"/>
      </w:pPr>
      <w:bookmarkStart w:id="181" w:name="_Toc6257705"/>
      <w:r w:rsidRPr="00EC250C">
        <w:t>E-paczki żywnościowe w więzieniach i aresztach</w:t>
      </w:r>
      <w:bookmarkEnd w:id="181"/>
    </w:p>
    <w:p w14:paraId="2957B6FF" w14:textId="77777777" w:rsidR="00264232" w:rsidRPr="00EC250C" w:rsidRDefault="00264232" w:rsidP="00D131FA">
      <w:pPr>
        <w:pStyle w:val="Problemczowieka"/>
        <w:jc w:val="both"/>
      </w:pPr>
      <w:r w:rsidRPr="00EC250C">
        <w:t>Osadzeni nie mogą otrzymywać od rodzin paczek żywnościowych przygotowanych w ich domach. Był to sposób na dostarczanie więźniom środków odurzających i dopalaczy. Bliscy mogą zamawiać tzw. e-paczki, realizowane już na miejscu, w jednostce penitencjarnej. Jak wynika z wniosku obywatela, który napisał do RPO, trudno jednak zamówić warzywa i owoce, bo „różnią się wagą i nie da się ich zamawiać na sztuki”.</w:t>
      </w:r>
    </w:p>
    <w:p w14:paraId="2514287C" w14:textId="77777777" w:rsidR="00264232" w:rsidRPr="00EC250C" w:rsidRDefault="00264232" w:rsidP="00D131FA">
      <w:pPr>
        <w:pStyle w:val="Styl1"/>
      </w:pPr>
      <w:r w:rsidRPr="00EC250C">
        <w:t xml:space="preserve">Z wyjaśnień otrzymanych z zakładu karnego wynika, że nie ma możliwości realizacji zamówienia na paczkę zawierającą owoce lub warzywa z uwzględnieniem dokładnej wagi </w:t>
      </w:r>
      <w:r w:rsidRPr="00EC250C">
        <w:lastRenderedPageBreak/>
        <w:t>zamówionego i opłaconego towaru. Niedopuszczalne jest natomiast dzielenie (krojenie) owoców i warzyw dostarczanych w paczkach celem osiągnięcia zamówionej wagi, gdyż większość z tych produktów utraciłaby swoje walory jeszcze przed dostarczeniem paczki do osadzonego. Owoce i warzywa są dostępne w ramach zakupów na tzw. wypiskę. RPO zwrócił jednak uwagę w piśmie do Dyrektora Generalnego SW, że nie wszyscy osadzeni mają pieniądze na wypiskę, a poza tym są takie owoce i warzywa, które można sprzedawać na sztuki albo w opakowaniach o określonej wadze. W listopadzie 2018 r. Służba Więzienna zapowiedziała, że w porozumieniu z operatorami kantyn wypracuje odpowiednią praktykę lub zmianę zasad sporządzania paczek</w:t>
      </w:r>
      <w:r w:rsidRPr="00EC250C">
        <w:rPr>
          <w:rStyle w:val="Odwoanieprzypisudolnego"/>
          <w:bCs/>
          <w:iCs/>
        </w:rPr>
        <w:t xml:space="preserve"> </w:t>
      </w:r>
      <w:r w:rsidRPr="00EC250C">
        <w:rPr>
          <w:rStyle w:val="Odwoanieprzypisudolnego"/>
          <w:bCs/>
          <w:iCs/>
        </w:rPr>
        <w:footnoteReference w:id="159"/>
      </w:r>
      <w:r w:rsidRPr="00EC250C">
        <w:t>.</w:t>
      </w:r>
    </w:p>
    <w:p w14:paraId="1161DA57" w14:textId="77777777" w:rsidR="00A5781A" w:rsidRPr="00EC250C" w:rsidRDefault="00D93B1D" w:rsidP="00D131FA">
      <w:pPr>
        <w:pStyle w:val="ODESANIE"/>
        <w:jc w:val="both"/>
      </w:pPr>
      <w:r w:rsidRPr="00EC250C">
        <w:t>Więcej</w:t>
      </w:r>
      <w:r w:rsidR="00992FD0" w:rsidRPr="00EC250C">
        <w:t xml:space="preserve"> o </w:t>
      </w:r>
      <w:r w:rsidRPr="00EC250C">
        <w:t>problemach dotyczącym życia rodzinnego osób pozbawionych wolności – art. 47 Konstytuycji</w:t>
      </w:r>
    </w:p>
    <w:p w14:paraId="72020568" w14:textId="77777777" w:rsidR="007608FE" w:rsidRPr="00EC250C" w:rsidRDefault="00A5781A" w:rsidP="00EC250C">
      <w:pPr>
        <w:pStyle w:val="Nagwek5"/>
      </w:pPr>
      <w:bookmarkStart w:id="182" w:name="_Toc6257703"/>
      <w:r w:rsidRPr="00EC250C">
        <w:t>Pomoc byłych więźniów</w:t>
      </w:r>
      <w:r w:rsidR="00992FD0" w:rsidRPr="00EC250C">
        <w:t xml:space="preserve"> w </w:t>
      </w:r>
      <w:r w:rsidRPr="00EC250C">
        <w:t>resocjalizacji skazanych</w:t>
      </w:r>
      <w:bookmarkEnd w:id="182"/>
    </w:p>
    <w:p w14:paraId="529663C3" w14:textId="77777777" w:rsidR="00B473F5" w:rsidRPr="00EC250C" w:rsidRDefault="00354252" w:rsidP="00D131FA">
      <w:pPr>
        <w:pStyle w:val="Problemczowieka"/>
        <w:jc w:val="both"/>
        <w:rPr>
          <w:bdr w:val="none" w:sz="0" w:space="0" w:color="auto" w:frame="1"/>
        </w:rPr>
      </w:pPr>
      <w:r w:rsidRPr="00EC250C">
        <w:rPr>
          <w:bdr w:val="none" w:sz="0" w:space="0" w:color="auto" w:frame="1"/>
        </w:rPr>
        <w:t>Byli więźniowie, działający</w:t>
      </w:r>
      <w:r w:rsidR="00992FD0" w:rsidRPr="00EC250C">
        <w:rPr>
          <w:bdr w:val="none" w:sz="0" w:space="0" w:color="auto" w:frame="1"/>
        </w:rPr>
        <w:t xml:space="preserve"> w </w:t>
      </w:r>
      <w:r w:rsidRPr="00EC250C">
        <w:rPr>
          <w:bdr w:val="none" w:sz="0" w:space="0" w:color="auto" w:frame="1"/>
        </w:rPr>
        <w:t>organizacjach zajmujących się resocjalizacją skazanych,</w:t>
      </w:r>
      <w:r w:rsidR="00992FD0" w:rsidRPr="00EC250C">
        <w:rPr>
          <w:bdr w:val="none" w:sz="0" w:space="0" w:color="auto" w:frame="1"/>
        </w:rPr>
        <w:t xml:space="preserve"> w </w:t>
      </w:r>
      <w:r w:rsidRPr="00EC250C">
        <w:rPr>
          <w:bdr w:val="none" w:sz="0" w:space="0" w:color="auto" w:frame="1"/>
        </w:rPr>
        <w:t xml:space="preserve">myśl obowiązujących przepisów nie mogą prowadzić takich oddziaływań na terenie zakładów karnych. Rzecznik </w:t>
      </w:r>
      <w:r w:rsidR="007447EE" w:rsidRPr="00EC250C">
        <w:rPr>
          <w:bdr w:val="none" w:sz="0" w:space="0" w:color="auto" w:frame="1"/>
        </w:rPr>
        <w:t xml:space="preserve">Praw Obywatelskich </w:t>
      </w:r>
      <w:r w:rsidRPr="00EC250C">
        <w:rPr>
          <w:bdr w:val="none" w:sz="0" w:space="0" w:color="auto" w:frame="1"/>
        </w:rPr>
        <w:t>zwrócił się do premiera</w:t>
      </w:r>
      <w:r w:rsidR="00992FD0" w:rsidRPr="00EC250C">
        <w:rPr>
          <w:bdr w:val="none" w:sz="0" w:space="0" w:color="auto" w:frame="1"/>
        </w:rPr>
        <w:t xml:space="preserve"> o </w:t>
      </w:r>
      <w:r w:rsidRPr="00EC250C">
        <w:rPr>
          <w:bdr w:val="none" w:sz="0" w:space="0" w:color="auto" w:frame="1"/>
        </w:rPr>
        <w:t>zmianę tych przepisów. Efektywna resocjalizacja jest bowiem warunkiem tego, by skazany po odbyciu kary nie wrócił już na drogę przestępczą</w:t>
      </w:r>
      <w:r w:rsidR="00B473F5" w:rsidRPr="00EC250C">
        <w:rPr>
          <w:bdr w:val="none" w:sz="0" w:space="0" w:color="auto" w:frame="1"/>
        </w:rPr>
        <w:t>.</w:t>
      </w:r>
    </w:p>
    <w:p w14:paraId="6E7E08C7" w14:textId="77777777" w:rsidR="00C44C2F" w:rsidRPr="00EC250C" w:rsidRDefault="00C44C2F" w:rsidP="00D131FA">
      <w:pPr>
        <w:pStyle w:val="Styl1"/>
      </w:pPr>
      <w:r w:rsidRPr="00EC250C">
        <w:t>W myśl obowiązujących przepisów</w:t>
      </w:r>
      <w:r w:rsidRPr="00EC250C">
        <w:rPr>
          <w:rStyle w:val="Odwoanieprzypisudolnego"/>
        </w:rPr>
        <w:footnoteReference w:id="160"/>
      </w:r>
      <w:r w:rsidRPr="00EC250C">
        <w:t>, przedstawicielem podmiotu współdziałającego</w:t>
      </w:r>
      <w:r w:rsidR="00992FD0" w:rsidRPr="00EC250C">
        <w:t xml:space="preserve"> w </w:t>
      </w:r>
      <w:r w:rsidRPr="00EC250C">
        <w:t>procesie resocjalizacji nie może być ktoś, kto był skazany za przestępstwo umyślne. RPO uważa, że warunek ten nie jest potrzebny. Wystarczy, że wolontariusze mają pełnię praw cywilnych</w:t>
      </w:r>
      <w:r w:rsidR="00992FD0" w:rsidRPr="00EC250C">
        <w:t xml:space="preserve"> i </w:t>
      </w:r>
      <w:r w:rsidRPr="00EC250C">
        <w:t>obywatelskich, nie są pozbawieni praw rodzicielskich oraz dają rękojmię należytego wykonywania obowiązków (te warunki też są</w:t>
      </w:r>
      <w:r w:rsidR="00992FD0" w:rsidRPr="00EC250C">
        <w:t xml:space="preserve"> w </w:t>
      </w:r>
      <w:r w:rsidRPr="00EC250C">
        <w:t>rozporządzeniu).</w:t>
      </w:r>
    </w:p>
    <w:p w14:paraId="7423AB6F" w14:textId="77777777" w:rsidR="00C44C2F" w:rsidRPr="00EC250C" w:rsidRDefault="00C44C2F" w:rsidP="00D131FA">
      <w:pPr>
        <w:pStyle w:val="Styl1"/>
      </w:pPr>
      <w:r w:rsidRPr="00EC250C">
        <w:t>Prawodawca uznał błędnie, że jedynie osoby niekarane mogą pozytywnie wpływać na więźniów. Praktyka pokazuje jednak, że nie mniej pozytywny wpływ mają byli skazani, którzy przeszli drogę nawrócenia</w:t>
      </w:r>
      <w:r w:rsidR="00992FD0" w:rsidRPr="00EC250C">
        <w:t xml:space="preserve"> i </w:t>
      </w:r>
      <w:r w:rsidRPr="00EC250C">
        <w:t>zmiany swojego życia. To ważne szczególnie</w:t>
      </w:r>
      <w:r w:rsidR="00992FD0" w:rsidRPr="00EC250C">
        <w:t xml:space="preserve"> w </w:t>
      </w:r>
      <w:r w:rsidRPr="00EC250C">
        <w:t>pracy grup anonimowych alkoholików</w:t>
      </w:r>
      <w:r w:rsidR="00992FD0" w:rsidRPr="00EC250C">
        <w:t xml:space="preserve"> i </w:t>
      </w:r>
      <w:r w:rsidRPr="00EC250C">
        <w:t>narkomanów.</w:t>
      </w:r>
    </w:p>
    <w:p w14:paraId="1774A5F5" w14:textId="1C9BF31C" w:rsidR="00255450" w:rsidRPr="00EC250C" w:rsidRDefault="00C44C2F" w:rsidP="00D131FA">
      <w:pPr>
        <w:pStyle w:val="Styl1"/>
      </w:pPr>
      <w:r w:rsidRPr="00EC250C">
        <w:t>Już</w:t>
      </w:r>
      <w:r w:rsidR="00992FD0" w:rsidRPr="00EC250C">
        <w:t xml:space="preserve"> w </w:t>
      </w:r>
      <w:r w:rsidRPr="00EC250C">
        <w:t>2019</w:t>
      </w:r>
      <w:r w:rsidR="00C91F6E" w:rsidRPr="00EC250C">
        <w:t> r.</w:t>
      </w:r>
      <w:r w:rsidRPr="00EC250C">
        <w:t xml:space="preserve"> </w:t>
      </w:r>
      <w:r w:rsidR="00907A50" w:rsidRPr="00EC250C">
        <w:t>Minister S</w:t>
      </w:r>
      <w:r w:rsidRPr="00EC250C">
        <w:t>prawiedliwości odpowiedział, że się</w:t>
      </w:r>
      <w:r w:rsidR="00992FD0" w:rsidRPr="00EC250C">
        <w:t xml:space="preserve"> z </w:t>
      </w:r>
      <w:r w:rsidRPr="00EC250C">
        <w:t>tym postulatem nie zgadza</w:t>
      </w:r>
      <w:r w:rsidR="00A840EB" w:rsidRPr="00EC250C">
        <w:rPr>
          <w:rStyle w:val="Odwoanieprzypisudolnego"/>
          <w:bCs/>
        </w:rPr>
        <w:footnoteReference w:id="161"/>
      </w:r>
      <w:r w:rsidRPr="00EC250C">
        <w:t>.</w:t>
      </w:r>
    </w:p>
    <w:p w14:paraId="25CA4D3F" w14:textId="77777777" w:rsidR="00255450" w:rsidRPr="00EC250C" w:rsidRDefault="00255450">
      <w:pPr>
        <w:spacing w:after="200" w:line="24" w:lineRule="auto"/>
        <w:rPr>
          <w:spacing w:val="5"/>
          <w:sz w:val="22"/>
        </w:rPr>
      </w:pPr>
      <w:r w:rsidRPr="00EC250C">
        <w:rPr>
          <w:sz w:val="24"/>
        </w:rPr>
        <w:br w:type="page"/>
      </w:r>
    </w:p>
    <w:p w14:paraId="710F5961" w14:textId="77777777" w:rsidR="00C91F6E" w:rsidRPr="00EC250C" w:rsidRDefault="00D07A97" w:rsidP="00EC250C">
      <w:pPr>
        <w:pStyle w:val="Nagwek3"/>
      </w:pPr>
      <w:bookmarkStart w:id="183" w:name="_Toc6257706"/>
      <w:bookmarkStart w:id="184" w:name="_Toc11247600"/>
      <w:r w:rsidRPr="00EC250C">
        <w:lastRenderedPageBreak/>
        <w:t xml:space="preserve">Art. 41 </w:t>
      </w:r>
      <w:r w:rsidR="003C7122" w:rsidRPr="00EC250C">
        <w:t xml:space="preserve">Konstytucji </w:t>
      </w:r>
      <w:r w:rsidRPr="00EC250C">
        <w:t>ust. 5</w:t>
      </w:r>
      <w:r w:rsidR="00150876" w:rsidRPr="00EC250C">
        <w:t xml:space="preserve"> </w:t>
      </w:r>
      <w:r w:rsidRPr="00EC250C">
        <w:t>– Prawo do odszkodowania za bezprawne pozbawienie wolności</w:t>
      </w:r>
      <w:bookmarkEnd w:id="183"/>
      <w:bookmarkEnd w:id="184"/>
    </w:p>
    <w:p w14:paraId="74E4D2F9" w14:textId="77777777" w:rsidR="00D07A97" w:rsidRPr="00EC250C" w:rsidRDefault="00D07A97" w:rsidP="00D131FA">
      <w:pPr>
        <w:pStyle w:val="konstytucja"/>
        <w:jc w:val="both"/>
      </w:pPr>
      <w:r w:rsidRPr="00EC250C">
        <w:t>Każdy bezprawnie pozbawiony wolności ma prawo do odszkodowania.</w:t>
      </w:r>
    </w:p>
    <w:p w14:paraId="097E9AAA" w14:textId="77777777" w:rsidR="007A5CAD" w:rsidRPr="00EC250C" w:rsidRDefault="007A5CAD" w:rsidP="00D131FA">
      <w:pPr>
        <w:pStyle w:val="ComwiKonstytucja"/>
      </w:pPr>
      <w:r w:rsidRPr="00EC250C">
        <w:t>Każde pozbawienie wolności to bardzo daleka ingerencja</w:t>
      </w:r>
      <w:r w:rsidR="00992FD0" w:rsidRPr="00EC250C">
        <w:t xml:space="preserve"> w </w:t>
      </w:r>
      <w:r w:rsidRPr="00EC250C">
        <w:t>sferę wolności jednostki, dlatego naruszenie tego dobra musi być traktowane ze szczególną powagą. Twórcy Konstytucji stworzyli zatem osobną regulację, która umożliwia dochodzenie tego rodzaju odszkodowań. Odszkodowanie za bezprawne pozbawienie wolności jest jednym</w:t>
      </w:r>
      <w:r w:rsidR="00992FD0" w:rsidRPr="00EC250C">
        <w:t xml:space="preserve"> z </w:t>
      </w:r>
      <w:r w:rsidRPr="00EC250C">
        <w:t>przypadków „wynagrodzenia za szkody”, które przysługuje jednostce „za niezgodne</w:t>
      </w:r>
      <w:r w:rsidR="00992FD0" w:rsidRPr="00EC250C">
        <w:t xml:space="preserve"> z </w:t>
      </w:r>
      <w:r w:rsidRPr="00EC250C">
        <w:t>prawem działanie organu władzy publicznej” (art. 77 ust. 1).</w:t>
      </w:r>
    </w:p>
    <w:p w14:paraId="59001724" w14:textId="77777777" w:rsidR="00EE09AA" w:rsidRPr="00EC250C" w:rsidRDefault="00EE09AA" w:rsidP="00D131FA">
      <w:pPr>
        <w:pStyle w:val="ComwiKonstytucja"/>
      </w:pPr>
    </w:p>
    <w:p w14:paraId="7384A06F" w14:textId="77777777" w:rsidR="007A5CAD" w:rsidRPr="00EC250C" w:rsidRDefault="007A5CAD" w:rsidP="00D131FA">
      <w:pPr>
        <w:spacing w:after="200" w:line="24" w:lineRule="auto"/>
        <w:jc w:val="both"/>
        <w:rPr>
          <w:i/>
          <w:spacing w:val="5"/>
          <w:sz w:val="22"/>
        </w:rPr>
      </w:pPr>
      <w:r w:rsidRPr="00EC250C">
        <w:rPr>
          <w:sz w:val="24"/>
        </w:rPr>
        <w:br w:type="page"/>
      </w:r>
    </w:p>
    <w:p w14:paraId="420BB2CB" w14:textId="77777777" w:rsidR="00C91F6E" w:rsidRPr="00EC250C" w:rsidRDefault="009E2A21" w:rsidP="00EC79EB">
      <w:pPr>
        <w:pStyle w:val="Nagwek4"/>
      </w:pPr>
      <w:bookmarkStart w:id="185" w:name="_Toc6257707"/>
      <w:bookmarkStart w:id="186" w:name="_Toc11247601"/>
      <w:r w:rsidRPr="00EC250C">
        <w:lastRenderedPageBreak/>
        <w:t>Jak z</w:t>
      </w:r>
      <w:r w:rsidR="007C18DA" w:rsidRPr="00EC250C">
        <w:t>adośćuczyni</w:t>
      </w:r>
      <w:r w:rsidRPr="00EC250C">
        <w:t>ć</w:t>
      </w:r>
      <w:r w:rsidR="007C18DA" w:rsidRPr="00EC250C">
        <w:t xml:space="preserve"> </w:t>
      </w:r>
      <w:r w:rsidRPr="00EC250C">
        <w:t xml:space="preserve">dziecku </w:t>
      </w:r>
      <w:r w:rsidR="007C18DA" w:rsidRPr="00EC250C">
        <w:t>za niesłuszne umieszczenie</w:t>
      </w:r>
      <w:r w:rsidR="00992FD0" w:rsidRPr="00EC250C">
        <w:t xml:space="preserve"> w </w:t>
      </w:r>
      <w:r w:rsidR="007C18DA" w:rsidRPr="00EC250C">
        <w:t>schronisku dla nieletnich</w:t>
      </w:r>
      <w:bookmarkEnd w:id="185"/>
      <w:bookmarkEnd w:id="186"/>
    </w:p>
    <w:p w14:paraId="55D6E1F2" w14:textId="77777777" w:rsidR="00B473F5" w:rsidRPr="00EC250C" w:rsidRDefault="000B6930" w:rsidP="00D131FA">
      <w:pPr>
        <w:pStyle w:val="Problemczowieka"/>
        <w:jc w:val="both"/>
      </w:pPr>
      <w:r w:rsidRPr="00EC250C">
        <w:t>Jeśli młody człowiek zostanie umieszczon</w:t>
      </w:r>
      <w:r w:rsidR="00BC61AE" w:rsidRPr="00EC250C">
        <w:t>y</w:t>
      </w:r>
      <w:r w:rsidR="00992FD0" w:rsidRPr="00EC250C">
        <w:t xml:space="preserve"> w </w:t>
      </w:r>
      <w:r w:rsidRPr="00EC250C">
        <w:t>schronisku dla nieletnich np. na czas postępowania</w:t>
      </w:r>
      <w:r w:rsidR="00992FD0" w:rsidRPr="00EC250C">
        <w:t xml:space="preserve"> w </w:t>
      </w:r>
      <w:r w:rsidRPr="00EC250C">
        <w:t xml:space="preserve">sprawie zbiorowego gwałtu, ale okaże się, że nie było do tego podstaw, bardzo trudno jest uzyskać </w:t>
      </w:r>
      <w:r w:rsidR="00E6111D" w:rsidRPr="00EC250C">
        <w:t>zadośćuczynienie za bezpodstawne pozbawienie wolności</w:t>
      </w:r>
      <w:r w:rsidR="00B473F5" w:rsidRPr="00EC250C">
        <w:t>.</w:t>
      </w:r>
    </w:p>
    <w:p w14:paraId="2FA6F6B4" w14:textId="77777777" w:rsidR="00E6111D" w:rsidRPr="00EC250C" w:rsidRDefault="007447EE" w:rsidP="00D131FA">
      <w:pPr>
        <w:pStyle w:val="Styl1"/>
        <w:rPr>
          <w:rFonts w:ascii="Open Sans Regular" w:hAnsi="Open Sans Regular"/>
          <w:color w:val="18223E"/>
          <w:sz w:val="21"/>
        </w:rPr>
      </w:pPr>
      <w:r w:rsidRPr="00EC250C">
        <w:t>RPO</w:t>
      </w:r>
      <w:r w:rsidR="00E6111D" w:rsidRPr="00EC250C">
        <w:t xml:space="preserve"> zgłosił</w:t>
      </w:r>
      <w:r w:rsidR="00E6111D" w:rsidRPr="00EC250C">
        <w:rPr>
          <w:rStyle w:val="Odwoanieprzypisudolnego"/>
        </w:rPr>
        <w:footnoteReference w:id="162"/>
      </w:r>
      <w:r w:rsidR="00E6111D" w:rsidRPr="00EC250C">
        <w:t xml:space="preserve"> udział</w:t>
      </w:r>
      <w:r w:rsidR="00992FD0" w:rsidRPr="00EC250C">
        <w:t xml:space="preserve"> w </w:t>
      </w:r>
      <w:r w:rsidR="00E6111D" w:rsidRPr="00EC250C">
        <w:t>postępowaniu przed Sądem Najwyższym</w:t>
      </w:r>
      <w:r w:rsidR="00992FD0" w:rsidRPr="00EC250C">
        <w:t xml:space="preserve"> w </w:t>
      </w:r>
      <w:r w:rsidR="00E6111D" w:rsidRPr="00EC250C">
        <w:t>zakresie rozstrzygnięcia zagadnienia prawnego</w:t>
      </w:r>
      <w:r w:rsidR="00992FD0" w:rsidRPr="00EC250C">
        <w:t xml:space="preserve"> w </w:t>
      </w:r>
      <w:r w:rsidR="00E6111D" w:rsidRPr="00EC250C">
        <w:t>sprawie</w:t>
      </w:r>
      <w:r w:rsidR="00992FD0" w:rsidRPr="00EC250C">
        <w:t xml:space="preserve"> o </w:t>
      </w:r>
      <w:r w:rsidR="00E6111D" w:rsidRPr="00EC250C">
        <w:t>zadośćuczynienie za niesłuszne umieszczenie nieletniego</w:t>
      </w:r>
      <w:r w:rsidR="00992FD0" w:rsidRPr="00EC250C">
        <w:t xml:space="preserve"> w </w:t>
      </w:r>
      <w:r w:rsidR="00E6111D" w:rsidRPr="00EC250C">
        <w:t>schronisku</w:t>
      </w:r>
      <w:r w:rsidR="00512F5B" w:rsidRPr="00EC250C">
        <w:t>.</w:t>
      </w:r>
    </w:p>
    <w:p w14:paraId="33531F8C" w14:textId="77777777" w:rsidR="00E6111D" w:rsidRPr="00EC250C" w:rsidRDefault="00E6111D" w:rsidP="00D131FA">
      <w:pPr>
        <w:pStyle w:val="Styl1"/>
      </w:pPr>
      <w:r w:rsidRPr="00EC250C">
        <w:t>Sąd pytał się, jak ma postąpić</w:t>
      </w:r>
      <w:r w:rsidR="00992FD0" w:rsidRPr="00EC250C">
        <w:t xml:space="preserve"> w </w:t>
      </w:r>
      <w:r w:rsidRPr="00EC250C">
        <w:t>sprawie młodego człowieka, który był zatrzymany</w:t>
      </w:r>
      <w:r w:rsidR="00992FD0" w:rsidRPr="00EC250C">
        <w:t xml:space="preserve"> w </w:t>
      </w:r>
      <w:r w:rsidRPr="00EC250C">
        <w:t>schronisku dla nieletnich, jak się okazało niesłusznie. Rodzina domaga się zadośćuczynienia, ale</w:t>
      </w:r>
      <w:r w:rsidR="00992FD0" w:rsidRPr="00EC250C">
        <w:t xml:space="preserve"> w </w:t>
      </w:r>
      <w:r w:rsidRPr="00EC250C">
        <w:t>przypadku schronisk nie ma przepisów, które byłyby podstawą do takiego zadośćuczynienia. Czy zatem powinna się powoływać na ogólne przepisy cywilne dotyczące odpowiedzialności państwa za tzw. „bezprawie”</w:t>
      </w:r>
      <w:r w:rsidR="00992FD0" w:rsidRPr="00EC250C">
        <w:t xml:space="preserve"> i </w:t>
      </w:r>
      <w:r w:rsidRPr="00EC250C">
        <w:t>udowodnić, że młody człowiek doznał krzywdy, czy też zastosować – przez analogię</w:t>
      </w:r>
      <w:r w:rsidR="00026572" w:rsidRPr="00EC250C">
        <w:t xml:space="preserve"> – </w:t>
      </w:r>
      <w:r w:rsidRPr="00EC250C">
        <w:t>przepisy kodeksu postępowania karnego, dotyczące np. odszkodowań za niesłuszne tymczasowe aresztowanie.</w:t>
      </w:r>
    </w:p>
    <w:p w14:paraId="16EE14A1" w14:textId="77777777" w:rsidR="00C91F6E" w:rsidRPr="00EC250C" w:rsidRDefault="00E6111D" w:rsidP="00D131FA">
      <w:pPr>
        <w:pStyle w:val="Styl1"/>
      </w:pPr>
      <w:r w:rsidRPr="00EC250C">
        <w:t>RPO uważał, że właśnie to drugie rozwiązanie byłoby właściwe.</w:t>
      </w:r>
    </w:p>
    <w:p w14:paraId="469A2500" w14:textId="77777777" w:rsidR="00C91F6E" w:rsidRPr="00EC250C" w:rsidRDefault="00E6111D" w:rsidP="00D131FA">
      <w:pPr>
        <w:pStyle w:val="Styl1"/>
        <w:rPr>
          <w:b/>
          <w:bCs/>
        </w:rPr>
      </w:pPr>
      <w:r w:rsidRPr="00EC250C">
        <w:rPr>
          <w:bCs/>
        </w:rPr>
        <w:t xml:space="preserve">Sąd Najwyższy uwzględnił argumentację Rzecznika, jednak stwierdził, że </w:t>
      </w:r>
      <w:r w:rsidRPr="00EC250C">
        <w:rPr>
          <w:rStyle w:val="Pogrubienie"/>
          <w:b w:val="0"/>
          <w:bCs w:val="0"/>
        </w:rPr>
        <w:t xml:space="preserve">podstawę prawną zadośćuczynienia </w:t>
      </w:r>
      <w:r w:rsidRPr="00EC250C">
        <w:t xml:space="preserve">stanowią </w:t>
      </w:r>
      <w:r w:rsidR="005D0F56" w:rsidRPr="00EC250C">
        <w:t xml:space="preserve">tu </w:t>
      </w:r>
      <w:r w:rsidRPr="00EC250C">
        <w:t>przepisy Kodeksu cywilnego</w:t>
      </w:r>
      <w:r w:rsidR="00992FD0" w:rsidRPr="00EC250C">
        <w:t xml:space="preserve"> o </w:t>
      </w:r>
      <w:r w:rsidRPr="00EC250C">
        <w:t>odpowiedzialności za szkodę wyrządzoną wydaniem niezgodnego</w:t>
      </w:r>
      <w:r w:rsidR="00992FD0" w:rsidRPr="00EC250C">
        <w:t xml:space="preserve"> z </w:t>
      </w:r>
      <w:r w:rsidRPr="00EC250C">
        <w:t xml:space="preserve">prawem prawomocnego orzeczenia. </w:t>
      </w:r>
      <w:r w:rsidR="005D0F56" w:rsidRPr="00EC250C">
        <w:t>Z</w:t>
      </w:r>
      <w:r w:rsidRPr="00EC250C">
        <w:t xml:space="preserve">apewnią </w:t>
      </w:r>
      <w:r w:rsidR="005D0F56" w:rsidRPr="00EC250C">
        <w:t xml:space="preserve">one </w:t>
      </w:r>
      <w:r w:rsidRPr="00EC250C">
        <w:t>taką samą ochronę, jeśli będą interpretowane</w:t>
      </w:r>
      <w:r w:rsidR="00992FD0" w:rsidRPr="00EC250C">
        <w:t xml:space="preserve"> w </w:t>
      </w:r>
      <w:r w:rsidRPr="00EC250C">
        <w:t>zgodzie</w:t>
      </w:r>
      <w:r w:rsidR="00992FD0" w:rsidRPr="00EC250C">
        <w:t xml:space="preserve"> z </w:t>
      </w:r>
      <w:r w:rsidRPr="00EC250C">
        <w:t>Konstytucją</w:t>
      </w:r>
      <w:r w:rsidR="00992FD0" w:rsidRPr="00EC250C">
        <w:t xml:space="preserve"> i </w:t>
      </w:r>
      <w:r w:rsidR="00F65FDF" w:rsidRPr="00EC250C">
        <w:rPr>
          <w:bCs/>
        </w:rPr>
        <w:t>Konwencją</w:t>
      </w:r>
      <w:r w:rsidR="00992FD0" w:rsidRPr="00EC250C">
        <w:rPr>
          <w:bCs/>
        </w:rPr>
        <w:t xml:space="preserve"> o </w:t>
      </w:r>
      <w:r w:rsidR="00F65FDF" w:rsidRPr="00EC250C">
        <w:rPr>
          <w:bCs/>
        </w:rPr>
        <w:t>ochronie praw człowieka</w:t>
      </w:r>
      <w:r w:rsidR="00992FD0" w:rsidRPr="00EC250C">
        <w:rPr>
          <w:bCs/>
        </w:rPr>
        <w:t xml:space="preserve"> i </w:t>
      </w:r>
      <w:r w:rsidR="00F65FDF" w:rsidRPr="00EC250C">
        <w:rPr>
          <w:bCs/>
        </w:rPr>
        <w:t>podstawowych wolności</w:t>
      </w:r>
      <w:r w:rsidR="00F65FDF" w:rsidRPr="00EC250C">
        <w:rPr>
          <w:b/>
          <w:bCs/>
        </w:rPr>
        <w:t>.</w:t>
      </w:r>
    </w:p>
    <w:p w14:paraId="228A59E7" w14:textId="77777777" w:rsidR="00C91F6E" w:rsidRPr="00EC250C" w:rsidRDefault="009E2A21" w:rsidP="00EC79EB">
      <w:pPr>
        <w:pStyle w:val="Nagwek4"/>
      </w:pPr>
      <w:bookmarkStart w:id="187" w:name="_Toc6257708"/>
      <w:bookmarkStart w:id="188" w:name="_Toc11247602"/>
      <w:r w:rsidRPr="00EC250C">
        <w:t>Sposób naliczania o</w:t>
      </w:r>
      <w:r w:rsidR="00ED0A86" w:rsidRPr="00EC250C">
        <w:t>dset</w:t>
      </w:r>
      <w:r w:rsidRPr="00EC250C">
        <w:t>e</w:t>
      </w:r>
      <w:r w:rsidR="00ED0A86" w:rsidRPr="00EC250C">
        <w:t>k od odszkodowania za niesłuszne skazanie, tymczasowe aresztowanie</w:t>
      </w:r>
      <w:r w:rsidR="00E96B46" w:rsidRPr="00EC250C">
        <w:t xml:space="preserve"> bądź zatrzymanie</w:t>
      </w:r>
      <w:bookmarkEnd w:id="187"/>
      <w:bookmarkEnd w:id="188"/>
    </w:p>
    <w:p w14:paraId="30A7B1C9" w14:textId="77777777" w:rsidR="00B473F5" w:rsidRPr="00EC250C" w:rsidRDefault="006C65F0" w:rsidP="00D131FA">
      <w:pPr>
        <w:pStyle w:val="Problemczowieka"/>
        <w:jc w:val="both"/>
        <w:rPr>
          <w:bdr w:val="none" w:sz="0" w:space="0" w:color="auto" w:frame="1"/>
        </w:rPr>
      </w:pPr>
      <w:r w:rsidRPr="00EC250C">
        <w:rPr>
          <w:bdr w:val="none" w:sz="0" w:space="0" w:color="auto" w:frame="1"/>
        </w:rPr>
        <w:t xml:space="preserve">Wątpliwości RPO budzi sądowa praktyka </w:t>
      </w:r>
      <w:r w:rsidR="000B6930" w:rsidRPr="00EC250C">
        <w:rPr>
          <w:bdr w:val="none" w:sz="0" w:space="0" w:color="auto" w:frame="1"/>
        </w:rPr>
        <w:t xml:space="preserve">liczenia </w:t>
      </w:r>
      <w:r w:rsidRPr="00EC250C">
        <w:rPr>
          <w:bdr w:val="none" w:sz="0" w:space="0" w:color="auto" w:frame="1"/>
        </w:rPr>
        <w:t xml:space="preserve">odsetek </w:t>
      </w:r>
      <w:r w:rsidR="00BD28B9" w:rsidRPr="00EC250C">
        <w:rPr>
          <w:bdr w:val="none" w:sz="0" w:space="0" w:color="auto" w:frame="1"/>
        </w:rPr>
        <w:t xml:space="preserve">dopiero </w:t>
      </w:r>
      <w:r w:rsidRPr="00EC250C">
        <w:rPr>
          <w:bdr w:val="none" w:sz="0" w:space="0" w:color="auto" w:frame="1"/>
        </w:rPr>
        <w:t>od chwili uprawomocnienia się orzeczenia</w:t>
      </w:r>
      <w:r w:rsidR="00992FD0" w:rsidRPr="00EC250C">
        <w:rPr>
          <w:bdr w:val="none" w:sz="0" w:space="0" w:color="auto" w:frame="1"/>
        </w:rPr>
        <w:t xml:space="preserve"> o </w:t>
      </w:r>
      <w:r w:rsidRPr="00EC250C">
        <w:rPr>
          <w:bdr w:val="none" w:sz="0" w:space="0" w:color="auto" w:frame="1"/>
        </w:rPr>
        <w:t>przyznaniu</w:t>
      </w:r>
      <w:r w:rsidR="00BD28B9" w:rsidRPr="00EC250C">
        <w:rPr>
          <w:bdr w:val="none" w:sz="0" w:space="0" w:color="auto" w:frame="1"/>
        </w:rPr>
        <w:t xml:space="preserve"> żądanej kwoty</w:t>
      </w:r>
      <w:r w:rsidR="00B473F5" w:rsidRPr="00EC250C">
        <w:rPr>
          <w:bdr w:val="none" w:sz="0" w:space="0" w:color="auto" w:frame="1"/>
        </w:rPr>
        <w:t>.</w:t>
      </w:r>
    </w:p>
    <w:p w14:paraId="2C5C2EB5" w14:textId="77777777" w:rsidR="00442E00" w:rsidRPr="00EC250C" w:rsidRDefault="006C65F0" w:rsidP="00D131FA">
      <w:pPr>
        <w:pStyle w:val="Styl1"/>
      </w:pPr>
      <w:r w:rsidRPr="00EC250C">
        <w:rPr>
          <w:bdr w:val="none" w:sz="0" w:space="0" w:color="auto" w:frame="1"/>
        </w:rPr>
        <w:t>Odsetki powinny przysługiwać od momentu skierowania do sądu wniosku</w:t>
      </w:r>
      <w:r w:rsidR="00992FD0" w:rsidRPr="00EC250C">
        <w:rPr>
          <w:bdr w:val="none" w:sz="0" w:space="0" w:color="auto" w:frame="1"/>
        </w:rPr>
        <w:t xml:space="preserve"> o </w:t>
      </w:r>
      <w:r w:rsidRPr="00EC250C">
        <w:rPr>
          <w:bdr w:val="none" w:sz="0" w:space="0" w:color="auto" w:frame="1"/>
        </w:rPr>
        <w:t xml:space="preserve">odszkodowanie czy zadośćuczynienie – uważa </w:t>
      </w:r>
      <w:r w:rsidR="007447EE" w:rsidRPr="00EC250C">
        <w:rPr>
          <w:bdr w:val="none" w:sz="0" w:space="0" w:color="auto" w:frame="1"/>
        </w:rPr>
        <w:t>RPO</w:t>
      </w:r>
      <w:r w:rsidR="00CC4D88" w:rsidRPr="00EC250C">
        <w:rPr>
          <w:bdr w:val="none" w:sz="0" w:space="0" w:color="auto" w:frame="1"/>
        </w:rPr>
        <w:t xml:space="preserve"> </w:t>
      </w:r>
      <w:r w:rsidRPr="00EC250C">
        <w:rPr>
          <w:bdr w:val="none" w:sz="0" w:space="0" w:color="auto" w:frame="1"/>
        </w:rPr>
        <w:t xml:space="preserve">Po raz kolejny </w:t>
      </w:r>
      <w:r w:rsidRPr="00EC250C">
        <w:t>zwrócił się</w:t>
      </w:r>
      <w:r w:rsidR="00EC3439" w:rsidRPr="00EC250C">
        <w:rPr>
          <w:rStyle w:val="Odwoanieprzypisudolnego"/>
          <w:bCs/>
          <w:iCs/>
        </w:rPr>
        <w:footnoteReference w:id="163"/>
      </w:r>
      <w:r w:rsidRPr="00EC250C">
        <w:t xml:space="preserve"> do Ministra Sprawiedliwości</w:t>
      </w:r>
      <w:r w:rsidR="00992FD0" w:rsidRPr="00EC250C">
        <w:t xml:space="preserve"> o </w:t>
      </w:r>
      <w:r w:rsidRPr="00EC250C">
        <w:t>wyeliminowanie problemów interpretacyjnych, stwarzających ten stan niepewności</w:t>
      </w:r>
      <w:r w:rsidR="005D0F56" w:rsidRPr="00EC250C">
        <w:t xml:space="preserve"> (s</w:t>
      </w:r>
      <w:r w:rsidRPr="00EC250C">
        <w:t>prawę reguluje rozdział 58 Kodeksu postępowania karnego</w:t>
      </w:r>
      <w:r w:rsidR="005D0F56" w:rsidRPr="00EC250C">
        <w:t>)</w:t>
      </w:r>
      <w:r w:rsidRPr="00EC250C">
        <w:t xml:space="preserve">. </w:t>
      </w:r>
      <w:r w:rsidR="00BD28B9" w:rsidRPr="00EC250C">
        <w:t>Odpowiedź jeszcze nie nadeszła.</w:t>
      </w:r>
      <w:r w:rsidR="00442E00" w:rsidRPr="00EC250C">
        <w:br w:type="page"/>
      </w:r>
    </w:p>
    <w:p w14:paraId="6778A28E" w14:textId="6B20711E" w:rsidR="00C91F6E" w:rsidRPr="00EC250C" w:rsidRDefault="00442E00" w:rsidP="00EC250C">
      <w:pPr>
        <w:pStyle w:val="Nagwek3"/>
      </w:pPr>
      <w:bookmarkStart w:id="189" w:name="_Toc6257709"/>
      <w:bookmarkStart w:id="190" w:name="_Toc11247603"/>
      <w:r w:rsidRPr="00EC250C">
        <w:lastRenderedPageBreak/>
        <w:t xml:space="preserve">Art. 42 ust. 1 </w:t>
      </w:r>
      <w:r w:rsidR="001D490B" w:rsidRPr="00EC250C">
        <w:t xml:space="preserve">Konstytucji </w:t>
      </w:r>
      <w:r w:rsidRPr="00EC250C">
        <w:t xml:space="preserve">– </w:t>
      </w:r>
      <w:r w:rsidR="00171219" w:rsidRPr="00EC250C">
        <w:t xml:space="preserve">Karane może być tylko to, </w:t>
      </w:r>
      <w:r w:rsidR="00045B71" w:rsidRPr="00EC250C">
        <w:t>c</w:t>
      </w:r>
      <w:r w:rsidR="00171219" w:rsidRPr="00EC250C">
        <w:t>o było wcześniej zabronione</w:t>
      </w:r>
      <w:r w:rsidR="00992FD0" w:rsidRPr="00EC250C">
        <w:t xml:space="preserve"> w </w:t>
      </w:r>
      <w:r w:rsidR="00171219" w:rsidRPr="00EC250C">
        <w:t>ustawie</w:t>
      </w:r>
      <w:bookmarkEnd w:id="189"/>
      <w:bookmarkEnd w:id="190"/>
    </w:p>
    <w:p w14:paraId="1A010265" w14:textId="77777777" w:rsidR="00442E00" w:rsidRPr="00EC250C" w:rsidRDefault="00442E00" w:rsidP="00D131FA">
      <w:pPr>
        <w:pStyle w:val="konstytucja"/>
        <w:jc w:val="both"/>
      </w:pPr>
      <w:r w:rsidRPr="00EC250C">
        <w:t>Odpowiedzialności karnej podlega ten tylko, kto dopuścił się czynu zabronionego pod groźbą kary przez ustawę obowiązującą</w:t>
      </w:r>
      <w:r w:rsidR="00992FD0" w:rsidRPr="00EC250C">
        <w:t xml:space="preserve"> w </w:t>
      </w:r>
      <w:r w:rsidRPr="00EC250C">
        <w:t>czasie jego popełnienia. Zasada ta nie stoi na przeszkodzie ukaraniu za czyn, który</w:t>
      </w:r>
      <w:r w:rsidR="00992FD0" w:rsidRPr="00EC250C">
        <w:t xml:space="preserve"> w </w:t>
      </w:r>
      <w:r w:rsidRPr="00EC250C">
        <w:t>czasie jego popełnienia stanowił przestępstwo</w:t>
      </w:r>
      <w:r w:rsidR="00992FD0" w:rsidRPr="00EC250C">
        <w:t xml:space="preserve"> w </w:t>
      </w:r>
      <w:r w:rsidRPr="00EC250C">
        <w:t>myśl prawa międzynarodowego.</w:t>
      </w:r>
    </w:p>
    <w:p w14:paraId="33C5AA3E" w14:textId="77777777" w:rsidR="00C91F6E" w:rsidRPr="00EC250C" w:rsidRDefault="00FF00C4" w:rsidP="00D131FA">
      <w:pPr>
        <w:pStyle w:val="ComwiKonstytucja"/>
      </w:pPr>
      <w:r w:rsidRPr="00EC250C">
        <w:t>Twórcy Konstytucji</w:t>
      </w:r>
      <w:r w:rsidR="00992FD0" w:rsidRPr="00EC250C">
        <w:t xml:space="preserve"> w </w:t>
      </w:r>
      <w:r w:rsidRPr="00EC250C">
        <w:t>sposób szczególny podkreślili tutaj odpowiedzialność za przestępstwa,</w:t>
      </w:r>
      <w:r w:rsidR="00992FD0" w:rsidRPr="00EC250C">
        <w:t xml:space="preserve"> a </w:t>
      </w:r>
      <w:r w:rsidRPr="00EC250C">
        <w:t>więc takie czyny zabronione pod groźbą kary, które są społecznie nieakceptowalne, wysoko szkodliwe, przy których wymierzane dolegliwości powinny być szczególnie odczuwalne.</w:t>
      </w:r>
    </w:p>
    <w:p w14:paraId="4120E64A" w14:textId="77777777" w:rsidR="00C91F6E" w:rsidRPr="00EC250C" w:rsidRDefault="00FF00C4" w:rsidP="00D131FA">
      <w:pPr>
        <w:pStyle w:val="ComwiKonstytucja"/>
      </w:pPr>
      <w:r w:rsidRPr="00EC250C">
        <w:t>Zasadę, że odpowiedzialności karnej podlega tylko ten, kto popełnia czyn zabroniony pod groźbą kary przez ustawę obowiązującą</w:t>
      </w:r>
      <w:r w:rsidR="00992FD0" w:rsidRPr="00EC250C">
        <w:t xml:space="preserve"> w </w:t>
      </w:r>
      <w:r w:rsidRPr="00EC250C">
        <w:t>czasie jego popełnienia, prawnicy opisują po łacinie jako nullum crimen sine lege (nullum crimen, nulla poena sine lege poenali anteriori).</w:t>
      </w:r>
    </w:p>
    <w:p w14:paraId="262F6F97" w14:textId="77777777" w:rsidR="00C91F6E" w:rsidRPr="00EC250C" w:rsidRDefault="00FF00C4" w:rsidP="00D131FA">
      <w:pPr>
        <w:pStyle w:val="ComwiKonstytucja"/>
      </w:pPr>
      <w:r w:rsidRPr="00EC250C">
        <w:t>Zarówno zasada nullum crime (nie ma przestępstwa) jak</w:t>
      </w:r>
      <w:r w:rsidR="00992FD0" w:rsidRPr="00EC250C">
        <w:t xml:space="preserve"> i </w:t>
      </w:r>
      <w:r w:rsidRPr="00EC250C">
        <w:t>zasada nulla poena (nie ma kary) znajdują swoje źródło już</w:t>
      </w:r>
      <w:r w:rsidR="00992FD0" w:rsidRPr="00EC250C">
        <w:t xml:space="preserve"> w </w:t>
      </w:r>
      <w:r w:rsidRPr="00EC250C">
        <w:t>artykule 31 ust. 3 Konstytucji (Ograniczenia</w:t>
      </w:r>
      <w:r w:rsidR="00992FD0" w:rsidRPr="00EC250C">
        <w:t xml:space="preserve"> w </w:t>
      </w:r>
      <w:r w:rsidRPr="00EC250C">
        <w:t>zakresie korzystania</w:t>
      </w:r>
      <w:r w:rsidR="00992FD0" w:rsidRPr="00EC250C">
        <w:t xml:space="preserve"> z </w:t>
      </w:r>
      <w:r w:rsidRPr="00EC250C">
        <w:t>konstytucyjnych wolności</w:t>
      </w:r>
      <w:r w:rsidR="00992FD0" w:rsidRPr="00EC250C">
        <w:t xml:space="preserve"> i </w:t>
      </w:r>
      <w:r w:rsidRPr="00EC250C">
        <w:t>praw mogą być ustanawiane tylko</w:t>
      </w:r>
      <w:r w:rsidR="00992FD0" w:rsidRPr="00EC250C">
        <w:t xml:space="preserve"> w </w:t>
      </w:r>
      <w:r w:rsidRPr="00EC250C">
        <w:t>ustawie</w:t>
      </w:r>
      <w:r w:rsidR="00992FD0" w:rsidRPr="00EC250C">
        <w:t xml:space="preserve"> i </w:t>
      </w:r>
      <w:r w:rsidRPr="00EC250C">
        <w:t>tylko wtedy, gdy są konieczne</w:t>
      </w:r>
      <w:r w:rsidR="00992FD0" w:rsidRPr="00EC250C">
        <w:t xml:space="preserve"> w </w:t>
      </w:r>
      <w:r w:rsidRPr="00EC250C">
        <w:t>demokratycznym państwie dla jego bezpieczeństwa).</w:t>
      </w:r>
    </w:p>
    <w:p w14:paraId="04D8AB02" w14:textId="77777777" w:rsidR="00FF00C4" w:rsidRPr="00EC250C" w:rsidRDefault="00FF00C4" w:rsidP="00D131FA">
      <w:pPr>
        <w:pStyle w:val="ComwiKonstytucja"/>
      </w:pPr>
      <w:r w:rsidRPr="00EC250C">
        <w:t>Obie zasady mają charakter absolutny</w:t>
      </w:r>
      <w:r w:rsidR="00992FD0" w:rsidRPr="00EC250C">
        <w:t xml:space="preserve"> i </w:t>
      </w:r>
      <w:r w:rsidRPr="00EC250C">
        <w:t>nie mogą być poddawane żadnym wyjątkom.</w:t>
      </w:r>
    </w:p>
    <w:p w14:paraId="07251338" w14:textId="77777777" w:rsidR="00EE09AA" w:rsidRPr="00EC250C" w:rsidRDefault="00EE09AA" w:rsidP="00D131FA">
      <w:pPr>
        <w:pStyle w:val="ComwiKonstytucja"/>
      </w:pPr>
    </w:p>
    <w:p w14:paraId="345EF441" w14:textId="77777777" w:rsidR="00FF00C4" w:rsidRPr="00EC250C" w:rsidRDefault="00FF00C4" w:rsidP="00D131FA">
      <w:pPr>
        <w:spacing w:after="200" w:line="24" w:lineRule="auto"/>
        <w:jc w:val="both"/>
        <w:rPr>
          <w:i/>
          <w:spacing w:val="5"/>
          <w:sz w:val="22"/>
        </w:rPr>
      </w:pPr>
      <w:r w:rsidRPr="00EC250C">
        <w:rPr>
          <w:sz w:val="24"/>
        </w:rPr>
        <w:br w:type="page"/>
      </w:r>
    </w:p>
    <w:p w14:paraId="39CD4232" w14:textId="56A08E6C" w:rsidR="00C91F6E" w:rsidRPr="00EC250C" w:rsidRDefault="006E4B16" w:rsidP="00EC79EB">
      <w:pPr>
        <w:pStyle w:val="Nagwek4"/>
        <w:rPr>
          <w:lang w:bidi="hi-IN"/>
        </w:rPr>
      </w:pPr>
      <w:bookmarkStart w:id="191" w:name="_Toc6257710"/>
      <w:bookmarkStart w:id="192" w:name="_Toc11247604"/>
      <w:r w:rsidRPr="00EC250C">
        <w:rPr>
          <w:lang w:bidi="hi-IN"/>
        </w:rPr>
        <w:lastRenderedPageBreak/>
        <w:t xml:space="preserve">Nieprecyzyjne </w:t>
      </w:r>
      <w:r w:rsidR="00050CDC" w:rsidRPr="00EC250C">
        <w:rPr>
          <w:lang w:bidi="hi-IN"/>
        </w:rPr>
        <w:t xml:space="preserve">postanowienia </w:t>
      </w:r>
      <w:r w:rsidRPr="00EC250C">
        <w:rPr>
          <w:lang w:bidi="hi-IN"/>
        </w:rPr>
        <w:t xml:space="preserve">dotyczące ochrony </w:t>
      </w:r>
      <w:r w:rsidR="008F18F8" w:rsidRPr="00EC250C">
        <w:rPr>
          <w:lang w:bidi="hi-IN"/>
        </w:rPr>
        <w:t>dobrego imienia Narodu Polskiego</w:t>
      </w:r>
      <w:r w:rsidR="00992FD0" w:rsidRPr="00EC250C">
        <w:rPr>
          <w:lang w:bidi="hi-IN"/>
        </w:rPr>
        <w:t xml:space="preserve"> i </w:t>
      </w:r>
      <w:r w:rsidR="008F18F8" w:rsidRPr="00EC250C">
        <w:rPr>
          <w:lang w:bidi="hi-IN"/>
        </w:rPr>
        <w:t>Rzeczypospolitej Polskiej</w:t>
      </w:r>
      <w:bookmarkEnd w:id="191"/>
      <w:bookmarkEnd w:id="192"/>
    </w:p>
    <w:p w14:paraId="1271572D" w14:textId="77777777" w:rsidR="00B473F5" w:rsidRPr="00EC250C" w:rsidRDefault="008157D8" w:rsidP="00D131FA">
      <w:pPr>
        <w:pStyle w:val="Problemczowieka"/>
        <w:jc w:val="both"/>
      </w:pPr>
      <w:r w:rsidRPr="00EC250C">
        <w:t>W z</w:t>
      </w:r>
      <w:r w:rsidR="00FF00C4" w:rsidRPr="00EC250C">
        <w:t>mieni</w:t>
      </w:r>
      <w:r w:rsidRPr="00EC250C">
        <w:t>a</w:t>
      </w:r>
      <w:r w:rsidR="00FF00C4" w:rsidRPr="00EC250C">
        <w:t>n</w:t>
      </w:r>
      <w:r w:rsidRPr="00EC250C">
        <w:t>ej</w:t>
      </w:r>
      <w:r w:rsidR="00992FD0" w:rsidRPr="00EC250C">
        <w:t xml:space="preserve"> w </w:t>
      </w:r>
      <w:r w:rsidR="00FF00C4" w:rsidRPr="00EC250C">
        <w:t>2018</w:t>
      </w:r>
      <w:r w:rsidR="00C91F6E" w:rsidRPr="00EC250C">
        <w:t> r.</w:t>
      </w:r>
      <w:r w:rsidR="00FF00C4" w:rsidRPr="00EC250C">
        <w:t xml:space="preserve"> ustaw</w:t>
      </w:r>
      <w:r w:rsidR="00BE554D" w:rsidRPr="00EC250C">
        <w:t>ie</w:t>
      </w:r>
      <w:r w:rsidR="00992FD0" w:rsidRPr="00EC250C">
        <w:t xml:space="preserve"> o </w:t>
      </w:r>
      <w:r w:rsidR="00FF00C4" w:rsidRPr="00EC250C">
        <w:t>I</w:t>
      </w:r>
      <w:r w:rsidR="006E4B16" w:rsidRPr="00EC250C">
        <w:t xml:space="preserve">nstytucie </w:t>
      </w:r>
      <w:r w:rsidR="00FF00C4" w:rsidRPr="00EC250C">
        <w:t>P</w:t>
      </w:r>
      <w:r w:rsidR="006E4B16" w:rsidRPr="00EC250C">
        <w:t xml:space="preserve">amięci </w:t>
      </w:r>
      <w:r w:rsidR="00FF00C4" w:rsidRPr="00EC250C">
        <w:t>N</w:t>
      </w:r>
      <w:r w:rsidR="006E4B16" w:rsidRPr="00EC250C">
        <w:t>arodowej</w:t>
      </w:r>
      <w:r w:rsidR="00FF00C4" w:rsidRPr="00EC250C">
        <w:t xml:space="preserve"> </w:t>
      </w:r>
      <w:r w:rsidRPr="00EC250C">
        <w:t xml:space="preserve">pojawiły się </w:t>
      </w:r>
      <w:r w:rsidR="00FF5E72" w:rsidRPr="00EC250C">
        <w:t>przepisy, które nie określ</w:t>
      </w:r>
      <w:r w:rsidRPr="00EC250C">
        <w:t>a</w:t>
      </w:r>
      <w:r w:rsidR="00FF5E72" w:rsidRPr="00EC250C">
        <w:t>ły precyzyjnie, jakie zachowanie podlega karaniu</w:t>
      </w:r>
      <w:r w:rsidR="00B473F5" w:rsidRPr="00EC250C">
        <w:t>.</w:t>
      </w:r>
    </w:p>
    <w:p w14:paraId="212A191D" w14:textId="77777777" w:rsidR="00FF00C4" w:rsidRPr="00EC250C" w:rsidRDefault="00E77EBE" w:rsidP="00D131FA">
      <w:pPr>
        <w:pStyle w:val="Styl1"/>
        <w:rPr>
          <w:bCs/>
          <w:iCs/>
        </w:rPr>
      </w:pPr>
      <w:r w:rsidRPr="00EC250C">
        <w:rPr>
          <w:bCs/>
          <w:iCs/>
        </w:rPr>
        <w:t>Ustawa</w:t>
      </w:r>
      <w:r w:rsidR="00992FD0" w:rsidRPr="00EC250C">
        <w:rPr>
          <w:bCs/>
          <w:iCs/>
        </w:rPr>
        <w:t xml:space="preserve"> o </w:t>
      </w:r>
      <w:r w:rsidRPr="00EC250C">
        <w:rPr>
          <w:bCs/>
          <w:iCs/>
        </w:rPr>
        <w:t xml:space="preserve">IPN została </w:t>
      </w:r>
      <w:r w:rsidR="00FF00C4" w:rsidRPr="00EC250C">
        <w:rPr>
          <w:bCs/>
          <w:iCs/>
        </w:rPr>
        <w:t>przyjęt</w:t>
      </w:r>
      <w:r w:rsidR="00045B71" w:rsidRPr="00EC250C">
        <w:rPr>
          <w:bCs/>
          <w:iCs/>
        </w:rPr>
        <w:t>a</w:t>
      </w:r>
      <w:r w:rsidR="00992FD0" w:rsidRPr="00EC250C">
        <w:rPr>
          <w:bCs/>
          <w:iCs/>
        </w:rPr>
        <w:t xml:space="preserve"> w </w:t>
      </w:r>
      <w:r w:rsidR="00FF00C4" w:rsidRPr="00EC250C">
        <w:rPr>
          <w:bCs/>
          <w:iCs/>
        </w:rPr>
        <w:t>styczniu</w:t>
      </w:r>
      <w:r w:rsidR="00BD28B9" w:rsidRPr="00EC250C">
        <w:rPr>
          <w:bCs/>
          <w:iCs/>
        </w:rPr>
        <w:t xml:space="preserve"> 2018</w:t>
      </w:r>
      <w:r w:rsidR="00C91F6E" w:rsidRPr="00EC250C">
        <w:rPr>
          <w:bCs/>
          <w:iCs/>
        </w:rPr>
        <w:t> r.</w:t>
      </w:r>
      <w:r w:rsidRPr="00EC250C">
        <w:rPr>
          <w:bCs/>
          <w:iCs/>
        </w:rPr>
        <w:t>,</w:t>
      </w:r>
      <w:r w:rsidR="00992FD0" w:rsidRPr="00EC250C">
        <w:rPr>
          <w:bCs/>
          <w:iCs/>
        </w:rPr>
        <w:t xml:space="preserve"> a </w:t>
      </w:r>
      <w:r w:rsidR="00FF00C4" w:rsidRPr="00EC250C">
        <w:rPr>
          <w:bCs/>
          <w:iCs/>
        </w:rPr>
        <w:t xml:space="preserve">następnie pośpiesznie </w:t>
      </w:r>
      <w:r w:rsidRPr="00EC250C">
        <w:rPr>
          <w:bCs/>
          <w:iCs/>
        </w:rPr>
        <w:t>zmieniana</w:t>
      </w:r>
      <w:r w:rsidR="00992FD0" w:rsidRPr="00EC250C">
        <w:rPr>
          <w:bCs/>
          <w:iCs/>
        </w:rPr>
        <w:t xml:space="preserve"> w </w:t>
      </w:r>
      <w:r w:rsidR="00FF00C4" w:rsidRPr="00EC250C">
        <w:rPr>
          <w:bCs/>
          <w:iCs/>
        </w:rPr>
        <w:t>czerwcu</w:t>
      </w:r>
      <w:r w:rsidRPr="00EC250C">
        <w:rPr>
          <w:bCs/>
          <w:iCs/>
        </w:rPr>
        <w:t xml:space="preserve"> </w:t>
      </w:r>
      <w:r w:rsidR="00BD28B9" w:rsidRPr="00EC250C">
        <w:rPr>
          <w:bCs/>
          <w:iCs/>
        </w:rPr>
        <w:t>2018</w:t>
      </w:r>
      <w:r w:rsidR="00C91F6E" w:rsidRPr="00EC250C">
        <w:rPr>
          <w:bCs/>
          <w:iCs/>
        </w:rPr>
        <w:t> r.</w:t>
      </w:r>
      <w:r w:rsidR="00FF00C4" w:rsidRPr="00EC250C">
        <w:rPr>
          <w:bCs/>
          <w:iCs/>
        </w:rPr>
        <w:t xml:space="preserve"> </w:t>
      </w:r>
      <w:r w:rsidR="00BD28B9" w:rsidRPr="00EC250C">
        <w:rPr>
          <w:bCs/>
          <w:iCs/>
        </w:rPr>
        <w:t>W trakcie jej obowiązywania do Trybunału Konstytucyjnego</w:t>
      </w:r>
      <w:r w:rsidR="00992FD0" w:rsidRPr="00EC250C">
        <w:rPr>
          <w:bCs/>
          <w:iCs/>
        </w:rPr>
        <w:t xml:space="preserve"> w </w:t>
      </w:r>
      <w:r w:rsidR="00BD28B9" w:rsidRPr="00EC250C">
        <w:rPr>
          <w:bCs/>
          <w:iCs/>
        </w:rPr>
        <w:t>trybie kontroli następczej wystąpił Prezydent,</w:t>
      </w:r>
      <w:r w:rsidR="00992FD0" w:rsidRPr="00EC250C">
        <w:rPr>
          <w:bCs/>
          <w:iCs/>
        </w:rPr>
        <w:t xml:space="preserve"> a </w:t>
      </w:r>
      <w:r w:rsidR="007447EE" w:rsidRPr="00EC250C">
        <w:rPr>
          <w:bCs/>
          <w:iCs/>
        </w:rPr>
        <w:t>RPO</w:t>
      </w:r>
      <w:r w:rsidR="00BD28B9" w:rsidRPr="00EC250C">
        <w:rPr>
          <w:bCs/>
          <w:iCs/>
        </w:rPr>
        <w:t xml:space="preserve"> zgłosił</w:t>
      </w:r>
      <w:r w:rsidR="00BD28B9" w:rsidRPr="00EC250C">
        <w:rPr>
          <w:rStyle w:val="Odwoanieprzypisudolnego"/>
          <w:bCs/>
          <w:iCs/>
        </w:rPr>
        <w:footnoteReference w:id="164"/>
      </w:r>
      <w:r w:rsidR="00BD28B9" w:rsidRPr="00EC250C">
        <w:rPr>
          <w:bCs/>
          <w:iCs/>
        </w:rPr>
        <w:t xml:space="preserve"> udział</w:t>
      </w:r>
      <w:r w:rsidR="00992FD0" w:rsidRPr="00EC250C">
        <w:rPr>
          <w:bCs/>
          <w:iCs/>
        </w:rPr>
        <w:t xml:space="preserve"> w </w:t>
      </w:r>
      <w:r w:rsidR="00BD28B9" w:rsidRPr="00EC250C">
        <w:rPr>
          <w:bCs/>
          <w:iCs/>
        </w:rPr>
        <w:t>tym postępowaniu</w:t>
      </w:r>
      <w:r w:rsidR="00FF00C4" w:rsidRPr="00EC250C">
        <w:rPr>
          <w:bCs/>
          <w:iCs/>
        </w:rPr>
        <w:t>.</w:t>
      </w:r>
    </w:p>
    <w:p w14:paraId="6712371D" w14:textId="77777777" w:rsidR="00C91F6E" w:rsidRPr="00EC250C" w:rsidRDefault="00D31F4B" w:rsidP="00D131FA">
      <w:pPr>
        <w:pStyle w:val="Styl1"/>
        <w:rPr>
          <w:bCs/>
          <w:iCs/>
        </w:rPr>
      </w:pPr>
      <w:r w:rsidRPr="00EC250C">
        <w:rPr>
          <w:bCs/>
          <w:iCs/>
        </w:rPr>
        <w:t xml:space="preserve">Wątpliwości </w:t>
      </w:r>
      <w:r w:rsidR="008157D8" w:rsidRPr="00EC250C">
        <w:rPr>
          <w:bCs/>
          <w:iCs/>
        </w:rPr>
        <w:t xml:space="preserve">RPO </w:t>
      </w:r>
      <w:r w:rsidRPr="00EC250C">
        <w:rPr>
          <w:bCs/>
          <w:iCs/>
        </w:rPr>
        <w:t>budził</w:t>
      </w:r>
      <w:r w:rsidR="00FF00C4" w:rsidRPr="00EC250C">
        <w:rPr>
          <w:bCs/>
          <w:iCs/>
        </w:rPr>
        <w:t xml:space="preserve"> nowy </w:t>
      </w:r>
      <w:r w:rsidR="002716B5" w:rsidRPr="00EC250C">
        <w:rPr>
          <w:bCs/>
          <w:iCs/>
        </w:rPr>
        <w:t>art. 55a, który wprowadzał odpowiedzialność karną za przypisywanie publicznie</w:t>
      </w:r>
      <w:r w:rsidR="00992FD0" w:rsidRPr="00EC250C">
        <w:rPr>
          <w:bCs/>
          <w:iCs/>
        </w:rPr>
        <w:t xml:space="preserve"> i </w:t>
      </w:r>
      <w:r w:rsidR="002716B5" w:rsidRPr="00EC250C">
        <w:rPr>
          <w:bCs/>
          <w:iCs/>
        </w:rPr>
        <w:t>wbrew faktom „Narodowi Polskiemu lub Państwu Polskiemu” odpowiedzialności lub współodpowiedzialności za zbrodnie popełnione przez III Rzeszę Niemiecką</w:t>
      </w:r>
      <w:r w:rsidR="005D0F56" w:rsidRPr="00EC250C">
        <w:rPr>
          <w:bCs/>
          <w:iCs/>
        </w:rPr>
        <w:t xml:space="preserve"> oraz negowanie zbrodni „ukraińskich nacjonalistów”</w:t>
      </w:r>
      <w:r w:rsidR="00992FD0" w:rsidRPr="00EC250C">
        <w:rPr>
          <w:bCs/>
          <w:iCs/>
        </w:rPr>
        <w:t xml:space="preserve"> z </w:t>
      </w:r>
      <w:r w:rsidR="005D0F56" w:rsidRPr="00EC250C">
        <w:rPr>
          <w:bCs/>
          <w:iCs/>
        </w:rPr>
        <w:t>lat 1925–1950</w:t>
      </w:r>
      <w:r w:rsidR="002716B5" w:rsidRPr="00EC250C">
        <w:rPr>
          <w:bCs/>
          <w:iCs/>
        </w:rPr>
        <w:t>. Odpowiedzialności miała nie podlegać działalność artystyczna</w:t>
      </w:r>
      <w:r w:rsidR="00992FD0" w:rsidRPr="00EC250C">
        <w:rPr>
          <w:bCs/>
          <w:iCs/>
        </w:rPr>
        <w:t xml:space="preserve"> i </w:t>
      </w:r>
      <w:r w:rsidR="002716B5" w:rsidRPr="00EC250C">
        <w:rPr>
          <w:bCs/>
          <w:iCs/>
        </w:rPr>
        <w:t xml:space="preserve">naukowa. </w:t>
      </w:r>
      <w:r w:rsidR="008F18F8" w:rsidRPr="00EC250C">
        <w:rPr>
          <w:bCs/>
          <w:iCs/>
        </w:rPr>
        <w:t xml:space="preserve">W ocenie Rzecznika </w:t>
      </w:r>
      <w:r w:rsidR="007447EE" w:rsidRPr="00EC250C">
        <w:rPr>
          <w:bCs/>
          <w:iCs/>
        </w:rPr>
        <w:t xml:space="preserve">Praw Obywatelskich </w:t>
      </w:r>
      <w:r w:rsidR="008F18F8" w:rsidRPr="00EC250C">
        <w:rPr>
          <w:bCs/>
          <w:iCs/>
        </w:rPr>
        <w:t>sankcj</w:t>
      </w:r>
      <w:r w:rsidR="005D0F56" w:rsidRPr="00EC250C">
        <w:rPr>
          <w:bCs/>
          <w:iCs/>
        </w:rPr>
        <w:t>e</w:t>
      </w:r>
      <w:r w:rsidR="008F18F8" w:rsidRPr="00EC250C">
        <w:rPr>
          <w:bCs/>
          <w:iCs/>
        </w:rPr>
        <w:t xml:space="preserve"> karn</w:t>
      </w:r>
      <w:r w:rsidR="005D0F56" w:rsidRPr="00EC250C">
        <w:rPr>
          <w:bCs/>
          <w:iCs/>
        </w:rPr>
        <w:t>e</w:t>
      </w:r>
      <w:r w:rsidR="00045B71" w:rsidRPr="00EC250C">
        <w:rPr>
          <w:bCs/>
          <w:iCs/>
        </w:rPr>
        <w:t xml:space="preserve"> opisane</w:t>
      </w:r>
      <w:r w:rsidR="00992FD0" w:rsidRPr="00EC250C">
        <w:rPr>
          <w:bCs/>
          <w:iCs/>
        </w:rPr>
        <w:t xml:space="preserve"> w </w:t>
      </w:r>
      <w:r w:rsidR="0096575B" w:rsidRPr="00EC250C">
        <w:rPr>
          <w:bCs/>
          <w:iCs/>
        </w:rPr>
        <w:t xml:space="preserve">tak nieprecyzyjny sposób </w:t>
      </w:r>
      <w:r w:rsidR="008F18F8" w:rsidRPr="00EC250C">
        <w:rPr>
          <w:bCs/>
          <w:iCs/>
        </w:rPr>
        <w:t>mo</w:t>
      </w:r>
      <w:r w:rsidR="005D0F56" w:rsidRPr="00EC250C">
        <w:rPr>
          <w:bCs/>
          <w:iCs/>
        </w:rPr>
        <w:t>gą</w:t>
      </w:r>
      <w:r w:rsidR="008F18F8" w:rsidRPr="00EC250C">
        <w:rPr>
          <w:bCs/>
          <w:iCs/>
        </w:rPr>
        <w:t xml:space="preserve"> mieć „mrożący skutek” dla debaty publicznej.</w:t>
      </w:r>
    </w:p>
    <w:p w14:paraId="40D93B9C" w14:textId="77777777" w:rsidR="00C91F6E" w:rsidRPr="00EC250C" w:rsidRDefault="00BD28B9" w:rsidP="00D131FA">
      <w:pPr>
        <w:pStyle w:val="Styl1"/>
      </w:pPr>
      <w:r w:rsidRPr="00EC250C">
        <w:t>W czerwcu 2018</w:t>
      </w:r>
      <w:r w:rsidR="00C91F6E" w:rsidRPr="00EC250C">
        <w:t> r.</w:t>
      </w:r>
      <w:r w:rsidRPr="00EC250C">
        <w:t xml:space="preserve"> ustawodawca błyskawiczn</w:t>
      </w:r>
      <w:r w:rsidR="008157D8" w:rsidRPr="00EC250C">
        <w:t>ie</w:t>
      </w:r>
      <w:r w:rsidRPr="00EC250C">
        <w:t xml:space="preserve"> </w:t>
      </w:r>
      <w:r w:rsidR="008157D8" w:rsidRPr="00EC250C">
        <w:t xml:space="preserve">zmienił </w:t>
      </w:r>
      <w:r w:rsidRPr="00EC250C">
        <w:t>ustaw</w:t>
      </w:r>
      <w:r w:rsidR="008157D8" w:rsidRPr="00EC250C">
        <w:t>ę</w:t>
      </w:r>
      <w:r w:rsidR="00992FD0" w:rsidRPr="00EC250C">
        <w:t xml:space="preserve"> o </w:t>
      </w:r>
      <w:r w:rsidRPr="00EC250C">
        <w:t>IPN</w:t>
      </w:r>
      <w:r w:rsidR="00992FD0" w:rsidRPr="00EC250C">
        <w:t xml:space="preserve"> i </w:t>
      </w:r>
      <w:r w:rsidRPr="00EC250C">
        <w:t xml:space="preserve">usunął budzące wątpliwości przepisy karne. W uzasadnieniu projektu powołano się m.in. na stanowisko </w:t>
      </w:r>
      <w:r w:rsidR="007447EE" w:rsidRPr="00EC250C">
        <w:t>RPO</w:t>
      </w:r>
      <w:r w:rsidRPr="00EC250C">
        <w:t>. Z kolei</w:t>
      </w:r>
      <w:r w:rsidR="00992FD0" w:rsidRPr="00EC250C">
        <w:t xml:space="preserve"> w </w:t>
      </w:r>
      <w:r w:rsidRPr="00EC250C">
        <w:t>styczniu 2019</w:t>
      </w:r>
      <w:r w:rsidR="00C91F6E" w:rsidRPr="00EC250C">
        <w:t> r.</w:t>
      </w:r>
      <w:r w:rsidRPr="00EC250C">
        <w:t xml:space="preserve"> Trybunał uznał za niezgodne</w:t>
      </w:r>
      <w:r w:rsidR="00992FD0" w:rsidRPr="00EC250C">
        <w:t xml:space="preserve"> z </w:t>
      </w:r>
      <w:r w:rsidRPr="00EC250C">
        <w:t>Konstytucją przepisy karne dotyczące wypowiedzi na temat zbrodni „ukraińskich nacjonalistów”, wskazując, że użyte przez ustawodawcę pojęcia mają niejasne znaczenie. W dalszym ciągu jednak obowiązują przepisy, które przyznają organizacjom pozarządowym prawo do wytaczania powództwa</w:t>
      </w:r>
      <w:r w:rsidR="00992FD0" w:rsidRPr="00EC250C">
        <w:t xml:space="preserve"> o </w:t>
      </w:r>
      <w:r w:rsidRPr="00EC250C">
        <w:t>ochronę dobrego imienia Rzeczypospolitej Polskiej lub Narodu Polskiego. Mogą one budzić wątpliwości</w:t>
      </w:r>
      <w:r w:rsidR="00992FD0" w:rsidRPr="00EC250C">
        <w:t xml:space="preserve"> z </w:t>
      </w:r>
      <w:r w:rsidRPr="00EC250C">
        <w:t>punktu widzenia konstytucyjnej wolności słowa.</w:t>
      </w:r>
    </w:p>
    <w:p w14:paraId="68D0B4F9" w14:textId="77777777" w:rsidR="00BD28B9" w:rsidRPr="00EC250C" w:rsidRDefault="00BD28B9" w:rsidP="00EC250C">
      <w:pPr>
        <w:pStyle w:val="Nagwek8"/>
        <w:rPr>
          <w:rFonts w:ascii="inherit" w:hAnsi="inherit"/>
          <w:sz w:val="21"/>
          <w:szCs w:val="20"/>
        </w:rPr>
      </w:pPr>
      <w:r w:rsidRPr="00EC250C">
        <w:t>O kontrowersjach wokół ustawy</w:t>
      </w:r>
      <w:r w:rsidR="00992FD0" w:rsidRPr="00EC250C">
        <w:t xml:space="preserve"> o </w:t>
      </w:r>
      <w:r w:rsidRPr="00EC250C">
        <w:t>IPN –</w:t>
      </w:r>
      <w:r w:rsidR="00992FD0" w:rsidRPr="00EC250C">
        <w:t xml:space="preserve"> w </w:t>
      </w:r>
      <w:r w:rsidRPr="00EC250C">
        <w:t>czasie II Kongresu Praw Obywatelskich</w:t>
      </w:r>
    </w:p>
    <w:p w14:paraId="29BBA47A" w14:textId="29B20A47" w:rsidR="00BD28B9" w:rsidRPr="00EC250C" w:rsidRDefault="00BD28B9" w:rsidP="00D131FA">
      <w:pPr>
        <w:pStyle w:val="Styl2"/>
        <w:rPr>
          <w:szCs w:val="24"/>
        </w:rPr>
      </w:pPr>
      <w:r w:rsidRPr="00EC250C">
        <w:rPr>
          <w:rStyle w:val="Pogrubienie"/>
          <w:b/>
          <w:bCs/>
          <w:szCs w:val="24"/>
        </w:rPr>
        <w:t>Ustawa</w:t>
      </w:r>
      <w:r w:rsidR="00992FD0" w:rsidRPr="00EC250C">
        <w:rPr>
          <w:rStyle w:val="Pogrubienie"/>
          <w:b/>
          <w:bCs/>
          <w:szCs w:val="24"/>
        </w:rPr>
        <w:t xml:space="preserve"> o </w:t>
      </w:r>
      <w:r w:rsidRPr="00EC250C">
        <w:rPr>
          <w:rStyle w:val="Pogrubienie"/>
          <w:b/>
          <w:bCs/>
          <w:szCs w:val="24"/>
        </w:rPr>
        <w:t>IPN przyniosła Polsce ogromne szkody. Stało się to</w:t>
      </w:r>
      <w:r w:rsidR="00992FD0" w:rsidRPr="00EC250C">
        <w:rPr>
          <w:rStyle w:val="Pogrubienie"/>
          <w:b/>
          <w:bCs/>
          <w:szCs w:val="24"/>
        </w:rPr>
        <w:t xml:space="preserve"> w </w:t>
      </w:r>
      <w:r w:rsidRPr="00EC250C">
        <w:rPr>
          <w:rStyle w:val="Pogrubienie"/>
          <w:b/>
          <w:bCs/>
          <w:szCs w:val="24"/>
        </w:rPr>
        <w:t>dużej mierze dlatego, że była przyjmowana</w:t>
      </w:r>
      <w:r w:rsidR="00992FD0" w:rsidRPr="00EC250C">
        <w:rPr>
          <w:rStyle w:val="Pogrubienie"/>
          <w:b/>
          <w:bCs/>
          <w:szCs w:val="24"/>
        </w:rPr>
        <w:t xml:space="preserve"> w </w:t>
      </w:r>
      <w:r w:rsidRPr="00EC250C">
        <w:rPr>
          <w:rStyle w:val="Pogrubienie"/>
          <w:b/>
          <w:bCs/>
          <w:szCs w:val="24"/>
        </w:rPr>
        <w:t xml:space="preserve">sposób nieprawidłowy, więc wszystkich </w:t>
      </w:r>
      <w:r w:rsidR="008157D8" w:rsidRPr="00EC250C">
        <w:rPr>
          <w:rStyle w:val="Pogrubienie"/>
          <w:b/>
          <w:bCs/>
          <w:szCs w:val="24"/>
        </w:rPr>
        <w:t xml:space="preserve">jej </w:t>
      </w:r>
      <w:r w:rsidRPr="00EC250C">
        <w:rPr>
          <w:rStyle w:val="Pogrubienie"/>
          <w:b/>
          <w:bCs/>
          <w:szCs w:val="24"/>
        </w:rPr>
        <w:t>konsekwencji rządzący nie zdołali sobie uświadomić. Ustawa (nawet</w:t>
      </w:r>
      <w:r w:rsidR="00992FD0" w:rsidRPr="00EC250C">
        <w:rPr>
          <w:rStyle w:val="Pogrubienie"/>
          <w:b/>
          <w:bCs/>
          <w:szCs w:val="24"/>
        </w:rPr>
        <w:t xml:space="preserve"> w </w:t>
      </w:r>
      <w:r w:rsidRPr="00EC250C">
        <w:rPr>
          <w:rStyle w:val="Pogrubienie"/>
          <w:b/>
          <w:bCs/>
          <w:szCs w:val="24"/>
        </w:rPr>
        <w:t>wersji po zmianach) jest groźna dla lokalnych aktywistów</w:t>
      </w:r>
      <w:r w:rsidR="00992FD0" w:rsidRPr="00EC250C">
        <w:rPr>
          <w:rStyle w:val="Pogrubienie"/>
          <w:b/>
          <w:bCs/>
          <w:szCs w:val="24"/>
        </w:rPr>
        <w:t xml:space="preserve"> i </w:t>
      </w:r>
      <w:r w:rsidRPr="00EC250C">
        <w:rPr>
          <w:rStyle w:val="Pogrubienie"/>
          <w:b/>
          <w:bCs/>
          <w:szCs w:val="24"/>
        </w:rPr>
        <w:t>nauczycieli. Bezmiar niewiedzy</w:t>
      </w:r>
      <w:r w:rsidR="00992FD0" w:rsidRPr="00EC250C">
        <w:rPr>
          <w:rStyle w:val="Pogrubienie"/>
          <w:b/>
          <w:bCs/>
          <w:szCs w:val="24"/>
        </w:rPr>
        <w:t xml:space="preserve"> i </w:t>
      </w:r>
      <w:r w:rsidRPr="00EC250C">
        <w:rPr>
          <w:rStyle w:val="Pogrubienie"/>
          <w:b/>
          <w:bCs/>
          <w:szCs w:val="24"/>
        </w:rPr>
        <w:t>uprzedzeń antysemickich, jaki ujawnił się</w:t>
      </w:r>
      <w:r w:rsidR="00992FD0" w:rsidRPr="00EC250C">
        <w:rPr>
          <w:rStyle w:val="Pogrubienie"/>
          <w:b/>
          <w:bCs/>
          <w:szCs w:val="24"/>
        </w:rPr>
        <w:t xml:space="preserve"> w </w:t>
      </w:r>
      <w:r w:rsidRPr="00EC250C">
        <w:rPr>
          <w:rStyle w:val="Pogrubienie"/>
          <w:b/>
          <w:bCs/>
          <w:szCs w:val="24"/>
        </w:rPr>
        <w:t>czasie debaty</w:t>
      </w:r>
      <w:r w:rsidR="008157D8" w:rsidRPr="00EC250C">
        <w:rPr>
          <w:rStyle w:val="Pogrubienie"/>
          <w:b/>
          <w:bCs/>
          <w:szCs w:val="24"/>
        </w:rPr>
        <w:t xml:space="preserve"> na temat ustawy</w:t>
      </w:r>
      <w:r w:rsidRPr="00EC250C">
        <w:rPr>
          <w:rStyle w:val="Pogrubienie"/>
          <w:b/>
          <w:bCs/>
          <w:szCs w:val="24"/>
        </w:rPr>
        <w:t>, jest wyzwaniem dla wszystkich</w:t>
      </w:r>
      <w:r w:rsidR="00255450" w:rsidRPr="00EC250C">
        <w:rPr>
          <w:rStyle w:val="Pogrubienie"/>
          <w:b/>
          <w:bCs/>
          <w:szCs w:val="24"/>
        </w:rPr>
        <w:t xml:space="preserve">. Takie tezy przedstawili </w:t>
      </w:r>
      <w:r w:rsidRPr="00EC250C">
        <w:rPr>
          <w:rStyle w:val="Pogrubienie"/>
          <w:b/>
          <w:bCs/>
          <w:szCs w:val="24"/>
        </w:rPr>
        <w:t>uczestnicy panelu, który odbył się 15</w:t>
      </w:r>
      <w:r w:rsidR="00BC61AE" w:rsidRPr="00EC250C">
        <w:rPr>
          <w:rStyle w:val="Pogrubienie"/>
          <w:b/>
          <w:bCs/>
          <w:szCs w:val="24"/>
        </w:rPr>
        <w:t> </w:t>
      </w:r>
      <w:r w:rsidRPr="00EC250C">
        <w:rPr>
          <w:rStyle w:val="Pogrubienie"/>
          <w:b/>
          <w:bCs/>
          <w:szCs w:val="24"/>
        </w:rPr>
        <w:t>grudnia 2018</w:t>
      </w:r>
      <w:r w:rsidR="00C91F6E" w:rsidRPr="00EC250C">
        <w:rPr>
          <w:rStyle w:val="Pogrubienie"/>
          <w:b/>
          <w:bCs/>
          <w:szCs w:val="24"/>
        </w:rPr>
        <w:t> r.</w:t>
      </w:r>
      <w:r w:rsidR="00992FD0" w:rsidRPr="00EC250C">
        <w:rPr>
          <w:rStyle w:val="Pogrubienie"/>
          <w:b/>
          <w:bCs/>
          <w:szCs w:val="24"/>
        </w:rPr>
        <w:t xml:space="preserve"> w </w:t>
      </w:r>
      <w:r w:rsidR="008157D8" w:rsidRPr="00EC250C">
        <w:rPr>
          <w:rStyle w:val="Pogrubienie"/>
          <w:b/>
          <w:bCs/>
          <w:szCs w:val="24"/>
        </w:rPr>
        <w:t>czasie II Kongresu Praw Obywatelskich.</w:t>
      </w:r>
    </w:p>
    <w:p w14:paraId="1EA1A501" w14:textId="313A9604" w:rsidR="00BD28B9" w:rsidRPr="00EC250C" w:rsidRDefault="00255450" w:rsidP="00D131FA">
      <w:pPr>
        <w:pStyle w:val="Styl2"/>
        <w:rPr>
          <w:szCs w:val="24"/>
        </w:rPr>
      </w:pPr>
      <w:r w:rsidRPr="00EC250C">
        <w:rPr>
          <w:szCs w:val="24"/>
        </w:rPr>
        <w:t xml:space="preserve">Paneliści </w:t>
      </w:r>
      <w:r w:rsidR="008157D8" w:rsidRPr="00EC250C">
        <w:rPr>
          <w:szCs w:val="24"/>
        </w:rPr>
        <w:t>zastanawiali się</w:t>
      </w:r>
      <w:r w:rsidR="00BD28B9" w:rsidRPr="00EC250C">
        <w:rPr>
          <w:szCs w:val="24"/>
        </w:rPr>
        <w:t>, jakie wnioski można wyciągnąć</w:t>
      </w:r>
      <w:r w:rsidR="00992FD0" w:rsidRPr="00EC250C">
        <w:rPr>
          <w:szCs w:val="24"/>
        </w:rPr>
        <w:t xml:space="preserve"> z </w:t>
      </w:r>
      <w:r w:rsidR="00BD28B9" w:rsidRPr="00EC250C">
        <w:rPr>
          <w:szCs w:val="24"/>
        </w:rPr>
        <w:t>kryzysu dotyczącego ustawy</w:t>
      </w:r>
      <w:r w:rsidR="00992FD0" w:rsidRPr="00EC250C">
        <w:rPr>
          <w:szCs w:val="24"/>
        </w:rPr>
        <w:t xml:space="preserve"> o </w:t>
      </w:r>
      <w:r w:rsidR="00BD28B9" w:rsidRPr="00EC250C">
        <w:rPr>
          <w:szCs w:val="24"/>
        </w:rPr>
        <w:t>IPN, czy ustawa powinna pozostać niezmieniona, jakie może rodzić niebezpieczeństwa</w:t>
      </w:r>
      <w:r w:rsidR="00992FD0" w:rsidRPr="00EC250C">
        <w:rPr>
          <w:szCs w:val="24"/>
        </w:rPr>
        <w:t xml:space="preserve"> w </w:t>
      </w:r>
      <w:r w:rsidR="00BD28B9" w:rsidRPr="00EC250C">
        <w:rPr>
          <w:szCs w:val="24"/>
        </w:rPr>
        <w:t>kontekście praktyki polskiego życia publicznego? Wreszcie – czy możliwe jest pogodzenie wolności słowa</w:t>
      </w:r>
      <w:r w:rsidR="00992FD0" w:rsidRPr="00EC250C">
        <w:rPr>
          <w:szCs w:val="24"/>
        </w:rPr>
        <w:t xml:space="preserve"> z </w:t>
      </w:r>
      <w:r w:rsidR="00BD28B9" w:rsidRPr="00EC250C">
        <w:rPr>
          <w:szCs w:val="24"/>
        </w:rPr>
        <w:t>tzw. ustawami</w:t>
      </w:r>
      <w:r w:rsidR="00992FD0" w:rsidRPr="00EC250C">
        <w:rPr>
          <w:szCs w:val="24"/>
        </w:rPr>
        <w:t xml:space="preserve"> o </w:t>
      </w:r>
      <w:r w:rsidR="00BD28B9" w:rsidRPr="00EC250C">
        <w:rPr>
          <w:szCs w:val="24"/>
        </w:rPr>
        <w:t>pamięci (memory laws)?</w:t>
      </w:r>
      <w:r w:rsidR="005140FA" w:rsidRPr="00EC250C">
        <w:rPr>
          <w:rStyle w:val="Odwoanieprzypisudolnego"/>
          <w:szCs w:val="24"/>
        </w:rPr>
        <w:footnoteReference w:id="165"/>
      </w:r>
    </w:p>
    <w:p w14:paraId="3A43D22F" w14:textId="77777777" w:rsidR="00146A59" w:rsidRPr="00EC250C" w:rsidRDefault="0096575B" w:rsidP="00D131FA">
      <w:pPr>
        <w:pStyle w:val="ODESANIE"/>
        <w:jc w:val="both"/>
      </w:pPr>
      <w:r w:rsidRPr="00EC250C">
        <w:lastRenderedPageBreak/>
        <w:t>O problemach wolności słowa – patrz art. 54 Konstytucji</w:t>
      </w:r>
    </w:p>
    <w:p w14:paraId="56E31F1A" w14:textId="77777777" w:rsidR="00C91F6E" w:rsidRPr="00EC250C" w:rsidRDefault="00D16039" w:rsidP="00EC79EB">
      <w:pPr>
        <w:pStyle w:val="Nagwek4"/>
      </w:pPr>
      <w:bookmarkStart w:id="193" w:name="_Toc6257711"/>
      <w:bookmarkStart w:id="194" w:name="_Toc11247605"/>
      <w:r w:rsidRPr="00EC250C">
        <w:t>Arbitralność przepisów umożliwiających k</w:t>
      </w:r>
      <w:r w:rsidR="00171219" w:rsidRPr="00EC250C">
        <w:t>aranie obywateli na lotniskach</w:t>
      </w:r>
      <w:bookmarkEnd w:id="193"/>
      <w:bookmarkEnd w:id="194"/>
    </w:p>
    <w:p w14:paraId="622D13F7" w14:textId="77777777" w:rsidR="00B473F5" w:rsidRPr="00EC250C" w:rsidRDefault="0096575B" w:rsidP="00D131FA">
      <w:pPr>
        <w:pStyle w:val="Problemczowieka"/>
        <w:jc w:val="both"/>
        <w:rPr>
          <w:rStyle w:val="Pogrubienie"/>
          <w:b/>
          <w:bCs w:val="0"/>
        </w:rPr>
      </w:pPr>
      <w:r w:rsidRPr="00EC250C">
        <w:rPr>
          <w:rStyle w:val="Pogrubienie"/>
          <w:b/>
          <w:bCs w:val="0"/>
        </w:rPr>
        <w:t xml:space="preserve">Przepisy Prawa lotniczego pozostawiły </w:t>
      </w:r>
      <w:r w:rsidR="00045B71" w:rsidRPr="00EC250C">
        <w:rPr>
          <w:rStyle w:val="Pogrubienie"/>
          <w:b/>
          <w:bCs w:val="0"/>
        </w:rPr>
        <w:t xml:space="preserve">ministrowi </w:t>
      </w:r>
      <w:r w:rsidR="008157D8" w:rsidRPr="00EC250C">
        <w:rPr>
          <w:rStyle w:val="Pogrubienie"/>
          <w:b/>
          <w:bCs w:val="0"/>
        </w:rPr>
        <w:t xml:space="preserve">transportu </w:t>
      </w:r>
      <w:r w:rsidRPr="00EC250C">
        <w:rPr>
          <w:rStyle w:val="Pogrubienie"/>
          <w:b/>
          <w:bCs w:val="0"/>
        </w:rPr>
        <w:t>pełną swobodę</w:t>
      </w:r>
      <w:r w:rsidR="00992FD0" w:rsidRPr="00EC250C">
        <w:rPr>
          <w:rStyle w:val="Pogrubienie"/>
          <w:b/>
          <w:bCs w:val="0"/>
        </w:rPr>
        <w:t xml:space="preserve"> w </w:t>
      </w:r>
      <w:r w:rsidRPr="00EC250C">
        <w:rPr>
          <w:rStyle w:val="Pogrubienie"/>
          <w:b/>
          <w:bCs w:val="0"/>
        </w:rPr>
        <w:t>określaniu nakazów</w:t>
      </w:r>
      <w:r w:rsidR="00992FD0" w:rsidRPr="00EC250C">
        <w:rPr>
          <w:rStyle w:val="Pogrubienie"/>
          <w:b/>
          <w:bCs w:val="0"/>
        </w:rPr>
        <w:t xml:space="preserve"> i </w:t>
      </w:r>
      <w:r w:rsidRPr="00EC250C">
        <w:rPr>
          <w:rStyle w:val="Pogrubienie"/>
          <w:b/>
          <w:bCs w:val="0"/>
        </w:rPr>
        <w:t>zakazów</w:t>
      </w:r>
      <w:r w:rsidR="00992FD0" w:rsidRPr="00EC250C">
        <w:rPr>
          <w:rStyle w:val="Pogrubienie"/>
          <w:b/>
          <w:bCs w:val="0"/>
        </w:rPr>
        <w:t xml:space="preserve"> w </w:t>
      </w:r>
      <w:r w:rsidRPr="00EC250C">
        <w:rPr>
          <w:rStyle w:val="Pogrubienie"/>
          <w:b/>
          <w:bCs w:val="0"/>
        </w:rPr>
        <w:t>sprawie porządku na lotniskach</w:t>
      </w:r>
      <w:r w:rsidR="00B473F5" w:rsidRPr="00EC250C">
        <w:rPr>
          <w:rStyle w:val="Pogrubienie"/>
          <w:b/>
          <w:bCs w:val="0"/>
        </w:rPr>
        <w:t>.</w:t>
      </w:r>
    </w:p>
    <w:p w14:paraId="7663DDAB" w14:textId="77777777" w:rsidR="0096575B" w:rsidRPr="00EC250C" w:rsidRDefault="0096575B" w:rsidP="00D131FA">
      <w:pPr>
        <w:pStyle w:val="Styl1"/>
      </w:pPr>
      <w:r w:rsidRPr="00EC250C">
        <w:t xml:space="preserve">RPO zwrócił </w:t>
      </w:r>
      <w:r w:rsidR="008157D8" w:rsidRPr="00EC250C">
        <w:t xml:space="preserve">uwagę na problem po </w:t>
      </w:r>
      <w:r w:rsidRPr="00EC250C">
        <w:t>skar</w:t>
      </w:r>
      <w:r w:rsidR="008157D8" w:rsidRPr="00EC250C">
        <w:t>dze</w:t>
      </w:r>
      <w:r w:rsidRPr="00EC250C">
        <w:t xml:space="preserve"> obywatela, który na lotnisku</w:t>
      </w:r>
      <w:r w:rsidR="00992FD0" w:rsidRPr="00EC250C">
        <w:t xml:space="preserve"> w </w:t>
      </w:r>
      <w:r w:rsidRPr="00EC250C">
        <w:t xml:space="preserve">Warszawie </w:t>
      </w:r>
      <w:r w:rsidR="00E9020A" w:rsidRPr="00EC250C">
        <w:t>s</w:t>
      </w:r>
      <w:r w:rsidRPr="00EC250C">
        <w:t>fotograf</w:t>
      </w:r>
      <w:r w:rsidR="00E9020A" w:rsidRPr="00EC250C">
        <w:t>ował</w:t>
      </w:r>
      <w:r w:rsidRPr="00EC250C">
        <w:t xml:space="preserve"> patrol Straży Granicznej</w:t>
      </w:r>
      <w:r w:rsidR="00992FD0" w:rsidRPr="00EC250C">
        <w:t xml:space="preserve"> z </w:t>
      </w:r>
      <w:r w:rsidRPr="00EC250C">
        <w:t>psem. Funkcjonariusze zażądali od niego usunięcia zdjęcia</w:t>
      </w:r>
      <w:r w:rsidR="00E9020A" w:rsidRPr="00EC250C">
        <w:t xml:space="preserve">, bo </w:t>
      </w:r>
      <w:r w:rsidRPr="00EC250C">
        <w:t xml:space="preserve">fotografowanie </w:t>
      </w:r>
      <w:r w:rsidR="00992FD0" w:rsidRPr="00EC250C">
        <w:t>w </w:t>
      </w:r>
      <w:r w:rsidRPr="00EC250C">
        <w:t>pobliżu strefy kontroli bezpieczeństwa jest wykroczeniem.</w:t>
      </w:r>
    </w:p>
    <w:p w14:paraId="703BDB62" w14:textId="77777777" w:rsidR="00C91F6E" w:rsidRPr="00EC250C" w:rsidRDefault="00E9020A" w:rsidP="00D131FA">
      <w:pPr>
        <w:pStyle w:val="Styl1"/>
      </w:pPr>
      <w:r w:rsidRPr="00EC250C">
        <w:t>Katalog tych wykroczeń zawiera rozporządzenie Ministra Transportu, Budownictwa</w:t>
      </w:r>
      <w:r w:rsidR="00992FD0" w:rsidRPr="00EC250C">
        <w:t xml:space="preserve"> i </w:t>
      </w:r>
      <w:r w:rsidRPr="00EC250C">
        <w:t>Gospodarki Morskiej</w:t>
      </w:r>
      <w:r w:rsidR="00992FD0" w:rsidRPr="00EC250C">
        <w:t xml:space="preserve"> z </w:t>
      </w:r>
      <w:r w:rsidRPr="00EC250C">
        <w:t>4 września 2012</w:t>
      </w:r>
      <w:r w:rsidR="00BE554D" w:rsidRPr="00EC250C">
        <w:t> r.</w:t>
      </w:r>
      <w:r w:rsidRPr="00EC250C">
        <w:t xml:space="preserve"> wydane na podstawie art.</w:t>
      </w:r>
      <w:r w:rsidR="0096575B" w:rsidRPr="00EC250C">
        <w:t xml:space="preserve"> 83a ust. 1 Prawa lotniczego</w:t>
      </w:r>
      <w:r w:rsidR="0096575B" w:rsidRPr="00EC250C">
        <w:rPr>
          <w:rStyle w:val="Odwoanieprzypisudolnego"/>
          <w:bCs/>
          <w:iCs/>
        </w:rPr>
        <w:footnoteReference w:id="166"/>
      </w:r>
      <w:r w:rsidRPr="00EC250C">
        <w:rPr>
          <w:bCs/>
          <w:iCs/>
        </w:rPr>
        <w:t xml:space="preserve">. Jest tam też zakaz fotografowania. Jednak </w:t>
      </w:r>
      <w:r w:rsidRPr="00EC250C">
        <w:t>a</w:t>
      </w:r>
      <w:r w:rsidR="0096575B" w:rsidRPr="00EC250C">
        <w:t>rbitralność</w:t>
      </w:r>
      <w:r w:rsidR="00992FD0" w:rsidRPr="00EC250C">
        <w:t xml:space="preserve"> w </w:t>
      </w:r>
      <w:r w:rsidR="0096575B" w:rsidRPr="00EC250C">
        <w:t>formułowaniu przez ministra przepisów porządkowych prowadzi</w:t>
      </w:r>
      <w:r w:rsidR="00BE554D" w:rsidRPr="00EC250C">
        <w:t>,</w:t>
      </w:r>
      <w:r w:rsidR="0096575B" w:rsidRPr="00EC250C">
        <w:t xml:space="preserve"> zdaniem RPO</w:t>
      </w:r>
      <w:r w:rsidR="00BE554D" w:rsidRPr="00EC250C">
        <w:t>,</w:t>
      </w:r>
      <w:r w:rsidR="0096575B" w:rsidRPr="00EC250C">
        <w:t xml:space="preserve"> do</w:t>
      </w:r>
      <w:r w:rsidR="00045B71" w:rsidRPr="00EC250C">
        <w:t xml:space="preserve"> stanu</w:t>
      </w:r>
      <w:r w:rsidR="0096575B" w:rsidRPr="00EC250C">
        <w:t xml:space="preserve"> niezgodnego</w:t>
      </w:r>
      <w:r w:rsidR="00992FD0" w:rsidRPr="00EC250C">
        <w:t xml:space="preserve"> z </w:t>
      </w:r>
      <w:r w:rsidR="0096575B" w:rsidRPr="00EC250C">
        <w:t>Konstytucją. Brak określenia choćby podstawowych znamion czynu zabronionego</w:t>
      </w:r>
      <w:r w:rsidR="00992FD0" w:rsidRPr="00EC250C">
        <w:t xml:space="preserve"> w </w:t>
      </w:r>
      <w:r w:rsidR="0096575B" w:rsidRPr="00EC250C">
        <w:t>Prawie lotniczym</w:t>
      </w:r>
      <w:r w:rsidR="00992FD0" w:rsidRPr="00EC250C">
        <w:t xml:space="preserve"> i </w:t>
      </w:r>
      <w:r w:rsidR="0096575B" w:rsidRPr="00EC250C">
        <w:t>pozostawienie tego do uregulowania</w:t>
      </w:r>
      <w:r w:rsidR="00026572" w:rsidRPr="00EC250C">
        <w:t xml:space="preserve"> – </w:t>
      </w:r>
      <w:r w:rsidR="00992FD0" w:rsidRPr="00EC250C">
        <w:t>w </w:t>
      </w:r>
      <w:r w:rsidR="0096575B" w:rsidRPr="00EC250C">
        <w:t>sposób całkowicie dowolny</w:t>
      </w:r>
      <w:r w:rsidR="00026572" w:rsidRPr="00EC250C">
        <w:t xml:space="preserve"> – </w:t>
      </w:r>
      <w:r w:rsidR="00992FD0" w:rsidRPr="00EC250C">
        <w:t>w </w:t>
      </w:r>
      <w:r w:rsidR="0096575B" w:rsidRPr="00EC250C">
        <w:t>rozporządzeniu ministra, prowadzi do naruszenia art. 42 ust. 1 Konstytucji.</w:t>
      </w:r>
    </w:p>
    <w:p w14:paraId="435C3EF4" w14:textId="77777777" w:rsidR="0096575B" w:rsidRPr="00EC250C" w:rsidRDefault="0096575B" w:rsidP="00EC250C">
      <w:pPr>
        <w:pStyle w:val="Nagwek5"/>
      </w:pPr>
      <w:r w:rsidRPr="00EC250C">
        <w:t>Przepisy</w:t>
      </w:r>
      <w:r w:rsidR="00992FD0" w:rsidRPr="00EC250C">
        <w:t xml:space="preserve"> o </w:t>
      </w:r>
      <w:r w:rsidRPr="00EC250C">
        <w:t>kolejach</w:t>
      </w:r>
      <w:r w:rsidR="00026572" w:rsidRPr="00EC250C">
        <w:t xml:space="preserve"> – </w:t>
      </w:r>
      <w:r w:rsidRPr="00EC250C">
        <w:t xml:space="preserve">też </w:t>
      </w:r>
      <w:r w:rsidR="00D030D2" w:rsidRPr="00EC250C">
        <w:t>wymagają zmiany</w:t>
      </w:r>
    </w:p>
    <w:p w14:paraId="44E7F653" w14:textId="77777777" w:rsidR="004A4CFA" w:rsidRPr="00EC250C" w:rsidRDefault="0096575B" w:rsidP="00D131FA">
      <w:pPr>
        <w:pStyle w:val="Styl1"/>
      </w:pPr>
      <w:r w:rsidRPr="00EC250C">
        <w:t>Problem identyczny</w:t>
      </w:r>
      <w:r w:rsidR="00992FD0" w:rsidRPr="00EC250C">
        <w:t xml:space="preserve"> z </w:t>
      </w:r>
      <w:r w:rsidRPr="00EC250C">
        <w:t xml:space="preserve">opisanym </w:t>
      </w:r>
      <w:r w:rsidR="00045B71" w:rsidRPr="00EC250C">
        <w:t xml:space="preserve">wyżej </w:t>
      </w:r>
      <w:r w:rsidRPr="00EC250C">
        <w:t>RPO dostrzegł również</w:t>
      </w:r>
      <w:r w:rsidR="00992FD0" w:rsidRPr="00EC250C">
        <w:t xml:space="preserve"> w </w:t>
      </w:r>
      <w:r w:rsidRPr="00EC250C">
        <w:t>art. 65 ust. 3 ustawy</w:t>
      </w:r>
      <w:r w:rsidR="00992FD0" w:rsidRPr="00EC250C">
        <w:t xml:space="preserve"> o </w:t>
      </w:r>
      <w:r w:rsidRPr="00EC250C">
        <w:t>transporcie kolejowym</w:t>
      </w:r>
      <w:r w:rsidRPr="00EC250C">
        <w:rPr>
          <w:rStyle w:val="Odwoanieprzypisudolnego"/>
          <w:bCs/>
          <w:iCs/>
        </w:rPr>
        <w:footnoteReference w:id="167"/>
      </w:r>
      <w:r w:rsidRPr="00EC250C">
        <w:t>. Przewiduje on karę grzywny za wykroczenie przeciw nakazom lub zakazom zawartym</w:t>
      </w:r>
      <w:r w:rsidR="00992FD0" w:rsidRPr="00EC250C">
        <w:t xml:space="preserve"> w </w:t>
      </w:r>
      <w:r w:rsidRPr="00EC250C">
        <w:t>przepisach porządkowych, obowiązujących na obszarze kolejowym oraz</w:t>
      </w:r>
      <w:r w:rsidR="00992FD0" w:rsidRPr="00EC250C">
        <w:t xml:space="preserve"> w </w:t>
      </w:r>
      <w:r w:rsidRPr="00EC250C">
        <w:t>pociągach</w:t>
      </w:r>
      <w:r w:rsidR="00026572" w:rsidRPr="00EC250C">
        <w:t xml:space="preserve"> – </w:t>
      </w:r>
      <w:r w:rsidRPr="00EC250C">
        <w:t>określanych</w:t>
      </w:r>
      <w:r w:rsidR="00992FD0" w:rsidRPr="00EC250C">
        <w:t xml:space="preserve"> w </w:t>
      </w:r>
      <w:r w:rsidRPr="00EC250C">
        <w:t>rozporządzeniu ministra. Także</w:t>
      </w:r>
      <w:r w:rsidR="00992FD0" w:rsidRPr="00EC250C">
        <w:t xml:space="preserve"> w </w:t>
      </w:r>
      <w:r w:rsidRPr="00EC250C">
        <w:t>tym przypadku uzasadniona jest interwencja ustawodawcza</w:t>
      </w:r>
      <w:r w:rsidR="004A4CFA" w:rsidRPr="00EC250C">
        <w:rPr>
          <w:bCs/>
          <w:iCs/>
        </w:rPr>
        <w:t>.</w:t>
      </w:r>
    </w:p>
    <w:p w14:paraId="11E1A645" w14:textId="77777777" w:rsidR="00C91F6E" w:rsidRPr="00EC250C" w:rsidRDefault="002350AB" w:rsidP="00D131FA">
      <w:pPr>
        <w:pStyle w:val="Styl1"/>
        <w:rPr>
          <w:bCs/>
          <w:iCs/>
        </w:rPr>
      </w:pPr>
      <w:r w:rsidRPr="00EC250C">
        <w:rPr>
          <w:bCs/>
          <w:iCs/>
        </w:rPr>
        <w:t>Minist</w:t>
      </w:r>
      <w:r w:rsidR="00E9020A" w:rsidRPr="00EC250C">
        <w:rPr>
          <w:bCs/>
          <w:iCs/>
        </w:rPr>
        <w:t>e</w:t>
      </w:r>
      <w:r w:rsidRPr="00EC250C">
        <w:rPr>
          <w:bCs/>
          <w:iCs/>
        </w:rPr>
        <w:t>r</w:t>
      </w:r>
      <w:r w:rsidR="00E9020A" w:rsidRPr="00EC250C">
        <w:rPr>
          <w:bCs/>
          <w:iCs/>
        </w:rPr>
        <w:t xml:space="preserve"> uważa</w:t>
      </w:r>
      <w:r w:rsidR="008157D8" w:rsidRPr="00EC250C">
        <w:rPr>
          <w:bCs/>
          <w:iCs/>
        </w:rPr>
        <w:t>, że postulaty</w:t>
      </w:r>
      <w:r w:rsidR="00E9020A" w:rsidRPr="00EC250C">
        <w:rPr>
          <w:bCs/>
          <w:iCs/>
        </w:rPr>
        <w:t xml:space="preserve"> </w:t>
      </w:r>
      <w:r w:rsidR="008157D8" w:rsidRPr="00EC250C">
        <w:rPr>
          <w:bCs/>
          <w:iCs/>
        </w:rPr>
        <w:t xml:space="preserve">są </w:t>
      </w:r>
      <w:r w:rsidR="00AB2ABC" w:rsidRPr="00EC250C">
        <w:rPr>
          <w:bCs/>
          <w:iCs/>
        </w:rPr>
        <w:t>niezasadn</w:t>
      </w:r>
      <w:r w:rsidR="00E9020A" w:rsidRPr="00EC250C">
        <w:rPr>
          <w:bCs/>
          <w:iCs/>
        </w:rPr>
        <w:t>e</w:t>
      </w:r>
      <w:r w:rsidR="00AB2ABC" w:rsidRPr="00EC250C">
        <w:rPr>
          <w:bCs/>
          <w:iCs/>
        </w:rPr>
        <w:t xml:space="preserve">. </w:t>
      </w:r>
      <w:r w:rsidR="00E9020A" w:rsidRPr="00EC250C">
        <w:rPr>
          <w:bCs/>
          <w:iCs/>
        </w:rPr>
        <w:t xml:space="preserve">Przepisy </w:t>
      </w:r>
      <w:r w:rsidR="00AB2ABC" w:rsidRPr="00EC250C">
        <w:rPr>
          <w:bCs/>
          <w:iCs/>
        </w:rPr>
        <w:t>Praw</w:t>
      </w:r>
      <w:r w:rsidR="00E9020A" w:rsidRPr="00EC250C">
        <w:rPr>
          <w:bCs/>
          <w:iCs/>
        </w:rPr>
        <w:t>a</w:t>
      </w:r>
      <w:r w:rsidR="00AB2ABC" w:rsidRPr="00EC250C">
        <w:rPr>
          <w:bCs/>
          <w:iCs/>
        </w:rPr>
        <w:t xml:space="preserve"> lotnicze</w:t>
      </w:r>
      <w:r w:rsidR="00E9020A" w:rsidRPr="00EC250C">
        <w:rPr>
          <w:bCs/>
          <w:iCs/>
        </w:rPr>
        <w:t>go</w:t>
      </w:r>
      <w:r w:rsidR="00AB2ABC" w:rsidRPr="00EC250C">
        <w:rPr>
          <w:bCs/>
          <w:iCs/>
        </w:rPr>
        <w:t xml:space="preserve"> były przedmiotem kontroli Trybunału Konstytucyjnego</w:t>
      </w:r>
      <w:r w:rsidR="00992FD0" w:rsidRPr="00EC250C">
        <w:rPr>
          <w:bCs/>
          <w:iCs/>
        </w:rPr>
        <w:t xml:space="preserve"> w </w:t>
      </w:r>
      <w:r w:rsidR="00AB2ABC" w:rsidRPr="00EC250C">
        <w:rPr>
          <w:bCs/>
          <w:iCs/>
        </w:rPr>
        <w:t>związku</w:t>
      </w:r>
      <w:r w:rsidR="00992FD0" w:rsidRPr="00EC250C">
        <w:rPr>
          <w:bCs/>
          <w:iCs/>
        </w:rPr>
        <w:t xml:space="preserve"> z </w:t>
      </w:r>
      <w:r w:rsidR="00AB2ABC" w:rsidRPr="00EC250C">
        <w:rPr>
          <w:bCs/>
          <w:iCs/>
        </w:rPr>
        <w:t>pytaniem prawnym</w:t>
      </w:r>
      <w:r w:rsidR="00E9020A" w:rsidRPr="00EC250C">
        <w:rPr>
          <w:rStyle w:val="Odwoanieprzypisudolnego"/>
          <w:bCs/>
          <w:iCs/>
        </w:rPr>
        <w:footnoteReference w:id="168"/>
      </w:r>
      <w:r w:rsidR="008157D8" w:rsidRPr="00EC250C">
        <w:rPr>
          <w:bCs/>
          <w:iCs/>
        </w:rPr>
        <w:t>. Wynika</w:t>
      </w:r>
      <w:r w:rsidR="00992FD0" w:rsidRPr="00EC250C">
        <w:rPr>
          <w:bCs/>
          <w:iCs/>
        </w:rPr>
        <w:t xml:space="preserve"> z </w:t>
      </w:r>
      <w:r w:rsidR="008157D8" w:rsidRPr="00EC250C">
        <w:rPr>
          <w:bCs/>
          <w:iCs/>
        </w:rPr>
        <w:t xml:space="preserve">niej, że </w:t>
      </w:r>
      <w:r w:rsidR="00E9020A" w:rsidRPr="00EC250C">
        <w:rPr>
          <w:bCs/>
          <w:iCs/>
        </w:rPr>
        <w:t xml:space="preserve"> </w:t>
      </w:r>
      <w:r w:rsidR="00AB2ABC" w:rsidRPr="00EC250C">
        <w:rPr>
          <w:bCs/>
          <w:iCs/>
        </w:rPr>
        <w:t>przepisy karne</w:t>
      </w:r>
      <w:r w:rsidR="00992FD0" w:rsidRPr="00EC250C">
        <w:rPr>
          <w:bCs/>
          <w:iCs/>
        </w:rPr>
        <w:t xml:space="preserve"> o </w:t>
      </w:r>
      <w:r w:rsidR="00AB2ABC" w:rsidRPr="00EC250C">
        <w:rPr>
          <w:bCs/>
          <w:iCs/>
        </w:rPr>
        <w:t>charakterze blankietów częściowych mogą odsyłać również do aktów</w:t>
      </w:r>
      <w:r w:rsidR="00992FD0" w:rsidRPr="00EC250C">
        <w:rPr>
          <w:bCs/>
          <w:iCs/>
        </w:rPr>
        <w:t xml:space="preserve"> o </w:t>
      </w:r>
      <w:r w:rsidR="00AB2ABC" w:rsidRPr="00EC250C">
        <w:rPr>
          <w:bCs/>
          <w:iCs/>
        </w:rPr>
        <w:t>charakterze prawa wewnętrznego czy aktów stosowania prawa,</w:t>
      </w:r>
      <w:r w:rsidR="00992FD0" w:rsidRPr="00EC250C">
        <w:rPr>
          <w:bCs/>
          <w:iCs/>
        </w:rPr>
        <w:t xml:space="preserve"> o </w:t>
      </w:r>
      <w:r w:rsidR="00AB2ABC" w:rsidRPr="00EC250C">
        <w:rPr>
          <w:bCs/>
          <w:iCs/>
        </w:rPr>
        <w:t>ile takie odesłanie spełnia ogólny wymóg wynikający</w:t>
      </w:r>
      <w:r w:rsidR="00992FD0" w:rsidRPr="00EC250C">
        <w:rPr>
          <w:bCs/>
          <w:iCs/>
        </w:rPr>
        <w:t xml:space="preserve"> z </w:t>
      </w:r>
      <w:r w:rsidR="00AB2ABC" w:rsidRPr="00EC250C">
        <w:rPr>
          <w:bCs/>
          <w:iCs/>
        </w:rPr>
        <w:t>ustalonej linii orzeczniczej Trybunału Konstytucyjnego.</w:t>
      </w:r>
    </w:p>
    <w:p w14:paraId="18B46FEC" w14:textId="77777777" w:rsidR="00442E00" w:rsidRPr="00EC250C" w:rsidRDefault="00464D15" w:rsidP="00D131FA">
      <w:pPr>
        <w:pStyle w:val="Styl1"/>
      </w:pPr>
      <w:r w:rsidRPr="00EC250C">
        <w:rPr>
          <w:bCs/>
          <w:iCs/>
        </w:rPr>
        <w:t>Minister</w:t>
      </w:r>
      <w:r w:rsidR="00AB2ABC" w:rsidRPr="00EC250C">
        <w:rPr>
          <w:bCs/>
          <w:iCs/>
        </w:rPr>
        <w:t xml:space="preserve"> podzielił stanowisko </w:t>
      </w:r>
      <w:r w:rsidR="007447EE" w:rsidRPr="00EC250C">
        <w:rPr>
          <w:bCs/>
          <w:iCs/>
        </w:rPr>
        <w:t>RPO</w:t>
      </w:r>
      <w:r w:rsidR="00992FD0" w:rsidRPr="00EC250C">
        <w:rPr>
          <w:bCs/>
          <w:iCs/>
        </w:rPr>
        <w:t xml:space="preserve"> o </w:t>
      </w:r>
      <w:r w:rsidR="00AB2ABC" w:rsidRPr="00EC250C">
        <w:rPr>
          <w:bCs/>
          <w:iCs/>
        </w:rPr>
        <w:t>nieścisłości między ust 1</w:t>
      </w:r>
      <w:r w:rsidR="00992FD0" w:rsidRPr="00EC250C">
        <w:rPr>
          <w:bCs/>
          <w:iCs/>
        </w:rPr>
        <w:t xml:space="preserve"> i </w:t>
      </w:r>
      <w:r w:rsidR="00AB2ABC" w:rsidRPr="00EC250C">
        <w:rPr>
          <w:bCs/>
          <w:iCs/>
        </w:rPr>
        <w:t>ust. 2</w:t>
      </w:r>
      <w:r w:rsidR="00992FD0" w:rsidRPr="00EC250C">
        <w:rPr>
          <w:bCs/>
          <w:iCs/>
        </w:rPr>
        <w:t xml:space="preserve"> w </w:t>
      </w:r>
      <w:r w:rsidR="00AB2ABC" w:rsidRPr="00EC250C">
        <w:rPr>
          <w:bCs/>
          <w:iCs/>
        </w:rPr>
        <w:t xml:space="preserve">art. 83a ustawy </w:t>
      </w:r>
      <w:r w:rsidR="00E9020A" w:rsidRPr="00EC250C">
        <w:rPr>
          <w:bCs/>
          <w:iCs/>
        </w:rPr>
        <w:t>(</w:t>
      </w:r>
      <w:r w:rsidR="00AB2ABC" w:rsidRPr="00EC250C">
        <w:rPr>
          <w:bCs/>
          <w:iCs/>
        </w:rPr>
        <w:t>w zakresie,</w:t>
      </w:r>
      <w:r w:rsidR="00992FD0" w:rsidRPr="00EC250C">
        <w:rPr>
          <w:bCs/>
          <w:iCs/>
        </w:rPr>
        <w:t xml:space="preserve"> w </w:t>
      </w:r>
      <w:r w:rsidR="00AB2ABC" w:rsidRPr="00EC250C">
        <w:rPr>
          <w:bCs/>
          <w:iCs/>
        </w:rPr>
        <w:t>jakim art. 83a ust. 1 wskazuje na przepisy porządkowe ustalone przez zarządzającego lotniskiem, wydane na podstawie art. 83 ust. 2 ustawy</w:t>
      </w:r>
      <w:r w:rsidR="00E9020A" w:rsidRPr="00EC250C">
        <w:rPr>
          <w:bCs/>
          <w:iCs/>
        </w:rPr>
        <w:t>)</w:t>
      </w:r>
      <w:r w:rsidR="00AB2ABC" w:rsidRPr="00EC250C">
        <w:rPr>
          <w:bCs/>
          <w:iCs/>
        </w:rPr>
        <w:t xml:space="preserve">. </w:t>
      </w:r>
      <w:r w:rsidR="00C805A3" w:rsidRPr="00EC250C">
        <w:rPr>
          <w:bCs/>
          <w:iCs/>
        </w:rPr>
        <w:t>N</w:t>
      </w:r>
      <w:r w:rsidR="00AB2ABC" w:rsidRPr="00EC250C">
        <w:rPr>
          <w:bCs/>
          <w:iCs/>
        </w:rPr>
        <w:t>iespójność zostanie wyeliminowana</w:t>
      </w:r>
      <w:r w:rsidR="00992FD0" w:rsidRPr="00EC250C">
        <w:rPr>
          <w:bCs/>
          <w:iCs/>
        </w:rPr>
        <w:t xml:space="preserve"> w </w:t>
      </w:r>
      <w:r w:rsidR="00AB2ABC" w:rsidRPr="00EC250C">
        <w:rPr>
          <w:bCs/>
          <w:iCs/>
        </w:rPr>
        <w:t>jednej</w:t>
      </w:r>
      <w:r w:rsidR="00992FD0" w:rsidRPr="00EC250C">
        <w:rPr>
          <w:bCs/>
          <w:iCs/>
        </w:rPr>
        <w:t xml:space="preserve"> z </w:t>
      </w:r>
      <w:r w:rsidR="00AB2ABC" w:rsidRPr="00EC250C">
        <w:rPr>
          <w:bCs/>
          <w:iCs/>
        </w:rPr>
        <w:t>kolejnych nowelizacji ustawy</w:t>
      </w:r>
      <w:r w:rsidR="0011582D" w:rsidRPr="00EC250C">
        <w:rPr>
          <w:rStyle w:val="Odwoanieprzypisudolnego"/>
          <w:bCs/>
          <w:iCs/>
        </w:rPr>
        <w:footnoteReference w:id="169"/>
      </w:r>
      <w:r w:rsidR="00AB2ABC" w:rsidRPr="00EC250C">
        <w:rPr>
          <w:bCs/>
          <w:iCs/>
        </w:rPr>
        <w:t>.</w:t>
      </w:r>
      <w:r w:rsidR="00442E00" w:rsidRPr="00EC250C">
        <w:br w:type="page"/>
      </w:r>
    </w:p>
    <w:p w14:paraId="5D3675D1" w14:textId="77777777" w:rsidR="00442E00" w:rsidRPr="00EC250C" w:rsidRDefault="00442E00" w:rsidP="00EC250C">
      <w:pPr>
        <w:pStyle w:val="Nagwek3"/>
      </w:pPr>
      <w:bookmarkStart w:id="195" w:name="_Toc6257712"/>
      <w:bookmarkStart w:id="196" w:name="_Toc11247606"/>
      <w:r w:rsidRPr="00EC250C">
        <w:lastRenderedPageBreak/>
        <w:t xml:space="preserve">Art. 42 ust. 2 </w:t>
      </w:r>
      <w:r w:rsidR="00CE4D08" w:rsidRPr="00EC250C">
        <w:t xml:space="preserve">Konstytucji </w:t>
      </w:r>
      <w:r w:rsidRPr="00EC250C">
        <w:t>– Prawo do obrony</w:t>
      </w:r>
      <w:r w:rsidR="00992FD0" w:rsidRPr="00EC250C">
        <w:t xml:space="preserve"> w </w:t>
      </w:r>
      <w:r w:rsidRPr="00EC250C">
        <w:t>sprawie karnej</w:t>
      </w:r>
      <w:bookmarkEnd w:id="195"/>
      <w:bookmarkEnd w:id="196"/>
    </w:p>
    <w:p w14:paraId="0D52BEE7" w14:textId="77777777" w:rsidR="00442E00" w:rsidRPr="00EC250C" w:rsidRDefault="00442E00" w:rsidP="00D131FA">
      <w:pPr>
        <w:pStyle w:val="konstytucja"/>
        <w:jc w:val="both"/>
      </w:pPr>
      <w:r w:rsidRPr="00EC250C">
        <w:t>Każdy, przeciw komu prowadzone jest postępowanie karne, ma prawo do obrony we wszystkich stadiach postępowania. Może on</w:t>
      </w:r>
      <w:r w:rsidR="00992FD0" w:rsidRPr="00EC250C">
        <w:t xml:space="preserve"> w </w:t>
      </w:r>
      <w:r w:rsidRPr="00EC250C">
        <w:t>szczególności wybrać obrońcę lub na zasadach określonych</w:t>
      </w:r>
      <w:r w:rsidR="00992FD0" w:rsidRPr="00EC250C">
        <w:t xml:space="preserve"> w </w:t>
      </w:r>
      <w:r w:rsidRPr="00EC250C">
        <w:t>ustawie korzystać</w:t>
      </w:r>
      <w:r w:rsidR="00992FD0" w:rsidRPr="00EC250C">
        <w:t xml:space="preserve"> z </w:t>
      </w:r>
      <w:r w:rsidRPr="00EC250C">
        <w:t>obrońcy</w:t>
      </w:r>
      <w:r w:rsidR="00992FD0" w:rsidRPr="00EC250C">
        <w:t xml:space="preserve"> z </w:t>
      </w:r>
      <w:r w:rsidRPr="00EC250C">
        <w:t>urzędu.</w:t>
      </w:r>
    </w:p>
    <w:p w14:paraId="3A724D94" w14:textId="77777777" w:rsidR="00C91F6E" w:rsidRPr="00EC250C" w:rsidRDefault="00CE4D08" w:rsidP="00D131FA">
      <w:pPr>
        <w:pStyle w:val="ComwiKonstytucja"/>
      </w:pPr>
      <w:r w:rsidRPr="00EC250C">
        <w:t>Prawo do obrony oznacza możliwość podejmowania wszelkich działań zgodnych</w:t>
      </w:r>
      <w:r w:rsidR="00992FD0" w:rsidRPr="00EC250C">
        <w:t xml:space="preserve"> z </w:t>
      </w:r>
      <w:r w:rsidRPr="00EC250C">
        <w:t>prawem, które mają potwierdzić wersję zdarzeń uczestnika postępowania (jego niewinność lub określony charakter winy). W żadnym wypadku nie można wymagać współdziałania</w:t>
      </w:r>
      <w:r w:rsidR="00992FD0" w:rsidRPr="00EC250C">
        <w:t xml:space="preserve"> w </w:t>
      </w:r>
      <w:r w:rsidRPr="00EC250C">
        <w:t>udowodnieniu stawianych zarzutów. Prawo to przysługuje na wszystkich stadiach postępowania</w:t>
      </w:r>
      <w:r w:rsidR="00992FD0" w:rsidRPr="00EC250C">
        <w:t xml:space="preserve"> i </w:t>
      </w:r>
      <w:r w:rsidRPr="00EC250C">
        <w:t>we wszystkich instancjach. Za każdym razem występuje</w:t>
      </w:r>
      <w:r w:rsidR="00992FD0" w:rsidRPr="00EC250C">
        <w:t xml:space="preserve"> w </w:t>
      </w:r>
      <w:r w:rsidRPr="00EC250C">
        <w:t>pełnym zakresie, niezależnie od zapadłych orzeczeń.</w:t>
      </w:r>
    </w:p>
    <w:p w14:paraId="4E17004E" w14:textId="77777777" w:rsidR="00C91F6E" w:rsidRPr="00EC250C" w:rsidRDefault="00CE4D08" w:rsidP="00D131FA">
      <w:pPr>
        <w:pStyle w:val="ComwiKonstytucja"/>
      </w:pPr>
      <w:r w:rsidRPr="00EC250C">
        <w:t>Niezwykle istotne jest</w:t>
      </w:r>
      <w:r w:rsidR="00992FD0" w:rsidRPr="00EC250C">
        <w:t xml:space="preserve"> w </w:t>
      </w:r>
      <w:r w:rsidRPr="00EC250C">
        <w:t>tym wypadku prawo do korzystania</w:t>
      </w:r>
      <w:r w:rsidR="00992FD0" w:rsidRPr="00EC250C">
        <w:t xml:space="preserve"> z </w:t>
      </w:r>
      <w:r w:rsidRPr="00EC250C">
        <w:t>pomocy obrońcy.</w:t>
      </w:r>
    </w:p>
    <w:p w14:paraId="63738C7F" w14:textId="77777777" w:rsidR="003344CF" w:rsidRPr="00EC250C" w:rsidRDefault="00CE4D08" w:rsidP="00D131FA">
      <w:pPr>
        <w:pStyle w:val="ComwiKonstytucja"/>
      </w:pPr>
      <w:r w:rsidRPr="00EC250C">
        <w:t>Obrońca działa</w:t>
      </w:r>
      <w:r w:rsidR="00992FD0" w:rsidRPr="00EC250C">
        <w:t xml:space="preserve"> w </w:t>
      </w:r>
      <w:r w:rsidRPr="00EC250C">
        <w:t>interesie podejrzanego, umożliwiając mu pełne</w:t>
      </w:r>
      <w:r w:rsidR="00992FD0" w:rsidRPr="00EC250C">
        <w:t xml:space="preserve"> i </w:t>
      </w:r>
      <w:r w:rsidRPr="00EC250C">
        <w:t>efektywne korzystanie</w:t>
      </w:r>
      <w:r w:rsidR="00992FD0" w:rsidRPr="00EC250C">
        <w:t xml:space="preserve"> z </w:t>
      </w:r>
      <w:r w:rsidRPr="00EC250C">
        <w:t>przysługujących praw.</w:t>
      </w:r>
    </w:p>
    <w:p w14:paraId="62E1CE02" w14:textId="77777777" w:rsidR="00EE09AA" w:rsidRPr="00EC250C" w:rsidRDefault="00EE09AA" w:rsidP="00D131FA">
      <w:pPr>
        <w:pStyle w:val="ComwiKonstytucja"/>
      </w:pPr>
    </w:p>
    <w:p w14:paraId="0BA915D2" w14:textId="77777777" w:rsidR="003344CF" w:rsidRPr="00EC250C" w:rsidRDefault="003344CF" w:rsidP="00D131FA">
      <w:pPr>
        <w:spacing w:after="200" w:line="24" w:lineRule="auto"/>
        <w:jc w:val="both"/>
        <w:rPr>
          <w:i/>
          <w:spacing w:val="5"/>
          <w:sz w:val="22"/>
        </w:rPr>
      </w:pPr>
      <w:r w:rsidRPr="00EC250C">
        <w:rPr>
          <w:sz w:val="24"/>
        </w:rPr>
        <w:br w:type="page"/>
      </w:r>
    </w:p>
    <w:p w14:paraId="70B6CCC3" w14:textId="77777777" w:rsidR="0060274A" w:rsidRPr="00EC250C" w:rsidRDefault="00171219" w:rsidP="00EC79EB">
      <w:pPr>
        <w:pStyle w:val="Nagwek4"/>
        <w:rPr>
          <w:spacing w:val="0"/>
        </w:rPr>
      </w:pPr>
      <w:bookmarkStart w:id="197" w:name="_Toc6257713"/>
      <w:bookmarkStart w:id="198" w:name="_Toc11247607"/>
      <w:r w:rsidRPr="00EC250C">
        <w:lastRenderedPageBreak/>
        <w:t>Problemy</w:t>
      </w:r>
      <w:r w:rsidR="00992FD0" w:rsidRPr="00EC250C">
        <w:t xml:space="preserve"> z </w:t>
      </w:r>
      <w:r w:rsidRPr="00EC250C">
        <w:t>zapewnieniem europejskich standardów</w:t>
      </w:r>
      <w:r w:rsidR="00992FD0" w:rsidRPr="00EC250C">
        <w:t xml:space="preserve"> </w:t>
      </w:r>
      <w:r w:rsidRPr="00EC250C">
        <w:t>do obrony</w:t>
      </w:r>
      <w:bookmarkEnd w:id="197"/>
      <w:bookmarkEnd w:id="198"/>
    </w:p>
    <w:p w14:paraId="2FDA4CE0" w14:textId="77777777" w:rsidR="00B473F5" w:rsidRPr="00EC250C" w:rsidRDefault="0060274A" w:rsidP="00D131FA">
      <w:pPr>
        <w:pStyle w:val="Problemczowieka"/>
        <w:jc w:val="both"/>
        <w:rPr>
          <w:rStyle w:val="Pogrubienie"/>
          <w:b/>
          <w:bCs w:val="0"/>
        </w:rPr>
      </w:pPr>
      <w:r w:rsidRPr="00EC250C">
        <w:rPr>
          <w:rStyle w:val="Pogrubienie"/>
          <w:b/>
          <w:bCs w:val="0"/>
        </w:rPr>
        <w:t>Prawo do efektywnego</w:t>
      </w:r>
      <w:r w:rsidR="00992FD0" w:rsidRPr="00EC250C">
        <w:rPr>
          <w:rStyle w:val="Pogrubienie"/>
          <w:b/>
          <w:bCs w:val="0"/>
        </w:rPr>
        <w:t xml:space="preserve"> i </w:t>
      </w:r>
      <w:r w:rsidRPr="00EC250C">
        <w:rPr>
          <w:rStyle w:val="Pogrubienie"/>
          <w:b/>
          <w:bCs w:val="0"/>
        </w:rPr>
        <w:t>swobodnego kontaktu</w:t>
      </w:r>
      <w:r w:rsidR="00992FD0" w:rsidRPr="00EC250C">
        <w:rPr>
          <w:rStyle w:val="Pogrubienie"/>
          <w:b/>
          <w:bCs w:val="0"/>
        </w:rPr>
        <w:t xml:space="preserve"> z </w:t>
      </w:r>
      <w:r w:rsidRPr="00EC250C">
        <w:rPr>
          <w:rStyle w:val="Pogrubienie"/>
          <w:b/>
          <w:bCs w:val="0"/>
        </w:rPr>
        <w:t>adwokatem</w:t>
      </w:r>
      <w:r w:rsidR="00026572" w:rsidRPr="00EC250C">
        <w:rPr>
          <w:rStyle w:val="Pogrubienie"/>
          <w:b/>
          <w:bCs w:val="0"/>
        </w:rPr>
        <w:t xml:space="preserve"> – </w:t>
      </w:r>
      <w:r w:rsidRPr="00EC250C">
        <w:rPr>
          <w:rStyle w:val="Pogrubienie"/>
          <w:b/>
          <w:bCs w:val="0"/>
        </w:rPr>
        <w:t>na jak najwcześniejszym etapie postępowania gwarantuje</w:t>
      </w:r>
      <w:r w:rsidR="00992FD0" w:rsidRPr="00EC250C">
        <w:rPr>
          <w:rStyle w:val="Pogrubienie"/>
          <w:b/>
          <w:bCs w:val="0"/>
        </w:rPr>
        <w:t xml:space="preserve"> w </w:t>
      </w:r>
      <w:r w:rsidRPr="00EC250C">
        <w:rPr>
          <w:rStyle w:val="Pogrubienie"/>
          <w:b/>
          <w:bCs w:val="0"/>
        </w:rPr>
        <w:t>Unii Europejskiej dyrektywa Parlamentu Europejskiego</w:t>
      </w:r>
      <w:r w:rsidR="00992FD0" w:rsidRPr="00EC250C">
        <w:rPr>
          <w:rStyle w:val="Pogrubienie"/>
          <w:b/>
          <w:bCs w:val="0"/>
        </w:rPr>
        <w:t xml:space="preserve"> i </w:t>
      </w:r>
      <w:r w:rsidRPr="00EC250C">
        <w:rPr>
          <w:rStyle w:val="Pogrubienie"/>
          <w:b/>
          <w:bCs w:val="0"/>
        </w:rPr>
        <w:t>Rady 2013/48/UE. Powinna była ona zostać wprowadzona do polskiego prawa do listopada 2016</w:t>
      </w:r>
      <w:r w:rsidR="00C91F6E" w:rsidRPr="00EC250C">
        <w:rPr>
          <w:rStyle w:val="Pogrubienie"/>
          <w:b/>
          <w:bCs w:val="0"/>
        </w:rPr>
        <w:t> r.</w:t>
      </w:r>
      <w:r w:rsidRPr="00EC250C">
        <w:rPr>
          <w:rStyle w:val="Pogrubienie"/>
          <w:b/>
          <w:bCs w:val="0"/>
        </w:rPr>
        <w:t>, co nie nastąpiło</w:t>
      </w:r>
      <w:r w:rsidR="00B473F5" w:rsidRPr="00EC250C">
        <w:rPr>
          <w:rStyle w:val="Pogrubienie"/>
          <w:b/>
          <w:bCs w:val="0"/>
        </w:rPr>
        <w:t>.</w:t>
      </w:r>
    </w:p>
    <w:p w14:paraId="64C406EA" w14:textId="77777777" w:rsidR="00341542" w:rsidRPr="00EC250C" w:rsidRDefault="0060274A" w:rsidP="00D131FA">
      <w:pPr>
        <w:pStyle w:val="Styl1"/>
      </w:pPr>
      <w:r w:rsidRPr="00EC250C">
        <w:t>Dyrektywę stosuje się do podejrzanych lub oskarżonych od chwili poinformowania ich</w:t>
      </w:r>
      <w:r w:rsidR="00992FD0" w:rsidRPr="00EC250C">
        <w:t xml:space="preserve"> o </w:t>
      </w:r>
      <w:r w:rsidRPr="00EC250C">
        <w:t>tym przez właściwe organy</w:t>
      </w:r>
      <w:r w:rsidR="004C675A" w:rsidRPr="00EC250C">
        <w:rPr>
          <w:bCs/>
          <w:iCs/>
        </w:rPr>
        <w:t xml:space="preserve"> </w:t>
      </w:r>
      <w:r w:rsidR="00341542" w:rsidRPr="00EC250C">
        <w:rPr>
          <w:bCs/>
          <w:iCs/>
        </w:rPr>
        <w:t xml:space="preserve">- </w:t>
      </w:r>
      <w:r w:rsidR="004C675A" w:rsidRPr="00EC250C">
        <w:rPr>
          <w:bCs/>
          <w:iCs/>
        </w:rPr>
        <w:t>niezależnie od tego, czy zostali pozbawieni wolności.</w:t>
      </w:r>
      <w:r w:rsidRPr="00EC250C">
        <w:t xml:space="preserve"> </w:t>
      </w:r>
    </w:p>
    <w:p w14:paraId="4F4A1B2B" w14:textId="77777777" w:rsidR="00341542" w:rsidRPr="00EC250C" w:rsidRDefault="004C675A" w:rsidP="00D131FA">
      <w:pPr>
        <w:pStyle w:val="Styl1"/>
      </w:pPr>
      <w:r w:rsidRPr="00EC250C">
        <w:t>W</w:t>
      </w:r>
      <w:r w:rsidR="0060274A" w:rsidRPr="00EC250C">
        <w:t>ynika</w:t>
      </w:r>
      <w:r w:rsidR="00992FD0" w:rsidRPr="00EC250C">
        <w:t xml:space="preserve"> z </w:t>
      </w:r>
      <w:r w:rsidRPr="00EC250C">
        <w:t>niej także</w:t>
      </w:r>
      <w:r w:rsidR="0060274A" w:rsidRPr="00EC250C">
        <w:t>, że status podejrzanego</w:t>
      </w:r>
      <w:r w:rsidR="00992FD0" w:rsidRPr="00EC250C">
        <w:t xml:space="preserve"> i </w:t>
      </w:r>
      <w:r w:rsidR="0060274A" w:rsidRPr="00EC250C">
        <w:t>związane</w:t>
      </w:r>
      <w:r w:rsidR="00992FD0" w:rsidRPr="00EC250C">
        <w:t xml:space="preserve"> z </w:t>
      </w:r>
      <w:r w:rsidR="0060274A" w:rsidRPr="00EC250C">
        <w:t>nim prawo do adwokata przysługuje również świadkowi, który</w:t>
      </w:r>
      <w:r w:rsidR="00992FD0" w:rsidRPr="00EC250C">
        <w:t xml:space="preserve"> w </w:t>
      </w:r>
      <w:r w:rsidR="0060274A" w:rsidRPr="00EC250C">
        <w:t>toku przesłuchania zaczyna dostarczać informacji obciążających siebie. Wtedy należy natychmiast przesłuchanie zawiesić, aby umożliwić osobie przesłuchiwanej skorzystanie</w:t>
      </w:r>
      <w:r w:rsidR="00992FD0" w:rsidRPr="00EC250C">
        <w:t xml:space="preserve"> z </w:t>
      </w:r>
      <w:r w:rsidR="0060274A" w:rsidRPr="00EC250C">
        <w:t>pomocy adwokata.</w:t>
      </w:r>
      <w:r w:rsidRPr="00EC250C">
        <w:t xml:space="preserve"> </w:t>
      </w:r>
    </w:p>
    <w:p w14:paraId="69012A7E" w14:textId="77777777" w:rsidR="00341542" w:rsidRPr="00EC250C" w:rsidRDefault="004C675A" w:rsidP="00D131FA">
      <w:pPr>
        <w:pStyle w:val="Styl1"/>
        <w:rPr>
          <w:bCs/>
          <w:iCs/>
        </w:rPr>
      </w:pPr>
      <w:r w:rsidRPr="00EC250C">
        <w:rPr>
          <w:bCs/>
          <w:iCs/>
        </w:rPr>
        <w:t>Ponadto, przepisy dyrektywy gwarantują poufność kontakt</w:t>
      </w:r>
      <w:r w:rsidRPr="00EC250C">
        <w:rPr>
          <w:rFonts w:hint="eastAsia"/>
          <w:bCs/>
          <w:iCs/>
        </w:rPr>
        <w:t>ó</w:t>
      </w:r>
      <w:r w:rsidRPr="00EC250C">
        <w:rPr>
          <w:bCs/>
          <w:iCs/>
        </w:rPr>
        <w:t>w podejrzanego lub oskarżonego</w:t>
      </w:r>
      <w:r w:rsidR="00992FD0" w:rsidRPr="00EC250C">
        <w:rPr>
          <w:bCs/>
          <w:iCs/>
        </w:rPr>
        <w:t xml:space="preserve"> z </w:t>
      </w:r>
      <w:r w:rsidRPr="00EC250C">
        <w:rPr>
          <w:bCs/>
          <w:iCs/>
        </w:rPr>
        <w:t>ich adwokatem lub radcą prawnym zarówno</w:t>
      </w:r>
      <w:r w:rsidR="00992FD0" w:rsidRPr="00EC250C">
        <w:rPr>
          <w:bCs/>
          <w:iCs/>
        </w:rPr>
        <w:t xml:space="preserve"> w </w:t>
      </w:r>
      <w:r w:rsidRPr="00EC250C">
        <w:rPr>
          <w:bCs/>
          <w:iCs/>
        </w:rPr>
        <w:t>czasie spotkań, prowadzenia korespondencji, rozmów telefonicznych oraz innych form porozumiewania się, dozwolonych</w:t>
      </w:r>
      <w:r w:rsidR="00992FD0" w:rsidRPr="00EC250C">
        <w:rPr>
          <w:bCs/>
          <w:iCs/>
        </w:rPr>
        <w:t xml:space="preserve"> z </w:t>
      </w:r>
      <w:r w:rsidRPr="00EC250C">
        <w:rPr>
          <w:bCs/>
          <w:iCs/>
        </w:rPr>
        <w:t xml:space="preserve">mocy prawa krajowego. </w:t>
      </w:r>
    </w:p>
    <w:p w14:paraId="6CC816DC" w14:textId="77777777" w:rsidR="004537C6" w:rsidRPr="00EC250C" w:rsidRDefault="007447EE" w:rsidP="00D131FA">
      <w:pPr>
        <w:pStyle w:val="Styl1"/>
      </w:pPr>
      <w:r w:rsidRPr="00EC250C">
        <w:t>RPO</w:t>
      </w:r>
      <w:r w:rsidR="004537C6" w:rsidRPr="00EC250C">
        <w:t xml:space="preserve"> </w:t>
      </w:r>
      <w:r w:rsidR="0096466E" w:rsidRPr="00EC250C">
        <w:t>wobec braku odpowiedzi na dotychczasowe wystąpienia do M</w:t>
      </w:r>
      <w:r w:rsidR="00341542" w:rsidRPr="00EC250C">
        <w:t xml:space="preserve">inistra </w:t>
      </w:r>
      <w:r w:rsidR="0096466E" w:rsidRPr="00EC250C">
        <w:t>S</w:t>
      </w:r>
      <w:r w:rsidR="00341542" w:rsidRPr="00EC250C">
        <w:t>prawiedliwości</w:t>
      </w:r>
      <w:r w:rsidR="0096466E" w:rsidRPr="00EC250C">
        <w:t xml:space="preserve"> zwrócił się do </w:t>
      </w:r>
      <w:r w:rsidR="00ED0535" w:rsidRPr="00EC250C">
        <w:t>p</w:t>
      </w:r>
      <w:r w:rsidR="0096466E" w:rsidRPr="00EC250C">
        <w:t>remiera</w:t>
      </w:r>
      <w:r w:rsidR="0096466E" w:rsidRPr="00EC250C">
        <w:rPr>
          <w:rStyle w:val="Odwoanieprzypisudolnego"/>
          <w:bCs/>
          <w:iCs/>
        </w:rPr>
        <w:footnoteReference w:id="170"/>
      </w:r>
      <w:r w:rsidR="0096466E" w:rsidRPr="00EC250C">
        <w:t>. W</w:t>
      </w:r>
      <w:r w:rsidR="004537C6" w:rsidRPr="00EC250C">
        <w:t xml:space="preserve">skazał, że </w:t>
      </w:r>
      <w:r w:rsidR="004537C6" w:rsidRPr="00EC250C">
        <w:rPr>
          <w:bCs/>
          <w:iCs/>
        </w:rPr>
        <w:t>powinno się określić</w:t>
      </w:r>
      <w:r w:rsidR="00992FD0" w:rsidRPr="00EC250C">
        <w:rPr>
          <w:bCs/>
          <w:iCs/>
        </w:rPr>
        <w:t xml:space="preserve"> w </w:t>
      </w:r>
      <w:r w:rsidR="004537C6" w:rsidRPr="00EC250C">
        <w:rPr>
          <w:bCs/>
          <w:iCs/>
        </w:rPr>
        <w:t>prawie, że przesłuchanie bez udziału obrońcy następuje na mocy postanowienia prokuratora, na które podejrzanemu przysługuje zażalenie do sądu. Ponadto należy wskazać</w:t>
      </w:r>
      <w:r w:rsidR="00992FD0" w:rsidRPr="00EC250C">
        <w:rPr>
          <w:bCs/>
          <w:iCs/>
        </w:rPr>
        <w:t xml:space="preserve"> w </w:t>
      </w:r>
      <w:r w:rsidR="004537C6" w:rsidRPr="00EC250C">
        <w:rPr>
          <w:bCs/>
          <w:iCs/>
        </w:rPr>
        <w:t>ustawie minimalny</w:t>
      </w:r>
      <w:r w:rsidR="00992FD0" w:rsidRPr="00EC250C">
        <w:rPr>
          <w:bCs/>
          <w:iCs/>
        </w:rPr>
        <w:t xml:space="preserve"> i </w:t>
      </w:r>
      <w:r w:rsidR="004537C6" w:rsidRPr="00EC250C">
        <w:rPr>
          <w:bCs/>
          <w:iCs/>
        </w:rPr>
        <w:t>maksymalny czas, na jaki organy ścigania mogą wstrzymać czynności</w:t>
      </w:r>
      <w:r w:rsidR="00992FD0" w:rsidRPr="00EC250C">
        <w:rPr>
          <w:bCs/>
          <w:iCs/>
        </w:rPr>
        <w:t xml:space="preserve"> w </w:t>
      </w:r>
      <w:r w:rsidR="004537C6" w:rsidRPr="00EC250C">
        <w:rPr>
          <w:bCs/>
          <w:iCs/>
        </w:rPr>
        <w:t>oczekiwaniu na obrońcę. Według RPO nie wdrożono też postanowień mówiących</w:t>
      </w:r>
      <w:r w:rsidR="00992FD0" w:rsidRPr="00EC250C">
        <w:rPr>
          <w:bCs/>
          <w:iCs/>
        </w:rPr>
        <w:t xml:space="preserve"> o </w:t>
      </w:r>
      <w:r w:rsidR="004537C6" w:rsidRPr="00EC250C">
        <w:rPr>
          <w:bCs/>
          <w:iCs/>
        </w:rPr>
        <w:t>obowiązku poinformowania osoby podlegającej europejskiemu nakazowi aresztowania</w:t>
      </w:r>
      <w:r w:rsidR="00992FD0" w:rsidRPr="00EC250C">
        <w:rPr>
          <w:bCs/>
          <w:iCs/>
        </w:rPr>
        <w:t xml:space="preserve"> o </w:t>
      </w:r>
      <w:r w:rsidR="004537C6" w:rsidRPr="00EC250C">
        <w:rPr>
          <w:bCs/>
          <w:iCs/>
        </w:rPr>
        <w:t>prawie ustanowienia adwokata</w:t>
      </w:r>
      <w:r w:rsidR="00992FD0" w:rsidRPr="00EC250C">
        <w:rPr>
          <w:bCs/>
          <w:iCs/>
        </w:rPr>
        <w:t xml:space="preserve"> w </w:t>
      </w:r>
      <w:r w:rsidR="004537C6" w:rsidRPr="00EC250C">
        <w:rPr>
          <w:bCs/>
          <w:iCs/>
        </w:rPr>
        <w:t>państwie członkowskim wydającym nakaz. Nie przewidziano również przepisów pozwalających na efektywne skorzystanie</w:t>
      </w:r>
      <w:r w:rsidR="00992FD0" w:rsidRPr="00EC250C">
        <w:rPr>
          <w:bCs/>
          <w:iCs/>
        </w:rPr>
        <w:t xml:space="preserve"> z </w:t>
      </w:r>
      <w:r w:rsidR="004537C6" w:rsidRPr="00EC250C">
        <w:rPr>
          <w:bCs/>
          <w:iCs/>
        </w:rPr>
        <w:t>prawa do ustanowienia adwokata</w:t>
      </w:r>
      <w:r w:rsidR="00992FD0" w:rsidRPr="00EC250C">
        <w:rPr>
          <w:bCs/>
          <w:iCs/>
        </w:rPr>
        <w:t xml:space="preserve"> w </w:t>
      </w:r>
      <w:r w:rsidR="004537C6" w:rsidRPr="00EC250C">
        <w:rPr>
          <w:bCs/>
          <w:iCs/>
        </w:rPr>
        <w:t>państwie wydania nakazu. Konieczne jest także zagwarantowanie efektywnego trybu pouczenia podejrzanego</w:t>
      </w:r>
      <w:r w:rsidR="00992FD0" w:rsidRPr="00EC250C">
        <w:rPr>
          <w:bCs/>
          <w:iCs/>
        </w:rPr>
        <w:t xml:space="preserve"> i </w:t>
      </w:r>
      <w:r w:rsidR="004537C6" w:rsidRPr="00EC250C">
        <w:rPr>
          <w:bCs/>
          <w:iCs/>
        </w:rPr>
        <w:t>oskarżonego</w:t>
      </w:r>
      <w:r w:rsidR="00992FD0" w:rsidRPr="00EC250C">
        <w:rPr>
          <w:bCs/>
          <w:iCs/>
        </w:rPr>
        <w:t xml:space="preserve"> o </w:t>
      </w:r>
      <w:r w:rsidR="004537C6" w:rsidRPr="00EC250C">
        <w:rPr>
          <w:bCs/>
          <w:iCs/>
        </w:rPr>
        <w:t>prawie dostępu do obrońcy</w:t>
      </w:r>
      <w:r w:rsidR="00992FD0" w:rsidRPr="00EC250C">
        <w:rPr>
          <w:bCs/>
          <w:iCs/>
        </w:rPr>
        <w:t xml:space="preserve"> w </w:t>
      </w:r>
      <w:r w:rsidR="004537C6" w:rsidRPr="00EC250C">
        <w:rPr>
          <w:bCs/>
          <w:iCs/>
        </w:rPr>
        <w:t xml:space="preserve">toku całego postępowania. </w:t>
      </w:r>
      <w:r w:rsidRPr="00EC250C">
        <w:rPr>
          <w:bCs/>
          <w:iCs/>
        </w:rPr>
        <w:t xml:space="preserve">RPO </w:t>
      </w:r>
      <w:r w:rsidR="004537C6" w:rsidRPr="00EC250C">
        <w:rPr>
          <w:bCs/>
          <w:iCs/>
        </w:rPr>
        <w:t>zwrócił również uwagę na brak sądowej kontroli postanowień prokuratora</w:t>
      </w:r>
      <w:r w:rsidR="00992FD0" w:rsidRPr="00EC250C">
        <w:rPr>
          <w:bCs/>
          <w:iCs/>
        </w:rPr>
        <w:t xml:space="preserve"> o </w:t>
      </w:r>
      <w:r w:rsidR="004537C6" w:rsidRPr="00EC250C">
        <w:rPr>
          <w:bCs/>
          <w:iCs/>
        </w:rPr>
        <w:t>zastrzeżeniu kontroli korespondencji,</w:t>
      </w:r>
      <w:r w:rsidR="00992FD0" w:rsidRPr="00EC250C">
        <w:rPr>
          <w:bCs/>
          <w:iCs/>
        </w:rPr>
        <w:t xml:space="preserve"> o </w:t>
      </w:r>
      <w:r w:rsidR="004537C6" w:rsidRPr="00EC250C">
        <w:rPr>
          <w:bCs/>
          <w:iCs/>
        </w:rPr>
        <w:t>zastrzeżeniu jego obecności podczas spotkania zatrzymanego</w:t>
      </w:r>
      <w:r w:rsidR="00992FD0" w:rsidRPr="00EC250C">
        <w:rPr>
          <w:bCs/>
          <w:iCs/>
        </w:rPr>
        <w:t xml:space="preserve"> z </w:t>
      </w:r>
      <w:r w:rsidR="004537C6" w:rsidRPr="00EC250C">
        <w:rPr>
          <w:bCs/>
          <w:iCs/>
        </w:rPr>
        <w:t>adwokatem oraz decyzji zatrzymującego</w:t>
      </w:r>
      <w:r w:rsidR="00992FD0" w:rsidRPr="00EC250C">
        <w:rPr>
          <w:bCs/>
          <w:iCs/>
        </w:rPr>
        <w:t xml:space="preserve"> o </w:t>
      </w:r>
      <w:r w:rsidR="004537C6" w:rsidRPr="00EC250C">
        <w:rPr>
          <w:bCs/>
          <w:iCs/>
        </w:rPr>
        <w:t>zastrzeżeniu jego obecności podczas spotkania zatrzymanego</w:t>
      </w:r>
      <w:r w:rsidR="00992FD0" w:rsidRPr="00EC250C">
        <w:rPr>
          <w:bCs/>
          <w:iCs/>
        </w:rPr>
        <w:t xml:space="preserve"> z </w:t>
      </w:r>
      <w:r w:rsidR="004537C6" w:rsidRPr="00EC250C">
        <w:rPr>
          <w:bCs/>
          <w:iCs/>
        </w:rPr>
        <w:t xml:space="preserve">adwokatem. Na takie decyzje przysługiwać powinno zażalenie do sądu. </w:t>
      </w:r>
      <w:r w:rsidRPr="00EC250C">
        <w:rPr>
          <w:bCs/>
          <w:iCs/>
        </w:rPr>
        <w:t xml:space="preserve">RPO </w:t>
      </w:r>
      <w:r w:rsidR="004537C6" w:rsidRPr="00EC250C">
        <w:rPr>
          <w:bCs/>
          <w:iCs/>
        </w:rPr>
        <w:t>wskazał również, że dobrze byłoby aby przepisy wprost informowały</w:t>
      </w:r>
      <w:r w:rsidR="00992FD0" w:rsidRPr="00EC250C">
        <w:rPr>
          <w:bCs/>
          <w:iCs/>
        </w:rPr>
        <w:t xml:space="preserve"> o </w:t>
      </w:r>
      <w:r w:rsidR="004537C6" w:rsidRPr="00EC250C">
        <w:rPr>
          <w:bCs/>
          <w:iCs/>
        </w:rPr>
        <w:t>możliwości skontaktowania się</w:t>
      </w:r>
      <w:r w:rsidR="00992FD0" w:rsidRPr="00EC250C">
        <w:rPr>
          <w:bCs/>
          <w:iCs/>
        </w:rPr>
        <w:t xml:space="preserve"> z </w:t>
      </w:r>
      <w:r w:rsidR="004537C6" w:rsidRPr="00EC250C">
        <w:rPr>
          <w:bCs/>
          <w:iCs/>
        </w:rPr>
        <w:t>adwokatem także za pomocą aparatu telefonicznego</w:t>
      </w:r>
      <w:r w:rsidR="00232871" w:rsidRPr="00EC250C">
        <w:rPr>
          <w:bCs/>
          <w:iCs/>
        </w:rPr>
        <w:t>.</w:t>
      </w:r>
    </w:p>
    <w:p w14:paraId="5321F620" w14:textId="77777777" w:rsidR="0060274A" w:rsidRPr="00EC250C" w:rsidRDefault="0060274A" w:rsidP="00D131FA">
      <w:pPr>
        <w:pStyle w:val="Styl1"/>
      </w:pPr>
      <w:r w:rsidRPr="00EC250C">
        <w:rPr>
          <w:bCs/>
          <w:iCs/>
        </w:rPr>
        <w:lastRenderedPageBreak/>
        <w:t>Po tym wystąpieniu przyszła odpowiedź Ministra Sprawiedliwości</w:t>
      </w:r>
      <w:r w:rsidRPr="00EC250C">
        <w:rPr>
          <w:rStyle w:val="Odwoanieprzypisudolnego"/>
          <w:bCs/>
          <w:iCs/>
        </w:rPr>
        <w:footnoteReference w:id="171"/>
      </w:r>
      <w:r w:rsidRPr="00EC250C">
        <w:rPr>
          <w:bCs/>
          <w:iCs/>
        </w:rPr>
        <w:t>: polskich przepisów nie trzeba zmieniać, gdyż są zgodne</w:t>
      </w:r>
      <w:r w:rsidR="00992FD0" w:rsidRPr="00EC250C">
        <w:rPr>
          <w:bCs/>
          <w:iCs/>
        </w:rPr>
        <w:t xml:space="preserve"> z </w:t>
      </w:r>
      <w:r w:rsidRPr="00EC250C">
        <w:rPr>
          <w:bCs/>
          <w:iCs/>
        </w:rPr>
        <w:t>dyrektywą</w:t>
      </w:r>
      <w:r w:rsidR="00E9020A" w:rsidRPr="00EC250C">
        <w:rPr>
          <w:bCs/>
          <w:iCs/>
        </w:rPr>
        <w:t>.</w:t>
      </w:r>
    </w:p>
    <w:p w14:paraId="58EBFB5F" w14:textId="77777777" w:rsidR="00C91F6E" w:rsidRPr="00EC250C" w:rsidRDefault="00171219" w:rsidP="00EC79EB">
      <w:pPr>
        <w:pStyle w:val="Nagwek4"/>
      </w:pPr>
      <w:bookmarkStart w:id="199" w:name="_Toc6257714"/>
      <w:bookmarkStart w:id="200" w:name="_Toc11247608"/>
      <w:r w:rsidRPr="00EC250C">
        <w:t>Naruszanie prawa do obrony osób</w:t>
      </w:r>
      <w:r w:rsidR="00992FD0" w:rsidRPr="00EC250C">
        <w:t xml:space="preserve"> z </w:t>
      </w:r>
      <w:r w:rsidR="00CB7942" w:rsidRPr="00EC250C">
        <w:t>niepełnosprawnością intelektualną lub psychiczną</w:t>
      </w:r>
      <w:bookmarkEnd w:id="199"/>
      <w:bookmarkEnd w:id="200"/>
    </w:p>
    <w:p w14:paraId="70174BDE" w14:textId="77777777" w:rsidR="00B473F5" w:rsidRPr="00EC250C" w:rsidRDefault="00C44C2F" w:rsidP="00D131FA">
      <w:pPr>
        <w:pStyle w:val="Problemczowieka"/>
        <w:jc w:val="both"/>
        <w:rPr>
          <w:rStyle w:val="Pogrubienie"/>
          <w:b/>
          <w:bCs w:val="0"/>
        </w:rPr>
      </w:pPr>
      <w:r w:rsidRPr="00EC250C">
        <w:rPr>
          <w:rStyle w:val="Pogrubienie"/>
          <w:b/>
          <w:bCs w:val="0"/>
        </w:rPr>
        <w:t>Brak gwarancji dostępu do obrońcy od samego początku postępowania karnego dotyka zwłaszcza osoby</w:t>
      </w:r>
      <w:r w:rsidR="00992FD0" w:rsidRPr="00EC250C">
        <w:rPr>
          <w:rStyle w:val="Pogrubienie"/>
          <w:b/>
          <w:bCs w:val="0"/>
        </w:rPr>
        <w:t xml:space="preserve"> z </w:t>
      </w:r>
      <w:r w:rsidRPr="00EC250C">
        <w:rPr>
          <w:rStyle w:val="Pogrubienie"/>
          <w:b/>
          <w:bCs w:val="0"/>
        </w:rPr>
        <w:t>niepełnosprawnością intelektualną lub psychiczną</w:t>
      </w:r>
      <w:r w:rsidR="00B473F5" w:rsidRPr="00EC250C">
        <w:rPr>
          <w:rStyle w:val="Pogrubienie"/>
          <w:b/>
          <w:bCs w:val="0"/>
        </w:rPr>
        <w:t>.</w:t>
      </w:r>
    </w:p>
    <w:p w14:paraId="48C6741E" w14:textId="77777777" w:rsidR="00C44C2F" w:rsidRPr="00EC250C" w:rsidRDefault="00AC6763" w:rsidP="00D131FA">
      <w:pPr>
        <w:pStyle w:val="Styl1"/>
      </w:pPr>
      <w:r w:rsidRPr="00EC250C">
        <w:t>Analizując sytuację osób</w:t>
      </w:r>
      <w:r w:rsidR="00C44C2F" w:rsidRPr="00EC250C">
        <w:t xml:space="preserve"> chorujących psychicznie lub</w:t>
      </w:r>
      <w:r w:rsidR="00992FD0" w:rsidRPr="00EC250C">
        <w:t xml:space="preserve"> z </w:t>
      </w:r>
      <w:r w:rsidRPr="00EC250C">
        <w:t>niepełnosprawnościami intelektualnymi</w:t>
      </w:r>
      <w:r w:rsidR="00884614" w:rsidRPr="00EC250C">
        <w:rPr>
          <w:rStyle w:val="Odwoanieprzypisudolnego"/>
        </w:rPr>
        <w:footnoteReference w:id="172"/>
      </w:r>
      <w:r w:rsidRPr="00EC250C">
        <w:t>,</w:t>
      </w:r>
      <w:r w:rsidR="00CC4D88" w:rsidRPr="00EC250C">
        <w:t xml:space="preserve"> </w:t>
      </w:r>
      <w:r w:rsidR="00C44C2F" w:rsidRPr="00EC250C">
        <w:t>RPO zwrócił uwagę</w:t>
      </w:r>
      <w:r w:rsidR="00341542" w:rsidRPr="00EC250C">
        <w:t xml:space="preserve">, że w postępowaniu wobec nich ważne jest jak najszybsze </w:t>
      </w:r>
      <w:r w:rsidR="00C44C2F" w:rsidRPr="00EC250C">
        <w:t>ustaleni</w:t>
      </w:r>
      <w:r w:rsidR="00341542" w:rsidRPr="00EC250C">
        <w:t>e</w:t>
      </w:r>
      <w:r w:rsidR="00C44C2F" w:rsidRPr="00EC250C">
        <w:t>, iż ma do czynienia</w:t>
      </w:r>
      <w:r w:rsidR="00992FD0" w:rsidRPr="00EC250C">
        <w:t xml:space="preserve"> z </w:t>
      </w:r>
      <w:r w:rsidR="00C44C2F" w:rsidRPr="00EC250C">
        <w:t xml:space="preserve">tzw. </w:t>
      </w:r>
      <w:r w:rsidR="00341542" w:rsidRPr="00EC250C">
        <w:t>w</w:t>
      </w:r>
      <w:r w:rsidR="00C44C2F" w:rsidRPr="00EC250C">
        <w:t xml:space="preserve">rażliwym podsądnym. </w:t>
      </w:r>
      <w:r w:rsidR="00341542" w:rsidRPr="00EC250C">
        <w:t xml:space="preserve">W ich przypadku powinno się wrobić wywiad środowiskowy, bo wiedza tak zdobyta mogłaby poprzedzać ewentualne badanie dokonane przez psychiatrę czy psychologa. Mogłaby także pomóc we wczesnym rozważeniu zastosowania adekwatnego środka prawnego (np. leczniczego środka zabezpieczającego). </w:t>
      </w:r>
    </w:p>
    <w:p w14:paraId="00616F1B" w14:textId="77777777" w:rsidR="00C91F6E" w:rsidRPr="00EC250C" w:rsidRDefault="00C44C2F" w:rsidP="00D131FA">
      <w:pPr>
        <w:pStyle w:val="Styl1"/>
      </w:pPr>
      <w:r w:rsidRPr="00EC250C">
        <w:t xml:space="preserve">Kolejny problem dotyczy </w:t>
      </w:r>
      <w:r w:rsidR="00341542" w:rsidRPr="00EC250C">
        <w:t xml:space="preserve">osób, które nie potrafią czytać i pisać, a nie mają zapewnionej </w:t>
      </w:r>
      <w:r w:rsidRPr="00EC250C">
        <w:t>obron</w:t>
      </w:r>
      <w:r w:rsidR="00341542" w:rsidRPr="00EC250C">
        <w:t>y</w:t>
      </w:r>
      <w:r w:rsidRPr="00EC250C">
        <w:t xml:space="preserve">. W ocenie Rzecznika </w:t>
      </w:r>
      <w:r w:rsidR="007447EE" w:rsidRPr="00EC250C">
        <w:t xml:space="preserve">Praw Obywatelskich </w:t>
      </w:r>
      <w:r w:rsidRPr="00EC250C">
        <w:t>analfabetyzm należałoby uznać za okoliczność utrudniającą obronę, gdyż skazany, który nie potrafi czytać</w:t>
      </w:r>
      <w:r w:rsidR="00992FD0" w:rsidRPr="00EC250C">
        <w:t xml:space="preserve"> i </w:t>
      </w:r>
      <w:r w:rsidRPr="00EC250C">
        <w:t>pisać</w:t>
      </w:r>
      <w:r w:rsidR="00341542" w:rsidRPr="00EC250C">
        <w:t>,</w:t>
      </w:r>
      <w:r w:rsidRPr="00EC250C">
        <w:t xml:space="preserve"> </w:t>
      </w:r>
      <w:r w:rsidR="00341542" w:rsidRPr="00EC250C">
        <w:t>j</w:t>
      </w:r>
      <w:r w:rsidRPr="00EC250C">
        <w:t>est więc</w:t>
      </w:r>
      <w:r w:rsidR="00992FD0" w:rsidRPr="00EC250C">
        <w:t xml:space="preserve"> w </w:t>
      </w:r>
      <w:r w:rsidRPr="00EC250C">
        <w:t xml:space="preserve">pełni zależny od dobrej woli osób trzecich. </w:t>
      </w:r>
      <w:r w:rsidR="00341542" w:rsidRPr="00EC250C">
        <w:t>P</w:t>
      </w:r>
      <w:r w:rsidRPr="00EC250C">
        <w:t xml:space="preserve">ostępowanie karne charakteryzuje się </w:t>
      </w:r>
      <w:r w:rsidR="00341542" w:rsidRPr="00EC250C">
        <w:t xml:space="preserve">przecież </w:t>
      </w:r>
      <w:r w:rsidRPr="00EC250C">
        <w:t xml:space="preserve">zasadą pisemności. Postulowana przez </w:t>
      </w:r>
      <w:r w:rsidR="007447EE" w:rsidRPr="00EC250C">
        <w:t xml:space="preserve">RPO </w:t>
      </w:r>
      <w:r w:rsidRPr="00EC250C">
        <w:t>zmiana powinna obligować sąd do ustanowienia obrońcy dla analfabety,</w:t>
      </w:r>
      <w:r w:rsidR="00992FD0" w:rsidRPr="00EC250C">
        <w:t xml:space="preserve"> a </w:t>
      </w:r>
      <w:r w:rsidRPr="00EC250C">
        <w:t>nie uzależniać tego od uznania sądu, jak jest dziś.</w:t>
      </w:r>
    </w:p>
    <w:p w14:paraId="34F007DF" w14:textId="77777777" w:rsidR="00CB7942" w:rsidRPr="00EC250C" w:rsidRDefault="007447EE" w:rsidP="00D131FA">
      <w:pPr>
        <w:pStyle w:val="Styl1"/>
        <w:rPr>
          <w:bCs/>
          <w:iCs/>
        </w:rPr>
      </w:pPr>
      <w:r w:rsidRPr="00EC250C">
        <w:rPr>
          <w:bCs/>
          <w:iCs/>
        </w:rPr>
        <w:t xml:space="preserve">RPO </w:t>
      </w:r>
      <w:r w:rsidR="00CB7942" w:rsidRPr="00EC250C">
        <w:rPr>
          <w:bCs/>
          <w:iCs/>
        </w:rPr>
        <w:t>zwrócił si</w:t>
      </w:r>
      <w:r w:rsidR="00C44C2F" w:rsidRPr="00EC250C">
        <w:rPr>
          <w:bCs/>
          <w:iCs/>
        </w:rPr>
        <w:t>ę</w:t>
      </w:r>
      <w:r w:rsidR="00992FD0" w:rsidRPr="00EC250C">
        <w:rPr>
          <w:bCs/>
          <w:iCs/>
        </w:rPr>
        <w:t xml:space="preserve"> z </w:t>
      </w:r>
      <w:r w:rsidR="00D47DAC" w:rsidRPr="00EC250C">
        <w:rPr>
          <w:bCs/>
          <w:iCs/>
        </w:rPr>
        <w:t>tymi postulatami</w:t>
      </w:r>
      <w:r w:rsidR="00CB7942" w:rsidRPr="00EC250C">
        <w:rPr>
          <w:bCs/>
          <w:iCs/>
        </w:rPr>
        <w:t xml:space="preserve"> do Ministra</w:t>
      </w:r>
      <w:r w:rsidR="00C5507D" w:rsidRPr="00EC250C">
        <w:rPr>
          <w:bCs/>
          <w:iCs/>
        </w:rPr>
        <w:t xml:space="preserve"> Sprawiedliwości</w:t>
      </w:r>
      <w:r w:rsidR="00CB7942" w:rsidRPr="00EC250C">
        <w:rPr>
          <w:bCs/>
          <w:iCs/>
        </w:rPr>
        <w:t>.</w:t>
      </w:r>
      <w:r w:rsidR="0011582D" w:rsidRPr="00EC250C">
        <w:rPr>
          <w:bCs/>
          <w:iCs/>
        </w:rPr>
        <w:t xml:space="preserve"> Odpowiedź nie przyszła, więc</w:t>
      </w:r>
      <w:r w:rsidR="00992FD0" w:rsidRPr="00EC250C">
        <w:rPr>
          <w:bCs/>
          <w:iCs/>
        </w:rPr>
        <w:t xml:space="preserve"> w </w:t>
      </w:r>
      <w:r w:rsidR="0011582D" w:rsidRPr="00EC250C">
        <w:rPr>
          <w:bCs/>
          <w:iCs/>
        </w:rPr>
        <w:t>2019</w:t>
      </w:r>
      <w:r w:rsidR="00C91F6E" w:rsidRPr="00EC250C">
        <w:rPr>
          <w:bCs/>
          <w:iCs/>
        </w:rPr>
        <w:t> r.</w:t>
      </w:r>
      <w:r w:rsidR="0011582D" w:rsidRPr="00EC250C">
        <w:rPr>
          <w:bCs/>
          <w:iCs/>
        </w:rPr>
        <w:t xml:space="preserve"> zapytał</w:t>
      </w:r>
      <w:r w:rsidR="00992FD0" w:rsidRPr="00EC250C">
        <w:rPr>
          <w:bCs/>
          <w:iCs/>
        </w:rPr>
        <w:t xml:space="preserve"> o </w:t>
      </w:r>
      <w:r w:rsidR="0011582D" w:rsidRPr="00EC250C">
        <w:rPr>
          <w:bCs/>
          <w:iCs/>
        </w:rPr>
        <w:t>to ponownie.</w:t>
      </w:r>
      <w:r w:rsidR="0011582D" w:rsidRPr="00EC250C">
        <w:rPr>
          <w:rStyle w:val="Odwoanieprzypisudolnego"/>
          <w:bCs/>
          <w:iCs/>
        </w:rPr>
        <w:footnoteReference w:id="173"/>
      </w:r>
    </w:p>
    <w:p w14:paraId="776ABE2B" w14:textId="77777777" w:rsidR="00AA78DE" w:rsidRPr="00EC250C" w:rsidRDefault="00AA78DE" w:rsidP="00EC250C">
      <w:pPr>
        <w:pStyle w:val="Nagwek8"/>
        <w:rPr>
          <w:spacing w:val="0"/>
        </w:rPr>
      </w:pPr>
      <w:r w:rsidRPr="00EC250C">
        <w:t>Osoba</w:t>
      </w:r>
      <w:r w:rsidR="00992FD0" w:rsidRPr="00EC250C">
        <w:t xml:space="preserve"> z </w:t>
      </w:r>
      <w:r w:rsidRPr="00EC250C">
        <w:t>niepełnosprawnością intelektualną skazana za drobną kradzież bez prawa do obrony. Kasacja RPO</w:t>
      </w:r>
    </w:p>
    <w:p w14:paraId="550E5CC6" w14:textId="77777777" w:rsidR="00AA78DE" w:rsidRPr="00EC250C" w:rsidRDefault="00AA78DE" w:rsidP="00D131FA">
      <w:pPr>
        <w:pStyle w:val="Styl2"/>
        <w:rPr>
          <w:szCs w:val="24"/>
        </w:rPr>
      </w:pPr>
      <w:r w:rsidRPr="00EC250C">
        <w:rPr>
          <w:rStyle w:val="Pogrubienie"/>
          <w:b/>
          <w:bCs/>
          <w:szCs w:val="24"/>
        </w:rPr>
        <w:t>Mężczyzna</w:t>
      </w:r>
      <w:r w:rsidR="00992FD0" w:rsidRPr="00EC250C">
        <w:rPr>
          <w:rStyle w:val="Pogrubienie"/>
          <w:b/>
          <w:bCs/>
          <w:szCs w:val="24"/>
        </w:rPr>
        <w:t xml:space="preserve"> z </w:t>
      </w:r>
      <w:r w:rsidRPr="00EC250C">
        <w:rPr>
          <w:rStyle w:val="Pogrubienie"/>
          <w:b/>
          <w:bCs/>
          <w:szCs w:val="24"/>
        </w:rPr>
        <w:t>niepełnosprawnością intelektualną został skazany za kradzież 270 zł</w:t>
      </w:r>
      <w:r w:rsidR="00026572" w:rsidRPr="00EC250C">
        <w:rPr>
          <w:rStyle w:val="Pogrubienie"/>
          <w:b/>
          <w:bCs/>
          <w:szCs w:val="24"/>
        </w:rPr>
        <w:t xml:space="preserve"> – </w:t>
      </w:r>
      <w:r w:rsidRPr="00EC250C">
        <w:rPr>
          <w:rStyle w:val="Pogrubienie"/>
          <w:b/>
          <w:bCs/>
          <w:szCs w:val="24"/>
        </w:rPr>
        <w:t>bez przeprowadzania rozprawy</w:t>
      </w:r>
      <w:r w:rsidR="00992FD0" w:rsidRPr="00EC250C">
        <w:rPr>
          <w:rStyle w:val="Pogrubienie"/>
          <w:b/>
          <w:bCs/>
          <w:szCs w:val="24"/>
        </w:rPr>
        <w:t xml:space="preserve"> i </w:t>
      </w:r>
      <w:r w:rsidRPr="00EC250C">
        <w:rPr>
          <w:rStyle w:val="Pogrubienie"/>
          <w:b/>
          <w:bCs/>
          <w:szCs w:val="24"/>
        </w:rPr>
        <w:t>bez obrońcy. Lekarze uznali jego ograniczoną poczytalność; on sam zeznał, że nie umie czytać ani pisać. Według Rzecznika Praw Obywatelskich sąd rejonowy miał obowiązek przyznać oskarżonemu obrońcę</w:t>
      </w:r>
      <w:r w:rsidR="00992FD0" w:rsidRPr="00EC250C">
        <w:rPr>
          <w:rStyle w:val="Pogrubienie"/>
          <w:b/>
          <w:bCs/>
          <w:szCs w:val="24"/>
        </w:rPr>
        <w:t xml:space="preserve"> z </w:t>
      </w:r>
      <w:r w:rsidR="00745D67" w:rsidRPr="00EC250C">
        <w:rPr>
          <w:rStyle w:val="Pogrubienie"/>
          <w:b/>
          <w:bCs/>
          <w:szCs w:val="24"/>
        </w:rPr>
        <w:t>urzędu.</w:t>
      </w:r>
    </w:p>
    <w:p w14:paraId="2309FA2A" w14:textId="77777777" w:rsidR="00AA78DE" w:rsidRPr="00EC250C" w:rsidRDefault="00AA78DE" w:rsidP="00D131FA">
      <w:pPr>
        <w:pStyle w:val="Styl2"/>
        <w:rPr>
          <w:szCs w:val="24"/>
        </w:rPr>
      </w:pPr>
      <w:r w:rsidRPr="00EC250C">
        <w:rPr>
          <w:szCs w:val="24"/>
        </w:rPr>
        <w:t>Sąd procedując bez rozprawy,</w:t>
      </w:r>
      <w:r w:rsidR="00992FD0" w:rsidRPr="00EC250C">
        <w:rPr>
          <w:szCs w:val="24"/>
        </w:rPr>
        <w:t xml:space="preserve"> w </w:t>
      </w:r>
      <w:r w:rsidRPr="00EC250C">
        <w:rPr>
          <w:szCs w:val="24"/>
        </w:rPr>
        <w:t>trybie, który ma przyspieszyć rozstrzyganie spraw uznawanych za proste (których jest bardzo dużo)</w:t>
      </w:r>
      <w:r w:rsidR="00026572" w:rsidRPr="00EC250C">
        <w:rPr>
          <w:szCs w:val="24"/>
        </w:rPr>
        <w:t xml:space="preserve"> – </w:t>
      </w:r>
      <w:r w:rsidRPr="00EC250C">
        <w:rPr>
          <w:szCs w:val="24"/>
        </w:rPr>
        <w:t>pominął, iż</w:t>
      </w:r>
      <w:r w:rsidR="00992FD0" w:rsidRPr="00EC250C">
        <w:rPr>
          <w:szCs w:val="24"/>
        </w:rPr>
        <w:t xml:space="preserve"> w </w:t>
      </w:r>
      <w:r w:rsidRPr="00EC250C">
        <w:rPr>
          <w:szCs w:val="24"/>
        </w:rPr>
        <w:t xml:space="preserve">odniesieniu do oskarżonego </w:t>
      </w:r>
      <w:r w:rsidRPr="00EC250C">
        <w:rPr>
          <w:szCs w:val="24"/>
        </w:rPr>
        <w:lastRenderedPageBreak/>
        <w:t>zachodziły okoliczności utrudniające obronę</w:t>
      </w:r>
      <w:r w:rsidR="00745D67" w:rsidRPr="00EC250C">
        <w:rPr>
          <w:szCs w:val="24"/>
        </w:rPr>
        <w:t>,</w:t>
      </w:r>
      <w:r w:rsidR="00992FD0" w:rsidRPr="00EC250C">
        <w:rPr>
          <w:szCs w:val="24"/>
        </w:rPr>
        <w:t xml:space="preserve"> o </w:t>
      </w:r>
      <w:r w:rsidRPr="00EC250C">
        <w:rPr>
          <w:szCs w:val="24"/>
        </w:rPr>
        <w:t xml:space="preserve">jakich stanowi art. 79 § 2 </w:t>
      </w:r>
      <w:r w:rsidR="00F842CC" w:rsidRPr="00EC250C">
        <w:rPr>
          <w:szCs w:val="24"/>
        </w:rPr>
        <w:t>K.p.k</w:t>
      </w:r>
      <w:r w:rsidRPr="00EC250C">
        <w:rPr>
          <w:szCs w:val="24"/>
        </w:rPr>
        <w:t>.,</w:t>
      </w:r>
      <w:r w:rsidR="00992FD0" w:rsidRPr="00EC250C">
        <w:rPr>
          <w:szCs w:val="24"/>
        </w:rPr>
        <w:t xml:space="preserve"> a </w:t>
      </w:r>
      <w:r w:rsidRPr="00EC250C">
        <w:rPr>
          <w:szCs w:val="24"/>
        </w:rPr>
        <w:t>które obligują sąd do wyznaczenia oskarżonemu obrońcy.</w:t>
      </w:r>
    </w:p>
    <w:p w14:paraId="50CED5C1" w14:textId="77777777" w:rsidR="00AA78DE" w:rsidRPr="00EC250C" w:rsidRDefault="00AA78DE" w:rsidP="00D131FA">
      <w:pPr>
        <w:pStyle w:val="Styl2"/>
        <w:rPr>
          <w:szCs w:val="24"/>
        </w:rPr>
      </w:pPr>
      <w:r w:rsidRPr="00EC250C">
        <w:rPr>
          <w:rStyle w:val="Pogrubienie"/>
          <w:b/>
          <w:bCs/>
          <w:szCs w:val="24"/>
        </w:rPr>
        <w:t>Wobec rażącego naruszenia prawa, RPO złożył kasację do Sądu Najwyższego, wnosząc</w:t>
      </w:r>
      <w:r w:rsidR="00992FD0" w:rsidRPr="00EC250C">
        <w:rPr>
          <w:rStyle w:val="Pogrubienie"/>
          <w:b/>
          <w:bCs/>
          <w:szCs w:val="24"/>
        </w:rPr>
        <w:t xml:space="preserve"> o </w:t>
      </w:r>
      <w:r w:rsidR="00745D67" w:rsidRPr="00EC250C">
        <w:rPr>
          <w:rStyle w:val="Pogrubienie"/>
          <w:b/>
          <w:bCs/>
          <w:szCs w:val="24"/>
        </w:rPr>
        <w:t xml:space="preserve">przekazanie </w:t>
      </w:r>
      <w:r w:rsidRPr="00EC250C">
        <w:rPr>
          <w:rStyle w:val="Pogrubienie"/>
          <w:b/>
          <w:bCs/>
          <w:szCs w:val="24"/>
        </w:rPr>
        <w:t>sprawy do ponownego rozpoznania</w:t>
      </w:r>
      <w:r w:rsidRPr="00EC250C">
        <w:rPr>
          <w:szCs w:val="24"/>
          <w:vertAlign w:val="superscript"/>
        </w:rPr>
        <w:footnoteReference w:id="174"/>
      </w:r>
      <w:r w:rsidRPr="00EC250C">
        <w:rPr>
          <w:rStyle w:val="Pogrubienie"/>
          <w:b/>
          <w:bCs/>
          <w:szCs w:val="24"/>
        </w:rPr>
        <w:t>.</w:t>
      </w:r>
    </w:p>
    <w:p w14:paraId="29EB254E" w14:textId="77777777" w:rsidR="00C91F6E" w:rsidRPr="00EC250C" w:rsidRDefault="00AA78DE" w:rsidP="00EC250C">
      <w:pPr>
        <w:pStyle w:val="Nagwek5"/>
      </w:pPr>
      <w:r w:rsidRPr="00EC250C">
        <w:t>Działania RPO na rzecz skazanych</w:t>
      </w:r>
      <w:r w:rsidR="00992FD0" w:rsidRPr="00EC250C">
        <w:t xml:space="preserve"> z </w:t>
      </w:r>
      <w:r w:rsidRPr="00EC250C">
        <w:t>niepełnosprawnością intelektualną</w:t>
      </w:r>
      <w:r w:rsidR="00992FD0" w:rsidRPr="00EC250C">
        <w:t xml:space="preserve"> i </w:t>
      </w:r>
      <w:r w:rsidR="00BE554D" w:rsidRPr="00EC250C">
        <w:t xml:space="preserve">chorujących </w:t>
      </w:r>
      <w:r w:rsidRPr="00EC250C">
        <w:t>psychiczn</w:t>
      </w:r>
      <w:r w:rsidR="00341542" w:rsidRPr="00EC250C">
        <w:t>ie</w:t>
      </w:r>
    </w:p>
    <w:p w14:paraId="3D02F328" w14:textId="77777777" w:rsidR="00B473F5" w:rsidRPr="00EC250C" w:rsidRDefault="00CF2F38" w:rsidP="00D131FA">
      <w:pPr>
        <w:pStyle w:val="Problemczowieka"/>
        <w:jc w:val="both"/>
      </w:pPr>
      <w:r w:rsidRPr="00EC250C">
        <w:t>W 2016</w:t>
      </w:r>
      <w:r w:rsidR="00C91F6E" w:rsidRPr="00EC250C">
        <w:t> r.</w:t>
      </w:r>
      <w:r w:rsidRPr="00EC250C">
        <w:t>, na początku swej kadencji, RPO Adam Bodnar przedstawił informacj</w:t>
      </w:r>
      <w:r w:rsidR="00BE554D" w:rsidRPr="00EC250C">
        <w:t>ę</w:t>
      </w:r>
      <w:r w:rsidR="00992FD0" w:rsidRPr="00EC250C">
        <w:t xml:space="preserve"> o </w:t>
      </w:r>
      <w:r w:rsidRPr="00EC250C">
        <w:t>tym, że</w:t>
      </w:r>
      <w:r w:rsidR="00992FD0" w:rsidRPr="00EC250C">
        <w:t xml:space="preserve"> w </w:t>
      </w:r>
      <w:r w:rsidRPr="00EC250C">
        <w:t>polskich więzieniach mogą być pozbawieni wolności ludzie, którzy</w:t>
      </w:r>
      <w:r w:rsidR="00026572" w:rsidRPr="00EC250C">
        <w:t xml:space="preserve"> – </w:t>
      </w:r>
      <w:r w:rsidRPr="00EC250C">
        <w:t>ze względu na niepełnosprawność intelektualną lub chorobę psychiczną</w:t>
      </w:r>
      <w:r w:rsidR="00026572" w:rsidRPr="00EC250C">
        <w:t xml:space="preserve"> – </w:t>
      </w:r>
      <w:r w:rsidR="00992FD0" w:rsidRPr="00EC250C">
        <w:t>w </w:t>
      </w:r>
      <w:r w:rsidRPr="00EC250C">
        <w:t>ogóle nie powinni się tam znaleźć. Są też osoby, które mogą odbywać karę, ale nie</w:t>
      </w:r>
      <w:r w:rsidR="00992FD0" w:rsidRPr="00EC250C">
        <w:t xml:space="preserve"> w </w:t>
      </w:r>
      <w:r w:rsidRPr="00EC250C">
        <w:t>zwykłym reżimie, tylko pod opieką specjalistów, korzystając</w:t>
      </w:r>
      <w:r w:rsidR="00992FD0" w:rsidRPr="00EC250C">
        <w:t xml:space="preserve"> z </w:t>
      </w:r>
      <w:r w:rsidRPr="00EC250C">
        <w:t>programów terapeutycznych,</w:t>
      </w:r>
      <w:r w:rsidR="00992FD0" w:rsidRPr="00EC250C">
        <w:t xml:space="preserve"> w </w:t>
      </w:r>
      <w:r w:rsidRPr="00EC250C">
        <w:t>warunkach zapewniających bezpieczeństwo zarówno im, jak</w:t>
      </w:r>
      <w:r w:rsidR="00992FD0" w:rsidRPr="00EC250C">
        <w:t xml:space="preserve"> i </w:t>
      </w:r>
      <w:r w:rsidRPr="00EC250C">
        <w:t>współosadzonym oraz funkcjonariuszom</w:t>
      </w:r>
      <w:r w:rsidR="00B473F5" w:rsidRPr="00EC250C">
        <w:t>.</w:t>
      </w:r>
    </w:p>
    <w:p w14:paraId="35372CDC" w14:textId="77777777" w:rsidR="00AA78DE" w:rsidRPr="00EC250C" w:rsidRDefault="00AA78DE" w:rsidP="00D131FA">
      <w:pPr>
        <w:pStyle w:val="Styl1"/>
      </w:pPr>
      <w:r w:rsidRPr="00EC250C">
        <w:t>W lutym 2018</w:t>
      </w:r>
      <w:r w:rsidR="00C91F6E" w:rsidRPr="00EC250C">
        <w:t> r.</w:t>
      </w:r>
      <w:r w:rsidRPr="00EC250C">
        <w:t xml:space="preserve"> RPO zaprezentował raport ze swych działań</w:t>
      </w:r>
      <w:r w:rsidR="00992FD0" w:rsidRPr="00EC250C">
        <w:t xml:space="preserve"> w </w:t>
      </w:r>
      <w:r w:rsidRPr="00EC250C">
        <w:t>tej sprawie. Zbadano sytuację ponad 100 osób chorujących psychicznie lub</w:t>
      </w:r>
      <w:r w:rsidR="00992FD0" w:rsidRPr="00EC250C">
        <w:t xml:space="preserve"> z </w:t>
      </w:r>
      <w:r w:rsidRPr="00EC250C">
        <w:t>niepełnosprawnością intelektualną,</w:t>
      </w:r>
      <w:r w:rsidR="00992FD0" w:rsidRPr="00EC250C">
        <w:t xml:space="preserve"> o </w:t>
      </w:r>
      <w:r w:rsidRPr="00EC250C">
        <w:t>których RPO wiedział, że przebywają</w:t>
      </w:r>
      <w:r w:rsidR="00992FD0" w:rsidRPr="00EC250C">
        <w:t xml:space="preserve"> w </w:t>
      </w:r>
      <w:r w:rsidRPr="00EC250C">
        <w:t>jednostkach penitencjarnych. Większość przypadków wymagała interwencji. W efekcie RPO zakwestionował 45</w:t>
      </w:r>
      <w:r w:rsidR="00A537A9" w:rsidRPr="00EC250C">
        <w:t>%</w:t>
      </w:r>
      <w:r w:rsidRPr="00EC250C">
        <w:t>rozstrzygnięć sądowych</w:t>
      </w:r>
      <w:r w:rsidR="00026572" w:rsidRPr="00EC250C">
        <w:t xml:space="preserve"> – </w:t>
      </w:r>
      <w:r w:rsidRPr="00EC250C">
        <w:t>wystąpił</w:t>
      </w:r>
      <w:r w:rsidR="00992FD0" w:rsidRPr="00EC250C">
        <w:t xml:space="preserve"> z </w:t>
      </w:r>
      <w:r w:rsidRPr="00EC250C">
        <w:t>14 kasacjami (13 uwzględniono)</w:t>
      </w:r>
      <w:r w:rsidR="00992FD0" w:rsidRPr="00EC250C">
        <w:t xml:space="preserve"> i </w:t>
      </w:r>
      <w:r w:rsidRPr="00EC250C">
        <w:t>złożył 22 wystąpienia do prezesów sądów</w:t>
      </w:r>
      <w:r w:rsidR="00992FD0" w:rsidRPr="00EC250C">
        <w:t xml:space="preserve"> o </w:t>
      </w:r>
      <w:r w:rsidRPr="00EC250C">
        <w:t>wznowienie post</w:t>
      </w:r>
      <w:r w:rsidR="00BC61AE" w:rsidRPr="00EC250C">
        <w:t>ę</w:t>
      </w:r>
      <w:r w:rsidRPr="00EC250C">
        <w:t>powania (18 spraw wznowiono). Skierował też 25 wystąpień do władz</w:t>
      </w:r>
      <w:r w:rsidR="00992FD0" w:rsidRPr="00EC250C">
        <w:t xml:space="preserve"> w </w:t>
      </w:r>
      <w:r w:rsidRPr="00EC250C">
        <w:t>sprawie wykrytych problemów generalnych. Zgłoszone postulaty są już częściowo realizowane.</w:t>
      </w:r>
    </w:p>
    <w:p w14:paraId="20C0B9E8" w14:textId="77777777" w:rsidR="00CF2F38" w:rsidRPr="00EC250C" w:rsidRDefault="00CF2F38" w:rsidP="00D131FA">
      <w:pPr>
        <w:pStyle w:val="Styl1"/>
      </w:pPr>
      <w:bookmarkStart w:id="201" w:name="_Toc6257715"/>
      <w:r w:rsidRPr="00EC250C">
        <w:t>Trzeba zmienić przepisy</w:t>
      </w:r>
      <w:r w:rsidR="00992FD0" w:rsidRPr="00EC250C">
        <w:t xml:space="preserve"> i </w:t>
      </w:r>
      <w:r w:rsidRPr="00EC250C">
        <w:t>praktykę postępowania wobec osób</w:t>
      </w:r>
      <w:r w:rsidR="00992FD0" w:rsidRPr="00EC250C">
        <w:t xml:space="preserve"> z </w:t>
      </w:r>
      <w:r w:rsidRPr="00EC250C">
        <w:t>niepełnosprawnością psychiczną lub intelektualną, które są uczestnikami postępowania karnego. Inaczej prawa tych osób</w:t>
      </w:r>
      <w:r w:rsidR="00026572" w:rsidRPr="00EC250C">
        <w:t xml:space="preserve"> – </w:t>
      </w:r>
      <w:r w:rsidR="00992FD0" w:rsidRPr="00EC250C">
        <w:t>a </w:t>
      </w:r>
      <w:r w:rsidRPr="00EC250C">
        <w:t>zatem człowieka</w:t>
      </w:r>
      <w:r w:rsidR="00992FD0" w:rsidRPr="00EC250C">
        <w:t xml:space="preserve"> w </w:t>
      </w:r>
      <w:r w:rsidRPr="00EC250C">
        <w:t>ogóle</w:t>
      </w:r>
      <w:r w:rsidR="00026572" w:rsidRPr="00EC250C">
        <w:t xml:space="preserve"> – </w:t>
      </w:r>
      <w:r w:rsidRPr="00EC250C">
        <w:t>będą</w:t>
      </w:r>
      <w:r w:rsidR="00992FD0" w:rsidRPr="00EC250C">
        <w:t xml:space="preserve"> w </w:t>
      </w:r>
      <w:r w:rsidRPr="00EC250C">
        <w:t>naszym kraju bardzo poważnie zagrożone. Nie wystarczą reportaże</w:t>
      </w:r>
      <w:r w:rsidR="00992FD0" w:rsidRPr="00EC250C">
        <w:t xml:space="preserve"> w </w:t>
      </w:r>
      <w:r w:rsidRPr="00EC250C">
        <w:t>mediach, jak np. ten, który wstrząsnął opinią publiczną –</w:t>
      </w:r>
      <w:r w:rsidR="00992FD0" w:rsidRPr="00EC250C">
        <w:t xml:space="preserve"> o </w:t>
      </w:r>
      <w:r w:rsidRPr="00EC250C">
        <w:t>panu Radosławie zamkniętym</w:t>
      </w:r>
      <w:r w:rsidR="00992FD0" w:rsidRPr="00EC250C">
        <w:t xml:space="preserve"> w </w:t>
      </w:r>
      <w:r w:rsidRPr="00EC250C">
        <w:t>więzieniu, mimo że</w:t>
      </w:r>
      <w:r w:rsidR="00992FD0" w:rsidRPr="00EC250C">
        <w:t xml:space="preserve"> z </w:t>
      </w:r>
      <w:r w:rsidRPr="00EC250C">
        <w:t>powodu upośledzenia intelektualnego widzi świat tak jak 7-8–letnie dziecko. Pięć lat temu wszyscy</w:t>
      </w:r>
      <w:r w:rsidR="00992FD0" w:rsidRPr="00EC250C">
        <w:t xml:space="preserve"> o </w:t>
      </w:r>
      <w:r w:rsidRPr="00EC250C">
        <w:t>tym mówili, ale</w:t>
      </w:r>
      <w:r w:rsidR="00992FD0" w:rsidRPr="00EC250C">
        <w:t xml:space="preserve"> i w </w:t>
      </w:r>
      <w:r w:rsidRPr="00EC250C">
        <w:t>tym roku odnotowaliśmy przypadek młodego człowieka, który</w:t>
      </w:r>
      <w:r w:rsidR="00992FD0" w:rsidRPr="00EC250C">
        <w:t xml:space="preserve"> w </w:t>
      </w:r>
      <w:r w:rsidRPr="00EC250C">
        <w:t>nawrocie choroby psychicznej trafił do aresztu,</w:t>
      </w:r>
      <w:r w:rsidR="00992FD0" w:rsidRPr="00EC250C">
        <w:t xml:space="preserve"> a </w:t>
      </w:r>
      <w:r w:rsidRPr="00EC250C">
        <w:t>nie tam, gdzie mógłby dostać fachową pomoc. To nadal jest</w:t>
      </w:r>
      <w:r w:rsidR="00992FD0" w:rsidRPr="00EC250C">
        <w:t xml:space="preserve"> w </w:t>
      </w:r>
      <w:r w:rsidRPr="00EC250C">
        <w:t>Polsce możliwe.</w:t>
      </w:r>
    </w:p>
    <w:p w14:paraId="1CA8C5C9" w14:textId="77777777" w:rsidR="00CF2F38" w:rsidRPr="00EC250C" w:rsidRDefault="00CF2F38" w:rsidP="00D131FA">
      <w:pPr>
        <w:pStyle w:val="Styl1"/>
      </w:pPr>
      <w:r w:rsidRPr="00EC250C">
        <w:t>Zmiany muszą być głębsze:</w:t>
      </w:r>
    </w:p>
    <w:p w14:paraId="11B874F5" w14:textId="77777777" w:rsidR="00CF2F38" w:rsidRPr="00EC250C" w:rsidRDefault="00CF2F38" w:rsidP="006C70B7">
      <w:pPr>
        <w:pStyle w:val="Styl1"/>
        <w:numPr>
          <w:ilvl w:val="0"/>
          <w:numId w:val="146"/>
        </w:numPr>
      </w:pPr>
      <w:r w:rsidRPr="00EC250C">
        <w:t>osoby chorujące psychicznie,</w:t>
      </w:r>
      <w:r w:rsidR="00992FD0" w:rsidRPr="00EC250C">
        <w:t xml:space="preserve"> w </w:t>
      </w:r>
      <w:r w:rsidRPr="00EC250C">
        <w:t>ostrej psychozie, nie mogą trafiać do więzienia</w:t>
      </w:r>
    </w:p>
    <w:p w14:paraId="6C6B92AC" w14:textId="77777777" w:rsidR="00CF2F38" w:rsidRPr="00EC250C" w:rsidRDefault="00CF2F38" w:rsidP="006C70B7">
      <w:pPr>
        <w:pStyle w:val="Styl1"/>
        <w:numPr>
          <w:ilvl w:val="0"/>
          <w:numId w:val="146"/>
        </w:numPr>
      </w:pPr>
      <w:r w:rsidRPr="00EC250C">
        <w:t>musimy wyznaczyć, które szpitale psychiatryczne będą przyjmować osoby chorujące psychiczne, wobec których zastosowano areszt tymczasowy</w:t>
      </w:r>
    </w:p>
    <w:p w14:paraId="75E6CF1C" w14:textId="77777777" w:rsidR="00CF2F38" w:rsidRPr="00EC250C" w:rsidRDefault="00CF2F38" w:rsidP="006C70B7">
      <w:pPr>
        <w:pStyle w:val="Styl1"/>
        <w:numPr>
          <w:ilvl w:val="0"/>
          <w:numId w:val="146"/>
        </w:numPr>
      </w:pPr>
      <w:r w:rsidRPr="00EC250C">
        <w:lastRenderedPageBreak/>
        <w:t>musimy zmienić tak przepisy, by leczyć</w:t>
      </w:r>
      <w:r w:rsidR="00992FD0" w:rsidRPr="00EC250C">
        <w:t xml:space="preserve"> w </w:t>
      </w:r>
      <w:r w:rsidRPr="00EC250C">
        <w:t>szpitalach psychiatrycznych, będących</w:t>
      </w:r>
      <w:r w:rsidR="00992FD0" w:rsidRPr="00EC250C">
        <w:t xml:space="preserve"> w </w:t>
      </w:r>
      <w:r w:rsidRPr="00EC250C">
        <w:t>strukturze publicznej służby zdrowia, tych skazanych, którzy chorują psychicznie,</w:t>
      </w:r>
      <w:r w:rsidR="00992FD0" w:rsidRPr="00EC250C">
        <w:t xml:space="preserve"> a w </w:t>
      </w:r>
      <w:r w:rsidRPr="00EC250C">
        <w:t>warunkach więziennych nie można już im pomóc</w:t>
      </w:r>
    </w:p>
    <w:p w14:paraId="32A4647A" w14:textId="77777777" w:rsidR="00CF2F38" w:rsidRPr="00EC250C" w:rsidRDefault="00CF2F38" w:rsidP="006C70B7">
      <w:pPr>
        <w:pStyle w:val="Styl1"/>
        <w:numPr>
          <w:ilvl w:val="0"/>
          <w:numId w:val="146"/>
        </w:numPr>
      </w:pPr>
      <w:r w:rsidRPr="00EC250C">
        <w:t>policjanci muszą odnotowywać</w:t>
      </w:r>
      <w:r w:rsidR="00992FD0" w:rsidRPr="00EC250C">
        <w:t xml:space="preserve"> w </w:t>
      </w:r>
      <w:r w:rsidRPr="00EC250C">
        <w:t>notatkach służbowych np. to, że kontakt</w:t>
      </w:r>
      <w:r w:rsidR="00992FD0" w:rsidRPr="00EC250C">
        <w:t xml:space="preserve"> z </w:t>
      </w:r>
      <w:r w:rsidRPr="00EC250C">
        <w:t>daną osobą jest utrudniony</w:t>
      </w:r>
    </w:p>
    <w:p w14:paraId="67AF672C" w14:textId="77777777" w:rsidR="00CF2F38" w:rsidRPr="00EC250C" w:rsidRDefault="00CF2F38" w:rsidP="006C70B7">
      <w:pPr>
        <w:pStyle w:val="Styl1"/>
        <w:numPr>
          <w:ilvl w:val="0"/>
          <w:numId w:val="146"/>
        </w:numPr>
      </w:pPr>
      <w:r w:rsidRPr="00EC250C">
        <w:t>prokuratorzy powinni wykazywać większą wrażliwość</w:t>
      </w:r>
      <w:r w:rsidR="00992FD0" w:rsidRPr="00EC250C">
        <w:t xml:space="preserve"> i </w:t>
      </w:r>
      <w:r w:rsidRPr="00EC250C">
        <w:t>powoływać biegłych</w:t>
      </w:r>
      <w:r w:rsidR="00992FD0" w:rsidRPr="00EC250C">
        <w:t xml:space="preserve"> w </w:t>
      </w:r>
      <w:r w:rsidRPr="00EC250C">
        <w:t>przypadku wątpliwości co do stanu zdrowia psychicznego danej osoby</w:t>
      </w:r>
    </w:p>
    <w:p w14:paraId="4F15EE6E" w14:textId="77777777" w:rsidR="00CF2F38" w:rsidRPr="00EC250C" w:rsidRDefault="00CF2F38" w:rsidP="006C70B7">
      <w:pPr>
        <w:pStyle w:val="Styl1"/>
        <w:numPr>
          <w:ilvl w:val="0"/>
          <w:numId w:val="146"/>
        </w:numPr>
      </w:pPr>
      <w:r w:rsidRPr="00EC250C">
        <w:t>sądy nie mogą ignorować przesłanek świadczących</w:t>
      </w:r>
      <w:r w:rsidR="00992FD0" w:rsidRPr="00EC250C">
        <w:t xml:space="preserve"> o </w:t>
      </w:r>
      <w:r w:rsidRPr="00EC250C">
        <w:t>tym, że dana osoba może mieć kłopot</w:t>
      </w:r>
      <w:r w:rsidR="00992FD0" w:rsidRPr="00EC250C">
        <w:t xml:space="preserve"> z </w:t>
      </w:r>
      <w:r w:rsidRPr="00EC250C">
        <w:t>korzystaniem ze swoich praw (a zdarza się, że takim osobom nie zapewnia się obrońcy, mimo że jest to</w:t>
      </w:r>
      <w:r w:rsidR="00992FD0" w:rsidRPr="00EC250C">
        <w:t xml:space="preserve"> w </w:t>
      </w:r>
      <w:r w:rsidRPr="00EC250C">
        <w:t>ich przypadku obligatoryjne!), zapadają też wyroki nieuwzględniające możliwości odbycia kary przez skazanego</w:t>
      </w:r>
    </w:p>
    <w:p w14:paraId="1768DDEF" w14:textId="77777777" w:rsidR="00CF2F38" w:rsidRPr="00EC250C" w:rsidRDefault="00CF2F38" w:rsidP="006C70B7">
      <w:pPr>
        <w:pStyle w:val="Styl1"/>
        <w:numPr>
          <w:ilvl w:val="0"/>
          <w:numId w:val="146"/>
        </w:numPr>
      </w:pPr>
      <w:r w:rsidRPr="00EC250C">
        <w:t>kuratorzy nie mogą wnioskować</w:t>
      </w:r>
      <w:r w:rsidR="00992FD0" w:rsidRPr="00EC250C">
        <w:t xml:space="preserve"> o </w:t>
      </w:r>
      <w:r w:rsidRPr="00EC250C">
        <w:t>umieszczenie</w:t>
      </w:r>
      <w:r w:rsidR="00992FD0" w:rsidRPr="00EC250C">
        <w:t xml:space="preserve"> w </w:t>
      </w:r>
      <w:r w:rsidRPr="00EC250C">
        <w:t>zakładzie karnym kogoś, kto nie zapłacił zasądzonej grzywny albo nie wykonał wskazanych</w:t>
      </w:r>
      <w:r w:rsidR="00992FD0" w:rsidRPr="00EC250C">
        <w:t xml:space="preserve"> w </w:t>
      </w:r>
      <w:r w:rsidRPr="00EC250C">
        <w:t>wyroku prac społecznie użytecznych – nie widząc tej osoby,</w:t>
      </w:r>
      <w:r w:rsidR="00992FD0" w:rsidRPr="00EC250C">
        <w:t xml:space="preserve"> a </w:t>
      </w:r>
      <w:r w:rsidRPr="00EC250C">
        <w:t>sąd nie sprawdza, czy taka osoba może</w:t>
      </w:r>
      <w:r w:rsidR="00992FD0" w:rsidRPr="00EC250C">
        <w:t xml:space="preserve"> w </w:t>
      </w:r>
      <w:r w:rsidRPr="00EC250C">
        <w:t>ogóle zasądzony wyrok wykonać</w:t>
      </w:r>
    </w:p>
    <w:p w14:paraId="2D16E9D9" w14:textId="77777777" w:rsidR="00CF2F38" w:rsidRPr="00EC250C" w:rsidRDefault="00CF2F38" w:rsidP="006C70B7">
      <w:pPr>
        <w:pStyle w:val="Styl1"/>
        <w:numPr>
          <w:ilvl w:val="0"/>
          <w:numId w:val="146"/>
        </w:numPr>
      </w:pPr>
      <w:r w:rsidRPr="00EC250C">
        <w:t>funkcjonariusze Służby Więziennej nie mogą nie przekazywać ważnych informacji</w:t>
      </w:r>
      <w:r w:rsidR="00992FD0" w:rsidRPr="00EC250C">
        <w:t xml:space="preserve"> o </w:t>
      </w:r>
      <w:r w:rsidRPr="00EC250C">
        <w:t>osadzonym prokuratorom, sądom, sędziemu penitencjarnemu</w:t>
      </w:r>
    </w:p>
    <w:p w14:paraId="6316035F" w14:textId="77777777" w:rsidR="00CF2F38" w:rsidRPr="00EC250C" w:rsidRDefault="00CF2F38" w:rsidP="006C70B7">
      <w:pPr>
        <w:pStyle w:val="Styl1"/>
        <w:numPr>
          <w:ilvl w:val="0"/>
          <w:numId w:val="146"/>
        </w:numPr>
      </w:pPr>
      <w:r w:rsidRPr="00EC250C">
        <w:t>sędziowie penitencjarni muszą</w:t>
      </w:r>
      <w:r w:rsidR="00992FD0" w:rsidRPr="00EC250C">
        <w:t xml:space="preserve"> z </w:t>
      </w:r>
      <w:r w:rsidRPr="00EC250C">
        <w:t>większą wrażliwością reagować na sygnały, które skłaniałyby do podjęcia działań</w:t>
      </w:r>
      <w:r w:rsidR="00992FD0" w:rsidRPr="00EC250C">
        <w:t xml:space="preserve"> w </w:t>
      </w:r>
      <w:r w:rsidRPr="00EC250C">
        <w:t>ramach ich kompetencji (spotkania</w:t>
      </w:r>
      <w:r w:rsidR="00992FD0" w:rsidRPr="00EC250C">
        <w:t xml:space="preserve"> z </w:t>
      </w:r>
      <w:r w:rsidRPr="00EC250C">
        <w:t>osadzonymi, wydawanie zaleceń Służbie Więziennej, wystąpienia</w:t>
      </w:r>
      <w:r w:rsidR="00992FD0" w:rsidRPr="00EC250C">
        <w:t xml:space="preserve"> z </w:t>
      </w:r>
      <w:r w:rsidRPr="00EC250C">
        <w:t>urzędu</w:t>
      </w:r>
      <w:r w:rsidR="00992FD0" w:rsidRPr="00EC250C">
        <w:t xml:space="preserve"> o </w:t>
      </w:r>
      <w:r w:rsidRPr="00EC250C">
        <w:t>przerwę</w:t>
      </w:r>
      <w:r w:rsidR="00992FD0" w:rsidRPr="00EC250C">
        <w:t xml:space="preserve"> w </w:t>
      </w:r>
      <w:r w:rsidRPr="00EC250C">
        <w:t>odbywaniu kary)</w:t>
      </w:r>
    </w:p>
    <w:p w14:paraId="5E8C2FAC" w14:textId="77777777" w:rsidR="00CF2F38" w:rsidRPr="00EC250C" w:rsidRDefault="00CF2F38" w:rsidP="006C70B7">
      <w:pPr>
        <w:pStyle w:val="Styl1"/>
        <w:numPr>
          <w:ilvl w:val="0"/>
          <w:numId w:val="146"/>
        </w:numPr>
        <w:rPr>
          <w:b/>
          <w:bCs/>
          <w:iCs/>
        </w:rPr>
      </w:pPr>
      <w:r w:rsidRPr="00EC250C">
        <w:t>policjanci, prokuratorzy, sędziowie, kuratorzy, funkcjonariusze SW muszą się szkolić</w:t>
      </w:r>
      <w:r w:rsidR="00992FD0" w:rsidRPr="00EC250C">
        <w:t xml:space="preserve"> w </w:t>
      </w:r>
      <w:r w:rsidRPr="00EC250C">
        <w:t>tym zakresie.</w:t>
      </w:r>
    </w:p>
    <w:p w14:paraId="430DC35C" w14:textId="77777777" w:rsidR="005C4FBD" w:rsidRPr="00EC250C" w:rsidRDefault="005C4FBD" w:rsidP="00EC79EB">
      <w:pPr>
        <w:pStyle w:val="Nagwek4"/>
      </w:pPr>
      <w:bookmarkStart w:id="202" w:name="_Toc11247609"/>
      <w:r w:rsidRPr="00EC250C">
        <w:t>Praktyka przesłuchiwania podejrzanego</w:t>
      </w:r>
      <w:r w:rsidR="00992FD0" w:rsidRPr="00EC250C">
        <w:t xml:space="preserve"> w </w:t>
      </w:r>
      <w:r w:rsidRPr="00EC250C">
        <w:t xml:space="preserve">charakterze świadka </w:t>
      </w:r>
      <w:r w:rsidR="00171219" w:rsidRPr="00EC250C">
        <w:t>narusza prawo do obrony</w:t>
      </w:r>
      <w:bookmarkEnd w:id="201"/>
      <w:bookmarkEnd w:id="202"/>
    </w:p>
    <w:p w14:paraId="020C6D27" w14:textId="77777777" w:rsidR="00B473F5" w:rsidRPr="00EC250C" w:rsidRDefault="007A3C9D" w:rsidP="00D131FA">
      <w:pPr>
        <w:pStyle w:val="Problemczowieka"/>
        <w:jc w:val="both"/>
        <w:rPr>
          <w:rStyle w:val="Pogrubienie"/>
          <w:b/>
          <w:bCs w:val="0"/>
        </w:rPr>
      </w:pPr>
      <w:r w:rsidRPr="00EC250C">
        <w:rPr>
          <w:rStyle w:val="Pogrubienie"/>
          <w:b/>
          <w:bCs w:val="0"/>
        </w:rPr>
        <w:t>Przesłuchanie</w:t>
      </w:r>
      <w:r w:rsidR="00992FD0" w:rsidRPr="00EC250C">
        <w:rPr>
          <w:rStyle w:val="Pogrubienie"/>
          <w:b/>
          <w:bCs w:val="0"/>
        </w:rPr>
        <w:t xml:space="preserve"> w </w:t>
      </w:r>
      <w:r w:rsidR="008D221D" w:rsidRPr="00EC250C">
        <w:rPr>
          <w:rStyle w:val="Pogrubienie"/>
          <w:b/>
          <w:bCs w:val="0"/>
        </w:rPr>
        <w:t xml:space="preserve">charakterze świadka </w:t>
      </w:r>
      <w:r w:rsidRPr="00EC250C">
        <w:rPr>
          <w:rStyle w:val="Pogrubienie"/>
          <w:b/>
          <w:bCs w:val="0"/>
        </w:rPr>
        <w:t>osoby faktycznie podejrzanej</w:t>
      </w:r>
      <w:r w:rsidR="008D221D" w:rsidRPr="00EC250C">
        <w:rPr>
          <w:rStyle w:val="Pogrubienie"/>
          <w:b/>
          <w:bCs w:val="0"/>
        </w:rPr>
        <w:t xml:space="preserve">, ale której nie postawiono jeszcze zarzutów, </w:t>
      </w:r>
      <w:r w:rsidRPr="00EC250C">
        <w:rPr>
          <w:rStyle w:val="Pogrubienie"/>
          <w:b/>
          <w:bCs w:val="0"/>
        </w:rPr>
        <w:t>jest niedozwolone, ale</w:t>
      </w:r>
      <w:r w:rsidR="00CC4D88" w:rsidRPr="00EC250C">
        <w:rPr>
          <w:rStyle w:val="Pogrubienie"/>
          <w:b/>
          <w:bCs w:val="0"/>
        </w:rPr>
        <w:t xml:space="preserve"> </w:t>
      </w:r>
      <w:r w:rsidRPr="00EC250C">
        <w:rPr>
          <w:rStyle w:val="Pogrubienie"/>
          <w:b/>
          <w:bCs w:val="0"/>
        </w:rPr>
        <w:t>praktykowane</w:t>
      </w:r>
      <w:r w:rsidR="00171219" w:rsidRPr="00EC250C">
        <w:rPr>
          <w:rStyle w:val="Pogrubienie"/>
          <w:b/>
          <w:bCs w:val="0"/>
        </w:rPr>
        <w:t>. Tymczasem różnica jest dla przesłuchiwanego kluczowa, bo świadek musi mówić wszystko, co wie,</w:t>
      </w:r>
      <w:r w:rsidR="00992FD0" w:rsidRPr="00EC250C">
        <w:rPr>
          <w:rStyle w:val="Pogrubienie"/>
          <w:b/>
          <w:bCs w:val="0"/>
        </w:rPr>
        <w:t xml:space="preserve"> a </w:t>
      </w:r>
      <w:r w:rsidR="00171219" w:rsidRPr="00EC250C">
        <w:rPr>
          <w:rStyle w:val="Pogrubienie"/>
          <w:b/>
          <w:bCs w:val="0"/>
        </w:rPr>
        <w:t>podejrzany – ma prawo się nie obciążać</w:t>
      </w:r>
      <w:r w:rsidR="00B473F5" w:rsidRPr="00EC250C">
        <w:rPr>
          <w:rStyle w:val="Pogrubienie"/>
          <w:b/>
          <w:bCs w:val="0"/>
        </w:rPr>
        <w:t>.</w:t>
      </w:r>
    </w:p>
    <w:p w14:paraId="31C424A5" w14:textId="77777777" w:rsidR="007A3C9D" w:rsidRPr="00EC250C" w:rsidRDefault="007A3C9D" w:rsidP="00D131FA">
      <w:pPr>
        <w:pStyle w:val="Styl1"/>
      </w:pPr>
      <w:r w:rsidRPr="00EC250C">
        <w:rPr>
          <w:rStyle w:val="Pogrubienie"/>
          <w:b w:val="0"/>
          <w:bCs w:val="0"/>
        </w:rPr>
        <w:t>Zdaniem RPO takie osoby powinny mieć status świadka</w:t>
      </w:r>
      <w:r w:rsidR="00992FD0" w:rsidRPr="00EC250C">
        <w:rPr>
          <w:rStyle w:val="Pogrubienie"/>
          <w:b w:val="0"/>
          <w:bCs w:val="0"/>
        </w:rPr>
        <w:t xml:space="preserve"> z </w:t>
      </w:r>
      <w:r w:rsidRPr="00EC250C">
        <w:rPr>
          <w:rStyle w:val="Pogrubienie"/>
          <w:b w:val="0"/>
          <w:bCs w:val="0"/>
        </w:rPr>
        <w:t>asystą, czyli być przesłuchiwane</w:t>
      </w:r>
      <w:r w:rsidR="00992FD0" w:rsidRPr="00EC250C">
        <w:rPr>
          <w:rStyle w:val="Pogrubienie"/>
          <w:b w:val="0"/>
          <w:bCs w:val="0"/>
        </w:rPr>
        <w:t xml:space="preserve"> w </w:t>
      </w:r>
      <w:r w:rsidRPr="00EC250C">
        <w:rPr>
          <w:rStyle w:val="Pogrubienie"/>
          <w:b w:val="0"/>
          <w:bCs w:val="0"/>
        </w:rPr>
        <w:t>obecności adwokata</w:t>
      </w:r>
      <w:r w:rsidRPr="00EC250C">
        <w:t>.</w:t>
      </w:r>
    </w:p>
    <w:p w14:paraId="4CBE9F9D" w14:textId="77777777" w:rsidR="00A5272B" w:rsidRPr="00EC250C" w:rsidRDefault="00A5272B" w:rsidP="00EC250C">
      <w:pPr>
        <w:pStyle w:val="Nagwek5"/>
      </w:pPr>
      <w:r w:rsidRPr="00EC250C">
        <w:t>Instytucja świadka</w:t>
      </w:r>
      <w:r w:rsidR="00992FD0" w:rsidRPr="00EC250C">
        <w:t xml:space="preserve"> z </w:t>
      </w:r>
      <w:r w:rsidRPr="00EC250C">
        <w:t>asystą</w:t>
      </w:r>
    </w:p>
    <w:p w14:paraId="47FE3A6D" w14:textId="77777777" w:rsidR="00D47DAC" w:rsidRPr="00EC250C" w:rsidRDefault="00D47DAC" w:rsidP="00D131FA">
      <w:pPr>
        <w:pStyle w:val="Styl1"/>
      </w:pPr>
      <w:r w:rsidRPr="00EC250C">
        <w:t>Skoro podejrzany ma zagwarantowane prawo do obrońcy, powinno ono przysługiwać także osobie faktycznie podejrzanej.</w:t>
      </w:r>
    </w:p>
    <w:p w14:paraId="7F14531E" w14:textId="77777777" w:rsidR="00C91F6E" w:rsidRPr="00EC250C" w:rsidRDefault="007A3C9D" w:rsidP="00D131FA">
      <w:pPr>
        <w:pStyle w:val="Styl1"/>
      </w:pPr>
      <w:r w:rsidRPr="00EC250C">
        <w:lastRenderedPageBreak/>
        <w:t>Na etapie przesłuchania</w:t>
      </w:r>
      <w:r w:rsidR="00992FD0" w:rsidRPr="00EC250C">
        <w:t xml:space="preserve"> w </w:t>
      </w:r>
      <w:r w:rsidRPr="00EC250C">
        <w:t>charakterze świadka, osoba</w:t>
      </w:r>
      <w:r w:rsidR="00026572" w:rsidRPr="00EC250C">
        <w:t xml:space="preserve"> – </w:t>
      </w:r>
      <w:r w:rsidRPr="00EC250C">
        <w:t>co do której istnieje uzasadniona podstawa do postawienia jej zarzutów</w:t>
      </w:r>
      <w:r w:rsidR="00026572" w:rsidRPr="00EC250C">
        <w:t xml:space="preserve"> – </w:t>
      </w:r>
      <w:r w:rsidRPr="00EC250C">
        <w:t>musi podjąć istotne dla swej obrony decyzje: milczeć, zeznawać zgodnie</w:t>
      </w:r>
      <w:r w:rsidR="00992FD0" w:rsidRPr="00EC250C">
        <w:t xml:space="preserve"> z </w:t>
      </w:r>
      <w:r w:rsidRPr="00EC250C">
        <w:t>prawdą czy też nie.</w:t>
      </w:r>
    </w:p>
    <w:p w14:paraId="49C598D7" w14:textId="77777777" w:rsidR="00C91F6E" w:rsidRPr="00EC250C" w:rsidRDefault="00A5272B" w:rsidP="00EC250C">
      <w:pPr>
        <w:pStyle w:val="Nagwek5"/>
      </w:pPr>
      <w:r w:rsidRPr="00EC250C">
        <w:t>Usuwanie obciążających zeznań świadka</w:t>
      </w:r>
    </w:p>
    <w:p w14:paraId="3C853C29" w14:textId="77777777" w:rsidR="00C91F6E" w:rsidRPr="00EC250C" w:rsidRDefault="00A5272B" w:rsidP="00D131FA">
      <w:pPr>
        <w:pStyle w:val="Styl1"/>
      </w:pPr>
      <w:r w:rsidRPr="00EC250C">
        <w:t xml:space="preserve">Należałoby wprowadzić </w:t>
      </w:r>
      <w:r w:rsidR="00D47DAC" w:rsidRPr="00EC250C">
        <w:t xml:space="preserve">do </w:t>
      </w:r>
      <w:r w:rsidRPr="00EC250C">
        <w:t>Kodek</w:t>
      </w:r>
      <w:r w:rsidR="00D47DAC" w:rsidRPr="00EC250C">
        <w:t>su</w:t>
      </w:r>
      <w:r w:rsidRPr="00EC250C">
        <w:t xml:space="preserve"> postępowania karnego </w:t>
      </w:r>
      <w:r w:rsidR="00D47DAC" w:rsidRPr="00EC250C">
        <w:t xml:space="preserve">regulację </w:t>
      </w:r>
      <w:r w:rsidRPr="00EC250C">
        <w:t>pozwalającą na wyeliminowanie</w:t>
      </w:r>
      <w:r w:rsidR="00992FD0" w:rsidRPr="00EC250C">
        <w:t xml:space="preserve"> z </w:t>
      </w:r>
      <w:r w:rsidRPr="00EC250C">
        <w:t>akt sprawy dowodów zebranych</w:t>
      </w:r>
      <w:r w:rsidR="00992FD0" w:rsidRPr="00EC250C">
        <w:t xml:space="preserve"> z </w:t>
      </w:r>
      <w:r w:rsidRPr="00EC250C">
        <w:t>naruszeniem swobody wypowiedzi,</w:t>
      </w:r>
      <w:r w:rsidR="00992FD0" w:rsidRPr="00EC250C">
        <w:t xml:space="preserve"> w </w:t>
      </w:r>
      <w:r w:rsidRPr="00EC250C">
        <w:t>tym zeznań inkryminujących świadków przesłuchiwanych</w:t>
      </w:r>
      <w:r w:rsidR="00992FD0" w:rsidRPr="00EC250C">
        <w:t xml:space="preserve"> w </w:t>
      </w:r>
      <w:r w:rsidRPr="00EC250C">
        <w:t>tym trybie przed postawieniem im zarzutów. Sąd prowadzący sprawę nie mógłby się</w:t>
      </w:r>
      <w:r w:rsidR="00992FD0" w:rsidRPr="00EC250C">
        <w:t xml:space="preserve"> z </w:t>
      </w:r>
      <w:r w:rsidRPr="00EC250C">
        <w:t>nimi zapoznawać, by nie wyrobić sobie wewnętrznego nastawienia</w:t>
      </w:r>
      <w:r w:rsidR="00992FD0" w:rsidRPr="00EC250C">
        <w:t xml:space="preserve"> o </w:t>
      </w:r>
      <w:r w:rsidRPr="00EC250C">
        <w:t>winie.</w:t>
      </w:r>
    </w:p>
    <w:p w14:paraId="5E61B261" w14:textId="77777777" w:rsidR="00C91F6E" w:rsidRPr="00EC250C" w:rsidRDefault="007447EE" w:rsidP="00D131FA">
      <w:pPr>
        <w:pStyle w:val="Styl1"/>
      </w:pPr>
      <w:r w:rsidRPr="00EC250C">
        <w:t>RPO</w:t>
      </w:r>
      <w:r w:rsidR="007A3C9D" w:rsidRPr="00EC250C">
        <w:t xml:space="preserve"> za pożądane uznaje takie uregulowanie kwestii tzw. owoców zatrutego drzewa (czyli dowodów uzyskanych nielegalnie przez organa ścigania), aby nie były gromadzone dowody, które mogłyby podważyć bezstronność sędziego oraz naruszać domniemanie niewinności.</w:t>
      </w:r>
    </w:p>
    <w:p w14:paraId="650529FF" w14:textId="77777777" w:rsidR="00A5272B" w:rsidRPr="00EC250C" w:rsidRDefault="00A5272B" w:rsidP="00EC250C">
      <w:pPr>
        <w:pStyle w:val="Nagwek5"/>
      </w:pPr>
      <w:r w:rsidRPr="00EC250C">
        <w:t>Nagrywanie przesłuchań</w:t>
      </w:r>
    </w:p>
    <w:p w14:paraId="12291805" w14:textId="77777777" w:rsidR="007A3C9D" w:rsidRPr="00EC250C" w:rsidRDefault="007A3C9D" w:rsidP="00D131FA">
      <w:pPr>
        <w:pStyle w:val="Styl1"/>
      </w:pPr>
      <w:r w:rsidRPr="00EC250C">
        <w:t>RPO uznaje za zasadne wprowadzenie nagrywania przesłuchań, co dodatkowo ograniczyłoby możliwość wywierania niedozwolonego nacisku na świadków</w:t>
      </w:r>
      <w:r w:rsidR="00992FD0" w:rsidRPr="00EC250C">
        <w:t xml:space="preserve"> i </w:t>
      </w:r>
      <w:r w:rsidRPr="00EC250C">
        <w:t>podejrzanych.</w:t>
      </w:r>
    </w:p>
    <w:p w14:paraId="4D8B3F5F" w14:textId="77777777" w:rsidR="005C4FBD" w:rsidRPr="00EC250C" w:rsidRDefault="005C4FBD" w:rsidP="00D131FA">
      <w:pPr>
        <w:pStyle w:val="Styl1"/>
        <w:rPr>
          <w:bCs/>
          <w:iCs/>
        </w:rPr>
      </w:pPr>
      <w:r w:rsidRPr="00EC250C">
        <w:rPr>
          <w:bCs/>
          <w:iCs/>
        </w:rPr>
        <w:t>Rzecznik zwrócił się</w:t>
      </w:r>
      <w:r w:rsidR="00ED13A2" w:rsidRPr="00EC250C">
        <w:rPr>
          <w:rStyle w:val="Odwoanieprzypisudolnego"/>
          <w:bCs/>
          <w:iCs/>
        </w:rPr>
        <w:footnoteReference w:id="175"/>
      </w:r>
      <w:r w:rsidR="00992FD0" w:rsidRPr="00EC250C">
        <w:rPr>
          <w:bCs/>
          <w:iCs/>
        </w:rPr>
        <w:t xml:space="preserve"> o </w:t>
      </w:r>
      <w:r w:rsidR="00A5272B" w:rsidRPr="00EC250C">
        <w:rPr>
          <w:bCs/>
          <w:iCs/>
        </w:rPr>
        <w:t xml:space="preserve">stanowisko </w:t>
      </w:r>
      <w:r w:rsidRPr="00EC250C">
        <w:rPr>
          <w:bCs/>
          <w:iCs/>
        </w:rPr>
        <w:t>do Ministra</w:t>
      </w:r>
      <w:r w:rsidR="00ED13A2" w:rsidRPr="00EC250C">
        <w:rPr>
          <w:bCs/>
          <w:iCs/>
        </w:rPr>
        <w:t xml:space="preserve"> Sprawiedliwości</w:t>
      </w:r>
      <w:r w:rsidRPr="00EC250C">
        <w:rPr>
          <w:bCs/>
          <w:iCs/>
        </w:rPr>
        <w:t>.</w:t>
      </w:r>
      <w:r w:rsidR="001B6838" w:rsidRPr="00EC250C">
        <w:rPr>
          <w:bCs/>
          <w:iCs/>
        </w:rPr>
        <w:t xml:space="preserve"> Ten</w:t>
      </w:r>
      <w:r w:rsidR="00992FD0" w:rsidRPr="00EC250C">
        <w:rPr>
          <w:bCs/>
          <w:iCs/>
        </w:rPr>
        <w:t xml:space="preserve"> w </w:t>
      </w:r>
      <w:r w:rsidR="001B6838" w:rsidRPr="00EC250C">
        <w:rPr>
          <w:bCs/>
          <w:iCs/>
        </w:rPr>
        <w:t>kwietniu 2019</w:t>
      </w:r>
      <w:r w:rsidR="00C91F6E" w:rsidRPr="00EC250C">
        <w:rPr>
          <w:bCs/>
          <w:iCs/>
        </w:rPr>
        <w:t> r.</w:t>
      </w:r>
      <w:r w:rsidR="001B6838" w:rsidRPr="00EC250C">
        <w:rPr>
          <w:bCs/>
          <w:iCs/>
        </w:rPr>
        <w:t xml:space="preserve"> przekazał sprawę do rozpoznania Prokuraturze Krajowej.</w:t>
      </w:r>
    </w:p>
    <w:p w14:paraId="720B0B42" w14:textId="77777777" w:rsidR="00895B15" w:rsidRPr="00EC250C" w:rsidRDefault="00895B15" w:rsidP="00EC250C">
      <w:pPr>
        <w:pStyle w:val="Nagwek8"/>
      </w:pPr>
      <w:bookmarkStart w:id="203" w:name="_Toc6257716"/>
      <w:r w:rsidRPr="00EC250C">
        <w:t>Mały świadek koronny</w:t>
      </w:r>
      <w:r w:rsidR="00026572" w:rsidRPr="00EC250C">
        <w:t xml:space="preserve"> – </w:t>
      </w:r>
      <w:r w:rsidRPr="00EC250C">
        <w:t>czy mamy</w:t>
      </w:r>
      <w:r w:rsidR="00992FD0" w:rsidRPr="00EC250C">
        <w:t xml:space="preserve"> z </w:t>
      </w:r>
      <w:r w:rsidRPr="00EC250C">
        <w:t>tym problem? (sprawa Bonusa RPK</w:t>
      </w:r>
      <w:r w:rsidR="00992FD0" w:rsidRPr="00EC250C">
        <w:t xml:space="preserve"> i </w:t>
      </w:r>
      <w:r w:rsidRPr="00EC250C">
        <w:t>nie tylko)</w:t>
      </w:r>
    </w:p>
    <w:p w14:paraId="2CBBC476" w14:textId="77777777" w:rsidR="00C91F6E" w:rsidRPr="00EC250C" w:rsidRDefault="00895B15" w:rsidP="00D131FA">
      <w:pPr>
        <w:pStyle w:val="Styl2"/>
        <w:rPr>
          <w:rStyle w:val="Pogrubienie"/>
          <w:b/>
          <w:bCs/>
          <w:szCs w:val="24"/>
        </w:rPr>
      </w:pPr>
      <w:r w:rsidRPr="00EC250C">
        <w:rPr>
          <w:rStyle w:val="Pogrubienie"/>
          <w:b/>
          <w:bCs/>
          <w:szCs w:val="24"/>
        </w:rPr>
        <w:t>Potrzebne są zmiany systemowe przepisów</w:t>
      </w:r>
      <w:r w:rsidR="00992FD0" w:rsidRPr="00EC250C">
        <w:rPr>
          <w:rStyle w:val="Pogrubienie"/>
          <w:b/>
          <w:bCs/>
          <w:szCs w:val="24"/>
        </w:rPr>
        <w:t xml:space="preserve"> o </w:t>
      </w:r>
      <w:r w:rsidRPr="00EC250C">
        <w:rPr>
          <w:rStyle w:val="Pogrubienie"/>
          <w:b/>
          <w:bCs/>
          <w:szCs w:val="24"/>
        </w:rPr>
        <w:t>„małym świadku koronnym"</w:t>
      </w:r>
      <w:r w:rsidR="00026572" w:rsidRPr="00EC250C">
        <w:rPr>
          <w:rStyle w:val="Pogrubienie"/>
          <w:b/>
          <w:bCs/>
          <w:szCs w:val="24"/>
        </w:rPr>
        <w:t xml:space="preserve"> – </w:t>
      </w:r>
      <w:r w:rsidRPr="00EC250C">
        <w:rPr>
          <w:rStyle w:val="Pogrubienie"/>
          <w:b/>
          <w:bCs/>
          <w:szCs w:val="24"/>
        </w:rPr>
        <w:t>zgodzili się uczestnicy konferencji</w:t>
      </w:r>
      <w:r w:rsidR="00992FD0" w:rsidRPr="00EC250C">
        <w:rPr>
          <w:rStyle w:val="Pogrubienie"/>
          <w:b/>
          <w:bCs/>
          <w:szCs w:val="24"/>
        </w:rPr>
        <w:t xml:space="preserve"> w </w:t>
      </w:r>
      <w:r w:rsidRPr="00EC250C">
        <w:rPr>
          <w:rStyle w:val="Pogrubienie"/>
          <w:b/>
          <w:bCs/>
          <w:szCs w:val="24"/>
        </w:rPr>
        <w:t>Biurze RPO</w:t>
      </w:r>
      <w:r w:rsidR="00321562" w:rsidRPr="00EC250C">
        <w:rPr>
          <w:rStyle w:val="Pogrubienie"/>
          <w:b/>
          <w:bCs/>
          <w:szCs w:val="24"/>
        </w:rPr>
        <w:t xml:space="preserve">. </w:t>
      </w:r>
      <w:r w:rsidRPr="00EC250C">
        <w:rPr>
          <w:rStyle w:val="Pogrubienie"/>
          <w:b/>
          <w:bCs/>
          <w:szCs w:val="24"/>
        </w:rPr>
        <w:t>Za najważniejsze uzna</w:t>
      </w:r>
      <w:r w:rsidR="00321562" w:rsidRPr="00EC250C">
        <w:rPr>
          <w:rStyle w:val="Pogrubienie"/>
          <w:b/>
          <w:bCs/>
          <w:szCs w:val="24"/>
        </w:rPr>
        <w:t>li</w:t>
      </w:r>
      <w:r w:rsidRPr="00EC250C">
        <w:rPr>
          <w:rStyle w:val="Pogrubienie"/>
          <w:b/>
          <w:bCs/>
          <w:szCs w:val="24"/>
        </w:rPr>
        <w:t xml:space="preserve"> zapewnienie możliwości realnej weryfikacji zeznań takiego świadka przez obronę</w:t>
      </w:r>
      <w:r w:rsidR="00992FD0" w:rsidRPr="00EC250C">
        <w:rPr>
          <w:rStyle w:val="Pogrubienie"/>
          <w:b/>
          <w:bCs/>
          <w:szCs w:val="24"/>
        </w:rPr>
        <w:t xml:space="preserve"> w </w:t>
      </w:r>
      <w:r w:rsidRPr="00EC250C">
        <w:rPr>
          <w:rStyle w:val="Pogrubienie"/>
          <w:b/>
          <w:bCs/>
          <w:szCs w:val="24"/>
        </w:rPr>
        <w:t>sądzie</w:t>
      </w:r>
      <w:r w:rsidR="00321562" w:rsidRPr="00EC250C">
        <w:rPr>
          <w:rStyle w:val="Pogrubienie"/>
          <w:b/>
          <w:bCs/>
          <w:szCs w:val="24"/>
        </w:rPr>
        <w:t>.</w:t>
      </w:r>
    </w:p>
    <w:p w14:paraId="3A6CA27B" w14:textId="77777777" w:rsidR="00895B15" w:rsidRPr="00EC250C" w:rsidRDefault="00895B15" w:rsidP="00D131FA">
      <w:pPr>
        <w:pStyle w:val="Styl2"/>
        <w:rPr>
          <w:szCs w:val="24"/>
        </w:rPr>
      </w:pPr>
      <w:r w:rsidRPr="00EC250C">
        <w:rPr>
          <w:szCs w:val="24"/>
        </w:rPr>
        <w:t>6 grudnia 2018</w:t>
      </w:r>
      <w:r w:rsidR="00C91F6E" w:rsidRPr="00EC250C">
        <w:rPr>
          <w:szCs w:val="24"/>
        </w:rPr>
        <w:t> r.</w:t>
      </w:r>
      <w:r w:rsidR="00992FD0" w:rsidRPr="00EC250C">
        <w:rPr>
          <w:szCs w:val="24"/>
        </w:rPr>
        <w:t xml:space="preserve"> w </w:t>
      </w:r>
      <w:r w:rsidRPr="00EC250C">
        <w:rPr>
          <w:szCs w:val="24"/>
        </w:rPr>
        <w:t>Biurze Rzecznika Praw Obywatelskich zorganizowano</w:t>
      </w:r>
      <w:r w:rsidR="00CC4D88" w:rsidRPr="00EC250C">
        <w:rPr>
          <w:szCs w:val="24"/>
        </w:rPr>
        <w:t xml:space="preserve"> </w:t>
      </w:r>
      <w:r w:rsidRPr="00EC250C">
        <w:rPr>
          <w:szCs w:val="24"/>
        </w:rPr>
        <w:t>konferencję naukową </w:t>
      </w:r>
      <w:r w:rsidRPr="00EC250C">
        <w:rPr>
          <w:rStyle w:val="Uwydatnienie"/>
          <w:i w:val="0"/>
          <w:iCs/>
          <w:szCs w:val="24"/>
        </w:rPr>
        <w:t>Instytucja „małego świadka koronnego”</w:t>
      </w:r>
      <w:r w:rsidR="00026572" w:rsidRPr="00EC250C">
        <w:rPr>
          <w:rStyle w:val="Uwydatnienie"/>
          <w:i w:val="0"/>
          <w:iCs/>
          <w:szCs w:val="24"/>
        </w:rPr>
        <w:t xml:space="preserve"> – </w:t>
      </w:r>
      <w:r w:rsidRPr="00EC250C">
        <w:rPr>
          <w:rStyle w:val="Uwydatnienie"/>
          <w:i w:val="0"/>
          <w:iCs/>
          <w:szCs w:val="24"/>
        </w:rPr>
        <w:t>praktyka, kontrowersje, wyzwania.</w:t>
      </w:r>
      <w:r w:rsidRPr="00EC250C">
        <w:rPr>
          <w:szCs w:val="24"/>
        </w:rPr>
        <w:t> Wzięli</w:t>
      </w:r>
      <w:r w:rsidR="00992FD0" w:rsidRPr="00EC250C">
        <w:rPr>
          <w:szCs w:val="24"/>
        </w:rPr>
        <w:t xml:space="preserve"> w </w:t>
      </w:r>
      <w:r w:rsidRPr="00EC250C">
        <w:rPr>
          <w:szCs w:val="24"/>
        </w:rPr>
        <w:t>niej udział wybitni naukowcy</w:t>
      </w:r>
      <w:r w:rsidR="00992FD0" w:rsidRPr="00EC250C">
        <w:rPr>
          <w:szCs w:val="24"/>
        </w:rPr>
        <w:t xml:space="preserve"> i </w:t>
      </w:r>
      <w:r w:rsidRPr="00EC250C">
        <w:rPr>
          <w:szCs w:val="24"/>
        </w:rPr>
        <w:t>praktycy.</w:t>
      </w:r>
    </w:p>
    <w:p w14:paraId="74A22AB0" w14:textId="77777777" w:rsidR="00895B15" w:rsidRPr="00EC250C" w:rsidRDefault="00895B15" w:rsidP="00D131FA">
      <w:pPr>
        <w:pStyle w:val="Styl2"/>
        <w:rPr>
          <w:szCs w:val="24"/>
        </w:rPr>
      </w:pPr>
      <w:r w:rsidRPr="00EC250C">
        <w:rPr>
          <w:szCs w:val="24"/>
        </w:rPr>
        <w:t xml:space="preserve">Sprawa stała się głośna latem </w:t>
      </w:r>
      <w:r w:rsidR="00635010" w:rsidRPr="00EC250C">
        <w:rPr>
          <w:szCs w:val="24"/>
        </w:rPr>
        <w:t>2018 r.</w:t>
      </w:r>
      <w:r w:rsidRPr="00EC250C">
        <w:rPr>
          <w:szCs w:val="24"/>
        </w:rPr>
        <w:t>, kiedy raper Bonus RPK został skazany</w:t>
      </w:r>
      <w:r w:rsidR="00992FD0" w:rsidRPr="00EC250C">
        <w:rPr>
          <w:szCs w:val="24"/>
        </w:rPr>
        <w:t xml:space="preserve"> w </w:t>
      </w:r>
      <w:r w:rsidRPr="00EC250C">
        <w:rPr>
          <w:szCs w:val="24"/>
        </w:rPr>
        <w:t>sprawie dotyczącej handlu narkotykami na podstawie zeznań tzw. małego świadka koronnego. Przez media społecznościowe przetoczyła wtedy się akcja </w:t>
      </w:r>
      <w:r w:rsidRPr="00EC250C">
        <w:rPr>
          <w:rStyle w:val="Hipercze"/>
          <w:color w:val="C00000"/>
          <w:sz w:val="20"/>
          <w:szCs w:val="20"/>
        </w:rPr>
        <w:t>#MuremZaBonusem</w:t>
      </w:r>
      <w:r w:rsidRPr="00EC250C">
        <w:rPr>
          <w:szCs w:val="24"/>
        </w:rPr>
        <w:t>. Sprawa toczy się przed sądem II instancji. Raper podkreśla, że podstawą skazania są niewiarygodne oskarżenia osoby, która pomówiła go po to, by skorzystać ze złagodzenia kary, czyli ze statusu tzw. małego świadka koronnego.</w:t>
      </w:r>
    </w:p>
    <w:p w14:paraId="0C4C9242" w14:textId="77777777" w:rsidR="00895B15" w:rsidRPr="00EC250C" w:rsidRDefault="00895B15" w:rsidP="00D131FA">
      <w:pPr>
        <w:pStyle w:val="Styl2"/>
        <w:rPr>
          <w:szCs w:val="24"/>
        </w:rPr>
      </w:pPr>
      <w:r w:rsidRPr="00EC250C">
        <w:rPr>
          <w:szCs w:val="24"/>
        </w:rPr>
        <w:t>Dla RPO był to sygnał, że sprawie trzeba się przyjrzeć, zwłaszcza że</w:t>
      </w:r>
      <w:r w:rsidR="00992FD0" w:rsidRPr="00EC250C">
        <w:rPr>
          <w:szCs w:val="24"/>
        </w:rPr>
        <w:t xml:space="preserve"> o </w:t>
      </w:r>
      <w:r w:rsidRPr="00EC250C">
        <w:rPr>
          <w:szCs w:val="24"/>
        </w:rPr>
        <w:t>problemie</w:t>
      </w:r>
      <w:r w:rsidR="00992FD0" w:rsidRPr="00EC250C">
        <w:rPr>
          <w:szCs w:val="24"/>
        </w:rPr>
        <w:t xml:space="preserve"> z </w:t>
      </w:r>
      <w:r w:rsidRPr="00EC250C">
        <w:rPr>
          <w:szCs w:val="24"/>
        </w:rPr>
        <w:t>małym świadkiem koronnym prawnicy mówią od lat.</w:t>
      </w:r>
    </w:p>
    <w:p w14:paraId="7093AC3D" w14:textId="77777777" w:rsidR="00895B15" w:rsidRPr="00EC250C" w:rsidRDefault="00895B15" w:rsidP="00D131FA">
      <w:pPr>
        <w:pStyle w:val="Styl2"/>
        <w:rPr>
          <w:szCs w:val="24"/>
        </w:rPr>
      </w:pPr>
      <w:r w:rsidRPr="00EC250C">
        <w:rPr>
          <w:szCs w:val="24"/>
        </w:rPr>
        <w:t>Instytucję świadka koronnego (tzw. dużego świadka koronnego) wprowadzono 20 lat temu jako narzędzie do walki ze zorganizowaną przestępczością. Ktoś, kto współuczestniczył</w:t>
      </w:r>
      <w:r w:rsidR="00992FD0" w:rsidRPr="00EC250C">
        <w:rPr>
          <w:szCs w:val="24"/>
        </w:rPr>
        <w:t xml:space="preserve"> </w:t>
      </w:r>
      <w:r w:rsidR="00992FD0" w:rsidRPr="00EC250C">
        <w:rPr>
          <w:szCs w:val="24"/>
        </w:rPr>
        <w:lastRenderedPageBreak/>
        <w:t>w </w:t>
      </w:r>
      <w:r w:rsidRPr="00EC250C">
        <w:rPr>
          <w:szCs w:val="24"/>
        </w:rPr>
        <w:t>przestępstwie, ale łamie zmowę milczenia</w:t>
      </w:r>
      <w:r w:rsidR="00992FD0" w:rsidRPr="00EC250C">
        <w:rPr>
          <w:szCs w:val="24"/>
        </w:rPr>
        <w:t xml:space="preserve"> i </w:t>
      </w:r>
      <w:r w:rsidRPr="00EC250C">
        <w:rPr>
          <w:szCs w:val="24"/>
        </w:rPr>
        <w:t>ujawnia wszystko, co wie, może liczyć nie tylko na bezkarność, ale też na ochronę ze strony państwa (łącznie ze zmianą tożsamości, jeśli to potrzebne).</w:t>
      </w:r>
    </w:p>
    <w:p w14:paraId="6C439E30" w14:textId="77777777" w:rsidR="00CE479F" w:rsidRPr="00EC250C" w:rsidRDefault="00CE479F" w:rsidP="00D131FA">
      <w:pPr>
        <w:pStyle w:val="Styl2"/>
        <w:rPr>
          <w:szCs w:val="24"/>
        </w:rPr>
      </w:pPr>
      <w:r w:rsidRPr="00EC250C">
        <w:rPr>
          <w:szCs w:val="24"/>
        </w:rPr>
        <w:t>Taki kontrakt wymiaru sprawiedliwości</w:t>
      </w:r>
      <w:r w:rsidR="00992FD0" w:rsidRPr="00EC250C">
        <w:rPr>
          <w:szCs w:val="24"/>
        </w:rPr>
        <w:t xml:space="preserve"> z </w:t>
      </w:r>
      <w:r w:rsidRPr="00EC250C">
        <w:rPr>
          <w:szCs w:val="24"/>
        </w:rPr>
        <w:t>przestępcą jest jednak rzeczą rzadką. Dużo częściej korzysta się</w:t>
      </w:r>
      <w:r w:rsidR="00992FD0" w:rsidRPr="00EC250C">
        <w:rPr>
          <w:szCs w:val="24"/>
        </w:rPr>
        <w:t xml:space="preserve"> z </w:t>
      </w:r>
      <w:r w:rsidRPr="00EC250C">
        <w:rPr>
          <w:szCs w:val="24"/>
        </w:rPr>
        <w:t>instytucji „małego świadka koronnego” (uregulowanej</w:t>
      </w:r>
      <w:r w:rsidR="00992FD0" w:rsidRPr="00EC250C">
        <w:rPr>
          <w:szCs w:val="24"/>
        </w:rPr>
        <w:t xml:space="preserve"> w </w:t>
      </w:r>
      <w:r w:rsidRPr="00EC250C">
        <w:rPr>
          <w:szCs w:val="24"/>
        </w:rPr>
        <w:t>art. 60 § 3</w:t>
      </w:r>
      <w:r w:rsidR="00992FD0" w:rsidRPr="00EC250C">
        <w:rPr>
          <w:szCs w:val="24"/>
        </w:rPr>
        <w:t xml:space="preserve"> i </w:t>
      </w:r>
      <w:r w:rsidRPr="00EC250C">
        <w:rPr>
          <w:szCs w:val="24"/>
        </w:rPr>
        <w:t>4 Kodeksu karnego). Tu skruszony przestępca nie jest zwolniony</w:t>
      </w:r>
      <w:r w:rsidR="00992FD0" w:rsidRPr="00EC250C">
        <w:rPr>
          <w:szCs w:val="24"/>
        </w:rPr>
        <w:t xml:space="preserve"> z </w:t>
      </w:r>
      <w:r w:rsidRPr="00EC250C">
        <w:rPr>
          <w:szCs w:val="24"/>
        </w:rPr>
        <w:t>odpowiedzialności, jest ona tylko łagodniejsza, niż wynika to</w:t>
      </w:r>
      <w:r w:rsidR="00992FD0" w:rsidRPr="00EC250C">
        <w:rPr>
          <w:szCs w:val="24"/>
        </w:rPr>
        <w:t xml:space="preserve"> z </w:t>
      </w:r>
      <w:r w:rsidRPr="00EC250C">
        <w:rPr>
          <w:szCs w:val="24"/>
        </w:rPr>
        <w:t>przepisów. Państwo nie zaciąga wobec niego zobowiązań, on też niewiele ryzykuje.</w:t>
      </w:r>
    </w:p>
    <w:p w14:paraId="7918855B" w14:textId="77777777" w:rsidR="00895B15" w:rsidRPr="00EC250C" w:rsidRDefault="00895B15" w:rsidP="00D131FA">
      <w:pPr>
        <w:pStyle w:val="Styl2"/>
        <w:rPr>
          <w:szCs w:val="24"/>
        </w:rPr>
      </w:pPr>
      <w:r w:rsidRPr="00EC250C">
        <w:rPr>
          <w:szCs w:val="24"/>
        </w:rPr>
        <w:t>Jak dowiodła praktyka, takie rozwiązanie prawne powoduje niepokojące konsekwencje. Z jednej strony – sprawcę kusi uzyskanie statusu małego świadka koronnego, bo obniżenie kary może być znaczące (może nawet zamiast więzienia odbywać karę ograniczenia wolności albo otrzymać karę</w:t>
      </w:r>
      <w:r w:rsidR="00992FD0" w:rsidRPr="00EC250C">
        <w:rPr>
          <w:szCs w:val="24"/>
        </w:rPr>
        <w:t xml:space="preserve"> w </w:t>
      </w:r>
      <w:r w:rsidRPr="00EC250C">
        <w:rPr>
          <w:szCs w:val="24"/>
        </w:rPr>
        <w:t>zawieszeniu; sąd może też odstąpić od ukarania, wymierzając środek karny). A jeśli nawet zarzuty, jakie przedstawi wobec innej osoby, okażą się pomówieniami, to</w:t>
      </w:r>
      <w:r w:rsidR="00992FD0" w:rsidRPr="00EC250C">
        <w:rPr>
          <w:szCs w:val="24"/>
        </w:rPr>
        <w:t xml:space="preserve"> i </w:t>
      </w:r>
      <w:r w:rsidRPr="00EC250C">
        <w:rPr>
          <w:szCs w:val="24"/>
        </w:rPr>
        <w:t>tak praktycznie może za to nie odpowiadać – bo korzystał</w:t>
      </w:r>
      <w:r w:rsidR="00992FD0" w:rsidRPr="00EC250C">
        <w:rPr>
          <w:szCs w:val="24"/>
        </w:rPr>
        <w:t xml:space="preserve"> z </w:t>
      </w:r>
      <w:r w:rsidRPr="00EC250C">
        <w:rPr>
          <w:szCs w:val="24"/>
        </w:rPr>
        <w:t>prawa do obrony.</w:t>
      </w:r>
    </w:p>
    <w:p w14:paraId="3CC0DFE2" w14:textId="77777777" w:rsidR="00895B15" w:rsidRPr="00EC250C" w:rsidRDefault="00895B15" w:rsidP="00D131FA">
      <w:pPr>
        <w:pStyle w:val="Styl2"/>
        <w:rPr>
          <w:szCs w:val="24"/>
        </w:rPr>
      </w:pPr>
      <w:r w:rsidRPr="00EC250C">
        <w:rPr>
          <w:szCs w:val="24"/>
        </w:rPr>
        <w:t>Z drugiej strony prokurator – zbierając dowody</w:t>
      </w:r>
      <w:r w:rsidR="00992FD0" w:rsidRPr="00EC250C">
        <w:rPr>
          <w:szCs w:val="24"/>
        </w:rPr>
        <w:t xml:space="preserve"> w </w:t>
      </w:r>
      <w:r w:rsidRPr="00EC250C">
        <w:rPr>
          <w:szCs w:val="24"/>
        </w:rPr>
        <w:t>jakiejś sprawie</w:t>
      </w:r>
      <w:r w:rsidR="00026572" w:rsidRPr="00EC250C">
        <w:rPr>
          <w:szCs w:val="24"/>
        </w:rPr>
        <w:t xml:space="preserve"> – </w:t>
      </w:r>
      <w:r w:rsidRPr="00EC250C">
        <w:rPr>
          <w:szCs w:val="24"/>
        </w:rPr>
        <w:t>może przyjąć zeznania małego świadka jako na tyle obiecujące, by nie zauważyć, jak mało są wiarygodne. Nawet jeśli taki mały świadek koronny odwoła potem swoje zeznania, to</w:t>
      </w:r>
      <w:r w:rsidR="00992FD0" w:rsidRPr="00EC250C">
        <w:rPr>
          <w:szCs w:val="24"/>
        </w:rPr>
        <w:t xml:space="preserve"> i </w:t>
      </w:r>
      <w:r w:rsidRPr="00EC250C">
        <w:rPr>
          <w:szCs w:val="24"/>
        </w:rPr>
        <w:t>tak sąd (korzystając ze swobody oceny dowodów) może je uwzględnić</w:t>
      </w:r>
      <w:r w:rsidR="00992FD0" w:rsidRPr="00EC250C">
        <w:rPr>
          <w:szCs w:val="24"/>
        </w:rPr>
        <w:t xml:space="preserve"> w </w:t>
      </w:r>
      <w:r w:rsidRPr="00EC250C">
        <w:rPr>
          <w:szCs w:val="24"/>
        </w:rPr>
        <w:t>ocenie sprawy osoby, której te zeznania dotyczą.</w:t>
      </w:r>
    </w:p>
    <w:p w14:paraId="4E59A343" w14:textId="3D761315" w:rsidR="00895B15" w:rsidRPr="00EC250C" w:rsidRDefault="00895B15" w:rsidP="00D131FA">
      <w:pPr>
        <w:pStyle w:val="Styl2"/>
        <w:rPr>
          <w:szCs w:val="24"/>
        </w:rPr>
      </w:pPr>
      <w:r w:rsidRPr="00EC250C">
        <w:rPr>
          <w:szCs w:val="24"/>
        </w:rPr>
        <w:t>Problem jest na tyle poważny, że</w:t>
      </w:r>
      <w:r w:rsidR="00CC4D88" w:rsidRPr="00EC250C">
        <w:rPr>
          <w:szCs w:val="24"/>
        </w:rPr>
        <w:t xml:space="preserve"> </w:t>
      </w:r>
      <w:r w:rsidRPr="00EC250C">
        <w:rPr>
          <w:szCs w:val="24"/>
        </w:rPr>
        <w:t>rzecznik praw obywatelskich Adam Bodnar postanowił</w:t>
      </w:r>
      <w:r w:rsidR="00CC4D88" w:rsidRPr="00EC250C">
        <w:rPr>
          <w:szCs w:val="24"/>
        </w:rPr>
        <w:t xml:space="preserve"> </w:t>
      </w:r>
      <w:r w:rsidRPr="00EC250C">
        <w:rPr>
          <w:szCs w:val="24"/>
        </w:rPr>
        <w:t xml:space="preserve">stworzyć </w:t>
      </w:r>
      <w:r w:rsidR="008E69D1" w:rsidRPr="00EC250C">
        <w:rPr>
          <w:szCs w:val="24"/>
        </w:rPr>
        <w:t>fachowcom okazję do wymiany poglądów po to, by mogli sformułować rekomendacje</w:t>
      </w:r>
      <w:r w:rsidRPr="00EC250C">
        <w:rPr>
          <w:rStyle w:val="Odwoanieprzypisudolnego"/>
          <w:rFonts w:ascii="Open Sans Regular" w:hAnsi="Open Sans Regular"/>
          <w:szCs w:val="24"/>
        </w:rPr>
        <w:footnoteReference w:id="176"/>
      </w:r>
      <w:r w:rsidR="00863D73" w:rsidRPr="00EC250C">
        <w:rPr>
          <w:szCs w:val="24"/>
        </w:rPr>
        <w:t>.</w:t>
      </w:r>
    </w:p>
    <w:p w14:paraId="5FD92A17" w14:textId="77777777" w:rsidR="00122BEB" w:rsidRPr="00EC250C" w:rsidRDefault="003A7633" w:rsidP="00EC79EB">
      <w:pPr>
        <w:pStyle w:val="Nagwek4"/>
        <w:rPr>
          <w:spacing w:val="0"/>
        </w:rPr>
      </w:pPr>
      <w:bookmarkStart w:id="204" w:name="_Toc11247610"/>
      <w:r w:rsidRPr="00EC250C">
        <w:t>Zbyt krótki termin na apelację</w:t>
      </w:r>
      <w:r w:rsidR="00992FD0" w:rsidRPr="00EC250C">
        <w:t xml:space="preserve"> w </w:t>
      </w:r>
      <w:r w:rsidR="00122BEB" w:rsidRPr="00EC250C">
        <w:t>procesie karnym</w:t>
      </w:r>
      <w:bookmarkEnd w:id="203"/>
      <w:bookmarkEnd w:id="204"/>
    </w:p>
    <w:p w14:paraId="29308BA6" w14:textId="77777777" w:rsidR="00B473F5" w:rsidRPr="00EC250C" w:rsidRDefault="00122BEB" w:rsidP="00D131FA">
      <w:pPr>
        <w:pStyle w:val="Problemczowieka"/>
        <w:jc w:val="both"/>
        <w:rPr>
          <w:bdr w:val="none" w:sz="0" w:space="0" w:color="auto" w:frame="1"/>
        </w:rPr>
      </w:pPr>
      <w:r w:rsidRPr="00EC250C">
        <w:rPr>
          <w:bdr w:val="none" w:sz="0" w:space="0" w:color="auto" w:frame="1"/>
        </w:rPr>
        <w:t>Problem dotyczy zwłaszcza skomplikowanych</w:t>
      </w:r>
      <w:r w:rsidR="00992FD0" w:rsidRPr="00EC250C">
        <w:rPr>
          <w:bdr w:val="none" w:sz="0" w:space="0" w:color="auto" w:frame="1"/>
        </w:rPr>
        <w:t xml:space="preserve"> i </w:t>
      </w:r>
      <w:r w:rsidRPr="00EC250C">
        <w:rPr>
          <w:bdr w:val="none" w:sz="0" w:space="0" w:color="auto" w:frame="1"/>
        </w:rPr>
        <w:t>obszernych</w:t>
      </w:r>
      <w:r w:rsidR="00CC4D88" w:rsidRPr="00EC250C">
        <w:rPr>
          <w:bdr w:val="none" w:sz="0" w:space="0" w:color="auto" w:frame="1"/>
        </w:rPr>
        <w:t xml:space="preserve"> </w:t>
      </w:r>
      <w:r w:rsidRPr="00EC250C">
        <w:rPr>
          <w:bdr w:val="none" w:sz="0" w:space="0" w:color="auto" w:frame="1"/>
        </w:rPr>
        <w:t>spraw</w:t>
      </w:r>
      <w:r w:rsidR="00B473F5" w:rsidRPr="00EC250C">
        <w:rPr>
          <w:bdr w:val="none" w:sz="0" w:space="0" w:color="auto" w:frame="1"/>
        </w:rPr>
        <w:t>.</w:t>
      </w:r>
    </w:p>
    <w:p w14:paraId="466A2A3C" w14:textId="77777777" w:rsidR="00122BEB" w:rsidRPr="00EC250C" w:rsidRDefault="00122BEB" w:rsidP="00D131FA">
      <w:pPr>
        <w:pStyle w:val="Styl1"/>
      </w:pPr>
      <w:r w:rsidRPr="00EC250C">
        <w:t>Zgodnie</w:t>
      </w:r>
      <w:r w:rsidR="00992FD0" w:rsidRPr="00EC250C">
        <w:t xml:space="preserve"> z </w:t>
      </w:r>
      <w:r w:rsidRPr="00EC250C">
        <w:t>Kodeksem postępowania karnego, termin do wniesienia apelacji</w:t>
      </w:r>
      <w:r w:rsidR="00992FD0" w:rsidRPr="00EC250C">
        <w:t xml:space="preserve"> w </w:t>
      </w:r>
      <w:r w:rsidRPr="00EC250C">
        <w:t xml:space="preserve">każdym wypadku </w:t>
      </w:r>
      <w:r w:rsidRPr="00EC250C">
        <w:rPr>
          <w:rStyle w:val="Styl1Znak"/>
        </w:rPr>
        <w:t>wynosi 14 dni</w:t>
      </w:r>
      <w:r w:rsidR="00992FD0" w:rsidRPr="00EC250C">
        <w:rPr>
          <w:rStyle w:val="Styl1Znak"/>
        </w:rPr>
        <w:t xml:space="preserve"> i </w:t>
      </w:r>
      <w:r w:rsidRPr="00EC250C">
        <w:rPr>
          <w:rStyle w:val="Styl1Znak"/>
        </w:rPr>
        <w:t>biegnie dla strony procesu od daty doręczenia wyroku</w:t>
      </w:r>
      <w:r w:rsidR="00992FD0" w:rsidRPr="00EC250C">
        <w:rPr>
          <w:rStyle w:val="Styl1Znak"/>
        </w:rPr>
        <w:t xml:space="preserve"> z </w:t>
      </w:r>
      <w:r w:rsidRPr="00EC250C">
        <w:rPr>
          <w:rStyle w:val="Styl1Znak"/>
        </w:rPr>
        <w:t>uzasadnieniem.</w:t>
      </w:r>
      <w:r w:rsidRPr="00EC250C">
        <w:t xml:space="preserve"> Ustawodawca nie przewidział możliwości przedłużenia tego terminu.</w:t>
      </w:r>
    </w:p>
    <w:p w14:paraId="71E30BD9" w14:textId="77777777" w:rsidR="00122BEB" w:rsidRPr="00EC250C" w:rsidRDefault="00122BEB" w:rsidP="00D131FA">
      <w:pPr>
        <w:pStyle w:val="Styl1"/>
      </w:pPr>
      <w:r w:rsidRPr="00EC250C">
        <w:t>W grudniu 2015</w:t>
      </w:r>
      <w:r w:rsidR="00C91F6E" w:rsidRPr="00EC250C">
        <w:t> r.</w:t>
      </w:r>
      <w:r w:rsidRPr="00EC250C">
        <w:t xml:space="preserve"> </w:t>
      </w:r>
      <w:r w:rsidR="007447EE" w:rsidRPr="00EC250C">
        <w:t>RPO</w:t>
      </w:r>
      <w:r w:rsidRPr="00EC250C">
        <w:t xml:space="preserve"> zwrócił uwagę na problem Ministrowi Sprawiedliwości. Sprawa została podjęta przez RPO po oświadczeniu senatorów RP</w:t>
      </w:r>
      <w:r w:rsidR="00992FD0" w:rsidRPr="00EC250C">
        <w:t xml:space="preserve"> z </w:t>
      </w:r>
      <w:r w:rsidR="00D47DAC" w:rsidRPr="00EC250C">
        <w:t>ramienia PiS</w:t>
      </w:r>
      <w:r w:rsidRPr="00EC250C">
        <w:t>, którzy wskazali, że</w:t>
      </w:r>
      <w:r w:rsidR="00992FD0" w:rsidRPr="00EC250C">
        <w:t xml:space="preserve"> w </w:t>
      </w:r>
      <w:r w:rsidRPr="00EC250C">
        <w:t>Sądzie Rejonowym</w:t>
      </w:r>
      <w:r w:rsidR="00992FD0" w:rsidRPr="00EC250C">
        <w:t xml:space="preserve"> w </w:t>
      </w:r>
      <w:r w:rsidRPr="00EC250C">
        <w:t>Szczecinie sporządzono uzasadnienie wyroku liczące 1200 stron. Przygotowywano je dziewięć miesięcy, podczas gdy obrona miała 14 dni na apelację. To sytuacja, gdy obrona jest utrudniona lub wręcz niemożliwa, co jest ze szkodą dla obywateli.</w:t>
      </w:r>
    </w:p>
    <w:p w14:paraId="2E4A6BAF" w14:textId="77777777" w:rsidR="00122BEB" w:rsidRPr="00EC250C" w:rsidRDefault="00122BEB" w:rsidP="00D131FA">
      <w:pPr>
        <w:pStyle w:val="Styl1"/>
      </w:pPr>
      <w:r w:rsidRPr="00EC250C">
        <w:t>W 2016</w:t>
      </w:r>
      <w:r w:rsidR="00C91F6E" w:rsidRPr="00EC250C">
        <w:t> r.</w:t>
      </w:r>
      <w:r w:rsidR="00CC4D88" w:rsidRPr="00EC250C">
        <w:t xml:space="preserve"> </w:t>
      </w:r>
      <w:r w:rsidRPr="00EC250C">
        <w:t>Minister Sprawiedliwości odpowiedział RPO, że mimo iż</w:t>
      </w:r>
      <w:r w:rsidR="00992FD0" w:rsidRPr="00EC250C">
        <w:t xml:space="preserve"> w </w:t>
      </w:r>
      <w:r w:rsidRPr="00EC250C">
        <w:t>poszczególnych przypadkach może wystąpić problem</w:t>
      </w:r>
      <w:r w:rsidR="00992FD0" w:rsidRPr="00EC250C">
        <w:t xml:space="preserve"> z </w:t>
      </w:r>
      <w:r w:rsidRPr="00EC250C">
        <w:t>dochowaniem terminu do wniesienia apelacji, to jednak nie planuje się zmian legislacyjnych. Wtedy RPO zapytał</w:t>
      </w:r>
      <w:r w:rsidR="00992FD0" w:rsidRPr="00EC250C">
        <w:t xml:space="preserve"> o </w:t>
      </w:r>
      <w:r w:rsidRPr="00EC250C">
        <w:t>zdanie prezesów Naczelnej Rady Adwokackiej</w:t>
      </w:r>
      <w:r w:rsidR="00992FD0" w:rsidRPr="00EC250C">
        <w:t xml:space="preserve"> i </w:t>
      </w:r>
      <w:r w:rsidRPr="00EC250C">
        <w:t>Krajowej Rady Radców Prawnych. Z odpowiedzi jednoznacznie wynika, że oba samorządy dostrzegają wagę problemu</w:t>
      </w:r>
      <w:r w:rsidR="00992FD0" w:rsidRPr="00EC250C">
        <w:t xml:space="preserve"> i </w:t>
      </w:r>
      <w:r w:rsidRPr="00EC250C">
        <w:t>zagrożenia wynikające</w:t>
      </w:r>
      <w:r w:rsidR="00992FD0" w:rsidRPr="00EC250C">
        <w:t xml:space="preserve"> z </w:t>
      </w:r>
      <w:r w:rsidRPr="00EC250C">
        <w:t>niedostatków obecnej regulacji.</w:t>
      </w:r>
    </w:p>
    <w:p w14:paraId="7811E91E" w14:textId="77777777" w:rsidR="00122BEB" w:rsidRPr="00EC250C" w:rsidRDefault="00122BEB" w:rsidP="00D131FA">
      <w:pPr>
        <w:pStyle w:val="Styl1"/>
      </w:pPr>
      <w:r w:rsidRPr="00EC250C">
        <w:lastRenderedPageBreak/>
        <w:t>KRRP wskazała, że rozwiązaniem problemu mogłyby być np. zmiana praktyki sporządzania uzasadnień przez sąd lub wprowadzenie możliwości uzupełnienia apelacji</w:t>
      </w:r>
      <w:r w:rsidR="00992FD0" w:rsidRPr="00EC250C">
        <w:t xml:space="preserve"> o </w:t>
      </w:r>
      <w:r w:rsidRPr="00EC250C">
        <w:t>nowe zarzuty</w:t>
      </w:r>
      <w:r w:rsidR="00026572" w:rsidRPr="00EC250C">
        <w:t xml:space="preserve"> – </w:t>
      </w:r>
      <w:r w:rsidRPr="00EC250C">
        <w:t>już po jej wniesieniu.</w:t>
      </w:r>
    </w:p>
    <w:p w14:paraId="62292E37" w14:textId="77777777" w:rsidR="00122BEB" w:rsidRPr="00EC250C" w:rsidRDefault="00122BEB" w:rsidP="00D131FA">
      <w:pPr>
        <w:pStyle w:val="Styl1"/>
      </w:pPr>
      <w:r w:rsidRPr="00EC250C">
        <w:t>NRA postuluje zaś wydłużenie terminu do wniesienia apelacji np. do 30 dni lub też możliwość uzupełniania apelacji</w:t>
      </w:r>
      <w:r w:rsidR="00992FD0" w:rsidRPr="00EC250C">
        <w:t xml:space="preserve"> w </w:t>
      </w:r>
      <w:r w:rsidRPr="00EC250C">
        <w:t>terminie określonym ustawowo lub wskazanym przez sąd na wniosek strony lub</w:t>
      </w:r>
      <w:r w:rsidR="00992FD0" w:rsidRPr="00EC250C">
        <w:t xml:space="preserve"> z </w:t>
      </w:r>
      <w:r w:rsidRPr="00EC250C">
        <w:t>urzędu.</w:t>
      </w:r>
    </w:p>
    <w:p w14:paraId="60DED9CE" w14:textId="77777777" w:rsidR="00122BEB" w:rsidRPr="00EC250C" w:rsidRDefault="003A7633" w:rsidP="00D131FA">
      <w:pPr>
        <w:pStyle w:val="Styl1"/>
      </w:pPr>
      <w:r w:rsidRPr="00EC250C">
        <w:t xml:space="preserve">W 2018 roku </w:t>
      </w:r>
      <w:r w:rsidR="007447EE" w:rsidRPr="00EC250C">
        <w:t>RPO</w:t>
      </w:r>
      <w:r w:rsidR="00122BEB" w:rsidRPr="00EC250C">
        <w:t xml:space="preserve"> zwrócił się do przewodniczącego senackiej Komisji Ustawodawczej</w:t>
      </w:r>
      <w:r w:rsidR="00992FD0" w:rsidRPr="00EC250C">
        <w:t xml:space="preserve"> o </w:t>
      </w:r>
      <w:r w:rsidR="00122BEB" w:rsidRPr="00EC250C">
        <w:t>rozważenie działań legislacyjnych</w:t>
      </w:r>
      <w:r w:rsidR="00122BEB" w:rsidRPr="00EC250C">
        <w:rPr>
          <w:rStyle w:val="Odwoanieprzypisudolnego"/>
        </w:rPr>
        <w:footnoteReference w:id="177"/>
      </w:r>
      <w:r w:rsidR="00122BEB" w:rsidRPr="00EC250C">
        <w:t>.</w:t>
      </w:r>
      <w:r w:rsidR="003C12A6" w:rsidRPr="00EC250C">
        <w:t xml:space="preserve"> </w:t>
      </w:r>
      <w:r w:rsidR="006A2F07" w:rsidRPr="00EC250C">
        <w:t>Odpowiedź nie nadeszła.</w:t>
      </w:r>
    </w:p>
    <w:p w14:paraId="6056AE44" w14:textId="77777777" w:rsidR="00C70CC6" w:rsidRPr="00EC250C" w:rsidRDefault="009E2A21" w:rsidP="00EC79EB">
      <w:pPr>
        <w:pStyle w:val="Nagwek4"/>
      </w:pPr>
      <w:bookmarkStart w:id="205" w:name="_Toc6257717"/>
      <w:bookmarkStart w:id="206" w:name="_Toc11247611"/>
      <w:r w:rsidRPr="00EC250C">
        <w:t xml:space="preserve">Niejednolite prawo do zwrotu kosztów obrony </w:t>
      </w:r>
      <w:r w:rsidR="00171219" w:rsidRPr="00EC250C">
        <w:t>po skutecznej apelacji</w:t>
      </w:r>
      <w:bookmarkEnd w:id="205"/>
      <w:bookmarkEnd w:id="206"/>
    </w:p>
    <w:p w14:paraId="78685F42" w14:textId="77777777" w:rsidR="00B473F5" w:rsidRPr="00EC250C" w:rsidRDefault="00642DF4" w:rsidP="00D131FA">
      <w:pPr>
        <w:pStyle w:val="Problemczowieka"/>
        <w:jc w:val="both"/>
        <w:rPr>
          <w:bdr w:val="none" w:sz="0" w:space="0" w:color="auto" w:frame="1"/>
        </w:rPr>
      </w:pPr>
      <w:r w:rsidRPr="00EC250C">
        <w:rPr>
          <w:bdr w:val="none" w:sz="0" w:space="0" w:color="auto" w:frame="1"/>
        </w:rPr>
        <w:t>Oskarżonemu nie przysługuje zwrot kosztów ustanowienia obrońcy, jeśli jego skuteczna apelacja dotyczyła jedynie wymiaru kary wydanej</w:t>
      </w:r>
      <w:r w:rsidR="00992FD0" w:rsidRPr="00EC250C">
        <w:rPr>
          <w:bdr w:val="none" w:sz="0" w:space="0" w:color="auto" w:frame="1"/>
        </w:rPr>
        <w:t xml:space="preserve"> w </w:t>
      </w:r>
      <w:r w:rsidRPr="00EC250C">
        <w:rPr>
          <w:bdr w:val="none" w:sz="0" w:space="0" w:color="auto" w:frame="1"/>
        </w:rPr>
        <w:t>I instancji</w:t>
      </w:r>
      <w:r w:rsidR="00B473F5" w:rsidRPr="00EC250C">
        <w:rPr>
          <w:bdr w:val="none" w:sz="0" w:space="0" w:color="auto" w:frame="1"/>
        </w:rPr>
        <w:t>.</w:t>
      </w:r>
    </w:p>
    <w:p w14:paraId="571B7125" w14:textId="77777777" w:rsidR="00863D73" w:rsidRPr="00EC250C" w:rsidRDefault="00863D73" w:rsidP="00D131FA">
      <w:pPr>
        <w:pStyle w:val="Styl1"/>
      </w:pPr>
      <w:r w:rsidRPr="00EC250C">
        <w:t>W przypadku skazania koszty postępowania ponoszone są przez skazanego. Taka sama zasada obowiązuje</w:t>
      </w:r>
      <w:r w:rsidR="00992FD0" w:rsidRPr="00EC250C">
        <w:t xml:space="preserve"> w </w:t>
      </w:r>
      <w:r w:rsidRPr="00EC250C">
        <w:t>postępowaniu odwoławczym. Jeśli wyrok skazujący I instancji nie zostanie zmieniony na uniewinniający lub umarzający postępowanie, skazany jest obciążany kosztami sądowymi za II instancję,</w:t>
      </w:r>
      <w:r w:rsidR="00992FD0" w:rsidRPr="00EC250C">
        <w:t xml:space="preserve"> w </w:t>
      </w:r>
      <w:r w:rsidRPr="00EC250C">
        <w:t>tym swego obrońcy</w:t>
      </w:r>
      <w:r w:rsidR="00992FD0" w:rsidRPr="00EC250C">
        <w:t xml:space="preserve"> z </w:t>
      </w:r>
      <w:r w:rsidRPr="00EC250C">
        <w:t>wyboru.</w:t>
      </w:r>
    </w:p>
    <w:p w14:paraId="52D0702E" w14:textId="77777777" w:rsidR="00C91F6E" w:rsidRPr="00EC250C" w:rsidRDefault="00863D73" w:rsidP="00D131FA">
      <w:pPr>
        <w:pStyle w:val="Styl1"/>
      </w:pPr>
      <w:r w:rsidRPr="00EC250C">
        <w:t>W przypadku apelacji wniesionej jedynie</w:t>
      </w:r>
      <w:r w:rsidR="00992FD0" w:rsidRPr="00EC250C">
        <w:t xml:space="preserve"> w </w:t>
      </w:r>
      <w:r w:rsidRPr="00EC250C">
        <w:t>zakresie wymiaru kary</w:t>
      </w:r>
      <w:r w:rsidR="00992FD0" w:rsidRPr="00EC250C">
        <w:t xml:space="preserve"> i </w:t>
      </w:r>
      <w:r w:rsidRPr="00EC250C">
        <w:t>uwzględnionej, przynajmniej</w:t>
      </w:r>
      <w:r w:rsidR="00992FD0" w:rsidRPr="00EC250C">
        <w:t xml:space="preserve"> w </w:t>
      </w:r>
      <w:r w:rsidRPr="00EC250C">
        <w:t xml:space="preserve">części, skazany zostaje co do zasady obciążony kosztami sądowymi za tę instancję oraz nie ma możliwości odzyskania kosztów obrony. Zdaniem </w:t>
      </w:r>
      <w:r w:rsidR="007447EE" w:rsidRPr="00EC250C">
        <w:t>RPO</w:t>
      </w:r>
      <w:r w:rsidRPr="00EC250C">
        <w:t xml:space="preserve"> może to zniechęcać osoby skazane do odwoływania się od wymiaru kary</w:t>
      </w:r>
      <w:r w:rsidR="00992FD0" w:rsidRPr="00EC250C">
        <w:t xml:space="preserve"> z </w:t>
      </w:r>
      <w:r w:rsidRPr="00EC250C">
        <w:t>I instancji</w:t>
      </w:r>
      <w:r w:rsidR="00992FD0" w:rsidRPr="00EC250C">
        <w:t xml:space="preserve"> w </w:t>
      </w:r>
      <w:r w:rsidRPr="00EC250C">
        <w:t>obawie, że korzyść</w:t>
      </w:r>
      <w:r w:rsidR="00992FD0" w:rsidRPr="00EC250C">
        <w:t xml:space="preserve"> w </w:t>
      </w:r>
      <w:r w:rsidRPr="00EC250C">
        <w:t>postaci złagodzenia wyroku będzie nieproporcjonalna</w:t>
      </w:r>
      <w:r w:rsidR="00992FD0" w:rsidRPr="00EC250C">
        <w:t xml:space="preserve"> w </w:t>
      </w:r>
      <w:r w:rsidRPr="00EC250C">
        <w:t>stosunku do poniesionych kosztów.</w:t>
      </w:r>
    </w:p>
    <w:p w14:paraId="216C8974" w14:textId="77777777" w:rsidR="00C70CC6" w:rsidRPr="00EC250C" w:rsidRDefault="00D47DAC" w:rsidP="00D131FA">
      <w:pPr>
        <w:pStyle w:val="Styl1"/>
        <w:rPr>
          <w:b/>
          <w:bCs/>
          <w:color w:val="044892"/>
        </w:rPr>
      </w:pPr>
      <w:r w:rsidRPr="00EC250C">
        <w:t xml:space="preserve">Dlatego </w:t>
      </w:r>
      <w:r w:rsidR="00C70CC6" w:rsidRPr="00EC250C">
        <w:t>Rzecznik Praw Obywatelskich wniósł do Trybunału Konstytucyjnego</w:t>
      </w:r>
      <w:r w:rsidR="00992FD0" w:rsidRPr="00EC250C">
        <w:t xml:space="preserve"> o </w:t>
      </w:r>
      <w:r w:rsidR="00C70CC6" w:rsidRPr="00EC250C">
        <w:t>stwierdzenie</w:t>
      </w:r>
      <w:r w:rsidRPr="00EC250C">
        <w:t xml:space="preserve"> niegodności</w:t>
      </w:r>
      <w:r w:rsidR="00992FD0" w:rsidRPr="00EC250C">
        <w:t xml:space="preserve"> z </w:t>
      </w:r>
      <w:r w:rsidRPr="00EC250C">
        <w:t>Konstytucją tych przepisów</w:t>
      </w:r>
      <w:r w:rsidR="00C70CC6" w:rsidRPr="00EC250C">
        <w:rPr>
          <w:rStyle w:val="Odwoanieprzypisudolnego"/>
          <w:bCs/>
          <w:iCs/>
        </w:rPr>
        <w:footnoteReference w:id="178"/>
      </w:r>
      <w:r w:rsidR="00C70CC6" w:rsidRPr="00EC250C">
        <w:rPr>
          <w:bCs/>
          <w:iCs/>
        </w:rPr>
        <w:t>.</w:t>
      </w:r>
    </w:p>
    <w:p w14:paraId="5BE1DA77" w14:textId="77777777" w:rsidR="00A74943" w:rsidRPr="00EC250C" w:rsidRDefault="00A74943" w:rsidP="00EC250C">
      <w:pPr>
        <w:pStyle w:val="Nagwek5"/>
      </w:pPr>
      <w:bookmarkStart w:id="207" w:name="_Toc6257720"/>
      <w:bookmarkStart w:id="208" w:name="_Toc6257718"/>
      <w:r w:rsidRPr="00EC250C">
        <w:t>Brak prawa uniewinnionych w postępowaniu dyscyplinarnym lekarzy i dentystów do zwrotu kosztów</w:t>
      </w:r>
      <w:bookmarkEnd w:id="207"/>
    </w:p>
    <w:p w14:paraId="0286F155" w14:textId="77777777" w:rsidR="00A74943" w:rsidRPr="00EC250C" w:rsidRDefault="00A74943" w:rsidP="00D131FA">
      <w:pPr>
        <w:pStyle w:val="Problemczowieka"/>
        <w:jc w:val="both"/>
      </w:pPr>
      <w:r w:rsidRPr="00EC250C">
        <w:t>Lekarz czy dentysta prawomocnie uniewinniony w postępowaniu dyscyplinarnym nie może korzystać z gwarancji prawa do obrony w postaci zwrotu kosztów ustanowienia jednego obrońcy.</w:t>
      </w:r>
    </w:p>
    <w:p w14:paraId="0DE50527" w14:textId="77777777" w:rsidR="00A74943" w:rsidRPr="00EC250C" w:rsidRDefault="00A74943" w:rsidP="00D131FA">
      <w:pPr>
        <w:pStyle w:val="Styl1"/>
        <w:rPr>
          <w:bCs/>
          <w:iCs/>
        </w:rPr>
      </w:pPr>
      <w:r w:rsidRPr="00EC250C">
        <w:t xml:space="preserve">W okresie stosowania przepisów ustawy o izbach lekarskich wykształciła się bowiem linia orzecznicza wskazująca, że brak jest podstaw zwrotu stronom postępowania kosztów według zasad Kodeksu postępowania karnego. Zdaniem Naczelnej Rady Lekarskiej konieczna jest tu interwencja </w:t>
      </w:r>
      <w:r w:rsidRPr="00EC250C">
        <w:lastRenderedPageBreak/>
        <w:t>ustawodawcza. Z takim wnioskiem RPO wystąpił do Ministra Zdrowia</w:t>
      </w:r>
      <w:r w:rsidRPr="00EC250C">
        <w:rPr>
          <w:rStyle w:val="Odwoanieprzypisudolnego"/>
          <w:bCs/>
          <w:iCs/>
        </w:rPr>
        <w:footnoteReference w:id="179"/>
      </w:r>
      <w:r w:rsidRPr="00EC250C">
        <w:t>, ten jednak uznał</w:t>
      </w:r>
      <w:r w:rsidRPr="00EC250C">
        <w:rPr>
          <w:bCs/>
          <w:iCs/>
        </w:rPr>
        <w:t>, że skoro przepisy ustawy o izbach lekarskich nie wyczerpują zagadnień związanych z kwestią kosztów postępowania dyscyplinarnego, to wystarczy stosować odpowiednio przepisy Kodeksu postępowania karnego.</w:t>
      </w:r>
    </w:p>
    <w:p w14:paraId="26035049" w14:textId="77777777" w:rsidR="00A74943" w:rsidRPr="00EC250C" w:rsidRDefault="00A74943" w:rsidP="00D131FA">
      <w:pPr>
        <w:pStyle w:val="Styl1"/>
        <w:rPr>
          <w:bCs/>
          <w:iCs/>
        </w:rPr>
      </w:pPr>
      <w:r w:rsidRPr="00EC250C">
        <w:rPr>
          <w:bCs/>
          <w:iCs/>
        </w:rPr>
        <w:t>RPO zamierza ponownie zwrócić się do Ministra Zdrowia przedstawiając problemy związane z odpowiednim stosowaniem procedury karnej w stosunku do orzekania o kosztach postępowania dyscyplinarnego lekarzy.</w:t>
      </w:r>
    </w:p>
    <w:p w14:paraId="682BC3F4" w14:textId="77777777" w:rsidR="00A74943" w:rsidRPr="00EC250C" w:rsidRDefault="000E0865" w:rsidP="00EC79EB">
      <w:pPr>
        <w:pStyle w:val="Nagwek4"/>
      </w:pPr>
      <w:bookmarkStart w:id="209" w:name="_Toc11247612"/>
      <w:r w:rsidRPr="00EC250C">
        <w:t>Brak</w:t>
      </w:r>
      <w:r w:rsidR="00171219" w:rsidRPr="00EC250C">
        <w:t xml:space="preserve"> kontroli sądu </w:t>
      </w:r>
      <w:r w:rsidRPr="00EC250C">
        <w:t>nad</w:t>
      </w:r>
      <w:r w:rsidR="00171219" w:rsidRPr="00EC250C">
        <w:t xml:space="preserve"> </w:t>
      </w:r>
      <w:r w:rsidR="00A74943" w:rsidRPr="00EC250C">
        <w:t>decyzjami prokuratora</w:t>
      </w:r>
      <w:bookmarkEnd w:id="209"/>
    </w:p>
    <w:p w14:paraId="720953C2" w14:textId="77777777" w:rsidR="00171219" w:rsidRPr="00EC250C" w:rsidRDefault="00A74943" w:rsidP="00EC250C">
      <w:pPr>
        <w:pStyle w:val="Nagwek5"/>
      </w:pPr>
      <w:r w:rsidRPr="00EC250C">
        <w:t xml:space="preserve">Brak kontroli nad </w:t>
      </w:r>
      <w:r w:rsidR="00171219" w:rsidRPr="00EC250C">
        <w:t>odmow</w:t>
      </w:r>
      <w:r w:rsidR="00341542" w:rsidRPr="00EC250C">
        <w:t>ą</w:t>
      </w:r>
      <w:r w:rsidR="00171219" w:rsidRPr="00EC250C">
        <w:t xml:space="preserve"> udostępniania akt</w:t>
      </w:r>
      <w:r w:rsidR="00992FD0" w:rsidRPr="00EC250C">
        <w:t xml:space="preserve"> w </w:t>
      </w:r>
      <w:r w:rsidR="00171219" w:rsidRPr="00EC250C">
        <w:t>postępowaniu przygotowawczym</w:t>
      </w:r>
      <w:bookmarkEnd w:id="208"/>
    </w:p>
    <w:p w14:paraId="6ADF3DCC" w14:textId="77777777" w:rsidR="00B473F5" w:rsidRPr="00EC250C" w:rsidRDefault="00171219" w:rsidP="00D131FA">
      <w:pPr>
        <w:pStyle w:val="Problemczowieka"/>
        <w:jc w:val="both"/>
      </w:pPr>
      <w:r w:rsidRPr="00EC250C">
        <w:t>Odmowa dostępu do akt nie zawsze podlega kontroli sądu. A bez dostępu do akt trudno się bronić</w:t>
      </w:r>
      <w:r w:rsidR="00B473F5" w:rsidRPr="00EC250C">
        <w:t>.</w:t>
      </w:r>
    </w:p>
    <w:p w14:paraId="1152B2EC" w14:textId="77777777" w:rsidR="00171219" w:rsidRPr="00EC250C" w:rsidRDefault="00171219" w:rsidP="00D131FA">
      <w:pPr>
        <w:pStyle w:val="Styl1"/>
        <w:rPr>
          <w:bCs/>
          <w:iCs/>
        </w:rPr>
      </w:pPr>
      <w:r w:rsidRPr="00EC250C">
        <w:rPr>
          <w:bCs/>
          <w:iCs/>
        </w:rPr>
        <w:t>Zapewnienie kontroli przez sąd zarządzeń prokuratorskich</w:t>
      </w:r>
      <w:r w:rsidR="00992FD0" w:rsidRPr="00EC250C">
        <w:rPr>
          <w:bCs/>
          <w:iCs/>
        </w:rPr>
        <w:t xml:space="preserve"> w </w:t>
      </w:r>
      <w:r w:rsidRPr="00EC250C">
        <w:rPr>
          <w:bCs/>
          <w:iCs/>
        </w:rPr>
        <w:t>zakresie odmowy udostępnienia akt</w:t>
      </w:r>
      <w:r w:rsidR="00992FD0" w:rsidRPr="00EC250C">
        <w:rPr>
          <w:bCs/>
          <w:iCs/>
        </w:rPr>
        <w:t xml:space="preserve"> w </w:t>
      </w:r>
      <w:r w:rsidRPr="00EC250C">
        <w:rPr>
          <w:bCs/>
          <w:iCs/>
        </w:rPr>
        <w:t>postępowaniu przygotowawczym wciąż nie ma charakteru zupełnego. Tymczasem dostęp do akt stanowi warunek rzetelności postępowania, obrona musi mieć także prawo do otrzymywania kopii dokumentów znajdujących się</w:t>
      </w:r>
      <w:r w:rsidR="00992FD0" w:rsidRPr="00EC250C">
        <w:rPr>
          <w:bCs/>
          <w:iCs/>
        </w:rPr>
        <w:t xml:space="preserve"> w </w:t>
      </w:r>
      <w:r w:rsidRPr="00EC250C">
        <w:rPr>
          <w:bCs/>
          <w:iCs/>
        </w:rPr>
        <w:t>aktach</w:t>
      </w:r>
      <w:r w:rsidR="00992FD0" w:rsidRPr="00EC250C">
        <w:rPr>
          <w:bCs/>
          <w:iCs/>
        </w:rPr>
        <w:t xml:space="preserve"> i </w:t>
      </w:r>
      <w:r w:rsidRPr="00EC250C">
        <w:rPr>
          <w:bCs/>
          <w:iCs/>
        </w:rPr>
        <w:t>robienia</w:t>
      </w:r>
      <w:r w:rsidR="00992FD0" w:rsidRPr="00EC250C">
        <w:rPr>
          <w:bCs/>
          <w:iCs/>
        </w:rPr>
        <w:t xml:space="preserve"> z </w:t>
      </w:r>
      <w:r w:rsidRPr="00EC250C">
        <w:rPr>
          <w:bCs/>
          <w:iCs/>
        </w:rPr>
        <w:t>tych akt notatek.</w:t>
      </w:r>
    </w:p>
    <w:p w14:paraId="2CA6CC4C" w14:textId="77777777" w:rsidR="00C91F6E" w:rsidRPr="00EC250C" w:rsidRDefault="00171219" w:rsidP="00D131FA">
      <w:pPr>
        <w:pStyle w:val="Styl1"/>
        <w:rPr>
          <w:bCs/>
          <w:iCs/>
        </w:rPr>
      </w:pPr>
      <w:r w:rsidRPr="00EC250C">
        <w:rPr>
          <w:bCs/>
          <w:iCs/>
        </w:rPr>
        <w:t xml:space="preserve">W ocenie Rzecznika </w:t>
      </w:r>
      <w:r w:rsidR="007447EE" w:rsidRPr="00EC250C">
        <w:rPr>
          <w:bCs/>
          <w:iCs/>
        </w:rPr>
        <w:t xml:space="preserve">Praw Obywatelskich </w:t>
      </w:r>
      <w:r w:rsidRPr="00EC250C">
        <w:rPr>
          <w:bCs/>
          <w:iCs/>
        </w:rPr>
        <w:t>konieczne jest wprowadzenie</w:t>
      </w:r>
      <w:r w:rsidR="00B4201C" w:rsidRPr="00EC250C">
        <w:rPr>
          <w:bCs/>
          <w:iCs/>
        </w:rPr>
        <w:t>:</w:t>
      </w:r>
    </w:p>
    <w:p w14:paraId="15F83ACE" w14:textId="77777777" w:rsidR="00171219" w:rsidRPr="00EC250C" w:rsidRDefault="00171219" w:rsidP="006C70B7">
      <w:pPr>
        <w:pStyle w:val="Styl1"/>
        <w:numPr>
          <w:ilvl w:val="0"/>
          <w:numId w:val="34"/>
        </w:numPr>
        <w:rPr>
          <w:bCs/>
          <w:iCs/>
        </w:rPr>
      </w:pPr>
      <w:r w:rsidRPr="00EC250C">
        <w:rPr>
          <w:bCs/>
          <w:iCs/>
        </w:rPr>
        <w:t>sądowej kontroli zarządzeń</w:t>
      </w:r>
      <w:r w:rsidR="00992FD0" w:rsidRPr="00EC250C">
        <w:rPr>
          <w:bCs/>
          <w:iCs/>
        </w:rPr>
        <w:t xml:space="preserve"> o </w:t>
      </w:r>
      <w:r w:rsidRPr="00EC250C">
        <w:rPr>
          <w:bCs/>
          <w:iCs/>
        </w:rPr>
        <w:t>odmowie dostępu do akt również nieprokuratorskich organów prowadzących postępowanie przygotowawcze,</w:t>
      </w:r>
    </w:p>
    <w:p w14:paraId="6EF4B757" w14:textId="77777777" w:rsidR="00C91F6E" w:rsidRPr="00EC250C" w:rsidRDefault="00171219" w:rsidP="006C70B7">
      <w:pPr>
        <w:pStyle w:val="Styl1"/>
        <w:numPr>
          <w:ilvl w:val="0"/>
          <w:numId w:val="34"/>
        </w:numPr>
        <w:rPr>
          <w:bCs/>
          <w:iCs/>
        </w:rPr>
      </w:pPr>
      <w:r w:rsidRPr="00EC250C">
        <w:rPr>
          <w:bCs/>
          <w:iCs/>
        </w:rPr>
        <w:t>rejestru wniosków</w:t>
      </w:r>
      <w:r w:rsidR="00992FD0" w:rsidRPr="00EC250C">
        <w:rPr>
          <w:bCs/>
          <w:iCs/>
        </w:rPr>
        <w:t xml:space="preserve"> o </w:t>
      </w:r>
      <w:r w:rsidRPr="00EC250C">
        <w:rPr>
          <w:bCs/>
          <w:iCs/>
        </w:rPr>
        <w:t>dostęp do akt</w:t>
      </w:r>
      <w:r w:rsidR="00992FD0" w:rsidRPr="00EC250C">
        <w:rPr>
          <w:bCs/>
          <w:iCs/>
        </w:rPr>
        <w:t xml:space="preserve"> i </w:t>
      </w:r>
      <w:r w:rsidRPr="00EC250C">
        <w:rPr>
          <w:bCs/>
          <w:iCs/>
        </w:rPr>
        <w:t xml:space="preserve">zarządzeń odmawiających dostępu na podstawie art. 156 § 5a </w:t>
      </w:r>
      <w:r w:rsidR="00F842CC" w:rsidRPr="00EC250C">
        <w:rPr>
          <w:bCs/>
          <w:iCs/>
        </w:rPr>
        <w:t>K.p.k</w:t>
      </w:r>
      <w:r w:rsidRPr="00EC250C">
        <w:rPr>
          <w:bCs/>
          <w:iCs/>
        </w:rPr>
        <w:t>.,</w:t>
      </w:r>
    </w:p>
    <w:p w14:paraId="3D2A81E3" w14:textId="77777777" w:rsidR="00C91F6E" w:rsidRPr="00EC250C" w:rsidRDefault="00171219" w:rsidP="006C70B7">
      <w:pPr>
        <w:pStyle w:val="Styl1"/>
        <w:numPr>
          <w:ilvl w:val="0"/>
          <w:numId w:val="34"/>
        </w:numPr>
        <w:rPr>
          <w:bCs/>
          <w:iCs/>
        </w:rPr>
      </w:pPr>
      <w:r w:rsidRPr="00EC250C">
        <w:rPr>
          <w:bCs/>
          <w:iCs/>
        </w:rPr>
        <w:t>odpowiedniego czasu na zapoznanie się</w:t>
      </w:r>
      <w:r w:rsidR="00992FD0" w:rsidRPr="00EC250C">
        <w:rPr>
          <w:bCs/>
          <w:iCs/>
        </w:rPr>
        <w:t xml:space="preserve"> z </w:t>
      </w:r>
      <w:r w:rsidRPr="00EC250C">
        <w:rPr>
          <w:bCs/>
          <w:iCs/>
        </w:rPr>
        <w:t>aktami sprawy przed posiedzeniem aresztowym,</w:t>
      </w:r>
    </w:p>
    <w:p w14:paraId="22C5AFEB" w14:textId="77777777" w:rsidR="00C91F6E" w:rsidRPr="00EC250C" w:rsidRDefault="00B4201C" w:rsidP="006C70B7">
      <w:pPr>
        <w:pStyle w:val="Styl1"/>
        <w:numPr>
          <w:ilvl w:val="0"/>
          <w:numId w:val="34"/>
        </w:numPr>
        <w:rPr>
          <w:bCs/>
          <w:iCs/>
        </w:rPr>
      </w:pPr>
      <w:r w:rsidRPr="00EC250C">
        <w:rPr>
          <w:bCs/>
          <w:iCs/>
        </w:rPr>
        <w:t xml:space="preserve">prokuratorskiego </w:t>
      </w:r>
      <w:r w:rsidR="00171219" w:rsidRPr="00EC250C">
        <w:rPr>
          <w:bCs/>
          <w:iCs/>
        </w:rPr>
        <w:t>obowiązku informowania podejrzanego</w:t>
      </w:r>
      <w:r w:rsidR="00992FD0" w:rsidRPr="00EC250C">
        <w:rPr>
          <w:bCs/>
          <w:iCs/>
        </w:rPr>
        <w:t xml:space="preserve"> i </w:t>
      </w:r>
      <w:r w:rsidR="00171219" w:rsidRPr="00EC250C">
        <w:rPr>
          <w:bCs/>
          <w:iCs/>
        </w:rPr>
        <w:t>obrońcy</w:t>
      </w:r>
      <w:r w:rsidR="00992FD0" w:rsidRPr="00EC250C">
        <w:rPr>
          <w:bCs/>
          <w:iCs/>
        </w:rPr>
        <w:t xml:space="preserve"> o </w:t>
      </w:r>
      <w:r w:rsidR="00171219" w:rsidRPr="00EC250C">
        <w:rPr>
          <w:bCs/>
          <w:iCs/>
        </w:rPr>
        <w:t>zamiarze albo fakcie złożenia wniosku</w:t>
      </w:r>
      <w:r w:rsidR="00992FD0" w:rsidRPr="00EC250C">
        <w:rPr>
          <w:bCs/>
          <w:iCs/>
        </w:rPr>
        <w:t xml:space="preserve"> o </w:t>
      </w:r>
      <w:r w:rsidR="00171219" w:rsidRPr="00EC250C">
        <w:rPr>
          <w:bCs/>
          <w:iCs/>
        </w:rPr>
        <w:t>zastosowanie lub przedłużenie tymczasowego aresztowania oraz doręczenia jego odpisu podejrzanemu</w:t>
      </w:r>
      <w:r w:rsidR="00992FD0" w:rsidRPr="00EC250C">
        <w:rPr>
          <w:bCs/>
          <w:iCs/>
        </w:rPr>
        <w:t xml:space="preserve"> i </w:t>
      </w:r>
      <w:r w:rsidR="00171219" w:rsidRPr="00EC250C">
        <w:rPr>
          <w:bCs/>
          <w:iCs/>
        </w:rPr>
        <w:t>jego obrońcy.</w:t>
      </w:r>
    </w:p>
    <w:p w14:paraId="14FA84AB" w14:textId="77777777" w:rsidR="008962D2" w:rsidRPr="00EC250C" w:rsidRDefault="00171219" w:rsidP="00D131FA">
      <w:pPr>
        <w:pStyle w:val="Styl1"/>
        <w:rPr>
          <w:bCs/>
          <w:iCs/>
        </w:rPr>
      </w:pPr>
      <w:r w:rsidRPr="00EC250C">
        <w:rPr>
          <w:bCs/>
          <w:iCs/>
        </w:rPr>
        <w:t>Kolejna kwestia dotyczy podstaw dowodowych tymczasowego aresztowania oraz kontroli decyzji dotyczących wglądu</w:t>
      </w:r>
      <w:r w:rsidR="00992FD0" w:rsidRPr="00EC250C">
        <w:rPr>
          <w:bCs/>
          <w:iCs/>
        </w:rPr>
        <w:t xml:space="preserve"> w </w:t>
      </w:r>
      <w:r w:rsidRPr="00EC250C">
        <w:rPr>
          <w:bCs/>
          <w:iCs/>
        </w:rPr>
        <w:t>akta postępowania</w:t>
      </w:r>
      <w:r w:rsidR="00992FD0" w:rsidRPr="00EC250C">
        <w:rPr>
          <w:bCs/>
          <w:iCs/>
        </w:rPr>
        <w:t xml:space="preserve"> w </w:t>
      </w:r>
      <w:r w:rsidRPr="00EC250C">
        <w:rPr>
          <w:bCs/>
          <w:iCs/>
        </w:rPr>
        <w:t>sprawach dotyczących tymczasowego aresztowania, pozostawionych</w:t>
      </w:r>
      <w:r w:rsidR="00992FD0" w:rsidRPr="00EC250C">
        <w:rPr>
          <w:bCs/>
          <w:iCs/>
        </w:rPr>
        <w:t xml:space="preserve"> w </w:t>
      </w:r>
      <w:r w:rsidRPr="00EC250C">
        <w:rPr>
          <w:bCs/>
          <w:iCs/>
        </w:rPr>
        <w:t>gestii prokuratora.</w:t>
      </w:r>
    </w:p>
    <w:p w14:paraId="69C053BC" w14:textId="77777777" w:rsidR="00C91F6E" w:rsidRPr="00EC250C" w:rsidRDefault="008962D2" w:rsidP="00D131FA">
      <w:pPr>
        <w:pStyle w:val="Styl1"/>
        <w:rPr>
          <w:bCs/>
          <w:iCs/>
        </w:rPr>
      </w:pPr>
      <w:r w:rsidRPr="00EC250C">
        <w:rPr>
          <w:bCs/>
          <w:iCs/>
        </w:rPr>
        <w:t>Dziś przepisy (</w:t>
      </w:r>
      <w:r w:rsidR="00171219" w:rsidRPr="00EC250C">
        <w:rPr>
          <w:bCs/>
          <w:iCs/>
        </w:rPr>
        <w:t>art. 250 §</w:t>
      </w:r>
      <w:r w:rsidR="00863D73" w:rsidRPr="00EC250C">
        <w:rPr>
          <w:bCs/>
          <w:iCs/>
        </w:rPr>
        <w:t> </w:t>
      </w:r>
      <w:r w:rsidR="00171219" w:rsidRPr="00EC250C">
        <w:rPr>
          <w:bCs/>
          <w:iCs/>
        </w:rPr>
        <w:t xml:space="preserve">2b </w:t>
      </w:r>
      <w:r w:rsidR="00F842CC" w:rsidRPr="00EC250C">
        <w:rPr>
          <w:bCs/>
          <w:iCs/>
        </w:rPr>
        <w:t>K.p.k</w:t>
      </w:r>
      <w:r w:rsidR="00171219" w:rsidRPr="00EC250C">
        <w:rPr>
          <w:bCs/>
          <w:iCs/>
        </w:rPr>
        <w:t>.</w:t>
      </w:r>
      <w:r w:rsidRPr="00EC250C">
        <w:rPr>
          <w:bCs/>
          <w:iCs/>
        </w:rPr>
        <w:t>)</w:t>
      </w:r>
      <w:r w:rsidR="00171219" w:rsidRPr="00EC250C">
        <w:rPr>
          <w:bCs/>
          <w:iCs/>
        </w:rPr>
        <w:t xml:space="preserve"> stanowi</w:t>
      </w:r>
      <w:r w:rsidRPr="00EC250C">
        <w:rPr>
          <w:bCs/>
          <w:iCs/>
        </w:rPr>
        <w:t>ą</w:t>
      </w:r>
      <w:r w:rsidR="00171219" w:rsidRPr="00EC250C">
        <w:rPr>
          <w:bCs/>
          <w:iCs/>
        </w:rPr>
        <w:t>, że „jeżeli zachodzi uzasadniona obawa niebezpieczeństwa dla życia, zdrowia albo wolności świadka lub osoby dla niego najbliższej, prokurator dołącza do wniosku</w:t>
      </w:r>
      <w:r w:rsidR="00992FD0" w:rsidRPr="00EC250C">
        <w:rPr>
          <w:bCs/>
          <w:iCs/>
        </w:rPr>
        <w:t xml:space="preserve"> o </w:t>
      </w:r>
      <w:r w:rsidR="00171219" w:rsidRPr="00EC250C">
        <w:rPr>
          <w:bCs/>
          <w:iCs/>
        </w:rPr>
        <w:t>zastosowanie tymczasowego aresztowania</w:t>
      </w:r>
      <w:r w:rsidR="00992FD0" w:rsidRPr="00EC250C">
        <w:rPr>
          <w:bCs/>
          <w:iCs/>
        </w:rPr>
        <w:t xml:space="preserve"> w </w:t>
      </w:r>
      <w:r w:rsidR="00171219" w:rsidRPr="00EC250C">
        <w:rPr>
          <w:bCs/>
          <w:iCs/>
        </w:rPr>
        <w:t xml:space="preserve">wyodrębnionym </w:t>
      </w:r>
      <w:r w:rsidR="00171219" w:rsidRPr="00EC250C">
        <w:rPr>
          <w:bCs/>
          <w:iCs/>
        </w:rPr>
        <w:lastRenderedPageBreak/>
        <w:t>zbiorze dokumentów, dowody</w:t>
      </w:r>
      <w:r w:rsidR="00992FD0" w:rsidRPr="00EC250C">
        <w:rPr>
          <w:bCs/>
          <w:iCs/>
        </w:rPr>
        <w:t xml:space="preserve"> z </w:t>
      </w:r>
      <w:r w:rsidR="00171219" w:rsidRPr="00EC250C">
        <w:rPr>
          <w:bCs/>
          <w:iCs/>
        </w:rPr>
        <w:t>zeznań świadka, których nie udostępnia się oskarżonemu</w:t>
      </w:r>
      <w:r w:rsidR="00992FD0" w:rsidRPr="00EC250C">
        <w:rPr>
          <w:bCs/>
          <w:iCs/>
        </w:rPr>
        <w:t xml:space="preserve"> i </w:t>
      </w:r>
      <w:r w:rsidR="00171219" w:rsidRPr="00EC250C">
        <w:rPr>
          <w:bCs/>
          <w:iCs/>
        </w:rPr>
        <w:t>jego obrońcy”.</w:t>
      </w:r>
    </w:p>
    <w:p w14:paraId="1259354E" w14:textId="77777777" w:rsidR="00C91F6E" w:rsidRPr="00EC250C" w:rsidRDefault="00171219" w:rsidP="00D131FA">
      <w:pPr>
        <w:pStyle w:val="Styl1"/>
        <w:rPr>
          <w:bCs/>
          <w:iCs/>
        </w:rPr>
      </w:pPr>
      <w:r w:rsidRPr="00EC250C">
        <w:rPr>
          <w:bCs/>
          <w:iCs/>
        </w:rPr>
        <w:t>Skutkuje to nieujawnieniem podejrzanemu zawartych</w:t>
      </w:r>
      <w:r w:rsidR="00992FD0" w:rsidRPr="00EC250C">
        <w:rPr>
          <w:bCs/>
          <w:iCs/>
        </w:rPr>
        <w:t xml:space="preserve"> w </w:t>
      </w:r>
      <w:r w:rsidRPr="00EC250C">
        <w:rPr>
          <w:bCs/>
          <w:iCs/>
        </w:rPr>
        <w:t>treści tych zeznań okoliczności niekorzystnych dla niego, które mogą stanowić podstawę tymczasowego aresztowania.</w:t>
      </w:r>
      <w:r w:rsidR="00CC4D88" w:rsidRPr="00EC250C">
        <w:rPr>
          <w:bCs/>
          <w:iCs/>
        </w:rPr>
        <w:t xml:space="preserve"> </w:t>
      </w:r>
      <w:r w:rsidRPr="00EC250C">
        <w:rPr>
          <w:bCs/>
          <w:iCs/>
        </w:rPr>
        <w:t xml:space="preserve">Bez dostępu do </w:t>
      </w:r>
      <w:r w:rsidR="008962D2" w:rsidRPr="00EC250C">
        <w:rPr>
          <w:bCs/>
          <w:iCs/>
        </w:rPr>
        <w:t xml:space="preserve">tego </w:t>
      </w:r>
      <w:r w:rsidRPr="00EC250C">
        <w:rPr>
          <w:bCs/>
          <w:iCs/>
        </w:rPr>
        <w:t>materiału dowodowego nie można m</w:t>
      </w:r>
      <w:r w:rsidRPr="00EC250C">
        <w:rPr>
          <w:rFonts w:hint="eastAsia"/>
          <w:bCs/>
          <w:iCs/>
        </w:rPr>
        <w:t>ó</w:t>
      </w:r>
      <w:r w:rsidRPr="00EC250C">
        <w:rPr>
          <w:bCs/>
          <w:iCs/>
        </w:rPr>
        <w:t>wić</w:t>
      </w:r>
      <w:r w:rsidR="00992FD0" w:rsidRPr="00EC250C">
        <w:rPr>
          <w:bCs/>
          <w:iCs/>
        </w:rPr>
        <w:t xml:space="preserve"> o </w:t>
      </w:r>
      <w:r w:rsidRPr="00EC250C">
        <w:rPr>
          <w:bCs/>
          <w:iCs/>
        </w:rPr>
        <w:t>kontradyktoryjności postępowania.</w:t>
      </w:r>
    </w:p>
    <w:p w14:paraId="035EBB4B" w14:textId="77777777" w:rsidR="00171219" w:rsidRPr="00EC250C" w:rsidRDefault="00171219" w:rsidP="00D131FA">
      <w:pPr>
        <w:pStyle w:val="Styl1"/>
        <w:rPr>
          <w:bCs/>
          <w:iCs/>
        </w:rPr>
      </w:pPr>
      <w:r w:rsidRPr="00EC250C">
        <w:rPr>
          <w:bCs/>
          <w:iCs/>
        </w:rPr>
        <w:t>Pomimo wagi przedstawionego problemu</w:t>
      </w:r>
      <w:r w:rsidR="00992FD0" w:rsidRPr="00EC250C">
        <w:rPr>
          <w:bCs/>
          <w:iCs/>
        </w:rPr>
        <w:t xml:space="preserve"> i </w:t>
      </w:r>
      <w:r w:rsidRPr="00EC250C">
        <w:rPr>
          <w:bCs/>
          <w:iCs/>
        </w:rPr>
        <w:t xml:space="preserve">dwóch wystąpień do Ministra Sprawiedliwości, </w:t>
      </w:r>
      <w:r w:rsidR="007447EE" w:rsidRPr="00EC250C">
        <w:rPr>
          <w:bCs/>
          <w:iCs/>
        </w:rPr>
        <w:t>RPO</w:t>
      </w:r>
      <w:r w:rsidRPr="00EC250C">
        <w:rPr>
          <w:bCs/>
          <w:iCs/>
        </w:rPr>
        <w:t xml:space="preserve"> nie otrzymał odpowiedzi. Dlatego zwrócił się</w:t>
      </w:r>
      <w:r w:rsidRPr="00EC250C">
        <w:rPr>
          <w:rStyle w:val="Odwoanieprzypisudolnego"/>
          <w:bCs/>
          <w:iCs/>
        </w:rPr>
        <w:footnoteReference w:id="180"/>
      </w:r>
      <w:r w:rsidR="00992FD0" w:rsidRPr="00EC250C">
        <w:rPr>
          <w:bCs/>
          <w:iCs/>
        </w:rPr>
        <w:t xml:space="preserve"> z </w:t>
      </w:r>
      <w:r w:rsidRPr="00EC250C">
        <w:rPr>
          <w:bCs/>
          <w:iCs/>
        </w:rPr>
        <w:t>tym do premiera.</w:t>
      </w:r>
    </w:p>
    <w:p w14:paraId="6443EA6F" w14:textId="77777777" w:rsidR="00C91F6E" w:rsidRPr="00EC250C" w:rsidRDefault="00B4201C" w:rsidP="00EC250C">
      <w:pPr>
        <w:pStyle w:val="Nagwek5"/>
      </w:pPr>
      <w:bookmarkStart w:id="210" w:name="_Toc6257719"/>
      <w:r w:rsidRPr="00EC250C">
        <w:t>Brak</w:t>
      </w:r>
      <w:r w:rsidR="00171219" w:rsidRPr="00EC250C">
        <w:t xml:space="preserve"> </w:t>
      </w:r>
      <w:r w:rsidR="00C367BE" w:rsidRPr="00EC250C">
        <w:t>kontroli orzeczeń prokuratora</w:t>
      </w:r>
      <w:r w:rsidR="00992FD0" w:rsidRPr="00EC250C">
        <w:t xml:space="preserve"> o </w:t>
      </w:r>
      <w:r w:rsidR="00C367BE" w:rsidRPr="00EC250C">
        <w:t>odmow</w:t>
      </w:r>
      <w:r w:rsidR="00171219" w:rsidRPr="00EC250C">
        <w:t>ie</w:t>
      </w:r>
      <w:r w:rsidR="00C367BE" w:rsidRPr="00EC250C">
        <w:t xml:space="preserve"> dopuszczenia </w:t>
      </w:r>
      <w:r w:rsidR="00171219" w:rsidRPr="00EC250C">
        <w:t>pełnomocnika osoby niebędącej stroną</w:t>
      </w:r>
      <w:r w:rsidR="00992FD0" w:rsidRPr="00EC250C">
        <w:t xml:space="preserve"> w </w:t>
      </w:r>
      <w:r w:rsidR="00C367BE" w:rsidRPr="00EC250C">
        <w:t>postępowaniu przygotowawczym</w:t>
      </w:r>
      <w:bookmarkEnd w:id="210"/>
    </w:p>
    <w:p w14:paraId="1C859B63" w14:textId="77777777" w:rsidR="00B473F5" w:rsidRPr="00EC250C" w:rsidRDefault="00E61D86" w:rsidP="00D131FA">
      <w:pPr>
        <w:pStyle w:val="Problemczowieka"/>
        <w:jc w:val="both"/>
        <w:rPr>
          <w:bdr w:val="none" w:sz="0" w:space="0" w:color="auto" w:frame="1"/>
        </w:rPr>
      </w:pPr>
      <w:r w:rsidRPr="00EC250C">
        <w:rPr>
          <w:bdr w:val="none" w:sz="0" w:space="0" w:color="auto" w:frame="1"/>
        </w:rPr>
        <w:t>Osoba niebędąca stroną postępowania karnego może ustanowić pełnomocnika, jeżeli wymagają tego jej interesy. Prokurator może jednak odmówić dopuszczenia do śledztwa takiego pełnomocnika, jeśli uzna, że obrona interesów danej osoby tego nie wymaga. Decyzję taką można zaskarżyć jedynie do prokuratora nadrzędnego. Według RPO powinno tu przysługiwać odwołanie do sądu</w:t>
      </w:r>
      <w:r w:rsidR="00B473F5" w:rsidRPr="00EC250C">
        <w:rPr>
          <w:bdr w:val="none" w:sz="0" w:space="0" w:color="auto" w:frame="1"/>
        </w:rPr>
        <w:t>.</w:t>
      </w:r>
    </w:p>
    <w:p w14:paraId="4CA6F07E" w14:textId="77777777" w:rsidR="00863D73" w:rsidRPr="00EC250C" w:rsidRDefault="00863D73" w:rsidP="00D131FA">
      <w:pPr>
        <w:pStyle w:val="Styl1"/>
      </w:pPr>
      <w:r w:rsidRPr="00EC250C">
        <w:t>Jeszcze</w:t>
      </w:r>
      <w:r w:rsidR="00992FD0" w:rsidRPr="00EC250C">
        <w:t xml:space="preserve"> w </w:t>
      </w:r>
      <w:r w:rsidRPr="00EC250C">
        <w:t>2014 roku Rzecznik Praw Obywatelskich wystąpił do Ministra Sprawiedliwości</w:t>
      </w:r>
      <w:r w:rsidR="00992FD0" w:rsidRPr="00EC250C">
        <w:t xml:space="preserve"> w </w:t>
      </w:r>
      <w:r w:rsidRPr="00EC250C">
        <w:t>sprawie zgodności</w:t>
      </w:r>
      <w:r w:rsidR="00992FD0" w:rsidRPr="00EC250C">
        <w:t xml:space="preserve"> z </w:t>
      </w:r>
      <w:r w:rsidRPr="00EC250C">
        <w:t>Konstytucją art. 87 § 3 Kodeksu postępowania karnego</w:t>
      </w:r>
      <w:r w:rsidR="00992FD0" w:rsidRPr="00EC250C">
        <w:t xml:space="preserve"> w </w:t>
      </w:r>
      <w:r w:rsidRPr="00EC250C">
        <w:t>związku</w:t>
      </w:r>
      <w:r w:rsidR="00992FD0" w:rsidRPr="00EC250C">
        <w:t xml:space="preserve"> z </w:t>
      </w:r>
      <w:r w:rsidRPr="00EC250C">
        <w:t>art. 302 § 3 K.p.k. Chodzi</w:t>
      </w:r>
      <w:r w:rsidR="00992FD0" w:rsidRPr="00EC250C">
        <w:t xml:space="preserve"> o </w:t>
      </w:r>
      <w:r w:rsidRPr="00EC250C">
        <w:t>brak możliwości odwołania się do sądu od odmowy prokuratora dopuszczenia</w:t>
      </w:r>
      <w:r w:rsidR="00992FD0" w:rsidRPr="00EC250C">
        <w:t xml:space="preserve"> w </w:t>
      </w:r>
      <w:r w:rsidRPr="00EC250C">
        <w:t>postępowaniu przygotowawczym pełnomocnika osoby niebędącej stroną. Odwołać się można tylko do prokuratora nadrzędnego.</w:t>
      </w:r>
    </w:p>
    <w:p w14:paraId="3B64EF36" w14:textId="77777777" w:rsidR="00341542" w:rsidRPr="00EC250C" w:rsidRDefault="00E61D86" w:rsidP="00D131FA">
      <w:pPr>
        <w:pStyle w:val="Styl1"/>
      </w:pPr>
      <w:r w:rsidRPr="00EC250C">
        <w:t>W maju 2015</w:t>
      </w:r>
      <w:r w:rsidR="00C91F6E" w:rsidRPr="00EC250C">
        <w:t> r.</w:t>
      </w:r>
      <w:r w:rsidRPr="00EC250C">
        <w:t xml:space="preserve"> Minister Sprawiedliwości poinformował RPO, że Komisja Kodyfikacyjna Prawa Karnego poparła stanowisko Rzecznika. Niestety, do zmian prawa nie doszło</w:t>
      </w:r>
      <w:r w:rsidR="00193419" w:rsidRPr="00EC250C">
        <w:t xml:space="preserve">. </w:t>
      </w:r>
      <w:r w:rsidR="00185A4B" w:rsidRPr="00EC250C">
        <w:t xml:space="preserve">W 2018 r. </w:t>
      </w:r>
      <w:r w:rsidR="007447EE" w:rsidRPr="00EC250C">
        <w:t xml:space="preserve">RPO </w:t>
      </w:r>
      <w:r w:rsidR="00193419" w:rsidRPr="00EC250C">
        <w:t>ponowił apel do M</w:t>
      </w:r>
      <w:r w:rsidR="005E0732" w:rsidRPr="00EC250C">
        <w:t>S wskazując na aktualność przedstawionego problemu.</w:t>
      </w:r>
      <w:r w:rsidR="00C367BE" w:rsidRPr="00EC250C">
        <w:rPr>
          <w:rStyle w:val="Odwoanieprzypisudolnego"/>
          <w:bCs/>
          <w:iCs/>
        </w:rPr>
        <w:footnoteReference w:id="181"/>
      </w:r>
      <w:r w:rsidR="008962D2" w:rsidRPr="00EC250C">
        <w:t>.</w:t>
      </w:r>
    </w:p>
    <w:p w14:paraId="2A39B180" w14:textId="77777777" w:rsidR="00341542" w:rsidRPr="00EC250C" w:rsidRDefault="00341542" w:rsidP="00D131FA">
      <w:pPr>
        <w:spacing w:after="200" w:line="24" w:lineRule="auto"/>
        <w:jc w:val="both"/>
        <w:rPr>
          <w:spacing w:val="5"/>
          <w:sz w:val="22"/>
        </w:rPr>
      </w:pPr>
      <w:r w:rsidRPr="00EC250C">
        <w:rPr>
          <w:sz w:val="24"/>
        </w:rPr>
        <w:br w:type="page"/>
      </w:r>
    </w:p>
    <w:p w14:paraId="025B4EE6" w14:textId="77777777" w:rsidR="005A49C9" w:rsidRPr="00EC250C" w:rsidRDefault="005A49C9" w:rsidP="00EC250C">
      <w:pPr>
        <w:pStyle w:val="Nagwek3"/>
      </w:pPr>
      <w:bookmarkStart w:id="211" w:name="_Toc6257721"/>
      <w:bookmarkStart w:id="212" w:name="_Toc11247613"/>
      <w:r w:rsidRPr="00EC250C">
        <w:lastRenderedPageBreak/>
        <w:t xml:space="preserve">Art. 42 ust. 3 </w:t>
      </w:r>
      <w:r w:rsidR="009E7A4B" w:rsidRPr="00EC250C">
        <w:t xml:space="preserve">Konstytucji </w:t>
      </w:r>
      <w:r w:rsidRPr="00EC250C">
        <w:t>– Zasada domniemania niewinności</w:t>
      </w:r>
      <w:bookmarkEnd w:id="211"/>
      <w:bookmarkEnd w:id="212"/>
    </w:p>
    <w:p w14:paraId="03EE8767" w14:textId="77777777" w:rsidR="005A49C9" w:rsidRPr="00EC250C" w:rsidRDefault="005A49C9" w:rsidP="00D131FA">
      <w:pPr>
        <w:pStyle w:val="konstytucja"/>
        <w:jc w:val="both"/>
      </w:pPr>
      <w:r w:rsidRPr="00EC250C">
        <w:t>Każdego uważa się za niewinnego, dopóki jego wina nie zostanie stwierdzona prawomocnym wyrokiem sądu.</w:t>
      </w:r>
    </w:p>
    <w:p w14:paraId="70CD3696" w14:textId="77777777" w:rsidR="00C91F6E" w:rsidRPr="00EC250C" w:rsidRDefault="009E7A4B" w:rsidP="00D131FA">
      <w:pPr>
        <w:pStyle w:val="ComwiKonstytucja"/>
      </w:pPr>
      <w:r w:rsidRPr="00EC250C">
        <w:t>Fakt popełnienia zabronionego czynu oraz fakt popełnienia go</w:t>
      </w:r>
      <w:r w:rsidR="00992FD0" w:rsidRPr="00EC250C">
        <w:t xml:space="preserve"> w </w:t>
      </w:r>
      <w:r w:rsidRPr="00EC250C">
        <w:t>sposób zawiniony muszą być udowodnione.</w:t>
      </w:r>
    </w:p>
    <w:p w14:paraId="0BB403DC" w14:textId="77777777" w:rsidR="00C91F6E" w:rsidRPr="00EC250C" w:rsidRDefault="009E7A4B" w:rsidP="00D131FA">
      <w:pPr>
        <w:pStyle w:val="ComwiKonstytucja"/>
      </w:pPr>
      <w:r w:rsidRPr="00EC250C">
        <w:t>Domniemanie niewinności odnosi się do każdego, kto dopuścił się czynu zabronionego,</w:t>
      </w:r>
      <w:r w:rsidR="00992FD0" w:rsidRPr="00EC250C">
        <w:t xml:space="preserve"> a </w:t>
      </w:r>
      <w:r w:rsidRPr="00EC250C">
        <w:t>nie jedynie do oskarżonego. Takie szerokie ujęcie jest istotne ponieważ artykuł 42 dotyczy odpowiedzialności karnej</w:t>
      </w:r>
      <w:r w:rsidR="00992FD0" w:rsidRPr="00EC250C">
        <w:t xml:space="preserve"> i </w:t>
      </w:r>
      <w:r w:rsidRPr="00EC250C">
        <w:t>postępowania karnego</w:t>
      </w:r>
      <w:r w:rsidR="00992FD0" w:rsidRPr="00EC250C">
        <w:t xml:space="preserve"> w </w:t>
      </w:r>
      <w:r w:rsidRPr="00EC250C">
        <w:t>każdej postaci. Przepis ten należy bezpośrednio powiązać</w:t>
      </w:r>
      <w:r w:rsidR="00992FD0" w:rsidRPr="00EC250C">
        <w:t xml:space="preserve"> z </w:t>
      </w:r>
      <w:r w:rsidRPr="00EC250C">
        <w:t>prawem do sądu (art. 45 ust. 1). Jednocześnie warto podkreślić, że wyroki sądowe to najczęściej spotykane rozstrzygnięcia orzekające</w:t>
      </w:r>
      <w:r w:rsidR="00992FD0" w:rsidRPr="00EC250C">
        <w:t xml:space="preserve"> o </w:t>
      </w:r>
      <w:r w:rsidRPr="00EC250C">
        <w:t>wymierzeniu kary.</w:t>
      </w:r>
    </w:p>
    <w:p w14:paraId="1404BE5B" w14:textId="77777777" w:rsidR="00A87A5B" w:rsidRPr="00EC250C" w:rsidRDefault="009E7A4B" w:rsidP="00D131FA">
      <w:pPr>
        <w:pStyle w:val="ComwiKonstytucja"/>
      </w:pPr>
      <w:r w:rsidRPr="00EC250C">
        <w:t>Domniemanie niewinności przypisane jest również osobom, przeciwko którym toczy się dochodzenie lub śledztwo,</w:t>
      </w:r>
      <w:r w:rsidR="00992FD0" w:rsidRPr="00EC250C">
        <w:t xml:space="preserve"> a </w:t>
      </w:r>
      <w:r w:rsidRPr="00EC250C">
        <w:t>także obwinionym</w:t>
      </w:r>
      <w:r w:rsidR="00992FD0" w:rsidRPr="00EC250C">
        <w:t xml:space="preserve"> o </w:t>
      </w:r>
      <w:r w:rsidRPr="00EC250C">
        <w:t>popełnienie wykroczenia lub innego czynu zabronionego pod groźbą kary</w:t>
      </w:r>
      <w:r w:rsidR="00EE09AA" w:rsidRPr="00EC250C">
        <w:t>.</w:t>
      </w:r>
    </w:p>
    <w:p w14:paraId="15075BB7" w14:textId="77777777" w:rsidR="00EE09AA" w:rsidRPr="00EC250C" w:rsidRDefault="00EE09AA" w:rsidP="00D131FA">
      <w:pPr>
        <w:pStyle w:val="ComwiKonstytucja"/>
      </w:pPr>
    </w:p>
    <w:p w14:paraId="565626DD" w14:textId="77777777" w:rsidR="00A87A5B" w:rsidRPr="00EC250C" w:rsidRDefault="00A87A5B" w:rsidP="00D131FA">
      <w:pPr>
        <w:spacing w:after="200" w:line="24" w:lineRule="auto"/>
        <w:jc w:val="both"/>
        <w:rPr>
          <w:i/>
          <w:spacing w:val="5"/>
          <w:sz w:val="22"/>
        </w:rPr>
      </w:pPr>
      <w:r w:rsidRPr="00EC250C">
        <w:rPr>
          <w:sz w:val="24"/>
        </w:rPr>
        <w:br w:type="page"/>
      </w:r>
    </w:p>
    <w:p w14:paraId="421DCCA5" w14:textId="77777777" w:rsidR="00C91F6E" w:rsidRPr="00EC250C" w:rsidRDefault="00E16303" w:rsidP="00EC79EB">
      <w:pPr>
        <w:pStyle w:val="Nagwek4"/>
      </w:pPr>
      <w:bookmarkStart w:id="213" w:name="_Toc6257722"/>
      <w:bookmarkStart w:id="214" w:name="_Toc11247614"/>
      <w:r w:rsidRPr="00EC250C">
        <w:lastRenderedPageBreak/>
        <w:t>Niewdrożone e</w:t>
      </w:r>
      <w:r w:rsidR="00171219" w:rsidRPr="00EC250C">
        <w:t>uropejskie standardy uznawania człowieka za niewinnego</w:t>
      </w:r>
      <w:bookmarkEnd w:id="213"/>
      <w:bookmarkEnd w:id="214"/>
    </w:p>
    <w:p w14:paraId="0C40A00D" w14:textId="77777777" w:rsidR="00B473F5" w:rsidRPr="00EC250C" w:rsidRDefault="002C06F4" w:rsidP="00D131FA">
      <w:pPr>
        <w:pStyle w:val="Problemczowieka"/>
        <w:jc w:val="both"/>
      </w:pPr>
      <w:r w:rsidRPr="00EC250C">
        <w:t>Dyrektywa</w:t>
      </w:r>
      <w:r w:rsidR="00171219" w:rsidRPr="00EC250C">
        <w:t xml:space="preserve"> unijna</w:t>
      </w:r>
      <w:r w:rsidR="00992FD0" w:rsidRPr="00EC250C">
        <w:t xml:space="preserve"> z </w:t>
      </w:r>
      <w:r w:rsidR="00171219" w:rsidRPr="00EC250C">
        <w:t>2016</w:t>
      </w:r>
      <w:r w:rsidR="00C91F6E" w:rsidRPr="00EC250C">
        <w:t> r.</w:t>
      </w:r>
      <w:r w:rsidRPr="00EC250C">
        <w:rPr>
          <w:rStyle w:val="Odwoanieprzypisudolnego"/>
        </w:rPr>
        <w:footnoteReference w:id="182"/>
      </w:r>
      <w:r w:rsidRPr="00EC250C">
        <w:t xml:space="preserve"> rekomenduje, by wszystkie wątpliwości</w:t>
      </w:r>
      <w:r w:rsidR="00992FD0" w:rsidRPr="00EC250C">
        <w:t xml:space="preserve"> w </w:t>
      </w:r>
      <w:r w:rsidRPr="00EC250C">
        <w:t>postępowaniu karnym rozstrzygać na korzyść podejrzanego</w:t>
      </w:r>
      <w:r w:rsidR="00992FD0" w:rsidRPr="00EC250C">
        <w:t xml:space="preserve"> i </w:t>
      </w:r>
      <w:r w:rsidRPr="00EC250C">
        <w:t>oskarżonego – polskie prawo mówi dziś tylko</w:t>
      </w:r>
      <w:r w:rsidR="00992FD0" w:rsidRPr="00EC250C">
        <w:t xml:space="preserve"> o </w:t>
      </w:r>
      <w:r w:rsidRPr="00EC250C">
        <w:t>wątpliwościach</w:t>
      </w:r>
      <w:r w:rsidR="00CC4D88" w:rsidRPr="00EC250C">
        <w:t xml:space="preserve"> </w:t>
      </w:r>
      <w:r w:rsidRPr="00EC250C">
        <w:t>„nie dających się usunąć”</w:t>
      </w:r>
      <w:r w:rsidR="00992FD0" w:rsidRPr="00EC250C">
        <w:t xml:space="preserve"> i </w:t>
      </w:r>
      <w:r w:rsidRPr="00EC250C">
        <w:t>jedynie wobec oskarżonego</w:t>
      </w:r>
      <w:r w:rsidR="00B473F5" w:rsidRPr="00EC250C">
        <w:t>.</w:t>
      </w:r>
    </w:p>
    <w:p w14:paraId="2648B87D" w14:textId="77777777" w:rsidR="00C91F6E" w:rsidRPr="00EC250C" w:rsidRDefault="008962D2" w:rsidP="00D131FA">
      <w:pPr>
        <w:pStyle w:val="Styl1"/>
        <w:rPr>
          <w:bCs/>
          <w:iCs/>
          <w:vertAlign w:val="superscript"/>
        </w:rPr>
      </w:pPr>
      <w:r w:rsidRPr="00EC250C">
        <w:rPr>
          <w:bdr w:val="none" w:sz="0" w:space="0" w:color="auto" w:frame="1"/>
        </w:rPr>
        <w:t>RPO</w:t>
      </w:r>
      <w:r w:rsidR="002C06F4" w:rsidRPr="00EC250C">
        <w:rPr>
          <w:bdr w:val="none" w:sz="0" w:space="0" w:color="auto" w:frame="1"/>
        </w:rPr>
        <w:t xml:space="preserve"> wystąpił do Ministra Sprawiedliwości</w:t>
      </w:r>
      <w:r w:rsidR="00992FD0" w:rsidRPr="00EC250C">
        <w:rPr>
          <w:bdr w:val="none" w:sz="0" w:space="0" w:color="auto" w:frame="1"/>
        </w:rPr>
        <w:t xml:space="preserve"> w </w:t>
      </w:r>
      <w:r w:rsidR="002C06F4" w:rsidRPr="00EC250C">
        <w:rPr>
          <w:bdr w:val="none" w:sz="0" w:space="0" w:color="auto" w:frame="1"/>
        </w:rPr>
        <w:t>sprawie konieczności wdrożenia dyrektywy; termin jej wprowadzenia minął 1 kwietnia 2018</w:t>
      </w:r>
      <w:r w:rsidR="00C91F6E" w:rsidRPr="00EC250C">
        <w:rPr>
          <w:bdr w:val="none" w:sz="0" w:space="0" w:color="auto" w:frame="1"/>
        </w:rPr>
        <w:t> r.</w:t>
      </w:r>
      <w:r w:rsidR="002C06F4" w:rsidRPr="00EC250C">
        <w:rPr>
          <w:bCs/>
          <w:iCs/>
          <w:vertAlign w:val="superscript"/>
        </w:rPr>
        <w:t xml:space="preserve"> </w:t>
      </w:r>
      <w:r w:rsidR="002C06F4" w:rsidRPr="00EC250C">
        <w:rPr>
          <w:bCs/>
          <w:iCs/>
          <w:vertAlign w:val="superscript"/>
        </w:rPr>
        <w:footnoteReference w:id="183"/>
      </w:r>
    </w:p>
    <w:p w14:paraId="4EDA5BDE" w14:textId="77777777" w:rsidR="002C06F4" w:rsidRPr="00EC250C" w:rsidRDefault="002C06F4" w:rsidP="00D131FA">
      <w:pPr>
        <w:pStyle w:val="Styl1"/>
      </w:pPr>
      <w:r w:rsidRPr="00EC250C">
        <w:t>Wszystkie przepisy dotyczące podejrzanego przewidziane</w:t>
      </w:r>
      <w:r w:rsidR="00992FD0" w:rsidRPr="00EC250C">
        <w:t xml:space="preserve"> w </w:t>
      </w:r>
      <w:r w:rsidRPr="00EC250C">
        <w:t>dyrektywie niewinnościowej mają mieć zastosowanie także do osób podejrzanych. Dlatego RPO ma wątpliwość co do nowego brzmienia art. 233 § 1a Kodeksu karnego. Przewiduje on karę pozbawienia wolności od 3 miesięcy do lat 5 za składanie fałszywych zeznań – jeśli sprawca zeznaje nieprawdę lub zataja prawdę</w:t>
      </w:r>
      <w:r w:rsidR="00992FD0" w:rsidRPr="00EC250C">
        <w:t xml:space="preserve"> z </w:t>
      </w:r>
      <w:r w:rsidRPr="00EC250C">
        <w:t>obawy przed odpowiedzialnością karną grożącą jemu samemu lub jego najbliższym.</w:t>
      </w:r>
    </w:p>
    <w:p w14:paraId="2A031FED" w14:textId="77777777" w:rsidR="001867AF" w:rsidRPr="00EC250C" w:rsidRDefault="00F464D0" w:rsidP="00D131FA">
      <w:pPr>
        <w:pStyle w:val="Styl1"/>
        <w:rPr>
          <w:bCs/>
          <w:iCs/>
        </w:rPr>
      </w:pPr>
      <w:r w:rsidRPr="00EC250C">
        <w:rPr>
          <w:bCs/>
          <w:iCs/>
        </w:rPr>
        <w:t>Minister</w:t>
      </w:r>
      <w:r w:rsidR="001867AF" w:rsidRPr="00EC250C">
        <w:rPr>
          <w:bCs/>
          <w:iCs/>
        </w:rPr>
        <w:t xml:space="preserve"> </w:t>
      </w:r>
      <w:r w:rsidR="002C06F4" w:rsidRPr="00EC250C">
        <w:rPr>
          <w:bCs/>
          <w:iCs/>
        </w:rPr>
        <w:t xml:space="preserve">Sprawiedliwości </w:t>
      </w:r>
      <w:r w:rsidR="001867AF" w:rsidRPr="00EC250C">
        <w:rPr>
          <w:bCs/>
          <w:iCs/>
        </w:rPr>
        <w:t>poinformował, że</w:t>
      </w:r>
      <w:r w:rsidR="00992FD0" w:rsidRPr="00EC250C">
        <w:rPr>
          <w:bCs/>
          <w:iCs/>
        </w:rPr>
        <w:t xml:space="preserve"> </w:t>
      </w:r>
      <w:r w:rsidR="001867AF" w:rsidRPr="00EC250C">
        <w:rPr>
          <w:bCs/>
          <w:iCs/>
        </w:rPr>
        <w:t xml:space="preserve">obowiązujące przepisy procedury karnej zapewniają </w:t>
      </w:r>
      <w:r w:rsidR="00907A50" w:rsidRPr="00EC250C">
        <w:rPr>
          <w:bCs/>
          <w:iCs/>
        </w:rPr>
        <w:t xml:space="preserve">wdrożenie </w:t>
      </w:r>
      <w:r w:rsidR="001867AF" w:rsidRPr="00EC250C">
        <w:rPr>
          <w:bCs/>
          <w:iCs/>
        </w:rPr>
        <w:t>dyrektywy</w:t>
      </w:r>
      <w:r w:rsidR="002C06F4" w:rsidRPr="00EC250C">
        <w:rPr>
          <w:bCs/>
          <w:iCs/>
        </w:rPr>
        <w:t>,</w:t>
      </w:r>
      <w:r w:rsidR="00992FD0" w:rsidRPr="00EC250C">
        <w:rPr>
          <w:bCs/>
          <w:iCs/>
        </w:rPr>
        <w:t xml:space="preserve"> w </w:t>
      </w:r>
      <w:r w:rsidR="001867AF" w:rsidRPr="00EC250C">
        <w:rPr>
          <w:bCs/>
          <w:iCs/>
        </w:rPr>
        <w:t>związku</w:t>
      </w:r>
      <w:r w:rsidR="00992FD0" w:rsidRPr="00EC250C">
        <w:rPr>
          <w:bCs/>
          <w:iCs/>
        </w:rPr>
        <w:t xml:space="preserve"> z </w:t>
      </w:r>
      <w:r w:rsidR="001867AF" w:rsidRPr="00EC250C">
        <w:rPr>
          <w:bCs/>
          <w:iCs/>
        </w:rPr>
        <w:t>czym</w:t>
      </w:r>
      <w:r w:rsidR="00992FD0" w:rsidRPr="00EC250C">
        <w:rPr>
          <w:bCs/>
          <w:iCs/>
        </w:rPr>
        <w:t xml:space="preserve"> </w:t>
      </w:r>
      <w:r w:rsidR="001867AF" w:rsidRPr="00EC250C">
        <w:rPr>
          <w:bCs/>
          <w:iCs/>
        </w:rPr>
        <w:t>nie planuje się prac legislacyjnych.</w:t>
      </w:r>
    </w:p>
    <w:p w14:paraId="54EC9D7D" w14:textId="77777777" w:rsidR="0028583B" w:rsidRPr="00EC250C" w:rsidRDefault="0028583B" w:rsidP="00EC250C">
      <w:pPr>
        <w:pStyle w:val="Nagwek8"/>
      </w:pPr>
      <w:r w:rsidRPr="00EC250C">
        <w:t>Kasacja</w:t>
      </w:r>
      <w:r w:rsidR="00992FD0" w:rsidRPr="00EC250C">
        <w:t xml:space="preserve"> w </w:t>
      </w:r>
      <w:r w:rsidRPr="00EC250C">
        <w:t>sprawie wydania wyroku nakazowego</w:t>
      </w:r>
    </w:p>
    <w:p w14:paraId="1462AED0" w14:textId="77777777" w:rsidR="00C91F6E" w:rsidRPr="00EC250C" w:rsidRDefault="0028583B" w:rsidP="00D131FA">
      <w:pPr>
        <w:pStyle w:val="Styl2"/>
        <w:rPr>
          <w:szCs w:val="24"/>
        </w:rPr>
      </w:pPr>
      <w:r w:rsidRPr="00EC250C">
        <w:rPr>
          <w:szCs w:val="24"/>
        </w:rPr>
        <w:t>Pan R. F. został obwiniony</w:t>
      </w:r>
      <w:r w:rsidR="00992FD0" w:rsidRPr="00EC250C">
        <w:rPr>
          <w:szCs w:val="24"/>
        </w:rPr>
        <w:t xml:space="preserve"> o </w:t>
      </w:r>
      <w:r w:rsidRPr="00EC250C">
        <w:rPr>
          <w:szCs w:val="24"/>
        </w:rPr>
        <w:t>zakłócenie porządku publicznego</w:t>
      </w:r>
      <w:r w:rsidR="001E5A55" w:rsidRPr="00EC250C">
        <w:rPr>
          <w:szCs w:val="24"/>
        </w:rPr>
        <w:t>.</w:t>
      </w:r>
      <w:r w:rsidRPr="00EC250C">
        <w:rPr>
          <w:szCs w:val="24"/>
        </w:rPr>
        <w:t xml:space="preserve"> </w:t>
      </w:r>
      <w:r w:rsidR="001E5A55" w:rsidRPr="00EC250C">
        <w:rPr>
          <w:szCs w:val="24"/>
        </w:rPr>
        <w:t>N</w:t>
      </w:r>
      <w:r w:rsidRPr="00EC250C">
        <w:rPr>
          <w:szCs w:val="24"/>
        </w:rPr>
        <w:t>a tę okoliczność składał wyjaśnienia</w:t>
      </w:r>
      <w:r w:rsidR="00992FD0" w:rsidRPr="00EC250C">
        <w:rPr>
          <w:szCs w:val="24"/>
        </w:rPr>
        <w:t xml:space="preserve"> i </w:t>
      </w:r>
      <w:r w:rsidRPr="00EC250C">
        <w:rPr>
          <w:szCs w:val="24"/>
        </w:rPr>
        <w:t>nie przyzna</w:t>
      </w:r>
      <w:r w:rsidR="002C06F4" w:rsidRPr="00EC250C">
        <w:rPr>
          <w:szCs w:val="24"/>
        </w:rPr>
        <w:t>ł</w:t>
      </w:r>
      <w:r w:rsidRPr="00EC250C">
        <w:rPr>
          <w:szCs w:val="24"/>
        </w:rPr>
        <w:t xml:space="preserve"> się do zarzucanego mu czynu.</w:t>
      </w:r>
    </w:p>
    <w:p w14:paraId="28D91258" w14:textId="77777777" w:rsidR="00C91F6E" w:rsidRPr="00EC250C" w:rsidRDefault="0028583B" w:rsidP="00D131FA">
      <w:pPr>
        <w:pStyle w:val="Styl2"/>
        <w:rPr>
          <w:szCs w:val="24"/>
        </w:rPr>
      </w:pPr>
      <w:r w:rsidRPr="00EC250C">
        <w:rPr>
          <w:szCs w:val="24"/>
        </w:rPr>
        <w:t xml:space="preserve">Tymczasem </w:t>
      </w:r>
      <w:r w:rsidR="002C06F4" w:rsidRPr="00EC250C">
        <w:rPr>
          <w:szCs w:val="24"/>
        </w:rPr>
        <w:t>s</w:t>
      </w:r>
      <w:r w:rsidRPr="00EC250C">
        <w:rPr>
          <w:szCs w:val="24"/>
        </w:rPr>
        <w:t xml:space="preserve">ąd, wyrokiem nakazowym, uznał go winnym spowodowania nieuzasadnionej interwencji </w:t>
      </w:r>
      <w:r w:rsidR="002C06F4" w:rsidRPr="00EC250C">
        <w:rPr>
          <w:szCs w:val="24"/>
        </w:rPr>
        <w:t>p</w:t>
      </w:r>
      <w:r w:rsidRPr="00EC250C">
        <w:rPr>
          <w:szCs w:val="24"/>
        </w:rPr>
        <w:t>olicji, mimo, iż</w:t>
      </w:r>
      <w:r w:rsidR="00992FD0" w:rsidRPr="00EC250C">
        <w:rPr>
          <w:szCs w:val="24"/>
        </w:rPr>
        <w:t xml:space="preserve"> w </w:t>
      </w:r>
      <w:r w:rsidRPr="00EC250C">
        <w:rPr>
          <w:szCs w:val="24"/>
        </w:rPr>
        <w:t>materiałach sprawy nie było żadnych danych uzasadniających przypisanie mu takiego czynu.</w:t>
      </w:r>
    </w:p>
    <w:p w14:paraId="2AA176F6" w14:textId="77777777" w:rsidR="00C91F6E" w:rsidRPr="00EC250C" w:rsidRDefault="007447EE" w:rsidP="00D131FA">
      <w:pPr>
        <w:pStyle w:val="Styl2"/>
        <w:rPr>
          <w:szCs w:val="24"/>
        </w:rPr>
      </w:pPr>
      <w:r w:rsidRPr="00EC250C">
        <w:rPr>
          <w:szCs w:val="24"/>
        </w:rPr>
        <w:t>RPO</w:t>
      </w:r>
      <w:r w:rsidR="0028583B" w:rsidRPr="00EC250C">
        <w:rPr>
          <w:szCs w:val="24"/>
        </w:rPr>
        <w:t xml:space="preserve"> złożył</w:t>
      </w:r>
      <w:r w:rsidR="0028583B" w:rsidRPr="00EC250C">
        <w:rPr>
          <w:szCs w:val="24"/>
          <w:vertAlign w:val="superscript"/>
        </w:rPr>
        <w:footnoteReference w:id="184"/>
      </w:r>
      <w:r w:rsidR="00992FD0" w:rsidRPr="00EC250C">
        <w:rPr>
          <w:szCs w:val="24"/>
        </w:rPr>
        <w:t xml:space="preserve"> w </w:t>
      </w:r>
      <w:r w:rsidR="0028583B" w:rsidRPr="00EC250C">
        <w:rPr>
          <w:szCs w:val="24"/>
        </w:rPr>
        <w:t>tej sprawie kasację, wskazując</w:t>
      </w:r>
      <w:r w:rsidR="00992FD0" w:rsidRPr="00EC250C">
        <w:rPr>
          <w:szCs w:val="24"/>
        </w:rPr>
        <w:t xml:space="preserve"> w </w:t>
      </w:r>
      <w:r w:rsidR="0028583B" w:rsidRPr="00EC250C">
        <w:rPr>
          <w:szCs w:val="24"/>
        </w:rPr>
        <w:t xml:space="preserve">uzasadnieniu, że </w:t>
      </w:r>
      <w:r w:rsidR="002C06F4" w:rsidRPr="00EC250C">
        <w:rPr>
          <w:szCs w:val="24"/>
        </w:rPr>
        <w:t>s</w:t>
      </w:r>
      <w:r w:rsidR="0028583B" w:rsidRPr="00EC250C">
        <w:rPr>
          <w:szCs w:val="24"/>
        </w:rPr>
        <w:t xml:space="preserve">ądowi nie wolno było orzekać wyrokiem nakazowym. Zdaniem </w:t>
      </w:r>
      <w:r w:rsidRPr="00EC250C">
        <w:rPr>
          <w:szCs w:val="24"/>
        </w:rPr>
        <w:t>RPO</w:t>
      </w:r>
      <w:r w:rsidR="0028583B" w:rsidRPr="00EC250C">
        <w:rPr>
          <w:szCs w:val="24"/>
        </w:rPr>
        <w:t xml:space="preserve"> powyższe okoliczności winny skutkować skierowaniem sprawy na rozprawę, przeprowadzeniem postępowania dowodowego</w:t>
      </w:r>
      <w:r w:rsidR="00992FD0" w:rsidRPr="00EC250C">
        <w:rPr>
          <w:szCs w:val="24"/>
        </w:rPr>
        <w:t xml:space="preserve"> i </w:t>
      </w:r>
      <w:r w:rsidR="0028583B" w:rsidRPr="00EC250C">
        <w:rPr>
          <w:szCs w:val="24"/>
        </w:rPr>
        <w:t>wyjaśnieniem wszystkich istotnych dla merytorycznego rozstrzygnięcia okoliczności. Kasacja oczekuje na rozpoznanie</w:t>
      </w:r>
      <w:r w:rsidR="00FF2291" w:rsidRPr="00EC250C">
        <w:rPr>
          <w:szCs w:val="24"/>
        </w:rPr>
        <w:t>.</w:t>
      </w:r>
    </w:p>
    <w:p w14:paraId="0F5D8FAA" w14:textId="77777777" w:rsidR="005A49C9" w:rsidRPr="00EC250C" w:rsidRDefault="005A49C9" w:rsidP="00D131FA">
      <w:pPr>
        <w:jc w:val="both"/>
        <w:rPr>
          <w:bCs/>
          <w:sz w:val="24"/>
        </w:rPr>
      </w:pPr>
      <w:r w:rsidRPr="00EC250C">
        <w:rPr>
          <w:bCs/>
          <w:sz w:val="24"/>
        </w:rPr>
        <w:br w:type="page"/>
      </w:r>
    </w:p>
    <w:p w14:paraId="135D2D80" w14:textId="77777777" w:rsidR="00C91F6E" w:rsidRPr="00EC250C" w:rsidRDefault="005A49C9" w:rsidP="00EC250C">
      <w:pPr>
        <w:pStyle w:val="Nagwek3"/>
      </w:pPr>
      <w:bookmarkStart w:id="215" w:name="_Toc6257723"/>
      <w:bookmarkStart w:id="216" w:name="_Toc11247615"/>
      <w:r w:rsidRPr="00EC250C">
        <w:lastRenderedPageBreak/>
        <w:t xml:space="preserve">Art. 43 </w:t>
      </w:r>
      <w:r w:rsidR="006302BF" w:rsidRPr="00EC250C">
        <w:t xml:space="preserve">Konstytucji </w:t>
      </w:r>
      <w:r w:rsidRPr="00EC250C">
        <w:t>– Zakaz przedawnienia</w:t>
      </w:r>
      <w:bookmarkEnd w:id="215"/>
      <w:bookmarkEnd w:id="216"/>
    </w:p>
    <w:p w14:paraId="78A73893" w14:textId="77777777" w:rsidR="005A49C9" w:rsidRPr="00EC250C" w:rsidRDefault="005A49C9" w:rsidP="00D131FA">
      <w:pPr>
        <w:pStyle w:val="konstytucja"/>
        <w:jc w:val="both"/>
      </w:pPr>
      <w:r w:rsidRPr="00EC250C">
        <w:t>Zbrodnie wojenne</w:t>
      </w:r>
      <w:r w:rsidR="00992FD0" w:rsidRPr="00EC250C">
        <w:t xml:space="preserve"> i </w:t>
      </w:r>
      <w:r w:rsidRPr="00EC250C">
        <w:t>zbrodnie przeciwko ludzkości nie podlegają przedawnieniu</w:t>
      </w:r>
      <w:r w:rsidR="008A1618" w:rsidRPr="00EC250C">
        <w:t>.</w:t>
      </w:r>
    </w:p>
    <w:p w14:paraId="42325EA1" w14:textId="77777777" w:rsidR="00C91F6E" w:rsidRPr="00EC250C" w:rsidRDefault="003C4C53" w:rsidP="00D131FA">
      <w:pPr>
        <w:pStyle w:val="ComwiKonstytucja"/>
      </w:pPr>
      <w:r w:rsidRPr="00EC250C">
        <w:t>Prawo karne co do zasady przewiduje instytucję przedawnienia. Jeśli ściganie sprawcy stało się możliwe dopiero po upływie znacznego czasu, odstępuje się od ścigania. Często bowiem czyn zatarł się już</w:t>
      </w:r>
      <w:r w:rsidR="00992FD0" w:rsidRPr="00EC250C">
        <w:t xml:space="preserve"> w </w:t>
      </w:r>
      <w:r w:rsidRPr="00EC250C">
        <w:t>pamięci,</w:t>
      </w:r>
      <w:r w:rsidR="00992FD0" w:rsidRPr="00EC250C">
        <w:t xml:space="preserve"> a </w:t>
      </w:r>
      <w:r w:rsidRPr="00EC250C">
        <w:t>sprawca jest innym człowiekiem.</w:t>
      </w:r>
    </w:p>
    <w:p w14:paraId="216530D0" w14:textId="77777777" w:rsidR="00C91F6E" w:rsidRPr="00EC250C" w:rsidRDefault="003C4C53" w:rsidP="00D131FA">
      <w:pPr>
        <w:pStyle w:val="ComwiKonstytucja"/>
      </w:pPr>
      <w:r w:rsidRPr="00EC250C">
        <w:t>Artykuł 43 wprowadza jednak dwa wyjątki od tej zasady: pierwszy dotyczy zbrodni wojennych</w:t>
      </w:r>
      <w:r w:rsidR="00992FD0" w:rsidRPr="00EC250C">
        <w:t xml:space="preserve"> a </w:t>
      </w:r>
      <w:r w:rsidRPr="00EC250C">
        <w:t>drugi – zbrodni przeciwko ludzkości. Zbrodnie wojenne to najcięższe przestępstwa popełniane</w:t>
      </w:r>
      <w:r w:rsidR="00992FD0" w:rsidRPr="00EC250C">
        <w:t xml:space="preserve"> w </w:t>
      </w:r>
      <w:r w:rsidRPr="00EC250C">
        <w:t>trakcie wojny, niezależnie przeciwko komu zostały popełnione. O ile Polska nie zdecyduje się na ekstradycję lub przekazanie sprawy odpowiedniemu trybunałowi międzynarodowemu, jest zobowiązana do wszczęcia postępowania karnego.</w:t>
      </w:r>
    </w:p>
    <w:p w14:paraId="420E6BBC" w14:textId="77777777" w:rsidR="003C4C53" w:rsidRPr="00EC250C" w:rsidRDefault="003C4C53" w:rsidP="00D131FA">
      <w:pPr>
        <w:pStyle w:val="ComwiKonstytucja"/>
      </w:pPr>
      <w:r w:rsidRPr="00EC250C">
        <w:t>W przypadku zbrodni wojennej nie przyjmuje się jako okoliczności wyłączającej odpowiedzialność działania na rozkaz przełożonego. Zbrodnie przeciwko ludzkości to masowe zamachy przeciwko całym grupom ludności</w:t>
      </w:r>
      <w:r w:rsidR="00992FD0" w:rsidRPr="00EC250C">
        <w:t xml:space="preserve"> w </w:t>
      </w:r>
      <w:r w:rsidRPr="00EC250C">
        <w:t>celu wykonania lub wsparcia polityki państwa lub organizacji. Szczególną formą zbrodni przeciwko ludzkości jest ludobójstwo, czyli czyny zmierzające do eksterminacji pewnych grup ludności jako grup</w:t>
      </w:r>
      <w:r w:rsidR="00992FD0" w:rsidRPr="00EC250C">
        <w:t xml:space="preserve"> o </w:t>
      </w:r>
      <w:r w:rsidRPr="00EC250C">
        <w:t>szczególnych cechach społecznych, narodowych, religijnych czy rasowych. Winni takich zbrodni powinni zostać osądzeni przez władze polskie niezależnie od momentu popełnienia tego czynu.</w:t>
      </w:r>
    </w:p>
    <w:p w14:paraId="3E47F2C6" w14:textId="77777777" w:rsidR="003C4C53" w:rsidRPr="00EC250C" w:rsidRDefault="003C4C53" w:rsidP="00D131FA">
      <w:pPr>
        <w:pStyle w:val="ComwiKonstytucja"/>
      </w:pPr>
    </w:p>
    <w:p w14:paraId="693969D9" w14:textId="77777777" w:rsidR="00EE09AA" w:rsidRPr="00EC250C" w:rsidRDefault="00EE09AA" w:rsidP="00D131FA">
      <w:pPr>
        <w:pStyle w:val="Styl1"/>
      </w:pPr>
    </w:p>
    <w:p w14:paraId="5A9E9474" w14:textId="0466F30D" w:rsidR="00146A59" w:rsidRPr="00EC250C" w:rsidRDefault="003A3A45" w:rsidP="00D131FA">
      <w:pPr>
        <w:pStyle w:val="Styl1"/>
      </w:pPr>
      <w:r w:rsidRPr="00EC250C">
        <w:t>W 2018</w:t>
      </w:r>
      <w:r w:rsidR="00C91F6E" w:rsidRPr="00EC250C">
        <w:t> r.</w:t>
      </w:r>
      <w:r w:rsidRPr="00EC250C">
        <w:t xml:space="preserve"> nie odnotowano wniosków dotyczących materii regulowanej</w:t>
      </w:r>
      <w:r w:rsidR="00992FD0" w:rsidRPr="00EC250C">
        <w:t xml:space="preserve"> w </w:t>
      </w:r>
      <w:r w:rsidRPr="00EC250C">
        <w:t>art. 43 Konstytucji. W dalszym ciągu nie został natomiast rozstrzygnięty wniosek</w:t>
      </w:r>
      <w:r w:rsidRPr="00EC250C">
        <w:rPr>
          <w:rStyle w:val="Odwoanieprzypisudolnego"/>
        </w:rPr>
        <w:footnoteReference w:id="185"/>
      </w:r>
      <w:r w:rsidRPr="00EC250C">
        <w:t xml:space="preserve"> </w:t>
      </w:r>
      <w:r w:rsidR="007447EE" w:rsidRPr="00EC250C">
        <w:t>RPO</w:t>
      </w:r>
      <w:r w:rsidRPr="00EC250C">
        <w:t xml:space="preserve"> skierowany do Trybunału Konstytucyjnego dotyczący pokrewnej materii,</w:t>
      </w:r>
      <w:r w:rsidR="00992FD0" w:rsidRPr="00EC250C">
        <w:t xml:space="preserve"> a </w:t>
      </w:r>
      <w:r w:rsidRPr="00EC250C">
        <w:t>mianowicie przedawnienia umyślnych przestępstw przeciwko życiu, zdrowiu, wolności lub wymiaru sprawiedliwości, popełnionych przez funkcjonariuszy publicznych</w:t>
      </w:r>
      <w:r w:rsidR="00992FD0" w:rsidRPr="00EC250C">
        <w:t xml:space="preserve"> w </w:t>
      </w:r>
      <w:r w:rsidRPr="00EC250C">
        <w:t>okresie od 1 stycznia 1944</w:t>
      </w:r>
      <w:r w:rsidR="00C91F6E" w:rsidRPr="00EC250C">
        <w:t> r.</w:t>
      </w:r>
      <w:r w:rsidRPr="00EC250C">
        <w:t xml:space="preserve"> do 31 grudnia 1989</w:t>
      </w:r>
      <w:r w:rsidR="00C91F6E" w:rsidRPr="00EC250C">
        <w:t> r.</w:t>
      </w:r>
      <w:r w:rsidR="008E69D1" w:rsidRPr="00EC250C">
        <w:t xml:space="preserve"> Jest on istotny dla wielu osób, które były ofiarami dotkliwych i upokarzających działań ze strony milicji i ZOMO, ale prawnie czyny te były zagrożona karą do 5 lat więzienia i jako takie przedawniły się, zanim można je było ścigać. Chodzi o poniżanie, znęcanie się i pobicia. Zdaniem RPO ofiary te powinny mieć prawo zyskać choćby moralne zadośćuczynienie za to, co je spotkało w PRL.</w:t>
      </w:r>
    </w:p>
    <w:p w14:paraId="10B21231" w14:textId="77777777" w:rsidR="005A49C9" w:rsidRPr="00EC250C" w:rsidRDefault="005A49C9" w:rsidP="00D131FA">
      <w:pPr>
        <w:jc w:val="both"/>
        <w:rPr>
          <w:sz w:val="24"/>
        </w:rPr>
      </w:pPr>
      <w:r w:rsidRPr="00EC250C">
        <w:rPr>
          <w:sz w:val="24"/>
        </w:rPr>
        <w:br w:type="page"/>
      </w:r>
    </w:p>
    <w:p w14:paraId="1A70926F" w14:textId="77777777" w:rsidR="00C91F6E" w:rsidRPr="00EC250C" w:rsidRDefault="005A49C9" w:rsidP="00EC250C">
      <w:pPr>
        <w:pStyle w:val="Nagwek3"/>
      </w:pPr>
      <w:bookmarkStart w:id="217" w:name="_Toc6257724"/>
      <w:bookmarkStart w:id="218" w:name="_Toc11247616"/>
      <w:r w:rsidRPr="00EC250C">
        <w:lastRenderedPageBreak/>
        <w:t>Art. 44</w:t>
      </w:r>
      <w:r w:rsidR="006302BF" w:rsidRPr="00EC250C">
        <w:t xml:space="preserve"> Konstytucji</w:t>
      </w:r>
      <w:r w:rsidRPr="00EC250C">
        <w:t xml:space="preserve"> – Wstrzymanie biegu terminu przedawnienia</w:t>
      </w:r>
      <w:bookmarkEnd w:id="217"/>
      <w:bookmarkEnd w:id="218"/>
    </w:p>
    <w:p w14:paraId="6BAE5B60" w14:textId="77777777" w:rsidR="00F070C0" w:rsidRPr="00EC250C" w:rsidRDefault="005A49C9" w:rsidP="00D131FA">
      <w:pPr>
        <w:pStyle w:val="konstytucja"/>
        <w:jc w:val="both"/>
      </w:pPr>
      <w:r w:rsidRPr="00EC250C">
        <w:t>Bieg przedawnienia</w:t>
      </w:r>
      <w:r w:rsidR="00992FD0" w:rsidRPr="00EC250C">
        <w:t xml:space="preserve"> w </w:t>
      </w:r>
      <w:r w:rsidRPr="00EC250C">
        <w:t>stosunku do przestępstw, nie ściganych</w:t>
      </w:r>
      <w:r w:rsidR="00992FD0" w:rsidRPr="00EC250C">
        <w:t xml:space="preserve"> z </w:t>
      </w:r>
      <w:r w:rsidRPr="00EC250C">
        <w:t>przyczyn politycznych, popełnionych przez funkcjonariuszy publicznych lub na ich zlecenie, ulega zawieszeniu do czasu ustania tych przyczyn.</w:t>
      </w:r>
    </w:p>
    <w:p w14:paraId="1AF474C7" w14:textId="7C86E51A" w:rsidR="00C91F6E" w:rsidRPr="00EC250C" w:rsidRDefault="00454940" w:rsidP="00D131FA">
      <w:pPr>
        <w:pStyle w:val="ComwiKonstytucja"/>
      </w:pPr>
      <w:r w:rsidRPr="00EC250C">
        <w:t>Podobna regulacja nie występowała przed rokiem 1997</w:t>
      </w:r>
      <w:r w:rsidR="00992FD0" w:rsidRPr="00EC250C">
        <w:t xml:space="preserve"> w </w:t>
      </w:r>
      <w:r w:rsidRPr="00EC250C">
        <w:t>polskim konstytucjonali</w:t>
      </w:r>
      <w:r w:rsidR="00050CDC" w:rsidRPr="00EC250C">
        <w:t>ź</w:t>
      </w:r>
      <w:r w:rsidRPr="00EC250C">
        <w:t>mie. Aby</w:t>
      </w:r>
      <w:r w:rsidR="00EE09AA" w:rsidRPr="00EC250C">
        <w:t> </w:t>
      </w:r>
      <w:r w:rsidRPr="00EC250C">
        <w:t>wystąpiło zawieszenie biegu przedawnienia, wymagane jest spełnienie dwóch przesłanek:</w:t>
      </w:r>
    </w:p>
    <w:p w14:paraId="2F30B65C" w14:textId="77777777" w:rsidR="00454940" w:rsidRPr="00EC250C" w:rsidRDefault="00454940" w:rsidP="006C70B7">
      <w:pPr>
        <w:pStyle w:val="ComwiKonstytucja"/>
        <w:numPr>
          <w:ilvl w:val="0"/>
          <w:numId w:val="35"/>
        </w:numPr>
      </w:pPr>
      <w:r w:rsidRPr="00EC250C">
        <w:t>przestępstwo musi być popełnione przez funkcjonariusza publicznego (lub na jego zlecenie),</w:t>
      </w:r>
    </w:p>
    <w:p w14:paraId="7AD0A682" w14:textId="77777777" w:rsidR="00C91F6E" w:rsidRPr="00EC250C" w:rsidRDefault="00454940" w:rsidP="006C70B7">
      <w:pPr>
        <w:pStyle w:val="ComwiKonstytucja"/>
        <w:numPr>
          <w:ilvl w:val="0"/>
          <w:numId w:val="35"/>
        </w:numPr>
      </w:pPr>
      <w:r w:rsidRPr="00EC250C">
        <w:t>oraz</w:t>
      </w:r>
      <w:r w:rsidR="00992FD0" w:rsidRPr="00EC250C">
        <w:t xml:space="preserve"> w </w:t>
      </w:r>
      <w:r w:rsidRPr="00EC250C">
        <w:t>stosunku do sprawcy tego czynu</w:t>
      </w:r>
      <w:r w:rsidR="00992FD0" w:rsidRPr="00EC250C">
        <w:t xml:space="preserve"> z </w:t>
      </w:r>
      <w:r w:rsidRPr="00EC250C">
        <w:t>przyczyn politycznych nie wszczęto lub przerwano (zawieszono) postępowanie (dochodzenie, śledztwo).</w:t>
      </w:r>
    </w:p>
    <w:p w14:paraId="3190C72F" w14:textId="77777777" w:rsidR="00F070C0" w:rsidRPr="00EC250C" w:rsidRDefault="00454940" w:rsidP="00D131FA">
      <w:pPr>
        <w:pStyle w:val="ComwiKonstytucja"/>
      </w:pPr>
      <w:r w:rsidRPr="00EC250C">
        <w:t>Nie chodzi jedynie</w:t>
      </w:r>
      <w:r w:rsidR="00992FD0" w:rsidRPr="00EC250C">
        <w:t xml:space="preserve"> o </w:t>
      </w:r>
      <w:r w:rsidRPr="00EC250C">
        <w:t>przestępstwa polityczne, ale</w:t>
      </w:r>
      <w:r w:rsidR="00992FD0" w:rsidRPr="00EC250C">
        <w:t xml:space="preserve"> o </w:t>
      </w:r>
      <w:r w:rsidRPr="00EC250C">
        <w:t>wszystkie przestępstwa –</w:t>
      </w:r>
      <w:r w:rsidR="00992FD0" w:rsidRPr="00EC250C">
        <w:t xml:space="preserve"> w </w:t>
      </w:r>
      <w:r w:rsidRPr="00EC250C">
        <w:t>tym także czyny wymienione</w:t>
      </w:r>
      <w:r w:rsidR="00992FD0" w:rsidRPr="00EC250C">
        <w:t xml:space="preserve"> w </w:t>
      </w:r>
      <w:r w:rsidRPr="00EC250C">
        <w:t>art. 43. Przepis ten ma szczególne znaczenie</w:t>
      </w:r>
      <w:r w:rsidR="00992FD0" w:rsidRPr="00EC250C">
        <w:t xml:space="preserve"> w </w:t>
      </w:r>
      <w:r w:rsidRPr="00EC250C">
        <w:t>kontekście zdarzeń, które zaszły</w:t>
      </w:r>
      <w:r w:rsidR="00992FD0" w:rsidRPr="00EC250C">
        <w:t xml:space="preserve"> w </w:t>
      </w:r>
      <w:r w:rsidRPr="00EC250C">
        <w:t>trakcie trwania poprzedniego ustroju. Obecnie nieściganie przestępstw</w:t>
      </w:r>
      <w:r w:rsidR="00992FD0" w:rsidRPr="00EC250C">
        <w:t xml:space="preserve"> z </w:t>
      </w:r>
      <w:r w:rsidRPr="00EC250C">
        <w:t>przyczyn politycznych jest niekonstytucyjne</w:t>
      </w:r>
    </w:p>
    <w:p w14:paraId="1A361697" w14:textId="77777777" w:rsidR="00EE09AA" w:rsidRPr="00EC250C" w:rsidRDefault="00EE09AA" w:rsidP="00D131FA">
      <w:pPr>
        <w:pStyle w:val="ComwiKonstytucja"/>
      </w:pPr>
    </w:p>
    <w:p w14:paraId="280D6165" w14:textId="77777777" w:rsidR="00454940" w:rsidRPr="00EC250C" w:rsidRDefault="00454940" w:rsidP="00D131FA">
      <w:pPr>
        <w:pStyle w:val="Styl1"/>
      </w:pPr>
    </w:p>
    <w:p w14:paraId="245E1E8F" w14:textId="77777777" w:rsidR="00F070C0" w:rsidRPr="00EC250C" w:rsidRDefault="00F070C0" w:rsidP="00D131FA">
      <w:pPr>
        <w:pStyle w:val="Styl1"/>
      </w:pPr>
      <w:r w:rsidRPr="00EC250C">
        <w:t>Rzecznik</w:t>
      </w:r>
      <w:r w:rsidR="00992FD0" w:rsidRPr="00EC250C">
        <w:t xml:space="preserve"> </w:t>
      </w:r>
      <w:r w:rsidR="007447EE" w:rsidRPr="00EC250C">
        <w:t xml:space="preserve">Praw Obywatelskich </w:t>
      </w:r>
      <w:r w:rsidR="00992FD0" w:rsidRPr="00EC250C">
        <w:t>w </w:t>
      </w:r>
      <w:r w:rsidRPr="00EC250C">
        <w:t>2018</w:t>
      </w:r>
      <w:r w:rsidR="00C91F6E" w:rsidRPr="00EC250C">
        <w:t> r.</w:t>
      </w:r>
      <w:r w:rsidRPr="00EC250C">
        <w:t xml:space="preserve"> nie odnotował wniosków, które por</w:t>
      </w:r>
      <w:r w:rsidR="00652825" w:rsidRPr="00EC250C">
        <w:t>u</w:t>
      </w:r>
      <w:r w:rsidRPr="00EC250C">
        <w:t xml:space="preserve">szałyby problem </w:t>
      </w:r>
      <w:r w:rsidR="00652825" w:rsidRPr="00EC250C">
        <w:t>nieścigania przestępstw</w:t>
      </w:r>
      <w:r w:rsidR="00992FD0" w:rsidRPr="00EC250C">
        <w:t xml:space="preserve"> z </w:t>
      </w:r>
      <w:r w:rsidR="00652825" w:rsidRPr="00EC250C">
        <w:t>przyczyn politycznych.</w:t>
      </w:r>
    </w:p>
    <w:p w14:paraId="49C716A3" w14:textId="77777777" w:rsidR="005A49C9" w:rsidRPr="00EC250C" w:rsidRDefault="005A49C9" w:rsidP="00D131FA">
      <w:pPr>
        <w:pStyle w:val="konstytucja"/>
        <w:jc w:val="both"/>
      </w:pPr>
      <w:r w:rsidRPr="00EC250C">
        <w:br w:type="page"/>
      </w:r>
    </w:p>
    <w:p w14:paraId="75BC3803" w14:textId="77777777" w:rsidR="00C91F6E" w:rsidRPr="00EC250C" w:rsidRDefault="00D86DD2" w:rsidP="00EC250C">
      <w:pPr>
        <w:pStyle w:val="Nagwek3"/>
      </w:pPr>
      <w:bookmarkStart w:id="219" w:name="_Toc6257725"/>
      <w:bookmarkStart w:id="220" w:name="_Toc11247617"/>
      <w:bookmarkStart w:id="221" w:name="_Toc6257737"/>
      <w:r w:rsidRPr="00EC250C">
        <w:lastRenderedPageBreak/>
        <w:t>Art. 45 Konstytucji – Prawo do sądu</w:t>
      </w:r>
      <w:bookmarkEnd w:id="219"/>
      <w:bookmarkEnd w:id="220"/>
    </w:p>
    <w:p w14:paraId="50BDD243" w14:textId="77777777" w:rsidR="00D86DD2" w:rsidRPr="00EC250C" w:rsidRDefault="00D86DD2" w:rsidP="00D131FA">
      <w:pPr>
        <w:pStyle w:val="konstytucja"/>
        <w:jc w:val="both"/>
      </w:pPr>
      <w:r w:rsidRPr="00EC250C">
        <w:t>1. Każdy ma prawo do sprawiedliwego</w:t>
      </w:r>
      <w:r w:rsidR="00992FD0" w:rsidRPr="00EC250C">
        <w:t xml:space="preserve"> i </w:t>
      </w:r>
      <w:r w:rsidRPr="00EC250C">
        <w:t>jawnego rozpatrzenia sprawy bez nieuzasadnionej zwłoki przez właściwy, niezależny, bezstronny</w:t>
      </w:r>
      <w:r w:rsidR="00992FD0" w:rsidRPr="00EC250C">
        <w:t xml:space="preserve"> i </w:t>
      </w:r>
      <w:r w:rsidRPr="00EC250C">
        <w:t>niezawisły sąd.</w:t>
      </w:r>
    </w:p>
    <w:p w14:paraId="1D3821E5" w14:textId="77777777" w:rsidR="00D86DD2" w:rsidRPr="00EC250C" w:rsidRDefault="00D86DD2" w:rsidP="00D131FA">
      <w:pPr>
        <w:pStyle w:val="konstytucja"/>
        <w:jc w:val="both"/>
      </w:pPr>
      <w:r w:rsidRPr="00EC250C">
        <w:t>2. Wyłączenie jawności rozprawy może nastąpić ze względu na moralność, bezpieczeństwo państwa</w:t>
      </w:r>
      <w:r w:rsidR="00992FD0" w:rsidRPr="00EC250C">
        <w:t xml:space="preserve"> i </w:t>
      </w:r>
      <w:r w:rsidRPr="00EC250C">
        <w:t>porządek publiczny oraz ze względu na ochronę życia prywatnego stron lub inny ważny interes prywatny. Wyrok ogłaszany jest publicznie.</w:t>
      </w:r>
    </w:p>
    <w:p w14:paraId="0D790198" w14:textId="77777777" w:rsidR="00C91F6E" w:rsidRPr="00EC250C" w:rsidRDefault="00D86DD2" w:rsidP="00D131FA">
      <w:pPr>
        <w:pStyle w:val="ComwiKonstytucja"/>
      </w:pPr>
      <w:r w:rsidRPr="00EC250C">
        <w:t>Każdy może zwrócić się do sądu, gdy poszukuje sprawiedliwości lub gdy odczuwa potrzebę ustalenia swojego statusu prawnego.</w:t>
      </w:r>
    </w:p>
    <w:p w14:paraId="763EEEEB" w14:textId="77777777" w:rsidR="00C91F6E" w:rsidRPr="00EC250C" w:rsidRDefault="00D86DD2" w:rsidP="00D131FA">
      <w:pPr>
        <w:pStyle w:val="ComwiKonstytucja"/>
      </w:pPr>
      <w:r w:rsidRPr="00EC250C">
        <w:t>Prawo do sądu oznacza, że</w:t>
      </w:r>
      <w:r w:rsidR="00992FD0" w:rsidRPr="00EC250C">
        <w:t xml:space="preserve"> o </w:t>
      </w:r>
      <w:r w:rsidRPr="00EC250C">
        <w:t>statusie jednostki decyduje ostatecznie sąd –</w:t>
      </w:r>
      <w:r w:rsidR="00992FD0" w:rsidRPr="00EC250C">
        <w:t xml:space="preserve"> i </w:t>
      </w:r>
      <w:r w:rsidRPr="00EC250C">
        <w:t>nikt inny.</w:t>
      </w:r>
    </w:p>
    <w:p w14:paraId="6760B13E" w14:textId="77777777" w:rsidR="00C91F6E" w:rsidRPr="00EC250C" w:rsidRDefault="00D86DD2" w:rsidP="00D131FA">
      <w:pPr>
        <w:pStyle w:val="ComwiKonstytucja"/>
      </w:pPr>
      <w:r w:rsidRPr="00EC250C">
        <w:t>Prawo do sądu jest również gwarancją praw</w:t>
      </w:r>
      <w:r w:rsidR="00992FD0" w:rsidRPr="00EC250C">
        <w:t xml:space="preserve"> i </w:t>
      </w:r>
      <w:r w:rsidRPr="00EC250C">
        <w:t>wolności jednostki, pod warunkiem, że sąd jest niezawisły</w:t>
      </w:r>
      <w:r w:rsidR="00992FD0" w:rsidRPr="00EC250C">
        <w:t xml:space="preserve"> i </w:t>
      </w:r>
      <w:r w:rsidRPr="00EC250C">
        <w:t>niezależny.</w:t>
      </w:r>
    </w:p>
    <w:p w14:paraId="037C8BBE" w14:textId="77777777" w:rsidR="00C91F6E" w:rsidRPr="00EC250C" w:rsidRDefault="00D86DD2" w:rsidP="00D131FA">
      <w:pPr>
        <w:pStyle w:val="ComwiKonstytucja"/>
      </w:pPr>
      <w:r w:rsidRPr="00EC250C">
        <w:t>Z takiego ukształtowania artykułu 45 wynika także zasada dostępności do sądów. Powinno być to względnie łatwe (także</w:t>
      </w:r>
      <w:r w:rsidR="00992FD0" w:rsidRPr="00EC250C">
        <w:t xml:space="preserve"> w </w:t>
      </w:r>
      <w:r w:rsidRPr="00EC250C">
        <w:t>sprawach rozpoznawanych przez wyższe instancje),</w:t>
      </w:r>
      <w:r w:rsidR="00992FD0" w:rsidRPr="00EC250C">
        <w:t xml:space="preserve"> a </w:t>
      </w:r>
      <w:r w:rsidRPr="00EC250C">
        <w:t>wszelkie ograniczenia</w:t>
      </w:r>
      <w:r w:rsidR="00992FD0" w:rsidRPr="00EC250C">
        <w:t xml:space="preserve"> w </w:t>
      </w:r>
      <w:r w:rsidRPr="00EC250C">
        <w:t>tym zakresie muszą być zgodne</w:t>
      </w:r>
      <w:r w:rsidR="00992FD0" w:rsidRPr="00EC250C">
        <w:t xml:space="preserve"> z </w:t>
      </w:r>
      <w:r w:rsidRPr="00EC250C">
        <w:t>art. 31 ust. 3 Konstytucji. Prawo do niezawisłego</w:t>
      </w:r>
      <w:r w:rsidR="00992FD0" w:rsidRPr="00EC250C">
        <w:t xml:space="preserve"> i </w:t>
      </w:r>
      <w:r w:rsidRPr="00EC250C">
        <w:t>niezależnego sądu wynika także</w:t>
      </w:r>
      <w:r w:rsidR="00992FD0" w:rsidRPr="00EC250C">
        <w:t xml:space="preserve"> z </w:t>
      </w:r>
      <w:r w:rsidRPr="00EC250C">
        <w:t>dalszych szczegółowych rozwiązań konstytucyjnych (art. 173, 178 oraz 186 Konstytucji).</w:t>
      </w:r>
    </w:p>
    <w:p w14:paraId="5C09A0EF" w14:textId="77777777" w:rsidR="00D86DD2" w:rsidRPr="00EC250C" w:rsidRDefault="00D86DD2" w:rsidP="00D131FA">
      <w:pPr>
        <w:pStyle w:val="ComwiKonstytucja"/>
      </w:pPr>
      <w:r w:rsidRPr="00EC250C">
        <w:t>Sąd nie może sprzyjać żadnej ze stron procesowych, musi być bezstronny, także –</w:t>
      </w:r>
      <w:r w:rsidR="00992FD0" w:rsidRPr="00EC250C">
        <w:t xml:space="preserve"> a </w:t>
      </w:r>
      <w:r w:rsidRPr="00EC250C">
        <w:t>może szczególnie –</w:t>
      </w:r>
      <w:r w:rsidR="00992FD0" w:rsidRPr="00EC250C">
        <w:t xml:space="preserve"> w </w:t>
      </w:r>
      <w:r w:rsidRPr="00EC250C">
        <w:t>sprawach,</w:t>
      </w:r>
      <w:r w:rsidR="00992FD0" w:rsidRPr="00EC250C">
        <w:t xml:space="preserve"> w </w:t>
      </w:r>
      <w:r w:rsidRPr="00EC250C">
        <w:t>których jednostka procesuje się</w:t>
      </w:r>
      <w:r w:rsidR="00992FD0" w:rsidRPr="00EC250C">
        <w:t xml:space="preserve"> z </w:t>
      </w:r>
      <w:r w:rsidRPr="00EC250C">
        <w:t>państwem. Tak rozumiana bezstronność sędziów jest elementem ich niezależności</w:t>
      </w:r>
      <w:r w:rsidR="00992FD0" w:rsidRPr="00EC250C">
        <w:t xml:space="preserve"> i </w:t>
      </w:r>
      <w:r w:rsidRPr="00EC250C">
        <w:t>niezawisłości. Artykuł 45 charakteryzuje również sposób działania sądów – sprawy powinny być rozpatrywane sprawiedliwie, jawnie</w:t>
      </w:r>
      <w:r w:rsidR="00992FD0" w:rsidRPr="00EC250C">
        <w:t xml:space="preserve"> i </w:t>
      </w:r>
      <w:r w:rsidRPr="00EC250C">
        <w:t>bez nieuzasadnionej zwłoki.</w:t>
      </w:r>
    </w:p>
    <w:p w14:paraId="786FD167" w14:textId="77777777" w:rsidR="00D86DD2" w:rsidRPr="00EC250C" w:rsidRDefault="00D86DD2" w:rsidP="00D131FA">
      <w:pPr>
        <w:pStyle w:val="ComwiKonstytucja"/>
      </w:pPr>
    </w:p>
    <w:p w14:paraId="74C161CA" w14:textId="77777777" w:rsidR="00D86DD2" w:rsidRPr="00EC250C" w:rsidRDefault="00D86DD2" w:rsidP="00D131FA">
      <w:pPr>
        <w:spacing w:after="200" w:line="24" w:lineRule="auto"/>
        <w:jc w:val="both"/>
        <w:rPr>
          <w:i/>
          <w:spacing w:val="5"/>
          <w:sz w:val="22"/>
        </w:rPr>
      </w:pPr>
      <w:r w:rsidRPr="00EC250C">
        <w:rPr>
          <w:sz w:val="24"/>
        </w:rPr>
        <w:br w:type="page"/>
      </w:r>
    </w:p>
    <w:p w14:paraId="39D16883" w14:textId="77777777" w:rsidR="00D86DD2" w:rsidRPr="00EC250C" w:rsidRDefault="00D86DD2" w:rsidP="00EC79EB">
      <w:pPr>
        <w:pStyle w:val="Nagwek4"/>
      </w:pPr>
      <w:bookmarkStart w:id="222" w:name="_Toc6257726"/>
      <w:bookmarkStart w:id="223" w:name="_Toc11247618"/>
      <w:r w:rsidRPr="00EC250C">
        <w:lastRenderedPageBreak/>
        <w:t>Problemy polskiego sądownictwa –</w:t>
      </w:r>
      <w:r w:rsidR="00992FD0" w:rsidRPr="00EC250C">
        <w:t xml:space="preserve"> z </w:t>
      </w:r>
      <w:r w:rsidRPr="00EC250C">
        <w:t>czym się borykamy</w:t>
      </w:r>
      <w:bookmarkEnd w:id="222"/>
      <w:bookmarkEnd w:id="223"/>
    </w:p>
    <w:p w14:paraId="31A3333F" w14:textId="77777777" w:rsidR="00B473F5" w:rsidRPr="00EC250C" w:rsidRDefault="00D86DD2" w:rsidP="00D131FA">
      <w:pPr>
        <w:pStyle w:val="Problemczowieka"/>
        <w:jc w:val="both"/>
      </w:pPr>
      <w:r w:rsidRPr="00EC250C">
        <w:t>Reforma wymiaru sprawiedliwości jest niezbędna zarówno dla obywateli, jak</w:t>
      </w:r>
      <w:r w:rsidR="00992FD0" w:rsidRPr="00EC250C">
        <w:t xml:space="preserve"> i </w:t>
      </w:r>
      <w:r w:rsidRPr="00EC250C">
        <w:t>dla środowiska sędziowskiego</w:t>
      </w:r>
      <w:r w:rsidR="00B473F5" w:rsidRPr="00EC250C">
        <w:t>.</w:t>
      </w:r>
    </w:p>
    <w:p w14:paraId="5CF1C091" w14:textId="77777777" w:rsidR="00C91F6E" w:rsidRPr="00EC250C" w:rsidRDefault="00D86DD2" w:rsidP="00D131FA">
      <w:pPr>
        <w:pStyle w:val="Styl1"/>
      </w:pPr>
      <w:r w:rsidRPr="00EC250C">
        <w:t>Do problemów, na które Rzecznik Praw Obywatelskich stale wraca uwagę</w:t>
      </w:r>
      <w:r w:rsidRPr="00EC250C">
        <w:rPr>
          <w:rStyle w:val="Odwoanieprzypisudolnego"/>
        </w:rPr>
        <w:footnoteReference w:id="186"/>
      </w:r>
      <w:r w:rsidRPr="00EC250C">
        <w:t>, należą:</w:t>
      </w:r>
    </w:p>
    <w:p w14:paraId="41755BDC" w14:textId="77777777" w:rsidR="00D86DD2" w:rsidRPr="00EC250C" w:rsidRDefault="00D86DD2" w:rsidP="006C70B7">
      <w:pPr>
        <w:pStyle w:val="Styl1"/>
        <w:numPr>
          <w:ilvl w:val="0"/>
          <w:numId w:val="37"/>
        </w:numPr>
      </w:pPr>
      <w:r w:rsidRPr="00EC250C">
        <w:t>wzrost liczby spraw napływających do sądów (konieczne są rozwiązania, które bez uszczerbku dla ochrony praw jednostki przekażą część</w:t>
      </w:r>
      <w:r w:rsidR="00992FD0" w:rsidRPr="00EC250C">
        <w:t xml:space="preserve"> z </w:t>
      </w:r>
      <w:r w:rsidRPr="00EC250C">
        <w:t>nich do rozstrzygnięć</w:t>
      </w:r>
      <w:r w:rsidR="00992FD0" w:rsidRPr="00EC250C">
        <w:t xml:space="preserve"> w </w:t>
      </w:r>
      <w:r w:rsidRPr="00EC250C">
        <w:t>trybie procedur pozasądowych,</w:t>
      </w:r>
      <w:r w:rsidR="00992FD0" w:rsidRPr="00EC250C">
        <w:t xml:space="preserve"> a </w:t>
      </w:r>
      <w:r w:rsidRPr="00EC250C">
        <w:t>sędziów wesprą np. poprzez zwiększenie liczby asystentów</w:t>
      </w:r>
    </w:p>
    <w:p w14:paraId="4E51D0F3" w14:textId="77777777" w:rsidR="00D86DD2" w:rsidRPr="00EC250C" w:rsidRDefault="00D86DD2" w:rsidP="006C70B7">
      <w:pPr>
        <w:pStyle w:val="Styl1"/>
        <w:numPr>
          <w:ilvl w:val="0"/>
          <w:numId w:val="37"/>
        </w:numPr>
      </w:pPr>
      <w:r w:rsidRPr="00EC250C">
        <w:t>nienajlepsza komunikacja między sądem</w:t>
      </w:r>
      <w:r w:rsidR="00992FD0" w:rsidRPr="00EC250C">
        <w:t xml:space="preserve"> a </w:t>
      </w:r>
      <w:r w:rsidRPr="00EC250C">
        <w:t>uczestnikami postępowania, niezauważanie potrzeb osób</w:t>
      </w:r>
      <w:r w:rsidR="00992FD0" w:rsidRPr="00EC250C">
        <w:t xml:space="preserve"> z </w:t>
      </w:r>
      <w:r w:rsidRPr="00EC250C">
        <w:t>niepełnosprawnościami</w:t>
      </w:r>
    </w:p>
    <w:p w14:paraId="33C9E5CD" w14:textId="77777777" w:rsidR="00D86DD2" w:rsidRPr="00EC250C" w:rsidRDefault="00D86DD2" w:rsidP="006C70B7">
      <w:pPr>
        <w:pStyle w:val="Styl1"/>
        <w:numPr>
          <w:ilvl w:val="0"/>
          <w:numId w:val="37"/>
        </w:numPr>
      </w:pPr>
      <w:r w:rsidRPr="00EC250C">
        <w:t>kłopoty</w:t>
      </w:r>
      <w:r w:rsidR="00992FD0" w:rsidRPr="00EC250C">
        <w:t xml:space="preserve"> z </w:t>
      </w:r>
      <w:r w:rsidRPr="00EC250C">
        <w:t>instytucją biegłych sądowych (brak kompleksowych rozwiązań dotyczących powoływania, sprawdzania kwalifikacji</w:t>
      </w:r>
      <w:r w:rsidR="00992FD0" w:rsidRPr="00EC250C">
        <w:t xml:space="preserve"> i </w:t>
      </w:r>
      <w:r w:rsidRPr="00EC250C">
        <w:t>wynagradzania biegłych)</w:t>
      </w:r>
    </w:p>
    <w:p w14:paraId="6381B60C" w14:textId="77777777" w:rsidR="00D86DD2" w:rsidRPr="00EC250C" w:rsidRDefault="001E5A55" w:rsidP="006C70B7">
      <w:pPr>
        <w:pStyle w:val="Styl1"/>
        <w:numPr>
          <w:ilvl w:val="0"/>
          <w:numId w:val="37"/>
        </w:numPr>
      </w:pPr>
      <w:r w:rsidRPr="00EC250C">
        <w:t xml:space="preserve">niewłaściwe </w:t>
      </w:r>
      <w:r w:rsidR="00D86DD2" w:rsidRPr="00EC250C">
        <w:t>funkcjonowanie systemu bezpłatnej pomocy prawn</w:t>
      </w:r>
      <w:r w:rsidRPr="00EC250C">
        <w:t>ej</w:t>
      </w:r>
      <w:r w:rsidR="00D86DD2" w:rsidRPr="00EC250C">
        <w:t xml:space="preserve"> (poprawione od 1 stycznia 2019</w:t>
      </w:r>
      <w:r w:rsidR="00C91F6E" w:rsidRPr="00EC250C">
        <w:t> r.</w:t>
      </w:r>
      <w:r w:rsidR="00D86DD2" w:rsidRPr="00EC250C">
        <w:t>)</w:t>
      </w:r>
      <w:r w:rsidR="00AB3161" w:rsidRPr="00EC250C">
        <w:t>.</w:t>
      </w:r>
    </w:p>
    <w:p w14:paraId="0231DCA1" w14:textId="77777777" w:rsidR="00D86DD2" w:rsidRPr="00EC250C" w:rsidRDefault="00D86DD2" w:rsidP="00D131FA">
      <w:pPr>
        <w:pStyle w:val="Styl1"/>
        <w:ind w:firstLine="0"/>
      </w:pPr>
      <w:r w:rsidRPr="00EC250C">
        <w:t>To wszystko prowadzi do przewlekłości postępowań</w:t>
      </w:r>
      <w:r w:rsidR="00992FD0" w:rsidRPr="00EC250C">
        <w:t xml:space="preserve"> w </w:t>
      </w:r>
      <w:r w:rsidRPr="00EC250C">
        <w:t>sprawach</w:t>
      </w:r>
      <w:r w:rsidR="00992FD0" w:rsidRPr="00EC250C">
        <w:t xml:space="preserve"> o </w:t>
      </w:r>
      <w:r w:rsidRPr="00EC250C">
        <w:t>ogromnym znaczeniu dla obywateli,</w:t>
      </w:r>
      <w:r w:rsidR="00992FD0" w:rsidRPr="00EC250C">
        <w:t xml:space="preserve"> a </w:t>
      </w:r>
      <w:r w:rsidRPr="00EC250C">
        <w:t>także do błędów</w:t>
      </w:r>
      <w:r w:rsidR="00992FD0" w:rsidRPr="00EC250C">
        <w:t xml:space="preserve"> w </w:t>
      </w:r>
      <w:r w:rsidRPr="00EC250C">
        <w:t>rozstrzygnięciach spraw</w:t>
      </w:r>
      <w:r w:rsidR="00992FD0" w:rsidRPr="00EC250C">
        <w:t xml:space="preserve"> z </w:t>
      </w:r>
      <w:r w:rsidRPr="00EC250C">
        <w:t>pozoru wyglądających na błahe</w:t>
      </w:r>
      <w:r w:rsidRPr="00EC250C">
        <w:rPr>
          <w:rStyle w:val="Odwoanieprzypisudolnego"/>
        </w:rPr>
        <w:footnoteReference w:id="187"/>
      </w:r>
      <w:r w:rsidRPr="00EC250C">
        <w:t>.</w:t>
      </w:r>
    </w:p>
    <w:p w14:paraId="4DE9C00A" w14:textId="77777777" w:rsidR="00D86DD2" w:rsidRPr="00EC250C" w:rsidRDefault="00D86DD2" w:rsidP="00D131FA">
      <w:pPr>
        <w:pStyle w:val="Styl1"/>
        <w:ind w:firstLine="0"/>
      </w:pPr>
      <w:r w:rsidRPr="00EC250C">
        <w:t>Szczegółowe omówienie problemów opisane jest niżej.</w:t>
      </w:r>
    </w:p>
    <w:p w14:paraId="1B791847" w14:textId="77777777" w:rsidR="00D86DD2" w:rsidRPr="00EC250C" w:rsidRDefault="00D86DD2" w:rsidP="00EC79EB">
      <w:pPr>
        <w:pStyle w:val="Nagwek4"/>
      </w:pPr>
      <w:bookmarkStart w:id="224" w:name="_Toc6257727"/>
      <w:bookmarkStart w:id="225" w:name="_Toc11247619"/>
      <w:r w:rsidRPr="00EC250C">
        <w:t>Status niezależnego sądownictwa – konsekwencje zmian wprowadzanych od 2017</w:t>
      </w:r>
      <w:r w:rsidR="00C91F6E" w:rsidRPr="00EC250C">
        <w:t> r.</w:t>
      </w:r>
      <w:bookmarkEnd w:id="224"/>
      <w:bookmarkEnd w:id="225"/>
    </w:p>
    <w:p w14:paraId="0FA521B4" w14:textId="77777777" w:rsidR="00B473F5" w:rsidRPr="00EC250C" w:rsidRDefault="00D86DD2" w:rsidP="00D131FA">
      <w:pPr>
        <w:pStyle w:val="Problemczowieka"/>
        <w:jc w:val="both"/>
        <w:rPr>
          <w:lang w:eastAsia="en-US"/>
        </w:rPr>
      </w:pPr>
      <w:r w:rsidRPr="00EC250C">
        <w:rPr>
          <w:lang w:eastAsia="en-US"/>
        </w:rPr>
        <w:t>W 2018</w:t>
      </w:r>
      <w:r w:rsidR="00C91F6E" w:rsidRPr="00EC250C">
        <w:rPr>
          <w:lang w:eastAsia="en-US"/>
        </w:rPr>
        <w:t> r.</w:t>
      </w:r>
      <w:r w:rsidRPr="00EC250C">
        <w:rPr>
          <w:lang w:eastAsia="en-US"/>
        </w:rPr>
        <w:t>, sądownictwo działało na podstawie przepisów wprowadzonych</w:t>
      </w:r>
      <w:r w:rsidR="00992FD0" w:rsidRPr="00EC250C">
        <w:rPr>
          <w:lang w:eastAsia="en-US"/>
        </w:rPr>
        <w:t xml:space="preserve"> w </w:t>
      </w:r>
      <w:r w:rsidRPr="00EC250C">
        <w:rPr>
          <w:lang w:eastAsia="en-US"/>
        </w:rPr>
        <w:t>2017</w:t>
      </w:r>
      <w:r w:rsidR="00C91F6E" w:rsidRPr="00EC250C">
        <w:rPr>
          <w:lang w:eastAsia="en-US"/>
        </w:rPr>
        <w:t> r.</w:t>
      </w:r>
      <w:r w:rsidRPr="00EC250C">
        <w:rPr>
          <w:rStyle w:val="Odwoanieprzypisudolnego"/>
          <w:lang w:eastAsia="en-US"/>
        </w:rPr>
        <w:footnoteReference w:id="188"/>
      </w:r>
      <w:r w:rsidRPr="00EC250C">
        <w:rPr>
          <w:lang w:eastAsia="en-US"/>
        </w:rPr>
        <w:t xml:space="preserve"> W wyniku oporu obywateli oraz procedur wszczętych przed Trybunałem Sprawiedliwości UE zatrzymane zostały niektóre zmiany</w:t>
      </w:r>
      <w:r w:rsidR="00992FD0" w:rsidRPr="00EC250C">
        <w:rPr>
          <w:lang w:eastAsia="en-US"/>
        </w:rPr>
        <w:t xml:space="preserve"> w </w:t>
      </w:r>
      <w:r w:rsidRPr="00EC250C">
        <w:rPr>
          <w:lang w:eastAsia="en-US"/>
        </w:rPr>
        <w:t>Sądzie Najwyższym</w:t>
      </w:r>
      <w:r w:rsidR="00B473F5" w:rsidRPr="00EC250C">
        <w:rPr>
          <w:lang w:eastAsia="en-US"/>
        </w:rPr>
        <w:t>.</w:t>
      </w:r>
    </w:p>
    <w:p w14:paraId="4D0ABBEC" w14:textId="77777777" w:rsidR="00C91F6E" w:rsidRPr="00EC250C" w:rsidRDefault="00D86DD2" w:rsidP="006C70B7">
      <w:pPr>
        <w:pStyle w:val="Styl1"/>
        <w:numPr>
          <w:ilvl w:val="0"/>
          <w:numId w:val="36"/>
        </w:numPr>
        <w:rPr>
          <w:lang w:eastAsia="en-US"/>
        </w:rPr>
      </w:pPr>
      <w:r w:rsidRPr="00EC250C">
        <w:rPr>
          <w:lang w:eastAsia="en-US"/>
        </w:rPr>
        <w:t>Próba przerwania kadencji części sędziów,</w:t>
      </w:r>
      <w:r w:rsidR="00992FD0" w:rsidRPr="00EC250C">
        <w:rPr>
          <w:lang w:eastAsia="en-US"/>
        </w:rPr>
        <w:t xml:space="preserve"> w </w:t>
      </w:r>
      <w:r w:rsidRPr="00EC250C">
        <w:rPr>
          <w:lang w:eastAsia="en-US"/>
        </w:rPr>
        <w:t>tym pierwszej prezes SN nie udała się (Sejm ostatecznie przywrócił</w:t>
      </w:r>
      <w:r w:rsidR="00992FD0" w:rsidRPr="00EC250C">
        <w:rPr>
          <w:lang w:eastAsia="en-US"/>
        </w:rPr>
        <w:t xml:space="preserve"> w </w:t>
      </w:r>
      <w:r w:rsidRPr="00EC250C">
        <w:rPr>
          <w:lang w:eastAsia="en-US"/>
        </w:rPr>
        <w:t>2018</w:t>
      </w:r>
      <w:r w:rsidR="00C91F6E" w:rsidRPr="00EC250C">
        <w:rPr>
          <w:lang w:eastAsia="en-US"/>
        </w:rPr>
        <w:t> r.</w:t>
      </w:r>
      <w:r w:rsidRPr="00EC250C">
        <w:rPr>
          <w:lang w:eastAsia="en-US"/>
        </w:rPr>
        <w:t xml:space="preserve"> stan sprzed nowelizacji</w:t>
      </w:r>
      <w:r w:rsidR="00992FD0" w:rsidRPr="00EC250C">
        <w:rPr>
          <w:lang w:eastAsia="en-US"/>
        </w:rPr>
        <w:t xml:space="preserve"> z </w:t>
      </w:r>
      <w:r w:rsidRPr="00EC250C">
        <w:rPr>
          <w:lang w:eastAsia="en-US"/>
        </w:rPr>
        <w:t>2017</w:t>
      </w:r>
      <w:r w:rsidR="00C91F6E" w:rsidRPr="00EC250C">
        <w:rPr>
          <w:lang w:eastAsia="en-US"/>
        </w:rPr>
        <w:t> r.</w:t>
      </w:r>
      <w:r w:rsidRPr="00EC250C">
        <w:rPr>
          <w:lang w:eastAsia="en-US"/>
        </w:rPr>
        <w:t>).</w:t>
      </w:r>
    </w:p>
    <w:p w14:paraId="2FD83C27" w14:textId="77777777" w:rsidR="00D86DD2" w:rsidRPr="00EC250C" w:rsidRDefault="00D86DD2" w:rsidP="006C70B7">
      <w:pPr>
        <w:pStyle w:val="Styl1"/>
        <w:numPr>
          <w:ilvl w:val="0"/>
          <w:numId w:val="36"/>
        </w:numPr>
        <w:rPr>
          <w:lang w:eastAsia="en-US"/>
        </w:rPr>
      </w:pPr>
      <w:r w:rsidRPr="00EC250C">
        <w:rPr>
          <w:lang w:eastAsia="en-US"/>
        </w:rPr>
        <w:t>Równocześnie weszły</w:t>
      </w:r>
      <w:r w:rsidR="00992FD0" w:rsidRPr="00EC250C">
        <w:rPr>
          <w:lang w:eastAsia="en-US"/>
        </w:rPr>
        <w:t xml:space="preserve"> w </w:t>
      </w:r>
      <w:r w:rsidRPr="00EC250C">
        <w:rPr>
          <w:lang w:eastAsia="en-US"/>
        </w:rPr>
        <w:t>życie przepisy</w:t>
      </w:r>
      <w:r w:rsidR="00992FD0" w:rsidRPr="00EC250C">
        <w:rPr>
          <w:lang w:eastAsia="en-US"/>
        </w:rPr>
        <w:t xml:space="preserve"> o </w:t>
      </w:r>
      <w:r w:rsidRPr="00EC250C">
        <w:rPr>
          <w:lang w:eastAsia="en-US"/>
        </w:rPr>
        <w:t>skardze nadzwyczajnej, która – po wprowadzonych</w:t>
      </w:r>
      <w:r w:rsidR="00992FD0" w:rsidRPr="00EC250C">
        <w:rPr>
          <w:lang w:eastAsia="en-US"/>
        </w:rPr>
        <w:t xml:space="preserve"> w </w:t>
      </w:r>
      <w:r w:rsidRPr="00EC250C">
        <w:rPr>
          <w:lang w:eastAsia="en-US"/>
        </w:rPr>
        <w:t>2018</w:t>
      </w:r>
      <w:r w:rsidR="00C91F6E" w:rsidRPr="00EC250C">
        <w:rPr>
          <w:lang w:eastAsia="en-US"/>
        </w:rPr>
        <w:t> r.</w:t>
      </w:r>
      <w:r w:rsidRPr="00EC250C">
        <w:rPr>
          <w:lang w:eastAsia="en-US"/>
        </w:rPr>
        <w:t xml:space="preserve"> zmianach – tylko Rzecznikowi Praw Obywatelskich</w:t>
      </w:r>
      <w:r w:rsidR="00992FD0" w:rsidRPr="00EC250C">
        <w:rPr>
          <w:lang w:eastAsia="en-US"/>
        </w:rPr>
        <w:t xml:space="preserve"> i </w:t>
      </w:r>
      <w:r w:rsidRPr="00EC250C">
        <w:rPr>
          <w:lang w:eastAsia="en-US"/>
        </w:rPr>
        <w:t>Prokuratorowi Generalnemu pozwala na kwestionowanie wyroków zapadłych</w:t>
      </w:r>
      <w:r w:rsidR="00992FD0" w:rsidRPr="00EC250C">
        <w:rPr>
          <w:lang w:eastAsia="en-US"/>
        </w:rPr>
        <w:t xml:space="preserve"> w </w:t>
      </w:r>
      <w:r w:rsidRPr="00EC250C">
        <w:rPr>
          <w:lang w:eastAsia="en-US"/>
        </w:rPr>
        <w:t>ciągu ostatnich 20 lat.</w:t>
      </w:r>
    </w:p>
    <w:p w14:paraId="158881D5" w14:textId="77777777" w:rsidR="00D86DD2" w:rsidRPr="00EC250C" w:rsidRDefault="00D86DD2" w:rsidP="006C70B7">
      <w:pPr>
        <w:pStyle w:val="Styl1"/>
        <w:numPr>
          <w:ilvl w:val="0"/>
          <w:numId w:val="36"/>
        </w:numPr>
        <w:rPr>
          <w:lang w:eastAsia="en-US"/>
        </w:rPr>
      </w:pPr>
      <w:r w:rsidRPr="00EC250C">
        <w:rPr>
          <w:lang w:eastAsia="en-US"/>
        </w:rPr>
        <w:t>Działanie zaczęła też nowa Krajowa Rada Sądownictwa, która – mimo wątpliwości co do konstytucyjności jej decyzji – rozpoczęła procedurę nominacji na stanowiska sędziów Sądu Najwyższego, ale także sędziów sądów powszechnych.</w:t>
      </w:r>
    </w:p>
    <w:p w14:paraId="30E97DCE" w14:textId="77777777" w:rsidR="00D86DD2" w:rsidRPr="00EC250C" w:rsidRDefault="00D86DD2" w:rsidP="006C70B7">
      <w:pPr>
        <w:pStyle w:val="Styl1"/>
        <w:numPr>
          <w:ilvl w:val="0"/>
          <w:numId w:val="36"/>
        </w:numPr>
        <w:rPr>
          <w:lang w:eastAsia="en-US"/>
        </w:rPr>
      </w:pPr>
      <w:r w:rsidRPr="00EC250C">
        <w:rPr>
          <w:lang w:eastAsia="en-US"/>
        </w:rPr>
        <w:t xml:space="preserve">Minister Sprawiedliwości przejął kontrolę nad sądami powszechnymi </w:t>
      </w:r>
      <w:r w:rsidR="005355E3" w:rsidRPr="00EC250C">
        <w:rPr>
          <w:lang w:eastAsia="en-US"/>
        </w:rPr>
        <w:t>(</w:t>
      </w:r>
      <w:r w:rsidRPr="00EC250C">
        <w:rPr>
          <w:lang w:eastAsia="en-US"/>
        </w:rPr>
        <w:t xml:space="preserve">wymieniając </w:t>
      </w:r>
      <w:r w:rsidR="00647D35" w:rsidRPr="00EC250C">
        <w:rPr>
          <w:lang w:eastAsia="en-US"/>
        </w:rPr>
        <w:t xml:space="preserve">130 prezesów i wiceprezesów sądów na podstawie nowych przepisów, które pozwoliły to zrobić w </w:t>
      </w:r>
      <w:r w:rsidR="00647D35" w:rsidRPr="00EC250C">
        <w:rPr>
          <w:lang w:eastAsia="en-US"/>
        </w:rPr>
        <w:lastRenderedPageBreak/>
        <w:t>trakcie kadencji prezesów i bez konsultacji ze środowiskiem)</w:t>
      </w:r>
      <w:r w:rsidRPr="00EC250C">
        <w:rPr>
          <w:lang w:eastAsia="en-US"/>
        </w:rPr>
        <w:t>,</w:t>
      </w:r>
      <w:r w:rsidR="00992FD0" w:rsidRPr="00EC250C">
        <w:rPr>
          <w:lang w:eastAsia="en-US"/>
        </w:rPr>
        <w:t xml:space="preserve"> a </w:t>
      </w:r>
      <w:r w:rsidRPr="00EC250C">
        <w:rPr>
          <w:lang w:eastAsia="en-US"/>
        </w:rPr>
        <w:t>rzecznicy dyscyplinarni prowadzą postępowania wobec sędziów, których aktywność publiczna budzi zastrzeżenia władzy wykonawczej.</w:t>
      </w:r>
    </w:p>
    <w:p w14:paraId="088C0EDF" w14:textId="77777777" w:rsidR="00D86DD2" w:rsidRPr="00EC250C" w:rsidRDefault="00D86DD2" w:rsidP="00EC250C">
      <w:pPr>
        <w:pStyle w:val="Nagwek5"/>
      </w:pPr>
      <w:r w:rsidRPr="00EC250C">
        <w:t>Nowelizacja ustawy – Prawo</w:t>
      </w:r>
      <w:r w:rsidR="00992FD0" w:rsidRPr="00EC250C">
        <w:t xml:space="preserve"> o </w:t>
      </w:r>
      <w:r w:rsidRPr="00EC250C">
        <w:t>ustroju sądów powszechnych, ustawy</w:t>
      </w:r>
      <w:r w:rsidR="00992FD0" w:rsidRPr="00EC250C">
        <w:t xml:space="preserve"> o </w:t>
      </w:r>
      <w:r w:rsidRPr="00EC250C">
        <w:t>Krajowej Radzie Sądownictwa oraz ustawy</w:t>
      </w:r>
      <w:r w:rsidR="00992FD0" w:rsidRPr="00EC250C">
        <w:t xml:space="preserve"> o </w:t>
      </w:r>
      <w:r w:rsidRPr="00EC250C">
        <w:t>Sądzie Najwyższym</w:t>
      </w:r>
    </w:p>
    <w:p w14:paraId="00233BFC" w14:textId="77777777" w:rsidR="00B473F5" w:rsidRPr="00EC250C" w:rsidRDefault="00D86DD2" w:rsidP="00D131FA">
      <w:pPr>
        <w:pStyle w:val="Problemczowieka"/>
        <w:jc w:val="both"/>
      </w:pPr>
      <w:r w:rsidRPr="00EC250C">
        <w:rPr>
          <w:lang w:eastAsia="en-US"/>
        </w:rPr>
        <w:t>Ustawy dotyczące sądownictwa były</w:t>
      </w:r>
      <w:r w:rsidR="00992FD0" w:rsidRPr="00EC250C">
        <w:rPr>
          <w:lang w:eastAsia="en-US"/>
        </w:rPr>
        <w:t xml:space="preserve"> w </w:t>
      </w:r>
      <w:r w:rsidRPr="00EC250C">
        <w:rPr>
          <w:lang w:eastAsia="en-US"/>
        </w:rPr>
        <w:t>2018</w:t>
      </w:r>
      <w:r w:rsidR="00C91F6E" w:rsidRPr="00EC250C">
        <w:rPr>
          <w:lang w:eastAsia="en-US"/>
        </w:rPr>
        <w:t> r.</w:t>
      </w:r>
      <w:r w:rsidRPr="00EC250C">
        <w:rPr>
          <w:lang w:eastAsia="en-US"/>
        </w:rPr>
        <w:t xml:space="preserve"> ponownie zmieniane. RPO, tak jak</w:t>
      </w:r>
      <w:r w:rsidR="00992FD0" w:rsidRPr="00EC250C">
        <w:rPr>
          <w:lang w:eastAsia="en-US"/>
        </w:rPr>
        <w:t xml:space="preserve"> w </w:t>
      </w:r>
      <w:r w:rsidRPr="00EC250C">
        <w:rPr>
          <w:lang w:eastAsia="en-US"/>
        </w:rPr>
        <w:t xml:space="preserve">roku 2017, wskazywał na negatywne </w:t>
      </w:r>
      <w:r w:rsidRPr="00EC250C">
        <w:t>konsekwencje zmian</w:t>
      </w:r>
      <w:r w:rsidR="00B473F5" w:rsidRPr="00EC250C">
        <w:t>.</w:t>
      </w:r>
    </w:p>
    <w:p w14:paraId="62C0E426" w14:textId="77777777" w:rsidR="00D86DD2" w:rsidRPr="00EC250C" w:rsidRDefault="00D86DD2" w:rsidP="00D131FA">
      <w:pPr>
        <w:pStyle w:val="Styl1"/>
      </w:pPr>
      <w:r w:rsidRPr="00EC250C">
        <w:t>Główny spór dotyczył skracania kadencji sędziów Sądu Najwyższego poprzez wprowadzenie –</w:t>
      </w:r>
      <w:r w:rsidR="00992FD0" w:rsidRPr="00EC250C">
        <w:t xml:space="preserve"> z </w:t>
      </w:r>
      <w:r w:rsidRPr="00EC250C">
        <w:t>mocą wsteczną – przepisu, że przechodzą oni</w:t>
      </w:r>
      <w:r w:rsidR="00992FD0" w:rsidRPr="00EC250C">
        <w:t xml:space="preserve"> w </w:t>
      </w:r>
      <w:r w:rsidRPr="00EC250C">
        <w:t>stan spoczynku</w:t>
      </w:r>
      <w:r w:rsidR="00992FD0" w:rsidRPr="00EC250C">
        <w:t xml:space="preserve"> w </w:t>
      </w:r>
      <w:r w:rsidRPr="00EC250C">
        <w:t>wieku 65 lat (a nie 70 lat). Miało to dotyczyć też pierwszej prezes SN, choć długość jej kadencji (6 lat) wprost wyznacza Konstytucja.</w:t>
      </w:r>
    </w:p>
    <w:p w14:paraId="1CFD6917" w14:textId="77777777" w:rsidR="00C91F6E" w:rsidRPr="00EC250C" w:rsidRDefault="00D86DD2" w:rsidP="00D131FA">
      <w:pPr>
        <w:pStyle w:val="Styl1"/>
      </w:pPr>
      <w:r w:rsidRPr="00EC250C">
        <w:t>W kwietniu 2018 roku ustawy sądowe zostały zmienione tak, by Prezydent mógł wydłużyć sędziemu SN kadencję,</w:t>
      </w:r>
      <w:r w:rsidR="00992FD0" w:rsidRPr="00EC250C">
        <w:t xml:space="preserve"> o </w:t>
      </w:r>
      <w:r w:rsidRPr="00EC250C">
        <w:t>ile ten go</w:t>
      </w:r>
      <w:r w:rsidR="00992FD0" w:rsidRPr="00EC250C">
        <w:t xml:space="preserve"> o </w:t>
      </w:r>
      <w:r w:rsidRPr="00EC250C">
        <w:t xml:space="preserve">to poprosi. </w:t>
      </w:r>
      <w:r w:rsidR="007447EE" w:rsidRPr="00EC250C">
        <w:t>RPO</w:t>
      </w:r>
      <w:r w:rsidRPr="00EC250C">
        <w:t xml:space="preserve"> kwestionował konstytucyjność tych rozwiązań</w:t>
      </w:r>
      <w:r w:rsidRPr="00EC250C">
        <w:rPr>
          <w:rStyle w:val="Odwoanieprzypisudolnego"/>
        </w:rPr>
        <w:footnoteReference w:id="189"/>
      </w:r>
      <w:r w:rsidRPr="00EC250C">
        <w:t>.</w:t>
      </w:r>
    </w:p>
    <w:p w14:paraId="40B54CB4" w14:textId="77777777" w:rsidR="00647D35" w:rsidRPr="00EC250C" w:rsidRDefault="00D86DD2" w:rsidP="00D131FA">
      <w:pPr>
        <w:pStyle w:val="Styl1"/>
      </w:pPr>
      <w:r w:rsidRPr="00EC250C">
        <w:t>Weszły one</w:t>
      </w:r>
      <w:r w:rsidR="00992FD0" w:rsidRPr="00EC250C">
        <w:t xml:space="preserve"> w </w:t>
      </w:r>
      <w:r w:rsidRPr="00EC250C">
        <w:t>życie mimo uwag RPO, ale wtedy okazało się, że nie działają zgodnie</w:t>
      </w:r>
      <w:r w:rsidR="00992FD0" w:rsidRPr="00EC250C">
        <w:t xml:space="preserve"> z </w:t>
      </w:r>
      <w:r w:rsidRPr="00EC250C">
        <w:t>zamierzeniami ustawodawcy, gdyż część sędziów SN nie wyst</w:t>
      </w:r>
      <w:r w:rsidR="008716DE" w:rsidRPr="00EC250C">
        <w:t>ą</w:t>
      </w:r>
      <w:r w:rsidRPr="00EC250C">
        <w:t>p</w:t>
      </w:r>
      <w:r w:rsidR="008716DE" w:rsidRPr="00EC250C">
        <w:t>iła</w:t>
      </w:r>
      <w:r w:rsidRPr="00EC250C">
        <w:t xml:space="preserve"> do Prezydenta</w:t>
      </w:r>
      <w:r w:rsidR="00026572" w:rsidRPr="00EC250C">
        <w:t xml:space="preserve"> – </w:t>
      </w:r>
      <w:r w:rsidRPr="00EC250C">
        <w:t>przedstawiciela władzy wykonawczej</w:t>
      </w:r>
      <w:r w:rsidR="00992FD0" w:rsidRPr="00EC250C">
        <w:t xml:space="preserve"> o </w:t>
      </w:r>
      <w:r w:rsidRPr="00EC250C">
        <w:t>wydłużenie prawa do orzekania. Latem weszły</w:t>
      </w:r>
      <w:r w:rsidR="00992FD0" w:rsidRPr="00EC250C">
        <w:t xml:space="preserve"> w </w:t>
      </w:r>
      <w:r w:rsidRPr="00EC250C">
        <w:t>życie przepisy</w:t>
      </w:r>
      <w:r w:rsidR="00992FD0" w:rsidRPr="00EC250C">
        <w:t xml:space="preserve"> o </w:t>
      </w:r>
      <w:r w:rsidRPr="00EC250C">
        <w:t>skróceniu kadencji tych sędziów (dotyczyły one ok. 40% sędziów SN, gdyż tylu</w:t>
      </w:r>
      <w:r w:rsidR="00992FD0" w:rsidRPr="00EC250C">
        <w:t xml:space="preserve"> z </w:t>
      </w:r>
      <w:r w:rsidRPr="00EC250C">
        <w:t xml:space="preserve">nich przekroczyło już wiek 65 lat). </w:t>
      </w:r>
      <w:r w:rsidR="00647D35" w:rsidRPr="00EC250C">
        <w:t>Po wejściu w życiu ustawy i upływie 3 miesięcy, Pierwsza Prezes Sądu Najwyższego nie zrezygnowała z funkcji.</w:t>
      </w:r>
    </w:p>
    <w:p w14:paraId="064C7BD2" w14:textId="77777777" w:rsidR="00D86DD2" w:rsidRPr="00EC250C" w:rsidRDefault="00647D35" w:rsidP="00D131FA">
      <w:pPr>
        <w:pStyle w:val="Styl1"/>
      </w:pPr>
      <w:r w:rsidRPr="00EC250C">
        <w:t xml:space="preserve">Jednocześnie rozpoczęły się procedury powoływania nowych sędziów SN. </w:t>
      </w:r>
      <w:r w:rsidR="00D86DD2" w:rsidRPr="00EC250C">
        <w:t>Obywatele protestowali przeciwko tym rozwiązaniom</w:t>
      </w:r>
      <w:r w:rsidR="00992FD0" w:rsidRPr="00EC250C">
        <w:t xml:space="preserve"> w </w:t>
      </w:r>
      <w:r w:rsidR="00D86DD2" w:rsidRPr="00EC250C">
        <w:t>trakcie zgromadzeń publicznych, część zaś sędziów próbował</w:t>
      </w:r>
      <w:r w:rsidR="00250470" w:rsidRPr="00EC250C">
        <w:t>a</w:t>
      </w:r>
      <w:r w:rsidR="00D86DD2" w:rsidRPr="00EC250C">
        <w:t xml:space="preserve"> wykorzystać dostępne narzędzia prawne do zatrzymania </w:t>
      </w:r>
      <w:r w:rsidRPr="00EC250C">
        <w:t xml:space="preserve">nowych naborów </w:t>
      </w:r>
      <w:r w:rsidR="008716DE" w:rsidRPr="00EC250C">
        <w:t>(</w:t>
      </w:r>
      <w:r w:rsidRPr="00EC250C">
        <w:t xml:space="preserve">np. </w:t>
      </w:r>
      <w:r w:rsidR="008716DE" w:rsidRPr="00EC250C">
        <w:t>przystęp</w:t>
      </w:r>
      <w:r w:rsidRPr="00EC250C">
        <w:t xml:space="preserve">ując do naboru po to, by mieć prawo </w:t>
      </w:r>
      <w:r w:rsidR="008716DE" w:rsidRPr="00EC250C">
        <w:t xml:space="preserve">zaskarżenia </w:t>
      </w:r>
      <w:r w:rsidRPr="00EC250C">
        <w:t xml:space="preserve">sposobu działania Krajowej Rady Sądownictwa </w:t>
      </w:r>
      <w:r w:rsidR="008716DE" w:rsidRPr="00EC250C">
        <w:t>do NSA)</w:t>
      </w:r>
      <w:r w:rsidRPr="00EC250C">
        <w:t>.</w:t>
      </w:r>
    </w:p>
    <w:p w14:paraId="3F36E661" w14:textId="77777777" w:rsidR="00D86DD2" w:rsidRPr="00EC250C" w:rsidRDefault="00D86DD2" w:rsidP="00D131FA">
      <w:pPr>
        <w:pStyle w:val="Styl1"/>
      </w:pPr>
      <w:r w:rsidRPr="00EC250C">
        <w:t>Kolejna nowelizacja ustaw sądowych –</w:t>
      </w:r>
      <w:r w:rsidR="00992FD0" w:rsidRPr="00EC250C">
        <w:t xml:space="preserve"> z </w:t>
      </w:r>
      <w:r w:rsidRPr="00EC250C">
        <w:rPr>
          <w:bCs/>
          <w:iCs/>
          <w:lang w:eastAsia="en-US"/>
        </w:rPr>
        <w:t>20 lipca 2018</w:t>
      </w:r>
      <w:r w:rsidR="00C91F6E" w:rsidRPr="00EC250C">
        <w:rPr>
          <w:bCs/>
          <w:iCs/>
          <w:lang w:eastAsia="en-US"/>
        </w:rPr>
        <w:t> r.</w:t>
      </w:r>
      <w:r w:rsidR="00026572" w:rsidRPr="00EC250C">
        <w:t xml:space="preserve"> – </w:t>
      </w:r>
      <w:r w:rsidRPr="00EC250C">
        <w:t xml:space="preserve">była odpowiedzią na </w:t>
      </w:r>
      <w:r w:rsidR="00647D35" w:rsidRPr="00EC250C">
        <w:t xml:space="preserve">te </w:t>
      </w:r>
      <w:r w:rsidRPr="00EC250C">
        <w:t>działania obywateli</w:t>
      </w:r>
      <w:r w:rsidR="00992FD0" w:rsidRPr="00EC250C">
        <w:t xml:space="preserve"> i </w:t>
      </w:r>
      <w:r w:rsidRPr="00EC250C">
        <w:t xml:space="preserve">przedstawicieli władzy sądowniczej. </w:t>
      </w:r>
    </w:p>
    <w:p w14:paraId="3830EED5" w14:textId="77777777" w:rsidR="00D86DD2" w:rsidRPr="00EC250C" w:rsidRDefault="00D86DD2" w:rsidP="00D131FA">
      <w:pPr>
        <w:pStyle w:val="Styl1"/>
      </w:pPr>
    </w:p>
    <w:p w14:paraId="484721D1" w14:textId="77777777" w:rsidR="00D86DD2" w:rsidRPr="00EC250C" w:rsidRDefault="007447EE" w:rsidP="00D131FA">
      <w:pPr>
        <w:pStyle w:val="Styl1"/>
        <w:rPr>
          <w:lang w:eastAsia="en-US"/>
        </w:rPr>
      </w:pPr>
      <w:r w:rsidRPr="00EC250C">
        <w:rPr>
          <w:bCs/>
          <w:iCs/>
          <w:lang w:eastAsia="en-US"/>
        </w:rPr>
        <w:t xml:space="preserve">RPO </w:t>
      </w:r>
      <w:r w:rsidR="00D86DD2" w:rsidRPr="00EC250C">
        <w:rPr>
          <w:bCs/>
          <w:iCs/>
          <w:lang w:eastAsia="en-US"/>
        </w:rPr>
        <w:t>jeszcze przed uchwaleniem tych przepisów</w:t>
      </w:r>
      <w:r w:rsidR="00992FD0" w:rsidRPr="00EC250C">
        <w:rPr>
          <w:bCs/>
          <w:iCs/>
          <w:lang w:eastAsia="en-US"/>
        </w:rPr>
        <w:t xml:space="preserve"> w </w:t>
      </w:r>
      <w:r w:rsidR="00D86DD2" w:rsidRPr="00EC250C">
        <w:rPr>
          <w:bCs/>
          <w:iCs/>
          <w:lang w:eastAsia="en-US"/>
        </w:rPr>
        <w:t>wystąpieniu do Prezydenta, podobnie jak we wcześniejszych wystąpieniach do Marszałka Sejmu oraz Marszałka Senatu, wskazywał</w:t>
      </w:r>
      <w:r w:rsidR="00D86DD2" w:rsidRPr="00EC250C">
        <w:rPr>
          <w:rStyle w:val="Odwoanieprzypisudolnego"/>
          <w:iCs/>
          <w:lang w:eastAsia="en-US"/>
        </w:rPr>
        <w:footnoteReference w:id="190"/>
      </w:r>
      <w:r w:rsidR="00D86DD2" w:rsidRPr="00EC250C">
        <w:rPr>
          <w:bCs/>
          <w:iCs/>
          <w:lang w:eastAsia="en-US"/>
        </w:rPr>
        <w:t xml:space="preserve"> na negatywne konsekwencje przyjmowanych rozwiązań. Ostrzegał, że </w:t>
      </w:r>
      <w:r w:rsidR="00D86DD2" w:rsidRPr="00EC250C">
        <w:rPr>
          <w:lang w:eastAsia="en-US"/>
        </w:rPr>
        <w:t xml:space="preserve">stwarzają one realne niebezpieczeństwo całkowitego podważenia niezależności polskiego wymiaru sprawiedliwości oraz </w:t>
      </w:r>
      <w:r w:rsidR="00D86DD2" w:rsidRPr="00EC250C">
        <w:rPr>
          <w:lang w:eastAsia="en-US"/>
        </w:rPr>
        <w:lastRenderedPageBreak/>
        <w:t>instytucji wzajemnej kontroli oraz równoważenia się władz. Skutkiem tych zmian było przyjęcie przepisów, które mogą zagrozić pozbawieniem obywateli prawa do rozpatrzenia swojej sprawy przez niezależny organ sądowy.</w:t>
      </w:r>
    </w:p>
    <w:p w14:paraId="6BE930DB" w14:textId="77777777" w:rsidR="00C91F6E" w:rsidRPr="00EC250C" w:rsidRDefault="00D86DD2" w:rsidP="00D131FA">
      <w:pPr>
        <w:pStyle w:val="Styl1"/>
        <w:rPr>
          <w:bCs/>
          <w:iCs/>
          <w:lang w:eastAsia="en-US"/>
        </w:rPr>
      </w:pPr>
      <w:r w:rsidRPr="00EC250C">
        <w:rPr>
          <w:bCs/>
          <w:iCs/>
          <w:lang w:eastAsia="en-US"/>
        </w:rPr>
        <w:t>Nowelizacja:</w:t>
      </w:r>
    </w:p>
    <w:p w14:paraId="6C042AE8" w14:textId="77777777" w:rsidR="00D86DD2" w:rsidRPr="00EC250C" w:rsidRDefault="00D86DD2" w:rsidP="006C70B7">
      <w:pPr>
        <w:pStyle w:val="Styl1"/>
        <w:numPr>
          <w:ilvl w:val="0"/>
          <w:numId w:val="130"/>
        </w:numPr>
      </w:pPr>
      <w:r w:rsidRPr="00EC250C">
        <w:rPr>
          <w:bCs/>
          <w:iCs/>
          <w:lang w:eastAsia="en-US"/>
        </w:rPr>
        <w:t xml:space="preserve">ograniczała skuteczność zaskarżeń do NSA </w:t>
      </w:r>
      <w:r w:rsidRPr="00EC250C">
        <w:t>decyzji nowej, zdominowanej przez polityków Krajowej Rady Sądownictwa</w:t>
      </w:r>
      <w:r w:rsidR="00992FD0" w:rsidRPr="00EC250C">
        <w:t xml:space="preserve"> w </w:t>
      </w:r>
      <w:r w:rsidRPr="00EC250C">
        <w:t>kwestii powołania do SN;</w:t>
      </w:r>
    </w:p>
    <w:p w14:paraId="76EEEF1A" w14:textId="77777777" w:rsidR="00D86DD2" w:rsidRPr="00EC250C" w:rsidRDefault="00D86DD2" w:rsidP="006C70B7">
      <w:pPr>
        <w:pStyle w:val="Styl1"/>
        <w:numPr>
          <w:ilvl w:val="0"/>
          <w:numId w:val="130"/>
        </w:numPr>
      </w:pPr>
      <w:r w:rsidRPr="00EC250C">
        <w:t xml:space="preserve">ułatwiała nowej KRS procedowanie kandydatur na sędziów SN poprzez </w:t>
      </w:r>
      <w:r w:rsidR="00D8245F" w:rsidRPr="00EC250C">
        <w:t xml:space="preserve">usunięcie </w:t>
      </w:r>
      <w:r w:rsidRPr="00EC250C">
        <w:t>wymogu dostarcz</w:t>
      </w:r>
      <w:r w:rsidR="00D8245F" w:rsidRPr="00EC250C">
        <w:t>enia</w:t>
      </w:r>
      <w:r w:rsidRPr="00EC250C">
        <w:t xml:space="preserve"> komplet</w:t>
      </w:r>
      <w:r w:rsidR="00D8245F" w:rsidRPr="00EC250C">
        <w:t>u</w:t>
      </w:r>
      <w:r w:rsidRPr="00EC250C">
        <w:t xml:space="preserve"> dokumentów</w:t>
      </w:r>
      <w:r w:rsidR="00D8245F" w:rsidRPr="00EC250C">
        <w:t xml:space="preserve"> przez kandydata, by jego zgłoszenie mogło być wzięte pod uwagę</w:t>
      </w:r>
      <w:r w:rsidRPr="00EC250C">
        <w:t>;</w:t>
      </w:r>
    </w:p>
    <w:p w14:paraId="4757BD25" w14:textId="77777777" w:rsidR="00D86DD2" w:rsidRPr="00EC250C" w:rsidRDefault="00D86DD2" w:rsidP="006C70B7">
      <w:pPr>
        <w:pStyle w:val="Styl1"/>
        <w:numPr>
          <w:ilvl w:val="0"/>
          <w:numId w:val="130"/>
        </w:numPr>
      </w:pPr>
      <w:r w:rsidRPr="00EC250C">
        <w:t>obniżała ze 110 do 80 liczbę sędziów SN, która musi być obsadzona, aby Zgromadzenie Ogólne Sędziów SN mogło wybrać</w:t>
      </w:r>
      <w:r w:rsidR="00992FD0" w:rsidRPr="00EC250C">
        <w:t xml:space="preserve"> i </w:t>
      </w:r>
      <w:r w:rsidRPr="00EC250C">
        <w:t>przedstawić Prezydentowi kandydatów na I Prezesa SN (Według RPO zapis ten jest odpowiedzią na uchwałę Zgromadzenia Ogólnego Sędziów SN</w:t>
      </w:r>
      <w:r w:rsidR="00992FD0" w:rsidRPr="00EC250C">
        <w:t xml:space="preserve"> z </w:t>
      </w:r>
      <w:r w:rsidRPr="00EC250C">
        <w:t>28 czerwca 2018</w:t>
      </w:r>
      <w:r w:rsidR="00C91F6E" w:rsidRPr="00EC250C">
        <w:t> r.</w:t>
      </w:r>
      <w:r w:rsidRPr="00EC250C">
        <w:t>,</w:t>
      </w:r>
      <w:r w:rsidR="00992FD0" w:rsidRPr="00EC250C">
        <w:t xml:space="preserve"> w </w:t>
      </w:r>
      <w:r w:rsidRPr="00EC250C">
        <w:t>której uznano, że I prezesem SN do 30 kwietnia 2020</w:t>
      </w:r>
      <w:r w:rsidR="00C91F6E" w:rsidRPr="00EC250C">
        <w:t> r.</w:t>
      </w:r>
      <w:r w:rsidRPr="00EC250C">
        <w:t xml:space="preserve"> pozostaje prof. Małgorzata Gersdorf);</w:t>
      </w:r>
    </w:p>
    <w:p w14:paraId="0C00024C" w14:textId="77777777" w:rsidR="00D86DD2" w:rsidRPr="00EC250C" w:rsidRDefault="00D86DD2" w:rsidP="006C70B7">
      <w:pPr>
        <w:pStyle w:val="Styl1"/>
        <w:numPr>
          <w:ilvl w:val="0"/>
          <w:numId w:val="130"/>
        </w:numPr>
      </w:pPr>
      <w:r w:rsidRPr="00EC250C">
        <w:t>dawała KRS prawo decydowania</w:t>
      </w:r>
      <w:r w:rsidR="00992FD0" w:rsidRPr="00EC250C">
        <w:t xml:space="preserve"> w </w:t>
      </w:r>
      <w:r w:rsidRPr="00EC250C">
        <w:t>sprawie łączeni</w:t>
      </w:r>
      <w:r w:rsidR="00D8245F" w:rsidRPr="00EC250C">
        <w:t>a</w:t>
      </w:r>
      <w:r w:rsidRPr="00EC250C">
        <w:t xml:space="preserve"> przez sędziów obywatelstwa RP</w:t>
      </w:r>
      <w:r w:rsidR="00992FD0" w:rsidRPr="00EC250C">
        <w:t xml:space="preserve"> i </w:t>
      </w:r>
      <w:r w:rsidRPr="00EC250C">
        <w:t>państwa obcego – bez możliwości odwołania się od jej decyzji (w 2017</w:t>
      </w:r>
      <w:r w:rsidR="00C91F6E" w:rsidRPr="00EC250C">
        <w:t> r.</w:t>
      </w:r>
      <w:r w:rsidRPr="00EC250C">
        <w:t xml:space="preserve"> wcześniej wprowadzono wobec sędziów zakaz łączenia obywatelstwa, co pozwalało na odsunięcie od orzekania niektórych sędziów);</w:t>
      </w:r>
    </w:p>
    <w:p w14:paraId="7764C684" w14:textId="77777777" w:rsidR="00D86DD2" w:rsidRPr="00EC250C" w:rsidRDefault="00D86DD2" w:rsidP="006C70B7">
      <w:pPr>
        <w:pStyle w:val="Styl1"/>
        <w:numPr>
          <w:ilvl w:val="0"/>
          <w:numId w:val="130"/>
        </w:numPr>
      </w:pPr>
      <w:r w:rsidRPr="00EC250C">
        <w:t>znosiła zasadę kworum wymaganego do wiążącego podjęcia uchwał przez organy samorządu sędziowskiego wprowadzając jednocześnie zasadę „</w:t>
      </w:r>
      <w:r w:rsidRPr="00EC250C">
        <w:rPr>
          <w:bCs/>
          <w:iCs/>
          <w:lang w:eastAsia="en-US"/>
        </w:rPr>
        <w:t xml:space="preserve">bezwzględnej większości głosów” </w:t>
      </w:r>
      <w:r w:rsidRPr="00EC250C">
        <w:t>(przepis ten może prowadzić do znaczącego ograniczenia samorządności</w:t>
      </w:r>
      <w:r w:rsidR="00992FD0" w:rsidRPr="00EC250C">
        <w:t xml:space="preserve"> w </w:t>
      </w:r>
      <w:r w:rsidRPr="00EC250C">
        <w:t>sądach powszechnych, ponieważ pozwala na podjęcie uchwały przez mniejszą liczbę osób – bez konieczności np. zawiadamiania pozostałych)</w:t>
      </w:r>
      <w:r w:rsidR="00D8245F" w:rsidRPr="00EC250C">
        <w:t>;</w:t>
      </w:r>
    </w:p>
    <w:p w14:paraId="7020BCE5" w14:textId="77777777" w:rsidR="00D86DD2" w:rsidRPr="00EC250C" w:rsidRDefault="00D86DD2" w:rsidP="006C70B7">
      <w:pPr>
        <w:pStyle w:val="Styl1"/>
        <w:numPr>
          <w:ilvl w:val="0"/>
          <w:numId w:val="130"/>
        </w:numPr>
        <w:rPr>
          <w:bCs/>
          <w:iCs/>
          <w:lang w:eastAsia="en-US"/>
        </w:rPr>
      </w:pPr>
      <w:r w:rsidRPr="00EC250C">
        <w:t>ograniczyła wiek kandydatów na aplikację sędziowską</w:t>
      </w:r>
      <w:r w:rsidR="00992FD0" w:rsidRPr="00EC250C">
        <w:t xml:space="preserve"> i </w:t>
      </w:r>
      <w:r w:rsidRPr="00EC250C">
        <w:t>prokuratorską do</w:t>
      </w:r>
      <w:r w:rsidR="00026572" w:rsidRPr="00EC250C">
        <w:t xml:space="preserve"> – </w:t>
      </w:r>
      <w:r w:rsidRPr="00EC250C">
        <w:t>odpowiednio</w:t>
      </w:r>
      <w:r w:rsidR="00026572" w:rsidRPr="00EC250C">
        <w:t xml:space="preserve"> – </w:t>
      </w:r>
      <w:r w:rsidRPr="00EC250C">
        <w:t>35 lat oraz 40 lat, co</w:t>
      </w:r>
      <w:r w:rsidR="00992FD0" w:rsidRPr="00EC250C">
        <w:t xml:space="preserve"> w </w:t>
      </w:r>
      <w:r w:rsidRPr="00EC250C">
        <w:t>ocenie RPO może stanowić naruszenie zasady równości.</w:t>
      </w:r>
    </w:p>
    <w:p w14:paraId="32FBA2A4" w14:textId="77777777" w:rsidR="00C91F6E" w:rsidRPr="00EC250C" w:rsidRDefault="00D86DD2" w:rsidP="00D131FA">
      <w:pPr>
        <w:pStyle w:val="ODESANIE"/>
        <w:ind w:left="709"/>
        <w:jc w:val="both"/>
      </w:pPr>
      <w:r w:rsidRPr="00EC250C">
        <w:rPr>
          <w:bCs/>
          <w:lang w:eastAsia="en-US"/>
        </w:rPr>
        <w:t xml:space="preserve">Więcej: </w:t>
      </w:r>
      <w:r w:rsidRPr="00EC250C">
        <w:t>Dyskryminacja ze względu na wiek wobec kandydatów na aplikacje</w:t>
      </w:r>
      <w:r w:rsidR="00992FD0" w:rsidRPr="00EC250C">
        <w:t xml:space="preserve"> w </w:t>
      </w:r>
      <w:r w:rsidRPr="00EC250C">
        <w:t>Krajowej Szkole Sądownictwa</w:t>
      </w:r>
      <w:r w:rsidR="00992FD0" w:rsidRPr="00EC250C">
        <w:t xml:space="preserve"> i </w:t>
      </w:r>
      <w:r w:rsidRPr="00EC250C">
        <w:t>Prokuratury – Art. 32 ust.2</w:t>
      </w:r>
    </w:p>
    <w:p w14:paraId="7A9B3462" w14:textId="77777777" w:rsidR="00D86DD2" w:rsidRPr="00EC250C" w:rsidRDefault="007447EE" w:rsidP="00D131FA">
      <w:pPr>
        <w:pStyle w:val="Styl1"/>
        <w:rPr>
          <w:bCs/>
          <w:iCs/>
          <w:lang w:eastAsia="en-US"/>
        </w:rPr>
      </w:pPr>
      <w:r w:rsidRPr="00EC250C">
        <w:rPr>
          <w:bCs/>
          <w:iCs/>
          <w:lang w:eastAsia="en-US"/>
        </w:rPr>
        <w:t xml:space="preserve">RPO </w:t>
      </w:r>
      <w:r w:rsidR="00D86DD2" w:rsidRPr="00EC250C">
        <w:rPr>
          <w:bCs/>
          <w:iCs/>
          <w:lang w:eastAsia="en-US"/>
        </w:rPr>
        <w:t>uznał</w:t>
      </w:r>
      <w:r w:rsidR="00647D35" w:rsidRPr="00EC250C">
        <w:rPr>
          <w:rStyle w:val="Odwoanieprzypisudolnego"/>
          <w:bCs/>
          <w:iCs/>
          <w:lang w:eastAsia="en-US"/>
        </w:rPr>
        <w:footnoteReference w:id="191"/>
      </w:r>
      <w:r w:rsidR="00D86DD2" w:rsidRPr="00EC250C">
        <w:rPr>
          <w:bCs/>
          <w:iCs/>
          <w:lang w:eastAsia="en-US"/>
        </w:rPr>
        <w:t>,</w:t>
      </w:r>
      <w:r w:rsidR="008716DE" w:rsidRPr="00EC250C">
        <w:rPr>
          <w:bCs/>
          <w:iCs/>
          <w:lang w:eastAsia="en-US"/>
        </w:rPr>
        <w:t xml:space="preserve"> </w:t>
      </w:r>
      <w:r w:rsidR="00D86DD2" w:rsidRPr="00EC250C">
        <w:rPr>
          <w:bCs/>
          <w:iCs/>
          <w:lang w:eastAsia="en-US"/>
        </w:rPr>
        <w:t>że rozwiązania te zagrażają realizacji konstytucyjnego prawa do sprawiedliwego</w:t>
      </w:r>
      <w:r w:rsidR="00992FD0" w:rsidRPr="00EC250C">
        <w:rPr>
          <w:bCs/>
          <w:iCs/>
          <w:lang w:eastAsia="en-US"/>
        </w:rPr>
        <w:t xml:space="preserve"> i </w:t>
      </w:r>
      <w:r w:rsidR="00D86DD2" w:rsidRPr="00EC250C">
        <w:rPr>
          <w:bCs/>
          <w:iCs/>
          <w:lang w:eastAsia="en-US"/>
        </w:rPr>
        <w:t>jawnego rozpatrzenia sprawy bez nieuzasadnionej zwłoki przez właściwy, niezależny, bezstronny</w:t>
      </w:r>
      <w:r w:rsidR="00992FD0" w:rsidRPr="00EC250C">
        <w:rPr>
          <w:bCs/>
          <w:iCs/>
          <w:lang w:eastAsia="en-US"/>
        </w:rPr>
        <w:t xml:space="preserve"> i </w:t>
      </w:r>
      <w:r w:rsidR="00D86DD2" w:rsidRPr="00EC250C">
        <w:rPr>
          <w:bCs/>
          <w:iCs/>
          <w:lang w:eastAsia="en-US"/>
        </w:rPr>
        <w:t>niezawisły sąd</w:t>
      </w:r>
      <w:r w:rsidR="00026572" w:rsidRPr="00EC250C">
        <w:rPr>
          <w:bCs/>
          <w:iCs/>
          <w:lang w:eastAsia="en-US"/>
        </w:rPr>
        <w:t xml:space="preserve"> – </w:t>
      </w:r>
      <w:r w:rsidR="00D86DD2" w:rsidRPr="00EC250C">
        <w:rPr>
          <w:bCs/>
          <w:iCs/>
          <w:lang w:eastAsia="en-US"/>
        </w:rPr>
        <w:t>czyli realizacji art. 45 Konstytucji.</w:t>
      </w:r>
    </w:p>
    <w:p w14:paraId="2F358665" w14:textId="77777777" w:rsidR="00C91F6E" w:rsidRPr="00EC250C" w:rsidRDefault="00D86DD2" w:rsidP="00D131FA">
      <w:pPr>
        <w:pStyle w:val="ODESANIE"/>
        <w:ind w:left="357"/>
        <w:jc w:val="both"/>
      </w:pPr>
      <w:r w:rsidRPr="00EC250C">
        <w:lastRenderedPageBreak/>
        <w:t>Prawo sądów do zwrócenia się</w:t>
      </w:r>
      <w:r w:rsidR="00992FD0" w:rsidRPr="00EC250C">
        <w:t xml:space="preserve"> z </w:t>
      </w:r>
      <w:r w:rsidRPr="00EC250C">
        <w:t>pytaniem prejudycjalnym do Trybunału Sprawiedliwości Unii Europejskiej – Art. 2 Konstytucji – Zasada praworządności</w:t>
      </w:r>
    </w:p>
    <w:p w14:paraId="33718EA8" w14:textId="77777777" w:rsidR="00D86DD2" w:rsidRPr="00EC250C" w:rsidRDefault="00D86DD2" w:rsidP="00EC250C">
      <w:pPr>
        <w:pStyle w:val="Nagwek5"/>
      </w:pPr>
      <w:r w:rsidRPr="00EC250C">
        <w:t>O polskich sądach</w:t>
      </w:r>
      <w:r w:rsidR="00992FD0" w:rsidRPr="00EC250C">
        <w:t xml:space="preserve"> w </w:t>
      </w:r>
      <w:r w:rsidRPr="00EC250C">
        <w:t>Europie</w:t>
      </w:r>
    </w:p>
    <w:p w14:paraId="267AA530" w14:textId="77777777" w:rsidR="00B473F5" w:rsidRPr="00EC250C" w:rsidRDefault="00AA123F" w:rsidP="00D131FA">
      <w:pPr>
        <w:pStyle w:val="Problemczowieka"/>
        <w:jc w:val="both"/>
      </w:pPr>
      <w:r w:rsidRPr="00EC250C">
        <w:t>Unia Europejska, której członkiem jest Polska, zajmowała się w roku 2018 tym, czy prawo polskich obywateli – i innych obywateli UE – nie zostało zagrożone w skutek wprowadzonych zmian w polskim sądownictwie</w:t>
      </w:r>
      <w:r w:rsidR="00B473F5" w:rsidRPr="00EC250C">
        <w:t>.</w:t>
      </w:r>
    </w:p>
    <w:p w14:paraId="4A1FFA54" w14:textId="77777777" w:rsidR="00AA123F" w:rsidRPr="00EC250C" w:rsidRDefault="00AA123F" w:rsidP="00D131FA">
      <w:pPr>
        <w:pStyle w:val="Styl1"/>
      </w:pPr>
      <w:r w:rsidRPr="00EC250C">
        <w:t>Komisja Europejska w grudniu 2017</w:t>
      </w:r>
      <w:r w:rsidR="00D8245F" w:rsidRPr="00EC250C">
        <w:t> </w:t>
      </w:r>
      <w:r w:rsidRPr="00EC250C">
        <w:t>r.</w:t>
      </w:r>
      <w:r w:rsidR="00D8245F" w:rsidRPr="00EC250C">
        <w:t xml:space="preserve"> </w:t>
      </w:r>
      <w:r w:rsidRPr="00EC250C">
        <w:t>złożyła wniosek o wszczęcie wobec polskiego rządu postępowania z art. 7 Traktatu o Unii Europejskiej („ryzyko poważnego naruszenia przez Państwo Członkowskie wartości Unii”), a Trybunał Sprawiedliwości Unii Europejskiej zajął się pytaniami prejudycjalnymi polskiego Sądu Najwyższego, który – by rozpatrz</w:t>
      </w:r>
      <w:r w:rsidR="00D8245F" w:rsidRPr="00EC250C">
        <w:t>e</w:t>
      </w:r>
      <w:r w:rsidRPr="00EC250C">
        <w:t>ć jedną z spraw – musiał najpierw dowiedzieć się, czy prawo UE nie stoi na przeszkodzie stosowaniu polskich przepisów dotyczących sędziów. We wrześniu 2018 r. Komisja wniosła też osobną sprawę do TSUE przeciwko Polsce w związku z naruszeniem przez Polskę unijnej zasady praworządności poprzez uchwalenie ustawy o Sądzie Najwyższym.</w:t>
      </w:r>
    </w:p>
    <w:p w14:paraId="47D344D4" w14:textId="77777777" w:rsidR="00D86DD2" w:rsidRPr="00EC250C" w:rsidRDefault="00D86DD2" w:rsidP="00D131FA">
      <w:pPr>
        <w:pStyle w:val="Styl1"/>
        <w:rPr>
          <w:rStyle w:val="Pogrubienie"/>
          <w:b w:val="0"/>
          <w:bCs w:val="0"/>
        </w:rPr>
      </w:pPr>
      <w:r w:rsidRPr="00EC250C">
        <w:t>Problemem polskiego sądownictwa zajmował się też Parlament Europejski. W związku</w:t>
      </w:r>
      <w:r w:rsidR="00992FD0" w:rsidRPr="00EC250C">
        <w:t xml:space="preserve"> z </w:t>
      </w:r>
      <w:r w:rsidRPr="00EC250C">
        <w:t>tym rzecznik praw obywatelskich Adam Bodnar zabrał</w:t>
      </w:r>
      <w:r w:rsidR="00992FD0" w:rsidRPr="00EC250C">
        <w:t xml:space="preserve"> w </w:t>
      </w:r>
      <w:r w:rsidRPr="00EC250C">
        <w:t>listopadzie</w:t>
      </w:r>
      <w:r w:rsidRPr="00EC250C">
        <w:rPr>
          <w:rStyle w:val="Odwoanieprzypisudolnego"/>
        </w:rPr>
        <w:footnoteReference w:id="192"/>
      </w:r>
      <w:r w:rsidRPr="00EC250C">
        <w:t xml:space="preserve"> głos na posiedzeniu </w:t>
      </w:r>
      <w:r w:rsidRPr="00EC250C">
        <w:rPr>
          <w:rStyle w:val="Pogrubienie"/>
        </w:rPr>
        <w:t>parlamentarnej komisji wolności obywatelskich, sprawiedliwości</w:t>
      </w:r>
      <w:r w:rsidR="00992FD0" w:rsidRPr="00EC250C">
        <w:rPr>
          <w:rStyle w:val="Pogrubienie"/>
        </w:rPr>
        <w:t xml:space="preserve"> i </w:t>
      </w:r>
      <w:r w:rsidRPr="00EC250C">
        <w:rPr>
          <w:rStyle w:val="Pogrubienie"/>
        </w:rPr>
        <w:t>spraw wewnętrznych (LIBE).</w:t>
      </w:r>
    </w:p>
    <w:p w14:paraId="0F044A77" w14:textId="77777777" w:rsidR="00AA123F" w:rsidRPr="00EC250C" w:rsidRDefault="00AA123F" w:rsidP="00D131FA">
      <w:pPr>
        <w:pStyle w:val="Styl1"/>
      </w:pPr>
      <w:r w:rsidRPr="00EC250C">
        <w:t>RPO podkreślił, że jest zwolennikiem reformy sądownictwa w Polsce pod warunkiem, że wprowadzane zmiany będą spełniać standardy praworządności i nie będą wpływać na konstytucyjną zasadę trójpodziału władzy. Ofiarami reform łamiących te zasady są bowiem przede wszystkim obywatele, którym Konstytucja i prawo UE (art. 44 Karty Praw Podstawowych UE) gwarantuje prawo dostępu do niezależnego sądu.</w:t>
      </w:r>
    </w:p>
    <w:p w14:paraId="32A97BB7" w14:textId="77777777" w:rsidR="00AA123F" w:rsidRPr="00EC250C" w:rsidRDefault="00AA123F" w:rsidP="00D131FA">
      <w:pPr>
        <w:pStyle w:val="Styl1"/>
      </w:pPr>
      <w:r w:rsidRPr="00EC250C">
        <w:t>Zdaniem rzecznika opinie Komisji Weneckiej dotyczące kwestii praworządności zostały przez rząd zignorowane, a obywatele nie mogą w pełni liczyć obecnie na niezależne sądy. Adam Bodnar wspomniał również, że monitoruje toczące się postępowania dyscyplinarne wobec sędziów, którzy krytykują reformy sądownictwa. Jego zdaniem, taka sytuacja nie pozostaje bowiem bez wpływu także na innych przedstawicieli wymiaru sprawiedliwości, tworząc tzw. efekt mrożący. Rzecznik odniósł się również do sytuacji Trybunału Konstytucyjnego w Polsce, sędziów przeniesionych w stan spoczynku oraz funkcjonowania mediów publicznych.</w:t>
      </w:r>
    </w:p>
    <w:p w14:paraId="2AFBF612" w14:textId="2B3BC4E0" w:rsidR="00D86DD2" w:rsidRPr="00EC250C" w:rsidRDefault="00D86DD2" w:rsidP="00D131FA">
      <w:pPr>
        <w:pStyle w:val="Styl1"/>
        <w:rPr>
          <w:bCs/>
          <w:i/>
          <w:iCs/>
          <w:lang w:eastAsia="en-US"/>
        </w:rPr>
      </w:pPr>
      <w:r w:rsidRPr="00EC250C">
        <w:rPr>
          <w:bCs/>
          <w:i/>
          <w:iCs/>
          <w:lang w:eastAsia="en-US"/>
        </w:rPr>
        <w:t>W listopadzie 2018</w:t>
      </w:r>
      <w:r w:rsidR="00C91F6E" w:rsidRPr="00EC250C">
        <w:rPr>
          <w:bCs/>
          <w:i/>
          <w:iCs/>
          <w:lang w:eastAsia="en-US"/>
        </w:rPr>
        <w:t> r.</w:t>
      </w:r>
      <w:r w:rsidRPr="00EC250C">
        <w:rPr>
          <w:bCs/>
          <w:i/>
          <w:iCs/>
          <w:lang w:eastAsia="en-US"/>
        </w:rPr>
        <w:t xml:space="preserve"> Sejm ponownie zmienił przepisy</w:t>
      </w:r>
      <w:r w:rsidR="00992FD0" w:rsidRPr="00EC250C">
        <w:rPr>
          <w:bCs/>
          <w:i/>
          <w:iCs/>
          <w:lang w:eastAsia="en-US"/>
        </w:rPr>
        <w:t xml:space="preserve"> o </w:t>
      </w:r>
      <w:r w:rsidRPr="00EC250C">
        <w:rPr>
          <w:bCs/>
          <w:i/>
          <w:iCs/>
          <w:lang w:eastAsia="en-US"/>
        </w:rPr>
        <w:t>SN, przywracając sędziom, którzy skończyli 65 lat</w:t>
      </w:r>
      <w:r w:rsidR="00AA123F" w:rsidRPr="00EC250C">
        <w:rPr>
          <w:bCs/>
          <w:i/>
          <w:iCs/>
          <w:lang w:eastAsia="en-US"/>
        </w:rPr>
        <w:t>,</w:t>
      </w:r>
      <w:r w:rsidRPr="00EC250C">
        <w:rPr>
          <w:bCs/>
          <w:i/>
          <w:iCs/>
          <w:lang w:eastAsia="en-US"/>
        </w:rPr>
        <w:t xml:space="preserve"> prawo do orzekania.</w:t>
      </w:r>
      <w:r w:rsidR="008E69D1" w:rsidRPr="00EC250C">
        <w:rPr>
          <w:rStyle w:val="Odwoanieprzypisudolnego"/>
          <w:bCs/>
          <w:i/>
          <w:iCs/>
          <w:lang w:eastAsia="en-US"/>
        </w:rPr>
        <w:footnoteReference w:id="193"/>
      </w:r>
    </w:p>
    <w:p w14:paraId="1F1BDB2C" w14:textId="77777777" w:rsidR="00711346" w:rsidRPr="00EC250C" w:rsidRDefault="00711346" w:rsidP="00EC250C">
      <w:pPr>
        <w:pStyle w:val="Nagwek8"/>
      </w:pPr>
      <w:r w:rsidRPr="00EC250C">
        <w:lastRenderedPageBreak/>
        <w:t>„Praworządność dla ludzi”. Biała Księga RPO na temat działań dotyczących ochrony praworządności</w:t>
      </w:r>
    </w:p>
    <w:p w14:paraId="0AB3D72B" w14:textId="77777777" w:rsidR="00711346" w:rsidRPr="00EC250C" w:rsidRDefault="00711346" w:rsidP="00D131FA">
      <w:pPr>
        <w:pStyle w:val="Styl2"/>
        <w:rPr>
          <w:szCs w:val="24"/>
        </w:rPr>
      </w:pPr>
      <w:r w:rsidRPr="00EC250C">
        <w:rPr>
          <w:rStyle w:val="Pogrubienie"/>
          <w:b/>
          <w:bCs/>
          <w:szCs w:val="24"/>
        </w:rPr>
        <w:t>Rzecznik Praw Obywatelskich przedstawił 23 sierpnia 2018 r. białą księgę dotyczącą gwarancji praw obywatelskich w Polsce z perspektywy instytucji ombudsmana. Księga stanowi świadectwo zmiany ustroju państwa polskiego - nie mocą zmiany Konstytucji, lecz niekonstytucyjnych ustaw. Księga odnosi się do zaprezentowanej przez rząd 8 marca 2018 r. „Białej księgi” reform wymiaru sprawiedliwości</w:t>
      </w:r>
    </w:p>
    <w:p w14:paraId="3052383B" w14:textId="77777777" w:rsidR="00711346" w:rsidRPr="00EC250C" w:rsidRDefault="00711346" w:rsidP="00D131FA">
      <w:pPr>
        <w:pStyle w:val="Styl2"/>
        <w:rPr>
          <w:szCs w:val="24"/>
        </w:rPr>
      </w:pPr>
      <w:r w:rsidRPr="00EC250C">
        <w:rPr>
          <w:rStyle w:val="Pogrubienie"/>
          <w:b/>
          <w:bCs/>
          <w:szCs w:val="24"/>
        </w:rPr>
        <w:t>Licząca 1174 strony publikacja jest zbiorem dokumentów i wystąpień kierowanych przez Rzecznika oraz uzyskiwanych odpowiedzi.</w:t>
      </w:r>
    </w:p>
    <w:p w14:paraId="5D43FE55" w14:textId="77777777" w:rsidR="00711346" w:rsidRPr="00EC250C" w:rsidRDefault="00711346" w:rsidP="00D131FA">
      <w:pPr>
        <w:pStyle w:val="Styl2"/>
        <w:rPr>
          <w:szCs w:val="24"/>
        </w:rPr>
      </w:pPr>
      <w:r w:rsidRPr="00EC250C">
        <w:rPr>
          <w:szCs w:val="24"/>
        </w:rPr>
        <w:t>Rzecznik Praw Obywatelskich zwraca w nim uwagę, że aparat państwa rośnie każdego dnia w siłę, a obywatel jest coraz słabszy. W demokratycznym państwie prawa to sądy mają bronić obywatela w tego typu sytuacjach. Niezależność sądownictwa to zasada konstytucyjna, ale także podstawa naszego ustroju państwowego opierającego się na trójpodziale władzy. Bez niezależnych sądów trudno jest mówić o efektywnym przestrzeganiu praw i wolności obywatelskich</w:t>
      </w:r>
      <w:r w:rsidRPr="00EC250C">
        <w:rPr>
          <w:rStyle w:val="Pogrubienie"/>
          <w:b/>
          <w:bCs/>
          <w:szCs w:val="24"/>
        </w:rPr>
        <w:t>.</w:t>
      </w:r>
    </w:p>
    <w:p w14:paraId="1480E6FC" w14:textId="77777777" w:rsidR="00711346" w:rsidRPr="00EC250C" w:rsidRDefault="00711346" w:rsidP="00D131FA">
      <w:pPr>
        <w:pStyle w:val="Styl2"/>
        <w:rPr>
          <w:szCs w:val="24"/>
        </w:rPr>
      </w:pPr>
      <w:r w:rsidRPr="00EC250C">
        <w:rPr>
          <w:rStyle w:val="Pogrubienie"/>
          <w:b/>
          <w:bCs/>
          <w:szCs w:val="24"/>
        </w:rPr>
        <w:t>W pierwszej części Księgi </w:t>
      </w:r>
      <w:r w:rsidRPr="00EC250C">
        <w:rPr>
          <w:szCs w:val="24"/>
        </w:rPr>
        <w:t>opisana jest działalność Rzecznika Praw Obywatelskich dotyczącą ochrony niezależności:</w:t>
      </w:r>
    </w:p>
    <w:p w14:paraId="302A1ECD" w14:textId="77777777" w:rsidR="00711346" w:rsidRPr="00EC250C" w:rsidRDefault="00711346" w:rsidP="006C70B7">
      <w:pPr>
        <w:pStyle w:val="Styl2"/>
        <w:numPr>
          <w:ilvl w:val="0"/>
          <w:numId w:val="149"/>
        </w:numPr>
        <w:spacing w:after="0"/>
        <w:rPr>
          <w:szCs w:val="24"/>
        </w:rPr>
      </w:pPr>
      <w:r w:rsidRPr="00EC250C">
        <w:rPr>
          <w:szCs w:val="24"/>
        </w:rPr>
        <w:t>Trybunału Konstytucyjnego,</w:t>
      </w:r>
    </w:p>
    <w:p w14:paraId="5AEC5C5D" w14:textId="77777777" w:rsidR="00711346" w:rsidRPr="00EC250C" w:rsidRDefault="00711346" w:rsidP="006C70B7">
      <w:pPr>
        <w:pStyle w:val="Styl2"/>
        <w:numPr>
          <w:ilvl w:val="0"/>
          <w:numId w:val="149"/>
        </w:numPr>
        <w:spacing w:after="0"/>
        <w:rPr>
          <w:szCs w:val="24"/>
        </w:rPr>
      </w:pPr>
      <w:r w:rsidRPr="00EC250C">
        <w:rPr>
          <w:szCs w:val="24"/>
        </w:rPr>
        <w:t>prokuratury i  prokuratorów,</w:t>
      </w:r>
    </w:p>
    <w:p w14:paraId="38A036F9" w14:textId="77777777" w:rsidR="00711346" w:rsidRPr="00EC250C" w:rsidRDefault="00711346" w:rsidP="006C70B7">
      <w:pPr>
        <w:pStyle w:val="Styl2"/>
        <w:numPr>
          <w:ilvl w:val="0"/>
          <w:numId w:val="149"/>
        </w:numPr>
        <w:spacing w:after="0"/>
        <w:rPr>
          <w:szCs w:val="24"/>
        </w:rPr>
      </w:pPr>
      <w:r w:rsidRPr="00EC250C">
        <w:rPr>
          <w:szCs w:val="24"/>
        </w:rPr>
        <w:t>Krajowej Rady Sądownictwa,</w:t>
      </w:r>
    </w:p>
    <w:p w14:paraId="7569CA77" w14:textId="77777777" w:rsidR="00711346" w:rsidRPr="00EC250C" w:rsidRDefault="00711346" w:rsidP="006C70B7">
      <w:pPr>
        <w:pStyle w:val="Styl2"/>
        <w:numPr>
          <w:ilvl w:val="0"/>
          <w:numId w:val="149"/>
        </w:numPr>
        <w:spacing w:after="0"/>
        <w:rPr>
          <w:szCs w:val="24"/>
        </w:rPr>
      </w:pPr>
      <w:r w:rsidRPr="00EC250C">
        <w:rPr>
          <w:szCs w:val="24"/>
        </w:rPr>
        <w:t>Sądu Najwyższego,</w:t>
      </w:r>
    </w:p>
    <w:p w14:paraId="76893987" w14:textId="77777777" w:rsidR="00711346" w:rsidRPr="00EC250C" w:rsidRDefault="00711346" w:rsidP="006C70B7">
      <w:pPr>
        <w:pStyle w:val="Styl2"/>
        <w:numPr>
          <w:ilvl w:val="0"/>
          <w:numId w:val="149"/>
        </w:numPr>
        <w:spacing w:after="0"/>
        <w:rPr>
          <w:szCs w:val="24"/>
        </w:rPr>
      </w:pPr>
      <w:r w:rsidRPr="00EC250C">
        <w:rPr>
          <w:szCs w:val="24"/>
        </w:rPr>
        <w:t>a także stanowisko Rzecznika Praw Obywatelskich dotyczące ustawy Prawo o ustroju sądów powszechnych.</w:t>
      </w:r>
    </w:p>
    <w:p w14:paraId="0970EB74" w14:textId="77777777" w:rsidR="00711346" w:rsidRPr="00EC250C" w:rsidRDefault="00711346" w:rsidP="00D131FA">
      <w:pPr>
        <w:pStyle w:val="Styl2"/>
        <w:spacing w:before="240"/>
        <w:rPr>
          <w:szCs w:val="24"/>
        </w:rPr>
      </w:pPr>
      <w:r w:rsidRPr="00EC250C">
        <w:rPr>
          <w:szCs w:val="24"/>
        </w:rPr>
        <w:t>Ponadto zaprezentowano w niej postulaty RPO dotyczące usprawnienia funkcjonowania wymiaru sprawiedliwości, tj. m.in.</w:t>
      </w:r>
    </w:p>
    <w:p w14:paraId="4C057AE9" w14:textId="77777777" w:rsidR="00711346" w:rsidRPr="00EC250C" w:rsidRDefault="00711346" w:rsidP="006C70B7">
      <w:pPr>
        <w:pStyle w:val="Styl2"/>
        <w:numPr>
          <w:ilvl w:val="0"/>
          <w:numId w:val="150"/>
        </w:numPr>
        <w:spacing w:after="0" w:line="240" w:lineRule="auto"/>
        <w:ind w:left="357" w:hanging="357"/>
        <w:rPr>
          <w:szCs w:val="24"/>
        </w:rPr>
      </w:pPr>
      <w:r w:rsidRPr="00EC250C">
        <w:rPr>
          <w:szCs w:val="24"/>
        </w:rPr>
        <w:t>konieczność wprowadzenia zmiany w procedurach sądowych,</w:t>
      </w:r>
    </w:p>
    <w:p w14:paraId="09491836" w14:textId="77777777" w:rsidR="00711346" w:rsidRPr="00EC250C" w:rsidRDefault="00711346" w:rsidP="006C70B7">
      <w:pPr>
        <w:pStyle w:val="Styl2"/>
        <w:numPr>
          <w:ilvl w:val="0"/>
          <w:numId w:val="150"/>
        </w:numPr>
        <w:spacing w:after="0" w:line="240" w:lineRule="auto"/>
        <w:ind w:left="357" w:hanging="357"/>
        <w:rPr>
          <w:szCs w:val="24"/>
        </w:rPr>
      </w:pPr>
      <w:r w:rsidRPr="00EC250C">
        <w:rPr>
          <w:szCs w:val="24"/>
        </w:rPr>
        <w:t>konieczność pilnego przyjęcia ustawy o biegłych sądowych,</w:t>
      </w:r>
    </w:p>
    <w:p w14:paraId="543281BE" w14:textId="77777777" w:rsidR="00711346" w:rsidRPr="00EC250C" w:rsidRDefault="00711346" w:rsidP="006C70B7">
      <w:pPr>
        <w:pStyle w:val="Styl2"/>
        <w:numPr>
          <w:ilvl w:val="0"/>
          <w:numId w:val="150"/>
        </w:numPr>
        <w:spacing w:after="0" w:line="240" w:lineRule="auto"/>
        <w:ind w:left="357" w:hanging="357"/>
        <w:rPr>
          <w:szCs w:val="24"/>
        </w:rPr>
      </w:pPr>
      <w:r w:rsidRPr="00EC250C">
        <w:rPr>
          <w:szCs w:val="24"/>
        </w:rPr>
        <w:t>czy wskazanie na niewystarczającą liczbę lekarzy sądowych.</w:t>
      </w:r>
    </w:p>
    <w:p w14:paraId="30A843B8" w14:textId="77777777" w:rsidR="00711346" w:rsidRPr="00EC250C" w:rsidRDefault="00711346" w:rsidP="00D131FA">
      <w:pPr>
        <w:pStyle w:val="Styl2"/>
        <w:spacing w:before="240"/>
        <w:rPr>
          <w:szCs w:val="24"/>
        </w:rPr>
      </w:pPr>
      <w:r w:rsidRPr="00EC250C">
        <w:rPr>
          <w:rStyle w:val="Pogrubienie"/>
          <w:b/>
          <w:bCs/>
          <w:szCs w:val="24"/>
        </w:rPr>
        <w:t>W drugiej części Księgi</w:t>
      </w:r>
      <w:r w:rsidRPr="00EC250C">
        <w:rPr>
          <w:szCs w:val="24"/>
        </w:rPr>
        <w:t> mowa jest o krajowych oraz międzynarodowych wydarzeniach i spotkaniach RPO dotyczących ochrony niezależności i niezawisłości sądownictwa oraz pozostałych instytucji państwowych stojących na straży praworządności</w:t>
      </w:r>
      <w:r w:rsidRPr="00EC250C">
        <w:rPr>
          <w:rStyle w:val="Odwoanieprzypisudolnego"/>
          <w:szCs w:val="24"/>
        </w:rPr>
        <w:footnoteReference w:id="194"/>
      </w:r>
      <w:r w:rsidRPr="00EC250C">
        <w:rPr>
          <w:szCs w:val="24"/>
        </w:rPr>
        <w:t>.</w:t>
      </w:r>
    </w:p>
    <w:p w14:paraId="423AC0B0" w14:textId="77777777" w:rsidR="00D86DD2" w:rsidRPr="00EC250C" w:rsidRDefault="00D86DD2" w:rsidP="00EC250C">
      <w:pPr>
        <w:pStyle w:val="Nagwek5"/>
      </w:pPr>
      <w:r w:rsidRPr="00EC250C">
        <w:t>Procedura wyboru części członków Krajowej Rady Sądownictwa</w:t>
      </w:r>
    </w:p>
    <w:p w14:paraId="62FEE76B" w14:textId="77777777" w:rsidR="00B473F5" w:rsidRPr="00EC250C" w:rsidRDefault="00D86DD2" w:rsidP="00D131FA">
      <w:pPr>
        <w:pStyle w:val="Problemczowieka"/>
        <w:jc w:val="both"/>
      </w:pPr>
      <w:r w:rsidRPr="00EC250C">
        <w:t>Nie wiadomo, kto zgłosił kandydatów do nowej KRS</w:t>
      </w:r>
      <w:r w:rsidR="00992FD0" w:rsidRPr="00EC250C">
        <w:t xml:space="preserve"> i </w:t>
      </w:r>
      <w:r w:rsidRPr="00EC250C">
        <w:t>kto ich popierał. Nowa KRS nie reprezentuje też sądów wszystkich typów</w:t>
      </w:r>
      <w:r w:rsidR="00992FD0" w:rsidRPr="00EC250C">
        <w:t xml:space="preserve"> i </w:t>
      </w:r>
      <w:r w:rsidRPr="00EC250C">
        <w:t>szczebli</w:t>
      </w:r>
      <w:r w:rsidR="00B473F5" w:rsidRPr="00EC250C">
        <w:t>.</w:t>
      </w:r>
    </w:p>
    <w:p w14:paraId="6800D8A6" w14:textId="77777777" w:rsidR="00912BBA" w:rsidRPr="00EC250C" w:rsidRDefault="00912BBA" w:rsidP="00D131FA">
      <w:pPr>
        <w:pStyle w:val="Styl1"/>
      </w:pPr>
      <w:r w:rsidRPr="00EC250C">
        <w:rPr>
          <w:bCs/>
          <w:iCs/>
        </w:rPr>
        <w:t xml:space="preserve">2 stycznia 2018 r. weszła w życie nowelizacja ustawy o Krajowej Radzie Sądownictwa, w wyniku której politycy wybrali od nowa tę część Rady, która do tej pory była wybierana przez środowisko sędziowskie. Proces ten wzbudził liczne wątpliwości, czemu obywatele dali wyraz w </w:t>
      </w:r>
      <w:r w:rsidRPr="00EC250C">
        <w:rPr>
          <w:bCs/>
          <w:iCs/>
        </w:rPr>
        <w:lastRenderedPageBreak/>
        <w:t>skargach do Rzecznika. Sędziowie w dużej części uważali tę zmianę za naruszającą sędziowską niezawisłość, więc w efekcie na 15 miejsc do obsadzenia w nowej KRS zgłosiło się tylko 17 kandydatów. Nie było też wiadomo, kto złożył wymagane prawem podpisy pod tymi kandydaturami – czy nie są to przypadkiem osoby służbowo zależne od Ministra Sprawiedliwości, czyli przedstawiciela władzy wykonawczej. Z uwagi na konstytucją zasadę transparentności działania organów władzy publicznej (art. 61 Konstytucji) Rzecznik przystąpił do postępowania przed sądami administracyjnymi, w którym obywatele domagają się udostępnienia informacji publicznej o sędziach, którzy złożyli podpisy pod kandydaturami do KRS.</w:t>
      </w:r>
      <w:r w:rsidRPr="00EC250C">
        <w:t xml:space="preserve"> </w:t>
      </w:r>
    </w:p>
    <w:p w14:paraId="03843DE9" w14:textId="77777777" w:rsidR="00912BBA" w:rsidRPr="00EC250C" w:rsidRDefault="00912BBA" w:rsidP="00D131FA">
      <w:pPr>
        <w:pStyle w:val="ODESANIE"/>
        <w:jc w:val="both"/>
      </w:pPr>
      <w:r w:rsidRPr="00EC250C">
        <w:t>Skarga na decyzję Szefa Kancelarii Sejmu o odmowie udostępnienia informacji publicznej o kandydatach do KRS – patrz art. 61 Konstytucji.</w:t>
      </w:r>
    </w:p>
    <w:p w14:paraId="0347D2D0" w14:textId="77777777" w:rsidR="00912BBA" w:rsidRPr="00EC250C" w:rsidRDefault="00912BBA" w:rsidP="00D131FA">
      <w:pPr>
        <w:pStyle w:val="Styl1"/>
        <w:rPr>
          <w:bCs/>
          <w:iCs/>
        </w:rPr>
      </w:pPr>
      <w:r w:rsidRPr="00EC250C">
        <w:rPr>
          <w:bCs/>
          <w:iCs/>
        </w:rPr>
        <w:t>Rzecznik Praw Obywatelskich zwrócił się do Marszałka Sejmu w sprawie trwającej procedury wyboru członków KRS</w:t>
      </w:r>
      <w:r w:rsidRPr="00EC250C">
        <w:rPr>
          <w:rStyle w:val="Odwoanieprzypisudolnego"/>
          <w:iCs/>
        </w:rPr>
        <w:footnoteReference w:id="195"/>
      </w:r>
      <w:r w:rsidRPr="00EC250C">
        <w:rPr>
          <w:bCs/>
          <w:iCs/>
        </w:rPr>
        <w:t>. Rzecznik podkreślił, jak istotną – konstytucyjną – rolę pełni Krajowa Rada Sądownictwa, której zadaniem jest stanie na straży niezależności sądów i niezawisłości sędziów. Zachowanie zaś niezależności sądów i niezawisłości sędziów ma fundamentalne znaczenie dla realizacji prawa każdego do niezależnego i bezstronnego</w:t>
      </w:r>
      <w:r w:rsidR="00D8245F" w:rsidRPr="00EC250C">
        <w:rPr>
          <w:bCs/>
          <w:iCs/>
        </w:rPr>
        <w:t xml:space="preserve"> </w:t>
      </w:r>
      <w:r w:rsidRPr="00EC250C">
        <w:rPr>
          <w:bCs/>
          <w:iCs/>
        </w:rPr>
        <w:t xml:space="preserve">sądu. </w:t>
      </w:r>
    </w:p>
    <w:p w14:paraId="756F2DC1" w14:textId="77777777" w:rsidR="00912BBA" w:rsidRPr="00EC250C" w:rsidRDefault="00912BBA" w:rsidP="00D131FA">
      <w:pPr>
        <w:pStyle w:val="Styl1"/>
        <w:rPr>
          <w:bCs/>
          <w:iCs/>
        </w:rPr>
      </w:pPr>
      <w:r w:rsidRPr="00EC250C">
        <w:rPr>
          <w:bCs/>
          <w:iCs/>
        </w:rPr>
        <w:t>Rzecznik miał też wątpliwości, czy nowa KRS będzie legalna, ponieważ nie zgłosili się do niej przedstawiciele różnych rodzajów i szczebli sądownictwa. W nowej KRS nie zasiadł ani jeden przedstawiciel sądów apelacyjnych czy też Sądu Najwyższego, ale także sądu wojskowego.</w:t>
      </w:r>
    </w:p>
    <w:p w14:paraId="453B4E29" w14:textId="77777777" w:rsidR="00C91F6E" w:rsidRPr="00EC250C" w:rsidRDefault="00912BBA" w:rsidP="00EC250C">
      <w:pPr>
        <w:pStyle w:val="Nagwek5"/>
      </w:pPr>
      <w:r w:rsidRPr="00EC250C">
        <w:t xml:space="preserve">Szef Kancelarii Sejmu uznał jednak, że problemu nie ma: owszem, KRS powinna reprezentować wszystkie typy sądów, ale nie jest to wymóg bezwzględny. </w:t>
      </w:r>
      <w:r w:rsidR="00D86DD2" w:rsidRPr="00EC250C">
        <w:t>Wakaty na stanowiskach sędziowskich</w:t>
      </w:r>
      <w:r w:rsidR="00992FD0" w:rsidRPr="00EC250C">
        <w:t xml:space="preserve"> i </w:t>
      </w:r>
      <w:r w:rsidR="00D86DD2" w:rsidRPr="00EC250C">
        <w:t>referendarskich</w:t>
      </w:r>
      <w:r w:rsidR="00992FD0" w:rsidRPr="00EC250C">
        <w:t xml:space="preserve"> w </w:t>
      </w:r>
      <w:r w:rsidR="00D86DD2" w:rsidRPr="00EC250C">
        <w:t>sądach powszechnych</w:t>
      </w:r>
    </w:p>
    <w:p w14:paraId="0F324DD8" w14:textId="77777777" w:rsidR="00B473F5" w:rsidRPr="00EC250C" w:rsidRDefault="00D86DD2" w:rsidP="00D131FA">
      <w:pPr>
        <w:pStyle w:val="Problemczowieka"/>
        <w:jc w:val="both"/>
        <w:rPr>
          <w:lang w:eastAsia="en-US"/>
        </w:rPr>
      </w:pPr>
      <w:r w:rsidRPr="00EC250C">
        <w:rPr>
          <w:lang w:eastAsia="en-US"/>
        </w:rPr>
        <w:t>Czekając na wybór nowej KRS Minister Sprawiedliwości nie obsadzał wakatów</w:t>
      </w:r>
      <w:r w:rsidR="00992FD0" w:rsidRPr="00EC250C">
        <w:rPr>
          <w:lang w:eastAsia="en-US"/>
        </w:rPr>
        <w:t xml:space="preserve"> w </w:t>
      </w:r>
      <w:r w:rsidRPr="00EC250C">
        <w:rPr>
          <w:lang w:eastAsia="en-US"/>
        </w:rPr>
        <w:t>sądach, przez co postępowania przed nimi jeszcze bardziej się wydłużały</w:t>
      </w:r>
      <w:r w:rsidRPr="00EC250C">
        <w:rPr>
          <w:rStyle w:val="Odwoanieprzypisudolnego"/>
          <w:lang w:eastAsia="en-US"/>
        </w:rPr>
        <w:footnoteReference w:id="196"/>
      </w:r>
      <w:r w:rsidR="00B473F5" w:rsidRPr="00EC250C">
        <w:rPr>
          <w:lang w:eastAsia="en-US"/>
        </w:rPr>
        <w:t>.</w:t>
      </w:r>
    </w:p>
    <w:p w14:paraId="17E10DDF" w14:textId="77777777" w:rsidR="00912BBA" w:rsidRPr="00EC250C" w:rsidRDefault="00912BBA" w:rsidP="00D131FA">
      <w:pPr>
        <w:pStyle w:val="Styl1"/>
        <w:rPr>
          <w:bCs/>
          <w:iCs/>
          <w:lang w:eastAsia="en-US"/>
        </w:rPr>
      </w:pPr>
      <w:r w:rsidRPr="00EC250C">
        <w:rPr>
          <w:bCs/>
          <w:iCs/>
          <w:lang w:eastAsia="en-US"/>
        </w:rPr>
        <w:t>W ocenie większości sędziów zamrożenie etatów oraz ciągłe zmiany w ustawach sądowych stanowią główne przyczyny narastania przewlekłości postępowań sądowych. Rzecznik w wystąpieniu skierowanym do Ministra Sprawiedliwości wskazywał, że kwestia sprawnego obsadzania zwolnionych stanowisk sędziowskich ma fundamentalne znaczenie dla efektywnego funkcjonowania wymiaru sprawiedliwości, a w konsekwencji dla skuteczności konstytucyjnego prawa do sądu. Podkreślił przy tym, iż obwieszczenie w „Monitorze Polskim” o wolnych stanowiskach sędziowskich powinno nastąpić bez nieuzasadnionej zwłoki. W 2018 r. Rzecznik ponownie zwrócił się do Ministra Sprawiedliwości w tej sprawie. Warto dodać, że również w</w:t>
      </w:r>
      <w:r w:rsidRPr="00EC250C">
        <w:t xml:space="preserve"> podejmowanych przez sędziów wyrażono stanowisko, że zmiany w ustawach o sądownictwie i </w:t>
      </w:r>
      <w:r w:rsidRPr="00EC250C">
        <w:lastRenderedPageBreak/>
        <w:t>nieobsadzanie wolnych stanowisk sędziowskich przyczynia się do przewlekłości postępowań sądowych.</w:t>
      </w:r>
    </w:p>
    <w:p w14:paraId="2FDDD28B" w14:textId="77777777" w:rsidR="00C91F6E" w:rsidRPr="00EC250C" w:rsidRDefault="00D86DD2" w:rsidP="00D131FA">
      <w:pPr>
        <w:pStyle w:val="Styl1"/>
        <w:rPr>
          <w:bCs/>
          <w:iCs/>
          <w:lang w:eastAsia="en-US"/>
        </w:rPr>
      </w:pPr>
      <w:r w:rsidRPr="00EC250C">
        <w:rPr>
          <w:bCs/>
          <w:iCs/>
          <w:lang w:eastAsia="en-US"/>
        </w:rPr>
        <w:t>Minister poinformował, że</w:t>
      </w:r>
      <w:r w:rsidR="00992FD0" w:rsidRPr="00EC250C">
        <w:rPr>
          <w:bCs/>
          <w:iCs/>
          <w:lang w:eastAsia="en-US"/>
        </w:rPr>
        <w:t xml:space="preserve"> w </w:t>
      </w:r>
      <w:r w:rsidRPr="00EC250C">
        <w:rPr>
          <w:bCs/>
          <w:iCs/>
          <w:lang w:eastAsia="en-US"/>
        </w:rPr>
        <w:t>celu zapewnienia obsady na zwolnionych stanowiskach sędziowskich do dnia 5 września 2018</w:t>
      </w:r>
      <w:r w:rsidR="00C91F6E" w:rsidRPr="00EC250C">
        <w:rPr>
          <w:bCs/>
          <w:iCs/>
          <w:lang w:eastAsia="en-US"/>
        </w:rPr>
        <w:t> r.</w:t>
      </w:r>
      <w:r w:rsidRPr="00EC250C">
        <w:rPr>
          <w:bCs/>
          <w:iCs/>
          <w:lang w:eastAsia="en-US"/>
        </w:rPr>
        <w:t xml:space="preserve"> obwieścił, że 631</w:t>
      </w:r>
      <w:r w:rsidR="00992FD0" w:rsidRPr="00EC250C">
        <w:rPr>
          <w:bCs/>
          <w:iCs/>
          <w:lang w:eastAsia="en-US"/>
        </w:rPr>
        <w:t xml:space="preserve"> z </w:t>
      </w:r>
      <w:r w:rsidRPr="00EC250C">
        <w:rPr>
          <w:bCs/>
          <w:iCs/>
          <w:lang w:eastAsia="en-US"/>
        </w:rPr>
        <w:t>nich jest wolnych,</w:t>
      </w:r>
      <w:r w:rsidR="00992FD0" w:rsidRPr="00EC250C">
        <w:rPr>
          <w:bCs/>
          <w:iCs/>
          <w:lang w:eastAsia="en-US"/>
        </w:rPr>
        <w:t xml:space="preserve"> a </w:t>
      </w:r>
      <w:r w:rsidRPr="00EC250C">
        <w:rPr>
          <w:bCs/>
          <w:iCs/>
          <w:lang w:eastAsia="en-US"/>
        </w:rPr>
        <w:t>informacje</w:t>
      </w:r>
      <w:r w:rsidR="00992FD0" w:rsidRPr="00EC250C">
        <w:rPr>
          <w:bCs/>
          <w:iCs/>
          <w:lang w:eastAsia="en-US"/>
        </w:rPr>
        <w:t xml:space="preserve"> o </w:t>
      </w:r>
      <w:r w:rsidRPr="00EC250C">
        <w:rPr>
          <w:bCs/>
          <w:iCs/>
          <w:lang w:eastAsia="en-US"/>
        </w:rPr>
        <w:t>zwalnianych stanowiskach są kierowane na bieżąco do publikacji</w:t>
      </w:r>
      <w:r w:rsidR="00992FD0" w:rsidRPr="00EC250C">
        <w:rPr>
          <w:bCs/>
          <w:iCs/>
          <w:lang w:eastAsia="en-US"/>
        </w:rPr>
        <w:t xml:space="preserve"> w </w:t>
      </w:r>
      <w:r w:rsidRPr="00EC250C">
        <w:rPr>
          <w:bCs/>
          <w:iCs/>
          <w:lang w:eastAsia="en-US"/>
        </w:rPr>
        <w:t>Monitorze Polskim.</w:t>
      </w:r>
    </w:p>
    <w:p w14:paraId="6BE2F09D" w14:textId="77777777" w:rsidR="00C91F6E" w:rsidRPr="00EC250C" w:rsidRDefault="00D86DD2" w:rsidP="00D131FA">
      <w:pPr>
        <w:pStyle w:val="Styl1"/>
        <w:rPr>
          <w:bCs/>
          <w:iCs/>
          <w:lang w:eastAsia="en-US"/>
        </w:rPr>
      </w:pPr>
      <w:r w:rsidRPr="00EC250C">
        <w:rPr>
          <w:bCs/>
          <w:iCs/>
          <w:lang w:eastAsia="en-US"/>
        </w:rPr>
        <w:t>Poza tym obsada na stanowiskach orzeczniczych jest tylko jednym</w:t>
      </w:r>
      <w:r w:rsidR="00992FD0" w:rsidRPr="00EC250C">
        <w:rPr>
          <w:bCs/>
          <w:iCs/>
          <w:lang w:eastAsia="en-US"/>
        </w:rPr>
        <w:t xml:space="preserve"> z </w:t>
      </w:r>
      <w:r w:rsidRPr="00EC250C">
        <w:rPr>
          <w:bCs/>
          <w:iCs/>
          <w:lang w:eastAsia="en-US"/>
        </w:rPr>
        <w:t>wielu czynników mających wpływ na wyniki pracy sądów. W resorcie sprawiedliwości zostały opracowane projekty zmian</w:t>
      </w:r>
      <w:r w:rsidR="00992FD0" w:rsidRPr="00EC250C">
        <w:rPr>
          <w:bCs/>
          <w:iCs/>
          <w:lang w:eastAsia="en-US"/>
        </w:rPr>
        <w:t xml:space="preserve"> w </w:t>
      </w:r>
      <w:r w:rsidRPr="00EC250C">
        <w:rPr>
          <w:bCs/>
          <w:iCs/>
          <w:lang w:eastAsia="en-US"/>
        </w:rPr>
        <w:t>procedurach cywilnej</w:t>
      </w:r>
      <w:r w:rsidR="00992FD0" w:rsidRPr="00EC250C">
        <w:rPr>
          <w:bCs/>
          <w:iCs/>
          <w:lang w:eastAsia="en-US"/>
        </w:rPr>
        <w:t xml:space="preserve"> i </w:t>
      </w:r>
      <w:r w:rsidRPr="00EC250C">
        <w:rPr>
          <w:bCs/>
          <w:iCs/>
          <w:lang w:eastAsia="en-US"/>
        </w:rPr>
        <w:t>karnej, które powinny skrócić czas trwania postępowań</w:t>
      </w:r>
      <w:r w:rsidRPr="00EC250C">
        <w:rPr>
          <w:rStyle w:val="Odwoanieprzypisudolnego"/>
          <w:iCs/>
          <w:lang w:eastAsia="en-US"/>
        </w:rPr>
        <w:footnoteReference w:id="197"/>
      </w:r>
      <w:r w:rsidRPr="00EC250C">
        <w:rPr>
          <w:bCs/>
          <w:iCs/>
          <w:lang w:eastAsia="en-US"/>
        </w:rPr>
        <w:t>.</w:t>
      </w:r>
    </w:p>
    <w:p w14:paraId="7C35BA3B" w14:textId="77777777" w:rsidR="00D86DD2" w:rsidRPr="00EC250C" w:rsidRDefault="00D86DD2" w:rsidP="00EC250C">
      <w:pPr>
        <w:pStyle w:val="Nagwek5"/>
      </w:pPr>
      <w:r w:rsidRPr="00EC250C">
        <w:t>Ograniczenia dostępu do służby publicznej wobec sędziów, asesorów</w:t>
      </w:r>
      <w:r w:rsidR="00992FD0" w:rsidRPr="00EC250C">
        <w:t xml:space="preserve"> i </w:t>
      </w:r>
      <w:r w:rsidRPr="00EC250C">
        <w:t>ławników posiadających dodatkowe obywatelstwo</w:t>
      </w:r>
    </w:p>
    <w:p w14:paraId="34366BBC" w14:textId="77777777" w:rsidR="00B473F5" w:rsidRPr="00EC250C" w:rsidRDefault="00D86DD2" w:rsidP="00D131FA">
      <w:pPr>
        <w:pStyle w:val="Problemczowieka"/>
        <w:jc w:val="both"/>
        <w:rPr>
          <w:lang w:eastAsia="en-US"/>
        </w:rPr>
      </w:pPr>
      <w:r w:rsidRPr="00EC250C">
        <w:rPr>
          <w:lang w:eastAsia="en-US"/>
        </w:rPr>
        <w:t>Sędzia, który ma dwa obywatelstwa, do 3 października 2018</w:t>
      </w:r>
      <w:r w:rsidR="00C91F6E" w:rsidRPr="00EC250C">
        <w:rPr>
          <w:lang w:eastAsia="en-US"/>
        </w:rPr>
        <w:t> r.</w:t>
      </w:r>
      <w:r w:rsidRPr="00EC250C">
        <w:rPr>
          <w:lang w:eastAsia="en-US"/>
        </w:rPr>
        <w:t xml:space="preserve"> musiał się drugiego obywatelstwa zrzec pod rygorem utraty prawa do orzekania. W lipcu 2018</w:t>
      </w:r>
      <w:r w:rsidR="00C91F6E" w:rsidRPr="00EC250C">
        <w:rPr>
          <w:lang w:eastAsia="en-US"/>
        </w:rPr>
        <w:t> r.</w:t>
      </w:r>
      <w:r w:rsidRPr="00EC250C">
        <w:rPr>
          <w:lang w:eastAsia="en-US"/>
        </w:rPr>
        <w:t xml:space="preserve"> dostał jednak prawo poproszenia nowej KRS</w:t>
      </w:r>
      <w:r w:rsidR="00992FD0" w:rsidRPr="00EC250C">
        <w:rPr>
          <w:lang w:eastAsia="en-US"/>
        </w:rPr>
        <w:t xml:space="preserve"> o </w:t>
      </w:r>
      <w:r w:rsidRPr="00EC250C">
        <w:rPr>
          <w:lang w:eastAsia="en-US"/>
        </w:rPr>
        <w:t xml:space="preserve">zrobienie dla niego wyjątku. Jednocześnie </w:t>
      </w:r>
      <w:r w:rsidR="00907A50" w:rsidRPr="00EC250C">
        <w:rPr>
          <w:lang w:eastAsia="en-US"/>
        </w:rPr>
        <w:t>Minister</w:t>
      </w:r>
      <w:r w:rsidRPr="00EC250C">
        <w:rPr>
          <w:lang w:eastAsia="en-US"/>
        </w:rPr>
        <w:t xml:space="preserve"> </w:t>
      </w:r>
      <w:r w:rsidR="00907A50" w:rsidRPr="00EC250C">
        <w:rPr>
          <w:lang w:eastAsia="en-US"/>
        </w:rPr>
        <w:t>S</w:t>
      </w:r>
      <w:r w:rsidRPr="00EC250C">
        <w:rPr>
          <w:lang w:eastAsia="en-US"/>
        </w:rPr>
        <w:t>prawiedliwości zaczął zbierać oświadczenia od sędziów</w:t>
      </w:r>
      <w:r w:rsidR="00992FD0" w:rsidRPr="00EC250C">
        <w:rPr>
          <w:lang w:eastAsia="en-US"/>
        </w:rPr>
        <w:t xml:space="preserve"> o </w:t>
      </w:r>
      <w:r w:rsidRPr="00EC250C">
        <w:rPr>
          <w:lang w:eastAsia="en-US"/>
        </w:rPr>
        <w:t>tym, jakie obywatelstwa mają</w:t>
      </w:r>
      <w:r w:rsidR="00B473F5" w:rsidRPr="00EC250C">
        <w:rPr>
          <w:lang w:eastAsia="en-US"/>
        </w:rPr>
        <w:t>.</w:t>
      </w:r>
    </w:p>
    <w:p w14:paraId="26CFE058" w14:textId="77777777" w:rsidR="00D86DD2" w:rsidRPr="00EC250C" w:rsidRDefault="00D86DD2" w:rsidP="00D131FA">
      <w:pPr>
        <w:pStyle w:val="Styl1"/>
        <w:rPr>
          <w:bCs/>
          <w:iCs/>
          <w:lang w:eastAsia="en-US"/>
        </w:rPr>
      </w:pPr>
      <w:r w:rsidRPr="00EC250C">
        <w:rPr>
          <w:bCs/>
          <w:iCs/>
          <w:lang w:eastAsia="en-US"/>
        </w:rPr>
        <w:t>3 kwietnia 2018</w:t>
      </w:r>
      <w:r w:rsidR="00C91F6E" w:rsidRPr="00EC250C">
        <w:rPr>
          <w:bCs/>
          <w:iCs/>
          <w:lang w:eastAsia="en-US"/>
        </w:rPr>
        <w:t> r.</w:t>
      </w:r>
      <w:r w:rsidRPr="00EC250C">
        <w:rPr>
          <w:bCs/>
          <w:iCs/>
          <w:lang w:eastAsia="en-US"/>
        </w:rPr>
        <w:t xml:space="preserve"> weszła</w:t>
      </w:r>
      <w:r w:rsidR="00992FD0" w:rsidRPr="00EC250C">
        <w:rPr>
          <w:bCs/>
          <w:iCs/>
          <w:lang w:eastAsia="en-US"/>
        </w:rPr>
        <w:t xml:space="preserve"> w </w:t>
      </w:r>
      <w:r w:rsidRPr="00EC250C">
        <w:rPr>
          <w:bCs/>
          <w:iCs/>
          <w:lang w:eastAsia="en-US"/>
        </w:rPr>
        <w:t>życie ustawa</w:t>
      </w:r>
      <w:r w:rsidR="00992FD0" w:rsidRPr="00EC250C">
        <w:rPr>
          <w:bCs/>
          <w:iCs/>
          <w:lang w:eastAsia="en-US"/>
        </w:rPr>
        <w:t xml:space="preserve"> o </w:t>
      </w:r>
      <w:r w:rsidRPr="00EC250C">
        <w:rPr>
          <w:bCs/>
          <w:iCs/>
          <w:lang w:eastAsia="en-US"/>
        </w:rPr>
        <w:t>Sądzie Najwyższym</w:t>
      </w:r>
      <w:r w:rsidRPr="00EC250C">
        <w:rPr>
          <w:rStyle w:val="Odwoanieprzypisudolnego"/>
          <w:iCs/>
          <w:lang w:eastAsia="en-US"/>
        </w:rPr>
        <w:footnoteReference w:id="198"/>
      </w:r>
      <w:r w:rsidRPr="00EC250C">
        <w:rPr>
          <w:bCs/>
          <w:iCs/>
          <w:lang w:eastAsia="en-US"/>
        </w:rPr>
        <w:t>, której przepisy prowadzą do ograniczenia dostępu do służby publicznej wobec sędziów, asesorów</w:t>
      </w:r>
      <w:r w:rsidR="00992FD0" w:rsidRPr="00EC250C">
        <w:rPr>
          <w:bCs/>
          <w:iCs/>
          <w:lang w:eastAsia="en-US"/>
        </w:rPr>
        <w:t xml:space="preserve"> i </w:t>
      </w:r>
      <w:r w:rsidRPr="00EC250C">
        <w:rPr>
          <w:bCs/>
          <w:iCs/>
          <w:lang w:eastAsia="en-US"/>
        </w:rPr>
        <w:t>ławników, którzy mają także inne niż polskie obywatelstwo. Dawała pół roku na zrzeczenie się innego obywatelstwa</w:t>
      </w:r>
      <w:r w:rsidR="002D7C73" w:rsidRPr="00EC250C">
        <w:rPr>
          <w:bCs/>
          <w:iCs/>
          <w:lang w:eastAsia="en-US"/>
        </w:rPr>
        <w:t>.</w:t>
      </w:r>
    </w:p>
    <w:p w14:paraId="0FDE49AB" w14:textId="77777777" w:rsidR="002D7C73" w:rsidRPr="00EC250C" w:rsidRDefault="002D7C73" w:rsidP="00D131FA">
      <w:pPr>
        <w:pStyle w:val="Styl1"/>
        <w:rPr>
          <w:bCs/>
          <w:iCs/>
          <w:lang w:eastAsia="en-US"/>
        </w:rPr>
      </w:pPr>
      <w:r w:rsidRPr="00EC250C">
        <w:t>Ograniczenie to dotyczy także każdego, kto chciałby zostać sędzią –</w:t>
      </w:r>
      <w:r w:rsidR="00992FD0" w:rsidRPr="00EC250C">
        <w:t xml:space="preserve"> a </w:t>
      </w:r>
      <w:r w:rsidRPr="00EC250C">
        <w:t>także adwokatów, radców prawnych czy notariuszy, którzy chcieliby się</w:t>
      </w:r>
      <w:r w:rsidR="00992FD0" w:rsidRPr="00EC250C">
        <w:t xml:space="preserve"> o </w:t>
      </w:r>
      <w:r w:rsidRPr="00EC250C">
        <w:t>takie stanowisko ubiegać.</w:t>
      </w:r>
    </w:p>
    <w:p w14:paraId="5DBCD35A" w14:textId="77777777" w:rsidR="00912BBA" w:rsidRPr="00EC250C" w:rsidRDefault="00912BBA" w:rsidP="00D131FA">
      <w:pPr>
        <w:pStyle w:val="Styl1"/>
        <w:rPr>
          <w:bCs/>
          <w:iCs/>
          <w:lang w:eastAsia="en-US"/>
        </w:rPr>
      </w:pPr>
      <w:r w:rsidRPr="00EC250C">
        <w:rPr>
          <w:bCs/>
          <w:iCs/>
          <w:lang w:eastAsia="en-US"/>
        </w:rPr>
        <w:t>Rzecznik wskazywał, że taki zakaz wobec osób już piastujących urząd jest niezgodny ze standardami wynikającymi z art. 60 i art. 32 Konstytucji. Poza tym sędziego nie można składać z urzędu ustawą, a tylko na mocy</w:t>
      </w:r>
      <w:r w:rsidRPr="00EC250C">
        <w:rPr>
          <w:b/>
          <w:bCs/>
          <w:iCs/>
          <w:lang w:eastAsia="en-US"/>
        </w:rPr>
        <w:t xml:space="preserve"> </w:t>
      </w:r>
      <w:r w:rsidRPr="00EC250C">
        <w:rPr>
          <w:bCs/>
          <w:iCs/>
          <w:lang w:eastAsia="en-US"/>
        </w:rPr>
        <w:t>orzeczenia sądu. Rzecznik zwrócił się do Premiera o osobiste zainteresowanie się kwestią</w:t>
      </w:r>
      <w:r w:rsidRPr="00EC250C">
        <w:rPr>
          <w:rStyle w:val="Odwoanieprzypisudolnego"/>
          <w:iCs/>
          <w:lang w:eastAsia="en-US"/>
        </w:rPr>
        <w:footnoteReference w:id="199"/>
      </w:r>
      <w:r w:rsidRPr="00EC250C">
        <w:rPr>
          <w:bCs/>
          <w:iCs/>
          <w:lang w:eastAsia="en-US"/>
        </w:rPr>
        <w:t>.</w:t>
      </w:r>
    </w:p>
    <w:p w14:paraId="3005004F" w14:textId="77777777" w:rsidR="00D86DD2" w:rsidRPr="00EC250C" w:rsidRDefault="00912BBA" w:rsidP="00D131FA">
      <w:pPr>
        <w:pStyle w:val="Styl1"/>
        <w:rPr>
          <w:bCs/>
          <w:iCs/>
          <w:lang w:eastAsia="en-US"/>
        </w:rPr>
      </w:pPr>
      <w:r w:rsidRPr="00EC250C">
        <w:rPr>
          <w:bCs/>
          <w:iCs/>
          <w:lang w:eastAsia="en-US"/>
        </w:rPr>
        <w:t xml:space="preserve">Natomiast w piśmie do Generalnego Inspektora Ochrony Danych Osobowych Rzecznik poinformował, iż z doniesień medialnych i skarg wpływających do Biura RPO wynika, że Ministerstwo Sprawiedliwości zbiera od sędziów oświadczenia o posiadanym obywatelstwie. </w:t>
      </w:r>
      <w:r w:rsidR="00907A50" w:rsidRPr="00EC250C">
        <w:rPr>
          <w:bCs/>
          <w:iCs/>
          <w:lang w:eastAsia="en-US"/>
        </w:rPr>
        <w:t>P</w:t>
      </w:r>
      <w:r w:rsidRPr="00EC250C">
        <w:rPr>
          <w:bCs/>
          <w:iCs/>
          <w:lang w:eastAsia="en-US"/>
        </w:rPr>
        <w:t xml:space="preserve">rzetwarza w ten sposób dane osobowe bez podstawy prawnej, bowiem ustawa o SN nie </w:t>
      </w:r>
      <w:r w:rsidR="00907A50" w:rsidRPr="00EC250C">
        <w:rPr>
          <w:bCs/>
          <w:iCs/>
          <w:lang w:eastAsia="en-US"/>
        </w:rPr>
        <w:t xml:space="preserve">daje </w:t>
      </w:r>
      <w:r w:rsidRPr="00EC250C">
        <w:rPr>
          <w:bCs/>
          <w:iCs/>
          <w:lang w:eastAsia="en-US"/>
        </w:rPr>
        <w:t>podstawy do gromadzenia tego typu danych przez Ministra. Prezes GIODO obiecała interwencję, a Minister Sprawiedliwości poinformował, że nowy warunek jednego obywatelstwa dla sędziego jest uzasadniony ze względu na zadania, jakie stoją przed sędziami</w:t>
      </w:r>
      <w:r w:rsidRPr="00EC250C">
        <w:rPr>
          <w:rStyle w:val="Odwoanieprzypisudolnego"/>
          <w:iCs/>
          <w:lang w:eastAsia="en-US"/>
        </w:rPr>
        <w:footnoteReference w:id="200"/>
      </w:r>
      <w:r w:rsidRPr="00EC250C">
        <w:rPr>
          <w:bCs/>
          <w:iCs/>
          <w:lang w:eastAsia="en-US"/>
        </w:rPr>
        <w:t>.</w:t>
      </w:r>
    </w:p>
    <w:p w14:paraId="4AE99DA8" w14:textId="77777777" w:rsidR="00C91F6E" w:rsidRPr="00EC250C" w:rsidRDefault="00D86DD2" w:rsidP="00EC250C">
      <w:pPr>
        <w:pStyle w:val="Nagwek5"/>
      </w:pPr>
      <w:r w:rsidRPr="00EC250C">
        <w:lastRenderedPageBreak/>
        <w:t>Wybór sędziów, którzy mają pełnić funkcję sędziego sądu dyscyplinarnego przy sądzie apelacyjnym bez ich zgody</w:t>
      </w:r>
    </w:p>
    <w:p w14:paraId="7F521064" w14:textId="77777777" w:rsidR="00B473F5" w:rsidRPr="00EC250C" w:rsidRDefault="00D86DD2" w:rsidP="00D131FA">
      <w:pPr>
        <w:pStyle w:val="Problemczowieka"/>
        <w:jc w:val="both"/>
      </w:pPr>
      <w:r w:rsidRPr="00EC250C">
        <w:t>Minister Sprawiedliwości wybiera sędziów do sądu dyscyplinarnego przy sądzie apelacyjnym, bez uzyskania ich zgody,</w:t>
      </w:r>
      <w:r w:rsidR="00992FD0" w:rsidRPr="00EC250C">
        <w:t xml:space="preserve"> a </w:t>
      </w:r>
      <w:r w:rsidRPr="00EC250C">
        <w:t>następnie przesyła listy tych sędziów do Krajowej Rady Sądownictwa</w:t>
      </w:r>
      <w:r w:rsidR="00992FD0" w:rsidRPr="00EC250C">
        <w:t xml:space="preserve"> w </w:t>
      </w:r>
      <w:r w:rsidRPr="00EC250C">
        <w:t>celu uzyskania opinii</w:t>
      </w:r>
      <w:r w:rsidR="00B473F5" w:rsidRPr="00EC250C">
        <w:t>.</w:t>
      </w:r>
    </w:p>
    <w:p w14:paraId="0A4BCEC8" w14:textId="77777777" w:rsidR="00912BBA" w:rsidRPr="00EC250C" w:rsidRDefault="00912BBA" w:rsidP="00D131FA">
      <w:pPr>
        <w:pStyle w:val="Styl1"/>
        <w:rPr>
          <w:bCs/>
          <w:iCs/>
        </w:rPr>
      </w:pPr>
      <w:bookmarkStart w:id="226" w:name="_Toc6257728"/>
      <w:r w:rsidRPr="00EC250C">
        <w:rPr>
          <w:bCs/>
          <w:iCs/>
        </w:rPr>
        <w:t>Rzecznik wskazał, że na skutek wprowadzonych zmian w ustawach sądowych dochodzi w ten sposób do podważenia niezawisłości sędziów i to w sposób dwojaki. Po pierwsze, poprzez zamknięcie sędziemu drogi do odwołania się od takiej arbitralnej decyzji Ministra. Po drugie, zaangażowanie sędziów sądów powszechnych w obowiązki</w:t>
      </w:r>
      <w:r w:rsidRPr="00EC250C">
        <w:rPr>
          <w:b/>
          <w:bCs/>
          <w:iCs/>
        </w:rPr>
        <w:t xml:space="preserve"> </w:t>
      </w:r>
      <w:r w:rsidRPr="00EC250C">
        <w:rPr>
          <w:bCs/>
          <w:iCs/>
        </w:rPr>
        <w:t>sędziów dyscyplinarnych może prowadzić do zwiększenia przewlekłości</w:t>
      </w:r>
      <w:r w:rsidRPr="00EC250C">
        <w:rPr>
          <w:b/>
          <w:bCs/>
          <w:iCs/>
        </w:rPr>
        <w:t xml:space="preserve"> </w:t>
      </w:r>
      <w:r w:rsidRPr="00EC250C">
        <w:rPr>
          <w:bCs/>
          <w:iCs/>
        </w:rPr>
        <w:t>postępowań sądowych.</w:t>
      </w:r>
    </w:p>
    <w:p w14:paraId="19488B47" w14:textId="77777777" w:rsidR="00912BBA" w:rsidRPr="00EC250C" w:rsidRDefault="00912BBA" w:rsidP="00D131FA">
      <w:pPr>
        <w:pStyle w:val="Styl1"/>
        <w:rPr>
          <w:bCs/>
          <w:iCs/>
        </w:rPr>
      </w:pPr>
      <w:r w:rsidRPr="00EC250C">
        <w:rPr>
          <w:bCs/>
          <w:iCs/>
        </w:rPr>
        <w:t>Zdaniem Ministra Sprawiedliwości zarówno w stanie prawnym sprzed nowelizacji, jak i teraz, przepisy przewidywały i przewidują kompetencję Ministra Sprawiedliwości do powierzania sędziom określonych funkcji, np. prezesa sądu. Zatem rozwiązanie, w którym obowiązki w sądzie dyscyplinarnym powierza Minister Sprawiedliwości nie może być uznane za niezgodne z Konstytucją</w:t>
      </w:r>
      <w:r w:rsidRPr="00EC250C">
        <w:rPr>
          <w:rStyle w:val="Odwoanieprzypisudolnego"/>
          <w:iCs/>
        </w:rPr>
        <w:t xml:space="preserve"> </w:t>
      </w:r>
      <w:r w:rsidRPr="00EC250C">
        <w:rPr>
          <w:rStyle w:val="Odwoanieprzypisudolnego"/>
          <w:iCs/>
        </w:rPr>
        <w:footnoteReference w:id="201"/>
      </w:r>
      <w:r w:rsidRPr="00EC250C">
        <w:rPr>
          <w:bCs/>
          <w:iCs/>
        </w:rPr>
        <w:t>. Rzecznik nie podzielił tego stanowiska, jednak z uwagi na brak dalszych środków działania zakończył badanie tej sprawy.</w:t>
      </w:r>
    </w:p>
    <w:p w14:paraId="0F13D440" w14:textId="77777777" w:rsidR="00C91F6E" w:rsidRPr="00EC250C" w:rsidRDefault="00D86DD2" w:rsidP="00EC79EB">
      <w:pPr>
        <w:pStyle w:val="Nagwek4"/>
      </w:pPr>
      <w:bookmarkStart w:id="227" w:name="_Toc11247620"/>
      <w:r w:rsidRPr="00EC250C">
        <w:t>Status prokuratury. Wycofanie przez RPO wniosku do Trybunału Konstytucyjnego</w:t>
      </w:r>
      <w:bookmarkEnd w:id="226"/>
      <w:bookmarkEnd w:id="227"/>
    </w:p>
    <w:p w14:paraId="06C24A3C" w14:textId="77777777" w:rsidR="00B473F5" w:rsidRPr="00EC250C" w:rsidRDefault="00D86DD2" w:rsidP="00D131FA">
      <w:pPr>
        <w:pStyle w:val="Problemczowieka"/>
        <w:jc w:val="both"/>
      </w:pPr>
      <w:r w:rsidRPr="00EC250C">
        <w:t>W 2018</w:t>
      </w:r>
      <w:r w:rsidR="00C91F6E" w:rsidRPr="00EC250C">
        <w:t> r.</w:t>
      </w:r>
      <w:r w:rsidRPr="00EC250C">
        <w:t xml:space="preserve"> Rzecznik Praw Obywatelskich wycofał swój wniosek</w:t>
      </w:r>
      <w:r w:rsidR="00992FD0" w:rsidRPr="00EC250C">
        <w:t xml:space="preserve"> z </w:t>
      </w:r>
      <w:r w:rsidRPr="00EC250C">
        <w:t>2016</w:t>
      </w:r>
      <w:r w:rsidR="00C91F6E" w:rsidRPr="00EC250C">
        <w:t> r.</w:t>
      </w:r>
      <w:r w:rsidR="00992FD0" w:rsidRPr="00EC250C">
        <w:t xml:space="preserve"> w </w:t>
      </w:r>
      <w:r w:rsidRPr="00EC250C">
        <w:t>sprawie ustawy</w:t>
      </w:r>
      <w:r w:rsidR="00992FD0" w:rsidRPr="00EC250C">
        <w:t xml:space="preserve"> o </w:t>
      </w:r>
      <w:r w:rsidRPr="00EC250C">
        <w:t>prokuraturze. Zagrożenia dla praw</w:t>
      </w:r>
      <w:r w:rsidR="00992FD0" w:rsidRPr="00EC250C">
        <w:t xml:space="preserve"> i </w:t>
      </w:r>
      <w:r w:rsidRPr="00EC250C">
        <w:t>wolności obywateli nie ustały, jednak zdaniem RPO osądzenie tej sprawy przez TK nie jest możliwe</w:t>
      </w:r>
      <w:r w:rsidR="00B473F5" w:rsidRPr="00EC250C">
        <w:t>.</w:t>
      </w:r>
    </w:p>
    <w:p w14:paraId="66A68F00" w14:textId="77777777" w:rsidR="00D86DD2" w:rsidRPr="00EC250C" w:rsidRDefault="0030270C" w:rsidP="00D131FA">
      <w:pPr>
        <w:pStyle w:val="Styl1"/>
      </w:pPr>
      <w:r w:rsidRPr="00EC250C">
        <w:t>Obowiązująca od 2016</w:t>
      </w:r>
      <w:r w:rsidR="00C91F6E" w:rsidRPr="00EC250C">
        <w:t> r.</w:t>
      </w:r>
      <w:r w:rsidRPr="00EC250C">
        <w:t xml:space="preserve"> </w:t>
      </w:r>
      <w:r w:rsidR="00D86DD2" w:rsidRPr="00EC250C">
        <w:t>ustawa nadała ogromne uprawnienia politykowi</w:t>
      </w:r>
      <w:r w:rsidRPr="00EC250C">
        <w:t>:</w:t>
      </w:r>
      <w:r w:rsidR="00D86DD2" w:rsidRPr="00EC250C">
        <w:t xml:space="preserve"> </w:t>
      </w:r>
      <w:r w:rsidRPr="00EC250C">
        <w:t>m</w:t>
      </w:r>
      <w:r w:rsidR="00D86DD2" w:rsidRPr="00EC250C">
        <w:t>inister sprawiedliwości może bezpośrednio wpływać na prowadzenie konkretnych spraw, decydować</w:t>
      </w:r>
      <w:r w:rsidR="00992FD0" w:rsidRPr="00EC250C">
        <w:t xml:space="preserve"> o </w:t>
      </w:r>
      <w:r w:rsidR="00D86DD2" w:rsidRPr="00EC250C">
        <w:t>zatrzymaniu czy przeszukaniu. Może</w:t>
      </w:r>
      <w:r w:rsidR="00992FD0" w:rsidRPr="00EC250C">
        <w:t xml:space="preserve"> o </w:t>
      </w:r>
      <w:r w:rsidR="00D86DD2" w:rsidRPr="00EC250C">
        <w:t>tym informować media,</w:t>
      </w:r>
      <w:r w:rsidR="00992FD0" w:rsidRPr="00EC250C">
        <w:t xml:space="preserve"> a </w:t>
      </w:r>
      <w:r w:rsidR="00D86DD2" w:rsidRPr="00EC250C">
        <w:t>także może ujawniać tajemnicę śledztwa osobom, które nie pełnią żadnych funkcji publicznych.</w:t>
      </w:r>
    </w:p>
    <w:p w14:paraId="1EC8DD7A" w14:textId="77777777" w:rsidR="00912BBA" w:rsidRPr="00EC250C" w:rsidRDefault="00912BBA" w:rsidP="00D131FA">
      <w:pPr>
        <w:pStyle w:val="Styl1"/>
      </w:pPr>
      <w:bookmarkStart w:id="228" w:name="_Toc6257729"/>
      <w:r w:rsidRPr="00EC250C">
        <w:t xml:space="preserve">Rzecznik uznał, że nie ma podstawy prawnej do zmniejszenia składu. Ponadto żaden przepis nie uprawnia do dowolnej zmiany już wyznaczonego składu orzekającego. </w:t>
      </w:r>
      <w:r w:rsidR="00D8245F" w:rsidRPr="00EC250C">
        <w:t xml:space="preserve">Warto pamiętać, że </w:t>
      </w:r>
      <w:r w:rsidRPr="00EC250C">
        <w:t>Wojewódzki Sąd Administracyjny w Warszawie</w:t>
      </w:r>
      <w:r w:rsidRPr="00EC250C">
        <w:rPr>
          <w:rStyle w:val="Odwoanieprzypisudolnego"/>
        </w:rPr>
        <w:footnoteReference w:id="202"/>
      </w:r>
      <w:r w:rsidRPr="00EC250C">
        <w:t xml:space="preserve"> stwierdził w wyroku, że gdy w pięcioosobowym składzie TK brała udział osoba, która w świetle wyroków TK nie jest sędzią Trybunału, możemy mieć do czynienia z ewentualną przesłanką nieważności wyroku z uwagi na nienależną obsadę sądu lub z wyrokiem nieistniejącym</w:t>
      </w:r>
      <w:r w:rsidRPr="00EC250C">
        <w:rPr>
          <w:rStyle w:val="Odwoanieprzypisudolnego"/>
        </w:rPr>
        <w:footnoteReference w:id="203"/>
      </w:r>
      <w:r w:rsidRPr="00EC250C">
        <w:t>.</w:t>
      </w:r>
    </w:p>
    <w:p w14:paraId="1AE54912" w14:textId="77777777" w:rsidR="00912BBA" w:rsidRPr="00EC250C" w:rsidRDefault="00912BBA" w:rsidP="00EC79EB">
      <w:pPr>
        <w:pStyle w:val="Nagwek4"/>
      </w:pPr>
      <w:bookmarkStart w:id="229" w:name="_Toc9514913"/>
      <w:bookmarkStart w:id="230" w:name="_Toc11247621"/>
      <w:bookmarkEnd w:id="228"/>
      <w:r w:rsidRPr="00EC250C">
        <w:lastRenderedPageBreak/>
        <w:t>Skutki zmian</w:t>
      </w:r>
      <w:r w:rsidR="00237B47" w:rsidRPr="00EC250C">
        <w:t xml:space="preserve"> działania </w:t>
      </w:r>
      <w:r w:rsidRPr="00EC250C">
        <w:t>Trybunału Konstytucyjnego</w:t>
      </w:r>
      <w:bookmarkEnd w:id="229"/>
      <w:bookmarkEnd w:id="230"/>
      <w:r w:rsidRPr="00EC250C">
        <w:t xml:space="preserve"> </w:t>
      </w:r>
    </w:p>
    <w:p w14:paraId="6930F068" w14:textId="77777777" w:rsidR="00B473F5" w:rsidRPr="00EC250C" w:rsidRDefault="00912BBA" w:rsidP="00D131FA">
      <w:pPr>
        <w:pStyle w:val="Problemczowieka"/>
        <w:jc w:val="both"/>
      </w:pPr>
      <w:r w:rsidRPr="00EC250C">
        <w:t>Od początku 2017 r. Trybunał Konstytucyjny istotnie zmienił zasady swojego działania. Zmiany te mają wpływ na realizację prawa obywateli. Z tego powodu RPO wycofywał w 2018 r. swoje wnioski, które wcześniej złożył do TK</w:t>
      </w:r>
      <w:r w:rsidRPr="00EC250C">
        <w:rPr>
          <w:rStyle w:val="Odwoanieprzypisudolnego"/>
          <w:sz w:val="22"/>
          <w:szCs w:val="22"/>
        </w:rPr>
        <w:footnoteReference w:id="204"/>
      </w:r>
      <w:r w:rsidR="00B473F5" w:rsidRPr="00EC250C">
        <w:t>.</w:t>
      </w:r>
    </w:p>
    <w:p w14:paraId="1583C0D1" w14:textId="77777777" w:rsidR="00912BBA" w:rsidRPr="00EC250C" w:rsidRDefault="00912BBA" w:rsidP="00D131FA">
      <w:pPr>
        <w:pStyle w:val="Styl1"/>
      </w:pPr>
      <w:r w:rsidRPr="00EC250C">
        <w:t>W 2018 r. RPO wycofał z Trybunału wnioski:</w:t>
      </w:r>
    </w:p>
    <w:p w14:paraId="7A88CF24" w14:textId="77777777" w:rsidR="00912BBA" w:rsidRPr="00EC250C" w:rsidRDefault="00912BBA" w:rsidP="006C70B7">
      <w:pPr>
        <w:pStyle w:val="Styl1"/>
        <w:numPr>
          <w:ilvl w:val="0"/>
          <w:numId w:val="40"/>
        </w:numPr>
        <w:ind w:left="720"/>
        <w:rPr>
          <w:rFonts w:ascii="Open Sans Regular" w:hAnsi="Open Sans Regular"/>
        </w:rPr>
      </w:pPr>
      <w:r w:rsidRPr="00EC250C">
        <w:t>w sprawie ustawy inwigilacyjnej (chodzi o przepisy, które naruszają kluczowe prawa i wolności obywatelskie, gwarantowane przez Konstytucję RP i prawo europejskie; RPO nie widzi jednak szansy na niezależne i merytoryczne rozpoznanie tej sprawy przez Trybunał</w:t>
      </w:r>
      <w:r w:rsidRPr="00EC250C">
        <w:rPr>
          <w:rStyle w:val="Odwoanieprzypisudolnego"/>
        </w:rPr>
        <w:footnoteReference w:id="205"/>
      </w:r>
      <w:r w:rsidRPr="00EC250C">
        <w:t>;</w:t>
      </w:r>
    </w:p>
    <w:p w14:paraId="6D7F8146" w14:textId="77777777" w:rsidR="00912BBA" w:rsidRPr="00EC250C" w:rsidRDefault="00912BBA" w:rsidP="006C70B7">
      <w:pPr>
        <w:pStyle w:val="Styl1"/>
        <w:numPr>
          <w:ilvl w:val="0"/>
          <w:numId w:val="40"/>
        </w:numPr>
        <w:ind w:left="720"/>
      </w:pPr>
      <w:r w:rsidRPr="00EC250C">
        <w:t xml:space="preserve">w sprawie „owoców zatrutego drzewa” </w:t>
      </w:r>
      <w:r w:rsidRPr="00EC250C">
        <w:rPr>
          <w:bdr w:val="none" w:sz="0" w:space="0" w:color="auto" w:frame="1"/>
        </w:rPr>
        <w:t xml:space="preserve">– sprawa dopuszczania przed sądem dowodów zdobytych nielegalnie przez służby specjalne </w:t>
      </w:r>
      <w:r w:rsidRPr="00EC250C">
        <w:t>(w składzie orzekającym zasiadła osoba, która nie jest sędzią</w:t>
      </w:r>
      <w:r w:rsidRPr="00EC250C">
        <w:rPr>
          <w:rStyle w:val="Odwoanieprzypisudolnego"/>
        </w:rPr>
        <w:footnoteReference w:id="206"/>
      </w:r>
      <w:r w:rsidRPr="00EC250C">
        <w:t xml:space="preserve"> Trybunału Konstytucyjnego)</w:t>
      </w:r>
      <w:r w:rsidRPr="00EC250C">
        <w:rPr>
          <w:rStyle w:val="Odwoanieprzypisudolnego"/>
        </w:rPr>
        <w:footnoteReference w:id="207"/>
      </w:r>
      <w:r w:rsidRPr="00EC250C">
        <w:t>;</w:t>
      </w:r>
    </w:p>
    <w:p w14:paraId="4F8F5B88" w14:textId="77777777" w:rsidR="00912BBA" w:rsidRPr="00EC250C" w:rsidRDefault="00912BBA" w:rsidP="006C70B7">
      <w:pPr>
        <w:pStyle w:val="Styl1"/>
        <w:numPr>
          <w:ilvl w:val="0"/>
          <w:numId w:val="40"/>
        </w:numPr>
        <w:ind w:left="720"/>
      </w:pPr>
      <w:r w:rsidRPr="00EC250C">
        <w:t xml:space="preserve">w sprawie ustawy o działaniach antyterrorystycznych, która dała służbom </w:t>
      </w:r>
      <w:r w:rsidRPr="00EC250C">
        <w:rPr>
          <w:rStyle w:val="Pogrubienie"/>
        </w:rPr>
        <w:t>możliwość nieograniczonego zbierania, bez żadnej realnej kontroli, danych o aktywności obywateli w internecie oraz bilingów telefonicznych</w:t>
      </w:r>
      <w:r w:rsidRPr="00EC250C">
        <w:t xml:space="preserve"> (w składzie orzekającym TK były trzy osoby nieuprawnione do orzekania);</w:t>
      </w:r>
      <w:r w:rsidRPr="00EC250C">
        <w:rPr>
          <w:rStyle w:val="Odwoanieprzypisudolnego"/>
        </w:rPr>
        <w:t xml:space="preserve"> </w:t>
      </w:r>
      <w:r w:rsidRPr="00EC250C">
        <w:rPr>
          <w:rStyle w:val="Odwoanieprzypisudolnego"/>
        </w:rPr>
        <w:footnoteReference w:id="208"/>
      </w:r>
    </w:p>
    <w:p w14:paraId="49B7490C" w14:textId="77777777" w:rsidR="00912BBA" w:rsidRPr="00EC250C" w:rsidRDefault="00912BBA" w:rsidP="006C70B7">
      <w:pPr>
        <w:pStyle w:val="Styl1"/>
        <w:numPr>
          <w:ilvl w:val="0"/>
          <w:numId w:val="40"/>
        </w:numPr>
        <w:ind w:left="720"/>
      </w:pPr>
      <w:r w:rsidRPr="00EC250C">
        <w:rPr>
          <w:b/>
        </w:rPr>
        <w:t>w sprawie zgody następczej na wykorzystanie podsłuchu jako materiału procesowego</w:t>
      </w:r>
      <w:r w:rsidRPr="00EC250C">
        <w:t xml:space="preserve">, która </w:t>
      </w:r>
      <w:r w:rsidRPr="00EC250C">
        <w:rPr>
          <w:shd w:val="clear" w:color="auto" w:fill="FFFFFF"/>
        </w:rPr>
        <w:t>może teraz dotyczyć już nie tylko przestępstwa, w stosunku do którego sąd może zarządzić inwigilację, lecz każdego przestępstwa ściganego z urzędu lub przestępstwa skarbowego</w:t>
      </w:r>
      <w:r w:rsidRPr="00EC250C">
        <w:t xml:space="preserve"> (w składzie orzekającym TK były dwie osoby nieuprawnione do orzekania);</w:t>
      </w:r>
      <w:r w:rsidRPr="00EC250C">
        <w:rPr>
          <w:rStyle w:val="Odwoanieprzypisudolnego"/>
        </w:rPr>
        <w:footnoteReference w:id="209"/>
      </w:r>
    </w:p>
    <w:p w14:paraId="177A26A1" w14:textId="77777777" w:rsidR="00D86DD2" w:rsidRPr="00EC250C" w:rsidRDefault="00912BBA" w:rsidP="006C70B7">
      <w:pPr>
        <w:pStyle w:val="Styl1"/>
        <w:numPr>
          <w:ilvl w:val="0"/>
          <w:numId w:val="40"/>
        </w:numPr>
        <w:ind w:left="720"/>
      </w:pPr>
      <w:r w:rsidRPr="00EC250C">
        <w:t>w opisanej wyżej sprawie ustawy – Prawo o prokuraturze.</w:t>
      </w:r>
    </w:p>
    <w:p w14:paraId="4428BD17" w14:textId="77777777" w:rsidR="00D86DD2" w:rsidRPr="00EC250C" w:rsidRDefault="00D86DD2" w:rsidP="00EC250C">
      <w:pPr>
        <w:pStyle w:val="Nagwek8"/>
      </w:pPr>
      <w:r w:rsidRPr="00EC250C">
        <w:t>W czerwcu 2018</w:t>
      </w:r>
      <w:r w:rsidR="00C91F6E" w:rsidRPr="00EC250C">
        <w:t> r.</w:t>
      </w:r>
      <w:r w:rsidRPr="00EC250C">
        <w:t xml:space="preserve"> rząd opublikował</w:t>
      </w:r>
      <w:r w:rsidR="00992FD0" w:rsidRPr="00EC250C">
        <w:t xml:space="preserve"> w </w:t>
      </w:r>
      <w:r w:rsidRPr="00EC250C">
        <w:rPr>
          <w:rStyle w:val="Nagwek1Znak"/>
          <w:rFonts w:ascii="EB Garamond 08 Regular" w:eastAsiaTheme="majorEastAsia" w:hAnsi="EB Garamond 08 Regular"/>
          <w:b/>
          <w:spacing w:val="5"/>
          <w:sz w:val="28"/>
          <w:szCs w:val="24"/>
          <w:lang w:eastAsia="en-US"/>
        </w:rPr>
        <w:t>Dzienniku Ustaw trzy wyroki Trybunału Konstytucyjnego</w:t>
      </w:r>
      <w:r w:rsidR="00992FD0" w:rsidRPr="00EC250C">
        <w:rPr>
          <w:rStyle w:val="Nagwek1Znak"/>
          <w:rFonts w:ascii="EB Garamond 08 Regular" w:eastAsiaTheme="majorEastAsia" w:hAnsi="EB Garamond 08 Regular"/>
          <w:b/>
          <w:spacing w:val="5"/>
          <w:sz w:val="28"/>
          <w:szCs w:val="24"/>
          <w:lang w:eastAsia="en-US"/>
        </w:rPr>
        <w:t xml:space="preserve"> z </w:t>
      </w:r>
      <w:r w:rsidRPr="00EC250C">
        <w:rPr>
          <w:rStyle w:val="Nagwek1Znak"/>
          <w:rFonts w:ascii="EB Garamond 08 Regular" w:eastAsiaTheme="majorEastAsia" w:hAnsi="EB Garamond 08 Regular"/>
          <w:b/>
          <w:spacing w:val="5"/>
          <w:sz w:val="28"/>
          <w:szCs w:val="24"/>
          <w:lang w:eastAsia="en-US"/>
        </w:rPr>
        <w:t>2016 roku</w:t>
      </w:r>
    </w:p>
    <w:p w14:paraId="69EAE396" w14:textId="77777777" w:rsidR="00912BBA" w:rsidRPr="00EC250C" w:rsidRDefault="00912BBA" w:rsidP="00D131FA">
      <w:pPr>
        <w:pStyle w:val="Styl2"/>
        <w:rPr>
          <w:szCs w:val="24"/>
        </w:rPr>
      </w:pPr>
      <w:r w:rsidRPr="00EC250C">
        <w:rPr>
          <w:szCs w:val="24"/>
        </w:rPr>
        <w:t>W 2017 r. Rzecznik wskazywał na negatywne konsekwencje niepublikowania wyroków Trybunału Konstytucyjnego, co stanowi jaskrawe pogwałcenie Konstytucji, w tym</w:t>
      </w:r>
      <w:r w:rsidR="00D8245F" w:rsidRPr="00EC250C">
        <w:rPr>
          <w:szCs w:val="24"/>
        </w:rPr>
        <w:t xml:space="preserve"> </w:t>
      </w:r>
      <w:r w:rsidRPr="00EC250C">
        <w:rPr>
          <w:szCs w:val="24"/>
        </w:rPr>
        <w:t>podział orzeczeń Trybunału Konstytucyjnego na wyroki oraz „rozstrzygnięcia”, który</w:t>
      </w:r>
      <w:r w:rsidR="00D8245F" w:rsidRPr="00EC250C">
        <w:rPr>
          <w:szCs w:val="24"/>
        </w:rPr>
        <w:t xml:space="preserve"> </w:t>
      </w:r>
      <w:r w:rsidRPr="00EC250C">
        <w:rPr>
          <w:szCs w:val="24"/>
        </w:rPr>
        <w:t>w istocie prowadził do dokonywania oceny orzeczeń TK przez organ władzy ustawodawczej i wskazywanie, które z orzeczeń zostały „podjęte z naruszeniem ustawy”.</w:t>
      </w:r>
      <w:r w:rsidRPr="00EC250C">
        <w:rPr>
          <w:rStyle w:val="Odwoanieprzypisudolnego"/>
          <w:szCs w:val="24"/>
        </w:rPr>
        <w:footnoteReference w:id="210"/>
      </w:r>
    </w:p>
    <w:p w14:paraId="7329CF3A" w14:textId="77777777" w:rsidR="00912BBA" w:rsidRPr="00EC250C" w:rsidRDefault="00912BBA" w:rsidP="00D131FA">
      <w:pPr>
        <w:pStyle w:val="Styl2"/>
        <w:rPr>
          <w:szCs w:val="24"/>
        </w:rPr>
      </w:pPr>
      <w:r w:rsidRPr="00EC250C">
        <w:rPr>
          <w:szCs w:val="24"/>
        </w:rPr>
        <w:t xml:space="preserve">W 2018 r. wyroki, o które upominał się RPO, zostały opublikowane w Dzienniku Ustaw. Było to </w:t>
      </w:r>
      <w:r w:rsidRPr="00EC250C">
        <w:rPr>
          <w:rStyle w:val="Nagwek1Znak"/>
          <w:rFonts w:eastAsia="Calibri"/>
          <w:b/>
          <w:spacing w:val="0"/>
          <w:sz w:val="22"/>
          <w:szCs w:val="24"/>
          <w:lang w:eastAsia="zh-CN"/>
        </w:rPr>
        <w:t>wynikiem kwietniowej nowelizacji przepisów o Trybunale</w:t>
      </w:r>
      <w:r w:rsidRPr="00EC250C">
        <w:rPr>
          <w:szCs w:val="24"/>
        </w:rPr>
        <w:t xml:space="preserve"> Konstytucyjnym, w związku z </w:t>
      </w:r>
      <w:r w:rsidRPr="00EC250C">
        <w:rPr>
          <w:szCs w:val="24"/>
        </w:rPr>
        <w:lastRenderedPageBreak/>
        <w:t>postepowaniem, jakie rozpoczęła Komisja Europejska na podstawie art. 7 Traktatu o Unii Europejskiej</w:t>
      </w:r>
      <w:r w:rsidRPr="00EC250C">
        <w:rPr>
          <w:rStyle w:val="Nagwek1Znak"/>
          <w:rFonts w:eastAsia="Calibri"/>
          <w:b/>
          <w:spacing w:val="0"/>
          <w:sz w:val="22"/>
          <w:szCs w:val="24"/>
          <w:lang w:eastAsia="zh-CN"/>
        </w:rPr>
        <w:t>.</w:t>
      </w:r>
    </w:p>
    <w:p w14:paraId="25FFC6D4" w14:textId="77777777" w:rsidR="00912BBA" w:rsidRPr="00EC250C" w:rsidRDefault="00912BBA" w:rsidP="00D131FA">
      <w:pPr>
        <w:pStyle w:val="Styl2"/>
        <w:rPr>
          <w:szCs w:val="24"/>
        </w:rPr>
      </w:pPr>
      <w:r w:rsidRPr="00EC250C">
        <w:rPr>
          <w:rStyle w:val="Styl1Znak"/>
          <w:rFonts w:eastAsia="Calibri"/>
          <w:spacing w:val="0"/>
          <w:szCs w:val="24"/>
          <w:lang w:eastAsia="zh-CN"/>
        </w:rPr>
        <w:t xml:space="preserve">Uchwalona 12 kwietnia 2018 r. nowelizacja przepisów wprowadzających ustawę o organizacji i trybie postępowania przed Trybunałem Konstytucyjnym oraz ustawy o statusie sędziów Trybunału Konstytucyjnego weszła w życie 23 maja 2018 r. </w:t>
      </w:r>
    </w:p>
    <w:p w14:paraId="607B7613" w14:textId="77777777" w:rsidR="00912BBA" w:rsidRPr="00EC250C" w:rsidRDefault="00912BBA" w:rsidP="00D131FA">
      <w:pPr>
        <w:pStyle w:val="Styl2"/>
        <w:rPr>
          <w:szCs w:val="24"/>
        </w:rPr>
      </w:pPr>
      <w:bookmarkStart w:id="231" w:name="_Toc5264827"/>
      <w:r w:rsidRPr="00EC250C">
        <w:rPr>
          <w:szCs w:val="24"/>
        </w:rPr>
        <w:t>Pierwsze z opublikowanych orzeczeń</w:t>
      </w:r>
      <w:bookmarkEnd w:id="231"/>
      <w:r w:rsidRPr="00EC250C">
        <w:rPr>
          <w:szCs w:val="24"/>
        </w:rPr>
        <w:t xml:space="preserve"> - z 9 marca 2016 roku dotyczyło - noweli ustawy o Trybunale Konstytucyjnym z grudnia 2015 roku. Trybunał zakwestionował wówczas między innymi określenie przez nowelę pełnego składu TK jako co najmniej 13 sędziów; wymóg większości 2/3 głosów dla jego orzeczeń; nakaz rozpatrywania wniosków przez TK według kolejności wpływu; wydłużenie terminów rozpatrywania spraw przez TK; możliwość wygaszania mandatu sędziego TK przez Sejm oraz brak w noweli </w:t>
      </w:r>
      <w:r w:rsidRPr="00EC250C">
        <w:rPr>
          <w:i/>
          <w:szCs w:val="24"/>
        </w:rPr>
        <w:t>vacatio legis</w:t>
      </w:r>
      <w:r w:rsidRPr="00EC250C">
        <w:rPr>
          <w:szCs w:val="24"/>
        </w:rPr>
        <w:t xml:space="preserve">. </w:t>
      </w:r>
    </w:p>
    <w:p w14:paraId="7B6DA68B" w14:textId="77777777" w:rsidR="00912BBA" w:rsidRPr="00EC250C" w:rsidRDefault="00912BBA" w:rsidP="00D131FA">
      <w:pPr>
        <w:pStyle w:val="Styl2"/>
        <w:rPr>
          <w:szCs w:val="24"/>
        </w:rPr>
      </w:pPr>
      <w:r w:rsidRPr="00EC250C">
        <w:rPr>
          <w:szCs w:val="24"/>
        </w:rPr>
        <w:t xml:space="preserve">Drugie </w:t>
      </w:r>
      <w:r w:rsidRPr="00EC250C">
        <w:rPr>
          <w:rStyle w:val="Nagwek1Znak"/>
          <w:rFonts w:eastAsia="Calibri"/>
          <w:b/>
          <w:spacing w:val="0"/>
          <w:sz w:val="22"/>
          <w:szCs w:val="24"/>
          <w:lang w:eastAsia="zh-CN"/>
        </w:rPr>
        <w:t>orzeczenie - z 11 sierpnia 2016 roku - dotyczyło ustawy o Trybunale Konstytucyjnym z lipca 2016 roku. TK uznał wtedy za niekonstytucyjne między innymi: zasadę badania wniosków w kolejności wpływu; możliwość blokowania wyroku pełnego składu przez czterech sędziów nawet przez pół roku; zobowiązanie prezesa TK, by dopuścił do orzekania trzech sędziów wybranych przez obecny Sejm; wyłączenie wyroku TK z 9 marca z obowiązku urzędowej publikacji; postanowienie, że prezes TK „kieruje wniosek” o ogłoszenie wyroku do premiera.</w:t>
      </w:r>
    </w:p>
    <w:p w14:paraId="389B1510" w14:textId="77777777" w:rsidR="00912BBA" w:rsidRPr="00EC250C" w:rsidRDefault="00912BBA" w:rsidP="00D131FA">
      <w:pPr>
        <w:pStyle w:val="Styl2"/>
        <w:rPr>
          <w:szCs w:val="24"/>
        </w:rPr>
      </w:pPr>
      <w:r w:rsidRPr="00EC250C">
        <w:rPr>
          <w:szCs w:val="24"/>
        </w:rPr>
        <w:t xml:space="preserve">Trzecie </w:t>
      </w:r>
      <w:r w:rsidRPr="00EC250C">
        <w:rPr>
          <w:rStyle w:val="Nagwek1Znak"/>
          <w:rFonts w:eastAsia="Calibri"/>
          <w:b/>
          <w:spacing w:val="0"/>
          <w:sz w:val="22"/>
          <w:szCs w:val="24"/>
          <w:lang w:eastAsia="zh-CN"/>
        </w:rPr>
        <w:t xml:space="preserve">orzeczenie </w:t>
      </w:r>
      <w:r w:rsidRPr="00EC250C">
        <w:rPr>
          <w:szCs w:val="24"/>
        </w:rPr>
        <w:t xml:space="preserve">- </w:t>
      </w:r>
      <w:r w:rsidRPr="00EC250C">
        <w:rPr>
          <w:rStyle w:val="Nagwek1Znak"/>
          <w:rFonts w:eastAsia="Calibri"/>
          <w:b/>
          <w:spacing w:val="0"/>
          <w:sz w:val="22"/>
          <w:szCs w:val="24"/>
          <w:lang w:eastAsia="zh-CN"/>
        </w:rPr>
        <w:t xml:space="preserve">z 7 listopada 2016 r. </w:t>
      </w:r>
      <w:r w:rsidRPr="00EC250C">
        <w:rPr>
          <w:szCs w:val="24"/>
        </w:rPr>
        <w:t xml:space="preserve">- </w:t>
      </w:r>
      <w:r w:rsidRPr="00EC250C">
        <w:rPr>
          <w:rStyle w:val="Nagwek1Znak"/>
          <w:rFonts w:eastAsia="Calibri"/>
          <w:b/>
          <w:spacing w:val="0"/>
          <w:sz w:val="22"/>
          <w:szCs w:val="24"/>
          <w:lang w:eastAsia="zh-CN"/>
        </w:rPr>
        <w:t xml:space="preserve">odnosiło się do przepisów dotyczących wyłaniania kandydatów na prezesa Trybunału - z lipca 2016 roku. </w:t>
      </w:r>
    </w:p>
    <w:p w14:paraId="3083D650" w14:textId="77777777" w:rsidR="00D86DD2" w:rsidRPr="00EC250C" w:rsidRDefault="00D86DD2" w:rsidP="00D131FA">
      <w:pPr>
        <w:pStyle w:val="ODESANIE"/>
        <w:ind w:left="357"/>
        <w:jc w:val="both"/>
      </w:pPr>
      <w:r w:rsidRPr="00EC250C">
        <w:t>Problem publikowania przez Trybunał</w:t>
      </w:r>
      <w:r w:rsidR="00992FD0" w:rsidRPr="00EC250C">
        <w:t xml:space="preserve"> w </w:t>
      </w:r>
      <w:r w:rsidRPr="00EC250C">
        <w:t>wyrokach wrażliwych danych skarżących opisany jest przy art. 51 Konstytucji</w:t>
      </w:r>
    </w:p>
    <w:p w14:paraId="4CC18A30" w14:textId="77777777" w:rsidR="00D86DD2" w:rsidRPr="00EC250C" w:rsidRDefault="00D86DD2" w:rsidP="00D131FA">
      <w:pPr>
        <w:pStyle w:val="ODESANIE"/>
        <w:ind w:left="357"/>
        <w:jc w:val="both"/>
      </w:pPr>
      <w:r w:rsidRPr="00EC250C">
        <w:rPr>
          <w:rFonts w:ascii="Segoe UI Symbol" w:hAnsi="Segoe UI Symbol" w:cs="Segoe UI Symbol"/>
        </w:rPr>
        <w:t>☞</w:t>
      </w:r>
      <w:r w:rsidRPr="00EC250C">
        <w:t xml:space="preserve"> Informacje statystyczne dotyczące spraw skierowanych do Trybunału Konstytucyjnego przez RPO znajdują się</w:t>
      </w:r>
      <w:r w:rsidR="00992FD0" w:rsidRPr="00EC250C">
        <w:t xml:space="preserve"> w </w:t>
      </w:r>
      <w:r w:rsidRPr="00EC250C">
        <w:t>Załączniku nr 1 do Informacji</w:t>
      </w:r>
    </w:p>
    <w:p w14:paraId="37DF2616" w14:textId="77777777" w:rsidR="00D86DD2" w:rsidRPr="00EC250C" w:rsidRDefault="00D86DD2" w:rsidP="00EC79EB">
      <w:pPr>
        <w:pStyle w:val="Nagwek4"/>
      </w:pPr>
      <w:bookmarkStart w:id="232" w:name="_Toc6257730"/>
      <w:bookmarkStart w:id="233" w:name="_Toc11247622"/>
      <w:r w:rsidRPr="00EC250C">
        <w:t>Próby poprawiania efektywności wymiaru sprawiedliwości</w:t>
      </w:r>
      <w:bookmarkEnd w:id="232"/>
      <w:bookmarkEnd w:id="233"/>
    </w:p>
    <w:p w14:paraId="06C4DAE2" w14:textId="77777777" w:rsidR="00C91F6E" w:rsidRPr="00EC250C" w:rsidRDefault="00D86DD2" w:rsidP="00EC250C">
      <w:pPr>
        <w:pStyle w:val="Nagwek5"/>
      </w:pPr>
      <w:r w:rsidRPr="00EC250C">
        <w:t>Ustawa</w:t>
      </w:r>
      <w:r w:rsidR="00992FD0" w:rsidRPr="00EC250C">
        <w:t xml:space="preserve"> o </w:t>
      </w:r>
      <w:r w:rsidRPr="00EC250C">
        <w:t>biegłych sądowych</w:t>
      </w:r>
    </w:p>
    <w:p w14:paraId="490DCF1E" w14:textId="77777777" w:rsidR="00B473F5" w:rsidRPr="00EC250C" w:rsidRDefault="00D86DD2" w:rsidP="00D131FA">
      <w:pPr>
        <w:pStyle w:val="Problemczowieka"/>
        <w:jc w:val="both"/>
      </w:pPr>
      <w:r w:rsidRPr="00EC250C">
        <w:t>Ponieważ biegłych brakuje, postępowania sądowe trwają dłużej. Strony kwestionują też często kompetencje biegłych</w:t>
      </w:r>
      <w:r w:rsidR="00B473F5" w:rsidRPr="00EC250C">
        <w:t>.</w:t>
      </w:r>
    </w:p>
    <w:p w14:paraId="31CF8286" w14:textId="77777777" w:rsidR="00C91F6E" w:rsidRPr="00EC250C" w:rsidRDefault="00D86DD2" w:rsidP="00D131FA">
      <w:pPr>
        <w:pStyle w:val="Styl1"/>
        <w:rPr>
          <w:bCs/>
          <w:iCs/>
        </w:rPr>
      </w:pPr>
      <w:r w:rsidRPr="00EC250C">
        <w:rPr>
          <w:bCs/>
          <w:iCs/>
        </w:rPr>
        <w:t xml:space="preserve">W ubiegłych latach Rzecznik </w:t>
      </w:r>
      <w:r w:rsidR="007447EE" w:rsidRPr="00EC250C">
        <w:rPr>
          <w:bCs/>
          <w:iCs/>
        </w:rPr>
        <w:t xml:space="preserve">Praw Obywatelskich </w:t>
      </w:r>
      <w:r w:rsidRPr="00EC250C">
        <w:rPr>
          <w:bCs/>
          <w:iCs/>
        </w:rPr>
        <w:t>wielokrotnie kierował do Ministra Sprawiedliwości postulat uchwalenia kompleksowej ustawy</w:t>
      </w:r>
      <w:r w:rsidR="00992FD0" w:rsidRPr="00EC250C">
        <w:rPr>
          <w:bCs/>
          <w:iCs/>
        </w:rPr>
        <w:t xml:space="preserve"> o </w:t>
      </w:r>
      <w:r w:rsidRPr="00EC250C">
        <w:rPr>
          <w:bCs/>
          <w:iCs/>
        </w:rPr>
        <w:t>biegłych sądowych. Ministerstwo Sprawiedliwości zapewniało, że dostrzega problem</w:t>
      </w:r>
      <w:r w:rsidR="00992FD0" w:rsidRPr="00EC250C">
        <w:rPr>
          <w:bCs/>
          <w:iCs/>
        </w:rPr>
        <w:t xml:space="preserve"> i </w:t>
      </w:r>
      <w:r w:rsidRPr="00EC250C">
        <w:rPr>
          <w:bCs/>
          <w:iCs/>
        </w:rPr>
        <w:t>że projekt ustawy przygotuje. Niestety nie wiadomo, czy taki projekt istnieje,</w:t>
      </w:r>
      <w:r w:rsidR="00992FD0" w:rsidRPr="00EC250C">
        <w:rPr>
          <w:bCs/>
          <w:iCs/>
        </w:rPr>
        <w:t xml:space="preserve"> a </w:t>
      </w:r>
      <w:r w:rsidRPr="00EC250C">
        <w:rPr>
          <w:bCs/>
          <w:iCs/>
        </w:rPr>
        <w:t xml:space="preserve">jeśli tak – to na jakim jest etapie. </w:t>
      </w:r>
      <w:r w:rsidR="007447EE" w:rsidRPr="00EC250C">
        <w:rPr>
          <w:bCs/>
          <w:iCs/>
        </w:rPr>
        <w:t xml:space="preserve">RPO </w:t>
      </w:r>
      <w:r w:rsidRPr="00EC250C">
        <w:rPr>
          <w:bCs/>
          <w:iCs/>
        </w:rPr>
        <w:t>ponownie zwrócił się więc</w:t>
      </w:r>
      <w:r w:rsidR="00992FD0" w:rsidRPr="00EC250C">
        <w:rPr>
          <w:bCs/>
          <w:iCs/>
        </w:rPr>
        <w:t xml:space="preserve"> o </w:t>
      </w:r>
      <w:r w:rsidRPr="00EC250C">
        <w:rPr>
          <w:bCs/>
          <w:iCs/>
        </w:rPr>
        <w:t>przyspieszenie prac nad ustawą. Skierował też pismo</w:t>
      </w:r>
      <w:r w:rsidR="00992FD0" w:rsidRPr="00EC250C">
        <w:rPr>
          <w:bCs/>
          <w:iCs/>
        </w:rPr>
        <w:t xml:space="preserve"> w </w:t>
      </w:r>
      <w:r w:rsidRPr="00EC250C">
        <w:rPr>
          <w:bCs/>
          <w:iCs/>
        </w:rPr>
        <w:t>tej sprawie do premiera</w:t>
      </w:r>
      <w:r w:rsidRPr="00EC250C">
        <w:rPr>
          <w:rStyle w:val="Odwoanieprzypisudolnego"/>
          <w:iCs/>
        </w:rPr>
        <w:footnoteReference w:id="211"/>
      </w:r>
      <w:r w:rsidRPr="00EC250C">
        <w:rPr>
          <w:bCs/>
          <w:iCs/>
        </w:rPr>
        <w:t>.</w:t>
      </w:r>
    </w:p>
    <w:p w14:paraId="00CF133E" w14:textId="77777777" w:rsidR="00D86DD2" w:rsidRPr="00EC250C" w:rsidRDefault="00D86DD2" w:rsidP="00D131FA">
      <w:pPr>
        <w:pStyle w:val="Styl1"/>
        <w:rPr>
          <w:bCs/>
          <w:iCs/>
        </w:rPr>
      </w:pPr>
      <w:r w:rsidRPr="00EC250C">
        <w:rPr>
          <w:bCs/>
          <w:iCs/>
        </w:rPr>
        <w:t>Natomiast</w:t>
      </w:r>
      <w:r w:rsidR="00992FD0" w:rsidRPr="00EC250C">
        <w:rPr>
          <w:bCs/>
          <w:iCs/>
        </w:rPr>
        <w:t xml:space="preserve"> w </w:t>
      </w:r>
      <w:r w:rsidRPr="00EC250C">
        <w:rPr>
          <w:bCs/>
          <w:iCs/>
        </w:rPr>
        <w:t>wystąpieniu do Dyrektora Krajowej Szkoły Sądownictwa</w:t>
      </w:r>
      <w:r w:rsidR="00992FD0" w:rsidRPr="00EC250C">
        <w:rPr>
          <w:bCs/>
          <w:iCs/>
        </w:rPr>
        <w:t xml:space="preserve"> i </w:t>
      </w:r>
      <w:r w:rsidRPr="00EC250C">
        <w:rPr>
          <w:bCs/>
          <w:iCs/>
        </w:rPr>
        <w:t xml:space="preserve">Prokuratury </w:t>
      </w:r>
      <w:r w:rsidR="007447EE" w:rsidRPr="00EC250C">
        <w:rPr>
          <w:bCs/>
          <w:iCs/>
        </w:rPr>
        <w:t>RPO</w:t>
      </w:r>
      <w:r w:rsidRPr="00EC250C">
        <w:rPr>
          <w:bCs/>
          <w:iCs/>
        </w:rPr>
        <w:t xml:space="preserve"> podniósł kwestię zbyt częstego</w:t>
      </w:r>
      <w:r w:rsidR="00992FD0" w:rsidRPr="00EC250C">
        <w:rPr>
          <w:bCs/>
          <w:iCs/>
        </w:rPr>
        <w:t xml:space="preserve"> i </w:t>
      </w:r>
      <w:r w:rsidRPr="00EC250C">
        <w:rPr>
          <w:bCs/>
          <w:iCs/>
        </w:rPr>
        <w:t>nadmiernego opierania się przez sędziów na opiniach biegłych sądowych, bez podejmowania przez sądy próby samodzielnej</w:t>
      </w:r>
      <w:r w:rsidR="00992FD0" w:rsidRPr="00EC250C">
        <w:rPr>
          <w:bCs/>
          <w:iCs/>
        </w:rPr>
        <w:t xml:space="preserve"> i </w:t>
      </w:r>
      <w:r w:rsidRPr="00EC250C">
        <w:rPr>
          <w:bCs/>
          <w:iCs/>
        </w:rPr>
        <w:t xml:space="preserve">krytycznej analizy ich opinii. Zaradzić temu mogłyby organizowane przez Szkołę szkolenia. Dyrektor Szkoły obiecał, że takie </w:t>
      </w:r>
      <w:r w:rsidRPr="00EC250C">
        <w:rPr>
          <w:bCs/>
          <w:iCs/>
        </w:rPr>
        <w:lastRenderedPageBreak/>
        <w:t>szkolenia będą. Zresztą od 2016</w:t>
      </w:r>
      <w:r w:rsidR="00C91F6E" w:rsidRPr="00EC250C">
        <w:rPr>
          <w:bCs/>
          <w:iCs/>
        </w:rPr>
        <w:t> r.</w:t>
      </w:r>
      <w:r w:rsidR="00992FD0" w:rsidRPr="00EC250C">
        <w:rPr>
          <w:bCs/>
          <w:iCs/>
        </w:rPr>
        <w:t xml:space="preserve"> w </w:t>
      </w:r>
      <w:r w:rsidRPr="00EC250C">
        <w:rPr>
          <w:bCs/>
          <w:iCs/>
        </w:rPr>
        <w:t>harmonogramie Szkoła ma szkolenie</w:t>
      </w:r>
      <w:r w:rsidR="00992FD0" w:rsidRPr="00EC250C">
        <w:rPr>
          <w:bCs/>
          <w:iCs/>
        </w:rPr>
        <w:t xml:space="preserve"> z </w:t>
      </w:r>
      <w:r w:rsidRPr="00EC250C">
        <w:rPr>
          <w:bCs/>
          <w:iCs/>
        </w:rPr>
        <w:t>cyklu: „Dowód</w:t>
      </w:r>
      <w:r w:rsidR="00992FD0" w:rsidRPr="00EC250C">
        <w:rPr>
          <w:bCs/>
          <w:iCs/>
        </w:rPr>
        <w:t xml:space="preserve"> z </w:t>
      </w:r>
      <w:r w:rsidRPr="00EC250C">
        <w:rPr>
          <w:bCs/>
          <w:iCs/>
        </w:rPr>
        <w:t>opinii biegłego”. Jego założeniem jest przedstawienie uczestnikom specyfiki opiniowania</w:t>
      </w:r>
      <w:r w:rsidR="00992FD0" w:rsidRPr="00EC250C">
        <w:rPr>
          <w:bCs/>
          <w:iCs/>
        </w:rPr>
        <w:t xml:space="preserve"> w </w:t>
      </w:r>
      <w:r w:rsidRPr="00EC250C">
        <w:rPr>
          <w:bCs/>
          <w:iCs/>
        </w:rPr>
        <w:t>wybranych dziedzinach wiedzy.</w:t>
      </w:r>
    </w:p>
    <w:p w14:paraId="2321ECB8" w14:textId="77777777" w:rsidR="00C91F6E" w:rsidRPr="00EC250C" w:rsidRDefault="00D86DD2" w:rsidP="00EC250C">
      <w:pPr>
        <w:pStyle w:val="Nagwek5"/>
      </w:pPr>
      <w:r w:rsidRPr="00EC250C">
        <w:t>Wymogi wobec kandydatów na starszego asystenta sędziego</w:t>
      </w:r>
    </w:p>
    <w:p w14:paraId="6783155A" w14:textId="77777777" w:rsidR="00B473F5" w:rsidRPr="00EC250C" w:rsidRDefault="00D86DD2" w:rsidP="00D131FA">
      <w:pPr>
        <w:pStyle w:val="Problemczowieka"/>
        <w:jc w:val="both"/>
        <w:rPr>
          <w:lang w:eastAsia="en-US"/>
        </w:rPr>
      </w:pPr>
      <w:r w:rsidRPr="00EC250C">
        <w:rPr>
          <w:lang w:eastAsia="en-US"/>
        </w:rPr>
        <w:t>Udało się poprawić przepisy dotyczące wymagań, jakie muszą spełnić prawnicy kandydujący na starszego asystenta sędziego. To samo trzeba zrobić</w:t>
      </w:r>
      <w:r w:rsidR="00992FD0" w:rsidRPr="00EC250C">
        <w:rPr>
          <w:lang w:eastAsia="en-US"/>
        </w:rPr>
        <w:t xml:space="preserve"> w </w:t>
      </w:r>
      <w:r w:rsidRPr="00EC250C">
        <w:rPr>
          <w:lang w:eastAsia="en-US"/>
        </w:rPr>
        <w:t>przypadku sądów administracyjnych</w:t>
      </w:r>
      <w:r w:rsidR="00B473F5" w:rsidRPr="00EC250C">
        <w:rPr>
          <w:lang w:eastAsia="en-US"/>
        </w:rPr>
        <w:t>.</w:t>
      </w:r>
    </w:p>
    <w:p w14:paraId="2AD7001E" w14:textId="77777777" w:rsidR="00C91F6E" w:rsidRPr="00EC250C" w:rsidRDefault="007447EE" w:rsidP="00D131FA">
      <w:pPr>
        <w:pStyle w:val="Styl1"/>
        <w:rPr>
          <w:bCs/>
          <w:iCs/>
          <w:lang w:eastAsia="en-US"/>
        </w:rPr>
      </w:pPr>
      <w:r w:rsidRPr="00EC250C">
        <w:rPr>
          <w:bCs/>
          <w:iCs/>
          <w:lang w:eastAsia="en-US"/>
        </w:rPr>
        <w:t>RPO</w:t>
      </w:r>
      <w:r w:rsidR="00992FD0" w:rsidRPr="00EC250C">
        <w:rPr>
          <w:bCs/>
          <w:iCs/>
          <w:lang w:eastAsia="en-US"/>
        </w:rPr>
        <w:t xml:space="preserve"> z </w:t>
      </w:r>
      <w:r w:rsidR="00D86DD2" w:rsidRPr="00EC250C">
        <w:rPr>
          <w:bCs/>
          <w:iCs/>
          <w:lang w:eastAsia="en-US"/>
        </w:rPr>
        <w:t>satysfakcją przyjął zmianę przepisów Prawa</w:t>
      </w:r>
      <w:r w:rsidR="00992FD0" w:rsidRPr="00EC250C">
        <w:rPr>
          <w:bCs/>
          <w:iCs/>
          <w:lang w:eastAsia="en-US"/>
        </w:rPr>
        <w:t xml:space="preserve"> o </w:t>
      </w:r>
      <w:r w:rsidR="00D86DD2" w:rsidRPr="00EC250C">
        <w:rPr>
          <w:bCs/>
          <w:iCs/>
          <w:lang w:eastAsia="en-US"/>
        </w:rPr>
        <w:t>ustroju sądów powszechnych. Wcześniej brakowało podstawy prawnej odpowiedzialności dyscyplinarnej asystenta sędziego.</w:t>
      </w:r>
    </w:p>
    <w:p w14:paraId="152C3599" w14:textId="77777777" w:rsidR="00C91F6E" w:rsidRPr="00EC250C" w:rsidRDefault="00D86DD2" w:rsidP="00D131FA">
      <w:pPr>
        <w:pStyle w:val="Styl1"/>
        <w:rPr>
          <w:bCs/>
          <w:iCs/>
          <w:lang w:eastAsia="en-US"/>
        </w:rPr>
      </w:pPr>
      <w:r w:rsidRPr="00EC250C">
        <w:rPr>
          <w:bCs/>
          <w:iCs/>
          <w:lang w:eastAsia="en-US"/>
        </w:rPr>
        <w:t>Obecnie „na stanowisku starszego asystenta sędziego może być zatrudniony asystent, który zajmował stanowisko asystenta sędziego przez co najmniej dziesięć lat</w:t>
      </w:r>
      <w:r w:rsidR="00992FD0" w:rsidRPr="00EC250C">
        <w:rPr>
          <w:bCs/>
          <w:iCs/>
          <w:lang w:eastAsia="en-US"/>
        </w:rPr>
        <w:t xml:space="preserve"> i </w:t>
      </w:r>
      <w:r w:rsidRPr="00EC250C">
        <w:rPr>
          <w:bCs/>
          <w:iCs/>
          <w:lang w:eastAsia="en-US"/>
        </w:rPr>
        <w:t>uzyskiwał pozytywne okresowe oceny”. Wymóg polegający na niekaralności dyscyplinarnej</w:t>
      </w:r>
      <w:r w:rsidR="00992FD0" w:rsidRPr="00EC250C">
        <w:rPr>
          <w:bCs/>
          <w:iCs/>
          <w:lang w:eastAsia="en-US"/>
        </w:rPr>
        <w:t xml:space="preserve"> w </w:t>
      </w:r>
      <w:r w:rsidRPr="00EC250C">
        <w:rPr>
          <w:bCs/>
          <w:iCs/>
          <w:lang w:eastAsia="en-US"/>
        </w:rPr>
        <w:t>procedurze kwalifikacyjnej na stanowisko starszego asystenta sędziego, zgodnie</w:t>
      </w:r>
      <w:r w:rsidR="00992FD0" w:rsidRPr="00EC250C">
        <w:rPr>
          <w:bCs/>
          <w:iCs/>
          <w:lang w:eastAsia="en-US"/>
        </w:rPr>
        <w:t xml:space="preserve"> z </w:t>
      </w:r>
      <w:r w:rsidRPr="00EC250C">
        <w:rPr>
          <w:bCs/>
          <w:iCs/>
          <w:lang w:eastAsia="en-US"/>
        </w:rPr>
        <w:t xml:space="preserve">postulatem </w:t>
      </w:r>
      <w:r w:rsidR="007447EE" w:rsidRPr="00EC250C">
        <w:rPr>
          <w:bCs/>
          <w:iCs/>
          <w:lang w:eastAsia="en-US"/>
        </w:rPr>
        <w:t>RPO</w:t>
      </w:r>
      <w:r w:rsidRPr="00EC250C">
        <w:rPr>
          <w:bCs/>
          <w:iCs/>
          <w:lang w:eastAsia="en-US"/>
        </w:rPr>
        <w:t>, został zatem skutecznie wyeliminowany</w:t>
      </w:r>
      <w:r w:rsidR="00992FD0" w:rsidRPr="00EC250C">
        <w:rPr>
          <w:bCs/>
          <w:iCs/>
          <w:lang w:eastAsia="en-US"/>
        </w:rPr>
        <w:t xml:space="preserve"> z </w:t>
      </w:r>
      <w:r w:rsidRPr="00EC250C">
        <w:rPr>
          <w:bCs/>
          <w:iCs/>
          <w:lang w:eastAsia="en-US"/>
        </w:rPr>
        <w:t>porządku prawnego.</w:t>
      </w:r>
    </w:p>
    <w:p w14:paraId="5C10F8FC" w14:textId="77777777" w:rsidR="00D86DD2" w:rsidRPr="00EC250C" w:rsidRDefault="00D86DD2" w:rsidP="00D131FA">
      <w:pPr>
        <w:pStyle w:val="Styl1"/>
        <w:rPr>
          <w:bCs/>
          <w:iCs/>
          <w:lang w:eastAsia="en-US"/>
        </w:rPr>
      </w:pPr>
      <w:r w:rsidRPr="00EC250C">
        <w:rPr>
          <w:bCs/>
          <w:iCs/>
          <w:lang w:eastAsia="en-US"/>
        </w:rPr>
        <w:t>Analogiczny problem występuje</w:t>
      </w:r>
      <w:r w:rsidR="00992FD0" w:rsidRPr="00EC250C">
        <w:rPr>
          <w:bCs/>
          <w:iCs/>
          <w:lang w:eastAsia="en-US"/>
        </w:rPr>
        <w:t xml:space="preserve"> w </w:t>
      </w:r>
      <w:r w:rsidRPr="00EC250C">
        <w:rPr>
          <w:bCs/>
          <w:iCs/>
          <w:lang w:eastAsia="en-US"/>
        </w:rPr>
        <w:t>przypadku przepisów</w:t>
      </w:r>
      <w:r w:rsidRPr="00EC250C">
        <w:rPr>
          <w:b/>
          <w:bCs/>
          <w:iCs/>
          <w:lang w:eastAsia="en-US"/>
        </w:rPr>
        <w:t xml:space="preserve"> </w:t>
      </w:r>
      <w:r w:rsidRPr="00EC250C">
        <w:rPr>
          <w:bCs/>
          <w:iCs/>
          <w:lang w:eastAsia="en-US"/>
        </w:rPr>
        <w:t>Prawa</w:t>
      </w:r>
      <w:r w:rsidR="00992FD0" w:rsidRPr="00EC250C">
        <w:rPr>
          <w:bCs/>
          <w:iCs/>
          <w:lang w:eastAsia="en-US"/>
        </w:rPr>
        <w:t xml:space="preserve"> o </w:t>
      </w:r>
      <w:r w:rsidRPr="00EC250C">
        <w:rPr>
          <w:bCs/>
          <w:iCs/>
          <w:lang w:eastAsia="en-US"/>
        </w:rPr>
        <w:t>ustroju sądów administracyjnych, stąd wystąpienie RPO do Ministra Sprawiedliwości.</w:t>
      </w:r>
    </w:p>
    <w:p w14:paraId="122CC38D" w14:textId="77777777" w:rsidR="00D86DD2" w:rsidRPr="00EC250C" w:rsidRDefault="00D86DD2" w:rsidP="00D131FA">
      <w:pPr>
        <w:pStyle w:val="Styl1"/>
        <w:rPr>
          <w:bCs/>
          <w:iCs/>
          <w:lang w:eastAsia="en-US"/>
        </w:rPr>
      </w:pPr>
      <w:r w:rsidRPr="00EC250C">
        <w:rPr>
          <w:bCs/>
          <w:iCs/>
          <w:lang w:eastAsia="en-US"/>
        </w:rPr>
        <w:t>Minister poinformował, że uwaga RPO zostanie uwzględniona</w:t>
      </w:r>
      <w:r w:rsidRPr="00EC250C">
        <w:rPr>
          <w:rStyle w:val="Odwoanieprzypisudolnego"/>
          <w:iCs/>
          <w:lang w:eastAsia="en-US"/>
        </w:rPr>
        <w:footnoteReference w:id="212"/>
      </w:r>
      <w:r w:rsidRPr="00EC250C">
        <w:rPr>
          <w:bCs/>
          <w:iCs/>
          <w:lang w:eastAsia="en-US"/>
        </w:rPr>
        <w:t>.</w:t>
      </w:r>
    </w:p>
    <w:p w14:paraId="5A56B031" w14:textId="77777777" w:rsidR="00D86DD2" w:rsidRPr="00EC250C" w:rsidRDefault="00D86DD2" w:rsidP="00EC79EB">
      <w:pPr>
        <w:pStyle w:val="Nagwek4"/>
      </w:pPr>
      <w:bookmarkStart w:id="234" w:name="_Toc6257731"/>
      <w:bookmarkStart w:id="235" w:name="_Toc11247623"/>
      <w:r w:rsidRPr="00EC250C">
        <w:t>Problemy</w:t>
      </w:r>
      <w:r w:rsidR="00992FD0" w:rsidRPr="00EC250C">
        <w:t xml:space="preserve"> z </w:t>
      </w:r>
      <w:r w:rsidRPr="00EC250C">
        <w:t>ograniczeniem prawa do drogi sądowej</w:t>
      </w:r>
      <w:bookmarkEnd w:id="234"/>
      <w:bookmarkEnd w:id="235"/>
    </w:p>
    <w:p w14:paraId="4AB23BF0" w14:textId="77777777" w:rsidR="00C91F6E" w:rsidRPr="00EC250C" w:rsidRDefault="00D86DD2" w:rsidP="00EC250C">
      <w:pPr>
        <w:pStyle w:val="Nagwek5"/>
      </w:pPr>
      <w:r w:rsidRPr="00EC250C">
        <w:t>Nieobligatoryjny udział oskarżyciela publicznego</w:t>
      </w:r>
      <w:r w:rsidR="00992FD0" w:rsidRPr="00EC250C">
        <w:t xml:space="preserve"> w </w:t>
      </w:r>
      <w:r w:rsidRPr="00EC250C">
        <w:t>sprawach</w:t>
      </w:r>
      <w:r w:rsidR="00992FD0" w:rsidRPr="00EC250C">
        <w:t xml:space="preserve"> z </w:t>
      </w:r>
      <w:r w:rsidRPr="00EC250C">
        <w:t>oskarżenia publicznego,</w:t>
      </w:r>
      <w:r w:rsidR="00992FD0" w:rsidRPr="00EC250C">
        <w:t xml:space="preserve"> w </w:t>
      </w:r>
      <w:r w:rsidRPr="00EC250C">
        <w:t>których postępowanie przygotowawcze zakończyło się</w:t>
      </w:r>
      <w:r w:rsidR="00992FD0" w:rsidRPr="00EC250C">
        <w:t xml:space="preserve"> w </w:t>
      </w:r>
      <w:r w:rsidRPr="00EC250C">
        <w:t>formie dochodzenia</w:t>
      </w:r>
    </w:p>
    <w:p w14:paraId="32B254DC" w14:textId="77777777" w:rsidR="00B473F5" w:rsidRPr="00EC250C" w:rsidRDefault="00D86DD2" w:rsidP="00D131FA">
      <w:pPr>
        <w:pStyle w:val="Problemczowieka"/>
        <w:jc w:val="both"/>
      </w:pPr>
      <w:r w:rsidRPr="00EC250C">
        <w:t>Do Biura RPO wpływają wnioski,</w:t>
      </w:r>
      <w:r w:rsidR="00992FD0" w:rsidRPr="00EC250C">
        <w:t xml:space="preserve"> z </w:t>
      </w:r>
      <w:r w:rsidRPr="00EC250C">
        <w:t>których wynika, że nieobligatoryjny charakter uczestnictwa oskarżyciela publicznego</w:t>
      </w:r>
      <w:r w:rsidR="00992FD0" w:rsidRPr="00EC250C">
        <w:t xml:space="preserve"> w </w:t>
      </w:r>
      <w:r w:rsidRPr="00EC250C">
        <w:t>postępowaniu przed sądem I instancji</w:t>
      </w:r>
      <w:r w:rsidR="00992FD0" w:rsidRPr="00EC250C">
        <w:t xml:space="preserve"> w </w:t>
      </w:r>
      <w:r w:rsidRPr="00EC250C">
        <w:t>sprawach</w:t>
      </w:r>
      <w:r w:rsidR="00992FD0" w:rsidRPr="00EC250C">
        <w:t xml:space="preserve"> z </w:t>
      </w:r>
      <w:r w:rsidRPr="00EC250C">
        <w:t>oskarżenia publicznego może prowadzić do ograniczenia uprawnień procesowych oskarżonego</w:t>
      </w:r>
      <w:r w:rsidR="00B473F5" w:rsidRPr="00EC250C">
        <w:t>.</w:t>
      </w:r>
    </w:p>
    <w:p w14:paraId="7E6E3A42" w14:textId="77777777" w:rsidR="00C91F6E" w:rsidRPr="00EC250C" w:rsidRDefault="00D86DD2" w:rsidP="00D131FA">
      <w:pPr>
        <w:pStyle w:val="Styl1"/>
        <w:rPr>
          <w:bCs/>
          <w:iCs/>
        </w:rPr>
      </w:pPr>
      <w:r w:rsidRPr="00EC250C">
        <w:rPr>
          <w:bCs/>
          <w:iCs/>
        </w:rPr>
        <w:t>Taką możliwość dała nowelizacj</w:t>
      </w:r>
      <w:r w:rsidR="00D8245F" w:rsidRPr="00EC250C">
        <w:rPr>
          <w:bCs/>
          <w:iCs/>
        </w:rPr>
        <w:t>a</w:t>
      </w:r>
      <w:r w:rsidRPr="00EC250C">
        <w:rPr>
          <w:bCs/>
          <w:iCs/>
        </w:rPr>
        <w:t xml:space="preserve"> Kodeksu postępowania karnego</w:t>
      </w:r>
      <w:r w:rsidR="00992FD0" w:rsidRPr="00EC250C">
        <w:rPr>
          <w:bCs/>
          <w:iCs/>
        </w:rPr>
        <w:t xml:space="preserve"> z </w:t>
      </w:r>
      <w:r w:rsidRPr="00EC250C">
        <w:rPr>
          <w:bCs/>
          <w:iCs/>
        </w:rPr>
        <w:t>2016</w:t>
      </w:r>
      <w:r w:rsidR="00C91F6E" w:rsidRPr="00EC250C">
        <w:rPr>
          <w:bCs/>
          <w:iCs/>
        </w:rPr>
        <w:t> r.</w:t>
      </w:r>
      <w:r w:rsidRPr="00EC250C">
        <w:rPr>
          <w:bCs/>
          <w:iCs/>
        </w:rPr>
        <w:t xml:space="preserve"> </w:t>
      </w:r>
      <w:r w:rsidR="007447EE" w:rsidRPr="00EC250C">
        <w:rPr>
          <w:bCs/>
          <w:iCs/>
        </w:rPr>
        <w:t>RPO</w:t>
      </w:r>
      <w:r w:rsidRPr="00EC250C">
        <w:rPr>
          <w:bCs/>
          <w:iCs/>
        </w:rPr>
        <w:t xml:space="preserve"> zwrócił uwagę, że nie budzi istotnych wątpliwości nieobligatoryjność udziału oskarżyciela publicznego</w:t>
      </w:r>
      <w:r w:rsidR="00992FD0" w:rsidRPr="00EC250C">
        <w:rPr>
          <w:bCs/>
          <w:iCs/>
        </w:rPr>
        <w:t xml:space="preserve"> w </w:t>
      </w:r>
      <w:r w:rsidRPr="00EC250C">
        <w:rPr>
          <w:bCs/>
          <w:iCs/>
        </w:rPr>
        <w:t>sprawach</w:t>
      </w:r>
      <w:r w:rsidR="00992FD0" w:rsidRPr="00EC250C">
        <w:rPr>
          <w:bCs/>
          <w:iCs/>
        </w:rPr>
        <w:t xml:space="preserve"> z </w:t>
      </w:r>
      <w:r w:rsidRPr="00EC250C">
        <w:rPr>
          <w:bCs/>
          <w:iCs/>
        </w:rPr>
        <w:t>oskarżenia prywatnego. Inaczej jednak rzecz przedstawia się</w:t>
      </w:r>
      <w:r w:rsidR="00992FD0" w:rsidRPr="00EC250C">
        <w:rPr>
          <w:bCs/>
          <w:iCs/>
        </w:rPr>
        <w:t xml:space="preserve"> w </w:t>
      </w:r>
      <w:r w:rsidRPr="00EC250C">
        <w:rPr>
          <w:bCs/>
          <w:iCs/>
        </w:rPr>
        <w:t>przypadku nowowprowadzonego uregulowania, zgodnie</w:t>
      </w:r>
      <w:r w:rsidR="00992FD0" w:rsidRPr="00EC250C">
        <w:rPr>
          <w:bCs/>
          <w:iCs/>
        </w:rPr>
        <w:t xml:space="preserve"> z </w:t>
      </w:r>
      <w:r w:rsidRPr="00EC250C">
        <w:rPr>
          <w:bCs/>
          <w:iCs/>
        </w:rPr>
        <w:t>którym zakończenie postępowania przygotowawczego</w:t>
      </w:r>
      <w:r w:rsidR="00992FD0" w:rsidRPr="00EC250C">
        <w:rPr>
          <w:bCs/>
          <w:iCs/>
        </w:rPr>
        <w:t xml:space="preserve"> w </w:t>
      </w:r>
      <w:r w:rsidRPr="00EC250C">
        <w:rPr>
          <w:bCs/>
          <w:iCs/>
        </w:rPr>
        <w:t>formie dochodzenia sprawia, iż nieobecność oskarżyciela publicznego nie tamuje biegu rozprawy.</w:t>
      </w:r>
    </w:p>
    <w:p w14:paraId="65BDFAF9" w14:textId="77777777" w:rsidR="00C91F6E" w:rsidRPr="00EC250C" w:rsidRDefault="00D86DD2" w:rsidP="00D131FA">
      <w:pPr>
        <w:pStyle w:val="Styl1"/>
        <w:rPr>
          <w:bCs/>
          <w:iCs/>
        </w:rPr>
      </w:pPr>
      <w:r w:rsidRPr="00EC250C">
        <w:rPr>
          <w:bCs/>
          <w:iCs/>
        </w:rPr>
        <w:lastRenderedPageBreak/>
        <w:t xml:space="preserve">W ocenie </w:t>
      </w:r>
      <w:r w:rsidR="007447EE" w:rsidRPr="00EC250C">
        <w:rPr>
          <w:bCs/>
          <w:iCs/>
        </w:rPr>
        <w:t>RPO</w:t>
      </w:r>
      <w:r w:rsidRPr="00EC250C">
        <w:rPr>
          <w:bCs/>
          <w:iCs/>
        </w:rPr>
        <w:t xml:space="preserve"> nieobecność prokuratora</w:t>
      </w:r>
      <w:r w:rsidR="00992FD0" w:rsidRPr="00EC250C">
        <w:rPr>
          <w:bCs/>
          <w:iCs/>
        </w:rPr>
        <w:t xml:space="preserve"> w </w:t>
      </w:r>
      <w:r w:rsidRPr="00EC250C">
        <w:rPr>
          <w:bCs/>
          <w:iCs/>
        </w:rPr>
        <w:t>przypadku rozbudowanego materiału dowodowego oraz wysokiego stopnia złożoności danej sprawy stwarza realne zagrożenie dla przysługującego jednostce prawa do sprawiedliwego rozpatrzenia sprawy przez niezawisły</w:t>
      </w:r>
      <w:r w:rsidR="00992FD0" w:rsidRPr="00EC250C">
        <w:rPr>
          <w:bCs/>
          <w:iCs/>
        </w:rPr>
        <w:t xml:space="preserve"> i </w:t>
      </w:r>
      <w:r w:rsidRPr="00EC250C">
        <w:rPr>
          <w:bCs/>
          <w:iCs/>
        </w:rPr>
        <w:t>niezależny sąd.</w:t>
      </w:r>
    </w:p>
    <w:p w14:paraId="44520C2E" w14:textId="77777777" w:rsidR="00C91F6E" w:rsidRPr="00EC250C" w:rsidRDefault="00D86DD2" w:rsidP="00D131FA">
      <w:pPr>
        <w:pStyle w:val="Styl1"/>
        <w:rPr>
          <w:bCs/>
          <w:iCs/>
        </w:rPr>
      </w:pPr>
      <w:r w:rsidRPr="00EC250C">
        <w:rPr>
          <w:bCs/>
          <w:iCs/>
        </w:rPr>
        <w:t xml:space="preserve">Minister Sprawiedliwości wyjaśnił, że nowe przepisy (art. 46 </w:t>
      </w:r>
      <w:r w:rsidR="00F842CC" w:rsidRPr="00EC250C">
        <w:rPr>
          <w:bCs/>
          <w:iCs/>
        </w:rPr>
        <w:t>K.p.k</w:t>
      </w:r>
      <w:r w:rsidRPr="00EC250C">
        <w:rPr>
          <w:bCs/>
          <w:iCs/>
        </w:rPr>
        <w:t>.) przyczyniają się do odciążenia prokuratora</w:t>
      </w:r>
      <w:r w:rsidR="00992FD0" w:rsidRPr="00EC250C">
        <w:rPr>
          <w:bCs/>
          <w:iCs/>
        </w:rPr>
        <w:t xml:space="preserve"> i </w:t>
      </w:r>
      <w:r w:rsidRPr="00EC250C">
        <w:rPr>
          <w:bCs/>
          <w:iCs/>
        </w:rPr>
        <w:t>nie stanowi to zagrożenia dla prawa jednostki, bowiem jeżeli sąd uzna to za konieczne, może zobowiązać oskarżyciela publicznego do udziału</w:t>
      </w:r>
      <w:r w:rsidR="00992FD0" w:rsidRPr="00EC250C">
        <w:rPr>
          <w:bCs/>
          <w:iCs/>
        </w:rPr>
        <w:t xml:space="preserve"> w </w:t>
      </w:r>
      <w:r w:rsidRPr="00EC250C">
        <w:rPr>
          <w:bCs/>
          <w:iCs/>
        </w:rPr>
        <w:t>rozprawie</w:t>
      </w:r>
      <w:r w:rsidRPr="00EC250C">
        <w:rPr>
          <w:rStyle w:val="Odwoanieprzypisudolnego"/>
          <w:iCs/>
        </w:rPr>
        <w:footnoteReference w:id="213"/>
      </w:r>
      <w:r w:rsidRPr="00EC250C">
        <w:rPr>
          <w:bCs/>
          <w:iCs/>
        </w:rPr>
        <w:t>.</w:t>
      </w:r>
    </w:p>
    <w:p w14:paraId="1AAA25DE" w14:textId="77777777" w:rsidR="00C91F6E" w:rsidRPr="00EC250C" w:rsidRDefault="00D86DD2" w:rsidP="00EC250C">
      <w:pPr>
        <w:pStyle w:val="Nagwek5"/>
      </w:pPr>
      <w:r w:rsidRPr="00EC250C">
        <w:t>Możliwość zaskarżenia orzeczenia referendarza sądowego</w:t>
      </w:r>
      <w:r w:rsidR="00992FD0" w:rsidRPr="00EC250C">
        <w:t xml:space="preserve"> w </w:t>
      </w:r>
      <w:r w:rsidRPr="00EC250C">
        <w:t>postępowaniu egzekucyjnym</w:t>
      </w:r>
    </w:p>
    <w:p w14:paraId="0C7B715F" w14:textId="77777777" w:rsidR="00B473F5" w:rsidRPr="00EC250C" w:rsidRDefault="00D86DD2" w:rsidP="00D131FA">
      <w:pPr>
        <w:pStyle w:val="Problemczowieka"/>
        <w:jc w:val="both"/>
      </w:pPr>
      <w:r w:rsidRPr="00EC250C">
        <w:t>Orzeczenia referendarza sądowego</w:t>
      </w:r>
      <w:r w:rsidR="00992FD0" w:rsidRPr="00EC250C">
        <w:t xml:space="preserve"> w </w:t>
      </w:r>
      <w:r w:rsidRPr="00EC250C">
        <w:t>postępowaniu egzekucyjnym nie można zaskarżyć</w:t>
      </w:r>
      <w:r w:rsidR="00B473F5" w:rsidRPr="00EC250C">
        <w:t>.</w:t>
      </w:r>
    </w:p>
    <w:p w14:paraId="76B8F411" w14:textId="77777777" w:rsidR="00C91F6E" w:rsidRPr="00EC250C" w:rsidRDefault="00D86DD2" w:rsidP="00D131FA">
      <w:pPr>
        <w:pStyle w:val="Styl1"/>
      </w:pPr>
      <w:r w:rsidRPr="00EC250C">
        <w:t xml:space="preserve">Rzecznik </w:t>
      </w:r>
      <w:r w:rsidR="00C079A6" w:rsidRPr="00EC250C">
        <w:t xml:space="preserve">Praw Obywatelskich </w:t>
      </w:r>
      <w:r w:rsidRPr="00EC250C">
        <w:t>zgłosił</w:t>
      </w:r>
      <w:r w:rsidRPr="00EC250C">
        <w:rPr>
          <w:vertAlign w:val="superscript"/>
        </w:rPr>
        <w:footnoteReference w:id="214"/>
      </w:r>
      <w:r w:rsidRPr="00EC250C">
        <w:t xml:space="preserve"> udział</w:t>
      </w:r>
      <w:r w:rsidR="00992FD0" w:rsidRPr="00EC250C">
        <w:t xml:space="preserve"> w </w:t>
      </w:r>
      <w:r w:rsidRPr="00EC250C">
        <w:t>postępowaniu przed Trybunałem Konstytucyjnym</w:t>
      </w:r>
      <w:r w:rsidR="00992FD0" w:rsidRPr="00EC250C">
        <w:t xml:space="preserve"> w </w:t>
      </w:r>
      <w:r w:rsidRPr="00EC250C">
        <w:t>sprawie rozstrzygnięcia zagadnienia prawnego zgłoszonego przez sąd rejonowy.</w:t>
      </w:r>
      <w:r w:rsidR="00906688" w:rsidRPr="00EC250C">
        <w:t xml:space="preserve"> </w:t>
      </w:r>
      <w:r w:rsidRPr="00EC250C">
        <w:t xml:space="preserve">W ocenie </w:t>
      </w:r>
      <w:r w:rsidR="00C079A6" w:rsidRPr="00EC250C">
        <w:t>RPO</w:t>
      </w:r>
      <w:r w:rsidRPr="00EC250C">
        <w:t xml:space="preserve"> absolutyzacja prawa do zaskarżenia każdego rozstrzygnięcia niechybnie spowodowałaby niewydolność</w:t>
      </w:r>
      <w:r w:rsidR="00992FD0" w:rsidRPr="00EC250C">
        <w:t xml:space="preserve"> i </w:t>
      </w:r>
      <w:r w:rsidRPr="00EC250C">
        <w:t>paraliż poszczególnych postępowań. Jednak nie można pozbawiać strony prawa do sądu, zwłaszcza jeśli</w:t>
      </w:r>
      <w:r w:rsidR="00992FD0" w:rsidRPr="00EC250C">
        <w:t xml:space="preserve"> o </w:t>
      </w:r>
      <w:r w:rsidRPr="00EC250C">
        <w:t>problemie rozstrzyga referendarz. Jeśli bowiem skargę na czynności komornika rozpoznał sędzia zawodowy, to człowiek zrealizował swoje prawo do jednej instancji sądowej. W innej sytuacji znajduje się natomiast osoba, której skarga na czynności komornika została rozpoznana przez referendarza sądowego</w:t>
      </w:r>
      <w:r w:rsidR="00992FD0" w:rsidRPr="00EC250C">
        <w:t xml:space="preserve"> w </w:t>
      </w:r>
      <w:r w:rsidRPr="00EC250C">
        <w:t>sprawie,</w:t>
      </w:r>
      <w:r w:rsidR="00992FD0" w:rsidRPr="00EC250C">
        <w:t xml:space="preserve"> w </w:t>
      </w:r>
      <w:r w:rsidRPr="00EC250C">
        <w:t>której – gdyby została rozpoznana przez sąd – nie przysługiwałoby zażalenie.</w:t>
      </w:r>
    </w:p>
    <w:p w14:paraId="307836F9" w14:textId="77777777" w:rsidR="00D86DD2" w:rsidRPr="00EC250C" w:rsidRDefault="00D86DD2" w:rsidP="00D131FA">
      <w:pPr>
        <w:pStyle w:val="Styl1"/>
        <w:rPr>
          <w:bCs/>
        </w:rPr>
      </w:pPr>
      <w:r w:rsidRPr="00EC250C">
        <w:t>Referendarz nie jest sądem</w:t>
      </w:r>
      <w:r w:rsidR="00992FD0" w:rsidRPr="00EC250C">
        <w:t xml:space="preserve"> w </w:t>
      </w:r>
      <w:r w:rsidRPr="00EC250C">
        <w:t>rozumieniu konstytucyjnym, zatem jednostka jest pozbawiona prawa do nawet jednej instancji sądowej.</w:t>
      </w:r>
    </w:p>
    <w:p w14:paraId="0EE1BF9C" w14:textId="77777777" w:rsidR="00D86DD2" w:rsidRPr="00EC250C" w:rsidRDefault="00D86DD2" w:rsidP="00EC250C">
      <w:pPr>
        <w:pStyle w:val="Nagwek5"/>
      </w:pPr>
      <w:r w:rsidRPr="00EC250C">
        <w:t>Ograniczenie możliwości zaskarżania wpisów do rejestru dłużników niewypłacalnych</w:t>
      </w:r>
    </w:p>
    <w:p w14:paraId="05806C49" w14:textId="77777777" w:rsidR="00B473F5" w:rsidRPr="00EC250C" w:rsidRDefault="00D86DD2" w:rsidP="00D131FA">
      <w:pPr>
        <w:pStyle w:val="Problemczowieka"/>
        <w:jc w:val="both"/>
      </w:pPr>
      <w:r w:rsidRPr="00EC250C">
        <w:t>W sprawach wszczętych po 14 marca 2018</w:t>
      </w:r>
      <w:r w:rsidR="00C91F6E" w:rsidRPr="00EC250C">
        <w:t> r.</w:t>
      </w:r>
      <w:r w:rsidRPr="00EC250C">
        <w:t xml:space="preserve"> nie ma obowiązku doręczania postanowienia</w:t>
      </w:r>
      <w:r w:rsidR="00992FD0" w:rsidRPr="00EC250C">
        <w:t xml:space="preserve"> w </w:t>
      </w:r>
      <w:r w:rsidRPr="00EC250C">
        <w:t>przedmiocie wpisu do Rejestru Dłużników Niewypłacalnych Krajowego Rejestru Sądowego. Obywatel nie ma też prawa do zaskarżenia takiego wpisu</w:t>
      </w:r>
      <w:r w:rsidR="00B473F5" w:rsidRPr="00EC250C">
        <w:t>.</w:t>
      </w:r>
    </w:p>
    <w:p w14:paraId="2AC6F13B" w14:textId="77777777" w:rsidR="00C91F6E" w:rsidRPr="00EC250C" w:rsidRDefault="00C079A6" w:rsidP="00D131FA">
      <w:pPr>
        <w:pStyle w:val="Styl1"/>
        <w:rPr>
          <w:bCs/>
          <w:iCs/>
        </w:rPr>
      </w:pPr>
      <w:r w:rsidRPr="00EC250C">
        <w:rPr>
          <w:bCs/>
          <w:iCs/>
        </w:rPr>
        <w:t>RPO</w:t>
      </w:r>
      <w:r w:rsidR="00D86DD2" w:rsidRPr="00EC250C">
        <w:rPr>
          <w:bCs/>
          <w:iCs/>
        </w:rPr>
        <w:t xml:space="preserve"> zgłosił udział</w:t>
      </w:r>
      <w:r w:rsidR="00992FD0" w:rsidRPr="00EC250C">
        <w:rPr>
          <w:bCs/>
          <w:iCs/>
        </w:rPr>
        <w:t xml:space="preserve"> w </w:t>
      </w:r>
      <w:r w:rsidR="00D86DD2" w:rsidRPr="00EC250C">
        <w:rPr>
          <w:bCs/>
          <w:iCs/>
        </w:rPr>
        <w:t>postępowaniu przed Trybunałem Konstytucyjnym</w:t>
      </w:r>
      <w:r w:rsidR="00992FD0" w:rsidRPr="00EC250C">
        <w:rPr>
          <w:bCs/>
          <w:iCs/>
        </w:rPr>
        <w:t xml:space="preserve"> w </w:t>
      </w:r>
      <w:r w:rsidR="00D86DD2" w:rsidRPr="00EC250C">
        <w:rPr>
          <w:bCs/>
          <w:iCs/>
        </w:rPr>
        <w:t>zakresie rozstrzygnięcia trzech pytań prawnych sądu rejonowego dotyczącego zgodności</w:t>
      </w:r>
      <w:r w:rsidR="00992FD0" w:rsidRPr="00EC250C">
        <w:rPr>
          <w:bCs/>
          <w:iCs/>
        </w:rPr>
        <w:t xml:space="preserve"> z </w:t>
      </w:r>
      <w:r w:rsidR="00D86DD2" w:rsidRPr="00EC250C">
        <w:rPr>
          <w:bCs/>
          <w:iCs/>
        </w:rPr>
        <w:t>Konstytucją art. 49 ustawy</w:t>
      </w:r>
      <w:r w:rsidR="00992FD0" w:rsidRPr="00EC250C">
        <w:rPr>
          <w:bCs/>
          <w:iCs/>
        </w:rPr>
        <w:t xml:space="preserve"> o </w:t>
      </w:r>
      <w:r w:rsidR="00D86DD2" w:rsidRPr="00EC250C">
        <w:rPr>
          <w:bCs/>
          <w:iCs/>
        </w:rPr>
        <w:t>zmianie ustawy</w:t>
      </w:r>
      <w:r w:rsidR="00992FD0" w:rsidRPr="00EC250C">
        <w:rPr>
          <w:bCs/>
          <w:iCs/>
        </w:rPr>
        <w:t xml:space="preserve"> o </w:t>
      </w:r>
      <w:r w:rsidR="00D86DD2" w:rsidRPr="00EC250C">
        <w:rPr>
          <w:bCs/>
          <w:iCs/>
        </w:rPr>
        <w:t>Krajowym Rejestrze Sądowym</w:t>
      </w:r>
      <w:r w:rsidR="00D86DD2" w:rsidRPr="00EC250C">
        <w:rPr>
          <w:rStyle w:val="Odwoanieprzypisudolnego"/>
          <w:iCs/>
        </w:rPr>
        <w:footnoteReference w:id="215"/>
      </w:r>
      <w:r w:rsidR="00D86DD2" w:rsidRPr="00EC250C">
        <w:rPr>
          <w:bCs/>
          <w:iCs/>
        </w:rPr>
        <w:t>.</w:t>
      </w:r>
    </w:p>
    <w:p w14:paraId="2D212D91" w14:textId="77777777" w:rsidR="00C91F6E" w:rsidRPr="00EC250C" w:rsidRDefault="00D86DD2" w:rsidP="00D131FA">
      <w:pPr>
        <w:pStyle w:val="Styl1"/>
        <w:rPr>
          <w:bCs/>
          <w:iCs/>
        </w:rPr>
      </w:pPr>
      <w:r w:rsidRPr="00EC250C">
        <w:rPr>
          <w:bCs/>
          <w:iCs/>
        </w:rPr>
        <w:t xml:space="preserve">W ocenie Rzecznika </w:t>
      </w:r>
      <w:r w:rsidR="00C079A6" w:rsidRPr="00EC250C">
        <w:rPr>
          <w:bCs/>
          <w:iCs/>
        </w:rPr>
        <w:t xml:space="preserve">Praw Obywatelskich </w:t>
      </w:r>
      <w:r w:rsidR="00906688" w:rsidRPr="00EC250C">
        <w:rPr>
          <w:bCs/>
          <w:iCs/>
        </w:rPr>
        <w:t>o braku doręczenia oraz zaskarżalności postanowienia w przedmiocie wpisu do RDN, szczególnie gdy wydaje je referendarz sądowy</w:t>
      </w:r>
      <w:r w:rsidRPr="00EC250C">
        <w:rPr>
          <w:bCs/>
          <w:iCs/>
        </w:rPr>
        <w:t xml:space="preserve">, </w:t>
      </w:r>
      <w:r w:rsidRPr="00EC250C">
        <w:rPr>
          <w:bCs/>
          <w:iCs/>
        </w:rPr>
        <w:lastRenderedPageBreak/>
        <w:t>uniemożliwia skorzystanie</w:t>
      </w:r>
      <w:r w:rsidR="00992FD0" w:rsidRPr="00EC250C">
        <w:rPr>
          <w:bCs/>
          <w:iCs/>
        </w:rPr>
        <w:t xml:space="preserve"> z </w:t>
      </w:r>
      <w:r w:rsidRPr="00EC250C">
        <w:rPr>
          <w:bCs/>
          <w:iCs/>
        </w:rPr>
        <w:t>konstytucyjnego prawa do sądowej kontroli aktu, który dotyka sfery praw</w:t>
      </w:r>
      <w:r w:rsidR="00992FD0" w:rsidRPr="00EC250C">
        <w:rPr>
          <w:bCs/>
          <w:iCs/>
        </w:rPr>
        <w:t xml:space="preserve"> i </w:t>
      </w:r>
      <w:r w:rsidRPr="00EC250C">
        <w:rPr>
          <w:bCs/>
          <w:iCs/>
        </w:rPr>
        <w:t>wolności jednostki,</w:t>
      </w:r>
      <w:r w:rsidR="00992FD0" w:rsidRPr="00EC250C">
        <w:rPr>
          <w:bCs/>
          <w:iCs/>
        </w:rPr>
        <w:t xml:space="preserve"> a </w:t>
      </w:r>
      <w:r w:rsidRPr="00EC250C">
        <w:rPr>
          <w:bCs/>
          <w:iCs/>
        </w:rPr>
        <w:t>także może ją naruszać,</w:t>
      </w:r>
      <w:r w:rsidR="00992FD0" w:rsidRPr="00EC250C">
        <w:rPr>
          <w:bCs/>
          <w:iCs/>
        </w:rPr>
        <w:t xml:space="preserve"> w </w:t>
      </w:r>
      <w:r w:rsidRPr="00EC250C">
        <w:rPr>
          <w:bCs/>
          <w:iCs/>
        </w:rPr>
        <w:t>przypadku dokonania błędnego wpisu do Rejestru</w:t>
      </w:r>
      <w:r w:rsidR="00DD17D6" w:rsidRPr="00EC250C">
        <w:rPr>
          <w:rStyle w:val="Odwoanieprzypisudolnego"/>
          <w:iCs/>
        </w:rPr>
        <w:t xml:space="preserve"> </w:t>
      </w:r>
      <w:r w:rsidR="00DD17D6" w:rsidRPr="00EC250C">
        <w:rPr>
          <w:rStyle w:val="Odwoanieprzypisudolnego"/>
          <w:iCs/>
        </w:rPr>
        <w:footnoteReference w:id="216"/>
      </w:r>
      <w:r w:rsidRPr="00EC250C">
        <w:rPr>
          <w:bCs/>
          <w:iCs/>
        </w:rPr>
        <w:t>.</w:t>
      </w:r>
    </w:p>
    <w:p w14:paraId="6CDDD1F0" w14:textId="77777777" w:rsidR="00C91F6E" w:rsidRPr="00EC250C" w:rsidRDefault="00D86DD2" w:rsidP="00EC250C">
      <w:pPr>
        <w:pStyle w:val="Nagwek5"/>
      </w:pPr>
      <w:r w:rsidRPr="00EC250C">
        <w:t>Brak możliwości zaskarżenia postanowienia</w:t>
      </w:r>
      <w:r w:rsidR="00992FD0" w:rsidRPr="00EC250C">
        <w:t xml:space="preserve"> o </w:t>
      </w:r>
      <w:r w:rsidRPr="00EC250C">
        <w:t>wyłączeniu oskarżyciela posiłkowego</w:t>
      </w:r>
      <w:r w:rsidR="00992FD0" w:rsidRPr="00EC250C">
        <w:t xml:space="preserve"> z </w:t>
      </w:r>
      <w:r w:rsidRPr="00EC250C">
        <w:t>udziału</w:t>
      </w:r>
      <w:r w:rsidR="00992FD0" w:rsidRPr="00EC250C">
        <w:t xml:space="preserve"> w </w:t>
      </w:r>
      <w:r w:rsidRPr="00EC250C">
        <w:t>postępowaniu karnym</w:t>
      </w:r>
    </w:p>
    <w:p w14:paraId="14CBE238" w14:textId="77777777" w:rsidR="00B473F5" w:rsidRPr="00EC250C" w:rsidRDefault="00D86DD2" w:rsidP="00D131FA">
      <w:pPr>
        <w:pStyle w:val="Problemczowieka"/>
        <w:jc w:val="both"/>
      </w:pPr>
      <w:r w:rsidRPr="00EC250C">
        <w:t>Uniemożliwienie pokrzywdzonemu zaskarżenia postanowienia</w:t>
      </w:r>
      <w:r w:rsidR="00992FD0" w:rsidRPr="00EC250C">
        <w:t xml:space="preserve"> o </w:t>
      </w:r>
      <w:r w:rsidRPr="00EC250C">
        <w:t>wyłączeniu go – jako oskarżyciela posiłkowego</w:t>
      </w:r>
      <w:r w:rsidR="00026572" w:rsidRPr="00EC250C">
        <w:t xml:space="preserve"> – </w:t>
      </w:r>
      <w:r w:rsidR="00992FD0" w:rsidRPr="00EC250C">
        <w:t>z </w:t>
      </w:r>
      <w:r w:rsidRPr="00EC250C">
        <w:t>udziału</w:t>
      </w:r>
      <w:r w:rsidR="00992FD0" w:rsidRPr="00EC250C">
        <w:t xml:space="preserve"> w </w:t>
      </w:r>
      <w:r w:rsidRPr="00EC250C">
        <w:t>postępowaniu karnym jest niezgodne</w:t>
      </w:r>
      <w:r w:rsidR="00992FD0" w:rsidRPr="00EC250C">
        <w:t xml:space="preserve"> z </w:t>
      </w:r>
      <w:r w:rsidRPr="00EC250C">
        <w:t>Konstytucją</w:t>
      </w:r>
      <w:r w:rsidR="00B473F5" w:rsidRPr="00EC250C">
        <w:t>.</w:t>
      </w:r>
    </w:p>
    <w:p w14:paraId="6CB245E6" w14:textId="77777777" w:rsidR="00D86DD2" w:rsidRPr="00EC250C" w:rsidRDefault="00D86DD2" w:rsidP="00D131FA">
      <w:pPr>
        <w:pStyle w:val="Styl1"/>
      </w:pPr>
      <w:r w:rsidRPr="00EC250C">
        <w:t xml:space="preserve">Tak zdecydował Trybunał Konstytucyjny po rozpatrzeniu skargi konstytucyjnej, do której przystąpił </w:t>
      </w:r>
      <w:r w:rsidR="00C079A6" w:rsidRPr="00EC250C">
        <w:t>RPO</w:t>
      </w:r>
      <w:r w:rsidRPr="00EC250C">
        <w:rPr>
          <w:rStyle w:val="Odwoanieprzypisudolnego"/>
        </w:rPr>
        <w:footnoteReference w:id="217"/>
      </w:r>
      <w:r w:rsidRPr="00EC250C">
        <w:t>. Zdaniem Trybunału uzyskanie</w:t>
      </w:r>
      <w:r w:rsidR="00992FD0" w:rsidRPr="00EC250C">
        <w:t xml:space="preserve"> i </w:t>
      </w:r>
      <w:r w:rsidRPr="00EC250C">
        <w:t>utrzymanie przez pokrzywdzonego pozycji strony procesu karnego ma fundamentalne znaczenie. Tym samym pozbawienie prawa do zaskarżenia postanowienia sądu odbierającego status oskarżyciela posiłkowego istotnie ogranicza ochronę jego praw</w:t>
      </w:r>
      <w:r w:rsidR="00992FD0" w:rsidRPr="00EC250C">
        <w:t xml:space="preserve"> i </w:t>
      </w:r>
      <w:r w:rsidRPr="00EC250C">
        <w:t>interesów</w:t>
      </w:r>
      <w:r w:rsidR="00992FD0" w:rsidRPr="00EC250C">
        <w:t xml:space="preserve"> w </w:t>
      </w:r>
      <w:r w:rsidRPr="00EC250C">
        <w:t>procesie karnym.</w:t>
      </w:r>
    </w:p>
    <w:p w14:paraId="0E30744E" w14:textId="77777777" w:rsidR="00C91F6E" w:rsidRPr="00EC250C" w:rsidRDefault="00D86DD2" w:rsidP="00EC250C">
      <w:pPr>
        <w:pStyle w:val="Nagwek5"/>
      </w:pPr>
      <w:r w:rsidRPr="00EC250C">
        <w:t>Granice prawomocności wyroku rozstrzygającego</w:t>
      </w:r>
      <w:r w:rsidR="00992FD0" w:rsidRPr="00EC250C">
        <w:t xml:space="preserve"> o </w:t>
      </w:r>
      <w:r w:rsidRPr="00EC250C">
        <w:t>części świadczenia</w:t>
      </w:r>
    </w:p>
    <w:p w14:paraId="73EA8F9A" w14:textId="77777777" w:rsidR="00B473F5" w:rsidRPr="00EC250C" w:rsidRDefault="001F4A0E" w:rsidP="00D131FA">
      <w:pPr>
        <w:pStyle w:val="Problemczowieka"/>
        <w:jc w:val="both"/>
      </w:pPr>
      <w:r w:rsidRPr="00EC250C">
        <w:t>Sądy różnie oceniają granice prawomocności wyroku zasądzającego tylko część świadczenia</w:t>
      </w:r>
      <w:r w:rsidR="00992FD0" w:rsidRPr="00EC250C">
        <w:t xml:space="preserve"> z </w:t>
      </w:r>
      <w:r w:rsidRPr="00EC250C">
        <w:t>danego stosunku prawnego. W szczególności istnieje problem przesądzenia przez sąd</w:t>
      </w:r>
      <w:r w:rsidR="00992FD0" w:rsidRPr="00EC250C">
        <w:t xml:space="preserve"> w </w:t>
      </w:r>
      <w:r w:rsidRPr="00EC250C">
        <w:t>pierwszym procesie zasady odpowiedzialności</w:t>
      </w:r>
      <w:r w:rsidR="00992FD0" w:rsidRPr="00EC250C">
        <w:t xml:space="preserve"> z </w:t>
      </w:r>
      <w:r w:rsidRPr="00EC250C">
        <w:t>danego stosunku prawnego, która miałaby obowiązywać</w:t>
      </w:r>
      <w:r w:rsidR="00992FD0" w:rsidRPr="00EC250C">
        <w:t xml:space="preserve"> w </w:t>
      </w:r>
      <w:r w:rsidRPr="00EC250C">
        <w:t>kolejnych postępowaniach</w:t>
      </w:r>
      <w:r w:rsidR="00992FD0" w:rsidRPr="00EC250C">
        <w:t xml:space="preserve"> o </w:t>
      </w:r>
      <w:r w:rsidRPr="00EC250C">
        <w:t>dalsze świadczenia</w:t>
      </w:r>
      <w:r w:rsidR="00B473F5" w:rsidRPr="00EC250C">
        <w:t>.</w:t>
      </w:r>
    </w:p>
    <w:p w14:paraId="0893FACA" w14:textId="77777777" w:rsidR="001F4A0E" w:rsidRPr="00EC250C" w:rsidRDefault="00C079A6" w:rsidP="00D131FA">
      <w:pPr>
        <w:pStyle w:val="Styl1"/>
        <w:rPr>
          <w:bCs/>
        </w:rPr>
      </w:pPr>
      <w:r w:rsidRPr="00EC250C">
        <w:rPr>
          <w:bCs/>
        </w:rPr>
        <w:t>RPO</w:t>
      </w:r>
      <w:r w:rsidR="001F4A0E" w:rsidRPr="00EC250C">
        <w:rPr>
          <w:bCs/>
        </w:rPr>
        <w:t xml:space="preserve"> przystąpił</w:t>
      </w:r>
      <w:r w:rsidR="001F4A0E" w:rsidRPr="00EC250C">
        <w:rPr>
          <w:rStyle w:val="Odwoanieprzypisudolnego"/>
        </w:rPr>
        <w:footnoteReference w:id="218"/>
      </w:r>
      <w:r w:rsidR="001F4A0E" w:rsidRPr="00EC250C">
        <w:rPr>
          <w:bCs/>
        </w:rPr>
        <w:t xml:space="preserve"> do postępowania przed Sądem Najwyższym, które zostało zainicjowane pytaniem prawnym jednego</w:t>
      </w:r>
      <w:r w:rsidR="00992FD0" w:rsidRPr="00EC250C">
        <w:rPr>
          <w:bCs/>
        </w:rPr>
        <w:t xml:space="preserve"> z </w:t>
      </w:r>
      <w:r w:rsidR="001F4A0E" w:rsidRPr="00EC250C">
        <w:rPr>
          <w:bCs/>
        </w:rPr>
        <w:t>sądów powszechnych. Zajął stanowisko, iż</w:t>
      </w:r>
      <w:r w:rsidR="00992FD0" w:rsidRPr="00EC250C">
        <w:rPr>
          <w:bCs/>
        </w:rPr>
        <w:t xml:space="preserve"> w </w:t>
      </w:r>
      <w:r w:rsidR="001F4A0E" w:rsidRPr="00EC250C">
        <w:rPr>
          <w:bCs/>
        </w:rPr>
        <w:t>przypadku prawomocnego uwzględnienia przez sąd powództwa wytoczonego jedynie</w:t>
      </w:r>
      <w:r w:rsidR="00992FD0" w:rsidRPr="00EC250C">
        <w:rPr>
          <w:bCs/>
        </w:rPr>
        <w:t xml:space="preserve"> o </w:t>
      </w:r>
      <w:r w:rsidR="001F4A0E" w:rsidRPr="00EC250C">
        <w:rPr>
          <w:bCs/>
        </w:rPr>
        <w:t>część należnego świadczenia (tzw. proces częściowy), orzeczenie to nie wiąże bezwzględnie</w:t>
      </w:r>
      <w:r w:rsidR="00992FD0" w:rsidRPr="00EC250C">
        <w:rPr>
          <w:bCs/>
        </w:rPr>
        <w:t xml:space="preserve"> w </w:t>
      </w:r>
      <w:r w:rsidR="001F4A0E" w:rsidRPr="00EC250C">
        <w:rPr>
          <w:bCs/>
        </w:rPr>
        <w:t>kolejnym procesie,</w:t>
      </w:r>
      <w:r w:rsidR="00992FD0" w:rsidRPr="00EC250C">
        <w:rPr>
          <w:bCs/>
        </w:rPr>
        <w:t xml:space="preserve"> o </w:t>
      </w:r>
      <w:r w:rsidR="001F4A0E" w:rsidRPr="00EC250C">
        <w:rPr>
          <w:bCs/>
        </w:rPr>
        <w:t>pozostałą część świadczenia</w:t>
      </w:r>
      <w:r w:rsidR="00992FD0" w:rsidRPr="00EC250C">
        <w:rPr>
          <w:bCs/>
        </w:rPr>
        <w:t xml:space="preserve"> z </w:t>
      </w:r>
      <w:r w:rsidR="001F4A0E" w:rsidRPr="00EC250C">
        <w:rPr>
          <w:bCs/>
        </w:rPr>
        <w:t xml:space="preserve">tego samego stosunku prawnego. W szczególności dotyczy to ustalenia prawnej podstawy żądania. Takie stanowisko, zdaniem </w:t>
      </w:r>
      <w:r w:rsidRPr="00EC250C">
        <w:rPr>
          <w:bCs/>
        </w:rPr>
        <w:t>RPO</w:t>
      </w:r>
      <w:r w:rsidR="001F4A0E" w:rsidRPr="00EC250C">
        <w:rPr>
          <w:bCs/>
        </w:rPr>
        <w:t xml:space="preserve"> nie ogranicza obywatelowi dostępu do sądu przy rozpoznawaniu sprawy</w:t>
      </w:r>
      <w:r w:rsidR="00992FD0" w:rsidRPr="00EC250C">
        <w:rPr>
          <w:bCs/>
        </w:rPr>
        <w:t xml:space="preserve"> o </w:t>
      </w:r>
      <w:r w:rsidR="001F4A0E" w:rsidRPr="00EC250C">
        <w:rPr>
          <w:bCs/>
        </w:rPr>
        <w:t>dalszą część świadczenia</w:t>
      </w:r>
      <w:r w:rsidR="00992FD0" w:rsidRPr="00EC250C">
        <w:rPr>
          <w:bCs/>
        </w:rPr>
        <w:t xml:space="preserve"> z </w:t>
      </w:r>
      <w:r w:rsidR="001F4A0E" w:rsidRPr="00EC250C">
        <w:rPr>
          <w:bCs/>
        </w:rPr>
        <w:t>danego stosunku prawnego. Umożliwia ono ponowną ocenę słuszności pierwszego rozstrzygnięcia, które potencjalnie może być wadliwe.</w:t>
      </w:r>
    </w:p>
    <w:p w14:paraId="3008C3F7" w14:textId="77777777" w:rsidR="001F4A0E" w:rsidRPr="00EC250C" w:rsidRDefault="001F4A0E" w:rsidP="00D131FA">
      <w:pPr>
        <w:pStyle w:val="Styl1"/>
        <w:rPr>
          <w:bCs/>
        </w:rPr>
      </w:pPr>
      <w:r w:rsidRPr="00EC250C">
        <w:rPr>
          <w:bCs/>
        </w:rPr>
        <w:t>Sąd Najwyższy nie podzielił</w:t>
      </w:r>
      <w:r w:rsidRPr="00EC250C">
        <w:rPr>
          <w:rStyle w:val="Odwoanieprzypisudolnego"/>
        </w:rPr>
        <w:footnoteReference w:id="219"/>
      </w:r>
      <w:r w:rsidRPr="00EC250C">
        <w:rPr>
          <w:bCs/>
        </w:rPr>
        <w:t xml:space="preserve"> stanowiska</w:t>
      </w:r>
      <w:r w:rsidR="00C079A6" w:rsidRPr="00EC250C">
        <w:rPr>
          <w:bCs/>
        </w:rPr>
        <w:t xml:space="preserve"> RPO</w:t>
      </w:r>
      <w:r w:rsidRPr="00EC250C">
        <w:rPr>
          <w:bCs/>
        </w:rPr>
        <w:t>. Jednoznacznie wskazał, iż</w:t>
      </w:r>
      <w:r w:rsidR="00992FD0" w:rsidRPr="00EC250C">
        <w:rPr>
          <w:bCs/>
        </w:rPr>
        <w:t xml:space="preserve"> w </w:t>
      </w:r>
      <w:r w:rsidRPr="00EC250C">
        <w:rPr>
          <w:bCs/>
        </w:rPr>
        <w:t>kolejnych procesach</w:t>
      </w:r>
      <w:r w:rsidR="00992FD0" w:rsidRPr="00EC250C">
        <w:rPr>
          <w:bCs/>
        </w:rPr>
        <w:t xml:space="preserve"> o </w:t>
      </w:r>
      <w:r w:rsidRPr="00EC250C">
        <w:rPr>
          <w:bCs/>
        </w:rPr>
        <w:t>dalsze świadczenia</w:t>
      </w:r>
      <w:r w:rsidR="00992FD0" w:rsidRPr="00EC250C">
        <w:rPr>
          <w:bCs/>
        </w:rPr>
        <w:t xml:space="preserve"> w </w:t>
      </w:r>
      <w:r w:rsidRPr="00EC250C">
        <w:rPr>
          <w:bCs/>
        </w:rPr>
        <w:t>nie zmienionym stanie faktycznym nie jest dopuszczalne ponowne badanie</w:t>
      </w:r>
      <w:r w:rsidR="00992FD0" w:rsidRPr="00EC250C">
        <w:rPr>
          <w:bCs/>
        </w:rPr>
        <w:t xml:space="preserve"> i </w:t>
      </w:r>
      <w:r w:rsidRPr="00EC250C">
        <w:rPr>
          <w:bCs/>
        </w:rPr>
        <w:t xml:space="preserve">ocenianie przez sąd zasady odpowiedzialności pozwanego. Ta kwestia, zdaniem </w:t>
      </w:r>
      <w:r w:rsidRPr="00EC250C">
        <w:rPr>
          <w:bCs/>
        </w:rPr>
        <w:lastRenderedPageBreak/>
        <w:t>Sądu Najwyższego została już ustalona prawomocnym wyrokiem wydanym uprzednio</w:t>
      </w:r>
      <w:r w:rsidR="00992FD0" w:rsidRPr="00EC250C">
        <w:rPr>
          <w:bCs/>
        </w:rPr>
        <w:t xml:space="preserve"> w </w:t>
      </w:r>
      <w:r w:rsidRPr="00EC250C">
        <w:rPr>
          <w:bCs/>
        </w:rPr>
        <w:t>sprawie</w:t>
      </w:r>
      <w:r w:rsidR="00992FD0" w:rsidRPr="00EC250C">
        <w:rPr>
          <w:bCs/>
        </w:rPr>
        <w:t xml:space="preserve"> o </w:t>
      </w:r>
      <w:r w:rsidRPr="00EC250C">
        <w:rPr>
          <w:bCs/>
        </w:rPr>
        <w:t>świadczenie należne za wcześniejsze okresy</w:t>
      </w:r>
      <w:r w:rsidR="00992FD0" w:rsidRPr="00EC250C">
        <w:rPr>
          <w:bCs/>
        </w:rPr>
        <w:t xml:space="preserve"> i </w:t>
      </w:r>
      <w:r w:rsidRPr="00EC250C">
        <w:rPr>
          <w:bCs/>
        </w:rPr>
        <w:t>jako taka jest objęta powagą rzeczy osądzonej.</w:t>
      </w:r>
    </w:p>
    <w:p w14:paraId="5B52B77E" w14:textId="77777777" w:rsidR="00D86DD2" w:rsidRPr="00EC250C" w:rsidRDefault="00D86DD2" w:rsidP="00EC250C">
      <w:pPr>
        <w:pStyle w:val="Nagwek8"/>
      </w:pPr>
      <w:r w:rsidRPr="00EC250C">
        <w:rPr>
          <w:rStyle w:val="field-content"/>
        </w:rPr>
        <w:t>Kasacja RPO</w:t>
      </w:r>
      <w:r w:rsidR="00992FD0" w:rsidRPr="00EC250C">
        <w:rPr>
          <w:rStyle w:val="field-content"/>
        </w:rPr>
        <w:t xml:space="preserve"> w </w:t>
      </w:r>
      <w:r w:rsidRPr="00EC250C">
        <w:rPr>
          <w:rStyle w:val="field-content"/>
        </w:rPr>
        <w:t>sprawie żołnierza rozstrzelanego</w:t>
      </w:r>
      <w:r w:rsidR="00992FD0" w:rsidRPr="00EC250C">
        <w:rPr>
          <w:rStyle w:val="field-content"/>
        </w:rPr>
        <w:t xml:space="preserve"> w </w:t>
      </w:r>
      <w:r w:rsidRPr="00EC250C">
        <w:rPr>
          <w:rStyle w:val="field-content"/>
        </w:rPr>
        <w:t>1945</w:t>
      </w:r>
      <w:r w:rsidR="00C91F6E" w:rsidRPr="00EC250C">
        <w:rPr>
          <w:rStyle w:val="field-content"/>
        </w:rPr>
        <w:t> r.</w:t>
      </w:r>
      <w:r w:rsidRPr="00EC250C">
        <w:rPr>
          <w:rStyle w:val="field-content"/>
        </w:rPr>
        <w:t xml:space="preserve"> na mocy wyroku komunistycznego sądu</w:t>
      </w:r>
    </w:p>
    <w:p w14:paraId="0F5631AC" w14:textId="77777777" w:rsidR="00D86DD2" w:rsidRPr="00EC250C" w:rsidRDefault="00D86DD2" w:rsidP="00D131FA">
      <w:pPr>
        <w:pStyle w:val="Styl2"/>
        <w:rPr>
          <w:szCs w:val="24"/>
        </w:rPr>
      </w:pPr>
      <w:r w:rsidRPr="00EC250C">
        <w:rPr>
          <w:szCs w:val="24"/>
        </w:rPr>
        <w:t xml:space="preserve">Rzecznik Praw Obywatelskich </w:t>
      </w:r>
      <w:r w:rsidR="001D4F1C" w:rsidRPr="00EC250C">
        <w:rPr>
          <w:szCs w:val="24"/>
        </w:rPr>
        <w:t xml:space="preserve">wystąpił do </w:t>
      </w:r>
      <w:r w:rsidRPr="00EC250C">
        <w:rPr>
          <w:szCs w:val="24"/>
        </w:rPr>
        <w:t>Sąd</w:t>
      </w:r>
      <w:r w:rsidR="001D4F1C" w:rsidRPr="00EC250C">
        <w:rPr>
          <w:szCs w:val="24"/>
        </w:rPr>
        <w:t>u</w:t>
      </w:r>
      <w:r w:rsidRPr="00EC250C">
        <w:rPr>
          <w:szCs w:val="24"/>
        </w:rPr>
        <w:t xml:space="preserve"> Najwyższ</w:t>
      </w:r>
      <w:r w:rsidR="001D4F1C" w:rsidRPr="00EC250C">
        <w:rPr>
          <w:szCs w:val="24"/>
        </w:rPr>
        <w:t>ego</w:t>
      </w:r>
      <w:r w:rsidR="00992FD0" w:rsidRPr="00EC250C">
        <w:rPr>
          <w:szCs w:val="24"/>
        </w:rPr>
        <w:t xml:space="preserve"> o </w:t>
      </w:r>
      <w:r w:rsidR="001D4F1C" w:rsidRPr="00EC250C">
        <w:rPr>
          <w:szCs w:val="24"/>
        </w:rPr>
        <w:t xml:space="preserve">orzeczenie </w:t>
      </w:r>
      <w:r w:rsidRPr="00EC250C">
        <w:rPr>
          <w:szCs w:val="24"/>
        </w:rPr>
        <w:t>nieważnoś</w:t>
      </w:r>
      <w:r w:rsidR="001D4F1C" w:rsidRPr="00EC250C">
        <w:rPr>
          <w:szCs w:val="24"/>
        </w:rPr>
        <w:t>ci</w:t>
      </w:r>
      <w:r w:rsidRPr="00EC250C">
        <w:rPr>
          <w:szCs w:val="24"/>
        </w:rPr>
        <w:t xml:space="preserve"> wyroku sądu wojskowego, który</w:t>
      </w:r>
      <w:r w:rsidR="00992FD0" w:rsidRPr="00EC250C">
        <w:rPr>
          <w:szCs w:val="24"/>
        </w:rPr>
        <w:t xml:space="preserve"> w </w:t>
      </w:r>
      <w:r w:rsidRPr="00EC250C">
        <w:rPr>
          <w:szCs w:val="24"/>
        </w:rPr>
        <w:t>styczniu 1945 roku skazał żołnierza Batalionów Chłopskich Feliksa B. na karę śmierci za wydanie rozkazu zabójstwa mężczyzny</w:t>
      </w:r>
      <w:r w:rsidR="00026572" w:rsidRPr="00EC250C">
        <w:rPr>
          <w:szCs w:val="24"/>
        </w:rPr>
        <w:t xml:space="preserve"> – </w:t>
      </w:r>
      <w:r w:rsidRPr="00EC250C">
        <w:rPr>
          <w:szCs w:val="24"/>
        </w:rPr>
        <w:t>jak głosił akt oskarżenia</w:t>
      </w:r>
      <w:r w:rsidR="00026572" w:rsidRPr="00EC250C">
        <w:rPr>
          <w:szCs w:val="24"/>
        </w:rPr>
        <w:t xml:space="preserve"> – </w:t>
      </w:r>
      <w:r w:rsidRPr="00EC250C">
        <w:rPr>
          <w:szCs w:val="24"/>
        </w:rPr>
        <w:t>„znanego</w:t>
      </w:r>
      <w:r w:rsidR="00992FD0" w:rsidRPr="00EC250C">
        <w:rPr>
          <w:szCs w:val="24"/>
        </w:rPr>
        <w:t xml:space="preserve"> z </w:t>
      </w:r>
      <w:r w:rsidRPr="00EC250C">
        <w:rPr>
          <w:szCs w:val="24"/>
        </w:rPr>
        <w:t>swych przekonań demokratycznych</w:t>
      </w:r>
      <w:r w:rsidR="00992FD0" w:rsidRPr="00EC250C">
        <w:rPr>
          <w:szCs w:val="24"/>
        </w:rPr>
        <w:t xml:space="preserve"> i </w:t>
      </w:r>
      <w:r w:rsidRPr="00EC250C">
        <w:rPr>
          <w:szCs w:val="24"/>
        </w:rPr>
        <w:t>kontaktu</w:t>
      </w:r>
      <w:r w:rsidR="00992FD0" w:rsidRPr="00EC250C">
        <w:rPr>
          <w:szCs w:val="24"/>
        </w:rPr>
        <w:t xml:space="preserve"> z </w:t>
      </w:r>
      <w:r w:rsidRPr="00EC250C">
        <w:rPr>
          <w:szCs w:val="24"/>
        </w:rPr>
        <w:t>Armią Ludową”</w:t>
      </w:r>
      <w:r w:rsidRPr="00EC250C">
        <w:rPr>
          <w:rStyle w:val="Odwoanieprzypisudolnego"/>
          <w:szCs w:val="24"/>
        </w:rPr>
        <w:footnoteReference w:id="220"/>
      </w:r>
      <w:r w:rsidRPr="00EC250C">
        <w:rPr>
          <w:szCs w:val="24"/>
        </w:rPr>
        <w:t>.</w:t>
      </w:r>
    </w:p>
    <w:p w14:paraId="78BC3F3D" w14:textId="77777777" w:rsidR="00D86DD2" w:rsidRPr="00EC250C" w:rsidRDefault="00D86DD2" w:rsidP="00D131FA">
      <w:pPr>
        <w:pStyle w:val="Styl2"/>
        <w:rPr>
          <w:szCs w:val="24"/>
        </w:rPr>
      </w:pPr>
      <w:r w:rsidRPr="00EC250C">
        <w:rPr>
          <w:szCs w:val="24"/>
        </w:rPr>
        <w:t>Żołnierz został rozstrzelany 8 stycznia 1945</w:t>
      </w:r>
      <w:r w:rsidR="00C91F6E" w:rsidRPr="00EC250C">
        <w:rPr>
          <w:szCs w:val="24"/>
        </w:rPr>
        <w:t> r.</w:t>
      </w:r>
      <w:r w:rsidRPr="00EC250C">
        <w:rPr>
          <w:szCs w:val="24"/>
        </w:rPr>
        <w:t> Do wielu zbrodni sądowych dochodziło</w:t>
      </w:r>
      <w:r w:rsidR="00992FD0" w:rsidRPr="00EC250C">
        <w:rPr>
          <w:szCs w:val="24"/>
        </w:rPr>
        <w:t xml:space="preserve"> z </w:t>
      </w:r>
      <w:r w:rsidRPr="00EC250C">
        <w:rPr>
          <w:szCs w:val="24"/>
        </w:rPr>
        <w:t>rażącym naruszeniem ówczesnego prawa. I na to można się powoływać teraz przed Sądem Najwyższym. Tak było zdaniem RPO</w:t>
      </w:r>
      <w:r w:rsidR="00992FD0" w:rsidRPr="00EC250C">
        <w:rPr>
          <w:szCs w:val="24"/>
        </w:rPr>
        <w:t xml:space="preserve"> w </w:t>
      </w:r>
      <w:r w:rsidRPr="00EC250C">
        <w:rPr>
          <w:szCs w:val="24"/>
        </w:rPr>
        <w:t>przypadku Feliksa B.</w:t>
      </w:r>
    </w:p>
    <w:p w14:paraId="68D30A5C" w14:textId="77777777" w:rsidR="00D86DD2" w:rsidRPr="00EC250C" w:rsidRDefault="00D86DD2" w:rsidP="00D131FA">
      <w:pPr>
        <w:pStyle w:val="Styl2"/>
        <w:rPr>
          <w:szCs w:val="24"/>
        </w:rPr>
      </w:pPr>
      <w:r w:rsidRPr="00EC250C">
        <w:rPr>
          <w:szCs w:val="24"/>
        </w:rPr>
        <w:t>Kasację do SN uzasadnił tym, że Sąd Wojskowy Garnizonu Warszawskiego</w:t>
      </w:r>
      <w:r w:rsidR="00026572" w:rsidRPr="00EC250C">
        <w:rPr>
          <w:szCs w:val="24"/>
        </w:rPr>
        <w:t xml:space="preserve"> – </w:t>
      </w:r>
      <w:r w:rsidRPr="00EC250C">
        <w:rPr>
          <w:szCs w:val="24"/>
        </w:rPr>
        <w:t>który wydał wyrok</w:t>
      </w:r>
      <w:r w:rsidR="00026572" w:rsidRPr="00EC250C">
        <w:rPr>
          <w:szCs w:val="24"/>
        </w:rPr>
        <w:t xml:space="preserve"> – </w:t>
      </w:r>
      <w:r w:rsidRPr="00EC250C">
        <w:rPr>
          <w:szCs w:val="24"/>
        </w:rPr>
        <w:t>nie był właściwy do rozpoznania sprawy. Powinien był ją rozpatrzyć sąd powszechny.</w:t>
      </w:r>
      <w:r w:rsidR="001D4F1C" w:rsidRPr="00EC250C">
        <w:rPr>
          <w:szCs w:val="24"/>
        </w:rPr>
        <w:t xml:space="preserve"> </w:t>
      </w:r>
      <w:r w:rsidRPr="00EC250C">
        <w:rPr>
          <w:szCs w:val="24"/>
        </w:rPr>
        <w:t>O</w:t>
      </w:r>
      <w:r w:rsidR="001D4F1C" w:rsidRPr="00EC250C">
        <w:rPr>
          <w:szCs w:val="24"/>
        </w:rPr>
        <w:t> </w:t>
      </w:r>
      <w:r w:rsidRPr="00EC250C">
        <w:rPr>
          <w:szCs w:val="24"/>
        </w:rPr>
        <w:t>cześć ojca walczy córka. Unieważnienie wyroku dałoby jej prawo do odszkodowania.</w:t>
      </w:r>
    </w:p>
    <w:p w14:paraId="0341475D" w14:textId="77777777" w:rsidR="00D86DD2" w:rsidRPr="00EC250C" w:rsidRDefault="00D86DD2" w:rsidP="00D131FA">
      <w:pPr>
        <w:pStyle w:val="Styl2"/>
        <w:rPr>
          <w:szCs w:val="24"/>
        </w:rPr>
      </w:pPr>
      <w:r w:rsidRPr="00EC250C">
        <w:rPr>
          <w:szCs w:val="24"/>
        </w:rPr>
        <w:t>Już</w:t>
      </w:r>
      <w:r w:rsidR="00992FD0" w:rsidRPr="00EC250C">
        <w:rPr>
          <w:szCs w:val="24"/>
        </w:rPr>
        <w:t xml:space="preserve"> w </w:t>
      </w:r>
      <w:r w:rsidRPr="00EC250C">
        <w:rPr>
          <w:szCs w:val="24"/>
          <w:shd w:val="clear" w:color="auto" w:fill="FFFFFF"/>
        </w:rPr>
        <w:t>2019</w:t>
      </w:r>
      <w:r w:rsidR="00C91F6E" w:rsidRPr="00EC250C">
        <w:rPr>
          <w:szCs w:val="24"/>
          <w:shd w:val="clear" w:color="auto" w:fill="FFFFFF"/>
        </w:rPr>
        <w:t> r.</w:t>
      </w:r>
      <w:r w:rsidRPr="00EC250C">
        <w:rPr>
          <w:szCs w:val="24"/>
          <w:shd w:val="clear" w:color="auto" w:fill="FFFFFF"/>
        </w:rPr>
        <w:t xml:space="preserve"> Sąd Najwyższy (sygn. akt II KK 31/18) uwzględnił kasację. Uchylił wyrok,</w:t>
      </w:r>
      <w:r w:rsidR="00992FD0" w:rsidRPr="00EC250C">
        <w:rPr>
          <w:szCs w:val="24"/>
          <w:shd w:val="clear" w:color="auto" w:fill="FFFFFF"/>
        </w:rPr>
        <w:t xml:space="preserve"> a </w:t>
      </w:r>
      <w:r w:rsidRPr="00EC250C">
        <w:rPr>
          <w:szCs w:val="24"/>
          <w:shd w:val="clear" w:color="auto" w:fill="FFFFFF"/>
        </w:rPr>
        <w:t>post</w:t>
      </w:r>
      <w:r w:rsidR="00906688" w:rsidRPr="00EC250C">
        <w:rPr>
          <w:szCs w:val="24"/>
          <w:shd w:val="clear" w:color="auto" w:fill="FFFFFF"/>
        </w:rPr>
        <w:t>ę</w:t>
      </w:r>
      <w:r w:rsidRPr="00EC250C">
        <w:rPr>
          <w:szCs w:val="24"/>
          <w:shd w:val="clear" w:color="auto" w:fill="FFFFFF"/>
        </w:rPr>
        <w:t>powanie umorzył</w:t>
      </w:r>
      <w:r w:rsidR="00992FD0" w:rsidRPr="00EC250C">
        <w:rPr>
          <w:szCs w:val="24"/>
          <w:shd w:val="clear" w:color="auto" w:fill="FFFFFF"/>
        </w:rPr>
        <w:t xml:space="preserve"> z </w:t>
      </w:r>
      <w:r w:rsidRPr="00EC250C">
        <w:rPr>
          <w:szCs w:val="24"/>
          <w:shd w:val="clear" w:color="auto" w:fill="FFFFFF"/>
        </w:rPr>
        <w:t>powodu śmierci Feliksa B.</w:t>
      </w:r>
      <w:r w:rsidRPr="00EC250C">
        <w:rPr>
          <w:szCs w:val="24"/>
        </w:rPr>
        <w:t>.</w:t>
      </w:r>
    </w:p>
    <w:p w14:paraId="7A5B6963" w14:textId="77777777" w:rsidR="00D86DD2" w:rsidRPr="00EC250C" w:rsidRDefault="00D86DD2" w:rsidP="00EC250C">
      <w:pPr>
        <w:pStyle w:val="Nagwek8"/>
      </w:pPr>
      <w:r w:rsidRPr="00EC250C">
        <w:t>Śmiertelnie potrącił kobietę</w:t>
      </w:r>
      <w:r w:rsidR="00026572" w:rsidRPr="00EC250C">
        <w:t xml:space="preserve"> – </w:t>
      </w:r>
      <w:r w:rsidRPr="00EC250C">
        <w:t>sąd umorzył sprawę. Po kasacji RPO Sąd Najwyższy nakazał jej ponowne zbadanie</w:t>
      </w:r>
    </w:p>
    <w:p w14:paraId="1FE6FA6C" w14:textId="77777777" w:rsidR="00D86DD2" w:rsidRPr="00EC250C" w:rsidRDefault="00D86DD2" w:rsidP="00D131FA">
      <w:pPr>
        <w:pStyle w:val="Styl2"/>
        <w:rPr>
          <w:szCs w:val="24"/>
        </w:rPr>
      </w:pPr>
      <w:r w:rsidRPr="00EC250C">
        <w:rPr>
          <w:szCs w:val="24"/>
        </w:rPr>
        <w:t>Kobieta zginęła, gdy potrącił j</w:t>
      </w:r>
      <w:r w:rsidR="00906688" w:rsidRPr="00EC250C">
        <w:rPr>
          <w:szCs w:val="24"/>
        </w:rPr>
        <w:t>ą</w:t>
      </w:r>
      <w:r w:rsidRPr="00EC250C">
        <w:rPr>
          <w:szCs w:val="24"/>
        </w:rPr>
        <w:t xml:space="preserve"> kierowca prowadzący</w:t>
      </w:r>
      <w:r w:rsidR="00992FD0" w:rsidRPr="00EC250C">
        <w:rPr>
          <w:szCs w:val="24"/>
        </w:rPr>
        <w:t xml:space="preserve"> </w:t>
      </w:r>
      <w:r w:rsidR="00906688" w:rsidRPr="00EC250C">
        <w:rPr>
          <w:szCs w:val="24"/>
        </w:rPr>
        <w:t>po</w:t>
      </w:r>
      <w:r w:rsidR="00992FD0" w:rsidRPr="00EC250C">
        <w:rPr>
          <w:szCs w:val="24"/>
        </w:rPr>
        <w:t> </w:t>
      </w:r>
      <w:r w:rsidRPr="00EC250C">
        <w:rPr>
          <w:szCs w:val="24"/>
        </w:rPr>
        <w:t>zmroku</w:t>
      </w:r>
      <w:r w:rsidR="00992FD0" w:rsidRPr="00EC250C">
        <w:rPr>
          <w:szCs w:val="24"/>
        </w:rPr>
        <w:t xml:space="preserve"> i </w:t>
      </w:r>
      <w:r w:rsidR="00906688" w:rsidRPr="00EC250C">
        <w:rPr>
          <w:szCs w:val="24"/>
        </w:rPr>
        <w:t>w </w:t>
      </w:r>
      <w:r w:rsidRPr="00EC250C">
        <w:rPr>
          <w:szCs w:val="24"/>
        </w:rPr>
        <w:t>deszczu samochód</w:t>
      </w:r>
      <w:r w:rsidR="00992FD0" w:rsidRPr="00EC250C">
        <w:rPr>
          <w:szCs w:val="24"/>
        </w:rPr>
        <w:t xml:space="preserve"> z </w:t>
      </w:r>
      <w:r w:rsidRPr="00EC250C">
        <w:rPr>
          <w:szCs w:val="24"/>
        </w:rPr>
        <w:t>niedozwoloną prędkością</w:t>
      </w:r>
      <w:r w:rsidR="00992FD0" w:rsidRPr="00EC250C">
        <w:rPr>
          <w:szCs w:val="24"/>
        </w:rPr>
        <w:t xml:space="preserve"> w </w:t>
      </w:r>
      <w:r w:rsidRPr="00EC250C">
        <w:rPr>
          <w:szCs w:val="24"/>
        </w:rPr>
        <w:t>terenie zabudowanym. Oskarżono go</w:t>
      </w:r>
      <w:r w:rsidR="00992FD0" w:rsidRPr="00EC250C">
        <w:rPr>
          <w:szCs w:val="24"/>
        </w:rPr>
        <w:t xml:space="preserve"> o </w:t>
      </w:r>
      <w:r w:rsidRPr="00EC250C">
        <w:rPr>
          <w:szCs w:val="24"/>
        </w:rPr>
        <w:t>nieumyślne spowodowanie śmiertelnego wypadku. Sąd I instancji uznał go za winnego jedynie wykroczenia niezastosowania się do ograniczenia prędkości</w:t>
      </w:r>
      <w:r w:rsidR="00992FD0" w:rsidRPr="00EC250C">
        <w:rPr>
          <w:szCs w:val="24"/>
        </w:rPr>
        <w:t xml:space="preserve"> i </w:t>
      </w:r>
      <w:r w:rsidRPr="00EC250C">
        <w:rPr>
          <w:szCs w:val="24"/>
        </w:rPr>
        <w:t>ukarał grzywną. A sąd II instancji umorzył całą sprawę</w:t>
      </w:r>
      <w:r w:rsidR="00992FD0" w:rsidRPr="00EC250C">
        <w:rPr>
          <w:szCs w:val="24"/>
        </w:rPr>
        <w:t xml:space="preserve"> z </w:t>
      </w:r>
      <w:r w:rsidRPr="00EC250C">
        <w:rPr>
          <w:szCs w:val="24"/>
        </w:rPr>
        <w:t>powodu przedawnienia tego wykroczenia. Sąd pominął opinię biegłego, że</w:t>
      </w:r>
      <w:r w:rsidR="00992FD0" w:rsidRPr="00EC250C">
        <w:rPr>
          <w:szCs w:val="24"/>
        </w:rPr>
        <w:t xml:space="preserve"> w </w:t>
      </w:r>
      <w:r w:rsidRPr="00EC250C">
        <w:rPr>
          <w:szCs w:val="24"/>
        </w:rPr>
        <w:t>samochodzie oskarżonego włączone były tylko słabsze światła pozycyjne,</w:t>
      </w:r>
      <w:r w:rsidR="00992FD0" w:rsidRPr="00EC250C">
        <w:rPr>
          <w:szCs w:val="24"/>
        </w:rPr>
        <w:t xml:space="preserve"> a </w:t>
      </w:r>
      <w:r w:rsidRPr="00EC250C">
        <w:rPr>
          <w:szCs w:val="24"/>
        </w:rPr>
        <w:t>nie mocniejsze</w:t>
      </w:r>
      <w:r w:rsidR="00026572" w:rsidRPr="00EC250C">
        <w:rPr>
          <w:szCs w:val="24"/>
        </w:rPr>
        <w:t xml:space="preserve"> – </w:t>
      </w:r>
      <w:r w:rsidRPr="00EC250C">
        <w:rPr>
          <w:szCs w:val="24"/>
        </w:rPr>
        <w:t>mijania (co jest niezgodne</w:t>
      </w:r>
      <w:r w:rsidR="00992FD0" w:rsidRPr="00EC250C">
        <w:rPr>
          <w:szCs w:val="24"/>
        </w:rPr>
        <w:t xml:space="preserve"> z </w:t>
      </w:r>
      <w:r w:rsidRPr="00EC250C">
        <w:rPr>
          <w:szCs w:val="24"/>
        </w:rPr>
        <w:t>Prawem drogowym). Opinia tego biegłego nie została jednak uwzględniona przez innych biegłych, którzy przyjęli, że samochód miał włączone światła mijania. Ma to fundamentalne znaczenie dla sprawy: widząc słabsze światła pozycyjne, potrącona kobieta mogła ocenić, że zbliżające się auto jest dalej niż sądziła</w:t>
      </w:r>
      <w:r w:rsidR="00992FD0" w:rsidRPr="00EC250C">
        <w:rPr>
          <w:szCs w:val="24"/>
        </w:rPr>
        <w:t xml:space="preserve"> i </w:t>
      </w:r>
      <w:r w:rsidRPr="00EC250C">
        <w:rPr>
          <w:szCs w:val="24"/>
        </w:rPr>
        <w:t>dlatego weszła na jezdnię. W czerwcu 2018</w:t>
      </w:r>
      <w:r w:rsidR="00C91F6E" w:rsidRPr="00EC250C">
        <w:rPr>
          <w:szCs w:val="24"/>
        </w:rPr>
        <w:t> r.</w:t>
      </w:r>
      <w:r w:rsidRPr="00EC250C">
        <w:rPr>
          <w:szCs w:val="24"/>
        </w:rPr>
        <w:t xml:space="preserve"> Sąd Najwyższy uznał kasację RPO za zasadną (sygn. akt IV KK 374/17)</w:t>
      </w:r>
      <w:r w:rsidR="00992FD0" w:rsidRPr="00EC250C">
        <w:rPr>
          <w:szCs w:val="24"/>
        </w:rPr>
        <w:t xml:space="preserve"> i </w:t>
      </w:r>
      <w:r w:rsidRPr="00EC250C">
        <w:rPr>
          <w:szCs w:val="24"/>
        </w:rPr>
        <w:t>zwrócił sprawę sądowi okręgowemu</w:t>
      </w:r>
      <w:r w:rsidRPr="00EC250C">
        <w:rPr>
          <w:rStyle w:val="Odwoanieprzypisudolnego"/>
          <w:szCs w:val="24"/>
        </w:rPr>
        <w:footnoteReference w:id="221"/>
      </w:r>
      <w:r w:rsidRPr="00EC250C">
        <w:rPr>
          <w:szCs w:val="24"/>
        </w:rPr>
        <w:t>.</w:t>
      </w:r>
    </w:p>
    <w:p w14:paraId="7B21CA96" w14:textId="77777777" w:rsidR="00D86DD2" w:rsidRPr="00EC250C" w:rsidRDefault="00D86DD2" w:rsidP="00EC250C">
      <w:pPr>
        <w:pStyle w:val="Nagwek8"/>
      </w:pPr>
      <w:r w:rsidRPr="00EC250C">
        <w:t>Karalne jest niezachowanie ostrożności przez prowadzącego auto</w:t>
      </w:r>
      <w:r w:rsidR="00026572" w:rsidRPr="00EC250C">
        <w:t xml:space="preserve"> – </w:t>
      </w:r>
      <w:r w:rsidRPr="00EC250C">
        <w:t>przy jego prowadzeniu. SN uchylił grzywnę po kasacji RPO</w:t>
      </w:r>
    </w:p>
    <w:p w14:paraId="5A65D606" w14:textId="77777777" w:rsidR="00D86DD2" w:rsidRPr="00EC250C" w:rsidRDefault="00D86DD2" w:rsidP="00D131FA">
      <w:pPr>
        <w:pStyle w:val="Styl2"/>
        <w:rPr>
          <w:rFonts w:eastAsia="Times New Roman"/>
          <w:szCs w:val="24"/>
          <w:lang w:eastAsia="pl-PL"/>
        </w:rPr>
      </w:pPr>
      <w:r w:rsidRPr="00EC250C">
        <w:rPr>
          <w:szCs w:val="24"/>
        </w:rPr>
        <w:t>Obywatel został ukarany za wykroczenie</w:t>
      </w:r>
      <w:r w:rsidR="00992FD0" w:rsidRPr="00EC250C">
        <w:rPr>
          <w:szCs w:val="24"/>
        </w:rPr>
        <w:t xml:space="preserve"> z </w:t>
      </w:r>
      <w:r w:rsidRPr="00EC250C">
        <w:rPr>
          <w:rFonts w:eastAsia="Times New Roman"/>
          <w:szCs w:val="24"/>
          <w:bdr w:val="none" w:sz="0" w:space="0" w:color="auto" w:frame="1"/>
          <w:lang w:eastAsia="pl-PL"/>
        </w:rPr>
        <w:t>art. 98 Kodeksu wykroczeń. Zgodnie</w:t>
      </w:r>
      <w:r w:rsidR="00992FD0" w:rsidRPr="00EC250C">
        <w:rPr>
          <w:rFonts w:eastAsia="Times New Roman"/>
          <w:szCs w:val="24"/>
          <w:bdr w:val="none" w:sz="0" w:space="0" w:color="auto" w:frame="1"/>
          <w:lang w:eastAsia="pl-PL"/>
        </w:rPr>
        <w:t xml:space="preserve"> z </w:t>
      </w:r>
      <w:r w:rsidRPr="00EC250C">
        <w:rPr>
          <w:rFonts w:eastAsia="Times New Roman"/>
          <w:szCs w:val="24"/>
          <w:bdr w:val="none" w:sz="0" w:space="0" w:color="auto" w:frame="1"/>
          <w:lang w:eastAsia="pl-PL"/>
        </w:rPr>
        <w:t>nim, „k</w:t>
      </w:r>
      <w:r w:rsidRPr="00EC250C">
        <w:rPr>
          <w:rFonts w:eastAsia="Times New Roman"/>
          <w:szCs w:val="24"/>
          <w:lang w:eastAsia="pl-PL"/>
        </w:rPr>
        <w:t xml:space="preserve">to prowadząc pojazd poza drogą publiczną, nie zachowuje należytej ostrożności, czym zagraża bezpieczeństwu innych osób (…) podlega karze grzywny albo nagany”. Sąd </w:t>
      </w:r>
      <w:r w:rsidRPr="00EC250C">
        <w:rPr>
          <w:szCs w:val="24"/>
        </w:rPr>
        <w:t xml:space="preserve">uznał, że obywatel </w:t>
      </w:r>
      <w:r w:rsidRPr="00EC250C">
        <w:rPr>
          <w:rFonts w:eastAsia="Times New Roman"/>
          <w:szCs w:val="24"/>
          <w:bdr w:val="none" w:sz="0" w:space="0" w:color="auto" w:frame="1"/>
          <w:lang w:eastAsia="pl-PL"/>
        </w:rPr>
        <w:t xml:space="preserve">nie zachował należytej ostrożności podczas prowadzenia pojazdu. Uruchomił bowiem pilotem bramę domu, która uderzyła inny samochód. Tymczasem warunkiem odpowiedzialności za to wykroczenie </w:t>
      </w:r>
      <w:r w:rsidRPr="00EC250C">
        <w:rPr>
          <w:rFonts w:eastAsia="Times New Roman"/>
          <w:szCs w:val="24"/>
          <w:bdr w:val="none" w:sz="0" w:space="0" w:color="auto" w:frame="1"/>
          <w:lang w:eastAsia="pl-PL"/>
        </w:rPr>
        <w:lastRenderedPageBreak/>
        <w:t>jest niezachowanie ostrożności przez prowadzącego samochód</w:t>
      </w:r>
      <w:r w:rsidR="00026572" w:rsidRPr="00EC250C">
        <w:rPr>
          <w:rFonts w:eastAsia="Times New Roman"/>
          <w:szCs w:val="24"/>
          <w:bdr w:val="none" w:sz="0" w:space="0" w:color="auto" w:frame="1"/>
          <w:lang w:eastAsia="pl-PL"/>
        </w:rPr>
        <w:t xml:space="preserve"> – </w:t>
      </w:r>
      <w:r w:rsidRPr="00EC250C">
        <w:rPr>
          <w:rFonts w:eastAsia="Times New Roman"/>
          <w:szCs w:val="24"/>
          <w:bdr w:val="none" w:sz="0" w:space="0" w:color="auto" w:frame="1"/>
          <w:lang w:eastAsia="pl-PL"/>
        </w:rPr>
        <w:t>przy jego prowadzeniu. Użycie zaś pilota do bramy nie ma</w:t>
      </w:r>
      <w:r w:rsidR="00992FD0" w:rsidRPr="00EC250C">
        <w:rPr>
          <w:rFonts w:eastAsia="Times New Roman"/>
          <w:szCs w:val="24"/>
          <w:bdr w:val="none" w:sz="0" w:space="0" w:color="auto" w:frame="1"/>
          <w:lang w:eastAsia="pl-PL"/>
        </w:rPr>
        <w:t xml:space="preserve"> z </w:t>
      </w:r>
      <w:r w:rsidRPr="00EC250C">
        <w:rPr>
          <w:rFonts w:eastAsia="Times New Roman"/>
          <w:szCs w:val="24"/>
          <w:bdr w:val="none" w:sz="0" w:space="0" w:color="auto" w:frame="1"/>
          <w:lang w:eastAsia="pl-PL"/>
        </w:rPr>
        <w:t xml:space="preserve">tym związku. Sąd nie wziął tego pod uwagę. </w:t>
      </w:r>
      <w:r w:rsidRPr="00EC250C">
        <w:rPr>
          <w:rFonts w:eastAsia="Times New Roman"/>
          <w:szCs w:val="24"/>
          <w:lang w:eastAsia="pl-PL"/>
        </w:rPr>
        <w:t>Sąd Najwyższy (sygn. akt IV KK 404/18) we wrześniu 2018</w:t>
      </w:r>
      <w:r w:rsidR="00C91F6E" w:rsidRPr="00EC250C">
        <w:rPr>
          <w:rFonts w:eastAsia="Times New Roman"/>
          <w:szCs w:val="24"/>
          <w:lang w:eastAsia="pl-PL"/>
        </w:rPr>
        <w:t> r.</w:t>
      </w:r>
      <w:r w:rsidRPr="00EC250C">
        <w:rPr>
          <w:rFonts w:eastAsia="Times New Roman"/>
          <w:szCs w:val="24"/>
          <w:lang w:eastAsia="pl-PL"/>
        </w:rPr>
        <w:t xml:space="preserve"> uwzględnił kasację RPO</w:t>
      </w:r>
      <w:r w:rsidR="00992FD0" w:rsidRPr="00EC250C">
        <w:rPr>
          <w:rFonts w:eastAsia="Times New Roman"/>
          <w:szCs w:val="24"/>
          <w:lang w:eastAsia="pl-PL"/>
        </w:rPr>
        <w:t xml:space="preserve"> w </w:t>
      </w:r>
      <w:r w:rsidRPr="00EC250C">
        <w:rPr>
          <w:rFonts w:eastAsia="Times New Roman"/>
          <w:szCs w:val="24"/>
          <w:lang w:eastAsia="pl-PL"/>
        </w:rPr>
        <w:t>tej sprawie. Uchylił wyrok sądu rejonowego</w:t>
      </w:r>
      <w:r w:rsidR="00992FD0" w:rsidRPr="00EC250C">
        <w:rPr>
          <w:rFonts w:eastAsia="Times New Roman"/>
          <w:szCs w:val="24"/>
          <w:lang w:eastAsia="pl-PL"/>
        </w:rPr>
        <w:t xml:space="preserve"> i </w:t>
      </w:r>
      <w:r w:rsidRPr="00EC250C">
        <w:rPr>
          <w:rFonts w:eastAsia="Times New Roman"/>
          <w:szCs w:val="24"/>
          <w:lang w:eastAsia="pl-PL"/>
        </w:rPr>
        <w:t>umorzył postępowanie wobec przedawnienia</w:t>
      </w:r>
      <w:r w:rsidRPr="00EC250C">
        <w:rPr>
          <w:rStyle w:val="Odwoanieprzypisudolnego"/>
          <w:szCs w:val="24"/>
        </w:rPr>
        <w:footnoteReference w:id="222"/>
      </w:r>
      <w:r w:rsidRPr="00EC250C">
        <w:rPr>
          <w:rFonts w:eastAsia="Times New Roman"/>
          <w:szCs w:val="24"/>
          <w:lang w:eastAsia="pl-PL"/>
        </w:rPr>
        <w:t>.</w:t>
      </w:r>
    </w:p>
    <w:p w14:paraId="0FD09600" w14:textId="77777777" w:rsidR="00D86DD2" w:rsidRPr="00EC250C" w:rsidRDefault="00D86DD2" w:rsidP="00EC79EB">
      <w:pPr>
        <w:pStyle w:val="Nagwek4"/>
      </w:pPr>
      <w:bookmarkStart w:id="236" w:name="_Toc6257732"/>
      <w:bookmarkStart w:id="237" w:name="_Toc11247624"/>
      <w:r w:rsidRPr="00EC250C">
        <w:t>Problemy</w:t>
      </w:r>
      <w:r w:rsidR="00992FD0" w:rsidRPr="00EC250C">
        <w:t xml:space="preserve"> z </w:t>
      </w:r>
      <w:r w:rsidRPr="00EC250C">
        <w:t>bezpłatną pomocą prawną</w:t>
      </w:r>
      <w:r w:rsidR="00992FD0" w:rsidRPr="00EC250C">
        <w:t xml:space="preserve"> i </w:t>
      </w:r>
      <w:r w:rsidRPr="00EC250C">
        <w:t>kosztami postępowań przed sądami</w:t>
      </w:r>
      <w:bookmarkEnd w:id="236"/>
      <w:bookmarkEnd w:id="237"/>
    </w:p>
    <w:p w14:paraId="50172E1A" w14:textId="77777777" w:rsidR="00C91F6E" w:rsidRPr="00EC250C" w:rsidRDefault="00D86DD2" w:rsidP="00EC250C">
      <w:pPr>
        <w:pStyle w:val="Nagwek5"/>
      </w:pPr>
      <w:r w:rsidRPr="00EC250C">
        <w:t>Funkcjonowanie ustawy</w:t>
      </w:r>
      <w:r w:rsidR="00992FD0" w:rsidRPr="00EC250C">
        <w:t xml:space="preserve"> o </w:t>
      </w:r>
      <w:r w:rsidRPr="00EC250C">
        <w:t>nieodpłatnej pomocy prawnej oraz edukacji prawnej</w:t>
      </w:r>
    </w:p>
    <w:p w14:paraId="24508CD0" w14:textId="77777777" w:rsidR="00B473F5" w:rsidRPr="00EC250C" w:rsidRDefault="00D86DD2" w:rsidP="00D131FA">
      <w:pPr>
        <w:pStyle w:val="Problemczowieka"/>
        <w:jc w:val="both"/>
        <w:rPr>
          <w:lang w:eastAsia="en-US"/>
        </w:rPr>
      </w:pPr>
      <w:r w:rsidRPr="00EC250C">
        <w:rPr>
          <w:lang w:eastAsia="en-US"/>
        </w:rPr>
        <w:t>Od 1 stycznia 2019</w:t>
      </w:r>
      <w:r w:rsidR="00C91F6E" w:rsidRPr="00EC250C">
        <w:rPr>
          <w:lang w:eastAsia="en-US"/>
        </w:rPr>
        <w:t> r.</w:t>
      </w:r>
      <w:r w:rsidRPr="00EC250C">
        <w:rPr>
          <w:lang w:eastAsia="en-US"/>
        </w:rPr>
        <w:t xml:space="preserve"> miało się zmienić funkcjonowanie dotychczasowych punktów darmowej pomocy prawnej</w:t>
      </w:r>
      <w:r w:rsidRPr="00EC250C">
        <w:rPr>
          <w:rStyle w:val="Odwoanieprzypisudolnego"/>
          <w:iCs/>
          <w:lang w:eastAsia="en-US"/>
        </w:rPr>
        <w:footnoteReference w:id="223"/>
      </w:r>
      <w:r w:rsidRPr="00EC250C">
        <w:rPr>
          <w:lang w:eastAsia="en-US"/>
        </w:rPr>
        <w:t xml:space="preserve">. </w:t>
      </w:r>
      <w:r w:rsidR="00C079A6" w:rsidRPr="00EC250C">
        <w:rPr>
          <w:lang w:eastAsia="en-US"/>
        </w:rPr>
        <w:t>RPO</w:t>
      </w:r>
      <w:r w:rsidRPr="00EC250C">
        <w:rPr>
          <w:lang w:eastAsia="en-US"/>
        </w:rPr>
        <w:t xml:space="preserve"> alarmował, że władze opóźniają się</w:t>
      </w:r>
      <w:r w:rsidR="00992FD0" w:rsidRPr="00EC250C">
        <w:rPr>
          <w:lang w:eastAsia="en-US"/>
        </w:rPr>
        <w:t xml:space="preserve"> z </w:t>
      </w:r>
      <w:r w:rsidRPr="00EC250C">
        <w:rPr>
          <w:lang w:eastAsia="en-US"/>
        </w:rPr>
        <w:t>przygotowaniami, więc nowe przepisy nie zadziałają</w:t>
      </w:r>
      <w:r w:rsidR="00B473F5" w:rsidRPr="00EC250C">
        <w:rPr>
          <w:lang w:eastAsia="en-US"/>
        </w:rPr>
        <w:t>.</w:t>
      </w:r>
    </w:p>
    <w:p w14:paraId="4136DA95" w14:textId="77777777" w:rsidR="00D86DD2" w:rsidRPr="00EC250C" w:rsidRDefault="00D86DD2" w:rsidP="00D131FA">
      <w:pPr>
        <w:pStyle w:val="Styl1"/>
        <w:rPr>
          <w:bCs/>
          <w:lang w:eastAsia="en-US"/>
        </w:rPr>
      </w:pPr>
      <w:r w:rsidRPr="00EC250C">
        <w:rPr>
          <w:bCs/>
          <w:iCs/>
          <w:lang w:eastAsia="en-US"/>
        </w:rPr>
        <w:t>Jako jedną</w:t>
      </w:r>
      <w:r w:rsidR="00992FD0" w:rsidRPr="00EC250C">
        <w:rPr>
          <w:bCs/>
          <w:iCs/>
          <w:lang w:eastAsia="en-US"/>
        </w:rPr>
        <w:t xml:space="preserve"> z </w:t>
      </w:r>
      <w:r w:rsidRPr="00EC250C">
        <w:rPr>
          <w:bCs/>
          <w:iCs/>
          <w:lang w:eastAsia="en-US"/>
        </w:rPr>
        <w:t>przyczyn takiego stanu rzeczy był brak przepisów wykonawczych do ustawy</w:t>
      </w:r>
      <w:r w:rsidRPr="00EC250C">
        <w:t xml:space="preserve"> </w:t>
      </w:r>
      <w:r w:rsidRPr="00EC250C">
        <w:rPr>
          <w:bCs/>
          <w:iCs/>
          <w:lang w:eastAsia="en-US"/>
        </w:rPr>
        <w:t>określających zasady wyłaniania organizacji pozarządowych mających prowadzić punkty bezpłatnego poradnictwa prawnego. Minister Sprawiedliwości uspokajał, że rozporządzenie będzie gotowe na 1 stycznia</w:t>
      </w:r>
      <w:r w:rsidRPr="00EC250C">
        <w:rPr>
          <w:rStyle w:val="Odwoanieprzypisudolnego"/>
          <w:iCs/>
          <w:lang w:eastAsia="en-US"/>
        </w:rPr>
        <w:footnoteReference w:id="224"/>
      </w:r>
      <w:r w:rsidRPr="00EC250C">
        <w:rPr>
          <w:bCs/>
          <w:iCs/>
          <w:lang w:eastAsia="en-US"/>
        </w:rPr>
        <w:t>.</w:t>
      </w:r>
      <w:r w:rsidR="00F76BA4" w:rsidRPr="00EC250C">
        <w:rPr>
          <w:bCs/>
          <w:iCs/>
          <w:lang w:eastAsia="en-US"/>
        </w:rPr>
        <w:t xml:space="preserve"> RPO uważnie przygląda się, jak ustawa działa po zmianach.</w:t>
      </w:r>
    </w:p>
    <w:p w14:paraId="706C69DB" w14:textId="77777777" w:rsidR="00C91F6E" w:rsidRPr="00EC250C" w:rsidRDefault="00D86DD2" w:rsidP="00EC250C">
      <w:pPr>
        <w:pStyle w:val="Nagwek5"/>
      </w:pPr>
      <w:r w:rsidRPr="00EC250C">
        <w:t>Możliwość zamiany sposobu wykonywania kary za prowadzeni</w:t>
      </w:r>
      <w:r w:rsidR="00906688" w:rsidRPr="00EC250C">
        <w:t>e</w:t>
      </w:r>
      <w:r w:rsidRPr="00EC250C">
        <w:t xml:space="preserve"> pojazdów</w:t>
      </w:r>
    </w:p>
    <w:p w14:paraId="0A25EDB3" w14:textId="77777777" w:rsidR="00B473F5" w:rsidRPr="00EC250C" w:rsidRDefault="00D86DD2" w:rsidP="00D131FA">
      <w:pPr>
        <w:pStyle w:val="Problemczowieka"/>
        <w:jc w:val="both"/>
      </w:pPr>
      <w:r w:rsidRPr="00EC250C">
        <w:t>Straciłeś prawo jazdy za kierowanie na „podwójnym gazie”</w:t>
      </w:r>
      <w:r w:rsidR="00026572" w:rsidRPr="00EC250C">
        <w:t xml:space="preserve"> – </w:t>
      </w:r>
      <w:r w:rsidRPr="00EC250C">
        <w:t>możesz prowadzić samochody</w:t>
      </w:r>
      <w:r w:rsidR="00992FD0" w:rsidRPr="00EC250C">
        <w:t xml:space="preserve"> z </w:t>
      </w:r>
      <w:r w:rsidRPr="00EC250C">
        <w:t>blokadą alkoholową</w:t>
      </w:r>
      <w:r w:rsidR="00B473F5" w:rsidRPr="00EC250C">
        <w:t>.</w:t>
      </w:r>
    </w:p>
    <w:p w14:paraId="6C1C984F" w14:textId="77777777" w:rsidR="00C91F6E" w:rsidRPr="00EC250C" w:rsidRDefault="00D86DD2" w:rsidP="00D131FA">
      <w:pPr>
        <w:pStyle w:val="Styl1"/>
      </w:pPr>
      <w:r w:rsidRPr="00EC250C">
        <w:t>Wnioski wpływające do Biura RPO świadczą jednak</w:t>
      </w:r>
      <w:r w:rsidR="00992FD0" w:rsidRPr="00EC250C">
        <w:t xml:space="preserve"> o </w:t>
      </w:r>
      <w:r w:rsidRPr="00EC250C">
        <w:t>niskim poziomie wiedzy</w:t>
      </w:r>
      <w:r w:rsidR="00992FD0" w:rsidRPr="00EC250C">
        <w:t xml:space="preserve"> o </w:t>
      </w:r>
      <w:r w:rsidRPr="00EC250C">
        <w:t>możliwości ubiegania się</w:t>
      </w:r>
      <w:r w:rsidR="00992FD0" w:rsidRPr="00EC250C">
        <w:t xml:space="preserve"> o </w:t>
      </w:r>
      <w:r w:rsidRPr="00EC250C">
        <w:t>wcześniejszy zwrot odebranego prawa jazdy. Nowelizacją</w:t>
      </w:r>
      <w:r w:rsidR="00992FD0" w:rsidRPr="00EC250C">
        <w:t xml:space="preserve"> z </w:t>
      </w:r>
      <w:r w:rsidRPr="00EC250C">
        <w:t>20 marca 2015</w:t>
      </w:r>
      <w:r w:rsidR="00C91F6E" w:rsidRPr="00EC250C">
        <w:t> r.</w:t>
      </w:r>
      <w:r w:rsidRPr="00EC250C">
        <w:t xml:space="preserve"> do Kodeksu karnego wykonawczego wprowadzono możliwość zmiany sposobu wykonywania środka karnego polegającego na zakazie prowadzenia pojazdów. Zgodnie</w:t>
      </w:r>
      <w:r w:rsidR="00992FD0" w:rsidRPr="00EC250C">
        <w:t xml:space="preserve"> z </w:t>
      </w:r>
      <w:r w:rsidRPr="00EC250C">
        <w:t xml:space="preserve">art. 182a § 1 </w:t>
      </w:r>
      <w:r w:rsidR="00CC7596" w:rsidRPr="00EC250C">
        <w:t>K.k.w.</w:t>
      </w:r>
      <w:r w:rsidRPr="00EC250C">
        <w:t xml:space="preserve"> środek taki przybiera formę zakazu prowadzenia pojazdów niewyposażonych</w:t>
      </w:r>
      <w:r w:rsidR="00992FD0" w:rsidRPr="00EC250C">
        <w:t xml:space="preserve"> w </w:t>
      </w:r>
      <w:r w:rsidRPr="00EC250C">
        <w:t>blokadę alkoholową.</w:t>
      </w:r>
    </w:p>
    <w:p w14:paraId="200BF5F4" w14:textId="77777777" w:rsidR="00C91F6E" w:rsidRPr="00EC250C" w:rsidRDefault="00D86DD2" w:rsidP="00D131FA">
      <w:pPr>
        <w:pStyle w:val="Styl1"/>
      </w:pPr>
      <w:r w:rsidRPr="00EC250C">
        <w:t>Urządzenie takie nie pozwala na uruchomienie silnika przy przekroczonym dopuszczalnym progu zawartości alkoholu</w:t>
      </w:r>
      <w:r w:rsidR="00992FD0" w:rsidRPr="00EC250C">
        <w:t xml:space="preserve"> w </w:t>
      </w:r>
      <w:r w:rsidRPr="00EC250C">
        <w:t>wydychanym powietrzu.</w:t>
      </w:r>
    </w:p>
    <w:p w14:paraId="05E750CF" w14:textId="77777777" w:rsidR="00D86DD2" w:rsidRPr="00EC250C" w:rsidRDefault="00D86DD2" w:rsidP="00D131FA">
      <w:pPr>
        <w:pStyle w:val="Styl1"/>
        <w:rPr>
          <w:bCs/>
          <w:iCs/>
        </w:rPr>
      </w:pPr>
      <w:r w:rsidRPr="00EC250C">
        <w:t>Nowa możliwość jest szczególnie ważna</w:t>
      </w:r>
      <w:r w:rsidR="00992FD0" w:rsidRPr="00EC250C">
        <w:t xml:space="preserve"> w </w:t>
      </w:r>
      <w:r w:rsidRPr="00EC250C">
        <w:t xml:space="preserve">sytuacjach, gdy samochód jest środkiem utrzymania lub jedyną możliwością transportu. Dlatego </w:t>
      </w:r>
      <w:r w:rsidR="00C079A6" w:rsidRPr="00EC250C">
        <w:t>RPO</w:t>
      </w:r>
      <w:r w:rsidRPr="00EC250C">
        <w:t xml:space="preserve"> wystąpił do </w:t>
      </w:r>
      <w:r w:rsidR="00C079A6" w:rsidRPr="00EC250C">
        <w:t>M</w:t>
      </w:r>
      <w:r w:rsidRPr="00EC250C">
        <w:t xml:space="preserve">inistra </w:t>
      </w:r>
      <w:r w:rsidR="00C079A6" w:rsidRPr="00EC250C">
        <w:t xml:space="preserve">Sprawiedliwości </w:t>
      </w:r>
      <w:r w:rsidR="00992FD0" w:rsidRPr="00EC250C">
        <w:t>o </w:t>
      </w:r>
      <w:r w:rsidRPr="00EC250C">
        <w:t>działania</w:t>
      </w:r>
      <w:r w:rsidR="00992FD0" w:rsidRPr="00EC250C">
        <w:t xml:space="preserve"> w </w:t>
      </w:r>
      <w:r w:rsidRPr="00EC250C">
        <w:t>celu rozpowszechnieni</w:t>
      </w:r>
      <w:r w:rsidR="00906688" w:rsidRPr="00EC250C">
        <w:t>a</w:t>
      </w:r>
      <w:r w:rsidRPr="00EC250C">
        <w:t xml:space="preserve"> wiedzy</w:t>
      </w:r>
      <w:r w:rsidR="00992FD0" w:rsidRPr="00EC250C">
        <w:t xml:space="preserve"> o </w:t>
      </w:r>
      <w:r w:rsidRPr="00EC250C">
        <w:t>takiej możliwości. Poprosił także</w:t>
      </w:r>
      <w:r w:rsidR="00992FD0" w:rsidRPr="00EC250C">
        <w:t xml:space="preserve"> o </w:t>
      </w:r>
      <w:r w:rsidRPr="00EC250C">
        <w:t>przekazanie statystyk korzystania</w:t>
      </w:r>
      <w:r w:rsidR="00992FD0" w:rsidRPr="00EC250C">
        <w:t xml:space="preserve"> z </w:t>
      </w:r>
      <w:r w:rsidRPr="00EC250C">
        <w:t xml:space="preserve">art. 182a </w:t>
      </w:r>
      <w:r w:rsidR="00CC7596" w:rsidRPr="00EC250C">
        <w:t>K.k.w.</w:t>
      </w:r>
      <w:r w:rsidRPr="00EC250C">
        <w:rPr>
          <w:rStyle w:val="Odwoanieprzypisudolnego"/>
          <w:iCs/>
        </w:rPr>
        <w:footnoteReference w:id="225"/>
      </w:r>
      <w:r w:rsidRPr="00EC250C">
        <w:rPr>
          <w:bCs/>
          <w:iCs/>
        </w:rPr>
        <w:t>.</w:t>
      </w:r>
    </w:p>
    <w:p w14:paraId="1613CD66" w14:textId="77777777" w:rsidR="00D86DD2" w:rsidRPr="00EC250C" w:rsidRDefault="00D86DD2" w:rsidP="00D131FA">
      <w:pPr>
        <w:pStyle w:val="Styl1"/>
        <w:rPr>
          <w:bCs/>
          <w:iCs/>
        </w:rPr>
      </w:pPr>
      <w:r w:rsidRPr="00EC250C">
        <w:rPr>
          <w:bCs/>
          <w:iCs/>
        </w:rPr>
        <w:lastRenderedPageBreak/>
        <w:t>Minister uznał, że obywatele wystarczająco dobrze znają tę nową możliwość,</w:t>
      </w:r>
      <w:r w:rsidR="00992FD0" w:rsidRPr="00EC250C">
        <w:rPr>
          <w:bCs/>
          <w:iCs/>
        </w:rPr>
        <w:t xml:space="preserve"> o </w:t>
      </w:r>
      <w:r w:rsidRPr="00EC250C">
        <w:rPr>
          <w:bCs/>
          <w:iCs/>
        </w:rPr>
        <w:t>czym świadczą dane</w:t>
      </w:r>
      <w:r w:rsidR="00992FD0" w:rsidRPr="00EC250C">
        <w:rPr>
          <w:bCs/>
          <w:iCs/>
        </w:rPr>
        <w:t xml:space="preserve"> z </w:t>
      </w:r>
      <w:r w:rsidRPr="00EC250C">
        <w:rPr>
          <w:bCs/>
          <w:iCs/>
        </w:rPr>
        <w:t>sądów. Minister nie może też zobowiązać sądów do przedstawiania skazanym</w:t>
      </w:r>
      <w:r w:rsidR="00992FD0" w:rsidRPr="00EC250C">
        <w:rPr>
          <w:bCs/>
          <w:iCs/>
        </w:rPr>
        <w:t xml:space="preserve"> i </w:t>
      </w:r>
      <w:r w:rsidRPr="00EC250C">
        <w:rPr>
          <w:bCs/>
          <w:iCs/>
        </w:rPr>
        <w:t>ukaranym stosownych pouczeń</w:t>
      </w:r>
      <w:r w:rsidR="00992FD0" w:rsidRPr="00EC250C">
        <w:rPr>
          <w:bCs/>
          <w:iCs/>
        </w:rPr>
        <w:t xml:space="preserve"> o </w:t>
      </w:r>
      <w:r w:rsidRPr="00EC250C">
        <w:rPr>
          <w:bCs/>
          <w:iCs/>
        </w:rPr>
        <w:t>możliwości wystąpienia</w:t>
      </w:r>
      <w:r w:rsidR="00992FD0" w:rsidRPr="00EC250C">
        <w:rPr>
          <w:bCs/>
          <w:iCs/>
        </w:rPr>
        <w:t xml:space="preserve"> o </w:t>
      </w:r>
      <w:r w:rsidRPr="00EC250C">
        <w:rPr>
          <w:bCs/>
          <w:iCs/>
        </w:rPr>
        <w:t>blokadę alkoholową.</w:t>
      </w:r>
    </w:p>
    <w:p w14:paraId="10BB7E60" w14:textId="77777777" w:rsidR="00C91F6E" w:rsidRPr="00EC250C" w:rsidRDefault="00D86DD2" w:rsidP="00EC250C">
      <w:pPr>
        <w:pStyle w:val="Nagwek5"/>
      </w:pPr>
      <w:r w:rsidRPr="00EC250C">
        <w:t>Wysokość stawek wynagrodzenia adwokata</w:t>
      </w:r>
      <w:r w:rsidR="00992FD0" w:rsidRPr="00EC250C">
        <w:t xml:space="preserve"> w </w:t>
      </w:r>
      <w:r w:rsidRPr="00EC250C">
        <w:t>sprawach</w:t>
      </w:r>
      <w:r w:rsidR="00992FD0" w:rsidRPr="00EC250C">
        <w:t xml:space="preserve"> o </w:t>
      </w:r>
      <w:r w:rsidRPr="00EC250C">
        <w:t>świadczenia pieniężne</w:t>
      </w:r>
      <w:r w:rsidR="00992FD0" w:rsidRPr="00EC250C">
        <w:t xml:space="preserve"> z </w:t>
      </w:r>
      <w:r w:rsidRPr="00EC250C">
        <w:t>ubezpieczenia społecznego</w:t>
      </w:r>
      <w:r w:rsidR="00992FD0" w:rsidRPr="00EC250C">
        <w:t xml:space="preserve"> i </w:t>
      </w:r>
      <w:r w:rsidRPr="00EC250C">
        <w:t>zaopatrzenia emerytalnego</w:t>
      </w:r>
    </w:p>
    <w:p w14:paraId="03EBE4D2" w14:textId="77777777" w:rsidR="00B473F5" w:rsidRPr="00EC250C" w:rsidRDefault="00D86DD2" w:rsidP="00D131FA">
      <w:pPr>
        <w:pStyle w:val="Problemczowieka"/>
        <w:jc w:val="both"/>
      </w:pPr>
      <w:r w:rsidRPr="00EC250C">
        <w:t>Minimalna stawka wynagrodzenia adwokata</w:t>
      </w:r>
      <w:r w:rsidR="00992FD0" w:rsidRPr="00EC250C">
        <w:t xml:space="preserve"> w </w:t>
      </w:r>
      <w:r w:rsidRPr="00EC250C">
        <w:t>sprawach</w:t>
      </w:r>
      <w:r w:rsidR="00992FD0" w:rsidRPr="00EC250C">
        <w:t xml:space="preserve"> o </w:t>
      </w:r>
      <w:r w:rsidRPr="00EC250C">
        <w:t>świadczenia pieniężne</w:t>
      </w:r>
      <w:r w:rsidR="00992FD0" w:rsidRPr="00EC250C">
        <w:t xml:space="preserve"> z </w:t>
      </w:r>
      <w:r w:rsidRPr="00EC250C">
        <w:t>ubezpieczenia społecznego</w:t>
      </w:r>
      <w:r w:rsidR="00992FD0" w:rsidRPr="00EC250C">
        <w:t xml:space="preserve"> i </w:t>
      </w:r>
      <w:r w:rsidRPr="00EC250C">
        <w:t>zaopatrzenia emerytalnego wynosi 60 zł</w:t>
      </w:r>
      <w:r w:rsidR="00B473F5" w:rsidRPr="00EC250C">
        <w:t>.</w:t>
      </w:r>
    </w:p>
    <w:p w14:paraId="0BB60BC2" w14:textId="77777777" w:rsidR="00D86DD2" w:rsidRPr="00EC250C" w:rsidRDefault="00D86DD2" w:rsidP="00D131FA">
      <w:pPr>
        <w:pStyle w:val="Styl1"/>
      </w:pPr>
      <w:r w:rsidRPr="00EC250C">
        <w:t>Trybunał Konstytucyjny rozpoznał skargę konstytucyjną</w:t>
      </w:r>
      <w:r w:rsidRPr="00EC250C">
        <w:rPr>
          <w:spacing w:val="10"/>
        </w:rPr>
        <w:t xml:space="preserve"> </w:t>
      </w:r>
      <w:r w:rsidRPr="00EC250C">
        <w:t>dotyczącą tych opłat</w:t>
      </w:r>
      <w:r w:rsidR="00992FD0" w:rsidRPr="00EC250C">
        <w:t xml:space="preserve"> i </w:t>
      </w:r>
      <w:r w:rsidRPr="00EC250C">
        <w:t>uznał, że są częściowo niezgodne</w:t>
      </w:r>
      <w:r w:rsidR="00992FD0" w:rsidRPr="00EC250C">
        <w:t xml:space="preserve"> z </w:t>
      </w:r>
      <w:r w:rsidRPr="00EC250C">
        <w:t>Konstytucją</w:t>
      </w:r>
      <w:r w:rsidRPr="00EC250C">
        <w:rPr>
          <w:rStyle w:val="Odwoanieprzypisudolnego"/>
        </w:rPr>
        <w:footnoteReference w:id="226"/>
      </w:r>
      <w:r w:rsidRPr="00EC250C">
        <w:t xml:space="preserve">. </w:t>
      </w:r>
      <w:r w:rsidR="00C079A6" w:rsidRPr="00EC250C">
        <w:t>RPO</w:t>
      </w:r>
      <w:r w:rsidRPr="00EC250C">
        <w:t>, który do skargi przystąpił</w:t>
      </w:r>
      <w:r w:rsidRPr="00EC250C">
        <w:rPr>
          <w:rStyle w:val="Odwoanieprzypisudolnego"/>
        </w:rPr>
        <w:footnoteReference w:id="227"/>
      </w:r>
      <w:r w:rsidRPr="00EC250C">
        <w:t>, uznał, że ograniczają one praw</w:t>
      </w:r>
      <w:r w:rsidR="00906688" w:rsidRPr="00EC250C">
        <w:t>o</w:t>
      </w:r>
      <w:r w:rsidRPr="00EC250C">
        <w:t xml:space="preserve"> do sądu.</w:t>
      </w:r>
    </w:p>
    <w:p w14:paraId="61EDBF2E" w14:textId="77777777" w:rsidR="00C91F6E" w:rsidRPr="00EC250C" w:rsidRDefault="00D86DD2" w:rsidP="00D131FA">
      <w:pPr>
        <w:pStyle w:val="Styl1"/>
      </w:pPr>
      <w:r w:rsidRPr="00EC250C">
        <w:t>W ocenie Trybunału Konstytucyjnego stawka minimalna</w:t>
      </w:r>
      <w:r w:rsidR="00992FD0" w:rsidRPr="00EC250C">
        <w:t xml:space="preserve"> w </w:t>
      </w:r>
      <w:r w:rsidRPr="00EC250C">
        <w:t>wysokości 60 zł za reprezentowanie przez adwokata</w:t>
      </w:r>
      <w:r w:rsidR="00992FD0" w:rsidRPr="00EC250C">
        <w:t xml:space="preserve"> z </w:t>
      </w:r>
      <w:r w:rsidRPr="00EC250C">
        <w:t>wyboru</w:t>
      </w:r>
      <w:r w:rsidR="00992FD0" w:rsidRPr="00EC250C">
        <w:t xml:space="preserve"> w </w:t>
      </w:r>
      <w:r w:rsidRPr="00EC250C">
        <w:t>sprawie</w:t>
      </w:r>
      <w:r w:rsidR="00992FD0" w:rsidRPr="00EC250C">
        <w:t xml:space="preserve"> o </w:t>
      </w:r>
      <w:r w:rsidRPr="00EC250C">
        <w:t>świadczenia pieniężne</w:t>
      </w:r>
      <w:r w:rsidR="00992FD0" w:rsidRPr="00EC250C">
        <w:t xml:space="preserve"> z </w:t>
      </w:r>
      <w:r w:rsidRPr="00EC250C">
        <w:t>ubezpieczenia społecznego</w:t>
      </w:r>
      <w:r w:rsidR="00992FD0" w:rsidRPr="00EC250C">
        <w:t xml:space="preserve"> i </w:t>
      </w:r>
      <w:r w:rsidRPr="00EC250C">
        <w:t>zaopatrzenia emerytalnego nie ogranicza dostępu do sądu, bowiem nie można utożsamiać dostępności do sądu</w:t>
      </w:r>
      <w:r w:rsidR="00992FD0" w:rsidRPr="00EC250C">
        <w:t xml:space="preserve"> z </w:t>
      </w:r>
      <w:r w:rsidRPr="00EC250C">
        <w:t>ekonomiczną opłacalnością postępowania.</w:t>
      </w:r>
    </w:p>
    <w:p w14:paraId="78CC4044" w14:textId="77777777" w:rsidR="00D86DD2" w:rsidRPr="00EC250C" w:rsidRDefault="00D86DD2" w:rsidP="00D131FA">
      <w:pPr>
        <w:pStyle w:val="Styl1"/>
      </w:pPr>
      <w:r w:rsidRPr="00EC250C">
        <w:t>Jednocześnie Trybunał uznał, że wieloletni brak reakcji Ministra Sprawiedliwości na zmiany ekonomiczne spowodował, że badana</w:t>
      </w:r>
      <w:r w:rsidR="00992FD0" w:rsidRPr="00EC250C">
        <w:t xml:space="preserve"> w </w:t>
      </w:r>
      <w:r w:rsidRPr="00EC250C">
        <w:t>niniejszej sprawie regulacja całkowicie odbiegła od swojego celu. Strona wygrywająca postępowanie nie uzyskiwała prawa do zwrotu realnie poniesionych wydatków na pełnomocnika procesowego. Zakwestionowany przepis</w:t>
      </w:r>
      <w:r w:rsidR="00992FD0" w:rsidRPr="00EC250C">
        <w:t xml:space="preserve"> w </w:t>
      </w:r>
      <w:r w:rsidRPr="00EC250C">
        <w:t>sposób nieproporcjonalny doprowadził do ograniczenia praw majątkowych stron postępowania</w:t>
      </w:r>
      <w:r w:rsidR="00992FD0" w:rsidRPr="00EC250C">
        <w:t xml:space="preserve"> w </w:t>
      </w:r>
      <w:r w:rsidRPr="00EC250C">
        <w:t>sprawach</w:t>
      </w:r>
      <w:r w:rsidR="00992FD0" w:rsidRPr="00EC250C">
        <w:t xml:space="preserve"> o </w:t>
      </w:r>
      <w:r w:rsidRPr="00EC250C">
        <w:t>świadczenia</w:t>
      </w:r>
      <w:r w:rsidR="00992FD0" w:rsidRPr="00EC250C">
        <w:t xml:space="preserve"> z </w:t>
      </w:r>
      <w:r w:rsidRPr="00EC250C">
        <w:t>ubezpieczenia społecznego</w:t>
      </w:r>
      <w:r w:rsidR="00992FD0" w:rsidRPr="00EC250C">
        <w:t xml:space="preserve"> i </w:t>
      </w:r>
      <w:r w:rsidRPr="00EC250C">
        <w:t>zaopatrzenia emerytalnego.</w:t>
      </w:r>
    </w:p>
    <w:p w14:paraId="4ECA7ADF" w14:textId="77777777" w:rsidR="00C91F6E" w:rsidRPr="00EC250C" w:rsidRDefault="00D86DD2" w:rsidP="00EC250C">
      <w:pPr>
        <w:pStyle w:val="Nagwek5"/>
      </w:pPr>
      <w:r w:rsidRPr="00EC250C">
        <w:t>Zakres zwrotu kosztów procesu stronie wygrywającej proces,</w:t>
      </w:r>
      <w:r w:rsidR="00992FD0" w:rsidRPr="00EC250C">
        <w:t xml:space="preserve"> a </w:t>
      </w:r>
      <w:r w:rsidRPr="00EC250C">
        <w:t>nie reprezentowanej przez adwokata lub radcę prawnego</w:t>
      </w:r>
    </w:p>
    <w:p w14:paraId="48D894C1" w14:textId="77777777" w:rsidR="00B473F5" w:rsidRPr="00EC250C" w:rsidRDefault="00D86DD2" w:rsidP="00D131FA">
      <w:pPr>
        <w:pStyle w:val="Problemczowieka"/>
        <w:jc w:val="both"/>
      </w:pPr>
      <w:r w:rsidRPr="00EC250C">
        <w:t>Zwrot kosztów osobie wygrywającej proces</w:t>
      </w:r>
      <w:r w:rsidR="00992FD0" w:rsidRPr="00EC250C">
        <w:t xml:space="preserve"> i </w:t>
      </w:r>
      <w:r w:rsidRPr="00EC250C">
        <w:t>niereprezentowanej przez profesjonalnego pełnomocnika ograniczony jest do wysokości wynagrodzenia jednego adwokata pracującego</w:t>
      </w:r>
      <w:r w:rsidR="00992FD0" w:rsidRPr="00EC250C">
        <w:t xml:space="preserve"> w </w:t>
      </w:r>
      <w:r w:rsidRPr="00EC250C">
        <w:t>siedzibie sądu</w:t>
      </w:r>
      <w:r w:rsidR="00B473F5" w:rsidRPr="00EC250C">
        <w:t>.</w:t>
      </w:r>
    </w:p>
    <w:p w14:paraId="37CF7E7D" w14:textId="77777777" w:rsidR="00D86DD2" w:rsidRPr="00EC250C" w:rsidRDefault="00D86DD2" w:rsidP="00D131FA">
      <w:pPr>
        <w:pStyle w:val="Styl1"/>
        <w:rPr>
          <w:bCs/>
        </w:rPr>
      </w:pPr>
      <w:r w:rsidRPr="00EC250C">
        <w:rPr>
          <w:bCs/>
        </w:rPr>
        <w:t>Trybunał Konstytucyjny rozstrzygnął</w:t>
      </w:r>
      <w:r w:rsidRPr="00EC250C">
        <w:rPr>
          <w:rStyle w:val="Odwoanieprzypisudolnego"/>
        </w:rPr>
        <w:footnoteReference w:id="228"/>
      </w:r>
      <w:r w:rsidRPr="00EC250C">
        <w:rPr>
          <w:bCs/>
        </w:rPr>
        <w:t xml:space="preserve"> kwestię konstytucyjności art. 98 § 2 zd. 2 Kodeksu postępowania cywilnego, który to reguluje.</w:t>
      </w:r>
    </w:p>
    <w:p w14:paraId="2E345B1A" w14:textId="77777777" w:rsidR="00C91F6E" w:rsidRPr="00EC250C" w:rsidRDefault="00D86DD2" w:rsidP="00D131FA">
      <w:pPr>
        <w:pStyle w:val="Styl1"/>
        <w:rPr>
          <w:bCs/>
        </w:rPr>
      </w:pPr>
      <w:r w:rsidRPr="00EC250C">
        <w:rPr>
          <w:bCs/>
        </w:rPr>
        <w:t>W sprawie uczestniczył</w:t>
      </w:r>
      <w:r w:rsidRPr="00EC250C">
        <w:rPr>
          <w:rStyle w:val="Odwoanieprzypisudolnego"/>
        </w:rPr>
        <w:footnoteReference w:id="229"/>
      </w:r>
      <w:r w:rsidRPr="00EC250C">
        <w:rPr>
          <w:bCs/>
        </w:rPr>
        <w:t xml:space="preserve"> </w:t>
      </w:r>
      <w:r w:rsidR="00C079A6" w:rsidRPr="00EC250C">
        <w:rPr>
          <w:bCs/>
        </w:rPr>
        <w:t>RPO</w:t>
      </w:r>
      <w:r w:rsidRPr="00EC250C">
        <w:rPr>
          <w:bCs/>
        </w:rPr>
        <w:t>, argumentując, iż rozwiązanie to stanowi nieproporcjonalne ograniczenie dostępu do sądu oraz nieuzasadnioną ingerencję</w:t>
      </w:r>
      <w:r w:rsidR="00992FD0" w:rsidRPr="00EC250C">
        <w:rPr>
          <w:bCs/>
        </w:rPr>
        <w:t xml:space="preserve"> w </w:t>
      </w:r>
      <w:r w:rsidRPr="00EC250C">
        <w:rPr>
          <w:bCs/>
        </w:rPr>
        <w:t>prawo do rzetelnej</w:t>
      </w:r>
      <w:r w:rsidR="00992FD0" w:rsidRPr="00EC250C">
        <w:rPr>
          <w:bCs/>
        </w:rPr>
        <w:t xml:space="preserve"> i </w:t>
      </w:r>
      <w:r w:rsidRPr="00EC250C">
        <w:rPr>
          <w:bCs/>
        </w:rPr>
        <w:t>sprawiedliwej procedury sądowej. Nie daje bowiem możliwości odzyskania rzeczywistych kosztów</w:t>
      </w:r>
      <w:r w:rsidR="00992FD0" w:rsidRPr="00EC250C">
        <w:rPr>
          <w:bCs/>
        </w:rPr>
        <w:t xml:space="preserve"> z </w:t>
      </w:r>
      <w:r w:rsidRPr="00EC250C">
        <w:rPr>
          <w:bCs/>
        </w:rPr>
        <w:t>tytułu przejazdów do sądu</w:t>
      </w:r>
      <w:r w:rsidR="00992FD0" w:rsidRPr="00EC250C">
        <w:rPr>
          <w:bCs/>
        </w:rPr>
        <w:t xml:space="preserve"> i </w:t>
      </w:r>
      <w:r w:rsidRPr="00EC250C">
        <w:rPr>
          <w:bCs/>
        </w:rPr>
        <w:t>równowartości utraconego zarobku.</w:t>
      </w:r>
    </w:p>
    <w:p w14:paraId="2997B82F" w14:textId="77777777" w:rsidR="00D86DD2" w:rsidRPr="00EC250C" w:rsidRDefault="00D86DD2" w:rsidP="00D131FA">
      <w:pPr>
        <w:pStyle w:val="Styl1"/>
        <w:rPr>
          <w:bCs/>
        </w:rPr>
      </w:pPr>
      <w:r w:rsidRPr="00EC250C">
        <w:rPr>
          <w:bCs/>
        </w:rPr>
        <w:lastRenderedPageBreak/>
        <w:t>Trybunał uznał jednak, że ustawowe ograniczenie wysokości zwrotu kosztów nie stanowi nieproporcjonalnego ograniczenia prawa do sądu ani nie narusza zasad poprawnej legislacji. Podzielając jednak część zastrzeżeń podniesionych zarówno</w:t>
      </w:r>
      <w:r w:rsidR="00992FD0" w:rsidRPr="00EC250C">
        <w:rPr>
          <w:bCs/>
        </w:rPr>
        <w:t xml:space="preserve"> w </w:t>
      </w:r>
      <w:r w:rsidRPr="00EC250C">
        <w:rPr>
          <w:bCs/>
        </w:rPr>
        <w:t>skardze, jak</w:t>
      </w:r>
      <w:r w:rsidR="00992FD0" w:rsidRPr="00EC250C">
        <w:rPr>
          <w:bCs/>
        </w:rPr>
        <w:t xml:space="preserve"> i </w:t>
      </w:r>
      <w:r w:rsidRPr="00EC250C">
        <w:rPr>
          <w:bCs/>
        </w:rPr>
        <w:t>przedstawionych przez Sejm</w:t>
      </w:r>
      <w:r w:rsidR="00992FD0" w:rsidRPr="00EC250C">
        <w:rPr>
          <w:bCs/>
        </w:rPr>
        <w:t xml:space="preserve"> i </w:t>
      </w:r>
      <w:r w:rsidR="00C079A6" w:rsidRPr="00EC250C">
        <w:rPr>
          <w:bCs/>
        </w:rPr>
        <w:t>RPO</w:t>
      </w:r>
      <w:r w:rsidRPr="00EC250C">
        <w:rPr>
          <w:bCs/>
        </w:rPr>
        <w:t>, Trybunał zasygnalizował ustawodawcy konieczność podjęcia stosownych działań legislacyjnych. Wskazał m.in., że dalsze utrzymywanie</w:t>
      </w:r>
      <w:r w:rsidR="00992FD0" w:rsidRPr="00EC250C">
        <w:rPr>
          <w:bCs/>
        </w:rPr>
        <w:t xml:space="preserve"> w </w:t>
      </w:r>
      <w:r w:rsidRPr="00EC250C">
        <w:rPr>
          <w:bCs/>
        </w:rPr>
        <w:t>systemie prawnym różnych zasad rozliczania kosztów przejazdu do sądu</w:t>
      </w:r>
      <w:r w:rsidR="00992FD0" w:rsidRPr="00EC250C">
        <w:rPr>
          <w:bCs/>
        </w:rPr>
        <w:t xml:space="preserve"> w </w:t>
      </w:r>
      <w:r w:rsidRPr="00EC250C">
        <w:rPr>
          <w:bCs/>
        </w:rPr>
        <w:t>zależności od korzystania przez stronę wygrywającą postępowanie</w:t>
      </w:r>
      <w:r w:rsidR="00992FD0" w:rsidRPr="00EC250C">
        <w:rPr>
          <w:bCs/>
        </w:rPr>
        <w:t xml:space="preserve"> z </w:t>
      </w:r>
      <w:r w:rsidRPr="00EC250C">
        <w:rPr>
          <w:bCs/>
        </w:rPr>
        <w:t>profesjonalnego zastępstwa procesowego świadczy</w:t>
      </w:r>
      <w:r w:rsidR="00992FD0" w:rsidRPr="00EC250C">
        <w:rPr>
          <w:bCs/>
        </w:rPr>
        <w:t xml:space="preserve"> o </w:t>
      </w:r>
      <w:r w:rsidRPr="00EC250C">
        <w:rPr>
          <w:bCs/>
        </w:rPr>
        <w:t>niespójności systemu prawnego</w:t>
      </w:r>
      <w:r w:rsidR="00992FD0" w:rsidRPr="00EC250C">
        <w:rPr>
          <w:bCs/>
        </w:rPr>
        <w:t xml:space="preserve"> i </w:t>
      </w:r>
      <w:r w:rsidRPr="00EC250C">
        <w:rPr>
          <w:bCs/>
        </w:rPr>
        <w:t>wymaga interwencji ustawodawcy.</w:t>
      </w:r>
    </w:p>
    <w:p w14:paraId="3C819E58" w14:textId="77777777" w:rsidR="00D86DD2" w:rsidRPr="00EC250C" w:rsidRDefault="00D86DD2" w:rsidP="00EC79EB">
      <w:pPr>
        <w:pStyle w:val="Nagwek4"/>
      </w:pPr>
      <w:bookmarkStart w:id="238" w:name="_Toc6257733"/>
      <w:bookmarkStart w:id="239" w:name="_Toc11247625"/>
      <w:r w:rsidRPr="00EC250C">
        <w:t>Status pokrzywdzonych oraz ofiar przestępstw</w:t>
      </w:r>
      <w:bookmarkEnd w:id="238"/>
      <w:bookmarkEnd w:id="239"/>
    </w:p>
    <w:p w14:paraId="53A46372" w14:textId="77777777" w:rsidR="00D86DD2" w:rsidRPr="00EC250C" w:rsidRDefault="00D86DD2" w:rsidP="00EC250C">
      <w:pPr>
        <w:pStyle w:val="Nagwek5"/>
      </w:pPr>
      <w:r w:rsidRPr="00EC250C">
        <w:t>Funkcjonowanie publicznego Rejestru Sprawców Przestępstw na Tle Seksualnym</w:t>
      </w:r>
      <w:r w:rsidR="00992FD0" w:rsidRPr="00EC250C">
        <w:t xml:space="preserve"> i </w:t>
      </w:r>
      <w:r w:rsidRPr="00EC250C">
        <w:t>skutków wprowadzenia tej instytucji do polskiego porządku prawnego</w:t>
      </w:r>
    </w:p>
    <w:p w14:paraId="6487DF35" w14:textId="77777777" w:rsidR="00B473F5" w:rsidRPr="00EC250C" w:rsidRDefault="00D86DD2" w:rsidP="00D131FA">
      <w:pPr>
        <w:pStyle w:val="Problemczowieka"/>
        <w:jc w:val="both"/>
      </w:pPr>
      <w:r w:rsidRPr="00EC250C">
        <w:t>„Rejestr pedofilów” uderza</w:t>
      </w:r>
      <w:r w:rsidR="00992FD0" w:rsidRPr="00EC250C">
        <w:t xml:space="preserve"> w </w:t>
      </w:r>
      <w:r w:rsidRPr="00EC250C">
        <w:t>niewinnych członków rodzin sprawców</w:t>
      </w:r>
      <w:r w:rsidR="00B473F5" w:rsidRPr="00EC250C">
        <w:t>.</w:t>
      </w:r>
    </w:p>
    <w:p w14:paraId="4B8AE971" w14:textId="77777777" w:rsidR="00D86DD2" w:rsidRPr="00EC250C" w:rsidRDefault="00D86DD2" w:rsidP="00D131FA">
      <w:pPr>
        <w:pStyle w:val="Styl1"/>
      </w:pPr>
      <w:r w:rsidRPr="00EC250C">
        <w:t>Od 1 stycznia 2018</w:t>
      </w:r>
      <w:r w:rsidR="00C91F6E" w:rsidRPr="00EC250C">
        <w:t> r.</w:t>
      </w:r>
      <w:r w:rsidR="00992FD0" w:rsidRPr="00EC250C">
        <w:t xml:space="preserve"> w </w:t>
      </w:r>
      <w:r w:rsidRPr="00EC250C">
        <w:t>publicznym rejestrze na stronie Ministerstwa Sprawiedliwości są dostępne dane osobowe, fotografie</w:t>
      </w:r>
      <w:r w:rsidR="00992FD0" w:rsidRPr="00EC250C">
        <w:t xml:space="preserve"> i </w:t>
      </w:r>
      <w:r w:rsidRPr="00EC250C">
        <w:t>miejsca pobytu najgroźniejszych ok. 800 skazanych przestępców seksualnych. Druga część rejestru jest dostępna tylko dla przedstawicieli organów ścigania</w:t>
      </w:r>
      <w:r w:rsidR="00992FD0" w:rsidRPr="00EC250C">
        <w:t xml:space="preserve"> i </w:t>
      </w:r>
      <w:r w:rsidRPr="00EC250C">
        <w:t>wymiaru sprawiedliwości,</w:t>
      </w:r>
      <w:r w:rsidR="00992FD0" w:rsidRPr="00EC250C">
        <w:t xml:space="preserve"> a </w:t>
      </w:r>
      <w:r w:rsidRPr="00EC250C">
        <w:t>także instytucji zajmujących się opieką nad dziećmi. W tej części rejestru są numery PESEL skazanych</w:t>
      </w:r>
      <w:r w:rsidR="00992FD0" w:rsidRPr="00EC250C">
        <w:t xml:space="preserve"> i </w:t>
      </w:r>
      <w:r w:rsidRPr="00EC250C">
        <w:t>ich adresy zameldowania.</w:t>
      </w:r>
    </w:p>
    <w:p w14:paraId="2B2A7130" w14:textId="77777777" w:rsidR="00C91F6E" w:rsidRPr="00EC250C" w:rsidRDefault="00D86DD2" w:rsidP="00D131FA">
      <w:pPr>
        <w:pStyle w:val="Styl1"/>
        <w:rPr>
          <w:rStyle w:val="Pogrubienie"/>
        </w:rPr>
      </w:pPr>
      <w:r w:rsidRPr="00EC250C">
        <w:rPr>
          <w:rStyle w:val="Pogrubienie"/>
        </w:rPr>
        <w:t>Dziecko ujawnionego przestępcy seksualnego nie może wystąpić</w:t>
      </w:r>
      <w:r w:rsidR="00992FD0" w:rsidRPr="00EC250C">
        <w:rPr>
          <w:rStyle w:val="Pogrubienie"/>
        </w:rPr>
        <w:t xml:space="preserve"> o </w:t>
      </w:r>
      <w:r w:rsidRPr="00EC250C">
        <w:rPr>
          <w:rStyle w:val="Pogrubienie"/>
        </w:rPr>
        <w:t>usunięcie jego danych</w:t>
      </w:r>
      <w:r w:rsidR="00992FD0" w:rsidRPr="00EC250C">
        <w:rPr>
          <w:rStyle w:val="Pogrubienie"/>
        </w:rPr>
        <w:t xml:space="preserve"> z </w:t>
      </w:r>
      <w:r w:rsidRPr="00EC250C">
        <w:rPr>
          <w:rStyle w:val="Pogrubienie"/>
        </w:rPr>
        <w:t>rejestru.</w:t>
      </w:r>
    </w:p>
    <w:p w14:paraId="16450FD0" w14:textId="77777777" w:rsidR="00D86DD2" w:rsidRPr="00EC250C" w:rsidRDefault="00D86DD2" w:rsidP="00D131FA">
      <w:pPr>
        <w:pStyle w:val="Styl1"/>
      </w:pPr>
      <w:r w:rsidRPr="00EC250C">
        <w:t xml:space="preserve">Do </w:t>
      </w:r>
      <w:r w:rsidR="00C079A6" w:rsidRPr="00EC250C">
        <w:t>Rzecznik</w:t>
      </w:r>
      <w:r w:rsidRPr="00EC250C">
        <w:t xml:space="preserve">a </w:t>
      </w:r>
      <w:r w:rsidR="00C079A6" w:rsidRPr="00EC250C">
        <w:t xml:space="preserve">Praw Obywatelskich </w:t>
      </w:r>
      <w:r w:rsidRPr="00EC250C">
        <w:t>napisał chłopak, który wraz</w:t>
      </w:r>
      <w:r w:rsidR="00992FD0" w:rsidRPr="00EC250C">
        <w:t xml:space="preserve"> z </w:t>
      </w:r>
      <w:r w:rsidRPr="00EC250C">
        <w:t>siostrą przed kilkoma laty padł ofiarą przemocy ze strony ojca. Ojciec ten następnie za poważne przestępstwa na tle seksualnym wobec dwóch przyrodnich sióstr wnioskodawcy został skazany został na 15 lat więzienia. Dzieci trafiły do rodziny zastępczej</w:t>
      </w:r>
      <w:r w:rsidR="00992FD0" w:rsidRPr="00EC250C">
        <w:t xml:space="preserve"> i </w:t>
      </w:r>
      <w:r w:rsidRPr="00EC250C">
        <w:t>mieszkają</w:t>
      </w:r>
      <w:r w:rsidR="00992FD0" w:rsidRPr="00EC250C">
        <w:t xml:space="preserve"> w </w:t>
      </w:r>
      <w:r w:rsidRPr="00EC250C">
        <w:t xml:space="preserve">małej miejscowości. </w:t>
      </w:r>
      <w:r w:rsidRPr="00EC250C">
        <w:rPr>
          <w:rStyle w:val="Pogrubienie"/>
        </w:rPr>
        <w:t>Teraz wszyscy mogą się</w:t>
      </w:r>
      <w:r w:rsidR="00992FD0" w:rsidRPr="00EC250C">
        <w:rPr>
          <w:rStyle w:val="Pogrubienie"/>
        </w:rPr>
        <w:t xml:space="preserve"> o </w:t>
      </w:r>
      <w:r w:rsidRPr="00EC250C">
        <w:rPr>
          <w:rStyle w:val="Pogrubienie"/>
        </w:rPr>
        <w:t>ich historii dowiedzieć.</w:t>
      </w:r>
    </w:p>
    <w:p w14:paraId="727C5C13" w14:textId="77777777" w:rsidR="00D86DD2" w:rsidRPr="00EC250C" w:rsidRDefault="00D86DD2" w:rsidP="00D131FA">
      <w:pPr>
        <w:pStyle w:val="Styl1"/>
      </w:pPr>
      <w:r w:rsidRPr="00EC250C">
        <w:t>„Autor listu obawia się nie tylko</w:t>
      </w:r>
      <w:r w:rsidR="00992FD0" w:rsidRPr="00EC250C">
        <w:t xml:space="preserve"> o </w:t>
      </w:r>
      <w:r w:rsidRPr="00EC250C">
        <w:t>siebie</w:t>
      </w:r>
      <w:r w:rsidR="00992FD0" w:rsidRPr="00EC250C">
        <w:t xml:space="preserve"> i </w:t>
      </w:r>
      <w:r w:rsidRPr="00EC250C">
        <w:t>spodziewaną utratę spokoju życia, ale przede wszystkim</w:t>
      </w:r>
      <w:r w:rsidR="00992FD0" w:rsidRPr="00EC250C">
        <w:t xml:space="preserve"> o </w:t>
      </w:r>
      <w:r w:rsidRPr="00EC250C">
        <w:t>siostrę” – napisał RPO do Ministra Sprawiedliwości</w:t>
      </w:r>
      <w:r w:rsidRPr="00EC250C">
        <w:rPr>
          <w:rStyle w:val="Odwoanieprzypisudolnego"/>
          <w:iCs/>
        </w:rPr>
        <w:footnoteReference w:id="230"/>
      </w:r>
      <w:r w:rsidRPr="00EC250C">
        <w:t>. Dziewczyna od kilku lat jest pod opieką psychologa, obawia się</w:t>
      </w:r>
      <w:r w:rsidR="00992FD0" w:rsidRPr="00EC250C">
        <w:t xml:space="preserve"> o </w:t>
      </w:r>
      <w:r w:rsidRPr="00EC250C">
        <w:t>przyszłość.</w:t>
      </w:r>
    </w:p>
    <w:p w14:paraId="27E549FA" w14:textId="77777777" w:rsidR="00D86DD2" w:rsidRPr="00EC250C" w:rsidRDefault="00D86DD2" w:rsidP="00D131FA">
      <w:pPr>
        <w:pStyle w:val="Styl1"/>
      </w:pPr>
      <w:r w:rsidRPr="00EC250C">
        <w:t>Rzecznik powołał się na raporty naukowe</w:t>
      </w:r>
      <w:r w:rsidR="00992FD0" w:rsidRPr="00EC250C">
        <w:t xml:space="preserve"> z </w:t>
      </w:r>
      <w:r w:rsidRPr="00EC250C">
        <w:t>USA</w:t>
      </w:r>
      <w:r w:rsidR="00992FD0" w:rsidRPr="00EC250C">
        <w:t xml:space="preserve"> o </w:t>
      </w:r>
      <w:r w:rsidRPr="00EC250C">
        <w:t>negatywnych skutkach publikacji danych przestępcy seksualnego dla jego dzieci. Np.</w:t>
      </w:r>
      <w:r w:rsidR="00992FD0" w:rsidRPr="00EC250C">
        <w:t xml:space="preserve"> w </w:t>
      </w:r>
      <w:r w:rsidRPr="00EC250C">
        <w:t>raporcie</w:t>
      </w:r>
      <w:r w:rsidR="00992FD0" w:rsidRPr="00EC250C">
        <w:t xml:space="preserve"> z </w:t>
      </w:r>
      <w:r w:rsidRPr="00EC250C">
        <w:t>2009</w:t>
      </w:r>
      <w:r w:rsidR="00C91F6E" w:rsidRPr="00EC250C">
        <w:t> r.</w:t>
      </w:r>
      <w:r w:rsidR="00906688" w:rsidRPr="00EC250C">
        <w:t xml:space="preserve"> </w:t>
      </w:r>
      <w:hyperlink r:id="rId12" w:history="1">
        <w:r w:rsidRPr="00EC250C">
          <w:rPr>
            <w:rStyle w:val="Hipercze"/>
            <w:color w:val="auto"/>
            <w:u w:val="none"/>
          </w:rPr>
          <w:t>Jill Levenson</w:t>
        </w:r>
        <w:r w:rsidR="00992FD0" w:rsidRPr="00EC250C">
          <w:rPr>
            <w:rStyle w:val="Hipercze"/>
            <w:color w:val="auto"/>
            <w:u w:val="none"/>
          </w:rPr>
          <w:t xml:space="preserve"> i </w:t>
        </w:r>
        <w:r w:rsidRPr="00EC250C">
          <w:rPr>
            <w:rStyle w:val="Hipercze"/>
            <w:color w:val="auto"/>
            <w:u w:val="none"/>
          </w:rPr>
          <w:t>Richard Tewksbury</w:t>
        </w:r>
      </w:hyperlink>
      <w:r w:rsidRPr="00EC250C">
        <w:t xml:space="preserve"> stwierdzają, że tracą one prawie wszystkich przyjaciół, są izolowane, są obiektem </w:t>
      </w:r>
      <w:r w:rsidRPr="00EC250C">
        <w:lastRenderedPageBreak/>
        <w:t>zaczepek, zmuszane są do przeprowadzki. Zgodnie</w:t>
      </w:r>
      <w:r w:rsidR="00992FD0" w:rsidRPr="00EC250C">
        <w:t xml:space="preserve"> z </w:t>
      </w:r>
      <w:r w:rsidRPr="00EC250C">
        <w:t>raportem, 2/3 dzieci padło ofiarą izolacji, 3/4 zapadło na depresję, 44 proc. było obrażanych lub straszonych,</w:t>
      </w:r>
      <w:r w:rsidR="00992FD0" w:rsidRPr="00EC250C">
        <w:t xml:space="preserve"> a </w:t>
      </w:r>
      <w:r w:rsidRPr="00EC250C">
        <w:t>7 proc.</w:t>
      </w:r>
      <w:r w:rsidR="00026572" w:rsidRPr="00EC250C">
        <w:t xml:space="preserve"> – </w:t>
      </w:r>
      <w:r w:rsidRPr="00EC250C">
        <w:t>pobitych</w:t>
      </w:r>
    </w:p>
    <w:p w14:paraId="2253C614" w14:textId="77777777" w:rsidR="00D86DD2" w:rsidRPr="00EC250C" w:rsidRDefault="00D86DD2" w:rsidP="00D131FA">
      <w:pPr>
        <w:pStyle w:val="Styl1"/>
      </w:pPr>
      <w:r w:rsidRPr="00EC250C">
        <w:t>W związku</w:t>
      </w:r>
      <w:r w:rsidR="00992FD0" w:rsidRPr="00EC250C">
        <w:t xml:space="preserve"> z </w:t>
      </w:r>
      <w:r w:rsidRPr="00EC250C">
        <w:t xml:space="preserve">brakiem odpowiedzi </w:t>
      </w:r>
      <w:r w:rsidR="00C079A6" w:rsidRPr="00EC250C">
        <w:t>RPO</w:t>
      </w:r>
      <w:r w:rsidRPr="00EC250C">
        <w:t xml:space="preserve"> zwrócił się</w:t>
      </w:r>
      <w:r w:rsidR="00992FD0" w:rsidRPr="00EC250C">
        <w:t xml:space="preserve"> z </w:t>
      </w:r>
      <w:r w:rsidRPr="00EC250C">
        <w:t>tą sprawą do premiera</w:t>
      </w:r>
      <w:r w:rsidRPr="00EC250C">
        <w:rPr>
          <w:rStyle w:val="Odwoanieprzypisudolnego"/>
          <w:iCs/>
        </w:rPr>
        <w:footnoteReference w:id="231"/>
      </w:r>
      <w:r w:rsidRPr="00EC250C">
        <w:t>.</w:t>
      </w:r>
    </w:p>
    <w:p w14:paraId="02E2A0F8" w14:textId="77777777" w:rsidR="00C91F6E" w:rsidRPr="00EC250C" w:rsidRDefault="00D86DD2" w:rsidP="00EC250C">
      <w:pPr>
        <w:pStyle w:val="Nagwek5"/>
      </w:pPr>
      <w:r w:rsidRPr="00EC250C">
        <w:t>Pozycja pokrzywdzonego oraz</w:t>
      </w:r>
      <w:r w:rsidR="00992FD0" w:rsidRPr="00EC250C">
        <w:t xml:space="preserve"> w </w:t>
      </w:r>
      <w:r w:rsidRPr="00EC250C">
        <w:t>ramach postępowania karnego</w:t>
      </w:r>
    </w:p>
    <w:p w14:paraId="4B460A4F" w14:textId="77777777" w:rsidR="00B473F5" w:rsidRPr="00EC250C" w:rsidRDefault="00D86DD2" w:rsidP="00D131FA">
      <w:pPr>
        <w:pStyle w:val="Problemczowieka"/>
        <w:jc w:val="both"/>
      </w:pPr>
      <w:r w:rsidRPr="00EC250C">
        <w:t>Pokrzywdzony jest informowany</w:t>
      </w:r>
      <w:r w:rsidR="00992FD0" w:rsidRPr="00EC250C">
        <w:t xml:space="preserve"> o </w:t>
      </w:r>
      <w:r w:rsidRPr="00EC250C">
        <w:t>możliwości zgłoszenia udziału</w:t>
      </w:r>
      <w:r w:rsidR="00992FD0" w:rsidRPr="00EC250C">
        <w:t xml:space="preserve"> w </w:t>
      </w:r>
      <w:r w:rsidRPr="00EC250C">
        <w:t>postępowaniu sądowym</w:t>
      </w:r>
      <w:r w:rsidR="00992FD0" w:rsidRPr="00EC250C">
        <w:t xml:space="preserve"> w </w:t>
      </w:r>
      <w:r w:rsidRPr="00EC250C">
        <w:t>charakterze oskarżyciela posiłkowego do czasu rozpoczęcia przewodu sądowego na rozprawie głównej, jednak żadne przepisy nie nakazują poinformowania go</w:t>
      </w:r>
      <w:r w:rsidR="00992FD0" w:rsidRPr="00EC250C">
        <w:t xml:space="preserve"> o </w:t>
      </w:r>
      <w:r w:rsidRPr="00EC250C">
        <w:t>tym, że postępowanie przed sądem może zostać zakończone wyrokiem nakazowym,</w:t>
      </w:r>
      <w:r w:rsidR="00992FD0" w:rsidRPr="00EC250C">
        <w:t xml:space="preserve"> a </w:t>
      </w:r>
      <w:r w:rsidRPr="00EC250C">
        <w:t>więc bez rozpoczynania takiego przewodu, ani nawet</w:t>
      </w:r>
      <w:r w:rsidR="00992FD0" w:rsidRPr="00EC250C">
        <w:t xml:space="preserve"> o </w:t>
      </w:r>
      <w:r w:rsidRPr="00EC250C">
        <w:t>wydaniu takiego wyroku</w:t>
      </w:r>
      <w:r w:rsidR="00B473F5" w:rsidRPr="00EC250C">
        <w:t>.</w:t>
      </w:r>
    </w:p>
    <w:p w14:paraId="590645BA" w14:textId="77777777" w:rsidR="00C91F6E" w:rsidRPr="00EC250C" w:rsidRDefault="00D86DD2" w:rsidP="00D131FA">
      <w:pPr>
        <w:pStyle w:val="Styl1"/>
        <w:rPr>
          <w:bCs/>
          <w:iCs/>
        </w:rPr>
      </w:pPr>
      <w:r w:rsidRPr="00EC250C">
        <w:rPr>
          <w:bCs/>
          <w:iCs/>
        </w:rPr>
        <w:t xml:space="preserve">W wystąpieniu do Ministra Sprawiedliwości </w:t>
      </w:r>
      <w:r w:rsidR="00C079A6" w:rsidRPr="00EC250C">
        <w:rPr>
          <w:bCs/>
          <w:iCs/>
        </w:rPr>
        <w:t>RPO</w:t>
      </w:r>
      <w:r w:rsidRPr="00EC250C">
        <w:rPr>
          <w:bCs/>
          <w:iCs/>
        </w:rPr>
        <w:t xml:space="preserve"> wskazał, że przepisy Kodeksu postępowania karnego stwarzają stawiają pokrzywdzonego</w:t>
      </w:r>
      <w:r w:rsidR="00992FD0" w:rsidRPr="00EC250C">
        <w:rPr>
          <w:bCs/>
          <w:iCs/>
        </w:rPr>
        <w:t xml:space="preserve"> w </w:t>
      </w:r>
      <w:r w:rsidRPr="00EC250C">
        <w:rPr>
          <w:bCs/>
          <w:iCs/>
        </w:rPr>
        <w:t>takiej sytuacji</w:t>
      </w:r>
      <w:r w:rsidR="00992FD0" w:rsidRPr="00EC250C">
        <w:rPr>
          <w:bCs/>
          <w:iCs/>
        </w:rPr>
        <w:t xml:space="preserve"> w </w:t>
      </w:r>
      <w:r w:rsidRPr="00EC250C">
        <w:rPr>
          <w:bCs/>
          <w:iCs/>
        </w:rPr>
        <w:t>gorszym położeniu niż inne strony postępowania karnego.</w:t>
      </w:r>
    </w:p>
    <w:p w14:paraId="60ADD6EC" w14:textId="77777777" w:rsidR="00D86DD2" w:rsidRPr="00EC250C" w:rsidRDefault="00D86DD2" w:rsidP="00D131FA">
      <w:pPr>
        <w:pStyle w:val="Styl1"/>
        <w:rPr>
          <w:bCs/>
          <w:iCs/>
        </w:rPr>
      </w:pPr>
      <w:r w:rsidRPr="00EC250C">
        <w:rPr>
          <w:bCs/>
          <w:iCs/>
        </w:rPr>
        <w:t>Jest to wyjątkowo niesprawiedliwe dla tych pokrzywdzonych, którzy nie korzystają</w:t>
      </w:r>
      <w:r w:rsidR="00992FD0" w:rsidRPr="00EC250C">
        <w:rPr>
          <w:bCs/>
          <w:iCs/>
        </w:rPr>
        <w:t xml:space="preserve"> z </w:t>
      </w:r>
      <w:r w:rsidRPr="00EC250C">
        <w:rPr>
          <w:bCs/>
          <w:iCs/>
        </w:rPr>
        <w:t>profesjonalnego pełnomocnika</w:t>
      </w:r>
      <w:r w:rsidRPr="00EC250C">
        <w:rPr>
          <w:rStyle w:val="Odwoanieprzypisudolnego"/>
          <w:iCs/>
        </w:rPr>
        <w:footnoteReference w:id="232"/>
      </w:r>
      <w:r w:rsidRPr="00EC250C">
        <w:rPr>
          <w:bCs/>
          <w:iCs/>
        </w:rPr>
        <w:t>.</w:t>
      </w:r>
    </w:p>
    <w:p w14:paraId="081AFA39" w14:textId="77777777" w:rsidR="00C91F6E" w:rsidRPr="00EC250C" w:rsidRDefault="00D86DD2" w:rsidP="00EC250C">
      <w:pPr>
        <w:pStyle w:val="Nagwek5"/>
      </w:pPr>
      <w:r w:rsidRPr="00EC250C">
        <w:t>Przesłuchania ofiar zgwałceń</w:t>
      </w:r>
    </w:p>
    <w:p w14:paraId="0DFE120F" w14:textId="77777777" w:rsidR="00B473F5" w:rsidRPr="00EC250C" w:rsidRDefault="00D86DD2" w:rsidP="00D131FA">
      <w:pPr>
        <w:pStyle w:val="Problemczowieka"/>
        <w:jc w:val="both"/>
        <w:rPr>
          <w:rStyle w:val="Pogrubienie"/>
          <w:b/>
          <w:bCs w:val="0"/>
        </w:rPr>
      </w:pPr>
      <w:r w:rsidRPr="00EC250C">
        <w:rPr>
          <w:rStyle w:val="Pogrubienie"/>
          <w:b/>
          <w:bCs w:val="0"/>
        </w:rPr>
        <w:t>Zgodnie ze standardami unijnymi przesłuchania wszystkich ofiar zgwałcenia powinny odbywać się jeden raz</w:t>
      </w:r>
      <w:r w:rsidR="00992FD0" w:rsidRPr="00EC250C">
        <w:rPr>
          <w:rStyle w:val="Pogrubienie"/>
          <w:b/>
          <w:bCs w:val="0"/>
        </w:rPr>
        <w:t xml:space="preserve"> i w </w:t>
      </w:r>
      <w:r w:rsidRPr="00EC250C">
        <w:rPr>
          <w:rStyle w:val="Pogrubienie"/>
          <w:b/>
          <w:bCs w:val="0"/>
        </w:rPr>
        <w:t>obecności psychologa. W Polsce procedury dla osób poniżej 15. roku życia są inne niż dla starszych</w:t>
      </w:r>
      <w:r w:rsidR="00B473F5" w:rsidRPr="00EC250C">
        <w:rPr>
          <w:rStyle w:val="Pogrubienie"/>
          <w:b/>
          <w:bCs w:val="0"/>
        </w:rPr>
        <w:t>.</w:t>
      </w:r>
    </w:p>
    <w:p w14:paraId="67078983" w14:textId="77777777" w:rsidR="00D86DD2" w:rsidRPr="00EC250C" w:rsidRDefault="00D86DD2" w:rsidP="00D131FA">
      <w:pPr>
        <w:pStyle w:val="Styl1"/>
      </w:pPr>
      <w:r w:rsidRPr="00EC250C">
        <w:t>Według art. 185a Kodeksu postepowania karnego, pokrzywdzonego przestępstwem seksualnym</w:t>
      </w:r>
      <w:r w:rsidR="00026572" w:rsidRPr="00EC250C">
        <w:t xml:space="preserve"> – </w:t>
      </w:r>
      <w:r w:rsidRPr="00EC250C">
        <w:t>który</w:t>
      </w:r>
      <w:r w:rsidR="00992FD0" w:rsidRPr="00EC250C">
        <w:t xml:space="preserve"> w </w:t>
      </w:r>
      <w:r w:rsidRPr="00EC250C">
        <w:t>chwili przesłuchania nie ukończył 15 lat</w:t>
      </w:r>
      <w:r w:rsidR="00026572" w:rsidRPr="00EC250C">
        <w:t xml:space="preserve"> – </w:t>
      </w:r>
      <w:r w:rsidRPr="00EC250C">
        <w:t>przesłuchuje się jako świadka jedynie wtedy, gdy jego zeznania mogą mieć istotne znaczenie dla sprawy</w:t>
      </w:r>
      <w:r w:rsidR="00992FD0" w:rsidRPr="00EC250C">
        <w:t xml:space="preserve"> i </w:t>
      </w:r>
      <w:r w:rsidRPr="00EC250C">
        <w:t>tylko raz.</w:t>
      </w:r>
    </w:p>
    <w:p w14:paraId="27334C0B" w14:textId="77777777" w:rsidR="00D86DD2" w:rsidRPr="00EC250C" w:rsidRDefault="00D86DD2" w:rsidP="00D131FA">
      <w:pPr>
        <w:pStyle w:val="Styl1"/>
      </w:pPr>
      <w:r w:rsidRPr="00EC250C">
        <w:t>Powtórne przesłuchanie jest możliwe tylko, jeśli wyjdą na jaw istotne okoliczności lub zażąda tego oskarżony, który nie miał obrońcy</w:t>
      </w:r>
      <w:r w:rsidR="00992FD0" w:rsidRPr="00EC250C">
        <w:t xml:space="preserve"> w </w:t>
      </w:r>
      <w:r w:rsidRPr="00EC250C">
        <w:t>czasie pierwszego przesłuchania. Przesłuchanie przeprowadza sąd</w:t>
      </w:r>
      <w:r w:rsidR="00992FD0" w:rsidRPr="00EC250C">
        <w:t xml:space="preserve"> z </w:t>
      </w:r>
      <w:r w:rsidRPr="00EC250C">
        <w:t>udziałem biegłego psychologa. Mogą</w:t>
      </w:r>
      <w:r w:rsidR="00992FD0" w:rsidRPr="00EC250C">
        <w:t xml:space="preserve"> w </w:t>
      </w:r>
      <w:r w:rsidRPr="00EC250C">
        <w:t>nim wziąć udział prokurator, obrońca oraz pełnomocnik pokrzywdzonego.</w:t>
      </w:r>
    </w:p>
    <w:p w14:paraId="75F91996" w14:textId="77777777" w:rsidR="00D86DD2" w:rsidRPr="00EC250C" w:rsidRDefault="00D86DD2" w:rsidP="00D131FA">
      <w:pPr>
        <w:pStyle w:val="Styl1"/>
      </w:pPr>
      <w:r w:rsidRPr="00EC250C">
        <w:t>Zgodnie zaś</w:t>
      </w:r>
      <w:r w:rsidR="00992FD0" w:rsidRPr="00EC250C">
        <w:t xml:space="preserve"> z </w:t>
      </w:r>
      <w:r w:rsidRPr="00EC250C">
        <w:t>art. 185c ust. 1 Kpk,</w:t>
      </w:r>
      <w:r w:rsidR="00992FD0" w:rsidRPr="00EC250C">
        <w:t xml:space="preserve"> w </w:t>
      </w:r>
      <w:r w:rsidRPr="00EC250C">
        <w:t>przesłuchaniu jako świadka ofiary przestępstwa seksualnego, która ma więcej niż 15 lat, udział biegłego psychologa nie jest obligatoryjny (wykluczony jest udział oskarżonego). Ewentualne ponowne przesłuchanie może się odbyć na wniosek pokrzywdzonego</w:t>
      </w:r>
      <w:r w:rsidR="00992FD0" w:rsidRPr="00EC250C">
        <w:t xml:space="preserve"> w </w:t>
      </w:r>
      <w:r w:rsidRPr="00EC250C">
        <w:t>drodze teletransmisji</w:t>
      </w:r>
      <w:r w:rsidR="00026572" w:rsidRPr="00EC250C">
        <w:t xml:space="preserve"> – </w:t>
      </w:r>
      <w:r w:rsidRPr="00EC250C">
        <w:t>jeśli jest obawa, że bezpośrednia obecność oskarżonego mogłaby oddziaływać krępująco na świadka.</w:t>
      </w:r>
    </w:p>
    <w:p w14:paraId="7057764B" w14:textId="77777777" w:rsidR="00D86DD2" w:rsidRPr="00EC250C" w:rsidRDefault="00D86DD2" w:rsidP="00D131FA">
      <w:pPr>
        <w:pStyle w:val="Styl1"/>
      </w:pPr>
      <w:r w:rsidRPr="00EC250C">
        <w:lastRenderedPageBreak/>
        <w:t>Możliwość powtórnego przesłuchania takiego pokrzywdzonego nie jest</w:t>
      </w:r>
      <w:r w:rsidR="00992FD0" w:rsidRPr="00EC250C">
        <w:t xml:space="preserve"> w </w:t>
      </w:r>
      <w:r w:rsidRPr="00EC250C">
        <w:t>tym wypadku doprecyzowana. Kpk nie określa przesłanek powtórzenia tej czynności.</w:t>
      </w:r>
    </w:p>
    <w:p w14:paraId="6661FD2D" w14:textId="77777777" w:rsidR="00D86DD2" w:rsidRPr="00EC250C" w:rsidRDefault="00C079A6" w:rsidP="00D131FA">
      <w:pPr>
        <w:pStyle w:val="Styl1"/>
      </w:pPr>
      <w:r w:rsidRPr="00EC250C">
        <w:t>RPO</w:t>
      </w:r>
      <w:r w:rsidR="00D86DD2" w:rsidRPr="00EC250C">
        <w:t xml:space="preserve"> podkreśla, że takie zróżnicowanie procedury przesłuchania ofiar przestępstw seksualnych</w:t>
      </w:r>
      <w:r w:rsidR="00992FD0" w:rsidRPr="00EC250C">
        <w:t xml:space="preserve"> z </w:t>
      </w:r>
      <w:r w:rsidR="00D86DD2" w:rsidRPr="00EC250C">
        <w:t>względu na ich wiek nie znajduje oparcia</w:t>
      </w:r>
      <w:r w:rsidR="00992FD0" w:rsidRPr="00EC250C">
        <w:t xml:space="preserve"> w </w:t>
      </w:r>
      <w:r w:rsidR="00D86DD2" w:rsidRPr="00EC250C">
        <w:t>dyrektywach Parlamentu Europejskiego</w:t>
      </w:r>
      <w:r w:rsidR="00992FD0" w:rsidRPr="00EC250C">
        <w:t xml:space="preserve"> i </w:t>
      </w:r>
      <w:r w:rsidR="00D86DD2" w:rsidRPr="00EC250C">
        <w:t>Rady, które miały być implementowane do polskiego porządku prawnego</w:t>
      </w:r>
      <w:r w:rsidR="00D86DD2" w:rsidRPr="00EC250C">
        <w:rPr>
          <w:rStyle w:val="Odwoanieprzypisudolnego"/>
          <w:iCs/>
        </w:rPr>
        <w:footnoteReference w:id="233"/>
      </w:r>
      <w:r w:rsidR="00D86DD2" w:rsidRPr="00EC250C">
        <w:t>. Liczba przesłuchań ofiar powinna być ograniczona tylko do przypadków absolutnie niezbędnych. Powinne być one prowadzone przez odpowiednich specjalistów lub</w:t>
      </w:r>
      <w:r w:rsidR="00992FD0" w:rsidRPr="00EC250C">
        <w:t xml:space="preserve"> z </w:t>
      </w:r>
      <w:r w:rsidR="00D86DD2" w:rsidRPr="00EC250C">
        <w:t>ich udziałem (chodzi</w:t>
      </w:r>
      <w:r w:rsidR="00992FD0" w:rsidRPr="00EC250C">
        <w:t xml:space="preserve"> o </w:t>
      </w:r>
      <w:r w:rsidR="00D86DD2" w:rsidRPr="00EC250C">
        <w:t>psychologów). Ryzyko wtórnej wiktymizacji, zastraszania oraz odwetu ze strony sprawcy należy ograniczyć przez prowadzenie postępowań</w:t>
      </w:r>
      <w:r w:rsidR="00992FD0" w:rsidRPr="00EC250C">
        <w:t xml:space="preserve"> w </w:t>
      </w:r>
      <w:r w:rsidR="00D86DD2" w:rsidRPr="00EC250C">
        <w:t>sposób skoordynowany</w:t>
      </w:r>
      <w:r w:rsidR="00992FD0" w:rsidRPr="00EC250C">
        <w:t xml:space="preserve"> i </w:t>
      </w:r>
      <w:r w:rsidR="00D86DD2" w:rsidRPr="00EC250C">
        <w:t>taktowny, tak aby ofiary traktowano</w:t>
      </w:r>
      <w:r w:rsidR="00992FD0" w:rsidRPr="00EC250C">
        <w:t xml:space="preserve"> z </w:t>
      </w:r>
      <w:r w:rsidR="00D86DD2" w:rsidRPr="00EC250C">
        <w:t>szacunkiem</w:t>
      </w:r>
      <w:r w:rsidR="00992FD0" w:rsidRPr="00EC250C">
        <w:t xml:space="preserve"> i </w:t>
      </w:r>
      <w:r w:rsidR="00D86DD2" w:rsidRPr="00EC250C">
        <w:t>by mogły nabrać zaufania. Ochronę praw</w:t>
      </w:r>
      <w:r w:rsidR="00992FD0" w:rsidRPr="00EC250C">
        <w:t xml:space="preserve"> i </w:t>
      </w:r>
      <w:r w:rsidR="00D86DD2" w:rsidRPr="00EC250C">
        <w:t>interesów ofiar jako świadków gwarantuje też Konwencja Rady Europy</w:t>
      </w:r>
      <w:r w:rsidR="00992FD0" w:rsidRPr="00EC250C">
        <w:t xml:space="preserve"> o </w:t>
      </w:r>
      <w:r w:rsidR="00D86DD2" w:rsidRPr="00EC250C">
        <w:t>zapobieganiu</w:t>
      </w:r>
      <w:r w:rsidR="00992FD0" w:rsidRPr="00EC250C">
        <w:t xml:space="preserve"> i </w:t>
      </w:r>
      <w:r w:rsidR="00D86DD2" w:rsidRPr="00EC250C">
        <w:t>zwalczaniu przemocy wobec kobiet</w:t>
      </w:r>
      <w:r w:rsidR="00992FD0" w:rsidRPr="00EC250C">
        <w:t xml:space="preserve"> i </w:t>
      </w:r>
      <w:r w:rsidR="00D86DD2" w:rsidRPr="00EC250C">
        <w:t>przemocy domowej.</w:t>
      </w:r>
    </w:p>
    <w:p w14:paraId="583A90C5" w14:textId="77777777" w:rsidR="00D86DD2" w:rsidRPr="00EC250C" w:rsidRDefault="00D86DD2" w:rsidP="00D131FA">
      <w:pPr>
        <w:pStyle w:val="Styl1"/>
      </w:pPr>
      <w:r w:rsidRPr="00EC250C">
        <w:t xml:space="preserve">Porównując standardy przesłuchań ofiar przestępstw seksualnych, </w:t>
      </w:r>
      <w:r w:rsidR="00C079A6" w:rsidRPr="00EC250C">
        <w:t>RPO</w:t>
      </w:r>
      <w:r w:rsidRPr="00EC250C">
        <w:t xml:space="preserve"> wskazuje, że:</w:t>
      </w:r>
    </w:p>
    <w:p w14:paraId="59D0C535" w14:textId="77777777" w:rsidR="00D86DD2" w:rsidRPr="00EC250C" w:rsidRDefault="00D86DD2" w:rsidP="006C70B7">
      <w:pPr>
        <w:pStyle w:val="Styl1"/>
        <w:numPr>
          <w:ilvl w:val="0"/>
          <w:numId w:val="38"/>
        </w:numPr>
      </w:pPr>
      <w:r w:rsidRPr="00EC250C">
        <w:t>gdy oskarżony</w:t>
      </w:r>
      <w:r w:rsidR="00992FD0" w:rsidRPr="00EC250C">
        <w:t xml:space="preserve"> o </w:t>
      </w:r>
      <w:r w:rsidRPr="00EC250C">
        <w:t>taki czyn wobec osoby powyżej 15. roku życia</w:t>
      </w:r>
      <w:r w:rsidR="00026572" w:rsidRPr="00EC250C">
        <w:t xml:space="preserve"> – </w:t>
      </w:r>
      <w:r w:rsidRPr="00EC250C">
        <w:t>zawiadomiony</w:t>
      </w:r>
      <w:r w:rsidR="00992FD0" w:rsidRPr="00EC250C">
        <w:t xml:space="preserve"> o </w:t>
      </w:r>
      <w:r w:rsidRPr="00EC250C">
        <w:t>przesłuchaniu swej ofiary</w:t>
      </w:r>
      <w:r w:rsidR="00026572" w:rsidRPr="00EC250C">
        <w:t xml:space="preserve"> – </w:t>
      </w:r>
      <w:r w:rsidRPr="00EC250C">
        <w:t>nie ma obrońcy, sąd powinien wyznaczać mu go</w:t>
      </w:r>
      <w:r w:rsidR="00992FD0" w:rsidRPr="00EC250C">
        <w:t xml:space="preserve"> z </w:t>
      </w:r>
      <w:r w:rsidRPr="00EC250C">
        <w:t>urzędu; dziś jest to</w:t>
      </w:r>
      <w:r w:rsidR="00992FD0" w:rsidRPr="00EC250C">
        <w:t xml:space="preserve"> w </w:t>
      </w:r>
      <w:r w:rsidRPr="00EC250C">
        <w:t>dużym stopniu uzależnione od uznania sądu;</w:t>
      </w:r>
    </w:p>
    <w:p w14:paraId="392A74D2" w14:textId="77777777" w:rsidR="00D86DD2" w:rsidRPr="00EC250C" w:rsidRDefault="00D86DD2" w:rsidP="006C70B7">
      <w:pPr>
        <w:pStyle w:val="Styl1"/>
        <w:numPr>
          <w:ilvl w:val="0"/>
          <w:numId w:val="38"/>
        </w:numPr>
      </w:pPr>
      <w:r w:rsidRPr="00EC250C">
        <w:t>brakuje zasady jednokrotnego przesłuchania ofiary powyżej 15. roku życia;</w:t>
      </w:r>
    </w:p>
    <w:p w14:paraId="2CD06BB7" w14:textId="77777777" w:rsidR="00C91F6E" w:rsidRPr="00EC250C" w:rsidRDefault="00D86DD2" w:rsidP="006C70B7">
      <w:pPr>
        <w:pStyle w:val="Styl1"/>
        <w:numPr>
          <w:ilvl w:val="0"/>
          <w:numId w:val="38"/>
        </w:numPr>
      </w:pPr>
      <w:r w:rsidRPr="00EC250C">
        <w:t>nie ma określonych przesłanek uzasadniających jej ponowne przesłuchanie;</w:t>
      </w:r>
    </w:p>
    <w:p w14:paraId="52C113A3" w14:textId="77777777" w:rsidR="00C91F6E" w:rsidRPr="00EC250C" w:rsidRDefault="00D86DD2" w:rsidP="006C70B7">
      <w:pPr>
        <w:pStyle w:val="Styl1"/>
        <w:numPr>
          <w:ilvl w:val="0"/>
          <w:numId w:val="38"/>
        </w:numPr>
      </w:pPr>
      <w:r w:rsidRPr="00EC250C">
        <w:t>nie ma obowiązkowego udziału psychologa podczas przesłuchania takiej ofiary;</w:t>
      </w:r>
    </w:p>
    <w:p w14:paraId="541B2AFB" w14:textId="77777777" w:rsidR="00D86DD2" w:rsidRPr="00EC250C" w:rsidRDefault="00D86DD2" w:rsidP="006C70B7">
      <w:pPr>
        <w:pStyle w:val="Styl1"/>
        <w:numPr>
          <w:ilvl w:val="0"/>
          <w:numId w:val="38"/>
        </w:numPr>
      </w:pPr>
      <w:r w:rsidRPr="00EC250C">
        <w:t>brakuje przesłanek ponownego przesłuchania ofiary powyżej 15. roku życia, która może być przesłuchiwana wielokrotnie; może</w:t>
      </w:r>
      <w:r w:rsidR="00992FD0" w:rsidRPr="00EC250C">
        <w:t xml:space="preserve"> o </w:t>
      </w:r>
      <w:r w:rsidRPr="00EC250C">
        <w:t>to bowiem wnosić każdy występujący</w:t>
      </w:r>
      <w:r w:rsidR="00992FD0" w:rsidRPr="00EC250C">
        <w:t xml:space="preserve"> w </w:t>
      </w:r>
      <w:r w:rsidRPr="00EC250C">
        <w:t>danej sprawie podejrzany</w:t>
      </w:r>
      <w:r w:rsidR="00026572" w:rsidRPr="00EC250C">
        <w:t xml:space="preserve"> – </w:t>
      </w:r>
      <w:r w:rsidR="00992FD0" w:rsidRPr="00EC250C">
        <w:t>i w </w:t>
      </w:r>
      <w:r w:rsidRPr="00EC250C">
        <w:t>śledztwie,</w:t>
      </w:r>
      <w:r w:rsidR="00992FD0" w:rsidRPr="00EC250C">
        <w:t xml:space="preserve"> i </w:t>
      </w:r>
      <w:r w:rsidRPr="00EC250C">
        <w:t>podczas procesu.</w:t>
      </w:r>
    </w:p>
    <w:p w14:paraId="314CC610" w14:textId="77777777" w:rsidR="00D86DD2" w:rsidRPr="00EC250C" w:rsidRDefault="00C079A6" w:rsidP="00D131FA">
      <w:pPr>
        <w:pStyle w:val="Styl1"/>
      </w:pPr>
      <w:r w:rsidRPr="00EC250C">
        <w:rPr>
          <w:bCs/>
          <w:iCs/>
        </w:rPr>
        <w:t>RPO</w:t>
      </w:r>
      <w:r w:rsidR="00D86DD2" w:rsidRPr="00EC250C">
        <w:rPr>
          <w:bCs/>
          <w:iCs/>
        </w:rPr>
        <w:t xml:space="preserve"> zwrócił się</w:t>
      </w:r>
      <w:r w:rsidR="00D86DD2" w:rsidRPr="00EC250C">
        <w:rPr>
          <w:rStyle w:val="Odwoanieprzypisudolnego"/>
          <w:iCs/>
        </w:rPr>
        <w:footnoteReference w:id="234"/>
      </w:r>
      <w:r w:rsidR="00992FD0" w:rsidRPr="00EC250C">
        <w:rPr>
          <w:bCs/>
          <w:iCs/>
        </w:rPr>
        <w:t xml:space="preserve"> w </w:t>
      </w:r>
      <w:r w:rsidR="00D86DD2" w:rsidRPr="00EC250C">
        <w:rPr>
          <w:bCs/>
          <w:iCs/>
        </w:rPr>
        <w:t>tej sprawie do Ministra Sprawiedliwości.</w:t>
      </w:r>
      <w:r w:rsidR="001D4F1C" w:rsidRPr="00EC250C">
        <w:rPr>
          <w:bCs/>
          <w:iCs/>
        </w:rPr>
        <w:t xml:space="preserve"> Odpowiedzi nie dostał, interweniował więc u premiera, który już</w:t>
      </w:r>
      <w:r w:rsidR="00992FD0" w:rsidRPr="00EC250C">
        <w:rPr>
          <w:bCs/>
          <w:iCs/>
        </w:rPr>
        <w:t xml:space="preserve"> w </w:t>
      </w:r>
      <w:r w:rsidR="001D4F1C" w:rsidRPr="00EC250C">
        <w:rPr>
          <w:bCs/>
          <w:iCs/>
        </w:rPr>
        <w:t>2019</w:t>
      </w:r>
      <w:r w:rsidR="00C91F6E" w:rsidRPr="00EC250C">
        <w:rPr>
          <w:bCs/>
          <w:iCs/>
        </w:rPr>
        <w:t> r.</w:t>
      </w:r>
      <w:r w:rsidR="001D4F1C" w:rsidRPr="00EC250C">
        <w:rPr>
          <w:bCs/>
          <w:iCs/>
        </w:rPr>
        <w:t xml:space="preserve"> poprosił Ministra Sprawiedliwości</w:t>
      </w:r>
      <w:r w:rsidR="00992FD0" w:rsidRPr="00EC250C">
        <w:rPr>
          <w:bCs/>
          <w:iCs/>
        </w:rPr>
        <w:t xml:space="preserve"> o </w:t>
      </w:r>
      <w:r w:rsidR="001D4F1C" w:rsidRPr="00EC250C">
        <w:rPr>
          <w:bCs/>
          <w:iCs/>
        </w:rPr>
        <w:t xml:space="preserve">to, by Rzecznikowi </w:t>
      </w:r>
      <w:r w:rsidRPr="00EC250C">
        <w:rPr>
          <w:bCs/>
          <w:iCs/>
        </w:rPr>
        <w:t xml:space="preserve">Praw Obywatelskich </w:t>
      </w:r>
      <w:r w:rsidR="001D4F1C" w:rsidRPr="00EC250C">
        <w:rPr>
          <w:bCs/>
          <w:iCs/>
        </w:rPr>
        <w:t>odpowiedział.</w:t>
      </w:r>
    </w:p>
    <w:p w14:paraId="69571659" w14:textId="77777777" w:rsidR="00C91F6E" w:rsidRPr="00EC250C" w:rsidRDefault="00D86DD2" w:rsidP="00EC250C">
      <w:pPr>
        <w:pStyle w:val="Nagwek5"/>
      </w:pPr>
      <w:r w:rsidRPr="00EC250C">
        <w:t>Rozbieżności</w:t>
      </w:r>
      <w:r w:rsidR="00992FD0" w:rsidRPr="00EC250C">
        <w:t xml:space="preserve"> w </w:t>
      </w:r>
      <w:r w:rsidRPr="00EC250C">
        <w:t>sytuacji osób pokrzywdzonych przestępstwem, które chcą skorzystać</w:t>
      </w:r>
      <w:r w:rsidR="00992FD0" w:rsidRPr="00EC250C">
        <w:t xml:space="preserve"> z </w:t>
      </w:r>
      <w:r w:rsidRPr="00EC250C">
        <w:t>prawa do wniesienia subsydiarnego aktu oskarżenia</w:t>
      </w:r>
    </w:p>
    <w:p w14:paraId="4D01398F" w14:textId="77777777" w:rsidR="00B473F5" w:rsidRPr="00EC250C" w:rsidRDefault="00D86DD2" w:rsidP="00D131FA">
      <w:pPr>
        <w:pStyle w:val="Problemczowieka"/>
        <w:jc w:val="both"/>
      </w:pPr>
      <w:r w:rsidRPr="00EC250C">
        <w:t>Pokrzywdzeni przestępstwem, którzy chcą wnieść prywatny akt oskarżenia, nie mają dziś równych praw. Termin na złożenie takiego aktu oskarżenia zależy dziś bowiem od tego, czy sąd przyzna pokrzywdzonemu pełnomocnika</w:t>
      </w:r>
      <w:r w:rsidR="00992FD0" w:rsidRPr="00EC250C">
        <w:t xml:space="preserve"> z </w:t>
      </w:r>
      <w:r w:rsidRPr="00EC250C">
        <w:t>urzędu</w:t>
      </w:r>
      <w:r w:rsidR="00B473F5" w:rsidRPr="00EC250C">
        <w:t>.</w:t>
      </w:r>
    </w:p>
    <w:p w14:paraId="430A0C00" w14:textId="77777777" w:rsidR="00C91F6E" w:rsidRPr="00EC250C" w:rsidRDefault="00D86DD2" w:rsidP="00D131FA">
      <w:pPr>
        <w:pStyle w:val="Styl1"/>
      </w:pPr>
      <w:r w:rsidRPr="00EC250C">
        <w:t>Termin na wniesienie prywatnego (subsydiarnego) aktu oskarżenia wynosi miesiąc od doręczenia pokrzywdzonemu zawiadomienia</w:t>
      </w:r>
      <w:r w:rsidR="00992FD0" w:rsidRPr="00EC250C">
        <w:t xml:space="preserve"> o </w:t>
      </w:r>
      <w:r w:rsidRPr="00EC250C">
        <w:t>powtórnej odmowie wszczęcia śledztwa lub umorzeniu go. W przypadku niedotrzymania tego terminu sąd odmawia przyjęcia aktu oskarżenia.</w:t>
      </w:r>
    </w:p>
    <w:p w14:paraId="737B28CC" w14:textId="77777777" w:rsidR="00D86DD2" w:rsidRPr="00EC250C" w:rsidRDefault="00D86DD2" w:rsidP="00D131FA">
      <w:pPr>
        <w:pStyle w:val="Styl1"/>
      </w:pPr>
      <w:r w:rsidRPr="00EC250C">
        <w:lastRenderedPageBreak/>
        <w:t>Taki akt oskarżenia musi sporządzić</w:t>
      </w:r>
      <w:r w:rsidR="00992FD0" w:rsidRPr="00EC250C">
        <w:t xml:space="preserve"> i </w:t>
      </w:r>
      <w:r w:rsidRPr="00EC250C">
        <w:t>podpisać adwokat lub radca prawny. Jeśli pokrzywdzonego nie stać na pełnomocnika</w:t>
      </w:r>
      <w:r w:rsidR="00992FD0" w:rsidRPr="00EC250C">
        <w:t xml:space="preserve"> z </w:t>
      </w:r>
      <w:r w:rsidRPr="00EC250C">
        <w:t>wyboru (za którego pomoc musi sam zapłacić), może poprosić sąd</w:t>
      </w:r>
      <w:r w:rsidR="00992FD0" w:rsidRPr="00EC250C">
        <w:t xml:space="preserve"> o </w:t>
      </w:r>
      <w:r w:rsidRPr="00EC250C">
        <w:t>pełnomocnika</w:t>
      </w:r>
      <w:r w:rsidR="00992FD0" w:rsidRPr="00EC250C">
        <w:t xml:space="preserve"> z </w:t>
      </w:r>
      <w:r w:rsidRPr="00EC250C">
        <w:t>urzędu (któremu wynagrodzenie przyznaje sąd). Po złożeniu takiego wniosku miesięczny termin na złożenie aktu oskarżenia zostaje zawieszony do wydania ostatecznego rozstrzygnięcia. Jeśli pełnomocnik</w:t>
      </w:r>
      <w:r w:rsidR="00992FD0" w:rsidRPr="00EC250C">
        <w:t xml:space="preserve"> z </w:t>
      </w:r>
      <w:r w:rsidRPr="00EC250C">
        <w:t>urzędu nie zostaje przyznany (bo np. sąd uznał, że pokrzywdzony może sam ponieść koszty adwokackie), termin ten „odżywa”</w:t>
      </w:r>
      <w:r w:rsidR="00992FD0" w:rsidRPr="00EC250C">
        <w:t xml:space="preserve"> i </w:t>
      </w:r>
      <w:r w:rsidRPr="00EC250C">
        <w:t>biegnie</w:t>
      </w:r>
      <w:r w:rsidR="00992FD0" w:rsidRPr="00EC250C">
        <w:t xml:space="preserve"> w </w:t>
      </w:r>
      <w:r w:rsidRPr="00EC250C">
        <w:t>dalszym ciągu. Gdy zaś pełnomocnik</w:t>
      </w:r>
      <w:r w:rsidR="00992FD0" w:rsidRPr="00EC250C">
        <w:t xml:space="preserve"> z </w:t>
      </w:r>
      <w:r w:rsidRPr="00EC250C">
        <w:t>urzędu zostaje przyznany, termin zaczyna bieg całkiem od nowa</w:t>
      </w:r>
      <w:r w:rsidR="00026572" w:rsidRPr="00EC250C">
        <w:t xml:space="preserve"> – </w:t>
      </w:r>
      <w:r w:rsidRPr="00EC250C">
        <w:t>od dnia powiadomienia pełnomocnika</w:t>
      </w:r>
      <w:r w:rsidR="00992FD0" w:rsidRPr="00EC250C">
        <w:t xml:space="preserve"> o </w:t>
      </w:r>
      <w:r w:rsidRPr="00EC250C">
        <w:t>wyznaczeniu go do sprawy.</w:t>
      </w:r>
    </w:p>
    <w:p w14:paraId="56D92147" w14:textId="77777777" w:rsidR="00D86DD2" w:rsidRPr="00EC250C" w:rsidRDefault="00D86DD2" w:rsidP="00D131FA">
      <w:pPr>
        <w:pStyle w:val="Styl1"/>
      </w:pPr>
      <w:r w:rsidRPr="00EC250C">
        <w:t>W ocenie RPO takie rozwiązanie</w:t>
      </w:r>
      <w:r w:rsidR="00992FD0" w:rsidRPr="00EC250C">
        <w:t xml:space="preserve"> w </w:t>
      </w:r>
      <w:r w:rsidRPr="00EC250C">
        <w:t>sposób nieuprawniony różnicuje prawa osób znajdujących się</w:t>
      </w:r>
      <w:r w:rsidR="00992FD0" w:rsidRPr="00EC250C">
        <w:t xml:space="preserve"> w </w:t>
      </w:r>
      <w:r w:rsidRPr="00EC250C">
        <w:t>takiej samej sytuacji. Jedynie bowiem od decyzji co do przyznania pełnomocnika</w:t>
      </w:r>
      <w:r w:rsidR="00992FD0" w:rsidRPr="00EC250C">
        <w:t xml:space="preserve"> z </w:t>
      </w:r>
      <w:r w:rsidRPr="00EC250C">
        <w:t>urzędu zależy, czy termin będzie biegł</w:t>
      </w:r>
      <w:r w:rsidR="00992FD0" w:rsidRPr="00EC250C">
        <w:t xml:space="preserve"> w </w:t>
      </w:r>
      <w:r w:rsidRPr="00EC250C">
        <w:t>dalszym ciągu, czy też od nowa. Na bieg terminów procesowych nie powinno to mieć zaś wpływu.</w:t>
      </w:r>
    </w:p>
    <w:p w14:paraId="62DE94B5" w14:textId="77777777" w:rsidR="00D86DD2" w:rsidRPr="00EC250C" w:rsidRDefault="00D86DD2" w:rsidP="00D131FA">
      <w:pPr>
        <w:pStyle w:val="Styl1"/>
      </w:pPr>
      <w:r w:rsidRPr="00EC250C">
        <w:t>RPO opowiada się za wprowadzeniem zasady, że miesięczny termin zaczyna biec na nowo od dnia doręczenia decyzji sądu</w:t>
      </w:r>
      <w:r w:rsidR="00026572" w:rsidRPr="00EC250C">
        <w:t xml:space="preserve"> – </w:t>
      </w:r>
      <w:r w:rsidRPr="00EC250C">
        <w:t>niezależnie od tego, czy przyznał on pokrzywdzonemu pełnomocnika, czy też nie. Termin ten zatem biegłby od nowa także dla tych, którzy nie dostali pełnomocnika</w:t>
      </w:r>
      <w:r w:rsidR="00992FD0" w:rsidRPr="00EC250C">
        <w:t xml:space="preserve"> z </w:t>
      </w:r>
      <w:r w:rsidRPr="00EC250C">
        <w:t>urzędu.</w:t>
      </w:r>
    </w:p>
    <w:p w14:paraId="0FFBBD85" w14:textId="77777777" w:rsidR="00C91F6E" w:rsidRPr="00EC250C" w:rsidRDefault="00D86DD2" w:rsidP="00D131FA">
      <w:pPr>
        <w:pStyle w:val="Styl1"/>
      </w:pPr>
      <w:r w:rsidRPr="00EC250C">
        <w:t>Zdaniem rzecznika nie różnicowałoby to praw osób, które wnosiły</w:t>
      </w:r>
      <w:r w:rsidR="00992FD0" w:rsidRPr="00EC250C">
        <w:t xml:space="preserve"> o </w:t>
      </w:r>
      <w:r w:rsidRPr="00EC250C">
        <w:t>przyznanie pełnomocnika</w:t>
      </w:r>
      <w:r w:rsidR="00992FD0" w:rsidRPr="00EC250C">
        <w:t xml:space="preserve"> z </w:t>
      </w:r>
      <w:r w:rsidRPr="00EC250C">
        <w:t>urzędu oraz tych, które takiego wniosku nie złożyły. Osoba, która wnosi</w:t>
      </w:r>
      <w:r w:rsidR="00992FD0" w:rsidRPr="00EC250C">
        <w:t xml:space="preserve"> o </w:t>
      </w:r>
      <w:r w:rsidRPr="00EC250C">
        <w:t>przyznanie pełnomocnika</w:t>
      </w:r>
      <w:r w:rsidR="00992FD0" w:rsidRPr="00EC250C">
        <w:t xml:space="preserve"> z </w:t>
      </w:r>
      <w:r w:rsidRPr="00EC250C">
        <w:t>urzędu, zakłada bowiem, że go otrzyma. Do czasu rozpoznania jej wniosku, nie podejmuje ona starań</w:t>
      </w:r>
      <w:r w:rsidR="00992FD0" w:rsidRPr="00EC250C">
        <w:t xml:space="preserve"> o </w:t>
      </w:r>
      <w:r w:rsidRPr="00EC250C">
        <w:t>pełnomocnika</w:t>
      </w:r>
      <w:r w:rsidR="00992FD0" w:rsidRPr="00EC250C">
        <w:t xml:space="preserve"> z </w:t>
      </w:r>
      <w:r w:rsidRPr="00EC250C">
        <w:t>wyboru. Z kolei osoba, która takiego wniosku nie składa, wychodzi</w:t>
      </w:r>
      <w:r w:rsidR="00992FD0" w:rsidRPr="00EC250C">
        <w:t xml:space="preserve"> z </w:t>
      </w:r>
      <w:r w:rsidRPr="00EC250C">
        <w:t>założenia, że pełnomocnika</w:t>
      </w:r>
      <w:r w:rsidR="00992FD0" w:rsidRPr="00EC250C">
        <w:t xml:space="preserve"> z </w:t>
      </w:r>
      <w:r w:rsidRPr="00EC250C">
        <w:t>urzędu nie dostanie ze względu na swój stan majątkowy.</w:t>
      </w:r>
    </w:p>
    <w:p w14:paraId="47A26205" w14:textId="77777777" w:rsidR="00D86DD2" w:rsidRPr="00EC250C" w:rsidRDefault="00C079A6" w:rsidP="00D131FA">
      <w:pPr>
        <w:pStyle w:val="Styl1"/>
      </w:pPr>
      <w:r w:rsidRPr="00EC250C">
        <w:rPr>
          <w:bCs/>
          <w:iCs/>
        </w:rPr>
        <w:t>RPO</w:t>
      </w:r>
      <w:r w:rsidR="00D86DD2" w:rsidRPr="00EC250C">
        <w:rPr>
          <w:bCs/>
          <w:iCs/>
        </w:rPr>
        <w:t xml:space="preserve"> zwrócił uwagę na problem Ministrowi Sprawiedliwości</w:t>
      </w:r>
      <w:r w:rsidR="00D86DD2" w:rsidRPr="00EC250C">
        <w:rPr>
          <w:rStyle w:val="Odwoanieprzypisudolnego"/>
          <w:iCs/>
        </w:rPr>
        <w:footnoteReference w:id="235"/>
      </w:r>
      <w:r w:rsidR="00D86DD2" w:rsidRPr="00EC250C">
        <w:rPr>
          <w:bCs/>
          <w:iCs/>
        </w:rPr>
        <w:t>.</w:t>
      </w:r>
      <w:r w:rsidR="001D4F1C" w:rsidRPr="00EC250C">
        <w:rPr>
          <w:bCs/>
          <w:iCs/>
        </w:rPr>
        <w:t xml:space="preserve"> Odpowiedzi nie dostał.</w:t>
      </w:r>
    </w:p>
    <w:p w14:paraId="3B973754" w14:textId="77777777" w:rsidR="00D86DD2" w:rsidRPr="00EC250C" w:rsidRDefault="00D86DD2" w:rsidP="00EC250C">
      <w:pPr>
        <w:pStyle w:val="Nagwek5"/>
      </w:pPr>
      <w:r w:rsidRPr="00EC250C">
        <w:t>Funkcjonowanie „Funduszu Sprawiedliwości”</w:t>
      </w:r>
    </w:p>
    <w:p w14:paraId="33325F5E" w14:textId="77777777" w:rsidR="00B473F5" w:rsidRPr="00EC250C" w:rsidRDefault="00D86DD2" w:rsidP="00D131FA">
      <w:pPr>
        <w:pStyle w:val="Problemczowieka"/>
        <w:jc w:val="both"/>
      </w:pPr>
      <w:r w:rsidRPr="00EC250C">
        <w:rPr>
          <w:bdr w:val="none" w:sz="0" w:space="0" w:color="auto" w:frame="1"/>
        </w:rPr>
        <w:t>Pieniądze</w:t>
      </w:r>
      <w:r w:rsidR="00992FD0" w:rsidRPr="00EC250C">
        <w:rPr>
          <w:bdr w:val="none" w:sz="0" w:space="0" w:color="auto" w:frame="1"/>
        </w:rPr>
        <w:t xml:space="preserve"> z </w:t>
      </w:r>
      <w:r w:rsidRPr="00EC250C">
        <w:rPr>
          <w:bdr w:val="none" w:sz="0" w:space="0" w:color="auto" w:frame="1"/>
        </w:rPr>
        <w:t>Funduszu Pomocy Pokrzywdzonym oraz Pomocy Postpenitencjarnej idą nie do potrzebujących, ale m.in. do fundacji Lux Veritatis, Wyższej Szkoły Kultury Społecznej</w:t>
      </w:r>
      <w:r w:rsidR="00992FD0" w:rsidRPr="00EC250C">
        <w:rPr>
          <w:bdr w:val="none" w:sz="0" w:space="0" w:color="auto" w:frame="1"/>
        </w:rPr>
        <w:t xml:space="preserve"> i </w:t>
      </w:r>
      <w:r w:rsidRPr="00EC250C">
        <w:rPr>
          <w:bdr w:val="none" w:sz="0" w:space="0" w:color="auto" w:frame="1"/>
        </w:rPr>
        <w:t>Medialnej, Ochotniczej Straży Pożarnej</w:t>
      </w:r>
      <w:r w:rsidR="00992FD0" w:rsidRPr="00EC250C">
        <w:rPr>
          <w:bdr w:val="none" w:sz="0" w:space="0" w:color="auto" w:frame="1"/>
        </w:rPr>
        <w:t xml:space="preserve"> i </w:t>
      </w:r>
      <w:r w:rsidRPr="00EC250C">
        <w:rPr>
          <w:bdr w:val="none" w:sz="0" w:space="0" w:color="auto" w:frame="1"/>
        </w:rPr>
        <w:t>CBA</w:t>
      </w:r>
      <w:r w:rsidR="00B473F5" w:rsidRPr="00EC250C">
        <w:rPr>
          <w:rFonts w:ascii="Open Sans Regular" w:hAnsi="Open Sans Regular"/>
        </w:rPr>
        <w:t>.</w:t>
      </w:r>
    </w:p>
    <w:p w14:paraId="2E81686D" w14:textId="77777777" w:rsidR="00D86DD2" w:rsidRPr="00EC250C" w:rsidRDefault="00AA37F8" w:rsidP="00D131FA">
      <w:pPr>
        <w:pStyle w:val="Styl1"/>
      </w:pPr>
      <w:r w:rsidRPr="00EC250C">
        <w:t xml:space="preserve">RPO </w:t>
      </w:r>
      <w:r w:rsidR="00D86DD2" w:rsidRPr="00EC250C">
        <w:t>prosi</w:t>
      </w:r>
      <w:r w:rsidR="001D4F1C" w:rsidRPr="00EC250C">
        <w:t>ł</w:t>
      </w:r>
      <w:r w:rsidR="00D86DD2" w:rsidRPr="00EC250C">
        <w:t xml:space="preserve"> Ministra Sprawiedliwości</w:t>
      </w:r>
      <w:r w:rsidR="00D86DD2" w:rsidRPr="00EC250C">
        <w:rPr>
          <w:bCs/>
          <w:iCs/>
          <w:vertAlign w:val="superscript"/>
        </w:rPr>
        <w:footnoteReference w:id="236"/>
      </w:r>
      <w:r w:rsidR="00992FD0" w:rsidRPr="00EC250C">
        <w:rPr>
          <w:bCs/>
          <w:iCs/>
        </w:rPr>
        <w:t xml:space="preserve"> o </w:t>
      </w:r>
      <w:r w:rsidR="00D86DD2" w:rsidRPr="00EC250C">
        <w:t>wskazanie, jaka działalność tych podmiotów uzasadniała przyznanie im środków</w:t>
      </w:r>
      <w:r w:rsidR="00992FD0" w:rsidRPr="00EC250C">
        <w:t xml:space="preserve"> z </w:t>
      </w:r>
      <w:r w:rsidR="00D86DD2" w:rsidRPr="00EC250C">
        <w:t>funduszu, którego celem jest pomoc pokrzywdzonym przestępstwami, przeciwdziałanie przestępczości oraz pomoc postpenitencjarna.</w:t>
      </w:r>
      <w:r w:rsidRPr="00EC250C">
        <w:t xml:space="preserve"> W 2017 r. rozszerzono co prawda </w:t>
      </w:r>
      <w:r w:rsidR="00D86DD2" w:rsidRPr="00EC250C">
        <w:t>katalog celów, na które mogą być przeznaczone środki</w:t>
      </w:r>
      <w:r w:rsidR="00992FD0" w:rsidRPr="00EC250C">
        <w:t xml:space="preserve"> z </w:t>
      </w:r>
      <w:r w:rsidR="00D86DD2" w:rsidRPr="00EC250C">
        <w:t>Funduszu. Ich lista pozostaje jednak</w:t>
      </w:r>
      <w:r w:rsidR="00992FD0" w:rsidRPr="00EC250C">
        <w:t xml:space="preserve"> w </w:t>
      </w:r>
      <w:r w:rsidR="00D86DD2" w:rsidRPr="00EC250C">
        <w:t>dalszym ciągu katalogiem zamkniętym, zaś same cele należy określać</w:t>
      </w:r>
      <w:r w:rsidR="00992FD0" w:rsidRPr="00EC250C">
        <w:t xml:space="preserve"> w </w:t>
      </w:r>
      <w:r w:rsidR="00D86DD2" w:rsidRPr="00EC250C">
        <w:t xml:space="preserve">świetle </w:t>
      </w:r>
      <w:r w:rsidR="00D86DD2" w:rsidRPr="00EC250C">
        <w:lastRenderedPageBreak/>
        <w:t xml:space="preserve">art. 43 ust. 2 </w:t>
      </w:r>
      <w:r w:rsidR="00CC7596" w:rsidRPr="00EC250C">
        <w:t>K.k.w.</w:t>
      </w:r>
      <w:r w:rsidR="00CC7596" w:rsidRPr="00EC250C">
        <w:rPr>
          <w:bCs/>
          <w:iCs/>
          <w:vertAlign w:val="superscript"/>
        </w:rPr>
        <w:t xml:space="preserve"> </w:t>
      </w:r>
      <w:r w:rsidR="00CC7596" w:rsidRPr="00EC250C">
        <w:rPr>
          <w:bCs/>
          <w:iCs/>
          <w:vertAlign w:val="superscript"/>
        </w:rPr>
        <w:footnoteReference w:id="237"/>
      </w:r>
      <w:r w:rsidR="00CC7596" w:rsidRPr="00EC250C">
        <w:rPr>
          <w:bCs/>
          <w:iCs/>
        </w:rPr>
        <w:t>.</w:t>
      </w:r>
      <w:r w:rsidR="00CC7596" w:rsidRPr="00EC250C">
        <w:rPr>
          <w:bCs/>
          <w:iCs/>
          <w:vertAlign w:val="superscript"/>
        </w:rPr>
        <w:t>.</w:t>
      </w:r>
      <w:r w:rsidR="00D86DD2" w:rsidRPr="00EC250C">
        <w:t>Wskazuje on, że „Fundusz jest państwowym funduszem celowym ukierunkowanym na pomoc pokrzywdzonym</w:t>
      </w:r>
      <w:r w:rsidR="00992FD0" w:rsidRPr="00EC250C">
        <w:t xml:space="preserve"> i </w:t>
      </w:r>
      <w:r w:rsidR="00D86DD2" w:rsidRPr="00EC250C">
        <w:t>świadkom, przeciwdziałanie przestępczości oraz pomoc postpenitencjarną”.</w:t>
      </w:r>
      <w:r w:rsidR="00CC7596" w:rsidRPr="00EC250C">
        <w:t xml:space="preserve"> </w:t>
      </w:r>
      <w:r w:rsidRPr="00EC250C">
        <w:t>W</w:t>
      </w:r>
      <w:r w:rsidR="00D86DD2" w:rsidRPr="00EC250C">
        <w:t>ątpliwości RPO budzi</w:t>
      </w:r>
      <w:r w:rsidR="001D4F1C" w:rsidRPr="00EC250C">
        <w:t>ł</w:t>
      </w:r>
      <w:r w:rsidR="00CC7596" w:rsidRPr="00EC250C">
        <w:t>a więc</w:t>
      </w:r>
      <w:r w:rsidR="00D86DD2" w:rsidRPr="00EC250C">
        <w:t xml:space="preserve"> </w:t>
      </w:r>
      <w:r w:rsidRPr="00EC250C">
        <w:t xml:space="preserve">część </w:t>
      </w:r>
      <w:r w:rsidR="00D86DD2" w:rsidRPr="00EC250C">
        <w:t>ministerialnego rozporządzenia</w:t>
      </w:r>
      <w:r w:rsidR="00D86DD2" w:rsidRPr="00EC250C">
        <w:rPr>
          <w:bCs/>
          <w:iCs/>
          <w:vertAlign w:val="superscript"/>
        </w:rPr>
        <w:footnoteReference w:id="238"/>
      </w:r>
      <w:r w:rsidR="00D86DD2" w:rsidRPr="00EC250C">
        <w:t xml:space="preserve"> „Pozostałe zadania finansowane ze środków Funduszu Sprawiedliwości”. </w:t>
      </w:r>
      <w:r w:rsidRPr="00EC250C">
        <w:t>Ś</w:t>
      </w:r>
      <w:r w:rsidR="00D86DD2" w:rsidRPr="00EC250C">
        <w:t>rodki Funduszu mogą być przeznaczone m.in. na:</w:t>
      </w:r>
    </w:p>
    <w:p w14:paraId="358FD7D1" w14:textId="77777777" w:rsidR="00D86DD2" w:rsidRPr="00EC250C" w:rsidRDefault="00D86DD2" w:rsidP="006C70B7">
      <w:pPr>
        <w:pStyle w:val="Styl1"/>
        <w:numPr>
          <w:ilvl w:val="0"/>
          <w:numId w:val="39"/>
        </w:numPr>
      </w:pPr>
      <w:r w:rsidRPr="00EC250C">
        <w:t>finansowanie robót budowlanych,</w:t>
      </w:r>
      <w:r w:rsidR="00992FD0" w:rsidRPr="00EC250C">
        <w:t xml:space="preserve"> w </w:t>
      </w:r>
      <w:r w:rsidRPr="00EC250C">
        <w:t>tym przygotowania do realizacji tych robót,</w:t>
      </w:r>
      <w:r w:rsidR="00992FD0" w:rsidRPr="00EC250C">
        <w:t xml:space="preserve"> a</w:t>
      </w:r>
      <w:r w:rsidR="00CC7596" w:rsidRPr="00EC250C">
        <w:t> </w:t>
      </w:r>
      <w:r w:rsidR="00992FD0" w:rsidRPr="00EC250C">
        <w:t>w </w:t>
      </w:r>
      <w:r w:rsidRPr="00EC250C">
        <w:t>szczególności</w:t>
      </w:r>
      <w:r w:rsidR="00026572" w:rsidRPr="00EC250C">
        <w:t xml:space="preserve"> – </w:t>
      </w:r>
      <w:r w:rsidRPr="00EC250C">
        <w:t>kosztów opracowania dokumentacji projektowej, przygotowania gruntu pod budowę, ekspertyz, świadectw, operatów, prac geologicznych</w:t>
      </w:r>
      <w:r w:rsidR="00CC7596" w:rsidRPr="00EC250C">
        <w:t>,</w:t>
      </w:r>
    </w:p>
    <w:p w14:paraId="6A574BEF" w14:textId="77777777" w:rsidR="00D86DD2" w:rsidRPr="00EC250C" w:rsidRDefault="00D86DD2" w:rsidP="006C70B7">
      <w:pPr>
        <w:pStyle w:val="Styl1"/>
        <w:numPr>
          <w:ilvl w:val="0"/>
          <w:numId w:val="39"/>
        </w:numPr>
      </w:pPr>
      <w:r w:rsidRPr="00EC250C">
        <w:t>zakup urządzeń</w:t>
      </w:r>
      <w:r w:rsidR="00992FD0" w:rsidRPr="00EC250C">
        <w:t xml:space="preserve"> i </w:t>
      </w:r>
      <w:r w:rsidRPr="00EC250C">
        <w:t>wyposażenia</w:t>
      </w:r>
      <w:r w:rsidR="00CC7596" w:rsidRPr="00EC250C">
        <w:t>,</w:t>
      </w:r>
    </w:p>
    <w:p w14:paraId="3208F5F4" w14:textId="77777777" w:rsidR="00D86DD2" w:rsidRPr="00EC250C" w:rsidRDefault="00D86DD2" w:rsidP="006C70B7">
      <w:pPr>
        <w:pStyle w:val="Styl1"/>
        <w:numPr>
          <w:ilvl w:val="0"/>
          <w:numId w:val="39"/>
        </w:numPr>
      </w:pPr>
      <w:r w:rsidRPr="00EC250C">
        <w:t>zakup wartości niematerialnych</w:t>
      </w:r>
      <w:r w:rsidR="00992FD0" w:rsidRPr="00EC250C">
        <w:t xml:space="preserve"> i </w:t>
      </w:r>
      <w:r w:rsidRPr="00EC250C">
        <w:t>prawnych</w:t>
      </w:r>
      <w:r w:rsidR="00CC7596" w:rsidRPr="00EC250C">
        <w:t>,</w:t>
      </w:r>
    </w:p>
    <w:p w14:paraId="1CD05B39" w14:textId="77777777" w:rsidR="00D86DD2" w:rsidRPr="00EC250C" w:rsidRDefault="00D86DD2" w:rsidP="006C70B7">
      <w:pPr>
        <w:pStyle w:val="Styl1"/>
        <w:numPr>
          <w:ilvl w:val="0"/>
          <w:numId w:val="39"/>
        </w:numPr>
      </w:pPr>
      <w:r w:rsidRPr="00EC250C">
        <w:t>zakup środków transportu</w:t>
      </w:r>
      <w:r w:rsidR="00992FD0" w:rsidRPr="00EC250C">
        <w:t xml:space="preserve"> i </w:t>
      </w:r>
      <w:r w:rsidRPr="00EC250C">
        <w:t>wyposażenia.</w:t>
      </w:r>
    </w:p>
    <w:p w14:paraId="00485B6C" w14:textId="77777777" w:rsidR="00D86DD2" w:rsidRPr="00EC250C" w:rsidRDefault="00D86DD2" w:rsidP="00D131FA">
      <w:pPr>
        <w:pStyle w:val="Styl1"/>
      </w:pPr>
      <w:r w:rsidRPr="00EC250C">
        <w:t xml:space="preserve">Daje to </w:t>
      </w:r>
      <w:r w:rsidR="00CC7596" w:rsidRPr="00EC250C">
        <w:t>M</w:t>
      </w:r>
      <w:r w:rsidRPr="00EC250C">
        <w:t>inistrowi daleko idącą swobodę</w:t>
      </w:r>
      <w:r w:rsidR="00992FD0" w:rsidRPr="00EC250C">
        <w:t xml:space="preserve"> i </w:t>
      </w:r>
      <w:r w:rsidRPr="00EC250C">
        <w:t>szeroki margines uznaniowości.</w:t>
      </w:r>
    </w:p>
    <w:p w14:paraId="72E7FD2C" w14:textId="77777777" w:rsidR="00D86DD2" w:rsidRPr="00EC250C" w:rsidRDefault="00D86DD2" w:rsidP="00D131FA">
      <w:pPr>
        <w:pStyle w:val="Styl1"/>
      </w:pPr>
      <w:r w:rsidRPr="00EC250C">
        <w:t>Jak wynika</w:t>
      </w:r>
      <w:r w:rsidR="00992FD0" w:rsidRPr="00EC250C">
        <w:t xml:space="preserve"> z </w:t>
      </w:r>
      <w:r w:rsidRPr="00EC250C">
        <w:t>informacji publikowanych przez</w:t>
      </w:r>
      <w:r w:rsidR="001D4F1C" w:rsidRPr="00EC250C">
        <w:t xml:space="preserve"> </w:t>
      </w:r>
      <w:r w:rsidR="00907A50" w:rsidRPr="00EC250C">
        <w:t>Ministra S</w:t>
      </w:r>
      <w:r w:rsidRPr="00EC250C">
        <w:t>prawiedliwości, środki</w:t>
      </w:r>
      <w:r w:rsidR="00992FD0" w:rsidRPr="00EC250C">
        <w:t xml:space="preserve"> z </w:t>
      </w:r>
      <w:r w:rsidRPr="00EC250C">
        <w:t>Funduszu przeznaczane są m.in. na: „modernizacj</w:t>
      </w:r>
      <w:r w:rsidR="00CC7596" w:rsidRPr="00EC250C">
        <w:t>ę</w:t>
      </w:r>
      <w:r w:rsidRPr="00EC250C">
        <w:t xml:space="preserve"> zaplecza sportowo-rekreacyjnego” Państwowej Wyższej Szkoły Zawodowej</w:t>
      </w:r>
      <w:r w:rsidR="00992FD0" w:rsidRPr="00EC250C">
        <w:t xml:space="preserve"> w </w:t>
      </w:r>
      <w:r w:rsidRPr="00EC250C">
        <w:t>Raciborzu, wsparcie dla fundacji Lux Veritatis</w:t>
      </w:r>
      <w:r w:rsidR="00992FD0" w:rsidRPr="00EC250C">
        <w:t xml:space="preserve"> i </w:t>
      </w:r>
      <w:r w:rsidRPr="00EC250C">
        <w:t>Wyższej Szkoły Kultury Społecznej</w:t>
      </w:r>
      <w:r w:rsidR="00992FD0" w:rsidRPr="00EC250C">
        <w:t xml:space="preserve"> i </w:t>
      </w:r>
      <w:r w:rsidRPr="00EC250C">
        <w:t>Medialnej</w:t>
      </w:r>
      <w:r w:rsidR="00992FD0" w:rsidRPr="00EC250C">
        <w:t xml:space="preserve"> w </w:t>
      </w:r>
      <w:r w:rsidRPr="00EC250C">
        <w:t xml:space="preserve">Toruniu, zakup sprzętu dla jednostek Ochotniczej Straży Pożarnej ponad 100 </w:t>
      </w:r>
      <w:r w:rsidR="00CC7596" w:rsidRPr="00EC250C">
        <w:t xml:space="preserve">mln </w:t>
      </w:r>
      <w:r w:rsidRPr="00EC250C">
        <w:t xml:space="preserve">zł), czy też na ustawową działalność Centralnego Biura Antykorupcyjnego (13 </w:t>
      </w:r>
      <w:r w:rsidR="00CC7596" w:rsidRPr="00EC250C">
        <w:t>mln</w:t>
      </w:r>
      <w:r w:rsidRPr="00EC250C">
        <w:t xml:space="preserve"> zł).</w:t>
      </w:r>
    </w:p>
    <w:p w14:paraId="18440A82" w14:textId="131DD241" w:rsidR="00CC7596" w:rsidRPr="00EC250C" w:rsidRDefault="00D86DD2" w:rsidP="00EC250C">
      <w:pPr>
        <w:pStyle w:val="ODESANIE"/>
        <w:spacing w:before="240" w:after="200" w:line="24" w:lineRule="auto"/>
        <w:ind w:left="357"/>
        <w:jc w:val="both"/>
      </w:pPr>
      <w:r w:rsidRPr="00EC250C">
        <w:t>Przemoc</w:t>
      </w:r>
      <w:r w:rsidR="00992FD0" w:rsidRPr="00EC250C">
        <w:t xml:space="preserve"> w </w:t>
      </w:r>
      <w:r w:rsidRPr="00EC250C">
        <w:t>bliskich związkach – omówienie przy art. 71 ust. 1</w:t>
      </w:r>
    </w:p>
    <w:p w14:paraId="0553DA39" w14:textId="77777777" w:rsidR="00D86DD2" w:rsidRPr="00EC250C" w:rsidRDefault="00D86DD2" w:rsidP="00EC79EB">
      <w:pPr>
        <w:pStyle w:val="Nagwek4"/>
      </w:pPr>
      <w:bookmarkStart w:id="240" w:name="_Toc6257734"/>
      <w:bookmarkStart w:id="241" w:name="_Toc11247626"/>
      <w:r w:rsidRPr="00EC250C">
        <w:t>Przewlekłość postępowań</w:t>
      </w:r>
      <w:bookmarkEnd w:id="240"/>
      <w:r w:rsidR="0074144A" w:rsidRPr="00EC250C">
        <w:t xml:space="preserve"> sądowych i administracyjnych</w:t>
      </w:r>
      <w:bookmarkEnd w:id="241"/>
    </w:p>
    <w:p w14:paraId="7CE76AA2" w14:textId="77777777" w:rsidR="00D86DD2" w:rsidRPr="00EC250C" w:rsidRDefault="00D86DD2" w:rsidP="00EC250C">
      <w:pPr>
        <w:pStyle w:val="Nagwek5"/>
      </w:pPr>
      <w:r w:rsidRPr="00EC250C">
        <w:t>Bezczynność wierzyciela wobec zarzutów zgłoszonych przez zobowiązanego</w:t>
      </w:r>
    </w:p>
    <w:p w14:paraId="54F2D651" w14:textId="77777777" w:rsidR="00B473F5" w:rsidRPr="00EC250C" w:rsidRDefault="00D86DD2" w:rsidP="00D131FA">
      <w:pPr>
        <w:pStyle w:val="Problemczowieka"/>
        <w:jc w:val="both"/>
      </w:pPr>
      <w:r w:rsidRPr="00EC250C">
        <w:t xml:space="preserve">Jeśli wierzyciel nie </w:t>
      </w:r>
      <w:r w:rsidR="00906688" w:rsidRPr="00EC250C">
        <w:t>zajmie stanowiska wobec zgłoszonych wobec niego zarzutów</w:t>
      </w:r>
      <w:r w:rsidRPr="00EC250C">
        <w:t>, to</w:t>
      </w:r>
      <w:r w:rsidR="00992FD0" w:rsidRPr="00EC250C">
        <w:t xml:space="preserve"> w </w:t>
      </w:r>
      <w:r w:rsidRPr="00EC250C">
        <w:t>postępowaniu egzekucyjnym</w:t>
      </w:r>
      <w:r w:rsidR="00992FD0" w:rsidRPr="00EC250C">
        <w:t xml:space="preserve"> w </w:t>
      </w:r>
      <w:r w:rsidRPr="00EC250C">
        <w:t xml:space="preserve">administracji nie da się </w:t>
      </w:r>
      <w:r w:rsidR="00906688" w:rsidRPr="00EC250C">
        <w:t xml:space="preserve">ich </w:t>
      </w:r>
      <w:r w:rsidRPr="00EC250C">
        <w:t>ocenić,</w:t>
      </w:r>
      <w:r w:rsidR="00992FD0" w:rsidRPr="00EC250C">
        <w:t xml:space="preserve"> a </w:t>
      </w:r>
      <w:r w:rsidRPr="00EC250C">
        <w:t xml:space="preserve">tym samym </w:t>
      </w:r>
      <w:r w:rsidR="00906688" w:rsidRPr="00EC250C">
        <w:t xml:space="preserve">nie można zatrzymać </w:t>
      </w:r>
      <w:r w:rsidRPr="00EC250C">
        <w:t>egzekucj</w:t>
      </w:r>
      <w:r w:rsidR="00906688" w:rsidRPr="00EC250C">
        <w:t>i</w:t>
      </w:r>
      <w:r w:rsidRPr="00EC250C">
        <w:t>. Co więcej, takiej bezczynności nie można zaskarżyć do sądu</w:t>
      </w:r>
      <w:r w:rsidR="00B473F5" w:rsidRPr="00EC250C">
        <w:t>.</w:t>
      </w:r>
    </w:p>
    <w:p w14:paraId="0314B8DF" w14:textId="77777777" w:rsidR="00D86DD2" w:rsidRPr="00EC250C" w:rsidRDefault="00C079A6" w:rsidP="00D131FA">
      <w:pPr>
        <w:pStyle w:val="Styl1"/>
      </w:pPr>
      <w:r w:rsidRPr="00EC250C">
        <w:t xml:space="preserve">RPO </w:t>
      </w:r>
      <w:r w:rsidR="00D86DD2" w:rsidRPr="00EC250C">
        <w:t>zwrócił się do Minister Finansów</w:t>
      </w:r>
      <w:r w:rsidR="00992FD0" w:rsidRPr="00EC250C">
        <w:t xml:space="preserve"> o </w:t>
      </w:r>
      <w:r w:rsidR="00D86DD2" w:rsidRPr="00EC250C">
        <w:t>rozważenie zasadności wprowadzenia do art. 34 ustawy</w:t>
      </w:r>
      <w:r w:rsidR="00992FD0" w:rsidRPr="00EC250C">
        <w:t xml:space="preserve"> o </w:t>
      </w:r>
      <w:r w:rsidR="00D86DD2" w:rsidRPr="00EC250C">
        <w:t>postępowaniu egzekucyjnym</w:t>
      </w:r>
      <w:r w:rsidR="00992FD0" w:rsidRPr="00EC250C">
        <w:t xml:space="preserve"> w </w:t>
      </w:r>
      <w:r w:rsidR="00D86DD2" w:rsidRPr="00EC250C">
        <w:t>administracji instytucji milczenia organu współdziałającego. Dzięki niej,</w:t>
      </w:r>
      <w:r w:rsidR="00992FD0" w:rsidRPr="00EC250C">
        <w:t xml:space="preserve"> w </w:t>
      </w:r>
      <w:r w:rsidR="00D86DD2" w:rsidRPr="00EC250C">
        <w:t>przypadku niezajęcia przez wierzyciela stanowiska</w:t>
      </w:r>
      <w:r w:rsidR="00992FD0" w:rsidRPr="00EC250C">
        <w:t xml:space="preserve"> w </w:t>
      </w:r>
      <w:r w:rsidR="00D86DD2" w:rsidRPr="00EC250C">
        <w:t>określonym przez prawo terminie,</w:t>
      </w:r>
      <w:r w:rsidR="00992FD0" w:rsidRPr="00EC250C">
        <w:t xml:space="preserve"> z </w:t>
      </w:r>
      <w:r w:rsidR="00D86DD2" w:rsidRPr="00EC250C">
        <w:t>mocy prawa powstanie stan tzw. fikcji prawnej czyli sytuacji, jakby stanowisko zostało zgłoszone – można więc postępować dalej.</w:t>
      </w:r>
    </w:p>
    <w:p w14:paraId="4D04F583" w14:textId="77777777" w:rsidR="00D86DD2" w:rsidRPr="00EC250C" w:rsidRDefault="00C079A6" w:rsidP="00D131FA">
      <w:pPr>
        <w:pStyle w:val="Styl1"/>
        <w:rPr>
          <w:bCs/>
          <w:iCs/>
          <w:lang w:eastAsia="en-US"/>
        </w:rPr>
      </w:pPr>
      <w:r w:rsidRPr="00EC250C">
        <w:rPr>
          <w:bCs/>
          <w:iCs/>
          <w:lang w:eastAsia="en-US"/>
        </w:rPr>
        <w:lastRenderedPageBreak/>
        <w:t>RPO</w:t>
      </w:r>
      <w:r w:rsidR="00D86DD2" w:rsidRPr="00EC250C">
        <w:rPr>
          <w:bCs/>
          <w:iCs/>
          <w:lang w:eastAsia="en-US"/>
        </w:rPr>
        <w:t xml:space="preserve"> zwrócił się</w:t>
      </w:r>
      <w:r w:rsidR="00992FD0" w:rsidRPr="00EC250C">
        <w:rPr>
          <w:bCs/>
          <w:iCs/>
          <w:lang w:eastAsia="en-US"/>
        </w:rPr>
        <w:t xml:space="preserve"> z </w:t>
      </w:r>
      <w:r w:rsidR="00D86DD2" w:rsidRPr="00EC250C">
        <w:rPr>
          <w:bCs/>
          <w:iCs/>
          <w:lang w:eastAsia="en-US"/>
        </w:rPr>
        <w:t>tym do Ministra Finansów. Został poinformowany, że propozycja zostanie rozważona</w:t>
      </w:r>
      <w:r w:rsidR="00992FD0" w:rsidRPr="00EC250C">
        <w:rPr>
          <w:bCs/>
          <w:iCs/>
          <w:lang w:eastAsia="en-US"/>
        </w:rPr>
        <w:t xml:space="preserve"> w </w:t>
      </w:r>
      <w:r w:rsidR="00D86DD2" w:rsidRPr="00EC250C">
        <w:rPr>
          <w:bCs/>
          <w:iCs/>
          <w:lang w:eastAsia="en-US"/>
        </w:rPr>
        <w:t>toku prac legislacyjnych</w:t>
      </w:r>
      <w:r w:rsidR="00D86DD2" w:rsidRPr="00EC250C">
        <w:rPr>
          <w:rStyle w:val="Odwoanieprzypisudolnego"/>
          <w:iCs/>
          <w:lang w:eastAsia="en-US"/>
        </w:rPr>
        <w:footnoteReference w:id="239"/>
      </w:r>
      <w:r w:rsidR="00D86DD2" w:rsidRPr="00EC250C">
        <w:rPr>
          <w:bCs/>
          <w:iCs/>
          <w:lang w:eastAsia="en-US"/>
        </w:rPr>
        <w:t>.</w:t>
      </w:r>
    </w:p>
    <w:p w14:paraId="524B8CC4" w14:textId="77777777" w:rsidR="00D86DD2" w:rsidRPr="00EC250C" w:rsidRDefault="00D86DD2" w:rsidP="00EC250C">
      <w:pPr>
        <w:pStyle w:val="Nagwek5"/>
        <w:rPr>
          <w:spacing w:val="0"/>
        </w:rPr>
      </w:pPr>
      <w:r w:rsidRPr="00EC250C">
        <w:t>Obywatel jest bezradny, jeśli ZUS zwleka</w:t>
      </w:r>
      <w:r w:rsidR="00992FD0" w:rsidRPr="00EC250C">
        <w:t xml:space="preserve"> z </w:t>
      </w:r>
      <w:r w:rsidRPr="00EC250C">
        <w:t>przekazaniem odwołania</w:t>
      </w:r>
      <w:r w:rsidR="00992FD0" w:rsidRPr="00EC250C">
        <w:t xml:space="preserve"> w </w:t>
      </w:r>
      <w:r w:rsidRPr="00EC250C">
        <w:t>sprawie renty do sądu.</w:t>
      </w:r>
    </w:p>
    <w:p w14:paraId="37641472" w14:textId="77777777" w:rsidR="00B473F5" w:rsidRPr="00EC250C" w:rsidRDefault="00D86DD2" w:rsidP="00D131FA">
      <w:pPr>
        <w:pStyle w:val="Problemczowieka"/>
        <w:jc w:val="both"/>
      </w:pPr>
      <w:r w:rsidRPr="00EC250C">
        <w:t>Ludzie skarżą się RPO na brak skutecznego środka prawnego służącego zwalczaniu bezczynności organu rentowego</w:t>
      </w:r>
      <w:r w:rsidR="00992FD0" w:rsidRPr="00EC250C">
        <w:t xml:space="preserve"> w </w:t>
      </w:r>
      <w:r w:rsidRPr="00EC250C">
        <w:t>przekazaniu do sądu odwołania od jego decyzji. Organ rentowy to ZUS, KRUS czy zakłady resortowe (MON, MSWiA)</w:t>
      </w:r>
      <w:r w:rsidR="00B473F5" w:rsidRPr="00EC250C">
        <w:t>.</w:t>
      </w:r>
    </w:p>
    <w:p w14:paraId="157119B5" w14:textId="77777777" w:rsidR="00D86DD2" w:rsidRPr="00EC250C" w:rsidRDefault="00D86DD2" w:rsidP="00D131FA">
      <w:pPr>
        <w:pStyle w:val="Styl1"/>
      </w:pPr>
      <w:r w:rsidRPr="00EC250C">
        <w:t>Z Kodeksu postepowania cywilnego wynika, że odwołania od decyzji organów rentowych lub orzeczeń wojewódzkich zespołów ds. orzekania</w:t>
      </w:r>
      <w:r w:rsidR="00992FD0" w:rsidRPr="00EC250C">
        <w:t xml:space="preserve"> o </w:t>
      </w:r>
      <w:r w:rsidRPr="00EC250C">
        <w:t xml:space="preserve">niepełnosprawności wnosi się do organu lub zespołu, który wydał decyzję </w:t>
      </w:r>
      <w:r w:rsidR="0030270C" w:rsidRPr="00EC250C">
        <w:t>(</w:t>
      </w:r>
      <w:r w:rsidRPr="00EC250C">
        <w:t>lub orzeczenie</w:t>
      </w:r>
      <w:r w:rsidR="0030270C" w:rsidRPr="00EC250C">
        <w:t>)</w:t>
      </w:r>
      <w:r w:rsidRPr="00EC250C">
        <w:t>,</w:t>
      </w:r>
      <w:r w:rsidR="00992FD0" w:rsidRPr="00EC250C">
        <w:t xml:space="preserve"> w </w:t>
      </w:r>
      <w:r w:rsidRPr="00EC250C">
        <w:t>terminie miesiąca od dnia doręczenia. Organ rentowy lub wojewódzki zespół przekazuje niezwłocznie odwołanie wraz</w:t>
      </w:r>
      <w:r w:rsidR="00992FD0" w:rsidRPr="00EC250C">
        <w:t xml:space="preserve"> z </w:t>
      </w:r>
      <w:r w:rsidRPr="00EC250C">
        <w:t xml:space="preserve">aktami sprawy do sądu. </w:t>
      </w:r>
      <w:r w:rsidR="0030270C" w:rsidRPr="00EC250C">
        <w:t>J</w:t>
      </w:r>
      <w:r w:rsidRPr="00EC250C">
        <w:t>eśli odwołanie nie zostało</w:t>
      </w:r>
      <w:r w:rsidR="00992FD0" w:rsidRPr="00EC250C">
        <w:t xml:space="preserve"> w </w:t>
      </w:r>
      <w:r w:rsidRPr="00EC250C">
        <w:t>całości lub</w:t>
      </w:r>
      <w:r w:rsidR="00992FD0" w:rsidRPr="00EC250C">
        <w:t xml:space="preserve"> w </w:t>
      </w:r>
      <w:r w:rsidRPr="00EC250C">
        <w:t>części uwzględnione, Zakład przekazuje je sądowi niezwłocznie</w:t>
      </w:r>
      <w:r w:rsidR="00026572" w:rsidRPr="00EC250C">
        <w:t xml:space="preserve"> – </w:t>
      </w:r>
      <w:r w:rsidRPr="00EC250C">
        <w:t>nie później jednak niż</w:t>
      </w:r>
      <w:r w:rsidR="00992FD0" w:rsidRPr="00EC250C">
        <w:t xml:space="preserve"> w </w:t>
      </w:r>
      <w:r w:rsidRPr="00EC250C">
        <w:t>terminie 30 dni od dnia wniesienia odwołania.</w:t>
      </w:r>
      <w:r w:rsidR="0030270C" w:rsidRPr="00EC250C">
        <w:t xml:space="preserve"> Jeśli naruszy ten termin, mamy już do czynienia ze zwłoką</w:t>
      </w:r>
      <w:r w:rsidRPr="00EC250C">
        <w:t>. Przepisy nie przewidują jednak skutecznych środków prawnych, pozwalających stronie postępowania zwalczać taką zwłokę.</w:t>
      </w:r>
    </w:p>
    <w:p w14:paraId="2EF3E263" w14:textId="77777777" w:rsidR="00D86DD2" w:rsidRPr="00EC250C" w:rsidRDefault="00D86DD2" w:rsidP="00D131FA">
      <w:pPr>
        <w:pStyle w:val="Styl1"/>
      </w:pPr>
      <w:r w:rsidRPr="00EC250C">
        <w:t>Tymczasem</w:t>
      </w:r>
      <w:r w:rsidR="00992FD0" w:rsidRPr="00EC250C">
        <w:t xml:space="preserve"> w </w:t>
      </w:r>
      <w:r w:rsidRPr="00EC250C">
        <w:t>orzecznictwie sądowym przyjmuje się, że datą wszczęcia postępowania sądowego jest dzień wniesienia odwołania do organu rentowego. Strona, którą dotknęła bezczynność organu rentowego, nie ma zaś możliwości jej skutecznego zaskarżenia</w:t>
      </w:r>
      <w:r w:rsidR="0030270C" w:rsidRPr="00EC250C">
        <w:t xml:space="preserve"> (</w:t>
      </w:r>
      <w:r w:rsidRPr="00EC250C">
        <w:t xml:space="preserve">nie może być </w:t>
      </w:r>
      <w:r w:rsidR="0030270C" w:rsidRPr="00EC250C">
        <w:t xml:space="preserve">tu </w:t>
      </w:r>
      <w:r w:rsidRPr="00EC250C">
        <w:t>stosowana ustawa</w:t>
      </w:r>
      <w:r w:rsidR="00992FD0" w:rsidRPr="00EC250C">
        <w:t xml:space="preserve"> z </w:t>
      </w:r>
      <w:r w:rsidRPr="00EC250C">
        <w:t>17 czerwca 2004</w:t>
      </w:r>
      <w:r w:rsidR="00C91F6E" w:rsidRPr="00EC250C">
        <w:t> r.</w:t>
      </w:r>
      <w:r w:rsidR="00992FD0" w:rsidRPr="00EC250C">
        <w:t xml:space="preserve"> o </w:t>
      </w:r>
      <w:r w:rsidRPr="00EC250C">
        <w:t>skardze na naruszenie prawa strony do rozpoznania sprawy</w:t>
      </w:r>
      <w:r w:rsidR="00992FD0" w:rsidRPr="00EC250C">
        <w:t xml:space="preserve"> w </w:t>
      </w:r>
      <w:r w:rsidRPr="00EC250C">
        <w:t>postępowaniu przygotowawczym prowadzonym lub nadzorowanym przez prokuratora</w:t>
      </w:r>
      <w:r w:rsidR="00992FD0" w:rsidRPr="00EC250C">
        <w:t xml:space="preserve"> i </w:t>
      </w:r>
      <w:r w:rsidRPr="00EC250C">
        <w:t>postępowaniu sądowym bez nieuzasadnionej zwłoki</w:t>
      </w:r>
      <w:r w:rsidR="0030270C" w:rsidRPr="00EC250C">
        <w:t>)</w:t>
      </w:r>
      <w:r w:rsidRPr="00EC250C">
        <w:t>.</w:t>
      </w:r>
    </w:p>
    <w:p w14:paraId="5D40BB31" w14:textId="77777777" w:rsidR="00D86DD2" w:rsidRPr="00EC250C" w:rsidRDefault="00D86DD2" w:rsidP="00D131FA">
      <w:pPr>
        <w:pStyle w:val="Styl1"/>
      </w:pPr>
      <w:r w:rsidRPr="00EC250C">
        <w:t xml:space="preserve">Nie istnieje zatem odpowiednia procedura pozwalająca na skorzystanie ze skutecznego środka odwoławczego służącego zwalczaniu takiej przewlekłości. </w:t>
      </w:r>
      <w:r w:rsidR="00C079A6" w:rsidRPr="00EC250C">
        <w:t xml:space="preserve">RPO </w:t>
      </w:r>
      <w:r w:rsidRPr="00EC250C">
        <w:t>wskazuje, że narusza to zarówno art. 45 ust. 1 Konstytucji RP</w:t>
      </w:r>
      <w:r w:rsidR="00026572" w:rsidRPr="00EC250C">
        <w:t xml:space="preserve"> – </w:t>
      </w:r>
      <w:r w:rsidRPr="00EC250C">
        <w:t>gwarantujący prawo do rozpatrzenia sprawy przez sąd bez nieuzasadnionej zwłoki, jak</w:t>
      </w:r>
      <w:r w:rsidR="00992FD0" w:rsidRPr="00EC250C">
        <w:t xml:space="preserve"> i </w:t>
      </w:r>
      <w:r w:rsidRPr="00EC250C">
        <w:t>art. 6 ust. 1 Konwencji</w:t>
      </w:r>
      <w:r w:rsidR="00992FD0" w:rsidRPr="00EC250C">
        <w:t xml:space="preserve"> o </w:t>
      </w:r>
      <w:r w:rsidRPr="00EC250C">
        <w:t>Ochronie Praw Człowieka</w:t>
      </w:r>
      <w:r w:rsidR="00992FD0" w:rsidRPr="00EC250C">
        <w:t xml:space="preserve"> i </w:t>
      </w:r>
      <w:r w:rsidRPr="00EC250C">
        <w:t>Podstawowych Wolności, który gwarantuje rozpoznanie sprawy przez sąd</w:t>
      </w:r>
      <w:r w:rsidR="00992FD0" w:rsidRPr="00EC250C">
        <w:t xml:space="preserve"> w </w:t>
      </w:r>
      <w:r w:rsidRPr="00EC250C">
        <w:t>rozsądnym terminie.</w:t>
      </w:r>
    </w:p>
    <w:p w14:paraId="175A2EBB" w14:textId="77777777" w:rsidR="00D86DD2" w:rsidRPr="00EC250C" w:rsidRDefault="00C079A6" w:rsidP="00D131FA">
      <w:pPr>
        <w:pStyle w:val="Styl1"/>
        <w:rPr>
          <w:bCs/>
          <w:iCs/>
          <w:lang w:eastAsia="en-US"/>
        </w:rPr>
      </w:pPr>
      <w:r w:rsidRPr="00EC250C">
        <w:rPr>
          <w:bCs/>
          <w:iCs/>
          <w:lang w:eastAsia="en-US"/>
        </w:rPr>
        <w:t>RPO</w:t>
      </w:r>
      <w:r w:rsidR="00D86DD2" w:rsidRPr="00EC250C">
        <w:rPr>
          <w:bCs/>
          <w:iCs/>
          <w:lang w:eastAsia="en-US"/>
        </w:rPr>
        <w:t xml:space="preserve"> zwrócił się</w:t>
      </w:r>
      <w:r w:rsidR="00992FD0" w:rsidRPr="00EC250C">
        <w:rPr>
          <w:bCs/>
          <w:iCs/>
          <w:lang w:eastAsia="en-US"/>
        </w:rPr>
        <w:t xml:space="preserve"> w </w:t>
      </w:r>
      <w:r w:rsidR="00D86DD2" w:rsidRPr="00EC250C">
        <w:rPr>
          <w:bCs/>
          <w:iCs/>
          <w:lang w:eastAsia="en-US"/>
        </w:rPr>
        <w:t>tej sprawie do Ministra Sprawiedliwości</w:t>
      </w:r>
      <w:r w:rsidR="00D86DD2" w:rsidRPr="00EC250C">
        <w:rPr>
          <w:rStyle w:val="Odwoanieprzypisudolnego"/>
          <w:iCs/>
          <w:lang w:eastAsia="en-US"/>
        </w:rPr>
        <w:footnoteReference w:id="240"/>
      </w:r>
      <w:r w:rsidR="00D86DD2" w:rsidRPr="00EC250C">
        <w:rPr>
          <w:bCs/>
          <w:iCs/>
          <w:lang w:eastAsia="en-US"/>
        </w:rPr>
        <w:t>.</w:t>
      </w:r>
    </w:p>
    <w:p w14:paraId="79BF6CEF" w14:textId="77777777" w:rsidR="00C91F6E" w:rsidRPr="00EC250C" w:rsidRDefault="00D86DD2" w:rsidP="00EC250C">
      <w:pPr>
        <w:pStyle w:val="Nagwek5"/>
      </w:pPr>
      <w:r w:rsidRPr="00EC250C">
        <w:t>Długotrwałość postępowa</w:t>
      </w:r>
      <w:r w:rsidRPr="00EC250C">
        <w:rPr>
          <w:rFonts w:hint="eastAsia"/>
        </w:rPr>
        <w:t>ń</w:t>
      </w:r>
      <w:r w:rsidRPr="00EC250C">
        <w:t xml:space="preserve"> sądowych, toczących się</w:t>
      </w:r>
      <w:r w:rsidR="00992FD0" w:rsidRPr="00EC250C">
        <w:t xml:space="preserve"> z </w:t>
      </w:r>
      <w:r w:rsidRPr="00EC250C">
        <w:t>wniosku osób dotkniętych przemocą</w:t>
      </w:r>
      <w:r w:rsidR="00992FD0" w:rsidRPr="00EC250C">
        <w:t xml:space="preserve"> w </w:t>
      </w:r>
      <w:r w:rsidRPr="00EC250C">
        <w:t>rodzinie</w:t>
      </w:r>
    </w:p>
    <w:p w14:paraId="3FC30516" w14:textId="77777777" w:rsidR="00D91FBD" w:rsidRPr="00EC250C" w:rsidRDefault="00D86DD2" w:rsidP="00D131FA">
      <w:pPr>
        <w:pStyle w:val="Problemczowieka"/>
        <w:jc w:val="both"/>
      </w:pPr>
      <w:r w:rsidRPr="00EC250C">
        <w:t>Jak przyspieszyć sprawy</w:t>
      </w:r>
      <w:r w:rsidR="00992FD0" w:rsidRPr="00EC250C">
        <w:t xml:space="preserve"> o </w:t>
      </w:r>
      <w:r w:rsidRPr="00EC250C">
        <w:t>nakaz opuszczenia mieszkania przez sprawcę przemocy</w:t>
      </w:r>
      <w:r w:rsidR="00D91FBD" w:rsidRPr="00EC250C">
        <w:t>?</w:t>
      </w:r>
    </w:p>
    <w:p w14:paraId="37A6E500" w14:textId="77777777" w:rsidR="00D86DD2" w:rsidRPr="00EC250C" w:rsidRDefault="00D86DD2" w:rsidP="00D131FA">
      <w:pPr>
        <w:pStyle w:val="Styl1"/>
      </w:pPr>
      <w:r w:rsidRPr="00EC250C">
        <w:t>Według ustawy</w:t>
      </w:r>
      <w:r w:rsidR="00992FD0" w:rsidRPr="00EC250C">
        <w:t xml:space="preserve"> o </w:t>
      </w:r>
      <w:r w:rsidRPr="00EC250C">
        <w:t>przeciwdziałaniu przemocy</w:t>
      </w:r>
      <w:r w:rsidR="00992FD0" w:rsidRPr="00EC250C">
        <w:t xml:space="preserve"> w </w:t>
      </w:r>
      <w:r w:rsidRPr="00EC250C">
        <w:t>rodzinie, postanowienie</w:t>
      </w:r>
      <w:r w:rsidR="00992FD0" w:rsidRPr="00EC250C">
        <w:t xml:space="preserve"> w </w:t>
      </w:r>
      <w:r w:rsidRPr="00EC250C">
        <w:t>takiej sprawie zapada po rozprawie, która powinna odbyć się</w:t>
      </w:r>
      <w:r w:rsidR="00992FD0" w:rsidRPr="00EC250C">
        <w:t xml:space="preserve"> w </w:t>
      </w:r>
      <w:r w:rsidRPr="00EC250C">
        <w:t xml:space="preserve">miesiąc od złożenia wniosku. Dotrzymanie tego </w:t>
      </w:r>
      <w:r w:rsidRPr="00EC250C">
        <w:lastRenderedPageBreak/>
        <w:t>terminu często jest niemożliwe, stąd postulat</w:t>
      </w:r>
      <w:r w:rsidR="00030739" w:rsidRPr="00EC250C">
        <w:t xml:space="preserve"> RPO</w:t>
      </w:r>
      <w:r w:rsidRPr="00EC250C">
        <w:t>, aby sprawy te badali sędziowie</w:t>
      </w:r>
      <w:r w:rsidR="00992FD0" w:rsidRPr="00EC250C">
        <w:t xml:space="preserve"> z </w:t>
      </w:r>
      <w:r w:rsidRPr="00EC250C">
        <w:t>wydziałów rodzinnych</w:t>
      </w:r>
      <w:r w:rsidR="0030270C" w:rsidRPr="00EC250C">
        <w:t>.</w:t>
      </w:r>
    </w:p>
    <w:p w14:paraId="18ABF9D5" w14:textId="77777777" w:rsidR="00D86DD2" w:rsidRPr="00EC250C" w:rsidRDefault="00D86DD2" w:rsidP="00D131FA">
      <w:pPr>
        <w:pStyle w:val="Styl1"/>
      </w:pPr>
      <w:r w:rsidRPr="00EC250C">
        <w:t>Zgodnie</w:t>
      </w:r>
      <w:r w:rsidR="00992FD0" w:rsidRPr="00EC250C">
        <w:t xml:space="preserve"> z </w:t>
      </w:r>
      <w:r w:rsidRPr="00EC250C">
        <w:t>art. 11a ustawy</w:t>
      </w:r>
      <w:r w:rsidR="00992FD0" w:rsidRPr="00EC250C">
        <w:t xml:space="preserve"> o </w:t>
      </w:r>
      <w:r w:rsidRPr="00EC250C">
        <w:t>przeciwdziałaniu przemocy</w:t>
      </w:r>
      <w:r w:rsidR="00992FD0" w:rsidRPr="00EC250C">
        <w:t xml:space="preserve"> w </w:t>
      </w:r>
      <w:r w:rsidRPr="00EC250C">
        <w:t>rodzinie, jeżeli członek rodziny wspólnie zajmujący mieszkanie stosuje przemoc, osoba nią dotknięta może żądać, aby sąd zobowiązał go do opuszczenia mieszkania. Postanowienie zapada po przeprowadzeniu rozprawy, która powinna odbyć się</w:t>
      </w:r>
      <w:r w:rsidR="00992FD0" w:rsidRPr="00EC250C">
        <w:t xml:space="preserve"> w </w:t>
      </w:r>
      <w:r w:rsidRPr="00EC250C">
        <w:t>terminie miesiąca od dnia wpływu wniosku. Staje się ono wykonalne</w:t>
      </w:r>
      <w:r w:rsidR="00992FD0" w:rsidRPr="00EC250C">
        <w:t xml:space="preserve"> z </w:t>
      </w:r>
      <w:r w:rsidRPr="00EC250C">
        <w:t>chwilą ogłoszenia</w:t>
      </w:r>
      <w:r w:rsidR="00992FD0" w:rsidRPr="00EC250C">
        <w:t xml:space="preserve"> i </w:t>
      </w:r>
      <w:r w:rsidRPr="00EC250C">
        <w:t>może być zmienione lub uchylone</w:t>
      </w:r>
      <w:r w:rsidR="00992FD0" w:rsidRPr="00EC250C">
        <w:t xml:space="preserve"> w </w:t>
      </w:r>
      <w:r w:rsidRPr="00EC250C">
        <w:t>razie zmiany okoliczności. Zobowiązanie do opuszczenia mieszkania na tej podstawie nie jest eksmisją</w:t>
      </w:r>
      <w:r w:rsidR="00992FD0" w:rsidRPr="00EC250C">
        <w:t xml:space="preserve"> i </w:t>
      </w:r>
      <w:r w:rsidRPr="00EC250C">
        <w:t>nie powoduje utraty tytułu prawnego do lokalu,</w:t>
      </w:r>
      <w:r w:rsidR="00992FD0" w:rsidRPr="00EC250C">
        <w:t xml:space="preserve"> a </w:t>
      </w:r>
      <w:r w:rsidRPr="00EC250C">
        <w:t>jedynie czasowe ograniczenie korzystania</w:t>
      </w:r>
      <w:r w:rsidR="00992FD0" w:rsidRPr="00EC250C">
        <w:t xml:space="preserve"> z </w:t>
      </w:r>
      <w:r w:rsidRPr="00EC250C">
        <w:t>niego. Sąd nie bada tytułu prawnego uczestnika do zajmowanego lokalu, ale jedynie faktyczne relacje między członkami rodziny.</w:t>
      </w:r>
    </w:p>
    <w:p w14:paraId="189C2923" w14:textId="77777777" w:rsidR="00C91F6E" w:rsidRPr="00EC250C" w:rsidRDefault="00D86DD2" w:rsidP="00D131FA">
      <w:pPr>
        <w:pStyle w:val="Styl1"/>
      </w:pPr>
      <w:r w:rsidRPr="00EC250C">
        <w:t>Przepis, wprowadzony do polskiego prawa 1 sierpnia 2010</w:t>
      </w:r>
      <w:r w:rsidR="00C91F6E" w:rsidRPr="00EC250C">
        <w:t> r.</w:t>
      </w:r>
      <w:r w:rsidRPr="00EC250C">
        <w:t>, miał zapewnić szybką</w:t>
      </w:r>
      <w:r w:rsidR="00026572" w:rsidRPr="00EC250C">
        <w:t xml:space="preserve"> – </w:t>
      </w:r>
      <w:r w:rsidRPr="00EC250C">
        <w:t>choć nie natychmiastową</w:t>
      </w:r>
      <w:r w:rsidR="00026572" w:rsidRPr="00EC250C">
        <w:t xml:space="preserve"> – </w:t>
      </w:r>
      <w:r w:rsidRPr="00EC250C">
        <w:t>ochronę ofierze przemocy</w:t>
      </w:r>
      <w:r w:rsidR="00992FD0" w:rsidRPr="00EC250C">
        <w:t xml:space="preserve"> w </w:t>
      </w:r>
      <w:r w:rsidRPr="00EC250C">
        <w:t>rodzinie. Jednak na przykładzie spraw rozpoznawanych</w:t>
      </w:r>
      <w:r w:rsidR="00992FD0" w:rsidRPr="00EC250C">
        <w:t xml:space="preserve"> w </w:t>
      </w:r>
      <w:r w:rsidRPr="00EC250C">
        <w:t>Biurze RPO widać, że</w:t>
      </w:r>
      <w:r w:rsidR="00992FD0" w:rsidRPr="00EC250C">
        <w:t xml:space="preserve"> </w:t>
      </w:r>
      <w:r w:rsidRPr="00EC250C">
        <w:t>dotrzymanie miesięcznego terminu rozprawy</w:t>
      </w:r>
      <w:r w:rsidR="00992FD0" w:rsidRPr="00EC250C">
        <w:t xml:space="preserve"> </w:t>
      </w:r>
      <w:r w:rsidRPr="00EC250C">
        <w:t>jest trudne do osiągnięcia. W jednej</w:t>
      </w:r>
      <w:r w:rsidR="00992FD0" w:rsidRPr="00EC250C">
        <w:t xml:space="preserve"> z </w:t>
      </w:r>
      <w:r w:rsidRPr="00EC250C">
        <w:t>badanych przez RPO spraw rozprawa odbyła się dopiero po 9 miesiącach od wpływu wniosku.</w:t>
      </w:r>
    </w:p>
    <w:p w14:paraId="39E2E581" w14:textId="77777777" w:rsidR="00C91F6E" w:rsidRPr="00EC250C" w:rsidRDefault="00D86DD2" w:rsidP="00D131FA">
      <w:pPr>
        <w:pStyle w:val="Styl1"/>
        <w:rPr>
          <w:bCs/>
          <w:iCs/>
          <w:lang w:eastAsia="en-US"/>
        </w:rPr>
      </w:pPr>
      <w:r w:rsidRPr="00EC250C">
        <w:rPr>
          <w:bCs/>
          <w:iCs/>
          <w:lang w:eastAsia="en-US"/>
        </w:rPr>
        <w:t>W tych okolicznościach konieczne wydaje się poszukiwanie rozwiązań, także organizacyjnych, tak aby możliwe było jak najszybsze wydanie</w:t>
      </w:r>
      <w:r w:rsidR="00992FD0" w:rsidRPr="00EC250C">
        <w:rPr>
          <w:bCs/>
          <w:iCs/>
          <w:lang w:eastAsia="en-US"/>
        </w:rPr>
        <w:t xml:space="preserve"> w </w:t>
      </w:r>
      <w:r w:rsidRPr="00EC250C">
        <w:rPr>
          <w:bCs/>
          <w:iCs/>
          <w:lang w:eastAsia="en-US"/>
        </w:rPr>
        <w:t>sprawie orzeczenia</w:t>
      </w:r>
      <w:r w:rsidR="00992FD0" w:rsidRPr="00EC250C">
        <w:rPr>
          <w:bCs/>
          <w:iCs/>
          <w:lang w:eastAsia="en-US"/>
        </w:rPr>
        <w:t xml:space="preserve"> i </w:t>
      </w:r>
      <w:r w:rsidRPr="00EC250C">
        <w:rPr>
          <w:bCs/>
          <w:iCs/>
          <w:lang w:eastAsia="en-US"/>
        </w:rPr>
        <w:t>zapewnienie bezpieczeństwa ofierze przemocy.</w:t>
      </w:r>
    </w:p>
    <w:p w14:paraId="508B4BC5" w14:textId="77777777" w:rsidR="00D86DD2" w:rsidRPr="00EC250C" w:rsidRDefault="00D86DD2" w:rsidP="00D131FA">
      <w:pPr>
        <w:pStyle w:val="Styl1"/>
        <w:rPr>
          <w:lang w:eastAsia="en-US"/>
        </w:rPr>
      </w:pPr>
      <w:r w:rsidRPr="00EC250C">
        <w:rPr>
          <w:shd w:val="clear" w:color="auto" w:fill="FFFFFF"/>
        </w:rPr>
        <w:t>Odpowiadając RPO już</w:t>
      </w:r>
      <w:r w:rsidR="00992FD0" w:rsidRPr="00EC250C">
        <w:rPr>
          <w:shd w:val="clear" w:color="auto" w:fill="FFFFFF"/>
        </w:rPr>
        <w:t xml:space="preserve"> w </w:t>
      </w:r>
      <w:r w:rsidRPr="00EC250C">
        <w:rPr>
          <w:shd w:val="clear" w:color="auto" w:fill="FFFFFF"/>
        </w:rPr>
        <w:t>2019</w:t>
      </w:r>
      <w:r w:rsidR="00C91F6E" w:rsidRPr="00EC250C">
        <w:rPr>
          <w:shd w:val="clear" w:color="auto" w:fill="FFFFFF"/>
        </w:rPr>
        <w:t> r.</w:t>
      </w:r>
      <w:r w:rsidRPr="00EC250C">
        <w:rPr>
          <w:shd w:val="clear" w:color="auto" w:fill="FFFFFF"/>
        </w:rPr>
        <w:t xml:space="preserve">, </w:t>
      </w:r>
      <w:r w:rsidR="00DD17D6" w:rsidRPr="00EC250C">
        <w:rPr>
          <w:shd w:val="clear" w:color="auto" w:fill="FFFFFF"/>
        </w:rPr>
        <w:t xml:space="preserve">Minister </w:t>
      </w:r>
      <w:r w:rsidRPr="00EC250C">
        <w:rPr>
          <w:shd w:val="clear" w:color="auto" w:fill="FFFFFF"/>
        </w:rPr>
        <w:t>powtórzył, że widzi celowoś</w:t>
      </w:r>
      <w:r w:rsidR="00030739" w:rsidRPr="00EC250C">
        <w:rPr>
          <w:shd w:val="clear" w:color="auto" w:fill="FFFFFF"/>
        </w:rPr>
        <w:t>ci</w:t>
      </w:r>
      <w:r w:rsidRPr="00EC250C">
        <w:rPr>
          <w:shd w:val="clear" w:color="auto" w:fill="FFFFFF"/>
        </w:rPr>
        <w:t xml:space="preserve"> przekazania tych spraw wydziałom rodzinnym, analizy trwają</w:t>
      </w:r>
      <w:r w:rsidRPr="00EC250C">
        <w:rPr>
          <w:rStyle w:val="Odwoanieprzypisudolnego"/>
          <w:iCs/>
          <w:lang w:eastAsia="en-US"/>
        </w:rPr>
        <w:footnoteReference w:id="241"/>
      </w:r>
      <w:r w:rsidRPr="00EC250C">
        <w:rPr>
          <w:bCs/>
          <w:iCs/>
          <w:lang w:eastAsia="en-US"/>
        </w:rPr>
        <w:t>.</w:t>
      </w:r>
    </w:p>
    <w:p w14:paraId="0AE6B077" w14:textId="77777777" w:rsidR="00D86DD2" w:rsidRPr="00EC250C" w:rsidRDefault="00D86DD2" w:rsidP="00EC79EB">
      <w:pPr>
        <w:pStyle w:val="Nagwek4"/>
      </w:pPr>
      <w:bookmarkStart w:id="242" w:name="_Toc6257735"/>
      <w:bookmarkStart w:id="243" w:name="_Toc11247627"/>
      <w:r w:rsidRPr="00EC250C">
        <w:t>Problemy</w:t>
      </w:r>
      <w:r w:rsidR="00992FD0" w:rsidRPr="00EC250C">
        <w:t xml:space="preserve"> z </w:t>
      </w:r>
      <w:r w:rsidRPr="00EC250C">
        <w:t>uczestnictwem</w:t>
      </w:r>
      <w:r w:rsidR="00992FD0" w:rsidRPr="00EC250C">
        <w:t xml:space="preserve"> w </w:t>
      </w:r>
      <w:r w:rsidRPr="00EC250C">
        <w:t>rozprawach</w:t>
      </w:r>
      <w:bookmarkEnd w:id="242"/>
      <w:bookmarkEnd w:id="243"/>
    </w:p>
    <w:p w14:paraId="4F0C8E49" w14:textId="77777777" w:rsidR="00C91F6E" w:rsidRPr="00EC250C" w:rsidRDefault="00D86DD2" w:rsidP="00EC250C">
      <w:pPr>
        <w:pStyle w:val="Nagwek5"/>
      </w:pPr>
      <w:r w:rsidRPr="00EC250C">
        <w:t>Doręczenia dokumentacji procesowej</w:t>
      </w:r>
    </w:p>
    <w:p w14:paraId="2FBB642E" w14:textId="77777777" w:rsidR="00B473F5" w:rsidRPr="00EC250C" w:rsidRDefault="00D86DD2" w:rsidP="00D131FA">
      <w:pPr>
        <w:pStyle w:val="Problemczowieka"/>
        <w:jc w:val="both"/>
      </w:pPr>
      <w:r w:rsidRPr="00EC250C">
        <w:t>Mieszkasz</w:t>
      </w:r>
      <w:r w:rsidR="00992FD0" w:rsidRPr="00EC250C">
        <w:t xml:space="preserve"> w </w:t>
      </w:r>
      <w:r w:rsidRPr="00EC250C">
        <w:t>państwie UE</w:t>
      </w:r>
      <w:r w:rsidR="00026572" w:rsidRPr="00EC250C">
        <w:t xml:space="preserve"> – </w:t>
      </w:r>
      <w:r w:rsidRPr="00EC250C">
        <w:t>korespondencja</w:t>
      </w:r>
      <w:r w:rsidR="00992FD0" w:rsidRPr="00EC250C">
        <w:t xml:space="preserve"> z </w:t>
      </w:r>
      <w:r w:rsidRPr="00EC250C">
        <w:t>sądu czy prokuratury</w:t>
      </w:r>
      <w:r w:rsidR="00992FD0" w:rsidRPr="00EC250C">
        <w:t xml:space="preserve"> w </w:t>
      </w:r>
      <w:r w:rsidRPr="00EC250C">
        <w:t>Polsce powinna przychodzić mailem</w:t>
      </w:r>
      <w:r w:rsidR="00B473F5" w:rsidRPr="00EC250C">
        <w:rPr>
          <w:spacing w:val="0"/>
        </w:rPr>
        <w:t>.</w:t>
      </w:r>
    </w:p>
    <w:p w14:paraId="42FF1480" w14:textId="77777777" w:rsidR="00D86DD2" w:rsidRPr="00EC250C" w:rsidRDefault="00D86DD2" w:rsidP="00D131FA">
      <w:pPr>
        <w:pStyle w:val="Styl1"/>
      </w:pPr>
      <w:r w:rsidRPr="00EC250C">
        <w:t>Obywatele polscy przebywający</w:t>
      </w:r>
      <w:r w:rsidR="00992FD0" w:rsidRPr="00EC250C">
        <w:t xml:space="preserve"> w </w:t>
      </w:r>
      <w:r w:rsidRPr="00EC250C">
        <w:t>innym państwie Unii Europejskiej skarżą się, że policja odmawia wpisania ich zagranicznych adresów jako właściwych do doręczeń pism procesowych, gdy mają sprawę</w:t>
      </w:r>
      <w:r w:rsidR="00992FD0" w:rsidRPr="00EC250C">
        <w:t xml:space="preserve"> w </w:t>
      </w:r>
      <w:r w:rsidR="0030270C" w:rsidRPr="00EC250C">
        <w:t xml:space="preserve">polskim </w:t>
      </w:r>
      <w:r w:rsidRPr="00EC250C">
        <w:t>sądzie lub prokuraturze. Zgodnie</w:t>
      </w:r>
      <w:r w:rsidR="00992FD0" w:rsidRPr="00EC250C">
        <w:t xml:space="preserve"> z </w:t>
      </w:r>
      <w:r w:rsidRPr="00EC250C">
        <w:t>prawem, jeśli strona postepowania nie wskaże zastępczego adresu</w:t>
      </w:r>
      <w:r w:rsidR="00992FD0" w:rsidRPr="00EC250C">
        <w:t xml:space="preserve"> w </w:t>
      </w:r>
      <w:r w:rsidRPr="00EC250C">
        <w:t>Polsce, to korespondencja procesowa jest traktowana jako doręczona. Według Rzecznika Praw Obywatelskich nie ma przeszkód prawnych do wysyłania takich pism drogą elektroniczną, jeśli dana osoba się na to zgadza.</w:t>
      </w:r>
    </w:p>
    <w:p w14:paraId="4EC23988" w14:textId="77777777" w:rsidR="00D86DD2" w:rsidRPr="00EC250C" w:rsidRDefault="00D86DD2" w:rsidP="00D131FA">
      <w:pPr>
        <w:pStyle w:val="Styl1"/>
      </w:pPr>
      <w:r w:rsidRPr="00EC250C">
        <w:t>Obowiązek wskazania adresu</w:t>
      </w:r>
      <w:r w:rsidR="00992FD0" w:rsidRPr="00EC250C">
        <w:t xml:space="preserve"> w </w:t>
      </w:r>
      <w:r w:rsidRPr="00EC250C">
        <w:t>kraju jest ponadto niezgodny</w:t>
      </w:r>
      <w:r w:rsidR="00992FD0" w:rsidRPr="00EC250C">
        <w:t xml:space="preserve"> z </w:t>
      </w:r>
      <w:r w:rsidRPr="00EC250C">
        <w:t>Konwencją</w:t>
      </w:r>
      <w:r w:rsidR="00992FD0" w:rsidRPr="00EC250C">
        <w:t xml:space="preserve"> o </w:t>
      </w:r>
      <w:r w:rsidRPr="00EC250C">
        <w:t>pomocy prawnej</w:t>
      </w:r>
      <w:r w:rsidR="00992FD0" w:rsidRPr="00EC250C">
        <w:t xml:space="preserve"> w </w:t>
      </w:r>
      <w:r w:rsidRPr="00EC250C">
        <w:t>sprawach karnych pomiędzy państwami członkowskimi UE</w:t>
      </w:r>
      <w:r w:rsidR="00992FD0" w:rsidRPr="00EC250C">
        <w:t xml:space="preserve"> z </w:t>
      </w:r>
      <w:r w:rsidRPr="00EC250C">
        <w:t>2000</w:t>
      </w:r>
      <w:r w:rsidR="00C91F6E" w:rsidRPr="00EC250C">
        <w:t> r.</w:t>
      </w:r>
      <w:r w:rsidR="00026572" w:rsidRPr="00EC250C">
        <w:t xml:space="preserve"> – </w:t>
      </w:r>
      <w:r w:rsidRPr="00EC250C">
        <w:t>wskazuje RPO.</w:t>
      </w:r>
    </w:p>
    <w:p w14:paraId="0C25F7BE" w14:textId="77777777" w:rsidR="00D86DD2" w:rsidRPr="00EC250C" w:rsidRDefault="007A22DC" w:rsidP="00D131FA">
      <w:pPr>
        <w:pStyle w:val="Styl1"/>
        <w:rPr>
          <w:bCs/>
          <w:iCs/>
        </w:rPr>
      </w:pPr>
      <w:r w:rsidRPr="00EC250C">
        <w:lastRenderedPageBreak/>
        <w:t>RPO</w:t>
      </w:r>
      <w:r w:rsidR="00D86DD2" w:rsidRPr="00EC250C">
        <w:t xml:space="preserve"> wystąpił do </w:t>
      </w:r>
      <w:r w:rsidR="0030270C" w:rsidRPr="00EC250C">
        <w:t>M</w:t>
      </w:r>
      <w:r w:rsidR="00D86DD2" w:rsidRPr="00EC250C">
        <w:t xml:space="preserve">inistra </w:t>
      </w:r>
      <w:r w:rsidR="0030270C" w:rsidRPr="00EC250C">
        <w:t>S</w:t>
      </w:r>
      <w:r w:rsidR="00D86DD2" w:rsidRPr="00EC250C">
        <w:t>prawiedliwości, aby zainicjował nowelizację przepisów.</w:t>
      </w:r>
      <w:r w:rsidR="0030270C" w:rsidRPr="00EC250C">
        <w:t xml:space="preserve"> Jest to już trzecie wystąpienie</w:t>
      </w:r>
      <w:r w:rsidR="00992FD0" w:rsidRPr="00EC250C">
        <w:t xml:space="preserve"> w </w:t>
      </w:r>
      <w:r w:rsidR="0030270C" w:rsidRPr="00EC250C">
        <w:t>tej sprawie – poprzednie pozostały bez odpowiedzi.</w:t>
      </w:r>
      <w:r w:rsidR="00D86DD2" w:rsidRPr="00EC250C">
        <w:rPr>
          <w:rStyle w:val="Odwoanieprzypisudolnego"/>
          <w:iCs/>
        </w:rPr>
        <w:footnoteReference w:id="242"/>
      </w:r>
      <w:r w:rsidR="00D86DD2" w:rsidRPr="00EC250C">
        <w:t>.</w:t>
      </w:r>
    </w:p>
    <w:p w14:paraId="279DE5A1" w14:textId="77777777" w:rsidR="00D86DD2" w:rsidRPr="00EC250C" w:rsidRDefault="0030270C" w:rsidP="00D131FA">
      <w:pPr>
        <w:pStyle w:val="Styl1"/>
        <w:rPr>
          <w:bCs/>
          <w:iCs/>
        </w:rPr>
      </w:pPr>
      <w:r w:rsidRPr="00EC250C">
        <w:rPr>
          <w:bCs/>
          <w:iCs/>
        </w:rPr>
        <w:t>RPO korespondował też</w:t>
      </w:r>
      <w:r w:rsidR="00992FD0" w:rsidRPr="00EC250C">
        <w:rPr>
          <w:bCs/>
          <w:iCs/>
        </w:rPr>
        <w:t xml:space="preserve"> w </w:t>
      </w:r>
      <w:r w:rsidRPr="00EC250C">
        <w:rPr>
          <w:bCs/>
          <w:iCs/>
        </w:rPr>
        <w:t>tej sprawie</w:t>
      </w:r>
      <w:r w:rsidR="00992FD0" w:rsidRPr="00EC250C">
        <w:rPr>
          <w:bCs/>
          <w:iCs/>
        </w:rPr>
        <w:t xml:space="preserve"> z </w:t>
      </w:r>
      <w:r w:rsidRPr="00EC250C">
        <w:rPr>
          <w:bCs/>
          <w:iCs/>
        </w:rPr>
        <w:t>Policją</w:t>
      </w:r>
      <w:r w:rsidR="00992FD0" w:rsidRPr="00EC250C">
        <w:rPr>
          <w:bCs/>
          <w:iCs/>
        </w:rPr>
        <w:t xml:space="preserve"> i </w:t>
      </w:r>
      <w:r w:rsidR="00D86DD2" w:rsidRPr="00EC250C">
        <w:rPr>
          <w:bCs/>
          <w:iCs/>
        </w:rPr>
        <w:t>Komendant Główny Policji poinformował</w:t>
      </w:r>
      <w:r w:rsidR="00992FD0" w:rsidRPr="00EC250C">
        <w:rPr>
          <w:bCs/>
          <w:iCs/>
        </w:rPr>
        <w:t xml:space="preserve"> o </w:t>
      </w:r>
      <w:r w:rsidR="00D86DD2" w:rsidRPr="00EC250C">
        <w:rPr>
          <w:bCs/>
          <w:iCs/>
        </w:rPr>
        <w:t>swoich działaniach</w:t>
      </w:r>
      <w:r w:rsidR="00992FD0" w:rsidRPr="00EC250C">
        <w:rPr>
          <w:bCs/>
          <w:iCs/>
        </w:rPr>
        <w:t xml:space="preserve"> w </w:t>
      </w:r>
      <w:r w:rsidR="00D86DD2" w:rsidRPr="00EC250C">
        <w:rPr>
          <w:bCs/>
          <w:iCs/>
        </w:rPr>
        <w:t>tej sprawie. Wymienił m.in. seminarium szkoleniowe „Czynności wyjaśniające</w:t>
      </w:r>
      <w:r w:rsidR="00992FD0" w:rsidRPr="00EC250C">
        <w:rPr>
          <w:bCs/>
          <w:iCs/>
        </w:rPr>
        <w:t xml:space="preserve"> w </w:t>
      </w:r>
      <w:r w:rsidR="00D86DD2" w:rsidRPr="00EC250C">
        <w:rPr>
          <w:bCs/>
          <w:iCs/>
        </w:rPr>
        <w:t>sprawach</w:t>
      </w:r>
      <w:r w:rsidR="00992FD0" w:rsidRPr="00EC250C">
        <w:rPr>
          <w:bCs/>
          <w:iCs/>
        </w:rPr>
        <w:t xml:space="preserve"> o </w:t>
      </w:r>
      <w:r w:rsidR="00D86DD2" w:rsidRPr="00EC250C">
        <w:rPr>
          <w:bCs/>
          <w:iCs/>
        </w:rPr>
        <w:t>wykroczenia</w:t>
      </w:r>
      <w:r w:rsidR="00026572" w:rsidRPr="00EC250C">
        <w:rPr>
          <w:bCs/>
          <w:iCs/>
        </w:rPr>
        <w:t xml:space="preserve"> – </w:t>
      </w:r>
      <w:r w:rsidR="00D86DD2" w:rsidRPr="00EC250C">
        <w:rPr>
          <w:bCs/>
          <w:iCs/>
        </w:rPr>
        <w:t>zagadnienia praktyczne”</w:t>
      </w:r>
      <w:r w:rsidR="00992FD0" w:rsidRPr="00EC250C">
        <w:rPr>
          <w:bCs/>
          <w:iCs/>
        </w:rPr>
        <w:t xml:space="preserve"> w </w:t>
      </w:r>
      <w:r w:rsidR="00D86DD2" w:rsidRPr="00EC250C">
        <w:rPr>
          <w:bCs/>
          <w:iCs/>
        </w:rPr>
        <w:t>Centrum Szkolenia Policji</w:t>
      </w:r>
      <w:r w:rsidR="00992FD0" w:rsidRPr="00EC250C">
        <w:rPr>
          <w:bCs/>
          <w:iCs/>
        </w:rPr>
        <w:t xml:space="preserve"> w </w:t>
      </w:r>
      <w:r w:rsidR="00D86DD2" w:rsidRPr="00EC250C">
        <w:rPr>
          <w:bCs/>
          <w:iCs/>
        </w:rPr>
        <w:t xml:space="preserve">Legionowie. </w:t>
      </w:r>
      <w:r w:rsidRPr="00EC250C">
        <w:rPr>
          <w:bCs/>
          <w:iCs/>
        </w:rPr>
        <w:t>Także</w:t>
      </w:r>
      <w:r w:rsidR="00992FD0" w:rsidRPr="00EC250C">
        <w:rPr>
          <w:bCs/>
          <w:iCs/>
        </w:rPr>
        <w:t xml:space="preserve"> w </w:t>
      </w:r>
      <w:r w:rsidR="00D86DD2" w:rsidRPr="00EC250C">
        <w:rPr>
          <w:bCs/>
          <w:iCs/>
        </w:rPr>
        <w:t xml:space="preserve">ocenie Komendanta Głównego Policji </w:t>
      </w:r>
      <w:r w:rsidRPr="00EC250C">
        <w:rPr>
          <w:bCs/>
          <w:iCs/>
        </w:rPr>
        <w:t>potrzebna jest zmiana przepisów</w:t>
      </w:r>
      <w:r w:rsidR="00D86DD2" w:rsidRPr="00EC250C">
        <w:rPr>
          <w:bCs/>
          <w:iCs/>
        </w:rPr>
        <w:t>.</w:t>
      </w:r>
    </w:p>
    <w:p w14:paraId="6F7F0E67" w14:textId="77777777" w:rsidR="00C91F6E" w:rsidRPr="00EC250C" w:rsidRDefault="00D86DD2" w:rsidP="00EC250C">
      <w:pPr>
        <w:pStyle w:val="Nagwek5"/>
      </w:pPr>
      <w:r w:rsidRPr="00EC250C">
        <w:t>Ograniczanie możliwości wejścia obywateli na teren budynków sądów powszechnych</w:t>
      </w:r>
    </w:p>
    <w:p w14:paraId="7858791B" w14:textId="77777777" w:rsidR="00B473F5" w:rsidRPr="00EC250C" w:rsidRDefault="00D86DD2" w:rsidP="00D131FA">
      <w:pPr>
        <w:pStyle w:val="Problemczowieka"/>
        <w:jc w:val="both"/>
        <w:rPr>
          <w:bdr w:val="none" w:sz="0" w:space="0" w:color="auto" w:frame="1"/>
        </w:rPr>
      </w:pPr>
      <w:r w:rsidRPr="00EC250C">
        <w:rPr>
          <w:bdr w:val="none" w:sz="0" w:space="0" w:color="auto" w:frame="1"/>
        </w:rPr>
        <w:t>Ludzie mają kłopoty</w:t>
      </w:r>
      <w:r w:rsidR="00992FD0" w:rsidRPr="00EC250C">
        <w:rPr>
          <w:bdr w:val="none" w:sz="0" w:space="0" w:color="auto" w:frame="1"/>
        </w:rPr>
        <w:t xml:space="preserve"> z </w:t>
      </w:r>
      <w:r w:rsidRPr="00EC250C">
        <w:rPr>
          <w:bdr w:val="none" w:sz="0" w:space="0" w:color="auto" w:frame="1"/>
        </w:rPr>
        <w:t>wchodzeniem do budynków sądów. Przy wejściu zaczęto od nich</w:t>
      </w:r>
      <w:r w:rsidR="00992FD0" w:rsidRPr="00EC250C">
        <w:rPr>
          <w:bdr w:val="none" w:sz="0" w:space="0" w:color="auto" w:frame="1"/>
        </w:rPr>
        <w:t xml:space="preserve"> w </w:t>
      </w:r>
      <w:r w:rsidRPr="00EC250C">
        <w:rPr>
          <w:bdr w:val="none" w:sz="0" w:space="0" w:color="auto" w:frame="1"/>
        </w:rPr>
        <w:t>2018</w:t>
      </w:r>
      <w:r w:rsidR="00C91F6E" w:rsidRPr="00EC250C">
        <w:rPr>
          <w:bdr w:val="none" w:sz="0" w:space="0" w:color="auto" w:frame="1"/>
        </w:rPr>
        <w:t> r.</w:t>
      </w:r>
      <w:r w:rsidRPr="00EC250C">
        <w:rPr>
          <w:bdr w:val="none" w:sz="0" w:space="0" w:color="auto" w:frame="1"/>
        </w:rPr>
        <w:t xml:space="preserve"> żądać sądowego wezwania lub wykazania „potrzeby wejścia"</w:t>
      </w:r>
      <w:r w:rsidR="00B473F5" w:rsidRPr="00EC250C">
        <w:rPr>
          <w:bdr w:val="none" w:sz="0" w:space="0" w:color="auto" w:frame="1"/>
        </w:rPr>
        <w:t>.</w:t>
      </w:r>
    </w:p>
    <w:p w14:paraId="752AEC07" w14:textId="77777777" w:rsidR="00D86DD2" w:rsidRPr="00EC250C" w:rsidRDefault="00D86DD2" w:rsidP="00D131FA">
      <w:pPr>
        <w:pStyle w:val="Styl1"/>
        <w:rPr>
          <w:rFonts w:ascii="Open Sans Regular" w:hAnsi="Open Sans Regular"/>
        </w:rPr>
      </w:pPr>
      <w:r w:rsidRPr="00EC250C">
        <w:rPr>
          <w:bdr w:val="none" w:sz="0" w:space="0" w:color="auto" w:frame="1"/>
        </w:rPr>
        <w:t>Przyczyną takich naruszeń zasady jawności rozpraw są regulaminy wydawane przez prezesów</w:t>
      </w:r>
      <w:r w:rsidR="00992FD0" w:rsidRPr="00EC250C">
        <w:rPr>
          <w:bdr w:val="none" w:sz="0" w:space="0" w:color="auto" w:frame="1"/>
        </w:rPr>
        <w:t xml:space="preserve"> i </w:t>
      </w:r>
      <w:r w:rsidRPr="00EC250C">
        <w:rPr>
          <w:bdr w:val="none" w:sz="0" w:space="0" w:color="auto" w:frame="1"/>
        </w:rPr>
        <w:t>dyrektorów sądów. Nie mają oni do tego podstaw prawnych</w:t>
      </w:r>
      <w:r w:rsidR="00026572" w:rsidRPr="00EC250C">
        <w:rPr>
          <w:bdr w:val="none" w:sz="0" w:space="0" w:color="auto" w:frame="1"/>
        </w:rPr>
        <w:t xml:space="preserve"> – </w:t>
      </w:r>
      <w:r w:rsidRPr="00EC250C">
        <w:rPr>
          <w:bdr w:val="none" w:sz="0" w:space="0" w:color="auto" w:frame="1"/>
        </w:rPr>
        <w:t xml:space="preserve">może to </w:t>
      </w:r>
      <w:r w:rsidR="00030739" w:rsidRPr="00EC250C">
        <w:rPr>
          <w:bdr w:val="none" w:sz="0" w:space="0" w:color="auto" w:frame="1"/>
        </w:rPr>
        <w:t xml:space="preserve">regulować </w:t>
      </w:r>
      <w:r w:rsidRPr="00EC250C">
        <w:rPr>
          <w:bdr w:val="none" w:sz="0" w:space="0" w:color="auto" w:frame="1"/>
        </w:rPr>
        <w:t>tylko ustawa</w:t>
      </w:r>
      <w:r w:rsidR="00030739" w:rsidRPr="00EC250C">
        <w:rPr>
          <w:bdr w:val="none" w:sz="0" w:space="0" w:color="auto" w:frame="1"/>
        </w:rPr>
        <w:t>.</w:t>
      </w:r>
    </w:p>
    <w:p w14:paraId="0AADC60D" w14:textId="77777777" w:rsidR="00D86DD2" w:rsidRPr="00EC250C" w:rsidRDefault="00D86DD2" w:rsidP="00D131FA">
      <w:pPr>
        <w:pStyle w:val="Styl1"/>
      </w:pPr>
      <w:r w:rsidRPr="00EC250C">
        <w:t xml:space="preserve">Po skargach obywateli </w:t>
      </w:r>
      <w:r w:rsidR="00C079A6" w:rsidRPr="00EC250C">
        <w:t>RPO</w:t>
      </w:r>
      <w:r w:rsidRPr="00EC250C">
        <w:t xml:space="preserve"> badał ograniczenia możliwości wejścia do sądów</w:t>
      </w:r>
      <w:r w:rsidR="00992FD0" w:rsidRPr="00EC250C">
        <w:t xml:space="preserve"> w </w:t>
      </w:r>
      <w:r w:rsidRPr="00EC250C">
        <w:t>regulaminach. Pozwalają one wchodzić do sądu wyłącznie</w:t>
      </w:r>
      <w:r w:rsidR="00992FD0" w:rsidRPr="00EC250C">
        <w:t xml:space="preserve"> z </w:t>
      </w:r>
      <w:r w:rsidRPr="00EC250C">
        <w:t>aktualnymi wezwaniami lub zawiadomieniami</w:t>
      </w:r>
      <w:r w:rsidR="00992FD0" w:rsidRPr="00EC250C">
        <w:t xml:space="preserve"> o </w:t>
      </w:r>
      <w:r w:rsidRPr="00EC250C">
        <w:t>terminie rozprawy bądź posiedzenia. Jeśli się takiego wezwania nie ma, trzeba wykazać potrzebę załatwienia "innej ważnej sprawy".</w:t>
      </w:r>
    </w:p>
    <w:p w14:paraId="47939DCA" w14:textId="77777777" w:rsidR="00D86DD2" w:rsidRPr="00EC250C" w:rsidRDefault="00D86DD2" w:rsidP="00D131FA">
      <w:pPr>
        <w:pStyle w:val="Styl1"/>
      </w:pPr>
      <w:r w:rsidRPr="00EC250C">
        <w:t>W lipcu 2018</w:t>
      </w:r>
      <w:r w:rsidR="00C91F6E" w:rsidRPr="00EC250C">
        <w:t> r.</w:t>
      </w:r>
      <w:r w:rsidRPr="00EC250C">
        <w:t xml:space="preserve"> RPO wystąpił do prezesów Sądu Okręgowego we Wrocławiu</w:t>
      </w:r>
      <w:r w:rsidR="00992FD0" w:rsidRPr="00EC250C">
        <w:t xml:space="preserve"> i w </w:t>
      </w:r>
      <w:r w:rsidRPr="00EC250C">
        <w:t>Lublinie, żądając uchylenia takich zapisów regulaminów. W rezultacie zostały one zmodyfikowane. Dziś do sądu mogą wchodzić osoby wezwane oraz te, które wskażą na wolę uczestniczenia</w:t>
      </w:r>
      <w:r w:rsidR="00992FD0" w:rsidRPr="00EC250C">
        <w:t xml:space="preserve"> w </w:t>
      </w:r>
      <w:r w:rsidRPr="00EC250C">
        <w:t>jawnej rozprawie czy posiedzeniu lub na inną potrzebę wejścia.</w:t>
      </w:r>
    </w:p>
    <w:p w14:paraId="051929A6" w14:textId="77777777" w:rsidR="00D86DD2" w:rsidRPr="00EC250C" w:rsidRDefault="00D86DD2" w:rsidP="00D131FA">
      <w:pPr>
        <w:pStyle w:val="Styl1"/>
      </w:pPr>
      <w:r w:rsidRPr="00EC250C">
        <w:rPr>
          <w:rFonts w:ascii="inherit" w:hAnsi="inherit"/>
          <w:b/>
          <w:bCs/>
          <w:bdr w:val="none" w:sz="0" w:space="0" w:color="auto" w:frame="1"/>
        </w:rPr>
        <w:t>Z kolejnych skarg kierowanych do RPO wynika jednak, że skala problemu jest znacznie większa</w:t>
      </w:r>
      <w:r w:rsidR="00992FD0" w:rsidRPr="00EC250C">
        <w:rPr>
          <w:rFonts w:ascii="inherit" w:hAnsi="inherit"/>
          <w:b/>
          <w:bCs/>
          <w:bdr w:val="none" w:sz="0" w:space="0" w:color="auto" w:frame="1"/>
        </w:rPr>
        <w:t xml:space="preserve"> i </w:t>
      </w:r>
      <w:r w:rsidRPr="00EC250C">
        <w:rPr>
          <w:rFonts w:ascii="inherit" w:hAnsi="inherit"/>
          <w:b/>
          <w:bCs/>
          <w:bdr w:val="none" w:sz="0" w:space="0" w:color="auto" w:frame="1"/>
        </w:rPr>
        <w:t>może mieć charakter ogólnopolski</w:t>
      </w:r>
      <w:r w:rsidRPr="00EC250C">
        <w:t>. Podobne ograniczenia istnieją bowiem m.in.</w:t>
      </w:r>
      <w:r w:rsidR="00992FD0" w:rsidRPr="00EC250C">
        <w:t xml:space="preserve"> w </w:t>
      </w:r>
      <w:r w:rsidRPr="00EC250C">
        <w:t>sądach rejonowych</w:t>
      </w:r>
      <w:r w:rsidR="00992FD0" w:rsidRPr="00EC250C">
        <w:t xml:space="preserve"> w </w:t>
      </w:r>
      <w:r w:rsidRPr="00EC250C">
        <w:t>Chojnicach, Dzierżoniowie, Pabianicach, Siedlcach, Lublińcu, Zamościu, Kole, Sokołowie Podlaskim;</w:t>
      </w:r>
      <w:r w:rsidR="00992FD0" w:rsidRPr="00EC250C">
        <w:t xml:space="preserve"> w </w:t>
      </w:r>
      <w:r w:rsidRPr="00EC250C">
        <w:t>sądach okręgowych</w:t>
      </w:r>
      <w:r w:rsidR="00992FD0" w:rsidRPr="00EC250C">
        <w:t xml:space="preserve"> w </w:t>
      </w:r>
      <w:r w:rsidRPr="00EC250C">
        <w:t>Częstochowie</w:t>
      </w:r>
      <w:r w:rsidR="00992FD0" w:rsidRPr="00EC250C">
        <w:t xml:space="preserve"> i </w:t>
      </w:r>
      <w:r w:rsidRPr="00EC250C">
        <w:t>Siedlcach oraz</w:t>
      </w:r>
      <w:r w:rsidR="00992FD0" w:rsidRPr="00EC250C">
        <w:t xml:space="preserve"> w </w:t>
      </w:r>
      <w:r w:rsidRPr="00EC250C">
        <w:t>Sądzie Apelacyjnym</w:t>
      </w:r>
      <w:r w:rsidR="00992FD0" w:rsidRPr="00EC250C">
        <w:t xml:space="preserve"> w </w:t>
      </w:r>
      <w:r w:rsidRPr="00EC250C">
        <w:t>Lublinie. Ich regulaminy przewidują możliwość wejścia po okazaniu wezwania lub zawiadomienia</w:t>
      </w:r>
      <w:r w:rsidR="00992FD0" w:rsidRPr="00EC250C">
        <w:t xml:space="preserve"> o </w:t>
      </w:r>
      <w:r w:rsidRPr="00EC250C">
        <w:t>rozprawie lub posiedzeniu, bądź też po wykazaniu potrzeby wejścia.</w:t>
      </w:r>
    </w:p>
    <w:p w14:paraId="315F81EC" w14:textId="77777777" w:rsidR="00D86DD2" w:rsidRPr="00EC250C" w:rsidRDefault="00D86DD2" w:rsidP="00D131FA">
      <w:pPr>
        <w:pStyle w:val="Styl1"/>
      </w:pPr>
      <w:r w:rsidRPr="00EC250C">
        <w:t>Dlatego RPO napisał</w:t>
      </w:r>
      <w:r w:rsidR="00992FD0" w:rsidRPr="00EC250C">
        <w:t xml:space="preserve"> w </w:t>
      </w:r>
      <w:r w:rsidRPr="00EC250C">
        <w:t>tej sprawie do Ministra Sprawiedliwości</w:t>
      </w:r>
      <w:r w:rsidRPr="00EC250C">
        <w:rPr>
          <w:rStyle w:val="Odwoanieprzypisudolnego"/>
        </w:rPr>
        <w:footnoteReference w:id="243"/>
      </w:r>
      <w:r w:rsidRPr="00EC250C">
        <w:t xml:space="preserve"> Ten stwierdził, że opisana</w:t>
      </w:r>
      <w:r w:rsidR="00992FD0" w:rsidRPr="00EC250C">
        <w:t xml:space="preserve"> w </w:t>
      </w:r>
      <w:r w:rsidRPr="00EC250C">
        <w:t>wystąpieniu Rzecznika praktyka godzi niewątpliwie</w:t>
      </w:r>
      <w:r w:rsidR="00992FD0" w:rsidRPr="00EC250C">
        <w:t xml:space="preserve"> w </w:t>
      </w:r>
      <w:r w:rsidRPr="00EC250C">
        <w:t>konstytucyjną zasadę jawności rozpoznawania spraw</w:t>
      </w:r>
      <w:r w:rsidR="00992FD0" w:rsidRPr="00EC250C">
        <w:t xml:space="preserve"> i </w:t>
      </w:r>
      <w:r w:rsidRPr="00EC250C">
        <w:t>nie może być akceptowana. W tych okolicznościach zwrócono się –</w:t>
      </w:r>
      <w:r w:rsidR="00992FD0" w:rsidRPr="00EC250C">
        <w:t xml:space="preserve"> w </w:t>
      </w:r>
      <w:r w:rsidRPr="00EC250C">
        <w:t>ramach sprawowanego przez Ministra Sprawiedliwości zewnętrznego nadzoru administracyjnego nad działalnością sądów powszechnych – do prezesów sądów apelacyjnych</w:t>
      </w:r>
      <w:r w:rsidR="00992FD0" w:rsidRPr="00EC250C">
        <w:t xml:space="preserve"> o </w:t>
      </w:r>
      <w:r w:rsidRPr="00EC250C">
        <w:t>przegląd regulaminów</w:t>
      </w:r>
      <w:r w:rsidR="00992FD0" w:rsidRPr="00EC250C">
        <w:t xml:space="preserve"> i w </w:t>
      </w:r>
      <w:r w:rsidRPr="00EC250C">
        <w:t>razie potrzeby</w:t>
      </w:r>
      <w:r w:rsidR="00992FD0" w:rsidRPr="00EC250C">
        <w:t xml:space="preserve"> o </w:t>
      </w:r>
      <w:r w:rsidRPr="00EC250C">
        <w:t>dostosowanie ich do obowiązujących przepisów.</w:t>
      </w:r>
    </w:p>
    <w:p w14:paraId="3808128D" w14:textId="77777777" w:rsidR="00D86DD2" w:rsidRPr="00EC250C" w:rsidRDefault="00D86DD2" w:rsidP="00EC250C">
      <w:pPr>
        <w:pStyle w:val="Nagwek5"/>
      </w:pPr>
      <w:r w:rsidRPr="00EC250C">
        <w:lastRenderedPageBreak/>
        <w:t>Posiedzenie</w:t>
      </w:r>
      <w:r w:rsidR="00992FD0" w:rsidRPr="00EC250C">
        <w:t xml:space="preserve"> w </w:t>
      </w:r>
      <w:r w:rsidRPr="00EC250C">
        <w:t>przedmiocie dalszego stosowania środka zabezpieczającego</w:t>
      </w:r>
    </w:p>
    <w:p w14:paraId="28BC8091" w14:textId="77777777" w:rsidR="00B473F5" w:rsidRPr="00EC250C" w:rsidRDefault="00D86DD2" w:rsidP="00D131FA">
      <w:pPr>
        <w:pStyle w:val="Problemczowieka"/>
        <w:jc w:val="both"/>
      </w:pPr>
      <w:r w:rsidRPr="00EC250C">
        <w:t>Posiedzenia sądu</w:t>
      </w:r>
      <w:r w:rsidR="00992FD0" w:rsidRPr="00EC250C">
        <w:t xml:space="preserve"> w </w:t>
      </w:r>
      <w:r w:rsidRPr="00EC250C">
        <w:t>sprawie przedłużenia pobytu sprawców przestępstw</w:t>
      </w:r>
      <w:r w:rsidR="00992FD0" w:rsidRPr="00EC250C">
        <w:t xml:space="preserve"> w </w:t>
      </w:r>
      <w:r w:rsidRPr="00EC250C">
        <w:t>zakładach psychiatrycznych powinny odbywać się</w:t>
      </w:r>
      <w:r w:rsidR="00992FD0" w:rsidRPr="00EC250C">
        <w:t xml:space="preserve"> w </w:t>
      </w:r>
      <w:r w:rsidRPr="00EC250C">
        <w:t>tym szpitalu</w:t>
      </w:r>
      <w:r w:rsidR="00B473F5" w:rsidRPr="00EC250C">
        <w:t>.</w:t>
      </w:r>
    </w:p>
    <w:p w14:paraId="629D103E" w14:textId="77777777" w:rsidR="00D86DD2" w:rsidRPr="00EC250C" w:rsidRDefault="00D86DD2" w:rsidP="00D131FA">
      <w:pPr>
        <w:pStyle w:val="Styl1"/>
      </w:pPr>
      <w:r w:rsidRPr="00EC250C">
        <w:t>Sąd powinien mieć możliwość odbywania</w:t>
      </w:r>
      <w:r w:rsidR="00992FD0" w:rsidRPr="00EC250C">
        <w:t xml:space="preserve"> w </w:t>
      </w:r>
      <w:r w:rsidRPr="00EC250C">
        <w:t>zakładzie psychiatrycznym posiedzenia</w:t>
      </w:r>
      <w:r w:rsidR="00992FD0" w:rsidRPr="00EC250C">
        <w:t xml:space="preserve"> w </w:t>
      </w:r>
      <w:r w:rsidRPr="00EC250C">
        <w:t>sprawie przedłużenia pobytu</w:t>
      </w:r>
      <w:r w:rsidR="00992FD0" w:rsidRPr="00EC250C">
        <w:t xml:space="preserve"> w </w:t>
      </w:r>
      <w:r w:rsidRPr="00EC250C">
        <w:t>nim sprawcy przestępstwa. Wykonywałoby to</w:t>
      </w:r>
      <w:r w:rsidR="00992FD0" w:rsidRPr="00EC250C">
        <w:t xml:space="preserve"> w </w:t>
      </w:r>
      <w:r w:rsidRPr="00EC250C">
        <w:t>pełni wyrok Trybunał Konstytucyjnego</w:t>
      </w:r>
      <w:r w:rsidRPr="00EC250C">
        <w:rPr>
          <w:rStyle w:val="Odwoanieprzypisudolnego"/>
        </w:rPr>
        <w:footnoteReference w:id="244"/>
      </w:r>
      <w:r w:rsidRPr="00EC250C">
        <w:t>, który uznał, że taka osoba powinna móc uczestniczyć</w:t>
      </w:r>
      <w:r w:rsidR="00992FD0" w:rsidRPr="00EC250C">
        <w:t xml:space="preserve"> w </w:t>
      </w:r>
      <w:r w:rsidRPr="00EC250C">
        <w:t>posiedzeniu sądu.</w:t>
      </w:r>
      <w:r w:rsidR="0030270C" w:rsidRPr="00EC250C">
        <w:t xml:space="preserve"> </w:t>
      </w:r>
      <w:r w:rsidRPr="00EC250C">
        <w:t>Według Rzecznika posiedzenia</w:t>
      </w:r>
      <w:r w:rsidR="00992FD0" w:rsidRPr="00EC250C">
        <w:t xml:space="preserve"> w </w:t>
      </w:r>
      <w:r w:rsidRPr="00EC250C">
        <w:t>zakładzie, gdzie przebywa dana osoba, byłyby zasadne</w:t>
      </w:r>
      <w:r w:rsidR="00992FD0" w:rsidRPr="00EC250C">
        <w:t xml:space="preserve"> z </w:t>
      </w:r>
      <w:r w:rsidRPr="00EC250C">
        <w:t>punktu widzenia racjonalności oraz gospodarności wydawania pieniędzy podatników</w:t>
      </w:r>
      <w:r w:rsidR="00030739" w:rsidRPr="00EC250C">
        <w:t>.</w:t>
      </w:r>
    </w:p>
    <w:p w14:paraId="3E8504FF" w14:textId="77777777" w:rsidR="00D86DD2" w:rsidRPr="00EC250C" w:rsidRDefault="00D86DD2" w:rsidP="00D131FA">
      <w:pPr>
        <w:pStyle w:val="Styl1"/>
      </w:pPr>
      <w:r w:rsidRPr="00EC250C">
        <w:t>Chodzi</w:t>
      </w:r>
      <w:r w:rsidR="00992FD0" w:rsidRPr="00EC250C">
        <w:t xml:space="preserve"> o </w:t>
      </w:r>
      <w:r w:rsidRPr="00EC250C">
        <w:t>osoby, wobec których wykonywany jest środek zabezpieczający</w:t>
      </w:r>
      <w:r w:rsidR="00992FD0" w:rsidRPr="00EC250C">
        <w:t xml:space="preserve"> w </w:t>
      </w:r>
      <w:r w:rsidRPr="00EC250C">
        <w:t>postaci umieszczenia</w:t>
      </w:r>
      <w:r w:rsidR="00992FD0" w:rsidRPr="00EC250C">
        <w:t xml:space="preserve"> w </w:t>
      </w:r>
      <w:r w:rsidRPr="00EC250C">
        <w:t>zakładzie psychiatrycznym. Sąd stosuje go wobec sprawcy, który nie podlega odpowiedzialności karnej</w:t>
      </w:r>
      <w:r w:rsidR="00992FD0" w:rsidRPr="00EC250C">
        <w:t xml:space="preserve"> z </w:t>
      </w:r>
      <w:r w:rsidRPr="00EC250C">
        <w:t>powodu niepoczytalności</w:t>
      </w:r>
      <w:r w:rsidR="0030270C" w:rsidRPr="00EC250C">
        <w:t xml:space="preserve"> (</w:t>
      </w:r>
      <w:r w:rsidRPr="00EC250C">
        <w:t>nie określa się terminu takiego internowania</w:t>
      </w:r>
      <w:r w:rsidR="0030270C" w:rsidRPr="00EC250C">
        <w:t>)</w:t>
      </w:r>
      <w:r w:rsidRPr="00EC250C">
        <w:t>.</w:t>
      </w:r>
    </w:p>
    <w:p w14:paraId="101D88C0" w14:textId="77777777" w:rsidR="00D86DD2" w:rsidRPr="00EC250C" w:rsidRDefault="00D86DD2" w:rsidP="00D131FA">
      <w:pPr>
        <w:pStyle w:val="Styl1"/>
      </w:pPr>
      <w:r w:rsidRPr="00EC250C">
        <w:t>We wrześniu 2018</w:t>
      </w:r>
      <w:r w:rsidR="00C91F6E" w:rsidRPr="00EC250C">
        <w:t> r.</w:t>
      </w:r>
      <w:r w:rsidRPr="00EC250C">
        <w:t xml:space="preserve"> senackie komisje zakończyły prace nad projektem zmian Kodeksu karnego wykonawczego (druk senacki nr 735). Rzecznik Praw Obywatelskich proponował komisji, by zapisać możliwość odbywania takich posiedzeń</w:t>
      </w:r>
      <w:r w:rsidR="00992FD0" w:rsidRPr="00EC250C">
        <w:t xml:space="preserve"> w </w:t>
      </w:r>
      <w:r w:rsidRPr="00EC250C">
        <w:t>zakładzie psychiatrycznym,</w:t>
      </w:r>
      <w:r w:rsidR="00992FD0" w:rsidRPr="00EC250C">
        <w:t xml:space="preserve"> w </w:t>
      </w:r>
      <w:r w:rsidRPr="00EC250C">
        <w:t>którym sprawca przebywa</w:t>
      </w:r>
      <w:r w:rsidRPr="00EC250C">
        <w:rPr>
          <w:vertAlign w:val="superscript"/>
        </w:rPr>
        <w:footnoteReference w:id="245"/>
      </w:r>
      <w:r w:rsidRPr="00EC250C">
        <w:t>.</w:t>
      </w:r>
    </w:p>
    <w:p w14:paraId="5813E69F" w14:textId="77777777" w:rsidR="00D86DD2" w:rsidRPr="00EC250C" w:rsidRDefault="00D86DD2" w:rsidP="00EC79EB">
      <w:pPr>
        <w:pStyle w:val="Nagwek4"/>
      </w:pPr>
      <w:bookmarkStart w:id="244" w:name="_Toc6257736"/>
      <w:bookmarkStart w:id="245" w:name="_Toc11247628"/>
      <w:r w:rsidRPr="00EC250C">
        <w:t>Prawo do procesu</w:t>
      </w:r>
      <w:bookmarkEnd w:id="244"/>
      <w:bookmarkEnd w:id="245"/>
    </w:p>
    <w:p w14:paraId="0E83366F" w14:textId="77777777" w:rsidR="00D86DD2" w:rsidRPr="00EC250C" w:rsidRDefault="00D86DD2" w:rsidP="00EC250C">
      <w:pPr>
        <w:pStyle w:val="Nagwek5"/>
      </w:pPr>
      <w:r w:rsidRPr="00EC250C">
        <w:t>Podstawy wydania decyzji</w:t>
      </w:r>
      <w:r w:rsidR="00992FD0" w:rsidRPr="00EC250C">
        <w:t xml:space="preserve"> o </w:t>
      </w:r>
      <w:r w:rsidRPr="00EC250C">
        <w:t>zatrzymaniu prawa jazdy</w:t>
      </w:r>
    </w:p>
    <w:p w14:paraId="5ACBFD8A" w14:textId="77777777" w:rsidR="00B473F5" w:rsidRPr="00EC250C" w:rsidRDefault="00D86DD2" w:rsidP="00D131FA">
      <w:pPr>
        <w:pStyle w:val="Problemczowieka"/>
        <w:jc w:val="both"/>
        <w:rPr>
          <w:rStyle w:val="Pogrubienie"/>
        </w:rPr>
      </w:pPr>
      <w:r w:rsidRPr="00EC250C">
        <w:rPr>
          <w:rStyle w:val="Pogrubienie"/>
        </w:rPr>
        <w:t>Kierowcy tracą na trzy miesiące prawo jazdy za przekroczenie prędkości</w:t>
      </w:r>
      <w:r w:rsidR="00992FD0" w:rsidRPr="00EC250C">
        <w:rPr>
          <w:rStyle w:val="Pogrubienie"/>
        </w:rPr>
        <w:t xml:space="preserve"> w </w:t>
      </w:r>
      <w:r w:rsidRPr="00EC250C">
        <w:rPr>
          <w:rStyle w:val="Pogrubienie"/>
        </w:rPr>
        <w:t>obszarze zabudowanym</w:t>
      </w:r>
      <w:r w:rsidR="00992FD0" w:rsidRPr="00EC250C">
        <w:rPr>
          <w:rStyle w:val="Pogrubienie"/>
        </w:rPr>
        <w:t xml:space="preserve"> o </w:t>
      </w:r>
      <w:r w:rsidRPr="00EC250C">
        <w:rPr>
          <w:rStyle w:val="Pogrubienie"/>
        </w:rPr>
        <w:t>więcej niż 50 km/h. Starosta wydaje taką decyzję na podstawie informacji od policji</w:t>
      </w:r>
      <w:r w:rsidR="00026572" w:rsidRPr="00EC250C">
        <w:rPr>
          <w:rStyle w:val="Pogrubienie"/>
        </w:rPr>
        <w:t xml:space="preserve"> – </w:t>
      </w:r>
      <w:r w:rsidRPr="00EC250C">
        <w:rPr>
          <w:rStyle w:val="Pogrubienie"/>
        </w:rPr>
        <w:t>bez wyjaśniania, czy</w:t>
      </w:r>
      <w:r w:rsidR="00992FD0" w:rsidRPr="00EC250C">
        <w:rPr>
          <w:rStyle w:val="Pogrubienie"/>
        </w:rPr>
        <w:t xml:space="preserve"> w </w:t>
      </w:r>
      <w:r w:rsidRPr="00EC250C">
        <w:rPr>
          <w:rStyle w:val="Pogrubienie"/>
        </w:rPr>
        <w:t>ogóle doszło do wykroczenia</w:t>
      </w:r>
      <w:r w:rsidR="00992FD0" w:rsidRPr="00EC250C">
        <w:rPr>
          <w:rStyle w:val="Pogrubienie"/>
        </w:rPr>
        <w:t xml:space="preserve"> i </w:t>
      </w:r>
      <w:r w:rsidRPr="00EC250C">
        <w:rPr>
          <w:rStyle w:val="Pogrubienie"/>
        </w:rPr>
        <w:t>kto był jego sprawcą. Tymczasem wskazania radarów mogą być mylne</w:t>
      </w:r>
      <w:r w:rsidR="00992FD0" w:rsidRPr="00EC250C">
        <w:rPr>
          <w:rStyle w:val="Pogrubienie"/>
        </w:rPr>
        <w:t xml:space="preserve"> i </w:t>
      </w:r>
      <w:r w:rsidRPr="00EC250C">
        <w:rPr>
          <w:rStyle w:val="Pogrubienie"/>
        </w:rPr>
        <w:t>nie zawsze to właściciel pojazdu (wskazany</w:t>
      </w:r>
      <w:r w:rsidR="00992FD0" w:rsidRPr="00EC250C">
        <w:rPr>
          <w:rStyle w:val="Pogrubienie"/>
        </w:rPr>
        <w:t xml:space="preserve"> w </w:t>
      </w:r>
      <w:r w:rsidRPr="00EC250C">
        <w:rPr>
          <w:rStyle w:val="Pogrubienie"/>
        </w:rPr>
        <w:t>policyjnej informacji) kierował pojazdem mającym przekroczyć prędkość</w:t>
      </w:r>
      <w:r w:rsidR="00B473F5" w:rsidRPr="00EC250C">
        <w:rPr>
          <w:rStyle w:val="Pogrubienie"/>
        </w:rPr>
        <w:t>.</w:t>
      </w:r>
    </w:p>
    <w:p w14:paraId="5ECA8055" w14:textId="77777777" w:rsidR="00D86DD2" w:rsidRPr="00EC250C" w:rsidRDefault="00D86DD2" w:rsidP="00D131FA">
      <w:pPr>
        <w:pStyle w:val="Styl1"/>
      </w:pPr>
      <w:r w:rsidRPr="00EC250C">
        <w:t>Wobec rozbieżności</w:t>
      </w:r>
      <w:r w:rsidR="00992FD0" w:rsidRPr="00EC250C">
        <w:t xml:space="preserve"> w </w:t>
      </w:r>
      <w:r w:rsidRPr="00EC250C">
        <w:t>sąd</w:t>
      </w:r>
      <w:r w:rsidR="00B01CFE" w:rsidRPr="00EC250C">
        <w:t>ach</w:t>
      </w:r>
      <w:r w:rsidRPr="00EC250C">
        <w:t xml:space="preserve"> administracyjnych, jak stosować przepisy, Rzecznik Praw Obywatelskich wystąpił</w:t>
      </w:r>
      <w:r w:rsidR="00992FD0" w:rsidRPr="00EC250C">
        <w:t xml:space="preserve"> z </w:t>
      </w:r>
      <w:r w:rsidRPr="00EC250C">
        <w:t>pytaniem prawnym do Naczelnego Sądu Administracyjnego</w:t>
      </w:r>
      <w:r w:rsidRPr="00EC250C">
        <w:rPr>
          <w:rStyle w:val="Odwoanieprzypisudolnego"/>
          <w:iCs/>
        </w:rPr>
        <w:footnoteReference w:id="246"/>
      </w:r>
      <w:r w:rsidRPr="00EC250C">
        <w:t>.</w:t>
      </w:r>
    </w:p>
    <w:p w14:paraId="19AA179F" w14:textId="77777777" w:rsidR="00D86DD2" w:rsidRPr="00EC250C" w:rsidRDefault="00D86DD2" w:rsidP="00D131FA">
      <w:pPr>
        <w:pStyle w:val="Styl1"/>
      </w:pPr>
      <w:r w:rsidRPr="00EC250C">
        <w:t>Rzecznik zgadza się</w:t>
      </w:r>
      <w:r w:rsidR="00992FD0" w:rsidRPr="00EC250C">
        <w:t xml:space="preserve"> z </w:t>
      </w:r>
      <w:r w:rsidRPr="00EC250C">
        <w:t>poglądem NSA (I OSK 2809/17), iż sytuacja, gdy jedynym dowodem, który stanowi</w:t>
      </w:r>
      <w:r w:rsidR="00992FD0" w:rsidRPr="00EC250C">
        <w:t xml:space="preserve"> o </w:t>
      </w:r>
      <w:r w:rsidRPr="00EC250C">
        <w:t>obowiązku zatrzymania prawa jazdy</w:t>
      </w:r>
      <w:r w:rsidR="00B01CFE" w:rsidRPr="00EC250C">
        <w:t>,</w:t>
      </w:r>
      <w:r w:rsidRPr="00EC250C">
        <w:t xml:space="preserve"> jest informacja policji, prowadzi do naruszenia konstytucyjnego prawa do sądu.</w:t>
      </w:r>
      <w:r w:rsidR="00B01CFE" w:rsidRPr="00EC250C">
        <w:t xml:space="preserve"> N</w:t>
      </w:r>
      <w:r w:rsidRPr="00EC250C">
        <w:t xml:space="preserve">abiera </w:t>
      </w:r>
      <w:r w:rsidR="00B01CFE" w:rsidRPr="00EC250C">
        <w:t xml:space="preserve">to </w:t>
      </w:r>
      <w:r w:rsidRPr="00EC250C">
        <w:t>szczególnego znaczenia</w:t>
      </w:r>
      <w:r w:rsidR="00992FD0" w:rsidRPr="00EC250C">
        <w:t xml:space="preserve"> w </w:t>
      </w:r>
      <w:r w:rsidRPr="00EC250C">
        <w:t>kontekście podnoszonych</w:t>
      </w:r>
      <w:r w:rsidR="00026572" w:rsidRPr="00EC250C">
        <w:t xml:space="preserve"> – </w:t>
      </w:r>
      <w:r w:rsidRPr="00EC250C">
        <w:t>m.in.</w:t>
      </w:r>
      <w:r w:rsidR="00992FD0" w:rsidRPr="00EC250C">
        <w:t xml:space="preserve"> w </w:t>
      </w:r>
      <w:r w:rsidRPr="00EC250C">
        <w:t>skargach do RPO, ale także</w:t>
      </w:r>
      <w:r w:rsidR="00992FD0" w:rsidRPr="00EC250C">
        <w:t xml:space="preserve"> w </w:t>
      </w:r>
      <w:r w:rsidRPr="00EC250C">
        <w:t>mediach</w:t>
      </w:r>
      <w:r w:rsidR="00026572" w:rsidRPr="00EC250C">
        <w:t xml:space="preserve"> – </w:t>
      </w:r>
      <w:r w:rsidRPr="00EC250C">
        <w:t>licznych uchybień</w:t>
      </w:r>
      <w:r w:rsidR="00992FD0" w:rsidRPr="00EC250C">
        <w:t xml:space="preserve"> i </w:t>
      </w:r>
      <w:r w:rsidRPr="00EC250C">
        <w:t>nieprawidłowości, których dopuszczały się osoby obsługujące radary, jak również wad technicznych oraz prawnych tego sprzętu.</w:t>
      </w:r>
    </w:p>
    <w:p w14:paraId="2D58E0F7" w14:textId="77777777" w:rsidR="00D86DD2" w:rsidRPr="00EC250C" w:rsidRDefault="00D86DD2" w:rsidP="00EC250C">
      <w:pPr>
        <w:pStyle w:val="Nagwek8"/>
      </w:pPr>
      <w:r w:rsidRPr="00EC250C">
        <w:lastRenderedPageBreak/>
        <w:t>Kto jest legalnym spadkobiercą, gdy wydano dwa sprzeczne postanowienia spadkowe? Pierwsza skarga nadzwyczajna RPO do Sądu Najwyższego</w:t>
      </w:r>
      <w:r w:rsidR="002E5301" w:rsidRPr="00EC250C">
        <w:t>, październik 2018</w:t>
      </w:r>
      <w:r w:rsidR="00C91F6E" w:rsidRPr="00EC250C">
        <w:t> </w:t>
      </w:r>
      <w:r w:rsidR="00C91F6E" w:rsidRPr="00EC250C">
        <w:rPr>
          <w:rFonts w:hint="eastAsia"/>
        </w:rPr>
        <w:t>r.</w:t>
      </w:r>
    </w:p>
    <w:p w14:paraId="45BB3208" w14:textId="77777777" w:rsidR="00C91F6E" w:rsidRPr="00EC250C" w:rsidRDefault="00B01CFE" w:rsidP="00D131FA">
      <w:pPr>
        <w:pStyle w:val="Styl2"/>
        <w:spacing w:before="240"/>
        <w:rPr>
          <w:szCs w:val="24"/>
        </w:rPr>
      </w:pPr>
      <w:r w:rsidRPr="00EC250C">
        <w:rPr>
          <w:szCs w:val="24"/>
        </w:rPr>
        <w:t>Sprawa ta wyszła na jaw przypadkowo u notariusza, przy okazji zamiaru sprzedaży nieruchomości wchodzącej</w:t>
      </w:r>
      <w:r w:rsidR="00992FD0" w:rsidRPr="00EC250C">
        <w:rPr>
          <w:szCs w:val="24"/>
        </w:rPr>
        <w:t xml:space="preserve"> w </w:t>
      </w:r>
      <w:r w:rsidRPr="00EC250C">
        <w:rPr>
          <w:szCs w:val="24"/>
        </w:rPr>
        <w:t xml:space="preserve">skład spadku. </w:t>
      </w:r>
      <w:r w:rsidR="00D86DD2" w:rsidRPr="00EC250C">
        <w:rPr>
          <w:szCs w:val="24"/>
        </w:rPr>
        <w:t>Okazało się, że</w:t>
      </w:r>
      <w:r w:rsidR="00992FD0" w:rsidRPr="00EC250C">
        <w:rPr>
          <w:szCs w:val="24"/>
        </w:rPr>
        <w:t xml:space="preserve"> w </w:t>
      </w:r>
      <w:r w:rsidR="00D86DD2" w:rsidRPr="00EC250C">
        <w:rPr>
          <w:szCs w:val="24"/>
        </w:rPr>
        <w:t>obrocie funkcjonowały dwa sprzeczne ze sobą prawomocne postanowienia</w:t>
      </w:r>
      <w:r w:rsidR="00992FD0" w:rsidRPr="00EC250C">
        <w:rPr>
          <w:szCs w:val="24"/>
        </w:rPr>
        <w:t xml:space="preserve"> o </w:t>
      </w:r>
      <w:r w:rsidR="00D86DD2" w:rsidRPr="00EC250C">
        <w:rPr>
          <w:szCs w:val="24"/>
        </w:rPr>
        <w:t>stwierdzeniu nabycia spadku.</w:t>
      </w:r>
    </w:p>
    <w:p w14:paraId="397B2FA1" w14:textId="77777777" w:rsidR="00C91F6E" w:rsidRPr="00EC250C" w:rsidRDefault="00D86DD2" w:rsidP="00D131FA">
      <w:pPr>
        <w:pStyle w:val="Styl2"/>
        <w:rPr>
          <w:szCs w:val="24"/>
        </w:rPr>
      </w:pPr>
      <w:r w:rsidRPr="00EC250C">
        <w:rPr>
          <w:szCs w:val="24"/>
        </w:rPr>
        <w:t>Takie błędy, choć nie powinny, zdarzają się. Jeszcze</w:t>
      </w:r>
      <w:r w:rsidR="00992FD0" w:rsidRPr="00EC250C">
        <w:rPr>
          <w:szCs w:val="24"/>
        </w:rPr>
        <w:t xml:space="preserve"> w </w:t>
      </w:r>
      <w:r w:rsidRPr="00EC250C">
        <w:rPr>
          <w:szCs w:val="24"/>
        </w:rPr>
        <w:t>2011</w:t>
      </w:r>
      <w:r w:rsidR="00C91F6E" w:rsidRPr="00EC250C">
        <w:rPr>
          <w:szCs w:val="24"/>
        </w:rPr>
        <w:t> r.</w:t>
      </w:r>
      <w:r w:rsidRPr="00EC250C">
        <w:rPr>
          <w:szCs w:val="24"/>
        </w:rPr>
        <w:t xml:space="preserve"> </w:t>
      </w:r>
      <w:r w:rsidR="00C079A6" w:rsidRPr="00EC250C">
        <w:rPr>
          <w:szCs w:val="24"/>
        </w:rPr>
        <w:t>RPO</w:t>
      </w:r>
      <w:r w:rsidRPr="00EC250C">
        <w:rPr>
          <w:szCs w:val="24"/>
        </w:rPr>
        <w:t xml:space="preserve"> próbował rozwiązać ten problem od strony generalnej, kierując pytanie prawne do Sądu Najwyższego</w:t>
      </w:r>
      <w:r w:rsidRPr="00EC250C">
        <w:rPr>
          <w:szCs w:val="24"/>
          <w:vertAlign w:val="superscript"/>
        </w:rPr>
        <w:footnoteReference w:id="247"/>
      </w:r>
      <w:r w:rsidRPr="00EC250C">
        <w:rPr>
          <w:szCs w:val="24"/>
        </w:rPr>
        <w:t>. Procedura cywilna przewiduje dwa konkurencyjne tryby: zmiany postanowienia spadkowego bądź wznowienia postępowania</w:t>
      </w:r>
      <w:r w:rsidR="00B01CFE" w:rsidRPr="00EC250C">
        <w:rPr>
          <w:szCs w:val="24"/>
        </w:rPr>
        <w:t>.</w:t>
      </w:r>
      <w:r w:rsidRPr="00EC250C">
        <w:rPr>
          <w:szCs w:val="24"/>
        </w:rPr>
        <w:t xml:space="preserve"> </w:t>
      </w:r>
      <w:r w:rsidR="00B01CFE" w:rsidRPr="00EC250C">
        <w:rPr>
          <w:szCs w:val="24"/>
        </w:rPr>
        <w:t>N</w:t>
      </w:r>
      <w:r w:rsidRPr="00EC250C">
        <w:rPr>
          <w:szCs w:val="24"/>
        </w:rPr>
        <w:t>ie było wówczas jasne, który</w:t>
      </w:r>
      <w:r w:rsidR="00992FD0" w:rsidRPr="00EC250C">
        <w:rPr>
          <w:szCs w:val="24"/>
        </w:rPr>
        <w:t xml:space="preserve"> z </w:t>
      </w:r>
      <w:r w:rsidRPr="00EC250C">
        <w:rPr>
          <w:szCs w:val="24"/>
        </w:rPr>
        <w:t>nich jest właściwy. Ponieważ Sąd Najwyższy przyjął</w:t>
      </w:r>
      <w:r w:rsidRPr="00EC250C">
        <w:rPr>
          <w:szCs w:val="24"/>
          <w:vertAlign w:val="superscript"/>
        </w:rPr>
        <w:footnoteReference w:id="248"/>
      </w:r>
      <w:r w:rsidRPr="00EC250C">
        <w:rPr>
          <w:szCs w:val="24"/>
        </w:rPr>
        <w:t>, że takie błędy należy korygować</w:t>
      </w:r>
      <w:r w:rsidR="00992FD0" w:rsidRPr="00EC250C">
        <w:rPr>
          <w:szCs w:val="24"/>
        </w:rPr>
        <w:t xml:space="preserve"> w </w:t>
      </w:r>
      <w:r w:rsidRPr="00EC250C">
        <w:rPr>
          <w:szCs w:val="24"/>
        </w:rPr>
        <w:t>postępowaniu wznowieniowym,</w:t>
      </w:r>
      <w:r w:rsidR="00C079A6" w:rsidRPr="00EC250C">
        <w:rPr>
          <w:szCs w:val="24"/>
        </w:rPr>
        <w:t xml:space="preserve"> RPO</w:t>
      </w:r>
      <w:r w:rsidRPr="00EC250C">
        <w:rPr>
          <w:szCs w:val="24"/>
        </w:rPr>
        <w:t xml:space="preserve"> zwrócił się</w:t>
      </w:r>
      <w:r w:rsidRPr="00EC250C">
        <w:rPr>
          <w:szCs w:val="24"/>
          <w:vertAlign w:val="superscript"/>
        </w:rPr>
        <w:footnoteReference w:id="249"/>
      </w:r>
      <w:r w:rsidRPr="00EC250C">
        <w:rPr>
          <w:szCs w:val="24"/>
        </w:rPr>
        <w:t xml:space="preserve"> do Ministra Sprawiedliwości podnosząc, że wznowić postępowanie można</w:t>
      </w:r>
      <w:r w:rsidR="00992FD0" w:rsidRPr="00EC250C">
        <w:rPr>
          <w:szCs w:val="24"/>
        </w:rPr>
        <w:t xml:space="preserve"> w </w:t>
      </w:r>
      <w:r w:rsidRPr="00EC250C">
        <w:rPr>
          <w:szCs w:val="24"/>
        </w:rPr>
        <w:t>ciągu trzech miesięcy od dowiedzenia się</w:t>
      </w:r>
      <w:r w:rsidR="00992FD0" w:rsidRPr="00EC250C">
        <w:rPr>
          <w:szCs w:val="24"/>
        </w:rPr>
        <w:t xml:space="preserve"> o </w:t>
      </w:r>
      <w:r w:rsidRPr="00EC250C">
        <w:rPr>
          <w:szCs w:val="24"/>
        </w:rPr>
        <w:t>podstawie wznowienia, ale najpóźniej</w:t>
      </w:r>
      <w:r w:rsidR="00992FD0" w:rsidRPr="00EC250C">
        <w:rPr>
          <w:szCs w:val="24"/>
        </w:rPr>
        <w:t xml:space="preserve"> w </w:t>
      </w:r>
      <w:r w:rsidRPr="00EC250C">
        <w:rPr>
          <w:szCs w:val="24"/>
        </w:rPr>
        <w:t>terminie 5 lat od uprawomocnienia się orzeczenia (obecnie – 10 lat). Co jednak zrobić, gdy te terminy upłyną? Co wtedy, gdy oba orzeczenia są wadliwe?</w:t>
      </w:r>
    </w:p>
    <w:p w14:paraId="45DEFB58" w14:textId="77777777" w:rsidR="00D86DD2" w:rsidRPr="00EC250C" w:rsidRDefault="00D86DD2" w:rsidP="00D131FA">
      <w:pPr>
        <w:pStyle w:val="Styl2"/>
        <w:rPr>
          <w:szCs w:val="24"/>
        </w:rPr>
      </w:pPr>
      <w:r w:rsidRPr="00EC250C">
        <w:rPr>
          <w:szCs w:val="24"/>
        </w:rPr>
        <w:t>Taki stan rzeczy blokuje przecież działania spadkobierców</w:t>
      </w:r>
      <w:r w:rsidR="00B01CFE" w:rsidRPr="00EC250C">
        <w:rPr>
          <w:szCs w:val="24"/>
        </w:rPr>
        <w:t>,</w:t>
      </w:r>
      <w:r w:rsidRPr="00EC250C">
        <w:rPr>
          <w:szCs w:val="24"/>
        </w:rPr>
        <w:t xml:space="preserve"> naraża </w:t>
      </w:r>
      <w:r w:rsidR="00B01CFE" w:rsidRPr="00EC250C">
        <w:rPr>
          <w:szCs w:val="24"/>
        </w:rPr>
        <w:t xml:space="preserve">też </w:t>
      </w:r>
      <w:r w:rsidRPr="00EC250C">
        <w:rPr>
          <w:szCs w:val="24"/>
        </w:rPr>
        <w:t>osoby trzecie na zawieranie umów</w:t>
      </w:r>
      <w:r w:rsidR="00992FD0" w:rsidRPr="00EC250C">
        <w:rPr>
          <w:szCs w:val="24"/>
        </w:rPr>
        <w:t xml:space="preserve"> z </w:t>
      </w:r>
      <w:r w:rsidRPr="00EC250C">
        <w:rPr>
          <w:szCs w:val="24"/>
        </w:rPr>
        <w:t>osobami, które</w:t>
      </w:r>
      <w:r w:rsidR="00992FD0" w:rsidRPr="00EC250C">
        <w:rPr>
          <w:szCs w:val="24"/>
        </w:rPr>
        <w:t xml:space="preserve"> w </w:t>
      </w:r>
      <w:r w:rsidRPr="00EC250C">
        <w:rPr>
          <w:szCs w:val="24"/>
        </w:rPr>
        <w:t>rzeczywistości spadkobiercami nie są. Minister uznał jednak, że nie ma potrzeby zmiany prawa.</w:t>
      </w:r>
    </w:p>
    <w:p w14:paraId="165D403B" w14:textId="77777777" w:rsidR="00C91F6E" w:rsidRPr="00EC250C" w:rsidRDefault="00D86DD2" w:rsidP="00D131FA">
      <w:pPr>
        <w:pStyle w:val="Styl2"/>
        <w:rPr>
          <w:szCs w:val="24"/>
        </w:rPr>
      </w:pPr>
      <w:r w:rsidRPr="00EC250C">
        <w:rPr>
          <w:szCs w:val="24"/>
        </w:rPr>
        <w:t>Skutkiem zaniechania są właśnie takie sytuacje jak opisana na wstępie. Nie jest to zresztą przypadek jednostkowy – do Biura RPO wpływa więcej takich skarg.</w:t>
      </w:r>
    </w:p>
    <w:p w14:paraId="1275C212" w14:textId="77777777" w:rsidR="00D86DD2" w:rsidRPr="00EC250C" w:rsidRDefault="00D86DD2" w:rsidP="00D131FA">
      <w:pPr>
        <w:pStyle w:val="Styl2"/>
        <w:rPr>
          <w:szCs w:val="24"/>
        </w:rPr>
      </w:pPr>
      <w:r w:rsidRPr="00EC250C">
        <w:rPr>
          <w:szCs w:val="24"/>
        </w:rPr>
        <w:t>W tej sprawie jedynym rozwiązaniem pozostawało skorzystanie</w:t>
      </w:r>
      <w:r w:rsidR="00992FD0" w:rsidRPr="00EC250C">
        <w:rPr>
          <w:szCs w:val="24"/>
        </w:rPr>
        <w:t xml:space="preserve"> z </w:t>
      </w:r>
      <w:r w:rsidRPr="00EC250C">
        <w:rPr>
          <w:szCs w:val="24"/>
        </w:rPr>
        <w:t>nowego uprawnienia –skargi nadzwyczajnej do Sądu Najwyższego. Tak szczególny</w:t>
      </w:r>
      <w:r w:rsidR="00992FD0" w:rsidRPr="00EC250C">
        <w:rPr>
          <w:szCs w:val="24"/>
        </w:rPr>
        <w:t xml:space="preserve"> i </w:t>
      </w:r>
      <w:r w:rsidRPr="00EC250C">
        <w:rPr>
          <w:szCs w:val="24"/>
        </w:rPr>
        <w:t>nadzwyczajny środek nie jest jednak prawidłowym rozwiązaniem problemu,</w:t>
      </w:r>
      <w:r w:rsidR="00992FD0" w:rsidRPr="00EC250C">
        <w:rPr>
          <w:szCs w:val="24"/>
        </w:rPr>
        <w:t xml:space="preserve"> </w:t>
      </w:r>
      <w:r w:rsidRPr="00EC250C">
        <w:rPr>
          <w:szCs w:val="24"/>
        </w:rPr>
        <w:t>który</w:t>
      </w:r>
      <w:r w:rsidR="00992FD0" w:rsidRPr="00EC250C">
        <w:rPr>
          <w:szCs w:val="24"/>
        </w:rPr>
        <w:t xml:space="preserve"> z </w:t>
      </w:r>
      <w:r w:rsidRPr="00EC250C">
        <w:rPr>
          <w:szCs w:val="24"/>
        </w:rPr>
        <w:t>istoty swojej ma charakter systemowy</w:t>
      </w:r>
      <w:r w:rsidR="00992FD0" w:rsidRPr="00EC250C">
        <w:rPr>
          <w:szCs w:val="24"/>
        </w:rPr>
        <w:t xml:space="preserve"> i </w:t>
      </w:r>
      <w:r w:rsidRPr="00EC250C">
        <w:rPr>
          <w:szCs w:val="24"/>
        </w:rPr>
        <w:t>wynika przede wszystkim</w:t>
      </w:r>
      <w:r w:rsidR="00992FD0" w:rsidRPr="00EC250C">
        <w:rPr>
          <w:szCs w:val="24"/>
        </w:rPr>
        <w:t xml:space="preserve"> z </w:t>
      </w:r>
      <w:r w:rsidRPr="00EC250C">
        <w:rPr>
          <w:szCs w:val="24"/>
        </w:rPr>
        <w:t>braku rozwiązań ustawowych. Przypadek postanowienia spadkowego jest zaś</w:t>
      </w:r>
      <w:r w:rsidR="00992FD0" w:rsidRPr="00EC250C">
        <w:rPr>
          <w:szCs w:val="24"/>
        </w:rPr>
        <w:t xml:space="preserve"> o </w:t>
      </w:r>
      <w:r w:rsidRPr="00EC250C">
        <w:rPr>
          <w:szCs w:val="24"/>
        </w:rPr>
        <w:t>tyle szczególny, że stanowi ono jedyny dowód nabycia całości praw do spadku (i długów spadkowych) przez konkretne osoby.</w:t>
      </w:r>
    </w:p>
    <w:p w14:paraId="4AA2ED94" w14:textId="1A2106F2" w:rsidR="00D86DD2" w:rsidRPr="00EC250C" w:rsidRDefault="00D86DD2" w:rsidP="00D131FA">
      <w:pPr>
        <w:pStyle w:val="Styl2"/>
        <w:rPr>
          <w:szCs w:val="24"/>
        </w:rPr>
      </w:pPr>
      <w:r w:rsidRPr="00EC250C">
        <w:rPr>
          <w:szCs w:val="24"/>
        </w:rPr>
        <w:t>Skargę tę Sąd Najwyższy rozpatrzył</w:t>
      </w:r>
      <w:r w:rsidR="00992FD0" w:rsidRPr="00EC250C">
        <w:rPr>
          <w:szCs w:val="24"/>
        </w:rPr>
        <w:t xml:space="preserve"> w </w:t>
      </w:r>
      <w:r w:rsidRPr="00EC250C">
        <w:rPr>
          <w:szCs w:val="24"/>
        </w:rPr>
        <w:t>2019</w:t>
      </w:r>
      <w:r w:rsidR="00C91F6E" w:rsidRPr="00EC250C">
        <w:rPr>
          <w:szCs w:val="24"/>
        </w:rPr>
        <w:t> r.</w:t>
      </w:r>
      <w:r w:rsidR="00E26F68" w:rsidRPr="00EC250C">
        <w:rPr>
          <w:szCs w:val="24"/>
        </w:rPr>
        <w:t xml:space="preserve"> Zgodnie z wnisokiem Rzecznika, SN uchylił drugie postanowienie spadkowe, pozostawiając w mocy pierwsze</w:t>
      </w:r>
      <w:r w:rsidR="00E26F68" w:rsidRPr="00EC250C">
        <w:rPr>
          <w:rFonts w:ascii="Open Sans Regular" w:hAnsi="Open Sans Regular"/>
          <w:color w:val="18223E"/>
          <w:sz w:val="21"/>
          <w:szCs w:val="20"/>
          <w:shd w:val="clear" w:color="auto" w:fill="FFFFFF"/>
        </w:rPr>
        <w:t>.</w:t>
      </w:r>
      <w:r w:rsidRPr="00EC250C">
        <w:rPr>
          <w:rStyle w:val="Odwoanieprzypisudolnego"/>
          <w:szCs w:val="24"/>
        </w:rPr>
        <w:footnoteReference w:id="250"/>
      </w:r>
      <w:r w:rsidRPr="00EC250C">
        <w:rPr>
          <w:szCs w:val="24"/>
        </w:rPr>
        <w:br w:type="page"/>
      </w:r>
    </w:p>
    <w:p w14:paraId="678113B7" w14:textId="0D9406A0" w:rsidR="00C91F6E" w:rsidRPr="00EC250C" w:rsidRDefault="004E4390" w:rsidP="00EC250C">
      <w:pPr>
        <w:pStyle w:val="Nagwek3"/>
      </w:pPr>
      <w:bookmarkStart w:id="246" w:name="_Toc11247629"/>
      <w:r w:rsidRPr="00EC250C">
        <w:lastRenderedPageBreak/>
        <w:t xml:space="preserve">Art. 46 </w:t>
      </w:r>
      <w:r w:rsidR="006302BF" w:rsidRPr="00EC250C">
        <w:t xml:space="preserve">Konstytucji </w:t>
      </w:r>
      <w:r w:rsidRPr="00EC250C">
        <w:t>– Przepadek rzeczy</w:t>
      </w:r>
      <w:bookmarkEnd w:id="221"/>
      <w:bookmarkEnd w:id="246"/>
    </w:p>
    <w:p w14:paraId="5DDE4239" w14:textId="77777777" w:rsidR="004E4390" w:rsidRPr="00EC250C" w:rsidRDefault="004E4390" w:rsidP="00D131FA">
      <w:pPr>
        <w:pStyle w:val="konstytucja"/>
        <w:jc w:val="both"/>
      </w:pPr>
      <w:r w:rsidRPr="00EC250C">
        <w:t>Przepadek rzeczy może nastąpić tylko</w:t>
      </w:r>
      <w:r w:rsidR="00992FD0" w:rsidRPr="00EC250C">
        <w:t xml:space="preserve"> w </w:t>
      </w:r>
      <w:r w:rsidRPr="00EC250C">
        <w:t>przypadkach określonych</w:t>
      </w:r>
      <w:r w:rsidR="00992FD0" w:rsidRPr="00EC250C">
        <w:t xml:space="preserve"> w </w:t>
      </w:r>
      <w:r w:rsidRPr="00EC250C">
        <w:t>ustawie</w:t>
      </w:r>
      <w:r w:rsidR="00992FD0" w:rsidRPr="00EC250C">
        <w:t xml:space="preserve"> i </w:t>
      </w:r>
      <w:r w:rsidRPr="00EC250C">
        <w:t>tylko na podstawie prawomocnego orzeczenia sądu.</w:t>
      </w:r>
    </w:p>
    <w:p w14:paraId="329F7061" w14:textId="77777777" w:rsidR="00C91F6E" w:rsidRPr="00EC250C" w:rsidRDefault="009F4019" w:rsidP="00D131FA">
      <w:pPr>
        <w:pStyle w:val="ComwiKonstytucja"/>
      </w:pPr>
      <w:r w:rsidRPr="00EC250C">
        <w:t>Artykuł ten nawiązuje bezpośrednio do prawa własności jednostki, uregulowanego</w:t>
      </w:r>
      <w:r w:rsidR="00992FD0" w:rsidRPr="00EC250C">
        <w:t xml:space="preserve"> w </w:t>
      </w:r>
      <w:r w:rsidRPr="00EC250C">
        <w:t>artykule 64 Konstytucji. Umieszczenie tej regulacji</w:t>
      </w:r>
      <w:r w:rsidR="00992FD0" w:rsidRPr="00EC250C">
        <w:t xml:space="preserve"> w </w:t>
      </w:r>
      <w:r w:rsidRPr="00EC250C">
        <w:t>podrozdziale dotyczącym wolności osobistych stanowi wzmocnienie instytucji prawa własności</w:t>
      </w:r>
      <w:r w:rsidR="00992FD0" w:rsidRPr="00EC250C">
        <w:t xml:space="preserve"> i </w:t>
      </w:r>
      <w:r w:rsidRPr="00EC250C">
        <w:t>wyklucza pozbawienie jednostki własności całości posiadanych przez nią dóbr.</w:t>
      </w:r>
    </w:p>
    <w:p w14:paraId="29A713C1" w14:textId="77777777" w:rsidR="00C91F6E" w:rsidRPr="00EC250C" w:rsidRDefault="009F4019" w:rsidP="00D131FA">
      <w:pPr>
        <w:pStyle w:val="ComwiKonstytucja"/>
      </w:pPr>
      <w:r w:rsidRPr="00EC250C">
        <w:t>Własność nie może być nikomu odebrania ani przez akt ustawodawczy, ani wykonawczy. Dopuszczalne jest natomiast wywłaszczenie (art. 21), które nie oznacza „przepadku rzeczy”</w:t>
      </w:r>
      <w:r w:rsidR="00992FD0" w:rsidRPr="00EC250C">
        <w:t xml:space="preserve"> w </w:t>
      </w:r>
      <w:r w:rsidRPr="00EC250C">
        <w:t>związku</w:t>
      </w:r>
      <w:r w:rsidR="00992FD0" w:rsidRPr="00EC250C">
        <w:t xml:space="preserve"> z </w:t>
      </w:r>
      <w:r w:rsidRPr="00EC250C">
        <w:t>konstytucyjnym nakazem „słusznego odszkodowania”, który rekompensuje utracone dobro.</w:t>
      </w:r>
    </w:p>
    <w:p w14:paraId="09AD96C7" w14:textId="77777777" w:rsidR="00A23EBD" w:rsidRPr="00EC250C" w:rsidRDefault="009F4019" w:rsidP="00D131FA">
      <w:pPr>
        <w:pStyle w:val="ComwiKonstytucja"/>
      </w:pPr>
      <w:r w:rsidRPr="00EC250C">
        <w:t>Jedynie sądy poprzez prawomocne orzeczenia mogą orzekać</w:t>
      </w:r>
      <w:r w:rsidR="00992FD0" w:rsidRPr="00EC250C">
        <w:t xml:space="preserve"> o </w:t>
      </w:r>
      <w:r w:rsidRPr="00EC250C">
        <w:t>pozbawieniu własności, jeśli</w:t>
      </w:r>
      <w:r w:rsidR="00992FD0" w:rsidRPr="00EC250C">
        <w:t xml:space="preserve"> w </w:t>
      </w:r>
      <w:r w:rsidRPr="00EC250C">
        <w:t>danej sytuacji przewiduje to ustawa.</w:t>
      </w:r>
    </w:p>
    <w:p w14:paraId="637E0497" w14:textId="77777777" w:rsidR="00EE09AA" w:rsidRPr="00EC250C" w:rsidRDefault="00EE09AA" w:rsidP="00D131FA">
      <w:pPr>
        <w:pStyle w:val="ComwiKonstytucja"/>
      </w:pPr>
    </w:p>
    <w:p w14:paraId="74830CD0" w14:textId="77777777" w:rsidR="00171219" w:rsidRPr="00EC250C" w:rsidRDefault="00171219" w:rsidP="00D131FA">
      <w:pPr>
        <w:spacing w:after="200" w:line="24" w:lineRule="auto"/>
        <w:jc w:val="both"/>
        <w:rPr>
          <w:spacing w:val="5"/>
          <w:sz w:val="24"/>
        </w:rPr>
      </w:pPr>
    </w:p>
    <w:p w14:paraId="628F8058" w14:textId="77777777" w:rsidR="003A37B1" w:rsidRPr="00EC250C" w:rsidRDefault="006E0410" w:rsidP="00D131FA">
      <w:pPr>
        <w:pStyle w:val="Styl1"/>
      </w:pPr>
      <w:r w:rsidRPr="00EC250C">
        <w:t>W 2018</w:t>
      </w:r>
      <w:r w:rsidR="00C91F6E" w:rsidRPr="00EC250C">
        <w:t> r.</w:t>
      </w:r>
      <w:r w:rsidRPr="00EC250C">
        <w:t xml:space="preserve"> nie odnotowano wpływu skarg, które wskazywałyby na naruszenie gwarancji wynikających</w:t>
      </w:r>
      <w:r w:rsidR="00992FD0" w:rsidRPr="00EC250C">
        <w:t xml:space="preserve"> z </w:t>
      </w:r>
      <w:r w:rsidRPr="00EC250C">
        <w:t>art. 46 Konstytucji.</w:t>
      </w:r>
      <w:r w:rsidR="00171219" w:rsidRPr="00EC250C">
        <w:t xml:space="preserve"> Jednocześnie procedowane były projekty zmian prawa, które to konstytucyjne prawo obywateli mogą naruszyć.</w:t>
      </w:r>
    </w:p>
    <w:p w14:paraId="363BA8AE" w14:textId="77777777" w:rsidR="003A37B1" w:rsidRPr="00EC250C" w:rsidRDefault="003A37B1" w:rsidP="00D131FA">
      <w:pPr>
        <w:spacing w:after="200" w:line="24" w:lineRule="auto"/>
        <w:jc w:val="both"/>
        <w:rPr>
          <w:spacing w:val="5"/>
          <w:sz w:val="22"/>
        </w:rPr>
      </w:pPr>
      <w:r w:rsidRPr="00EC250C">
        <w:rPr>
          <w:sz w:val="24"/>
        </w:rPr>
        <w:br w:type="page"/>
      </w:r>
    </w:p>
    <w:p w14:paraId="29C2E697" w14:textId="77777777" w:rsidR="009F4019" w:rsidRPr="00EC250C" w:rsidRDefault="00B01C06" w:rsidP="00EC79EB">
      <w:pPr>
        <w:pStyle w:val="Nagwek4"/>
        <w:rPr>
          <w:spacing w:val="0"/>
        </w:rPr>
      </w:pPr>
      <w:bookmarkStart w:id="247" w:name="_Toc6257738"/>
      <w:bookmarkStart w:id="248" w:name="_Toc11247630"/>
      <w:r w:rsidRPr="00EC250C">
        <w:lastRenderedPageBreak/>
        <w:t>Czy kary wobec sp</w:t>
      </w:r>
      <w:r w:rsidR="00FB6DA2" w:rsidRPr="00EC250C">
        <w:t>ółek mogą doprowadzić do przepadku majątku?</w:t>
      </w:r>
      <w:r w:rsidR="00CC4D88" w:rsidRPr="00EC250C">
        <w:t xml:space="preserve"> </w:t>
      </w:r>
      <w:r w:rsidR="009F4019" w:rsidRPr="00EC250C">
        <w:t>RPO krytycznie</w:t>
      </w:r>
      <w:r w:rsidR="00992FD0" w:rsidRPr="00EC250C">
        <w:t xml:space="preserve"> o </w:t>
      </w:r>
      <w:r w:rsidR="009F4019" w:rsidRPr="00EC250C">
        <w:t>projekcie odpowiedzialności karnej m.in. spółek</w:t>
      </w:r>
      <w:bookmarkEnd w:id="247"/>
      <w:bookmarkEnd w:id="248"/>
    </w:p>
    <w:p w14:paraId="3514FE5B" w14:textId="77777777" w:rsidR="00B473F5" w:rsidRPr="00EC250C" w:rsidRDefault="00907A50" w:rsidP="00D131FA">
      <w:pPr>
        <w:pStyle w:val="Problemczowieka"/>
        <w:jc w:val="both"/>
        <w:rPr>
          <w:rStyle w:val="Pogrubienie"/>
          <w:b/>
          <w:bCs w:val="0"/>
        </w:rPr>
      </w:pPr>
      <w:r w:rsidRPr="00EC250C">
        <w:rPr>
          <w:rStyle w:val="Pogrubienie"/>
          <w:b/>
          <w:bCs w:val="0"/>
        </w:rPr>
        <w:t>Minister</w:t>
      </w:r>
      <w:r w:rsidR="00863D73" w:rsidRPr="00EC250C">
        <w:rPr>
          <w:rStyle w:val="Pogrubienie"/>
          <w:b/>
          <w:bCs w:val="0"/>
        </w:rPr>
        <w:t xml:space="preserve"> </w:t>
      </w:r>
      <w:r w:rsidRPr="00EC250C">
        <w:rPr>
          <w:rStyle w:val="Pogrubienie"/>
          <w:b/>
          <w:bCs w:val="0"/>
        </w:rPr>
        <w:t>S</w:t>
      </w:r>
      <w:r w:rsidR="00863D73" w:rsidRPr="00EC250C">
        <w:rPr>
          <w:rStyle w:val="Pogrubienie"/>
          <w:b/>
          <w:bCs w:val="0"/>
        </w:rPr>
        <w:t>prawiedliwości pracował</w:t>
      </w:r>
      <w:r w:rsidR="00992FD0" w:rsidRPr="00EC250C">
        <w:rPr>
          <w:rStyle w:val="Pogrubienie"/>
          <w:b/>
          <w:bCs w:val="0"/>
        </w:rPr>
        <w:t xml:space="preserve"> w </w:t>
      </w:r>
      <w:r w:rsidR="00863D73" w:rsidRPr="00EC250C">
        <w:rPr>
          <w:rStyle w:val="Pogrubienie"/>
          <w:b/>
          <w:bCs w:val="0"/>
        </w:rPr>
        <w:t>2018</w:t>
      </w:r>
      <w:r w:rsidR="00C91F6E" w:rsidRPr="00EC250C">
        <w:rPr>
          <w:rStyle w:val="Pogrubienie"/>
          <w:b/>
          <w:bCs w:val="0"/>
        </w:rPr>
        <w:t> r.</w:t>
      </w:r>
      <w:r w:rsidR="00863D73" w:rsidRPr="00EC250C">
        <w:rPr>
          <w:rStyle w:val="Pogrubienie"/>
          <w:b/>
          <w:bCs w:val="0"/>
        </w:rPr>
        <w:t xml:space="preserve"> nad projektem zmian</w:t>
      </w:r>
      <w:r w:rsidR="00992FD0" w:rsidRPr="00EC250C">
        <w:rPr>
          <w:rStyle w:val="Pogrubienie"/>
          <w:b/>
          <w:bCs w:val="0"/>
        </w:rPr>
        <w:t xml:space="preserve"> w </w:t>
      </w:r>
      <w:r w:rsidR="00863D73" w:rsidRPr="00EC250C">
        <w:rPr>
          <w:rStyle w:val="Pogrubienie"/>
          <w:b/>
          <w:bCs w:val="0"/>
        </w:rPr>
        <w:t>odpowiedzialności karnej podmiotów zbiorowych, m.in. spółek, za naruszenia prawa, których dopuszczają się ich władze</w:t>
      </w:r>
      <w:r w:rsidR="00992FD0" w:rsidRPr="00EC250C">
        <w:rPr>
          <w:rStyle w:val="Pogrubienie"/>
          <w:b/>
          <w:bCs w:val="0"/>
        </w:rPr>
        <w:t xml:space="preserve"> i </w:t>
      </w:r>
      <w:r w:rsidR="00863D73" w:rsidRPr="00EC250C">
        <w:rPr>
          <w:rStyle w:val="Pogrubienie"/>
          <w:b/>
          <w:bCs w:val="0"/>
        </w:rPr>
        <w:t>pracownicy. Zakładał on karę do 30 mln zł,</w:t>
      </w:r>
      <w:r w:rsidR="00992FD0" w:rsidRPr="00EC250C">
        <w:rPr>
          <w:rStyle w:val="Pogrubienie"/>
          <w:b/>
          <w:bCs w:val="0"/>
        </w:rPr>
        <w:t xml:space="preserve"> a </w:t>
      </w:r>
      <w:r w:rsidR="00863D73" w:rsidRPr="00EC250C">
        <w:rPr>
          <w:rStyle w:val="Pogrubienie"/>
          <w:b/>
          <w:bCs w:val="0"/>
        </w:rPr>
        <w:t>nawet likwidację spółki lub zakaz prowadzenia określonej działalności. Warunkiem odpowiedzialności nie byłoby już wcześniejsze prawomocne skazanie konkretnej osoby</w:t>
      </w:r>
      <w:r w:rsidR="00026572" w:rsidRPr="00EC250C">
        <w:rPr>
          <w:rStyle w:val="Pogrubienie"/>
          <w:b/>
          <w:bCs w:val="0"/>
        </w:rPr>
        <w:t xml:space="preserve"> – </w:t>
      </w:r>
      <w:r w:rsidR="00863D73" w:rsidRPr="00EC250C">
        <w:rPr>
          <w:rStyle w:val="Pogrubienie"/>
          <w:b/>
          <w:bCs w:val="0"/>
        </w:rPr>
        <w:t>jak</w:t>
      </w:r>
      <w:r w:rsidR="00392799" w:rsidRPr="00EC250C">
        <w:rPr>
          <w:rStyle w:val="Pogrubienie"/>
          <w:b/>
          <w:bCs w:val="0"/>
        </w:rPr>
        <w:t xml:space="preserve"> </w:t>
      </w:r>
      <w:r w:rsidR="00863D73" w:rsidRPr="00EC250C">
        <w:rPr>
          <w:rStyle w:val="Pogrubienie"/>
          <w:b/>
          <w:bCs w:val="0"/>
        </w:rPr>
        <w:t>dziś</w:t>
      </w:r>
      <w:r w:rsidR="00B473F5" w:rsidRPr="00EC250C">
        <w:rPr>
          <w:rStyle w:val="Pogrubienie"/>
          <w:b/>
          <w:bCs w:val="0"/>
        </w:rPr>
        <w:t>.</w:t>
      </w:r>
    </w:p>
    <w:p w14:paraId="016EB830" w14:textId="77777777" w:rsidR="00863D73" w:rsidRPr="00EC250C" w:rsidRDefault="00863D73" w:rsidP="00D131FA">
      <w:pPr>
        <w:pStyle w:val="Styl1"/>
      </w:pPr>
      <w:r w:rsidRPr="00EC250C">
        <w:rPr>
          <w:rStyle w:val="Pogrubienie"/>
          <w:b w:val="0"/>
          <w:bCs w:val="0"/>
        </w:rPr>
        <w:t>Według RPO odpowiedzialność spółek mo</w:t>
      </w:r>
      <w:r w:rsidR="00633CDF" w:rsidRPr="00EC250C">
        <w:rPr>
          <w:rStyle w:val="Pogrubienie"/>
          <w:b w:val="0"/>
          <w:bCs w:val="0"/>
        </w:rPr>
        <w:t xml:space="preserve">głaby </w:t>
      </w:r>
      <w:r w:rsidRPr="00EC250C">
        <w:rPr>
          <w:rStyle w:val="Pogrubienie"/>
          <w:b w:val="0"/>
          <w:bCs w:val="0"/>
        </w:rPr>
        <w:t>być</w:t>
      </w:r>
      <w:r w:rsidR="00EC31A3" w:rsidRPr="00EC250C">
        <w:rPr>
          <w:rStyle w:val="Pogrubienie"/>
          <w:b w:val="0"/>
          <w:bCs w:val="0"/>
        </w:rPr>
        <w:t xml:space="preserve"> </w:t>
      </w:r>
      <w:r w:rsidRPr="00EC250C">
        <w:rPr>
          <w:rStyle w:val="Pogrubienie"/>
          <w:b w:val="0"/>
          <w:bCs w:val="0"/>
        </w:rPr>
        <w:t>przez prokuraturę stosowana wybiórczo</w:t>
      </w:r>
      <w:r w:rsidR="00992FD0" w:rsidRPr="00EC250C">
        <w:rPr>
          <w:rStyle w:val="Pogrubienie"/>
          <w:b w:val="0"/>
          <w:bCs w:val="0"/>
        </w:rPr>
        <w:t xml:space="preserve"> i </w:t>
      </w:r>
      <w:r w:rsidRPr="00EC250C">
        <w:rPr>
          <w:rStyle w:val="Pogrubienie"/>
          <w:b w:val="0"/>
          <w:bCs w:val="0"/>
        </w:rPr>
        <w:t>instrumentalnie</w:t>
      </w:r>
      <w:r w:rsidR="00633CDF" w:rsidRPr="00EC250C">
        <w:rPr>
          <w:rStyle w:val="Pogrubienie"/>
          <w:b w:val="0"/>
          <w:bCs w:val="0"/>
        </w:rPr>
        <w:t>.</w:t>
      </w:r>
    </w:p>
    <w:p w14:paraId="0F9CB5B9" w14:textId="77777777" w:rsidR="00863D73" w:rsidRPr="00EC250C" w:rsidRDefault="00863D73" w:rsidP="00D131FA">
      <w:pPr>
        <w:pStyle w:val="Styl1"/>
      </w:pPr>
      <w:r w:rsidRPr="00EC250C">
        <w:t>Chodzi</w:t>
      </w:r>
      <w:r w:rsidR="00992FD0" w:rsidRPr="00EC250C">
        <w:t xml:space="preserve"> o </w:t>
      </w:r>
      <w:r w:rsidRPr="00EC250C">
        <w:t>projekt przepisów regulujących kwestię odpowiedzialności tzw. podmiotów zbiorowych. Są nimi: osoby prawne, jednostki organizacyjne niemające osobowości prawnej, której odrębne przepisy przyznają zdolność prawną, spółki handlowe</w:t>
      </w:r>
      <w:r w:rsidR="00992FD0" w:rsidRPr="00EC250C">
        <w:t xml:space="preserve"> z </w:t>
      </w:r>
      <w:r w:rsidRPr="00EC250C">
        <w:t>udziałem Skarbu Państwa, jednostki samorządu terytorialnego lub ich związki, spółki kapitałowe</w:t>
      </w:r>
      <w:r w:rsidR="00992FD0" w:rsidRPr="00EC250C">
        <w:t xml:space="preserve"> w </w:t>
      </w:r>
      <w:r w:rsidRPr="00EC250C">
        <w:t>organizacji, podmioty</w:t>
      </w:r>
      <w:r w:rsidR="00992FD0" w:rsidRPr="00EC250C">
        <w:t xml:space="preserve"> w </w:t>
      </w:r>
      <w:r w:rsidRPr="00EC250C">
        <w:t>stanie likwidacji, przedsiębiorcy niebędący osobami fizycznymi, zagraniczne jednostki organizacyjne.</w:t>
      </w:r>
    </w:p>
    <w:p w14:paraId="09F43B1A" w14:textId="77777777" w:rsidR="00863D73" w:rsidRPr="00EC250C" w:rsidRDefault="00863D73" w:rsidP="00D131FA">
      <w:pPr>
        <w:pStyle w:val="Styl1"/>
      </w:pPr>
      <w:r w:rsidRPr="00EC250C">
        <w:t>W ocenie RPO </w:t>
      </w:r>
      <w:r w:rsidRPr="00EC250C">
        <w:rPr>
          <w:rStyle w:val="Pogrubienie"/>
          <w:b w:val="0"/>
          <w:bCs w:val="0"/>
        </w:rPr>
        <w:t>projekt</w:t>
      </w:r>
      <w:r w:rsidR="00992FD0" w:rsidRPr="00EC250C">
        <w:rPr>
          <w:rStyle w:val="Pogrubienie"/>
          <w:b w:val="0"/>
          <w:bCs w:val="0"/>
        </w:rPr>
        <w:t xml:space="preserve"> w </w:t>
      </w:r>
      <w:r w:rsidRPr="00EC250C">
        <w:rPr>
          <w:rStyle w:val="Pogrubienie"/>
          <w:b w:val="0"/>
          <w:bCs w:val="0"/>
        </w:rPr>
        <w:t>istocie zrywa</w:t>
      </w:r>
      <w:r w:rsidR="00633CDF" w:rsidRPr="00EC250C">
        <w:rPr>
          <w:rStyle w:val="Pogrubienie"/>
          <w:b w:val="0"/>
          <w:bCs w:val="0"/>
        </w:rPr>
        <w:t>ł</w:t>
      </w:r>
      <w:r w:rsidR="00992FD0" w:rsidRPr="00EC250C">
        <w:rPr>
          <w:rStyle w:val="Pogrubienie"/>
          <w:b w:val="0"/>
          <w:bCs w:val="0"/>
        </w:rPr>
        <w:t xml:space="preserve"> z </w:t>
      </w:r>
      <w:r w:rsidRPr="00EC250C">
        <w:rPr>
          <w:rStyle w:val="Pogrubienie"/>
          <w:b w:val="0"/>
          <w:bCs w:val="0"/>
        </w:rPr>
        <w:t>koncepcją odpowiedzialności opartej na winie</w:t>
      </w:r>
      <w:r w:rsidRPr="00EC250C">
        <w:t xml:space="preserve">. Do przypisania danemu podmiotowi odpowiedzialności wystarczające </w:t>
      </w:r>
      <w:r w:rsidR="00633CDF" w:rsidRPr="00EC250C">
        <w:t xml:space="preserve">byłoby </w:t>
      </w:r>
      <w:r w:rsidRPr="00EC250C">
        <w:t>bowiem stwierdzenie, że miał miejsce czyn zabroniony, bez konieczności ustalania konkretnego sprawcy (aby dziś podmiot zbiorowy mógł zostać pociągnięty do odpowiedzialności, konieczne jest wydanie orzeczenia wobec konkretnej osoby, która działała</w:t>
      </w:r>
      <w:r w:rsidR="00992FD0" w:rsidRPr="00EC250C">
        <w:t xml:space="preserve"> w </w:t>
      </w:r>
      <w:r w:rsidRPr="00EC250C">
        <w:t>jego imieniu).</w:t>
      </w:r>
    </w:p>
    <w:p w14:paraId="798BF898" w14:textId="77777777" w:rsidR="00863D73" w:rsidRPr="00EC250C" w:rsidRDefault="00863D73" w:rsidP="00D131FA">
      <w:pPr>
        <w:pStyle w:val="Styl1"/>
      </w:pPr>
      <w:r w:rsidRPr="00EC250C">
        <w:t>Zgodnie</w:t>
      </w:r>
      <w:r w:rsidR="00992FD0" w:rsidRPr="00EC250C">
        <w:t xml:space="preserve"> z </w:t>
      </w:r>
      <w:r w:rsidRPr="00EC250C">
        <w:t>projektem odpowiedzialność byłaby możliwa nawet, jeśli sprawca p</w:t>
      </w:r>
      <w:r w:rsidR="00633CDF" w:rsidRPr="00EC250C">
        <w:t>r</w:t>
      </w:r>
      <w:r w:rsidRPr="00EC250C">
        <w:t>zestępstwa nie ponosi odpowiedzialności (np.</w:t>
      </w:r>
      <w:r w:rsidR="00992FD0" w:rsidRPr="00EC250C">
        <w:t xml:space="preserve"> z </w:t>
      </w:r>
      <w:r w:rsidRPr="00EC250C">
        <w:t>braku winy).</w:t>
      </w:r>
    </w:p>
    <w:p w14:paraId="09CCE4DB" w14:textId="77777777" w:rsidR="00863D73" w:rsidRPr="00EC250C" w:rsidRDefault="00863D73" w:rsidP="00D131FA">
      <w:pPr>
        <w:pStyle w:val="Styl1"/>
      </w:pPr>
      <w:r w:rsidRPr="00EC250C">
        <w:t xml:space="preserve">RPO </w:t>
      </w:r>
      <w:r w:rsidR="00633CDF" w:rsidRPr="00EC250C">
        <w:t>za</w:t>
      </w:r>
      <w:r w:rsidRPr="00EC250C">
        <w:t>uważ</w:t>
      </w:r>
      <w:r w:rsidR="00633CDF" w:rsidRPr="00EC250C">
        <w:t>ył</w:t>
      </w:r>
      <w:r w:rsidRPr="00EC250C">
        <w:t>, że choć konieczność oczekiwania na prawomocne orzeczenie sądu</w:t>
      </w:r>
      <w:r w:rsidR="00992FD0" w:rsidRPr="00EC250C">
        <w:t xml:space="preserve"> w </w:t>
      </w:r>
      <w:r w:rsidRPr="00EC250C">
        <w:t>sprawie przeciwko osobie fizycznej stanowi pewną barierę przed pociągnięciem do odpowiedzialności podmiotu zbiorowego, to tylko ten warunek daje gwarancję zasadnego przypisania tej odpowiedzialności. Jeśli bowiem sprawca czynu „bazowego” nie odpowiada za przestępstwo, które popełnił</w:t>
      </w:r>
      <w:r w:rsidR="00026572" w:rsidRPr="00EC250C">
        <w:t xml:space="preserve"> – </w:t>
      </w:r>
      <w:r w:rsidRPr="00EC250C">
        <w:t>bo np. występują okoliczności wyłączające tę odpowiedzialność</w:t>
      </w:r>
      <w:r w:rsidR="00026572" w:rsidRPr="00EC250C">
        <w:t xml:space="preserve"> – </w:t>
      </w:r>
      <w:r w:rsidRPr="00EC250C">
        <w:t xml:space="preserve">za nieproporcjonalne należy uznać przypisywanie odpowiedzialności podmiotowi zbiorowemu. </w:t>
      </w:r>
      <w:r w:rsidRPr="00EC250C">
        <w:rPr>
          <w:rStyle w:val="Pogrubienie"/>
          <w:b w:val="0"/>
          <w:bCs w:val="0"/>
        </w:rPr>
        <w:t>Stanowiłoby to pułapkę legislacyjną zastawioną na osoby działające</w:t>
      </w:r>
      <w:r w:rsidR="00992FD0" w:rsidRPr="00EC250C">
        <w:rPr>
          <w:rStyle w:val="Pogrubienie"/>
          <w:b w:val="0"/>
          <w:bCs w:val="0"/>
        </w:rPr>
        <w:t xml:space="preserve"> w </w:t>
      </w:r>
      <w:r w:rsidRPr="00EC250C">
        <w:rPr>
          <w:rStyle w:val="Pogrubienie"/>
          <w:b w:val="0"/>
          <w:bCs w:val="0"/>
        </w:rPr>
        <w:t>ramach podmiotów zbiorowych, bowiem nawet jeśli ich zachowanie nie będzie przestępne (np.</w:t>
      </w:r>
      <w:r w:rsidR="00992FD0" w:rsidRPr="00EC250C">
        <w:rPr>
          <w:rStyle w:val="Pogrubienie"/>
          <w:b w:val="0"/>
          <w:bCs w:val="0"/>
        </w:rPr>
        <w:t xml:space="preserve"> z </w:t>
      </w:r>
      <w:r w:rsidRPr="00EC250C">
        <w:rPr>
          <w:rStyle w:val="Pogrubienie"/>
          <w:b w:val="0"/>
          <w:bCs w:val="0"/>
        </w:rPr>
        <w:t>uwagi na brak winy), odpowiedzialność zostanie przerzucona na podmiot zbiorowy</w:t>
      </w:r>
      <w:r w:rsidRPr="00EC250C">
        <w:t>.</w:t>
      </w:r>
    </w:p>
    <w:p w14:paraId="14746A92" w14:textId="77777777" w:rsidR="00863D73" w:rsidRPr="00EC250C" w:rsidRDefault="00863D73" w:rsidP="00D131FA">
      <w:pPr>
        <w:pStyle w:val="Styl1"/>
      </w:pPr>
      <w:r w:rsidRPr="00EC250C">
        <w:rPr>
          <w:rStyle w:val="Pogrubienie"/>
          <w:b w:val="0"/>
          <w:bCs w:val="0"/>
        </w:rPr>
        <w:t xml:space="preserve">Oprócz obecnej kary pieniężnej, projekt </w:t>
      </w:r>
      <w:r w:rsidR="00633CDF" w:rsidRPr="00EC250C">
        <w:rPr>
          <w:rStyle w:val="Pogrubienie"/>
          <w:b w:val="0"/>
          <w:bCs w:val="0"/>
        </w:rPr>
        <w:t xml:space="preserve">proponował </w:t>
      </w:r>
      <w:r w:rsidRPr="00EC250C">
        <w:rPr>
          <w:rStyle w:val="Pogrubienie"/>
          <w:b w:val="0"/>
          <w:bCs w:val="0"/>
        </w:rPr>
        <w:t>karę rozwiązania lub likwidacji podmiotu zbiorowego.</w:t>
      </w:r>
      <w:r w:rsidR="00633CDF" w:rsidRPr="00EC250C">
        <w:t xml:space="preserve"> </w:t>
      </w:r>
      <w:r w:rsidRPr="00EC250C">
        <w:t>Zdaniem RPO karę taką należ</w:t>
      </w:r>
      <w:r w:rsidR="00633CDF" w:rsidRPr="00EC250C">
        <w:t>ało</w:t>
      </w:r>
      <w:r w:rsidRPr="00EC250C">
        <w:t xml:space="preserve"> ocenić jako niezwykle surową</w:t>
      </w:r>
      <w:r w:rsidR="00992FD0" w:rsidRPr="00EC250C">
        <w:t xml:space="preserve"> w </w:t>
      </w:r>
      <w:r w:rsidRPr="00EC250C">
        <w:t xml:space="preserve">kontekście </w:t>
      </w:r>
      <w:r w:rsidRPr="00EC250C">
        <w:lastRenderedPageBreak/>
        <w:t xml:space="preserve">braku konieczności zawinienia czynu „bazowego” oraz pośredniej odpowiedzialności członków organów podmiotu zbiorowego. Przesłanki wymierzenia takiej kary </w:t>
      </w:r>
      <w:r w:rsidR="00633CDF" w:rsidRPr="00EC250C">
        <w:t xml:space="preserve">byłyby </w:t>
      </w:r>
      <w:r w:rsidRPr="00EC250C">
        <w:t>nieprecyzyjne. Przestępstwo „bazowe” musi</w:t>
      </w:r>
      <w:r w:rsidR="00633CDF" w:rsidRPr="00EC250C">
        <w:t>ałoby</w:t>
      </w:r>
      <w:r w:rsidRPr="00EC250C">
        <w:t xml:space="preserve"> być wprawdzie zagrożone karą pozbawienia wolności do lat 5 lub wyższą, ale wobec występującej od kilku lat tendencji do zaostrzania odpowiedzialności karnej, czyny zagrożone taką karą nie należą do rzadkości.</w:t>
      </w:r>
    </w:p>
    <w:p w14:paraId="512921AE" w14:textId="77777777" w:rsidR="00863D73" w:rsidRPr="00EC250C" w:rsidRDefault="00863D73" w:rsidP="00D131FA">
      <w:pPr>
        <w:pStyle w:val="Styl1"/>
      </w:pPr>
      <w:r w:rsidRPr="00EC250C">
        <w:t>Projekt przewid</w:t>
      </w:r>
      <w:r w:rsidR="00633CDF" w:rsidRPr="00EC250C">
        <w:t>ywał</w:t>
      </w:r>
      <w:r w:rsidRPr="00EC250C">
        <w:t xml:space="preserve"> także podwyższenie kary pieniężnej </w:t>
      </w:r>
      <w:r w:rsidRPr="00EC250C">
        <w:rPr>
          <w:rStyle w:val="Pogrubienie"/>
          <w:b w:val="0"/>
          <w:bCs w:val="0"/>
        </w:rPr>
        <w:t>(górna granica ma się zwiększyć się sześciokrotnie wobec stanu obecnego),</w:t>
      </w:r>
      <w:r w:rsidR="00992FD0" w:rsidRPr="00EC250C">
        <w:rPr>
          <w:rStyle w:val="Pogrubienie"/>
          <w:b w:val="0"/>
          <w:bCs w:val="0"/>
        </w:rPr>
        <w:t xml:space="preserve"> a </w:t>
      </w:r>
      <w:r w:rsidRPr="00EC250C">
        <w:t xml:space="preserve">także </w:t>
      </w:r>
      <w:r w:rsidR="00633CDF" w:rsidRPr="00EC250C">
        <w:t>proponował</w:t>
      </w:r>
      <w:r w:rsidRPr="00EC250C">
        <w:t xml:space="preserve"> nowy środek karny polegający na zakazie prowadzenia określonej działalności. Obie sankcje </w:t>
      </w:r>
      <w:r w:rsidR="00633CDF" w:rsidRPr="00EC250C">
        <w:t xml:space="preserve">RPO uznał </w:t>
      </w:r>
      <w:r w:rsidRPr="00EC250C">
        <w:t>za niezwykle surowe, bowiem mogą doprowadzić do upadku spółki.</w:t>
      </w:r>
    </w:p>
    <w:p w14:paraId="31FDE45B" w14:textId="77777777" w:rsidR="00C91F6E" w:rsidRPr="00EC250C" w:rsidRDefault="00863D73" w:rsidP="00D131FA">
      <w:pPr>
        <w:pStyle w:val="Styl1"/>
      </w:pPr>
      <w:r w:rsidRPr="00EC250C">
        <w:t>RPO przekazał te uwagi Ministrowi Sprawiedliwości. W 2018</w:t>
      </w:r>
      <w:r w:rsidR="00C91F6E" w:rsidRPr="00EC250C">
        <w:t> r.</w:t>
      </w:r>
      <w:r w:rsidRPr="00EC250C">
        <w:t xml:space="preserve"> projekt ulegał kolejnym modyfikacjom</w:t>
      </w:r>
      <w:r w:rsidRPr="00EC250C">
        <w:rPr>
          <w:rStyle w:val="Odwoanieprzypisudolnego"/>
        </w:rPr>
        <w:footnoteReference w:id="251"/>
      </w:r>
      <w:r w:rsidRPr="00EC250C">
        <w:t xml:space="preserve">. </w:t>
      </w:r>
      <w:r w:rsidR="00633CDF" w:rsidRPr="00EC250C">
        <w:t>8 stycznia 2019</w:t>
      </w:r>
      <w:r w:rsidR="00C91F6E" w:rsidRPr="00EC250C">
        <w:t> r.</w:t>
      </w:r>
      <w:r w:rsidR="00633CDF" w:rsidRPr="00EC250C">
        <w:t xml:space="preserve"> rząd przyjął go</w:t>
      </w:r>
      <w:r w:rsidR="00992FD0" w:rsidRPr="00EC250C">
        <w:t xml:space="preserve"> z </w:t>
      </w:r>
      <w:r w:rsidR="00FF1A47" w:rsidRPr="00EC250C">
        <w:t>autopoprawką</w:t>
      </w:r>
      <w:r w:rsidR="00992FD0" w:rsidRPr="00EC250C">
        <w:t xml:space="preserve"> i </w:t>
      </w:r>
      <w:r w:rsidR="00FF1A47" w:rsidRPr="00EC250C">
        <w:t>przekazał do Sejmu. Stamtąd został skierowany do konsultacji m.in.</w:t>
      </w:r>
      <w:r w:rsidR="00992FD0" w:rsidRPr="00EC250C">
        <w:t xml:space="preserve"> z </w:t>
      </w:r>
      <w:r w:rsidR="00FF1A47" w:rsidRPr="00EC250C">
        <w:t>organizacjami przedsiębiorców przed nadaniem mu numeru druku sejmowego</w:t>
      </w:r>
      <w:r w:rsidR="00FF1A47" w:rsidRPr="00EC250C">
        <w:rPr>
          <w:rStyle w:val="Odwoanieprzypisudolnego"/>
        </w:rPr>
        <w:footnoteReference w:id="252"/>
      </w:r>
      <w:r w:rsidR="00FF1A47" w:rsidRPr="00EC250C">
        <w:t>.</w:t>
      </w:r>
    </w:p>
    <w:p w14:paraId="742E5038" w14:textId="77777777" w:rsidR="002500A8" w:rsidRPr="00EC250C" w:rsidRDefault="002500A8" w:rsidP="00D131FA">
      <w:pPr>
        <w:pStyle w:val="Styl1"/>
      </w:pPr>
      <w:r w:rsidRPr="00EC250C">
        <w:t>Warto pamiętać, że już</w:t>
      </w:r>
      <w:r w:rsidR="00992FD0" w:rsidRPr="00EC250C">
        <w:t xml:space="preserve"> w </w:t>
      </w:r>
      <w:r w:rsidRPr="00EC250C">
        <w:t>2017 roku weszła</w:t>
      </w:r>
      <w:r w:rsidR="00992FD0" w:rsidRPr="00EC250C">
        <w:t xml:space="preserve"> w </w:t>
      </w:r>
      <w:r w:rsidRPr="00EC250C">
        <w:t>życie nowelizacja Kodeksu karnego wprowadzająca możliwość tzw. konfiskaty rozszerzonej. Jedną</w:t>
      </w:r>
      <w:r w:rsidR="00992FD0" w:rsidRPr="00EC250C">
        <w:t xml:space="preserve"> z </w:t>
      </w:r>
      <w:r w:rsidRPr="00EC250C">
        <w:t>nowych sankcji jest możliwość przepadku przedsiębiorstwa</w:t>
      </w:r>
      <w:r w:rsidR="00992FD0" w:rsidRPr="00EC250C">
        <w:t xml:space="preserve"> w </w:t>
      </w:r>
      <w:r w:rsidRPr="00EC250C">
        <w:t>razie popełnienia przestępstwa gospodarczego czy podatkowego, zagrożonego karą co najmniej 5 lat pozbawienia wolności, nawet jeśli nie jest ono własnością sprawcy</w:t>
      </w:r>
      <w:r w:rsidRPr="00EC250C">
        <w:rPr>
          <w:rStyle w:val="Odwoanieprzypisudolnego"/>
        </w:rPr>
        <w:footnoteReference w:id="253"/>
      </w:r>
      <w:r w:rsidRPr="00EC250C">
        <w:t>.</w:t>
      </w:r>
    </w:p>
    <w:p w14:paraId="2FC87A64" w14:textId="77777777" w:rsidR="004E4390" w:rsidRPr="00EC250C" w:rsidRDefault="004E4390" w:rsidP="00D131FA">
      <w:pPr>
        <w:jc w:val="both"/>
        <w:rPr>
          <w:rFonts w:cs="Arial"/>
          <w:bCs/>
          <w:color w:val="000000"/>
          <w:sz w:val="24"/>
        </w:rPr>
      </w:pPr>
      <w:r w:rsidRPr="00EC250C">
        <w:rPr>
          <w:rFonts w:cs="Arial"/>
          <w:bCs/>
          <w:color w:val="000000"/>
          <w:sz w:val="24"/>
        </w:rPr>
        <w:br w:type="page"/>
      </w:r>
    </w:p>
    <w:p w14:paraId="390C2685" w14:textId="77777777" w:rsidR="00C91F6E" w:rsidRPr="00EC250C" w:rsidRDefault="004E4390" w:rsidP="00EC250C">
      <w:pPr>
        <w:pStyle w:val="Nagwek3"/>
      </w:pPr>
      <w:bookmarkStart w:id="249" w:name="_Toc6257739"/>
      <w:bookmarkStart w:id="250" w:name="_Toc11247631"/>
      <w:r w:rsidRPr="00EC250C">
        <w:lastRenderedPageBreak/>
        <w:t xml:space="preserve">Art. 47 </w:t>
      </w:r>
      <w:r w:rsidR="006302BF" w:rsidRPr="00EC250C">
        <w:t xml:space="preserve">Konstytucji </w:t>
      </w:r>
      <w:r w:rsidRPr="00EC250C">
        <w:t xml:space="preserve">– </w:t>
      </w:r>
      <w:bookmarkStart w:id="251" w:name="_Hlk165165"/>
      <w:r w:rsidRPr="00EC250C">
        <w:t>Prawo do ochrony życia prywatnego, rodzinnego, czci</w:t>
      </w:r>
      <w:r w:rsidR="00992FD0" w:rsidRPr="00EC250C">
        <w:t xml:space="preserve"> i </w:t>
      </w:r>
      <w:r w:rsidRPr="00EC250C">
        <w:t>dobrego imienia</w:t>
      </w:r>
      <w:bookmarkEnd w:id="249"/>
      <w:bookmarkEnd w:id="250"/>
      <w:bookmarkEnd w:id="251"/>
    </w:p>
    <w:p w14:paraId="222E8E24" w14:textId="77777777" w:rsidR="00EE09AA" w:rsidRPr="00EC250C" w:rsidRDefault="004E4390" w:rsidP="00D131FA">
      <w:pPr>
        <w:pStyle w:val="konstytucja"/>
        <w:jc w:val="both"/>
      </w:pPr>
      <w:r w:rsidRPr="00EC250C">
        <w:t>Każdy ma prawo do ochrony prawnej życia prywatnego, rodzinnego, czci</w:t>
      </w:r>
      <w:r w:rsidR="00992FD0" w:rsidRPr="00EC250C">
        <w:t xml:space="preserve"> i </w:t>
      </w:r>
      <w:r w:rsidRPr="00EC250C">
        <w:t>dobrego imienia oraz do decydowania</w:t>
      </w:r>
      <w:r w:rsidR="00992FD0" w:rsidRPr="00EC250C">
        <w:t xml:space="preserve"> o </w:t>
      </w:r>
      <w:r w:rsidRPr="00EC250C">
        <w:t>swoim życiu osobistym.</w:t>
      </w:r>
    </w:p>
    <w:p w14:paraId="6F0FBC0A" w14:textId="77777777" w:rsidR="00C91F6E" w:rsidRPr="00EC250C" w:rsidRDefault="00EE09AA" w:rsidP="00D131FA">
      <w:pPr>
        <w:pStyle w:val="ComwiKonstytucja"/>
        <w:rPr>
          <w:rStyle w:val="Styl1Znak"/>
        </w:rPr>
      </w:pPr>
      <w:r w:rsidRPr="00EC250C">
        <w:rPr>
          <w:rStyle w:val="Styl1Znak"/>
        </w:rPr>
        <w:t>Artykuł ten dotyczy dwóch sytuacji: prawa jednostki do prawnej ochrony wskazanych sfer życia oraz prawa do decydowania</w:t>
      </w:r>
      <w:r w:rsidR="00992FD0" w:rsidRPr="00EC250C">
        <w:rPr>
          <w:rStyle w:val="Styl1Znak"/>
        </w:rPr>
        <w:t xml:space="preserve"> o </w:t>
      </w:r>
      <w:r w:rsidRPr="00EC250C">
        <w:rPr>
          <w:rStyle w:val="Styl1Znak"/>
        </w:rPr>
        <w:t>sprawach dotyczących życia osobistego.</w:t>
      </w:r>
    </w:p>
    <w:p w14:paraId="49ADB7FB" w14:textId="77777777" w:rsidR="00C91F6E" w:rsidRPr="00EC250C" w:rsidRDefault="00EE09AA" w:rsidP="00D131FA">
      <w:pPr>
        <w:pStyle w:val="ComwiKonstytucja"/>
        <w:rPr>
          <w:rStyle w:val="Styl1Znak"/>
        </w:rPr>
      </w:pPr>
      <w:r w:rsidRPr="00EC250C">
        <w:rPr>
          <w:rStyle w:val="Styl1Znak"/>
        </w:rPr>
        <w:t>Z prawa do ochrony życia prywatnego wynika obowiązek władz publicznych, by uregulować te zagadnienia oraz powstrzymać się od ingerencji</w:t>
      </w:r>
      <w:r w:rsidR="00992FD0" w:rsidRPr="00EC250C">
        <w:rPr>
          <w:rStyle w:val="Styl1Znak"/>
        </w:rPr>
        <w:t xml:space="preserve"> w </w:t>
      </w:r>
      <w:r w:rsidRPr="00EC250C">
        <w:rPr>
          <w:rStyle w:val="Styl1Znak"/>
        </w:rPr>
        <w:t>sfery prywatne.</w:t>
      </w:r>
    </w:p>
    <w:p w14:paraId="2877E4D6" w14:textId="77777777" w:rsidR="00EE09AA" w:rsidRPr="00EC250C" w:rsidRDefault="00EE09AA" w:rsidP="00D131FA">
      <w:pPr>
        <w:pStyle w:val="ComwiKonstytucja"/>
      </w:pPr>
      <w:r w:rsidRPr="00EC250C">
        <w:rPr>
          <w:rStyle w:val="Styl1Znak"/>
        </w:rPr>
        <w:t>Przepis ten powiązany jest bezpośrednio</w:t>
      </w:r>
      <w:r w:rsidR="00992FD0" w:rsidRPr="00EC250C">
        <w:rPr>
          <w:rStyle w:val="Styl1Znak"/>
        </w:rPr>
        <w:t xml:space="preserve"> z </w:t>
      </w:r>
      <w:r w:rsidRPr="00EC250C">
        <w:rPr>
          <w:rStyle w:val="Styl1Znak"/>
        </w:rPr>
        <w:t>wolnością człowieka (art. 31 ust. 1)</w:t>
      </w:r>
      <w:r w:rsidR="00992FD0" w:rsidRPr="00EC250C">
        <w:rPr>
          <w:rStyle w:val="Styl1Znak"/>
        </w:rPr>
        <w:t xml:space="preserve"> i </w:t>
      </w:r>
      <w:r w:rsidRPr="00EC250C">
        <w:rPr>
          <w:rStyle w:val="Styl1Znak"/>
        </w:rPr>
        <w:t xml:space="preserve">wolnością osobistą jednostki (art. 41). Twórcy Konstytucji posłużyli się trzema zazębiającymi się pojęciami: życie prywatne, życie rodzinne oraz życie </w:t>
      </w:r>
      <w:r w:rsidR="00790318" w:rsidRPr="00EC250C">
        <w:rPr>
          <w:rStyle w:val="Styl1Znak"/>
        </w:rPr>
        <w:t>osobiste</w:t>
      </w:r>
      <w:r w:rsidR="00790318" w:rsidRPr="00EC250C">
        <w:t>.</w:t>
      </w:r>
      <w:r w:rsidRPr="00EC250C">
        <w:t>.</w:t>
      </w:r>
    </w:p>
    <w:p w14:paraId="1A92B89E" w14:textId="77777777" w:rsidR="00EE09AA" w:rsidRPr="00EC250C" w:rsidRDefault="00EE09AA" w:rsidP="00D131FA">
      <w:pPr>
        <w:pStyle w:val="ComwiKonstytucja"/>
      </w:pPr>
    </w:p>
    <w:p w14:paraId="09C134D5" w14:textId="77777777" w:rsidR="00EE09AA" w:rsidRPr="00EC250C" w:rsidRDefault="00EE09AA" w:rsidP="00D131FA">
      <w:pPr>
        <w:pStyle w:val="konstytucja"/>
        <w:jc w:val="both"/>
      </w:pPr>
      <w:r w:rsidRPr="00EC250C">
        <w:br w:type="page"/>
      </w:r>
    </w:p>
    <w:p w14:paraId="54148208" w14:textId="77777777" w:rsidR="00DB4459" w:rsidRPr="00EC250C" w:rsidRDefault="00DB4459" w:rsidP="00EC79EB">
      <w:pPr>
        <w:pStyle w:val="Nagwek4"/>
      </w:pPr>
      <w:bookmarkStart w:id="252" w:name="_Toc11247632"/>
      <w:bookmarkStart w:id="253" w:name="_Toc6257740"/>
      <w:r w:rsidRPr="00EC250C">
        <w:lastRenderedPageBreak/>
        <w:t>Problemy życia rodzinnego</w:t>
      </w:r>
      <w:bookmarkEnd w:id="252"/>
    </w:p>
    <w:p w14:paraId="31CD3EA7" w14:textId="77777777" w:rsidR="00C91F6E" w:rsidRPr="00EC250C" w:rsidRDefault="007113FE" w:rsidP="00EC250C">
      <w:pPr>
        <w:pStyle w:val="Nagwek5"/>
      </w:pPr>
      <w:r w:rsidRPr="00EC250C">
        <w:t xml:space="preserve">Nierealistyczny termin na </w:t>
      </w:r>
      <w:r w:rsidR="00CF5E2C" w:rsidRPr="00EC250C">
        <w:t>wytoczeni</w:t>
      </w:r>
      <w:r w:rsidR="00FC0C3A" w:rsidRPr="00EC250C">
        <w:t>e</w:t>
      </w:r>
      <w:r w:rsidR="00CF5E2C" w:rsidRPr="00EC250C">
        <w:t xml:space="preserve"> powództwa</w:t>
      </w:r>
      <w:r w:rsidR="00992FD0" w:rsidRPr="00EC250C">
        <w:t xml:space="preserve"> o </w:t>
      </w:r>
      <w:r w:rsidR="00CF5E2C" w:rsidRPr="00EC250C">
        <w:t>zaprzeczenie ojcostwa</w:t>
      </w:r>
      <w:bookmarkEnd w:id="253"/>
    </w:p>
    <w:p w14:paraId="29E96D07" w14:textId="77777777" w:rsidR="00B473F5" w:rsidRPr="00EC250C" w:rsidRDefault="00CF5E2C" w:rsidP="00D131FA">
      <w:pPr>
        <w:pStyle w:val="Problemczowieka"/>
        <w:jc w:val="both"/>
      </w:pPr>
      <w:bookmarkStart w:id="254" w:name="_Hlk8208750"/>
      <w:r w:rsidRPr="00EC250C">
        <w:t xml:space="preserve">Dorosła osoba, która dowie się, że jej ojcem nie jest </w:t>
      </w:r>
      <w:r w:rsidR="00185A4B" w:rsidRPr="00EC250C">
        <w:t>ten, kogo uważała za rodzica w sensie biologicznym</w:t>
      </w:r>
      <w:r w:rsidRPr="00EC250C">
        <w:t>, praktycznie nie może poprawić dokumentów</w:t>
      </w:r>
      <w:r w:rsidR="00992FD0" w:rsidRPr="00EC250C">
        <w:t xml:space="preserve"> o </w:t>
      </w:r>
      <w:r w:rsidRPr="00EC250C">
        <w:t xml:space="preserve">swej tożsamości. </w:t>
      </w:r>
      <w:bookmarkEnd w:id="254"/>
      <w:r w:rsidRPr="00EC250C">
        <w:t>Na wytoczenie powództwa</w:t>
      </w:r>
      <w:r w:rsidR="00992FD0" w:rsidRPr="00EC250C">
        <w:t xml:space="preserve"> o </w:t>
      </w:r>
      <w:r w:rsidRPr="00EC250C">
        <w:t>zaprzeczenie ojcostwa prawo daje tylko trzy lata od osiągniecia pełnoletności</w:t>
      </w:r>
      <w:r w:rsidR="00B473F5" w:rsidRPr="00EC250C">
        <w:t>.</w:t>
      </w:r>
    </w:p>
    <w:p w14:paraId="7B086FA5" w14:textId="77777777" w:rsidR="00CF5E2C" w:rsidRPr="00EC250C" w:rsidRDefault="00CF5E2C" w:rsidP="00D131FA">
      <w:pPr>
        <w:pStyle w:val="Styl1"/>
      </w:pPr>
      <w:r w:rsidRPr="00EC250C">
        <w:t>Kodeks rodzinny</w:t>
      </w:r>
      <w:r w:rsidR="00992FD0" w:rsidRPr="00EC250C">
        <w:t xml:space="preserve"> i </w:t>
      </w:r>
      <w:r w:rsidRPr="00EC250C">
        <w:t xml:space="preserve">opiekuńczy ustala sztywny termin, po upływie którego wygasa uprawnienie dorosłego dziecka do podważania ojcostwa ustalonego wskutek domniemania prawnego (że dziecko pochodzi od męża matki). Zdaniem </w:t>
      </w:r>
      <w:r w:rsidR="00C079A6" w:rsidRPr="00EC250C">
        <w:t>RPO</w:t>
      </w:r>
      <w:r w:rsidRPr="00EC250C">
        <w:t xml:space="preserve"> przepis ten narusza prawo dorosłego dziecka do ochrony życia rodzinnego.</w:t>
      </w:r>
    </w:p>
    <w:p w14:paraId="0DAFFF6F" w14:textId="77777777" w:rsidR="00C91F6E" w:rsidRPr="00EC250C" w:rsidRDefault="00CF5E2C" w:rsidP="00D131FA">
      <w:pPr>
        <w:pStyle w:val="Styl1"/>
      </w:pPr>
      <w:r w:rsidRPr="00EC250C">
        <w:t xml:space="preserve">Dlatego </w:t>
      </w:r>
      <w:r w:rsidR="00C079A6" w:rsidRPr="00EC250C">
        <w:t xml:space="preserve">RPO </w:t>
      </w:r>
      <w:r w:rsidRPr="00EC250C">
        <w:t>zgłosił udział</w:t>
      </w:r>
      <w:r w:rsidR="00992FD0" w:rsidRPr="00EC250C">
        <w:t xml:space="preserve"> w </w:t>
      </w:r>
      <w:r w:rsidRPr="00EC250C">
        <w:t>postępowaniu</w:t>
      </w:r>
      <w:r w:rsidR="00992FD0" w:rsidRPr="00EC250C">
        <w:t xml:space="preserve"> w </w:t>
      </w:r>
      <w:r w:rsidRPr="00EC250C">
        <w:t>sprawie skargi konstytucyjnej dotyczącej tej kwestii</w:t>
      </w:r>
      <w:r w:rsidRPr="00EC250C">
        <w:rPr>
          <w:bCs/>
          <w:iCs/>
          <w:vertAlign w:val="superscript"/>
        </w:rPr>
        <w:footnoteReference w:id="254"/>
      </w:r>
      <w:r w:rsidRPr="00EC250C">
        <w:t>. 16 maja 2018</w:t>
      </w:r>
      <w:r w:rsidR="00C91F6E" w:rsidRPr="00EC250C">
        <w:t> r.</w:t>
      </w:r>
      <w:r w:rsidRPr="00EC250C">
        <w:t xml:space="preserve"> Trybunał Konstytucyjny uznał</w:t>
      </w:r>
      <w:r w:rsidRPr="00EC250C">
        <w:rPr>
          <w:rStyle w:val="Odwoanieprzypisudolnego"/>
        </w:rPr>
        <w:footnoteReference w:id="255"/>
      </w:r>
      <w:r w:rsidR="00CC4D88" w:rsidRPr="00EC250C">
        <w:t xml:space="preserve"> </w:t>
      </w:r>
      <w:r w:rsidRPr="00EC250C">
        <w:t>przepis został uznany za niezgodny</w:t>
      </w:r>
      <w:r w:rsidR="00992FD0" w:rsidRPr="00EC250C">
        <w:t xml:space="preserve"> z </w:t>
      </w:r>
      <w:r w:rsidRPr="00EC250C">
        <w:t>Konstytucją.</w:t>
      </w:r>
    </w:p>
    <w:p w14:paraId="33E70DC8" w14:textId="77777777" w:rsidR="00CF5E2C" w:rsidRPr="00EC250C" w:rsidRDefault="00CF5E2C" w:rsidP="00D131FA">
      <w:pPr>
        <w:pStyle w:val="Styl1"/>
      </w:pPr>
      <w:r w:rsidRPr="00EC250C">
        <w:t>W ocenie Trybunału data osiągnięcia przez dziecko pełnoletności nie zawsze może być momentem, od którego liczy się czas na podjęcie działań, do których prawo następnie wygasa (tzw. termin zawity). Podstawowe znaczenie ma tu bowiem to, czy człowiek dowiedział się</w:t>
      </w:r>
      <w:r w:rsidR="00992FD0" w:rsidRPr="00EC250C">
        <w:t xml:space="preserve"> o </w:t>
      </w:r>
      <w:r w:rsidRPr="00EC250C">
        <w:t>okolicznościach świadczących</w:t>
      </w:r>
      <w:r w:rsidR="00992FD0" w:rsidRPr="00EC250C">
        <w:t xml:space="preserve"> o </w:t>
      </w:r>
      <w:r w:rsidRPr="00EC250C">
        <w:t>tym, że może nie pochodzić od męża swojej matki. Zdaniem Trybunału oznacza to, że początek biegu terminu zawitego określonego</w:t>
      </w:r>
      <w:r w:rsidR="00992FD0" w:rsidRPr="00EC250C">
        <w:t xml:space="preserve"> w </w:t>
      </w:r>
      <w:r w:rsidRPr="00EC250C">
        <w:t>art. 70 § 1 k.r.o. został ustalony</w:t>
      </w:r>
      <w:r w:rsidR="00992FD0" w:rsidRPr="00EC250C">
        <w:t xml:space="preserve"> w </w:t>
      </w:r>
      <w:r w:rsidRPr="00EC250C">
        <w:t>sposób arbitralny.</w:t>
      </w:r>
    </w:p>
    <w:p w14:paraId="42087DEF" w14:textId="77777777" w:rsidR="00CF5E2C" w:rsidRPr="00EC250C" w:rsidRDefault="00CF5E2C" w:rsidP="00D131FA">
      <w:pPr>
        <w:pStyle w:val="Styl1"/>
      </w:pPr>
      <w:r w:rsidRPr="00EC250C">
        <w:t>Pod koniec 2018</w:t>
      </w:r>
      <w:r w:rsidR="00C91F6E" w:rsidRPr="00EC250C">
        <w:t> r.</w:t>
      </w:r>
      <w:r w:rsidRPr="00EC250C">
        <w:t xml:space="preserve"> projekt zmian ustawowych, które stanowić mają realizację wyroku TK, przygotował</w:t>
      </w:r>
      <w:r w:rsidRPr="00EC250C">
        <w:rPr>
          <w:rStyle w:val="Odwoanieprzypisudolnego"/>
        </w:rPr>
        <w:footnoteReference w:id="256"/>
      </w:r>
      <w:r w:rsidRPr="00EC250C">
        <w:t xml:space="preserve"> Senat.</w:t>
      </w:r>
      <w:r w:rsidR="00783A44" w:rsidRPr="00EC250C">
        <w:t xml:space="preserve"> W kwietniu 2019</w:t>
      </w:r>
      <w:r w:rsidR="00C91F6E" w:rsidRPr="00EC250C">
        <w:t> r.</w:t>
      </w:r>
      <w:r w:rsidR="00783A44" w:rsidRPr="00EC250C">
        <w:t xml:space="preserve"> projekt zmian powstał</w:t>
      </w:r>
      <w:r w:rsidR="00992FD0" w:rsidRPr="00EC250C">
        <w:t xml:space="preserve"> w </w:t>
      </w:r>
      <w:r w:rsidR="00783A44" w:rsidRPr="00EC250C">
        <w:t>Ministerstwie Sprawiedliwości</w:t>
      </w:r>
      <w:r w:rsidRPr="00EC250C">
        <w:t>.</w:t>
      </w:r>
      <w:r w:rsidR="00783A44" w:rsidRPr="00EC250C">
        <w:t xml:space="preserve"> Rząd ma się nim zająć</w:t>
      </w:r>
      <w:r w:rsidR="00992FD0" w:rsidRPr="00EC250C">
        <w:t xml:space="preserve"> w </w:t>
      </w:r>
      <w:r w:rsidR="00783A44" w:rsidRPr="00EC250C">
        <w:t>III kwartale 2019</w:t>
      </w:r>
      <w:r w:rsidR="00C91F6E" w:rsidRPr="00EC250C">
        <w:t> r.</w:t>
      </w:r>
      <w:r w:rsidR="00783A44" w:rsidRPr="00EC250C">
        <w:rPr>
          <w:rStyle w:val="Odwoanieprzypisudolnego"/>
        </w:rPr>
        <w:footnoteReference w:id="257"/>
      </w:r>
    </w:p>
    <w:p w14:paraId="5AD41037" w14:textId="77777777" w:rsidR="003A412A" w:rsidRPr="00EC250C" w:rsidRDefault="003A412A" w:rsidP="00EC250C">
      <w:pPr>
        <w:pStyle w:val="Nagwek5"/>
      </w:pPr>
      <w:r w:rsidRPr="00EC250C">
        <w:t>Ustalanie ojcostwa</w:t>
      </w:r>
      <w:r w:rsidR="00992FD0" w:rsidRPr="00EC250C">
        <w:t xml:space="preserve"> a </w:t>
      </w:r>
      <w:r w:rsidRPr="00EC250C">
        <w:t>problem testów</w:t>
      </w:r>
    </w:p>
    <w:p w14:paraId="147EF862" w14:textId="77777777" w:rsidR="00B473F5" w:rsidRPr="00EC250C" w:rsidRDefault="003A412A" w:rsidP="00D131FA">
      <w:pPr>
        <w:pStyle w:val="Problemczowieka"/>
        <w:jc w:val="both"/>
      </w:pPr>
      <w:r w:rsidRPr="00EC250C">
        <w:t>Do RPO od dawna wpływają skargi obywateli mających wątpliwości co do swego pokrewieństwa</w:t>
      </w:r>
      <w:r w:rsidR="00992FD0" w:rsidRPr="00EC250C">
        <w:t xml:space="preserve"> z </w:t>
      </w:r>
      <w:r w:rsidRPr="00EC250C">
        <w:t>dziećmi, będącymi</w:t>
      </w:r>
      <w:r w:rsidR="00992FD0" w:rsidRPr="00EC250C">
        <w:t xml:space="preserve"> w </w:t>
      </w:r>
      <w:r w:rsidRPr="00EC250C">
        <w:t>świetle prawa ich potomkami</w:t>
      </w:r>
      <w:r w:rsidR="00B473F5" w:rsidRPr="00EC250C">
        <w:t>.</w:t>
      </w:r>
    </w:p>
    <w:p w14:paraId="660B7861" w14:textId="77777777" w:rsidR="00C91F6E" w:rsidRPr="00EC250C" w:rsidRDefault="0030270C" w:rsidP="00D131FA">
      <w:pPr>
        <w:pStyle w:val="Styl1"/>
      </w:pPr>
      <w:r w:rsidRPr="00EC250C">
        <w:t>Problem</w:t>
      </w:r>
      <w:r w:rsidR="00992FD0" w:rsidRPr="00EC250C">
        <w:t xml:space="preserve"> w </w:t>
      </w:r>
      <w:r w:rsidRPr="00EC250C">
        <w:t xml:space="preserve">tym, że dostępne na zasadach komercyjnych </w:t>
      </w:r>
      <w:r w:rsidR="003A412A" w:rsidRPr="00EC250C">
        <w:t>testy wykonane na samodzielnie pobieranych przez zainteresowanego próbkach nie mają wartości dowodowej</w:t>
      </w:r>
      <w:r w:rsidR="00992FD0" w:rsidRPr="00EC250C">
        <w:t xml:space="preserve"> w </w:t>
      </w:r>
      <w:r w:rsidR="003A412A" w:rsidRPr="00EC250C">
        <w:t>sądach</w:t>
      </w:r>
      <w:r w:rsidRPr="00EC250C">
        <w:t>.</w:t>
      </w:r>
      <w:r w:rsidR="003A412A" w:rsidRPr="00EC250C">
        <w:t>,</w:t>
      </w:r>
      <w:r w:rsidRPr="00EC250C">
        <w:t xml:space="preserve"> Z</w:t>
      </w:r>
      <w:r w:rsidR="003A412A" w:rsidRPr="00EC250C">
        <w:t xml:space="preserve">desperowani </w:t>
      </w:r>
      <w:r w:rsidRPr="00EC250C">
        <w:t>ojcowie nie mając innych możliwości</w:t>
      </w:r>
      <w:r w:rsidR="00992FD0" w:rsidRPr="00EC250C">
        <w:t xml:space="preserve"> i </w:t>
      </w:r>
      <w:r w:rsidR="003A412A" w:rsidRPr="00EC250C">
        <w:t>tak</w:t>
      </w:r>
      <w:r w:rsidR="00992FD0" w:rsidRPr="00EC250C">
        <w:t xml:space="preserve"> z </w:t>
      </w:r>
      <w:r w:rsidRPr="00EC250C">
        <w:t xml:space="preserve">nich jednak </w:t>
      </w:r>
      <w:r w:rsidR="003A412A" w:rsidRPr="00EC250C">
        <w:t xml:space="preserve">korzystają. Potem próbują </w:t>
      </w:r>
      <w:r w:rsidR="003A412A" w:rsidRPr="00EC250C">
        <w:lastRenderedPageBreak/>
        <w:t>wykorzystać wyniki do nakłonienia prokuratora lub RPO do złożenia powództwa</w:t>
      </w:r>
      <w:r w:rsidR="00992FD0" w:rsidRPr="00EC250C">
        <w:t xml:space="preserve"> o </w:t>
      </w:r>
      <w:r w:rsidR="003A412A" w:rsidRPr="00EC250C">
        <w:t>zaprzeczenie ojcostwa bądź stwierdzenie bezskuteczności jego uznania.</w:t>
      </w:r>
    </w:p>
    <w:p w14:paraId="61160497" w14:textId="77777777" w:rsidR="003A412A" w:rsidRPr="00EC250C" w:rsidRDefault="0030270C" w:rsidP="00D131FA">
      <w:pPr>
        <w:pStyle w:val="Styl1"/>
      </w:pPr>
      <w:r w:rsidRPr="00EC250C">
        <w:t>Z</w:t>
      </w:r>
      <w:r w:rsidR="003A412A" w:rsidRPr="00EC250C">
        <w:t>asady wykorzystywania testów DNA</w:t>
      </w:r>
      <w:r w:rsidR="00992FD0" w:rsidRPr="00EC250C">
        <w:t xml:space="preserve"> w </w:t>
      </w:r>
      <w:r w:rsidR="003A412A" w:rsidRPr="00EC250C">
        <w:t>toku cywilnych postępowań powinny być jednoznacznie uregulowane</w:t>
      </w:r>
      <w:r w:rsidR="00992FD0" w:rsidRPr="00EC250C">
        <w:t xml:space="preserve"> w </w:t>
      </w:r>
      <w:r w:rsidR="003A412A" w:rsidRPr="00EC250C">
        <w:t>Kodeksie postępowania cywilnego,</w:t>
      </w:r>
      <w:r w:rsidR="00992FD0" w:rsidRPr="00EC250C">
        <w:t xml:space="preserve"> o </w:t>
      </w:r>
      <w:r w:rsidR="003A412A" w:rsidRPr="00EC250C">
        <w:t xml:space="preserve">co </w:t>
      </w:r>
      <w:r w:rsidR="00C079A6" w:rsidRPr="00EC250C">
        <w:t>RPO</w:t>
      </w:r>
      <w:r w:rsidR="003A412A" w:rsidRPr="00EC250C">
        <w:t xml:space="preserve"> bezskutecznie zabiega od wielu lat</w:t>
      </w:r>
      <w:r w:rsidR="003A412A" w:rsidRPr="00EC250C">
        <w:rPr>
          <w:rStyle w:val="Odwoanieprzypisudolnego"/>
        </w:rPr>
        <w:footnoteReference w:id="258"/>
      </w:r>
      <w:r w:rsidR="003A412A" w:rsidRPr="00EC250C">
        <w:t>.</w:t>
      </w:r>
    </w:p>
    <w:p w14:paraId="24BB0F84" w14:textId="77777777" w:rsidR="00896628" w:rsidRPr="00EC250C" w:rsidRDefault="00896628" w:rsidP="00D131FA">
      <w:pPr>
        <w:pStyle w:val="ODESANIE"/>
        <w:jc w:val="both"/>
      </w:pPr>
      <w:r w:rsidRPr="00EC250C">
        <w:rPr>
          <w:rStyle w:val="field-content"/>
          <w:szCs w:val="20"/>
          <w:bdr w:val="none" w:sz="0" w:space="0" w:color="auto"/>
        </w:rPr>
        <w:t>Brak zasad prowadzenia badań genetycznych – zagrożenie prawa do życia, art. 38 Konstytucji</w:t>
      </w:r>
    </w:p>
    <w:p w14:paraId="374EFBB1" w14:textId="77777777" w:rsidR="00C91F6E" w:rsidRPr="00EC250C" w:rsidRDefault="00DB4459" w:rsidP="00EC250C">
      <w:pPr>
        <w:pStyle w:val="Nagwek5"/>
      </w:pPr>
      <w:r w:rsidRPr="00EC250C">
        <w:t>Problem samotnych kobiet, które rozpoczęły procedurę in vitro przed wejściem</w:t>
      </w:r>
      <w:r w:rsidR="00992FD0" w:rsidRPr="00EC250C">
        <w:t xml:space="preserve"> w </w:t>
      </w:r>
      <w:r w:rsidRPr="00EC250C">
        <w:t>życie ustawy</w:t>
      </w:r>
      <w:r w:rsidR="00992FD0" w:rsidRPr="00EC250C">
        <w:t xml:space="preserve"> o </w:t>
      </w:r>
      <w:r w:rsidRPr="00EC250C">
        <w:t>leczeniu niepłodności</w:t>
      </w:r>
    </w:p>
    <w:p w14:paraId="6C1A8CBD" w14:textId="77777777" w:rsidR="00B473F5" w:rsidRPr="00EC250C" w:rsidRDefault="00DB4459" w:rsidP="00D131FA">
      <w:pPr>
        <w:pStyle w:val="Problemczowieka"/>
        <w:jc w:val="both"/>
      </w:pPr>
      <w:r w:rsidRPr="00EC250C">
        <w:t>Kobiety niepozostające</w:t>
      </w:r>
      <w:r w:rsidR="00992FD0" w:rsidRPr="00EC250C">
        <w:t xml:space="preserve"> w </w:t>
      </w:r>
      <w:r w:rsidRPr="00EC250C">
        <w:t>związku małżeńskim albo we wspólnym pożyciu</w:t>
      </w:r>
      <w:r w:rsidR="00992FD0" w:rsidRPr="00EC250C">
        <w:t xml:space="preserve"> z </w:t>
      </w:r>
      <w:r w:rsidRPr="00EC250C">
        <w:t>mężczyzną, które zdeponowały</w:t>
      </w:r>
      <w:r w:rsidR="00992FD0" w:rsidRPr="00EC250C">
        <w:t xml:space="preserve"> w </w:t>
      </w:r>
      <w:r w:rsidRPr="00EC250C">
        <w:t>klinikach zarodki powstałe</w:t>
      </w:r>
      <w:r w:rsidR="00992FD0" w:rsidRPr="00EC250C">
        <w:t xml:space="preserve"> z </w:t>
      </w:r>
      <w:r w:rsidRPr="00EC250C">
        <w:t>ich komórki rozrodczej</w:t>
      </w:r>
      <w:r w:rsidR="00992FD0" w:rsidRPr="00EC250C">
        <w:t xml:space="preserve"> i </w:t>
      </w:r>
      <w:r w:rsidRPr="00EC250C">
        <w:t>komórki anonimowego dawcy, mają kłopoty</w:t>
      </w:r>
      <w:r w:rsidR="00992FD0" w:rsidRPr="00EC250C">
        <w:t xml:space="preserve"> z </w:t>
      </w:r>
      <w:r w:rsidRPr="00EC250C">
        <w:t>wykorzystaniem ich,</w:t>
      </w:r>
      <w:r w:rsidR="00992FD0" w:rsidRPr="00EC250C">
        <w:t xml:space="preserve"> o </w:t>
      </w:r>
      <w:r w:rsidRPr="00EC250C">
        <w:t>ile nie mają partnerów deklarujących gotowość do ojcostwa</w:t>
      </w:r>
      <w:r w:rsidR="00B473F5" w:rsidRPr="00EC250C">
        <w:t>.</w:t>
      </w:r>
    </w:p>
    <w:p w14:paraId="51962DE3" w14:textId="77777777" w:rsidR="00DB4459" w:rsidRPr="00EC250C" w:rsidRDefault="00DB4459" w:rsidP="00D131FA">
      <w:pPr>
        <w:pStyle w:val="Styl1"/>
      </w:pPr>
      <w:r w:rsidRPr="00EC250C">
        <w:t>Problem wziął się stąd, że ustawa</w:t>
      </w:r>
      <w:r w:rsidR="00992FD0" w:rsidRPr="00EC250C">
        <w:t xml:space="preserve"> o </w:t>
      </w:r>
      <w:r w:rsidRPr="00EC250C">
        <w:t>leczeniu niepłodności, która wprowadziła regulacje dotyczące in vitro</w:t>
      </w:r>
      <w:r w:rsidRPr="00EC250C">
        <w:rPr>
          <w:vertAlign w:val="superscript"/>
        </w:rPr>
        <w:footnoteReference w:id="259"/>
      </w:r>
      <w:r w:rsidRPr="00EC250C">
        <w:t>, nie miała przepisów regulujących sytuację osób, które procedurę zapłodnienia pozaustrojowego rozpoczęły przed wejściem</w:t>
      </w:r>
      <w:r w:rsidR="00992FD0" w:rsidRPr="00EC250C">
        <w:t xml:space="preserve"> w </w:t>
      </w:r>
      <w:r w:rsidRPr="00EC250C">
        <w:t>życie nowych przepisów.</w:t>
      </w:r>
      <w:r w:rsidR="0030270C" w:rsidRPr="00EC250C">
        <w:t xml:space="preserve"> </w:t>
      </w:r>
      <w:r w:rsidRPr="00EC250C">
        <w:t xml:space="preserve">W tej sprawie Rzecznik </w:t>
      </w:r>
      <w:r w:rsidR="00C079A6" w:rsidRPr="00EC250C">
        <w:t xml:space="preserve">Praw Obywatelskich </w:t>
      </w:r>
      <w:r w:rsidRPr="00EC250C">
        <w:t>złożył wniosek do Trybunału Konstytucyjnego</w:t>
      </w:r>
      <w:r w:rsidRPr="00EC250C">
        <w:rPr>
          <w:rStyle w:val="Odwoanieprzypisudolnego"/>
        </w:rPr>
        <w:footnoteReference w:id="260"/>
      </w:r>
      <w:r w:rsidRPr="00EC250C">
        <w:t>. Zdaniem RPO taka sytuacja narusza zasadę zaufania obywatela do państwa.</w:t>
      </w:r>
      <w:r w:rsidR="0030270C" w:rsidRPr="00EC250C">
        <w:t xml:space="preserve"> </w:t>
      </w:r>
      <w:r w:rsidRPr="00EC250C">
        <w:t xml:space="preserve">Zadaniem </w:t>
      </w:r>
      <w:r w:rsidR="00C079A6" w:rsidRPr="00EC250C">
        <w:t>RPO</w:t>
      </w:r>
      <w:r w:rsidRPr="00EC250C">
        <w:t>, kobiety miały zatem prawo oczekiwać, że podjęte przez nie działania</w:t>
      </w:r>
      <w:r w:rsidR="00026572" w:rsidRPr="00EC250C">
        <w:t xml:space="preserve"> – </w:t>
      </w:r>
      <w:r w:rsidRPr="00EC250C">
        <w:t>zgodne</w:t>
      </w:r>
      <w:r w:rsidR="00992FD0" w:rsidRPr="00EC250C">
        <w:t xml:space="preserve"> z </w:t>
      </w:r>
      <w:r w:rsidRPr="00EC250C">
        <w:t>obowiązującym prawem</w:t>
      </w:r>
      <w:r w:rsidR="00026572" w:rsidRPr="00EC250C">
        <w:t xml:space="preserve"> – </w:t>
      </w:r>
      <w:r w:rsidRPr="00EC250C">
        <w:t>będą także</w:t>
      </w:r>
      <w:r w:rsidR="00992FD0" w:rsidRPr="00EC250C">
        <w:t xml:space="preserve"> w </w:t>
      </w:r>
      <w:r w:rsidRPr="00EC250C">
        <w:t>przyszłości dozwolone przez porządek prawny.</w:t>
      </w:r>
    </w:p>
    <w:p w14:paraId="096B47CB" w14:textId="77777777" w:rsidR="00C91F6E" w:rsidRPr="00EC250C" w:rsidRDefault="00DB4459" w:rsidP="00D131FA">
      <w:pPr>
        <w:pStyle w:val="Styl1"/>
      </w:pPr>
      <w:r w:rsidRPr="00EC250C">
        <w:t>Wątpliwości RPO budzi także przepis,</w:t>
      </w:r>
      <w:r w:rsidR="00992FD0" w:rsidRPr="00EC250C">
        <w:t xml:space="preserve"> w </w:t>
      </w:r>
      <w:r w:rsidRPr="00EC250C">
        <w:t>którym przewidziano że po upływie 20 lat od wejścia</w:t>
      </w:r>
      <w:r w:rsidR="00992FD0" w:rsidRPr="00EC250C">
        <w:t xml:space="preserve"> w </w:t>
      </w:r>
      <w:r w:rsidRPr="00EC250C">
        <w:t>życie ustawy lub po śmierci dawców zarodka, zostanie on przekazany do tzw. dawstwa. Tym samym, wbrew woli dawczyni (a nawet bez jej wiedzy), inna kobieta może urodzić pochodzące</w:t>
      </w:r>
      <w:r w:rsidR="00992FD0" w:rsidRPr="00EC250C">
        <w:t xml:space="preserve"> z </w:t>
      </w:r>
      <w:r w:rsidRPr="00EC250C">
        <w:t>tej komórki dziecko.</w:t>
      </w:r>
    </w:p>
    <w:p w14:paraId="73ADE08E" w14:textId="77777777" w:rsidR="00C91F6E" w:rsidRPr="00EC250C" w:rsidRDefault="00DB4459" w:rsidP="00D131FA">
      <w:pPr>
        <w:pStyle w:val="Styl1"/>
      </w:pPr>
      <w:r w:rsidRPr="00EC250C">
        <w:t>W 2018</w:t>
      </w:r>
      <w:r w:rsidR="00C91F6E" w:rsidRPr="00EC250C">
        <w:t> r.</w:t>
      </w:r>
      <w:r w:rsidRPr="00EC250C">
        <w:t xml:space="preserve"> Trybunał Konstytucyjny umorzył</w:t>
      </w:r>
      <w:r w:rsidRPr="00EC250C">
        <w:rPr>
          <w:vertAlign w:val="superscript"/>
        </w:rPr>
        <w:footnoteReference w:id="261"/>
      </w:r>
      <w:r w:rsidRPr="00EC250C">
        <w:t xml:space="preserve"> postępowanie</w:t>
      </w:r>
      <w:r w:rsidR="0030270C" w:rsidRPr="00EC250C">
        <w:t>. Z</w:t>
      </w:r>
      <w:r w:rsidRPr="00EC250C">
        <w:t>auważył, że zakwestionowan</w:t>
      </w:r>
      <w:r w:rsidR="0030270C" w:rsidRPr="00EC250C">
        <w:t>e</w:t>
      </w:r>
      <w:r w:rsidRPr="00EC250C">
        <w:t xml:space="preserve"> przepis</w:t>
      </w:r>
      <w:r w:rsidR="0030270C" w:rsidRPr="00EC250C">
        <w:t>y</w:t>
      </w:r>
      <w:r w:rsidRPr="00EC250C">
        <w:t xml:space="preserve"> dotyczą tylko par małżeńskich albo konkubinatów. </w:t>
      </w:r>
      <w:r w:rsidR="0030270C" w:rsidRPr="00EC250C">
        <w:t>N</w:t>
      </w:r>
      <w:r w:rsidRPr="00EC250C">
        <w:t>ie mają natomiast zastosowania do samotnych kobiet, które zdeponowały zarodki przed wejściem</w:t>
      </w:r>
      <w:r w:rsidR="00992FD0" w:rsidRPr="00EC250C">
        <w:t xml:space="preserve"> w </w:t>
      </w:r>
      <w:r w:rsidRPr="00EC250C">
        <w:t>życie ustawy.</w:t>
      </w:r>
    </w:p>
    <w:p w14:paraId="708C8F0F" w14:textId="77777777" w:rsidR="00DB4459" w:rsidRPr="00EC250C" w:rsidRDefault="00DB4459" w:rsidP="00D131FA">
      <w:pPr>
        <w:pStyle w:val="Styl1"/>
      </w:pPr>
      <w:r w:rsidRPr="00EC250C">
        <w:t>Niezależnie od umorzenia postępowania Trybunał Konstytucyjny za celowe uznał wystąpienie do Sejmu</w:t>
      </w:r>
      <w:r w:rsidR="00992FD0" w:rsidRPr="00EC250C">
        <w:t xml:space="preserve"> z </w:t>
      </w:r>
      <w:r w:rsidRPr="00EC250C">
        <w:t>postanowieniem sygnalizacyjnym.</w:t>
      </w:r>
    </w:p>
    <w:p w14:paraId="5B592CCE" w14:textId="77777777" w:rsidR="00C91F6E" w:rsidRPr="00EC250C" w:rsidRDefault="000F61CE" w:rsidP="00EC250C">
      <w:pPr>
        <w:pStyle w:val="Nagwek8"/>
      </w:pPr>
      <w:r w:rsidRPr="00EC250C">
        <w:lastRenderedPageBreak/>
        <w:t>Kongres Praw Rodzicielskich</w:t>
      </w:r>
    </w:p>
    <w:p w14:paraId="0718CC82" w14:textId="77777777" w:rsidR="000F61CE" w:rsidRPr="00EC250C" w:rsidRDefault="000F61CE" w:rsidP="00D131FA">
      <w:pPr>
        <w:pStyle w:val="Styl2"/>
        <w:rPr>
          <w:szCs w:val="24"/>
        </w:rPr>
      </w:pPr>
      <w:r w:rsidRPr="00EC250C">
        <w:rPr>
          <w:szCs w:val="24"/>
        </w:rPr>
        <w:t>Przed rodziną stają nowe wyzwania, pojawiają się nowe kryzysy. Co roku prawie 70 tysięcy par decyduje się na rozwód. Dla nich to stres. Dla dzieci – zawalenie się bezpiecznego świata. W czasie rozwodów bardzo często pojawiają się negatywne emocje, poczucie krzywdy, żalu. Rodzice zapominają, że pomiędzy nimi jest bezbronne dziecko. Nie wiedzą</w:t>
      </w:r>
      <w:r w:rsidR="00992FD0" w:rsidRPr="00EC250C">
        <w:rPr>
          <w:szCs w:val="24"/>
        </w:rPr>
        <w:t xml:space="preserve"> i </w:t>
      </w:r>
      <w:r w:rsidRPr="00EC250C">
        <w:rPr>
          <w:szCs w:val="24"/>
        </w:rPr>
        <w:t>nie umieją rozwiązywać konfliktu</w:t>
      </w:r>
      <w:r w:rsidR="00992FD0" w:rsidRPr="00EC250C">
        <w:rPr>
          <w:szCs w:val="24"/>
        </w:rPr>
        <w:t xml:space="preserve"> w </w:t>
      </w:r>
      <w:r w:rsidRPr="00EC250C">
        <w:rPr>
          <w:szCs w:val="24"/>
        </w:rPr>
        <w:t>sposób, który nie niszczy wzajemnych relacji (i relacji</w:t>
      </w:r>
      <w:r w:rsidR="00992FD0" w:rsidRPr="00EC250C">
        <w:rPr>
          <w:szCs w:val="24"/>
        </w:rPr>
        <w:t xml:space="preserve"> z </w:t>
      </w:r>
      <w:r w:rsidRPr="00EC250C">
        <w:rPr>
          <w:szCs w:val="24"/>
        </w:rPr>
        <w:t>dzieckiem).</w:t>
      </w:r>
    </w:p>
    <w:p w14:paraId="5D6A3964" w14:textId="77777777" w:rsidR="000F61CE" w:rsidRPr="00EC250C" w:rsidRDefault="0030270C" w:rsidP="00D131FA">
      <w:pPr>
        <w:pStyle w:val="Styl2"/>
        <w:rPr>
          <w:szCs w:val="24"/>
        </w:rPr>
      </w:pPr>
      <w:r w:rsidRPr="00EC250C">
        <w:rPr>
          <w:szCs w:val="24"/>
        </w:rPr>
        <w:t xml:space="preserve">Problem jest zbyt skomplikowany, by rozwiązania były proste. Dlatego Rzecznik </w:t>
      </w:r>
      <w:r w:rsidR="00C079A6" w:rsidRPr="00EC250C">
        <w:rPr>
          <w:szCs w:val="24"/>
        </w:rPr>
        <w:t xml:space="preserve">Praw Obywatelskich </w:t>
      </w:r>
      <w:r w:rsidRPr="00EC250C">
        <w:rPr>
          <w:szCs w:val="24"/>
        </w:rPr>
        <w:t>wspólnie</w:t>
      </w:r>
      <w:r w:rsidR="00992FD0" w:rsidRPr="00EC250C">
        <w:rPr>
          <w:szCs w:val="24"/>
        </w:rPr>
        <w:t xml:space="preserve"> z </w:t>
      </w:r>
      <w:r w:rsidRPr="00EC250C">
        <w:rPr>
          <w:szCs w:val="24"/>
        </w:rPr>
        <w:t>Akademią Pedagogiki Specjalnej im. Marii Grzegorzewskiej zorganizował 25</w:t>
      </w:r>
      <w:r w:rsidR="00992FD0" w:rsidRPr="00EC250C">
        <w:rPr>
          <w:szCs w:val="24"/>
        </w:rPr>
        <w:t xml:space="preserve"> i </w:t>
      </w:r>
      <w:r w:rsidRPr="00EC250C">
        <w:rPr>
          <w:szCs w:val="24"/>
        </w:rPr>
        <w:t>25 czerwca 2018</w:t>
      </w:r>
      <w:r w:rsidR="00C91F6E" w:rsidRPr="00EC250C">
        <w:rPr>
          <w:szCs w:val="24"/>
        </w:rPr>
        <w:t> r.</w:t>
      </w:r>
      <w:r w:rsidR="00992FD0" w:rsidRPr="00EC250C">
        <w:rPr>
          <w:szCs w:val="24"/>
        </w:rPr>
        <w:t xml:space="preserve"> w </w:t>
      </w:r>
      <w:r w:rsidRPr="00EC250C">
        <w:rPr>
          <w:szCs w:val="24"/>
        </w:rPr>
        <w:t>Warszawie Kongres Praw Rodzicielskich. Do udziału zaprosił wszystkie zainteresowane instytucje</w:t>
      </w:r>
      <w:r w:rsidR="00992FD0" w:rsidRPr="00EC250C">
        <w:rPr>
          <w:szCs w:val="24"/>
        </w:rPr>
        <w:t xml:space="preserve"> i </w:t>
      </w:r>
      <w:r w:rsidRPr="00EC250C">
        <w:rPr>
          <w:szCs w:val="24"/>
        </w:rPr>
        <w:t>organizacje społeczne,</w:t>
      </w:r>
      <w:r w:rsidR="00992FD0" w:rsidRPr="00EC250C">
        <w:rPr>
          <w:szCs w:val="24"/>
        </w:rPr>
        <w:t xml:space="preserve"> w </w:t>
      </w:r>
      <w:r w:rsidRPr="00EC250C">
        <w:rPr>
          <w:szCs w:val="24"/>
        </w:rPr>
        <w:t>tym ojcowskie</w:t>
      </w:r>
      <w:r w:rsidR="00992FD0" w:rsidRPr="00EC250C">
        <w:rPr>
          <w:szCs w:val="24"/>
        </w:rPr>
        <w:t xml:space="preserve"> i </w:t>
      </w:r>
      <w:r w:rsidRPr="00EC250C">
        <w:rPr>
          <w:szCs w:val="24"/>
        </w:rPr>
        <w:t>matczyne, oraz przedstawicieli środowisk prawniczych</w:t>
      </w:r>
      <w:r w:rsidR="00992FD0" w:rsidRPr="00EC250C">
        <w:rPr>
          <w:szCs w:val="24"/>
        </w:rPr>
        <w:t xml:space="preserve"> i </w:t>
      </w:r>
      <w:r w:rsidRPr="00EC250C">
        <w:rPr>
          <w:szCs w:val="24"/>
        </w:rPr>
        <w:t>naukowych oraz ministerstw: rodziny</w:t>
      </w:r>
      <w:r w:rsidR="00992FD0" w:rsidRPr="00EC250C">
        <w:rPr>
          <w:szCs w:val="24"/>
        </w:rPr>
        <w:t xml:space="preserve"> i </w:t>
      </w:r>
      <w:r w:rsidRPr="00EC250C">
        <w:rPr>
          <w:szCs w:val="24"/>
        </w:rPr>
        <w:t>sprawiedliwości. 14 paneli pozwoliło się skupić na konkretnych zagadnieniach,</w:t>
      </w:r>
      <w:r w:rsidR="00992FD0" w:rsidRPr="00EC250C">
        <w:rPr>
          <w:szCs w:val="24"/>
        </w:rPr>
        <w:t xml:space="preserve"> a </w:t>
      </w:r>
      <w:r w:rsidRPr="00EC250C">
        <w:rPr>
          <w:szCs w:val="24"/>
        </w:rPr>
        <w:t>rekomendacje zostały przedstawione</w:t>
      </w:r>
      <w:r w:rsidR="00992FD0" w:rsidRPr="00EC250C">
        <w:rPr>
          <w:szCs w:val="24"/>
        </w:rPr>
        <w:t xml:space="preserve"> w </w:t>
      </w:r>
      <w:r w:rsidRPr="00EC250C">
        <w:rPr>
          <w:szCs w:val="24"/>
        </w:rPr>
        <w:t xml:space="preserve">czasie podsumowania Kongresu </w:t>
      </w:r>
      <w:r w:rsidR="007113FE" w:rsidRPr="00EC250C">
        <w:rPr>
          <w:rStyle w:val="Odwoanieprzypisudolnego"/>
          <w:szCs w:val="24"/>
        </w:rPr>
        <w:footnoteReference w:id="262"/>
      </w:r>
      <w:r w:rsidR="002E0EB1" w:rsidRPr="00EC250C">
        <w:rPr>
          <w:szCs w:val="24"/>
        </w:rPr>
        <w:t>.</w:t>
      </w:r>
    </w:p>
    <w:p w14:paraId="4F28AAF0" w14:textId="77777777" w:rsidR="00783A44" w:rsidRPr="00EC250C" w:rsidRDefault="00783A44" w:rsidP="00D131FA">
      <w:pPr>
        <w:pStyle w:val="ODESANIE"/>
        <w:jc w:val="both"/>
      </w:pPr>
      <w:r w:rsidRPr="00EC250C">
        <w:t>Rekomendacje Kongresu Praw Rodzicielskich – patrz cz. III Informacji</w:t>
      </w:r>
    </w:p>
    <w:p w14:paraId="66328B75" w14:textId="77777777" w:rsidR="002E0EB1" w:rsidRPr="00EC250C" w:rsidRDefault="002E0EB1" w:rsidP="00D131FA">
      <w:pPr>
        <w:pStyle w:val="ODESANIE"/>
        <w:jc w:val="both"/>
        <w:rPr>
          <w:lang w:eastAsia="en-US"/>
        </w:rPr>
      </w:pPr>
      <w:r w:rsidRPr="00EC250C">
        <w:t>Sprawa dziecka, którego wbrew umowie ojciec nie odwiózł matce. Oller Kamińska v. Polska, przed ETPCz –patrz załącznik „Sprawy obywateli polskich przed ETPCz”</w:t>
      </w:r>
    </w:p>
    <w:p w14:paraId="3C1CF247" w14:textId="77777777" w:rsidR="00C91F6E" w:rsidRPr="00EC250C" w:rsidRDefault="0045271D" w:rsidP="00EC250C">
      <w:pPr>
        <w:pStyle w:val="Nagwek5"/>
      </w:pPr>
      <w:bookmarkStart w:id="255" w:name="_Toc6257741"/>
      <w:r w:rsidRPr="00EC250C">
        <w:t>Kontakty</w:t>
      </w:r>
      <w:r w:rsidR="00992FD0" w:rsidRPr="00EC250C">
        <w:t xml:space="preserve"> z </w:t>
      </w:r>
      <w:r w:rsidRPr="00EC250C">
        <w:t>osobą bliską całkowicie ubezwłasnowolnioną</w:t>
      </w:r>
      <w:bookmarkEnd w:id="255"/>
    </w:p>
    <w:p w14:paraId="3D87616A" w14:textId="77777777" w:rsidR="00B473F5" w:rsidRPr="00EC250C" w:rsidRDefault="0045271D" w:rsidP="00D131FA">
      <w:pPr>
        <w:pStyle w:val="Problemczowieka"/>
        <w:jc w:val="both"/>
        <w:rPr>
          <w:rStyle w:val="Pogrubienie"/>
          <w:b/>
          <w:bCs w:val="0"/>
        </w:rPr>
      </w:pPr>
      <w:r w:rsidRPr="00EC250C">
        <w:rPr>
          <w:rStyle w:val="Pogrubienie"/>
          <w:b/>
          <w:bCs w:val="0"/>
        </w:rPr>
        <w:t>Bliscy osoby dorosłej całkowicie ubezwłasnowolnionej są bezradni, jeśli</w:t>
      </w:r>
      <w:r w:rsidR="00CC4D88" w:rsidRPr="00EC250C">
        <w:rPr>
          <w:rStyle w:val="Pogrubienie"/>
          <w:b/>
          <w:bCs w:val="0"/>
        </w:rPr>
        <w:t xml:space="preserve"> </w:t>
      </w:r>
      <w:r w:rsidRPr="00EC250C">
        <w:rPr>
          <w:rStyle w:val="Pogrubienie"/>
          <w:b/>
          <w:bCs w:val="0"/>
        </w:rPr>
        <w:t>jej prawny opiekun uniemożliwia im kontaktowanie się</w:t>
      </w:r>
      <w:r w:rsidR="00992FD0" w:rsidRPr="00EC250C">
        <w:rPr>
          <w:rStyle w:val="Pogrubienie"/>
          <w:b/>
          <w:bCs w:val="0"/>
        </w:rPr>
        <w:t xml:space="preserve"> z </w:t>
      </w:r>
      <w:r w:rsidRPr="00EC250C">
        <w:rPr>
          <w:rStyle w:val="Pogrubienie"/>
          <w:b/>
          <w:bCs w:val="0"/>
        </w:rPr>
        <w:t>nią</w:t>
      </w:r>
      <w:r w:rsidR="00B473F5" w:rsidRPr="00EC250C">
        <w:rPr>
          <w:rStyle w:val="Pogrubienie"/>
          <w:b/>
          <w:bCs w:val="0"/>
        </w:rPr>
        <w:t>.</w:t>
      </w:r>
    </w:p>
    <w:p w14:paraId="0DB0EE43" w14:textId="77777777" w:rsidR="0045271D" w:rsidRPr="00EC250C" w:rsidRDefault="0045271D" w:rsidP="00D131FA">
      <w:pPr>
        <w:pStyle w:val="Styl1"/>
      </w:pPr>
      <w:r w:rsidRPr="00EC250C">
        <w:rPr>
          <w:rStyle w:val="Pogrubienie"/>
          <w:b w:val="0"/>
          <w:bCs w:val="0"/>
        </w:rPr>
        <w:t>Rzecznik Praw Obywatelskich zaproponował, aby</w:t>
      </w:r>
      <w:r w:rsidR="00992FD0" w:rsidRPr="00EC250C">
        <w:rPr>
          <w:rStyle w:val="Pogrubienie"/>
          <w:b w:val="0"/>
          <w:bCs w:val="0"/>
        </w:rPr>
        <w:t xml:space="preserve"> w </w:t>
      </w:r>
      <w:r w:rsidRPr="00EC250C">
        <w:rPr>
          <w:rStyle w:val="Pogrubienie"/>
          <w:b w:val="0"/>
          <w:bCs w:val="0"/>
        </w:rPr>
        <w:t>takich sytuacjach sąd mógł wdrażać postępowania</w:t>
      </w:r>
      <w:r w:rsidR="00992FD0" w:rsidRPr="00EC250C">
        <w:rPr>
          <w:rStyle w:val="Pogrubienie"/>
          <w:b w:val="0"/>
          <w:bCs w:val="0"/>
        </w:rPr>
        <w:t xml:space="preserve"> z </w:t>
      </w:r>
      <w:r w:rsidRPr="00EC250C">
        <w:rPr>
          <w:rStyle w:val="Pogrubienie"/>
          <w:b w:val="0"/>
          <w:bCs w:val="0"/>
        </w:rPr>
        <w:t>urzędu</w:t>
      </w:r>
      <w:r w:rsidR="00026572" w:rsidRPr="00EC250C">
        <w:rPr>
          <w:rStyle w:val="Pogrubienie"/>
          <w:b w:val="0"/>
          <w:bCs w:val="0"/>
        </w:rPr>
        <w:t xml:space="preserve"> – </w:t>
      </w:r>
      <w:r w:rsidRPr="00EC250C">
        <w:rPr>
          <w:rStyle w:val="Pogrubienie"/>
          <w:b w:val="0"/>
          <w:bCs w:val="0"/>
        </w:rPr>
        <w:t>na wniosek zainteresowanych</w:t>
      </w:r>
      <w:r w:rsidR="004D4F54" w:rsidRPr="00EC250C">
        <w:rPr>
          <w:rStyle w:val="Pogrubienie"/>
          <w:b w:val="0"/>
          <w:bCs w:val="0"/>
        </w:rPr>
        <w:t>.</w:t>
      </w:r>
    </w:p>
    <w:p w14:paraId="57B13025" w14:textId="77777777" w:rsidR="00C91F6E" w:rsidRPr="00EC250C" w:rsidRDefault="0045271D" w:rsidP="00D131FA">
      <w:pPr>
        <w:pStyle w:val="Styl1"/>
      </w:pPr>
      <w:r w:rsidRPr="00EC250C">
        <w:t>Sprawą kolejni rzecznicy praw obywatelskich zajmowali się od 2013</w:t>
      </w:r>
      <w:r w:rsidR="00C91F6E" w:rsidRPr="00EC250C">
        <w:t> r.</w:t>
      </w:r>
      <w:r w:rsidRPr="00EC250C">
        <w:t xml:space="preserve"> Minister Sprawiedliwości </w:t>
      </w:r>
      <w:r w:rsidR="004D4F54" w:rsidRPr="00EC250C">
        <w:t xml:space="preserve">uważa, że </w:t>
      </w:r>
      <w:r w:rsidRPr="00EC250C">
        <w:t>wystarczają obecne regulacje: wobec nieuzasadnionego odmawiania kontaktu, sąd może zobowiązać opiekuna do określonego postępowania.</w:t>
      </w:r>
      <w:r w:rsidR="004D4F54" w:rsidRPr="00EC250C">
        <w:t xml:space="preserve"> </w:t>
      </w:r>
      <w:r w:rsidR="00C079A6" w:rsidRPr="00EC250C">
        <w:t xml:space="preserve">RPO </w:t>
      </w:r>
      <w:r w:rsidRPr="00EC250C">
        <w:t>zwrócił jednak uwagę, że sąd opiekuńczy nie jest uprawniony do wszczęcia postępowania opiekunowi bez wniosku tego opiekuna.</w:t>
      </w:r>
      <w:r w:rsidR="004D4F54" w:rsidRPr="00EC250C">
        <w:t xml:space="preserve"> </w:t>
      </w:r>
      <w:r w:rsidRPr="00EC250C">
        <w:t xml:space="preserve">W ocenie </w:t>
      </w:r>
      <w:r w:rsidR="00C079A6" w:rsidRPr="00EC250C">
        <w:t>RPO</w:t>
      </w:r>
      <w:r w:rsidRPr="00EC250C">
        <w:t xml:space="preserve"> </w:t>
      </w:r>
      <w:r w:rsidR="004D4F54" w:rsidRPr="00EC250C">
        <w:t>potrzebne są zmiany prawa</w:t>
      </w:r>
      <w:r w:rsidRPr="00EC250C">
        <w:t>, które umożliwiałyby sądowi</w:t>
      </w:r>
      <w:r w:rsidR="00026572" w:rsidRPr="00EC250C">
        <w:t xml:space="preserve"> – </w:t>
      </w:r>
      <w:r w:rsidRPr="00EC250C">
        <w:t>na skutek sygnału przekazanego przez zainteresowane osoby</w:t>
      </w:r>
      <w:r w:rsidR="00026572" w:rsidRPr="00EC250C">
        <w:t xml:space="preserve"> – </w:t>
      </w:r>
      <w:r w:rsidRPr="00EC250C">
        <w:t>wszczęcie postępowania</w:t>
      </w:r>
      <w:r w:rsidR="00992FD0" w:rsidRPr="00EC250C">
        <w:t xml:space="preserve"> w </w:t>
      </w:r>
      <w:r w:rsidRPr="00EC250C">
        <w:t>tego typu sprawach</w:t>
      </w:r>
      <w:r w:rsidR="00992FD0" w:rsidRPr="00EC250C">
        <w:t xml:space="preserve"> z </w:t>
      </w:r>
      <w:r w:rsidRPr="00EC250C">
        <w:t>urzędu</w:t>
      </w:r>
      <w:r w:rsidR="004173F9" w:rsidRPr="00EC250C">
        <w:t>.</w:t>
      </w:r>
    </w:p>
    <w:p w14:paraId="4390D0EF" w14:textId="77777777" w:rsidR="00ED58E3" w:rsidRPr="00EC250C" w:rsidRDefault="00ED58E3" w:rsidP="00D131FA">
      <w:pPr>
        <w:pStyle w:val="Styl1"/>
      </w:pPr>
      <w:r w:rsidRPr="00EC250C">
        <w:t xml:space="preserve">Minister </w:t>
      </w:r>
      <w:r w:rsidR="007739A3" w:rsidRPr="00EC250C">
        <w:t>Sprawiedliwości nadal nie widzi potrzeby zmian</w:t>
      </w:r>
      <w:r w:rsidR="002F1FE4" w:rsidRPr="00EC250C">
        <w:rPr>
          <w:rStyle w:val="Odwoanieprzypisudolnego"/>
        </w:rPr>
        <w:footnoteReference w:id="263"/>
      </w:r>
      <w:r w:rsidRPr="00EC250C">
        <w:t>.</w:t>
      </w:r>
    </w:p>
    <w:p w14:paraId="25AC4455" w14:textId="77777777" w:rsidR="00380CC8" w:rsidRPr="00EC250C" w:rsidRDefault="00F22483" w:rsidP="00D131FA">
      <w:pPr>
        <w:pStyle w:val="ODESANIE"/>
        <w:jc w:val="both"/>
      </w:pPr>
      <w:r w:rsidRPr="00EC250C">
        <w:lastRenderedPageBreak/>
        <w:t>O problemie ubezwłasnowolnienia – zobacz art. 30 Konstytucji</w:t>
      </w:r>
    </w:p>
    <w:p w14:paraId="5CC62CBF" w14:textId="77777777" w:rsidR="00A840EB" w:rsidRPr="00EC250C" w:rsidRDefault="00A840EB" w:rsidP="00EC250C">
      <w:pPr>
        <w:pStyle w:val="Nagwek5"/>
      </w:pPr>
      <w:r w:rsidRPr="00EC250C">
        <w:t>Zagrożone relacje osób pozbawionych wolności</w:t>
      </w:r>
      <w:r w:rsidR="00992FD0" w:rsidRPr="00EC250C">
        <w:t xml:space="preserve"> z </w:t>
      </w:r>
      <w:r w:rsidRPr="00EC250C">
        <w:t>bliskimi</w:t>
      </w:r>
    </w:p>
    <w:p w14:paraId="39AF7A3F" w14:textId="77777777" w:rsidR="00C91F6E" w:rsidRPr="00EC250C" w:rsidRDefault="00A840EB" w:rsidP="00D131FA">
      <w:pPr>
        <w:pStyle w:val="Srdtytul6"/>
        <w:jc w:val="both"/>
      </w:pPr>
      <w:r w:rsidRPr="00EC250C">
        <w:t>Zawieranie związków małżeńskich przez aresztowanych</w:t>
      </w:r>
    </w:p>
    <w:p w14:paraId="1BF19B14" w14:textId="77777777" w:rsidR="00B473F5" w:rsidRPr="00EC250C" w:rsidRDefault="00A840EB" w:rsidP="00D131FA">
      <w:pPr>
        <w:pStyle w:val="Problemczowieka"/>
        <w:jc w:val="both"/>
        <w:rPr>
          <w:rStyle w:val="Pogrubienie"/>
          <w:b/>
          <w:bCs w:val="0"/>
        </w:rPr>
      </w:pPr>
      <w:r w:rsidRPr="00EC250C">
        <w:rPr>
          <w:rStyle w:val="Pogrubienie"/>
          <w:b/>
          <w:bCs w:val="0"/>
        </w:rPr>
        <w:t>Wniosek tymczasowo aresztowanego</w:t>
      </w:r>
      <w:r w:rsidR="00992FD0" w:rsidRPr="00EC250C">
        <w:rPr>
          <w:rStyle w:val="Pogrubienie"/>
          <w:b/>
          <w:bCs w:val="0"/>
        </w:rPr>
        <w:t xml:space="preserve"> o </w:t>
      </w:r>
      <w:r w:rsidRPr="00EC250C">
        <w:rPr>
          <w:rStyle w:val="Pogrubienie"/>
          <w:b/>
          <w:bCs w:val="0"/>
        </w:rPr>
        <w:t>wyrażenie zgody na zawarcie związku małżeńskiego jest</w:t>
      </w:r>
      <w:r w:rsidR="00992FD0" w:rsidRPr="00EC250C">
        <w:rPr>
          <w:rStyle w:val="Pogrubienie"/>
          <w:b/>
          <w:bCs w:val="0"/>
        </w:rPr>
        <w:t xml:space="preserve"> w </w:t>
      </w:r>
      <w:r w:rsidRPr="00EC250C">
        <w:rPr>
          <w:rStyle w:val="Pogrubienie"/>
          <w:b/>
          <w:bCs w:val="0"/>
        </w:rPr>
        <w:t>istocie wnioskiem</w:t>
      </w:r>
      <w:r w:rsidR="00992FD0" w:rsidRPr="00EC250C">
        <w:rPr>
          <w:rStyle w:val="Pogrubienie"/>
          <w:b/>
          <w:bCs w:val="0"/>
        </w:rPr>
        <w:t xml:space="preserve"> o </w:t>
      </w:r>
      <w:r w:rsidRPr="00EC250C">
        <w:rPr>
          <w:rStyle w:val="Pogrubienie"/>
          <w:b/>
          <w:bCs w:val="0"/>
        </w:rPr>
        <w:t>udzielenie zgody na widzenie. Udzielenie takiego widzenia</w:t>
      </w:r>
      <w:r w:rsidR="00992FD0" w:rsidRPr="00EC250C">
        <w:rPr>
          <w:rStyle w:val="Pogrubienie"/>
          <w:b/>
          <w:bCs w:val="0"/>
        </w:rPr>
        <w:t xml:space="preserve"> w </w:t>
      </w:r>
      <w:r w:rsidRPr="00EC250C">
        <w:rPr>
          <w:rStyle w:val="Pogrubienie"/>
          <w:b/>
          <w:bCs w:val="0"/>
        </w:rPr>
        <w:t>ocenie organu dysponującego może nie być wskazane</w:t>
      </w:r>
      <w:r w:rsidR="00992FD0" w:rsidRPr="00EC250C">
        <w:rPr>
          <w:rStyle w:val="Pogrubienie"/>
          <w:b/>
          <w:bCs w:val="0"/>
        </w:rPr>
        <w:t xml:space="preserve"> z </w:t>
      </w:r>
      <w:r w:rsidRPr="00EC250C">
        <w:rPr>
          <w:rStyle w:val="Pogrubienie"/>
          <w:b/>
          <w:bCs w:val="0"/>
        </w:rPr>
        <w:t>uwagi na dobro postępowania. Wnioskujący nie wiedzą, że</w:t>
      </w:r>
      <w:r w:rsidR="00992FD0" w:rsidRPr="00EC250C">
        <w:rPr>
          <w:rStyle w:val="Pogrubienie"/>
          <w:b/>
          <w:bCs w:val="0"/>
        </w:rPr>
        <w:t xml:space="preserve"> w </w:t>
      </w:r>
      <w:r w:rsidRPr="00EC250C">
        <w:rPr>
          <w:rStyle w:val="Pogrubienie"/>
          <w:b/>
          <w:bCs w:val="0"/>
        </w:rPr>
        <w:t>takiej sytuacji mają prawo wziąć ślub przez pełnomocnika</w:t>
      </w:r>
      <w:r w:rsidR="00B473F5" w:rsidRPr="00EC250C">
        <w:rPr>
          <w:rStyle w:val="Pogrubienie"/>
          <w:b/>
          <w:bCs w:val="0"/>
        </w:rPr>
        <w:t>.</w:t>
      </w:r>
    </w:p>
    <w:p w14:paraId="1ED72017" w14:textId="77777777" w:rsidR="00A840EB" w:rsidRPr="00EC250C" w:rsidRDefault="00A840EB" w:rsidP="00D131FA">
      <w:pPr>
        <w:pStyle w:val="Styl1"/>
      </w:pPr>
      <w:r w:rsidRPr="00EC250C">
        <w:t>Przykładem jest sprawa człowieka, który</w:t>
      </w:r>
      <w:r w:rsidR="00992FD0" w:rsidRPr="00EC250C">
        <w:t xml:space="preserve"> w </w:t>
      </w:r>
      <w:r w:rsidRPr="00EC250C">
        <w:t>2017</w:t>
      </w:r>
      <w:r w:rsidR="00C91F6E" w:rsidRPr="00EC250C">
        <w:t> r.</w:t>
      </w:r>
      <w:r w:rsidRPr="00EC250C">
        <w:t xml:space="preserve"> nie dostał zgody na widzenie, by móc zawrzeć związek małżeński. Był on oskarżony</w:t>
      </w:r>
      <w:r w:rsidR="00992FD0" w:rsidRPr="00EC250C">
        <w:t xml:space="preserve"> o </w:t>
      </w:r>
      <w:r w:rsidRPr="00EC250C">
        <w:t>przestępstwa przeciwko wolności seksualnej małoletniej córki swojej partnerki. Podstawą aresztu była m.in. obawa utrudniania postępowania karnego</w:t>
      </w:r>
      <w:r w:rsidR="00992FD0" w:rsidRPr="00EC250C">
        <w:t xml:space="preserve"> i </w:t>
      </w:r>
      <w:r w:rsidRPr="00EC250C">
        <w:t>wpływanie na zeznania świadków (partnerka jest jednym</w:t>
      </w:r>
      <w:r w:rsidR="00992FD0" w:rsidRPr="00EC250C">
        <w:t xml:space="preserve"> z </w:t>
      </w:r>
      <w:r w:rsidRPr="00EC250C">
        <w:t>nich)</w:t>
      </w:r>
      <w:r w:rsidR="00992FD0" w:rsidRPr="00EC250C">
        <w:t xml:space="preserve"> i </w:t>
      </w:r>
      <w:r w:rsidRPr="00EC250C">
        <w:t>pokrzywdzonej.</w:t>
      </w:r>
    </w:p>
    <w:p w14:paraId="3DF6D352" w14:textId="77777777" w:rsidR="00A840EB" w:rsidRPr="00EC250C" w:rsidRDefault="00C079A6" w:rsidP="00D131FA">
      <w:pPr>
        <w:pStyle w:val="Styl1"/>
      </w:pPr>
      <w:r w:rsidRPr="00EC250C">
        <w:t>RPO</w:t>
      </w:r>
      <w:r w:rsidR="00A840EB" w:rsidRPr="00EC250C">
        <w:t xml:space="preserve"> uznał argumenty prokuratury. Ale przypomniał, że prawo dopuszcza</w:t>
      </w:r>
      <w:r w:rsidR="00026572" w:rsidRPr="00EC250C">
        <w:t xml:space="preserve"> – </w:t>
      </w:r>
      <w:r w:rsidR="00A840EB" w:rsidRPr="00EC250C">
        <w:t xml:space="preserve">za zezwoleniem sądu – na zawarcia związku małżeńskiego przez pełnomocnika. </w:t>
      </w:r>
      <w:r w:rsidRPr="00EC250C">
        <w:rPr>
          <w:rStyle w:val="Pogrubienie"/>
          <w:b w:val="0"/>
          <w:bCs w:val="0"/>
        </w:rPr>
        <w:t>W</w:t>
      </w:r>
      <w:r w:rsidR="00A840EB" w:rsidRPr="00EC250C">
        <w:rPr>
          <w:rStyle w:val="Pogrubienie"/>
          <w:b w:val="0"/>
          <w:bCs w:val="0"/>
        </w:rPr>
        <w:t>nosi, aby każdy aresztowany, któremu sąd odmówił zgody na ślub, był powiadamiany</w:t>
      </w:r>
      <w:r w:rsidR="00992FD0" w:rsidRPr="00EC250C">
        <w:rPr>
          <w:rStyle w:val="Pogrubienie"/>
          <w:b w:val="0"/>
          <w:bCs w:val="0"/>
        </w:rPr>
        <w:t xml:space="preserve"> o </w:t>
      </w:r>
      <w:r w:rsidR="00A840EB" w:rsidRPr="00EC250C">
        <w:rPr>
          <w:rStyle w:val="Pogrubienie"/>
          <w:b w:val="0"/>
          <w:bCs w:val="0"/>
        </w:rPr>
        <w:t>takiej możliwości</w:t>
      </w:r>
      <w:r w:rsidR="00A840EB" w:rsidRPr="00EC250C">
        <w:t>.</w:t>
      </w:r>
    </w:p>
    <w:p w14:paraId="4115B6C6" w14:textId="77777777" w:rsidR="00A840EB" w:rsidRPr="00EC250C" w:rsidRDefault="00A840EB" w:rsidP="00D131FA">
      <w:pPr>
        <w:pStyle w:val="Styl1"/>
        <w:rPr>
          <w:bCs/>
          <w:iCs/>
        </w:rPr>
      </w:pPr>
      <w:r w:rsidRPr="00EC250C">
        <w:rPr>
          <w:bCs/>
          <w:iCs/>
        </w:rPr>
        <w:t>Minister Sprawiedliwości wyjaśnił jednak, że nie ma prawa do wydawania sądom takich pouczeń</w:t>
      </w:r>
      <w:r w:rsidRPr="00EC250C">
        <w:rPr>
          <w:rStyle w:val="Odwoanieprzypisudolnego"/>
        </w:rPr>
        <w:footnoteReference w:id="264"/>
      </w:r>
      <w:r w:rsidRPr="00EC250C">
        <w:rPr>
          <w:bCs/>
          <w:iCs/>
        </w:rPr>
        <w:t>.</w:t>
      </w:r>
    </w:p>
    <w:p w14:paraId="7911966E" w14:textId="77777777" w:rsidR="00A840EB" w:rsidRPr="00EC250C" w:rsidRDefault="00A840EB" w:rsidP="00D131FA">
      <w:pPr>
        <w:pStyle w:val="Srdtytul6"/>
        <w:jc w:val="both"/>
      </w:pPr>
      <w:r w:rsidRPr="00EC250C">
        <w:t>Ślub</w:t>
      </w:r>
      <w:r w:rsidR="00992FD0" w:rsidRPr="00EC250C">
        <w:t xml:space="preserve"> w </w:t>
      </w:r>
      <w:r w:rsidRPr="00EC250C">
        <w:t>więzieniu lub pod konwojem</w:t>
      </w:r>
    </w:p>
    <w:p w14:paraId="32C4E542" w14:textId="77777777" w:rsidR="00D91FBD" w:rsidRPr="00EC250C" w:rsidRDefault="00A840EB" w:rsidP="00D131FA">
      <w:pPr>
        <w:pStyle w:val="Problemczowieka"/>
        <w:jc w:val="both"/>
      </w:pPr>
      <w:r w:rsidRPr="00EC250C">
        <w:t>Co się dzieje, gdy małżeństwo chcą zawrzeć dwie skazane osoby przebywające</w:t>
      </w:r>
      <w:r w:rsidR="00992FD0" w:rsidRPr="00EC250C">
        <w:t xml:space="preserve"> w </w:t>
      </w:r>
      <w:r w:rsidRPr="00EC250C">
        <w:t>różnych więzieniach</w:t>
      </w:r>
      <w:r w:rsidR="00D91FBD" w:rsidRPr="00EC250C">
        <w:t>?</w:t>
      </w:r>
    </w:p>
    <w:p w14:paraId="469BF303" w14:textId="77777777" w:rsidR="00A840EB" w:rsidRPr="00EC250C" w:rsidRDefault="00A840EB" w:rsidP="00D131FA">
      <w:pPr>
        <w:pStyle w:val="Styl1"/>
        <w:rPr>
          <w:bCs/>
          <w:iCs/>
        </w:rPr>
      </w:pPr>
      <w:r w:rsidRPr="00EC250C">
        <w:t>Mogą załatwić wszystkie formalności</w:t>
      </w:r>
      <w:r w:rsidR="00992FD0" w:rsidRPr="00EC250C">
        <w:t xml:space="preserve"> w </w:t>
      </w:r>
      <w:r w:rsidRPr="00EC250C">
        <w:t>urzędzie stanu cywilnego, ale jeśli nie otrzymają zgody na przetransportowanie do jednej jednostki, to ślubu nie będzie Decyzja dyrektora jednostki penitencjarnej</w:t>
      </w:r>
      <w:r w:rsidR="00992FD0" w:rsidRPr="00EC250C">
        <w:t xml:space="preserve"> w </w:t>
      </w:r>
      <w:r w:rsidRPr="00EC250C">
        <w:t xml:space="preserve">przedmiocie przetransportowania przekłada się zatem na możliwość bądź brak możliwości zawarcia małżeństwa. Zdaniem </w:t>
      </w:r>
      <w:r w:rsidR="00C079A6" w:rsidRPr="00EC250C">
        <w:t>RPO</w:t>
      </w:r>
      <w:r w:rsidRPr="00EC250C">
        <w:t xml:space="preserve"> tak nie powinno być. Administracja więzienna powinna podejmować działania, aby umożliwić osobie lub osobom pozbawionym wolności zawarcie związku małżeńskiego</w:t>
      </w:r>
      <w:r w:rsidRPr="00EC250C">
        <w:rPr>
          <w:bCs/>
          <w:iCs/>
        </w:rPr>
        <w:t>.</w:t>
      </w:r>
      <w:r w:rsidRPr="00EC250C">
        <w:rPr>
          <w:rStyle w:val="Odwoanieprzypisudolnego"/>
          <w:bCs/>
          <w:iCs/>
        </w:rPr>
        <w:footnoteReference w:id="265"/>
      </w:r>
      <w:r w:rsidRPr="00EC250C">
        <w:rPr>
          <w:bCs/>
          <w:iCs/>
        </w:rPr>
        <w:t>.</w:t>
      </w:r>
    </w:p>
    <w:p w14:paraId="67C6925A" w14:textId="77777777" w:rsidR="00A840EB" w:rsidRPr="00EC250C" w:rsidRDefault="00A840EB" w:rsidP="00D131FA">
      <w:pPr>
        <w:pStyle w:val="Styl1"/>
        <w:rPr>
          <w:b/>
        </w:rPr>
      </w:pPr>
      <w:r w:rsidRPr="00EC250C">
        <w:t>Dyrektor Generalny Służby Więziennej poinformował jednak, że nie istnieją przeszkody</w:t>
      </w:r>
      <w:r w:rsidR="00992FD0" w:rsidRPr="00EC250C">
        <w:t xml:space="preserve"> o </w:t>
      </w:r>
      <w:r w:rsidRPr="00EC250C">
        <w:t>charakterze prawnym, uniemożliwiające osobie pozbawionej wolności zawarcie związku małżeńskiego,</w:t>
      </w:r>
      <w:r w:rsidR="00992FD0" w:rsidRPr="00EC250C">
        <w:t xml:space="preserve"> a </w:t>
      </w:r>
      <w:r w:rsidRPr="00EC250C">
        <w:t>wszelkie ograniczenia wiążą się</w:t>
      </w:r>
      <w:r w:rsidR="00992FD0" w:rsidRPr="00EC250C">
        <w:t xml:space="preserve"> z </w:t>
      </w:r>
      <w:r w:rsidRPr="00EC250C">
        <w:t>koniecznością zapewnienia porządku</w:t>
      </w:r>
      <w:r w:rsidR="00992FD0" w:rsidRPr="00EC250C">
        <w:t xml:space="preserve"> i </w:t>
      </w:r>
      <w:r w:rsidRPr="00EC250C">
        <w:t>bezpieczeństwa zarówno na terenie jednostki penitencjarnej, jak</w:t>
      </w:r>
      <w:r w:rsidR="00992FD0" w:rsidRPr="00EC250C">
        <w:t xml:space="preserve"> i </w:t>
      </w:r>
      <w:r w:rsidRPr="00EC250C">
        <w:t>poza nią.</w:t>
      </w:r>
    </w:p>
    <w:p w14:paraId="47E985D9" w14:textId="77777777" w:rsidR="00A840EB" w:rsidRPr="00EC250C" w:rsidRDefault="00A840EB" w:rsidP="00D131FA">
      <w:pPr>
        <w:pStyle w:val="Srdtytul6"/>
        <w:jc w:val="both"/>
      </w:pPr>
      <w:r w:rsidRPr="00EC250C">
        <w:lastRenderedPageBreak/>
        <w:t>Widzenia</w:t>
      </w:r>
      <w:r w:rsidR="00992FD0" w:rsidRPr="00EC250C">
        <w:t xml:space="preserve"> z </w:t>
      </w:r>
      <w:r w:rsidRPr="00EC250C">
        <w:t>dziećmi</w:t>
      </w:r>
      <w:r w:rsidR="00992FD0" w:rsidRPr="00EC250C">
        <w:t xml:space="preserve"> w </w:t>
      </w:r>
      <w:r w:rsidRPr="00EC250C">
        <w:t>więzieniach</w:t>
      </w:r>
      <w:r w:rsidR="00992FD0" w:rsidRPr="00EC250C">
        <w:t xml:space="preserve"> i </w:t>
      </w:r>
      <w:r w:rsidRPr="00EC250C">
        <w:t>aresztach</w:t>
      </w:r>
    </w:p>
    <w:p w14:paraId="64C0B909" w14:textId="77777777" w:rsidR="00B473F5" w:rsidRPr="00EC250C" w:rsidRDefault="00A840EB" w:rsidP="00D131FA">
      <w:pPr>
        <w:pStyle w:val="Problemczowieka"/>
        <w:jc w:val="both"/>
      </w:pPr>
      <w:r w:rsidRPr="00EC250C">
        <w:t>Kodeks karny wykonawczy</w:t>
      </w:r>
      <w:r w:rsidR="00992FD0" w:rsidRPr="00EC250C">
        <w:t xml:space="preserve"> w </w:t>
      </w:r>
      <w:r w:rsidRPr="00EC250C">
        <w:t>sposób odrębny reguluje kwestie widzeń skazanych</w:t>
      </w:r>
      <w:r w:rsidR="00992FD0" w:rsidRPr="00EC250C">
        <w:t xml:space="preserve"> i </w:t>
      </w:r>
      <w:r w:rsidRPr="00EC250C">
        <w:t>tymczasowo aresztowanych. Np.</w:t>
      </w:r>
      <w:r w:rsidR="00992FD0" w:rsidRPr="00EC250C">
        <w:t xml:space="preserve"> w </w:t>
      </w:r>
      <w:r w:rsidRPr="00EC250C">
        <w:t>przypadku widzeń ze skazanym osoba niepełnoletnia może uczestniczyć</w:t>
      </w:r>
      <w:r w:rsidR="00992FD0" w:rsidRPr="00EC250C">
        <w:t xml:space="preserve"> w </w:t>
      </w:r>
      <w:r w:rsidRPr="00EC250C">
        <w:t>widzeniu, gdy towarzyszy jej osoba pełnoletnia, uprawniona do widzeń lub posiadająca zgodę dyrektora zakładu karnego na odbycie widzenia ze skazanym. Natomiast</w:t>
      </w:r>
      <w:r w:rsidR="00992FD0" w:rsidRPr="00EC250C">
        <w:t xml:space="preserve"> w </w:t>
      </w:r>
      <w:r w:rsidRPr="00EC250C">
        <w:t>przypadku widzeń</w:t>
      </w:r>
      <w:r w:rsidR="00992FD0" w:rsidRPr="00EC250C">
        <w:t xml:space="preserve"> z </w:t>
      </w:r>
      <w:r w:rsidRPr="00EC250C">
        <w:t>tymczasowo aresztowanym przepisy dopuszczają, aby małoletni, który ukończył 15 lat korzystał</w:t>
      </w:r>
      <w:r w:rsidR="00992FD0" w:rsidRPr="00EC250C">
        <w:t xml:space="preserve"> z </w:t>
      </w:r>
      <w:r w:rsidRPr="00EC250C">
        <w:t>widzenia</w:t>
      </w:r>
      <w:r w:rsidR="00992FD0" w:rsidRPr="00EC250C">
        <w:t xml:space="preserve"> z </w:t>
      </w:r>
      <w:r w:rsidRPr="00EC250C">
        <w:t>tymczasowo aresztowanym bez obecności innych osób dorosłych. Wobec małoletniego do lat 15 przepisy przewidują korzystanie</w:t>
      </w:r>
      <w:r w:rsidR="00992FD0" w:rsidRPr="00EC250C">
        <w:t xml:space="preserve"> z </w:t>
      </w:r>
      <w:r w:rsidRPr="00EC250C">
        <w:t>widzenia wyłącznie pod opieką, jednak gdy uprawniony do opieki nad małoletnim nie uzyskał zgody na widzenie, nie chce lub nie może</w:t>
      </w:r>
      <w:r w:rsidR="00992FD0" w:rsidRPr="00EC250C">
        <w:t xml:space="preserve"> z </w:t>
      </w:r>
      <w:r w:rsidRPr="00EC250C">
        <w:t>niego skorzystać, widzenie może odbyć się pod opieką funkcjonariusza lub pracownika aresztu śledczego</w:t>
      </w:r>
      <w:r w:rsidR="00B473F5" w:rsidRPr="00EC250C">
        <w:t>.</w:t>
      </w:r>
    </w:p>
    <w:p w14:paraId="50877AFD" w14:textId="77777777" w:rsidR="00A840EB" w:rsidRPr="00EC250C" w:rsidRDefault="00A840EB" w:rsidP="00D131FA">
      <w:pPr>
        <w:pStyle w:val="Styl1"/>
        <w:rPr>
          <w:b/>
          <w:sz w:val="24"/>
        </w:rPr>
      </w:pPr>
      <w:r w:rsidRPr="00EC250C">
        <w:t xml:space="preserve">W opinii Rzecznika </w:t>
      </w:r>
      <w:r w:rsidR="00C079A6" w:rsidRPr="00EC250C">
        <w:t xml:space="preserve">Praw Obywatelskich </w:t>
      </w:r>
      <w:r w:rsidRPr="00EC250C">
        <w:t>niezbędne jest ujednolicenie przepisów dotyczących realizacji widzeń małoletnich</w:t>
      </w:r>
      <w:r w:rsidR="00992FD0" w:rsidRPr="00EC250C">
        <w:t xml:space="preserve"> z </w:t>
      </w:r>
      <w:r w:rsidRPr="00EC250C">
        <w:t>tymczasowo aresztowanymi</w:t>
      </w:r>
      <w:r w:rsidR="00992FD0" w:rsidRPr="00EC250C">
        <w:t xml:space="preserve"> i </w:t>
      </w:r>
      <w:r w:rsidRPr="00EC250C">
        <w:t>skazanymi,</w:t>
      </w:r>
      <w:r w:rsidR="00992FD0" w:rsidRPr="00EC250C">
        <w:t xml:space="preserve"> w </w:t>
      </w:r>
      <w:r w:rsidRPr="00EC250C">
        <w:t>taki sposób, aby nie dochodziło do nieuzasadnionego różnicowania sytuacji tych osób</w:t>
      </w:r>
      <w:r w:rsidRPr="00EC250C">
        <w:rPr>
          <w:bCs/>
          <w:iCs/>
          <w:vertAlign w:val="superscript"/>
        </w:rPr>
        <w:footnoteReference w:id="266"/>
      </w:r>
      <w:r w:rsidRPr="00EC250C">
        <w:rPr>
          <w:b/>
          <w:sz w:val="24"/>
        </w:rPr>
        <w:t>.</w:t>
      </w:r>
    </w:p>
    <w:p w14:paraId="78862B40" w14:textId="77777777" w:rsidR="00A840EB" w:rsidRPr="00EC250C" w:rsidRDefault="00A840EB" w:rsidP="00D131FA">
      <w:pPr>
        <w:pStyle w:val="Styl1"/>
      </w:pPr>
      <w:r w:rsidRPr="00EC250C">
        <w:t>Minister Sprawiedliwości poinformował jednak, że zmiana nie jest potrzebna:</w:t>
      </w:r>
      <w:r w:rsidR="00992FD0" w:rsidRPr="00EC250C">
        <w:t xml:space="preserve"> z </w:t>
      </w:r>
      <w:r w:rsidRPr="00EC250C">
        <w:t>przepisów wcale nie wynika, że jeśli dziecko przyjedzie na wizytę do zakładu karnego</w:t>
      </w:r>
      <w:r w:rsidR="00992FD0" w:rsidRPr="00EC250C">
        <w:t xml:space="preserve"> w </w:t>
      </w:r>
      <w:r w:rsidRPr="00EC250C">
        <w:t>towarzystwie dorosłego, który nie będzie miał zgody na widzenie, to pod opieką funkcjonariusza służby więziennej nie może się zobaczyć ze skazanym. Może, podobnie jak</w:t>
      </w:r>
      <w:r w:rsidR="00992FD0" w:rsidRPr="00EC250C">
        <w:t xml:space="preserve"> w </w:t>
      </w:r>
      <w:r w:rsidRPr="00EC250C">
        <w:t>przypadku osoby tymczasowo aresztowanej. Tyle, że dorosły musi wyrazić zgodę na widzenie małoletniego bez swojej obecności. W rozumieniu MS takie przepisy są wystarczające.</w:t>
      </w:r>
    </w:p>
    <w:p w14:paraId="4E36334E" w14:textId="77777777" w:rsidR="00C91F6E" w:rsidRPr="00EC250C" w:rsidRDefault="00A840EB" w:rsidP="00D131FA">
      <w:pPr>
        <w:pStyle w:val="Srdtytul6"/>
        <w:jc w:val="both"/>
      </w:pPr>
      <w:r w:rsidRPr="00EC250C">
        <w:t>Widzenia więźniów</w:t>
      </w:r>
      <w:r w:rsidR="00992FD0" w:rsidRPr="00EC250C">
        <w:t xml:space="preserve"> z </w:t>
      </w:r>
      <w:r w:rsidRPr="00EC250C">
        <w:t>bliskimi</w:t>
      </w:r>
    </w:p>
    <w:p w14:paraId="105B1753" w14:textId="77777777" w:rsidR="00B473F5" w:rsidRPr="00EC250C" w:rsidRDefault="00A840EB" w:rsidP="00D131FA">
      <w:pPr>
        <w:pStyle w:val="Problemczowieka"/>
        <w:jc w:val="both"/>
        <w:rPr>
          <w:bdr w:val="none" w:sz="0" w:space="0" w:color="auto" w:frame="1"/>
        </w:rPr>
      </w:pPr>
      <w:r w:rsidRPr="00EC250C">
        <w:rPr>
          <w:bdr w:val="none" w:sz="0" w:space="0" w:color="auto" w:frame="1"/>
        </w:rPr>
        <w:t>Skazany może dostać nagrodę</w:t>
      </w:r>
      <w:r w:rsidR="00992FD0" w:rsidRPr="00EC250C">
        <w:rPr>
          <w:bdr w:val="none" w:sz="0" w:space="0" w:color="auto" w:frame="1"/>
        </w:rPr>
        <w:t xml:space="preserve"> w </w:t>
      </w:r>
      <w:r w:rsidRPr="00EC250C">
        <w:rPr>
          <w:bdr w:val="none" w:sz="0" w:space="0" w:color="auto" w:frame="1"/>
        </w:rPr>
        <w:t>postaci widzenia</w:t>
      </w:r>
      <w:r w:rsidR="00992FD0" w:rsidRPr="00EC250C">
        <w:rPr>
          <w:bdr w:val="none" w:sz="0" w:space="0" w:color="auto" w:frame="1"/>
        </w:rPr>
        <w:t xml:space="preserve"> z </w:t>
      </w:r>
      <w:r w:rsidRPr="00EC250C">
        <w:rPr>
          <w:bdr w:val="none" w:sz="0" w:space="0" w:color="auto" w:frame="1"/>
        </w:rPr>
        <w:t>osobą bliską bez udziału osoby dozorującej. Ale do RPO dotarły informacje</w:t>
      </w:r>
      <w:r w:rsidR="00992FD0" w:rsidRPr="00EC250C">
        <w:rPr>
          <w:bdr w:val="none" w:sz="0" w:space="0" w:color="auto" w:frame="1"/>
        </w:rPr>
        <w:t xml:space="preserve"> o </w:t>
      </w:r>
      <w:r w:rsidRPr="00EC250C">
        <w:rPr>
          <w:bdr w:val="none" w:sz="0" w:space="0" w:color="auto" w:frame="1"/>
        </w:rPr>
        <w:t>realizacji takich nagród</w:t>
      </w:r>
      <w:r w:rsidR="00992FD0" w:rsidRPr="00EC250C">
        <w:rPr>
          <w:bdr w:val="none" w:sz="0" w:space="0" w:color="auto" w:frame="1"/>
        </w:rPr>
        <w:t xml:space="preserve"> w </w:t>
      </w:r>
      <w:r w:rsidRPr="00EC250C">
        <w:rPr>
          <w:bdr w:val="none" w:sz="0" w:space="0" w:color="auto" w:frame="1"/>
        </w:rPr>
        <w:t>pomieszczeniu</w:t>
      </w:r>
      <w:r w:rsidR="00992FD0" w:rsidRPr="00EC250C">
        <w:rPr>
          <w:bdr w:val="none" w:sz="0" w:space="0" w:color="auto" w:frame="1"/>
        </w:rPr>
        <w:t xml:space="preserve"> z </w:t>
      </w:r>
      <w:r w:rsidRPr="00EC250C">
        <w:rPr>
          <w:bdr w:val="none" w:sz="0" w:space="0" w:color="auto" w:frame="1"/>
        </w:rPr>
        <w:t>kamerą, rejestrującą obraz lub dźwięk albo</w:t>
      </w:r>
      <w:r w:rsidR="00992FD0" w:rsidRPr="00EC250C">
        <w:rPr>
          <w:bdr w:val="none" w:sz="0" w:space="0" w:color="auto" w:frame="1"/>
        </w:rPr>
        <w:t xml:space="preserve"> w </w:t>
      </w:r>
      <w:r w:rsidRPr="00EC250C">
        <w:rPr>
          <w:bdr w:val="none" w:sz="0" w:space="0" w:color="auto" w:frame="1"/>
        </w:rPr>
        <w:t>pokoju bez drzwi</w:t>
      </w:r>
      <w:r w:rsidR="00B473F5" w:rsidRPr="00EC250C">
        <w:rPr>
          <w:bdr w:val="none" w:sz="0" w:space="0" w:color="auto" w:frame="1"/>
        </w:rPr>
        <w:t>.</w:t>
      </w:r>
    </w:p>
    <w:p w14:paraId="119A726B" w14:textId="77777777" w:rsidR="00A840EB" w:rsidRPr="00EC250C" w:rsidRDefault="00A840EB" w:rsidP="00D131FA">
      <w:pPr>
        <w:pStyle w:val="Styl1"/>
      </w:pPr>
      <w:r w:rsidRPr="00EC250C">
        <w:t xml:space="preserve">Dyrektorzy okręgowi Służby Więziennej wyjaśniali to m.in. względami bezpieczeństwa. </w:t>
      </w:r>
      <w:r w:rsidR="00C079A6" w:rsidRPr="00EC250C">
        <w:t>RPO</w:t>
      </w:r>
      <w:r w:rsidRPr="00EC250C">
        <w:t xml:space="preserve"> podkreśla, że widzenie bez osoby dozorującej ma gwarantować skazanym</w:t>
      </w:r>
      <w:r w:rsidR="00992FD0" w:rsidRPr="00EC250C">
        <w:t xml:space="preserve"> i </w:t>
      </w:r>
      <w:r w:rsidRPr="00EC250C">
        <w:t>odwiedzającym szerszy zakres prywatności. Administracja zakładu karnego powinna więc przyznawać taką nagrodę tylko tym skazanym, którym można zaufać, że nie naruszą obowiązującego</w:t>
      </w:r>
      <w:r w:rsidR="00992FD0" w:rsidRPr="00EC250C">
        <w:t xml:space="preserve"> w </w:t>
      </w:r>
      <w:r w:rsidRPr="00EC250C">
        <w:t>zakładzie porządku</w:t>
      </w:r>
      <w:r w:rsidR="00992FD0" w:rsidRPr="00EC250C">
        <w:t xml:space="preserve"> i </w:t>
      </w:r>
      <w:r w:rsidRPr="00EC250C">
        <w:t xml:space="preserve">bezpieczeństwa. </w:t>
      </w:r>
      <w:r w:rsidR="00C079A6" w:rsidRPr="00EC250C">
        <w:t>RPO</w:t>
      </w:r>
      <w:r w:rsidRPr="00EC250C">
        <w:t xml:space="preserve"> po raz kolejny przedstawił to stanowisko</w:t>
      </w:r>
      <w:r w:rsidRPr="00EC250C">
        <w:rPr>
          <w:rStyle w:val="Odwoanieprzypisudolnego"/>
          <w:szCs w:val="24"/>
        </w:rPr>
        <w:footnoteReference w:id="267"/>
      </w:r>
      <w:r w:rsidRPr="00EC250C">
        <w:t xml:space="preserve"> Dyrektorowi Generalnemu Służby Więziennej,</w:t>
      </w:r>
      <w:r w:rsidR="00992FD0" w:rsidRPr="00EC250C">
        <w:t xml:space="preserve"> a </w:t>
      </w:r>
      <w:r w:rsidRPr="00EC250C">
        <w:t>ten przyznał, że wskazane nieprawidłowości wynikają</w:t>
      </w:r>
      <w:r w:rsidR="00992FD0" w:rsidRPr="00EC250C">
        <w:t xml:space="preserve"> z </w:t>
      </w:r>
      <w:r w:rsidRPr="00EC250C">
        <w:t>niewłaściwej interpretacji zapisów ustawy.</w:t>
      </w:r>
    </w:p>
    <w:p w14:paraId="6D242D3D" w14:textId="77777777" w:rsidR="00C91F6E" w:rsidRPr="00EC250C" w:rsidRDefault="00A840EB" w:rsidP="00D131FA">
      <w:pPr>
        <w:pStyle w:val="Srdtytul6"/>
        <w:jc w:val="both"/>
      </w:pPr>
      <w:r w:rsidRPr="00EC250C">
        <w:lastRenderedPageBreak/>
        <w:t>Prawo do spotkań</w:t>
      </w:r>
      <w:r w:rsidR="00992FD0" w:rsidRPr="00EC250C">
        <w:t xml:space="preserve"> z </w:t>
      </w:r>
      <w:r w:rsidRPr="00EC250C">
        <w:t>rodziną osób internowanych, umieszczonych</w:t>
      </w:r>
      <w:r w:rsidR="00992FD0" w:rsidRPr="00EC250C">
        <w:t xml:space="preserve"> w </w:t>
      </w:r>
      <w:r w:rsidRPr="00EC250C">
        <w:t>zakładach psychiatrycznych</w:t>
      </w:r>
    </w:p>
    <w:p w14:paraId="1FE86A1C" w14:textId="77777777" w:rsidR="00B473F5" w:rsidRPr="00EC250C" w:rsidRDefault="00A840EB" w:rsidP="00D131FA">
      <w:pPr>
        <w:pStyle w:val="Problemczowieka"/>
        <w:jc w:val="both"/>
      </w:pPr>
      <w:r w:rsidRPr="00EC250C">
        <w:t>Sprawcy przestępstw umieszczeni</w:t>
      </w:r>
      <w:r w:rsidR="00992FD0" w:rsidRPr="00EC250C">
        <w:t xml:space="preserve"> w </w:t>
      </w:r>
      <w:r w:rsidRPr="00EC250C">
        <w:t>zakładach psychiatrycznych powinni mieć</w:t>
      </w:r>
      <w:r w:rsidR="00026572" w:rsidRPr="00EC250C">
        <w:t xml:space="preserve"> – </w:t>
      </w:r>
      <w:r w:rsidRPr="00EC250C">
        <w:t>tak jak skazani</w:t>
      </w:r>
      <w:r w:rsidR="00992FD0" w:rsidRPr="00EC250C">
        <w:t xml:space="preserve"> w </w:t>
      </w:r>
      <w:r w:rsidRPr="00EC250C">
        <w:t>więzieniach</w:t>
      </w:r>
      <w:r w:rsidR="00026572" w:rsidRPr="00EC250C">
        <w:t xml:space="preserve"> – </w:t>
      </w:r>
      <w:r w:rsidRPr="00EC250C">
        <w:t>prawo do spotkań</w:t>
      </w:r>
      <w:r w:rsidR="00992FD0" w:rsidRPr="00EC250C">
        <w:t xml:space="preserve"> w </w:t>
      </w:r>
      <w:r w:rsidRPr="00EC250C">
        <w:t>warunkach zwiększonej intymności, czyli</w:t>
      </w:r>
      <w:r w:rsidR="00992FD0" w:rsidRPr="00EC250C">
        <w:t xml:space="preserve"> w </w:t>
      </w:r>
      <w:r w:rsidRPr="00EC250C">
        <w:t>oddzielnym pomieszczeniu, bez nadzoru personelu</w:t>
      </w:r>
      <w:r w:rsidR="00B473F5" w:rsidRPr="00EC250C">
        <w:t>.</w:t>
      </w:r>
    </w:p>
    <w:p w14:paraId="323B6BD8" w14:textId="77777777" w:rsidR="00A840EB" w:rsidRPr="00EC250C" w:rsidRDefault="00A840EB" w:rsidP="00D131FA">
      <w:pPr>
        <w:pStyle w:val="Styl1"/>
      </w:pPr>
      <w:r w:rsidRPr="00EC250C">
        <w:t>Dziś przepisy tego nie regulują,</w:t>
      </w:r>
      <w:r w:rsidR="00992FD0" w:rsidRPr="00EC250C">
        <w:t xml:space="preserve"> a </w:t>
      </w:r>
      <w:r w:rsidRPr="00EC250C">
        <w:t>takie widzenie zależy od decyzji kierownika zakładu psychiatrycznego. Tymczasem podtrzymywanie więzów</w:t>
      </w:r>
      <w:r w:rsidR="00992FD0" w:rsidRPr="00EC250C">
        <w:t xml:space="preserve"> z </w:t>
      </w:r>
      <w:r w:rsidRPr="00EC250C">
        <w:t>najbliższymi wpływa na proces zdrowienia</w:t>
      </w:r>
      <w:r w:rsidR="00992FD0" w:rsidRPr="00EC250C">
        <w:t xml:space="preserve"> i </w:t>
      </w:r>
      <w:r w:rsidRPr="00EC250C">
        <w:t>właściwe funkcjonowanie po opuszczeniu placówki.</w:t>
      </w:r>
    </w:p>
    <w:p w14:paraId="2CA515BC" w14:textId="77777777" w:rsidR="00A840EB" w:rsidRPr="00EC250C" w:rsidRDefault="00A840EB" w:rsidP="00D131FA">
      <w:pPr>
        <w:pStyle w:val="Styl1"/>
      </w:pPr>
      <w:r w:rsidRPr="00EC250C">
        <w:t xml:space="preserve">Do Rzecznika </w:t>
      </w:r>
      <w:r w:rsidR="00C079A6" w:rsidRPr="00EC250C">
        <w:t xml:space="preserve">Praw Obywatelskich </w:t>
      </w:r>
      <w:r w:rsidRPr="00EC250C">
        <w:t>zwróciła się osoba umieszczona</w:t>
      </w:r>
      <w:r w:rsidR="00992FD0" w:rsidRPr="00EC250C">
        <w:t xml:space="preserve"> w </w:t>
      </w:r>
      <w:r w:rsidRPr="00EC250C">
        <w:t>zakładzie psychiatrycznym (sąd stosuje taki środek wobec sprawcy przestępstwa, który nie podlega odpowiedzialności karnej</w:t>
      </w:r>
      <w:r w:rsidR="00992FD0" w:rsidRPr="00EC250C">
        <w:t xml:space="preserve"> z </w:t>
      </w:r>
      <w:r w:rsidRPr="00EC250C">
        <w:t>powodu niepoczytalności; nie określa się terminu jego obowiązywania). Wobec takich osób Kodeks karny wykonawczy stanowi jedynie, że kontakty</w:t>
      </w:r>
      <w:r w:rsidR="00992FD0" w:rsidRPr="00EC250C">
        <w:t xml:space="preserve"> z </w:t>
      </w:r>
      <w:r w:rsidRPr="00EC250C">
        <w:t>osobami</w:t>
      </w:r>
      <w:r w:rsidR="00992FD0" w:rsidRPr="00EC250C">
        <w:t xml:space="preserve"> z </w:t>
      </w:r>
      <w:r w:rsidRPr="00EC250C">
        <w:t>zewnątrz mogą być ograniczane przez kierownika zakładu. Zatem istnieje możliwość spotkań na osobności</w:t>
      </w:r>
      <w:r w:rsidR="00026572" w:rsidRPr="00EC250C">
        <w:t xml:space="preserve"> – </w:t>
      </w:r>
      <w:r w:rsidRPr="00EC250C">
        <w:t>jeśli zgodzi się na to kierownik zakładu psychiatrycznego. Z wiedzy RPO wynika jednak, iż spotkań osób internowanych</w:t>
      </w:r>
      <w:r w:rsidR="00992FD0" w:rsidRPr="00EC250C">
        <w:t xml:space="preserve"> z </w:t>
      </w:r>
      <w:r w:rsidRPr="00EC250C">
        <w:t>rodziną</w:t>
      </w:r>
      <w:r w:rsidR="00992FD0" w:rsidRPr="00EC250C">
        <w:t xml:space="preserve"> w </w:t>
      </w:r>
      <w:r w:rsidRPr="00EC250C">
        <w:t>tej formie nie ma.</w:t>
      </w:r>
    </w:p>
    <w:p w14:paraId="543FA616" w14:textId="77777777" w:rsidR="00A840EB" w:rsidRPr="00EC250C" w:rsidRDefault="00A840EB" w:rsidP="00D131FA">
      <w:pPr>
        <w:pStyle w:val="Styl1"/>
      </w:pPr>
      <w:r w:rsidRPr="00EC250C">
        <w:t>RPO zwrócił się</w:t>
      </w:r>
      <w:r w:rsidR="00992FD0" w:rsidRPr="00EC250C">
        <w:t xml:space="preserve"> w </w:t>
      </w:r>
      <w:r w:rsidRPr="00EC250C">
        <w:t>tej sprawie do ministrów sprawiedliwości oraz zdrowia. Ministerstwo Sprawiedliwości wskazało, że sprawa widzeń</w:t>
      </w:r>
      <w:r w:rsidR="00992FD0" w:rsidRPr="00EC250C">
        <w:t xml:space="preserve"> w </w:t>
      </w:r>
      <w:r w:rsidRPr="00EC250C">
        <w:t>zakładach psychiatrycznych pozostaje</w:t>
      </w:r>
      <w:r w:rsidR="00992FD0" w:rsidRPr="00EC250C">
        <w:t xml:space="preserve"> w </w:t>
      </w:r>
      <w:r w:rsidRPr="00EC250C">
        <w:t>zakresie właściwości ich kierowników. Minister Zdrowia przywołał opinie wybitnych psychiatrów, którzy uważają, że takie spotkania mogą się odbywać wyłącznie po indywidualnej ocenie stanu zdrowia pacjenta</w:t>
      </w:r>
      <w:r w:rsidRPr="00EC250C">
        <w:rPr>
          <w:rStyle w:val="Odwoanieprzypisudolnego"/>
          <w:bCs/>
          <w:iCs/>
        </w:rPr>
        <w:footnoteReference w:id="268"/>
      </w:r>
      <w:r w:rsidRPr="00EC250C">
        <w:t>.</w:t>
      </w:r>
    </w:p>
    <w:p w14:paraId="28D37D33" w14:textId="77777777" w:rsidR="00DB4459" w:rsidRPr="00EC250C" w:rsidRDefault="00DB4459" w:rsidP="00EC79EB">
      <w:pPr>
        <w:pStyle w:val="Nagwek4"/>
      </w:pPr>
      <w:bookmarkStart w:id="256" w:name="_Toc11247633"/>
      <w:r w:rsidRPr="00EC250C">
        <w:t>Problemy dotyczące prywatności</w:t>
      </w:r>
      <w:bookmarkEnd w:id="256"/>
    </w:p>
    <w:p w14:paraId="5476D3E2" w14:textId="77777777" w:rsidR="00C91F6E" w:rsidRPr="00EC250C" w:rsidRDefault="00327E28" w:rsidP="00EC250C">
      <w:pPr>
        <w:pStyle w:val="Nagwek5"/>
      </w:pPr>
      <w:r w:rsidRPr="00EC250C">
        <w:t>Ogólne zasady monitoringu wizyjnego</w:t>
      </w:r>
    </w:p>
    <w:p w14:paraId="6DAB7471" w14:textId="77777777" w:rsidR="00B473F5" w:rsidRPr="00EC250C" w:rsidRDefault="00327E28" w:rsidP="00D131FA">
      <w:pPr>
        <w:pStyle w:val="Problemczowieka"/>
        <w:jc w:val="both"/>
      </w:pPr>
      <w:r w:rsidRPr="00EC250C">
        <w:t>W związku</w:t>
      </w:r>
      <w:r w:rsidR="00992FD0" w:rsidRPr="00EC250C">
        <w:t xml:space="preserve"> z </w:t>
      </w:r>
      <w:r w:rsidRPr="00EC250C">
        <w:t>wejściem</w:t>
      </w:r>
      <w:r w:rsidR="00992FD0" w:rsidRPr="00EC250C">
        <w:t xml:space="preserve"> w </w:t>
      </w:r>
      <w:r w:rsidRPr="00EC250C">
        <w:t xml:space="preserve">życie </w:t>
      </w:r>
      <w:r w:rsidR="0074088A" w:rsidRPr="00EC250C">
        <w:t>unijnego Rozporządzenia</w:t>
      </w:r>
      <w:r w:rsidR="00992FD0" w:rsidRPr="00EC250C">
        <w:t xml:space="preserve"> o </w:t>
      </w:r>
      <w:r w:rsidR="0074088A" w:rsidRPr="00EC250C">
        <w:t>ochronie danych osobowych (</w:t>
      </w:r>
      <w:r w:rsidRPr="00EC250C">
        <w:t>RODO</w:t>
      </w:r>
      <w:r w:rsidR="0074088A" w:rsidRPr="00EC250C">
        <w:t>)</w:t>
      </w:r>
      <w:r w:rsidRPr="00EC250C">
        <w:t xml:space="preserve"> </w:t>
      </w:r>
      <w:r w:rsidR="0074088A" w:rsidRPr="00EC250C">
        <w:t xml:space="preserve">zmian wymagały </w:t>
      </w:r>
      <w:r w:rsidRPr="00EC250C">
        <w:t>zasady montowania kamer, przechowywania, przetwarzania</w:t>
      </w:r>
      <w:r w:rsidR="00992FD0" w:rsidRPr="00EC250C">
        <w:t xml:space="preserve"> i </w:t>
      </w:r>
      <w:r w:rsidRPr="00EC250C">
        <w:t>udostępniania nagrań. Przykładowo instytucja publiczna nie może stosować monitoringu bez ustawowego upoważnienia – dotyczy to np. szkół</w:t>
      </w:r>
      <w:r w:rsidR="004B35D4" w:rsidRPr="00EC250C">
        <w:t xml:space="preserve"> i instytucji samorządowych</w:t>
      </w:r>
      <w:r w:rsidR="00B473F5" w:rsidRPr="00EC250C">
        <w:t>.</w:t>
      </w:r>
    </w:p>
    <w:p w14:paraId="659F101B" w14:textId="77777777" w:rsidR="0074088A" w:rsidRPr="00EC250C" w:rsidRDefault="0074088A" w:rsidP="00D131FA">
      <w:pPr>
        <w:pStyle w:val="Styl1"/>
      </w:pPr>
      <w:bookmarkStart w:id="257" w:name="_Toc6257759"/>
      <w:r w:rsidRPr="00EC250C">
        <w:t>RODO wprowadza ono takie same zasady ochrony danych</w:t>
      </w:r>
      <w:r w:rsidR="00992FD0" w:rsidRPr="00EC250C">
        <w:t xml:space="preserve"> w </w:t>
      </w:r>
      <w:r w:rsidRPr="00EC250C">
        <w:t>całej Unii, lepiej chroniąc jej obywateli przed nieuprawnionym przetwarzaniem danych.</w:t>
      </w:r>
    </w:p>
    <w:p w14:paraId="2239BBCB" w14:textId="77777777" w:rsidR="00C91F6E" w:rsidRPr="00EC250C" w:rsidRDefault="00327E28" w:rsidP="00D131FA">
      <w:pPr>
        <w:pStyle w:val="Styl1"/>
      </w:pPr>
      <w:r w:rsidRPr="00EC250C">
        <w:t>„Ponieważ dla organów publicznych podstawę prawną przetwarzania danych osobowych powinien określić ustawodawca, prawnie uzasadniony interes administratora nie powinien mieć zastosowania jako podstawa prawna do przetwarzania, którego dokonują organy publiczne</w:t>
      </w:r>
      <w:r w:rsidR="00992FD0" w:rsidRPr="00EC250C">
        <w:t xml:space="preserve"> </w:t>
      </w:r>
      <w:r w:rsidR="00992FD0" w:rsidRPr="00EC250C">
        <w:lastRenderedPageBreak/>
        <w:t>w </w:t>
      </w:r>
      <w:r w:rsidRPr="00EC250C">
        <w:t>ramach realizacji swoich zadań”</w:t>
      </w:r>
      <w:r w:rsidR="00026572" w:rsidRPr="00EC250C">
        <w:t xml:space="preserve"> – </w:t>
      </w:r>
      <w:r w:rsidRPr="00EC250C">
        <w:t>stwierdza preambuła RODO. Zdaniem RPO</w:t>
      </w:r>
      <w:r w:rsidR="00992FD0" w:rsidRPr="00EC250C">
        <w:t xml:space="preserve"> w </w:t>
      </w:r>
      <w:r w:rsidRPr="00EC250C">
        <w:rPr>
          <w:bdr w:val="none" w:sz="0" w:space="0" w:color="auto" w:frame="1"/>
        </w:rPr>
        <w:t>przypadku braku ustawy wiele podmiotów publicznych, stosujących do maja 2018</w:t>
      </w:r>
      <w:r w:rsidR="00C91F6E" w:rsidRPr="00EC250C">
        <w:rPr>
          <w:bdr w:val="none" w:sz="0" w:space="0" w:color="auto" w:frame="1"/>
        </w:rPr>
        <w:t> r.</w:t>
      </w:r>
      <w:r w:rsidRPr="00EC250C">
        <w:rPr>
          <w:bdr w:val="none" w:sz="0" w:space="0" w:color="auto" w:frame="1"/>
        </w:rPr>
        <w:t xml:space="preserve"> </w:t>
      </w:r>
      <w:r w:rsidRPr="00EC250C">
        <w:t>monitoring</w:t>
      </w:r>
      <w:r w:rsidRPr="00EC250C">
        <w:rPr>
          <w:bdr w:val="none" w:sz="0" w:space="0" w:color="auto" w:frame="1"/>
        </w:rPr>
        <w:t xml:space="preserve"> wizyjny na podstawie „uzasadnionego interesu administratora”, mogło nie mieć dłużej do tego prawa. Problem dotyczył </w:t>
      </w:r>
      <w:r w:rsidRPr="00EC250C">
        <w:t xml:space="preserve">np. </w:t>
      </w:r>
      <w:r w:rsidR="004B35D4" w:rsidRPr="00EC250C">
        <w:t>szkół</w:t>
      </w:r>
      <w:r w:rsidRPr="00EC250C">
        <w:t>, które wśród swoich zadań mają m.in. zapewnienie bezpieczeństwa.</w:t>
      </w:r>
    </w:p>
    <w:p w14:paraId="1BE62860" w14:textId="77777777" w:rsidR="00327E28" w:rsidRPr="00EC250C" w:rsidRDefault="00327E28" w:rsidP="00D131FA">
      <w:pPr>
        <w:pStyle w:val="Styl1"/>
        <w:rPr>
          <w:bCs/>
          <w:iCs/>
        </w:rPr>
      </w:pPr>
      <w:r w:rsidRPr="00EC250C">
        <w:t>RPO prowadził</w:t>
      </w:r>
      <w:r w:rsidR="00992FD0" w:rsidRPr="00EC250C">
        <w:t xml:space="preserve"> w </w:t>
      </w:r>
      <w:r w:rsidRPr="00EC250C">
        <w:t>tej sprawie korespondencję</w:t>
      </w:r>
      <w:r w:rsidR="00992FD0" w:rsidRPr="00EC250C">
        <w:t xml:space="preserve"> z </w:t>
      </w:r>
      <w:r w:rsidRPr="00EC250C">
        <w:t>MSWiA</w:t>
      </w:r>
      <w:r w:rsidRPr="00EC250C">
        <w:rPr>
          <w:rStyle w:val="Odwoanieprzypisudolnego"/>
          <w:bCs/>
          <w:iCs/>
        </w:rPr>
        <w:footnoteReference w:id="269"/>
      </w:r>
      <w:r w:rsidRPr="00EC250C">
        <w:rPr>
          <w:bCs/>
          <w:iCs/>
        </w:rPr>
        <w:t xml:space="preserve">. </w:t>
      </w:r>
      <w:r w:rsidR="0074088A" w:rsidRPr="00EC250C">
        <w:rPr>
          <w:bCs/>
          <w:iCs/>
        </w:rPr>
        <w:t xml:space="preserve"> </w:t>
      </w:r>
      <w:r w:rsidRPr="00EC250C">
        <w:rPr>
          <w:bCs/>
          <w:iCs/>
        </w:rPr>
        <w:t>Ostatecznie, ustawą</w:t>
      </w:r>
      <w:r w:rsidR="00992FD0" w:rsidRPr="00EC250C">
        <w:rPr>
          <w:bCs/>
          <w:iCs/>
        </w:rPr>
        <w:t xml:space="preserve"> o </w:t>
      </w:r>
      <w:r w:rsidRPr="00EC250C">
        <w:rPr>
          <w:bCs/>
          <w:iCs/>
        </w:rPr>
        <w:t>ochronie danych osobowych</w:t>
      </w:r>
      <w:r w:rsidR="00992FD0" w:rsidRPr="00EC250C">
        <w:rPr>
          <w:bCs/>
          <w:iCs/>
        </w:rPr>
        <w:t xml:space="preserve"> z </w:t>
      </w:r>
      <w:r w:rsidRPr="00EC250C">
        <w:rPr>
          <w:bCs/>
          <w:iCs/>
        </w:rPr>
        <w:t>10 maja 2018</w:t>
      </w:r>
      <w:r w:rsidR="00C91F6E" w:rsidRPr="00EC250C">
        <w:rPr>
          <w:bCs/>
          <w:iCs/>
        </w:rPr>
        <w:t> r.</w:t>
      </w:r>
      <w:r w:rsidRPr="00EC250C">
        <w:rPr>
          <w:bCs/>
          <w:iCs/>
        </w:rPr>
        <w:t xml:space="preserve"> </w:t>
      </w:r>
      <w:r w:rsidR="00B0106E" w:rsidRPr="00EC250C">
        <w:rPr>
          <w:bCs/>
          <w:iCs/>
        </w:rPr>
        <w:t>wprowadziła regulacje dotyczące monitoringu w instytucjach samorządowych o zakładach pracy</w:t>
      </w:r>
      <w:r w:rsidR="0074088A" w:rsidRPr="00EC250C">
        <w:rPr>
          <w:rStyle w:val="Odwoanieprzypisudolnego"/>
          <w:bCs/>
          <w:iCs/>
        </w:rPr>
        <w:footnoteReference w:id="270"/>
      </w:r>
      <w:r w:rsidRPr="00EC250C">
        <w:rPr>
          <w:bCs/>
          <w:iCs/>
        </w:rPr>
        <w:t xml:space="preserve">. Nadal nie jest to jednak oczekiwana całościowa </w:t>
      </w:r>
      <w:r w:rsidR="001D0A3A" w:rsidRPr="00EC250C">
        <w:rPr>
          <w:bCs/>
          <w:iCs/>
        </w:rPr>
        <w:t>regulacja</w:t>
      </w:r>
      <w:r w:rsidR="00B0106E" w:rsidRPr="00EC250C">
        <w:rPr>
          <w:bCs/>
          <w:iCs/>
        </w:rPr>
        <w:t xml:space="preserve"> (np. dotycząca kamer z prywatnych posesji rejestrujących zdarzenia z przestrzeni publicznej).</w:t>
      </w:r>
    </w:p>
    <w:p w14:paraId="67A7A53E" w14:textId="77777777" w:rsidR="0074088A" w:rsidRPr="00EC250C" w:rsidRDefault="0074088A" w:rsidP="00D131FA">
      <w:pPr>
        <w:pStyle w:val="ODESANIE"/>
        <w:jc w:val="both"/>
      </w:pPr>
      <w:r w:rsidRPr="00EC250C">
        <w:t>Więcej</w:t>
      </w:r>
      <w:r w:rsidR="00992FD0" w:rsidRPr="00EC250C">
        <w:t xml:space="preserve"> o </w:t>
      </w:r>
      <w:r w:rsidRPr="00EC250C">
        <w:t>problematyce ochrony danych</w:t>
      </w:r>
      <w:r w:rsidR="00992FD0" w:rsidRPr="00EC250C">
        <w:t xml:space="preserve"> i </w:t>
      </w:r>
      <w:r w:rsidRPr="00EC250C">
        <w:t>RODO – art. 51 (prawo do autonomii informacyjnej)</w:t>
      </w:r>
    </w:p>
    <w:bookmarkEnd w:id="257"/>
    <w:p w14:paraId="257B2879" w14:textId="77777777" w:rsidR="00783A44" w:rsidRPr="00EC250C" w:rsidRDefault="00783A44" w:rsidP="00EC250C">
      <w:pPr>
        <w:pStyle w:val="Nagwek5"/>
      </w:pPr>
      <w:r w:rsidRPr="00EC250C">
        <w:t>Problematyczne p</w:t>
      </w:r>
      <w:r w:rsidR="00724A06" w:rsidRPr="00EC250C">
        <w:t>odstawy prawne instalowania monitoringu</w:t>
      </w:r>
      <w:r w:rsidR="00992FD0" w:rsidRPr="00EC250C">
        <w:t xml:space="preserve"> w </w:t>
      </w:r>
      <w:r w:rsidR="00394BD8" w:rsidRPr="00EC250C">
        <w:t>domach pomocy społecznej</w:t>
      </w:r>
      <w:r w:rsidR="00992FD0" w:rsidRPr="00EC250C">
        <w:t xml:space="preserve"> i </w:t>
      </w:r>
      <w:r w:rsidRPr="00EC250C">
        <w:t>brak podstaw prawnych monitoringu wizyjnego</w:t>
      </w:r>
      <w:r w:rsidR="00992FD0" w:rsidRPr="00EC250C">
        <w:t xml:space="preserve"> w </w:t>
      </w:r>
      <w:r w:rsidRPr="00EC250C">
        <w:t>szpitalach psychiatrycznych</w:t>
      </w:r>
    </w:p>
    <w:p w14:paraId="00CC617C" w14:textId="77777777" w:rsidR="00B473F5" w:rsidRPr="00EC250C" w:rsidRDefault="00724A06" w:rsidP="00D131FA">
      <w:pPr>
        <w:pStyle w:val="Problemczowieka"/>
        <w:jc w:val="both"/>
      </w:pPr>
      <w:r w:rsidRPr="00EC250C">
        <w:t>Instalowanie kamer bez jasnych podstaw prawnych może ograniczać prawo do wolności</w:t>
      </w:r>
      <w:r w:rsidR="00992FD0" w:rsidRPr="00EC250C">
        <w:t xml:space="preserve"> i </w:t>
      </w:r>
      <w:r w:rsidRPr="00EC250C">
        <w:t xml:space="preserve">prywatności </w:t>
      </w:r>
      <w:r w:rsidR="00783A44" w:rsidRPr="00EC250C">
        <w:t xml:space="preserve">pacjentów, </w:t>
      </w:r>
      <w:r w:rsidRPr="00EC250C">
        <w:t>mieszkańców</w:t>
      </w:r>
      <w:r w:rsidR="00783A44" w:rsidRPr="00EC250C">
        <w:t xml:space="preserve"> DPS</w:t>
      </w:r>
      <w:r w:rsidRPr="00EC250C">
        <w:t>, pracowników oraz innych osób przebywających</w:t>
      </w:r>
      <w:r w:rsidR="00992FD0" w:rsidRPr="00EC250C">
        <w:t xml:space="preserve"> w </w:t>
      </w:r>
      <w:r w:rsidR="00783A44" w:rsidRPr="00EC250C">
        <w:t>tych placówkach</w:t>
      </w:r>
      <w:r w:rsidR="00B473F5" w:rsidRPr="00EC250C">
        <w:t>.</w:t>
      </w:r>
    </w:p>
    <w:p w14:paraId="3BC47603" w14:textId="77777777" w:rsidR="00C91F6E" w:rsidRPr="00EC250C" w:rsidRDefault="00783A44" w:rsidP="00D131FA">
      <w:pPr>
        <w:pStyle w:val="Styl1"/>
        <w:rPr>
          <w:bCs/>
          <w:iCs/>
        </w:rPr>
      </w:pPr>
      <w:r w:rsidRPr="00EC250C">
        <w:rPr>
          <w:bCs/>
          <w:iCs/>
        </w:rPr>
        <w:t xml:space="preserve">W przypadku domów pomocy społecznej </w:t>
      </w:r>
      <w:r w:rsidR="00724A06" w:rsidRPr="00EC250C">
        <w:rPr>
          <w:bCs/>
          <w:iCs/>
        </w:rPr>
        <w:t>Minister Rodziny Pracy</w:t>
      </w:r>
      <w:r w:rsidR="00992FD0" w:rsidRPr="00EC250C">
        <w:rPr>
          <w:bCs/>
          <w:iCs/>
        </w:rPr>
        <w:t xml:space="preserve"> i </w:t>
      </w:r>
      <w:r w:rsidR="00724A06" w:rsidRPr="00EC250C">
        <w:rPr>
          <w:bCs/>
          <w:iCs/>
        </w:rPr>
        <w:t>Polityki Społecznej uważa iż, przepisy dotyczące stosowania monitoringu powinny być bardziej ogólne</w:t>
      </w:r>
      <w:r w:rsidR="00992FD0" w:rsidRPr="00EC250C">
        <w:rPr>
          <w:bCs/>
          <w:iCs/>
        </w:rPr>
        <w:t xml:space="preserve"> i </w:t>
      </w:r>
      <w:r w:rsidR="00724A06" w:rsidRPr="00EC250C">
        <w:rPr>
          <w:bCs/>
          <w:iCs/>
        </w:rPr>
        <w:t>dotyczyć np. wszystkich placówek użyteczności publicznej,</w:t>
      </w:r>
      <w:r w:rsidR="00992FD0" w:rsidRPr="00EC250C">
        <w:rPr>
          <w:bCs/>
          <w:iCs/>
        </w:rPr>
        <w:t xml:space="preserve"> w </w:t>
      </w:r>
      <w:r w:rsidR="00724A06" w:rsidRPr="00EC250C">
        <w:rPr>
          <w:bCs/>
          <w:iCs/>
        </w:rPr>
        <w:t>tym podmiotów działalności leczniczej, jednostek organizacyjnych pomocy społecznej,</w:t>
      </w:r>
      <w:r w:rsidR="00992FD0" w:rsidRPr="00EC250C">
        <w:rPr>
          <w:bCs/>
          <w:iCs/>
        </w:rPr>
        <w:t xml:space="preserve"> w </w:t>
      </w:r>
      <w:r w:rsidR="00724A06" w:rsidRPr="00EC250C">
        <w:rPr>
          <w:bCs/>
          <w:iCs/>
        </w:rPr>
        <w:t>szczególności placówek całodobowego pobytu</w:t>
      </w:r>
      <w:r w:rsidR="00724A06" w:rsidRPr="00EC250C">
        <w:rPr>
          <w:rStyle w:val="Odwoanieprzypisudolnego"/>
          <w:bCs/>
          <w:iCs/>
        </w:rPr>
        <w:footnoteReference w:id="271"/>
      </w:r>
      <w:r w:rsidR="00724A06" w:rsidRPr="00EC250C">
        <w:rPr>
          <w:bCs/>
          <w:iCs/>
        </w:rPr>
        <w:t>.</w:t>
      </w:r>
    </w:p>
    <w:p w14:paraId="1D0E06A7" w14:textId="77777777" w:rsidR="00EC250C" w:rsidRDefault="00783A44" w:rsidP="00EC250C">
      <w:pPr>
        <w:pStyle w:val="Styl1"/>
        <w:rPr>
          <w:bCs/>
          <w:iCs/>
        </w:rPr>
      </w:pPr>
      <w:r w:rsidRPr="00EC250C">
        <w:t>Jeśli chodzi</w:t>
      </w:r>
      <w:r w:rsidR="00992FD0" w:rsidRPr="00EC250C">
        <w:t xml:space="preserve"> o </w:t>
      </w:r>
      <w:r w:rsidR="00724A06" w:rsidRPr="00EC250C">
        <w:t>monitoring wizyjn</w:t>
      </w:r>
      <w:r w:rsidRPr="00EC250C">
        <w:t>y</w:t>
      </w:r>
      <w:r w:rsidR="00992FD0" w:rsidRPr="00EC250C">
        <w:t xml:space="preserve"> w </w:t>
      </w:r>
      <w:r w:rsidRPr="00EC250C">
        <w:t>szpitalach psychiatrycznych</w:t>
      </w:r>
      <w:r w:rsidR="00992FD0" w:rsidRPr="00EC250C">
        <w:t xml:space="preserve"> w </w:t>
      </w:r>
      <w:r w:rsidR="00724A06" w:rsidRPr="00EC250C">
        <w:t>pomieszcze</w:t>
      </w:r>
      <w:r w:rsidRPr="00EC250C">
        <w:t xml:space="preserve">niach </w:t>
      </w:r>
      <w:r w:rsidR="00724A06" w:rsidRPr="00EC250C">
        <w:t>innych niż pomieszczenie do izolacji</w:t>
      </w:r>
      <w:r w:rsidRPr="00EC250C">
        <w:t>,</w:t>
      </w:r>
      <w:r w:rsidR="00992FD0" w:rsidRPr="00EC250C">
        <w:t xml:space="preserve"> w </w:t>
      </w:r>
      <w:r w:rsidRPr="00EC250C">
        <w:t>dalszym ciągu brakuje regulacji ustawowej</w:t>
      </w:r>
      <w:r w:rsidR="00724A06" w:rsidRPr="00EC250C">
        <w:rPr>
          <w:rStyle w:val="Odwoanieprzypisudolnego"/>
          <w:sz w:val="24"/>
          <w:szCs w:val="24"/>
        </w:rPr>
        <w:footnoteReference w:id="272"/>
      </w:r>
      <w:r w:rsidR="00724A06" w:rsidRPr="00EC250C">
        <w:t xml:space="preserve">. Dlatego </w:t>
      </w:r>
      <w:r w:rsidR="00C079A6" w:rsidRPr="00EC250C">
        <w:t>RPO</w:t>
      </w:r>
      <w:r w:rsidR="00724A06" w:rsidRPr="00EC250C">
        <w:t xml:space="preserve"> wystąpił do Ministra Zdrowia</w:t>
      </w:r>
      <w:r w:rsidR="00724A06" w:rsidRPr="00EC250C">
        <w:rPr>
          <w:rStyle w:val="Odwoanieprzypisudolnego"/>
          <w:bCs/>
          <w:iCs/>
        </w:rPr>
        <w:footnoteReference w:id="273"/>
      </w:r>
      <w:r w:rsidR="00992FD0" w:rsidRPr="00EC250C">
        <w:t xml:space="preserve"> o </w:t>
      </w:r>
      <w:r w:rsidR="00724A06" w:rsidRPr="00EC250C">
        <w:t xml:space="preserve">przygotowanie projektu. </w:t>
      </w:r>
      <w:r w:rsidR="00724A06" w:rsidRPr="00EC250C">
        <w:rPr>
          <w:bCs/>
          <w:iCs/>
        </w:rPr>
        <w:t>W 2018</w:t>
      </w:r>
      <w:r w:rsidR="00C91F6E" w:rsidRPr="00EC250C">
        <w:rPr>
          <w:bCs/>
          <w:iCs/>
        </w:rPr>
        <w:t> r.</w:t>
      </w:r>
      <w:r w:rsidR="00724A06" w:rsidRPr="00EC250C">
        <w:rPr>
          <w:bCs/>
          <w:iCs/>
        </w:rPr>
        <w:t xml:space="preserve"> odpowiedź nie nadeszła.</w:t>
      </w:r>
      <w:bookmarkStart w:id="258" w:name="_Toc11247634"/>
      <w:bookmarkStart w:id="259" w:name="_Toc6257742"/>
    </w:p>
    <w:p w14:paraId="6BBFBD2E" w14:textId="7CECA1F4" w:rsidR="00DB4459" w:rsidRPr="00EC250C" w:rsidRDefault="00DB4459" w:rsidP="00EC250C">
      <w:pPr>
        <w:pStyle w:val="Nagwek4"/>
      </w:pPr>
      <w:r w:rsidRPr="00EC250C">
        <w:lastRenderedPageBreak/>
        <w:t>Problemy dotyczące czci</w:t>
      </w:r>
      <w:r w:rsidR="00992FD0" w:rsidRPr="00EC250C">
        <w:t xml:space="preserve"> i </w:t>
      </w:r>
      <w:r w:rsidRPr="00EC250C">
        <w:t>reputacji</w:t>
      </w:r>
      <w:bookmarkEnd w:id="258"/>
    </w:p>
    <w:p w14:paraId="35C97989" w14:textId="77777777" w:rsidR="00C91F6E" w:rsidRPr="00EC250C" w:rsidRDefault="002A4ADA" w:rsidP="00EC250C">
      <w:pPr>
        <w:pStyle w:val="Nagwek5"/>
      </w:pPr>
      <w:r w:rsidRPr="00EC250C">
        <w:t>Umieszczanie na orzeczeniu</w:t>
      </w:r>
      <w:r w:rsidR="00992FD0" w:rsidRPr="00EC250C">
        <w:t xml:space="preserve"> o </w:t>
      </w:r>
      <w:r w:rsidRPr="00EC250C">
        <w:t>stopniu niepełnosprawności symbolu przyczyny niepełnosprawności</w:t>
      </w:r>
    </w:p>
    <w:p w14:paraId="0D483EEF" w14:textId="77777777" w:rsidR="00600567" w:rsidRPr="00EC250C" w:rsidRDefault="00600567" w:rsidP="00EC250C">
      <w:pPr>
        <w:pStyle w:val="Nagwek8"/>
      </w:pPr>
      <w:r w:rsidRPr="00EC250C">
        <w:t>Skarga konstytucyjna obywatela</w:t>
      </w:r>
      <w:r w:rsidR="00992FD0" w:rsidRPr="00EC250C">
        <w:t xml:space="preserve"> z </w:t>
      </w:r>
      <w:r w:rsidRPr="00EC250C">
        <w:t>niepełnosprawnością</w:t>
      </w:r>
    </w:p>
    <w:p w14:paraId="27A31936" w14:textId="77777777" w:rsidR="002A4ADA" w:rsidRPr="00EC250C" w:rsidRDefault="0069258D" w:rsidP="00D131FA">
      <w:pPr>
        <w:pStyle w:val="Styl2"/>
        <w:rPr>
          <w:szCs w:val="24"/>
        </w:rPr>
      </w:pPr>
      <w:r w:rsidRPr="00EC250C">
        <w:rPr>
          <w:szCs w:val="24"/>
        </w:rPr>
        <w:t>Obywatel</w:t>
      </w:r>
      <w:r w:rsidR="002A4ADA" w:rsidRPr="00EC250C">
        <w:rPr>
          <w:szCs w:val="24"/>
        </w:rPr>
        <w:t xml:space="preserve"> dostał</w:t>
      </w:r>
      <w:r w:rsidR="00992FD0" w:rsidRPr="00EC250C">
        <w:rPr>
          <w:szCs w:val="24"/>
        </w:rPr>
        <w:t xml:space="preserve"> w </w:t>
      </w:r>
      <w:r w:rsidR="002A4ADA" w:rsidRPr="00EC250C">
        <w:rPr>
          <w:szCs w:val="24"/>
        </w:rPr>
        <w:t>2015</w:t>
      </w:r>
      <w:r w:rsidR="00C91F6E" w:rsidRPr="00EC250C">
        <w:rPr>
          <w:szCs w:val="24"/>
        </w:rPr>
        <w:t> r.</w:t>
      </w:r>
      <w:r w:rsidR="002A4ADA" w:rsidRPr="00EC250C">
        <w:rPr>
          <w:szCs w:val="24"/>
        </w:rPr>
        <w:t xml:space="preserve"> orzeczenie</w:t>
      </w:r>
      <w:r w:rsidR="00992FD0" w:rsidRPr="00EC250C">
        <w:rPr>
          <w:szCs w:val="24"/>
        </w:rPr>
        <w:t xml:space="preserve"> o </w:t>
      </w:r>
      <w:r w:rsidR="002A4ADA" w:rsidRPr="00EC250C">
        <w:rPr>
          <w:szCs w:val="24"/>
        </w:rPr>
        <w:t>niepełnosprawności</w:t>
      </w:r>
      <w:r w:rsidR="00992FD0" w:rsidRPr="00EC250C">
        <w:rPr>
          <w:szCs w:val="24"/>
        </w:rPr>
        <w:t xml:space="preserve"> z </w:t>
      </w:r>
      <w:r w:rsidR="002A4ADA" w:rsidRPr="00EC250C">
        <w:rPr>
          <w:szCs w:val="24"/>
        </w:rPr>
        <w:t xml:space="preserve">symbolem O2-P. Każdy łatwo dziś sprawdzi, że taki symbol oznacza chorobę psychiczną. </w:t>
      </w:r>
      <w:r w:rsidR="0089622B" w:rsidRPr="00EC250C">
        <w:rPr>
          <w:szCs w:val="24"/>
        </w:rPr>
        <w:t>Wygrał sprawę przed Trybunałem Konstytucyjnym, ale ten, publikując wyrok podał… dane skarżącego.</w:t>
      </w:r>
    </w:p>
    <w:p w14:paraId="370B03E9" w14:textId="77777777" w:rsidR="0089622B" w:rsidRPr="00EC250C" w:rsidRDefault="0089622B" w:rsidP="00D131FA">
      <w:pPr>
        <w:pStyle w:val="ODESANIE"/>
        <w:jc w:val="both"/>
      </w:pPr>
      <w:r w:rsidRPr="00EC250C">
        <w:t>Więcej</w:t>
      </w:r>
      <w:r w:rsidR="00992FD0" w:rsidRPr="00EC250C">
        <w:t xml:space="preserve"> o </w:t>
      </w:r>
      <w:r w:rsidRPr="00EC250C">
        <w:t xml:space="preserve">tej sprawie – </w:t>
      </w:r>
      <w:r w:rsidR="001874B8" w:rsidRPr="00EC250C">
        <w:t xml:space="preserve">w kontekście </w:t>
      </w:r>
      <w:r w:rsidRPr="00EC250C">
        <w:t>art. 32 ust 2. Konstytucji</w:t>
      </w:r>
    </w:p>
    <w:bookmarkEnd w:id="259"/>
    <w:p w14:paraId="3CA1CC93" w14:textId="77777777" w:rsidR="00276C19" w:rsidRPr="00EC250C" w:rsidRDefault="00276C19" w:rsidP="00EC250C">
      <w:pPr>
        <w:pStyle w:val="Nagwek8"/>
      </w:pPr>
      <w:r w:rsidRPr="00EC250C">
        <w:t>Sprawa wykorzystania seksualnego osadzonej przez funkcjonariusza Służby Więziennej</w:t>
      </w:r>
    </w:p>
    <w:p w14:paraId="2631EF75" w14:textId="77777777" w:rsidR="00C91F6E" w:rsidRPr="00EC250C" w:rsidRDefault="00F22483" w:rsidP="00D131FA">
      <w:pPr>
        <w:pStyle w:val="Styl2"/>
        <w:rPr>
          <w:szCs w:val="24"/>
        </w:rPr>
      </w:pPr>
      <w:r w:rsidRPr="00EC250C">
        <w:rPr>
          <w:szCs w:val="24"/>
        </w:rPr>
        <w:t>Po doniesieniu, że kobieta osadzona</w:t>
      </w:r>
      <w:r w:rsidR="00992FD0" w:rsidRPr="00EC250C">
        <w:rPr>
          <w:szCs w:val="24"/>
        </w:rPr>
        <w:t xml:space="preserve"> w </w:t>
      </w:r>
      <w:r w:rsidRPr="00EC250C">
        <w:rPr>
          <w:szCs w:val="24"/>
        </w:rPr>
        <w:t xml:space="preserve">zakładzie karnym została zgwałcona przez strażnika, RPO </w:t>
      </w:r>
      <w:r w:rsidR="00295D97" w:rsidRPr="00EC250C">
        <w:rPr>
          <w:szCs w:val="24"/>
        </w:rPr>
        <w:t>zajął się sprawą</w:t>
      </w:r>
      <w:r w:rsidR="00992FD0" w:rsidRPr="00EC250C">
        <w:rPr>
          <w:szCs w:val="24"/>
        </w:rPr>
        <w:t xml:space="preserve"> z </w:t>
      </w:r>
      <w:r w:rsidR="00295D97" w:rsidRPr="00EC250C">
        <w:rPr>
          <w:szCs w:val="24"/>
        </w:rPr>
        <w:t>urzędu (nie czekając na wniosek). Celem było ustalenie, czy sprawa jest porządnie wyjaśniana,</w:t>
      </w:r>
      <w:r w:rsidR="00992FD0" w:rsidRPr="00EC250C">
        <w:rPr>
          <w:szCs w:val="24"/>
        </w:rPr>
        <w:t xml:space="preserve"> z </w:t>
      </w:r>
      <w:r w:rsidR="00295D97" w:rsidRPr="00EC250C">
        <w:rPr>
          <w:szCs w:val="24"/>
        </w:rPr>
        <w:t>poszanowaniem prawa</w:t>
      </w:r>
      <w:r w:rsidR="00992FD0" w:rsidRPr="00EC250C">
        <w:rPr>
          <w:szCs w:val="24"/>
        </w:rPr>
        <w:t xml:space="preserve"> i </w:t>
      </w:r>
      <w:r w:rsidR="00295D97" w:rsidRPr="00EC250C">
        <w:rPr>
          <w:szCs w:val="24"/>
        </w:rPr>
        <w:t>godności osoby poszkodowanej</w:t>
      </w:r>
      <w:r w:rsidR="00C62BA6" w:rsidRPr="00EC250C">
        <w:rPr>
          <w:rStyle w:val="Odwoanieprzypisudolnego"/>
          <w:szCs w:val="24"/>
        </w:rPr>
        <w:footnoteReference w:id="274"/>
      </w:r>
      <w:r w:rsidR="00295D97" w:rsidRPr="00EC250C">
        <w:rPr>
          <w:szCs w:val="24"/>
        </w:rPr>
        <w:t>. Przedstawiciele RPO pojechali na miejsce. Ustalili, że procedur dotrzymano</w:t>
      </w:r>
      <w:r w:rsidR="00AE030B" w:rsidRPr="00EC250C">
        <w:rPr>
          <w:szCs w:val="24"/>
        </w:rPr>
        <w:t>: sprawą nie tylko zajęła się prokuratura, ale kobieta otrzymała pomoc lekarską</w:t>
      </w:r>
      <w:r w:rsidR="00992FD0" w:rsidRPr="00EC250C">
        <w:rPr>
          <w:szCs w:val="24"/>
        </w:rPr>
        <w:t xml:space="preserve"> i </w:t>
      </w:r>
      <w:r w:rsidR="00AE030B" w:rsidRPr="00EC250C">
        <w:rPr>
          <w:szCs w:val="24"/>
        </w:rPr>
        <w:t>psychologiczną.</w:t>
      </w:r>
      <w:r w:rsidR="00276C19" w:rsidRPr="00EC250C">
        <w:rPr>
          <w:szCs w:val="24"/>
        </w:rPr>
        <w:t xml:space="preserve"> Wizytujący nie stwierdzili szykan ze strony personelu ZK, czy współosadzonych oraz utrudnień</w:t>
      </w:r>
      <w:r w:rsidR="00992FD0" w:rsidRPr="00EC250C">
        <w:rPr>
          <w:szCs w:val="24"/>
        </w:rPr>
        <w:t xml:space="preserve"> w </w:t>
      </w:r>
      <w:r w:rsidR="00276C19" w:rsidRPr="00EC250C">
        <w:rPr>
          <w:szCs w:val="24"/>
        </w:rPr>
        <w:t>korzystaniu</w:t>
      </w:r>
      <w:r w:rsidR="00992FD0" w:rsidRPr="00EC250C">
        <w:rPr>
          <w:szCs w:val="24"/>
        </w:rPr>
        <w:t xml:space="preserve"> z </w:t>
      </w:r>
      <w:r w:rsidR="00276C19" w:rsidRPr="00EC250C">
        <w:rPr>
          <w:szCs w:val="24"/>
        </w:rPr>
        <w:t>przysługujących skazanej uprawnień.</w:t>
      </w:r>
    </w:p>
    <w:p w14:paraId="64BC1CFD" w14:textId="77777777" w:rsidR="00A65A70" w:rsidRPr="00EC250C" w:rsidRDefault="00295D97" w:rsidP="00D131FA">
      <w:pPr>
        <w:pStyle w:val="Styl2"/>
        <w:rPr>
          <w:szCs w:val="24"/>
        </w:rPr>
      </w:pPr>
      <w:r w:rsidRPr="00EC250C">
        <w:rPr>
          <w:szCs w:val="24"/>
        </w:rPr>
        <w:t xml:space="preserve">Kierownictwo Zakładu </w:t>
      </w:r>
      <w:r w:rsidR="00AE030B" w:rsidRPr="00EC250C">
        <w:rPr>
          <w:szCs w:val="24"/>
        </w:rPr>
        <w:t>zapewniło, że dba</w:t>
      </w:r>
      <w:r w:rsidR="00992FD0" w:rsidRPr="00EC250C">
        <w:rPr>
          <w:szCs w:val="24"/>
        </w:rPr>
        <w:t xml:space="preserve"> o </w:t>
      </w:r>
      <w:r w:rsidR="00AE030B" w:rsidRPr="00EC250C">
        <w:rPr>
          <w:szCs w:val="24"/>
        </w:rPr>
        <w:t xml:space="preserve">to </w:t>
      </w:r>
      <w:r w:rsidRPr="00EC250C">
        <w:rPr>
          <w:szCs w:val="24"/>
        </w:rPr>
        <w:t>by</w:t>
      </w:r>
      <w:r w:rsidR="00992FD0" w:rsidRPr="00EC250C">
        <w:rPr>
          <w:szCs w:val="24"/>
        </w:rPr>
        <w:t xml:space="preserve"> w </w:t>
      </w:r>
      <w:r w:rsidRPr="00EC250C">
        <w:rPr>
          <w:szCs w:val="24"/>
        </w:rPr>
        <w:t>dziale ochrony pracowało więcej kobiet</w:t>
      </w:r>
      <w:r w:rsidR="00AE030B" w:rsidRPr="00EC250C">
        <w:rPr>
          <w:szCs w:val="24"/>
        </w:rPr>
        <w:t>-strażniczek</w:t>
      </w:r>
      <w:r w:rsidR="00276C19" w:rsidRPr="00EC250C">
        <w:rPr>
          <w:szCs w:val="24"/>
        </w:rPr>
        <w:t>,</w:t>
      </w:r>
      <w:r w:rsidRPr="00EC250C">
        <w:rPr>
          <w:szCs w:val="24"/>
        </w:rPr>
        <w:t xml:space="preserve"> chce, by zapisy monitoringu były przechowywane dłużej,</w:t>
      </w:r>
      <w:r w:rsidR="00992FD0" w:rsidRPr="00EC250C">
        <w:rPr>
          <w:szCs w:val="24"/>
        </w:rPr>
        <w:t xml:space="preserve"> a </w:t>
      </w:r>
      <w:r w:rsidRPr="00EC250C">
        <w:rPr>
          <w:szCs w:val="24"/>
        </w:rPr>
        <w:t>kamery rejestrowały zachowanie funkcjonariuszy między pawilonami. Ma to zapobiec podobnym</w:t>
      </w:r>
      <w:r w:rsidR="00276C19" w:rsidRPr="00EC250C">
        <w:rPr>
          <w:szCs w:val="24"/>
        </w:rPr>
        <w:t xml:space="preserve"> </w:t>
      </w:r>
      <w:r w:rsidR="00A65A70" w:rsidRPr="00EC250C">
        <w:rPr>
          <w:szCs w:val="24"/>
        </w:rPr>
        <w:t>zdarzeniom</w:t>
      </w:r>
      <w:r w:rsidR="00A65A70" w:rsidRPr="00EC250C">
        <w:rPr>
          <w:rStyle w:val="Odwoaniedokomentarza"/>
          <w:rFonts w:asciiTheme="minorHAnsi" w:eastAsiaTheme="minorHAnsi" w:hAnsiTheme="minorHAnsi" w:cstheme="minorBidi"/>
          <w:b w:val="0"/>
          <w:bCs w:val="0"/>
          <w:iCs w:val="0"/>
          <w:color w:val="auto"/>
          <w:lang w:eastAsia="en-US" w:bidi="ar-SA"/>
        </w:rPr>
        <w:t xml:space="preserve"> </w:t>
      </w:r>
      <w:r w:rsidR="00A65A70" w:rsidRPr="00EC250C">
        <w:rPr>
          <w:szCs w:val="24"/>
        </w:rPr>
        <w:t>.</w:t>
      </w:r>
    </w:p>
    <w:p w14:paraId="1FB10CAC" w14:textId="77777777" w:rsidR="006A1236" w:rsidRPr="00EC250C" w:rsidRDefault="00276C19" w:rsidP="00EC250C">
      <w:pPr>
        <w:pStyle w:val="Nagwek3"/>
      </w:pPr>
      <w:r w:rsidRPr="00EC250C">
        <w:rPr>
          <w:i/>
        </w:rPr>
        <w:br w:type="page"/>
      </w:r>
      <w:bookmarkStart w:id="260" w:name="_Toc6257743"/>
      <w:bookmarkStart w:id="261" w:name="_Toc11247635"/>
      <w:r w:rsidR="006A1236" w:rsidRPr="00EC250C">
        <w:lastRenderedPageBreak/>
        <w:t xml:space="preserve">Art. 48 </w:t>
      </w:r>
      <w:r w:rsidR="006302BF" w:rsidRPr="00EC250C">
        <w:t xml:space="preserve">Konstytucji </w:t>
      </w:r>
      <w:r w:rsidR="006A1236" w:rsidRPr="00EC250C">
        <w:t>– Prawo do wychowania dzieci zgodnie</w:t>
      </w:r>
      <w:r w:rsidR="00992FD0" w:rsidRPr="00EC250C">
        <w:t xml:space="preserve"> z </w:t>
      </w:r>
      <w:r w:rsidR="006A1236" w:rsidRPr="00EC250C">
        <w:t>przekonaniami</w:t>
      </w:r>
      <w:bookmarkEnd w:id="260"/>
      <w:bookmarkEnd w:id="261"/>
    </w:p>
    <w:p w14:paraId="663FF880" w14:textId="77777777" w:rsidR="006A1236" w:rsidRPr="00EC250C" w:rsidRDefault="006A1236" w:rsidP="00D131FA">
      <w:pPr>
        <w:pStyle w:val="konstytucja"/>
        <w:jc w:val="both"/>
      </w:pPr>
      <w:r w:rsidRPr="00EC250C">
        <w:t>1. Rodzice mają prawo do wychowania dzieci zgodnie</w:t>
      </w:r>
      <w:r w:rsidR="00992FD0" w:rsidRPr="00EC250C">
        <w:t xml:space="preserve"> z </w:t>
      </w:r>
      <w:r w:rsidRPr="00EC250C">
        <w:t>własnymi przekonaniami. Wychowanie to powinno uwzględniać stopień dojrzałości dziecka,</w:t>
      </w:r>
      <w:r w:rsidR="00992FD0" w:rsidRPr="00EC250C">
        <w:t xml:space="preserve"> a </w:t>
      </w:r>
      <w:r w:rsidRPr="00EC250C">
        <w:t>także wolność jego sumienia</w:t>
      </w:r>
      <w:r w:rsidR="00992FD0" w:rsidRPr="00EC250C">
        <w:t xml:space="preserve"> i </w:t>
      </w:r>
      <w:r w:rsidRPr="00EC250C">
        <w:t>wyznania oraz jego przekonania.</w:t>
      </w:r>
    </w:p>
    <w:p w14:paraId="3F2D346C" w14:textId="77777777" w:rsidR="006A1236" w:rsidRPr="00EC250C" w:rsidRDefault="006A1236" w:rsidP="00D131FA">
      <w:pPr>
        <w:pStyle w:val="konstytucja"/>
        <w:jc w:val="both"/>
      </w:pPr>
      <w:r w:rsidRPr="00EC250C">
        <w:t>2. Ograniczenie lub pozbawienie praw rodzicielskich może nastąpić tylko</w:t>
      </w:r>
      <w:r w:rsidR="00992FD0" w:rsidRPr="00EC250C">
        <w:t xml:space="preserve"> w </w:t>
      </w:r>
      <w:r w:rsidRPr="00EC250C">
        <w:t>przypadkach określonych</w:t>
      </w:r>
      <w:r w:rsidR="00992FD0" w:rsidRPr="00EC250C">
        <w:t xml:space="preserve"> w </w:t>
      </w:r>
      <w:r w:rsidRPr="00EC250C">
        <w:t>ustawie</w:t>
      </w:r>
      <w:r w:rsidR="00992FD0" w:rsidRPr="00EC250C">
        <w:t xml:space="preserve"> i </w:t>
      </w:r>
      <w:r w:rsidRPr="00EC250C">
        <w:t>tylko na podstawie prawomocnego orzeczenia sądu.</w:t>
      </w:r>
    </w:p>
    <w:p w14:paraId="4440D89E" w14:textId="77777777" w:rsidR="00C91F6E" w:rsidRPr="00EC250C" w:rsidRDefault="00815141" w:rsidP="00D131FA">
      <w:pPr>
        <w:pStyle w:val="ComwiKonstytucja"/>
      </w:pPr>
      <w:r w:rsidRPr="00EC250C">
        <w:t>Wychowanie oznacza zaszczepianie</w:t>
      </w:r>
      <w:r w:rsidR="00992FD0" w:rsidRPr="00EC250C">
        <w:t xml:space="preserve"> i </w:t>
      </w:r>
      <w:r w:rsidRPr="00EC250C">
        <w:t>umacnianie</w:t>
      </w:r>
      <w:r w:rsidR="00992FD0" w:rsidRPr="00EC250C">
        <w:t xml:space="preserve"> w </w:t>
      </w:r>
      <w:r w:rsidRPr="00EC250C">
        <w:t>dzieciach określonego światopoglądu, przekonań, systemu wartości, zasad obyczajowych, moralnych</w:t>
      </w:r>
      <w:r w:rsidR="00992FD0" w:rsidRPr="00EC250C">
        <w:t xml:space="preserve"> i </w:t>
      </w:r>
      <w:r w:rsidRPr="00EC250C">
        <w:t>etycznych poprzez świadome działania rodziców.</w:t>
      </w:r>
    </w:p>
    <w:p w14:paraId="06C306E2" w14:textId="77777777" w:rsidR="00C91F6E" w:rsidRPr="00EC250C" w:rsidRDefault="00815141" w:rsidP="00D131FA">
      <w:pPr>
        <w:pStyle w:val="ComwiKonstytucja"/>
      </w:pPr>
      <w:r w:rsidRPr="00EC250C">
        <w:t>Rodzice mają tu swobodę postępowania</w:t>
      </w:r>
      <w:r w:rsidR="00992FD0" w:rsidRPr="00EC250C">
        <w:t xml:space="preserve"> i </w:t>
      </w:r>
      <w:r w:rsidRPr="00EC250C">
        <w:t>wolność od wszelkich postronnych ingerencji. Dopiero gdyby przekazywanie pewnych treści należało zakwalifikować jako demoralizację, mogą wkroczyć organy państwa celem ochrony dziecka. Prawo do wychowywania zgodnie</w:t>
      </w:r>
      <w:r w:rsidR="00992FD0" w:rsidRPr="00EC250C">
        <w:t xml:space="preserve"> z </w:t>
      </w:r>
      <w:r w:rsidRPr="00EC250C">
        <w:t>własnymi przekonaniami, podobnie jak</w:t>
      </w:r>
      <w:r w:rsidR="00992FD0" w:rsidRPr="00EC250C">
        <w:t xml:space="preserve"> i </w:t>
      </w:r>
      <w:r w:rsidRPr="00EC250C">
        <w:t>inne prawa rodzicielskie mogą być ograniczane,</w:t>
      </w:r>
      <w:r w:rsidR="00992FD0" w:rsidRPr="00EC250C">
        <w:t xml:space="preserve"> a </w:t>
      </w:r>
      <w:r w:rsidRPr="00EC250C">
        <w:t>nawet odebrane rodzicom</w:t>
      </w:r>
      <w:r w:rsidR="00992FD0" w:rsidRPr="00EC250C">
        <w:t xml:space="preserve"> w </w:t>
      </w:r>
      <w:r w:rsidRPr="00EC250C">
        <w:t>sytuacjach określonych</w:t>
      </w:r>
      <w:r w:rsidR="00992FD0" w:rsidRPr="00EC250C">
        <w:t xml:space="preserve"> w </w:t>
      </w:r>
      <w:r w:rsidRPr="00EC250C">
        <w:t>ustawie.</w:t>
      </w:r>
    </w:p>
    <w:p w14:paraId="02EBCBA5" w14:textId="77777777" w:rsidR="00C91F6E" w:rsidRPr="00EC250C" w:rsidRDefault="00815141" w:rsidP="00D131FA">
      <w:pPr>
        <w:pStyle w:val="ComwiKonstytucja"/>
      </w:pPr>
      <w:r w:rsidRPr="00EC250C">
        <w:t>Wynika to</w:t>
      </w:r>
      <w:r w:rsidR="00992FD0" w:rsidRPr="00EC250C">
        <w:t xml:space="preserve"> z </w:t>
      </w:r>
      <w:r w:rsidRPr="00EC250C">
        <w:t>zasady priorytetu dobra dziecka.</w:t>
      </w:r>
    </w:p>
    <w:p w14:paraId="2AF02D9E" w14:textId="77777777" w:rsidR="00EE09AA" w:rsidRPr="00EC250C" w:rsidRDefault="00EE09AA" w:rsidP="00D131FA">
      <w:pPr>
        <w:pStyle w:val="ComwiKonstytucja"/>
      </w:pPr>
    </w:p>
    <w:p w14:paraId="5B12D47A" w14:textId="77777777" w:rsidR="00B81B3C" w:rsidRPr="00EC250C" w:rsidRDefault="00B81B3C" w:rsidP="00D131FA">
      <w:pPr>
        <w:pStyle w:val="Styl1"/>
      </w:pPr>
    </w:p>
    <w:p w14:paraId="7C6E2123" w14:textId="77777777" w:rsidR="00B81B3C" w:rsidRPr="00EC250C" w:rsidRDefault="00B81B3C" w:rsidP="00D131FA">
      <w:pPr>
        <w:pStyle w:val="Styl1"/>
      </w:pPr>
      <w:r w:rsidRPr="00EC250C">
        <w:t>W 2018</w:t>
      </w:r>
      <w:r w:rsidR="00C91F6E" w:rsidRPr="00EC250C">
        <w:t> r.</w:t>
      </w:r>
      <w:r w:rsidRPr="00EC250C">
        <w:t xml:space="preserve"> Rzecznik Praw Obywatelskich nie odnotował poważnych systemowych problemów</w:t>
      </w:r>
      <w:r w:rsidR="00992FD0" w:rsidRPr="00EC250C">
        <w:t xml:space="preserve"> z </w:t>
      </w:r>
      <w:r w:rsidRPr="00EC250C">
        <w:t>realizacją tego prawa.</w:t>
      </w:r>
    </w:p>
    <w:p w14:paraId="27FA2D3C" w14:textId="77777777" w:rsidR="00304A51" w:rsidRPr="00EC250C" w:rsidRDefault="00815141" w:rsidP="00D131FA">
      <w:pPr>
        <w:pStyle w:val="ODESANIE"/>
        <w:jc w:val="both"/>
      </w:pPr>
      <w:r w:rsidRPr="00EC250C">
        <w:t>Problemy zwi</w:t>
      </w:r>
      <w:r w:rsidRPr="00EC250C">
        <w:rPr>
          <w:rFonts w:cs="Times New Roman"/>
        </w:rPr>
        <w:t>ą</w:t>
      </w:r>
      <w:r w:rsidRPr="00EC250C">
        <w:t>zane</w:t>
      </w:r>
      <w:r w:rsidR="00992FD0" w:rsidRPr="00EC250C">
        <w:t xml:space="preserve"> z </w:t>
      </w:r>
      <w:r w:rsidRPr="00EC250C">
        <w:t>lekcj</w:t>
      </w:r>
      <w:r w:rsidR="005F7A02" w:rsidRPr="00EC250C">
        <w:t>ami</w:t>
      </w:r>
      <w:r w:rsidRPr="00EC250C">
        <w:t xml:space="preserve"> etyki</w:t>
      </w:r>
      <w:r w:rsidR="00992FD0" w:rsidRPr="00EC250C">
        <w:t xml:space="preserve"> i </w:t>
      </w:r>
      <w:r w:rsidRPr="00EC250C">
        <w:t>nauczaniem religii mniejszościowych zostały opisane przy art. 53 (Wolność sumienia</w:t>
      </w:r>
      <w:r w:rsidR="00992FD0" w:rsidRPr="00EC250C">
        <w:t xml:space="preserve"> i </w:t>
      </w:r>
      <w:r w:rsidRPr="00EC250C">
        <w:t>wyznania)</w:t>
      </w:r>
    </w:p>
    <w:p w14:paraId="43A61177" w14:textId="77777777" w:rsidR="00081353" w:rsidRPr="00EC250C" w:rsidRDefault="00081353" w:rsidP="00D131FA">
      <w:pPr>
        <w:jc w:val="both"/>
        <w:rPr>
          <w:bCs/>
          <w:sz w:val="24"/>
        </w:rPr>
      </w:pPr>
      <w:r w:rsidRPr="00EC250C">
        <w:rPr>
          <w:bCs/>
          <w:sz w:val="24"/>
        </w:rPr>
        <w:br w:type="page"/>
      </w:r>
    </w:p>
    <w:p w14:paraId="54F8E4AF" w14:textId="77777777" w:rsidR="00C91F6E" w:rsidRPr="00EC250C" w:rsidRDefault="004C52F3" w:rsidP="00EC250C">
      <w:pPr>
        <w:pStyle w:val="Nagwek3"/>
      </w:pPr>
      <w:bookmarkStart w:id="262" w:name="_Toc6257744"/>
      <w:bookmarkStart w:id="263" w:name="_Toc11247636"/>
      <w:r w:rsidRPr="00EC250C">
        <w:lastRenderedPageBreak/>
        <w:t xml:space="preserve">Art. 49 </w:t>
      </w:r>
      <w:r w:rsidR="006302BF" w:rsidRPr="00EC250C">
        <w:t xml:space="preserve">Konstytucji </w:t>
      </w:r>
      <w:r w:rsidRPr="00EC250C">
        <w:t>– Wolność komunikowania się</w:t>
      </w:r>
      <w:bookmarkEnd w:id="262"/>
      <w:bookmarkEnd w:id="263"/>
    </w:p>
    <w:p w14:paraId="6B6A0156" w14:textId="77777777" w:rsidR="004C52F3" w:rsidRPr="00EC250C" w:rsidRDefault="004C52F3" w:rsidP="00D131FA">
      <w:pPr>
        <w:pStyle w:val="konstytucja"/>
        <w:jc w:val="both"/>
      </w:pPr>
      <w:r w:rsidRPr="00EC250C">
        <w:t>Zapewnia się wolność</w:t>
      </w:r>
      <w:r w:rsidR="00992FD0" w:rsidRPr="00EC250C">
        <w:t xml:space="preserve"> i </w:t>
      </w:r>
      <w:r w:rsidRPr="00EC250C">
        <w:t>ochronę tajemnicy komunikowania się. Ich ograniczenie może nastąpić jedynie</w:t>
      </w:r>
      <w:r w:rsidR="00992FD0" w:rsidRPr="00EC250C">
        <w:t xml:space="preserve"> w </w:t>
      </w:r>
      <w:r w:rsidRPr="00EC250C">
        <w:t>przypadkach określonych</w:t>
      </w:r>
      <w:r w:rsidR="00992FD0" w:rsidRPr="00EC250C">
        <w:t xml:space="preserve"> w </w:t>
      </w:r>
      <w:r w:rsidRPr="00EC250C">
        <w:t>ustawie</w:t>
      </w:r>
      <w:r w:rsidR="00992FD0" w:rsidRPr="00EC250C">
        <w:t xml:space="preserve"> i w </w:t>
      </w:r>
      <w:r w:rsidRPr="00EC250C">
        <w:t>sposób</w:t>
      </w:r>
      <w:r w:rsidR="00992FD0" w:rsidRPr="00EC250C">
        <w:t xml:space="preserve"> w </w:t>
      </w:r>
      <w:r w:rsidRPr="00EC250C">
        <w:t>niej określony.</w:t>
      </w:r>
    </w:p>
    <w:p w14:paraId="5CC2326E" w14:textId="77777777" w:rsidR="00C91F6E" w:rsidRPr="00EC250C" w:rsidRDefault="00080ACD" w:rsidP="00D131FA">
      <w:pPr>
        <w:pStyle w:val="ComwiKonstytucja"/>
      </w:pPr>
      <w:r w:rsidRPr="00EC250C">
        <w:t>Tajemnica korespondencji jest jedną</w:t>
      </w:r>
      <w:r w:rsidR="00992FD0" w:rsidRPr="00EC250C">
        <w:t xml:space="preserve"> z </w:t>
      </w:r>
      <w:r w:rsidRPr="00EC250C">
        <w:t>tradycyjnych wolności obywatelskich. Wolność komunikowania się obejmuje możliwość porozumiewania się ludzi między sobą, komunikowania wiadomości, ocen, wrażeń, itd. Artykuł 49 dotyczy jednak tylko komunikowania się za pomocą środka przekazu.</w:t>
      </w:r>
    </w:p>
    <w:p w14:paraId="21159F46" w14:textId="77777777" w:rsidR="00C91F6E" w:rsidRPr="00EC250C" w:rsidRDefault="00080ACD" w:rsidP="00D131FA">
      <w:pPr>
        <w:pStyle w:val="ComwiKonstytucja"/>
      </w:pPr>
      <w:r w:rsidRPr="00EC250C">
        <w:t>Komunikacja bezpośrednia jest zagwarantowana przez prawo do prywatności. Twórcy Konstytucji, by kompleksowo uregulować wolność komunikowania się jednostki, zapewnili także wolność wyrażania poglądów (w artykule 54). Wolności te rozróżnia się poprzez analizę okoliczności przekazywania treści (wolność słowa polega na adresowaniu swego stanowiska do nieokreślonych indywidualnie osób). Wolność ta obejmuje również wolność otrzymywania określonych treści.</w:t>
      </w:r>
    </w:p>
    <w:p w14:paraId="558BF6D4" w14:textId="77777777" w:rsidR="00C91F6E" w:rsidRPr="00EC250C" w:rsidRDefault="00080ACD" w:rsidP="00D131FA">
      <w:pPr>
        <w:pStyle w:val="ComwiKonstytucja"/>
      </w:pPr>
      <w:r w:rsidRPr="00EC250C">
        <w:t>Tajemnica komunikowania się to:</w:t>
      </w:r>
    </w:p>
    <w:p w14:paraId="7588F7E8" w14:textId="77777777" w:rsidR="00C91F6E" w:rsidRPr="00EC250C" w:rsidRDefault="00080ACD" w:rsidP="006C70B7">
      <w:pPr>
        <w:pStyle w:val="ComwiKonstytucja"/>
        <w:numPr>
          <w:ilvl w:val="0"/>
          <w:numId w:val="41"/>
        </w:numPr>
      </w:pPr>
      <w:r w:rsidRPr="00EC250C">
        <w:t>prawo do nieujawniania treści przekazu,</w:t>
      </w:r>
    </w:p>
    <w:p w14:paraId="229B77C5" w14:textId="77777777" w:rsidR="00C91F6E" w:rsidRPr="00EC250C" w:rsidRDefault="00080ACD" w:rsidP="006C70B7">
      <w:pPr>
        <w:pStyle w:val="ComwiKonstytucja"/>
        <w:numPr>
          <w:ilvl w:val="0"/>
          <w:numId w:val="41"/>
        </w:numPr>
      </w:pPr>
      <w:r w:rsidRPr="00EC250C">
        <w:t>prawo do nieujawniania faktu, że się przekaz otrzymało,</w:t>
      </w:r>
    </w:p>
    <w:p w14:paraId="414E770A" w14:textId="77777777" w:rsidR="00080ACD" w:rsidRPr="00EC250C" w:rsidRDefault="00080ACD" w:rsidP="006C70B7">
      <w:pPr>
        <w:pStyle w:val="ComwiKonstytucja"/>
        <w:numPr>
          <w:ilvl w:val="0"/>
          <w:numId w:val="41"/>
        </w:numPr>
      </w:pPr>
      <w:r w:rsidRPr="00EC250C">
        <w:t>zakaz zdobywania wiedzy</w:t>
      </w:r>
      <w:r w:rsidR="00992FD0" w:rsidRPr="00EC250C">
        <w:t xml:space="preserve"> o </w:t>
      </w:r>
      <w:r w:rsidRPr="00EC250C">
        <w:t>treści przekazu bez zgody adresata (zakaz ten dotyczy także władz publicznych)</w:t>
      </w:r>
    </w:p>
    <w:p w14:paraId="7A39967E" w14:textId="77777777" w:rsidR="00EE09AA" w:rsidRPr="00EC250C" w:rsidRDefault="00EE09AA" w:rsidP="00D131FA">
      <w:pPr>
        <w:pStyle w:val="ComwiKonstytucja"/>
        <w:ind w:firstLine="0"/>
      </w:pPr>
    </w:p>
    <w:p w14:paraId="0E4F5424" w14:textId="77777777" w:rsidR="00080ACD" w:rsidRPr="00EC250C" w:rsidRDefault="00080ACD" w:rsidP="00D131FA">
      <w:pPr>
        <w:spacing w:after="200" w:line="24" w:lineRule="auto"/>
        <w:jc w:val="both"/>
        <w:rPr>
          <w:i/>
          <w:spacing w:val="5"/>
          <w:sz w:val="22"/>
        </w:rPr>
      </w:pPr>
      <w:r w:rsidRPr="00EC250C">
        <w:rPr>
          <w:sz w:val="24"/>
        </w:rPr>
        <w:br w:type="page"/>
      </w:r>
    </w:p>
    <w:p w14:paraId="145BA001" w14:textId="77777777" w:rsidR="005B3F69" w:rsidRPr="00EC250C" w:rsidRDefault="005B3F69" w:rsidP="00EC79EB">
      <w:pPr>
        <w:pStyle w:val="Nagwek4"/>
      </w:pPr>
      <w:bookmarkStart w:id="264" w:name="_Toc6257745"/>
      <w:bookmarkStart w:id="265" w:name="_Toc11247637"/>
      <w:r w:rsidRPr="00EC250C">
        <w:lastRenderedPageBreak/>
        <w:t>Uprawnienia służb specjalnych do kontrolowania komunikacji obywateli</w:t>
      </w:r>
      <w:bookmarkEnd w:id="264"/>
      <w:bookmarkEnd w:id="265"/>
    </w:p>
    <w:p w14:paraId="1A15FF50" w14:textId="77777777" w:rsidR="00B473F5" w:rsidRPr="00EC250C" w:rsidRDefault="005B3F69" w:rsidP="00D131FA">
      <w:pPr>
        <w:pStyle w:val="Problemczowieka"/>
        <w:jc w:val="both"/>
        <w:rPr>
          <w:lang w:eastAsia="en-US"/>
        </w:rPr>
      </w:pPr>
      <w:r w:rsidRPr="00EC250C">
        <w:rPr>
          <w:lang w:eastAsia="en-US"/>
        </w:rPr>
        <w:t>Od 2016</w:t>
      </w:r>
      <w:r w:rsidR="00C91F6E" w:rsidRPr="00EC250C">
        <w:rPr>
          <w:lang w:eastAsia="en-US"/>
        </w:rPr>
        <w:t> r.</w:t>
      </w:r>
      <w:r w:rsidRPr="00EC250C">
        <w:rPr>
          <w:lang w:eastAsia="en-US"/>
        </w:rPr>
        <w:t xml:space="preserve"> RPO alarmuje, że służby specjalne</w:t>
      </w:r>
      <w:r w:rsidR="00992FD0" w:rsidRPr="00EC250C">
        <w:rPr>
          <w:lang w:eastAsia="en-US"/>
        </w:rPr>
        <w:t xml:space="preserve"> i </w:t>
      </w:r>
      <w:r w:rsidRPr="00EC250C">
        <w:rPr>
          <w:lang w:eastAsia="en-US"/>
        </w:rPr>
        <w:t>policja zostały wyposażone</w:t>
      </w:r>
      <w:r w:rsidR="00992FD0" w:rsidRPr="00EC250C">
        <w:rPr>
          <w:lang w:eastAsia="en-US"/>
        </w:rPr>
        <w:t xml:space="preserve"> w </w:t>
      </w:r>
      <w:r w:rsidRPr="00EC250C">
        <w:rPr>
          <w:lang w:eastAsia="en-US"/>
        </w:rPr>
        <w:t>uprawnienia naruszające wolność komunikowania się. Sprawę tę raportował</w:t>
      </w:r>
      <w:r w:rsidR="00992FD0" w:rsidRPr="00EC250C">
        <w:rPr>
          <w:lang w:eastAsia="en-US"/>
        </w:rPr>
        <w:t xml:space="preserve"> w </w:t>
      </w:r>
      <w:r w:rsidRPr="00EC250C">
        <w:rPr>
          <w:lang w:eastAsia="en-US"/>
        </w:rPr>
        <w:t>informacji za rok 2017</w:t>
      </w:r>
      <w:r w:rsidR="00A97E82" w:rsidRPr="00EC250C">
        <w:rPr>
          <w:rStyle w:val="Odwoanieprzypisudolnego"/>
          <w:lang w:eastAsia="en-US"/>
        </w:rPr>
        <w:footnoteReference w:id="275"/>
      </w:r>
      <w:r w:rsidRPr="00EC250C">
        <w:rPr>
          <w:lang w:eastAsia="en-US"/>
        </w:rPr>
        <w:t>,</w:t>
      </w:r>
      <w:r w:rsidR="00992FD0" w:rsidRPr="00EC250C">
        <w:rPr>
          <w:lang w:eastAsia="en-US"/>
        </w:rPr>
        <w:t xml:space="preserve"> a </w:t>
      </w:r>
      <w:r w:rsidRPr="00EC250C">
        <w:rPr>
          <w:lang w:eastAsia="en-US"/>
        </w:rPr>
        <w:t>szeroką argumentację prawną prz</w:t>
      </w:r>
      <w:r w:rsidR="001032D1" w:rsidRPr="00EC250C">
        <w:rPr>
          <w:lang w:eastAsia="en-US"/>
        </w:rPr>
        <w:t>e</w:t>
      </w:r>
      <w:r w:rsidRPr="00EC250C">
        <w:rPr>
          <w:lang w:eastAsia="en-US"/>
        </w:rPr>
        <w:t>dstawiał we wnioskach do Trybunału Konstytucyjnego</w:t>
      </w:r>
      <w:r w:rsidR="00B473F5" w:rsidRPr="00EC250C">
        <w:rPr>
          <w:lang w:eastAsia="en-US"/>
        </w:rPr>
        <w:t>.</w:t>
      </w:r>
    </w:p>
    <w:p w14:paraId="58F05556" w14:textId="77777777" w:rsidR="005B3F69" w:rsidRPr="00EC250C" w:rsidRDefault="005B3F69" w:rsidP="00D131FA">
      <w:pPr>
        <w:pStyle w:val="Styl1"/>
      </w:pPr>
      <w:r w:rsidRPr="00EC250C">
        <w:rPr>
          <w:lang w:eastAsia="en-US"/>
        </w:rPr>
        <w:t>Niestety, po nieuprawnionych zmianach składów orzekających</w:t>
      </w:r>
      <w:r w:rsidR="00992FD0" w:rsidRPr="00EC250C">
        <w:rPr>
          <w:lang w:eastAsia="en-US"/>
        </w:rPr>
        <w:t xml:space="preserve"> i </w:t>
      </w:r>
      <w:r w:rsidRPr="00EC250C">
        <w:rPr>
          <w:lang w:eastAsia="en-US"/>
        </w:rPr>
        <w:t>obsadzeniu</w:t>
      </w:r>
      <w:r w:rsidR="00992FD0" w:rsidRPr="00EC250C">
        <w:rPr>
          <w:lang w:eastAsia="en-US"/>
        </w:rPr>
        <w:t xml:space="preserve"> w </w:t>
      </w:r>
      <w:r w:rsidRPr="00EC250C">
        <w:rPr>
          <w:lang w:eastAsia="en-US"/>
        </w:rPr>
        <w:t>nich osób, których status sędziowski budzi wątpliwości RPO – podtrzymując zawarte we wnioskach obawy – zmuszony był wycofał je</w:t>
      </w:r>
      <w:r w:rsidR="00992FD0" w:rsidRPr="00EC250C">
        <w:rPr>
          <w:lang w:eastAsia="en-US"/>
        </w:rPr>
        <w:t xml:space="preserve"> z </w:t>
      </w:r>
      <w:r w:rsidRPr="00EC250C">
        <w:rPr>
          <w:lang w:eastAsia="en-US"/>
        </w:rPr>
        <w:t>Trybunału.</w:t>
      </w:r>
      <w:r w:rsidR="00CC7596" w:rsidRPr="00EC250C">
        <w:rPr>
          <w:lang w:eastAsia="en-US"/>
        </w:rPr>
        <w:t xml:space="preserve"> </w:t>
      </w:r>
      <w:r w:rsidRPr="00EC250C">
        <w:t>W 2018</w:t>
      </w:r>
      <w:r w:rsidR="00C91F6E" w:rsidRPr="00EC250C">
        <w:t> r.</w:t>
      </w:r>
      <w:r w:rsidRPr="00EC250C">
        <w:t xml:space="preserve"> RPO wycofał</w:t>
      </w:r>
      <w:r w:rsidR="00992FD0" w:rsidRPr="00EC250C">
        <w:t xml:space="preserve"> z </w:t>
      </w:r>
      <w:r w:rsidRPr="00EC250C">
        <w:t>Trybunału wnioski:</w:t>
      </w:r>
    </w:p>
    <w:p w14:paraId="1706A3B4" w14:textId="77777777" w:rsidR="005B3F69" w:rsidRPr="00EC250C" w:rsidRDefault="005B3F69" w:rsidP="006C70B7">
      <w:pPr>
        <w:pStyle w:val="Styl1"/>
        <w:numPr>
          <w:ilvl w:val="0"/>
          <w:numId w:val="40"/>
        </w:numPr>
        <w:spacing w:line="276" w:lineRule="auto"/>
        <w:rPr>
          <w:rFonts w:ascii="Open Sans Regular" w:hAnsi="Open Sans Regular"/>
        </w:rPr>
      </w:pPr>
      <w:r w:rsidRPr="00EC250C">
        <w:t>w sprawie ustawy inwigilacyjnej;</w:t>
      </w:r>
    </w:p>
    <w:p w14:paraId="74C2F399" w14:textId="77777777" w:rsidR="005B3F69" w:rsidRPr="00EC250C" w:rsidRDefault="005B3F69" w:rsidP="006C70B7">
      <w:pPr>
        <w:pStyle w:val="Styl1"/>
        <w:numPr>
          <w:ilvl w:val="0"/>
          <w:numId w:val="40"/>
        </w:numPr>
        <w:spacing w:line="276" w:lineRule="auto"/>
      </w:pPr>
      <w:r w:rsidRPr="00EC250C">
        <w:t>w sprawie</w:t>
      </w:r>
      <w:r w:rsidR="00CC4D88" w:rsidRPr="00EC250C">
        <w:t xml:space="preserve"> </w:t>
      </w:r>
      <w:r w:rsidRPr="00EC250C">
        <w:t>„owoców zatrutego drzewa”</w:t>
      </w:r>
      <w:r w:rsidR="000A1E42" w:rsidRPr="00EC250C">
        <w:t>;</w:t>
      </w:r>
    </w:p>
    <w:p w14:paraId="76083229" w14:textId="77777777" w:rsidR="005B3F69" w:rsidRPr="00EC250C" w:rsidRDefault="005B3F69" w:rsidP="006C70B7">
      <w:pPr>
        <w:pStyle w:val="Styl1"/>
        <w:numPr>
          <w:ilvl w:val="0"/>
          <w:numId w:val="40"/>
        </w:numPr>
        <w:spacing w:line="276" w:lineRule="auto"/>
      </w:pPr>
      <w:r w:rsidRPr="00EC250C">
        <w:t>w sprawie ustawy antyterrorystyczne</w:t>
      </w:r>
      <w:r w:rsidR="000A1E42" w:rsidRPr="00EC250C">
        <w:t>j.</w:t>
      </w:r>
    </w:p>
    <w:p w14:paraId="33793938" w14:textId="77777777" w:rsidR="001D2D78" w:rsidRPr="00EC250C" w:rsidRDefault="005B3F69" w:rsidP="00D131FA">
      <w:pPr>
        <w:pStyle w:val="ODESANIE"/>
        <w:jc w:val="both"/>
      </w:pPr>
      <w:r w:rsidRPr="00EC250C">
        <w:t>Więcej</w:t>
      </w:r>
      <w:r w:rsidR="00992FD0" w:rsidRPr="00EC250C">
        <w:t xml:space="preserve"> o </w:t>
      </w:r>
      <w:r w:rsidRPr="00EC250C">
        <w:t>tym –</w:t>
      </w:r>
      <w:r w:rsidR="00992FD0" w:rsidRPr="00EC250C">
        <w:t xml:space="preserve"> w </w:t>
      </w:r>
      <w:r w:rsidRPr="00EC250C">
        <w:t>art. 30 Konstytucji, przy opisie skutków zmian</w:t>
      </w:r>
      <w:r w:rsidR="00992FD0" w:rsidRPr="00EC250C">
        <w:t xml:space="preserve"> w </w:t>
      </w:r>
      <w:r w:rsidRPr="00EC250C">
        <w:t>Trybunale Konstytucyjnym na prawa</w:t>
      </w:r>
      <w:r w:rsidR="00992FD0" w:rsidRPr="00EC250C">
        <w:t xml:space="preserve"> i </w:t>
      </w:r>
      <w:r w:rsidRPr="00EC250C">
        <w:t>wolności obywateli</w:t>
      </w:r>
    </w:p>
    <w:p w14:paraId="4C94E997" w14:textId="77777777" w:rsidR="00C6607E" w:rsidRPr="00EC250C" w:rsidRDefault="00237B47" w:rsidP="00EC79EB">
      <w:pPr>
        <w:pStyle w:val="Nagwek4"/>
      </w:pPr>
      <w:bookmarkStart w:id="266" w:name="_Toc6257746"/>
      <w:bookmarkStart w:id="267" w:name="_Toc11247638"/>
      <w:r w:rsidRPr="00EC250C">
        <w:t xml:space="preserve">Zagrożenia dla tajemnicy </w:t>
      </w:r>
      <w:r w:rsidR="00C6607E" w:rsidRPr="00EC250C">
        <w:t>zawodow</w:t>
      </w:r>
      <w:r w:rsidRPr="00EC250C">
        <w:t>ej</w:t>
      </w:r>
      <w:r w:rsidR="00C6607E" w:rsidRPr="00EC250C">
        <w:t xml:space="preserve"> </w:t>
      </w:r>
      <w:r w:rsidR="003E6EE7" w:rsidRPr="00EC250C">
        <w:t>adwokatów, dziennikarzy</w:t>
      </w:r>
      <w:r w:rsidR="00992FD0" w:rsidRPr="00EC250C">
        <w:t xml:space="preserve"> i </w:t>
      </w:r>
      <w:r w:rsidR="003E6EE7" w:rsidRPr="00EC250C">
        <w:t>lekarzy</w:t>
      </w:r>
      <w:bookmarkEnd w:id="266"/>
      <w:bookmarkEnd w:id="267"/>
    </w:p>
    <w:p w14:paraId="07D2344E" w14:textId="77777777" w:rsidR="00B473F5" w:rsidRPr="00EC250C" w:rsidRDefault="00660D50" w:rsidP="00D131FA">
      <w:pPr>
        <w:pStyle w:val="Problemczowieka"/>
        <w:jc w:val="both"/>
        <w:rPr>
          <w:bdr w:val="none" w:sz="0" w:space="0" w:color="auto" w:frame="1"/>
        </w:rPr>
      </w:pPr>
      <w:r w:rsidRPr="00EC250C">
        <w:rPr>
          <w:bdr w:val="none" w:sz="0" w:space="0" w:color="auto" w:frame="1"/>
        </w:rPr>
        <w:t xml:space="preserve">Prokuratura nie </w:t>
      </w:r>
      <w:r w:rsidR="004D4F54" w:rsidRPr="00EC250C">
        <w:rPr>
          <w:bdr w:val="none" w:sz="0" w:space="0" w:color="auto" w:frame="1"/>
        </w:rPr>
        <w:t xml:space="preserve">powinna </w:t>
      </w:r>
      <w:r w:rsidRPr="00EC250C">
        <w:rPr>
          <w:bdr w:val="none" w:sz="0" w:space="0" w:color="auto" w:frame="1"/>
        </w:rPr>
        <w:t>decydować</w:t>
      </w:r>
      <w:r w:rsidR="00992FD0" w:rsidRPr="00EC250C">
        <w:rPr>
          <w:bdr w:val="none" w:sz="0" w:space="0" w:color="auto" w:frame="1"/>
        </w:rPr>
        <w:t xml:space="preserve"> o </w:t>
      </w:r>
      <w:r w:rsidRPr="00EC250C">
        <w:rPr>
          <w:bdr w:val="none" w:sz="0" w:space="0" w:color="auto" w:frame="1"/>
        </w:rPr>
        <w:t xml:space="preserve">uchyleniu tajemnicy adwokackiej czy dziennikarskiej, m.in. dlatego, że </w:t>
      </w:r>
      <w:r w:rsidR="00D0638F" w:rsidRPr="00EC250C">
        <w:rPr>
          <w:bdr w:val="none" w:sz="0" w:space="0" w:color="auto" w:frame="1"/>
        </w:rPr>
        <w:t xml:space="preserve">zależy dziś </w:t>
      </w:r>
      <w:r w:rsidRPr="00EC250C">
        <w:rPr>
          <w:bdr w:val="none" w:sz="0" w:space="0" w:color="auto" w:frame="1"/>
        </w:rPr>
        <w:t>od władzy wykonawczej</w:t>
      </w:r>
      <w:r w:rsidR="00B473F5" w:rsidRPr="00EC250C">
        <w:rPr>
          <w:bdr w:val="none" w:sz="0" w:space="0" w:color="auto" w:frame="1"/>
        </w:rPr>
        <w:t>.</w:t>
      </w:r>
    </w:p>
    <w:p w14:paraId="262D3DC6" w14:textId="77777777" w:rsidR="00863D73" w:rsidRPr="00EC250C" w:rsidRDefault="00863D73" w:rsidP="00D131FA">
      <w:pPr>
        <w:pStyle w:val="Styl1"/>
      </w:pPr>
      <w:bookmarkStart w:id="268" w:name="_Toc6257747"/>
      <w:r w:rsidRPr="00EC250C">
        <w:rPr>
          <w:bdr w:val="none" w:sz="0" w:space="0" w:color="auto" w:frame="1"/>
        </w:rPr>
        <w:t>Tak Rzecznik Praw Obywatelskich uzasadnia sprzeciw wobec pomysłu, aby to prokurator,</w:t>
      </w:r>
      <w:r w:rsidR="00992FD0" w:rsidRPr="00EC250C">
        <w:rPr>
          <w:bdr w:val="none" w:sz="0" w:space="0" w:color="auto" w:frame="1"/>
        </w:rPr>
        <w:t xml:space="preserve"> a </w:t>
      </w:r>
      <w:r w:rsidRPr="00EC250C">
        <w:rPr>
          <w:bdr w:val="none" w:sz="0" w:space="0" w:color="auto" w:frame="1"/>
        </w:rPr>
        <w:t>nie sąd</w:t>
      </w:r>
      <w:r w:rsidR="00026572" w:rsidRPr="00EC250C">
        <w:rPr>
          <w:bdr w:val="none" w:sz="0" w:space="0" w:color="auto" w:frame="1"/>
        </w:rPr>
        <w:t xml:space="preserve"> – </w:t>
      </w:r>
      <w:r w:rsidRPr="00EC250C">
        <w:rPr>
          <w:bdr w:val="none" w:sz="0" w:space="0" w:color="auto" w:frame="1"/>
        </w:rPr>
        <w:t>jak dziś</w:t>
      </w:r>
      <w:r w:rsidR="00026572" w:rsidRPr="00EC250C">
        <w:rPr>
          <w:bdr w:val="none" w:sz="0" w:space="0" w:color="auto" w:frame="1"/>
        </w:rPr>
        <w:t xml:space="preserve"> – </w:t>
      </w:r>
      <w:r w:rsidRPr="00EC250C">
        <w:rPr>
          <w:bdr w:val="none" w:sz="0" w:space="0" w:color="auto" w:frame="1"/>
        </w:rPr>
        <w:t>zwalniał</w:t>
      </w:r>
      <w:r w:rsidR="00992FD0" w:rsidRPr="00EC250C">
        <w:rPr>
          <w:bdr w:val="none" w:sz="0" w:space="0" w:color="auto" w:frame="1"/>
        </w:rPr>
        <w:t xml:space="preserve"> z </w:t>
      </w:r>
      <w:r w:rsidRPr="00EC250C">
        <w:rPr>
          <w:bdr w:val="none" w:sz="0" w:space="0" w:color="auto" w:frame="1"/>
        </w:rPr>
        <w:t>tajemnic zawodowych.</w:t>
      </w:r>
      <w:r w:rsidR="00CC7596" w:rsidRPr="00EC250C">
        <w:rPr>
          <w:bdr w:val="none" w:sz="0" w:space="0" w:color="auto" w:frame="1"/>
        </w:rPr>
        <w:t xml:space="preserve"> </w:t>
      </w:r>
      <w:r w:rsidR="00C079A6" w:rsidRPr="00EC250C">
        <w:t xml:space="preserve">RPO </w:t>
      </w:r>
      <w:r w:rsidRPr="00EC250C">
        <w:t>od trzech lat zauważa znaczny wzrost liczby prób zwalniania adwokatów</w:t>
      </w:r>
      <w:r w:rsidR="00992FD0" w:rsidRPr="00EC250C">
        <w:t xml:space="preserve"> i </w:t>
      </w:r>
      <w:r w:rsidRPr="00EC250C">
        <w:t>radców prawnych</w:t>
      </w:r>
      <w:r w:rsidR="00992FD0" w:rsidRPr="00EC250C">
        <w:t xml:space="preserve"> z </w:t>
      </w:r>
      <w:r w:rsidRPr="00EC250C">
        <w:t>tajemnicy zawodowej. W większości próby te były nieudane dzięki interwencji samorządów zawodowych oraz skrupulatnej kontroli wniosków prokuratorskich przez niezależne sądy. To kontrola sądowa zapewnia najlepszą gwarancję niezależności, bezstronności oraz stosowania właściwej procedury.</w:t>
      </w:r>
    </w:p>
    <w:p w14:paraId="30A79991" w14:textId="77777777" w:rsidR="00863D73" w:rsidRPr="00EC250C" w:rsidRDefault="00863D73" w:rsidP="00D131FA">
      <w:pPr>
        <w:pStyle w:val="Styl1"/>
      </w:pPr>
      <w:r w:rsidRPr="00EC250C">
        <w:t>Dlatego, kiedy</w:t>
      </w:r>
      <w:r w:rsidR="00992FD0" w:rsidRPr="00EC250C">
        <w:t xml:space="preserve"> w </w:t>
      </w:r>
      <w:r w:rsidRPr="00EC250C">
        <w:t>mediach pojawiły się informacje, że</w:t>
      </w:r>
      <w:r w:rsidR="00992FD0" w:rsidRPr="00EC250C">
        <w:t xml:space="preserve"> w </w:t>
      </w:r>
      <w:r w:rsidRPr="00EC250C">
        <w:t>Ministerstwie Sprawiedliwości toczą się prace nad projektem nowelizacji art. 180 § 2 Kodeksu postępowania karnego dotyczącego tajemnic prawem chronionych, m. in. adwokackiej, radcowskiej, dziennikarskiej</w:t>
      </w:r>
      <w:r w:rsidR="00992FD0" w:rsidRPr="00EC250C">
        <w:t xml:space="preserve"> i </w:t>
      </w:r>
      <w:r w:rsidRPr="00EC250C">
        <w:t xml:space="preserve">lekarskiej, Rzecznik zareagował oficjalnym pismem do </w:t>
      </w:r>
      <w:r w:rsidR="00D0638F" w:rsidRPr="00EC250C">
        <w:t>Ministra</w:t>
      </w:r>
      <w:r w:rsidRPr="00EC250C">
        <w:t>.</w:t>
      </w:r>
    </w:p>
    <w:p w14:paraId="28BB11D7" w14:textId="77777777" w:rsidR="00863D73" w:rsidRPr="00EC250C" w:rsidRDefault="00863D73" w:rsidP="00D131FA">
      <w:pPr>
        <w:pStyle w:val="Styl1"/>
      </w:pPr>
      <w:r w:rsidRPr="00EC250C">
        <w:t>Wskazał na fundamentalną rolę tajemnicy prawem chronionej dla zachowania standardów praw człowieka. Zachowanie tajemnicy adwokata czy radcy prawnego jest elementem prawidłowego funkcjonowania wymiaru sprawiedliwości oraz systemu ochrony prawnej</w:t>
      </w:r>
      <w:r w:rsidR="00992FD0" w:rsidRPr="00EC250C">
        <w:t xml:space="preserve"> w </w:t>
      </w:r>
      <w:r w:rsidRPr="00EC250C">
        <w:t>demokratycznym państwie. Formy tajemnicy określone</w:t>
      </w:r>
      <w:r w:rsidR="00992FD0" w:rsidRPr="00EC250C">
        <w:t xml:space="preserve"> w </w:t>
      </w:r>
      <w:r w:rsidRPr="00EC250C">
        <w:t xml:space="preserve">art. 180 § 2 </w:t>
      </w:r>
      <w:r w:rsidR="00F842CC" w:rsidRPr="00EC250C">
        <w:t>K.p.k</w:t>
      </w:r>
      <w:r w:rsidRPr="00EC250C">
        <w:t xml:space="preserve">. dotykają najbardziej </w:t>
      </w:r>
      <w:r w:rsidRPr="00EC250C">
        <w:lastRenderedPageBreak/>
        <w:t>istotnych elementów życia ludzkiego (tajemnica lekarska, adwokacka, notarialna, radcowska). Tajemnica dziennikarska umożliwia zaś działanie niezależnym mediom.</w:t>
      </w:r>
    </w:p>
    <w:p w14:paraId="2BA8277E" w14:textId="77777777" w:rsidR="00863D73" w:rsidRPr="00EC250C" w:rsidRDefault="00863D73" w:rsidP="00D131FA">
      <w:pPr>
        <w:pStyle w:val="Styl1"/>
        <w:rPr>
          <w:bCs/>
          <w:iCs/>
        </w:rPr>
      </w:pPr>
      <w:r w:rsidRPr="00EC250C">
        <w:rPr>
          <w:bCs/>
          <w:iCs/>
        </w:rPr>
        <w:t xml:space="preserve">Minister zapewnił, że rzeczywiście zmiana art. 180 </w:t>
      </w:r>
      <w:r w:rsidR="00F842CC" w:rsidRPr="00EC250C">
        <w:rPr>
          <w:bCs/>
          <w:iCs/>
        </w:rPr>
        <w:t>K.p.k</w:t>
      </w:r>
      <w:r w:rsidRPr="00EC250C">
        <w:rPr>
          <w:bCs/>
          <w:iCs/>
        </w:rPr>
        <w:t>. była rozważana, ale ostatecznie jednak pomysł ten nie uzyskał poparcia kierownictwa Ministerstwa Sprawiedliwości</w:t>
      </w:r>
      <w:r w:rsidRPr="00EC250C">
        <w:rPr>
          <w:rStyle w:val="Odwoanieprzypisudolnego"/>
          <w:bCs/>
          <w:iCs/>
        </w:rPr>
        <w:footnoteReference w:id="276"/>
      </w:r>
      <w:r w:rsidRPr="00EC250C">
        <w:rPr>
          <w:bCs/>
          <w:iCs/>
        </w:rPr>
        <w:t>.</w:t>
      </w:r>
    </w:p>
    <w:p w14:paraId="6CFFE410" w14:textId="77777777" w:rsidR="00120426" w:rsidRPr="00EC250C" w:rsidRDefault="00120426" w:rsidP="00EC250C">
      <w:pPr>
        <w:pStyle w:val="Nagwek8"/>
        <w:rPr>
          <w:rFonts w:eastAsia="Times New Roman"/>
        </w:rPr>
      </w:pPr>
      <w:r w:rsidRPr="00EC250C">
        <w:rPr>
          <w:rFonts w:eastAsia="Times New Roman"/>
        </w:rPr>
        <w:t>Seminarium eksperckie na temat zwolnienia</w:t>
      </w:r>
      <w:r w:rsidR="00992FD0" w:rsidRPr="00EC250C">
        <w:rPr>
          <w:rFonts w:eastAsia="Times New Roman"/>
        </w:rPr>
        <w:t xml:space="preserve"> z </w:t>
      </w:r>
      <w:r w:rsidRPr="00EC250C">
        <w:rPr>
          <w:rFonts w:eastAsia="Times New Roman"/>
        </w:rPr>
        <w:t>tajemnicy adwokackiej</w:t>
      </w:r>
      <w:r w:rsidR="00992FD0" w:rsidRPr="00EC250C">
        <w:rPr>
          <w:rFonts w:eastAsia="Times New Roman"/>
        </w:rPr>
        <w:t xml:space="preserve"> i </w:t>
      </w:r>
      <w:r w:rsidRPr="00EC250C">
        <w:rPr>
          <w:rFonts w:eastAsia="Times New Roman"/>
        </w:rPr>
        <w:t>radcowskiej</w:t>
      </w:r>
    </w:p>
    <w:p w14:paraId="2FDD2B1B" w14:textId="77777777" w:rsidR="00C91F6E" w:rsidRPr="00EC250C" w:rsidRDefault="00120426" w:rsidP="00D131FA">
      <w:pPr>
        <w:pStyle w:val="Styl2"/>
        <w:rPr>
          <w:szCs w:val="24"/>
        </w:rPr>
      </w:pPr>
      <w:r w:rsidRPr="00EC250C">
        <w:rPr>
          <w:szCs w:val="24"/>
        </w:rPr>
        <w:t>Tajemnica adwokacka to obowiązek prawnika,</w:t>
      </w:r>
      <w:r w:rsidR="00992FD0" w:rsidRPr="00EC250C">
        <w:rPr>
          <w:szCs w:val="24"/>
        </w:rPr>
        <w:t xml:space="preserve"> a </w:t>
      </w:r>
      <w:r w:rsidRPr="00EC250C">
        <w:rPr>
          <w:szCs w:val="24"/>
        </w:rPr>
        <w:t>nie jego prawo. Chroni bowiem nie adwokata, ale jego klienta, który</w:t>
      </w:r>
      <w:r w:rsidR="00992FD0" w:rsidRPr="00EC250C">
        <w:rPr>
          <w:szCs w:val="24"/>
        </w:rPr>
        <w:t xml:space="preserve"> </w:t>
      </w:r>
      <w:r w:rsidRPr="00EC250C">
        <w:rPr>
          <w:szCs w:val="24"/>
        </w:rPr>
        <w:t>oczekuje realizacji swych praw</w:t>
      </w:r>
      <w:r w:rsidR="00992FD0" w:rsidRPr="00EC250C">
        <w:rPr>
          <w:szCs w:val="24"/>
        </w:rPr>
        <w:t xml:space="preserve"> i </w:t>
      </w:r>
      <w:r w:rsidRPr="00EC250C">
        <w:rPr>
          <w:szCs w:val="24"/>
        </w:rPr>
        <w:t>wolności</w:t>
      </w:r>
      <w:r w:rsidR="00026572" w:rsidRPr="00EC250C">
        <w:rPr>
          <w:szCs w:val="24"/>
        </w:rPr>
        <w:t xml:space="preserve"> – </w:t>
      </w:r>
      <w:r w:rsidRPr="00EC250C">
        <w:rPr>
          <w:szCs w:val="24"/>
        </w:rPr>
        <w:t>podkreślano podczas zorganizowanego</w:t>
      </w:r>
      <w:r w:rsidR="00992FD0" w:rsidRPr="00EC250C">
        <w:rPr>
          <w:szCs w:val="24"/>
        </w:rPr>
        <w:t xml:space="preserve"> w </w:t>
      </w:r>
      <w:r w:rsidRPr="00EC250C">
        <w:rPr>
          <w:szCs w:val="24"/>
        </w:rPr>
        <w:t>Biurze RPO seminarium eksperckiego</w:t>
      </w:r>
      <w:r w:rsidR="00992FD0" w:rsidRPr="00EC250C">
        <w:rPr>
          <w:szCs w:val="24"/>
        </w:rPr>
        <w:t xml:space="preserve"> w </w:t>
      </w:r>
      <w:r w:rsidRPr="00EC250C">
        <w:rPr>
          <w:szCs w:val="24"/>
        </w:rPr>
        <w:t>sprawie praktyki zwalniania</w:t>
      </w:r>
      <w:r w:rsidR="00992FD0" w:rsidRPr="00EC250C">
        <w:rPr>
          <w:szCs w:val="24"/>
        </w:rPr>
        <w:t xml:space="preserve"> z </w:t>
      </w:r>
      <w:r w:rsidRPr="00EC250C">
        <w:rPr>
          <w:szCs w:val="24"/>
        </w:rPr>
        <w:t>tajemnicy adwokackiej</w:t>
      </w:r>
      <w:r w:rsidR="00992FD0" w:rsidRPr="00EC250C">
        <w:rPr>
          <w:szCs w:val="24"/>
        </w:rPr>
        <w:t xml:space="preserve"> i </w:t>
      </w:r>
      <w:r w:rsidRPr="00EC250C">
        <w:rPr>
          <w:szCs w:val="24"/>
        </w:rPr>
        <w:t>radcowskiej. Wzięli</w:t>
      </w:r>
      <w:r w:rsidR="00992FD0" w:rsidRPr="00EC250C">
        <w:rPr>
          <w:szCs w:val="24"/>
        </w:rPr>
        <w:t xml:space="preserve"> w </w:t>
      </w:r>
      <w:r w:rsidRPr="00EC250C">
        <w:rPr>
          <w:szCs w:val="24"/>
        </w:rPr>
        <w:t>nim udział prawnicy</w:t>
      </w:r>
      <w:r w:rsidR="00026572" w:rsidRPr="00EC250C">
        <w:rPr>
          <w:szCs w:val="24"/>
        </w:rPr>
        <w:t xml:space="preserve"> – </w:t>
      </w:r>
      <w:r w:rsidRPr="00EC250C">
        <w:rPr>
          <w:szCs w:val="24"/>
        </w:rPr>
        <w:t>naukowcy</w:t>
      </w:r>
      <w:r w:rsidR="00992FD0" w:rsidRPr="00EC250C">
        <w:rPr>
          <w:szCs w:val="24"/>
        </w:rPr>
        <w:t xml:space="preserve"> i </w:t>
      </w:r>
      <w:r w:rsidRPr="00EC250C">
        <w:rPr>
          <w:szCs w:val="24"/>
        </w:rPr>
        <w:t>praktycy.</w:t>
      </w:r>
    </w:p>
    <w:p w14:paraId="52CB76DC" w14:textId="77777777" w:rsidR="00C91F6E" w:rsidRPr="00EC250C" w:rsidRDefault="00120426" w:rsidP="00D131FA">
      <w:pPr>
        <w:pStyle w:val="Styl2"/>
        <w:rPr>
          <w:szCs w:val="24"/>
        </w:rPr>
      </w:pPr>
      <w:r w:rsidRPr="00EC250C">
        <w:rPr>
          <w:szCs w:val="24"/>
        </w:rPr>
        <w:t>Problem już teraz jest poważny, bo sądy</w:t>
      </w:r>
      <w:r w:rsidR="00992FD0" w:rsidRPr="00EC250C">
        <w:rPr>
          <w:szCs w:val="24"/>
        </w:rPr>
        <w:t xml:space="preserve"> w </w:t>
      </w:r>
      <w:r w:rsidRPr="00EC250C">
        <w:rPr>
          <w:szCs w:val="24"/>
        </w:rPr>
        <w:t>67</w:t>
      </w:r>
      <w:r w:rsidR="00F842CC" w:rsidRPr="00EC250C">
        <w:rPr>
          <w:szCs w:val="24"/>
        </w:rPr>
        <w:t>%</w:t>
      </w:r>
      <w:r w:rsidRPr="00EC250C">
        <w:rPr>
          <w:szCs w:val="24"/>
        </w:rPr>
        <w:t xml:space="preserve"> zgadzają się na takie zwolnienia </w:t>
      </w:r>
      <w:r w:rsidR="00992FD0" w:rsidRPr="00EC250C">
        <w:rPr>
          <w:szCs w:val="24"/>
        </w:rPr>
        <w:t xml:space="preserve"> z </w:t>
      </w:r>
      <w:r w:rsidRPr="00EC250C">
        <w:rPr>
          <w:szCs w:val="24"/>
        </w:rPr>
        <w:t>tajemnicy (dane za rok 2017</w:t>
      </w:r>
      <w:r w:rsidR="00C91F6E" w:rsidRPr="00EC250C">
        <w:rPr>
          <w:szCs w:val="24"/>
        </w:rPr>
        <w:t> r.</w:t>
      </w:r>
      <w:r w:rsidRPr="00EC250C">
        <w:rPr>
          <w:szCs w:val="24"/>
        </w:rPr>
        <w:t>). Może to prowadzić do naruszenia fundamentalnego prawa jednostki: prawa do obrony.</w:t>
      </w:r>
    </w:p>
    <w:p w14:paraId="629BBDC5" w14:textId="77777777" w:rsidR="00C91F6E" w:rsidRPr="00EC250C" w:rsidRDefault="00120426" w:rsidP="00D131FA">
      <w:pPr>
        <w:pStyle w:val="Styl2"/>
        <w:rPr>
          <w:szCs w:val="24"/>
        </w:rPr>
      </w:pPr>
      <w:r w:rsidRPr="00EC250C">
        <w:rPr>
          <w:szCs w:val="24"/>
        </w:rPr>
        <w:t>Podczas spotkania mówiono</w:t>
      </w:r>
      <w:r w:rsidR="00992FD0" w:rsidRPr="00EC250C">
        <w:rPr>
          <w:szCs w:val="24"/>
        </w:rPr>
        <w:t xml:space="preserve"> o </w:t>
      </w:r>
      <w:r w:rsidRPr="00EC250C">
        <w:rPr>
          <w:szCs w:val="24"/>
        </w:rPr>
        <w:t>przyczynach zwalniania</w:t>
      </w:r>
      <w:r w:rsidR="00992FD0" w:rsidRPr="00EC250C">
        <w:rPr>
          <w:szCs w:val="24"/>
        </w:rPr>
        <w:t xml:space="preserve"> z </w:t>
      </w:r>
      <w:r w:rsidRPr="00EC250C">
        <w:rPr>
          <w:szCs w:val="24"/>
        </w:rPr>
        <w:t>tajemnicy adwokackiej</w:t>
      </w:r>
      <w:r w:rsidR="00992FD0" w:rsidRPr="00EC250C">
        <w:rPr>
          <w:szCs w:val="24"/>
        </w:rPr>
        <w:t xml:space="preserve"> i </w:t>
      </w:r>
      <w:r w:rsidRPr="00EC250C">
        <w:rPr>
          <w:szCs w:val="24"/>
        </w:rPr>
        <w:t>radcowskiej</w:t>
      </w:r>
      <w:r w:rsidR="00992FD0" w:rsidRPr="00EC250C">
        <w:rPr>
          <w:szCs w:val="24"/>
        </w:rPr>
        <w:t xml:space="preserve"> w </w:t>
      </w:r>
      <w:r w:rsidRPr="00EC250C">
        <w:rPr>
          <w:szCs w:val="24"/>
        </w:rPr>
        <w:t>postępowaniu karnym. Dyskutowano</w:t>
      </w:r>
      <w:r w:rsidR="00992FD0" w:rsidRPr="00EC250C">
        <w:rPr>
          <w:szCs w:val="24"/>
        </w:rPr>
        <w:t xml:space="preserve"> o </w:t>
      </w:r>
      <w:r w:rsidRPr="00EC250C">
        <w:rPr>
          <w:szCs w:val="24"/>
        </w:rPr>
        <w:t>sposobach wsparcia prawników podczas tej procedury, tym na podstawie samorządów adwokackich</w:t>
      </w:r>
      <w:r w:rsidR="00992FD0" w:rsidRPr="00EC250C">
        <w:rPr>
          <w:szCs w:val="24"/>
        </w:rPr>
        <w:t xml:space="preserve"> i </w:t>
      </w:r>
      <w:r w:rsidRPr="00EC250C">
        <w:rPr>
          <w:szCs w:val="24"/>
        </w:rPr>
        <w:t>radcowskich</w:t>
      </w:r>
      <w:r w:rsidRPr="00EC250C">
        <w:rPr>
          <w:rStyle w:val="Odwoanieprzypisudolnego"/>
          <w:szCs w:val="24"/>
        </w:rPr>
        <w:footnoteReference w:id="277"/>
      </w:r>
      <w:r w:rsidRPr="00EC250C">
        <w:rPr>
          <w:szCs w:val="24"/>
        </w:rPr>
        <w:t>.</w:t>
      </w:r>
    </w:p>
    <w:p w14:paraId="0BCC2555" w14:textId="77777777" w:rsidR="003E6EE7" w:rsidRPr="00EC250C" w:rsidRDefault="003E6EE7" w:rsidP="00EC250C">
      <w:pPr>
        <w:pStyle w:val="Nagwek5"/>
        <w:rPr>
          <w:spacing w:val="0"/>
        </w:rPr>
      </w:pPr>
      <w:r w:rsidRPr="00EC250C">
        <w:t>Tajemnice lekarskie</w:t>
      </w:r>
      <w:r w:rsidR="00992FD0" w:rsidRPr="00EC250C">
        <w:t xml:space="preserve"> z </w:t>
      </w:r>
      <w:r w:rsidRPr="00EC250C">
        <w:t>dokumentów powinien uchylać sąd,</w:t>
      </w:r>
      <w:r w:rsidR="00992FD0" w:rsidRPr="00EC250C">
        <w:t xml:space="preserve"> a </w:t>
      </w:r>
      <w:r w:rsidRPr="00EC250C">
        <w:t>nie prokurator</w:t>
      </w:r>
      <w:bookmarkEnd w:id="268"/>
    </w:p>
    <w:p w14:paraId="31C0DD89" w14:textId="77777777" w:rsidR="00B473F5" w:rsidRPr="00EC250C" w:rsidRDefault="00863D73" w:rsidP="00D131FA">
      <w:pPr>
        <w:pStyle w:val="Problemczowieka"/>
        <w:jc w:val="both"/>
        <w:rPr>
          <w:bdr w:val="none" w:sz="0" w:space="0" w:color="auto" w:frame="1"/>
        </w:rPr>
      </w:pPr>
      <w:r w:rsidRPr="00EC250C">
        <w:rPr>
          <w:bdr w:val="none" w:sz="0" w:space="0" w:color="auto" w:frame="1"/>
        </w:rPr>
        <w:t>Prokurator ma dziś prawo uchylić</w:t>
      </w:r>
      <w:r w:rsidR="00992FD0" w:rsidRPr="00EC250C">
        <w:rPr>
          <w:bdr w:val="none" w:sz="0" w:space="0" w:color="auto" w:frame="1"/>
        </w:rPr>
        <w:t xml:space="preserve"> w </w:t>
      </w:r>
      <w:r w:rsidRPr="00EC250C">
        <w:rPr>
          <w:bdr w:val="none" w:sz="0" w:space="0" w:color="auto" w:frame="1"/>
        </w:rPr>
        <w:t>toku śledztwa tajemnicę lekarską chroniącą dokumentację medyczną</w:t>
      </w:r>
      <w:r w:rsidR="00B473F5" w:rsidRPr="00EC250C">
        <w:rPr>
          <w:bdr w:val="none" w:sz="0" w:space="0" w:color="auto" w:frame="1"/>
        </w:rPr>
        <w:t>.</w:t>
      </w:r>
    </w:p>
    <w:p w14:paraId="4EFF9853" w14:textId="77777777" w:rsidR="00863D73" w:rsidRPr="00EC250C" w:rsidRDefault="00863D73" w:rsidP="00D131FA">
      <w:pPr>
        <w:pStyle w:val="Styl1"/>
      </w:pPr>
      <w:r w:rsidRPr="00EC250C">
        <w:t>Zdaniem RPO trzeba zmienić przepis (art. 226 K.p.k.) tak, by – podobnie jak</w:t>
      </w:r>
      <w:r w:rsidR="00992FD0" w:rsidRPr="00EC250C">
        <w:t xml:space="preserve"> w </w:t>
      </w:r>
      <w:r w:rsidRPr="00EC250C">
        <w:t>przypadku innych tajemnic zawodowych – decydował</w:t>
      </w:r>
      <w:r w:rsidR="00992FD0" w:rsidRPr="00EC250C">
        <w:t xml:space="preserve"> o </w:t>
      </w:r>
      <w:r w:rsidRPr="00EC250C">
        <w:t>tym sąd.</w:t>
      </w:r>
      <w:r w:rsidR="00F842CC" w:rsidRPr="00EC250C">
        <w:t xml:space="preserve"> </w:t>
      </w:r>
      <w:r w:rsidRPr="00EC250C">
        <w:t xml:space="preserve">Rzecznik </w:t>
      </w:r>
      <w:r w:rsidR="00C079A6" w:rsidRPr="00EC250C">
        <w:t xml:space="preserve">Praw Obywatelskich </w:t>
      </w:r>
      <w:r w:rsidRPr="00EC250C">
        <w:t>poruszał już tę kwestię</w:t>
      </w:r>
      <w:r w:rsidR="00992FD0" w:rsidRPr="00EC250C">
        <w:t xml:space="preserve"> w </w:t>
      </w:r>
      <w:r w:rsidRPr="00EC250C">
        <w:t xml:space="preserve">wystąpieniu do </w:t>
      </w:r>
      <w:r w:rsidR="00907A50" w:rsidRPr="00EC250C">
        <w:t>Ministra S</w:t>
      </w:r>
      <w:r w:rsidRPr="00EC250C">
        <w:t>prawiedliwości</w:t>
      </w:r>
      <w:r w:rsidR="00992FD0" w:rsidRPr="00EC250C">
        <w:t xml:space="preserve"> z </w:t>
      </w:r>
      <w:r w:rsidRPr="00EC250C">
        <w:t>13 czerwca 2017</w:t>
      </w:r>
      <w:r w:rsidR="00C91F6E" w:rsidRPr="00EC250C">
        <w:t> r</w:t>
      </w:r>
      <w:r w:rsidR="00F842CC" w:rsidRPr="00EC250C">
        <w:t xml:space="preserve">. </w:t>
      </w:r>
      <w:r w:rsidRPr="00EC250C">
        <w:t>Przyjęte rozwiązanie, niewymagające wydania orzeczenia niezależnego</w:t>
      </w:r>
      <w:r w:rsidR="00992FD0" w:rsidRPr="00EC250C">
        <w:t xml:space="preserve"> i </w:t>
      </w:r>
      <w:r w:rsidRPr="00EC250C">
        <w:t>niezawisłego sądu,</w:t>
      </w:r>
      <w:r w:rsidR="00992FD0" w:rsidRPr="00EC250C">
        <w:t xml:space="preserve"> w </w:t>
      </w:r>
      <w:r w:rsidRPr="00EC250C">
        <w:t xml:space="preserve">praktyce znacząco osłabia pozycję tajemnicy lekarskiej. Co istotne, art. 226 </w:t>
      </w:r>
      <w:r w:rsidR="00F842CC" w:rsidRPr="00EC250C">
        <w:t>K.p.k</w:t>
      </w:r>
      <w:r w:rsidRPr="00EC250C">
        <w:t>. znajduje się</w:t>
      </w:r>
      <w:r w:rsidR="00992FD0" w:rsidRPr="00EC250C">
        <w:t xml:space="preserve"> w </w:t>
      </w:r>
      <w:r w:rsidRPr="00EC250C">
        <w:t>rozdziale dotyczącym zatrzymania rzeczy oraz przeszukania. Jego zakres powinien być zatem ograniczony wyłącznie do dokumentów uzyskanych</w:t>
      </w:r>
      <w:r w:rsidR="00992FD0" w:rsidRPr="00EC250C">
        <w:t xml:space="preserve"> w </w:t>
      </w:r>
      <w:r w:rsidRPr="00EC250C">
        <w:t>wyniku tych czynności.</w:t>
      </w:r>
    </w:p>
    <w:p w14:paraId="3E8393E6" w14:textId="77777777" w:rsidR="00863D73" w:rsidRPr="00EC250C" w:rsidRDefault="00863D73" w:rsidP="00D131FA">
      <w:pPr>
        <w:pStyle w:val="Styl1"/>
      </w:pPr>
      <w:r w:rsidRPr="00EC250C">
        <w:t xml:space="preserve">Brak dostatecznej ochrony tajemnicy lekarskiej </w:t>
      </w:r>
      <w:r w:rsidR="00171336" w:rsidRPr="00EC250C">
        <w:t xml:space="preserve">może doprowadzić do tego, że zbyt wiele instytucji będzie miało </w:t>
      </w:r>
      <w:r w:rsidRPr="00EC250C">
        <w:t>dostęp do informacji związanych ze sferą prywatności</w:t>
      </w:r>
      <w:r w:rsidR="00171336" w:rsidRPr="00EC250C">
        <w:t xml:space="preserve"> pacjenta.</w:t>
      </w:r>
      <w:r w:rsidRPr="00EC250C">
        <w:t xml:space="preserve"> Ponadto naruszenie obowiązku przestrzegania tajemnicy lekarskiej może skutkować pociągnięciem lekarza do odpowiedzialności zawodowej, cywilnej,</w:t>
      </w:r>
      <w:r w:rsidR="00992FD0" w:rsidRPr="00EC250C">
        <w:t xml:space="preserve"> a </w:t>
      </w:r>
      <w:r w:rsidRPr="00EC250C">
        <w:t>nawet karnej.</w:t>
      </w:r>
    </w:p>
    <w:p w14:paraId="58CDC009" w14:textId="77777777" w:rsidR="00B52A42" w:rsidRPr="00EC250C" w:rsidRDefault="00863D73" w:rsidP="00D131FA">
      <w:pPr>
        <w:pStyle w:val="Styl1"/>
        <w:rPr>
          <w:rFonts w:cs="Arial"/>
          <w:bCs/>
          <w:color w:val="000000"/>
          <w:szCs w:val="22"/>
        </w:rPr>
      </w:pPr>
      <w:r w:rsidRPr="00EC250C">
        <w:t xml:space="preserve">Dlatego </w:t>
      </w:r>
      <w:r w:rsidR="00C079A6" w:rsidRPr="00EC250C">
        <w:t>RPO</w:t>
      </w:r>
      <w:r w:rsidRPr="00EC250C">
        <w:t xml:space="preserve"> ponowił swój wniose</w:t>
      </w:r>
      <w:r w:rsidR="00F842CC" w:rsidRPr="00EC250C">
        <w:t>k</w:t>
      </w:r>
      <w:r w:rsidR="00992FD0" w:rsidRPr="00EC250C">
        <w:t xml:space="preserve"> o </w:t>
      </w:r>
      <w:r w:rsidRPr="00EC250C">
        <w:t>rozważenie działań</w:t>
      </w:r>
      <w:r w:rsidR="00992FD0" w:rsidRPr="00EC250C">
        <w:t xml:space="preserve"> w </w:t>
      </w:r>
      <w:r w:rsidRPr="00EC250C">
        <w:t>celu zmiany art.</w:t>
      </w:r>
      <w:r w:rsidR="00F842CC" w:rsidRPr="00EC250C">
        <w:t> </w:t>
      </w:r>
      <w:r w:rsidRPr="00EC250C">
        <w:t>226 K.p.k.</w:t>
      </w:r>
      <w:r w:rsidRPr="00EC250C">
        <w:rPr>
          <w:rStyle w:val="Odwoanieprzypisudolnego"/>
          <w:bCs/>
          <w:iCs/>
        </w:rPr>
        <w:footnoteReference w:id="278"/>
      </w:r>
      <w:r w:rsidRPr="00EC250C">
        <w:t>.</w:t>
      </w:r>
      <w:r w:rsidR="00171336" w:rsidRPr="00EC250C">
        <w:t xml:space="preserve">Odpowiedź </w:t>
      </w:r>
      <w:r w:rsidR="00F842CC" w:rsidRPr="00EC250C">
        <w:t xml:space="preserve">Ministra Sprawiedliwości </w:t>
      </w:r>
      <w:r w:rsidR="00171336" w:rsidRPr="00EC250C">
        <w:t>nie nadeszła.</w:t>
      </w:r>
    </w:p>
    <w:p w14:paraId="684CFF2B" w14:textId="77777777" w:rsidR="00304A51" w:rsidRPr="00EC250C" w:rsidRDefault="00304A51" w:rsidP="00D131FA">
      <w:pPr>
        <w:spacing w:after="200" w:line="24" w:lineRule="auto"/>
        <w:jc w:val="both"/>
        <w:rPr>
          <w:bCs/>
          <w:color w:val="044892"/>
          <w:sz w:val="24"/>
        </w:rPr>
      </w:pPr>
      <w:r w:rsidRPr="00EC250C">
        <w:rPr>
          <w:sz w:val="24"/>
        </w:rPr>
        <w:br w:type="page"/>
      </w:r>
    </w:p>
    <w:p w14:paraId="6CE61605" w14:textId="77777777" w:rsidR="00C91F6E" w:rsidRPr="00EC250C" w:rsidRDefault="004C52F3" w:rsidP="00EC250C">
      <w:pPr>
        <w:pStyle w:val="Nagwek3"/>
      </w:pPr>
      <w:bookmarkStart w:id="269" w:name="_Toc6257748"/>
      <w:bookmarkStart w:id="270" w:name="_Toc11247639"/>
      <w:r w:rsidRPr="00EC250C">
        <w:lastRenderedPageBreak/>
        <w:t xml:space="preserve">Art. 50 </w:t>
      </w:r>
      <w:r w:rsidR="006302BF" w:rsidRPr="00EC250C">
        <w:t xml:space="preserve">Konstytucji </w:t>
      </w:r>
      <w:r w:rsidRPr="00EC250C">
        <w:t>– Prawo do nienaruszalności mieszkania</w:t>
      </w:r>
      <w:bookmarkEnd w:id="269"/>
      <w:bookmarkEnd w:id="270"/>
    </w:p>
    <w:p w14:paraId="51E7B241" w14:textId="77777777" w:rsidR="004C52F3" w:rsidRPr="00EC250C" w:rsidRDefault="004C52F3" w:rsidP="00D131FA">
      <w:pPr>
        <w:pStyle w:val="konstytucja"/>
        <w:jc w:val="both"/>
      </w:pPr>
      <w:r w:rsidRPr="00EC250C">
        <w:t>Zapewnia się nienaruszalność mieszkania. Przeszukanie mieszkania, pomieszczenia lub pojazdu może nastąpić jedynie</w:t>
      </w:r>
      <w:r w:rsidR="00992FD0" w:rsidRPr="00EC250C">
        <w:t xml:space="preserve"> w </w:t>
      </w:r>
      <w:r w:rsidRPr="00EC250C">
        <w:t>przypadkach określonych</w:t>
      </w:r>
      <w:r w:rsidR="00992FD0" w:rsidRPr="00EC250C">
        <w:t xml:space="preserve"> w </w:t>
      </w:r>
      <w:r w:rsidRPr="00EC250C">
        <w:t>ustawie</w:t>
      </w:r>
      <w:r w:rsidR="00992FD0" w:rsidRPr="00EC250C">
        <w:t xml:space="preserve"> i w </w:t>
      </w:r>
      <w:r w:rsidRPr="00EC250C">
        <w:t>sposób</w:t>
      </w:r>
      <w:r w:rsidR="00992FD0" w:rsidRPr="00EC250C">
        <w:t xml:space="preserve"> w </w:t>
      </w:r>
      <w:r w:rsidRPr="00EC250C">
        <w:t>niej określony.</w:t>
      </w:r>
    </w:p>
    <w:p w14:paraId="40AE4BF1" w14:textId="77777777" w:rsidR="00C91F6E" w:rsidRPr="00EC250C" w:rsidRDefault="0009343C" w:rsidP="00D131FA">
      <w:pPr>
        <w:pStyle w:val="ComwiKonstytucja"/>
      </w:pPr>
      <w:r w:rsidRPr="00EC250C">
        <w:t>Nienaruszalność mieszkania uregulowana została analogicznie do swobody korespondencji – wraz</w:t>
      </w:r>
      <w:r w:rsidR="00992FD0" w:rsidRPr="00EC250C">
        <w:t xml:space="preserve"> z </w:t>
      </w:r>
      <w:r w:rsidRPr="00EC250C">
        <w:t>zakazem wglądu do niej osób trzecich. Prawo to może być określane jako niezakłócone korzystanie ze swego mieszkania (tzw. mir domowy)</w:t>
      </w:r>
      <w:r w:rsidR="00992FD0" w:rsidRPr="00EC250C">
        <w:t xml:space="preserve"> i </w:t>
      </w:r>
      <w:r w:rsidRPr="00EC250C">
        <w:t>ma bezpośredni związek</w:t>
      </w:r>
      <w:r w:rsidR="00992FD0" w:rsidRPr="00EC250C">
        <w:t xml:space="preserve"> z </w:t>
      </w:r>
      <w:r w:rsidRPr="00EC250C">
        <w:t>prawem do prywatności oraz zasadą godności.</w:t>
      </w:r>
    </w:p>
    <w:p w14:paraId="79A43EB4" w14:textId="77777777" w:rsidR="00C91F6E" w:rsidRPr="00EC250C" w:rsidRDefault="0009343C" w:rsidP="00D131FA">
      <w:pPr>
        <w:pStyle w:val="ComwiKonstytucja"/>
      </w:pPr>
      <w:r w:rsidRPr="00EC250C">
        <w:t>Za naruszenie mieszkania uznaje się wkraczanie do mieszkania bez zgody osób tam zamieszkujących bądź nieopuszczenie go na żądanie mieszkańców. Może być więc rozumiane jako zakaz przeszukiwania (bez dostatecznych podstaw) oraz zakaz wszelkiego nieuprawnionego wkraczania</w:t>
      </w:r>
      <w:r w:rsidR="00992FD0" w:rsidRPr="00EC250C">
        <w:t xml:space="preserve"> i </w:t>
      </w:r>
      <w:r w:rsidRPr="00EC250C">
        <w:t>przebywania</w:t>
      </w:r>
      <w:r w:rsidR="00992FD0" w:rsidRPr="00EC250C">
        <w:t xml:space="preserve"> w </w:t>
      </w:r>
      <w:r w:rsidRPr="00EC250C">
        <w:t>nim.</w:t>
      </w:r>
    </w:p>
    <w:p w14:paraId="2D067DA5" w14:textId="77777777" w:rsidR="00304A51" w:rsidRPr="00EC250C" w:rsidRDefault="0009343C" w:rsidP="00D131FA">
      <w:pPr>
        <w:pStyle w:val="ComwiKonstytucja"/>
      </w:pPr>
      <w:r w:rsidRPr="00EC250C">
        <w:t>Podmiotami zobowiązanymi do szanowania tej wolności są wszystkie inne osoby,</w:t>
      </w:r>
      <w:r w:rsidR="00992FD0" w:rsidRPr="00EC250C">
        <w:t xml:space="preserve"> w </w:t>
      </w:r>
      <w:r w:rsidRPr="00EC250C">
        <w:t>tym ewentualny właściciel mieszkania lub przedstawiciele organów władzy</w:t>
      </w:r>
      <w:r w:rsidR="00992FD0" w:rsidRPr="00EC250C">
        <w:t xml:space="preserve"> i </w:t>
      </w:r>
      <w:r w:rsidRPr="00EC250C">
        <w:t>pracownicy służb publicznych. Uprawnieni do korzystania</w:t>
      </w:r>
      <w:r w:rsidR="00992FD0" w:rsidRPr="00EC250C">
        <w:t xml:space="preserve"> z </w:t>
      </w:r>
      <w:r w:rsidRPr="00EC250C">
        <w:t>nienaruszalności są mieszkańcy (a więc także lokatorzy)</w:t>
      </w:r>
      <w:r w:rsidR="00EE09AA" w:rsidRPr="00EC250C">
        <w:t>.</w:t>
      </w:r>
    </w:p>
    <w:p w14:paraId="6D0EFF53" w14:textId="77777777" w:rsidR="00EE09AA" w:rsidRPr="00EC250C" w:rsidRDefault="00EE09AA" w:rsidP="00D131FA">
      <w:pPr>
        <w:pStyle w:val="ComwiKonstytucja"/>
      </w:pPr>
    </w:p>
    <w:p w14:paraId="736611EE" w14:textId="77777777" w:rsidR="0009343C" w:rsidRPr="00EC250C" w:rsidRDefault="0009343C" w:rsidP="00D131FA">
      <w:pPr>
        <w:spacing w:after="200" w:line="24" w:lineRule="auto"/>
        <w:jc w:val="both"/>
        <w:rPr>
          <w:spacing w:val="5"/>
          <w:sz w:val="24"/>
        </w:rPr>
      </w:pPr>
      <w:r w:rsidRPr="00EC250C">
        <w:rPr>
          <w:sz w:val="24"/>
        </w:rPr>
        <w:br w:type="page"/>
      </w:r>
    </w:p>
    <w:p w14:paraId="2DCABE30" w14:textId="77777777" w:rsidR="0009343C" w:rsidRPr="00EC250C" w:rsidRDefault="0009343C" w:rsidP="00EC79EB">
      <w:pPr>
        <w:pStyle w:val="Nagwek4"/>
      </w:pPr>
      <w:bookmarkStart w:id="271" w:name="_Toc6257749"/>
      <w:bookmarkStart w:id="272" w:name="_Toc11247640"/>
      <w:r w:rsidRPr="00EC250C">
        <w:lastRenderedPageBreak/>
        <w:t>Poprawione standardy dotyczące przeszukania</w:t>
      </w:r>
      <w:bookmarkEnd w:id="271"/>
      <w:bookmarkEnd w:id="272"/>
    </w:p>
    <w:p w14:paraId="55EF1279" w14:textId="77777777" w:rsidR="00C91F6E" w:rsidRPr="00EC250C" w:rsidRDefault="00423077" w:rsidP="00D131FA">
      <w:pPr>
        <w:pStyle w:val="Styl1"/>
      </w:pPr>
      <w:r w:rsidRPr="00EC250C">
        <w:t>W zakresie realizacji praw określonych</w:t>
      </w:r>
      <w:r w:rsidR="00992FD0" w:rsidRPr="00EC250C">
        <w:t xml:space="preserve"> w </w:t>
      </w:r>
      <w:r w:rsidRPr="00EC250C">
        <w:t>art. 50 Konstytucji odnotować należy wejście</w:t>
      </w:r>
      <w:r w:rsidR="00992FD0" w:rsidRPr="00EC250C">
        <w:t xml:space="preserve"> w </w:t>
      </w:r>
      <w:r w:rsidRPr="00EC250C">
        <w:t>życie przepisów ustawy</w:t>
      </w:r>
      <w:r w:rsidR="00992FD0" w:rsidRPr="00EC250C">
        <w:t xml:space="preserve"> o </w:t>
      </w:r>
      <w:r w:rsidRPr="00EC250C">
        <w:t>zmianie ustawy</w:t>
      </w:r>
      <w:r w:rsidR="00992FD0" w:rsidRPr="00EC250C">
        <w:t xml:space="preserve"> o </w:t>
      </w:r>
      <w:r w:rsidRPr="00EC250C">
        <w:t>Policji oraz niektórych innych ustaw</w:t>
      </w:r>
      <w:r w:rsidR="000F7AF6" w:rsidRPr="00EC250C">
        <w:rPr>
          <w:rStyle w:val="Odwoanieprzypisudolnego"/>
        </w:rPr>
        <w:footnoteReference w:id="279"/>
      </w:r>
      <w:r w:rsidRPr="00EC250C">
        <w:t>.</w:t>
      </w:r>
    </w:p>
    <w:p w14:paraId="4FA4A065" w14:textId="77777777" w:rsidR="00304A51" w:rsidRPr="00EC250C" w:rsidRDefault="00423077" w:rsidP="00D131FA">
      <w:pPr>
        <w:pStyle w:val="Styl1"/>
      </w:pPr>
      <w:r w:rsidRPr="00EC250C">
        <w:t>Ustawa ta służy wykonaniu wyroku</w:t>
      </w:r>
      <w:r w:rsidR="000F7AF6" w:rsidRPr="00EC250C">
        <w:rPr>
          <w:rStyle w:val="Odwoanieprzypisudolnego"/>
        </w:rPr>
        <w:footnoteReference w:id="280"/>
      </w:r>
      <w:r w:rsidRPr="00EC250C">
        <w:t xml:space="preserve"> Trybunału Konstytucyjnego wydanego po rozpoznaniu wniosku </w:t>
      </w:r>
      <w:r w:rsidR="00D20D4F" w:rsidRPr="00EC250C">
        <w:t>RPO</w:t>
      </w:r>
      <w:r w:rsidRPr="00EC250C">
        <w:t>. Określa ona m.in.</w:t>
      </w:r>
      <w:r w:rsidR="0009343C" w:rsidRPr="00EC250C">
        <w:t>,</w:t>
      </w:r>
      <w:r w:rsidRPr="00EC250C">
        <w:t xml:space="preserve"> na czym polega przeglądanie bagaży, sprawdzanie ładunków</w:t>
      </w:r>
      <w:r w:rsidR="00992FD0" w:rsidRPr="00EC250C">
        <w:t xml:space="preserve"> w </w:t>
      </w:r>
      <w:r w:rsidRPr="00EC250C">
        <w:t>środkach transportu przez poszczególne służby,</w:t>
      </w:r>
      <w:r w:rsidR="00992FD0" w:rsidRPr="00EC250C">
        <w:t xml:space="preserve"> a </w:t>
      </w:r>
      <w:r w:rsidRPr="00EC250C">
        <w:t>także przewiduje, że osobom dotkniętym tymi czynnościami przysługuje zażalenie do sądu rejonowego</w:t>
      </w:r>
      <w:r w:rsidR="00992FD0" w:rsidRPr="00EC250C">
        <w:t xml:space="preserve"> w </w:t>
      </w:r>
      <w:r w:rsidRPr="00EC250C">
        <w:t>celu zbadania zasadności</w:t>
      </w:r>
      <w:r w:rsidR="000F7AF6" w:rsidRPr="00EC250C">
        <w:t>,</w:t>
      </w:r>
      <w:r w:rsidRPr="00EC250C">
        <w:t xml:space="preserve"> legalności oraz prawidłowości </w:t>
      </w:r>
      <w:r w:rsidR="000F7AF6" w:rsidRPr="00EC250C">
        <w:t>tych czynności.</w:t>
      </w:r>
    </w:p>
    <w:p w14:paraId="79AA26DE" w14:textId="77777777" w:rsidR="0009343C" w:rsidRPr="00EC250C" w:rsidRDefault="0009343C" w:rsidP="00D131FA">
      <w:pPr>
        <w:pStyle w:val="ODESANIE"/>
        <w:jc w:val="both"/>
      </w:pPr>
      <w:r w:rsidRPr="00EC250C">
        <w:t>Problemy wynikając</w:t>
      </w:r>
      <w:r w:rsidR="00992FD0" w:rsidRPr="00EC250C">
        <w:t xml:space="preserve"> z </w:t>
      </w:r>
      <w:r w:rsidRPr="00EC250C">
        <w:t>utrudnieniem</w:t>
      </w:r>
      <w:r w:rsidR="00992FD0" w:rsidRPr="00EC250C">
        <w:t xml:space="preserve"> w </w:t>
      </w:r>
      <w:r w:rsidRPr="00EC250C">
        <w:t xml:space="preserve">uzyskiwaniu odszkodowania czy zadośćuczynienia po bezprawnym przeszukaniu opisane są przy okazji zagrożeń dla </w:t>
      </w:r>
      <w:r w:rsidR="001874B8" w:rsidRPr="00EC250C">
        <w:t>a</w:t>
      </w:r>
      <w:r w:rsidRPr="00EC250C">
        <w:t>rt. 41 ust. 1 Konstytucji</w:t>
      </w:r>
    </w:p>
    <w:p w14:paraId="0FA20D3C" w14:textId="77777777" w:rsidR="007C6542" w:rsidRPr="00EC250C" w:rsidRDefault="007C6542" w:rsidP="00D131FA">
      <w:pPr>
        <w:spacing w:after="200" w:line="24" w:lineRule="auto"/>
        <w:jc w:val="both"/>
        <w:rPr>
          <w:rFonts w:cs="Arial"/>
          <w:bCs/>
          <w:color w:val="000000"/>
          <w:sz w:val="22"/>
          <w:szCs w:val="22"/>
        </w:rPr>
      </w:pPr>
      <w:r w:rsidRPr="00EC250C">
        <w:rPr>
          <w:rFonts w:cs="Arial"/>
          <w:bCs/>
          <w:color w:val="000000"/>
          <w:sz w:val="22"/>
          <w:szCs w:val="22"/>
        </w:rPr>
        <w:br w:type="page"/>
      </w:r>
    </w:p>
    <w:p w14:paraId="56E27091" w14:textId="77777777" w:rsidR="00C91F6E" w:rsidRPr="00EC250C" w:rsidRDefault="004C52F3" w:rsidP="00EC250C">
      <w:pPr>
        <w:pStyle w:val="Nagwek3"/>
      </w:pPr>
      <w:bookmarkStart w:id="273" w:name="_Toc6257750"/>
      <w:bookmarkStart w:id="274" w:name="_Toc11247641"/>
      <w:r w:rsidRPr="00EC250C">
        <w:lastRenderedPageBreak/>
        <w:t xml:space="preserve">Art. 51 </w:t>
      </w:r>
      <w:r w:rsidR="006302BF" w:rsidRPr="00EC250C">
        <w:t xml:space="preserve">Konstytucji </w:t>
      </w:r>
      <w:r w:rsidRPr="00EC250C">
        <w:t>– Prawo do autonomii informacyjnej</w:t>
      </w:r>
      <w:bookmarkEnd w:id="273"/>
      <w:bookmarkEnd w:id="274"/>
    </w:p>
    <w:p w14:paraId="4805463D" w14:textId="77777777" w:rsidR="004C52F3" w:rsidRPr="00EC250C" w:rsidRDefault="004C52F3" w:rsidP="00D131FA">
      <w:pPr>
        <w:pStyle w:val="konstytucja"/>
        <w:jc w:val="both"/>
      </w:pPr>
      <w:r w:rsidRPr="00EC250C">
        <w:t>1. Nikt nie może być obowiązany inaczej niż na podstawie ustawy do ujawniania informacji dotyczących jego osoby.</w:t>
      </w:r>
    </w:p>
    <w:p w14:paraId="0D646AA7" w14:textId="77777777" w:rsidR="004C52F3" w:rsidRPr="00EC250C" w:rsidRDefault="004C52F3" w:rsidP="00D131FA">
      <w:pPr>
        <w:pStyle w:val="konstytucja"/>
        <w:jc w:val="both"/>
      </w:pPr>
      <w:r w:rsidRPr="00EC250C">
        <w:t>2. Władze publiczne nie mogą pozyskiwać, gromadzić</w:t>
      </w:r>
      <w:r w:rsidR="00992FD0" w:rsidRPr="00EC250C">
        <w:t xml:space="preserve"> i </w:t>
      </w:r>
      <w:r w:rsidRPr="00EC250C">
        <w:t>udostępniać innych informacji</w:t>
      </w:r>
      <w:r w:rsidR="00992FD0" w:rsidRPr="00EC250C">
        <w:t xml:space="preserve"> o </w:t>
      </w:r>
      <w:r w:rsidRPr="00EC250C">
        <w:t>obywatelach niż niezbędne</w:t>
      </w:r>
      <w:r w:rsidR="00992FD0" w:rsidRPr="00EC250C">
        <w:t xml:space="preserve"> w </w:t>
      </w:r>
      <w:r w:rsidRPr="00EC250C">
        <w:t>demokratycznym państwie prawnym.</w:t>
      </w:r>
    </w:p>
    <w:p w14:paraId="605C5000" w14:textId="77777777" w:rsidR="004C52F3" w:rsidRPr="00EC250C" w:rsidRDefault="004C52F3" w:rsidP="00D131FA">
      <w:pPr>
        <w:pStyle w:val="konstytucja"/>
        <w:jc w:val="both"/>
      </w:pPr>
      <w:r w:rsidRPr="00EC250C">
        <w:t>3. Każdy ma prawo dostępu do dotyczących go urzędowych dokumentów</w:t>
      </w:r>
      <w:r w:rsidR="00992FD0" w:rsidRPr="00EC250C">
        <w:t xml:space="preserve"> i </w:t>
      </w:r>
      <w:r w:rsidRPr="00EC250C">
        <w:t>zbiorów danych. Ograniczenie tego prawa może określić ustawa.</w:t>
      </w:r>
    </w:p>
    <w:p w14:paraId="5075E6D7" w14:textId="77777777" w:rsidR="004C52F3" w:rsidRPr="00EC250C" w:rsidRDefault="004C52F3" w:rsidP="00D131FA">
      <w:pPr>
        <w:pStyle w:val="konstytucja"/>
        <w:jc w:val="both"/>
      </w:pPr>
      <w:r w:rsidRPr="00EC250C">
        <w:t>4. Każdy ma prawo do żądania sprostowania oraz usunięcia informacji nieprawdziwych, niepełnych lub zebranych</w:t>
      </w:r>
      <w:r w:rsidR="00992FD0" w:rsidRPr="00EC250C">
        <w:t xml:space="preserve"> w </w:t>
      </w:r>
      <w:r w:rsidRPr="00EC250C">
        <w:t>sposób sprzeczny</w:t>
      </w:r>
      <w:r w:rsidR="00992FD0" w:rsidRPr="00EC250C">
        <w:t xml:space="preserve"> z </w:t>
      </w:r>
      <w:r w:rsidRPr="00EC250C">
        <w:t>ustawą.</w:t>
      </w:r>
    </w:p>
    <w:p w14:paraId="5625B3F3" w14:textId="77777777" w:rsidR="004C52F3" w:rsidRPr="00EC250C" w:rsidRDefault="004C52F3" w:rsidP="00D131FA">
      <w:pPr>
        <w:pStyle w:val="konstytucja"/>
        <w:jc w:val="both"/>
      </w:pPr>
      <w:r w:rsidRPr="00EC250C">
        <w:t>5. Zasady</w:t>
      </w:r>
      <w:r w:rsidR="00992FD0" w:rsidRPr="00EC250C">
        <w:t xml:space="preserve"> i </w:t>
      </w:r>
      <w:r w:rsidRPr="00EC250C">
        <w:t>tryb gromadzenia oraz udostępniania informacji określa ustawa.</w:t>
      </w:r>
    </w:p>
    <w:p w14:paraId="7F75560D" w14:textId="77777777" w:rsidR="00C91F6E" w:rsidRPr="00EC250C" w:rsidRDefault="006B6C8D" w:rsidP="00D131FA">
      <w:pPr>
        <w:pStyle w:val="ComwiKonstytucja"/>
      </w:pPr>
      <w:r w:rsidRPr="00EC250C">
        <w:t>Artykuł ten stanowi o:</w:t>
      </w:r>
    </w:p>
    <w:p w14:paraId="53733CB0" w14:textId="77777777" w:rsidR="00C91F6E" w:rsidRPr="00EC250C" w:rsidRDefault="006B6C8D" w:rsidP="006C70B7">
      <w:pPr>
        <w:pStyle w:val="ComwiKonstytucja"/>
        <w:numPr>
          <w:ilvl w:val="0"/>
          <w:numId w:val="42"/>
        </w:numPr>
      </w:pPr>
      <w:r w:rsidRPr="00EC250C">
        <w:t>wolności jednostki od ujawniania informacji jej dotyczących innym osobom oraz szczególnie władzom publicznym. Wolności tej odpowiada zakaz podejmowania prób uzyskiwania tego rodzaju informacji poprzez przesłuchiwanie (indagację);</w:t>
      </w:r>
    </w:p>
    <w:p w14:paraId="06EC1178" w14:textId="77777777" w:rsidR="00C91F6E" w:rsidRPr="00EC250C" w:rsidRDefault="006B6C8D" w:rsidP="006C70B7">
      <w:pPr>
        <w:pStyle w:val="ComwiKonstytucja"/>
        <w:numPr>
          <w:ilvl w:val="0"/>
          <w:numId w:val="42"/>
        </w:numPr>
      </w:pPr>
      <w:r w:rsidRPr="00EC250C">
        <w:t>kompetencji władz publicznych do pozyskiwania, gromadzenia oraz udostępniania informacji</w:t>
      </w:r>
      <w:r w:rsidR="00992FD0" w:rsidRPr="00EC250C">
        <w:t xml:space="preserve"> o </w:t>
      </w:r>
      <w:r w:rsidRPr="00EC250C">
        <w:t>obywatelach</w:t>
      </w:r>
      <w:r w:rsidR="00992FD0" w:rsidRPr="00EC250C">
        <w:t xml:space="preserve"> w </w:t>
      </w:r>
      <w:r w:rsidRPr="00EC250C">
        <w:t>zakresie niezbędnym</w:t>
      </w:r>
      <w:r w:rsidR="00992FD0" w:rsidRPr="00EC250C">
        <w:t xml:space="preserve"> w </w:t>
      </w:r>
      <w:r w:rsidRPr="00EC250C">
        <w:t>demokratycznym państwie prawnym;</w:t>
      </w:r>
    </w:p>
    <w:p w14:paraId="2966E0CB" w14:textId="77777777" w:rsidR="00C91F6E" w:rsidRPr="00EC250C" w:rsidRDefault="006B6C8D" w:rsidP="006C70B7">
      <w:pPr>
        <w:pStyle w:val="ComwiKonstytucja"/>
        <w:numPr>
          <w:ilvl w:val="0"/>
          <w:numId w:val="42"/>
        </w:numPr>
      </w:pPr>
      <w:r w:rsidRPr="00EC250C">
        <w:t>prawie dostępu każdego mieszkańca Polski do dotyczących go dokumentów urzędowych</w:t>
      </w:r>
      <w:r w:rsidR="00992FD0" w:rsidRPr="00EC250C">
        <w:t xml:space="preserve"> i </w:t>
      </w:r>
      <w:r w:rsidRPr="00EC250C">
        <w:t>zbiorów danych;</w:t>
      </w:r>
    </w:p>
    <w:p w14:paraId="6ACA8810" w14:textId="77777777" w:rsidR="00C91F6E" w:rsidRPr="00EC250C" w:rsidRDefault="006B6C8D" w:rsidP="006C70B7">
      <w:pPr>
        <w:pStyle w:val="ComwiKonstytucja"/>
        <w:numPr>
          <w:ilvl w:val="0"/>
          <w:numId w:val="42"/>
        </w:numPr>
      </w:pPr>
      <w:r w:rsidRPr="00EC250C">
        <w:t>prawie żądania sprostowania informacji zawartych</w:t>
      </w:r>
      <w:r w:rsidR="00992FD0" w:rsidRPr="00EC250C">
        <w:t xml:space="preserve"> w </w:t>
      </w:r>
      <w:r w:rsidRPr="00EC250C">
        <w:t>zbiorach dokumentów urzędowych lub</w:t>
      </w:r>
      <w:r w:rsidR="00992FD0" w:rsidRPr="00EC250C">
        <w:t xml:space="preserve"> w </w:t>
      </w:r>
      <w:r w:rsidRPr="00EC250C">
        <w:t>zbiorach danych,</w:t>
      </w:r>
      <w:r w:rsidR="00992FD0" w:rsidRPr="00EC250C">
        <w:t xml:space="preserve"> o </w:t>
      </w:r>
      <w:r w:rsidRPr="00EC250C">
        <w:t>ile są to informacje nieprawdziwe, niepełne lub zebrane niezgodnie</w:t>
      </w:r>
      <w:r w:rsidR="00992FD0" w:rsidRPr="00EC250C">
        <w:t xml:space="preserve"> z </w:t>
      </w:r>
      <w:r w:rsidRPr="00EC250C">
        <w:t>ustawą;</w:t>
      </w:r>
    </w:p>
    <w:p w14:paraId="76D2B01E" w14:textId="77777777" w:rsidR="00C91F6E" w:rsidRPr="00EC250C" w:rsidRDefault="006B6C8D" w:rsidP="006C70B7">
      <w:pPr>
        <w:pStyle w:val="ComwiKonstytucja"/>
        <w:numPr>
          <w:ilvl w:val="0"/>
          <w:numId w:val="42"/>
        </w:numPr>
      </w:pPr>
      <w:r w:rsidRPr="00EC250C">
        <w:t>prawie żądania usunięcia informacji zawartych</w:t>
      </w:r>
      <w:r w:rsidR="00992FD0" w:rsidRPr="00EC250C">
        <w:t xml:space="preserve"> w </w:t>
      </w:r>
      <w:r w:rsidRPr="00EC250C">
        <w:t>jednym lub drugim zbiorze</w:t>
      </w:r>
      <w:r w:rsidR="00992FD0" w:rsidRPr="00EC250C">
        <w:t xml:space="preserve"> w </w:t>
      </w:r>
      <w:r w:rsidRPr="00EC250C">
        <w:t>tych samych przypadkach.</w:t>
      </w:r>
    </w:p>
    <w:p w14:paraId="0BBB54BB" w14:textId="77777777" w:rsidR="006B6C8D" w:rsidRPr="00EC250C" w:rsidRDefault="006B6C8D" w:rsidP="00D131FA">
      <w:pPr>
        <w:pStyle w:val="ComwiKonstytucja"/>
      </w:pPr>
      <w:r w:rsidRPr="00EC250C">
        <w:t>Władze publiczne nie mogą dla własnych celów dokumentować danych osobowych, sprawdzać</w:t>
      </w:r>
      <w:r w:rsidR="00992FD0" w:rsidRPr="00EC250C">
        <w:t xml:space="preserve"> i </w:t>
      </w:r>
      <w:r w:rsidRPr="00EC250C">
        <w:t>dokumentować zachowań osób prywatnych czy zmuszać do ujawniania swych indywidualnych cech, właściwości oraz postępowania.</w:t>
      </w:r>
    </w:p>
    <w:p w14:paraId="2CAE37B7" w14:textId="77777777" w:rsidR="00EE09AA" w:rsidRPr="00EC250C" w:rsidRDefault="00EE09AA" w:rsidP="00D131FA">
      <w:pPr>
        <w:pStyle w:val="ComwiKonstytucja"/>
      </w:pPr>
    </w:p>
    <w:p w14:paraId="329C40A5" w14:textId="77777777" w:rsidR="006B6C8D" w:rsidRPr="00EC250C" w:rsidRDefault="006B6C8D" w:rsidP="00D131FA">
      <w:pPr>
        <w:spacing w:after="200" w:line="24" w:lineRule="auto"/>
        <w:jc w:val="both"/>
        <w:rPr>
          <w:i/>
          <w:spacing w:val="5"/>
          <w:sz w:val="22"/>
        </w:rPr>
      </w:pPr>
      <w:r w:rsidRPr="00EC250C">
        <w:rPr>
          <w:sz w:val="24"/>
        </w:rPr>
        <w:br w:type="page"/>
      </w:r>
    </w:p>
    <w:p w14:paraId="2F68D9A0" w14:textId="77777777" w:rsidR="000B4E62" w:rsidRPr="00EC250C" w:rsidRDefault="000B4E62" w:rsidP="00EC79EB">
      <w:pPr>
        <w:pStyle w:val="Nagwek4"/>
      </w:pPr>
      <w:bookmarkStart w:id="275" w:name="_Hlk536615433"/>
      <w:bookmarkStart w:id="276" w:name="_Toc6257751"/>
      <w:bookmarkStart w:id="277" w:name="_Toc11247642"/>
      <w:r w:rsidRPr="00EC250C">
        <w:lastRenderedPageBreak/>
        <w:t>Ochrona danych osobowych</w:t>
      </w:r>
      <w:bookmarkEnd w:id="275"/>
      <w:r w:rsidRPr="00EC250C">
        <w:t xml:space="preserve">, </w:t>
      </w:r>
      <w:r w:rsidR="004916E7" w:rsidRPr="00EC250C">
        <w:t>rozpoczęcie stosowania</w:t>
      </w:r>
      <w:r w:rsidRPr="00EC250C">
        <w:t xml:space="preserve"> unijnego rozporządzenia (RODO)</w:t>
      </w:r>
      <w:bookmarkEnd w:id="276"/>
      <w:bookmarkEnd w:id="277"/>
    </w:p>
    <w:p w14:paraId="6471A73D" w14:textId="77777777" w:rsidR="00B473F5" w:rsidRPr="00EC250C" w:rsidRDefault="000A1E42" w:rsidP="00D131FA">
      <w:pPr>
        <w:pStyle w:val="Problemczowieka"/>
        <w:jc w:val="both"/>
      </w:pPr>
      <w:bookmarkStart w:id="278" w:name="_Toc6257752"/>
      <w:r w:rsidRPr="00EC250C">
        <w:t>W 2018</w:t>
      </w:r>
      <w:r w:rsidR="00C91F6E" w:rsidRPr="00EC250C">
        <w:t> r.</w:t>
      </w:r>
      <w:r w:rsidRPr="00EC250C">
        <w:t xml:space="preserve"> zaczęło być stosowane </w:t>
      </w:r>
      <w:r w:rsidR="00830F5C" w:rsidRPr="00EC250C">
        <w:t xml:space="preserve">wprowadzone w </w:t>
      </w:r>
      <w:r w:rsidRPr="00EC250C">
        <w:t>2016</w:t>
      </w:r>
      <w:r w:rsidR="00C91F6E" w:rsidRPr="00EC250C">
        <w:t> r.</w:t>
      </w:r>
      <w:r w:rsidRPr="00EC250C">
        <w:t xml:space="preserve"> unijne Rozporządzenie</w:t>
      </w:r>
      <w:r w:rsidR="00992FD0" w:rsidRPr="00EC250C">
        <w:t xml:space="preserve"> o </w:t>
      </w:r>
      <w:r w:rsidRPr="00EC250C">
        <w:t xml:space="preserve">ochronie danych osobowych (RODO). </w:t>
      </w:r>
      <w:r w:rsidR="00171336" w:rsidRPr="00EC250C">
        <w:t>Wp</w:t>
      </w:r>
      <w:r w:rsidRPr="00EC250C">
        <w:t>rowadza ono takie same zasady ochrony danych</w:t>
      </w:r>
      <w:r w:rsidR="00992FD0" w:rsidRPr="00EC250C">
        <w:t xml:space="preserve"> w </w:t>
      </w:r>
      <w:r w:rsidRPr="00EC250C">
        <w:t>całej Unii</w:t>
      </w:r>
      <w:r w:rsidR="00171336" w:rsidRPr="00EC250C">
        <w:t>,</w:t>
      </w:r>
      <w:r w:rsidRPr="00EC250C">
        <w:t xml:space="preserve"> lepiej chroniąc jej obywateli przed nieuprawnionym przetwarzaniem danych. Znaczenie</w:t>
      </w:r>
      <w:r w:rsidR="00992FD0" w:rsidRPr="00EC250C">
        <w:t xml:space="preserve"> i </w:t>
      </w:r>
      <w:r w:rsidRPr="00EC250C">
        <w:t>wartość danych rośnie bowiem niezwykle</w:t>
      </w:r>
      <w:r w:rsidR="00992FD0" w:rsidRPr="00EC250C">
        <w:t xml:space="preserve"> w </w:t>
      </w:r>
      <w:r w:rsidRPr="00EC250C">
        <w:t>gospodarce cyfrowej, gdzie analiza</w:t>
      </w:r>
      <w:r w:rsidR="00992FD0" w:rsidRPr="00EC250C">
        <w:t xml:space="preserve"> i </w:t>
      </w:r>
      <w:r w:rsidRPr="00EC250C">
        <w:t>przetwarzanie informacji</w:t>
      </w:r>
      <w:r w:rsidR="00992FD0" w:rsidRPr="00EC250C">
        <w:t xml:space="preserve"> o </w:t>
      </w:r>
      <w:r w:rsidRPr="00EC250C">
        <w:t>ludziach staje się kluczowa</w:t>
      </w:r>
      <w:r w:rsidR="00B473F5" w:rsidRPr="00EC250C">
        <w:t>.</w:t>
      </w:r>
    </w:p>
    <w:p w14:paraId="7729C060" w14:textId="77777777" w:rsidR="000A1E42" w:rsidRPr="00EC250C" w:rsidRDefault="000A1E42" w:rsidP="00D131FA">
      <w:pPr>
        <w:pStyle w:val="Styl1"/>
      </w:pPr>
      <w:r w:rsidRPr="00EC250C">
        <w:t>RODO stosowane jest od 25 maja 2018</w:t>
      </w:r>
      <w:r w:rsidR="00C91F6E" w:rsidRPr="00EC250C">
        <w:t> r.</w:t>
      </w:r>
      <w:r w:rsidRPr="00EC250C">
        <w:t xml:space="preserve"> Tego dnia przestała obowiązywać ustawa</w:t>
      </w:r>
      <w:r w:rsidR="00992FD0" w:rsidRPr="00EC250C">
        <w:t xml:space="preserve"> o </w:t>
      </w:r>
      <w:r w:rsidRPr="00EC250C">
        <w:t>ochronie danych</w:t>
      </w:r>
      <w:r w:rsidR="00992FD0" w:rsidRPr="00EC250C">
        <w:t xml:space="preserve"> z </w:t>
      </w:r>
      <w:r w:rsidRPr="00EC250C">
        <w:t>1997</w:t>
      </w:r>
      <w:r w:rsidR="00C91F6E" w:rsidRPr="00EC250C">
        <w:t> r.</w:t>
      </w:r>
      <w:r w:rsidRPr="00EC250C">
        <w:t>, która wyznaczała dotychczas</w:t>
      </w:r>
      <w:r w:rsidR="00171336" w:rsidRPr="00EC250C">
        <w:t>owe</w:t>
      </w:r>
      <w:r w:rsidRPr="00EC250C">
        <w:t xml:space="preserve"> ramy przetwarzania danych osobowych</w:t>
      </w:r>
      <w:r w:rsidR="00992FD0" w:rsidRPr="00EC250C">
        <w:t xml:space="preserve"> w </w:t>
      </w:r>
      <w:r w:rsidRPr="00EC250C">
        <w:t>Polsce</w:t>
      </w:r>
      <w:r w:rsidR="00171336" w:rsidRPr="00EC250C">
        <w:rPr>
          <w:rStyle w:val="Odwoanieprzypisudolnego"/>
        </w:rPr>
        <w:footnoteReference w:id="281"/>
      </w:r>
      <w:r w:rsidRPr="00EC250C">
        <w:t>.</w:t>
      </w:r>
    </w:p>
    <w:p w14:paraId="17C60E53" w14:textId="77777777" w:rsidR="00C91F6E" w:rsidRPr="00EC250C" w:rsidRDefault="000A1E42" w:rsidP="00D131FA">
      <w:pPr>
        <w:pStyle w:val="Styl1"/>
        <w:rPr>
          <w:bCs/>
          <w:iCs/>
        </w:rPr>
      </w:pPr>
      <w:r w:rsidRPr="00EC250C">
        <w:rPr>
          <w:bCs/>
          <w:iCs/>
        </w:rPr>
        <w:t>Chociaż RODO stosowane jest bezpośrednio, to jednak jego pełne wdrożenie wymagało zmiany prawa krajowego. Nowa ustawa</w:t>
      </w:r>
      <w:r w:rsidR="00992FD0" w:rsidRPr="00EC250C">
        <w:rPr>
          <w:bCs/>
          <w:iCs/>
        </w:rPr>
        <w:t xml:space="preserve"> o </w:t>
      </w:r>
      <w:r w:rsidRPr="00EC250C">
        <w:rPr>
          <w:bCs/>
          <w:iCs/>
        </w:rPr>
        <w:t>ochronie danych osobowych</w:t>
      </w:r>
      <w:r w:rsidR="00171336" w:rsidRPr="00EC250C">
        <w:rPr>
          <w:rStyle w:val="Odwoanieprzypisudolnego"/>
          <w:bCs/>
          <w:iCs/>
        </w:rPr>
        <w:footnoteReference w:id="282"/>
      </w:r>
      <w:r w:rsidRPr="00EC250C">
        <w:rPr>
          <w:bCs/>
          <w:iCs/>
        </w:rPr>
        <w:t xml:space="preserve"> wprowadziła daleko idące wyłączenia</w:t>
      </w:r>
      <w:r w:rsidR="00992FD0" w:rsidRPr="00EC250C">
        <w:rPr>
          <w:bCs/>
          <w:iCs/>
        </w:rPr>
        <w:t xml:space="preserve"> i </w:t>
      </w:r>
      <w:r w:rsidRPr="00EC250C">
        <w:rPr>
          <w:bCs/>
          <w:iCs/>
        </w:rPr>
        <w:t>ograniczenia praw osób, których dane dotyczą,</w:t>
      </w:r>
      <w:r w:rsidR="00992FD0" w:rsidRPr="00EC250C">
        <w:rPr>
          <w:bCs/>
          <w:iCs/>
        </w:rPr>
        <w:t xml:space="preserve"> w </w:t>
      </w:r>
      <w:r w:rsidRPr="00EC250C">
        <w:rPr>
          <w:bCs/>
          <w:iCs/>
        </w:rPr>
        <w:t>przypadku przetwarzania ich przez administratorów realizujących zadania publiczne.</w:t>
      </w:r>
    </w:p>
    <w:p w14:paraId="24204BEA" w14:textId="77777777" w:rsidR="00F70D82" w:rsidRPr="00EC250C" w:rsidRDefault="000A1E42" w:rsidP="00D131FA">
      <w:pPr>
        <w:pStyle w:val="Styl1"/>
      </w:pPr>
      <w:r w:rsidRPr="00EC250C">
        <w:rPr>
          <w:bCs/>
          <w:iCs/>
        </w:rPr>
        <w:t xml:space="preserve">Rzecznik </w:t>
      </w:r>
      <w:r w:rsidR="00D20D4F" w:rsidRPr="00EC250C">
        <w:rPr>
          <w:bCs/>
          <w:iCs/>
        </w:rPr>
        <w:t xml:space="preserve">Praw Obywatelskich </w:t>
      </w:r>
      <w:r w:rsidRPr="00EC250C">
        <w:rPr>
          <w:bCs/>
          <w:iCs/>
        </w:rPr>
        <w:t>apelował, by te przepisy zmienić</w:t>
      </w:r>
      <w:r w:rsidRPr="00EC250C">
        <w:rPr>
          <w:rStyle w:val="Odwoanieprzypisudolnego"/>
          <w:bCs/>
          <w:iCs/>
        </w:rPr>
        <w:footnoteReference w:id="283"/>
      </w:r>
      <w:r w:rsidR="002E3AC4" w:rsidRPr="00EC250C">
        <w:rPr>
          <w:bCs/>
          <w:iCs/>
        </w:rPr>
        <w:t xml:space="preserve">, jednak ustawodawca nie uwzględnił </w:t>
      </w:r>
      <w:r w:rsidR="00830F5C" w:rsidRPr="00EC250C">
        <w:rPr>
          <w:bCs/>
          <w:iCs/>
        </w:rPr>
        <w:t xml:space="preserve">propozycji RPO </w:t>
      </w:r>
      <w:r w:rsidR="00992FD0" w:rsidRPr="00EC250C">
        <w:rPr>
          <w:bCs/>
          <w:iCs/>
        </w:rPr>
        <w:t>w </w:t>
      </w:r>
      <w:r w:rsidR="002E3AC4" w:rsidRPr="00EC250C">
        <w:rPr>
          <w:bCs/>
          <w:iCs/>
        </w:rPr>
        <w:t xml:space="preserve">ustawie </w:t>
      </w:r>
      <w:r w:rsidRPr="00EC250C">
        <w:t>uchwalon</w:t>
      </w:r>
      <w:r w:rsidR="002E3AC4" w:rsidRPr="00EC250C">
        <w:t>ej</w:t>
      </w:r>
      <w:r w:rsidRPr="00EC250C">
        <w:t xml:space="preserve"> 10 maja 2018</w:t>
      </w:r>
      <w:r w:rsidR="00C91F6E" w:rsidRPr="00EC250C">
        <w:t> r.</w:t>
      </w:r>
      <w:r w:rsidRPr="00EC250C">
        <w:t xml:space="preserve"> Uwzględni</w:t>
      </w:r>
      <w:r w:rsidR="002E3AC4" w:rsidRPr="00EC250C">
        <w:t xml:space="preserve">ł jednak </w:t>
      </w:r>
      <w:r w:rsidRPr="00EC250C">
        <w:t>uwagi RPO dotyczące sposobu powoływania Prezesa Urzędu Ochrony Danych Osobowych</w:t>
      </w:r>
      <w:r w:rsidR="00992FD0" w:rsidRPr="00EC250C">
        <w:t xml:space="preserve"> i </w:t>
      </w:r>
      <w:r w:rsidRPr="00EC250C">
        <w:t>jego zastępców.</w:t>
      </w:r>
      <w:r w:rsidR="00F70D82" w:rsidRPr="00EC250C">
        <w:t xml:space="preserve"> Dzięki temu </w:t>
      </w:r>
      <w:r w:rsidR="00F70D82" w:rsidRPr="00EC250C">
        <w:rPr>
          <w:bCs/>
          <w:iCs/>
        </w:rPr>
        <w:t xml:space="preserve">organ ochrony danych osobowych </w:t>
      </w:r>
      <w:r w:rsidR="00F70D82" w:rsidRPr="00EC250C">
        <w:t>ma zapewnioną organizacyjną niezależność, będzie powiem powoływany tak jak poprzednio GIODO – przez Sejm za zgodą Senatu</w:t>
      </w:r>
      <w:r w:rsidR="0089427A" w:rsidRPr="00EC250C">
        <w:t>. Pierwotnie projekt zakładał, że będzie się to odbywać na wniosek premiera, co oznaczałoby, że instytucja powołana do ochrony danych osobowych byłaby zależna od władzy wykonawczej.</w:t>
      </w:r>
    </w:p>
    <w:p w14:paraId="060D079C" w14:textId="77777777" w:rsidR="0074088A" w:rsidRPr="00EC250C" w:rsidRDefault="0074088A" w:rsidP="00D131FA">
      <w:pPr>
        <w:pStyle w:val="ODESANIE"/>
        <w:jc w:val="both"/>
      </w:pPr>
      <w:r w:rsidRPr="00EC250C">
        <w:t>RODO</w:t>
      </w:r>
      <w:r w:rsidR="00992FD0" w:rsidRPr="00EC250C">
        <w:t xml:space="preserve"> a </w:t>
      </w:r>
      <w:r w:rsidRPr="00EC250C">
        <w:t>problem monitoringu – art. 47 Konstytucji</w:t>
      </w:r>
    </w:p>
    <w:p w14:paraId="3CE9969B" w14:textId="77777777" w:rsidR="00C91F6E" w:rsidRPr="00EC250C" w:rsidRDefault="00A77E6E" w:rsidP="00EC79EB">
      <w:pPr>
        <w:pStyle w:val="Nagwek4"/>
      </w:pPr>
      <w:bookmarkStart w:id="279" w:name="_Toc11247643"/>
      <w:r w:rsidRPr="00EC250C">
        <w:t>O</w:t>
      </w:r>
      <w:r w:rsidR="000B4E62" w:rsidRPr="00EC250C">
        <w:t>chron</w:t>
      </w:r>
      <w:r w:rsidRPr="00EC250C">
        <w:t>a</w:t>
      </w:r>
      <w:r w:rsidR="000B4E62" w:rsidRPr="00EC250C">
        <w:t xml:space="preserve"> danych osobowych przetwarzanych</w:t>
      </w:r>
      <w:r w:rsidR="00992FD0" w:rsidRPr="00EC250C">
        <w:t xml:space="preserve"> w </w:t>
      </w:r>
      <w:r w:rsidR="000B4E62" w:rsidRPr="00EC250C">
        <w:t>związku</w:t>
      </w:r>
      <w:r w:rsidR="00992FD0" w:rsidRPr="00EC250C">
        <w:t xml:space="preserve"> z </w:t>
      </w:r>
      <w:r w:rsidR="000B4E62" w:rsidRPr="00EC250C">
        <w:t>zapobieganiem</w:t>
      </w:r>
      <w:r w:rsidR="00992FD0" w:rsidRPr="00EC250C">
        <w:t xml:space="preserve"> i </w:t>
      </w:r>
      <w:r w:rsidR="000B4E62" w:rsidRPr="00EC250C">
        <w:t>zwalczaniem przestępczości</w:t>
      </w:r>
      <w:bookmarkEnd w:id="278"/>
      <w:bookmarkEnd w:id="279"/>
    </w:p>
    <w:p w14:paraId="68439538" w14:textId="77777777" w:rsidR="00B473F5" w:rsidRPr="00EC250C" w:rsidRDefault="00A77E6E" w:rsidP="00D131FA">
      <w:pPr>
        <w:pStyle w:val="Problemczowieka"/>
        <w:jc w:val="both"/>
      </w:pPr>
      <w:r w:rsidRPr="00EC250C">
        <w:t>Nowe standardy europejskie wymagają zmiany zachowania nie tylko przedsiębiorców przetwarzających dane klientów, ale instytucji państwa,</w:t>
      </w:r>
      <w:r w:rsidR="00992FD0" w:rsidRPr="00EC250C">
        <w:t xml:space="preserve"> w </w:t>
      </w:r>
      <w:r w:rsidRPr="00EC250C">
        <w:t>tym organów ścigania zbierających dane do walki</w:t>
      </w:r>
      <w:r w:rsidR="00992FD0" w:rsidRPr="00EC250C">
        <w:t xml:space="preserve"> z </w:t>
      </w:r>
      <w:r w:rsidRPr="00EC250C">
        <w:t>przestępczością</w:t>
      </w:r>
      <w:r w:rsidR="00B473F5" w:rsidRPr="00EC250C">
        <w:t>.</w:t>
      </w:r>
    </w:p>
    <w:p w14:paraId="03C0682E" w14:textId="77777777" w:rsidR="00C3570B" w:rsidRPr="00EC250C" w:rsidRDefault="00C3570B" w:rsidP="00D131FA">
      <w:pPr>
        <w:pStyle w:val="Styl1"/>
      </w:pPr>
      <w:bookmarkStart w:id="280" w:name="_Hlk8651274"/>
      <w:bookmarkStart w:id="281" w:name="_Toc6257754"/>
      <w:bookmarkStart w:id="282" w:name="_Toc6257753"/>
      <w:r w:rsidRPr="00EC250C">
        <w:lastRenderedPageBreak/>
        <w:t>Tu standardy wyznaczyła tzw. dyrektywa „policyjna”</w:t>
      </w:r>
      <w:r w:rsidRPr="00EC250C">
        <w:rPr>
          <w:rStyle w:val="Odwoanieprzypisudolnego"/>
        </w:rPr>
        <w:footnoteReference w:id="284"/>
      </w:r>
      <w:r w:rsidRPr="00EC250C">
        <w:t>. Jej wdrożenie wymagało przyjęcia zupełnie nowych przepisów,</w:t>
      </w:r>
      <w:r w:rsidR="00992FD0" w:rsidRPr="00EC250C">
        <w:t xml:space="preserve"> a </w:t>
      </w:r>
      <w:r w:rsidRPr="00EC250C">
        <w:t>ustawa była procedowana</w:t>
      </w:r>
      <w:r w:rsidR="00992FD0" w:rsidRPr="00EC250C">
        <w:t xml:space="preserve"> w </w:t>
      </w:r>
      <w:r w:rsidRPr="00EC250C">
        <w:t>2018</w:t>
      </w:r>
      <w:r w:rsidR="00C91F6E" w:rsidRPr="00EC250C">
        <w:t> r.</w:t>
      </w:r>
      <w:r w:rsidRPr="00EC250C">
        <w:t xml:space="preserve"> </w:t>
      </w:r>
      <w:r w:rsidR="00D20D4F" w:rsidRPr="00EC250C">
        <w:t xml:space="preserve">RPO </w:t>
      </w:r>
      <w:r w:rsidRPr="00EC250C">
        <w:t>przedstawiał uwagi do projektu, alarmował, że zmiany idą zbyt wolno. Ustawa została uchwalona dopiero 14 grudnia 2018</w:t>
      </w:r>
      <w:r w:rsidR="00C91F6E" w:rsidRPr="00EC250C">
        <w:t> r.</w:t>
      </w:r>
      <w:r w:rsidRPr="00EC250C">
        <w:t>, choć powinno było się to stać do 6 maja</w:t>
      </w:r>
      <w:r w:rsidR="00171336" w:rsidRPr="00EC250C">
        <w:rPr>
          <w:rStyle w:val="Odwoanieprzypisudolnego"/>
        </w:rPr>
        <w:footnoteReference w:id="285"/>
      </w:r>
      <w:r w:rsidRPr="00EC250C">
        <w:t>.</w:t>
      </w:r>
    </w:p>
    <w:p w14:paraId="0769503B" w14:textId="77777777" w:rsidR="00C3570B" w:rsidRPr="00EC250C" w:rsidRDefault="00C3570B" w:rsidP="00D131FA">
      <w:pPr>
        <w:pStyle w:val="Styl1"/>
      </w:pPr>
      <w:r w:rsidRPr="00EC250C">
        <w:t>Dyrektywa policyjna</w:t>
      </w:r>
      <w:r w:rsidR="00992FD0" w:rsidRPr="00EC250C">
        <w:t xml:space="preserve"> z </w:t>
      </w:r>
      <w:r w:rsidRPr="00EC250C">
        <w:t>jednej strony miała ułatwiać wymianę danych między państwami członkowskimi,</w:t>
      </w:r>
      <w:r w:rsidR="00992FD0" w:rsidRPr="00EC250C">
        <w:t xml:space="preserve"> a z </w:t>
      </w:r>
      <w:r w:rsidRPr="00EC250C">
        <w:t>drugiej wzmacniać prawa osób, których te dane dotyczą. Przyznaje też jednostce uprawnienie złożenia skargi oraz uzyskania informacji, czy jej dane są przetwarzane. Dyrektywa przewiduje też przyjęcie sankcji za naruszenie przepisów przyjętych na jej podstawie. Sankcje te muszą być skuteczne, proporcjonalne</w:t>
      </w:r>
      <w:r w:rsidR="00992FD0" w:rsidRPr="00EC250C">
        <w:t xml:space="preserve"> i </w:t>
      </w:r>
      <w:r w:rsidRPr="00EC250C">
        <w:t>odstraszające.</w:t>
      </w:r>
      <w:r w:rsidR="00E63B56" w:rsidRPr="00EC250C">
        <w:t xml:space="preserve"> </w:t>
      </w:r>
      <w:r w:rsidRPr="00EC250C">
        <w:t>Niestety, uchwalona</w:t>
      </w:r>
      <w:r w:rsidR="00992FD0" w:rsidRPr="00EC250C">
        <w:t xml:space="preserve"> w </w:t>
      </w:r>
      <w:r w:rsidRPr="00EC250C">
        <w:t>grudniu 2018</w:t>
      </w:r>
      <w:r w:rsidR="00C91F6E" w:rsidRPr="00EC250C">
        <w:t> r.</w:t>
      </w:r>
      <w:r w:rsidRPr="00EC250C">
        <w:t xml:space="preserve"> ustawa tych założeń nie realizuje wprowadzając tak wiele wyłączeń</w:t>
      </w:r>
      <w:r w:rsidR="00992FD0" w:rsidRPr="00EC250C">
        <w:t xml:space="preserve"> i </w:t>
      </w:r>
      <w:r w:rsidRPr="00EC250C">
        <w:t>ograniczeń</w:t>
      </w:r>
      <w:r w:rsidR="00645760" w:rsidRPr="00EC250C">
        <w:t xml:space="preserve"> (nie dotyczy ona m.in. służb specjalnych: ABW, AW, Służba Kontrwywiadu Wojskowego, Służba Wywiadu Wojskowego</w:t>
      </w:r>
      <w:r w:rsidR="00992FD0" w:rsidRPr="00EC250C">
        <w:t xml:space="preserve"> i </w:t>
      </w:r>
      <w:r w:rsidR="00645760" w:rsidRPr="00EC250C">
        <w:t>CBA)</w:t>
      </w:r>
      <w:r w:rsidRPr="00EC250C">
        <w:t>, że</w:t>
      </w:r>
      <w:r w:rsidR="00992FD0" w:rsidRPr="00EC250C">
        <w:t xml:space="preserve"> w </w:t>
      </w:r>
      <w:r w:rsidRPr="00EC250C">
        <w:t>istocie cel dyrektywy nie jest</w:t>
      </w:r>
      <w:r w:rsidR="00992FD0" w:rsidRPr="00EC250C">
        <w:t xml:space="preserve"> w </w:t>
      </w:r>
      <w:r w:rsidRPr="00EC250C">
        <w:t>żadnej mierze zrealizowany</w:t>
      </w:r>
      <w:r w:rsidRPr="00EC250C">
        <w:rPr>
          <w:rStyle w:val="Odwoanieprzypisudolnego"/>
        </w:rPr>
        <w:footnoteReference w:id="286"/>
      </w:r>
      <w:r w:rsidRPr="00EC250C">
        <w:t>.</w:t>
      </w:r>
    </w:p>
    <w:p w14:paraId="6E379EA7" w14:textId="77777777" w:rsidR="00C91F6E" w:rsidRPr="00EC250C" w:rsidRDefault="009673FB" w:rsidP="00EC79EB">
      <w:pPr>
        <w:pStyle w:val="Nagwek4"/>
      </w:pPr>
      <w:bookmarkStart w:id="283" w:name="_Toc6257758"/>
      <w:bookmarkStart w:id="284" w:name="_Toc11247644"/>
      <w:bookmarkEnd w:id="280"/>
      <w:bookmarkEnd w:id="281"/>
      <w:r w:rsidRPr="00EC250C">
        <w:t>Dostęp służb do danych zawartych</w:t>
      </w:r>
      <w:r w:rsidR="00992FD0" w:rsidRPr="00EC250C">
        <w:t xml:space="preserve"> w </w:t>
      </w:r>
      <w:r w:rsidRPr="00EC250C">
        <w:t>rejestrze stanu cywilnego</w:t>
      </w:r>
      <w:bookmarkEnd w:id="283"/>
      <w:bookmarkEnd w:id="284"/>
    </w:p>
    <w:p w14:paraId="66CE67D9" w14:textId="77777777" w:rsidR="00B473F5" w:rsidRPr="00EC250C" w:rsidRDefault="009673FB" w:rsidP="00D131FA">
      <w:pPr>
        <w:pStyle w:val="Problemczowieka"/>
        <w:jc w:val="both"/>
      </w:pPr>
      <w:r w:rsidRPr="00EC250C">
        <w:rPr>
          <w:rStyle w:val="Pogrubienie"/>
          <w:b/>
          <w:bCs w:val="0"/>
        </w:rPr>
        <w:t>Akta stanu cywilnego są</w:t>
      </w:r>
      <w:r w:rsidR="00992FD0" w:rsidRPr="00EC250C">
        <w:rPr>
          <w:rStyle w:val="Pogrubienie"/>
          <w:b/>
          <w:bCs w:val="0"/>
        </w:rPr>
        <w:t xml:space="preserve"> w </w:t>
      </w:r>
      <w:r w:rsidRPr="00EC250C">
        <w:rPr>
          <w:rStyle w:val="Pogrubienie"/>
          <w:b/>
          <w:bCs w:val="0"/>
        </w:rPr>
        <w:t>coraz większym stopniu dostępne cyfrowo,</w:t>
      </w:r>
      <w:r w:rsidR="00992FD0" w:rsidRPr="00EC250C">
        <w:rPr>
          <w:rStyle w:val="Pogrubienie"/>
          <w:b/>
          <w:bCs w:val="0"/>
        </w:rPr>
        <w:t xml:space="preserve"> a </w:t>
      </w:r>
      <w:r w:rsidRPr="00EC250C">
        <w:rPr>
          <w:rStyle w:val="Pogrubienie"/>
          <w:b/>
          <w:bCs w:val="0"/>
        </w:rPr>
        <w:t>przepisy obowiązujące od 25 kwietnia 2018</w:t>
      </w:r>
      <w:r w:rsidR="00C91F6E" w:rsidRPr="00EC250C">
        <w:rPr>
          <w:rStyle w:val="Pogrubienie"/>
          <w:b/>
          <w:bCs w:val="0"/>
        </w:rPr>
        <w:t> r.</w:t>
      </w:r>
      <w:r w:rsidRPr="00EC250C">
        <w:rPr>
          <w:rStyle w:val="Pogrubienie"/>
          <w:b/>
          <w:bCs w:val="0"/>
        </w:rPr>
        <w:t xml:space="preserve"> dały służbom możliwość sprawdzania dan</w:t>
      </w:r>
      <w:r w:rsidR="00830F5C" w:rsidRPr="00EC250C">
        <w:rPr>
          <w:rStyle w:val="Pogrubienie"/>
          <w:b/>
          <w:bCs w:val="0"/>
        </w:rPr>
        <w:t>ych</w:t>
      </w:r>
      <w:r w:rsidRPr="00EC250C">
        <w:rPr>
          <w:rStyle w:val="Pogrubienie"/>
          <w:b/>
          <w:bCs w:val="0"/>
        </w:rPr>
        <w:t xml:space="preserve"> obywateli bez związku</w:t>
      </w:r>
      <w:r w:rsidR="00992FD0" w:rsidRPr="00EC250C">
        <w:rPr>
          <w:rStyle w:val="Pogrubienie"/>
          <w:b/>
          <w:bCs w:val="0"/>
        </w:rPr>
        <w:t xml:space="preserve"> z </w:t>
      </w:r>
      <w:r w:rsidRPr="00EC250C">
        <w:rPr>
          <w:rStyle w:val="Pogrubienie"/>
          <w:b/>
          <w:bCs w:val="0"/>
        </w:rPr>
        <w:t>konkretnym postępowaniem.</w:t>
      </w:r>
      <w:r w:rsidRPr="00EC250C">
        <w:t xml:space="preserve"> RPO bezskutecznie apelował do prezydenta, by nie podpisywał tej ustawy</w:t>
      </w:r>
      <w:r w:rsidRPr="00EC250C">
        <w:rPr>
          <w:rStyle w:val="Odwoanieprzypisudolnego"/>
          <w:bCs/>
          <w:iCs/>
        </w:rPr>
        <w:footnoteReference w:id="287"/>
      </w:r>
      <w:r w:rsidR="00B473F5" w:rsidRPr="00EC250C">
        <w:t>.</w:t>
      </w:r>
    </w:p>
    <w:p w14:paraId="1772E15A" w14:textId="77777777" w:rsidR="009673FB" w:rsidRPr="00EC250C" w:rsidRDefault="009673FB" w:rsidP="00D131FA">
      <w:pPr>
        <w:pStyle w:val="Styl1"/>
      </w:pPr>
      <w:r w:rsidRPr="00EC250C">
        <w:t>Chodzi</w:t>
      </w:r>
      <w:r w:rsidR="00992FD0" w:rsidRPr="00EC250C">
        <w:t xml:space="preserve"> o </w:t>
      </w:r>
      <w:r w:rsidRPr="00EC250C">
        <w:t>uchwaloną</w:t>
      </w:r>
      <w:r w:rsidR="00CC4D88" w:rsidRPr="00EC250C">
        <w:t xml:space="preserve"> </w:t>
      </w:r>
      <w:r w:rsidRPr="00EC250C">
        <w:t>1 marca 2018</w:t>
      </w:r>
      <w:r w:rsidR="00C91F6E" w:rsidRPr="00EC250C">
        <w:t> r.</w:t>
      </w:r>
      <w:r w:rsidR="00CC4D88" w:rsidRPr="00EC250C">
        <w:t xml:space="preserve"> </w:t>
      </w:r>
      <w:r w:rsidRPr="00EC250C">
        <w:t>nowelizację ustaw m.in..</w:t>
      </w:r>
      <w:r w:rsidR="00992FD0" w:rsidRPr="00EC250C">
        <w:t xml:space="preserve"> o </w:t>
      </w:r>
      <w:r w:rsidRPr="00EC250C">
        <w:t>ewidencji ludności,</w:t>
      </w:r>
      <w:r w:rsidR="00992FD0" w:rsidRPr="00EC250C">
        <w:t xml:space="preserve"> o </w:t>
      </w:r>
      <w:r w:rsidRPr="00EC250C">
        <w:t>informatyzacji działalności podmiotów realizujących zadania publiczne</w:t>
      </w:r>
      <w:r w:rsidR="00992FD0" w:rsidRPr="00EC250C">
        <w:t xml:space="preserve"> i </w:t>
      </w:r>
      <w:r w:rsidRPr="00EC250C">
        <w:t>Prawa</w:t>
      </w:r>
      <w:r w:rsidR="00992FD0" w:rsidRPr="00EC250C">
        <w:t xml:space="preserve"> o </w:t>
      </w:r>
      <w:r w:rsidRPr="00EC250C">
        <w:t>aktach stanu cywilnego.</w:t>
      </w:r>
    </w:p>
    <w:p w14:paraId="2D3BF44A" w14:textId="77777777" w:rsidR="009673FB" w:rsidRPr="00EC250C" w:rsidRDefault="009673FB" w:rsidP="00D131FA">
      <w:pPr>
        <w:pStyle w:val="Styl1"/>
      </w:pPr>
      <w:r w:rsidRPr="00EC250C">
        <w:t>Do 2015</w:t>
      </w:r>
      <w:r w:rsidR="00C91F6E" w:rsidRPr="00EC250C">
        <w:t> r.</w:t>
      </w:r>
      <w:r w:rsidRPr="00EC250C">
        <w:t xml:space="preserve"> rejestrację stanu cywilnego prowadzono</w:t>
      </w:r>
      <w:r w:rsidR="00992FD0" w:rsidRPr="00EC250C">
        <w:t xml:space="preserve"> w </w:t>
      </w:r>
      <w:r w:rsidRPr="00EC250C">
        <w:t>formie papierowych ksiąg stanu cywilnego</w:t>
      </w:r>
      <w:r w:rsidR="00992FD0" w:rsidRPr="00EC250C">
        <w:t xml:space="preserve"> i </w:t>
      </w:r>
      <w:r w:rsidRPr="00EC250C">
        <w:t>wspomagano ją lokalnymi gminnymi systemami teleinformatycznymi. 1</w:t>
      </w:r>
      <w:r w:rsidRPr="00EC250C">
        <w:rPr>
          <w:rFonts w:hint="eastAsia"/>
        </w:rPr>
        <w:t> </w:t>
      </w:r>
      <w:r w:rsidRPr="00EC250C">
        <w:t>marca 2015</w:t>
      </w:r>
      <w:r w:rsidR="00C91F6E" w:rsidRPr="00EC250C">
        <w:t> </w:t>
      </w:r>
      <w:r w:rsidR="00C91F6E" w:rsidRPr="00EC250C">
        <w:rPr>
          <w:rFonts w:hint="eastAsia"/>
        </w:rPr>
        <w:t>r.</w:t>
      </w:r>
      <w:r w:rsidRPr="00EC250C">
        <w:t xml:space="preserve"> powstał centralny rejestr stanu cywilnego. W chwili uruchomienia systemu baza danych aktów stanu cywilnego była pusta, ale od tego czasu jest zapełniana nowymi aktami,</w:t>
      </w:r>
      <w:r w:rsidR="00992FD0" w:rsidRPr="00EC250C">
        <w:t xml:space="preserve"> a </w:t>
      </w:r>
      <w:r w:rsidRPr="00EC250C">
        <w:t>także aktami przenoszonymi na podstawie zapisów</w:t>
      </w:r>
      <w:r w:rsidR="00992FD0" w:rsidRPr="00EC250C">
        <w:t xml:space="preserve"> w </w:t>
      </w:r>
      <w:r w:rsidRPr="00EC250C">
        <w:t>księgach stanu cywilnego ręcznie oraz poprzez moduł migracji jednostkowej</w:t>
      </w:r>
      <w:r w:rsidR="00992FD0" w:rsidRPr="00EC250C">
        <w:t xml:space="preserve"> z </w:t>
      </w:r>
      <w:r w:rsidRPr="00EC250C">
        <w:t>aplikacji wspierających.</w:t>
      </w:r>
    </w:p>
    <w:p w14:paraId="7017965E" w14:textId="77777777" w:rsidR="009673FB" w:rsidRPr="00EC250C" w:rsidRDefault="009673FB" w:rsidP="00D131FA">
      <w:pPr>
        <w:pStyle w:val="Styl1"/>
      </w:pPr>
      <w:r w:rsidRPr="00EC250C">
        <w:lastRenderedPageBreak/>
        <w:t>Rejestr stanu cywilnego zawiera najbardziej wrażliwe dane osobowe (np.</w:t>
      </w:r>
      <w:r w:rsidR="00992FD0" w:rsidRPr="00EC250C">
        <w:t xml:space="preserve"> o </w:t>
      </w:r>
      <w:r w:rsidRPr="00EC250C">
        <w:t>zmianie płci, adopcji, złożeniu oświadczenia przez mężczyznę</w:t>
      </w:r>
      <w:r w:rsidR="00992FD0" w:rsidRPr="00EC250C">
        <w:t xml:space="preserve"> o </w:t>
      </w:r>
      <w:r w:rsidRPr="00EC250C">
        <w:t>uznaniu ojcostwa dziecka mającego się urodzić dzięki procedurze in vitro,</w:t>
      </w:r>
      <w:r w:rsidR="00992FD0" w:rsidRPr="00EC250C">
        <w:t xml:space="preserve"> o </w:t>
      </w:r>
      <w:r w:rsidRPr="00EC250C">
        <w:t>rozwodzie).</w:t>
      </w:r>
    </w:p>
    <w:p w14:paraId="53F08C08" w14:textId="77777777" w:rsidR="009673FB" w:rsidRPr="00EC250C" w:rsidRDefault="009673FB" w:rsidP="00D131FA">
      <w:pPr>
        <w:pStyle w:val="Styl1"/>
      </w:pPr>
      <w:r w:rsidRPr="00EC250C">
        <w:t>Odpisy tych danych są dziś wydawane m.in. sądowi, prokuratorowi,</w:t>
      </w:r>
      <w:r w:rsidR="00992FD0" w:rsidRPr="00EC250C">
        <w:t xml:space="preserve"> a </w:t>
      </w:r>
      <w:r w:rsidRPr="00EC250C">
        <w:t>także organom administracji publicznej</w:t>
      </w:r>
      <w:r w:rsidR="00026572" w:rsidRPr="00EC250C">
        <w:t xml:space="preserve"> – </w:t>
      </w:r>
      <w:r w:rsidRPr="00EC250C">
        <w:t>jeżeli jest to konieczne do realizacji ich ustawowych zadań.</w:t>
      </w:r>
    </w:p>
    <w:p w14:paraId="4E3900B9" w14:textId="77777777" w:rsidR="009673FB" w:rsidRPr="00EC250C" w:rsidRDefault="009673FB" w:rsidP="00D131FA">
      <w:pPr>
        <w:pStyle w:val="Styl1"/>
      </w:pPr>
      <w:r w:rsidRPr="00EC250C">
        <w:t>Nowela stanowi, że dane</w:t>
      </w:r>
      <w:r w:rsidR="00992FD0" w:rsidRPr="00EC250C">
        <w:t xml:space="preserve"> z </w:t>
      </w:r>
      <w:r w:rsidRPr="00EC250C">
        <w:t>rejestru będą też udostępniane on-line: Agencji Bezpieczeństwa Wewnętrznego,</w:t>
      </w:r>
      <w:r w:rsidR="00CC4D88" w:rsidRPr="00EC250C">
        <w:t xml:space="preserve"> </w:t>
      </w:r>
      <w:r w:rsidRPr="00EC250C">
        <w:t>Agencji Wywiadu,</w:t>
      </w:r>
      <w:r w:rsidR="00CC4D88" w:rsidRPr="00EC250C">
        <w:t xml:space="preserve"> </w:t>
      </w:r>
      <w:r w:rsidRPr="00EC250C">
        <w:t>Centralnemu Biuru Antykorupcyjnemu, Służbie Kontrwywiadu Wojskowego</w:t>
      </w:r>
      <w:r w:rsidR="00992FD0" w:rsidRPr="00EC250C">
        <w:t xml:space="preserve"> i </w:t>
      </w:r>
      <w:r w:rsidRPr="00EC250C">
        <w:t>Służbie Wywiadu Wojskowego</w:t>
      </w:r>
      <w:r w:rsidR="00026572" w:rsidRPr="00EC250C">
        <w:t xml:space="preserve"> – </w:t>
      </w:r>
      <w:r w:rsidR="00992FD0" w:rsidRPr="00EC250C">
        <w:t>w </w:t>
      </w:r>
      <w:r w:rsidRPr="00EC250C">
        <w:t>zakresie niezbędnym do realizacji ich ustawowych zadań.</w:t>
      </w:r>
    </w:p>
    <w:p w14:paraId="7BDD8FAC" w14:textId="77777777" w:rsidR="000A5864" w:rsidRPr="00EC250C" w:rsidRDefault="00211E16" w:rsidP="00EC79EB">
      <w:pPr>
        <w:pStyle w:val="Nagwek4"/>
      </w:pPr>
      <w:bookmarkStart w:id="285" w:name="_Toc11247645"/>
      <w:bookmarkStart w:id="286" w:name="_Toc6257761"/>
      <w:r w:rsidRPr="00EC250C">
        <w:t>Zasady usuwania d</w:t>
      </w:r>
      <w:r w:rsidR="000A5864" w:rsidRPr="00EC250C">
        <w:t>an</w:t>
      </w:r>
      <w:r w:rsidRPr="00EC250C">
        <w:t>ych osób, które wystąpiły z kościoła, w</w:t>
      </w:r>
      <w:r w:rsidRPr="00EC250C">
        <w:rPr>
          <w:rFonts w:hint="eastAsia"/>
        </w:rPr>
        <w:t> </w:t>
      </w:r>
      <w:r w:rsidR="000A5864" w:rsidRPr="00EC250C">
        <w:t>księgach kościelnych</w:t>
      </w:r>
      <w:bookmarkEnd w:id="285"/>
    </w:p>
    <w:p w14:paraId="7DDDAAD9" w14:textId="77777777" w:rsidR="00B473F5" w:rsidRPr="00EC250C" w:rsidRDefault="000A5864" w:rsidP="00D131FA">
      <w:pPr>
        <w:pStyle w:val="Problemczowieka"/>
        <w:jc w:val="both"/>
      </w:pPr>
      <w:r w:rsidRPr="00EC250C">
        <w:rPr>
          <w:bdr w:val="none" w:sz="0" w:space="0" w:color="auto" w:frame="1"/>
        </w:rPr>
        <w:t xml:space="preserve">Na jakiej podstawie można wnosić o usunięcie swoich danych z ksiąg kościelnych? </w:t>
      </w:r>
      <w:r w:rsidR="00B473F5" w:rsidRPr="00EC250C">
        <w:rPr>
          <w:rFonts w:ascii="Open Sans Regular" w:hAnsi="Open Sans Regular"/>
        </w:rPr>
        <w:t>.</w:t>
      </w:r>
    </w:p>
    <w:p w14:paraId="3BF0404B" w14:textId="77777777" w:rsidR="000A5864" w:rsidRPr="00EC250C" w:rsidRDefault="000A5864" w:rsidP="00D131FA">
      <w:pPr>
        <w:pStyle w:val="Styl1"/>
        <w:rPr>
          <w:b/>
          <w:bdr w:val="none" w:sz="0" w:space="0" w:color="auto" w:frame="1"/>
        </w:rPr>
      </w:pPr>
      <w:bookmarkStart w:id="287" w:name="_Hlk9596873"/>
      <w:r w:rsidRPr="00EC250C">
        <w:rPr>
          <w:bdr w:val="none" w:sz="0" w:space="0" w:color="auto" w:frame="1"/>
        </w:rPr>
        <w:t>Do Rzecznika Praw Obywatelskich, jak i do Biura GIODO (obecnie – Urzędu Ochrony Danych Osobowych) od lat wpływały skargi dotyczące procedury usunięcia danych osobowych z</w:t>
      </w:r>
      <w:r w:rsidR="00F842CC" w:rsidRPr="00EC250C">
        <w:rPr>
          <w:bdr w:val="none" w:sz="0" w:space="0" w:color="auto" w:frame="1"/>
        </w:rPr>
        <w:t> </w:t>
      </w:r>
      <w:r w:rsidRPr="00EC250C">
        <w:rPr>
          <w:bdr w:val="none" w:sz="0" w:space="0" w:color="auto" w:frame="1"/>
        </w:rPr>
        <w:t>ksiąg kościelnych. Przepisy o ochronie danych osobowych nie pozwalały instytucjom państwowym interweniować w sprawach osób, które nada</w:t>
      </w:r>
      <w:r w:rsidR="00830F5C" w:rsidRPr="00EC250C">
        <w:rPr>
          <w:bdr w:val="none" w:sz="0" w:space="0" w:color="auto" w:frame="1"/>
        </w:rPr>
        <w:t>l</w:t>
      </w:r>
      <w:r w:rsidRPr="00EC250C">
        <w:rPr>
          <w:bdr w:val="none" w:sz="0" w:space="0" w:color="auto" w:frame="1"/>
        </w:rPr>
        <w:t xml:space="preserve"> są członkami kościołów. Problem prawny dotyczył tego, na jakiej podstawie można ustalić, że dana osoba nie jest już członkiem kościoła. Orzecznictwo sądów administracyjnych w tej sprawie nie było jednoznaczne, dlatego RPO zwrócił się do Naczelnego Sądu Administracyjnego o wydanie uchwały, dzięki której doszłoby do jednoznacznego przesądzenia tej kwestii, w odniesieniu do Kościoła katolickiego (tego bowiem kościoła dotyczyła większość skarg).</w:t>
      </w:r>
    </w:p>
    <w:p w14:paraId="0ADF41A9" w14:textId="77777777" w:rsidR="000A5864" w:rsidRPr="00EC250C" w:rsidRDefault="000A5864" w:rsidP="00D131FA">
      <w:pPr>
        <w:pStyle w:val="Styl1"/>
      </w:pPr>
      <w:r w:rsidRPr="00EC250C">
        <w:rPr>
          <w:bdr w:val="none" w:sz="0" w:space="0" w:color="auto" w:frame="1"/>
        </w:rPr>
        <w:t>NSA odmówił wydania tej uchwały</w:t>
      </w:r>
      <w:r w:rsidRPr="00EC250C">
        <w:rPr>
          <w:rStyle w:val="Odwoanieprzypisudolnego"/>
          <w:rFonts w:eastAsiaTheme="majorEastAsia"/>
        </w:rPr>
        <w:footnoteReference w:id="288"/>
      </w:r>
      <w:r w:rsidRPr="00EC250C">
        <w:rPr>
          <w:bdr w:val="none" w:sz="0" w:space="0" w:color="auto" w:frame="1"/>
        </w:rPr>
        <w:t xml:space="preserve">. Uznał bowiem, że linia orzecznicza już jest jednolita – w przypadku Kościoła katolickiego </w:t>
      </w:r>
      <w:r w:rsidRPr="00EC250C">
        <w:rPr>
          <w:bCs/>
          <w:bdr w:val="none" w:sz="0" w:space="0" w:color="auto" w:frame="1"/>
        </w:rPr>
        <w:t>jedynym dokumentem potwierdzającym wystąpienie z</w:t>
      </w:r>
      <w:r w:rsidR="00F842CC" w:rsidRPr="00EC250C">
        <w:rPr>
          <w:bCs/>
          <w:bdr w:val="none" w:sz="0" w:space="0" w:color="auto" w:frame="1"/>
        </w:rPr>
        <w:t> </w:t>
      </w:r>
      <w:r w:rsidRPr="00EC250C">
        <w:rPr>
          <w:bCs/>
          <w:bdr w:val="none" w:sz="0" w:space="0" w:color="auto" w:frame="1"/>
        </w:rPr>
        <w:t xml:space="preserve">Kościoła może być odpis aktu chrztu z adnotacją o wystąpieniu. Bez tego dokumentu organ ochrony danych osobowych nie może rozpocząć działania. W przypadku innych kościołów wiążący jest wyrok </w:t>
      </w:r>
      <w:r w:rsidRPr="00EC250C">
        <w:t xml:space="preserve">I OSK 1968/13: konieczne jest dopełnienie wszystkich wewnętrznych procedur kościelnych, których organy państwowe oceniać ani badać nie mogą. </w:t>
      </w:r>
    </w:p>
    <w:p w14:paraId="31E69DA7" w14:textId="77777777" w:rsidR="000A5864" w:rsidRPr="00EC250C" w:rsidRDefault="000A5864" w:rsidP="00D131FA">
      <w:pPr>
        <w:pStyle w:val="Styl1"/>
        <w:rPr>
          <w:b/>
        </w:rPr>
      </w:pPr>
      <w:r w:rsidRPr="00EC250C">
        <w:t xml:space="preserve">W ocenie Rzecznika Praw Obywatelskich postanowienie NSA, chociaż może nie satysfakcjonować skarżących, ma jednak duże znaczenie dla usunięcia stanu niepewności prawnej. </w:t>
      </w:r>
    </w:p>
    <w:p w14:paraId="773ADE6A" w14:textId="77777777" w:rsidR="000A5864" w:rsidRPr="00EC250C" w:rsidRDefault="000A5864" w:rsidP="00D131FA">
      <w:pPr>
        <w:pStyle w:val="Styl1"/>
      </w:pPr>
      <w:r w:rsidRPr="00EC250C">
        <w:t xml:space="preserve">Należy również podkreślić, że RODO (art. 91 ust. 1) potwierdziło prawo kościołów i związków wyznaniowych do stosowania swoich  zasad przetwarzania danych osobowych pod </w:t>
      </w:r>
      <w:r w:rsidRPr="00EC250C">
        <w:lastRenderedPageBreak/>
        <w:t xml:space="preserve">warunkiem, że są one zgodne z samym RODO. Według tego przepisu kościoły i związki wyznaniowe mogą powołać instytucję ds. ochrony danych osobowych wiernych. </w:t>
      </w:r>
    </w:p>
    <w:p w14:paraId="2873850A" w14:textId="77777777" w:rsidR="000A5864" w:rsidRPr="00EC250C" w:rsidRDefault="000A5864" w:rsidP="00D131FA">
      <w:pPr>
        <w:pStyle w:val="Styl1"/>
        <w:rPr>
          <w:b/>
          <w:color w:val="044892"/>
        </w:rPr>
      </w:pPr>
      <w:r w:rsidRPr="00EC250C">
        <w:t>W kwietniu 2018 r. Episkopat Polski powoła</w:t>
      </w:r>
      <w:r w:rsidR="00F842CC" w:rsidRPr="00EC250C">
        <w:t>ł</w:t>
      </w:r>
      <w:r w:rsidRPr="00EC250C">
        <w:t xml:space="preserve"> Kościelnego Inspektora Ochrony Danych, do którego można kierować skargi związane z przetwarzaniem danych osobowych.</w:t>
      </w:r>
      <w:bookmarkEnd w:id="287"/>
    </w:p>
    <w:p w14:paraId="72C3A646" w14:textId="77777777" w:rsidR="00C91F6E" w:rsidRPr="00EC250C" w:rsidRDefault="009673FB" w:rsidP="00EC79EB">
      <w:pPr>
        <w:pStyle w:val="Nagwek4"/>
      </w:pPr>
      <w:bookmarkStart w:id="288" w:name="_Toc11247646"/>
      <w:r w:rsidRPr="00EC250C">
        <w:t>Ujawnianie wrażliwych danych</w:t>
      </w:r>
      <w:r w:rsidR="00992FD0" w:rsidRPr="00EC250C">
        <w:t xml:space="preserve"> w </w:t>
      </w:r>
      <w:r w:rsidRPr="00EC250C">
        <w:t>publikowanych wyrokach Trybunału Konstytucyjnego</w:t>
      </w:r>
      <w:bookmarkEnd w:id="286"/>
      <w:bookmarkEnd w:id="288"/>
    </w:p>
    <w:p w14:paraId="56CEBCDF" w14:textId="77777777" w:rsidR="00B473F5" w:rsidRPr="00EC250C" w:rsidRDefault="009673FB" w:rsidP="00D131FA">
      <w:pPr>
        <w:pStyle w:val="Problemczowieka"/>
        <w:jc w:val="both"/>
        <w:rPr>
          <w:rStyle w:val="Pogrubienie"/>
          <w:b/>
          <w:bCs w:val="0"/>
        </w:rPr>
      </w:pPr>
      <w:r w:rsidRPr="00EC250C">
        <w:rPr>
          <w:rStyle w:val="Pogrubienie"/>
          <w:b/>
          <w:bCs w:val="0"/>
        </w:rPr>
        <w:t>Pełne dane osobowe autora skargi konstytucyjnej</w:t>
      </w:r>
      <w:r w:rsidR="00992FD0" w:rsidRPr="00EC250C">
        <w:rPr>
          <w:rStyle w:val="Pogrubienie"/>
          <w:b/>
          <w:bCs w:val="0"/>
        </w:rPr>
        <w:t xml:space="preserve"> w </w:t>
      </w:r>
      <w:r w:rsidRPr="00EC250C">
        <w:rPr>
          <w:rStyle w:val="Pogrubienie"/>
          <w:b/>
          <w:bCs w:val="0"/>
        </w:rPr>
        <w:t>sprawie umieszczania symbolu niepełnosprawności</w:t>
      </w:r>
      <w:r w:rsidR="00992FD0" w:rsidRPr="00EC250C">
        <w:rPr>
          <w:rStyle w:val="Pogrubienie"/>
          <w:b/>
          <w:bCs w:val="0"/>
        </w:rPr>
        <w:t xml:space="preserve"> w </w:t>
      </w:r>
      <w:r w:rsidRPr="00EC250C">
        <w:rPr>
          <w:rStyle w:val="Pogrubienie"/>
          <w:b/>
          <w:bCs w:val="0"/>
        </w:rPr>
        <w:t xml:space="preserve">orzeczeniu </w:t>
      </w:r>
      <w:r w:rsidR="00211E16" w:rsidRPr="00EC250C">
        <w:rPr>
          <w:rStyle w:val="Pogrubienie"/>
          <w:b/>
          <w:bCs w:val="0"/>
        </w:rPr>
        <w:t xml:space="preserve">zostały </w:t>
      </w:r>
      <w:r w:rsidRPr="00EC250C">
        <w:rPr>
          <w:rStyle w:val="Pogrubienie"/>
          <w:b/>
          <w:bCs w:val="0"/>
        </w:rPr>
        <w:t>opublikowan</w:t>
      </w:r>
      <w:r w:rsidR="00211E16" w:rsidRPr="00EC250C">
        <w:rPr>
          <w:rStyle w:val="Pogrubienie"/>
          <w:b/>
          <w:bCs w:val="0"/>
        </w:rPr>
        <w:t>e</w:t>
      </w:r>
      <w:r w:rsidR="00992FD0" w:rsidRPr="00EC250C">
        <w:rPr>
          <w:rStyle w:val="Pogrubienie"/>
          <w:b/>
          <w:bCs w:val="0"/>
        </w:rPr>
        <w:t xml:space="preserve"> </w:t>
      </w:r>
      <w:r w:rsidR="00211E16" w:rsidRPr="00EC250C">
        <w:rPr>
          <w:rStyle w:val="Pogrubienie"/>
          <w:b/>
          <w:bCs w:val="0"/>
        </w:rPr>
        <w:t>w Dzienniku Ustaw (</w:t>
      </w:r>
      <w:r w:rsidR="00992FD0" w:rsidRPr="00EC250C">
        <w:rPr>
          <w:rStyle w:val="Pogrubienie"/>
          <w:b/>
          <w:bCs w:val="0"/>
        </w:rPr>
        <w:t>w </w:t>
      </w:r>
      <w:r w:rsidRPr="00EC250C">
        <w:rPr>
          <w:rStyle w:val="Pogrubienie"/>
          <w:b/>
          <w:bCs w:val="0"/>
        </w:rPr>
        <w:t>wyroku Trybunału Konstytucyjnego</w:t>
      </w:r>
      <w:r w:rsidR="00211E16" w:rsidRPr="00EC250C">
        <w:rPr>
          <w:rStyle w:val="Pogrubienie"/>
          <w:b/>
          <w:bCs w:val="0"/>
        </w:rPr>
        <w:t>)</w:t>
      </w:r>
      <w:r w:rsidR="00E63B56" w:rsidRPr="00EC250C">
        <w:rPr>
          <w:rStyle w:val="Pogrubienie"/>
          <w:b/>
          <w:bCs w:val="0"/>
        </w:rPr>
        <w:t>.</w:t>
      </w:r>
      <w:r w:rsidRPr="00EC250C">
        <w:rPr>
          <w:rStyle w:val="Pogrubienie"/>
          <w:b/>
          <w:bCs w:val="0"/>
        </w:rPr>
        <w:t xml:space="preserve"> Według RPO, do którego wpłynęła skarga dane powinny być zanonimizowane – tak jak</w:t>
      </w:r>
      <w:r w:rsidR="00992FD0" w:rsidRPr="00EC250C">
        <w:rPr>
          <w:rStyle w:val="Pogrubienie"/>
          <w:b/>
          <w:bCs w:val="0"/>
        </w:rPr>
        <w:t xml:space="preserve"> w </w:t>
      </w:r>
      <w:r w:rsidRPr="00EC250C">
        <w:rPr>
          <w:rStyle w:val="Pogrubienie"/>
          <w:b/>
          <w:bCs w:val="0"/>
        </w:rPr>
        <w:t>całym postępowaniu</w:t>
      </w:r>
      <w:r w:rsidR="00992FD0" w:rsidRPr="00EC250C">
        <w:rPr>
          <w:rStyle w:val="Pogrubienie"/>
          <w:b/>
          <w:bCs w:val="0"/>
        </w:rPr>
        <w:t xml:space="preserve"> </w:t>
      </w:r>
      <w:r w:rsidR="00F842CC" w:rsidRPr="00EC250C">
        <w:rPr>
          <w:rStyle w:val="Pogrubienie"/>
          <w:b/>
          <w:bCs w:val="0"/>
        </w:rPr>
        <w:t xml:space="preserve">przed </w:t>
      </w:r>
      <w:r w:rsidRPr="00EC250C">
        <w:rPr>
          <w:rStyle w:val="Pogrubienie"/>
          <w:b/>
          <w:bCs w:val="0"/>
        </w:rPr>
        <w:t>TK</w:t>
      </w:r>
      <w:r w:rsidR="00B473F5" w:rsidRPr="00EC250C">
        <w:rPr>
          <w:rStyle w:val="Pogrubienie"/>
          <w:b/>
          <w:bCs w:val="0"/>
        </w:rPr>
        <w:t>.</w:t>
      </w:r>
    </w:p>
    <w:p w14:paraId="54309126" w14:textId="77777777" w:rsidR="009673FB" w:rsidRPr="00EC250C" w:rsidRDefault="009673FB" w:rsidP="00D131FA">
      <w:pPr>
        <w:pStyle w:val="ODESANIE"/>
        <w:jc w:val="both"/>
      </w:pPr>
      <w:r w:rsidRPr="00EC250C">
        <w:t>Sama sprawa przed TK</w:t>
      </w:r>
      <w:r w:rsidR="00026572" w:rsidRPr="00EC250C">
        <w:t xml:space="preserve"> – </w:t>
      </w:r>
      <w:r w:rsidRPr="00EC250C">
        <w:t xml:space="preserve">omówiona </w:t>
      </w:r>
      <w:r w:rsidR="001874B8" w:rsidRPr="00EC250C">
        <w:t xml:space="preserve">w kontekście </w:t>
      </w:r>
      <w:r w:rsidRPr="00EC250C">
        <w:t>art. 47 Konstytucji</w:t>
      </w:r>
    </w:p>
    <w:p w14:paraId="663D4C59" w14:textId="77777777" w:rsidR="00C91F6E" w:rsidRPr="00EC250C" w:rsidRDefault="00F842CC" w:rsidP="00D131FA">
      <w:pPr>
        <w:pStyle w:val="Styl1"/>
        <w:rPr>
          <w:rStyle w:val="Pogrubienie"/>
          <w:b w:val="0"/>
          <w:bCs w:val="0"/>
        </w:rPr>
      </w:pPr>
      <w:r w:rsidRPr="00EC250C">
        <w:rPr>
          <w:rStyle w:val="Pogrubienie"/>
          <w:b w:val="0"/>
          <w:bCs w:val="0"/>
        </w:rPr>
        <w:t>Praktyka p</w:t>
      </w:r>
      <w:r w:rsidR="00E63B56" w:rsidRPr="00EC250C">
        <w:rPr>
          <w:rStyle w:val="Pogrubienie"/>
          <w:b w:val="0"/>
          <w:bCs w:val="0"/>
        </w:rPr>
        <w:t>ublikowani</w:t>
      </w:r>
      <w:r w:rsidRPr="00EC250C">
        <w:rPr>
          <w:rStyle w:val="Pogrubienie"/>
          <w:b w:val="0"/>
          <w:bCs w:val="0"/>
        </w:rPr>
        <w:t>a</w:t>
      </w:r>
      <w:r w:rsidR="00E63B56" w:rsidRPr="00EC250C">
        <w:rPr>
          <w:rStyle w:val="Pogrubienie"/>
          <w:b w:val="0"/>
          <w:bCs w:val="0"/>
        </w:rPr>
        <w:t xml:space="preserve"> danych autorów skarg </w:t>
      </w:r>
      <w:r w:rsidRPr="00EC250C">
        <w:rPr>
          <w:rStyle w:val="Pogrubienie"/>
          <w:b w:val="0"/>
          <w:bCs w:val="0"/>
        </w:rPr>
        <w:t>ma wiele lat</w:t>
      </w:r>
      <w:r w:rsidR="00E63B56" w:rsidRPr="00EC250C">
        <w:rPr>
          <w:rStyle w:val="Pogrubienie"/>
          <w:b w:val="0"/>
          <w:bCs w:val="0"/>
        </w:rPr>
        <w:t>, ale po wejściu</w:t>
      </w:r>
      <w:r w:rsidR="00992FD0" w:rsidRPr="00EC250C">
        <w:rPr>
          <w:rStyle w:val="Pogrubienie"/>
          <w:b w:val="0"/>
          <w:bCs w:val="0"/>
        </w:rPr>
        <w:t xml:space="preserve"> w </w:t>
      </w:r>
      <w:r w:rsidR="00E63B56" w:rsidRPr="00EC250C">
        <w:rPr>
          <w:rStyle w:val="Pogrubienie"/>
          <w:b w:val="0"/>
          <w:bCs w:val="0"/>
        </w:rPr>
        <w:t xml:space="preserve">życie RODO konieczna być </w:t>
      </w:r>
      <w:r w:rsidR="00211E16" w:rsidRPr="00EC250C">
        <w:rPr>
          <w:rStyle w:val="Pogrubienie"/>
          <w:b w:val="0"/>
          <w:bCs w:val="0"/>
        </w:rPr>
        <w:t xml:space="preserve">może </w:t>
      </w:r>
      <w:r w:rsidR="00E63B56" w:rsidRPr="00EC250C">
        <w:rPr>
          <w:rStyle w:val="Pogrubienie"/>
          <w:b w:val="0"/>
          <w:bCs w:val="0"/>
        </w:rPr>
        <w:t>nowelizacja ustawy</w:t>
      </w:r>
      <w:r w:rsidR="00992FD0" w:rsidRPr="00EC250C">
        <w:rPr>
          <w:rStyle w:val="Pogrubienie"/>
          <w:b w:val="0"/>
          <w:bCs w:val="0"/>
        </w:rPr>
        <w:t xml:space="preserve"> o </w:t>
      </w:r>
      <w:r w:rsidR="00E63B56" w:rsidRPr="00EC250C">
        <w:rPr>
          <w:rStyle w:val="Pogrubienie"/>
          <w:b w:val="0"/>
          <w:bCs w:val="0"/>
        </w:rPr>
        <w:t xml:space="preserve">TK. </w:t>
      </w:r>
      <w:r w:rsidRPr="00EC250C">
        <w:rPr>
          <w:rStyle w:val="Pogrubienie"/>
          <w:b w:val="0"/>
          <w:bCs w:val="0"/>
        </w:rPr>
        <w:t xml:space="preserve">Swoje działanie zmienił np. </w:t>
      </w:r>
      <w:r w:rsidR="00E63B56" w:rsidRPr="00EC250C">
        <w:rPr>
          <w:rStyle w:val="Pogrubienie"/>
          <w:b w:val="0"/>
          <w:bCs w:val="0"/>
        </w:rPr>
        <w:t>od lipca 2018</w:t>
      </w:r>
      <w:r w:rsidR="00C91F6E" w:rsidRPr="00EC250C">
        <w:rPr>
          <w:rStyle w:val="Pogrubienie"/>
          <w:b w:val="0"/>
          <w:bCs w:val="0"/>
        </w:rPr>
        <w:t> r.</w:t>
      </w:r>
      <w:r w:rsidR="00E63B56" w:rsidRPr="00EC250C">
        <w:rPr>
          <w:rStyle w:val="Pogrubienie"/>
          <w:b w:val="0"/>
          <w:bCs w:val="0"/>
        </w:rPr>
        <w:t xml:space="preserve"> Trybunał Sprawiedliwości UE</w:t>
      </w:r>
      <w:r w:rsidRPr="00EC250C">
        <w:rPr>
          <w:rStyle w:val="Pogrubienie"/>
          <w:b w:val="0"/>
          <w:bCs w:val="0"/>
        </w:rPr>
        <w:t xml:space="preserve">, który </w:t>
      </w:r>
      <w:r w:rsidR="00E63B56" w:rsidRPr="00EC250C">
        <w:rPr>
          <w:rStyle w:val="Pogrubienie"/>
          <w:b w:val="0"/>
          <w:bCs w:val="0"/>
        </w:rPr>
        <w:t xml:space="preserve"> anonimizuje orzeczenia</w:t>
      </w:r>
      <w:r w:rsidR="00992FD0" w:rsidRPr="00EC250C">
        <w:rPr>
          <w:rStyle w:val="Pogrubienie"/>
          <w:b w:val="0"/>
          <w:bCs w:val="0"/>
        </w:rPr>
        <w:t xml:space="preserve"> w </w:t>
      </w:r>
      <w:r w:rsidR="00E63B56" w:rsidRPr="00EC250C">
        <w:rPr>
          <w:rStyle w:val="Pogrubienie"/>
          <w:b w:val="0"/>
          <w:bCs w:val="0"/>
        </w:rPr>
        <w:t>sprawach pytań prejudycjalnych.</w:t>
      </w:r>
    </w:p>
    <w:p w14:paraId="58A6E199" w14:textId="77777777" w:rsidR="00C50EE9" w:rsidRPr="00EC250C" w:rsidRDefault="00D20D4F" w:rsidP="00D131FA">
      <w:pPr>
        <w:pStyle w:val="Styl1"/>
      </w:pPr>
      <w:r w:rsidRPr="00EC250C">
        <w:t>RPO</w:t>
      </w:r>
      <w:r w:rsidR="00E63B56" w:rsidRPr="00EC250C">
        <w:t xml:space="preserve"> zwrócił się</w:t>
      </w:r>
      <w:r w:rsidR="00992FD0" w:rsidRPr="00EC250C">
        <w:t xml:space="preserve"> z </w:t>
      </w:r>
      <w:r w:rsidR="00E63B56" w:rsidRPr="00EC250C">
        <w:t>tym do Prezesa Urzędu Ochrony Danych Osobowych</w:t>
      </w:r>
      <w:r w:rsidR="00992FD0" w:rsidRPr="00EC250C">
        <w:t xml:space="preserve"> i </w:t>
      </w:r>
      <w:r w:rsidR="00E63B56" w:rsidRPr="00EC250C">
        <w:t>dostał odpowiedź, że do zakwestionowania działań TK wystarczały dotychczasowe przepisy</w:t>
      </w:r>
      <w:r w:rsidR="00211E16" w:rsidRPr="00EC250C">
        <w:t xml:space="preserve"> o ochronie danych osobowych</w:t>
      </w:r>
      <w:r w:rsidR="00E63B56" w:rsidRPr="00EC250C">
        <w:t>.</w:t>
      </w:r>
      <w:r w:rsidR="00392799" w:rsidRPr="00EC250C">
        <w:t xml:space="preserve"> </w:t>
      </w:r>
      <w:r w:rsidR="00211E16" w:rsidRPr="00EC250C">
        <w:t>P</w:t>
      </w:r>
      <w:r w:rsidR="00E63B56" w:rsidRPr="00EC250C">
        <w:t>ublikowanie</w:t>
      </w:r>
      <w:r w:rsidR="00992FD0" w:rsidRPr="00EC250C">
        <w:t xml:space="preserve"> w </w:t>
      </w:r>
      <w:r w:rsidR="00E63B56" w:rsidRPr="00EC250C">
        <w:t>publikatorach urzędowych lub na stronie internetowej orzeczeń Trybunału Konstytucyjnego, zainicjowanych skargą konstytucyjną osób fizycznych, powinno być możliwe wyłącznie po anonimizacji.</w:t>
      </w:r>
      <w:r w:rsidR="00C50EE9" w:rsidRPr="00EC250C">
        <w:t xml:space="preserve"> Biuro TK wyjaśniło natomiast, że nie może ro</w:t>
      </w:r>
      <w:r w:rsidR="00211E16" w:rsidRPr="00EC250C">
        <w:t>z</w:t>
      </w:r>
      <w:r w:rsidR="00C50EE9" w:rsidRPr="00EC250C">
        <w:t>wiązać problem</w:t>
      </w:r>
      <w:r w:rsidR="00F842CC" w:rsidRPr="00EC250C">
        <w:t>u</w:t>
      </w:r>
      <w:r w:rsidR="00C50EE9" w:rsidRPr="00EC250C">
        <w:t>, bo „w obecnym stanie prawnym Dziennik Ustaw oraz Monitor Polski,</w:t>
      </w:r>
      <w:r w:rsidR="00992FD0" w:rsidRPr="00EC250C">
        <w:t xml:space="preserve"> w </w:t>
      </w:r>
      <w:r w:rsidR="00C50EE9" w:rsidRPr="00EC250C">
        <w:t>których publikowane są orzeczenia Trybunału, wydaje Prezes Rady Ministrów”</w:t>
      </w:r>
      <w:r w:rsidR="00C50EE9" w:rsidRPr="00EC250C">
        <w:rPr>
          <w:rStyle w:val="Odwoanieprzypisudolnego"/>
          <w:bCs/>
          <w:iCs/>
        </w:rPr>
        <w:footnoteReference w:id="289"/>
      </w:r>
      <w:r w:rsidR="00C50EE9" w:rsidRPr="00EC250C">
        <w:t>.</w:t>
      </w:r>
    </w:p>
    <w:p w14:paraId="1529A0AC" w14:textId="77777777" w:rsidR="000A5864" w:rsidRPr="00EC250C" w:rsidRDefault="000A5864" w:rsidP="00EC79EB">
      <w:pPr>
        <w:pStyle w:val="Nagwek4"/>
      </w:pPr>
      <w:bookmarkStart w:id="289" w:name="_Toc11247647"/>
      <w:bookmarkStart w:id="290" w:name="_Toc6257755"/>
      <w:bookmarkEnd w:id="282"/>
      <w:r w:rsidRPr="00EC250C">
        <w:t>Zagrożenia dla prywatności obywateli zawarte w projekcie ustawy o jawności życia publicznego</w:t>
      </w:r>
      <w:bookmarkEnd w:id="289"/>
    </w:p>
    <w:p w14:paraId="7905A426" w14:textId="77777777" w:rsidR="00B473F5" w:rsidRPr="00EC250C" w:rsidRDefault="000A5864" w:rsidP="00D131FA">
      <w:pPr>
        <w:pStyle w:val="Problemczowieka"/>
        <w:jc w:val="both"/>
      </w:pPr>
      <w:r w:rsidRPr="00EC250C">
        <w:t>W 2018 r. rząd pracował nad projektem ustawy o jawności, która miała przeciwdziałać korupcji poprzez ujawnienie w internecie danych o majątku (a w efekcie też – o trybie życia) tysięcy obywateli. Ostatecznie prace wstrzymano</w:t>
      </w:r>
      <w:r w:rsidR="00B473F5" w:rsidRPr="00EC250C">
        <w:t>.</w:t>
      </w:r>
    </w:p>
    <w:p w14:paraId="68773273" w14:textId="77777777" w:rsidR="000A5864" w:rsidRPr="00EC250C" w:rsidRDefault="000A5864" w:rsidP="00D131FA">
      <w:pPr>
        <w:pStyle w:val="Styl1"/>
      </w:pPr>
      <w:r w:rsidRPr="00EC250C">
        <w:t xml:space="preserve">Projekt składał się z trzech części, </w:t>
      </w:r>
      <w:r w:rsidR="00830F5C" w:rsidRPr="00EC250C">
        <w:t>w tym miejscu</w:t>
      </w:r>
      <w:r w:rsidRPr="00EC250C">
        <w:t xml:space="preserve"> omówione zostaną problemy dotyczące autonomii informacyjnej (projekt dotyczył też informacji publicznej oraz ochrony sygnalistów).</w:t>
      </w:r>
    </w:p>
    <w:p w14:paraId="3FD74E4D" w14:textId="77777777" w:rsidR="000A5864" w:rsidRPr="00EC250C" w:rsidRDefault="000A5864" w:rsidP="00D131FA">
      <w:pPr>
        <w:pStyle w:val="Styl1"/>
        <w:rPr>
          <w:bCs/>
          <w:iCs/>
        </w:rPr>
      </w:pPr>
      <w:r w:rsidRPr="00EC250C">
        <w:rPr>
          <w:bCs/>
          <w:iCs/>
        </w:rPr>
        <w:t>W toku prac w 2017</w:t>
      </w:r>
      <w:r w:rsidRPr="00EC250C">
        <w:rPr>
          <w:rStyle w:val="Odwoanieprzypisudolnego"/>
          <w:bCs/>
          <w:iCs/>
        </w:rPr>
        <w:footnoteReference w:id="290"/>
      </w:r>
      <w:r w:rsidRPr="00EC250C">
        <w:rPr>
          <w:bCs/>
          <w:iCs/>
        </w:rPr>
        <w:t xml:space="preserve"> i 2018 r., gdy publikowane były kolejne wersje projektu, RPO przedstawiał</w:t>
      </w:r>
      <w:r w:rsidRPr="00EC250C">
        <w:rPr>
          <w:rStyle w:val="Odwoanieprzypisudolnego"/>
          <w:bCs/>
          <w:iCs/>
        </w:rPr>
        <w:footnoteReference w:id="291"/>
      </w:r>
      <w:r w:rsidRPr="00EC250C">
        <w:rPr>
          <w:bCs/>
          <w:iCs/>
        </w:rPr>
        <w:t xml:space="preserve"> Prezesowi Rady Ministrów swoje stanowisko do projektów ustawy.</w:t>
      </w:r>
    </w:p>
    <w:p w14:paraId="41E3C8B9" w14:textId="77777777" w:rsidR="000A5864" w:rsidRPr="00EC250C" w:rsidRDefault="000A5864" w:rsidP="00D131FA">
      <w:pPr>
        <w:pStyle w:val="Styl1"/>
      </w:pPr>
      <w:r w:rsidRPr="00EC250C">
        <w:lastRenderedPageBreak/>
        <w:t xml:space="preserve">Projekt zakładał, że kilkaset tysięcy ludzi musiałoby szczegółowo i bardzo precyzyjnie opisać swój majątek. Duża część musiałaby ogłosić te </w:t>
      </w:r>
      <w:r w:rsidR="00830F5C" w:rsidRPr="00EC250C">
        <w:t xml:space="preserve">informacje </w:t>
      </w:r>
      <w:r w:rsidRPr="00EC250C">
        <w:t>w internecie. Oznaczałoby to – w skrócie – wprowadzenie prawie powszechnej lustracji majątkowej. Ustawa zgodnie z analizami rządowymi miała dotknąć 830 tysięcy osób. Projekt w wersji z początku 2018 r. wymieniał 151 kategorii zawodowych, w tym żołnierzy, strażaków, urzędników albo sędziów. Za niezłożenie deklaracji w terminie, zatajenie albo podanie nieprawdziwych informacji grozić miało do pięciu lat więzienia.</w:t>
      </w:r>
    </w:p>
    <w:p w14:paraId="5A98387F" w14:textId="77777777" w:rsidR="000A5864" w:rsidRPr="00EC250C" w:rsidRDefault="000A5864" w:rsidP="00D131FA">
      <w:pPr>
        <w:pStyle w:val="Styl1"/>
      </w:pPr>
      <w:r w:rsidRPr="00EC250C">
        <w:t>Dane miały być co prawda anonimizowane – ale to znaczyło tylko, że nie będzie podawany adres i nr PESEL. W małej miejscowości i tak wszyscy wiedzieliby, o kogo chodzi. Zdaniem RPO oznaczałoby to naruszenie prawa do prywatności, bo tak pozyskane dane mogłyby być przetwarzane także w celach komercyjnych, czy do szacowania zdolności kredytowej. Nie mówiąc już o możliwości wykorzystywania ich w celach przestępczych.</w:t>
      </w:r>
    </w:p>
    <w:p w14:paraId="1CBC516E" w14:textId="77777777" w:rsidR="000A5864" w:rsidRPr="00EC250C" w:rsidRDefault="000A5864" w:rsidP="00D131FA">
      <w:pPr>
        <w:pStyle w:val="Styl1"/>
      </w:pPr>
      <w:r w:rsidRPr="00EC250C">
        <w:t>Po tym, jak RPO zaalarmował opinię publiczną o konsekwencjach projektu dla praw i wolności, a przedsiębiorcy i organizacj</w:t>
      </w:r>
      <w:r w:rsidR="00830F5C" w:rsidRPr="00EC250C">
        <w:t>e</w:t>
      </w:r>
      <w:r w:rsidRPr="00EC250C">
        <w:t xml:space="preserve"> pozarządowe zgłosiły wątpliwości i uwagi, prace nad projektem zostały wstrzymane</w:t>
      </w:r>
      <w:r w:rsidRPr="00EC250C">
        <w:rPr>
          <w:rStyle w:val="Odwoanieprzypisudolnego"/>
        </w:rPr>
        <w:footnoteReference w:id="292"/>
      </w:r>
      <w:r w:rsidRPr="00EC250C">
        <w:t>.</w:t>
      </w:r>
    </w:p>
    <w:p w14:paraId="7F8CB502" w14:textId="77777777" w:rsidR="000A5864" w:rsidRPr="00EC250C" w:rsidRDefault="00744B2D" w:rsidP="00EC250C">
      <w:pPr>
        <w:pStyle w:val="Nagwek8"/>
      </w:pPr>
      <w:hyperlink r:id="rId13" w:tooltip="link prowadzi do strony zewnętrznej" w:history="1">
        <w:r w:rsidR="000A5864" w:rsidRPr="00EC250C">
          <w:rPr>
            <w:rStyle w:val="Hipercze"/>
            <w:color w:val="C00000"/>
            <w:u w:val="none"/>
          </w:rPr>
          <w:t>Strażak, bibliotekarka, kierownik basenu. 150 zawodów ma pokazać swoje majątki</w:t>
        </w:r>
      </w:hyperlink>
    </w:p>
    <w:p w14:paraId="54091BF1" w14:textId="77777777" w:rsidR="000A5864" w:rsidRPr="00EC250C" w:rsidRDefault="00830F5C" w:rsidP="00D131FA">
      <w:pPr>
        <w:pStyle w:val="Styl2"/>
        <w:rPr>
          <w:szCs w:val="24"/>
        </w:rPr>
      </w:pPr>
      <w:r w:rsidRPr="00EC250C">
        <w:rPr>
          <w:szCs w:val="24"/>
        </w:rPr>
        <w:t>RPO Adam Bodnar przedstawił k</w:t>
      </w:r>
      <w:r w:rsidR="000A5864" w:rsidRPr="00EC250C">
        <w:rPr>
          <w:szCs w:val="24"/>
        </w:rPr>
        <w:t>onsekwencje planowanych przepisów dla zwykłych ludzi w artykule dla Magazynu TVN24. Zwrócił w nim uwagę, że przepisy o lustracji majątkowej mogą dotknąć przedstawicieli wielu zawodów , a ich lista zmienia się w kolejnych wersjach projektu w sposób zupełnie niezrozumiały. O tym, że lustracja majątkowa musi mieć też konsekwencje dla rodzin osób wskazywanych w projekcie, a także dla ich znajomych i przyjaciół</w:t>
      </w:r>
      <w:r w:rsidR="000A5864" w:rsidRPr="00EC250C">
        <w:rPr>
          <w:rStyle w:val="Odwoanieprzypisudolnego"/>
          <w:szCs w:val="24"/>
        </w:rPr>
        <w:footnoteReference w:id="293"/>
      </w:r>
      <w:r w:rsidR="000A5864" w:rsidRPr="00EC250C">
        <w:rPr>
          <w:szCs w:val="24"/>
        </w:rPr>
        <w:t>.</w:t>
      </w:r>
    </w:p>
    <w:p w14:paraId="7C81BD18" w14:textId="77777777" w:rsidR="001D0A3A" w:rsidRPr="00EC250C" w:rsidRDefault="001D0A3A" w:rsidP="00EC79EB">
      <w:pPr>
        <w:pStyle w:val="Nagwek4"/>
      </w:pPr>
      <w:bookmarkStart w:id="291" w:name="_Toc11247648"/>
      <w:r w:rsidRPr="00EC250C">
        <w:t>Czy</w:t>
      </w:r>
      <w:r w:rsidR="00992FD0" w:rsidRPr="00EC250C">
        <w:t xml:space="preserve"> w </w:t>
      </w:r>
      <w:r w:rsidRPr="00EC250C">
        <w:t>lokalach wyborczych mogą być kamery transmitujące przebieg głosowania?</w:t>
      </w:r>
      <w:bookmarkEnd w:id="291"/>
    </w:p>
    <w:p w14:paraId="18404C0A" w14:textId="77777777" w:rsidR="00B473F5" w:rsidRPr="00EC250C" w:rsidRDefault="001D0A3A" w:rsidP="00D131FA">
      <w:pPr>
        <w:pStyle w:val="Problemczowieka"/>
        <w:jc w:val="both"/>
      </w:pPr>
      <w:r w:rsidRPr="00EC250C">
        <w:t xml:space="preserve">Takie rozwiązanie zostało wprowadzone </w:t>
      </w:r>
      <w:r w:rsidR="00F842CC" w:rsidRPr="00EC250C">
        <w:t xml:space="preserve">do prawa wyborczego </w:t>
      </w:r>
      <w:r w:rsidR="00830F5C" w:rsidRPr="00EC250C">
        <w:t>w 2018 r.</w:t>
      </w:r>
      <w:r w:rsidR="00F842CC" w:rsidRPr="00EC250C">
        <w:rPr>
          <w:rStyle w:val="Odwoanieprzypisudolnego"/>
          <w:bCs/>
          <w:iCs/>
        </w:rPr>
        <w:t xml:space="preserve"> </w:t>
      </w:r>
      <w:r w:rsidR="00F842CC" w:rsidRPr="00EC250C">
        <w:rPr>
          <w:rStyle w:val="Odwoanieprzypisudolnego"/>
          <w:bCs/>
          <w:iCs/>
        </w:rPr>
        <w:footnoteReference w:id="294"/>
      </w:r>
      <w:r w:rsidRPr="00EC250C">
        <w:t xml:space="preserve"> Wobec wątpliwości, czy rozwiązanie to jest realne, skuteczne</w:t>
      </w:r>
      <w:r w:rsidR="00992FD0" w:rsidRPr="00EC250C">
        <w:t xml:space="preserve"> i </w:t>
      </w:r>
      <w:r w:rsidRPr="00EC250C">
        <w:t>zgodne ze standardami przetwarzania danych, zostało ono wycofane przed wyborami lokalnymi</w:t>
      </w:r>
      <w:r w:rsidR="00992FD0" w:rsidRPr="00EC250C">
        <w:t xml:space="preserve"> w </w:t>
      </w:r>
      <w:r w:rsidRPr="00EC250C">
        <w:t>październiku 2018</w:t>
      </w:r>
      <w:r w:rsidR="00C91F6E" w:rsidRPr="00EC250C">
        <w:t> r</w:t>
      </w:r>
      <w:r w:rsidR="00B473F5" w:rsidRPr="00EC250C">
        <w:t>.</w:t>
      </w:r>
    </w:p>
    <w:p w14:paraId="75B1DB18" w14:textId="77777777" w:rsidR="00C91F6E" w:rsidRPr="00EC250C" w:rsidRDefault="00D20D4F" w:rsidP="00D131FA">
      <w:pPr>
        <w:pStyle w:val="Styl1"/>
        <w:rPr>
          <w:bCs/>
          <w:iCs/>
        </w:rPr>
      </w:pPr>
      <w:r w:rsidRPr="00EC250C">
        <w:rPr>
          <w:bCs/>
          <w:iCs/>
        </w:rPr>
        <w:t xml:space="preserve">RPO </w:t>
      </w:r>
      <w:r w:rsidR="001D0A3A" w:rsidRPr="00EC250C">
        <w:rPr>
          <w:bCs/>
          <w:iCs/>
        </w:rPr>
        <w:t>jeszcze</w:t>
      </w:r>
      <w:r w:rsidR="00992FD0" w:rsidRPr="00EC250C">
        <w:rPr>
          <w:bCs/>
          <w:iCs/>
        </w:rPr>
        <w:t xml:space="preserve"> w </w:t>
      </w:r>
      <w:r w:rsidR="001D0A3A" w:rsidRPr="00EC250C">
        <w:rPr>
          <w:bCs/>
          <w:iCs/>
        </w:rPr>
        <w:t>toku prac legislacyjnych wskazał, że</w:t>
      </w:r>
      <w:r w:rsidR="00992FD0" w:rsidRPr="00EC250C">
        <w:rPr>
          <w:bCs/>
          <w:iCs/>
        </w:rPr>
        <w:t xml:space="preserve"> w </w:t>
      </w:r>
      <w:r w:rsidR="001D0A3A" w:rsidRPr="00EC250C">
        <w:rPr>
          <w:bCs/>
          <w:iCs/>
        </w:rPr>
        <w:t xml:space="preserve">taki sposób każdy będzie się mógł dowiedzieć, czy konkretna osoba głosowała (czasem będzie można też zobaczyć, jak głosowała), co </w:t>
      </w:r>
      <w:r w:rsidR="001D0A3A" w:rsidRPr="00EC250C">
        <w:rPr>
          <w:bCs/>
          <w:iCs/>
        </w:rPr>
        <w:lastRenderedPageBreak/>
        <w:t>jest sprzeczne m.in.</w:t>
      </w:r>
      <w:r w:rsidR="00992FD0" w:rsidRPr="00EC250C">
        <w:rPr>
          <w:bCs/>
          <w:iCs/>
        </w:rPr>
        <w:t xml:space="preserve"> z </w:t>
      </w:r>
      <w:r w:rsidR="001D0A3A" w:rsidRPr="00EC250C">
        <w:rPr>
          <w:bCs/>
          <w:i/>
          <w:iCs/>
        </w:rPr>
        <w:t>Kodeksem dobrych praktyk</w:t>
      </w:r>
      <w:r w:rsidR="00992FD0" w:rsidRPr="00EC250C">
        <w:rPr>
          <w:bCs/>
          <w:i/>
          <w:iCs/>
        </w:rPr>
        <w:t xml:space="preserve"> w </w:t>
      </w:r>
      <w:r w:rsidR="001D0A3A" w:rsidRPr="00EC250C">
        <w:rPr>
          <w:bCs/>
          <w:i/>
          <w:iCs/>
        </w:rPr>
        <w:t xml:space="preserve">sprawach wyborczych </w:t>
      </w:r>
      <w:r w:rsidR="001D0A3A" w:rsidRPr="00EC250C">
        <w:rPr>
          <w:bCs/>
          <w:iCs/>
        </w:rPr>
        <w:t>Komisji Weneckiej. Kwestia transmisji</w:t>
      </w:r>
      <w:r w:rsidR="00992FD0" w:rsidRPr="00EC250C">
        <w:rPr>
          <w:bCs/>
          <w:iCs/>
        </w:rPr>
        <w:t xml:space="preserve"> i </w:t>
      </w:r>
      <w:r w:rsidR="001D0A3A" w:rsidRPr="00EC250C">
        <w:rPr>
          <w:bCs/>
          <w:iCs/>
        </w:rPr>
        <w:t>rejestracji stwarza również zagrożenia</w:t>
      </w:r>
      <w:r w:rsidR="00992FD0" w:rsidRPr="00EC250C">
        <w:rPr>
          <w:bCs/>
          <w:iCs/>
        </w:rPr>
        <w:t xml:space="preserve"> i </w:t>
      </w:r>
      <w:r w:rsidR="001D0A3A" w:rsidRPr="00EC250C">
        <w:rPr>
          <w:bCs/>
          <w:iCs/>
        </w:rPr>
        <w:t>obawy</w:t>
      </w:r>
      <w:r w:rsidR="00992FD0" w:rsidRPr="00EC250C">
        <w:rPr>
          <w:bCs/>
          <w:iCs/>
        </w:rPr>
        <w:t xml:space="preserve"> o </w:t>
      </w:r>
      <w:r w:rsidR="001D0A3A" w:rsidRPr="00EC250C">
        <w:rPr>
          <w:bCs/>
          <w:iCs/>
        </w:rPr>
        <w:t>zapewnienie jednej</w:t>
      </w:r>
      <w:r w:rsidR="00992FD0" w:rsidRPr="00EC250C">
        <w:rPr>
          <w:bCs/>
          <w:iCs/>
        </w:rPr>
        <w:t xml:space="preserve"> z </w:t>
      </w:r>
      <w:r w:rsidR="001D0A3A" w:rsidRPr="00EC250C">
        <w:rPr>
          <w:bCs/>
          <w:iCs/>
        </w:rPr>
        <w:t>podstawowych zasad wyborów, jaką jest zasada tajności głosowania.</w:t>
      </w:r>
    </w:p>
    <w:p w14:paraId="432F2227" w14:textId="77777777" w:rsidR="001D0A3A" w:rsidRPr="00EC250C" w:rsidRDefault="00D20D4F" w:rsidP="00D131FA">
      <w:pPr>
        <w:pStyle w:val="Styl1"/>
        <w:rPr>
          <w:bCs/>
          <w:iCs/>
        </w:rPr>
      </w:pPr>
      <w:r w:rsidRPr="00EC250C">
        <w:rPr>
          <w:bCs/>
          <w:iCs/>
        </w:rPr>
        <w:t>RPO</w:t>
      </w:r>
      <w:r w:rsidR="001D0A3A" w:rsidRPr="00EC250C">
        <w:rPr>
          <w:bCs/>
          <w:iCs/>
        </w:rPr>
        <w:t xml:space="preserve"> zwrócił się</w:t>
      </w:r>
      <w:r w:rsidR="001D0A3A" w:rsidRPr="00EC250C">
        <w:rPr>
          <w:rStyle w:val="Odwoanieprzypisudolnego"/>
          <w:bCs/>
          <w:iCs/>
        </w:rPr>
        <w:footnoteReference w:id="295"/>
      </w:r>
      <w:r w:rsidR="001D0A3A" w:rsidRPr="00EC250C">
        <w:rPr>
          <w:bCs/>
          <w:iCs/>
        </w:rPr>
        <w:t xml:space="preserve"> do Przewodniczącego Państwowej Komisji Wyborczej</w:t>
      </w:r>
      <w:r w:rsidR="00992FD0" w:rsidRPr="00EC250C">
        <w:rPr>
          <w:bCs/>
          <w:iCs/>
        </w:rPr>
        <w:t xml:space="preserve"> o </w:t>
      </w:r>
      <w:r w:rsidR="001D0A3A" w:rsidRPr="00EC250C">
        <w:rPr>
          <w:bCs/>
          <w:iCs/>
        </w:rPr>
        <w:t>dodatkowe informacje</w:t>
      </w:r>
      <w:r w:rsidR="00992FD0" w:rsidRPr="00EC250C">
        <w:rPr>
          <w:bCs/>
          <w:iCs/>
        </w:rPr>
        <w:t xml:space="preserve"> w </w:t>
      </w:r>
      <w:r w:rsidR="001D0A3A" w:rsidRPr="00EC250C">
        <w:rPr>
          <w:bCs/>
          <w:iCs/>
        </w:rPr>
        <w:t>tym zakresie,</w:t>
      </w:r>
      <w:r w:rsidR="00992FD0" w:rsidRPr="00EC250C">
        <w:rPr>
          <w:bCs/>
          <w:iCs/>
        </w:rPr>
        <w:t xml:space="preserve"> a </w:t>
      </w:r>
      <w:r w:rsidR="001D0A3A" w:rsidRPr="00EC250C">
        <w:rPr>
          <w:bCs/>
          <w:iCs/>
        </w:rPr>
        <w:t>także</w:t>
      </w:r>
      <w:r w:rsidR="00992FD0" w:rsidRPr="00EC250C">
        <w:rPr>
          <w:bCs/>
          <w:iCs/>
        </w:rPr>
        <w:t xml:space="preserve"> o </w:t>
      </w:r>
      <w:r w:rsidR="001D0A3A" w:rsidRPr="00EC250C">
        <w:rPr>
          <w:bCs/>
          <w:iCs/>
        </w:rPr>
        <w:t>przekazanie stanowiska Generalnego Inspektora Ochrony Danych Osobowych</w:t>
      </w:r>
      <w:r w:rsidR="00992FD0" w:rsidRPr="00EC250C">
        <w:rPr>
          <w:bCs/>
          <w:iCs/>
        </w:rPr>
        <w:t xml:space="preserve"> w </w:t>
      </w:r>
      <w:r w:rsidR="001D0A3A" w:rsidRPr="00EC250C">
        <w:rPr>
          <w:bCs/>
          <w:iCs/>
        </w:rPr>
        <w:t>tej sprawie.</w:t>
      </w:r>
      <w:r w:rsidR="00F842CC" w:rsidRPr="00EC250C">
        <w:rPr>
          <w:bCs/>
          <w:iCs/>
        </w:rPr>
        <w:t xml:space="preserve"> </w:t>
      </w:r>
      <w:r w:rsidR="001D0A3A" w:rsidRPr="00EC250C">
        <w:rPr>
          <w:rFonts w:hint="eastAsia"/>
          <w:bCs/>
          <w:iCs/>
        </w:rPr>
        <w:t>P</w:t>
      </w:r>
      <w:r w:rsidR="001D0A3A" w:rsidRPr="00EC250C">
        <w:rPr>
          <w:bCs/>
          <w:iCs/>
        </w:rPr>
        <w:t>rzewodniczący PKW poinformował, że po analizie stanowiska GIODO – ze względu na wejście</w:t>
      </w:r>
      <w:r w:rsidR="00992FD0" w:rsidRPr="00EC250C">
        <w:rPr>
          <w:bCs/>
          <w:iCs/>
        </w:rPr>
        <w:t xml:space="preserve"> w </w:t>
      </w:r>
      <w:r w:rsidR="001D0A3A" w:rsidRPr="00EC250C">
        <w:rPr>
          <w:bCs/>
          <w:iCs/>
        </w:rPr>
        <w:t>życie przepisów</w:t>
      </w:r>
      <w:r w:rsidR="00992FD0" w:rsidRPr="00EC250C">
        <w:rPr>
          <w:bCs/>
          <w:iCs/>
        </w:rPr>
        <w:t xml:space="preserve"> o </w:t>
      </w:r>
      <w:r w:rsidR="001D0A3A" w:rsidRPr="00EC250C">
        <w:rPr>
          <w:bCs/>
          <w:iCs/>
        </w:rPr>
        <w:t>RODO</w:t>
      </w:r>
      <w:r w:rsidR="00026572" w:rsidRPr="00EC250C">
        <w:rPr>
          <w:bCs/>
          <w:iCs/>
        </w:rPr>
        <w:t xml:space="preserve"> – </w:t>
      </w:r>
      <w:r w:rsidR="001D0A3A" w:rsidRPr="00EC250C">
        <w:rPr>
          <w:bCs/>
          <w:iCs/>
        </w:rPr>
        <w:t>wystąpił</w:t>
      </w:r>
      <w:r w:rsidR="00992FD0" w:rsidRPr="00EC250C">
        <w:rPr>
          <w:bCs/>
          <w:iCs/>
        </w:rPr>
        <w:t xml:space="preserve"> o </w:t>
      </w:r>
      <w:r w:rsidR="001D0A3A" w:rsidRPr="00EC250C">
        <w:rPr>
          <w:bCs/>
          <w:iCs/>
        </w:rPr>
        <w:t>zmianę przepisów. Zostały one zmienione</w:t>
      </w:r>
      <w:r w:rsidR="001D0A3A" w:rsidRPr="00EC250C">
        <w:rPr>
          <w:rStyle w:val="Odwoanieprzypisudolnego"/>
          <w:bCs/>
          <w:iCs/>
        </w:rPr>
        <w:footnoteReference w:id="296"/>
      </w:r>
      <w:r w:rsidR="001D0A3A" w:rsidRPr="00EC250C">
        <w:rPr>
          <w:bCs/>
          <w:iCs/>
        </w:rPr>
        <w:t>.</w:t>
      </w:r>
    </w:p>
    <w:p w14:paraId="023E0485" w14:textId="77777777" w:rsidR="00C91F6E" w:rsidRPr="00EC250C" w:rsidRDefault="002B260F" w:rsidP="00EC79EB">
      <w:pPr>
        <w:pStyle w:val="Nagwek4"/>
        <w:rPr>
          <w:lang w:bidi="hi-IN"/>
        </w:rPr>
      </w:pPr>
      <w:bookmarkStart w:id="292" w:name="_Toc11247649"/>
      <w:r w:rsidRPr="00EC250C">
        <w:rPr>
          <w:lang w:bidi="hi-IN"/>
        </w:rPr>
        <w:t xml:space="preserve">Zmiana </w:t>
      </w:r>
      <w:r w:rsidR="00D43A33" w:rsidRPr="00EC250C">
        <w:rPr>
          <w:lang w:bidi="hi-IN"/>
        </w:rPr>
        <w:t>ustawy reprywatyzacyjnej</w:t>
      </w:r>
      <w:r w:rsidR="00992FD0" w:rsidRPr="00EC250C">
        <w:rPr>
          <w:lang w:bidi="hi-IN"/>
        </w:rPr>
        <w:t xml:space="preserve"> a </w:t>
      </w:r>
      <w:r w:rsidR="00D43A33" w:rsidRPr="00EC250C">
        <w:rPr>
          <w:lang w:bidi="hi-IN"/>
        </w:rPr>
        <w:t>ochrona danych osobowych</w:t>
      </w:r>
      <w:bookmarkEnd w:id="290"/>
      <w:bookmarkEnd w:id="292"/>
    </w:p>
    <w:p w14:paraId="20400755" w14:textId="77777777" w:rsidR="00B473F5" w:rsidRPr="00EC250C" w:rsidRDefault="001D0A3A" w:rsidP="00D131FA">
      <w:pPr>
        <w:pStyle w:val="Problemczowieka"/>
        <w:jc w:val="both"/>
        <w:rPr>
          <w:rStyle w:val="Pogrubienie"/>
          <w:b/>
          <w:bCs w:val="0"/>
        </w:rPr>
      </w:pPr>
      <w:r w:rsidRPr="00EC250C">
        <w:rPr>
          <w:rStyle w:val="Pogrubienie"/>
          <w:b/>
          <w:bCs w:val="0"/>
        </w:rPr>
        <w:t>Komisja badająca reprywatyzację</w:t>
      </w:r>
      <w:r w:rsidR="00992FD0" w:rsidRPr="00EC250C">
        <w:rPr>
          <w:rStyle w:val="Pogrubienie"/>
          <w:b/>
          <w:bCs w:val="0"/>
        </w:rPr>
        <w:t xml:space="preserve"> w </w:t>
      </w:r>
      <w:r w:rsidRPr="00EC250C">
        <w:rPr>
          <w:rStyle w:val="Pogrubienie"/>
          <w:b/>
          <w:bCs w:val="0"/>
        </w:rPr>
        <w:t>Warszawie dostała</w:t>
      </w:r>
      <w:r w:rsidRPr="00EC250C">
        <w:rPr>
          <w:rStyle w:val="Odwoanieprzypisudolnego"/>
          <w:bCs/>
          <w:iCs/>
        </w:rPr>
        <w:footnoteReference w:id="297"/>
      </w:r>
      <w:r w:rsidRPr="00EC250C">
        <w:rPr>
          <w:rStyle w:val="Pogrubienie"/>
          <w:b/>
          <w:bCs w:val="0"/>
        </w:rPr>
        <w:t xml:space="preserve"> pełny dostęp do informacji</w:t>
      </w:r>
      <w:r w:rsidR="00992FD0" w:rsidRPr="00EC250C">
        <w:rPr>
          <w:rStyle w:val="Pogrubienie"/>
          <w:b/>
          <w:bCs w:val="0"/>
        </w:rPr>
        <w:t xml:space="preserve"> z </w:t>
      </w:r>
      <w:r w:rsidRPr="00EC250C">
        <w:rPr>
          <w:rStyle w:val="Pogrubienie"/>
          <w:b/>
          <w:bCs w:val="0"/>
        </w:rPr>
        <w:t>Krajowego Rejestru Sądowego, Krajowego Rejestru Karnego oraz centralnej bazy danych ksiąg wieczystych. Oznacza to możliwość przetwarzania tych danych przez komisję bez wiedzy</w:t>
      </w:r>
      <w:r w:rsidR="00992FD0" w:rsidRPr="00EC250C">
        <w:rPr>
          <w:rStyle w:val="Pogrubienie"/>
          <w:b/>
          <w:bCs w:val="0"/>
        </w:rPr>
        <w:t xml:space="preserve"> i </w:t>
      </w:r>
      <w:r w:rsidRPr="00EC250C">
        <w:rPr>
          <w:rStyle w:val="Pogrubienie"/>
          <w:b/>
          <w:bCs w:val="0"/>
        </w:rPr>
        <w:t>zgody osób, których one dotyczą</w:t>
      </w:r>
      <w:r w:rsidR="00B473F5" w:rsidRPr="00EC250C">
        <w:rPr>
          <w:rStyle w:val="Pogrubienie"/>
          <w:b/>
          <w:bCs w:val="0"/>
        </w:rPr>
        <w:t>.</w:t>
      </w:r>
    </w:p>
    <w:p w14:paraId="53661761" w14:textId="77777777" w:rsidR="002B260F" w:rsidRPr="00EC250C" w:rsidRDefault="00F842CC" w:rsidP="00D131FA">
      <w:pPr>
        <w:pStyle w:val="Styl1"/>
      </w:pPr>
      <w:r w:rsidRPr="00EC250C">
        <w:t>P</w:t>
      </w:r>
      <w:r w:rsidR="002B260F" w:rsidRPr="00EC250C">
        <w:t>rzepisy, które weszły</w:t>
      </w:r>
      <w:r w:rsidR="00992FD0" w:rsidRPr="00EC250C">
        <w:t xml:space="preserve"> w </w:t>
      </w:r>
      <w:r w:rsidR="002B260F" w:rsidRPr="00EC250C">
        <w:t>życie 12 marca 2018</w:t>
      </w:r>
      <w:r w:rsidR="00C91F6E" w:rsidRPr="00EC250C">
        <w:t> r.</w:t>
      </w:r>
      <w:r w:rsidR="002B260F" w:rsidRPr="00EC250C">
        <w:t>, regulują m.in. zasady przetwarzania</w:t>
      </w:r>
      <w:r w:rsidR="00CC4D88" w:rsidRPr="00EC250C">
        <w:t xml:space="preserve"> </w:t>
      </w:r>
      <w:r w:rsidR="002B260F" w:rsidRPr="00EC250C">
        <w:t xml:space="preserve">danych osobowych przez </w:t>
      </w:r>
      <w:r w:rsidR="001D0A3A" w:rsidRPr="00EC250C">
        <w:t>Komisję do spraw reprywatyzacji nieruchomości warszawskich</w:t>
      </w:r>
      <w:r w:rsidR="002B260F" w:rsidRPr="00EC250C">
        <w:t>. Ma ona teraz dostęp do aktualnych, pełnych danych</w:t>
      </w:r>
      <w:r w:rsidR="00992FD0" w:rsidRPr="00EC250C">
        <w:t xml:space="preserve"> i </w:t>
      </w:r>
      <w:r w:rsidR="002B260F" w:rsidRPr="00EC250C">
        <w:t>informacji</w:t>
      </w:r>
      <w:r w:rsidR="00992FD0" w:rsidRPr="00EC250C">
        <w:t xml:space="preserve"> w </w:t>
      </w:r>
      <w:r w:rsidR="002B260F" w:rsidRPr="00EC250C">
        <w:t>Krajowym Rejestrze Sądowym, Krajowym Rejestrze Karnym oraz centralnej bazie danych ksiąg wieczystych.</w:t>
      </w:r>
    </w:p>
    <w:p w14:paraId="0E9BCA5E" w14:textId="77777777" w:rsidR="00C91F6E" w:rsidRPr="00EC250C" w:rsidRDefault="002B260F" w:rsidP="00D131FA">
      <w:pPr>
        <w:pStyle w:val="Styl1"/>
      </w:pPr>
      <w:r w:rsidRPr="00EC250C">
        <w:t>Może przetwarzać dane</w:t>
      </w:r>
      <w:r w:rsidR="00992FD0" w:rsidRPr="00EC250C">
        <w:t xml:space="preserve"> z </w:t>
      </w:r>
      <w:r w:rsidRPr="00EC250C">
        <w:t>tych zbiorów</w:t>
      </w:r>
      <w:r w:rsidR="00CC4D88" w:rsidRPr="00EC250C">
        <w:t xml:space="preserve"> </w:t>
      </w:r>
      <w:r w:rsidRPr="00EC250C">
        <w:t>(jak</w:t>
      </w:r>
      <w:r w:rsidR="00992FD0" w:rsidRPr="00EC250C">
        <w:t xml:space="preserve"> i z </w:t>
      </w:r>
      <w:r w:rsidRPr="00EC250C">
        <w:t>innych zborów prowadzonych na podstawie innych przepisów przez organy władzy publicznej) bez wiedzy</w:t>
      </w:r>
      <w:r w:rsidR="00992FD0" w:rsidRPr="00EC250C">
        <w:t xml:space="preserve"> i </w:t>
      </w:r>
      <w:r w:rsidRPr="00EC250C">
        <w:t>zgody osoby, której one dotyczą.</w:t>
      </w:r>
    </w:p>
    <w:p w14:paraId="09AF41BB" w14:textId="77777777" w:rsidR="002B260F" w:rsidRPr="00EC250C" w:rsidRDefault="002B260F" w:rsidP="00D131FA">
      <w:pPr>
        <w:pStyle w:val="Styl1"/>
      </w:pPr>
      <w:r w:rsidRPr="00EC250C">
        <w:t>Ponadto komisja uzyskała możliwość bezpośredniego dostępu do danych</w:t>
      </w:r>
      <w:r w:rsidR="00992FD0" w:rsidRPr="00EC250C">
        <w:t xml:space="preserve"> w </w:t>
      </w:r>
      <w:r w:rsidRPr="00EC250C">
        <w:t>Krajowym Rejestrze Sądowym</w:t>
      </w:r>
      <w:r w:rsidR="00992FD0" w:rsidRPr="00EC250C">
        <w:t xml:space="preserve"> w </w:t>
      </w:r>
      <w:r w:rsidRPr="00EC250C">
        <w:t>drodze teletransmisji. Szczegółowe zasady tego dostępu ma określić porozumienie między Ministrem Sprawiedliwości</w:t>
      </w:r>
      <w:r w:rsidR="00992FD0" w:rsidRPr="00EC250C">
        <w:t xml:space="preserve"> a </w:t>
      </w:r>
      <w:r w:rsidRPr="00EC250C">
        <w:t>przewodniczącym komisji (jest nim</w:t>
      </w:r>
      <w:r w:rsidR="00CC4D88" w:rsidRPr="00EC250C">
        <w:t xml:space="preserve"> </w:t>
      </w:r>
      <w:r w:rsidRPr="00EC250C">
        <w:t>sekretarz stanu</w:t>
      </w:r>
      <w:r w:rsidR="00992FD0" w:rsidRPr="00EC250C">
        <w:t xml:space="preserve"> w </w:t>
      </w:r>
      <w:r w:rsidRPr="00EC250C">
        <w:t>tym resorcie Patryk Jaki).</w:t>
      </w:r>
    </w:p>
    <w:p w14:paraId="237964A6" w14:textId="77777777" w:rsidR="002B260F" w:rsidRPr="00EC250C" w:rsidRDefault="001D0A3A" w:rsidP="00D131FA">
      <w:pPr>
        <w:pStyle w:val="Styl1"/>
      </w:pPr>
      <w:r w:rsidRPr="00EC250C">
        <w:t>Według RPO takie rozwiązanie budzi oczywiste wątpliwości, czy powyższe porozumienie nie daje Komisji zbyt daleko idących uprawnień. Rodzi się też pytanie, czy nie będą zbyt głęboko ingerowały</w:t>
      </w:r>
      <w:r w:rsidR="00992FD0" w:rsidRPr="00EC250C">
        <w:t xml:space="preserve"> w </w:t>
      </w:r>
      <w:r w:rsidRPr="00EC250C">
        <w:t>prawo do prywatności</w:t>
      </w:r>
      <w:r w:rsidR="00992FD0" w:rsidRPr="00EC250C">
        <w:t xml:space="preserve"> i </w:t>
      </w:r>
      <w:r w:rsidRPr="00EC250C">
        <w:t>zasadę ochrony autonomii informacyjnej.</w:t>
      </w:r>
    </w:p>
    <w:p w14:paraId="0316F340" w14:textId="77777777" w:rsidR="00D43A33" w:rsidRPr="00EC250C" w:rsidRDefault="002B260F" w:rsidP="00D131FA">
      <w:pPr>
        <w:pStyle w:val="Styl1"/>
        <w:rPr>
          <w:bCs/>
          <w:iCs/>
        </w:rPr>
      </w:pPr>
      <w:r w:rsidRPr="00EC250C">
        <w:t>RPO napisał</w:t>
      </w:r>
      <w:r w:rsidR="00992FD0" w:rsidRPr="00EC250C">
        <w:t xml:space="preserve"> o </w:t>
      </w:r>
      <w:r w:rsidRPr="00EC250C">
        <w:t>problemie do Generalnego Inspektora Ochrony Danych Osobowych. Powołał się na wpływające do Biura RPO skargi, które dotyczą tej nowelizacji</w:t>
      </w:r>
      <w:r w:rsidR="00B35EA5" w:rsidRPr="00EC250C">
        <w:rPr>
          <w:rStyle w:val="Odwoanieprzypisudolnego"/>
          <w:bCs/>
          <w:iCs/>
        </w:rPr>
        <w:footnoteReference w:id="298"/>
      </w:r>
      <w:r w:rsidR="0095683E" w:rsidRPr="00EC250C">
        <w:rPr>
          <w:bCs/>
          <w:iCs/>
        </w:rPr>
        <w:t>.</w:t>
      </w:r>
      <w:r w:rsidR="001D0A3A" w:rsidRPr="00EC250C">
        <w:rPr>
          <w:bCs/>
          <w:iCs/>
        </w:rPr>
        <w:t xml:space="preserve"> Odpowiedzi nie otrzymał.</w:t>
      </w:r>
    </w:p>
    <w:p w14:paraId="227E818B" w14:textId="77777777" w:rsidR="00C91F6E" w:rsidRPr="00EC250C" w:rsidRDefault="009673FB" w:rsidP="00EC79EB">
      <w:pPr>
        <w:pStyle w:val="Nagwek4"/>
      </w:pPr>
      <w:bookmarkStart w:id="293" w:name="_Toc6257763"/>
      <w:bookmarkStart w:id="294" w:name="_Toc11247650"/>
      <w:bookmarkStart w:id="295" w:name="_Hlk10624417"/>
      <w:bookmarkStart w:id="296" w:name="_Toc6257756"/>
      <w:r w:rsidRPr="00EC250C">
        <w:lastRenderedPageBreak/>
        <w:t>Sposób profilowania bezrobotnych</w:t>
      </w:r>
      <w:bookmarkEnd w:id="293"/>
      <w:bookmarkEnd w:id="294"/>
    </w:p>
    <w:p w14:paraId="6A3C7A2D" w14:textId="77777777" w:rsidR="006C5471" w:rsidRPr="00EC250C" w:rsidRDefault="006C5471" w:rsidP="00D131FA">
      <w:pPr>
        <w:pStyle w:val="Problemczowieka"/>
        <w:jc w:val="both"/>
        <w:rPr>
          <w:rStyle w:val="Pogrubienie"/>
          <w:b/>
          <w:bCs w:val="0"/>
        </w:rPr>
      </w:pPr>
      <w:r w:rsidRPr="00EC250C">
        <w:rPr>
          <w:rStyle w:val="Pogrubienie"/>
          <w:b/>
          <w:bCs w:val="0"/>
        </w:rPr>
        <w:t>Sposób profilowanie bezrobotnych, czyli zbierania i przetwarzania o nich danych po to, by ułatwić im znalezienie pracy, reguluje rozporządzenie</w:t>
      </w:r>
      <w:r w:rsidRPr="00EC250C">
        <w:rPr>
          <w:iCs/>
          <w:vertAlign w:val="superscript"/>
        </w:rPr>
        <w:footnoteReference w:id="299"/>
      </w:r>
      <w:r w:rsidRPr="00EC250C">
        <w:rPr>
          <w:rStyle w:val="Pogrubienie"/>
          <w:b/>
          <w:bCs w:val="0"/>
        </w:rPr>
        <w:t xml:space="preserve">, a powinna ustawa. </w:t>
      </w:r>
    </w:p>
    <w:p w14:paraId="2D280889" w14:textId="77777777" w:rsidR="009673FB" w:rsidRPr="00EC250C" w:rsidRDefault="006C5471" w:rsidP="00D131FA">
      <w:pPr>
        <w:pStyle w:val="Styl1"/>
      </w:pPr>
      <w:r w:rsidRPr="00EC250C">
        <w:rPr>
          <w:rStyle w:val="Pogrubienie"/>
          <w:b w:val="0"/>
          <w:bCs w:val="0"/>
        </w:rPr>
        <w:t>Orzekł tak Trybunał Konstytucyjny po rozpatrzeniu wniosku Rzecznika Praw Obywatelskich</w:t>
      </w:r>
      <w:r w:rsidRPr="00EC250C">
        <w:rPr>
          <w:rStyle w:val="Odwoanieprzypisudolnego"/>
        </w:rPr>
        <w:footnoteReference w:id="300"/>
      </w:r>
      <w:r w:rsidRPr="00EC250C">
        <w:t xml:space="preserve"> </w:t>
      </w:r>
      <w:r w:rsidRPr="00EC250C">
        <w:rPr>
          <w:rStyle w:val="Pogrubienie"/>
          <w:b w:val="0"/>
          <w:bCs w:val="0"/>
        </w:rPr>
        <w:t xml:space="preserve"> zwracając uwagę, że  chodzi tu o ważną kwestię </w:t>
      </w:r>
      <w:r w:rsidR="004A15C8" w:rsidRPr="00EC250C">
        <w:rPr>
          <w:rStyle w:val="Pogrubienie"/>
          <w:b w:val="0"/>
          <w:bCs w:val="0"/>
        </w:rPr>
        <w:t>zasad</w:t>
      </w:r>
      <w:r w:rsidR="00992FD0" w:rsidRPr="00EC250C">
        <w:rPr>
          <w:rStyle w:val="Pogrubienie"/>
          <w:b w:val="0"/>
          <w:bCs w:val="0"/>
        </w:rPr>
        <w:t xml:space="preserve"> i </w:t>
      </w:r>
      <w:r w:rsidR="004A15C8" w:rsidRPr="00EC250C">
        <w:rPr>
          <w:rStyle w:val="Pogrubienie"/>
          <w:b w:val="0"/>
          <w:bCs w:val="0"/>
        </w:rPr>
        <w:t>trybu gromadzenia informacji</w:t>
      </w:r>
      <w:r w:rsidR="00992FD0" w:rsidRPr="00EC250C">
        <w:rPr>
          <w:rStyle w:val="Pogrubienie"/>
          <w:b w:val="0"/>
          <w:bCs w:val="0"/>
        </w:rPr>
        <w:t xml:space="preserve"> o </w:t>
      </w:r>
      <w:r w:rsidR="004A15C8" w:rsidRPr="00EC250C">
        <w:rPr>
          <w:rStyle w:val="Pogrubienie"/>
          <w:b w:val="0"/>
          <w:bCs w:val="0"/>
        </w:rPr>
        <w:t>jednostkach</w:t>
      </w:r>
      <w:r w:rsidRPr="00EC250C">
        <w:rPr>
          <w:rStyle w:val="Pogrubienie"/>
          <w:b w:val="0"/>
          <w:bCs w:val="0"/>
        </w:rPr>
        <w:t>.</w:t>
      </w:r>
      <w:r w:rsidR="00A707C5" w:rsidRPr="00EC250C">
        <w:rPr>
          <w:rStyle w:val="Pogrubienie"/>
          <w:b w:val="0"/>
          <w:bCs w:val="0"/>
        </w:rPr>
        <w:t xml:space="preserve"> </w:t>
      </w:r>
      <w:r w:rsidRPr="00EC250C">
        <w:t xml:space="preserve">Rzecznik wniósł o zbadanie zgodności z Konstytucją </w:t>
      </w:r>
      <w:r w:rsidRPr="00EC250C">
        <w:rPr>
          <w:bCs/>
        </w:rPr>
        <w:t>przepisów</w:t>
      </w:r>
      <w:r w:rsidRPr="00EC250C">
        <w:t xml:space="preserve"> ustawy o </w:t>
      </w:r>
      <w:r w:rsidRPr="00EC250C">
        <w:rPr>
          <w:iCs/>
        </w:rPr>
        <w:t>promocji zatrudnienia</w:t>
      </w:r>
      <w:r w:rsidRPr="00EC250C">
        <w:rPr>
          <w:iCs/>
          <w:vertAlign w:val="superscript"/>
        </w:rPr>
        <w:footnoteReference w:id="301"/>
      </w:r>
      <w:r w:rsidRPr="00EC250C">
        <w:rPr>
          <w:iCs/>
        </w:rPr>
        <w:t xml:space="preserve">. </w:t>
      </w:r>
      <w:r w:rsidR="00E63B56" w:rsidRPr="00EC250C">
        <w:t xml:space="preserve">Trybunał </w:t>
      </w:r>
      <w:r w:rsidRPr="00EC250C">
        <w:t>uznał</w:t>
      </w:r>
      <w:r w:rsidRPr="00EC250C">
        <w:rPr>
          <w:rStyle w:val="Odwoanieprzypisudolnego"/>
        </w:rPr>
        <w:footnoteReference w:id="302"/>
      </w:r>
      <w:r w:rsidRPr="00EC250C">
        <w:t xml:space="preserve">, że jej postanowienia nie naruszają ustawy zasadniczej, ale brakuje w </w:t>
      </w:r>
      <w:r w:rsidR="00A707C5" w:rsidRPr="00EC250C">
        <w:t xml:space="preserve">ustawie </w:t>
      </w:r>
      <w:r w:rsidRPr="00EC250C">
        <w:t xml:space="preserve">przepisów dotyczących </w:t>
      </w:r>
      <w:r w:rsidR="00E63B56" w:rsidRPr="00EC250C">
        <w:t>adekwatnego środka</w:t>
      </w:r>
      <w:r w:rsidR="00E63B56" w:rsidRPr="00EC250C">
        <w:rPr>
          <w:iCs/>
        </w:rPr>
        <w:t xml:space="preserve"> </w:t>
      </w:r>
      <w:r w:rsidR="00E63B56" w:rsidRPr="00EC250C">
        <w:t>zaskarżenia przy tworzeniu dla bezrobotnego profilu pomocy</w:t>
      </w:r>
      <w:r w:rsidR="00A707C5" w:rsidRPr="00EC250C">
        <w:t xml:space="preserve">. </w:t>
      </w:r>
      <w:r w:rsidR="004A15C8" w:rsidRPr="00EC250C">
        <w:t>W 2019</w:t>
      </w:r>
      <w:r w:rsidR="00C91F6E" w:rsidRPr="00EC250C">
        <w:t> r.</w:t>
      </w:r>
      <w:r w:rsidR="004A15C8" w:rsidRPr="00EC250C">
        <w:t xml:space="preserve"> nad związaną</w:t>
      </w:r>
      <w:r w:rsidR="00992FD0" w:rsidRPr="00EC250C">
        <w:t xml:space="preserve"> z </w:t>
      </w:r>
      <w:r w:rsidR="004A15C8" w:rsidRPr="00EC250C">
        <w:t>tym wyrokiem koniecznością zmian</w:t>
      </w:r>
      <w:r w:rsidR="00992FD0" w:rsidRPr="00EC250C">
        <w:t xml:space="preserve"> w </w:t>
      </w:r>
      <w:r w:rsidR="004A15C8" w:rsidRPr="00EC250C">
        <w:t>ustawie zaczęła się zastanawiać senacka Komisja Ustawodawcza</w:t>
      </w:r>
      <w:r w:rsidR="004A15C8" w:rsidRPr="00EC250C">
        <w:rPr>
          <w:rStyle w:val="Odwoanieprzypisudolnego"/>
        </w:rPr>
        <w:footnoteReference w:id="303"/>
      </w:r>
      <w:r w:rsidR="004A15C8" w:rsidRPr="00EC250C">
        <w:t>.</w:t>
      </w:r>
    </w:p>
    <w:p w14:paraId="73DC30BB" w14:textId="77777777" w:rsidR="009673FB" w:rsidRPr="00EC250C" w:rsidRDefault="009673FB" w:rsidP="00EC79EB">
      <w:pPr>
        <w:pStyle w:val="Nagwek4"/>
      </w:pPr>
      <w:bookmarkStart w:id="297" w:name="_Toc6257762"/>
      <w:bookmarkStart w:id="298" w:name="_Toc11247651"/>
      <w:bookmarkStart w:id="299" w:name="_Toc6257757"/>
      <w:bookmarkEnd w:id="295"/>
      <w:r w:rsidRPr="00EC250C">
        <w:t>Ochrona danych biometrycznych podawanych przy odbieraniu przesyłki</w:t>
      </w:r>
      <w:bookmarkEnd w:id="297"/>
      <w:bookmarkEnd w:id="298"/>
    </w:p>
    <w:p w14:paraId="61466247" w14:textId="77777777" w:rsidR="00B473F5" w:rsidRPr="00EC250C" w:rsidRDefault="009673FB" w:rsidP="00D131FA">
      <w:pPr>
        <w:pStyle w:val="Problemczowieka"/>
        <w:jc w:val="both"/>
      </w:pPr>
      <w:r w:rsidRPr="00EC250C">
        <w:rPr>
          <w:bdr w:val="none" w:sz="0" w:space="0" w:color="auto" w:frame="1"/>
        </w:rPr>
        <w:t>Odbiór przesyłek kwituje się u listonosza czy kuriera na tablecie. Taki podpis się zatem zaliczać do danych biometrycznych, które podlegają szczególnej ochronie</w:t>
      </w:r>
      <w:r w:rsidR="00B473F5" w:rsidRPr="00EC250C">
        <w:rPr>
          <w:rFonts w:ascii="Open Sans Regular" w:hAnsi="Open Sans Regular"/>
        </w:rPr>
        <w:t>.</w:t>
      </w:r>
    </w:p>
    <w:p w14:paraId="643530CE" w14:textId="77777777" w:rsidR="009673FB" w:rsidRPr="00EC250C" w:rsidRDefault="00A707C5" w:rsidP="00D131FA">
      <w:pPr>
        <w:pStyle w:val="Styl1"/>
      </w:pPr>
      <w:r w:rsidRPr="00EC250C">
        <w:rPr>
          <w:bdr w:val="none" w:sz="0" w:space="0" w:color="auto" w:frame="1"/>
        </w:rPr>
        <w:t xml:space="preserve">RPO, po skargach obywateli, </w:t>
      </w:r>
      <w:r w:rsidR="009673FB" w:rsidRPr="00EC250C">
        <w:rPr>
          <w:bdr w:val="none" w:sz="0" w:space="0" w:color="auto" w:frame="1"/>
        </w:rPr>
        <w:t>spytał Prezesa Urzędu Ochrony Danych Osobowych</w:t>
      </w:r>
      <w:r w:rsidR="00992FD0" w:rsidRPr="00EC250C">
        <w:rPr>
          <w:bdr w:val="none" w:sz="0" w:space="0" w:color="auto" w:frame="1"/>
        </w:rPr>
        <w:t xml:space="preserve"> o </w:t>
      </w:r>
      <w:r w:rsidR="009673FB" w:rsidRPr="00EC250C">
        <w:rPr>
          <w:bdr w:val="none" w:sz="0" w:space="0" w:color="auto" w:frame="1"/>
        </w:rPr>
        <w:t>potencjalne zagrożenia</w:t>
      </w:r>
      <w:r w:rsidR="00992FD0" w:rsidRPr="00EC250C">
        <w:rPr>
          <w:bdr w:val="none" w:sz="0" w:space="0" w:color="auto" w:frame="1"/>
        </w:rPr>
        <w:t xml:space="preserve"> z </w:t>
      </w:r>
      <w:r w:rsidR="009673FB" w:rsidRPr="00EC250C">
        <w:rPr>
          <w:bdr w:val="none" w:sz="0" w:space="0" w:color="auto" w:frame="1"/>
        </w:rPr>
        <w:t xml:space="preserve">tym związane. </w:t>
      </w:r>
      <w:r w:rsidR="009673FB" w:rsidRPr="00EC250C">
        <w:t>Potwierdzanie odbioru przesyłek własnoręcznym podpisem od dawna było powszechną praktyką. Dopiero jednak jego elektroniczne utrwalanie wywołało wątpliwości związane</w:t>
      </w:r>
      <w:r w:rsidR="00992FD0" w:rsidRPr="00EC250C">
        <w:t xml:space="preserve"> z </w:t>
      </w:r>
      <w:r w:rsidR="009673FB" w:rsidRPr="00EC250C">
        <w:t>ochroną danych osobowych. Różnica jest bowiem</w:t>
      </w:r>
      <w:r w:rsidR="00CC4D88" w:rsidRPr="00EC250C">
        <w:t xml:space="preserve"> </w:t>
      </w:r>
      <w:r w:rsidR="009673FB" w:rsidRPr="00EC250C">
        <w:t>zasadnicza: podpis na ekranie dotykowym jest utrwalany nie</w:t>
      </w:r>
      <w:r w:rsidR="00992FD0" w:rsidRPr="00EC250C">
        <w:t xml:space="preserve"> w </w:t>
      </w:r>
      <w:r w:rsidR="009673FB" w:rsidRPr="00EC250C">
        <w:t>postaci tuszu na kartce papieru, lecz</w:t>
      </w:r>
      <w:r w:rsidR="00992FD0" w:rsidRPr="00EC250C">
        <w:t xml:space="preserve"> w </w:t>
      </w:r>
      <w:r w:rsidR="009673FB" w:rsidRPr="00EC250C">
        <w:t>postaci elektronicznego zapisu ciągu znaków. Niepokój obywateli wynika</w:t>
      </w:r>
      <w:r w:rsidR="00992FD0" w:rsidRPr="00EC250C">
        <w:t xml:space="preserve"> z </w:t>
      </w:r>
      <w:r w:rsidR="009673FB" w:rsidRPr="00EC250C">
        <w:t>większej mobilności danych przetwarzanych</w:t>
      </w:r>
      <w:r w:rsidR="00992FD0" w:rsidRPr="00EC250C">
        <w:t xml:space="preserve"> w </w:t>
      </w:r>
      <w:r w:rsidR="009673FB" w:rsidRPr="00EC250C">
        <w:t>formie elektronicznej</w:t>
      </w:r>
      <w:r w:rsidR="00992FD0" w:rsidRPr="00EC250C">
        <w:t xml:space="preserve"> i</w:t>
      </w:r>
      <w:r w:rsidRPr="00EC250C">
        <w:t xml:space="preserve"> </w:t>
      </w:r>
      <w:r w:rsidR="009673FB" w:rsidRPr="00EC250C">
        <w:t>– co za tym idzie</w:t>
      </w:r>
      <w:r w:rsidR="00026572" w:rsidRPr="00EC250C">
        <w:t xml:space="preserve"> –</w:t>
      </w:r>
      <w:r w:rsidRPr="00EC250C">
        <w:t xml:space="preserve"> </w:t>
      </w:r>
      <w:r w:rsidR="009673FB" w:rsidRPr="00EC250C">
        <w:t>większ</w:t>
      </w:r>
      <w:r w:rsidRPr="00EC250C">
        <w:t>ym</w:t>
      </w:r>
      <w:r w:rsidR="009673FB" w:rsidRPr="00EC250C">
        <w:t xml:space="preserve"> ryzyk</w:t>
      </w:r>
      <w:r w:rsidRPr="00EC250C">
        <w:t>iem</w:t>
      </w:r>
      <w:r w:rsidR="009673FB" w:rsidRPr="00EC250C">
        <w:t xml:space="preserve"> nieautoryzowanego dostępu.</w:t>
      </w:r>
      <w:r w:rsidRPr="00EC250C">
        <w:t xml:space="preserve"> A p</w:t>
      </w:r>
      <w:r w:rsidR="009673FB" w:rsidRPr="00EC250C">
        <w:t>odpis zawiera dane</w:t>
      </w:r>
      <w:r w:rsidR="00992FD0" w:rsidRPr="00EC250C">
        <w:t xml:space="preserve"> o </w:t>
      </w:r>
      <w:r w:rsidR="009673FB" w:rsidRPr="00EC250C">
        <w:t>charakterze pisma, dynamice pisania</w:t>
      </w:r>
      <w:r w:rsidR="00992FD0" w:rsidRPr="00EC250C">
        <w:t xml:space="preserve"> i </w:t>
      </w:r>
      <w:r w:rsidR="009673FB" w:rsidRPr="00EC250C">
        <w:t>sposobie poruszania się, może zostać zaliczony do danych biometrycznych</w:t>
      </w:r>
      <w:r w:rsidR="00992FD0" w:rsidRPr="00EC250C">
        <w:t xml:space="preserve"> i </w:t>
      </w:r>
      <w:r w:rsidR="009673FB" w:rsidRPr="00EC250C">
        <w:t>jako taki podlega szczególnej ochronie.</w:t>
      </w:r>
    </w:p>
    <w:p w14:paraId="679E4811" w14:textId="77777777" w:rsidR="00691CE4" w:rsidRPr="00EC250C" w:rsidRDefault="00691CE4" w:rsidP="00D131FA">
      <w:pPr>
        <w:pStyle w:val="Styl1"/>
      </w:pPr>
      <w:r w:rsidRPr="00EC250C">
        <w:t>Prezes UODO odpowiedział, że sprawa nie była dokładnie</w:t>
      </w:r>
      <w:r w:rsidR="00992FD0" w:rsidRPr="00EC250C">
        <w:t xml:space="preserve"> w </w:t>
      </w:r>
      <w:r w:rsidRPr="00EC250C">
        <w:t xml:space="preserve">Polsce analizowana. Powołał się jednak na ustalenia europejskiej grupy </w:t>
      </w:r>
      <w:r w:rsidRPr="00EC250C">
        <w:rPr>
          <w:rFonts w:eastAsia="SimSun"/>
        </w:rPr>
        <w:t>Grupa Robocz</w:t>
      </w:r>
      <w:r w:rsidR="00A707C5" w:rsidRPr="00EC250C">
        <w:rPr>
          <w:rFonts w:eastAsia="SimSun"/>
        </w:rPr>
        <w:t>ej</w:t>
      </w:r>
      <w:r w:rsidRPr="00EC250C">
        <w:rPr>
          <w:rFonts w:eastAsia="SimSun"/>
        </w:rPr>
        <w:t xml:space="preserve"> Artykułu 29 </w:t>
      </w:r>
      <w:r w:rsidR="00A707C5" w:rsidRPr="00EC250C">
        <w:rPr>
          <w:rFonts w:eastAsia="SimSun"/>
        </w:rPr>
        <w:t>(</w:t>
      </w:r>
      <w:r w:rsidRPr="00EC250C">
        <w:rPr>
          <w:rFonts w:eastAsia="SimSun"/>
        </w:rPr>
        <w:t>ds. ochrony osób fizycznych</w:t>
      </w:r>
      <w:r w:rsidR="00992FD0" w:rsidRPr="00EC250C">
        <w:rPr>
          <w:rFonts w:eastAsia="SimSun"/>
        </w:rPr>
        <w:t xml:space="preserve"> w </w:t>
      </w:r>
      <w:r w:rsidRPr="00EC250C">
        <w:rPr>
          <w:rFonts w:eastAsia="SimSun"/>
        </w:rPr>
        <w:t>zakresie przetwarzania danych osobowych</w:t>
      </w:r>
      <w:r w:rsidR="00A707C5" w:rsidRPr="00EC250C">
        <w:rPr>
          <w:rFonts w:eastAsia="SimSun"/>
        </w:rPr>
        <w:t>)</w:t>
      </w:r>
      <w:r w:rsidRPr="00EC250C">
        <w:t>, że</w:t>
      </w:r>
      <w:r w:rsidR="00992FD0" w:rsidRPr="00EC250C">
        <w:t xml:space="preserve"> o</w:t>
      </w:r>
      <w:r w:rsidR="00A707C5" w:rsidRPr="00EC250C">
        <w:t xml:space="preserve"> </w:t>
      </w:r>
      <w:r w:rsidRPr="00EC250C">
        <w:t xml:space="preserve">znaczeniu zbierania danych biometrycznych decyduje to, czy </w:t>
      </w:r>
      <w:r w:rsidRPr="00EC250C">
        <w:rPr>
          <w:rFonts w:eastAsia="SimSun"/>
        </w:rPr>
        <w:t xml:space="preserve">podmiot </w:t>
      </w:r>
      <w:r w:rsidR="00A707C5" w:rsidRPr="00EC250C">
        <w:rPr>
          <w:rFonts w:eastAsia="SimSun"/>
        </w:rPr>
        <w:t xml:space="preserve">je zbierający ma </w:t>
      </w:r>
      <w:r w:rsidRPr="00EC250C">
        <w:rPr>
          <w:rFonts w:eastAsia="SimSun"/>
        </w:rPr>
        <w:t xml:space="preserve">dostęp do innych informacji </w:t>
      </w:r>
      <w:r w:rsidR="00A707C5" w:rsidRPr="00EC250C">
        <w:rPr>
          <w:rFonts w:eastAsia="SimSun"/>
        </w:rPr>
        <w:t>pozwalających na identyfikację danej osoby</w:t>
      </w:r>
      <w:r w:rsidRPr="00EC250C">
        <w:rPr>
          <w:rStyle w:val="Odwoanieprzypisudolnego"/>
          <w:bCs/>
          <w:iCs/>
        </w:rPr>
        <w:footnoteReference w:id="304"/>
      </w:r>
      <w:r w:rsidRPr="00EC250C">
        <w:rPr>
          <w:rFonts w:eastAsia="SimSun"/>
        </w:rPr>
        <w:t>.</w:t>
      </w:r>
    </w:p>
    <w:p w14:paraId="3E3FB055" w14:textId="77777777" w:rsidR="009673FB" w:rsidRPr="00EC250C" w:rsidRDefault="00021590" w:rsidP="00EC79EB">
      <w:pPr>
        <w:pStyle w:val="Nagwek4"/>
      </w:pPr>
      <w:bookmarkStart w:id="300" w:name="_Toc6257760"/>
      <w:bookmarkStart w:id="301" w:name="_Toc11247652"/>
      <w:r w:rsidRPr="00EC250C">
        <w:lastRenderedPageBreak/>
        <w:t xml:space="preserve">Ochrona danych </w:t>
      </w:r>
      <w:r w:rsidR="003A343E" w:rsidRPr="00EC250C">
        <w:t>pacjent</w:t>
      </w:r>
      <w:r w:rsidRPr="00EC250C">
        <w:t>ów</w:t>
      </w:r>
      <w:r w:rsidR="003A343E" w:rsidRPr="00EC250C">
        <w:t>, którzy nie ode</w:t>
      </w:r>
      <w:r w:rsidRPr="00EC250C">
        <w:t>b</w:t>
      </w:r>
      <w:r w:rsidR="003A343E" w:rsidRPr="00EC250C">
        <w:t xml:space="preserve">rali </w:t>
      </w:r>
      <w:r w:rsidR="009673FB" w:rsidRPr="00EC250C">
        <w:t>pieniędz</w:t>
      </w:r>
      <w:r w:rsidRPr="00EC250C">
        <w:t>y</w:t>
      </w:r>
      <w:r w:rsidR="009673FB" w:rsidRPr="00EC250C">
        <w:t xml:space="preserve"> </w:t>
      </w:r>
      <w:r w:rsidRPr="00EC250C">
        <w:t>z depozytów</w:t>
      </w:r>
      <w:bookmarkEnd w:id="300"/>
      <w:bookmarkEnd w:id="301"/>
    </w:p>
    <w:p w14:paraId="2C5C85E5" w14:textId="77777777" w:rsidR="00021590" w:rsidRPr="00EC250C" w:rsidRDefault="00021590" w:rsidP="00D131FA">
      <w:pPr>
        <w:pStyle w:val="Problemczowieka"/>
        <w:jc w:val="both"/>
        <w:rPr>
          <w:bCs/>
          <w:iCs/>
        </w:rPr>
      </w:pPr>
      <w:r w:rsidRPr="00EC250C">
        <w:t>W 2015 r. Wojewódzki</w:t>
      </w:r>
      <w:r w:rsidR="00A707C5" w:rsidRPr="00EC250C">
        <w:t>e</w:t>
      </w:r>
      <w:r w:rsidRPr="00EC250C">
        <w:t xml:space="preserve"> Centrum Psychiatrii Długoterminowej w Stroniu Śląskim opublikowa</w:t>
      </w:r>
      <w:r w:rsidR="00A707C5" w:rsidRPr="00EC250C">
        <w:t>ło</w:t>
      </w:r>
      <w:r w:rsidRPr="00EC250C">
        <w:t xml:space="preserve"> na stronach internetowych dane pacjentów w ogłoszeniu o „ostatecznym wezwaniu do odbioru depozytu”. Chodziło o pieniądze </w:t>
      </w:r>
      <w:r w:rsidR="00A707C5" w:rsidRPr="00EC250C">
        <w:t>tych</w:t>
      </w:r>
      <w:r w:rsidRPr="00EC250C">
        <w:t>, którzy opuścili szpital bądź zmarli. RPO zauważył, że tak być nie powinno.</w:t>
      </w:r>
    </w:p>
    <w:p w14:paraId="748973EF" w14:textId="77777777" w:rsidR="00B473F5" w:rsidRPr="00EC250C" w:rsidRDefault="00021590" w:rsidP="00D131FA">
      <w:pPr>
        <w:pStyle w:val="Styl1"/>
        <w:rPr>
          <w:bdr w:val="none" w:sz="0" w:space="0" w:color="auto" w:frame="1"/>
        </w:rPr>
      </w:pPr>
      <w:r w:rsidRPr="00EC250C">
        <w:rPr>
          <w:bdr w:val="none" w:sz="0" w:space="0" w:color="auto" w:frame="1"/>
        </w:rPr>
        <w:t>Problem bierze się stąd, że s</w:t>
      </w:r>
      <w:r w:rsidR="00691CE4" w:rsidRPr="00EC250C">
        <w:rPr>
          <w:bdr w:val="none" w:sz="0" w:space="0" w:color="auto" w:frame="1"/>
        </w:rPr>
        <w:t>zpitale stosują</w:t>
      </w:r>
      <w:r w:rsidR="00992FD0" w:rsidRPr="00EC250C">
        <w:rPr>
          <w:bdr w:val="none" w:sz="0" w:space="0" w:color="auto" w:frame="1"/>
        </w:rPr>
        <w:t xml:space="preserve"> </w:t>
      </w:r>
      <w:r w:rsidR="00A707C5" w:rsidRPr="00EC250C">
        <w:rPr>
          <w:bdr w:val="none" w:sz="0" w:space="0" w:color="auto" w:frame="1"/>
        </w:rPr>
        <w:t xml:space="preserve">tu </w:t>
      </w:r>
      <w:r w:rsidR="00691CE4" w:rsidRPr="00EC250C">
        <w:rPr>
          <w:bdr w:val="none" w:sz="0" w:space="0" w:color="auto" w:frame="1"/>
        </w:rPr>
        <w:t>przepisy ustawy</w:t>
      </w:r>
      <w:r w:rsidR="00992FD0" w:rsidRPr="00EC250C">
        <w:rPr>
          <w:bdr w:val="none" w:sz="0" w:space="0" w:color="auto" w:frame="1"/>
        </w:rPr>
        <w:t xml:space="preserve"> z </w:t>
      </w:r>
      <w:r w:rsidR="00691CE4" w:rsidRPr="00EC250C">
        <w:rPr>
          <w:bdr w:val="none" w:sz="0" w:space="0" w:color="auto" w:frame="1"/>
        </w:rPr>
        <w:t>2006</w:t>
      </w:r>
      <w:r w:rsidR="00C91F6E" w:rsidRPr="00EC250C">
        <w:rPr>
          <w:bdr w:val="none" w:sz="0" w:space="0" w:color="auto" w:frame="1"/>
        </w:rPr>
        <w:t> r.</w:t>
      </w:r>
      <w:r w:rsidR="00992FD0" w:rsidRPr="00EC250C">
        <w:rPr>
          <w:bdr w:val="none" w:sz="0" w:space="0" w:color="auto" w:frame="1"/>
        </w:rPr>
        <w:t xml:space="preserve"> o </w:t>
      </w:r>
      <w:r w:rsidR="00691CE4" w:rsidRPr="00EC250C">
        <w:rPr>
          <w:bdr w:val="none" w:sz="0" w:space="0" w:color="auto" w:frame="1"/>
        </w:rPr>
        <w:t>likwidacji niepodjętych depozytów</w:t>
      </w:r>
      <w:r w:rsidRPr="00EC250C">
        <w:rPr>
          <w:rStyle w:val="Odwoanieprzypisudolnego"/>
          <w:bdr w:val="none" w:sz="0" w:space="0" w:color="auto" w:frame="1"/>
        </w:rPr>
        <w:footnoteReference w:id="305"/>
      </w:r>
      <w:r w:rsidR="00691CE4" w:rsidRPr="00EC250C">
        <w:rPr>
          <w:bdr w:val="none" w:sz="0" w:space="0" w:color="auto" w:frame="1"/>
        </w:rPr>
        <w:t>. Procedury te mogą naruszać dobra osobiste pacjentów poprzez ujawnianie danych wrażliwych, co budzi wątpliwości także</w:t>
      </w:r>
      <w:r w:rsidR="00992FD0" w:rsidRPr="00EC250C">
        <w:rPr>
          <w:bdr w:val="none" w:sz="0" w:space="0" w:color="auto" w:frame="1"/>
        </w:rPr>
        <w:t xml:space="preserve"> w </w:t>
      </w:r>
      <w:r w:rsidR="00691CE4" w:rsidRPr="00EC250C">
        <w:rPr>
          <w:bdr w:val="none" w:sz="0" w:space="0" w:color="auto" w:frame="1"/>
        </w:rPr>
        <w:t>kontekście obowiązywania RODO</w:t>
      </w:r>
      <w:r w:rsidR="00B473F5" w:rsidRPr="00EC250C">
        <w:rPr>
          <w:bdr w:val="none" w:sz="0" w:space="0" w:color="auto" w:frame="1"/>
        </w:rPr>
        <w:t>.</w:t>
      </w:r>
    </w:p>
    <w:p w14:paraId="58319E8B" w14:textId="77777777" w:rsidR="009673FB" w:rsidRPr="00EC250C" w:rsidRDefault="009673FB" w:rsidP="00D131FA">
      <w:pPr>
        <w:pStyle w:val="Styl1"/>
        <w:rPr>
          <w:bCs/>
          <w:iCs/>
        </w:rPr>
      </w:pPr>
      <w:r w:rsidRPr="00EC250C">
        <w:rPr>
          <w:bCs/>
          <w:iCs/>
        </w:rPr>
        <w:t>Z informacji przekazanych Rzecznikowi</w:t>
      </w:r>
      <w:r w:rsidR="00992FD0" w:rsidRPr="00EC250C">
        <w:rPr>
          <w:bCs/>
          <w:iCs/>
        </w:rPr>
        <w:t xml:space="preserve"> w </w:t>
      </w:r>
      <w:r w:rsidRPr="00EC250C">
        <w:rPr>
          <w:bCs/>
          <w:iCs/>
        </w:rPr>
        <w:t>2017</w:t>
      </w:r>
      <w:r w:rsidR="00C91F6E" w:rsidRPr="00EC250C">
        <w:rPr>
          <w:bCs/>
          <w:iCs/>
        </w:rPr>
        <w:t> r.</w:t>
      </w:r>
      <w:r w:rsidRPr="00EC250C">
        <w:rPr>
          <w:bCs/>
          <w:iCs/>
        </w:rPr>
        <w:t xml:space="preserve"> przez Dyrektora Departamentu Prawnego Ministerstwa Zdrowia wynikało, że problematyka </w:t>
      </w:r>
      <w:r w:rsidR="00021590" w:rsidRPr="00EC250C">
        <w:rPr>
          <w:bCs/>
          <w:iCs/>
        </w:rPr>
        <w:t xml:space="preserve">ta </w:t>
      </w:r>
      <w:r w:rsidRPr="00EC250C">
        <w:rPr>
          <w:bCs/>
          <w:iCs/>
        </w:rPr>
        <w:t>nie była dotychczas Ministerstwu sygnalizowana. Niemniej kwestia ta miała zostać rozważona przy nowelizacji rozporządzenia Ministra Zdrowia</w:t>
      </w:r>
      <w:r w:rsidR="00992FD0" w:rsidRPr="00EC250C">
        <w:rPr>
          <w:bCs/>
          <w:iCs/>
        </w:rPr>
        <w:t xml:space="preserve"> w </w:t>
      </w:r>
      <w:r w:rsidRPr="00EC250C">
        <w:rPr>
          <w:bCs/>
          <w:iCs/>
        </w:rPr>
        <w:t>sprawie prowadzenia depozytu</w:t>
      </w:r>
      <w:r w:rsidR="00992FD0" w:rsidRPr="00EC250C">
        <w:rPr>
          <w:bCs/>
          <w:iCs/>
        </w:rPr>
        <w:t xml:space="preserve"> w </w:t>
      </w:r>
      <w:r w:rsidRPr="00EC250C">
        <w:rPr>
          <w:bCs/>
          <w:iCs/>
        </w:rPr>
        <w:t>stacjonarnym zakładzie opieki zdrowotnej</w:t>
      </w:r>
      <w:r w:rsidRPr="00EC250C">
        <w:rPr>
          <w:rStyle w:val="Odwoanieprzypisudolnego"/>
          <w:bCs/>
          <w:iCs/>
        </w:rPr>
        <w:footnoteReference w:id="306"/>
      </w:r>
      <w:r w:rsidRPr="00EC250C">
        <w:rPr>
          <w:bCs/>
          <w:iCs/>
        </w:rPr>
        <w:t>. Po wejściu RODO nic się</w:t>
      </w:r>
      <w:r w:rsidR="00992FD0" w:rsidRPr="00EC250C">
        <w:rPr>
          <w:bCs/>
          <w:iCs/>
        </w:rPr>
        <w:t xml:space="preserve"> w </w:t>
      </w:r>
      <w:r w:rsidRPr="00EC250C">
        <w:rPr>
          <w:bCs/>
          <w:iCs/>
        </w:rPr>
        <w:t xml:space="preserve">tej sprawie nie zmieniło, </w:t>
      </w:r>
      <w:r w:rsidR="00021590" w:rsidRPr="00EC250C">
        <w:rPr>
          <w:bCs/>
          <w:iCs/>
        </w:rPr>
        <w:t>stąd kolejne wystąpienie</w:t>
      </w:r>
      <w:r w:rsidRPr="00EC250C">
        <w:rPr>
          <w:bCs/>
          <w:iCs/>
        </w:rPr>
        <w:t xml:space="preserve"> RPO.</w:t>
      </w:r>
    </w:p>
    <w:p w14:paraId="029C2B1E" w14:textId="77777777" w:rsidR="009673FB" w:rsidRPr="00EC250C" w:rsidRDefault="009673FB" w:rsidP="00D131FA">
      <w:pPr>
        <w:pStyle w:val="Styl1"/>
        <w:rPr>
          <w:bCs/>
          <w:iCs/>
        </w:rPr>
      </w:pPr>
      <w:r w:rsidRPr="00EC250C">
        <w:rPr>
          <w:bCs/>
          <w:iCs/>
        </w:rPr>
        <w:t>W odpowiedzi Minister Zdrowia poinformował, że przekazał problem do Ministerstwa Sprawiedliwości</w:t>
      </w:r>
      <w:r w:rsidRPr="00EC250C">
        <w:rPr>
          <w:rStyle w:val="Odwoanieprzypisudolnego"/>
          <w:bCs/>
          <w:iCs/>
        </w:rPr>
        <w:footnoteReference w:id="307"/>
      </w:r>
      <w:r w:rsidRPr="00EC250C">
        <w:rPr>
          <w:bCs/>
          <w:iCs/>
        </w:rPr>
        <w:t>.</w:t>
      </w:r>
      <w:r w:rsidR="00691CE4" w:rsidRPr="00EC250C">
        <w:rPr>
          <w:bCs/>
          <w:iCs/>
        </w:rPr>
        <w:t xml:space="preserve"> </w:t>
      </w:r>
      <w:r w:rsidR="00E7109D" w:rsidRPr="00EC250C">
        <w:rPr>
          <w:bCs/>
          <w:iCs/>
        </w:rPr>
        <w:t>Odpowiedź z MS nie nadeszła</w:t>
      </w:r>
      <w:r w:rsidR="00691CE4" w:rsidRPr="00EC250C">
        <w:rPr>
          <w:bCs/>
          <w:iCs/>
        </w:rPr>
        <w:t>.</w:t>
      </w:r>
    </w:p>
    <w:p w14:paraId="3C2ED199" w14:textId="77777777" w:rsidR="009673FB" w:rsidRPr="00EC250C" w:rsidRDefault="0074144A" w:rsidP="00EC79EB">
      <w:pPr>
        <w:pStyle w:val="Nagwek4"/>
      </w:pPr>
      <w:bookmarkStart w:id="302" w:name="_Toc11247653"/>
      <w:r w:rsidRPr="00EC250C">
        <w:t>Bariery w korzystaniu z prawa do kopiowania akt przez</w:t>
      </w:r>
      <w:r w:rsidRPr="00EC250C">
        <w:rPr>
          <w:rFonts w:hint="eastAsia"/>
        </w:rPr>
        <w:t> </w:t>
      </w:r>
      <w:r w:rsidR="009673FB" w:rsidRPr="00EC250C">
        <w:t>stron</w:t>
      </w:r>
      <w:r w:rsidRPr="00EC250C">
        <w:t>y</w:t>
      </w:r>
      <w:r w:rsidR="009673FB" w:rsidRPr="00EC250C">
        <w:t xml:space="preserve"> postępowania</w:t>
      </w:r>
      <w:bookmarkEnd w:id="299"/>
      <w:bookmarkEnd w:id="302"/>
    </w:p>
    <w:p w14:paraId="6B2BC129" w14:textId="77777777" w:rsidR="00B473F5" w:rsidRPr="00EC250C" w:rsidRDefault="009673FB" w:rsidP="00D131FA">
      <w:pPr>
        <w:pStyle w:val="Problemczowieka"/>
        <w:jc w:val="both"/>
      </w:pPr>
      <w:r w:rsidRPr="00EC250C">
        <w:rPr>
          <w:rStyle w:val="Pogrubienie"/>
          <w:b/>
          <w:bCs w:val="0"/>
        </w:rPr>
        <w:t>Strona musi mieć możliwość utrwalania na własne potrzeby akt sprawy, która toczy się</w:t>
      </w:r>
      <w:r w:rsidR="00992FD0" w:rsidRPr="00EC250C">
        <w:rPr>
          <w:rStyle w:val="Pogrubienie"/>
          <w:b/>
          <w:bCs w:val="0"/>
        </w:rPr>
        <w:t xml:space="preserve"> z </w:t>
      </w:r>
      <w:r w:rsidRPr="00EC250C">
        <w:rPr>
          <w:rStyle w:val="Pogrubienie"/>
          <w:b/>
          <w:bCs w:val="0"/>
        </w:rPr>
        <w:t>jej udziałem. Jeżeli ktoś nie posiada odpowiednich urządzeń albo nie potrafi się nimi posługiwać, to organ administracji powinien sporządzać takie kopie</w:t>
      </w:r>
      <w:r w:rsidR="00B473F5" w:rsidRPr="00EC250C">
        <w:t>.</w:t>
      </w:r>
    </w:p>
    <w:p w14:paraId="089E25ED" w14:textId="77777777" w:rsidR="009673FB" w:rsidRPr="00EC250C" w:rsidRDefault="009673FB" w:rsidP="00D131FA">
      <w:pPr>
        <w:pStyle w:val="Styl1"/>
      </w:pPr>
      <w:r w:rsidRPr="00EC250C">
        <w:t>RPO zadał pytanie prawne Naczelnemu Sądowi Administracyjnemu</w:t>
      </w:r>
      <w:r w:rsidRPr="00EC250C">
        <w:rPr>
          <w:rStyle w:val="Odwoanieprzypisudolnego"/>
          <w:bCs/>
          <w:iCs/>
        </w:rPr>
        <w:footnoteReference w:id="308"/>
      </w:r>
      <w:r w:rsidRPr="00EC250C">
        <w:t>. Brzmi ono: „Czy</w:t>
      </w:r>
      <w:r w:rsidR="00992FD0" w:rsidRPr="00EC250C">
        <w:t xml:space="preserve"> w </w:t>
      </w:r>
      <w:r w:rsidRPr="00EC250C">
        <w:t>ramach udostępniania akt stronie, na podstawie art. 73 ust. 1 Kodeksu postępowania administracyjnego, mieści się sporządzenie przez organ,</w:t>
      </w:r>
      <w:r w:rsidR="00992FD0" w:rsidRPr="00EC250C">
        <w:t xml:space="preserve"> w </w:t>
      </w:r>
      <w:r w:rsidRPr="00EC250C">
        <w:t>sposób wynikający</w:t>
      </w:r>
      <w:r w:rsidR="00992FD0" w:rsidRPr="00EC250C">
        <w:t xml:space="preserve"> z </w:t>
      </w:r>
      <w:r w:rsidRPr="00EC250C">
        <w:t>posiadanych możliwości technicznych</w:t>
      </w:r>
      <w:r w:rsidR="00992FD0" w:rsidRPr="00EC250C">
        <w:t xml:space="preserve"> i </w:t>
      </w:r>
      <w:r w:rsidRPr="00EC250C">
        <w:t>organizacyjnych, na wniosek strony, kopii dokumentacji zgromadzonej</w:t>
      </w:r>
      <w:r w:rsidR="00992FD0" w:rsidRPr="00EC250C">
        <w:t xml:space="preserve"> w </w:t>
      </w:r>
      <w:r w:rsidRPr="00EC250C">
        <w:t>aktach sprawy”.</w:t>
      </w:r>
    </w:p>
    <w:p w14:paraId="3621BB75" w14:textId="77777777" w:rsidR="00C91F6E" w:rsidRPr="00EC250C" w:rsidRDefault="009673FB" w:rsidP="00D131FA">
      <w:pPr>
        <w:pStyle w:val="Styl1"/>
      </w:pPr>
      <w:r w:rsidRPr="00EC250C">
        <w:t>Według linii dominującej</w:t>
      </w:r>
      <w:r w:rsidR="00992FD0" w:rsidRPr="00EC250C">
        <w:t xml:space="preserve"> w </w:t>
      </w:r>
      <w:r w:rsidRPr="00EC250C">
        <w:t>orzecznictwie, art. 73 ust. 1 Kpa nie nakłada na organ obowiązku sporządzania kopii, bo wykonanie notatek, kopii lub odpisów należy do strony. Druga linia orzecznicza mniej rygorystycznie podchodzi do tekstu ustawy. Podkreśla zaś konieczność uwzględniania norm konstytucyjnych</w:t>
      </w:r>
      <w:r w:rsidR="00992FD0" w:rsidRPr="00EC250C">
        <w:t xml:space="preserve"> i </w:t>
      </w:r>
      <w:r w:rsidRPr="00EC250C">
        <w:t>ogólnych zasad prawa administracyjnego,</w:t>
      </w:r>
      <w:r w:rsidR="00992FD0" w:rsidRPr="00EC250C">
        <w:t xml:space="preserve"> w </w:t>
      </w:r>
      <w:r w:rsidRPr="00EC250C">
        <w:t>tym zasady prawa strony do czynnego udziału</w:t>
      </w:r>
      <w:r w:rsidR="00992FD0" w:rsidRPr="00EC250C">
        <w:t xml:space="preserve"> w </w:t>
      </w:r>
      <w:r w:rsidRPr="00EC250C">
        <w:t>postępowaniu.</w:t>
      </w:r>
    </w:p>
    <w:p w14:paraId="4721407C" w14:textId="77777777" w:rsidR="009673FB" w:rsidRPr="00EC250C" w:rsidRDefault="009673FB" w:rsidP="00D131FA">
      <w:pPr>
        <w:pStyle w:val="Styl1"/>
      </w:pPr>
      <w:r w:rsidRPr="00EC250C">
        <w:lastRenderedPageBreak/>
        <w:t>Według RPO słuszna jest właśnie ta linia orzecznicza sądów: „Posiadanie odpowiednich urządzeń kopiujących</w:t>
      </w:r>
      <w:r w:rsidR="00992FD0" w:rsidRPr="00EC250C">
        <w:t xml:space="preserve"> i </w:t>
      </w:r>
      <w:r w:rsidRPr="00EC250C">
        <w:t>umiejętność posługiwania się nimi, co chociażby</w:t>
      </w:r>
      <w:r w:rsidR="00992FD0" w:rsidRPr="00EC250C">
        <w:t xml:space="preserve"> w </w:t>
      </w:r>
      <w:r w:rsidRPr="00EC250C">
        <w:t>przypadku osób starszych nie może być uznawane za pewnik, nie może być bowiem barierą</w:t>
      </w:r>
      <w:r w:rsidR="00992FD0" w:rsidRPr="00EC250C">
        <w:t xml:space="preserve"> w </w:t>
      </w:r>
      <w:r w:rsidRPr="00EC250C">
        <w:t>korzystaniu</w:t>
      </w:r>
      <w:r w:rsidR="00992FD0" w:rsidRPr="00EC250C">
        <w:t xml:space="preserve"> z </w:t>
      </w:r>
      <w:r w:rsidRPr="00EC250C">
        <w:t>przyznanych stronom postępowania administracyjnego uprawnień, prowadząc do różnicowania ich sytuacji procesowej ze względu na posiadane kompetencje technologiczne”</w:t>
      </w:r>
      <w:r w:rsidR="00026572" w:rsidRPr="00EC250C">
        <w:t xml:space="preserve"> – </w:t>
      </w:r>
      <w:r w:rsidRPr="00EC250C">
        <w:t>wskazał RPO.</w:t>
      </w:r>
    </w:p>
    <w:p w14:paraId="61B3ABBD" w14:textId="77777777" w:rsidR="009673FB" w:rsidRPr="00EC250C" w:rsidRDefault="009673FB" w:rsidP="00D131FA">
      <w:pPr>
        <w:pStyle w:val="Styl1"/>
        <w:rPr>
          <w:bCs/>
          <w:iCs/>
        </w:rPr>
      </w:pPr>
      <w:r w:rsidRPr="00EC250C">
        <w:rPr>
          <w:bCs/>
          <w:iCs/>
        </w:rPr>
        <w:t>Naczelny Sąd Administracyjny uchwałą</w:t>
      </w:r>
      <w:r w:rsidRPr="00EC250C">
        <w:rPr>
          <w:rStyle w:val="Odwoanieprzypisudolnego"/>
          <w:bCs/>
          <w:iCs/>
        </w:rPr>
        <w:footnoteReference w:id="309"/>
      </w:r>
      <w:r w:rsidRPr="00EC250C">
        <w:rPr>
          <w:bCs/>
          <w:iCs/>
        </w:rPr>
        <w:t xml:space="preserve"> uwzględnił wniosek Rzecznika. Zdaniem NSA odmowa wykonania kopii za pomocą dostępnych</w:t>
      </w:r>
      <w:r w:rsidR="00992FD0" w:rsidRPr="00EC250C">
        <w:rPr>
          <w:bCs/>
          <w:iCs/>
        </w:rPr>
        <w:t xml:space="preserve"> w </w:t>
      </w:r>
      <w:r w:rsidRPr="00EC250C">
        <w:rPr>
          <w:bCs/>
          <w:iCs/>
        </w:rPr>
        <w:t>biurze urządzeń prowadziłaby</w:t>
      </w:r>
      <w:r w:rsidR="00992FD0" w:rsidRPr="00EC250C">
        <w:rPr>
          <w:bCs/>
          <w:iCs/>
        </w:rPr>
        <w:t xml:space="preserve"> w </w:t>
      </w:r>
      <w:r w:rsidRPr="00EC250C">
        <w:rPr>
          <w:bCs/>
          <w:iCs/>
        </w:rPr>
        <w:t>istocie do nierówności pomiędzy stronami.</w:t>
      </w:r>
    </w:p>
    <w:p w14:paraId="44D05192" w14:textId="77777777" w:rsidR="00C91F6E" w:rsidRPr="00EC250C" w:rsidRDefault="007C6B6C" w:rsidP="00EC79EB">
      <w:pPr>
        <w:pStyle w:val="Nagwek4"/>
      </w:pPr>
      <w:bookmarkStart w:id="303" w:name="_Toc11247654"/>
      <w:r w:rsidRPr="00EC250C">
        <w:t>K</w:t>
      </w:r>
      <w:r w:rsidR="00032DA3" w:rsidRPr="00EC250C">
        <w:t>andyda</w:t>
      </w:r>
      <w:r w:rsidRPr="00EC250C">
        <w:t>ci</w:t>
      </w:r>
      <w:r w:rsidR="00032DA3" w:rsidRPr="00EC250C">
        <w:t xml:space="preserve"> na biegłych rewidentów </w:t>
      </w:r>
      <w:r w:rsidRPr="00EC250C">
        <w:t xml:space="preserve">nie mogą </w:t>
      </w:r>
      <w:r w:rsidR="000B6141" w:rsidRPr="00EC250C">
        <w:t xml:space="preserve">zrobić kopii </w:t>
      </w:r>
      <w:r w:rsidRPr="00EC250C">
        <w:t>swojej pracy egzaminacyjnej</w:t>
      </w:r>
      <w:bookmarkEnd w:id="296"/>
      <w:bookmarkEnd w:id="303"/>
    </w:p>
    <w:p w14:paraId="06D614B3" w14:textId="77777777" w:rsidR="00B473F5" w:rsidRPr="00EC250C" w:rsidRDefault="000B6141" w:rsidP="00D131FA">
      <w:pPr>
        <w:pStyle w:val="Problemczowieka"/>
        <w:jc w:val="both"/>
        <w:rPr>
          <w:bdr w:val="none" w:sz="0" w:space="0" w:color="auto" w:frame="1"/>
        </w:rPr>
      </w:pPr>
      <w:r w:rsidRPr="00EC250C">
        <w:rPr>
          <w:bdr w:val="none" w:sz="0" w:space="0" w:color="auto" w:frame="1"/>
        </w:rPr>
        <w:t>Kandydat</w:t>
      </w:r>
      <w:r w:rsidR="007C6B6C" w:rsidRPr="00EC250C">
        <w:rPr>
          <w:bdr w:val="none" w:sz="0" w:space="0" w:color="auto" w:frame="1"/>
        </w:rPr>
        <w:t xml:space="preserve"> na biegłego rewidenta, </w:t>
      </w:r>
      <w:r w:rsidRPr="00EC250C">
        <w:rPr>
          <w:bdr w:val="none" w:sz="0" w:space="0" w:color="auto" w:frame="1"/>
        </w:rPr>
        <w:t xml:space="preserve">który nie zaliczy egzaminu, </w:t>
      </w:r>
      <w:r w:rsidR="00992FD0" w:rsidRPr="00EC250C">
        <w:rPr>
          <w:bdr w:val="none" w:sz="0" w:space="0" w:color="auto" w:frame="1"/>
        </w:rPr>
        <w:t>i </w:t>
      </w:r>
      <w:r w:rsidR="007C6B6C" w:rsidRPr="00EC250C">
        <w:rPr>
          <w:bdr w:val="none" w:sz="0" w:space="0" w:color="auto" w:frame="1"/>
        </w:rPr>
        <w:t>ma wątpliwości, czy je</w:t>
      </w:r>
      <w:r w:rsidRPr="00EC250C">
        <w:rPr>
          <w:bdr w:val="none" w:sz="0" w:space="0" w:color="auto" w:frame="1"/>
        </w:rPr>
        <w:t>go</w:t>
      </w:r>
      <w:r w:rsidR="007C6B6C" w:rsidRPr="00EC250C">
        <w:rPr>
          <w:bdr w:val="none" w:sz="0" w:space="0" w:color="auto" w:frame="1"/>
        </w:rPr>
        <w:t xml:space="preserve"> arkusz egzaminacyjny został poprawnie oceniony, nie może skopiować swojej pracy</w:t>
      </w:r>
      <w:r w:rsidR="007C6B6C" w:rsidRPr="00EC250C">
        <w:rPr>
          <w:rStyle w:val="Odwoanieprzypisudolnego"/>
          <w:bCs/>
          <w:iCs/>
        </w:rPr>
        <w:footnoteReference w:id="310"/>
      </w:r>
      <w:r w:rsidR="007C6B6C" w:rsidRPr="00EC250C">
        <w:rPr>
          <w:bdr w:val="none" w:sz="0" w:space="0" w:color="auto" w:frame="1"/>
        </w:rPr>
        <w:t>. Wzory poprawnych rozwiązań nie są także dostępne publicznie</w:t>
      </w:r>
      <w:r w:rsidR="00B473F5" w:rsidRPr="00EC250C">
        <w:rPr>
          <w:bdr w:val="none" w:sz="0" w:space="0" w:color="auto" w:frame="1"/>
        </w:rPr>
        <w:t>.</w:t>
      </w:r>
    </w:p>
    <w:p w14:paraId="5DE4D584" w14:textId="77777777" w:rsidR="00D433B8" w:rsidRPr="00EC250C" w:rsidRDefault="009B5C58" w:rsidP="00D131FA">
      <w:pPr>
        <w:pStyle w:val="Styl1"/>
        <w:rPr>
          <w:bCs/>
          <w:iCs/>
        </w:rPr>
      </w:pPr>
      <w:bookmarkStart w:id="304" w:name="_Toc6257764"/>
      <w:r w:rsidRPr="00EC250C">
        <w:t xml:space="preserve">W ocenie </w:t>
      </w:r>
      <w:r w:rsidR="00D20D4F" w:rsidRPr="00EC250C">
        <w:t>RPO</w:t>
      </w:r>
      <w:r w:rsidRPr="00EC250C">
        <w:t xml:space="preserve"> kandydat na biegłego rewidenta powinien mieć prawo do utrwalenia treści własnej pracy egzaminacyjnej</w:t>
      </w:r>
      <w:r w:rsidR="00992FD0" w:rsidRPr="00EC250C">
        <w:t xml:space="preserve"> w </w:t>
      </w:r>
      <w:r w:rsidRPr="00EC250C">
        <w:t>dowolny dostępny mu sposób, bo to wynika</w:t>
      </w:r>
      <w:r w:rsidR="00992FD0" w:rsidRPr="00EC250C">
        <w:t xml:space="preserve"> z </w:t>
      </w:r>
      <w:r w:rsidRPr="00EC250C">
        <w:t>prawa obywatela do dostępu do dotyczących go dokumentów.</w:t>
      </w:r>
      <w:r w:rsidRPr="00EC250C">
        <w:rPr>
          <w:bCs/>
          <w:iCs/>
        </w:rPr>
        <w:t xml:space="preserve"> Minister Finansów uznał jednak, że ustawa</w:t>
      </w:r>
      <w:r w:rsidR="00992FD0" w:rsidRPr="00EC250C">
        <w:rPr>
          <w:bCs/>
          <w:iCs/>
        </w:rPr>
        <w:t xml:space="preserve"> o </w:t>
      </w:r>
      <w:r w:rsidRPr="00EC250C">
        <w:rPr>
          <w:bCs/>
          <w:iCs/>
        </w:rPr>
        <w:t>biegłych rewidentach nie ogranicza praw konstytucyjnych, bo do pracy egzaminacyjnej można zajrzeć, nie można jej tylko skopiować. Taka regulacja zapewnia wysokie standardy</w:t>
      </w:r>
      <w:r w:rsidR="00992FD0" w:rsidRPr="00EC250C">
        <w:rPr>
          <w:bCs/>
          <w:iCs/>
        </w:rPr>
        <w:t xml:space="preserve"> i </w:t>
      </w:r>
      <w:r w:rsidRPr="00EC250C">
        <w:rPr>
          <w:bCs/>
          <w:iCs/>
        </w:rPr>
        <w:t>przejrzystość postępowania kwalifikacyjnego</w:t>
      </w:r>
      <w:bookmarkStart w:id="305" w:name="_Hlk9596776"/>
      <w:r w:rsidRPr="00EC250C">
        <w:rPr>
          <w:rStyle w:val="Odwoanieprzypisudolnego"/>
          <w:bCs/>
          <w:iCs/>
        </w:rPr>
        <w:footnoteReference w:id="311"/>
      </w:r>
      <w:bookmarkEnd w:id="305"/>
      <w:r w:rsidRPr="00EC250C">
        <w:rPr>
          <w:bCs/>
          <w:iCs/>
        </w:rPr>
        <w:t>.</w:t>
      </w:r>
    </w:p>
    <w:p w14:paraId="2EE01587" w14:textId="77777777" w:rsidR="00D433B8" w:rsidRPr="00EC250C" w:rsidRDefault="00D433B8" w:rsidP="00D131FA">
      <w:pPr>
        <w:spacing w:after="200" w:line="24" w:lineRule="auto"/>
        <w:jc w:val="both"/>
        <w:rPr>
          <w:bCs/>
          <w:iCs/>
          <w:spacing w:val="5"/>
          <w:sz w:val="22"/>
        </w:rPr>
      </w:pPr>
      <w:r w:rsidRPr="00EC250C">
        <w:rPr>
          <w:bCs/>
          <w:iCs/>
          <w:sz w:val="24"/>
        </w:rPr>
        <w:br w:type="page"/>
      </w:r>
    </w:p>
    <w:p w14:paraId="65A69716" w14:textId="77777777" w:rsidR="004C52F3" w:rsidRPr="00EC250C" w:rsidRDefault="004C52F3" w:rsidP="00EC250C">
      <w:pPr>
        <w:pStyle w:val="Nagwek3"/>
      </w:pPr>
      <w:bookmarkStart w:id="306" w:name="_Toc6257765"/>
      <w:bookmarkStart w:id="307" w:name="_Toc11247655"/>
      <w:bookmarkEnd w:id="304"/>
      <w:r w:rsidRPr="00EC250C">
        <w:lastRenderedPageBreak/>
        <w:t xml:space="preserve">Art. 52 </w:t>
      </w:r>
      <w:r w:rsidR="006302BF" w:rsidRPr="00EC250C">
        <w:t xml:space="preserve">Konstytucji </w:t>
      </w:r>
      <w:r w:rsidRPr="00EC250C">
        <w:t>– Wolność poruszania się po terytorium RP</w:t>
      </w:r>
      <w:bookmarkEnd w:id="306"/>
      <w:bookmarkEnd w:id="307"/>
    </w:p>
    <w:p w14:paraId="42FF05ED" w14:textId="77777777" w:rsidR="004C52F3" w:rsidRPr="00EC250C" w:rsidRDefault="004C52F3" w:rsidP="00D131FA">
      <w:pPr>
        <w:pStyle w:val="konstytucja"/>
        <w:jc w:val="both"/>
      </w:pPr>
      <w:r w:rsidRPr="00EC250C">
        <w:t>1. Każdemu zapewnia się wolność poruszania się po terytorium Rzeczypospolitej Polskiej oraz wyboru miejsca zamieszkania</w:t>
      </w:r>
      <w:r w:rsidR="00992FD0" w:rsidRPr="00EC250C">
        <w:t xml:space="preserve"> i </w:t>
      </w:r>
      <w:r w:rsidRPr="00EC250C">
        <w:t>pobytu.</w:t>
      </w:r>
    </w:p>
    <w:p w14:paraId="4C933442" w14:textId="77777777" w:rsidR="004C52F3" w:rsidRPr="00EC250C" w:rsidRDefault="004C52F3" w:rsidP="00D131FA">
      <w:pPr>
        <w:pStyle w:val="konstytucja"/>
        <w:jc w:val="both"/>
      </w:pPr>
      <w:r w:rsidRPr="00EC250C">
        <w:t>2. Każdy może swobodnie opuścić terytorium Rzeczypospolitej Polskiej.</w:t>
      </w:r>
    </w:p>
    <w:p w14:paraId="464895AD" w14:textId="77777777" w:rsidR="004C52F3" w:rsidRPr="00EC250C" w:rsidRDefault="004C52F3" w:rsidP="00D131FA">
      <w:pPr>
        <w:pStyle w:val="konstytucja"/>
        <w:jc w:val="both"/>
      </w:pPr>
      <w:r w:rsidRPr="00EC250C">
        <w:t>3. Wolności,</w:t>
      </w:r>
      <w:r w:rsidR="00992FD0" w:rsidRPr="00EC250C">
        <w:t xml:space="preserve"> o </w:t>
      </w:r>
      <w:r w:rsidRPr="00EC250C">
        <w:t>których mowa</w:t>
      </w:r>
      <w:r w:rsidR="00992FD0" w:rsidRPr="00EC250C">
        <w:t xml:space="preserve"> w </w:t>
      </w:r>
      <w:r w:rsidRPr="00EC250C">
        <w:t>ust. 1</w:t>
      </w:r>
      <w:r w:rsidR="00992FD0" w:rsidRPr="00EC250C">
        <w:t xml:space="preserve"> i </w:t>
      </w:r>
      <w:r w:rsidRPr="00EC250C">
        <w:t>2, mogą podlegać ograniczeniom określonym</w:t>
      </w:r>
      <w:r w:rsidR="00992FD0" w:rsidRPr="00EC250C">
        <w:t xml:space="preserve"> w </w:t>
      </w:r>
      <w:r w:rsidRPr="00EC250C">
        <w:t>ustawie.</w:t>
      </w:r>
    </w:p>
    <w:p w14:paraId="69A2F58C" w14:textId="77777777" w:rsidR="004C52F3" w:rsidRPr="00EC250C" w:rsidRDefault="004C52F3" w:rsidP="00D131FA">
      <w:pPr>
        <w:pStyle w:val="konstytucja"/>
        <w:jc w:val="both"/>
      </w:pPr>
      <w:r w:rsidRPr="00EC250C">
        <w:t>4. Obywatela polskiego nie można wydalić</w:t>
      </w:r>
      <w:r w:rsidR="00992FD0" w:rsidRPr="00EC250C">
        <w:t xml:space="preserve"> z </w:t>
      </w:r>
      <w:r w:rsidRPr="00EC250C">
        <w:t>kraju ani zakazać mu powrotu do kraju.</w:t>
      </w:r>
    </w:p>
    <w:p w14:paraId="2BB2E4B0" w14:textId="77777777" w:rsidR="004C52F3" w:rsidRPr="00EC250C" w:rsidRDefault="004C52F3" w:rsidP="00D131FA">
      <w:pPr>
        <w:pStyle w:val="konstytucja"/>
        <w:jc w:val="both"/>
      </w:pPr>
      <w:r w:rsidRPr="00EC250C">
        <w:t>5. Osoba, której pochodzenie polskie zostało stwierdzone zgodnie</w:t>
      </w:r>
      <w:r w:rsidR="00992FD0" w:rsidRPr="00EC250C">
        <w:t xml:space="preserve"> z </w:t>
      </w:r>
      <w:r w:rsidRPr="00EC250C">
        <w:t>ustawą, może osiedlić się na terytorium Rzeczypospolitej Polskiej na stałe.</w:t>
      </w:r>
    </w:p>
    <w:p w14:paraId="08FBEBD6" w14:textId="77777777" w:rsidR="00C91F6E" w:rsidRPr="00EC250C" w:rsidRDefault="000F53F1" w:rsidP="00D131FA">
      <w:pPr>
        <w:pStyle w:val="ComwiKonstytucja"/>
      </w:pPr>
      <w:r w:rsidRPr="00EC250C">
        <w:t>Swoboda poruszania się jest tradycyjną, klasyczną wolnością jednostki, zazwyczaj traktowaną jako przejaw realizacji wolności osobistej (art. 31 ust. 2).</w:t>
      </w:r>
    </w:p>
    <w:p w14:paraId="4393378D" w14:textId="77777777" w:rsidR="00C91F6E" w:rsidRPr="00EC250C" w:rsidRDefault="000F53F1" w:rsidP="00D131FA">
      <w:pPr>
        <w:pStyle w:val="ComwiKonstytucja"/>
      </w:pPr>
      <w:r w:rsidRPr="00EC250C">
        <w:t>Artykuł 52 należy postrzegać również jako przejaw prawa do decydowania</w:t>
      </w:r>
      <w:r w:rsidR="00992FD0" w:rsidRPr="00EC250C">
        <w:t xml:space="preserve"> o </w:t>
      </w:r>
      <w:r w:rsidRPr="00EC250C">
        <w:t>życiu osobistym (art. 47) oraz jako przykład ogólnego, wolnościowego statusu jednostki (art. 31 ust. 1).</w:t>
      </w:r>
    </w:p>
    <w:p w14:paraId="01C6E8A7" w14:textId="77777777" w:rsidR="00C91F6E" w:rsidRPr="00EC250C" w:rsidRDefault="000F53F1" w:rsidP="00D131FA">
      <w:pPr>
        <w:pStyle w:val="ComwiKonstytucja"/>
      </w:pPr>
      <w:r w:rsidRPr="00EC250C">
        <w:t>Wolność poruszania się oznacza możliwość zmiany miejsca pobytu, zamieszkiwanie (jeśli dysponuje się mieszkaniem) lub pobyt (niezależnie od posiadania mieszkania</w:t>
      </w:r>
      <w:r w:rsidR="00992FD0" w:rsidRPr="00EC250C">
        <w:t xml:space="preserve"> i </w:t>
      </w:r>
      <w:r w:rsidRPr="00EC250C">
        <w:t>tymczasowości). Konstytucja reguluje także swobodę wyjazdu</w:t>
      </w:r>
      <w:r w:rsidR="00992FD0" w:rsidRPr="00EC250C">
        <w:t xml:space="preserve"> z </w:t>
      </w:r>
      <w:r w:rsidRPr="00EC250C">
        <w:t>Polski</w:t>
      </w:r>
      <w:r w:rsidR="00992FD0" w:rsidRPr="00EC250C">
        <w:t xml:space="preserve"> w </w:t>
      </w:r>
      <w:r w:rsidRPr="00EC250C">
        <w:t>dowolnym celu oraz swobodę emigrowania.</w:t>
      </w:r>
    </w:p>
    <w:p w14:paraId="46D80CA2" w14:textId="77777777" w:rsidR="000F53F1" w:rsidRPr="00EC250C" w:rsidRDefault="000F53F1" w:rsidP="00D131FA">
      <w:pPr>
        <w:pStyle w:val="ComwiKonstytucja"/>
      </w:pPr>
      <w:r w:rsidRPr="00EC250C">
        <w:t>Wolności te przysługują nie tylko obywatelom RP, ale każdej jednostce. Obywatel polski przebywający</w:t>
      </w:r>
      <w:r w:rsidR="00992FD0" w:rsidRPr="00EC250C">
        <w:t xml:space="preserve"> w </w:t>
      </w:r>
      <w:r w:rsidRPr="00EC250C">
        <w:t>Rzeczypospolitej, nie może być deportowany do innego państwa (zakaz wydalenia</w:t>
      </w:r>
      <w:r w:rsidR="00992FD0" w:rsidRPr="00EC250C">
        <w:t xml:space="preserve"> z </w:t>
      </w:r>
      <w:r w:rsidRPr="00EC250C">
        <w:t>kraju), nie można mu również zakazać powrotu do kraju. Cudzoziemcy, których pochodzenie polskie zostało stwierdzone, mają zaś prawo osiedlenia się na stałe na terytorium Polski.</w:t>
      </w:r>
    </w:p>
    <w:p w14:paraId="69698502" w14:textId="77777777" w:rsidR="00EE09AA" w:rsidRPr="00EC250C" w:rsidRDefault="00EE09AA" w:rsidP="00D131FA">
      <w:pPr>
        <w:pStyle w:val="ComwiKonstytucja"/>
      </w:pPr>
    </w:p>
    <w:p w14:paraId="10208CA0" w14:textId="77777777" w:rsidR="000F53F1" w:rsidRPr="00EC250C" w:rsidRDefault="000F53F1" w:rsidP="00D131FA">
      <w:pPr>
        <w:spacing w:after="200" w:line="24" w:lineRule="auto"/>
        <w:jc w:val="both"/>
        <w:rPr>
          <w:i/>
          <w:spacing w:val="5"/>
          <w:sz w:val="22"/>
        </w:rPr>
      </w:pPr>
      <w:r w:rsidRPr="00EC250C">
        <w:rPr>
          <w:sz w:val="24"/>
        </w:rPr>
        <w:br w:type="page"/>
      </w:r>
    </w:p>
    <w:p w14:paraId="4BBF8302" w14:textId="77777777" w:rsidR="000D1A1E" w:rsidRPr="00EC250C" w:rsidRDefault="000F53F1" w:rsidP="00EC79EB">
      <w:pPr>
        <w:pStyle w:val="Nagwek4"/>
      </w:pPr>
      <w:bookmarkStart w:id="308" w:name="_Toc6257766"/>
      <w:bookmarkStart w:id="309" w:name="_Toc11247656"/>
      <w:r w:rsidRPr="00EC250C">
        <w:lastRenderedPageBreak/>
        <w:t>O</w:t>
      </w:r>
      <w:r w:rsidR="000D1A1E" w:rsidRPr="00EC250C">
        <w:t>graniczenia</w:t>
      </w:r>
      <w:r w:rsidR="004D7B1D" w:rsidRPr="00EC250C">
        <w:t xml:space="preserve"> wstępu do las</w:t>
      </w:r>
      <w:r w:rsidR="004D7B1D" w:rsidRPr="00EC250C">
        <w:rPr>
          <w:rFonts w:hint="eastAsia"/>
        </w:rPr>
        <w:t>ó</w:t>
      </w:r>
      <w:r w:rsidR="004D7B1D" w:rsidRPr="00EC250C">
        <w:t>w</w:t>
      </w:r>
      <w:r w:rsidR="00CC4D88" w:rsidRPr="00EC250C">
        <w:t xml:space="preserve"> </w:t>
      </w:r>
      <w:r w:rsidR="004D7B1D" w:rsidRPr="00EC250C">
        <w:t>państwowych</w:t>
      </w:r>
      <w:bookmarkEnd w:id="308"/>
      <w:bookmarkEnd w:id="309"/>
    </w:p>
    <w:p w14:paraId="0D11B600" w14:textId="77777777" w:rsidR="00B473F5" w:rsidRPr="00EC250C" w:rsidRDefault="000F53F1" w:rsidP="00D131FA">
      <w:pPr>
        <w:pStyle w:val="Problemczowieka"/>
        <w:jc w:val="both"/>
      </w:pPr>
      <w:r w:rsidRPr="00EC250C">
        <w:t>Ludzie skarżą się Rzecznikowi Praw Obywatelskich na ograniczenia</w:t>
      </w:r>
      <w:r w:rsidR="00992FD0" w:rsidRPr="00EC250C">
        <w:t xml:space="preserve"> w </w:t>
      </w:r>
      <w:r w:rsidRPr="00EC250C">
        <w:t>korzystaniu</w:t>
      </w:r>
      <w:r w:rsidR="00992FD0" w:rsidRPr="00EC250C">
        <w:t xml:space="preserve"> z </w:t>
      </w:r>
      <w:r w:rsidRPr="00EC250C">
        <w:t>lasów należących do Skarbu Państwa. Do lasu nie można wejść, bo Lasy Państwowe wprowadzają okresowe zakazy</w:t>
      </w:r>
      <w:r w:rsidR="00B473F5" w:rsidRPr="00EC250C">
        <w:t>.</w:t>
      </w:r>
    </w:p>
    <w:p w14:paraId="7B7FE268" w14:textId="77777777" w:rsidR="000F53F1" w:rsidRPr="00EC250C" w:rsidRDefault="000F53F1" w:rsidP="00D131FA">
      <w:pPr>
        <w:pStyle w:val="Styl1"/>
        <w:rPr>
          <w:rFonts w:ascii="Open Sans Regular" w:hAnsi="Open Sans Regular"/>
        </w:rPr>
      </w:pPr>
      <w:r w:rsidRPr="00EC250C">
        <w:rPr>
          <w:rStyle w:val="Pogrubienie"/>
          <w:b w:val="0"/>
          <w:bCs w:val="0"/>
        </w:rPr>
        <w:t>Decyzje nadleśniczych powinny być zaskarżalne do sądu administracyjnego</w:t>
      </w:r>
      <w:r w:rsidR="00026572" w:rsidRPr="00EC250C">
        <w:rPr>
          <w:rStyle w:val="Pogrubienie"/>
          <w:b w:val="0"/>
          <w:bCs w:val="0"/>
        </w:rPr>
        <w:t xml:space="preserve"> – </w:t>
      </w:r>
      <w:r w:rsidRPr="00EC250C">
        <w:rPr>
          <w:rStyle w:val="Pogrubienie"/>
          <w:b w:val="0"/>
          <w:bCs w:val="0"/>
        </w:rPr>
        <w:t xml:space="preserve">uważa RPO. </w:t>
      </w:r>
      <w:r w:rsidRPr="00EC250C">
        <w:t>Złożył też kasacje od wyroków nakazowych dla tych, którzy złamali zakazy podczas wycinek</w:t>
      </w:r>
      <w:r w:rsidR="00992FD0" w:rsidRPr="00EC250C">
        <w:t xml:space="preserve"> w </w:t>
      </w:r>
      <w:r w:rsidRPr="00EC250C">
        <w:t>Puszczy Białowieskiej (przed wyrokiem TS UE podważającym legalność tych wycinek</w:t>
      </w:r>
      <w:r w:rsidR="006B0346" w:rsidRPr="00EC250C">
        <w:rPr>
          <w:rStyle w:val="Odwoanieprzypisudolnego"/>
        </w:rPr>
        <w:footnoteReference w:id="312"/>
      </w:r>
      <w:r w:rsidRPr="00EC250C">
        <w:t>)</w:t>
      </w:r>
      <w:r w:rsidR="00E32C21" w:rsidRPr="00EC250C">
        <w:t>.</w:t>
      </w:r>
    </w:p>
    <w:p w14:paraId="741DA9C3" w14:textId="77777777" w:rsidR="006B0346" w:rsidRPr="00EC250C" w:rsidRDefault="006B0346" w:rsidP="00D131FA">
      <w:pPr>
        <w:pStyle w:val="Styl1"/>
      </w:pPr>
      <w:r w:rsidRPr="00EC250C">
        <w:t>O problemie mówili np. uczestnicy spotkania z </w:t>
      </w:r>
      <w:r w:rsidR="00D20D4F" w:rsidRPr="00EC250C">
        <w:t>RPO</w:t>
      </w:r>
      <w:r w:rsidRPr="00EC250C">
        <w:t xml:space="preserve"> w marcu 2018 r. w Teremiskach w Puszczy Białowieskiej. Zakazy blokują pracę przewodnikom turystycznym (co wielu młodym ludziom pozwala dorobić). Całym kompleksem leśnym zarządzają trzy różne nadleśnictwa, które ze sobą nie współpracują, co jeszcze bardziej utrudnia organizację turystyki, z której żyje okolica.</w:t>
      </w:r>
    </w:p>
    <w:p w14:paraId="310692F4" w14:textId="77777777" w:rsidR="000F53F1" w:rsidRPr="00EC250C" w:rsidRDefault="000F53F1" w:rsidP="00D131FA">
      <w:pPr>
        <w:pStyle w:val="Styl1"/>
      </w:pPr>
      <w:r w:rsidRPr="00EC250C">
        <w:t>Mieszkańcy wskazują, że obok arbitralności działań nadleśniczych, problemem jest sposób powiadamiania</w:t>
      </w:r>
      <w:r w:rsidR="00992FD0" w:rsidRPr="00EC250C">
        <w:t xml:space="preserve"> o </w:t>
      </w:r>
      <w:r w:rsidRPr="00EC250C">
        <w:t>wprowadzanych ograniczeniach</w:t>
      </w:r>
      <w:r w:rsidR="00026572" w:rsidRPr="00EC250C">
        <w:t xml:space="preserve"> – </w:t>
      </w:r>
      <w:r w:rsidRPr="00EC250C">
        <w:t>„z dnia na dzień”. Występują też utrudnienia związane</w:t>
      </w:r>
      <w:r w:rsidR="00992FD0" w:rsidRPr="00EC250C">
        <w:t xml:space="preserve"> z </w:t>
      </w:r>
      <w:r w:rsidRPr="00EC250C">
        <w:t>uciążliwymi objazdami.</w:t>
      </w:r>
    </w:p>
    <w:p w14:paraId="644070E2" w14:textId="77777777" w:rsidR="00C91F6E" w:rsidRPr="00EC250C" w:rsidRDefault="000F53F1" w:rsidP="00D131FA">
      <w:pPr>
        <w:pStyle w:val="Styl1"/>
      </w:pPr>
      <w:r w:rsidRPr="00EC250C">
        <w:t xml:space="preserve">W ocenie </w:t>
      </w:r>
      <w:r w:rsidR="00D20D4F" w:rsidRPr="00EC250C">
        <w:t xml:space="preserve">RPO </w:t>
      </w:r>
      <w:r w:rsidRPr="00EC250C">
        <w:t>konstytucyjnych wątpliwości nie budzą np. stałe zakazy wstępu do lasów. Inaczej jest jednak</w:t>
      </w:r>
      <w:r w:rsidR="00992FD0" w:rsidRPr="00EC250C">
        <w:t xml:space="preserve"> w </w:t>
      </w:r>
      <w:r w:rsidRPr="00EC250C">
        <w:t>przypadku zakazów okresowych (których wprowadzenie uzależnione jest od uznania nadleśniczego),</w:t>
      </w:r>
      <w:r w:rsidR="00992FD0" w:rsidRPr="00EC250C">
        <w:t xml:space="preserve"> a </w:t>
      </w:r>
      <w:r w:rsidRPr="00EC250C">
        <w:t>także zasad poruszania się po drogach leśnych (które są określane</w:t>
      </w:r>
      <w:r w:rsidR="00992FD0" w:rsidRPr="00EC250C">
        <w:t xml:space="preserve"> w </w:t>
      </w:r>
      <w:r w:rsidRPr="00EC250C">
        <w:t>ramach dużego marginesu swobody).</w:t>
      </w:r>
    </w:p>
    <w:p w14:paraId="17376A91" w14:textId="77777777" w:rsidR="00FD2F23" w:rsidRPr="00EC250C" w:rsidRDefault="00D20D4F" w:rsidP="00D131FA">
      <w:pPr>
        <w:pStyle w:val="Styl1"/>
      </w:pPr>
      <w:r w:rsidRPr="00EC250C">
        <w:rPr>
          <w:bCs/>
          <w:iCs/>
        </w:rPr>
        <w:t>RPO</w:t>
      </w:r>
      <w:r w:rsidR="00FD2F23" w:rsidRPr="00EC250C">
        <w:rPr>
          <w:bCs/>
          <w:iCs/>
        </w:rPr>
        <w:t xml:space="preserve"> zwrócił się</w:t>
      </w:r>
      <w:r w:rsidR="00992FD0" w:rsidRPr="00EC250C">
        <w:rPr>
          <w:bCs/>
          <w:iCs/>
        </w:rPr>
        <w:t xml:space="preserve"> z </w:t>
      </w:r>
      <w:r w:rsidR="00FD2F23" w:rsidRPr="00EC250C">
        <w:rPr>
          <w:bCs/>
          <w:iCs/>
        </w:rPr>
        <w:t>tym do Ministra Środowiska. Ten wyjaśnił, że możliwość wprowadzania przez nadleśniczych Lasów Państwowych okresowych zakazów wstępu do lasów oraz dopuszczania dróg leśnych do ruchu wynika ze specyfiki prowadzenia gospodarki</w:t>
      </w:r>
      <w:r w:rsidR="0095683E" w:rsidRPr="00EC250C">
        <w:rPr>
          <w:rStyle w:val="Odwoanieprzypisudolnego"/>
          <w:bCs/>
          <w:iCs/>
        </w:rPr>
        <w:footnoteReference w:id="313"/>
      </w:r>
      <w:r w:rsidR="0095683E" w:rsidRPr="00EC250C">
        <w:rPr>
          <w:bCs/>
          <w:iCs/>
        </w:rPr>
        <w:t>.</w:t>
      </w:r>
    </w:p>
    <w:p w14:paraId="43FFF5B2" w14:textId="77777777" w:rsidR="000F53F1" w:rsidRPr="00EC250C" w:rsidRDefault="000F53F1" w:rsidP="00D131FA">
      <w:pPr>
        <w:pStyle w:val="ODESANIE"/>
        <w:jc w:val="both"/>
      </w:pPr>
      <w:r w:rsidRPr="00EC250C">
        <w:t>Kasacje</w:t>
      </w:r>
      <w:r w:rsidR="00992FD0" w:rsidRPr="00EC250C">
        <w:t xml:space="preserve"> w </w:t>
      </w:r>
      <w:r w:rsidRPr="00EC250C">
        <w:t>sprawach</w:t>
      </w:r>
      <w:r w:rsidR="00992FD0" w:rsidRPr="00EC250C">
        <w:t xml:space="preserve"> o </w:t>
      </w:r>
      <w:r w:rsidRPr="00EC250C">
        <w:t>złamanie zakazu wstępu do lasu</w:t>
      </w:r>
      <w:r w:rsidR="00077882" w:rsidRPr="00EC250C">
        <w:t xml:space="preserve"> – art. 57 Konstytucji</w:t>
      </w:r>
    </w:p>
    <w:p w14:paraId="4D819045" w14:textId="77777777" w:rsidR="00FD2F23" w:rsidRPr="00EC250C" w:rsidRDefault="00FD2F23" w:rsidP="00EC79EB">
      <w:pPr>
        <w:pStyle w:val="Nagwek4"/>
      </w:pPr>
      <w:bookmarkStart w:id="310" w:name="_Toc6257767"/>
      <w:bookmarkStart w:id="311" w:name="_Toc11247657"/>
      <w:r w:rsidRPr="00EC250C">
        <w:t>W</w:t>
      </w:r>
      <w:r w:rsidR="003D7CD8" w:rsidRPr="00EC250C">
        <w:t>ykluczeni</w:t>
      </w:r>
      <w:r w:rsidRPr="00EC250C">
        <w:t>e</w:t>
      </w:r>
      <w:r w:rsidR="003D7CD8" w:rsidRPr="00EC250C">
        <w:t xml:space="preserve"> transportow</w:t>
      </w:r>
      <w:r w:rsidRPr="00EC250C">
        <w:t>e – brak publicznego transportu do lekarza, urzędu, szkoły</w:t>
      </w:r>
      <w:bookmarkEnd w:id="310"/>
      <w:r w:rsidR="003B6E55" w:rsidRPr="00EC250C">
        <w:t xml:space="preserve"> czy instytucji kultury</w:t>
      </w:r>
      <w:bookmarkEnd w:id="311"/>
    </w:p>
    <w:p w14:paraId="7E888267" w14:textId="77777777" w:rsidR="00B473F5" w:rsidRPr="00EC250C" w:rsidRDefault="006B0346" w:rsidP="00D131FA">
      <w:pPr>
        <w:pStyle w:val="Problemczowieka"/>
        <w:jc w:val="both"/>
      </w:pPr>
      <w:r w:rsidRPr="00EC250C">
        <w:t>Z problemem wykluczenia transportowego RPO stykał się wielokrotnie w czasie swoich spotkań regionalnych. Ludzie opowiadali, że nie mogą korzystać z pomocy lekarzy-specjalistów, bo nie ma jak pokonać 30-50 kilometrów do większego ośrodka miejskiego. Młodzi ludzie z mniejszych miejscowości są odcięci od zajęć pozalekcyjnych i życia towarzyskiego, bo ostatni autobus szkolny odjeżdża tuż po lekcjach</w:t>
      </w:r>
      <w:r w:rsidR="00B473F5" w:rsidRPr="00EC250C">
        <w:t>.</w:t>
      </w:r>
    </w:p>
    <w:p w14:paraId="55FF935E" w14:textId="77777777" w:rsidR="00D52B5C" w:rsidRPr="00EC250C" w:rsidRDefault="00D52B5C" w:rsidP="00D131FA">
      <w:pPr>
        <w:pStyle w:val="Styl1"/>
      </w:pPr>
      <w:r w:rsidRPr="00EC250C">
        <w:lastRenderedPageBreak/>
        <w:t xml:space="preserve">Te alarmujące sygnały skłoniły RPO </w:t>
      </w:r>
      <w:r w:rsidR="006B0346" w:rsidRPr="00EC250C">
        <w:t xml:space="preserve">do </w:t>
      </w:r>
      <w:r w:rsidRPr="00EC250C">
        <w:t>zorganizowania specjalnego panelu</w:t>
      </w:r>
      <w:r w:rsidR="00992FD0" w:rsidRPr="00EC250C">
        <w:t xml:space="preserve"> w </w:t>
      </w:r>
      <w:r w:rsidRPr="00EC250C">
        <w:t>czasie II</w:t>
      </w:r>
      <w:r w:rsidR="006B0346" w:rsidRPr="00EC250C">
        <w:t> </w:t>
      </w:r>
      <w:r w:rsidRPr="00EC250C">
        <w:t>Kongresu Praw Obywatelskich, po to, by eksperci mogli przedstawić argumenty,</w:t>
      </w:r>
      <w:r w:rsidR="00992FD0" w:rsidRPr="00EC250C">
        <w:t xml:space="preserve"> a </w:t>
      </w:r>
      <w:r w:rsidRPr="00EC250C">
        <w:t>wielkomiejska opinia publiczna dowiedziała się</w:t>
      </w:r>
      <w:r w:rsidR="00992FD0" w:rsidRPr="00EC250C">
        <w:t xml:space="preserve"> o </w:t>
      </w:r>
      <w:r w:rsidRPr="00EC250C">
        <w:t>problemie.</w:t>
      </w:r>
    </w:p>
    <w:p w14:paraId="48C550FE" w14:textId="77777777" w:rsidR="003D7CD8" w:rsidRPr="00EC250C" w:rsidRDefault="00FD2F23" w:rsidP="00EC250C">
      <w:pPr>
        <w:pStyle w:val="Nagwek5"/>
      </w:pPr>
      <w:r w:rsidRPr="00EC250C">
        <w:t xml:space="preserve">O wykluczeniu transportowym </w:t>
      </w:r>
      <w:r w:rsidR="003D7CD8" w:rsidRPr="00EC250C">
        <w:t>na II Kongresie Praw Obywatelskich</w:t>
      </w:r>
    </w:p>
    <w:p w14:paraId="54C103ED" w14:textId="77777777" w:rsidR="00B473F5" w:rsidRPr="00EC250C" w:rsidRDefault="00E33536" w:rsidP="00D131FA">
      <w:pPr>
        <w:pStyle w:val="Problemczowieka"/>
        <w:jc w:val="both"/>
        <w:rPr>
          <w:rStyle w:val="Pogrubienie"/>
          <w:b/>
          <w:bCs w:val="0"/>
        </w:rPr>
      </w:pPr>
      <w:r w:rsidRPr="00EC250C">
        <w:rPr>
          <w:rStyle w:val="Pogrubienie"/>
          <w:b/>
          <w:bCs w:val="0"/>
        </w:rPr>
        <w:t>Problem wykluczenia transportowego nie sprowadza się tylko do braku możliwości korzystania</w:t>
      </w:r>
      <w:r w:rsidR="00992FD0" w:rsidRPr="00EC250C">
        <w:rPr>
          <w:rStyle w:val="Pogrubienie"/>
          <w:b/>
          <w:bCs w:val="0"/>
        </w:rPr>
        <w:t xml:space="preserve"> z </w:t>
      </w:r>
      <w:r w:rsidRPr="00EC250C">
        <w:rPr>
          <w:rStyle w:val="Pogrubienie"/>
          <w:b/>
          <w:bCs w:val="0"/>
        </w:rPr>
        <w:t>komunikacji publicznej, ale dotyka też kwestii społecznych, gospodarczych. Bezpośrednio ogranicza prawa człowieka – mówili uczestnicy panelu</w:t>
      </w:r>
      <w:r w:rsidR="00950F97" w:rsidRPr="00EC250C">
        <w:rPr>
          <w:rStyle w:val="Odwoanieprzypisudolnego"/>
        </w:rPr>
        <w:footnoteReference w:id="314"/>
      </w:r>
      <w:r w:rsidR="00B473F5" w:rsidRPr="00EC250C">
        <w:rPr>
          <w:rStyle w:val="Pogrubienie"/>
          <w:b/>
          <w:bCs w:val="0"/>
        </w:rPr>
        <w:t>.</w:t>
      </w:r>
    </w:p>
    <w:p w14:paraId="0BC08B45" w14:textId="77777777" w:rsidR="006B0346" w:rsidRPr="00EC250C" w:rsidRDefault="006B0346" w:rsidP="00D131FA">
      <w:pPr>
        <w:pStyle w:val="Styl1"/>
      </w:pPr>
      <w:r w:rsidRPr="00EC250C">
        <w:t>Wiele wsi, ale także mniejszych miast jest „odciętych od reszty kraju i świata”. Ta sytuacja staje się coraz bardziej powszechna. Wielu mieszkańców, aby dostać się do lekarza, czy skorzystać z innych usług publicznych, jest zmuszonych prosić sąsiadów lub rodzinę posiadającą samochód.</w:t>
      </w:r>
    </w:p>
    <w:p w14:paraId="74AB8651" w14:textId="77777777" w:rsidR="00E33536" w:rsidRPr="00EC250C" w:rsidRDefault="006B0346" w:rsidP="00D131FA">
      <w:pPr>
        <w:pStyle w:val="Styl1"/>
      </w:pPr>
      <w:r w:rsidRPr="00EC250C">
        <w:t xml:space="preserve">Uczestnicy </w:t>
      </w:r>
      <w:r w:rsidR="00E33536" w:rsidRPr="00EC250C">
        <w:t>dyskusji zgodzili się, że wykluczenie transportowe dotyczy właściwie całego obszaru kraju</w:t>
      </w:r>
      <w:r w:rsidR="00992FD0" w:rsidRPr="00EC250C">
        <w:t xml:space="preserve"> i </w:t>
      </w:r>
      <w:r w:rsidR="00E33536" w:rsidRPr="00EC250C">
        <w:t xml:space="preserve">jest ono znacznie poważniejsze na obszarach wiejskich. Liczba samochodów na obszarach wiejskich jest </w:t>
      </w:r>
      <w:r w:rsidRPr="00EC250C">
        <w:t xml:space="preserve">konsekwencją </w:t>
      </w:r>
      <w:r w:rsidR="00E33536" w:rsidRPr="00EC250C">
        <w:t>braku transportu publicznego,</w:t>
      </w:r>
      <w:r w:rsidR="00992FD0" w:rsidRPr="00EC250C">
        <w:t xml:space="preserve"> a </w:t>
      </w:r>
      <w:r w:rsidR="00E33536" w:rsidRPr="00EC250C">
        <w:t>samochód jest jedynym środkiem komunikacji. Zgodzono się, że wykluczenie transportowe skutkuje wykluczeniem społecznym, zawodowym, wpływa negatywnie na rozwój całych obszarów</w:t>
      </w:r>
      <w:r w:rsidR="00992FD0" w:rsidRPr="00EC250C">
        <w:t xml:space="preserve"> i </w:t>
      </w:r>
      <w:r w:rsidR="00E33536" w:rsidRPr="00EC250C">
        <w:t>uderza najbardziej</w:t>
      </w:r>
      <w:r w:rsidR="00992FD0" w:rsidRPr="00EC250C">
        <w:t xml:space="preserve"> w </w:t>
      </w:r>
      <w:r w:rsidR="00E33536" w:rsidRPr="00EC250C">
        <w:t>ludzi najsłabszych, biednych, starszych</w:t>
      </w:r>
      <w:r w:rsidR="00992FD0" w:rsidRPr="00EC250C">
        <w:t xml:space="preserve"> i z </w:t>
      </w:r>
      <w:r w:rsidR="00E33536" w:rsidRPr="00EC250C">
        <w:t>niepełnosprawnościami.</w:t>
      </w:r>
    </w:p>
    <w:p w14:paraId="734CD0BA" w14:textId="77777777" w:rsidR="00E33536" w:rsidRPr="00EC250C" w:rsidRDefault="00E33536" w:rsidP="00D131FA">
      <w:pPr>
        <w:pStyle w:val="Styl1"/>
      </w:pPr>
      <w:r w:rsidRPr="00EC250C">
        <w:t>Brak transportu publicznego</w:t>
      </w:r>
      <w:r w:rsidR="00992FD0" w:rsidRPr="00EC250C">
        <w:t xml:space="preserve"> i </w:t>
      </w:r>
      <w:r w:rsidRPr="00EC250C">
        <w:t xml:space="preserve">konieczność posiadania dużej liczby samochodów przyczynia się </w:t>
      </w:r>
      <w:r w:rsidR="003B6E55" w:rsidRPr="00EC250C">
        <w:t xml:space="preserve">również </w:t>
      </w:r>
      <w:r w:rsidRPr="00EC250C">
        <w:t>do zatorów na autostradach</w:t>
      </w:r>
      <w:r w:rsidR="00992FD0" w:rsidRPr="00EC250C">
        <w:t xml:space="preserve"> i </w:t>
      </w:r>
      <w:r w:rsidRPr="00EC250C">
        <w:t>drogach krajowych</w:t>
      </w:r>
      <w:r w:rsidR="00992FD0" w:rsidRPr="00EC250C">
        <w:t xml:space="preserve"> i </w:t>
      </w:r>
      <w:r w:rsidRPr="00EC250C">
        <w:t>tym samym</w:t>
      </w:r>
      <w:r w:rsidR="00043578" w:rsidRPr="00EC250C">
        <w:t xml:space="preserve"> przyczynia się</w:t>
      </w:r>
      <w:r w:rsidRPr="00EC250C">
        <w:t xml:space="preserve"> do degradacji środowiska. To</w:t>
      </w:r>
      <w:r w:rsidR="00950F97" w:rsidRPr="00EC250C">
        <w:t>,</w:t>
      </w:r>
      <w:r w:rsidRPr="00EC250C">
        <w:t xml:space="preserve"> co można zrobić na już</w:t>
      </w:r>
      <w:r w:rsidR="00950F97" w:rsidRPr="00EC250C">
        <w:t>,</w:t>
      </w:r>
      <w:r w:rsidRPr="00EC250C">
        <w:t xml:space="preserve"> to </w:t>
      </w:r>
      <w:r w:rsidR="00043578" w:rsidRPr="00EC250C">
        <w:t xml:space="preserve">udostępnić autobusy </w:t>
      </w:r>
      <w:r w:rsidRPr="00EC250C">
        <w:t>szkolne dla wszystkich potrzebujących. Natomiast docelowo należy skupić odpowiedzialność za cały transport autobusowy</w:t>
      </w:r>
      <w:r w:rsidR="00992FD0" w:rsidRPr="00EC250C">
        <w:t xml:space="preserve"> i </w:t>
      </w:r>
      <w:r w:rsidRPr="00EC250C">
        <w:t>kolejowy</w:t>
      </w:r>
      <w:r w:rsidR="00992FD0" w:rsidRPr="00EC250C">
        <w:t xml:space="preserve"> w </w:t>
      </w:r>
      <w:r w:rsidRPr="00EC250C">
        <w:t>samorządach województw.</w:t>
      </w:r>
    </w:p>
    <w:p w14:paraId="64F060C9" w14:textId="77777777" w:rsidR="00E33536" w:rsidRPr="00EC250C" w:rsidRDefault="00E33536" w:rsidP="00D131FA">
      <w:pPr>
        <w:pStyle w:val="Styl1"/>
      </w:pPr>
      <w:r w:rsidRPr="00EC250C">
        <w:t>Prawo jednak nie zmieni wszystkiego. Bardzo ważne jest budowanie świadomości obywatelskiej,</w:t>
      </w:r>
      <w:r w:rsidR="00992FD0" w:rsidRPr="00EC250C">
        <w:t xml:space="preserve"> o </w:t>
      </w:r>
      <w:r w:rsidRPr="00EC250C">
        <w:t>tym jak wielką rolę dla naszych praw odgrywa możliwość korzystania</w:t>
      </w:r>
      <w:r w:rsidR="00992FD0" w:rsidRPr="00EC250C">
        <w:t xml:space="preserve"> z </w:t>
      </w:r>
      <w:r w:rsidRPr="00EC250C">
        <w:t>komunikacji publicznej.</w:t>
      </w:r>
      <w:r w:rsidR="00950F97" w:rsidRPr="00EC250C">
        <w:t xml:space="preserve"> </w:t>
      </w:r>
      <w:r w:rsidRPr="00EC250C">
        <w:t>Ważna jest też współpraca między samorządami</w:t>
      </w:r>
      <w:r w:rsidR="00992FD0" w:rsidRPr="00EC250C">
        <w:t xml:space="preserve"> i </w:t>
      </w:r>
      <w:r w:rsidRPr="00EC250C">
        <w:t>zawiązywanie partnerstw czy porozumień.</w:t>
      </w:r>
    </w:p>
    <w:p w14:paraId="74BDEA8A" w14:textId="77777777" w:rsidR="00E33536" w:rsidRPr="00EC250C" w:rsidRDefault="00E33536" w:rsidP="00D131FA">
      <w:pPr>
        <w:pStyle w:val="Styl1"/>
      </w:pPr>
      <w:r w:rsidRPr="00EC250C">
        <w:t>Przywołano dobry przykład powiatu lipnowskiego, gdzie udało się zbudować sieć połączeń</w:t>
      </w:r>
      <w:r w:rsidR="00992FD0" w:rsidRPr="00EC250C">
        <w:t xml:space="preserve"> </w:t>
      </w:r>
      <w:r w:rsidR="00043578" w:rsidRPr="00EC250C">
        <w:t xml:space="preserve">komunikacji publicznej </w:t>
      </w:r>
      <w:r w:rsidR="00992FD0" w:rsidRPr="00EC250C">
        <w:t>w </w:t>
      </w:r>
      <w:r w:rsidRPr="00EC250C">
        <w:t>powiecie. Tam</w:t>
      </w:r>
      <w:r w:rsidR="00043578" w:rsidRPr="00EC250C">
        <w:t>,</w:t>
      </w:r>
      <w:r w:rsidRPr="00EC250C">
        <w:t xml:space="preserve"> gdzie nie ma komunikacji</w:t>
      </w:r>
      <w:r w:rsidR="00043578" w:rsidRPr="00EC250C">
        <w:t>,</w:t>
      </w:r>
      <w:r w:rsidRPr="00EC250C">
        <w:t xml:space="preserve"> odchodzenie młodych ze wsi, czy małych miejscowości do większych aglomeracji obserwuje się już na poziomie szkoły średniej.</w:t>
      </w:r>
    </w:p>
    <w:p w14:paraId="34DBA313" w14:textId="77777777" w:rsidR="00304A51" w:rsidRPr="00EC250C" w:rsidRDefault="00304A51" w:rsidP="00D131FA">
      <w:pPr>
        <w:spacing w:after="200" w:line="24" w:lineRule="auto"/>
        <w:jc w:val="both"/>
        <w:rPr>
          <w:bCs/>
          <w:color w:val="044892"/>
          <w:sz w:val="24"/>
        </w:rPr>
      </w:pPr>
      <w:r w:rsidRPr="00EC250C">
        <w:rPr>
          <w:sz w:val="24"/>
        </w:rPr>
        <w:br w:type="page"/>
      </w:r>
    </w:p>
    <w:p w14:paraId="690BDBF4" w14:textId="77777777" w:rsidR="00C91F6E" w:rsidRPr="00EC250C" w:rsidRDefault="004C52F3" w:rsidP="00EC250C">
      <w:pPr>
        <w:pStyle w:val="Nagwek3"/>
      </w:pPr>
      <w:bookmarkStart w:id="312" w:name="_Toc6257768"/>
      <w:bookmarkStart w:id="313" w:name="_Toc11247658"/>
      <w:r w:rsidRPr="00EC250C">
        <w:lastRenderedPageBreak/>
        <w:t xml:space="preserve">Art. 53 </w:t>
      </w:r>
      <w:r w:rsidR="006302BF" w:rsidRPr="00EC250C">
        <w:t xml:space="preserve">Konstytucji </w:t>
      </w:r>
      <w:r w:rsidRPr="00EC250C">
        <w:t>– Wolność sumienia</w:t>
      </w:r>
      <w:r w:rsidR="00992FD0" w:rsidRPr="00EC250C">
        <w:t xml:space="preserve"> i </w:t>
      </w:r>
      <w:r w:rsidRPr="00EC250C">
        <w:t>wyznania</w:t>
      </w:r>
      <w:bookmarkEnd w:id="312"/>
      <w:bookmarkEnd w:id="313"/>
    </w:p>
    <w:p w14:paraId="0702077F" w14:textId="77777777" w:rsidR="004C52F3" w:rsidRPr="00EC250C" w:rsidRDefault="004C52F3" w:rsidP="00D131FA">
      <w:pPr>
        <w:pStyle w:val="konstytucja"/>
        <w:jc w:val="both"/>
      </w:pPr>
      <w:r w:rsidRPr="00EC250C">
        <w:t>1. Każdemu zapewnia się wolność sumienia</w:t>
      </w:r>
      <w:r w:rsidR="00992FD0" w:rsidRPr="00EC250C">
        <w:t xml:space="preserve"> i </w:t>
      </w:r>
      <w:r w:rsidRPr="00EC250C">
        <w:t>religii.</w:t>
      </w:r>
    </w:p>
    <w:p w14:paraId="73E63D2B" w14:textId="77777777" w:rsidR="004C52F3" w:rsidRPr="00EC250C" w:rsidRDefault="004C52F3" w:rsidP="00D131FA">
      <w:pPr>
        <w:pStyle w:val="konstytucja"/>
        <w:spacing w:before="0" w:after="120"/>
        <w:jc w:val="both"/>
      </w:pPr>
      <w:r w:rsidRPr="00EC250C">
        <w:t>2. Wolność religii obejmuje wolność wyznawania lub przyjmowania religii według własnego wyboru oraz uzewnętrzniania indywidualnie lub</w:t>
      </w:r>
      <w:r w:rsidR="00992FD0" w:rsidRPr="00EC250C">
        <w:t xml:space="preserve"> z </w:t>
      </w:r>
      <w:r w:rsidRPr="00EC250C">
        <w:t>innymi, publicznie lub prywatnie, swojej religii przez uprawianie kultu, modlitwę, uczestniczenie</w:t>
      </w:r>
      <w:r w:rsidR="00992FD0" w:rsidRPr="00EC250C">
        <w:t xml:space="preserve"> w </w:t>
      </w:r>
      <w:r w:rsidRPr="00EC250C">
        <w:t>obrzędach, praktykowanie</w:t>
      </w:r>
      <w:r w:rsidR="00992FD0" w:rsidRPr="00EC250C">
        <w:t xml:space="preserve"> i </w:t>
      </w:r>
      <w:r w:rsidRPr="00EC250C">
        <w:t>nauczanie. Wolność religii obejmuje także posiadanie świątyń</w:t>
      </w:r>
      <w:r w:rsidR="00992FD0" w:rsidRPr="00EC250C">
        <w:t xml:space="preserve"> i </w:t>
      </w:r>
      <w:r w:rsidRPr="00EC250C">
        <w:t>innych miejsc kultu</w:t>
      </w:r>
      <w:r w:rsidR="00992FD0" w:rsidRPr="00EC250C">
        <w:t xml:space="preserve"> w </w:t>
      </w:r>
      <w:r w:rsidRPr="00EC250C">
        <w:t>zależności od potrzeb ludzi wierzących oraz prawo osób do korzystania</w:t>
      </w:r>
      <w:r w:rsidR="00992FD0" w:rsidRPr="00EC250C">
        <w:t xml:space="preserve"> z </w:t>
      </w:r>
      <w:r w:rsidRPr="00EC250C">
        <w:t>pomocy religijnej tam, gdzie się znajdują.</w:t>
      </w:r>
    </w:p>
    <w:p w14:paraId="62C59700" w14:textId="77777777" w:rsidR="004C52F3" w:rsidRPr="00EC250C" w:rsidRDefault="004C52F3" w:rsidP="00D131FA">
      <w:pPr>
        <w:pStyle w:val="konstytucja"/>
        <w:spacing w:before="0" w:after="120"/>
        <w:jc w:val="both"/>
      </w:pPr>
      <w:r w:rsidRPr="00EC250C">
        <w:t>3. Rodzice mają prawo do zapewnienia dzieciom wychowania</w:t>
      </w:r>
      <w:r w:rsidR="00992FD0" w:rsidRPr="00EC250C">
        <w:t xml:space="preserve"> i </w:t>
      </w:r>
      <w:r w:rsidRPr="00EC250C">
        <w:t>nauczania moralnego</w:t>
      </w:r>
      <w:r w:rsidR="00992FD0" w:rsidRPr="00EC250C">
        <w:t xml:space="preserve"> i </w:t>
      </w:r>
      <w:r w:rsidRPr="00EC250C">
        <w:t>religijnego zgodnie ze swoimi przekonaniami. Przepis art. 48 ust. 1 stosuje się odpowiednio.</w:t>
      </w:r>
    </w:p>
    <w:p w14:paraId="513EC8EB" w14:textId="77777777" w:rsidR="004C52F3" w:rsidRPr="00EC250C" w:rsidRDefault="004C52F3" w:rsidP="00D131FA">
      <w:pPr>
        <w:pStyle w:val="konstytucja"/>
        <w:spacing w:before="0" w:after="120"/>
        <w:jc w:val="both"/>
      </w:pPr>
      <w:r w:rsidRPr="00EC250C">
        <w:t>4. Religia kościoła lub innego związku wyznaniowego</w:t>
      </w:r>
      <w:r w:rsidR="00992FD0" w:rsidRPr="00EC250C">
        <w:t xml:space="preserve"> o </w:t>
      </w:r>
      <w:r w:rsidRPr="00EC250C">
        <w:t>uregulowanej sytuacji prawnej może być przedmiotem nauczania</w:t>
      </w:r>
      <w:r w:rsidR="00992FD0" w:rsidRPr="00EC250C">
        <w:t xml:space="preserve"> w </w:t>
      </w:r>
      <w:r w:rsidRPr="00EC250C">
        <w:t>szkole, przy czym nie może być naruszona wolność sumienia</w:t>
      </w:r>
      <w:r w:rsidR="00992FD0" w:rsidRPr="00EC250C">
        <w:t xml:space="preserve"> i </w:t>
      </w:r>
      <w:r w:rsidRPr="00EC250C">
        <w:t>religii innych osób.</w:t>
      </w:r>
    </w:p>
    <w:p w14:paraId="70AECB1E" w14:textId="77777777" w:rsidR="004C52F3" w:rsidRPr="00EC250C" w:rsidRDefault="004C52F3" w:rsidP="00D131FA">
      <w:pPr>
        <w:pStyle w:val="konstytucja"/>
        <w:spacing w:before="0" w:after="120"/>
        <w:jc w:val="both"/>
      </w:pPr>
      <w:r w:rsidRPr="00EC250C">
        <w:t>5. Wolność uzewnętrzniania religii może być ograniczona jedynie</w:t>
      </w:r>
      <w:r w:rsidR="00992FD0" w:rsidRPr="00EC250C">
        <w:t xml:space="preserve"> w </w:t>
      </w:r>
      <w:r w:rsidRPr="00EC250C">
        <w:t>drodze ustawy</w:t>
      </w:r>
      <w:r w:rsidR="00992FD0" w:rsidRPr="00EC250C">
        <w:t xml:space="preserve"> i </w:t>
      </w:r>
      <w:r w:rsidRPr="00EC250C">
        <w:t>tylko wtedy, gdy jest to konieczne do ochrony bezpieczeństwa państwa, porządku publicznego, zdrowia, moralności lub wolności</w:t>
      </w:r>
      <w:r w:rsidR="00992FD0" w:rsidRPr="00EC250C">
        <w:t xml:space="preserve"> i </w:t>
      </w:r>
      <w:r w:rsidRPr="00EC250C">
        <w:t>praw innych osób.</w:t>
      </w:r>
    </w:p>
    <w:p w14:paraId="7CB31F60" w14:textId="77777777" w:rsidR="004C52F3" w:rsidRPr="00EC250C" w:rsidRDefault="004C52F3" w:rsidP="00D131FA">
      <w:pPr>
        <w:pStyle w:val="konstytucja"/>
        <w:spacing w:before="0" w:after="120"/>
        <w:jc w:val="both"/>
      </w:pPr>
      <w:r w:rsidRPr="00EC250C">
        <w:t>6. Nikt nie może być zmuszany do uczestniczenia ani do nieuczestniczenia</w:t>
      </w:r>
      <w:r w:rsidR="00992FD0" w:rsidRPr="00EC250C">
        <w:t xml:space="preserve"> w </w:t>
      </w:r>
      <w:r w:rsidRPr="00EC250C">
        <w:t>praktykach religijnych.</w:t>
      </w:r>
    </w:p>
    <w:p w14:paraId="7EC7B236" w14:textId="77777777" w:rsidR="00815141" w:rsidRPr="00EC250C" w:rsidRDefault="004C52F3" w:rsidP="00D131FA">
      <w:pPr>
        <w:pStyle w:val="konstytucja"/>
        <w:spacing w:before="0" w:after="120"/>
        <w:jc w:val="both"/>
      </w:pPr>
      <w:r w:rsidRPr="00EC250C">
        <w:t>7. Nikt nie może być obowiązany przez organy władzy publicznej do ujawnienia swojego światopoglądu, przekonań religijnych lub wyznania.</w:t>
      </w:r>
    </w:p>
    <w:p w14:paraId="4E0CCA10" w14:textId="77777777" w:rsidR="00C91F6E" w:rsidRPr="00EC250C" w:rsidRDefault="007F659E" w:rsidP="00D131FA">
      <w:pPr>
        <w:pStyle w:val="ComwiKonstytucja"/>
      </w:pPr>
      <w:r w:rsidRPr="00EC250C">
        <w:t>Wolność sumienia</w:t>
      </w:r>
      <w:r w:rsidR="00992FD0" w:rsidRPr="00EC250C">
        <w:t xml:space="preserve"> i </w:t>
      </w:r>
      <w:r w:rsidRPr="00EC250C">
        <w:t>religii zaliczona została do wolności</w:t>
      </w:r>
      <w:r w:rsidR="00992FD0" w:rsidRPr="00EC250C">
        <w:t xml:space="preserve"> o </w:t>
      </w:r>
      <w:r w:rsidRPr="00EC250C">
        <w:t>charakterze osobistym,</w:t>
      </w:r>
      <w:r w:rsidR="00992FD0" w:rsidRPr="00EC250C">
        <w:t xml:space="preserve"> a </w:t>
      </w:r>
      <w:r w:rsidRPr="00EC250C">
        <w:t>uznanie</w:t>
      </w:r>
      <w:r w:rsidR="00992FD0" w:rsidRPr="00EC250C">
        <w:t xml:space="preserve"> i </w:t>
      </w:r>
      <w:r w:rsidRPr="00EC250C">
        <w:t>poszanowanie jej przez państwo</w:t>
      </w:r>
      <w:r w:rsidR="00992FD0" w:rsidRPr="00EC250C">
        <w:t xml:space="preserve"> i </w:t>
      </w:r>
      <w:r w:rsidRPr="00EC250C">
        <w:t>społeczeństwo wynika</w:t>
      </w:r>
      <w:r w:rsidR="00992FD0" w:rsidRPr="00EC250C">
        <w:t xml:space="preserve"> z </w:t>
      </w:r>
      <w:r w:rsidRPr="00EC250C">
        <w:t>obowiązku ochrony godności ludzkiej. Przysługuje ona każdemu,</w:t>
      </w:r>
      <w:r w:rsidR="00992FD0" w:rsidRPr="00EC250C">
        <w:t xml:space="preserve"> a </w:t>
      </w:r>
      <w:r w:rsidRPr="00EC250C">
        <w:t>nie jedynie obywatelom polskim.</w:t>
      </w:r>
    </w:p>
    <w:p w14:paraId="5BB098CF" w14:textId="77777777" w:rsidR="00C91F6E" w:rsidRPr="00EC250C" w:rsidRDefault="007F659E" w:rsidP="00D131FA">
      <w:pPr>
        <w:pStyle w:val="ComwiKonstytucja"/>
      </w:pPr>
      <w:r w:rsidRPr="00EC250C">
        <w:t>Wolność sumienia polega na możliwości przyjmowania dowolnego światopoglądu.</w:t>
      </w:r>
    </w:p>
    <w:p w14:paraId="20E3249A" w14:textId="77777777" w:rsidR="00C91F6E" w:rsidRPr="00EC250C" w:rsidRDefault="007F659E" w:rsidP="00D131FA">
      <w:pPr>
        <w:pStyle w:val="ComwiKonstytucja"/>
      </w:pPr>
      <w:r w:rsidRPr="00EC250C">
        <w:t>Wolność religii jest jedną</w:t>
      </w:r>
      <w:r w:rsidR="00992FD0" w:rsidRPr="00EC250C">
        <w:t xml:space="preserve"> z </w:t>
      </w:r>
      <w:r w:rsidRPr="00EC250C">
        <w:t>sytuacji realizowania się wolności sumienia</w:t>
      </w:r>
      <w:r w:rsidR="00992FD0" w:rsidRPr="00EC250C">
        <w:t xml:space="preserve"> i </w:t>
      </w:r>
      <w:r w:rsidRPr="00EC250C">
        <w:t>ma miejsce</w:t>
      </w:r>
      <w:r w:rsidR="00992FD0" w:rsidRPr="00EC250C">
        <w:t xml:space="preserve"> w </w:t>
      </w:r>
      <w:r w:rsidRPr="00EC250C">
        <w:t>przypadku przyjęcia światopoglądu uznającego istnienie Boga (niezależnie od jego wizji</w:t>
      </w:r>
      <w:r w:rsidR="00992FD0" w:rsidRPr="00EC250C">
        <w:t xml:space="preserve"> w </w:t>
      </w:r>
      <w:r w:rsidRPr="00EC250C">
        <w:t>rozmaitych religiach).</w:t>
      </w:r>
    </w:p>
    <w:p w14:paraId="44FFF4E6" w14:textId="77777777" w:rsidR="00815141" w:rsidRPr="00EC250C" w:rsidRDefault="007F659E" w:rsidP="00D131FA">
      <w:pPr>
        <w:pStyle w:val="ComwiKonstytucja"/>
      </w:pPr>
      <w:r w:rsidRPr="00EC250C">
        <w:t>Wolność ta zakłada wymóg tolerowania zwolenników różnych światopoglądów, głoszonych przez nich wypowiedzi</w:t>
      </w:r>
      <w:r w:rsidR="00992FD0" w:rsidRPr="00EC250C">
        <w:t xml:space="preserve"> i </w:t>
      </w:r>
      <w:r w:rsidRPr="00EC250C">
        <w:t>ich praktyk religijnych.</w:t>
      </w:r>
    </w:p>
    <w:p w14:paraId="2A62E3F0" w14:textId="77777777" w:rsidR="00EE09AA" w:rsidRPr="00EC250C" w:rsidRDefault="00EE09AA" w:rsidP="00D131FA">
      <w:pPr>
        <w:pStyle w:val="ComwiKonstytucja"/>
        <w:rPr>
          <w:rFonts w:cs="Arial"/>
          <w:b/>
          <w:color w:val="000000"/>
          <w:sz w:val="24"/>
        </w:rPr>
      </w:pPr>
    </w:p>
    <w:p w14:paraId="2ECF337F" w14:textId="77777777" w:rsidR="007F659E" w:rsidRPr="00EC250C" w:rsidRDefault="007F659E" w:rsidP="00EC79EB">
      <w:pPr>
        <w:pStyle w:val="Nagwek4"/>
      </w:pPr>
      <w:bookmarkStart w:id="314" w:name="_Toc6257769"/>
      <w:bookmarkStart w:id="315" w:name="_Toc11247659"/>
      <w:bookmarkStart w:id="316" w:name="_Hlk3877071"/>
      <w:r w:rsidRPr="00EC250C">
        <w:lastRenderedPageBreak/>
        <w:t>Czy katecheta może być wychowawcą klasy?</w:t>
      </w:r>
      <w:bookmarkEnd w:id="314"/>
      <w:bookmarkEnd w:id="315"/>
    </w:p>
    <w:p w14:paraId="5DF769A6" w14:textId="77777777" w:rsidR="00B473F5" w:rsidRPr="00EC250C" w:rsidRDefault="007F659E" w:rsidP="00D131FA">
      <w:pPr>
        <w:pStyle w:val="Problemczowieka"/>
        <w:jc w:val="both"/>
      </w:pPr>
      <w:r w:rsidRPr="00EC250C">
        <w:rPr>
          <w:bdr w:val="none" w:sz="0" w:space="0" w:color="auto" w:frame="1"/>
        </w:rPr>
        <w:t>Wprowadzenie możliwości pełnienia funkcji wychowawcy przez katechetę, którym może być także ksiądz, mo</w:t>
      </w:r>
      <w:r w:rsidR="0082269E" w:rsidRPr="00EC250C">
        <w:rPr>
          <w:bdr w:val="none" w:sz="0" w:space="0" w:color="auto" w:frame="1"/>
        </w:rPr>
        <w:t>głoby</w:t>
      </w:r>
      <w:r w:rsidRPr="00EC250C">
        <w:rPr>
          <w:bdr w:val="none" w:sz="0" w:space="0" w:color="auto" w:frame="1"/>
        </w:rPr>
        <w:t xml:space="preserve"> ograniczać swobodę wyboru lekcji religii przez uczniów</w:t>
      </w:r>
      <w:r w:rsidR="00992FD0" w:rsidRPr="00EC250C">
        <w:rPr>
          <w:bdr w:val="none" w:sz="0" w:space="0" w:color="auto" w:frame="1"/>
        </w:rPr>
        <w:t xml:space="preserve"> i </w:t>
      </w:r>
      <w:r w:rsidRPr="00EC250C">
        <w:rPr>
          <w:bdr w:val="none" w:sz="0" w:space="0" w:color="auto" w:frame="1"/>
        </w:rPr>
        <w:t>rodziców</w:t>
      </w:r>
      <w:r w:rsidR="00B473F5" w:rsidRPr="00EC250C">
        <w:rPr>
          <w:rFonts w:ascii="Open Sans Regular" w:hAnsi="Open Sans Regular"/>
        </w:rPr>
        <w:t>.</w:t>
      </w:r>
    </w:p>
    <w:p w14:paraId="779CEF53" w14:textId="77777777" w:rsidR="00C91F6E" w:rsidRPr="00EC250C" w:rsidRDefault="00D20D4F" w:rsidP="00D131FA">
      <w:pPr>
        <w:pStyle w:val="Styl1"/>
      </w:pPr>
      <w:r w:rsidRPr="00EC250C">
        <w:t>RPO</w:t>
      </w:r>
      <w:r w:rsidR="0082269E" w:rsidRPr="00EC250C">
        <w:t xml:space="preserve"> zgłosił </w:t>
      </w:r>
      <w:r w:rsidR="007F659E" w:rsidRPr="00EC250C">
        <w:t>wątpliwości wobec propozycji zmiany rozporządzenia MEN</w:t>
      </w:r>
      <w:r w:rsidR="00992FD0" w:rsidRPr="00EC250C">
        <w:t xml:space="preserve"> z </w:t>
      </w:r>
      <w:r w:rsidR="007F659E" w:rsidRPr="00EC250C">
        <w:t>14 kwietnia 1992</w:t>
      </w:r>
      <w:r w:rsidR="00C91F6E" w:rsidRPr="00EC250C">
        <w:t> r.</w:t>
      </w:r>
      <w:r w:rsidR="007F659E" w:rsidRPr="00EC250C">
        <w:t xml:space="preserve"> ws. warunków</w:t>
      </w:r>
      <w:r w:rsidR="00992FD0" w:rsidRPr="00EC250C">
        <w:t xml:space="preserve"> i </w:t>
      </w:r>
      <w:r w:rsidR="007F659E" w:rsidRPr="00EC250C">
        <w:t>sposobu organizowania nauki religii</w:t>
      </w:r>
      <w:r w:rsidR="00992FD0" w:rsidRPr="00EC250C">
        <w:t xml:space="preserve"> w </w:t>
      </w:r>
      <w:r w:rsidR="007F659E" w:rsidRPr="00EC250C">
        <w:t>publicznych przedszkolach</w:t>
      </w:r>
      <w:r w:rsidR="00992FD0" w:rsidRPr="00EC250C">
        <w:t xml:space="preserve"> i </w:t>
      </w:r>
      <w:r w:rsidR="007F659E" w:rsidRPr="00EC250C">
        <w:t>szkołac</w:t>
      </w:r>
      <w:r w:rsidR="0082269E" w:rsidRPr="00EC250C">
        <w:t>h</w:t>
      </w:r>
      <w:r w:rsidR="007F659E" w:rsidRPr="00EC250C">
        <w:t>.</w:t>
      </w:r>
      <w:r w:rsidR="0082269E" w:rsidRPr="00EC250C">
        <w:t xml:space="preserve"> </w:t>
      </w:r>
      <w:r w:rsidR="007F659E" w:rsidRPr="00EC250C">
        <w:t>Projekt przewid</w:t>
      </w:r>
      <w:r w:rsidR="0082269E" w:rsidRPr="00EC250C">
        <w:t xml:space="preserve">ywał </w:t>
      </w:r>
      <w:r w:rsidR="007F659E" w:rsidRPr="00EC250C">
        <w:t>usunięcie zapisu, że nauczyciel religii nie przyjmuje funkcji wychowawcy klasy.</w:t>
      </w:r>
    </w:p>
    <w:p w14:paraId="5A96442D" w14:textId="77777777" w:rsidR="007F659E" w:rsidRPr="00EC250C" w:rsidRDefault="0082269E" w:rsidP="00D131FA">
      <w:pPr>
        <w:pStyle w:val="Styl1"/>
      </w:pPr>
      <w:r w:rsidRPr="00EC250C">
        <w:t>RPO p</w:t>
      </w:r>
      <w:r w:rsidR="007F659E" w:rsidRPr="00EC250C">
        <w:t>rzypomniał, że edukacja religijna</w:t>
      </w:r>
      <w:r w:rsidR="00992FD0" w:rsidRPr="00EC250C">
        <w:t xml:space="preserve"> w </w:t>
      </w:r>
      <w:r w:rsidR="007F659E" w:rsidRPr="00EC250C">
        <w:t>szkole jest rozwinięciem wyrażonego</w:t>
      </w:r>
      <w:r w:rsidR="00992FD0" w:rsidRPr="00EC250C">
        <w:t xml:space="preserve"> w </w:t>
      </w:r>
      <w:r w:rsidR="007F659E" w:rsidRPr="00EC250C">
        <w:t>art. 53. ust. 3 Konstytucji RP prawa rodziców do zapewnienia dzieciom wychowania</w:t>
      </w:r>
      <w:r w:rsidR="00992FD0" w:rsidRPr="00EC250C">
        <w:t xml:space="preserve"> i </w:t>
      </w:r>
      <w:r w:rsidR="007F659E" w:rsidRPr="00EC250C">
        <w:t>nauczania moralnego oraz religijnego zgodnie ze swoimi przekonaniami. Udział</w:t>
      </w:r>
      <w:r w:rsidR="00992FD0" w:rsidRPr="00EC250C">
        <w:t xml:space="preserve"> w </w:t>
      </w:r>
      <w:r w:rsidR="007F659E" w:rsidRPr="00EC250C">
        <w:t>nauce religii jest wyrazem indywidualnej wolności sumienia</w:t>
      </w:r>
      <w:r w:rsidR="00992FD0" w:rsidRPr="00EC250C">
        <w:t xml:space="preserve"> i </w:t>
      </w:r>
      <w:r w:rsidR="007F659E" w:rsidRPr="00EC250C">
        <w:t>wyznania, gdyż lekcje religii stanowią niewątpliwie formę formacji religijnej,</w:t>
      </w:r>
      <w:r w:rsidR="00992FD0" w:rsidRPr="00EC250C">
        <w:t xml:space="preserve"> a </w:t>
      </w:r>
      <w:r w:rsidR="007F659E" w:rsidRPr="00EC250C">
        <w:t>nie jedynie źródło przekazywanej przez nauczyciela wiedzy.</w:t>
      </w:r>
    </w:p>
    <w:p w14:paraId="51C26A75" w14:textId="77777777" w:rsidR="007F659E" w:rsidRPr="00EC250C" w:rsidRDefault="007F659E" w:rsidP="00D131FA">
      <w:pPr>
        <w:pStyle w:val="Styl1"/>
      </w:pPr>
      <w:r w:rsidRPr="00EC250C">
        <w:t>Według RPO możliwość pełnienia przez nauczycieli religii funkcji wychowawcy</w:t>
      </w:r>
      <w:r w:rsidR="00992FD0" w:rsidRPr="00EC250C">
        <w:t xml:space="preserve"> w </w:t>
      </w:r>
      <w:r w:rsidRPr="00EC250C">
        <w:t>praktyce może doprowadzić do umocnienia już istniejącej dominacji faktycznej Kościoła Katolickiego, będącego najliczniejszym pod względem liczby wyznawców związkiem wyznaniowym</w:t>
      </w:r>
      <w:r w:rsidR="00992FD0" w:rsidRPr="00EC250C">
        <w:t xml:space="preserve"> w </w:t>
      </w:r>
      <w:r w:rsidRPr="00EC250C">
        <w:t>Polsce. Religia dominująca uzyska bowiem jeszcze lepszą pozycję oficjalną</w:t>
      </w:r>
      <w:r w:rsidR="00992FD0" w:rsidRPr="00EC250C">
        <w:t xml:space="preserve"> w </w:t>
      </w:r>
      <w:r w:rsidRPr="00EC250C">
        <w:t>procesie edukacyjnym</w:t>
      </w:r>
      <w:r w:rsidR="00992FD0" w:rsidRPr="00EC250C">
        <w:t xml:space="preserve"> i </w:t>
      </w:r>
      <w:r w:rsidRPr="00EC250C">
        <w:t>zyska dodatkowo na znaczeniu</w:t>
      </w:r>
      <w:r w:rsidR="00992FD0" w:rsidRPr="00EC250C">
        <w:t xml:space="preserve"> w </w:t>
      </w:r>
      <w:r w:rsidRPr="00EC250C">
        <w:t>codziennym życiu społeczności szkolnej.</w:t>
      </w:r>
    </w:p>
    <w:bookmarkEnd w:id="316"/>
    <w:p w14:paraId="2A7AEADD" w14:textId="77777777" w:rsidR="00C91F6E" w:rsidRPr="00EC250C" w:rsidRDefault="00815141" w:rsidP="00D131FA">
      <w:pPr>
        <w:pStyle w:val="Styl1"/>
      </w:pPr>
      <w:r w:rsidRPr="00EC250C">
        <w:t>Minister Edukacji Narodowej nie udzielił odpowiedzi, jednak prace nad projektem rozporządzenia nie były</w:t>
      </w:r>
      <w:r w:rsidR="00992FD0" w:rsidRPr="00EC250C">
        <w:t xml:space="preserve"> w </w:t>
      </w:r>
      <w:r w:rsidRPr="00EC250C">
        <w:t>2018</w:t>
      </w:r>
      <w:r w:rsidR="00C91F6E" w:rsidRPr="00EC250C">
        <w:t> r.</w:t>
      </w:r>
      <w:r w:rsidRPr="00EC250C">
        <w:t xml:space="preserve"> kontynuowane</w:t>
      </w:r>
      <w:r w:rsidR="00043578" w:rsidRPr="00EC250C">
        <w:rPr>
          <w:rStyle w:val="Odwoanieprzypisudolnego"/>
        </w:rPr>
        <w:footnoteReference w:id="315"/>
      </w:r>
      <w:r w:rsidRPr="00EC250C">
        <w:t>.</w:t>
      </w:r>
    </w:p>
    <w:p w14:paraId="4890EA64" w14:textId="77777777" w:rsidR="00042509" w:rsidRPr="00EC250C" w:rsidRDefault="00042509" w:rsidP="00EC250C">
      <w:pPr>
        <w:pStyle w:val="Nagwek8"/>
        <w:rPr>
          <w:spacing w:val="0"/>
        </w:rPr>
      </w:pPr>
      <w:r w:rsidRPr="00EC250C">
        <w:t>Świadkowie Jehowy nie byli</w:t>
      </w:r>
      <w:r w:rsidR="00992FD0" w:rsidRPr="00EC250C">
        <w:t xml:space="preserve"> w </w:t>
      </w:r>
      <w:r w:rsidRPr="00EC250C">
        <w:t>PRL „tajnym związkiem". SN uniewinnił na wniosek RPO siedmioro skazanych</w:t>
      </w:r>
      <w:r w:rsidR="00992FD0" w:rsidRPr="00EC250C">
        <w:t xml:space="preserve"> w </w:t>
      </w:r>
      <w:r w:rsidRPr="00EC250C">
        <w:t>latach 70.</w:t>
      </w:r>
    </w:p>
    <w:p w14:paraId="7A7CCA74" w14:textId="77777777" w:rsidR="000C45DA" w:rsidRPr="00EC250C" w:rsidRDefault="00042509" w:rsidP="00D131FA">
      <w:pPr>
        <w:pStyle w:val="Styl2"/>
        <w:rPr>
          <w:szCs w:val="24"/>
        </w:rPr>
      </w:pPr>
      <w:r w:rsidRPr="00EC250C">
        <w:rPr>
          <w:szCs w:val="24"/>
          <w:bdr w:val="none" w:sz="0" w:space="0" w:color="auto" w:frame="1"/>
        </w:rPr>
        <w:t>Siedmioro świadków Jehowy zostało</w:t>
      </w:r>
      <w:r w:rsidR="00992FD0" w:rsidRPr="00EC250C">
        <w:rPr>
          <w:szCs w:val="24"/>
          <w:bdr w:val="none" w:sz="0" w:space="0" w:color="auto" w:frame="1"/>
        </w:rPr>
        <w:t xml:space="preserve"> w </w:t>
      </w:r>
      <w:r w:rsidRPr="00EC250C">
        <w:rPr>
          <w:szCs w:val="24"/>
          <w:bdr w:val="none" w:sz="0" w:space="0" w:color="auto" w:frame="1"/>
        </w:rPr>
        <w:t>latach 70. skazanych prze sądy PRL za udział</w:t>
      </w:r>
      <w:r w:rsidR="00992FD0" w:rsidRPr="00EC250C">
        <w:rPr>
          <w:szCs w:val="24"/>
          <w:bdr w:val="none" w:sz="0" w:space="0" w:color="auto" w:frame="1"/>
        </w:rPr>
        <w:t xml:space="preserve"> w </w:t>
      </w:r>
      <w:r w:rsidRPr="00EC250C">
        <w:rPr>
          <w:szCs w:val="24"/>
          <w:bdr w:val="none" w:sz="0" w:space="0" w:color="auto" w:frame="1"/>
        </w:rPr>
        <w:t>związku, którego istnienie</w:t>
      </w:r>
      <w:r w:rsidR="00992FD0" w:rsidRPr="00EC250C">
        <w:rPr>
          <w:szCs w:val="24"/>
          <w:bdr w:val="none" w:sz="0" w:space="0" w:color="auto" w:frame="1"/>
        </w:rPr>
        <w:t xml:space="preserve"> i </w:t>
      </w:r>
      <w:r w:rsidRPr="00EC250C">
        <w:rPr>
          <w:szCs w:val="24"/>
          <w:bdr w:val="none" w:sz="0" w:space="0" w:color="auto" w:frame="1"/>
        </w:rPr>
        <w:t xml:space="preserve">cel miało być „tajemnicą wobec organów państwowych” </w:t>
      </w:r>
      <w:r w:rsidRPr="00EC250C">
        <w:rPr>
          <w:szCs w:val="24"/>
        </w:rPr>
        <w:t>na kary 2 lat</w:t>
      </w:r>
      <w:r w:rsidR="00992FD0" w:rsidRPr="00EC250C">
        <w:rPr>
          <w:szCs w:val="24"/>
        </w:rPr>
        <w:t xml:space="preserve"> i </w:t>
      </w:r>
      <w:r w:rsidRPr="00EC250C">
        <w:rPr>
          <w:szCs w:val="24"/>
        </w:rPr>
        <w:t>6 miesięcy oraz 2 lat więzienia,</w:t>
      </w:r>
      <w:r w:rsidR="00992FD0" w:rsidRPr="00EC250C">
        <w:rPr>
          <w:szCs w:val="24"/>
        </w:rPr>
        <w:t xml:space="preserve"> a </w:t>
      </w:r>
      <w:r w:rsidRPr="00EC250C">
        <w:rPr>
          <w:szCs w:val="24"/>
        </w:rPr>
        <w:t>także kary więzienia</w:t>
      </w:r>
      <w:r w:rsidR="00992FD0" w:rsidRPr="00EC250C">
        <w:rPr>
          <w:szCs w:val="24"/>
        </w:rPr>
        <w:t xml:space="preserve"> w </w:t>
      </w:r>
      <w:r w:rsidRPr="00EC250C">
        <w:rPr>
          <w:szCs w:val="24"/>
        </w:rPr>
        <w:t>zawieszeniu, grzywny oraz nakazy prac społecznych. W kasacji na ich korzyść RPO wskazał, że przypisane oskarżonym czyny były</w:t>
      </w:r>
      <w:r w:rsidR="00992FD0" w:rsidRPr="00EC250C">
        <w:rPr>
          <w:szCs w:val="24"/>
        </w:rPr>
        <w:t xml:space="preserve"> w </w:t>
      </w:r>
      <w:bookmarkStart w:id="317" w:name="_Hlk9253096"/>
      <w:r w:rsidRPr="00EC250C">
        <w:rPr>
          <w:szCs w:val="24"/>
        </w:rPr>
        <w:t>istocie realizacją konstytucyjnego prawa do wykonywania praktyk religijnych</w:t>
      </w:r>
      <w:bookmarkEnd w:id="317"/>
      <w:r w:rsidRPr="00EC250C">
        <w:rPr>
          <w:szCs w:val="24"/>
        </w:rPr>
        <w:t>; nie wyczerpywały znamion przestępstwa,</w:t>
      </w:r>
      <w:r w:rsidR="00992FD0" w:rsidRPr="00EC250C">
        <w:rPr>
          <w:szCs w:val="24"/>
        </w:rPr>
        <w:t xml:space="preserve"> a </w:t>
      </w:r>
      <w:r w:rsidRPr="00EC250C">
        <w:rPr>
          <w:szCs w:val="24"/>
        </w:rPr>
        <w:t>ich skazanie miało formę politycznej represji politycznej. W listopadzie 2018</w:t>
      </w:r>
      <w:r w:rsidR="00C91F6E" w:rsidRPr="00EC250C">
        <w:rPr>
          <w:szCs w:val="24"/>
        </w:rPr>
        <w:t> r.</w:t>
      </w:r>
      <w:r w:rsidRPr="00EC250C">
        <w:rPr>
          <w:szCs w:val="24"/>
        </w:rPr>
        <w:t xml:space="preserve"> S</w:t>
      </w:r>
      <w:r w:rsidRPr="00EC250C">
        <w:rPr>
          <w:szCs w:val="24"/>
          <w:bdr w:val="none" w:sz="0" w:space="0" w:color="auto" w:frame="1"/>
        </w:rPr>
        <w:t xml:space="preserve">ąd Najwyższy </w:t>
      </w:r>
      <w:r w:rsidRPr="00EC250C">
        <w:rPr>
          <w:szCs w:val="24"/>
        </w:rPr>
        <w:t>(sygn. akt III KK 527/18)</w:t>
      </w:r>
      <w:r w:rsidRPr="00EC250C">
        <w:rPr>
          <w:szCs w:val="24"/>
          <w:bdr w:val="none" w:sz="0" w:space="0" w:color="auto" w:frame="1"/>
        </w:rPr>
        <w:t xml:space="preserve"> uchylił wyroki</w:t>
      </w:r>
      <w:r w:rsidR="00992FD0" w:rsidRPr="00EC250C">
        <w:rPr>
          <w:szCs w:val="24"/>
          <w:bdr w:val="none" w:sz="0" w:space="0" w:color="auto" w:frame="1"/>
        </w:rPr>
        <w:t xml:space="preserve"> i </w:t>
      </w:r>
      <w:r w:rsidRPr="00EC250C">
        <w:rPr>
          <w:szCs w:val="24"/>
        </w:rPr>
        <w:t>uniewinnił wszystkich skazanych.</w:t>
      </w:r>
      <w:r w:rsidRPr="00EC250C">
        <w:rPr>
          <w:rStyle w:val="Odwoanieprzypisudolnego"/>
          <w:szCs w:val="24"/>
        </w:rPr>
        <w:footnoteReference w:id="316"/>
      </w:r>
    </w:p>
    <w:p w14:paraId="206FB2F6" w14:textId="77777777" w:rsidR="00C91F6E" w:rsidRPr="00EC250C" w:rsidRDefault="003D41F8" w:rsidP="00EC79EB">
      <w:pPr>
        <w:pStyle w:val="Nagwek4"/>
      </w:pPr>
      <w:bookmarkStart w:id="318" w:name="_Toc6257770"/>
      <w:bookmarkStart w:id="319" w:name="_Toc11247660"/>
      <w:r w:rsidRPr="00EC250C">
        <w:lastRenderedPageBreak/>
        <w:t>Klauzula sumienia lekarza i jej konsekwencja dla p</w:t>
      </w:r>
      <w:r w:rsidR="0082269E" w:rsidRPr="00EC250C">
        <w:t>raw pacjentów</w:t>
      </w:r>
      <w:bookmarkEnd w:id="318"/>
      <w:bookmarkEnd w:id="319"/>
    </w:p>
    <w:p w14:paraId="783153B7" w14:textId="77777777" w:rsidR="00C91F6E" w:rsidRPr="00EC250C" w:rsidRDefault="00C229AF" w:rsidP="00D131FA">
      <w:pPr>
        <w:pStyle w:val="Styl1"/>
      </w:pPr>
      <w:r w:rsidRPr="00EC250C">
        <w:t>Klauzula sumienia</w:t>
      </w:r>
      <w:r w:rsidRPr="00EC250C">
        <w:rPr>
          <w:rStyle w:val="Odwoanieprzypisudolnego"/>
        </w:rPr>
        <w:footnoteReference w:id="317"/>
      </w:r>
      <w:r w:rsidRPr="00EC250C">
        <w:t xml:space="preserve"> stanowi wyraz poszanowania konstytucyjnej wartości, jaką jest wolność sumienia</w:t>
      </w:r>
      <w:r w:rsidR="00992FD0" w:rsidRPr="00EC250C">
        <w:t xml:space="preserve"> i </w:t>
      </w:r>
      <w:r w:rsidRPr="00EC250C">
        <w:t>religii. To na państwie spoczywa obowiązek zapewnienia realizacji praw pacjentów, przy jednoczesnym poszanowaniu wolności sumienia</w:t>
      </w:r>
      <w:r w:rsidR="00992FD0" w:rsidRPr="00EC250C">
        <w:t xml:space="preserve"> i </w:t>
      </w:r>
      <w:r w:rsidRPr="00EC250C">
        <w:t>religii lekarzy.</w:t>
      </w:r>
      <w:r w:rsidR="00043578" w:rsidRPr="00EC250C">
        <w:t xml:space="preserve"> RPO podejmuje działania, aby obowiązek ten był jasno sprecyzowany w prawie.</w:t>
      </w:r>
    </w:p>
    <w:p w14:paraId="17659735" w14:textId="77777777" w:rsidR="000C45DA" w:rsidRPr="00EC250C" w:rsidRDefault="00C229AF" w:rsidP="00D131FA">
      <w:pPr>
        <w:pStyle w:val="ODESANIE"/>
        <w:jc w:val="both"/>
        <w:rPr>
          <w:lang w:eastAsia="en-US"/>
        </w:rPr>
      </w:pPr>
      <w:r w:rsidRPr="00EC250C">
        <w:rPr>
          <w:lang w:eastAsia="en-US"/>
        </w:rPr>
        <w:t>Omówienie</w:t>
      </w:r>
      <w:r w:rsidR="00A35677" w:rsidRPr="00EC250C">
        <w:rPr>
          <w:lang w:eastAsia="en-US"/>
        </w:rPr>
        <w:t>: Art. 68 ust.</w:t>
      </w:r>
      <w:r w:rsidRPr="00EC250C">
        <w:rPr>
          <w:lang w:eastAsia="en-US"/>
        </w:rPr>
        <w:t xml:space="preserve"> </w:t>
      </w:r>
      <w:r w:rsidR="00A35677" w:rsidRPr="00EC250C">
        <w:rPr>
          <w:lang w:eastAsia="en-US"/>
        </w:rPr>
        <w:t>1 – Prawo do ochrony zdrowia.</w:t>
      </w:r>
    </w:p>
    <w:p w14:paraId="2F668C52" w14:textId="77777777" w:rsidR="003B48CB" w:rsidRPr="00EC250C" w:rsidRDefault="003B48CB" w:rsidP="00EC250C">
      <w:pPr>
        <w:pStyle w:val="Nagwek8"/>
      </w:pPr>
      <w:r w:rsidRPr="00EC250C">
        <w:t>RPO zajął się sprawą profanacji kapliczki</w:t>
      </w:r>
      <w:r w:rsidR="00992FD0" w:rsidRPr="00EC250C">
        <w:t xml:space="preserve"> w </w:t>
      </w:r>
      <w:r w:rsidRPr="00EC250C">
        <w:t>Opolu</w:t>
      </w:r>
    </w:p>
    <w:p w14:paraId="0C21E4E2" w14:textId="77777777" w:rsidR="00C91F6E" w:rsidRPr="00EC250C" w:rsidRDefault="003B48CB" w:rsidP="00D131FA">
      <w:pPr>
        <w:pStyle w:val="Styl2"/>
        <w:rPr>
          <w:rStyle w:val="Pogrubienie"/>
          <w:b/>
          <w:bCs/>
          <w:szCs w:val="24"/>
        </w:rPr>
      </w:pPr>
      <w:r w:rsidRPr="00EC250C">
        <w:rPr>
          <w:rStyle w:val="Pogrubienie"/>
          <w:b/>
          <w:bCs/>
          <w:szCs w:val="24"/>
        </w:rPr>
        <w:t>29 października 2018</w:t>
      </w:r>
      <w:r w:rsidR="00C91F6E" w:rsidRPr="00EC250C">
        <w:rPr>
          <w:rStyle w:val="Pogrubienie"/>
          <w:b/>
          <w:bCs/>
          <w:szCs w:val="24"/>
        </w:rPr>
        <w:t> r.</w:t>
      </w:r>
      <w:r w:rsidRPr="00EC250C">
        <w:rPr>
          <w:rStyle w:val="Pogrubienie"/>
          <w:b/>
          <w:bCs/>
          <w:szCs w:val="24"/>
        </w:rPr>
        <w:t xml:space="preserve"> na podstawie doniesień</w:t>
      </w:r>
      <w:r w:rsidR="00992FD0" w:rsidRPr="00EC250C">
        <w:rPr>
          <w:rStyle w:val="Pogrubienie"/>
          <w:b/>
          <w:bCs/>
          <w:szCs w:val="24"/>
        </w:rPr>
        <w:t xml:space="preserve"> w </w:t>
      </w:r>
      <w:r w:rsidRPr="00EC250C">
        <w:rPr>
          <w:rStyle w:val="Pogrubienie"/>
          <w:b/>
          <w:bCs/>
          <w:szCs w:val="24"/>
        </w:rPr>
        <w:t>mediach Rzecznik Praw Obywatelskich podjął</w:t>
      </w:r>
      <w:r w:rsidR="00992FD0" w:rsidRPr="00EC250C">
        <w:rPr>
          <w:rStyle w:val="Pogrubienie"/>
          <w:b/>
          <w:bCs/>
          <w:szCs w:val="24"/>
        </w:rPr>
        <w:t xml:space="preserve"> z </w:t>
      </w:r>
      <w:r w:rsidRPr="00EC250C">
        <w:rPr>
          <w:rStyle w:val="Pogrubienie"/>
          <w:b/>
          <w:bCs/>
          <w:szCs w:val="24"/>
        </w:rPr>
        <w:t>urzędu sprawę profanacji kapliczki przy ul. Biesa</w:t>
      </w:r>
      <w:r w:rsidR="00992FD0" w:rsidRPr="00EC250C">
        <w:rPr>
          <w:rStyle w:val="Pogrubienie"/>
          <w:b/>
          <w:bCs/>
          <w:szCs w:val="24"/>
        </w:rPr>
        <w:t xml:space="preserve"> w </w:t>
      </w:r>
      <w:r w:rsidRPr="00EC250C">
        <w:rPr>
          <w:rStyle w:val="Pogrubienie"/>
          <w:b/>
          <w:bCs/>
          <w:szCs w:val="24"/>
        </w:rPr>
        <w:t>Opolu.</w:t>
      </w:r>
    </w:p>
    <w:p w14:paraId="0B566355" w14:textId="77777777" w:rsidR="003B48CB" w:rsidRPr="00EC250C" w:rsidRDefault="003B48CB" w:rsidP="00D131FA">
      <w:pPr>
        <w:pStyle w:val="Styl2"/>
        <w:rPr>
          <w:szCs w:val="24"/>
        </w:rPr>
      </w:pPr>
      <w:r w:rsidRPr="00EC250C">
        <w:rPr>
          <w:szCs w:val="24"/>
        </w:rPr>
        <w:t xml:space="preserve">W pierwszej kolejności </w:t>
      </w:r>
      <w:r w:rsidR="00D20D4F" w:rsidRPr="00EC250C">
        <w:rPr>
          <w:szCs w:val="24"/>
        </w:rPr>
        <w:t>RPO</w:t>
      </w:r>
      <w:r w:rsidRPr="00EC250C">
        <w:rPr>
          <w:szCs w:val="24"/>
        </w:rPr>
        <w:t xml:space="preserve"> </w:t>
      </w:r>
      <w:r w:rsidR="00085E37" w:rsidRPr="00EC250C">
        <w:rPr>
          <w:szCs w:val="24"/>
        </w:rPr>
        <w:t xml:space="preserve">zwrócił się </w:t>
      </w:r>
      <w:r w:rsidRPr="00EC250C">
        <w:rPr>
          <w:szCs w:val="24"/>
        </w:rPr>
        <w:t>do Komendanta Miejskiego Policji</w:t>
      </w:r>
      <w:r w:rsidR="00992FD0" w:rsidRPr="00EC250C">
        <w:rPr>
          <w:szCs w:val="24"/>
        </w:rPr>
        <w:t xml:space="preserve"> w </w:t>
      </w:r>
      <w:r w:rsidRPr="00EC250C">
        <w:rPr>
          <w:szCs w:val="24"/>
        </w:rPr>
        <w:t>Opolu</w:t>
      </w:r>
      <w:r w:rsidR="00992FD0" w:rsidRPr="00EC250C">
        <w:rPr>
          <w:szCs w:val="24"/>
        </w:rPr>
        <w:t xml:space="preserve"> z </w:t>
      </w:r>
      <w:r w:rsidRPr="00EC250C">
        <w:rPr>
          <w:szCs w:val="24"/>
        </w:rPr>
        <w:t>pytaniem</w:t>
      </w:r>
      <w:r w:rsidR="00085E37" w:rsidRPr="00EC250C">
        <w:rPr>
          <w:szCs w:val="24"/>
        </w:rPr>
        <w:t>,</w:t>
      </w:r>
      <w:r w:rsidRPr="00EC250C">
        <w:rPr>
          <w:szCs w:val="24"/>
        </w:rPr>
        <w:t xml:space="preserve"> jakie czynności zostały podjęte</w:t>
      </w:r>
      <w:r w:rsidR="00992FD0" w:rsidRPr="00EC250C">
        <w:rPr>
          <w:szCs w:val="24"/>
        </w:rPr>
        <w:t xml:space="preserve"> w </w:t>
      </w:r>
      <w:r w:rsidRPr="00EC250C">
        <w:rPr>
          <w:szCs w:val="24"/>
        </w:rPr>
        <w:t xml:space="preserve">sprawie. </w:t>
      </w:r>
      <w:r w:rsidR="00E85C06" w:rsidRPr="00EC250C">
        <w:rPr>
          <w:szCs w:val="24"/>
        </w:rPr>
        <w:t>Po trzech tygodniach Policja zawiadomiła, że znalazła sprawcę</w:t>
      </w:r>
      <w:r w:rsidR="00992FD0" w:rsidRPr="00EC250C">
        <w:rPr>
          <w:szCs w:val="24"/>
        </w:rPr>
        <w:t xml:space="preserve"> i </w:t>
      </w:r>
      <w:r w:rsidR="00E85C06" w:rsidRPr="00EC250C">
        <w:rPr>
          <w:szCs w:val="24"/>
        </w:rPr>
        <w:t>odzyskała skradzioną figurkę Matki Boskiej</w:t>
      </w:r>
      <w:r w:rsidR="00992FD0" w:rsidRPr="00EC250C">
        <w:rPr>
          <w:szCs w:val="24"/>
        </w:rPr>
        <w:t xml:space="preserve"> w </w:t>
      </w:r>
      <w:r w:rsidR="00E85C06" w:rsidRPr="00EC250C">
        <w:rPr>
          <w:szCs w:val="24"/>
        </w:rPr>
        <w:t>stanie nieuszkodzonym</w:t>
      </w:r>
      <w:r w:rsidRPr="00EC250C">
        <w:rPr>
          <w:rStyle w:val="Odwoanieprzypisudolnego"/>
          <w:szCs w:val="24"/>
        </w:rPr>
        <w:footnoteReference w:id="318"/>
      </w:r>
      <w:r w:rsidRPr="00EC250C">
        <w:rPr>
          <w:szCs w:val="24"/>
        </w:rPr>
        <w:t>.</w:t>
      </w:r>
    </w:p>
    <w:p w14:paraId="0C2D7452" w14:textId="77777777" w:rsidR="00085E37" w:rsidRPr="00EC250C" w:rsidRDefault="00085E37" w:rsidP="00D131FA">
      <w:pPr>
        <w:pStyle w:val="ODESANIE"/>
        <w:jc w:val="both"/>
      </w:pPr>
      <w:r w:rsidRPr="00EC250C">
        <w:rPr>
          <w:rStyle w:val="Pogrubienie"/>
          <w:b w:val="0"/>
          <w:bCs w:val="0"/>
        </w:rPr>
        <w:t xml:space="preserve">Dyskryminacja ze względu na wyznanie w miejscu pracy może dotyczyć przedstawicieli mniejszości religijnych, jak i  większości </w:t>
      </w:r>
      <w:r w:rsidR="003B6E55" w:rsidRPr="00EC250C">
        <w:rPr>
          <w:rStyle w:val="Pogrubienie"/>
          <w:b w:val="0"/>
          <w:bCs w:val="0"/>
        </w:rPr>
        <w:t>katolickiej</w:t>
      </w:r>
      <w:r w:rsidRPr="00EC250C">
        <w:rPr>
          <w:rStyle w:val="Pogrubienie"/>
          <w:b w:val="0"/>
          <w:bCs w:val="0"/>
        </w:rPr>
        <w:t xml:space="preserve"> </w:t>
      </w:r>
      <w:r w:rsidR="003B6E55" w:rsidRPr="00EC250C">
        <w:rPr>
          <w:rStyle w:val="Pogrubienie"/>
          <w:b w:val="0"/>
          <w:bCs w:val="0"/>
        </w:rPr>
        <w:t>–</w:t>
      </w:r>
      <w:r w:rsidRPr="00EC250C">
        <w:rPr>
          <w:rStyle w:val="Pogrubienie"/>
          <w:b w:val="0"/>
          <w:bCs w:val="0"/>
        </w:rPr>
        <w:t xml:space="preserve"> raport RPO na ten temat omówiony został </w:t>
      </w:r>
      <w:r w:rsidR="003B6E55" w:rsidRPr="00EC250C">
        <w:rPr>
          <w:rStyle w:val="Pogrubienie"/>
          <w:b w:val="0"/>
          <w:bCs w:val="0"/>
        </w:rPr>
        <w:t xml:space="preserve">w kontekście </w:t>
      </w:r>
      <w:r w:rsidRPr="00EC250C">
        <w:rPr>
          <w:rStyle w:val="Pogrubienie"/>
          <w:b w:val="0"/>
          <w:bCs w:val="0"/>
        </w:rPr>
        <w:t>art. 32 ust 2 Konstytucji</w:t>
      </w:r>
    </w:p>
    <w:p w14:paraId="46D4295B" w14:textId="77777777" w:rsidR="0082269E" w:rsidRPr="00EC250C" w:rsidRDefault="0082269E" w:rsidP="00D131FA">
      <w:pPr>
        <w:spacing w:after="200" w:line="24" w:lineRule="auto"/>
        <w:jc w:val="both"/>
        <w:rPr>
          <w:spacing w:val="5"/>
          <w:sz w:val="24"/>
          <w:lang w:eastAsia="en-US"/>
        </w:rPr>
      </w:pPr>
      <w:r w:rsidRPr="00EC250C">
        <w:rPr>
          <w:sz w:val="24"/>
          <w:lang w:eastAsia="en-US"/>
        </w:rPr>
        <w:br w:type="page"/>
      </w:r>
    </w:p>
    <w:p w14:paraId="54437168" w14:textId="77777777" w:rsidR="004C52F3" w:rsidRPr="00EC250C" w:rsidRDefault="004C52F3" w:rsidP="00EC250C">
      <w:pPr>
        <w:pStyle w:val="Nagwek3"/>
      </w:pPr>
      <w:bookmarkStart w:id="320" w:name="_Toc6257771"/>
      <w:bookmarkStart w:id="321" w:name="_Toc11247661"/>
      <w:r w:rsidRPr="00EC250C">
        <w:lastRenderedPageBreak/>
        <w:t xml:space="preserve">Art. 54 </w:t>
      </w:r>
      <w:r w:rsidR="006302BF" w:rsidRPr="00EC250C">
        <w:t xml:space="preserve">Konstytucji </w:t>
      </w:r>
      <w:r w:rsidRPr="00EC250C">
        <w:t>– Wolność słowa</w:t>
      </w:r>
      <w:bookmarkEnd w:id="320"/>
      <w:bookmarkEnd w:id="321"/>
    </w:p>
    <w:p w14:paraId="3A628B75" w14:textId="77777777" w:rsidR="004C52F3" w:rsidRPr="00EC250C" w:rsidRDefault="004C52F3" w:rsidP="00D131FA">
      <w:pPr>
        <w:pStyle w:val="konstytucja"/>
        <w:jc w:val="both"/>
      </w:pPr>
      <w:r w:rsidRPr="00EC250C">
        <w:t>1. Każdemu zapewnia się wolność wyrażania swoich poglądów oraz pozyskiwania</w:t>
      </w:r>
      <w:r w:rsidR="00992FD0" w:rsidRPr="00EC250C">
        <w:t xml:space="preserve"> i </w:t>
      </w:r>
      <w:r w:rsidRPr="00EC250C">
        <w:t>rozpowszechniania informacji.</w:t>
      </w:r>
    </w:p>
    <w:p w14:paraId="718CD7D3" w14:textId="77777777" w:rsidR="004C52F3" w:rsidRPr="00EC250C" w:rsidRDefault="004C52F3" w:rsidP="00D131FA">
      <w:pPr>
        <w:pStyle w:val="konstytucja"/>
        <w:jc w:val="both"/>
      </w:pPr>
      <w:r w:rsidRPr="00EC250C">
        <w:t>2. Cenzura prewencyjna środków społecznego przekazu oraz koncesjonowanie prasy są zakazane. Ustawa może wprowadzić obowiązek uprzedniego uzyskania koncesji na prowadzenie stacji radiowej lub telewizyjnej.</w:t>
      </w:r>
    </w:p>
    <w:p w14:paraId="4340AF11" w14:textId="77777777" w:rsidR="00C91F6E" w:rsidRPr="00EC250C" w:rsidRDefault="00444BCD" w:rsidP="00D131FA">
      <w:pPr>
        <w:pStyle w:val="ComwiKonstytucja"/>
      </w:pPr>
      <w:r w:rsidRPr="00EC250C">
        <w:t>Wolność słowa, wyrażana bezpośrednio lub poprzez środki przekazu, jest tradycyjną wolnością konstytucyjną.</w:t>
      </w:r>
    </w:p>
    <w:p w14:paraId="2388EAEE" w14:textId="77777777" w:rsidR="00444BCD" w:rsidRPr="00EC250C" w:rsidRDefault="00444BCD" w:rsidP="00D131FA">
      <w:pPr>
        <w:pStyle w:val="ComwiKonstytucja"/>
      </w:pPr>
      <w:r w:rsidRPr="00EC250C">
        <w:t>Artykuł 54 gwarantuje trzy odrębne choć powiązane ze sobą wolności: wolność wyrażania swoich poglądów, wolność pozyskiwania informacji oraz wolność rozpowszechniania informacji.</w:t>
      </w:r>
    </w:p>
    <w:p w14:paraId="56A97870" w14:textId="77777777" w:rsidR="00C91F6E" w:rsidRPr="00EC250C" w:rsidRDefault="00444BCD" w:rsidP="00D131FA">
      <w:pPr>
        <w:pStyle w:val="ComwiKonstytucja"/>
      </w:pPr>
      <w:r w:rsidRPr="00EC250C">
        <w:t>Wyrażenie „pogląd” należy</w:t>
      </w:r>
      <w:r w:rsidR="00992FD0" w:rsidRPr="00EC250C">
        <w:t xml:space="preserve"> w </w:t>
      </w:r>
      <w:r w:rsidRPr="00EC250C">
        <w:t>tym wypadku rozumieć jak najszerzej, jako wyrażanie osobistych ocen, prezentowanie opinii czy przypuszczeń, informowanie</w:t>
      </w:r>
      <w:r w:rsidR="00992FD0" w:rsidRPr="00EC250C">
        <w:t xml:space="preserve"> o </w:t>
      </w:r>
      <w:r w:rsidRPr="00EC250C">
        <w:t>faktach etc. Wolność ta ma zastosowanie zarówno</w:t>
      </w:r>
      <w:r w:rsidR="00992FD0" w:rsidRPr="00EC250C">
        <w:t xml:space="preserve"> w </w:t>
      </w:r>
      <w:r w:rsidRPr="00EC250C">
        <w:t>sferze publicznej jak</w:t>
      </w:r>
      <w:r w:rsidR="00992FD0" w:rsidRPr="00EC250C">
        <w:t xml:space="preserve"> i </w:t>
      </w:r>
      <w:r w:rsidRPr="00EC250C">
        <w:t>prywatnej (choć szczególnego znaczenia nabiera na gruncie przestrzeni publicznej, życia społecznego,</w:t>
      </w:r>
      <w:r w:rsidR="00992FD0" w:rsidRPr="00EC250C">
        <w:t xml:space="preserve"> a </w:t>
      </w:r>
      <w:r w:rsidRPr="00EC250C">
        <w:t>zwłaszcza politycznego), obejmuje osoby fizyczne</w:t>
      </w:r>
      <w:r w:rsidR="00992FD0" w:rsidRPr="00EC250C">
        <w:t xml:space="preserve"> i </w:t>
      </w:r>
      <w:r w:rsidRPr="00EC250C">
        <w:t>prawne.</w:t>
      </w:r>
    </w:p>
    <w:p w14:paraId="3E7E4192" w14:textId="77777777" w:rsidR="00C91F6E" w:rsidRPr="00EC250C" w:rsidRDefault="00444BCD" w:rsidP="00D131FA">
      <w:pPr>
        <w:pStyle w:val="ComwiKonstytucja"/>
      </w:pPr>
      <w:r w:rsidRPr="00EC250C">
        <w:t>Forma wyrażania poglądów może być dowolna, niekoniecznie poprzez wypowiedzi słowne (np. poprzez noszenie określonego stroju). Wolność pozyskiwania informacji dotyczyć może zbierania danych</w:t>
      </w:r>
      <w:r w:rsidR="00992FD0" w:rsidRPr="00EC250C">
        <w:t xml:space="preserve"> z </w:t>
      </w:r>
      <w:r w:rsidRPr="00EC250C">
        <w:t>dowolnych sfer życia publicznego (art. 61 Konstytucji nakłada na władze obowiązek udzielania odpowiednich informacji) lub prywatnego.</w:t>
      </w:r>
    </w:p>
    <w:p w14:paraId="0CA65290" w14:textId="77777777" w:rsidR="00C91F6E" w:rsidRPr="00EC250C" w:rsidRDefault="00444BCD" w:rsidP="00D131FA">
      <w:pPr>
        <w:pStyle w:val="ComwiKonstytucja"/>
      </w:pPr>
      <w:r w:rsidRPr="00EC250C">
        <w:t>Poprzez rozpowszechnianie informacji należy rozumieć udostępnianie zebranych danych osobom trzecim (indywidualnie wybranym) lub upowszechnianie ich (czyli podawanie do wiadomości publicznej, np. poprzez środki społecznego przekazu).</w:t>
      </w:r>
    </w:p>
    <w:p w14:paraId="63BA0D97" w14:textId="77777777" w:rsidR="00444BCD" w:rsidRPr="00EC250C" w:rsidRDefault="00444BCD" w:rsidP="00D131FA">
      <w:pPr>
        <w:pStyle w:val="ComwiKonstytucja"/>
      </w:pPr>
      <w:r w:rsidRPr="00EC250C">
        <w:t>Potwierdza to konstytucyjną zasadę wolności prasy zawartą</w:t>
      </w:r>
      <w:r w:rsidR="00992FD0" w:rsidRPr="00EC250C">
        <w:t xml:space="preserve"> w </w:t>
      </w:r>
      <w:r w:rsidRPr="00EC250C">
        <w:t>art. 14</w:t>
      </w:r>
      <w:r w:rsidR="00EE09AA" w:rsidRPr="00EC250C">
        <w:t>.</w:t>
      </w:r>
    </w:p>
    <w:p w14:paraId="73A84B4B" w14:textId="77777777" w:rsidR="00EE09AA" w:rsidRPr="00EC250C" w:rsidRDefault="00EE09AA" w:rsidP="00D131FA">
      <w:pPr>
        <w:pStyle w:val="ComwiKonstytucja"/>
      </w:pPr>
    </w:p>
    <w:p w14:paraId="1A5D7C9A" w14:textId="77777777" w:rsidR="00444BCD" w:rsidRPr="00EC250C" w:rsidRDefault="00444BCD" w:rsidP="00D131FA">
      <w:pPr>
        <w:spacing w:after="200" w:line="24" w:lineRule="auto"/>
        <w:jc w:val="both"/>
        <w:rPr>
          <w:i/>
          <w:spacing w:val="5"/>
          <w:sz w:val="22"/>
        </w:rPr>
      </w:pPr>
      <w:r w:rsidRPr="00EC250C">
        <w:rPr>
          <w:sz w:val="24"/>
        </w:rPr>
        <w:br w:type="page"/>
      </w:r>
    </w:p>
    <w:p w14:paraId="0F81D945" w14:textId="77777777" w:rsidR="004223A8" w:rsidRPr="00EC250C" w:rsidRDefault="00925209" w:rsidP="00EC79EB">
      <w:pPr>
        <w:pStyle w:val="Nagwek4"/>
        <w:rPr>
          <w:rStyle w:val="TekstprzypisudolnegoZnak1"/>
          <w:b w:val="0"/>
          <w:sz w:val="28"/>
        </w:rPr>
      </w:pPr>
      <w:bookmarkStart w:id="322" w:name="_Toc6257772"/>
      <w:bookmarkStart w:id="323" w:name="_Toc11247662"/>
      <w:r w:rsidRPr="00EC250C">
        <w:rPr>
          <w:rStyle w:val="TekstprzypisudolnegoZnak1"/>
          <w:sz w:val="28"/>
        </w:rPr>
        <w:lastRenderedPageBreak/>
        <w:t>Niewykonany wyrok Trybunału Konstytucyjnego</w:t>
      </w:r>
      <w:r w:rsidR="00992FD0" w:rsidRPr="00EC250C">
        <w:rPr>
          <w:rStyle w:val="TekstprzypisudolnegoZnak1"/>
          <w:sz w:val="28"/>
        </w:rPr>
        <w:t xml:space="preserve"> w </w:t>
      </w:r>
      <w:r w:rsidRPr="00EC250C">
        <w:rPr>
          <w:rStyle w:val="TekstprzypisudolnegoZnak1"/>
          <w:sz w:val="28"/>
        </w:rPr>
        <w:t>sprawie sposobu wybierania władz publicznych mediów</w:t>
      </w:r>
      <w:bookmarkEnd w:id="322"/>
      <w:bookmarkEnd w:id="323"/>
    </w:p>
    <w:p w14:paraId="0378DDD3" w14:textId="77777777" w:rsidR="00B473F5" w:rsidRPr="00EC250C" w:rsidRDefault="004223A8" w:rsidP="00D131FA">
      <w:pPr>
        <w:pStyle w:val="Problemczowieka"/>
        <w:jc w:val="both"/>
        <w:rPr>
          <w:rStyle w:val="Pogrubienie"/>
          <w:rFonts w:eastAsiaTheme="minorHAnsi"/>
          <w:b/>
          <w:bCs w:val="0"/>
        </w:rPr>
      </w:pPr>
      <w:r w:rsidRPr="00EC250C">
        <w:rPr>
          <w:rStyle w:val="Pogrubienie"/>
          <w:rFonts w:eastAsiaTheme="minorHAnsi"/>
          <w:b/>
          <w:bCs w:val="0"/>
        </w:rPr>
        <w:t>Od 2016</w:t>
      </w:r>
      <w:r w:rsidR="00C91F6E" w:rsidRPr="00EC250C">
        <w:rPr>
          <w:rStyle w:val="Pogrubienie"/>
          <w:rFonts w:eastAsiaTheme="minorHAnsi"/>
          <w:b/>
          <w:bCs w:val="0"/>
        </w:rPr>
        <w:t> r.</w:t>
      </w:r>
      <w:r w:rsidRPr="00EC250C">
        <w:rPr>
          <w:rStyle w:val="Pogrubienie"/>
          <w:rFonts w:eastAsiaTheme="minorHAnsi"/>
          <w:b/>
          <w:bCs w:val="0"/>
        </w:rPr>
        <w:t xml:space="preserve"> niewykonany pozostaje wyrok Trybunału Konstytucyjnego</w:t>
      </w:r>
      <w:r w:rsidR="00992FD0" w:rsidRPr="00EC250C">
        <w:rPr>
          <w:rStyle w:val="Pogrubienie"/>
          <w:rFonts w:eastAsiaTheme="minorHAnsi"/>
          <w:b/>
          <w:bCs w:val="0"/>
        </w:rPr>
        <w:t xml:space="preserve"> w </w:t>
      </w:r>
      <w:r w:rsidRPr="00EC250C">
        <w:rPr>
          <w:rStyle w:val="Pogrubienie"/>
          <w:rFonts w:eastAsiaTheme="minorHAnsi"/>
          <w:b/>
          <w:bCs w:val="0"/>
        </w:rPr>
        <w:t>sprawie przepisów, który decydujący głos</w:t>
      </w:r>
      <w:r w:rsidR="00992FD0" w:rsidRPr="00EC250C">
        <w:rPr>
          <w:rStyle w:val="Pogrubienie"/>
          <w:rFonts w:eastAsiaTheme="minorHAnsi"/>
          <w:b/>
          <w:bCs w:val="0"/>
        </w:rPr>
        <w:t xml:space="preserve"> o </w:t>
      </w:r>
      <w:r w:rsidRPr="00EC250C">
        <w:rPr>
          <w:rStyle w:val="Pogrubienie"/>
          <w:rFonts w:eastAsiaTheme="minorHAnsi"/>
          <w:b/>
          <w:bCs w:val="0"/>
        </w:rPr>
        <w:t>obsadzie stanowisk</w:t>
      </w:r>
      <w:r w:rsidR="00992FD0" w:rsidRPr="00EC250C">
        <w:rPr>
          <w:rStyle w:val="Pogrubienie"/>
          <w:rFonts w:eastAsiaTheme="minorHAnsi"/>
          <w:b/>
          <w:bCs w:val="0"/>
        </w:rPr>
        <w:t xml:space="preserve"> w </w:t>
      </w:r>
      <w:r w:rsidRPr="00EC250C">
        <w:rPr>
          <w:rStyle w:val="Pogrubienie"/>
          <w:rFonts w:eastAsiaTheme="minorHAnsi"/>
          <w:b/>
          <w:bCs w:val="0"/>
        </w:rPr>
        <w:t>mediach publicznych dał politykom partii rządzącej</w:t>
      </w:r>
      <w:r w:rsidR="00EC122B" w:rsidRPr="00EC250C">
        <w:rPr>
          <w:rStyle w:val="Odwoanieprzypisudolnego"/>
          <w:rFonts w:eastAsiaTheme="minorHAnsi"/>
        </w:rPr>
        <w:footnoteReference w:id="319"/>
      </w:r>
      <w:r w:rsidR="00B473F5" w:rsidRPr="00EC250C">
        <w:rPr>
          <w:rStyle w:val="Pogrubienie"/>
          <w:rFonts w:eastAsiaTheme="minorHAnsi"/>
          <w:b/>
          <w:bCs w:val="0"/>
        </w:rPr>
        <w:t>.</w:t>
      </w:r>
    </w:p>
    <w:p w14:paraId="4EE28C24" w14:textId="77777777" w:rsidR="00C91F6E" w:rsidRPr="00EC250C" w:rsidRDefault="004223A8" w:rsidP="00D131FA">
      <w:pPr>
        <w:pStyle w:val="Styl1"/>
        <w:rPr>
          <w:rStyle w:val="Pogrubienie"/>
          <w:rFonts w:eastAsiaTheme="minorHAnsi"/>
          <w:b w:val="0"/>
          <w:bCs w:val="0"/>
        </w:rPr>
      </w:pPr>
      <w:r w:rsidRPr="00EC250C">
        <w:rPr>
          <w:rStyle w:val="Pogrubienie"/>
          <w:rFonts w:eastAsiaTheme="minorHAnsi"/>
          <w:b w:val="0"/>
          <w:bCs w:val="0"/>
        </w:rPr>
        <w:t>W 2016</w:t>
      </w:r>
      <w:r w:rsidR="00C91F6E" w:rsidRPr="00EC250C">
        <w:rPr>
          <w:rStyle w:val="Pogrubienie"/>
          <w:rFonts w:eastAsiaTheme="minorHAnsi"/>
          <w:b w:val="0"/>
          <w:bCs w:val="0"/>
        </w:rPr>
        <w:t> r.</w:t>
      </w:r>
      <w:r w:rsidRPr="00EC250C">
        <w:rPr>
          <w:rStyle w:val="Pogrubienie"/>
          <w:rFonts w:eastAsiaTheme="minorHAnsi"/>
          <w:b w:val="0"/>
          <w:bCs w:val="0"/>
        </w:rPr>
        <w:t xml:space="preserve"> TK uznał za niekonstytucyjne m.in. pozbawienie Krajowej Rady Radiofonii</w:t>
      </w:r>
      <w:r w:rsidR="00992FD0" w:rsidRPr="00EC250C">
        <w:rPr>
          <w:rStyle w:val="Pogrubienie"/>
          <w:rFonts w:eastAsiaTheme="minorHAnsi"/>
          <w:b w:val="0"/>
          <w:bCs w:val="0"/>
        </w:rPr>
        <w:t xml:space="preserve"> i </w:t>
      </w:r>
      <w:r w:rsidRPr="00EC250C">
        <w:rPr>
          <w:rStyle w:val="Pogrubienie"/>
          <w:rFonts w:eastAsiaTheme="minorHAnsi"/>
          <w:b w:val="0"/>
          <w:bCs w:val="0"/>
        </w:rPr>
        <w:t>Telewizji udziału</w:t>
      </w:r>
      <w:r w:rsidR="00992FD0" w:rsidRPr="00EC250C">
        <w:rPr>
          <w:rStyle w:val="Pogrubienie"/>
          <w:rFonts w:eastAsiaTheme="minorHAnsi"/>
          <w:b w:val="0"/>
          <w:bCs w:val="0"/>
        </w:rPr>
        <w:t xml:space="preserve"> w </w:t>
      </w:r>
      <w:r w:rsidRPr="00EC250C">
        <w:rPr>
          <w:rStyle w:val="Pogrubienie"/>
          <w:rFonts w:eastAsiaTheme="minorHAnsi"/>
          <w:b w:val="0"/>
          <w:bCs w:val="0"/>
        </w:rPr>
        <w:t>powoływaniu</w:t>
      </w:r>
      <w:r w:rsidR="00992FD0" w:rsidRPr="00EC250C">
        <w:rPr>
          <w:rStyle w:val="Pogrubienie"/>
          <w:rFonts w:eastAsiaTheme="minorHAnsi"/>
          <w:b w:val="0"/>
          <w:bCs w:val="0"/>
        </w:rPr>
        <w:t xml:space="preserve"> i </w:t>
      </w:r>
      <w:r w:rsidRPr="00EC250C">
        <w:rPr>
          <w:rStyle w:val="Pogrubienie"/>
          <w:rFonts w:eastAsiaTheme="minorHAnsi"/>
          <w:b w:val="0"/>
          <w:bCs w:val="0"/>
        </w:rPr>
        <w:t>odwoływaniu władz TVP</w:t>
      </w:r>
      <w:r w:rsidR="00992FD0" w:rsidRPr="00EC250C">
        <w:rPr>
          <w:rStyle w:val="Pogrubienie"/>
          <w:rFonts w:eastAsiaTheme="minorHAnsi"/>
          <w:b w:val="0"/>
          <w:bCs w:val="0"/>
        </w:rPr>
        <w:t xml:space="preserve"> i </w:t>
      </w:r>
      <w:r w:rsidRPr="00EC250C">
        <w:rPr>
          <w:rStyle w:val="Pogrubienie"/>
          <w:rFonts w:eastAsiaTheme="minorHAnsi"/>
          <w:b w:val="0"/>
          <w:bCs w:val="0"/>
        </w:rPr>
        <w:t>Polskiego Radia</w:t>
      </w:r>
      <w:r w:rsidR="00026572" w:rsidRPr="00EC250C">
        <w:rPr>
          <w:rStyle w:val="Pogrubienie"/>
          <w:rFonts w:eastAsiaTheme="minorHAnsi"/>
          <w:b w:val="0"/>
          <w:bCs w:val="0"/>
        </w:rPr>
        <w:t xml:space="preserve"> – </w:t>
      </w:r>
      <w:r w:rsidRPr="00EC250C">
        <w:rPr>
          <w:rStyle w:val="Pogrubienie"/>
          <w:rFonts w:eastAsiaTheme="minorHAnsi"/>
          <w:b w:val="0"/>
          <w:bCs w:val="0"/>
        </w:rPr>
        <w:t>na rzecz nowej instytucji, Rady Mediów Narodowych.</w:t>
      </w:r>
    </w:p>
    <w:p w14:paraId="64272C86" w14:textId="77777777" w:rsidR="004223A8" w:rsidRPr="00EC250C" w:rsidRDefault="004223A8" w:rsidP="00D131FA">
      <w:pPr>
        <w:pStyle w:val="Styl1"/>
        <w:rPr>
          <w:rStyle w:val="Pogrubienie"/>
          <w:rFonts w:eastAsiaTheme="minorHAnsi"/>
          <w:b w:val="0"/>
          <w:bCs w:val="0"/>
        </w:rPr>
      </w:pPr>
      <w:r w:rsidRPr="00EC250C">
        <w:rPr>
          <w:rStyle w:val="Pogrubienie"/>
          <w:rFonts w:eastAsiaTheme="minorHAnsi"/>
          <w:b w:val="0"/>
          <w:bCs w:val="0"/>
        </w:rPr>
        <w:t>Wyrok nie został wykonany.</w:t>
      </w:r>
      <w:r w:rsidR="00925209" w:rsidRPr="00EC250C">
        <w:rPr>
          <w:rStyle w:val="Pogrubienie"/>
          <w:rFonts w:eastAsiaTheme="minorHAnsi"/>
          <w:b w:val="0"/>
          <w:bCs w:val="0"/>
        </w:rPr>
        <w:t xml:space="preserve"> </w:t>
      </w:r>
      <w:r w:rsidR="00EC122B" w:rsidRPr="00EC250C">
        <w:rPr>
          <w:rStyle w:val="Pogrubienie"/>
          <w:rFonts w:eastAsiaTheme="minorHAnsi"/>
          <w:b w:val="0"/>
          <w:bCs w:val="0"/>
        </w:rPr>
        <w:t xml:space="preserve">RPO </w:t>
      </w:r>
      <w:r w:rsidR="00925209" w:rsidRPr="00EC250C">
        <w:rPr>
          <w:rStyle w:val="Pogrubienie"/>
          <w:rFonts w:eastAsiaTheme="minorHAnsi"/>
          <w:b w:val="0"/>
          <w:bCs w:val="0"/>
        </w:rPr>
        <w:t>interweniował</w:t>
      </w:r>
      <w:r w:rsidR="00992FD0" w:rsidRPr="00EC250C">
        <w:rPr>
          <w:rStyle w:val="Pogrubienie"/>
          <w:rFonts w:eastAsiaTheme="minorHAnsi"/>
          <w:b w:val="0"/>
          <w:bCs w:val="0"/>
        </w:rPr>
        <w:t xml:space="preserve"> w </w:t>
      </w:r>
      <w:r w:rsidR="00925209" w:rsidRPr="00EC250C">
        <w:rPr>
          <w:rStyle w:val="Pogrubienie"/>
          <w:rFonts w:eastAsiaTheme="minorHAnsi"/>
          <w:b w:val="0"/>
          <w:bCs w:val="0"/>
        </w:rPr>
        <w:t>tej sprawie kilkakrotnie,</w:t>
      </w:r>
      <w:r w:rsidR="00992FD0" w:rsidRPr="00EC250C">
        <w:rPr>
          <w:rStyle w:val="Pogrubienie"/>
          <w:rFonts w:eastAsiaTheme="minorHAnsi"/>
          <w:b w:val="0"/>
          <w:bCs w:val="0"/>
        </w:rPr>
        <w:t xml:space="preserve"> w </w:t>
      </w:r>
      <w:r w:rsidR="00925209" w:rsidRPr="00EC250C">
        <w:rPr>
          <w:rStyle w:val="Pogrubienie"/>
          <w:rFonts w:eastAsiaTheme="minorHAnsi"/>
          <w:b w:val="0"/>
          <w:bCs w:val="0"/>
        </w:rPr>
        <w:t>2018</w:t>
      </w:r>
      <w:r w:rsidR="00C91F6E" w:rsidRPr="00EC250C">
        <w:rPr>
          <w:rStyle w:val="Pogrubienie"/>
          <w:rFonts w:eastAsiaTheme="minorHAnsi"/>
          <w:b w:val="0"/>
          <w:bCs w:val="0"/>
        </w:rPr>
        <w:t> </w:t>
      </w:r>
      <w:r w:rsidR="00C91F6E" w:rsidRPr="00EC250C">
        <w:rPr>
          <w:rStyle w:val="Pogrubienie"/>
          <w:rFonts w:eastAsiaTheme="minorHAnsi" w:hint="eastAsia"/>
          <w:b w:val="0"/>
          <w:bCs w:val="0"/>
        </w:rPr>
        <w:t>r.</w:t>
      </w:r>
      <w:r w:rsidR="00925209" w:rsidRPr="00EC250C">
        <w:rPr>
          <w:rStyle w:val="Pogrubienie"/>
          <w:rFonts w:eastAsiaTheme="minorHAnsi"/>
          <w:b w:val="0"/>
          <w:bCs w:val="0"/>
        </w:rPr>
        <w:t>- u premiera</w:t>
      </w:r>
      <w:r w:rsidR="00EC122B" w:rsidRPr="00EC250C">
        <w:rPr>
          <w:rStyle w:val="Pogrubienie"/>
          <w:rFonts w:eastAsiaTheme="minorHAnsi"/>
          <w:b w:val="0"/>
          <w:bCs w:val="0"/>
        </w:rPr>
        <w:t xml:space="preserve"> zwracając uwagę, że wyrok podważa konstytucyjność działania Rady Mediów Narodowych i że przepisy powinny być zmienione</w:t>
      </w:r>
      <w:r w:rsidRPr="00EC250C">
        <w:rPr>
          <w:rStyle w:val="Odwoanieprzypisudolnego"/>
        </w:rPr>
        <w:footnoteReference w:id="320"/>
      </w:r>
      <w:r w:rsidR="00EC122B" w:rsidRPr="00EC250C">
        <w:rPr>
          <w:rStyle w:val="Pogrubienie"/>
          <w:rFonts w:eastAsiaTheme="minorHAnsi"/>
          <w:b w:val="0"/>
          <w:bCs w:val="0"/>
        </w:rPr>
        <w:t>.</w:t>
      </w:r>
    </w:p>
    <w:p w14:paraId="4DE3FCA7" w14:textId="29D5DBF5" w:rsidR="009978A1" w:rsidRPr="00EC250C" w:rsidRDefault="009978A1" w:rsidP="00EC250C">
      <w:pPr>
        <w:pStyle w:val="Nagwek8"/>
      </w:pPr>
      <w:r w:rsidRPr="00EC250C">
        <w:t xml:space="preserve">RPO do </w:t>
      </w:r>
      <w:r w:rsidR="00DB67D0" w:rsidRPr="00EC250C">
        <w:t>P</w:t>
      </w:r>
      <w:r w:rsidRPr="00EC250C">
        <w:t>rzewodniczącego Krajowej Rady Radiofonii</w:t>
      </w:r>
      <w:r w:rsidR="00992FD0" w:rsidRPr="00EC250C">
        <w:t xml:space="preserve"> i </w:t>
      </w:r>
      <w:r w:rsidRPr="00EC250C">
        <w:t xml:space="preserve">Telewizji: są </w:t>
      </w:r>
      <w:r w:rsidR="00DB67D0" w:rsidRPr="00EC250C">
        <w:t>o NBP</w:t>
      </w:r>
      <w:r w:rsidRPr="00EC250C">
        <w:t>konstytucyjne powody, by zmienić decyzję</w:t>
      </w:r>
      <w:r w:rsidR="00992FD0" w:rsidRPr="00EC250C">
        <w:t xml:space="preserve"> o </w:t>
      </w:r>
      <w:r w:rsidRPr="00EC250C">
        <w:t>karze dla TVN 24</w:t>
      </w:r>
    </w:p>
    <w:p w14:paraId="3E6062B1" w14:textId="77777777" w:rsidR="004223A8" w:rsidRPr="00EC250C" w:rsidRDefault="004223A8" w:rsidP="00D131FA">
      <w:pPr>
        <w:pStyle w:val="Styl2"/>
        <w:rPr>
          <w:szCs w:val="24"/>
        </w:rPr>
      </w:pPr>
      <w:r w:rsidRPr="00EC250C">
        <w:rPr>
          <w:szCs w:val="24"/>
        </w:rPr>
        <w:t>Krajowa Rada Radiofonii</w:t>
      </w:r>
      <w:r w:rsidR="00992FD0" w:rsidRPr="00EC250C">
        <w:rPr>
          <w:szCs w:val="24"/>
        </w:rPr>
        <w:t xml:space="preserve"> i </w:t>
      </w:r>
      <w:r w:rsidRPr="00EC250C">
        <w:rPr>
          <w:szCs w:val="24"/>
        </w:rPr>
        <w:t>Telewizji ukarała TVN24 1,5 mln zł kary za sposób relacjonowania protestów pod Sejmem 16 grudnia 2016</w:t>
      </w:r>
      <w:r w:rsidR="00C91F6E" w:rsidRPr="00EC250C">
        <w:rPr>
          <w:szCs w:val="24"/>
        </w:rPr>
        <w:t> r.</w:t>
      </w:r>
      <w:r w:rsidRPr="00EC250C">
        <w:rPr>
          <w:szCs w:val="24"/>
        </w:rPr>
        <w:t xml:space="preserve"> Stacja nie zgadza</w:t>
      </w:r>
      <w:r w:rsidR="00EC122B" w:rsidRPr="00EC250C">
        <w:rPr>
          <w:szCs w:val="24"/>
        </w:rPr>
        <w:t>ła</w:t>
      </w:r>
      <w:r w:rsidRPr="00EC250C">
        <w:rPr>
          <w:szCs w:val="24"/>
        </w:rPr>
        <w:t xml:space="preserve"> się</w:t>
      </w:r>
      <w:r w:rsidR="00992FD0" w:rsidRPr="00EC250C">
        <w:rPr>
          <w:szCs w:val="24"/>
        </w:rPr>
        <w:t xml:space="preserve"> z </w:t>
      </w:r>
      <w:r w:rsidRPr="00EC250C">
        <w:rPr>
          <w:szCs w:val="24"/>
        </w:rPr>
        <w:t>decyzją</w:t>
      </w:r>
      <w:r w:rsidR="00992FD0" w:rsidRPr="00EC250C">
        <w:rPr>
          <w:szCs w:val="24"/>
        </w:rPr>
        <w:t xml:space="preserve"> i </w:t>
      </w:r>
      <w:r w:rsidRPr="00EC250C">
        <w:rPr>
          <w:szCs w:val="24"/>
        </w:rPr>
        <w:t>podnosi</w:t>
      </w:r>
      <w:r w:rsidR="00EC122B" w:rsidRPr="00EC250C">
        <w:rPr>
          <w:szCs w:val="24"/>
        </w:rPr>
        <w:t>ła</w:t>
      </w:r>
      <w:r w:rsidRPr="00EC250C">
        <w:rPr>
          <w:szCs w:val="24"/>
        </w:rPr>
        <w:t xml:space="preserve">, że zapadła ona na podstawie błędnych przesłanek. </w:t>
      </w:r>
      <w:r w:rsidR="00EC122B" w:rsidRPr="00EC250C">
        <w:rPr>
          <w:szCs w:val="24"/>
        </w:rPr>
        <w:t xml:space="preserve">Zanim sprawa trafiła do sądu, </w:t>
      </w:r>
      <w:r w:rsidRPr="00EC250C">
        <w:rPr>
          <w:szCs w:val="24"/>
        </w:rPr>
        <w:t>RPO przypomn</w:t>
      </w:r>
      <w:r w:rsidR="00EC122B" w:rsidRPr="00EC250C">
        <w:rPr>
          <w:szCs w:val="24"/>
        </w:rPr>
        <w:t>iał</w:t>
      </w:r>
      <w:r w:rsidRPr="00EC250C">
        <w:rPr>
          <w:szCs w:val="24"/>
        </w:rPr>
        <w:t>, że Przewodniczący Krajowej Rady Radiofonii</w:t>
      </w:r>
      <w:r w:rsidR="00992FD0" w:rsidRPr="00EC250C">
        <w:rPr>
          <w:szCs w:val="24"/>
        </w:rPr>
        <w:t xml:space="preserve"> i </w:t>
      </w:r>
      <w:r w:rsidRPr="00EC250C">
        <w:rPr>
          <w:szCs w:val="24"/>
        </w:rPr>
        <w:t>Telewizji ma prawne podstawy do samodzielnego uchylenia decyzji Rady. Tak się też stało – kara została anulowana</w:t>
      </w:r>
      <w:r w:rsidRPr="00EC250C">
        <w:rPr>
          <w:rStyle w:val="Odwoanieprzypisudolnego"/>
          <w:rFonts w:ascii="Open Sans Regular" w:hAnsi="Open Sans Regular"/>
          <w:sz w:val="21"/>
          <w:szCs w:val="20"/>
        </w:rPr>
        <w:footnoteReference w:id="321"/>
      </w:r>
      <w:r w:rsidR="00321573" w:rsidRPr="00EC250C">
        <w:rPr>
          <w:szCs w:val="24"/>
        </w:rPr>
        <w:t>.</w:t>
      </w:r>
    </w:p>
    <w:p w14:paraId="12B6F9D8" w14:textId="77777777" w:rsidR="00C91F6E" w:rsidRPr="00EC250C" w:rsidRDefault="001602D5" w:rsidP="00EC79EB">
      <w:pPr>
        <w:pStyle w:val="Nagwek4"/>
      </w:pPr>
      <w:bookmarkStart w:id="324" w:name="_Toc6257774"/>
      <w:bookmarkStart w:id="325" w:name="_Toc11247663"/>
      <w:r w:rsidRPr="00EC250C">
        <w:t>Wydawanie prasy przez władze samorządowe</w:t>
      </w:r>
      <w:bookmarkEnd w:id="324"/>
      <w:bookmarkEnd w:id="325"/>
    </w:p>
    <w:p w14:paraId="109B8945" w14:textId="77777777" w:rsidR="00B473F5" w:rsidRPr="00EC250C" w:rsidRDefault="000D6E89" w:rsidP="00D131FA">
      <w:pPr>
        <w:pStyle w:val="Problemczowieka"/>
        <w:jc w:val="both"/>
      </w:pPr>
      <w:r w:rsidRPr="00EC250C">
        <w:t xml:space="preserve">Kiedy </w:t>
      </w:r>
      <w:r w:rsidR="004223A8" w:rsidRPr="00EC250C">
        <w:t xml:space="preserve">biuletyny samorządowe </w:t>
      </w:r>
      <w:r w:rsidRPr="00EC250C">
        <w:t xml:space="preserve">uzurpują </w:t>
      </w:r>
      <w:r w:rsidR="004223A8" w:rsidRPr="00EC250C">
        <w:t>rol</w:t>
      </w:r>
      <w:r w:rsidRPr="00EC250C">
        <w:t>ę</w:t>
      </w:r>
      <w:r w:rsidR="004223A8" w:rsidRPr="00EC250C">
        <w:t xml:space="preserve"> gazet</w:t>
      </w:r>
      <w:r w:rsidRPr="00EC250C">
        <w:t xml:space="preserve">, </w:t>
      </w:r>
      <w:r w:rsidR="00A13D58" w:rsidRPr="00EC250C">
        <w:t>utrudnia to dziennikarzom mediów prywatnych dostęp do informacji</w:t>
      </w:r>
      <w:r w:rsidR="004223A8" w:rsidRPr="00EC250C">
        <w:t>, co jest podważeniem fundamentalnej zasady wolności słowa</w:t>
      </w:r>
      <w:r w:rsidR="00992FD0" w:rsidRPr="00EC250C">
        <w:t xml:space="preserve"> i </w:t>
      </w:r>
      <w:r w:rsidR="004223A8" w:rsidRPr="00EC250C">
        <w:t>prawa dostępu obywateli do informacji publicznej.</w:t>
      </w:r>
      <w:r w:rsidR="00321573" w:rsidRPr="00EC250C">
        <w:t xml:space="preserve"> </w:t>
      </w:r>
      <w:r w:rsidR="00B473F5" w:rsidRPr="00EC250C">
        <w:t>.</w:t>
      </w:r>
    </w:p>
    <w:p w14:paraId="39EDDF94" w14:textId="77777777" w:rsidR="004223A8" w:rsidRPr="00EC250C" w:rsidRDefault="00A13D58" w:rsidP="00D131FA">
      <w:pPr>
        <w:pStyle w:val="Styl1"/>
      </w:pPr>
      <w:r w:rsidRPr="00EC250C">
        <w:t>Poza tym s</w:t>
      </w:r>
      <w:r w:rsidR="000D6E89" w:rsidRPr="00EC250C">
        <w:t>amorząd wydaje taką gazetę</w:t>
      </w:r>
      <w:r w:rsidR="00992FD0" w:rsidRPr="00EC250C">
        <w:t xml:space="preserve"> w </w:t>
      </w:r>
      <w:r w:rsidR="004223A8" w:rsidRPr="00EC250C">
        <w:t>oderwaniu od zasad rynkowych,</w:t>
      </w:r>
      <w:r w:rsidR="00992FD0" w:rsidRPr="00EC250C">
        <w:t xml:space="preserve"> z </w:t>
      </w:r>
      <w:r w:rsidR="004223A8" w:rsidRPr="00EC250C">
        <w:t>pomocą środków publicznych oraz przy wsparciu zatrudnionych urzędników, którzy redagują jego treść</w:t>
      </w:r>
      <w:r w:rsidR="00992FD0" w:rsidRPr="00EC250C">
        <w:t xml:space="preserve"> w </w:t>
      </w:r>
      <w:r w:rsidR="004223A8" w:rsidRPr="00EC250C">
        <w:t>ramach obowiązków służbowych.</w:t>
      </w:r>
    </w:p>
    <w:p w14:paraId="75A6FD7D" w14:textId="77777777" w:rsidR="00C91F6E" w:rsidRPr="00EC250C" w:rsidRDefault="000D6E89" w:rsidP="00D131FA">
      <w:pPr>
        <w:pStyle w:val="Styl1"/>
        <w:rPr>
          <w:bCs/>
          <w:iCs/>
        </w:rPr>
      </w:pPr>
      <w:r w:rsidRPr="00EC250C">
        <w:t>RPO ponownie napisał</w:t>
      </w:r>
      <w:r w:rsidR="00992FD0" w:rsidRPr="00EC250C">
        <w:t xml:space="preserve"> w </w:t>
      </w:r>
      <w:r w:rsidRPr="00EC250C">
        <w:t>2018</w:t>
      </w:r>
      <w:r w:rsidR="00C91F6E" w:rsidRPr="00EC250C">
        <w:t> r.</w:t>
      </w:r>
      <w:r w:rsidR="00992FD0" w:rsidRPr="00EC250C">
        <w:t xml:space="preserve"> w </w:t>
      </w:r>
      <w:r w:rsidRPr="00EC250C">
        <w:t>tej sprawie do Ministra Kultury</w:t>
      </w:r>
      <w:r w:rsidR="00992FD0" w:rsidRPr="00EC250C">
        <w:t xml:space="preserve"> i </w:t>
      </w:r>
      <w:r w:rsidRPr="00EC250C">
        <w:t>Dziedzictwa Narodowego.</w:t>
      </w:r>
      <w:r w:rsidR="00A13D58" w:rsidRPr="00EC250C">
        <w:t xml:space="preserve"> </w:t>
      </w:r>
      <w:r w:rsidR="00B34F9F" w:rsidRPr="00EC250C">
        <w:rPr>
          <w:bCs/>
          <w:iCs/>
        </w:rPr>
        <w:t>Minister</w:t>
      </w:r>
      <w:r w:rsidR="00D80E0E" w:rsidRPr="00EC250C">
        <w:rPr>
          <w:bCs/>
          <w:iCs/>
        </w:rPr>
        <w:t xml:space="preserve"> poinformował, że </w:t>
      </w:r>
      <w:r w:rsidR="00A13D58" w:rsidRPr="00EC250C">
        <w:rPr>
          <w:bCs/>
          <w:iCs/>
        </w:rPr>
        <w:t xml:space="preserve">nie są </w:t>
      </w:r>
      <w:r w:rsidR="000A707E" w:rsidRPr="00EC250C">
        <w:rPr>
          <w:bCs/>
          <w:iCs/>
        </w:rPr>
        <w:t xml:space="preserve">prowadzone prace nad </w:t>
      </w:r>
      <w:r w:rsidR="00D80E0E" w:rsidRPr="00EC250C">
        <w:rPr>
          <w:bCs/>
          <w:iCs/>
        </w:rPr>
        <w:t>nowelizacją Prawa prasowego</w:t>
      </w:r>
      <w:r w:rsidR="00A13D58" w:rsidRPr="00EC250C">
        <w:rPr>
          <w:bCs/>
          <w:iCs/>
        </w:rPr>
        <w:t>,</w:t>
      </w:r>
      <w:r w:rsidR="00992FD0" w:rsidRPr="00EC250C">
        <w:rPr>
          <w:bCs/>
          <w:iCs/>
        </w:rPr>
        <w:t xml:space="preserve"> a </w:t>
      </w:r>
      <w:r w:rsidR="00A13D58" w:rsidRPr="00EC250C">
        <w:rPr>
          <w:bCs/>
          <w:iCs/>
        </w:rPr>
        <w:t xml:space="preserve">rzecz jest ryzykowna, bo </w:t>
      </w:r>
      <w:r w:rsidR="00D80E0E" w:rsidRPr="00EC250C">
        <w:rPr>
          <w:bCs/>
          <w:iCs/>
        </w:rPr>
        <w:t xml:space="preserve">ograniczenie prawa </w:t>
      </w:r>
      <w:r w:rsidR="00A13D58" w:rsidRPr="00EC250C">
        <w:rPr>
          <w:bCs/>
          <w:iCs/>
        </w:rPr>
        <w:t xml:space="preserve">samorządów </w:t>
      </w:r>
      <w:r w:rsidR="00D80E0E" w:rsidRPr="00EC250C">
        <w:rPr>
          <w:bCs/>
          <w:iCs/>
        </w:rPr>
        <w:t xml:space="preserve">do wydawania prasy </w:t>
      </w:r>
      <w:r w:rsidR="00D80E0E" w:rsidRPr="00EC250C">
        <w:rPr>
          <w:bCs/>
          <w:iCs/>
        </w:rPr>
        <w:lastRenderedPageBreak/>
        <w:t>mogłoby zostać odebrane jako ograniczenie swobody wypowiedzi organów władzy na szczeblu terytorialnym</w:t>
      </w:r>
      <w:r w:rsidR="00CA5C80" w:rsidRPr="00EC250C">
        <w:rPr>
          <w:rStyle w:val="Odwoanieprzypisudolnego"/>
          <w:bCs/>
          <w:iCs/>
        </w:rPr>
        <w:footnoteReference w:id="322"/>
      </w:r>
      <w:r w:rsidR="00D80E0E" w:rsidRPr="00EC250C">
        <w:rPr>
          <w:bCs/>
          <w:iCs/>
        </w:rPr>
        <w:t>.</w:t>
      </w:r>
    </w:p>
    <w:p w14:paraId="2257A49D" w14:textId="77777777" w:rsidR="00C91F6E" w:rsidRPr="00EC250C" w:rsidRDefault="000A707E" w:rsidP="00D131FA">
      <w:pPr>
        <w:pStyle w:val="Styl1"/>
      </w:pPr>
      <w:r w:rsidRPr="00EC250C">
        <w:t>W</w:t>
      </w:r>
      <w:r w:rsidR="005A5069" w:rsidRPr="00EC250C">
        <w:t>arto wskazać, iż 19 października 2018</w:t>
      </w:r>
      <w:r w:rsidR="00C91F6E" w:rsidRPr="00EC250C">
        <w:t> r.</w:t>
      </w:r>
      <w:r w:rsidR="005A5069" w:rsidRPr="00EC250C">
        <w:t xml:space="preserve"> Klub Poselski Kukiz’15 wniósł do Sejmu projekt </w:t>
      </w:r>
      <w:r w:rsidRPr="00EC250C">
        <w:t xml:space="preserve">nowelizacji </w:t>
      </w:r>
      <w:r w:rsidR="005A5069" w:rsidRPr="00EC250C">
        <w:t>praw</w:t>
      </w:r>
      <w:r w:rsidRPr="00EC250C">
        <w:t>a</w:t>
      </w:r>
      <w:r w:rsidR="005A5069" w:rsidRPr="00EC250C">
        <w:t xml:space="preserve"> prasowe</w:t>
      </w:r>
      <w:r w:rsidRPr="00EC250C">
        <w:t xml:space="preserve">go zakładający </w:t>
      </w:r>
      <w:r w:rsidR="005A5069" w:rsidRPr="00EC250C">
        <w:t>zakaz wydawania prasy przez samorządy gminne, powiatowe czy wojewódzkie</w:t>
      </w:r>
      <w:r w:rsidR="00AE3EE6" w:rsidRPr="00EC250C">
        <w:rPr>
          <w:rStyle w:val="Odwoanieprzypisudolnego"/>
        </w:rPr>
        <w:footnoteReference w:id="323"/>
      </w:r>
      <w:r w:rsidR="005A5069" w:rsidRPr="00EC250C">
        <w:t>.</w:t>
      </w:r>
      <w:r w:rsidR="00003634" w:rsidRPr="00EC250C">
        <w:t xml:space="preserve"> Prace nad nim się jeszcze nie zaczęły.</w:t>
      </w:r>
    </w:p>
    <w:p w14:paraId="1752ECC9" w14:textId="77777777" w:rsidR="00321573" w:rsidRPr="00EC250C" w:rsidRDefault="00B04745" w:rsidP="00EC250C">
      <w:pPr>
        <w:pStyle w:val="Nagwek8"/>
      </w:pPr>
      <w:r w:rsidRPr="00EC250C">
        <w:rPr>
          <w:rStyle w:val="field-content"/>
          <w:sz w:val="32"/>
          <w:bdr w:val="none" w:sz="0" w:space="0" w:color="auto"/>
        </w:rPr>
        <w:t xml:space="preserve">RPO </w:t>
      </w:r>
      <w:r w:rsidR="00321573" w:rsidRPr="00EC250C">
        <w:rPr>
          <w:rStyle w:val="field-content"/>
          <w:sz w:val="32"/>
          <w:bdr w:val="none" w:sz="0" w:space="0" w:color="auto"/>
        </w:rPr>
        <w:t>pyta</w:t>
      </w:r>
      <w:r w:rsidR="00992FD0" w:rsidRPr="00EC250C">
        <w:rPr>
          <w:rStyle w:val="field-content"/>
          <w:sz w:val="32"/>
          <w:bdr w:val="none" w:sz="0" w:space="0" w:color="auto"/>
        </w:rPr>
        <w:t xml:space="preserve"> o </w:t>
      </w:r>
      <w:r w:rsidR="00321573" w:rsidRPr="00EC250C">
        <w:rPr>
          <w:rStyle w:val="field-content"/>
          <w:sz w:val="32"/>
          <w:bdr w:val="none" w:sz="0" w:space="0" w:color="auto"/>
        </w:rPr>
        <w:t>bezstronność mediów publicznych</w:t>
      </w:r>
      <w:r w:rsidR="00992FD0" w:rsidRPr="00EC250C">
        <w:rPr>
          <w:rStyle w:val="field-content"/>
          <w:sz w:val="32"/>
          <w:bdr w:val="none" w:sz="0" w:space="0" w:color="auto"/>
        </w:rPr>
        <w:t xml:space="preserve"> w </w:t>
      </w:r>
      <w:r w:rsidR="00321573" w:rsidRPr="00EC250C">
        <w:rPr>
          <w:rStyle w:val="field-content"/>
          <w:sz w:val="32"/>
          <w:bdr w:val="none" w:sz="0" w:space="0" w:color="auto"/>
        </w:rPr>
        <w:t>samorządowej kampanii wyborczej</w:t>
      </w:r>
    </w:p>
    <w:p w14:paraId="63529503" w14:textId="77777777" w:rsidR="00321573" w:rsidRPr="00EC250C" w:rsidRDefault="00321573" w:rsidP="00D131FA">
      <w:pPr>
        <w:pStyle w:val="Styl2"/>
        <w:rPr>
          <w:szCs w:val="24"/>
        </w:rPr>
      </w:pPr>
      <w:r w:rsidRPr="00EC250C">
        <w:rPr>
          <w:rStyle w:val="Pogrubienie"/>
          <w:b/>
          <w:bCs/>
          <w:szCs w:val="24"/>
        </w:rPr>
        <w:t>Czy media publiczne zachowują zasady pluralizmu, bezstronności</w:t>
      </w:r>
      <w:r w:rsidR="00992FD0" w:rsidRPr="00EC250C">
        <w:rPr>
          <w:rStyle w:val="Pogrubienie"/>
          <w:b/>
          <w:bCs/>
          <w:szCs w:val="24"/>
        </w:rPr>
        <w:t xml:space="preserve"> i </w:t>
      </w:r>
      <w:r w:rsidRPr="00EC250C">
        <w:rPr>
          <w:rStyle w:val="Pogrubienie"/>
          <w:b/>
          <w:bCs/>
          <w:szCs w:val="24"/>
        </w:rPr>
        <w:t>niezależności</w:t>
      </w:r>
      <w:r w:rsidR="00992FD0" w:rsidRPr="00EC250C">
        <w:rPr>
          <w:rStyle w:val="Pogrubienie"/>
          <w:b/>
          <w:bCs/>
          <w:szCs w:val="24"/>
        </w:rPr>
        <w:t xml:space="preserve"> w </w:t>
      </w:r>
      <w:r w:rsidRPr="00EC250C">
        <w:rPr>
          <w:rStyle w:val="Pogrubienie"/>
          <w:b/>
          <w:bCs/>
          <w:szCs w:val="24"/>
        </w:rPr>
        <w:t>przedstawianiu kampanii wyborczej do samorządów, sprawdza Rzecznik Praw Obywatelskich</w:t>
      </w:r>
    </w:p>
    <w:p w14:paraId="722B848E" w14:textId="77777777" w:rsidR="000A707E" w:rsidRPr="00EC250C" w:rsidRDefault="000A707E" w:rsidP="00D131FA">
      <w:pPr>
        <w:pStyle w:val="Styl2"/>
        <w:rPr>
          <w:szCs w:val="24"/>
        </w:rPr>
      </w:pPr>
      <w:r w:rsidRPr="00EC250C">
        <w:rPr>
          <w:szCs w:val="24"/>
        </w:rPr>
        <w:t>Obywatele pisali bowiem</w:t>
      </w:r>
      <w:r w:rsidR="00CC4D88" w:rsidRPr="00EC250C">
        <w:rPr>
          <w:szCs w:val="24"/>
        </w:rPr>
        <w:t xml:space="preserve"> </w:t>
      </w:r>
      <w:r w:rsidRPr="00EC250C">
        <w:rPr>
          <w:szCs w:val="24"/>
        </w:rPr>
        <w:t>do RPO, aby przyjrzał się sposobowi relacjonowania przez Telewizję Polską</w:t>
      </w:r>
      <w:r w:rsidR="00992FD0" w:rsidRPr="00EC250C">
        <w:rPr>
          <w:szCs w:val="24"/>
        </w:rPr>
        <w:t xml:space="preserve"> i </w:t>
      </w:r>
      <w:r w:rsidRPr="00EC250C">
        <w:rPr>
          <w:szCs w:val="24"/>
        </w:rPr>
        <w:t>Polskie Radio kampanii samorządowej, zwłaszcza</w:t>
      </w:r>
      <w:r w:rsidR="00992FD0" w:rsidRPr="00EC250C">
        <w:rPr>
          <w:szCs w:val="24"/>
        </w:rPr>
        <w:t xml:space="preserve"> w </w:t>
      </w:r>
      <w:r w:rsidRPr="00EC250C">
        <w:rPr>
          <w:szCs w:val="24"/>
        </w:rPr>
        <w:t>Warszawie.</w:t>
      </w:r>
    </w:p>
    <w:p w14:paraId="0A892E14" w14:textId="77777777" w:rsidR="000A707E" w:rsidRPr="00EC250C" w:rsidRDefault="00D20D4F" w:rsidP="00D131FA">
      <w:pPr>
        <w:pStyle w:val="Styl2"/>
        <w:rPr>
          <w:szCs w:val="24"/>
        </w:rPr>
      </w:pPr>
      <w:r w:rsidRPr="00EC250C">
        <w:rPr>
          <w:rStyle w:val="Pogrubienie"/>
          <w:b/>
          <w:bCs/>
          <w:szCs w:val="24"/>
        </w:rPr>
        <w:t xml:space="preserve">RPO </w:t>
      </w:r>
      <w:r w:rsidR="00321573" w:rsidRPr="00EC250C">
        <w:rPr>
          <w:rStyle w:val="Pogrubienie"/>
          <w:b/>
          <w:bCs/>
          <w:szCs w:val="24"/>
        </w:rPr>
        <w:t>spytał przewodniczącego Krajowej Rady Radiofonii</w:t>
      </w:r>
      <w:r w:rsidR="00992FD0" w:rsidRPr="00EC250C">
        <w:rPr>
          <w:rStyle w:val="Pogrubienie"/>
          <w:b/>
          <w:bCs/>
          <w:szCs w:val="24"/>
        </w:rPr>
        <w:t xml:space="preserve"> i </w:t>
      </w:r>
      <w:r w:rsidR="00321573" w:rsidRPr="00EC250C">
        <w:rPr>
          <w:rStyle w:val="Pogrubienie"/>
          <w:b/>
          <w:bCs/>
          <w:szCs w:val="24"/>
        </w:rPr>
        <w:t>Telewizji, czy wpłynęły do</w:t>
      </w:r>
      <w:r w:rsidR="00CC4D88" w:rsidRPr="00EC250C">
        <w:rPr>
          <w:rStyle w:val="Pogrubienie"/>
          <w:b/>
          <w:bCs/>
          <w:szCs w:val="24"/>
        </w:rPr>
        <w:t xml:space="preserve"> </w:t>
      </w:r>
      <w:r w:rsidR="00321573" w:rsidRPr="00EC250C">
        <w:rPr>
          <w:rStyle w:val="Pogrubienie"/>
          <w:b/>
          <w:bCs/>
          <w:szCs w:val="24"/>
        </w:rPr>
        <w:t>niej skargi</w:t>
      </w:r>
      <w:r w:rsidR="00992FD0" w:rsidRPr="00EC250C">
        <w:rPr>
          <w:rStyle w:val="Pogrubienie"/>
          <w:b/>
          <w:bCs/>
          <w:szCs w:val="24"/>
        </w:rPr>
        <w:t xml:space="preserve"> w </w:t>
      </w:r>
      <w:r w:rsidR="00321573" w:rsidRPr="00EC250C">
        <w:rPr>
          <w:rStyle w:val="Pogrubienie"/>
          <w:b/>
          <w:bCs/>
          <w:szCs w:val="24"/>
        </w:rPr>
        <w:t>tej sprawie, Chciał też wiedzieć, czy KRRiT będzie monitorowała przebieg kampanii wyborczej</w:t>
      </w:r>
      <w:r w:rsidR="00992FD0" w:rsidRPr="00EC250C">
        <w:rPr>
          <w:rStyle w:val="Pogrubienie"/>
          <w:b/>
          <w:bCs/>
          <w:szCs w:val="24"/>
        </w:rPr>
        <w:t xml:space="preserve"> w </w:t>
      </w:r>
      <w:r w:rsidR="00321573" w:rsidRPr="00EC250C">
        <w:rPr>
          <w:rStyle w:val="Pogrubienie"/>
          <w:b/>
          <w:bCs/>
          <w:szCs w:val="24"/>
        </w:rPr>
        <w:t>mediach publicznych</w:t>
      </w:r>
      <w:r w:rsidR="00AE3EE6" w:rsidRPr="00EC250C">
        <w:rPr>
          <w:rStyle w:val="Pogrubienie"/>
          <w:b/>
          <w:bCs/>
          <w:szCs w:val="24"/>
        </w:rPr>
        <w:t>. Rada zapewniła, że jej zdaniem TVP SA relacjonuje kampanię wyborczą w sposób bezstronny</w:t>
      </w:r>
      <w:r w:rsidR="00321573" w:rsidRPr="00EC250C">
        <w:rPr>
          <w:rStyle w:val="Odwoanieprzypisudolnego"/>
          <w:szCs w:val="24"/>
        </w:rPr>
        <w:footnoteReference w:id="324"/>
      </w:r>
      <w:r w:rsidR="00AE3EE6" w:rsidRPr="00EC250C">
        <w:rPr>
          <w:rStyle w:val="Pogrubienie"/>
          <w:b/>
          <w:bCs/>
          <w:szCs w:val="24"/>
        </w:rPr>
        <w:t>.</w:t>
      </w:r>
    </w:p>
    <w:p w14:paraId="4BB97DB9" w14:textId="6D60A71D" w:rsidR="009978A1" w:rsidRPr="00EC250C" w:rsidRDefault="009978A1" w:rsidP="00EC250C">
      <w:pPr>
        <w:pStyle w:val="Nagwek8"/>
        <w:rPr>
          <w:rStyle w:val="Pogrubienie"/>
          <w:b/>
          <w:bCs w:val="0"/>
        </w:rPr>
      </w:pPr>
      <w:r w:rsidRPr="00EC250C">
        <w:rPr>
          <w:rStyle w:val="Pogrubienie"/>
          <w:b/>
          <w:bCs w:val="0"/>
        </w:rPr>
        <w:t>Zakaz publikacji prasowych</w:t>
      </w:r>
      <w:r w:rsidR="00992FD0" w:rsidRPr="00EC250C">
        <w:rPr>
          <w:rStyle w:val="Pogrubienie"/>
          <w:b/>
          <w:bCs w:val="0"/>
        </w:rPr>
        <w:t xml:space="preserve"> o </w:t>
      </w:r>
      <w:r w:rsidRPr="00EC250C">
        <w:rPr>
          <w:rStyle w:val="Pogrubienie"/>
          <w:b/>
          <w:bCs w:val="0"/>
        </w:rPr>
        <w:t>NBP m</w:t>
      </w:r>
      <w:r w:rsidR="00DB67D0" w:rsidRPr="00EC250C">
        <w:rPr>
          <w:rStyle w:val="Pogrubienie"/>
          <w:b/>
          <w:bCs w:val="0"/>
        </w:rPr>
        <w:t>oże</w:t>
      </w:r>
      <w:r w:rsidRPr="00EC250C">
        <w:rPr>
          <w:rStyle w:val="Pogrubienie"/>
          <w:b/>
          <w:bCs w:val="0"/>
        </w:rPr>
        <w:t xml:space="preserve"> naruszać ważny interes publiczny</w:t>
      </w:r>
      <w:r w:rsidR="00992FD0" w:rsidRPr="00EC250C">
        <w:rPr>
          <w:rStyle w:val="Pogrubienie"/>
          <w:b/>
          <w:bCs w:val="0"/>
        </w:rPr>
        <w:t xml:space="preserve"> i </w:t>
      </w:r>
      <w:r w:rsidRPr="00EC250C">
        <w:rPr>
          <w:rStyle w:val="Pogrubienie"/>
          <w:b/>
          <w:bCs w:val="0"/>
        </w:rPr>
        <w:t>wolność prasy</w:t>
      </w:r>
    </w:p>
    <w:p w14:paraId="2618EE7C" w14:textId="77777777" w:rsidR="000A707E" w:rsidRPr="00EC250C" w:rsidRDefault="000A707E" w:rsidP="00D131FA">
      <w:pPr>
        <w:pStyle w:val="Styl2"/>
        <w:rPr>
          <w:rStyle w:val="Pogrubienie"/>
          <w:b/>
          <w:bCs/>
          <w:szCs w:val="24"/>
        </w:rPr>
      </w:pPr>
      <w:r w:rsidRPr="00EC250C">
        <w:rPr>
          <w:rStyle w:val="Pogrubienie"/>
          <w:b/>
          <w:bCs/>
          <w:szCs w:val="24"/>
        </w:rPr>
        <w:t>W 2018</w:t>
      </w:r>
      <w:r w:rsidR="00C91F6E" w:rsidRPr="00EC250C">
        <w:rPr>
          <w:rStyle w:val="Pogrubienie"/>
          <w:b/>
          <w:bCs/>
          <w:szCs w:val="24"/>
        </w:rPr>
        <w:t> r.</w:t>
      </w:r>
      <w:r w:rsidRPr="00EC250C">
        <w:rPr>
          <w:rStyle w:val="Pogrubienie"/>
          <w:b/>
          <w:bCs/>
          <w:szCs w:val="24"/>
        </w:rPr>
        <w:t xml:space="preserve"> media ujawniły sprawę nieprawidłowości</w:t>
      </w:r>
      <w:r w:rsidR="00992FD0" w:rsidRPr="00EC250C">
        <w:rPr>
          <w:rStyle w:val="Pogrubienie"/>
          <w:b/>
          <w:bCs/>
          <w:szCs w:val="24"/>
        </w:rPr>
        <w:t xml:space="preserve"> w </w:t>
      </w:r>
      <w:r w:rsidRPr="00EC250C">
        <w:rPr>
          <w:rStyle w:val="Pogrubienie"/>
          <w:b/>
          <w:bCs/>
          <w:szCs w:val="24"/>
        </w:rPr>
        <w:t>Komisji Nadzoru Finansowego,</w:t>
      </w:r>
      <w:r w:rsidR="00992FD0" w:rsidRPr="00EC250C">
        <w:rPr>
          <w:rStyle w:val="Pogrubienie"/>
          <w:b/>
          <w:bCs/>
          <w:szCs w:val="24"/>
        </w:rPr>
        <w:t xml:space="preserve"> a </w:t>
      </w:r>
      <w:r w:rsidRPr="00EC250C">
        <w:rPr>
          <w:rStyle w:val="Pogrubienie"/>
          <w:b/>
          <w:bCs/>
          <w:szCs w:val="24"/>
        </w:rPr>
        <w:t>NBP uznał, że publikacje dotyczące związków szefa KNF</w:t>
      </w:r>
      <w:r w:rsidR="00992FD0" w:rsidRPr="00EC250C">
        <w:rPr>
          <w:rStyle w:val="Pogrubienie"/>
          <w:b/>
          <w:bCs/>
          <w:szCs w:val="24"/>
        </w:rPr>
        <w:t xml:space="preserve"> z </w:t>
      </w:r>
      <w:r w:rsidRPr="00EC250C">
        <w:rPr>
          <w:rStyle w:val="Pogrubienie"/>
          <w:b/>
          <w:bCs/>
          <w:szCs w:val="24"/>
        </w:rPr>
        <w:t xml:space="preserve">prezesem NBP szkodzą bankowi. Chciał więc </w:t>
      </w:r>
      <w:r w:rsidR="00A13D58" w:rsidRPr="00EC250C">
        <w:rPr>
          <w:rStyle w:val="Pogrubienie"/>
          <w:b/>
          <w:bCs/>
          <w:szCs w:val="24"/>
        </w:rPr>
        <w:t xml:space="preserve">sądownie </w:t>
      </w:r>
      <w:r w:rsidRPr="00EC250C">
        <w:rPr>
          <w:rStyle w:val="Pogrubienie"/>
          <w:b/>
          <w:bCs/>
          <w:szCs w:val="24"/>
        </w:rPr>
        <w:t>zablokować dalsze publikacje</w:t>
      </w:r>
      <w:r w:rsidR="0097798B" w:rsidRPr="00EC250C">
        <w:rPr>
          <w:rStyle w:val="Pogrubienie"/>
          <w:b/>
          <w:bCs/>
          <w:szCs w:val="24"/>
        </w:rPr>
        <w:t>.</w:t>
      </w:r>
    </w:p>
    <w:p w14:paraId="2581E171" w14:textId="77777777" w:rsidR="00E63B56" w:rsidRPr="00EC250C" w:rsidRDefault="00E63B56" w:rsidP="00D131FA">
      <w:pPr>
        <w:pStyle w:val="Styl2"/>
        <w:rPr>
          <w:rStyle w:val="Nagwek4Znak"/>
          <w:rFonts w:ascii="Times New Roman" w:hAnsi="Times New Roman"/>
          <w:spacing w:val="0"/>
          <w:sz w:val="24"/>
        </w:rPr>
      </w:pPr>
      <w:bookmarkStart w:id="326" w:name="_Toc6257775"/>
      <w:bookmarkStart w:id="327" w:name="_Toc7113749"/>
      <w:bookmarkStart w:id="328" w:name="_Toc6257776"/>
      <w:r w:rsidRPr="00EC250C">
        <w:rPr>
          <w:szCs w:val="24"/>
        </w:rPr>
        <w:t>Sądowy zakaz</w:t>
      </w:r>
      <w:r w:rsidR="00392799" w:rsidRPr="00EC250C">
        <w:rPr>
          <w:szCs w:val="24"/>
        </w:rPr>
        <w:t xml:space="preserve"> </w:t>
      </w:r>
      <w:r w:rsidRPr="00EC250C">
        <w:rPr>
          <w:szCs w:val="24"/>
        </w:rPr>
        <w:t>publikacji może być wydany tylko wtedy, gdy dopuszcza to ważny interes publiczny – przypomina</w:t>
      </w:r>
      <w:bookmarkEnd w:id="326"/>
      <w:bookmarkEnd w:id="327"/>
      <w:r w:rsidRPr="00EC250C">
        <w:rPr>
          <w:szCs w:val="24"/>
        </w:rPr>
        <w:t>ł wtedy Rzecznik Praw Obywatelskich.</w:t>
      </w:r>
      <w:r w:rsidR="00392799" w:rsidRPr="00EC250C">
        <w:rPr>
          <w:szCs w:val="24"/>
        </w:rPr>
        <w:t xml:space="preserve"> </w:t>
      </w:r>
      <w:r w:rsidRPr="00EC250C">
        <w:rPr>
          <w:szCs w:val="24"/>
        </w:rPr>
        <w:t>W sprawie afery Komisji Nadzoru Finansowego interes publiczny polega tymczasem na dbaniu</w:t>
      </w:r>
      <w:r w:rsidR="00992FD0" w:rsidRPr="00EC250C">
        <w:rPr>
          <w:szCs w:val="24"/>
        </w:rPr>
        <w:t xml:space="preserve"> o </w:t>
      </w:r>
      <w:r w:rsidRPr="00EC250C">
        <w:rPr>
          <w:szCs w:val="24"/>
        </w:rPr>
        <w:t>przejrzystość sfery publicznej,</w:t>
      </w:r>
      <w:r w:rsidR="00992FD0" w:rsidRPr="00EC250C">
        <w:rPr>
          <w:szCs w:val="24"/>
        </w:rPr>
        <w:t xml:space="preserve"> a </w:t>
      </w:r>
      <w:r w:rsidRPr="00EC250C">
        <w:rPr>
          <w:szCs w:val="24"/>
        </w:rPr>
        <w:t>więc na możliwości pisania przez media</w:t>
      </w:r>
      <w:r w:rsidR="00992FD0" w:rsidRPr="00EC250C">
        <w:rPr>
          <w:szCs w:val="24"/>
        </w:rPr>
        <w:t xml:space="preserve"> o </w:t>
      </w:r>
      <w:r w:rsidRPr="00EC250C">
        <w:rPr>
          <w:szCs w:val="24"/>
        </w:rPr>
        <w:t>nadzorze nad rynkiem finansowym</w:t>
      </w:r>
      <w:r w:rsidRPr="00EC250C">
        <w:rPr>
          <w:szCs w:val="24"/>
          <w:vertAlign w:val="superscript"/>
        </w:rPr>
        <w:footnoteReference w:id="325"/>
      </w:r>
      <w:r w:rsidRPr="00EC250C">
        <w:rPr>
          <w:rStyle w:val="Nagwek4Znak"/>
          <w:rFonts w:ascii="Times New Roman" w:hAnsi="Times New Roman"/>
          <w:spacing w:val="0"/>
          <w:sz w:val="24"/>
        </w:rPr>
        <w:t>.</w:t>
      </w:r>
    </w:p>
    <w:p w14:paraId="02B27017" w14:textId="77777777" w:rsidR="006852AD" w:rsidRPr="00EC250C" w:rsidRDefault="006852AD" w:rsidP="00D131FA">
      <w:pPr>
        <w:pStyle w:val="Styl2"/>
        <w:rPr>
          <w:szCs w:val="24"/>
        </w:rPr>
      </w:pPr>
      <w:r w:rsidRPr="00EC250C">
        <w:rPr>
          <w:szCs w:val="24"/>
        </w:rPr>
        <w:t>W lutym 2019</w:t>
      </w:r>
      <w:r w:rsidRPr="00EC250C">
        <w:rPr>
          <w:rFonts w:hint="eastAsia"/>
          <w:szCs w:val="24"/>
        </w:rPr>
        <w:t> </w:t>
      </w:r>
      <w:r w:rsidRPr="00EC250C">
        <w:rPr>
          <w:szCs w:val="24"/>
        </w:rPr>
        <w:t>r. sąd oddalił wnioski NBP.</w:t>
      </w:r>
    </w:p>
    <w:p w14:paraId="1282D323" w14:textId="77777777" w:rsidR="00C91F6E" w:rsidRPr="00EC250C" w:rsidRDefault="006661DF" w:rsidP="00EC79EB">
      <w:pPr>
        <w:pStyle w:val="Nagwek4"/>
      </w:pPr>
      <w:bookmarkStart w:id="329" w:name="_Toc11247664"/>
      <w:r w:rsidRPr="00EC250C">
        <w:t>Blokowanie lub usuwanie kont użytkowników portali społecznościowych</w:t>
      </w:r>
      <w:bookmarkEnd w:id="328"/>
      <w:bookmarkEnd w:id="329"/>
    </w:p>
    <w:p w14:paraId="3FEAA2B6" w14:textId="77777777" w:rsidR="00B473F5" w:rsidRPr="00EC250C" w:rsidRDefault="000A707E" w:rsidP="00D131FA">
      <w:pPr>
        <w:pStyle w:val="Problemczowieka"/>
        <w:jc w:val="both"/>
        <w:rPr>
          <w:bdr w:val="none" w:sz="0" w:space="0" w:color="auto" w:frame="1"/>
        </w:rPr>
      </w:pPr>
      <w:bookmarkStart w:id="330" w:name="_Hlk8208951"/>
      <w:r w:rsidRPr="00EC250C">
        <w:rPr>
          <w:bdr w:val="none" w:sz="0" w:space="0" w:color="auto" w:frame="1"/>
        </w:rPr>
        <w:t>Filtrowanie napastliwych treści na Facebooku jest nieskuteczne, kryteria kasowania profili są niejasne,</w:t>
      </w:r>
      <w:r w:rsidR="00992FD0" w:rsidRPr="00EC250C">
        <w:rPr>
          <w:bdr w:val="none" w:sz="0" w:space="0" w:color="auto" w:frame="1"/>
        </w:rPr>
        <w:t xml:space="preserve"> a </w:t>
      </w:r>
      <w:r w:rsidRPr="00EC250C">
        <w:rPr>
          <w:bdr w:val="none" w:sz="0" w:space="0" w:color="auto" w:frame="1"/>
        </w:rPr>
        <w:t>cały proces jest zapewne zautomatyzowany</w:t>
      </w:r>
      <w:r w:rsidR="00B473F5" w:rsidRPr="00EC250C">
        <w:rPr>
          <w:bdr w:val="none" w:sz="0" w:space="0" w:color="auto" w:frame="1"/>
        </w:rPr>
        <w:t>.</w:t>
      </w:r>
    </w:p>
    <w:bookmarkEnd w:id="330"/>
    <w:p w14:paraId="2770E50E" w14:textId="77777777" w:rsidR="000A707E" w:rsidRPr="00EC250C" w:rsidRDefault="00A13D58" w:rsidP="00D131FA">
      <w:pPr>
        <w:pStyle w:val="Styl1"/>
      </w:pPr>
      <w:r w:rsidRPr="00EC250C">
        <w:rPr>
          <w:bdr w:val="none" w:sz="0" w:space="0" w:color="auto" w:frame="1"/>
        </w:rPr>
        <w:lastRenderedPageBreak/>
        <w:t xml:space="preserve">Wystąpienie do </w:t>
      </w:r>
      <w:r w:rsidR="000A707E" w:rsidRPr="00EC250C">
        <w:rPr>
          <w:bdr w:val="none" w:sz="0" w:space="0" w:color="auto" w:frame="1"/>
        </w:rPr>
        <w:t>Ministra Cyfryzacji</w:t>
      </w:r>
      <w:r w:rsidR="006852AD" w:rsidRPr="00EC250C">
        <w:rPr>
          <w:bdr w:val="none" w:sz="0" w:space="0" w:color="auto" w:frame="1"/>
        </w:rPr>
        <w:t xml:space="preserve"> było </w:t>
      </w:r>
      <w:r w:rsidRPr="00EC250C">
        <w:rPr>
          <w:bdr w:val="none" w:sz="0" w:space="0" w:color="auto" w:frame="1"/>
        </w:rPr>
        <w:t xml:space="preserve">efektem debaty </w:t>
      </w:r>
      <w:r w:rsidRPr="00EC250C">
        <w:t>„Facebook</w:t>
      </w:r>
      <w:r w:rsidR="00026572" w:rsidRPr="00EC250C">
        <w:t xml:space="preserve"> – </w:t>
      </w:r>
      <w:r w:rsidRPr="00EC250C">
        <w:t>mowa nienawiści</w:t>
      </w:r>
      <w:r w:rsidR="00026572" w:rsidRPr="00EC250C">
        <w:t xml:space="preserve"> – </w:t>
      </w:r>
      <w:r w:rsidRPr="00EC250C">
        <w:t>wolność słowa. Wyzwanie cywilizacyjne</w:t>
      </w:r>
      <w:r w:rsidR="00992FD0" w:rsidRPr="00EC250C">
        <w:t xml:space="preserve"> i </w:t>
      </w:r>
      <w:r w:rsidRPr="00EC250C">
        <w:t>prawnicze czy kryzys wartości?”</w:t>
      </w:r>
      <w:r w:rsidRPr="00EC250C">
        <w:rPr>
          <w:rStyle w:val="Odwoanieprzypisudolnego"/>
        </w:rPr>
        <w:footnoteReference w:id="326"/>
      </w:r>
      <w:r w:rsidRPr="00EC250C">
        <w:t xml:space="preserve"> </w:t>
      </w:r>
      <w:r w:rsidRPr="00EC250C">
        <w:rPr>
          <w:bdr w:val="none" w:sz="0" w:space="0" w:color="auto" w:frame="1"/>
        </w:rPr>
        <w:t xml:space="preserve">zorganizowanej przez </w:t>
      </w:r>
      <w:r w:rsidR="00D20D4F" w:rsidRPr="00EC250C">
        <w:rPr>
          <w:bdr w:val="none" w:sz="0" w:space="0" w:color="auto" w:frame="1"/>
        </w:rPr>
        <w:t xml:space="preserve">RPO </w:t>
      </w:r>
      <w:r w:rsidR="00992FD0" w:rsidRPr="00EC250C">
        <w:rPr>
          <w:bdr w:val="none" w:sz="0" w:space="0" w:color="auto" w:frame="1"/>
        </w:rPr>
        <w:t>w </w:t>
      </w:r>
      <w:r w:rsidR="000A707E" w:rsidRPr="00EC250C">
        <w:t>listopadzie</w:t>
      </w:r>
      <w:r w:rsidR="00CC4D88" w:rsidRPr="00EC250C">
        <w:t xml:space="preserve"> </w:t>
      </w:r>
      <w:r w:rsidR="000A707E" w:rsidRPr="00EC250C">
        <w:t>2016</w:t>
      </w:r>
      <w:r w:rsidR="00C91F6E" w:rsidRPr="00EC250C">
        <w:t> r.</w:t>
      </w:r>
      <w:r w:rsidR="000A707E" w:rsidRPr="00EC250C">
        <w:t xml:space="preserve"> Brali</w:t>
      </w:r>
      <w:r w:rsidR="00992FD0" w:rsidRPr="00EC250C">
        <w:t xml:space="preserve"> w </w:t>
      </w:r>
      <w:r w:rsidR="000A707E" w:rsidRPr="00EC250C">
        <w:t>niej udział przedstawiciele administracji, naukowcy, aktywiści na rzecz wolności</w:t>
      </w:r>
      <w:r w:rsidR="00992FD0" w:rsidRPr="00EC250C">
        <w:t xml:space="preserve"> w </w:t>
      </w:r>
      <w:r w:rsidR="000A707E" w:rsidRPr="00EC250C">
        <w:t>internecie, działacze organizacji praw człowieka, zabiegających</w:t>
      </w:r>
      <w:r w:rsidR="00992FD0" w:rsidRPr="00EC250C">
        <w:t xml:space="preserve"> o </w:t>
      </w:r>
      <w:r w:rsidR="000A707E" w:rsidRPr="00EC250C">
        <w:t>wolność słowa</w:t>
      </w:r>
      <w:r w:rsidR="00992FD0" w:rsidRPr="00EC250C">
        <w:t xml:space="preserve"> i </w:t>
      </w:r>
      <w:r w:rsidR="000A707E" w:rsidRPr="00EC250C">
        <w:t>reprezentujących prawa mniejszości,</w:t>
      </w:r>
      <w:r w:rsidR="00992FD0" w:rsidRPr="00EC250C">
        <w:t xml:space="preserve"> a </w:t>
      </w:r>
      <w:r w:rsidR="000A707E" w:rsidRPr="00EC250C">
        <w:t>także ruchów nacjonalistycznych, których profile na Facebooku wtedy skasowano.</w:t>
      </w:r>
    </w:p>
    <w:p w14:paraId="311001C2" w14:textId="77777777" w:rsidR="00C91F6E" w:rsidRPr="00EC250C" w:rsidRDefault="000A707E" w:rsidP="00D131FA">
      <w:pPr>
        <w:pStyle w:val="Styl1"/>
      </w:pPr>
      <w:r w:rsidRPr="00EC250C">
        <w:t>Debata potwierdziła problem blokowania</w:t>
      </w:r>
      <w:r w:rsidR="00CC4D88" w:rsidRPr="00EC250C">
        <w:t xml:space="preserve"> </w:t>
      </w:r>
      <w:r w:rsidRPr="00EC250C">
        <w:t>lub usuwania kont na Facebooku, który dotyczy różnych opcji światopoglądowych</w:t>
      </w:r>
      <w:r w:rsidR="00992FD0" w:rsidRPr="00EC250C">
        <w:t xml:space="preserve"> i </w:t>
      </w:r>
      <w:r w:rsidRPr="00EC250C">
        <w:t>ideowych.</w:t>
      </w:r>
    </w:p>
    <w:p w14:paraId="4E2047BE" w14:textId="77777777" w:rsidR="006661DF" w:rsidRPr="00EC250C" w:rsidRDefault="00D20D4F" w:rsidP="00D131FA">
      <w:pPr>
        <w:pStyle w:val="Styl1"/>
      </w:pPr>
      <w:r w:rsidRPr="00EC250C">
        <w:t>RPO</w:t>
      </w:r>
      <w:r w:rsidR="000A707E" w:rsidRPr="00EC250C">
        <w:t xml:space="preserve"> nie dostał odpowiedzi </w:t>
      </w:r>
      <w:r w:rsidR="00907A50" w:rsidRPr="00EC250C">
        <w:t>Ministra C</w:t>
      </w:r>
      <w:r w:rsidR="000A707E" w:rsidRPr="00EC250C">
        <w:t>yfryzacji</w:t>
      </w:r>
      <w:r w:rsidR="006852AD" w:rsidRPr="00EC250C">
        <w:rPr>
          <w:rStyle w:val="Odwoanieprzypisudolnego"/>
          <w:bCs/>
          <w:iCs/>
        </w:rPr>
        <w:footnoteReference w:id="327"/>
      </w:r>
      <w:r w:rsidR="0054316E" w:rsidRPr="00EC250C">
        <w:t>.</w:t>
      </w:r>
      <w:r w:rsidR="00A868BC" w:rsidRPr="00EC250C">
        <w:t xml:space="preserve"> W listopadzie 2018 r. Minister podpisał z Facebookiem porozumienie o stworzeniu punktu kontaktowego, dzięki któremu użytkownicy zyskają możliwość weryfikacji odmowy dotyczącej odwołania od decyzji o blokadzie treści na ich profilu</w:t>
      </w:r>
      <w:r w:rsidR="00A868BC" w:rsidRPr="00EC250C">
        <w:rPr>
          <w:rStyle w:val="Odwoanieprzypisudolnego"/>
        </w:rPr>
        <w:footnoteReference w:id="328"/>
      </w:r>
      <w:r w:rsidR="00A868BC" w:rsidRPr="00EC250C">
        <w:t>.</w:t>
      </w:r>
    </w:p>
    <w:p w14:paraId="476D1CD0" w14:textId="77777777" w:rsidR="000A707E" w:rsidRPr="00EC250C" w:rsidRDefault="000A707E" w:rsidP="00EC79EB">
      <w:pPr>
        <w:pStyle w:val="Nagwek4"/>
        <w:rPr>
          <w:rStyle w:val="field-content"/>
          <w:sz w:val="36"/>
          <w:szCs w:val="36"/>
        </w:rPr>
      </w:pPr>
      <w:bookmarkStart w:id="331" w:name="_Toc6257777"/>
      <w:bookmarkStart w:id="332" w:name="_Toc11247665"/>
      <w:bookmarkStart w:id="333" w:name="_Hlk10026761"/>
      <w:r w:rsidRPr="00EC250C">
        <w:rPr>
          <w:rStyle w:val="field-content"/>
          <w:sz w:val="36"/>
          <w:szCs w:val="36"/>
        </w:rPr>
        <w:t>Problem patostreamingu</w:t>
      </w:r>
      <w:bookmarkEnd w:id="331"/>
      <w:r w:rsidR="00EC3816" w:rsidRPr="00EC250C">
        <w:rPr>
          <w:rStyle w:val="field-content"/>
          <w:sz w:val="36"/>
          <w:szCs w:val="36"/>
        </w:rPr>
        <w:t xml:space="preserve"> w internecie</w:t>
      </w:r>
      <w:bookmarkEnd w:id="332"/>
    </w:p>
    <w:bookmarkEnd w:id="333"/>
    <w:p w14:paraId="3FF73AC5" w14:textId="77777777" w:rsidR="00B473F5" w:rsidRPr="00EC250C" w:rsidRDefault="00921496" w:rsidP="00D131FA">
      <w:pPr>
        <w:pStyle w:val="Problemczowieka"/>
        <w:jc w:val="both"/>
      </w:pPr>
      <w:r w:rsidRPr="00EC250C">
        <w:t xml:space="preserve">W 2018 r. Rzecznik Praw Obywatelskich zajął się tematem patotreści: nieakceptowanych społecznie, a czasem także niedopuszczalnych prawnie, treści w internecie. </w:t>
      </w:r>
      <w:r w:rsidR="00B473F5" w:rsidRPr="00EC250C">
        <w:t>.</w:t>
      </w:r>
    </w:p>
    <w:p w14:paraId="0A965DED" w14:textId="77777777" w:rsidR="00921496" w:rsidRPr="00EC250C" w:rsidRDefault="00921496" w:rsidP="00D131FA">
      <w:pPr>
        <w:pStyle w:val="Styl1"/>
      </w:pPr>
      <w:r w:rsidRPr="00EC250C">
        <w:t>O patotreściach Rzecznik dowiedział się na podstawie indywidualnej skargi skierowanej do Biura RPO. Jaskrawym przykładem patotreści jest patostreaming – nadawany na żywo materiał, zawierający wulgarny, poniżający, pełen przemocy fizycznej i słownej przekaz, nierzadko nagrywany pod wpływem alkoholu lub innych środków odurzających. Z informacji przedstawicieli platform internetowych wynika, że patostreaming jest zjawiskiem, które na tak szeroką skalę pojawiło się tylko w Polsce. 18 października 2018 r. RPO zaprosił do rozmowy o patologicznych treściach w internecie ekspertów z różnych środowisk, patrzących na zjawisko z odmiennych perspektyw: policjantów i prokuratorów, youtuberów, przedstawicieli organizacji pozarządowych, dziennikarzy, przedstawicieli platform internetowych i Ministerstwa Cyfryzacji, akademików, psychologów. Uczestnicy spotkania stworzyli Okrągły Stół do walki z patotreściami w internecie. Najważniejsze zadania do wykonania zostały zawarte w Deklaracji przyjętej przez uczestników okrągłego stołu 28 listopada 2018 r. Są to:</w:t>
      </w:r>
    </w:p>
    <w:p w14:paraId="459E1614" w14:textId="77777777" w:rsidR="00921496" w:rsidRPr="00EC250C" w:rsidRDefault="00921496" w:rsidP="006C70B7">
      <w:pPr>
        <w:pStyle w:val="Styl1"/>
        <w:numPr>
          <w:ilvl w:val="0"/>
          <w:numId w:val="153"/>
        </w:numPr>
      </w:pPr>
      <w:r w:rsidRPr="00EC250C">
        <w:t>Zebranie informacji na temat działań podejmowanych przez rząd i instytucje publiczne w walce z patologiami w internecie.</w:t>
      </w:r>
    </w:p>
    <w:p w14:paraId="5CC1D3F5" w14:textId="77777777" w:rsidR="00921496" w:rsidRPr="00EC250C" w:rsidRDefault="00921496" w:rsidP="006C70B7">
      <w:pPr>
        <w:pStyle w:val="Styl1"/>
        <w:numPr>
          <w:ilvl w:val="0"/>
          <w:numId w:val="153"/>
        </w:numPr>
      </w:pPr>
      <w:r w:rsidRPr="00EC250C">
        <w:t>Wypracowanie strategii dotyczącej bezpieczeństwa dzieci i młodzieży w sieci.</w:t>
      </w:r>
    </w:p>
    <w:p w14:paraId="12ED3DEA" w14:textId="77777777" w:rsidR="00921496" w:rsidRPr="00EC250C" w:rsidRDefault="00921496" w:rsidP="006C70B7">
      <w:pPr>
        <w:pStyle w:val="Styl1"/>
        <w:numPr>
          <w:ilvl w:val="0"/>
          <w:numId w:val="153"/>
        </w:numPr>
      </w:pPr>
      <w:r w:rsidRPr="00EC250C">
        <w:lastRenderedPageBreak/>
        <w:t>Przygotowanie sprofilowanych instrukcji: „Co robić, gdy zetknę się z patotreściami w sieci?”.</w:t>
      </w:r>
    </w:p>
    <w:p w14:paraId="326D00AB" w14:textId="77777777" w:rsidR="00921496" w:rsidRPr="00EC250C" w:rsidRDefault="00921496" w:rsidP="006C70B7">
      <w:pPr>
        <w:pStyle w:val="Styl1"/>
        <w:numPr>
          <w:ilvl w:val="0"/>
          <w:numId w:val="153"/>
        </w:numPr>
      </w:pPr>
      <w:r w:rsidRPr="00EC250C">
        <w:t>Podejmowanie w mediach tematów edukacyjnych dotyczących konieczności reagowania na przemoc i patologię w internecie.</w:t>
      </w:r>
    </w:p>
    <w:p w14:paraId="1ABF5E9D" w14:textId="77777777" w:rsidR="00921496" w:rsidRPr="00EC250C" w:rsidRDefault="00921496" w:rsidP="006C70B7">
      <w:pPr>
        <w:pStyle w:val="Styl1"/>
        <w:numPr>
          <w:ilvl w:val="0"/>
          <w:numId w:val="153"/>
        </w:numPr>
      </w:pPr>
      <w:r w:rsidRPr="00EC250C">
        <w:t>Wypracowanie mechanizmów, które pozwolą zwiększyć skuteczność zgłoszeń przypadków występowania patotreści platformom internetowym.</w:t>
      </w:r>
    </w:p>
    <w:p w14:paraId="3A9D733E" w14:textId="77777777" w:rsidR="00921496" w:rsidRPr="00EC250C" w:rsidRDefault="00921496" w:rsidP="006C70B7">
      <w:pPr>
        <w:pStyle w:val="Styl1"/>
        <w:numPr>
          <w:ilvl w:val="0"/>
          <w:numId w:val="153"/>
        </w:numPr>
      </w:pPr>
      <w:r w:rsidRPr="00EC250C">
        <w:t>Dążenie do stworzenia instytucji na wzór komisji etyki reklamy, która mogłaby się zająć monitorowaniem zjawisk związanych z patostreamingiem.</w:t>
      </w:r>
    </w:p>
    <w:p w14:paraId="455AF2EE" w14:textId="77777777" w:rsidR="00921496" w:rsidRPr="00EC250C" w:rsidRDefault="00921496" w:rsidP="006C70B7">
      <w:pPr>
        <w:pStyle w:val="Styl1"/>
        <w:numPr>
          <w:ilvl w:val="0"/>
          <w:numId w:val="153"/>
        </w:numPr>
      </w:pPr>
      <w:r w:rsidRPr="00EC250C">
        <w:t>Postulowanie zmian w prawie, które prowadziłyby zarówno do ograniczenia możliwości zarabiania na tym procederze, jak i pokusy sponsorowania go.</w:t>
      </w:r>
    </w:p>
    <w:p w14:paraId="4D267365" w14:textId="77777777" w:rsidR="00921496" w:rsidRPr="00EC250C" w:rsidRDefault="00921496" w:rsidP="006C70B7">
      <w:pPr>
        <w:pStyle w:val="Styl1"/>
        <w:numPr>
          <w:ilvl w:val="0"/>
          <w:numId w:val="153"/>
        </w:numPr>
      </w:pPr>
      <w:r w:rsidRPr="00EC250C">
        <w:t>Dążenie do zwiększenia aktywności platform internetowych w zakresie ograniczenia dostępności patologicznych treści.</w:t>
      </w:r>
    </w:p>
    <w:p w14:paraId="5725C8D9" w14:textId="77777777" w:rsidR="00921496" w:rsidRPr="00EC250C" w:rsidRDefault="00921496" w:rsidP="006C70B7">
      <w:pPr>
        <w:pStyle w:val="Styl1"/>
        <w:numPr>
          <w:ilvl w:val="0"/>
          <w:numId w:val="153"/>
        </w:numPr>
      </w:pPr>
      <w:r w:rsidRPr="00EC250C">
        <w:t>Ograniczanie dostępu dzieci do patotreści przez zmianę algorytmów i wprowadzenie ograniczeń wiekowych.</w:t>
      </w:r>
    </w:p>
    <w:p w14:paraId="5F9720E5" w14:textId="77777777" w:rsidR="00921496" w:rsidRPr="00EC250C" w:rsidRDefault="00921496" w:rsidP="00D131FA">
      <w:pPr>
        <w:pStyle w:val="Styl1"/>
        <w:ind w:firstLine="0"/>
      </w:pPr>
      <w:r w:rsidRPr="00EC250C">
        <w:t>Prace zespołu są kontynuowane w 2019 r.</w:t>
      </w:r>
      <w:r w:rsidRPr="00EC250C">
        <w:rPr>
          <w:rStyle w:val="Odwoanieprzypisudolnego"/>
        </w:rPr>
        <w:footnoteReference w:id="329"/>
      </w:r>
    </w:p>
    <w:p w14:paraId="43D5D8E4" w14:textId="77777777" w:rsidR="008320BB" w:rsidRPr="00EC250C" w:rsidRDefault="008320BB" w:rsidP="00EC250C">
      <w:pPr>
        <w:pStyle w:val="Nagwek8"/>
        <w:rPr>
          <w:rStyle w:val="field-content"/>
          <w:sz w:val="32"/>
          <w:bdr w:val="none" w:sz="0" w:space="0" w:color="auto"/>
        </w:rPr>
      </w:pPr>
      <w:r w:rsidRPr="00EC250C">
        <w:rPr>
          <w:rStyle w:val="field-content"/>
          <w:sz w:val="32"/>
          <w:bdr w:val="none" w:sz="0" w:space="0" w:color="auto"/>
        </w:rPr>
        <w:t>Internet jest „miejscem publicznym”</w:t>
      </w:r>
    </w:p>
    <w:p w14:paraId="7DEE8BA6" w14:textId="77777777" w:rsidR="00C91F6E" w:rsidRPr="00EC250C" w:rsidRDefault="008320BB" w:rsidP="00D131FA">
      <w:pPr>
        <w:pStyle w:val="Styl2"/>
        <w:rPr>
          <w:rStyle w:val="field-content"/>
          <w:sz w:val="22"/>
          <w:bdr w:val="none" w:sz="0" w:space="0" w:color="auto"/>
        </w:rPr>
      </w:pPr>
      <w:r w:rsidRPr="00EC250C">
        <w:rPr>
          <w:rStyle w:val="field-content"/>
          <w:sz w:val="22"/>
          <w:bdr w:val="none" w:sz="0" w:space="0" w:color="auto"/>
        </w:rPr>
        <w:t>Internet jest miejscem publicznym</w:t>
      </w:r>
      <w:r w:rsidR="00992FD0" w:rsidRPr="00EC250C">
        <w:rPr>
          <w:rStyle w:val="field-content"/>
          <w:sz w:val="22"/>
          <w:bdr w:val="none" w:sz="0" w:space="0" w:color="auto"/>
        </w:rPr>
        <w:t xml:space="preserve"> w </w:t>
      </w:r>
      <w:r w:rsidRPr="00EC250C">
        <w:rPr>
          <w:rStyle w:val="field-content"/>
          <w:sz w:val="22"/>
          <w:bdr w:val="none" w:sz="0" w:space="0" w:color="auto"/>
        </w:rPr>
        <w:t>rozumieniu prawa</w:t>
      </w:r>
      <w:r w:rsidR="00026572" w:rsidRPr="00EC250C">
        <w:rPr>
          <w:rStyle w:val="field-content"/>
          <w:sz w:val="22"/>
          <w:bdr w:val="none" w:sz="0" w:space="0" w:color="auto"/>
        </w:rPr>
        <w:t xml:space="preserve"> – </w:t>
      </w:r>
      <w:r w:rsidRPr="00EC250C">
        <w:rPr>
          <w:rStyle w:val="field-content"/>
          <w:sz w:val="22"/>
          <w:bdr w:val="none" w:sz="0" w:space="0" w:color="auto"/>
        </w:rPr>
        <w:t>potwierdził Sąd Najwyższy</w:t>
      </w:r>
      <w:r w:rsidR="000C6F42" w:rsidRPr="00EC250C">
        <w:rPr>
          <w:rStyle w:val="Odwoanieprzypisudolnego"/>
          <w:szCs w:val="24"/>
        </w:rPr>
        <w:footnoteReference w:id="330"/>
      </w:r>
      <w:r w:rsidRPr="00EC250C">
        <w:rPr>
          <w:rStyle w:val="field-content"/>
          <w:sz w:val="22"/>
          <w:bdr w:val="none" w:sz="0" w:space="0" w:color="auto"/>
        </w:rPr>
        <w:t>.</w:t>
      </w:r>
    </w:p>
    <w:p w14:paraId="437063EE" w14:textId="77777777" w:rsidR="008320BB" w:rsidRPr="00EC250C" w:rsidRDefault="008320BB" w:rsidP="00D131FA">
      <w:pPr>
        <w:pStyle w:val="Styl2"/>
        <w:rPr>
          <w:rStyle w:val="field-content"/>
          <w:sz w:val="22"/>
          <w:szCs w:val="20"/>
          <w:bdr w:val="none" w:sz="0" w:space="0" w:color="auto"/>
        </w:rPr>
      </w:pPr>
      <w:r w:rsidRPr="00EC250C">
        <w:rPr>
          <w:rStyle w:val="field-content"/>
          <w:sz w:val="22"/>
          <w:szCs w:val="20"/>
          <w:bdr w:val="none" w:sz="0" w:space="0" w:color="auto"/>
        </w:rPr>
        <w:t>Uwzględniając kasację Rzecznika Praw Obywatelskich, SN nakazał ponowne zbadanie sprawy Mateusza S.</w:t>
      </w:r>
      <w:r w:rsidR="000C6F42" w:rsidRPr="00EC250C">
        <w:rPr>
          <w:rStyle w:val="field-content"/>
          <w:sz w:val="22"/>
          <w:szCs w:val="20"/>
          <w:bdr w:val="none" w:sz="0" w:space="0" w:color="auto"/>
        </w:rPr>
        <w:t>, l</w:t>
      </w:r>
      <w:r w:rsidRPr="00EC250C">
        <w:rPr>
          <w:rStyle w:val="field-content"/>
          <w:sz w:val="22"/>
          <w:szCs w:val="20"/>
          <w:bdr w:val="none" w:sz="0" w:space="0" w:color="auto"/>
        </w:rPr>
        <w:t>idera stowarzyszenia Duma</w:t>
      </w:r>
      <w:r w:rsidR="00992FD0" w:rsidRPr="00EC250C">
        <w:rPr>
          <w:rStyle w:val="field-content"/>
          <w:sz w:val="22"/>
          <w:szCs w:val="20"/>
          <w:bdr w:val="none" w:sz="0" w:space="0" w:color="auto"/>
        </w:rPr>
        <w:t xml:space="preserve"> i </w:t>
      </w:r>
      <w:r w:rsidRPr="00EC250C">
        <w:rPr>
          <w:rStyle w:val="field-content"/>
          <w:sz w:val="22"/>
          <w:szCs w:val="20"/>
          <w:bdr w:val="none" w:sz="0" w:space="0" w:color="auto"/>
        </w:rPr>
        <w:t>Nowoczesność</w:t>
      </w:r>
      <w:r w:rsidR="000C6F42" w:rsidRPr="00EC250C">
        <w:rPr>
          <w:rStyle w:val="field-content"/>
          <w:sz w:val="22"/>
          <w:szCs w:val="20"/>
          <w:bdr w:val="none" w:sz="0" w:space="0" w:color="auto"/>
        </w:rPr>
        <w:t xml:space="preserve">, którego </w:t>
      </w:r>
      <w:r w:rsidRPr="00EC250C">
        <w:rPr>
          <w:rStyle w:val="field-content"/>
          <w:sz w:val="22"/>
          <w:szCs w:val="20"/>
          <w:bdr w:val="none" w:sz="0" w:space="0" w:color="auto"/>
        </w:rPr>
        <w:t>obwiniono</w:t>
      </w:r>
      <w:r w:rsidR="00992FD0" w:rsidRPr="00EC250C">
        <w:rPr>
          <w:rStyle w:val="field-content"/>
          <w:sz w:val="22"/>
          <w:szCs w:val="20"/>
          <w:bdr w:val="none" w:sz="0" w:space="0" w:color="auto"/>
        </w:rPr>
        <w:t xml:space="preserve"> o </w:t>
      </w:r>
      <w:r w:rsidRPr="00EC250C">
        <w:rPr>
          <w:rStyle w:val="field-content"/>
          <w:sz w:val="22"/>
          <w:szCs w:val="20"/>
          <w:bdr w:val="none" w:sz="0" w:space="0" w:color="auto"/>
        </w:rPr>
        <w:t>umieszczenie</w:t>
      </w:r>
      <w:r w:rsidR="00992FD0" w:rsidRPr="00EC250C">
        <w:rPr>
          <w:rStyle w:val="field-content"/>
          <w:sz w:val="22"/>
          <w:szCs w:val="20"/>
          <w:bdr w:val="none" w:sz="0" w:space="0" w:color="auto"/>
        </w:rPr>
        <w:t xml:space="preserve"> w </w:t>
      </w:r>
      <w:r w:rsidRPr="00EC250C">
        <w:rPr>
          <w:rStyle w:val="field-content"/>
          <w:sz w:val="22"/>
          <w:szCs w:val="20"/>
          <w:bdr w:val="none" w:sz="0" w:space="0" w:color="auto"/>
        </w:rPr>
        <w:t>miejscu publicznym (czyli</w:t>
      </w:r>
      <w:r w:rsidR="00992FD0" w:rsidRPr="00EC250C">
        <w:rPr>
          <w:rStyle w:val="field-content"/>
          <w:sz w:val="22"/>
          <w:szCs w:val="20"/>
          <w:bdr w:val="none" w:sz="0" w:space="0" w:color="auto"/>
        </w:rPr>
        <w:t xml:space="preserve"> w </w:t>
      </w:r>
      <w:r w:rsidRPr="00EC250C">
        <w:rPr>
          <w:rStyle w:val="field-content"/>
          <w:sz w:val="22"/>
          <w:szCs w:val="20"/>
          <w:bdr w:val="none" w:sz="0" w:space="0" w:color="auto"/>
        </w:rPr>
        <w:t>internecie) nieprzyzwoitych napisów</w:t>
      </w:r>
      <w:r w:rsidR="00992FD0" w:rsidRPr="00EC250C">
        <w:rPr>
          <w:rStyle w:val="field-content"/>
          <w:sz w:val="22"/>
          <w:szCs w:val="20"/>
          <w:bdr w:val="none" w:sz="0" w:space="0" w:color="auto"/>
        </w:rPr>
        <w:t xml:space="preserve"> i </w:t>
      </w:r>
      <w:r w:rsidRPr="00EC250C">
        <w:rPr>
          <w:rStyle w:val="field-content"/>
          <w:sz w:val="22"/>
          <w:szCs w:val="20"/>
          <w:bdr w:val="none" w:sz="0" w:space="0" w:color="auto"/>
        </w:rPr>
        <w:t>rysunków</w:t>
      </w:r>
      <w:r w:rsidR="000C6F42" w:rsidRPr="00EC250C">
        <w:rPr>
          <w:szCs w:val="24"/>
        </w:rPr>
        <w:t xml:space="preserve"> (z podpisami „Zakaz pedałowania, homoseksualiści wszystkich krajów, leczcie się”)</w:t>
      </w:r>
      <w:r w:rsidRPr="00EC250C">
        <w:rPr>
          <w:szCs w:val="24"/>
        </w:rPr>
        <w:t>.</w:t>
      </w:r>
    </w:p>
    <w:p w14:paraId="49B6686B" w14:textId="77777777" w:rsidR="000C6F42" w:rsidRPr="00EC250C" w:rsidRDefault="000C6F42" w:rsidP="00D131FA">
      <w:pPr>
        <w:pStyle w:val="Styl2"/>
        <w:rPr>
          <w:rStyle w:val="field-content"/>
          <w:sz w:val="22"/>
          <w:szCs w:val="20"/>
          <w:bdr w:val="none" w:sz="0" w:space="0" w:color="auto"/>
        </w:rPr>
      </w:pPr>
      <w:r w:rsidRPr="00EC250C">
        <w:rPr>
          <w:rStyle w:val="field-content"/>
          <w:sz w:val="22"/>
          <w:szCs w:val="20"/>
          <w:bdr w:val="none" w:sz="0" w:space="0" w:color="auto"/>
        </w:rPr>
        <w:t xml:space="preserve">Duma i Nowoczesność stała się znana, gdy w lesie pod Wodzisławem w 2017 r. jej członkowie świętowali rocznicę urodzin Adolfa Hitlera, co sfilmowała ukryta kamera TVN24. </w:t>
      </w:r>
    </w:p>
    <w:p w14:paraId="75D0AB3B" w14:textId="77777777" w:rsidR="008320BB" w:rsidRPr="00EC250C" w:rsidRDefault="008320BB" w:rsidP="00D131FA">
      <w:pPr>
        <w:pStyle w:val="Styl2"/>
        <w:rPr>
          <w:rStyle w:val="field-content"/>
          <w:sz w:val="22"/>
          <w:szCs w:val="20"/>
          <w:bdr w:val="none" w:sz="0" w:space="0" w:color="auto"/>
        </w:rPr>
      </w:pPr>
      <w:r w:rsidRPr="00EC250C">
        <w:rPr>
          <w:rStyle w:val="field-content"/>
          <w:sz w:val="22"/>
          <w:szCs w:val="20"/>
          <w:bdr w:val="none" w:sz="0" w:space="0" w:color="auto"/>
        </w:rPr>
        <w:t>Według SN treści publikowane</w:t>
      </w:r>
      <w:r w:rsidR="00992FD0" w:rsidRPr="00EC250C">
        <w:rPr>
          <w:rStyle w:val="field-content"/>
          <w:sz w:val="22"/>
          <w:szCs w:val="20"/>
          <w:bdr w:val="none" w:sz="0" w:space="0" w:color="auto"/>
        </w:rPr>
        <w:t xml:space="preserve"> w </w:t>
      </w:r>
      <w:r w:rsidRPr="00EC250C">
        <w:rPr>
          <w:rStyle w:val="field-content"/>
          <w:sz w:val="22"/>
          <w:szCs w:val="20"/>
          <w:bdr w:val="none" w:sz="0" w:space="0" w:color="auto"/>
        </w:rPr>
        <w:t>internecie, choć fizycznie rzeczywiście znajdują się na dyskach, to jednak tworzą „pewną przestrzeń”. Jeśli są zaś dostępne na stronie internetowej, na którą każdy bez ograniczeń może wejść, to tym samym jest to miejsce publiczne.</w:t>
      </w:r>
      <w:r w:rsidR="00A23E1E" w:rsidRPr="00EC250C">
        <w:rPr>
          <w:rStyle w:val="field-content"/>
          <w:sz w:val="22"/>
          <w:szCs w:val="20"/>
          <w:bdr w:val="none" w:sz="0" w:space="0" w:color="auto"/>
        </w:rPr>
        <w:t xml:space="preserve"> </w:t>
      </w:r>
      <w:r w:rsidRPr="00EC250C">
        <w:rPr>
          <w:rStyle w:val="field-content"/>
          <w:sz w:val="22"/>
          <w:szCs w:val="20"/>
          <w:bdr w:val="none" w:sz="0" w:space="0" w:color="auto"/>
        </w:rPr>
        <w:t>Zarazem SN zwrócił uwagę, że nie każda strona internetowa może być traktowana jako przestrzeń publiczna. „Dostęp do niektórych treści wymaga np. zalogowania się</w:t>
      </w:r>
      <w:r w:rsidR="00992FD0" w:rsidRPr="00EC250C">
        <w:rPr>
          <w:rStyle w:val="field-content"/>
          <w:sz w:val="22"/>
          <w:szCs w:val="20"/>
          <w:bdr w:val="none" w:sz="0" w:space="0" w:color="auto"/>
        </w:rPr>
        <w:t xml:space="preserve"> i w </w:t>
      </w:r>
      <w:r w:rsidRPr="00EC250C">
        <w:rPr>
          <w:rStyle w:val="field-content"/>
          <w:sz w:val="22"/>
          <w:szCs w:val="20"/>
          <w:bdr w:val="none" w:sz="0" w:space="0" w:color="auto"/>
        </w:rPr>
        <w:t>takich sytuacjach pojawić się może wątpliwość czy mówimy</w:t>
      </w:r>
      <w:r w:rsidR="00992FD0" w:rsidRPr="00EC250C">
        <w:rPr>
          <w:rStyle w:val="field-content"/>
          <w:sz w:val="22"/>
          <w:szCs w:val="20"/>
          <w:bdr w:val="none" w:sz="0" w:space="0" w:color="auto"/>
        </w:rPr>
        <w:t xml:space="preserve"> o </w:t>
      </w:r>
      <w:r w:rsidRPr="00EC250C">
        <w:rPr>
          <w:rStyle w:val="field-content"/>
          <w:sz w:val="22"/>
          <w:szCs w:val="20"/>
          <w:bdr w:val="none" w:sz="0" w:space="0" w:color="auto"/>
        </w:rPr>
        <w:t>przestrzeni publicznej”</w:t>
      </w:r>
      <w:r w:rsidR="00026572" w:rsidRPr="00EC250C">
        <w:rPr>
          <w:rStyle w:val="field-content"/>
          <w:sz w:val="22"/>
          <w:szCs w:val="20"/>
          <w:bdr w:val="none" w:sz="0" w:space="0" w:color="auto"/>
        </w:rPr>
        <w:t xml:space="preserve"> – </w:t>
      </w:r>
      <w:r w:rsidRPr="00EC250C">
        <w:rPr>
          <w:rStyle w:val="field-content"/>
          <w:sz w:val="22"/>
          <w:szCs w:val="20"/>
          <w:bdr w:val="none" w:sz="0" w:space="0" w:color="auto"/>
        </w:rPr>
        <w:t>wyjaśniał sędzia sprawozdawca.</w:t>
      </w:r>
    </w:p>
    <w:p w14:paraId="6145F8E2" w14:textId="77777777" w:rsidR="008320BB" w:rsidRPr="00EC250C" w:rsidRDefault="008320BB" w:rsidP="00D131FA">
      <w:pPr>
        <w:pStyle w:val="Styl2"/>
        <w:rPr>
          <w:rStyle w:val="field-content"/>
          <w:sz w:val="22"/>
          <w:szCs w:val="20"/>
          <w:bdr w:val="none" w:sz="0" w:space="0" w:color="auto"/>
        </w:rPr>
      </w:pPr>
      <w:r w:rsidRPr="00EC250C">
        <w:rPr>
          <w:rStyle w:val="field-content"/>
          <w:sz w:val="22"/>
          <w:szCs w:val="20"/>
          <w:bdr w:val="none" w:sz="0" w:space="0" w:color="auto"/>
        </w:rPr>
        <w:t>SN uchylił postanowienie</w:t>
      </w:r>
      <w:r w:rsidR="00992FD0" w:rsidRPr="00EC250C">
        <w:rPr>
          <w:rStyle w:val="field-content"/>
          <w:sz w:val="22"/>
          <w:szCs w:val="20"/>
          <w:bdr w:val="none" w:sz="0" w:space="0" w:color="auto"/>
        </w:rPr>
        <w:t xml:space="preserve"> o </w:t>
      </w:r>
      <w:r w:rsidRPr="00EC250C">
        <w:rPr>
          <w:rStyle w:val="field-content"/>
          <w:sz w:val="22"/>
          <w:szCs w:val="20"/>
          <w:bdr w:val="none" w:sz="0" w:space="0" w:color="auto"/>
        </w:rPr>
        <w:t>umorzeniu sprawy</w:t>
      </w:r>
      <w:r w:rsidR="00992FD0" w:rsidRPr="00EC250C">
        <w:rPr>
          <w:rStyle w:val="field-content"/>
          <w:sz w:val="22"/>
          <w:szCs w:val="20"/>
          <w:bdr w:val="none" w:sz="0" w:space="0" w:color="auto"/>
        </w:rPr>
        <w:t xml:space="preserve"> i </w:t>
      </w:r>
      <w:r w:rsidRPr="00EC250C">
        <w:rPr>
          <w:rStyle w:val="field-content"/>
          <w:sz w:val="22"/>
          <w:szCs w:val="20"/>
          <w:bdr w:val="none" w:sz="0" w:space="0" w:color="auto"/>
        </w:rPr>
        <w:t xml:space="preserve">zwrócił ją sądowi rejonowemu </w:t>
      </w:r>
      <w:r w:rsidR="00A23E1E" w:rsidRPr="00EC250C">
        <w:rPr>
          <w:rStyle w:val="field-content"/>
          <w:sz w:val="22"/>
          <w:szCs w:val="20"/>
          <w:bdr w:val="none" w:sz="0" w:space="0" w:color="auto"/>
        </w:rPr>
        <w:t>w</w:t>
      </w:r>
      <w:r w:rsidR="00F43C3D" w:rsidRPr="00EC250C">
        <w:rPr>
          <w:rStyle w:val="field-content"/>
          <w:sz w:val="22"/>
          <w:szCs w:val="20"/>
          <w:bdr w:val="none" w:sz="0" w:space="0" w:color="auto"/>
        </w:rPr>
        <w:t> </w:t>
      </w:r>
      <w:r w:rsidR="00A23E1E" w:rsidRPr="00EC250C">
        <w:rPr>
          <w:rStyle w:val="field-content"/>
          <w:sz w:val="22"/>
          <w:szCs w:val="20"/>
          <w:bdr w:val="none" w:sz="0" w:space="0" w:color="auto"/>
        </w:rPr>
        <w:t xml:space="preserve">Wodzisławiu Śląskim </w:t>
      </w:r>
      <w:r w:rsidRPr="00EC250C">
        <w:rPr>
          <w:rStyle w:val="field-content"/>
          <w:sz w:val="22"/>
          <w:szCs w:val="20"/>
          <w:bdr w:val="none" w:sz="0" w:space="0" w:color="auto"/>
        </w:rPr>
        <w:t xml:space="preserve">do ponownego rozpoznania. </w:t>
      </w:r>
    </w:p>
    <w:p w14:paraId="5469D915" w14:textId="77777777" w:rsidR="000A707E" w:rsidRPr="00EC250C" w:rsidRDefault="000A707E" w:rsidP="00EC250C">
      <w:pPr>
        <w:pStyle w:val="Nagwek8"/>
        <w:rPr>
          <w:rStyle w:val="field-content"/>
          <w:sz w:val="28"/>
          <w:bdr w:val="none" w:sz="0" w:space="0" w:color="auto"/>
        </w:rPr>
      </w:pPr>
      <w:r w:rsidRPr="00EC250C">
        <w:rPr>
          <w:rStyle w:val="field-content"/>
          <w:sz w:val="28"/>
          <w:bdr w:val="none" w:sz="0" w:space="0" w:color="auto"/>
        </w:rPr>
        <w:lastRenderedPageBreak/>
        <w:t>Dlaczego obywatele zadający niewygodne pytania przedstawicielom rządu na publicznych spotkaniach są legitymowani?</w:t>
      </w:r>
    </w:p>
    <w:p w14:paraId="7BB9D271" w14:textId="77777777" w:rsidR="00C91F6E" w:rsidRPr="00EC250C" w:rsidRDefault="000A707E" w:rsidP="00D131FA">
      <w:pPr>
        <w:pStyle w:val="Styl2"/>
        <w:rPr>
          <w:szCs w:val="24"/>
        </w:rPr>
      </w:pPr>
      <w:r w:rsidRPr="00EC250C">
        <w:rPr>
          <w:szCs w:val="24"/>
        </w:rPr>
        <w:t>O prakty</w:t>
      </w:r>
      <w:r w:rsidR="00003634" w:rsidRPr="00EC250C">
        <w:rPr>
          <w:szCs w:val="24"/>
        </w:rPr>
        <w:t>ce</w:t>
      </w:r>
      <w:r w:rsidRPr="00EC250C">
        <w:rPr>
          <w:szCs w:val="24"/>
        </w:rPr>
        <w:t xml:space="preserve"> legitymowania osób, które na publicznych spotkaniach zadawały niewygodne pytania przedstawicielom władz, </w:t>
      </w:r>
      <w:r w:rsidR="00F43C3D" w:rsidRPr="00EC250C">
        <w:rPr>
          <w:szCs w:val="24"/>
        </w:rPr>
        <w:t xml:space="preserve">RPO dowiedział się </w:t>
      </w:r>
      <w:r w:rsidRPr="00EC250C">
        <w:rPr>
          <w:szCs w:val="24"/>
        </w:rPr>
        <w:t xml:space="preserve">wiosną </w:t>
      </w:r>
      <w:r w:rsidR="00F43C3D" w:rsidRPr="00EC250C">
        <w:rPr>
          <w:szCs w:val="24"/>
        </w:rPr>
        <w:t xml:space="preserve">2018 r. </w:t>
      </w:r>
      <w:r w:rsidRPr="00EC250C">
        <w:rPr>
          <w:szCs w:val="24"/>
        </w:rPr>
        <w:t>13 czerwca RPO zapytał</w:t>
      </w:r>
      <w:r w:rsidR="00992FD0" w:rsidRPr="00EC250C">
        <w:rPr>
          <w:szCs w:val="24"/>
        </w:rPr>
        <w:t xml:space="preserve"> o </w:t>
      </w:r>
      <w:r w:rsidRPr="00EC250C">
        <w:rPr>
          <w:szCs w:val="24"/>
        </w:rPr>
        <w:t>to Ministerstwo Spraw Wewnętrznych</w:t>
      </w:r>
      <w:r w:rsidR="00992FD0" w:rsidRPr="00EC250C">
        <w:rPr>
          <w:szCs w:val="24"/>
        </w:rPr>
        <w:t xml:space="preserve"> i </w:t>
      </w:r>
      <w:r w:rsidRPr="00EC250C">
        <w:rPr>
          <w:szCs w:val="24"/>
        </w:rPr>
        <w:t>Administracji.</w:t>
      </w:r>
    </w:p>
    <w:p w14:paraId="22CB34C2" w14:textId="77777777" w:rsidR="000A707E" w:rsidRPr="00EC250C" w:rsidRDefault="000A707E" w:rsidP="00D131FA">
      <w:pPr>
        <w:pStyle w:val="Styl2"/>
        <w:rPr>
          <w:szCs w:val="24"/>
        </w:rPr>
      </w:pPr>
      <w:r w:rsidRPr="00EC250C">
        <w:rPr>
          <w:szCs w:val="24"/>
        </w:rPr>
        <w:t>Dostał odpowiedź, że policja wie, że nie wolno legitymować obywateli tylko dlatego, że zadają niewygodne pytania premierowi, ministrom lub posłom PIS. Policja musi jednak legitymować tych, którzy</w:t>
      </w:r>
      <w:r w:rsidR="00CC4D88" w:rsidRPr="00EC250C">
        <w:rPr>
          <w:szCs w:val="24"/>
        </w:rPr>
        <w:t xml:space="preserve"> </w:t>
      </w:r>
      <w:r w:rsidRPr="00EC250C">
        <w:rPr>
          <w:szCs w:val="24"/>
        </w:rPr>
        <w:t>„podejmują próby zakłócania” spotkań</w:t>
      </w:r>
      <w:r w:rsidR="00992FD0" w:rsidRPr="00EC250C">
        <w:rPr>
          <w:szCs w:val="24"/>
        </w:rPr>
        <w:t xml:space="preserve"> z </w:t>
      </w:r>
      <w:r w:rsidRPr="00EC250C">
        <w:rPr>
          <w:szCs w:val="24"/>
        </w:rPr>
        <w:t>przedstawicielami władzy. Nie oznacza to jednak, że przeciwko każdemu</w:t>
      </w:r>
      <w:r w:rsidR="00992FD0" w:rsidRPr="00EC250C">
        <w:rPr>
          <w:szCs w:val="24"/>
        </w:rPr>
        <w:t xml:space="preserve"> z </w:t>
      </w:r>
      <w:r w:rsidRPr="00EC250C">
        <w:rPr>
          <w:szCs w:val="24"/>
        </w:rPr>
        <w:t>wylegitymowanych jest prowadzone postepowanie</w:t>
      </w:r>
      <w:r w:rsidRPr="00EC250C">
        <w:rPr>
          <w:rStyle w:val="Odwoanieprzypisudolnego"/>
          <w:rFonts w:ascii="inherit" w:hAnsi="inherit"/>
          <w:b w:val="0"/>
          <w:bCs w:val="0"/>
          <w:sz w:val="21"/>
          <w:szCs w:val="20"/>
          <w:bdr w:val="none" w:sz="0" w:space="0" w:color="auto" w:frame="1"/>
        </w:rPr>
        <w:footnoteReference w:id="331"/>
      </w:r>
      <w:r w:rsidR="0097798B" w:rsidRPr="00EC250C">
        <w:rPr>
          <w:szCs w:val="24"/>
        </w:rPr>
        <w:t>.</w:t>
      </w:r>
    </w:p>
    <w:p w14:paraId="68B3CC1E" w14:textId="77777777" w:rsidR="000A707E" w:rsidRPr="00EC250C" w:rsidRDefault="000A707E" w:rsidP="00D131FA">
      <w:pPr>
        <w:pStyle w:val="Styl2"/>
        <w:rPr>
          <w:szCs w:val="24"/>
        </w:rPr>
      </w:pPr>
      <w:r w:rsidRPr="00EC250C">
        <w:rPr>
          <w:szCs w:val="24"/>
        </w:rPr>
        <w:t>Komenda Główna Policji nie kierowała też do jednostek organizacyjnych poleceń, wytycznych</w:t>
      </w:r>
      <w:r w:rsidR="00992FD0" w:rsidRPr="00EC250C">
        <w:rPr>
          <w:szCs w:val="24"/>
        </w:rPr>
        <w:t xml:space="preserve"> i </w:t>
      </w:r>
      <w:r w:rsidRPr="00EC250C">
        <w:rPr>
          <w:szCs w:val="24"/>
        </w:rPr>
        <w:t>instrukcji postępowania nakazujących policjantom legitymowanie uczestników spotkań</w:t>
      </w:r>
      <w:r w:rsidR="00992FD0" w:rsidRPr="00EC250C">
        <w:rPr>
          <w:szCs w:val="24"/>
        </w:rPr>
        <w:t xml:space="preserve"> z </w:t>
      </w:r>
      <w:r w:rsidRPr="00EC250C">
        <w:rPr>
          <w:szCs w:val="24"/>
        </w:rPr>
        <w:t>politykami partii Prawo</w:t>
      </w:r>
      <w:r w:rsidR="00992FD0" w:rsidRPr="00EC250C">
        <w:rPr>
          <w:szCs w:val="24"/>
        </w:rPr>
        <w:t xml:space="preserve"> i </w:t>
      </w:r>
      <w:r w:rsidRPr="00EC250C">
        <w:rPr>
          <w:szCs w:val="24"/>
        </w:rPr>
        <w:t>Sprawiedliwość.</w:t>
      </w:r>
    </w:p>
    <w:p w14:paraId="54AA8C57" w14:textId="77777777" w:rsidR="00C91F6E" w:rsidRPr="00EC250C" w:rsidRDefault="008009FB" w:rsidP="00EC79EB">
      <w:pPr>
        <w:pStyle w:val="Nagwek4"/>
      </w:pPr>
      <w:bookmarkStart w:id="334" w:name="_Toc6257787"/>
      <w:bookmarkStart w:id="335" w:name="_Toc11247666"/>
      <w:r w:rsidRPr="00EC250C">
        <w:t>Ograniczanie dziennikarzom dostępu do informacji na terenie sądu</w:t>
      </w:r>
      <w:bookmarkEnd w:id="334"/>
      <w:bookmarkEnd w:id="335"/>
    </w:p>
    <w:p w14:paraId="2DD6BF99" w14:textId="77777777" w:rsidR="00B473F5" w:rsidRPr="00EC250C" w:rsidRDefault="00BA6D04" w:rsidP="00D131FA">
      <w:pPr>
        <w:pStyle w:val="Problemczowieka"/>
        <w:jc w:val="both"/>
        <w:rPr>
          <w:bdr w:val="none" w:sz="0" w:space="0" w:color="auto" w:frame="1"/>
        </w:rPr>
      </w:pPr>
      <w:r w:rsidRPr="00EC250C">
        <w:rPr>
          <w:bdr w:val="none" w:sz="0" w:space="0" w:color="auto" w:frame="1"/>
        </w:rPr>
        <w:t>Prezes Sądu Okręgowego</w:t>
      </w:r>
      <w:r w:rsidR="00992FD0" w:rsidRPr="00EC250C">
        <w:rPr>
          <w:bdr w:val="none" w:sz="0" w:space="0" w:color="auto" w:frame="1"/>
        </w:rPr>
        <w:t xml:space="preserve"> w </w:t>
      </w:r>
      <w:r w:rsidRPr="00EC250C">
        <w:rPr>
          <w:bdr w:val="none" w:sz="0" w:space="0" w:color="auto" w:frame="1"/>
        </w:rPr>
        <w:t>Krakowie ustaliła, że bez jej zgody nie wolno mediom przeprowadzać wywiadów</w:t>
      </w:r>
      <w:r w:rsidR="00992FD0" w:rsidRPr="00EC250C">
        <w:rPr>
          <w:bdr w:val="none" w:sz="0" w:space="0" w:color="auto" w:frame="1"/>
        </w:rPr>
        <w:t xml:space="preserve"> i </w:t>
      </w:r>
      <w:r w:rsidRPr="00EC250C">
        <w:rPr>
          <w:bdr w:val="none" w:sz="0" w:space="0" w:color="auto" w:frame="1"/>
        </w:rPr>
        <w:t>zdobywać informacji na terenie sądu od sędziów, asesorów, referendarzy sądowych</w:t>
      </w:r>
      <w:r w:rsidR="00992FD0" w:rsidRPr="00EC250C">
        <w:rPr>
          <w:bdr w:val="none" w:sz="0" w:space="0" w:color="auto" w:frame="1"/>
        </w:rPr>
        <w:t xml:space="preserve"> i </w:t>
      </w:r>
      <w:r w:rsidRPr="00EC250C">
        <w:rPr>
          <w:bdr w:val="none" w:sz="0" w:space="0" w:color="auto" w:frame="1"/>
        </w:rPr>
        <w:t>asystentów sędziów</w:t>
      </w:r>
      <w:r w:rsidR="00B473F5" w:rsidRPr="00EC250C">
        <w:rPr>
          <w:bdr w:val="none" w:sz="0" w:space="0" w:color="auto" w:frame="1"/>
        </w:rPr>
        <w:t>.</w:t>
      </w:r>
    </w:p>
    <w:p w14:paraId="228109D4" w14:textId="77777777" w:rsidR="00BA6D04" w:rsidRPr="00EC250C" w:rsidRDefault="00F43C3D" w:rsidP="00D131FA">
      <w:pPr>
        <w:pStyle w:val="Styl1"/>
        <w:rPr>
          <w:rFonts w:ascii="Open Sans Regular" w:hAnsi="Open Sans Regular"/>
          <w:color w:val="18223E"/>
          <w:spacing w:val="0"/>
          <w:sz w:val="21"/>
        </w:rPr>
      </w:pPr>
      <w:r w:rsidRPr="00EC250C">
        <w:rPr>
          <w:bdr w:val="none" w:sz="0" w:space="0" w:color="auto" w:frame="1"/>
        </w:rPr>
        <w:t>Zdaniem RPO j</w:t>
      </w:r>
      <w:r w:rsidR="00BA6D04" w:rsidRPr="00EC250C">
        <w:rPr>
          <w:bdr w:val="none" w:sz="0" w:space="0" w:color="auto" w:frame="1"/>
        </w:rPr>
        <w:t>akiekolwiek próby uniemożliwienia kontaktu pracownika</w:t>
      </w:r>
      <w:r w:rsidR="00992FD0" w:rsidRPr="00EC250C">
        <w:rPr>
          <w:bdr w:val="none" w:sz="0" w:space="0" w:color="auto" w:frame="1"/>
        </w:rPr>
        <w:t xml:space="preserve"> z </w:t>
      </w:r>
      <w:r w:rsidR="00BA6D04" w:rsidRPr="00EC250C">
        <w:rPr>
          <w:bdr w:val="none" w:sz="0" w:space="0" w:color="auto" w:frame="1"/>
        </w:rPr>
        <w:t>dziennikarzami są sprzeczne</w:t>
      </w:r>
      <w:r w:rsidR="00992FD0" w:rsidRPr="00EC250C">
        <w:rPr>
          <w:bdr w:val="none" w:sz="0" w:space="0" w:color="auto" w:frame="1"/>
        </w:rPr>
        <w:t xml:space="preserve"> z </w:t>
      </w:r>
      <w:r w:rsidR="00BA6D04" w:rsidRPr="00EC250C">
        <w:rPr>
          <w:bdr w:val="none" w:sz="0" w:space="0" w:color="auto" w:frame="1"/>
        </w:rPr>
        <w:t>prawem</w:t>
      </w:r>
      <w:r w:rsidR="00992FD0" w:rsidRPr="00EC250C">
        <w:rPr>
          <w:bdr w:val="none" w:sz="0" w:space="0" w:color="auto" w:frame="1"/>
        </w:rPr>
        <w:t xml:space="preserve"> i </w:t>
      </w:r>
      <w:r w:rsidR="00BA6D04" w:rsidRPr="00EC250C">
        <w:rPr>
          <w:bdr w:val="none" w:sz="0" w:space="0" w:color="auto" w:frame="1"/>
        </w:rPr>
        <w:t>mogą zostać potraktowane jako tłumienie krytyki prasowej.</w:t>
      </w:r>
    </w:p>
    <w:p w14:paraId="4B62DB2A" w14:textId="77777777" w:rsidR="00BA6D04" w:rsidRPr="00EC250C" w:rsidRDefault="00BA6D04" w:rsidP="00D131FA">
      <w:pPr>
        <w:pStyle w:val="Styl1"/>
      </w:pPr>
      <w:r w:rsidRPr="00EC250C">
        <w:t>Z zarządzenia nr 3/18 ws. fotografowania, filmowania oraz utrwalania</w:t>
      </w:r>
      <w:r w:rsidR="00992FD0" w:rsidRPr="00EC250C">
        <w:t xml:space="preserve"> w </w:t>
      </w:r>
      <w:r w:rsidRPr="00EC250C">
        <w:t>inny sposób obiektów sądu wynika, że udzielanie wywiadów, informacji na terenie sądu przez sędziów, asesorów, referendarzy sądowych</w:t>
      </w:r>
      <w:r w:rsidR="00992FD0" w:rsidRPr="00EC250C">
        <w:t xml:space="preserve"> i </w:t>
      </w:r>
      <w:r w:rsidRPr="00EC250C">
        <w:t>asystentów sędziów, wymaga zgody prezesa sądu,</w:t>
      </w:r>
      <w:r w:rsidR="00992FD0" w:rsidRPr="00EC250C">
        <w:t xml:space="preserve"> a w </w:t>
      </w:r>
      <w:r w:rsidRPr="00EC250C">
        <w:t>przypadku kadry urzędniczej – dyrektora sądu. Nie dotyczy to rzecznika prasowego sądu</w:t>
      </w:r>
      <w:r w:rsidR="00992FD0" w:rsidRPr="00EC250C">
        <w:t xml:space="preserve"> i </w:t>
      </w:r>
      <w:r w:rsidRPr="00EC250C">
        <w:t>pracowników jego biura.</w:t>
      </w:r>
    </w:p>
    <w:p w14:paraId="2A7EA93C" w14:textId="77777777" w:rsidR="00BA6D04" w:rsidRPr="00EC250C" w:rsidRDefault="00BA6D04" w:rsidP="00D131FA">
      <w:pPr>
        <w:pStyle w:val="Styl1"/>
      </w:pPr>
      <w:r w:rsidRPr="00EC250C">
        <w:t>Zarządzenie wydano na podstawie artykułu Prawa</w:t>
      </w:r>
      <w:r w:rsidR="00992FD0" w:rsidRPr="00EC250C">
        <w:t xml:space="preserve"> o </w:t>
      </w:r>
      <w:r w:rsidRPr="00EC250C">
        <w:t>ustroju sądów powszechnych, zgodnie</w:t>
      </w:r>
      <w:r w:rsidR="00992FD0" w:rsidRPr="00EC250C">
        <w:t xml:space="preserve"> z </w:t>
      </w:r>
      <w:r w:rsidRPr="00EC250C">
        <w:t>którym prezes sądu zapewnia właściwy tok wewnętrznego urzędowania,</w:t>
      </w:r>
      <w:r w:rsidR="00992FD0" w:rsidRPr="00EC250C">
        <w:t xml:space="preserve"> a </w:t>
      </w:r>
      <w:r w:rsidRPr="00EC250C">
        <w:t>dyrektor sądu zapewnia odpowiednie warunki technicznoorganizacyjne oraz majątkowe funkcjonowania sądu.</w:t>
      </w:r>
    </w:p>
    <w:p w14:paraId="582F2781" w14:textId="77777777" w:rsidR="00C91F6E" w:rsidRPr="00EC250C" w:rsidRDefault="00BA6D04" w:rsidP="00D131FA">
      <w:pPr>
        <w:pStyle w:val="Styl1"/>
      </w:pPr>
      <w:r w:rsidRPr="00EC250C">
        <w:t xml:space="preserve">W opinii </w:t>
      </w:r>
      <w:r w:rsidR="008C5286" w:rsidRPr="00EC250C">
        <w:t>RPO</w:t>
      </w:r>
      <w:r w:rsidRPr="00EC250C">
        <w:t xml:space="preserve"> wskazane przepisy zawierają jedynie ogólne normy</w:t>
      </w:r>
      <w:r w:rsidR="00992FD0" w:rsidRPr="00EC250C">
        <w:t xml:space="preserve"> o </w:t>
      </w:r>
      <w:r w:rsidRPr="00EC250C">
        <w:t>charakterze kompetencyjnym</w:t>
      </w:r>
      <w:r w:rsidR="00992FD0" w:rsidRPr="00EC250C">
        <w:t xml:space="preserve"> i </w:t>
      </w:r>
      <w:r w:rsidRPr="00EC250C">
        <w:t>nie mogą stanowić podstawy tego typu zakazów.</w:t>
      </w:r>
    </w:p>
    <w:p w14:paraId="240B6F5C" w14:textId="77777777" w:rsidR="00BA6D04" w:rsidRPr="00EC250C" w:rsidRDefault="00BA6D04" w:rsidP="00D131FA">
      <w:pPr>
        <w:pStyle w:val="Styl1"/>
      </w:pPr>
      <w:r w:rsidRPr="00EC250C">
        <w:t>Wolność wyrażania poglądów oraz pozyskiwania</w:t>
      </w:r>
      <w:r w:rsidR="00992FD0" w:rsidRPr="00EC250C">
        <w:t xml:space="preserve"> i </w:t>
      </w:r>
      <w:r w:rsidRPr="00EC250C">
        <w:t>rozpowszechniania informacji może być ograniczona wyłącznie</w:t>
      </w:r>
      <w:r w:rsidR="00992FD0" w:rsidRPr="00EC250C">
        <w:t xml:space="preserve"> w </w:t>
      </w:r>
      <w:r w:rsidRPr="00EC250C">
        <w:t>ustawie.</w:t>
      </w:r>
    </w:p>
    <w:p w14:paraId="65BBDAAF" w14:textId="77777777" w:rsidR="00E87B1A" w:rsidRPr="00EC250C" w:rsidRDefault="00161099" w:rsidP="00D131FA">
      <w:pPr>
        <w:pStyle w:val="Styl1"/>
        <w:rPr>
          <w:bCs/>
          <w:iCs/>
        </w:rPr>
      </w:pPr>
      <w:r w:rsidRPr="00EC250C">
        <w:rPr>
          <w:bCs/>
          <w:iCs/>
        </w:rPr>
        <w:lastRenderedPageBreak/>
        <w:t xml:space="preserve">Na żądanie RPO, by zarządzenie odwołać, </w:t>
      </w:r>
      <w:r w:rsidR="008C5286" w:rsidRPr="00EC250C">
        <w:rPr>
          <w:bCs/>
          <w:iCs/>
        </w:rPr>
        <w:t>P</w:t>
      </w:r>
      <w:r w:rsidRPr="00EC250C">
        <w:rPr>
          <w:bCs/>
          <w:iCs/>
        </w:rPr>
        <w:t xml:space="preserve">rezes </w:t>
      </w:r>
      <w:r w:rsidR="008C5286" w:rsidRPr="00EC250C">
        <w:rPr>
          <w:bCs/>
          <w:iCs/>
        </w:rPr>
        <w:t>S</w:t>
      </w:r>
      <w:r w:rsidRPr="00EC250C">
        <w:rPr>
          <w:bCs/>
          <w:iCs/>
        </w:rPr>
        <w:t xml:space="preserve">ądu odpowiedział, że </w:t>
      </w:r>
      <w:r w:rsidR="008009FB" w:rsidRPr="00EC250C">
        <w:rPr>
          <w:bCs/>
          <w:iCs/>
        </w:rPr>
        <w:t>kwestionowany zapis zarządzenia nie ma charakteru powszechnie obowiązującej normy prawnej,</w:t>
      </w:r>
      <w:r w:rsidR="00992FD0" w:rsidRPr="00EC250C">
        <w:rPr>
          <w:bCs/>
          <w:iCs/>
        </w:rPr>
        <w:t xml:space="preserve"> a </w:t>
      </w:r>
      <w:r w:rsidR="008009FB" w:rsidRPr="00EC250C">
        <w:rPr>
          <w:bCs/>
          <w:iCs/>
        </w:rPr>
        <w:t xml:space="preserve">zatem nie można </w:t>
      </w:r>
      <w:r w:rsidRPr="00EC250C">
        <w:rPr>
          <w:bCs/>
          <w:iCs/>
        </w:rPr>
        <w:t xml:space="preserve">twierdzić, </w:t>
      </w:r>
      <w:r w:rsidR="008009FB" w:rsidRPr="00EC250C">
        <w:rPr>
          <w:bCs/>
          <w:iCs/>
        </w:rPr>
        <w:t>iż jest sprzeczny</w:t>
      </w:r>
      <w:r w:rsidR="00992FD0" w:rsidRPr="00EC250C">
        <w:rPr>
          <w:bCs/>
          <w:iCs/>
        </w:rPr>
        <w:t xml:space="preserve"> z </w:t>
      </w:r>
      <w:r w:rsidR="008009FB" w:rsidRPr="00EC250C">
        <w:rPr>
          <w:bCs/>
          <w:iCs/>
        </w:rPr>
        <w:t>wolnością wypowiedzi</w:t>
      </w:r>
      <w:r w:rsidR="00CA5C80" w:rsidRPr="00EC250C">
        <w:rPr>
          <w:rStyle w:val="Odwoanieprzypisudolnego"/>
          <w:bCs/>
          <w:iCs/>
        </w:rPr>
        <w:footnoteReference w:id="332"/>
      </w:r>
      <w:r w:rsidRPr="00EC250C">
        <w:rPr>
          <w:bCs/>
          <w:iCs/>
        </w:rPr>
        <w:t>.</w:t>
      </w:r>
    </w:p>
    <w:p w14:paraId="72C1699A" w14:textId="77777777" w:rsidR="00161099" w:rsidRPr="00EC250C" w:rsidRDefault="00161099" w:rsidP="00EC250C">
      <w:pPr>
        <w:pStyle w:val="Nagwek8"/>
      </w:pPr>
      <w:r w:rsidRPr="00EC250C">
        <w:t>Sprawa dziennikarza</w:t>
      </w:r>
      <w:r w:rsidR="00992FD0" w:rsidRPr="00EC250C">
        <w:t xml:space="preserve"> i </w:t>
      </w:r>
      <w:r w:rsidRPr="00EC250C">
        <w:t>związkowca zwolnionego</w:t>
      </w:r>
      <w:r w:rsidR="00992FD0" w:rsidRPr="00EC250C">
        <w:t xml:space="preserve"> z </w:t>
      </w:r>
      <w:r w:rsidRPr="00EC250C">
        <w:t xml:space="preserve">pracy za krytykę pracodawcy. </w:t>
      </w:r>
      <w:hyperlink r:id="rId14" w:history="1">
        <w:r w:rsidRPr="00EC250C">
          <w:t>Dziennikarz prawomocnie wygrał proces za zwolnienie</w:t>
        </w:r>
        <w:r w:rsidR="00992FD0" w:rsidRPr="00EC250C">
          <w:t xml:space="preserve"> z </w:t>
        </w:r>
        <w:r w:rsidRPr="00EC250C">
          <w:t>Polskiego Radia</w:t>
        </w:r>
      </w:hyperlink>
    </w:p>
    <w:p w14:paraId="00FD26B8" w14:textId="77777777" w:rsidR="008C5286" w:rsidRPr="00EC250C" w:rsidRDefault="00161099" w:rsidP="00D131FA">
      <w:pPr>
        <w:pStyle w:val="Styl2"/>
        <w:rPr>
          <w:szCs w:val="24"/>
        </w:rPr>
      </w:pPr>
      <w:r w:rsidRPr="00EC250C">
        <w:rPr>
          <w:szCs w:val="24"/>
        </w:rPr>
        <w:t>Do sprawy przyłączył się jeszcze</w:t>
      </w:r>
      <w:r w:rsidR="00992FD0" w:rsidRPr="00EC250C">
        <w:rPr>
          <w:szCs w:val="24"/>
        </w:rPr>
        <w:t xml:space="preserve"> w </w:t>
      </w:r>
      <w:r w:rsidRPr="00EC250C">
        <w:rPr>
          <w:szCs w:val="24"/>
        </w:rPr>
        <w:t>roku 2017 Rzecznik Praw Obywatelskich. Dziennikarz został zwolniony „z powodu utraty zaufania niezbędnego na zajmowanym stanowisku”. Dziennikarz pracował</w:t>
      </w:r>
      <w:r w:rsidR="00992FD0" w:rsidRPr="00EC250C">
        <w:rPr>
          <w:szCs w:val="24"/>
        </w:rPr>
        <w:t xml:space="preserve"> w </w:t>
      </w:r>
      <w:r w:rsidRPr="00EC250C">
        <w:rPr>
          <w:szCs w:val="24"/>
        </w:rPr>
        <w:t>Polskim Radiu na stanowisku kierownika redakcji na podstawie umowy</w:t>
      </w:r>
      <w:r w:rsidR="00992FD0" w:rsidRPr="00EC250C">
        <w:rPr>
          <w:szCs w:val="24"/>
        </w:rPr>
        <w:t xml:space="preserve"> o </w:t>
      </w:r>
      <w:r w:rsidRPr="00EC250C">
        <w:rPr>
          <w:szCs w:val="24"/>
        </w:rPr>
        <w:t>pracę. Był także przewodniczącym związku zawodowego dziennikarzy</w:t>
      </w:r>
      <w:r w:rsidR="00992FD0" w:rsidRPr="00EC250C">
        <w:rPr>
          <w:szCs w:val="24"/>
        </w:rPr>
        <w:t xml:space="preserve"> i </w:t>
      </w:r>
      <w:r w:rsidRPr="00EC250C">
        <w:rPr>
          <w:szCs w:val="24"/>
        </w:rPr>
        <w:t>pracowników Programu III Polskiego Radia. Sąd Rejonowy dla m.st. Warszawy 13 września 2017</w:t>
      </w:r>
      <w:r w:rsidR="00C91F6E" w:rsidRPr="00EC250C">
        <w:rPr>
          <w:szCs w:val="24"/>
        </w:rPr>
        <w:t> r.</w:t>
      </w:r>
      <w:r w:rsidRPr="00EC250C">
        <w:rPr>
          <w:szCs w:val="24"/>
        </w:rPr>
        <w:t xml:space="preserve"> uznał zwolnienie dziennikarza za sprzeczne</w:t>
      </w:r>
      <w:r w:rsidR="00992FD0" w:rsidRPr="00EC250C">
        <w:rPr>
          <w:szCs w:val="24"/>
        </w:rPr>
        <w:t xml:space="preserve"> z </w:t>
      </w:r>
      <w:r w:rsidRPr="00EC250C">
        <w:rPr>
          <w:szCs w:val="24"/>
        </w:rPr>
        <w:t>prawem</w:t>
      </w:r>
      <w:r w:rsidR="00992FD0" w:rsidRPr="00EC250C">
        <w:rPr>
          <w:szCs w:val="24"/>
        </w:rPr>
        <w:t xml:space="preserve"> i </w:t>
      </w:r>
      <w:r w:rsidRPr="00EC250C">
        <w:rPr>
          <w:szCs w:val="24"/>
        </w:rPr>
        <w:t>przyznał mu odszkodowanie. Sąd Okręgowy</w:t>
      </w:r>
      <w:r w:rsidR="00992FD0" w:rsidRPr="00EC250C">
        <w:rPr>
          <w:szCs w:val="24"/>
        </w:rPr>
        <w:t xml:space="preserve"> w </w:t>
      </w:r>
      <w:r w:rsidRPr="00EC250C">
        <w:rPr>
          <w:szCs w:val="24"/>
        </w:rPr>
        <w:t>Warszawie</w:t>
      </w:r>
      <w:r w:rsidR="00992FD0" w:rsidRPr="00EC250C">
        <w:rPr>
          <w:szCs w:val="24"/>
        </w:rPr>
        <w:t xml:space="preserve"> w </w:t>
      </w:r>
      <w:r w:rsidRPr="00EC250C">
        <w:rPr>
          <w:szCs w:val="24"/>
        </w:rPr>
        <w:t>2018</w:t>
      </w:r>
      <w:r w:rsidR="00C91F6E" w:rsidRPr="00EC250C">
        <w:rPr>
          <w:szCs w:val="24"/>
        </w:rPr>
        <w:t> r.</w:t>
      </w:r>
      <w:r w:rsidRPr="00EC250C">
        <w:rPr>
          <w:szCs w:val="24"/>
        </w:rPr>
        <w:t xml:space="preserve"> oddalił apelację Polskiego Radia</w:t>
      </w:r>
      <w:r w:rsidRPr="00EC250C">
        <w:rPr>
          <w:rStyle w:val="Odwoanieprzypisudolnego"/>
          <w:szCs w:val="24"/>
        </w:rPr>
        <w:footnoteReference w:id="333"/>
      </w:r>
      <w:r w:rsidR="008C5286" w:rsidRPr="00EC250C">
        <w:rPr>
          <w:szCs w:val="24"/>
        </w:rPr>
        <w:t>.</w:t>
      </w:r>
    </w:p>
    <w:p w14:paraId="0AC3185F" w14:textId="77777777" w:rsidR="008C5286" w:rsidRPr="00EC250C" w:rsidRDefault="008C5286" w:rsidP="00D131FA">
      <w:pPr>
        <w:pStyle w:val="ODESANIE"/>
        <w:jc w:val="both"/>
      </w:pPr>
      <w:r w:rsidRPr="00EC250C">
        <w:t>Erozja wolności w dziedzinie kultury zagraża bogactwu życia kulturalnego w Polsce – raport ekspertki ONZ ds. praw człowieka – art. 73 Konstytucji</w:t>
      </w:r>
    </w:p>
    <w:p w14:paraId="798A987A" w14:textId="77777777" w:rsidR="008009FB" w:rsidRPr="00EC250C" w:rsidRDefault="003A37B1" w:rsidP="00D131FA">
      <w:pPr>
        <w:pStyle w:val="Styl2"/>
        <w:rPr>
          <w:b w:val="0"/>
          <w:bCs w:val="0"/>
          <w:color w:val="044892"/>
          <w:szCs w:val="24"/>
        </w:rPr>
      </w:pPr>
      <w:r w:rsidRPr="00EC250C">
        <w:rPr>
          <w:szCs w:val="24"/>
        </w:rPr>
        <w:br w:type="page"/>
      </w:r>
    </w:p>
    <w:p w14:paraId="55086CDA" w14:textId="77777777" w:rsidR="00C91F6E" w:rsidRPr="00EC250C" w:rsidRDefault="004C52F3" w:rsidP="00EC250C">
      <w:pPr>
        <w:pStyle w:val="Nagwek3"/>
      </w:pPr>
      <w:bookmarkStart w:id="336" w:name="_Toc6257788"/>
      <w:bookmarkStart w:id="337" w:name="_Toc11247667"/>
      <w:r w:rsidRPr="00EC250C">
        <w:lastRenderedPageBreak/>
        <w:t xml:space="preserve">Art. 55 </w:t>
      </w:r>
      <w:r w:rsidR="006302BF" w:rsidRPr="00EC250C">
        <w:t xml:space="preserve">Konstytucji </w:t>
      </w:r>
      <w:r w:rsidRPr="00EC250C">
        <w:t>– Zakaz ekstradycji obywatela polskiego</w:t>
      </w:r>
      <w:bookmarkEnd w:id="336"/>
      <w:bookmarkEnd w:id="337"/>
    </w:p>
    <w:p w14:paraId="3F44D86A" w14:textId="77777777" w:rsidR="004C52F3" w:rsidRPr="00EC250C" w:rsidRDefault="004C52F3" w:rsidP="00D131FA">
      <w:pPr>
        <w:pStyle w:val="konstytucja"/>
        <w:spacing w:beforeLines="120" w:before="288" w:afterLines="120" w:after="288"/>
        <w:jc w:val="both"/>
      </w:pPr>
      <w:r w:rsidRPr="00EC250C">
        <w:t>1. Ekstradycja obywatela polskiego jest zakazana,</w:t>
      </w:r>
      <w:r w:rsidR="00992FD0" w:rsidRPr="00EC250C">
        <w:t xml:space="preserve"> z </w:t>
      </w:r>
      <w:r w:rsidRPr="00EC250C">
        <w:t>wyjątkiem przypadków określonych</w:t>
      </w:r>
      <w:r w:rsidR="00992FD0" w:rsidRPr="00EC250C">
        <w:t xml:space="preserve"> w </w:t>
      </w:r>
      <w:r w:rsidRPr="00EC250C">
        <w:t>ust. 2</w:t>
      </w:r>
      <w:r w:rsidR="00992FD0" w:rsidRPr="00EC250C">
        <w:t xml:space="preserve"> i </w:t>
      </w:r>
      <w:r w:rsidRPr="00EC250C">
        <w:t>3.</w:t>
      </w:r>
    </w:p>
    <w:p w14:paraId="4F2F1F97" w14:textId="77777777" w:rsidR="004C52F3" w:rsidRPr="00EC250C" w:rsidRDefault="004C52F3" w:rsidP="00D131FA">
      <w:pPr>
        <w:pStyle w:val="konstytucja"/>
        <w:spacing w:beforeLines="120" w:before="288" w:afterLines="120" w:after="288"/>
        <w:jc w:val="both"/>
      </w:pPr>
      <w:r w:rsidRPr="00EC250C">
        <w:t>2. Ekstradycja obywatela polskiego może być dokonana na wniosek innego państwa lub sądowego organu międzynarodowego, jeżeli możliwość taka wynika</w:t>
      </w:r>
      <w:r w:rsidR="00992FD0" w:rsidRPr="00EC250C">
        <w:t xml:space="preserve"> z </w:t>
      </w:r>
      <w:r w:rsidRPr="00EC250C">
        <w:t>ratyfikowanej przez Rzeczpospolitą Polską umowy międzynarodowej lub ustawy wykonującej akt prawa stanowionego przez organizację międzynarodową, której Rzeczpospolita Polska jest członkiem, pod warunkiem że czyn objęty wnioskiem</w:t>
      </w:r>
      <w:r w:rsidR="00992FD0" w:rsidRPr="00EC250C">
        <w:t xml:space="preserve"> o </w:t>
      </w:r>
      <w:r w:rsidRPr="00EC250C">
        <w:t>ekstradycję:</w:t>
      </w:r>
    </w:p>
    <w:p w14:paraId="5DDBCFD3" w14:textId="77777777" w:rsidR="004C52F3" w:rsidRPr="00EC250C" w:rsidRDefault="004C52F3" w:rsidP="00D131FA">
      <w:pPr>
        <w:pStyle w:val="konstytucja"/>
        <w:spacing w:beforeLines="120" w:before="288" w:afterLines="120" w:after="288"/>
        <w:ind w:left="709"/>
        <w:jc w:val="both"/>
      </w:pPr>
      <w:r w:rsidRPr="00EC250C">
        <w:t>1) został popełniony poza terytorium Rzeczypospolitej Polskiej, oraz</w:t>
      </w:r>
    </w:p>
    <w:p w14:paraId="54C0C80A" w14:textId="77777777" w:rsidR="004C52F3" w:rsidRPr="00EC250C" w:rsidRDefault="004C52F3" w:rsidP="00D131FA">
      <w:pPr>
        <w:pStyle w:val="konstytucja"/>
        <w:spacing w:beforeLines="120" w:before="288" w:afterLines="120" w:after="288"/>
        <w:ind w:left="709"/>
        <w:jc w:val="both"/>
      </w:pPr>
      <w:r w:rsidRPr="00EC250C">
        <w:t>2) stanowił przestępstwo według prawa Rzeczypospolitej Polskiej lub stanowiłby przestępstwo według prawa Rzeczypospolitej Polskiej</w:t>
      </w:r>
      <w:r w:rsidR="00992FD0" w:rsidRPr="00EC250C">
        <w:t xml:space="preserve"> w </w:t>
      </w:r>
      <w:r w:rsidRPr="00EC250C">
        <w:t>razie popełnienia na terytorium Rzeczypospolitej Polskiej, zarówno</w:t>
      </w:r>
      <w:r w:rsidR="00992FD0" w:rsidRPr="00EC250C">
        <w:t xml:space="preserve"> w </w:t>
      </w:r>
      <w:r w:rsidRPr="00EC250C">
        <w:t>czasie jego popełnienia, jak</w:t>
      </w:r>
      <w:r w:rsidR="00992FD0" w:rsidRPr="00EC250C">
        <w:t xml:space="preserve"> i w </w:t>
      </w:r>
      <w:r w:rsidRPr="00EC250C">
        <w:t>chwili złożenia wniosku.</w:t>
      </w:r>
    </w:p>
    <w:p w14:paraId="02C7012D" w14:textId="77777777" w:rsidR="004C52F3" w:rsidRPr="00EC250C" w:rsidRDefault="004C52F3" w:rsidP="00D131FA">
      <w:pPr>
        <w:pStyle w:val="konstytucja"/>
        <w:spacing w:beforeLines="120" w:before="288" w:afterLines="120" w:after="288"/>
        <w:jc w:val="both"/>
      </w:pPr>
      <w:r w:rsidRPr="00EC250C">
        <w:t>3. Nie wymaga spełnienia warunków określonych</w:t>
      </w:r>
      <w:r w:rsidR="00992FD0" w:rsidRPr="00EC250C">
        <w:t xml:space="preserve"> w </w:t>
      </w:r>
      <w:r w:rsidRPr="00EC250C">
        <w:t>ust. 2 pkt 1</w:t>
      </w:r>
      <w:r w:rsidR="00992FD0" w:rsidRPr="00EC250C">
        <w:t xml:space="preserve"> i </w:t>
      </w:r>
      <w:r w:rsidRPr="00EC250C">
        <w:t>2 ekstradycja mająca nastąpić na wniosek sądowego organu międzynarodowego powołanego na podstawie ratyfikowanej przez Rzeczpospolitą Polską umowy międzynarodowej,</w:t>
      </w:r>
      <w:r w:rsidR="00992FD0" w:rsidRPr="00EC250C">
        <w:t xml:space="preserve"> w </w:t>
      </w:r>
      <w:r w:rsidRPr="00EC250C">
        <w:t>związku</w:t>
      </w:r>
      <w:r w:rsidR="00992FD0" w:rsidRPr="00EC250C">
        <w:t xml:space="preserve"> z </w:t>
      </w:r>
      <w:r w:rsidRPr="00EC250C">
        <w:t>objętą jurysdykcją tego organu zbrodnią ludobójstwa, zbrodnią przeciwko ludzkości, zbrodnią wojenną lub zbrodnią agresji.</w:t>
      </w:r>
    </w:p>
    <w:p w14:paraId="2784D126" w14:textId="77777777" w:rsidR="004C52F3" w:rsidRPr="00EC250C" w:rsidRDefault="004C52F3" w:rsidP="00D131FA">
      <w:pPr>
        <w:pStyle w:val="konstytucja"/>
        <w:spacing w:beforeLines="120" w:before="288" w:afterLines="120" w:after="288"/>
        <w:jc w:val="both"/>
      </w:pPr>
      <w:r w:rsidRPr="00EC250C">
        <w:t>4. Ekstradycja jest zakazana, jeżeli dotyczy osoby podejrzanej</w:t>
      </w:r>
      <w:r w:rsidR="00992FD0" w:rsidRPr="00EC250C">
        <w:t xml:space="preserve"> o </w:t>
      </w:r>
      <w:r w:rsidRPr="00EC250C">
        <w:t>popełnienie bez użycia przemocy przestępstwa</w:t>
      </w:r>
      <w:r w:rsidR="00992FD0" w:rsidRPr="00EC250C">
        <w:t xml:space="preserve"> z </w:t>
      </w:r>
      <w:r w:rsidRPr="00EC250C">
        <w:t>przyczyn politycznych lub jej dokonanie będzie naruszać wolności</w:t>
      </w:r>
      <w:r w:rsidR="00992FD0" w:rsidRPr="00EC250C">
        <w:t xml:space="preserve"> i </w:t>
      </w:r>
      <w:r w:rsidRPr="00EC250C">
        <w:t>prawa człowieka</w:t>
      </w:r>
      <w:r w:rsidR="00992FD0" w:rsidRPr="00EC250C">
        <w:t xml:space="preserve"> i </w:t>
      </w:r>
      <w:r w:rsidRPr="00EC250C">
        <w:t>obywatela.</w:t>
      </w:r>
    </w:p>
    <w:p w14:paraId="2D586252" w14:textId="77777777" w:rsidR="004C52F3" w:rsidRPr="00EC250C" w:rsidRDefault="004C52F3" w:rsidP="00D131FA">
      <w:pPr>
        <w:pStyle w:val="konstytucja"/>
        <w:spacing w:beforeLines="120" w:before="288" w:afterLines="120" w:after="288"/>
        <w:jc w:val="both"/>
      </w:pPr>
      <w:r w:rsidRPr="00EC250C">
        <w:t>5. W sprawie dopuszczalności ekstradycji orzeka sąd.</w:t>
      </w:r>
    </w:p>
    <w:p w14:paraId="32C0A128" w14:textId="77777777" w:rsidR="00CA5C80" w:rsidRPr="00EC250C" w:rsidRDefault="00161099" w:rsidP="00D131FA">
      <w:pPr>
        <w:pStyle w:val="ComwiKonstytucja"/>
      </w:pPr>
      <w:r w:rsidRPr="00EC250C">
        <w:t>Ekstradycja to wydanie władzom innego państwa osoby podejrzanej</w:t>
      </w:r>
      <w:r w:rsidR="00992FD0" w:rsidRPr="00EC250C">
        <w:t xml:space="preserve"> o </w:t>
      </w:r>
      <w:r w:rsidRPr="00EC250C">
        <w:t>popełnienie przestępstwa lub skazanej,</w:t>
      </w:r>
      <w:r w:rsidR="00992FD0" w:rsidRPr="00EC250C">
        <w:t xml:space="preserve"> w </w:t>
      </w:r>
      <w:r w:rsidRPr="00EC250C">
        <w:t>celu pociągnięcia tej osoby do odpowiedzialności karnej lub wykonania kary. Mianem ekstradycji określa się także przekazanie na podstawie Europejskiego Nakazu Aresztowania (ENA)</w:t>
      </w:r>
      <w:r w:rsidR="00992FD0" w:rsidRPr="00EC250C">
        <w:t xml:space="preserve"> i </w:t>
      </w:r>
      <w:r w:rsidRPr="00EC250C">
        <w:t>przekazanie na podstawie Statutu Międzynarodowego Trybunału Karnego. Artykuł ten został doprecyzowany</w:t>
      </w:r>
      <w:r w:rsidR="00992FD0" w:rsidRPr="00EC250C">
        <w:t xml:space="preserve"> w </w:t>
      </w:r>
      <w:r w:rsidRPr="00EC250C">
        <w:t>2006</w:t>
      </w:r>
      <w:r w:rsidR="00C91F6E" w:rsidRPr="00EC250C">
        <w:t> r.</w:t>
      </w:r>
      <w:r w:rsidR="00EE09AA" w:rsidRPr="00EC250C">
        <w:t>\</w:t>
      </w:r>
    </w:p>
    <w:p w14:paraId="22F34C4E" w14:textId="77777777" w:rsidR="00EE09AA" w:rsidRPr="00EC250C" w:rsidRDefault="00EE09AA" w:rsidP="00D131FA">
      <w:pPr>
        <w:pStyle w:val="ComwiKonstytucja"/>
      </w:pPr>
    </w:p>
    <w:p w14:paraId="6AC31ED4" w14:textId="4AC5C18D" w:rsidR="00C91F6E" w:rsidRPr="00EC250C" w:rsidRDefault="00D20D4F" w:rsidP="00D131FA">
      <w:pPr>
        <w:pStyle w:val="Styl1"/>
      </w:pPr>
      <w:r w:rsidRPr="00EC250C">
        <w:lastRenderedPageBreak/>
        <w:t xml:space="preserve">RPO </w:t>
      </w:r>
      <w:r w:rsidR="0009564F" w:rsidRPr="00EC250C">
        <w:t xml:space="preserve">nie otrzymał skarg polskich obywateli – dostaje za to </w:t>
      </w:r>
      <w:r w:rsidR="00883234" w:rsidRPr="00EC250C">
        <w:t>liczne wnioski</w:t>
      </w:r>
      <w:r w:rsidR="00992FD0" w:rsidRPr="00EC250C">
        <w:t xml:space="preserve"> w </w:t>
      </w:r>
      <w:r w:rsidR="00883234" w:rsidRPr="00EC250C">
        <w:t>sprawach ekstradycyjnych</w:t>
      </w:r>
      <w:r w:rsidR="00992FD0" w:rsidRPr="00EC250C">
        <w:t xml:space="preserve"> z </w:t>
      </w:r>
      <w:r w:rsidR="0009564F" w:rsidRPr="00EC250C">
        <w:t>Polski</w:t>
      </w:r>
      <w:r w:rsidR="00992FD0" w:rsidRPr="00EC250C">
        <w:t xml:space="preserve"> a </w:t>
      </w:r>
      <w:r w:rsidR="0009564F" w:rsidRPr="00EC250C">
        <w:t>dotyczących obywateli innych państw. K</w:t>
      </w:r>
      <w:r w:rsidR="00883234" w:rsidRPr="00EC250C">
        <w:t>westionują</w:t>
      </w:r>
      <w:r w:rsidR="0009564F" w:rsidRPr="00EC250C">
        <w:t xml:space="preserve"> one </w:t>
      </w:r>
      <w:r w:rsidR="00883234" w:rsidRPr="00EC250C">
        <w:t xml:space="preserve">prawomocne orzeczenie </w:t>
      </w:r>
      <w:r w:rsidR="0009564F" w:rsidRPr="00EC250C">
        <w:t xml:space="preserve">polskich sądów </w:t>
      </w:r>
      <w:r w:rsidR="00883234" w:rsidRPr="00EC250C">
        <w:t>dotyczące dopuszczalności wydania. Sprawy te są badane pod kątem możliwości wniesienia kasacji do Sądu Najwyższego. Kasacje wnoszone</w:t>
      </w:r>
      <w:r w:rsidR="00992FD0" w:rsidRPr="00EC250C">
        <w:t xml:space="preserve"> w </w:t>
      </w:r>
      <w:r w:rsidR="00883234" w:rsidRPr="00EC250C">
        <w:t xml:space="preserve">tych sprawach przez </w:t>
      </w:r>
      <w:r w:rsidRPr="00EC250C">
        <w:t xml:space="preserve">RPO </w:t>
      </w:r>
      <w:r w:rsidR="00883234" w:rsidRPr="00EC250C">
        <w:t>opierają się przede wszystkim na zarzutach niedostatecznego wyjaśnienia przez sąd orzekający</w:t>
      </w:r>
      <w:r w:rsidR="00992FD0" w:rsidRPr="00EC250C">
        <w:t xml:space="preserve"> o </w:t>
      </w:r>
      <w:r w:rsidR="00883234" w:rsidRPr="00EC250C">
        <w:t>dopuszczalności ekstradycji, czy</w:t>
      </w:r>
      <w:r w:rsidR="00992FD0" w:rsidRPr="00EC250C">
        <w:t xml:space="preserve"> w </w:t>
      </w:r>
      <w:r w:rsidR="00883234" w:rsidRPr="00EC250C">
        <w:t>jej wyniku nie dojdzie do naruszenia praw jednostki.</w:t>
      </w:r>
    </w:p>
    <w:p w14:paraId="1F9F1F1B" w14:textId="53C6E4B7" w:rsidR="00DB67D0" w:rsidRPr="00EC250C" w:rsidRDefault="00DB67D0" w:rsidP="00DB67D0">
      <w:pPr>
        <w:pStyle w:val="ODESANIE"/>
      </w:pPr>
      <w:r w:rsidRPr="00EC250C">
        <w:t>Zobacz opis kasacji w sprawie wydania obywatela Ukrainy Rosji, opisany w kontekście art. 37 Konstytucji</w:t>
      </w:r>
    </w:p>
    <w:p w14:paraId="5A82AAB1" w14:textId="77777777" w:rsidR="009829A9" w:rsidRPr="00EC250C" w:rsidRDefault="009829A9" w:rsidP="00D131FA">
      <w:pPr>
        <w:spacing w:after="200" w:line="24" w:lineRule="auto"/>
        <w:jc w:val="both"/>
        <w:rPr>
          <w:rFonts w:cs="Arial"/>
          <w:bCs/>
          <w:color w:val="000000"/>
          <w:sz w:val="22"/>
          <w:szCs w:val="22"/>
        </w:rPr>
      </w:pPr>
      <w:r w:rsidRPr="00EC250C">
        <w:rPr>
          <w:rFonts w:cs="Arial"/>
          <w:bCs/>
          <w:color w:val="000000"/>
          <w:sz w:val="22"/>
          <w:szCs w:val="22"/>
        </w:rPr>
        <w:br w:type="page"/>
      </w:r>
    </w:p>
    <w:p w14:paraId="61DB35EB" w14:textId="77777777" w:rsidR="00C91F6E" w:rsidRPr="00EC250C" w:rsidRDefault="00187708" w:rsidP="00EC250C">
      <w:pPr>
        <w:pStyle w:val="Nagwek3"/>
      </w:pPr>
      <w:bookmarkStart w:id="338" w:name="_Toc6257789"/>
      <w:bookmarkStart w:id="339" w:name="_Toc11247668"/>
      <w:r w:rsidRPr="00EC250C">
        <w:lastRenderedPageBreak/>
        <w:t xml:space="preserve">Art. 56 </w:t>
      </w:r>
      <w:r w:rsidR="006302BF" w:rsidRPr="00EC250C">
        <w:t xml:space="preserve">Konstytucji </w:t>
      </w:r>
      <w:r w:rsidRPr="00EC250C">
        <w:t>– Prawo do azylu oraz status uchodźcy</w:t>
      </w:r>
      <w:bookmarkEnd w:id="338"/>
      <w:bookmarkEnd w:id="339"/>
    </w:p>
    <w:p w14:paraId="31B06E9C" w14:textId="77777777" w:rsidR="00187708" w:rsidRPr="00EC250C" w:rsidRDefault="00187708" w:rsidP="00D131FA">
      <w:pPr>
        <w:pStyle w:val="konstytucja"/>
        <w:jc w:val="both"/>
      </w:pPr>
      <w:r w:rsidRPr="00EC250C">
        <w:t>1. Cudzoziemcy mogą korzystać</w:t>
      </w:r>
      <w:r w:rsidR="00992FD0" w:rsidRPr="00EC250C">
        <w:t xml:space="preserve"> z </w:t>
      </w:r>
      <w:r w:rsidRPr="00EC250C">
        <w:t>prawa azylu</w:t>
      </w:r>
      <w:r w:rsidR="00992FD0" w:rsidRPr="00EC250C">
        <w:t xml:space="preserve"> w </w:t>
      </w:r>
      <w:r w:rsidRPr="00EC250C">
        <w:t>Rzeczypospolitej Polskiej na zasadach określonych</w:t>
      </w:r>
      <w:r w:rsidR="00992FD0" w:rsidRPr="00EC250C">
        <w:t xml:space="preserve"> w </w:t>
      </w:r>
      <w:r w:rsidRPr="00EC250C">
        <w:t>ustawie.</w:t>
      </w:r>
    </w:p>
    <w:p w14:paraId="58902246" w14:textId="77777777" w:rsidR="00187708" w:rsidRPr="00EC250C" w:rsidRDefault="00187708" w:rsidP="00D131FA">
      <w:pPr>
        <w:pStyle w:val="konstytucja"/>
        <w:jc w:val="both"/>
      </w:pPr>
      <w:r w:rsidRPr="00EC250C">
        <w:t>2. Cudzoziemcowi, który</w:t>
      </w:r>
      <w:r w:rsidR="00992FD0" w:rsidRPr="00EC250C">
        <w:t xml:space="preserve"> w </w:t>
      </w:r>
      <w:r w:rsidRPr="00EC250C">
        <w:t>Rzeczypospolitej Polskiej poszukuje ochrony przed prześladowaniem, może być przyznany status uchodźcy zgodnie</w:t>
      </w:r>
      <w:r w:rsidR="00992FD0" w:rsidRPr="00EC250C">
        <w:t xml:space="preserve"> z </w:t>
      </w:r>
      <w:r w:rsidRPr="00EC250C">
        <w:t>wiążącymi Rzeczpospolitą Polską umowami międzynarodowymi.</w:t>
      </w:r>
    </w:p>
    <w:p w14:paraId="2C7FBBD6" w14:textId="77777777" w:rsidR="00187708" w:rsidRPr="00EC250C" w:rsidRDefault="00187708" w:rsidP="00D131FA">
      <w:pPr>
        <w:pStyle w:val="ComwiKonstytucja"/>
      </w:pPr>
      <w:r w:rsidRPr="00EC250C">
        <w:t>Status azylanta lub uchodźcy mogą uzyskać jedynie cudzoziemcy (obywatele innych państw lub bezpaństwowcy). Osoby te znajdują się pod władzą Rzeczypospolitej</w:t>
      </w:r>
      <w:r w:rsidR="00992FD0" w:rsidRPr="00EC250C">
        <w:t xml:space="preserve"> i z </w:t>
      </w:r>
      <w:r w:rsidRPr="00EC250C">
        <w:t>tego powodu korzystają</w:t>
      </w:r>
      <w:r w:rsidR="00992FD0" w:rsidRPr="00EC250C">
        <w:t xml:space="preserve"> z </w:t>
      </w:r>
      <w:r w:rsidRPr="00EC250C">
        <w:t>praw</w:t>
      </w:r>
      <w:r w:rsidR="00992FD0" w:rsidRPr="00EC250C">
        <w:t xml:space="preserve"> i </w:t>
      </w:r>
      <w:r w:rsidRPr="00EC250C">
        <w:t>wolności zapewnionych</w:t>
      </w:r>
      <w:r w:rsidR="00992FD0" w:rsidRPr="00EC250C">
        <w:t xml:space="preserve"> w </w:t>
      </w:r>
      <w:r w:rsidRPr="00EC250C">
        <w:t>Konstytucji. Statusu azylanta lub uchodźcy nie uzyskuje się automatycznie, należy się</w:t>
      </w:r>
      <w:r w:rsidR="00992FD0" w:rsidRPr="00EC250C">
        <w:t xml:space="preserve"> o </w:t>
      </w:r>
      <w:r w:rsidRPr="00EC250C">
        <w:t>niego ubiegać przed organami państwa (powody</w:t>
      </w:r>
      <w:r w:rsidR="00992FD0" w:rsidRPr="00EC250C">
        <w:t xml:space="preserve"> i </w:t>
      </w:r>
      <w:r w:rsidRPr="00EC250C">
        <w:t>procedurę – która musi być również zgodna</w:t>
      </w:r>
      <w:r w:rsidR="00992FD0" w:rsidRPr="00EC250C">
        <w:t xml:space="preserve"> z </w:t>
      </w:r>
      <w:r w:rsidRPr="00EC250C">
        <w:t>zasadami konstytucyjnymi – określa ustawa lub umowa międzynarodowa).</w:t>
      </w:r>
    </w:p>
    <w:p w14:paraId="3B55C381" w14:textId="77777777" w:rsidR="00EE09AA" w:rsidRPr="00EC250C" w:rsidRDefault="00EE09AA" w:rsidP="00D131FA">
      <w:pPr>
        <w:pStyle w:val="ComwiKonstytucja"/>
      </w:pPr>
    </w:p>
    <w:p w14:paraId="6439FFA2" w14:textId="77777777" w:rsidR="00187708" w:rsidRPr="00EC250C" w:rsidRDefault="00187708" w:rsidP="00D131FA">
      <w:pPr>
        <w:spacing w:after="200" w:line="24" w:lineRule="auto"/>
        <w:jc w:val="both"/>
        <w:rPr>
          <w:i/>
          <w:spacing w:val="5"/>
          <w:sz w:val="22"/>
        </w:rPr>
      </w:pPr>
      <w:r w:rsidRPr="00EC250C">
        <w:rPr>
          <w:sz w:val="24"/>
        </w:rPr>
        <w:br w:type="page"/>
      </w:r>
    </w:p>
    <w:p w14:paraId="2010C68A" w14:textId="77777777" w:rsidR="00C91F6E" w:rsidRPr="00EC250C" w:rsidRDefault="000B6141" w:rsidP="00EC79EB">
      <w:pPr>
        <w:pStyle w:val="Nagwek4"/>
      </w:pPr>
      <w:bookmarkStart w:id="340" w:name="_Toc6257790"/>
      <w:bookmarkStart w:id="341" w:name="_Toc11247669"/>
      <w:r w:rsidRPr="00EC250C">
        <w:lastRenderedPageBreak/>
        <w:t xml:space="preserve">Sposób traktowania </w:t>
      </w:r>
      <w:r w:rsidR="00187708" w:rsidRPr="00EC250C">
        <w:t>cudzoziemców na przejściu granicznym</w:t>
      </w:r>
      <w:r w:rsidR="00992FD0" w:rsidRPr="00EC250C">
        <w:t xml:space="preserve"> w </w:t>
      </w:r>
      <w:r w:rsidR="00187708" w:rsidRPr="00EC250C">
        <w:t>Terespolu</w:t>
      </w:r>
      <w:bookmarkEnd w:id="340"/>
      <w:bookmarkEnd w:id="341"/>
    </w:p>
    <w:p w14:paraId="3E9D6A0F" w14:textId="77777777" w:rsidR="00B473F5" w:rsidRPr="00EC250C" w:rsidRDefault="00DD4C93" w:rsidP="00D131FA">
      <w:pPr>
        <w:pStyle w:val="Problemczowieka"/>
        <w:jc w:val="both"/>
      </w:pPr>
      <w:r w:rsidRPr="00EC250C">
        <w:t xml:space="preserve">Do Rzecznika </w:t>
      </w:r>
      <w:r w:rsidR="00D20D4F" w:rsidRPr="00EC250C">
        <w:t xml:space="preserve">Praw Obywatelskich </w:t>
      </w:r>
      <w:r w:rsidRPr="00EC250C">
        <w:t>stale docierają informacje</w:t>
      </w:r>
      <w:r w:rsidR="00992FD0" w:rsidRPr="00EC250C">
        <w:t xml:space="preserve"> o </w:t>
      </w:r>
      <w:r w:rsidRPr="00EC250C">
        <w:t xml:space="preserve">przypadkach niewpuszczania na terytorium Polski cudzoziemców, którzy </w:t>
      </w:r>
      <w:r w:rsidR="003A37B1" w:rsidRPr="00EC250C">
        <w:t xml:space="preserve">nie mają </w:t>
      </w:r>
      <w:r w:rsidRPr="00EC250C">
        <w:t>dokument</w:t>
      </w:r>
      <w:r w:rsidR="003A37B1" w:rsidRPr="00EC250C">
        <w:t>ów</w:t>
      </w:r>
      <w:r w:rsidRPr="00EC250C">
        <w:t xml:space="preserve"> uprawniający</w:t>
      </w:r>
      <w:r w:rsidR="003A37B1" w:rsidRPr="00EC250C">
        <w:t>ch</w:t>
      </w:r>
      <w:r w:rsidRPr="00EC250C">
        <w:t xml:space="preserve"> do przekroczenia granicy, ale deklarują zamiar ubiegania się</w:t>
      </w:r>
      <w:r w:rsidR="00992FD0" w:rsidRPr="00EC250C">
        <w:t xml:space="preserve"> w </w:t>
      </w:r>
      <w:r w:rsidRPr="00EC250C">
        <w:t>Polsce</w:t>
      </w:r>
      <w:r w:rsidR="00992FD0" w:rsidRPr="00EC250C">
        <w:t xml:space="preserve"> o </w:t>
      </w:r>
      <w:r w:rsidRPr="00EC250C">
        <w:t>ochronę międzynarodową. W</w:t>
      </w:r>
      <w:r w:rsidR="003A37B1" w:rsidRPr="00EC250C">
        <w:t> </w:t>
      </w:r>
      <w:r w:rsidRPr="00EC250C">
        <w:t>konsekwencji cudzoziemcom odmawia się prawa wjazdu</w:t>
      </w:r>
      <w:r w:rsidR="00992FD0" w:rsidRPr="00EC250C">
        <w:t xml:space="preserve"> i </w:t>
      </w:r>
      <w:r w:rsidRPr="00EC250C">
        <w:t>odsyła na terytorium państwa,</w:t>
      </w:r>
      <w:r w:rsidR="00992FD0" w:rsidRPr="00EC250C">
        <w:t xml:space="preserve"> z </w:t>
      </w:r>
      <w:r w:rsidRPr="00EC250C">
        <w:t>którego usiłowali wjechać do Polski</w:t>
      </w:r>
      <w:r w:rsidR="00B473F5" w:rsidRPr="00EC250C">
        <w:t>.</w:t>
      </w:r>
    </w:p>
    <w:p w14:paraId="37FA97B1" w14:textId="77777777" w:rsidR="00DD4C93" w:rsidRPr="00EC250C" w:rsidRDefault="00DD4C93" w:rsidP="00D131FA">
      <w:pPr>
        <w:pStyle w:val="Styl1"/>
      </w:pPr>
      <w:r w:rsidRPr="00EC250C">
        <w:t>Większość skarg kierowanych do Rzecznika</w:t>
      </w:r>
      <w:r w:rsidR="00992FD0" w:rsidRPr="00EC250C">
        <w:t xml:space="preserve"> w </w:t>
      </w:r>
      <w:r w:rsidRPr="00EC250C">
        <w:t>tego typu sprawach dotyczy kolejowego przejścia granicznego pomiędzy Polską</w:t>
      </w:r>
      <w:r w:rsidR="00992FD0" w:rsidRPr="00EC250C">
        <w:t xml:space="preserve"> i </w:t>
      </w:r>
      <w:r w:rsidRPr="00EC250C">
        <w:t>Białorusią</w:t>
      </w:r>
      <w:r w:rsidR="00992FD0" w:rsidRPr="00EC250C">
        <w:t xml:space="preserve"> w </w:t>
      </w:r>
      <w:r w:rsidRPr="00EC250C">
        <w:t>Terespolu. Do Biura RPO wpłynął też apel organizacji pozarządowych</w:t>
      </w:r>
      <w:r w:rsidR="005630F8" w:rsidRPr="00EC250C">
        <w:rPr>
          <w:rStyle w:val="Odwoanieprzypisudolnego"/>
        </w:rPr>
        <w:footnoteReference w:id="334"/>
      </w:r>
      <w:r w:rsidR="00992FD0" w:rsidRPr="00EC250C">
        <w:t xml:space="preserve"> o </w:t>
      </w:r>
      <w:r w:rsidRPr="00EC250C">
        <w:t>podjęcie działań zmierzających do zapewnienia cudzoziemcom przystępującym do odprawy granicznej</w:t>
      </w:r>
      <w:r w:rsidR="00992FD0" w:rsidRPr="00EC250C">
        <w:t xml:space="preserve"> w </w:t>
      </w:r>
      <w:r w:rsidRPr="00EC250C">
        <w:t>Terespolu, zgłaszającym obawy przed prześladowaniami</w:t>
      </w:r>
      <w:r w:rsidR="00992FD0" w:rsidRPr="00EC250C">
        <w:t xml:space="preserve"> w </w:t>
      </w:r>
      <w:r w:rsidRPr="00EC250C">
        <w:t>kraju pochodzenia, dostępu do procedury przyznania ochrony międzynarodowej na terytorium Polski. W związku</w:t>
      </w:r>
      <w:r w:rsidR="00992FD0" w:rsidRPr="00EC250C">
        <w:t xml:space="preserve"> z </w:t>
      </w:r>
      <w:r w:rsidRPr="00EC250C">
        <w:t xml:space="preserve">tym </w:t>
      </w:r>
      <w:r w:rsidR="00D20D4F" w:rsidRPr="00EC250C">
        <w:t xml:space="preserve">RPO </w:t>
      </w:r>
      <w:r w:rsidRPr="00EC250C">
        <w:t>zwrócił się do Komendanta Głównego Straży Granicznej</w:t>
      </w:r>
      <w:r w:rsidR="005630F8" w:rsidRPr="00EC250C">
        <w:rPr>
          <w:rStyle w:val="Odwoanieprzypisudolnego"/>
          <w:bCs/>
          <w:iCs/>
        </w:rPr>
        <w:footnoteReference w:id="335"/>
      </w:r>
      <w:r w:rsidR="00992FD0" w:rsidRPr="00EC250C">
        <w:t xml:space="preserve"> z </w:t>
      </w:r>
      <w:r w:rsidRPr="00EC250C">
        <w:t>prośbą</w:t>
      </w:r>
      <w:r w:rsidR="00992FD0" w:rsidRPr="00EC250C">
        <w:t xml:space="preserve"> o </w:t>
      </w:r>
      <w:r w:rsidRPr="00EC250C">
        <w:t>wyjaśnienie, jakie działania zostały dotychczas podjęte,</w:t>
      </w:r>
      <w:r w:rsidR="00992FD0" w:rsidRPr="00EC250C">
        <w:t xml:space="preserve"> a </w:t>
      </w:r>
      <w:r w:rsidRPr="00EC250C">
        <w:t>jakie są planowane przez jednostki Straży Granicznej</w:t>
      </w:r>
      <w:r w:rsidR="00992FD0" w:rsidRPr="00EC250C">
        <w:t xml:space="preserve"> w </w:t>
      </w:r>
      <w:r w:rsidRPr="00EC250C">
        <w:t>związku</w:t>
      </w:r>
      <w:r w:rsidR="00992FD0" w:rsidRPr="00EC250C">
        <w:t xml:space="preserve"> z </w:t>
      </w:r>
      <w:r w:rsidRPr="00EC250C">
        <w:t>apelem organizacji pozarządowych. Poprosił m.in.</w:t>
      </w:r>
      <w:r w:rsidR="00992FD0" w:rsidRPr="00EC250C">
        <w:t xml:space="preserve"> o </w:t>
      </w:r>
      <w:r w:rsidRPr="00EC250C">
        <w:t>wskazanie, czy zgodnie</w:t>
      </w:r>
      <w:r w:rsidR="00992FD0" w:rsidRPr="00EC250C">
        <w:t xml:space="preserve"> z </w:t>
      </w:r>
      <w:r w:rsidRPr="00EC250C">
        <w:t>sugestią autorów apelu na przejściu granicznym</w:t>
      </w:r>
      <w:r w:rsidR="00992FD0" w:rsidRPr="00EC250C">
        <w:t xml:space="preserve"> w </w:t>
      </w:r>
      <w:r w:rsidRPr="00EC250C">
        <w:t>Terespolu przeprowadzona zostanie stosowna kontrola,</w:t>
      </w:r>
      <w:r w:rsidR="00992FD0" w:rsidRPr="00EC250C">
        <w:t xml:space="preserve"> a </w:t>
      </w:r>
      <w:r w:rsidRPr="00EC250C">
        <w:t>także</w:t>
      </w:r>
      <w:r w:rsidR="00992FD0" w:rsidRPr="00EC250C">
        <w:t xml:space="preserve"> o </w:t>
      </w:r>
      <w:r w:rsidRPr="00EC250C">
        <w:t>informację na temat aktualnej sytuacji panującej na przejściu granicznym.</w:t>
      </w:r>
    </w:p>
    <w:p w14:paraId="239A3DC4" w14:textId="77777777" w:rsidR="00DD4C93" w:rsidRPr="00EC250C" w:rsidRDefault="00DD4C93" w:rsidP="00D131FA">
      <w:pPr>
        <w:pStyle w:val="Styl1"/>
      </w:pPr>
      <w:r w:rsidRPr="00EC250C">
        <w:t>W odpowiedzi Komendant zapewnił, że warunki,</w:t>
      </w:r>
      <w:r w:rsidR="00992FD0" w:rsidRPr="00EC250C">
        <w:t xml:space="preserve"> w </w:t>
      </w:r>
      <w:r w:rsidRPr="00EC250C">
        <w:t>jakich dokonywane są czynności weryfikacyjne na drugiej linii kontroli granicznej na przejściu</w:t>
      </w:r>
      <w:r w:rsidR="00992FD0" w:rsidRPr="00EC250C">
        <w:t xml:space="preserve"> w </w:t>
      </w:r>
      <w:r w:rsidRPr="00EC250C">
        <w:t>Terespolu uległy znacznej poprawie od czasu wizytacji pracowników Biura RPO, przeprowadzonej</w:t>
      </w:r>
      <w:r w:rsidR="00992FD0" w:rsidRPr="00EC250C">
        <w:t xml:space="preserve"> w </w:t>
      </w:r>
      <w:r w:rsidRPr="00EC250C">
        <w:t>sierpniu 2016</w:t>
      </w:r>
      <w:r w:rsidR="00C91F6E" w:rsidRPr="00EC250C">
        <w:t> r.</w:t>
      </w:r>
      <w:r w:rsidRPr="00EC250C">
        <w:t xml:space="preserve"> Podkreślił także, że prowadzone są szkolenia</w:t>
      </w:r>
      <w:r w:rsidR="00992FD0" w:rsidRPr="00EC250C">
        <w:t xml:space="preserve"> z </w:t>
      </w:r>
      <w:r w:rsidRPr="00EC250C">
        <w:t>udziałem ekspertów zewnętrznych, mające na celu uwrażliwianie funkcjonariuszy na wszelkie oznaki wskazujące na poszukiwanie przez cudzoziemca ochrony międzynarodowej: zarówno na symptomy werbalne, jak</w:t>
      </w:r>
      <w:r w:rsidR="00992FD0" w:rsidRPr="00EC250C">
        <w:t xml:space="preserve"> i </w:t>
      </w:r>
      <w:r w:rsidRPr="00EC250C">
        <w:t>zachowania niewerbalne. Ww. szkolenia kierowane są również do personelu medycznego</w:t>
      </w:r>
      <w:r w:rsidR="00992FD0" w:rsidRPr="00EC250C">
        <w:t xml:space="preserve"> i </w:t>
      </w:r>
      <w:r w:rsidRPr="00EC250C">
        <w:t>obejmują elementy związane ze stosowaniem wskazówek zawartych</w:t>
      </w:r>
      <w:r w:rsidR="00992FD0" w:rsidRPr="00EC250C">
        <w:t xml:space="preserve"> w </w:t>
      </w:r>
      <w:r w:rsidRPr="00EC250C">
        <w:t>Protokole Stambulskim.</w:t>
      </w:r>
    </w:p>
    <w:p w14:paraId="6F404139" w14:textId="77777777" w:rsidR="00DD4C93" w:rsidRPr="00EC250C" w:rsidRDefault="00DD4C93" w:rsidP="00D131FA">
      <w:pPr>
        <w:pStyle w:val="Styl1"/>
      </w:pPr>
      <w:r w:rsidRPr="00EC250C">
        <w:t>W wystąpieniu do Ministra Spraw Wewnętrznych</w:t>
      </w:r>
      <w:r w:rsidR="00992FD0" w:rsidRPr="00EC250C">
        <w:t xml:space="preserve"> i </w:t>
      </w:r>
      <w:r w:rsidRPr="00EC250C">
        <w:t xml:space="preserve">Administracji </w:t>
      </w:r>
      <w:r w:rsidR="00D20D4F" w:rsidRPr="00EC250C">
        <w:t>RPO</w:t>
      </w:r>
      <w:r w:rsidRPr="00EC250C">
        <w:t xml:space="preserve"> przedstawił wyniki wizytacji przeprowadzonej</w:t>
      </w:r>
      <w:r w:rsidR="00992FD0" w:rsidRPr="00EC250C">
        <w:t xml:space="preserve"> w </w:t>
      </w:r>
      <w:r w:rsidRPr="00EC250C">
        <w:t>dniu 15 maja 2018</w:t>
      </w:r>
      <w:r w:rsidR="00C91F6E" w:rsidRPr="00EC250C">
        <w:t> r.</w:t>
      </w:r>
      <w:r w:rsidRPr="00EC250C">
        <w:t xml:space="preserve"> na kolejowym przejściu granicznym</w:t>
      </w:r>
      <w:r w:rsidR="00992FD0" w:rsidRPr="00EC250C">
        <w:t xml:space="preserve"> w </w:t>
      </w:r>
      <w:r w:rsidRPr="00EC250C">
        <w:t>Terespolu. Po raz kolejny zwrócono uwagę na kluczowy moment odprawy granicznej, jakim jest rozmowa</w:t>
      </w:r>
      <w:r w:rsidR="00992FD0" w:rsidRPr="00EC250C">
        <w:t xml:space="preserve"> z </w:t>
      </w:r>
      <w:r w:rsidRPr="00EC250C">
        <w:t>cudzoziemcem prowadzona przez funkcjonariuszy</w:t>
      </w:r>
      <w:r w:rsidR="00992FD0" w:rsidRPr="00EC250C">
        <w:t xml:space="preserve"> w </w:t>
      </w:r>
      <w:r w:rsidRPr="00EC250C">
        <w:t>ramach tzw. kontroli drugiej linii. To podczas tej rozmowy cudzoziemiec ma</w:t>
      </w:r>
      <w:r w:rsidR="00992FD0" w:rsidRPr="00EC250C">
        <w:t xml:space="preserve"> w </w:t>
      </w:r>
      <w:r w:rsidRPr="00EC250C">
        <w:t>zasadzie jedyną szansę na złożenie deklaracji</w:t>
      </w:r>
      <w:r w:rsidR="00992FD0" w:rsidRPr="00EC250C">
        <w:t xml:space="preserve"> o </w:t>
      </w:r>
      <w:r w:rsidRPr="00EC250C">
        <w:t>zamiarze ubiegania się</w:t>
      </w:r>
      <w:r w:rsidR="00992FD0" w:rsidRPr="00EC250C">
        <w:t xml:space="preserve"> w </w:t>
      </w:r>
      <w:r w:rsidRPr="00EC250C">
        <w:t>Polsce</w:t>
      </w:r>
      <w:r w:rsidR="00992FD0" w:rsidRPr="00EC250C">
        <w:t xml:space="preserve"> o </w:t>
      </w:r>
      <w:r w:rsidRPr="00EC250C">
        <w:t>ochronę międzynarodową,</w:t>
      </w:r>
      <w:r w:rsidR="00992FD0" w:rsidRPr="00EC250C">
        <w:t xml:space="preserve"> a </w:t>
      </w:r>
      <w:r w:rsidRPr="00EC250C">
        <w:t xml:space="preserve">to, jakie informacje przekaże </w:t>
      </w:r>
      <w:r w:rsidRPr="00EC250C">
        <w:lastRenderedPageBreak/>
        <w:t>funkcjonariuszowi,</w:t>
      </w:r>
      <w:r w:rsidR="00992FD0" w:rsidRPr="00EC250C">
        <w:t xml:space="preserve"> a </w:t>
      </w:r>
      <w:r w:rsidRPr="00EC250C">
        <w:t>przede wszystkim jak zostaną one przez funkcjonariusza potraktowane</w:t>
      </w:r>
      <w:r w:rsidR="00992FD0" w:rsidRPr="00EC250C">
        <w:t xml:space="preserve"> i </w:t>
      </w:r>
      <w:r w:rsidRPr="00EC250C">
        <w:t>czy zostaną właściwie odnotowane, ma istotny wpływ na ewentualne skorzystanie przez cudzoziemca</w:t>
      </w:r>
      <w:r w:rsidR="00992FD0" w:rsidRPr="00EC250C">
        <w:t xml:space="preserve"> z </w:t>
      </w:r>
      <w:r w:rsidRPr="00EC250C">
        <w:t>konstytucyjnego prawa do złożenia wniosku</w:t>
      </w:r>
      <w:r w:rsidR="00992FD0" w:rsidRPr="00EC250C">
        <w:t xml:space="preserve"> o </w:t>
      </w:r>
      <w:r w:rsidRPr="00EC250C">
        <w:t>ochronę. Obecnie ten ważny etap odprawy granicznej dokumentowany jest wyłącznie</w:t>
      </w:r>
      <w:r w:rsidR="00992FD0" w:rsidRPr="00EC250C">
        <w:t xml:space="preserve"> w </w:t>
      </w:r>
      <w:r w:rsidRPr="00EC250C">
        <w:t>formie wewnętrznej notatki służbowej, której treść całkowicie zależy od funkcjonariusza prowadzącego odprawę</w:t>
      </w:r>
      <w:r w:rsidR="00992FD0" w:rsidRPr="00EC250C">
        <w:t xml:space="preserve"> i w </w:t>
      </w:r>
      <w:r w:rsidRPr="00EC250C">
        <w:t xml:space="preserve">żaden sposób nie może zostać zweryfikowana, ani przez samych cudzoziemców, ani nawet przez funkcjonariuszy SG sprawujących nadzór służbowy nad funkcjonowaniem przejścia granicznego. Dotychczasowe postulaty </w:t>
      </w:r>
      <w:r w:rsidR="00D20D4F" w:rsidRPr="00EC250C">
        <w:t>RPO</w:t>
      </w:r>
      <w:r w:rsidRPr="00EC250C">
        <w:t>, dotyczące wprowadzenia zasady protokołowania wspomnianych wyżej rozmów, ustalenia jednolitych formularzy protokołów, uwzględnienia</w:t>
      </w:r>
      <w:r w:rsidR="00992FD0" w:rsidRPr="00EC250C">
        <w:t xml:space="preserve"> w </w:t>
      </w:r>
      <w:r w:rsidRPr="00EC250C">
        <w:t>tych formularzach obligatoryjnego pytania</w:t>
      </w:r>
      <w:r w:rsidR="00992FD0" w:rsidRPr="00EC250C">
        <w:t xml:space="preserve"> o </w:t>
      </w:r>
      <w:r w:rsidRPr="00EC250C">
        <w:t>zamiar ubiegania się</w:t>
      </w:r>
      <w:r w:rsidR="00992FD0" w:rsidRPr="00EC250C">
        <w:t xml:space="preserve"> w </w:t>
      </w:r>
      <w:r w:rsidRPr="00EC250C">
        <w:t>Polsce</w:t>
      </w:r>
      <w:r w:rsidR="00992FD0" w:rsidRPr="00EC250C">
        <w:t xml:space="preserve"> o </w:t>
      </w:r>
      <w:r w:rsidRPr="00EC250C">
        <w:t>ochronę międzynarodową,</w:t>
      </w:r>
      <w:r w:rsidR="00992FD0" w:rsidRPr="00EC250C">
        <w:t xml:space="preserve"> a </w:t>
      </w:r>
      <w:r w:rsidRPr="00EC250C">
        <w:t>także wprowadzenia obowiązku odczytywania protokołów cudzoziemcom</w:t>
      </w:r>
      <w:r w:rsidR="00992FD0" w:rsidRPr="00EC250C">
        <w:t xml:space="preserve"> w </w:t>
      </w:r>
      <w:r w:rsidRPr="00EC250C">
        <w:t xml:space="preserve">języku dla nich zrozumiałym, pozostają aktualne. </w:t>
      </w:r>
      <w:r w:rsidR="00D20D4F" w:rsidRPr="00EC250C">
        <w:t>RPO</w:t>
      </w:r>
      <w:r w:rsidRPr="00EC250C">
        <w:t xml:space="preserve"> zwrócił się</w:t>
      </w:r>
      <w:r w:rsidR="00392799" w:rsidRPr="00EC250C">
        <w:t xml:space="preserve"> </w:t>
      </w:r>
      <w:r w:rsidRPr="00EC250C">
        <w:t>do Ministra Spraw Wewnętrznych</w:t>
      </w:r>
      <w:r w:rsidR="00992FD0" w:rsidRPr="00EC250C">
        <w:rPr>
          <w:bCs/>
          <w:iCs/>
        </w:rPr>
        <w:t xml:space="preserve"> i </w:t>
      </w:r>
      <w:r w:rsidRPr="00EC250C">
        <w:t>Administracji</w:t>
      </w:r>
      <w:r w:rsidR="005630F8" w:rsidRPr="00EC250C">
        <w:rPr>
          <w:rStyle w:val="Odwoanieprzypisudolnego"/>
          <w:bCs/>
          <w:iCs/>
        </w:rPr>
        <w:footnoteReference w:id="336"/>
      </w:r>
      <w:r w:rsidR="00992FD0" w:rsidRPr="00EC250C">
        <w:t xml:space="preserve"> z </w:t>
      </w:r>
      <w:r w:rsidRPr="00EC250C">
        <w:t>prośbą</w:t>
      </w:r>
      <w:r w:rsidR="00992FD0" w:rsidRPr="00EC250C">
        <w:t xml:space="preserve"> o </w:t>
      </w:r>
      <w:r w:rsidRPr="00EC250C">
        <w:t>podjęcie inicjatywy legislacyjnej koniecznej do wprowadzenia do obowiązującego porządku prawnego regulacji, które ustanowią zasadę protokołowania rozmów przeprowadzanych</w:t>
      </w:r>
      <w:r w:rsidR="00992FD0" w:rsidRPr="00EC250C">
        <w:t xml:space="preserve"> z </w:t>
      </w:r>
      <w:r w:rsidRPr="00EC250C">
        <w:t>cudzoziemcami,</w:t>
      </w:r>
      <w:r w:rsidR="00992FD0" w:rsidRPr="00EC250C">
        <w:t xml:space="preserve"> a </w:t>
      </w:r>
      <w:r w:rsidRPr="00EC250C">
        <w:t>także</w:t>
      </w:r>
      <w:r w:rsidR="00992FD0" w:rsidRPr="00EC250C">
        <w:t xml:space="preserve"> o </w:t>
      </w:r>
      <w:r w:rsidRPr="00EC250C">
        <w:t>ustosunkowanie się do przedstawionych uwag.</w:t>
      </w:r>
    </w:p>
    <w:p w14:paraId="0F130A51" w14:textId="77777777" w:rsidR="00DD4C93" w:rsidRPr="00EC250C" w:rsidRDefault="00DD4C93" w:rsidP="00D131FA">
      <w:pPr>
        <w:pStyle w:val="Styl1"/>
      </w:pPr>
      <w:r w:rsidRPr="00EC250C">
        <w:t>Minister wyjaśnił, że funkcjonariusze Straży Granicznej wykonują swoje obowiązki zgodnie</w:t>
      </w:r>
      <w:r w:rsidR="00992FD0" w:rsidRPr="00EC250C">
        <w:t xml:space="preserve"> z </w:t>
      </w:r>
      <w:r w:rsidRPr="00EC250C">
        <w:t>kompetencjami określonymi</w:t>
      </w:r>
      <w:r w:rsidR="00992FD0" w:rsidRPr="00EC250C">
        <w:t xml:space="preserve"> w </w:t>
      </w:r>
      <w:r w:rsidRPr="00EC250C">
        <w:t>ustawie</w:t>
      </w:r>
      <w:r w:rsidR="00992FD0" w:rsidRPr="00EC250C">
        <w:t xml:space="preserve"> o </w:t>
      </w:r>
      <w:r w:rsidRPr="00EC250C">
        <w:t>Straży Granicznej, natomiast nadzór Ministra Spraw Wewnętrznych</w:t>
      </w:r>
      <w:r w:rsidR="00992FD0" w:rsidRPr="00EC250C">
        <w:t xml:space="preserve"> i </w:t>
      </w:r>
      <w:r w:rsidRPr="00EC250C">
        <w:t xml:space="preserve">Administracji nad tą formacją dotyczy wyłącznie przestrzegania przez funkcjonariuszy SG obowiązujących przepisów prawa. Odnosząc się do postulatu </w:t>
      </w:r>
      <w:r w:rsidR="00D20D4F" w:rsidRPr="00EC250C">
        <w:t>RPO</w:t>
      </w:r>
      <w:r w:rsidRPr="00EC250C">
        <w:t xml:space="preserve"> dotyczącego wprowadzenia regulacji, które ustanowią zasadę protokołowania rozmów przeprowadzanych na drugiej linii kontroli granicznej, Minister zauważył, że etap kontroli granicznej, tzw. „druga linia”, polega na przeprowadzeniu zindywidualizowanej rozmowy</w:t>
      </w:r>
      <w:r w:rsidR="00992FD0" w:rsidRPr="00EC250C">
        <w:t xml:space="preserve"> z </w:t>
      </w:r>
      <w:r w:rsidRPr="00EC250C">
        <w:t>cudzoziemcem, efektem której jest uzyskanie wiedzy</w:t>
      </w:r>
      <w:r w:rsidR="00992FD0" w:rsidRPr="00EC250C">
        <w:t xml:space="preserve"> w </w:t>
      </w:r>
      <w:r w:rsidRPr="00EC250C">
        <w:t>zakresie powodów stawienia się przez niego</w:t>
      </w:r>
      <w:r w:rsidR="00992FD0" w:rsidRPr="00EC250C">
        <w:t xml:space="preserve"> w </w:t>
      </w:r>
      <w:r w:rsidRPr="00EC250C">
        <w:t>przejściu granicznym bez wymaganych dokumentów. W trakcie tej rozmowy funkcjonariusze SG ustalają również, czy zachodzą przesłanki do uznania cudzoziemca za osobę poszukującą ochrony międzynarodowej na terytorium RP. Omawiana procedura jest uregulowana wyłącznie</w:t>
      </w:r>
      <w:r w:rsidR="00992FD0" w:rsidRPr="00EC250C">
        <w:t xml:space="preserve"> w </w:t>
      </w:r>
      <w:r w:rsidRPr="00EC250C">
        <w:t>Kodeksie granicznym Schengen. Przepisy tego Kodeksu dotyczą jednakowo wszystkich państw obszaru Schengen, wobec czego muszą one być jednolicie przez nie stosowane. Dlatego,</w:t>
      </w:r>
      <w:r w:rsidR="00992FD0" w:rsidRPr="00EC250C">
        <w:t xml:space="preserve"> w </w:t>
      </w:r>
      <w:r w:rsidRPr="00EC250C">
        <w:t>ocenie Ministra, niedopuszczalne jest stosowanie przepisów prawa krajowego</w:t>
      </w:r>
      <w:r w:rsidR="00992FD0" w:rsidRPr="00EC250C">
        <w:t xml:space="preserve"> w </w:t>
      </w:r>
      <w:r w:rsidRPr="00EC250C">
        <w:t>zakresie szerszym niż wskazane jest</w:t>
      </w:r>
      <w:r w:rsidR="00992FD0" w:rsidRPr="00EC250C">
        <w:t xml:space="preserve"> </w:t>
      </w:r>
      <w:r w:rsidR="00152912" w:rsidRPr="00EC250C">
        <w:t>w Kodeksie granicznym Schengen</w:t>
      </w:r>
      <w:r w:rsidR="006632D6" w:rsidRPr="00EC250C">
        <w:rPr>
          <w:rStyle w:val="Odwoanieprzypisudolnego"/>
        </w:rPr>
        <w:footnoteReference w:id="337"/>
      </w:r>
      <w:r w:rsidR="00152912" w:rsidRPr="00EC250C">
        <w:t>.</w:t>
      </w:r>
    </w:p>
    <w:p w14:paraId="687F7A66" w14:textId="05E51234" w:rsidR="008F03F6" w:rsidRPr="00EC250C" w:rsidRDefault="008F03F6" w:rsidP="00EC250C">
      <w:pPr>
        <w:pStyle w:val="Nagwek8"/>
      </w:pPr>
      <w:r w:rsidRPr="00EC250C">
        <w:lastRenderedPageBreak/>
        <w:t>Raport Human Right</w:t>
      </w:r>
      <w:r w:rsidR="00DB67D0" w:rsidRPr="00EC250C">
        <w:t>s</w:t>
      </w:r>
      <w:r w:rsidRPr="00EC250C">
        <w:t xml:space="preserve"> Watch na temat sytuacji na przejściu w Terespolu</w:t>
      </w:r>
    </w:p>
    <w:p w14:paraId="7D878500" w14:textId="0B242D28" w:rsidR="008F03F6" w:rsidRPr="00EC250C" w:rsidRDefault="008F03F6" w:rsidP="00D131FA">
      <w:pPr>
        <w:pStyle w:val="Styl2"/>
        <w:rPr>
          <w:szCs w:val="24"/>
        </w:rPr>
      </w:pPr>
      <w:r w:rsidRPr="00EC250C">
        <w:rPr>
          <w:szCs w:val="24"/>
        </w:rPr>
        <w:t>Sytuacja na przejściu w Terespolu jest na tyle dramatyczna, że opinię światowa zaalarmowała w tej sprawie organizacja Human Right</w:t>
      </w:r>
      <w:r w:rsidR="00DB67D0" w:rsidRPr="00EC250C">
        <w:rPr>
          <w:szCs w:val="24"/>
        </w:rPr>
        <w:t>s</w:t>
      </w:r>
      <w:r w:rsidRPr="00EC250C">
        <w:rPr>
          <w:szCs w:val="24"/>
        </w:rPr>
        <w:t xml:space="preserve"> Watch: rutynowa odmowa prawa do wystąpienia o ochronę w Polsce naraża ludzi na niebezpieczeństwo – napisali eksperci. Zwracają uwagę, że sytuacja wyraźnie pogarsza się od 2016 r.</w:t>
      </w:r>
      <w:r w:rsidRPr="00EC250C">
        <w:rPr>
          <w:rStyle w:val="Odwoanieprzypisudolnego"/>
          <w:szCs w:val="24"/>
        </w:rPr>
        <w:footnoteReference w:id="338"/>
      </w:r>
    </w:p>
    <w:p w14:paraId="53064B0F" w14:textId="77777777" w:rsidR="00187708" w:rsidRPr="00EC250C" w:rsidRDefault="00187708" w:rsidP="00EC250C">
      <w:pPr>
        <w:pStyle w:val="Nagwek8"/>
      </w:pPr>
      <w:r w:rsidRPr="00EC250C">
        <w:rPr>
          <w:rStyle w:val="Nagwek8Znak"/>
          <w:b/>
          <w:bCs/>
          <w:i/>
          <w:shd w:val="clear" w:color="auto" w:fill="auto"/>
        </w:rPr>
        <w:t>Sprawa odmowy przyznania</w:t>
      </w:r>
      <w:r w:rsidR="00992FD0" w:rsidRPr="00EC250C">
        <w:rPr>
          <w:rStyle w:val="Nagwek8Znak"/>
          <w:b/>
          <w:bCs/>
          <w:i/>
          <w:shd w:val="clear" w:color="auto" w:fill="auto"/>
        </w:rPr>
        <w:t xml:space="preserve"> w </w:t>
      </w:r>
      <w:r w:rsidRPr="00EC250C">
        <w:rPr>
          <w:rStyle w:val="Nagwek8Znak"/>
          <w:b/>
          <w:bCs/>
          <w:i/>
          <w:shd w:val="clear" w:color="auto" w:fill="auto"/>
        </w:rPr>
        <w:t>Polsce ochrony międzynarodowej obywatelowi Iraku na podstawie informacji niejawnych</w:t>
      </w:r>
    </w:p>
    <w:p w14:paraId="337A543E" w14:textId="36DE6822" w:rsidR="00C91F6E" w:rsidRPr="00EC250C" w:rsidRDefault="005630F8" w:rsidP="00D131FA">
      <w:pPr>
        <w:pStyle w:val="Styl2"/>
        <w:rPr>
          <w:szCs w:val="24"/>
        </w:rPr>
      </w:pPr>
      <w:r w:rsidRPr="00EC250C">
        <w:rPr>
          <w:szCs w:val="24"/>
        </w:rPr>
        <w:t>Rzecznik Praw Obywatelskich zgłosił udział</w:t>
      </w:r>
      <w:r w:rsidR="00992FD0" w:rsidRPr="00EC250C">
        <w:rPr>
          <w:szCs w:val="24"/>
        </w:rPr>
        <w:t xml:space="preserve"> w </w:t>
      </w:r>
      <w:r w:rsidRPr="00EC250C">
        <w:rPr>
          <w:szCs w:val="24"/>
        </w:rPr>
        <w:t>postępowaniu przed Wojewódzkim Sądem Administracyjnym</w:t>
      </w:r>
      <w:r w:rsidR="00992FD0" w:rsidRPr="00EC250C">
        <w:rPr>
          <w:szCs w:val="24"/>
        </w:rPr>
        <w:t xml:space="preserve"> w </w:t>
      </w:r>
      <w:r w:rsidRPr="00EC250C">
        <w:rPr>
          <w:szCs w:val="24"/>
        </w:rPr>
        <w:t>Warszawie</w:t>
      </w:r>
      <w:r w:rsidR="00992FD0" w:rsidRPr="00EC250C">
        <w:rPr>
          <w:szCs w:val="24"/>
        </w:rPr>
        <w:t xml:space="preserve"> w </w:t>
      </w:r>
      <w:r w:rsidRPr="00EC250C">
        <w:rPr>
          <w:szCs w:val="24"/>
        </w:rPr>
        <w:t>sprawie ze skargi Helsińskiej Fundacji Praw Człowieka na decyzję Rady do Spraw Uchodźców, utrzymującą</w:t>
      </w:r>
      <w:r w:rsidR="00992FD0" w:rsidRPr="00EC250C">
        <w:rPr>
          <w:szCs w:val="24"/>
        </w:rPr>
        <w:t xml:space="preserve"> w </w:t>
      </w:r>
      <w:r w:rsidRPr="00EC250C">
        <w:rPr>
          <w:szCs w:val="24"/>
        </w:rPr>
        <w:t>mocy decyzję Szefa Urzędu ds. Cudzoziemców</w:t>
      </w:r>
      <w:r w:rsidR="00992FD0" w:rsidRPr="00EC250C">
        <w:rPr>
          <w:szCs w:val="24"/>
        </w:rPr>
        <w:t xml:space="preserve"> o </w:t>
      </w:r>
      <w:r w:rsidRPr="00EC250C">
        <w:rPr>
          <w:szCs w:val="24"/>
        </w:rPr>
        <w:t xml:space="preserve">odmowie przyznania obywatelowi Iraku, </w:t>
      </w:r>
      <w:r w:rsidR="00E24A02" w:rsidRPr="00EC250C">
        <w:rPr>
          <w:szCs w:val="24"/>
        </w:rPr>
        <w:t>p</w:t>
      </w:r>
      <w:r w:rsidRPr="00EC250C">
        <w:rPr>
          <w:szCs w:val="24"/>
        </w:rPr>
        <w:t>anu Ameerowi A., ochrony międzynarodowej.</w:t>
      </w:r>
    </w:p>
    <w:p w14:paraId="76FEA789" w14:textId="77777777" w:rsidR="00C91F6E" w:rsidRPr="00EC250C" w:rsidRDefault="005630F8" w:rsidP="00D131FA">
      <w:pPr>
        <w:pStyle w:val="Styl2"/>
        <w:rPr>
          <w:szCs w:val="24"/>
        </w:rPr>
      </w:pPr>
      <w:r w:rsidRPr="00EC250C">
        <w:rPr>
          <w:szCs w:val="24"/>
        </w:rPr>
        <w:t>Negatywna dla cudzoziemca decyzja wydana została</w:t>
      </w:r>
      <w:r w:rsidR="00992FD0" w:rsidRPr="00EC250C">
        <w:rPr>
          <w:szCs w:val="24"/>
        </w:rPr>
        <w:t xml:space="preserve"> w </w:t>
      </w:r>
      <w:r w:rsidRPr="00EC250C">
        <w:rPr>
          <w:szCs w:val="24"/>
        </w:rPr>
        <w:t>oparciu</w:t>
      </w:r>
      <w:r w:rsidR="00992FD0" w:rsidRPr="00EC250C">
        <w:rPr>
          <w:szCs w:val="24"/>
        </w:rPr>
        <w:t xml:space="preserve"> o </w:t>
      </w:r>
      <w:r w:rsidRPr="00EC250C">
        <w:rPr>
          <w:szCs w:val="24"/>
        </w:rPr>
        <w:t xml:space="preserve">informacje niejawne, do których ani cudzoziemiec, ani jego pełnomocnik nie mieli dostępu. W ocenie </w:t>
      </w:r>
      <w:r w:rsidR="00D20D4F" w:rsidRPr="00EC250C">
        <w:rPr>
          <w:szCs w:val="24"/>
        </w:rPr>
        <w:t>RPO</w:t>
      </w:r>
      <w:r w:rsidRPr="00EC250C">
        <w:rPr>
          <w:szCs w:val="24"/>
        </w:rPr>
        <w:t xml:space="preserve"> przepisy krajowe, które dopuszczają zarówno odmowę dostępu do akt sprawy zawierających informacje niejawne, jak</w:t>
      </w:r>
      <w:r w:rsidR="00992FD0" w:rsidRPr="00EC250C">
        <w:rPr>
          <w:szCs w:val="24"/>
        </w:rPr>
        <w:t xml:space="preserve"> i </w:t>
      </w:r>
      <w:r w:rsidRPr="00EC250C">
        <w:rPr>
          <w:szCs w:val="24"/>
        </w:rPr>
        <w:t>możliwość odstąpienia od sporządzenia uzasadnienia faktycznego decyzji administracyjnej</w:t>
      </w:r>
      <w:r w:rsidR="00992FD0" w:rsidRPr="00EC250C">
        <w:rPr>
          <w:szCs w:val="24"/>
        </w:rPr>
        <w:t xml:space="preserve"> w </w:t>
      </w:r>
      <w:r w:rsidRPr="00EC250C">
        <w:rPr>
          <w:szCs w:val="24"/>
        </w:rPr>
        <w:t>zakresie informacji prawnie chronionych, pozostają</w:t>
      </w:r>
      <w:r w:rsidR="00992FD0" w:rsidRPr="00EC250C">
        <w:rPr>
          <w:szCs w:val="24"/>
        </w:rPr>
        <w:t xml:space="preserve"> w </w:t>
      </w:r>
      <w:r w:rsidRPr="00EC250C">
        <w:rPr>
          <w:szCs w:val="24"/>
        </w:rPr>
        <w:t>sprzeczności</w:t>
      </w:r>
      <w:r w:rsidR="00992FD0" w:rsidRPr="00EC250C">
        <w:rPr>
          <w:szCs w:val="24"/>
        </w:rPr>
        <w:t xml:space="preserve"> z </w:t>
      </w:r>
      <w:r w:rsidRPr="00EC250C">
        <w:rPr>
          <w:szCs w:val="24"/>
        </w:rPr>
        <w:t>przepisami dyrektywy 2013/32</w:t>
      </w:r>
      <w:r w:rsidRPr="00EC250C">
        <w:rPr>
          <w:rStyle w:val="Odwoanieprzypisudolnego"/>
          <w:szCs w:val="24"/>
        </w:rPr>
        <w:footnoteReference w:id="339"/>
      </w:r>
      <w:r w:rsidRPr="00EC250C">
        <w:rPr>
          <w:szCs w:val="24"/>
        </w:rPr>
        <w:t>. Dyrektywa bowiem uzależnia możliwość ograniczenia pełnomocnikowi cudzoziemca dostępu do informacji</w:t>
      </w:r>
      <w:r w:rsidR="00992FD0" w:rsidRPr="00EC250C">
        <w:rPr>
          <w:szCs w:val="24"/>
        </w:rPr>
        <w:t xml:space="preserve"> w </w:t>
      </w:r>
      <w:r w:rsidRPr="00EC250C">
        <w:rPr>
          <w:szCs w:val="24"/>
        </w:rPr>
        <w:t>aktach sprawy od ustanowienia przez państwo członkowskie gwarancji proceduralnych, łagodzących skutki takiego ograniczenia.</w:t>
      </w:r>
    </w:p>
    <w:p w14:paraId="226E2AE2" w14:textId="77777777" w:rsidR="00C91F6E" w:rsidRPr="00EC250C" w:rsidRDefault="005630F8" w:rsidP="00D131FA">
      <w:pPr>
        <w:pStyle w:val="Styl2"/>
        <w:rPr>
          <w:szCs w:val="24"/>
        </w:rPr>
      </w:pPr>
      <w:r w:rsidRPr="00EC250C">
        <w:rPr>
          <w:szCs w:val="24"/>
        </w:rPr>
        <w:t>Takich gwarancji polskie prawo nie przewiduje.</w:t>
      </w:r>
    </w:p>
    <w:p w14:paraId="776FDA2B" w14:textId="77777777" w:rsidR="00C91F6E" w:rsidRPr="00EC250C" w:rsidRDefault="005630F8" w:rsidP="00D131FA">
      <w:pPr>
        <w:pStyle w:val="Styl2"/>
        <w:rPr>
          <w:szCs w:val="24"/>
        </w:rPr>
      </w:pPr>
      <w:r w:rsidRPr="00EC250C">
        <w:rPr>
          <w:szCs w:val="24"/>
        </w:rPr>
        <w:t xml:space="preserve">W </w:t>
      </w:r>
      <w:r w:rsidR="003A37B1" w:rsidRPr="00EC250C">
        <w:rPr>
          <w:szCs w:val="24"/>
        </w:rPr>
        <w:t xml:space="preserve">piśmie </w:t>
      </w:r>
      <w:r w:rsidRPr="00EC250C">
        <w:rPr>
          <w:szCs w:val="24"/>
        </w:rPr>
        <w:t xml:space="preserve">do sądu administracyjnego </w:t>
      </w:r>
      <w:r w:rsidR="00D20D4F" w:rsidRPr="00EC250C">
        <w:rPr>
          <w:szCs w:val="24"/>
        </w:rPr>
        <w:t>RPO</w:t>
      </w:r>
      <w:r w:rsidRPr="00EC250C">
        <w:rPr>
          <w:szCs w:val="24"/>
        </w:rPr>
        <w:t xml:space="preserve"> wnioskował</w:t>
      </w:r>
      <w:r w:rsidR="00992FD0" w:rsidRPr="00EC250C">
        <w:rPr>
          <w:szCs w:val="24"/>
        </w:rPr>
        <w:t xml:space="preserve"> o </w:t>
      </w:r>
      <w:r w:rsidRPr="00EC250C">
        <w:rPr>
          <w:szCs w:val="24"/>
        </w:rPr>
        <w:t>uchylenie zaskarżonej decyzji,</w:t>
      </w:r>
      <w:r w:rsidR="00992FD0" w:rsidRPr="00EC250C">
        <w:rPr>
          <w:szCs w:val="24"/>
        </w:rPr>
        <w:t xml:space="preserve"> a w </w:t>
      </w:r>
      <w:r w:rsidRPr="00EC250C">
        <w:rPr>
          <w:szCs w:val="24"/>
        </w:rPr>
        <w:t xml:space="preserve">przypadku gdyby Wojewódzki Sąd Administracyjny nie podzielił przyjętej przez </w:t>
      </w:r>
      <w:r w:rsidR="00D20D4F" w:rsidRPr="00EC250C">
        <w:rPr>
          <w:szCs w:val="24"/>
        </w:rPr>
        <w:t>RPO</w:t>
      </w:r>
      <w:r w:rsidRPr="00EC250C">
        <w:rPr>
          <w:szCs w:val="24"/>
        </w:rPr>
        <w:t xml:space="preserve"> interpretacji przepisów dyrektywy 2013/32, sugerował skierowanie pytań prejudycjalnych do Trybunału Sprawiedliwości UE.</w:t>
      </w:r>
    </w:p>
    <w:p w14:paraId="19119B0F" w14:textId="77777777" w:rsidR="00C91F6E" w:rsidRPr="00EC250C" w:rsidRDefault="003A37B1" w:rsidP="00D131FA">
      <w:pPr>
        <w:pStyle w:val="Styl2"/>
        <w:rPr>
          <w:szCs w:val="24"/>
        </w:rPr>
      </w:pPr>
      <w:r w:rsidRPr="00EC250C">
        <w:rPr>
          <w:szCs w:val="24"/>
        </w:rPr>
        <w:t xml:space="preserve">WSA </w:t>
      </w:r>
      <w:r w:rsidR="005630F8" w:rsidRPr="00EC250C">
        <w:rPr>
          <w:szCs w:val="24"/>
        </w:rPr>
        <w:t>oddalił jednak skargę Helsińskiej Fundacji Praw Człowieka,</w:t>
      </w:r>
      <w:r w:rsidR="00992FD0" w:rsidRPr="00EC250C">
        <w:rPr>
          <w:szCs w:val="24"/>
        </w:rPr>
        <w:t xml:space="preserve"> a </w:t>
      </w:r>
      <w:r w:rsidR="005630F8" w:rsidRPr="00EC250C">
        <w:rPr>
          <w:szCs w:val="24"/>
        </w:rPr>
        <w:t>także odmówił uwzględnienia zarzutów podniesionych przez Rzecznika Praw Obywatelskich.</w:t>
      </w:r>
    </w:p>
    <w:p w14:paraId="5376569B" w14:textId="77777777" w:rsidR="00C91F6E" w:rsidRPr="00EC250C" w:rsidRDefault="005630F8" w:rsidP="00D131FA">
      <w:pPr>
        <w:pStyle w:val="Styl2"/>
        <w:rPr>
          <w:szCs w:val="24"/>
        </w:rPr>
      </w:pPr>
      <w:r w:rsidRPr="00EC250C">
        <w:rPr>
          <w:szCs w:val="24"/>
        </w:rPr>
        <w:t>W rozstrzygnięciach Rady ds. Uchodźców</w:t>
      </w:r>
      <w:r w:rsidR="00992FD0" w:rsidRPr="00EC250C">
        <w:rPr>
          <w:szCs w:val="24"/>
        </w:rPr>
        <w:t xml:space="preserve"> i </w:t>
      </w:r>
      <w:r w:rsidRPr="00EC250C">
        <w:rPr>
          <w:szCs w:val="24"/>
        </w:rPr>
        <w:t>Szefa Urzędu ds. Cudzoziemców, sąd nie dopatrzył się bowiem uchybień, które mogłyby uzasadniać ich uchylenie.</w:t>
      </w:r>
    </w:p>
    <w:p w14:paraId="7DE54F12" w14:textId="77777777" w:rsidR="00C91F6E" w:rsidRPr="00EC250C" w:rsidRDefault="00D20D4F" w:rsidP="00D131FA">
      <w:pPr>
        <w:pStyle w:val="Styl2"/>
        <w:rPr>
          <w:szCs w:val="24"/>
        </w:rPr>
      </w:pPr>
      <w:r w:rsidRPr="00EC250C">
        <w:rPr>
          <w:szCs w:val="24"/>
        </w:rPr>
        <w:t>RPO</w:t>
      </w:r>
      <w:r w:rsidR="005630F8" w:rsidRPr="00EC250C">
        <w:rPr>
          <w:szCs w:val="24"/>
        </w:rPr>
        <w:t xml:space="preserve"> złożył od wyroku skargę kasacyjną do Naczelnego Sądu Administracyjnego.</w:t>
      </w:r>
    </w:p>
    <w:p w14:paraId="611772C7" w14:textId="0D4DAFEE" w:rsidR="00C91F6E" w:rsidRPr="00EC250C" w:rsidRDefault="003A37B1" w:rsidP="00D131FA">
      <w:pPr>
        <w:pStyle w:val="Styl2"/>
        <w:rPr>
          <w:szCs w:val="24"/>
        </w:rPr>
      </w:pPr>
      <w:r w:rsidRPr="00EC250C">
        <w:rPr>
          <w:szCs w:val="24"/>
        </w:rPr>
        <w:t xml:space="preserve">NSA </w:t>
      </w:r>
      <w:r w:rsidR="005630F8" w:rsidRPr="00EC250C">
        <w:rPr>
          <w:szCs w:val="24"/>
        </w:rPr>
        <w:t xml:space="preserve">uchylił wyrok </w:t>
      </w:r>
      <w:r w:rsidRPr="00EC250C">
        <w:rPr>
          <w:szCs w:val="24"/>
        </w:rPr>
        <w:t>sądu wojewódzkiego</w:t>
      </w:r>
      <w:r w:rsidR="005630F8" w:rsidRPr="00EC250C">
        <w:rPr>
          <w:szCs w:val="24"/>
        </w:rPr>
        <w:t xml:space="preserve">. </w:t>
      </w:r>
      <w:r w:rsidRPr="00EC250C">
        <w:rPr>
          <w:szCs w:val="24"/>
        </w:rPr>
        <w:t>S</w:t>
      </w:r>
      <w:r w:rsidR="005630F8" w:rsidRPr="00EC250C">
        <w:rPr>
          <w:szCs w:val="24"/>
        </w:rPr>
        <w:t>twierdził, że</w:t>
      </w:r>
      <w:r w:rsidR="00992FD0" w:rsidRPr="00EC250C">
        <w:rPr>
          <w:szCs w:val="24"/>
        </w:rPr>
        <w:t xml:space="preserve"> w </w:t>
      </w:r>
      <w:r w:rsidR="005630F8" w:rsidRPr="00EC250C">
        <w:rPr>
          <w:szCs w:val="24"/>
        </w:rPr>
        <w:t>postępowaniu administracyjnym organy nie wykazały</w:t>
      </w:r>
      <w:r w:rsidR="00992FD0" w:rsidRPr="00EC250C">
        <w:rPr>
          <w:szCs w:val="24"/>
        </w:rPr>
        <w:t xml:space="preserve"> w </w:t>
      </w:r>
      <w:r w:rsidR="005630F8" w:rsidRPr="00EC250C">
        <w:rPr>
          <w:szCs w:val="24"/>
        </w:rPr>
        <w:t>sposób dostateczny, że</w:t>
      </w:r>
      <w:r w:rsidR="00992FD0" w:rsidRPr="00EC250C">
        <w:rPr>
          <w:szCs w:val="24"/>
        </w:rPr>
        <w:t xml:space="preserve"> w </w:t>
      </w:r>
      <w:r w:rsidR="005630F8" w:rsidRPr="00EC250C">
        <w:rPr>
          <w:szCs w:val="24"/>
        </w:rPr>
        <w:t>sprawie cudzoziemca wystąpiła jedna</w:t>
      </w:r>
      <w:r w:rsidR="00992FD0" w:rsidRPr="00EC250C">
        <w:rPr>
          <w:szCs w:val="24"/>
        </w:rPr>
        <w:t xml:space="preserve"> z </w:t>
      </w:r>
      <w:r w:rsidR="005630F8" w:rsidRPr="00EC250C">
        <w:rPr>
          <w:szCs w:val="24"/>
        </w:rPr>
        <w:t>przesłanek odmowy przyznania ochrony międzynarodowej, wskazana</w:t>
      </w:r>
      <w:r w:rsidR="00992FD0" w:rsidRPr="00EC250C">
        <w:rPr>
          <w:szCs w:val="24"/>
        </w:rPr>
        <w:t xml:space="preserve"> w </w:t>
      </w:r>
      <w:r w:rsidR="005630F8" w:rsidRPr="00EC250C">
        <w:rPr>
          <w:szCs w:val="24"/>
        </w:rPr>
        <w:t>negatywnej dla cudzoziemca decyzji,</w:t>
      </w:r>
      <w:r w:rsidR="00992FD0" w:rsidRPr="00EC250C">
        <w:rPr>
          <w:szCs w:val="24"/>
        </w:rPr>
        <w:t xml:space="preserve"> a </w:t>
      </w:r>
      <w:r w:rsidR="005630F8" w:rsidRPr="00EC250C">
        <w:rPr>
          <w:szCs w:val="24"/>
        </w:rPr>
        <w:t>sąd administracyjny I instancji tego uchybienia nie zauważył. W tym zakresie Sąd częściowo uwzględnił argumenty podnoszone</w:t>
      </w:r>
      <w:r w:rsidR="00992FD0" w:rsidRPr="00EC250C">
        <w:rPr>
          <w:szCs w:val="24"/>
        </w:rPr>
        <w:t xml:space="preserve"> w </w:t>
      </w:r>
      <w:r w:rsidR="005630F8" w:rsidRPr="00EC250C">
        <w:rPr>
          <w:szCs w:val="24"/>
        </w:rPr>
        <w:t>skardze kasacyjnej wniesionej przez Helsińską Fundację Praw Człowieka.</w:t>
      </w:r>
      <w:r w:rsidR="00E24A02" w:rsidRPr="00EC250C">
        <w:rPr>
          <w:rStyle w:val="Odwoanieprzypisudolnego"/>
          <w:szCs w:val="24"/>
        </w:rPr>
        <w:footnoteReference w:id="340"/>
      </w:r>
    </w:p>
    <w:p w14:paraId="5B9B2544" w14:textId="77777777" w:rsidR="00187708" w:rsidRPr="00EC250C" w:rsidRDefault="003A37B1" w:rsidP="00D131FA">
      <w:pPr>
        <w:pStyle w:val="Styl2"/>
        <w:rPr>
          <w:szCs w:val="24"/>
        </w:rPr>
      </w:pPr>
      <w:r w:rsidRPr="00EC250C">
        <w:rPr>
          <w:szCs w:val="24"/>
        </w:rPr>
        <w:lastRenderedPageBreak/>
        <w:t xml:space="preserve">NSA </w:t>
      </w:r>
      <w:r w:rsidR="005630F8" w:rsidRPr="00EC250C">
        <w:rPr>
          <w:szCs w:val="24"/>
        </w:rPr>
        <w:t>oddalił natomiast skargę Rzecznika Praw Obywatelskich. Nie zgodził się bowiem</w:t>
      </w:r>
      <w:r w:rsidR="00992FD0" w:rsidRPr="00EC250C">
        <w:rPr>
          <w:szCs w:val="24"/>
        </w:rPr>
        <w:t xml:space="preserve"> z </w:t>
      </w:r>
      <w:r w:rsidR="005630F8" w:rsidRPr="00EC250C">
        <w:rPr>
          <w:szCs w:val="24"/>
        </w:rPr>
        <w:t>twierdzeniem, że gdy negatywne dla cudzoziemca decyzje zapadają</w:t>
      </w:r>
      <w:r w:rsidR="00992FD0" w:rsidRPr="00EC250C">
        <w:rPr>
          <w:szCs w:val="24"/>
        </w:rPr>
        <w:t xml:space="preserve"> w </w:t>
      </w:r>
      <w:r w:rsidR="005630F8" w:rsidRPr="00EC250C">
        <w:rPr>
          <w:szCs w:val="24"/>
        </w:rPr>
        <w:t>oparciu</w:t>
      </w:r>
      <w:r w:rsidR="00992FD0" w:rsidRPr="00EC250C">
        <w:rPr>
          <w:szCs w:val="24"/>
        </w:rPr>
        <w:t xml:space="preserve"> o </w:t>
      </w:r>
      <w:r w:rsidR="005630F8" w:rsidRPr="00EC250C">
        <w:rPr>
          <w:szCs w:val="24"/>
        </w:rPr>
        <w:t>informacje lub dokumenty niejawne, polskie prawo nie zapewnia stronie żadnych dodatkowych gwarancji</w:t>
      </w:r>
      <w:r w:rsidRPr="00EC250C">
        <w:rPr>
          <w:szCs w:val="24"/>
        </w:rPr>
        <w:t>.</w:t>
      </w:r>
      <w:r w:rsidR="005630F8" w:rsidRPr="00EC250C">
        <w:rPr>
          <w:szCs w:val="24"/>
        </w:rPr>
        <w:t xml:space="preserve"> Zdaniem NSA taką gwarancję stanowi przede wszystkim prawo sądu administracyjnego I instancji do badania</w:t>
      </w:r>
      <w:r w:rsidR="00992FD0" w:rsidRPr="00EC250C">
        <w:rPr>
          <w:szCs w:val="24"/>
        </w:rPr>
        <w:t xml:space="preserve"> z </w:t>
      </w:r>
      <w:r w:rsidR="005630F8" w:rsidRPr="00EC250C">
        <w:rPr>
          <w:szCs w:val="24"/>
        </w:rPr>
        <w:t>urzędu wszelkich okoliczności zawisłej przez tym sądem sprawy. NSA nie podzielił jedocześnie zapatrywań Wojewódzkiego Sądu Administracyjnego, że to Rzecznik Praw Obywatelskich pełnić ma funkcję specjalnego pełnomocnika dla osób, którym</w:t>
      </w:r>
      <w:r w:rsidR="00992FD0" w:rsidRPr="00EC250C">
        <w:rPr>
          <w:szCs w:val="24"/>
        </w:rPr>
        <w:t xml:space="preserve"> w </w:t>
      </w:r>
      <w:r w:rsidR="005630F8" w:rsidRPr="00EC250C">
        <w:rPr>
          <w:szCs w:val="24"/>
        </w:rPr>
        <w:t>procedurze uchodźczej odmówiono dostępu do dotyczących ich informacji niejawnych.</w:t>
      </w:r>
    </w:p>
    <w:p w14:paraId="69F18DE6" w14:textId="77777777" w:rsidR="008F03F6" w:rsidRPr="00EC250C" w:rsidRDefault="008F03F6" w:rsidP="00EC79EB">
      <w:pPr>
        <w:pStyle w:val="Nagwek4"/>
      </w:pPr>
      <w:bookmarkStart w:id="342" w:name="_Toc11247670"/>
      <w:r w:rsidRPr="00EC250C">
        <w:t>Standardy europejskie dotyczące przyznawania ochrony międzynarodowej</w:t>
      </w:r>
      <w:bookmarkEnd w:id="342"/>
    </w:p>
    <w:p w14:paraId="72DD957B" w14:textId="77777777" w:rsidR="00B473F5" w:rsidRPr="00EC250C" w:rsidRDefault="008F03F6" w:rsidP="00D131FA">
      <w:pPr>
        <w:pStyle w:val="Problemczowieka"/>
        <w:jc w:val="both"/>
      </w:pPr>
      <w:r w:rsidRPr="00EC250C">
        <w:t xml:space="preserve">Rzecznik Praw Obywatelskich w swoich stanowiskach przed sądami administracyjnymi powołuje się m.in. na standardy wyznaczone w orzecznictwie Trybunału Sprawiedliwości UE i Europejskiego Trybunału Praw Człowieka. </w:t>
      </w:r>
      <w:r w:rsidR="00B473F5" w:rsidRPr="00EC250C">
        <w:t>.</w:t>
      </w:r>
    </w:p>
    <w:p w14:paraId="39BC8339" w14:textId="77777777" w:rsidR="008F03F6" w:rsidRPr="00EC250C" w:rsidRDefault="008F03F6" w:rsidP="00D131FA">
      <w:pPr>
        <w:pStyle w:val="Styl1"/>
      </w:pPr>
      <w:r w:rsidRPr="00EC250C">
        <w:t>Zgodnie z 47 Karty Praw Podstawowych UE</w:t>
      </w:r>
      <w:r w:rsidRPr="00EC250C">
        <w:rPr>
          <w:rStyle w:val="Odwoanieprzypisudolnego"/>
        </w:rPr>
        <w:footnoteReference w:id="341"/>
      </w:r>
      <w:r w:rsidRPr="00EC250C">
        <w:t xml:space="preserve"> każdy, czyje prawa i wolności zagwarantowane przez prawo Unii zostały naruszone, ma prawo do i jawnego rozpatrzenia swojej sprawy przez sąd. O prawie do skutecznego środka zaskarżenia, właśnie w kontekście postępowań o przyznanie ochrony międzynarodowej, wspominają również motywy 25. i 50. preambuły do dyrektywy 2013/32. </w:t>
      </w:r>
    </w:p>
    <w:p w14:paraId="1002FF25" w14:textId="77777777" w:rsidR="008F03F6" w:rsidRPr="00EC250C" w:rsidRDefault="008F03F6" w:rsidP="00D131FA">
      <w:pPr>
        <w:pStyle w:val="Styl1"/>
      </w:pPr>
      <w:r w:rsidRPr="00EC250C">
        <w:t>Na temat standardów dostępu do skutecznego środka zaskarżenia niejednokrotnie w swoich orzeczeniach wypowiadał się Trybunał Sprawiedliwości UE</w:t>
      </w:r>
      <w:r w:rsidRPr="00EC250C">
        <w:rPr>
          <w:rStyle w:val="Odwoanieprzypisudolnego"/>
        </w:rPr>
        <w:footnoteReference w:id="342"/>
      </w:r>
      <w:r w:rsidRPr="00EC250C">
        <w:t xml:space="preserve">.  </w:t>
      </w:r>
    </w:p>
    <w:p w14:paraId="5E02F552" w14:textId="77777777" w:rsidR="008F03F6" w:rsidRPr="00EC250C" w:rsidRDefault="008F03F6" w:rsidP="00D131FA">
      <w:pPr>
        <w:pStyle w:val="Styl1"/>
      </w:pPr>
      <w:r w:rsidRPr="00EC250C">
        <w:t>Na temat skuteczności środka odwoławczego, ograniczanej w przypadkach, w których względy bezpieczeństwa czy porządku publicznego wymuszają odmowę dostępu do akt postępowania czy obligują organ do odstąpienia od uzasadnienia wydanej decyzji, wypowiadał się też Europejski Trybunał Praw Człowieka</w:t>
      </w:r>
      <w:r w:rsidRPr="00EC250C">
        <w:rPr>
          <w:rStyle w:val="Odwoanieprzypisudolnego"/>
        </w:rPr>
        <w:footnoteReference w:id="343"/>
      </w:r>
      <w:r w:rsidRPr="00EC250C">
        <w:t>.</w:t>
      </w:r>
    </w:p>
    <w:p w14:paraId="328A448C" w14:textId="77777777" w:rsidR="00187708" w:rsidRPr="00EC250C" w:rsidRDefault="00187708" w:rsidP="00EC250C">
      <w:pPr>
        <w:pStyle w:val="Nagwek8"/>
      </w:pPr>
      <w:r w:rsidRPr="00EC250C">
        <w:rPr>
          <w:rStyle w:val="Nagwek8Znak"/>
          <w:b/>
          <w:bCs/>
          <w:i/>
          <w:shd w:val="clear" w:color="auto" w:fill="auto"/>
        </w:rPr>
        <w:lastRenderedPageBreak/>
        <w:t>Sprawa obywatela Afganistanu, który miał być wydalony</w:t>
      </w:r>
      <w:r w:rsidR="00992FD0" w:rsidRPr="00EC250C">
        <w:rPr>
          <w:rStyle w:val="Nagwek8Znak"/>
          <w:b/>
          <w:bCs/>
          <w:i/>
          <w:shd w:val="clear" w:color="auto" w:fill="auto"/>
        </w:rPr>
        <w:t xml:space="preserve"> z </w:t>
      </w:r>
      <w:r w:rsidRPr="00EC250C">
        <w:rPr>
          <w:rStyle w:val="Nagwek8Znak"/>
          <w:b/>
          <w:bCs/>
          <w:i/>
          <w:shd w:val="clear" w:color="auto" w:fill="auto"/>
        </w:rPr>
        <w:t xml:space="preserve">Polski po pięciu latach od </w:t>
      </w:r>
      <w:r w:rsidR="0099181C" w:rsidRPr="00EC250C">
        <w:rPr>
          <w:rStyle w:val="Nagwek8Znak"/>
          <w:b/>
          <w:bCs/>
          <w:i/>
          <w:shd w:val="clear" w:color="auto" w:fill="auto"/>
        </w:rPr>
        <w:t xml:space="preserve">wydania </w:t>
      </w:r>
      <w:r w:rsidRPr="00EC250C">
        <w:rPr>
          <w:rStyle w:val="Nagwek8Znak"/>
          <w:b/>
          <w:bCs/>
          <w:i/>
          <w:shd w:val="clear" w:color="auto" w:fill="auto"/>
        </w:rPr>
        <w:t>decyzji</w:t>
      </w:r>
      <w:r w:rsidR="0099181C" w:rsidRPr="00EC250C">
        <w:rPr>
          <w:rStyle w:val="Nagwek8Znak"/>
          <w:b/>
          <w:bCs/>
          <w:i/>
          <w:shd w:val="clear" w:color="auto" w:fill="auto"/>
        </w:rPr>
        <w:t xml:space="preserve"> zobowiązującej go do opuszczenia naszego kraju</w:t>
      </w:r>
    </w:p>
    <w:p w14:paraId="7D748F10" w14:textId="77777777" w:rsidR="00C91F6E" w:rsidRPr="00EC250C" w:rsidRDefault="00D20D4F" w:rsidP="00D131FA">
      <w:pPr>
        <w:pStyle w:val="Styl2"/>
        <w:rPr>
          <w:szCs w:val="24"/>
        </w:rPr>
      </w:pPr>
      <w:r w:rsidRPr="00EC250C">
        <w:rPr>
          <w:szCs w:val="24"/>
        </w:rPr>
        <w:t>RPO</w:t>
      </w:r>
      <w:r w:rsidR="00992FD0" w:rsidRPr="00EC250C">
        <w:rPr>
          <w:szCs w:val="24"/>
        </w:rPr>
        <w:t xml:space="preserve"> o </w:t>
      </w:r>
      <w:r w:rsidR="00187708" w:rsidRPr="00EC250C">
        <w:rPr>
          <w:szCs w:val="24"/>
        </w:rPr>
        <w:t xml:space="preserve">sprawie poinformowało Stowarzyszenie Interwencji Prawnej: procedura </w:t>
      </w:r>
      <w:r w:rsidR="0099181C" w:rsidRPr="00EC250C">
        <w:rPr>
          <w:szCs w:val="24"/>
        </w:rPr>
        <w:t>wykonania decyzji</w:t>
      </w:r>
      <w:r w:rsidR="00992FD0" w:rsidRPr="00EC250C">
        <w:rPr>
          <w:szCs w:val="24"/>
        </w:rPr>
        <w:t xml:space="preserve"> o </w:t>
      </w:r>
      <w:r w:rsidR="0099181C" w:rsidRPr="00EC250C">
        <w:rPr>
          <w:szCs w:val="24"/>
        </w:rPr>
        <w:t>zobowiązaniu do powrotu do kraju pochodzenia</w:t>
      </w:r>
      <w:r w:rsidR="00187708" w:rsidRPr="00EC250C">
        <w:rPr>
          <w:szCs w:val="24"/>
        </w:rPr>
        <w:t xml:space="preserve"> obywatela Afganistanu </w:t>
      </w:r>
      <w:r w:rsidR="0099181C" w:rsidRPr="00EC250C">
        <w:rPr>
          <w:szCs w:val="24"/>
        </w:rPr>
        <w:t>rozpoczęła</w:t>
      </w:r>
      <w:r w:rsidR="00187708" w:rsidRPr="00EC250C">
        <w:rPr>
          <w:szCs w:val="24"/>
        </w:rPr>
        <w:t xml:space="preserve"> się</w:t>
      </w:r>
      <w:r w:rsidR="00992FD0" w:rsidRPr="00EC250C">
        <w:rPr>
          <w:szCs w:val="24"/>
        </w:rPr>
        <w:t xml:space="preserve"> w </w:t>
      </w:r>
      <w:r w:rsidR="00187708" w:rsidRPr="00EC250C">
        <w:rPr>
          <w:szCs w:val="24"/>
        </w:rPr>
        <w:t>2018</w:t>
      </w:r>
      <w:r w:rsidR="00C91F6E" w:rsidRPr="00EC250C">
        <w:rPr>
          <w:szCs w:val="24"/>
        </w:rPr>
        <w:t> r.</w:t>
      </w:r>
      <w:r w:rsidR="00187708" w:rsidRPr="00EC250C">
        <w:rPr>
          <w:szCs w:val="24"/>
        </w:rPr>
        <w:t>, choć sama decyzja zapadła pięć lat wcześniej. Nikt nie sprawdził, czy</w:t>
      </w:r>
      <w:r w:rsidR="00992FD0" w:rsidRPr="00EC250C">
        <w:rPr>
          <w:szCs w:val="24"/>
        </w:rPr>
        <w:t xml:space="preserve"> w </w:t>
      </w:r>
      <w:r w:rsidR="00187708" w:rsidRPr="00EC250C">
        <w:rPr>
          <w:szCs w:val="24"/>
        </w:rPr>
        <w:t>sytuacji te</w:t>
      </w:r>
      <w:r w:rsidR="006E581A" w:rsidRPr="00EC250C">
        <w:rPr>
          <w:szCs w:val="24"/>
        </w:rPr>
        <w:t>j</w:t>
      </w:r>
      <w:r w:rsidR="00187708" w:rsidRPr="00EC250C">
        <w:rPr>
          <w:szCs w:val="24"/>
        </w:rPr>
        <w:t xml:space="preserve"> </w:t>
      </w:r>
      <w:r w:rsidR="006E581A" w:rsidRPr="00EC250C">
        <w:rPr>
          <w:szCs w:val="24"/>
        </w:rPr>
        <w:t xml:space="preserve">osoby </w:t>
      </w:r>
      <w:r w:rsidR="00187708" w:rsidRPr="00EC250C">
        <w:rPr>
          <w:szCs w:val="24"/>
        </w:rPr>
        <w:t>nie zaszły przez ten czas nowe okoliczności</w:t>
      </w:r>
      <w:r w:rsidR="0099181C" w:rsidRPr="00EC250C">
        <w:rPr>
          <w:szCs w:val="24"/>
        </w:rPr>
        <w:t>, które wyłączałyby możliwość wykonania decyzji powrotowej</w:t>
      </w:r>
      <w:r w:rsidR="00187708" w:rsidRPr="00EC250C">
        <w:rPr>
          <w:szCs w:val="24"/>
        </w:rPr>
        <w:t>.</w:t>
      </w:r>
    </w:p>
    <w:p w14:paraId="7BA161B4" w14:textId="77777777" w:rsidR="00C91F6E" w:rsidRPr="00EC250C" w:rsidRDefault="00187708" w:rsidP="00D131FA">
      <w:pPr>
        <w:pStyle w:val="Styl2"/>
        <w:rPr>
          <w:szCs w:val="24"/>
        </w:rPr>
      </w:pPr>
      <w:r w:rsidRPr="00EC250C">
        <w:rPr>
          <w:szCs w:val="24"/>
        </w:rPr>
        <w:t xml:space="preserve">W opinii </w:t>
      </w:r>
      <w:r w:rsidR="00D20D4F" w:rsidRPr="00EC250C">
        <w:rPr>
          <w:szCs w:val="24"/>
        </w:rPr>
        <w:t>RPO</w:t>
      </w:r>
      <w:r w:rsidRPr="00EC250C">
        <w:rPr>
          <w:szCs w:val="24"/>
        </w:rPr>
        <w:t xml:space="preserve"> deportacja cudzoziemca, bez ponownej analizy sytuacji</w:t>
      </w:r>
      <w:r w:rsidR="00992FD0" w:rsidRPr="00EC250C">
        <w:rPr>
          <w:szCs w:val="24"/>
        </w:rPr>
        <w:t xml:space="preserve"> w </w:t>
      </w:r>
      <w:r w:rsidRPr="00EC250C">
        <w:rPr>
          <w:szCs w:val="24"/>
        </w:rPr>
        <w:t>kraju cudzoziemca oraz jego aktualnej sytuacji osobistej może prowadzić do naruszenia prawa do życia, wolności</w:t>
      </w:r>
      <w:r w:rsidR="00992FD0" w:rsidRPr="00EC250C">
        <w:rPr>
          <w:szCs w:val="24"/>
        </w:rPr>
        <w:t xml:space="preserve"> i </w:t>
      </w:r>
      <w:r w:rsidRPr="00EC250C">
        <w:rPr>
          <w:szCs w:val="24"/>
        </w:rPr>
        <w:t>bezpieczeństwa osobistego.</w:t>
      </w:r>
    </w:p>
    <w:p w14:paraId="792E3132" w14:textId="77777777" w:rsidR="00C91F6E" w:rsidRPr="00EC250C" w:rsidRDefault="00187708" w:rsidP="00D131FA">
      <w:pPr>
        <w:pStyle w:val="Styl2"/>
        <w:rPr>
          <w:szCs w:val="24"/>
        </w:rPr>
      </w:pPr>
      <w:r w:rsidRPr="00EC250C">
        <w:rPr>
          <w:szCs w:val="24"/>
        </w:rPr>
        <w:t xml:space="preserve">Na wniosek </w:t>
      </w:r>
      <w:r w:rsidR="00D20D4F" w:rsidRPr="00EC250C">
        <w:rPr>
          <w:szCs w:val="24"/>
        </w:rPr>
        <w:t>RPO</w:t>
      </w:r>
      <w:r w:rsidRPr="00EC250C">
        <w:rPr>
          <w:szCs w:val="24"/>
        </w:rPr>
        <w:t xml:space="preserve"> komendant jednej</w:t>
      </w:r>
      <w:r w:rsidR="00992FD0" w:rsidRPr="00EC250C">
        <w:rPr>
          <w:szCs w:val="24"/>
        </w:rPr>
        <w:t xml:space="preserve"> z </w:t>
      </w:r>
      <w:r w:rsidRPr="00EC250C">
        <w:rPr>
          <w:szCs w:val="24"/>
        </w:rPr>
        <w:t>placówek Straży Granicznej wszczął postępowania</w:t>
      </w:r>
      <w:r w:rsidR="00992FD0" w:rsidRPr="00EC250C">
        <w:rPr>
          <w:szCs w:val="24"/>
        </w:rPr>
        <w:t xml:space="preserve"> w </w:t>
      </w:r>
      <w:r w:rsidRPr="00EC250C">
        <w:rPr>
          <w:szCs w:val="24"/>
        </w:rPr>
        <w:t>przedmiocie udzielenia cudzoziemcowi zgody na pobyt</w:t>
      </w:r>
      <w:r w:rsidR="00992FD0" w:rsidRPr="00EC250C">
        <w:rPr>
          <w:szCs w:val="24"/>
        </w:rPr>
        <w:t xml:space="preserve"> w </w:t>
      </w:r>
      <w:r w:rsidRPr="00EC250C">
        <w:rPr>
          <w:szCs w:val="24"/>
        </w:rPr>
        <w:t>Polsce ze względów humanitarnych</w:t>
      </w:r>
      <w:r w:rsidR="00BB55EC" w:rsidRPr="00EC250C">
        <w:rPr>
          <w:szCs w:val="24"/>
          <w:vertAlign w:val="superscript"/>
        </w:rPr>
        <w:footnoteReference w:id="344"/>
      </w:r>
      <w:r w:rsidRPr="00EC250C">
        <w:rPr>
          <w:szCs w:val="24"/>
        </w:rPr>
        <w:t>.</w:t>
      </w:r>
      <w:r w:rsidR="006E581A" w:rsidRPr="00EC250C">
        <w:rPr>
          <w:szCs w:val="24"/>
        </w:rPr>
        <w:t xml:space="preserve"> W 2019 r. postępowanie to nadal trwało.</w:t>
      </w:r>
    </w:p>
    <w:p w14:paraId="7C224046" w14:textId="77777777" w:rsidR="00633BAE" w:rsidRPr="00EC250C" w:rsidRDefault="00633BAE" w:rsidP="00EC250C">
      <w:pPr>
        <w:pStyle w:val="Nagwek8"/>
      </w:pPr>
      <w:bookmarkStart w:id="343" w:name="_Toc6257793"/>
      <w:r w:rsidRPr="00EC250C">
        <w:rPr>
          <w:rStyle w:val="Nagwek8Znak"/>
          <w:b/>
          <w:bCs/>
          <w:i/>
          <w:shd w:val="clear" w:color="auto" w:fill="auto"/>
        </w:rPr>
        <w:t>Przekazanie do Polski ze Szwecji ormiańskiej rodziny</w:t>
      </w:r>
      <w:r w:rsidR="00992FD0" w:rsidRPr="00EC250C">
        <w:rPr>
          <w:rStyle w:val="Nagwek8Znak"/>
          <w:b/>
          <w:bCs/>
          <w:i/>
          <w:shd w:val="clear" w:color="auto" w:fill="auto"/>
        </w:rPr>
        <w:t xml:space="preserve"> z </w:t>
      </w:r>
      <w:r w:rsidRPr="00EC250C">
        <w:rPr>
          <w:rStyle w:val="Nagwek8Znak"/>
          <w:b/>
          <w:bCs/>
          <w:i/>
          <w:shd w:val="clear" w:color="auto" w:fill="auto"/>
        </w:rPr>
        <w:t>dzieckiem</w:t>
      </w:r>
      <w:r w:rsidR="00992FD0" w:rsidRPr="00EC250C">
        <w:rPr>
          <w:rStyle w:val="Nagwek8Znak"/>
          <w:b/>
          <w:bCs/>
          <w:i/>
          <w:shd w:val="clear" w:color="auto" w:fill="auto"/>
        </w:rPr>
        <w:t xml:space="preserve"> w </w:t>
      </w:r>
      <w:r w:rsidRPr="00EC250C">
        <w:rPr>
          <w:rStyle w:val="Nagwek8Znak"/>
          <w:b/>
          <w:bCs/>
          <w:i/>
          <w:shd w:val="clear" w:color="auto" w:fill="auto"/>
        </w:rPr>
        <w:t>śpiączce</w:t>
      </w:r>
    </w:p>
    <w:p w14:paraId="4908BA09" w14:textId="77777777" w:rsidR="00C91F6E" w:rsidRPr="00EC250C" w:rsidRDefault="00633BAE" w:rsidP="00D131FA">
      <w:pPr>
        <w:pStyle w:val="Styl2"/>
        <w:rPr>
          <w:szCs w:val="24"/>
        </w:rPr>
      </w:pPr>
      <w:bookmarkStart w:id="344" w:name="_Hlk5278337"/>
      <w:r w:rsidRPr="00EC250C">
        <w:rPr>
          <w:szCs w:val="24"/>
        </w:rPr>
        <w:t>Szwecja deportowała do Polski ormiańską rodzinę</w:t>
      </w:r>
      <w:r w:rsidR="00992FD0" w:rsidRPr="00EC250C">
        <w:rPr>
          <w:szCs w:val="24"/>
        </w:rPr>
        <w:t xml:space="preserve"> z </w:t>
      </w:r>
      <w:r w:rsidRPr="00EC250C">
        <w:rPr>
          <w:szCs w:val="24"/>
        </w:rPr>
        <w:t>dzieckiem</w:t>
      </w:r>
      <w:r w:rsidR="00992FD0" w:rsidRPr="00EC250C">
        <w:rPr>
          <w:szCs w:val="24"/>
        </w:rPr>
        <w:t xml:space="preserve"> w </w:t>
      </w:r>
      <w:r w:rsidRPr="00EC250C">
        <w:rPr>
          <w:szCs w:val="24"/>
        </w:rPr>
        <w:t>śpiączce. Rodzina trafiła do jednego</w:t>
      </w:r>
      <w:r w:rsidR="00992FD0" w:rsidRPr="00EC250C">
        <w:rPr>
          <w:szCs w:val="24"/>
        </w:rPr>
        <w:t xml:space="preserve"> z </w:t>
      </w:r>
      <w:r w:rsidRPr="00EC250C">
        <w:rPr>
          <w:szCs w:val="24"/>
        </w:rPr>
        <w:t>ośrodków dla cudzoziemców ubiegających się</w:t>
      </w:r>
      <w:r w:rsidR="00992FD0" w:rsidRPr="00EC250C">
        <w:rPr>
          <w:szCs w:val="24"/>
        </w:rPr>
        <w:t xml:space="preserve"> o </w:t>
      </w:r>
      <w:r w:rsidRPr="00EC250C">
        <w:rPr>
          <w:szCs w:val="24"/>
        </w:rPr>
        <w:t>ochronę międzynarodową. Zachodziła obawa, czy dziecko otrzyma tam odpowiednią pomoc.</w:t>
      </w:r>
    </w:p>
    <w:p w14:paraId="6ED5C7CE" w14:textId="77777777" w:rsidR="00D7759B" w:rsidRPr="00EC250C" w:rsidRDefault="00D7759B" w:rsidP="00D131FA">
      <w:pPr>
        <w:pStyle w:val="Styl2"/>
        <w:rPr>
          <w:szCs w:val="24"/>
        </w:rPr>
      </w:pPr>
      <w:r w:rsidRPr="00EC250C">
        <w:rPr>
          <w:szCs w:val="24"/>
        </w:rPr>
        <w:t>Przedstawiciele Rzecznika Praw Obywatelskich przeprowadzili w ośrodku wizytację. Jej celem było przede wszystkim zbadanie warunków, jakie zapewnił rodzinie Urząd ds. Cudzoziemców oraz ocena jakości pomocy, także medycznej, udzielonej cudzoziemcom po ich przyjeździe do Polski. Po wizytacji RPO skierował wystąpienie do Urzędu ds. Cudzoziemców</w:t>
      </w:r>
      <w:r w:rsidRPr="00EC250C">
        <w:rPr>
          <w:rStyle w:val="Odwoanieprzypisudolnego"/>
          <w:szCs w:val="24"/>
        </w:rPr>
        <w:footnoteReference w:id="345"/>
      </w:r>
      <w:r w:rsidRPr="00EC250C">
        <w:rPr>
          <w:szCs w:val="24"/>
        </w:rPr>
        <w:t>, w którym przedstawił swoje uwagi, m.in. na temat obiegu informacji o stanie zdrowia dziecka oraz dostępu do opieki lekarskiej po przyjęciu dziecka do placówki.</w:t>
      </w:r>
    </w:p>
    <w:p w14:paraId="1A5F1031" w14:textId="77777777" w:rsidR="00633BAE" w:rsidRPr="00EC250C" w:rsidRDefault="00D20D4F" w:rsidP="00D131FA">
      <w:pPr>
        <w:pStyle w:val="Styl2"/>
        <w:rPr>
          <w:szCs w:val="24"/>
        </w:rPr>
      </w:pPr>
      <w:r w:rsidRPr="00EC250C">
        <w:rPr>
          <w:szCs w:val="24"/>
        </w:rPr>
        <w:t>RPO</w:t>
      </w:r>
      <w:r w:rsidR="00633BAE" w:rsidRPr="00EC250C">
        <w:rPr>
          <w:szCs w:val="24"/>
        </w:rPr>
        <w:t xml:space="preserve"> zwrócił też uwagę na potrzebę wypracowania zasad postępowania</w:t>
      </w:r>
      <w:r w:rsidR="00992FD0" w:rsidRPr="00EC250C">
        <w:rPr>
          <w:szCs w:val="24"/>
        </w:rPr>
        <w:t xml:space="preserve"> w </w:t>
      </w:r>
      <w:r w:rsidR="00633BAE" w:rsidRPr="00EC250C">
        <w:rPr>
          <w:szCs w:val="24"/>
        </w:rPr>
        <w:t>przypadkach przekazywania do Polski,</w:t>
      </w:r>
      <w:r w:rsidR="00992FD0" w:rsidRPr="00EC250C">
        <w:rPr>
          <w:szCs w:val="24"/>
        </w:rPr>
        <w:t xml:space="preserve"> w </w:t>
      </w:r>
      <w:r w:rsidR="00633BAE" w:rsidRPr="00EC250C">
        <w:rPr>
          <w:szCs w:val="24"/>
        </w:rPr>
        <w:t>ramach rozporządzenia Dublin III</w:t>
      </w:r>
      <w:r w:rsidR="00633BAE" w:rsidRPr="00EC250C">
        <w:rPr>
          <w:szCs w:val="24"/>
          <w:vertAlign w:val="superscript"/>
        </w:rPr>
        <w:footnoteReference w:id="346"/>
      </w:r>
      <w:r w:rsidR="00633BAE" w:rsidRPr="00EC250C">
        <w:rPr>
          <w:szCs w:val="24"/>
        </w:rPr>
        <w:t>, cudzoziemców wymagających szczególnej opieki.</w:t>
      </w:r>
    </w:p>
    <w:p w14:paraId="4BFCE012" w14:textId="77777777" w:rsidR="00633BAE" w:rsidRPr="00EC250C" w:rsidRDefault="00633BAE" w:rsidP="00D131FA">
      <w:pPr>
        <w:pStyle w:val="Styl2"/>
        <w:rPr>
          <w:szCs w:val="24"/>
        </w:rPr>
      </w:pPr>
      <w:r w:rsidRPr="00EC250C">
        <w:rPr>
          <w:szCs w:val="24"/>
        </w:rPr>
        <w:t>Rodzice dziecka skarżyli się także</w:t>
      </w:r>
      <w:r w:rsidR="00392799" w:rsidRPr="00EC250C">
        <w:rPr>
          <w:szCs w:val="24"/>
        </w:rPr>
        <w:t xml:space="preserve"> </w:t>
      </w:r>
      <w:r w:rsidRPr="00EC250C">
        <w:rPr>
          <w:szCs w:val="24"/>
        </w:rPr>
        <w:t>na sposób,</w:t>
      </w:r>
      <w:r w:rsidR="00992FD0" w:rsidRPr="00EC250C">
        <w:rPr>
          <w:szCs w:val="24"/>
        </w:rPr>
        <w:t xml:space="preserve"> w </w:t>
      </w:r>
      <w:r w:rsidRPr="00EC250C">
        <w:rPr>
          <w:szCs w:val="24"/>
        </w:rPr>
        <w:t xml:space="preserve">jaki zostali potraktowani przez funkcjonariuszy szwedzkich służb imigracyjnych. Dlatego </w:t>
      </w:r>
      <w:r w:rsidR="00D20D4F" w:rsidRPr="00EC250C">
        <w:rPr>
          <w:szCs w:val="24"/>
        </w:rPr>
        <w:t>RPO</w:t>
      </w:r>
      <w:r w:rsidRPr="00EC250C">
        <w:rPr>
          <w:szCs w:val="24"/>
        </w:rPr>
        <w:t xml:space="preserve"> interweniował</w:t>
      </w:r>
      <w:r w:rsidR="00992FD0" w:rsidRPr="00EC250C">
        <w:rPr>
          <w:szCs w:val="24"/>
        </w:rPr>
        <w:t xml:space="preserve"> w </w:t>
      </w:r>
      <w:r w:rsidRPr="00EC250C">
        <w:rPr>
          <w:szCs w:val="24"/>
        </w:rPr>
        <w:t>urzędzie szwedzkiego Ombudsmana</w:t>
      </w:r>
      <w:r w:rsidRPr="00EC250C">
        <w:rPr>
          <w:szCs w:val="24"/>
          <w:vertAlign w:val="superscript"/>
        </w:rPr>
        <w:footnoteReference w:id="347"/>
      </w:r>
      <w:r w:rsidRPr="00EC250C">
        <w:rPr>
          <w:szCs w:val="24"/>
        </w:rPr>
        <w:t>. Ten, po zbadaniu sprawy,</w:t>
      </w:r>
      <w:r w:rsidR="00992FD0" w:rsidRPr="00EC250C">
        <w:rPr>
          <w:szCs w:val="24"/>
        </w:rPr>
        <w:t xml:space="preserve"> w </w:t>
      </w:r>
      <w:r w:rsidRPr="00EC250C">
        <w:rPr>
          <w:szCs w:val="24"/>
        </w:rPr>
        <w:t>działaniu służb imigracyjnych nie dopatrzył się jednak nieprawidłowości.</w:t>
      </w:r>
    </w:p>
    <w:bookmarkEnd w:id="344"/>
    <w:p w14:paraId="3F2CFC30" w14:textId="77777777" w:rsidR="00633BAE" w:rsidRPr="00EC250C" w:rsidRDefault="00633BAE" w:rsidP="00D131FA">
      <w:pPr>
        <w:spacing w:after="200" w:line="24" w:lineRule="auto"/>
        <w:jc w:val="both"/>
        <w:rPr>
          <w:rFonts w:eastAsiaTheme="majorEastAsia"/>
          <w:b/>
          <w:spacing w:val="0"/>
          <w:sz w:val="36"/>
        </w:rPr>
      </w:pPr>
      <w:r w:rsidRPr="00EC250C">
        <w:rPr>
          <w:sz w:val="24"/>
        </w:rPr>
        <w:br w:type="page"/>
      </w:r>
    </w:p>
    <w:p w14:paraId="3BD39B9F" w14:textId="77777777" w:rsidR="00187708" w:rsidRPr="00EC250C" w:rsidRDefault="00187708" w:rsidP="00D131FA">
      <w:pPr>
        <w:pStyle w:val="Nagwek2"/>
        <w:jc w:val="both"/>
      </w:pPr>
      <w:bookmarkStart w:id="345" w:name="_Toc11247671"/>
      <w:r w:rsidRPr="00EC250C">
        <w:lastRenderedPageBreak/>
        <w:t>3. Wolności</w:t>
      </w:r>
      <w:r w:rsidR="00992FD0" w:rsidRPr="00EC250C">
        <w:t xml:space="preserve"> i </w:t>
      </w:r>
      <w:r w:rsidRPr="00EC250C">
        <w:t>prawa polityczne</w:t>
      </w:r>
      <w:bookmarkEnd w:id="343"/>
      <w:bookmarkEnd w:id="345"/>
    </w:p>
    <w:p w14:paraId="400608F7" w14:textId="77777777" w:rsidR="00C91F6E" w:rsidRPr="00EC250C" w:rsidRDefault="00187708" w:rsidP="00EC250C">
      <w:pPr>
        <w:pStyle w:val="Nagwek3"/>
      </w:pPr>
      <w:bookmarkStart w:id="346" w:name="_Toc6257794"/>
      <w:bookmarkStart w:id="347" w:name="_Toc11247672"/>
      <w:r w:rsidRPr="00EC250C">
        <w:t xml:space="preserve">Art. 57 </w:t>
      </w:r>
      <w:r w:rsidR="006302BF" w:rsidRPr="00EC250C">
        <w:t xml:space="preserve">Konstytucji </w:t>
      </w:r>
      <w:r w:rsidRPr="00EC250C">
        <w:t>– Wolność organizowania pokojowych zgromadzeń</w:t>
      </w:r>
      <w:bookmarkEnd w:id="346"/>
      <w:bookmarkEnd w:id="347"/>
    </w:p>
    <w:p w14:paraId="4292BC47" w14:textId="77777777" w:rsidR="00187708" w:rsidRPr="00EC250C" w:rsidRDefault="00187708" w:rsidP="00D131FA">
      <w:pPr>
        <w:pStyle w:val="konstytucja"/>
        <w:jc w:val="both"/>
      </w:pPr>
      <w:r w:rsidRPr="00EC250C">
        <w:t>Każdemu zapewnia się wolność organizowania pokojowych zgromadzeń</w:t>
      </w:r>
      <w:r w:rsidR="00992FD0" w:rsidRPr="00EC250C">
        <w:t xml:space="preserve"> i </w:t>
      </w:r>
      <w:r w:rsidRPr="00EC250C">
        <w:t>uczestniczenia</w:t>
      </w:r>
      <w:r w:rsidR="00992FD0" w:rsidRPr="00EC250C">
        <w:t xml:space="preserve"> w </w:t>
      </w:r>
      <w:r w:rsidRPr="00EC250C">
        <w:t>nich. Ograniczenie tej wolności może określać ustawa.</w:t>
      </w:r>
    </w:p>
    <w:p w14:paraId="124DD3C0" w14:textId="77777777" w:rsidR="00C91F6E" w:rsidRPr="00EC250C" w:rsidRDefault="00187708" w:rsidP="00D131FA">
      <w:pPr>
        <w:pStyle w:val="ComwiKonstytucja"/>
      </w:pPr>
      <w:r w:rsidRPr="00EC250C">
        <w:t>Z konstytucyjnej wolności zgromadzeń można wyprowadzić kilka praw podmiotowych: prawo do organizowania zgromadzenia, kierowania jego przebiegiem, uczestniczenia lub nieuczestniczenia</w:t>
      </w:r>
      <w:r w:rsidR="00992FD0" w:rsidRPr="00EC250C">
        <w:t xml:space="preserve"> w </w:t>
      </w:r>
      <w:r w:rsidRPr="00EC250C">
        <w:t>zgromadzeniu</w:t>
      </w:r>
      <w:r w:rsidR="00992FD0" w:rsidRPr="00EC250C">
        <w:t xml:space="preserve"> i </w:t>
      </w:r>
      <w:r w:rsidRPr="00EC250C">
        <w:t>prawo do ochrony ze strony państwa lub innych władz publicznych.</w:t>
      </w:r>
    </w:p>
    <w:p w14:paraId="4EC12C10" w14:textId="77777777" w:rsidR="00C91F6E" w:rsidRPr="00EC250C" w:rsidRDefault="00187708" w:rsidP="00D131FA">
      <w:pPr>
        <w:pStyle w:val="ComwiKonstytucja"/>
      </w:pPr>
      <w:r w:rsidRPr="00EC250C">
        <w:t>Wszelka ingerencja władz publicznych</w:t>
      </w:r>
      <w:r w:rsidR="00992FD0" w:rsidRPr="00EC250C">
        <w:t xml:space="preserve"> w </w:t>
      </w:r>
      <w:r w:rsidRPr="00EC250C">
        <w:t>sferę wolności zgromadzeń musi być powściągliwa</w:t>
      </w:r>
      <w:r w:rsidR="00992FD0" w:rsidRPr="00EC250C">
        <w:t xml:space="preserve"> i </w:t>
      </w:r>
      <w:r w:rsidRPr="00EC250C">
        <w:t>musi mieć uzasadnienie prawne.</w:t>
      </w:r>
    </w:p>
    <w:p w14:paraId="63C44E4F" w14:textId="77777777" w:rsidR="00187708" w:rsidRPr="00EC250C" w:rsidRDefault="00187708" w:rsidP="00D131FA">
      <w:pPr>
        <w:pStyle w:val="ComwiKonstytucja"/>
      </w:pPr>
      <w:r w:rsidRPr="00EC250C">
        <w:t>Warunkiem objęcia zgromadzenia ochroną konstytucyjną jest jego pokojowy charakter.</w:t>
      </w:r>
    </w:p>
    <w:p w14:paraId="7CFD0722" w14:textId="77777777" w:rsidR="00EE09AA" w:rsidRPr="00EC250C" w:rsidRDefault="00EE09AA" w:rsidP="00D131FA">
      <w:pPr>
        <w:pStyle w:val="ComwiKonstytucja"/>
      </w:pPr>
    </w:p>
    <w:p w14:paraId="1207ACC6" w14:textId="77777777" w:rsidR="00187708" w:rsidRPr="00EC250C" w:rsidRDefault="00187708" w:rsidP="00D131FA">
      <w:pPr>
        <w:spacing w:after="200" w:line="24" w:lineRule="auto"/>
        <w:jc w:val="both"/>
        <w:rPr>
          <w:i/>
          <w:spacing w:val="5"/>
          <w:sz w:val="22"/>
        </w:rPr>
      </w:pPr>
      <w:r w:rsidRPr="00EC250C">
        <w:rPr>
          <w:sz w:val="24"/>
        </w:rPr>
        <w:br w:type="page"/>
      </w:r>
    </w:p>
    <w:p w14:paraId="4B7BE080" w14:textId="77777777" w:rsidR="00187708" w:rsidRPr="00EC250C" w:rsidRDefault="00744B2D" w:rsidP="00EC79EB">
      <w:pPr>
        <w:pStyle w:val="Nagwek4"/>
      </w:pPr>
      <w:hyperlink r:id="rId15" w:history="1">
        <w:bookmarkStart w:id="348" w:name="_Toc6257795"/>
        <w:bookmarkStart w:id="349" w:name="_Toc11247673"/>
        <w:r w:rsidR="00BD4CF8" w:rsidRPr="00EC250C">
          <w:t>Problem</w:t>
        </w:r>
        <w:r w:rsidR="00992FD0" w:rsidRPr="00EC250C">
          <w:t xml:space="preserve"> z </w:t>
        </w:r>
        <w:r w:rsidR="00BD4CF8" w:rsidRPr="00EC250C">
          <w:t>kluczową dla wolności ustawą</w:t>
        </w:r>
        <w:r w:rsidR="00992FD0" w:rsidRPr="00EC250C">
          <w:t xml:space="preserve"> o </w:t>
        </w:r>
        <w:r w:rsidR="00BD4CF8" w:rsidRPr="00EC250C">
          <w:t>zgromadzeniach.</w:t>
        </w:r>
        <w:r w:rsidR="00187708" w:rsidRPr="00EC250C">
          <w:t xml:space="preserve"> Raport RPO</w:t>
        </w:r>
        <w:bookmarkEnd w:id="348"/>
        <w:bookmarkEnd w:id="349"/>
      </w:hyperlink>
    </w:p>
    <w:p w14:paraId="6A606DA8" w14:textId="77777777" w:rsidR="00B473F5" w:rsidRPr="00EC250C" w:rsidRDefault="00187708" w:rsidP="00D131FA">
      <w:pPr>
        <w:pStyle w:val="Problemczowieka"/>
        <w:jc w:val="both"/>
        <w:rPr>
          <w:bdr w:val="none" w:sz="0" w:space="0" w:color="auto" w:frame="1"/>
        </w:rPr>
      </w:pPr>
      <w:r w:rsidRPr="00EC250C">
        <w:rPr>
          <w:bdr w:val="none" w:sz="0" w:space="0" w:color="auto" w:frame="1"/>
        </w:rPr>
        <w:t xml:space="preserve">Wolność zgromadzeń </w:t>
      </w:r>
      <w:r w:rsidR="00E63B56" w:rsidRPr="00EC250C">
        <w:rPr>
          <w:bdr w:val="none" w:sz="0" w:space="0" w:color="auto" w:frame="1"/>
        </w:rPr>
        <w:t xml:space="preserve">jest </w:t>
      </w:r>
      <w:r w:rsidRPr="00EC250C">
        <w:rPr>
          <w:bdr w:val="none" w:sz="0" w:space="0" w:color="auto" w:frame="1"/>
        </w:rPr>
        <w:t>dziś</w:t>
      </w:r>
      <w:r w:rsidR="00992FD0" w:rsidRPr="00EC250C">
        <w:rPr>
          <w:bdr w:val="none" w:sz="0" w:space="0" w:color="auto" w:frame="1"/>
        </w:rPr>
        <w:t xml:space="preserve"> w </w:t>
      </w:r>
      <w:r w:rsidRPr="00EC250C">
        <w:rPr>
          <w:bdr w:val="none" w:sz="0" w:space="0" w:color="auto" w:frame="1"/>
        </w:rPr>
        <w:t>Polsce</w:t>
      </w:r>
      <w:r w:rsidR="00CC4D88" w:rsidRPr="00EC250C">
        <w:rPr>
          <w:bdr w:val="none" w:sz="0" w:space="0" w:color="auto" w:frame="1"/>
        </w:rPr>
        <w:t xml:space="preserve"> </w:t>
      </w:r>
      <w:r w:rsidRPr="00EC250C">
        <w:rPr>
          <w:bdr w:val="none" w:sz="0" w:space="0" w:color="auto" w:frame="1"/>
        </w:rPr>
        <w:t>naruszana</w:t>
      </w:r>
      <w:r w:rsidR="00CC4D88" w:rsidRPr="00EC250C">
        <w:rPr>
          <w:bdr w:val="none" w:sz="0" w:space="0" w:color="auto" w:frame="1"/>
        </w:rPr>
        <w:t xml:space="preserve"> </w:t>
      </w:r>
      <w:r w:rsidRPr="00EC250C">
        <w:rPr>
          <w:bdr w:val="none" w:sz="0" w:space="0" w:color="auto" w:frame="1"/>
        </w:rPr>
        <w:t>przez ustawę</w:t>
      </w:r>
      <w:r w:rsidR="00992FD0" w:rsidRPr="00EC250C">
        <w:rPr>
          <w:bdr w:val="none" w:sz="0" w:space="0" w:color="auto" w:frame="1"/>
        </w:rPr>
        <w:t xml:space="preserve"> o </w:t>
      </w:r>
      <w:r w:rsidRPr="00EC250C">
        <w:rPr>
          <w:bdr w:val="none" w:sz="0" w:space="0" w:color="auto" w:frame="1"/>
        </w:rPr>
        <w:t>zgromadzeniach oraz wskutek działań władz</w:t>
      </w:r>
      <w:r w:rsidR="00B473F5" w:rsidRPr="00EC250C">
        <w:rPr>
          <w:bdr w:val="none" w:sz="0" w:space="0" w:color="auto" w:frame="1"/>
        </w:rPr>
        <w:t>.</w:t>
      </w:r>
    </w:p>
    <w:p w14:paraId="105BBA19" w14:textId="77777777" w:rsidR="004E5197" w:rsidRPr="00EC250C" w:rsidRDefault="004E5197" w:rsidP="00D131FA">
      <w:pPr>
        <w:pStyle w:val="Styl1"/>
      </w:pPr>
      <w:r w:rsidRPr="00EC250C">
        <w:t>W 2018</w:t>
      </w:r>
      <w:r w:rsidR="00C91F6E" w:rsidRPr="00EC250C">
        <w:t> r.</w:t>
      </w:r>
      <w:r w:rsidRPr="00EC250C">
        <w:t xml:space="preserve"> Rzecznik Praw Obywatelskich przeanalizował respektowanie wolności zgromadzeń</w:t>
      </w:r>
      <w:r w:rsidR="00992FD0" w:rsidRPr="00EC250C">
        <w:t xml:space="preserve"> w </w:t>
      </w:r>
      <w:r w:rsidRPr="00EC250C">
        <w:t>216-stronicowym raporcie</w:t>
      </w:r>
      <w:r w:rsidRPr="00EC250C">
        <w:rPr>
          <w:rStyle w:val="Odwoanieprzypisudolnego"/>
        </w:rPr>
        <w:footnoteReference w:id="348"/>
      </w:r>
      <w:r w:rsidR="00003634" w:rsidRPr="00EC250C">
        <w:t xml:space="preserve"> i opisał </w:t>
      </w:r>
      <w:r w:rsidRPr="00EC250C">
        <w:t>najważniejsze manifestacje</w:t>
      </w:r>
      <w:r w:rsidR="00992FD0" w:rsidRPr="00EC250C">
        <w:t xml:space="preserve"> z </w:t>
      </w:r>
      <w:r w:rsidRPr="00EC250C">
        <w:t>tego czasu, wystąpienia RPO, stan prawny, orzecznictwem sądów, Trybunału Konstytucyjnego</w:t>
      </w:r>
      <w:r w:rsidR="00992FD0" w:rsidRPr="00EC250C">
        <w:t xml:space="preserve"> i </w:t>
      </w:r>
      <w:r w:rsidRPr="00EC250C">
        <w:t>Europejskiego Trybunału Praw Człowieka</w:t>
      </w:r>
      <w:r w:rsidR="00003634" w:rsidRPr="00EC250C">
        <w:t>. Przedstawił też swoje rekomendacje</w:t>
      </w:r>
      <w:r w:rsidRPr="00EC250C">
        <w:t>.</w:t>
      </w:r>
    </w:p>
    <w:p w14:paraId="29FF126C" w14:textId="77777777" w:rsidR="00187708" w:rsidRPr="00EC250C" w:rsidRDefault="00187708" w:rsidP="00D131FA">
      <w:pPr>
        <w:pStyle w:val="Styl1"/>
      </w:pPr>
      <w:r w:rsidRPr="00EC250C">
        <w:t xml:space="preserve">Wolność zgromadzeń </w:t>
      </w:r>
      <w:r w:rsidR="00D7759B" w:rsidRPr="00EC250C">
        <w:t>jest</w:t>
      </w:r>
      <w:r w:rsidRPr="00EC250C">
        <w:t xml:space="preserve"> jedną</w:t>
      </w:r>
      <w:r w:rsidR="00992FD0" w:rsidRPr="00EC250C">
        <w:t xml:space="preserve"> z </w:t>
      </w:r>
      <w:r w:rsidRPr="00EC250C">
        <w:t>najważniejszych wolności,</w:t>
      </w:r>
      <w:r w:rsidR="00992FD0" w:rsidRPr="00EC250C">
        <w:t xml:space="preserve"> o </w:t>
      </w:r>
      <w:r w:rsidRPr="00EC250C">
        <w:t>którą</w:t>
      </w:r>
      <w:r w:rsidR="00992FD0" w:rsidRPr="00EC250C">
        <w:t xml:space="preserve"> w </w:t>
      </w:r>
      <w:r w:rsidRPr="00EC250C">
        <w:t>czasach komunistycznej opresji totalitarnej walczyła demokratyczna opozycja</w:t>
      </w:r>
      <w:r w:rsidR="00992FD0" w:rsidRPr="00EC250C">
        <w:t xml:space="preserve"> i </w:t>
      </w:r>
      <w:r w:rsidRPr="00EC250C">
        <w:t xml:space="preserve">„Solidarność”. Dzisiaj nikt nie może twierdzić, że państwo polskie równie opresyjnie traktuje swoich obywateli. </w:t>
      </w:r>
      <w:r w:rsidR="00BD4CF8" w:rsidRPr="00EC250C">
        <w:t xml:space="preserve">– </w:t>
      </w:r>
      <w:r w:rsidRPr="00EC250C">
        <w:t>Podkreślić jednak należy</w:t>
      </w:r>
      <w:r w:rsidR="00992FD0" w:rsidRPr="00EC250C">
        <w:t xml:space="preserve"> z </w:t>
      </w:r>
      <w:r w:rsidRPr="00EC250C">
        <w:t>całą mocą, że wolność zgromadzeń publicznych jest źrenicą wolności</w:t>
      </w:r>
      <w:r w:rsidR="00992FD0" w:rsidRPr="00EC250C">
        <w:t xml:space="preserve"> w </w:t>
      </w:r>
      <w:r w:rsidRPr="00EC250C">
        <w:t>demokratycznym państwie prawa</w:t>
      </w:r>
      <w:r w:rsidR="00992FD0" w:rsidRPr="00EC250C">
        <w:t xml:space="preserve"> i </w:t>
      </w:r>
      <w:r w:rsidRPr="00EC250C">
        <w:t>wszelkie próby jej ograniczenia, tłumienia aktywności obywateli, zniechęcania ich do udziału na skutek represji wykroczeniowej czy działań administracji państwowej, muszą spotkać się ze stanowczym sprzeciwem organu stojącego na straży konstytucyjnych praw</w:t>
      </w:r>
      <w:r w:rsidR="00992FD0" w:rsidRPr="00EC250C">
        <w:t xml:space="preserve"> i </w:t>
      </w:r>
      <w:r w:rsidRPr="00EC250C">
        <w:t>wolności.</w:t>
      </w:r>
    </w:p>
    <w:p w14:paraId="39727BB2" w14:textId="77777777" w:rsidR="00C91F6E" w:rsidRPr="00EC250C" w:rsidRDefault="00187708" w:rsidP="00D131FA">
      <w:pPr>
        <w:pStyle w:val="Styl1"/>
      </w:pPr>
      <w:r w:rsidRPr="00EC250C">
        <w:t>Prawo do demonstracji</w:t>
      </w:r>
      <w:r w:rsidR="00992FD0" w:rsidRPr="00EC250C">
        <w:t xml:space="preserve"> i </w:t>
      </w:r>
      <w:r w:rsidRPr="00EC250C">
        <w:t>zgromadzeń publicznych, wolność słowa</w:t>
      </w:r>
      <w:r w:rsidR="00992FD0" w:rsidRPr="00EC250C">
        <w:t xml:space="preserve"> i </w:t>
      </w:r>
      <w:r w:rsidRPr="00EC250C">
        <w:t>wyrażania poglądów należy do fundamentów demokracji.</w:t>
      </w:r>
    </w:p>
    <w:p w14:paraId="780039EC" w14:textId="77777777" w:rsidR="00187708" w:rsidRPr="00EC250C" w:rsidRDefault="00D20D4F" w:rsidP="00D131FA">
      <w:pPr>
        <w:pStyle w:val="Styl1"/>
      </w:pPr>
      <w:r w:rsidRPr="00EC250C">
        <w:t>RPO</w:t>
      </w:r>
      <w:r w:rsidR="00187708" w:rsidRPr="00EC250C">
        <w:t xml:space="preserve"> zwr</w:t>
      </w:r>
      <w:r w:rsidR="00D7759B" w:rsidRPr="00EC250C">
        <w:t>ócił</w:t>
      </w:r>
      <w:r w:rsidR="00187708" w:rsidRPr="00EC250C">
        <w:t xml:space="preserve"> uwagę,</w:t>
      </w:r>
      <w:r w:rsidR="00CC4D88" w:rsidRPr="00EC250C">
        <w:t xml:space="preserve"> </w:t>
      </w:r>
      <w:r w:rsidR="00187708" w:rsidRPr="00EC250C">
        <w:t>że mimo wielu niekorzystnych działań władz</w:t>
      </w:r>
      <w:r w:rsidR="00CC4D88" w:rsidRPr="00EC250C">
        <w:t xml:space="preserve"> </w:t>
      </w:r>
      <w:r w:rsidR="00187708" w:rsidRPr="00EC250C">
        <w:t>(m.in. policji, straży leśnej, wojewody)</w:t>
      </w:r>
      <w:r w:rsidR="00992FD0" w:rsidRPr="00EC250C">
        <w:t xml:space="preserve"> i </w:t>
      </w:r>
      <w:r w:rsidR="00187708" w:rsidRPr="00EC250C">
        <w:t>stosowania wobec demonstrantów mandatów</w:t>
      </w:r>
      <w:r w:rsidR="00992FD0" w:rsidRPr="00EC250C">
        <w:t xml:space="preserve"> i </w:t>
      </w:r>
      <w:r w:rsidR="00187708" w:rsidRPr="00EC250C">
        <w:t>wniosków</w:t>
      </w:r>
      <w:r w:rsidR="00992FD0" w:rsidRPr="00EC250C">
        <w:t xml:space="preserve"> o </w:t>
      </w:r>
      <w:r w:rsidR="00187708" w:rsidRPr="00EC250C">
        <w:t>ukaranie, często byli oni uniewinniani. Stosując bezpośrednio Konstytucję sądy uznawały, że działania manifestantów stanowiły realizację wolności zgromadzeń</w:t>
      </w:r>
      <w:r w:rsidR="00992FD0" w:rsidRPr="00EC250C">
        <w:t xml:space="preserve"> i </w:t>
      </w:r>
      <w:r w:rsidR="00187708" w:rsidRPr="00EC250C">
        <w:t>wolności słowa.</w:t>
      </w:r>
    </w:p>
    <w:p w14:paraId="3BBAFFE8" w14:textId="77777777" w:rsidR="004E30FF" w:rsidRPr="00EC250C" w:rsidRDefault="004E30FF" w:rsidP="00D131FA">
      <w:pPr>
        <w:pStyle w:val="Styl1"/>
        <w:rPr>
          <w:sz w:val="24"/>
          <w:szCs w:val="24"/>
        </w:rPr>
      </w:pPr>
      <w:r w:rsidRPr="00EC250C">
        <w:t xml:space="preserve">Rzecznik Praw Obywatelskich wskazuje m.in., że </w:t>
      </w:r>
    </w:p>
    <w:p w14:paraId="0FF833C9" w14:textId="77777777" w:rsidR="004E30FF" w:rsidRPr="00EC250C" w:rsidRDefault="004E30FF" w:rsidP="006C70B7">
      <w:pPr>
        <w:pStyle w:val="Styl1"/>
        <w:numPr>
          <w:ilvl w:val="0"/>
          <w:numId w:val="151"/>
        </w:numPr>
      </w:pPr>
      <w:r w:rsidRPr="00EC250C">
        <w:t>prawo od ochrony przysługuje jedynie pokojowym manifestacjom; których uczestnicy szanują prawa i wolności innych, porządek publiczny, unikają mowy nienawiści oraz ograniczają zachowania i gesty, które mogą prowokować przemoc;</w:t>
      </w:r>
    </w:p>
    <w:p w14:paraId="3FE76AF4" w14:textId="77777777" w:rsidR="004E30FF" w:rsidRPr="00EC250C" w:rsidRDefault="004E30FF" w:rsidP="006C70B7">
      <w:pPr>
        <w:pStyle w:val="Styl1"/>
        <w:numPr>
          <w:ilvl w:val="0"/>
          <w:numId w:val="151"/>
        </w:numPr>
      </w:pPr>
      <w:r w:rsidRPr="00EC250C">
        <w:t>trzeba zmienić Prawo o zgromadzeniach i przywrócić stan sprzed nowelizacji w 2016 r. (problem zgromadzeń cyklicznych – patrz niżej);</w:t>
      </w:r>
    </w:p>
    <w:p w14:paraId="2BFEF0AD" w14:textId="77777777" w:rsidR="004E30FF" w:rsidRPr="00EC250C" w:rsidRDefault="004E30FF" w:rsidP="006C70B7">
      <w:pPr>
        <w:pStyle w:val="Styl1"/>
        <w:numPr>
          <w:ilvl w:val="0"/>
          <w:numId w:val="151"/>
        </w:numPr>
      </w:pPr>
      <w:r w:rsidRPr="00EC250C">
        <w:t>zadaniem policji i urzędników (państwowych i samorządowych) jest zapewnienie warunków do realizacji wolności zgromadzeń. Ewentualna interwencja władzy powinna mieć zawsze charakter wyjątkowy;</w:t>
      </w:r>
    </w:p>
    <w:p w14:paraId="6E63F51C" w14:textId="77777777" w:rsidR="004E30FF" w:rsidRPr="00EC250C" w:rsidRDefault="004E30FF" w:rsidP="006C70B7">
      <w:pPr>
        <w:pStyle w:val="Styl1"/>
        <w:numPr>
          <w:ilvl w:val="0"/>
          <w:numId w:val="151"/>
        </w:numPr>
      </w:pPr>
      <w:r w:rsidRPr="00EC250C">
        <w:lastRenderedPageBreak/>
        <w:t>szukanie w prawie sposobów na ograniczanie ludziom wolności zgromadzeń to łamanie przyjętych przez Polskę standardów. Naraża też Polskę na przegrane sprawy przed Europejskim Trybunałem Praw Człowieka;</w:t>
      </w:r>
    </w:p>
    <w:p w14:paraId="0BBF3254" w14:textId="77777777" w:rsidR="004E30FF" w:rsidRPr="00EC250C" w:rsidRDefault="004E30FF" w:rsidP="006C70B7">
      <w:pPr>
        <w:pStyle w:val="Styl1"/>
        <w:numPr>
          <w:ilvl w:val="0"/>
          <w:numId w:val="151"/>
        </w:numPr>
      </w:pPr>
      <w:r w:rsidRPr="00EC250C">
        <w:t>gmina nie może zakazać zgromadzenia jedynie na podstawie przypuszczeń o niepokojowych zamiarach uczestników;</w:t>
      </w:r>
    </w:p>
    <w:p w14:paraId="40FA7D6F" w14:textId="77777777" w:rsidR="004E30FF" w:rsidRPr="00EC250C" w:rsidRDefault="004E30FF" w:rsidP="006C70B7">
      <w:pPr>
        <w:pStyle w:val="Styl1"/>
        <w:numPr>
          <w:ilvl w:val="0"/>
          <w:numId w:val="151"/>
        </w:numPr>
      </w:pPr>
      <w:r w:rsidRPr="00EC250C">
        <w:t>Policja jest </w:t>
      </w:r>
      <w:r w:rsidRPr="00EC250C">
        <w:rPr>
          <w:rStyle w:val="Pogrubienie"/>
          <w:rFonts w:eastAsiaTheme="majorEastAsia"/>
          <w:b w:val="0"/>
          <w:bCs w:val="0"/>
        </w:rPr>
        <w:t>zobowiązana</w:t>
      </w:r>
      <w:r w:rsidRPr="00EC250C">
        <w:t> </w:t>
      </w:r>
      <w:r w:rsidRPr="00EC250C">
        <w:rPr>
          <w:rStyle w:val="Pogrubienie"/>
          <w:rFonts w:eastAsiaTheme="majorEastAsia"/>
          <w:b w:val="0"/>
          <w:bCs w:val="0"/>
        </w:rPr>
        <w:t>chronić</w:t>
      </w:r>
      <w:r w:rsidRPr="00EC250C">
        <w:t> wszystkich uczestników pokojowych manifestacji i  kontrmanifestacji, niezależnie od wyrażanych poglądów. Nie może utrudniać bądź uniemożliwiać uczestnikom pokojowych manifestacji i kontrmanifestacji korzystania z wolności zgromadzeń </w:t>
      </w:r>
      <w:r w:rsidRPr="00EC250C">
        <w:rPr>
          <w:rStyle w:val="Pogrubienie"/>
          <w:rFonts w:eastAsiaTheme="majorEastAsia"/>
          <w:b w:val="0"/>
          <w:bCs w:val="0"/>
        </w:rPr>
        <w:t>poprzez legitymowanie, stosowanie sankcji, wszczynanie postępowań.</w:t>
      </w:r>
    </w:p>
    <w:p w14:paraId="64AAD8A6" w14:textId="77777777" w:rsidR="00187708" w:rsidRPr="00EC250C" w:rsidRDefault="00187708" w:rsidP="00EC79EB">
      <w:pPr>
        <w:pStyle w:val="Nagwek4"/>
      </w:pPr>
      <w:bookmarkStart w:id="350" w:name="_Toc6257796"/>
      <w:bookmarkStart w:id="351" w:name="_Toc11247674"/>
      <w:r w:rsidRPr="00EC250C">
        <w:t>Problem „zgromadzeń cyklicznych”</w:t>
      </w:r>
      <w:bookmarkEnd w:id="350"/>
      <w:bookmarkEnd w:id="351"/>
    </w:p>
    <w:p w14:paraId="09464388" w14:textId="77777777" w:rsidR="00B473F5" w:rsidRPr="00EC250C" w:rsidRDefault="00187708" w:rsidP="00D131FA">
      <w:pPr>
        <w:pStyle w:val="Problemczowieka"/>
        <w:jc w:val="both"/>
      </w:pPr>
      <w:r w:rsidRPr="00EC250C">
        <w:t>Przepisy</w:t>
      </w:r>
      <w:r w:rsidR="00992FD0" w:rsidRPr="00EC250C">
        <w:t xml:space="preserve"> o </w:t>
      </w:r>
      <w:r w:rsidRPr="00EC250C">
        <w:t>zgromadzeniach cyklicznych ograniczają prawo do pokojowych zgromadzeń – uniemożliwiają organizowanie zgromadzenia</w:t>
      </w:r>
      <w:r w:rsidR="00992FD0" w:rsidRPr="00EC250C">
        <w:t xml:space="preserve"> w </w:t>
      </w:r>
      <w:r w:rsidRPr="00EC250C">
        <w:t>miejscu „zarezerwowanym” na trzy lata,</w:t>
      </w:r>
      <w:r w:rsidR="00992FD0" w:rsidRPr="00EC250C">
        <w:t xml:space="preserve"> a </w:t>
      </w:r>
      <w:r w:rsidRPr="00EC250C">
        <w:t>także uniemożliwiają kontrmanifestacje</w:t>
      </w:r>
      <w:r w:rsidR="00B473F5" w:rsidRPr="00EC250C">
        <w:t>.</w:t>
      </w:r>
    </w:p>
    <w:p w14:paraId="6799691C" w14:textId="77777777" w:rsidR="00187708" w:rsidRPr="00EC250C" w:rsidRDefault="00D20D4F" w:rsidP="00D131FA">
      <w:pPr>
        <w:pStyle w:val="Styl1"/>
      </w:pPr>
      <w:r w:rsidRPr="00EC250C">
        <w:t>RPO</w:t>
      </w:r>
      <w:r w:rsidR="00187708" w:rsidRPr="00EC250C">
        <w:t xml:space="preserve"> apeluje</w:t>
      </w:r>
      <w:r w:rsidR="00992FD0" w:rsidRPr="00EC250C">
        <w:t xml:space="preserve"> o </w:t>
      </w:r>
      <w:r w:rsidR="00187708" w:rsidRPr="00EC250C">
        <w:t>zmianę tych przepisów</w:t>
      </w:r>
      <w:r w:rsidR="004E5197" w:rsidRPr="00EC250C">
        <w:t>,</w:t>
      </w:r>
      <w:r w:rsidR="00187708" w:rsidRPr="00EC250C">
        <w:t xml:space="preserve"> ponieważ ograniczają one konstytucyjną wolność zgromadzeń</w:t>
      </w:r>
      <w:r w:rsidR="00145972" w:rsidRPr="00EC250C">
        <w:t>, uniemożliwiając</w:t>
      </w:r>
      <w:r w:rsidR="00992FD0" w:rsidRPr="00EC250C">
        <w:t xml:space="preserve"> w </w:t>
      </w:r>
      <w:r w:rsidR="00145972" w:rsidRPr="00EC250C">
        <w:t>praktyce pokojowe kontrdemonstracje wobec zgromadzeń cykliczny, którym nadaje się uprzywilejowany charakter.</w:t>
      </w:r>
      <w:r w:rsidR="00187708" w:rsidRPr="00EC250C">
        <w:t xml:space="preserve"> </w:t>
      </w:r>
      <w:r w:rsidR="00145972" w:rsidRPr="00EC250C">
        <w:t>Obecny stan prawny t</w:t>
      </w:r>
      <w:r w:rsidR="00187708" w:rsidRPr="00EC250C">
        <w:t>worz</w:t>
      </w:r>
      <w:r w:rsidR="00145972" w:rsidRPr="00EC250C">
        <w:t>y</w:t>
      </w:r>
      <w:r w:rsidR="00187708" w:rsidRPr="00EC250C">
        <w:t xml:space="preserve"> </w:t>
      </w:r>
      <w:r w:rsidR="00145972" w:rsidRPr="00EC250C">
        <w:t>także</w:t>
      </w:r>
      <w:r w:rsidR="00187708" w:rsidRPr="00EC250C">
        <w:t xml:space="preserve"> problemy nieprzewidziane przez ustawodawcę:</w:t>
      </w:r>
      <w:r w:rsidR="00992FD0" w:rsidRPr="00EC250C">
        <w:t xml:space="preserve"> w </w:t>
      </w:r>
      <w:r w:rsidR="00187708" w:rsidRPr="00EC250C">
        <w:t>2018</w:t>
      </w:r>
      <w:r w:rsidR="00C91F6E" w:rsidRPr="00EC250C">
        <w:t> r.</w:t>
      </w:r>
      <w:r w:rsidR="00187708" w:rsidRPr="00EC250C">
        <w:t xml:space="preserve"> Prezydent nie mógł zorganizować marszu</w:t>
      </w:r>
      <w:r w:rsidR="00992FD0" w:rsidRPr="00EC250C">
        <w:t xml:space="preserve"> z </w:t>
      </w:r>
      <w:r w:rsidR="00187708" w:rsidRPr="00EC250C">
        <w:t>okazji 100 lat niepodległości, bo tę trasę</w:t>
      </w:r>
      <w:r w:rsidR="00992FD0" w:rsidRPr="00EC250C">
        <w:t xml:space="preserve"> w </w:t>
      </w:r>
      <w:r w:rsidR="00187708" w:rsidRPr="00EC250C">
        <w:t>Warszawie zarezerwowali do 2020</w:t>
      </w:r>
      <w:r w:rsidR="00C91F6E" w:rsidRPr="00EC250C">
        <w:t> r.</w:t>
      </w:r>
      <w:r w:rsidR="00187708" w:rsidRPr="00EC250C">
        <w:t xml:space="preserve"> organizatorzy „Marszu Niepodległości”.</w:t>
      </w:r>
    </w:p>
    <w:p w14:paraId="03623390" w14:textId="77777777" w:rsidR="00187708" w:rsidRPr="00EC250C" w:rsidRDefault="00187708" w:rsidP="00D131FA">
      <w:pPr>
        <w:pStyle w:val="Styl1"/>
      </w:pPr>
      <w:r w:rsidRPr="00EC250C">
        <w:t>Przepisy</w:t>
      </w:r>
      <w:r w:rsidR="00992FD0" w:rsidRPr="00EC250C">
        <w:t xml:space="preserve"> o </w:t>
      </w:r>
      <w:r w:rsidRPr="00EC250C">
        <w:t>zgromadzeniach cyklicznych zostały wprowadzone</w:t>
      </w:r>
      <w:r w:rsidR="00992FD0" w:rsidRPr="00EC250C">
        <w:t xml:space="preserve"> w </w:t>
      </w:r>
      <w:r w:rsidRPr="00EC250C">
        <w:t>2016</w:t>
      </w:r>
      <w:r w:rsidR="00C91F6E" w:rsidRPr="00EC250C">
        <w:t> r.</w:t>
      </w:r>
      <w:r w:rsidRPr="00EC250C">
        <w:t>, gdy jedna grupa obywateli organizowała przemarsze upamiętniające katastrofę smoleńską,</w:t>
      </w:r>
      <w:r w:rsidR="00992FD0" w:rsidRPr="00EC250C">
        <w:t xml:space="preserve"> a </w:t>
      </w:r>
      <w:r w:rsidRPr="00EC250C">
        <w:t>inni protestowali wobec takiej formy upamiętnienia katastrofy</w:t>
      </w:r>
      <w:r w:rsidR="00992FD0" w:rsidRPr="00EC250C">
        <w:t xml:space="preserve"> i </w:t>
      </w:r>
      <w:r w:rsidRPr="00EC250C">
        <w:t>jej ofiar. Uniemożliwiają</w:t>
      </w:r>
      <w:r w:rsidR="00495BB2" w:rsidRPr="00EC250C">
        <w:t>c</w:t>
      </w:r>
      <w:r w:rsidRPr="00EC250C">
        <w:t xml:space="preserve"> te kontrdemonstracje, </w:t>
      </w:r>
      <w:r w:rsidR="00145972" w:rsidRPr="00EC250C">
        <w:t xml:space="preserve">zakazano </w:t>
      </w:r>
      <w:r w:rsidRPr="00EC250C">
        <w:t>organizowania zgromadzeń</w:t>
      </w:r>
      <w:r w:rsidR="00992FD0" w:rsidRPr="00EC250C">
        <w:t xml:space="preserve"> w </w:t>
      </w:r>
      <w:r w:rsidRPr="00EC250C">
        <w:t>odległości mniejszej niż 100 m od zgromadzenia cyklicznego. Od tego momentu organizowanie kilku demonstracji</w:t>
      </w:r>
      <w:r w:rsidR="00992FD0" w:rsidRPr="00EC250C">
        <w:t xml:space="preserve"> w </w:t>
      </w:r>
      <w:r w:rsidRPr="00EC250C">
        <w:t>jednym miejscu nie jest możliwe,</w:t>
      </w:r>
      <w:r w:rsidR="00992FD0" w:rsidRPr="00EC250C">
        <w:t xml:space="preserve"> o </w:t>
      </w:r>
      <w:r w:rsidRPr="00EC250C">
        <w:t>ile jeden</w:t>
      </w:r>
      <w:r w:rsidR="00992FD0" w:rsidRPr="00EC250C">
        <w:t xml:space="preserve"> z </w:t>
      </w:r>
      <w:r w:rsidRPr="00EC250C">
        <w:t>organizatorów uzyskał decyzję wojewody, że jego zgromadzenie jest cykliczne.</w:t>
      </w:r>
    </w:p>
    <w:p w14:paraId="6960CD5D" w14:textId="77777777" w:rsidR="009D0701" w:rsidRPr="00EC250C" w:rsidRDefault="009D0701" w:rsidP="00EC250C">
      <w:pPr>
        <w:pStyle w:val="Nagwek8"/>
      </w:pPr>
      <w:bookmarkStart w:id="352" w:name="_Toc6257797"/>
      <w:r w:rsidRPr="00EC250C">
        <w:t>Karanie kontrmanifestantów np. za okrzyki „Lech Wałęsa”</w:t>
      </w:r>
      <w:bookmarkEnd w:id="352"/>
    </w:p>
    <w:p w14:paraId="41B34F83" w14:textId="77777777" w:rsidR="00043275" w:rsidRPr="00EC250C" w:rsidRDefault="00043275" w:rsidP="00D131FA">
      <w:pPr>
        <w:pStyle w:val="Styl2"/>
        <w:rPr>
          <w:szCs w:val="24"/>
        </w:rPr>
      </w:pPr>
      <w:r w:rsidRPr="00EC250C">
        <w:rPr>
          <w:szCs w:val="24"/>
        </w:rPr>
        <w:t>Do Rzecznika Praw Obywatelskich wpłynęła skarga uczestnika kontrmiesięcznicy smoleńskiej obwinionego o popełnienie wykroczenia z art. 52 § 2 pkt 1 kw.</w:t>
      </w:r>
    </w:p>
    <w:p w14:paraId="16FE2F8E" w14:textId="77777777" w:rsidR="00043275" w:rsidRPr="00EC250C" w:rsidRDefault="00043275" w:rsidP="00D131FA">
      <w:pPr>
        <w:pStyle w:val="Styl2"/>
        <w:rPr>
          <w:szCs w:val="24"/>
        </w:rPr>
      </w:pPr>
      <w:r w:rsidRPr="00EC250C">
        <w:rPr>
          <w:szCs w:val="24"/>
        </w:rPr>
        <w:t>Według relacji skarżącego, stanął w grupie 20-30 metrów od barierek i szpaleru policjantów wydzielających trasę przemarszu. Na widok idących kilka osób uniosło ręce pokazując znak „V” i zaczęło skandować „Lech Wałęsa". Uczestnicy miesięcznicy nie mogli tego usłyszeć, bo oddzieleni byli od protestujących barierkami, banerami, szpalerem policji. Mieli też własny system nagłaśniający. Mimo to po chwili podeszło do kontrmanifestantów trzech policjantów i poprosiło o okazanie dokumentu tożsamości. Wnioski o ukaranie kontrmanifestantów trafiły do sądu.</w:t>
      </w:r>
    </w:p>
    <w:p w14:paraId="307321B2" w14:textId="77777777" w:rsidR="00043275" w:rsidRPr="00EC250C" w:rsidRDefault="00043275" w:rsidP="00D131FA">
      <w:pPr>
        <w:pStyle w:val="Styl2"/>
        <w:rPr>
          <w:szCs w:val="24"/>
        </w:rPr>
      </w:pPr>
      <w:r w:rsidRPr="00EC250C">
        <w:rPr>
          <w:szCs w:val="24"/>
        </w:rPr>
        <w:lastRenderedPageBreak/>
        <w:t>Rzecznik poprosił o wyjaśnienia Komendanta Rejonowego Policji Warszawa I, bo opisane działania policji mogą budzić wątpliwości z punktu widzenia standardów konstytucyjnych i europejskich w zakresie wolności zgromadzeń publicznych.</w:t>
      </w:r>
    </w:p>
    <w:p w14:paraId="4BE06B9A" w14:textId="77777777" w:rsidR="00043275" w:rsidRPr="00EC250C" w:rsidRDefault="00043275" w:rsidP="00D131FA">
      <w:pPr>
        <w:pStyle w:val="Styl2"/>
        <w:rPr>
          <w:szCs w:val="24"/>
        </w:rPr>
      </w:pPr>
      <w:r w:rsidRPr="00EC250C">
        <w:rPr>
          <w:szCs w:val="24"/>
        </w:rPr>
        <w:t>Dowódca Oddziału Prewencji Policji w Warszawie pismem z 26 lutego 2018 r. wyjaśnił, że skarżący „w trakcie zabezpieczenia zgromadzenia publicznego, wykrzykiwał słowa, cyt. »Lech Wałęsa«, czym dopuścił się popełnienia czynu zabronionego o znamionach wykroczenia określonego w art. 52 § 2 pkt 1 ustawy z dnia 20.05.1971 roku Kodeks wykroczeń”.</w:t>
      </w:r>
    </w:p>
    <w:p w14:paraId="7B8CC6C9" w14:textId="77777777" w:rsidR="00043275" w:rsidRPr="00EC250C" w:rsidRDefault="00043275" w:rsidP="00D131FA">
      <w:pPr>
        <w:pStyle w:val="Styl2"/>
        <w:rPr>
          <w:szCs w:val="24"/>
        </w:rPr>
      </w:pPr>
      <w:r w:rsidRPr="00EC250C">
        <w:rPr>
          <w:szCs w:val="24"/>
        </w:rPr>
        <w:t xml:space="preserve">Przeczytawszy to Rzecznik ponownie zwrócić się do Komendanta Rejonowego Policji w Warszawie wskazując, że </w:t>
      </w:r>
      <w:r w:rsidRPr="00EC250C">
        <w:rPr>
          <w:rStyle w:val="Pogrubienie"/>
          <w:b/>
          <w:szCs w:val="24"/>
        </w:rPr>
        <w:t>okrzyki, które nie godzą w porządek prawny, nie mogą uzasadniać karania kontrmanifestantów za zakłócanie innego zgromadzenia </w:t>
      </w:r>
      <w:r w:rsidRPr="00EC250C">
        <w:rPr>
          <w:szCs w:val="24"/>
        </w:rPr>
        <w:t xml:space="preserve">. Wykładnia art. 52 § 2 pkt 1 Kw powinna uwzględniać istotę wolności zgromadzeń publicznych zagwarantowanej w art. 57 Konstytucji. </w:t>
      </w:r>
    </w:p>
    <w:p w14:paraId="62B31709" w14:textId="77777777" w:rsidR="00C91F6E" w:rsidRPr="00EC250C" w:rsidRDefault="00043275" w:rsidP="00D131FA">
      <w:pPr>
        <w:pStyle w:val="Styl2"/>
        <w:rPr>
          <w:szCs w:val="24"/>
        </w:rPr>
      </w:pPr>
      <w:r w:rsidRPr="00EC250C">
        <w:rPr>
          <w:szCs w:val="24"/>
        </w:rPr>
        <w:t xml:space="preserve">Komendant </w:t>
      </w:r>
      <w:r w:rsidR="00003634" w:rsidRPr="00EC250C">
        <w:rPr>
          <w:szCs w:val="24"/>
        </w:rPr>
        <w:t xml:space="preserve">podkreślił </w:t>
      </w:r>
      <w:r w:rsidRPr="00EC250C">
        <w:rPr>
          <w:szCs w:val="24"/>
        </w:rPr>
        <w:t>jednak, że policja odpowiada za respektowanie wolności i praw, a wniosek o interwencję zgłosili organizatorzy obchodów rocznicy smoleńskiej. „Zgromadzenia pozostają pod ochroną prawną państwa, dlatego też zachowania osób polegające np. na blokowaniu przemarszu w trakcie zgromadzenia lub zagłuszaniu debaty prowadzonej w przestrzeni publicznej, podlegają monitorowaniu służb Policji, a w określonych przypadkach stają się przedmiotem ich interwencji” – napisał Komendant</w:t>
      </w:r>
      <w:r w:rsidR="009D0701" w:rsidRPr="00EC250C">
        <w:rPr>
          <w:rStyle w:val="Odwoanieprzypisudolnego"/>
          <w:bCs w:val="0"/>
          <w:iCs w:val="0"/>
          <w:szCs w:val="24"/>
        </w:rPr>
        <w:footnoteReference w:id="349"/>
      </w:r>
      <w:r w:rsidR="009D0701" w:rsidRPr="00EC250C">
        <w:rPr>
          <w:szCs w:val="24"/>
        </w:rPr>
        <w:t>.</w:t>
      </w:r>
    </w:p>
    <w:p w14:paraId="0B87A497" w14:textId="77777777" w:rsidR="00187708" w:rsidRPr="00EC250C" w:rsidRDefault="00187708" w:rsidP="00EC250C">
      <w:pPr>
        <w:pStyle w:val="Nagwek5"/>
      </w:pPr>
      <w:r w:rsidRPr="00EC250C">
        <w:t>Problemy związane ze stosowaniem przepisów</w:t>
      </w:r>
      <w:r w:rsidR="00992FD0" w:rsidRPr="00EC250C">
        <w:t xml:space="preserve"> o </w:t>
      </w:r>
      <w:r w:rsidRPr="00EC250C">
        <w:t>zgromadzeniach cyklicznych</w:t>
      </w:r>
    </w:p>
    <w:p w14:paraId="6DC1F30B" w14:textId="77777777" w:rsidR="00B473F5" w:rsidRPr="00EC250C" w:rsidRDefault="00187708" w:rsidP="00D131FA">
      <w:pPr>
        <w:pStyle w:val="Problemczowieka"/>
        <w:jc w:val="both"/>
      </w:pPr>
      <w:r w:rsidRPr="00EC250C">
        <w:t>Od wejścia</w:t>
      </w:r>
      <w:r w:rsidR="00992FD0" w:rsidRPr="00EC250C">
        <w:t xml:space="preserve"> w </w:t>
      </w:r>
      <w:r w:rsidRPr="00EC250C">
        <w:t>życie przepisów</w:t>
      </w:r>
      <w:r w:rsidR="00992FD0" w:rsidRPr="00EC250C">
        <w:t xml:space="preserve"> o </w:t>
      </w:r>
      <w:r w:rsidRPr="00EC250C">
        <w:t>zgromadzeniach cyklicznych wielokrotnie dochodziło do naruszania praw uczestników zgromadzeń: uczestnicy kontrdemonstracji</w:t>
      </w:r>
      <w:r w:rsidR="00992FD0" w:rsidRPr="00EC250C">
        <w:t xml:space="preserve"> </w:t>
      </w:r>
      <w:r w:rsidR="00EE0F87" w:rsidRPr="00EC250C">
        <w:t xml:space="preserve">organizowanych dalej niż przepisowe </w:t>
      </w:r>
      <w:r w:rsidRPr="00EC250C">
        <w:t>100</w:t>
      </w:r>
      <w:r w:rsidR="009D0701" w:rsidRPr="00EC250C">
        <w:t> </w:t>
      </w:r>
      <w:r w:rsidRPr="00EC250C">
        <w:t>m byli legitymowani przez policję, stawiano im też zarzuty zakłócenia legalnego zgromadzenia.</w:t>
      </w:r>
      <w:r w:rsidR="00A23628" w:rsidRPr="00EC250C">
        <w:t xml:space="preserve"> </w:t>
      </w:r>
      <w:r w:rsidRPr="00EC250C">
        <w:t>Uczestnicy legalnych zgromadzeń byli też usuwani po to, by przygotować miejsce pod planowane na następny dzień zgromadzenie cykliczne</w:t>
      </w:r>
      <w:r w:rsidR="00B473F5" w:rsidRPr="00EC250C">
        <w:t>.</w:t>
      </w:r>
    </w:p>
    <w:p w14:paraId="4495E40F" w14:textId="77777777" w:rsidR="00187708" w:rsidRPr="00EC250C" w:rsidRDefault="00187708" w:rsidP="00D131FA">
      <w:pPr>
        <w:pStyle w:val="Styl1"/>
      </w:pPr>
      <w:r w:rsidRPr="00EC250C">
        <w:t>Zgromadzenia cykliczne zaburzyły też funkcjonowanie zgromadzeń zgłaszanych</w:t>
      </w:r>
      <w:r w:rsidR="00992FD0" w:rsidRPr="00EC250C">
        <w:t xml:space="preserve"> w </w:t>
      </w:r>
      <w:r w:rsidRPr="00EC250C">
        <w:t>trybie uproszczonym. Choć nie ma podstawy prawnej do zakazania zgromadzenia</w:t>
      </w:r>
      <w:r w:rsidR="00992FD0" w:rsidRPr="00EC250C">
        <w:t xml:space="preserve"> w </w:t>
      </w:r>
      <w:r w:rsidRPr="00EC250C">
        <w:t>trybie uproszczonym tylko dlatego, że</w:t>
      </w:r>
      <w:r w:rsidR="00992FD0" w:rsidRPr="00EC250C">
        <w:t xml:space="preserve"> w </w:t>
      </w:r>
      <w:r w:rsidRPr="00EC250C">
        <w:t>tym samym czasie</w:t>
      </w:r>
      <w:r w:rsidR="00992FD0" w:rsidRPr="00EC250C">
        <w:t xml:space="preserve"> i </w:t>
      </w:r>
      <w:r w:rsidRPr="00EC250C">
        <w:t xml:space="preserve">miejscu odbywa się zgromadzenie cykliczne, to wojewoda wydawał zarządzenia zastępcze. </w:t>
      </w:r>
      <w:r w:rsidR="00EE0F87" w:rsidRPr="00EC250C">
        <w:t>R</w:t>
      </w:r>
      <w:r w:rsidRPr="00EC250C">
        <w:t>obił to</w:t>
      </w:r>
      <w:r w:rsidR="00992FD0" w:rsidRPr="00EC250C">
        <w:t xml:space="preserve"> w </w:t>
      </w:r>
      <w:r w:rsidRPr="00EC250C">
        <w:t>dniu,</w:t>
      </w:r>
      <w:r w:rsidR="00992FD0" w:rsidRPr="00EC250C">
        <w:t xml:space="preserve"> w </w:t>
      </w:r>
      <w:r w:rsidRPr="00EC250C">
        <w:t>którym odbywało się zgromadzenie, co uniemożliwiało odwołanie się do sądu (sądy umarzały postępowania</w:t>
      </w:r>
      <w:r w:rsidR="00992FD0" w:rsidRPr="00EC250C">
        <w:t xml:space="preserve"> w </w:t>
      </w:r>
      <w:r w:rsidRPr="00EC250C">
        <w:t>tych sprawach).</w:t>
      </w:r>
    </w:p>
    <w:p w14:paraId="455ADF0D" w14:textId="77777777" w:rsidR="00187708" w:rsidRPr="00EC250C" w:rsidRDefault="00187708" w:rsidP="00D131FA">
      <w:pPr>
        <w:pStyle w:val="Styl1"/>
      </w:pPr>
      <w:r w:rsidRPr="00EC250C">
        <w:rPr>
          <w:bdr w:val="none" w:sz="0" w:space="0" w:color="auto" w:frame="1"/>
        </w:rPr>
        <w:t>Interweniując</w:t>
      </w:r>
      <w:r w:rsidR="00992FD0" w:rsidRPr="00EC250C">
        <w:rPr>
          <w:bdr w:val="none" w:sz="0" w:space="0" w:color="auto" w:frame="1"/>
        </w:rPr>
        <w:t xml:space="preserve"> w </w:t>
      </w:r>
      <w:r w:rsidRPr="00EC250C">
        <w:rPr>
          <w:bdr w:val="none" w:sz="0" w:space="0" w:color="auto" w:frame="1"/>
        </w:rPr>
        <w:t xml:space="preserve">tych wszystkich sprawach RPO przypomniał, że według standardów konstytucyjnych </w:t>
      </w:r>
      <w:r w:rsidR="00A23628" w:rsidRPr="00EC250C">
        <w:rPr>
          <w:bdr w:val="none" w:sz="0" w:space="0" w:color="auto" w:frame="1"/>
        </w:rPr>
        <w:t>w</w:t>
      </w:r>
      <w:r w:rsidRPr="00EC250C">
        <w:rPr>
          <w:bdr w:val="none" w:sz="0" w:space="0" w:color="auto" w:frame="1"/>
        </w:rPr>
        <w:t>szelkie ograniczenia wolności zgromadzeń powinny następować</w:t>
      </w:r>
      <w:r w:rsidR="00992FD0" w:rsidRPr="00EC250C">
        <w:rPr>
          <w:bdr w:val="none" w:sz="0" w:space="0" w:color="auto" w:frame="1"/>
        </w:rPr>
        <w:t xml:space="preserve"> w </w:t>
      </w:r>
      <w:r w:rsidRPr="00EC250C">
        <w:rPr>
          <w:bdr w:val="none" w:sz="0" w:space="0" w:color="auto" w:frame="1"/>
        </w:rPr>
        <w:t>wyjątkowych sytuacjach, przewidzianych</w:t>
      </w:r>
      <w:r w:rsidR="00992FD0" w:rsidRPr="00EC250C">
        <w:rPr>
          <w:bdr w:val="none" w:sz="0" w:space="0" w:color="auto" w:frame="1"/>
        </w:rPr>
        <w:t xml:space="preserve"> w </w:t>
      </w:r>
      <w:r w:rsidRPr="00EC250C">
        <w:rPr>
          <w:bdr w:val="none" w:sz="0" w:space="0" w:color="auto" w:frame="1"/>
        </w:rPr>
        <w:t>ustawie</w:t>
      </w:r>
      <w:r w:rsidR="00992FD0" w:rsidRPr="00EC250C">
        <w:rPr>
          <w:bdr w:val="none" w:sz="0" w:space="0" w:color="auto" w:frame="1"/>
        </w:rPr>
        <w:t xml:space="preserve"> i </w:t>
      </w:r>
      <w:r w:rsidRPr="00EC250C">
        <w:rPr>
          <w:bdr w:val="none" w:sz="0" w:space="0" w:color="auto" w:frame="1"/>
        </w:rPr>
        <w:t>tylko, gdy jest to konieczne</w:t>
      </w:r>
      <w:r w:rsidR="00992FD0" w:rsidRPr="00EC250C">
        <w:rPr>
          <w:bdr w:val="none" w:sz="0" w:space="0" w:color="auto" w:frame="1"/>
        </w:rPr>
        <w:t xml:space="preserve"> w </w:t>
      </w:r>
      <w:r w:rsidRPr="00EC250C">
        <w:rPr>
          <w:bdr w:val="none" w:sz="0" w:space="0" w:color="auto" w:frame="1"/>
        </w:rPr>
        <w:t>demokratycznym państwie dla jego bezpieczeństwa lub porządku publicznego, bądź dla ochrony środowiska, zdrowia</w:t>
      </w:r>
      <w:r w:rsidR="00992FD0" w:rsidRPr="00EC250C">
        <w:rPr>
          <w:bdr w:val="none" w:sz="0" w:space="0" w:color="auto" w:frame="1"/>
        </w:rPr>
        <w:t xml:space="preserve"> i </w:t>
      </w:r>
      <w:r w:rsidRPr="00EC250C">
        <w:rPr>
          <w:bdr w:val="none" w:sz="0" w:space="0" w:color="auto" w:frame="1"/>
        </w:rPr>
        <w:t>moralności publicznej, albo wolności</w:t>
      </w:r>
      <w:r w:rsidR="00992FD0" w:rsidRPr="00EC250C">
        <w:rPr>
          <w:bdr w:val="none" w:sz="0" w:space="0" w:color="auto" w:frame="1"/>
        </w:rPr>
        <w:t xml:space="preserve"> i </w:t>
      </w:r>
      <w:r w:rsidRPr="00EC250C">
        <w:rPr>
          <w:bdr w:val="none" w:sz="0" w:space="0" w:color="auto" w:frame="1"/>
        </w:rPr>
        <w:t>praw innych osób.</w:t>
      </w:r>
      <w:r w:rsidR="00A23628" w:rsidRPr="00EC250C">
        <w:rPr>
          <w:bdr w:val="none" w:sz="0" w:space="0" w:color="auto" w:frame="1"/>
        </w:rPr>
        <w:t xml:space="preserve"> </w:t>
      </w:r>
      <w:r w:rsidRPr="00EC250C">
        <w:t>Oprócz obszernej analizy zaprezentowanej</w:t>
      </w:r>
      <w:r w:rsidR="00992FD0" w:rsidRPr="00EC250C">
        <w:t xml:space="preserve"> w </w:t>
      </w:r>
      <w:r w:rsidRPr="00EC250C">
        <w:t>Raporcie „Wolność zgromadzeń…” RPO przedstawił</w:t>
      </w:r>
      <w:r w:rsidRPr="00EC250C">
        <w:rPr>
          <w:rStyle w:val="Odwoanieprzypisudolnego"/>
        </w:rPr>
        <w:footnoteReference w:id="350"/>
      </w:r>
      <w:r w:rsidRPr="00EC250C">
        <w:t xml:space="preserve"> też przewodniczącemu </w:t>
      </w:r>
      <w:r w:rsidRPr="00EC250C">
        <w:lastRenderedPageBreak/>
        <w:t>senackiej Komisji Ustawodawczej opinię do zgłoszonej przez grupę senatorów PO inicjatywy uchylenia przepisów</w:t>
      </w:r>
      <w:r w:rsidR="00992FD0" w:rsidRPr="00EC250C">
        <w:t xml:space="preserve"> o </w:t>
      </w:r>
      <w:r w:rsidRPr="00EC250C">
        <w:t>zgromadzeniach cyklicznych</w:t>
      </w:r>
      <w:r w:rsidRPr="00EC250C">
        <w:rPr>
          <w:rStyle w:val="Odwoanieprzypisudolnego"/>
        </w:rPr>
        <w:footnoteReference w:id="351"/>
      </w:r>
      <w:r w:rsidRPr="00EC250C">
        <w:t>. Senat inicjatywy nie podjął</w:t>
      </w:r>
      <w:r w:rsidR="004E5197" w:rsidRPr="00EC250C">
        <w:t>.</w:t>
      </w:r>
    </w:p>
    <w:p w14:paraId="4A2BDA20" w14:textId="77777777" w:rsidR="00EE0F87" w:rsidRPr="00EC250C" w:rsidRDefault="00EE0F87" w:rsidP="00EC250C">
      <w:pPr>
        <w:pStyle w:val="Nagwek8"/>
      </w:pPr>
      <w:r w:rsidRPr="00EC250C">
        <w:t xml:space="preserve">Czy </w:t>
      </w:r>
      <w:r w:rsidR="00DF5B17" w:rsidRPr="00EC250C">
        <w:t>„</w:t>
      </w:r>
      <w:r w:rsidRPr="00EC250C">
        <w:t>miesięcznice smoleńskie</w:t>
      </w:r>
      <w:r w:rsidR="00DF5B17" w:rsidRPr="00EC250C">
        <w:t>”</w:t>
      </w:r>
      <w:r w:rsidRPr="00EC250C">
        <w:t xml:space="preserve"> były zgro</w:t>
      </w:r>
      <w:r w:rsidR="00DF5B17" w:rsidRPr="00EC250C">
        <w:t>m</w:t>
      </w:r>
      <w:r w:rsidRPr="00EC250C">
        <w:t>adzeniami publicznymi</w:t>
      </w:r>
      <w:r w:rsidR="00DF5B17" w:rsidRPr="00EC250C">
        <w:t>?</w:t>
      </w:r>
    </w:p>
    <w:p w14:paraId="0F5BE6C1" w14:textId="77777777" w:rsidR="00EE0F87" w:rsidRPr="00EC250C" w:rsidRDefault="00DF5B17" w:rsidP="00D131FA">
      <w:pPr>
        <w:pStyle w:val="Styl2"/>
        <w:rPr>
          <w:szCs w:val="24"/>
        </w:rPr>
      </w:pPr>
      <w:r w:rsidRPr="00EC250C">
        <w:rPr>
          <w:szCs w:val="24"/>
        </w:rPr>
        <w:t>R</w:t>
      </w:r>
      <w:r w:rsidR="00EE0F87" w:rsidRPr="00EC250C">
        <w:rPr>
          <w:szCs w:val="24"/>
        </w:rPr>
        <w:t>ozstrzygając sprawy dotyczące m.in. zakłócania zgromadzenia cyklicznego Sąd Rejonowy dla Warszawy</w:t>
      </w:r>
      <w:r w:rsidR="00C10C44" w:rsidRPr="00EC250C">
        <w:rPr>
          <w:szCs w:val="24"/>
        </w:rPr>
        <w:t>-</w:t>
      </w:r>
      <w:r w:rsidR="00EE0F87" w:rsidRPr="00EC250C">
        <w:rPr>
          <w:szCs w:val="24"/>
        </w:rPr>
        <w:t>Śródmieście podważył uznanie tzw. miesięcznic smoleńskich za zgromadzenia publiczne.</w:t>
      </w:r>
      <w:r w:rsidRPr="00EC250C">
        <w:rPr>
          <w:szCs w:val="24"/>
        </w:rPr>
        <w:t xml:space="preserve"> </w:t>
      </w:r>
      <w:r w:rsidR="00EE0F87" w:rsidRPr="00EC250C">
        <w:rPr>
          <w:szCs w:val="24"/>
        </w:rPr>
        <w:t xml:space="preserve">Jak wskazał </w:t>
      </w:r>
      <w:r w:rsidRPr="00EC250C">
        <w:rPr>
          <w:szCs w:val="24"/>
        </w:rPr>
        <w:t>s</w:t>
      </w:r>
      <w:r w:rsidR="00EE0F87" w:rsidRPr="00EC250C">
        <w:rPr>
          <w:szCs w:val="24"/>
        </w:rPr>
        <w:t>ąd „teren zgromadzenia był w całości odgrodzony metalowymi barierkami. Powyższe, uzasadnia stwierdzenie, że przedmiotowe zgrupowanie odbywało się na przestrzeni zamkniętej, zaś samo uczestnictwo w zgromadzeniu było limitowane”. Takie zgromadzenie, zdaniem sądu nie miało zatem charakteru zgromadzenia publicznego w myśl art. 3 ust. 1 ustawy – Prawo o zgromadzeniach</w:t>
      </w:r>
      <w:r w:rsidR="00C10C44" w:rsidRPr="00EC250C">
        <w:rPr>
          <w:rStyle w:val="Odwoanieprzypisudolnego"/>
          <w:szCs w:val="24"/>
        </w:rPr>
        <w:footnoteReference w:id="352"/>
      </w:r>
      <w:r w:rsidR="00EE0F87" w:rsidRPr="00EC250C">
        <w:rPr>
          <w:szCs w:val="24"/>
        </w:rPr>
        <w:t>.</w:t>
      </w:r>
    </w:p>
    <w:p w14:paraId="53B02785" w14:textId="77777777" w:rsidR="00187708" w:rsidRPr="00EC250C" w:rsidRDefault="00187708" w:rsidP="00EC250C">
      <w:pPr>
        <w:pStyle w:val="Nagwek8"/>
      </w:pPr>
      <w:r w:rsidRPr="00EC250C">
        <w:t>Sprawa ataku na kobiety blokujące Marsz Niepodległości</w:t>
      </w:r>
      <w:r w:rsidR="00992FD0" w:rsidRPr="00EC250C">
        <w:t xml:space="preserve"> w </w:t>
      </w:r>
      <w:r w:rsidRPr="00EC250C">
        <w:t>2017</w:t>
      </w:r>
      <w:r w:rsidR="00C91F6E" w:rsidRPr="00EC250C">
        <w:t> </w:t>
      </w:r>
      <w:r w:rsidR="00C91F6E" w:rsidRPr="00EC250C">
        <w:rPr>
          <w:rFonts w:hint="eastAsia"/>
        </w:rPr>
        <w:t>r.</w:t>
      </w:r>
    </w:p>
    <w:p w14:paraId="27E8F601" w14:textId="77777777" w:rsidR="00294DE7" w:rsidRPr="00EC250C" w:rsidRDefault="00187708" w:rsidP="00D131FA">
      <w:pPr>
        <w:pStyle w:val="Styl2"/>
        <w:rPr>
          <w:szCs w:val="24"/>
        </w:rPr>
      </w:pPr>
      <w:r w:rsidRPr="00EC250C">
        <w:rPr>
          <w:szCs w:val="24"/>
        </w:rPr>
        <w:t>Prokuratura</w:t>
      </w:r>
      <w:r w:rsidR="00992FD0" w:rsidRPr="00EC250C">
        <w:rPr>
          <w:szCs w:val="24"/>
        </w:rPr>
        <w:t xml:space="preserve"> </w:t>
      </w:r>
      <w:r w:rsidR="0028066B" w:rsidRPr="00EC250C">
        <w:rPr>
          <w:szCs w:val="24"/>
        </w:rPr>
        <w:t xml:space="preserve">Okręgowa w Warszawie </w:t>
      </w:r>
      <w:r w:rsidR="00992FD0" w:rsidRPr="00EC250C">
        <w:rPr>
          <w:szCs w:val="24"/>
        </w:rPr>
        <w:t>w </w:t>
      </w:r>
      <w:r w:rsidRPr="00EC250C">
        <w:rPr>
          <w:szCs w:val="24"/>
        </w:rPr>
        <w:t>2018</w:t>
      </w:r>
      <w:r w:rsidR="00C91F6E" w:rsidRPr="00EC250C">
        <w:rPr>
          <w:szCs w:val="24"/>
        </w:rPr>
        <w:t> r.</w:t>
      </w:r>
      <w:r w:rsidRPr="00EC250C">
        <w:rPr>
          <w:szCs w:val="24"/>
        </w:rPr>
        <w:t xml:space="preserve"> umorzyła śledztwo</w:t>
      </w:r>
      <w:r w:rsidR="00992FD0" w:rsidRPr="00EC250C">
        <w:rPr>
          <w:szCs w:val="24"/>
        </w:rPr>
        <w:t xml:space="preserve"> w </w:t>
      </w:r>
      <w:r w:rsidRPr="00EC250C">
        <w:rPr>
          <w:szCs w:val="24"/>
        </w:rPr>
        <w:t>sprawie naruszenia nietykalności kobiet, które protestowały na trasie Marszu Niepodległości</w:t>
      </w:r>
      <w:r w:rsidR="00992FD0" w:rsidRPr="00EC250C">
        <w:rPr>
          <w:szCs w:val="24"/>
        </w:rPr>
        <w:t xml:space="preserve"> w </w:t>
      </w:r>
      <w:r w:rsidRPr="00EC250C">
        <w:rPr>
          <w:szCs w:val="24"/>
        </w:rPr>
        <w:t>Warszawie 11 listopada 2017</w:t>
      </w:r>
      <w:r w:rsidR="00C91F6E" w:rsidRPr="00EC250C">
        <w:rPr>
          <w:szCs w:val="24"/>
        </w:rPr>
        <w:t> r.</w:t>
      </w:r>
      <w:r w:rsidR="00026572" w:rsidRPr="00EC250C">
        <w:rPr>
          <w:szCs w:val="24"/>
        </w:rPr>
        <w:t xml:space="preserve"> – </w:t>
      </w:r>
      <w:r w:rsidRPr="00EC250C">
        <w:rPr>
          <w:szCs w:val="24"/>
        </w:rPr>
        <w:t>były one kopane</w:t>
      </w:r>
      <w:r w:rsidR="00992FD0" w:rsidRPr="00EC250C">
        <w:rPr>
          <w:szCs w:val="24"/>
        </w:rPr>
        <w:t xml:space="preserve"> i </w:t>
      </w:r>
      <w:r w:rsidRPr="00EC250C">
        <w:rPr>
          <w:szCs w:val="24"/>
        </w:rPr>
        <w:t>szarpane.</w:t>
      </w:r>
      <w:r w:rsidR="00CC4D88" w:rsidRPr="00EC250C">
        <w:rPr>
          <w:szCs w:val="24"/>
        </w:rPr>
        <w:t xml:space="preserve"> </w:t>
      </w:r>
      <w:r w:rsidRPr="00EC250C">
        <w:rPr>
          <w:szCs w:val="24"/>
        </w:rPr>
        <w:t xml:space="preserve">Prokurator umorzył sprawę, uzasadniając, że atakując kobiety, narodowcy </w:t>
      </w:r>
      <w:r w:rsidR="00E2368E" w:rsidRPr="00EC250C">
        <w:rPr>
          <w:szCs w:val="24"/>
        </w:rPr>
        <w:t>„</w:t>
      </w:r>
      <w:r w:rsidRPr="00EC250C">
        <w:rPr>
          <w:szCs w:val="24"/>
        </w:rPr>
        <w:t>okazywali niezadowolenie</w:t>
      </w:r>
      <w:r w:rsidR="00E2368E" w:rsidRPr="00EC250C">
        <w:rPr>
          <w:szCs w:val="24"/>
        </w:rPr>
        <w:t>”,</w:t>
      </w:r>
      <w:r w:rsidR="00992FD0" w:rsidRPr="00EC250C">
        <w:rPr>
          <w:szCs w:val="24"/>
        </w:rPr>
        <w:t xml:space="preserve"> a </w:t>
      </w:r>
      <w:r w:rsidRPr="00EC250C">
        <w:rPr>
          <w:szCs w:val="24"/>
        </w:rPr>
        <w:t>kopnięcia, popychanie</w:t>
      </w:r>
      <w:r w:rsidR="00992FD0" w:rsidRPr="00EC250C">
        <w:rPr>
          <w:szCs w:val="24"/>
        </w:rPr>
        <w:t xml:space="preserve"> i </w:t>
      </w:r>
      <w:r w:rsidRPr="00EC250C">
        <w:rPr>
          <w:szCs w:val="24"/>
        </w:rPr>
        <w:t>zniewagi „oceniane obiektywnie wskazują na to, że nie były one objęte umyślnością”.</w:t>
      </w:r>
      <w:r w:rsidR="00E2368E" w:rsidRPr="00EC250C">
        <w:rPr>
          <w:szCs w:val="24"/>
        </w:rPr>
        <w:t xml:space="preserve"> </w:t>
      </w:r>
      <w:r w:rsidRPr="00EC250C">
        <w:rPr>
          <w:szCs w:val="24"/>
        </w:rPr>
        <w:t>W 2019</w:t>
      </w:r>
      <w:r w:rsidR="00C91F6E" w:rsidRPr="00EC250C">
        <w:rPr>
          <w:szCs w:val="24"/>
        </w:rPr>
        <w:t> r.</w:t>
      </w:r>
      <w:r w:rsidRPr="00EC250C">
        <w:rPr>
          <w:szCs w:val="24"/>
        </w:rPr>
        <w:t xml:space="preserve"> sąd nakazał prokuraturze zajęcie się sprawą. </w:t>
      </w:r>
    </w:p>
    <w:p w14:paraId="2F32524A" w14:textId="77777777" w:rsidR="00C91F6E" w:rsidRPr="00EC250C" w:rsidRDefault="00187708" w:rsidP="00D131FA">
      <w:pPr>
        <w:pStyle w:val="Styl2"/>
        <w:rPr>
          <w:szCs w:val="24"/>
        </w:rPr>
      </w:pPr>
      <w:r w:rsidRPr="00EC250C">
        <w:rPr>
          <w:szCs w:val="24"/>
        </w:rPr>
        <w:t>Wcześniej do prokuratury występował</w:t>
      </w:r>
      <w:r w:rsidR="00992FD0" w:rsidRPr="00EC250C">
        <w:rPr>
          <w:szCs w:val="24"/>
        </w:rPr>
        <w:t xml:space="preserve"> z </w:t>
      </w:r>
      <w:r w:rsidRPr="00EC250C">
        <w:rPr>
          <w:szCs w:val="24"/>
        </w:rPr>
        <w:t xml:space="preserve">interwencją </w:t>
      </w:r>
      <w:r w:rsidR="00D20D4F" w:rsidRPr="00EC250C">
        <w:rPr>
          <w:szCs w:val="24"/>
        </w:rPr>
        <w:t>RPO</w:t>
      </w:r>
      <w:r w:rsidR="00C254A4" w:rsidRPr="00EC250C">
        <w:rPr>
          <w:szCs w:val="24"/>
        </w:rPr>
        <w:t>. Pytał m.in. czy ustalono tożsamość osób (i jakie ewentualnie czynności z nimi podjęto), których zachowanie wobec dwunastu uczestniczek kontrmanifestacji zorganizowanej przez Obywateli RP oraz Strajk Kobiet mogło wypełniać znamiona przestępstw</w:t>
      </w:r>
      <w:r w:rsidRPr="00EC250C">
        <w:rPr>
          <w:rStyle w:val="Odwoanieprzypisudolnego"/>
          <w:szCs w:val="24"/>
        </w:rPr>
        <w:footnoteReference w:id="353"/>
      </w:r>
      <w:r w:rsidRPr="00EC250C">
        <w:rPr>
          <w:szCs w:val="24"/>
        </w:rPr>
        <w:t>.</w:t>
      </w:r>
    </w:p>
    <w:p w14:paraId="388BB720" w14:textId="77777777" w:rsidR="00C91F6E" w:rsidRPr="00EC250C" w:rsidRDefault="00187708" w:rsidP="00EC79EB">
      <w:pPr>
        <w:pStyle w:val="Nagwek4"/>
      </w:pPr>
      <w:bookmarkStart w:id="353" w:name="_Toc6257798"/>
      <w:bookmarkStart w:id="354" w:name="_Toc11247675"/>
      <w:r w:rsidRPr="00EC250C">
        <w:t>Brak skutecznych mechanizmów reagowania na treści</w:t>
      </w:r>
      <w:r w:rsidR="00992FD0" w:rsidRPr="00EC250C">
        <w:t xml:space="preserve"> i </w:t>
      </w:r>
      <w:r w:rsidRPr="00EC250C">
        <w:t>symbole rasistowskie oraz faszystowskie podczas zgromadzeń publicznych</w:t>
      </w:r>
      <w:bookmarkEnd w:id="353"/>
      <w:bookmarkEnd w:id="354"/>
    </w:p>
    <w:p w14:paraId="62FD2316" w14:textId="77777777" w:rsidR="00B473F5" w:rsidRPr="00EC250C" w:rsidRDefault="00187708" w:rsidP="00D131FA">
      <w:pPr>
        <w:pStyle w:val="Problemczowieka"/>
        <w:jc w:val="both"/>
        <w:rPr>
          <w:rStyle w:val="Pogrubienie"/>
          <w:rFonts w:eastAsiaTheme="majorEastAsia"/>
          <w:b/>
          <w:bCs w:val="0"/>
        </w:rPr>
      </w:pPr>
      <w:r w:rsidRPr="00EC250C">
        <w:rPr>
          <w:rStyle w:val="Pogrubienie"/>
          <w:rFonts w:eastAsiaTheme="majorEastAsia"/>
          <w:b/>
          <w:bCs w:val="0"/>
        </w:rPr>
        <w:t>Policjanci nie reagują, gdy</w:t>
      </w:r>
      <w:r w:rsidR="00992FD0" w:rsidRPr="00EC250C">
        <w:rPr>
          <w:rStyle w:val="Pogrubienie"/>
          <w:rFonts w:eastAsiaTheme="majorEastAsia"/>
          <w:b/>
          <w:bCs w:val="0"/>
        </w:rPr>
        <w:t xml:space="preserve"> w </w:t>
      </w:r>
      <w:r w:rsidRPr="00EC250C">
        <w:rPr>
          <w:rStyle w:val="Pogrubienie"/>
          <w:rFonts w:eastAsiaTheme="majorEastAsia"/>
          <w:b/>
          <w:bCs w:val="0"/>
        </w:rPr>
        <w:t>czasie zgromadzeń publicznych propagowane są symbole</w:t>
      </w:r>
      <w:r w:rsidR="00992FD0" w:rsidRPr="00EC250C">
        <w:rPr>
          <w:rStyle w:val="Pogrubienie"/>
          <w:rFonts w:eastAsiaTheme="majorEastAsia"/>
          <w:b/>
          <w:bCs w:val="0"/>
        </w:rPr>
        <w:t xml:space="preserve"> i </w:t>
      </w:r>
      <w:r w:rsidRPr="00EC250C">
        <w:rPr>
          <w:rStyle w:val="Pogrubienie"/>
          <w:rFonts w:eastAsiaTheme="majorEastAsia"/>
          <w:b/>
          <w:bCs w:val="0"/>
        </w:rPr>
        <w:t xml:space="preserve">hasła </w:t>
      </w:r>
      <w:r w:rsidR="00E2368E" w:rsidRPr="00EC250C">
        <w:rPr>
          <w:rStyle w:val="Pogrubienie"/>
          <w:rFonts w:eastAsiaTheme="majorEastAsia"/>
          <w:b/>
          <w:bCs w:val="0"/>
        </w:rPr>
        <w:t>rasistowskie</w:t>
      </w:r>
      <w:r w:rsidRPr="00EC250C">
        <w:rPr>
          <w:rStyle w:val="Pogrubienie"/>
          <w:rFonts w:eastAsiaTheme="majorEastAsia"/>
          <w:b/>
          <w:bCs w:val="0"/>
        </w:rPr>
        <w:t xml:space="preserve">, </w:t>
      </w:r>
      <w:r w:rsidR="00E2368E" w:rsidRPr="00EC250C">
        <w:rPr>
          <w:rStyle w:val="Pogrubienie"/>
          <w:rFonts w:eastAsiaTheme="majorEastAsia"/>
          <w:b/>
          <w:bCs w:val="0"/>
        </w:rPr>
        <w:t xml:space="preserve">faszystowskie </w:t>
      </w:r>
      <w:r w:rsidRPr="00EC250C">
        <w:rPr>
          <w:rStyle w:val="Pogrubienie"/>
          <w:rFonts w:eastAsiaTheme="majorEastAsia"/>
          <w:b/>
          <w:bCs w:val="0"/>
        </w:rPr>
        <w:t xml:space="preserve">czy </w:t>
      </w:r>
      <w:r w:rsidR="00E2368E" w:rsidRPr="00EC250C">
        <w:rPr>
          <w:rStyle w:val="Pogrubienie"/>
          <w:rFonts w:eastAsiaTheme="majorEastAsia"/>
          <w:b/>
          <w:bCs w:val="0"/>
        </w:rPr>
        <w:t>nazistowskie</w:t>
      </w:r>
      <w:r w:rsidR="00B473F5" w:rsidRPr="00EC250C">
        <w:rPr>
          <w:rStyle w:val="Pogrubienie"/>
          <w:rFonts w:eastAsiaTheme="majorEastAsia"/>
          <w:b/>
          <w:bCs w:val="0"/>
        </w:rPr>
        <w:t>.</w:t>
      </w:r>
    </w:p>
    <w:p w14:paraId="2437E261" w14:textId="77777777" w:rsidR="00187708" w:rsidRPr="00EC250C" w:rsidRDefault="00187708" w:rsidP="00D131FA">
      <w:pPr>
        <w:pStyle w:val="Styl1"/>
      </w:pPr>
      <w:r w:rsidRPr="00EC250C">
        <w:t>RPO wielokrotnie sygnalizował Komendantowi Głównemu Policji zaniepokojenie nasilającymi się przejawami postaw rasistowskich</w:t>
      </w:r>
      <w:r w:rsidR="00992FD0" w:rsidRPr="00EC250C">
        <w:t xml:space="preserve"> i </w:t>
      </w:r>
      <w:r w:rsidRPr="00EC250C">
        <w:t>ksenofobicznych. Przybierają one postać przemocy fizycznej</w:t>
      </w:r>
      <w:r w:rsidR="00992FD0" w:rsidRPr="00EC250C">
        <w:t xml:space="preserve"> i </w:t>
      </w:r>
      <w:r w:rsidRPr="00EC250C">
        <w:t>werbalnej wobec cudzoziemców, ale także obywateli polskich</w:t>
      </w:r>
      <w:r w:rsidR="00992FD0" w:rsidRPr="00EC250C">
        <w:t xml:space="preserve"> o </w:t>
      </w:r>
      <w:r w:rsidRPr="00EC250C">
        <w:t>różnym pochodzeniu narodowym czy etnicznym</w:t>
      </w:r>
      <w:r w:rsidR="00992FD0" w:rsidRPr="00EC250C">
        <w:t xml:space="preserve"> i </w:t>
      </w:r>
      <w:r w:rsidRPr="00EC250C">
        <w:t xml:space="preserve">wyznawców różnych religii. </w:t>
      </w:r>
      <w:r w:rsidR="00D20D4F" w:rsidRPr="00EC250C">
        <w:t>RPO</w:t>
      </w:r>
      <w:r w:rsidRPr="00EC250C">
        <w:t xml:space="preserve"> zwracał też uwagę </w:t>
      </w:r>
      <w:r w:rsidR="00294DE7" w:rsidRPr="00EC250C">
        <w:t xml:space="preserve">(i </w:t>
      </w:r>
      <w:r w:rsidR="00294DE7" w:rsidRPr="00EC250C">
        <w:lastRenderedPageBreak/>
        <w:t xml:space="preserve">zawiadamiał o tym prokuraturę) </w:t>
      </w:r>
      <w:r w:rsidRPr="00EC250C">
        <w:t>na coraz częściej pojawiające się</w:t>
      </w:r>
      <w:r w:rsidR="00992FD0" w:rsidRPr="00EC250C">
        <w:t xml:space="preserve"> w </w:t>
      </w:r>
      <w:r w:rsidRPr="00EC250C">
        <w:t>przestrzeni publicznej symbole</w:t>
      </w:r>
      <w:r w:rsidR="00992FD0" w:rsidRPr="00EC250C">
        <w:t xml:space="preserve"> i </w:t>
      </w:r>
      <w:r w:rsidRPr="00EC250C">
        <w:t>treści odwołujące się wprost do ideologii III Rzeszy.</w:t>
      </w:r>
      <w:r w:rsidR="00835440" w:rsidRPr="00EC250C">
        <w:t xml:space="preserve"> </w:t>
      </w:r>
      <w:r w:rsidRPr="00EC250C">
        <w:t>Symbolika taka pojawiła się</w:t>
      </w:r>
      <w:r w:rsidR="00C6363F" w:rsidRPr="00EC250C">
        <w:t>:</w:t>
      </w:r>
      <w:r w:rsidR="00C254A4" w:rsidRPr="00EC250C">
        <w:t xml:space="preserve"> </w:t>
      </w:r>
    </w:p>
    <w:p w14:paraId="0EF45F7C" w14:textId="77777777" w:rsidR="00187708" w:rsidRPr="00EC250C" w:rsidRDefault="00187708" w:rsidP="006C70B7">
      <w:pPr>
        <w:pStyle w:val="Styl1"/>
        <w:numPr>
          <w:ilvl w:val="0"/>
          <w:numId w:val="44"/>
        </w:numPr>
      </w:pPr>
      <w:r w:rsidRPr="00EC250C">
        <w:t>podczas Marszu Niepodległości</w:t>
      </w:r>
      <w:r w:rsidR="00992FD0" w:rsidRPr="00EC250C">
        <w:t xml:space="preserve"> w </w:t>
      </w:r>
      <w:r w:rsidRPr="00EC250C">
        <w:t>Warszawie</w:t>
      </w:r>
      <w:r w:rsidR="00992FD0" w:rsidRPr="00EC250C">
        <w:t xml:space="preserve"> </w:t>
      </w:r>
      <w:r w:rsidR="00294DE7" w:rsidRPr="00EC250C">
        <w:t>11 listopada</w:t>
      </w:r>
      <w:r w:rsidR="00992FD0" w:rsidRPr="00EC250C">
        <w:t> </w:t>
      </w:r>
      <w:r w:rsidRPr="00EC250C">
        <w:t>2017</w:t>
      </w:r>
      <w:r w:rsidR="00C91F6E" w:rsidRPr="00EC250C">
        <w:t> r.</w:t>
      </w:r>
      <w:r w:rsidRPr="00EC250C">
        <w:t xml:space="preserve"> (symbole krzyża celtyckiego, czarnego słońca, znaku wykorzystywanego przez członków formacji Waffen SS, transparenty gloryfikujące ideologię „czystości rasowej” lub wyższości przedstawicieli białej rasy. Te symbole</w:t>
      </w:r>
      <w:r w:rsidR="00992FD0" w:rsidRPr="00EC250C">
        <w:t xml:space="preserve"> i </w:t>
      </w:r>
      <w:r w:rsidRPr="00EC250C">
        <w:t>hasła nie spotkały się</w:t>
      </w:r>
      <w:r w:rsidR="00992FD0" w:rsidRPr="00EC250C">
        <w:t xml:space="preserve"> z </w:t>
      </w:r>
      <w:r w:rsidRPr="00EC250C">
        <w:t>reakcją policjantów)</w:t>
      </w:r>
      <w:r w:rsidR="00003634" w:rsidRPr="00EC250C">
        <w:t>;</w:t>
      </w:r>
    </w:p>
    <w:p w14:paraId="4FFFCD05" w14:textId="77777777" w:rsidR="00C91F6E" w:rsidRPr="00EC250C" w:rsidRDefault="00E2368E" w:rsidP="006C70B7">
      <w:pPr>
        <w:pStyle w:val="Styl1"/>
        <w:numPr>
          <w:ilvl w:val="0"/>
          <w:numId w:val="44"/>
        </w:numPr>
        <w:rPr>
          <w:rFonts w:ascii="Open Sans Regular" w:hAnsi="Open Sans Regular"/>
          <w:color w:val="18223E"/>
          <w:sz w:val="21"/>
        </w:rPr>
      </w:pPr>
      <w:r w:rsidRPr="00EC250C">
        <w:t xml:space="preserve">na Marszu </w:t>
      </w:r>
      <w:r w:rsidR="00187708" w:rsidRPr="00EC250C">
        <w:t>Pamięci Żołnierzy Wyklętych</w:t>
      </w:r>
      <w:r w:rsidR="00992FD0" w:rsidRPr="00EC250C">
        <w:t xml:space="preserve"> w </w:t>
      </w:r>
      <w:r w:rsidR="00187708" w:rsidRPr="00EC250C">
        <w:t>Hajnówce</w:t>
      </w:r>
      <w:r w:rsidR="00992FD0" w:rsidRPr="00EC250C">
        <w:t xml:space="preserve"> w </w:t>
      </w:r>
      <w:r w:rsidR="00187708" w:rsidRPr="00EC250C">
        <w:t>lutym 2018</w:t>
      </w:r>
      <w:r w:rsidR="00C91F6E" w:rsidRPr="00EC250C">
        <w:t> r.</w:t>
      </w:r>
      <w:r w:rsidRPr="00EC250C">
        <w:t xml:space="preserve"> </w:t>
      </w:r>
      <w:r w:rsidR="00187708" w:rsidRPr="00EC250C">
        <w:t>(symbole</w:t>
      </w:r>
      <w:r w:rsidR="00992FD0" w:rsidRPr="00EC250C">
        <w:t xml:space="preserve"> i </w:t>
      </w:r>
      <w:r w:rsidR="00187708" w:rsidRPr="00EC250C">
        <w:t>treści rasistowskie</w:t>
      </w:r>
      <w:r w:rsidR="00992FD0" w:rsidRPr="00EC250C">
        <w:t xml:space="preserve"> i </w:t>
      </w:r>
      <w:r w:rsidR="00187708" w:rsidRPr="00EC250C">
        <w:t>nazistowskie, np. na ubiorze jednego</w:t>
      </w:r>
      <w:r w:rsidR="00992FD0" w:rsidRPr="00EC250C">
        <w:t xml:space="preserve"> z </w:t>
      </w:r>
      <w:r w:rsidR="00187708" w:rsidRPr="00EC250C">
        <w:t>uczestników widniał znak SS-Totenkopf)</w:t>
      </w:r>
      <w:r w:rsidR="00003634" w:rsidRPr="00EC250C">
        <w:t>;</w:t>
      </w:r>
    </w:p>
    <w:p w14:paraId="236922C4" w14:textId="77777777" w:rsidR="00187708" w:rsidRPr="00EC250C" w:rsidRDefault="00294DE7" w:rsidP="006C70B7">
      <w:pPr>
        <w:pStyle w:val="Styl1"/>
        <w:numPr>
          <w:ilvl w:val="0"/>
          <w:numId w:val="44"/>
        </w:numPr>
      </w:pPr>
      <w:r w:rsidRPr="00EC250C">
        <w:t>na ulicach Warszawy 1 maja 2018 r., podczas manifestacji pod hasłem Narodowego Święta Pracy (krzyże celtyckie oraz symbole czarnego słońca; jeden z uczestników miał koszulkę z symbolami SS oraz SS-Totenkopf).</w:t>
      </w:r>
    </w:p>
    <w:p w14:paraId="13678CE7" w14:textId="77777777" w:rsidR="00187708" w:rsidRPr="00EC250C" w:rsidRDefault="00D20D4F" w:rsidP="00D131FA">
      <w:pPr>
        <w:pStyle w:val="Styl1"/>
        <w:rPr>
          <w:bCs/>
          <w:iCs/>
        </w:rPr>
      </w:pPr>
      <w:r w:rsidRPr="00EC250C">
        <w:rPr>
          <w:bCs/>
          <w:iCs/>
        </w:rPr>
        <w:t>RPO</w:t>
      </w:r>
      <w:r w:rsidR="00187708" w:rsidRPr="00EC250C">
        <w:rPr>
          <w:bCs/>
          <w:iCs/>
        </w:rPr>
        <w:t xml:space="preserve"> podkreślił, że przestępstwa motywowane uprzedzeniami, stanowiące szczególny rodzaj przestępstw, wymagają od organów państwa, zwłaszcza Policji, stanowczej reakcji</w:t>
      </w:r>
      <w:r w:rsidR="00992FD0" w:rsidRPr="00EC250C">
        <w:rPr>
          <w:bCs/>
          <w:iCs/>
        </w:rPr>
        <w:t xml:space="preserve"> i </w:t>
      </w:r>
      <w:r w:rsidR="00187708" w:rsidRPr="00EC250C">
        <w:rPr>
          <w:bCs/>
          <w:iCs/>
        </w:rPr>
        <w:t>determinacji</w:t>
      </w:r>
      <w:r w:rsidR="00992FD0" w:rsidRPr="00EC250C">
        <w:rPr>
          <w:bCs/>
          <w:iCs/>
        </w:rPr>
        <w:t xml:space="preserve"> w </w:t>
      </w:r>
      <w:r w:rsidR="00187708" w:rsidRPr="00EC250C">
        <w:rPr>
          <w:bCs/>
          <w:iCs/>
        </w:rPr>
        <w:t>zakresie ich wykrywania</w:t>
      </w:r>
      <w:r w:rsidR="00992FD0" w:rsidRPr="00EC250C">
        <w:rPr>
          <w:bCs/>
          <w:iCs/>
        </w:rPr>
        <w:t xml:space="preserve"> i </w:t>
      </w:r>
      <w:r w:rsidR="00187708" w:rsidRPr="00EC250C">
        <w:rPr>
          <w:bCs/>
          <w:iCs/>
        </w:rPr>
        <w:t>ścigania. Aby taka interwencja była możliwa, konieczne jest również upowszechnienie wśród funkcjonariuszy Policji wiedzy</w:t>
      </w:r>
      <w:r w:rsidR="00992FD0" w:rsidRPr="00EC250C">
        <w:rPr>
          <w:bCs/>
          <w:iCs/>
        </w:rPr>
        <w:t xml:space="preserve"> o </w:t>
      </w:r>
      <w:r w:rsidR="00187708" w:rsidRPr="00EC250C">
        <w:rPr>
          <w:bCs/>
          <w:iCs/>
        </w:rPr>
        <w:t>symbolach</w:t>
      </w:r>
      <w:r w:rsidR="00992FD0" w:rsidRPr="00EC250C">
        <w:rPr>
          <w:bCs/>
          <w:iCs/>
        </w:rPr>
        <w:t xml:space="preserve"> i </w:t>
      </w:r>
      <w:r w:rsidR="00187708" w:rsidRPr="00EC250C">
        <w:rPr>
          <w:bCs/>
          <w:iCs/>
        </w:rPr>
        <w:t>hasłach</w:t>
      </w:r>
      <w:r w:rsidR="00992FD0" w:rsidRPr="00EC250C">
        <w:rPr>
          <w:bCs/>
          <w:iCs/>
        </w:rPr>
        <w:t xml:space="preserve"> o </w:t>
      </w:r>
      <w:r w:rsidR="00187708" w:rsidRPr="00EC250C">
        <w:rPr>
          <w:bCs/>
          <w:iCs/>
        </w:rPr>
        <w:t>charakterze rasistowskim lub odwołujących się do faszyzmu czy nazizmu</w:t>
      </w:r>
      <w:r w:rsidR="002A3909" w:rsidRPr="00EC250C">
        <w:rPr>
          <w:bCs/>
          <w:iCs/>
        </w:rPr>
        <w:t>.</w:t>
      </w:r>
    </w:p>
    <w:p w14:paraId="06952947" w14:textId="77777777" w:rsidR="00187708" w:rsidRPr="00EC250C" w:rsidRDefault="00187708" w:rsidP="00D131FA">
      <w:pPr>
        <w:pStyle w:val="Styl1"/>
        <w:rPr>
          <w:bCs/>
          <w:iCs/>
        </w:rPr>
      </w:pPr>
      <w:r w:rsidRPr="00EC250C">
        <w:rPr>
          <w:bCs/>
          <w:iCs/>
        </w:rPr>
        <w:t xml:space="preserve">Komendant </w:t>
      </w:r>
      <w:r w:rsidR="00630801" w:rsidRPr="00EC250C">
        <w:rPr>
          <w:bCs/>
          <w:iCs/>
        </w:rPr>
        <w:t xml:space="preserve">Główny </w:t>
      </w:r>
      <w:r w:rsidRPr="00EC250C">
        <w:rPr>
          <w:bCs/>
          <w:iCs/>
        </w:rPr>
        <w:t>Policji nie podzielił</w:t>
      </w:r>
      <w:r w:rsidR="002A3909" w:rsidRPr="00EC250C">
        <w:rPr>
          <w:bCs/>
          <w:iCs/>
        </w:rPr>
        <w:t xml:space="preserve"> </w:t>
      </w:r>
      <w:r w:rsidRPr="00EC250C">
        <w:rPr>
          <w:bCs/>
          <w:iCs/>
        </w:rPr>
        <w:t xml:space="preserve">obaw </w:t>
      </w:r>
      <w:r w:rsidR="00D20D4F" w:rsidRPr="00EC250C">
        <w:rPr>
          <w:bCs/>
          <w:iCs/>
        </w:rPr>
        <w:t>RPO</w:t>
      </w:r>
      <w:r w:rsidRPr="00EC250C">
        <w:rPr>
          <w:bCs/>
          <w:iCs/>
        </w:rPr>
        <w:t>. Podkreślił, że statystyki policyjne wskazują na spadek liczby przestępstw popełnianych</w:t>
      </w:r>
      <w:r w:rsidR="00992FD0" w:rsidRPr="00EC250C">
        <w:rPr>
          <w:bCs/>
          <w:iCs/>
        </w:rPr>
        <w:t xml:space="preserve"> z </w:t>
      </w:r>
      <w:r w:rsidRPr="00EC250C">
        <w:rPr>
          <w:bCs/>
          <w:iCs/>
        </w:rPr>
        <w:t>nienawiści. Taktyka działania Policji nie zawsze skutkować będzie bezpośrednią interwencją, ale zawsze policjanci będą dążyć do zabezpieczenia materiału dowodowego</w:t>
      </w:r>
      <w:r w:rsidR="00992FD0" w:rsidRPr="00EC250C">
        <w:rPr>
          <w:bCs/>
          <w:iCs/>
        </w:rPr>
        <w:t xml:space="preserve"> i </w:t>
      </w:r>
      <w:r w:rsidRPr="00EC250C">
        <w:rPr>
          <w:bCs/>
          <w:iCs/>
        </w:rPr>
        <w:t>ustalenia tożsamości osób prezentujących symbole, które mogą zostać uznane za symbole nawołujące do nienawiści, celem ewentualnego pociągnięcia do odpowiedzialności karnej</w:t>
      </w:r>
      <w:r w:rsidR="002A3909" w:rsidRPr="00EC250C">
        <w:rPr>
          <w:rStyle w:val="Odwoanieprzypisudolnego"/>
          <w:bCs/>
          <w:iCs/>
        </w:rPr>
        <w:footnoteReference w:id="354"/>
      </w:r>
      <w:r w:rsidRPr="00EC250C">
        <w:rPr>
          <w:bCs/>
          <w:iCs/>
        </w:rPr>
        <w:t>.</w:t>
      </w:r>
    </w:p>
    <w:p w14:paraId="235D347A" w14:textId="77777777" w:rsidR="006D06C0" w:rsidRPr="00EC250C" w:rsidRDefault="0031660E" w:rsidP="00EC250C">
      <w:pPr>
        <w:pStyle w:val="Nagwek8"/>
      </w:pPr>
      <w:r w:rsidRPr="00EC250C">
        <w:t>Sprawa Marszu Równości w Lublinie</w:t>
      </w:r>
    </w:p>
    <w:p w14:paraId="49B30230" w14:textId="77777777" w:rsidR="0031660E" w:rsidRPr="00EC250C" w:rsidRDefault="0031660E" w:rsidP="00D131FA">
      <w:pPr>
        <w:pStyle w:val="Styl2"/>
        <w:rPr>
          <w:szCs w:val="24"/>
        </w:rPr>
      </w:pPr>
      <w:r w:rsidRPr="00EC250C">
        <w:rPr>
          <w:szCs w:val="24"/>
        </w:rPr>
        <w:t>Prezydent Lublina zakazał Marszu Równości planowanego na 13 października z obawy na zagrożenie ze strony kontrmanifestantów. Sąd Okręgowy w Lublinie podtrzymał tę decyzję. Do Sądu Apelacyjnego zaskarżył ją m.in. Rzecznik Praw Obywatelskich. Przypominał, że władze publiczne nie mogą pod pretekstem zagrożenia unieważniać konstytucyjnego prawa obywateli do manifestowania</w:t>
      </w:r>
      <w:r w:rsidRPr="00EC250C">
        <w:rPr>
          <w:rStyle w:val="Odwoanieprzypisudolnego"/>
          <w:szCs w:val="24"/>
        </w:rPr>
        <w:footnoteReference w:id="355"/>
      </w:r>
      <w:r w:rsidRPr="00EC250C">
        <w:rPr>
          <w:szCs w:val="24"/>
        </w:rPr>
        <w:t>. Rzecznik praw obywatelskich osobiście przyjechał do Lublina na ogłoszenie wyroku 12 października 2018 r.</w:t>
      </w:r>
    </w:p>
    <w:p w14:paraId="7367CB6B" w14:textId="77777777" w:rsidR="0031660E" w:rsidRPr="00EC250C" w:rsidRDefault="0031660E" w:rsidP="00D131FA">
      <w:pPr>
        <w:pStyle w:val="Styl2"/>
        <w:rPr>
          <w:szCs w:val="24"/>
        </w:rPr>
      </w:pPr>
      <w:r w:rsidRPr="00EC250C">
        <w:rPr>
          <w:szCs w:val="24"/>
        </w:rPr>
        <w:t>Sąd Apelacyjny uchylił zakaz podkreślając, że wolność zgromadzeń pełni fundamentalną rolę w społeczeństwach demokratycznych. Państwo ma zapewnić bezpieczeństwo obywatelom korzystającym z tej konstytucyjnej wolności. Sąd powołał się na Konstytucję, standardy międzynarodowe i orzecznictwo Trybunału Konstytucyjnego</w:t>
      </w:r>
      <w:r w:rsidRPr="00EC250C">
        <w:rPr>
          <w:szCs w:val="24"/>
          <w:vertAlign w:val="superscript"/>
        </w:rPr>
        <w:footnoteReference w:id="356"/>
      </w:r>
      <w:r w:rsidRPr="00EC250C">
        <w:rPr>
          <w:szCs w:val="24"/>
        </w:rPr>
        <w:t>.</w:t>
      </w:r>
    </w:p>
    <w:p w14:paraId="6FF3BBDC" w14:textId="77777777" w:rsidR="00C91F6E" w:rsidRPr="00EC250C" w:rsidRDefault="00630801" w:rsidP="00EC250C">
      <w:pPr>
        <w:pStyle w:val="Nagwek8"/>
      </w:pPr>
      <w:r w:rsidRPr="00EC250C">
        <w:lastRenderedPageBreak/>
        <w:t>Interwencje</w:t>
      </w:r>
      <w:r w:rsidR="00187708" w:rsidRPr="00EC250C">
        <w:t xml:space="preserve"> RPO</w:t>
      </w:r>
      <w:r w:rsidR="00992FD0" w:rsidRPr="00EC250C">
        <w:t xml:space="preserve"> w </w:t>
      </w:r>
      <w:r w:rsidR="00187708" w:rsidRPr="00EC250C">
        <w:t>sprawie zakazu zgromadzeń publicznych</w:t>
      </w:r>
      <w:r w:rsidR="00992FD0" w:rsidRPr="00EC250C">
        <w:t xml:space="preserve"> w </w:t>
      </w:r>
      <w:r w:rsidRPr="00EC250C">
        <w:t>2018</w:t>
      </w:r>
      <w:r w:rsidR="00C91F6E" w:rsidRPr="00EC250C">
        <w:t> r.</w:t>
      </w:r>
    </w:p>
    <w:p w14:paraId="747AC7A7" w14:textId="77777777" w:rsidR="00187708" w:rsidRPr="00EC250C" w:rsidRDefault="00187708" w:rsidP="006C70B7">
      <w:pPr>
        <w:pStyle w:val="Styl2"/>
        <w:numPr>
          <w:ilvl w:val="0"/>
          <w:numId w:val="152"/>
        </w:numPr>
        <w:rPr>
          <w:szCs w:val="24"/>
        </w:rPr>
      </w:pPr>
      <w:r w:rsidRPr="00EC250C">
        <w:rPr>
          <w:szCs w:val="24"/>
          <w:bdr w:val="none" w:sz="0" w:space="0" w:color="auto" w:frame="1"/>
        </w:rPr>
        <w:t>We Wrocławiu</w:t>
      </w:r>
      <w:r w:rsidR="00026572" w:rsidRPr="00EC250C">
        <w:rPr>
          <w:szCs w:val="24"/>
          <w:bdr w:val="none" w:sz="0" w:space="0" w:color="auto" w:frame="1"/>
        </w:rPr>
        <w:t xml:space="preserve"> – </w:t>
      </w:r>
      <w:r w:rsidRPr="00EC250C">
        <w:rPr>
          <w:szCs w:val="24"/>
          <w:bdr w:val="none" w:sz="0" w:space="0" w:color="auto" w:frame="1"/>
        </w:rPr>
        <w:t>zakaz Marszu Niepodległości ze względu na możliwość wznoszenia przez uczestników haseł łamiących prawo;</w:t>
      </w:r>
      <w:r w:rsidR="00630801" w:rsidRPr="00EC250C">
        <w:rPr>
          <w:szCs w:val="24"/>
          <w:bdr w:val="none" w:sz="0" w:space="0" w:color="auto" w:frame="1"/>
        </w:rPr>
        <w:t xml:space="preserve"> </w:t>
      </w:r>
      <w:r w:rsidRPr="00EC250C">
        <w:rPr>
          <w:szCs w:val="24"/>
          <w:bdr w:val="none" w:sz="0" w:space="0" w:color="auto" w:frame="1"/>
        </w:rPr>
        <w:t xml:space="preserve">RPO </w:t>
      </w:r>
      <w:r w:rsidRPr="00EC250C">
        <w:rPr>
          <w:szCs w:val="24"/>
        </w:rPr>
        <w:t>argumentował, że nie można zakazywać zgromadzenia publicznego tylko dlatego, że istnieją obawy co do tego, jak przebiegnie; zgodził się</w:t>
      </w:r>
      <w:r w:rsidR="00992FD0" w:rsidRPr="00EC250C">
        <w:rPr>
          <w:szCs w:val="24"/>
        </w:rPr>
        <w:t xml:space="preserve"> z </w:t>
      </w:r>
      <w:r w:rsidRPr="00EC250C">
        <w:rPr>
          <w:szCs w:val="24"/>
        </w:rPr>
        <w:t>tą argumentacją sąd, który uchylił zakaz</w:t>
      </w:r>
      <w:r w:rsidRPr="00EC250C">
        <w:rPr>
          <w:szCs w:val="24"/>
          <w:vertAlign w:val="superscript"/>
        </w:rPr>
        <w:footnoteReference w:id="357"/>
      </w:r>
      <w:r w:rsidR="006D06C0" w:rsidRPr="00EC250C">
        <w:rPr>
          <w:szCs w:val="24"/>
        </w:rPr>
        <w:t>.</w:t>
      </w:r>
    </w:p>
    <w:p w14:paraId="254A3EB1" w14:textId="77777777" w:rsidR="009D70DE" w:rsidRPr="00EC250C" w:rsidRDefault="00187708" w:rsidP="006C70B7">
      <w:pPr>
        <w:pStyle w:val="Styl2"/>
        <w:numPr>
          <w:ilvl w:val="0"/>
          <w:numId w:val="152"/>
        </w:numPr>
        <w:rPr>
          <w:szCs w:val="24"/>
        </w:rPr>
      </w:pPr>
      <w:r w:rsidRPr="00EC250C">
        <w:rPr>
          <w:szCs w:val="24"/>
        </w:rPr>
        <w:t>W Warszawie</w:t>
      </w:r>
      <w:r w:rsidR="00026572" w:rsidRPr="00EC250C">
        <w:rPr>
          <w:szCs w:val="24"/>
        </w:rPr>
        <w:t xml:space="preserve"> – </w:t>
      </w:r>
      <w:r w:rsidRPr="00EC250C">
        <w:rPr>
          <w:szCs w:val="24"/>
        </w:rPr>
        <w:t>rozwiązanie VII Marszu Powstania Warszawskiego 1 sierpnia 2018</w:t>
      </w:r>
      <w:r w:rsidR="00C91F6E" w:rsidRPr="00EC250C">
        <w:rPr>
          <w:szCs w:val="24"/>
        </w:rPr>
        <w:t> r.</w:t>
      </w:r>
      <w:r w:rsidR="005A4520" w:rsidRPr="00EC250C">
        <w:rPr>
          <w:szCs w:val="24"/>
        </w:rPr>
        <w:t xml:space="preserve"> D</w:t>
      </w:r>
      <w:r w:rsidRPr="00EC250C">
        <w:rPr>
          <w:szCs w:val="24"/>
        </w:rPr>
        <w:t>o Rzecznika wpłynęło ponad</w:t>
      </w:r>
      <w:r w:rsidR="00CC4D88" w:rsidRPr="00EC250C">
        <w:rPr>
          <w:szCs w:val="24"/>
        </w:rPr>
        <w:t xml:space="preserve"> </w:t>
      </w:r>
      <w:r w:rsidRPr="00EC250C">
        <w:rPr>
          <w:szCs w:val="24"/>
        </w:rPr>
        <w:t>5 tys. skarg</w:t>
      </w:r>
      <w:r w:rsidR="00992FD0" w:rsidRPr="00EC250C">
        <w:rPr>
          <w:szCs w:val="24"/>
        </w:rPr>
        <w:t xml:space="preserve"> w </w:t>
      </w:r>
      <w:r w:rsidRPr="00EC250C">
        <w:rPr>
          <w:szCs w:val="24"/>
        </w:rPr>
        <w:t xml:space="preserve">sprawie rozwiązania zgromadzenia publicznego przez Prezydenta m.st. Warszawy. </w:t>
      </w:r>
      <w:r w:rsidR="00D20D4F" w:rsidRPr="00EC250C">
        <w:rPr>
          <w:szCs w:val="24"/>
        </w:rPr>
        <w:t>RPO</w:t>
      </w:r>
      <w:r w:rsidRPr="00EC250C">
        <w:rPr>
          <w:szCs w:val="24"/>
        </w:rPr>
        <w:t xml:space="preserve"> zwrócił się do Biura Bezpieczeństwa</w:t>
      </w:r>
      <w:r w:rsidR="00992FD0" w:rsidRPr="00EC250C">
        <w:rPr>
          <w:szCs w:val="24"/>
        </w:rPr>
        <w:t xml:space="preserve"> i </w:t>
      </w:r>
      <w:r w:rsidRPr="00EC250C">
        <w:rPr>
          <w:szCs w:val="24"/>
        </w:rPr>
        <w:t>Zarządzania Kryzysowego Urzędu Miasta Stołecznego Warszawy</w:t>
      </w:r>
      <w:r w:rsidR="00992FD0" w:rsidRPr="00EC250C">
        <w:rPr>
          <w:szCs w:val="24"/>
        </w:rPr>
        <w:t xml:space="preserve"> o </w:t>
      </w:r>
      <w:r w:rsidRPr="00EC250C">
        <w:rPr>
          <w:szCs w:val="24"/>
        </w:rPr>
        <w:t>wyjaśnienia.</w:t>
      </w:r>
      <w:r w:rsidR="009D70DE" w:rsidRPr="00EC250C">
        <w:rPr>
          <w:szCs w:val="24"/>
        </w:rPr>
        <w:t xml:space="preserve"> Dowiedział się, że powodem rozwiązania zgromadzenia było naruszenie prawa przez jednego z uczestników (nawoływanie propagowanie faszyzmu)</w:t>
      </w:r>
      <w:r w:rsidR="00235A7D" w:rsidRPr="00EC250C">
        <w:rPr>
          <w:szCs w:val="24"/>
        </w:rPr>
        <w:t>. Sprawa trafiła do sądu, ale nie została rozstrzygnięta, bo organizatorzy marszu nie uzupełnili dokumentów</w:t>
      </w:r>
      <w:r w:rsidR="00235A7D" w:rsidRPr="00EC250C">
        <w:rPr>
          <w:rStyle w:val="Odwoanieprzypisudolnego"/>
          <w:szCs w:val="24"/>
        </w:rPr>
        <w:footnoteReference w:id="358"/>
      </w:r>
    </w:p>
    <w:p w14:paraId="2C53CADE" w14:textId="77777777" w:rsidR="00187708" w:rsidRPr="00EC250C" w:rsidRDefault="00187708" w:rsidP="006C70B7">
      <w:pPr>
        <w:pStyle w:val="Styl2"/>
        <w:numPr>
          <w:ilvl w:val="0"/>
          <w:numId w:val="45"/>
        </w:numPr>
        <w:rPr>
          <w:szCs w:val="24"/>
        </w:rPr>
      </w:pPr>
      <w:r w:rsidRPr="00EC250C">
        <w:rPr>
          <w:szCs w:val="24"/>
        </w:rPr>
        <w:t>W Warszawie</w:t>
      </w:r>
      <w:r w:rsidR="00026572" w:rsidRPr="00EC250C">
        <w:rPr>
          <w:szCs w:val="24"/>
        </w:rPr>
        <w:t xml:space="preserve"> – </w:t>
      </w:r>
      <w:r w:rsidRPr="00EC250C">
        <w:rPr>
          <w:szCs w:val="24"/>
        </w:rPr>
        <w:t>zasadność zachowania się funkcjonariuszy</w:t>
      </w:r>
      <w:r w:rsidR="00992FD0" w:rsidRPr="00EC250C">
        <w:rPr>
          <w:szCs w:val="24"/>
        </w:rPr>
        <w:t xml:space="preserve"> w </w:t>
      </w:r>
      <w:r w:rsidRPr="00EC250C">
        <w:rPr>
          <w:szCs w:val="24"/>
        </w:rPr>
        <w:t>czasie demonstracji pod Sejmem 20 lipca 2018</w:t>
      </w:r>
      <w:r w:rsidR="00C91F6E" w:rsidRPr="00EC250C">
        <w:rPr>
          <w:szCs w:val="24"/>
        </w:rPr>
        <w:t> r.</w:t>
      </w:r>
      <w:r w:rsidRPr="00EC250C">
        <w:rPr>
          <w:szCs w:val="24"/>
        </w:rPr>
        <w:t xml:space="preserve"> Zatrzymano wtedy cztery osoby,</w:t>
      </w:r>
      <w:r w:rsidR="00992FD0" w:rsidRPr="00EC250C">
        <w:rPr>
          <w:szCs w:val="24"/>
        </w:rPr>
        <w:t xml:space="preserve"> a </w:t>
      </w:r>
      <w:r w:rsidRPr="00EC250C">
        <w:rPr>
          <w:szCs w:val="24"/>
        </w:rPr>
        <w:t>jedna osoba odniosła obrażenia</w:t>
      </w:r>
      <w:r w:rsidR="005A4520" w:rsidRPr="00EC250C">
        <w:rPr>
          <w:szCs w:val="24"/>
        </w:rPr>
        <w:t>.</w:t>
      </w:r>
      <w:r w:rsidR="005A4520" w:rsidRPr="00EC250C">
        <w:rPr>
          <w:rStyle w:val="Odwoanieprzypisudolnego"/>
          <w:szCs w:val="24"/>
        </w:rPr>
        <w:footnoteReference w:id="359"/>
      </w:r>
    </w:p>
    <w:p w14:paraId="259A73D4" w14:textId="77777777" w:rsidR="00187708" w:rsidRPr="00EC250C" w:rsidRDefault="00187708" w:rsidP="006C70B7">
      <w:pPr>
        <w:pStyle w:val="Styl2"/>
        <w:numPr>
          <w:ilvl w:val="0"/>
          <w:numId w:val="45"/>
        </w:numPr>
        <w:rPr>
          <w:rFonts w:ascii="Open Sans Regular" w:hAnsi="Open Sans Regular"/>
          <w:szCs w:val="24"/>
        </w:rPr>
      </w:pPr>
      <w:r w:rsidRPr="00EC250C">
        <w:rPr>
          <w:szCs w:val="24"/>
        </w:rPr>
        <w:t>W Łowiczu</w:t>
      </w:r>
      <w:r w:rsidR="00026572" w:rsidRPr="00EC250C">
        <w:rPr>
          <w:szCs w:val="24"/>
        </w:rPr>
        <w:t xml:space="preserve"> – </w:t>
      </w:r>
      <w:r w:rsidRPr="00EC250C">
        <w:rPr>
          <w:szCs w:val="24"/>
          <w:bdr w:val="none" w:sz="0" w:space="0" w:color="auto" w:frame="1"/>
        </w:rPr>
        <w:t>Policja wylegitymowała pięć osób, bo znalazła tabliczki</w:t>
      </w:r>
      <w:r w:rsidR="00992FD0" w:rsidRPr="00EC250C">
        <w:rPr>
          <w:szCs w:val="24"/>
          <w:bdr w:val="none" w:sz="0" w:space="0" w:color="auto" w:frame="1"/>
        </w:rPr>
        <w:t xml:space="preserve"> z </w:t>
      </w:r>
      <w:r w:rsidRPr="00EC250C">
        <w:rPr>
          <w:szCs w:val="24"/>
          <w:bdr w:val="none" w:sz="0" w:space="0" w:color="auto" w:frame="1"/>
        </w:rPr>
        <w:t>napisem „Policja chroni marsz O.N.R. przed kobietami</w:t>
      </w:r>
      <w:r w:rsidR="005A4520" w:rsidRPr="00EC250C">
        <w:rPr>
          <w:szCs w:val="24"/>
          <w:bdr w:val="none" w:sz="0" w:space="0" w:color="auto" w:frame="1"/>
        </w:rPr>
        <w:t xml:space="preserve">” </w:t>
      </w:r>
      <w:r w:rsidRPr="00EC250C">
        <w:rPr>
          <w:szCs w:val="24"/>
          <w:bdr w:val="none" w:sz="0" w:space="0" w:color="auto" w:frame="1"/>
        </w:rPr>
        <w:t>oraz „Brudziński uprawia</w:t>
      </w:r>
      <w:r w:rsidR="00992FD0" w:rsidRPr="00EC250C">
        <w:rPr>
          <w:szCs w:val="24"/>
          <w:bdr w:val="none" w:sz="0" w:space="0" w:color="auto" w:frame="1"/>
        </w:rPr>
        <w:t xml:space="preserve"> w </w:t>
      </w:r>
      <w:r w:rsidRPr="00EC250C">
        <w:rPr>
          <w:szCs w:val="24"/>
          <w:bdr w:val="none" w:sz="0" w:space="0" w:color="auto" w:frame="1"/>
        </w:rPr>
        <w:t>sejmie propagandę polityczną na tle neonazizmu</w:t>
      </w:r>
      <w:r w:rsidR="005A4520" w:rsidRPr="00EC250C">
        <w:rPr>
          <w:szCs w:val="24"/>
          <w:bdr w:val="none" w:sz="0" w:space="0" w:color="auto" w:frame="1"/>
        </w:rPr>
        <w:t>”</w:t>
      </w:r>
      <w:r w:rsidRPr="00EC250C">
        <w:rPr>
          <w:szCs w:val="24"/>
          <w:bdr w:val="none" w:sz="0" w:space="0" w:color="auto" w:frame="1"/>
        </w:rPr>
        <w:t>. Skończyło się to postępowaniami prokuratorskimi</w:t>
      </w:r>
      <w:r w:rsidR="00992FD0" w:rsidRPr="00EC250C">
        <w:rPr>
          <w:szCs w:val="24"/>
          <w:bdr w:val="none" w:sz="0" w:space="0" w:color="auto" w:frame="1"/>
        </w:rPr>
        <w:t xml:space="preserve"> w </w:t>
      </w:r>
      <w:r w:rsidRPr="00EC250C">
        <w:rPr>
          <w:szCs w:val="24"/>
          <w:bdr w:val="none" w:sz="0" w:space="0" w:color="auto" w:frame="1"/>
        </w:rPr>
        <w:t>Skierniewicach</w:t>
      </w:r>
      <w:r w:rsidR="00992FD0" w:rsidRPr="00EC250C">
        <w:rPr>
          <w:szCs w:val="24"/>
          <w:bdr w:val="none" w:sz="0" w:space="0" w:color="auto" w:frame="1"/>
        </w:rPr>
        <w:t xml:space="preserve"> i </w:t>
      </w:r>
      <w:r w:rsidRPr="00EC250C">
        <w:rPr>
          <w:szCs w:val="24"/>
          <w:bdr w:val="none" w:sz="0" w:space="0" w:color="auto" w:frame="1"/>
        </w:rPr>
        <w:t>Łęczycy</w:t>
      </w:r>
      <w:r w:rsidRPr="00EC250C">
        <w:rPr>
          <w:rStyle w:val="Odwoanieprzypisudolnego"/>
          <w:szCs w:val="24"/>
          <w:bdr w:val="none" w:sz="0" w:space="0" w:color="auto" w:frame="1"/>
        </w:rPr>
        <w:footnoteReference w:id="360"/>
      </w:r>
      <w:r w:rsidRPr="00EC250C">
        <w:rPr>
          <w:szCs w:val="24"/>
          <w:bdr w:val="none" w:sz="0" w:space="0" w:color="auto" w:frame="1"/>
        </w:rPr>
        <w:t>.</w:t>
      </w:r>
    </w:p>
    <w:p w14:paraId="315A42F0" w14:textId="77777777" w:rsidR="00C91F6E" w:rsidRPr="00EC250C" w:rsidRDefault="00A16B5C" w:rsidP="00D131FA">
      <w:pPr>
        <w:pStyle w:val="ODESANIE"/>
        <w:jc w:val="both"/>
      </w:pPr>
      <w:bookmarkStart w:id="355" w:name="_Toc6257928"/>
      <w:bookmarkStart w:id="356" w:name="_Toc6257799"/>
      <w:r w:rsidRPr="00EC250C">
        <w:t>Ochrona praw uczestników manifestacji</w:t>
      </w:r>
      <w:r w:rsidR="00992FD0" w:rsidRPr="00EC250C">
        <w:t xml:space="preserve"> w </w:t>
      </w:r>
      <w:r w:rsidRPr="00EC250C">
        <w:t>Puszczy Białowieskiej</w:t>
      </w:r>
      <w:bookmarkEnd w:id="355"/>
    </w:p>
    <w:p w14:paraId="6EC6D07E" w14:textId="77777777" w:rsidR="00A16B5C" w:rsidRPr="00EC250C" w:rsidRDefault="00B606E9" w:rsidP="00EC250C">
      <w:pPr>
        <w:pStyle w:val="Nagwek8"/>
      </w:pPr>
      <w:r w:rsidRPr="00EC250C">
        <w:rPr>
          <w:rStyle w:val="Pogrubienie"/>
          <w:b/>
          <w:bCs w:val="0"/>
        </w:rPr>
        <w:t xml:space="preserve">Konsekwencje </w:t>
      </w:r>
      <w:r w:rsidR="00A16B5C" w:rsidRPr="00EC250C">
        <w:rPr>
          <w:rStyle w:val="Pogrubienie"/>
          <w:b/>
          <w:bCs w:val="0"/>
        </w:rPr>
        <w:t>wyroku Trybuna</w:t>
      </w:r>
      <w:r w:rsidR="00A16B5C" w:rsidRPr="00EC250C">
        <w:rPr>
          <w:rStyle w:val="Pogrubienie"/>
          <w:rFonts w:hint="eastAsia"/>
          <w:b/>
          <w:bCs w:val="0"/>
        </w:rPr>
        <w:t>ł</w:t>
      </w:r>
      <w:r w:rsidR="00A16B5C" w:rsidRPr="00EC250C">
        <w:rPr>
          <w:rStyle w:val="Pogrubienie"/>
          <w:b/>
          <w:bCs w:val="0"/>
        </w:rPr>
        <w:t>u Sprawiedliwo</w:t>
      </w:r>
      <w:r w:rsidR="00A16B5C" w:rsidRPr="00EC250C">
        <w:rPr>
          <w:rStyle w:val="Pogrubienie"/>
          <w:rFonts w:hint="eastAsia"/>
          <w:b/>
          <w:bCs w:val="0"/>
        </w:rPr>
        <w:t>ś</w:t>
      </w:r>
      <w:r w:rsidR="00A16B5C" w:rsidRPr="00EC250C">
        <w:rPr>
          <w:rStyle w:val="Pogrubienie"/>
          <w:b/>
          <w:bCs w:val="0"/>
        </w:rPr>
        <w:t>ci Unii Europejskiej</w:t>
      </w:r>
      <w:r w:rsidRPr="00EC250C">
        <w:rPr>
          <w:rStyle w:val="Pogrubienie"/>
          <w:b/>
          <w:bCs w:val="0"/>
        </w:rPr>
        <w:t xml:space="preserve"> dla osób manifestujących przeciwko wycince w</w:t>
      </w:r>
      <w:r w:rsidRPr="00EC250C">
        <w:rPr>
          <w:rStyle w:val="Pogrubienie"/>
          <w:rFonts w:hint="eastAsia"/>
          <w:b/>
          <w:bCs w:val="0"/>
        </w:rPr>
        <w:t> </w:t>
      </w:r>
      <w:r w:rsidRPr="00EC250C">
        <w:rPr>
          <w:rStyle w:val="Pogrubienie"/>
          <w:b/>
          <w:bCs w:val="0"/>
        </w:rPr>
        <w:t>Puszczy Białowieskiej</w:t>
      </w:r>
    </w:p>
    <w:p w14:paraId="5C3973C6" w14:textId="77777777" w:rsidR="00A16B5C" w:rsidRPr="00EC250C" w:rsidRDefault="00A16B5C" w:rsidP="00D131FA">
      <w:pPr>
        <w:pStyle w:val="Styl2"/>
        <w:rPr>
          <w:szCs w:val="24"/>
        </w:rPr>
      </w:pPr>
      <w:r w:rsidRPr="00EC250C">
        <w:rPr>
          <w:szCs w:val="24"/>
        </w:rPr>
        <w:t xml:space="preserve">Rzecznik </w:t>
      </w:r>
      <w:r w:rsidR="00D20D4F" w:rsidRPr="00EC250C">
        <w:rPr>
          <w:szCs w:val="24"/>
        </w:rPr>
        <w:t xml:space="preserve">Praw Obywatelskich </w:t>
      </w:r>
      <w:r w:rsidRPr="00EC250C">
        <w:rPr>
          <w:szCs w:val="24"/>
        </w:rPr>
        <w:t>napisał do Komendanta Wojewódzkiego Policji</w:t>
      </w:r>
      <w:r w:rsidR="00992FD0" w:rsidRPr="00EC250C">
        <w:rPr>
          <w:szCs w:val="24"/>
        </w:rPr>
        <w:t xml:space="preserve"> i </w:t>
      </w:r>
      <w:r w:rsidRPr="00EC250C">
        <w:rPr>
          <w:szCs w:val="24"/>
        </w:rPr>
        <w:t>do Dyrektora Regionalnej Dyrekcji Lasów Państwowych</w:t>
      </w:r>
      <w:r w:rsidR="00992FD0" w:rsidRPr="00EC250C">
        <w:rPr>
          <w:szCs w:val="24"/>
        </w:rPr>
        <w:t xml:space="preserve"> w </w:t>
      </w:r>
      <w:r w:rsidRPr="00EC250C">
        <w:rPr>
          <w:szCs w:val="24"/>
        </w:rPr>
        <w:t>Białymstoku, jak bardzo istotny</w:t>
      </w:r>
      <w:r w:rsidR="00992FD0" w:rsidRPr="00EC250C">
        <w:rPr>
          <w:szCs w:val="24"/>
        </w:rPr>
        <w:t xml:space="preserve"> z </w:t>
      </w:r>
      <w:r w:rsidRPr="00EC250C">
        <w:rPr>
          <w:szCs w:val="24"/>
        </w:rPr>
        <w:t>punktu widzenia ochrony uczestników zgromadzeń publicznych</w:t>
      </w:r>
      <w:r w:rsidR="00992FD0" w:rsidRPr="00EC250C">
        <w:rPr>
          <w:szCs w:val="24"/>
        </w:rPr>
        <w:t xml:space="preserve"> w </w:t>
      </w:r>
      <w:r w:rsidRPr="00EC250C">
        <w:rPr>
          <w:szCs w:val="24"/>
        </w:rPr>
        <w:t>Puszczy Białowieskiej jest wyrok Trybunału Sprawiedliwości Unii Europejskiej.</w:t>
      </w:r>
    </w:p>
    <w:p w14:paraId="231B5277" w14:textId="77777777" w:rsidR="00A16B5C" w:rsidRPr="00EC250C" w:rsidRDefault="00235A7D" w:rsidP="00D131FA">
      <w:pPr>
        <w:pStyle w:val="Styl2"/>
        <w:rPr>
          <w:szCs w:val="24"/>
        </w:rPr>
      </w:pPr>
      <w:r w:rsidRPr="00EC250C">
        <w:rPr>
          <w:szCs w:val="24"/>
        </w:rPr>
        <w:t xml:space="preserve">Obie instytucje powinny rozważyć, co zrobić z wnioskami o ściganie uczestników manifestacji przeciwko wycince. Takich wniosków wiosną 2018 r. było około 200. </w:t>
      </w:r>
      <w:r w:rsidR="00D20D4F" w:rsidRPr="00EC250C">
        <w:rPr>
          <w:szCs w:val="24"/>
        </w:rPr>
        <w:t xml:space="preserve">RPO </w:t>
      </w:r>
      <w:r w:rsidR="00A16B5C" w:rsidRPr="00EC250C">
        <w:rPr>
          <w:szCs w:val="24"/>
        </w:rPr>
        <w:t>przypomniał, że wobec uczestników pokojowych manifestacji odbyw</w:t>
      </w:r>
      <w:r w:rsidR="00745D67" w:rsidRPr="00EC250C">
        <w:rPr>
          <w:szCs w:val="24"/>
        </w:rPr>
        <w:t>ających</w:t>
      </w:r>
      <w:r w:rsidR="00A16B5C" w:rsidRPr="00EC250C">
        <w:rPr>
          <w:szCs w:val="24"/>
        </w:rPr>
        <w:t xml:space="preserve"> się</w:t>
      </w:r>
      <w:r w:rsidR="00992FD0" w:rsidRPr="00EC250C">
        <w:rPr>
          <w:szCs w:val="24"/>
        </w:rPr>
        <w:t xml:space="preserve"> w </w:t>
      </w:r>
      <w:r w:rsidR="00A16B5C" w:rsidRPr="00EC250C">
        <w:rPr>
          <w:szCs w:val="24"/>
        </w:rPr>
        <w:t>Puszczy Białowieskiej zarówno policja, jak</w:t>
      </w:r>
      <w:r w:rsidR="00992FD0" w:rsidRPr="00EC250C">
        <w:rPr>
          <w:szCs w:val="24"/>
        </w:rPr>
        <w:t xml:space="preserve"> i </w:t>
      </w:r>
      <w:r w:rsidR="00A16B5C" w:rsidRPr="00EC250C">
        <w:rPr>
          <w:szCs w:val="24"/>
        </w:rPr>
        <w:t>straż leśna, podejmowała czynności, które uniemożliwiały im korzystanie</w:t>
      </w:r>
      <w:r w:rsidR="00992FD0" w:rsidRPr="00EC250C">
        <w:rPr>
          <w:szCs w:val="24"/>
        </w:rPr>
        <w:t xml:space="preserve"> z </w:t>
      </w:r>
      <w:r w:rsidR="00A16B5C" w:rsidRPr="00EC250C">
        <w:rPr>
          <w:szCs w:val="24"/>
        </w:rPr>
        <w:t>wolności zgromadzeń publicznych.</w:t>
      </w:r>
    </w:p>
    <w:p w14:paraId="6A376968" w14:textId="77777777" w:rsidR="00235A7D" w:rsidRPr="00EC250C" w:rsidRDefault="00235A7D" w:rsidP="00D131FA">
      <w:pPr>
        <w:pStyle w:val="Styl2"/>
        <w:rPr>
          <w:szCs w:val="24"/>
        </w:rPr>
      </w:pPr>
      <w:r w:rsidRPr="00EC250C">
        <w:rPr>
          <w:szCs w:val="24"/>
        </w:rPr>
        <w:t>Trybunał – przypomniał RPO – uznał, że Polska uchybiła swoim zobowiązaniom wynikających z dyrektywy siedliskowej</w:t>
      </w:r>
      <w:r w:rsidRPr="00EC250C">
        <w:rPr>
          <w:rStyle w:val="Odwoanieprzypisudolnego"/>
          <w:bCs w:val="0"/>
          <w:iCs w:val="0"/>
          <w:szCs w:val="24"/>
        </w:rPr>
        <w:footnoteReference w:id="361"/>
      </w:r>
      <w:r w:rsidRPr="00EC250C">
        <w:rPr>
          <w:rFonts w:hint="eastAsia"/>
          <w:szCs w:val="24"/>
        </w:rPr>
        <w:t xml:space="preserve"> i</w:t>
      </w:r>
      <w:r w:rsidRPr="00EC250C">
        <w:rPr>
          <w:szCs w:val="24"/>
        </w:rPr>
        <w:t> dyrektywy ptasiej</w:t>
      </w:r>
      <w:r w:rsidRPr="00EC250C">
        <w:rPr>
          <w:rStyle w:val="Odwoanieprzypisudolnego"/>
          <w:bCs w:val="0"/>
          <w:iCs w:val="0"/>
          <w:szCs w:val="24"/>
        </w:rPr>
        <w:footnoteReference w:id="362"/>
      </w:r>
      <w:r w:rsidRPr="00EC250C">
        <w:rPr>
          <w:szCs w:val="24"/>
        </w:rPr>
        <w:t xml:space="preserve">, a wycinka drzew w Puszczy Białowieskiej była nielegalna. Tym samym potwierdził, że manifestacje w Puszczy były uzasadnione i podjęte po to, by doprowadzić do przestrzegania prawa przez polskie władze. Protesty obrońców </w:t>
      </w:r>
      <w:r w:rsidRPr="00EC250C">
        <w:rPr>
          <w:szCs w:val="24"/>
        </w:rPr>
        <w:lastRenderedPageBreak/>
        <w:t>puszczy miały bowiem na celu powstrzymanie podjętych przez Lasy Państwowe działań, które prowadziły do zwiększenia wycinki drzew w Puszczy Białowieskiej.</w:t>
      </w:r>
    </w:p>
    <w:p w14:paraId="6AD3B43D" w14:textId="77777777" w:rsidR="00A16B5C" w:rsidRPr="00EC250C" w:rsidRDefault="00A16B5C" w:rsidP="00D131FA">
      <w:pPr>
        <w:pStyle w:val="Styl2"/>
        <w:rPr>
          <w:szCs w:val="24"/>
        </w:rPr>
      </w:pPr>
      <w:r w:rsidRPr="00EC250C">
        <w:rPr>
          <w:szCs w:val="24"/>
        </w:rPr>
        <w:t xml:space="preserve">W ocenie </w:t>
      </w:r>
      <w:r w:rsidR="00D20D4F" w:rsidRPr="00EC250C">
        <w:rPr>
          <w:szCs w:val="24"/>
        </w:rPr>
        <w:t>RPO</w:t>
      </w:r>
      <w:r w:rsidRPr="00EC250C">
        <w:rPr>
          <w:szCs w:val="24"/>
        </w:rPr>
        <w:t xml:space="preserve"> osoby protestujące nie powinny być zatem karane, ani też narażone na postępowania sądowe.</w:t>
      </w:r>
    </w:p>
    <w:p w14:paraId="56B672DB" w14:textId="77777777" w:rsidR="00561F3C" w:rsidRPr="00EC250C" w:rsidRDefault="00A16B5C" w:rsidP="00D131FA">
      <w:pPr>
        <w:pStyle w:val="Styl2"/>
        <w:rPr>
          <w:szCs w:val="24"/>
        </w:rPr>
      </w:pPr>
      <w:r w:rsidRPr="00EC250C">
        <w:rPr>
          <w:szCs w:val="24"/>
        </w:rPr>
        <w:t>Komendant Policji twierdził jednak, że wszystkie działania podejmowane przez funkcjonariuszy Policji wynikały</w:t>
      </w:r>
      <w:r w:rsidR="00992FD0" w:rsidRPr="00EC250C">
        <w:rPr>
          <w:szCs w:val="24"/>
        </w:rPr>
        <w:t xml:space="preserve"> z </w:t>
      </w:r>
      <w:r w:rsidRPr="00EC250C">
        <w:rPr>
          <w:szCs w:val="24"/>
        </w:rPr>
        <w:t>obowiązków, jakie nakładała na nich ustawa</w:t>
      </w:r>
      <w:r w:rsidR="00992FD0" w:rsidRPr="00EC250C">
        <w:rPr>
          <w:szCs w:val="24"/>
        </w:rPr>
        <w:t xml:space="preserve"> o </w:t>
      </w:r>
      <w:r w:rsidRPr="00EC250C">
        <w:rPr>
          <w:szCs w:val="24"/>
        </w:rPr>
        <w:t>Policji. Ani on, ani Lasy Państwowe nie chcieli początkowo wycofywać spraw</w:t>
      </w:r>
      <w:r w:rsidR="00992FD0" w:rsidRPr="00EC250C">
        <w:rPr>
          <w:szCs w:val="24"/>
        </w:rPr>
        <w:t xml:space="preserve"> o </w:t>
      </w:r>
      <w:r w:rsidRPr="00EC250C">
        <w:rPr>
          <w:szCs w:val="24"/>
        </w:rPr>
        <w:t>ukaranie uczestników demonstracji przeciwko nielegalnej wycince.</w:t>
      </w:r>
      <w:r w:rsidR="00561F3C" w:rsidRPr="00EC250C">
        <w:rPr>
          <w:szCs w:val="24"/>
        </w:rPr>
        <w:t xml:space="preserve"> Twierdzili, że zakazy wstępu do lasu były legalne. RPO się z tym nie zgadzał. Pogląd ten podzielił 11 grudnia 2018 r. SN podzielił ocenę prawną Rzecznika i uwzględnił kasacje wobec trzech osób ukaranych w 2017 r. przez sąd w Hajnówce grzywnami za złamanie zakazu wejścia do lasu. Sąd rejonowy wydał wyroki nakazowe bez przeprowadzania rozpraw i wzywania obwinionych. Według Rzecznika, sąd naruszył przepisy, nie prowadząc rozpraw. Dlatego wniósł o uchylenie tych wyroków i zbadanie spraw w zwykłym trybie.   </w:t>
      </w:r>
    </w:p>
    <w:p w14:paraId="30612E93" w14:textId="77777777" w:rsidR="00561F3C" w:rsidRPr="00EC250C" w:rsidRDefault="00561F3C" w:rsidP="00D131FA">
      <w:pPr>
        <w:pStyle w:val="Styl2"/>
        <w:rPr>
          <w:szCs w:val="24"/>
        </w:rPr>
      </w:pPr>
      <w:r w:rsidRPr="00EC250C">
        <w:rPr>
          <w:szCs w:val="24"/>
        </w:rPr>
        <w:t>SN jedną z obwinionych uniewinnił, a sprawy dwóch pozostałych (w tym operatora telewizji) zwrócił sądowi w Hajnówce</w:t>
      </w:r>
      <w:r w:rsidR="00B606E9" w:rsidRPr="00EC250C">
        <w:rPr>
          <w:rStyle w:val="Odwoanieprzypisudolnego"/>
          <w:szCs w:val="24"/>
        </w:rPr>
        <w:footnoteReference w:id="363"/>
      </w:r>
      <w:r w:rsidRPr="00EC250C">
        <w:rPr>
          <w:szCs w:val="24"/>
        </w:rPr>
        <w:t>.  SN orzekł, że zarządzenie, zamiast ustalić wymagany przez ustawę okresowy zakaz wstępu do lasu, wprowadziło w istocie stały zakaz.</w:t>
      </w:r>
    </w:p>
    <w:p w14:paraId="1B449047" w14:textId="77777777" w:rsidR="00561F3C" w:rsidRPr="00EC250C" w:rsidRDefault="00561F3C" w:rsidP="00D131FA">
      <w:pPr>
        <w:pStyle w:val="Styl2"/>
        <w:rPr>
          <w:szCs w:val="24"/>
        </w:rPr>
      </w:pPr>
      <w:r w:rsidRPr="00EC250C">
        <w:rPr>
          <w:szCs w:val="24"/>
        </w:rPr>
        <w:t>Dlatego Rzecznik wystąpił do dyrektora RDLP w Białymstoku o zastosowanie sankcji służbowych wobec osób, które doprowadziły do wydania zakazu wstępu do lasu z oczywistą obrazą art. 26 ust. 3 ustawy o lasach.</w:t>
      </w:r>
    </w:p>
    <w:p w14:paraId="305FA339" w14:textId="77777777" w:rsidR="00561F3C" w:rsidRPr="00EC250C" w:rsidRDefault="00561F3C" w:rsidP="00D131FA">
      <w:pPr>
        <w:pStyle w:val="Styl2"/>
        <w:rPr>
          <w:szCs w:val="24"/>
        </w:rPr>
      </w:pPr>
      <w:r w:rsidRPr="00EC250C">
        <w:rPr>
          <w:szCs w:val="24"/>
        </w:rPr>
        <w:t>Zgodnie z ustawą RPO może kierować wystąpienie do organu, organizacji lub instytucji, w których działalności stwierdził naruszenie wolności i praw człowieka i obywatela oraz żądać wszczęcia postępowania dyscyplinarnego lub zastosowania sankcji służbowych</w:t>
      </w:r>
      <w:r w:rsidRPr="00EC250C">
        <w:rPr>
          <w:rStyle w:val="Odwoanieprzypisudolnego"/>
          <w:bCs w:val="0"/>
          <w:iCs w:val="0"/>
          <w:szCs w:val="24"/>
        </w:rPr>
        <w:footnoteReference w:id="364"/>
      </w:r>
      <w:r w:rsidRPr="00EC250C">
        <w:rPr>
          <w:szCs w:val="24"/>
        </w:rPr>
        <w:t>.</w:t>
      </w:r>
    </w:p>
    <w:p w14:paraId="60059AB8" w14:textId="77777777" w:rsidR="00A16B5C" w:rsidRPr="00EC250C" w:rsidRDefault="00A16B5C" w:rsidP="00D131FA">
      <w:pPr>
        <w:pStyle w:val="WICEJ"/>
        <w:jc w:val="both"/>
        <w:rPr>
          <w:rFonts w:eastAsia="Calibri"/>
          <w:iCs w:val="0"/>
          <w:spacing w:val="0"/>
          <w:szCs w:val="24"/>
          <w:lang w:eastAsia="zh-CN" w:bidi="hi-IN"/>
        </w:rPr>
      </w:pPr>
      <w:r w:rsidRPr="00EC250C">
        <w:t>Problem strażników leśnych</w:t>
      </w:r>
      <w:r w:rsidR="00992FD0" w:rsidRPr="00EC250C">
        <w:t xml:space="preserve"> i </w:t>
      </w:r>
      <w:r w:rsidRPr="00EC250C">
        <w:t>odpowiedzialności za używanie siły wobec protestujących – opisane przy art. 41 ust. 1 (nietykalność</w:t>
      </w:r>
      <w:r w:rsidR="00992FD0" w:rsidRPr="00EC250C">
        <w:t xml:space="preserve"> i </w:t>
      </w:r>
      <w:r w:rsidRPr="00EC250C">
        <w:t>wolność osobista)</w:t>
      </w:r>
      <w:r w:rsidRPr="00EC250C">
        <w:br w:type="page"/>
      </w:r>
    </w:p>
    <w:p w14:paraId="520D7CF4" w14:textId="77777777" w:rsidR="00187708" w:rsidRPr="00EC250C" w:rsidRDefault="00187708" w:rsidP="00EC250C">
      <w:pPr>
        <w:pStyle w:val="Nagwek3"/>
      </w:pPr>
      <w:bookmarkStart w:id="357" w:name="_Toc6257800"/>
      <w:bookmarkStart w:id="358" w:name="_Toc11247676"/>
      <w:bookmarkEnd w:id="356"/>
      <w:r w:rsidRPr="00EC250C">
        <w:lastRenderedPageBreak/>
        <w:t xml:space="preserve">Art. 58 </w:t>
      </w:r>
      <w:r w:rsidR="003C7122" w:rsidRPr="00EC250C">
        <w:t xml:space="preserve">Konstytucji </w:t>
      </w:r>
      <w:r w:rsidRPr="00EC250C">
        <w:t>– Wolność zrzeszania się</w:t>
      </w:r>
      <w:bookmarkEnd w:id="357"/>
      <w:bookmarkEnd w:id="358"/>
    </w:p>
    <w:p w14:paraId="6A7F7CFF" w14:textId="77777777" w:rsidR="00187708" w:rsidRPr="00EC250C" w:rsidRDefault="00187708" w:rsidP="00D131FA">
      <w:pPr>
        <w:pStyle w:val="konstytucja"/>
        <w:jc w:val="both"/>
      </w:pPr>
      <w:r w:rsidRPr="00EC250C">
        <w:t>1. Każdemu zapewnia się wolność zrzeszania się.</w:t>
      </w:r>
    </w:p>
    <w:p w14:paraId="37EB331B" w14:textId="77777777" w:rsidR="00187708" w:rsidRPr="00EC250C" w:rsidRDefault="00187708" w:rsidP="00D131FA">
      <w:pPr>
        <w:pStyle w:val="konstytucja"/>
        <w:jc w:val="both"/>
      </w:pPr>
      <w:r w:rsidRPr="00EC250C">
        <w:t>2. Zakazane są zrzeszenia, których cel lub działalność są sprzeczne</w:t>
      </w:r>
      <w:r w:rsidR="00992FD0" w:rsidRPr="00EC250C">
        <w:t xml:space="preserve"> z </w:t>
      </w:r>
      <w:r w:rsidRPr="00EC250C">
        <w:t>Konstytucją lub ustawą. O odmowie rejestracji lub zakazie działania takiego zrzeszenia orzeka sąd.</w:t>
      </w:r>
    </w:p>
    <w:p w14:paraId="55145EEF" w14:textId="77777777" w:rsidR="00187708" w:rsidRPr="00EC250C" w:rsidRDefault="00187708" w:rsidP="00D131FA">
      <w:pPr>
        <w:pStyle w:val="konstytucja"/>
        <w:jc w:val="both"/>
      </w:pPr>
      <w:r w:rsidRPr="00EC250C">
        <w:t>3. Ustawa określa rodzaje zrzeszeń podlegających sądowej rejestracji, tryb tej rejestracji oraz formy nadzoru nad tymi zrzeszeniami.</w:t>
      </w:r>
    </w:p>
    <w:p w14:paraId="098AE5A6" w14:textId="77777777" w:rsidR="00C91F6E" w:rsidRPr="00EC250C" w:rsidRDefault="00187708" w:rsidP="00D131FA">
      <w:pPr>
        <w:pStyle w:val="ComwiKonstytucja"/>
      </w:pPr>
      <w:r w:rsidRPr="00EC250C">
        <w:t>Wolność zrzeszania się ujęto jako zasadę ustrojową (społeczeństwa obywatelskiego)</w:t>
      </w:r>
      <w:r w:rsidR="00992FD0" w:rsidRPr="00EC250C">
        <w:t xml:space="preserve"> w </w:t>
      </w:r>
      <w:r w:rsidRPr="00EC250C">
        <w:t>art. 12 Konstytucji. Jest ona źródłem szeregu praw podmiotowych, takich jak:</w:t>
      </w:r>
    </w:p>
    <w:p w14:paraId="3098B738" w14:textId="77777777" w:rsidR="00C91F6E" w:rsidRPr="00EC250C" w:rsidRDefault="00187708" w:rsidP="006C70B7">
      <w:pPr>
        <w:pStyle w:val="ComwiKonstytucja"/>
        <w:numPr>
          <w:ilvl w:val="0"/>
          <w:numId w:val="45"/>
        </w:numPr>
      </w:pPr>
      <w:r w:rsidRPr="00EC250C">
        <w:t>prawo do tworzenia zrzeszeń (w tym prawo swobodnego określenia celu, rodzaju, struktury władz</w:t>
      </w:r>
      <w:r w:rsidR="00992FD0" w:rsidRPr="00EC250C">
        <w:t xml:space="preserve"> i </w:t>
      </w:r>
      <w:r w:rsidRPr="00EC250C">
        <w:t>nazwy zrzeszenia),</w:t>
      </w:r>
    </w:p>
    <w:p w14:paraId="6DB9B5BC" w14:textId="77777777" w:rsidR="00C91F6E" w:rsidRPr="00EC250C" w:rsidRDefault="00187708" w:rsidP="006C70B7">
      <w:pPr>
        <w:pStyle w:val="ComwiKonstytucja"/>
        <w:numPr>
          <w:ilvl w:val="0"/>
          <w:numId w:val="45"/>
        </w:numPr>
      </w:pPr>
      <w:r w:rsidRPr="00EC250C">
        <w:t>prawo do przystępowania lub nieprzystępowania do zrzeszeń już istniejących (w tym określenie warunków członkostwa),</w:t>
      </w:r>
    </w:p>
    <w:p w14:paraId="087DD7B3" w14:textId="77777777" w:rsidR="00C91F6E" w:rsidRPr="00EC250C" w:rsidRDefault="00187708" w:rsidP="006C70B7">
      <w:pPr>
        <w:pStyle w:val="ComwiKonstytucja"/>
        <w:numPr>
          <w:ilvl w:val="0"/>
          <w:numId w:val="45"/>
        </w:numPr>
      </w:pPr>
      <w:r w:rsidRPr="00EC250C">
        <w:t>prawo do wystąpienia ze zrzeszenia,</w:t>
      </w:r>
    </w:p>
    <w:p w14:paraId="5EC89ECE" w14:textId="77777777" w:rsidR="00C91F6E" w:rsidRPr="00EC250C" w:rsidRDefault="00187708" w:rsidP="006C70B7">
      <w:pPr>
        <w:pStyle w:val="ComwiKonstytucja"/>
        <w:numPr>
          <w:ilvl w:val="0"/>
          <w:numId w:val="45"/>
        </w:numPr>
      </w:pPr>
      <w:r w:rsidRPr="00EC250C">
        <w:t>prawo do udziału</w:t>
      </w:r>
      <w:r w:rsidR="00992FD0" w:rsidRPr="00EC250C">
        <w:t xml:space="preserve"> w </w:t>
      </w:r>
      <w:r w:rsidRPr="00EC250C">
        <w:t>kierowaniu zrzeszeniem (uczestniczenia</w:t>
      </w:r>
      <w:r w:rsidR="00992FD0" w:rsidRPr="00EC250C">
        <w:t xml:space="preserve"> w </w:t>
      </w:r>
      <w:r w:rsidRPr="00EC250C">
        <w:t>pracach, tworzenia struktur, swobodnego działania</w:t>
      </w:r>
      <w:r w:rsidR="00992FD0" w:rsidRPr="00EC250C">
        <w:t xml:space="preserve"> w </w:t>
      </w:r>
      <w:r w:rsidRPr="00EC250C">
        <w:t>granicach prawa).</w:t>
      </w:r>
    </w:p>
    <w:p w14:paraId="51812831" w14:textId="77777777" w:rsidR="00187708" w:rsidRPr="00EC250C" w:rsidRDefault="00187708" w:rsidP="00D131FA">
      <w:pPr>
        <w:pStyle w:val="ComwiKonstytucja"/>
      </w:pPr>
      <w:r w:rsidRPr="00EC250C">
        <w:t>Sama instytucja zrzeszenia ma także prawo do swobodnego działania. Ważnym aspektem korzystania</w:t>
      </w:r>
      <w:r w:rsidR="00992FD0" w:rsidRPr="00EC250C">
        <w:t xml:space="preserve"> z </w:t>
      </w:r>
      <w:r w:rsidRPr="00EC250C">
        <w:t>tej wolności jest dobrowolność zrzeszeń (art. 11</w:t>
      </w:r>
      <w:r w:rsidR="00992FD0" w:rsidRPr="00EC250C">
        <w:t xml:space="preserve"> i </w:t>
      </w:r>
      <w:r w:rsidRPr="00EC250C">
        <w:t>12 Konstytucji). Władze państwa muszą odpowiednio rozważnie decydować</w:t>
      </w:r>
      <w:r w:rsidR="00992FD0" w:rsidRPr="00EC250C">
        <w:t xml:space="preserve"> o </w:t>
      </w:r>
      <w:r w:rsidRPr="00EC250C">
        <w:t>ewentualnej dopuszczalnej ingerencji</w:t>
      </w:r>
      <w:r w:rsidR="00992FD0" w:rsidRPr="00EC250C">
        <w:t xml:space="preserve"> w </w:t>
      </w:r>
      <w:r w:rsidRPr="00EC250C">
        <w:t>wolność zrzeszania się (zawsze jedynie na podstawie</w:t>
      </w:r>
      <w:r w:rsidR="00992FD0" w:rsidRPr="00EC250C">
        <w:t xml:space="preserve"> i w </w:t>
      </w:r>
      <w:r w:rsidRPr="00EC250C">
        <w:t>granicach obowiązującego prawa)</w:t>
      </w:r>
      <w:r w:rsidR="00EE09AA" w:rsidRPr="00EC250C">
        <w:t>.</w:t>
      </w:r>
    </w:p>
    <w:p w14:paraId="62EFB418" w14:textId="77777777" w:rsidR="00EE09AA" w:rsidRPr="00EC250C" w:rsidRDefault="00EE09AA" w:rsidP="00D131FA">
      <w:pPr>
        <w:pStyle w:val="ComwiKonstytucja"/>
      </w:pPr>
    </w:p>
    <w:p w14:paraId="20DCE3D3" w14:textId="77777777" w:rsidR="00187708" w:rsidRPr="00EC250C" w:rsidRDefault="00187708" w:rsidP="00D131FA">
      <w:pPr>
        <w:spacing w:after="200" w:line="24" w:lineRule="auto"/>
        <w:jc w:val="both"/>
        <w:rPr>
          <w:i/>
          <w:spacing w:val="5"/>
          <w:sz w:val="22"/>
        </w:rPr>
      </w:pPr>
      <w:r w:rsidRPr="00EC250C">
        <w:rPr>
          <w:sz w:val="24"/>
        </w:rPr>
        <w:br w:type="page"/>
      </w:r>
    </w:p>
    <w:p w14:paraId="551CC6BB" w14:textId="77777777" w:rsidR="00C91F6E" w:rsidRPr="00EC250C" w:rsidRDefault="00187708" w:rsidP="00EC79EB">
      <w:pPr>
        <w:pStyle w:val="Nagwek4"/>
      </w:pPr>
      <w:bookmarkStart w:id="359" w:name="_Toc6257801"/>
      <w:bookmarkStart w:id="360" w:name="_Toc11247677"/>
      <w:r w:rsidRPr="00EC250C">
        <w:lastRenderedPageBreak/>
        <w:t>Zasady prowadzenia zbiórek publicznych</w:t>
      </w:r>
      <w:bookmarkEnd w:id="359"/>
      <w:bookmarkEnd w:id="360"/>
    </w:p>
    <w:p w14:paraId="4C00CCCC" w14:textId="77777777" w:rsidR="00B473F5" w:rsidRPr="00EC250C" w:rsidRDefault="00187708" w:rsidP="00D131FA">
      <w:pPr>
        <w:pStyle w:val="Problemczowieka"/>
        <w:jc w:val="both"/>
        <w:rPr>
          <w:rStyle w:val="Pogrubienie"/>
          <w:rFonts w:eastAsiaTheme="majorEastAsia"/>
          <w:b/>
          <w:bCs w:val="0"/>
        </w:rPr>
      </w:pPr>
      <w:r w:rsidRPr="00EC250C">
        <w:rPr>
          <w:rStyle w:val="Pogrubienie"/>
          <w:rFonts w:eastAsiaTheme="majorEastAsia"/>
          <w:b/>
          <w:bCs w:val="0"/>
        </w:rPr>
        <w:t>W 2018</w:t>
      </w:r>
      <w:r w:rsidR="00C91F6E" w:rsidRPr="00EC250C">
        <w:rPr>
          <w:rStyle w:val="Pogrubienie"/>
          <w:rFonts w:eastAsiaTheme="majorEastAsia"/>
          <w:b/>
          <w:bCs w:val="0"/>
        </w:rPr>
        <w:t> r.</w:t>
      </w:r>
      <w:r w:rsidRPr="00EC250C">
        <w:rPr>
          <w:rStyle w:val="Pogrubienie"/>
          <w:rFonts w:eastAsiaTheme="majorEastAsia"/>
          <w:b/>
          <w:bCs w:val="0"/>
        </w:rPr>
        <w:t xml:space="preserve"> rząd rozważał zmianę przepisów</w:t>
      </w:r>
      <w:r w:rsidR="00992FD0" w:rsidRPr="00EC250C">
        <w:rPr>
          <w:rStyle w:val="Pogrubienie"/>
          <w:rFonts w:eastAsiaTheme="majorEastAsia"/>
          <w:b/>
          <w:bCs w:val="0"/>
        </w:rPr>
        <w:t xml:space="preserve"> o </w:t>
      </w:r>
      <w:r w:rsidRPr="00EC250C">
        <w:rPr>
          <w:rStyle w:val="Pogrubienie"/>
          <w:rFonts w:eastAsiaTheme="majorEastAsia"/>
          <w:b/>
          <w:bCs w:val="0"/>
        </w:rPr>
        <w:t>zbiórkach publicznych</w:t>
      </w:r>
      <w:r w:rsidR="00992FD0" w:rsidRPr="00EC250C">
        <w:rPr>
          <w:rStyle w:val="Pogrubienie"/>
          <w:rFonts w:eastAsiaTheme="majorEastAsia"/>
          <w:b/>
          <w:bCs w:val="0"/>
        </w:rPr>
        <w:t xml:space="preserve"> i </w:t>
      </w:r>
      <w:r w:rsidRPr="00EC250C">
        <w:rPr>
          <w:rStyle w:val="Pogrubienie"/>
          <w:rFonts w:eastAsiaTheme="majorEastAsia"/>
          <w:b/>
          <w:bCs w:val="0"/>
        </w:rPr>
        <w:t>powrót do rozwiązań sprzed 2014</w:t>
      </w:r>
      <w:r w:rsidR="00C91F6E" w:rsidRPr="00EC250C">
        <w:rPr>
          <w:rStyle w:val="Pogrubienie"/>
          <w:rFonts w:eastAsiaTheme="majorEastAsia"/>
          <w:b/>
          <w:bCs w:val="0"/>
        </w:rPr>
        <w:t> r.</w:t>
      </w:r>
      <w:r w:rsidR="005A4520" w:rsidRPr="00EC250C">
        <w:rPr>
          <w:rStyle w:val="Pogrubienie"/>
          <w:rFonts w:eastAsiaTheme="majorEastAsia"/>
          <w:b/>
          <w:bCs w:val="0"/>
        </w:rPr>
        <w:t xml:space="preserve"> – wymóg zgody władz.</w:t>
      </w:r>
      <w:r w:rsidR="00CC4D88" w:rsidRPr="00EC250C">
        <w:rPr>
          <w:rStyle w:val="Pogrubienie"/>
          <w:rFonts w:eastAsiaTheme="majorEastAsia"/>
          <w:b/>
          <w:bCs w:val="0"/>
        </w:rPr>
        <w:t xml:space="preserve"> </w:t>
      </w:r>
      <w:r w:rsidRPr="00EC250C">
        <w:rPr>
          <w:rStyle w:val="Pogrubienie"/>
          <w:rFonts w:eastAsiaTheme="majorEastAsia"/>
          <w:b/>
          <w:bCs w:val="0"/>
        </w:rPr>
        <w:t xml:space="preserve">Obecnie </w:t>
      </w:r>
      <w:r w:rsidR="005A4520" w:rsidRPr="00EC250C">
        <w:rPr>
          <w:rStyle w:val="Pogrubienie"/>
          <w:rFonts w:eastAsiaTheme="majorEastAsia"/>
          <w:b/>
          <w:bCs w:val="0"/>
        </w:rPr>
        <w:t xml:space="preserve">wystarczy </w:t>
      </w:r>
      <w:r w:rsidRPr="00EC250C">
        <w:rPr>
          <w:rStyle w:val="Pogrubienie"/>
          <w:rFonts w:eastAsiaTheme="majorEastAsia"/>
          <w:b/>
          <w:bCs w:val="0"/>
        </w:rPr>
        <w:t>zgłoszenie</w:t>
      </w:r>
      <w:r w:rsidR="00992FD0" w:rsidRPr="00EC250C">
        <w:rPr>
          <w:rStyle w:val="Pogrubienie"/>
          <w:rFonts w:eastAsiaTheme="majorEastAsia"/>
          <w:b/>
          <w:bCs w:val="0"/>
        </w:rPr>
        <w:t xml:space="preserve"> w </w:t>
      </w:r>
      <w:r w:rsidRPr="00EC250C">
        <w:rPr>
          <w:rStyle w:val="Pogrubienie"/>
          <w:rFonts w:eastAsiaTheme="majorEastAsia"/>
          <w:b/>
          <w:bCs w:val="0"/>
        </w:rPr>
        <w:t>portalu zbiórek publicznych zbiorki.gov.pl</w:t>
      </w:r>
      <w:r w:rsidR="00992FD0" w:rsidRPr="00EC250C">
        <w:rPr>
          <w:rStyle w:val="Pogrubienie"/>
          <w:rFonts w:eastAsiaTheme="majorEastAsia"/>
          <w:b/>
          <w:bCs w:val="0"/>
        </w:rPr>
        <w:t xml:space="preserve"> i </w:t>
      </w:r>
      <w:r w:rsidRPr="00EC250C">
        <w:rPr>
          <w:rStyle w:val="Pogrubienie"/>
          <w:rFonts w:eastAsiaTheme="majorEastAsia"/>
          <w:b/>
          <w:bCs w:val="0"/>
        </w:rPr>
        <w:t>rozliczenie się</w:t>
      </w:r>
      <w:r w:rsidR="00992FD0" w:rsidRPr="00EC250C">
        <w:rPr>
          <w:rStyle w:val="Pogrubienie"/>
          <w:rFonts w:eastAsiaTheme="majorEastAsia"/>
          <w:b/>
          <w:bCs w:val="0"/>
        </w:rPr>
        <w:t xml:space="preserve"> w </w:t>
      </w:r>
      <w:r w:rsidRPr="00EC250C">
        <w:rPr>
          <w:rStyle w:val="Pogrubienie"/>
          <w:rFonts w:eastAsiaTheme="majorEastAsia"/>
          <w:b/>
          <w:bCs w:val="0"/>
        </w:rPr>
        <w:t>nim</w:t>
      </w:r>
      <w:r w:rsidR="00992FD0" w:rsidRPr="00EC250C">
        <w:rPr>
          <w:rStyle w:val="Pogrubienie"/>
          <w:rFonts w:eastAsiaTheme="majorEastAsia"/>
          <w:b/>
          <w:bCs w:val="0"/>
        </w:rPr>
        <w:t xml:space="preserve"> z </w:t>
      </w:r>
      <w:r w:rsidRPr="00EC250C">
        <w:rPr>
          <w:rStyle w:val="Pogrubienie"/>
          <w:rFonts w:eastAsiaTheme="majorEastAsia"/>
          <w:b/>
          <w:bCs w:val="0"/>
        </w:rPr>
        <w:t>efektów zbiórki przed współobywatelami. Po protestach obywateli projekt zmian został zarzucony</w:t>
      </w:r>
      <w:r w:rsidR="00B473F5" w:rsidRPr="00EC250C">
        <w:rPr>
          <w:rStyle w:val="Pogrubienie"/>
          <w:rFonts w:eastAsiaTheme="majorEastAsia"/>
          <w:b/>
          <w:bCs w:val="0"/>
        </w:rPr>
        <w:t>.</w:t>
      </w:r>
    </w:p>
    <w:p w14:paraId="55BD9848" w14:textId="77777777" w:rsidR="00187708" w:rsidRPr="00EC250C" w:rsidRDefault="00187708" w:rsidP="00D131FA">
      <w:pPr>
        <w:pStyle w:val="Styl1"/>
      </w:pPr>
      <w:r w:rsidRPr="00EC250C">
        <w:t>W wystąpieniu do MSWiA</w:t>
      </w:r>
      <w:r w:rsidR="00CC4D88" w:rsidRPr="00EC250C">
        <w:rPr>
          <w:bCs/>
          <w:iCs/>
        </w:rPr>
        <w:t xml:space="preserve"> </w:t>
      </w:r>
      <w:r w:rsidRPr="00EC250C">
        <w:t>rzecznik Adam Bodnar przypomniał, że już jego poprzednik na stanowisku, Janusz Kochanowski</w:t>
      </w:r>
      <w:r w:rsidR="005A4520" w:rsidRPr="00EC250C">
        <w:t>,</w:t>
      </w:r>
      <w:r w:rsidRPr="00EC250C">
        <w:t xml:space="preserve"> upominał się</w:t>
      </w:r>
      <w:r w:rsidR="00992FD0" w:rsidRPr="00EC250C">
        <w:t xml:space="preserve"> o </w:t>
      </w:r>
      <w:r w:rsidRPr="00EC250C">
        <w:t>liberalizację zbiórek,</w:t>
      </w:r>
      <w:r w:rsidR="00992FD0" w:rsidRPr="00EC250C">
        <w:t xml:space="preserve"> a </w:t>
      </w:r>
      <w:r w:rsidRPr="00EC250C">
        <w:t>przyjęte</w:t>
      </w:r>
      <w:r w:rsidR="00992FD0" w:rsidRPr="00EC250C">
        <w:t xml:space="preserve"> w </w:t>
      </w:r>
      <w:r w:rsidRPr="00EC250C">
        <w:t>2014</w:t>
      </w:r>
      <w:r w:rsidR="00C91F6E" w:rsidRPr="00EC250C">
        <w:t> r.</w:t>
      </w:r>
      <w:r w:rsidRPr="00EC250C">
        <w:t xml:space="preserve"> rozwiązania zostały wypracowane</w:t>
      </w:r>
      <w:r w:rsidR="00992FD0" w:rsidRPr="00EC250C">
        <w:t xml:space="preserve"> w </w:t>
      </w:r>
      <w:r w:rsidRPr="00EC250C">
        <w:t>otwartej debacie</w:t>
      </w:r>
      <w:r w:rsidR="00992FD0" w:rsidRPr="00EC250C">
        <w:t xml:space="preserve"> i </w:t>
      </w:r>
      <w:r w:rsidRPr="00EC250C">
        <w:t>konsultacjach</w:t>
      </w:r>
      <w:r w:rsidR="00992FD0" w:rsidRPr="00EC250C">
        <w:t xml:space="preserve"> z </w:t>
      </w:r>
      <w:r w:rsidRPr="00EC250C">
        <w:t>obywatelami.</w:t>
      </w:r>
    </w:p>
    <w:p w14:paraId="6587EAC1" w14:textId="77777777" w:rsidR="00187708" w:rsidRPr="00EC250C" w:rsidRDefault="00D20D4F" w:rsidP="00D131FA">
      <w:pPr>
        <w:pStyle w:val="Styl1"/>
      </w:pPr>
      <w:r w:rsidRPr="00EC250C">
        <w:t>RPO</w:t>
      </w:r>
      <w:r w:rsidR="00187708" w:rsidRPr="00EC250C">
        <w:t xml:space="preserve"> ocenił, że praca jego poprzednika</w:t>
      </w:r>
      <w:r w:rsidR="00992FD0" w:rsidRPr="00EC250C">
        <w:t xml:space="preserve"> w </w:t>
      </w:r>
      <w:r w:rsidR="00187708" w:rsidRPr="00EC250C">
        <w:t xml:space="preserve">dużej mierze </w:t>
      </w:r>
      <w:r w:rsidR="005A4520" w:rsidRPr="00EC250C">
        <w:t xml:space="preserve">zostałaby </w:t>
      </w:r>
      <w:r w:rsidR="00187708" w:rsidRPr="00EC250C">
        <w:t xml:space="preserve">zmarnowana, gdyby </w:t>
      </w:r>
      <w:r w:rsidR="005A4520" w:rsidRPr="00EC250C">
        <w:t xml:space="preserve">omawiany </w:t>
      </w:r>
      <w:r w:rsidR="00187708" w:rsidRPr="00EC250C">
        <w:t>projekt stał się prawem. Organizacja zbiórek publicznych</w:t>
      </w:r>
      <w:r w:rsidR="00992FD0" w:rsidRPr="00EC250C">
        <w:t xml:space="preserve"> i </w:t>
      </w:r>
      <w:r w:rsidR="00187708" w:rsidRPr="00EC250C">
        <w:t>udział</w:t>
      </w:r>
      <w:r w:rsidR="00992FD0" w:rsidRPr="00EC250C">
        <w:t xml:space="preserve"> w </w:t>
      </w:r>
      <w:r w:rsidR="00187708" w:rsidRPr="00EC250C">
        <w:t>nich stanowi bowiem formę zrzeszania się</w:t>
      </w:r>
      <w:r w:rsidR="00992FD0" w:rsidRPr="00EC250C">
        <w:t xml:space="preserve"> w </w:t>
      </w:r>
      <w:r w:rsidR="00187708" w:rsidRPr="00EC250C">
        <w:t>celu realizacji określonego celu</w:t>
      </w:r>
      <w:r w:rsidR="00026572" w:rsidRPr="00EC250C">
        <w:t xml:space="preserve"> – </w:t>
      </w:r>
      <w:r w:rsidR="00187708" w:rsidRPr="00EC250C">
        <w:t>tym samym należy uznać, iż znajduje się pod ochroną art. 12 Konstytucji RP. Rolą państwa powinno być przyjęcie przepisów, które maksymalnie zapewniają realizację tej formy wolności.</w:t>
      </w:r>
    </w:p>
    <w:p w14:paraId="2A45DDD5" w14:textId="77777777" w:rsidR="00187708" w:rsidRPr="00EC250C" w:rsidRDefault="00187708" w:rsidP="00D131FA">
      <w:pPr>
        <w:pStyle w:val="Styl1"/>
      </w:pPr>
      <w:r w:rsidRPr="00EC250C">
        <w:rPr>
          <w:bCs/>
          <w:iCs/>
        </w:rPr>
        <w:t>Minister wyjaśnił, że powodem rozpoczęcia prac nad zmianami</w:t>
      </w:r>
      <w:r w:rsidR="00992FD0" w:rsidRPr="00EC250C">
        <w:rPr>
          <w:bCs/>
          <w:iCs/>
        </w:rPr>
        <w:t xml:space="preserve"> w </w:t>
      </w:r>
      <w:r w:rsidRPr="00EC250C">
        <w:rPr>
          <w:bCs/>
          <w:iCs/>
        </w:rPr>
        <w:t>ustawie</w:t>
      </w:r>
      <w:r w:rsidR="00992FD0" w:rsidRPr="00EC250C">
        <w:rPr>
          <w:bCs/>
          <w:iCs/>
        </w:rPr>
        <w:t xml:space="preserve"> o </w:t>
      </w:r>
      <w:r w:rsidRPr="00EC250C">
        <w:rPr>
          <w:bCs/>
          <w:iCs/>
        </w:rPr>
        <w:t>zasadach prowadzenia zbiórek publicznych była wzbudzająca kontrowersje</w:t>
      </w:r>
      <w:r w:rsidR="00992FD0" w:rsidRPr="00EC250C">
        <w:rPr>
          <w:bCs/>
          <w:iCs/>
        </w:rPr>
        <w:t xml:space="preserve"> i </w:t>
      </w:r>
      <w:r w:rsidRPr="00EC250C">
        <w:rPr>
          <w:bCs/>
          <w:iCs/>
        </w:rPr>
        <w:t>krytykę opinii publicznej zbiórka zorganizowana przez stowarzyszenie „Duma</w:t>
      </w:r>
      <w:r w:rsidR="00992FD0" w:rsidRPr="00EC250C">
        <w:rPr>
          <w:bCs/>
          <w:iCs/>
        </w:rPr>
        <w:t xml:space="preserve"> i </w:t>
      </w:r>
      <w:r w:rsidRPr="00EC250C">
        <w:rPr>
          <w:bCs/>
          <w:iCs/>
        </w:rPr>
        <w:t>Nowoczesność”. Projekt nowelizacji tej ustawy miał jedynie dać narzędzia, by zablokować przeprowadzenie zbiórki publicznej, której cel jest sprzeczny</w:t>
      </w:r>
      <w:r w:rsidR="00992FD0" w:rsidRPr="00EC250C">
        <w:rPr>
          <w:bCs/>
          <w:iCs/>
        </w:rPr>
        <w:t xml:space="preserve"> z </w:t>
      </w:r>
      <w:r w:rsidRPr="00EC250C">
        <w:rPr>
          <w:bCs/>
          <w:iCs/>
        </w:rPr>
        <w:t>zasadami współżycia społecznego. Proponowane przepisy nigdy nie miały natomiast na celu ograniczania działań organizacji, które od lat przeprowadzają</w:t>
      </w:r>
      <w:r w:rsidR="00992FD0" w:rsidRPr="00EC250C">
        <w:rPr>
          <w:bCs/>
          <w:iCs/>
        </w:rPr>
        <w:t xml:space="preserve"> w </w:t>
      </w:r>
      <w:r w:rsidRPr="00EC250C">
        <w:rPr>
          <w:bCs/>
          <w:iCs/>
        </w:rPr>
        <w:t>Polsce zbiórki publiczne. Po analizie uwag</w:t>
      </w:r>
      <w:r w:rsidR="00907A50" w:rsidRPr="00EC250C">
        <w:rPr>
          <w:bCs/>
          <w:iCs/>
        </w:rPr>
        <w:t xml:space="preserve"> zebranych </w:t>
      </w:r>
      <w:r w:rsidR="00992FD0" w:rsidRPr="00EC250C">
        <w:rPr>
          <w:bCs/>
          <w:iCs/>
        </w:rPr>
        <w:t>w </w:t>
      </w:r>
      <w:r w:rsidRPr="00EC250C">
        <w:rPr>
          <w:bCs/>
          <w:iCs/>
        </w:rPr>
        <w:t>toku konsultacji podjęto decyzję</w:t>
      </w:r>
      <w:r w:rsidR="00992FD0" w:rsidRPr="00EC250C">
        <w:rPr>
          <w:bCs/>
          <w:iCs/>
        </w:rPr>
        <w:t xml:space="preserve"> o </w:t>
      </w:r>
      <w:r w:rsidRPr="00EC250C">
        <w:rPr>
          <w:bCs/>
          <w:iCs/>
        </w:rPr>
        <w:t>zaprzestaniu prac nad nowelizacją</w:t>
      </w:r>
      <w:r w:rsidR="002A3909" w:rsidRPr="00EC250C">
        <w:rPr>
          <w:rStyle w:val="Odwoanieprzypisudolnego"/>
          <w:bCs/>
          <w:iCs/>
        </w:rPr>
        <w:footnoteReference w:id="365"/>
      </w:r>
      <w:r w:rsidRPr="00EC250C">
        <w:rPr>
          <w:bCs/>
          <w:iCs/>
        </w:rPr>
        <w:t>.</w:t>
      </w:r>
    </w:p>
    <w:p w14:paraId="555C078C" w14:textId="77777777" w:rsidR="00187708" w:rsidRPr="00EC250C" w:rsidRDefault="00187708" w:rsidP="00EC250C">
      <w:pPr>
        <w:pStyle w:val="Nagwek8"/>
      </w:pPr>
      <w:bookmarkStart w:id="361" w:name="_Toc6257802"/>
      <w:r w:rsidRPr="00EC250C">
        <w:t xml:space="preserve">Spór </w:t>
      </w:r>
      <w:r w:rsidR="00907A50" w:rsidRPr="00EC250C">
        <w:t>MSWiA</w:t>
      </w:r>
      <w:r w:rsidR="00992FD0" w:rsidRPr="00EC250C">
        <w:t xml:space="preserve"> z </w:t>
      </w:r>
      <w:r w:rsidRPr="00EC250C">
        <w:t>Fundacją Obywatele RP</w:t>
      </w:r>
      <w:bookmarkEnd w:id="361"/>
    </w:p>
    <w:p w14:paraId="469A7787" w14:textId="77777777" w:rsidR="00187708" w:rsidRPr="00EC250C" w:rsidRDefault="00187708" w:rsidP="00D131FA">
      <w:pPr>
        <w:pStyle w:val="Styl2"/>
        <w:spacing w:before="240"/>
        <w:rPr>
          <w:szCs w:val="24"/>
        </w:rPr>
      </w:pPr>
      <w:r w:rsidRPr="00EC250C">
        <w:rPr>
          <w:rStyle w:val="Pogrubienie"/>
          <w:rFonts w:eastAsiaTheme="majorEastAsia"/>
          <w:b/>
          <w:bCs/>
          <w:szCs w:val="24"/>
        </w:rPr>
        <w:t>MSWiA wniosło</w:t>
      </w:r>
      <w:r w:rsidR="00992FD0" w:rsidRPr="00EC250C">
        <w:rPr>
          <w:rStyle w:val="Pogrubienie"/>
          <w:rFonts w:eastAsiaTheme="majorEastAsia"/>
          <w:b/>
          <w:bCs/>
          <w:szCs w:val="24"/>
        </w:rPr>
        <w:t xml:space="preserve"> w </w:t>
      </w:r>
      <w:r w:rsidRPr="00EC250C">
        <w:rPr>
          <w:rStyle w:val="Pogrubienie"/>
          <w:rFonts w:eastAsiaTheme="majorEastAsia"/>
          <w:b/>
          <w:bCs/>
          <w:szCs w:val="24"/>
        </w:rPr>
        <w:t>2018</w:t>
      </w:r>
      <w:r w:rsidR="00C91F6E" w:rsidRPr="00EC250C">
        <w:rPr>
          <w:rStyle w:val="Pogrubienie"/>
          <w:rFonts w:eastAsiaTheme="majorEastAsia"/>
          <w:b/>
          <w:bCs/>
          <w:szCs w:val="24"/>
        </w:rPr>
        <w:t> r.</w:t>
      </w:r>
      <w:r w:rsidRPr="00EC250C">
        <w:rPr>
          <w:rStyle w:val="Pogrubienie"/>
          <w:rFonts w:eastAsiaTheme="majorEastAsia"/>
          <w:b/>
          <w:bCs/>
          <w:szCs w:val="24"/>
        </w:rPr>
        <w:t xml:space="preserve"> </w:t>
      </w:r>
      <w:r w:rsidR="00835440" w:rsidRPr="00EC250C">
        <w:rPr>
          <w:rStyle w:val="Pogrubienie"/>
          <w:rFonts w:eastAsiaTheme="majorEastAsia"/>
          <w:b/>
          <w:bCs/>
          <w:szCs w:val="24"/>
        </w:rPr>
        <w:t>do sądu</w:t>
      </w:r>
      <w:r w:rsidR="00992FD0" w:rsidRPr="00EC250C">
        <w:rPr>
          <w:rStyle w:val="Pogrubienie"/>
          <w:rFonts w:eastAsiaTheme="majorEastAsia"/>
          <w:b/>
          <w:bCs/>
          <w:szCs w:val="24"/>
        </w:rPr>
        <w:t xml:space="preserve"> o </w:t>
      </w:r>
      <w:r w:rsidRPr="00EC250C">
        <w:rPr>
          <w:rStyle w:val="Pogrubienie"/>
          <w:rFonts w:eastAsiaTheme="majorEastAsia"/>
          <w:b/>
          <w:bCs/>
          <w:szCs w:val="24"/>
        </w:rPr>
        <w:t>zarząd przymusowy dla Obywateli RP. To ruch społeczny (zarejestrowany formalnie jako fundacja), znany</w:t>
      </w:r>
      <w:r w:rsidR="00992FD0" w:rsidRPr="00EC250C">
        <w:rPr>
          <w:rStyle w:val="Pogrubienie"/>
          <w:rFonts w:eastAsiaTheme="majorEastAsia"/>
          <w:b/>
          <w:bCs/>
          <w:szCs w:val="24"/>
        </w:rPr>
        <w:t xml:space="preserve"> z </w:t>
      </w:r>
      <w:r w:rsidRPr="00EC250C">
        <w:rPr>
          <w:rStyle w:val="Pogrubienie"/>
          <w:rFonts w:eastAsiaTheme="majorEastAsia"/>
          <w:b/>
          <w:bCs/>
          <w:szCs w:val="24"/>
        </w:rPr>
        <w:t>działań</w:t>
      </w:r>
      <w:r w:rsidR="00992FD0" w:rsidRPr="00EC250C">
        <w:rPr>
          <w:rStyle w:val="Pogrubienie"/>
          <w:rFonts w:eastAsiaTheme="majorEastAsia"/>
          <w:b/>
          <w:bCs/>
          <w:szCs w:val="24"/>
        </w:rPr>
        <w:t xml:space="preserve"> w </w:t>
      </w:r>
      <w:r w:rsidRPr="00EC250C">
        <w:rPr>
          <w:rStyle w:val="Pogrubienie"/>
          <w:rFonts w:eastAsiaTheme="majorEastAsia"/>
          <w:b/>
          <w:bCs/>
          <w:szCs w:val="24"/>
        </w:rPr>
        <w:t>obronie niezawisłości sądownictwa</w:t>
      </w:r>
      <w:r w:rsidR="00992FD0" w:rsidRPr="00EC250C">
        <w:rPr>
          <w:rStyle w:val="Pogrubienie"/>
          <w:rFonts w:eastAsiaTheme="majorEastAsia"/>
          <w:b/>
          <w:bCs/>
          <w:szCs w:val="24"/>
        </w:rPr>
        <w:t xml:space="preserve"> i </w:t>
      </w:r>
      <w:r w:rsidRPr="00EC250C">
        <w:rPr>
          <w:rStyle w:val="Pogrubienie"/>
          <w:rFonts w:eastAsiaTheme="majorEastAsia"/>
          <w:b/>
          <w:bCs/>
          <w:szCs w:val="24"/>
        </w:rPr>
        <w:t>przestrzegania prawa</w:t>
      </w:r>
      <w:r w:rsidR="00992FD0" w:rsidRPr="00EC250C">
        <w:rPr>
          <w:rStyle w:val="Pogrubienie"/>
          <w:rFonts w:eastAsiaTheme="majorEastAsia"/>
          <w:b/>
          <w:bCs/>
          <w:szCs w:val="24"/>
        </w:rPr>
        <w:t xml:space="preserve"> w </w:t>
      </w:r>
      <w:r w:rsidRPr="00EC250C">
        <w:rPr>
          <w:rStyle w:val="Pogrubienie"/>
          <w:rFonts w:eastAsiaTheme="majorEastAsia"/>
          <w:b/>
          <w:bCs/>
          <w:szCs w:val="24"/>
        </w:rPr>
        <w:t>Polsce, m.in. przez organizowanie manifestacji</w:t>
      </w:r>
      <w:r w:rsidR="00835440" w:rsidRPr="00EC250C">
        <w:rPr>
          <w:rStyle w:val="Pogrubienie"/>
          <w:rFonts w:eastAsiaTheme="majorEastAsia"/>
          <w:b/>
          <w:bCs/>
          <w:szCs w:val="24"/>
        </w:rPr>
        <w:t>.</w:t>
      </w:r>
    </w:p>
    <w:p w14:paraId="2EE83E93" w14:textId="77777777" w:rsidR="00187708" w:rsidRPr="00EC250C" w:rsidRDefault="00187708" w:rsidP="00D131FA">
      <w:pPr>
        <w:pStyle w:val="Styl2"/>
        <w:rPr>
          <w:szCs w:val="24"/>
        </w:rPr>
      </w:pPr>
      <w:r w:rsidRPr="00EC250C">
        <w:rPr>
          <w:szCs w:val="24"/>
        </w:rPr>
        <w:t xml:space="preserve">Powołując się na zasady konstytucyjne, RPO przyłączył się do </w:t>
      </w:r>
      <w:r w:rsidR="00835440" w:rsidRPr="00EC250C">
        <w:rPr>
          <w:szCs w:val="24"/>
        </w:rPr>
        <w:t xml:space="preserve">tego </w:t>
      </w:r>
      <w:r w:rsidRPr="00EC250C">
        <w:rPr>
          <w:szCs w:val="24"/>
        </w:rPr>
        <w:t>postępowania sądowego.</w:t>
      </w:r>
    </w:p>
    <w:p w14:paraId="1EB560A6" w14:textId="77777777" w:rsidR="00187708" w:rsidRPr="00EC250C" w:rsidRDefault="00187708" w:rsidP="00D131FA">
      <w:pPr>
        <w:pStyle w:val="Styl2"/>
        <w:rPr>
          <w:szCs w:val="24"/>
        </w:rPr>
      </w:pPr>
      <w:r w:rsidRPr="00EC250C">
        <w:rPr>
          <w:szCs w:val="24"/>
        </w:rPr>
        <w:t>Wszystko zaczęło się od pisma MSWiA, które</w:t>
      </w:r>
      <w:r w:rsidR="00026572" w:rsidRPr="00EC250C">
        <w:rPr>
          <w:szCs w:val="24"/>
        </w:rPr>
        <w:t xml:space="preserve"> – </w:t>
      </w:r>
      <w:r w:rsidRPr="00EC250C">
        <w:rPr>
          <w:szCs w:val="24"/>
        </w:rPr>
        <w:t>działając jako organ nadzorczy</w:t>
      </w:r>
      <w:r w:rsidR="00026572" w:rsidRPr="00EC250C">
        <w:rPr>
          <w:szCs w:val="24"/>
        </w:rPr>
        <w:t xml:space="preserve"> – </w:t>
      </w:r>
      <w:r w:rsidRPr="00EC250C">
        <w:rPr>
          <w:szCs w:val="24"/>
        </w:rPr>
        <w:t>20 lipca 2017</w:t>
      </w:r>
      <w:r w:rsidR="00C91F6E" w:rsidRPr="00EC250C">
        <w:rPr>
          <w:szCs w:val="24"/>
        </w:rPr>
        <w:t> r.</w:t>
      </w:r>
      <w:r w:rsidRPr="00EC250C">
        <w:rPr>
          <w:szCs w:val="24"/>
        </w:rPr>
        <w:t xml:space="preserve"> wezwało Zarząd Fundacji do „zaprzestania naruszania przepisów prawa powszechnie obowiązującego</w:t>
      </w:r>
      <w:r w:rsidR="00992FD0" w:rsidRPr="00EC250C">
        <w:rPr>
          <w:szCs w:val="24"/>
        </w:rPr>
        <w:t xml:space="preserve"> i </w:t>
      </w:r>
      <w:r w:rsidRPr="00EC250C">
        <w:rPr>
          <w:szCs w:val="24"/>
        </w:rPr>
        <w:t>postanowień statutu fundacji”.</w:t>
      </w:r>
    </w:p>
    <w:p w14:paraId="2F499294" w14:textId="77777777" w:rsidR="00C91F6E" w:rsidRPr="00EC250C" w:rsidRDefault="00187708" w:rsidP="00D131FA">
      <w:pPr>
        <w:pStyle w:val="Styl2"/>
        <w:rPr>
          <w:szCs w:val="24"/>
        </w:rPr>
      </w:pPr>
      <w:r w:rsidRPr="00EC250C">
        <w:rPr>
          <w:szCs w:val="24"/>
        </w:rPr>
        <w:t>W piśmie nie wskazano precyzyjnie,</w:t>
      </w:r>
      <w:r w:rsidR="00992FD0" w:rsidRPr="00EC250C">
        <w:rPr>
          <w:szCs w:val="24"/>
        </w:rPr>
        <w:t xml:space="preserve"> w </w:t>
      </w:r>
      <w:r w:rsidRPr="00EC250C">
        <w:rPr>
          <w:szCs w:val="24"/>
        </w:rPr>
        <w:t>jaki sposób naruszono przepisy. Zawarto</w:t>
      </w:r>
      <w:r w:rsidR="00992FD0" w:rsidRPr="00EC250C">
        <w:rPr>
          <w:szCs w:val="24"/>
        </w:rPr>
        <w:t xml:space="preserve"> w </w:t>
      </w:r>
      <w:r w:rsidRPr="00EC250C">
        <w:rPr>
          <w:szCs w:val="24"/>
        </w:rPr>
        <w:t>nim jedynie lakoniczny opis działań fundacji.</w:t>
      </w:r>
      <w:r w:rsidR="00835440" w:rsidRPr="00EC250C">
        <w:rPr>
          <w:szCs w:val="24"/>
        </w:rPr>
        <w:t xml:space="preserve"> MSWiA nie podobały się zamieszczona na stronie Fundacji Deklaracja Obywatelska</w:t>
      </w:r>
      <w:r w:rsidR="00992FD0" w:rsidRPr="00EC250C">
        <w:rPr>
          <w:szCs w:val="24"/>
        </w:rPr>
        <w:t xml:space="preserve"> i </w:t>
      </w:r>
      <w:r w:rsidR="00835440" w:rsidRPr="00EC250C">
        <w:rPr>
          <w:szCs w:val="24"/>
        </w:rPr>
        <w:t>Deklaracja Nieposłuszeństwa. Zdaniem RPO deklaracje są jednak po prostu przejawem krytycznej wypowiedzi, korzystającej</w:t>
      </w:r>
      <w:r w:rsidR="00992FD0" w:rsidRPr="00EC250C">
        <w:rPr>
          <w:szCs w:val="24"/>
        </w:rPr>
        <w:t xml:space="preserve"> z </w:t>
      </w:r>
      <w:r w:rsidR="00835440" w:rsidRPr="00EC250C">
        <w:rPr>
          <w:szCs w:val="24"/>
        </w:rPr>
        <w:t>ochrony wolności słowa wyrażonej</w:t>
      </w:r>
      <w:r w:rsidR="00992FD0" w:rsidRPr="00EC250C">
        <w:rPr>
          <w:szCs w:val="24"/>
        </w:rPr>
        <w:t xml:space="preserve"> w </w:t>
      </w:r>
      <w:r w:rsidR="00835440" w:rsidRPr="00EC250C">
        <w:rPr>
          <w:szCs w:val="24"/>
        </w:rPr>
        <w:t xml:space="preserve">art. 54 ust. 1 Konstytucji. </w:t>
      </w:r>
      <w:r w:rsidR="00835440" w:rsidRPr="00EC250C">
        <w:rPr>
          <w:rFonts w:eastAsiaTheme="majorEastAsia"/>
          <w:szCs w:val="24"/>
        </w:rPr>
        <w:t>Nie ma tu żadnych konkretnych form naruszenia prawa</w:t>
      </w:r>
      <w:r w:rsidR="00835440" w:rsidRPr="00EC250C">
        <w:rPr>
          <w:szCs w:val="24"/>
        </w:rPr>
        <w:t xml:space="preserve">. </w:t>
      </w:r>
      <w:r w:rsidR="00835440" w:rsidRPr="00EC250C">
        <w:rPr>
          <w:szCs w:val="24"/>
        </w:rPr>
        <w:lastRenderedPageBreak/>
        <w:t>Nie było też pochwały działań bezprawnych; wyrażono zaś gotowość poddania się karze</w:t>
      </w:r>
      <w:r w:rsidR="00992FD0" w:rsidRPr="00EC250C">
        <w:rPr>
          <w:szCs w:val="24"/>
        </w:rPr>
        <w:t xml:space="preserve"> w </w:t>
      </w:r>
      <w:r w:rsidR="00835440" w:rsidRPr="00EC250C">
        <w:rPr>
          <w:szCs w:val="24"/>
        </w:rPr>
        <w:t>przypadku ewentualnego ich popełnienia.</w:t>
      </w:r>
    </w:p>
    <w:p w14:paraId="3488FC2D" w14:textId="77777777" w:rsidR="00835440" w:rsidRPr="00EC250C" w:rsidRDefault="00835440" w:rsidP="00D131FA">
      <w:pPr>
        <w:pStyle w:val="Styl2"/>
        <w:rPr>
          <w:szCs w:val="24"/>
        </w:rPr>
      </w:pPr>
      <w:r w:rsidRPr="00EC250C">
        <w:rPr>
          <w:szCs w:val="24"/>
        </w:rPr>
        <w:t>Drugi zarzut wobec działań Obywateli RP dotyczył blokowania</w:t>
      </w:r>
      <w:r w:rsidR="00992FD0" w:rsidRPr="00EC250C">
        <w:rPr>
          <w:szCs w:val="24"/>
        </w:rPr>
        <w:t xml:space="preserve"> i </w:t>
      </w:r>
      <w:r w:rsidRPr="00EC250C">
        <w:rPr>
          <w:szCs w:val="24"/>
        </w:rPr>
        <w:t>zakłócania cyklicznego zgromadzenia publicznego</w:t>
      </w:r>
      <w:r w:rsidR="00992FD0" w:rsidRPr="00EC250C">
        <w:rPr>
          <w:szCs w:val="24"/>
        </w:rPr>
        <w:t xml:space="preserve"> w </w:t>
      </w:r>
      <w:r w:rsidRPr="00EC250C">
        <w:rPr>
          <w:szCs w:val="24"/>
        </w:rPr>
        <w:t>celu oddania hołdu ofiarom katastrofy</w:t>
      </w:r>
      <w:r w:rsidR="00992FD0" w:rsidRPr="00EC250C">
        <w:rPr>
          <w:szCs w:val="24"/>
        </w:rPr>
        <w:t xml:space="preserve"> w </w:t>
      </w:r>
      <w:r w:rsidRPr="00EC250C">
        <w:rPr>
          <w:szCs w:val="24"/>
        </w:rPr>
        <w:t>Smoleńsku. MSWiA nie wskazał jednak – jak podkreślił RPO</w:t>
      </w:r>
      <w:r w:rsidR="00026572" w:rsidRPr="00EC250C">
        <w:rPr>
          <w:szCs w:val="24"/>
        </w:rPr>
        <w:t xml:space="preserve"> – </w:t>
      </w:r>
      <w:r w:rsidRPr="00EC250C">
        <w:rPr>
          <w:szCs w:val="24"/>
        </w:rPr>
        <w:t>konkretnych zdarzeń.</w:t>
      </w:r>
    </w:p>
    <w:p w14:paraId="063F1DF9" w14:textId="77777777" w:rsidR="00C91F6E" w:rsidRPr="00EC250C" w:rsidRDefault="00835440" w:rsidP="00D131FA">
      <w:pPr>
        <w:pStyle w:val="Styl2"/>
        <w:rPr>
          <w:szCs w:val="24"/>
        </w:rPr>
      </w:pPr>
      <w:r w:rsidRPr="00EC250C">
        <w:rPr>
          <w:szCs w:val="24"/>
        </w:rPr>
        <w:t>Minister Spraw Wewnętrznych</w:t>
      </w:r>
      <w:r w:rsidR="00992FD0" w:rsidRPr="00EC250C">
        <w:rPr>
          <w:szCs w:val="24"/>
        </w:rPr>
        <w:t xml:space="preserve"> i </w:t>
      </w:r>
      <w:r w:rsidRPr="00EC250C">
        <w:rPr>
          <w:szCs w:val="24"/>
        </w:rPr>
        <w:t xml:space="preserve">Administracji </w:t>
      </w:r>
      <w:r w:rsidR="00187708" w:rsidRPr="00EC250C">
        <w:rPr>
          <w:szCs w:val="24"/>
        </w:rPr>
        <w:t>ogłosił, że Fundacja</w:t>
      </w:r>
      <w:r w:rsidR="00992FD0" w:rsidRPr="00EC250C">
        <w:rPr>
          <w:szCs w:val="24"/>
        </w:rPr>
        <w:t xml:space="preserve"> w </w:t>
      </w:r>
      <w:r w:rsidR="00187708" w:rsidRPr="00EC250C">
        <w:rPr>
          <w:szCs w:val="24"/>
        </w:rPr>
        <w:t>wyznaczonym terminie nie zaprzestała naruszeń</w:t>
      </w:r>
      <w:r w:rsidR="00992FD0" w:rsidRPr="00EC250C">
        <w:rPr>
          <w:szCs w:val="24"/>
        </w:rPr>
        <w:t xml:space="preserve"> i </w:t>
      </w:r>
      <w:r w:rsidR="00187708" w:rsidRPr="00EC250C">
        <w:rPr>
          <w:szCs w:val="24"/>
        </w:rPr>
        <w:t>złożył do Sądu Rejonowego dla Warszawy-Mokotowa wniosek</w:t>
      </w:r>
      <w:r w:rsidR="00992FD0" w:rsidRPr="00EC250C">
        <w:rPr>
          <w:szCs w:val="24"/>
        </w:rPr>
        <w:t xml:space="preserve"> o </w:t>
      </w:r>
      <w:r w:rsidR="00187708" w:rsidRPr="00EC250C">
        <w:rPr>
          <w:szCs w:val="24"/>
        </w:rPr>
        <w:t>wyznaczenie zarządcy przymusowego.</w:t>
      </w:r>
    </w:p>
    <w:p w14:paraId="3E6D81D8" w14:textId="77777777" w:rsidR="00187708" w:rsidRPr="00EC250C" w:rsidRDefault="00187708" w:rsidP="00D131FA">
      <w:pPr>
        <w:pStyle w:val="Styl2"/>
        <w:rPr>
          <w:rFonts w:ascii="Open Sans Regular" w:hAnsi="Open Sans Regular"/>
          <w:color w:val="18223E"/>
          <w:sz w:val="21"/>
          <w:szCs w:val="20"/>
        </w:rPr>
      </w:pPr>
      <w:r w:rsidRPr="00EC250C">
        <w:rPr>
          <w:szCs w:val="24"/>
        </w:rPr>
        <w:t>RPO dowodził przed sądem</w:t>
      </w:r>
      <w:r w:rsidRPr="00EC250C">
        <w:rPr>
          <w:rStyle w:val="Odwoanieprzypisudolnego"/>
          <w:szCs w:val="24"/>
        </w:rPr>
        <w:footnoteReference w:id="366"/>
      </w:r>
      <w:r w:rsidRPr="00EC250C">
        <w:rPr>
          <w:szCs w:val="24"/>
        </w:rPr>
        <w:t xml:space="preserve"> bezpodstawności tych działań. Przypomniał, że głównym celem nadzoru państwa nad fundacjami jest ich ochrona przed niegospodarnością</w:t>
      </w:r>
      <w:r w:rsidR="00992FD0" w:rsidRPr="00EC250C">
        <w:rPr>
          <w:szCs w:val="24"/>
        </w:rPr>
        <w:t xml:space="preserve"> i </w:t>
      </w:r>
      <w:r w:rsidRPr="00EC250C">
        <w:rPr>
          <w:szCs w:val="24"/>
        </w:rPr>
        <w:t>dokonywaniem bezużytecznych czynności oraz ochrona fiskalnych interesów państwa</w:t>
      </w:r>
      <w:r w:rsidRPr="00EC250C">
        <w:rPr>
          <w:rStyle w:val="Odwoanieprzypisudolnego"/>
          <w:szCs w:val="24"/>
        </w:rPr>
        <w:footnoteReference w:id="367"/>
      </w:r>
      <w:r w:rsidRPr="00EC250C">
        <w:rPr>
          <w:szCs w:val="24"/>
        </w:rPr>
        <w:t>.</w:t>
      </w:r>
    </w:p>
    <w:p w14:paraId="0A1B11A4" w14:textId="77777777" w:rsidR="00C91F6E" w:rsidRPr="00EC250C" w:rsidRDefault="00187708" w:rsidP="00D131FA">
      <w:pPr>
        <w:pStyle w:val="Styl2"/>
        <w:rPr>
          <w:szCs w:val="24"/>
        </w:rPr>
      </w:pPr>
      <w:r w:rsidRPr="00EC250C">
        <w:rPr>
          <w:szCs w:val="24"/>
        </w:rPr>
        <w:t>Sąd podzielił</w:t>
      </w:r>
      <w:r w:rsidRPr="00EC250C">
        <w:rPr>
          <w:rStyle w:val="Odwoanieprzypisudolnego"/>
          <w:szCs w:val="24"/>
        </w:rPr>
        <w:footnoteReference w:id="368"/>
      </w:r>
      <w:r w:rsidRPr="00EC250C">
        <w:rPr>
          <w:szCs w:val="24"/>
        </w:rPr>
        <w:t xml:space="preserve"> stanowisko </w:t>
      </w:r>
      <w:r w:rsidR="00D20D4F" w:rsidRPr="00EC250C">
        <w:rPr>
          <w:szCs w:val="24"/>
        </w:rPr>
        <w:t>RPO</w:t>
      </w:r>
      <w:r w:rsidR="00992FD0" w:rsidRPr="00EC250C">
        <w:rPr>
          <w:szCs w:val="24"/>
        </w:rPr>
        <w:t xml:space="preserve"> i </w:t>
      </w:r>
      <w:r w:rsidRPr="00EC250C">
        <w:rPr>
          <w:szCs w:val="24"/>
        </w:rPr>
        <w:t xml:space="preserve">oddalił wniosek </w:t>
      </w:r>
      <w:r w:rsidR="00835440" w:rsidRPr="00EC250C">
        <w:rPr>
          <w:szCs w:val="24"/>
        </w:rPr>
        <w:t>MSWiA</w:t>
      </w:r>
      <w:r w:rsidRPr="00EC250C">
        <w:rPr>
          <w:szCs w:val="24"/>
        </w:rPr>
        <w:t>.</w:t>
      </w:r>
    </w:p>
    <w:p w14:paraId="4B806FB5" w14:textId="77777777" w:rsidR="00187708" w:rsidRPr="00EC250C" w:rsidRDefault="00187708" w:rsidP="00EC79EB">
      <w:pPr>
        <w:pStyle w:val="Nagwek4"/>
      </w:pPr>
      <w:bookmarkStart w:id="362" w:name="_Toc6257803"/>
      <w:bookmarkStart w:id="363" w:name="_Toc11247678"/>
      <w:r w:rsidRPr="00EC250C">
        <w:t>Zmiany</w:t>
      </w:r>
      <w:r w:rsidR="00992FD0" w:rsidRPr="00EC250C">
        <w:t xml:space="preserve"> w </w:t>
      </w:r>
      <w:r w:rsidRPr="00EC250C">
        <w:t>ustawie</w:t>
      </w:r>
      <w:r w:rsidR="00992FD0" w:rsidRPr="00EC250C">
        <w:t xml:space="preserve"> o </w:t>
      </w:r>
      <w:r w:rsidRPr="00EC250C">
        <w:t>kołach gospodyń wiejskich</w:t>
      </w:r>
      <w:bookmarkEnd w:id="362"/>
      <w:bookmarkEnd w:id="363"/>
    </w:p>
    <w:p w14:paraId="194A5643" w14:textId="77777777" w:rsidR="00B473F5" w:rsidRPr="00EC250C" w:rsidRDefault="00187708" w:rsidP="00D131FA">
      <w:pPr>
        <w:pStyle w:val="Problemczowieka"/>
        <w:jc w:val="both"/>
      </w:pPr>
      <w:r w:rsidRPr="00EC250C">
        <w:rPr>
          <w:rStyle w:val="Pogrubienie"/>
          <w:b/>
          <w:bCs w:val="0"/>
        </w:rPr>
        <w:t>W 2018</w:t>
      </w:r>
      <w:r w:rsidR="00C91F6E" w:rsidRPr="00EC250C">
        <w:rPr>
          <w:rStyle w:val="Pogrubienie"/>
          <w:b/>
          <w:bCs w:val="0"/>
        </w:rPr>
        <w:t> r.</w:t>
      </w:r>
      <w:r w:rsidRPr="00EC250C">
        <w:rPr>
          <w:rStyle w:val="Pogrubienie"/>
          <w:b/>
          <w:bCs w:val="0"/>
        </w:rPr>
        <w:t xml:space="preserve"> ustawa</w:t>
      </w:r>
      <w:r w:rsidR="00992FD0" w:rsidRPr="00EC250C">
        <w:rPr>
          <w:rStyle w:val="Pogrubienie"/>
          <w:b/>
          <w:bCs w:val="0"/>
        </w:rPr>
        <w:t xml:space="preserve"> o </w:t>
      </w:r>
      <w:r w:rsidRPr="00EC250C">
        <w:rPr>
          <w:rStyle w:val="Pogrubienie"/>
          <w:b/>
          <w:bCs w:val="0"/>
        </w:rPr>
        <w:t>kołach gospodyń wiejskich wprowadziła szereg ograniczeń</w:t>
      </w:r>
      <w:r w:rsidRPr="00EC250C">
        <w:rPr>
          <w:bCs/>
          <w:iCs/>
          <w:vertAlign w:val="superscript"/>
        </w:rPr>
        <w:footnoteReference w:id="369"/>
      </w:r>
      <w:r w:rsidRPr="00EC250C">
        <w:rPr>
          <w:rStyle w:val="Pogrubienie"/>
          <w:b/>
          <w:bCs w:val="0"/>
        </w:rPr>
        <w:t>: m.in. na terenie jednej wsi można</w:t>
      </w:r>
      <w:r w:rsidR="00CC4D88" w:rsidRPr="00EC250C">
        <w:rPr>
          <w:rStyle w:val="Pogrubienie"/>
          <w:b/>
          <w:bCs w:val="0"/>
        </w:rPr>
        <w:t xml:space="preserve"> </w:t>
      </w:r>
      <w:r w:rsidRPr="00EC250C">
        <w:rPr>
          <w:rStyle w:val="Pogrubienie"/>
          <w:b/>
          <w:bCs w:val="0"/>
        </w:rPr>
        <w:t xml:space="preserve">utworzyć tylko jedno koło, </w:t>
      </w:r>
      <w:r w:rsidRPr="00EC250C">
        <w:t>można też należeć tylko do jednego koła. Według nowych zasad koła nie mogą działać</w:t>
      </w:r>
      <w:r w:rsidR="00992FD0" w:rsidRPr="00EC250C">
        <w:t xml:space="preserve"> w </w:t>
      </w:r>
      <w:r w:rsidRPr="00EC250C">
        <w:t>miastach (a wiele miast niedawno wyrosło</w:t>
      </w:r>
      <w:r w:rsidR="00992FD0" w:rsidRPr="00EC250C">
        <w:t xml:space="preserve"> z </w:t>
      </w:r>
      <w:r w:rsidRPr="00EC250C">
        <w:t>wsi</w:t>
      </w:r>
      <w:r w:rsidR="00992FD0" w:rsidRPr="00EC250C">
        <w:t xml:space="preserve"> i </w:t>
      </w:r>
      <w:r w:rsidRPr="00EC250C">
        <w:t>nadal pielęgnują wieloletnią tradycję kół)</w:t>
      </w:r>
      <w:r w:rsidR="00B473F5" w:rsidRPr="00EC250C">
        <w:t>.</w:t>
      </w:r>
    </w:p>
    <w:p w14:paraId="53DC0435" w14:textId="77777777" w:rsidR="00187708" w:rsidRPr="00EC250C" w:rsidRDefault="00D20D4F" w:rsidP="00D131FA">
      <w:pPr>
        <w:pStyle w:val="Styl1"/>
        <w:rPr>
          <w:rFonts w:ascii="Open Sans Regular" w:hAnsi="Open Sans Regular"/>
          <w:color w:val="18223E"/>
          <w:sz w:val="21"/>
        </w:rPr>
      </w:pPr>
      <w:r w:rsidRPr="00EC250C">
        <w:rPr>
          <w:rStyle w:val="Pogrubienie"/>
          <w:b w:val="0"/>
          <w:bCs w:val="0"/>
        </w:rPr>
        <w:t>RPO</w:t>
      </w:r>
      <w:r w:rsidR="00187708" w:rsidRPr="00EC250C">
        <w:rPr>
          <w:rStyle w:val="Pogrubienie"/>
          <w:b w:val="0"/>
          <w:bCs w:val="0"/>
        </w:rPr>
        <w:t xml:space="preserve"> przedstawiał zastrzeżenia</w:t>
      </w:r>
      <w:r w:rsidR="00187708" w:rsidRPr="00EC250C">
        <w:rPr>
          <w:rStyle w:val="Odwoanieprzypisudolnego"/>
        </w:rPr>
        <w:footnoteReference w:id="370"/>
      </w:r>
      <w:r w:rsidR="00187708" w:rsidRPr="00EC250C">
        <w:rPr>
          <w:rStyle w:val="Pogrubienie"/>
          <w:b w:val="0"/>
          <w:bCs w:val="0"/>
        </w:rPr>
        <w:t xml:space="preserve"> jeszcze na etapie prac legislacyjnych. Ustawa przewidywała, że istniejące</w:t>
      </w:r>
      <w:r w:rsidR="00992FD0" w:rsidRPr="00EC250C">
        <w:rPr>
          <w:rStyle w:val="Pogrubienie"/>
          <w:b w:val="0"/>
          <w:bCs w:val="0"/>
        </w:rPr>
        <w:t xml:space="preserve"> i </w:t>
      </w:r>
      <w:r w:rsidR="00187708" w:rsidRPr="00EC250C">
        <w:rPr>
          <w:rStyle w:val="Pogrubienie"/>
          <w:b w:val="0"/>
          <w:bCs w:val="0"/>
        </w:rPr>
        <w:t>nowe koła gospodyń zyskają osobowość prawną, ułatwienia</w:t>
      </w:r>
      <w:r w:rsidR="00992FD0" w:rsidRPr="00EC250C">
        <w:rPr>
          <w:rStyle w:val="Pogrubienie"/>
          <w:b w:val="0"/>
          <w:bCs w:val="0"/>
        </w:rPr>
        <w:t xml:space="preserve"> w </w:t>
      </w:r>
      <w:r w:rsidR="00187708" w:rsidRPr="00EC250C">
        <w:rPr>
          <w:rStyle w:val="Pogrubienie"/>
          <w:b w:val="0"/>
          <w:bCs w:val="0"/>
        </w:rPr>
        <w:t>działaniach</w:t>
      </w:r>
      <w:r w:rsidR="00992FD0" w:rsidRPr="00EC250C">
        <w:rPr>
          <w:rStyle w:val="Pogrubienie"/>
          <w:b w:val="0"/>
          <w:bCs w:val="0"/>
        </w:rPr>
        <w:t xml:space="preserve"> i </w:t>
      </w:r>
      <w:r w:rsidR="00187708" w:rsidRPr="00EC250C">
        <w:rPr>
          <w:rStyle w:val="Pogrubienie"/>
          <w:b w:val="0"/>
          <w:bCs w:val="0"/>
        </w:rPr>
        <w:t>prawo do dotacji, pod warunkiem, że się wpiszą do rządowego rejestru. Jeśli tego nie zrobią, pozostaną – tak jak wcześniej – stowarzyszeniami albo będą działać</w:t>
      </w:r>
      <w:r w:rsidR="00992FD0" w:rsidRPr="00EC250C">
        <w:rPr>
          <w:rStyle w:val="Pogrubienie"/>
          <w:b w:val="0"/>
          <w:bCs w:val="0"/>
        </w:rPr>
        <w:t xml:space="preserve"> w </w:t>
      </w:r>
      <w:r w:rsidR="00187708" w:rsidRPr="00EC250C">
        <w:rPr>
          <w:rStyle w:val="Pogrubienie"/>
          <w:b w:val="0"/>
          <w:bCs w:val="0"/>
        </w:rPr>
        <w:t>ramach kółek rolniczych</w:t>
      </w:r>
      <w:r w:rsidR="006F498F" w:rsidRPr="00EC250C">
        <w:rPr>
          <w:rStyle w:val="Pogrubienie"/>
          <w:b w:val="0"/>
          <w:bCs w:val="0"/>
        </w:rPr>
        <w:t>.</w:t>
      </w:r>
    </w:p>
    <w:p w14:paraId="3A9A441D" w14:textId="77777777" w:rsidR="00C91F6E" w:rsidRPr="00EC250C" w:rsidRDefault="00187708" w:rsidP="00D131FA">
      <w:pPr>
        <w:pStyle w:val="Styl1"/>
      </w:pPr>
      <w:r w:rsidRPr="00EC250C">
        <w:t xml:space="preserve">- Ograniczenie możliwości tworzenia kół „rejestrowych” </w:t>
      </w:r>
      <w:r w:rsidR="00DB75D1" w:rsidRPr="00EC250C">
        <w:t xml:space="preserve">może </w:t>
      </w:r>
      <w:r w:rsidRPr="00EC250C">
        <w:t>jednak – zdaniem RPO</w:t>
      </w:r>
      <w:r w:rsidR="00026572" w:rsidRPr="00EC250C">
        <w:t xml:space="preserve"> – </w:t>
      </w:r>
      <w:r w:rsidRPr="00EC250C">
        <w:t>prowadzić</w:t>
      </w:r>
      <w:r w:rsidR="00992FD0" w:rsidRPr="00EC250C">
        <w:t xml:space="preserve"> w </w:t>
      </w:r>
      <w:r w:rsidRPr="00EC250C">
        <w:t xml:space="preserve">praktyce </w:t>
      </w:r>
      <w:r w:rsidR="006F498F" w:rsidRPr="00EC250C">
        <w:t xml:space="preserve">do </w:t>
      </w:r>
      <w:r w:rsidRPr="00EC250C">
        <w:t>wymuszania członkostwa na osobach zaangażowanych</w:t>
      </w:r>
      <w:r w:rsidR="00992FD0" w:rsidRPr="00EC250C">
        <w:t xml:space="preserve"> w </w:t>
      </w:r>
      <w:r w:rsidRPr="00EC250C">
        <w:t>życie społeczności lokalnej, które nie będą mogły samodzielnie założyć KGW.</w:t>
      </w:r>
    </w:p>
    <w:p w14:paraId="4B33E4BA" w14:textId="77777777" w:rsidR="00187708" w:rsidRPr="00EC250C" w:rsidRDefault="00187708" w:rsidP="00D131FA">
      <w:pPr>
        <w:pStyle w:val="Styl1"/>
      </w:pPr>
      <w:r w:rsidRPr="00EC250C">
        <w:t>Wątpliwości budzi również przyznanie Prezesowi Agencji Restrukturyzacji</w:t>
      </w:r>
      <w:r w:rsidR="00992FD0" w:rsidRPr="00EC250C">
        <w:t xml:space="preserve"> i </w:t>
      </w:r>
      <w:r w:rsidRPr="00EC250C">
        <w:t>Modernizacji Rolnictwa kompetencji podejmowania decyzji dotyczącej wpisu koła gospodyń wiejskich do rejestru po stwierdzeniu, że statut koła jest zgodny</w:t>
      </w:r>
      <w:r w:rsidR="00992FD0" w:rsidRPr="00EC250C">
        <w:t xml:space="preserve"> z </w:t>
      </w:r>
      <w:r w:rsidRPr="00EC250C">
        <w:t>przepisami prawa</w:t>
      </w:r>
      <w:r w:rsidR="00992FD0" w:rsidRPr="00EC250C">
        <w:t xml:space="preserve"> i </w:t>
      </w:r>
      <w:r w:rsidRPr="00EC250C">
        <w:t>założyciele koła spełniają wymagania określone</w:t>
      </w:r>
      <w:r w:rsidR="00992FD0" w:rsidRPr="00EC250C">
        <w:t xml:space="preserve"> w </w:t>
      </w:r>
      <w:r w:rsidRPr="00EC250C">
        <w:t>ustawie. Są to kompetencje wykonywane co do zasady przez sąd rejestrowy. W ocenie RPO prawo do kontroli legalności statutu KGW powinno zostać powierzone niezależnemu organowi.</w:t>
      </w:r>
    </w:p>
    <w:p w14:paraId="20DA8565" w14:textId="77777777" w:rsidR="00187708" w:rsidRPr="00EC250C" w:rsidRDefault="00187708" w:rsidP="00D131FA">
      <w:pPr>
        <w:pStyle w:val="Styl1"/>
      </w:pPr>
      <w:r w:rsidRPr="00EC250C">
        <w:t>W 2019</w:t>
      </w:r>
      <w:r w:rsidR="00C91F6E" w:rsidRPr="00EC250C">
        <w:t> r.</w:t>
      </w:r>
      <w:r w:rsidRPr="00EC250C">
        <w:t xml:space="preserve"> </w:t>
      </w:r>
      <w:r w:rsidR="00907A50" w:rsidRPr="00EC250C">
        <w:t>Minister R</w:t>
      </w:r>
      <w:r w:rsidRPr="00EC250C">
        <w:t>olnictwa zapowiedział zmiany</w:t>
      </w:r>
      <w:r w:rsidR="00992FD0" w:rsidRPr="00EC250C">
        <w:t xml:space="preserve"> w </w:t>
      </w:r>
      <w:r w:rsidRPr="00EC250C">
        <w:t>nowej ustawie.</w:t>
      </w:r>
    </w:p>
    <w:p w14:paraId="7A3C34A7" w14:textId="77777777" w:rsidR="00187708" w:rsidRPr="00EC250C" w:rsidRDefault="00187708" w:rsidP="00EC250C">
      <w:pPr>
        <w:pStyle w:val="Nagwek8"/>
        <w:rPr>
          <w:spacing w:val="0"/>
        </w:rPr>
      </w:pPr>
      <w:r w:rsidRPr="00EC250C">
        <w:lastRenderedPageBreak/>
        <w:t>Członkostwo</w:t>
      </w:r>
      <w:r w:rsidR="00992FD0" w:rsidRPr="00EC250C">
        <w:t xml:space="preserve"> w </w:t>
      </w:r>
      <w:r w:rsidRPr="00EC250C">
        <w:t>spółce wodnej powinno być dobrowolne.</w:t>
      </w:r>
    </w:p>
    <w:p w14:paraId="72BCD703" w14:textId="77777777" w:rsidR="00187708" w:rsidRPr="00EC250C" w:rsidRDefault="00187708" w:rsidP="00D131FA">
      <w:pPr>
        <w:pStyle w:val="Styl2"/>
        <w:rPr>
          <w:szCs w:val="24"/>
        </w:rPr>
      </w:pPr>
      <w:r w:rsidRPr="00EC250C">
        <w:rPr>
          <w:szCs w:val="24"/>
        </w:rPr>
        <w:t>Dwoje mieszkańców złożyło</w:t>
      </w:r>
      <w:r w:rsidR="00992FD0" w:rsidRPr="00EC250C">
        <w:rPr>
          <w:szCs w:val="24"/>
        </w:rPr>
        <w:t xml:space="preserve"> w </w:t>
      </w:r>
      <w:r w:rsidRPr="00EC250C">
        <w:rPr>
          <w:szCs w:val="24"/>
        </w:rPr>
        <w:t>kwietniu wniosek</w:t>
      </w:r>
      <w:r w:rsidR="00992FD0" w:rsidRPr="00EC250C">
        <w:rPr>
          <w:szCs w:val="24"/>
        </w:rPr>
        <w:t xml:space="preserve"> o </w:t>
      </w:r>
      <w:r w:rsidRPr="00EC250C">
        <w:rPr>
          <w:szCs w:val="24"/>
        </w:rPr>
        <w:t>wystąpienie</w:t>
      </w:r>
      <w:r w:rsidR="00992FD0" w:rsidRPr="00EC250C">
        <w:rPr>
          <w:szCs w:val="24"/>
        </w:rPr>
        <w:t xml:space="preserve"> z </w:t>
      </w:r>
      <w:r w:rsidRPr="00EC250C">
        <w:rPr>
          <w:szCs w:val="24"/>
        </w:rPr>
        <w:t>gminnej spółki wodnej. Spółka wniosek co prawda przyjęła, ale zaznaczyła, że członkostwo wygaśnie dopiero 31 grudnia. Tak stanowi statut Spółki Wodnej</w:t>
      </w:r>
      <w:r w:rsidR="00992FD0" w:rsidRPr="00EC250C">
        <w:rPr>
          <w:szCs w:val="24"/>
        </w:rPr>
        <w:t xml:space="preserve"> w </w:t>
      </w:r>
      <w:r w:rsidRPr="00EC250C">
        <w:rPr>
          <w:szCs w:val="24"/>
        </w:rPr>
        <w:t>C., ale niekoniecznie jest to zgodne</w:t>
      </w:r>
      <w:r w:rsidR="00992FD0" w:rsidRPr="00EC250C">
        <w:rPr>
          <w:szCs w:val="24"/>
        </w:rPr>
        <w:t xml:space="preserve"> z </w:t>
      </w:r>
      <w:r w:rsidRPr="00EC250C">
        <w:rPr>
          <w:szCs w:val="24"/>
        </w:rPr>
        <w:t>konstytucyjną zasadą wolności zrzeszania się</w:t>
      </w:r>
      <w:r w:rsidR="00C6363F" w:rsidRPr="00EC250C">
        <w:rPr>
          <w:szCs w:val="24"/>
        </w:rPr>
        <w:t>.</w:t>
      </w:r>
    </w:p>
    <w:p w14:paraId="5191811B" w14:textId="77777777" w:rsidR="00187708" w:rsidRPr="00EC250C" w:rsidRDefault="00187708" w:rsidP="00D131FA">
      <w:pPr>
        <w:pStyle w:val="Styl2"/>
        <w:rPr>
          <w:szCs w:val="24"/>
        </w:rPr>
      </w:pPr>
      <w:r w:rsidRPr="00EC250C">
        <w:rPr>
          <w:szCs w:val="24"/>
        </w:rPr>
        <w:t>W piśmie do starosty Rzecznik wskazał, że Sąd Najwyższy</w:t>
      </w:r>
      <w:r w:rsidR="00992FD0" w:rsidRPr="00EC250C">
        <w:rPr>
          <w:szCs w:val="24"/>
        </w:rPr>
        <w:t xml:space="preserve"> w </w:t>
      </w:r>
      <w:r w:rsidRPr="00EC250C">
        <w:rPr>
          <w:szCs w:val="24"/>
        </w:rPr>
        <w:t>swoim orzecznictwie podkreśla całkowitą dobrowolność uczestnictwa</w:t>
      </w:r>
      <w:r w:rsidR="00992FD0" w:rsidRPr="00EC250C">
        <w:rPr>
          <w:szCs w:val="24"/>
        </w:rPr>
        <w:t xml:space="preserve"> w </w:t>
      </w:r>
      <w:r w:rsidRPr="00EC250C">
        <w:rPr>
          <w:szCs w:val="24"/>
        </w:rPr>
        <w:t>spółce wodnej, nawet jeśli nastąpiło ono</w:t>
      </w:r>
      <w:r w:rsidR="00992FD0" w:rsidRPr="00EC250C">
        <w:rPr>
          <w:szCs w:val="24"/>
        </w:rPr>
        <w:t xml:space="preserve"> z </w:t>
      </w:r>
      <w:r w:rsidRPr="00EC250C">
        <w:rPr>
          <w:szCs w:val="24"/>
        </w:rPr>
        <w:t>mocy prawa. Możliwość wystąpienia ze spółki nie powinna być więc ograniczona jakimkolwiek terminem.</w:t>
      </w:r>
    </w:p>
    <w:p w14:paraId="5612BBC1" w14:textId="77777777" w:rsidR="00187708" w:rsidRPr="00EC250C" w:rsidRDefault="00D20D4F" w:rsidP="00D131FA">
      <w:pPr>
        <w:pStyle w:val="Styl2"/>
        <w:rPr>
          <w:szCs w:val="24"/>
        </w:rPr>
      </w:pPr>
      <w:r w:rsidRPr="00EC250C">
        <w:rPr>
          <w:szCs w:val="24"/>
        </w:rPr>
        <w:t>RPO</w:t>
      </w:r>
      <w:r w:rsidR="00187708" w:rsidRPr="00EC250C">
        <w:rPr>
          <w:szCs w:val="24"/>
        </w:rPr>
        <w:t xml:space="preserve"> poprosił więc starostę, aby</w:t>
      </w:r>
      <w:r w:rsidR="00992FD0" w:rsidRPr="00EC250C">
        <w:rPr>
          <w:szCs w:val="24"/>
        </w:rPr>
        <w:t xml:space="preserve"> w </w:t>
      </w:r>
      <w:r w:rsidR="00187708" w:rsidRPr="00EC250C">
        <w:rPr>
          <w:szCs w:val="24"/>
        </w:rPr>
        <w:t>ramach nadzoru dopilnował, aby przepisy statutu spółki zostały zmienione. Tak się też stało.</w:t>
      </w:r>
      <w:r w:rsidR="00187708" w:rsidRPr="00EC250C">
        <w:rPr>
          <w:rStyle w:val="Odwoanieprzypisudolnego"/>
          <w:szCs w:val="24"/>
        </w:rPr>
        <w:footnoteReference w:id="371"/>
      </w:r>
    </w:p>
    <w:p w14:paraId="27B9B7E0" w14:textId="77777777" w:rsidR="00187708" w:rsidRPr="00EC250C" w:rsidRDefault="00187708" w:rsidP="00D131FA">
      <w:pPr>
        <w:pStyle w:val="ODESANIE"/>
        <w:jc w:val="both"/>
        <w:rPr>
          <w:lang w:eastAsia="en-US"/>
        </w:rPr>
      </w:pPr>
      <w:r w:rsidRPr="00EC250C">
        <w:rPr>
          <w:lang w:eastAsia="en-US"/>
        </w:rPr>
        <w:t>Problem wydawania pieniędzy</w:t>
      </w:r>
      <w:r w:rsidR="00992FD0" w:rsidRPr="00EC250C">
        <w:rPr>
          <w:lang w:eastAsia="en-US"/>
        </w:rPr>
        <w:t xml:space="preserve"> z </w:t>
      </w:r>
      <w:r w:rsidRPr="00EC250C">
        <w:rPr>
          <w:lang w:eastAsia="en-US"/>
        </w:rPr>
        <w:t xml:space="preserve">Funduszu postpenitencjarnego opisany jest </w:t>
      </w:r>
      <w:r w:rsidR="006F498F" w:rsidRPr="00EC250C">
        <w:rPr>
          <w:lang w:eastAsia="en-US"/>
        </w:rPr>
        <w:t xml:space="preserve">w kontekście </w:t>
      </w:r>
      <w:r w:rsidRPr="00EC250C">
        <w:rPr>
          <w:lang w:eastAsia="en-US"/>
        </w:rPr>
        <w:t xml:space="preserve"> art. 45 Konstytucji</w:t>
      </w:r>
    </w:p>
    <w:p w14:paraId="1ACFE145" w14:textId="77777777" w:rsidR="00187708" w:rsidRPr="00EC250C" w:rsidRDefault="00187708" w:rsidP="00D131FA">
      <w:pPr>
        <w:spacing w:after="200" w:line="24" w:lineRule="auto"/>
        <w:jc w:val="both"/>
        <w:rPr>
          <w:rFonts w:cs="Arial"/>
          <w:color w:val="000000"/>
          <w:sz w:val="22"/>
          <w:szCs w:val="22"/>
        </w:rPr>
      </w:pPr>
      <w:r w:rsidRPr="00EC250C">
        <w:rPr>
          <w:rFonts w:cs="Arial"/>
          <w:color w:val="000000"/>
          <w:sz w:val="22"/>
          <w:szCs w:val="22"/>
        </w:rPr>
        <w:br w:type="page"/>
      </w:r>
    </w:p>
    <w:p w14:paraId="3401E630" w14:textId="77777777" w:rsidR="00C91F6E" w:rsidRPr="00EC250C" w:rsidRDefault="00187708" w:rsidP="00EC250C">
      <w:pPr>
        <w:pStyle w:val="Nagwek3"/>
      </w:pPr>
      <w:bookmarkStart w:id="364" w:name="_Toc6257804"/>
      <w:bookmarkStart w:id="365" w:name="_Toc11247679"/>
      <w:r w:rsidRPr="00EC250C">
        <w:lastRenderedPageBreak/>
        <w:t xml:space="preserve">Art. 59 </w:t>
      </w:r>
      <w:r w:rsidR="003C7122" w:rsidRPr="00EC250C">
        <w:t xml:space="preserve">Konstytucji </w:t>
      </w:r>
      <w:r w:rsidRPr="00EC250C">
        <w:t>– Wolności związkowe</w:t>
      </w:r>
      <w:bookmarkEnd w:id="364"/>
      <w:bookmarkEnd w:id="365"/>
    </w:p>
    <w:p w14:paraId="47E89C46" w14:textId="77777777" w:rsidR="00187708" w:rsidRPr="00EC250C" w:rsidRDefault="00187708" w:rsidP="00D131FA">
      <w:pPr>
        <w:pStyle w:val="konstytucja"/>
        <w:jc w:val="both"/>
      </w:pPr>
      <w:r w:rsidRPr="00EC250C">
        <w:t>1. Zapewnia się wolność zrzeszania się</w:t>
      </w:r>
      <w:r w:rsidR="00992FD0" w:rsidRPr="00EC250C">
        <w:t xml:space="preserve"> w </w:t>
      </w:r>
      <w:r w:rsidRPr="00EC250C">
        <w:t>związkach zawodowych, organizacjach społeczno-zawodowych rolników oraz</w:t>
      </w:r>
      <w:r w:rsidR="00992FD0" w:rsidRPr="00EC250C">
        <w:t xml:space="preserve"> w </w:t>
      </w:r>
      <w:r w:rsidRPr="00EC250C">
        <w:t>organizacjach pracodawców.</w:t>
      </w:r>
    </w:p>
    <w:p w14:paraId="41C0054B" w14:textId="77777777" w:rsidR="00187708" w:rsidRPr="00EC250C" w:rsidRDefault="00187708" w:rsidP="00D131FA">
      <w:pPr>
        <w:pStyle w:val="konstytucja"/>
        <w:jc w:val="both"/>
      </w:pPr>
      <w:r w:rsidRPr="00EC250C">
        <w:t>2. Związki zawodowe oraz pracodawcy</w:t>
      </w:r>
      <w:r w:rsidR="00992FD0" w:rsidRPr="00EC250C">
        <w:t xml:space="preserve"> i </w:t>
      </w:r>
      <w:r w:rsidRPr="00EC250C">
        <w:t>ich organizacje mają prawo do rokowań,</w:t>
      </w:r>
      <w:r w:rsidR="00992FD0" w:rsidRPr="00EC250C">
        <w:t xml:space="preserve"> w </w:t>
      </w:r>
      <w:r w:rsidRPr="00EC250C">
        <w:t>szczególności</w:t>
      </w:r>
      <w:r w:rsidR="00992FD0" w:rsidRPr="00EC250C">
        <w:t xml:space="preserve"> w </w:t>
      </w:r>
      <w:r w:rsidRPr="00EC250C">
        <w:t>celu rozwiązywania sporów zbiorowych, oraz do zawierania układów zbiorowych pracy</w:t>
      </w:r>
      <w:r w:rsidR="00992FD0" w:rsidRPr="00EC250C">
        <w:t xml:space="preserve"> i </w:t>
      </w:r>
      <w:r w:rsidRPr="00EC250C">
        <w:t>innych porozumień.</w:t>
      </w:r>
    </w:p>
    <w:p w14:paraId="7E97DC3E" w14:textId="77777777" w:rsidR="00187708" w:rsidRPr="00EC250C" w:rsidRDefault="00187708" w:rsidP="00D131FA">
      <w:pPr>
        <w:pStyle w:val="konstytucja"/>
        <w:jc w:val="both"/>
      </w:pPr>
      <w:r w:rsidRPr="00EC250C">
        <w:t>3. Związkom zawodowym przysługuje prawo do organizowania strajków pracowniczych</w:t>
      </w:r>
      <w:r w:rsidR="00992FD0" w:rsidRPr="00EC250C">
        <w:t xml:space="preserve"> i </w:t>
      </w:r>
      <w:r w:rsidRPr="00EC250C">
        <w:t>innych form protestu</w:t>
      </w:r>
      <w:r w:rsidR="00992FD0" w:rsidRPr="00EC250C">
        <w:t xml:space="preserve"> w </w:t>
      </w:r>
      <w:r w:rsidRPr="00EC250C">
        <w:t>granicach określonych</w:t>
      </w:r>
      <w:r w:rsidR="00992FD0" w:rsidRPr="00EC250C">
        <w:t xml:space="preserve"> w </w:t>
      </w:r>
      <w:r w:rsidRPr="00EC250C">
        <w:t>ustawie. Ze względu na dobro publiczne ustawa może ograniczyć prowadzenie strajku lub zakazać go</w:t>
      </w:r>
      <w:r w:rsidR="00992FD0" w:rsidRPr="00EC250C">
        <w:t xml:space="preserve"> w </w:t>
      </w:r>
      <w:r w:rsidRPr="00EC250C">
        <w:t>odniesieniu do określonych kategorii pracowników lub</w:t>
      </w:r>
      <w:r w:rsidR="00992FD0" w:rsidRPr="00EC250C">
        <w:t xml:space="preserve"> w </w:t>
      </w:r>
      <w:r w:rsidRPr="00EC250C">
        <w:t>określonych dziedzinach.</w:t>
      </w:r>
    </w:p>
    <w:p w14:paraId="22E93A1A" w14:textId="77777777" w:rsidR="00187708" w:rsidRPr="00EC250C" w:rsidRDefault="00187708" w:rsidP="00D131FA">
      <w:pPr>
        <w:pStyle w:val="konstytucja"/>
        <w:jc w:val="both"/>
      </w:pPr>
      <w:r w:rsidRPr="00EC250C">
        <w:t>4. Zakres wolności zrzeszania się</w:t>
      </w:r>
      <w:r w:rsidR="00992FD0" w:rsidRPr="00EC250C">
        <w:t xml:space="preserve"> w </w:t>
      </w:r>
      <w:r w:rsidRPr="00EC250C">
        <w:t>związkach zawodowych</w:t>
      </w:r>
      <w:r w:rsidR="00992FD0" w:rsidRPr="00EC250C">
        <w:t xml:space="preserve"> i </w:t>
      </w:r>
      <w:r w:rsidRPr="00EC250C">
        <w:t>organizacjach pracodawców oraz innych wolności związkowych może podlegać tylko takim ograniczeniom ustawowym, jakie są dopuszczalne przez wiążące Rzeczpospolitą Polską umowy międzynarodowe.</w:t>
      </w:r>
    </w:p>
    <w:p w14:paraId="6866A96C" w14:textId="77777777" w:rsidR="00C91F6E" w:rsidRPr="00EC250C" w:rsidRDefault="00187708" w:rsidP="00D131FA">
      <w:pPr>
        <w:pStyle w:val="ComwiKonstytucja"/>
      </w:pPr>
      <w:r w:rsidRPr="00EC250C">
        <w:t>Artykuł ten konkretyzuje ogólną wolność zrzeszania się</w:t>
      </w:r>
      <w:r w:rsidR="00992FD0" w:rsidRPr="00EC250C">
        <w:t xml:space="preserve"> z </w:t>
      </w:r>
      <w:r w:rsidRPr="00EC250C">
        <w:t>art. 58 Konstytucji. Wolność działalności</w:t>
      </w:r>
      <w:r w:rsidR="00992FD0" w:rsidRPr="00EC250C">
        <w:t xml:space="preserve"> w </w:t>
      </w:r>
      <w:r w:rsidRPr="00EC250C">
        <w:t>związkach zawodowych jest niezwykle istotna</w:t>
      </w:r>
      <w:r w:rsidR="00992FD0" w:rsidRPr="00EC250C">
        <w:t xml:space="preserve"> z </w:t>
      </w:r>
      <w:r w:rsidRPr="00EC250C">
        <w:t>perspektywy historii Polski, dlatego przepis ten jest szczególnie rozbudowany</w:t>
      </w:r>
      <w:r w:rsidR="00992FD0" w:rsidRPr="00EC250C">
        <w:t xml:space="preserve"> i </w:t>
      </w:r>
      <w:r w:rsidRPr="00EC250C">
        <w:t>reguluje różnorodne zagadnienia. Gwarantuje to bowiem, że ograniczenia tej wolności zgodne</w:t>
      </w:r>
      <w:r w:rsidR="00992FD0" w:rsidRPr="00EC250C">
        <w:t xml:space="preserve"> z </w:t>
      </w:r>
      <w:r w:rsidRPr="00EC250C">
        <w:t>art. 31 ust. 3 zawarte</w:t>
      </w:r>
      <w:r w:rsidR="00992FD0" w:rsidRPr="00EC250C">
        <w:t xml:space="preserve"> w </w:t>
      </w:r>
      <w:r w:rsidRPr="00EC250C">
        <w:t>ustawie nie mogą wykraczać poza szczegółowo określone ramy. Formy zrzeszania się przewidziane</w:t>
      </w:r>
      <w:r w:rsidR="00992FD0" w:rsidRPr="00EC250C">
        <w:t xml:space="preserve"> w </w:t>
      </w:r>
      <w:r w:rsidRPr="00EC250C">
        <w:t>tym przepisie Konstytucji to:</w:t>
      </w:r>
    </w:p>
    <w:p w14:paraId="457E73FE" w14:textId="77777777" w:rsidR="00C91F6E" w:rsidRPr="00EC250C" w:rsidRDefault="00187708" w:rsidP="006C70B7">
      <w:pPr>
        <w:pStyle w:val="ComwiKonstytucja"/>
        <w:numPr>
          <w:ilvl w:val="0"/>
          <w:numId w:val="46"/>
        </w:numPr>
      </w:pPr>
      <w:r w:rsidRPr="00EC250C">
        <w:t>związki zawodowe,</w:t>
      </w:r>
    </w:p>
    <w:p w14:paraId="1F34B65C" w14:textId="77777777" w:rsidR="00C91F6E" w:rsidRPr="00EC250C" w:rsidRDefault="00187708" w:rsidP="006C70B7">
      <w:pPr>
        <w:pStyle w:val="ComwiKonstytucja"/>
        <w:numPr>
          <w:ilvl w:val="0"/>
          <w:numId w:val="46"/>
        </w:numPr>
      </w:pPr>
      <w:r w:rsidRPr="00EC250C">
        <w:t>organizacje społeczno-zawodowe rolników,</w:t>
      </w:r>
    </w:p>
    <w:p w14:paraId="4444AE27" w14:textId="77777777" w:rsidR="00187708" w:rsidRPr="00EC250C" w:rsidRDefault="00187708" w:rsidP="006C70B7">
      <w:pPr>
        <w:pStyle w:val="ComwiKonstytucja"/>
        <w:numPr>
          <w:ilvl w:val="0"/>
          <w:numId w:val="46"/>
        </w:numPr>
      </w:pPr>
      <w:r w:rsidRPr="00EC250C">
        <w:t>organizacje pracodawców</w:t>
      </w:r>
      <w:r w:rsidR="003E4DBD" w:rsidRPr="00EC250C">
        <w:t>.</w:t>
      </w:r>
    </w:p>
    <w:p w14:paraId="19D9F9FE" w14:textId="77777777" w:rsidR="003E4DBD" w:rsidRPr="00EC250C" w:rsidRDefault="003E4DBD" w:rsidP="00D131FA">
      <w:pPr>
        <w:pStyle w:val="ComwiKonstytucja"/>
        <w:ind w:firstLine="0"/>
      </w:pPr>
    </w:p>
    <w:p w14:paraId="5A58475C" w14:textId="77777777" w:rsidR="00187708" w:rsidRPr="00EC250C" w:rsidRDefault="00187708" w:rsidP="00D131FA">
      <w:pPr>
        <w:spacing w:after="200" w:line="24" w:lineRule="auto"/>
        <w:jc w:val="both"/>
        <w:rPr>
          <w:spacing w:val="5"/>
          <w:sz w:val="24"/>
        </w:rPr>
      </w:pPr>
      <w:r w:rsidRPr="00EC250C">
        <w:rPr>
          <w:sz w:val="24"/>
        </w:rPr>
        <w:br w:type="page"/>
      </w:r>
    </w:p>
    <w:p w14:paraId="07B67635" w14:textId="77777777" w:rsidR="00187708" w:rsidRPr="00EC250C" w:rsidRDefault="00187708" w:rsidP="00EC79EB">
      <w:pPr>
        <w:pStyle w:val="Nagwek4"/>
      </w:pPr>
      <w:bookmarkStart w:id="366" w:name="_Toc6257805"/>
      <w:bookmarkStart w:id="367" w:name="_Toc11247680"/>
      <w:r w:rsidRPr="00EC250C">
        <w:lastRenderedPageBreak/>
        <w:t>Prawo zrzeszania się</w:t>
      </w:r>
      <w:r w:rsidR="00992FD0" w:rsidRPr="00EC250C">
        <w:t xml:space="preserve"> w </w:t>
      </w:r>
      <w:r w:rsidRPr="00EC250C">
        <w:t xml:space="preserve">związkach zawodowych pracowników zatrudnionych na </w:t>
      </w:r>
      <w:r w:rsidR="002D098A" w:rsidRPr="00EC250C">
        <w:t xml:space="preserve">inne umowy niż </w:t>
      </w:r>
      <w:r w:rsidR="00992FD0" w:rsidRPr="00EC250C">
        <w:t>o </w:t>
      </w:r>
      <w:r w:rsidRPr="00EC250C">
        <w:t>pracę</w:t>
      </w:r>
      <w:bookmarkEnd w:id="366"/>
      <w:bookmarkEnd w:id="367"/>
    </w:p>
    <w:p w14:paraId="7DE1844D" w14:textId="77777777" w:rsidR="00B473F5" w:rsidRPr="00EC250C" w:rsidRDefault="00187708" w:rsidP="00D131FA">
      <w:pPr>
        <w:pStyle w:val="Problemczowieka"/>
        <w:jc w:val="both"/>
      </w:pPr>
      <w:r w:rsidRPr="00EC250C">
        <w:t>Prawo zrzeszania się</w:t>
      </w:r>
      <w:r w:rsidR="00992FD0" w:rsidRPr="00EC250C">
        <w:t xml:space="preserve"> w </w:t>
      </w:r>
      <w:r w:rsidRPr="00EC250C">
        <w:t>związkach zawodowych zostało rozszerzone ustawą, która ostatecznie wykonała wyrok Trybunału Konstytucyjnego</w:t>
      </w:r>
      <w:r w:rsidR="00992FD0" w:rsidRPr="00EC250C">
        <w:t xml:space="preserve"> z </w:t>
      </w:r>
      <w:r w:rsidRPr="00EC250C">
        <w:t>2015</w:t>
      </w:r>
      <w:r w:rsidR="00C91F6E" w:rsidRPr="00EC250C">
        <w:t> r.</w:t>
      </w:r>
      <w:r w:rsidRPr="00EC250C">
        <w:rPr>
          <w:rStyle w:val="Odwoanieprzypisudolnego"/>
        </w:rPr>
        <w:footnoteReference w:id="372"/>
      </w:r>
      <w:r w:rsidR="00B473F5" w:rsidRPr="00EC250C">
        <w:t>.</w:t>
      </w:r>
      <w:r w:rsidR="006F498F" w:rsidRPr="00EC250C">
        <w:t xml:space="preserve"> Nie można go odmawiać m.in. osobom na samozatrudnieniu i umowie zleceniu.</w:t>
      </w:r>
    </w:p>
    <w:p w14:paraId="4F9D6EE4" w14:textId="77777777" w:rsidR="00187708" w:rsidRPr="00EC250C" w:rsidRDefault="00187708" w:rsidP="00D131FA">
      <w:pPr>
        <w:pStyle w:val="Styl1"/>
      </w:pPr>
      <w:r w:rsidRPr="00EC250C">
        <w:t>2 czerwca 2015</w:t>
      </w:r>
      <w:r w:rsidR="00C91F6E" w:rsidRPr="00EC250C">
        <w:t> r.</w:t>
      </w:r>
      <w:r w:rsidRPr="00EC250C">
        <w:t xml:space="preserve"> TK orzekł</w:t>
      </w:r>
      <w:r w:rsidRPr="00EC250C">
        <w:rPr>
          <w:rStyle w:val="Odwoanieprzypisudolnego"/>
        </w:rPr>
        <w:footnoteReference w:id="373"/>
      </w:r>
      <w:r w:rsidRPr="00EC250C">
        <w:t>, że podmiotem wolności zrzeszania się</w:t>
      </w:r>
      <w:r w:rsidR="00992FD0" w:rsidRPr="00EC250C">
        <w:t xml:space="preserve"> w </w:t>
      </w:r>
      <w:r w:rsidRPr="00EC250C">
        <w:t>związku są pracownicy, ale</w:t>
      </w:r>
      <w:r w:rsidR="00992FD0" w:rsidRPr="00EC250C">
        <w:t xml:space="preserve"> w </w:t>
      </w:r>
      <w:r w:rsidRPr="00EC250C">
        <w:t>konstytucyjnym</w:t>
      </w:r>
      <w:r w:rsidR="00776C1D" w:rsidRPr="00EC250C">
        <w:t>,</w:t>
      </w:r>
      <w:r w:rsidR="00992FD0" w:rsidRPr="00EC250C">
        <w:t xml:space="preserve"> a </w:t>
      </w:r>
      <w:r w:rsidR="00776C1D" w:rsidRPr="00EC250C">
        <w:t>nie kodeksowym</w:t>
      </w:r>
      <w:r w:rsidRPr="00EC250C">
        <w:t xml:space="preserve"> rozumieniu</w:t>
      </w:r>
      <w:r w:rsidR="00776C1D" w:rsidRPr="00EC250C">
        <w:t xml:space="preserve">. Są to </w:t>
      </w:r>
      <w:r w:rsidR="009952A2" w:rsidRPr="00EC250C">
        <w:t xml:space="preserve">zatem </w:t>
      </w:r>
      <w:r w:rsidRPr="00EC250C">
        <w:t xml:space="preserve">wszyscy wykonujący pracę zarobkową, </w:t>
      </w:r>
      <w:r w:rsidR="006F498F" w:rsidRPr="00EC250C">
        <w:t>„</w:t>
      </w:r>
      <w:r w:rsidRPr="00EC250C">
        <w:t>pozostający</w:t>
      </w:r>
      <w:r w:rsidR="00992FD0" w:rsidRPr="00EC250C">
        <w:t xml:space="preserve"> w </w:t>
      </w:r>
      <w:r w:rsidRPr="00EC250C">
        <w:t>stosunku prawnym</w:t>
      </w:r>
      <w:r w:rsidR="00992FD0" w:rsidRPr="00EC250C">
        <w:t xml:space="preserve"> z </w:t>
      </w:r>
      <w:r w:rsidRPr="00EC250C">
        <w:t>podmiotem, na rzecz którego ją świadczą oraz posiadający interesy zawodowe, które mogą być grupowo chronione</w:t>
      </w:r>
      <w:r w:rsidR="006F498F" w:rsidRPr="00EC250C">
        <w:t>”</w:t>
      </w:r>
      <w:r w:rsidRPr="00EC250C">
        <w:t>.</w:t>
      </w:r>
      <w:r w:rsidR="007D28A9" w:rsidRPr="00EC250C">
        <w:t xml:space="preserve"> </w:t>
      </w:r>
    </w:p>
    <w:p w14:paraId="65B3F07A" w14:textId="77777777" w:rsidR="00187708" w:rsidRPr="00EC250C" w:rsidRDefault="00187708" w:rsidP="00D131FA">
      <w:pPr>
        <w:pStyle w:val="Styl1"/>
      </w:pPr>
      <w:r w:rsidRPr="00EC250C">
        <w:t>O wykonanie tego wyroku TK RPO apelował do władz wielokrotnie</w:t>
      </w:r>
      <w:r w:rsidR="00DF220A" w:rsidRPr="00EC250C">
        <w:t>. Ustawa została zmieniona 5 lipca 2018 r. Stanowi ona, że prawo tworzenia i wstępowania do związków zawodowych przysługuje osobom wykonującym pracę zarobkową. „Należy przez to rozumieć pracownika lub osobę świadczącą pracę za wynagrodzeniem na innej podstawie niż stosunek pracy, jeżeli nie zatrudnia do tego rodzaju pracy innych osób, niezależnie od podstawy zatrudnienia”.</w:t>
      </w:r>
      <w:r w:rsidRPr="00EC250C">
        <w:rPr>
          <w:rStyle w:val="Odwoanieprzypisudolnego"/>
        </w:rPr>
        <w:footnoteReference w:id="374"/>
      </w:r>
    </w:p>
    <w:p w14:paraId="431D5562" w14:textId="77777777" w:rsidR="00187708" w:rsidRPr="00EC250C" w:rsidRDefault="00187708" w:rsidP="00D131FA">
      <w:pPr>
        <w:pStyle w:val="ODESANIE"/>
        <w:jc w:val="both"/>
      </w:pPr>
      <w:r w:rsidRPr="00EC250C">
        <w:t>Sprawa dziennikarza-związkowca zwolnionego</w:t>
      </w:r>
      <w:r w:rsidR="00992FD0" w:rsidRPr="00EC250C">
        <w:t xml:space="preserve"> z </w:t>
      </w:r>
      <w:r w:rsidRPr="00EC250C">
        <w:t>pracy za krytykę pracodawcy opisana jest przy art. 54 Konstytucji (Wolność słowa).</w:t>
      </w:r>
    </w:p>
    <w:p w14:paraId="57615B01" w14:textId="77777777" w:rsidR="00187708" w:rsidRPr="00EC250C" w:rsidRDefault="00187708" w:rsidP="00EC250C">
      <w:pPr>
        <w:pStyle w:val="Nagwek8"/>
      </w:pPr>
      <w:r w:rsidRPr="00EC250C">
        <w:rPr>
          <w:rStyle w:val="Pogrubienie"/>
          <w:b/>
          <w:bCs w:val="0"/>
        </w:rPr>
        <w:t xml:space="preserve">Członek „Solidarności” nie może należeć do innego związku </w:t>
      </w:r>
    </w:p>
    <w:p w14:paraId="4CED1D5D" w14:textId="77777777" w:rsidR="00C868EB" w:rsidRPr="00EC250C" w:rsidRDefault="00C868EB" w:rsidP="00D131FA">
      <w:pPr>
        <w:pStyle w:val="Styl2"/>
        <w:rPr>
          <w:szCs w:val="24"/>
        </w:rPr>
      </w:pPr>
      <w:r w:rsidRPr="00EC250C">
        <w:rPr>
          <w:szCs w:val="24"/>
        </w:rPr>
        <w:t xml:space="preserve">Do RPO napisał związkowiec </w:t>
      </w:r>
      <w:r w:rsidR="009952A2" w:rsidRPr="00EC250C">
        <w:rPr>
          <w:szCs w:val="24"/>
        </w:rPr>
        <w:t xml:space="preserve">z </w:t>
      </w:r>
      <w:r w:rsidRPr="00EC250C">
        <w:rPr>
          <w:szCs w:val="24"/>
        </w:rPr>
        <w:t>NSZZ „Solidarność”, który kwestionuje zasadność postanowień Statutu związku: członek „Solidarności” nie może należeć do innego związku zawodowego zarejestrowanego w Polsce (z wyjątkiem NSZZ Rolników Indywidualnych „Solidarność”). W piśmie do przewodniczącego związku RPO przypomniał treść art. 59 Konstytucji. Przypomniał też, że w latach 1980-1981 do NSZZ „Solidarność” wstępowali członkowie dotychczasowych związków zawodowych, kontrolowanych przez władze PRL, a także członkowie PZPR. NSZZ „Solidarność” liczył wtedy niemal 10 mln członków.</w:t>
      </w:r>
    </w:p>
    <w:p w14:paraId="3F8C571F" w14:textId="77777777" w:rsidR="00C868EB" w:rsidRPr="00EC250C" w:rsidRDefault="00C868EB" w:rsidP="00D131FA">
      <w:pPr>
        <w:pStyle w:val="Styl2"/>
        <w:rPr>
          <w:rStyle w:val="Pogrubienie"/>
          <w:b/>
          <w:bCs/>
          <w:szCs w:val="24"/>
        </w:rPr>
      </w:pPr>
      <w:r w:rsidRPr="00EC250C">
        <w:rPr>
          <w:rStyle w:val="Pogrubienie"/>
          <w:b/>
          <w:bCs/>
          <w:szCs w:val="24"/>
        </w:rPr>
        <w:t>Zdaniem władz NSZZ „Solidarność” zasada niezależności oznacza, że Związek nie jest nikomu podporządkowany, w tym organom administracji państwowej, samorządu terytorialnego, partiom politycznym. Przewodniczący „Solidarności” Piotr Duda nie wyobraża obie, aby np. członek Rady Dialogu Społecznego był jednocześnie członkiem NSZZ „Solidarność”, OPZZ i Forum Związków Zawodowych.</w:t>
      </w:r>
    </w:p>
    <w:p w14:paraId="05F70E0B" w14:textId="77777777" w:rsidR="00187708" w:rsidRPr="00EC250C" w:rsidRDefault="00C868EB" w:rsidP="00D131FA">
      <w:pPr>
        <w:pStyle w:val="Styl2"/>
        <w:rPr>
          <w:b w:val="0"/>
          <w:bCs w:val="0"/>
          <w:color w:val="044892"/>
          <w:szCs w:val="24"/>
        </w:rPr>
      </w:pPr>
      <w:r w:rsidRPr="00EC250C">
        <w:rPr>
          <w:rStyle w:val="Pogrubienie"/>
          <w:b/>
          <w:bCs/>
          <w:szCs w:val="24"/>
        </w:rPr>
        <w:t xml:space="preserve">Minister Rodziny Pracy i Polityki Społecznej potwierdził w piśmie do RPO, że ustawa o związkach zawodowych nie zakazuje członkostwa </w:t>
      </w:r>
      <w:r w:rsidR="00747585" w:rsidRPr="00EC250C">
        <w:rPr>
          <w:rStyle w:val="Pogrubienie"/>
          <w:b/>
          <w:bCs/>
          <w:szCs w:val="24"/>
        </w:rPr>
        <w:t>w kilku związkach, te jednak mają prawo do samodzielnego regulowania zasad członkostwa</w:t>
      </w:r>
      <w:r w:rsidR="00747585" w:rsidRPr="00EC250C">
        <w:rPr>
          <w:rStyle w:val="Odwoanieprzypisudolnego"/>
          <w:szCs w:val="24"/>
        </w:rPr>
        <w:footnoteReference w:id="375"/>
      </w:r>
      <w:r w:rsidR="00747585" w:rsidRPr="00EC250C">
        <w:rPr>
          <w:rStyle w:val="Pogrubienie"/>
          <w:b/>
          <w:bCs/>
          <w:szCs w:val="24"/>
        </w:rPr>
        <w:t>.</w:t>
      </w:r>
      <w:r w:rsidR="002A3909" w:rsidRPr="00EC250C">
        <w:rPr>
          <w:rStyle w:val="Pogrubienie"/>
          <w:b/>
          <w:bCs/>
          <w:szCs w:val="24"/>
        </w:rPr>
        <w:t>.</w:t>
      </w:r>
    </w:p>
    <w:p w14:paraId="71E25DF0" w14:textId="77777777" w:rsidR="00187708" w:rsidRPr="00EC250C" w:rsidRDefault="00187708" w:rsidP="00EC250C">
      <w:pPr>
        <w:pStyle w:val="Nagwek3"/>
      </w:pPr>
      <w:bookmarkStart w:id="368" w:name="_Toc6257806"/>
      <w:bookmarkStart w:id="369" w:name="_Toc11247681"/>
      <w:r w:rsidRPr="00EC250C">
        <w:lastRenderedPageBreak/>
        <w:t xml:space="preserve">Art. 60 </w:t>
      </w:r>
      <w:r w:rsidR="003C7122" w:rsidRPr="00EC250C">
        <w:t xml:space="preserve">Konstytucji </w:t>
      </w:r>
      <w:r w:rsidRPr="00EC250C">
        <w:t>– Prawo równego dostępu do służby publicznej</w:t>
      </w:r>
      <w:bookmarkEnd w:id="368"/>
      <w:bookmarkEnd w:id="369"/>
    </w:p>
    <w:p w14:paraId="143AA4E5" w14:textId="77777777" w:rsidR="00187708" w:rsidRPr="00EC250C" w:rsidRDefault="00187708" w:rsidP="00D131FA">
      <w:pPr>
        <w:pStyle w:val="konstytucja"/>
        <w:jc w:val="both"/>
      </w:pPr>
      <w:r w:rsidRPr="00EC250C">
        <w:t>Obywatele polscy korzystający</w:t>
      </w:r>
      <w:r w:rsidR="00992FD0" w:rsidRPr="00EC250C">
        <w:t xml:space="preserve"> z </w:t>
      </w:r>
      <w:r w:rsidRPr="00EC250C">
        <w:t>pełni praw publicznych mają prawo dostępu do służby publicznej na jednakowych zasadach.</w:t>
      </w:r>
    </w:p>
    <w:p w14:paraId="28D49D77" w14:textId="77777777" w:rsidR="00187708" w:rsidRPr="00EC250C" w:rsidRDefault="00187708" w:rsidP="00D131FA">
      <w:pPr>
        <w:pStyle w:val="ComwiKonstytucja"/>
      </w:pPr>
      <w:r w:rsidRPr="00EC250C">
        <w:t>Prawo to przysługuje jedynie obywatelom polskim korzystającym</w:t>
      </w:r>
      <w:r w:rsidR="00992FD0" w:rsidRPr="00EC250C">
        <w:t xml:space="preserve"> z </w:t>
      </w:r>
      <w:r w:rsidRPr="00EC250C">
        <w:t>pełni praw publicznych. Jednakowe zasady mają zapewnić równość szans wszystkich spełniających określone warunki osób, które ubiegają się</w:t>
      </w:r>
      <w:r w:rsidR="00992FD0" w:rsidRPr="00EC250C">
        <w:t xml:space="preserve"> o </w:t>
      </w:r>
      <w:r w:rsidRPr="00EC250C">
        <w:t>objęcie służby publicznej. Szczególnie ważne jest</w:t>
      </w:r>
      <w:r w:rsidR="00992FD0" w:rsidRPr="00EC250C">
        <w:t xml:space="preserve"> w </w:t>
      </w:r>
      <w:r w:rsidRPr="00EC250C">
        <w:t>tym kontekście równe traktowanie kobiet</w:t>
      </w:r>
      <w:r w:rsidR="00992FD0" w:rsidRPr="00EC250C">
        <w:t xml:space="preserve"> i </w:t>
      </w:r>
      <w:r w:rsidRPr="00EC250C">
        <w:t>mężczyzn. Prawo do „dostępu” nie oznacza automatycznego przyjęcia do służby publicznej,</w:t>
      </w:r>
      <w:r w:rsidR="00992FD0" w:rsidRPr="00EC250C">
        <w:t xml:space="preserve"> a </w:t>
      </w:r>
      <w:r w:rsidRPr="00EC250C">
        <w:t>jedynie możliwość ubiegania się</w:t>
      </w:r>
      <w:r w:rsidR="00992FD0" w:rsidRPr="00EC250C">
        <w:t xml:space="preserve"> o </w:t>
      </w:r>
      <w:r w:rsidRPr="00EC250C">
        <w:t>to. Państwo ma obowiązek stworzenia formalnych gwarancji zapobiegających nieuzasadnionej</w:t>
      </w:r>
      <w:r w:rsidR="00992FD0" w:rsidRPr="00EC250C">
        <w:t xml:space="preserve"> i </w:t>
      </w:r>
      <w:r w:rsidRPr="00EC250C">
        <w:t>bezprawnej dyskryminacji.</w:t>
      </w:r>
    </w:p>
    <w:p w14:paraId="7FA9A183" w14:textId="77777777" w:rsidR="003E4DBD" w:rsidRPr="00EC250C" w:rsidRDefault="003E4DBD" w:rsidP="00D131FA">
      <w:pPr>
        <w:pStyle w:val="ComwiKonstytucja"/>
      </w:pPr>
    </w:p>
    <w:p w14:paraId="29A62324" w14:textId="77777777" w:rsidR="00187708" w:rsidRPr="00EC250C" w:rsidRDefault="00187708" w:rsidP="00D131FA">
      <w:pPr>
        <w:spacing w:after="200" w:line="24" w:lineRule="auto"/>
        <w:jc w:val="both"/>
        <w:rPr>
          <w:i/>
          <w:spacing w:val="5"/>
          <w:sz w:val="22"/>
        </w:rPr>
      </w:pPr>
      <w:r w:rsidRPr="00EC250C">
        <w:rPr>
          <w:sz w:val="24"/>
        </w:rPr>
        <w:br w:type="page"/>
      </w:r>
    </w:p>
    <w:p w14:paraId="659EDBFD" w14:textId="77777777" w:rsidR="00C91F6E" w:rsidRPr="00EC250C" w:rsidRDefault="00B26D32" w:rsidP="00EC79EB">
      <w:pPr>
        <w:pStyle w:val="Nagwek4"/>
      </w:pPr>
      <w:bookmarkStart w:id="370" w:name="_Toc11247682"/>
      <w:r w:rsidRPr="00EC250C">
        <w:rPr>
          <w:rStyle w:val="Nagwek4Znak"/>
          <w:b/>
          <w:bCs/>
          <w:iCs/>
        </w:rPr>
        <w:lastRenderedPageBreak/>
        <w:t>Wypowiadanie</w:t>
      </w:r>
      <w:r w:rsidR="001F7BD5" w:rsidRPr="00EC250C">
        <w:rPr>
          <w:rStyle w:val="Nagwek4Znak"/>
          <w:b/>
          <w:bCs/>
          <w:iCs/>
        </w:rPr>
        <w:t xml:space="preserve"> stosunku pracy</w:t>
      </w:r>
      <w:r w:rsidR="00992FD0" w:rsidRPr="00EC250C">
        <w:rPr>
          <w:rStyle w:val="Nagwek4Znak"/>
          <w:b/>
          <w:bCs/>
          <w:iCs/>
        </w:rPr>
        <w:t xml:space="preserve"> z </w:t>
      </w:r>
      <w:r w:rsidR="001F7BD5" w:rsidRPr="00EC250C">
        <w:rPr>
          <w:rStyle w:val="Nagwek4Znak"/>
          <w:b/>
          <w:bCs/>
          <w:iCs/>
        </w:rPr>
        <w:t>pracownikami administracji publicznej przy okazji przekształceń organizacyjnych</w:t>
      </w:r>
      <w:bookmarkEnd w:id="370"/>
    </w:p>
    <w:p w14:paraId="1A6A76CB" w14:textId="77777777" w:rsidR="00187708" w:rsidRPr="00EC250C" w:rsidRDefault="00187708" w:rsidP="00D131FA">
      <w:pPr>
        <w:pStyle w:val="Styl1"/>
      </w:pPr>
      <w:r w:rsidRPr="00EC250C">
        <w:rPr>
          <w:b/>
        </w:rPr>
        <w:t>Od 2015</w:t>
      </w:r>
      <w:r w:rsidR="00C91F6E" w:rsidRPr="00EC250C">
        <w:rPr>
          <w:b/>
        </w:rPr>
        <w:t> r.</w:t>
      </w:r>
      <w:r w:rsidRPr="00EC250C">
        <w:rPr>
          <w:b/>
        </w:rPr>
        <w:t xml:space="preserve"> przy reorganizacji instytucji publicznych ustawodawca pozbawia pracowników praw, które chronią sumiennie</w:t>
      </w:r>
      <w:r w:rsidR="00992FD0" w:rsidRPr="00EC250C">
        <w:rPr>
          <w:b/>
        </w:rPr>
        <w:t xml:space="preserve"> i </w:t>
      </w:r>
      <w:r w:rsidRPr="00EC250C">
        <w:rPr>
          <w:b/>
        </w:rPr>
        <w:t>starannie wykonujących obowiązki przed utratą pracy</w:t>
      </w:r>
      <w:r w:rsidR="00992FD0" w:rsidRPr="00EC250C">
        <w:rPr>
          <w:b/>
        </w:rPr>
        <w:t xml:space="preserve"> z </w:t>
      </w:r>
      <w:r w:rsidRPr="00EC250C">
        <w:rPr>
          <w:b/>
        </w:rPr>
        <w:t xml:space="preserve">przyczyn od nich niezależnych. W praktyce wygląda to tak, że jedna instytucja </w:t>
      </w:r>
      <w:r w:rsidR="00835440" w:rsidRPr="00EC250C">
        <w:rPr>
          <w:b/>
        </w:rPr>
        <w:t>jest</w:t>
      </w:r>
      <w:r w:rsidRPr="00EC250C">
        <w:rPr>
          <w:b/>
        </w:rPr>
        <w:t xml:space="preserve"> likwidowana,</w:t>
      </w:r>
      <w:r w:rsidR="00992FD0" w:rsidRPr="00EC250C">
        <w:rPr>
          <w:b/>
        </w:rPr>
        <w:t xml:space="preserve"> a </w:t>
      </w:r>
      <w:r w:rsidRPr="00EC250C">
        <w:rPr>
          <w:b/>
        </w:rPr>
        <w:t>druga przejm</w:t>
      </w:r>
      <w:r w:rsidR="00835440" w:rsidRPr="00EC250C">
        <w:rPr>
          <w:b/>
        </w:rPr>
        <w:t>uje</w:t>
      </w:r>
      <w:r w:rsidRPr="00EC250C">
        <w:rPr>
          <w:b/>
        </w:rPr>
        <w:t xml:space="preserve"> jej zadania. Dla pracowników</w:t>
      </w:r>
      <w:r w:rsidR="00992FD0" w:rsidRPr="00EC250C">
        <w:rPr>
          <w:b/>
        </w:rPr>
        <w:t xml:space="preserve"> i </w:t>
      </w:r>
      <w:r w:rsidRPr="00EC250C">
        <w:rPr>
          <w:b/>
        </w:rPr>
        <w:t>funkcjonariuszy oznacza to wygaśnięcie stosunków pracy/służby. Mog</w:t>
      </w:r>
      <w:r w:rsidR="00835440" w:rsidRPr="00EC250C">
        <w:rPr>
          <w:b/>
        </w:rPr>
        <w:t>ą</w:t>
      </w:r>
      <w:r w:rsidRPr="00EC250C">
        <w:rPr>
          <w:b/>
        </w:rPr>
        <w:t xml:space="preserve"> dostać propozycje pracy</w:t>
      </w:r>
      <w:r w:rsidR="00992FD0" w:rsidRPr="00EC250C">
        <w:rPr>
          <w:b/>
        </w:rPr>
        <w:t xml:space="preserve"> w </w:t>
      </w:r>
      <w:r w:rsidRPr="00EC250C">
        <w:rPr>
          <w:b/>
        </w:rPr>
        <w:t>nowej instytucji lub nie</w:t>
      </w:r>
      <w:r w:rsidRPr="00EC250C">
        <w:rPr>
          <w:rStyle w:val="Odwoanieprzypisudolnego"/>
        </w:rPr>
        <w:footnoteReference w:id="376"/>
      </w:r>
      <w:r w:rsidRPr="00EC250C">
        <w:t>.</w:t>
      </w:r>
    </w:p>
    <w:p w14:paraId="015C0338" w14:textId="77777777" w:rsidR="00747585" w:rsidRPr="00EC250C" w:rsidRDefault="00747585" w:rsidP="00D131FA">
      <w:pPr>
        <w:pStyle w:val="Styl1"/>
      </w:pPr>
      <w:r w:rsidRPr="00EC250C">
        <w:t>W 2017 r. chodziło m.in. o Biuro Trybunału Konstytucyjnego, Agencję Rynku Rolnego i Agencję Nieruchomości Rolnych połączone w Krajowy Ośrodek Wsparcia Rolnictwa czy Administrację Karno-Skarbową.</w:t>
      </w:r>
    </w:p>
    <w:p w14:paraId="41F43B08" w14:textId="77777777" w:rsidR="00187708" w:rsidRPr="00EC250C" w:rsidRDefault="00747585" w:rsidP="00EC250C">
      <w:pPr>
        <w:pStyle w:val="Nagwek8"/>
        <w:rPr>
          <w:spacing w:val="0"/>
        </w:rPr>
      </w:pPr>
      <w:r w:rsidRPr="00EC250C">
        <w:t xml:space="preserve">Sytuacja </w:t>
      </w:r>
      <w:r w:rsidR="00187708" w:rsidRPr="00EC250C">
        <w:t>pracowników Biura Uznawalności Wykształcenia</w:t>
      </w:r>
      <w:r w:rsidR="00992FD0" w:rsidRPr="00EC250C">
        <w:t xml:space="preserve"> i </w:t>
      </w:r>
      <w:r w:rsidR="00187708" w:rsidRPr="00EC250C">
        <w:t>Wymiany Międzynarodowej</w:t>
      </w:r>
    </w:p>
    <w:p w14:paraId="51898AE2" w14:textId="77777777" w:rsidR="00187708" w:rsidRPr="00EC250C" w:rsidRDefault="00187708" w:rsidP="00D131FA">
      <w:pPr>
        <w:pStyle w:val="Styl2"/>
        <w:spacing w:before="240"/>
        <w:rPr>
          <w:rStyle w:val="Pogrubienie"/>
          <w:b/>
          <w:bCs/>
          <w:szCs w:val="24"/>
        </w:rPr>
      </w:pPr>
      <w:r w:rsidRPr="00EC250C">
        <w:rPr>
          <w:rStyle w:val="Pogrubienie"/>
          <w:b/>
          <w:bCs/>
          <w:szCs w:val="24"/>
        </w:rPr>
        <w:t>Wygaszanie stosunku pracy</w:t>
      </w:r>
      <w:r w:rsidR="00992FD0" w:rsidRPr="00EC250C">
        <w:rPr>
          <w:rStyle w:val="Pogrubienie"/>
          <w:b/>
          <w:bCs/>
          <w:szCs w:val="24"/>
        </w:rPr>
        <w:t xml:space="preserve"> z </w:t>
      </w:r>
      <w:r w:rsidRPr="00EC250C">
        <w:rPr>
          <w:rStyle w:val="Pogrubienie"/>
          <w:b/>
          <w:bCs/>
          <w:szCs w:val="24"/>
        </w:rPr>
        <w:t xml:space="preserve">dotychczasowymi pracownikami przy okazji </w:t>
      </w:r>
      <w:r w:rsidR="00776C1D" w:rsidRPr="00EC250C">
        <w:rPr>
          <w:rStyle w:val="Pogrubienie"/>
          <w:b/>
          <w:bCs/>
          <w:szCs w:val="24"/>
        </w:rPr>
        <w:t xml:space="preserve">przekształceń </w:t>
      </w:r>
      <w:r w:rsidRPr="00EC250C">
        <w:rPr>
          <w:rStyle w:val="Pogrubienie"/>
          <w:b/>
          <w:bCs/>
          <w:szCs w:val="24"/>
        </w:rPr>
        <w:t xml:space="preserve">organizacyjnych </w:t>
      </w:r>
      <w:r w:rsidR="00776C1D" w:rsidRPr="00EC250C">
        <w:rPr>
          <w:rStyle w:val="Pogrubienie"/>
          <w:b/>
          <w:bCs/>
          <w:szCs w:val="24"/>
        </w:rPr>
        <w:t xml:space="preserve">zostało </w:t>
      </w:r>
      <w:r w:rsidRPr="00EC250C">
        <w:rPr>
          <w:rStyle w:val="Pogrubienie"/>
          <w:b/>
          <w:bCs/>
          <w:szCs w:val="24"/>
        </w:rPr>
        <w:t>zastosowane</w:t>
      </w:r>
      <w:r w:rsidR="00992FD0" w:rsidRPr="00EC250C">
        <w:rPr>
          <w:rStyle w:val="Pogrubienie"/>
          <w:b/>
          <w:bCs/>
          <w:szCs w:val="24"/>
        </w:rPr>
        <w:t xml:space="preserve"> w </w:t>
      </w:r>
      <w:r w:rsidRPr="00EC250C">
        <w:rPr>
          <w:rStyle w:val="Pogrubienie"/>
          <w:b/>
          <w:bCs/>
          <w:szCs w:val="24"/>
        </w:rPr>
        <w:t>2018</w:t>
      </w:r>
      <w:r w:rsidR="00C91F6E" w:rsidRPr="00EC250C">
        <w:rPr>
          <w:rStyle w:val="Pogrubienie"/>
          <w:b/>
          <w:bCs/>
          <w:szCs w:val="24"/>
        </w:rPr>
        <w:t> r.</w:t>
      </w:r>
      <w:r w:rsidR="00992FD0" w:rsidRPr="00EC250C">
        <w:rPr>
          <w:rStyle w:val="Pogrubienie"/>
          <w:b/>
          <w:bCs/>
          <w:szCs w:val="24"/>
        </w:rPr>
        <w:t xml:space="preserve"> w </w:t>
      </w:r>
      <w:r w:rsidRPr="00EC250C">
        <w:rPr>
          <w:rStyle w:val="Pogrubienie"/>
          <w:b/>
          <w:bCs/>
          <w:szCs w:val="24"/>
        </w:rPr>
        <w:t xml:space="preserve">przypadku utworzenia Narodowej Agencji Wymiany Akademickiej. </w:t>
      </w:r>
      <w:r w:rsidR="00D20D4F" w:rsidRPr="00EC250C">
        <w:rPr>
          <w:rStyle w:val="Pogrubienie"/>
          <w:b/>
          <w:bCs/>
          <w:szCs w:val="24"/>
        </w:rPr>
        <w:t>RPO</w:t>
      </w:r>
      <w:r w:rsidRPr="00EC250C">
        <w:rPr>
          <w:rStyle w:val="Pogrubienie"/>
          <w:b/>
          <w:bCs/>
          <w:szCs w:val="24"/>
        </w:rPr>
        <w:t xml:space="preserve"> interweniował</w:t>
      </w:r>
      <w:r w:rsidR="00992FD0" w:rsidRPr="00EC250C">
        <w:rPr>
          <w:rStyle w:val="Pogrubienie"/>
          <w:b/>
          <w:bCs/>
          <w:szCs w:val="24"/>
        </w:rPr>
        <w:t xml:space="preserve"> w </w:t>
      </w:r>
      <w:r w:rsidRPr="00EC250C">
        <w:rPr>
          <w:rStyle w:val="Pogrubienie"/>
          <w:b/>
          <w:bCs/>
          <w:szCs w:val="24"/>
        </w:rPr>
        <w:t>tej sprawie u Ministra Nauki</w:t>
      </w:r>
      <w:r w:rsidR="00992FD0" w:rsidRPr="00EC250C">
        <w:rPr>
          <w:rStyle w:val="Pogrubienie"/>
          <w:b/>
          <w:bCs/>
          <w:szCs w:val="24"/>
        </w:rPr>
        <w:t xml:space="preserve"> i </w:t>
      </w:r>
      <w:r w:rsidRPr="00EC250C">
        <w:rPr>
          <w:rStyle w:val="Pogrubienie"/>
          <w:b/>
          <w:bCs/>
          <w:szCs w:val="24"/>
        </w:rPr>
        <w:t xml:space="preserve">Szkolnictwa </w:t>
      </w:r>
      <w:r w:rsidR="00B26D32" w:rsidRPr="00EC250C">
        <w:rPr>
          <w:rStyle w:val="Pogrubienie"/>
          <w:b/>
          <w:bCs/>
          <w:szCs w:val="24"/>
        </w:rPr>
        <w:t>W</w:t>
      </w:r>
      <w:r w:rsidRPr="00EC250C">
        <w:rPr>
          <w:rStyle w:val="Pogrubienie"/>
          <w:b/>
          <w:bCs/>
          <w:szCs w:val="24"/>
        </w:rPr>
        <w:t>yższego</w:t>
      </w:r>
      <w:r w:rsidRPr="00EC250C">
        <w:rPr>
          <w:rStyle w:val="Odwoanieprzypisudolnego"/>
          <w:szCs w:val="24"/>
        </w:rPr>
        <w:footnoteReference w:id="377"/>
      </w:r>
      <w:r w:rsidRPr="00EC250C">
        <w:rPr>
          <w:rStyle w:val="Pogrubienie"/>
          <w:b/>
          <w:bCs/>
          <w:szCs w:val="24"/>
        </w:rPr>
        <w:t>.</w:t>
      </w:r>
    </w:p>
    <w:p w14:paraId="24A1D167" w14:textId="77777777" w:rsidR="00B26D32" w:rsidRPr="00EC250C" w:rsidRDefault="00B26D32" w:rsidP="00D131FA">
      <w:pPr>
        <w:pStyle w:val="Styl2"/>
        <w:rPr>
          <w:szCs w:val="24"/>
        </w:rPr>
      </w:pPr>
      <w:r w:rsidRPr="00EC250C">
        <w:rPr>
          <w:szCs w:val="24"/>
        </w:rPr>
        <w:t>Minister wyjaśnił, że wygaszani</w:t>
      </w:r>
      <w:r w:rsidR="00835440" w:rsidRPr="00EC250C">
        <w:rPr>
          <w:szCs w:val="24"/>
        </w:rPr>
        <w:t>e</w:t>
      </w:r>
      <w:r w:rsidRPr="00EC250C">
        <w:rPr>
          <w:szCs w:val="24"/>
        </w:rPr>
        <w:t xml:space="preserve"> stosunków pracy była </w:t>
      </w:r>
      <w:r w:rsidR="00835440" w:rsidRPr="00EC250C">
        <w:rPr>
          <w:szCs w:val="24"/>
        </w:rPr>
        <w:t xml:space="preserve">konieczne ze względu na </w:t>
      </w:r>
      <w:r w:rsidRPr="00EC250C">
        <w:rPr>
          <w:szCs w:val="24"/>
        </w:rPr>
        <w:t xml:space="preserve">powierzenie </w:t>
      </w:r>
      <w:r w:rsidR="00835440" w:rsidRPr="00EC250C">
        <w:rPr>
          <w:szCs w:val="24"/>
        </w:rPr>
        <w:t>d</w:t>
      </w:r>
      <w:r w:rsidRPr="00EC250C">
        <w:rPr>
          <w:szCs w:val="24"/>
        </w:rPr>
        <w:t xml:space="preserve">yrektorowi </w:t>
      </w:r>
      <w:r w:rsidR="00835440" w:rsidRPr="00EC250C">
        <w:rPr>
          <w:szCs w:val="24"/>
        </w:rPr>
        <w:t xml:space="preserve">nowej </w:t>
      </w:r>
      <w:r w:rsidRPr="00EC250C">
        <w:rPr>
          <w:szCs w:val="24"/>
        </w:rPr>
        <w:t>Narodowej Agencji Wymiany Akademickiej misji ukształtowania nowej struktury organizacyjnej. Minister Nauki</w:t>
      </w:r>
      <w:r w:rsidR="00992FD0" w:rsidRPr="00EC250C">
        <w:rPr>
          <w:szCs w:val="24"/>
        </w:rPr>
        <w:t xml:space="preserve"> i </w:t>
      </w:r>
      <w:r w:rsidRPr="00EC250C">
        <w:rPr>
          <w:szCs w:val="24"/>
        </w:rPr>
        <w:t>Szkolnictwa Wyższego nie jest uprawniony do oceny zasadności oraz celowości działań podejmowanych wobec pracowników Agencji</w:t>
      </w:r>
      <w:r w:rsidR="00992FD0" w:rsidRPr="00EC250C">
        <w:rPr>
          <w:szCs w:val="24"/>
        </w:rPr>
        <w:t xml:space="preserve"> i </w:t>
      </w:r>
      <w:r w:rsidRPr="00EC250C">
        <w:rPr>
          <w:szCs w:val="24"/>
        </w:rPr>
        <w:t>nie miał też wpływu na dobór osób, którym przedstawił nowe warunki pracy</w:t>
      </w:r>
      <w:r w:rsidR="00992FD0" w:rsidRPr="00EC250C">
        <w:rPr>
          <w:szCs w:val="24"/>
        </w:rPr>
        <w:t xml:space="preserve"> i </w:t>
      </w:r>
      <w:r w:rsidRPr="00EC250C">
        <w:rPr>
          <w:szCs w:val="24"/>
        </w:rPr>
        <w:t>płacy.</w:t>
      </w:r>
    </w:p>
    <w:p w14:paraId="6EEB12F7" w14:textId="77777777" w:rsidR="00187708" w:rsidRPr="00EC250C" w:rsidRDefault="00187708" w:rsidP="00EC250C">
      <w:pPr>
        <w:pStyle w:val="Nagwek8"/>
        <w:rPr>
          <w:spacing w:val="0"/>
        </w:rPr>
      </w:pPr>
      <w:r w:rsidRPr="00EC250C">
        <w:t>Sprawa pracowników byłego Biura Trybunału Konstytucyjnego</w:t>
      </w:r>
    </w:p>
    <w:p w14:paraId="4B43708F" w14:textId="77777777" w:rsidR="00187708" w:rsidRPr="00EC250C" w:rsidRDefault="00187708" w:rsidP="00D131FA">
      <w:pPr>
        <w:pStyle w:val="Styl2"/>
        <w:rPr>
          <w:szCs w:val="24"/>
        </w:rPr>
      </w:pPr>
      <w:r w:rsidRPr="00EC250C">
        <w:rPr>
          <w:rStyle w:val="Pogrubienie"/>
          <w:b/>
          <w:bCs/>
          <w:szCs w:val="24"/>
        </w:rPr>
        <w:t xml:space="preserve">Pracownicy Biura </w:t>
      </w:r>
      <w:r w:rsidR="00776C1D" w:rsidRPr="00EC250C">
        <w:rPr>
          <w:rStyle w:val="Pogrubienie"/>
          <w:b/>
          <w:bCs/>
          <w:szCs w:val="24"/>
        </w:rPr>
        <w:t xml:space="preserve">Trybunału </w:t>
      </w:r>
      <w:r w:rsidRPr="00EC250C">
        <w:rPr>
          <w:rStyle w:val="Pogrubienie"/>
          <w:b/>
          <w:bCs/>
          <w:szCs w:val="24"/>
        </w:rPr>
        <w:t xml:space="preserve">Konstytucyjnego, którym pod pretekstem reorganizacji pracodawca pogorszył warunki zatrudnienia, kierowali sprawy do sądu. </w:t>
      </w:r>
      <w:r w:rsidR="00D20D4F" w:rsidRPr="00EC250C">
        <w:rPr>
          <w:rStyle w:val="Pogrubienie"/>
          <w:b/>
          <w:bCs/>
          <w:szCs w:val="24"/>
        </w:rPr>
        <w:t>RPO</w:t>
      </w:r>
      <w:r w:rsidRPr="00EC250C">
        <w:rPr>
          <w:rStyle w:val="Pogrubienie"/>
          <w:b/>
          <w:bCs/>
          <w:szCs w:val="24"/>
        </w:rPr>
        <w:t xml:space="preserve"> przyst</w:t>
      </w:r>
      <w:r w:rsidR="00AD5EDA" w:rsidRPr="00EC250C">
        <w:rPr>
          <w:rStyle w:val="Pogrubienie"/>
          <w:b/>
          <w:bCs/>
          <w:szCs w:val="24"/>
        </w:rPr>
        <w:t>ąpił</w:t>
      </w:r>
      <w:r w:rsidRPr="00EC250C">
        <w:rPr>
          <w:rStyle w:val="Pogrubienie"/>
          <w:b/>
          <w:bCs/>
          <w:szCs w:val="24"/>
        </w:rPr>
        <w:t xml:space="preserve"> do </w:t>
      </w:r>
      <w:r w:rsidR="00AD5EDA" w:rsidRPr="00EC250C">
        <w:rPr>
          <w:rStyle w:val="Pogrubienie"/>
          <w:b/>
          <w:bCs/>
          <w:szCs w:val="24"/>
        </w:rPr>
        <w:t xml:space="preserve">sześciu takich </w:t>
      </w:r>
      <w:r w:rsidRPr="00EC250C">
        <w:rPr>
          <w:rStyle w:val="Pogrubienie"/>
          <w:b/>
          <w:bCs/>
          <w:szCs w:val="24"/>
        </w:rPr>
        <w:t xml:space="preserve">spraw. Wszystkie zakończyły się ugodami, ostatnia </w:t>
      </w:r>
      <w:r w:rsidR="00957723" w:rsidRPr="00EC250C">
        <w:rPr>
          <w:rStyle w:val="Pogrubienie"/>
          <w:b/>
          <w:bCs/>
          <w:szCs w:val="24"/>
        </w:rPr>
        <w:t xml:space="preserve">została zawarta </w:t>
      </w:r>
      <w:r w:rsidRPr="00EC250C">
        <w:rPr>
          <w:rStyle w:val="Pogrubienie"/>
          <w:b/>
          <w:bCs/>
          <w:szCs w:val="24"/>
        </w:rPr>
        <w:t>20 września 2018</w:t>
      </w:r>
      <w:r w:rsidR="00C91F6E" w:rsidRPr="00EC250C">
        <w:rPr>
          <w:rStyle w:val="Pogrubienie"/>
          <w:b/>
          <w:bCs/>
          <w:szCs w:val="24"/>
        </w:rPr>
        <w:t> r.</w:t>
      </w:r>
    </w:p>
    <w:p w14:paraId="75420E44" w14:textId="77777777" w:rsidR="00187708" w:rsidRPr="00EC250C" w:rsidRDefault="00187708" w:rsidP="00D131FA">
      <w:pPr>
        <w:pStyle w:val="Styl2"/>
        <w:rPr>
          <w:szCs w:val="24"/>
        </w:rPr>
      </w:pPr>
      <w:r w:rsidRPr="00EC250C">
        <w:rPr>
          <w:szCs w:val="24"/>
        </w:rPr>
        <w:t>W ugodach przyznano, że</w:t>
      </w:r>
      <w:r w:rsidR="00992FD0" w:rsidRPr="00EC250C">
        <w:rPr>
          <w:szCs w:val="24"/>
        </w:rPr>
        <w:t xml:space="preserve"> </w:t>
      </w:r>
      <w:r w:rsidRPr="00EC250C">
        <w:rPr>
          <w:szCs w:val="24"/>
        </w:rPr>
        <w:t>oświadcze</w:t>
      </w:r>
      <w:r w:rsidR="001F7BD5" w:rsidRPr="00EC250C">
        <w:rPr>
          <w:szCs w:val="24"/>
        </w:rPr>
        <w:t>nia</w:t>
      </w:r>
      <w:r w:rsidR="00992FD0" w:rsidRPr="00EC250C">
        <w:rPr>
          <w:szCs w:val="24"/>
        </w:rPr>
        <w:t xml:space="preserve"> o </w:t>
      </w:r>
      <w:r w:rsidRPr="00EC250C">
        <w:rPr>
          <w:szCs w:val="24"/>
        </w:rPr>
        <w:t>wypowiedzeniu dotychczasowych warunków pracy</w:t>
      </w:r>
      <w:r w:rsidR="00AD5EDA" w:rsidRPr="00EC250C">
        <w:rPr>
          <w:szCs w:val="24"/>
        </w:rPr>
        <w:t xml:space="preserve">, jakie dostali pracownicy, nie pokazywały związku z </w:t>
      </w:r>
      <w:r w:rsidRPr="00EC250C">
        <w:rPr>
          <w:szCs w:val="24"/>
        </w:rPr>
        <w:t>reorganizacj</w:t>
      </w:r>
      <w:r w:rsidR="00AD5EDA" w:rsidRPr="00EC250C">
        <w:rPr>
          <w:szCs w:val="24"/>
        </w:rPr>
        <w:t>ą</w:t>
      </w:r>
      <w:r w:rsidRPr="00EC250C">
        <w:rPr>
          <w:szCs w:val="24"/>
        </w:rPr>
        <w:t xml:space="preserve"> Biura Trybunału Konstytucyjnego</w:t>
      </w:r>
      <w:r w:rsidR="00AD5EDA" w:rsidRPr="00EC250C">
        <w:rPr>
          <w:szCs w:val="24"/>
        </w:rPr>
        <w:t xml:space="preserve">. Brak takiego związku nie pozwalał na </w:t>
      </w:r>
      <w:r w:rsidRPr="00EC250C">
        <w:rPr>
          <w:szCs w:val="24"/>
        </w:rPr>
        <w:t>pozbawienie uprawnień do dodatku służbowego.Na podstawie zawartych ugód pracownicy uzyskali prawo do wypłaty znaczącej części odszkodowania, dochodzonego pierwotnie</w:t>
      </w:r>
      <w:r w:rsidR="00992FD0" w:rsidRPr="00EC250C">
        <w:rPr>
          <w:szCs w:val="24"/>
        </w:rPr>
        <w:t xml:space="preserve"> w </w:t>
      </w:r>
      <w:r w:rsidRPr="00EC250C">
        <w:rPr>
          <w:szCs w:val="24"/>
        </w:rPr>
        <w:t>złożonych pozwach do sądu pracy</w:t>
      </w:r>
      <w:r w:rsidRPr="00EC250C">
        <w:rPr>
          <w:rStyle w:val="Odwoanieprzypisudolnego"/>
          <w:szCs w:val="24"/>
        </w:rPr>
        <w:footnoteReference w:id="378"/>
      </w:r>
      <w:r w:rsidRPr="00EC250C">
        <w:rPr>
          <w:szCs w:val="24"/>
        </w:rPr>
        <w:t>.</w:t>
      </w:r>
    </w:p>
    <w:p w14:paraId="022A2B43" w14:textId="77777777" w:rsidR="00C91F6E" w:rsidRPr="00EC250C" w:rsidRDefault="00187708" w:rsidP="00EC250C">
      <w:pPr>
        <w:pStyle w:val="Nagwek8"/>
      </w:pPr>
      <w:r w:rsidRPr="00EC250C">
        <w:lastRenderedPageBreak/>
        <w:t>Sprawa funkcjonariuszek Służby Celnej, którym nie zaproponowano przejścia do Krajowej Administracji Skarbowej</w:t>
      </w:r>
    </w:p>
    <w:p w14:paraId="26CA53D3" w14:textId="77777777" w:rsidR="00AD5EDA" w:rsidRPr="00EC250C" w:rsidRDefault="00AD5EDA" w:rsidP="00D131FA">
      <w:pPr>
        <w:pStyle w:val="Styl2"/>
        <w:rPr>
          <w:szCs w:val="24"/>
        </w:rPr>
      </w:pPr>
      <w:bookmarkStart w:id="371" w:name="_Toc6257807"/>
      <w:r w:rsidRPr="00EC250C">
        <w:rPr>
          <w:szCs w:val="24"/>
        </w:rPr>
        <w:t>Rzecznik Praw Obywatelskich wspiera funkcjonariuszy Służby Celno-Skarbowej, którym nie zaproponowano nowych warunków zatrudnienia albo służby w KAS. Dlatego przystąpił do kilku postępowań sądowo-administracyjnych w przedmiocie bezczynności Dyrektorów Izb Administracji Skarbowych (DIAS). Chodziło o to, że dyrektorzy ci nie złożyli funkcjonariuszom propozycji pełnienia służby w nowej Służbie Celno-Skarbowej, choć nie było powodów do tego.</w:t>
      </w:r>
    </w:p>
    <w:p w14:paraId="3AFE9F1F" w14:textId="77777777" w:rsidR="00AD5EDA" w:rsidRPr="00EC250C" w:rsidRDefault="00AD5EDA" w:rsidP="00D131FA">
      <w:pPr>
        <w:pStyle w:val="Styl2"/>
        <w:rPr>
          <w:szCs w:val="24"/>
        </w:rPr>
      </w:pPr>
      <w:r w:rsidRPr="00EC250C">
        <w:rPr>
          <w:rStyle w:val="Pogrubienie"/>
          <w:b/>
          <w:bCs/>
          <w:szCs w:val="24"/>
        </w:rPr>
        <w:t>Wojewódzki Sąd Administracyjny w Gdańsku badał sprawę funkcjonariuszek, którym nie zaproponowano przejścia do utworzonej niedawno Krajowej Administracji Skarbowej (nie zostały zwolnione, ale z mocy ustawy ich stosunek służbowy został wygaszony). Do kilku postępowań w tego typu sprawach przystąpił Rzecznik Praw Obywatelskich.</w:t>
      </w:r>
    </w:p>
    <w:p w14:paraId="552B2E18" w14:textId="77777777" w:rsidR="00AD5EDA" w:rsidRPr="00EC250C" w:rsidRDefault="00AD5EDA" w:rsidP="00D131FA">
      <w:pPr>
        <w:pStyle w:val="Styl2"/>
        <w:rPr>
          <w:szCs w:val="24"/>
        </w:rPr>
      </w:pPr>
      <w:r w:rsidRPr="00EC250C">
        <w:rPr>
          <w:rStyle w:val="Pogrubienie"/>
          <w:b/>
          <w:bCs/>
          <w:szCs w:val="24"/>
        </w:rPr>
        <w:t>WSA w Gdańsku wskazał, że w takiej sytuacji – pomimo braku jednoznacznej regulacji – KAS powinna wydać decyzję o wygaśnięciu stosunku służbowego. Dzięki temu funkcjonariusze będą mogli zaskarżyć tę decyzję do sądu. Taka możliwość istnieje w przypadku decyzji o zwolnieniu funkcjonariusza podejmowanej w normalnym trybie.</w:t>
      </w:r>
    </w:p>
    <w:p w14:paraId="749433A5" w14:textId="77777777" w:rsidR="00AD5EDA" w:rsidRPr="00EC250C" w:rsidRDefault="00AD5EDA" w:rsidP="00D131FA">
      <w:pPr>
        <w:pStyle w:val="Styl2"/>
        <w:rPr>
          <w:szCs w:val="24"/>
        </w:rPr>
      </w:pPr>
      <w:r w:rsidRPr="00EC250C">
        <w:rPr>
          <w:rStyle w:val="Pogrubienie"/>
          <w:b/>
          <w:bCs/>
          <w:szCs w:val="24"/>
        </w:rPr>
        <w:t>WSA w Gdańsku podkreślił, że brak objęcia ochroną sądową wyłącznie tych funkcjonariuszy, którym z niewiadomych przyczyn ustawodawca wygasza stosunki służbowe, należy uznać za rażąco niesprawiedliwe, naruszające gwarancje konstytucyjne</w:t>
      </w:r>
      <w:r w:rsidRPr="00EC250C">
        <w:rPr>
          <w:rStyle w:val="Odwoanieprzypisudolnego"/>
          <w:szCs w:val="24"/>
        </w:rPr>
        <w:footnoteReference w:id="379"/>
      </w:r>
      <w:r w:rsidRPr="00EC250C">
        <w:rPr>
          <w:rStyle w:val="Pogrubienie"/>
          <w:b/>
          <w:bCs/>
          <w:szCs w:val="24"/>
        </w:rPr>
        <w:t>.</w:t>
      </w:r>
    </w:p>
    <w:p w14:paraId="748E347A" w14:textId="77777777" w:rsidR="00AD5EDA" w:rsidRPr="00EC250C" w:rsidRDefault="000D243D" w:rsidP="00D131FA">
      <w:pPr>
        <w:pStyle w:val="Styl2"/>
        <w:rPr>
          <w:szCs w:val="24"/>
        </w:rPr>
      </w:pPr>
      <w:r w:rsidRPr="00EC250C">
        <w:rPr>
          <w:szCs w:val="24"/>
        </w:rPr>
        <w:t xml:space="preserve">Pierwsze z tych orzeczeń potwierdził w 2019 r. NSA. Drugie jest </w:t>
      </w:r>
      <w:r w:rsidR="00AD5EDA" w:rsidRPr="00EC250C">
        <w:rPr>
          <w:szCs w:val="24"/>
        </w:rPr>
        <w:t>nieprawomocne.</w:t>
      </w:r>
    </w:p>
    <w:p w14:paraId="0E80301F" w14:textId="77777777" w:rsidR="007A0357" w:rsidRPr="00EC250C" w:rsidRDefault="007A0357" w:rsidP="00EC250C">
      <w:pPr>
        <w:pStyle w:val="Nagwek8"/>
      </w:pPr>
      <w:r w:rsidRPr="00EC250C">
        <w:t xml:space="preserve"> Raport </w:t>
      </w:r>
      <w:r w:rsidR="00BF3E70" w:rsidRPr="00EC250C">
        <w:t>„</w:t>
      </w:r>
      <w:r w:rsidRPr="00EC250C">
        <w:t>Konsolidacja służb celno-skarbowych w świetle skarg do Rzecznika Praw Obywatelskich</w:t>
      </w:r>
      <w:r w:rsidR="00BF3E70" w:rsidRPr="00EC250C">
        <w:t>”</w:t>
      </w:r>
    </w:p>
    <w:p w14:paraId="66C2DC37" w14:textId="77777777" w:rsidR="00BF3E70" w:rsidRPr="00EC250C" w:rsidRDefault="00BF3E70" w:rsidP="00D131FA">
      <w:pPr>
        <w:pStyle w:val="Styl2"/>
        <w:rPr>
          <w:szCs w:val="24"/>
          <w:lang w:bidi="ar-SA"/>
        </w:rPr>
      </w:pPr>
      <w:r w:rsidRPr="00EC250C">
        <w:rPr>
          <w:szCs w:val="24"/>
          <w:shd w:val="clear" w:color="auto" w:fill="FFFFFF"/>
        </w:rPr>
        <w:t>9 listopada 2018 r. przedstawiciel Rzecznika Praw Obywatelskich wziął udział w posiedzeniu Sejmowej Komisji Finansów Publicznych. W zainteresowaniu Rzecznika pozostawała część posiedzenia poświęcona ocenie działań Szefa Krajowej Administracji Skarbowej oraz podległych dyrektorów izb administracji skarbowej w zakresie przestrzegania prawa, transparentności i sprawiedliwości przy przedkładaniu propozycji pracy lub służby pracownikom lub funkcjonariuszom KAS. Członkom Komisji udostępniony został, pozostający w bezpośrednim związku z problematyką spotkania, raport na temat „Konsolidacji służb celno-skarbowych w świetle skarg kierowanych do Rzecznika Praw Obywatelskich”</w:t>
      </w:r>
      <w:r w:rsidRPr="00EC250C">
        <w:rPr>
          <w:rStyle w:val="Odwoanieprzypisudolnego"/>
          <w:szCs w:val="24"/>
          <w:shd w:val="clear" w:color="auto" w:fill="FFFFFF"/>
        </w:rPr>
        <w:footnoteReference w:id="380"/>
      </w:r>
      <w:r w:rsidRPr="00EC250C">
        <w:rPr>
          <w:szCs w:val="24"/>
          <w:shd w:val="clear" w:color="auto" w:fill="FFFFFF"/>
        </w:rPr>
        <w:t>. </w:t>
      </w:r>
    </w:p>
    <w:p w14:paraId="5C872AB5" w14:textId="77777777" w:rsidR="00B42164" w:rsidRPr="00EC250C" w:rsidRDefault="00B42164" w:rsidP="00EC79EB">
      <w:pPr>
        <w:pStyle w:val="Nagwek4"/>
      </w:pPr>
      <w:bookmarkStart w:id="372" w:name="_Toc11247683"/>
      <w:r w:rsidRPr="00EC250C">
        <w:t>Problem z naborem do Służby Ochrony Państwa</w:t>
      </w:r>
      <w:bookmarkEnd w:id="372"/>
    </w:p>
    <w:p w14:paraId="487E3DD7" w14:textId="77777777" w:rsidR="00B42164" w:rsidRPr="00EC250C" w:rsidRDefault="00B42164" w:rsidP="00D131FA">
      <w:pPr>
        <w:pStyle w:val="Problemczowieka"/>
        <w:jc w:val="both"/>
        <w:rPr>
          <w:lang w:eastAsia="en-US"/>
        </w:rPr>
      </w:pPr>
      <w:r w:rsidRPr="00EC250C">
        <w:rPr>
          <w:lang w:eastAsia="en-US"/>
        </w:rPr>
        <w:t>Na jakiej podstawie prowadzony jest nabór do SOP? Od czego zależy, czy ktoś zostanie przyjęty do tej służby?</w:t>
      </w:r>
    </w:p>
    <w:p w14:paraId="2E174403" w14:textId="77777777" w:rsidR="00B42164" w:rsidRPr="00EC250C" w:rsidRDefault="00B42164" w:rsidP="00D131FA">
      <w:pPr>
        <w:pStyle w:val="Styl1"/>
        <w:rPr>
          <w:bCs/>
          <w:iCs/>
          <w:lang w:eastAsia="en-US"/>
        </w:rPr>
      </w:pPr>
      <w:r w:rsidRPr="00EC250C">
        <w:rPr>
          <w:bCs/>
          <w:iCs/>
          <w:lang w:eastAsia="en-US"/>
        </w:rPr>
        <w:lastRenderedPageBreak/>
        <w:t>Służba Ochrony Państwa stworzona w miejsce BOR prowadziła w 2018 r. stały nabór do formacji. Problem w tym, że z jednej strony przepisy przejściowe (art. 379) ustawy o SOP</w:t>
      </w:r>
      <w:r w:rsidRPr="00EC250C">
        <w:rPr>
          <w:bCs/>
          <w:iCs/>
          <w:vertAlign w:val="superscript"/>
          <w:lang w:eastAsia="en-US"/>
        </w:rPr>
        <w:footnoteReference w:id="381"/>
      </w:r>
      <w:r w:rsidRPr="00EC250C">
        <w:rPr>
          <w:bCs/>
          <w:iCs/>
          <w:lang w:eastAsia="en-US"/>
        </w:rPr>
        <w:t xml:space="preserve"> uznawały za ważne zaczęte przed jej wejściem w życie etapy naboru do BOR, z drugiej strony ustawa zakładała, że minister spraw wewnętrznych określi – w drodze rozporządzenia – zasady postępowania kwalifikacyjnego. MSWiA nie zrobił tego jednak na czas, więc Rzecznik zwrócił się</w:t>
      </w:r>
      <w:r w:rsidRPr="00EC250C">
        <w:rPr>
          <w:bCs/>
          <w:iCs/>
          <w:vertAlign w:val="superscript"/>
          <w:lang w:eastAsia="en-US"/>
        </w:rPr>
        <w:footnoteReference w:id="382"/>
      </w:r>
      <w:r w:rsidRPr="00EC250C">
        <w:rPr>
          <w:bCs/>
          <w:iCs/>
          <w:lang w:eastAsia="en-US"/>
        </w:rPr>
        <w:t xml:space="preserve"> do Komendanta Służby Ochrony Państwa o wyjaśnienie, w oparciu o jakie przepisy prowadzony był stały nabór do SOP.</w:t>
      </w:r>
    </w:p>
    <w:p w14:paraId="4D98F7F0" w14:textId="77777777" w:rsidR="00B42164" w:rsidRPr="00EC250C" w:rsidRDefault="00B42164" w:rsidP="00D131FA">
      <w:pPr>
        <w:pStyle w:val="Styl1"/>
        <w:rPr>
          <w:bCs/>
          <w:iCs/>
          <w:lang w:eastAsia="en-US"/>
        </w:rPr>
      </w:pPr>
      <w:r w:rsidRPr="00EC250C">
        <w:rPr>
          <w:bCs/>
          <w:iCs/>
          <w:lang w:eastAsia="en-US"/>
        </w:rPr>
        <w:t>Komendant przyznał, że między 1 lutego, kiedy weszła w życie ustawa o SOP, a 24 marca 2018 r., kiedy pojawiło się rozporządzenie MSWiA, nie było właściwych podstaw prawnych do naboru. Zapewnił jednak, że w tym czasie żadne działania w zakresie naboru do SOP nie były podejmowane. Na stronie internetowej były co prawda umieszczone informacje o  naborze, ale tylko w charakterze informacyjnym.</w:t>
      </w:r>
    </w:p>
    <w:p w14:paraId="006C8BA8" w14:textId="77777777" w:rsidR="00CD70A9" w:rsidRPr="00EC250C" w:rsidRDefault="00CD70A9" w:rsidP="00EC79EB">
      <w:pPr>
        <w:pStyle w:val="Nagwek4"/>
      </w:pPr>
      <w:bookmarkStart w:id="373" w:name="_Toc11247684"/>
      <w:r w:rsidRPr="00EC250C">
        <w:t>Przenoszenie do Służby Więziennej funkcjonariuszy innych służb mundurowych z zachowaniem stopnia służbowego</w:t>
      </w:r>
      <w:bookmarkEnd w:id="373"/>
    </w:p>
    <w:p w14:paraId="5F365ADC" w14:textId="77777777" w:rsidR="00CD70A9" w:rsidRPr="00EC250C" w:rsidRDefault="00CD70A9" w:rsidP="00D131FA">
      <w:pPr>
        <w:pStyle w:val="Problemczowieka"/>
        <w:jc w:val="both"/>
        <w:rPr>
          <w:lang w:eastAsia="en-US"/>
        </w:rPr>
      </w:pPr>
      <w:r w:rsidRPr="00EC250C">
        <w:rPr>
          <w:lang w:eastAsia="en-US"/>
        </w:rPr>
        <w:t>RPO zwrócił się do Dyrektora Generalnego Służby Więziennej w sprawie żołnierza przeniesionego do Służby Więziennej bez zachowania stopnia służbowego, który wskazywał na możliwość zachowania stopnia przez strażaka lub celnika.</w:t>
      </w:r>
    </w:p>
    <w:p w14:paraId="434897EB" w14:textId="77777777" w:rsidR="00CD70A9" w:rsidRPr="00EC250C" w:rsidRDefault="00CD70A9" w:rsidP="00D131FA">
      <w:pPr>
        <w:pStyle w:val="Styl1"/>
        <w:rPr>
          <w:bCs/>
          <w:iCs/>
          <w:lang w:eastAsia="en-US"/>
        </w:rPr>
      </w:pPr>
      <w:r w:rsidRPr="00EC250C">
        <w:rPr>
          <w:bCs/>
          <w:iCs/>
          <w:lang w:eastAsia="en-US"/>
        </w:rPr>
        <w:t>Poprzednio obowiązująca ustawa o Służbie Więziennej w takiej sytuacji przewidywała możliwość zachowania stopnia. Dyrektor odpowiedział, że przepisy w ustawie o Służbie Więziennej zostały zmienione, bo nie ma podobnych przepisów ani w ustawie o Policji ani o Państwowej Straży Pożarnej. Służba Więzienna jest otwarta dla wszystkich kandydatów do służby, w tym funkcjonariuszy innych służb mundurowych i żołnierzy, jednak podstawową zasadą przy przenoszeniu funkcjonariuszy jest zrównanie wszystkich uprawnień funkcjonariuszy przenoszonych do służby z uprawnieniami funkcjonariuszy tej służby</w:t>
      </w:r>
      <w:r w:rsidRPr="00EC250C">
        <w:rPr>
          <w:vertAlign w:val="superscript"/>
          <w:lang w:eastAsia="en-US"/>
        </w:rPr>
        <w:footnoteReference w:id="383"/>
      </w:r>
      <w:r w:rsidRPr="00EC250C">
        <w:rPr>
          <w:bCs/>
          <w:iCs/>
          <w:lang w:eastAsia="en-US"/>
        </w:rPr>
        <w:t>.</w:t>
      </w:r>
    </w:p>
    <w:p w14:paraId="52F8EA30" w14:textId="77777777" w:rsidR="00C91F6E" w:rsidRPr="00EC250C" w:rsidRDefault="00187708" w:rsidP="00EC79EB">
      <w:pPr>
        <w:pStyle w:val="Nagwek4"/>
      </w:pPr>
      <w:bookmarkStart w:id="374" w:name="_Toc11247685"/>
      <w:r w:rsidRPr="00EC250C">
        <w:t>Procedura powoływania na stanowisko prokuratorskie</w:t>
      </w:r>
      <w:bookmarkEnd w:id="371"/>
      <w:bookmarkEnd w:id="374"/>
    </w:p>
    <w:p w14:paraId="323D08C8" w14:textId="77777777" w:rsidR="00B473F5" w:rsidRPr="00EC250C" w:rsidRDefault="00187708" w:rsidP="00D131FA">
      <w:pPr>
        <w:pStyle w:val="Problemczowieka"/>
        <w:jc w:val="both"/>
        <w:rPr>
          <w:rStyle w:val="Pogrubienie"/>
          <w:rFonts w:eastAsiaTheme="majorEastAsia"/>
          <w:b/>
          <w:bCs w:val="0"/>
        </w:rPr>
      </w:pPr>
      <w:r w:rsidRPr="00EC250C">
        <w:rPr>
          <w:rStyle w:val="Pogrubienie"/>
          <w:rFonts w:eastAsiaTheme="majorEastAsia"/>
          <w:b/>
          <w:bCs w:val="0"/>
        </w:rPr>
        <w:t>Prokurator Krajowy ma pełną dowolność przy powoływaniu na stanowisko</w:t>
      </w:r>
      <w:r w:rsidR="000D243D" w:rsidRPr="00EC250C">
        <w:rPr>
          <w:rStyle w:val="Pogrubienie"/>
          <w:rFonts w:eastAsiaTheme="majorEastAsia"/>
          <w:b/>
          <w:bCs w:val="0"/>
        </w:rPr>
        <w:t xml:space="preserve"> w prokuraturze</w:t>
      </w:r>
      <w:r w:rsidR="00026572" w:rsidRPr="00EC250C">
        <w:rPr>
          <w:rStyle w:val="Pogrubienie"/>
          <w:rFonts w:eastAsiaTheme="majorEastAsia"/>
          <w:b/>
          <w:bCs w:val="0"/>
        </w:rPr>
        <w:t xml:space="preserve"> – </w:t>
      </w:r>
      <w:r w:rsidRPr="00EC250C">
        <w:rPr>
          <w:rStyle w:val="Pogrubienie"/>
          <w:rFonts w:eastAsiaTheme="majorEastAsia"/>
          <w:b/>
          <w:bCs w:val="0"/>
        </w:rPr>
        <w:t>nie istnieje zaś procedura odwoławcza od niewystąpienia przez niego</w:t>
      </w:r>
      <w:r w:rsidR="00992FD0" w:rsidRPr="00EC250C">
        <w:rPr>
          <w:rStyle w:val="Pogrubienie"/>
          <w:rFonts w:eastAsiaTheme="majorEastAsia"/>
          <w:b/>
          <w:bCs w:val="0"/>
        </w:rPr>
        <w:t xml:space="preserve"> o </w:t>
      </w:r>
      <w:r w:rsidRPr="00EC250C">
        <w:rPr>
          <w:rStyle w:val="Pogrubienie"/>
          <w:rFonts w:eastAsiaTheme="majorEastAsia"/>
          <w:b/>
          <w:bCs w:val="0"/>
        </w:rPr>
        <w:t>takie powołanie</w:t>
      </w:r>
      <w:r w:rsidR="00B473F5" w:rsidRPr="00EC250C">
        <w:rPr>
          <w:rStyle w:val="Pogrubienie"/>
          <w:rFonts w:eastAsiaTheme="majorEastAsia"/>
          <w:b/>
          <w:bCs w:val="0"/>
        </w:rPr>
        <w:t>.</w:t>
      </w:r>
    </w:p>
    <w:p w14:paraId="6A86B639" w14:textId="77777777" w:rsidR="00187708" w:rsidRPr="00EC250C" w:rsidRDefault="00187708" w:rsidP="00D131FA">
      <w:pPr>
        <w:pStyle w:val="Styl1"/>
      </w:pPr>
      <w:r w:rsidRPr="00EC250C">
        <w:lastRenderedPageBreak/>
        <w:t xml:space="preserve">Do </w:t>
      </w:r>
      <w:r w:rsidR="00D20D4F" w:rsidRPr="00EC250C">
        <w:t>RPO</w:t>
      </w:r>
      <w:r w:rsidRPr="00EC250C">
        <w:t xml:space="preserve"> zgłosiła się osoba, która </w:t>
      </w:r>
      <w:r w:rsidR="00873B01" w:rsidRPr="00EC250C">
        <w:t>była jedyną kandydatką</w:t>
      </w:r>
      <w:r w:rsidRPr="00EC250C">
        <w:t xml:space="preserve"> na stanowisko prokuratora prokuratury rejonowej. Jej kwalifikacje pozytywnie ocenił wizytator prokuratury okręgowej. Została też pozytywnie zaopiniowana przez Kolegium Prokuratury Okręgowej.</w:t>
      </w:r>
    </w:p>
    <w:p w14:paraId="4D09932E" w14:textId="77777777" w:rsidR="00187708" w:rsidRPr="00EC250C" w:rsidRDefault="00187708" w:rsidP="00D131FA">
      <w:pPr>
        <w:pStyle w:val="Styl1"/>
        <w:rPr>
          <w:rFonts w:ascii="Open Sans Regular" w:hAnsi="Open Sans Regular"/>
          <w:color w:val="18223E"/>
          <w:sz w:val="21"/>
        </w:rPr>
      </w:pPr>
      <w:r w:rsidRPr="00EC250C">
        <w:t>Prokurator Krajowy nie skierował jednak wniosku do Prokuratora Generalnego</w:t>
      </w:r>
      <w:r w:rsidR="00992FD0" w:rsidRPr="00EC250C">
        <w:t xml:space="preserve"> o </w:t>
      </w:r>
      <w:r w:rsidRPr="00EC250C">
        <w:t>powołanie skarżącej na stanowisko. Decyzja nie zawierała jakiegokolwiek uzasadnienia.</w:t>
      </w:r>
    </w:p>
    <w:p w14:paraId="036029D3" w14:textId="77777777" w:rsidR="00C91F6E" w:rsidRPr="00EC250C" w:rsidRDefault="000D243D" w:rsidP="00D131FA">
      <w:pPr>
        <w:pStyle w:val="Styl1"/>
        <w:rPr>
          <w:bCs/>
          <w:iCs/>
        </w:rPr>
      </w:pPr>
      <w:r w:rsidRPr="00EC250C">
        <w:t>Rzecznik Praw Obywatelskich zwraca uwagę, że g</w:t>
      </w:r>
      <w:r w:rsidR="00187708" w:rsidRPr="00EC250C">
        <w:t>dyby przyjąć, że Prokurator Krajowy na mocy aktu dyskrecjonalnego</w:t>
      </w:r>
      <w:r w:rsidR="00992FD0" w:rsidRPr="00EC250C">
        <w:t xml:space="preserve"> i </w:t>
      </w:r>
      <w:r w:rsidR="00187708" w:rsidRPr="00EC250C">
        <w:t>nie podlegającego żadnej kontroli może pozbawić obywatela dostępu do służby publicznej, to należałoby uznać, że</w:t>
      </w:r>
      <w:r w:rsidR="00992FD0" w:rsidRPr="00EC250C">
        <w:t xml:space="preserve"> w </w:t>
      </w:r>
      <w:r w:rsidR="00187708" w:rsidRPr="00EC250C">
        <w:t>tym przypadku art. 60 Konstytucji RP jest wyłącznie pustą deklaracją</w:t>
      </w:r>
      <w:r w:rsidR="00187708" w:rsidRPr="00EC250C">
        <w:rPr>
          <w:bCs/>
          <w:iCs/>
        </w:rPr>
        <w:t>.</w:t>
      </w:r>
    </w:p>
    <w:p w14:paraId="1B313C87" w14:textId="77777777" w:rsidR="00C91F6E" w:rsidRPr="00EC250C" w:rsidRDefault="00187708" w:rsidP="00D131FA">
      <w:pPr>
        <w:pStyle w:val="Styl1"/>
        <w:rPr>
          <w:bCs/>
          <w:iCs/>
        </w:rPr>
      </w:pPr>
      <w:r w:rsidRPr="00EC250C">
        <w:rPr>
          <w:bCs/>
          <w:iCs/>
        </w:rPr>
        <w:t>W odpowiedzi Prokurator Generalny wyjaśnił, że dla prawidłowego kierowania jednolitą</w:t>
      </w:r>
      <w:r w:rsidR="00992FD0" w:rsidRPr="00EC250C">
        <w:rPr>
          <w:bCs/>
          <w:iCs/>
        </w:rPr>
        <w:t xml:space="preserve"> i </w:t>
      </w:r>
      <w:r w:rsidRPr="00EC250C">
        <w:rPr>
          <w:bCs/>
          <w:iCs/>
        </w:rPr>
        <w:t>zhierarchizowaną strukturą prokuratury wymagane jest posiadanie przez Prokuratora Krajowego minimum swobody decyzyjnej. Gdyby Prokurator Krajowy nie mógł nie uwzględnić wniosku prokuratora okręgowego</w:t>
      </w:r>
      <w:r w:rsidR="00992FD0" w:rsidRPr="00EC250C">
        <w:rPr>
          <w:bCs/>
          <w:iCs/>
        </w:rPr>
        <w:t xml:space="preserve"> o </w:t>
      </w:r>
      <w:r w:rsidRPr="00EC250C">
        <w:rPr>
          <w:bCs/>
          <w:iCs/>
        </w:rPr>
        <w:t>powołanie kandydata, który spełnia wymogi formalne</w:t>
      </w:r>
      <w:r w:rsidR="00992FD0" w:rsidRPr="00EC250C">
        <w:rPr>
          <w:bCs/>
          <w:iCs/>
        </w:rPr>
        <w:t xml:space="preserve"> i </w:t>
      </w:r>
      <w:r w:rsidRPr="00EC250C">
        <w:rPr>
          <w:bCs/>
          <w:iCs/>
        </w:rPr>
        <w:t>merytorycznych, staw</w:t>
      </w:r>
      <w:r w:rsidR="00873B01" w:rsidRPr="00EC250C">
        <w:rPr>
          <w:bCs/>
          <w:iCs/>
        </w:rPr>
        <w:t>i</w:t>
      </w:r>
      <w:r w:rsidRPr="00EC250C">
        <w:rPr>
          <w:bCs/>
          <w:iCs/>
        </w:rPr>
        <w:t>ałby się</w:t>
      </w:r>
      <w:r w:rsidR="00992FD0" w:rsidRPr="00EC250C">
        <w:rPr>
          <w:bCs/>
          <w:iCs/>
        </w:rPr>
        <w:t xml:space="preserve"> w </w:t>
      </w:r>
      <w:r w:rsidRPr="00EC250C">
        <w:rPr>
          <w:bCs/>
          <w:iCs/>
        </w:rPr>
        <w:t>pozycji podległej stanowisku niższego rzędu</w:t>
      </w:r>
      <w:r w:rsidR="00F14E5F" w:rsidRPr="00EC250C">
        <w:rPr>
          <w:bCs/>
          <w:iCs/>
        </w:rPr>
        <w:t>. Rzecznik przyjął te wyjaśnienia do wiadomości</w:t>
      </w:r>
      <w:r w:rsidR="002A3909" w:rsidRPr="00EC250C">
        <w:rPr>
          <w:rStyle w:val="Odwoanieprzypisudolnego"/>
          <w:bCs/>
          <w:iCs/>
        </w:rPr>
        <w:footnoteReference w:id="384"/>
      </w:r>
      <w:r w:rsidRPr="00EC250C">
        <w:rPr>
          <w:bCs/>
          <w:iCs/>
        </w:rPr>
        <w:t>.</w:t>
      </w:r>
    </w:p>
    <w:p w14:paraId="4AEBB559" w14:textId="77777777" w:rsidR="00C91F6E" w:rsidRPr="00EC250C" w:rsidRDefault="00187708" w:rsidP="00EC79EB">
      <w:pPr>
        <w:pStyle w:val="Nagwek4"/>
      </w:pPr>
      <w:bookmarkStart w:id="375" w:name="_Toc11247686"/>
      <w:bookmarkStart w:id="376" w:name="_Toc6257808"/>
      <w:r w:rsidRPr="00EC250C">
        <w:t>Możliwość sprzeciwu Ministra Sprawiedliwości wobec kandydat</w:t>
      </w:r>
      <w:r w:rsidR="009E2A21" w:rsidRPr="00EC250C">
        <w:t>ur</w:t>
      </w:r>
      <w:r w:rsidRPr="00EC250C">
        <w:t xml:space="preserve"> na wykładowców Krajowej Szkoły Sądownictwa</w:t>
      </w:r>
      <w:bookmarkEnd w:id="375"/>
      <w:r w:rsidR="00992FD0" w:rsidRPr="00EC250C">
        <w:t xml:space="preserve"> </w:t>
      </w:r>
      <w:bookmarkEnd w:id="376"/>
    </w:p>
    <w:p w14:paraId="4F98FAE9" w14:textId="77777777" w:rsidR="00B473F5" w:rsidRPr="00EC250C" w:rsidRDefault="00187708" w:rsidP="00D131FA">
      <w:pPr>
        <w:pStyle w:val="Problemczowieka"/>
        <w:jc w:val="both"/>
        <w:rPr>
          <w:bdr w:val="none" w:sz="0" w:space="0" w:color="auto" w:frame="1"/>
        </w:rPr>
      </w:pPr>
      <w:r w:rsidRPr="00EC250C">
        <w:rPr>
          <w:bdr w:val="none" w:sz="0" w:space="0" w:color="auto" w:frame="1"/>
        </w:rPr>
        <w:t>Sędzia, prokurator czy naukowiec może nie zostać wykładowcą Krajowej Szkoły Sądownictwa</w:t>
      </w:r>
      <w:r w:rsidR="00992FD0" w:rsidRPr="00EC250C">
        <w:rPr>
          <w:bdr w:val="none" w:sz="0" w:space="0" w:color="auto" w:frame="1"/>
        </w:rPr>
        <w:t xml:space="preserve"> i </w:t>
      </w:r>
      <w:r w:rsidRPr="00EC250C">
        <w:rPr>
          <w:bdr w:val="none" w:sz="0" w:space="0" w:color="auto" w:frame="1"/>
        </w:rPr>
        <w:t>Prokuratury mimo spełnienia wszystkich merytorycznych kryteriów – wystarczy, że sprzeciwi się jego kandydaturze Minister Sprawiedliwości</w:t>
      </w:r>
      <w:r w:rsidR="00B473F5" w:rsidRPr="00EC250C">
        <w:rPr>
          <w:bdr w:val="none" w:sz="0" w:space="0" w:color="auto" w:frame="1"/>
        </w:rPr>
        <w:t>.</w:t>
      </w:r>
    </w:p>
    <w:p w14:paraId="3ADEA5D8" w14:textId="77777777" w:rsidR="00187708" w:rsidRPr="00EC250C" w:rsidRDefault="00187708" w:rsidP="00D131FA">
      <w:pPr>
        <w:pStyle w:val="Styl1"/>
      </w:pPr>
      <w:r w:rsidRPr="00EC250C">
        <w:t>Zgodnie</w:t>
      </w:r>
      <w:r w:rsidR="00992FD0" w:rsidRPr="00EC250C">
        <w:t xml:space="preserve"> z </w:t>
      </w:r>
      <w:r w:rsidRPr="00EC250C">
        <w:t>ustawą</w:t>
      </w:r>
      <w:r w:rsidR="00992FD0" w:rsidRPr="00EC250C">
        <w:t xml:space="preserve"> z </w:t>
      </w:r>
      <w:r w:rsidRPr="00EC250C">
        <w:t>23 stycznia 2009</w:t>
      </w:r>
      <w:r w:rsidR="00C91F6E" w:rsidRPr="00EC250C">
        <w:t> r.</w:t>
      </w:r>
      <w:r w:rsidR="00992FD0" w:rsidRPr="00EC250C">
        <w:t xml:space="preserve"> o </w:t>
      </w:r>
      <w:r w:rsidRPr="00EC250C">
        <w:t>Krajowej Szkole Sądownictwa</w:t>
      </w:r>
      <w:r w:rsidR="00992FD0" w:rsidRPr="00EC250C">
        <w:t xml:space="preserve"> i </w:t>
      </w:r>
      <w:r w:rsidRPr="00EC250C">
        <w:t>Prokuratury</w:t>
      </w:r>
      <w:r w:rsidRPr="00EC250C">
        <w:rPr>
          <w:rStyle w:val="Odwoanieprzypisudolnego"/>
          <w:bCs/>
          <w:iCs/>
        </w:rPr>
        <w:footnoteReference w:id="385"/>
      </w:r>
      <w:r w:rsidRPr="00EC250C">
        <w:t>, Minister Sprawiedliwości może zgłosić sprzeciw wobec kandydatów na wykładowców szkoły</w:t>
      </w:r>
      <w:r w:rsidR="00992FD0" w:rsidRPr="00EC250C">
        <w:t xml:space="preserve"> w </w:t>
      </w:r>
      <w:r w:rsidRPr="00EC250C">
        <w:t>terminie 21 dni od przedstawienia mu kandydatów. Sprzeciw jest wiążący. Nie jest przewidziana żadna procedura odwoławcz</w:t>
      </w:r>
      <w:r w:rsidR="00873B01" w:rsidRPr="00EC250C">
        <w:t>a</w:t>
      </w:r>
      <w:r w:rsidRPr="00EC250C">
        <w:t>.</w:t>
      </w:r>
    </w:p>
    <w:p w14:paraId="0A8D2A36" w14:textId="77777777" w:rsidR="00187708" w:rsidRPr="00EC250C" w:rsidRDefault="00D20D4F" w:rsidP="00D131FA">
      <w:pPr>
        <w:pStyle w:val="Styl1"/>
      </w:pPr>
      <w:r w:rsidRPr="00EC250C">
        <w:rPr>
          <w:bdr w:val="none" w:sz="0" w:space="0" w:color="auto" w:frame="1"/>
        </w:rPr>
        <w:t>RPO</w:t>
      </w:r>
      <w:r w:rsidR="00187708" w:rsidRPr="00EC250C">
        <w:rPr>
          <w:bdr w:val="none" w:sz="0" w:space="0" w:color="auto" w:frame="1"/>
        </w:rPr>
        <w:t xml:space="preserve"> uznaje to za arbitralne ograniczenie konstytucyjnego prawa równego dostępu do służby publicznej</w:t>
      </w:r>
      <w:r w:rsidR="00992FD0" w:rsidRPr="00EC250C">
        <w:rPr>
          <w:bdr w:val="none" w:sz="0" w:space="0" w:color="auto" w:frame="1"/>
        </w:rPr>
        <w:t xml:space="preserve"> i </w:t>
      </w:r>
      <w:r w:rsidR="00187708" w:rsidRPr="00EC250C">
        <w:rPr>
          <w:bdr w:val="none" w:sz="0" w:space="0" w:color="auto" w:frame="1"/>
        </w:rPr>
        <w:t xml:space="preserve">do informacji oraz za naruszenie transparentności działania władz. </w:t>
      </w:r>
      <w:r w:rsidR="00187708" w:rsidRPr="00EC250C">
        <w:t>Prowadzi to też do nadmiernego wpływu władzy wykonawczej na proces obsady kadry wykładowców szkoły, która odpowiada za właściwe przygotowanie do wykonywania zawodu sędziego.</w:t>
      </w:r>
    </w:p>
    <w:p w14:paraId="64990BD1" w14:textId="77777777" w:rsidR="00187708" w:rsidRPr="00EC250C" w:rsidRDefault="00187708" w:rsidP="00D131FA">
      <w:pPr>
        <w:pStyle w:val="Styl1"/>
        <w:rPr>
          <w:bCs/>
          <w:iCs/>
        </w:rPr>
      </w:pPr>
      <w:r w:rsidRPr="00EC250C">
        <w:rPr>
          <w:bCs/>
          <w:iCs/>
        </w:rPr>
        <w:t xml:space="preserve">Minister podzielił opinię </w:t>
      </w:r>
      <w:r w:rsidR="00D20D4F" w:rsidRPr="00EC250C">
        <w:rPr>
          <w:bCs/>
          <w:iCs/>
        </w:rPr>
        <w:t>RPO</w:t>
      </w:r>
      <w:r w:rsidRPr="00EC250C">
        <w:rPr>
          <w:bCs/>
          <w:iCs/>
        </w:rPr>
        <w:t xml:space="preserve">, iż „zgłoszenie sprzeciwu przez Ministra Sprawiedliwości wobec kandydatów na wykładowców faktycznie ma charakter personalny (...)” oraz „sprzeciw </w:t>
      </w:r>
      <w:r w:rsidRPr="00EC250C">
        <w:rPr>
          <w:bCs/>
          <w:iCs/>
        </w:rPr>
        <w:lastRenderedPageBreak/>
        <w:t>Ministra Sprawiedliwości wobec kandydata rzeczywiście ma charakter aktu dyskrecjonalnego”. Ale nie widzi powodu do zmiany prawa</w:t>
      </w:r>
      <w:r w:rsidR="002A3909" w:rsidRPr="00EC250C">
        <w:rPr>
          <w:rStyle w:val="Odwoanieprzypisudolnego"/>
          <w:bCs/>
          <w:iCs/>
        </w:rPr>
        <w:footnoteReference w:id="386"/>
      </w:r>
      <w:r w:rsidR="001F7BD5" w:rsidRPr="00EC250C">
        <w:rPr>
          <w:bCs/>
          <w:iCs/>
        </w:rPr>
        <w:t>.</w:t>
      </w:r>
    </w:p>
    <w:p w14:paraId="5E674596" w14:textId="77777777" w:rsidR="00C91F6E" w:rsidRPr="00EC250C" w:rsidRDefault="00187708" w:rsidP="00D131FA">
      <w:pPr>
        <w:pStyle w:val="Styl1"/>
        <w:rPr>
          <w:bCs/>
          <w:iCs/>
        </w:rPr>
      </w:pPr>
      <w:r w:rsidRPr="00EC250C">
        <w:rPr>
          <w:bCs/>
          <w:iCs/>
        </w:rPr>
        <w:t>Dlatego</w:t>
      </w:r>
      <w:r w:rsidR="00992FD0" w:rsidRPr="00EC250C">
        <w:rPr>
          <w:bCs/>
          <w:iCs/>
        </w:rPr>
        <w:t xml:space="preserve"> w </w:t>
      </w:r>
      <w:r w:rsidRPr="00EC250C">
        <w:rPr>
          <w:bCs/>
          <w:iCs/>
        </w:rPr>
        <w:t xml:space="preserve">kolejnym wystąpieniu do Ministra Sprawiedliwości </w:t>
      </w:r>
      <w:r w:rsidR="00D20D4F" w:rsidRPr="00EC250C">
        <w:rPr>
          <w:bCs/>
          <w:iCs/>
        </w:rPr>
        <w:t>RPO</w:t>
      </w:r>
      <w:r w:rsidRPr="00EC250C">
        <w:rPr>
          <w:bCs/>
          <w:iCs/>
        </w:rPr>
        <w:t xml:space="preserve"> zwrócił uwagę, że brak obowiązku uzasadnienia przez Ministra sprzeciwu uniemożliwia poznanie </w:t>
      </w:r>
      <w:r w:rsidR="00BF3E70" w:rsidRPr="00EC250C">
        <w:rPr>
          <w:bCs/>
          <w:iCs/>
        </w:rPr>
        <w:t xml:space="preserve">jego </w:t>
      </w:r>
      <w:r w:rsidRPr="00EC250C">
        <w:rPr>
          <w:bCs/>
          <w:iCs/>
        </w:rPr>
        <w:t xml:space="preserve">motywów. Minister </w:t>
      </w:r>
      <w:r w:rsidR="00BF3E70" w:rsidRPr="00EC250C">
        <w:rPr>
          <w:bCs/>
          <w:iCs/>
        </w:rPr>
        <w:t>odpowiedział</w:t>
      </w:r>
      <w:r w:rsidRPr="00EC250C">
        <w:rPr>
          <w:bCs/>
          <w:iCs/>
        </w:rPr>
        <w:t>, że</w:t>
      </w:r>
      <w:r w:rsidR="00992FD0" w:rsidRPr="00EC250C">
        <w:rPr>
          <w:bCs/>
          <w:iCs/>
        </w:rPr>
        <w:t xml:space="preserve"> w </w:t>
      </w:r>
      <w:r w:rsidR="008C23FE" w:rsidRPr="00EC250C">
        <w:rPr>
          <w:bCs/>
          <w:iCs/>
        </w:rPr>
        <w:t xml:space="preserve">jego rozumieniu </w:t>
      </w:r>
      <w:r w:rsidRPr="00EC250C">
        <w:rPr>
          <w:bCs/>
          <w:iCs/>
        </w:rPr>
        <w:t>personalny charakter sprzeciwu wobec kandydatów na wykładowców KSSiP</w:t>
      </w:r>
      <w:r w:rsidR="008C23FE" w:rsidRPr="00EC250C">
        <w:rPr>
          <w:bCs/>
          <w:iCs/>
        </w:rPr>
        <w:t xml:space="preserve"> nie jest niezgodny</w:t>
      </w:r>
      <w:r w:rsidR="00992FD0" w:rsidRPr="00EC250C">
        <w:rPr>
          <w:bCs/>
          <w:iCs/>
        </w:rPr>
        <w:t xml:space="preserve"> z </w:t>
      </w:r>
      <w:r w:rsidRPr="00EC250C">
        <w:rPr>
          <w:bCs/>
          <w:iCs/>
        </w:rPr>
        <w:t>Konstytucją</w:t>
      </w:r>
      <w:r w:rsidR="002A3909" w:rsidRPr="00EC250C">
        <w:rPr>
          <w:rStyle w:val="Odwoanieprzypisudolnego"/>
          <w:bCs/>
          <w:iCs/>
        </w:rPr>
        <w:footnoteReference w:id="387"/>
      </w:r>
      <w:r w:rsidRPr="00EC250C">
        <w:rPr>
          <w:bCs/>
          <w:iCs/>
        </w:rPr>
        <w:t>.</w:t>
      </w:r>
    </w:p>
    <w:p w14:paraId="3AE58494" w14:textId="77777777" w:rsidR="00C91F6E" w:rsidRPr="00EC250C" w:rsidRDefault="00187708" w:rsidP="00EC250C">
      <w:pPr>
        <w:pStyle w:val="Nagwek8"/>
      </w:pPr>
      <w:bookmarkStart w:id="377" w:name="_Toc6257809"/>
      <w:r w:rsidRPr="00EC250C">
        <w:t>Zmiana trybu przeprowadzania konkursów na stanowisko sędziego</w:t>
      </w:r>
      <w:bookmarkEnd w:id="377"/>
    </w:p>
    <w:p w14:paraId="121BE9A0" w14:textId="77777777" w:rsidR="00187708" w:rsidRPr="00EC250C" w:rsidRDefault="00187708" w:rsidP="00D131FA">
      <w:pPr>
        <w:pStyle w:val="Styl2"/>
        <w:rPr>
          <w:szCs w:val="24"/>
        </w:rPr>
      </w:pPr>
      <w:r w:rsidRPr="00EC250C">
        <w:rPr>
          <w:szCs w:val="24"/>
        </w:rPr>
        <w:t>70 osób, które skończyły Krajową Szkołę Sądownictwa</w:t>
      </w:r>
      <w:r w:rsidR="00992FD0" w:rsidRPr="00EC250C">
        <w:rPr>
          <w:szCs w:val="24"/>
        </w:rPr>
        <w:t xml:space="preserve"> i </w:t>
      </w:r>
      <w:r w:rsidRPr="00EC250C">
        <w:rPr>
          <w:szCs w:val="24"/>
        </w:rPr>
        <w:t>Prokuratury przed zmianą przepisów</w:t>
      </w:r>
      <w:r w:rsidR="00F14E5F" w:rsidRPr="00EC250C">
        <w:rPr>
          <w:rStyle w:val="Odwoanieprzypisudolnego"/>
          <w:szCs w:val="24"/>
        </w:rPr>
        <w:footnoteReference w:id="388"/>
      </w:r>
      <w:r w:rsidRPr="00EC250C">
        <w:rPr>
          <w:szCs w:val="24"/>
        </w:rPr>
        <w:t xml:space="preserve">, ma teraz tylko pięć lat na to, by zostać sędzią. </w:t>
      </w:r>
      <w:r w:rsidR="008C23FE" w:rsidRPr="00EC250C">
        <w:rPr>
          <w:szCs w:val="24"/>
        </w:rPr>
        <w:t xml:space="preserve">Po upływie tego czasu </w:t>
      </w:r>
      <w:r w:rsidRPr="00EC250C">
        <w:rPr>
          <w:szCs w:val="24"/>
        </w:rPr>
        <w:t>zdobyte uprawnienia tracą moc.</w:t>
      </w:r>
      <w:r w:rsidR="00BF3E70" w:rsidRPr="00EC250C">
        <w:rPr>
          <w:szCs w:val="24"/>
        </w:rPr>
        <w:t xml:space="preserve"> </w:t>
      </w:r>
      <w:r w:rsidRPr="00EC250C">
        <w:rPr>
          <w:rFonts w:eastAsiaTheme="majorEastAsia"/>
          <w:szCs w:val="24"/>
        </w:rPr>
        <w:t>Ich sytuację pogorszyła nowelizacja ustawy</w:t>
      </w:r>
      <w:r w:rsidR="00992FD0" w:rsidRPr="00EC250C">
        <w:rPr>
          <w:rFonts w:eastAsiaTheme="majorEastAsia"/>
          <w:szCs w:val="24"/>
        </w:rPr>
        <w:t xml:space="preserve"> o </w:t>
      </w:r>
      <w:r w:rsidRPr="00EC250C">
        <w:rPr>
          <w:rFonts w:eastAsiaTheme="majorEastAsia"/>
          <w:szCs w:val="24"/>
        </w:rPr>
        <w:t>KSSiP</w:t>
      </w:r>
      <w:r w:rsidR="00992FD0" w:rsidRPr="00EC250C">
        <w:rPr>
          <w:rFonts w:eastAsiaTheme="majorEastAsia"/>
          <w:szCs w:val="24"/>
        </w:rPr>
        <w:t xml:space="preserve"> z </w:t>
      </w:r>
      <w:r w:rsidRPr="00EC250C">
        <w:rPr>
          <w:rFonts w:eastAsiaTheme="majorEastAsia"/>
          <w:szCs w:val="24"/>
        </w:rPr>
        <w:t>2017</w:t>
      </w:r>
      <w:r w:rsidR="00C91F6E" w:rsidRPr="00EC250C">
        <w:rPr>
          <w:rFonts w:eastAsiaTheme="majorEastAsia"/>
          <w:szCs w:val="24"/>
        </w:rPr>
        <w:t> r.</w:t>
      </w:r>
      <w:r w:rsidRPr="00EC250C">
        <w:rPr>
          <w:rFonts w:eastAsiaTheme="majorEastAsia"/>
          <w:szCs w:val="24"/>
        </w:rPr>
        <w:t>, która ograniczyła możliwość ubiegania się</w:t>
      </w:r>
      <w:r w:rsidR="00992FD0" w:rsidRPr="00EC250C">
        <w:rPr>
          <w:rFonts w:eastAsiaTheme="majorEastAsia"/>
          <w:szCs w:val="24"/>
        </w:rPr>
        <w:t xml:space="preserve"> o </w:t>
      </w:r>
      <w:r w:rsidRPr="00EC250C">
        <w:rPr>
          <w:rFonts w:eastAsiaTheme="majorEastAsia"/>
          <w:szCs w:val="24"/>
        </w:rPr>
        <w:t>urząd sędziego do pięciu lat od jej wejścia</w:t>
      </w:r>
      <w:r w:rsidR="00992FD0" w:rsidRPr="00EC250C">
        <w:rPr>
          <w:rFonts w:eastAsiaTheme="majorEastAsia"/>
          <w:szCs w:val="24"/>
        </w:rPr>
        <w:t xml:space="preserve"> w </w:t>
      </w:r>
      <w:r w:rsidRPr="00EC250C">
        <w:rPr>
          <w:rFonts w:eastAsiaTheme="majorEastAsia"/>
          <w:szCs w:val="24"/>
        </w:rPr>
        <w:t>życie. Według RPO narusza to zasady zaufania do państwa</w:t>
      </w:r>
      <w:r w:rsidR="00992FD0" w:rsidRPr="00EC250C">
        <w:rPr>
          <w:rFonts w:eastAsiaTheme="majorEastAsia"/>
          <w:szCs w:val="24"/>
        </w:rPr>
        <w:t xml:space="preserve"> i </w:t>
      </w:r>
      <w:r w:rsidRPr="00EC250C">
        <w:rPr>
          <w:rFonts w:eastAsiaTheme="majorEastAsia"/>
          <w:szCs w:val="24"/>
        </w:rPr>
        <w:t>stanowionego przezeń prawa wobec wysoko wykwalifikowanych osób, które chcą podjąć służbę</w:t>
      </w:r>
      <w:r w:rsidR="00992FD0" w:rsidRPr="00EC250C">
        <w:rPr>
          <w:rFonts w:eastAsiaTheme="majorEastAsia"/>
          <w:szCs w:val="24"/>
        </w:rPr>
        <w:t xml:space="preserve"> w </w:t>
      </w:r>
      <w:r w:rsidRPr="00EC250C">
        <w:rPr>
          <w:rFonts w:eastAsiaTheme="majorEastAsia"/>
          <w:szCs w:val="24"/>
        </w:rPr>
        <w:t>sądownictwie.</w:t>
      </w:r>
    </w:p>
    <w:p w14:paraId="53DE5A05" w14:textId="77777777" w:rsidR="00187708" w:rsidRPr="00EC250C" w:rsidRDefault="00187708" w:rsidP="00D131FA">
      <w:pPr>
        <w:pStyle w:val="Styl2"/>
        <w:rPr>
          <w:szCs w:val="24"/>
        </w:rPr>
      </w:pPr>
      <w:r w:rsidRPr="00EC250C">
        <w:rPr>
          <w:szCs w:val="24"/>
        </w:rPr>
        <w:t>Osoby te, jeśli nie dokonały wyboru stanowiska asesora sądowego, mogą ubiegać się</w:t>
      </w:r>
      <w:r w:rsidR="00992FD0" w:rsidRPr="00EC250C">
        <w:rPr>
          <w:szCs w:val="24"/>
        </w:rPr>
        <w:t xml:space="preserve"> o </w:t>
      </w:r>
      <w:r w:rsidRPr="00EC250C">
        <w:rPr>
          <w:szCs w:val="24"/>
        </w:rPr>
        <w:t>wolne stanowiska sędziowskie na zasadach sprzed nowelizacji (czyli</w:t>
      </w:r>
      <w:r w:rsidR="00992FD0" w:rsidRPr="00EC250C">
        <w:rPr>
          <w:szCs w:val="24"/>
        </w:rPr>
        <w:t xml:space="preserve"> w </w:t>
      </w:r>
      <w:r w:rsidRPr="00EC250C">
        <w:rPr>
          <w:szCs w:val="24"/>
        </w:rPr>
        <w:t>trybie konkursowym)</w:t>
      </w:r>
      <w:r w:rsidR="00992FD0" w:rsidRPr="00EC250C">
        <w:rPr>
          <w:szCs w:val="24"/>
        </w:rPr>
        <w:t xml:space="preserve"> w </w:t>
      </w:r>
      <w:r w:rsidRPr="00EC250C">
        <w:rPr>
          <w:szCs w:val="24"/>
        </w:rPr>
        <w:t>ciągu 5 lat</w:t>
      </w:r>
      <w:r w:rsidRPr="00EC250C">
        <w:rPr>
          <w:rStyle w:val="Odwoanieprzypisudolnego"/>
          <w:bCs w:val="0"/>
          <w:iCs w:val="0"/>
          <w:szCs w:val="24"/>
        </w:rPr>
        <w:footnoteReference w:id="389"/>
      </w:r>
      <w:r w:rsidRPr="00EC250C">
        <w:rPr>
          <w:szCs w:val="24"/>
        </w:rPr>
        <w:t>.</w:t>
      </w:r>
      <w:r w:rsidR="00BF3E70" w:rsidRPr="00EC250C">
        <w:rPr>
          <w:szCs w:val="24"/>
        </w:rPr>
        <w:t xml:space="preserve"> </w:t>
      </w:r>
      <w:r w:rsidRPr="00EC250C">
        <w:rPr>
          <w:szCs w:val="24"/>
        </w:rPr>
        <w:t xml:space="preserve">W ocenie </w:t>
      </w:r>
      <w:r w:rsidR="00D20D4F" w:rsidRPr="00EC250C">
        <w:rPr>
          <w:szCs w:val="24"/>
        </w:rPr>
        <w:t>RPO</w:t>
      </w:r>
      <w:r w:rsidRPr="00EC250C">
        <w:rPr>
          <w:szCs w:val="24"/>
        </w:rPr>
        <w:t xml:space="preserve"> nowelizacja</w:t>
      </w:r>
      <w:r w:rsidR="00992FD0" w:rsidRPr="00EC250C">
        <w:rPr>
          <w:szCs w:val="24"/>
        </w:rPr>
        <w:t xml:space="preserve"> z </w:t>
      </w:r>
      <w:r w:rsidRPr="00EC250C">
        <w:rPr>
          <w:szCs w:val="24"/>
        </w:rPr>
        <w:t>2017</w:t>
      </w:r>
      <w:r w:rsidR="00C91F6E" w:rsidRPr="00EC250C">
        <w:rPr>
          <w:szCs w:val="24"/>
        </w:rPr>
        <w:t> r.</w:t>
      </w:r>
      <w:r w:rsidRPr="00EC250C">
        <w:rPr>
          <w:szCs w:val="24"/>
        </w:rPr>
        <w:t xml:space="preserve"> doprowadziła do tego, że egzamin sędziowski tej grupy zawodowej okazał się egzaminem</w:t>
      </w:r>
      <w:r w:rsidR="00992FD0" w:rsidRPr="00EC250C">
        <w:rPr>
          <w:szCs w:val="24"/>
        </w:rPr>
        <w:t xml:space="preserve"> z </w:t>
      </w:r>
      <w:r w:rsidRPr="00EC250C">
        <w:rPr>
          <w:szCs w:val="24"/>
        </w:rPr>
        <w:t>„określonym czasowo terminem ważności”,</w:t>
      </w:r>
      <w:r w:rsidR="00992FD0" w:rsidRPr="00EC250C">
        <w:rPr>
          <w:szCs w:val="24"/>
        </w:rPr>
        <w:t xml:space="preserve"> a </w:t>
      </w:r>
      <w:r w:rsidRPr="00EC250C">
        <w:rPr>
          <w:szCs w:val="24"/>
        </w:rPr>
        <w:t>zdobyte przez nich doświadczenie na stanowisku referendarza sądowego</w:t>
      </w:r>
      <w:r w:rsidR="00026572" w:rsidRPr="00EC250C">
        <w:rPr>
          <w:szCs w:val="24"/>
        </w:rPr>
        <w:t xml:space="preserve"> – </w:t>
      </w:r>
      <w:r w:rsidRPr="00EC250C">
        <w:rPr>
          <w:szCs w:val="24"/>
        </w:rPr>
        <w:t>niepotrzebne. Skutkiem 5-letniego ograniczenia jest to, że zdany egzamin sędziowski</w:t>
      </w:r>
      <w:r w:rsidR="00992FD0" w:rsidRPr="00EC250C">
        <w:rPr>
          <w:szCs w:val="24"/>
        </w:rPr>
        <w:t xml:space="preserve"> i </w:t>
      </w:r>
      <w:r w:rsidRPr="00EC250C">
        <w:rPr>
          <w:szCs w:val="24"/>
        </w:rPr>
        <w:t>odbyty staż referendarski tracą</w:t>
      </w:r>
      <w:r w:rsidR="00992FD0" w:rsidRPr="00EC250C">
        <w:rPr>
          <w:szCs w:val="24"/>
        </w:rPr>
        <w:t xml:space="preserve"> w </w:t>
      </w:r>
      <w:r w:rsidRPr="00EC250C">
        <w:rPr>
          <w:szCs w:val="24"/>
        </w:rPr>
        <w:t>praktyce moc.</w:t>
      </w:r>
      <w:r w:rsidR="00BF3E70" w:rsidRPr="00EC250C">
        <w:rPr>
          <w:szCs w:val="24"/>
        </w:rPr>
        <w:t xml:space="preserve"> </w:t>
      </w:r>
      <w:r w:rsidRPr="00EC250C">
        <w:rPr>
          <w:szCs w:val="24"/>
        </w:rPr>
        <w:t>Bardzo podobny problem występuje</w:t>
      </w:r>
      <w:r w:rsidR="00992FD0" w:rsidRPr="00EC250C">
        <w:rPr>
          <w:szCs w:val="24"/>
        </w:rPr>
        <w:t xml:space="preserve"> w </w:t>
      </w:r>
      <w:r w:rsidRPr="00EC250C">
        <w:rPr>
          <w:szCs w:val="24"/>
        </w:rPr>
        <w:t>odniesieniu do dostępu do stanowisk asesorskich</w:t>
      </w:r>
      <w:r w:rsidR="00992FD0" w:rsidRPr="00EC250C">
        <w:rPr>
          <w:szCs w:val="24"/>
        </w:rPr>
        <w:t xml:space="preserve"> i </w:t>
      </w:r>
      <w:r w:rsidRPr="00EC250C">
        <w:rPr>
          <w:szCs w:val="24"/>
        </w:rPr>
        <w:t xml:space="preserve">sędziowskich przez osoby, które ukończyły aplikację sądową prowadzoną przy sądach apelacyjnych przed utworzeniem KSSiP (tzw. „starą aplikacją sądową”). W ocenie </w:t>
      </w:r>
      <w:r w:rsidR="00D20D4F" w:rsidRPr="00EC250C">
        <w:rPr>
          <w:szCs w:val="24"/>
        </w:rPr>
        <w:t>RPO</w:t>
      </w:r>
      <w:r w:rsidRPr="00EC250C">
        <w:rPr>
          <w:szCs w:val="24"/>
        </w:rPr>
        <w:t xml:space="preserve"> pierwszeństwo do nominacji sędziowskiej dla absolwentów KSSiP nie może uzasadniać ograniczenia naboru do zawodu m.in. absolwentom „starej aplikacji”.</w:t>
      </w:r>
    </w:p>
    <w:p w14:paraId="143042D1" w14:textId="77777777" w:rsidR="00F14E5F" w:rsidRPr="00EC250C" w:rsidRDefault="00187708" w:rsidP="00D131FA">
      <w:pPr>
        <w:pStyle w:val="Styl2"/>
        <w:rPr>
          <w:szCs w:val="24"/>
        </w:rPr>
      </w:pPr>
      <w:r w:rsidRPr="00EC250C">
        <w:rPr>
          <w:szCs w:val="24"/>
        </w:rPr>
        <w:t>Zdaniem RPO pięć lat to za mało, by absolwenci aplikacji sędziowskiej</w:t>
      </w:r>
      <w:r w:rsidR="00992FD0" w:rsidRPr="00EC250C">
        <w:rPr>
          <w:szCs w:val="24"/>
        </w:rPr>
        <w:t xml:space="preserve"> w </w:t>
      </w:r>
      <w:r w:rsidRPr="00EC250C">
        <w:rPr>
          <w:szCs w:val="24"/>
        </w:rPr>
        <w:t>KSSiP, zainteresowani powołaniem na urząd sędziego, zrealizowali swoje aspiracje zawodowe. Ustawa nie bierze też pod uwagę sytuacji młodych rodziców na urlopach rodzicielskich, macierzyńskich czy wychowawczych.</w:t>
      </w:r>
      <w:r w:rsidR="00BF3E70" w:rsidRPr="00EC250C">
        <w:rPr>
          <w:szCs w:val="24"/>
        </w:rPr>
        <w:t xml:space="preserve"> </w:t>
      </w:r>
      <w:r w:rsidRPr="00EC250C">
        <w:rPr>
          <w:szCs w:val="24"/>
        </w:rPr>
        <w:t xml:space="preserve">Minister Sprawiedliwości nie podzielił poglądu </w:t>
      </w:r>
      <w:r w:rsidR="00D20D4F" w:rsidRPr="00EC250C">
        <w:rPr>
          <w:szCs w:val="24"/>
        </w:rPr>
        <w:t>RPO</w:t>
      </w:r>
      <w:r w:rsidR="00F14E5F" w:rsidRPr="00EC250C">
        <w:rPr>
          <w:rStyle w:val="Odwoanieprzypisudolnego"/>
          <w:bCs w:val="0"/>
          <w:iCs w:val="0"/>
          <w:szCs w:val="24"/>
        </w:rPr>
        <w:footnoteReference w:id="390"/>
      </w:r>
      <w:r w:rsidRPr="00EC250C">
        <w:rPr>
          <w:szCs w:val="24"/>
        </w:rPr>
        <w:t>.</w:t>
      </w:r>
    </w:p>
    <w:p w14:paraId="1A800CF7" w14:textId="77777777" w:rsidR="00187708" w:rsidRPr="00EC250C" w:rsidRDefault="00920519" w:rsidP="00D131FA">
      <w:pPr>
        <w:pStyle w:val="ODESANIE"/>
        <w:jc w:val="both"/>
        <w:rPr>
          <w:bCs/>
          <w:color w:val="044892"/>
        </w:rPr>
      </w:pPr>
      <w:r w:rsidRPr="00EC250C">
        <w:t>Ograniczenia dostępu do służby publicznej wobec sędziów, asesorów i ławników posiadających dodatkowe obywatelstwo – art. 45 Konstytucji</w:t>
      </w:r>
      <w:r w:rsidR="00187708" w:rsidRPr="00EC250C">
        <w:br w:type="page"/>
      </w:r>
    </w:p>
    <w:p w14:paraId="3D7E2CAF" w14:textId="77777777" w:rsidR="00C91F6E" w:rsidRPr="00EC250C" w:rsidRDefault="00187708" w:rsidP="00EC250C">
      <w:pPr>
        <w:pStyle w:val="Nagwek3"/>
      </w:pPr>
      <w:bookmarkStart w:id="378" w:name="_Toc6257810"/>
      <w:bookmarkStart w:id="379" w:name="_Toc11247687"/>
      <w:r w:rsidRPr="00EC250C">
        <w:lastRenderedPageBreak/>
        <w:t xml:space="preserve">Art. 61 </w:t>
      </w:r>
      <w:r w:rsidR="003C7122" w:rsidRPr="00EC250C">
        <w:t xml:space="preserve">Konstytucji </w:t>
      </w:r>
      <w:r w:rsidRPr="00EC250C">
        <w:t>– Prawo dostępu do informacji publicznej, dokumentów oraz wstępu na posiedzenia kolegialnych organów władzy</w:t>
      </w:r>
      <w:bookmarkEnd w:id="378"/>
      <w:bookmarkEnd w:id="379"/>
    </w:p>
    <w:p w14:paraId="2C84FDF5" w14:textId="77777777" w:rsidR="00187708" w:rsidRPr="00EC250C" w:rsidRDefault="00187708" w:rsidP="00D131FA">
      <w:pPr>
        <w:pStyle w:val="konstytucja"/>
        <w:jc w:val="both"/>
      </w:pPr>
      <w:r w:rsidRPr="00EC250C">
        <w:t>1. Obywatel ma prawo do uzyskiwania informacji</w:t>
      </w:r>
      <w:r w:rsidR="00992FD0" w:rsidRPr="00EC250C">
        <w:t xml:space="preserve"> o </w:t>
      </w:r>
      <w:r w:rsidRPr="00EC250C">
        <w:t>działalności organów władzy publicznej oraz osób pełniących funkcje publiczne. Prawo to obejmuje również uzyskiwanie informacji</w:t>
      </w:r>
      <w:r w:rsidR="00992FD0" w:rsidRPr="00EC250C">
        <w:t xml:space="preserve"> o </w:t>
      </w:r>
      <w:r w:rsidRPr="00EC250C">
        <w:t>działalności organów samorządu gospodarczego</w:t>
      </w:r>
      <w:r w:rsidR="00992FD0" w:rsidRPr="00EC250C">
        <w:t xml:space="preserve"> i </w:t>
      </w:r>
      <w:r w:rsidRPr="00EC250C">
        <w:t>zawodowego</w:t>
      </w:r>
      <w:r w:rsidR="00992FD0" w:rsidRPr="00EC250C">
        <w:t xml:space="preserve"> a </w:t>
      </w:r>
      <w:r w:rsidRPr="00EC250C">
        <w:t>także innych osób oraz jednostek organizacyjnych</w:t>
      </w:r>
      <w:r w:rsidR="00992FD0" w:rsidRPr="00EC250C">
        <w:t xml:space="preserve"> w </w:t>
      </w:r>
      <w:r w:rsidRPr="00EC250C">
        <w:t>zakresie,</w:t>
      </w:r>
      <w:r w:rsidR="00992FD0" w:rsidRPr="00EC250C">
        <w:t xml:space="preserve"> w </w:t>
      </w:r>
      <w:r w:rsidRPr="00EC250C">
        <w:t>jakim wykonują one zadania władzy publicznej</w:t>
      </w:r>
      <w:r w:rsidR="00992FD0" w:rsidRPr="00EC250C">
        <w:t xml:space="preserve"> i </w:t>
      </w:r>
      <w:r w:rsidRPr="00EC250C">
        <w:t>gospodarują mieniem komunalnym lub majątkiem Skarbu Państwa.</w:t>
      </w:r>
    </w:p>
    <w:p w14:paraId="050F6551" w14:textId="77777777" w:rsidR="00187708" w:rsidRPr="00EC250C" w:rsidRDefault="00187708" w:rsidP="00D131FA">
      <w:pPr>
        <w:pStyle w:val="konstytucja"/>
        <w:jc w:val="both"/>
      </w:pPr>
      <w:r w:rsidRPr="00EC250C">
        <w:t>2. Prawo do uzyskiwania informacji obejmuje dostęp do dokumentów oraz wstęp na posiedzenia kolegialnych organów władzy publicznej pochodzących</w:t>
      </w:r>
      <w:r w:rsidR="00992FD0" w:rsidRPr="00EC250C">
        <w:t xml:space="preserve"> z </w:t>
      </w:r>
      <w:r w:rsidRPr="00EC250C">
        <w:t>powszechnych wyborów,</w:t>
      </w:r>
      <w:r w:rsidR="00992FD0" w:rsidRPr="00EC250C">
        <w:t xml:space="preserve"> z </w:t>
      </w:r>
      <w:r w:rsidRPr="00EC250C">
        <w:t>możliwością rejestracji dźwięku lub obrazu.</w:t>
      </w:r>
    </w:p>
    <w:p w14:paraId="3AAE8894" w14:textId="77777777" w:rsidR="00187708" w:rsidRPr="00EC250C" w:rsidRDefault="00187708" w:rsidP="00D131FA">
      <w:pPr>
        <w:pStyle w:val="konstytucja"/>
        <w:jc w:val="both"/>
      </w:pPr>
      <w:r w:rsidRPr="00EC250C">
        <w:t>3. Ograniczenie prawa,</w:t>
      </w:r>
      <w:r w:rsidR="00992FD0" w:rsidRPr="00EC250C">
        <w:t xml:space="preserve"> o </w:t>
      </w:r>
      <w:r w:rsidRPr="00EC250C">
        <w:t>którym mowa</w:t>
      </w:r>
      <w:r w:rsidR="00992FD0" w:rsidRPr="00EC250C">
        <w:t xml:space="preserve"> w </w:t>
      </w:r>
      <w:r w:rsidRPr="00EC250C">
        <w:t>ust. 1</w:t>
      </w:r>
      <w:r w:rsidR="00992FD0" w:rsidRPr="00EC250C">
        <w:t xml:space="preserve"> i </w:t>
      </w:r>
      <w:r w:rsidRPr="00EC250C">
        <w:t>2, może nastąpić wyłącznie ze względu na określone</w:t>
      </w:r>
      <w:r w:rsidR="00992FD0" w:rsidRPr="00EC250C">
        <w:t xml:space="preserve"> w </w:t>
      </w:r>
      <w:r w:rsidRPr="00EC250C">
        <w:t>ustawach ochronę wolności</w:t>
      </w:r>
      <w:r w:rsidR="00992FD0" w:rsidRPr="00EC250C">
        <w:t xml:space="preserve"> i </w:t>
      </w:r>
      <w:r w:rsidRPr="00EC250C">
        <w:t>praw innych osób</w:t>
      </w:r>
      <w:r w:rsidR="00992FD0" w:rsidRPr="00EC250C">
        <w:t xml:space="preserve"> i </w:t>
      </w:r>
      <w:r w:rsidRPr="00EC250C">
        <w:t>podmiotów gospodarczych oraz ochronę porządku publicznego, bezpieczeństwa lub ważnego interesu gospodarczego państwa.</w:t>
      </w:r>
    </w:p>
    <w:p w14:paraId="54BA596D" w14:textId="77777777" w:rsidR="00187708" w:rsidRPr="00EC250C" w:rsidRDefault="00187708" w:rsidP="00D131FA">
      <w:pPr>
        <w:pStyle w:val="konstytucja"/>
        <w:jc w:val="both"/>
      </w:pPr>
      <w:r w:rsidRPr="00EC250C">
        <w:t>4. Tryb udzielania informacji,</w:t>
      </w:r>
      <w:r w:rsidR="00992FD0" w:rsidRPr="00EC250C">
        <w:t xml:space="preserve"> o </w:t>
      </w:r>
      <w:r w:rsidRPr="00EC250C">
        <w:t>których mowa</w:t>
      </w:r>
      <w:r w:rsidR="00992FD0" w:rsidRPr="00EC250C">
        <w:t xml:space="preserve"> w </w:t>
      </w:r>
      <w:r w:rsidRPr="00EC250C">
        <w:t>ust. 1</w:t>
      </w:r>
      <w:r w:rsidR="00992FD0" w:rsidRPr="00EC250C">
        <w:t xml:space="preserve"> i </w:t>
      </w:r>
      <w:r w:rsidRPr="00EC250C">
        <w:t>2, określają ustawy,</w:t>
      </w:r>
      <w:r w:rsidR="00992FD0" w:rsidRPr="00EC250C">
        <w:t xml:space="preserve"> a w </w:t>
      </w:r>
      <w:r w:rsidRPr="00EC250C">
        <w:t>odniesieniu do Sejmu</w:t>
      </w:r>
      <w:r w:rsidR="00992FD0" w:rsidRPr="00EC250C">
        <w:t xml:space="preserve"> i </w:t>
      </w:r>
      <w:r w:rsidRPr="00EC250C">
        <w:t>Senatu ich regulaminy.</w:t>
      </w:r>
    </w:p>
    <w:p w14:paraId="0C058544" w14:textId="77777777" w:rsidR="00C91F6E" w:rsidRPr="00EC250C" w:rsidRDefault="00187708" w:rsidP="00D131FA">
      <w:pPr>
        <w:pStyle w:val="ComwiKonstytucja"/>
      </w:pPr>
      <w:r w:rsidRPr="00EC250C">
        <w:t>Prawo dostępu do informacji publicznej, czyli prawo do informacji</w:t>
      </w:r>
      <w:r w:rsidR="00992FD0" w:rsidRPr="00EC250C">
        <w:t xml:space="preserve"> o </w:t>
      </w:r>
      <w:r w:rsidRPr="00EC250C">
        <w:t>działalności organów władzy publicznej,</w:t>
      </w:r>
      <w:r w:rsidR="00992FD0" w:rsidRPr="00EC250C">
        <w:t xml:space="preserve"> a </w:t>
      </w:r>
      <w:r w:rsidRPr="00EC250C">
        <w:t>także osób pełniących funkcje publiczne, zagwarantowane jest jedynie obywatelom, co jest związane</w:t>
      </w:r>
      <w:r w:rsidR="00992FD0" w:rsidRPr="00EC250C">
        <w:t xml:space="preserve"> z </w:t>
      </w:r>
      <w:r w:rsidRPr="00EC250C">
        <w:t>politycznym charakterem tego prawa. Warto wskazać, ze konstytucyjne prawo do informacji</w:t>
      </w:r>
      <w:r w:rsidR="00992FD0" w:rsidRPr="00EC250C">
        <w:t xml:space="preserve"> o </w:t>
      </w:r>
      <w:r w:rsidRPr="00EC250C">
        <w:t>stanie</w:t>
      </w:r>
      <w:r w:rsidR="00992FD0" w:rsidRPr="00EC250C">
        <w:t xml:space="preserve"> i </w:t>
      </w:r>
      <w:r w:rsidRPr="00EC250C">
        <w:t>ochronie środowiska jest zagwarantowane każdemu, także osobom nieposiadającym obywatelstwa (art. 74 ust. 3).</w:t>
      </w:r>
    </w:p>
    <w:p w14:paraId="4AD62CF0" w14:textId="77777777" w:rsidR="00187708" w:rsidRPr="00EC250C" w:rsidRDefault="00187708" w:rsidP="00D131FA">
      <w:pPr>
        <w:pStyle w:val="ComwiKonstytucja"/>
      </w:pPr>
      <w:r w:rsidRPr="00EC250C">
        <w:t>Prawo do informacji publicznej przysługuje bez względu na ewentualny interes prawny</w:t>
      </w:r>
      <w:r w:rsidR="00992FD0" w:rsidRPr="00EC250C">
        <w:t xml:space="preserve"> w </w:t>
      </w:r>
      <w:r w:rsidRPr="00EC250C">
        <w:t>dostępie do danej informacji, dlatego nie jest konieczne podawanie powodu ubiegania się</w:t>
      </w:r>
      <w:r w:rsidR="00992FD0" w:rsidRPr="00EC250C">
        <w:t xml:space="preserve"> o </w:t>
      </w:r>
      <w:r w:rsidRPr="00EC250C">
        <w:t>informację. Może być też realizowane</w:t>
      </w:r>
      <w:r w:rsidR="00992FD0" w:rsidRPr="00EC250C">
        <w:t xml:space="preserve"> w </w:t>
      </w:r>
      <w:r w:rsidRPr="00EC250C">
        <w:t>różnych formach. Prawo obywateli nie jest ograniczone tylko do organów przedstawicielskich. Z treści art. 61 ust. 1 wynika, że obejmuje ono także uzyskiwanie informacji</w:t>
      </w:r>
      <w:r w:rsidR="00992FD0" w:rsidRPr="00EC250C">
        <w:t xml:space="preserve"> o </w:t>
      </w:r>
      <w:r w:rsidRPr="00EC250C">
        <w:t>działalności samorządu gospodarczego</w:t>
      </w:r>
      <w:r w:rsidR="00992FD0" w:rsidRPr="00EC250C">
        <w:t xml:space="preserve"> i </w:t>
      </w:r>
      <w:r w:rsidRPr="00EC250C">
        <w:t>zawodowego,</w:t>
      </w:r>
      <w:r w:rsidR="00992FD0" w:rsidRPr="00EC250C">
        <w:t xml:space="preserve"> a </w:t>
      </w:r>
      <w:r w:rsidRPr="00EC250C">
        <w:t>także innych jednostek organizacyjnych, jeśli wykonują one zadania władzy publicznej,</w:t>
      </w:r>
      <w:r w:rsidR="00992FD0" w:rsidRPr="00EC250C">
        <w:t xml:space="preserve"> a </w:t>
      </w:r>
      <w:r w:rsidRPr="00EC250C">
        <w:t>także jeśli gospodarują mieniem komunalnym lub majątkiem Skarbu Państwa</w:t>
      </w:r>
    </w:p>
    <w:p w14:paraId="1586C59D" w14:textId="77777777" w:rsidR="00C91F6E" w:rsidRPr="00EC250C" w:rsidRDefault="00187708" w:rsidP="00D131FA">
      <w:pPr>
        <w:pStyle w:val="ComwiKonstytucja"/>
      </w:pPr>
      <w:r w:rsidRPr="00EC250C">
        <w:t>Prawo do informacji może być realizowane</w:t>
      </w:r>
      <w:r w:rsidR="00992FD0" w:rsidRPr="00EC250C">
        <w:t xml:space="preserve"> w </w:t>
      </w:r>
      <w:r w:rsidRPr="00EC250C">
        <w:t>różnych formach.</w:t>
      </w:r>
    </w:p>
    <w:p w14:paraId="6E57C404" w14:textId="77777777" w:rsidR="00187708" w:rsidRPr="00EC250C" w:rsidRDefault="00187708" w:rsidP="00D131FA">
      <w:pPr>
        <w:pStyle w:val="ComwiKonstytucja"/>
      </w:pPr>
      <w:r w:rsidRPr="00EC250C">
        <w:lastRenderedPageBreak/>
        <w:t>Konstytucja wymienia tylko najważniejsze</w:t>
      </w:r>
      <w:r w:rsidR="00992FD0" w:rsidRPr="00EC250C">
        <w:t xml:space="preserve"> z </w:t>
      </w:r>
      <w:r w:rsidRPr="00EC250C">
        <w:t>nich, co nie wyczerpuje pełnego katalogu. Z tych najważniejszych form wymienia się dostęp do dokumentów,</w:t>
      </w:r>
      <w:r w:rsidR="00992FD0" w:rsidRPr="00EC250C">
        <w:t xml:space="preserve"> a </w:t>
      </w:r>
      <w:r w:rsidRPr="00EC250C">
        <w:t>także wstęp na posiedzenia kolegialnych organów władzy publicznej pochodzących</w:t>
      </w:r>
      <w:r w:rsidR="00992FD0" w:rsidRPr="00EC250C">
        <w:t xml:space="preserve"> z </w:t>
      </w:r>
      <w:r w:rsidRPr="00EC250C">
        <w:t>powszechnych wyborów (posiedzenia Sejmu, Senatu, organów stanowiących samorządu terytorialnego),</w:t>
      </w:r>
      <w:r w:rsidR="00992FD0" w:rsidRPr="00EC250C">
        <w:t xml:space="preserve"> z </w:t>
      </w:r>
      <w:r w:rsidRPr="00EC250C">
        <w:t>prawem rejestracji dźwięku lub zapisu. Ograniczenia tego prawa,</w:t>
      </w:r>
      <w:r w:rsidR="00992FD0" w:rsidRPr="00EC250C">
        <w:t xml:space="preserve"> o </w:t>
      </w:r>
      <w:r w:rsidRPr="00EC250C">
        <w:t>których wspomina ustęp 3, nie są liczne</w:t>
      </w:r>
      <w:r w:rsidR="00992FD0" w:rsidRPr="00EC250C">
        <w:t xml:space="preserve"> i </w:t>
      </w:r>
      <w:r w:rsidRPr="00EC250C">
        <w:t>zostały uzasadnione potrzebą ochrony wolności</w:t>
      </w:r>
      <w:r w:rsidR="00992FD0" w:rsidRPr="00EC250C">
        <w:t xml:space="preserve"> i </w:t>
      </w:r>
      <w:r w:rsidRPr="00EC250C">
        <w:t>praw innych osób, ochrony porządku publicznego, bezpieczeństwa lub ważnego interesu gospodarczego państwa.</w:t>
      </w:r>
    </w:p>
    <w:p w14:paraId="3807BF32" w14:textId="77777777" w:rsidR="003E4DBD" w:rsidRPr="00EC250C" w:rsidRDefault="003E4DBD" w:rsidP="00D131FA">
      <w:pPr>
        <w:pStyle w:val="ComwiKonstytucja"/>
      </w:pPr>
    </w:p>
    <w:p w14:paraId="1C3EB0D1" w14:textId="77777777" w:rsidR="00187708" w:rsidRPr="00EC250C" w:rsidRDefault="00187708" w:rsidP="00D131FA">
      <w:pPr>
        <w:spacing w:after="200" w:line="24" w:lineRule="auto"/>
        <w:jc w:val="both"/>
        <w:rPr>
          <w:i/>
          <w:spacing w:val="5"/>
          <w:sz w:val="22"/>
        </w:rPr>
      </w:pPr>
      <w:r w:rsidRPr="00EC250C">
        <w:rPr>
          <w:sz w:val="24"/>
        </w:rPr>
        <w:br w:type="page"/>
      </w:r>
    </w:p>
    <w:p w14:paraId="2C11F8A0" w14:textId="77777777" w:rsidR="0031067D" w:rsidRPr="00EC250C" w:rsidRDefault="0031067D" w:rsidP="00EC79EB">
      <w:pPr>
        <w:pStyle w:val="Nagwek4"/>
      </w:pPr>
      <w:bookmarkStart w:id="380" w:name="art62"/>
      <w:bookmarkStart w:id="381" w:name="_Toc11247688"/>
      <w:bookmarkStart w:id="382" w:name="_Toc6257811"/>
      <w:bookmarkEnd w:id="380"/>
      <w:r w:rsidRPr="00EC250C">
        <w:lastRenderedPageBreak/>
        <w:t>Problem z dostęp</w:t>
      </w:r>
      <w:r w:rsidR="00E059F9" w:rsidRPr="00EC250C">
        <w:t>em</w:t>
      </w:r>
      <w:r w:rsidRPr="00EC250C">
        <w:t xml:space="preserve"> do informacji publicznej na poziomie lokalnym</w:t>
      </w:r>
      <w:bookmarkEnd w:id="381"/>
    </w:p>
    <w:p w14:paraId="487BDC87" w14:textId="77777777" w:rsidR="00B473F5" w:rsidRPr="00EC250C" w:rsidRDefault="0031067D" w:rsidP="00D131FA">
      <w:pPr>
        <w:pStyle w:val="Problemczowieka"/>
        <w:jc w:val="both"/>
        <w:rPr>
          <w:lang w:eastAsia="en-US"/>
        </w:rPr>
      </w:pPr>
      <w:r w:rsidRPr="00EC250C">
        <w:rPr>
          <w:lang w:eastAsia="en-US"/>
        </w:rPr>
        <w:t>Obywatele są świadomi swego prawa do dowiadywania się o działaniach władz. Jednak bardzo często nie mogą tego prawa wyegzekwować</w:t>
      </w:r>
      <w:r w:rsidR="00B473F5" w:rsidRPr="00EC250C">
        <w:rPr>
          <w:lang w:eastAsia="en-US"/>
        </w:rPr>
        <w:t>.</w:t>
      </w:r>
    </w:p>
    <w:p w14:paraId="52C80F0B" w14:textId="77777777" w:rsidR="0031067D" w:rsidRPr="00EC250C" w:rsidRDefault="0031067D" w:rsidP="00D131FA">
      <w:pPr>
        <w:pStyle w:val="Styl1"/>
        <w:rPr>
          <w:lang w:eastAsia="en-US"/>
        </w:rPr>
      </w:pPr>
      <w:r w:rsidRPr="00EC250C">
        <w:rPr>
          <w:lang w:eastAsia="en-US"/>
        </w:rPr>
        <w:t xml:space="preserve">Problem dostępu do informacji publicznej – </w:t>
      </w:r>
      <w:r w:rsidR="003E3A92" w:rsidRPr="00EC250C">
        <w:rPr>
          <w:lang w:eastAsia="en-US"/>
        </w:rPr>
        <w:t xml:space="preserve">np. </w:t>
      </w:r>
      <w:r w:rsidRPr="00EC250C">
        <w:rPr>
          <w:lang w:eastAsia="en-US"/>
        </w:rPr>
        <w:t>o działaniach władz lokalnych</w:t>
      </w:r>
      <w:r w:rsidR="003E3A92" w:rsidRPr="00EC250C">
        <w:rPr>
          <w:lang w:eastAsia="en-US"/>
        </w:rPr>
        <w:t xml:space="preserve"> czy</w:t>
      </w:r>
      <w:r w:rsidRPr="00EC250C">
        <w:rPr>
          <w:lang w:eastAsia="en-US"/>
        </w:rPr>
        <w:t xml:space="preserve"> o planowanych inwestycjach</w:t>
      </w:r>
      <w:r w:rsidR="003E3A92" w:rsidRPr="00EC250C">
        <w:rPr>
          <w:lang w:eastAsia="en-US"/>
        </w:rPr>
        <w:t xml:space="preserve"> –  jest zgłaszany na prawie każdym spotkaniu regionalnym Rzecznika Praw Obywatelskich. Ich uczestnicy mówią o braku odpowiedzi na wnioski („u nas prawo dostępu do informacji publicznej się nie przyjęło), o odpowiedziach negatywnych udzielanych nie w formie decyzji o odmowie (tylko w formie listu – którego nie można zaskarżyć przed sądem administracyjnym), wreszcie o obawie, że akt obywatelskiej aktywności, jakim jest wniosek o dostęp do informacji, zostanie potraktowany jako akt wrogi władzy lokalnej, </w:t>
      </w:r>
      <w:r w:rsidR="00A7212E" w:rsidRPr="00EC250C">
        <w:rPr>
          <w:lang w:eastAsia="en-US"/>
        </w:rPr>
        <w:t xml:space="preserve">powodujący negatywne dla wnioskującego </w:t>
      </w:r>
      <w:r w:rsidR="003E3A92" w:rsidRPr="00EC250C">
        <w:rPr>
          <w:lang w:eastAsia="en-US"/>
        </w:rPr>
        <w:t xml:space="preserve">konsekwencje. </w:t>
      </w:r>
    </w:p>
    <w:p w14:paraId="5FF5F754" w14:textId="77777777" w:rsidR="003E3A92" w:rsidRPr="00EC250C" w:rsidRDefault="003E3A92" w:rsidP="00D131FA">
      <w:pPr>
        <w:pStyle w:val="Styl1"/>
        <w:rPr>
          <w:lang w:eastAsia="en-US"/>
        </w:rPr>
      </w:pPr>
      <w:r w:rsidRPr="00EC250C">
        <w:rPr>
          <w:lang w:eastAsia="en-US"/>
        </w:rPr>
        <w:t xml:space="preserve">Rzecznik praw obywatelskich radzi w takich sytuacjach, by kontaktować się z organizacjami pozarządowymi zajmującymi się dostępem do informacji, korzystać z ich wsparcia i doświadczenia. </w:t>
      </w:r>
    </w:p>
    <w:p w14:paraId="7A1E45A7" w14:textId="77777777" w:rsidR="003E3A92" w:rsidRPr="00EC250C" w:rsidRDefault="003E3A92" w:rsidP="00D131FA">
      <w:pPr>
        <w:pStyle w:val="Styl1"/>
        <w:rPr>
          <w:lang w:eastAsia="en-US"/>
        </w:rPr>
      </w:pPr>
      <w:r w:rsidRPr="00EC250C">
        <w:rPr>
          <w:lang w:eastAsia="en-US"/>
        </w:rPr>
        <w:t>Analizuje też problem dostępu do informacji publicznej pod kątem systemowym.</w:t>
      </w:r>
    </w:p>
    <w:p w14:paraId="76630656" w14:textId="77777777" w:rsidR="00187708" w:rsidRPr="00EC250C" w:rsidRDefault="00AA16E7" w:rsidP="00EC79EB">
      <w:pPr>
        <w:pStyle w:val="Nagwek4"/>
        <w:rPr>
          <w:spacing w:val="0"/>
        </w:rPr>
      </w:pPr>
      <w:bookmarkStart w:id="383" w:name="_Toc11247689"/>
      <w:r w:rsidRPr="00EC250C">
        <w:t>Problem informacji przetworzonej</w:t>
      </w:r>
      <w:bookmarkEnd w:id="382"/>
      <w:bookmarkEnd w:id="383"/>
    </w:p>
    <w:p w14:paraId="4FF6F605" w14:textId="77777777" w:rsidR="00B473F5" w:rsidRPr="00EC250C" w:rsidRDefault="00187708" w:rsidP="00D131FA">
      <w:pPr>
        <w:pStyle w:val="Problemczowieka"/>
        <w:jc w:val="both"/>
        <w:rPr>
          <w:lang w:eastAsia="en-US"/>
        </w:rPr>
      </w:pPr>
      <w:r w:rsidRPr="00EC250C">
        <w:rPr>
          <w:lang w:eastAsia="en-US"/>
        </w:rPr>
        <w:t>Procedowany o</w:t>
      </w:r>
      <w:r w:rsidR="002A3909" w:rsidRPr="00EC250C">
        <w:rPr>
          <w:lang w:eastAsia="en-US"/>
        </w:rPr>
        <w:t>d</w:t>
      </w:r>
      <w:r w:rsidRPr="00EC250C">
        <w:rPr>
          <w:lang w:eastAsia="en-US"/>
        </w:rPr>
        <w:t xml:space="preserve"> 2017</w:t>
      </w:r>
      <w:r w:rsidR="00C91F6E" w:rsidRPr="00EC250C">
        <w:rPr>
          <w:lang w:eastAsia="en-US"/>
        </w:rPr>
        <w:t> r.</w:t>
      </w:r>
      <w:r w:rsidRPr="00EC250C">
        <w:rPr>
          <w:lang w:eastAsia="en-US"/>
        </w:rPr>
        <w:t xml:space="preserve"> projekt ustawy</w:t>
      </w:r>
      <w:r w:rsidR="00992FD0" w:rsidRPr="00EC250C">
        <w:rPr>
          <w:lang w:eastAsia="en-US"/>
        </w:rPr>
        <w:t xml:space="preserve"> o </w:t>
      </w:r>
      <w:r w:rsidRPr="00EC250C">
        <w:rPr>
          <w:lang w:eastAsia="en-US"/>
        </w:rPr>
        <w:t>jawności</w:t>
      </w:r>
      <w:r w:rsidR="00920519" w:rsidRPr="00EC250C">
        <w:rPr>
          <w:rStyle w:val="Odwoanieprzypisudolnego"/>
          <w:lang w:eastAsia="en-US"/>
        </w:rPr>
        <w:footnoteReference w:id="391"/>
      </w:r>
      <w:r w:rsidRPr="00EC250C">
        <w:rPr>
          <w:lang w:eastAsia="en-US"/>
        </w:rPr>
        <w:t xml:space="preserve"> zakładał nie tylko poszerzenie katalogu informacji, jakie musieliby ujawniać obywatele, ale także ograniczenie obowiązków władz</w:t>
      </w:r>
      <w:r w:rsidR="00992FD0" w:rsidRPr="00EC250C">
        <w:rPr>
          <w:lang w:eastAsia="en-US"/>
        </w:rPr>
        <w:t xml:space="preserve"> w </w:t>
      </w:r>
      <w:r w:rsidRPr="00EC250C">
        <w:rPr>
          <w:lang w:eastAsia="en-US"/>
        </w:rPr>
        <w:t>udostępnianiu informacji publicznej. W 2018</w:t>
      </w:r>
      <w:r w:rsidR="00C91F6E" w:rsidRPr="00EC250C">
        <w:rPr>
          <w:lang w:eastAsia="en-US"/>
        </w:rPr>
        <w:t> r.</w:t>
      </w:r>
      <w:r w:rsidRPr="00EC250C">
        <w:rPr>
          <w:lang w:eastAsia="en-US"/>
        </w:rPr>
        <w:t xml:space="preserve"> prace nad projektem zostały zawieszone</w:t>
      </w:r>
      <w:r w:rsidR="00B473F5" w:rsidRPr="00EC250C">
        <w:rPr>
          <w:lang w:eastAsia="en-US"/>
        </w:rPr>
        <w:t>.</w:t>
      </w:r>
    </w:p>
    <w:p w14:paraId="5049037E" w14:textId="77777777" w:rsidR="00187708" w:rsidRPr="00EC250C" w:rsidRDefault="00187708" w:rsidP="00D131FA">
      <w:pPr>
        <w:pStyle w:val="ODESANIE"/>
        <w:jc w:val="both"/>
        <w:rPr>
          <w:lang w:eastAsia="en-US"/>
        </w:rPr>
      </w:pPr>
      <w:r w:rsidRPr="00EC250C">
        <w:rPr>
          <w:lang w:eastAsia="en-US"/>
        </w:rPr>
        <w:t xml:space="preserve">Problem lustracji majątkowej obywateli opisany został </w:t>
      </w:r>
      <w:r w:rsidR="001874B8" w:rsidRPr="00EC250C">
        <w:rPr>
          <w:lang w:eastAsia="en-US"/>
        </w:rPr>
        <w:t xml:space="preserve">w kontekście </w:t>
      </w:r>
      <w:r w:rsidRPr="00EC250C">
        <w:rPr>
          <w:lang w:eastAsia="en-US"/>
        </w:rPr>
        <w:t>art. 51 Konstytucji</w:t>
      </w:r>
    </w:p>
    <w:p w14:paraId="1C17E546" w14:textId="77777777" w:rsidR="00187708" w:rsidRPr="00EC250C" w:rsidRDefault="00D20D4F" w:rsidP="00D131FA">
      <w:pPr>
        <w:pStyle w:val="Styl1"/>
      </w:pPr>
      <w:r w:rsidRPr="00EC250C">
        <w:t>RPO</w:t>
      </w:r>
      <w:r w:rsidR="00187708" w:rsidRPr="00EC250C">
        <w:t xml:space="preserve"> alarmował, że choć projektodawca wskazywał, iż głównym celem ustawy jest transparentność życia publicznego, to </w:t>
      </w:r>
      <w:r w:rsidR="00AA16E7" w:rsidRPr="00EC250C">
        <w:t xml:space="preserve">jednocześnie </w:t>
      </w:r>
      <w:r w:rsidR="00187708" w:rsidRPr="00EC250C">
        <w:t>proponował regulacje znacznie ograniczające obowiązki podmiotów publicznych, czy osób pełniących funkcje publiczne</w:t>
      </w:r>
      <w:r w:rsidR="00992FD0" w:rsidRPr="00EC250C">
        <w:t xml:space="preserve"> w </w:t>
      </w:r>
      <w:r w:rsidR="00187708" w:rsidRPr="00EC250C">
        <w:t>zakresie udostępniania informacji publicznej.</w:t>
      </w:r>
    </w:p>
    <w:p w14:paraId="5BC36281" w14:textId="77777777" w:rsidR="00187708" w:rsidRPr="00EC250C" w:rsidRDefault="00187708" w:rsidP="00D131FA">
      <w:pPr>
        <w:pStyle w:val="Styl1"/>
      </w:pPr>
      <w:r w:rsidRPr="00EC250C">
        <w:t>Przykładem są projektowane regulacje odnoszące się do dostępu do informacji przetworzonej. O ile</w:t>
      </w:r>
      <w:r w:rsidR="00992FD0" w:rsidRPr="00EC250C">
        <w:t xml:space="preserve"> w </w:t>
      </w:r>
      <w:r w:rsidRPr="00EC250C">
        <w:t xml:space="preserve">projekcie </w:t>
      </w:r>
      <w:r w:rsidR="00992FD0" w:rsidRPr="00EC250C">
        <w:t>z </w:t>
      </w:r>
      <w:r w:rsidRPr="00EC250C">
        <w:t xml:space="preserve"> 23 października 2017</w:t>
      </w:r>
      <w:r w:rsidR="00C91F6E" w:rsidRPr="00EC250C">
        <w:t> r.</w:t>
      </w:r>
      <w:r w:rsidRPr="00EC250C">
        <w:t xml:space="preserve"> projektodawca zrezygnował</w:t>
      </w:r>
      <w:r w:rsidR="00992FD0" w:rsidRPr="00EC250C">
        <w:t xml:space="preserve"> z </w:t>
      </w:r>
      <w:r w:rsidRPr="00EC250C">
        <w:t>przesłanki warunkującej uzyskanie informacji przetworzonej</w:t>
      </w:r>
      <w:r w:rsidR="00992FD0" w:rsidRPr="00EC250C">
        <w:t xml:space="preserve"> w </w:t>
      </w:r>
      <w:r w:rsidRPr="00EC250C">
        <w:t xml:space="preserve">zakresie „w jakim jest to szczególnie istotne dla interesu publicznego” </w:t>
      </w:r>
      <w:r w:rsidR="00552C2D" w:rsidRPr="00EC250C">
        <w:t>(</w:t>
      </w:r>
      <w:r w:rsidRPr="00EC250C">
        <w:t>co</w:t>
      </w:r>
      <w:r w:rsidR="00992FD0" w:rsidRPr="00EC250C">
        <w:t xml:space="preserve"> w </w:t>
      </w:r>
      <w:r w:rsidRPr="00EC250C">
        <w:t xml:space="preserve">ocenie </w:t>
      </w:r>
      <w:r w:rsidR="00D20D4F" w:rsidRPr="00EC250C">
        <w:t>RPO</w:t>
      </w:r>
      <w:r w:rsidRPr="00EC250C">
        <w:t xml:space="preserve"> zasługiwało na aprobatę</w:t>
      </w:r>
      <w:r w:rsidR="00552C2D" w:rsidRPr="00EC250C">
        <w:t>)</w:t>
      </w:r>
      <w:r w:rsidR="00A7212E" w:rsidRPr="00EC250C">
        <w:t xml:space="preserve"> </w:t>
      </w:r>
      <w:r w:rsidRPr="00EC250C">
        <w:t>–</w:t>
      </w:r>
      <w:r w:rsidR="00992FD0" w:rsidRPr="00EC250C">
        <w:t xml:space="preserve"> o </w:t>
      </w:r>
      <w:r w:rsidRPr="00EC250C">
        <w:t>tyle</w:t>
      </w:r>
      <w:r w:rsidR="00992FD0" w:rsidRPr="00EC250C">
        <w:t xml:space="preserve"> w </w:t>
      </w:r>
      <w:r w:rsidRPr="00EC250C">
        <w:t>projekcie</w:t>
      </w:r>
      <w:r w:rsidR="00992FD0" w:rsidRPr="00EC250C">
        <w:t xml:space="preserve"> z </w:t>
      </w:r>
      <w:r w:rsidRPr="00EC250C">
        <w:t>2018</w:t>
      </w:r>
      <w:r w:rsidR="00C91F6E" w:rsidRPr="00EC250C">
        <w:t> r.</w:t>
      </w:r>
      <w:r w:rsidRPr="00EC250C">
        <w:t xml:space="preserve"> </w:t>
      </w:r>
      <w:r w:rsidR="00552C2D" w:rsidRPr="00EC250C">
        <w:t>pojawiły się zmiany niekorzystne. N</w:t>
      </w:r>
      <w:r w:rsidRPr="00EC250C">
        <w:t xml:space="preserve">ie dość, że powrócono do wymogu wykazania się „istotnym interesem publicznym”, by taką informację dostać, to dodatkowo wprowadzono obowiązek uzasadnienia </w:t>
      </w:r>
      <w:r w:rsidRPr="00EC250C">
        <w:lastRenderedPageBreak/>
        <w:t>istotnego interesu publicznego po uprzednim wezwaniu wnioskodawcy przez organ</w:t>
      </w:r>
      <w:r w:rsidR="00552C2D" w:rsidRPr="00EC250C">
        <w:t>. J</w:t>
      </w:r>
      <w:r w:rsidRPr="00EC250C">
        <w:t xml:space="preserve">ednocześnie </w:t>
      </w:r>
      <w:r w:rsidR="00552C2D" w:rsidRPr="00EC250C">
        <w:t xml:space="preserve">projekt definiował </w:t>
      </w:r>
      <w:r w:rsidRPr="00EC250C">
        <w:t>pojęci</w:t>
      </w:r>
      <w:r w:rsidR="00552C2D" w:rsidRPr="00EC250C">
        <w:t>e</w:t>
      </w:r>
      <w:r w:rsidR="00CC4D88" w:rsidRPr="00EC250C">
        <w:t xml:space="preserve"> </w:t>
      </w:r>
      <w:r w:rsidRPr="00EC250C">
        <w:t>„informacja przetworzona”</w:t>
      </w:r>
      <w:r w:rsidR="00552C2D" w:rsidRPr="00EC250C">
        <w:t xml:space="preserve"> w sposób powodujący </w:t>
      </w:r>
      <w:r w:rsidRPr="00EC250C">
        <w:t>problem</w:t>
      </w:r>
      <w:r w:rsidR="00552C2D" w:rsidRPr="00EC250C">
        <w:t>y</w:t>
      </w:r>
      <w:r w:rsidRPr="00EC250C">
        <w:t xml:space="preserve"> interpretacyjn</w:t>
      </w:r>
      <w:r w:rsidR="00552C2D" w:rsidRPr="00EC250C">
        <w:t>e</w:t>
      </w:r>
      <w:r w:rsidRPr="00EC250C">
        <w:t xml:space="preserve">. Zmiany te zdaniem Rzecznika </w:t>
      </w:r>
      <w:r w:rsidR="00D20D4F" w:rsidRPr="00EC250C">
        <w:t xml:space="preserve">Praw Obywatelskich </w:t>
      </w:r>
      <w:r w:rsidRPr="00EC250C">
        <w:t>mog</w:t>
      </w:r>
      <w:r w:rsidR="00552C2D" w:rsidRPr="00EC250C">
        <w:t>ły</w:t>
      </w:r>
      <w:r w:rsidRPr="00EC250C">
        <w:t xml:space="preserve"> prowadzić do ograniczenia dostępu do informacji publicznej</w:t>
      </w:r>
    </w:p>
    <w:p w14:paraId="71A6D1EA" w14:textId="77777777" w:rsidR="00187708" w:rsidRPr="00EC250C" w:rsidRDefault="00187708" w:rsidP="00D131FA">
      <w:pPr>
        <w:pStyle w:val="Styl1"/>
      </w:pPr>
      <w:r w:rsidRPr="00EC250C">
        <w:t>Trzeba jednocześnie zauważyć, że</w:t>
      </w:r>
      <w:r w:rsidR="00992FD0" w:rsidRPr="00EC250C">
        <w:t xml:space="preserve"> w </w:t>
      </w:r>
      <w:r w:rsidRPr="00EC250C">
        <w:t>odniesieniu do niektórych podmiotów zobowiązanych do udostępnienia informacji publicznej projekt przewiduje też ograniczenia dla obywateli. Jeszcze</w:t>
      </w:r>
      <w:r w:rsidR="00992FD0" w:rsidRPr="00EC250C">
        <w:t xml:space="preserve"> w </w:t>
      </w:r>
      <w:r w:rsidRPr="00EC250C">
        <w:t>2017</w:t>
      </w:r>
      <w:r w:rsidR="00C91F6E" w:rsidRPr="00EC250C">
        <w:t> r.</w:t>
      </w:r>
      <w:r w:rsidRPr="00EC250C">
        <w:t xml:space="preserve"> projektodawcy zakładali, że obowiązek informowania</w:t>
      </w:r>
      <w:r w:rsidR="00992FD0" w:rsidRPr="00EC250C">
        <w:t xml:space="preserve"> o </w:t>
      </w:r>
      <w:r w:rsidRPr="00EC250C">
        <w:t>swej działalności mają spółki prawa handlowego, której udział Skarbu Państwa lub samorządu wynosi co najmniej 10 proc. W</w:t>
      </w:r>
      <w:r w:rsidR="00D20D4F" w:rsidRPr="00EC250C">
        <w:t> </w:t>
      </w:r>
      <w:r w:rsidRPr="00EC250C">
        <w:t>2018</w:t>
      </w:r>
      <w:r w:rsidR="00C91F6E" w:rsidRPr="00EC250C">
        <w:t> r.</w:t>
      </w:r>
      <w:r w:rsidR="00992FD0" w:rsidRPr="00EC250C">
        <w:t xml:space="preserve"> z </w:t>
      </w:r>
      <w:r w:rsidRPr="00EC250C">
        <w:t>obowiązku tego wyłączono jednak spółki,</w:t>
      </w:r>
      <w:r w:rsidR="00992FD0" w:rsidRPr="00EC250C">
        <w:t xml:space="preserve"> w </w:t>
      </w:r>
      <w:r w:rsidRPr="00EC250C">
        <w:t>których udziały państwowe nie przekraczają 20 proc.</w:t>
      </w:r>
      <w:r w:rsidRPr="00EC250C">
        <w:rPr>
          <w:rStyle w:val="Odwoanieprzypisudolnego"/>
        </w:rPr>
        <w:footnoteReference w:id="392"/>
      </w:r>
    </w:p>
    <w:p w14:paraId="27D00328" w14:textId="77777777" w:rsidR="00552C2D" w:rsidRPr="00EC250C" w:rsidRDefault="00552C2D" w:rsidP="00D131FA">
      <w:pPr>
        <w:pStyle w:val="Styl1"/>
      </w:pPr>
      <w:r w:rsidRPr="00EC250C">
        <w:t>Projekt w tym zakresie był szeroko konsultowany z organizacjami pozarządowymi i ostatecznie – w obliczu wskazywanych przez nie zagrożeń – rząd zrezygnował z dalszych prac.</w:t>
      </w:r>
    </w:p>
    <w:p w14:paraId="7215E6D3" w14:textId="77777777" w:rsidR="00AA16E7" w:rsidRPr="00EC250C" w:rsidRDefault="00AA16E7" w:rsidP="00EC250C">
      <w:pPr>
        <w:pStyle w:val="Nagwek8"/>
      </w:pPr>
      <w:r w:rsidRPr="00EC250C">
        <w:t>Nieprecyzyjne zapisy</w:t>
      </w:r>
      <w:r w:rsidR="000E2581" w:rsidRPr="00EC250C">
        <w:t xml:space="preserve"> warunkujące dostęp do informacji zgodne</w:t>
      </w:r>
      <w:r w:rsidR="00992FD0" w:rsidRPr="00EC250C">
        <w:t xml:space="preserve"> z </w:t>
      </w:r>
      <w:r w:rsidR="000E2581" w:rsidRPr="00EC250C">
        <w:t>Konstytucją – orzeczenie TK</w:t>
      </w:r>
    </w:p>
    <w:p w14:paraId="4D452FED" w14:textId="77777777" w:rsidR="00AA16E7" w:rsidRPr="00EC250C" w:rsidRDefault="00AA16E7" w:rsidP="00D131FA">
      <w:pPr>
        <w:pStyle w:val="Styl2"/>
        <w:rPr>
          <w:szCs w:val="24"/>
        </w:rPr>
      </w:pPr>
      <w:r w:rsidRPr="00EC250C">
        <w:rPr>
          <w:szCs w:val="24"/>
        </w:rPr>
        <w:t>Przepis, który uzależnia dostęp do przetworzonej informacji publicznej od wykazania istotnego interesu publicznego, jest zgodny</w:t>
      </w:r>
      <w:r w:rsidR="00992FD0" w:rsidRPr="00EC250C">
        <w:rPr>
          <w:szCs w:val="24"/>
        </w:rPr>
        <w:t xml:space="preserve"> z </w:t>
      </w:r>
      <w:r w:rsidRPr="00EC250C">
        <w:rPr>
          <w:szCs w:val="24"/>
        </w:rPr>
        <w:t>Konstytucją</w:t>
      </w:r>
      <w:r w:rsidR="00026572" w:rsidRPr="00EC250C">
        <w:rPr>
          <w:szCs w:val="24"/>
        </w:rPr>
        <w:t xml:space="preserve"> – </w:t>
      </w:r>
      <w:r w:rsidRPr="00EC250C">
        <w:rPr>
          <w:szCs w:val="24"/>
        </w:rPr>
        <w:t>orzekł 18 grudnia 2018</w:t>
      </w:r>
      <w:r w:rsidR="00C91F6E" w:rsidRPr="00EC250C">
        <w:rPr>
          <w:szCs w:val="24"/>
        </w:rPr>
        <w:t> r.</w:t>
      </w:r>
      <w:r w:rsidRPr="00EC250C">
        <w:rPr>
          <w:szCs w:val="24"/>
        </w:rPr>
        <w:t xml:space="preserve"> Trybunał Konstytucyjny</w:t>
      </w:r>
      <w:r w:rsidR="00992FD0" w:rsidRPr="00EC250C">
        <w:rPr>
          <w:szCs w:val="24"/>
        </w:rPr>
        <w:t xml:space="preserve"> w </w:t>
      </w:r>
      <w:r w:rsidRPr="00EC250C">
        <w:rPr>
          <w:szCs w:val="24"/>
        </w:rPr>
        <w:t>sprawie skargi konstytucyjnej (SK 27/14).</w:t>
      </w:r>
    </w:p>
    <w:p w14:paraId="724C79ED" w14:textId="77777777" w:rsidR="00552C2D" w:rsidRPr="00EC250C" w:rsidRDefault="00552C2D" w:rsidP="00D131FA">
      <w:pPr>
        <w:pStyle w:val="Styl2"/>
        <w:rPr>
          <w:szCs w:val="24"/>
        </w:rPr>
      </w:pPr>
      <w:r w:rsidRPr="00EC250C">
        <w:rPr>
          <w:szCs w:val="24"/>
        </w:rPr>
        <w:t xml:space="preserve">W ocenie Trybunału ograniczenie dostępu do informacji publicznej przetworzonej, dokonane aktem rangi ustawowej, odpowiada regulacji art. 61 ust. 3 w związku z art. 31 ust. 3 Konstytucji. Ustawodawca wprowadził to ograniczenie w zgodzie z zasadą proporcjonalności. </w:t>
      </w:r>
      <w:r w:rsidR="00A7212E" w:rsidRPr="00EC250C">
        <w:rPr>
          <w:szCs w:val="24"/>
        </w:rPr>
        <w:t>Zdaniem TK n</w:t>
      </w:r>
      <w:r w:rsidRPr="00EC250C">
        <w:rPr>
          <w:szCs w:val="24"/>
        </w:rPr>
        <w:t>ie można w tym wypadku mówić o łamaniu konstytucyjnych uprawnień obywatela, skoro przedkładając interes publiczny nad interes strony, prawodawca ma na względzie zapewnienie prawidłowego funkcjonowania organów państwa i innych podmiotów zobowiązanych do udzielania informacji publicznej. Konstytucyjne prawo do informacji publicznej, w tym informacji przetworzonej, nie jest absolutne. W wypadku informacji przetworzonej nie chodzi o to, by jej udzielenie było jedynie istotne dla interesu publicznego, lecz ma być dla tego interesu publicznego szczególnie istotne, bowiem jej udostępnienie poprzedzone jest procesem tworzenia nowej informacji, nieistniejącej w chwili skierowania wniosku w takim kształcie i w takiej postaci, jakiej oczekuje wnioskodawca. </w:t>
      </w:r>
    </w:p>
    <w:p w14:paraId="7AEE6956" w14:textId="77777777" w:rsidR="00AA16E7" w:rsidRPr="00EC250C" w:rsidRDefault="00AA16E7" w:rsidP="00D131FA">
      <w:pPr>
        <w:pStyle w:val="Styl2"/>
        <w:rPr>
          <w:szCs w:val="24"/>
        </w:rPr>
      </w:pPr>
      <w:r w:rsidRPr="00EC250C">
        <w:rPr>
          <w:szCs w:val="24"/>
        </w:rPr>
        <w:t>Rzecznik Praw Obywatelskich</w:t>
      </w:r>
      <w:r w:rsidR="00992FD0" w:rsidRPr="00EC250C">
        <w:rPr>
          <w:szCs w:val="24"/>
        </w:rPr>
        <w:t xml:space="preserve"> w </w:t>
      </w:r>
      <w:r w:rsidRPr="00EC250C">
        <w:rPr>
          <w:szCs w:val="24"/>
        </w:rPr>
        <w:t>swoim stanowisku popierającym obywatela argumentował, że przepisy</w:t>
      </w:r>
      <w:r w:rsidR="00992FD0" w:rsidRPr="00EC250C">
        <w:rPr>
          <w:szCs w:val="24"/>
        </w:rPr>
        <w:t xml:space="preserve"> o </w:t>
      </w:r>
      <w:r w:rsidRPr="00EC250C">
        <w:rPr>
          <w:szCs w:val="24"/>
        </w:rPr>
        <w:t>informacji przetworzonej są</w:t>
      </w:r>
      <w:r w:rsidR="00992FD0" w:rsidRPr="00EC250C">
        <w:rPr>
          <w:szCs w:val="24"/>
        </w:rPr>
        <w:t xml:space="preserve"> w </w:t>
      </w:r>
      <w:r w:rsidRPr="00EC250C">
        <w:rPr>
          <w:szCs w:val="24"/>
        </w:rPr>
        <w:t>ustawie nieprecyzyjne, co może prowadzić do naruszenia konstytucyjnego prawa do dostępu do informacji publicznej.</w:t>
      </w:r>
    </w:p>
    <w:p w14:paraId="274C0C58" w14:textId="77777777" w:rsidR="00AA16E7" w:rsidRPr="00EC250C" w:rsidRDefault="00AA16E7" w:rsidP="00D131FA">
      <w:pPr>
        <w:pStyle w:val="Styl2"/>
        <w:rPr>
          <w:szCs w:val="24"/>
        </w:rPr>
      </w:pPr>
      <w:r w:rsidRPr="00EC250C">
        <w:rPr>
          <w:szCs w:val="24"/>
        </w:rPr>
        <w:t>Chodzi</w:t>
      </w:r>
      <w:r w:rsidR="00992FD0" w:rsidRPr="00EC250C">
        <w:rPr>
          <w:szCs w:val="24"/>
        </w:rPr>
        <w:t xml:space="preserve"> o </w:t>
      </w:r>
      <w:r w:rsidRPr="00EC250C">
        <w:rPr>
          <w:szCs w:val="24"/>
        </w:rPr>
        <w:t>to, że ustawa</w:t>
      </w:r>
      <w:r w:rsidR="00992FD0" w:rsidRPr="00EC250C">
        <w:rPr>
          <w:szCs w:val="24"/>
        </w:rPr>
        <w:t xml:space="preserve"> o </w:t>
      </w:r>
      <w:r w:rsidRPr="00EC250C">
        <w:rPr>
          <w:szCs w:val="24"/>
        </w:rPr>
        <w:t>dostępie do informacji publicznej wyodrębnia dwa rodzaje informacji publicznej: prostą</w:t>
      </w:r>
      <w:r w:rsidR="00992FD0" w:rsidRPr="00EC250C">
        <w:rPr>
          <w:szCs w:val="24"/>
        </w:rPr>
        <w:t xml:space="preserve"> i </w:t>
      </w:r>
      <w:r w:rsidRPr="00EC250C">
        <w:rPr>
          <w:szCs w:val="24"/>
        </w:rPr>
        <w:t>przetworzoną</w:t>
      </w:r>
      <w:r w:rsidR="00992FD0" w:rsidRPr="00EC250C">
        <w:rPr>
          <w:szCs w:val="24"/>
        </w:rPr>
        <w:t xml:space="preserve"> i </w:t>
      </w:r>
      <w:r w:rsidRPr="00EC250C">
        <w:rPr>
          <w:szCs w:val="24"/>
        </w:rPr>
        <w:t>wprowadza ograniczenia</w:t>
      </w:r>
      <w:r w:rsidR="00992FD0" w:rsidRPr="00EC250C">
        <w:rPr>
          <w:szCs w:val="24"/>
        </w:rPr>
        <w:t xml:space="preserve"> w </w:t>
      </w:r>
      <w:r w:rsidRPr="00EC250C">
        <w:rPr>
          <w:szCs w:val="24"/>
        </w:rPr>
        <w:t>dostępie do tego drugiego rodzaju informacji.</w:t>
      </w:r>
    </w:p>
    <w:p w14:paraId="2B824870" w14:textId="77777777" w:rsidR="00AA16E7" w:rsidRPr="00EC250C" w:rsidRDefault="00AA16E7" w:rsidP="00D131FA">
      <w:pPr>
        <w:pStyle w:val="Styl2"/>
        <w:rPr>
          <w:szCs w:val="24"/>
        </w:rPr>
      </w:pPr>
      <w:r w:rsidRPr="00EC250C">
        <w:rPr>
          <w:szCs w:val="24"/>
        </w:rPr>
        <w:t>Ustawa nie zawiera definicji, przywykło się jednak sądzić, że:</w:t>
      </w:r>
    </w:p>
    <w:p w14:paraId="4021BA91" w14:textId="77777777" w:rsidR="00AA16E7" w:rsidRPr="00EC250C" w:rsidRDefault="00AA16E7" w:rsidP="006C70B7">
      <w:pPr>
        <w:pStyle w:val="Styl2"/>
        <w:numPr>
          <w:ilvl w:val="0"/>
          <w:numId w:val="87"/>
        </w:numPr>
        <w:spacing w:after="0"/>
        <w:ind w:left="357" w:hanging="357"/>
        <w:rPr>
          <w:szCs w:val="24"/>
        </w:rPr>
      </w:pPr>
      <w:r w:rsidRPr="00EC250C">
        <w:rPr>
          <w:szCs w:val="24"/>
        </w:rPr>
        <w:lastRenderedPageBreak/>
        <w:t>informacja prosta to taka informacja, która może zostać udostępniona przez podmiot co do zasady</w:t>
      </w:r>
      <w:r w:rsidR="00992FD0" w:rsidRPr="00EC250C">
        <w:rPr>
          <w:szCs w:val="24"/>
        </w:rPr>
        <w:t xml:space="preserve"> w </w:t>
      </w:r>
      <w:r w:rsidRPr="00EC250C">
        <w:rPr>
          <w:szCs w:val="24"/>
        </w:rPr>
        <w:t>takiej formie,</w:t>
      </w:r>
      <w:r w:rsidR="00992FD0" w:rsidRPr="00EC250C">
        <w:rPr>
          <w:szCs w:val="24"/>
        </w:rPr>
        <w:t xml:space="preserve"> w </w:t>
      </w:r>
      <w:r w:rsidRPr="00EC250C">
        <w:rPr>
          <w:szCs w:val="24"/>
        </w:rPr>
        <w:t>jakiej ją posiada (mamy dokument, więc go udostępniamy),</w:t>
      </w:r>
    </w:p>
    <w:p w14:paraId="68FF2A42" w14:textId="77777777" w:rsidR="00AA16E7" w:rsidRPr="00EC250C" w:rsidRDefault="00AA16E7" w:rsidP="006C70B7">
      <w:pPr>
        <w:pStyle w:val="Styl2"/>
        <w:numPr>
          <w:ilvl w:val="0"/>
          <w:numId w:val="87"/>
        </w:numPr>
        <w:spacing w:after="0"/>
        <w:ind w:left="357" w:hanging="357"/>
        <w:rPr>
          <w:szCs w:val="24"/>
        </w:rPr>
      </w:pPr>
      <w:r w:rsidRPr="00EC250C">
        <w:rPr>
          <w:szCs w:val="24"/>
        </w:rPr>
        <w:t>przetworzenie informacji polega na stworzeniu jakościowo nowej informacji, ale jej źródłem są materiały znajdujące się</w:t>
      </w:r>
      <w:r w:rsidR="00992FD0" w:rsidRPr="00EC250C">
        <w:rPr>
          <w:szCs w:val="24"/>
        </w:rPr>
        <w:t xml:space="preserve"> w </w:t>
      </w:r>
      <w:r w:rsidRPr="00EC250C">
        <w:rPr>
          <w:szCs w:val="24"/>
        </w:rPr>
        <w:t>posiadaniu podmiotu zobowiązanego (musimy zebrać dane, które mamy,</w:t>
      </w:r>
      <w:r w:rsidR="00992FD0" w:rsidRPr="00EC250C">
        <w:rPr>
          <w:szCs w:val="24"/>
        </w:rPr>
        <w:t xml:space="preserve"> i </w:t>
      </w:r>
      <w:r w:rsidRPr="00EC250C">
        <w:rPr>
          <w:szCs w:val="24"/>
        </w:rPr>
        <w:t>je zestawić)</w:t>
      </w:r>
      <w:r w:rsidR="00CB1AD5" w:rsidRPr="00EC250C">
        <w:rPr>
          <w:szCs w:val="24"/>
        </w:rPr>
        <w:t>.</w:t>
      </w:r>
    </w:p>
    <w:p w14:paraId="20052129" w14:textId="77777777" w:rsidR="00AA16E7" w:rsidRPr="00EC250C" w:rsidRDefault="00AA16E7" w:rsidP="00D131FA">
      <w:pPr>
        <w:pStyle w:val="Styl2"/>
        <w:rPr>
          <w:szCs w:val="24"/>
        </w:rPr>
      </w:pPr>
      <w:r w:rsidRPr="00EC250C">
        <w:rPr>
          <w:szCs w:val="24"/>
        </w:rPr>
        <w:t>Wnioskując</w:t>
      </w:r>
      <w:r w:rsidR="00992FD0" w:rsidRPr="00EC250C">
        <w:rPr>
          <w:szCs w:val="24"/>
        </w:rPr>
        <w:t xml:space="preserve"> o </w:t>
      </w:r>
      <w:r w:rsidRPr="00EC250C">
        <w:rPr>
          <w:szCs w:val="24"/>
        </w:rPr>
        <w:t>informacje przetworzoną obywatel musi wykazać, że kieruje się interesem publicznym,</w:t>
      </w:r>
      <w:r w:rsidR="00CC4D88" w:rsidRPr="00EC250C">
        <w:rPr>
          <w:szCs w:val="24"/>
        </w:rPr>
        <w:t xml:space="preserve"> </w:t>
      </w:r>
      <w:r w:rsidRPr="00EC250C">
        <w:rPr>
          <w:szCs w:val="24"/>
        </w:rPr>
        <w:t>przy czym ustawa nie definiuje także tego pojęcia</w:t>
      </w:r>
      <w:r w:rsidRPr="00EC250C">
        <w:rPr>
          <w:rStyle w:val="Odwoanieprzypisudolnego"/>
          <w:szCs w:val="24"/>
        </w:rPr>
        <w:footnoteReference w:id="393"/>
      </w:r>
      <w:r w:rsidRPr="00EC250C">
        <w:rPr>
          <w:szCs w:val="24"/>
        </w:rPr>
        <w:t>.</w:t>
      </w:r>
      <w:r w:rsidR="00B93660" w:rsidRPr="00EC250C">
        <w:rPr>
          <w:szCs w:val="24"/>
        </w:rPr>
        <w:t xml:space="preserve"> </w:t>
      </w:r>
      <w:r w:rsidR="00A7212E" w:rsidRPr="00EC250C">
        <w:rPr>
          <w:szCs w:val="24"/>
        </w:rPr>
        <w:t>Według RPO można to zatem uznać za arbitralne kryterium, które daje urzędom możliwość nieudzielenia informacji publicznej.</w:t>
      </w:r>
    </w:p>
    <w:p w14:paraId="7FD5ED0B" w14:textId="77777777" w:rsidR="00C91F6E" w:rsidRPr="00EC250C" w:rsidRDefault="00187708" w:rsidP="00EC250C">
      <w:pPr>
        <w:pStyle w:val="Nagwek8"/>
      </w:pPr>
      <w:bookmarkStart w:id="384" w:name="_Toc6257812"/>
      <w:r w:rsidRPr="00EC250C">
        <w:t>Zasady wstępu obywateli do Sejmu</w:t>
      </w:r>
      <w:bookmarkEnd w:id="384"/>
    </w:p>
    <w:p w14:paraId="4CF3C651" w14:textId="77777777" w:rsidR="00187708" w:rsidRPr="00EC250C" w:rsidRDefault="00187708" w:rsidP="00D131FA">
      <w:pPr>
        <w:pStyle w:val="Styl2"/>
        <w:rPr>
          <w:szCs w:val="24"/>
        </w:rPr>
      </w:pPr>
      <w:r w:rsidRPr="00EC250C">
        <w:rPr>
          <w:rStyle w:val="Pogrubienie"/>
          <w:rFonts w:eastAsiaTheme="majorEastAsia"/>
          <w:b/>
          <w:bCs/>
          <w:szCs w:val="24"/>
        </w:rPr>
        <w:t xml:space="preserve">Człowiek może nie zostać wpuszczony do Sejmu </w:t>
      </w:r>
      <w:r w:rsidR="00AA16E7" w:rsidRPr="00EC250C">
        <w:rPr>
          <w:rStyle w:val="Pogrubienie"/>
          <w:rFonts w:eastAsiaTheme="majorEastAsia"/>
          <w:b/>
          <w:bCs/>
          <w:szCs w:val="24"/>
        </w:rPr>
        <w:t xml:space="preserve">nie dowiadując się </w:t>
      </w:r>
      <w:r w:rsidRPr="00EC250C">
        <w:rPr>
          <w:rStyle w:val="Pogrubienie"/>
          <w:rFonts w:eastAsiaTheme="majorEastAsia"/>
          <w:b/>
          <w:bCs/>
          <w:szCs w:val="24"/>
        </w:rPr>
        <w:t>nawet dlaczego. W czasie majowego protestu osób</w:t>
      </w:r>
      <w:r w:rsidR="00992FD0" w:rsidRPr="00EC250C">
        <w:rPr>
          <w:rStyle w:val="Pogrubienie"/>
          <w:rFonts w:eastAsiaTheme="majorEastAsia"/>
          <w:b/>
          <w:bCs/>
          <w:szCs w:val="24"/>
        </w:rPr>
        <w:t xml:space="preserve"> z </w:t>
      </w:r>
      <w:r w:rsidRPr="00EC250C">
        <w:rPr>
          <w:rStyle w:val="Pogrubienie"/>
          <w:rFonts w:eastAsiaTheme="majorEastAsia"/>
          <w:b/>
          <w:bCs/>
          <w:szCs w:val="24"/>
        </w:rPr>
        <w:t>niepełnosprawnościami</w:t>
      </w:r>
      <w:r w:rsidR="00992FD0" w:rsidRPr="00EC250C">
        <w:rPr>
          <w:rStyle w:val="Pogrubienie"/>
          <w:rFonts w:eastAsiaTheme="majorEastAsia"/>
          <w:b/>
          <w:bCs/>
          <w:szCs w:val="24"/>
        </w:rPr>
        <w:t xml:space="preserve"> w </w:t>
      </w:r>
      <w:r w:rsidRPr="00EC250C">
        <w:rPr>
          <w:rStyle w:val="Pogrubienie"/>
          <w:rFonts w:eastAsiaTheme="majorEastAsia"/>
          <w:b/>
          <w:bCs/>
          <w:szCs w:val="24"/>
        </w:rPr>
        <w:t>Sejmie wydawanie przepustek do parlamentu zostało całkowicie wstrzymane.</w:t>
      </w:r>
    </w:p>
    <w:p w14:paraId="3F0BED10" w14:textId="77777777" w:rsidR="00C91F6E" w:rsidRPr="00EC250C" w:rsidRDefault="00187708" w:rsidP="00D131FA">
      <w:pPr>
        <w:pStyle w:val="Styl2"/>
        <w:rPr>
          <w:rStyle w:val="Pogrubienie"/>
          <w:rFonts w:eastAsiaTheme="majorEastAsia"/>
          <w:b/>
          <w:bCs/>
          <w:szCs w:val="24"/>
        </w:rPr>
      </w:pPr>
      <w:r w:rsidRPr="00EC250C">
        <w:rPr>
          <w:rStyle w:val="Pogrubienie"/>
          <w:rFonts w:eastAsiaTheme="majorEastAsia"/>
          <w:b/>
          <w:bCs/>
          <w:szCs w:val="24"/>
        </w:rPr>
        <w:t xml:space="preserve">Według </w:t>
      </w:r>
      <w:r w:rsidR="00D20D4F" w:rsidRPr="00EC250C">
        <w:rPr>
          <w:rStyle w:val="Pogrubienie"/>
          <w:rFonts w:eastAsiaTheme="majorEastAsia"/>
          <w:b/>
          <w:bCs/>
          <w:szCs w:val="24"/>
        </w:rPr>
        <w:t>RPO</w:t>
      </w:r>
      <w:r w:rsidRPr="00EC250C">
        <w:rPr>
          <w:rStyle w:val="Pogrubienie"/>
          <w:rFonts w:eastAsiaTheme="majorEastAsia"/>
          <w:b/>
          <w:bCs/>
          <w:szCs w:val="24"/>
        </w:rPr>
        <w:t xml:space="preserve"> </w:t>
      </w:r>
      <w:r w:rsidR="00861BE8" w:rsidRPr="00EC250C">
        <w:rPr>
          <w:rStyle w:val="Pogrubienie"/>
          <w:rFonts w:eastAsiaTheme="majorEastAsia"/>
          <w:b/>
          <w:bCs/>
          <w:szCs w:val="24"/>
        </w:rPr>
        <w:t xml:space="preserve">Regulamin Sejmu </w:t>
      </w:r>
      <w:r w:rsidRPr="00EC250C">
        <w:rPr>
          <w:rStyle w:val="Pogrubienie"/>
          <w:rFonts w:eastAsiaTheme="majorEastAsia"/>
          <w:b/>
          <w:bCs/>
          <w:szCs w:val="24"/>
        </w:rPr>
        <w:t>nie gwarantuj</w:t>
      </w:r>
      <w:r w:rsidR="00861BE8" w:rsidRPr="00EC250C">
        <w:rPr>
          <w:rStyle w:val="Pogrubienie"/>
          <w:rFonts w:eastAsiaTheme="majorEastAsia"/>
          <w:b/>
          <w:bCs/>
          <w:szCs w:val="24"/>
        </w:rPr>
        <w:t>e</w:t>
      </w:r>
      <w:r w:rsidR="00992FD0" w:rsidRPr="00EC250C">
        <w:rPr>
          <w:rStyle w:val="Pogrubienie"/>
          <w:rFonts w:eastAsiaTheme="majorEastAsia"/>
          <w:b/>
          <w:bCs/>
          <w:szCs w:val="24"/>
        </w:rPr>
        <w:t xml:space="preserve"> w </w:t>
      </w:r>
      <w:r w:rsidRPr="00EC250C">
        <w:rPr>
          <w:rStyle w:val="Pogrubienie"/>
          <w:rFonts w:eastAsiaTheme="majorEastAsia"/>
          <w:b/>
          <w:bCs/>
          <w:szCs w:val="24"/>
        </w:rPr>
        <w:t>pełni możliwości korzystania</w:t>
      </w:r>
      <w:r w:rsidR="00992FD0" w:rsidRPr="00EC250C">
        <w:rPr>
          <w:rStyle w:val="Pogrubienie"/>
          <w:rFonts w:eastAsiaTheme="majorEastAsia"/>
          <w:b/>
          <w:bCs/>
          <w:szCs w:val="24"/>
        </w:rPr>
        <w:t xml:space="preserve"> z </w:t>
      </w:r>
      <w:r w:rsidRPr="00EC250C">
        <w:rPr>
          <w:rStyle w:val="Pogrubienie"/>
          <w:rFonts w:eastAsiaTheme="majorEastAsia"/>
          <w:b/>
          <w:bCs/>
          <w:szCs w:val="24"/>
        </w:rPr>
        <w:t>konstytucyjnego prawa wstępu obywateli na posiedzenia kolegialnych organów władzy pochodzących</w:t>
      </w:r>
      <w:r w:rsidR="00992FD0" w:rsidRPr="00EC250C">
        <w:rPr>
          <w:rStyle w:val="Pogrubienie"/>
          <w:rFonts w:eastAsiaTheme="majorEastAsia"/>
          <w:b/>
          <w:bCs/>
          <w:szCs w:val="24"/>
        </w:rPr>
        <w:t xml:space="preserve"> z </w:t>
      </w:r>
      <w:r w:rsidRPr="00EC250C">
        <w:rPr>
          <w:rStyle w:val="Pogrubienie"/>
          <w:rFonts w:eastAsiaTheme="majorEastAsia"/>
          <w:b/>
          <w:bCs/>
          <w:szCs w:val="24"/>
        </w:rPr>
        <w:t>wyborów powszechnych.</w:t>
      </w:r>
    </w:p>
    <w:p w14:paraId="47925E45" w14:textId="77777777" w:rsidR="00C91F6E" w:rsidRPr="00EC250C" w:rsidRDefault="00187708" w:rsidP="00D131FA">
      <w:pPr>
        <w:pStyle w:val="Styl2"/>
        <w:rPr>
          <w:szCs w:val="24"/>
        </w:rPr>
      </w:pPr>
      <w:r w:rsidRPr="00EC250C">
        <w:rPr>
          <w:szCs w:val="24"/>
        </w:rPr>
        <w:t>Obywatele skarżyli się</w:t>
      </w:r>
      <w:r w:rsidR="00992FD0" w:rsidRPr="00EC250C">
        <w:rPr>
          <w:szCs w:val="24"/>
        </w:rPr>
        <w:t xml:space="preserve"> w </w:t>
      </w:r>
      <w:r w:rsidRPr="00EC250C">
        <w:rPr>
          <w:szCs w:val="24"/>
        </w:rPr>
        <w:t>2018</w:t>
      </w:r>
      <w:r w:rsidR="00C91F6E" w:rsidRPr="00EC250C">
        <w:rPr>
          <w:szCs w:val="24"/>
        </w:rPr>
        <w:t> r.</w:t>
      </w:r>
      <w:r w:rsidRPr="00EC250C">
        <w:rPr>
          <w:szCs w:val="24"/>
        </w:rPr>
        <w:t xml:space="preserve"> </w:t>
      </w:r>
      <w:r w:rsidR="00D20D4F" w:rsidRPr="00EC250C">
        <w:rPr>
          <w:szCs w:val="24"/>
        </w:rPr>
        <w:t>RPO</w:t>
      </w:r>
      <w:r w:rsidRPr="00EC250C">
        <w:rPr>
          <w:szCs w:val="24"/>
        </w:rPr>
        <w:t xml:space="preserve"> na </w:t>
      </w:r>
      <w:r w:rsidR="000E2581" w:rsidRPr="00EC250C">
        <w:rPr>
          <w:szCs w:val="24"/>
        </w:rPr>
        <w:t xml:space="preserve">problemy </w:t>
      </w:r>
      <w:r w:rsidRPr="00EC250C">
        <w:rPr>
          <w:szCs w:val="24"/>
        </w:rPr>
        <w:t>ze wstępem do budynku Sejmu</w:t>
      </w:r>
      <w:r w:rsidR="00992FD0" w:rsidRPr="00EC250C">
        <w:rPr>
          <w:szCs w:val="24"/>
        </w:rPr>
        <w:t xml:space="preserve"> i </w:t>
      </w:r>
      <w:r w:rsidRPr="00EC250C">
        <w:rPr>
          <w:szCs w:val="24"/>
        </w:rPr>
        <w:t>uczestnictwem</w:t>
      </w:r>
      <w:r w:rsidR="00992FD0" w:rsidRPr="00EC250C">
        <w:rPr>
          <w:szCs w:val="24"/>
        </w:rPr>
        <w:t xml:space="preserve"> w </w:t>
      </w:r>
      <w:r w:rsidRPr="00EC250C">
        <w:rPr>
          <w:szCs w:val="24"/>
        </w:rPr>
        <w:t>obradach m.in. komisji sejmowych</w:t>
      </w:r>
      <w:r w:rsidR="00992FD0" w:rsidRPr="00EC250C">
        <w:rPr>
          <w:szCs w:val="24"/>
        </w:rPr>
        <w:t xml:space="preserve"> i </w:t>
      </w:r>
      <w:r w:rsidRPr="00EC250C">
        <w:rPr>
          <w:szCs w:val="24"/>
        </w:rPr>
        <w:t>zespołów parlamentarnych.</w:t>
      </w:r>
    </w:p>
    <w:p w14:paraId="553766A4" w14:textId="77777777" w:rsidR="00187708" w:rsidRPr="00EC250C" w:rsidRDefault="00187708" w:rsidP="00D131FA">
      <w:pPr>
        <w:pStyle w:val="Styl2"/>
        <w:rPr>
          <w:szCs w:val="24"/>
        </w:rPr>
      </w:pPr>
      <w:r w:rsidRPr="00EC250C">
        <w:rPr>
          <w:szCs w:val="24"/>
        </w:rPr>
        <w:t>Na przykład ekipa przygotowująca film dokumentalny była zainteresowana rejestracją przebiegu jednego</w:t>
      </w:r>
      <w:r w:rsidR="00992FD0" w:rsidRPr="00EC250C">
        <w:rPr>
          <w:szCs w:val="24"/>
        </w:rPr>
        <w:t xml:space="preserve"> z </w:t>
      </w:r>
      <w:r w:rsidRPr="00EC250C">
        <w:rPr>
          <w:szCs w:val="24"/>
        </w:rPr>
        <w:t>posiedzeń komisji Sejmu. Okazało się, że mogą ubiegać się tylko</w:t>
      </w:r>
      <w:r w:rsidR="00992FD0" w:rsidRPr="00EC250C">
        <w:rPr>
          <w:szCs w:val="24"/>
        </w:rPr>
        <w:t xml:space="preserve"> o </w:t>
      </w:r>
      <w:r w:rsidRPr="00EC250C">
        <w:rPr>
          <w:szCs w:val="24"/>
        </w:rPr>
        <w:t>jednorazowe karty prasowe, ale ich nie dostali, bo nie reprezentowali żadnej redakcji. Nie było też innej procedury uczestniczenia</w:t>
      </w:r>
      <w:r w:rsidR="00992FD0" w:rsidRPr="00EC250C">
        <w:rPr>
          <w:szCs w:val="24"/>
        </w:rPr>
        <w:t xml:space="preserve"> w </w:t>
      </w:r>
      <w:r w:rsidRPr="00EC250C">
        <w:rPr>
          <w:szCs w:val="24"/>
        </w:rPr>
        <w:t xml:space="preserve">pracach komisji </w:t>
      </w:r>
      <w:r w:rsidR="00861BE8" w:rsidRPr="00EC250C">
        <w:rPr>
          <w:szCs w:val="24"/>
        </w:rPr>
        <w:t>Sejmu.</w:t>
      </w:r>
    </w:p>
    <w:p w14:paraId="496978CB" w14:textId="77777777" w:rsidR="00187708" w:rsidRPr="00EC250C" w:rsidRDefault="00187708" w:rsidP="00D131FA">
      <w:pPr>
        <w:pStyle w:val="Styl2"/>
        <w:rPr>
          <w:szCs w:val="24"/>
        </w:rPr>
      </w:pPr>
      <w:r w:rsidRPr="00EC250C">
        <w:rPr>
          <w:szCs w:val="24"/>
        </w:rPr>
        <w:t xml:space="preserve">W odpowiedzi szefowa Kancelarii Sejmu zapewniła, że argumenty </w:t>
      </w:r>
      <w:r w:rsidR="00D20D4F" w:rsidRPr="00EC250C">
        <w:rPr>
          <w:szCs w:val="24"/>
        </w:rPr>
        <w:t>RPO</w:t>
      </w:r>
      <w:r w:rsidRPr="00EC250C">
        <w:rPr>
          <w:szCs w:val="24"/>
        </w:rPr>
        <w:t xml:space="preserve"> zostaną uwzględnione przy ewentualnych pracach nad zmianą</w:t>
      </w:r>
      <w:r w:rsidR="00992FD0" w:rsidRPr="00EC250C">
        <w:rPr>
          <w:szCs w:val="24"/>
        </w:rPr>
        <w:t xml:space="preserve"> w </w:t>
      </w:r>
      <w:r w:rsidRPr="00EC250C">
        <w:rPr>
          <w:szCs w:val="24"/>
        </w:rPr>
        <w:t>Regulaminie Sejmu.</w:t>
      </w:r>
    </w:p>
    <w:p w14:paraId="6E4BEE11" w14:textId="77777777" w:rsidR="00187708" w:rsidRPr="00EC250C" w:rsidRDefault="00187708" w:rsidP="00D131FA">
      <w:pPr>
        <w:pStyle w:val="Styl2"/>
        <w:rPr>
          <w:szCs w:val="24"/>
        </w:rPr>
      </w:pPr>
      <w:r w:rsidRPr="00EC250C">
        <w:rPr>
          <w:szCs w:val="24"/>
        </w:rPr>
        <w:t>Problem zawieszenia wstępu obywateli do Sejmu RPO sygnalizował także</w:t>
      </w:r>
      <w:r w:rsidR="00992FD0" w:rsidRPr="00EC250C">
        <w:rPr>
          <w:szCs w:val="24"/>
        </w:rPr>
        <w:t xml:space="preserve"> w </w:t>
      </w:r>
      <w:r w:rsidRPr="00EC250C">
        <w:rPr>
          <w:szCs w:val="24"/>
        </w:rPr>
        <w:t>kolejnym piśmie,</w:t>
      </w:r>
      <w:r w:rsidR="00992FD0" w:rsidRPr="00EC250C">
        <w:rPr>
          <w:szCs w:val="24"/>
        </w:rPr>
        <w:t xml:space="preserve"> w </w:t>
      </w:r>
      <w:r w:rsidRPr="00EC250C">
        <w:rPr>
          <w:szCs w:val="24"/>
        </w:rPr>
        <w:t>maju 2018</w:t>
      </w:r>
      <w:r w:rsidR="00C91F6E" w:rsidRPr="00EC250C">
        <w:rPr>
          <w:szCs w:val="24"/>
        </w:rPr>
        <w:t> r.</w:t>
      </w:r>
      <w:r w:rsidR="00A40AF0" w:rsidRPr="00EC250C">
        <w:rPr>
          <w:rStyle w:val="Odwoanieprzypisudolnego"/>
          <w:bCs w:val="0"/>
          <w:iCs w:val="0"/>
          <w:szCs w:val="24"/>
        </w:rPr>
        <w:t xml:space="preserve"> </w:t>
      </w:r>
      <w:r w:rsidR="00861BE8" w:rsidRPr="00EC250C">
        <w:rPr>
          <w:rStyle w:val="Odwoanieprzypisudolnego"/>
          <w:bCs w:val="0"/>
          <w:iCs w:val="0"/>
          <w:szCs w:val="24"/>
        </w:rPr>
        <w:footnoteReference w:id="394"/>
      </w:r>
    </w:p>
    <w:p w14:paraId="71F8F8B6" w14:textId="77777777" w:rsidR="00187708" w:rsidRPr="00EC250C" w:rsidRDefault="00E059F9" w:rsidP="00EC79EB">
      <w:pPr>
        <w:pStyle w:val="Nagwek4"/>
      </w:pPr>
      <w:bookmarkStart w:id="385" w:name="_Toc6257813"/>
      <w:bookmarkStart w:id="386" w:name="_Toc11247690"/>
      <w:r w:rsidRPr="00EC250C">
        <w:t>Inne u</w:t>
      </w:r>
      <w:r w:rsidR="00187708" w:rsidRPr="00EC250C">
        <w:t>trudnienia dla obywateli</w:t>
      </w:r>
      <w:r w:rsidR="00992FD0" w:rsidRPr="00EC250C">
        <w:t xml:space="preserve"> i </w:t>
      </w:r>
      <w:r w:rsidR="00187708" w:rsidRPr="00EC250C">
        <w:t>mediów</w:t>
      </w:r>
      <w:r w:rsidR="00992FD0" w:rsidRPr="00EC250C">
        <w:t xml:space="preserve"> w </w:t>
      </w:r>
      <w:r w:rsidR="00187708" w:rsidRPr="00EC250C">
        <w:t>dostępie do informacji</w:t>
      </w:r>
      <w:bookmarkEnd w:id="385"/>
      <w:bookmarkEnd w:id="386"/>
    </w:p>
    <w:p w14:paraId="776A45BD" w14:textId="77777777" w:rsidR="00187708" w:rsidRPr="00EC250C" w:rsidRDefault="00187708" w:rsidP="00EC250C">
      <w:pPr>
        <w:pStyle w:val="Nagwek8"/>
      </w:pPr>
      <w:r w:rsidRPr="00EC250C">
        <w:t>Interwencje RPO</w:t>
      </w:r>
      <w:r w:rsidR="00992FD0" w:rsidRPr="00EC250C">
        <w:t xml:space="preserve"> w </w:t>
      </w:r>
      <w:r w:rsidRPr="00EC250C">
        <w:t>2018</w:t>
      </w:r>
      <w:r w:rsidR="00C91F6E" w:rsidRPr="00EC250C">
        <w:t> r.</w:t>
      </w:r>
    </w:p>
    <w:p w14:paraId="43026BF4" w14:textId="77777777" w:rsidR="00187708" w:rsidRPr="00EC250C" w:rsidRDefault="00187708" w:rsidP="00D131FA">
      <w:pPr>
        <w:pStyle w:val="Styl2"/>
        <w:spacing w:after="0"/>
        <w:rPr>
          <w:szCs w:val="24"/>
        </w:rPr>
      </w:pPr>
      <w:r w:rsidRPr="00EC250C">
        <w:rPr>
          <w:szCs w:val="24"/>
        </w:rPr>
        <w:t>Dotyczyły one m.in.:</w:t>
      </w:r>
    </w:p>
    <w:p w14:paraId="4EF45910" w14:textId="77777777" w:rsidR="00187708" w:rsidRPr="00EC250C" w:rsidRDefault="000E2581" w:rsidP="006C70B7">
      <w:pPr>
        <w:pStyle w:val="Styl2"/>
        <w:numPr>
          <w:ilvl w:val="0"/>
          <w:numId w:val="47"/>
        </w:numPr>
        <w:spacing w:after="0" w:line="240" w:lineRule="auto"/>
        <w:rPr>
          <w:szCs w:val="24"/>
        </w:rPr>
      </w:pPr>
      <w:r w:rsidRPr="00EC250C">
        <w:rPr>
          <w:szCs w:val="24"/>
        </w:rPr>
        <w:t xml:space="preserve">niewpuszczenia </w:t>
      </w:r>
      <w:r w:rsidR="00187708" w:rsidRPr="00EC250C">
        <w:rPr>
          <w:szCs w:val="24"/>
        </w:rPr>
        <w:t>dziennikarzy na debatę organizowaną przez Ministerstwo Edukacji Narodowej</w:t>
      </w:r>
      <w:r w:rsidR="00187708" w:rsidRPr="00EC250C">
        <w:rPr>
          <w:rStyle w:val="Odwoanieprzypisudolnego"/>
          <w:szCs w:val="24"/>
        </w:rPr>
        <w:footnoteReference w:id="395"/>
      </w:r>
      <w:r w:rsidRPr="00EC250C">
        <w:rPr>
          <w:szCs w:val="24"/>
        </w:rPr>
        <w:t>,</w:t>
      </w:r>
    </w:p>
    <w:p w14:paraId="0F09AA75" w14:textId="77777777" w:rsidR="00187708" w:rsidRPr="00EC250C" w:rsidRDefault="000E2581" w:rsidP="006C70B7">
      <w:pPr>
        <w:pStyle w:val="Styl2"/>
        <w:numPr>
          <w:ilvl w:val="0"/>
          <w:numId w:val="47"/>
        </w:numPr>
        <w:spacing w:after="0" w:line="240" w:lineRule="auto"/>
        <w:rPr>
          <w:szCs w:val="24"/>
        </w:rPr>
      </w:pPr>
      <w:r w:rsidRPr="00EC250C">
        <w:rPr>
          <w:szCs w:val="24"/>
        </w:rPr>
        <w:t xml:space="preserve">czarnej </w:t>
      </w:r>
      <w:r w:rsidR="00187708" w:rsidRPr="00EC250C">
        <w:rPr>
          <w:szCs w:val="24"/>
        </w:rPr>
        <w:t>listy osób niewpuszczanych do Sejmu</w:t>
      </w:r>
      <w:r w:rsidR="00187708" w:rsidRPr="00EC250C">
        <w:rPr>
          <w:rStyle w:val="Odwoanieprzypisudolnego"/>
          <w:szCs w:val="24"/>
        </w:rPr>
        <w:footnoteReference w:id="396"/>
      </w:r>
      <w:r w:rsidRPr="00EC250C">
        <w:rPr>
          <w:szCs w:val="24"/>
        </w:rPr>
        <w:t>,</w:t>
      </w:r>
    </w:p>
    <w:p w14:paraId="00DD16B6" w14:textId="77777777" w:rsidR="00187708" w:rsidRPr="00EC250C" w:rsidRDefault="000E2581" w:rsidP="006C70B7">
      <w:pPr>
        <w:pStyle w:val="Styl2"/>
        <w:numPr>
          <w:ilvl w:val="0"/>
          <w:numId w:val="47"/>
        </w:numPr>
        <w:spacing w:after="0" w:line="240" w:lineRule="auto"/>
        <w:rPr>
          <w:szCs w:val="24"/>
        </w:rPr>
      </w:pPr>
      <w:r w:rsidRPr="00EC250C">
        <w:rPr>
          <w:szCs w:val="24"/>
        </w:rPr>
        <w:t xml:space="preserve">niewpuszczania </w:t>
      </w:r>
      <w:r w:rsidR="00187708" w:rsidRPr="00EC250C">
        <w:rPr>
          <w:szCs w:val="24"/>
        </w:rPr>
        <w:t>na konferencję naukową organizowaną przez nową KRS</w:t>
      </w:r>
      <w:r w:rsidR="00187708" w:rsidRPr="00EC250C">
        <w:rPr>
          <w:rStyle w:val="Odwoanieprzypisudolnego"/>
          <w:szCs w:val="24"/>
        </w:rPr>
        <w:footnoteReference w:id="397"/>
      </w:r>
      <w:r w:rsidR="004A7AF7" w:rsidRPr="00EC250C">
        <w:rPr>
          <w:szCs w:val="24"/>
        </w:rPr>
        <w:t>.</w:t>
      </w:r>
    </w:p>
    <w:p w14:paraId="3CBCED2E" w14:textId="77777777" w:rsidR="00C91F6E" w:rsidRPr="00EC250C" w:rsidRDefault="00187708" w:rsidP="00EC250C">
      <w:pPr>
        <w:pStyle w:val="Nagwek8"/>
      </w:pPr>
      <w:r w:rsidRPr="00EC250C">
        <w:lastRenderedPageBreak/>
        <w:t>Odmowa wydania dziennikarzowi jednorazowej karty wstępu do budynku Sejmu</w:t>
      </w:r>
    </w:p>
    <w:p w14:paraId="36E3C5DE" w14:textId="77777777" w:rsidR="00861BE8" w:rsidRPr="00EC250C" w:rsidRDefault="00861BE8" w:rsidP="00D131FA">
      <w:pPr>
        <w:pStyle w:val="Styl2"/>
        <w:rPr>
          <w:szCs w:val="24"/>
        </w:rPr>
      </w:pPr>
      <w:r w:rsidRPr="00EC250C">
        <w:rPr>
          <w:szCs w:val="24"/>
        </w:rPr>
        <w:t>Dziennikarz Oko.press Daniel Flis nie dostał prasowej karty wstępu do Sejmu w czasie zorganizowanego tam protestu dorosłych osób z niepełnosprawnościami i ich opiekunów.</w:t>
      </w:r>
    </w:p>
    <w:p w14:paraId="5B2AB7E1" w14:textId="77777777" w:rsidR="00861BE8" w:rsidRPr="00EC250C" w:rsidRDefault="00861BE8" w:rsidP="00D131FA">
      <w:pPr>
        <w:pStyle w:val="Styl2"/>
        <w:rPr>
          <w:szCs w:val="24"/>
        </w:rPr>
      </w:pPr>
      <w:r w:rsidRPr="00EC250C">
        <w:rPr>
          <w:szCs w:val="24"/>
        </w:rPr>
        <w:t>W 2018 r. Rzecznik Praw Obywatelskich przystąpił do postępowania przed WSA w Warszawie w sprawie ze skargi tego dziennikarza. Decyzja odmowna została wydana na podstawie zarządzenia Marszałka Sejmu. WSA podzielił stanowisko dziennikarza oraz Rzecznika i stwierdził bezskuteczność czynności polegającej na odmowie wstępu na posiedzenie Sejmu. Podkreślił brak ustawowego umocowania do ograniczania konstytucyjnych praw w niniejszej sprawie oraz nieproporcjonalność ograniczenia prawa do wstępu na posiedzenie Sejmu. Sąd poinformował również, że na gruncie innej sprawy uchylił przepisy budzącego wątpliwości zarządzenia Marszałka Sejmu. Sprawa ma istotne znaczenie dla realizacji zasady jawności w życiu publicznym</w:t>
      </w:r>
      <w:r w:rsidRPr="00EC250C">
        <w:rPr>
          <w:rStyle w:val="Odwoanieprzypisudolnego"/>
          <w:szCs w:val="24"/>
        </w:rPr>
        <w:footnoteReference w:id="398"/>
      </w:r>
      <w:r w:rsidRPr="00EC250C">
        <w:rPr>
          <w:szCs w:val="24"/>
        </w:rPr>
        <w:t>.</w:t>
      </w:r>
    </w:p>
    <w:p w14:paraId="10DD119A" w14:textId="77777777" w:rsidR="00187708" w:rsidRPr="00EC250C" w:rsidRDefault="00187708" w:rsidP="00EC250C">
      <w:pPr>
        <w:pStyle w:val="Nagwek8"/>
      </w:pPr>
      <w:r w:rsidRPr="00EC250C">
        <w:t>Skarga na decyzję Szefa Kancelarii Sejmu</w:t>
      </w:r>
      <w:r w:rsidR="00992FD0" w:rsidRPr="00EC250C">
        <w:t xml:space="preserve"> o </w:t>
      </w:r>
      <w:r w:rsidRPr="00EC250C">
        <w:t>odmowie udostępnienia informacji publicznej</w:t>
      </w:r>
      <w:r w:rsidR="00992FD0" w:rsidRPr="00EC250C">
        <w:t xml:space="preserve"> o </w:t>
      </w:r>
      <w:r w:rsidRPr="00EC250C">
        <w:t>kandydatach do KRS</w:t>
      </w:r>
    </w:p>
    <w:p w14:paraId="0BF8F2C7" w14:textId="77777777" w:rsidR="0031067D" w:rsidRPr="00EC250C" w:rsidRDefault="0031067D" w:rsidP="00D131FA">
      <w:pPr>
        <w:pStyle w:val="Styl2"/>
        <w:rPr>
          <w:szCs w:val="24"/>
        </w:rPr>
      </w:pPr>
      <w:r w:rsidRPr="00EC250C">
        <w:rPr>
          <w:szCs w:val="24"/>
        </w:rPr>
        <w:t xml:space="preserve">Sejm wybrał w 2018 r. nowych członków Krajowej Rady Sądownictwa. Na podstawie przepisów zmienionych w 2017 r. </w:t>
      </w:r>
      <w:r w:rsidRPr="00EC250C">
        <w:rPr>
          <w:szCs w:val="24"/>
          <w:shd w:val="clear" w:color="auto" w:fill="FFFFFF"/>
        </w:rPr>
        <w:t xml:space="preserve">Nowela wprowadziła wybór 15 członków KRS-sędziów na wspólną czteroletnią kadencję przez Sejm - wcześniej wybierały ich środowiska sędziowskie. Nowych kandydatów do KRS mogły zgłaszać grupy 25 sędziów oraz co najmniej dwóch tysięcy obywateli. </w:t>
      </w:r>
      <w:r w:rsidRPr="00EC250C">
        <w:rPr>
          <w:szCs w:val="24"/>
        </w:rPr>
        <w:t>Problem w tym, że nazwiska popierających zgłoszenia nie zostały ujawnione.</w:t>
      </w:r>
    </w:p>
    <w:p w14:paraId="688667C0" w14:textId="77777777" w:rsidR="000F34B8" w:rsidRPr="00EC250C" w:rsidRDefault="00187708" w:rsidP="00D131FA">
      <w:pPr>
        <w:pStyle w:val="Styl2"/>
        <w:rPr>
          <w:szCs w:val="24"/>
        </w:rPr>
      </w:pPr>
      <w:r w:rsidRPr="00EC250C">
        <w:rPr>
          <w:szCs w:val="24"/>
        </w:rPr>
        <w:t>Wyrokiem</w:t>
      </w:r>
      <w:r w:rsidR="00992FD0" w:rsidRPr="00EC250C">
        <w:rPr>
          <w:szCs w:val="24"/>
        </w:rPr>
        <w:t xml:space="preserve"> z </w:t>
      </w:r>
      <w:r w:rsidRPr="00EC250C">
        <w:rPr>
          <w:szCs w:val="24"/>
        </w:rPr>
        <w:t>23 listopada 2018</w:t>
      </w:r>
      <w:r w:rsidR="00C91F6E" w:rsidRPr="00EC250C">
        <w:rPr>
          <w:szCs w:val="24"/>
        </w:rPr>
        <w:t> r.</w:t>
      </w:r>
      <w:r w:rsidRPr="00EC250C">
        <w:rPr>
          <w:szCs w:val="24"/>
        </w:rPr>
        <w:t xml:space="preserve"> </w:t>
      </w:r>
      <w:r w:rsidR="00A23628" w:rsidRPr="00EC250C">
        <w:rPr>
          <w:szCs w:val="24"/>
        </w:rPr>
        <w:t>WSA</w:t>
      </w:r>
      <w:r w:rsidR="00992FD0" w:rsidRPr="00EC250C">
        <w:rPr>
          <w:szCs w:val="24"/>
        </w:rPr>
        <w:t xml:space="preserve"> w </w:t>
      </w:r>
      <w:r w:rsidRPr="00EC250C">
        <w:rPr>
          <w:szCs w:val="24"/>
        </w:rPr>
        <w:t>W</w:t>
      </w:r>
      <w:r w:rsidR="004E5197" w:rsidRPr="00EC250C">
        <w:rPr>
          <w:szCs w:val="24"/>
        </w:rPr>
        <w:t>arszawie</w:t>
      </w:r>
      <w:r w:rsidRPr="00EC250C">
        <w:rPr>
          <w:szCs w:val="24"/>
        </w:rPr>
        <w:t xml:space="preserve"> uchylił decyzję Szefa Kancelarii Sejmu</w:t>
      </w:r>
      <w:r w:rsidR="00992FD0" w:rsidRPr="00EC250C">
        <w:rPr>
          <w:szCs w:val="24"/>
        </w:rPr>
        <w:t xml:space="preserve"> o </w:t>
      </w:r>
      <w:r w:rsidRPr="00EC250C">
        <w:rPr>
          <w:szCs w:val="24"/>
        </w:rPr>
        <w:t>odmowie udzielenia informacji publicznej dotyczącej sędziów, którzy poparli zgłoszenia kandydatów do nowej KRS. Sąd podzielił stanowisko</w:t>
      </w:r>
      <w:r w:rsidRPr="00EC250C">
        <w:rPr>
          <w:rStyle w:val="Odwoanieprzypisudolnego"/>
          <w:szCs w:val="24"/>
        </w:rPr>
        <w:footnoteReference w:id="399"/>
      </w:r>
      <w:r w:rsidRPr="00EC250C">
        <w:rPr>
          <w:szCs w:val="24"/>
        </w:rPr>
        <w:t xml:space="preserve"> Rzecznika, że przepisy ustawy</w:t>
      </w:r>
      <w:r w:rsidR="00992FD0" w:rsidRPr="00EC250C">
        <w:rPr>
          <w:szCs w:val="24"/>
        </w:rPr>
        <w:t xml:space="preserve"> o </w:t>
      </w:r>
      <w:r w:rsidRPr="00EC250C">
        <w:rPr>
          <w:szCs w:val="24"/>
        </w:rPr>
        <w:t>KRS nie wyłączają stosowania ustawy</w:t>
      </w:r>
      <w:r w:rsidR="00992FD0" w:rsidRPr="00EC250C">
        <w:rPr>
          <w:szCs w:val="24"/>
        </w:rPr>
        <w:t xml:space="preserve"> o </w:t>
      </w:r>
      <w:r w:rsidRPr="00EC250C">
        <w:rPr>
          <w:szCs w:val="24"/>
        </w:rPr>
        <w:t>dostępie do informacji publicznej oraz że</w:t>
      </w:r>
      <w:r w:rsidR="00992FD0" w:rsidRPr="00EC250C">
        <w:rPr>
          <w:szCs w:val="24"/>
        </w:rPr>
        <w:t xml:space="preserve"> </w:t>
      </w:r>
      <w:r w:rsidRPr="00EC250C">
        <w:rPr>
          <w:szCs w:val="24"/>
        </w:rPr>
        <w:t>nie zachodzi przesłanka odmowy udzielenia informacji</w:t>
      </w:r>
      <w:r w:rsidR="00992FD0" w:rsidRPr="00EC250C">
        <w:rPr>
          <w:szCs w:val="24"/>
        </w:rPr>
        <w:t xml:space="preserve"> z </w:t>
      </w:r>
      <w:r w:rsidRPr="00EC250C">
        <w:rPr>
          <w:szCs w:val="24"/>
        </w:rPr>
        <w:t>uwagi na ochronę prywatności osób fizycznych. Sprawa ma istotne znaczenie</w:t>
      </w:r>
      <w:r w:rsidR="00992FD0" w:rsidRPr="00EC250C">
        <w:rPr>
          <w:szCs w:val="24"/>
        </w:rPr>
        <w:t xml:space="preserve"> z </w:t>
      </w:r>
      <w:r w:rsidRPr="00EC250C">
        <w:rPr>
          <w:szCs w:val="24"/>
        </w:rPr>
        <w:t>uwagi na konieczność</w:t>
      </w:r>
      <w:r w:rsidR="00CC4D88" w:rsidRPr="00EC250C">
        <w:rPr>
          <w:szCs w:val="24"/>
        </w:rPr>
        <w:t xml:space="preserve"> </w:t>
      </w:r>
      <w:r w:rsidRPr="00EC250C">
        <w:rPr>
          <w:szCs w:val="24"/>
        </w:rPr>
        <w:t xml:space="preserve">zapewnienia transparentności procedury wyboru członków KRS. W ocenie </w:t>
      </w:r>
      <w:r w:rsidR="00D20D4F" w:rsidRPr="00EC250C">
        <w:rPr>
          <w:szCs w:val="24"/>
        </w:rPr>
        <w:t>RPO</w:t>
      </w:r>
      <w:r w:rsidRPr="00EC250C">
        <w:rPr>
          <w:szCs w:val="24"/>
        </w:rPr>
        <w:t xml:space="preserve"> odmowa informacji publicznej</w:t>
      </w:r>
      <w:r w:rsidR="00992FD0" w:rsidRPr="00EC250C">
        <w:rPr>
          <w:szCs w:val="24"/>
        </w:rPr>
        <w:t xml:space="preserve"> o </w:t>
      </w:r>
      <w:r w:rsidRPr="00EC250C">
        <w:rPr>
          <w:szCs w:val="24"/>
        </w:rPr>
        <w:t xml:space="preserve">osobach pełniących funkcje publiczne, które poparły kandydatów do KRS, uniemożliwia obywatelom ocenę, czy kryteria wyboru członków Rady zostały spełnione. </w:t>
      </w:r>
    </w:p>
    <w:p w14:paraId="07471814" w14:textId="77777777" w:rsidR="00C91F6E" w:rsidRPr="00EC250C" w:rsidRDefault="00187708" w:rsidP="00D131FA">
      <w:pPr>
        <w:pStyle w:val="Styl2"/>
        <w:rPr>
          <w:szCs w:val="24"/>
        </w:rPr>
      </w:pPr>
      <w:r w:rsidRPr="00EC250C">
        <w:rPr>
          <w:szCs w:val="24"/>
        </w:rPr>
        <w:t xml:space="preserve">Od wyroku WSA została wniesiona skarga kasacyjna. Rzecznik będzie </w:t>
      </w:r>
      <w:r w:rsidR="000F34B8" w:rsidRPr="00EC250C">
        <w:rPr>
          <w:szCs w:val="24"/>
        </w:rPr>
        <w:t xml:space="preserve">dalej brał </w:t>
      </w:r>
      <w:r w:rsidRPr="00EC250C">
        <w:rPr>
          <w:szCs w:val="24"/>
        </w:rPr>
        <w:t>udział</w:t>
      </w:r>
      <w:r w:rsidR="00992FD0" w:rsidRPr="00EC250C">
        <w:rPr>
          <w:szCs w:val="24"/>
        </w:rPr>
        <w:t xml:space="preserve"> w</w:t>
      </w:r>
      <w:r w:rsidRPr="00EC250C">
        <w:rPr>
          <w:szCs w:val="24"/>
        </w:rPr>
        <w:t xml:space="preserve"> postępowaniu.</w:t>
      </w:r>
    </w:p>
    <w:p w14:paraId="4D737D40" w14:textId="77777777" w:rsidR="00187708" w:rsidRPr="00EC250C" w:rsidRDefault="00187708" w:rsidP="00D131FA">
      <w:pPr>
        <w:pStyle w:val="ODESANIE"/>
        <w:jc w:val="both"/>
      </w:pPr>
      <w:r w:rsidRPr="00EC250C">
        <w:t>O problemie nowej KRS – przy art. 45 Konstytucji</w:t>
      </w:r>
    </w:p>
    <w:p w14:paraId="6298CCC0" w14:textId="77777777" w:rsidR="00187708" w:rsidRPr="00EC250C" w:rsidRDefault="00187708" w:rsidP="00D131FA">
      <w:pPr>
        <w:spacing w:after="200" w:line="24" w:lineRule="auto"/>
        <w:jc w:val="both"/>
        <w:rPr>
          <w:bCs/>
          <w:color w:val="044892"/>
          <w:sz w:val="24"/>
        </w:rPr>
      </w:pPr>
      <w:r w:rsidRPr="00EC250C">
        <w:rPr>
          <w:sz w:val="24"/>
        </w:rPr>
        <w:br w:type="page"/>
      </w:r>
    </w:p>
    <w:p w14:paraId="1AF3CD0D" w14:textId="77777777" w:rsidR="00C91F6E" w:rsidRPr="00EC250C" w:rsidRDefault="00187708" w:rsidP="00EC250C">
      <w:pPr>
        <w:pStyle w:val="Nagwek3"/>
      </w:pPr>
      <w:bookmarkStart w:id="387" w:name="_Toc6257814"/>
      <w:bookmarkStart w:id="388" w:name="_Toc11247691"/>
      <w:r w:rsidRPr="00EC250C">
        <w:lastRenderedPageBreak/>
        <w:t xml:space="preserve">Art. 62 </w:t>
      </w:r>
      <w:r w:rsidR="003C7122" w:rsidRPr="00EC250C">
        <w:t xml:space="preserve">Konstytucji </w:t>
      </w:r>
      <w:r w:rsidRPr="00EC250C">
        <w:t>– Prawa wyborcze</w:t>
      </w:r>
      <w:bookmarkEnd w:id="387"/>
      <w:bookmarkEnd w:id="388"/>
    </w:p>
    <w:p w14:paraId="160E2366" w14:textId="77777777" w:rsidR="00187708" w:rsidRPr="00EC250C" w:rsidRDefault="00187708" w:rsidP="00D131FA">
      <w:pPr>
        <w:pStyle w:val="konstytucja"/>
        <w:jc w:val="both"/>
      </w:pPr>
      <w:r w:rsidRPr="00EC250C">
        <w:t>1. Obywatel polski ma prawo udziału</w:t>
      </w:r>
      <w:r w:rsidR="00992FD0" w:rsidRPr="00EC250C">
        <w:t xml:space="preserve"> w </w:t>
      </w:r>
      <w:r w:rsidRPr="00EC250C">
        <w:t>referendum oraz prawo wybierania Prezydenta Rzeczypospolitej, posłów, senatorów</w:t>
      </w:r>
      <w:r w:rsidR="00992FD0" w:rsidRPr="00EC250C">
        <w:t xml:space="preserve"> i </w:t>
      </w:r>
      <w:r w:rsidRPr="00EC250C">
        <w:t>przedstawicieli do organów samorządu terytorialnego, jeżeli najpóźniej</w:t>
      </w:r>
      <w:r w:rsidR="00992FD0" w:rsidRPr="00EC250C">
        <w:t xml:space="preserve"> w </w:t>
      </w:r>
      <w:r w:rsidRPr="00EC250C">
        <w:t>dniu głosowania kończy 18 lat.</w:t>
      </w:r>
    </w:p>
    <w:p w14:paraId="3770B1F5" w14:textId="77777777" w:rsidR="00187708" w:rsidRPr="00EC250C" w:rsidRDefault="00187708" w:rsidP="00D131FA">
      <w:pPr>
        <w:pStyle w:val="konstytucja"/>
        <w:jc w:val="both"/>
      </w:pPr>
      <w:r w:rsidRPr="00EC250C">
        <w:t>2. Prawo udziału</w:t>
      </w:r>
      <w:r w:rsidR="00992FD0" w:rsidRPr="00EC250C">
        <w:t xml:space="preserve"> w </w:t>
      </w:r>
      <w:r w:rsidRPr="00EC250C">
        <w:t>referendum oraz prawo wybierania nie przysługuje osobom, które prawomocnym orzeczeniem sądowym są ubezwłasnowolnione lub pozbawione praw publicznych albo wyborczych.</w:t>
      </w:r>
    </w:p>
    <w:p w14:paraId="7967DCCA" w14:textId="77777777" w:rsidR="00C91F6E" w:rsidRPr="00EC250C" w:rsidRDefault="00187708" w:rsidP="00D131FA">
      <w:pPr>
        <w:pStyle w:val="ComwiKonstytucja"/>
      </w:pPr>
      <w:r w:rsidRPr="00EC250C">
        <w:t>Kodeks wyborczy</w:t>
      </w:r>
      <w:r w:rsidR="00992FD0" w:rsidRPr="00EC250C">
        <w:t xml:space="preserve"> w </w:t>
      </w:r>
      <w:r w:rsidRPr="00EC250C">
        <w:t>zakresie czynnego prawa wyborczego przewiduje, że</w:t>
      </w:r>
      <w:r w:rsidR="00992FD0" w:rsidRPr="00EC250C">
        <w:t xml:space="preserve"> w </w:t>
      </w:r>
      <w:r w:rsidRPr="00EC250C">
        <w:t>wyborach do Parlamentu Europejskiego</w:t>
      </w:r>
      <w:r w:rsidR="00992FD0" w:rsidRPr="00EC250C">
        <w:t xml:space="preserve"> w </w:t>
      </w:r>
      <w:r w:rsidRPr="00EC250C">
        <w:t>Rzeczypospolitej Polskiej, takie prawo ma:</w:t>
      </w:r>
    </w:p>
    <w:p w14:paraId="208E3AF4" w14:textId="77777777" w:rsidR="00C91F6E" w:rsidRPr="00EC250C" w:rsidRDefault="00187708" w:rsidP="006C70B7">
      <w:pPr>
        <w:pStyle w:val="ComwiKonstytucja"/>
        <w:numPr>
          <w:ilvl w:val="0"/>
          <w:numId w:val="125"/>
        </w:numPr>
      </w:pPr>
      <w:r w:rsidRPr="00EC250C">
        <w:t>obywatel polski, który najpóźniej</w:t>
      </w:r>
      <w:r w:rsidR="00992FD0" w:rsidRPr="00EC250C">
        <w:t xml:space="preserve"> w </w:t>
      </w:r>
      <w:r w:rsidRPr="00EC250C">
        <w:t>dniu głosowania kończy 18 lat,</w:t>
      </w:r>
    </w:p>
    <w:p w14:paraId="0B786900" w14:textId="77777777" w:rsidR="00C91F6E" w:rsidRPr="00EC250C" w:rsidRDefault="00187708" w:rsidP="006C70B7">
      <w:pPr>
        <w:pStyle w:val="ComwiKonstytucja"/>
        <w:numPr>
          <w:ilvl w:val="0"/>
          <w:numId w:val="125"/>
        </w:numPr>
      </w:pPr>
      <w:r w:rsidRPr="00EC250C">
        <w:t>obywatel Unii Europejskiej niebędący obywatelem polskim, który najpóźniej</w:t>
      </w:r>
      <w:r w:rsidR="00992FD0" w:rsidRPr="00EC250C">
        <w:t xml:space="preserve"> w </w:t>
      </w:r>
      <w:r w:rsidRPr="00EC250C">
        <w:t>dniu głosowania kończy 18 lat oraz stale zamieszkuje na terytorium Rzeczypospolitej Polskiej.</w:t>
      </w:r>
    </w:p>
    <w:p w14:paraId="2560EDFB" w14:textId="77777777" w:rsidR="00C91F6E" w:rsidRPr="00EC250C" w:rsidRDefault="00187708" w:rsidP="00D131FA">
      <w:pPr>
        <w:pStyle w:val="ComwiKonstytucja"/>
        <w:ind w:firstLine="0"/>
      </w:pPr>
      <w:r w:rsidRPr="00EC250C">
        <w:t>Prawo</w:t>
      </w:r>
      <w:r w:rsidR="00992FD0" w:rsidRPr="00EC250C">
        <w:t xml:space="preserve"> w </w:t>
      </w:r>
      <w:r w:rsidRPr="00EC250C">
        <w:t>wyborach do organów stanowiących jednostek samorządu terytorialnego:</w:t>
      </w:r>
    </w:p>
    <w:p w14:paraId="12968CE1" w14:textId="77777777" w:rsidR="00C91F6E" w:rsidRPr="00EC250C" w:rsidRDefault="00187708" w:rsidP="006C70B7">
      <w:pPr>
        <w:pStyle w:val="ComwiKonstytucja"/>
        <w:numPr>
          <w:ilvl w:val="0"/>
          <w:numId w:val="125"/>
        </w:numPr>
      </w:pPr>
      <w:r w:rsidRPr="00EC250C">
        <w:t>do rady gminy – obywatelowi polskiemu oraz obywatelowi Unii Europejskiej niebędącemu obywatelem polskim, który najpóźniej</w:t>
      </w:r>
      <w:r w:rsidR="00992FD0" w:rsidRPr="00EC250C">
        <w:t xml:space="preserve"> w </w:t>
      </w:r>
      <w:r w:rsidRPr="00EC250C">
        <w:t>dniu głosowania kończy 18 lat oraz stale zamieszkuje na obszarze tej gminy,</w:t>
      </w:r>
    </w:p>
    <w:p w14:paraId="34A74D49" w14:textId="77777777" w:rsidR="00187708" w:rsidRPr="00EC250C" w:rsidRDefault="00187708" w:rsidP="006C70B7">
      <w:pPr>
        <w:pStyle w:val="ComwiKonstytucja"/>
        <w:numPr>
          <w:ilvl w:val="0"/>
          <w:numId w:val="125"/>
        </w:numPr>
      </w:pPr>
      <w:r w:rsidRPr="00EC250C">
        <w:t>do rady powiatu</w:t>
      </w:r>
      <w:r w:rsidR="00992FD0" w:rsidRPr="00EC250C">
        <w:t xml:space="preserve"> i </w:t>
      </w:r>
      <w:r w:rsidRPr="00EC250C">
        <w:t>sejmiku województwa – obywatelowi polskiemu, który najpóźniej</w:t>
      </w:r>
      <w:r w:rsidR="00992FD0" w:rsidRPr="00EC250C">
        <w:t xml:space="preserve"> w </w:t>
      </w:r>
      <w:r w:rsidRPr="00EC250C">
        <w:t>dniu głosowania kończy 18 lat oraz stale zamieszkuje na obszarze, odpowiednio, tego powiatu</w:t>
      </w:r>
      <w:r w:rsidR="00992FD0" w:rsidRPr="00EC250C">
        <w:t xml:space="preserve"> i </w:t>
      </w:r>
      <w:r w:rsidRPr="00EC250C">
        <w:t>województwa;</w:t>
      </w:r>
    </w:p>
    <w:p w14:paraId="114CB02E" w14:textId="77777777" w:rsidR="00C91F6E" w:rsidRPr="00EC250C" w:rsidRDefault="00187708" w:rsidP="006C70B7">
      <w:pPr>
        <w:pStyle w:val="ComwiKonstytucja"/>
        <w:numPr>
          <w:ilvl w:val="0"/>
          <w:numId w:val="125"/>
        </w:numPr>
      </w:pPr>
      <w:r w:rsidRPr="00EC250C">
        <w:t>wójta</w:t>
      </w:r>
      <w:r w:rsidR="00992FD0" w:rsidRPr="00EC250C">
        <w:t xml:space="preserve"> w </w:t>
      </w:r>
      <w:r w:rsidRPr="00EC250C">
        <w:t>danej gminie – osobie mającej prawo wybierania do rady tej gminy.</w:t>
      </w:r>
    </w:p>
    <w:p w14:paraId="460F9333" w14:textId="77777777" w:rsidR="00187708" w:rsidRPr="00EC250C" w:rsidRDefault="00187708" w:rsidP="00D131FA">
      <w:pPr>
        <w:pStyle w:val="ComwiKonstytucja"/>
      </w:pPr>
      <w:r w:rsidRPr="00EC250C">
        <w:t>Krąg osób posiadających bierne prawo wyborcze (prawo wybieralności) jest ukształtowany różnie</w:t>
      </w:r>
      <w:r w:rsidR="00992FD0" w:rsidRPr="00EC250C">
        <w:t xml:space="preserve"> w </w:t>
      </w:r>
      <w:r w:rsidRPr="00EC250C">
        <w:t>zależności od rodzaju wyborów</w:t>
      </w:r>
      <w:r w:rsidR="003E4DBD" w:rsidRPr="00EC250C">
        <w:t>.</w:t>
      </w:r>
    </w:p>
    <w:p w14:paraId="5E8EF819" w14:textId="77777777" w:rsidR="003E4DBD" w:rsidRPr="00EC250C" w:rsidRDefault="003E4DBD" w:rsidP="00D131FA">
      <w:pPr>
        <w:pStyle w:val="ComwiKonstytucja"/>
      </w:pPr>
    </w:p>
    <w:p w14:paraId="2DD0B87E" w14:textId="77777777" w:rsidR="00187708" w:rsidRPr="00EC250C" w:rsidRDefault="00187708" w:rsidP="00D131FA">
      <w:pPr>
        <w:spacing w:after="200" w:line="24" w:lineRule="auto"/>
        <w:jc w:val="both"/>
        <w:rPr>
          <w:i/>
          <w:spacing w:val="5"/>
          <w:sz w:val="22"/>
        </w:rPr>
      </w:pPr>
      <w:r w:rsidRPr="00EC250C">
        <w:rPr>
          <w:sz w:val="24"/>
        </w:rPr>
        <w:br w:type="page"/>
      </w:r>
    </w:p>
    <w:p w14:paraId="3B427258" w14:textId="77777777" w:rsidR="00C91F6E" w:rsidRPr="00EC250C" w:rsidRDefault="00187708" w:rsidP="00EC79EB">
      <w:pPr>
        <w:pStyle w:val="Nagwek4"/>
      </w:pPr>
      <w:bookmarkStart w:id="389" w:name="_Toc6257815"/>
      <w:bookmarkStart w:id="390" w:name="_Toc11247692"/>
      <w:r w:rsidRPr="00EC250C">
        <w:lastRenderedPageBreak/>
        <w:t>Procedury powoływania urzędników wyborczych</w:t>
      </w:r>
      <w:bookmarkEnd w:id="389"/>
      <w:bookmarkEnd w:id="390"/>
    </w:p>
    <w:p w14:paraId="7F297920" w14:textId="77777777" w:rsidR="00B473F5" w:rsidRPr="00EC250C" w:rsidRDefault="00187708" w:rsidP="00D131FA">
      <w:pPr>
        <w:pStyle w:val="Problemczowieka"/>
        <w:jc w:val="both"/>
        <w:rPr>
          <w:bdr w:val="none" w:sz="0" w:space="0" w:color="auto" w:frame="1"/>
        </w:rPr>
      </w:pPr>
      <w:r w:rsidRPr="00EC250C">
        <w:rPr>
          <w:bdr w:val="none" w:sz="0" w:space="0" w:color="auto" w:frame="1"/>
        </w:rPr>
        <w:t>Po zmianach</w:t>
      </w:r>
      <w:r w:rsidR="00992FD0" w:rsidRPr="00EC250C">
        <w:rPr>
          <w:bdr w:val="none" w:sz="0" w:space="0" w:color="auto" w:frame="1"/>
        </w:rPr>
        <w:t xml:space="preserve"> w </w:t>
      </w:r>
      <w:r w:rsidRPr="00EC250C">
        <w:rPr>
          <w:bdr w:val="none" w:sz="0" w:space="0" w:color="auto" w:frame="1"/>
        </w:rPr>
        <w:t>prawie wyborczym</w:t>
      </w:r>
      <w:r w:rsidR="00992FD0" w:rsidRPr="00EC250C">
        <w:rPr>
          <w:bdr w:val="none" w:sz="0" w:space="0" w:color="auto" w:frame="1"/>
        </w:rPr>
        <w:t xml:space="preserve"> w </w:t>
      </w:r>
      <w:r w:rsidRPr="00EC250C">
        <w:rPr>
          <w:bdr w:val="none" w:sz="0" w:space="0" w:color="auto" w:frame="1"/>
        </w:rPr>
        <w:t>201</w:t>
      </w:r>
      <w:r w:rsidR="000F34B8" w:rsidRPr="00EC250C">
        <w:rPr>
          <w:bdr w:val="none" w:sz="0" w:space="0" w:color="auto" w:frame="1"/>
        </w:rPr>
        <w:t>8</w:t>
      </w:r>
      <w:r w:rsidR="00C91F6E" w:rsidRPr="00EC250C">
        <w:rPr>
          <w:bdr w:val="none" w:sz="0" w:space="0" w:color="auto" w:frame="1"/>
        </w:rPr>
        <w:t> r.</w:t>
      </w:r>
      <w:r w:rsidR="000F34B8" w:rsidRPr="00EC250C">
        <w:rPr>
          <w:rStyle w:val="Odwoanieprzypisudolnego"/>
          <w:bdr w:val="none" w:sz="0" w:space="0" w:color="auto" w:frame="1"/>
        </w:rPr>
        <w:footnoteReference w:id="400"/>
      </w:r>
      <w:r w:rsidRPr="00EC250C">
        <w:rPr>
          <w:bdr w:val="none" w:sz="0" w:space="0" w:color="auto" w:frame="1"/>
        </w:rPr>
        <w:t xml:space="preserve"> zmniejszyła się liczba urzędników wyborczych. Budziło to niepokój, czy wybory samorządowe uda się dobrze zorganizować. Rzeczywiście, okazało się</w:t>
      </w:r>
      <w:r w:rsidR="00992FD0" w:rsidRPr="00EC250C">
        <w:rPr>
          <w:bdr w:val="none" w:sz="0" w:space="0" w:color="auto" w:frame="1"/>
        </w:rPr>
        <w:t xml:space="preserve"> w </w:t>
      </w:r>
      <w:r w:rsidRPr="00EC250C">
        <w:rPr>
          <w:bdr w:val="none" w:sz="0" w:space="0" w:color="auto" w:frame="1"/>
        </w:rPr>
        <w:t>praktyce, że</w:t>
      </w:r>
      <w:r w:rsidR="00992FD0" w:rsidRPr="00EC250C">
        <w:rPr>
          <w:bdr w:val="none" w:sz="0" w:space="0" w:color="auto" w:frame="1"/>
        </w:rPr>
        <w:t xml:space="preserve"> w </w:t>
      </w:r>
      <w:r w:rsidRPr="00EC250C">
        <w:rPr>
          <w:bdr w:val="none" w:sz="0" w:space="0" w:color="auto" w:frame="1"/>
        </w:rPr>
        <w:t>niektórych lokalach wyborczych wyborcy czekali</w:t>
      </w:r>
      <w:r w:rsidR="00992FD0" w:rsidRPr="00EC250C">
        <w:rPr>
          <w:bdr w:val="none" w:sz="0" w:space="0" w:color="auto" w:frame="1"/>
        </w:rPr>
        <w:t xml:space="preserve"> w </w:t>
      </w:r>
      <w:r w:rsidRPr="00EC250C">
        <w:rPr>
          <w:bdr w:val="none" w:sz="0" w:space="0" w:color="auto" w:frame="1"/>
        </w:rPr>
        <w:t>długich kolejkach</w:t>
      </w:r>
      <w:r w:rsidR="00B473F5" w:rsidRPr="00EC250C">
        <w:rPr>
          <w:bdr w:val="none" w:sz="0" w:space="0" w:color="auto" w:frame="1"/>
        </w:rPr>
        <w:t>.</w:t>
      </w:r>
    </w:p>
    <w:p w14:paraId="7518B4B0" w14:textId="77777777" w:rsidR="00187708" w:rsidRPr="00EC250C" w:rsidRDefault="00D20D4F" w:rsidP="00D131FA">
      <w:pPr>
        <w:pStyle w:val="Styl1"/>
        <w:rPr>
          <w:bCs/>
          <w:iCs/>
        </w:rPr>
      </w:pPr>
      <w:r w:rsidRPr="00EC250C">
        <w:rPr>
          <w:bCs/>
          <w:iCs/>
        </w:rPr>
        <w:t>RPO</w:t>
      </w:r>
      <w:r w:rsidR="00187708" w:rsidRPr="00EC250C">
        <w:rPr>
          <w:bCs/>
          <w:iCs/>
        </w:rPr>
        <w:t xml:space="preserve"> zwrócił uwagę, że urzędnicy wyborczy realizować będą szereg istotnych, odpowiedzialnych zadań wpływających na warunki korzystania przez obywateli</w:t>
      </w:r>
      <w:r w:rsidR="00992FD0" w:rsidRPr="00EC250C">
        <w:rPr>
          <w:bCs/>
          <w:iCs/>
        </w:rPr>
        <w:t xml:space="preserve"> z </w:t>
      </w:r>
      <w:r w:rsidR="00187708" w:rsidRPr="00EC250C">
        <w:rPr>
          <w:bCs/>
          <w:iCs/>
        </w:rPr>
        <w:t>ich praw wyborczych. W ich gestii będą m.in. ważne działania związane</w:t>
      </w:r>
      <w:r w:rsidR="00992FD0" w:rsidRPr="00EC250C">
        <w:rPr>
          <w:bCs/>
          <w:iCs/>
        </w:rPr>
        <w:t xml:space="preserve"> z </w:t>
      </w:r>
      <w:r w:rsidR="00187708" w:rsidRPr="00EC250C">
        <w:rPr>
          <w:bCs/>
          <w:iCs/>
        </w:rPr>
        <w:t>procedurą głosowania korespondencyjnego wyborców</w:t>
      </w:r>
      <w:r w:rsidR="00992FD0" w:rsidRPr="00EC250C">
        <w:rPr>
          <w:bCs/>
          <w:iCs/>
        </w:rPr>
        <w:t xml:space="preserve"> z </w:t>
      </w:r>
      <w:r w:rsidR="000E2581" w:rsidRPr="00EC250C">
        <w:rPr>
          <w:bCs/>
          <w:iCs/>
        </w:rPr>
        <w:t xml:space="preserve">niepełnosprawnościami </w:t>
      </w:r>
      <w:r w:rsidR="00187708" w:rsidRPr="00EC250C">
        <w:rPr>
          <w:bCs/>
          <w:iCs/>
        </w:rPr>
        <w:t>czy dostosowania lokali wyborczych do potrzeb wyborców</w:t>
      </w:r>
      <w:r w:rsidR="00992FD0" w:rsidRPr="00EC250C">
        <w:rPr>
          <w:bCs/>
          <w:iCs/>
        </w:rPr>
        <w:t xml:space="preserve"> z </w:t>
      </w:r>
      <w:r w:rsidR="000E2581" w:rsidRPr="00EC250C">
        <w:rPr>
          <w:bCs/>
          <w:iCs/>
        </w:rPr>
        <w:t>niepełnosprawnościami</w:t>
      </w:r>
      <w:r w:rsidR="00187708" w:rsidRPr="00EC250C">
        <w:rPr>
          <w:bCs/>
          <w:iCs/>
        </w:rPr>
        <w:t>. Urzędnicy będą również sprawować nadzór nad zapewnieniem warunków pracy obwodowych komisji wyborczych oraz będą odpowiadać za przygotowanie merytoryczne (szkolenia) członków tych komisji.</w:t>
      </w:r>
    </w:p>
    <w:p w14:paraId="4FD8ABB6" w14:textId="77777777" w:rsidR="00C91F6E" w:rsidRPr="00EC250C" w:rsidRDefault="00187708" w:rsidP="00D131FA">
      <w:pPr>
        <w:pStyle w:val="Styl1"/>
        <w:rPr>
          <w:bCs/>
          <w:iCs/>
        </w:rPr>
      </w:pPr>
      <w:r w:rsidRPr="00EC250C">
        <w:rPr>
          <w:bCs/>
          <w:iCs/>
        </w:rPr>
        <w:t>Przewodniczący PKW poinformował, że widzi potrzebę stosownej zmiany Kodeksu wyborczego</w:t>
      </w:r>
      <w:r w:rsidR="00992FD0" w:rsidRPr="00EC250C">
        <w:rPr>
          <w:bCs/>
          <w:iCs/>
        </w:rPr>
        <w:t xml:space="preserve"> w </w:t>
      </w:r>
      <w:r w:rsidRPr="00EC250C">
        <w:rPr>
          <w:bCs/>
          <w:iCs/>
        </w:rPr>
        <w:t>odniesieniu do kryteriów naboru urzędników wyborczych. 4 czerwca 2018</w:t>
      </w:r>
      <w:r w:rsidR="00C91F6E" w:rsidRPr="00EC250C">
        <w:rPr>
          <w:bCs/>
          <w:iCs/>
        </w:rPr>
        <w:t> r.</w:t>
      </w:r>
      <w:r w:rsidRPr="00EC250C">
        <w:rPr>
          <w:bCs/>
          <w:iCs/>
        </w:rPr>
        <w:t xml:space="preserve"> Komisja zwróciła się</w:t>
      </w:r>
      <w:r w:rsidR="00992FD0" w:rsidRPr="00EC250C">
        <w:rPr>
          <w:bCs/>
          <w:iCs/>
        </w:rPr>
        <w:t xml:space="preserve"> o </w:t>
      </w:r>
      <w:r w:rsidRPr="00EC250C">
        <w:rPr>
          <w:bCs/>
          <w:iCs/>
        </w:rPr>
        <w:t>podjęcie pilnych prac ustawodawczych do Przewodniczącego sejmowej Komisji Nadzwyczajnej do spraw zmian</w:t>
      </w:r>
      <w:r w:rsidR="00992FD0" w:rsidRPr="00EC250C">
        <w:rPr>
          <w:bCs/>
          <w:iCs/>
        </w:rPr>
        <w:t xml:space="preserve"> w </w:t>
      </w:r>
      <w:r w:rsidRPr="00EC250C">
        <w:rPr>
          <w:bCs/>
          <w:iCs/>
        </w:rPr>
        <w:t>kodyfikacjach. Co do liczby urzędników wyborczych, ich ostatecznie ustalona liczba wynosi 2595</w:t>
      </w:r>
      <w:r w:rsidR="00992FD0" w:rsidRPr="00EC250C">
        <w:rPr>
          <w:bCs/>
          <w:iCs/>
        </w:rPr>
        <w:t xml:space="preserve"> i w </w:t>
      </w:r>
      <w:r w:rsidRPr="00EC250C">
        <w:rPr>
          <w:bCs/>
          <w:iCs/>
        </w:rPr>
        <w:t>ocenie PKW jest to liczba wystarczająca dla prawidłowego wykonania zadań związanych</w:t>
      </w:r>
      <w:r w:rsidR="00992FD0" w:rsidRPr="00EC250C">
        <w:rPr>
          <w:bCs/>
          <w:iCs/>
        </w:rPr>
        <w:t xml:space="preserve"> z </w:t>
      </w:r>
      <w:r w:rsidRPr="00EC250C">
        <w:rPr>
          <w:bCs/>
          <w:iCs/>
        </w:rPr>
        <w:t>przeprowadzeniem wyborów</w:t>
      </w:r>
      <w:r w:rsidR="007B3337" w:rsidRPr="00EC250C">
        <w:rPr>
          <w:rStyle w:val="Odwoanieprzypisudolnego"/>
          <w:bCs/>
          <w:iCs/>
        </w:rPr>
        <w:footnoteReference w:id="401"/>
      </w:r>
      <w:r w:rsidRPr="00EC250C">
        <w:rPr>
          <w:bCs/>
          <w:iCs/>
        </w:rPr>
        <w:t>.</w:t>
      </w:r>
    </w:p>
    <w:p w14:paraId="464054FC" w14:textId="77777777" w:rsidR="00C91F6E" w:rsidRPr="00EC250C" w:rsidRDefault="00187708" w:rsidP="00EC79EB">
      <w:pPr>
        <w:pStyle w:val="Nagwek4"/>
      </w:pPr>
      <w:bookmarkStart w:id="391" w:name="_Toc6257816"/>
      <w:bookmarkStart w:id="392" w:name="_Toc11247693"/>
      <w:r w:rsidRPr="00EC250C">
        <w:t>Zasady tzw. prekampanii wyborczej</w:t>
      </w:r>
      <w:bookmarkEnd w:id="391"/>
      <w:bookmarkEnd w:id="392"/>
    </w:p>
    <w:p w14:paraId="2D0928A8" w14:textId="77777777" w:rsidR="00B473F5" w:rsidRPr="00EC250C" w:rsidRDefault="00187708" w:rsidP="00D131FA">
      <w:pPr>
        <w:pStyle w:val="Problemczowieka"/>
        <w:jc w:val="both"/>
      </w:pPr>
      <w:r w:rsidRPr="00EC250C">
        <w:t>Sposób finansowania</w:t>
      </w:r>
      <w:r w:rsidR="00992FD0" w:rsidRPr="00EC250C">
        <w:t xml:space="preserve"> i </w:t>
      </w:r>
      <w:r w:rsidRPr="00EC250C">
        <w:t>organizowania kampanii wyborczej regulują przepisy. Nie mówią one nic</w:t>
      </w:r>
      <w:r w:rsidR="00992FD0" w:rsidRPr="00EC250C">
        <w:t xml:space="preserve"> o </w:t>
      </w:r>
      <w:r w:rsidRPr="00EC250C">
        <w:t>tym, jak należy się zachowywać, gdy wybory się już zbliżają, ale ich termin nie został ogłoszony, więc formalnie kampania się jeszcze nie toczy</w:t>
      </w:r>
      <w:r w:rsidR="00B473F5" w:rsidRPr="00EC250C">
        <w:t>.</w:t>
      </w:r>
    </w:p>
    <w:p w14:paraId="53697817" w14:textId="77777777" w:rsidR="00C91F6E" w:rsidRPr="00EC250C" w:rsidRDefault="00187708" w:rsidP="00D131FA">
      <w:pPr>
        <w:pStyle w:val="Styl1"/>
        <w:rPr>
          <w:bCs/>
          <w:iCs/>
        </w:rPr>
      </w:pPr>
      <w:r w:rsidRPr="00EC250C">
        <w:rPr>
          <w:bCs/>
          <w:iCs/>
        </w:rPr>
        <w:t xml:space="preserve">W opinii Rzecznika </w:t>
      </w:r>
      <w:r w:rsidR="00D20D4F" w:rsidRPr="00EC250C">
        <w:rPr>
          <w:bCs/>
          <w:iCs/>
        </w:rPr>
        <w:t xml:space="preserve">Praw Obywatelskich </w:t>
      </w:r>
      <w:r w:rsidRPr="00EC250C">
        <w:rPr>
          <w:bCs/>
          <w:iCs/>
        </w:rPr>
        <w:t>trzeba to uregulować</w:t>
      </w:r>
      <w:r w:rsidR="00992FD0" w:rsidRPr="00EC250C">
        <w:rPr>
          <w:bCs/>
          <w:iCs/>
        </w:rPr>
        <w:t xml:space="preserve"> w </w:t>
      </w:r>
      <w:r w:rsidRPr="00EC250C">
        <w:rPr>
          <w:bCs/>
          <w:iCs/>
        </w:rPr>
        <w:t>ustawie</w:t>
      </w:r>
      <w:r w:rsidR="004E5197" w:rsidRPr="00EC250C">
        <w:rPr>
          <w:bCs/>
          <w:iCs/>
        </w:rPr>
        <w:t>.</w:t>
      </w:r>
      <w:r w:rsidRPr="00EC250C">
        <w:rPr>
          <w:bCs/>
          <w:iCs/>
        </w:rPr>
        <w:t xml:space="preserve"> Agitacja wyborcza przed kampanią nie jest objęta limitami wydatków</w:t>
      </w:r>
      <w:r w:rsidR="00992FD0" w:rsidRPr="00EC250C">
        <w:rPr>
          <w:bCs/>
          <w:iCs/>
        </w:rPr>
        <w:t xml:space="preserve"> i </w:t>
      </w:r>
      <w:r w:rsidRPr="00EC250C">
        <w:rPr>
          <w:bCs/>
          <w:iCs/>
        </w:rPr>
        <w:t>procedurami zapewniających przejrzystość finansów kampanii wyborczych. Nie jest łatwe zdefiniowanie granicy między legalną działalnością informacyjną</w:t>
      </w:r>
      <w:r w:rsidR="00992FD0" w:rsidRPr="00EC250C">
        <w:rPr>
          <w:bCs/>
          <w:iCs/>
        </w:rPr>
        <w:t xml:space="preserve"> i </w:t>
      </w:r>
      <w:r w:rsidRPr="00EC250C">
        <w:rPr>
          <w:bCs/>
          <w:iCs/>
        </w:rPr>
        <w:t>promocyjną danego podmiotu</w:t>
      </w:r>
      <w:r w:rsidR="00992FD0" w:rsidRPr="00EC250C">
        <w:rPr>
          <w:bCs/>
          <w:iCs/>
        </w:rPr>
        <w:t xml:space="preserve"> a </w:t>
      </w:r>
      <w:r w:rsidRPr="00EC250C">
        <w:rPr>
          <w:bCs/>
          <w:iCs/>
        </w:rPr>
        <w:t>niedozwoloną agitacją jeszcze przed rozpoczęciem kampanii.</w:t>
      </w:r>
    </w:p>
    <w:p w14:paraId="1030FA00" w14:textId="77777777" w:rsidR="00187708" w:rsidRPr="00EC250C" w:rsidRDefault="00187708" w:rsidP="00D131FA">
      <w:pPr>
        <w:pStyle w:val="Styl1"/>
        <w:rPr>
          <w:bCs/>
          <w:iCs/>
        </w:rPr>
      </w:pPr>
      <w:r w:rsidRPr="00EC250C">
        <w:rPr>
          <w:bCs/>
          <w:iCs/>
        </w:rPr>
        <w:t>W wystąpieniu do Przewodniczącego sejmowej Komisji Samorządu Terytorialnego</w:t>
      </w:r>
      <w:r w:rsidR="00992FD0" w:rsidRPr="00EC250C">
        <w:rPr>
          <w:bCs/>
          <w:iCs/>
        </w:rPr>
        <w:t xml:space="preserve"> i </w:t>
      </w:r>
      <w:r w:rsidRPr="00EC250C">
        <w:rPr>
          <w:bCs/>
          <w:iCs/>
        </w:rPr>
        <w:t xml:space="preserve">Polityki Regionalnej </w:t>
      </w:r>
      <w:r w:rsidR="00D20D4F" w:rsidRPr="00EC250C">
        <w:rPr>
          <w:bCs/>
          <w:iCs/>
        </w:rPr>
        <w:t>RPO</w:t>
      </w:r>
      <w:r w:rsidRPr="00EC250C">
        <w:rPr>
          <w:bCs/>
          <w:iCs/>
        </w:rPr>
        <w:t xml:space="preserve"> wskazał</w:t>
      </w:r>
      <w:r w:rsidRPr="00EC250C">
        <w:rPr>
          <w:rStyle w:val="Odwoanieprzypisudolnego"/>
          <w:bCs/>
          <w:iCs/>
        </w:rPr>
        <w:footnoteReference w:id="402"/>
      </w:r>
      <w:r w:rsidRPr="00EC250C">
        <w:rPr>
          <w:bCs/>
          <w:iCs/>
        </w:rPr>
        <w:t xml:space="preserve"> na konieczność ustawowego uregulowania zasad prowadzenia tzw. </w:t>
      </w:r>
      <w:r w:rsidRPr="00EC250C">
        <w:rPr>
          <w:bCs/>
          <w:iCs/>
        </w:rPr>
        <w:lastRenderedPageBreak/>
        <w:t>prekampanii wyborczej. Natomiast do Marszałka Senatu Rzecznik zwrócił się</w:t>
      </w:r>
      <w:r w:rsidRPr="00EC250C">
        <w:rPr>
          <w:rStyle w:val="Odwoanieprzypisudolnego"/>
          <w:bCs/>
          <w:iCs/>
        </w:rPr>
        <w:footnoteReference w:id="403"/>
      </w:r>
      <w:r w:rsidR="00992FD0" w:rsidRPr="00EC250C">
        <w:rPr>
          <w:bCs/>
          <w:iCs/>
        </w:rPr>
        <w:t xml:space="preserve"> o </w:t>
      </w:r>
      <w:r w:rsidRPr="00EC250C">
        <w:rPr>
          <w:bCs/>
          <w:iCs/>
        </w:rPr>
        <w:t>rozważenie zainicjowania koniecznych zmian</w:t>
      </w:r>
      <w:r w:rsidR="00992FD0" w:rsidRPr="00EC250C">
        <w:rPr>
          <w:bCs/>
          <w:iCs/>
        </w:rPr>
        <w:t xml:space="preserve"> w </w:t>
      </w:r>
      <w:r w:rsidRPr="00EC250C">
        <w:rPr>
          <w:bCs/>
          <w:iCs/>
        </w:rPr>
        <w:t>prawie wyborczym.</w:t>
      </w:r>
    </w:p>
    <w:p w14:paraId="41F39E34" w14:textId="77777777" w:rsidR="00187708" w:rsidRPr="00EC250C" w:rsidRDefault="00187708" w:rsidP="00D131FA">
      <w:pPr>
        <w:pStyle w:val="Styl1"/>
        <w:rPr>
          <w:bCs/>
          <w:iCs/>
        </w:rPr>
      </w:pPr>
      <w:r w:rsidRPr="00EC250C">
        <w:rPr>
          <w:iCs/>
        </w:rPr>
        <w:t xml:space="preserve">Jak wyjaśnił Przewodniczący Komisji, utrzymanie </w:t>
      </w:r>
      <w:r w:rsidRPr="00EC250C">
        <w:rPr>
          <w:bdr w:val="none" w:sz="0" w:space="0" w:color="auto" w:frame="1"/>
        </w:rPr>
        <w:t>stanu prawnego, pozostawiającego partyjne wydatki propagandowe</w:t>
      </w:r>
      <w:r w:rsidR="00992FD0" w:rsidRPr="00EC250C">
        <w:rPr>
          <w:bdr w:val="none" w:sz="0" w:space="0" w:color="auto" w:frame="1"/>
        </w:rPr>
        <w:t xml:space="preserve"> w </w:t>
      </w:r>
      <w:r w:rsidRPr="00EC250C">
        <w:rPr>
          <w:bdr w:val="none" w:sz="0" w:space="0" w:color="auto" w:frame="1"/>
        </w:rPr>
        <w:t>ramach prekampanii wyborczej poza jakąkolwiek kontrolą, jest przemyślaną</w:t>
      </w:r>
      <w:r w:rsidR="00992FD0" w:rsidRPr="00EC250C">
        <w:rPr>
          <w:bdr w:val="none" w:sz="0" w:space="0" w:color="auto" w:frame="1"/>
        </w:rPr>
        <w:t xml:space="preserve"> i </w:t>
      </w:r>
      <w:r w:rsidRPr="00EC250C">
        <w:rPr>
          <w:bdr w:val="none" w:sz="0" w:space="0" w:color="auto" w:frame="1"/>
        </w:rPr>
        <w:t>świadomą decyzją ustawodawcy.</w:t>
      </w:r>
    </w:p>
    <w:p w14:paraId="3A090051" w14:textId="77777777" w:rsidR="00C91F6E" w:rsidRPr="00EC250C" w:rsidRDefault="00187708" w:rsidP="00EC79EB">
      <w:pPr>
        <w:pStyle w:val="Nagwek4"/>
      </w:pPr>
      <w:bookmarkStart w:id="393" w:name="_Toc6257817"/>
      <w:bookmarkStart w:id="394" w:name="_Toc11247694"/>
      <w:r w:rsidRPr="00EC250C">
        <w:t>Wpisy do rejestru wyborców przez ePUAP</w:t>
      </w:r>
      <w:bookmarkEnd w:id="393"/>
      <w:bookmarkEnd w:id="394"/>
    </w:p>
    <w:p w14:paraId="065DEB96" w14:textId="77777777" w:rsidR="00B473F5" w:rsidRPr="00EC250C" w:rsidRDefault="00187708" w:rsidP="00D131FA">
      <w:pPr>
        <w:pStyle w:val="Problemczowieka"/>
        <w:jc w:val="both"/>
        <w:rPr>
          <w:bdr w:val="none" w:sz="0" w:space="0" w:color="auto" w:frame="1"/>
        </w:rPr>
      </w:pPr>
      <w:bookmarkStart w:id="395" w:name="_Hlk8209124"/>
      <w:r w:rsidRPr="00EC250C">
        <w:rPr>
          <w:bdr w:val="none" w:sz="0" w:space="0" w:color="auto" w:frame="1"/>
        </w:rPr>
        <w:t>W czasie wyborów samorządowych</w:t>
      </w:r>
      <w:r w:rsidR="00992FD0" w:rsidRPr="00EC250C">
        <w:rPr>
          <w:bdr w:val="none" w:sz="0" w:space="0" w:color="auto" w:frame="1"/>
        </w:rPr>
        <w:t xml:space="preserve"> w </w:t>
      </w:r>
      <w:r w:rsidRPr="00EC250C">
        <w:rPr>
          <w:bdr w:val="none" w:sz="0" w:space="0" w:color="auto" w:frame="1"/>
        </w:rPr>
        <w:t>2018</w:t>
      </w:r>
      <w:r w:rsidR="00C91F6E" w:rsidRPr="00EC250C">
        <w:rPr>
          <w:bdr w:val="none" w:sz="0" w:space="0" w:color="auto" w:frame="1"/>
        </w:rPr>
        <w:t> r.</w:t>
      </w:r>
      <w:r w:rsidRPr="00EC250C">
        <w:rPr>
          <w:bdr w:val="none" w:sz="0" w:space="0" w:color="auto" w:frame="1"/>
        </w:rPr>
        <w:t xml:space="preserve"> okazało się, że wyborcy nie mogli dopisywać się do spisu online, bo urzędy nie były przygotowane na tak duży wpływ e-wniosków</w:t>
      </w:r>
      <w:r w:rsidR="00B473F5" w:rsidRPr="00EC250C">
        <w:rPr>
          <w:bdr w:val="none" w:sz="0" w:space="0" w:color="auto" w:frame="1"/>
        </w:rPr>
        <w:t>.</w:t>
      </w:r>
    </w:p>
    <w:bookmarkEnd w:id="395"/>
    <w:p w14:paraId="5C2389E5" w14:textId="77777777" w:rsidR="00187708" w:rsidRPr="00EC250C" w:rsidRDefault="00594453" w:rsidP="00D131FA">
      <w:pPr>
        <w:pStyle w:val="Styl1"/>
        <w:rPr>
          <w:rFonts w:ascii="Open Sans Regular" w:hAnsi="Open Sans Regular"/>
        </w:rPr>
      </w:pPr>
      <w:r w:rsidRPr="00EC250C">
        <w:rPr>
          <w:bdr w:val="none" w:sz="0" w:space="0" w:color="auto" w:frame="1"/>
        </w:rPr>
        <w:t xml:space="preserve">Był to problem zwłaszcza dla mieszkańców dużych miast, </w:t>
      </w:r>
      <w:r w:rsidR="00A7212E" w:rsidRPr="00EC250C">
        <w:rPr>
          <w:bdr w:val="none" w:sz="0" w:space="0" w:color="auto" w:frame="1"/>
        </w:rPr>
        <w:t>szczególnie</w:t>
      </w:r>
      <w:r w:rsidRPr="00EC250C">
        <w:rPr>
          <w:bdr w:val="none" w:sz="0" w:space="0" w:color="auto" w:frame="1"/>
        </w:rPr>
        <w:t xml:space="preserve"> Warszawy, gdzie pracuje i studiuje wiele osób formalnie zameldowanych gdzie indziej. </w:t>
      </w:r>
      <w:r w:rsidR="00187708" w:rsidRPr="00EC250C">
        <w:rPr>
          <w:bdr w:val="none" w:sz="0" w:space="0" w:color="auto" w:frame="1"/>
        </w:rPr>
        <w:t xml:space="preserve">Obywatele </w:t>
      </w:r>
      <w:r w:rsidRPr="00EC250C">
        <w:rPr>
          <w:bdr w:val="none" w:sz="0" w:space="0" w:color="auto" w:frame="1"/>
        </w:rPr>
        <w:t xml:space="preserve">ci dopisywali się do spisu wyborców przez e-PUAP i </w:t>
      </w:r>
      <w:r w:rsidR="00187708" w:rsidRPr="00EC250C">
        <w:rPr>
          <w:bdr w:val="none" w:sz="0" w:space="0" w:color="auto" w:frame="1"/>
        </w:rPr>
        <w:t>zak</w:t>
      </w:r>
      <w:r w:rsidR="00187708" w:rsidRPr="00EC250C">
        <w:rPr>
          <w:rFonts w:hint="eastAsia"/>
          <w:bdr w:val="none" w:sz="0" w:space="0" w:color="auto" w:frame="1"/>
        </w:rPr>
        <w:t>ł</w:t>
      </w:r>
      <w:r w:rsidR="00187708" w:rsidRPr="00EC250C">
        <w:rPr>
          <w:bdr w:val="none" w:sz="0" w:space="0" w:color="auto" w:frame="1"/>
        </w:rPr>
        <w:t xml:space="preserve">adali, </w:t>
      </w:r>
      <w:r w:rsidR="00187708" w:rsidRPr="00EC250C">
        <w:rPr>
          <w:rFonts w:hint="eastAsia"/>
          <w:bdr w:val="none" w:sz="0" w:space="0" w:color="auto" w:frame="1"/>
        </w:rPr>
        <w:t>ż</w:t>
      </w:r>
      <w:r w:rsidR="00187708" w:rsidRPr="00EC250C">
        <w:rPr>
          <w:bdr w:val="none" w:sz="0" w:space="0" w:color="auto" w:frame="1"/>
        </w:rPr>
        <w:t>e brak odpowiedzi na wniosek oznacza</w:t>
      </w:r>
      <w:r w:rsidRPr="00EC250C">
        <w:rPr>
          <w:bdr w:val="none" w:sz="0" w:space="0" w:color="auto" w:frame="1"/>
        </w:rPr>
        <w:t xml:space="preserve">, że zostali </w:t>
      </w:r>
      <w:r w:rsidR="00187708" w:rsidRPr="00EC250C">
        <w:rPr>
          <w:bdr w:val="none" w:sz="0" w:space="0" w:color="auto" w:frame="1"/>
        </w:rPr>
        <w:t xml:space="preserve"> wpisani do rejestru</w:t>
      </w:r>
      <w:r w:rsidR="00026572" w:rsidRPr="00EC250C">
        <w:rPr>
          <w:bdr w:val="none" w:sz="0" w:space="0" w:color="auto" w:frame="1"/>
        </w:rPr>
        <w:t xml:space="preserve"> </w:t>
      </w:r>
      <w:r w:rsidRPr="00EC250C">
        <w:rPr>
          <w:bdr w:val="none" w:sz="0" w:space="0" w:color="auto" w:frame="1"/>
        </w:rPr>
        <w:t xml:space="preserve">wyborców </w:t>
      </w:r>
      <w:r w:rsidR="00026572" w:rsidRPr="00EC250C">
        <w:rPr>
          <w:bdr w:val="none" w:sz="0" w:space="0" w:color="auto" w:frame="1"/>
        </w:rPr>
        <w:t xml:space="preserve">– </w:t>
      </w:r>
      <w:r w:rsidR="00992FD0" w:rsidRPr="00EC250C">
        <w:rPr>
          <w:bdr w:val="none" w:sz="0" w:space="0" w:color="auto" w:frame="1"/>
        </w:rPr>
        <w:t>w </w:t>
      </w:r>
      <w:r w:rsidR="00187708" w:rsidRPr="00EC250C">
        <w:rPr>
          <w:bdr w:val="none" w:sz="0" w:space="0" w:color="auto" w:frame="1"/>
        </w:rPr>
        <w:t>lokalu wyborczym czeka</w:t>
      </w:r>
      <w:r w:rsidR="00187708" w:rsidRPr="00EC250C">
        <w:rPr>
          <w:rFonts w:hint="eastAsia"/>
          <w:bdr w:val="none" w:sz="0" w:space="0" w:color="auto" w:frame="1"/>
        </w:rPr>
        <w:t>ł</w:t>
      </w:r>
      <w:r w:rsidR="00187708" w:rsidRPr="00EC250C">
        <w:rPr>
          <w:bdr w:val="none" w:sz="0" w:space="0" w:color="auto" w:frame="1"/>
        </w:rPr>
        <w:t>o ich bolesne rozczarowanie. Wielu wniosk</w:t>
      </w:r>
      <w:r w:rsidR="00187708" w:rsidRPr="00EC250C">
        <w:rPr>
          <w:rFonts w:hint="eastAsia"/>
          <w:bdr w:val="none" w:sz="0" w:space="0" w:color="auto" w:frame="1"/>
        </w:rPr>
        <w:t>ó</w:t>
      </w:r>
      <w:r w:rsidR="00187708" w:rsidRPr="00EC250C">
        <w:rPr>
          <w:bdr w:val="none" w:sz="0" w:space="0" w:color="auto" w:frame="1"/>
        </w:rPr>
        <w:t>w nie rozpatrzono</w:t>
      </w:r>
      <w:r w:rsidR="00992FD0" w:rsidRPr="00EC250C">
        <w:rPr>
          <w:bdr w:val="none" w:sz="0" w:space="0" w:color="auto" w:frame="1"/>
        </w:rPr>
        <w:t xml:space="preserve"> w </w:t>
      </w:r>
      <w:r w:rsidR="00187708" w:rsidRPr="00EC250C">
        <w:rPr>
          <w:bdr w:val="none" w:sz="0" w:space="0" w:color="auto" w:frame="1"/>
        </w:rPr>
        <w:t>terminie; wyborcy dostawali wr</w:t>
      </w:r>
      <w:r w:rsidR="00187708" w:rsidRPr="00EC250C">
        <w:rPr>
          <w:rFonts w:hint="eastAsia"/>
          <w:bdr w:val="none" w:sz="0" w:space="0" w:color="auto" w:frame="1"/>
        </w:rPr>
        <w:t>ę</w:t>
      </w:r>
      <w:r w:rsidR="00187708" w:rsidRPr="00EC250C">
        <w:rPr>
          <w:bdr w:val="none" w:sz="0" w:space="0" w:color="auto" w:frame="1"/>
        </w:rPr>
        <w:t>cz mylne informacje; nie byli te</w:t>
      </w:r>
      <w:r w:rsidR="00187708" w:rsidRPr="00EC250C">
        <w:rPr>
          <w:rFonts w:hint="eastAsia"/>
          <w:bdr w:val="none" w:sz="0" w:space="0" w:color="auto" w:frame="1"/>
        </w:rPr>
        <w:t>ż</w:t>
      </w:r>
      <w:r w:rsidR="00187708" w:rsidRPr="00EC250C">
        <w:rPr>
          <w:bdr w:val="none" w:sz="0" w:space="0" w:color="auto" w:frame="1"/>
        </w:rPr>
        <w:t xml:space="preserve"> zawiadamiani</w:t>
      </w:r>
      <w:r w:rsidR="00992FD0" w:rsidRPr="00EC250C">
        <w:rPr>
          <w:bdr w:val="none" w:sz="0" w:space="0" w:color="auto" w:frame="1"/>
        </w:rPr>
        <w:t xml:space="preserve"> o </w:t>
      </w:r>
      <w:r w:rsidR="00187708" w:rsidRPr="00EC250C">
        <w:rPr>
          <w:bdr w:val="none" w:sz="0" w:space="0" w:color="auto" w:frame="1"/>
        </w:rPr>
        <w:t>odmowie wpisania do rejestru</w:t>
      </w:r>
      <w:r w:rsidR="004E5197" w:rsidRPr="00EC250C">
        <w:rPr>
          <w:bdr w:val="none" w:sz="0" w:space="0" w:color="auto" w:frame="1"/>
        </w:rPr>
        <w:t>.</w:t>
      </w:r>
      <w:r w:rsidRPr="00EC250C">
        <w:rPr>
          <w:bdr w:val="none" w:sz="0" w:space="0" w:color="auto" w:frame="1"/>
        </w:rPr>
        <w:t xml:space="preserve"> </w:t>
      </w:r>
    </w:p>
    <w:p w14:paraId="5A6DFD11" w14:textId="77777777" w:rsidR="00187708" w:rsidRPr="00EC250C" w:rsidRDefault="00187708" w:rsidP="00D131FA">
      <w:pPr>
        <w:pStyle w:val="Styl1"/>
      </w:pPr>
      <w:r w:rsidRPr="00EC250C">
        <w:t xml:space="preserve">Do Rzecznika Praw Obywatelskich wpłynęło wiele skarg. </w:t>
      </w:r>
      <w:r w:rsidR="00B04745" w:rsidRPr="00EC250C">
        <w:t xml:space="preserve">RPO </w:t>
      </w:r>
      <w:r w:rsidR="004E5197" w:rsidRPr="00EC250C">
        <w:t>z</w:t>
      </w:r>
      <w:r w:rsidRPr="00EC250C">
        <w:t>wrócił się</w:t>
      </w:r>
      <w:r w:rsidR="00992FD0" w:rsidRPr="00EC250C">
        <w:t xml:space="preserve"> z </w:t>
      </w:r>
      <w:r w:rsidRPr="00EC250C">
        <w:t>tym do przewodniczącego Państwowej Komisji Wyborczej, pytał też</w:t>
      </w:r>
      <w:r w:rsidR="00992FD0" w:rsidRPr="00EC250C">
        <w:t xml:space="preserve"> o </w:t>
      </w:r>
      <w:r w:rsidRPr="00EC250C">
        <w:t>to Ministra Cyfryzacji; do prezydentów miast wystąpił zaś</w:t>
      </w:r>
      <w:r w:rsidR="00992FD0" w:rsidRPr="00EC250C">
        <w:t xml:space="preserve"> o </w:t>
      </w:r>
      <w:r w:rsidRPr="00EC250C">
        <w:t>wyjaśnienia</w:t>
      </w:r>
      <w:r w:rsidR="00992FD0" w:rsidRPr="00EC250C">
        <w:t xml:space="preserve"> w </w:t>
      </w:r>
      <w:r w:rsidRPr="00EC250C">
        <w:t>konkretnych sprawach.</w:t>
      </w:r>
    </w:p>
    <w:p w14:paraId="48925E13" w14:textId="77777777" w:rsidR="00187708" w:rsidRPr="00EC250C" w:rsidRDefault="00187708" w:rsidP="00D131FA">
      <w:pPr>
        <w:pStyle w:val="Styl1"/>
        <w:rPr>
          <w:bCs/>
          <w:iCs/>
        </w:rPr>
      </w:pPr>
      <w:r w:rsidRPr="00EC250C">
        <w:rPr>
          <w:bCs/>
          <w:iCs/>
        </w:rPr>
        <w:t xml:space="preserve">PKW nie mogła pomóc, ale Minister </w:t>
      </w:r>
      <w:r w:rsidR="001E659A" w:rsidRPr="00EC250C">
        <w:rPr>
          <w:bCs/>
          <w:iCs/>
        </w:rPr>
        <w:t>Cyfryzacji</w:t>
      </w:r>
      <w:r w:rsidRPr="00EC250C">
        <w:rPr>
          <w:bCs/>
          <w:iCs/>
        </w:rPr>
        <w:t xml:space="preserve"> potwierdził istnienie problemu</w:t>
      </w:r>
      <w:r w:rsidR="00992FD0" w:rsidRPr="00EC250C">
        <w:rPr>
          <w:bCs/>
          <w:iCs/>
        </w:rPr>
        <w:t xml:space="preserve"> i </w:t>
      </w:r>
      <w:r w:rsidRPr="00EC250C">
        <w:rPr>
          <w:bCs/>
          <w:iCs/>
        </w:rPr>
        <w:t>zapowiedział prace nad rozbudową systemu e-PUAP</w:t>
      </w:r>
      <w:r w:rsidR="00720F4F" w:rsidRPr="00EC250C">
        <w:rPr>
          <w:bCs/>
          <w:iCs/>
        </w:rPr>
        <w:t>, co jest złożonym zadaniem informatycznym</w:t>
      </w:r>
      <w:r w:rsidR="007B3337" w:rsidRPr="00EC250C">
        <w:rPr>
          <w:rStyle w:val="Odwoanieprzypisudolnego"/>
          <w:bCs/>
          <w:iCs/>
        </w:rPr>
        <w:footnoteReference w:id="404"/>
      </w:r>
      <w:r w:rsidR="007B3337" w:rsidRPr="00EC250C">
        <w:rPr>
          <w:bCs/>
          <w:iCs/>
        </w:rPr>
        <w:t>.</w:t>
      </w:r>
    </w:p>
    <w:p w14:paraId="322FE422" w14:textId="77777777" w:rsidR="00C91F6E" w:rsidRPr="00EC250C" w:rsidRDefault="00187708" w:rsidP="00EC79EB">
      <w:pPr>
        <w:pStyle w:val="Nagwek4"/>
      </w:pPr>
      <w:bookmarkStart w:id="396" w:name="_Toc6257818"/>
      <w:bookmarkStart w:id="397" w:name="_Toc11247695"/>
      <w:r w:rsidRPr="00EC250C">
        <w:t>Wpis</w:t>
      </w:r>
      <w:r w:rsidR="00E059F9" w:rsidRPr="00EC250C">
        <w:t>y</w:t>
      </w:r>
      <w:r w:rsidRPr="00EC250C">
        <w:t xml:space="preserve"> do rejestru wyborców osób dotkniętych kryzysem bezdomności</w:t>
      </w:r>
      <w:bookmarkEnd w:id="396"/>
      <w:bookmarkEnd w:id="397"/>
    </w:p>
    <w:p w14:paraId="724FAF09" w14:textId="77777777" w:rsidR="00B473F5" w:rsidRPr="00EC250C" w:rsidRDefault="00187708" w:rsidP="00D131FA">
      <w:pPr>
        <w:pStyle w:val="Problemczowieka"/>
        <w:jc w:val="both"/>
        <w:rPr>
          <w:bdr w:val="none" w:sz="0" w:space="0" w:color="auto" w:frame="1"/>
        </w:rPr>
      </w:pPr>
      <w:r w:rsidRPr="00EC250C">
        <w:rPr>
          <w:bdr w:val="none" w:sz="0" w:space="0" w:color="auto" w:frame="1"/>
        </w:rPr>
        <w:t>Osoby</w:t>
      </w:r>
      <w:r w:rsidR="00992FD0" w:rsidRPr="00EC250C">
        <w:rPr>
          <w:bdr w:val="none" w:sz="0" w:space="0" w:color="auto" w:frame="1"/>
        </w:rPr>
        <w:t xml:space="preserve"> w </w:t>
      </w:r>
      <w:r w:rsidRPr="00EC250C">
        <w:rPr>
          <w:bdr w:val="none" w:sz="0" w:space="0" w:color="auto" w:frame="1"/>
        </w:rPr>
        <w:t>kryzysie bezdomności miały kłopoty</w:t>
      </w:r>
      <w:r w:rsidR="00992FD0" w:rsidRPr="00EC250C">
        <w:rPr>
          <w:bdr w:val="none" w:sz="0" w:space="0" w:color="auto" w:frame="1"/>
        </w:rPr>
        <w:t xml:space="preserve"> z </w:t>
      </w:r>
      <w:r w:rsidRPr="00EC250C">
        <w:rPr>
          <w:bdr w:val="none" w:sz="0" w:space="0" w:color="auto" w:frame="1"/>
        </w:rPr>
        <w:t>dopisaniem się do spisu wyborców, bo urzędnicy uważali, że nie da się tego zrobić bez podania adresu. Po wieloletnich staraniach RPO</w:t>
      </w:r>
      <w:r w:rsidR="00992FD0" w:rsidRPr="00EC250C">
        <w:rPr>
          <w:bdr w:val="none" w:sz="0" w:space="0" w:color="auto" w:frame="1"/>
        </w:rPr>
        <w:t xml:space="preserve"> z </w:t>
      </w:r>
      <w:r w:rsidRPr="00EC250C">
        <w:rPr>
          <w:bdr w:val="none" w:sz="0" w:space="0" w:color="auto" w:frame="1"/>
        </w:rPr>
        <w:t>końcem 2018</w:t>
      </w:r>
      <w:r w:rsidR="00C91F6E" w:rsidRPr="00EC250C">
        <w:rPr>
          <w:bdr w:val="none" w:sz="0" w:space="0" w:color="auto" w:frame="1"/>
        </w:rPr>
        <w:t> r.</w:t>
      </w:r>
      <w:r w:rsidRPr="00EC250C">
        <w:rPr>
          <w:bdr w:val="none" w:sz="0" w:space="0" w:color="auto" w:frame="1"/>
        </w:rPr>
        <w:t xml:space="preserve"> przepisy zmieniły się tak, że wystarczy </w:t>
      </w:r>
      <w:r w:rsidR="00720F4F" w:rsidRPr="00EC250C">
        <w:rPr>
          <w:bdr w:val="none" w:sz="0" w:space="0" w:color="auto" w:frame="1"/>
        </w:rPr>
        <w:t xml:space="preserve">zostawić </w:t>
      </w:r>
      <w:r w:rsidRPr="00EC250C">
        <w:rPr>
          <w:bdr w:val="none" w:sz="0" w:space="0" w:color="auto" w:frame="1"/>
        </w:rPr>
        <w:t>informacj</w:t>
      </w:r>
      <w:r w:rsidR="00720F4F" w:rsidRPr="00EC250C">
        <w:rPr>
          <w:bdr w:val="none" w:sz="0" w:space="0" w:color="auto" w:frame="1"/>
        </w:rPr>
        <w:t>ę, jak się z wyborcą s</w:t>
      </w:r>
      <w:r w:rsidRPr="00EC250C">
        <w:rPr>
          <w:bdr w:val="none" w:sz="0" w:space="0" w:color="auto" w:frame="1"/>
        </w:rPr>
        <w:t>kontaktowa</w:t>
      </w:r>
      <w:r w:rsidR="00720F4F" w:rsidRPr="00EC250C">
        <w:rPr>
          <w:bdr w:val="none" w:sz="0" w:space="0" w:color="auto" w:frame="1"/>
        </w:rPr>
        <w:t>ć</w:t>
      </w:r>
      <w:r w:rsidRPr="00EC250C">
        <w:rPr>
          <w:bdr w:val="none" w:sz="0" w:space="0" w:color="auto" w:frame="1"/>
        </w:rPr>
        <w:t>,</w:t>
      </w:r>
      <w:r w:rsidR="00992FD0" w:rsidRPr="00EC250C">
        <w:rPr>
          <w:bdr w:val="none" w:sz="0" w:space="0" w:color="auto" w:frame="1"/>
        </w:rPr>
        <w:t xml:space="preserve"> </w:t>
      </w:r>
      <w:r w:rsidR="00720F4F" w:rsidRPr="00EC250C">
        <w:rPr>
          <w:bdr w:val="none" w:sz="0" w:space="0" w:color="auto" w:frame="1"/>
        </w:rPr>
        <w:t>nie trzeba podawać adresu</w:t>
      </w:r>
      <w:r w:rsidR="00B473F5" w:rsidRPr="00EC250C">
        <w:rPr>
          <w:bdr w:val="none" w:sz="0" w:space="0" w:color="auto" w:frame="1"/>
        </w:rPr>
        <w:t>.</w:t>
      </w:r>
    </w:p>
    <w:p w14:paraId="75FADF6E" w14:textId="77777777" w:rsidR="00C91F6E" w:rsidRPr="00EC250C" w:rsidRDefault="00187708" w:rsidP="00D131FA">
      <w:pPr>
        <w:pStyle w:val="Styl1"/>
      </w:pPr>
      <w:r w:rsidRPr="00EC250C">
        <w:t xml:space="preserve">Rzecznik dostaje takie skargi od lat. </w:t>
      </w:r>
      <w:r w:rsidR="004E5197" w:rsidRPr="00EC250C">
        <w:t>Przykładowo</w:t>
      </w:r>
      <w:r w:rsidRPr="00EC250C">
        <w:t xml:space="preserve"> wyborca nie mógł się dopisać do spisu</w:t>
      </w:r>
      <w:r w:rsidR="00992FD0" w:rsidRPr="00EC250C">
        <w:t xml:space="preserve"> w </w:t>
      </w:r>
      <w:r w:rsidRPr="00EC250C">
        <w:t>Warszawie, bo Prezydent m.st. Warszawy uznał, że wzór wniosku</w:t>
      </w:r>
      <w:r w:rsidR="00992FD0" w:rsidRPr="00EC250C">
        <w:t xml:space="preserve"> o </w:t>
      </w:r>
      <w:r w:rsidRPr="00EC250C">
        <w:t>wpisanie do rejestru wyborców</w:t>
      </w:r>
      <w:r w:rsidR="00392799" w:rsidRPr="00EC250C">
        <w:t xml:space="preserve"> </w:t>
      </w:r>
      <w:r w:rsidRPr="00EC250C">
        <w:t>wymaga wskazania adresu, pod którym wnioskodawca zadeklaruje stałe zamieszkanie.</w:t>
      </w:r>
    </w:p>
    <w:p w14:paraId="345A8635" w14:textId="77777777" w:rsidR="00187708" w:rsidRPr="00EC250C" w:rsidRDefault="00187708" w:rsidP="00D131FA">
      <w:pPr>
        <w:pStyle w:val="Styl1"/>
      </w:pPr>
      <w:r w:rsidRPr="00EC250C">
        <w:lastRenderedPageBreak/>
        <w:t>Z ustaleń RPO wynikało, że praktyka wpisu do rejestru takiego wyborcy jest niejednolita. W większości sprawdzanych urzędów wymaga się adresu stałego zamieszkania, ale niekiedy</w:t>
      </w:r>
      <w:r w:rsidR="00026572" w:rsidRPr="00EC250C">
        <w:t xml:space="preserve"> – </w:t>
      </w:r>
      <w:r w:rsidRPr="00EC250C">
        <w:t xml:space="preserve">tylko „stałego przebywania”. Dlatego też konieczna była zmiana rozporządzenia </w:t>
      </w:r>
      <w:r w:rsidR="001E659A" w:rsidRPr="00EC250C">
        <w:t>MSWiA</w:t>
      </w:r>
      <w:r w:rsidR="00992FD0" w:rsidRPr="00EC250C">
        <w:t xml:space="preserve"> i </w:t>
      </w:r>
      <w:r w:rsidRPr="00EC250C">
        <w:t>ujęcie</w:t>
      </w:r>
      <w:r w:rsidR="00992FD0" w:rsidRPr="00EC250C">
        <w:t xml:space="preserve"> w </w:t>
      </w:r>
      <w:r w:rsidRPr="00EC250C">
        <w:t>jasny sposób procedury dopisania się do rejestru wyborców.</w:t>
      </w:r>
    </w:p>
    <w:p w14:paraId="0FDB73DA" w14:textId="77777777" w:rsidR="00C91F6E" w:rsidRPr="00EC250C" w:rsidRDefault="00187708" w:rsidP="00D131FA">
      <w:pPr>
        <w:pStyle w:val="Styl1"/>
        <w:rPr>
          <w:bCs/>
          <w:iCs/>
        </w:rPr>
      </w:pPr>
      <w:r w:rsidRPr="00EC250C">
        <w:rPr>
          <w:bCs/>
          <w:iCs/>
        </w:rPr>
        <w:t>Z korespondencji</w:t>
      </w:r>
      <w:r w:rsidR="00992FD0" w:rsidRPr="00EC250C">
        <w:rPr>
          <w:bCs/>
          <w:iCs/>
        </w:rPr>
        <w:t xml:space="preserve"> z </w:t>
      </w:r>
      <w:r w:rsidRPr="00EC250C">
        <w:rPr>
          <w:bCs/>
          <w:iCs/>
        </w:rPr>
        <w:t>PKW</w:t>
      </w:r>
      <w:r w:rsidRPr="00EC250C">
        <w:rPr>
          <w:rStyle w:val="Odwoanieprzypisudolnego"/>
          <w:bCs/>
          <w:iCs/>
        </w:rPr>
        <w:footnoteReference w:id="405"/>
      </w:r>
      <w:r w:rsidRPr="00EC250C">
        <w:rPr>
          <w:bCs/>
          <w:iCs/>
        </w:rPr>
        <w:t xml:space="preserve"> wynikało, że trwają działania zmierzające do ułatwienia osobom nigdzie niezamieszkałym wpisywanie się do rejestru wyborców.</w:t>
      </w:r>
    </w:p>
    <w:p w14:paraId="70F82871" w14:textId="77777777" w:rsidR="00187708" w:rsidRPr="00EC250C" w:rsidRDefault="00187708" w:rsidP="00D131FA">
      <w:pPr>
        <w:pStyle w:val="Styl1"/>
        <w:rPr>
          <w:bCs/>
          <w:iCs/>
        </w:rPr>
      </w:pPr>
      <w:r w:rsidRPr="00EC250C">
        <w:rPr>
          <w:bCs/>
          <w:iCs/>
        </w:rPr>
        <w:t>Niestety nie zakończyły się one przed wyborami samorządowymi 2018</w:t>
      </w:r>
      <w:r w:rsidR="00C91F6E" w:rsidRPr="00EC250C">
        <w:rPr>
          <w:bCs/>
          <w:iCs/>
        </w:rPr>
        <w:t> r.</w:t>
      </w:r>
      <w:r w:rsidRPr="00EC250C">
        <w:rPr>
          <w:bCs/>
          <w:iCs/>
        </w:rPr>
        <w:t xml:space="preserve"> Dlatego RPO ponownie interweniował</w:t>
      </w:r>
      <w:r w:rsidRPr="00EC250C">
        <w:rPr>
          <w:rStyle w:val="Odwoanieprzypisudolnego"/>
          <w:bCs/>
          <w:iCs/>
        </w:rPr>
        <w:footnoteReference w:id="406"/>
      </w:r>
      <w:r w:rsidRPr="00EC250C">
        <w:rPr>
          <w:bCs/>
          <w:iCs/>
        </w:rPr>
        <w:t xml:space="preserve"> u Ministra Spraw Wewnętrznych</w:t>
      </w:r>
      <w:r w:rsidR="00992FD0" w:rsidRPr="00EC250C">
        <w:rPr>
          <w:bCs/>
          <w:iCs/>
        </w:rPr>
        <w:t xml:space="preserve"> i </w:t>
      </w:r>
      <w:r w:rsidRPr="00EC250C">
        <w:rPr>
          <w:bCs/>
          <w:iCs/>
        </w:rPr>
        <w:t>Administracji. Zmiana prawa nastąpiła</w:t>
      </w:r>
      <w:r w:rsidR="00992FD0" w:rsidRPr="00EC250C">
        <w:rPr>
          <w:bCs/>
          <w:iCs/>
        </w:rPr>
        <w:t xml:space="preserve"> z </w:t>
      </w:r>
      <w:r w:rsidRPr="00EC250C">
        <w:rPr>
          <w:bCs/>
          <w:iCs/>
        </w:rPr>
        <w:t>końcem roku</w:t>
      </w:r>
      <w:r w:rsidRPr="00EC250C">
        <w:rPr>
          <w:rStyle w:val="Odwoanieprzypisudolnego"/>
          <w:bCs/>
          <w:iCs/>
        </w:rPr>
        <w:footnoteReference w:id="407"/>
      </w:r>
      <w:r w:rsidRPr="00EC250C">
        <w:rPr>
          <w:bCs/>
          <w:iCs/>
        </w:rPr>
        <w:t>. Osoby bez stałego adresu mają tylko podać</w:t>
      </w:r>
      <w:r w:rsidR="001E659A" w:rsidRPr="00EC250C">
        <w:rPr>
          <w:bCs/>
          <w:iCs/>
        </w:rPr>
        <w:t xml:space="preserve"> informację</w:t>
      </w:r>
      <w:r w:rsidRPr="00EC250C">
        <w:rPr>
          <w:bCs/>
          <w:iCs/>
        </w:rPr>
        <w:t>,</w:t>
      </w:r>
      <w:r w:rsidR="00992FD0" w:rsidRPr="00EC250C">
        <w:rPr>
          <w:bCs/>
          <w:iCs/>
        </w:rPr>
        <w:t xml:space="preserve"> w </w:t>
      </w:r>
      <w:r w:rsidR="001E659A" w:rsidRPr="00EC250C">
        <w:rPr>
          <w:bCs/>
          <w:iCs/>
        </w:rPr>
        <w:t>jaki sposób można się</w:t>
      </w:r>
      <w:r w:rsidR="00992FD0" w:rsidRPr="00EC250C">
        <w:rPr>
          <w:bCs/>
          <w:iCs/>
        </w:rPr>
        <w:t xml:space="preserve"> z </w:t>
      </w:r>
      <w:r w:rsidRPr="00EC250C">
        <w:rPr>
          <w:bCs/>
          <w:iCs/>
        </w:rPr>
        <w:t>nimi skontaktować</w:t>
      </w:r>
      <w:r w:rsidR="00720F4F" w:rsidRPr="00EC250C">
        <w:rPr>
          <w:rStyle w:val="Odwoanieprzypisudolnego"/>
          <w:bCs/>
          <w:iCs/>
        </w:rPr>
        <w:footnoteReference w:id="408"/>
      </w:r>
      <w:r w:rsidRPr="00EC250C">
        <w:rPr>
          <w:bCs/>
          <w:iCs/>
        </w:rPr>
        <w:t>.</w:t>
      </w:r>
      <w:r w:rsidR="00720F4F" w:rsidRPr="00EC250C">
        <w:rPr>
          <w:bCs/>
          <w:iCs/>
        </w:rPr>
        <w:t xml:space="preserve"> </w:t>
      </w:r>
    </w:p>
    <w:p w14:paraId="7B34645E" w14:textId="77777777" w:rsidR="00C91F6E" w:rsidRPr="00EC250C" w:rsidRDefault="001E659A" w:rsidP="00EC79EB">
      <w:pPr>
        <w:pStyle w:val="Nagwek4"/>
      </w:pPr>
      <w:bookmarkStart w:id="398" w:name="_Toc6257819"/>
      <w:bookmarkStart w:id="399" w:name="_Toc11247696"/>
      <w:r w:rsidRPr="00EC250C">
        <w:t>Dostosowanie</w:t>
      </w:r>
      <w:r w:rsidR="00187708" w:rsidRPr="00EC250C">
        <w:t xml:space="preserve"> lokali wyborczych do potrzeb wyborców</w:t>
      </w:r>
      <w:r w:rsidR="00992FD0" w:rsidRPr="00EC250C">
        <w:t xml:space="preserve"> z </w:t>
      </w:r>
      <w:r w:rsidR="00187708" w:rsidRPr="00EC250C">
        <w:t>niepełnosprawnościami</w:t>
      </w:r>
      <w:bookmarkEnd w:id="398"/>
      <w:bookmarkEnd w:id="399"/>
    </w:p>
    <w:p w14:paraId="23FB6AF4" w14:textId="77777777" w:rsidR="00B473F5" w:rsidRPr="00EC250C" w:rsidRDefault="00187708" w:rsidP="00D131FA">
      <w:pPr>
        <w:pStyle w:val="Problemczowieka"/>
        <w:jc w:val="both"/>
      </w:pPr>
      <w:bookmarkStart w:id="400" w:name="_Hlk8210025"/>
      <w:r w:rsidRPr="00EC250C">
        <w:t>Wyborcy</w:t>
      </w:r>
      <w:r w:rsidR="00992FD0" w:rsidRPr="00EC250C">
        <w:t xml:space="preserve"> z </w:t>
      </w:r>
      <w:r w:rsidRPr="00EC250C">
        <w:t>niepełnosprawnościami mają kłopoty</w:t>
      </w:r>
      <w:r w:rsidR="00992FD0" w:rsidRPr="00EC250C">
        <w:t xml:space="preserve"> z </w:t>
      </w:r>
      <w:r w:rsidRPr="00EC250C">
        <w:t>dotarciem do lokali wyborczych</w:t>
      </w:r>
      <w:r w:rsidR="00992FD0" w:rsidRPr="00EC250C">
        <w:t xml:space="preserve"> i </w:t>
      </w:r>
      <w:r w:rsidRPr="00EC250C">
        <w:t>głosowaniem</w:t>
      </w:r>
      <w:r w:rsidR="00B473F5" w:rsidRPr="00EC250C">
        <w:t>.</w:t>
      </w:r>
    </w:p>
    <w:bookmarkEnd w:id="400"/>
    <w:p w14:paraId="7F42CF67" w14:textId="77777777" w:rsidR="0072096A" w:rsidRPr="00EC250C" w:rsidRDefault="0072096A" w:rsidP="00D131FA">
      <w:pPr>
        <w:pStyle w:val="Styl1"/>
      </w:pPr>
      <w:r w:rsidRPr="00EC250C">
        <w:t xml:space="preserve">RPO </w:t>
      </w:r>
      <w:r w:rsidR="00A7212E" w:rsidRPr="00EC250C">
        <w:t xml:space="preserve">wizytował </w:t>
      </w:r>
      <w:r w:rsidRPr="00EC250C">
        <w:t>loka</w:t>
      </w:r>
      <w:r w:rsidR="00A7212E" w:rsidRPr="00EC250C">
        <w:t>lnej</w:t>
      </w:r>
      <w:r w:rsidRPr="00EC250C">
        <w:t xml:space="preserve"> wyborcz</w:t>
      </w:r>
      <w:r w:rsidR="00A7212E" w:rsidRPr="00EC250C">
        <w:t>e</w:t>
      </w:r>
      <w:r w:rsidRPr="00EC250C">
        <w:t xml:space="preserve"> w czasie wyborów samorządowych w 2018 r. </w:t>
      </w:r>
      <w:r w:rsidRPr="00EC250C">
        <w:rPr>
          <w:rStyle w:val="Odwoanieprzypisudolnego"/>
        </w:rPr>
        <w:footnoteReference w:id="409"/>
      </w:r>
      <w:r w:rsidRPr="00EC250C">
        <w:t xml:space="preserve"> </w:t>
      </w:r>
      <w:r w:rsidR="00A7212E" w:rsidRPr="00EC250C">
        <w:t>Wraz z CBOS przeprowadził badania, z których wynika, że znaczna część wyborców chce głosować osobiście w lokalu wyborczym</w:t>
      </w:r>
      <w:r w:rsidRPr="00EC250C">
        <w:t>. Dotyczy to także seniorów i osób z niepełnosprawnościami. Dlatego tak ważne jest egzekwowanie przepisów, które wymagają, by co drugi lokal wyborczy był dostosowany do potrzeb osób z niepełnosprawnościami. Przepisy  dokładnie wskazują, na czym to dostosowanie ma polegać.</w:t>
      </w:r>
    </w:p>
    <w:p w14:paraId="411BAE89" w14:textId="77777777" w:rsidR="0072096A" w:rsidRPr="00EC250C" w:rsidRDefault="0072096A" w:rsidP="00EC250C">
      <w:pPr>
        <w:pStyle w:val="Nagwek5"/>
      </w:pPr>
      <w:r w:rsidRPr="00EC250C">
        <w:t>Problemy wyborców niewidomych</w:t>
      </w:r>
    </w:p>
    <w:p w14:paraId="5E038B05" w14:textId="77777777" w:rsidR="00B473F5" w:rsidRPr="00EC250C" w:rsidRDefault="0072096A" w:rsidP="00D131FA">
      <w:pPr>
        <w:pStyle w:val="Problemczowieka"/>
        <w:jc w:val="both"/>
      </w:pPr>
      <w:r w:rsidRPr="00EC250C">
        <w:t>Wyborca niewidomy może samodzielnie oddać głos korzystając z tzw. nakładki braille’owskiej</w:t>
      </w:r>
      <w:r w:rsidR="00B473F5" w:rsidRPr="00EC250C">
        <w:t>.</w:t>
      </w:r>
    </w:p>
    <w:p w14:paraId="48F92312" w14:textId="77777777" w:rsidR="0072096A" w:rsidRPr="00EC250C" w:rsidRDefault="0072096A" w:rsidP="00D131FA">
      <w:pPr>
        <w:pStyle w:val="Styl1"/>
        <w:rPr>
          <w:bCs/>
          <w:iCs/>
        </w:rPr>
      </w:pPr>
      <w:r w:rsidRPr="00EC250C">
        <w:rPr>
          <w:bCs/>
          <w:iCs/>
        </w:rPr>
        <w:t>O problemach z wyposażeniem lokali RPO alarmował też przed wyborami w 2018 r. Zwracał uwagę na problem nakładek w alfabecie Braille’a. Od takich szczegółów zależy bowiem w praktyce realizacja praw wyborczych</w:t>
      </w:r>
      <w:r w:rsidRPr="00EC250C">
        <w:rPr>
          <w:rStyle w:val="Odwoanieprzypisudolnego"/>
          <w:bCs/>
          <w:iCs/>
        </w:rPr>
        <w:footnoteReference w:id="410"/>
      </w:r>
      <w:r w:rsidRPr="00EC250C">
        <w:rPr>
          <w:bCs/>
          <w:iCs/>
        </w:rPr>
        <w:t xml:space="preserve">. Przepisy zakładają, że jeśli w lokalu wyborczym pojawi się wyborca </w:t>
      </w:r>
      <w:r w:rsidRPr="00EC250C">
        <w:rPr>
          <w:bCs/>
          <w:iCs/>
        </w:rPr>
        <w:lastRenderedPageBreak/>
        <w:t>niewidomy, trzeba mu sprowadzić nakładkę. RPO miał wątpliwości, czy taki system zadziała w praktyce.</w:t>
      </w:r>
    </w:p>
    <w:p w14:paraId="18C344BB" w14:textId="77777777" w:rsidR="00187708" w:rsidRPr="00EC250C" w:rsidRDefault="00187708" w:rsidP="00D131FA">
      <w:pPr>
        <w:pStyle w:val="Styl1"/>
        <w:rPr>
          <w:bCs/>
          <w:iCs/>
        </w:rPr>
      </w:pPr>
      <w:r w:rsidRPr="00EC250C">
        <w:rPr>
          <w:bCs/>
          <w:iCs/>
        </w:rPr>
        <w:t>Przewodniczący Państwowej Komisji Wyborczej zapewniał, że gminy rozumieją wagę problemu. Niestety, jedna</w:t>
      </w:r>
      <w:r w:rsidR="00992FD0" w:rsidRPr="00EC250C">
        <w:rPr>
          <w:bCs/>
          <w:iCs/>
        </w:rPr>
        <w:t xml:space="preserve"> z </w:t>
      </w:r>
      <w:r w:rsidRPr="00EC250C">
        <w:rPr>
          <w:bCs/>
          <w:iCs/>
        </w:rPr>
        <w:t>pierwszych skarg wyborców, jakie już</w:t>
      </w:r>
      <w:r w:rsidR="00992FD0" w:rsidRPr="00EC250C">
        <w:rPr>
          <w:bCs/>
          <w:iCs/>
        </w:rPr>
        <w:t xml:space="preserve"> w </w:t>
      </w:r>
      <w:r w:rsidRPr="00EC250C">
        <w:rPr>
          <w:bCs/>
          <w:iCs/>
        </w:rPr>
        <w:t>dniu głosowania podczas wyborów samorządowych dotarły do Biura RPO, dotyczyła właśnie funkcjonowania nakładek na karty do głosowania.</w:t>
      </w:r>
    </w:p>
    <w:p w14:paraId="16306F96" w14:textId="77777777" w:rsidR="00187708" w:rsidRPr="00EC250C" w:rsidRDefault="00187708" w:rsidP="00D131FA">
      <w:pPr>
        <w:pStyle w:val="ODESANIE"/>
        <w:jc w:val="both"/>
      </w:pPr>
      <w:r w:rsidRPr="00EC250C">
        <w:t>Omówienie</w:t>
      </w:r>
      <w:r w:rsidR="00E059F9" w:rsidRPr="00EC250C">
        <w:t xml:space="preserve"> problemu transmisji z lokali wyborczych –  </w:t>
      </w:r>
      <w:r w:rsidRPr="00EC250C">
        <w:t>Art. 51</w:t>
      </w:r>
      <w:r w:rsidR="00E059F9" w:rsidRPr="00EC250C">
        <w:t>,</w:t>
      </w:r>
      <w:r w:rsidRPr="00EC250C">
        <w:t xml:space="preserve"> Prawo do autonomii informacyjnej.</w:t>
      </w:r>
    </w:p>
    <w:p w14:paraId="5B358311" w14:textId="77777777" w:rsidR="00187708" w:rsidRPr="00EC250C" w:rsidRDefault="00187708" w:rsidP="00D131FA">
      <w:pPr>
        <w:spacing w:after="200" w:line="24" w:lineRule="auto"/>
        <w:jc w:val="both"/>
        <w:rPr>
          <w:bCs/>
          <w:color w:val="044892"/>
          <w:sz w:val="24"/>
        </w:rPr>
      </w:pPr>
      <w:r w:rsidRPr="00EC250C">
        <w:rPr>
          <w:sz w:val="24"/>
        </w:rPr>
        <w:br w:type="page"/>
      </w:r>
    </w:p>
    <w:p w14:paraId="2EF1F825" w14:textId="77777777" w:rsidR="00C91F6E" w:rsidRPr="00EC250C" w:rsidRDefault="00187708" w:rsidP="00EC250C">
      <w:pPr>
        <w:pStyle w:val="Nagwek3"/>
      </w:pPr>
      <w:bookmarkStart w:id="401" w:name="_Toc6257821"/>
      <w:bookmarkStart w:id="402" w:name="_Toc11247697"/>
      <w:r w:rsidRPr="00EC250C">
        <w:lastRenderedPageBreak/>
        <w:t xml:space="preserve">Art. 63 </w:t>
      </w:r>
      <w:r w:rsidR="003C7122" w:rsidRPr="00EC250C">
        <w:t xml:space="preserve">Konstytucji </w:t>
      </w:r>
      <w:r w:rsidRPr="00EC250C">
        <w:t>– Prawo do petycji, wniosków</w:t>
      </w:r>
      <w:r w:rsidR="00992FD0" w:rsidRPr="00EC250C">
        <w:t xml:space="preserve"> i </w:t>
      </w:r>
      <w:r w:rsidRPr="00EC250C">
        <w:t>skarg</w:t>
      </w:r>
      <w:bookmarkEnd w:id="401"/>
      <w:bookmarkEnd w:id="402"/>
    </w:p>
    <w:p w14:paraId="13C97C89" w14:textId="77777777" w:rsidR="00187708" w:rsidRPr="00EC250C" w:rsidRDefault="00187708" w:rsidP="00D131FA">
      <w:pPr>
        <w:pStyle w:val="konstytucja"/>
        <w:jc w:val="both"/>
      </w:pPr>
      <w:r w:rsidRPr="00EC250C">
        <w:t>Każdy ma prawo składać petycje, wnioski</w:t>
      </w:r>
      <w:r w:rsidR="00992FD0" w:rsidRPr="00EC250C">
        <w:t xml:space="preserve"> i </w:t>
      </w:r>
      <w:r w:rsidRPr="00EC250C">
        <w:t>skargi</w:t>
      </w:r>
      <w:r w:rsidR="00992FD0" w:rsidRPr="00EC250C">
        <w:t xml:space="preserve"> w </w:t>
      </w:r>
      <w:r w:rsidRPr="00EC250C">
        <w:t>interesie publicznym, własnym lub innej osoby za jej zgodą do organów władzy publicznej oraz do organizacji</w:t>
      </w:r>
      <w:r w:rsidR="00992FD0" w:rsidRPr="00EC250C">
        <w:t xml:space="preserve"> i </w:t>
      </w:r>
      <w:r w:rsidRPr="00EC250C">
        <w:t>instytucji społecznych</w:t>
      </w:r>
      <w:r w:rsidR="00992FD0" w:rsidRPr="00EC250C">
        <w:t xml:space="preserve"> w </w:t>
      </w:r>
      <w:r w:rsidRPr="00EC250C">
        <w:t>związku</w:t>
      </w:r>
      <w:r w:rsidR="00992FD0" w:rsidRPr="00EC250C">
        <w:t xml:space="preserve"> z </w:t>
      </w:r>
      <w:r w:rsidRPr="00EC250C">
        <w:t>wykonywanymi przez nie zadaniami zleconymi</w:t>
      </w:r>
      <w:r w:rsidR="00992FD0" w:rsidRPr="00EC250C">
        <w:t xml:space="preserve"> z </w:t>
      </w:r>
      <w:r w:rsidRPr="00EC250C">
        <w:t>zakresu administracji publicznej. Tryb rozpatrywania petycji, wniosków</w:t>
      </w:r>
      <w:r w:rsidR="00992FD0" w:rsidRPr="00EC250C">
        <w:t xml:space="preserve"> i </w:t>
      </w:r>
      <w:r w:rsidRPr="00EC250C">
        <w:t>skarg określa ustawa.</w:t>
      </w:r>
    </w:p>
    <w:p w14:paraId="33BB461F" w14:textId="77777777" w:rsidR="00187708" w:rsidRPr="00EC250C" w:rsidRDefault="00187708" w:rsidP="00D131FA">
      <w:pPr>
        <w:pStyle w:val="ComwiKonstytucja"/>
      </w:pPr>
      <w:r w:rsidRPr="00EC250C">
        <w:t>Przepis ten reguluje prawo do występowania do władz publicznych, organizacji</w:t>
      </w:r>
      <w:r w:rsidR="00992FD0" w:rsidRPr="00EC250C">
        <w:t xml:space="preserve"> i </w:t>
      </w:r>
      <w:r w:rsidRPr="00EC250C">
        <w:t>instytucji społecznych</w:t>
      </w:r>
      <w:r w:rsidR="00992FD0" w:rsidRPr="00EC250C">
        <w:t xml:space="preserve"> z </w:t>
      </w:r>
      <w:r w:rsidRPr="00EC250C">
        <w:t>określonymi wnioskami. Konstytucja prawo to pojmuje szeroko przewidując takie formuły jak: petycje, wnioski,</w:t>
      </w:r>
      <w:r w:rsidR="00992FD0" w:rsidRPr="00EC250C">
        <w:t xml:space="preserve"> a </w:t>
      </w:r>
      <w:r w:rsidRPr="00EC250C">
        <w:t>także skargi. Prawo to, co warto podkreślić, przysługuje każdemu,</w:t>
      </w:r>
      <w:r w:rsidR="00992FD0" w:rsidRPr="00EC250C">
        <w:t xml:space="preserve"> a </w:t>
      </w:r>
      <w:r w:rsidRPr="00EC250C">
        <w:t>więc nie tylko obywatelom polskim. Adresatem petycji, wniosków</w:t>
      </w:r>
      <w:r w:rsidR="00992FD0" w:rsidRPr="00EC250C">
        <w:t xml:space="preserve"> i </w:t>
      </w:r>
      <w:r w:rsidRPr="00EC250C">
        <w:t>skarg mogą być organy władzy publicznej oraz organizacje</w:t>
      </w:r>
      <w:r w:rsidR="00992FD0" w:rsidRPr="00EC250C">
        <w:t xml:space="preserve"> i </w:t>
      </w:r>
      <w:r w:rsidRPr="00EC250C">
        <w:t>instytucje społeczne</w:t>
      </w:r>
      <w:r w:rsidR="00992FD0" w:rsidRPr="00EC250C">
        <w:t xml:space="preserve"> w </w:t>
      </w:r>
      <w:r w:rsidRPr="00EC250C">
        <w:t>ramach zadań im zleconych</w:t>
      </w:r>
      <w:r w:rsidR="00992FD0" w:rsidRPr="00EC250C">
        <w:t xml:space="preserve"> z </w:t>
      </w:r>
      <w:r w:rsidRPr="00EC250C">
        <w:t>zakresu administracji publicznej. Tryb ich rozpatrywania określa ustawa.</w:t>
      </w:r>
    </w:p>
    <w:p w14:paraId="327DEF80" w14:textId="77777777" w:rsidR="003E4DBD" w:rsidRPr="00EC250C" w:rsidRDefault="003E4DBD" w:rsidP="00D131FA">
      <w:pPr>
        <w:pStyle w:val="ComwiKonstytucja"/>
      </w:pPr>
    </w:p>
    <w:p w14:paraId="2459CBFB" w14:textId="77777777" w:rsidR="00187708" w:rsidRPr="00EC250C" w:rsidRDefault="00187708" w:rsidP="00D131FA">
      <w:pPr>
        <w:pStyle w:val="Styl1"/>
      </w:pPr>
    </w:p>
    <w:p w14:paraId="23F324CB" w14:textId="6B742D38" w:rsidR="00C91F6E" w:rsidRPr="00EC250C" w:rsidRDefault="00187708" w:rsidP="00F31C41">
      <w:pPr>
        <w:pStyle w:val="Styl1"/>
      </w:pPr>
      <w:r w:rsidRPr="00EC250C">
        <w:t xml:space="preserve">Rzecznik </w:t>
      </w:r>
      <w:r w:rsidR="00B04745" w:rsidRPr="00EC250C">
        <w:t xml:space="preserve">Praw Obywatelskich </w:t>
      </w:r>
      <w:r w:rsidRPr="00EC250C">
        <w:t>nie dostrzegł</w:t>
      </w:r>
      <w:r w:rsidR="00992FD0" w:rsidRPr="00EC250C">
        <w:t xml:space="preserve"> w </w:t>
      </w:r>
      <w:r w:rsidRPr="00EC250C">
        <w:t>2018</w:t>
      </w:r>
      <w:r w:rsidR="00C91F6E" w:rsidRPr="00EC250C">
        <w:t> r.</w:t>
      </w:r>
      <w:r w:rsidRPr="00EC250C">
        <w:t xml:space="preserve"> zagrożeń systemowych dla tego prawa. Otrzymywał natomiast wnioski</w:t>
      </w:r>
      <w:r w:rsidR="00992FD0" w:rsidRPr="00EC250C">
        <w:t xml:space="preserve"> w </w:t>
      </w:r>
      <w:r w:rsidRPr="00EC250C">
        <w:t>sprawach indywidualnych dotyczące niewłaściwego rozpatrywania petycji, wniosków</w:t>
      </w:r>
      <w:r w:rsidR="00992FD0" w:rsidRPr="00EC250C">
        <w:t xml:space="preserve"> i </w:t>
      </w:r>
      <w:r w:rsidRPr="00EC250C">
        <w:t>skarg, jak również bezczynności właściwych organów</w:t>
      </w:r>
      <w:r w:rsidR="00992FD0" w:rsidRPr="00EC250C">
        <w:t xml:space="preserve"> w </w:t>
      </w:r>
      <w:r w:rsidRPr="00EC250C">
        <w:t>tych sprawach.</w:t>
      </w:r>
    </w:p>
    <w:p w14:paraId="217C58B5" w14:textId="3C9B961D" w:rsidR="00F31C41" w:rsidRPr="00EC250C" w:rsidRDefault="00F31C41" w:rsidP="00F31C41">
      <w:pPr>
        <w:pStyle w:val="Styl1"/>
      </w:pPr>
      <w:r w:rsidRPr="00EC250C">
        <w:t xml:space="preserve">W szczególności skarżący wskazywali na brak rozpatrzenia złożonych petycji (głównie przez jednostki samorządu terytorialnego). W każdym takim przypadku RPO występował do organu, do którego została złożona petycja, o złożenie wyjaśnień i przedstawienie informacji w sprawie. Prowadzona przez Rzecznika korespondencja przynosiła różne rezultaty m.in. w jednej ze spraw ustalono, że brak rozpatrzenia petycji był zasadny z uwagi na braki formalne petycji, w innej natomiast sprawie, w wyniku korespondencji z radą gminy stwierdzono naruszenie przepisów ustawy o petycjach i niezbędne było zwrócenie się do organu nadzoru (wojewody). </w:t>
      </w:r>
    </w:p>
    <w:p w14:paraId="62F7A4F8" w14:textId="5CC9B7BE" w:rsidR="00F31C41" w:rsidRPr="00EC250C" w:rsidRDefault="00F31C41" w:rsidP="00F31C41">
      <w:pPr>
        <w:pStyle w:val="Styl1"/>
      </w:pPr>
      <w:r w:rsidRPr="00EC250C">
        <w:t>Jedno z pism zawierało również opinię obywatela o funkcjonowaniu ustawy o petycjach, która (wraz z zawartymi w niej pomysłami) została wzięta pod uwagę w toku bieżących analiz RPO.</w:t>
      </w:r>
    </w:p>
    <w:p w14:paraId="419ADB6D" w14:textId="7D147561" w:rsidR="00F31C41" w:rsidRPr="00EC250C" w:rsidRDefault="00F31C41" w:rsidP="00F31C41">
      <w:pPr>
        <w:pStyle w:val="Styl1"/>
      </w:pPr>
      <w:r w:rsidRPr="00EC250C">
        <w:t>Problem stosowania ustawy o petycjach i o dostępie do informacji publicznej stale jest poruszany przez uczestników spotkań regionalnych RPO.</w:t>
      </w:r>
    </w:p>
    <w:p w14:paraId="41D73399" w14:textId="77777777" w:rsidR="00187708" w:rsidRPr="00EC250C" w:rsidRDefault="00187708" w:rsidP="00D131FA">
      <w:pPr>
        <w:spacing w:after="200" w:line="24" w:lineRule="auto"/>
        <w:jc w:val="both"/>
        <w:rPr>
          <w:rFonts w:cs="Arial"/>
          <w:color w:val="000000"/>
          <w:sz w:val="22"/>
          <w:szCs w:val="22"/>
        </w:rPr>
      </w:pPr>
      <w:r w:rsidRPr="00EC250C">
        <w:rPr>
          <w:rFonts w:cs="Arial"/>
          <w:color w:val="000000"/>
          <w:sz w:val="22"/>
          <w:szCs w:val="22"/>
        </w:rPr>
        <w:br w:type="page"/>
      </w:r>
    </w:p>
    <w:p w14:paraId="77E342BB" w14:textId="77777777" w:rsidR="00187708" w:rsidRPr="00EC250C" w:rsidRDefault="00187708" w:rsidP="00D131FA">
      <w:pPr>
        <w:pStyle w:val="Nagwek2"/>
        <w:jc w:val="both"/>
        <w:rPr>
          <w:sz w:val="52"/>
        </w:rPr>
      </w:pPr>
      <w:bookmarkStart w:id="403" w:name="_Toc6257822"/>
      <w:bookmarkStart w:id="404" w:name="_Toc11247698"/>
      <w:r w:rsidRPr="00EC250C">
        <w:lastRenderedPageBreak/>
        <w:t>4. Wolności</w:t>
      </w:r>
      <w:r w:rsidR="00992FD0" w:rsidRPr="00EC250C">
        <w:t xml:space="preserve"> i </w:t>
      </w:r>
      <w:r w:rsidRPr="00EC250C">
        <w:t>prawa ekonomiczne, socjalne</w:t>
      </w:r>
      <w:r w:rsidR="00992FD0" w:rsidRPr="00EC250C">
        <w:t xml:space="preserve"> i </w:t>
      </w:r>
      <w:r w:rsidRPr="00EC250C">
        <w:t>kulturalne</w:t>
      </w:r>
      <w:bookmarkEnd w:id="403"/>
      <w:bookmarkEnd w:id="404"/>
    </w:p>
    <w:p w14:paraId="6483EB14" w14:textId="77777777" w:rsidR="00187708" w:rsidRPr="00EC250C" w:rsidRDefault="00187708" w:rsidP="00EC79EB">
      <w:pPr>
        <w:pStyle w:val="Nagwek4"/>
      </w:pPr>
      <w:bookmarkStart w:id="405" w:name="_Toc6257823"/>
      <w:bookmarkStart w:id="406" w:name="_Toc11247699"/>
      <w:r w:rsidRPr="00EC250C">
        <w:t xml:space="preserve">Znaczenie </w:t>
      </w:r>
      <w:r w:rsidRPr="00EC250C">
        <w:rPr>
          <w:rStyle w:val="Pogrubienie"/>
          <w:b/>
          <w:bCs w:val="0"/>
        </w:rPr>
        <w:t>praw socjalnych</w:t>
      </w:r>
      <w:bookmarkEnd w:id="405"/>
      <w:bookmarkEnd w:id="406"/>
    </w:p>
    <w:p w14:paraId="33DE54E1" w14:textId="77777777" w:rsidR="00B473F5" w:rsidRPr="00EC250C" w:rsidRDefault="00545310" w:rsidP="00D131FA">
      <w:pPr>
        <w:pStyle w:val="Problemczowieka"/>
        <w:jc w:val="both"/>
        <w:rPr>
          <w:rStyle w:val="Pogrubienie"/>
          <w:b/>
          <w:bCs w:val="0"/>
          <w:szCs w:val="24"/>
        </w:rPr>
      </w:pPr>
      <w:r w:rsidRPr="00EC250C">
        <w:rPr>
          <w:rStyle w:val="Pogrubienie"/>
          <w:b/>
          <w:bCs w:val="0"/>
          <w:szCs w:val="24"/>
        </w:rPr>
        <w:t>Dyskusja o prawach socjalnych jest dziś ważniejsza niż kiedykolwiek. Powody tej sytuacji to wzrost populizmu, starzenie się społeczeństw, wyzwania migracji i bezrobocia oraz działania wielkich korporacji. W Polsce jesteśmy tak bardzo przytłoczeni debatą o rządach prawa, że czasami nie mamy czasu na głębszą refleksję nad przyszłością Europy także w tym zakresie</w:t>
      </w:r>
      <w:r w:rsidR="00B473F5" w:rsidRPr="00EC250C">
        <w:rPr>
          <w:rStyle w:val="Pogrubienie"/>
          <w:b/>
          <w:bCs w:val="0"/>
          <w:szCs w:val="24"/>
        </w:rPr>
        <w:t>.</w:t>
      </w:r>
    </w:p>
    <w:p w14:paraId="736B03D1" w14:textId="77777777" w:rsidR="002C3DFA" w:rsidRPr="00EC250C" w:rsidRDefault="002C3DFA" w:rsidP="00D131FA">
      <w:pPr>
        <w:pStyle w:val="Styl1"/>
      </w:pPr>
      <w:r w:rsidRPr="00EC250C">
        <w:t>Dyskusja na temat praw socjalnych ma długą tradycję w konstytucjonalizmie państw nowożytnych. Z polskich autorów istotną rolę odegrał w tym zakresie prof. Wiktor Osiatyński. Konstytucyjne dyskusje nt. praw socjalnych koncentrują się wokół następujących węzłowych problemów:</w:t>
      </w:r>
    </w:p>
    <w:p w14:paraId="6B7E5F16" w14:textId="77777777" w:rsidR="002C3DFA" w:rsidRPr="00EC250C" w:rsidRDefault="002C3DFA" w:rsidP="006C70B7">
      <w:pPr>
        <w:pStyle w:val="Styl1"/>
        <w:numPr>
          <w:ilvl w:val="0"/>
          <w:numId w:val="154"/>
        </w:numPr>
      </w:pPr>
      <w:r w:rsidRPr="00EC250C">
        <w:t>zakresu praw socjalnych - jakie prawa należą do tej kategorii praw?</w:t>
      </w:r>
    </w:p>
    <w:p w14:paraId="6A12BA10" w14:textId="77777777" w:rsidR="002C3DFA" w:rsidRPr="00EC250C" w:rsidRDefault="002C3DFA" w:rsidP="006C70B7">
      <w:pPr>
        <w:pStyle w:val="Styl1"/>
        <w:numPr>
          <w:ilvl w:val="0"/>
          <w:numId w:val="154"/>
        </w:numPr>
      </w:pPr>
      <w:r w:rsidRPr="00EC250C">
        <w:t>związku między konstytucyjną gwarancją praw socjalnych a rolą rządu i parlamentu w zakresie ustanawiania budżetu,</w:t>
      </w:r>
    </w:p>
    <w:p w14:paraId="6B78E761" w14:textId="77777777" w:rsidR="002C3DFA" w:rsidRPr="00EC250C" w:rsidRDefault="002C3DFA" w:rsidP="006C70B7">
      <w:pPr>
        <w:pStyle w:val="Styl1"/>
        <w:numPr>
          <w:ilvl w:val="0"/>
          <w:numId w:val="154"/>
        </w:numPr>
      </w:pPr>
      <w:r w:rsidRPr="00EC250C">
        <w:t>tego, czy prawa socjalne powinny być bezpośrednio egzekwowalne na podstawie konstytucji czy też powinny wskazywać na zasady polityki społecznej, którymi powinni kierować się rządzący,</w:t>
      </w:r>
    </w:p>
    <w:p w14:paraId="18515FD7" w14:textId="77777777" w:rsidR="002C3DFA" w:rsidRPr="00EC250C" w:rsidRDefault="002C3DFA" w:rsidP="006C70B7">
      <w:pPr>
        <w:pStyle w:val="Styl1"/>
        <w:numPr>
          <w:ilvl w:val="0"/>
          <w:numId w:val="154"/>
        </w:numPr>
      </w:pPr>
      <w:r w:rsidRPr="00EC250C">
        <w:t>związk</w:t>
      </w:r>
      <w:r w:rsidR="00545310" w:rsidRPr="00EC250C">
        <w:t>u</w:t>
      </w:r>
      <w:r w:rsidRPr="00EC250C">
        <w:t xml:space="preserve"> między prawami obywatelskimi i politycznymi a prawami socjalnymi. Sprowadza się on do dylematu: „Czy powinienem cieszyć się wolnością słowa i prawem do głosowania, gdy jestem bezdomny, bezrobotny i pozbawiony minimum egzystencji”?</w:t>
      </w:r>
    </w:p>
    <w:p w14:paraId="04D6684B" w14:textId="77777777" w:rsidR="002C3DFA" w:rsidRPr="00EC250C" w:rsidRDefault="002C3DFA" w:rsidP="00D131FA">
      <w:pPr>
        <w:pStyle w:val="Styl1"/>
      </w:pPr>
      <w:r w:rsidRPr="00EC250C">
        <w:t>Ochrona praw socjalnych rozwija się także na poziomie międzynarodowym. Świadectwem tego są konwencje MOP, Międzynarodowy Pakt Praw Ekonomicznych, Społecznych i Kulturalnych, a także Europejska Karta Społeczna. Warto jednak zauważyć, że standardy wynikające z umów międzynarodowych nie są wystarczająco odzwierciedlane w praktykach państw na poziomie krajowym. Często stanowią one raczej wskazówki do działania niż ustanawiają bezpośrednio egzekwowalne prawa. Również jednostki mają ograniczony dostęp do międzynarodowych organów orzeczniczych decydujących o zakresie praw socjalnych.</w:t>
      </w:r>
    </w:p>
    <w:p w14:paraId="306BA6AA" w14:textId="77777777" w:rsidR="002C3DFA" w:rsidRPr="00EC250C" w:rsidRDefault="002C3DFA" w:rsidP="00D131FA">
      <w:pPr>
        <w:pStyle w:val="Styl1"/>
      </w:pPr>
      <w:r w:rsidRPr="00EC250C">
        <w:t>Dlatego coraz częściej forum do dyskusji na temat praw socjalnych staje się Europejski Trybunał Praw Człowieka. Ale jest to możliwe tylko jeśli istnieje ku temu podstawa w prawach i wolnościach gwarantowanych w Europejskiej Konwencji Praw Człowieka. Przykład to art.</w:t>
      </w:r>
      <w:r w:rsidR="00545310" w:rsidRPr="00EC250C">
        <w:t> </w:t>
      </w:r>
      <w:r w:rsidRPr="00EC250C">
        <w:t>2 Konwencji (prawo do życia) w kontekście dostępu do opieki zdrowotnej w nagłych przypadkach czy art.</w:t>
      </w:r>
      <w:r w:rsidR="00545310" w:rsidRPr="00EC250C">
        <w:t> </w:t>
      </w:r>
      <w:r w:rsidRPr="00EC250C">
        <w:t xml:space="preserve">3 Konwencji (zakaz tortur, nieludzkiego i poniżającego traktowania) w kontekście prawa do opieki zdrowotnej osób pozbawionych wolności. ETPC odgrywa także istotną rolę w zakresie prawa do sądu oraz dostępu do efektywnych środków zaskarżenia. ETPC nie może być jednak </w:t>
      </w:r>
      <w:r w:rsidRPr="00EC250C">
        <w:lastRenderedPageBreak/>
        <w:t>remedium w kontekście ochrony praw socjalnych na arenie międzynarodowej, ze względu na ograniczony charakter praw wynikających z Konwencji, a także zasadę pomocniczości i marginesu uznania.</w:t>
      </w:r>
    </w:p>
    <w:p w14:paraId="2CE5A20C" w14:textId="77777777" w:rsidR="002C3DFA" w:rsidRPr="00EC250C" w:rsidRDefault="00545310" w:rsidP="00D131FA">
      <w:pPr>
        <w:pStyle w:val="Styl1"/>
      </w:pPr>
      <w:r w:rsidRPr="00EC250C">
        <w:t>Dy</w:t>
      </w:r>
      <w:r w:rsidR="002C3DFA" w:rsidRPr="00EC250C">
        <w:t>skusja na temat praw socjalnych jest dziś ważniejsza niż kiedykolwiek wcześniej. Powodami tego są:</w:t>
      </w:r>
    </w:p>
    <w:p w14:paraId="00867B7B" w14:textId="46B45962" w:rsidR="002C3DFA" w:rsidRPr="00EC250C" w:rsidRDefault="002C3DFA" w:rsidP="00E03C32">
      <w:pPr>
        <w:pStyle w:val="Styl1"/>
        <w:numPr>
          <w:ilvl w:val="0"/>
          <w:numId w:val="162"/>
        </w:numPr>
      </w:pPr>
      <w:r w:rsidRPr="00EC250C">
        <w:t>wzrastający populizm w państwach Unii Europejskiej. Jednym z jego idei jest lepsza troska o dobrobyt obywateli poprzez inwestowanie w różne programy społeczne - co dzieje się kosztem swobód politycznych. To realizacja zasady: „My wiemy, co jest dla was lepsze”. Rodzi się pytanie, jak możemy używać języka praw socjalnych, by zwalczać takie nastawienie;</w:t>
      </w:r>
    </w:p>
    <w:p w14:paraId="423BDE59" w14:textId="77777777" w:rsidR="002C3DFA" w:rsidRPr="00EC250C" w:rsidRDefault="002C3DFA" w:rsidP="00E03C32">
      <w:pPr>
        <w:pStyle w:val="Styl1"/>
        <w:numPr>
          <w:ilvl w:val="0"/>
          <w:numId w:val="162"/>
        </w:numPr>
      </w:pPr>
      <w:r w:rsidRPr="00EC250C">
        <w:t>wprowadzane oszczędności i ich konsekwencje związane z wysokim poziomem bezrobocia w niektórych krajach UE;</w:t>
      </w:r>
    </w:p>
    <w:p w14:paraId="0DCDCCCF" w14:textId="027C7B5A" w:rsidR="002C3DFA" w:rsidRPr="00EC250C" w:rsidRDefault="002C3DFA" w:rsidP="00E03C32">
      <w:pPr>
        <w:pStyle w:val="Styl1"/>
        <w:numPr>
          <w:ilvl w:val="0"/>
          <w:numId w:val="162"/>
        </w:numPr>
      </w:pPr>
      <w:r w:rsidRPr="00EC250C">
        <w:t>demografia – starzejące się społeczeństwa państw</w:t>
      </w:r>
      <w:r w:rsidR="009875BC" w:rsidRPr="00EC250C">
        <w:t xml:space="preserve"> </w:t>
      </w:r>
      <w:r w:rsidRPr="00EC250C">
        <w:t>europejskich i ryzyko braku solidarności międzypokoleniowej, co ma przełożenie na rosnące wydatki państw;</w:t>
      </w:r>
    </w:p>
    <w:p w14:paraId="2B36E34A" w14:textId="77777777" w:rsidR="002C3DFA" w:rsidRPr="00EC250C" w:rsidRDefault="002C3DFA" w:rsidP="00E03C32">
      <w:pPr>
        <w:pStyle w:val="Styl1"/>
        <w:numPr>
          <w:ilvl w:val="0"/>
          <w:numId w:val="162"/>
        </w:numPr>
      </w:pPr>
      <w:r w:rsidRPr="00EC250C">
        <w:t>migracje - jaka powinna być reakcja na migrację, zarówno wewnętrzną, jak i zewnętrzną?</w:t>
      </w:r>
    </w:p>
    <w:p w14:paraId="73BA494C" w14:textId="77777777" w:rsidR="00545310" w:rsidRPr="00EC250C" w:rsidRDefault="002C3DFA" w:rsidP="00E03C32">
      <w:pPr>
        <w:pStyle w:val="Styl1"/>
        <w:numPr>
          <w:ilvl w:val="0"/>
          <w:numId w:val="162"/>
        </w:numPr>
      </w:pPr>
      <w:r w:rsidRPr="00EC250C">
        <w:t xml:space="preserve">biznes a prawa człowieka - rosnąca rola międzynarodowych korporacji. Jakie są zadania państwa w regulowaniu ich postępowania w kontekście prawa człowieka? Odnosi się to także do spółek kontrolowanych przez państwo. </w:t>
      </w:r>
    </w:p>
    <w:p w14:paraId="4C9AEA62" w14:textId="77777777" w:rsidR="00187708" w:rsidRPr="00EC250C" w:rsidRDefault="002C3DFA" w:rsidP="00D131FA">
      <w:pPr>
        <w:pStyle w:val="Styl1"/>
      </w:pPr>
      <w:r w:rsidRPr="00EC250C">
        <w:rPr>
          <w:rStyle w:val="Uwydatnienie"/>
          <w:i w:val="0"/>
          <w:iCs w:val="0"/>
          <w:szCs w:val="24"/>
        </w:rPr>
        <w:t>Jeżeli pozwolimy, by polityka dominowała nad prawami socjalnymi, w połączeniu z odebraniem prawa do sądu, ryzykujemy, że rzeczywistość będzie kształtowana nie przez Konstytucję, ale przez rządzących</w:t>
      </w:r>
      <w:r w:rsidR="00187708" w:rsidRPr="00EC250C">
        <w:rPr>
          <w:rStyle w:val="Odwoanieprzypisudolnego"/>
          <w:sz w:val="24"/>
          <w:szCs w:val="24"/>
        </w:rPr>
        <w:footnoteReference w:id="411"/>
      </w:r>
      <w:r w:rsidR="00187708" w:rsidRPr="00EC250C">
        <w:rPr>
          <w:color w:val="18223E"/>
        </w:rPr>
        <w:t>.</w:t>
      </w:r>
    </w:p>
    <w:p w14:paraId="6E1EA284" w14:textId="77777777" w:rsidR="00187708" w:rsidRPr="00EC250C" w:rsidRDefault="00187708" w:rsidP="00D131FA">
      <w:pPr>
        <w:pStyle w:val="Styl1"/>
      </w:pPr>
      <w:r w:rsidRPr="00EC250C">
        <w:br w:type="page"/>
      </w:r>
    </w:p>
    <w:p w14:paraId="284D97E4" w14:textId="77777777" w:rsidR="00C91F6E" w:rsidRPr="00EC250C" w:rsidRDefault="00187708" w:rsidP="00EC250C">
      <w:pPr>
        <w:pStyle w:val="Nagwek3"/>
      </w:pPr>
      <w:bookmarkStart w:id="407" w:name="_Toc6257824"/>
      <w:bookmarkStart w:id="408" w:name="_Toc11247700"/>
      <w:r w:rsidRPr="00EC250C">
        <w:lastRenderedPageBreak/>
        <w:t xml:space="preserve">Art. 64 </w:t>
      </w:r>
      <w:r w:rsidR="003C7122" w:rsidRPr="00EC250C">
        <w:t xml:space="preserve">Konstytucji </w:t>
      </w:r>
      <w:r w:rsidRPr="00EC250C">
        <w:t>– Prawo do własności</w:t>
      </w:r>
      <w:bookmarkEnd w:id="407"/>
      <w:bookmarkEnd w:id="408"/>
    </w:p>
    <w:p w14:paraId="43C8DC12" w14:textId="77777777" w:rsidR="00187708" w:rsidRPr="00EC250C" w:rsidRDefault="00187708" w:rsidP="00D131FA">
      <w:pPr>
        <w:pStyle w:val="konstytucja"/>
        <w:jc w:val="both"/>
      </w:pPr>
      <w:r w:rsidRPr="00EC250C">
        <w:t>1. Każdy ma prawo do własności, innych praw majątkowych oraz prawo dziedziczenia.</w:t>
      </w:r>
    </w:p>
    <w:p w14:paraId="0BAF7B01" w14:textId="77777777" w:rsidR="00187708" w:rsidRPr="00EC250C" w:rsidRDefault="00187708" w:rsidP="00D131FA">
      <w:pPr>
        <w:pStyle w:val="konstytucja"/>
        <w:jc w:val="both"/>
      </w:pPr>
      <w:r w:rsidRPr="00EC250C">
        <w:t>2. Własność, inne prawa majątkowe oraz prawo dziedziczenia podlegają równej dla wszystkich ochronie prawnej.</w:t>
      </w:r>
    </w:p>
    <w:p w14:paraId="660E8E62" w14:textId="77777777" w:rsidR="00187708" w:rsidRPr="00EC250C" w:rsidRDefault="00187708" w:rsidP="00D131FA">
      <w:pPr>
        <w:pStyle w:val="konstytucja"/>
        <w:jc w:val="both"/>
      </w:pPr>
      <w:r w:rsidRPr="00EC250C">
        <w:t>3. Własność może być ograniczona tylko</w:t>
      </w:r>
      <w:r w:rsidR="00992FD0" w:rsidRPr="00EC250C">
        <w:t xml:space="preserve"> w </w:t>
      </w:r>
      <w:r w:rsidRPr="00EC250C">
        <w:t>drodze ustawy</w:t>
      </w:r>
      <w:r w:rsidR="00992FD0" w:rsidRPr="00EC250C">
        <w:t xml:space="preserve"> i </w:t>
      </w:r>
      <w:r w:rsidRPr="00EC250C">
        <w:t>tylko</w:t>
      </w:r>
      <w:r w:rsidR="00992FD0" w:rsidRPr="00EC250C">
        <w:t xml:space="preserve"> w </w:t>
      </w:r>
      <w:r w:rsidRPr="00EC250C">
        <w:t>zakresie,</w:t>
      </w:r>
      <w:r w:rsidR="00992FD0" w:rsidRPr="00EC250C">
        <w:t xml:space="preserve"> w </w:t>
      </w:r>
      <w:r w:rsidRPr="00EC250C">
        <w:t>jakim nie narusza ona istoty prawa własności.</w:t>
      </w:r>
    </w:p>
    <w:p w14:paraId="57792835" w14:textId="77777777" w:rsidR="00C91F6E" w:rsidRPr="00EC250C" w:rsidRDefault="00187708" w:rsidP="00D131FA">
      <w:pPr>
        <w:pStyle w:val="ComwiKonstytucja"/>
      </w:pPr>
      <w:r w:rsidRPr="00EC250C">
        <w:t>Konstytucja rozróżnia własność od innych praw majątkowych</w:t>
      </w:r>
      <w:r w:rsidR="00992FD0" w:rsidRPr="00EC250C">
        <w:t xml:space="preserve"> i </w:t>
      </w:r>
      <w:r w:rsidRPr="00EC250C">
        <w:t>wyraźnie akcentuje jej wyższą rangę. Odrębnie art. 64 gwarantuje ochronę prawa dziedziczenia. Adresatem obowiązków wynikających</w:t>
      </w:r>
      <w:r w:rsidR="00992FD0" w:rsidRPr="00EC250C">
        <w:t xml:space="preserve"> z </w:t>
      </w:r>
      <w:r w:rsidRPr="00EC250C">
        <w:t>tego prawa (w tym zapewnienia im równej ochrony prawnej) są władze publiczne. Ani prawo własności ani inne prawa majątkowe nie mają charakteru absolutnego. Zakres dopuszczalnych ograniczeń prawa własności określa art. 31 ust. 3 oraz art. 64 ust. 3 (tylko</w:t>
      </w:r>
      <w:r w:rsidR="00992FD0" w:rsidRPr="00EC250C">
        <w:t xml:space="preserve"> w </w:t>
      </w:r>
      <w:r w:rsidRPr="00EC250C">
        <w:t>drodze ustawy, nie może naruszać istoty prawa). Powtórzenie niektórych przesłanek</w:t>
      </w:r>
      <w:r w:rsidR="00992FD0" w:rsidRPr="00EC250C">
        <w:t xml:space="preserve"> w </w:t>
      </w:r>
      <w:r w:rsidRPr="00EC250C">
        <w:t>obu tych przepisach jeszcze bardziej podkreśla znaczenie prawa własności.</w:t>
      </w:r>
    </w:p>
    <w:p w14:paraId="5E085497" w14:textId="77777777" w:rsidR="00187708" w:rsidRPr="00EC250C" w:rsidRDefault="00187708" w:rsidP="00D131FA">
      <w:pPr>
        <w:pStyle w:val="ComwiKonstytucja"/>
      </w:pPr>
      <w:r w:rsidRPr="00EC250C">
        <w:t>Gwarancje</w:t>
      </w:r>
      <w:r w:rsidR="00992FD0" w:rsidRPr="00EC250C">
        <w:t xml:space="preserve"> z </w:t>
      </w:r>
      <w:r w:rsidRPr="00EC250C">
        <w:t>art. 64 ust. 3 nie odnoszą się jednak do innych niż własność praw majątkowych.</w:t>
      </w:r>
    </w:p>
    <w:p w14:paraId="00A20ECF" w14:textId="77777777" w:rsidR="003E4DBD" w:rsidRPr="00EC250C" w:rsidRDefault="003E4DBD" w:rsidP="00D131FA">
      <w:pPr>
        <w:pStyle w:val="ComwiKonstytucja"/>
      </w:pPr>
    </w:p>
    <w:p w14:paraId="641EC887" w14:textId="77777777" w:rsidR="00187708" w:rsidRPr="00EC250C" w:rsidRDefault="00187708" w:rsidP="00D131FA">
      <w:pPr>
        <w:spacing w:after="200" w:line="24" w:lineRule="auto"/>
        <w:jc w:val="both"/>
        <w:rPr>
          <w:rFonts w:cs="Arial"/>
          <w:b/>
          <w:i/>
          <w:color w:val="000000"/>
          <w:sz w:val="24"/>
        </w:rPr>
      </w:pPr>
      <w:r w:rsidRPr="00EC250C">
        <w:rPr>
          <w:sz w:val="24"/>
        </w:rPr>
        <w:br w:type="page"/>
      </w:r>
    </w:p>
    <w:p w14:paraId="0BFFDF21" w14:textId="77777777" w:rsidR="00187708" w:rsidRPr="00EC250C" w:rsidRDefault="00187708" w:rsidP="00EC79EB">
      <w:pPr>
        <w:pStyle w:val="Nagwek4"/>
      </w:pPr>
      <w:bookmarkStart w:id="409" w:name="_Toc6257825"/>
      <w:bookmarkStart w:id="410" w:name="_Toc11247701"/>
      <w:r w:rsidRPr="00EC250C">
        <w:lastRenderedPageBreak/>
        <w:t>Brak ustawy reprywatyzacyjnej</w:t>
      </w:r>
      <w:bookmarkEnd w:id="409"/>
      <w:bookmarkEnd w:id="410"/>
    </w:p>
    <w:p w14:paraId="721FAC22" w14:textId="77777777" w:rsidR="00B473F5" w:rsidRPr="00EC250C" w:rsidRDefault="00187708" w:rsidP="00D131FA">
      <w:pPr>
        <w:pStyle w:val="Problemczowieka"/>
        <w:jc w:val="both"/>
      </w:pPr>
      <w:r w:rsidRPr="00EC250C">
        <w:t>Procesy reprywatyzacyjne toczą się</w:t>
      </w:r>
      <w:r w:rsidR="00992FD0" w:rsidRPr="00EC250C">
        <w:t xml:space="preserve"> w </w:t>
      </w:r>
      <w:r w:rsidRPr="00EC250C">
        <w:t>całym kraju według niejasnych</w:t>
      </w:r>
      <w:r w:rsidR="00992FD0" w:rsidRPr="00EC250C">
        <w:t xml:space="preserve"> i </w:t>
      </w:r>
      <w:r w:rsidRPr="00EC250C">
        <w:t>nie zawsze sprawiedliwych zasad. Nadal nie ma ustawy rozwiązującej ten problem kompleksowo</w:t>
      </w:r>
      <w:r w:rsidR="00B473F5" w:rsidRPr="00EC250C">
        <w:t>.</w:t>
      </w:r>
    </w:p>
    <w:p w14:paraId="441B8891" w14:textId="77777777" w:rsidR="00C91F6E" w:rsidRPr="00EC250C" w:rsidRDefault="00187708" w:rsidP="00D131FA">
      <w:pPr>
        <w:pStyle w:val="Styl1"/>
      </w:pPr>
      <w:r w:rsidRPr="00EC250C">
        <w:t>Brak ustawy oznacza</w:t>
      </w:r>
      <w:r w:rsidR="00454E01" w:rsidRPr="00EC250C">
        <w:t>, że</w:t>
      </w:r>
      <w:r w:rsidRPr="00EC250C">
        <w:t>:</w:t>
      </w:r>
    </w:p>
    <w:p w14:paraId="6F52F206" w14:textId="77777777" w:rsidR="00C91F6E" w:rsidRPr="00EC250C" w:rsidRDefault="00454E01" w:rsidP="006C70B7">
      <w:pPr>
        <w:pStyle w:val="Styl1"/>
        <w:numPr>
          <w:ilvl w:val="0"/>
          <w:numId w:val="48"/>
        </w:numPr>
      </w:pPr>
      <w:r w:rsidRPr="00EC250C">
        <w:t xml:space="preserve">poszczególne grupy obywateli są </w:t>
      </w:r>
      <w:r w:rsidR="00187708" w:rsidRPr="00EC250C">
        <w:t>niesprawiedliw</w:t>
      </w:r>
      <w:r w:rsidRPr="00EC250C">
        <w:t>i</w:t>
      </w:r>
      <w:r w:rsidR="00187708" w:rsidRPr="00EC250C">
        <w:t>e traktowan</w:t>
      </w:r>
      <w:r w:rsidRPr="00EC250C">
        <w:t>e</w:t>
      </w:r>
      <w:r w:rsidR="00187708" w:rsidRPr="00EC250C">
        <w:t xml:space="preserve"> (jedynie niektórzy mogą odzyskać odebrane im mienie,</w:t>
      </w:r>
      <w:r w:rsidR="00992FD0" w:rsidRPr="00EC250C">
        <w:t xml:space="preserve"> w </w:t>
      </w:r>
      <w:r w:rsidR="00187708" w:rsidRPr="00EC250C">
        <w:t>różnym zresztą zakresie);</w:t>
      </w:r>
    </w:p>
    <w:p w14:paraId="5C1BB7BB" w14:textId="77777777" w:rsidR="00C91F6E" w:rsidRPr="00EC250C" w:rsidRDefault="00454E01" w:rsidP="006C70B7">
      <w:pPr>
        <w:pStyle w:val="Styl1"/>
        <w:numPr>
          <w:ilvl w:val="0"/>
          <w:numId w:val="48"/>
        </w:numPr>
      </w:pPr>
      <w:r w:rsidRPr="00EC250C">
        <w:t xml:space="preserve">istnieje </w:t>
      </w:r>
      <w:r w:rsidR="00187708" w:rsidRPr="00EC250C">
        <w:t>pol</w:t>
      </w:r>
      <w:r w:rsidRPr="00EC250C">
        <w:t>e</w:t>
      </w:r>
      <w:r w:rsidR="00187708" w:rsidRPr="00EC250C">
        <w:t xml:space="preserve"> do nadużyć;</w:t>
      </w:r>
    </w:p>
    <w:p w14:paraId="2E645BF9" w14:textId="77777777" w:rsidR="00C91F6E" w:rsidRPr="00EC250C" w:rsidRDefault="00454E01" w:rsidP="006C70B7">
      <w:pPr>
        <w:pStyle w:val="Styl1"/>
        <w:numPr>
          <w:ilvl w:val="0"/>
          <w:numId w:val="48"/>
        </w:numPr>
      </w:pPr>
      <w:r w:rsidRPr="00EC250C">
        <w:t xml:space="preserve">lokatorzy </w:t>
      </w:r>
      <w:r w:rsidR="00187708" w:rsidRPr="00EC250C">
        <w:t>reprywatyzowanych kamienic</w:t>
      </w:r>
      <w:r w:rsidRPr="00EC250C">
        <w:t xml:space="preserve"> nie są dostatecznie chronieni</w:t>
      </w:r>
      <w:r w:rsidR="00187708" w:rsidRPr="00EC250C">
        <w:t>;</w:t>
      </w:r>
    </w:p>
    <w:p w14:paraId="5B292D88" w14:textId="77777777" w:rsidR="00C91F6E" w:rsidRPr="00EC250C" w:rsidRDefault="00187708" w:rsidP="006C70B7">
      <w:pPr>
        <w:pStyle w:val="Styl1"/>
        <w:numPr>
          <w:ilvl w:val="0"/>
          <w:numId w:val="48"/>
        </w:numPr>
      </w:pPr>
      <w:r w:rsidRPr="00EC250C">
        <w:t>odpowiedzialnoś</w:t>
      </w:r>
      <w:r w:rsidR="00454E01" w:rsidRPr="00EC250C">
        <w:t>ć</w:t>
      </w:r>
      <w:r w:rsidRPr="00EC250C">
        <w:t xml:space="preserve"> za rozwiązanie wszystkich skomplikowanych problemów </w:t>
      </w:r>
      <w:r w:rsidR="00454E01" w:rsidRPr="00EC250C">
        <w:t xml:space="preserve">zostaje przerzucona na </w:t>
      </w:r>
      <w:r w:rsidRPr="00EC250C">
        <w:t>organy stosujące prawo – administrację publiczną</w:t>
      </w:r>
      <w:r w:rsidR="00992FD0" w:rsidRPr="00EC250C">
        <w:t xml:space="preserve"> i </w:t>
      </w:r>
      <w:r w:rsidRPr="00EC250C">
        <w:t>system sądowy;</w:t>
      </w:r>
    </w:p>
    <w:p w14:paraId="55C49E96" w14:textId="77777777" w:rsidR="00C91F6E" w:rsidRPr="00EC250C" w:rsidRDefault="00187708" w:rsidP="006C70B7">
      <w:pPr>
        <w:pStyle w:val="Styl1"/>
        <w:numPr>
          <w:ilvl w:val="0"/>
          <w:numId w:val="48"/>
        </w:numPr>
      </w:pPr>
      <w:r w:rsidRPr="00EC250C">
        <w:t>orzecznictw</w:t>
      </w:r>
      <w:r w:rsidR="00454E01" w:rsidRPr="00EC250C">
        <w:t xml:space="preserve">o jest niejednolite, co narusza </w:t>
      </w:r>
      <w:r w:rsidRPr="00EC250C">
        <w:t>bezpieczeństw</w:t>
      </w:r>
      <w:r w:rsidR="00454E01" w:rsidRPr="00EC250C">
        <w:t>o</w:t>
      </w:r>
      <w:r w:rsidRPr="00EC250C">
        <w:t xml:space="preserve"> prawne obywateli; nawet usunięcie rozbieżności uchwałami Sądu Najwyższego czy Naczelnego Sądu Administracyjnego następuje dopiero po latach</w:t>
      </w:r>
      <w:r w:rsidR="00992FD0" w:rsidRPr="00EC250C">
        <w:t xml:space="preserve"> i </w:t>
      </w:r>
      <w:r w:rsidRPr="00EC250C">
        <w:t>może dotyczyć zaledwie pojedynczych, kwestii</w:t>
      </w:r>
      <w:r w:rsidR="00454E01" w:rsidRPr="00EC250C">
        <w:rPr>
          <w:rStyle w:val="Odwoanieprzypisudolnego"/>
        </w:rPr>
        <w:footnoteReference w:id="412"/>
      </w:r>
      <w:r w:rsidR="00454E01" w:rsidRPr="00EC250C">
        <w:t>.</w:t>
      </w:r>
    </w:p>
    <w:p w14:paraId="7304B4B5" w14:textId="77777777" w:rsidR="00187708" w:rsidRPr="00EC250C" w:rsidRDefault="00187708" w:rsidP="00D131FA">
      <w:pPr>
        <w:pStyle w:val="Styl1"/>
      </w:pPr>
      <w:r w:rsidRPr="00EC250C">
        <w:t>Kwestią podstawową</w:t>
      </w:r>
      <w:r w:rsidR="00992FD0" w:rsidRPr="00EC250C">
        <w:t xml:space="preserve"> i </w:t>
      </w:r>
      <w:r w:rsidRPr="00EC250C">
        <w:t>nadal nierozstrzygniętą jest to,</w:t>
      </w:r>
      <w:r w:rsidR="00992FD0" w:rsidRPr="00EC250C">
        <w:t xml:space="preserve"> w </w:t>
      </w:r>
      <w:r w:rsidRPr="00EC250C">
        <w:t>jakim stopniu Rzeczpospolita, będąca</w:t>
      </w:r>
      <w:r w:rsidR="00992FD0" w:rsidRPr="00EC250C">
        <w:t xml:space="preserve"> w </w:t>
      </w:r>
      <w:r w:rsidRPr="00EC250C">
        <w:t>myśl Konstytucji dobrem wspólnym wszystkich obywateli, powinna rekompensować nadużycia</w:t>
      </w:r>
      <w:r w:rsidR="00992FD0" w:rsidRPr="00EC250C">
        <w:t xml:space="preserve"> i </w:t>
      </w:r>
      <w:r w:rsidRPr="00EC250C">
        <w:t>krzywdy wyrządzone powojennymi nacjonalizacjami.</w:t>
      </w:r>
    </w:p>
    <w:p w14:paraId="16958A41" w14:textId="77777777" w:rsidR="00454E01" w:rsidRPr="00EC250C" w:rsidRDefault="00454E01" w:rsidP="00D131FA">
      <w:pPr>
        <w:pStyle w:val="Styl1"/>
      </w:pPr>
      <w:r w:rsidRPr="00EC250C">
        <w:t>Absolutnie niezbędne minimum jest stworzenie równych dla wszystkich, jasnych i przewidywalnych mechanizmów prawnych, według których obywatele będą mogli dochodzić należnych im praw - tych, które wprost gwarantuje im Konstytucja Rzeczypospolitej</w:t>
      </w:r>
    </w:p>
    <w:p w14:paraId="01E594E4" w14:textId="77777777" w:rsidR="00454E01" w:rsidRPr="00EC250C" w:rsidRDefault="00454E01" w:rsidP="00D131FA">
      <w:pPr>
        <w:pStyle w:val="Styl1"/>
      </w:pPr>
      <w:r w:rsidRPr="00EC250C">
        <w:rPr>
          <w:rFonts w:eastAsiaTheme="majorEastAsia"/>
        </w:rPr>
        <w:t xml:space="preserve">Konieczne jest zatem </w:t>
      </w:r>
      <w:r w:rsidRPr="00EC250C">
        <w:t>chwalenia ustawy reprywatyzacyjnej, która w szczególności rozwiązywałaby problemy nieruchomości warszawskich objętych tzw. dekretem Bieruta z  26 października 1945 r.  Konieczne jest wprowadzenie jasnych zasad regulujących unieważnianie decyzji administracyjnych sprzed lat (konieczność wprowadzenia pewnych ograniczeń wynika z wyroku Trybunału Konstytucyjnego, notabene również niewykonanego przez prawodawcę)</w:t>
      </w:r>
      <w:r w:rsidRPr="00EC250C">
        <w:rPr>
          <w:rStyle w:val="Odwoanieprzypisudolnego"/>
        </w:rPr>
        <w:footnoteReference w:id="413"/>
      </w:r>
      <w:r w:rsidRPr="00EC250C">
        <w:t>.</w:t>
      </w:r>
    </w:p>
    <w:p w14:paraId="5F8DA7EC" w14:textId="77777777" w:rsidR="00187708" w:rsidRPr="00EC250C" w:rsidRDefault="00187708" w:rsidP="00D131FA">
      <w:pPr>
        <w:pStyle w:val="ODESANIE"/>
        <w:jc w:val="both"/>
      </w:pPr>
      <w:r w:rsidRPr="00EC250C">
        <w:lastRenderedPageBreak/>
        <w:t>Nowe uprawnienia komisji reprywatyzacyjnej</w:t>
      </w:r>
      <w:r w:rsidR="00992FD0" w:rsidRPr="00EC250C">
        <w:t xml:space="preserve"> w </w:t>
      </w:r>
      <w:r w:rsidRPr="00EC250C">
        <w:t>dostępie do danych obywateli – art. 51 Konstytucji</w:t>
      </w:r>
    </w:p>
    <w:p w14:paraId="586FF24F" w14:textId="77777777" w:rsidR="00C91F6E" w:rsidRPr="00EC250C" w:rsidRDefault="00F1117C" w:rsidP="00D131FA">
      <w:pPr>
        <w:pStyle w:val="ODESANIE"/>
        <w:jc w:val="both"/>
      </w:pPr>
      <w:bookmarkStart w:id="411" w:name="_Toc6257826"/>
      <w:r w:rsidRPr="00EC250C">
        <w:t>Konsekwencje dla lokatorów braku precyzji</w:t>
      </w:r>
      <w:r w:rsidR="00992FD0" w:rsidRPr="00EC250C">
        <w:t xml:space="preserve"> w </w:t>
      </w:r>
      <w:r w:rsidRPr="00EC250C">
        <w:t>ustawie</w:t>
      </w:r>
      <w:r w:rsidR="00992FD0" w:rsidRPr="00EC250C">
        <w:t xml:space="preserve"> o </w:t>
      </w:r>
      <w:r w:rsidRPr="00EC250C">
        <w:t xml:space="preserve">Komisji Weryfikacyjnej opisane są </w:t>
      </w:r>
      <w:r w:rsidR="001874B8" w:rsidRPr="00EC250C">
        <w:t xml:space="preserve">w kontekście </w:t>
      </w:r>
      <w:r w:rsidRPr="00EC250C">
        <w:t>art. 75 Konstytucji</w:t>
      </w:r>
      <w:bookmarkStart w:id="412" w:name="_Hlk10452405"/>
    </w:p>
    <w:p w14:paraId="59AFAEEB" w14:textId="77777777" w:rsidR="00F1117C" w:rsidRPr="00EC250C" w:rsidRDefault="00F1117C" w:rsidP="00EC250C">
      <w:pPr>
        <w:pStyle w:val="Nagwek8"/>
      </w:pPr>
      <w:r w:rsidRPr="00EC250C">
        <w:t>Sprawa Michałowic – co dalej</w:t>
      </w:r>
      <w:r w:rsidR="00992FD0" w:rsidRPr="00EC250C">
        <w:t xml:space="preserve"> z </w:t>
      </w:r>
      <w:r w:rsidRPr="00EC250C">
        <w:t>reprywatyzacją nieruchomości przejętych</w:t>
      </w:r>
      <w:r w:rsidR="00992FD0" w:rsidRPr="00EC250C">
        <w:t xml:space="preserve"> w </w:t>
      </w:r>
      <w:r w:rsidRPr="00EC250C">
        <w:t>ramach reformy rolnej?</w:t>
      </w:r>
    </w:p>
    <w:p w14:paraId="43D64EA1" w14:textId="77777777" w:rsidR="005C6212" w:rsidRPr="00EC250C" w:rsidRDefault="005D03C7" w:rsidP="00D131FA">
      <w:pPr>
        <w:pStyle w:val="Styl2"/>
        <w:rPr>
          <w:szCs w:val="24"/>
        </w:rPr>
      </w:pPr>
      <w:r w:rsidRPr="00EC250C">
        <w:rPr>
          <w:rFonts w:eastAsia="Times New Roman"/>
          <w:szCs w:val="24"/>
        </w:rPr>
        <w:t>Sprawa dotyczy ponad 1500 osób, które dowiedziały się, że ich domy, w których mieszkają od lat i inwestują od lat, mogą nie być ich własnością</w:t>
      </w:r>
      <w:r w:rsidR="006C36C4" w:rsidRPr="00EC250C">
        <w:rPr>
          <w:szCs w:val="24"/>
        </w:rPr>
        <w:t>.</w:t>
      </w:r>
    </w:p>
    <w:p w14:paraId="0F93477D" w14:textId="77777777" w:rsidR="00F1117C" w:rsidRPr="00EC250C" w:rsidRDefault="00F1117C" w:rsidP="00D131FA">
      <w:pPr>
        <w:pStyle w:val="Styl2"/>
        <w:rPr>
          <w:szCs w:val="24"/>
        </w:rPr>
      </w:pPr>
      <w:r w:rsidRPr="00EC250C">
        <w:rPr>
          <w:szCs w:val="24"/>
        </w:rPr>
        <w:t>Grunty</w:t>
      </w:r>
      <w:r w:rsidR="00992FD0" w:rsidRPr="00EC250C">
        <w:rPr>
          <w:szCs w:val="24"/>
        </w:rPr>
        <w:t xml:space="preserve"> w </w:t>
      </w:r>
      <w:r w:rsidRPr="00EC250C">
        <w:rPr>
          <w:szCs w:val="24"/>
        </w:rPr>
        <w:t xml:space="preserve"> Michałowicach zostały przejęte przez państwo</w:t>
      </w:r>
      <w:r w:rsidR="00992FD0" w:rsidRPr="00EC250C">
        <w:rPr>
          <w:szCs w:val="24"/>
        </w:rPr>
        <w:t xml:space="preserve"> w </w:t>
      </w:r>
      <w:r w:rsidRPr="00EC250C">
        <w:rPr>
          <w:szCs w:val="24"/>
        </w:rPr>
        <w:t>1948</w:t>
      </w:r>
      <w:r w:rsidR="00C91F6E" w:rsidRPr="00EC250C">
        <w:rPr>
          <w:szCs w:val="24"/>
        </w:rPr>
        <w:t> r.</w:t>
      </w:r>
      <w:r w:rsidRPr="00EC250C">
        <w:rPr>
          <w:szCs w:val="24"/>
        </w:rPr>
        <w:t xml:space="preserve"> na podstawie dekretu PKWN</w:t>
      </w:r>
      <w:r w:rsidR="00992FD0" w:rsidRPr="00EC250C">
        <w:rPr>
          <w:szCs w:val="24"/>
        </w:rPr>
        <w:t xml:space="preserve"> o </w:t>
      </w:r>
      <w:r w:rsidRPr="00EC250C">
        <w:rPr>
          <w:szCs w:val="24"/>
        </w:rPr>
        <w:t>reformie rolnej</w:t>
      </w:r>
      <w:r w:rsidR="00992FD0" w:rsidRPr="00EC250C">
        <w:rPr>
          <w:szCs w:val="24"/>
        </w:rPr>
        <w:t xml:space="preserve"> z </w:t>
      </w:r>
      <w:r w:rsidRPr="00EC250C">
        <w:rPr>
          <w:szCs w:val="24"/>
        </w:rPr>
        <w:t>1944</w:t>
      </w:r>
      <w:r w:rsidR="00C91F6E" w:rsidRPr="00EC250C">
        <w:rPr>
          <w:szCs w:val="24"/>
        </w:rPr>
        <w:t> r.</w:t>
      </w:r>
      <w:r w:rsidRPr="00EC250C">
        <w:rPr>
          <w:szCs w:val="24"/>
        </w:rPr>
        <w:t xml:space="preserve"> Decyzja ta została uchylona jako bezprawna (bowiem nie był to obszar rolny)</w:t>
      </w:r>
      <w:r w:rsidR="005C6212" w:rsidRPr="00EC250C">
        <w:rPr>
          <w:szCs w:val="24"/>
        </w:rPr>
        <w:t xml:space="preserve">. Jednak ludzie kupowali tu </w:t>
      </w:r>
      <w:r w:rsidR="00992FD0" w:rsidRPr="00EC250C">
        <w:rPr>
          <w:szCs w:val="24"/>
        </w:rPr>
        <w:t>w </w:t>
      </w:r>
      <w:r w:rsidRPr="00EC250C">
        <w:rPr>
          <w:szCs w:val="24"/>
        </w:rPr>
        <w:t>ciągu 70 lat działki</w:t>
      </w:r>
      <w:r w:rsidR="00992FD0" w:rsidRPr="00EC250C">
        <w:rPr>
          <w:szCs w:val="24"/>
        </w:rPr>
        <w:t xml:space="preserve"> i </w:t>
      </w:r>
      <w:r w:rsidRPr="00EC250C">
        <w:rPr>
          <w:szCs w:val="24"/>
        </w:rPr>
        <w:t>stawiali domy.</w:t>
      </w:r>
    </w:p>
    <w:p w14:paraId="202A4773" w14:textId="77777777" w:rsidR="00C91F6E" w:rsidRPr="00EC250C" w:rsidRDefault="00B04745" w:rsidP="00D131FA">
      <w:pPr>
        <w:pStyle w:val="Styl2"/>
        <w:rPr>
          <w:szCs w:val="24"/>
        </w:rPr>
      </w:pPr>
      <w:r w:rsidRPr="00EC250C">
        <w:rPr>
          <w:szCs w:val="24"/>
        </w:rPr>
        <w:t xml:space="preserve">RPO </w:t>
      </w:r>
      <w:r w:rsidR="00F1117C" w:rsidRPr="00EC250C">
        <w:rPr>
          <w:szCs w:val="24"/>
        </w:rPr>
        <w:t>przystąpił</w:t>
      </w:r>
      <w:r w:rsidR="00F1117C" w:rsidRPr="00EC250C">
        <w:rPr>
          <w:szCs w:val="24"/>
          <w:vertAlign w:val="superscript"/>
        </w:rPr>
        <w:footnoteReference w:id="414"/>
      </w:r>
      <w:r w:rsidR="00F1117C" w:rsidRPr="00EC250C">
        <w:rPr>
          <w:szCs w:val="24"/>
        </w:rPr>
        <w:t xml:space="preserve"> do tej sprawy</w:t>
      </w:r>
      <w:r w:rsidR="00992FD0" w:rsidRPr="00EC250C">
        <w:rPr>
          <w:szCs w:val="24"/>
        </w:rPr>
        <w:t xml:space="preserve"> w </w:t>
      </w:r>
      <w:r w:rsidR="00F1117C" w:rsidRPr="00EC250C">
        <w:rPr>
          <w:szCs w:val="24"/>
        </w:rPr>
        <w:t>interesie mieszkańców. W skardze kasacyjnej do Naczelnego Sądu Administracyjnego koncentrował się na fakcie, że decyzja</w:t>
      </w:r>
      <w:r w:rsidR="00992FD0" w:rsidRPr="00EC250C">
        <w:rPr>
          <w:szCs w:val="24"/>
        </w:rPr>
        <w:t xml:space="preserve"> z </w:t>
      </w:r>
      <w:r w:rsidR="00F1117C" w:rsidRPr="00EC250C">
        <w:rPr>
          <w:szCs w:val="24"/>
        </w:rPr>
        <w:t>1948</w:t>
      </w:r>
      <w:r w:rsidR="00C91F6E" w:rsidRPr="00EC250C">
        <w:rPr>
          <w:szCs w:val="24"/>
        </w:rPr>
        <w:t> r.</w:t>
      </w:r>
      <w:r w:rsidR="00F1117C" w:rsidRPr="00EC250C">
        <w:rPr>
          <w:szCs w:val="24"/>
        </w:rPr>
        <w:t xml:space="preserve"> wywołała nieodwracalne skutki prawne. Przez kilkadziesiąt lat nastąpiło wiele zdarzeń, które uniemożliwiają zwrot nieruchomości byłym właścicielom – przynajmniej pewnej ich części.</w:t>
      </w:r>
    </w:p>
    <w:p w14:paraId="1103D3BB" w14:textId="77777777" w:rsidR="00F1117C" w:rsidRPr="00EC250C" w:rsidRDefault="00F1117C" w:rsidP="00D131FA">
      <w:pPr>
        <w:pStyle w:val="Styl2"/>
        <w:rPr>
          <w:szCs w:val="24"/>
        </w:rPr>
      </w:pPr>
      <w:r w:rsidRPr="00EC250C">
        <w:rPr>
          <w:szCs w:val="24"/>
        </w:rPr>
        <w:t>Naczelny Sąd Administracyjny zajął</w:t>
      </w:r>
      <w:r w:rsidRPr="00EC250C">
        <w:rPr>
          <w:szCs w:val="24"/>
          <w:vertAlign w:val="superscript"/>
        </w:rPr>
        <w:footnoteReference w:id="415"/>
      </w:r>
      <w:r w:rsidRPr="00EC250C">
        <w:rPr>
          <w:szCs w:val="24"/>
        </w:rPr>
        <w:t xml:space="preserve"> stanowisko jeszcze dalej idące, niż to przedstawione przez Rzecznika. Zdaniem NSA, kwestia „nieodwracalności skutków prawnych” jest bezprzedmiotowa, gdyż</w:t>
      </w:r>
      <w:r w:rsidR="00992FD0" w:rsidRPr="00EC250C">
        <w:rPr>
          <w:szCs w:val="24"/>
        </w:rPr>
        <w:t xml:space="preserve"> w </w:t>
      </w:r>
      <w:r w:rsidRPr="00EC250C">
        <w:rPr>
          <w:szCs w:val="24"/>
        </w:rPr>
        <w:t>sprawie tej nie można mówić</w:t>
      </w:r>
      <w:r w:rsidR="00992FD0" w:rsidRPr="00EC250C">
        <w:rPr>
          <w:szCs w:val="24"/>
        </w:rPr>
        <w:t xml:space="preserve"> o </w:t>
      </w:r>
      <w:r w:rsidRPr="00EC250C">
        <w:rPr>
          <w:szCs w:val="24"/>
        </w:rPr>
        <w:t>nieważności decyzji nacjonalizacyjnej</w:t>
      </w:r>
      <w:r w:rsidR="00992FD0" w:rsidRPr="00EC250C">
        <w:rPr>
          <w:szCs w:val="24"/>
        </w:rPr>
        <w:t xml:space="preserve"> z </w:t>
      </w:r>
      <w:r w:rsidRPr="00EC250C">
        <w:rPr>
          <w:szCs w:val="24"/>
        </w:rPr>
        <w:t>1948</w:t>
      </w:r>
      <w:r w:rsidR="00C91F6E" w:rsidRPr="00EC250C">
        <w:rPr>
          <w:szCs w:val="24"/>
        </w:rPr>
        <w:t> r.</w:t>
      </w:r>
      <w:r w:rsidRPr="00EC250C">
        <w:rPr>
          <w:szCs w:val="24"/>
        </w:rPr>
        <w:t xml:space="preserve"> Nie naruszała ona prawa</w:t>
      </w:r>
      <w:r w:rsidR="00992FD0" w:rsidRPr="00EC250C">
        <w:rPr>
          <w:szCs w:val="24"/>
        </w:rPr>
        <w:t xml:space="preserve"> w </w:t>
      </w:r>
      <w:r w:rsidRPr="00EC250C">
        <w:rPr>
          <w:szCs w:val="24"/>
        </w:rPr>
        <w:t>sposób rażący. Przyjęta</w:t>
      </w:r>
      <w:r w:rsidR="00992FD0" w:rsidRPr="00EC250C">
        <w:rPr>
          <w:szCs w:val="24"/>
        </w:rPr>
        <w:t xml:space="preserve"> w </w:t>
      </w:r>
      <w:r w:rsidRPr="00EC250C">
        <w:rPr>
          <w:szCs w:val="24"/>
        </w:rPr>
        <w:t>decyzji</w:t>
      </w:r>
      <w:r w:rsidR="00992FD0" w:rsidRPr="00EC250C">
        <w:rPr>
          <w:szCs w:val="24"/>
        </w:rPr>
        <w:t xml:space="preserve"> z </w:t>
      </w:r>
      <w:r w:rsidRPr="00EC250C">
        <w:rPr>
          <w:szCs w:val="24"/>
        </w:rPr>
        <w:t>1948</w:t>
      </w:r>
      <w:r w:rsidR="00C91F6E" w:rsidRPr="00EC250C">
        <w:rPr>
          <w:szCs w:val="24"/>
        </w:rPr>
        <w:t> r.</w:t>
      </w:r>
      <w:r w:rsidRPr="00EC250C">
        <w:rPr>
          <w:szCs w:val="24"/>
        </w:rPr>
        <w:t xml:space="preserve"> wykładnia pojęcia „nieruchomość rolna”, użytego</w:t>
      </w:r>
      <w:r w:rsidR="00992FD0" w:rsidRPr="00EC250C">
        <w:rPr>
          <w:szCs w:val="24"/>
        </w:rPr>
        <w:t xml:space="preserve"> w </w:t>
      </w:r>
      <w:r w:rsidRPr="00EC250C">
        <w:rPr>
          <w:szCs w:val="24"/>
        </w:rPr>
        <w:t>przepisach dekretu PKWN, była stosowana</w:t>
      </w:r>
      <w:r w:rsidR="00992FD0" w:rsidRPr="00EC250C">
        <w:rPr>
          <w:szCs w:val="24"/>
        </w:rPr>
        <w:t xml:space="preserve"> i </w:t>
      </w:r>
      <w:r w:rsidRPr="00EC250C">
        <w:rPr>
          <w:szCs w:val="24"/>
        </w:rPr>
        <w:t>uznawana za prawidłową</w:t>
      </w:r>
      <w:r w:rsidR="00992FD0" w:rsidRPr="00EC250C">
        <w:rPr>
          <w:szCs w:val="24"/>
        </w:rPr>
        <w:t xml:space="preserve"> w </w:t>
      </w:r>
      <w:r w:rsidRPr="00EC250C">
        <w:rPr>
          <w:szCs w:val="24"/>
        </w:rPr>
        <w:t>latach 40. XX wieku. Inny sposób rozumienia tego przepisu, przyjęty przez WSA, utrwalił się dopiero</w:t>
      </w:r>
      <w:r w:rsidR="00992FD0" w:rsidRPr="00EC250C">
        <w:rPr>
          <w:szCs w:val="24"/>
        </w:rPr>
        <w:t xml:space="preserve"> w </w:t>
      </w:r>
      <w:r w:rsidRPr="00EC250C">
        <w:rPr>
          <w:szCs w:val="24"/>
        </w:rPr>
        <w:t>latach 90. Skoro zaś decyzję wydano kilkadziesiąt lat wcześniej, nie można tu mówić</w:t>
      </w:r>
      <w:r w:rsidR="00992FD0" w:rsidRPr="00EC250C">
        <w:rPr>
          <w:szCs w:val="24"/>
        </w:rPr>
        <w:t xml:space="preserve"> o </w:t>
      </w:r>
      <w:r w:rsidRPr="00EC250C">
        <w:rPr>
          <w:szCs w:val="24"/>
        </w:rPr>
        <w:t>kwalifikowanym naruszeniu prawa.</w:t>
      </w:r>
    </w:p>
    <w:p w14:paraId="5ADE7550" w14:textId="77777777" w:rsidR="00F1117C" w:rsidRPr="00EC250C" w:rsidRDefault="00F1117C" w:rsidP="00D131FA">
      <w:pPr>
        <w:pStyle w:val="Styl2"/>
        <w:rPr>
          <w:szCs w:val="24"/>
        </w:rPr>
      </w:pPr>
      <w:r w:rsidRPr="00EC250C">
        <w:rPr>
          <w:szCs w:val="24"/>
        </w:rPr>
        <w:t>Wyrok NSA jest bardzo korzystny dla mieszkańców Michałowic. Przy ponownym rozpoznaniu sprawy Minister Rolnictwa</w:t>
      </w:r>
      <w:r w:rsidR="00992FD0" w:rsidRPr="00EC250C">
        <w:rPr>
          <w:szCs w:val="24"/>
        </w:rPr>
        <w:t xml:space="preserve"> i </w:t>
      </w:r>
      <w:r w:rsidRPr="00EC250C">
        <w:rPr>
          <w:szCs w:val="24"/>
        </w:rPr>
        <w:t>Rozwoju Wsi będzie związany poglądem NSA, że decyzja nacjonalizacyjna</w:t>
      </w:r>
      <w:r w:rsidR="00992FD0" w:rsidRPr="00EC250C">
        <w:rPr>
          <w:szCs w:val="24"/>
        </w:rPr>
        <w:t xml:space="preserve"> z </w:t>
      </w:r>
      <w:r w:rsidRPr="00EC250C">
        <w:rPr>
          <w:szCs w:val="24"/>
        </w:rPr>
        <w:t>1948</w:t>
      </w:r>
      <w:r w:rsidR="00C91F6E" w:rsidRPr="00EC250C">
        <w:rPr>
          <w:szCs w:val="24"/>
        </w:rPr>
        <w:t> r.</w:t>
      </w:r>
      <w:r w:rsidRPr="00EC250C">
        <w:rPr>
          <w:szCs w:val="24"/>
        </w:rPr>
        <w:t xml:space="preserve"> nie została wydana</w:t>
      </w:r>
      <w:r w:rsidR="00992FD0" w:rsidRPr="00EC250C">
        <w:rPr>
          <w:szCs w:val="24"/>
        </w:rPr>
        <w:t xml:space="preserve"> z </w:t>
      </w:r>
      <w:r w:rsidRPr="00EC250C">
        <w:rPr>
          <w:szCs w:val="24"/>
        </w:rPr>
        <w:t>rażącym naruszeniem prawa (a zatem może pozostać</w:t>
      </w:r>
      <w:r w:rsidR="00992FD0" w:rsidRPr="00EC250C">
        <w:rPr>
          <w:szCs w:val="24"/>
        </w:rPr>
        <w:t xml:space="preserve"> w </w:t>
      </w:r>
      <w:r w:rsidRPr="00EC250C">
        <w:rPr>
          <w:szCs w:val="24"/>
        </w:rPr>
        <w:t>obrocie</w:t>
      </w:r>
      <w:r w:rsidR="00992FD0" w:rsidRPr="00EC250C">
        <w:rPr>
          <w:szCs w:val="24"/>
        </w:rPr>
        <w:t xml:space="preserve"> i </w:t>
      </w:r>
      <w:r w:rsidRPr="00EC250C">
        <w:rPr>
          <w:szCs w:val="24"/>
        </w:rPr>
        <w:t>wywoływać skutki prawne).</w:t>
      </w:r>
    </w:p>
    <w:p w14:paraId="234769BD" w14:textId="77777777" w:rsidR="00C91F6E" w:rsidRPr="00EC250C" w:rsidRDefault="00F1117C" w:rsidP="00D131FA">
      <w:pPr>
        <w:pStyle w:val="Styl2"/>
        <w:rPr>
          <w:szCs w:val="24"/>
        </w:rPr>
      </w:pPr>
      <w:r w:rsidRPr="00EC250C">
        <w:rPr>
          <w:szCs w:val="24"/>
        </w:rPr>
        <w:t>Precedensowy pogląd NSA odbiega od dotychczasowej linii orzeczniczej. Możliwe, że obecnie sądy będą podchodzić bardziej restrykcyjnie do unieważniania decyzji nacjonalizacyjnych, utrudniając dochodzenie roszczeń reprywatyzacyjnych osobom pokrzywdzonym takimi decyzjami.</w:t>
      </w:r>
    </w:p>
    <w:p w14:paraId="05B02BD0" w14:textId="77777777" w:rsidR="005C6212" w:rsidRPr="00EC250C" w:rsidRDefault="005D03C7" w:rsidP="00D131FA">
      <w:pPr>
        <w:pStyle w:val="Styl2"/>
        <w:rPr>
          <w:szCs w:val="24"/>
        </w:rPr>
      </w:pPr>
      <w:r w:rsidRPr="00EC250C">
        <w:rPr>
          <w:rFonts w:eastAsia="Times New Roman"/>
          <w:szCs w:val="24"/>
        </w:rPr>
        <w:t>Warto zauważyć na marginesie, że sprawa tego kalibru wymaga ogromnego wysiłku organizacyjnego od pracowników BRPO prowadzących sprawę. Konieczne było sporządzenie i przekazanie do Sądu ponad 1500 odpisów pism procesowych, które następnie były doręczane każdemu z uczestników postępowania</w:t>
      </w:r>
      <w:r w:rsidR="005C6212" w:rsidRPr="00EC250C">
        <w:rPr>
          <w:szCs w:val="24"/>
        </w:rPr>
        <w:t>.</w:t>
      </w:r>
    </w:p>
    <w:p w14:paraId="528D8E39" w14:textId="77777777" w:rsidR="00187708" w:rsidRPr="00EC250C" w:rsidRDefault="00187708" w:rsidP="00EC79EB">
      <w:pPr>
        <w:pStyle w:val="Nagwek4"/>
        <w:rPr>
          <w:spacing w:val="0"/>
        </w:rPr>
      </w:pPr>
      <w:bookmarkStart w:id="413" w:name="_Toc11247702"/>
      <w:bookmarkEnd w:id="412"/>
      <w:r w:rsidRPr="00EC250C">
        <w:lastRenderedPageBreak/>
        <w:t>Problem unieważniania decyzji administracyjnych</w:t>
      </w:r>
      <w:r w:rsidR="00992FD0" w:rsidRPr="00EC250C">
        <w:t xml:space="preserve"> z </w:t>
      </w:r>
      <w:r w:rsidRPr="00EC250C">
        <w:t>czasów PRL</w:t>
      </w:r>
      <w:bookmarkEnd w:id="411"/>
      <w:bookmarkEnd w:id="413"/>
    </w:p>
    <w:p w14:paraId="1B95FB5F" w14:textId="77777777" w:rsidR="00D91FBD" w:rsidRPr="00EC250C" w:rsidRDefault="00187708" w:rsidP="00D131FA">
      <w:pPr>
        <w:pStyle w:val="Problemczowieka"/>
        <w:jc w:val="both"/>
        <w:rPr>
          <w:rStyle w:val="Pogrubienie"/>
          <w:b/>
          <w:bCs w:val="0"/>
        </w:rPr>
      </w:pPr>
      <w:r w:rsidRPr="00EC250C">
        <w:rPr>
          <w:rStyle w:val="Pogrubienie"/>
          <w:b/>
          <w:bCs w:val="0"/>
        </w:rPr>
        <w:t>Można dziś –</w:t>
      </w:r>
      <w:r w:rsidR="00992FD0" w:rsidRPr="00EC250C">
        <w:rPr>
          <w:rStyle w:val="Pogrubienie"/>
          <w:b/>
          <w:bCs w:val="0"/>
        </w:rPr>
        <w:t xml:space="preserve"> w </w:t>
      </w:r>
      <w:r w:rsidRPr="00EC250C">
        <w:rPr>
          <w:rStyle w:val="Pogrubienie"/>
          <w:b/>
          <w:bCs w:val="0"/>
        </w:rPr>
        <w:t>ramach reprywatyzacji</w:t>
      </w:r>
      <w:r w:rsidR="00026572" w:rsidRPr="00EC250C">
        <w:rPr>
          <w:rStyle w:val="Pogrubienie"/>
          <w:b/>
          <w:bCs w:val="0"/>
        </w:rPr>
        <w:t xml:space="preserve"> – </w:t>
      </w:r>
      <w:r w:rsidRPr="00EC250C">
        <w:rPr>
          <w:rStyle w:val="Pogrubienie"/>
          <w:b/>
          <w:bCs w:val="0"/>
        </w:rPr>
        <w:t>stracić prawo do nieruchomości, którą się dysponuje od lat.</w:t>
      </w:r>
      <w:r w:rsidR="00530A79" w:rsidRPr="00EC250C">
        <w:rPr>
          <w:rStyle w:val="Pogrubienie"/>
          <w:b/>
          <w:bCs w:val="0"/>
        </w:rPr>
        <w:t xml:space="preserve"> Jak więc człowiek m</w:t>
      </w:r>
      <w:r w:rsidR="005C6212" w:rsidRPr="00EC250C">
        <w:rPr>
          <w:rStyle w:val="Pogrubienie"/>
          <w:b/>
          <w:bCs w:val="0"/>
        </w:rPr>
        <w:t>oże</w:t>
      </w:r>
      <w:r w:rsidR="00530A79" w:rsidRPr="00EC250C">
        <w:rPr>
          <w:rStyle w:val="Pogrubienie"/>
          <w:b/>
          <w:bCs w:val="0"/>
        </w:rPr>
        <w:t xml:space="preserve"> mieć zaufanie do państwa</w:t>
      </w:r>
      <w:r w:rsidR="00992FD0" w:rsidRPr="00EC250C">
        <w:rPr>
          <w:rStyle w:val="Pogrubienie"/>
          <w:b/>
          <w:bCs w:val="0"/>
        </w:rPr>
        <w:t xml:space="preserve"> i </w:t>
      </w:r>
      <w:r w:rsidR="00530A79" w:rsidRPr="00EC250C">
        <w:rPr>
          <w:rStyle w:val="Pogrubienie"/>
          <w:b/>
          <w:bCs w:val="0"/>
        </w:rPr>
        <w:t>prawa</w:t>
      </w:r>
      <w:r w:rsidR="00D91FBD" w:rsidRPr="00EC250C">
        <w:rPr>
          <w:rStyle w:val="Pogrubienie"/>
          <w:b/>
          <w:bCs w:val="0"/>
        </w:rPr>
        <w:t>?</w:t>
      </w:r>
    </w:p>
    <w:p w14:paraId="63D93D1B" w14:textId="77777777" w:rsidR="00187708" w:rsidRPr="00EC250C" w:rsidRDefault="00187708" w:rsidP="00D131FA">
      <w:pPr>
        <w:pStyle w:val="Styl1"/>
      </w:pPr>
      <w:r w:rsidRPr="00EC250C">
        <w:rPr>
          <w:rStyle w:val="Pogrubienie"/>
          <w:b w:val="0"/>
          <w:bCs w:val="0"/>
        </w:rPr>
        <w:t>W prawie administracyjnym nadal bowiem obowiązuje przepis (art. 156 Kpa), pozwalający na stwierdzenie niewa</w:t>
      </w:r>
      <w:r w:rsidRPr="00EC250C">
        <w:rPr>
          <w:rStyle w:val="Pogrubienie"/>
          <w:rFonts w:hint="eastAsia"/>
          <w:b w:val="0"/>
          <w:bCs w:val="0"/>
        </w:rPr>
        <w:t>ż</w:t>
      </w:r>
      <w:r w:rsidRPr="00EC250C">
        <w:rPr>
          <w:rStyle w:val="Pogrubienie"/>
          <w:b w:val="0"/>
          <w:bCs w:val="0"/>
        </w:rPr>
        <w:t>no</w:t>
      </w:r>
      <w:r w:rsidRPr="00EC250C">
        <w:rPr>
          <w:rStyle w:val="Pogrubienie"/>
          <w:rFonts w:hint="eastAsia"/>
          <w:b w:val="0"/>
          <w:bCs w:val="0"/>
        </w:rPr>
        <w:t>ś</w:t>
      </w:r>
      <w:r w:rsidRPr="00EC250C">
        <w:rPr>
          <w:rStyle w:val="Pogrubienie"/>
          <w:b w:val="0"/>
          <w:bCs w:val="0"/>
        </w:rPr>
        <w:t xml:space="preserve">ci decyzji administracyjnej wydanej </w:t>
      </w:r>
      <w:r w:rsidR="00530A79" w:rsidRPr="00EC250C">
        <w:rPr>
          <w:rStyle w:val="Pogrubienie"/>
          <w:b w:val="0"/>
          <w:bCs w:val="0"/>
        </w:rPr>
        <w:t>np.</w:t>
      </w:r>
      <w:r w:rsidR="00992FD0" w:rsidRPr="00EC250C">
        <w:rPr>
          <w:rStyle w:val="Pogrubienie"/>
          <w:b w:val="0"/>
          <w:bCs w:val="0"/>
        </w:rPr>
        <w:t xml:space="preserve"> w </w:t>
      </w:r>
      <w:r w:rsidRPr="00EC250C">
        <w:rPr>
          <w:rStyle w:val="Pogrubienie"/>
          <w:b w:val="0"/>
          <w:bCs w:val="0"/>
        </w:rPr>
        <w:t xml:space="preserve">PRL. Rzecznik </w:t>
      </w:r>
      <w:r w:rsidR="00B04745" w:rsidRPr="00EC250C">
        <w:rPr>
          <w:rStyle w:val="Pogrubienie"/>
          <w:b w:val="0"/>
          <w:bCs w:val="0"/>
        </w:rPr>
        <w:t xml:space="preserve">Praw Obywatelskich </w:t>
      </w:r>
      <w:r w:rsidRPr="00EC250C">
        <w:rPr>
          <w:rStyle w:val="Pogrubienie"/>
          <w:b w:val="0"/>
          <w:bCs w:val="0"/>
        </w:rPr>
        <w:t>apeluje</w:t>
      </w:r>
      <w:r w:rsidR="00992FD0" w:rsidRPr="00EC250C">
        <w:rPr>
          <w:rStyle w:val="Pogrubienie"/>
          <w:b w:val="0"/>
          <w:bCs w:val="0"/>
        </w:rPr>
        <w:t xml:space="preserve"> o </w:t>
      </w:r>
      <w:r w:rsidRPr="00EC250C">
        <w:rPr>
          <w:rStyle w:val="Pogrubienie"/>
          <w:b w:val="0"/>
          <w:bCs w:val="0"/>
        </w:rPr>
        <w:t>zmian</w:t>
      </w:r>
      <w:r w:rsidRPr="00EC250C">
        <w:rPr>
          <w:rStyle w:val="Pogrubienie"/>
          <w:rFonts w:hint="eastAsia"/>
          <w:b w:val="0"/>
          <w:bCs w:val="0"/>
        </w:rPr>
        <w:t>ę</w:t>
      </w:r>
      <w:r w:rsidRPr="00EC250C">
        <w:rPr>
          <w:rStyle w:val="Pogrubienie"/>
          <w:b w:val="0"/>
          <w:bCs w:val="0"/>
        </w:rPr>
        <w:t xml:space="preserve"> tego przepisu. Jednak zdaniem MSWiA nie jest to potrzebne, skoro </w:t>
      </w:r>
      <w:r w:rsidR="00907A50" w:rsidRPr="00EC250C">
        <w:rPr>
          <w:rStyle w:val="Pogrubienie"/>
          <w:b w:val="0"/>
          <w:bCs w:val="0"/>
        </w:rPr>
        <w:t>Minister S</w:t>
      </w:r>
      <w:r w:rsidRPr="00EC250C">
        <w:rPr>
          <w:rStyle w:val="Pogrubienie"/>
          <w:b w:val="0"/>
          <w:bCs w:val="0"/>
        </w:rPr>
        <w:t>prawiedliwo</w:t>
      </w:r>
      <w:r w:rsidRPr="00EC250C">
        <w:rPr>
          <w:rStyle w:val="Pogrubienie"/>
          <w:rFonts w:hint="eastAsia"/>
          <w:b w:val="0"/>
          <w:bCs w:val="0"/>
        </w:rPr>
        <w:t>ś</w:t>
      </w:r>
      <w:r w:rsidRPr="00EC250C">
        <w:rPr>
          <w:rStyle w:val="Pogrubienie"/>
          <w:b w:val="0"/>
          <w:bCs w:val="0"/>
        </w:rPr>
        <w:t>ci pracuje nad kompleksow</w:t>
      </w:r>
      <w:r w:rsidRPr="00EC250C">
        <w:rPr>
          <w:rStyle w:val="Pogrubienie"/>
          <w:rFonts w:hint="eastAsia"/>
          <w:b w:val="0"/>
          <w:bCs w:val="0"/>
        </w:rPr>
        <w:t>ą</w:t>
      </w:r>
      <w:r w:rsidRPr="00EC250C">
        <w:rPr>
          <w:rStyle w:val="Pogrubienie"/>
          <w:b w:val="0"/>
          <w:bCs w:val="0"/>
        </w:rPr>
        <w:t xml:space="preserve"> ustaw</w:t>
      </w:r>
      <w:r w:rsidRPr="00EC250C">
        <w:rPr>
          <w:rStyle w:val="Pogrubienie"/>
          <w:rFonts w:hint="eastAsia"/>
          <w:b w:val="0"/>
          <w:bCs w:val="0"/>
        </w:rPr>
        <w:t>ą</w:t>
      </w:r>
      <w:r w:rsidRPr="00EC250C">
        <w:rPr>
          <w:rStyle w:val="Pogrubienie"/>
          <w:b w:val="0"/>
          <w:bCs w:val="0"/>
        </w:rPr>
        <w:t xml:space="preserve"> reprywatyzacyjn</w:t>
      </w:r>
      <w:r w:rsidRPr="00EC250C">
        <w:rPr>
          <w:rStyle w:val="Pogrubienie"/>
          <w:rFonts w:hint="eastAsia"/>
          <w:b w:val="0"/>
          <w:bCs w:val="0"/>
        </w:rPr>
        <w:t>ą</w:t>
      </w:r>
      <w:r w:rsidRPr="00EC250C">
        <w:rPr>
          <w:rStyle w:val="Pogrubienie"/>
          <w:b w:val="0"/>
          <w:bCs w:val="0"/>
        </w:rPr>
        <w:t>.</w:t>
      </w:r>
    </w:p>
    <w:p w14:paraId="200A2D98" w14:textId="77777777" w:rsidR="00187708" w:rsidRPr="00EC250C" w:rsidRDefault="00187708" w:rsidP="00D131FA">
      <w:pPr>
        <w:pStyle w:val="Styl1"/>
      </w:pPr>
      <w:r w:rsidRPr="00EC250C">
        <w:rPr>
          <w:rStyle w:val="Pogrubienie"/>
          <w:b w:val="0"/>
          <w:bCs w:val="0"/>
        </w:rPr>
        <w:t>Nadużyciom</w:t>
      </w:r>
      <w:r w:rsidR="00992FD0" w:rsidRPr="00EC250C">
        <w:rPr>
          <w:rStyle w:val="Pogrubienie"/>
          <w:b w:val="0"/>
          <w:bCs w:val="0"/>
        </w:rPr>
        <w:t xml:space="preserve"> w </w:t>
      </w:r>
      <w:r w:rsidRPr="00EC250C">
        <w:rPr>
          <w:rStyle w:val="Pogrubienie"/>
          <w:b w:val="0"/>
          <w:bCs w:val="0"/>
        </w:rPr>
        <w:t>stosowaniu prawa administracyjnego przy reprywatyzacji</w:t>
      </w:r>
      <w:r w:rsidRPr="00EC250C">
        <w:t xml:space="preserve"> miał zapobiec wyrok Trybunału Konstytucyjnego</w:t>
      </w:r>
      <w:r w:rsidR="00992FD0" w:rsidRPr="00EC250C">
        <w:t xml:space="preserve"> z </w:t>
      </w:r>
      <w:r w:rsidRPr="00EC250C">
        <w:t>12 maja 2015</w:t>
      </w:r>
      <w:r w:rsidR="00C91F6E" w:rsidRPr="00EC250C">
        <w:t> r.</w:t>
      </w:r>
      <w:r w:rsidRPr="00EC250C">
        <w:t>,</w:t>
      </w:r>
      <w:r w:rsidR="00992FD0" w:rsidRPr="00EC250C">
        <w:t xml:space="preserve"> w </w:t>
      </w:r>
      <w:r w:rsidRPr="00EC250C">
        <w:t>którym Trybunał orzekł</w:t>
      </w:r>
      <w:r w:rsidR="00992FD0" w:rsidRPr="00EC250C">
        <w:t xml:space="preserve"> o </w:t>
      </w:r>
      <w:r w:rsidRPr="00EC250C">
        <w:t>niekonstytucyjności przepisu, właśnie jeśli od wydania decyzji nastąpił znaczny upływ czasu,</w:t>
      </w:r>
      <w:r w:rsidR="00992FD0" w:rsidRPr="00EC250C">
        <w:t xml:space="preserve"> a </w:t>
      </w:r>
      <w:r w:rsidRPr="00EC250C">
        <w:t>decyzja była podstawą nabycia prawa lub ekspektatywy (przyszłej wierzytelności). Wyrok nie został jednak wykonany. Zmian do art. 156 nie wprowadzono przy okazji ostatniej dużej nowelizacji Kodeksu postępowania administracyjnego.</w:t>
      </w:r>
    </w:p>
    <w:p w14:paraId="4183F291" w14:textId="77777777" w:rsidR="00187708" w:rsidRPr="00EC250C" w:rsidRDefault="00187708" w:rsidP="00D131FA">
      <w:pPr>
        <w:pStyle w:val="Styl1"/>
      </w:pPr>
      <w:r w:rsidRPr="00EC250C">
        <w:t xml:space="preserve">Skutkiem tego jest niepewność uczestników </w:t>
      </w:r>
      <w:r w:rsidR="0036212E" w:rsidRPr="00EC250C">
        <w:t>rynku nieruchomości</w:t>
      </w:r>
      <w:r w:rsidRPr="00EC250C">
        <w:t xml:space="preserve"> (a</w:t>
      </w:r>
      <w:r w:rsidR="00992FD0" w:rsidRPr="00EC250C">
        <w:t xml:space="preserve"> w </w:t>
      </w:r>
      <w:r w:rsidRPr="00EC250C">
        <w:t>tym</w:t>
      </w:r>
      <w:r w:rsidR="00992FD0" w:rsidRPr="00EC250C">
        <w:t xml:space="preserve"> i </w:t>
      </w:r>
      <w:r w:rsidRPr="00EC250C">
        <w:t>organów administracyjnych), czy</w:t>
      </w:r>
      <w:r w:rsidR="00992FD0" w:rsidRPr="00EC250C">
        <w:t xml:space="preserve"> w </w:t>
      </w:r>
      <w:r w:rsidRPr="00EC250C">
        <w:t>konkretnej sprawie dopuszczalne jest stwierdzenie nieważności danej decyzji, np. wydanej kilkadziesiąt lat temu, czy też nie. Przez to też wiele osób żyje</w:t>
      </w:r>
      <w:r w:rsidR="00992FD0" w:rsidRPr="00EC250C">
        <w:t xml:space="preserve"> w </w:t>
      </w:r>
      <w:r w:rsidRPr="00EC250C">
        <w:t>stanie niepewności</w:t>
      </w:r>
      <w:r w:rsidR="00026572" w:rsidRPr="00EC250C">
        <w:t xml:space="preserve"> – </w:t>
      </w:r>
      <w:r w:rsidRPr="00EC250C">
        <w:t>ukształtowały one już swoje stosunki majątkowe</w:t>
      </w:r>
      <w:r w:rsidR="00992FD0" w:rsidRPr="00EC250C">
        <w:t xml:space="preserve"> i </w:t>
      </w:r>
      <w:r w:rsidRPr="00EC250C">
        <w:t>osobiste</w:t>
      </w:r>
      <w:r w:rsidR="00992FD0" w:rsidRPr="00EC250C">
        <w:t xml:space="preserve"> w </w:t>
      </w:r>
      <w:r w:rsidRPr="00EC250C">
        <w:t>oparciu</w:t>
      </w:r>
      <w:r w:rsidR="00992FD0" w:rsidRPr="00EC250C">
        <w:t xml:space="preserve"> o </w:t>
      </w:r>
      <w:r w:rsidRPr="00EC250C">
        <w:t>decyzje administracyjne sprzed wielu lat – nawet jeżeli były one wadliwe</w:t>
      </w:r>
      <w:r w:rsidRPr="00EC250C">
        <w:rPr>
          <w:rStyle w:val="Odwoanieprzypisudolnego"/>
        </w:rPr>
        <w:footnoteReference w:id="416"/>
      </w:r>
      <w:r w:rsidRPr="00EC250C">
        <w:t>.</w:t>
      </w:r>
      <w:r w:rsidR="0037016B" w:rsidRPr="00EC250C">
        <w:t xml:space="preserve"> Brak ustawy reprywatyzacyjnej uniemożliwia rozwiązanie tego problemu.</w:t>
      </w:r>
    </w:p>
    <w:p w14:paraId="7DFD700D" w14:textId="77777777" w:rsidR="00C91F6E" w:rsidRPr="00EC250C" w:rsidRDefault="00187708" w:rsidP="00EC79EB">
      <w:pPr>
        <w:pStyle w:val="Nagwek4"/>
      </w:pPr>
      <w:bookmarkStart w:id="414" w:name="_Toc6257827"/>
      <w:bookmarkStart w:id="415" w:name="_Toc11247703"/>
      <w:r w:rsidRPr="00EC250C">
        <w:t xml:space="preserve">Termin </w:t>
      </w:r>
      <w:r w:rsidR="006D73B6" w:rsidRPr="00EC250C">
        <w:t>dochodzenia roszczeń</w:t>
      </w:r>
      <w:r w:rsidRPr="00EC250C">
        <w:t xml:space="preserve"> w</w:t>
      </w:r>
      <w:r w:rsidRPr="00EC250C">
        <w:rPr>
          <w:rFonts w:hint="eastAsia"/>
        </w:rPr>
        <w:t>ł</w:t>
      </w:r>
      <w:r w:rsidRPr="00EC250C">
        <w:t>a</w:t>
      </w:r>
      <w:r w:rsidRPr="00EC250C">
        <w:rPr>
          <w:rFonts w:hint="eastAsia"/>
        </w:rPr>
        <w:t>ś</w:t>
      </w:r>
      <w:r w:rsidRPr="00EC250C">
        <w:t>cicieli</w:t>
      </w:r>
      <w:r w:rsidR="006D73B6" w:rsidRPr="00EC250C">
        <w:t xml:space="preserve"> nieruchomości</w:t>
      </w:r>
      <w:r w:rsidR="00992FD0" w:rsidRPr="00EC250C">
        <w:t xml:space="preserve"> z </w:t>
      </w:r>
      <w:r w:rsidR="00E059F9" w:rsidRPr="00EC250C">
        <w:t xml:space="preserve"> powodu pogorszenia warunków korzystania z niej</w:t>
      </w:r>
      <w:bookmarkEnd w:id="414"/>
      <w:bookmarkEnd w:id="415"/>
    </w:p>
    <w:p w14:paraId="7EC09895" w14:textId="77777777" w:rsidR="00B473F5" w:rsidRPr="00EC250C" w:rsidRDefault="0037016B" w:rsidP="00D131FA">
      <w:pPr>
        <w:pStyle w:val="Problemczowieka"/>
        <w:jc w:val="both"/>
        <w:rPr>
          <w:bdr w:val="none" w:sz="0" w:space="0" w:color="auto" w:frame="1"/>
        </w:rPr>
      </w:pPr>
      <w:bookmarkStart w:id="416" w:name="_Hlk8210071"/>
      <w:r w:rsidRPr="00EC250C">
        <w:rPr>
          <w:bdr w:val="none" w:sz="0" w:space="0" w:color="auto" w:frame="1"/>
        </w:rPr>
        <w:t>Właściciele domów i mieszkań w okolicy rozbudowujących się lotnisk zyskali silne argumenty w walce o uzyskanie odszkodowań za hałas</w:t>
      </w:r>
      <w:r w:rsidR="00B473F5" w:rsidRPr="00EC250C">
        <w:rPr>
          <w:bdr w:val="none" w:sz="0" w:space="0" w:color="auto" w:frame="1"/>
        </w:rPr>
        <w:t>.</w:t>
      </w:r>
    </w:p>
    <w:bookmarkEnd w:id="416"/>
    <w:p w14:paraId="3DAA81B1" w14:textId="77777777" w:rsidR="00C91F6E" w:rsidRPr="00EC250C" w:rsidRDefault="00187708" w:rsidP="00D131FA">
      <w:pPr>
        <w:pStyle w:val="Styl1"/>
      </w:pPr>
      <w:r w:rsidRPr="00EC250C">
        <w:t>W 2018 r Trybunał Konstytucyjny uznał</w:t>
      </w:r>
      <w:r w:rsidRPr="00EC250C">
        <w:rPr>
          <w:rStyle w:val="Odwoanieprzypisudolnego"/>
        </w:rPr>
        <w:footnoteReference w:id="417"/>
      </w:r>
      <w:r w:rsidR="00CC4D88" w:rsidRPr="00EC250C">
        <w:t xml:space="preserve"> </w:t>
      </w:r>
      <w:r w:rsidRPr="00EC250C">
        <w:t>–</w:t>
      </w:r>
      <w:r w:rsidR="00992FD0" w:rsidRPr="00EC250C">
        <w:t xml:space="preserve"> z </w:t>
      </w:r>
      <w:r w:rsidRPr="00EC250C">
        <w:t>wniosku RPO</w:t>
      </w:r>
      <w:r w:rsidR="00026572" w:rsidRPr="00EC250C">
        <w:t xml:space="preserve"> – </w:t>
      </w:r>
      <w:r w:rsidRPr="00EC250C">
        <w:t>że przepis Prawa ochrony środowiska</w:t>
      </w:r>
      <w:r w:rsidR="00992FD0" w:rsidRPr="00EC250C">
        <w:t xml:space="preserve"> o </w:t>
      </w:r>
      <w:r w:rsidR="00F84AE9" w:rsidRPr="00EC250C">
        <w:t xml:space="preserve">tym, że </w:t>
      </w:r>
      <w:r w:rsidRPr="00EC250C">
        <w:t>na zgłaszanie roszczeń</w:t>
      </w:r>
      <w:r w:rsidR="00F84AE9" w:rsidRPr="00EC250C">
        <w:t xml:space="preserve"> są tylko dwa lata, jest niekonstytucyjny, bo daje ludziom za mało czasu. Chodzi</w:t>
      </w:r>
      <w:r w:rsidR="00992FD0" w:rsidRPr="00EC250C">
        <w:t xml:space="preserve"> o </w:t>
      </w:r>
      <w:r w:rsidRPr="00EC250C">
        <w:t>właścicieli</w:t>
      </w:r>
      <w:r w:rsidRPr="00EC250C">
        <w:rPr>
          <w:rStyle w:val="Odwoanieprzypisudolnego"/>
        </w:rPr>
        <w:footnoteReference w:id="418"/>
      </w:r>
      <w:r w:rsidRPr="00EC250C">
        <w:t>, których korzystanie</w:t>
      </w:r>
      <w:r w:rsidR="00992FD0" w:rsidRPr="00EC250C">
        <w:t xml:space="preserve"> z </w:t>
      </w:r>
      <w:r w:rsidRPr="00EC250C">
        <w:t>nieruchomości stało się niemożliwe lub istotnie ograniczone ze względu na ochronę środowiska.</w:t>
      </w:r>
    </w:p>
    <w:p w14:paraId="513E3CFD" w14:textId="77777777" w:rsidR="00187708" w:rsidRPr="00EC250C" w:rsidRDefault="00187708" w:rsidP="00D131FA">
      <w:pPr>
        <w:pStyle w:val="Styl1"/>
      </w:pPr>
      <w:r w:rsidRPr="00EC250C">
        <w:t>Obszary ograniczonego użytkowania tworzone są m.in. wokół lotnisk, bo tam nie da się zagwarantować standardu co do poziomu hałasu. Po podjęciu takiej decyzji właściciele nieruchomości mogli żądać ich wykupienia lub odszkodowania. Mieli na to jednak tylko dwa lata</w:t>
      </w:r>
      <w:r w:rsidR="00CC4D88" w:rsidRPr="00EC250C">
        <w:t xml:space="preserve"> </w:t>
      </w:r>
      <w:r w:rsidRPr="00EC250C">
        <w:t>–</w:t>
      </w:r>
      <w:r w:rsidR="00992FD0" w:rsidRPr="00EC250C">
        <w:t xml:space="preserve"> </w:t>
      </w:r>
      <w:r w:rsidR="00992FD0" w:rsidRPr="00EC250C">
        <w:lastRenderedPageBreak/>
        <w:t>a </w:t>
      </w:r>
      <w:r w:rsidRPr="00EC250C">
        <w:t>ustanowienie obszaru mogło zapaść na długo przed rozpoczęciem inwestycji. Wiele osób po prostu nie wiedziało, że ich dom znalazł się</w:t>
      </w:r>
      <w:r w:rsidR="00992FD0" w:rsidRPr="00EC250C">
        <w:t xml:space="preserve"> w </w:t>
      </w:r>
      <w:r w:rsidRPr="00EC250C">
        <w:t>bezpośrednim sąsiedztwie lotniska.</w:t>
      </w:r>
    </w:p>
    <w:p w14:paraId="5BB6A002" w14:textId="77777777" w:rsidR="00187708" w:rsidRPr="00EC250C" w:rsidRDefault="0036212E" w:rsidP="00D131FA">
      <w:pPr>
        <w:pStyle w:val="Styl1"/>
      </w:pPr>
      <w:r w:rsidRPr="00EC250C">
        <w:t>„</w:t>
      </w:r>
      <w:r w:rsidR="00187708" w:rsidRPr="00EC250C">
        <w:t>Krótki termin nie zapewniał wszystkim realnej możliwości podniesienia przysługujących im roszczeń, gdyż</w:t>
      </w:r>
      <w:r w:rsidR="00992FD0" w:rsidRPr="00EC250C">
        <w:t xml:space="preserve"> w </w:t>
      </w:r>
      <w:r w:rsidR="00187708" w:rsidRPr="00EC250C">
        <w:t>wielu przypadkach roszczenia mogą wygasnąć, zanim uprawnieni uświadomią sobie ich istnienie</w:t>
      </w:r>
      <w:r w:rsidRPr="00EC250C">
        <w:t>”</w:t>
      </w:r>
      <w:r w:rsidR="00187708" w:rsidRPr="00EC250C">
        <w:t xml:space="preserve"> – zauważył RPO we wniosku do TK. Dodawał, że odpowiednie informacje nie były indywidualnie komunikowane uprawnionym. Powoływał się na liczne skargi obywateli na problemy</w:t>
      </w:r>
      <w:r w:rsidR="00992FD0" w:rsidRPr="00EC250C">
        <w:t xml:space="preserve"> z </w:t>
      </w:r>
      <w:r w:rsidR="00187708" w:rsidRPr="00EC250C">
        <w:t>uzyskaniem należnej rekompensaty, wynikające</w:t>
      </w:r>
      <w:r w:rsidR="00992FD0" w:rsidRPr="00EC250C">
        <w:t xml:space="preserve"> z </w:t>
      </w:r>
      <w:r w:rsidR="00187708" w:rsidRPr="00EC250C">
        <w:t>niezgłoszenia roszczenia</w:t>
      </w:r>
      <w:r w:rsidR="00992FD0" w:rsidRPr="00EC250C">
        <w:t xml:space="preserve"> w </w:t>
      </w:r>
      <w:r w:rsidR="00187708" w:rsidRPr="00EC250C">
        <w:t>tak krótkim terminie.</w:t>
      </w:r>
    </w:p>
    <w:p w14:paraId="08254E5D" w14:textId="77777777" w:rsidR="00187708" w:rsidRPr="00EC250C" w:rsidRDefault="00187708" w:rsidP="00D131FA">
      <w:pPr>
        <w:pStyle w:val="Styl1"/>
      </w:pPr>
      <w:r w:rsidRPr="00EC250C">
        <w:t>Trybunał zgodził się</w:t>
      </w:r>
      <w:r w:rsidR="00992FD0" w:rsidRPr="00EC250C">
        <w:t xml:space="preserve"> z </w:t>
      </w:r>
      <w:r w:rsidRPr="00EC250C">
        <w:t>tą argumentacją, jednak już</w:t>
      </w:r>
      <w:r w:rsidR="00992FD0" w:rsidRPr="00EC250C">
        <w:t xml:space="preserve"> w </w:t>
      </w:r>
      <w:r w:rsidRPr="00EC250C">
        <w:t>2019</w:t>
      </w:r>
      <w:r w:rsidR="00C91F6E" w:rsidRPr="00EC250C">
        <w:t> r.</w:t>
      </w:r>
      <w:r w:rsidRPr="00EC250C">
        <w:t xml:space="preserve"> </w:t>
      </w:r>
      <w:r w:rsidR="0037016B" w:rsidRPr="00EC250C">
        <w:t>Sejm</w:t>
      </w:r>
      <w:r w:rsidRPr="00EC250C">
        <w:t>– wykonując wyrok</w:t>
      </w:r>
      <w:r w:rsidR="00026572" w:rsidRPr="00EC250C">
        <w:t xml:space="preserve"> – </w:t>
      </w:r>
      <w:r w:rsidRPr="00EC250C">
        <w:t xml:space="preserve">zaproponował takie przepisy, które nie dają prawa na dochodzenie utraty wartości własności tym, którym niekonstytucyjnie </w:t>
      </w:r>
      <w:r w:rsidR="0036212E" w:rsidRPr="00EC250C">
        <w:t>krótki</w:t>
      </w:r>
      <w:r w:rsidRPr="00EC250C">
        <w:t xml:space="preserve"> termin już upłynął. W przypadku postępowań nowych lub jeszcze niezakończonych </w:t>
      </w:r>
      <w:r w:rsidR="006D73B6" w:rsidRPr="00EC250C">
        <w:t>termin</w:t>
      </w:r>
      <w:r w:rsidRPr="00EC250C">
        <w:t xml:space="preserve"> został wydłużony do trzech lat</w:t>
      </w:r>
      <w:r w:rsidRPr="00EC250C">
        <w:rPr>
          <w:rStyle w:val="Odwoanieprzypisudolnego"/>
        </w:rPr>
        <w:footnoteReference w:id="419"/>
      </w:r>
      <w:r w:rsidRPr="00EC250C">
        <w:t>.</w:t>
      </w:r>
    </w:p>
    <w:p w14:paraId="1A3BECE6" w14:textId="77777777" w:rsidR="0037016B" w:rsidRPr="00EC250C" w:rsidRDefault="0037016B" w:rsidP="00D131FA">
      <w:pPr>
        <w:pStyle w:val="Styl1"/>
      </w:pPr>
      <w:r w:rsidRPr="00EC250C">
        <w:t>Zdaniem RPO doszło do wypaczenia sensu wyroku TK. Sprawa będzie kontynuowana.</w:t>
      </w:r>
    </w:p>
    <w:p w14:paraId="07FC065B" w14:textId="77777777" w:rsidR="00187708" w:rsidRPr="00EC250C" w:rsidRDefault="00187708" w:rsidP="00EC250C">
      <w:pPr>
        <w:pStyle w:val="Nagwek8"/>
        <w:rPr>
          <w:lang w:bidi="hi-IN"/>
        </w:rPr>
      </w:pPr>
      <w:bookmarkStart w:id="417" w:name="_Toc6257828"/>
      <w:r w:rsidRPr="00EC250C">
        <w:rPr>
          <w:lang w:bidi="hi-IN"/>
        </w:rPr>
        <w:t>Podział mieszkania obciążonego hipoteką</w:t>
      </w:r>
      <w:r w:rsidR="00992FD0" w:rsidRPr="00EC250C">
        <w:rPr>
          <w:lang w:bidi="hi-IN"/>
        </w:rPr>
        <w:t xml:space="preserve"> z </w:t>
      </w:r>
      <w:r w:rsidRPr="00EC250C">
        <w:rPr>
          <w:lang w:bidi="hi-IN"/>
        </w:rPr>
        <w:t>powodu kredytu</w:t>
      </w:r>
      <w:bookmarkEnd w:id="417"/>
    </w:p>
    <w:p w14:paraId="6A8C7985" w14:textId="77777777" w:rsidR="007E4A67" w:rsidRPr="00EC250C" w:rsidRDefault="007E4A67" w:rsidP="00D131FA">
      <w:pPr>
        <w:pStyle w:val="Styl2"/>
        <w:rPr>
          <w:szCs w:val="24"/>
        </w:rPr>
      </w:pPr>
      <w:r w:rsidRPr="00EC250C">
        <w:rPr>
          <w:szCs w:val="24"/>
          <w:bdr w:val="none" w:sz="0" w:space="0" w:color="auto" w:frame="1"/>
        </w:rPr>
        <w:t>Jak sąd – dzieląc majątek rozwodzących się małżonków – ma oszacować wartość wspólnego mieszkania lub domu, jeśli był kupiony na kredyt? Czy ma odliczyć od wartości rynkowej wysokość hipoteki, czy może realną wartość kredytu?</w:t>
      </w:r>
    </w:p>
    <w:p w14:paraId="2A1EC074" w14:textId="77777777" w:rsidR="007E4A67" w:rsidRPr="00EC250C" w:rsidRDefault="007E4A67" w:rsidP="00D131FA">
      <w:pPr>
        <w:pStyle w:val="Styl2"/>
        <w:rPr>
          <w:szCs w:val="24"/>
          <w:bdr w:val="none" w:sz="0" w:space="0" w:color="auto" w:frame="1"/>
        </w:rPr>
      </w:pPr>
      <w:r w:rsidRPr="00EC250C">
        <w:rPr>
          <w:szCs w:val="24"/>
          <w:bdr w:val="none" w:sz="0" w:space="0" w:color="auto" w:frame="1"/>
        </w:rPr>
        <w:t>Rzecznik uważa, że należy się po prostu posługiwać wartością rynkową nieruchomości, bo rozliczenia spłat między małżonkami powinny być dokonywane osobno</w:t>
      </w:r>
      <w:r w:rsidRPr="00EC250C">
        <w:rPr>
          <w:rStyle w:val="Odwoanieprzypisudolnego"/>
          <w:szCs w:val="24"/>
          <w:bdr w:val="none" w:sz="0" w:space="0" w:color="auto" w:frame="1"/>
        </w:rPr>
        <w:footnoteReference w:id="420"/>
      </w:r>
      <w:r w:rsidRPr="00EC250C">
        <w:rPr>
          <w:szCs w:val="24"/>
          <w:bdr w:val="none" w:sz="0" w:space="0" w:color="auto" w:frame="1"/>
        </w:rPr>
        <w:t>. Z takim stanowiskiem przedstawionym przez RPO</w:t>
      </w:r>
      <w:r w:rsidRPr="00EC250C">
        <w:rPr>
          <w:rStyle w:val="Odwoanieprzypisudolnego"/>
          <w:bCs w:val="0"/>
          <w:iCs w:val="0"/>
          <w:szCs w:val="24"/>
        </w:rPr>
        <w:footnoteReference w:id="421"/>
      </w:r>
      <w:r w:rsidRPr="00EC250C">
        <w:rPr>
          <w:szCs w:val="24"/>
          <w:bdr w:val="none" w:sz="0" w:space="0" w:color="auto" w:frame="1"/>
        </w:rPr>
        <w:t xml:space="preserve"> w 2018 r. Sąd Najwyższy zgodził się w roku 2019.</w:t>
      </w:r>
    </w:p>
    <w:p w14:paraId="78C9F382" w14:textId="77777777" w:rsidR="007E4A67" w:rsidRPr="00EC250C" w:rsidRDefault="007E4A67" w:rsidP="00D131FA">
      <w:pPr>
        <w:pStyle w:val="Styl2"/>
        <w:rPr>
          <w:szCs w:val="24"/>
        </w:rPr>
      </w:pPr>
      <w:r w:rsidRPr="00EC250C">
        <w:rPr>
          <w:szCs w:val="24"/>
        </w:rPr>
        <w:t>Sąd Najwyższy uznał, że w postępowaniu o podział majątku wspólnego byłych małżonków sąd, ustalając wartość wchodzącej w skład majątku wspólnego nieruchomości obciążonej hipoteką zabezpieczającą udzielony małżonkom kredyt bankowy, uwzględnia wartość rynkową tej nieruchomości – o ile nie zachodzą szczególne okoliczności – z pominięciem wartości obciążenia hipotecznego.</w:t>
      </w:r>
    </w:p>
    <w:p w14:paraId="768FCC77" w14:textId="77777777" w:rsidR="00187708" w:rsidRPr="00EC250C" w:rsidRDefault="00187708" w:rsidP="00D131FA">
      <w:pPr>
        <w:pStyle w:val="Styl2"/>
        <w:rPr>
          <w:szCs w:val="24"/>
        </w:rPr>
      </w:pPr>
      <w:r w:rsidRPr="00EC250C">
        <w:rPr>
          <w:szCs w:val="24"/>
        </w:rPr>
        <w:t>Sąd Najwyższy przychylił się zatem do stanowiska RPO. Sąd Najwyższy podkreślił, że pomimo podziału majątku, wspólnie</w:t>
      </w:r>
      <w:r w:rsidR="00992FD0" w:rsidRPr="00EC250C">
        <w:rPr>
          <w:szCs w:val="24"/>
        </w:rPr>
        <w:t xml:space="preserve"> i </w:t>
      </w:r>
      <w:r w:rsidRPr="00EC250C">
        <w:rPr>
          <w:szCs w:val="24"/>
        </w:rPr>
        <w:t>solidarnie zaciągnięty dług osobisty (kredyt) obciąża oboje małżonków. Bank może, ale nie musi korzystać</w:t>
      </w:r>
      <w:r w:rsidR="00992FD0" w:rsidRPr="00EC250C">
        <w:rPr>
          <w:szCs w:val="24"/>
        </w:rPr>
        <w:t xml:space="preserve"> z </w:t>
      </w:r>
      <w:r w:rsidRPr="00EC250C">
        <w:rPr>
          <w:szCs w:val="24"/>
        </w:rPr>
        <w:t>zabezpieczenia hipotecznego</w:t>
      </w:r>
      <w:r w:rsidR="00992FD0" w:rsidRPr="00EC250C">
        <w:rPr>
          <w:szCs w:val="24"/>
        </w:rPr>
        <w:t xml:space="preserve"> i </w:t>
      </w:r>
      <w:r w:rsidRPr="00EC250C">
        <w:rPr>
          <w:szCs w:val="24"/>
        </w:rPr>
        <w:t>nie jest wykluczona sytuacja,</w:t>
      </w:r>
      <w:r w:rsidR="00992FD0" w:rsidRPr="00EC250C">
        <w:rPr>
          <w:szCs w:val="24"/>
        </w:rPr>
        <w:t xml:space="preserve"> w </w:t>
      </w:r>
      <w:r w:rsidRPr="00EC250C">
        <w:rPr>
          <w:szCs w:val="24"/>
        </w:rPr>
        <w:t>której zadłużenie będzie spłacał nie ten małżonek, któremu</w:t>
      </w:r>
      <w:r w:rsidR="00992FD0" w:rsidRPr="00EC250C">
        <w:rPr>
          <w:szCs w:val="24"/>
        </w:rPr>
        <w:t xml:space="preserve"> w </w:t>
      </w:r>
      <w:r w:rsidRPr="00EC250C">
        <w:rPr>
          <w:szCs w:val="24"/>
        </w:rPr>
        <w:t>wyniku podziału przypadła nieruchomość obciążona hipoteką.</w:t>
      </w:r>
    </w:p>
    <w:p w14:paraId="05A3F662" w14:textId="77777777" w:rsidR="007E4A67" w:rsidRPr="00EC250C" w:rsidRDefault="00187708" w:rsidP="00D131FA">
      <w:pPr>
        <w:pStyle w:val="Styl2"/>
        <w:rPr>
          <w:szCs w:val="24"/>
        </w:rPr>
      </w:pPr>
      <w:r w:rsidRPr="00EC250C">
        <w:rPr>
          <w:szCs w:val="24"/>
        </w:rPr>
        <w:t>Sąd Najwyższy zastrzegł jednak, że zasada ta pozostaje aktualna, dopóki</w:t>
      </w:r>
      <w:r w:rsidR="00992FD0" w:rsidRPr="00EC250C">
        <w:rPr>
          <w:szCs w:val="24"/>
        </w:rPr>
        <w:t xml:space="preserve"> w </w:t>
      </w:r>
      <w:r w:rsidRPr="00EC250C">
        <w:rPr>
          <w:szCs w:val="24"/>
        </w:rPr>
        <w:t>sprawie nie zachodzą szczególne okoliczności przemawiające za stanowiskiem przeciwnym. Do takich okoliczności SN zaliczył – przykładowo – zwolnienie przez bank jednego</w:t>
      </w:r>
      <w:r w:rsidR="00992FD0" w:rsidRPr="00EC250C">
        <w:rPr>
          <w:szCs w:val="24"/>
        </w:rPr>
        <w:t xml:space="preserve"> z </w:t>
      </w:r>
      <w:r w:rsidRPr="00EC250C">
        <w:rPr>
          <w:szCs w:val="24"/>
        </w:rPr>
        <w:t>małżonków</w:t>
      </w:r>
      <w:r w:rsidR="00992FD0" w:rsidRPr="00EC250C">
        <w:rPr>
          <w:szCs w:val="24"/>
        </w:rPr>
        <w:t xml:space="preserve"> z </w:t>
      </w:r>
      <w:r w:rsidRPr="00EC250C">
        <w:rPr>
          <w:szCs w:val="24"/>
        </w:rPr>
        <w:t>długu, bądź porozumienie zawarte pomiędzy małżonkami co do przejęcia zobowiązań.</w:t>
      </w:r>
    </w:p>
    <w:p w14:paraId="7E2FB888" w14:textId="77777777" w:rsidR="00187708" w:rsidRPr="00EC250C" w:rsidRDefault="00D74D04" w:rsidP="00EC79EB">
      <w:pPr>
        <w:pStyle w:val="Nagwek4"/>
      </w:pPr>
      <w:bookmarkStart w:id="418" w:name="_Toc6257829"/>
      <w:bookmarkStart w:id="419" w:name="_Toc11247704"/>
      <w:r w:rsidRPr="00EC250C">
        <w:lastRenderedPageBreak/>
        <w:t xml:space="preserve">Potrzeba </w:t>
      </w:r>
      <w:bookmarkEnd w:id="418"/>
      <w:r w:rsidRPr="00EC250C">
        <w:t xml:space="preserve">lepszej ochrony interesów słabszych </w:t>
      </w:r>
      <w:r w:rsidR="00E059F9" w:rsidRPr="00EC250C">
        <w:t xml:space="preserve">stron </w:t>
      </w:r>
      <w:r w:rsidRPr="00EC250C">
        <w:t>przy czynnościach notarialnych</w:t>
      </w:r>
      <w:bookmarkEnd w:id="419"/>
    </w:p>
    <w:p w14:paraId="07C73CAF" w14:textId="77777777" w:rsidR="00B473F5" w:rsidRPr="00EC250C" w:rsidRDefault="00187708" w:rsidP="00D131FA">
      <w:pPr>
        <w:pStyle w:val="Problemczowieka"/>
        <w:jc w:val="both"/>
      </w:pPr>
      <w:bookmarkStart w:id="420" w:name="_Hlk8210087"/>
      <w:r w:rsidRPr="00EC250C">
        <w:rPr>
          <w:lang w:eastAsia="en-US"/>
        </w:rPr>
        <w:t>Nadal zdarzają się przypadki przejmowania mieszkania za niespłacone stosunkowo niskie pożyczki</w:t>
      </w:r>
      <w:r w:rsidR="00D74D04" w:rsidRPr="00EC250C">
        <w:rPr>
          <w:lang w:eastAsia="en-US"/>
        </w:rPr>
        <w:t xml:space="preserve"> </w:t>
      </w:r>
      <w:r w:rsidR="00D74D04" w:rsidRPr="00EC250C">
        <w:t>zabezpieczone prawem do tego mieszkania. Senior może też stracić mieszkanie podpisując zbyt skomplikowaną umowę darowizny</w:t>
      </w:r>
      <w:r w:rsidR="00B473F5" w:rsidRPr="00EC250C">
        <w:t>.</w:t>
      </w:r>
    </w:p>
    <w:bookmarkEnd w:id="420"/>
    <w:p w14:paraId="016FC20C" w14:textId="77777777" w:rsidR="00C91F6E" w:rsidRPr="00EC250C" w:rsidRDefault="00D74D04" w:rsidP="00D131FA">
      <w:pPr>
        <w:pStyle w:val="Styl1"/>
      </w:pPr>
      <w:r w:rsidRPr="00EC250C">
        <w:t>Brak czujności notariuszy jest problemem także</w:t>
      </w:r>
      <w:r w:rsidR="00992FD0" w:rsidRPr="00EC250C">
        <w:t xml:space="preserve"> w </w:t>
      </w:r>
      <w:r w:rsidRPr="00EC250C">
        <w:t>sytuacji, gdy umowę darowizny mieszkania zawiera osoba starsza, niedołężna, nierozumiejąca sensu dokonywanej czynności.</w:t>
      </w:r>
    </w:p>
    <w:p w14:paraId="3773E9E0" w14:textId="77777777" w:rsidR="00D74D04" w:rsidRPr="00EC250C" w:rsidRDefault="00D74D04" w:rsidP="00D131FA">
      <w:pPr>
        <w:pStyle w:val="Styl1"/>
        <w:rPr>
          <w:bCs/>
        </w:rPr>
      </w:pPr>
      <w:r w:rsidRPr="00EC250C">
        <w:rPr>
          <w:bdr w:val="none" w:sz="0" w:space="0" w:color="auto" w:frame="1"/>
        </w:rPr>
        <w:t xml:space="preserve">W </w:t>
      </w:r>
      <w:r w:rsidR="005D4153" w:rsidRPr="00EC250C">
        <w:rPr>
          <w:bdr w:val="none" w:sz="0" w:space="0" w:color="auto" w:frame="1"/>
        </w:rPr>
        <w:t>k</w:t>
      </w:r>
      <w:r w:rsidRPr="00EC250C">
        <w:rPr>
          <w:bdr w:val="none" w:sz="0" w:space="0" w:color="auto" w:frame="1"/>
        </w:rPr>
        <w:t>orespondencji</w:t>
      </w:r>
      <w:r w:rsidR="00992FD0" w:rsidRPr="00EC250C">
        <w:rPr>
          <w:bdr w:val="none" w:sz="0" w:space="0" w:color="auto" w:frame="1"/>
        </w:rPr>
        <w:t xml:space="preserve"> z </w:t>
      </w:r>
      <w:r w:rsidR="005D4153" w:rsidRPr="00EC250C">
        <w:rPr>
          <w:bdr w:val="none" w:sz="0" w:space="0" w:color="auto" w:frame="1"/>
        </w:rPr>
        <w:t xml:space="preserve">Krajową Radą Notarialną Rzecznik </w:t>
      </w:r>
      <w:r w:rsidR="00B04745" w:rsidRPr="00EC250C">
        <w:rPr>
          <w:bdr w:val="none" w:sz="0" w:space="0" w:color="auto" w:frame="1"/>
        </w:rPr>
        <w:t xml:space="preserve">Praw Obywatelskich </w:t>
      </w:r>
      <w:r w:rsidR="005D4153" w:rsidRPr="00EC250C">
        <w:rPr>
          <w:bdr w:val="none" w:sz="0" w:space="0" w:color="auto" w:frame="1"/>
        </w:rPr>
        <w:t xml:space="preserve">zwracał uwagę, że </w:t>
      </w:r>
      <w:r w:rsidR="005D4153" w:rsidRPr="00EC250C">
        <w:rPr>
          <w:bCs/>
        </w:rPr>
        <w:t>notariusz ma obowiązek czuwać nad należytym zabezpieczeniem praw</w:t>
      </w:r>
      <w:r w:rsidR="00992FD0" w:rsidRPr="00EC250C">
        <w:rPr>
          <w:bCs/>
        </w:rPr>
        <w:t xml:space="preserve"> i </w:t>
      </w:r>
      <w:r w:rsidR="005D4153" w:rsidRPr="00EC250C">
        <w:rPr>
          <w:bCs/>
        </w:rPr>
        <w:t>słusznych interesów stron oraz innych osób, dla których czynność ta może powodować skutki prawne (art. 80 § 2 Prawa</w:t>
      </w:r>
      <w:r w:rsidR="00992FD0" w:rsidRPr="00EC250C">
        <w:rPr>
          <w:bCs/>
        </w:rPr>
        <w:t xml:space="preserve"> o </w:t>
      </w:r>
      <w:r w:rsidR="005D4153" w:rsidRPr="00EC250C">
        <w:rPr>
          <w:bCs/>
        </w:rPr>
        <w:t>notariacie</w:t>
      </w:r>
      <w:r w:rsidR="005D4153" w:rsidRPr="00EC250C">
        <w:rPr>
          <w:bCs/>
          <w:vertAlign w:val="superscript"/>
        </w:rPr>
        <w:footnoteReference w:id="422"/>
      </w:r>
      <w:r w:rsidR="005D4153" w:rsidRPr="00EC250C">
        <w:rPr>
          <w:bCs/>
        </w:rPr>
        <w:t>). Ponadto notariuszowi nie wolno dokonywać czynności notarialnej, jeżeli poweźmie wątpliwość, czy strona czynności notarialnej ma zdolność do czynności prawnych (art. 86 Prawa</w:t>
      </w:r>
      <w:r w:rsidR="00992FD0" w:rsidRPr="00EC250C">
        <w:rPr>
          <w:bCs/>
        </w:rPr>
        <w:t xml:space="preserve"> o </w:t>
      </w:r>
      <w:r w:rsidR="005D4153" w:rsidRPr="00EC250C">
        <w:rPr>
          <w:bCs/>
        </w:rPr>
        <w:t xml:space="preserve">notariacie). Rada rozesłała to pismo notariuszom, </w:t>
      </w:r>
      <w:r w:rsidR="00B04745" w:rsidRPr="00EC250C">
        <w:rPr>
          <w:bCs/>
        </w:rPr>
        <w:t xml:space="preserve">RPO </w:t>
      </w:r>
      <w:r w:rsidR="005D4153" w:rsidRPr="00EC250C">
        <w:rPr>
          <w:bCs/>
        </w:rPr>
        <w:t>zwracał jednak uwagę, że to za mało – potrzebne są bardziej aktywne działania samorządu notarialnego</w:t>
      </w:r>
      <w:r w:rsidR="005D4153" w:rsidRPr="00EC250C">
        <w:rPr>
          <w:bCs/>
          <w:vertAlign w:val="superscript"/>
        </w:rPr>
        <w:footnoteReference w:id="423"/>
      </w:r>
      <w:r w:rsidR="005D4153" w:rsidRPr="00EC250C">
        <w:rPr>
          <w:bCs/>
        </w:rPr>
        <w:t>.</w:t>
      </w:r>
    </w:p>
    <w:p w14:paraId="74E013F5" w14:textId="77777777" w:rsidR="00512EEB" w:rsidRPr="00EC250C" w:rsidRDefault="00D56085" w:rsidP="00EC250C">
      <w:pPr>
        <w:pStyle w:val="Nagwek5"/>
      </w:pPr>
      <w:r w:rsidRPr="00EC250C">
        <w:t>Przejęcie mieszkania pod pozorem pożyczki</w:t>
      </w:r>
    </w:p>
    <w:p w14:paraId="536AA4A6" w14:textId="77777777" w:rsidR="00C91F6E" w:rsidRPr="00EC250C" w:rsidRDefault="00D56085" w:rsidP="00D131FA">
      <w:pPr>
        <w:pStyle w:val="Styl1"/>
        <w:rPr>
          <w:bCs/>
        </w:rPr>
      </w:pPr>
      <w:r w:rsidRPr="00EC250C">
        <w:t>Ciągle zdarzają się sytuacja, że nieuczciwe firmy pożyczkarskie wprowadzają ludzi</w:t>
      </w:r>
      <w:r w:rsidR="00992FD0" w:rsidRPr="00EC250C">
        <w:t xml:space="preserve"> w </w:t>
      </w:r>
      <w:r w:rsidRPr="00EC250C">
        <w:t>błąd, że udzielają im pożyczek,</w:t>
      </w:r>
      <w:r w:rsidR="00992FD0" w:rsidRPr="00EC250C">
        <w:t xml:space="preserve"> a </w:t>
      </w:r>
      <w:r w:rsidRPr="00EC250C">
        <w:t xml:space="preserve">tak naprawdę przejmują własność mieszkań. </w:t>
      </w:r>
      <w:r w:rsidRPr="00EC250C">
        <w:rPr>
          <w:bCs/>
        </w:rPr>
        <w:t>Z okoliczności tych spraw wynika, że osoby pokrzywdzone nie miały świadomości dokonywanych czynności prawnych,</w:t>
      </w:r>
      <w:r w:rsidR="00992FD0" w:rsidRPr="00EC250C">
        <w:rPr>
          <w:bCs/>
        </w:rPr>
        <w:t xml:space="preserve"> a o </w:t>
      </w:r>
      <w:r w:rsidRPr="00EC250C">
        <w:rPr>
          <w:bCs/>
        </w:rPr>
        <w:t>ich treści</w:t>
      </w:r>
      <w:r w:rsidR="00992FD0" w:rsidRPr="00EC250C">
        <w:rPr>
          <w:bCs/>
        </w:rPr>
        <w:t xml:space="preserve"> i </w:t>
      </w:r>
      <w:r w:rsidRPr="00EC250C">
        <w:rPr>
          <w:bCs/>
        </w:rPr>
        <w:t>trudnych do odwrócenia skutkach dowiadywały się, gdy nowi właściciele mieszkań żądali kluczy. Proceder ten rozwinął się mimo tego, że przeniesienie własności nieruchomości następowało</w:t>
      </w:r>
      <w:r w:rsidR="00992FD0" w:rsidRPr="00EC250C">
        <w:rPr>
          <w:bCs/>
        </w:rPr>
        <w:t xml:space="preserve"> w </w:t>
      </w:r>
      <w:r w:rsidRPr="00EC250C">
        <w:rPr>
          <w:bCs/>
        </w:rPr>
        <w:t>formie aktu notarialnego,</w:t>
      </w:r>
      <w:r w:rsidR="00992FD0" w:rsidRPr="00EC250C">
        <w:rPr>
          <w:bCs/>
        </w:rPr>
        <w:t xml:space="preserve"> a </w:t>
      </w:r>
      <w:r w:rsidRPr="00EC250C">
        <w:rPr>
          <w:bCs/>
        </w:rPr>
        <w:t>więc</w:t>
      </w:r>
      <w:r w:rsidR="00992FD0" w:rsidRPr="00EC250C">
        <w:rPr>
          <w:bCs/>
        </w:rPr>
        <w:t xml:space="preserve"> w </w:t>
      </w:r>
      <w:r w:rsidRPr="00EC250C">
        <w:rPr>
          <w:bCs/>
        </w:rPr>
        <w:t>tego typu czynnościach uczestniczył przedstawiciel zawodu zaufania publicznego – notariusz.</w:t>
      </w:r>
    </w:p>
    <w:p w14:paraId="3D3B5DE1" w14:textId="77777777" w:rsidR="00C91F6E" w:rsidRPr="00EC250C" w:rsidRDefault="005D4153" w:rsidP="00D131FA">
      <w:pPr>
        <w:pStyle w:val="Styl1"/>
      </w:pPr>
      <w:r w:rsidRPr="00EC250C">
        <w:rPr>
          <w:bdr w:val="none" w:sz="0" w:space="0" w:color="auto" w:frame="1"/>
        </w:rPr>
        <w:t>Dobrym rozw</w:t>
      </w:r>
      <w:r w:rsidR="00D56085" w:rsidRPr="00EC250C">
        <w:rPr>
          <w:bdr w:val="none" w:sz="0" w:space="0" w:color="auto" w:frame="1"/>
        </w:rPr>
        <w:t>i</w:t>
      </w:r>
      <w:r w:rsidRPr="00EC250C">
        <w:rPr>
          <w:bdr w:val="none" w:sz="0" w:space="0" w:color="auto" w:frame="1"/>
        </w:rPr>
        <w:t>ązani</w:t>
      </w:r>
      <w:r w:rsidR="00D56085" w:rsidRPr="00EC250C">
        <w:rPr>
          <w:bdr w:val="none" w:sz="0" w:space="0" w:color="auto" w:frame="1"/>
        </w:rPr>
        <w:t>e</w:t>
      </w:r>
      <w:r w:rsidRPr="00EC250C">
        <w:rPr>
          <w:bdr w:val="none" w:sz="0" w:space="0" w:color="auto" w:frame="1"/>
        </w:rPr>
        <w:t xml:space="preserve">m byłoby </w:t>
      </w:r>
      <w:r w:rsidR="00D56085" w:rsidRPr="00EC250C">
        <w:rPr>
          <w:bdr w:val="none" w:sz="0" w:space="0" w:color="auto" w:frame="1"/>
        </w:rPr>
        <w:t xml:space="preserve">tu </w:t>
      </w:r>
      <w:r w:rsidRPr="00EC250C">
        <w:rPr>
          <w:bdr w:val="none" w:sz="0" w:space="0" w:color="auto" w:frame="1"/>
        </w:rPr>
        <w:t xml:space="preserve">nagrywanie czynności notarialnych. Taką </w:t>
      </w:r>
      <w:r w:rsidR="00187708" w:rsidRPr="00EC250C">
        <w:t>inicjatyw</w:t>
      </w:r>
      <w:r w:rsidRPr="00EC250C">
        <w:t>ę</w:t>
      </w:r>
      <w:r w:rsidR="00187708" w:rsidRPr="00EC250C">
        <w:t xml:space="preserve"> legislacyjn</w:t>
      </w:r>
      <w:r w:rsidRPr="00EC250C">
        <w:t xml:space="preserve">ą </w:t>
      </w:r>
      <w:r w:rsidR="00187708" w:rsidRPr="00EC250C">
        <w:t>ogłosił</w:t>
      </w:r>
      <w:r w:rsidR="00992FD0" w:rsidRPr="00EC250C">
        <w:t xml:space="preserve"> w </w:t>
      </w:r>
      <w:r w:rsidR="00187708" w:rsidRPr="00EC250C">
        <w:t>lipcu 2016</w:t>
      </w:r>
      <w:r w:rsidR="00C91F6E" w:rsidRPr="00EC250C">
        <w:t> r.</w:t>
      </w:r>
      <w:r w:rsidR="00187708" w:rsidRPr="00EC250C">
        <w:t xml:space="preserve"> Minister Sprawiedliwości. W lutym 2017</w:t>
      </w:r>
      <w:r w:rsidR="00C91F6E" w:rsidRPr="00EC250C">
        <w:t> r.</w:t>
      </w:r>
      <w:r w:rsidR="00187708" w:rsidRPr="00EC250C">
        <w:t xml:space="preserve"> </w:t>
      </w:r>
      <w:r w:rsidR="00907A50" w:rsidRPr="00EC250C">
        <w:t xml:space="preserve">Minister </w:t>
      </w:r>
      <w:r w:rsidR="00187708" w:rsidRPr="00EC250C">
        <w:t>informował zaś, że prace nad zmianami</w:t>
      </w:r>
      <w:r w:rsidR="00992FD0" w:rsidRPr="00EC250C">
        <w:t xml:space="preserve"> w </w:t>
      </w:r>
      <w:r w:rsidR="00187708" w:rsidRPr="00EC250C">
        <w:t>ustawie Prawo</w:t>
      </w:r>
      <w:r w:rsidR="00992FD0" w:rsidRPr="00EC250C">
        <w:t xml:space="preserve"> o </w:t>
      </w:r>
      <w:r w:rsidR="00187708" w:rsidRPr="00EC250C">
        <w:t xml:space="preserve">notariacie </w:t>
      </w:r>
      <w:r w:rsidRPr="00EC250C">
        <w:t>trwają</w:t>
      </w:r>
      <w:r w:rsidR="00187708" w:rsidRPr="00EC250C">
        <w:t>. Z niewiadomych przyczyn zmiany nie zosta</w:t>
      </w:r>
      <w:r w:rsidR="00187708" w:rsidRPr="00EC250C">
        <w:rPr>
          <w:rFonts w:hint="eastAsia"/>
        </w:rPr>
        <w:t>ł</w:t>
      </w:r>
      <w:r w:rsidR="00187708" w:rsidRPr="00EC250C">
        <w:t>y dotychczas przeprowadzone.</w:t>
      </w:r>
    </w:p>
    <w:p w14:paraId="298D57F5" w14:textId="77777777" w:rsidR="00187708" w:rsidRPr="00EC250C" w:rsidRDefault="00187708" w:rsidP="00D131FA">
      <w:pPr>
        <w:pStyle w:val="Styl1"/>
      </w:pPr>
      <w:r w:rsidRPr="00EC250C">
        <w:t xml:space="preserve">Krajowa Rada Notarialna zgodziła się, że zmiany prawa są pilnie potrzebne, by ochronić </w:t>
      </w:r>
      <w:r w:rsidRPr="00EC250C">
        <w:rPr>
          <w:rFonts w:eastAsiaTheme="minorHAnsi"/>
        </w:rPr>
        <w:t>obywateli przed takim nieuczciwym przejmowaniem ich nieruchomo</w:t>
      </w:r>
      <w:r w:rsidRPr="00EC250C">
        <w:rPr>
          <w:rFonts w:eastAsiaTheme="minorHAnsi" w:hint="eastAsia"/>
        </w:rPr>
        <w:t>ś</w:t>
      </w:r>
      <w:r w:rsidRPr="00EC250C">
        <w:rPr>
          <w:rFonts w:eastAsiaTheme="minorHAnsi"/>
        </w:rPr>
        <w:t>ci.</w:t>
      </w:r>
      <w:r w:rsidR="00CC4D88" w:rsidRPr="00EC250C">
        <w:t xml:space="preserve"> </w:t>
      </w:r>
      <w:r w:rsidRPr="00EC250C">
        <w:t>Rada poddała Ministrowi Sprawiedliwości pod rozwagę propozycje uregulowania instytucji tzw. przewłaszczenia na zabezpieczenie</w:t>
      </w:r>
      <w:r w:rsidR="007E4A67" w:rsidRPr="00EC250C">
        <w:t xml:space="preserve"> (jest to forma zabezpieczenia wierzytelności polegająca na przeniesieniu przez dłużnika prawa własności swojej rzeczy na wierzyciela).</w:t>
      </w:r>
    </w:p>
    <w:p w14:paraId="2E7415F7" w14:textId="77777777" w:rsidR="00187708" w:rsidRPr="00EC250C" w:rsidRDefault="00187708" w:rsidP="00D131FA">
      <w:pPr>
        <w:pStyle w:val="Styl1"/>
      </w:pPr>
      <w:r w:rsidRPr="00EC250C">
        <w:lastRenderedPageBreak/>
        <w:t xml:space="preserve">Według </w:t>
      </w:r>
      <w:r w:rsidR="007E4A67" w:rsidRPr="00EC250C">
        <w:t xml:space="preserve">Krajowej </w:t>
      </w:r>
      <w:r w:rsidRPr="00EC250C">
        <w:t xml:space="preserve">Rady </w:t>
      </w:r>
      <w:r w:rsidR="007E4A67" w:rsidRPr="00EC250C">
        <w:t xml:space="preserve">Notarialnej </w:t>
      </w:r>
      <w:r w:rsidRPr="00EC250C">
        <w:t>to właśnie brak regulacji prawnych</w:t>
      </w:r>
      <w:r w:rsidR="00992FD0" w:rsidRPr="00EC250C">
        <w:t xml:space="preserve"> w </w:t>
      </w:r>
      <w:r w:rsidRPr="00EC250C">
        <w:t>tym zakresie powoduje, że powtarza się proceder nadużywania zasady swobody umów przy zabezpieczaniu wierzytelności przez przenoszenie własności nieruchomości. Ustawodawca powinien ukształtować przepisy</w:t>
      </w:r>
      <w:r w:rsidR="00992FD0" w:rsidRPr="00EC250C">
        <w:t xml:space="preserve"> w </w:t>
      </w:r>
      <w:r w:rsidRPr="00EC250C">
        <w:t>sposób umożliwiający jednoznaczną interpretację takich umów. Generalne przyzwolenie na zawieranie umów przewłaszczenia nieruchomości na zabezpieczenie wynika</w:t>
      </w:r>
      <w:r w:rsidR="00992FD0" w:rsidRPr="00EC250C">
        <w:t xml:space="preserve"> z </w:t>
      </w:r>
      <w:r w:rsidRPr="00EC250C">
        <w:t>braku szczegółowej regulacji, która kształtowałaby zasady tego rodzaju czynności, czy też wprost wyłączałaby taką możliwość</w:t>
      </w:r>
      <w:r w:rsidR="00992FD0" w:rsidRPr="00EC250C">
        <w:t xml:space="preserve"> w </w:t>
      </w:r>
      <w:r w:rsidRPr="00EC250C">
        <w:t>określonych przypadkach</w:t>
      </w:r>
      <w:r w:rsidRPr="00EC250C">
        <w:rPr>
          <w:rStyle w:val="Odwoanieprzypisudolnego"/>
        </w:rPr>
        <w:footnoteReference w:id="424"/>
      </w:r>
      <w:r w:rsidRPr="00EC250C">
        <w:t>.</w:t>
      </w:r>
    </w:p>
    <w:p w14:paraId="367B74E8" w14:textId="77777777" w:rsidR="00C91F6E" w:rsidRPr="00EC250C" w:rsidRDefault="00187708" w:rsidP="00EC79EB">
      <w:pPr>
        <w:pStyle w:val="Nagwek4"/>
      </w:pPr>
      <w:bookmarkStart w:id="421" w:name="_Toc6257830"/>
      <w:bookmarkStart w:id="422" w:name="_Toc11247705"/>
      <w:r w:rsidRPr="00EC250C">
        <w:t>Przedawnienie wierzytelności zabezpieczonej hipoteką</w:t>
      </w:r>
      <w:bookmarkEnd w:id="421"/>
      <w:bookmarkEnd w:id="422"/>
    </w:p>
    <w:p w14:paraId="3940A965" w14:textId="77777777" w:rsidR="00B473F5" w:rsidRPr="00EC250C" w:rsidRDefault="00187708" w:rsidP="00D131FA">
      <w:pPr>
        <w:pStyle w:val="Problemczowieka"/>
        <w:jc w:val="both"/>
      </w:pPr>
      <w:r w:rsidRPr="00EC250C">
        <w:t>Jeśli ktoś zgodzi się zabezpieczyć swoją nieruchomością dług innej osoby, to nie może skorzystać</w:t>
      </w:r>
      <w:r w:rsidR="00992FD0" w:rsidRPr="00EC250C">
        <w:t xml:space="preserve"> z </w:t>
      </w:r>
      <w:r w:rsidRPr="00EC250C">
        <w:t>przepisów</w:t>
      </w:r>
      <w:r w:rsidR="00992FD0" w:rsidRPr="00EC250C">
        <w:t xml:space="preserve"> o </w:t>
      </w:r>
      <w:r w:rsidRPr="00EC250C">
        <w:t>przedawnieni</w:t>
      </w:r>
      <w:r w:rsidR="00CE1A28" w:rsidRPr="00EC250C">
        <w:t>u</w:t>
      </w:r>
      <w:r w:rsidRPr="00EC250C">
        <w:t xml:space="preserve"> wierzytelności. Zatem choć dłużnik już za dług nie odpowiada, to</w:t>
      </w:r>
      <w:r w:rsidR="00992FD0" w:rsidRPr="00EC250C">
        <w:t xml:space="preserve"> z </w:t>
      </w:r>
      <w:r w:rsidRPr="00EC250C">
        <w:t>nieruchomości osoby, która ten dług zabezpieczyła, nadal można ją ściągać</w:t>
      </w:r>
      <w:r w:rsidR="00B473F5" w:rsidRPr="00EC250C">
        <w:t>.</w:t>
      </w:r>
    </w:p>
    <w:p w14:paraId="00AF5B9E" w14:textId="166331F6" w:rsidR="000E1610" w:rsidRPr="00EC250C" w:rsidRDefault="000E1610" w:rsidP="00D131FA">
      <w:pPr>
        <w:pStyle w:val="Styl1"/>
      </w:pPr>
      <w:r w:rsidRPr="00EC250C">
        <w:t xml:space="preserve">Mogło być np. tak, że rodzic zgodził się zabezpieczyć kredyt dziecka na hipotece swojego domu. Młoda osoba </w:t>
      </w:r>
      <w:bookmarkStart w:id="423" w:name="_GoBack"/>
      <w:bookmarkEnd w:id="423"/>
      <w:r w:rsidRPr="00EC250C">
        <w:t>przestała kredyt spłacać i bank wystąpił z roszczeniem wobec niej. Zrobił to jednak za późno i roszczenie wobec kredytobiorcy się przedawniło. Jednak nadal zapisane jest na hipotece domu rodzica.</w:t>
      </w:r>
    </w:p>
    <w:p w14:paraId="625A5A4B" w14:textId="77777777" w:rsidR="00C91F6E" w:rsidRPr="00EC250C" w:rsidRDefault="00187708" w:rsidP="00D131FA">
      <w:pPr>
        <w:pStyle w:val="Styl1"/>
        <w:rPr>
          <w:bCs/>
        </w:rPr>
      </w:pPr>
      <w:r w:rsidRPr="00EC250C">
        <w:rPr>
          <w:bCs/>
        </w:rPr>
        <w:t>Przepisy art. 77 ustawy</w:t>
      </w:r>
      <w:r w:rsidR="00992FD0" w:rsidRPr="00EC250C">
        <w:rPr>
          <w:bCs/>
        </w:rPr>
        <w:t xml:space="preserve"> o </w:t>
      </w:r>
      <w:r w:rsidRPr="00EC250C">
        <w:rPr>
          <w:bCs/>
        </w:rPr>
        <w:t>księgach wieczystych</w:t>
      </w:r>
      <w:r w:rsidR="00992FD0" w:rsidRPr="00EC250C">
        <w:rPr>
          <w:bCs/>
        </w:rPr>
        <w:t xml:space="preserve"> i </w:t>
      </w:r>
      <w:r w:rsidRPr="00EC250C">
        <w:rPr>
          <w:bCs/>
        </w:rPr>
        <w:t>hipotece nie stosują się do kogoś, kto nie jest dłużnikiem osobistym wierzyciela.</w:t>
      </w:r>
      <w:r w:rsidR="00CC4D88" w:rsidRPr="00EC250C">
        <w:rPr>
          <w:bCs/>
        </w:rPr>
        <w:t xml:space="preserve"> </w:t>
      </w:r>
      <w:r w:rsidR="00B04745" w:rsidRPr="00EC250C">
        <w:rPr>
          <w:bCs/>
        </w:rPr>
        <w:t>RPO</w:t>
      </w:r>
      <w:r w:rsidRPr="00EC250C">
        <w:rPr>
          <w:bCs/>
        </w:rPr>
        <w:t xml:space="preserve"> zgłosił</w:t>
      </w:r>
      <w:r w:rsidRPr="00EC250C">
        <w:rPr>
          <w:rStyle w:val="Odwoanieprzypisudolnego"/>
          <w:bCs/>
        </w:rPr>
        <w:footnoteReference w:id="425"/>
      </w:r>
      <w:r w:rsidRPr="00EC250C">
        <w:rPr>
          <w:bCs/>
        </w:rPr>
        <w:t xml:space="preserve"> udział</w:t>
      </w:r>
      <w:r w:rsidR="00992FD0" w:rsidRPr="00EC250C">
        <w:rPr>
          <w:bCs/>
        </w:rPr>
        <w:t xml:space="preserve"> w </w:t>
      </w:r>
      <w:r w:rsidRPr="00EC250C">
        <w:rPr>
          <w:bCs/>
        </w:rPr>
        <w:t>postępowaniu przed Trybunałem Konstytucyjnym, zainicjowanym skargą konstytucyjną tego przepisu. Argumentuje, że taka regulacja narusza równą ochronę prawa własności, gwarantowaną</w:t>
      </w:r>
      <w:r w:rsidR="00992FD0" w:rsidRPr="00EC250C">
        <w:rPr>
          <w:bCs/>
        </w:rPr>
        <w:t xml:space="preserve"> w </w:t>
      </w:r>
      <w:r w:rsidRPr="00EC250C">
        <w:rPr>
          <w:bCs/>
        </w:rPr>
        <w:t>art. 64 Konstytucji.</w:t>
      </w:r>
    </w:p>
    <w:p w14:paraId="3F46DB4B" w14:textId="77777777" w:rsidR="00187708" w:rsidRPr="00EC250C" w:rsidRDefault="00187708" w:rsidP="00D131FA">
      <w:pPr>
        <w:pStyle w:val="Styl1"/>
        <w:rPr>
          <w:bCs/>
        </w:rPr>
      </w:pPr>
      <w:r w:rsidRPr="00EC250C">
        <w:rPr>
          <w:bCs/>
        </w:rPr>
        <w:t>Sprawa czeka na rozstrzygnięcie.</w:t>
      </w:r>
    </w:p>
    <w:p w14:paraId="1C57AEB4" w14:textId="77777777" w:rsidR="00187708" w:rsidRPr="00EC250C" w:rsidRDefault="00187708" w:rsidP="00EC250C">
      <w:pPr>
        <w:pStyle w:val="Nagwek8"/>
      </w:pPr>
      <w:r w:rsidRPr="00EC250C">
        <w:t>Czy zawsze trzeba spłacić weksle sfałszowane przez oszusta?</w:t>
      </w:r>
    </w:p>
    <w:p w14:paraId="6AD5FCCA" w14:textId="77777777" w:rsidR="003D60D7" w:rsidRPr="00EC250C" w:rsidRDefault="003D60D7" w:rsidP="00D131FA">
      <w:pPr>
        <w:pStyle w:val="Styl2"/>
        <w:rPr>
          <w:szCs w:val="24"/>
        </w:rPr>
      </w:pPr>
      <w:r w:rsidRPr="00EC250C">
        <w:rPr>
          <w:szCs w:val="24"/>
        </w:rPr>
        <w:t>Firma windykacyjna wystąpiła przeciw kobiecie</w:t>
      </w:r>
      <w:r w:rsidR="00992FD0" w:rsidRPr="00EC250C">
        <w:rPr>
          <w:szCs w:val="24"/>
        </w:rPr>
        <w:t xml:space="preserve"> z </w:t>
      </w:r>
      <w:r w:rsidRPr="00EC250C">
        <w:rPr>
          <w:szCs w:val="24"/>
        </w:rPr>
        <w:t>powództwem</w:t>
      </w:r>
      <w:r w:rsidR="00992FD0" w:rsidRPr="00EC250C">
        <w:rPr>
          <w:szCs w:val="24"/>
        </w:rPr>
        <w:t xml:space="preserve"> o </w:t>
      </w:r>
      <w:r w:rsidRPr="00EC250C">
        <w:rPr>
          <w:szCs w:val="24"/>
        </w:rPr>
        <w:t>zapłatę 176 tys. zł. Podstawą roszczenia była przedstawiona sądowi umowa pożyczki 60 tys. zł zawarta przez kobietę ze Zbigniewem U. Zabezpieczeniem umowy był weksel „in blanco” na kwotę 176 tys. zł. Zbigniew U sprzedał tę wierzytelność firmie windykacyjnej.</w:t>
      </w:r>
    </w:p>
    <w:p w14:paraId="2E4FC393" w14:textId="77777777" w:rsidR="003D60D7" w:rsidRPr="00EC250C" w:rsidRDefault="003D60D7" w:rsidP="00D131FA">
      <w:pPr>
        <w:pStyle w:val="Styl2"/>
        <w:rPr>
          <w:szCs w:val="24"/>
        </w:rPr>
      </w:pPr>
      <w:r w:rsidRPr="00EC250C">
        <w:rPr>
          <w:szCs w:val="24"/>
        </w:rPr>
        <w:t>Sąd Okręgowy zasądził od kobiety kwotę 176 tys. zł. Nakaz uprawomocnił się</w:t>
      </w:r>
      <w:r w:rsidR="00992FD0" w:rsidRPr="00EC250C">
        <w:rPr>
          <w:szCs w:val="24"/>
        </w:rPr>
        <w:t xml:space="preserve"> w </w:t>
      </w:r>
      <w:r w:rsidRPr="00EC250C">
        <w:rPr>
          <w:szCs w:val="24"/>
        </w:rPr>
        <w:t>listopadzie 2012</w:t>
      </w:r>
      <w:r w:rsidR="00C91F6E" w:rsidRPr="00EC250C">
        <w:rPr>
          <w:szCs w:val="24"/>
        </w:rPr>
        <w:t> r.</w:t>
      </w:r>
      <w:r w:rsidRPr="00EC250C">
        <w:rPr>
          <w:szCs w:val="24"/>
        </w:rPr>
        <w:t xml:space="preserve"> Sąd odrzucił wnioski kobiety</w:t>
      </w:r>
      <w:r w:rsidR="00992FD0" w:rsidRPr="00EC250C">
        <w:rPr>
          <w:szCs w:val="24"/>
        </w:rPr>
        <w:t xml:space="preserve"> o </w:t>
      </w:r>
      <w:r w:rsidRPr="00EC250C">
        <w:rPr>
          <w:szCs w:val="24"/>
        </w:rPr>
        <w:t>przywrócenie terminu do wniesienia zarzutów od nakazu zapłaty. Wskazywała</w:t>
      </w:r>
      <w:r w:rsidR="00992FD0" w:rsidRPr="00EC250C">
        <w:rPr>
          <w:szCs w:val="24"/>
        </w:rPr>
        <w:t xml:space="preserve"> w </w:t>
      </w:r>
      <w:r w:rsidRPr="00EC250C">
        <w:rPr>
          <w:szCs w:val="24"/>
        </w:rPr>
        <w:t>nich, że umowa została przez Zbigniewa U. sfałszowana,</w:t>
      </w:r>
      <w:r w:rsidR="00992FD0" w:rsidRPr="00EC250C">
        <w:rPr>
          <w:szCs w:val="24"/>
        </w:rPr>
        <w:t xml:space="preserve"> a </w:t>
      </w:r>
      <w:r w:rsidRPr="00EC250C">
        <w:rPr>
          <w:szCs w:val="24"/>
        </w:rPr>
        <w:t>weksel (będący zabezpieczeniem zupełnie innej umowy) został przez niego przerobiony niezgodnie</w:t>
      </w:r>
      <w:r w:rsidR="00992FD0" w:rsidRPr="00EC250C">
        <w:rPr>
          <w:szCs w:val="24"/>
        </w:rPr>
        <w:t xml:space="preserve"> z </w:t>
      </w:r>
      <w:r w:rsidRPr="00EC250C">
        <w:rPr>
          <w:szCs w:val="24"/>
        </w:rPr>
        <w:t>jej wolą. Firma skierowała sprawę do egzekucji,</w:t>
      </w:r>
      <w:r w:rsidR="00992FD0" w:rsidRPr="00EC250C">
        <w:rPr>
          <w:szCs w:val="24"/>
        </w:rPr>
        <w:t xml:space="preserve"> a </w:t>
      </w:r>
      <w:r w:rsidRPr="00EC250C">
        <w:rPr>
          <w:szCs w:val="24"/>
        </w:rPr>
        <w:t xml:space="preserve">komornik wyegzekwował od kobiety 75 </w:t>
      </w:r>
      <w:r w:rsidR="000E1610" w:rsidRPr="00EC250C">
        <w:rPr>
          <w:szCs w:val="24"/>
        </w:rPr>
        <w:t xml:space="preserve">mln </w:t>
      </w:r>
      <w:r w:rsidRPr="00EC250C">
        <w:rPr>
          <w:szCs w:val="24"/>
        </w:rPr>
        <w:t xml:space="preserve">zł. Sąd </w:t>
      </w:r>
      <w:r w:rsidRPr="00EC250C">
        <w:rPr>
          <w:szCs w:val="24"/>
        </w:rPr>
        <w:lastRenderedPageBreak/>
        <w:t>odrzucił wniosek pozwanej</w:t>
      </w:r>
      <w:r w:rsidR="00992FD0" w:rsidRPr="00EC250C">
        <w:rPr>
          <w:szCs w:val="24"/>
        </w:rPr>
        <w:t xml:space="preserve"> o </w:t>
      </w:r>
      <w:r w:rsidRPr="00EC250C">
        <w:rPr>
          <w:szCs w:val="24"/>
        </w:rPr>
        <w:t>wstrzymanie wykonania nakazu zapłaty. Bezskuteczne były też dwa wnioski kobiety</w:t>
      </w:r>
      <w:r w:rsidR="00992FD0" w:rsidRPr="00EC250C">
        <w:rPr>
          <w:szCs w:val="24"/>
        </w:rPr>
        <w:t xml:space="preserve"> o </w:t>
      </w:r>
      <w:r w:rsidRPr="00EC250C">
        <w:rPr>
          <w:szCs w:val="24"/>
        </w:rPr>
        <w:t>wznowienie postępowania.</w:t>
      </w:r>
    </w:p>
    <w:p w14:paraId="450EB159" w14:textId="77777777" w:rsidR="00C91F6E" w:rsidRPr="00EC250C" w:rsidRDefault="003D60D7" w:rsidP="00D131FA">
      <w:pPr>
        <w:pStyle w:val="Styl2"/>
        <w:rPr>
          <w:szCs w:val="24"/>
        </w:rPr>
      </w:pPr>
      <w:r w:rsidRPr="00EC250C">
        <w:rPr>
          <w:szCs w:val="24"/>
        </w:rPr>
        <w:t>W 2016</w:t>
      </w:r>
      <w:r w:rsidR="00C91F6E" w:rsidRPr="00EC250C">
        <w:rPr>
          <w:szCs w:val="24"/>
        </w:rPr>
        <w:t> r.</w:t>
      </w:r>
      <w:r w:rsidRPr="00EC250C">
        <w:rPr>
          <w:szCs w:val="24"/>
        </w:rPr>
        <w:t xml:space="preserve"> Sąd Rejonowy</w:t>
      </w:r>
      <w:r w:rsidR="00992FD0" w:rsidRPr="00EC250C">
        <w:rPr>
          <w:szCs w:val="24"/>
        </w:rPr>
        <w:t xml:space="preserve"> w </w:t>
      </w:r>
      <w:r w:rsidRPr="00EC250C">
        <w:rPr>
          <w:szCs w:val="24"/>
        </w:rPr>
        <w:t>S. uznał Zbigniewa U. za winnego sfałszowania</w:t>
      </w:r>
      <w:r w:rsidR="00CC4D88" w:rsidRPr="00EC250C">
        <w:rPr>
          <w:szCs w:val="24"/>
        </w:rPr>
        <w:t xml:space="preserve"> </w:t>
      </w:r>
      <w:r w:rsidRPr="00EC250C">
        <w:rPr>
          <w:szCs w:val="24"/>
        </w:rPr>
        <w:t>umowy.</w:t>
      </w:r>
    </w:p>
    <w:p w14:paraId="5FB68017" w14:textId="77777777" w:rsidR="00187708" w:rsidRPr="00EC250C" w:rsidRDefault="003D60D7" w:rsidP="00D131FA">
      <w:pPr>
        <w:pStyle w:val="Styl2"/>
        <w:rPr>
          <w:szCs w:val="24"/>
        </w:rPr>
      </w:pPr>
      <w:r w:rsidRPr="00EC250C">
        <w:rPr>
          <w:szCs w:val="24"/>
        </w:rPr>
        <w:t xml:space="preserve">RPO </w:t>
      </w:r>
      <w:r w:rsidR="000E1610" w:rsidRPr="00EC250C">
        <w:rPr>
          <w:szCs w:val="24"/>
        </w:rPr>
        <w:t>za</w:t>
      </w:r>
      <w:r w:rsidRPr="00EC250C">
        <w:rPr>
          <w:szCs w:val="24"/>
        </w:rPr>
        <w:t>żąda</w:t>
      </w:r>
      <w:r w:rsidR="000E1610" w:rsidRPr="00EC250C">
        <w:rPr>
          <w:szCs w:val="24"/>
        </w:rPr>
        <w:t>ł</w:t>
      </w:r>
      <w:r w:rsidRPr="00EC250C">
        <w:rPr>
          <w:szCs w:val="24"/>
        </w:rPr>
        <w:t xml:space="preserve"> wznowienia sprawy</w:t>
      </w:r>
      <w:r w:rsidR="00187708" w:rsidRPr="00EC250C">
        <w:rPr>
          <w:rStyle w:val="Odwoanieprzypisudolnego"/>
          <w:szCs w:val="24"/>
        </w:rPr>
        <w:footnoteReference w:id="426"/>
      </w:r>
      <w:r w:rsidR="00187708" w:rsidRPr="00EC250C">
        <w:rPr>
          <w:szCs w:val="24"/>
        </w:rPr>
        <w:t>.</w:t>
      </w:r>
    </w:p>
    <w:p w14:paraId="775CED9C" w14:textId="77777777" w:rsidR="005D03C7" w:rsidRPr="00EC250C" w:rsidRDefault="005D03C7" w:rsidP="00EC250C">
      <w:pPr>
        <w:pStyle w:val="Nagwek8"/>
      </w:pPr>
      <w:r w:rsidRPr="00EC250C">
        <w:t xml:space="preserve">Trybunał Sprawiedliwości Unii Europejskiej </w:t>
      </w:r>
      <w:r w:rsidR="00987EC9" w:rsidRPr="00EC250C">
        <w:t>w obronie konsumentów</w:t>
      </w:r>
    </w:p>
    <w:p w14:paraId="43147228" w14:textId="77777777" w:rsidR="005D03C7" w:rsidRPr="00EC250C" w:rsidRDefault="005D03C7" w:rsidP="00D131FA">
      <w:pPr>
        <w:pStyle w:val="Styl2"/>
        <w:rPr>
          <w:szCs w:val="24"/>
          <w:shd w:val="clear" w:color="auto" w:fill="FFFFFF"/>
        </w:rPr>
      </w:pPr>
      <w:r w:rsidRPr="00EC250C">
        <w:rPr>
          <w:szCs w:val="24"/>
        </w:rPr>
        <w:t>W tym miejscu warto zwrócić uwagę na dwa</w:t>
      </w:r>
      <w:r w:rsidRPr="00EC250C">
        <w:rPr>
          <w:szCs w:val="24"/>
          <w:shd w:val="clear" w:color="auto" w:fill="FFFFFF"/>
        </w:rPr>
        <w:t xml:space="preserve"> wydane ostatnio orzeczenia Trybunału Sprawiedliwości Unii Europejskiej przesądziły w pewnym zakresie o niezgodności przepisów o postępowaniu nakazowym (art.4841 i nast. kodeksu postępowania cywilnego) z prawem europejskim w sprawach ochrony konsumentów. </w:t>
      </w:r>
    </w:p>
    <w:p w14:paraId="026C455F" w14:textId="77777777" w:rsidR="005D03C7" w:rsidRPr="00EC250C" w:rsidRDefault="005D03C7" w:rsidP="00D131FA">
      <w:pPr>
        <w:pStyle w:val="Styl2"/>
        <w:rPr>
          <w:rFonts w:ascii="Open Sans Regular" w:hAnsi="Open Sans Regular"/>
          <w:color w:val="18223E"/>
          <w:sz w:val="21"/>
          <w:szCs w:val="20"/>
        </w:rPr>
      </w:pPr>
      <w:r w:rsidRPr="00EC250C">
        <w:rPr>
          <w:szCs w:val="24"/>
          <w:bdr w:val="none" w:sz="0" w:space="0" w:color="auto" w:frame="1"/>
        </w:rPr>
        <w:t>W sprawie C-176/17Profi Credit Trybunał orzekał o zobowiązaniu wynikającym z weksla własnego (art.485 § 2 k.p.c.) zabezpieczającego zobowiązania umowy kredytu konsumenckiego. Uznał, że postępowanie nakazowe nie daje sądowi wystarczających możliwości zbadania umowy pod kątem nieuczciwych warunków. Wydanie nakazu zapłaty bez takiego badania narusza art. 7 ust. 1 dyrektywy 93/13 (ws.nieuczciwych warunków w umowach konsumenckich). A wniesienie zarzutów wobec nakazu zapłaty uzależnione jest, zdaniem TSUE, od zbyt restrykcyjnych przesłanek: krótkiego terminu, nadmiernych wymogów formalnych oraz wysokiej opłaty.</w:t>
      </w:r>
    </w:p>
    <w:p w14:paraId="0EAE0304" w14:textId="77777777" w:rsidR="005D03C7" w:rsidRPr="00EC250C" w:rsidRDefault="005D03C7" w:rsidP="00D131FA">
      <w:pPr>
        <w:pStyle w:val="Styl2"/>
        <w:rPr>
          <w:rFonts w:ascii="Open Sans Regular" w:hAnsi="Open Sans Regular"/>
          <w:color w:val="18223E"/>
          <w:sz w:val="21"/>
          <w:szCs w:val="20"/>
        </w:rPr>
      </w:pPr>
      <w:r w:rsidRPr="00EC250C">
        <w:rPr>
          <w:szCs w:val="24"/>
          <w:bdr w:val="none" w:sz="0" w:space="0" w:color="auto" w:frame="1"/>
        </w:rPr>
        <w:t>W sprawie C-632/17PKO TSUE uznał, że regulacja postępowania nakazowego nie spełnia wymogów dyrektywy 93/13 również co do nakazu wydawanego na podstawie wyciągu z ksiąg bankowych (art.485 § 3 k.p.c.). Postępowanie nakazowe nie pozwala też sprawdzić, czy w umowie kredytowej są informacje wymagane przez art. 10 dyrektywy 2008/48 (w sprawie umów o kredyt konsumencki), a więc czy konsument decydował, mając odpowiednią wiedzę.</w:t>
      </w:r>
    </w:p>
    <w:p w14:paraId="44B65818" w14:textId="77777777" w:rsidR="005D03C7" w:rsidRPr="00EC250C" w:rsidRDefault="005D03C7" w:rsidP="00D131FA">
      <w:pPr>
        <w:pStyle w:val="Styl2"/>
        <w:rPr>
          <w:szCs w:val="24"/>
          <w:shd w:val="clear" w:color="auto" w:fill="FFFFFF"/>
        </w:rPr>
      </w:pPr>
      <w:r w:rsidRPr="00EC250C">
        <w:rPr>
          <w:szCs w:val="24"/>
          <w:shd w:val="clear" w:color="auto" w:fill="FFFFFF"/>
        </w:rPr>
        <w:t>Przed TS UE zawisły już kolejne sprawy z polskim kontekstem dotyczące obowiązków sądów wobec konsumentów będących dłużnikami wekslowymi (C-419/18i C-483/18). Niemniej, już te dwa orzeczenia powinny mieć wpływ na zmianę podejścia do postępowania nakazowego zarówno ustawodawcy, jak i sądów krajowych.</w:t>
      </w:r>
    </w:p>
    <w:p w14:paraId="225E5E92" w14:textId="77777777" w:rsidR="00C91F6E" w:rsidRPr="00EC250C" w:rsidRDefault="00187708" w:rsidP="00EC79EB">
      <w:pPr>
        <w:pStyle w:val="Nagwek4"/>
      </w:pPr>
      <w:bookmarkStart w:id="424" w:name="_Toc6257831"/>
      <w:bookmarkStart w:id="425" w:name="_Toc11247706"/>
      <w:r w:rsidRPr="00EC250C">
        <w:t xml:space="preserve">Pozbawienie mienia </w:t>
      </w:r>
      <w:r w:rsidR="00E739A6" w:rsidRPr="00EC250C">
        <w:t>nabywców nieruchomości</w:t>
      </w:r>
      <w:r w:rsidR="00992FD0" w:rsidRPr="00EC250C">
        <w:t xml:space="preserve"> z </w:t>
      </w:r>
      <w:r w:rsidRPr="00EC250C">
        <w:t>Funduszu Wczas</w:t>
      </w:r>
      <w:r w:rsidRPr="00EC250C">
        <w:rPr>
          <w:rFonts w:hint="eastAsia"/>
        </w:rPr>
        <w:t>ó</w:t>
      </w:r>
      <w:r w:rsidRPr="00EC250C">
        <w:t>w Pracowniczych</w:t>
      </w:r>
      <w:bookmarkEnd w:id="424"/>
      <w:bookmarkEnd w:id="425"/>
    </w:p>
    <w:p w14:paraId="195ED651" w14:textId="77777777" w:rsidR="00B473F5" w:rsidRPr="00EC250C" w:rsidRDefault="00187708" w:rsidP="00D131FA">
      <w:pPr>
        <w:pStyle w:val="Problemczowieka"/>
        <w:jc w:val="both"/>
        <w:rPr>
          <w:rStyle w:val="Pogrubienie"/>
          <w:rFonts w:eastAsiaTheme="majorEastAsia"/>
          <w:b/>
          <w:bCs w:val="0"/>
        </w:rPr>
      </w:pPr>
      <w:r w:rsidRPr="00EC250C">
        <w:rPr>
          <w:rStyle w:val="Pogrubienie"/>
          <w:rFonts w:eastAsiaTheme="majorEastAsia"/>
          <w:b/>
          <w:bCs w:val="0"/>
        </w:rPr>
        <w:t>W</w:t>
      </w:r>
      <w:r w:rsidRPr="00EC250C">
        <w:rPr>
          <w:rStyle w:val="Pogrubienie"/>
          <w:rFonts w:eastAsiaTheme="majorEastAsia" w:hint="eastAsia"/>
          <w:b/>
          <w:bCs w:val="0"/>
        </w:rPr>
        <w:t>ł</w:t>
      </w:r>
      <w:r w:rsidRPr="00EC250C">
        <w:rPr>
          <w:rStyle w:val="Pogrubienie"/>
          <w:rFonts w:eastAsiaTheme="majorEastAsia"/>
          <w:b/>
          <w:bCs w:val="0"/>
        </w:rPr>
        <w:t>a</w:t>
      </w:r>
      <w:r w:rsidRPr="00EC250C">
        <w:rPr>
          <w:rStyle w:val="Pogrubienie"/>
          <w:rFonts w:eastAsiaTheme="majorEastAsia" w:hint="eastAsia"/>
          <w:b/>
          <w:bCs w:val="0"/>
        </w:rPr>
        <w:t>ś</w:t>
      </w:r>
      <w:r w:rsidRPr="00EC250C">
        <w:rPr>
          <w:rStyle w:val="Pogrubienie"/>
          <w:rFonts w:eastAsiaTheme="majorEastAsia"/>
          <w:b/>
          <w:bCs w:val="0"/>
        </w:rPr>
        <w:t>ciciele hoteli</w:t>
      </w:r>
      <w:r w:rsidR="00992FD0" w:rsidRPr="00EC250C">
        <w:rPr>
          <w:rStyle w:val="Pogrubienie"/>
          <w:rFonts w:eastAsiaTheme="majorEastAsia"/>
          <w:b/>
          <w:bCs w:val="0"/>
        </w:rPr>
        <w:t xml:space="preserve"> i </w:t>
      </w:r>
      <w:r w:rsidRPr="00EC250C">
        <w:rPr>
          <w:rStyle w:val="Pogrubienie"/>
          <w:rFonts w:eastAsiaTheme="majorEastAsia"/>
          <w:b/>
          <w:bCs w:val="0"/>
        </w:rPr>
        <w:t>o</w:t>
      </w:r>
      <w:r w:rsidRPr="00EC250C">
        <w:rPr>
          <w:rStyle w:val="Pogrubienie"/>
          <w:rFonts w:eastAsiaTheme="majorEastAsia" w:hint="eastAsia"/>
          <w:b/>
          <w:bCs w:val="0"/>
        </w:rPr>
        <w:t>ś</w:t>
      </w:r>
      <w:r w:rsidRPr="00EC250C">
        <w:rPr>
          <w:rStyle w:val="Pogrubienie"/>
          <w:rFonts w:eastAsiaTheme="majorEastAsia"/>
          <w:b/>
          <w:bCs w:val="0"/>
        </w:rPr>
        <w:t>rodk</w:t>
      </w:r>
      <w:r w:rsidRPr="00EC250C">
        <w:rPr>
          <w:rStyle w:val="Pogrubienie"/>
          <w:rFonts w:eastAsiaTheme="majorEastAsia" w:hint="eastAsia"/>
          <w:b/>
          <w:bCs w:val="0"/>
        </w:rPr>
        <w:t>ó</w:t>
      </w:r>
      <w:r w:rsidRPr="00EC250C">
        <w:rPr>
          <w:rStyle w:val="Pogrubienie"/>
          <w:rFonts w:eastAsiaTheme="majorEastAsia"/>
          <w:b/>
          <w:bCs w:val="0"/>
        </w:rPr>
        <w:t>w wczasowych kupionych od Funduszu Wczas</w:t>
      </w:r>
      <w:r w:rsidRPr="00EC250C">
        <w:rPr>
          <w:rStyle w:val="Pogrubienie"/>
          <w:rFonts w:eastAsiaTheme="majorEastAsia" w:hint="eastAsia"/>
          <w:b/>
          <w:bCs w:val="0"/>
        </w:rPr>
        <w:t>ó</w:t>
      </w:r>
      <w:r w:rsidRPr="00EC250C">
        <w:rPr>
          <w:rStyle w:val="Pogrubienie"/>
          <w:rFonts w:eastAsiaTheme="majorEastAsia"/>
          <w:b/>
          <w:bCs w:val="0"/>
        </w:rPr>
        <w:t>w Pracowniczych mog</w:t>
      </w:r>
      <w:r w:rsidRPr="00EC250C">
        <w:rPr>
          <w:rStyle w:val="Pogrubienie"/>
          <w:rFonts w:eastAsiaTheme="majorEastAsia" w:hint="eastAsia"/>
          <w:b/>
          <w:bCs w:val="0"/>
        </w:rPr>
        <w:t>ą</w:t>
      </w:r>
      <w:r w:rsidRPr="00EC250C">
        <w:rPr>
          <w:rStyle w:val="Pogrubienie"/>
          <w:rFonts w:eastAsiaTheme="majorEastAsia"/>
          <w:b/>
          <w:bCs w:val="0"/>
        </w:rPr>
        <w:t xml:space="preserve"> straci</w:t>
      </w:r>
      <w:r w:rsidRPr="00EC250C">
        <w:rPr>
          <w:rStyle w:val="Pogrubienie"/>
          <w:rFonts w:eastAsiaTheme="majorEastAsia" w:hint="eastAsia"/>
          <w:b/>
          <w:bCs w:val="0"/>
        </w:rPr>
        <w:t>ć</w:t>
      </w:r>
      <w:r w:rsidRPr="00EC250C">
        <w:rPr>
          <w:rStyle w:val="Pogrubienie"/>
          <w:rFonts w:eastAsiaTheme="majorEastAsia"/>
          <w:b/>
          <w:bCs w:val="0"/>
        </w:rPr>
        <w:t xml:space="preserve"> sw</w:t>
      </w:r>
      <w:r w:rsidRPr="00EC250C">
        <w:rPr>
          <w:rStyle w:val="Pogrubienie"/>
          <w:rFonts w:eastAsiaTheme="majorEastAsia" w:hint="eastAsia"/>
          <w:b/>
          <w:bCs w:val="0"/>
        </w:rPr>
        <w:t>ą</w:t>
      </w:r>
      <w:r w:rsidRPr="00EC250C">
        <w:rPr>
          <w:rStyle w:val="Pogrubienie"/>
          <w:rFonts w:eastAsiaTheme="majorEastAsia"/>
          <w:b/>
          <w:bCs w:val="0"/>
        </w:rPr>
        <w:t xml:space="preserve"> w</w:t>
      </w:r>
      <w:r w:rsidRPr="00EC250C">
        <w:rPr>
          <w:rStyle w:val="Pogrubienie"/>
          <w:rFonts w:eastAsiaTheme="majorEastAsia" w:hint="eastAsia"/>
          <w:b/>
          <w:bCs w:val="0"/>
        </w:rPr>
        <w:t>ł</w:t>
      </w:r>
      <w:r w:rsidRPr="00EC250C">
        <w:rPr>
          <w:rStyle w:val="Pogrubienie"/>
          <w:rFonts w:eastAsiaTheme="majorEastAsia"/>
          <w:b/>
          <w:bCs w:val="0"/>
        </w:rPr>
        <w:t>asno</w:t>
      </w:r>
      <w:r w:rsidRPr="00EC250C">
        <w:rPr>
          <w:rStyle w:val="Pogrubienie"/>
          <w:rFonts w:eastAsiaTheme="majorEastAsia" w:hint="eastAsia"/>
          <w:b/>
          <w:bCs w:val="0"/>
        </w:rPr>
        <w:t>ść</w:t>
      </w:r>
      <w:r w:rsidR="00026572" w:rsidRPr="00EC250C">
        <w:rPr>
          <w:rStyle w:val="Pogrubienie"/>
          <w:rFonts w:eastAsiaTheme="majorEastAsia"/>
          <w:b/>
          <w:bCs w:val="0"/>
        </w:rPr>
        <w:t xml:space="preserve"> – </w:t>
      </w:r>
      <w:r w:rsidRPr="00EC250C">
        <w:rPr>
          <w:rStyle w:val="Pogrubienie"/>
          <w:rFonts w:eastAsiaTheme="majorEastAsia"/>
          <w:b/>
          <w:bCs w:val="0"/>
        </w:rPr>
        <w:t>ustawa</w:t>
      </w:r>
      <w:r w:rsidR="00992FD0" w:rsidRPr="00EC250C">
        <w:rPr>
          <w:rStyle w:val="Pogrubienie"/>
          <w:rFonts w:eastAsiaTheme="majorEastAsia"/>
          <w:b/>
          <w:bCs w:val="0"/>
        </w:rPr>
        <w:t xml:space="preserve"> z </w:t>
      </w:r>
      <w:r w:rsidRPr="00EC250C">
        <w:rPr>
          <w:rStyle w:val="Pogrubienie"/>
          <w:rFonts w:eastAsiaTheme="majorEastAsia"/>
          <w:b/>
          <w:bCs w:val="0"/>
        </w:rPr>
        <w:t>2015</w:t>
      </w:r>
      <w:r w:rsidR="00C91F6E" w:rsidRPr="00EC250C">
        <w:rPr>
          <w:rStyle w:val="Pogrubienie"/>
          <w:rFonts w:eastAsiaTheme="majorEastAsia"/>
          <w:b/>
          <w:bCs w:val="0"/>
        </w:rPr>
        <w:t> r.</w:t>
      </w:r>
      <w:r w:rsidR="00992FD0" w:rsidRPr="00EC250C">
        <w:rPr>
          <w:rStyle w:val="Pogrubienie"/>
          <w:rFonts w:eastAsiaTheme="majorEastAsia"/>
          <w:b/>
          <w:bCs w:val="0"/>
        </w:rPr>
        <w:t xml:space="preserve"> o </w:t>
      </w:r>
      <w:r w:rsidRPr="00EC250C">
        <w:rPr>
          <w:rStyle w:val="Pogrubienie"/>
          <w:rFonts w:eastAsiaTheme="majorEastAsia"/>
          <w:b/>
          <w:bCs w:val="0"/>
        </w:rPr>
        <w:t>FWP wyw</w:t>
      </w:r>
      <w:r w:rsidRPr="00EC250C">
        <w:rPr>
          <w:rStyle w:val="Pogrubienie"/>
          <w:rFonts w:eastAsiaTheme="majorEastAsia" w:hint="eastAsia"/>
          <w:b/>
          <w:bCs w:val="0"/>
        </w:rPr>
        <w:t>ł</w:t>
      </w:r>
      <w:r w:rsidRPr="00EC250C">
        <w:rPr>
          <w:rStyle w:val="Pogrubienie"/>
          <w:rFonts w:eastAsiaTheme="majorEastAsia"/>
          <w:b/>
          <w:bCs w:val="0"/>
        </w:rPr>
        <w:t>aszczy</w:t>
      </w:r>
      <w:r w:rsidRPr="00EC250C">
        <w:rPr>
          <w:rStyle w:val="Pogrubienie"/>
          <w:rFonts w:eastAsiaTheme="majorEastAsia" w:hint="eastAsia"/>
          <w:b/>
          <w:bCs w:val="0"/>
        </w:rPr>
        <w:t>ł</w:t>
      </w:r>
      <w:r w:rsidRPr="00EC250C">
        <w:rPr>
          <w:rStyle w:val="Pogrubienie"/>
          <w:rFonts w:eastAsiaTheme="majorEastAsia"/>
          <w:b/>
          <w:bCs w:val="0"/>
        </w:rPr>
        <w:t>a ich</w:t>
      </w:r>
      <w:r w:rsidR="00992FD0" w:rsidRPr="00EC250C">
        <w:rPr>
          <w:rStyle w:val="Pogrubienie"/>
          <w:rFonts w:eastAsiaTheme="majorEastAsia"/>
          <w:b/>
          <w:bCs w:val="0"/>
        </w:rPr>
        <w:t xml:space="preserve"> i </w:t>
      </w:r>
      <w:r w:rsidRPr="00EC250C">
        <w:rPr>
          <w:rStyle w:val="Pogrubienie"/>
          <w:rFonts w:eastAsiaTheme="majorEastAsia"/>
          <w:b/>
          <w:bCs w:val="0"/>
        </w:rPr>
        <w:t>uniemo</w:t>
      </w:r>
      <w:r w:rsidRPr="00EC250C">
        <w:rPr>
          <w:rStyle w:val="Pogrubienie"/>
          <w:rFonts w:eastAsiaTheme="majorEastAsia" w:hint="eastAsia"/>
          <w:b/>
          <w:bCs w:val="0"/>
        </w:rPr>
        <w:t>ż</w:t>
      </w:r>
      <w:r w:rsidRPr="00EC250C">
        <w:rPr>
          <w:rStyle w:val="Pogrubienie"/>
          <w:rFonts w:eastAsiaTheme="majorEastAsia"/>
          <w:b/>
          <w:bCs w:val="0"/>
        </w:rPr>
        <w:t>liwi</w:t>
      </w:r>
      <w:r w:rsidRPr="00EC250C">
        <w:rPr>
          <w:rStyle w:val="Pogrubienie"/>
          <w:rFonts w:eastAsiaTheme="majorEastAsia" w:hint="eastAsia"/>
          <w:b/>
          <w:bCs w:val="0"/>
        </w:rPr>
        <w:t>ł</w:t>
      </w:r>
      <w:r w:rsidRPr="00EC250C">
        <w:rPr>
          <w:rStyle w:val="Pogrubienie"/>
          <w:rFonts w:eastAsiaTheme="majorEastAsia"/>
          <w:b/>
          <w:bCs w:val="0"/>
        </w:rPr>
        <w:t>a praktycznie dochodzenie ich praw</w:t>
      </w:r>
      <w:r w:rsidR="00B473F5" w:rsidRPr="00EC250C">
        <w:rPr>
          <w:rStyle w:val="Pogrubienie"/>
          <w:rFonts w:eastAsiaTheme="majorEastAsia"/>
          <w:b/>
          <w:bCs w:val="0"/>
        </w:rPr>
        <w:t>.</w:t>
      </w:r>
    </w:p>
    <w:p w14:paraId="66509BA5" w14:textId="77777777" w:rsidR="00636E25" w:rsidRPr="00EC250C" w:rsidRDefault="000E1610" w:rsidP="00D131FA">
      <w:pPr>
        <w:pStyle w:val="Styl1"/>
      </w:pPr>
      <w:r w:rsidRPr="00EC250C">
        <w:t xml:space="preserve">W czasach PRL wielu Polaków jeździło na dotowane ze środków publicznych „wczasy urlopowe” do ośrodków zarządzanych przez Fundusz Wczasów Pracowniczych. FWP miał w dyspozycji pokaźny państwowy majątek: pensjonaty, ośrodki z domkami kempingowymi, hotele. Kiedy gospodarka PRL weszła w stan permanentnego kryzysu, nie było ich jak remontować i łożyć na utrzymanie. Dlatego jeszcze w PRL, w 1988 r., status prawny FWP zmieniono – stał się on </w:t>
      </w:r>
      <w:r w:rsidRPr="00EC250C">
        <w:lastRenderedPageBreak/>
        <w:t xml:space="preserve">„samodzielną jednostką organizacyjną ogólnokrajowej organizacji międzyzwiązkowej”. Zyskując osobowość prawną, mógł rozporządzać majątkiem. Majątku tego nie dostały jednak działające w PRL </w:t>
      </w:r>
      <w:r w:rsidR="00636E25" w:rsidRPr="00EC250C">
        <w:t>legalne związki zawodowe - OPZZ (</w:t>
      </w:r>
      <w:r w:rsidRPr="00EC250C">
        <w:t xml:space="preserve">„Solidarność” działała </w:t>
      </w:r>
      <w:r w:rsidR="00636E25" w:rsidRPr="00EC250C">
        <w:t xml:space="preserve">wtedy </w:t>
      </w:r>
      <w:r w:rsidRPr="00EC250C">
        <w:t>w podziemiu</w:t>
      </w:r>
      <w:r w:rsidR="00636E25" w:rsidRPr="00EC250C">
        <w:t>)</w:t>
      </w:r>
      <w:r w:rsidRPr="00EC250C">
        <w:t xml:space="preserve">, </w:t>
      </w:r>
    </w:p>
    <w:p w14:paraId="3D6FE7F3" w14:textId="77777777" w:rsidR="000E1610" w:rsidRPr="00EC250C" w:rsidRDefault="00636E25" w:rsidP="00D131FA">
      <w:pPr>
        <w:pStyle w:val="Styl1"/>
      </w:pPr>
      <w:r w:rsidRPr="00EC250C">
        <w:t>D</w:t>
      </w:r>
      <w:r w:rsidR="000E1610" w:rsidRPr="00EC250C">
        <w:t>opiero w 1997 r. (pod koniec rządów SLD-PSL)</w:t>
      </w:r>
      <w:r w:rsidRPr="00EC250C">
        <w:t xml:space="preserve"> </w:t>
      </w:r>
      <w:r w:rsidR="000E1610" w:rsidRPr="00EC250C">
        <w:t>nowelizacj</w:t>
      </w:r>
      <w:r w:rsidRPr="00EC250C">
        <w:t>a</w:t>
      </w:r>
      <w:r w:rsidR="000E1610" w:rsidRPr="00EC250C">
        <w:t xml:space="preserve"> ustawy o związkach zawodowych pozwoliła FWP przekazać majątek do spółki stworzonej właśnie przez OPZZ (z pominięciem „Solidarności”).</w:t>
      </w:r>
    </w:p>
    <w:p w14:paraId="09223B69" w14:textId="77777777" w:rsidR="000E1610" w:rsidRPr="00EC250C" w:rsidRDefault="000E1610" w:rsidP="00D131FA">
      <w:pPr>
        <w:pStyle w:val="Styl1"/>
      </w:pPr>
      <w:r w:rsidRPr="00EC250C">
        <w:t>Rok później Trybunał Konstytucyjny uznał to rozwiązanie za sprzeczne z Konstytucją</w:t>
      </w:r>
      <w:r w:rsidRPr="00EC250C">
        <w:rPr>
          <w:rStyle w:val="Odwoanieprzypisudolnego"/>
        </w:rPr>
        <w:footnoteReference w:id="427"/>
      </w:r>
      <w:r w:rsidRPr="00EC250C">
        <w:t>. Tyle że kolejne rządy – reprezentujące całą scenę polityczną w Polsce – tego wyroku nie wykonały.</w:t>
      </w:r>
    </w:p>
    <w:p w14:paraId="014DCE5D" w14:textId="77777777" w:rsidR="000E1610" w:rsidRPr="00EC250C" w:rsidRDefault="000E1610" w:rsidP="00D131FA">
      <w:pPr>
        <w:pStyle w:val="Styl1"/>
      </w:pPr>
      <w:r w:rsidRPr="00EC250C">
        <w:t>Przez 17 lat spółka OPZZ sprzedawała nieruchomości (przy czym od 1997 r. do wyroku TK robiła to bezsprzecznie legalnie), tłumacząc to np. ich zbędnością czy złym stanem technicznym. Według NIK zbyciu uległo w tym czasie 65% gruntów w dyspozycji FWP, w tym 85% obiektów hotelowych. Nowi właściciele inwestowali w te ośrodki, remontowali je, odsprzedawali.</w:t>
      </w:r>
    </w:p>
    <w:p w14:paraId="20F28780" w14:textId="77777777" w:rsidR="000E1610" w:rsidRPr="00EC250C" w:rsidRDefault="000E1610" w:rsidP="00D131FA">
      <w:pPr>
        <w:pStyle w:val="Styl1"/>
      </w:pPr>
      <w:r w:rsidRPr="00EC250C">
        <w:t>W 2015 r., tuż przed wyborami, wyrok TK z 1997 r. został w końcu wykonany</w:t>
      </w:r>
      <w:r w:rsidRPr="00EC250C">
        <w:rPr>
          <w:rStyle w:val="Odwoanieprzypisudolnego"/>
        </w:rPr>
        <w:footnoteReference w:id="428"/>
      </w:r>
      <w:r w:rsidRPr="00EC250C">
        <w:t>. Żeby zaspokoić zasadne roszczenia organizacji związkowych, ustawa uznała za majątek FWP wszystko to, co do Funduszu należało 31 sierpnia 1997 r. Było to więc automatyczne cofnięcie stanu prawnego nieruchomości o blisko 18 lat – niezależnie od tego, czyją obecnie są one własnością. Skutek ten dotyczy ok. 250 obiektów hotelowych i nieruchomości o łącznej powierzchni ok. 420 tys. m</w:t>
      </w:r>
      <w:r w:rsidRPr="00EC250C">
        <w:rPr>
          <w:bdr w:val="none" w:sz="0" w:space="0" w:color="auto" w:frame="1"/>
          <w:vertAlign w:val="superscript"/>
        </w:rPr>
        <w:t>2</w:t>
      </w:r>
      <w:r w:rsidRPr="00EC250C">
        <w:t>.</w:t>
      </w:r>
    </w:p>
    <w:p w14:paraId="1344F872" w14:textId="77777777" w:rsidR="000E1610" w:rsidRPr="00EC250C" w:rsidRDefault="000E1610" w:rsidP="00D131FA">
      <w:pPr>
        <w:pStyle w:val="Styl1"/>
      </w:pPr>
      <w:r w:rsidRPr="00EC250C">
        <w:t>Ci, którzy obecnie zarządzają tym majątkiem, mogą się teraz domagać rekompensat, ale w ograniczonym zakresie. Osoby trzecie nie mogą też zgłosić żadnych roszczeń przeciwko Skarbowi Państwa, mimo że to państwo doprowadziło do sytuacji, iż sprzedaż obiektów była możliwa.</w:t>
      </w:r>
    </w:p>
    <w:p w14:paraId="57FBDC35" w14:textId="77777777" w:rsidR="00C91F6E" w:rsidRPr="00EC250C" w:rsidRDefault="00187708" w:rsidP="00D131FA">
      <w:pPr>
        <w:pStyle w:val="Styl1"/>
      </w:pPr>
      <w:r w:rsidRPr="00EC250C">
        <w:t>W 2018</w:t>
      </w:r>
      <w:r w:rsidR="00C91F6E" w:rsidRPr="00EC250C">
        <w:t> r.</w:t>
      </w:r>
      <w:r w:rsidRPr="00EC250C">
        <w:t xml:space="preserve"> wszczynane by</w:t>
      </w:r>
      <w:r w:rsidRPr="00EC250C">
        <w:rPr>
          <w:rFonts w:hint="eastAsia"/>
        </w:rPr>
        <w:t>ł</w:t>
      </w:r>
      <w:r w:rsidRPr="00EC250C">
        <w:t>y post</w:t>
      </w:r>
      <w:r w:rsidRPr="00EC250C">
        <w:rPr>
          <w:rFonts w:hint="eastAsia"/>
        </w:rPr>
        <w:t>ę</w:t>
      </w:r>
      <w:r w:rsidRPr="00EC250C">
        <w:t>powania s</w:t>
      </w:r>
      <w:r w:rsidRPr="00EC250C">
        <w:rPr>
          <w:rFonts w:hint="eastAsia"/>
        </w:rPr>
        <w:t>ą</w:t>
      </w:r>
      <w:r w:rsidRPr="00EC250C">
        <w:t>dowe, kt</w:t>
      </w:r>
      <w:r w:rsidRPr="00EC250C">
        <w:rPr>
          <w:rFonts w:hint="eastAsia"/>
        </w:rPr>
        <w:t>ó</w:t>
      </w:r>
      <w:r w:rsidRPr="00EC250C">
        <w:t>rych wynik wydaje si</w:t>
      </w:r>
      <w:r w:rsidRPr="00EC250C">
        <w:rPr>
          <w:rFonts w:hint="eastAsia"/>
        </w:rPr>
        <w:t>ę</w:t>
      </w:r>
      <w:r w:rsidRPr="00EC250C">
        <w:t xml:space="preserve"> przes</w:t>
      </w:r>
      <w:r w:rsidRPr="00EC250C">
        <w:rPr>
          <w:rFonts w:hint="eastAsia"/>
        </w:rPr>
        <w:t>ą</w:t>
      </w:r>
      <w:r w:rsidRPr="00EC250C">
        <w:t>dzony</w:t>
      </w:r>
      <w:r w:rsidR="00026572" w:rsidRPr="00EC250C">
        <w:t xml:space="preserve"> – </w:t>
      </w:r>
      <w:r w:rsidRPr="00EC250C">
        <w:t>w</w:t>
      </w:r>
      <w:r w:rsidRPr="00EC250C">
        <w:rPr>
          <w:rFonts w:hint="eastAsia"/>
        </w:rPr>
        <w:t>ł</w:t>
      </w:r>
      <w:r w:rsidRPr="00EC250C">
        <w:t>asno</w:t>
      </w:r>
      <w:r w:rsidRPr="00EC250C">
        <w:rPr>
          <w:rFonts w:hint="eastAsia"/>
        </w:rPr>
        <w:t>ść</w:t>
      </w:r>
      <w:r w:rsidRPr="00EC250C">
        <w:t xml:space="preserve"> najprawdopodobniej strac</w:t>
      </w:r>
      <w:r w:rsidRPr="00EC250C">
        <w:rPr>
          <w:rFonts w:hint="eastAsia"/>
        </w:rPr>
        <w:t>ą</w:t>
      </w:r>
      <w:r w:rsidRPr="00EC250C">
        <w:t xml:space="preserve"> nawet ci, kt</w:t>
      </w:r>
      <w:r w:rsidRPr="00EC250C">
        <w:rPr>
          <w:rFonts w:hint="eastAsia"/>
        </w:rPr>
        <w:t>ó</w:t>
      </w:r>
      <w:r w:rsidRPr="00EC250C">
        <w:t>rzy nabyli mienie FWP</w:t>
      </w:r>
      <w:r w:rsidR="00992FD0" w:rsidRPr="00EC250C">
        <w:t xml:space="preserve"> w </w:t>
      </w:r>
      <w:r w:rsidRPr="00EC250C">
        <w:t>dobrej wierze.</w:t>
      </w:r>
    </w:p>
    <w:p w14:paraId="743BB494" w14:textId="77777777" w:rsidR="00187708" w:rsidRPr="00EC250C" w:rsidRDefault="00187708" w:rsidP="00D131FA">
      <w:pPr>
        <w:pStyle w:val="Styl1"/>
      </w:pPr>
      <w:r w:rsidRPr="00EC250C">
        <w:t>4 czerwca 2018</w:t>
      </w:r>
      <w:r w:rsidR="00C91F6E" w:rsidRPr="00EC250C">
        <w:t> r.</w:t>
      </w:r>
      <w:r w:rsidRPr="00EC250C">
        <w:t xml:space="preserve"> RPO zwrócił się </w:t>
      </w:r>
      <w:r w:rsidR="00835440" w:rsidRPr="00EC250C">
        <w:t xml:space="preserve">więc </w:t>
      </w:r>
      <w:r w:rsidRPr="00EC250C">
        <w:t>do premiera</w:t>
      </w:r>
      <w:r w:rsidR="00992FD0" w:rsidRPr="00EC250C">
        <w:t xml:space="preserve"> o </w:t>
      </w:r>
      <w:r w:rsidR="00835440" w:rsidRPr="00EC250C">
        <w:t xml:space="preserve">doprowadzenie do </w:t>
      </w:r>
      <w:r w:rsidRPr="00EC250C">
        <w:t>pilnej nowelizacji ustawy</w:t>
      </w:r>
      <w:r w:rsidR="00992FD0" w:rsidRPr="00EC250C">
        <w:t xml:space="preserve"> o </w:t>
      </w:r>
      <w:r w:rsidRPr="00EC250C">
        <w:t>uprawnieniach do mienia Funduszu Wczasów Pracowniczych, bo</w:t>
      </w:r>
      <w:r w:rsidR="00CC4D88" w:rsidRPr="00EC250C">
        <w:t xml:space="preserve"> </w:t>
      </w:r>
      <w:r w:rsidRPr="00EC250C">
        <w:t>naruszają one konstytucyjne prawa obywateli do własności</w:t>
      </w:r>
      <w:r w:rsidR="00992FD0" w:rsidRPr="00EC250C">
        <w:t xml:space="preserve"> i </w:t>
      </w:r>
      <w:r w:rsidRPr="00EC250C">
        <w:t>praw majątkowych. Problem wziął się m.in. stąd, że ustawa ta została przyjęta dopiero</w:t>
      </w:r>
      <w:r w:rsidR="00992FD0" w:rsidRPr="00EC250C">
        <w:t xml:space="preserve"> w </w:t>
      </w:r>
      <w:r w:rsidRPr="00EC250C">
        <w:t>17 lat po wyroku Trybunału Konstytucyjnego</w:t>
      </w:r>
      <w:r w:rsidR="00992FD0" w:rsidRPr="00EC250C">
        <w:t xml:space="preserve"> w </w:t>
      </w:r>
      <w:r w:rsidRPr="00EC250C">
        <w:t>sprawie majątku FWP. A majątek ten był przez ten czas sprzedawany.</w:t>
      </w:r>
      <w:r w:rsidR="00026572" w:rsidRPr="00EC250C">
        <w:t xml:space="preserve"> – </w:t>
      </w:r>
      <w:r w:rsidRPr="00EC250C">
        <w:rPr>
          <w:rFonts w:eastAsiaTheme="majorEastAsia"/>
        </w:rPr>
        <w:t>Pa</w:t>
      </w:r>
      <w:r w:rsidRPr="00EC250C">
        <w:rPr>
          <w:rFonts w:eastAsiaTheme="majorEastAsia" w:hint="eastAsia"/>
        </w:rPr>
        <w:t>ń</w:t>
      </w:r>
      <w:r w:rsidRPr="00EC250C">
        <w:rPr>
          <w:rFonts w:eastAsiaTheme="majorEastAsia"/>
        </w:rPr>
        <w:t>stwo nie mo</w:t>
      </w:r>
      <w:r w:rsidRPr="00EC250C">
        <w:rPr>
          <w:rFonts w:eastAsiaTheme="majorEastAsia" w:hint="eastAsia"/>
        </w:rPr>
        <w:t>ż</w:t>
      </w:r>
      <w:r w:rsidRPr="00EC250C">
        <w:rPr>
          <w:rFonts w:eastAsiaTheme="majorEastAsia"/>
        </w:rPr>
        <w:t>e konsekwencji swoich b</w:t>
      </w:r>
      <w:r w:rsidRPr="00EC250C">
        <w:rPr>
          <w:rFonts w:eastAsiaTheme="majorEastAsia" w:hint="eastAsia"/>
        </w:rPr>
        <w:t>łę</w:t>
      </w:r>
      <w:r w:rsidRPr="00EC250C">
        <w:rPr>
          <w:rFonts w:eastAsiaTheme="majorEastAsia"/>
        </w:rPr>
        <w:t>d</w:t>
      </w:r>
      <w:r w:rsidRPr="00EC250C">
        <w:rPr>
          <w:rFonts w:eastAsiaTheme="majorEastAsia" w:hint="eastAsia"/>
        </w:rPr>
        <w:t>ó</w:t>
      </w:r>
      <w:r w:rsidRPr="00EC250C">
        <w:rPr>
          <w:rFonts w:eastAsiaTheme="majorEastAsia"/>
        </w:rPr>
        <w:t>w</w:t>
      </w:r>
      <w:r w:rsidR="00992FD0" w:rsidRPr="00EC250C">
        <w:rPr>
          <w:rFonts w:eastAsiaTheme="majorEastAsia"/>
        </w:rPr>
        <w:t xml:space="preserve"> i </w:t>
      </w:r>
      <w:r w:rsidRPr="00EC250C">
        <w:rPr>
          <w:rFonts w:eastAsiaTheme="majorEastAsia"/>
        </w:rPr>
        <w:t>zaniecha</w:t>
      </w:r>
      <w:r w:rsidRPr="00EC250C">
        <w:rPr>
          <w:rFonts w:eastAsiaTheme="majorEastAsia" w:hint="eastAsia"/>
        </w:rPr>
        <w:t>ń</w:t>
      </w:r>
      <w:r w:rsidRPr="00EC250C">
        <w:rPr>
          <w:rFonts w:eastAsiaTheme="majorEastAsia"/>
        </w:rPr>
        <w:t xml:space="preserve"> przerzuca</w:t>
      </w:r>
      <w:r w:rsidRPr="00EC250C">
        <w:rPr>
          <w:rFonts w:eastAsiaTheme="majorEastAsia" w:hint="eastAsia"/>
        </w:rPr>
        <w:t>ć</w:t>
      </w:r>
      <w:r w:rsidRPr="00EC250C">
        <w:rPr>
          <w:rFonts w:eastAsiaTheme="majorEastAsia"/>
        </w:rPr>
        <w:t xml:space="preserve"> na obywateli</w:t>
      </w:r>
      <w:r w:rsidR="00835440" w:rsidRPr="00EC250C">
        <w:rPr>
          <w:rFonts w:eastAsiaTheme="majorEastAsia"/>
        </w:rPr>
        <w:t xml:space="preserve"> </w:t>
      </w:r>
      <w:r w:rsidRPr="00EC250C">
        <w:t xml:space="preserve">– wskazywał </w:t>
      </w:r>
      <w:r w:rsidR="00B04745" w:rsidRPr="00EC250C">
        <w:t>RPO</w:t>
      </w:r>
      <w:r w:rsidRPr="00EC250C">
        <w:t>.</w:t>
      </w:r>
    </w:p>
    <w:p w14:paraId="318B99B0" w14:textId="77777777" w:rsidR="00187708" w:rsidRPr="00EC250C" w:rsidRDefault="00187708" w:rsidP="00D131FA">
      <w:pPr>
        <w:pStyle w:val="Styl1"/>
      </w:pPr>
      <w:r w:rsidRPr="00EC250C">
        <w:t xml:space="preserve">Rzecznik </w:t>
      </w:r>
      <w:r w:rsidR="00B04745" w:rsidRPr="00EC250C">
        <w:t xml:space="preserve">Praw Obywatelskich </w:t>
      </w:r>
      <w:r w:rsidRPr="00EC250C">
        <w:t>nie dostał odpowiedzi, więc pytanie ponowił we wrześniu.</w:t>
      </w:r>
    </w:p>
    <w:p w14:paraId="5393BB98" w14:textId="77777777" w:rsidR="00C91F6E" w:rsidRPr="00EC250C" w:rsidRDefault="00187708" w:rsidP="00D131FA">
      <w:pPr>
        <w:pStyle w:val="Styl1"/>
        <w:rPr>
          <w:bCs/>
          <w:iCs/>
        </w:rPr>
      </w:pPr>
      <w:r w:rsidRPr="00EC250C">
        <w:t xml:space="preserve">Zdaniem </w:t>
      </w:r>
      <w:r w:rsidRPr="00EC250C">
        <w:rPr>
          <w:bCs/>
          <w:iCs/>
        </w:rPr>
        <w:t>Szefa Kancelarii Prezesa Rady Ministrów</w:t>
      </w:r>
      <w:r w:rsidR="007B3337" w:rsidRPr="00EC250C">
        <w:rPr>
          <w:rStyle w:val="Odwoanieprzypisudolnego"/>
          <w:bCs/>
          <w:iCs/>
        </w:rPr>
        <w:footnoteReference w:id="429"/>
      </w:r>
      <w:r w:rsidRPr="00EC250C">
        <w:rPr>
          <w:bCs/>
          <w:iCs/>
        </w:rPr>
        <w:t xml:space="preserve"> interwencja ustawodawcza jest przedwczesna: sądy mogą bowiem stosować prokonstytucyjną wykładnię</w:t>
      </w:r>
      <w:r w:rsidR="00E739A6" w:rsidRPr="00EC250C">
        <w:rPr>
          <w:bCs/>
          <w:iCs/>
        </w:rPr>
        <w:t xml:space="preserve"> </w:t>
      </w:r>
      <w:r w:rsidRPr="00EC250C">
        <w:rPr>
          <w:bCs/>
          <w:iCs/>
        </w:rPr>
        <w:t>ustawy</w:t>
      </w:r>
      <w:r w:rsidR="00992FD0" w:rsidRPr="00EC250C">
        <w:rPr>
          <w:bCs/>
          <w:iCs/>
        </w:rPr>
        <w:t xml:space="preserve"> o </w:t>
      </w:r>
      <w:r w:rsidRPr="00EC250C">
        <w:rPr>
          <w:bCs/>
          <w:iCs/>
        </w:rPr>
        <w:t xml:space="preserve">FWP (art. 4 ust. </w:t>
      </w:r>
      <w:r w:rsidRPr="00EC250C">
        <w:rPr>
          <w:bCs/>
          <w:iCs/>
        </w:rPr>
        <w:lastRenderedPageBreak/>
        <w:t>1 pkt 1), że celem ustawodawcy nie było „wywłaszczenie” nabywców,</w:t>
      </w:r>
      <w:r w:rsidR="00992FD0" w:rsidRPr="00EC250C">
        <w:rPr>
          <w:bCs/>
          <w:iCs/>
        </w:rPr>
        <w:t xml:space="preserve"> a </w:t>
      </w:r>
      <w:r w:rsidRPr="00EC250C">
        <w:rPr>
          <w:bCs/>
          <w:iCs/>
        </w:rPr>
        <w:t>jedynie wskazanie momentu, od którego organizacjom związkowym przysługują prawa roszczenia . Za taką interpretacją przemawia również to, że adresatem roszczeń nie są osoby trzecie,</w:t>
      </w:r>
      <w:r w:rsidR="00992FD0" w:rsidRPr="00EC250C">
        <w:rPr>
          <w:bCs/>
          <w:iCs/>
        </w:rPr>
        <w:t xml:space="preserve"> a </w:t>
      </w:r>
      <w:r w:rsidRPr="00EC250C">
        <w:rPr>
          <w:bCs/>
          <w:iCs/>
        </w:rPr>
        <w:t>wyłącznie podmioty wykonujące prawa</w:t>
      </w:r>
      <w:r w:rsidR="00992FD0" w:rsidRPr="00EC250C">
        <w:rPr>
          <w:bCs/>
          <w:iCs/>
        </w:rPr>
        <w:t xml:space="preserve"> z </w:t>
      </w:r>
      <w:r w:rsidRPr="00EC250C">
        <w:rPr>
          <w:bCs/>
          <w:iCs/>
        </w:rPr>
        <w:t>udziałów</w:t>
      </w:r>
      <w:r w:rsidR="00992FD0" w:rsidRPr="00EC250C">
        <w:rPr>
          <w:bCs/>
          <w:iCs/>
        </w:rPr>
        <w:t xml:space="preserve"> w </w:t>
      </w:r>
      <w:r w:rsidRPr="00EC250C">
        <w:rPr>
          <w:bCs/>
          <w:iCs/>
        </w:rPr>
        <w:t>spółce.</w:t>
      </w:r>
    </w:p>
    <w:p w14:paraId="65909B12" w14:textId="77777777" w:rsidR="00C91F6E" w:rsidRPr="00EC250C" w:rsidRDefault="00187708" w:rsidP="00EC79EB">
      <w:pPr>
        <w:pStyle w:val="Nagwek4"/>
      </w:pPr>
      <w:bookmarkStart w:id="426" w:name="_Toc6257832"/>
      <w:bookmarkStart w:id="427" w:name="_Toc11247707"/>
      <w:r w:rsidRPr="00EC250C">
        <w:t>P</w:t>
      </w:r>
      <w:r w:rsidRPr="00EC250C">
        <w:rPr>
          <w:rFonts w:hint="eastAsia"/>
        </w:rPr>
        <w:t>rocedur</w:t>
      </w:r>
      <w:r w:rsidRPr="00EC250C">
        <w:t>a</w:t>
      </w:r>
      <w:r w:rsidRPr="00EC250C">
        <w:rPr>
          <w:rFonts w:hint="eastAsia"/>
        </w:rPr>
        <w:t xml:space="preserve"> wpis</w:t>
      </w:r>
      <w:r w:rsidRPr="00EC250C">
        <w:t>ywania budynku</w:t>
      </w:r>
      <w:r w:rsidRPr="00EC250C">
        <w:rPr>
          <w:rFonts w:hint="eastAsia"/>
        </w:rPr>
        <w:t xml:space="preserve"> do gminnej ewidencji zabytk</w:t>
      </w:r>
      <w:r w:rsidRPr="00EC250C">
        <w:t>ó</w:t>
      </w:r>
      <w:r w:rsidRPr="00EC250C">
        <w:rPr>
          <w:rFonts w:hint="eastAsia"/>
        </w:rPr>
        <w:t>w</w:t>
      </w:r>
      <w:bookmarkEnd w:id="426"/>
      <w:bookmarkEnd w:id="427"/>
    </w:p>
    <w:p w14:paraId="7799EE1B" w14:textId="77777777" w:rsidR="00187708" w:rsidRPr="00EC250C" w:rsidRDefault="00187708" w:rsidP="00EC250C">
      <w:pPr>
        <w:pStyle w:val="Nagwek5"/>
      </w:pPr>
      <w:r w:rsidRPr="00EC250C">
        <w:t>Konieczność zmiany przepisów</w:t>
      </w:r>
      <w:r w:rsidR="00992FD0" w:rsidRPr="00EC250C">
        <w:t xml:space="preserve"> o </w:t>
      </w:r>
      <w:r w:rsidRPr="00EC250C">
        <w:t>wpisywaniu do ewidencji</w:t>
      </w:r>
    </w:p>
    <w:p w14:paraId="67508994" w14:textId="77777777" w:rsidR="00B473F5" w:rsidRPr="00EC250C" w:rsidRDefault="00187708" w:rsidP="00D131FA">
      <w:pPr>
        <w:pStyle w:val="Problemczowieka"/>
        <w:jc w:val="both"/>
        <w:rPr>
          <w:rStyle w:val="Pogrubienie"/>
          <w:rFonts w:eastAsiaTheme="majorEastAsia"/>
          <w:b/>
          <w:bCs w:val="0"/>
        </w:rPr>
      </w:pPr>
      <w:r w:rsidRPr="00EC250C">
        <w:rPr>
          <w:rStyle w:val="Pogrubienie"/>
          <w:rFonts w:eastAsiaTheme="majorEastAsia"/>
          <w:b/>
          <w:bCs w:val="0"/>
        </w:rPr>
        <w:t>Właściciel domu, który zostaje wpisany do gminnej ewidencji zabytków, może</w:t>
      </w:r>
      <w:r w:rsidR="00992FD0" w:rsidRPr="00EC250C">
        <w:rPr>
          <w:rStyle w:val="Pogrubienie"/>
          <w:rFonts w:eastAsiaTheme="majorEastAsia"/>
          <w:b/>
          <w:bCs w:val="0"/>
        </w:rPr>
        <w:t xml:space="preserve"> o </w:t>
      </w:r>
      <w:r w:rsidRPr="00EC250C">
        <w:rPr>
          <w:rStyle w:val="Pogrubienie"/>
          <w:rFonts w:eastAsiaTheme="majorEastAsia"/>
          <w:b/>
          <w:bCs w:val="0"/>
        </w:rPr>
        <w:t>tym się nie dowiedzieć, bo przepisy nie wymagają, by administracja informowała go</w:t>
      </w:r>
      <w:r w:rsidR="00992FD0" w:rsidRPr="00EC250C">
        <w:rPr>
          <w:rStyle w:val="Pogrubienie"/>
          <w:rFonts w:eastAsiaTheme="majorEastAsia"/>
          <w:b/>
          <w:bCs w:val="0"/>
        </w:rPr>
        <w:t xml:space="preserve"> o </w:t>
      </w:r>
      <w:r w:rsidRPr="00EC250C">
        <w:rPr>
          <w:rStyle w:val="Pogrubienie"/>
          <w:rFonts w:eastAsiaTheme="majorEastAsia"/>
          <w:b/>
          <w:bCs w:val="0"/>
        </w:rPr>
        <w:t>zmianie dotyczącej jego własności</w:t>
      </w:r>
      <w:r w:rsidR="00B473F5" w:rsidRPr="00EC250C">
        <w:rPr>
          <w:rStyle w:val="Pogrubienie"/>
          <w:rFonts w:eastAsiaTheme="majorEastAsia"/>
          <w:b/>
          <w:bCs w:val="0"/>
        </w:rPr>
        <w:t>.</w:t>
      </w:r>
    </w:p>
    <w:p w14:paraId="17BAD1B4" w14:textId="77777777" w:rsidR="00187708" w:rsidRPr="00EC250C" w:rsidRDefault="00B04745" w:rsidP="00D131FA">
      <w:pPr>
        <w:pStyle w:val="Styl1"/>
        <w:rPr>
          <w:rFonts w:ascii="Open Sans Regular" w:hAnsi="Open Sans Regular"/>
          <w:color w:val="18223E"/>
          <w:sz w:val="21"/>
        </w:rPr>
      </w:pPr>
      <w:r w:rsidRPr="00EC250C">
        <w:rPr>
          <w:rStyle w:val="Pogrubienie"/>
          <w:rFonts w:eastAsiaTheme="majorEastAsia"/>
          <w:b w:val="0"/>
          <w:bCs w:val="0"/>
        </w:rPr>
        <w:t>RPO</w:t>
      </w:r>
      <w:r w:rsidR="00187708" w:rsidRPr="00EC250C">
        <w:rPr>
          <w:rStyle w:val="Pogrubienie"/>
          <w:rFonts w:eastAsiaTheme="majorEastAsia"/>
          <w:b w:val="0"/>
          <w:bCs w:val="0"/>
        </w:rPr>
        <w:t xml:space="preserve"> zwraca uwagę na ten problem od 2012</w:t>
      </w:r>
      <w:r w:rsidR="00C91F6E" w:rsidRPr="00EC250C">
        <w:rPr>
          <w:rStyle w:val="Pogrubienie"/>
          <w:rFonts w:eastAsiaTheme="majorEastAsia"/>
          <w:b w:val="0"/>
          <w:bCs w:val="0"/>
        </w:rPr>
        <w:t> r.</w:t>
      </w:r>
      <w:r w:rsidR="00187708" w:rsidRPr="00EC250C">
        <w:rPr>
          <w:rStyle w:val="Pogrubienie"/>
          <w:rFonts w:eastAsiaTheme="majorEastAsia"/>
          <w:b w:val="0"/>
          <w:bCs w:val="0"/>
        </w:rPr>
        <w:t xml:space="preserve"> W 2018</w:t>
      </w:r>
      <w:r w:rsidR="00C91F6E" w:rsidRPr="00EC250C">
        <w:rPr>
          <w:rStyle w:val="Pogrubienie"/>
          <w:rFonts w:eastAsiaTheme="majorEastAsia"/>
          <w:b w:val="0"/>
          <w:bCs w:val="0"/>
        </w:rPr>
        <w:t> r.</w:t>
      </w:r>
      <w:r w:rsidR="00187708" w:rsidRPr="00EC250C">
        <w:rPr>
          <w:rStyle w:val="Pogrubienie"/>
          <w:rFonts w:eastAsiaTheme="majorEastAsia"/>
          <w:b w:val="0"/>
          <w:bCs w:val="0"/>
        </w:rPr>
        <w:t xml:space="preserve"> pytał </w:t>
      </w:r>
      <w:r w:rsidR="003627C6" w:rsidRPr="00EC250C">
        <w:rPr>
          <w:rStyle w:val="Pogrubienie"/>
          <w:rFonts w:eastAsiaTheme="majorEastAsia"/>
          <w:b w:val="0"/>
          <w:bCs w:val="0"/>
        </w:rPr>
        <w:t>Ministra K</w:t>
      </w:r>
      <w:r w:rsidR="00187708" w:rsidRPr="00EC250C">
        <w:rPr>
          <w:rStyle w:val="Pogrubienie"/>
          <w:rFonts w:eastAsiaTheme="majorEastAsia"/>
          <w:b w:val="0"/>
          <w:bCs w:val="0"/>
        </w:rPr>
        <w:t>ultury</w:t>
      </w:r>
      <w:r w:rsidR="003627C6" w:rsidRPr="00EC250C">
        <w:rPr>
          <w:rStyle w:val="Pogrubienie"/>
          <w:rFonts w:eastAsiaTheme="majorEastAsia"/>
          <w:b w:val="0"/>
          <w:bCs w:val="0"/>
        </w:rPr>
        <w:t xml:space="preserve"> i Dziecictwa Narodowego</w:t>
      </w:r>
      <w:r w:rsidR="00187708" w:rsidRPr="00EC250C">
        <w:rPr>
          <w:rStyle w:val="Odwoanieprzypisudolnego"/>
          <w:bCs/>
          <w:iCs/>
        </w:rPr>
        <w:footnoteReference w:id="430"/>
      </w:r>
      <w:r w:rsidR="00992FD0" w:rsidRPr="00EC250C">
        <w:rPr>
          <w:bCs/>
          <w:iCs/>
        </w:rPr>
        <w:t xml:space="preserve"> o </w:t>
      </w:r>
      <w:r w:rsidR="00187708" w:rsidRPr="00EC250C">
        <w:rPr>
          <w:rStyle w:val="Pogrubienie"/>
          <w:rFonts w:eastAsiaTheme="majorEastAsia"/>
          <w:b w:val="0"/>
          <w:bCs w:val="0"/>
        </w:rPr>
        <w:t>zapowiadane zmiany, które miały m.in. nakazywać właściwym organom zawiadamianie właściciela</w:t>
      </w:r>
      <w:r w:rsidR="00992FD0" w:rsidRPr="00EC250C">
        <w:rPr>
          <w:rStyle w:val="Pogrubienie"/>
          <w:rFonts w:eastAsiaTheme="majorEastAsia"/>
          <w:b w:val="0"/>
          <w:bCs w:val="0"/>
        </w:rPr>
        <w:t xml:space="preserve"> o </w:t>
      </w:r>
      <w:r w:rsidR="00187708" w:rsidRPr="00EC250C">
        <w:rPr>
          <w:rStyle w:val="Pogrubienie"/>
          <w:rFonts w:eastAsiaTheme="majorEastAsia"/>
          <w:b w:val="0"/>
          <w:bCs w:val="0"/>
        </w:rPr>
        <w:t>wpisie</w:t>
      </w:r>
      <w:r w:rsidR="00992FD0" w:rsidRPr="00EC250C">
        <w:rPr>
          <w:rStyle w:val="Pogrubienie"/>
          <w:rFonts w:eastAsiaTheme="majorEastAsia"/>
          <w:b w:val="0"/>
          <w:bCs w:val="0"/>
        </w:rPr>
        <w:t xml:space="preserve"> i </w:t>
      </w:r>
      <w:r w:rsidR="00187708" w:rsidRPr="00EC250C">
        <w:rPr>
          <w:rStyle w:val="Pogrubienie"/>
          <w:rFonts w:eastAsiaTheme="majorEastAsia"/>
          <w:b w:val="0"/>
          <w:bCs w:val="0"/>
        </w:rPr>
        <w:t>jego uzasadnieniu, MKiDN zapowiedział</w:t>
      </w:r>
      <w:r w:rsidR="005A142E" w:rsidRPr="00EC250C">
        <w:rPr>
          <w:rStyle w:val="Pogrubienie"/>
          <w:rFonts w:eastAsiaTheme="majorEastAsia"/>
          <w:b w:val="0"/>
          <w:bCs w:val="0"/>
        </w:rPr>
        <w:t>o</w:t>
      </w:r>
      <w:r w:rsidR="00187708" w:rsidRPr="00EC250C">
        <w:rPr>
          <w:rStyle w:val="Pogrubienie"/>
          <w:rFonts w:eastAsiaTheme="majorEastAsia"/>
          <w:b w:val="0"/>
          <w:bCs w:val="0"/>
        </w:rPr>
        <w:t xml:space="preserve"> je</w:t>
      </w:r>
      <w:r w:rsidR="00992FD0" w:rsidRPr="00EC250C">
        <w:rPr>
          <w:rStyle w:val="Pogrubienie"/>
          <w:rFonts w:eastAsiaTheme="majorEastAsia"/>
          <w:b w:val="0"/>
          <w:bCs w:val="0"/>
        </w:rPr>
        <w:t xml:space="preserve"> w </w:t>
      </w:r>
      <w:r w:rsidR="00187708" w:rsidRPr="00EC250C">
        <w:rPr>
          <w:rStyle w:val="Pogrubienie"/>
          <w:rFonts w:eastAsiaTheme="majorEastAsia"/>
          <w:b w:val="0"/>
          <w:bCs w:val="0"/>
        </w:rPr>
        <w:t>listopadzie 2017</w:t>
      </w:r>
      <w:r w:rsidR="00C91F6E" w:rsidRPr="00EC250C">
        <w:rPr>
          <w:rStyle w:val="Pogrubienie"/>
          <w:rFonts w:eastAsiaTheme="majorEastAsia"/>
          <w:b w:val="0"/>
          <w:bCs w:val="0"/>
        </w:rPr>
        <w:t> r.</w:t>
      </w:r>
    </w:p>
    <w:p w14:paraId="750B9F2F" w14:textId="77777777" w:rsidR="00C91F6E" w:rsidRPr="00EC250C" w:rsidRDefault="00187708" w:rsidP="00D131FA">
      <w:pPr>
        <w:pStyle w:val="Styl1"/>
        <w:ind w:firstLine="0"/>
      </w:pPr>
      <w:r w:rsidRPr="00EC250C">
        <w:t>Minister poinformował, że nowelizacja rozporządzenia Ministra Kultury</w:t>
      </w:r>
      <w:r w:rsidR="00992FD0" w:rsidRPr="00EC250C">
        <w:t xml:space="preserve"> i </w:t>
      </w:r>
      <w:r w:rsidRPr="00EC250C">
        <w:t>Dziedzictwa Narodowego</w:t>
      </w:r>
      <w:r w:rsidR="00992FD0" w:rsidRPr="00EC250C">
        <w:t xml:space="preserve"> w </w:t>
      </w:r>
      <w:r w:rsidRPr="00EC250C">
        <w:t>sprawie prowadzenia rejestru zabytków</w:t>
      </w:r>
      <w:r w:rsidR="00E00415" w:rsidRPr="00EC250C">
        <w:rPr>
          <w:rStyle w:val="Odwoanieprzypisudolnego"/>
        </w:rPr>
        <w:footnoteReference w:id="431"/>
      </w:r>
      <w:r w:rsidRPr="00EC250C">
        <w:t xml:space="preserve"> została ujęta</w:t>
      </w:r>
      <w:r w:rsidR="00992FD0" w:rsidRPr="00EC250C">
        <w:t xml:space="preserve"> w </w:t>
      </w:r>
      <w:r w:rsidRPr="00EC250C">
        <w:t>wykazie prac legislacyjnych</w:t>
      </w:r>
      <w:r w:rsidR="005A142E" w:rsidRPr="00EC250C">
        <w:t>,</w:t>
      </w:r>
      <w:r w:rsidR="00992FD0" w:rsidRPr="00EC250C">
        <w:t xml:space="preserve"> a </w:t>
      </w:r>
      <w:r w:rsidRPr="00EC250C">
        <w:t>projekt jest opracowywany.</w:t>
      </w:r>
    </w:p>
    <w:p w14:paraId="59E6C223" w14:textId="77777777" w:rsidR="00187708" w:rsidRPr="00EC250C" w:rsidRDefault="00187708" w:rsidP="00D131FA">
      <w:pPr>
        <w:pStyle w:val="Styl1"/>
        <w:rPr>
          <w:bCs/>
          <w:iCs/>
        </w:rPr>
      </w:pPr>
      <w:r w:rsidRPr="00EC250C">
        <w:rPr>
          <w:bCs/>
          <w:iCs/>
        </w:rPr>
        <w:t xml:space="preserve">Ponieważ zapowiadane zmiany legislacyjne do tej pory nie zostały wprowadzone, </w:t>
      </w:r>
      <w:r w:rsidR="00B04745" w:rsidRPr="00EC250C">
        <w:rPr>
          <w:bCs/>
          <w:iCs/>
        </w:rPr>
        <w:t xml:space="preserve">RPO </w:t>
      </w:r>
      <w:r w:rsidRPr="00EC250C">
        <w:rPr>
          <w:bCs/>
          <w:iCs/>
        </w:rPr>
        <w:t>kontynu</w:t>
      </w:r>
      <w:r w:rsidR="00B04745" w:rsidRPr="00EC250C">
        <w:rPr>
          <w:bCs/>
          <w:iCs/>
        </w:rPr>
        <w:t>uje</w:t>
      </w:r>
      <w:r w:rsidRPr="00EC250C">
        <w:rPr>
          <w:bCs/>
          <w:iCs/>
        </w:rPr>
        <w:t xml:space="preserve"> działania. Problem ten jest przedmiotem postępowania przed Trybunałem Konstytucyjnym,</w:t>
      </w:r>
      <w:r w:rsidR="00992FD0" w:rsidRPr="00EC250C">
        <w:rPr>
          <w:bCs/>
          <w:iCs/>
        </w:rPr>
        <w:t xml:space="preserve"> w </w:t>
      </w:r>
      <w:r w:rsidRPr="00EC250C">
        <w:rPr>
          <w:bCs/>
          <w:iCs/>
        </w:rPr>
        <w:t>którym Rzecznik zgłosił udział</w:t>
      </w:r>
      <w:r w:rsidRPr="00EC250C">
        <w:rPr>
          <w:rStyle w:val="Odwoanieprzypisudolnego"/>
          <w:bCs/>
          <w:iCs/>
        </w:rPr>
        <w:footnoteReference w:id="432"/>
      </w:r>
      <w:r w:rsidR="006E38D7" w:rsidRPr="00EC250C">
        <w:t xml:space="preserve"> (P 12/18 – patrz niżej)</w:t>
      </w:r>
      <w:r w:rsidRPr="00EC250C">
        <w:rPr>
          <w:bCs/>
          <w:iCs/>
        </w:rPr>
        <w:t>.</w:t>
      </w:r>
    </w:p>
    <w:p w14:paraId="04B2A07F" w14:textId="77777777" w:rsidR="00187708" w:rsidRPr="00EC250C" w:rsidRDefault="00187708" w:rsidP="00EC250C">
      <w:pPr>
        <w:pStyle w:val="Nagwek5"/>
      </w:pPr>
      <w:r w:rsidRPr="00EC250C">
        <w:t>W ochronie praw właścicieli zabytków. RPO przyłączył się do pytania prawnego do Trybunału Konstytucyjnego</w:t>
      </w:r>
    </w:p>
    <w:p w14:paraId="53C3CB34" w14:textId="77777777" w:rsidR="006E38D7" w:rsidRPr="00EC250C" w:rsidRDefault="006E38D7" w:rsidP="00D131FA">
      <w:pPr>
        <w:pStyle w:val="Styl1"/>
      </w:pPr>
      <w:r w:rsidRPr="00EC250C">
        <w:t>13 czerwca 2018 r. NSA skierował do Trybunału Konstytucyjnego pytanie prawne. Zakwestionował w nim konstytucyjność ustawy o ochronie zabytków (art. 22 ust. 5 pkt 3) – Chodzi o to, jak ogranicza ona prawo własności nieruchomości dopuszczając do ujęcia nieruchomości w gminnej ewidencji jako zabytku nieruchomego nie dając właścicielowi ochrony prawnej.</w:t>
      </w:r>
    </w:p>
    <w:p w14:paraId="19576408" w14:textId="77777777" w:rsidR="006E38D7" w:rsidRPr="00EC250C" w:rsidRDefault="006E38D7" w:rsidP="00D131FA">
      <w:pPr>
        <w:pStyle w:val="Styl1"/>
      </w:pPr>
      <w:r w:rsidRPr="00EC250C">
        <w:t>Rzecznik Praw Obywatelskich przyłączył się do tego postępowania</w:t>
      </w:r>
      <w:r w:rsidRPr="00EC250C">
        <w:rPr>
          <w:rStyle w:val="Odwoanieprzypisudolnego"/>
          <w:bCs/>
          <w:iCs/>
        </w:rPr>
        <w:footnoteReference w:id="433"/>
      </w:r>
      <w:r w:rsidRPr="00EC250C">
        <w:t>, akcentując, że problem sformułowany przez NSA dokładnie odpowiada temu co Rzecznik przedstawiał w swoich wystąpieniach.</w:t>
      </w:r>
    </w:p>
    <w:p w14:paraId="48A54E17" w14:textId="77777777" w:rsidR="00C91F6E" w:rsidRPr="00EC250C" w:rsidRDefault="00187708" w:rsidP="00D131FA">
      <w:pPr>
        <w:pStyle w:val="Styl1"/>
      </w:pPr>
      <w:r w:rsidRPr="00EC250C">
        <w:lastRenderedPageBreak/>
        <w:t>W listopadzie 2016</w:t>
      </w:r>
      <w:r w:rsidR="00C91F6E" w:rsidRPr="00EC250C">
        <w:t> r.</w:t>
      </w:r>
      <w:r w:rsidRPr="00EC250C">
        <w:t xml:space="preserve"> TK umorzył postępowanie</w:t>
      </w:r>
      <w:r w:rsidR="00992FD0" w:rsidRPr="00EC250C">
        <w:t xml:space="preserve"> w </w:t>
      </w:r>
      <w:r w:rsidRPr="00EC250C">
        <w:t>podobnej sprawie ze skargi konstytucyjnej, do którego przystąpił RPO (SK 3/15). Uznano, że skarżąca nie powołała adekwatnych wzorców konstytucyjnych.</w:t>
      </w:r>
    </w:p>
    <w:p w14:paraId="08B19144" w14:textId="77777777" w:rsidR="00187708" w:rsidRPr="00EC250C" w:rsidRDefault="00187708" w:rsidP="00EC79EB">
      <w:pPr>
        <w:pStyle w:val="Nagwek4"/>
        <w:rPr>
          <w:rStyle w:val="Pogrubienie"/>
          <w:b/>
        </w:rPr>
      </w:pPr>
      <w:bookmarkStart w:id="428" w:name="_Toc6257833"/>
      <w:bookmarkStart w:id="429" w:name="_Toc11247708"/>
      <w:r w:rsidRPr="00EC250C">
        <w:rPr>
          <w:rStyle w:val="Pogrubienie"/>
          <w:b/>
          <w:bCs w:val="0"/>
        </w:rPr>
        <w:t>Problem</w:t>
      </w:r>
      <w:r w:rsidR="00992FD0" w:rsidRPr="00EC250C">
        <w:rPr>
          <w:rStyle w:val="Pogrubienie"/>
          <w:b/>
          <w:bCs w:val="0"/>
        </w:rPr>
        <w:t xml:space="preserve"> z </w:t>
      </w:r>
      <w:r w:rsidR="00751B00" w:rsidRPr="00EC250C">
        <w:rPr>
          <w:rStyle w:val="Pogrubienie"/>
          <w:b/>
          <w:bCs w:val="0"/>
        </w:rPr>
        <w:t>odwołaniem się od decyzji podjętej na mocy</w:t>
      </w:r>
      <w:r w:rsidRPr="00EC250C">
        <w:rPr>
          <w:rStyle w:val="Pogrubienie"/>
          <w:b/>
          <w:bCs w:val="0"/>
        </w:rPr>
        <w:t xml:space="preserve"> ustawy uwłaszczeniowej</w:t>
      </w:r>
      <w:r w:rsidR="00992FD0" w:rsidRPr="00EC250C">
        <w:rPr>
          <w:rStyle w:val="Pogrubienie"/>
          <w:b/>
          <w:bCs w:val="0"/>
        </w:rPr>
        <w:t xml:space="preserve"> z </w:t>
      </w:r>
      <w:r w:rsidRPr="00EC250C">
        <w:rPr>
          <w:rStyle w:val="Pogrubienie"/>
          <w:b/>
          <w:bCs w:val="0"/>
        </w:rPr>
        <w:t>1971</w:t>
      </w:r>
      <w:r w:rsidR="00C91F6E" w:rsidRPr="00EC250C">
        <w:rPr>
          <w:rStyle w:val="Pogrubienie"/>
          <w:b/>
          <w:bCs w:val="0"/>
        </w:rPr>
        <w:t> r.</w:t>
      </w:r>
      <w:bookmarkEnd w:id="428"/>
      <w:bookmarkEnd w:id="429"/>
    </w:p>
    <w:p w14:paraId="1F1E8711" w14:textId="77777777" w:rsidR="00B473F5" w:rsidRPr="00EC250C" w:rsidRDefault="00187708" w:rsidP="00D131FA">
      <w:pPr>
        <w:pStyle w:val="Problemczowieka"/>
        <w:jc w:val="both"/>
        <w:rPr>
          <w:rStyle w:val="Pogrubienie"/>
          <w:b/>
          <w:bCs w:val="0"/>
        </w:rPr>
      </w:pPr>
      <w:r w:rsidRPr="00EC250C">
        <w:rPr>
          <w:rStyle w:val="Pogrubienie"/>
          <w:b/>
          <w:bCs w:val="0"/>
        </w:rPr>
        <w:t>Obywatele nie mogą kwestionować decyzji</w:t>
      </w:r>
      <w:r w:rsidR="00992FD0" w:rsidRPr="00EC250C">
        <w:rPr>
          <w:rStyle w:val="Pogrubienie"/>
          <w:b/>
          <w:bCs w:val="0"/>
        </w:rPr>
        <w:t xml:space="preserve"> o </w:t>
      </w:r>
      <w:r w:rsidRPr="00EC250C">
        <w:rPr>
          <w:rStyle w:val="Pogrubienie"/>
          <w:b/>
          <w:bCs w:val="0"/>
        </w:rPr>
        <w:t>przejęciu ich gospodarstw rolnych przez państwo na podstawie tzw. ustawy uwłaszczeniowej</w:t>
      </w:r>
      <w:r w:rsidR="00992FD0" w:rsidRPr="00EC250C">
        <w:rPr>
          <w:rStyle w:val="Pogrubienie"/>
          <w:b/>
          <w:bCs w:val="0"/>
        </w:rPr>
        <w:t xml:space="preserve"> z </w:t>
      </w:r>
      <w:r w:rsidRPr="00EC250C">
        <w:rPr>
          <w:rStyle w:val="Pogrubienie"/>
          <w:b/>
          <w:bCs w:val="0"/>
        </w:rPr>
        <w:t>1971</w:t>
      </w:r>
      <w:r w:rsidR="00C91F6E" w:rsidRPr="00EC250C">
        <w:rPr>
          <w:rStyle w:val="Pogrubienie"/>
          <w:b/>
          <w:bCs w:val="0"/>
        </w:rPr>
        <w:t> r.</w:t>
      </w:r>
      <w:r w:rsidR="00693334" w:rsidRPr="00EC250C">
        <w:rPr>
          <w:rStyle w:val="Odwoanieprzypisudolnego"/>
        </w:rPr>
        <w:footnoteReference w:id="434"/>
      </w:r>
      <w:r w:rsidRPr="00EC250C">
        <w:rPr>
          <w:rStyle w:val="Pogrubienie"/>
          <w:b/>
          <w:bCs w:val="0"/>
        </w:rPr>
        <w:t xml:space="preserve"> Od 1992</w:t>
      </w:r>
      <w:r w:rsidR="00C91F6E" w:rsidRPr="00EC250C">
        <w:rPr>
          <w:rStyle w:val="Pogrubienie"/>
          <w:b/>
          <w:bCs w:val="0"/>
        </w:rPr>
        <w:t> r.</w:t>
      </w:r>
      <w:r w:rsidR="00992FD0" w:rsidRPr="00EC250C">
        <w:rPr>
          <w:rStyle w:val="Pogrubienie"/>
          <w:b/>
          <w:bCs w:val="0"/>
        </w:rPr>
        <w:t xml:space="preserve"> w </w:t>
      </w:r>
      <w:r w:rsidRPr="00EC250C">
        <w:rPr>
          <w:rStyle w:val="Pogrubienie"/>
          <w:b/>
          <w:bCs w:val="0"/>
        </w:rPr>
        <w:t>tych sprawach nie można bowiem stosować przepisów Kodeksu postępowania administracyjnego</w:t>
      </w:r>
      <w:r w:rsidR="00992FD0" w:rsidRPr="00EC250C">
        <w:rPr>
          <w:rStyle w:val="Pogrubienie"/>
          <w:b/>
          <w:bCs w:val="0"/>
        </w:rPr>
        <w:t xml:space="preserve"> o </w:t>
      </w:r>
      <w:r w:rsidRPr="00EC250C">
        <w:rPr>
          <w:rStyle w:val="Pogrubienie"/>
          <w:b/>
          <w:bCs w:val="0"/>
        </w:rPr>
        <w:t xml:space="preserve">wznowieniu postępowania. Według RPO </w:t>
      </w:r>
      <w:r w:rsidR="00685A94" w:rsidRPr="00EC250C">
        <w:rPr>
          <w:rStyle w:val="Pogrubienie"/>
          <w:b/>
          <w:bCs w:val="0"/>
        </w:rPr>
        <w:t>to niekonstytucyjne</w:t>
      </w:r>
      <w:r w:rsidR="00B473F5" w:rsidRPr="00EC250C">
        <w:rPr>
          <w:rStyle w:val="Pogrubienie"/>
          <w:b/>
          <w:bCs w:val="0"/>
        </w:rPr>
        <w:t>.</w:t>
      </w:r>
    </w:p>
    <w:p w14:paraId="713054D7" w14:textId="77777777" w:rsidR="00187708" w:rsidRPr="00EC250C" w:rsidRDefault="00187708" w:rsidP="00D131FA">
      <w:pPr>
        <w:pStyle w:val="Styl1"/>
      </w:pPr>
      <w:r w:rsidRPr="00EC250C">
        <w:t>Wielu rolników</w:t>
      </w:r>
      <w:r w:rsidR="00992FD0" w:rsidRPr="00EC250C">
        <w:t xml:space="preserve"> w </w:t>
      </w:r>
      <w:r w:rsidRPr="00EC250C">
        <w:t>czasach PRL nie przywiązywało wagi do uporządkowania spraw własności ziemi. Państwo przez lata prowadziło politykę wrogą indywidualnemu rolnictwu. Zaczęło się to zmieniać</w:t>
      </w:r>
      <w:r w:rsidR="00992FD0" w:rsidRPr="00EC250C">
        <w:t xml:space="preserve"> w </w:t>
      </w:r>
      <w:r w:rsidRPr="00EC250C">
        <w:t xml:space="preserve">latach 70., kiedy władza </w:t>
      </w:r>
      <w:r w:rsidRPr="00EC250C">
        <w:rPr>
          <w:i/>
        </w:rPr>
        <w:t>de facto</w:t>
      </w:r>
      <w:r w:rsidRPr="00EC250C">
        <w:t xml:space="preserve"> uznała rolę rolnictwa indywidualnego. Wtedy też zaczęto porządkować stosunki własnościowe. Zapewnić to miała ustawa uwłaszczeniowa</w:t>
      </w:r>
      <w:r w:rsidR="00992FD0" w:rsidRPr="00EC250C">
        <w:t xml:space="preserve"> z </w:t>
      </w:r>
      <w:r w:rsidRPr="00EC250C">
        <w:t>1971</w:t>
      </w:r>
      <w:r w:rsidR="00C91F6E" w:rsidRPr="00EC250C">
        <w:t> r.</w:t>
      </w:r>
      <w:r w:rsidR="00182887" w:rsidRPr="00EC250C">
        <w:rPr>
          <w:bCs/>
          <w:iCs/>
        </w:rPr>
        <w:t xml:space="preserve"> </w:t>
      </w:r>
      <w:r w:rsidRPr="00EC250C">
        <w:t>Na jej podstawie rolnik dostawał akt własności ziemi, którą posiadał</w:t>
      </w:r>
      <w:r w:rsidR="00992FD0" w:rsidRPr="00EC250C">
        <w:t xml:space="preserve"> i </w:t>
      </w:r>
      <w:r w:rsidRPr="00EC250C">
        <w:t>uprawiał. Zdarzały się jednak przypadki, że</w:t>
      </w:r>
      <w:r w:rsidR="00992FD0" w:rsidRPr="00EC250C">
        <w:t xml:space="preserve"> w </w:t>
      </w:r>
      <w:r w:rsidRPr="00EC250C">
        <w:t>wyniku tej ustawy ziemię można było stracić na rzecz państwa. Np. jeśli dziecko po śmierci rodziców-rolników trafiło do domu dziecka,</w:t>
      </w:r>
      <w:r w:rsidR="00992FD0" w:rsidRPr="00EC250C">
        <w:t xml:space="preserve"> a </w:t>
      </w:r>
      <w:r w:rsidRPr="00EC250C">
        <w:t>ziemię uprawiał sąsiad, który nie był formalnie rolnikiem (bo np. pracował też gdzieś na etacie) –</w:t>
      </w:r>
      <w:r w:rsidR="00992FD0" w:rsidRPr="00EC250C">
        <w:t xml:space="preserve"> w </w:t>
      </w:r>
      <w:r w:rsidRPr="00EC250C">
        <w:t>takim wypadku ziemia przypadała Skarbowi Państwa. Decyzję wydawali urzędnicy</w:t>
      </w:r>
      <w:r w:rsidR="00992FD0" w:rsidRPr="00EC250C">
        <w:t xml:space="preserve"> i </w:t>
      </w:r>
      <w:r w:rsidRPr="00EC250C">
        <w:t xml:space="preserve">nie można się było od </w:t>
      </w:r>
      <w:r w:rsidR="00751B00" w:rsidRPr="00EC250C">
        <w:t>niej</w:t>
      </w:r>
      <w:r w:rsidRPr="00EC250C">
        <w:t xml:space="preserve"> odwołać do sądu. Taki stan trwa do dzisiaj,</w:t>
      </w:r>
      <w:r w:rsidR="00992FD0" w:rsidRPr="00EC250C">
        <w:t xml:space="preserve"> a </w:t>
      </w:r>
      <w:r w:rsidRPr="00EC250C">
        <w:t>zdecydowały</w:t>
      </w:r>
      <w:r w:rsidR="00992FD0" w:rsidRPr="00EC250C">
        <w:t xml:space="preserve"> o </w:t>
      </w:r>
      <w:r w:rsidRPr="00EC250C">
        <w:t>tym przepisy</w:t>
      </w:r>
      <w:r w:rsidR="00992FD0" w:rsidRPr="00EC250C">
        <w:t xml:space="preserve"> z </w:t>
      </w:r>
      <w:r w:rsidRPr="00EC250C">
        <w:t>1991</w:t>
      </w:r>
      <w:r w:rsidR="00C91F6E" w:rsidRPr="00EC250C">
        <w:t> r.</w:t>
      </w:r>
      <w:r w:rsidRPr="00EC250C">
        <w:t xml:space="preserve"> art. 63 ust. 2</w:t>
      </w:r>
      <w:r w:rsidR="00992FD0" w:rsidRPr="00EC250C">
        <w:t xml:space="preserve"> i </w:t>
      </w:r>
      <w:r w:rsidRPr="00EC250C">
        <w:t>3 ustawy</w:t>
      </w:r>
      <w:r w:rsidR="00992FD0" w:rsidRPr="00EC250C">
        <w:t xml:space="preserve"> z </w:t>
      </w:r>
      <w:r w:rsidRPr="00EC250C">
        <w:t>19 października 1991</w:t>
      </w:r>
      <w:r w:rsidR="00C91F6E" w:rsidRPr="00EC250C">
        <w:t> r.</w:t>
      </w:r>
      <w:r w:rsidR="00992FD0" w:rsidRPr="00EC250C">
        <w:t xml:space="preserve"> o </w:t>
      </w:r>
      <w:r w:rsidRPr="00EC250C">
        <w:t>gospodarowaniu nieruchomościami rolnymi Skarbu Państwa</w:t>
      </w:r>
      <w:r w:rsidRPr="00EC250C">
        <w:rPr>
          <w:rStyle w:val="Odwoanieprzypisudolnego"/>
          <w:bCs/>
          <w:iCs/>
        </w:rPr>
        <w:footnoteReference w:id="435"/>
      </w:r>
      <w:r w:rsidRPr="00EC250C">
        <w:t>.</w:t>
      </w:r>
    </w:p>
    <w:p w14:paraId="6633A8C0" w14:textId="77777777" w:rsidR="00187708" w:rsidRPr="00EC250C" w:rsidRDefault="00187708" w:rsidP="00D131FA">
      <w:pPr>
        <w:pStyle w:val="Styl1"/>
      </w:pPr>
      <w:r w:rsidRPr="00EC250C">
        <w:t>Rzecznik Praw Obywatelskich zaskarżył je do Trybunału Konstytucyjnego</w:t>
      </w:r>
      <w:r w:rsidR="00992FD0" w:rsidRPr="00EC250C">
        <w:t xml:space="preserve"> w </w:t>
      </w:r>
      <w:r w:rsidRPr="00EC250C">
        <w:t>zakresie,</w:t>
      </w:r>
      <w:r w:rsidR="00992FD0" w:rsidRPr="00EC250C">
        <w:t xml:space="preserve"> w </w:t>
      </w:r>
      <w:r w:rsidRPr="00EC250C">
        <w:t>jakim wyłączają stosowanie przepisów Kpa dotyczących wznowienia postępowania, stwierdzenia nieważności</w:t>
      </w:r>
      <w:r w:rsidR="00992FD0" w:rsidRPr="00EC250C">
        <w:t xml:space="preserve"> i </w:t>
      </w:r>
      <w:r w:rsidRPr="00EC250C">
        <w:t>uchylenia lub zmiany decyzji wydanych na podstawie tzw. ustawy uwłaszczeniowej</w:t>
      </w:r>
      <w:r w:rsidR="00992FD0" w:rsidRPr="00EC250C">
        <w:t xml:space="preserve"> z </w:t>
      </w:r>
      <w:r w:rsidRPr="00EC250C">
        <w:t>1971</w:t>
      </w:r>
      <w:r w:rsidR="00C91F6E" w:rsidRPr="00EC250C">
        <w:t> r.</w:t>
      </w:r>
      <w:r w:rsidRPr="00EC250C">
        <w:rPr>
          <w:rStyle w:val="Odwoanieprzypisudolnego"/>
          <w:rFonts w:eastAsia="Calibri"/>
          <w:bCs/>
          <w:iCs/>
          <w:spacing w:val="0"/>
          <w:szCs w:val="24"/>
          <w:lang w:eastAsia="zh-CN" w:bidi="hi-IN"/>
        </w:rPr>
        <w:t xml:space="preserve"> </w:t>
      </w:r>
      <w:r w:rsidRPr="00EC250C">
        <w:rPr>
          <w:rStyle w:val="Odwoanieprzypisudolnego"/>
          <w:rFonts w:eastAsia="Calibri"/>
          <w:bCs/>
          <w:iCs/>
          <w:spacing w:val="0"/>
          <w:szCs w:val="24"/>
          <w:lang w:eastAsia="zh-CN" w:bidi="hi-IN"/>
        </w:rPr>
        <w:footnoteReference w:id="436"/>
      </w:r>
    </w:p>
    <w:p w14:paraId="66DDB646" w14:textId="77777777" w:rsidR="00C91F6E" w:rsidRPr="00EC250C" w:rsidRDefault="00187708" w:rsidP="00EC79EB">
      <w:pPr>
        <w:pStyle w:val="Nagwek4"/>
        <w:rPr>
          <w:lang w:bidi="hi-IN"/>
        </w:rPr>
      </w:pPr>
      <w:bookmarkStart w:id="430" w:name="_Toc6257834"/>
      <w:bookmarkStart w:id="431" w:name="_Toc11247709"/>
      <w:r w:rsidRPr="00EC250C">
        <w:t>O</w:t>
      </w:r>
      <w:r w:rsidRPr="00EC250C">
        <w:rPr>
          <w:lang w:bidi="hi-IN"/>
        </w:rPr>
        <w:t>graniczenia</w:t>
      </w:r>
      <w:r w:rsidR="00992FD0" w:rsidRPr="00EC250C">
        <w:rPr>
          <w:lang w:bidi="hi-IN"/>
        </w:rPr>
        <w:t xml:space="preserve"> w </w:t>
      </w:r>
      <w:r w:rsidRPr="00EC250C">
        <w:rPr>
          <w:lang w:bidi="hi-IN"/>
        </w:rPr>
        <w:t>dysponowaniu własnością wynikające</w:t>
      </w:r>
      <w:r w:rsidR="00992FD0" w:rsidRPr="00EC250C">
        <w:rPr>
          <w:lang w:bidi="hi-IN"/>
        </w:rPr>
        <w:t xml:space="preserve"> z </w:t>
      </w:r>
      <w:r w:rsidRPr="00EC250C">
        <w:rPr>
          <w:lang w:bidi="hi-IN"/>
        </w:rPr>
        <w:t>ustawy</w:t>
      </w:r>
      <w:r w:rsidR="00992FD0" w:rsidRPr="00EC250C">
        <w:rPr>
          <w:lang w:bidi="hi-IN"/>
        </w:rPr>
        <w:t xml:space="preserve"> o </w:t>
      </w:r>
      <w:r w:rsidRPr="00EC250C">
        <w:rPr>
          <w:lang w:bidi="hi-IN"/>
        </w:rPr>
        <w:t>ziemi rolnej</w:t>
      </w:r>
      <w:r w:rsidR="00992FD0" w:rsidRPr="00EC250C">
        <w:rPr>
          <w:lang w:bidi="hi-IN"/>
        </w:rPr>
        <w:t xml:space="preserve"> z </w:t>
      </w:r>
      <w:r w:rsidRPr="00EC250C">
        <w:rPr>
          <w:lang w:bidi="hi-IN"/>
        </w:rPr>
        <w:t>2016</w:t>
      </w:r>
      <w:r w:rsidR="00C91F6E" w:rsidRPr="00EC250C">
        <w:rPr>
          <w:lang w:bidi="hi-IN"/>
        </w:rPr>
        <w:t> r.</w:t>
      </w:r>
      <w:bookmarkEnd w:id="430"/>
      <w:bookmarkEnd w:id="431"/>
    </w:p>
    <w:p w14:paraId="62A6842D" w14:textId="77777777" w:rsidR="00B473F5" w:rsidRPr="00EC250C" w:rsidRDefault="00693334" w:rsidP="00D131FA">
      <w:pPr>
        <w:pStyle w:val="Problemczowieka"/>
        <w:jc w:val="both"/>
      </w:pPr>
      <w:r w:rsidRPr="00EC250C">
        <w:rPr>
          <w:bdr w:val="none" w:sz="0" w:space="0" w:color="auto" w:frame="1"/>
        </w:rPr>
        <w:t xml:space="preserve">Osoba, która </w:t>
      </w:r>
      <w:r w:rsidR="00187708" w:rsidRPr="00EC250C">
        <w:rPr>
          <w:bdr w:val="none" w:sz="0" w:space="0" w:color="auto" w:frame="1"/>
        </w:rPr>
        <w:t>po 30 kwietnia 2016</w:t>
      </w:r>
      <w:r w:rsidR="00C91F6E" w:rsidRPr="00EC250C">
        <w:rPr>
          <w:bdr w:val="none" w:sz="0" w:space="0" w:color="auto" w:frame="1"/>
        </w:rPr>
        <w:t> r.</w:t>
      </w:r>
      <w:r w:rsidR="00187708" w:rsidRPr="00EC250C">
        <w:rPr>
          <w:bdr w:val="none" w:sz="0" w:space="0" w:color="auto" w:frame="1"/>
        </w:rPr>
        <w:t xml:space="preserve"> kupił</w:t>
      </w:r>
      <w:r w:rsidRPr="00EC250C">
        <w:rPr>
          <w:bdr w:val="none" w:sz="0" w:space="0" w:color="auto" w:frame="1"/>
        </w:rPr>
        <w:t>a</w:t>
      </w:r>
      <w:r w:rsidR="00187708" w:rsidRPr="00EC250C">
        <w:rPr>
          <w:bdr w:val="none" w:sz="0" w:space="0" w:color="auto" w:frame="1"/>
        </w:rPr>
        <w:t xml:space="preserve"> ziemię </w:t>
      </w:r>
      <w:r w:rsidR="00187708" w:rsidRPr="00EC250C">
        <w:t>rolną, musi przez 10 lat ją osobiście uprawiać</w:t>
      </w:r>
      <w:r w:rsidR="00992FD0" w:rsidRPr="00EC250C">
        <w:t xml:space="preserve"> i </w:t>
      </w:r>
      <w:r w:rsidR="00187708" w:rsidRPr="00EC250C">
        <w:t>nie może jej</w:t>
      </w:r>
      <w:r w:rsidR="00992FD0" w:rsidRPr="00EC250C">
        <w:t xml:space="preserve"> w </w:t>
      </w:r>
      <w:r w:rsidR="00187708" w:rsidRPr="00EC250C">
        <w:t xml:space="preserve">tym czasie sprzedać. Ograniczenia te nie obejmują jednak </w:t>
      </w:r>
      <w:r w:rsidR="00187708" w:rsidRPr="00EC250C">
        <w:lastRenderedPageBreak/>
        <w:t>nabywców licytacyjnych ziemi</w:t>
      </w:r>
      <w:r w:rsidR="00992FD0" w:rsidRPr="00EC250C">
        <w:t xml:space="preserve"> w </w:t>
      </w:r>
      <w:r w:rsidR="00187708" w:rsidRPr="00EC250C">
        <w:t>sprawach egzekucyjnych, które wszczęto przed wejściem nowych przepisów</w:t>
      </w:r>
      <w:r w:rsidR="00992FD0" w:rsidRPr="00EC250C">
        <w:t xml:space="preserve"> w </w:t>
      </w:r>
      <w:r w:rsidR="00187708" w:rsidRPr="00EC250C">
        <w:t>życie</w:t>
      </w:r>
      <w:r w:rsidR="00026572" w:rsidRPr="00EC250C">
        <w:t xml:space="preserve"> – </w:t>
      </w:r>
      <w:r w:rsidR="00187708" w:rsidRPr="00EC250C">
        <w:t>orzekł Sąd Najwyższy zgodnie</w:t>
      </w:r>
      <w:r w:rsidR="00992FD0" w:rsidRPr="00EC250C">
        <w:t xml:space="preserve"> z </w:t>
      </w:r>
      <w:r w:rsidR="00187708" w:rsidRPr="00EC250C">
        <w:t>wnioskiem RPO</w:t>
      </w:r>
      <w:r w:rsidR="00B473F5" w:rsidRPr="00EC250C">
        <w:t>.</w:t>
      </w:r>
    </w:p>
    <w:p w14:paraId="2929B001" w14:textId="77777777" w:rsidR="00187708" w:rsidRPr="00EC250C" w:rsidRDefault="00B04745" w:rsidP="00D131FA">
      <w:pPr>
        <w:pStyle w:val="Styl1"/>
        <w:rPr>
          <w:b/>
          <w:bCs/>
          <w:iCs/>
        </w:rPr>
      </w:pPr>
      <w:r w:rsidRPr="00EC250C">
        <w:rPr>
          <w:bCs/>
          <w:iCs/>
        </w:rPr>
        <w:t>RPO</w:t>
      </w:r>
      <w:r w:rsidR="00187708" w:rsidRPr="00EC250C">
        <w:rPr>
          <w:bCs/>
          <w:iCs/>
        </w:rPr>
        <w:t xml:space="preserve"> zgłosił</w:t>
      </w:r>
      <w:r w:rsidR="00187708" w:rsidRPr="00EC250C">
        <w:rPr>
          <w:rStyle w:val="Odwoanieprzypisudolnego"/>
          <w:bCs/>
          <w:iCs/>
        </w:rPr>
        <w:footnoteReference w:id="437"/>
      </w:r>
      <w:r w:rsidR="00187708" w:rsidRPr="00EC250C">
        <w:rPr>
          <w:bCs/>
          <w:iCs/>
        </w:rPr>
        <w:t xml:space="preserve"> udział</w:t>
      </w:r>
      <w:r w:rsidR="00992FD0" w:rsidRPr="00EC250C">
        <w:rPr>
          <w:bCs/>
          <w:iCs/>
        </w:rPr>
        <w:t xml:space="preserve"> w </w:t>
      </w:r>
      <w:r w:rsidR="00187708" w:rsidRPr="00EC250C">
        <w:rPr>
          <w:bCs/>
          <w:iCs/>
        </w:rPr>
        <w:t>postępowaniu przed Sądem Najwyższym</w:t>
      </w:r>
      <w:r w:rsidR="00992FD0" w:rsidRPr="00EC250C">
        <w:rPr>
          <w:bCs/>
          <w:iCs/>
        </w:rPr>
        <w:t xml:space="preserve"> w </w:t>
      </w:r>
      <w:r w:rsidR="00187708" w:rsidRPr="00EC250C">
        <w:rPr>
          <w:bCs/>
          <w:iCs/>
        </w:rPr>
        <w:t>zakresie rozstrzygnięcia zagadnienia prawnego dotyczącego stosowania ograniczeń wynikających</w:t>
      </w:r>
      <w:r w:rsidR="00992FD0" w:rsidRPr="00EC250C">
        <w:rPr>
          <w:bCs/>
          <w:iCs/>
        </w:rPr>
        <w:t xml:space="preserve"> z </w:t>
      </w:r>
      <w:r w:rsidR="00187708" w:rsidRPr="00EC250C">
        <w:rPr>
          <w:bCs/>
          <w:iCs/>
        </w:rPr>
        <w:t>ustawy</w:t>
      </w:r>
      <w:r w:rsidR="00992FD0" w:rsidRPr="00EC250C">
        <w:rPr>
          <w:bCs/>
          <w:iCs/>
        </w:rPr>
        <w:t xml:space="preserve"> o </w:t>
      </w:r>
      <w:r w:rsidR="00187708" w:rsidRPr="00EC250C">
        <w:rPr>
          <w:bCs/>
          <w:iCs/>
        </w:rPr>
        <w:t>kształtowaniu ustroju rolnego wobec nabywcy licytacyjnego</w:t>
      </w:r>
      <w:r w:rsidR="00992FD0" w:rsidRPr="00EC250C">
        <w:rPr>
          <w:bCs/>
          <w:iCs/>
        </w:rPr>
        <w:t xml:space="preserve"> i </w:t>
      </w:r>
      <w:r w:rsidR="00187708" w:rsidRPr="00EC250C">
        <w:rPr>
          <w:bCs/>
          <w:iCs/>
        </w:rPr>
        <w:t>przedstawił następujące stanowisko: „Do osoby, na której rzecz przysądzono własność nieruchomości rolnej,</w:t>
      </w:r>
      <w:r w:rsidR="00992FD0" w:rsidRPr="00EC250C">
        <w:rPr>
          <w:bCs/>
          <w:iCs/>
        </w:rPr>
        <w:t xml:space="preserve"> w </w:t>
      </w:r>
      <w:r w:rsidR="00187708" w:rsidRPr="00EC250C">
        <w:rPr>
          <w:bCs/>
          <w:iCs/>
        </w:rPr>
        <w:t>toku egzekucji sądowej</w:t>
      </w:r>
      <w:r w:rsidR="00992FD0" w:rsidRPr="00EC250C">
        <w:rPr>
          <w:bCs/>
          <w:iCs/>
        </w:rPr>
        <w:t xml:space="preserve"> z </w:t>
      </w:r>
      <w:r w:rsidR="00187708" w:rsidRPr="00EC250C">
        <w:rPr>
          <w:bCs/>
          <w:iCs/>
        </w:rPr>
        <w:t>nieruchomości wszczętej przed dniem 30 kwietnia 2016</w:t>
      </w:r>
      <w:r w:rsidR="00C91F6E" w:rsidRPr="00EC250C">
        <w:rPr>
          <w:bCs/>
          <w:iCs/>
        </w:rPr>
        <w:t> r.</w:t>
      </w:r>
      <w:r w:rsidR="00187708" w:rsidRPr="00EC250C">
        <w:rPr>
          <w:bCs/>
          <w:iCs/>
        </w:rPr>
        <w:t>, nie stosuje się ograniczeń wynikających</w:t>
      </w:r>
      <w:r w:rsidR="00992FD0" w:rsidRPr="00EC250C">
        <w:rPr>
          <w:bCs/>
          <w:iCs/>
        </w:rPr>
        <w:t xml:space="preserve"> z </w:t>
      </w:r>
      <w:r w:rsidR="00187708" w:rsidRPr="00EC250C">
        <w:rPr>
          <w:bCs/>
          <w:iCs/>
        </w:rPr>
        <w:t>art. 2b ust. 1 ustawy</w:t>
      </w:r>
      <w:r w:rsidR="00992FD0" w:rsidRPr="00EC250C">
        <w:rPr>
          <w:bCs/>
          <w:iCs/>
        </w:rPr>
        <w:t xml:space="preserve"> o </w:t>
      </w:r>
      <w:r w:rsidR="00187708" w:rsidRPr="00EC250C">
        <w:rPr>
          <w:bCs/>
          <w:iCs/>
        </w:rPr>
        <w:t>kształtowaniu ustroju rolnego</w:t>
      </w:r>
      <w:r w:rsidR="00187708" w:rsidRPr="00EC250C">
        <w:rPr>
          <w:rStyle w:val="Odwoanieprzypisudolnego"/>
          <w:bCs/>
          <w:iCs/>
        </w:rPr>
        <w:footnoteReference w:id="438"/>
      </w:r>
      <w:r w:rsidR="00187708" w:rsidRPr="00EC250C">
        <w:rPr>
          <w:bCs/>
          <w:iCs/>
        </w:rPr>
        <w:t>”.</w:t>
      </w:r>
    </w:p>
    <w:p w14:paraId="3F51E14B" w14:textId="77777777" w:rsidR="00187708" w:rsidRPr="00EC250C" w:rsidRDefault="00187708" w:rsidP="00D131FA">
      <w:pPr>
        <w:pStyle w:val="Styl1"/>
      </w:pPr>
      <w:r w:rsidRPr="00EC250C">
        <w:t>Chodzi</w:t>
      </w:r>
      <w:r w:rsidR="00992FD0" w:rsidRPr="00EC250C">
        <w:t xml:space="preserve"> o </w:t>
      </w:r>
      <w:r w:rsidRPr="00EC250C">
        <w:t>zapisy znowelizowanej 14 kwietnia 2016</w:t>
      </w:r>
      <w:r w:rsidR="00C91F6E" w:rsidRPr="00EC250C">
        <w:t> r.</w:t>
      </w:r>
      <w:r w:rsidRPr="00EC250C">
        <w:t xml:space="preserve"> ustawy</w:t>
      </w:r>
      <w:r w:rsidR="00992FD0" w:rsidRPr="00EC250C">
        <w:t xml:space="preserve"> o </w:t>
      </w:r>
      <w:r w:rsidRPr="00EC250C">
        <w:t>kształtowaniu ustroju rolnego, które weszły</w:t>
      </w:r>
      <w:r w:rsidR="00992FD0" w:rsidRPr="00EC250C">
        <w:t xml:space="preserve"> w </w:t>
      </w:r>
      <w:r w:rsidRPr="00EC250C">
        <w:t>życie 30 kwietnia 2016</w:t>
      </w:r>
      <w:r w:rsidR="00C91F6E" w:rsidRPr="00EC250C">
        <w:t> r.</w:t>
      </w:r>
      <w:r w:rsidR="00B558AC" w:rsidRPr="00EC250C">
        <w:rPr>
          <w:rStyle w:val="Odwoanieprzypisudolnego"/>
        </w:rPr>
        <w:footnoteReference w:id="439"/>
      </w:r>
    </w:p>
    <w:p w14:paraId="433CC64C" w14:textId="77777777" w:rsidR="00187708" w:rsidRPr="00EC250C" w:rsidRDefault="00187708" w:rsidP="00D131FA">
      <w:pPr>
        <w:pStyle w:val="Styl1"/>
      </w:pPr>
      <w:r w:rsidRPr="00EC250C">
        <w:t xml:space="preserve">Pytanie prawne zadał </w:t>
      </w:r>
      <w:r w:rsidR="00B558AC" w:rsidRPr="00EC250C">
        <w:t>S</w:t>
      </w:r>
      <w:r w:rsidRPr="00EC250C">
        <w:t xml:space="preserve">ąd </w:t>
      </w:r>
      <w:r w:rsidR="00B558AC" w:rsidRPr="00EC250C">
        <w:t>O</w:t>
      </w:r>
      <w:r w:rsidRPr="00EC250C">
        <w:t>kręgowy</w:t>
      </w:r>
      <w:r w:rsidR="00B558AC" w:rsidRPr="00EC250C">
        <w:t xml:space="preserve"> w Sieradzu</w:t>
      </w:r>
      <w:r w:rsidRPr="00EC250C">
        <w:t>, rozpatrując odwołanie od odmowy uznania przez notariusza aktu sprzedaży ziemi przez jej właściciela, który nabył ją podczas licytacji. Licytacja odbyła się 16 stycznia 2016</w:t>
      </w:r>
      <w:r w:rsidR="00C91F6E" w:rsidRPr="00EC250C">
        <w:t> r.</w:t>
      </w:r>
      <w:r w:rsidRPr="00EC250C">
        <w:t>; przysądzenie własności przez sąd nastąpiło zaś 16 sierpnia 2016</w:t>
      </w:r>
      <w:r w:rsidR="00C91F6E" w:rsidRPr="00EC250C">
        <w:t> r.</w:t>
      </w:r>
      <w:r w:rsidRPr="00EC250C">
        <w:t xml:space="preserve"> Sąd wskazał, że proces nabywania nieruchomości zapoczątkowano długo przed wejściem</w:t>
      </w:r>
      <w:r w:rsidR="00992FD0" w:rsidRPr="00EC250C">
        <w:t xml:space="preserve"> w </w:t>
      </w:r>
      <w:r w:rsidRPr="00EC250C">
        <w:t>życie nowych zasad. Na to zaś, kiedy efektywnie dojdzie do nabycia własności, uczestnicy postępowania egzekucyjnego nie mają wpływu.</w:t>
      </w:r>
    </w:p>
    <w:p w14:paraId="0D903977" w14:textId="77777777" w:rsidR="00187708" w:rsidRPr="00EC250C" w:rsidRDefault="00187708" w:rsidP="00D131FA">
      <w:pPr>
        <w:pStyle w:val="Styl1"/>
      </w:pPr>
      <w:r w:rsidRPr="00EC250C">
        <w:t>Do osoby, na której rzecz przysądzono własność nieruchomości rolnej,</w:t>
      </w:r>
      <w:r w:rsidR="00992FD0" w:rsidRPr="00EC250C">
        <w:t xml:space="preserve"> w </w:t>
      </w:r>
      <w:r w:rsidRPr="00EC250C">
        <w:t>toku egzekucji sądowej</w:t>
      </w:r>
      <w:r w:rsidR="00992FD0" w:rsidRPr="00EC250C">
        <w:t xml:space="preserve"> z </w:t>
      </w:r>
      <w:r w:rsidRPr="00EC250C">
        <w:t>nieruchomości wszczętej przed dniem 30 kwietnia 2016</w:t>
      </w:r>
      <w:r w:rsidR="00C91F6E" w:rsidRPr="00EC250C">
        <w:t> r.</w:t>
      </w:r>
      <w:r w:rsidRPr="00EC250C">
        <w:t>, nie stosuje się ograniczeń wynikających</w:t>
      </w:r>
      <w:r w:rsidR="00992FD0" w:rsidRPr="00EC250C">
        <w:t xml:space="preserve"> z </w:t>
      </w:r>
      <w:r w:rsidRPr="00EC250C">
        <w:t>art. 2b ust. 1 ustawy</w:t>
      </w:r>
      <w:r w:rsidR="00992FD0" w:rsidRPr="00EC250C">
        <w:t xml:space="preserve"> z </w:t>
      </w:r>
      <w:r w:rsidRPr="00EC250C">
        <w:t>dnia 11 kwietnia 2003</w:t>
      </w:r>
      <w:r w:rsidR="00C91F6E" w:rsidRPr="00EC250C">
        <w:t> r.</w:t>
      </w:r>
      <w:r w:rsidR="00992FD0" w:rsidRPr="00EC250C">
        <w:t xml:space="preserve"> o </w:t>
      </w:r>
      <w:r w:rsidRPr="00EC250C">
        <w:t>kształtowaniu ustroju rolnego – głosi uchwała SN.</w:t>
      </w:r>
    </w:p>
    <w:p w14:paraId="70F93443" w14:textId="77777777" w:rsidR="00C91F6E" w:rsidRPr="00EC250C" w:rsidRDefault="00187708" w:rsidP="00EC250C">
      <w:pPr>
        <w:pStyle w:val="Nagwek8"/>
      </w:pPr>
      <w:r w:rsidRPr="00EC250C">
        <w:t>Kryteria wyboru ofert</w:t>
      </w:r>
      <w:r w:rsidR="00992FD0" w:rsidRPr="00EC250C">
        <w:t xml:space="preserve"> w </w:t>
      </w:r>
      <w:r w:rsidRPr="00EC250C">
        <w:t>przetargach na dzierżawę państwowych nieruchomości rolnych</w:t>
      </w:r>
    </w:p>
    <w:p w14:paraId="2356EAB9" w14:textId="77777777" w:rsidR="00C91F6E" w:rsidRPr="00EC250C" w:rsidRDefault="00B04745" w:rsidP="00D131FA">
      <w:pPr>
        <w:pStyle w:val="Styl2"/>
        <w:rPr>
          <w:szCs w:val="24"/>
        </w:rPr>
      </w:pPr>
      <w:r w:rsidRPr="00EC250C">
        <w:rPr>
          <w:szCs w:val="24"/>
        </w:rPr>
        <w:t>RPO</w:t>
      </w:r>
      <w:r w:rsidR="00187708" w:rsidRPr="00EC250C">
        <w:rPr>
          <w:szCs w:val="24"/>
        </w:rPr>
        <w:t xml:space="preserve"> podjął zasygnalizowany</w:t>
      </w:r>
      <w:r w:rsidR="00992FD0" w:rsidRPr="00EC250C">
        <w:rPr>
          <w:szCs w:val="24"/>
        </w:rPr>
        <w:t xml:space="preserve"> w </w:t>
      </w:r>
      <w:r w:rsidR="00187708" w:rsidRPr="00EC250C">
        <w:rPr>
          <w:szCs w:val="24"/>
        </w:rPr>
        <w:t>skardze indywidualnej problem kryteriów oceniania ofert zgłaszanych</w:t>
      </w:r>
      <w:r w:rsidR="00992FD0" w:rsidRPr="00EC250C">
        <w:rPr>
          <w:szCs w:val="24"/>
        </w:rPr>
        <w:t xml:space="preserve"> w </w:t>
      </w:r>
      <w:r w:rsidR="00187708" w:rsidRPr="00EC250C">
        <w:rPr>
          <w:szCs w:val="24"/>
        </w:rPr>
        <w:t>przetargach na dzierżawę państwowych nieruchomości rolnych.</w:t>
      </w:r>
    </w:p>
    <w:p w14:paraId="587782C3" w14:textId="77777777" w:rsidR="00C91F6E" w:rsidRPr="00EC250C" w:rsidRDefault="00187708" w:rsidP="00D131FA">
      <w:pPr>
        <w:pStyle w:val="Styl2"/>
        <w:rPr>
          <w:szCs w:val="24"/>
        </w:rPr>
      </w:pPr>
      <w:r w:rsidRPr="00EC250C">
        <w:rPr>
          <w:szCs w:val="24"/>
        </w:rPr>
        <w:t xml:space="preserve">Ze względu na ustawowy zakaz </w:t>
      </w:r>
      <w:r w:rsidR="00751B00" w:rsidRPr="00EC250C">
        <w:rPr>
          <w:szCs w:val="24"/>
        </w:rPr>
        <w:t>ich</w:t>
      </w:r>
      <w:r w:rsidRPr="00EC250C">
        <w:rPr>
          <w:szCs w:val="24"/>
        </w:rPr>
        <w:t xml:space="preserve"> sprzedaży obecnie jest to podstawowa forma udostępniania rolnikom ziemi rolnej</w:t>
      </w:r>
      <w:r w:rsidR="00992FD0" w:rsidRPr="00EC250C">
        <w:rPr>
          <w:szCs w:val="24"/>
        </w:rPr>
        <w:t xml:space="preserve"> z </w:t>
      </w:r>
      <w:r w:rsidRPr="00EC250C">
        <w:rPr>
          <w:szCs w:val="24"/>
        </w:rPr>
        <w:t>zasobu państwowego. Ustalony</w:t>
      </w:r>
      <w:r w:rsidR="00992FD0" w:rsidRPr="00EC250C">
        <w:rPr>
          <w:szCs w:val="24"/>
        </w:rPr>
        <w:t xml:space="preserve"> w </w:t>
      </w:r>
      <w:r w:rsidRPr="00EC250C">
        <w:rPr>
          <w:szCs w:val="24"/>
        </w:rPr>
        <w:t>zarządzeniu Dyrektora Generalnego Krajowego Ośrodka Wsparcia Rolnictwa system punktacji premiuje rolników nastawionych na tzw. produkcję zwierzęcą, natomiast ci, którzy prowadzą tzw. produkcję roślinną, nie otrzymują</w:t>
      </w:r>
      <w:r w:rsidR="00992FD0" w:rsidRPr="00EC250C">
        <w:rPr>
          <w:szCs w:val="24"/>
        </w:rPr>
        <w:t xml:space="preserve"> z </w:t>
      </w:r>
      <w:r w:rsidRPr="00EC250C">
        <w:rPr>
          <w:szCs w:val="24"/>
        </w:rPr>
        <w:t>tego tytułu żadnych punktów –</w:t>
      </w:r>
      <w:r w:rsidR="00992FD0" w:rsidRPr="00EC250C">
        <w:rPr>
          <w:szCs w:val="24"/>
        </w:rPr>
        <w:t xml:space="preserve"> i </w:t>
      </w:r>
      <w:r w:rsidRPr="00EC250C">
        <w:rPr>
          <w:szCs w:val="24"/>
        </w:rPr>
        <w:t>to nawet gdyby produkcja taka osiągała wysokie parametry.</w:t>
      </w:r>
    </w:p>
    <w:p w14:paraId="7BE05E95" w14:textId="77777777" w:rsidR="00C91F6E" w:rsidRPr="00EC250C" w:rsidRDefault="00B04745" w:rsidP="00D131FA">
      <w:pPr>
        <w:pStyle w:val="Styl2"/>
        <w:rPr>
          <w:szCs w:val="24"/>
        </w:rPr>
      </w:pPr>
      <w:r w:rsidRPr="00EC250C">
        <w:rPr>
          <w:szCs w:val="24"/>
        </w:rPr>
        <w:t>RPO</w:t>
      </w:r>
      <w:r w:rsidR="00187708" w:rsidRPr="00EC250C">
        <w:rPr>
          <w:szCs w:val="24"/>
        </w:rPr>
        <w:t xml:space="preserve"> zwrócił się do Dyrektora Generalnego KOWR</w:t>
      </w:r>
      <w:r w:rsidR="00992FD0" w:rsidRPr="00EC250C">
        <w:rPr>
          <w:szCs w:val="24"/>
        </w:rPr>
        <w:t xml:space="preserve"> o </w:t>
      </w:r>
      <w:r w:rsidR="00187708" w:rsidRPr="00EC250C">
        <w:rPr>
          <w:szCs w:val="24"/>
        </w:rPr>
        <w:t>wyjaśnienia takiego stanu rzeczy, który obecnie wydaje się dyskryminować</w:t>
      </w:r>
      <w:r w:rsidR="00992FD0" w:rsidRPr="00EC250C">
        <w:rPr>
          <w:szCs w:val="24"/>
        </w:rPr>
        <w:t xml:space="preserve"> w </w:t>
      </w:r>
      <w:r w:rsidR="00187708" w:rsidRPr="00EC250C">
        <w:rPr>
          <w:szCs w:val="24"/>
        </w:rPr>
        <w:t>przetargach rolników-producentów roślinnych.</w:t>
      </w:r>
    </w:p>
    <w:p w14:paraId="699981F9" w14:textId="77777777" w:rsidR="00C91F6E" w:rsidRPr="00EC250C" w:rsidRDefault="00187708" w:rsidP="00D131FA">
      <w:pPr>
        <w:pStyle w:val="Styl2"/>
        <w:rPr>
          <w:szCs w:val="24"/>
        </w:rPr>
      </w:pPr>
      <w:r w:rsidRPr="00EC250C">
        <w:rPr>
          <w:szCs w:val="24"/>
        </w:rPr>
        <w:lastRenderedPageBreak/>
        <w:t>Dyrektor Generalny KOWR wyjaśnił jednak, że</w:t>
      </w:r>
      <w:r w:rsidR="00992FD0" w:rsidRPr="00EC250C">
        <w:rPr>
          <w:szCs w:val="24"/>
        </w:rPr>
        <w:t xml:space="preserve"> w </w:t>
      </w:r>
      <w:r w:rsidRPr="00EC250C">
        <w:rPr>
          <w:szCs w:val="24"/>
        </w:rPr>
        <w:t>jego ocenie zróżnicowana punktacja wynika</w:t>
      </w:r>
      <w:r w:rsidR="00992FD0" w:rsidRPr="00EC250C">
        <w:rPr>
          <w:szCs w:val="24"/>
        </w:rPr>
        <w:t xml:space="preserve"> z </w:t>
      </w:r>
      <w:r w:rsidRPr="00EC250C">
        <w:rPr>
          <w:szCs w:val="24"/>
        </w:rPr>
        <w:t>kryteriów obiektywnych, związanych</w:t>
      </w:r>
      <w:r w:rsidR="00992FD0" w:rsidRPr="00EC250C">
        <w:rPr>
          <w:szCs w:val="24"/>
        </w:rPr>
        <w:t xml:space="preserve"> z </w:t>
      </w:r>
      <w:r w:rsidRPr="00EC250C">
        <w:rPr>
          <w:szCs w:val="24"/>
        </w:rPr>
        <w:t>charakterem produkcji. Nie zachodzi zatem przypadek nieuzasadnionego uprzywilejowania pewnej kategorii producentów rolnych</w:t>
      </w:r>
      <w:r w:rsidR="00182887" w:rsidRPr="00EC250C">
        <w:rPr>
          <w:rStyle w:val="Odwoanieprzypisudolnego"/>
          <w:szCs w:val="24"/>
        </w:rPr>
        <w:footnoteReference w:id="440"/>
      </w:r>
      <w:r w:rsidRPr="00EC250C">
        <w:rPr>
          <w:szCs w:val="24"/>
        </w:rPr>
        <w:t>.</w:t>
      </w:r>
    </w:p>
    <w:p w14:paraId="411C136F" w14:textId="77777777" w:rsidR="00187708" w:rsidRPr="00EC250C" w:rsidRDefault="00187708" w:rsidP="00D131FA">
      <w:pPr>
        <w:pStyle w:val="ODESANIE"/>
        <w:jc w:val="both"/>
      </w:pPr>
      <w:r w:rsidRPr="00EC250C">
        <w:t xml:space="preserve"> </w:t>
      </w:r>
      <w:bookmarkStart w:id="432" w:name="_Toc6257835"/>
      <w:r w:rsidRPr="00EC250C">
        <w:t>Skarga nadzwyczajna</w:t>
      </w:r>
      <w:r w:rsidR="00992FD0" w:rsidRPr="00EC250C">
        <w:t xml:space="preserve"> w </w:t>
      </w:r>
      <w:r w:rsidRPr="00EC250C">
        <w:t>sprawie dw</w:t>
      </w:r>
      <w:r w:rsidRPr="00EC250C">
        <w:rPr>
          <w:rFonts w:hint="eastAsia"/>
        </w:rPr>
        <w:t>ó</w:t>
      </w:r>
      <w:r w:rsidRPr="00EC250C">
        <w:t>ch r</w:t>
      </w:r>
      <w:r w:rsidRPr="00EC250C">
        <w:rPr>
          <w:rFonts w:hint="eastAsia"/>
        </w:rPr>
        <w:t>óż</w:t>
      </w:r>
      <w:r w:rsidRPr="00EC250C">
        <w:t>nych</w:t>
      </w:r>
      <w:r w:rsidR="00992FD0" w:rsidRPr="00EC250C">
        <w:t xml:space="preserve"> a </w:t>
      </w:r>
      <w:r w:rsidRPr="00EC250C">
        <w:t>r</w:t>
      </w:r>
      <w:r w:rsidRPr="00EC250C">
        <w:rPr>
          <w:rFonts w:hint="eastAsia"/>
        </w:rPr>
        <w:t>ó</w:t>
      </w:r>
      <w:r w:rsidRPr="00EC250C">
        <w:t>wnie prawomocnych decyzji spadkowych</w:t>
      </w:r>
      <w:bookmarkEnd w:id="432"/>
      <w:r w:rsidR="00C975A0" w:rsidRPr="00EC250C">
        <w:t xml:space="preserve"> –</w:t>
      </w:r>
      <w:r w:rsidR="001874B8" w:rsidRPr="00EC250C">
        <w:t xml:space="preserve"> </w:t>
      </w:r>
      <w:r w:rsidR="00C975A0" w:rsidRPr="00EC250C">
        <w:t>art. 45 (Prawo do sądu)</w:t>
      </w:r>
    </w:p>
    <w:p w14:paraId="6D226B54" w14:textId="77777777" w:rsidR="00C91F6E" w:rsidRPr="00EC250C" w:rsidRDefault="00187708" w:rsidP="00EC79EB">
      <w:pPr>
        <w:pStyle w:val="Nagwek4"/>
      </w:pPr>
      <w:bookmarkStart w:id="433" w:name="_Toc6257836"/>
      <w:bookmarkStart w:id="434" w:name="_Toc11247710"/>
      <w:r w:rsidRPr="00EC250C">
        <w:t>Instalacje energetyczne. Zasiedzenie przez przedsiębiorcę przesyłowego lub Skarb Państwa służebności gruntowej</w:t>
      </w:r>
      <w:bookmarkEnd w:id="433"/>
      <w:bookmarkEnd w:id="434"/>
    </w:p>
    <w:p w14:paraId="5C7C65D5" w14:textId="77777777" w:rsidR="00B473F5" w:rsidRPr="00EC250C" w:rsidRDefault="00C975A0" w:rsidP="00D131FA">
      <w:pPr>
        <w:pStyle w:val="Problemczowieka"/>
        <w:jc w:val="both"/>
        <w:rPr>
          <w:rStyle w:val="Pogrubienie"/>
          <w:rFonts w:eastAsiaTheme="majorEastAsia"/>
          <w:b/>
          <w:bCs w:val="0"/>
        </w:rPr>
      </w:pPr>
      <w:r w:rsidRPr="00EC250C">
        <w:rPr>
          <w:rStyle w:val="Pogrubienie"/>
          <w:rFonts w:eastAsiaTheme="majorEastAsia"/>
          <w:b/>
          <w:bCs w:val="0"/>
        </w:rPr>
        <w:t>Od p</w:t>
      </w:r>
      <w:r w:rsidRPr="00EC250C">
        <w:rPr>
          <w:rStyle w:val="Pogrubienie"/>
          <w:rFonts w:eastAsiaTheme="majorEastAsia" w:hint="eastAsia"/>
          <w:b/>
          <w:bCs w:val="0"/>
        </w:rPr>
        <w:t>ół</w:t>
      </w:r>
      <w:r w:rsidRPr="00EC250C">
        <w:rPr>
          <w:rStyle w:val="Pogrubienie"/>
          <w:rFonts w:eastAsiaTheme="majorEastAsia"/>
          <w:b/>
          <w:bCs w:val="0"/>
        </w:rPr>
        <w:t xml:space="preserve"> wieku na dzia</w:t>
      </w:r>
      <w:r w:rsidRPr="00EC250C">
        <w:rPr>
          <w:rStyle w:val="Pogrubienie"/>
          <w:rFonts w:eastAsiaTheme="majorEastAsia" w:hint="eastAsia"/>
          <w:b/>
          <w:bCs w:val="0"/>
        </w:rPr>
        <w:t>ł</w:t>
      </w:r>
      <w:r w:rsidRPr="00EC250C">
        <w:rPr>
          <w:rStyle w:val="Pogrubienie"/>
          <w:rFonts w:eastAsiaTheme="majorEastAsia"/>
          <w:b/>
          <w:bCs w:val="0"/>
        </w:rPr>
        <w:t>ce stoi s</w:t>
      </w:r>
      <w:r w:rsidRPr="00EC250C">
        <w:rPr>
          <w:rStyle w:val="Pogrubienie"/>
          <w:rFonts w:eastAsiaTheme="majorEastAsia" w:hint="eastAsia"/>
          <w:b/>
          <w:bCs w:val="0"/>
        </w:rPr>
        <w:t>ł</w:t>
      </w:r>
      <w:r w:rsidRPr="00EC250C">
        <w:rPr>
          <w:rStyle w:val="Pogrubienie"/>
          <w:rFonts w:eastAsiaTheme="majorEastAsia"/>
          <w:b/>
          <w:bCs w:val="0"/>
        </w:rPr>
        <w:t>up linii energetycznej. W</w:t>
      </w:r>
      <w:r w:rsidRPr="00EC250C">
        <w:rPr>
          <w:rStyle w:val="Pogrubienie"/>
          <w:rFonts w:eastAsiaTheme="majorEastAsia" w:hint="eastAsia"/>
          <w:b/>
          <w:bCs w:val="0"/>
        </w:rPr>
        <w:t>ł</w:t>
      </w:r>
      <w:r w:rsidRPr="00EC250C">
        <w:rPr>
          <w:rStyle w:val="Pogrubienie"/>
          <w:rFonts w:eastAsiaTheme="majorEastAsia"/>
          <w:b/>
          <w:bCs w:val="0"/>
        </w:rPr>
        <w:t>a</w:t>
      </w:r>
      <w:r w:rsidRPr="00EC250C">
        <w:rPr>
          <w:rStyle w:val="Pogrubienie"/>
          <w:rFonts w:eastAsiaTheme="majorEastAsia" w:hint="eastAsia"/>
          <w:b/>
          <w:bCs w:val="0"/>
        </w:rPr>
        <w:t>ś</w:t>
      </w:r>
      <w:r w:rsidRPr="00EC250C">
        <w:rPr>
          <w:rStyle w:val="Pogrubienie"/>
          <w:rFonts w:eastAsiaTheme="majorEastAsia"/>
          <w:b/>
          <w:bCs w:val="0"/>
        </w:rPr>
        <w:t>ciciele chcieli uzyska</w:t>
      </w:r>
      <w:r w:rsidRPr="00EC250C">
        <w:rPr>
          <w:rStyle w:val="Pogrubienie"/>
          <w:rFonts w:eastAsiaTheme="majorEastAsia" w:hint="eastAsia"/>
          <w:b/>
          <w:bCs w:val="0"/>
        </w:rPr>
        <w:t>ć</w:t>
      </w:r>
      <w:r w:rsidRPr="00EC250C">
        <w:rPr>
          <w:rStyle w:val="Pogrubienie"/>
          <w:rFonts w:eastAsiaTheme="majorEastAsia"/>
          <w:b/>
          <w:bCs w:val="0"/>
        </w:rPr>
        <w:t xml:space="preserve"> za to zap</w:t>
      </w:r>
      <w:r w:rsidRPr="00EC250C">
        <w:rPr>
          <w:rStyle w:val="Pogrubienie"/>
          <w:rFonts w:eastAsiaTheme="majorEastAsia" w:hint="eastAsia"/>
          <w:b/>
          <w:bCs w:val="0"/>
        </w:rPr>
        <w:t>ł</w:t>
      </w:r>
      <w:r w:rsidRPr="00EC250C">
        <w:rPr>
          <w:rStyle w:val="Pogrubienie"/>
          <w:rFonts w:eastAsiaTheme="majorEastAsia"/>
          <w:b/>
          <w:bCs w:val="0"/>
        </w:rPr>
        <w:t>at</w:t>
      </w:r>
      <w:r w:rsidRPr="00EC250C">
        <w:rPr>
          <w:rStyle w:val="Pogrubienie"/>
          <w:rFonts w:eastAsiaTheme="majorEastAsia" w:hint="eastAsia"/>
          <w:b/>
          <w:bCs w:val="0"/>
        </w:rPr>
        <w:t>ę</w:t>
      </w:r>
      <w:r w:rsidRPr="00EC250C">
        <w:rPr>
          <w:rStyle w:val="Pogrubienie"/>
          <w:rFonts w:eastAsiaTheme="majorEastAsia"/>
          <w:b/>
          <w:bCs w:val="0"/>
        </w:rPr>
        <w:t>, ale przegrali spraw</w:t>
      </w:r>
      <w:r w:rsidRPr="00EC250C">
        <w:rPr>
          <w:rStyle w:val="Pogrubienie"/>
          <w:rFonts w:eastAsiaTheme="majorEastAsia" w:hint="eastAsia"/>
          <w:b/>
          <w:bCs w:val="0"/>
        </w:rPr>
        <w:t>ę</w:t>
      </w:r>
      <w:r w:rsidR="00992FD0" w:rsidRPr="00EC250C">
        <w:rPr>
          <w:rStyle w:val="Pogrubienie"/>
          <w:rFonts w:eastAsiaTheme="majorEastAsia"/>
          <w:b/>
          <w:bCs w:val="0"/>
        </w:rPr>
        <w:t xml:space="preserve"> w </w:t>
      </w:r>
      <w:r w:rsidRPr="00EC250C">
        <w:rPr>
          <w:rStyle w:val="Pogrubienie"/>
          <w:rFonts w:eastAsiaTheme="majorEastAsia"/>
          <w:b/>
          <w:bCs w:val="0"/>
        </w:rPr>
        <w:t>s</w:t>
      </w:r>
      <w:r w:rsidRPr="00EC250C">
        <w:rPr>
          <w:rStyle w:val="Pogrubienie"/>
          <w:rFonts w:eastAsiaTheme="majorEastAsia" w:hint="eastAsia"/>
          <w:b/>
          <w:bCs w:val="0"/>
        </w:rPr>
        <w:t>ą</w:t>
      </w:r>
      <w:r w:rsidRPr="00EC250C">
        <w:rPr>
          <w:rStyle w:val="Pogrubienie"/>
          <w:rFonts w:eastAsiaTheme="majorEastAsia"/>
          <w:b/>
          <w:bCs w:val="0"/>
        </w:rPr>
        <w:t>dzie. Uzna</w:t>
      </w:r>
      <w:r w:rsidRPr="00EC250C">
        <w:rPr>
          <w:rStyle w:val="Pogrubienie"/>
          <w:rFonts w:eastAsiaTheme="majorEastAsia" w:hint="eastAsia"/>
          <w:b/>
          <w:bCs w:val="0"/>
        </w:rPr>
        <w:t>ł</w:t>
      </w:r>
      <w:r w:rsidRPr="00EC250C">
        <w:rPr>
          <w:rStyle w:val="Pogrubienie"/>
          <w:rFonts w:eastAsiaTheme="majorEastAsia"/>
          <w:b/>
          <w:bCs w:val="0"/>
        </w:rPr>
        <w:t xml:space="preserve"> on, </w:t>
      </w:r>
      <w:r w:rsidRPr="00EC250C">
        <w:rPr>
          <w:rStyle w:val="Pogrubienie"/>
          <w:rFonts w:eastAsiaTheme="majorEastAsia" w:hint="eastAsia"/>
          <w:b/>
          <w:bCs w:val="0"/>
        </w:rPr>
        <w:t>ż</w:t>
      </w:r>
      <w:r w:rsidRPr="00EC250C">
        <w:rPr>
          <w:rStyle w:val="Pogrubienie"/>
          <w:rFonts w:eastAsiaTheme="majorEastAsia"/>
          <w:b/>
          <w:bCs w:val="0"/>
        </w:rPr>
        <w:t>e jeszcze</w:t>
      </w:r>
      <w:r w:rsidR="00992FD0" w:rsidRPr="00EC250C">
        <w:rPr>
          <w:rStyle w:val="Pogrubienie"/>
          <w:rFonts w:eastAsiaTheme="majorEastAsia"/>
          <w:b/>
          <w:bCs w:val="0"/>
        </w:rPr>
        <w:t xml:space="preserve"> w </w:t>
      </w:r>
      <w:r w:rsidRPr="00EC250C">
        <w:rPr>
          <w:rStyle w:val="Pogrubienie"/>
          <w:rFonts w:eastAsiaTheme="majorEastAsia"/>
          <w:b/>
          <w:bCs w:val="0"/>
        </w:rPr>
        <w:t>latach 80. Skarb Pa</w:t>
      </w:r>
      <w:r w:rsidRPr="00EC250C">
        <w:rPr>
          <w:rStyle w:val="Pogrubienie"/>
          <w:rFonts w:eastAsiaTheme="majorEastAsia" w:hint="eastAsia"/>
          <w:b/>
          <w:bCs w:val="0"/>
        </w:rPr>
        <w:t>ń</w:t>
      </w:r>
      <w:r w:rsidRPr="00EC250C">
        <w:rPr>
          <w:rStyle w:val="Pogrubienie"/>
          <w:rFonts w:eastAsiaTheme="majorEastAsia"/>
          <w:b/>
          <w:bCs w:val="0"/>
        </w:rPr>
        <w:t>stwa zasiedzia</w:t>
      </w:r>
      <w:r w:rsidRPr="00EC250C">
        <w:rPr>
          <w:rStyle w:val="Pogrubienie"/>
          <w:rFonts w:eastAsiaTheme="majorEastAsia" w:hint="eastAsia"/>
          <w:b/>
          <w:bCs w:val="0"/>
        </w:rPr>
        <w:t>ł</w:t>
      </w:r>
      <w:r w:rsidRPr="00EC250C">
        <w:rPr>
          <w:rStyle w:val="Pogrubienie"/>
          <w:rFonts w:eastAsiaTheme="majorEastAsia"/>
          <w:b/>
          <w:bCs w:val="0"/>
        </w:rPr>
        <w:t xml:space="preserve"> uprawnienie do wykorzystania cudzej ziemi pod urządzenia energ</w:t>
      </w:r>
      <w:r w:rsidR="00D1322B" w:rsidRPr="00EC250C">
        <w:rPr>
          <w:rStyle w:val="Pogrubienie"/>
          <w:rFonts w:eastAsiaTheme="majorEastAsia"/>
          <w:b/>
          <w:bCs w:val="0"/>
        </w:rPr>
        <w:t>etyczne</w:t>
      </w:r>
      <w:r w:rsidRPr="00EC250C">
        <w:rPr>
          <w:rStyle w:val="Pogrubienie"/>
          <w:rFonts w:eastAsiaTheme="majorEastAsia"/>
          <w:b/>
          <w:bCs w:val="0"/>
        </w:rPr>
        <w:t xml:space="preserve"> (tzw. służebność),</w:t>
      </w:r>
      <w:r w:rsidR="00992FD0" w:rsidRPr="00EC250C">
        <w:rPr>
          <w:rStyle w:val="Pogrubienie"/>
          <w:rFonts w:eastAsiaTheme="majorEastAsia"/>
          <w:b/>
          <w:bCs w:val="0"/>
        </w:rPr>
        <w:t xml:space="preserve"> a </w:t>
      </w:r>
      <w:r w:rsidRPr="00EC250C">
        <w:rPr>
          <w:rStyle w:val="Pogrubienie"/>
          <w:rFonts w:eastAsiaTheme="majorEastAsia"/>
          <w:b/>
          <w:bCs w:val="0"/>
        </w:rPr>
        <w:t>przej</w:t>
      </w:r>
      <w:r w:rsidRPr="00EC250C">
        <w:rPr>
          <w:rStyle w:val="Pogrubienie"/>
          <w:rFonts w:eastAsiaTheme="majorEastAsia" w:hint="eastAsia"/>
          <w:b/>
          <w:bCs w:val="0"/>
        </w:rPr>
        <w:t>ęł</w:t>
      </w:r>
      <w:r w:rsidRPr="00EC250C">
        <w:rPr>
          <w:rStyle w:val="Pogrubienie"/>
          <w:rFonts w:eastAsiaTheme="majorEastAsia"/>
          <w:b/>
          <w:bCs w:val="0"/>
        </w:rPr>
        <w:t>a je firma energetyczna. W</w:t>
      </w:r>
      <w:r w:rsidRPr="00EC250C">
        <w:rPr>
          <w:rStyle w:val="Pogrubienie"/>
          <w:rFonts w:eastAsiaTheme="majorEastAsia" w:hint="eastAsia"/>
          <w:b/>
          <w:bCs w:val="0"/>
        </w:rPr>
        <w:t>ł</w:t>
      </w:r>
      <w:r w:rsidRPr="00EC250C">
        <w:rPr>
          <w:rStyle w:val="Pogrubienie"/>
          <w:rFonts w:eastAsiaTheme="majorEastAsia"/>
          <w:b/>
          <w:bCs w:val="0"/>
        </w:rPr>
        <w:t>a</w:t>
      </w:r>
      <w:r w:rsidRPr="00EC250C">
        <w:rPr>
          <w:rStyle w:val="Pogrubienie"/>
          <w:rFonts w:eastAsiaTheme="majorEastAsia" w:hint="eastAsia"/>
          <w:b/>
          <w:bCs w:val="0"/>
        </w:rPr>
        <w:t>ś</w:t>
      </w:r>
      <w:r w:rsidRPr="00EC250C">
        <w:rPr>
          <w:rStyle w:val="Pogrubienie"/>
          <w:rFonts w:eastAsiaTheme="majorEastAsia"/>
          <w:b/>
          <w:bCs w:val="0"/>
        </w:rPr>
        <w:t>ciciele z</w:t>
      </w:r>
      <w:r w:rsidRPr="00EC250C">
        <w:rPr>
          <w:rStyle w:val="Pogrubienie"/>
          <w:rFonts w:eastAsiaTheme="majorEastAsia" w:hint="eastAsia"/>
          <w:b/>
          <w:bCs w:val="0"/>
        </w:rPr>
        <w:t>ł</w:t>
      </w:r>
      <w:r w:rsidRPr="00EC250C">
        <w:rPr>
          <w:rStyle w:val="Pogrubienie"/>
          <w:rFonts w:eastAsiaTheme="majorEastAsia"/>
          <w:b/>
          <w:bCs w:val="0"/>
        </w:rPr>
        <w:t>o</w:t>
      </w:r>
      <w:r w:rsidRPr="00EC250C">
        <w:rPr>
          <w:rStyle w:val="Pogrubienie"/>
          <w:rFonts w:eastAsiaTheme="majorEastAsia" w:hint="eastAsia"/>
          <w:b/>
          <w:bCs w:val="0"/>
        </w:rPr>
        <w:t>ż</w:t>
      </w:r>
      <w:r w:rsidRPr="00EC250C">
        <w:rPr>
          <w:rStyle w:val="Pogrubienie"/>
          <w:rFonts w:eastAsiaTheme="majorEastAsia"/>
          <w:b/>
          <w:bCs w:val="0"/>
        </w:rPr>
        <w:t>yli skarg</w:t>
      </w:r>
      <w:r w:rsidRPr="00EC250C">
        <w:rPr>
          <w:rStyle w:val="Pogrubienie"/>
          <w:rFonts w:eastAsiaTheme="majorEastAsia" w:hint="eastAsia"/>
          <w:b/>
          <w:bCs w:val="0"/>
        </w:rPr>
        <w:t>ę</w:t>
      </w:r>
      <w:r w:rsidRPr="00EC250C">
        <w:rPr>
          <w:rStyle w:val="Pogrubienie"/>
          <w:rFonts w:eastAsiaTheme="majorEastAsia"/>
          <w:b/>
          <w:bCs w:val="0"/>
        </w:rPr>
        <w:t xml:space="preserve"> konstytucyjn</w:t>
      </w:r>
      <w:r w:rsidRPr="00EC250C">
        <w:rPr>
          <w:rStyle w:val="Pogrubienie"/>
          <w:rFonts w:eastAsiaTheme="majorEastAsia" w:hint="eastAsia"/>
          <w:b/>
          <w:bCs w:val="0"/>
        </w:rPr>
        <w:t>ą</w:t>
      </w:r>
      <w:r w:rsidRPr="00EC250C">
        <w:rPr>
          <w:rStyle w:val="Pogrubienie"/>
          <w:rFonts w:eastAsiaTheme="majorEastAsia"/>
          <w:b/>
          <w:bCs w:val="0"/>
        </w:rPr>
        <w:t>, powo</w:t>
      </w:r>
      <w:r w:rsidRPr="00EC250C">
        <w:rPr>
          <w:rStyle w:val="Pogrubienie"/>
          <w:rFonts w:eastAsiaTheme="majorEastAsia" w:hint="eastAsia"/>
          <w:b/>
          <w:bCs w:val="0"/>
        </w:rPr>
        <w:t>ł</w:t>
      </w:r>
      <w:r w:rsidRPr="00EC250C">
        <w:rPr>
          <w:rStyle w:val="Pogrubienie"/>
          <w:rFonts w:eastAsiaTheme="majorEastAsia"/>
          <w:b/>
          <w:bCs w:val="0"/>
        </w:rPr>
        <w:t>uj</w:t>
      </w:r>
      <w:r w:rsidRPr="00EC250C">
        <w:rPr>
          <w:rStyle w:val="Pogrubienie"/>
          <w:rFonts w:eastAsiaTheme="majorEastAsia" w:hint="eastAsia"/>
          <w:b/>
          <w:bCs w:val="0"/>
        </w:rPr>
        <w:t>ą</w:t>
      </w:r>
      <w:r w:rsidRPr="00EC250C">
        <w:rPr>
          <w:rStyle w:val="Pogrubienie"/>
          <w:rFonts w:eastAsiaTheme="majorEastAsia"/>
          <w:b/>
          <w:bCs w:val="0"/>
        </w:rPr>
        <w:t>c si</w:t>
      </w:r>
      <w:r w:rsidRPr="00EC250C">
        <w:rPr>
          <w:rStyle w:val="Pogrubienie"/>
          <w:rFonts w:eastAsiaTheme="majorEastAsia" w:hint="eastAsia"/>
          <w:b/>
          <w:bCs w:val="0"/>
        </w:rPr>
        <w:t>ę</w:t>
      </w:r>
      <w:r w:rsidRPr="00EC250C">
        <w:rPr>
          <w:rStyle w:val="Pogrubienie"/>
          <w:rFonts w:eastAsiaTheme="majorEastAsia"/>
          <w:b/>
          <w:bCs w:val="0"/>
        </w:rPr>
        <w:t xml:space="preserve"> na naruszenie m.in. konstytucyjnego prawa ochrony w</w:t>
      </w:r>
      <w:r w:rsidRPr="00EC250C">
        <w:rPr>
          <w:rStyle w:val="Pogrubienie"/>
          <w:rFonts w:eastAsiaTheme="majorEastAsia" w:hint="eastAsia"/>
          <w:b/>
          <w:bCs w:val="0"/>
        </w:rPr>
        <w:t>ł</w:t>
      </w:r>
      <w:r w:rsidRPr="00EC250C">
        <w:rPr>
          <w:rStyle w:val="Pogrubienie"/>
          <w:rFonts w:eastAsiaTheme="majorEastAsia"/>
          <w:b/>
          <w:bCs w:val="0"/>
        </w:rPr>
        <w:t>asno</w:t>
      </w:r>
      <w:r w:rsidRPr="00EC250C">
        <w:rPr>
          <w:rStyle w:val="Pogrubienie"/>
          <w:rFonts w:eastAsiaTheme="majorEastAsia" w:hint="eastAsia"/>
          <w:b/>
          <w:bCs w:val="0"/>
        </w:rPr>
        <w:t>ś</w:t>
      </w:r>
      <w:r w:rsidRPr="00EC250C">
        <w:rPr>
          <w:rStyle w:val="Pogrubienie"/>
          <w:rFonts w:eastAsiaTheme="majorEastAsia"/>
          <w:b/>
          <w:bCs w:val="0"/>
        </w:rPr>
        <w:t>ci</w:t>
      </w:r>
      <w:r w:rsidR="00B473F5" w:rsidRPr="00EC250C">
        <w:rPr>
          <w:rStyle w:val="Pogrubienie"/>
          <w:rFonts w:eastAsiaTheme="majorEastAsia"/>
          <w:b/>
          <w:bCs w:val="0"/>
        </w:rPr>
        <w:t>.</w:t>
      </w:r>
    </w:p>
    <w:p w14:paraId="2B5B8102" w14:textId="77777777" w:rsidR="00187708" w:rsidRPr="00EC250C" w:rsidRDefault="00187708" w:rsidP="00D131FA">
      <w:pPr>
        <w:pStyle w:val="Styl1"/>
      </w:pPr>
      <w:r w:rsidRPr="00EC250C">
        <w:t>Służebność przesyłu to wprowadzone przez zmianę Kodeksu cywilnego</w:t>
      </w:r>
      <w:r w:rsidR="00992FD0" w:rsidRPr="00EC250C">
        <w:t xml:space="preserve"> z </w:t>
      </w:r>
      <w:r w:rsidRPr="00EC250C">
        <w:t>2008</w:t>
      </w:r>
      <w:r w:rsidR="00C91F6E" w:rsidRPr="00EC250C">
        <w:t> r.</w:t>
      </w:r>
      <w:r w:rsidRPr="00EC250C">
        <w:t xml:space="preserve"> obciążenie czyjejś nieruchomości na rzecz przedsiębiorcy, którego własnością są np. słupy wysokiego napięcia. By uniknąć roszczenia odszkodowawczego, przedsiębiorca powinien zawrzeć</w:t>
      </w:r>
      <w:r w:rsidR="00992FD0" w:rsidRPr="00EC250C">
        <w:t xml:space="preserve"> z </w:t>
      </w:r>
      <w:r w:rsidRPr="00EC250C">
        <w:t>właścicielem umowę</w:t>
      </w:r>
      <w:r w:rsidR="00992FD0" w:rsidRPr="00EC250C">
        <w:t xml:space="preserve"> o </w:t>
      </w:r>
      <w:r w:rsidRPr="00EC250C">
        <w:t>ustanowienie służebności przesyłu. Zanim przepisy te przyjęto,</w:t>
      </w:r>
      <w:r w:rsidR="00992FD0" w:rsidRPr="00EC250C">
        <w:t xml:space="preserve"> w </w:t>
      </w:r>
      <w:r w:rsidRPr="00EC250C">
        <w:rPr>
          <w:shd w:val="clear" w:color="auto" w:fill="FFFFFF"/>
        </w:rPr>
        <w:t>2003</w:t>
      </w:r>
      <w:r w:rsidR="00C91F6E" w:rsidRPr="00EC250C">
        <w:rPr>
          <w:shd w:val="clear" w:color="auto" w:fill="FFFFFF"/>
        </w:rPr>
        <w:t> r.</w:t>
      </w:r>
      <w:r w:rsidRPr="00EC250C">
        <w:rPr>
          <w:shd w:val="clear" w:color="auto" w:fill="FFFFFF"/>
        </w:rPr>
        <w:t xml:space="preserve"> Sąd Najwyższy uznał, że możliwe jest zasiedzenie przez Skarb Państwa lub przedsiębiorcę służebności gruntowej</w:t>
      </w:r>
      <w:r w:rsidR="00992FD0" w:rsidRPr="00EC250C">
        <w:rPr>
          <w:shd w:val="clear" w:color="auto" w:fill="FFFFFF"/>
        </w:rPr>
        <w:t xml:space="preserve"> o </w:t>
      </w:r>
      <w:r w:rsidRPr="00EC250C">
        <w:rPr>
          <w:shd w:val="clear" w:color="auto" w:fill="FFFFFF"/>
        </w:rPr>
        <w:t xml:space="preserve">treści </w:t>
      </w:r>
      <w:r w:rsidRPr="00EC250C">
        <w:t>s</w:t>
      </w:r>
      <w:r w:rsidRPr="00EC250C">
        <w:rPr>
          <w:rFonts w:hint="eastAsia"/>
        </w:rPr>
        <w:t>ł</w:t>
      </w:r>
      <w:r w:rsidRPr="00EC250C">
        <w:t>u</w:t>
      </w:r>
      <w:r w:rsidRPr="00EC250C">
        <w:rPr>
          <w:rFonts w:hint="eastAsia"/>
        </w:rPr>
        <w:t>ż</w:t>
      </w:r>
      <w:r w:rsidRPr="00EC250C">
        <w:t>ebno</w:t>
      </w:r>
      <w:r w:rsidRPr="00EC250C">
        <w:rPr>
          <w:rFonts w:hint="eastAsia"/>
        </w:rPr>
        <w:t>ś</w:t>
      </w:r>
      <w:r w:rsidRPr="00EC250C">
        <w:t>ci</w:t>
      </w:r>
      <w:r w:rsidRPr="00EC250C">
        <w:rPr>
          <w:shd w:val="clear" w:color="auto" w:fill="FFFFFF"/>
        </w:rPr>
        <w:t xml:space="preserve"> przesyłu. Ta uchwała jest kluczowa</w:t>
      </w:r>
      <w:r w:rsidR="00992FD0" w:rsidRPr="00EC250C">
        <w:rPr>
          <w:shd w:val="clear" w:color="auto" w:fill="FFFFFF"/>
        </w:rPr>
        <w:t xml:space="preserve"> w </w:t>
      </w:r>
      <w:r w:rsidRPr="00EC250C">
        <w:rPr>
          <w:shd w:val="clear" w:color="auto" w:fill="FFFFFF"/>
        </w:rPr>
        <w:t>tej sprawie</w:t>
      </w:r>
      <w:r w:rsidR="00B558AC" w:rsidRPr="00EC250C">
        <w:rPr>
          <w:rStyle w:val="Odwoanieprzypisudolnego"/>
          <w:shd w:val="clear" w:color="auto" w:fill="FFFFFF"/>
        </w:rPr>
        <w:footnoteReference w:id="441"/>
      </w:r>
      <w:r w:rsidRPr="00EC250C">
        <w:rPr>
          <w:shd w:val="clear" w:color="auto" w:fill="FFFFFF"/>
        </w:rPr>
        <w:t>.</w:t>
      </w:r>
    </w:p>
    <w:p w14:paraId="70710164" w14:textId="77777777" w:rsidR="00B558AC" w:rsidRPr="00EC250C" w:rsidRDefault="00B558AC" w:rsidP="00D131FA">
      <w:pPr>
        <w:pStyle w:val="Styl1"/>
      </w:pPr>
      <w:r w:rsidRPr="00EC250C">
        <w:t>W jednej ze spraw obywatele wystąpili do sądu przeciw przedsiębiorstwu energetycznemu z powództwem o zapłatę za bezumowne korzystanie z ich terenu. Od 1967 r. na ich gruncie stoi słup linii energetycznej. Wskazywali, że przedsiębiorstwo nie ma żadnego tytułu do takiego korzystania z ich nieruchomości.</w:t>
      </w:r>
    </w:p>
    <w:p w14:paraId="3A4F4719" w14:textId="77777777" w:rsidR="00B558AC" w:rsidRPr="00EC250C" w:rsidRDefault="00B558AC" w:rsidP="00D131FA">
      <w:pPr>
        <w:pStyle w:val="Styl1"/>
      </w:pPr>
      <w:r w:rsidRPr="00EC250C">
        <w:t>Sądy oddaliły jednak powództwo, powołując się na uchwałę Sądu Najwyższego</w:t>
      </w:r>
      <w:r w:rsidRPr="00EC250C">
        <w:rPr>
          <w:shd w:val="clear" w:color="auto" w:fill="FFFFFF"/>
        </w:rPr>
        <w:t>.</w:t>
      </w:r>
    </w:p>
    <w:p w14:paraId="0E6767F8" w14:textId="77777777" w:rsidR="00B558AC" w:rsidRPr="00EC250C" w:rsidRDefault="00B558AC" w:rsidP="00D131FA">
      <w:pPr>
        <w:pStyle w:val="Styl1"/>
      </w:pPr>
      <w:r w:rsidRPr="00EC250C">
        <w:t>Po wyczerpaniu drogi sądowej obywatele złożyli skargę konstytucyjną do Trybunału Konstytucyjnego, a do postępowania przyłączył się RPO</w:t>
      </w:r>
      <w:r w:rsidRPr="00EC250C">
        <w:rPr>
          <w:rStyle w:val="Odwoanieprzypisudolnego"/>
        </w:rPr>
        <w:footnoteReference w:id="442"/>
      </w:r>
      <w:r w:rsidRPr="00EC250C">
        <w:t>. Argumentował, że zasiedzenie służebności, jako forma ustawowego pomniejszenia uprawnień właściciela nieruchomości, jest konstytucyjnie dopuszczalne, o ile właściciel może realnie podjąć działania przeciwdziałające skutkom zasiedzenia. Tu tak nie jest, bo obywatel nic nie może zdziałać, jeśli podstawą zasiedzenia jest wykładnia Sądu Najwyższego, a nie ustawa, która w tym momencie nie obowiązywała.</w:t>
      </w:r>
    </w:p>
    <w:p w14:paraId="300C5F6D" w14:textId="77777777" w:rsidR="00B558AC" w:rsidRPr="00EC250C" w:rsidRDefault="00B558AC" w:rsidP="00D131FA">
      <w:pPr>
        <w:pStyle w:val="Styl1"/>
        <w:rPr>
          <w:bCs/>
        </w:rPr>
      </w:pPr>
      <w:r w:rsidRPr="00EC250C">
        <w:rPr>
          <w:bCs/>
        </w:rPr>
        <w:lastRenderedPageBreak/>
        <w:t>Trybunał Konstytucyjny nie wyznaczył jeszcze terminu rozpoznania tej sprawy. Również w toku pozostaje dotycząca podobnego problemu sprawa, w której bierze udział</w:t>
      </w:r>
      <w:r w:rsidRPr="00EC250C">
        <w:rPr>
          <w:rStyle w:val="Odwoanieprzypisudolnego"/>
          <w:bCs/>
        </w:rPr>
        <w:footnoteReference w:id="443"/>
      </w:r>
      <w:r w:rsidRPr="00EC250C">
        <w:rPr>
          <w:bCs/>
        </w:rPr>
        <w:t xml:space="preserve"> RPO (sygn. akt P 10/16).</w:t>
      </w:r>
    </w:p>
    <w:p w14:paraId="65B59344" w14:textId="77777777" w:rsidR="00B558AC" w:rsidRPr="00EC250C" w:rsidRDefault="00B558AC" w:rsidP="00D131FA">
      <w:pPr>
        <w:pStyle w:val="Styl1"/>
        <w:rPr>
          <w:bCs/>
        </w:rPr>
      </w:pPr>
      <w:r w:rsidRPr="00EC250C">
        <w:rPr>
          <w:bCs/>
        </w:rPr>
        <w:t>W kolejnej zaś sprawie, również dotyczącej problemu zasiedzenia służebności przesyłu przed datą wprowadzenia tej instytucji do systemu prawnego, także z udziałem RPO, Trybunał umorzył postępowanie. Wydał jednak w niej również postanowienie</w:t>
      </w:r>
      <w:r w:rsidRPr="00EC250C">
        <w:rPr>
          <w:rStyle w:val="Odwoanieprzypisudolnego"/>
          <w:bCs/>
        </w:rPr>
        <w:footnoteReference w:id="444"/>
      </w:r>
      <w:r w:rsidRPr="00EC250C">
        <w:rPr>
          <w:bCs/>
        </w:rPr>
        <w:t xml:space="preserve"> sygnalizacyjne parlamentowi, że w prawie jest luka – nie ma przepisów przejściowych, opisujących, co ma się dziać zaraz po wprowadzeniu do systemu prawa instytucji służebności przesyłu.</w:t>
      </w:r>
    </w:p>
    <w:p w14:paraId="01DF7A2A" w14:textId="77777777" w:rsidR="00B558AC" w:rsidRPr="00EC250C" w:rsidRDefault="00B558AC" w:rsidP="00D131FA">
      <w:pPr>
        <w:pStyle w:val="Styl1"/>
        <w:rPr>
          <w:bCs/>
        </w:rPr>
      </w:pPr>
      <w:r w:rsidRPr="00EC250C">
        <w:rPr>
          <w:bCs/>
        </w:rPr>
        <w:t>Trybunał Konstytucyjny nie ma kompetencji do orzekania o zaniechaniach ustawodawczych, jednak analizowany problem dotyczy poważnego problemu społecznego. Znakomita większość urządzeń przesyłowych stanęła bez żadnej podstawy prawnej na prywatnych gruntach w latach 50., 60., 70. i 80. XX w. W sądach jest bardzo wiele spraw, a orzecznictwo sądów powszechnych odbiega niekiedy do dominującego stanowiska Sądu Najwyższego, co samo w sobie powinno stanowić impuls do zmian legislacyjnych. Nie jest natomiast rolą Trybunału Konstytucyjnego rozstrzyganie historycznych zaszłości, ani też sugerowanie rozwiązań merytorycznych mających je regulować.</w:t>
      </w:r>
    </w:p>
    <w:p w14:paraId="755E444B" w14:textId="77777777" w:rsidR="00B558AC" w:rsidRPr="00EC250C" w:rsidRDefault="00B558AC" w:rsidP="00D131FA">
      <w:pPr>
        <w:pStyle w:val="Styl1"/>
        <w:rPr>
          <w:bCs/>
        </w:rPr>
      </w:pPr>
      <w:r w:rsidRPr="00EC250C">
        <w:rPr>
          <w:bCs/>
        </w:rPr>
        <w:t>Sprawa ta nie jest więc nadal jednoznacznie przesądzona i wymaga dalszego monitorowania przez RPO.</w:t>
      </w:r>
    </w:p>
    <w:p w14:paraId="3C6EE371" w14:textId="77777777" w:rsidR="00C91F6E" w:rsidRPr="00EC250C" w:rsidRDefault="00187708" w:rsidP="00EC79EB">
      <w:pPr>
        <w:pStyle w:val="Nagwek4"/>
      </w:pPr>
      <w:bookmarkStart w:id="435" w:name="_Toc6257837"/>
      <w:bookmarkStart w:id="436" w:name="_Toc11247711"/>
      <w:r w:rsidRPr="00EC250C">
        <w:t>Instalacje energetyczne. Nowe uprawnienia spółek energetycznych do wkraczania na nieruchomości, gdzie są instalacje przesyłowe</w:t>
      </w:r>
      <w:bookmarkEnd w:id="435"/>
      <w:bookmarkEnd w:id="436"/>
    </w:p>
    <w:p w14:paraId="051829B7" w14:textId="77777777" w:rsidR="00D91FBD" w:rsidRPr="00EC250C" w:rsidRDefault="00187708" w:rsidP="00D131FA">
      <w:pPr>
        <w:pStyle w:val="Problemczowieka"/>
        <w:jc w:val="both"/>
      </w:pPr>
      <w:r w:rsidRPr="00EC250C">
        <w:t>Kiedy przedsiębiorca energetyczny ma prawo wjechać na czyjąś ziemię, żeby przeprowadzi konieczną modernizację gazociągu czy linii energetycznej? Czy może to zrobić, gdy mu to wynika</w:t>
      </w:r>
      <w:r w:rsidR="00992FD0" w:rsidRPr="00EC250C">
        <w:t xml:space="preserve"> z </w:t>
      </w:r>
      <w:r w:rsidRPr="00EC250C">
        <w:t>planów, czy powinien uwzględnić np. fakt, że na polu są jeszcze nie zebrane zbiory, które ulegną zniszczeniu</w:t>
      </w:r>
      <w:r w:rsidR="00D91FBD" w:rsidRPr="00EC250C">
        <w:t>?</w:t>
      </w:r>
    </w:p>
    <w:p w14:paraId="0B0505C9" w14:textId="77777777" w:rsidR="00C91F6E" w:rsidRPr="00EC250C" w:rsidRDefault="00187708" w:rsidP="00D131FA">
      <w:pPr>
        <w:pStyle w:val="Styl1"/>
        <w:rPr>
          <w:bCs/>
          <w:iCs/>
        </w:rPr>
      </w:pPr>
      <w:r w:rsidRPr="00EC250C">
        <w:rPr>
          <w:bCs/>
          <w:iCs/>
        </w:rPr>
        <w:t>W 2018</w:t>
      </w:r>
      <w:r w:rsidR="00C91F6E" w:rsidRPr="00EC250C">
        <w:rPr>
          <w:bCs/>
          <w:iCs/>
        </w:rPr>
        <w:t> r.</w:t>
      </w:r>
      <w:r w:rsidRPr="00EC250C">
        <w:rPr>
          <w:bCs/>
          <w:iCs/>
        </w:rPr>
        <w:t xml:space="preserve"> RPO – bezskutecznie – apelował do prezydenta, by nie zwiększał uprawnień spółek energetycznych kosztem praw właścicieli ziemi</w:t>
      </w:r>
    </w:p>
    <w:p w14:paraId="5ABB9B40" w14:textId="77777777" w:rsidR="00187708" w:rsidRPr="00EC250C" w:rsidRDefault="00187708" w:rsidP="00D131FA">
      <w:pPr>
        <w:pStyle w:val="Styl1"/>
      </w:pPr>
      <w:r w:rsidRPr="00EC250C">
        <w:t>Do czasu zmiany przepisów jeśli inwestor chciał zmodernizować sieć, występował</w:t>
      </w:r>
      <w:r w:rsidR="00992FD0" w:rsidRPr="00EC250C">
        <w:t xml:space="preserve"> o </w:t>
      </w:r>
      <w:r w:rsidRPr="00EC250C">
        <w:t>decyzję</w:t>
      </w:r>
      <w:r w:rsidR="00992FD0" w:rsidRPr="00EC250C">
        <w:t xml:space="preserve"> o </w:t>
      </w:r>
      <w:r w:rsidRPr="00EC250C">
        <w:t>udostępnieniu nieruchomości,</w:t>
      </w:r>
      <w:r w:rsidR="00992FD0" w:rsidRPr="00EC250C">
        <w:t xml:space="preserve"> a </w:t>
      </w:r>
      <w:r w:rsidRPr="00EC250C">
        <w:t>następnie –</w:t>
      </w:r>
      <w:r w:rsidR="00992FD0" w:rsidRPr="00EC250C">
        <w:t xml:space="preserve"> w </w:t>
      </w:r>
      <w:r w:rsidRPr="00EC250C">
        <w:t>razie konieczności –</w:t>
      </w:r>
      <w:r w:rsidR="00992FD0" w:rsidRPr="00EC250C">
        <w:t xml:space="preserve"> o </w:t>
      </w:r>
      <w:r w:rsidRPr="00EC250C">
        <w:t xml:space="preserve">zgodę na zajęcie nieruchomości. Mogło być bowiem tak, że właściciel działki </w:t>
      </w:r>
      <w:r w:rsidR="00FF5449" w:rsidRPr="00EC250C">
        <w:t xml:space="preserve">po prostu </w:t>
      </w:r>
      <w:r w:rsidRPr="00EC250C">
        <w:t>nie chce wpuścić na nią energetyków</w:t>
      </w:r>
      <w:r w:rsidR="00FF5449" w:rsidRPr="00EC250C">
        <w:t>, ale mogło</w:t>
      </w:r>
      <w:r w:rsidRPr="00EC250C">
        <w:t xml:space="preserve"> być </w:t>
      </w:r>
      <w:r w:rsidR="00FF5449" w:rsidRPr="00EC250C">
        <w:t xml:space="preserve">to także </w:t>
      </w:r>
      <w:r w:rsidR="00A3154F" w:rsidRPr="00EC250C">
        <w:t xml:space="preserve">uzasadnione </w:t>
      </w:r>
      <w:r w:rsidR="00FF5449" w:rsidRPr="00EC250C">
        <w:t xml:space="preserve">np. trwającymi </w:t>
      </w:r>
      <w:r w:rsidR="009C2A2E" w:rsidRPr="00EC250C">
        <w:t xml:space="preserve">na tej działce </w:t>
      </w:r>
      <w:r w:rsidR="00FF5449" w:rsidRPr="00EC250C">
        <w:t>zbiorami.</w:t>
      </w:r>
    </w:p>
    <w:p w14:paraId="6A3FDF08" w14:textId="77777777" w:rsidR="00187708" w:rsidRPr="00EC250C" w:rsidRDefault="00187708" w:rsidP="00D131FA">
      <w:pPr>
        <w:pStyle w:val="Styl1"/>
      </w:pPr>
      <w:r w:rsidRPr="00EC250C">
        <w:lastRenderedPageBreak/>
        <w:t>Wprowadzona</w:t>
      </w:r>
      <w:r w:rsidR="00992FD0" w:rsidRPr="00EC250C">
        <w:t xml:space="preserve"> w </w:t>
      </w:r>
      <w:r w:rsidRPr="00EC250C">
        <w:t>nowelizacji prawa energetycznego drobna zmiana do ustawy</w:t>
      </w:r>
      <w:r w:rsidR="00992FD0" w:rsidRPr="00EC250C">
        <w:t xml:space="preserve"> o </w:t>
      </w:r>
      <w:r w:rsidRPr="00EC250C">
        <w:t>gospodarce nieruchomościami stanowi, że jeśli organ zgodzi się, że konieczna jest modernizacja, to musi dać też zgodę na zajęcie nieruchomości</w:t>
      </w:r>
      <w:r w:rsidR="00992FD0" w:rsidRPr="00EC250C">
        <w:t xml:space="preserve"> z </w:t>
      </w:r>
      <w:r w:rsidRPr="00EC250C">
        <w:t>natychmiastową wykonalnością. Właściciel ziemi, np. rolnik, może więc to zaskarżyć, ale</w:t>
      </w:r>
      <w:r w:rsidR="00992FD0" w:rsidRPr="00EC250C">
        <w:t xml:space="preserve"> w </w:t>
      </w:r>
      <w:r w:rsidRPr="00EC250C">
        <w:t>tym czasie energetycy/gazownicy</w:t>
      </w:r>
      <w:r w:rsidR="00992FD0" w:rsidRPr="00EC250C">
        <w:t xml:space="preserve"> i </w:t>
      </w:r>
      <w:r w:rsidRPr="00EC250C">
        <w:t>tak będą mogli wjechać na jego pole.</w:t>
      </w:r>
    </w:p>
    <w:p w14:paraId="2F5C2E9E" w14:textId="77777777" w:rsidR="00C91F6E" w:rsidRPr="00EC250C" w:rsidRDefault="00187708" w:rsidP="00D131FA">
      <w:pPr>
        <w:pStyle w:val="Styl1"/>
      </w:pPr>
      <w:r w:rsidRPr="00EC250C">
        <w:t>Zdaniem RPO taka zmiana jest niepotrzebna</w:t>
      </w:r>
      <w:r w:rsidR="00992FD0" w:rsidRPr="00EC250C">
        <w:t xml:space="preserve"> i </w:t>
      </w:r>
      <w:r w:rsidRPr="00EC250C">
        <w:t>zbytnio ingeruje</w:t>
      </w:r>
      <w:r w:rsidR="00992FD0" w:rsidRPr="00EC250C">
        <w:t xml:space="preserve"> w </w:t>
      </w:r>
      <w:r w:rsidRPr="00EC250C">
        <w:t xml:space="preserve">relacje między stronami. </w:t>
      </w:r>
      <w:r w:rsidR="00AC7481" w:rsidRPr="00EC250C">
        <w:t>Istnieje bowiem tryb, który gwarantuje możliwość opatrzenia decyzji</w:t>
      </w:r>
      <w:r w:rsidR="00992FD0" w:rsidRPr="00EC250C">
        <w:t xml:space="preserve"> o </w:t>
      </w:r>
      <w:r w:rsidR="00AC7481" w:rsidRPr="00EC250C">
        <w:t xml:space="preserve">zajęciu nieruchomości rygorem natychmiastowej wykonalności, gdy okoliczności sprawy tego wymagają. </w:t>
      </w:r>
      <w:r w:rsidR="00B04745" w:rsidRPr="00EC250C">
        <w:t>RPO</w:t>
      </w:r>
      <w:r w:rsidR="00AC7481" w:rsidRPr="00EC250C">
        <w:t xml:space="preserve"> podkreślił, że stosowanie instytucji natychmiastowej wykonalności stanowi wyjątek</w:t>
      </w:r>
      <w:r w:rsidR="00992FD0" w:rsidRPr="00EC250C">
        <w:t xml:space="preserve"> i </w:t>
      </w:r>
      <w:r w:rsidR="00AC7481" w:rsidRPr="00EC250C">
        <w:t>dopuszczalne jest tym samym tylko</w:t>
      </w:r>
      <w:r w:rsidR="00992FD0" w:rsidRPr="00EC250C">
        <w:t xml:space="preserve"> w </w:t>
      </w:r>
      <w:r w:rsidR="00AC7481" w:rsidRPr="00EC250C">
        <w:t>szczególnych przypadkach realnego zagrożenia określonych wartości lub praw.</w:t>
      </w:r>
    </w:p>
    <w:p w14:paraId="7E752EC6" w14:textId="77777777" w:rsidR="00187708" w:rsidRPr="00EC250C" w:rsidRDefault="00187708" w:rsidP="00D131FA">
      <w:pPr>
        <w:pStyle w:val="Styl1"/>
        <w:rPr>
          <w:bCs/>
          <w:iCs/>
        </w:rPr>
      </w:pPr>
      <w:r w:rsidRPr="00EC250C">
        <w:t xml:space="preserve">Prezydent ustawę </w:t>
      </w:r>
      <w:r w:rsidR="00FF5449" w:rsidRPr="00EC250C">
        <w:t xml:space="preserve">jednak </w:t>
      </w:r>
      <w:r w:rsidRPr="00EC250C">
        <w:t>podpisał</w:t>
      </w:r>
      <w:r w:rsidR="000A7154" w:rsidRPr="00EC250C">
        <w:rPr>
          <w:rStyle w:val="Odwoanieprzypisudolnego"/>
          <w:bCs/>
          <w:iCs/>
        </w:rPr>
        <w:footnoteReference w:id="445"/>
      </w:r>
      <w:r w:rsidR="000A7154" w:rsidRPr="00EC250C">
        <w:rPr>
          <w:bCs/>
          <w:iCs/>
        </w:rPr>
        <w:t>.</w:t>
      </w:r>
    </w:p>
    <w:p w14:paraId="709057CA" w14:textId="77777777" w:rsidR="00C91F6E" w:rsidRPr="00EC250C" w:rsidRDefault="00187708" w:rsidP="00EC79EB">
      <w:pPr>
        <w:pStyle w:val="Nagwek4"/>
      </w:pPr>
      <w:bookmarkStart w:id="437" w:name="_Toc6257838"/>
      <w:bookmarkStart w:id="438" w:name="_Toc11247712"/>
      <w:r w:rsidRPr="00EC250C">
        <w:t>Wątpliwości dotyczące brzmienia tekstu jednolitego ustawy</w:t>
      </w:r>
      <w:r w:rsidR="00992FD0" w:rsidRPr="00EC250C">
        <w:t xml:space="preserve"> o </w:t>
      </w:r>
      <w:r w:rsidRPr="00EC250C">
        <w:t>gospodarowaniu nieruchomościami rolnymi Skarbu Państwa</w:t>
      </w:r>
      <w:bookmarkEnd w:id="437"/>
      <w:bookmarkEnd w:id="438"/>
    </w:p>
    <w:p w14:paraId="6C84D5F1" w14:textId="77777777" w:rsidR="00187708" w:rsidRPr="00EC250C" w:rsidRDefault="00187708" w:rsidP="00D131FA">
      <w:pPr>
        <w:pStyle w:val="ODESANIE"/>
        <w:jc w:val="both"/>
      </w:pPr>
      <w:r w:rsidRPr="00EC250C">
        <w:t>Omówienie: Art. 2 – Zasada praworządności.</w:t>
      </w:r>
    </w:p>
    <w:p w14:paraId="3F107E9B" w14:textId="77777777" w:rsidR="00C91F6E" w:rsidRPr="00EC250C" w:rsidRDefault="00187708" w:rsidP="00EC79EB">
      <w:pPr>
        <w:pStyle w:val="Nagwek4"/>
      </w:pPr>
      <w:bookmarkStart w:id="439" w:name="_Toc6257839"/>
      <w:bookmarkStart w:id="440" w:name="_Toc11247713"/>
      <w:r w:rsidRPr="00EC250C">
        <w:t>Sankcje za naruszenie praw autorskich</w:t>
      </w:r>
      <w:bookmarkEnd w:id="439"/>
      <w:bookmarkEnd w:id="440"/>
    </w:p>
    <w:p w14:paraId="76D5C41E" w14:textId="77777777" w:rsidR="00B473F5" w:rsidRPr="00EC250C" w:rsidRDefault="00187708" w:rsidP="00D131FA">
      <w:pPr>
        <w:pStyle w:val="Problemczowieka"/>
        <w:jc w:val="both"/>
      </w:pPr>
      <w:r w:rsidRPr="00EC250C">
        <w:t>Jeśli ktoś wykorzysta czyjś utwór bez zgody właściciela autorskich praw majątkowych, to ten ma prawo dwukrotności niezapłaconego wynagrodzenia. Takie same sankcje grożą osobie, która umyślnie narusza autorskie prawa majątkowe np.</w:t>
      </w:r>
      <w:r w:rsidR="00992FD0" w:rsidRPr="00EC250C">
        <w:t xml:space="preserve"> w </w:t>
      </w:r>
      <w:r w:rsidRPr="00EC250C">
        <w:t>celach zarobkowych, jak</w:t>
      </w:r>
      <w:r w:rsidR="00992FD0" w:rsidRPr="00EC250C">
        <w:t xml:space="preserve"> i </w:t>
      </w:r>
      <w:r w:rsidRPr="00EC250C">
        <w:t>osobie, która takie prawa narusza nieświadomie</w:t>
      </w:r>
      <w:r w:rsidR="00B473F5" w:rsidRPr="00EC250C">
        <w:t>.</w:t>
      </w:r>
    </w:p>
    <w:p w14:paraId="01D19B81" w14:textId="77777777" w:rsidR="00C91F6E" w:rsidRPr="00EC250C" w:rsidRDefault="00187708" w:rsidP="00D131FA">
      <w:pPr>
        <w:pStyle w:val="Styl1"/>
        <w:rPr>
          <w:bCs/>
          <w:iCs/>
        </w:rPr>
      </w:pPr>
      <w:r w:rsidRPr="00EC250C">
        <w:rPr>
          <w:bCs/>
          <w:iCs/>
        </w:rPr>
        <w:t>Zdaniem RPO jest to</w:t>
      </w:r>
      <w:r w:rsidR="00992FD0" w:rsidRPr="00EC250C">
        <w:rPr>
          <w:bCs/>
          <w:iCs/>
        </w:rPr>
        <w:t xml:space="preserve"> o </w:t>
      </w:r>
      <w:r w:rsidRPr="00EC250C">
        <w:rPr>
          <w:bCs/>
          <w:iCs/>
        </w:rPr>
        <w:t>tyle niesprawiedliwe, że powszechna</w:t>
      </w:r>
      <w:r w:rsidR="00992FD0" w:rsidRPr="00EC250C">
        <w:rPr>
          <w:bCs/>
          <w:iCs/>
        </w:rPr>
        <w:t xml:space="preserve"> i </w:t>
      </w:r>
      <w:r w:rsidRPr="00EC250C">
        <w:rPr>
          <w:bCs/>
          <w:iCs/>
        </w:rPr>
        <w:t>masowa eksploatacja dóbr kultury</w:t>
      </w:r>
      <w:r w:rsidR="00992FD0" w:rsidRPr="00EC250C">
        <w:rPr>
          <w:bCs/>
          <w:iCs/>
        </w:rPr>
        <w:t xml:space="preserve"> w </w:t>
      </w:r>
      <w:r w:rsidRPr="00EC250C">
        <w:rPr>
          <w:bCs/>
          <w:iCs/>
        </w:rPr>
        <w:t>środowisku cyfrowym znacznie utrudnia ich użytkownikom uzyskanie wiarygodnej informacji</w:t>
      </w:r>
      <w:r w:rsidR="00992FD0" w:rsidRPr="00EC250C">
        <w:rPr>
          <w:bCs/>
          <w:iCs/>
        </w:rPr>
        <w:t xml:space="preserve"> o </w:t>
      </w:r>
      <w:r w:rsidRPr="00EC250C">
        <w:rPr>
          <w:bCs/>
          <w:iCs/>
        </w:rPr>
        <w:t xml:space="preserve">legalności zasobu. </w:t>
      </w:r>
      <w:r w:rsidR="00B04745" w:rsidRPr="00EC250C">
        <w:rPr>
          <w:bCs/>
          <w:iCs/>
        </w:rPr>
        <w:t>RPO</w:t>
      </w:r>
      <w:r w:rsidRPr="00EC250C">
        <w:rPr>
          <w:bCs/>
          <w:iCs/>
        </w:rPr>
        <w:t xml:space="preserve"> proponował rozważenie zmian</w:t>
      </w:r>
      <w:r w:rsidR="00992FD0" w:rsidRPr="00EC250C">
        <w:rPr>
          <w:bCs/>
          <w:iCs/>
        </w:rPr>
        <w:t xml:space="preserve"> w </w:t>
      </w:r>
      <w:r w:rsidRPr="00EC250C">
        <w:rPr>
          <w:bCs/>
          <w:iCs/>
        </w:rPr>
        <w:t>p</w:t>
      </w:r>
      <w:r w:rsidR="00FF5449" w:rsidRPr="00EC250C">
        <w:rPr>
          <w:bCs/>
          <w:iCs/>
        </w:rPr>
        <w:t>r</w:t>
      </w:r>
      <w:r w:rsidRPr="00EC250C">
        <w:rPr>
          <w:bCs/>
          <w:iCs/>
        </w:rPr>
        <w:t>awie autorskim</w:t>
      </w:r>
      <w:r w:rsidRPr="00EC250C">
        <w:rPr>
          <w:rStyle w:val="Odwoanieprzypisudolnego"/>
          <w:bCs/>
          <w:iCs/>
        </w:rPr>
        <w:footnoteReference w:id="446"/>
      </w:r>
      <w:r w:rsidRPr="00EC250C">
        <w:rPr>
          <w:bCs/>
          <w:iCs/>
        </w:rPr>
        <w:t xml:space="preserve">, ponieważ nie otrzymał odpowiedzi </w:t>
      </w:r>
      <w:r w:rsidR="006C2091" w:rsidRPr="00EC250C">
        <w:rPr>
          <w:bCs/>
          <w:iCs/>
        </w:rPr>
        <w:t>Ministra Kultury i DN</w:t>
      </w:r>
      <w:r w:rsidRPr="00EC250C">
        <w:rPr>
          <w:bCs/>
          <w:iCs/>
        </w:rPr>
        <w:t>, wystąpił</w:t>
      </w:r>
      <w:r w:rsidR="00992FD0" w:rsidRPr="00EC250C">
        <w:rPr>
          <w:bCs/>
          <w:iCs/>
        </w:rPr>
        <w:t xml:space="preserve"> o </w:t>
      </w:r>
      <w:r w:rsidRPr="00EC250C">
        <w:rPr>
          <w:bCs/>
          <w:iCs/>
        </w:rPr>
        <w:t>to do premiera</w:t>
      </w:r>
      <w:r w:rsidR="00FF5449" w:rsidRPr="00EC250C">
        <w:rPr>
          <w:bCs/>
          <w:iCs/>
        </w:rPr>
        <w:t>. Po tej interwencji</w:t>
      </w:r>
      <w:r w:rsidRPr="00EC250C">
        <w:rPr>
          <w:bCs/>
          <w:iCs/>
        </w:rPr>
        <w:t xml:space="preserve"> odpowiedź </w:t>
      </w:r>
      <w:r w:rsidR="006C2091" w:rsidRPr="00EC250C">
        <w:rPr>
          <w:bCs/>
          <w:iCs/>
        </w:rPr>
        <w:t xml:space="preserve">MKiDN </w:t>
      </w:r>
      <w:r w:rsidR="00FF5449" w:rsidRPr="00EC250C">
        <w:rPr>
          <w:bCs/>
          <w:iCs/>
        </w:rPr>
        <w:t>trafiła do RPO. Według Ministerstwa</w:t>
      </w:r>
      <w:r w:rsidRPr="00EC250C">
        <w:rPr>
          <w:bCs/>
          <w:iCs/>
        </w:rPr>
        <w:t xml:space="preserve"> regulacja nie wymaga zmian, gdyż wprowadza odpowiednią równowagę pomiędzy interesami twórców</w:t>
      </w:r>
      <w:r w:rsidR="00992FD0" w:rsidRPr="00EC250C">
        <w:rPr>
          <w:bCs/>
          <w:iCs/>
        </w:rPr>
        <w:t xml:space="preserve"> a </w:t>
      </w:r>
      <w:r w:rsidRPr="00EC250C">
        <w:rPr>
          <w:bCs/>
          <w:iCs/>
        </w:rPr>
        <w:t>interesami użytkowników. Argumentacja przedstawiona przez Ministra pozwala uznać, że praktyka stosowania prawa wypracowała kompromis pomiędzy ochroną praw twórców oraz użytkowników,</w:t>
      </w:r>
      <w:r w:rsidR="00992FD0" w:rsidRPr="00EC250C">
        <w:rPr>
          <w:bCs/>
          <w:iCs/>
        </w:rPr>
        <w:t xml:space="preserve"> w </w:t>
      </w:r>
      <w:r w:rsidRPr="00EC250C">
        <w:rPr>
          <w:bCs/>
          <w:iCs/>
        </w:rPr>
        <w:t>związku</w:t>
      </w:r>
      <w:r w:rsidR="00992FD0" w:rsidRPr="00EC250C">
        <w:rPr>
          <w:bCs/>
          <w:iCs/>
        </w:rPr>
        <w:t xml:space="preserve"> z </w:t>
      </w:r>
      <w:r w:rsidRPr="00EC250C">
        <w:rPr>
          <w:bCs/>
          <w:iCs/>
        </w:rPr>
        <w:t xml:space="preserve">czym Rzecznik </w:t>
      </w:r>
      <w:r w:rsidR="00B04745" w:rsidRPr="00EC250C">
        <w:rPr>
          <w:bCs/>
          <w:iCs/>
        </w:rPr>
        <w:t xml:space="preserve">Praw Obywatelskich </w:t>
      </w:r>
      <w:r w:rsidRPr="00EC250C">
        <w:rPr>
          <w:bCs/>
          <w:iCs/>
        </w:rPr>
        <w:t>zakończył działania</w:t>
      </w:r>
      <w:r w:rsidR="00992FD0" w:rsidRPr="00EC250C">
        <w:rPr>
          <w:bCs/>
          <w:iCs/>
        </w:rPr>
        <w:t xml:space="preserve"> w </w:t>
      </w:r>
      <w:r w:rsidRPr="00EC250C">
        <w:rPr>
          <w:bCs/>
          <w:iCs/>
        </w:rPr>
        <w:t>tej sprawie</w:t>
      </w:r>
      <w:r w:rsidR="00182887" w:rsidRPr="00EC250C">
        <w:rPr>
          <w:rStyle w:val="Odwoanieprzypisudolnego"/>
          <w:bCs/>
          <w:iCs/>
        </w:rPr>
        <w:footnoteReference w:id="447"/>
      </w:r>
      <w:r w:rsidRPr="00EC250C">
        <w:rPr>
          <w:bCs/>
          <w:iCs/>
        </w:rPr>
        <w:t>.</w:t>
      </w:r>
    </w:p>
    <w:p w14:paraId="614746DA" w14:textId="77777777" w:rsidR="00C91F6E" w:rsidRPr="00EC250C" w:rsidRDefault="009E2A21" w:rsidP="00EC79EB">
      <w:pPr>
        <w:pStyle w:val="Nagwek4"/>
      </w:pPr>
      <w:bookmarkStart w:id="441" w:name="_Toc7113807"/>
      <w:bookmarkStart w:id="442" w:name="_Toc11247714"/>
      <w:r w:rsidRPr="00EC250C">
        <w:lastRenderedPageBreak/>
        <w:t>Z</w:t>
      </w:r>
      <w:r w:rsidR="00863D73" w:rsidRPr="00EC250C">
        <w:t>asad</w:t>
      </w:r>
      <w:r w:rsidRPr="00EC250C">
        <w:t>y</w:t>
      </w:r>
      <w:r w:rsidR="00863D73" w:rsidRPr="00EC250C">
        <w:t xml:space="preserve"> wynagradzania</w:t>
      </w:r>
      <w:r w:rsidR="00992FD0" w:rsidRPr="00EC250C">
        <w:t xml:space="preserve"> i </w:t>
      </w:r>
      <w:r w:rsidR="00863D73" w:rsidRPr="00EC250C">
        <w:t>dokumentowania wydatk</w:t>
      </w:r>
      <w:r w:rsidR="00863D73" w:rsidRPr="00EC250C">
        <w:rPr>
          <w:rFonts w:hint="eastAsia"/>
        </w:rPr>
        <w:t>ó</w:t>
      </w:r>
      <w:r w:rsidR="00863D73" w:rsidRPr="00EC250C">
        <w:t>w biegłych sądowych</w:t>
      </w:r>
      <w:bookmarkEnd w:id="441"/>
      <w:bookmarkEnd w:id="442"/>
    </w:p>
    <w:p w14:paraId="067612BC" w14:textId="77777777" w:rsidR="00B473F5" w:rsidRPr="00EC250C" w:rsidRDefault="00863D73" w:rsidP="00D131FA">
      <w:pPr>
        <w:pStyle w:val="Problemczowieka"/>
        <w:jc w:val="both"/>
      </w:pPr>
      <w:r w:rsidRPr="00EC250C">
        <w:t>Nieproporcjonalnie niska wartość stawek za czynności biegłych może prowadzić do nieuzasadnionego pokrzywdzenia biegłych względem ich kolegów, którzy do pełnienia takich zadań przez organy wymiaru sprawiedliwości nie są powoływani</w:t>
      </w:r>
      <w:r w:rsidR="00992FD0" w:rsidRPr="00EC250C">
        <w:t xml:space="preserve"> i </w:t>
      </w:r>
      <w:r w:rsidRPr="00EC250C">
        <w:t>mogą</w:t>
      </w:r>
      <w:r w:rsidR="00992FD0" w:rsidRPr="00EC250C">
        <w:t xml:space="preserve"> w </w:t>
      </w:r>
      <w:r w:rsidRPr="00EC250C">
        <w:t>tym czasie wykonywać działalność zarobkową na zasadach rynkowych</w:t>
      </w:r>
      <w:r w:rsidR="00B473F5" w:rsidRPr="00EC250C">
        <w:t>.</w:t>
      </w:r>
    </w:p>
    <w:p w14:paraId="7AB9723C" w14:textId="77777777" w:rsidR="00C91F6E" w:rsidRPr="00EC250C" w:rsidRDefault="00863D73" w:rsidP="00D131FA">
      <w:pPr>
        <w:pStyle w:val="Styl1"/>
      </w:pPr>
      <w:r w:rsidRPr="00EC250C">
        <w:t>W 2018</w:t>
      </w:r>
      <w:r w:rsidR="00C91F6E" w:rsidRPr="00EC250C">
        <w:t> r.</w:t>
      </w:r>
      <w:r w:rsidRPr="00EC250C">
        <w:t xml:space="preserve"> Trybunał Konstytucyjny rozpoznał skargę konstytucyjną, do której </w:t>
      </w:r>
      <w:r w:rsidR="00B04745" w:rsidRPr="00EC250C">
        <w:t xml:space="preserve">RPO </w:t>
      </w:r>
      <w:r w:rsidRPr="00EC250C">
        <w:t>zgłosił udział</w:t>
      </w:r>
      <w:r w:rsidRPr="00EC250C">
        <w:rPr>
          <w:rStyle w:val="Odwoanieprzypisudolnego"/>
        </w:rPr>
        <w:footnoteReference w:id="448"/>
      </w:r>
      <w:r w:rsidRPr="00EC250C">
        <w:t>. Dotyczyła ona określenia stawek wynagrodzenia biegłych, taryf zryczałtowanych oraz sposobu dokumentowania wydatków niezbędnych dla wydania opinii</w:t>
      </w:r>
      <w:r w:rsidR="00992FD0" w:rsidRPr="00EC250C">
        <w:t xml:space="preserve"> w </w:t>
      </w:r>
      <w:r w:rsidRPr="00EC250C">
        <w:t xml:space="preserve">postępowaniu karnym. </w:t>
      </w:r>
      <w:r w:rsidR="00B04745" w:rsidRPr="00EC250C">
        <w:t xml:space="preserve">RPO </w:t>
      </w:r>
      <w:r w:rsidRPr="00EC250C">
        <w:t>zwrócił uwagę na fakt, że rozporządzenie</w:t>
      </w:r>
      <w:r w:rsidR="00992FD0" w:rsidRPr="00EC250C">
        <w:t xml:space="preserve"> w </w:t>
      </w:r>
      <w:r w:rsidRPr="00EC250C">
        <w:t>sprawie określenia stawek wynagrodzenia biegłych, pozwala na podwyższenie stawki biegłego</w:t>
      </w:r>
      <w:r w:rsidR="00992FD0" w:rsidRPr="00EC250C">
        <w:t xml:space="preserve"> o </w:t>
      </w:r>
      <w:r w:rsidRPr="00EC250C">
        <w:t>50%</w:t>
      </w:r>
      <w:r w:rsidR="00992FD0" w:rsidRPr="00EC250C">
        <w:t xml:space="preserve"> w </w:t>
      </w:r>
      <w:r w:rsidRPr="00EC250C">
        <w:t>razie złożoności problemu, ale tylko wtedy, gdy biegły nie tylko ma odpowiednie wykształcenie, ale jest też biegłym sądowym co najmniej jedną kadencję lub rzeczoznawcą przez co najmniej pięć lat. Ponadto, rozporządzenie pomija</w:t>
      </w:r>
      <w:r w:rsidR="00992FD0" w:rsidRPr="00EC250C">
        <w:t xml:space="preserve"> w </w:t>
      </w:r>
      <w:r w:rsidRPr="00EC250C">
        <w:t>wytycznych nakład pracy, kwalifikacje biegłego oraz poziom wynagrodzeń uzyskiwanych</w:t>
      </w:r>
      <w:r w:rsidR="00992FD0" w:rsidRPr="00EC250C">
        <w:t xml:space="preserve"> w </w:t>
      </w:r>
      <w:r w:rsidRPr="00EC250C">
        <w:t>danym zawodzie</w:t>
      </w:r>
      <w:r w:rsidRPr="00EC250C">
        <w:rPr>
          <w:rStyle w:val="Odwoanieprzypisudolnego"/>
        </w:rPr>
        <w:footnoteReference w:id="449"/>
      </w:r>
      <w:r w:rsidRPr="00EC250C">
        <w:t>.</w:t>
      </w:r>
    </w:p>
    <w:p w14:paraId="376073FD" w14:textId="77777777" w:rsidR="00863D73" w:rsidRPr="00EC250C" w:rsidRDefault="00863D73" w:rsidP="00D131FA">
      <w:pPr>
        <w:pStyle w:val="Styl1"/>
      </w:pPr>
      <w:r w:rsidRPr="00EC250C">
        <w:t>Trybunał Konstytucyjny</w:t>
      </w:r>
      <w:r w:rsidRPr="00EC250C">
        <w:rPr>
          <w:rStyle w:val="Odwoanieprzypisudolnego"/>
        </w:rPr>
        <w:footnoteReference w:id="450"/>
      </w:r>
      <w:r w:rsidRPr="00EC250C">
        <w:t xml:space="preserve"> uznał zaskarżone przepisy za niezgodne</w:t>
      </w:r>
      <w:r w:rsidR="00992FD0" w:rsidRPr="00EC250C">
        <w:t xml:space="preserve"> z </w:t>
      </w:r>
      <w:r w:rsidRPr="00EC250C">
        <w:t>Konstytucją. W ocenie Trybunału są one sprzeczne</w:t>
      </w:r>
      <w:r w:rsidR="00992FD0" w:rsidRPr="00EC250C">
        <w:t xml:space="preserve"> z </w:t>
      </w:r>
      <w:r w:rsidRPr="00EC250C">
        <w:t>konstytucyjną zasadą ochrony praw majątkowych, gdyż</w:t>
      </w:r>
      <w:r w:rsidR="00992FD0" w:rsidRPr="00EC250C">
        <w:t xml:space="preserve"> w </w:t>
      </w:r>
      <w:r w:rsidRPr="00EC250C">
        <w:t>sposób ewidentny zawęża kryteria ustawowe, warunkujące uzyskanie wynagrodzenia przez biegłego oraz – wbrew wytycznym ustawodawcy – całkowicie pomijają przesłankę nakładu pracy biegłego przy ustalaniu wysokości wynagrodzenia za jego pracę.</w:t>
      </w:r>
    </w:p>
    <w:p w14:paraId="0A4E850F" w14:textId="77777777" w:rsidR="00C91F6E" w:rsidRPr="00EC250C" w:rsidRDefault="00187708" w:rsidP="00EC79EB">
      <w:pPr>
        <w:pStyle w:val="Nagwek4"/>
      </w:pPr>
      <w:bookmarkStart w:id="443" w:name="_Toc6257841"/>
      <w:bookmarkStart w:id="444" w:name="_Toc11247715"/>
      <w:r w:rsidRPr="00EC250C">
        <w:t>Zasady zwrotu samochodów odholowanych</w:t>
      </w:r>
      <w:r w:rsidR="00992FD0" w:rsidRPr="00EC250C">
        <w:t xml:space="preserve"> z </w:t>
      </w:r>
      <w:r w:rsidRPr="00EC250C">
        <w:t>drogi publicznej</w:t>
      </w:r>
      <w:bookmarkEnd w:id="443"/>
      <w:bookmarkEnd w:id="444"/>
    </w:p>
    <w:p w14:paraId="01534341" w14:textId="77777777" w:rsidR="00D91FBD" w:rsidRPr="00EC250C" w:rsidRDefault="00187708" w:rsidP="00D131FA">
      <w:pPr>
        <w:pStyle w:val="Problemczowieka"/>
        <w:jc w:val="both"/>
      </w:pPr>
      <w:r w:rsidRPr="00EC250C">
        <w:t>Czy jest zgodne</w:t>
      </w:r>
      <w:r w:rsidR="00992FD0" w:rsidRPr="00EC250C">
        <w:t xml:space="preserve"> z </w:t>
      </w:r>
      <w:r w:rsidRPr="00EC250C">
        <w:t>Konstytucją, że pojazd odholowany</w:t>
      </w:r>
      <w:r w:rsidR="00992FD0" w:rsidRPr="00EC250C">
        <w:t xml:space="preserve"> z </w:t>
      </w:r>
      <w:r w:rsidRPr="00EC250C">
        <w:t>drogi publicznej może być wydany właścicielowi dopiero po okazaniu dowodu uiszczenia stosownych opłat</w:t>
      </w:r>
      <w:r w:rsidR="00D91FBD" w:rsidRPr="00EC250C">
        <w:t>?</w:t>
      </w:r>
    </w:p>
    <w:p w14:paraId="7247CDEE" w14:textId="77777777" w:rsidR="00D52B5C" w:rsidRPr="00EC250C" w:rsidRDefault="00D52B5C" w:rsidP="00D131FA">
      <w:pPr>
        <w:pStyle w:val="Styl1"/>
      </w:pPr>
      <w:r w:rsidRPr="00EC250C">
        <w:t>Odholowanie źle zaparkowanego pojazdu do wydatek nawet prawie 500 złotych (takie mogą być opłaty, których wysokość określają starostowie). Co jeśli nie możemy od razu zapłacić? Zgodnie</w:t>
      </w:r>
      <w:r w:rsidR="00992FD0" w:rsidRPr="00EC250C">
        <w:t xml:space="preserve"> z </w:t>
      </w:r>
      <w:r w:rsidRPr="00EC250C">
        <w:t>przepisami, którymi na wniosek Rzecznika</w:t>
      </w:r>
      <w:r w:rsidR="00B04745" w:rsidRPr="00EC250C">
        <w:t xml:space="preserve"> Praw Obywatelskich</w:t>
      </w:r>
      <w:r w:rsidRPr="00EC250C">
        <w:rPr>
          <w:rStyle w:val="Odwoanieprzypisudolnego"/>
        </w:rPr>
        <w:footnoteReference w:id="451"/>
      </w:r>
      <w:r w:rsidRPr="00EC250C">
        <w:t xml:space="preserve"> zajął się</w:t>
      </w:r>
      <w:r w:rsidR="00992FD0" w:rsidRPr="00EC250C">
        <w:t xml:space="preserve"> w </w:t>
      </w:r>
      <w:r w:rsidRPr="00EC250C">
        <w:t>2018</w:t>
      </w:r>
      <w:r w:rsidR="00C91F6E" w:rsidRPr="00EC250C">
        <w:t> r.</w:t>
      </w:r>
      <w:r w:rsidRPr="00EC250C">
        <w:t xml:space="preserve"> Trybunał Konstytucyjny, samochód będzie stał na parkingu strzeżonym (a każda kolejna doba postoju będzie kosztowała dodatkowo). Zostanie wydany </w:t>
      </w:r>
      <w:r w:rsidR="006C2091" w:rsidRPr="00EC250C">
        <w:t xml:space="preserve">właścicielowi </w:t>
      </w:r>
      <w:r w:rsidRPr="00EC250C">
        <w:t xml:space="preserve">dopiero po okazaniu dowodu uiszczenia opłaty za odholowanie. Zdaniem </w:t>
      </w:r>
      <w:r w:rsidR="00B04745" w:rsidRPr="00EC250C">
        <w:t xml:space="preserve">RPO </w:t>
      </w:r>
      <w:r w:rsidRPr="00EC250C">
        <w:t xml:space="preserve">uzależnienie wydania pojazdu od wniesienia opłat za jego </w:t>
      </w:r>
      <w:r w:rsidRPr="00EC250C">
        <w:lastRenderedPageBreak/>
        <w:t>odholowanie</w:t>
      </w:r>
      <w:r w:rsidR="00992FD0" w:rsidRPr="00EC250C">
        <w:t xml:space="preserve"> i </w:t>
      </w:r>
      <w:r w:rsidRPr="00EC250C">
        <w:t>przechowywanie na parkingu stanowi zbyt daleko idącą ingerencję ustawodawcy</w:t>
      </w:r>
      <w:r w:rsidR="00992FD0" w:rsidRPr="00EC250C">
        <w:t xml:space="preserve"> w </w:t>
      </w:r>
      <w:r w:rsidRPr="00EC250C">
        <w:t>prawo własności. Po pierwsze, zapłata</w:t>
      </w:r>
      <w:r w:rsidR="00992FD0" w:rsidRPr="00EC250C">
        <w:t xml:space="preserve"> i </w:t>
      </w:r>
      <w:r w:rsidRPr="00EC250C">
        <w:t xml:space="preserve">tak musi zostać dokonana (jeśli nie będzie – opłata może podlegać egzekucji), </w:t>
      </w:r>
      <w:r w:rsidR="00992FD0" w:rsidRPr="00EC250C">
        <w:t>a </w:t>
      </w:r>
      <w:r w:rsidRPr="00EC250C">
        <w:t>niewydawanie samochodu właścicielowi</w:t>
      </w:r>
      <w:r w:rsidR="00392799" w:rsidRPr="00EC250C">
        <w:t xml:space="preserve"> </w:t>
      </w:r>
      <w:r w:rsidRPr="00EC250C">
        <w:t>znacznie ogranicza go</w:t>
      </w:r>
      <w:r w:rsidR="00992FD0" w:rsidRPr="00EC250C">
        <w:t xml:space="preserve"> w </w:t>
      </w:r>
      <w:r w:rsidRPr="00EC250C">
        <w:t>wykonywaniu prawa własności</w:t>
      </w:r>
    </w:p>
    <w:p w14:paraId="47B421F1" w14:textId="77777777" w:rsidR="00D52B5C" w:rsidRPr="00EC250C" w:rsidRDefault="00D52B5C" w:rsidP="00D131FA">
      <w:pPr>
        <w:pStyle w:val="Styl1"/>
      </w:pPr>
      <w:r w:rsidRPr="00EC250C">
        <w:t>Trybunał</w:t>
      </w:r>
      <w:r w:rsidRPr="00EC250C">
        <w:rPr>
          <w:rStyle w:val="Odwoanieprzypisudolnego"/>
        </w:rPr>
        <w:footnoteReference w:id="452"/>
      </w:r>
      <w:r w:rsidRPr="00EC250C">
        <w:t xml:space="preserve"> przychylił się do zadania RPO</w:t>
      </w:r>
      <w:r w:rsidR="00992FD0" w:rsidRPr="00EC250C">
        <w:t xml:space="preserve"> i </w:t>
      </w:r>
      <w:r w:rsidRPr="00EC250C">
        <w:t xml:space="preserve">orzekł, że kwestionowane przez </w:t>
      </w:r>
      <w:r w:rsidR="00B04745" w:rsidRPr="00EC250C">
        <w:t xml:space="preserve">RPO </w:t>
      </w:r>
      <w:r w:rsidRPr="00EC250C">
        <w:t>przepisy są niezgodne</w:t>
      </w:r>
      <w:r w:rsidR="00992FD0" w:rsidRPr="00EC250C">
        <w:t xml:space="preserve"> z </w:t>
      </w:r>
      <w:r w:rsidRPr="00EC250C">
        <w:t>Konstytucją. Jednocześnie dał ustawodawcy 9 miesięcy na ich zmianę.</w:t>
      </w:r>
    </w:p>
    <w:p w14:paraId="6486F0F1" w14:textId="77777777" w:rsidR="00187708" w:rsidRPr="00EC250C" w:rsidRDefault="00187708" w:rsidP="00EC250C">
      <w:pPr>
        <w:pStyle w:val="Nagwek8"/>
      </w:pPr>
      <w:r w:rsidRPr="00EC250C">
        <w:t>Podatek VAT od opłat egzekucyjnych</w:t>
      </w:r>
    </w:p>
    <w:p w14:paraId="27D637F3" w14:textId="77777777" w:rsidR="00187708" w:rsidRPr="00EC250C" w:rsidRDefault="00187708" w:rsidP="00D131FA">
      <w:pPr>
        <w:pStyle w:val="Styl2"/>
        <w:rPr>
          <w:szCs w:val="24"/>
        </w:rPr>
      </w:pPr>
      <w:r w:rsidRPr="00EC250C">
        <w:rPr>
          <w:szCs w:val="24"/>
        </w:rPr>
        <w:t>Komornicy sądowi przy rozliczaniu kosztów egzekucji nie oddawali VAT doliczonego od opłaty egzekucyjnej, mimo rozstrzygnięcia</w:t>
      </w:r>
      <w:r w:rsidR="00992FD0" w:rsidRPr="00EC250C">
        <w:rPr>
          <w:szCs w:val="24"/>
        </w:rPr>
        <w:t xml:space="preserve"> w </w:t>
      </w:r>
      <w:r w:rsidRPr="00EC250C">
        <w:rPr>
          <w:szCs w:val="24"/>
        </w:rPr>
        <w:t>orzecznictwie</w:t>
      </w:r>
      <w:r w:rsidRPr="00EC250C">
        <w:rPr>
          <w:rStyle w:val="Odwoanieprzypisudolnego"/>
          <w:szCs w:val="24"/>
        </w:rPr>
        <w:footnoteReference w:id="453"/>
      </w:r>
      <w:r w:rsidRPr="00EC250C">
        <w:rPr>
          <w:szCs w:val="24"/>
        </w:rPr>
        <w:t>.</w:t>
      </w:r>
      <w:r w:rsidR="00D612F8" w:rsidRPr="00EC250C">
        <w:rPr>
          <w:szCs w:val="24"/>
        </w:rPr>
        <w:t xml:space="preserve"> W jednej ze spraw komornik </w:t>
      </w:r>
      <w:r w:rsidR="00D612F8" w:rsidRPr="00EC250C">
        <w:rPr>
          <w:rFonts w:ascii="TimesNewRomanPSMT" w:eastAsia="SimSun" w:hAnsi="TimesNewRomanPSMT" w:cs="TimesNewRomanPSMT"/>
          <w:lang w:eastAsia="en-US"/>
        </w:rPr>
        <w:t xml:space="preserve">odmówił byłemu dłużnikowi zwrotu kwoty podatku VAT, o jaką została powiększona </w:t>
      </w:r>
      <w:r w:rsidR="00D612F8" w:rsidRPr="00EC250C">
        <w:rPr>
          <w:szCs w:val="24"/>
        </w:rPr>
        <w:t xml:space="preserve">pobrana od niego opłata egzekucyjna, argumentując, że przywołana uchwała Sądu </w:t>
      </w:r>
      <w:r w:rsidR="00D612F8" w:rsidRPr="00EC250C">
        <w:rPr>
          <w:rFonts w:ascii="TimesNewRomanPSMT" w:eastAsia="SimSun" w:hAnsi="TimesNewRomanPSMT" w:cs="TimesNewRomanPSMT"/>
          <w:lang w:eastAsia="en-US"/>
        </w:rPr>
        <w:t>Najwyższego</w:t>
      </w:r>
      <w:r w:rsidR="00D612F8" w:rsidRPr="00EC250C">
        <w:rPr>
          <w:rStyle w:val="Odwoanieprzypisudolnego"/>
          <w:szCs w:val="24"/>
        </w:rPr>
        <w:footnoteReference w:id="454"/>
      </w:r>
      <w:r w:rsidR="00D612F8" w:rsidRPr="00EC250C">
        <w:rPr>
          <w:rFonts w:ascii="TimesNewRomanPSMT" w:eastAsia="SimSun" w:hAnsi="TimesNewRomanPSMT" w:cs="TimesNewRomanPSMT"/>
          <w:lang w:eastAsia="en-US"/>
        </w:rPr>
        <w:t xml:space="preserve"> nie ma charakteru prawa powszechnie obowiązującego i została wydana w jednostkowym przypadku w odpowiedzi na zagadnienie prawne.</w:t>
      </w:r>
    </w:p>
    <w:p w14:paraId="602D3C6B" w14:textId="77777777" w:rsidR="00C91F6E" w:rsidRPr="00EC250C" w:rsidRDefault="00187708" w:rsidP="00D131FA">
      <w:pPr>
        <w:pStyle w:val="Styl2"/>
        <w:rPr>
          <w:szCs w:val="24"/>
        </w:rPr>
      </w:pPr>
      <w:r w:rsidRPr="00EC250C">
        <w:rPr>
          <w:szCs w:val="24"/>
        </w:rPr>
        <w:t xml:space="preserve">Prezes Krajowej Rady Komorniczej, u którego interweniował RPO, poinformował, że </w:t>
      </w:r>
      <w:r w:rsidR="00D612F8" w:rsidRPr="00EC250C">
        <w:rPr>
          <w:szCs w:val="24"/>
        </w:rPr>
        <w:t xml:space="preserve">jego zdaniem przywołana </w:t>
      </w:r>
      <w:r w:rsidRPr="00EC250C">
        <w:rPr>
          <w:szCs w:val="24"/>
        </w:rPr>
        <w:t>uchwała Sądu Najwyższego nie ma mocy wstecznej</w:t>
      </w:r>
      <w:r w:rsidR="00992FD0" w:rsidRPr="00EC250C">
        <w:rPr>
          <w:szCs w:val="24"/>
        </w:rPr>
        <w:t xml:space="preserve"> i </w:t>
      </w:r>
      <w:r w:rsidRPr="00EC250C">
        <w:rPr>
          <w:szCs w:val="24"/>
        </w:rPr>
        <w:t>nie może odnosić się do rozstrzygnięć zapadłych wcześniej. Tym samym,</w:t>
      </w:r>
      <w:r w:rsidR="00992FD0" w:rsidRPr="00EC250C">
        <w:rPr>
          <w:szCs w:val="24"/>
        </w:rPr>
        <w:t xml:space="preserve"> w </w:t>
      </w:r>
      <w:r w:rsidRPr="00EC250C">
        <w:rPr>
          <w:szCs w:val="24"/>
        </w:rPr>
        <w:t xml:space="preserve">ocenie Krajowej Rady Komorniczej, nie ma możliwości „zwrotu” podatku </w:t>
      </w:r>
      <w:r w:rsidR="00EF6689" w:rsidRPr="00EC250C">
        <w:rPr>
          <w:szCs w:val="24"/>
        </w:rPr>
        <w:t xml:space="preserve">wcześniej pobranego </w:t>
      </w:r>
      <w:r w:rsidRPr="00EC250C">
        <w:rPr>
          <w:szCs w:val="24"/>
        </w:rPr>
        <w:t>przez komornika</w:t>
      </w:r>
    </w:p>
    <w:p w14:paraId="4273B83A" w14:textId="77777777" w:rsidR="00187708" w:rsidRPr="00EC250C" w:rsidRDefault="00187708" w:rsidP="00D131FA">
      <w:pPr>
        <w:pStyle w:val="Styl2"/>
        <w:rPr>
          <w:szCs w:val="24"/>
        </w:rPr>
      </w:pPr>
      <w:r w:rsidRPr="00EC250C">
        <w:rPr>
          <w:szCs w:val="24"/>
        </w:rPr>
        <w:t>Postanowienie komornika</w:t>
      </w:r>
      <w:r w:rsidR="00992FD0" w:rsidRPr="00EC250C">
        <w:rPr>
          <w:szCs w:val="24"/>
        </w:rPr>
        <w:t xml:space="preserve"> o </w:t>
      </w:r>
      <w:r w:rsidRPr="00EC250C">
        <w:rPr>
          <w:szCs w:val="24"/>
        </w:rPr>
        <w:t>kosztach sądowych – również</w:t>
      </w:r>
      <w:r w:rsidR="00992FD0" w:rsidRPr="00EC250C">
        <w:rPr>
          <w:szCs w:val="24"/>
        </w:rPr>
        <w:t xml:space="preserve"> w </w:t>
      </w:r>
      <w:r w:rsidRPr="00EC250C">
        <w:rPr>
          <w:szCs w:val="24"/>
        </w:rPr>
        <w:t>zakresie samego doliczenia podatku VAT od opłaty egzekucyjnej – można za to zakwestionować</w:t>
      </w:r>
      <w:r w:rsidR="00992FD0" w:rsidRPr="00EC250C">
        <w:rPr>
          <w:szCs w:val="24"/>
        </w:rPr>
        <w:t xml:space="preserve"> w </w:t>
      </w:r>
      <w:r w:rsidRPr="00EC250C">
        <w:rPr>
          <w:szCs w:val="24"/>
        </w:rPr>
        <w:t>sądzie</w:t>
      </w:r>
      <w:r w:rsidR="00026572" w:rsidRPr="00EC250C">
        <w:rPr>
          <w:szCs w:val="24"/>
        </w:rPr>
        <w:t xml:space="preserve"> – </w:t>
      </w:r>
      <w:r w:rsidRPr="00EC250C">
        <w:rPr>
          <w:szCs w:val="24"/>
        </w:rPr>
        <w:t xml:space="preserve">także po zakończeniu postępowania komorniczego. </w:t>
      </w:r>
      <w:r w:rsidR="00B04745" w:rsidRPr="00EC250C">
        <w:rPr>
          <w:szCs w:val="24"/>
        </w:rPr>
        <w:t>RPO</w:t>
      </w:r>
      <w:r w:rsidRPr="00EC250C">
        <w:rPr>
          <w:szCs w:val="24"/>
        </w:rPr>
        <w:t xml:space="preserve"> uznał, że jego dalsze interwencje</w:t>
      </w:r>
      <w:r w:rsidR="00992FD0" w:rsidRPr="00EC250C">
        <w:rPr>
          <w:szCs w:val="24"/>
        </w:rPr>
        <w:t xml:space="preserve"> o </w:t>
      </w:r>
      <w:r w:rsidRPr="00EC250C">
        <w:rPr>
          <w:szCs w:val="24"/>
        </w:rPr>
        <w:t>charakterze generalnym nie są niezbędne dla ochrony praw dłużników, skoro ochrony takiej</w:t>
      </w:r>
      <w:r w:rsidR="00992FD0" w:rsidRPr="00EC250C">
        <w:rPr>
          <w:szCs w:val="24"/>
        </w:rPr>
        <w:t xml:space="preserve"> w </w:t>
      </w:r>
      <w:r w:rsidRPr="00EC250C">
        <w:rPr>
          <w:szCs w:val="24"/>
        </w:rPr>
        <w:t>indywidualnych sprawach może udzielić sąd.</w:t>
      </w:r>
    </w:p>
    <w:p w14:paraId="6C6F5D5D" w14:textId="77777777" w:rsidR="00187708" w:rsidRPr="00EC250C" w:rsidRDefault="00187708" w:rsidP="00D131FA">
      <w:pPr>
        <w:spacing w:after="200" w:line="24" w:lineRule="auto"/>
        <w:jc w:val="both"/>
        <w:rPr>
          <w:b/>
          <w:bCs/>
          <w:color w:val="C00000"/>
          <w:sz w:val="36"/>
          <w:szCs w:val="28"/>
        </w:rPr>
      </w:pPr>
      <w:r w:rsidRPr="00EC250C">
        <w:rPr>
          <w:sz w:val="24"/>
        </w:rPr>
        <w:br w:type="page"/>
      </w:r>
    </w:p>
    <w:p w14:paraId="075D9FE4" w14:textId="77777777" w:rsidR="00C91F6E" w:rsidRPr="00EC250C" w:rsidRDefault="00187708" w:rsidP="00EC250C">
      <w:pPr>
        <w:pStyle w:val="Nagwek3"/>
      </w:pPr>
      <w:bookmarkStart w:id="445" w:name="_Toc6257842"/>
      <w:bookmarkStart w:id="446" w:name="_Toc11247716"/>
      <w:r w:rsidRPr="00EC250C">
        <w:lastRenderedPageBreak/>
        <w:t xml:space="preserve">Art. 65 </w:t>
      </w:r>
      <w:r w:rsidR="003C7122" w:rsidRPr="00EC250C">
        <w:t xml:space="preserve">Konstytucji </w:t>
      </w:r>
      <w:r w:rsidRPr="00EC250C">
        <w:t>ust. 1 – Wolność wyboru</w:t>
      </w:r>
      <w:r w:rsidR="00992FD0" w:rsidRPr="00EC250C">
        <w:t xml:space="preserve"> i </w:t>
      </w:r>
      <w:r w:rsidRPr="00EC250C">
        <w:t>wykonywania zawodu</w:t>
      </w:r>
      <w:bookmarkEnd w:id="445"/>
      <w:bookmarkEnd w:id="446"/>
    </w:p>
    <w:p w14:paraId="2DCB9EE8" w14:textId="77777777" w:rsidR="00187708" w:rsidRPr="00EC250C" w:rsidRDefault="00187708" w:rsidP="00D131FA">
      <w:pPr>
        <w:pStyle w:val="konstytucja"/>
        <w:jc w:val="both"/>
      </w:pPr>
      <w:r w:rsidRPr="00EC250C">
        <w:t>Każdemu zapewnia się wolność wyboru</w:t>
      </w:r>
      <w:r w:rsidR="00992FD0" w:rsidRPr="00EC250C">
        <w:t xml:space="preserve"> i </w:t>
      </w:r>
      <w:r w:rsidRPr="00EC250C">
        <w:t>wykonywania zawodu oraz wyboru miejsca pracy. Wyjątki określa ustawa.</w:t>
      </w:r>
    </w:p>
    <w:p w14:paraId="779C0325" w14:textId="77777777" w:rsidR="00187708" w:rsidRPr="00EC250C" w:rsidRDefault="00187708" w:rsidP="00D131FA">
      <w:pPr>
        <w:pStyle w:val="ComwiKonstytucja"/>
      </w:pPr>
      <w:r w:rsidRPr="00EC250C">
        <w:t>Artykuł 65 należy analizować</w:t>
      </w:r>
      <w:r w:rsidR="00992FD0" w:rsidRPr="00EC250C">
        <w:t xml:space="preserve"> w </w:t>
      </w:r>
      <w:r w:rsidRPr="00EC250C">
        <w:t>kontekście innych przepisów Konstytucji:</w:t>
      </w:r>
    </w:p>
    <w:p w14:paraId="37318C9E" w14:textId="77777777" w:rsidR="00C91F6E" w:rsidRPr="00EC250C" w:rsidRDefault="00187708" w:rsidP="00D131FA">
      <w:pPr>
        <w:pStyle w:val="ComwiKonstytucja"/>
      </w:pPr>
      <w:r w:rsidRPr="00EC250C">
        <w:t>art. 24 (ochrona pracy),</w:t>
      </w:r>
    </w:p>
    <w:p w14:paraId="02EC4BB7" w14:textId="77777777" w:rsidR="00C91F6E" w:rsidRPr="00EC250C" w:rsidRDefault="00187708" w:rsidP="00D131FA">
      <w:pPr>
        <w:pStyle w:val="ComwiKonstytucja"/>
      </w:pPr>
      <w:r w:rsidRPr="00EC250C">
        <w:t>art. 20 (dialog</w:t>
      </w:r>
      <w:r w:rsidR="00992FD0" w:rsidRPr="00EC250C">
        <w:t xml:space="preserve"> i </w:t>
      </w:r>
      <w:r w:rsidRPr="00EC250C">
        <w:t>współpraca jako podstawa ustroju gospodarczego),</w:t>
      </w:r>
    </w:p>
    <w:p w14:paraId="3E215571" w14:textId="77777777" w:rsidR="00C91F6E" w:rsidRPr="00EC250C" w:rsidRDefault="00187708" w:rsidP="00D131FA">
      <w:pPr>
        <w:pStyle w:val="ComwiKonstytucja"/>
      </w:pPr>
      <w:r w:rsidRPr="00EC250C">
        <w:t>art. 32 (zasada równości),</w:t>
      </w:r>
    </w:p>
    <w:p w14:paraId="1FD79F1B" w14:textId="77777777" w:rsidR="00C91F6E" w:rsidRPr="00EC250C" w:rsidRDefault="00187708" w:rsidP="00D131FA">
      <w:pPr>
        <w:pStyle w:val="ComwiKonstytucja"/>
      </w:pPr>
      <w:r w:rsidRPr="00EC250C">
        <w:t>art. 33 (równouprawnienie ze względu na płeć),</w:t>
      </w:r>
    </w:p>
    <w:p w14:paraId="2DFF8B21" w14:textId="77777777" w:rsidR="00C91F6E" w:rsidRPr="00EC250C" w:rsidRDefault="00187708" w:rsidP="00D131FA">
      <w:pPr>
        <w:pStyle w:val="ComwiKonstytucja"/>
      </w:pPr>
      <w:r w:rsidRPr="00EC250C">
        <w:t>art. 60 (dostęp do służby publicznej),</w:t>
      </w:r>
    </w:p>
    <w:p w14:paraId="3F892CEE" w14:textId="77777777" w:rsidR="00C91F6E" w:rsidRPr="00EC250C" w:rsidRDefault="00187708" w:rsidP="00D131FA">
      <w:pPr>
        <w:pStyle w:val="ComwiKonstytucja"/>
      </w:pPr>
      <w:r w:rsidRPr="00EC250C">
        <w:t>art. 66 (warunki</w:t>
      </w:r>
      <w:r w:rsidR="00992FD0" w:rsidRPr="00EC250C">
        <w:t xml:space="preserve"> i </w:t>
      </w:r>
      <w:r w:rsidRPr="00EC250C">
        <w:t>czas pracy),</w:t>
      </w:r>
    </w:p>
    <w:p w14:paraId="0C8D8C4B" w14:textId="77777777" w:rsidR="00C91F6E" w:rsidRPr="00EC250C" w:rsidRDefault="00187708" w:rsidP="00D131FA">
      <w:pPr>
        <w:pStyle w:val="ComwiKonstytucja"/>
      </w:pPr>
      <w:r w:rsidRPr="00EC250C">
        <w:t>art. 68 (pomoc</w:t>
      </w:r>
      <w:r w:rsidR="00992FD0" w:rsidRPr="00EC250C">
        <w:t xml:space="preserve"> w </w:t>
      </w:r>
      <w:r w:rsidRPr="00EC250C">
        <w:t>kryzysie bezrobocia),</w:t>
      </w:r>
    </w:p>
    <w:p w14:paraId="2D4BC6F4" w14:textId="77777777" w:rsidR="00C91F6E" w:rsidRPr="00EC250C" w:rsidRDefault="00187708" w:rsidP="00D131FA">
      <w:pPr>
        <w:pStyle w:val="ComwiKonstytucja"/>
      </w:pPr>
      <w:r w:rsidRPr="00EC250C">
        <w:t>art. 59 (zbiorowe prawa pracy).</w:t>
      </w:r>
    </w:p>
    <w:p w14:paraId="4F1C50D6" w14:textId="77777777" w:rsidR="00C91F6E" w:rsidRPr="00EC250C" w:rsidRDefault="00187708" w:rsidP="00D131FA">
      <w:pPr>
        <w:pStyle w:val="ComwiKonstytucja"/>
      </w:pPr>
      <w:r w:rsidRPr="00EC250C">
        <w:t>Konstytucja nie formułuje</w:t>
      </w:r>
      <w:r w:rsidR="00992FD0" w:rsidRPr="00EC250C">
        <w:t xml:space="preserve"> w </w:t>
      </w:r>
      <w:r w:rsidRPr="00EC250C">
        <w:t>swoich przepisach podmiotowego prawa jednostki do pracy, określa jednak zadania władz publicznych dla zapewnienia pełnego produktywnego zatrudnienia (art. 65 ust. 5).</w:t>
      </w:r>
    </w:p>
    <w:p w14:paraId="0C56058D" w14:textId="77777777" w:rsidR="00C91F6E" w:rsidRPr="00EC250C" w:rsidRDefault="00187708" w:rsidP="00D131FA">
      <w:pPr>
        <w:pStyle w:val="ComwiKonstytucja"/>
      </w:pPr>
      <w:r w:rsidRPr="00EC250C">
        <w:t>Ustęp 1 formułuje zasadę wolności pracy. W aspekcie pozytywnym oznacza ona wolność wyboru rodzaju</w:t>
      </w:r>
      <w:r w:rsidR="00992FD0" w:rsidRPr="00EC250C">
        <w:t xml:space="preserve"> i </w:t>
      </w:r>
      <w:r w:rsidRPr="00EC250C">
        <w:t>miejsca pracy (wolność wyboru pracodawcy), co oznacza, że władze nie mogą tworzyć nieuzasadnionych przeszkód</w:t>
      </w:r>
      <w:r w:rsidR="00992FD0" w:rsidRPr="00EC250C">
        <w:t xml:space="preserve"> w </w:t>
      </w:r>
      <w:r w:rsidRPr="00EC250C">
        <w:t>tym zakresie.</w:t>
      </w:r>
    </w:p>
    <w:p w14:paraId="5B1FA399" w14:textId="77777777" w:rsidR="00187708" w:rsidRPr="00EC250C" w:rsidRDefault="00187708" w:rsidP="00D131FA">
      <w:pPr>
        <w:pStyle w:val="ComwiKonstytucja"/>
      </w:pPr>
      <w:r w:rsidRPr="00EC250C">
        <w:t>Twórcy Konstytucji zagwarantowali zarówno wolność wyboru zawodu, jak</w:t>
      </w:r>
      <w:r w:rsidR="00992FD0" w:rsidRPr="00EC250C">
        <w:t xml:space="preserve"> i </w:t>
      </w:r>
      <w:r w:rsidRPr="00EC250C">
        <w:t>wolność jego późniejszego wykonywania. Odwołali się oni bezpośrednio do pojęcia „wolnych zawodów”. Wolność ta nie ma charakteru absolutnego (art. 65 ust. 1 zd. 2) – ustawa może określić od niej wyjątki.</w:t>
      </w:r>
    </w:p>
    <w:p w14:paraId="67D41951" w14:textId="77777777" w:rsidR="003E4DBD" w:rsidRPr="00EC250C" w:rsidRDefault="003E4DBD" w:rsidP="00D131FA">
      <w:pPr>
        <w:pStyle w:val="ComwiKonstytucja"/>
      </w:pPr>
    </w:p>
    <w:p w14:paraId="4EDC387A" w14:textId="77777777" w:rsidR="00187708" w:rsidRPr="00EC250C" w:rsidRDefault="00187708" w:rsidP="00D131FA">
      <w:pPr>
        <w:spacing w:after="200" w:line="24" w:lineRule="auto"/>
        <w:jc w:val="both"/>
        <w:rPr>
          <w:i/>
          <w:spacing w:val="5"/>
          <w:sz w:val="22"/>
        </w:rPr>
      </w:pPr>
      <w:r w:rsidRPr="00EC250C">
        <w:rPr>
          <w:sz w:val="24"/>
        </w:rPr>
        <w:br w:type="page"/>
      </w:r>
    </w:p>
    <w:p w14:paraId="716F8A6B" w14:textId="77777777" w:rsidR="00C91F6E" w:rsidRPr="00EC250C" w:rsidRDefault="00187708" w:rsidP="00EC79EB">
      <w:pPr>
        <w:pStyle w:val="Nagwek4"/>
      </w:pPr>
      <w:bookmarkStart w:id="447" w:name="_Toc6257843"/>
      <w:bookmarkStart w:id="448" w:name="_Toc11247717"/>
      <w:r w:rsidRPr="00EC250C">
        <w:lastRenderedPageBreak/>
        <w:t xml:space="preserve">Ograniczanie </w:t>
      </w:r>
      <w:r w:rsidR="00F143E8" w:rsidRPr="00EC250C">
        <w:t>zakresu</w:t>
      </w:r>
      <w:r w:rsidRPr="00EC250C">
        <w:t xml:space="preserve"> uprawnień budowlanych</w:t>
      </w:r>
      <w:bookmarkEnd w:id="447"/>
      <w:bookmarkEnd w:id="448"/>
    </w:p>
    <w:p w14:paraId="5F1E0C80" w14:textId="77777777" w:rsidR="00B473F5" w:rsidRPr="00EC250C" w:rsidRDefault="00187708" w:rsidP="00D131FA">
      <w:pPr>
        <w:pStyle w:val="Problemczowieka"/>
        <w:jc w:val="both"/>
        <w:rPr>
          <w:rStyle w:val="Pogrubienie"/>
          <w:rFonts w:eastAsiaTheme="majorEastAsia"/>
          <w:b/>
          <w:bCs w:val="0"/>
        </w:rPr>
      </w:pPr>
      <w:r w:rsidRPr="00EC250C">
        <w:t>Podstawowe zasady</w:t>
      </w:r>
      <w:r w:rsidR="00992FD0" w:rsidRPr="00EC250C">
        <w:t xml:space="preserve"> i </w:t>
      </w:r>
      <w:r w:rsidRPr="00EC250C">
        <w:t>ograniczenia wykonywania samodzielnych funkcji technicznych</w:t>
      </w:r>
      <w:r w:rsidR="00992FD0" w:rsidRPr="00EC250C">
        <w:t xml:space="preserve"> w </w:t>
      </w:r>
      <w:r w:rsidRPr="00EC250C">
        <w:t>budownictwie przez architekt</w:t>
      </w:r>
      <w:r w:rsidRPr="00EC250C">
        <w:rPr>
          <w:rFonts w:hint="eastAsia"/>
        </w:rPr>
        <w:t>ó</w:t>
      </w:r>
      <w:r w:rsidRPr="00EC250C">
        <w:t>w</w:t>
      </w:r>
      <w:r w:rsidR="00992FD0" w:rsidRPr="00EC250C">
        <w:t xml:space="preserve"> i </w:t>
      </w:r>
      <w:r w:rsidRPr="00EC250C">
        <w:t>in</w:t>
      </w:r>
      <w:r w:rsidRPr="00EC250C">
        <w:rPr>
          <w:rFonts w:hint="eastAsia"/>
        </w:rPr>
        <w:t>ż</w:t>
      </w:r>
      <w:r w:rsidRPr="00EC250C">
        <w:t>ynier</w:t>
      </w:r>
      <w:r w:rsidRPr="00EC250C">
        <w:rPr>
          <w:rFonts w:hint="eastAsia"/>
        </w:rPr>
        <w:t>ó</w:t>
      </w:r>
      <w:r w:rsidRPr="00EC250C">
        <w:t xml:space="preserve">w budownictwa </w:t>
      </w:r>
      <w:r w:rsidRPr="00EC250C">
        <w:rPr>
          <w:rStyle w:val="Pogrubienie"/>
          <w:rFonts w:eastAsiaTheme="majorEastAsia"/>
          <w:b/>
          <w:bCs w:val="0"/>
        </w:rPr>
        <w:t>okre</w:t>
      </w:r>
      <w:r w:rsidRPr="00EC250C">
        <w:rPr>
          <w:rStyle w:val="Pogrubienie"/>
          <w:rFonts w:eastAsiaTheme="majorEastAsia" w:hint="eastAsia"/>
          <w:b/>
          <w:bCs w:val="0"/>
        </w:rPr>
        <w:t>ś</w:t>
      </w:r>
      <w:r w:rsidRPr="00EC250C">
        <w:rPr>
          <w:rStyle w:val="Pogrubienie"/>
          <w:rFonts w:eastAsiaTheme="majorEastAsia"/>
          <w:b/>
          <w:bCs w:val="0"/>
        </w:rPr>
        <w:t>la rozporz</w:t>
      </w:r>
      <w:r w:rsidRPr="00EC250C">
        <w:rPr>
          <w:rStyle w:val="Pogrubienie"/>
          <w:rFonts w:eastAsiaTheme="majorEastAsia" w:hint="eastAsia"/>
          <w:b/>
          <w:bCs w:val="0"/>
        </w:rPr>
        <w:t>ą</w:t>
      </w:r>
      <w:r w:rsidRPr="00EC250C">
        <w:rPr>
          <w:rStyle w:val="Pogrubienie"/>
          <w:rFonts w:eastAsiaTheme="majorEastAsia"/>
          <w:b/>
          <w:bCs w:val="0"/>
        </w:rPr>
        <w:t>dzenie</w:t>
      </w:r>
      <w:r w:rsidR="00992FD0" w:rsidRPr="00EC250C">
        <w:rPr>
          <w:rStyle w:val="Pogrubienie"/>
          <w:rFonts w:eastAsiaTheme="majorEastAsia"/>
          <w:b/>
          <w:bCs w:val="0"/>
        </w:rPr>
        <w:t xml:space="preserve"> a </w:t>
      </w:r>
      <w:r w:rsidRPr="00EC250C">
        <w:rPr>
          <w:rStyle w:val="Pogrubienie"/>
          <w:rFonts w:eastAsiaTheme="majorEastAsia"/>
          <w:b/>
          <w:bCs w:val="0"/>
        </w:rPr>
        <w:t>nie ustawa</w:t>
      </w:r>
      <w:r w:rsidR="00B473F5" w:rsidRPr="00EC250C">
        <w:rPr>
          <w:rStyle w:val="Pogrubienie"/>
          <w:rFonts w:eastAsiaTheme="majorEastAsia"/>
          <w:b/>
          <w:bCs w:val="0"/>
        </w:rPr>
        <w:t>.</w:t>
      </w:r>
    </w:p>
    <w:p w14:paraId="1ED27E6B" w14:textId="77777777" w:rsidR="00187708" w:rsidRPr="00EC250C" w:rsidRDefault="00187708" w:rsidP="00D131FA">
      <w:pPr>
        <w:pStyle w:val="Styl1"/>
      </w:pPr>
      <w:r w:rsidRPr="00EC250C">
        <w:t>Trybunał Konstytucyjny uznał</w:t>
      </w:r>
      <w:r w:rsidR="00992FD0" w:rsidRPr="00EC250C">
        <w:t xml:space="preserve"> w </w:t>
      </w:r>
      <w:r w:rsidRPr="00EC250C">
        <w:t>2018</w:t>
      </w:r>
      <w:r w:rsidR="00C91F6E" w:rsidRPr="00EC250C">
        <w:t> r.</w:t>
      </w:r>
      <w:r w:rsidRPr="00EC250C">
        <w:rPr>
          <w:rStyle w:val="Odwoanieprzypisudolnego"/>
        </w:rPr>
        <w:footnoteReference w:id="455"/>
      </w:r>
      <w:r w:rsidRPr="00EC250C">
        <w:t xml:space="preserve"> – zgodnie</w:t>
      </w:r>
      <w:r w:rsidR="00992FD0" w:rsidRPr="00EC250C">
        <w:t xml:space="preserve"> z </w:t>
      </w:r>
      <w:r w:rsidRPr="00EC250C">
        <w:t>argumentacją RPO</w:t>
      </w:r>
      <w:r w:rsidR="00026572" w:rsidRPr="00EC250C">
        <w:t xml:space="preserve"> – </w:t>
      </w:r>
      <w:r w:rsidRPr="00EC250C">
        <w:t>że jest to niezgodne</w:t>
      </w:r>
      <w:r w:rsidR="00992FD0" w:rsidRPr="00EC250C">
        <w:t xml:space="preserve"> z </w:t>
      </w:r>
      <w:r w:rsidRPr="00EC250C">
        <w:t>Konstytucją: ograniczania uprawnień budowlanych stanowi ingerencję</w:t>
      </w:r>
      <w:r w:rsidR="00992FD0" w:rsidRPr="00EC250C">
        <w:t xml:space="preserve"> w </w:t>
      </w:r>
      <w:r w:rsidRPr="00EC250C">
        <w:t>konstytucyjną wolność wykonywania zawodu,</w:t>
      </w:r>
      <w:r w:rsidR="00992FD0" w:rsidRPr="00EC250C">
        <w:t xml:space="preserve"> a </w:t>
      </w:r>
      <w:r w:rsidRPr="00EC250C">
        <w:t>dla takiej materii Konstytucja zastrzega wyłączność ustawy. Trybunał wskazał, że rozporządzenie nie może</w:t>
      </w:r>
      <w:r w:rsidR="00992FD0" w:rsidRPr="00EC250C">
        <w:t xml:space="preserve"> w </w:t>
      </w:r>
      <w:r w:rsidRPr="00EC250C">
        <w:t>tym zakresie zastępować Prawa budowlanego. W ustawie powinien zostać wskazany nie tylko pozytywny zakres czynności</w:t>
      </w:r>
      <w:r w:rsidR="00992FD0" w:rsidRPr="00EC250C">
        <w:t xml:space="preserve"> w </w:t>
      </w:r>
      <w:r w:rsidRPr="00EC250C">
        <w:t>ramach uprawnień budowlanych, ale muszą być również określone wszelkie jego ograniczenia.</w:t>
      </w:r>
    </w:p>
    <w:p w14:paraId="0C488246" w14:textId="77777777" w:rsidR="00187708" w:rsidRPr="00EC250C" w:rsidRDefault="00187708" w:rsidP="00D131FA">
      <w:pPr>
        <w:pStyle w:val="Styl1"/>
        <w:rPr>
          <w:rFonts w:ascii="inherit" w:hAnsi="inherit"/>
          <w:color w:val="18223E"/>
          <w:sz w:val="21"/>
        </w:rPr>
      </w:pPr>
      <w:r w:rsidRPr="00EC250C">
        <w:t>RPO argumentował, że</w:t>
      </w:r>
      <w:r w:rsidR="00992FD0" w:rsidRPr="00EC250C">
        <w:t xml:space="preserve"> o </w:t>
      </w:r>
      <w:r w:rsidRPr="00EC250C">
        <w:t xml:space="preserve">ile za dopuszczalne </w:t>
      </w:r>
      <w:r w:rsidR="00685A94" w:rsidRPr="00EC250C">
        <w:t xml:space="preserve">jest doregulowanie </w:t>
      </w:r>
      <w:r w:rsidRPr="00EC250C">
        <w:t>na drodze rozporządzenia norm</w:t>
      </w:r>
      <w:r w:rsidR="00992FD0" w:rsidRPr="00EC250C">
        <w:t xml:space="preserve"> o </w:t>
      </w:r>
      <w:r w:rsidRPr="00EC250C">
        <w:t>charakterze technicznym, to nie można</w:t>
      </w:r>
      <w:r w:rsidR="00685A94" w:rsidRPr="00EC250C">
        <w:t xml:space="preserve"> </w:t>
      </w:r>
      <w:r w:rsidRPr="00EC250C">
        <w:t>domniemywać zakresu tego przekazania. Aby nie zagrozić planowanym</w:t>
      </w:r>
      <w:r w:rsidR="00992FD0" w:rsidRPr="00EC250C">
        <w:t xml:space="preserve"> i </w:t>
      </w:r>
      <w:r w:rsidRPr="00EC250C">
        <w:t xml:space="preserve">trwającym procesom inwestycyjnym, Trybunał – także na wniosek </w:t>
      </w:r>
      <w:r w:rsidR="00B04745" w:rsidRPr="00EC250C">
        <w:t>RPO</w:t>
      </w:r>
      <w:r w:rsidR="00026572" w:rsidRPr="00EC250C">
        <w:t xml:space="preserve"> – </w:t>
      </w:r>
      <w:r w:rsidRPr="00EC250C">
        <w:t>odroczył termin utraty mocy zakwestionowanych przepisów</w:t>
      </w:r>
      <w:r w:rsidR="00992FD0" w:rsidRPr="00EC250C">
        <w:t xml:space="preserve"> o </w:t>
      </w:r>
      <w:r w:rsidRPr="00EC250C">
        <w:t>12 miesięcy od dnia publikacji orzeczenia.</w:t>
      </w:r>
    </w:p>
    <w:p w14:paraId="54BA8222" w14:textId="77777777" w:rsidR="00187708" w:rsidRPr="00EC250C" w:rsidRDefault="00187708" w:rsidP="00EC79EB">
      <w:pPr>
        <w:pStyle w:val="Nagwek4"/>
      </w:pPr>
      <w:bookmarkStart w:id="449" w:name="_Toc6257844"/>
      <w:bookmarkStart w:id="450" w:name="_Toc11247718"/>
      <w:r w:rsidRPr="00EC250C">
        <w:t>Brak ustawowego okre</w:t>
      </w:r>
      <w:r w:rsidRPr="00EC250C">
        <w:rPr>
          <w:rFonts w:hint="eastAsia"/>
        </w:rPr>
        <w:t>ś</w:t>
      </w:r>
      <w:r w:rsidRPr="00EC250C">
        <w:t>lenia kwalifikacji gleboznawcy</w:t>
      </w:r>
      <w:bookmarkEnd w:id="449"/>
      <w:bookmarkEnd w:id="450"/>
    </w:p>
    <w:p w14:paraId="121F2FDD" w14:textId="77777777" w:rsidR="00B473F5" w:rsidRPr="00EC250C" w:rsidRDefault="003A1BCA" w:rsidP="00D131FA">
      <w:pPr>
        <w:pStyle w:val="Problemczowieka"/>
        <w:jc w:val="both"/>
        <w:rPr>
          <w:rStyle w:val="Pogrubienie"/>
          <w:bCs w:val="0"/>
        </w:rPr>
      </w:pPr>
      <w:r w:rsidRPr="00EC250C">
        <w:rPr>
          <w:rStyle w:val="Pogrubienie"/>
          <w:b/>
          <w:bCs w:val="0"/>
        </w:rPr>
        <w:t>Upowa</w:t>
      </w:r>
      <w:r w:rsidRPr="00EC250C">
        <w:rPr>
          <w:rStyle w:val="Pogrubienie"/>
          <w:rFonts w:hint="eastAsia"/>
          <w:b/>
          <w:bCs w:val="0"/>
        </w:rPr>
        <w:t>ż</w:t>
      </w:r>
      <w:r w:rsidRPr="00EC250C">
        <w:rPr>
          <w:rStyle w:val="Pogrubienie"/>
          <w:b/>
          <w:bCs w:val="0"/>
        </w:rPr>
        <w:t>nienia dla klasyfikator</w:t>
      </w:r>
      <w:r w:rsidRPr="00EC250C">
        <w:rPr>
          <w:rStyle w:val="Pogrubienie"/>
          <w:rFonts w:hint="eastAsia"/>
          <w:b/>
          <w:bCs w:val="0"/>
        </w:rPr>
        <w:t>ó</w:t>
      </w:r>
      <w:r w:rsidRPr="00EC250C">
        <w:rPr>
          <w:rStyle w:val="Pogrubienie"/>
          <w:b/>
          <w:bCs w:val="0"/>
        </w:rPr>
        <w:t>w ziemi wydaj</w:t>
      </w:r>
      <w:r w:rsidRPr="00EC250C">
        <w:rPr>
          <w:rStyle w:val="Pogrubienie"/>
          <w:rFonts w:hint="eastAsia"/>
          <w:b/>
          <w:bCs w:val="0"/>
        </w:rPr>
        <w:t>ą</w:t>
      </w:r>
      <w:r w:rsidRPr="00EC250C">
        <w:rPr>
          <w:rStyle w:val="Pogrubienie"/>
          <w:b/>
          <w:bCs w:val="0"/>
        </w:rPr>
        <w:t xml:space="preserve"> starostowie, nie mają do tego ustawowych kryteri</w:t>
      </w:r>
      <w:r w:rsidRPr="00EC250C">
        <w:rPr>
          <w:rStyle w:val="Pogrubienie"/>
          <w:rFonts w:hint="eastAsia"/>
          <w:b/>
          <w:bCs w:val="0"/>
        </w:rPr>
        <w:t>ó</w:t>
      </w:r>
      <w:r w:rsidRPr="00EC250C">
        <w:rPr>
          <w:rStyle w:val="Pogrubienie"/>
          <w:b/>
          <w:bCs w:val="0"/>
        </w:rPr>
        <w:t>w</w:t>
      </w:r>
      <w:r w:rsidR="00B473F5" w:rsidRPr="00EC250C">
        <w:rPr>
          <w:rStyle w:val="Pogrubienie"/>
          <w:bCs w:val="0"/>
        </w:rPr>
        <w:t>.</w:t>
      </w:r>
    </w:p>
    <w:p w14:paraId="517BFF23" w14:textId="77777777" w:rsidR="00187708" w:rsidRPr="00EC250C" w:rsidRDefault="00187708" w:rsidP="00D131FA">
      <w:pPr>
        <w:pStyle w:val="Styl1"/>
      </w:pPr>
      <w:r w:rsidRPr="00EC250C">
        <w:t>Od 2008</w:t>
      </w:r>
      <w:r w:rsidR="00C91F6E" w:rsidRPr="00EC250C">
        <w:t> r.</w:t>
      </w:r>
      <w:r w:rsidRPr="00EC250C">
        <w:t xml:space="preserve"> </w:t>
      </w:r>
      <w:r w:rsidR="00B04745" w:rsidRPr="00EC250C">
        <w:t>RPO</w:t>
      </w:r>
      <w:r w:rsidRPr="00EC250C">
        <w:t xml:space="preserve"> ubiega si</w:t>
      </w:r>
      <w:r w:rsidRPr="00EC250C">
        <w:rPr>
          <w:rFonts w:hint="eastAsia"/>
        </w:rPr>
        <w:t>ę</w:t>
      </w:r>
      <w:r w:rsidRPr="00EC250C">
        <w:t xml:space="preserve"> u kolejnych ministr</w:t>
      </w:r>
      <w:r w:rsidRPr="00EC250C">
        <w:rPr>
          <w:rFonts w:hint="eastAsia"/>
        </w:rPr>
        <w:t>ó</w:t>
      </w:r>
      <w:r w:rsidRPr="00EC250C">
        <w:t>w rolnictwa</w:t>
      </w:r>
      <w:r w:rsidR="00992FD0" w:rsidRPr="00EC250C">
        <w:t xml:space="preserve"> o </w:t>
      </w:r>
      <w:r w:rsidRPr="00EC250C">
        <w:t>okre</w:t>
      </w:r>
      <w:r w:rsidRPr="00EC250C">
        <w:rPr>
          <w:rFonts w:hint="eastAsia"/>
        </w:rPr>
        <w:t>ś</w:t>
      </w:r>
      <w:r w:rsidRPr="00EC250C">
        <w:t>lenie kwalifikacji dla os</w:t>
      </w:r>
      <w:r w:rsidRPr="00EC250C">
        <w:rPr>
          <w:rFonts w:hint="eastAsia"/>
        </w:rPr>
        <w:t>ó</w:t>
      </w:r>
      <w:r w:rsidRPr="00EC250C">
        <w:t>b prowadz</w:t>
      </w:r>
      <w:r w:rsidRPr="00EC250C">
        <w:rPr>
          <w:rFonts w:hint="eastAsia"/>
        </w:rPr>
        <w:t>ą</w:t>
      </w:r>
      <w:r w:rsidRPr="00EC250C">
        <w:t>cych gleboznawcz</w:t>
      </w:r>
      <w:r w:rsidRPr="00EC250C">
        <w:rPr>
          <w:rFonts w:hint="eastAsia"/>
        </w:rPr>
        <w:t>ą</w:t>
      </w:r>
      <w:r w:rsidRPr="00EC250C">
        <w:t xml:space="preserve"> klasyfikacj</w:t>
      </w:r>
      <w:r w:rsidRPr="00EC250C">
        <w:rPr>
          <w:rFonts w:hint="eastAsia"/>
        </w:rPr>
        <w:t>ę</w:t>
      </w:r>
      <w:r w:rsidRPr="00EC250C">
        <w:t xml:space="preserve"> grunt</w:t>
      </w:r>
      <w:r w:rsidRPr="00EC250C">
        <w:rPr>
          <w:rFonts w:hint="eastAsia"/>
        </w:rPr>
        <w:t>ó</w:t>
      </w:r>
      <w:r w:rsidRPr="00EC250C">
        <w:t>w. Prawidłowe określanie klasyfikacji gruntów ma bardzo istotne znaczenie dla ewidencji gruntów. A ta jest urzędowym źródłem informacji wykorzystywanych</w:t>
      </w:r>
      <w:r w:rsidR="00992FD0" w:rsidRPr="00EC250C">
        <w:t xml:space="preserve"> w </w:t>
      </w:r>
      <w:r w:rsidRPr="00EC250C">
        <w:t>postępowaniach administracyjnych.</w:t>
      </w:r>
    </w:p>
    <w:p w14:paraId="1CF7B0FE" w14:textId="77777777" w:rsidR="00187708" w:rsidRPr="00EC250C" w:rsidRDefault="00187708" w:rsidP="00D131FA">
      <w:pPr>
        <w:pStyle w:val="Styl1"/>
      </w:pPr>
      <w:r w:rsidRPr="00EC250C">
        <w:t>W</w:t>
      </w:r>
      <w:r w:rsidRPr="00EC250C">
        <w:rPr>
          <w:rFonts w:hint="eastAsia"/>
        </w:rPr>
        <w:t> </w:t>
      </w:r>
      <w:r w:rsidRPr="00EC250C">
        <w:t>2016</w:t>
      </w:r>
      <w:r w:rsidR="00C91F6E" w:rsidRPr="00EC250C">
        <w:t> r.</w:t>
      </w:r>
      <w:r w:rsidRPr="00EC250C">
        <w:t xml:space="preserve"> Minister Rolnictwa przyzna</w:t>
      </w:r>
      <w:r w:rsidRPr="00EC250C">
        <w:rPr>
          <w:rFonts w:hint="eastAsia"/>
        </w:rPr>
        <w:t>ł</w:t>
      </w:r>
      <w:r w:rsidRPr="00EC250C">
        <w:t>,</w:t>
      </w:r>
      <w:r w:rsidRPr="00EC250C">
        <w:rPr>
          <w:rFonts w:hint="eastAsia"/>
        </w:rPr>
        <w:t> ż</w:t>
      </w:r>
      <w:r w:rsidRPr="00EC250C">
        <w:t>e konieczna jest nowelizacja Prawa geodezyjnego</w:t>
      </w:r>
      <w:r w:rsidR="00992FD0" w:rsidRPr="00EC250C">
        <w:t xml:space="preserve"> i </w:t>
      </w:r>
      <w:r w:rsidRPr="00EC250C">
        <w:t>kartograficznego. Nie doszło jednak do tego, dlatego RPO ponowi</w:t>
      </w:r>
      <w:r w:rsidRPr="00EC250C">
        <w:rPr>
          <w:rFonts w:hint="eastAsia"/>
        </w:rPr>
        <w:t>ł</w:t>
      </w:r>
      <w:r w:rsidRPr="00EC250C">
        <w:t xml:space="preserve"> wyst</w:t>
      </w:r>
      <w:r w:rsidRPr="00EC250C">
        <w:rPr>
          <w:rFonts w:hint="eastAsia"/>
        </w:rPr>
        <w:t>ą</w:t>
      </w:r>
      <w:r w:rsidRPr="00EC250C">
        <w:t>pienie, tym razem do Ministra Inwestycji</w:t>
      </w:r>
      <w:r w:rsidR="00992FD0" w:rsidRPr="00EC250C">
        <w:t xml:space="preserve"> i </w:t>
      </w:r>
      <w:r w:rsidRPr="00EC250C">
        <w:t>Rozwoju.</w:t>
      </w:r>
    </w:p>
    <w:p w14:paraId="654DBA7E" w14:textId="77777777" w:rsidR="00187708" w:rsidRPr="00EC250C" w:rsidRDefault="00187708" w:rsidP="00D131FA">
      <w:pPr>
        <w:pStyle w:val="Styl1"/>
      </w:pPr>
      <w:r w:rsidRPr="00EC250C">
        <w:t>Ten poinformował, że zmian nie powinno się wprowadzać do ustawy geodezyjnej (za którą odpowiada). Od tego są akty prawne pozostaj</w:t>
      </w:r>
      <w:r w:rsidRPr="00EC250C">
        <w:rPr>
          <w:rFonts w:hint="eastAsia"/>
        </w:rPr>
        <w:t>ą</w:t>
      </w:r>
      <w:r w:rsidRPr="00EC250C">
        <w:t>ce</w:t>
      </w:r>
      <w:r w:rsidR="00992FD0" w:rsidRPr="00EC250C">
        <w:t xml:space="preserve"> w </w:t>
      </w:r>
      <w:r w:rsidRPr="00EC250C">
        <w:t>kompetencjach Ministra Rolnictwa</w:t>
      </w:r>
      <w:r w:rsidR="00992FD0" w:rsidRPr="00EC250C">
        <w:t xml:space="preserve"> i </w:t>
      </w:r>
      <w:r w:rsidRPr="00EC250C">
        <w:t>Rozwoju Wsi. RPO napisa</w:t>
      </w:r>
      <w:r w:rsidRPr="00EC250C">
        <w:rPr>
          <w:rFonts w:hint="eastAsia"/>
        </w:rPr>
        <w:t>ł</w:t>
      </w:r>
      <w:r w:rsidRPr="00EC250C">
        <w:t xml:space="preserve"> wi</w:t>
      </w:r>
      <w:r w:rsidRPr="00EC250C">
        <w:rPr>
          <w:rFonts w:hint="eastAsia"/>
        </w:rPr>
        <w:t>ę</w:t>
      </w:r>
      <w:r w:rsidRPr="00EC250C">
        <w:t>c</w:t>
      </w:r>
      <w:r w:rsidR="00992FD0" w:rsidRPr="00EC250C">
        <w:t xml:space="preserve"> w </w:t>
      </w:r>
      <w:r w:rsidRPr="00EC250C">
        <w:t>tej sprawie ponownie do Ministra Rolnictwa. W 2018</w:t>
      </w:r>
      <w:r w:rsidR="00C91F6E" w:rsidRPr="00EC250C">
        <w:t> r.</w:t>
      </w:r>
      <w:r w:rsidRPr="00EC250C">
        <w:t xml:space="preserve"> nic się nie zmieniło</w:t>
      </w:r>
      <w:r w:rsidR="00767DCF" w:rsidRPr="00EC250C">
        <w:rPr>
          <w:rStyle w:val="Odwoanieprzypisudolnego"/>
        </w:rPr>
        <w:footnoteReference w:id="456"/>
      </w:r>
      <w:r w:rsidRPr="00EC250C">
        <w:t>.</w:t>
      </w:r>
    </w:p>
    <w:p w14:paraId="71F852C8" w14:textId="77777777" w:rsidR="00187708" w:rsidRPr="00EC250C" w:rsidRDefault="00187708" w:rsidP="00EC250C">
      <w:pPr>
        <w:pStyle w:val="Nagwek8"/>
      </w:pPr>
      <w:r w:rsidRPr="00EC250C">
        <w:lastRenderedPageBreak/>
        <w:t>Sprawa odmowy wpisu na listę radców prawnych</w:t>
      </w:r>
    </w:p>
    <w:p w14:paraId="5E8CA8C8" w14:textId="77777777" w:rsidR="00187708" w:rsidRPr="00EC250C" w:rsidRDefault="00187708" w:rsidP="00D131FA">
      <w:pPr>
        <w:pStyle w:val="Styl2"/>
        <w:rPr>
          <w:szCs w:val="24"/>
        </w:rPr>
      </w:pPr>
      <w:r w:rsidRPr="00EC250C">
        <w:rPr>
          <w:szCs w:val="24"/>
        </w:rPr>
        <w:t>Odmowa wpisu na listę radców prawnych osoby, która zdała egzamin radcowski,</w:t>
      </w:r>
      <w:r w:rsidR="00992FD0" w:rsidRPr="00EC250C">
        <w:rPr>
          <w:szCs w:val="24"/>
        </w:rPr>
        <w:t xml:space="preserve"> a </w:t>
      </w:r>
      <w:r w:rsidRPr="00EC250C">
        <w:rPr>
          <w:szCs w:val="24"/>
        </w:rPr>
        <w:t>nie odbyła aplikacji radcowskiej, nie była zasadna – orzekł Wojewódzki Sąd Administracyjny</w:t>
      </w:r>
      <w:r w:rsidR="00992FD0" w:rsidRPr="00EC250C">
        <w:rPr>
          <w:szCs w:val="24"/>
        </w:rPr>
        <w:t xml:space="preserve"> w </w:t>
      </w:r>
      <w:r w:rsidRPr="00EC250C">
        <w:rPr>
          <w:szCs w:val="24"/>
        </w:rPr>
        <w:t>Warszawie. Po stronie skarżącej, na jej prośbę, do postępowania przyłączył się Rzecznik Praw Obywatelskich.</w:t>
      </w:r>
    </w:p>
    <w:p w14:paraId="5533F0AC" w14:textId="77777777" w:rsidR="00187708" w:rsidRPr="00EC250C" w:rsidRDefault="00187708" w:rsidP="00D131FA">
      <w:pPr>
        <w:pStyle w:val="Styl2"/>
        <w:rPr>
          <w:szCs w:val="24"/>
        </w:rPr>
      </w:pPr>
      <w:r w:rsidRPr="00EC250C">
        <w:rPr>
          <w:szCs w:val="24"/>
        </w:rPr>
        <w:t>6 czerwca 2018</w:t>
      </w:r>
      <w:r w:rsidR="00C91F6E" w:rsidRPr="00EC250C">
        <w:rPr>
          <w:szCs w:val="24"/>
        </w:rPr>
        <w:t> r.</w:t>
      </w:r>
      <w:r w:rsidRPr="00EC250C">
        <w:rPr>
          <w:szCs w:val="24"/>
        </w:rPr>
        <w:t xml:space="preserve"> WSA</w:t>
      </w:r>
      <w:r w:rsidRPr="00EC250C">
        <w:rPr>
          <w:rStyle w:val="Odwoanieprzypisudolnego"/>
          <w:szCs w:val="24"/>
        </w:rPr>
        <w:footnoteReference w:id="457"/>
      </w:r>
      <w:r w:rsidRPr="00EC250C">
        <w:rPr>
          <w:szCs w:val="24"/>
        </w:rPr>
        <w:t xml:space="preserve"> </w:t>
      </w:r>
      <w:r w:rsidR="003A1BCA" w:rsidRPr="00EC250C">
        <w:rPr>
          <w:szCs w:val="24"/>
        </w:rPr>
        <w:t xml:space="preserve">w Warszawie </w:t>
      </w:r>
      <w:r w:rsidRPr="00EC250C">
        <w:rPr>
          <w:szCs w:val="24"/>
        </w:rPr>
        <w:t>oddalił skargę Prezydium Krajowej Rady Radców Prawnych na decyzję Ministra Sprawiedliwości</w:t>
      </w:r>
      <w:r w:rsidR="00992FD0" w:rsidRPr="00EC250C">
        <w:rPr>
          <w:szCs w:val="24"/>
        </w:rPr>
        <w:t xml:space="preserve"> w </w:t>
      </w:r>
      <w:r w:rsidRPr="00EC250C">
        <w:rPr>
          <w:szCs w:val="24"/>
        </w:rPr>
        <w:t>sprawie uchylenia uchwały</w:t>
      </w:r>
      <w:r w:rsidR="00992FD0" w:rsidRPr="00EC250C">
        <w:rPr>
          <w:szCs w:val="24"/>
        </w:rPr>
        <w:t xml:space="preserve"> o </w:t>
      </w:r>
      <w:r w:rsidRPr="00EC250C">
        <w:rPr>
          <w:szCs w:val="24"/>
        </w:rPr>
        <w:t>odmowie wpisu na listę radców prawnych. O takie rozstrzygnięcie wnosił RPO.</w:t>
      </w:r>
    </w:p>
    <w:p w14:paraId="44A4E587" w14:textId="77777777" w:rsidR="00187708" w:rsidRPr="00EC250C" w:rsidRDefault="00187708" w:rsidP="00D131FA">
      <w:pPr>
        <w:pStyle w:val="Styl2"/>
        <w:rPr>
          <w:szCs w:val="24"/>
        </w:rPr>
      </w:pPr>
      <w:r w:rsidRPr="00EC250C">
        <w:rPr>
          <w:szCs w:val="24"/>
        </w:rPr>
        <w:t>Powodem odmowy wpisu było uznanie, że skarżący nie spełnia warunku dotyczącego odpowiedniego doświadczenia (art. 24 ust. 1 pkt 6</w:t>
      </w:r>
      <w:r w:rsidR="00992FD0" w:rsidRPr="00EC250C">
        <w:rPr>
          <w:szCs w:val="24"/>
        </w:rPr>
        <w:t xml:space="preserve"> w </w:t>
      </w:r>
      <w:r w:rsidRPr="00EC250C">
        <w:rPr>
          <w:szCs w:val="24"/>
        </w:rPr>
        <w:t>zw.</w:t>
      </w:r>
      <w:r w:rsidR="00992FD0" w:rsidRPr="00EC250C">
        <w:rPr>
          <w:szCs w:val="24"/>
        </w:rPr>
        <w:t xml:space="preserve"> z </w:t>
      </w:r>
      <w:r w:rsidRPr="00EC250C">
        <w:rPr>
          <w:szCs w:val="24"/>
        </w:rPr>
        <w:t>art. 25 ust. 2 pkt 4 ustawy</w:t>
      </w:r>
      <w:r w:rsidR="00992FD0" w:rsidRPr="00EC250C">
        <w:rPr>
          <w:szCs w:val="24"/>
        </w:rPr>
        <w:t xml:space="preserve"> o </w:t>
      </w:r>
      <w:r w:rsidRPr="00EC250C">
        <w:rPr>
          <w:szCs w:val="24"/>
        </w:rPr>
        <w:t>radcach prawnych ). Jednak przepis ten określa wymogi dopuszczenia do egzaminu radcowskiego. Dlatego</w:t>
      </w:r>
      <w:r w:rsidR="00992FD0" w:rsidRPr="00EC250C">
        <w:rPr>
          <w:szCs w:val="24"/>
        </w:rPr>
        <w:t xml:space="preserve"> w </w:t>
      </w:r>
      <w:r w:rsidRPr="00EC250C">
        <w:rPr>
          <w:szCs w:val="24"/>
        </w:rPr>
        <w:t xml:space="preserve">ocenie </w:t>
      </w:r>
      <w:r w:rsidR="00B04745" w:rsidRPr="00EC250C">
        <w:rPr>
          <w:szCs w:val="24"/>
        </w:rPr>
        <w:t>RPO</w:t>
      </w:r>
      <w:r w:rsidRPr="00EC250C">
        <w:rPr>
          <w:szCs w:val="24"/>
        </w:rPr>
        <w:t xml:space="preserve"> Rada wyszła poza zakres kompetencji uprawniających do odmowy wpisu.</w:t>
      </w:r>
    </w:p>
    <w:p w14:paraId="05064D3B" w14:textId="77777777" w:rsidR="00C91F6E" w:rsidRPr="00EC250C" w:rsidRDefault="00187708" w:rsidP="00EC250C">
      <w:pPr>
        <w:pStyle w:val="Nagwek8"/>
      </w:pPr>
      <w:r w:rsidRPr="00EC250C">
        <w:t>Sprawa psychologów</w:t>
      </w:r>
      <w:r w:rsidR="00992FD0" w:rsidRPr="00EC250C">
        <w:t xml:space="preserve"> i </w:t>
      </w:r>
      <w:r w:rsidRPr="00EC250C">
        <w:t>powołania ich samorządu zawodowego</w:t>
      </w:r>
    </w:p>
    <w:p w14:paraId="5DCD7419" w14:textId="77777777" w:rsidR="003A1BCA" w:rsidRPr="00EC250C" w:rsidRDefault="00187708" w:rsidP="00D131FA">
      <w:pPr>
        <w:pStyle w:val="Styl2"/>
        <w:rPr>
          <w:szCs w:val="24"/>
        </w:rPr>
      </w:pPr>
      <w:r w:rsidRPr="00EC250C">
        <w:rPr>
          <w:szCs w:val="24"/>
        </w:rPr>
        <w:t xml:space="preserve">Rzecznik </w:t>
      </w:r>
      <w:r w:rsidR="00B04745" w:rsidRPr="00EC250C">
        <w:rPr>
          <w:szCs w:val="24"/>
        </w:rPr>
        <w:t xml:space="preserve">Praw Obywatelskich </w:t>
      </w:r>
      <w:r w:rsidRPr="00EC250C">
        <w:rPr>
          <w:szCs w:val="24"/>
        </w:rPr>
        <w:t>nadal apeluje</w:t>
      </w:r>
      <w:r w:rsidR="00992FD0" w:rsidRPr="00EC250C">
        <w:rPr>
          <w:szCs w:val="24"/>
        </w:rPr>
        <w:t xml:space="preserve"> o </w:t>
      </w:r>
      <w:r w:rsidRPr="00EC250C">
        <w:rPr>
          <w:szCs w:val="24"/>
        </w:rPr>
        <w:t>utworzenia samorządu zawodowego psychologów</w:t>
      </w:r>
      <w:r w:rsidRPr="00EC250C">
        <w:rPr>
          <w:rStyle w:val="Odwoanieprzypisudolnego"/>
          <w:szCs w:val="24"/>
        </w:rPr>
        <w:footnoteReference w:id="458"/>
      </w:r>
      <w:r w:rsidRPr="00EC250C">
        <w:rPr>
          <w:szCs w:val="24"/>
        </w:rPr>
        <w:t xml:space="preserve">. </w:t>
      </w:r>
      <w:r w:rsidR="003A1BCA" w:rsidRPr="00EC250C">
        <w:rPr>
          <w:szCs w:val="24"/>
        </w:rPr>
        <w:t>Postulat ten kieruje także na podstawie informacji uzyskanych w czasie spotkania z przedstawicielami środowiska.</w:t>
      </w:r>
    </w:p>
    <w:p w14:paraId="2DEBCE9B" w14:textId="77777777" w:rsidR="003A1BCA" w:rsidRPr="00EC250C" w:rsidRDefault="003A1BCA" w:rsidP="00D131FA">
      <w:pPr>
        <w:pStyle w:val="Styl2"/>
        <w:rPr>
          <w:szCs w:val="24"/>
        </w:rPr>
      </w:pPr>
      <w:r w:rsidRPr="00EC250C">
        <w:rPr>
          <w:szCs w:val="24"/>
        </w:rPr>
        <w:t>Samorząd m</w:t>
      </w:r>
      <w:r w:rsidR="00187708" w:rsidRPr="00EC250C">
        <w:rPr>
          <w:szCs w:val="24"/>
        </w:rPr>
        <w:t>a być on odpowiedzialny m.in. za dbałość</w:t>
      </w:r>
      <w:r w:rsidR="00992FD0" w:rsidRPr="00EC250C">
        <w:rPr>
          <w:szCs w:val="24"/>
        </w:rPr>
        <w:t xml:space="preserve"> o </w:t>
      </w:r>
      <w:r w:rsidR="00187708" w:rsidRPr="00EC250C">
        <w:rPr>
          <w:szCs w:val="24"/>
        </w:rPr>
        <w:t>przestrzeganie standardów wykonywania zawodu</w:t>
      </w:r>
      <w:r w:rsidR="00992FD0" w:rsidRPr="00EC250C">
        <w:rPr>
          <w:szCs w:val="24"/>
        </w:rPr>
        <w:t xml:space="preserve"> i </w:t>
      </w:r>
      <w:r w:rsidR="00187708" w:rsidRPr="00EC250C">
        <w:rPr>
          <w:szCs w:val="24"/>
        </w:rPr>
        <w:t>nadzór nad przestrzeganiem zasad etyki,</w:t>
      </w:r>
      <w:r w:rsidR="00992FD0" w:rsidRPr="00EC250C">
        <w:rPr>
          <w:szCs w:val="24"/>
        </w:rPr>
        <w:t xml:space="preserve"> a </w:t>
      </w:r>
      <w:r w:rsidR="00187708" w:rsidRPr="00EC250C">
        <w:rPr>
          <w:szCs w:val="24"/>
        </w:rPr>
        <w:t>także nadawanie prawa wykonywania zawodu Zgodnie</w:t>
      </w:r>
      <w:r w:rsidR="00992FD0" w:rsidRPr="00EC250C">
        <w:rPr>
          <w:szCs w:val="24"/>
        </w:rPr>
        <w:t xml:space="preserve"> z </w:t>
      </w:r>
      <w:r w:rsidR="00187708" w:rsidRPr="00EC250C">
        <w:rPr>
          <w:szCs w:val="24"/>
        </w:rPr>
        <w:t>ustawą</w:t>
      </w:r>
      <w:r w:rsidR="00992FD0" w:rsidRPr="00EC250C">
        <w:rPr>
          <w:szCs w:val="24"/>
        </w:rPr>
        <w:t xml:space="preserve"> o </w:t>
      </w:r>
      <w:r w:rsidR="00187708" w:rsidRPr="00EC250C">
        <w:rPr>
          <w:szCs w:val="24"/>
        </w:rPr>
        <w:t>zawodzie psychologa</w:t>
      </w:r>
      <w:r w:rsidR="00992FD0" w:rsidRPr="00EC250C">
        <w:rPr>
          <w:szCs w:val="24"/>
        </w:rPr>
        <w:t xml:space="preserve"> i </w:t>
      </w:r>
      <w:r w:rsidR="00187708" w:rsidRPr="00EC250C">
        <w:rPr>
          <w:szCs w:val="24"/>
        </w:rPr>
        <w:t>samorządzie zawodowym psychologów, która weszła</w:t>
      </w:r>
      <w:r w:rsidR="00992FD0" w:rsidRPr="00EC250C">
        <w:rPr>
          <w:szCs w:val="24"/>
        </w:rPr>
        <w:t xml:space="preserve"> w </w:t>
      </w:r>
      <w:r w:rsidR="00187708" w:rsidRPr="00EC250C">
        <w:rPr>
          <w:szCs w:val="24"/>
        </w:rPr>
        <w:t>życie</w:t>
      </w:r>
      <w:r w:rsidR="00992FD0" w:rsidRPr="00EC250C">
        <w:rPr>
          <w:szCs w:val="24"/>
        </w:rPr>
        <w:t xml:space="preserve"> w </w:t>
      </w:r>
      <w:r w:rsidR="00187708" w:rsidRPr="00EC250C">
        <w:rPr>
          <w:szCs w:val="24"/>
        </w:rPr>
        <w:t>2016</w:t>
      </w:r>
      <w:r w:rsidR="00C91F6E" w:rsidRPr="00EC250C">
        <w:rPr>
          <w:szCs w:val="24"/>
        </w:rPr>
        <w:t> r.</w:t>
      </w:r>
      <w:r w:rsidR="00187708" w:rsidRPr="00EC250C">
        <w:rPr>
          <w:szCs w:val="24"/>
        </w:rPr>
        <w:t>,</w:t>
      </w:r>
      <w:r w:rsidR="00CC4D88" w:rsidRPr="00EC250C">
        <w:rPr>
          <w:szCs w:val="24"/>
        </w:rPr>
        <w:t xml:space="preserve"> </w:t>
      </w:r>
      <w:r w:rsidR="00187708" w:rsidRPr="00EC250C">
        <w:rPr>
          <w:szCs w:val="24"/>
        </w:rPr>
        <w:t xml:space="preserve">taki samorząd miał zostać powołany </w:t>
      </w:r>
      <w:r w:rsidRPr="00EC250C">
        <w:rPr>
          <w:szCs w:val="24"/>
        </w:rPr>
        <w:t xml:space="preserve">przez </w:t>
      </w:r>
      <w:r w:rsidR="00187708" w:rsidRPr="00EC250C">
        <w:rPr>
          <w:szCs w:val="24"/>
        </w:rPr>
        <w:t>ministra pracy</w:t>
      </w:r>
      <w:r w:rsidR="00187708" w:rsidRPr="00EC250C">
        <w:rPr>
          <w:rStyle w:val="Odwoanieprzypisudolnego"/>
          <w:szCs w:val="24"/>
        </w:rPr>
        <w:footnoteReference w:id="459"/>
      </w:r>
      <w:r w:rsidR="00187708" w:rsidRPr="00EC250C">
        <w:rPr>
          <w:szCs w:val="24"/>
        </w:rPr>
        <w:t>. Nadal nie powstał.</w:t>
      </w:r>
    </w:p>
    <w:p w14:paraId="4A61DCE3" w14:textId="77777777" w:rsidR="00187708" w:rsidRPr="00EC250C" w:rsidRDefault="00187708" w:rsidP="00D131FA">
      <w:pPr>
        <w:spacing w:after="200" w:line="24" w:lineRule="auto"/>
        <w:jc w:val="both"/>
        <w:rPr>
          <w:sz w:val="24"/>
        </w:rPr>
      </w:pPr>
      <w:r w:rsidRPr="00EC250C">
        <w:rPr>
          <w:sz w:val="24"/>
        </w:rPr>
        <w:br w:type="page"/>
      </w:r>
    </w:p>
    <w:p w14:paraId="2763BC5E" w14:textId="77777777" w:rsidR="00187708" w:rsidRPr="00EC250C" w:rsidRDefault="00187708" w:rsidP="00EC250C">
      <w:pPr>
        <w:pStyle w:val="Nagwek3"/>
      </w:pPr>
      <w:bookmarkStart w:id="451" w:name="_Toc6257845"/>
      <w:bookmarkStart w:id="452" w:name="_Toc11247719"/>
      <w:r w:rsidRPr="00EC250C">
        <w:lastRenderedPageBreak/>
        <w:t xml:space="preserve">Art. 65 </w:t>
      </w:r>
      <w:r w:rsidR="003C7122" w:rsidRPr="00EC250C">
        <w:t xml:space="preserve">Konstytucji </w:t>
      </w:r>
      <w:r w:rsidRPr="00EC250C">
        <w:t>ust. 2-5 – Prawa pracownicze</w:t>
      </w:r>
      <w:bookmarkEnd w:id="451"/>
      <w:bookmarkEnd w:id="452"/>
    </w:p>
    <w:p w14:paraId="383E3C10" w14:textId="77777777" w:rsidR="00187708" w:rsidRPr="00EC250C" w:rsidRDefault="00187708" w:rsidP="00D131FA">
      <w:pPr>
        <w:pStyle w:val="konstytucja"/>
        <w:jc w:val="both"/>
      </w:pPr>
      <w:r w:rsidRPr="00EC250C">
        <w:t>2. Obowiązek pracy może być nałożony tylko przez ustawę.</w:t>
      </w:r>
    </w:p>
    <w:p w14:paraId="46930A74" w14:textId="77777777" w:rsidR="00187708" w:rsidRPr="00EC250C" w:rsidRDefault="00187708" w:rsidP="00D131FA">
      <w:pPr>
        <w:pStyle w:val="konstytucja"/>
        <w:jc w:val="both"/>
      </w:pPr>
      <w:r w:rsidRPr="00EC250C">
        <w:t>3. Stałe zatrudnianie dzieci do lat 16 jest zakazane. Formy</w:t>
      </w:r>
      <w:r w:rsidR="00992FD0" w:rsidRPr="00EC250C">
        <w:t xml:space="preserve"> i </w:t>
      </w:r>
      <w:r w:rsidRPr="00EC250C">
        <w:t>charakter dopuszczalnego zatrudniania określa ustawa.</w:t>
      </w:r>
    </w:p>
    <w:p w14:paraId="1204D96A" w14:textId="77777777" w:rsidR="00187708" w:rsidRPr="00EC250C" w:rsidRDefault="00187708" w:rsidP="00D131FA">
      <w:pPr>
        <w:pStyle w:val="konstytucja"/>
        <w:jc w:val="both"/>
      </w:pPr>
      <w:r w:rsidRPr="00EC250C">
        <w:t>4. Minimalną wysokość wynagrodzenia za pracę lub sposób ustalania tej wysokości określa ustawa.</w:t>
      </w:r>
    </w:p>
    <w:p w14:paraId="5F155FBE" w14:textId="77777777" w:rsidR="00187708" w:rsidRPr="00EC250C" w:rsidRDefault="00187708" w:rsidP="00D131FA">
      <w:pPr>
        <w:pStyle w:val="konstytucja"/>
        <w:jc w:val="both"/>
      </w:pPr>
      <w:r w:rsidRPr="00EC250C">
        <w:t>5. Władze publiczne prowadzą politykę zmierzającą do pełnego, produktywnego zatrudnienia poprzez realizowanie programów zwalczania bezrobocia,</w:t>
      </w:r>
      <w:r w:rsidR="00992FD0" w:rsidRPr="00EC250C">
        <w:t xml:space="preserve"> w </w:t>
      </w:r>
      <w:r w:rsidRPr="00EC250C">
        <w:t>tym organizowanie</w:t>
      </w:r>
      <w:r w:rsidR="00992FD0" w:rsidRPr="00EC250C">
        <w:t xml:space="preserve"> i </w:t>
      </w:r>
      <w:r w:rsidRPr="00EC250C">
        <w:t>wspieranie poradnictwa</w:t>
      </w:r>
      <w:r w:rsidR="00992FD0" w:rsidRPr="00EC250C">
        <w:t xml:space="preserve"> i </w:t>
      </w:r>
      <w:r w:rsidRPr="00EC250C">
        <w:t>szkolenia zawodowego oraz robót publicznych</w:t>
      </w:r>
      <w:r w:rsidR="00992FD0" w:rsidRPr="00EC250C">
        <w:t xml:space="preserve"> i </w:t>
      </w:r>
      <w:r w:rsidRPr="00EC250C">
        <w:t>prac interwencyjnych.</w:t>
      </w:r>
    </w:p>
    <w:p w14:paraId="5206EA9E" w14:textId="77777777" w:rsidR="00C91F6E" w:rsidRPr="00EC250C" w:rsidRDefault="00187708" w:rsidP="00D131FA">
      <w:pPr>
        <w:pStyle w:val="ComwiKonstytucja"/>
      </w:pPr>
      <w:r w:rsidRPr="00EC250C">
        <w:t>Kolejne ustępy art. 65 regulują bardziej szczegółowo prawa pracownicze.</w:t>
      </w:r>
    </w:p>
    <w:p w14:paraId="6E638D22" w14:textId="77777777" w:rsidR="00C91F6E" w:rsidRPr="00EC250C" w:rsidRDefault="00187708" w:rsidP="00D131FA">
      <w:pPr>
        <w:pStyle w:val="ComwiKonstytucja"/>
      </w:pPr>
      <w:r w:rsidRPr="00EC250C">
        <w:t>Ustęp drugi określa aspekt negatywny wolności pracy. Oznacza on zakaz wprowadzania obowiązku pracy, któremu niepodporządkowanie się prowadziłoby do sankcji karnych lub administracyjnych.</w:t>
      </w:r>
    </w:p>
    <w:p w14:paraId="7C2A341B" w14:textId="77777777" w:rsidR="00C91F6E" w:rsidRPr="00EC250C" w:rsidRDefault="00187708" w:rsidP="00D131FA">
      <w:pPr>
        <w:pStyle w:val="ComwiKonstytucja"/>
      </w:pPr>
      <w:r w:rsidRPr="00EC250C">
        <w:t>Władza nie może narzucić podjęcia pracy. Zakaz pracy przymusowej oznacza też zakaz zmuszania kogokolwiek przez władze do podejmowania określonego zatrudnienia (rodzaju czy miejsca pracy). Zakaz ten nie ma jednak charakteru absolutnego</w:t>
      </w:r>
      <w:r w:rsidR="00992FD0" w:rsidRPr="00EC250C">
        <w:t xml:space="preserve"> i </w:t>
      </w:r>
      <w:r w:rsidRPr="00EC250C">
        <w:t>dopuszcza się ustawowe nałożenie obowiązku pracy (musiałoby być to jednak zgodne</w:t>
      </w:r>
      <w:r w:rsidR="00992FD0" w:rsidRPr="00EC250C">
        <w:t xml:space="preserve"> z </w:t>
      </w:r>
      <w:r w:rsidRPr="00EC250C">
        <w:t>wiążącym Polskę prawem międzynarodowym).</w:t>
      </w:r>
    </w:p>
    <w:p w14:paraId="7A1DD93B" w14:textId="77777777" w:rsidR="00C91F6E" w:rsidRPr="00EC250C" w:rsidRDefault="00187708" w:rsidP="00D131FA">
      <w:pPr>
        <w:pStyle w:val="ComwiKonstytucja"/>
      </w:pPr>
      <w:r w:rsidRPr="00EC250C">
        <w:t>Konstytucja zakazuje także stałego zatrudniania dzieci do lat 16. Przepis ten jest jedną</w:t>
      </w:r>
      <w:r w:rsidR="00992FD0" w:rsidRPr="00EC250C">
        <w:t xml:space="preserve"> z </w:t>
      </w:r>
      <w:r w:rsidRPr="00EC250C">
        <w:t>gwarancji ochrony praw dziecka (art. 72).</w:t>
      </w:r>
    </w:p>
    <w:p w14:paraId="66239C26" w14:textId="77777777" w:rsidR="00C91F6E" w:rsidRPr="00EC250C" w:rsidRDefault="00187708" w:rsidP="00D131FA">
      <w:pPr>
        <w:pStyle w:val="ComwiKonstytucja"/>
      </w:pPr>
      <w:r w:rsidRPr="00EC250C">
        <w:t>Konstytucyjnym obowiązkiem ustawodawcy jest określenie minimalnej wysokości wynagrodzenia za pracę oraz sposobu ustalania tej wysokości.</w:t>
      </w:r>
    </w:p>
    <w:p w14:paraId="7F2A5769" w14:textId="77777777" w:rsidR="00187708" w:rsidRPr="00EC250C" w:rsidRDefault="00187708" w:rsidP="00D131FA">
      <w:pPr>
        <w:pStyle w:val="ComwiKonstytucja"/>
      </w:pPr>
      <w:r w:rsidRPr="00EC250C">
        <w:t>Wyraźnie zakazuje się różnicowania wynagrodzenia za pracę jednakowej wartości ze względu na płeć (art. 33 ust. 2). Z artykułu 65 można zatem wyprowadzić prawo pracownika do minimalnego wynagrodzenia.</w:t>
      </w:r>
    </w:p>
    <w:p w14:paraId="16684FC8" w14:textId="77777777" w:rsidR="003E4DBD" w:rsidRPr="00EC250C" w:rsidRDefault="003E4DBD" w:rsidP="00D131FA">
      <w:pPr>
        <w:pStyle w:val="ComwiKonstytucja"/>
      </w:pPr>
    </w:p>
    <w:p w14:paraId="3AC97037" w14:textId="77777777" w:rsidR="00187708" w:rsidRPr="00EC250C" w:rsidRDefault="00187708" w:rsidP="00D131FA">
      <w:pPr>
        <w:spacing w:after="200" w:line="24" w:lineRule="auto"/>
        <w:jc w:val="both"/>
        <w:rPr>
          <w:i/>
          <w:spacing w:val="5"/>
          <w:sz w:val="22"/>
        </w:rPr>
      </w:pPr>
      <w:r w:rsidRPr="00EC250C">
        <w:rPr>
          <w:sz w:val="24"/>
        </w:rPr>
        <w:br w:type="page"/>
      </w:r>
    </w:p>
    <w:p w14:paraId="5CE2CF89" w14:textId="77777777" w:rsidR="00187708" w:rsidRPr="00EC250C" w:rsidRDefault="00187708" w:rsidP="00EC79EB">
      <w:pPr>
        <w:pStyle w:val="Nagwek4"/>
      </w:pPr>
      <w:bookmarkStart w:id="453" w:name="_Toc6257846"/>
      <w:bookmarkStart w:id="454" w:name="_Toc11247720"/>
      <w:r w:rsidRPr="00EC250C">
        <w:lastRenderedPageBreak/>
        <w:t>Sytuacja nauczycieli</w:t>
      </w:r>
      <w:r w:rsidR="00992FD0" w:rsidRPr="00EC250C">
        <w:t xml:space="preserve"> w </w:t>
      </w:r>
      <w:r w:rsidRPr="00EC250C">
        <w:t>trakcie reformy oświaty</w:t>
      </w:r>
      <w:bookmarkEnd w:id="453"/>
      <w:bookmarkEnd w:id="454"/>
    </w:p>
    <w:p w14:paraId="0440A7A5" w14:textId="77777777" w:rsidR="00B473F5" w:rsidRPr="00EC250C" w:rsidRDefault="00187708" w:rsidP="00D131FA">
      <w:pPr>
        <w:pStyle w:val="Problemczowieka"/>
        <w:jc w:val="both"/>
      </w:pPr>
      <w:r w:rsidRPr="00EC250C">
        <w:t>Nauczyciele – tak jak</w:t>
      </w:r>
      <w:r w:rsidR="00992FD0" w:rsidRPr="00EC250C">
        <w:t xml:space="preserve"> w </w:t>
      </w:r>
      <w:r w:rsidRPr="00EC250C">
        <w:t>roku 2017</w:t>
      </w:r>
      <w:r w:rsidR="00026572" w:rsidRPr="00EC250C">
        <w:t xml:space="preserve"> – </w:t>
      </w:r>
      <w:r w:rsidR="00992FD0" w:rsidRPr="00EC250C">
        <w:t>w </w:t>
      </w:r>
      <w:r w:rsidRPr="00EC250C">
        <w:t>2018</w:t>
      </w:r>
      <w:r w:rsidR="00C91F6E" w:rsidRPr="00EC250C">
        <w:t> r.</w:t>
      </w:r>
      <w:r w:rsidR="00435911" w:rsidRPr="00EC250C">
        <w:t xml:space="preserve"> </w:t>
      </w:r>
      <w:r w:rsidRPr="00EC250C">
        <w:t>zgłaszali problemy związane</w:t>
      </w:r>
      <w:r w:rsidR="00992FD0" w:rsidRPr="00EC250C">
        <w:t xml:space="preserve"> z </w:t>
      </w:r>
      <w:r w:rsidRPr="00EC250C">
        <w:t>reformą edukacji</w:t>
      </w:r>
      <w:r w:rsidR="00B473F5" w:rsidRPr="00EC250C">
        <w:t>.</w:t>
      </w:r>
    </w:p>
    <w:p w14:paraId="3F6C157F" w14:textId="77777777" w:rsidR="00187708" w:rsidRPr="00EC250C" w:rsidRDefault="00187708" w:rsidP="00D131FA">
      <w:pPr>
        <w:pStyle w:val="Styl1"/>
      </w:pPr>
      <w:r w:rsidRPr="00EC250C">
        <w:t>Mówili</w:t>
      </w:r>
      <w:r w:rsidR="00992FD0" w:rsidRPr="00EC250C">
        <w:t xml:space="preserve"> o </w:t>
      </w:r>
      <w:r w:rsidRPr="00EC250C">
        <w:t>obawie utraty pracy (na skutek zatrzymania sześciolatków</w:t>
      </w:r>
      <w:r w:rsidR="00992FD0" w:rsidRPr="00EC250C">
        <w:t xml:space="preserve"> w </w:t>
      </w:r>
      <w:r w:rsidRPr="00EC250C">
        <w:t>przedszkolach oraz likwidacji gimnazjów),</w:t>
      </w:r>
      <w:r w:rsidR="00992FD0" w:rsidRPr="00EC250C">
        <w:t xml:space="preserve"> o </w:t>
      </w:r>
      <w:r w:rsidRPr="00EC250C">
        <w:t>kumulacji roczników, jaka nastąpi</w:t>
      </w:r>
      <w:r w:rsidR="00992FD0" w:rsidRPr="00EC250C">
        <w:t xml:space="preserve"> w </w:t>
      </w:r>
      <w:r w:rsidRPr="00EC250C">
        <w:t>roku szkolnym 2019/20.</w:t>
      </w:r>
      <w:r w:rsidR="00CC4D88" w:rsidRPr="00EC250C">
        <w:t xml:space="preserve"> </w:t>
      </w:r>
      <w:r w:rsidRPr="00EC250C">
        <w:t xml:space="preserve">Dlatego już na etapie prac legislacyjnych Rzecznik </w:t>
      </w:r>
      <w:r w:rsidR="00B04745" w:rsidRPr="00EC250C">
        <w:t xml:space="preserve">Praw Obywatelskich </w:t>
      </w:r>
      <w:r w:rsidRPr="00EC250C">
        <w:t>zwracał się do Ministra Edukacji Narodowej, te</w:t>
      </w:r>
      <w:r w:rsidR="00CC0B7D" w:rsidRPr="00EC250C">
        <w:t>n</w:t>
      </w:r>
      <w:r w:rsidRPr="00EC250C">
        <w:t xml:space="preserve"> jednak uspokajał, że zagrożenia są znane</w:t>
      </w:r>
      <w:r w:rsidR="00992FD0" w:rsidRPr="00EC250C">
        <w:t xml:space="preserve"> i </w:t>
      </w:r>
      <w:r w:rsidRPr="00EC250C">
        <w:t>podjęte zostały działania im zapobiegające</w:t>
      </w:r>
      <w:r w:rsidRPr="00EC250C">
        <w:rPr>
          <w:rStyle w:val="Odwoanieprzypisudolnego"/>
        </w:rPr>
        <w:footnoteReference w:id="460"/>
      </w:r>
      <w:r w:rsidRPr="00EC250C">
        <w:t>.</w:t>
      </w:r>
    </w:p>
    <w:p w14:paraId="30817797" w14:textId="77777777" w:rsidR="00187708" w:rsidRPr="00EC250C" w:rsidRDefault="00187708" w:rsidP="00D131FA">
      <w:pPr>
        <w:pStyle w:val="Styl1"/>
      </w:pPr>
      <w:r w:rsidRPr="00EC250C">
        <w:t>W 2018</w:t>
      </w:r>
      <w:r w:rsidR="00C91F6E" w:rsidRPr="00EC250C">
        <w:t> r.</w:t>
      </w:r>
      <w:r w:rsidRPr="00EC250C">
        <w:t xml:space="preserve"> </w:t>
      </w:r>
      <w:r w:rsidR="00B04745" w:rsidRPr="00EC250C">
        <w:t xml:space="preserve">RPO </w:t>
      </w:r>
      <w:r w:rsidRPr="00EC250C">
        <w:t>ponowił wystąpienie</w:t>
      </w:r>
      <w:r w:rsidR="00992FD0" w:rsidRPr="00EC250C">
        <w:t xml:space="preserve"> w </w:t>
      </w:r>
      <w:r w:rsidRPr="00EC250C">
        <w:t xml:space="preserve">tej sprawie. </w:t>
      </w:r>
      <w:r w:rsidR="00E14538" w:rsidRPr="00EC250C">
        <w:t>Z</w:t>
      </w:r>
      <w:r w:rsidRPr="00EC250C">
        <w:t>wracał uwagę na:</w:t>
      </w:r>
    </w:p>
    <w:p w14:paraId="71D59626" w14:textId="77777777" w:rsidR="00187708" w:rsidRPr="00EC250C" w:rsidRDefault="00DA526C" w:rsidP="006C70B7">
      <w:pPr>
        <w:pStyle w:val="Styl1"/>
        <w:numPr>
          <w:ilvl w:val="0"/>
          <w:numId w:val="49"/>
        </w:numPr>
      </w:pPr>
      <w:r w:rsidRPr="00EC250C">
        <w:t>n</w:t>
      </w:r>
      <w:r w:rsidR="00187708" w:rsidRPr="00EC250C">
        <w:t>iekorzystne konsekwencje pomysłu, by katecheta mógł zostać wychowawcą klasy (patrz – art. 53 Konstytucji)</w:t>
      </w:r>
      <w:r w:rsidR="000B3868" w:rsidRPr="00EC250C">
        <w:t>;</w:t>
      </w:r>
    </w:p>
    <w:p w14:paraId="29EE15C9" w14:textId="77777777" w:rsidR="00187708" w:rsidRPr="00EC250C" w:rsidRDefault="00187708" w:rsidP="006C70B7">
      <w:pPr>
        <w:pStyle w:val="Styl1"/>
        <w:numPr>
          <w:ilvl w:val="0"/>
          <w:numId w:val="49"/>
        </w:numPr>
        <w:rPr>
          <w:rStyle w:val="Pogrubienie"/>
          <w:b w:val="0"/>
          <w:bCs w:val="0"/>
        </w:rPr>
      </w:pPr>
      <w:r w:rsidRPr="00EC250C">
        <w:rPr>
          <w:rStyle w:val="Pogrubienie"/>
          <w:rFonts w:eastAsiaTheme="majorEastAsia"/>
          <w:b w:val="0"/>
          <w:bCs w:val="0"/>
        </w:rPr>
        <w:t xml:space="preserve">propozycję </w:t>
      </w:r>
      <w:r w:rsidR="00907A50" w:rsidRPr="00EC250C">
        <w:rPr>
          <w:rStyle w:val="Pogrubienie"/>
          <w:rFonts w:eastAsiaTheme="majorEastAsia"/>
          <w:b w:val="0"/>
          <w:bCs w:val="0"/>
        </w:rPr>
        <w:t>Ministerstwa</w:t>
      </w:r>
      <w:r w:rsidRPr="00EC250C">
        <w:rPr>
          <w:rStyle w:val="Pogrubienie"/>
          <w:rFonts w:eastAsiaTheme="majorEastAsia"/>
          <w:b w:val="0"/>
          <w:bCs w:val="0"/>
        </w:rPr>
        <w:t>, by wska</w:t>
      </w:r>
      <w:r w:rsidRPr="00EC250C">
        <w:rPr>
          <w:rStyle w:val="Pogrubienie"/>
          <w:rFonts w:eastAsiaTheme="majorEastAsia" w:hint="eastAsia"/>
          <w:b w:val="0"/>
          <w:bCs w:val="0"/>
        </w:rPr>
        <w:t>ź</w:t>
      </w:r>
      <w:r w:rsidRPr="00EC250C">
        <w:rPr>
          <w:rStyle w:val="Pogrubienie"/>
          <w:rFonts w:eastAsiaTheme="majorEastAsia"/>
          <w:b w:val="0"/>
          <w:bCs w:val="0"/>
        </w:rPr>
        <w:t>niki oceny pracy nauczycieli by</w:t>
      </w:r>
      <w:r w:rsidRPr="00EC250C">
        <w:rPr>
          <w:rStyle w:val="Pogrubienie"/>
          <w:rFonts w:eastAsiaTheme="majorEastAsia" w:hint="eastAsia"/>
          <w:b w:val="0"/>
          <w:bCs w:val="0"/>
        </w:rPr>
        <w:t>ł</w:t>
      </w:r>
      <w:r w:rsidRPr="00EC250C">
        <w:rPr>
          <w:rStyle w:val="Pogrubienie"/>
          <w:rFonts w:eastAsiaTheme="majorEastAsia"/>
          <w:b w:val="0"/>
          <w:bCs w:val="0"/>
        </w:rPr>
        <w:t>y okre</w:t>
      </w:r>
      <w:r w:rsidRPr="00EC250C">
        <w:rPr>
          <w:rStyle w:val="Pogrubienie"/>
          <w:rFonts w:eastAsiaTheme="majorEastAsia" w:hint="eastAsia"/>
          <w:b w:val="0"/>
          <w:bCs w:val="0"/>
        </w:rPr>
        <w:t>ś</w:t>
      </w:r>
      <w:r w:rsidRPr="00EC250C">
        <w:rPr>
          <w:rStyle w:val="Pogrubienie"/>
          <w:rFonts w:eastAsiaTheme="majorEastAsia"/>
          <w:b w:val="0"/>
          <w:bCs w:val="0"/>
        </w:rPr>
        <w:t>lane</w:t>
      </w:r>
      <w:r w:rsidR="00992FD0" w:rsidRPr="00EC250C">
        <w:rPr>
          <w:rStyle w:val="Pogrubienie"/>
          <w:rFonts w:eastAsiaTheme="majorEastAsia"/>
          <w:b w:val="0"/>
          <w:bCs w:val="0"/>
        </w:rPr>
        <w:t xml:space="preserve"> w </w:t>
      </w:r>
      <w:r w:rsidRPr="00EC250C">
        <w:rPr>
          <w:rStyle w:val="Pogrubienie"/>
          <w:rFonts w:eastAsiaTheme="majorEastAsia"/>
          <w:b w:val="0"/>
          <w:bCs w:val="0"/>
        </w:rPr>
        <w:t>regulaminach poszczeg</w:t>
      </w:r>
      <w:r w:rsidRPr="00EC250C">
        <w:rPr>
          <w:rStyle w:val="Pogrubienie"/>
          <w:rFonts w:eastAsiaTheme="majorEastAsia" w:hint="eastAsia"/>
          <w:b w:val="0"/>
          <w:bCs w:val="0"/>
        </w:rPr>
        <w:t>ó</w:t>
      </w:r>
      <w:r w:rsidRPr="00EC250C">
        <w:rPr>
          <w:rStyle w:val="Pogrubienie"/>
          <w:rFonts w:eastAsiaTheme="majorEastAsia"/>
          <w:b w:val="0"/>
          <w:bCs w:val="0"/>
        </w:rPr>
        <w:t>lnych szk</w:t>
      </w:r>
      <w:r w:rsidRPr="00EC250C">
        <w:rPr>
          <w:rStyle w:val="Pogrubienie"/>
          <w:rFonts w:eastAsiaTheme="majorEastAsia" w:hint="eastAsia"/>
          <w:b w:val="0"/>
          <w:bCs w:val="0"/>
        </w:rPr>
        <w:t>ół</w:t>
      </w:r>
      <w:r w:rsidRPr="00EC250C">
        <w:rPr>
          <w:rStyle w:val="Pogrubienie"/>
          <w:rFonts w:eastAsiaTheme="majorEastAsia"/>
          <w:b w:val="0"/>
          <w:bCs w:val="0"/>
        </w:rPr>
        <w:t>, nie</w:t>
      </w:r>
      <w:r w:rsidR="00992FD0" w:rsidRPr="00EC250C">
        <w:rPr>
          <w:rStyle w:val="Pogrubienie"/>
          <w:rFonts w:eastAsiaTheme="majorEastAsia"/>
          <w:b w:val="0"/>
          <w:bCs w:val="0"/>
        </w:rPr>
        <w:t xml:space="preserve"> w </w:t>
      </w:r>
      <w:r w:rsidRPr="00EC250C">
        <w:rPr>
          <w:rStyle w:val="Pogrubienie"/>
          <w:rFonts w:eastAsiaTheme="majorEastAsia"/>
          <w:b w:val="0"/>
          <w:bCs w:val="0"/>
        </w:rPr>
        <w:t>rozporz</w:t>
      </w:r>
      <w:r w:rsidRPr="00EC250C">
        <w:rPr>
          <w:rStyle w:val="Pogrubienie"/>
          <w:rFonts w:eastAsiaTheme="majorEastAsia" w:hint="eastAsia"/>
          <w:b w:val="0"/>
          <w:bCs w:val="0"/>
        </w:rPr>
        <w:t>ą</w:t>
      </w:r>
      <w:r w:rsidRPr="00EC250C">
        <w:rPr>
          <w:rStyle w:val="Pogrubienie"/>
          <w:rFonts w:eastAsiaTheme="majorEastAsia"/>
          <w:b w:val="0"/>
          <w:bCs w:val="0"/>
        </w:rPr>
        <w:t>dzeniu MEN</w:t>
      </w:r>
      <w:r w:rsidRPr="00EC250C">
        <w:rPr>
          <w:rStyle w:val="Odwoanieprzypisudolnego"/>
          <w:rFonts w:eastAsiaTheme="majorEastAsia"/>
        </w:rPr>
        <w:footnoteReference w:id="461"/>
      </w:r>
      <w:r w:rsidR="000B3868" w:rsidRPr="00EC250C">
        <w:rPr>
          <w:rStyle w:val="Pogrubienie"/>
          <w:rFonts w:eastAsiaTheme="majorEastAsia"/>
          <w:b w:val="0"/>
          <w:bCs w:val="0"/>
        </w:rPr>
        <w:t>;</w:t>
      </w:r>
    </w:p>
    <w:p w14:paraId="2DC67BBD" w14:textId="77777777" w:rsidR="00187708" w:rsidRPr="00EC250C" w:rsidRDefault="00187708" w:rsidP="006C70B7">
      <w:pPr>
        <w:pStyle w:val="Styl1"/>
        <w:numPr>
          <w:ilvl w:val="0"/>
          <w:numId w:val="49"/>
        </w:numPr>
      </w:pPr>
      <w:r w:rsidRPr="00EC250C">
        <w:t>sytuację nauczycieli, którzy przed ostateczną likwidacją gimnazjów szukają pracy</w:t>
      </w:r>
      <w:r w:rsidRPr="00EC250C">
        <w:rPr>
          <w:rStyle w:val="Odwoanieprzypisudolnego"/>
        </w:rPr>
        <w:footnoteReference w:id="462"/>
      </w:r>
      <w:r w:rsidR="000B3868" w:rsidRPr="00EC250C">
        <w:t>.</w:t>
      </w:r>
    </w:p>
    <w:p w14:paraId="3285D295" w14:textId="77777777" w:rsidR="003A1BCA" w:rsidRPr="00EC250C" w:rsidRDefault="003A1BCA" w:rsidP="00D131FA">
      <w:pPr>
        <w:pStyle w:val="Styl1"/>
      </w:pPr>
      <w:r w:rsidRPr="00EC250C">
        <w:t>MEN zapewniał, że sytuacja jest pod kontrolą i konsekwencje zmian były dobrze zanalizowane</w:t>
      </w:r>
      <w:r w:rsidR="0082403E" w:rsidRPr="00EC250C">
        <w:t>, natomiast ich realizacja zależy od samorządów</w:t>
      </w:r>
      <w:r w:rsidRPr="00EC250C">
        <w:t>.</w:t>
      </w:r>
    </w:p>
    <w:p w14:paraId="52EC7E90" w14:textId="77777777" w:rsidR="00187708" w:rsidRPr="00EC250C" w:rsidRDefault="00187708" w:rsidP="00D131FA">
      <w:pPr>
        <w:pStyle w:val="ODESANIE"/>
        <w:jc w:val="both"/>
        <w:rPr>
          <w:lang w:eastAsia="en-US"/>
        </w:rPr>
      </w:pPr>
      <w:r w:rsidRPr="00EC250C">
        <w:t>Problemy uczni</w:t>
      </w:r>
      <w:r w:rsidRPr="00EC250C">
        <w:rPr>
          <w:rFonts w:cs="Times New Roman"/>
        </w:rPr>
        <w:t>ó</w:t>
      </w:r>
      <w:r w:rsidRPr="00EC250C">
        <w:t>w</w:t>
      </w:r>
      <w:r w:rsidR="00992FD0" w:rsidRPr="00EC250C">
        <w:t xml:space="preserve"> i </w:t>
      </w:r>
      <w:r w:rsidRPr="00EC250C">
        <w:t>rodzic</w:t>
      </w:r>
      <w:r w:rsidRPr="00EC250C">
        <w:rPr>
          <w:rFonts w:cs="Times New Roman"/>
        </w:rPr>
        <w:t>ó</w:t>
      </w:r>
      <w:r w:rsidRPr="00EC250C">
        <w:t>w</w:t>
      </w:r>
      <w:r w:rsidR="00992FD0" w:rsidRPr="00EC250C">
        <w:t xml:space="preserve"> w </w:t>
      </w:r>
      <w:r w:rsidRPr="00EC250C">
        <w:t>zwi</w:t>
      </w:r>
      <w:r w:rsidRPr="00EC250C">
        <w:rPr>
          <w:rFonts w:cs="Times New Roman"/>
        </w:rPr>
        <w:t>ą</w:t>
      </w:r>
      <w:r w:rsidRPr="00EC250C">
        <w:t>zku</w:t>
      </w:r>
      <w:r w:rsidR="00992FD0" w:rsidRPr="00EC250C">
        <w:t xml:space="preserve"> z </w:t>
      </w:r>
      <w:r w:rsidRPr="00EC250C">
        <w:t>reform</w:t>
      </w:r>
      <w:r w:rsidRPr="00EC250C">
        <w:rPr>
          <w:rFonts w:cs="Times New Roman"/>
        </w:rPr>
        <w:t>ą</w:t>
      </w:r>
      <w:r w:rsidRPr="00EC250C">
        <w:t xml:space="preserve"> edukacji opisane s</w:t>
      </w:r>
      <w:r w:rsidRPr="00EC250C">
        <w:rPr>
          <w:rFonts w:cs="Times New Roman"/>
        </w:rPr>
        <w:t>ą</w:t>
      </w:r>
      <w:r w:rsidRPr="00EC250C">
        <w:t xml:space="preserve"> przy omówieniu art. 70 ust. 1 Konstytucji (Prawo do nauki)</w:t>
      </w:r>
    </w:p>
    <w:p w14:paraId="55C02B62" w14:textId="77777777" w:rsidR="00A40AF0" w:rsidRPr="00EC250C" w:rsidRDefault="00A40AF0" w:rsidP="00D131FA">
      <w:pPr>
        <w:pStyle w:val="ODESANIE"/>
        <w:jc w:val="both"/>
      </w:pPr>
      <w:r w:rsidRPr="00EC250C">
        <w:t>Niewpuszczenie dziennikarzy na debatę</w:t>
      </w:r>
      <w:r w:rsidR="00992FD0" w:rsidRPr="00EC250C">
        <w:t xml:space="preserve"> o </w:t>
      </w:r>
      <w:r w:rsidRPr="00EC250C">
        <w:t>edukacji przez minister edukacji narodowej – patrz. Art. 61 Konstytucji (Prawo dostępu d9 informacji publicznej)</w:t>
      </w:r>
    </w:p>
    <w:p w14:paraId="484D3CF9" w14:textId="77777777" w:rsidR="00C91F6E" w:rsidRPr="00EC250C" w:rsidRDefault="00187708" w:rsidP="00EC79EB">
      <w:pPr>
        <w:pStyle w:val="Nagwek4"/>
      </w:pPr>
      <w:bookmarkStart w:id="455" w:name="_Toc6257848"/>
      <w:bookmarkStart w:id="456" w:name="_Toc11247721"/>
      <w:r w:rsidRPr="00EC250C">
        <w:t>Prawa piel</w:t>
      </w:r>
      <w:r w:rsidRPr="00EC250C">
        <w:rPr>
          <w:rFonts w:hint="eastAsia"/>
        </w:rPr>
        <w:t>ę</w:t>
      </w:r>
      <w:r w:rsidRPr="00EC250C">
        <w:t xml:space="preserve">gniarek </w:t>
      </w:r>
      <w:r w:rsidRPr="00EC250C">
        <w:rPr>
          <w:rFonts w:hint="eastAsia"/>
        </w:rPr>
        <w:t>ś</w:t>
      </w:r>
      <w:r w:rsidRPr="00EC250C">
        <w:t>rodowiskowych opiekuj</w:t>
      </w:r>
      <w:r w:rsidRPr="00EC250C">
        <w:rPr>
          <w:rFonts w:hint="eastAsia"/>
        </w:rPr>
        <w:t>ą</w:t>
      </w:r>
      <w:r w:rsidRPr="00EC250C">
        <w:t>cych si</w:t>
      </w:r>
      <w:r w:rsidRPr="00EC250C">
        <w:rPr>
          <w:rFonts w:hint="eastAsia"/>
        </w:rPr>
        <w:t>ę</w:t>
      </w:r>
      <w:r w:rsidRPr="00EC250C">
        <w:t xml:space="preserve"> osobami choruj</w:t>
      </w:r>
      <w:r w:rsidRPr="00EC250C">
        <w:rPr>
          <w:rFonts w:hint="eastAsia"/>
        </w:rPr>
        <w:t>ą</w:t>
      </w:r>
      <w:r w:rsidRPr="00EC250C">
        <w:t>cymi psychicznie</w:t>
      </w:r>
      <w:bookmarkEnd w:id="455"/>
      <w:bookmarkEnd w:id="456"/>
    </w:p>
    <w:p w14:paraId="5628E549" w14:textId="77777777" w:rsidR="00B473F5" w:rsidRPr="00EC250C" w:rsidRDefault="00187708" w:rsidP="00D131FA">
      <w:pPr>
        <w:pStyle w:val="Problemczowieka"/>
        <w:jc w:val="both"/>
      </w:pPr>
      <w:bookmarkStart w:id="457" w:name="_Hlk8210205"/>
      <w:r w:rsidRPr="00EC250C">
        <w:t>Pielęgniarki środowiskowe opiekujące się</w:t>
      </w:r>
      <w:r w:rsidR="00992FD0" w:rsidRPr="00EC250C">
        <w:t xml:space="preserve"> w </w:t>
      </w:r>
      <w:r w:rsidRPr="00EC250C">
        <w:t>domach osobami chorującymi psychicznie nie mają prawa do emerytur pomostowych ani urlopu zdrowotnego, bo ich praca nie jest zaliczana do pracy</w:t>
      </w:r>
      <w:r w:rsidR="00992FD0" w:rsidRPr="00EC250C">
        <w:t xml:space="preserve"> o </w:t>
      </w:r>
      <w:r w:rsidRPr="00EC250C">
        <w:t>szczególnym charakterze</w:t>
      </w:r>
      <w:r w:rsidR="00B473F5" w:rsidRPr="00EC250C">
        <w:t>.</w:t>
      </w:r>
    </w:p>
    <w:bookmarkEnd w:id="457"/>
    <w:p w14:paraId="79F110A3" w14:textId="77777777" w:rsidR="00C91F6E" w:rsidRPr="00EC250C" w:rsidRDefault="00B04745" w:rsidP="00D131FA">
      <w:pPr>
        <w:pStyle w:val="Styl1"/>
      </w:pPr>
      <w:r w:rsidRPr="00EC250C">
        <w:t>RPO</w:t>
      </w:r>
      <w:r w:rsidR="00187708" w:rsidRPr="00EC250C">
        <w:t xml:space="preserve"> zwrócił się</w:t>
      </w:r>
      <w:r w:rsidR="00992FD0" w:rsidRPr="00EC250C">
        <w:t xml:space="preserve"> w </w:t>
      </w:r>
      <w:r w:rsidR="00187708" w:rsidRPr="00EC250C">
        <w:t>tej sprawie do Ministra Rodziny, Pracy</w:t>
      </w:r>
      <w:r w:rsidR="00992FD0" w:rsidRPr="00EC250C">
        <w:t xml:space="preserve"> i </w:t>
      </w:r>
      <w:r w:rsidR="00187708" w:rsidRPr="00EC250C">
        <w:t>Polityki Społecznej</w:t>
      </w:r>
      <w:r w:rsidR="00187708" w:rsidRPr="00EC250C">
        <w:rPr>
          <w:rStyle w:val="Odwoanieprzypisudolnego"/>
          <w:bCs/>
          <w:iCs/>
        </w:rPr>
        <w:footnoteReference w:id="463"/>
      </w:r>
      <w:r w:rsidR="00187708" w:rsidRPr="00EC250C">
        <w:t>. Postulaty pielęgniarek poznał podczas spotkania regionalnego</w:t>
      </w:r>
      <w:r w:rsidR="00992FD0" w:rsidRPr="00EC250C">
        <w:t xml:space="preserve"> w </w:t>
      </w:r>
      <w:r w:rsidR="00187708" w:rsidRPr="00EC250C">
        <w:t>Ostrowcu Świętokrzyskim</w:t>
      </w:r>
      <w:r w:rsidR="00992FD0" w:rsidRPr="00EC250C">
        <w:t xml:space="preserve"> w </w:t>
      </w:r>
      <w:r w:rsidR="00187708" w:rsidRPr="00EC250C">
        <w:t>styczniu 2018</w:t>
      </w:r>
      <w:r w:rsidR="00C91F6E" w:rsidRPr="00EC250C">
        <w:t> r.</w:t>
      </w:r>
      <w:r w:rsidR="0082403E" w:rsidRPr="00EC250C">
        <w:rPr>
          <w:rStyle w:val="Odwoanieprzypisudolnego"/>
        </w:rPr>
        <w:footnoteReference w:id="464"/>
      </w:r>
    </w:p>
    <w:p w14:paraId="3018255E" w14:textId="77777777" w:rsidR="000F4429" w:rsidRPr="00EC250C" w:rsidRDefault="00187708" w:rsidP="00D131FA">
      <w:pPr>
        <w:pStyle w:val="Styl1"/>
        <w:rPr>
          <w:bCs/>
          <w:iCs/>
        </w:rPr>
      </w:pPr>
      <w:r w:rsidRPr="00EC250C">
        <w:rPr>
          <w:bCs/>
          <w:iCs/>
        </w:rPr>
        <w:t xml:space="preserve">Minister odpowiedział, że </w:t>
      </w:r>
      <w:bookmarkStart w:id="458" w:name="_Toc6257849"/>
      <w:r w:rsidR="000F4429" w:rsidRPr="00EC250C">
        <w:rPr>
          <w:bCs/>
          <w:iCs/>
        </w:rPr>
        <w:t xml:space="preserve">regulacje prawne dotyczące zagadnienia poruszonego przez </w:t>
      </w:r>
      <w:r w:rsidR="00B04745" w:rsidRPr="00EC250C">
        <w:rPr>
          <w:bCs/>
          <w:iCs/>
        </w:rPr>
        <w:t xml:space="preserve">RPO </w:t>
      </w:r>
      <w:r w:rsidR="000F4429" w:rsidRPr="00EC250C">
        <w:rPr>
          <w:bCs/>
          <w:iCs/>
        </w:rPr>
        <w:t>są zawarte</w:t>
      </w:r>
      <w:r w:rsidR="00992FD0" w:rsidRPr="00EC250C">
        <w:rPr>
          <w:bCs/>
          <w:iCs/>
        </w:rPr>
        <w:t xml:space="preserve"> w </w:t>
      </w:r>
      <w:r w:rsidR="000F4429" w:rsidRPr="00EC250C">
        <w:rPr>
          <w:bCs/>
          <w:iCs/>
        </w:rPr>
        <w:t>ustawie</w:t>
      </w:r>
      <w:r w:rsidR="00992FD0" w:rsidRPr="00EC250C">
        <w:rPr>
          <w:bCs/>
          <w:iCs/>
        </w:rPr>
        <w:t xml:space="preserve"> o </w:t>
      </w:r>
      <w:r w:rsidR="000F4429" w:rsidRPr="00EC250C">
        <w:rPr>
          <w:bCs/>
          <w:iCs/>
        </w:rPr>
        <w:t>emeryturach pomostowych</w:t>
      </w:r>
      <w:r w:rsidR="0082403E" w:rsidRPr="00EC250C">
        <w:rPr>
          <w:rStyle w:val="Odwoanieprzypisudolnego"/>
          <w:bCs/>
          <w:iCs/>
        </w:rPr>
        <w:footnoteReference w:id="465"/>
      </w:r>
      <w:r w:rsidR="000F4429" w:rsidRPr="00EC250C">
        <w:rPr>
          <w:bCs/>
          <w:iCs/>
        </w:rPr>
        <w:t xml:space="preserve">. O tym, czy dana praca wykonywana przez </w:t>
      </w:r>
      <w:r w:rsidR="000F4429" w:rsidRPr="00EC250C">
        <w:rPr>
          <w:bCs/>
          <w:iCs/>
        </w:rPr>
        <w:lastRenderedPageBreak/>
        <w:t>określonego pracownika powinna być uznana za pracę</w:t>
      </w:r>
      <w:r w:rsidR="00992FD0" w:rsidRPr="00EC250C">
        <w:rPr>
          <w:bCs/>
          <w:iCs/>
        </w:rPr>
        <w:t xml:space="preserve"> w </w:t>
      </w:r>
      <w:r w:rsidR="000F4429" w:rsidRPr="00EC250C">
        <w:rPr>
          <w:bCs/>
          <w:iCs/>
        </w:rPr>
        <w:t>szczególnych warunkach lub</w:t>
      </w:r>
      <w:r w:rsidR="00992FD0" w:rsidRPr="00EC250C">
        <w:rPr>
          <w:bCs/>
          <w:iCs/>
        </w:rPr>
        <w:t xml:space="preserve"> o </w:t>
      </w:r>
      <w:r w:rsidR="000F4429" w:rsidRPr="00EC250C">
        <w:rPr>
          <w:bCs/>
          <w:iCs/>
        </w:rPr>
        <w:t>szczególnym charakterze nie decyduje nazwa stanowiska pracy lecz charakterystyka wykonywanej pracy, zgodna</w:t>
      </w:r>
      <w:r w:rsidR="00992FD0" w:rsidRPr="00EC250C">
        <w:rPr>
          <w:bCs/>
          <w:iCs/>
        </w:rPr>
        <w:t xml:space="preserve"> z </w:t>
      </w:r>
      <w:r w:rsidR="000F4429" w:rsidRPr="00EC250C">
        <w:rPr>
          <w:bCs/>
          <w:iCs/>
        </w:rPr>
        <w:t>kryteriami zawartymi</w:t>
      </w:r>
      <w:r w:rsidR="00992FD0" w:rsidRPr="00EC250C">
        <w:rPr>
          <w:bCs/>
          <w:iCs/>
        </w:rPr>
        <w:t xml:space="preserve"> w </w:t>
      </w:r>
      <w:r w:rsidR="000F4429" w:rsidRPr="00EC250C">
        <w:rPr>
          <w:bCs/>
          <w:iCs/>
        </w:rPr>
        <w:t>przepisach ww. ustawy. Zgodnie</w:t>
      </w:r>
      <w:r w:rsidR="00992FD0" w:rsidRPr="00EC250C">
        <w:rPr>
          <w:bCs/>
          <w:iCs/>
        </w:rPr>
        <w:t xml:space="preserve"> z </w:t>
      </w:r>
      <w:r w:rsidR="000F4429" w:rsidRPr="00EC250C">
        <w:rPr>
          <w:bCs/>
          <w:iCs/>
        </w:rPr>
        <w:t>ustawą</w:t>
      </w:r>
      <w:r w:rsidR="00992FD0" w:rsidRPr="00EC250C">
        <w:rPr>
          <w:bCs/>
          <w:iCs/>
        </w:rPr>
        <w:t xml:space="preserve"> o </w:t>
      </w:r>
      <w:r w:rsidR="000F4429" w:rsidRPr="00EC250C">
        <w:rPr>
          <w:bCs/>
          <w:iCs/>
        </w:rPr>
        <w:t>emeryturach pomostowych podmiotem uprawnionym do kwalifikowania danego rodzaju pracy jako pracy</w:t>
      </w:r>
      <w:r w:rsidR="00992FD0" w:rsidRPr="00EC250C">
        <w:rPr>
          <w:bCs/>
          <w:iCs/>
        </w:rPr>
        <w:t xml:space="preserve"> w </w:t>
      </w:r>
      <w:r w:rsidR="000F4429" w:rsidRPr="00EC250C">
        <w:rPr>
          <w:bCs/>
          <w:iCs/>
        </w:rPr>
        <w:t>szczególnym charakterze jest zakład pracy (płatnik składek) u którego dana pracy jest wykonywana. Z kolei kwestie dotyczące specjalistycznych usług opiekuńczych,</w:t>
      </w:r>
      <w:r w:rsidR="00992FD0" w:rsidRPr="00EC250C">
        <w:rPr>
          <w:bCs/>
          <w:iCs/>
        </w:rPr>
        <w:t xml:space="preserve"> w </w:t>
      </w:r>
      <w:r w:rsidR="000F4429" w:rsidRPr="00EC250C">
        <w:rPr>
          <w:bCs/>
          <w:iCs/>
        </w:rPr>
        <w:t>tym kwalifikacji osób świadczących takie usługi, uregulowane są</w:t>
      </w:r>
      <w:r w:rsidR="00992FD0" w:rsidRPr="00EC250C">
        <w:rPr>
          <w:bCs/>
          <w:iCs/>
        </w:rPr>
        <w:t xml:space="preserve"> w </w:t>
      </w:r>
      <w:r w:rsidR="000F4429" w:rsidRPr="00EC250C">
        <w:rPr>
          <w:bCs/>
          <w:iCs/>
        </w:rPr>
        <w:t>ustawie</w:t>
      </w:r>
      <w:r w:rsidR="00992FD0" w:rsidRPr="00EC250C">
        <w:rPr>
          <w:bCs/>
          <w:iCs/>
        </w:rPr>
        <w:t xml:space="preserve"> o </w:t>
      </w:r>
      <w:r w:rsidR="000F4429" w:rsidRPr="00EC250C">
        <w:rPr>
          <w:bCs/>
          <w:iCs/>
        </w:rPr>
        <w:t>pomocy społecznej</w:t>
      </w:r>
      <w:r w:rsidR="0082403E" w:rsidRPr="00EC250C">
        <w:rPr>
          <w:rStyle w:val="Odwoanieprzypisudolnego"/>
          <w:bCs/>
          <w:iCs/>
        </w:rPr>
        <w:footnoteReference w:id="466"/>
      </w:r>
      <w:r w:rsidR="000F4429" w:rsidRPr="00EC250C">
        <w:rPr>
          <w:bCs/>
          <w:iCs/>
        </w:rPr>
        <w:t xml:space="preserve"> oraz rozporządzeniu Ministra Polityki Społecznej</w:t>
      </w:r>
      <w:r w:rsidR="00992FD0" w:rsidRPr="00EC250C">
        <w:rPr>
          <w:bCs/>
          <w:iCs/>
        </w:rPr>
        <w:t xml:space="preserve"> w </w:t>
      </w:r>
      <w:r w:rsidR="000F4429" w:rsidRPr="00EC250C">
        <w:rPr>
          <w:bCs/>
          <w:iCs/>
        </w:rPr>
        <w:t>sprawie specjalistycznych usług opiekuńczych</w:t>
      </w:r>
      <w:r w:rsidR="0082403E" w:rsidRPr="00EC250C">
        <w:rPr>
          <w:rStyle w:val="Odwoanieprzypisudolnego"/>
          <w:bCs/>
          <w:iCs/>
        </w:rPr>
        <w:footnoteReference w:id="467"/>
      </w:r>
      <w:r w:rsidR="000F4429" w:rsidRPr="00EC250C">
        <w:rPr>
          <w:bCs/>
          <w:iCs/>
        </w:rPr>
        <w:t xml:space="preserve">. W ocenie MRPiPS, nie ma możliwości uwzględnienia postulowanych przez </w:t>
      </w:r>
      <w:r w:rsidR="0082403E" w:rsidRPr="00EC250C">
        <w:rPr>
          <w:bCs/>
          <w:iCs/>
        </w:rPr>
        <w:t>R</w:t>
      </w:r>
      <w:r w:rsidR="000F4429" w:rsidRPr="00EC250C">
        <w:rPr>
          <w:bCs/>
          <w:iCs/>
        </w:rPr>
        <w:t>zecznika rozwiązań</w:t>
      </w:r>
      <w:r w:rsidR="00992FD0" w:rsidRPr="00EC250C">
        <w:rPr>
          <w:bCs/>
          <w:iCs/>
        </w:rPr>
        <w:t xml:space="preserve"> w </w:t>
      </w:r>
      <w:r w:rsidR="000F4429" w:rsidRPr="00EC250C">
        <w:rPr>
          <w:bCs/>
          <w:iCs/>
        </w:rPr>
        <w:t>odniesieniu do osób świadczących specjalistyczne usługi opiekuńcze osobom</w:t>
      </w:r>
      <w:r w:rsidR="00992FD0" w:rsidRPr="00EC250C">
        <w:rPr>
          <w:bCs/>
          <w:iCs/>
        </w:rPr>
        <w:t xml:space="preserve"> z </w:t>
      </w:r>
      <w:r w:rsidR="000F4429" w:rsidRPr="00EC250C">
        <w:rPr>
          <w:bCs/>
          <w:iCs/>
        </w:rPr>
        <w:t>zaburzeniami psychicznymi</w:t>
      </w:r>
      <w:r w:rsidR="00992FD0" w:rsidRPr="00EC250C">
        <w:rPr>
          <w:bCs/>
          <w:iCs/>
        </w:rPr>
        <w:t xml:space="preserve"> w </w:t>
      </w:r>
      <w:r w:rsidR="000F4429" w:rsidRPr="00EC250C">
        <w:rPr>
          <w:bCs/>
          <w:iCs/>
        </w:rPr>
        <w:t>miejscu ich zamieszkania.</w:t>
      </w:r>
    </w:p>
    <w:p w14:paraId="295E4D35" w14:textId="77777777" w:rsidR="00187708" w:rsidRPr="00EC250C" w:rsidRDefault="00187708" w:rsidP="00EC79EB">
      <w:pPr>
        <w:pStyle w:val="Nagwek4"/>
        <w:rPr>
          <w:spacing w:val="0"/>
        </w:rPr>
      </w:pPr>
      <w:bookmarkStart w:id="459" w:name="_Toc11247722"/>
      <w:r w:rsidRPr="00EC250C">
        <w:t>Sytuacja zawodowa</w:t>
      </w:r>
      <w:r w:rsidR="00992FD0" w:rsidRPr="00EC250C">
        <w:t xml:space="preserve"> i </w:t>
      </w:r>
      <w:r w:rsidRPr="00EC250C">
        <w:t>płace pielęgniarek</w:t>
      </w:r>
      <w:bookmarkEnd w:id="458"/>
      <w:bookmarkEnd w:id="459"/>
    </w:p>
    <w:p w14:paraId="21C4BDBA" w14:textId="77777777" w:rsidR="00B473F5" w:rsidRPr="00EC250C" w:rsidRDefault="00187708" w:rsidP="00D131FA">
      <w:pPr>
        <w:pStyle w:val="Problemczowieka"/>
        <w:jc w:val="both"/>
        <w:rPr>
          <w:rStyle w:val="Pogrubienie"/>
          <w:rFonts w:eastAsiaTheme="minorHAnsi"/>
          <w:b/>
          <w:bCs w:val="0"/>
        </w:rPr>
      </w:pPr>
      <w:r w:rsidRPr="00EC250C">
        <w:rPr>
          <w:rStyle w:val="Pogrubienie"/>
          <w:rFonts w:eastAsiaTheme="minorHAnsi"/>
          <w:b/>
          <w:bCs w:val="0"/>
        </w:rPr>
        <w:t>Piel</w:t>
      </w:r>
      <w:r w:rsidRPr="00EC250C">
        <w:rPr>
          <w:rStyle w:val="Pogrubienie"/>
          <w:rFonts w:eastAsiaTheme="minorHAnsi" w:hint="eastAsia"/>
          <w:b/>
          <w:bCs w:val="0"/>
        </w:rPr>
        <w:t>ę</w:t>
      </w:r>
      <w:r w:rsidRPr="00EC250C">
        <w:rPr>
          <w:rStyle w:val="Pogrubienie"/>
          <w:rFonts w:eastAsiaTheme="minorHAnsi"/>
          <w:b/>
          <w:bCs w:val="0"/>
        </w:rPr>
        <w:t>gniarki</w:t>
      </w:r>
      <w:r w:rsidR="00992FD0" w:rsidRPr="00EC250C">
        <w:rPr>
          <w:rStyle w:val="Pogrubienie"/>
          <w:rFonts w:eastAsiaTheme="minorHAnsi"/>
          <w:b/>
          <w:bCs w:val="0"/>
        </w:rPr>
        <w:t xml:space="preserve"> i </w:t>
      </w:r>
      <w:r w:rsidRPr="00EC250C">
        <w:rPr>
          <w:rStyle w:val="Pogrubienie"/>
          <w:rFonts w:eastAsiaTheme="minorHAnsi"/>
          <w:b/>
          <w:bCs w:val="0"/>
        </w:rPr>
        <w:t>po</w:t>
      </w:r>
      <w:r w:rsidRPr="00EC250C">
        <w:rPr>
          <w:rStyle w:val="Pogrubienie"/>
          <w:rFonts w:eastAsiaTheme="minorHAnsi" w:hint="eastAsia"/>
          <w:b/>
          <w:bCs w:val="0"/>
        </w:rPr>
        <w:t>ł</w:t>
      </w:r>
      <w:r w:rsidRPr="00EC250C">
        <w:rPr>
          <w:rStyle w:val="Pogrubienie"/>
          <w:rFonts w:eastAsiaTheme="minorHAnsi"/>
          <w:b/>
          <w:bCs w:val="0"/>
        </w:rPr>
        <w:t>o</w:t>
      </w:r>
      <w:r w:rsidRPr="00EC250C">
        <w:rPr>
          <w:rStyle w:val="Pogrubienie"/>
          <w:rFonts w:eastAsiaTheme="minorHAnsi" w:hint="eastAsia"/>
          <w:b/>
          <w:bCs w:val="0"/>
        </w:rPr>
        <w:t>ż</w:t>
      </w:r>
      <w:r w:rsidRPr="00EC250C">
        <w:rPr>
          <w:rStyle w:val="Pogrubienie"/>
          <w:rFonts w:eastAsiaTheme="minorHAnsi"/>
          <w:b/>
          <w:bCs w:val="0"/>
        </w:rPr>
        <w:t>ne zarabiaj</w:t>
      </w:r>
      <w:r w:rsidRPr="00EC250C">
        <w:rPr>
          <w:rStyle w:val="Pogrubienie"/>
          <w:rFonts w:eastAsiaTheme="minorHAnsi" w:hint="eastAsia"/>
          <w:b/>
          <w:bCs w:val="0"/>
        </w:rPr>
        <w:t>ą</w:t>
      </w:r>
      <w:r w:rsidRPr="00EC250C">
        <w:rPr>
          <w:rStyle w:val="Pogrubienie"/>
          <w:rFonts w:eastAsiaTheme="minorHAnsi"/>
          <w:b/>
          <w:bCs w:val="0"/>
        </w:rPr>
        <w:t xml:space="preserve"> za ma</w:t>
      </w:r>
      <w:r w:rsidRPr="00EC250C">
        <w:rPr>
          <w:rStyle w:val="Pogrubienie"/>
          <w:rFonts w:eastAsiaTheme="minorHAnsi" w:hint="eastAsia"/>
          <w:b/>
          <w:bCs w:val="0"/>
        </w:rPr>
        <w:t>ł</w:t>
      </w:r>
      <w:r w:rsidRPr="00EC250C">
        <w:rPr>
          <w:rStyle w:val="Pogrubienie"/>
          <w:rFonts w:eastAsiaTheme="minorHAnsi"/>
          <w:b/>
          <w:bCs w:val="0"/>
        </w:rPr>
        <w:t>o, wi</w:t>
      </w:r>
      <w:r w:rsidRPr="00EC250C">
        <w:rPr>
          <w:rStyle w:val="Pogrubienie"/>
          <w:rFonts w:eastAsiaTheme="minorHAnsi" w:hint="eastAsia"/>
          <w:b/>
          <w:bCs w:val="0"/>
        </w:rPr>
        <w:t>ę</w:t>
      </w:r>
      <w:r w:rsidRPr="00EC250C">
        <w:rPr>
          <w:rStyle w:val="Pogrubienie"/>
          <w:rFonts w:eastAsiaTheme="minorHAnsi"/>
          <w:b/>
          <w:bCs w:val="0"/>
        </w:rPr>
        <w:t>c jest ich coraz mniej. S</w:t>
      </w:r>
      <w:r w:rsidRPr="00EC250C">
        <w:rPr>
          <w:rStyle w:val="Pogrubienie"/>
          <w:rFonts w:eastAsiaTheme="minorHAnsi" w:hint="eastAsia"/>
          <w:b/>
          <w:bCs w:val="0"/>
        </w:rPr>
        <w:t>ą</w:t>
      </w:r>
      <w:r w:rsidRPr="00EC250C">
        <w:rPr>
          <w:rStyle w:val="Pogrubienie"/>
          <w:rFonts w:eastAsiaTheme="minorHAnsi"/>
          <w:b/>
          <w:bCs w:val="0"/>
        </w:rPr>
        <w:t xml:space="preserve"> np. oddzia</w:t>
      </w:r>
      <w:r w:rsidRPr="00EC250C">
        <w:rPr>
          <w:rStyle w:val="Pogrubienie"/>
          <w:rFonts w:eastAsiaTheme="minorHAnsi" w:hint="eastAsia"/>
          <w:b/>
          <w:bCs w:val="0"/>
        </w:rPr>
        <w:t>ł</w:t>
      </w:r>
      <w:r w:rsidRPr="00EC250C">
        <w:rPr>
          <w:rStyle w:val="Pogrubienie"/>
          <w:rFonts w:eastAsiaTheme="minorHAnsi"/>
          <w:b/>
          <w:bCs w:val="0"/>
        </w:rPr>
        <w:t>y szpitalne, gdzie jedna piel</w:t>
      </w:r>
      <w:r w:rsidRPr="00EC250C">
        <w:rPr>
          <w:rStyle w:val="Pogrubienie"/>
          <w:rFonts w:eastAsiaTheme="minorHAnsi" w:hint="eastAsia"/>
          <w:b/>
          <w:bCs w:val="0"/>
        </w:rPr>
        <w:t>ę</w:t>
      </w:r>
      <w:r w:rsidRPr="00EC250C">
        <w:rPr>
          <w:rStyle w:val="Pogrubienie"/>
          <w:rFonts w:eastAsiaTheme="minorHAnsi"/>
          <w:b/>
          <w:bCs w:val="0"/>
        </w:rPr>
        <w:t>gniarka przypada na 30-40 pacjent</w:t>
      </w:r>
      <w:r w:rsidRPr="00EC250C">
        <w:rPr>
          <w:rStyle w:val="Pogrubienie"/>
          <w:rFonts w:eastAsiaTheme="minorHAnsi" w:hint="eastAsia"/>
          <w:b/>
          <w:bCs w:val="0"/>
        </w:rPr>
        <w:t>ó</w:t>
      </w:r>
      <w:r w:rsidRPr="00EC250C">
        <w:rPr>
          <w:rStyle w:val="Pogrubienie"/>
          <w:rFonts w:eastAsiaTheme="minorHAnsi"/>
          <w:b/>
          <w:bCs w:val="0"/>
        </w:rPr>
        <w:t>w. Smutn</w:t>
      </w:r>
      <w:r w:rsidRPr="00EC250C">
        <w:rPr>
          <w:rStyle w:val="Pogrubienie"/>
          <w:rFonts w:eastAsiaTheme="minorHAnsi" w:hint="eastAsia"/>
          <w:b/>
          <w:bCs w:val="0"/>
        </w:rPr>
        <w:t>ą</w:t>
      </w:r>
      <w:r w:rsidRPr="00EC250C">
        <w:rPr>
          <w:rStyle w:val="Pogrubienie"/>
          <w:rFonts w:eastAsiaTheme="minorHAnsi"/>
          <w:b/>
          <w:bCs w:val="0"/>
        </w:rPr>
        <w:t xml:space="preserve"> norm</w:t>
      </w:r>
      <w:r w:rsidRPr="00EC250C">
        <w:rPr>
          <w:rStyle w:val="Pogrubienie"/>
          <w:rFonts w:eastAsiaTheme="minorHAnsi" w:hint="eastAsia"/>
          <w:b/>
          <w:bCs w:val="0"/>
        </w:rPr>
        <w:t>ą</w:t>
      </w:r>
      <w:r w:rsidRPr="00EC250C">
        <w:rPr>
          <w:rStyle w:val="Pogrubienie"/>
          <w:rFonts w:eastAsiaTheme="minorHAnsi"/>
          <w:b/>
          <w:bCs w:val="0"/>
        </w:rPr>
        <w:t xml:space="preserve"> sta</w:t>
      </w:r>
      <w:r w:rsidRPr="00EC250C">
        <w:rPr>
          <w:rStyle w:val="Pogrubienie"/>
          <w:rFonts w:eastAsiaTheme="minorHAnsi" w:hint="eastAsia"/>
          <w:b/>
          <w:bCs w:val="0"/>
        </w:rPr>
        <w:t>ł</w:t>
      </w:r>
      <w:r w:rsidRPr="00EC250C">
        <w:rPr>
          <w:rStyle w:val="Pogrubienie"/>
          <w:rFonts w:eastAsiaTheme="minorHAnsi"/>
          <w:b/>
          <w:bCs w:val="0"/>
        </w:rPr>
        <w:t>o si</w:t>
      </w:r>
      <w:r w:rsidRPr="00EC250C">
        <w:rPr>
          <w:rStyle w:val="Pogrubienie"/>
          <w:rFonts w:eastAsiaTheme="minorHAnsi" w:hint="eastAsia"/>
          <w:b/>
          <w:bCs w:val="0"/>
        </w:rPr>
        <w:t>ę</w:t>
      </w:r>
      <w:r w:rsidRPr="00EC250C">
        <w:rPr>
          <w:rStyle w:val="Pogrubienie"/>
          <w:rFonts w:eastAsiaTheme="minorHAnsi"/>
          <w:b/>
          <w:bCs w:val="0"/>
        </w:rPr>
        <w:t xml:space="preserve">, </w:t>
      </w:r>
      <w:r w:rsidRPr="00EC250C">
        <w:rPr>
          <w:rStyle w:val="Pogrubienie"/>
          <w:rFonts w:eastAsiaTheme="minorHAnsi" w:hint="eastAsia"/>
          <w:b/>
          <w:bCs w:val="0"/>
        </w:rPr>
        <w:t>ż</w:t>
      </w:r>
      <w:r w:rsidRPr="00EC250C">
        <w:rPr>
          <w:rStyle w:val="Pogrubienie"/>
          <w:rFonts w:eastAsiaTheme="minorHAnsi"/>
          <w:b/>
          <w:bCs w:val="0"/>
        </w:rPr>
        <w:t>e piel</w:t>
      </w:r>
      <w:r w:rsidRPr="00EC250C">
        <w:rPr>
          <w:rStyle w:val="Pogrubienie"/>
          <w:rFonts w:eastAsiaTheme="minorHAnsi" w:hint="eastAsia"/>
          <w:b/>
          <w:bCs w:val="0"/>
        </w:rPr>
        <w:t>ę</w:t>
      </w:r>
      <w:r w:rsidRPr="00EC250C">
        <w:rPr>
          <w:rStyle w:val="Pogrubienie"/>
          <w:rFonts w:eastAsiaTheme="minorHAnsi"/>
          <w:b/>
          <w:bCs w:val="0"/>
        </w:rPr>
        <w:t>gniarki pracuj</w:t>
      </w:r>
      <w:r w:rsidRPr="00EC250C">
        <w:rPr>
          <w:rStyle w:val="Pogrubienie"/>
          <w:rFonts w:eastAsiaTheme="minorHAnsi" w:hint="eastAsia"/>
          <w:b/>
          <w:bCs w:val="0"/>
        </w:rPr>
        <w:t>ą</w:t>
      </w:r>
      <w:r w:rsidRPr="00EC250C">
        <w:rPr>
          <w:rStyle w:val="Pogrubienie"/>
          <w:rFonts w:eastAsiaTheme="minorHAnsi"/>
          <w:b/>
          <w:bCs w:val="0"/>
        </w:rPr>
        <w:t xml:space="preserve"> na kilku etatach. Gdyby ograniczy</w:t>
      </w:r>
      <w:r w:rsidRPr="00EC250C">
        <w:rPr>
          <w:rStyle w:val="Pogrubienie"/>
          <w:rFonts w:eastAsiaTheme="minorHAnsi" w:hint="eastAsia"/>
          <w:b/>
          <w:bCs w:val="0"/>
        </w:rPr>
        <w:t>ł</w:t>
      </w:r>
      <w:r w:rsidRPr="00EC250C">
        <w:rPr>
          <w:rStyle w:val="Pogrubienie"/>
          <w:rFonts w:eastAsiaTheme="minorHAnsi"/>
          <w:b/>
          <w:bCs w:val="0"/>
        </w:rPr>
        <w:t>y si</w:t>
      </w:r>
      <w:r w:rsidRPr="00EC250C">
        <w:rPr>
          <w:rStyle w:val="Pogrubienie"/>
          <w:rFonts w:eastAsiaTheme="minorHAnsi" w:hint="eastAsia"/>
          <w:b/>
          <w:bCs w:val="0"/>
        </w:rPr>
        <w:t>ę</w:t>
      </w:r>
      <w:r w:rsidRPr="00EC250C">
        <w:rPr>
          <w:rStyle w:val="Pogrubienie"/>
          <w:rFonts w:eastAsiaTheme="minorHAnsi"/>
          <w:b/>
          <w:bCs w:val="0"/>
        </w:rPr>
        <w:t xml:space="preserve"> do jednego miejsca, system ochrony zdrowia by</w:t>
      </w:r>
      <w:r w:rsidRPr="00EC250C">
        <w:rPr>
          <w:rStyle w:val="Pogrubienie"/>
          <w:rFonts w:eastAsiaTheme="minorHAnsi" w:hint="eastAsia"/>
          <w:b/>
          <w:bCs w:val="0"/>
        </w:rPr>
        <w:t>ł</w:t>
      </w:r>
      <w:r w:rsidRPr="00EC250C">
        <w:rPr>
          <w:rStyle w:val="Pogrubienie"/>
          <w:rFonts w:eastAsiaTheme="minorHAnsi"/>
          <w:b/>
          <w:bCs w:val="0"/>
        </w:rPr>
        <w:t>by zagro</w:t>
      </w:r>
      <w:r w:rsidRPr="00EC250C">
        <w:rPr>
          <w:rStyle w:val="Pogrubienie"/>
          <w:rFonts w:eastAsiaTheme="minorHAnsi" w:hint="eastAsia"/>
          <w:b/>
          <w:bCs w:val="0"/>
        </w:rPr>
        <w:t>ż</w:t>
      </w:r>
      <w:r w:rsidRPr="00EC250C">
        <w:rPr>
          <w:rStyle w:val="Pogrubienie"/>
          <w:rFonts w:eastAsiaTheme="minorHAnsi"/>
          <w:b/>
          <w:bCs w:val="0"/>
        </w:rPr>
        <w:t>ony</w:t>
      </w:r>
      <w:r w:rsidR="00B473F5" w:rsidRPr="00EC250C">
        <w:rPr>
          <w:rStyle w:val="Pogrubienie"/>
          <w:rFonts w:eastAsiaTheme="minorHAnsi"/>
          <w:b/>
          <w:bCs w:val="0"/>
        </w:rPr>
        <w:t>.</w:t>
      </w:r>
    </w:p>
    <w:p w14:paraId="13AF4963" w14:textId="77777777" w:rsidR="00D52B5C" w:rsidRPr="00EC250C" w:rsidRDefault="00293763" w:rsidP="00D131FA">
      <w:pPr>
        <w:pStyle w:val="Styl1"/>
      </w:pPr>
      <w:r w:rsidRPr="00EC250C">
        <w:t xml:space="preserve">W wystąpieniach do władz </w:t>
      </w:r>
      <w:r w:rsidR="00B04745" w:rsidRPr="00EC250C">
        <w:t>RPO</w:t>
      </w:r>
      <w:r w:rsidR="00D52B5C" w:rsidRPr="00EC250C">
        <w:t xml:space="preserve"> powołuje się na sygnały od samorządu pielęgniarek</w:t>
      </w:r>
      <w:r w:rsidR="00992FD0" w:rsidRPr="00EC250C">
        <w:t xml:space="preserve"> i </w:t>
      </w:r>
      <w:r w:rsidR="00D52B5C" w:rsidRPr="00EC250C">
        <w:t>położnych. Środowisko od lat mierzy się</w:t>
      </w:r>
      <w:r w:rsidR="00992FD0" w:rsidRPr="00EC250C">
        <w:t xml:space="preserve"> z </w:t>
      </w:r>
      <w:r w:rsidR="00D52B5C" w:rsidRPr="00EC250C">
        <w:t>problemem braku zastępowalności pokoleń. Młode osoby nie chcą wykonywać tych zawodów</w:t>
      </w:r>
      <w:r w:rsidR="00026572" w:rsidRPr="00EC250C">
        <w:t xml:space="preserve"> – </w:t>
      </w:r>
      <w:r w:rsidR="00D52B5C" w:rsidRPr="00EC250C">
        <w:t>tylko niewielki procent absolwentów</w:t>
      </w:r>
      <w:r w:rsidR="00992FD0" w:rsidRPr="00EC250C">
        <w:t xml:space="preserve"> i </w:t>
      </w:r>
      <w:r w:rsidR="00D52B5C" w:rsidRPr="00EC250C">
        <w:t>absolwentek podejmuje pracę.</w:t>
      </w:r>
    </w:p>
    <w:p w14:paraId="469F1303" w14:textId="77777777" w:rsidR="00187708" w:rsidRPr="00EC250C" w:rsidRDefault="00187708" w:rsidP="00D131FA">
      <w:pPr>
        <w:pStyle w:val="Styl1"/>
      </w:pPr>
      <w:r w:rsidRPr="00EC250C">
        <w:t>RPO</w:t>
      </w:r>
      <w:r w:rsidR="00992FD0" w:rsidRPr="00EC250C">
        <w:t xml:space="preserve"> z </w:t>
      </w:r>
      <w:r w:rsidRPr="00EC250C">
        <w:t>zadowoleniem przyjął informację</w:t>
      </w:r>
      <w:r w:rsidR="00992FD0" w:rsidRPr="00EC250C">
        <w:t xml:space="preserve"> o </w:t>
      </w:r>
      <w:r w:rsidRPr="00EC250C">
        <w:t xml:space="preserve">przyjęciu przez </w:t>
      </w:r>
      <w:r w:rsidR="00907A50" w:rsidRPr="00EC250C">
        <w:t>Ministra Z</w:t>
      </w:r>
      <w:r w:rsidR="00DA526C" w:rsidRPr="00EC250C">
        <w:t>drowia</w:t>
      </w:r>
      <w:r w:rsidR="00992FD0" w:rsidRPr="00EC250C">
        <w:t xml:space="preserve"> w </w:t>
      </w:r>
      <w:r w:rsidR="00DA526C" w:rsidRPr="00EC250C">
        <w:t>2017</w:t>
      </w:r>
      <w:r w:rsidR="00C91F6E" w:rsidRPr="00EC250C">
        <w:t> r.</w:t>
      </w:r>
      <w:r w:rsidR="00DA526C" w:rsidRPr="00EC250C">
        <w:t xml:space="preserve"> </w:t>
      </w:r>
      <w:r w:rsidRPr="00EC250C">
        <w:t>dokumentu ,,Strategia na rzecz rozwoju</w:t>
      </w:r>
      <w:r w:rsidR="00CC4D88" w:rsidRPr="00EC250C">
        <w:t xml:space="preserve"> </w:t>
      </w:r>
      <w:r w:rsidRPr="00EC250C">
        <w:t>pielęgniarstwa</w:t>
      </w:r>
      <w:r w:rsidR="00992FD0" w:rsidRPr="00EC250C">
        <w:t xml:space="preserve"> i </w:t>
      </w:r>
      <w:r w:rsidRPr="00EC250C">
        <w:t>położnictwa</w:t>
      </w:r>
      <w:r w:rsidR="00992FD0" w:rsidRPr="00EC250C">
        <w:t xml:space="preserve"> w </w:t>
      </w:r>
      <w:r w:rsidRPr="00EC250C">
        <w:t xml:space="preserve">Polsce”. </w:t>
      </w:r>
      <w:r w:rsidR="00DA526C" w:rsidRPr="00EC250C">
        <w:t>D</w:t>
      </w:r>
      <w:r w:rsidRPr="00EC250C">
        <w:t xml:space="preserve">ocierają </w:t>
      </w:r>
      <w:r w:rsidR="00DA526C" w:rsidRPr="00EC250C">
        <w:t xml:space="preserve">jednak </w:t>
      </w:r>
      <w:r w:rsidRPr="00EC250C">
        <w:t>do niego sygnały, że strategia zawiera jedynie diagnozy,</w:t>
      </w:r>
      <w:r w:rsidR="00992FD0" w:rsidRPr="00EC250C">
        <w:t xml:space="preserve"> a </w:t>
      </w:r>
      <w:r w:rsidRPr="00EC250C">
        <w:t>nie plan realizacji konkretnych działań</w:t>
      </w:r>
      <w:r w:rsidR="00DA526C" w:rsidRPr="00EC250C">
        <w:t>.</w:t>
      </w:r>
    </w:p>
    <w:p w14:paraId="5FA92ED5" w14:textId="77777777" w:rsidR="00187708" w:rsidRPr="00EC250C" w:rsidRDefault="00187708" w:rsidP="00D131FA">
      <w:pPr>
        <w:pStyle w:val="Styl1"/>
      </w:pPr>
      <w:r w:rsidRPr="00EC250C">
        <w:t xml:space="preserve">Minister Zdrowia </w:t>
      </w:r>
      <w:r w:rsidR="00CC0B7D" w:rsidRPr="00EC250C">
        <w:t>zapewnił</w:t>
      </w:r>
      <w:r w:rsidRPr="00EC250C">
        <w:t>, że władze znają powagę sytuacji, dlatego właśnie przyjęły cytowaną przez RPO „Strategię na rzecz rozwoju pielęgniarstwa</w:t>
      </w:r>
      <w:r w:rsidR="00992FD0" w:rsidRPr="00EC250C">
        <w:t xml:space="preserve"> i </w:t>
      </w:r>
      <w:r w:rsidRPr="00EC250C">
        <w:t>położnictwa”. Wskazał, że dokument ma charakter wieloletni,</w:t>
      </w:r>
      <w:r w:rsidR="00992FD0" w:rsidRPr="00EC250C">
        <w:t xml:space="preserve"> i </w:t>
      </w:r>
      <w:r w:rsidRPr="00EC250C">
        <w:t>– wbrew obawom RPO – jest on wdrażany</w:t>
      </w:r>
      <w:r w:rsidR="00DA526C" w:rsidRPr="00EC250C">
        <w:rPr>
          <w:rStyle w:val="Odwoanieprzypisudolnego"/>
        </w:rPr>
        <w:footnoteReference w:id="468"/>
      </w:r>
      <w:r w:rsidR="00DA526C" w:rsidRPr="00EC250C">
        <w:t>.</w:t>
      </w:r>
    </w:p>
    <w:p w14:paraId="78768BEC" w14:textId="77777777" w:rsidR="00C91F6E" w:rsidRPr="00EC250C" w:rsidRDefault="00DA526C" w:rsidP="00EC79EB">
      <w:pPr>
        <w:pStyle w:val="Nagwek4"/>
      </w:pPr>
      <w:bookmarkStart w:id="460" w:name="_Toc6257853"/>
      <w:bookmarkStart w:id="461" w:name="_Toc11247723"/>
      <w:bookmarkStart w:id="462" w:name="_Toc6257850"/>
      <w:r w:rsidRPr="00EC250C">
        <w:t>Nieskuteczność działań antymobbingowych</w:t>
      </w:r>
      <w:r w:rsidR="00992FD0" w:rsidRPr="00EC250C">
        <w:t xml:space="preserve"> w </w:t>
      </w:r>
      <w:r w:rsidRPr="00EC250C">
        <w:t>szpitalach</w:t>
      </w:r>
      <w:bookmarkEnd w:id="460"/>
      <w:bookmarkEnd w:id="461"/>
    </w:p>
    <w:p w14:paraId="76E2E82C" w14:textId="77777777" w:rsidR="00B473F5" w:rsidRPr="00EC250C" w:rsidRDefault="00DA526C" w:rsidP="00D131FA">
      <w:pPr>
        <w:pStyle w:val="Problemczowieka"/>
        <w:jc w:val="both"/>
      </w:pPr>
      <w:r w:rsidRPr="00EC250C">
        <w:rPr>
          <w:bdr w:val="none" w:sz="0" w:space="0" w:color="auto" w:frame="1"/>
        </w:rPr>
        <w:t>Procedury antymobbingowe</w:t>
      </w:r>
      <w:r w:rsidR="00992FD0" w:rsidRPr="00EC250C">
        <w:rPr>
          <w:bdr w:val="none" w:sz="0" w:space="0" w:color="auto" w:frame="1"/>
        </w:rPr>
        <w:t xml:space="preserve"> w </w:t>
      </w:r>
      <w:r w:rsidRPr="00EC250C">
        <w:rPr>
          <w:bdr w:val="none" w:sz="0" w:space="0" w:color="auto" w:frame="1"/>
        </w:rPr>
        <w:t>szpitalach nie gwarantują ani rzetelnego wyjaśnienia spraw, ani należytej ochrony osób doświadczających mobbingu</w:t>
      </w:r>
      <w:r w:rsidR="00B473F5" w:rsidRPr="00EC250C">
        <w:rPr>
          <w:rFonts w:ascii="Open Sans Regular" w:hAnsi="Open Sans Regular"/>
          <w:b w:val="0"/>
        </w:rPr>
        <w:t>.</w:t>
      </w:r>
    </w:p>
    <w:p w14:paraId="79F1E188" w14:textId="77777777" w:rsidR="00DA526C" w:rsidRPr="00EC250C" w:rsidRDefault="00DA526C" w:rsidP="00D131FA">
      <w:pPr>
        <w:pStyle w:val="Styl1"/>
      </w:pPr>
      <w:r w:rsidRPr="00EC250C">
        <w:rPr>
          <w:bdr w:val="none" w:sz="0" w:space="0" w:color="auto" w:frame="1"/>
        </w:rPr>
        <w:lastRenderedPageBreak/>
        <w:t>Procedury bowiem to za mało; konieczne są specjalistyczne szkolenia dla kadry kierowniczej szpitali</w:t>
      </w:r>
      <w:r w:rsidR="00992FD0" w:rsidRPr="00EC250C">
        <w:rPr>
          <w:bdr w:val="none" w:sz="0" w:space="0" w:color="auto" w:frame="1"/>
        </w:rPr>
        <w:t xml:space="preserve"> i </w:t>
      </w:r>
      <w:r w:rsidRPr="00EC250C">
        <w:rPr>
          <w:bdr w:val="none" w:sz="0" w:space="0" w:color="auto" w:frame="1"/>
        </w:rPr>
        <w:t>pracowników; anonimowe ankiety wśród pracowników</w:t>
      </w:r>
      <w:r w:rsidR="00992FD0" w:rsidRPr="00EC250C">
        <w:rPr>
          <w:bdr w:val="none" w:sz="0" w:space="0" w:color="auto" w:frame="1"/>
        </w:rPr>
        <w:t xml:space="preserve"> i </w:t>
      </w:r>
      <w:r w:rsidRPr="00EC250C">
        <w:rPr>
          <w:bdr w:val="none" w:sz="0" w:space="0" w:color="auto" w:frame="1"/>
        </w:rPr>
        <w:t xml:space="preserve">stałe dyżury pełnomocników ds. mobbingu. Poza tym </w:t>
      </w:r>
      <w:r w:rsidRPr="00EC250C">
        <w:t>pod</w:t>
      </w:r>
      <w:r w:rsidRPr="00EC250C">
        <w:rPr>
          <w:rFonts w:hint="eastAsia"/>
        </w:rPr>
        <w:t>ł</w:t>
      </w:r>
      <w:r w:rsidRPr="00EC250C">
        <w:t>o</w:t>
      </w:r>
      <w:r w:rsidRPr="00EC250C">
        <w:rPr>
          <w:rFonts w:hint="eastAsia"/>
        </w:rPr>
        <w:t>ż</w:t>
      </w:r>
      <w:r w:rsidRPr="00EC250C">
        <w:t>em konflikt</w:t>
      </w:r>
      <w:r w:rsidRPr="00EC250C">
        <w:rPr>
          <w:rFonts w:hint="eastAsia"/>
        </w:rPr>
        <w:t>ó</w:t>
      </w:r>
      <w:r w:rsidRPr="00EC250C">
        <w:t>w prowadz</w:t>
      </w:r>
      <w:r w:rsidRPr="00EC250C">
        <w:rPr>
          <w:rFonts w:hint="eastAsia"/>
        </w:rPr>
        <w:t>ą</w:t>
      </w:r>
      <w:r w:rsidRPr="00EC250C">
        <w:t>cych do mobbingu czy dyskryminacji piel</w:t>
      </w:r>
      <w:r w:rsidRPr="00EC250C">
        <w:rPr>
          <w:rFonts w:hint="eastAsia"/>
        </w:rPr>
        <w:t>ę</w:t>
      </w:r>
      <w:r w:rsidRPr="00EC250C">
        <w:t>gniarek</w:t>
      </w:r>
      <w:r w:rsidR="00992FD0" w:rsidRPr="00EC250C">
        <w:t xml:space="preserve"> i </w:t>
      </w:r>
      <w:r w:rsidRPr="00EC250C">
        <w:t>po</w:t>
      </w:r>
      <w:r w:rsidRPr="00EC250C">
        <w:rPr>
          <w:rFonts w:hint="eastAsia"/>
        </w:rPr>
        <w:t>ł</w:t>
      </w:r>
      <w:r w:rsidRPr="00EC250C">
        <w:t>o</w:t>
      </w:r>
      <w:r w:rsidRPr="00EC250C">
        <w:rPr>
          <w:rFonts w:hint="eastAsia"/>
        </w:rPr>
        <w:t>ż</w:t>
      </w:r>
      <w:r w:rsidRPr="00EC250C">
        <w:t>nych mog</w:t>
      </w:r>
      <w:r w:rsidRPr="00EC250C">
        <w:rPr>
          <w:rFonts w:hint="eastAsia"/>
        </w:rPr>
        <w:t>ą</w:t>
      </w:r>
      <w:r w:rsidRPr="00EC250C">
        <w:t xml:space="preserve"> by</w:t>
      </w:r>
      <w:r w:rsidRPr="00EC250C">
        <w:rPr>
          <w:rFonts w:hint="eastAsia"/>
        </w:rPr>
        <w:t>ć</w:t>
      </w:r>
      <w:r w:rsidRPr="00EC250C">
        <w:t xml:space="preserve"> narastaj</w:t>
      </w:r>
      <w:r w:rsidRPr="00EC250C">
        <w:rPr>
          <w:rFonts w:hint="eastAsia"/>
        </w:rPr>
        <w:t>ą</w:t>
      </w:r>
      <w:r w:rsidRPr="00EC250C">
        <w:t>ce braki kadrowe</w:t>
      </w:r>
      <w:r w:rsidR="00992FD0" w:rsidRPr="00EC250C">
        <w:t xml:space="preserve"> w </w:t>
      </w:r>
      <w:r w:rsidRPr="00EC250C">
        <w:t>szpitalach</w:t>
      </w:r>
      <w:r w:rsidR="00992FD0" w:rsidRPr="00EC250C">
        <w:t xml:space="preserve"> i </w:t>
      </w:r>
      <w:r w:rsidRPr="00EC250C">
        <w:t>niskie zarobki personelu medycznego.</w:t>
      </w:r>
    </w:p>
    <w:p w14:paraId="4F6620DB" w14:textId="77777777" w:rsidR="00DA526C" w:rsidRPr="00EC250C" w:rsidRDefault="00DA526C" w:rsidP="00D131FA">
      <w:pPr>
        <w:pStyle w:val="Styl1"/>
        <w:rPr>
          <w:bCs/>
          <w:iCs/>
        </w:rPr>
      </w:pPr>
      <w:r w:rsidRPr="00EC250C">
        <w:t xml:space="preserve">O problemie </w:t>
      </w:r>
      <w:r w:rsidR="00B04745" w:rsidRPr="00EC250C">
        <w:t>RPO</w:t>
      </w:r>
      <w:r w:rsidRPr="00EC250C">
        <w:t xml:space="preserve"> dowiedział się na spotkaniu</w:t>
      </w:r>
      <w:r w:rsidR="00992FD0" w:rsidRPr="00EC250C">
        <w:t xml:space="preserve"> z </w:t>
      </w:r>
      <w:r w:rsidRPr="00EC250C">
        <w:t>kierownictwem Ogólnopolskiego Związku Zawodowego Pielęgniarek</w:t>
      </w:r>
      <w:r w:rsidR="00992FD0" w:rsidRPr="00EC250C">
        <w:t xml:space="preserve"> i </w:t>
      </w:r>
      <w:r w:rsidRPr="00EC250C">
        <w:t>Położnych. Wystąpił</w:t>
      </w:r>
      <w:r w:rsidR="00992FD0" w:rsidRPr="00EC250C">
        <w:t xml:space="preserve"> o </w:t>
      </w:r>
      <w:r w:rsidRPr="00EC250C">
        <w:t>rozwiązanie go do Ministra Zdrowia</w:t>
      </w:r>
      <w:r w:rsidRPr="00EC250C">
        <w:rPr>
          <w:bCs/>
          <w:iCs/>
        </w:rPr>
        <w:t>.</w:t>
      </w:r>
    </w:p>
    <w:p w14:paraId="1C07548B" w14:textId="77777777" w:rsidR="00DA526C" w:rsidRPr="00EC250C" w:rsidRDefault="00DA526C" w:rsidP="00D131FA">
      <w:pPr>
        <w:pStyle w:val="Styl1"/>
        <w:rPr>
          <w:bCs/>
          <w:iCs/>
        </w:rPr>
      </w:pPr>
      <w:r w:rsidRPr="00EC250C">
        <w:rPr>
          <w:bCs/>
          <w:iCs/>
        </w:rPr>
        <w:t xml:space="preserve">Minister poinformował, że sprawy pracownicze wykraczają poza kwestię funkcjonowania sektora służby zdrowia, którą </w:t>
      </w:r>
      <w:r w:rsidR="00882B7A" w:rsidRPr="00EC250C">
        <w:rPr>
          <w:bCs/>
          <w:iCs/>
        </w:rPr>
        <w:t xml:space="preserve">się </w:t>
      </w:r>
      <w:r w:rsidRPr="00EC250C">
        <w:rPr>
          <w:bCs/>
          <w:iCs/>
        </w:rPr>
        <w:t>zajmuje</w:t>
      </w:r>
      <w:r w:rsidRPr="00EC250C">
        <w:rPr>
          <w:rStyle w:val="Odwoanieprzypisudolnego"/>
          <w:bCs/>
          <w:iCs/>
        </w:rPr>
        <w:footnoteReference w:id="469"/>
      </w:r>
      <w:r w:rsidRPr="00EC250C">
        <w:rPr>
          <w:bCs/>
          <w:iCs/>
        </w:rPr>
        <w:t>.</w:t>
      </w:r>
    </w:p>
    <w:p w14:paraId="604309F2" w14:textId="77777777" w:rsidR="00187708" w:rsidRPr="00EC250C" w:rsidRDefault="00187708" w:rsidP="00EC79EB">
      <w:pPr>
        <w:pStyle w:val="Nagwek4"/>
      </w:pPr>
      <w:bookmarkStart w:id="463" w:name="_Toc11247724"/>
      <w:r w:rsidRPr="00EC250C">
        <w:t>Sytuacja pilotów</w:t>
      </w:r>
      <w:r w:rsidR="00992FD0" w:rsidRPr="00EC250C">
        <w:t xml:space="preserve"> i </w:t>
      </w:r>
      <w:r w:rsidRPr="00EC250C">
        <w:t>pilotek oraz stewardów</w:t>
      </w:r>
      <w:r w:rsidR="00992FD0" w:rsidRPr="00EC250C">
        <w:t xml:space="preserve"> i </w:t>
      </w:r>
      <w:r w:rsidRPr="00EC250C">
        <w:t>stewardess</w:t>
      </w:r>
      <w:bookmarkEnd w:id="462"/>
      <w:bookmarkEnd w:id="463"/>
    </w:p>
    <w:p w14:paraId="06E184A0" w14:textId="77777777" w:rsidR="00B473F5" w:rsidRPr="00EC250C" w:rsidRDefault="00187708" w:rsidP="00D131FA">
      <w:pPr>
        <w:pStyle w:val="Problemczowieka"/>
        <w:jc w:val="both"/>
        <w:rPr>
          <w:lang w:eastAsia="en-US"/>
        </w:rPr>
      </w:pPr>
      <w:r w:rsidRPr="00EC250C">
        <w:rPr>
          <w:lang w:eastAsia="en-US"/>
        </w:rPr>
        <w:t xml:space="preserve">Pracownicy linii lotniczych są skłaniani do samozatrudniania się. </w:t>
      </w:r>
      <w:r w:rsidR="00DA526C" w:rsidRPr="00EC250C">
        <w:rPr>
          <w:lang w:eastAsia="en-US"/>
        </w:rPr>
        <w:t xml:space="preserve">To, że </w:t>
      </w:r>
      <w:r w:rsidRPr="00EC250C">
        <w:rPr>
          <w:lang w:eastAsia="en-US"/>
        </w:rPr>
        <w:t xml:space="preserve">na pokładzie samolotu </w:t>
      </w:r>
      <w:r w:rsidR="00DA526C" w:rsidRPr="00EC250C">
        <w:rPr>
          <w:lang w:eastAsia="en-US"/>
        </w:rPr>
        <w:t xml:space="preserve">obowiązują zasady podległości, </w:t>
      </w:r>
      <w:r w:rsidRPr="00EC250C">
        <w:rPr>
          <w:lang w:eastAsia="en-US"/>
        </w:rPr>
        <w:t xml:space="preserve">linie lotnicze </w:t>
      </w:r>
      <w:r w:rsidR="00DA526C" w:rsidRPr="00EC250C">
        <w:rPr>
          <w:lang w:eastAsia="en-US"/>
        </w:rPr>
        <w:t xml:space="preserve">tłumaczą nie stosunkiem </w:t>
      </w:r>
      <w:r w:rsidRPr="00EC250C">
        <w:rPr>
          <w:lang w:eastAsia="en-US"/>
        </w:rPr>
        <w:t>pracy ale zasad</w:t>
      </w:r>
      <w:r w:rsidR="00DA526C" w:rsidRPr="00EC250C">
        <w:rPr>
          <w:lang w:eastAsia="en-US"/>
        </w:rPr>
        <w:t>ami</w:t>
      </w:r>
      <w:r w:rsidRPr="00EC250C">
        <w:rPr>
          <w:lang w:eastAsia="en-US"/>
        </w:rPr>
        <w:t xml:space="preserve"> bezpieczeństwa lotów</w:t>
      </w:r>
      <w:r w:rsidR="00B473F5" w:rsidRPr="00EC250C">
        <w:rPr>
          <w:lang w:eastAsia="en-US"/>
        </w:rPr>
        <w:t>.</w:t>
      </w:r>
    </w:p>
    <w:p w14:paraId="14A99D55" w14:textId="77777777" w:rsidR="00187708" w:rsidRPr="00EC250C" w:rsidRDefault="00187708" w:rsidP="00EC250C">
      <w:pPr>
        <w:pStyle w:val="Nagwek8"/>
        <w:rPr>
          <w:spacing w:val="0"/>
        </w:rPr>
      </w:pPr>
      <w:r w:rsidRPr="00EC250C">
        <w:t>RPO</w:t>
      </w:r>
      <w:r w:rsidR="00992FD0" w:rsidRPr="00EC250C">
        <w:t xml:space="preserve"> w </w:t>
      </w:r>
      <w:r w:rsidRPr="00EC250C">
        <w:t>sprawie sytuacji</w:t>
      </w:r>
      <w:r w:rsidR="00992FD0" w:rsidRPr="00EC250C">
        <w:t xml:space="preserve"> w </w:t>
      </w:r>
      <w:r w:rsidRPr="00EC250C">
        <w:t>PLL LOT</w:t>
      </w:r>
    </w:p>
    <w:p w14:paraId="4A0589FD" w14:textId="77777777" w:rsidR="00187708" w:rsidRPr="00EC250C" w:rsidRDefault="00187708" w:rsidP="00D131FA">
      <w:pPr>
        <w:pStyle w:val="Styl2"/>
        <w:rPr>
          <w:rStyle w:val="Pogrubienie"/>
          <w:b/>
          <w:bCs/>
          <w:szCs w:val="24"/>
        </w:rPr>
      </w:pPr>
      <w:r w:rsidRPr="00EC250C">
        <w:rPr>
          <w:rStyle w:val="Pogrubienie"/>
          <w:b/>
          <w:bCs/>
          <w:szCs w:val="24"/>
        </w:rPr>
        <w:t>W PLL LOT doszło do konfliktu między związkami zawodowymi</w:t>
      </w:r>
      <w:r w:rsidR="00992FD0" w:rsidRPr="00EC250C">
        <w:rPr>
          <w:rStyle w:val="Pogrubienie"/>
          <w:b/>
          <w:bCs/>
          <w:szCs w:val="24"/>
        </w:rPr>
        <w:t xml:space="preserve"> a </w:t>
      </w:r>
      <w:r w:rsidRPr="00EC250C">
        <w:rPr>
          <w:rStyle w:val="Pogrubienie"/>
          <w:b/>
          <w:bCs/>
          <w:szCs w:val="24"/>
        </w:rPr>
        <w:t>pracodawcą. Efektem była próba zwolnienia szefowej związków zawodowych</w:t>
      </w:r>
      <w:r w:rsidR="00992FD0" w:rsidRPr="00EC250C">
        <w:rPr>
          <w:rStyle w:val="Pogrubienie"/>
          <w:b/>
          <w:bCs/>
          <w:szCs w:val="24"/>
        </w:rPr>
        <w:t xml:space="preserve"> i </w:t>
      </w:r>
      <w:r w:rsidRPr="00EC250C">
        <w:rPr>
          <w:rStyle w:val="Pogrubienie"/>
          <w:b/>
          <w:bCs/>
          <w:szCs w:val="24"/>
        </w:rPr>
        <w:t>naciski na tych pilotów, którzy chcieli przyłączyć się do akcji strajkowej.</w:t>
      </w:r>
    </w:p>
    <w:p w14:paraId="518B8D05" w14:textId="77777777" w:rsidR="00187708" w:rsidRPr="00EC250C" w:rsidRDefault="00187708" w:rsidP="00D131FA">
      <w:pPr>
        <w:pStyle w:val="Styl2"/>
        <w:rPr>
          <w:szCs w:val="24"/>
        </w:rPr>
      </w:pPr>
      <w:r w:rsidRPr="00EC250C">
        <w:rPr>
          <w:rStyle w:val="Pogrubienie"/>
          <w:b/>
          <w:bCs/>
          <w:szCs w:val="24"/>
        </w:rPr>
        <w:t>W 2018</w:t>
      </w:r>
      <w:r w:rsidR="00C91F6E" w:rsidRPr="00EC250C">
        <w:rPr>
          <w:rStyle w:val="Pogrubienie"/>
          <w:b/>
          <w:bCs/>
          <w:szCs w:val="24"/>
        </w:rPr>
        <w:t> r.</w:t>
      </w:r>
      <w:r w:rsidRPr="00EC250C">
        <w:rPr>
          <w:rStyle w:val="Pogrubienie"/>
          <w:b/>
          <w:bCs/>
          <w:szCs w:val="24"/>
        </w:rPr>
        <w:t xml:space="preserve"> </w:t>
      </w:r>
      <w:r w:rsidR="00B04745" w:rsidRPr="00EC250C">
        <w:rPr>
          <w:rStyle w:val="Pogrubienie"/>
          <w:b/>
          <w:bCs/>
          <w:szCs w:val="24"/>
        </w:rPr>
        <w:t>RPO</w:t>
      </w:r>
      <w:r w:rsidRPr="00EC250C">
        <w:rPr>
          <w:rStyle w:val="Pogrubienie"/>
          <w:b/>
          <w:bCs/>
          <w:szCs w:val="24"/>
        </w:rPr>
        <w:t xml:space="preserve"> alarmował Głównego Inspektora Pracy</w:t>
      </w:r>
      <w:r w:rsidR="00992FD0" w:rsidRPr="00EC250C">
        <w:rPr>
          <w:rStyle w:val="Pogrubienie"/>
          <w:b/>
          <w:bCs/>
          <w:szCs w:val="24"/>
        </w:rPr>
        <w:t xml:space="preserve"> w </w:t>
      </w:r>
      <w:r w:rsidRPr="00EC250C">
        <w:rPr>
          <w:rStyle w:val="Pogrubienie"/>
          <w:b/>
          <w:bCs/>
          <w:szCs w:val="24"/>
        </w:rPr>
        <w:t>sprawie zwolnień pracowników PLL LOT</w:t>
      </w:r>
      <w:r w:rsidR="00992FD0" w:rsidRPr="00EC250C">
        <w:rPr>
          <w:rStyle w:val="Pogrubienie"/>
          <w:b/>
          <w:bCs/>
          <w:szCs w:val="24"/>
        </w:rPr>
        <w:t xml:space="preserve"> i </w:t>
      </w:r>
      <w:r w:rsidRPr="00EC250C">
        <w:rPr>
          <w:rStyle w:val="Pogrubienie"/>
          <w:b/>
          <w:bCs/>
          <w:szCs w:val="24"/>
        </w:rPr>
        <w:t>zwracał się</w:t>
      </w:r>
      <w:r w:rsidR="00992FD0" w:rsidRPr="00EC250C">
        <w:rPr>
          <w:rStyle w:val="Pogrubienie"/>
          <w:b/>
          <w:bCs/>
          <w:szCs w:val="24"/>
        </w:rPr>
        <w:t xml:space="preserve"> o </w:t>
      </w:r>
      <w:r w:rsidRPr="00EC250C">
        <w:rPr>
          <w:rStyle w:val="Pogrubienie"/>
          <w:b/>
          <w:bCs/>
          <w:szCs w:val="24"/>
        </w:rPr>
        <w:t>zbadanie, czy</w:t>
      </w:r>
      <w:r w:rsidR="00992FD0" w:rsidRPr="00EC250C">
        <w:rPr>
          <w:rStyle w:val="Pogrubienie"/>
          <w:b/>
          <w:bCs/>
          <w:szCs w:val="24"/>
        </w:rPr>
        <w:t xml:space="preserve"> w </w:t>
      </w:r>
      <w:r w:rsidRPr="00EC250C">
        <w:rPr>
          <w:rStyle w:val="Pogrubienie"/>
          <w:b/>
          <w:bCs/>
          <w:szCs w:val="24"/>
        </w:rPr>
        <w:t xml:space="preserve">spółce nie są naruszane wolności związkowe. </w:t>
      </w:r>
      <w:r w:rsidR="003D31B6" w:rsidRPr="00EC250C">
        <w:rPr>
          <w:rStyle w:val="Pogrubienie"/>
          <w:b/>
          <w:bCs/>
          <w:szCs w:val="24"/>
        </w:rPr>
        <w:t xml:space="preserve">RPO pisał także do </w:t>
      </w:r>
      <w:r w:rsidRPr="00EC250C">
        <w:rPr>
          <w:rStyle w:val="Pogrubienie"/>
          <w:b/>
          <w:bCs/>
          <w:szCs w:val="24"/>
        </w:rPr>
        <w:t>Prokuratora</w:t>
      </w:r>
      <w:r w:rsidR="00992FD0" w:rsidRPr="00EC250C">
        <w:rPr>
          <w:rStyle w:val="Pogrubienie"/>
          <w:b/>
          <w:bCs/>
          <w:szCs w:val="24"/>
        </w:rPr>
        <w:t xml:space="preserve"> z </w:t>
      </w:r>
      <w:r w:rsidR="003D31B6" w:rsidRPr="00EC250C">
        <w:rPr>
          <w:rStyle w:val="Pogrubienie"/>
          <w:b/>
          <w:bCs/>
          <w:szCs w:val="24"/>
        </w:rPr>
        <w:t>pytaniem</w:t>
      </w:r>
      <w:r w:rsidR="00992FD0" w:rsidRPr="00EC250C">
        <w:rPr>
          <w:rStyle w:val="Pogrubienie"/>
          <w:b/>
          <w:bCs/>
          <w:szCs w:val="24"/>
        </w:rPr>
        <w:t xml:space="preserve"> o </w:t>
      </w:r>
      <w:r w:rsidR="003D31B6" w:rsidRPr="00EC250C">
        <w:rPr>
          <w:rStyle w:val="Pogrubienie"/>
          <w:b/>
          <w:bCs/>
          <w:szCs w:val="24"/>
        </w:rPr>
        <w:t>podjęte</w:t>
      </w:r>
      <w:r w:rsidRPr="00EC250C">
        <w:rPr>
          <w:rStyle w:val="Pogrubienie"/>
          <w:b/>
          <w:bCs/>
          <w:szCs w:val="24"/>
        </w:rPr>
        <w:t xml:space="preserve"> działania</w:t>
      </w:r>
      <w:r w:rsidR="00992FD0" w:rsidRPr="00EC250C">
        <w:rPr>
          <w:rStyle w:val="Pogrubienie"/>
          <w:b/>
          <w:bCs/>
          <w:szCs w:val="24"/>
        </w:rPr>
        <w:t xml:space="preserve"> w </w:t>
      </w:r>
      <w:r w:rsidRPr="00EC250C">
        <w:rPr>
          <w:rStyle w:val="Pogrubienie"/>
          <w:b/>
          <w:bCs/>
          <w:szCs w:val="24"/>
        </w:rPr>
        <w:t xml:space="preserve">sprawie podejrzenia łamania prawa </w:t>
      </w:r>
      <w:r w:rsidR="003D31B6" w:rsidRPr="00EC250C">
        <w:rPr>
          <w:rStyle w:val="Pogrubienie"/>
          <w:b/>
          <w:bCs/>
          <w:szCs w:val="24"/>
        </w:rPr>
        <w:t>oraz d</w:t>
      </w:r>
      <w:r w:rsidRPr="00EC250C">
        <w:rPr>
          <w:rStyle w:val="Pogrubienie"/>
          <w:b/>
          <w:bCs/>
          <w:szCs w:val="24"/>
        </w:rPr>
        <w:t>o sądu pracy</w:t>
      </w:r>
      <w:r w:rsidR="00992FD0" w:rsidRPr="00EC250C">
        <w:rPr>
          <w:rStyle w:val="Pogrubienie"/>
          <w:b/>
          <w:bCs/>
          <w:szCs w:val="24"/>
        </w:rPr>
        <w:t xml:space="preserve"> o </w:t>
      </w:r>
      <w:r w:rsidRPr="00EC250C">
        <w:rPr>
          <w:rStyle w:val="Pogrubienie"/>
          <w:b/>
          <w:bCs/>
          <w:szCs w:val="24"/>
        </w:rPr>
        <w:t>informacje</w:t>
      </w:r>
      <w:r w:rsidR="00992FD0" w:rsidRPr="00EC250C">
        <w:rPr>
          <w:rStyle w:val="Pogrubienie"/>
          <w:b/>
          <w:bCs/>
          <w:szCs w:val="24"/>
        </w:rPr>
        <w:t xml:space="preserve"> w </w:t>
      </w:r>
      <w:r w:rsidRPr="00EC250C">
        <w:rPr>
          <w:rStyle w:val="Pogrubienie"/>
          <w:b/>
          <w:bCs/>
          <w:szCs w:val="24"/>
        </w:rPr>
        <w:t>sprawie przedsądowych roszczeń spółki wobec pilotów, którzy odmówili pracy</w:t>
      </w:r>
      <w:r w:rsidR="00992FD0" w:rsidRPr="00EC250C">
        <w:rPr>
          <w:rStyle w:val="Pogrubienie"/>
          <w:b/>
          <w:bCs/>
          <w:szCs w:val="24"/>
        </w:rPr>
        <w:t xml:space="preserve"> w </w:t>
      </w:r>
      <w:r w:rsidRPr="00EC250C">
        <w:rPr>
          <w:rStyle w:val="Pogrubienie"/>
          <w:b/>
          <w:bCs/>
          <w:szCs w:val="24"/>
        </w:rPr>
        <w:t>zwi</w:t>
      </w:r>
      <w:r w:rsidR="00DA526C" w:rsidRPr="00EC250C">
        <w:rPr>
          <w:rStyle w:val="Pogrubienie"/>
          <w:b/>
          <w:bCs/>
          <w:szCs w:val="24"/>
        </w:rPr>
        <w:t>ą</w:t>
      </w:r>
      <w:r w:rsidRPr="00EC250C">
        <w:rPr>
          <w:rStyle w:val="Pogrubienie"/>
          <w:b/>
          <w:bCs/>
          <w:szCs w:val="24"/>
        </w:rPr>
        <w:t>zku ze strajkiem</w:t>
      </w:r>
      <w:r w:rsidRPr="00EC250C">
        <w:rPr>
          <w:rStyle w:val="Odwoanieprzypisudolnego"/>
          <w:szCs w:val="24"/>
        </w:rPr>
        <w:footnoteReference w:id="470"/>
      </w:r>
      <w:r w:rsidRPr="00EC250C">
        <w:rPr>
          <w:rStyle w:val="Pogrubienie"/>
          <w:b/>
          <w:bCs/>
          <w:szCs w:val="24"/>
        </w:rPr>
        <w:t>.</w:t>
      </w:r>
    </w:p>
    <w:p w14:paraId="71ADD80C" w14:textId="77777777" w:rsidR="00187708" w:rsidRPr="00EC250C" w:rsidRDefault="00187708" w:rsidP="00EC250C">
      <w:pPr>
        <w:pStyle w:val="Nagwek8"/>
      </w:pPr>
      <w:r w:rsidRPr="00EC250C">
        <w:t>RPO</w:t>
      </w:r>
      <w:r w:rsidR="00992FD0" w:rsidRPr="00EC250C">
        <w:t xml:space="preserve"> w </w:t>
      </w:r>
      <w:r w:rsidRPr="00EC250C">
        <w:t>sprawie sytuacji</w:t>
      </w:r>
      <w:r w:rsidR="00992FD0" w:rsidRPr="00EC250C">
        <w:t xml:space="preserve"> w </w:t>
      </w:r>
      <w:r w:rsidRPr="00EC250C">
        <w:t>Ryanair</w:t>
      </w:r>
    </w:p>
    <w:p w14:paraId="35463F65" w14:textId="77777777" w:rsidR="00C91F6E" w:rsidRPr="00EC250C" w:rsidRDefault="00187708" w:rsidP="00D131FA">
      <w:pPr>
        <w:pStyle w:val="Styl2"/>
        <w:rPr>
          <w:szCs w:val="24"/>
        </w:rPr>
      </w:pPr>
      <w:r w:rsidRPr="00EC250C">
        <w:rPr>
          <w:szCs w:val="24"/>
        </w:rPr>
        <w:t>300 stewardess</w:t>
      </w:r>
      <w:r w:rsidR="00992FD0" w:rsidRPr="00EC250C">
        <w:rPr>
          <w:szCs w:val="24"/>
        </w:rPr>
        <w:t xml:space="preserve"> i </w:t>
      </w:r>
      <w:r w:rsidRPr="00EC250C">
        <w:rPr>
          <w:szCs w:val="24"/>
        </w:rPr>
        <w:t>stewardów zatrudnionych przez Ryanair</w:t>
      </w:r>
      <w:r w:rsidR="00992FD0" w:rsidRPr="00EC250C">
        <w:rPr>
          <w:szCs w:val="24"/>
        </w:rPr>
        <w:t xml:space="preserve"> w </w:t>
      </w:r>
      <w:r w:rsidRPr="00EC250C">
        <w:rPr>
          <w:szCs w:val="24"/>
        </w:rPr>
        <w:t>Polsce przechodziło</w:t>
      </w:r>
      <w:r w:rsidR="00992FD0" w:rsidRPr="00EC250C">
        <w:rPr>
          <w:szCs w:val="24"/>
        </w:rPr>
        <w:t xml:space="preserve"> w </w:t>
      </w:r>
      <w:r w:rsidRPr="00EC250C">
        <w:rPr>
          <w:szCs w:val="24"/>
        </w:rPr>
        <w:t>2018</w:t>
      </w:r>
      <w:r w:rsidR="00C91F6E" w:rsidRPr="00EC250C">
        <w:rPr>
          <w:szCs w:val="24"/>
        </w:rPr>
        <w:t> r.</w:t>
      </w:r>
      <w:r w:rsidR="00992FD0" w:rsidRPr="00EC250C">
        <w:rPr>
          <w:szCs w:val="24"/>
        </w:rPr>
        <w:t xml:space="preserve"> z </w:t>
      </w:r>
      <w:r w:rsidRPr="00EC250C">
        <w:rPr>
          <w:szCs w:val="24"/>
        </w:rPr>
        <w:t>etatów na samozatrudnienie. Zmiana ta (odwołująca się prawdopodobnie do doświadczeń PLL LOT) znacznie pogarsza</w:t>
      </w:r>
      <w:r w:rsidR="00882B7A" w:rsidRPr="00EC250C">
        <w:rPr>
          <w:szCs w:val="24"/>
        </w:rPr>
        <w:t>ła</w:t>
      </w:r>
      <w:r w:rsidRPr="00EC250C">
        <w:rPr>
          <w:szCs w:val="24"/>
        </w:rPr>
        <w:t xml:space="preserve"> warunk</w:t>
      </w:r>
      <w:r w:rsidR="00882B7A" w:rsidRPr="00EC250C">
        <w:rPr>
          <w:szCs w:val="24"/>
        </w:rPr>
        <w:t>i</w:t>
      </w:r>
      <w:r w:rsidRPr="00EC250C">
        <w:rPr>
          <w:szCs w:val="24"/>
        </w:rPr>
        <w:t xml:space="preserve"> zatrudnienia, dlatego </w:t>
      </w:r>
      <w:r w:rsidR="00B04745" w:rsidRPr="00EC250C">
        <w:rPr>
          <w:szCs w:val="24"/>
        </w:rPr>
        <w:t>RPO</w:t>
      </w:r>
      <w:r w:rsidRPr="00EC250C">
        <w:rPr>
          <w:szCs w:val="24"/>
        </w:rPr>
        <w:t xml:space="preserve"> wystąpił</w:t>
      </w:r>
      <w:r w:rsidR="00992FD0" w:rsidRPr="00EC250C">
        <w:rPr>
          <w:szCs w:val="24"/>
        </w:rPr>
        <w:t xml:space="preserve"> o </w:t>
      </w:r>
      <w:r w:rsidRPr="00EC250C">
        <w:rPr>
          <w:szCs w:val="24"/>
        </w:rPr>
        <w:t>zbadanie sprawy do Państwowej Inspekcji Pracy. Ta ustaliła, że praca samozatrudnionych członków załóg pokładowych ma cechy charakterystyczne dla stosunku pracy.</w:t>
      </w:r>
    </w:p>
    <w:p w14:paraId="62FAC30E" w14:textId="77777777" w:rsidR="00C91F6E" w:rsidRPr="00EC250C" w:rsidRDefault="00187708" w:rsidP="00D131FA">
      <w:pPr>
        <w:pStyle w:val="Styl2"/>
        <w:rPr>
          <w:szCs w:val="24"/>
        </w:rPr>
      </w:pPr>
      <w:bookmarkStart w:id="464" w:name="_Hlk6215945"/>
      <w:r w:rsidRPr="00EC250C">
        <w:rPr>
          <w:szCs w:val="24"/>
        </w:rPr>
        <w:t>Członkowie personelu pokładowego wykonują pracę</w:t>
      </w:r>
      <w:r w:rsidR="00992FD0" w:rsidRPr="00EC250C">
        <w:rPr>
          <w:szCs w:val="24"/>
        </w:rPr>
        <w:t xml:space="preserve"> w </w:t>
      </w:r>
      <w:r w:rsidRPr="00EC250C">
        <w:rPr>
          <w:szCs w:val="24"/>
        </w:rPr>
        <w:t>podporządkowaniu, dla prawa pracy nie ma znaczenia, że podporządkowanie to można też wywieść</w:t>
      </w:r>
      <w:r w:rsidR="00992FD0" w:rsidRPr="00EC250C">
        <w:rPr>
          <w:szCs w:val="24"/>
        </w:rPr>
        <w:t xml:space="preserve"> z </w:t>
      </w:r>
      <w:r w:rsidRPr="00EC250C">
        <w:rPr>
          <w:szCs w:val="24"/>
        </w:rPr>
        <w:t>prawa lotniczego. Inspekcja ustaliła jednak, że stewardessy</w:t>
      </w:r>
      <w:r w:rsidR="00992FD0" w:rsidRPr="00EC250C">
        <w:rPr>
          <w:szCs w:val="24"/>
        </w:rPr>
        <w:t xml:space="preserve"> i </w:t>
      </w:r>
      <w:r w:rsidRPr="00EC250C">
        <w:rPr>
          <w:szCs w:val="24"/>
        </w:rPr>
        <w:t>stewardzi pracujący dla Ryanaira nie chcą zamienić samozatrudnienia</w:t>
      </w:r>
      <w:r w:rsidR="00992FD0" w:rsidRPr="00EC250C">
        <w:rPr>
          <w:szCs w:val="24"/>
        </w:rPr>
        <w:t xml:space="preserve"> w </w:t>
      </w:r>
      <w:r w:rsidRPr="00EC250C">
        <w:rPr>
          <w:szCs w:val="24"/>
        </w:rPr>
        <w:t>umowy</w:t>
      </w:r>
      <w:r w:rsidR="00992FD0" w:rsidRPr="00EC250C">
        <w:rPr>
          <w:szCs w:val="24"/>
        </w:rPr>
        <w:t xml:space="preserve"> o </w:t>
      </w:r>
      <w:r w:rsidRPr="00EC250C">
        <w:rPr>
          <w:szCs w:val="24"/>
        </w:rPr>
        <w:t>pracę</w:t>
      </w:r>
      <w:bookmarkEnd w:id="464"/>
      <w:r w:rsidRPr="00EC250C">
        <w:rPr>
          <w:rStyle w:val="Odwoanieprzypisudolnego"/>
          <w:szCs w:val="24"/>
        </w:rPr>
        <w:footnoteReference w:id="471"/>
      </w:r>
      <w:r w:rsidRPr="00EC250C">
        <w:rPr>
          <w:szCs w:val="24"/>
        </w:rPr>
        <w:t>.</w:t>
      </w:r>
    </w:p>
    <w:p w14:paraId="4919E739" w14:textId="77777777" w:rsidR="00187708" w:rsidRPr="00EC250C" w:rsidRDefault="00187708" w:rsidP="00EC79EB">
      <w:pPr>
        <w:pStyle w:val="Nagwek4"/>
      </w:pPr>
      <w:bookmarkStart w:id="465" w:name="_Toc6257851"/>
      <w:bookmarkStart w:id="466" w:name="_Toc11247725"/>
      <w:r w:rsidRPr="00EC250C">
        <w:lastRenderedPageBreak/>
        <w:t>Brak minimalnej stawki dla pracowników sezonowych zatrudnianych przy zbiorach</w:t>
      </w:r>
      <w:bookmarkEnd w:id="465"/>
      <w:bookmarkEnd w:id="466"/>
    </w:p>
    <w:p w14:paraId="01C84835" w14:textId="77777777" w:rsidR="00B473F5" w:rsidRPr="00EC250C" w:rsidRDefault="00187708" w:rsidP="00D131FA">
      <w:pPr>
        <w:pStyle w:val="Problemczowieka"/>
        <w:jc w:val="both"/>
        <w:rPr>
          <w:rStyle w:val="Pogrubienie"/>
          <w:rFonts w:eastAsiaTheme="majorEastAsia"/>
          <w:b/>
          <w:bCs w:val="0"/>
        </w:rPr>
      </w:pPr>
      <w:r w:rsidRPr="00EC250C">
        <w:rPr>
          <w:rStyle w:val="Pogrubienie"/>
          <w:rFonts w:eastAsiaTheme="majorEastAsia"/>
          <w:b/>
          <w:bCs w:val="0"/>
        </w:rPr>
        <w:t>Pracownicy sezonowi zatrudniani przez rolników przy zbiorach na umow</w:t>
      </w:r>
      <w:r w:rsidRPr="00EC250C">
        <w:rPr>
          <w:rStyle w:val="Pogrubienie"/>
          <w:rFonts w:eastAsiaTheme="majorEastAsia" w:hint="eastAsia"/>
          <w:b/>
          <w:bCs w:val="0"/>
        </w:rPr>
        <w:t>ę</w:t>
      </w:r>
      <w:r w:rsidRPr="00EC250C">
        <w:rPr>
          <w:rStyle w:val="Pogrubienie"/>
          <w:rFonts w:eastAsiaTheme="majorEastAsia"/>
          <w:b/>
          <w:bCs w:val="0"/>
        </w:rPr>
        <w:t xml:space="preserve"> cywiln</w:t>
      </w:r>
      <w:r w:rsidRPr="00EC250C">
        <w:rPr>
          <w:rStyle w:val="Pogrubienie"/>
          <w:rFonts w:eastAsiaTheme="majorEastAsia" w:hint="eastAsia"/>
          <w:b/>
          <w:bCs w:val="0"/>
        </w:rPr>
        <w:t>ą</w:t>
      </w:r>
      <w:r w:rsidRPr="00EC250C">
        <w:rPr>
          <w:rStyle w:val="Pogrubienie"/>
          <w:rFonts w:eastAsiaTheme="majorEastAsia"/>
          <w:b/>
          <w:bCs w:val="0"/>
        </w:rPr>
        <w:t xml:space="preserve"> nie maj</w:t>
      </w:r>
      <w:r w:rsidRPr="00EC250C">
        <w:rPr>
          <w:rStyle w:val="Pogrubienie"/>
          <w:rFonts w:eastAsiaTheme="majorEastAsia" w:hint="eastAsia"/>
          <w:b/>
          <w:bCs w:val="0"/>
        </w:rPr>
        <w:t>ą</w:t>
      </w:r>
      <w:r w:rsidRPr="00EC250C">
        <w:rPr>
          <w:rStyle w:val="Pogrubienie"/>
          <w:rFonts w:eastAsiaTheme="majorEastAsia"/>
          <w:b/>
          <w:bCs w:val="0"/>
        </w:rPr>
        <w:t xml:space="preserve"> gwarancji, </w:t>
      </w:r>
      <w:r w:rsidRPr="00EC250C">
        <w:rPr>
          <w:rStyle w:val="Pogrubienie"/>
          <w:rFonts w:eastAsiaTheme="majorEastAsia" w:hint="eastAsia"/>
          <w:b/>
          <w:bCs w:val="0"/>
        </w:rPr>
        <w:t>ż</w:t>
      </w:r>
      <w:r w:rsidRPr="00EC250C">
        <w:rPr>
          <w:rStyle w:val="Pogrubienie"/>
          <w:rFonts w:eastAsiaTheme="majorEastAsia"/>
          <w:b/>
          <w:bCs w:val="0"/>
        </w:rPr>
        <w:t>e dostan</w:t>
      </w:r>
      <w:r w:rsidRPr="00EC250C">
        <w:rPr>
          <w:rStyle w:val="Pogrubienie"/>
          <w:rFonts w:eastAsiaTheme="majorEastAsia" w:hint="eastAsia"/>
          <w:b/>
          <w:bCs w:val="0"/>
        </w:rPr>
        <w:t>ą</w:t>
      </w:r>
      <w:r w:rsidRPr="00EC250C">
        <w:rPr>
          <w:rStyle w:val="Pogrubienie"/>
          <w:rFonts w:eastAsiaTheme="majorEastAsia"/>
          <w:b/>
          <w:bCs w:val="0"/>
        </w:rPr>
        <w:t xml:space="preserve"> minimalne wynagrodzenie</w:t>
      </w:r>
      <w:r w:rsidR="00B473F5" w:rsidRPr="00EC250C">
        <w:rPr>
          <w:rStyle w:val="Pogrubienie"/>
          <w:rFonts w:eastAsiaTheme="majorEastAsia"/>
          <w:b/>
          <w:bCs w:val="0"/>
        </w:rPr>
        <w:t>.</w:t>
      </w:r>
    </w:p>
    <w:p w14:paraId="7B86CC34" w14:textId="77777777" w:rsidR="00187708" w:rsidRPr="00EC250C" w:rsidRDefault="00187708" w:rsidP="00D131FA">
      <w:pPr>
        <w:pStyle w:val="Styl1"/>
      </w:pPr>
      <w:r w:rsidRPr="00EC250C">
        <w:rPr>
          <w:rStyle w:val="Pogrubienie"/>
          <w:rFonts w:eastAsiaTheme="majorEastAsia"/>
          <w:b w:val="0"/>
          <w:bCs w:val="0"/>
        </w:rPr>
        <w:t>Wed</w:t>
      </w:r>
      <w:r w:rsidRPr="00EC250C">
        <w:rPr>
          <w:rStyle w:val="Pogrubienie"/>
          <w:rFonts w:eastAsiaTheme="majorEastAsia" w:hint="eastAsia"/>
          <w:b w:val="0"/>
          <w:bCs w:val="0"/>
        </w:rPr>
        <w:t>ł</w:t>
      </w:r>
      <w:r w:rsidRPr="00EC250C">
        <w:rPr>
          <w:rStyle w:val="Pogrubienie"/>
          <w:rFonts w:eastAsiaTheme="majorEastAsia"/>
          <w:b w:val="0"/>
          <w:bCs w:val="0"/>
        </w:rPr>
        <w:t xml:space="preserve">ug RPO </w:t>
      </w:r>
      <w:r w:rsidRPr="00EC250C">
        <w:rPr>
          <w:rFonts w:eastAsiaTheme="majorEastAsia"/>
        </w:rPr>
        <w:t>sezonowa praca na rzecz rolnika nie powinna odbiega</w:t>
      </w:r>
      <w:r w:rsidRPr="00EC250C">
        <w:rPr>
          <w:rFonts w:eastAsiaTheme="majorEastAsia" w:hint="eastAsia"/>
        </w:rPr>
        <w:t>ć</w:t>
      </w:r>
      <w:r w:rsidRPr="00EC250C">
        <w:rPr>
          <w:rFonts w:eastAsiaTheme="majorEastAsia"/>
        </w:rPr>
        <w:t xml:space="preserve"> od warunk</w:t>
      </w:r>
      <w:r w:rsidRPr="00EC250C">
        <w:rPr>
          <w:rFonts w:eastAsiaTheme="majorEastAsia" w:hint="eastAsia"/>
        </w:rPr>
        <w:t>ó</w:t>
      </w:r>
      <w:r w:rsidRPr="00EC250C">
        <w:rPr>
          <w:rFonts w:eastAsiaTheme="majorEastAsia"/>
        </w:rPr>
        <w:t>w oferowanych przy pracach sezonowych np.</w:t>
      </w:r>
      <w:r w:rsidR="00992FD0" w:rsidRPr="00EC250C">
        <w:rPr>
          <w:rFonts w:eastAsiaTheme="majorEastAsia"/>
        </w:rPr>
        <w:t xml:space="preserve"> w </w:t>
      </w:r>
      <w:r w:rsidRPr="00EC250C">
        <w:rPr>
          <w:rFonts w:eastAsiaTheme="majorEastAsia"/>
        </w:rPr>
        <w:t>gastronomii czy hotelarstwie.</w:t>
      </w:r>
    </w:p>
    <w:p w14:paraId="7D54D482" w14:textId="77777777" w:rsidR="00C91F6E" w:rsidRPr="00EC250C" w:rsidRDefault="00187708" w:rsidP="00D131FA">
      <w:pPr>
        <w:pStyle w:val="Styl1"/>
      </w:pPr>
      <w:r w:rsidRPr="00EC250C">
        <w:t>Nowelizacja</w:t>
      </w:r>
      <w:r w:rsidR="00992FD0" w:rsidRPr="00EC250C">
        <w:t xml:space="preserve"> z </w:t>
      </w:r>
      <w:r w:rsidRPr="00EC250C">
        <w:t>13 kwietnia 2018</w:t>
      </w:r>
      <w:r w:rsidR="00C91F6E" w:rsidRPr="00EC250C">
        <w:t> r.</w:t>
      </w:r>
      <w:r w:rsidRPr="00EC250C">
        <w:t xml:space="preserve"> ustawy</w:t>
      </w:r>
      <w:r w:rsidR="00992FD0" w:rsidRPr="00EC250C">
        <w:t xml:space="preserve"> o </w:t>
      </w:r>
      <w:r w:rsidRPr="00EC250C">
        <w:t>ubezpieczeniu społecznym rolników</w:t>
      </w:r>
      <w:r w:rsidRPr="00EC250C">
        <w:rPr>
          <w:rStyle w:val="Odwoanieprzypisudolnego"/>
          <w:bCs/>
          <w:iCs/>
        </w:rPr>
        <w:footnoteReference w:id="472"/>
      </w:r>
      <w:r w:rsidRPr="00EC250C">
        <w:t xml:space="preserve"> wprowadziła nowy rodzaj umowy cywilnej</w:t>
      </w:r>
      <w:r w:rsidR="00026572" w:rsidRPr="00EC250C">
        <w:t xml:space="preserve"> – </w:t>
      </w:r>
      <w:r w:rsidR="00992FD0" w:rsidRPr="00EC250C">
        <w:t>o </w:t>
      </w:r>
      <w:r w:rsidRPr="00EC250C">
        <w:t>sezonową pomoc przy zbiorach chmielu, owoców, warzyw, tytoniu, ziół</w:t>
      </w:r>
      <w:r w:rsidR="00992FD0" w:rsidRPr="00EC250C">
        <w:t xml:space="preserve"> i </w:t>
      </w:r>
      <w:r w:rsidRPr="00EC250C">
        <w:t>roślin zielarskich. Takie odpłatne świadczenie powiązano</w:t>
      </w:r>
      <w:r w:rsidR="00992FD0" w:rsidRPr="00EC250C">
        <w:t xml:space="preserve"> z </w:t>
      </w:r>
      <w:r w:rsidRPr="00EC250C">
        <w:t>nałożeniem na rolnika obowiązku opłacania za pomocnika składki na ubezpieczenie społeczne rolników oraz na ubezpieczenie zdrowotne.</w:t>
      </w:r>
    </w:p>
    <w:p w14:paraId="3A698C78" w14:textId="77777777" w:rsidR="00187708" w:rsidRPr="00EC250C" w:rsidRDefault="00187708" w:rsidP="00D131FA">
      <w:pPr>
        <w:pStyle w:val="Styl1"/>
        <w:rPr>
          <w:bCs/>
          <w:iCs/>
        </w:rPr>
      </w:pPr>
      <w:r w:rsidRPr="00EC250C">
        <w:t>RPO podkreśla, że zasady zatrudniania</w:t>
      </w:r>
      <w:r w:rsidR="00992FD0" w:rsidRPr="00EC250C">
        <w:t xml:space="preserve"> w </w:t>
      </w:r>
      <w:r w:rsidRPr="00EC250C">
        <w:t>gospodarstwach rolnych przy zbiorach wymagały uregulowania. Prace te często były bowiem wykonywane na czarno lub na podstawie umów</w:t>
      </w:r>
      <w:r w:rsidR="00992FD0" w:rsidRPr="00EC250C">
        <w:t xml:space="preserve"> o </w:t>
      </w:r>
      <w:r w:rsidRPr="00EC250C">
        <w:t>dzieło, które nie były oskładkowane. Nowe przepisy nie zapewniają jednak należytej ochrony takim pracownikom. Chodzi m.in.</w:t>
      </w:r>
      <w:r w:rsidR="00992FD0" w:rsidRPr="00EC250C">
        <w:t xml:space="preserve"> o </w:t>
      </w:r>
      <w:r w:rsidRPr="00EC250C">
        <w:t>to, że do umowy</w:t>
      </w:r>
      <w:r w:rsidR="00992FD0" w:rsidRPr="00EC250C">
        <w:t xml:space="preserve"> o </w:t>
      </w:r>
      <w:r w:rsidRPr="00EC250C">
        <w:t>pomoc przy zbiorach nie są stosowane przepisy</w:t>
      </w:r>
      <w:r w:rsidR="00992FD0" w:rsidRPr="00EC250C">
        <w:t xml:space="preserve"> o </w:t>
      </w:r>
      <w:r w:rsidRPr="00EC250C">
        <w:t>minimalnej stawce godzinowej</w:t>
      </w:r>
      <w:r w:rsidRPr="00EC250C">
        <w:rPr>
          <w:bCs/>
          <w:iCs/>
        </w:rPr>
        <w:t>.</w:t>
      </w:r>
    </w:p>
    <w:p w14:paraId="7E3E9A34" w14:textId="77777777" w:rsidR="00C91F6E" w:rsidRPr="00EC250C" w:rsidRDefault="00187708" w:rsidP="00D131FA">
      <w:pPr>
        <w:pStyle w:val="Styl1"/>
        <w:rPr>
          <w:bCs/>
          <w:iCs/>
        </w:rPr>
      </w:pPr>
      <w:r w:rsidRPr="00EC250C">
        <w:rPr>
          <w:bCs/>
          <w:iCs/>
        </w:rPr>
        <w:t>Minister Rodziny, Pracy</w:t>
      </w:r>
      <w:r w:rsidR="00992FD0" w:rsidRPr="00EC250C">
        <w:rPr>
          <w:bCs/>
          <w:iCs/>
        </w:rPr>
        <w:t xml:space="preserve"> i </w:t>
      </w:r>
      <w:r w:rsidRPr="00EC250C">
        <w:rPr>
          <w:bCs/>
          <w:iCs/>
        </w:rPr>
        <w:t>Polityki Społecznej wyjaśnił, że prace,</w:t>
      </w:r>
      <w:r w:rsidR="00992FD0" w:rsidRPr="00EC250C">
        <w:rPr>
          <w:bCs/>
          <w:iCs/>
        </w:rPr>
        <w:t xml:space="preserve"> o </w:t>
      </w:r>
      <w:r w:rsidRPr="00EC250C">
        <w:rPr>
          <w:bCs/>
          <w:iCs/>
        </w:rPr>
        <w:t>które tu chodzi, nie mają charakteru umowy zlecenia lub</w:t>
      </w:r>
      <w:r w:rsidR="00992FD0" w:rsidRPr="00EC250C">
        <w:rPr>
          <w:bCs/>
          <w:iCs/>
        </w:rPr>
        <w:t xml:space="preserve"> o </w:t>
      </w:r>
      <w:r w:rsidRPr="00EC250C">
        <w:rPr>
          <w:bCs/>
          <w:iCs/>
        </w:rPr>
        <w:t>świadczenie usług (co Kodeks cywilny określa</w:t>
      </w:r>
      <w:r w:rsidR="00992FD0" w:rsidRPr="00EC250C">
        <w:rPr>
          <w:bCs/>
          <w:iCs/>
        </w:rPr>
        <w:t xml:space="preserve"> w </w:t>
      </w:r>
      <w:r w:rsidRPr="00EC250C">
        <w:rPr>
          <w:bCs/>
          <w:iCs/>
        </w:rPr>
        <w:t>art. 734</w:t>
      </w:r>
      <w:r w:rsidR="00992FD0" w:rsidRPr="00EC250C">
        <w:rPr>
          <w:bCs/>
          <w:iCs/>
        </w:rPr>
        <w:t xml:space="preserve"> i </w:t>
      </w:r>
      <w:r w:rsidRPr="00EC250C">
        <w:rPr>
          <w:bCs/>
          <w:iCs/>
        </w:rPr>
        <w:t>750), więc nie stosuje się do nich przepisów</w:t>
      </w:r>
      <w:r w:rsidR="00992FD0" w:rsidRPr="00EC250C">
        <w:rPr>
          <w:bCs/>
          <w:iCs/>
        </w:rPr>
        <w:t xml:space="preserve"> o </w:t>
      </w:r>
      <w:r w:rsidRPr="00EC250C">
        <w:rPr>
          <w:bCs/>
          <w:iCs/>
        </w:rPr>
        <w:t>minimalnym wynagrodzeniu za pracę określających obowiązek stosowania minimalnej stawki godzinowej</w:t>
      </w:r>
      <w:r w:rsidR="00DA526C" w:rsidRPr="00EC250C">
        <w:rPr>
          <w:rStyle w:val="Odwoanieprzypisudolnego"/>
          <w:bCs/>
          <w:iCs/>
        </w:rPr>
        <w:footnoteReference w:id="473"/>
      </w:r>
      <w:r w:rsidRPr="00EC250C">
        <w:rPr>
          <w:bCs/>
          <w:iCs/>
        </w:rPr>
        <w:t>.</w:t>
      </w:r>
    </w:p>
    <w:p w14:paraId="42AEA916" w14:textId="77777777" w:rsidR="00633BAE" w:rsidRPr="00EC250C" w:rsidRDefault="00633BAE" w:rsidP="00EC79EB">
      <w:pPr>
        <w:pStyle w:val="Nagwek4"/>
        <w:rPr>
          <w:spacing w:val="0"/>
        </w:rPr>
      </w:pPr>
      <w:bookmarkStart w:id="467" w:name="_Toc6257792"/>
      <w:bookmarkStart w:id="468" w:name="_Toc11247726"/>
      <w:bookmarkStart w:id="469" w:name="_Toc6257852"/>
      <w:r w:rsidRPr="00EC250C">
        <w:t>Opóźnienia</w:t>
      </w:r>
      <w:r w:rsidR="00992FD0" w:rsidRPr="00EC250C">
        <w:t xml:space="preserve"> w </w:t>
      </w:r>
      <w:r w:rsidRPr="00EC250C">
        <w:t>rejestracji oświadczeń</w:t>
      </w:r>
      <w:r w:rsidR="00992FD0" w:rsidRPr="00EC250C">
        <w:t xml:space="preserve"> o </w:t>
      </w:r>
      <w:r w:rsidRPr="00EC250C">
        <w:t>sezonowej pracy cudzoziemców</w:t>
      </w:r>
      <w:bookmarkEnd w:id="467"/>
      <w:bookmarkEnd w:id="468"/>
    </w:p>
    <w:p w14:paraId="419995EC" w14:textId="77777777" w:rsidR="00B473F5" w:rsidRPr="00EC250C" w:rsidRDefault="00633BAE" w:rsidP="00D131FA">
      <w:pPr>
        <w:pStyle w:val="Problemczowieka"/>
        <w:jc w:val="both"/>
        <w:rPr>
          <w:bdr w:val="none" w:sz="0" w:space="0" w:color="auto" w:frame="1"/>
        </w:rPr>
      </w:pPr>
      <w:r w:rsidRPr="00EC250C">
        <w:rPr>
          <w:bdr w:val="none" w:sz="0" w:space="0" w:color="auto" w:frame="1"/>
        </w:rPr>
        <w:t>Urzędy pracy mają znaczne opóźnienia</w:t>
      </w:r>
      <w:r w:rsidR="00992FD0" w:rsidRPr="00EC250C">
        <w:rPr>
          <w:bdr w:val="none" w:sz="0" w:space="0" w:color="auto" w:frame="1"/>
        </w:rPr>
        <w:t xml:space="preserve"> w </w:t>
      </w:r>
      <w:r w:rsidRPr="00EC250C">
        <w:rPr>
          <w:bdr w:val="none" w:sz="0" w:space="0" w:color="auto" w:frame="1"/>
        </w:rPr>
        <w:t>rejestrowaniu oświadczeń</w:t>
      </w:r>
      <w:r w:rsidR="00992FD0" w:rsidRPr="00EC250C">
        <w:rPr>
          <w:bdr w:val="none" w:sz="0" w:space="0" w:color="auto" w:frame="1"/>
        </w:rPr>
        <w:t xml:space="preserve"> o </w:t>
      </w:r>
      <w:r w:rsidRPr="00EC250C">
        <w:rPr>
          <w:bdr w:val="none" w:sz="0" w:space="0" w:color="auto" w:frame="1"/>
        </w:rPr>
        <w:t>powierzeniu cudzoziemcom pracy sezonowej. Tymczasem oświadczenia są po to, by nie trzeba było uzyskiwać zezwolenia na pracę dla cudzoziemca</w:t>
      </w:r>
      <w:r w:rsidR="00B473F5" w:rsidRPr="00EC250C">
        <w:rPr>
          <w:bdr w:val="none" w:sz="0" w:space="0" w:color="auto" w:frame="1"/>
        </w:rPr>
        <w:t>.</w:t>
      </w:r>
    </w:p>
    <w:p w14:paraId="3C194BE9" w14:textId="77777777" w:rsidR="00633BAE" w:rsidRPr="00EC250C" w:rsidRDefault="00633BAE" w:rsidP="00D131FA">
      <w:pPr>
        <w:pStyle w:val="Styl1"/>
      </w:pPr>
      <w:r w:rsidRPr="00EC250C">
        <w:t>1 stycznia 2018</w:t>
      </w:r>
      <w:r w:rsidR="00C91F6E" w:rsidRPr="00EC250C">
        <w:t> r.</w:t>
      </w:r>
      <w:r w:rsidRPr="00EC250C">
        <w:t xml:space="preserve"> weszła</w:t>
      </w:r>
      <w:r w:rsidR="00992FD0" w:rsidRPr="00EC250C">
        <w:t xml:space="preserve"> w </w:t>
      </w:r>
      <w:r w:rsidRPr="00EC250C">
        <w:t>życie nowelizacja ustawy</w:t>
      </w:r>
      <w:r w:rsidR="00992FD0" w:rsidRPr="00EC250C">
        <w:t xml:space="preserve"> o </w:t>
      </w:r>
      <w:r w:rsidRPr="00EC250C">
        <w:t>promocji zatrudnienia, która wdraża dyrektywę Parlamentu Europejskiego</w:t>
      </w:r>
      <w:r w:rsidR="00992FD0" w:rsidRPr="00EC250C">
        <w:t xml:space="preserve"> i </w:t>
      </w:r>
      <w:r w:rsidRPr="00EC250C">
        <w:t>Rady 2014/36/UE</w:t>
      </w:r>
      <w:r w:rsidR="00992FD0" w:rsidRPr="00EC250C">
        <w:t xml:space="preserve"> w </w:t>
      </w:r>
      <w:r w:rsidRPr="00EC250C">
        <w:t>sprawie warunków zatrudnienia pracowników sezonowych</w:t>
      </w:r>
      <w:r w:rsidR="00992FD0" w:rsidRPr="00EC250C">
        <w:t xml:space="preserve"> z </w:t>
      </w:r>
      <w:r w:rsidRPr="00EC250C">
        <w:t>państw trzecich. Chodzi m.in.</w:t>
      </w:r>
      <w:r w:rsidR="00992FD0" w:rsidRPr="00EC250C">
        <w:t xml:space="preserve"> o </w:t>
      </w:r>
      <w:r w:rsidRPr="00EC250C">
        <w:t>uszczelnienie procedury pracy krótkoterminowej obywateli Armenii, Białorusi, Gruzji, Mołdawii, Federacji Rosyjskiej</w:t>
      </w:r>
      <w:r w:rsidR="00992FD0" w:rsidRPr="00EC250C">
        <w:t xml:space="preserve"> i </w:t>
      </w:r>
      <w:r w:rsidRPr="00EC250C">
        <w:t>Ukrainy.</w:t>
      </w:r>
    </w:p>
    <w:p w14:paraId="318206EE" w14:textId="77777777" w:rsidR="00633BAE" w:rsidRPr="00EC250C" w:rsidRDefault="00633BAE" w:rsidP="00D131FA">
      <w:pPr>
        <w:pStyle w:val="Styl1"/>
      </w:pPr>
      <w:r w:rsidRPr="00EC250C">
        <w:lastRenderedPageBreak/>
        <w:t>Nie muszą mieć zezwolenia na pracę,</w:t>
      </w:r>
      <w:r w:rsidR="00992FD0" w:rsidRPr="00EC250C">
        <w:t xml:space="preserve"> o </w:t>
      </w:r>
      <w:r w:rsidRPr="00EC250C">
        <w:t>ile wykonują ją przez najwyżej 6 miesięcy</w:t>
      </w:r>
      <w:r w:rsidR="00992FD0" w:rsidRPr="00EC250C">
        <w:t xml:space="preserve"> w </w:t>
      </w:r>
      <w:r w:rsidRPr="00EC250C">
        <w:t>ciągu 12 miesięcy. Warunkiem jest wcześniejsze wpisanie przez powiatowy urząd pracy do ewidencji oświadczenia</w:t>
      </w:r>
      <w:r w:rsidR="00992FD0" w:rsidRPr="00EC250C">
        <w:t xml:space="preserve"> o </w:t>
      </w:r>
      <w:r w:rsidRPr="00EC250C">
        <w:t>powierzeniu cudzoziemcowi pracy sezonowej.</w:t>
      </w:r>
    </w:p>
    <w:p w14:paraId="6450B7C5" w14:textId="77777777" w:rsidR="00C91F6E" w:rsidRPr="00EC250C" w:rsidRDefault="00633BAE" w:rsidP="00D131FA">
      <w:pPr>
        <w:pStyle w:val="Styl1"/>
        <w:rPr>
          <w:bCs/>
          <w:iCs/>
        </w:rPr>
      </w:pPr>
      <w:r w:rsidRPr="00EC250C">
        <w:t xml:space="preserve">W opinii </w:t>
      </w:r>
      <w:r w:rsidR="00B04745" w:rsidRPr="00EC250C">
        <w:t>RPO</w:t>
      </w:r>
      <w:r w:rsidRPr="00EC250C">
        <w:t xml:space="preserve"> do czasu nowelizacji ta oświadczeniowa procedura była elastyczna, teraz jednak wypełnienie jej warunków zajmuje dużo więcej czasu. </w:t>
      </w:r>
      <w:r w:rsidRPr="00EC250C">
        <w:rPr>
          <w:bCs/>
          <w:iCs/>
        </w:rPr>
        <w:t>Minister Rodziny, Pracy</w:t>
      </w:r>
      <w:r w:rsidR="00992FD0" w:rsidRPr="00EC250C">
        <w:rPr>
          <w:bCs/>
          <w:iCs/>
        </w:rPr>
        <w:t xml:space="preserve"> i </w:t>
      </w:r>
      <w:r w:rsidRPr="00EC250C">
        <w:rPr>
          <w:bCs/>
          <w:iCs/>
        </w:rPr>
        <w:t>Polityki Społecznej zapewnił, że stara się poprawić wymianę danych między systemami informatycznymi MRPiPS</w:t>
      </w:r>
      <w:r w:rsidR="00992FD0" w:rsidRPr="00EC250C">
        <w:rPr>
          <w:bCs/>
          <w:iCs/>
        </w:rPr>
        <w:t xml:space="preserve"> i </w:t>
      </w:r>
      <w:r w:rsidRPr="00EC250C">
        <w:rPr>
          <w:bCs/>
          <w:iCs/>
        </w:rPr>
        <w:t>innych instytucji zaangażowanych</w:t>
      </w:r>
      <w:r w:rsidR="00992FD0" w:rsidRPr="00EC250C">
        <w:rPr>
          <w:bCs/>
          <w:iCs/>
        </w:rPr>
        <w:t xml:space="preserve"> w </w:t>
      </w:r>
      <w:r w:rsidRPr="00EC250C">
        <w:rPr>
          <w:bCs/>
          <w:iCs/>
        </w:rPr>
        <w:t>procedury dotyczące zatrudniania cudzoziemców</w:t>
      </w:r>
      <w:r w:rsidRPr="00EC250C">
        <w:rPr>
          <w:rStyle w:val="Odwoanieprzypisudolnego"/>
          <w:bCs/>
          <w:iCs/>
        </w:rPr>
        <w:footnoteReference w:id="474"/>
      </w:r>
      <w:r w:rsidRPr="00EC250C">
        <w:rPr>
          <w:bCs/>
          <w:iCs/>
        </w:rPr>
        <w:t>.</w:t>
      </w:r>
    </w:p>
    <w:p w14:paraId="07A6DC35" w14:textId="77777777" w:rsidR="00633BAE" w:rsidRPr="00EC250C" w:rsidRDefault="00633BAE" w:rsidP="00D131FA">
      <w:pPr>
        <w:pStyle w:val="Styl1"/>
      </w:pPr>
      <w:r w:rsidRPr="00EC250C">
        <w:rPr>
          <w:bCs/>
          <w:iCs/>
        </w:rPr>
        <w:t>Funkcjonowanie nowych zasad dotyczących zatrudnienia cudzoziemców zostanie całościowo ocenione</w:t>
      </w:r>
      <w:r w:rsidR="00992FD0" w:rsidRPr="00EC250C">
        <w:rPr>
          <w:bCs/>
          <w:iCs/>
        </w:rPr>
        <w:t xml:space="preserve"> w </w:t>
      </w:r>
      <w:r w:rsidRPr="00EC250C">
        <w:rPr>
          <w:bCs/>
          <w:iCs/>
        </w:rPr>
        <w:t>2019</w:t>
      </w:r>
      <w:r w:rsidR="00C91F6E" w:rsidRPr="00EC250C">
        <w:rPr>
          <w:bCs/>
          <w:iCs/>
        </w:rPr>
        <w:t> r.</w:t>
      </w:r>
      <w:r w:rsidRPr="00EC250C">
        <w:rPr>
          <w:bCs/>
          <w:iCs/>
        </w:rPr>
        <w:t xml:space="preserve"> na podstawie zebranych doświadczeń</w:t>
      </w:r>
      <w:r w:rsidR="00992FD0" w:rsidRPr="00EC250C">
        <w:rPr>
          <w:bCs/>
          <w:iCs/>
        </w:rPr>
        <w:t xml:space="preserve"> i </w:t>
      </w:r>
      <w:r w:rsidRPr="00EC250C">
        <w:rPr>
          <w:bCs/>
          <w:iCs/>
        </w:rPr>
        <w:t>wniosków, zaś</w:t>
      </w:r>
      <w:r w:rsidR="00992FD0" w:rsidRPr="00EC250C">
        <w:rPr>
          <w:bCs/>
          <w:iCs/>
        </w:rPr>
        <w:t xml:space="preserve"> w </w:t>
      </w:r>
      <w:r w:rsidRPr="00EC250C">
        <w:rPr>
          <w:bCs/>
          <w:iCs/>
        </w:rPr>
        <w:t>razie potrzeby wprowadzone zostaną niezbędne korekty.</w:t>
      </w:r>
    </w:p>
    <w:p w14:paraId="275A965A" w14:textId="77777777" w:rsidR="00DA526C" w:rsidRPr="00EC250C" w:rsidRDefault="00DA526C" w:rsidP="00EC250C">
      <w:pPr>
        <w:pStyle w:val="Nagwek8"/>
        <w:rPr>
          <w:spacing w:val="0"/>
        </w:rPr>
      </w:pPr>
      <w:r w:rsidRPr="00EC250C">
        <w:t>Sytuacja pracowników ukraińskich</w:t>
      </w:r>
    </w:p>
    <w:p w14:paraId="5946BDE8" w14:textId="77777777" w:rsidR="00DA526C" w:rsidRPr="00EC250C" w:rsidRDefault="00DA526C" w:rsidP="00D131FA">
      <w:pPr>
        <w:pStyle w:val="Styl2"/>
        <w:rPr>
          <w:szCs w:val="24"/>
        </w:rPr>
      </w:pPr>
      <w:r w:rsidRPr="00EC250C">
        <w:rPr>
          <w:rStyle w:val="Pogrubienie"/>
          <w:b/>
          <w:bCs/>
          <w:iCs w:val="0"/>
          <w:szCs w:val="24"/>
        </w:rPr>
        <w:t>Los polskiej gospodarki jest już nieodłącznie związany</w:t>
      </w:r>
      <w:r w:rsidR="00992FD0" w:rsidRPr="00EC250C">
        <w:rPr>
          <w:rStyle w:val="Pogrubienie"/>
          <w:b/>
          <w:bCs/>
          <w:iCs w:val="0"/>
          <w:szCs w:val="24"/>
        </w:rPr>
        <w:t xml:space="preserve"> z </w:t>
      </w:r>
      <w:r w:rsidRPr="00EC250C">
        <w:rPr>
          <w:rStyle w:val="Pogrubienie"/>
          <w:b/>
          <w:bCs/>
          <w:iCs w:val="0"/>
          <w:szCs w:val="24"/>
        </w:rPr>
        <w:t>pracownikami</w:t>
      </w:r>
      <w:r w:rsidR="00992FD0" w:rsidRPr="00EC250C">
        <w:rPr>
          <w:rStyle w:val="Pogrubienie"/>
          <w:b/>
          <w:bCs/>
          <w:iCs w:val="0"/>
          <w:szCs w:val="24"/>
        </w:rPr>
        <w:t xml:space="preserve"> z </w:t>
      </w:r>
      <w:r w:rsidRPr="00EC250C">
        <w:rPr>
          <w:rStyle w:val="Pogrubienie"/>
          <w:b/>
          <w:bCs/>
          <w:iCs w:val="0"/>
          <w:szCs w:val="24"/>
        </w:rPr>
        <w:t>Ukrainy. W Polsce może pracować nawet 1,3 mln obywateli Ukrainy,</w:t>
      </w:r>
      <w:r w:rsidR="00992FD0" w:rsidRPr="00EC250C">
        <w:rPr>
          <w:rStyle w:val="Pogrubienie"/>
          <w:b/>
          <w:bCs/>
          <w:iCs w:val="0"/>
          <w:szCs w:val="24"/>
        </w:rPr>
        <w:t xml:space="preserve"> w </w:t>
      </w:r>
      <w:r w:rsidRPr="00EC250C">
        <w:rPr>
          <w:rStyle w:val="Pogrubienie"/>
          <w:b/>
          <w:bCs/>
          <w:iCs w:val="0"/>
          <w:szCs w:val="24"/>
        </w:rPr>
        <w:t>tym 40 proc. –</w:t>
      </w:r>
      <w:r w:rsidR="00992FD0" w:rsidRPr="00EC250C">
        <w:rPr>
          <w:rStyle w:val="Pogrubienie"/>
          <w:b/>
          <w:bCs/>
          <w:iCs w:val="0"/>
          <w:szCs w:val="24"/>
        </w:rPr>
        <w:t xml:space="preserve"> w </w:t>
      </w:r>
      <w:r w:rsidRPr="00EC250C">
        <w:rPr>
          <w:rStyle w:val="Pogrubienie"/>
          <w:b/>
          <w:bCs/>
          <w:iCs w:val="0"/>
          <w:szCs w:val="24"/>
        </w:rPr>
        <w:t>„szarej strefie.</w:t>
      </w:r>
      <w:r w:rsidRPr="00EC250C">
        <w:rPr>
          <w:rStyle w:val="Pogrubienie"/>
          <w:b/>
          <w:bCs/>
          <w:szCs w:val="24"/>
        </w:rPr>
        <w:t xml:space="preserve"> </w:t>
      </w:r>
      <w:r w:rsidRPr="00EC250C">
        <w:rPr>
          <w:szCs w:val="24"/>
        </w:rPr>
        <w:t>O tym była mowa</w:t>
      </w:r>
      <w:r w:rsidR="00992FD0" w:rsidRPr="00EC250C">
        <w:rPr>
          <w:szCs w:val="24"/>
        </w:rPr>
        <w:t xml:space="preserve"> w </w:t>
      </w:r>
      <w:r w:rsidRPr="00EC250C">
        <w:rPr>
          <w:szCs w:val="24"/>
        </w:rPr>
        <w:t>czasie konferencji</w:t>
      </w:r>
      <w:r w:rsidR="00992FD0" w:rsidRPr="00EC250C">
        <w:rPr>
          <w:szCs w:val="24"/>
        </w:rPr>
        <w:t xml:space="preserve"> w </w:t>
      </w:r>
      <w:r w:rsidRPr="00EC250C">
        <w:rPr>
          <w:szCs w:val="24"/>
        </w:rPr>
        <w:t>Biurze RPO poświęconej sytuacji mniejszości ukraińskiej</w:t>
      </w:r>
      <w:r w:rsidR="00992FD0" w:rsidRPr="00EC250C">
        <w:rPr>
          <w:szCs w:val="24"/>
        </w:rPr>
        <w:t xml:space="preserve"> i </w:t>
      </w:r>
      <w:r w:rsidRPr="00EC250C">
        <w:rPr>
          <w:szCs w:val="24"/>
        </w:rPr>
        <w:t>migrantów</w:t>
      </w:r>
      <w:r w:rsidR="00992FD0" w:rsidRPr="00EC250C">
        <w:rPr>
          <w:szCs w:val="24"/>
        </w:rPr>
        <w:t xml:space="preserve"> z </w:t>
      </w:r>
      <w:r w:rsidRPr="00EC250C">
        <w:rPr>
          <w:szCs w:val="24"/>
        </w:rPr>
        <w:t>Ukrainy 28 marca 2018</w:t>
      </w:r>
      <w:r w:rsidR="00C91F6E" w:rsidRPr="00EC250C">
        <w:rPr>
          <w:szCs w:val="24"/>
        </w:rPr>
        <w:t> r.</w:t>
      </w:r>
      <w:r w:rsidRPr="00EC250C">
        <w:rPr>
          <w:szCs w:val="24"/>
        </w:rPr>
        <w:t xml:space="preserve"> (wspominamy</w:t>
      </w:r>
      <w:r w:rsidR="00992FD0" w:rsidRPr="00EC250C">
        <w:rPr>
          <w:szCs w:val="24"/>
        </w:rPr>
        <w:t xml:space="preserve"> o </w:t>
      </w:r>
      <w:r w:rsidRPr="00EC250C">
        <w:rPr>
          <w:szCs w:val="24"/>
        </w:rPr>
        <w:t>niej także przy okazji art. 34 Konstytucji)</w:t>
      </w:r>
    </w:p>
    <w:p w14:paraId="09F04480" w14:textId="77777777" w:rsidR="00D92D28" w:rsidRPr="00EC250C" w:rsidRDefault="00DA526C" w:rsidP="00D131FA">
      <w:pPr>
        <w:pStyle w:val="Styl2"/>
        <w:rPr>
          <w:szCs w:val="24"/>
        </w:rPr>
      </w:pPr>
      <w:r w:rsidRPr="00EC250C">
        <w:rPr>
          <w:szCs w:val="24"/>
        </w:rPr>
        <w:t>Migranci są bardziej podatni na dyskryminację</w:t>
      </w:r>
      <w:r w:rsidR="00992FD0" w:rsidRPr="00EC250C">
        <w:rPr>
          <w:szCs w:val="24"/>
        </w:rPr>
        <w:t xml:space="preserve"> w </w:t>
      </w:r>
      <w:r w:rsidRPr="00EC250C">
        <w:rPr>
          <w:szCs w:val="24"/>
        </w:rPr>
        <w:t>zatrudnieniu, są bowiem bardziej zależni od pracodawcy,</w:t>
      </w:r>
      <w:r w:rsidR="00992FD0" w:rsidRPr="00EC250C">
        <w:rPr>
          <w:szCs w:val="24"/>
        </w:rPr>
        <w:t xml:space="preserve"> a w </w:t>
      </w:r>
      <w:r w:rsidRPr="00EC250C">
        <w:rPr>
          <w:szCs w:val="24"/>
        </w:rPr>
        <w:t>razie konfliktu</w:t>
      </w:r>
      <w:r w:rsidR="00992FD0" w:rsidRPr="00EC250C">
        <w:rPr>
          <w:szCs w:val="24"/>
        </w:rPr>
        <w:t xml:space="preserve"> z </w:t>
      </w:r>
      <w:r w:rsidRPr="00EC250C">
        <w:rPr>
          <w:szCs w:val="24"/>
        </w:rPr>
        <w:t xml:space="preserve">nim nie mają wsparcia. </w:t>
      </w:r>
      <w:r w:rsidR="00D92D28" w:rsidRPr="00EC250C">
        <w:rPr>
          <w:szCs w:val="24"/>
        </w:rPr>
        <w:t>To pracodawcy załatwiają bowiem zezwolenie na pracę czy na przedłużenie pobytu w Polsce – do nadużyć często dochodzi właśnie przed końcem tego okresu. Dlatego pracodawcy mogą sobie pozwolić na gorsze traktowanie.</w:t>
      </w:r>
    </w:p>
    <w:p w14:paraId="6180A675" w14:textId="77777777" w:rsidR="00DA526C" w:rsidRPr="00EC250C" w:rsidRDefault="00DA526C" w:rsidP="00D131FA">
      <w:pPr>
        <w:pStyle w:val="Styl2"/>
        <w:rPr>
          <w:szCs w:val="24"/>
        </w:rPr>
      </w:pPr>
      <w:r w:rsidRPr="00EC250C">
        <w:rPr>
          <w:szCs w:val="24"/>
        </w:rPr>
        <w:t>Wielu ukraińskich pracowników nie ma też świadomości swych praw</w:t>
      </w:r>
      <w:r w:rsidR="00992FD0" w:rsidRPr="00EC250C">
        <w:rPr>
          <w:szCs w:val="24"/>
        </w:rPr>
        <w:t xml:space="preserve"> i </w:t>
      </w:r>
      <w:r w:rsidRPr="00EC250C">
        <w:rPr>
          <w:szCs w:val="24"/>
        </w:rPr>
        <w:t>obowiązków.</w:t>
      </w:r>
    </w:p>
    <w:p w14:paraId="1F7ECD0B" w14:textId="77777777" w:rsidR="006C36C4" w:rsidRPr="00EC250C" w:rsidRDefault="00DA526C" w:rsidP="00D131FA">
      <w:pPr>
        <w:pStyle w:val="Styl2"/>
        <w:rPr>
          <w:szCs w:val="24"/>
        </w:rPr>
      </w:pPr>
      <w:r w:rsidRPr="00EC250C">
        <w:rPr>
          <w:szCs w:val="24"/>
        </w:rPr>
        <w:t>W 2017</w:t>
      </w:r>
      <w:r w:rsidR="00C91F6E" w:rsidRPr="00EC250C">
        <w:rPr>
          <w:szCs w:val="24"/>
        </w:rPr>
        <w:t> r.</w:t>
      </w:r>
      <w:r w:rsidRPr="00EC250C">
        <w:rPr>
          <w:szCs w:val="24"/>
        </w:rPr>
        <w:t xml:space="preserve"> 1600 cudzoziemców, głównie obywateli Ukrainy, złożyło pisemne skargi do Państwowej Inspekcji Pracy</w:t>
      </w:r>
      <w:r w:rsidR="00882B7A" w:rsidRPr="00EC250C">
        <w:rPr>
          <w:szCs w:val="24"/>
        </w:rPr>
        <w:t>.</w:t>
      </w:r>
      <w:r w:rsidR="00D92D28" w:rsidRPr="00EC250C">
        <w:rPr>
          <w:szCs w:val="24"/>
        </w:rPr>
        <w:t xml:space="preserve"> </w:t>
      </w:r>
      <w:r w:rsidR="006C36C4" w:rsidRPr="00EC250C">
        <w:rPr>
          <w:szCs w:val="24"/>
        </w:rPr>
        <w:t>Według Inspekcji, co drugi pracodawca nie przestrzega praw pracowniczych - zarówno co do Polaków, jak i cudzoziemców. Inspekcja  wykazuje i nielegalną pracę, i nielegalne działania pracodawców.</w:t>
      </w:r>
    </w:p>
    <w:p w14:paraId="5E8CE01B" w14:textId="77777777" w:rsidR="006C36C4" w:rsidRPr="00EC250C" w:rsidRDefault="006C36C4" w:rsidP="00D131FA">
      <w:pPr>
        <w:pStyle w:val="Styl2"/>
        <w:rPr>
          <w:szCs w:val="24"/>
        </w:rPr>
      </w:pPr>
      <w:r w:rsidRPr="00EC250C">
        <w:rPr>
          <w:szCs w:val="24"/>
        </w:rPr>
        <w:t>O prawa pracownicze migrantów ukraińskich upomina się Związek Zawodowy Pracowników Ukraińskich w Polsce, który zrzesza ok. 10 tys. członków</w:t>
      </w:r>
      <w:r w:rsidR="00D92D28" w:rsidRPr="00EC250C">
        <w:rPr>
          <w:szCs w:val="24"/>
        </w:rPr>
        <w:t xml:space="preserve"> (przewodniczy mu </w:t>
      </w:r>
      <w:r w:rsidRPr="00EC250C">
        <w:rPr>
          <w:szCs w:val="24"/>
        </w:rPr>
        <w:t>Jurij Karagin</w:t>
      </w:r>
      <w:r w:rsidR="00D92D28" w:rsidRPr="00EC250C">
        <w:rPr>
          <w:szCs w:val="24"/>
        </w:rPr>
        <w:t>)</w:t>
      </w:r>
      <w:r w:rsidRPr="00EC250C">
        <w:rPr>
          <w:szCs w:val="24"/>
        </w:rPr>
        <w:t>. Związek pomógł już odzyskać ok. 300 tys. zł należnych pracownikom.  </w:t>
      </w:r>
    </w:p>
    <w:p w14:paraId="5D7E6617" w14:textId="77777777" w:rsidR="006C36C4" w:rsidRPr="00EC250C" w:rsidRDefault="006C36C4" w:rsidP="00D131FA">
      <w:pPr>
        <w:pStyle w:val="Styl2"/>
        <w:rPr>
          <w:szCs w:val="24"/>
        </w:rPr>
      </w:pPr>
      <w:r w:rsidRPr="00EC250C">
        <w:rPr>
          <w:szCs w:val="24"/>
        </w:rPr>
        <w:t>Zdarza się, że nieubezpieczeni pracownicy zatrudniani „na czarno” ulegają wypadkom, po czym pracodawcy odwożą ich na dworzec by wracali na Ukrainę; osoby takie wpadają też w spiralę długów. Są także pracodawcy nie przyznający wolnego w dni, w które przypadają ukraińskie święta</w:t>
      </w:r>
      <w:r w:rsidR="00D92D28" w:rsidRPr="00EC250C">
        <w:rPr>
          <w:rStyle w:val="Odwoanieprzypisudolnego"/>
          <w:szCs w:val="24"/>
        </w:rPr>
        <w:footnoteReference w:id="475"/>
      </w:r>
      <w:r w:rsidRPr="00EC250C">
        <w:rPr>
          <w:szCs w:val="24"/>
        </w:rPr>
        <w:t>.</w:t>
      </w:r>
    </w:p>
    <w:p w14:paraId="551F6AFA" w14:textId="77777777" w:rsidR="006C36C4" w:rsidRPr="00EC250C" w:rsidRDefault="006C36C4" w:rsidP="00D131FA">
      <w:pPr>
        <w:pStyle w:val="ODESANIE"/>
        <w:jc w:val="both"/>
        <w:rPr>
          <w:rStyle w:val="field-content"/>
          <w:szCs w:val="20"/>
          <w:bdr w:val="none" w:sz="0" w:space="0" w:color="auto"/>
        </w:rPr>
      </w:pPr>
      <w:r w:rsidRPr="00EC250C">
        <w:rPr>
          <w:rStyle w:val="field-content"/>
          <w:szCs w:val="20"/>
          <w:bdr w:val="none" w:sz="0" w:space="0" w:color="auto"/>
        </w:rPr>
        <w:lastRenderedPageBreak/>
        <w:t>Problemy mniejszości ukraińskiej i migrantów ukraińskich w Polsce – art. 35 Konstytucji</w:t>
      </w:r>
    </w:p>
    <w:p w14:paraId="3157E4DE" w14:textId="77777777" w:rsidR="00186578" w:rsidRPr="00EC250C" w:rsidRDefault="00186578" w:rsidP="00D131FA">
      <w:pPr>
        <w:pStyle w:val="ODESANIE"/>
        <w:jc w:val="both"/>
      </w:pPr>
      <w:r w:rsidRPr="00EC250C">
        <w:t xml:space="preserve">Przewlekłość postępowań w sprawach legalizacji pobytu i pracy cudzoziemców </w:t>
      </w:r>
      <w:r w:rsidRPr="00EC250C">
        <w:rPr>
          <w:rStyle w:val="field-content"/>
          <w:szCs w:val="20"/>
          <w:bdr w:val="none" w:sz="0" w:space="0" w:color="auto"/>
        </w:rPr>
        <w:t>– art. 2 Konstytucji</w:t>
      </w:r>
    </w:p>
    <w:p w14:paraId="13F3EFA5" w14:textId="77777777" w:rsidR="00C91F6E" w:rsidRPr="00EC250C" w:rsidRDefault="00C20AE6" w:rsidP="00EC79EB">
      <w:pPr>
        <w:pStyle w:val="Nagwek4"/>
      </w:pPr>
      <w:bookmarkStart w:id="470" w:name="_Toc11247727"/>
      <w:r w:rsidRPr="00EC250C">
        <w:t>Brak p</w:t>
      </w:r>
      <w:r w:rsidR="00187708" w:rsidRPr="00EC250C">
        <w:t>raw</w:t>
      </w:r>
      <w:r w:rsidRPr="00EC250C">
        <w:t>a</w:t>
      </w:r>
      <w:r w:rsidR="00187708" w:rsidRPr="00EC250C">
        <w:t xml:space="preserve"> </w:t>
      </w:r>
      <w:r w:rsidRPr="00EC250C">
        <w:t>do obniżenia wymiaru pracy</w:t>
      </w:r>
      <w:r w:rsidR="00187708" w:rsidRPr="00EC250C">
        <w:t xml:space="preserve"> sędziów</w:t>
      </w:r>
      <w:r w:rsidR="00992FD0" w:rsidRPr="00EC250C">
        <w:t xml:space="preserve"> z </w:t>
      </w:r>
      <w:r w:rsidR="00187708" w:rsidRPr="00EC250C">
        <w:t>niepełnosprawnościami</w:t>
      </w:r>
      <w:bookmarkEnd w:id="469"/>
      <w:bookmarkEnd w:id="470"/>
    </w:p>
    <w:p w14:paraId="103D3C00" w14:textId="77777777" w:rsidR="00B473F5" w:rsidRPr="00EC250C" w:rsidRDefault="00187708" w:rsidP="00D131FA">
      <w:pPr>
        <w:pStyle w:val="Problemczowieka"/>
        <w:jc w:val="both"/>
        <w:rPr>
          <w:bdr w:val="none" w:sz="0" w:space="0" w:color="auto" w:frame="1"/>
        </w:rPr>
      </w:pPr>
      <w:r w:rsidRPr="00EC250C">
        <w:rPr>
          <w:bdr w:val="none" w:sz="0" w:space="0" w:color="auto" w:frame="1"/>
        </w:rPr>
        <w:t>Sędzia</w:t>
      </w:r>
      <w:r w:rsidR="00992FD0" w:rsidRPr="00EC250C">
        <w:rPr>
          <w:bdr w:val="none" w:sz="0" w:space="0" w:color="auto" w:frame="1"/>
        </w:rPr>
        <w:t xml:space="preserve"> z </w:t>
      </w:r>
      <w:r w:rsidRPr="00EC250C">
        <w:rPr>
          <w:bdr w:val="none" w:sz="0" w:space="0" w:color="auto" w:frame="1"/>
        </w:rPr>
        <w:t>niepełnosprawnością nie ma prawa do obniżenia wymiaru zadań, tak jak inne osoby</w:t>
      </w:r>
      <w:r w:rsidR="00992FD0" w:rsidRPr="00EC250C">
        <w:rPr>
          <w:bdr w:val="none" w:sz="0" w:space="0" w:color="auto" w:frame="1"/>
        </w:rPr>
        <w:t xml:space="preserve"> z </w:t>
      </w:r>
      <w:r w:rsidRPr="00EC250C">
        <w:rPr>
          <w:bdr w:val="none" w:sz="0" w:space="0" w:color="auto" w:frame="1"/>
        </w:rPr>
        <w:t>niepełnosprawnościami</w:t>
      </w:r>
      <w:r w:rsidR="00B473F5" w:rsidRPr="00EC250C">
        <w:rPr>
          <w:bdr w:val="none" w:sz="0" w:space="0" w:color="auto" w:frame="1"/>
        </w:rPr>
        <w:t>.</w:t>
      </w:r>
    </w:p>
    <w:p w14:paraId="1833822D" w14:textId="77777777" w:rsidR="00187708" w:rsidRPr="00EC250C" w:rsidRDefault="00187708" w:rsidP="00D131FA">
      <w:pPr>
        <w:pStyle w:val="Styl1"/>
      </w:pPr>
      <w:r w:rsidRPr="00EC250C">
        <w:t>Ustawa</w:t>
      </w:r>
      <w:r w:rsidR="00992FD0" w:rsidRPr="00EC250C">
        <w:t xml:space="preserve"> o </w:t>
      </w:r>
      <w:r w:rsidRPr="00EC250C">
        <w:t>rehabilitacji zawodowej</w:t>
      </w:r>
      <w:r w:rsidR="00992FD0" w:rsidRPr="00EC250C">
        <w:t xml:space="preserve"> i </w:t>
      </w:r>
      <w:r w:rsidRPr="00EC250C">
        <w:t>społecznej (art. 15) stanowi, że czas pracy osoby</w:t>
      </w:r>
      <w:r w:rsidR="00992FD0" w:rsidRPr="00EC250C">
        <w:t xml:space="preserve"> z </w:t>
      </w:r>
      <w:r w:rsidRPr="00EC250C">
        <w:t>niepełnosprawnością nie może przekraczać 8 godzin na dobę</w:t>
      </w:r>
      <w:r w:rsidR="00992FD0" w:rsidRPr="00EC250C">
        <w:t xml:space="preserve"> i </w:t>
      </w:r>
      <w:r w:rsidRPr="00EC250C">
        <w:t>40 godzin tygodniowo. Czas pracy osoby mającej znaczny lub umiarkowany stopień niepełnosprawności nie może przekraczać 7 godzin na dobę</w:t>
      </w:r>
      <w:r w:rsidR="00992FD0" w:rsidRPr="00EC250C">
        <w:t xml:space="preserve"> i </w:t>
      </w:r>
      <w:r w:rsidRPr="00EC250C">
        <w:t xml:space="preserve">35 godzin tygodniowo. </w:t>
      </w:r>
      <w:r w:rsidR="00DA526C" w:rsidRPr="00EC250C">
        <w:t>O</w:t>
      </w:r>
      <w:r w:rsidRPr="00EC250C">
        <w:t>soby</w:t>
      </w:r>
      <w:r w:rsidR="00992FD0" w:rsidRPr="00EC250C">
        <w:t xml:space="preserve"> z </w:t>
      </w:r>
      <w:r w:rsidRPr="00EC250C">
        <w:t>niepełnosprawnością nie można zatrudniać</w:t>
      </w:r>
      <w:r w:rsidR="00992FD0" w:rsidRPr="00EC250C">
        <w:t xml:space="preserve"> w </w:t>
      </w:r>
      <w:r w:rsidRPr="00EC250C">
        <w:t>godzinach nadliczbowych</w:t>
      </w:r>
      <w:r w:rsidR="00992FD0" w:rsidRPr="00EC250C">
        <w:t xml:space="preserve"> i w </w:t>
      </w:r>
      <w:r w:rsidR="00DA526C" w:rsidRPr="00EC250C">
        <w:t>porze nocnej</w:t>
      </w:r>
      <w:r w:rsidRPr="00EC250C">
        <w:t>.</w:t>
      </w:r>
    </w:p>
    <w:p w14:paraId="0B15B857" w14:textId="77777777" w:rsidR="00187708" w:rsidRPr="00EC250C" w:rsidRDefault="00DA526C" w:rsidP="00D131FA">
      <w:pPr>
        <w:pStyle w:val="Styl1"/>
      </w:pPr>
      <w:r w:rsidRPr="00EC250C">
        <w:t xml:space="preserve">Jak zauważa </w:t>
      </w:r>
      <w:r w:rsidR="00B04745" w:rsidRPr="00EC250C">
        <w:t>RPO</w:t>
      </w:r>
      <w:r w:rsidRPr="00EC250C">
        <w:t xml:space="preserve">, </w:t>
      </w:r>
      <w:r w:rsidR="00187708" w:rsidRPr="00EC250C">
        <w:t xml:space="preserve">sędzia </w:t>
      </w:r>
      <w:r w:rsidRPr="00EC250C">
        <w:t xml:space="preserve">też może być </w:t>
      </w:r>
      <w:r w:rsidR="00187708" w:rsidRPr="00EC250C">
        <w:t>osobą</w:t>
      </w:r>
      <w:r w:rsidR="00992FD0" w:rsidRPr="00EC250C">
        <w:t xml:space="preserve"> z </w:t>
      </w:r>
      <w:r w:rsidR="00187708" w:rsidRPr="00EC250C">
        <w:t>niepełnosprawnością</w:t>
      </w:r>
      <w:r w:rsidR="00992FD0" w:rsidRPr="00EC250C">
        <w:t xml:space="preserve"> w </w:t>
      </w:r>
      <w:r w:rsidR="00187708" w:rsidRPr="00EC250C">
        <w:t>rozumieniu ustawy</w:t>
      </w:r>
      <w:r w:rsidR="00992FD0" w:rsidRPr="00EC250C">
        <w:t xml:space="preserve"> o </w:t>
      </w:r>
      <w:r w:rsidR="00187708" w:rsidRPr="00EC250C">
        <w:t>rehabilitacji zawodowej</w:t>
      </w:r>
      <w:r w:rsidR="00992FD0" w:rsidRPr="00EC250C">
        <w:t xml:space="preserve"> i </w:t>
      </w:r>
      <w:r w:rsidR="00187708" w:rsidRPr="00EC250C">
        <w:t>społecznej. Choć zgodnie</w:t>
      </w:r>
      <w:r w:rsidR="00992FD0" w:rsidRPr="00EC250C">
        <w:t xml:space="preserve"> z </w:t>
      </w:r>
      <w:r w:rsidR="00187708" w:rsidRPr="00EC250C">
        <w:t>Prawem</w:t>
      </w:r>
      <w:r w:rsidR="00992FD0" w:rsidRPr="00EC250C">
        <w:t xml:space="preserve"> o </w:t>
      </w:r>
      <w:r w:rsidR="00187708" w:rsidRPr="00EC250C">
        <w:t>ustroju sądów powszechnych</w:t>
      </w:r>
      <w:r w:rsidR="00882B7A" w:rsidRPr="00EC250C">
        <w:rPr>
          <w:rStyle w:val="Odwoanieprzypisudolnego"/>
        </w:rPr>
        <w:footnoteReference w:id="476"/>
      </w:r>
      <w:r w:rsidR="00187708" w:rsidRPr="00EC250C">
        <w:t xml:space="preserve"> czas pracy sędziego określony jest wymiarem jego zadań, nie może to wykluczać stosowania wobec sędziów zasady</w:t>
      </w:r>
      <w:r w:rsidR="00992FD0" w:rsidRPr="00EC250C">
        <w:t xml:space="preserve"> o </w:t>
      </w:r>
      <w:r w:rsidR="00187708" w:rsidRPr="00EC250C">
        <w:t>obniżaniu wymiaru zadań</w:t>
      </w:r>
      <w:r w:rsidRPr="00EC250C">
        <w:t>.</w:t>
      </w:r>
    </w:p>
    <w:p w14:paraId="5B4D99BA" w14:textId="77777777" w:rsidR="00DA526C" w:rsidRPr="00EC250C" w:rsidRDefault="00187708" w:rsidP="00D131FA">
      <w:pPr>
        <w:pStyle w:val="Styl1"/>
      </w:pPr>
      <w:r w:rsidRPr="00EC250C">
        <w:rPr>
          <w:bCs/>
          <w:iCs/>
        </w:rPr>
        <w:t>Minister Sprawiedliwości podtrzymał stanowisko, że Prawo</w:t>
      </w:r>
      <w:r w:rsidR="00992FD0" w:rsidRPr="00EC250C">
        <w:rPr>
          <w:bCs/>
          <w:iCs/>
        </w:rPr>
        <w:t xml:space="preserve"> o </w:t>
      </w:r>
      <w:r w:rsidRPr="00EC250C">
        <w:rPr>
          <w:bCs/>
          <w:iCs/>
        </w:rPr>
        <w:t>ustroju sądów powszechnych nie pozwala na takie zastosowanie wobec nich art. 15 ustawy</w:t>
      </w:r>
      <w:r w:rsidR="00992FD0" w:rsidRPr="00EC250C">
        <w:rPr>
          <w:bCs/>
          <w:iCs/>
        </w:rPr>
        <w:t xml:space="preserve"> o </w:t>
      </w:r>
      <w:r w:rsidRPr="00EC250C">
        <w:rPr>
          <w:bCs/>
          <w:iCs/>
        </w:rPr>
        <w:t>rehabilitacji zawodowej</w:t>
      </w:r>
      <w:r w:rsidR="008E211F" w:rsidRPr="00EC250C">
        <w:rPr>
          <w:bCs/>
          <w:iCs/>
        </w:rPr>
        <w:t xml:space="preserve">, </w:t>
      </w:r>
      <w:r w:rsidR="008E211F" w:rsidRPr="00EC250C">
        <w:t>które byłoby powiązane</w:t>
      </w:r>
      <w:r w:rsidR="00992FD0" w:rsidRPr="00EC250C">
        <w:t xml:space="preserve"> z </w:t>
      </w:r>
      <w:r w:rsidR="008E211F" w:rsidRPr="00EC250C">
        <w:t>obniżeniem wskaźnika przydziału spraw</w:t>
      </w:r>
      <w:r w:rsidR="00DA526C" w:rsidRPr="00EC250C">
        <w:rPr>
          <w:rStyle w:val="Odwoanieprzypisudolnego"/>
          <w:bCs/>
          <w:iCs/>
        </w:rPr>
        <w:footnoteReference w:id="477"/>
      </w:r>
      <w:r w:rsidR="008E211F" w:rsidRPr="00EC250C">
        <w:t>.</w:t>
      </w:r>
      <w:r w:rsidR="00DA526C" w:rsidRPr="00EC250C">
        <w:br w:type="page"/>
      </w:r>
    </w:p>
    <w:p w14:paraId="4B0F5048" w14:textId="77777777" w:rsidR="00187708" w:rsidRPr="00EC250C" w:rsidRDefault="00187708" w:rsidP="00EC250C">
      <w:pPr>
        <w:pStyle w:val="Nagwek3"/>
      </w:pPr>
      <w:bookmarkStart w:id="471" w:name="_Toc6257854"/>
      <w:bookmarkStart w:id="472" w:name="_Toc11247728"/>
      <w:r w:rsidRPr="00EC250C">
        <w:lastRenderedPageBreak/>
        <w:t xml:space="preserve">Art. 66 </w:t>
      </w:r>
      <w:r w:rsidR="003C7122" w:rsidRPr="00EC250C">
        <w:t xml:space="preserve">Konstytucji </w:t>
      </w:r>
      <w:r w:rsidRPr="00EC250C">
        <w:t>– Prawo do BHP oraz prawo do urlopu</w:t>
      </w:r>
      <w:bookmarkEnd w:id="471"/>
      <w:bookmarkEnd w:id="472"/>
    </w:p>
    <w:p w14:paraId="2587C096" w14:textId="77777777" w:rsidR="00187708" w:rsidRPr="00EC250C" w:rsidRDefault="00187708" w:rsidP="00D131FA">
      <w:pPr>
        <w:pStyle w:val="konstytucja"/>
        <w:jc w:val="both"/>
      </w:pPr>
      <w:r w:rsidRPr="00EC250C">
        <w:t>1. Każdy ma prawo do bezpiecznych</w:t>
      </w:r>
      <w:r w:rsidR="00992FD0" w:rsidRPr="00EC250C">
        <w:t xml:space="preserve"> i </w:t>
      </w:r>
      <w:r w:rsidRPr="00EC250C">
        <w:t>higienicznych warunków pracy. Sposób realizacji tego prawa oraz obowiązki pracodawcy określa ustawa.</w:t>
      </w:r>
    </w:p>
    <w:p w14:paraId="63F3F994" w14:textId="77777777" w:rsidR="00187708" w:rsidRPr="00EC250C" w:rsidRDefault="00187708" w:rsidP="00D131FA">
      <w:pPr>
        <w:pStyle w:val="konstytucja"/>
        <w:jc w:val="both"/>
      </w:pPr>
      <w:r w:rsidRPr="00EC250C">
        <w:t>2. Pracownik ma prawo do określonych</w:t>
      </w:r>
      <w:r w:rsidR="00992FD0" w:rsidRPr="00EC250C">
        <w:t xml:space="preserve"> w </w:t>
      </w:r>
      <w:r w:rsidRPr="00EC250C">
        <w:t>ustawie dni wolnych od pracy</w:t>
      </w:r>
      <w:r w:rsidR="00992FD0" w:rsidRPr="00EC250C">
        <w:t xml:space="preserve"> i </w:t>
      </w:r>
      <w:r w:rsidRPr="00EC250C">
        <w:t>corocznych płatnych urlopów; maksymalne normy czasu pracy określa ustawa.</w:t>
      </w:r>
    </w:p>
    <w:p w14:paraId="21BAA0B9" w14:textId="77777777" w:rsidR="00187708" w:rsidRPr="00EC250C" w:rsidRDefault="00187708" w:rsidP="00D131FA">
      <w:pPr>
        <w:pStyle w:val="ComwiKonstytucja"/>
      </w:pPr>
      <w:r w:rsidRPr="00EC250C">
        <w:t>Artykuł ten omawia dwa szczegółowe zagadnienia dotyczące indywidualnego prawa pracy:</w:t>
      </w:r>
    </w:p>
    <w:p w14:paraId="0FB499A6" w14:textId="77777777" w:rsidR="00187708" w:rsidRPr="00EC250C" w:rsidRDefault="00187708" w:rsidP="006C70B7">
      <w:pPr>
        <w:pStyle w:val="ComwiKonstytucja"/>
        <w:numPr>
          <w:ilvl w:val="1"/>
          <w:numId w:val="50"/>
        </w:numPr>
      </w:pPr>
      <w:r w:rsidRPr="00EC250C">
        <w:t>Prawo do bezpiecznych</w:t>
      </w:r>
      <w:r w:rsidR="00992FD0" w:rsidRPr="00EC250C">
        <w:t xml:space="preserve"> i </w:t>
      </w:r>
      <w:r w:rsidRPr="00EC250C">
        <w:t>higienicznych warunków pracy (ust. 1). Przepis ten nakłada na ustawodawcę obowiązek uregulowania sposobu realizacji tego prawa bez naruszania jego istoty.</w:t>
      </w:r>
    </w:p>
    <w:p w14:paraId="1E7730E0" w14:textId="77777777" w:rsidR="00C91F6E" w:rsidRPr="00EC250C" w:rsidRDefault="00187708" w:rsidP="006C70B7">
      <w:pPr>
        <w:pStyle w:val="ComwiKonstytucja"/>
        <w:numPr>
          <w:ilvl w:val="1"/>
          <w:numId w:val="50"/>
        </w:numPr>
      </w:pPr>
      <w:r w:rsidRPr="00EC250C">
        <w:t>Uprawnienia związane</w:t>
      </w:r>
      <w:r w:rsidR="00992FD0" w:rsidRPr="00EC250C">
        <w:t xml:space="preserve"> z </w:t>
      </w:r>
      <w:r w:rsidRPr="00EC250C">
        <w:t>czasem pracy (ust. 2), pośrednio wyrażające ogólne prawo do wypoczynku.</w:t>
      </w:r>
    </w:p>
    <w:p w14:paraId="5D9AC45C" w14:textId="77777777" w:rsidR="00187708" w:rsidRPr="00EC250C" w:rsidRDefault="00187708" w:rsidP="00D131FA">
      <w:pPr>
        <w:pStyle w:val="ComwiKonstytucja"/>
      </w:pPr>
      <w:r w:rsidRPr="00EC250C">
        <w:t>Analizować je można zatem</w:t>
      </w:r>
      <w:r w:rsidR="00992FD0" w:rsidRPr="00EC250C">
        <w:t xml:space="preserve"> w </w:t>
      </w:r>
      <w:r w:rsidRPr="00EC250C">
        <w:t>kontekście zasady ochrony pracy (art. 24) oraz prawa do ochrony zdrowia (art. 68).</w:t>
      </w:r>
    </w:p>
    <w:p w14:paraId="156BE61A" w14:textId="77777777" w:rsidR="003E4DBD" w:rsidRPr="00EC250C" w:rsidRDefault="003E4DBD" w:rsidP="00D131FA">
      <w:pPr>
        <w:pStyle w:val="ComwiKonstytucja"/>
      </w:pPr>
    </w:p>
    <w:p w14:paraId="67671D67" w14:textId="77777777" w:rsidR="00187708" w:rsidRPr="00EC250C" w:rsidRDefault="00187708" w:rsidP="00D131FA">
      <w:pPr>
        <w:spacing w:after="200" w:line="24" w:lineRule="auto"/>
        <w:jc w:val="both"/>
        <w:rPr>
          <w:i/>
          <w:spacing w:val="5"/>
          <w:sz w:val="22"/>
        </w:rPr>
      </w:pPr>
      <w:r w:rsidRPr="00EC250C">
        <w:rPr>
          <w:sz w:val="24"/>
        </w:rPr>
        <w:br w:type="page"/>
      </w:r>
    </w:p>
    <w:p w14:paraId="79DFEDD4" w14:textId="77777777" w:rsidR="00C91F6E" w:rsidRPr="00EC250C" w:rsidRDefault="007252A8" w:rsidP="00EC79EB">
      <w:pPr>
        <w:pStyle w:val="Nagwek4"/>
      </w:pPr>
      <w:bookmarkStart w:id="473" w:name="_Toc11247729"/>
      <w:r w:rsidRPr="00EC250C">
        <w:lastRenderedPageBreak/>
        <w:t>Brak</w:t>
      </w:r>
      <w:bookmarkStart w:id="474" w:name="_Toc6257855"/>
      <w:r w:rsidR="00187708" w:rsidRPr="00EC250C">
        <w:t xml:space="preserve"> przerw na odpoczynek kierowc</w:t>
      </w:r>
      <w:r w:rsidR="00D97E9D" w:rsidRPr="00EC250C">
        <w:t>ów</w:t>
      </w:r>
      <w:r w:rsidR="00187708" w:rsidRPr="00EC250C">
        <w:t xml:space="preserve"> autobusów miejskich</w:t>
      </w:r>
      <w:bookmarkEnd w:id="473"/>
      <w:bookmarkEnd w:id="474"/>
    </w:p>
    <w:p w14:paraId="1EB3D00F" w14:textId="77777777" w:rsidR="00B473F5" w:rsidRPr="00EC250C" w:rsidRDefault="00187708" w:rsidP="00D131FA">
      <w:pPr>
        <w:pStyle w:val="Problemczowieka"/>
        <w:jc w:val="both"/>
        <w:rPr>
          <w:rStyle w:val="Pogrubienie"/>
          <w:rFonts w:eastAsiaTheme="majorEastAsia"/>
          <w:b/>
          <w:bCs w:val="0"/>
        </w:rPr>
      </w:pPr>
      <w:bookmarkStart w:id="475" w:name="_Hlk8210248"/>
      <w:r w:rsidRPr="00EC250C">
        <w:rPr>
          <w:rStyle w:val="Pogrubienie"/>
          <w:rFonts w:eastAsiaTheme="majorEastAsia"/>
          <w:b/>
          <w:bCs w:val="0"/>
        </w:rPr>
        <w:t>Kierowcy autobus</w:t>
      </w:r>
      <w:r w:rsidRPr="00EC250C">
        <w:rPr>
          <w:rStyle w:val="Pogrubienie"/>
          <w:rFonts w:eastAsiaTheme="majorEastAsia" w:hint="eastAsia"/>
          <w:b/>
          <w:bCs w:val="0"/>
        </w:rPr>
        <w:t>ó</w:t>
      </w:r>
      <w:r w:rsidRPr="00EC250C">
        <w:rPr>
          <w:rStyle w:val="Pogrubienie"/>
          <w:rFonts w:eastAsiaTheme="majorEastAsia"/>
          <w:b/>
          <w:bCs w:val="0"/>
        </w:rPr>
        <w:t>w</w:t>
      </w:r>
      <w:r w:rsidR="00992FD0" w:rsidRPr="00EC250C">
        <w:rPr>
          <w:rStyle w:val="Pogrubienie"/>
          <w:rFonts w:eastAsiaTheme="majorEastAsia"/>
          <w:b/>
          <w:bCs w:val="0"/>
        </w:rPr>
        <w:t xml:space="preserve"> w </w:t>
      </w:r>
      <w:r w:rsidRPr="00EC250C">
        <w:rPr>
          <w:rStyle w:val="Pogrubienie"/>
          <w:rFonts w:eastAsiaTheme="majorEastAsia"/>
          <w:b/>
          <w:bCs w:val="0"/>
        </w:rPr>
        <w:t>du</w:t>
      </w:r>
      <w:r w:rsidRPr="00EC250C">
        <w:rPr>
          <w:rStyle w:val="Pogrubienie"/>
          <w:rFonts w:eastAsiaTheme="majorEastAsia" w:hint="eastAsia"/>
          <w:b/>
          <w:bCs w:val="0"/>
        </w:rPr>
        <w:t>ż</w:t>
      </w:r>
      <w:r w:rsidRPr="00EC250C">
        <w:rPr>
          <w:rStyle w:val="Pogrubienie"/>
          <w:rFonts w:eastAsiaTheme="majorEastAsia"/>
          <w:b/>
          <w:bCs w:val="0"/>
        </w:rPr>
        <w:t>ych miastach nie maj</w:t>
      </w:r>
      <w:r w:rsidRPr="00EC250C">
        <w:rPr>
          <w:rStyle w:val="Pogrubienie"/>
          <w:rFonts w:eastAsiaTheme="majorEastAsia" w:hint="eastAsia"/>
          <w:b/>
          <w:bCs w:val="0"/>
        </w:rPr>
        <w:t>ą</w:t>
      </w:r>
      <w:r w:rsidRPr="00EC250C">
        <w:rPr>
          <w:rStyle w:val="Pogrubienie"/>
          <w:rFonts w:eastAsiaTheme="majorEastAsia"/>
          <w:b/>
          <w:bCs w:val="0"/>
        </w:rPr>
        <w:t xml:space="preserve"> gwarancji przepisowego odpoczynku mi</w:t>
      </w:r>
      <w:r w:rsidRPr="00EC250C">
        <w:rPr>
          <w:rStyle w:val="Pogrubienie"/>
          <w:rFonts w:eastAsiaTheme="majorEastAsia" w:hint="eastAsia"/>
          <w:b/>
          <w:bCs w:val="0"/>
        </w:rPr>
        <w:t>ę</w:t>
      </w:r>
      <w:r w:rsidRPr="00EC250C">
        <w:rPr>
          <w:rStyle w:val="Pogrubienie"/>
          <w:rFonts w:eastAsiaTheme="majorEastAsia"/>
          <w:b/>
          <w:bCs w:val="0"/>
        </w:rPr>
        <w:t>dzy kursami. Prawo nie uwzgl</w:t>
      </w:r>
      <w:r w:rsidRPr="00EC250C">
        <w:rPr>
          <w:rStyle w:val="Pogrubienie"/>
          <w:rFonts w:eastAsiaTheme="majorEastAsia" w:hint="eastAsia"/>
          <w:b/>
          <w:bCs w:val="0"/>
        </w:rPr>
        <w:t>ę</w:t>
      </w:r>
      <w:r w:rsidRPr="00EC250C">
        <w:rPr>
          <w:rStyle w:val="Pogrubienie"/>
          <w:rFonts w:eastAsiaTheme="majorEastAsia"/>
          <w:b/>
          <w:bCs w:val="0"/>
        </w:rPr>
        <w:t>dnia bowiem kork</w:t>
      </w:r>
      <w:r w:rsidRPr="00EC250C">
        <w:rPr>
          <w:rStyle w:val="Pogrubienie"/>
          <w:rFonts w:eastAsiaTheme="majorEastAsia" w:hint="eastAsia"/>
          <w:b/>
          <w:bCs w:val="0"/>
        </w:rPr>
        <w:t>ó</w:t>
      </w:r>
      <w:r w:rsidRPr="00EC250C">
        <w:rPr>
          <w:rStyle w:val="Pogrubienie"/>
          <w:rFonts w:eastAsiaTheme="majorEastAsia"/>
          <w:b/>
          <w:bCs w:val="0"/>
        </w:rPr>
        <w:t>w, zmian organizacji ruchu, wypadk</w:t>
      </w:r>
      <w:r w:rsidRPr="00EC250C">
        <w:rPr>
          <w:rStyle w:val="Pogrubienie"/>
          <w:rFonts w:eastAsiaTheme="majorEastAsia" w:hint="eastAsia"/>
          <w:b/>
          <w:bCs w:val="0"/>
        </w:rPr>
        <w:t>ó</w:t>
      </w:r>
      <w:r w:rsidRPr="00EC250C">
        <w:rPr>
          <w:rStyle w:val="Pogrubienie"/>
          <w:rFonts w:eastAsiaTheme="majorEastAsia"/>
          <w:b/>
          <w:bCs w:val="0"/>
        </w:rPr>
        <w:t>w czy awarii pojazd</w:t>
      </w:r>
      <w:r w:rsidRPr="00EC250C">
        <w:rPr>
          <w:rStyle w:val="Pogrubienie"/>
          <w:rFonts w:eastAsiaTheme="majorEastAsia" w:hint="eastAsia"/>
          <w:b/>
          <w:bCs w:val="0"/>
        </w:rPr>
        <w:t>ó</w:t>
      </w:r>
      <w:r w:rsidRPr="00EC250C">
        <w:rPr>
          <w:rStyle w:val="Pogrubienie"/>
          <w:rFonts w:eastAsiaTheme="majorEastAsia"/>
          <w:b/>
          <w:bCs w:val="0"/>
        </w:rPr>
        <w:t>w</w:t>
      </w:r>
      <w:r w:rsidR="00B473F5" w:rsidRPr="00EC250C">
        <w:rPr>
          <w:rStyle w:val="Pogrubienie"/>
          <w:rFonts w:eastAsiaTheme="majorEastAsia"/>
          <w:b/>
          <w:bCs w:val="0"/>
        </w:rPr>
        <w:t>.</w:t>
      </w:r>
    </w:p>
    <w:bookmarkEnd w:id="475"/>
    <w:p w14:paraId="7341949B" w14:textId="77777777" w:rsidR="00187708" w:rsidRPr="00EC250C" w:rsidRDefault="00187708" w:rsidP="00D131FA">
      <w:pPr>
        <w:pStyle w:val="Styl1"/>
      </w:pPr>
      <w:r w:rsidRPr="00EC250C">
        <w:rPr>
          <w:rStyle w:val="Pogrubienie"/>
          <w:rFonts w:eastAsiaTheme="majorEastAsia"/>
          <w:b w:val="0"/>
          <w:bCs w:val="0"/>
        </w:rPr>
        <w:t>Potrzeb</w:t>
      </w:r>
      <w:r w:rsidRPr="00EC250C">
        <w:rPr>
          <w:rStyle w:val="Pogrubienie"/>
          <w:rFonts w:eastAsiaTheme="majorEastAsia" w:hint="eastAsia"/>
          <w:b w:val="0"/>
          <w:bCs w:val="0"/>
        </w:rPr>
        <w:t>ę</w:t>
      </w:r>
      <w:r w:rsidRPr="00EC250C">
        <w:rPr>
          <w:rStyle w:val="Pogrubienie"/>
          <w:rFonts w:eastAsiaTheme="majorEastAsia"/>
          <w:b w:val="0"/>
          <w:bCs w:val="0"/>
        </w:rPr>
        <w:t xml:space="preserve"> skuteczniejszego systemu dokumentowania czasu pracy kierowc</w:t>
      </w:r>
      <w:r w:rsidRPr="00EC250C">
        <w:rPr>
          <w:rStyle w:val="Pogrubienie"/>
          <w:rFonts w:eastAsiaTheme="majorEastAsia" w:hint="eastAsia"/>
          <w:b w:val="0"/>
          <w:bCs w:val="0"/>
        </w:rPr>
        <w:t>ó</w:t>
      </w:r>
      <w:r w:rsidRPr="00EC250C">
        <w:rPr>
          <w:rStyle w:val="Pogrubienie"/>
          <w:rFonts w:eastAsiaTheme="majorEastAsia"/>
          <w:b w:val="0"/>
          <w:bCs w:val="0"/>
        </w:rPr>
        <w:t>w</w:t>
      </w:r>
      <w:r w:rsidR="00882B7A" w:rsidRPr="00EC250C">
        <w:rPr>
          <w:rStyle w:val="Odwoanieprzypisudolnego"/>
          <w:rFonts w:eastAsiaTheme="majorEastAsia"/>
        </w:rPr>
        <w:footnoteReference w:id="478"/>
      </w:r>
      <w:r w:rsidRPr="00EC250C">
        <w:rPr>
          <w:rStyle w:val="Pogrubienie"/>
          <w:rFonts w:eastAsiaTheme="majorEastAsia"/>
          <w:b w:val="0"/>
          <w:bCs w:val="0"/>
        </w:rPr>
        <w:t xml:space="preserve"> widz</w:t>
      </w:r>
      <w:r w:rsidRPr="00EC250C">
        <w:rPr>
          <w:rStyle w:val="Pogrubienie"/>
          <w:rFonts w:eastAsiaTheme="majorEastAsia" w:hint="eastAsia"/>
          <w:b w:val="0"/>
          <w:bCs w:val="0"/>
        </w:rPr>
        <w:t>ą</w:t>
      </w:r>
      <w:r w:rsidRPr="00EC250C">
        <w:rPr>
          <w:rStyle w:val="Pogrubienie"/>
          <w:rFonts w:eastAsiaTheme="majorEastAsia"/>
          <w:b w:val="0"/>
          <w:bCs w:val="0"/>
        </w:rPr>
        <w:t xml:space="preserve"> inspekcje pracy oraz transportu drogowego. </w:t>
      </w:r>
      <w:r w:rsidR="00B04745" w:rsidRPr="00EC250C">
        <w:rPr>
          <w:rStyle w:val="Pogrubienie"/>
          <w:rFonts w:eastAsiaTheme="majorEastAsia"/>
          <w:b w:val="0"/>
          <w:bCs w:val="0"/>
        </w:rPr>
        <w:t>RPO</w:t>
      </w:r>
      <w:r w:rsidRPr="00EC250C">
        <w:rPr>
          <w:rStyle w:val="Pogrubienie"/>
          <w:rFonts w:eastAsiaTheme="majorEastAsia"/>
          <w:b w:val="0"/>
          <w:bCs w:val="0"/>
        </w:rPr>
        <w:t xml:space="preserve"> wyst</w:t>
      </w:r>
      <w:r w:rsidRPr="00EC250C">
        <w:rPr>
          <w:rStyle w:val="Pogrubienie"/>
          <w:rFonts w:eastAsiaTheme="majorEastAsia" w:hint="eastAsia"/>
          <w:b w:val="0"/>
          <w:bCs w:val="0"/>
        </w:rPr>
        <w:t>ą</w:t>
      </w:r>
      <w:r w:rsidRPr="00EC250C">
        <w:rPr>
          <w:rStyle w:val="Pogrubienie"/>
          <w:rFonts w:eastAsiaTheme="majorEastAsia"/>
          <w:b w:val="0"/>
          <w:bCs w:val="0"/>
        </w:rPr>
        <w:t>pi</w:t>
      </w:r>
      <w:r w:rsidRPr="00EC250C">
        <w:rPr>
          <w:rStyle w:val="Pogrubienie"/>
          <w:rFonts w:eastAsiaTheme="majorEastAsia" w:hint="eastAsia"/>
          <w:b w:val="0"/>
          <w:bCs w:val="0"/>
        </w:rPr>
        <w:t>ł</w:t>
      </w:r>
      <w:r w:rsidR="00992FD0" w:rsidRPr="00EC250C">
        <w:rPr>
          <w:rStyle w:val="Pogrubienie"/>
          <w:rFonts w:eastAsiaTheme="majorEastAsia"/>
          <w:b w:val="0"/>
          <w:bCs w:val="0"/>
        </w:rPr>
        <w:t xml:space="preserve"> o </w:t>
      </w:r>
      <w:r w:rsidRPr="00EC250C">
        <w:rPr>
          <w:rStyle w:val="Pogrubienie"/>
          <w:rFonts w:eastAsiaTheme="majorEastAsia"/>
          <w:b w:val="0"/>
          <w:bCs w:val="0"/>
        </w:rPr>
        <w:t>zmian</w:t>
      </w:r>
      <w:r w:rsidRPr="00EC250C">
        <w:rPr>
          <w:rStyle w:val="Pogrubienie"/>
          <w:rFonts w:eastAsiaTheme="majorEastAsia" w:hint="eastAsia"/>
          <w:b w:val="0"/>
          <w:bCs w:val="0"/>
        </w:rPr>
        <w:t>ę</w:t>
      </w:r>
      <w:r w:rsidRPr="00EC250C">
        <w:rPr>
          <w:rStyle w:val="Pogrubienie"/>
          <w:rFonts w:eastAsiaTheme="majorEastAsia"/>
          <w:b w:val="0"/>
          <w:bCs w:val="0"/>
        </w:rPr>
        <w:t xml:space="preserve"> przepis</w:t>
      </w:r>
      <w:r w:rsidRPr="00EC250C">
        <w:rPr>
          <w:rStyle w:val="Pogrubienie"/>
          <w:rFonts w:eastAsiaTheme="majorEastAsia" w:hint="eastAsia"/>
          <w:b w:val="0"/>
          <w:bCs w:val="0"/>
        </w:rPr>
        <w:t>ó</w:t>
      </w:r>
      <w:r w:rsidRPr="00EC250C">
        <w:rPr>
          <w:rStyle w:val="Pogrubienie"/>
          <w:rFonts w:eastAsiaTheme="majorEastAsia"/>
          <w:b w:val="0"/>
          <w:bCs w:val="0"/>
        </w:rPr>
        <w:t>w do Ministra Infrastruktury</w:t>
      </w:r>
      <w:r w:rsidRPr="00EC250C">
        <w:rPr>
          <w:rStyle w:val="Odwoanieprzypisudolnego"/>
        </w:rPr>
        <w:footnoteReference w:id="479"/>
      </w:r>
      <w:r w:rsidRPr="00EC250C">
        <w:rPr>
          <w:rStyle w:val="Pogrubienie"/>
          <w:rFonts w:eastAsiaTheme="majorEastAsia"/>
          <w:b w:val="0"/>
          <w:bCs w:val="0"/>
        </w:rPr>
        <w:t>.</w:t>
      </w:r>
      <w:r w:rsidR="00685A94" w:rsidRPr="00EC250C">
        <w:rPr>
          <w:rStyle w:val="Pogrubienie"/>
          <w:rFonts w:eastAsiaTheme="majorEastAsia"/>
          <w:b w:val="0"/>
          <w:bCs w:val="0"/>
        </w:rPr>
        <w:t xml:space="preserve"> </w:t>
      </w:r>
      <w:r w:rsidRPr="00EC250C">
        <w:t xml:space="preserve">W praktyce nie </w:t>
      </w:r>
      <w:r w:rsidR="008E211F" w:rsidRPr="00EC250C">
        <w:t>są realizowane</w:t>
      </w:r>
      <w:r w:rsidRPr="00EC250C">
        <w:t xml:space="preserve"> przepisy</w:t>
      </w:r>
      <w:r w:rsidRPr="00EC250C">
        <w:rPr>
          <w:rStyle w:val="Odwoanieprzypisudolnego"/>
          <w:bCs/>
          <w:iCs/>
        </w:rPr>
        <w:footnoteReference w:id="480"/>
      </w:r>
      <w:r w:rsidRPr="00EC250C">
        <w:t>, na podstawie których kierowcy maj</w:t>
      </w:r>
      <w:r w:rsidR="007252A8" w:rsidRPr="00EC250C">
        <w:t>ą</w:t>
      </w:r>
      <w:r w:rsidRPr="00EC250C">
        <w:t xml:space="preserve"> mieć co najmniej 30 minut przerwy (gdy łączny czas prowadzenia pojazdu wynosi od 6 do 8 godz. dziennie) oraz 45 minut (gdy czas ten przekracza 8 godz.).</w:t>
      </w:r>
    </w:p>
    <w:p w14:paraId="35EEF140" w14:textId="77777777" w:rsidR="00187708" w:rsidRPr="00EC250C" w:rsidRDefault="00187708" w:rsidP="00D131FA">
      <w:pPr>
        <w:pStyle w:val="Styl1"/>
      </w:pPr>
      <w:r w:rsidRPr="00EC250C">
        <w:t>O takich przerwach mówi ustawa</w:t>
      </w:r>
      <w:r w:rsidR="00992FD0" w:rsidRPr="00EC250C">
        <w:t xml:space="preserve"> z </w:t>
      </w:r>
      <w:r w:rsidRPr="00EC250C">
        <w:t>16 kwietnia 2004</w:t>
      </w:r>
      <w:r w:rsidR="00C91F6E" w:rsidRPr="00EC250C">
        <w:t> r.</w:t>
      </w:r>
      <w:r w:rsidR="00992FD0" w:rsidRPr="00EC250C">
        <w:t xml:space="preserve"> o </w:t>
      </w:r>
      <w:r w:rsidRPr="00EC250C">
        <w:t>czasie pracy kierowców. Zakłada ona, że prawo do przerw ma zagwarantować</w:t>
      </w:r>
      <w:r w:rsidR="00CC4D88" w:rsidRPr="00EC250C">
        <w:t xml:space="preserve"> </w:t>
      </w:r>
      <w:r w:rsidRPr="00EC250C">
        <w:t>dobrze ułożony rozkład jazdy. Nie reguluje jednak minimalnej długości poszczególnych przerw ani ich dopuszczalnej liczby. Mówi tylko, że przerwy można dzielić, ale jedna</w:t>
      </w:r>
      <w:r w:rsidR="00992FD0" w:rsidRPr="00EC250C">
        <w:t xml:space="preserve"> z </w:t>
      </w:r>
      <w:r w:rsidRPr="00EC250C">
        <w:t>nich trwa co najmniej 15 minut.</w:t>
      </w:r>
      <w:r w:rsidR="00685A94" w:rsidRPr="00EC250C">
        <w:t xml:space="preserve"> </w:t>
      </w:r>
      <w:r w:rsidRPr="00EC250C">
        <w:t>Ustawodawca nie dostrzegł, że sam rozkład jazdy nie wystarczy, by zapewnić ludziom odpoczynek: zatory, korki</w:t>
      </w:r>
      <w:r w:rsidR="00992FD0" w:rsidRPr="00EC250C">
        <w:t xml:space="preserve"> i </w:t>
      </w:r>
      <w:r w:rsidRPr="00EC250C">
        <w:t>zmiany organizacji ruchu wskutek budów</w:t>
      </w:r>
      <w:r w:rsidR="00992FD0" w:rsidRPr="00EC250C">
        <w:t xml:space="preserve"> i </w:t>
      </w:r>
      <w:r w:rsidRPr="00EC250C">
        <w:t>remontów sprawiają, że kierowcy muszą nadrabiać opóźnienia</w:t>
      </w:r>
      <w:r w:rsidR="00992FD0" w:rsidRPr="00EC250C">
        <w:t xml:space="preserve"> a </w:t>
      </w:r>
      <w:r w:rsidRPr="00EC250C">
        <w:t>więc rezygnują</w:t>
      </w:r>
      <w:r w:rsidR="00992FD0" w:rsidRPr="00EC250C">
        <w:t xml:space="preserve"> z </w:t>
      </w:r>
      <w:r w:rsidRPr="00EC250C">
        <w:t>przerw (mimo że oficjalny rozkład jazdy je przewiduje).</w:t>
      </w:r>
    </w:p>
    <w:p w14:paraId="2AA9F04E" w14:textId="77777777" w:rsidR="00187708" w:rsidRPr="00EC250C" w:rsidRDefault="007252A8" w:rsidP="00EC79EB">
      <w:pPr>
        <w:pStyle w:val="Nagwek4"/>
      </w:pPr>
      <w:bookmarkStart w:id="476" w:name="_Toc6257856"/>
      <w:bookmarkStart w:id="477" w:name="_Toc11247730"/>
      <w:r w:rsidRPr="00EC250C">
        <w:t>(Nie)</w:t>
      </w:r>
      <w:r w:rsidR="00187708" w:rsidRPr="00EC250C">
        <w:t>Bezpiecze</w:t>
      </w:r>
      <w:r w:rsidR="00187708" w:rsidRPr="00EC250C">
        <w:rPr>
          <w:rFonts w:hint="eastAsia"/>
        </w:rPr>
        <w:t>ń</w:t>
      </w:r>
      <w:r w:rsidR="00187708" w:rsidRPr="00EC250C">
        <w:t>stwo pracy operator</w:t>
      </w:r>
      <w:r w:rsidR="00187708" w:rsidRPr="00EC250C">
        <w:rPr>
          <w:rFonts w:hint="eastAsia"/>
        </w:rPr>
        <w:t>ó</w:t>
      </w:r>
      <w:r w:rsidR="00187708" w:rsidRPr="00EC250C">
        <w:t xml:space="preserve">w </w:t>
      </w:r>
      <w:r w:rsidR="00187708" w:rsidRPr="00EC250C">
        <w:rPr>
          <w:rFonts w:hint="eastAsia"/>
        </w:rPr>
        <w:t>ż</w:t>
      </w:r>
      <w:r w:rsidR="00187708" w:rsidRPr="00EC250C">
        <w:t>urawi</w:t>
      </w:r>
      <w:bookmarkEnd w:id="476"/>
      <w:bookmarkEnd w:id="477"/>
    </w:p>
    <w:p w14:paraId="5474A1D3" w14:textId="77777777" w:rsidR="00B473F5" w:rsidRPr="00EC250C" w:rsidRDefault="00187708" w:rsidP="00D131FA">
      <w:pPr>
        <w:pStyle w:val="Problemczowieka"/>
        <w:jc w:val="both"/>
      </w:pPr>
      <w:r w:rsidRPr="00EC250C">
        <w:t>Praca operatorów żurawi nie jest regulowana przepisami</w:t>
      </w:r>
      <w:r w:rsidR="00992FD0" w:rsidRPr="00EC250C">
        <w:t xml:space="preserve"> o </w:t>
      </w:r>
      <w:r w:rsidR="00685A94" w:rsidRPr="00EC250C">
        <w:t>BHP</w:t>
      </w:r>
      <w:r w:rsidRPr="00EC250C">
        <w:t xml:space="preserve">. </w:t>
      </w:r>
      <w:r w:rsidR="00685A94" w:rsidRPr="00EC250C">
        <w:t>S</w:t>
      </w:r>
      <w:r w:rsidRPr="00EC250C">
        <w:t xml:space="preserve">tale pogarszają się warunki </w:t>
      </w:r>
      <w:r w:rsidR="00685A94" w:rsidRPr="00EC250C">
        <w:t xml:space="preserve">ich </w:t>
      </w:r>
      <w:r w:rsidRPr="00EC250C">
        <w:t>pracy,</w:t>
      </w:r>
      <w:r w:rsidR="00992FD0" w:rsidRPr="00EC250C">
        <w:t xml:space="preserve"> a </w:t>
      </w:r>
      <w:r w:rsidRPr="00EC250C">
        <w:t>niebezpieczne zdarzenia nierzadko kończą się wypadkiem</w:t>
      </w:r>
      <w:r w:rsidR="00B473F5" w:rsidRPr="00EC250C">
        <w:t>.</w:t>
      </w:r>
    </w:p>
    <w:p w14:paraId="1970EC0E" w14:textId="77777777" w:rsidR="00187708" w:rsidRPr="00EC250C" w:rsidRDefault="00187708" w:rsidP="00D131FA">
      <w:pPr>
        <w:pStyle w:val="Styl1"/>
      </w:pPr>
      <w:r w:rsidRPr="00EC250C">
        <w:t>Mimo apeli RPO problem nie został uregulowany także</w:t>
      </w:r>
      <w:r w:rsidR="00992FD0" w:rsidRPr="00EC250C">
        <w:t xml:space="preserve"> w </w:t>
      </w:r>
      <w:r w:rsidRPr="00EC250C">
        <w:t>2018</w:t>
      </w:r>
      <w:r w:rsidR="00C91F6E" w:rsidRPr="00EC250C">
        <w:t> r.</w:t>
      </w:r>
      <w:r w:rsidR="00685A94" w:rsidRPr="00EC250C">
        <w:t xml:space="preserve"> </w:t>
      </w:r>
      <w:r w:rsidRPr="00EC250C">
        <w:t>Dotychczasowe przepisy (z 1954</w:t>
      </w:r>
      <w:r w:rsidR="00C91F6E" w:rsidRPr="00EC250C">
        <w:t> r.</w:t>
      </w:r>
      <w:r w:rsidRPr="00EC250C">
        <w:t>) zostały uchylone</w:t>
      </w:r>
      <w:r w:rsidR="00992FD0" w:rsidRPr="00EC250C">
        <w:t xml:space="preserve"> z </w:t>
      </w:r>
      <w:r w:rsidRPr="00EC250C">
        <w:t>dniem 1 marca 2013</w:t>
      </w:r>
      <w:r w:rsidR="00C91F6E" w:rsidRPr="00EC250C">
        <w:t> r.</w:t>
      </w:r>
      <w:r w:rsidRPr="00EC250C">
        <w:t xml:space="preserve"> Brakuje zatem regulacji zapewniającej bezpieczne</w:t>
      </w:r>
      <w:r w:rsidR="00992FD0" w:rsidRPr="00EC250C">
        <w:t xml:space="preserve"> i </w:t>
      </w:r>
      <w:r w:rsidRPr="00EC250C">
        <w:t>higieniczne warunki pracy przy obsłudze żurawi,</w:t>
      </w:r>
      <w:r w:rsidR="00992FD0" w:rsidRPr="00EC250C">
        <w:t xml:space="preserve"> w </w:t>
      </w:r>
      <w:r w:rsidRPr="00EC250C">
        <w:t>tym</w:t>
      </w:r>
      <w:r w:rsidR="00992FD0" w:rsidRPr="00EC250C">
        <w:t xml:space="preserve"> w </w:t>
      </w:r>
      <w:r w:rsidRPr="00EC250C">
        <w:t>szczególności obejmującej tak podstawowe kwestie jak maksymalne normy czasu pracy, czy sposób dokumentowania przebiegu pracy przy obsłudze urządzenia. Zapowiadane rozporządzenie miało wejść</w:t>
      </w:r>
      <w:r w:rsidR="00992FD0" w:rsidRPr="00EC250C">
        <w:t xml:space="preserve"> w </w:t>
      </w:r>
      <w:r w:rsidRPr="00EC250C">
        <w:t>życie 1 stycznia 2018</w:t>
      </w:r>
      <w:r w:rsidR="00C91F6E" w:rsidRPr="00EC250C">
        <w:t> r.</w:t>
      </w:r>
      <w:r w:rsidRPr="00EC250C">
        <w:t xml:space="preserve"> Jednak podczas uzgodnień międzyresortowych</w:t>
      </w:r>
      <w:r w:rsidR="00992FD0" w:rsidRPr="00EC250C">
        <w:t xml:space="preserve"> i </w:t>
      </w:r>
      <w:r w:rsidRPr="00EC250C">
        <w:t>konsultacji publicznych do projektu wpłynęło tak wiele uwag, że powstał nowy projekt. Prace nad nim</w:t>
      </w:r>
      <w:r w:rsidR="00992FD0" w:rsidRPr="00EC250C">
        <w:t xml:space="preserve"> w </w:t>
      </w:r>
      <w:r w:rsidR="00BB403C" w:rsidRPr="00EC250C">
        <w:t>2019</w:t>
      </w:r>
      <w:r w:rsidR="00C91F6E" w:rsidRPr="00EC250C">
        <w:t> r.</w:t>
      </w:r>
      <w:r w:rsidR="00BB403C" w:rsidRPr="00EC250C">
        <w:t xml:space="preserve"> </w:t>
      </w:r>
      <w:r w:rsidR="008E211F" w:rsidRPr="00EC250C">
        <w:t xml:space="preserve">nadal </w:t>
      </w:r>
      <w:r w:rsidR="00BB403C" w:rsidRPr="00EC250C">
        <w:t>trwały</w:t>
      </w:r>
      <w:r w:rsidRPr="00EC250C">
        <w:rPr>
          <w:rStyle w:val="Odwoanieprzypisudolnego"/>
        </w:rPr>
        <w:footnoteReference w:id="481"/>
      </w:r>
      <w:r w:rsidR="008E211F" w:rsidRPr="00EC250C">
        <w:t>.</w:t>
      </w:r>
    </w:p>
    <w:p w14:paraId="1C1C84BE" w14:textId="77777777" w:rsidR="00187708" w:rsidRPr="00EC250C" w:rsidRDefault="00187708" w:rsidP="00EC250C">
      <w:pPr>
        <w:pStyle w:val="Nagwek8"/>
        <w:rPr>
          <w:rFonts w:ascii="Open Sans Regular" w:hAnsi="Open Sans Regular"/>
        </w:rPr>
      </w:pPr>
      <w:r w:rsidRPr="00EC250C">
        <w:lastRenderedPageBreak/>
        <w:t>Praktyka żądania od cywilnych pracownic</w:t>
      </w:r>
      <w:r w:rsidR="00907A50" w:rsidRPr="00EC250C">
        <w:t xml:space="preserve">MSWiA </w:t>
      </w:r>
      <w:r w:rsidRPr="00EC250C">
        <w:rPr>
          <w:rFonts w:eastAsia="Times New Roman"/>
        </w:rPr>
        <w:t>zaświadczeń lekarskich</w:t>
      </w:r>
      <w:r w:rsidR="00992FD0" w:rsidRPr="00EC250C">
        <w:rPr>
          <w:rFonts w:eastAsia="Times New Roman"/>
        </w:rPr>
        <w:t xml:space="preserve"> o </w:t>
      </w:r>
      <w:r w:rsidRPr="00EC250C">
        <w:rPr>
          <w:rFonts w:eastAsia="Times New Roman"/>
        </w:rPr>
        <w:t>karmieniu piersią.</w:t>
      </w:r>
    </w:p>
    <w:p w14:paraId="0D1D3495" w14:textId="77777777" w:rsidR="00187708" w:rsidRPr="00EC250C" w:rsidRDefault="00187708" w:rsidP="00D131FA">
      <w:pPr>
        <w:pStyle w:val="Styl2"/>
        <w:rPr>
          <w:szCs w:val="24"/>
        </w:rPr>
      </w:pPr>
      <w:r w:rsidRPr="00EC250C">
        <w:rPr>
          <w:szCs w:val="24"/>
        </w:rPr>
        <w:t xml:space="preserve">Po interwencji </w:t>
      </w:r>
      <w:r w:rsidR="007252A8" w:rsidRPr="00EC250C">
        <w:rPr>
          <w:szCs w:val="24"/>
        </w:rPr>
        <w:t>RPO</w:t>
      </w:r>
      <w:r w:rsidRPr="00EC250C">
        <w:rPr>
          <w:szCs w:val="24"/>
        </w:rPr>
        <w:t xml:space="preserve"> MSWiA przewiduje dokonanie zmiany przepisów</w:t>
      </w:r>
      <w:r w:rsidR="00992FD0" w:rsidRPr="00EC250C">
        <w:rPr>
          <w:szCs w:val="24"/>
        </w:rPr>
        <w:t xml:space="preserve"> i </w:t>
      </w:r>
      <w:r w:rsidRPr="00EC250C">
        <w:rPr>
          <w:szCs w:val="24"/>
        </w:rPr>
        <w:t>zniesienie obligatoryjnego obowiązku dostarczania przez pracownice zaświadczeń</w:t>
      </w:r>
      <w:r w:rsidR="007252A8" w:rsidRPr="00EC250C">
        <w:rPr>
          <w:szCs w:val="24"/>
        </w:rPr>
        <w:t xml:space="preserve"> lekarskich</w:t>
      </w:r>
      <w:r w:rsidRPr="00EC250C">
        <w:rPr>
          <w:rStyle w:val="Odwoanieprzypisudolnego"/>
          <w:szCs w:val="24"/>
        </w:rPr>
        <w:footnoteReference w:id="482"/>
      </w:r>
      <w:r w:rsidRPr="00EC250C">
        <w:rPr>
          <w:szCs w:val="24"/>
        </w:rPr>
        <w:t>.</w:t>
      </w:r>
    </w:p>
    <w:p w14:paraId="3476FD83" w14:textId="77777777" w:rsidR="00187708" w:rsidRPr="00EC250C" w:rsidRDefault="00187708" w:rsidP="00D131FA">
      <w:pPr>
        <w:pStyle w:val="Styl2"/>
        <w:rPr>
          <w:szCs w:val="24"/>
        </w:rPr>
      </w:pPr>
      <w:r w:rsidRPr="00EC250C">
        <w:rPr>
          <w:szCs w:val="24"/>
        </w:rPr>
        <w:t xml:space="preserve">Początkowo  </w:t>
      </w:r>
      <w:r w:rsidR="00395CCC" w:rsidRPr="00EC250C">
        <w:rPr>
          <w:szCs w:val="24"/>
        </w:rPr>
        <w:t xml:space="preserve">MSWiA </w:t>
      </w:r>
      <w:r w:rsidRPr="00EC250C">
        <w:rPr>
          <w:szCs w:val="24"/>
        </w:rPr>
        <w:t>uważał, że wszystko jest</w:t>
      </w:r>
      <w:r w:rsidR="00992FD0" w:rsidRPr="00EC250C">
        <w:rPr>
          <w:szCs w:val="24"/>
        </w:rPr>
        <w:t xml:space="preserve"> w </w:t>
      </w:r>
      <w:r w:rsidRPr="00EC250C">
        <w:rPr>
          <w:szCs w:val="24"/>
        </w:rPr>
        <w:t>porządku</w:t>
      </w:r>
      <w:r w:rsidR="007252A8" w:rsidRPr="00EC250C">
        <w:rPr>
          <w:szCs w:val="24"/>
        </w:rPr>
        <w:t>, p</w:t>
      </w:r>
      <w:r w:rsidRPr="00EC250C">
        <w:rPr>
          <w:szCs w:val="24"/>
        </w:rPr>
        <w:t>onieważ przepisy nie ustalają, jak długo dziecko ma być karmione piersią</w:t>
      </w:r>
      <w:r w:rsidR="00992FD0" w:rsidRPr="00EC250C">
        <w:rPr>
          <w:szCs w:val="24"/>
        </w:rPr>
        <w:t xml:space="preserve"> i </w:t>
      </w:r>
      <w:r w:rsidRPr="00EC250C">
        <w:rPr>
          <w:szCs w:val="24"/>
        </w:rPr>
        <w:t>jak długa matka ma prawo je karmić</w:t>
      </w:r>
      <w:r w:rsidR="007252A8" w:rsidRPr="00EC250C">
        <w:rPr>
          <w:szCs w:val="24"/>
        </w:rPr>
        <w:t>. Wobec tego</w:t>
      </w:r>
      <w:r w:rsidRPr="00EC250C">
        <w:rPr>
          <w:szCs w:val="24"/>
        </w:rPr>
        <w:t xml:space="preserve"> musi </w:t>
      </w:r>
      <w:r w:rsidR="007252A8" w:rsidRPr="00EC250C">
        <w:rPr>
          <w:szCs w:val="24"/>
        </w:rPr>
        <w:t>istnieć</w:t>
      </w:r>
      <w:r w:rsidRPr="00EC250C">
        <w:rPr>
          <w:szCs w:val="24"/>
        </w:rPr>
        <w:t xml:space="preserve"> formalna podstawa do tego, żeby matka mogła wystąpić</w:t>
      </w:r>
      <w:r w:rsidR="00992FD0" w:rsidRPr="00EC250C">
        <w:rPr>
          <w:szCs w:val="24"/>
        </w:rPr>
        <w:t xml:space="preserve"> o </w:t>
      </w:r>
      <w:r w:rsidRPr="00EC250C">
        <w:rPr>
          <w:szCs w:val="24"/>
        </w:rPr>
        <w:t>przerwy na karmienie. Ostatecznie zapowiedział jednak zmiany przepisów Regulaminu pracy</w:t>
      </w:r>
      <w:r w:rsidR="00992FD0" w:rsidRPr="00EC250C">
        <w:rPr>
          <w:szCs w:val="24"/>
        </w:rPr>
        <w:t xml:space="preserve"> w </w:t>
      </w:r>
      <w:r w:rsidRPr="00EC250C">
        <w:rPr>
          <w:szCs w:val="24"/>
        </w:rPr>
        <w:t>Ministerstwie Spraw Wewnętrznych</w:t>
      </w:r>
      <w:r w:rsidR="00992FD0" w:rsidRPr="00EC250C">
        <w:rPr>
          <w:szCs w:val="24"/>
        </w:rPr>
        <w:t xml:space="preserve"> i </w:t>
      </w:r>
      <w:r w:rsidRPr="00EC250C">
        <w:rPr>
          <w:szCs w:val="24"/>
        </w:rPr>
        <w:t xml:space="preserve">Administracji poprzez zniesienie obowiązku dostarczania przez pracownice zaświadczeń </w:t>
      </w:r>
      <w:r w:rsidR="007252A8" w:rsidRPr="00EC250C">
        <w:rPr>
          <w:szCs w:val="24"/>
        </w:rPr>
        <w:t>lekarskich</w:t>
      </w:r>
      <w:r w:rsidR="00992FD0" w:rsidRPr="00EC250C">
        <w:rPr>
          <w:szCs w:val="24"/>
        </w:rPr>
        <w:t xml:space="preserve"> o </w:t>
      </w:r>
      <w:r w:rsidRPr="00EC250C">
        <w:rPr>
          <w:szCs w:val="24"/>
        </w:rPr>
        <w:t>karmieniu dziecka piersią,</w:t>
      </w:r>
      <w:r w:rsidR="00992FD0" w:rsidRPr="00EC250C">
        <w:rPr>
          <w:szCs w:val="24"/>
        </w:rPr>
        <w:t xml:space="preserve"> a </w:t>
      </w:r>
      <w:r w:rsidRPr="00EC250C">
        <w:rPr>
          <w:szCs w:val="24"/>
        </w:rPr>
        <w:t>zastąpienie go uprawnieniem pracodawcy do jego żądania.</w:t>
      </w:r>
    </w:p>
    <w:p w14:paraId="53E86C12" w14:textId="77777777" w:rsidR="008E211F" w:rsidRPr="00EC250C" w:rsidRDefault="008E211F" w:rsidP="00D131FA">
      <w:pPr>
        <w:pStyle w:val="Styl2"/>
        <w:rPr>
          <w:szCs w:val="24"/>
        </w:rPr>
      </w:pPr>
      <w:r w:rsidRPr="00EC250C">
        <w:rPr>
          <w:szCs w:val="24"/>
        </w:rPr>
        <w:t>W oparciu</w:t>
      </w:r>
      <w:r w:rsidR="00992FD0" w:rsidRPr="00EC250C">
        <w:rPr>
          <w:szCs w:val="24"/>
        </w:rPr>
        <w:t xml:space="preserve"> o </w:t>
      </w:r>
      <w:r w:rsidRPr="00EC250C">
        <w:rPr>
          <w:szCs w:val="24"/>
        </w:rPr>
        <w:t xml:space="preserve">treść kolejnych wpływających skarg oraz dotychczas uzyskanych wyjaśnień, </w:t>
      </w:r>
      <w:r w:rsidR="00B04745" w:rsidRPr="00EC250C">
        <w:rPr>
          <w:szCs w:val="24"/>
        </w:rPr>
        <w:t>RPO</w:t>
      </w:r>
      <w:r w:rsidRPr="00EC250C">
        <w:rPr>
          <w:szCs w:val="24"/>
        </w:rPr>
        <w:t xml:space="preserve"> stwierdził niedostateczność obowiązujących regulacji ustawowych</w:t>
      </w:r>
      <w:r w:rsidR="00992FD0" w:rsidRPr="00EC250C">
        <w:rPr>
          <w:szCs w:val="24"/>
        </w:rPr>
        <w:t xml:space="preserve"> w </w:t>
      </w:r>
      <w:r w:rsidRPr="00EC250C">
        <w:rPr>
          <w:szCs w:val="24"/>
        </w:rPr>
        <w:t>powyższym zakresie. W związku</w:t>
      </w:r>
      <w:r w:rsidR="00992FD0" w:rsidRPr="00EC250C">
        <w:rPr>
          <w:szCs w:val="24"/>
        </w:rPr>
        <w:t xml:space="preserve"> z </w:t>
      </w:r>
      <w:r w:rsidRPr="00EC250C">
        <w:rPr>
          <w:szCs w:val="24"/>
        </w:rPr>
        <w:t>tym pismem</w:t>
      </w:r>
      <w:r w:rsidR="00992FD0" w:rsidRPr="00EC250C">
        <w:rPr>
          <w:szCs w:val="24"/>
        </w:rPr>
        <w:t xml:space="preserve"> z </w:t>
      </w:r>
      <w:r w:rsidRPr="00EC250C">
        <w:rPr>
          <w:szCs w:val="24"/>
        </w:rPr>
        <w:t>dnia 25 marca 2019</w:t>
      </w:r>
      <w:r w:rsidR="00C91F6E" w:rsidRPr="00EC250C">
        <w:rPr>
          <w:szCs w:val="24"/>
        </w:rPr>
        <w:t> r.</w:t>
      </w:r>
      <w:r w:rsidRPr="00EC250C">
        <w:rPr>
          <w:szCs w:val="24"/>
        </w:rPr>
        <w:t xml:space="preserve"> </w:t>
      </w:r>
      <w:r w:rsidR="00B04745" w:rsidRPr="00EC250C">
        <w:rPr>
          <w:szCs w:val="24"/>
        </w:rPr>
        <w:t xml:space="preserve">RPO </w:t>
      </w:r>
      <w:r w:rsidRPr="00EC250C">
        <w:rPr>
          <w:szCs w:val="24"/>
        </w:rPr>
        <w:t>wystąpił do Minister Rodziny, Pracy</w:t>
      </w:r>
      <w:r w:rsidR="00992FD0" w:rsidRPr="00EC250C">
        <w:rPr>
          <w:szCs w:val="24"/>
        </w:rPr>
        <w:t xml:space="preserve"> i </w:t>
      </w:r>
      <w:r w:rsidRPr="00EC250C">
        <w:rPr>
          <w:szCs w:val="24"/>
        </w:rPr>
        <w:t>Polityki Społecznej</w:t>
      </w:r>
      <w:r w:rsidR="00992FD0" w:rsidRPr="00EC250C">
        <w:rPr>
          <w:szCs w:val="24"/>
        </w:rPr>
        <w:t xml:space="preserve"> z </w:t>
      </w:r>
      <w:r w:rsidRPr="00EC250C">
        <w:rPr>
          <w:szCs w:val="24"/>
        </w:rPr>
        <w:t>prośbą</w:t>
      </w:r>
      <w:r w:rsidR="00992FD0" w:rsidRPr="00EC250C">
        <w:rPr>
          <w:szCs w:val="24"/>
        </w:rPr>
        <w:t xml:space="preserve"> o </w:t>
      </w:r>
      <w:r w:rsidRPr="00EC250C">
        <w:rPr>
          <w:szCs w:val="24"/>
        </w:rPr>
        <w:t>rozważenie,</w:t>
      </w:r>
      <w:r w:rsidR="00992FD0" w:rsidRPr="00EC250C">
        <w:rPr>
          <w:szCs w:val="24"/>
        </w:rPr>
        <w:t xml:space="preserve"> w </w:t>
      </w:r>
      <w:r w:rsidRPr="00EC250C">
        <w:rPr>
          <w:szCs w:val="24"/>
        </w:rPr>
        <w:t>porozumieniu</w:t>
      </w:r>
      <w:r w:rsidR="00992FD0" w:rsidRPr="00EC250C">
        <w:rPr>
          <w:szCs w:val="24"/>
        </w:rPr>
        <w:t xml:space="preserve"> z </w:t>
      </w:r>
      <w:r w:rsidRPr="00EC250C">
        <w:rPr>
          <w:szCs w:val="24"/>
        </w:rPr>
        <w:t>Ministrem Spraw Wewnętrznych</w:t>
      </w:r>
      <w:r w:rsidR="00992FD0" w:rsidRPr="00EC250C">
        <w:rPr>
          <w:szCs w:val="24"/>
        </w:rPr>
        <w:t xml:space="preserve"> i </w:t>
      </w:r>
      <w:r w:rsidRPr="00EC250C">
        <w:rPr>
          <w:szCs w:val="24"/>
        </w:rPr>
        <w:t>Administracji, możliwości podjęcia stosownej inicjatywy ustawodawczej.</w:t>
      </w:r>
    </w:p>
    <w:p w14:paraId="1686D472" w14:textId="77777777" w:rsidR="003B7156" w:rsidRPr="00EC250C" w:rsidRDefault="003B7156" w:rsidP="00EC79EB">
      <w:pPr>
        <w:pStyle w:val="Nagwek4"/>
      </w:pPr>
      <w:bookmarkStart w:id="478" w:name="_Toc11247731"/>
      <w:r w:rsidRPr="00EC250C">
        <w:t>Zbyt długa służba policjantów</w:t>
      </w:r>
      <w:bookmarkEnd w:id="478"/>
    </w:p>
    <w:p w14:paraId="4D90CE17" w14:textId="77777777" w:rsidR="003B7156" w:rsidRPr="00EC250C" w:rsidRDefault="003B7156" w:rsidP="00D131FA">
      <w:pPr>
        <w:pStyle w:val="Problemczowieka"/>
        <w:jc w:val="both"/>
        <w:rPr>
          <w:lang w:eastAsia="en-US"/>
        </w:rPr>
      </w:pPr>
      <w:r w:rsidRPr="00EC250C">
        <w:rPr>
          <w:lang w:eastAsia="en-US"/>
        </w:rPr>
        <w:t>Zdarza się, że policjanci mają służbę planowaną na 10-godzin.</w:t>
      </w:r>
    </w:p>
    <w:p w14:paraId="473F166E" w14:textId="77777777" w:rsidR="003B7156" w:rsidRPr="00EC250C" w:rsidRDefault="003B7156" w:rsidP="00D131FA">
      <w:pPr>
        <w:pStyle w:val="Styl1"/>
        <w:rPr>
          <w:bCs/>
          <w:iCs/>
          <w:lang w:eastAsia="en-US"/>
        </w:rPr>
      </w:pPr>
      <w:r w:rsidRPr="00EC250C">
        <w:rPr>
          <w:bCs/>
          <w:iCs/>
          <w:lang w:eastAsia="en-US"/>
        </w:rPr>
        <w:t xml:space="preserve">PO sygnałach od policjantów RPO sprawdzał ten problem w jednej z komend miejskich Policji.  Okazało się, że były tam stosowane jako reguła tu przepisy, które tylko w wyjątkowych wypadkach pozwalają na wprowadzanie elastycznego czasu służby </w:t>
      </w:r>
    </w:p>
    <w:p w14:paraId="5A4C5E24" w14:textId="77777777" w:rsidR="003B7156" w:rsidRPr="00EC250C" w:rsidRDefault="003B7156" w:rsidP="00D131FA">
      <w:pPr>
        <w:pStyle w:val="Styl1"/>
        <w:rPr>
          <w:bCs/>
          <w:iCs/>
          <w:lang w:eastAsia="en-US"/>
        </w:rPr>
      </w:pPr>
      <w:r w:rsidRPr="00EC250C">
        <w:rPr>
          <w:bCs/>
          <w:iCs/>
          <w:lang w:eastAsia="en-US"/>
        </w:rPr>
        <w:t>Rzecznik zwrócił uwagę Ministrowi Spraw Wewnętrznych i Administracji na problem dziesięciogodzinnej a nie ośmiogodzinnej służby w indywidualnym rozkładzie czasu służby.</w:t>
      </w:r>
    </w:p>
    <w:p w14:paraId="3EC45F4C" w14:textId="77777777" w:rsidR="003B7156" w:rsidRPr="00EC250C" w:rsidRDefault="003B7156" w:rsidP="00D131FA">
      <w:pPr>
        <w:pStyle w:val="Styl1"/>
      </w:pPr>
      <w:r w:rsidRPr="00EC250C">
        <w:rPr>
          <w:bCs/>
          <w:iCs/>
          <w:lang w:eastAsia="en-US"/>
        </w:rPr>
        <w:t xml:space="preserve">Taka służba ma oczywiście zalety, na co wskazują sami </w:t>
      </w:r>
      <w:r w:rsidRPr="00EC250C">
        <w:t>policjanci (mają dzięki temu dodatkowy dzień wolny w tygodniu, bo 40 godzin tygodniowo wypracowują w cztery dni). Nie można jej jednak nadużywać. Norma wypoczynku (14 godzin) dla służby 10-godzinnej jest zauważalnie niższa od normy wypoczynku dla służby 12-godzinnej (24/48 godz).</w:t>
      </w:r>
    </w:p>
    <w:p w14:paraId="0E88C6BF" w14:textId="77777777" w:rsidR="003B7156" w:rsidRPr="00EC250C" w:rsidRDefault="003B7156" w:rsidP="00D131FA">
      <w:pPr>
        <w:pStyle w:val="Styl1"/>
        <w:rPr>
          <w:bCs/>
          <w:iCs/>
          <w:lang w:eastAsia="en-US"/>
        </w:rPr>
      </w:pPr>
      <w:r w:rsidRPr="00EC250C">
        <w:rPr>
          <w:bCs/>
          <w:iCs/>
          <w:lang w:eastAsia="en-US"/>
        </w:rPr>
        <w:t xml:space="preserve">Minister </w:t>
      </w:r>
      <w:r w:rsidRPr="00EC250C">
        <w:rPr>
          <w:bCs/>
          <w:iCs/>
          <w:caps/>
          <w:lang w:eastAsia="en-US"/>
        </w:rPr>
        <w:t>SW</w:t>
      </w:r>
      <w:r w:rsidRPr="00EC250C">
        <w:rPr>
          <w:bCs/>
          <w:iCs/>
          <w:lang w:eastAsia="en-US"/>
        </w:rPr>
        <w:t>i</w:t>
      </w:r>
      <w:r w:rsidRPr="00EC250C">
        <w:rPr>
          <w:bCs/>
          <w:iCs/>
          <w:caps/>
          <w:lang w:eastAsia="en-US"/>
        </w:rPr>
        <w:t xml:space="preserve">A </w:t>
      </w:r>
      <w:r w:rsidRPr="00EC250C">
        <w:rPr>
          <w:bCs/>
          <w:iCs/>
          <w:lang w:eastAsia="en-US"/>
        </w:rPr>
        <w:t>nie podzielił zastrzeżeń RPO wskazując m.in., że indywidualny rozkład czasu służby policjanta jest ustalany w szczególnie uzasadnionych przypadkach (na wniosek policjanta) oraz w ramach normy czasu służby i nie może naruszać charakterystycznych dla niego zasad ochronnych, tj. np. maksymalnego dobowego wymiaru czasu służby obowiązującego w danym systemie czasu służby. Poza tym Funkcjonariusze Policji nie są pracownikami w rozumieniu art. 2 Kodeksu pracy, a stosunek służbowy policjanta nie jest stosunkiem pracy. Zatem przepisy prawa pracy mają zastosowanie do policjantów tylko w takim zakresie, na jaki pozwala ustawa o Policji</w:t>
      </w:r>
      <w:r w:rsidR="00E24C6B" w:rsidRPr="00EC250C">
        <w:rPr>
          <w:rStyle w:val="Odwoanieprzypisudolnego"/>
          <w:bCs/>
          <w:iCs/>
          <w:lang w:eastAsia="en-US"/>
        </w:rPr>
        <w:footnoteReference w:id="483"/>
      </w:r>
      <w:r w:rsidR="00E24C6B" w:rsidRPr="00EC250C">
        <w:rPr>
          <w:bCs/>
          <w:iCs/>
          <w:lang w:eastAsia="en-US"/>
        </w:rPr>
        <w:t>.</w:t>
      </w:r>
    </w:p>
    <w:p w14:paraId="303D4296" w14:textId="77777777" w:rsidR="00F632F8" w:rsidRPr="00EC250C" w:rsidRDefault="003B7156" w:rsidP="00EC79EB">
      <w:pPr>
        <w:pStyle w:val="Nagwek4"/>
      </w:pPr>
      <w:bookmarkStart w:id="479" w:name="_Toc11247732"/>
      <w:r w:rsidRPr="00EC250C">
        <w:lastRenderedPageBreak/>
        <w:t>Niebezpieczeństwo powodowane przez p</w:t>
      </w:r>
      <w:r w:rsidR="00F632F8" w:rsidRPr="00EC250C">
        <w:t xml:space="preserve">rzestarzały, źle serwisowany sprzęt </w:t>
      </w:r>
      <w:r w:rsidRPr="00EC250C">
        <w:t>wojskowy</w:t>
      </w:r>
      <w:bookmarkEnd w:id="479"/>
      <w:r w:rsidRPr="00EC250C">
        <w:t xml:space="preserve"> </w:t>
      </w:r>
    </w:p>
    <w:p w14:paraId="39304CFC" w14:textId="77777777" w:rsidR="00F632F8" w:rsidRPr="00EC250C" w:rsidRDefault="00F632F8" w:rsidP="00D131FA">
      <w:pPr>
        <w:pStyle w:val="Problemczowieka"/>
        <w:jc w:val="both"/>
      </w:pPr>
      <w:r w:rsidRPr="00EC250C">
        <w:t>Żołnierze skarżą się na przestarzały sprzęt i brak pomocy lekarskiej.</w:t>
      </w:r>
    </w:p>
    <w:p w14:paraId="0D0626E2" w14:textId="77777777" w:rsidR="00F632F8" w:rsidRPr="00EC250C" w:rsidRDefault="00F632F8" w:rsidP="00D131FA">
      <w:pPr>
        <w:pStyle w:val="Styl1"/>
        <w:rPr>
          <w:bCs/>
          <w:iCs/>
        </w:rPr>
      </w:pPr>
      <w:r w:rsidRPr="00EC250C">
        <w:t xml:space="preserve">Problemy dotyczące żołnierzy RPO identyfikuje dzięki kontrolom przestrzegania praw i wolności obywatelskich żołnierzy. </w:t>
      </w:r>
      <w:r w:rsidRPr="00EC250C">
        <w:rPr>
          <w:bCs/>
          <w:iCs/>
        </w:rPr>
        <w:t>Praktycznie wszyscy żołnierze, z którymi przedstawiciele RPO rozmawiali w czasie tych kontroli, wskazywali na niską jakość sprzętu wojskowego, zwłaszcza transportowego. Z reguły jest eksploatowany od ponad 30 lat i nie nadaje się do prawidłowego wykonania zadań, zagraża też bezpieczeństwu samych żołnierzy. Niepokój wzbudził również fakt, że w szkoleniach na poligonie nie uczestniczy lekarz wojskowy a jednostka nie ma izby chorych. Co więcej, żołnierze nie mogą liczyć na pomoc w cywilnych jednostkach służby zdrowia nawet w zakresie podstawowych potrzeb.</w:t>
      </w:r>
    </w:p>
    <w:p w14:paraId="400E5C95" w14:textId="77777777" w:rsidR="00F632F8" w:rsidRPr="00EC250C" w:rsidRDefault="00F632F8" w:rsidP="00D131FA">
      <w:pPr>
        <w:pStyle w:val="Styl1"/>
        <w:rPr>
          <w:bCs/>
          <w:iCs/>
        </w:rPr>
      </w:pPr>
      <w:r w:rsidRPr="00EC250C">
        <w:rPr>
          <w:bCs/>
          <w:iCs/>
        </w:rPr>
        <w:t>RPO zwrócił się</w:t>
      </w:r>
      <w:r w:rsidRPr="00EC250C">
        <w:rPr>
          <w:rStyle w:val="Odwoanieprzypisudolnego"/>
          <w:bCs/>
          <w:iCs/>
        </w:rPr>
        <w:footnoteReference w:id="484"/>
      </w:r>
      <w:r w:rsidRPr="00EC250C">
        <w:rPr>
          <w:bCs/>
          <w:iCs/>
        </w:rPr>
        <w:t xml:space="preserve"> do Ministra Obrony Narodowej o sprawdzenie tych sygnałów. Minister odpowiedział, że tak zrobi.</w:t>
      </w:r>
    </w:p>
    <w:p w14:paraId="0202879D" w14:textId="77777777" w:rsidR="00F632F8" w:rsidRPr="00EC250C" w:rsidRDefault="00F632F8" w:rsidP="00EC250C">
      <w:pPr>
        <w:pStyle w:val="Nagwek5"/>
      </w:pPr>
      <w:r w:rsidRPr="00EC250C">
        <w:t>Warunki służby pilotów myśliwców</w:t>
      </w:r>
    </w:p>
    <w:p w14:paraId="36195074" w14:textId="77777777" w:rsidR="00F632F8" w:rsidRPr="00EC250C" w:rsidRDefault="00F632F8" w:rsidP="00D131FA">
      <w:pPr>
        <w:pStyle w:val="Problemczowieka"/>
        <w:jc w:val="both"/>
      </w:pPr>
      <w:r w:rsidRPr="00EC250C">
        <w:t>Wojskowi piloci MIG-29 obawiali się o bezpieczeństwo maszyn – i ludzi na ziemi. Niestety, ich obawy potwierdziła kolejna katastrofa lotnicza, już w 2019 r.</w:t>
      </w:r>
    </w:p>
    <w:p w14:paraId="04303163" w14:textId="77777777" w:rsidR="00F632F8" w:rsidRPr="00EC250C" w:rsidRDefault="001108EF" w:rsidP="00D131FA">
      <w:pPr>
        <w:pStyle w:val="Styl1"/>
      </w:pPr>
      <w:r w:rsidRPr="00EC250C">
        <w:t xml:space="preserve">Po katastrofie MIGa-29 z bazy w Malborku, w wyniku której </w:t>
      </w:r>
      <w:r w:rsidR="00E24C6B" w:rsidRPr="00EC250C">
        <w:t xml:space="preserve">w 2018 r. </w:t>
      </w:r>
      <w:r w:rsidRPr="00EC250C">
        <w:t>zginął pilot, bo nie otworzył się mu spadochron, przedstawiciel RPO przeprowadził kontrolę w innej bazie – w Mińsku. Żołnierze mówili przede wszystkim o tej tragedii. Uważali</w:t>
      </w:r>
      <w:r w:rsidR="00F632F8" w:rsidRPr="00EC250C">
        <w:t xml:space="preserve">, że </w:t>
      </w:r>
      <w:r w:rsidRPr="00EC250C">
        <w:t xml:space="preserve">jej </w:t>
      </w:r>
      <w:r w:rsidR="00F632F8" w:rsidRPr="00EC250C">
        <w:t xml:space="preserve">przyczyną był wadliwie przeprowadzony remont samolotu w Wojskowych Zakładach Lotniczych Nr 2 w Bydgoszczy (serwisują one wszystkie samoloty). </w:t>
      </w:r>
      <w:r w:rsidR="003B7156" w:rsidRPr="00EC250C">
        <w:t xml:space="preserve">Nie czekając na wyniki badań </w:t>
      </w:r>
      <w:r w:rsidR="00F632F8" w:rsidRPr="00EC250C">
        <w:t>Komisj</w:t>
      </w:r>
      <w:r w:rsidR="003B7156" w:rsidRPr="00EC250C">
        <w:t>i</w:t>
      </w:r>
      <w:r w:rsidR="00F632F8" w:rsidRPr="00EC250C">
        <w:t xml:space="preserve"> Badania Wypadków Lotniczych oraz prokuratur</w:t>
      </w:r>
      <w:r w:rsidR="003B7156" w:rsidRPr="00EC250C">
        <w:t>y</w:t>
      </w:r>
      <w:r w:rsidRPr="00EC250C">
        <w:t xml:space="preserve">, </w:t>
      </w:r>
      <w:r w:rsidR="00F632F8" w:rsidRPr="00EC250C">
        <w:t>piloci MIG-29 rozważa</w:t>
      </w:r>
      <w:r w:rsidRPr="00EC250C">
        <w:t xml:space="preserve">li </w:t>
      </w:r>
      <w:r w:rsidR="00F632F8" w:rsidRPr="00EC250C">
        <w:t xml:space="preserve">odejście ze służby lub przekwalifikowanie na inne typy samolotów. </w:t>
      </w:r>
      <w:r w:rsidRPr="00EC250C">
        <w:t>Mówili</w:t>
      </w:r>
      <w:r w:rsidR="00F632F8" w:rsidRPr="00EC250C">
        <w:t xml:space="preserve">, że ponoszą niepotrzebnie wysokie ryzyko, bo </w:t>
      </w:r>
      <w:r w:rsidRPr="00EC250C">
        <w:t xml:space="preserve">– w przeciwieństwie do samolotów F-16 </w:t>
      </w:r>
      <w:r w:rsidR="00E24C6B" w:rsidRPr="00EC250C">
        <w:t>–</w:t>
      </w:r>
      <w:r w:rsidRPr="00EC250C">
        <w:t xml:space="preserve"> </w:t>
      </w:r>
      <w:r w:rsidR="00F632F8" w:rsidRPr="00EC250C">
        <w:t xml:space="preserve">części zamienne do rosyjskich samolotów nie są kupowane u producenta, tylko wytwarzane w krajowych zakładach lotniczych systemem niemal rzemieślniczym. </w:t>
      </w:r>
    </w:p>
    <w:p w14:paraId="47E352C5" w14:textId="77777777" w:rsidR="00F632F8" w:rsidRPr="00EC250C" w:rsidRDefault="00F632F8" w:rsidP="00D131FA">
      <w:pPr>
        <w:pStyle w:val="Styl1"/>
        <w:rPr>
          <w:bCs/>
          <w:iCs/>
        </w:rPr>
      </w:pPr>
      <w:r w:rsidRPr="00EC250C">
        <w:rPr>
          <w:bCs/>
          <w:iCs/>
        </w:rPr>
        <w:t>RPO zwrócił się</w:t>
      </w:r>
      <w:r w:rsidR="001108EF" w:rsidRPr="00EC250C">
        <w:rPr>
          <w:bCs/>
          <w:iCs/>
        </w:rPr>
        <w:t xml:space="preserve"> z problemem </w:t>
      </w:r>
      <w:r w:rsidRPr="00EC250C">
        <w:rPr>
          <w:bCs/>
          <w:iCs/>
        </w:rPr>
        <w:t>do Ministra Obrony Narodowej</w:t>
      </w:r>
      <w:r w:rsidRPr="00EC250C">
        <w:t>.</w:t>
      </w:r>
      <w:r w:rsidR="001108EF" w:rsidRPr="00EC250C">
        <w:t xml:space="preserve"> </w:t>
      </w:r>
      <w:r w:rsidR="00E24C6B" w:rsidRPr="00EC250C">
        <w:rPr>
          <w:bCs/>
          <w:iCs/>
        </w:rPr>
        <w:t xml:space="preserve">Ten </w:t>
      </w:r>
      <w:r w:rsidRPr="00EC250C">
        <w:rPr>
          <w:bCs/>
          <w:iCs/>
        </w:rPr>
        <w:t>poinformował, że działania profilaktyczne po katastrofie zostały zrealizowane i samoloty uznane zostały za bezpieczne. Kolejny wypadek MIG-a zdarzył się w marcu 2019 r.</w:t>
      </w:r>
      <w:r w:rsidR="001108EF" w:rsidRPr="00EC250C">
        <w:rPr>
          <w:rStyle w:val="Odwoanieprzypisudolnego"/>
          <w:bCs/>
          <w:iCs/>
        </w:rPr>
        <w:t xml:space="preserve"> </w:t>
      </w:r>
      <w:r w:rsidR="001108EF" w:rsidRPr="00EC250C">
        <w:rPr>
          <w:rStyle w:val="Odwoanieprzypisudolnego"/>
          <w:bCs/>
          <w:iCs/>
        </w:rPr>
        <w:footnoteReference w:id="485"/>
      </w:r>
    </w:p>
    <w:p w14:paraId="76EB250E" w14:textId="77777777" w:rsidR="00187708" w:rsidRPr="00EC250C" w:rsidRDefault="00187708" w:rsidP="00D131FA">
      <w:pPr>
        <w:spacing w:after="200" w:line="24" w:lineRule="auto"/>
        <w:jc w:val="both"/>
        <w:rPr>
          <w:bCs/>
          <w:color w:val="044892"/>
          <w:sz w:val="24"/>
        </w:rPr>
      </w:pPr>
      <w:r w:rsidRPr="00EC250C">
        <w:rPr>
          <w:sz w:val="24"/>
        </w:rPr>
        <w:br w:type="page"/>
      </w:r>
    </w:p>
    <w:p w14:paraId="35F993F4" w14:textId="77777777" w:rsidR="00C91F6E" w:rsidRPr="00EC250C" w:rsidRDefault="00187708" w:rsidP="00EC250C">
      <w:pPr>
        <w:pStyle w:val="Nagwek3"/>
      </w:pPr>
      <w:bookmarkStart w:id="480" w:name="_Toc6257857"/>
      <w:bookmarkStart w:id="481" w:name="_Toc11247733"/>
      <w:r w:rsidRPr="00EC250C">
        <w:lastRenderedPageBreak/>
        <w:t xml:space="preserve">Art. 67 </w:t>
      </w:r>
      <w:r w:rsidR="003C7122" w:rsidRPr="00EC250C">
        <w:t xml:space="preserve">Konstytucji </w:t>
      </w:r>
      <w:r w:rsidRPr="00EC250C">
        <w:t>– Prawo do zabezpieczenia społecznego</w:t>
      </w:r>
      <w:bookmarkEnd w:id="480"/>
      <w:bookmarkEnd w:id="481"/>
    </w:p>
    <w:p w14:paraId="42ADD9DF" w14:textId="77777777" w:rsidR="00187708" w:rsidRPr="00EC250C" w:rsidRDefault="00187708" w:rsidP="00D131FA">
      <w:pPr>
        <w:pStyle w:val="konstytucja"/>
        <w:jc w:val="both"/>
      </w:pPr>
      <w:r w:rsidRPr="00EC250C">
        <w:t>1. Obywatel ma prawo do zabezpieczenia społecznego</w:t>
      </w:r>
      <w:r w:rsidR="00992FD0" w:rsidRPr="00EC250C">
        <w:t xml:space="preserve"> w </w:t>
      </w:r>
      <w:r w:rsidRPr="00EC250C">
        <w:t>razie niezdolności do pracy ze względu na chorobę lub inwalidztwo oraz po osiągnięciu wieku emerytalnego. Zakres</w:t>
      </w:r>
      <w:r w:rsidR="00992FD0" w:rsidRPr="00EC250C">
        <w:t xml:space="preserve"> i </w:t>
      </w:r>
      <w:r w:rsidRPr="00EC250C">
        <w:t>formy zabezpieczenia społecznego określa ustawa.</w:t>
      </w:r>
    </w:p>
    <w:p w14:paraId="228C1EE0" w14:textId="77777777" w:rsidR="00187708" w:rsidRPr="00EC250C" w:rsidRDefault="00187708" w:rsidP="00D131FA">
      <w:pPr>
        <w:pStyle w:val="konstytucja"/>
        <w:jc w:val="both"/>
      </w:pPr>
      <w:r w:rsidRPr="00EC250C">
        <w:t>2. Obywatel pozostający bez pracy nie</w:t>
      </w:r>
      <w:r w:rsidR="00992FD0" w:rsidRPr="00EC250C">
        <w:t xml:space="preserve"> z </w:t>
      </w:r>
      <w:r w:rsidRPr="00EC250C">
        <w:t>własnej woli</w:t>
      </w:r>
      <w:r w:rsidR="00992FD0" w:rsidRPr="00EC250C">
        <w:t xml:space="preserve"> i </w:t>
      </w:r>
      <w:r w:rsidRPr="00EC250C">
        <w:t>nie mający innych środków utrzymania ma prawo do zabezpieczenia społecznego, którego zakres</w:t>
      </w:r>
      <w:r w:rsidR="00992FD0" w:rsidRPr="00EC250C">
        <w:t xml:space="preserve"> i </w:t>
      </w:r>
      <w:r w:rsidRPr="00EC250C">
        <w:t>formy określa ustawa.</w:t>
      </w:r>
    </w:p>
    <w:p w14:paraId="74892933" w14:textId="77777777" w:rsidR="00187708" w:rsidRPr="00EC250C" w:rsidRDefault="00187708" w:rsidP="00D131FA">
      <w:pPr>
        <w:pStyle w:val="ComwiKonstytucja"/>
      </w:pPr>
      <w:bookmarkStart w:id="482" w:name="_Toc503766370"/>
      <w:r w:rsidRPr="00EC250C">
        <w:t>Podmiotem prawa do zabezpieczenia społecznego jest obywatel Polski. Adresatem obowiązków, które</w:t>
      </w:r>
      <w:r w:rsidR="00992FD0" w:rsidRPr="00EC250C">
        <w:t xml:space="preserve"> z </w:t>
      </w:r>
      <w:r w:rsidRPr="00EC250C">
        <w:t>niego wynikają, są władze publiczne. Z artykułu tego wynika zatem nakaz ustanowienia systemu zabezpieczenia społecznego</w:t>
      </w:r>
      <w:r w:rsidR="00992FD0" w:rsidRPr="00EC250C">
        <w:t xml:space="preserve"> i </w:t>
      </w:r>
      <w:r w:rsidRPr="00EC250C">
        <w:t>określenia sposobu jego finansowania.</w:t>
      </w:r>
    </w:p>
    <w:p w14:paraId="4CFE81B6" w14:textId="77777777" w:rsidR="00C91F6E" w:rsidRPr="00EC250C" w:rsidRDefault="00187708" w:rsidP="00D131FA">
      <w:pPr>
        <w:pStyle w:val="ComwiKonstytucja"/>
      </w:pPr>
      <w:r w:rsidRPr="00EC250C">
        <w:t>Rzeczywisty zakres</w:t>
      </w:r>
      <w:r w:rsidR="00992FD0" w:rsidRPr="00EC250C">
        <w:t xml:space="preserve"> i </w:t>
      </w:r>
      <w:r w:rsidRPr="00EC250C">
        <w:t>formy zabezpieczenia społecznego określi dopiero ustawodawca, który ma dużą swobodę regulacyjną</w:t>
      </w:r>
      <w:r w:rsidR="00992FD0" w:rsidRPr="00EC250C">
        <w:t xml:space="preserve"> w </w:t>
      </w:r>
      <w:r w:rsidRPr="00EC250C">
        <w:t>tym zakresie. Treścią tego prawa jest zagwarantowanie obywatelom świadczeń na wypadek:</w:t>
      </w:r>
    </w:p>
    <w:p w14:paraId="5AC30A71" w14:textId="77777777" w:rsidR="00C91F6E" w:rsidRPr="00EC250C" w:rsidRDefault="00187708" w:rsidP="006C70B7">
      <w:pPr>
        <w:pStyle w:val="ComwiKonstytucja"/>
        <w:numPr>
          <w:ilvl w:val="1"/>
          <w:numId w:val="51"/>
        </w:numPr>
      </w:pPr>
      <w:r w:rsidRPr="00EC250C">
        <w:t>niezdolności do pracy ze względu na chorobę,</w:t>
      </w:r>
    </w:p>
    <w:p w14:paraId="07747D67" w14:textId="77777777" w:rsidR="00C91F6E" w:rsidRPr="00EC250C" w:rsidRDefault="00187708" w:rsidP="006C70B7">
      <w:pPr>
        <w:pStyle w:val="ComwiKonstytucja"/>
        <w:numPr>
          <w:ilvl w:val="1"/>
          <w:numId w:val="51"/>
        </w:numPr>
      </w:pPr>
      <w:r w:rsidRPr="00EC250C">
        <w:t>niezdolność do pracy</w:t>
      </w:r>
      <w:r w:rsidR="00992FD0" w:rsidRPr="00EC250C">
        <w:t xml:space="preserve"> z </w:t>
      </w:r>
      <w:r w:rsidRPr="00EC250C">
        <w:t>powodu niepełnosprawności,</w:t>
      </w:r>
    </w:p>
    <w:p w14:paraId="1AFB7E8F" w14:textId="77777777" w:rsidR="00C91F6E" w:rsidRPr="00EC250C" w:rsidRDefault="00187708" w:rsidP="006C70B7">
      <w:pPr>
        <w:pStyle w:val="ComwiKonstytucja"/>
        <w:numPr>
          <w:ilvl w:val="1"/>
          <w:numId w:val="51"/>
        </w:numPr>
      </w:pPr>
      <w:r w:rsidRPr="00EC250C">
        <w:t>osiągnięcia wieku emerytalnego,</w:t>
      </w:r>
    </w:p>
    <w:p w14:paraId="3D32F8E2" w14:textId="77777777" w:rsidR="00187708" w:rsidRPr="00EC250C" w:rsidRDefault="00187708" w:rsidP="006C70B7">
      <w:pPr>
        <w:pStyle w:val="ComwiKonstytucja"/>
        <w:numPr>
          <w:ilvl w:val="1"/>
          <w:numId w:val="51"/>
        </w:numPr>
      </w:pPr>
      <w:r w:rsidRPr="00EC250C">
        <w:t>pozostawania bez pracy nie</w:t>
      </w:r>
      <w:r w:rsidR="00992FD0" w:rsidRPr="00EC250C">
        <w:t xml:space="preserve"> z </w:t>
      </w:r>
      <w:r w:rsidRPr="00EC250C">
        <w:t>własnej woli</w:t>
      </w:r>
      <w:r w:rsidR="00992FD0" w:rsidRPr="00EC250C">
        <w:t xml:space="preserve"> i </w:t>
      </w:r>
      <w:r w:rsidRPr="00EC250C">
        <w:t>nieposiadanie innych środków utrzymania.</w:t>
      </w:r>
    </w:p>
    <w:p w14:paraId="6782D422" w14:textId="77777777" w:rsidR="00187708" w:rsidRPr="00EC250C" w:rsidRDefault="00187708" w:rsidP="00D131FA">
      <w:pPr>
        <w:pStyle w:val="ComwiKonstytucja"/>
      </w:pPr>
    </w:p>
    <w:p w14:paraId="21111AFC" w14:textId="77777777" w:rsidR="00187708" w:rsidRPr="00EC250C" w:rsidRDefault="00187708" w:rsidP="00D131FA">
      <w:pPr>
        <w:spacing w:after="200" w:line="24" w:lineRule="auto"/>
        <w:jc w:val="both"/>
        <w:rPr>
          <w:i/>
          <w:spacing w:val="5"/>
          <w:sz w:val="22"/>
        </w:rPr>
      </w:pPr>
      <w:r w:rsidRPr="00EC250C">
        <w:rPr>
          <w:sz w:val="24"/>
        </w:rPr>
        <w:br w:type="page"/>
      </w:r>
    </w:p>
    <w:p w14:paraId="2844E7FA" w14:textId="77777777" w:rsidR="00C91F6E" w:rsidRPr="00EC250C" w:rsidRDefault="00187708" w:rsidP="00EC79EB">
      <w:pPr>
        <w:pStyle w:val="Nagwek4"/>
      </w:pPr>
      <w:bookmarkStart w:id="483" w:name="_Toc6257858"/>
      <w:bookmarkStart w:id="484" w:name="_Toc11247734"/>
      <w:r w:rsidRPr="00EC250C">
        <w:lastRenderedPageBreak/>
        <w:t>Emerytury kobiet</w:t>
      </w:r>
      <w:r w:rsidR="00992FD0" w:rsidRPr="00EC250C">
        <w:t xml:space="preserve"> z </w:t>
      </w:r>
      <w:r w:rsidRPr="00EC250C">
        <w:t>rocznika 1953</w:t>
      </w:r>
      <w:bookmarkEnd w:id="483"/>
      <w:bookmarkEnd w:id="484"/>
    </w:p>
    <w:p w14:paraId="76841EA9" w14:textId="77777777" w:rsidR="00B473F5" w:rsidRPr="00EC250C" w:rsidRDefault="00187708" w:rsidP="00D131FA">
      <w:pPr>
        <w:pStyle w:val="Problemczowieka"/>
        <w:jc w:val="both"/>
      </w:pPr>
      <w:bookmarkStart w:id="485" w:name="_Hlk8210267"/>
      <w:r w:rsidRPr="00EC250C">
        <w:t>Kobiety urodzone</w:t>
      </w:r>
      <w:r w:rsidR="00992FD0" w:rsidRPr="00EC250C">
        <w:t xml:space="preserve"> w </w:t>
      </w:r>
      <w:r w:rsidRPr="00EC250C">
        <w:t>1953</w:t>
      </w:r>
      <w:r w:rsidR="00C91F6E" w:rsidRPr="00EC250C">
        <w:t> r.</w:t>
      </w:r>
      <w:r w:rsidRPr="00EC250C">
        <w:t>, które przeszły na wcześniejszą emeryturę, zostały dotknięte zmianą przepisów</w:t>
      </w:r>
      <w:r w:rsidR="00992FD0" w:rsidRPr="00EC250C">
        <w:t xml:space="preserve"> o </w:t>
      </w:r>
      <w:r w:rsidRPr="00EC250C">
        <w:t>przeliczaniu takich emerytur na powszechne. Dostały znacząco niższe emerytury</w:t>
      </w:r>
      <w:r w:rsidR="00B473F5" w:rsidRPr="00EC250C">
        <w:t>.</w:t>
      </w:r>
    </w:p>
    <w:bookmarkEnd w:id="485"/>
    <w:p w14:paraId="4599261E" w14:textId="77777777" w:rsidR="00C91F6E" w:rsidRPr="00EC250C" w:rsidRDefault="00187708" w:rsidP="00D131FA">
      <w:pPr>
        <w:pStyle w:val="Styl1"/>
      </w:pPr>
      <w:r w:rsidRPr="00EC250C">
        <w:t>Wyobraźmy sobie sytuację pani Katarzyny, urodzonej właśnie</w:t>
      </w:r>
      <w:r w:rsidR="00992FD0" w:rsidRPr="00EC250C">
        <w:t xml:space="preserve"> w </w:t>
      </w:r>
      <w:r w:rsidRPr="00EC250C">
        <w:t>1953</w:t>
      </w:r>
      <w:r w:rsidR="00C91F6E" w:rsidRPr="00EC250C">
        <w:t> r.</w:t>
      </w:r>
      <w:r w:rsidRPr="00EC250C">
        <w:t xml:space="preserve"> W 2008</w:t>
      </w:r>
      <w:r w:rsidR="00C91F6E" w:rsidRPr="00EC250C">
        <w:t> r.</w:t>
      </w:r>
      <w:r w:rsidRPr="00EC250C">
        <w:t xml:space="preserve"> przeszła na tzw. wcześniejszą emeryturę</w:t>
      </w:r>
      <w:r w:rsidR="00992FD0" w:rsidRPr="00EC250C">
        <w:t xml:space="preserve"> w </w:t>
      </w:r>
      <w:r w:rsidRPr="00EC250C">
        <w:t>wieku 55 lat, po przepracowaniu 30 lat. Zrobiła tak samo, jak wcześniej to uczyniły jej koleżanki, Barbara (rocznik 1952)</w:t>
      </w:r>
      <w:r w:rsidR="00992FD0" w:rsidRPr="00EC250C">
        <w:t xml:space="preserve"> i </w:t>
      </w:r>
      <w:r w:rsidRPr="00EC250C">
        <w:t>Anna (rocznik 1949). Wszystkie po otrzymaniu świadczenia liczyły na otrzymanie wyższej emerytury po osiągnięciu wieku emerytalnego</w:t>
      </w:r>
      <w:r w:rsidR="00992FD0" w:rsidRPr="00EC250C">
        <w:t xml:space="preserve"> w </w:t>
      </w:r>
      <w:r w:rsidRPr="00EC250C">
        <w:t>wysokości 60 lat.</w:t>
      </w:r>
    </w:p>
    <w:p w14:paraId="1F5815F5" w14:textId="77777777" w:rsidR="00187708" w:rsidRPr="00EC250C" w:rsidRDefault="00187708" w:rsidP="00D131FA">
      <w:pPr>
        <w:pStyle w:val="Styl1"/>
      </w:pPr>
      <w:r w:rsidRPr="00EC250C">
        <w:t>Tymczasem</w:t>
      </w:r>
      <w:r w:rsidR="00992FD0" w:rsidRPr="00EC250C">
        <w:t xml:space="preserve"> w </w:t>
      </w:r>
      <w:r w:rsidRPr="00EC250C">
        <w:t>maju 2012</w:t>
      </w:r>
      <w:r w:rsidR="00C91F6E" w:rsidRPr="00EC250C">
        <w:t> r.</w:t>
      </w:r>
      <w:r w:rsidRPr="00EC250C">
        <w:t xml:space="preserve"> zmodyfikowano zasady ustalania wysokości emerytury. Zmiana weszła</w:t>
      </w:r>
      <w:r w:rsidR="00992FD0" w:rsidRPr="00EC250C">
        <w:t xml:space="preserve"> w </w:t>
      </w:r>
      <w:r w:rsidRPr="00EC250C">
        <w:t>życie od 1 stycznia 2013</w:t>
      </w:r>
      <w:r w:rsidR="00C91F6E" w:rsidRPr="00EC250C">
        <w:t> r.</w:t>
      </w:r>
      <w:r w:rsidRPr="00EC250C">
        <w:rPr>
          <w:rStyle w:val="Odwoanieprzypisudolnego"/>
        </w:rPr>
        <w:t xml:space="preserve"> </w:t>
      </w:r>
      <w:r w:rsidRPr="00EC250C">
        <w:rPr>
          <w:rStyle w:val="Odwoanieprzypisudolnego"/>
        </w:rPr>
        <w:footnoteReference w:id="486"/>
      </w:r>
      <w:r w:rsidRPr="00EC250C">
        <w:t xml:space="preserve"> Podstawa wymiaru emerytury</w:t>
      </w:r>
      <w:r w:rsidR="00992FD0" w:rsidRPr="00EC250C">
        <w:t xml:space="preserve"> z </w:t>
      </w:r>
      <w:r w:rsidRPr="00EC250C">
        <w:t>tytułu osiągnięcia powszechnego wieku emerytalnego ulega pomniejszeniu</w:t>
      </w:r>
      <w:r w:rsidR="00992FD0" w:rsidRPr="00EC250C">
        <w:t xml:space="preserve"> o </w:t>
      </w:r>
      <w:r w:rsidRPr="00EC250C">
        <w:t>kwotę wcześniej wypłaconych świadczeń emerytalnych (tzw. wcześniejszych emerytur), co automatycznie przekłada się na niższą wysokość przyszłej emerytury. Pani Barbara</w:t>
      </w:r>
      <w:r w:rsidR="00992FD0" w:rsidRPr="00EC250C">
        <w:t xml:space="preserve"> i </w:t>
      </w:r>
      <w:r w:rsidRPr="00EC250C">
        <w:t>pani Anna skorzystały</w:t>
      </w:r>
      <w:r w:rsidR="00992FD0" w:rsidRPr="00EC250C">
        <w:t xml:space="preserve"> z </w:t>
      </w:r>
      <w:r w:rsidRPr="00EC250C">
        <w:t>możliwości złożenia wniosku</w:t>
      </w:r>
      <w:r w:rsidR="00992FD0" w:rsidRPr="00EC250C">
        <w:t xml:space="preserve"> o </w:t>
      </w:r>
      <w:r w:rsidRPr="00EC250C">
        <w:t>przyznanie nowej emerytury jeszcze</w:t>
      </w:r>
      <w:r w:rsidR="00992FD0" w:rsidRPr="00EC250C">
        <w:t xml:space="preserve"> w </w:t>
      </w:r>
      <w:r w:rsidRPr="00EC250C">
        <w:t>2012</w:t>
      </w:r>
      <w:r w:rsidR="00C91F6E" w:rsidRPr="00EC250C">
        <w:t> r.</w:t>
      </w:r>
      <w:r w:rsidRPr="00EC250C">
        <w:t>,</w:t>
      </w:r>
      <w:r w:rsidR="00992FD0" w:rsidRPr="00EC250C">
        <w:t xml:space="preserve"> a </w:t>
      </w:r>
      <w:r w:rsidRPr="00EC250C">
        <w:t>więc pod rządami niezmienionego stanu prawnego.</w:t>
      </w:r>
      <w:r w:rsidR="00D96F0C" w:rsidRPr="00EC250C">
        <w:t xml:space="preserve"> </w:t>
      </w:r>
      <w:r w:rsidRPr="00EC250C">
        <w:t>Takiej możliwości nie miała pani Katarzyna, która 60 lat skończyła</w:t>
      </w:r>
      <w:r w:rsidR="00CC4D88" w:rsidRPr="00EC250C">
        <w:t xml:space="preserve"> </w:t>
      </w:r>
      <w:r w:rsidRPr="00EC250C">
        <w:t>dopiero</w:t>
      </w:r>
      <w:r w:rsidR="00992FD0" w:rsidRPr="00EC250C">
        <w:t xml:space="preserve"> w </w:t>
      </w:r>
      <w:r w:rsidRPr="00EC250C">
        <w:t>2013</w:t>
      </w:r>
      <w:r w:rsidR="00C91F6E" w:rsidRPr="00EC250C">
        <w:t> r.</w:t>
      </w:r>
    </w:p>
    <w:p w14:paraId="114F0F4E" w14:textId="77777777" w:rsidR="00187708" w:rsidRPr="00EC250C" w:rsidRDefault="00187708" w:rsidP="00D131FA">
      <w:pPr>
        <w:pStyle w:val="Styl1"/>
      </w:pPr>
      <w:r w:rsidRPr="00EC250C">
        <w:t>Z danych rządowych wynika, że</w:t>
      </w:r>
      <w:r w:rsidR="00992FD0" w:rsidRPr="00EC250C">
        <w:t xml:space="preserve"> w </w:t>
      </w:r>
      <w:r w:rsidRPr="00EC250C">
        <w:t>sytuacji takiej, jak ona, znalazło się ponad 140 tys. kobiet.</w:t>
      </w:r>
    </w:p>
    <w:p w14:paraId="210AD8C3" w14:textId="77777777" w:rsidR="00187708" w:rsidRPr="00EC250C" w:rsidRDefault="00187708" w:rsidP="00D131FA">
      <w:pPr>
        <w:pStyle w:val="Styl1"/>
      </w:pPr>
      <w:r w:rsidRPr="00EC250C">
        <w:t xml:space="preserve">W tej sprawie </w:t>
      </w:r>
      <w:r w:rsidR="00B04745" w:rsidRPr="00EC250C">
        <w:t>RPO</w:t>
      </w:r>
      <w:r w:rsidRPr="00EC250C">
        <w:t xml:space="preserve"> przystąpił do postępowania przed Trybunałem Konstytucyjnym. Zwrócił się</w:t>
      </w:r>
      <w:r w:rsidRPr="00EC250C">
        <w:rPr>
          <w:rStyle w:val="Odwoanieprzypisudolnego"/>
        </w:rPr>
        <w:footnoteReference w:id="487"/>
      </w:r>
      <w:r w:rsidRPr="00EC250C">
        <w:t xml:space="preserve"> też do Przewodniczącego Komisji Praw Człowieka, Praworządności</w:t>
      </w:r>
      <w:r w:rsidR="00992FD0" w:rsidRPr="00EC250C">
        <w:t xml:space="preserve"> i </w:t>
      </w:r>
      <w:r w:rsidRPr="00EC250C">
        <w:t>Petycji Senatu RP</w:t>
      </w:r>
      <w:r w:rsidR="00992FD0" w:rsidRPr="00EC250C">
        <w:t xml:space="preserve"> o </w:t>
      </w:r>
      <w:r w:rsidRPr="00EC250C">
        <w:t>rozważenie podjęcia inicjatywy ustawodawczej</w:t>
      </w:r>
      <w:r w:rsidR="00992FD0" w:rsidRPr="00EC250C">
        <w:t xml:space="preserve"> w </w:t>
      </w:r>
      <w:r w:rsidRPr="00EC250C">
        <w:t>celu rozwiązania omawianego problemu.</w:t>
      </w:r>
    </w:p>
    <w:p w14:paraId="382A77DF" w14:textId="77777777" w:rsidR="00C91F6E" w:rsidRPr="00EC250C" w:rsidRDefault="00187708" w:rsidP="00D131FA">
      <w:pPr>
        <w:pStyle w:val="Styl1"/>
        <w:rPr>
          <w:rFonts w:eastAsiaTheme="minorHAnsi" w:cstheme="minorBidi"/>
          <w:spacing w:val="0"/>
          <w:szCs w:val="22"/>
          <w:lang w:eastAsia="en-US"/>
        </w:rPr>
      </w:pPr>
      <w:r w:rsidRPr="00EC250C">
        <w:t>Trybunał Konstytucyjny</w:t>
      </w:r>
      <w:r w:rsidR="00992FD0" w:rsidRPr="00EC250C">
        <w:t xml:space="preserve"> w </w:t>
      </w:r>
      <w:r w:rsidRPr="00EC250C">
        <w:t>2019</w:t>
      </w:r>
      <w:r w:rsidR="00C91F6E" w:rsidRPr="00EC250C">
        <w:t> r.</w:t>
      </w:r>
      <w:r w:rsidRPr="00EC250C">
        <w:t xml:space="preserve"> uznał kwestionowane przepisy za niekonstytucyjne. Niestety, stało się to na tyle późno, że dla większości zainteresowanych minął pięcioletni okres na uchylenie niekorzystnej decyzji</w:t>
      </w:r>
      <w:r w:rsidR="00D96F0C" w:rsidRPr="00EC250C">
        <w:t xml:space="preserve"> ZUS</w:t>
      </w:r>
      <w:r w:rsidRPr="00EC250C">
        <w:t>. Zdaniem RPO</w:t>
      </w:r>
      <w:r w:rsidR="00992FD0" w:rsidRPr="00EC250C">
        <w:t xml:space="preserve"> w </w:t>
      </w:r>
      <w:r w:rsidRPr="00EC250C">
        <w:t>tej sytuacji konieczna jest zmiana prawa, co zresztą wynika</w:t>
      </w:r>
      <w:r w:rsidR="00992FD0" w:rsidRPr="00EC250C">
        <w:t xml:space="preserve"> z </w:t>
      </w:r>
      <w:r w:rsidRPr="00EC250C">
        <w:t>pisemnego uzasadnienia wyroku Trybunału Konstytucyjnego</w:t>
      </w:r>
      <w:r w:rsidRPr="00EC250C">
        <w:rPr>
          <w:rStyle w:val="Odwoanieprzypisudolnego"/>
        </w:rPr>
        <w:footnoteReference w:id="488"/>
      </w:r>
      <w:r w:rsidRPr="00EC250C">
        <w:t>.</w:t>
      </w:r>
      <w:r w:rsidR="0044194B" w:rsidRPr="00EC250C">
        <w:t xml:space="preserve"> </w:t>
      </w:r>
      <w:r w:rsidR="0044194B" w:rsidRPr="00EC250C">
        <w:rPr>
          <w:rFonts w:eastAsia="Calibri"/>
          <w:spacing w:val="0"/>
          <w:szCs w:val="22"/>
          <w:lang w:eastAsia="en-US"/>
        </w:rPr>
        <w:t>Rzecznik zwrócił się</w:t>
      </w:r>
      <w:r w:rsidR="00992FD0" w:rsidRPr="00EC250C">
        <w:rPr>
          <w:rFonts w:eastAsia="Calibri"/>
          <w:spacing w:val="0"/>
          <w:szCs w:val="22"/>
          <w:lang w:eastAsia="en-US"/>
        </w:rPr>
        <w:t xml:space="preserve"> o </w:t>
      </w:r>
      <w:r w:rsidR="0044194B" w:rsidRPr="00EC250C">
        <w:rPr>
          <w:rFonts w:eastAsia="Calibri"/>
          <w:spacing w:val="0"/>
          <w:szCs w:val="22"/>
          <w:lang w:eastAsia="en-US"/>
        </w:rPr>
        <w:t>zainicjowanie takich zmian do Ministra Rodziny, Pracy</w:t>
      </w:r>
      <w:r w:rsidR="00992FD0" w:rsidRPr="00EC250C">
        <w:rPr>
          <w:rFonts w:eastAsia="Calibri"/>
          <w:spacing w:val="0"/>
          <w:szCs w:val="22"/>
          <w:lang w:eastAsia="en-US"/>
        </w:rPr>
        <w:t xml:space="preserve"> i </w:t>
      </w:r>
      <w:r w:rsidR="0044194B" w:rsidRPr="00EC250C">
        <w:rPr>
          <w:rFonts w:eastAsia="Calibri"/>
        </w:rPr>
        <w:t>P</w:t>
      </w:r>
      <w:r w:rsidR="0044194B" w:rsidRPr="00EC250C">
        <w:rPr>
          <w:rFonts w:eastAsia="Calibri"/>
          <w:spacing w:val="0"/>
          <w:szCs w:val="22"/>
          <w:lang w:eastAsia="en-US"/>
        </w:rPr>
        <w:t>olityki Społecznej.</w:t>
      </w:r>
    </w:p>
    <w:p w14:paraId="50458758" w14:textId="77777777" w:rsidR="00187708" w:rsidRPr="00EC250C" w:rsidRDefault="0044194B" w:rsidP="00D131FA">
      <w:pPr>
        <w:pStyle w:val="Styl1"/>
      </w:pPr>
      <w:r w:rsidRPr="00EC250C">
        <w:rPr>
          <w:rFonts w:eastAsiaTheme="minorHAnsi" w:cstheme="minorBidi"/>
          <w:spacing w:val="0"/>
          <w:szCs w:val="22"/>
          <w:lang w:eastAsia="en-US"/>
        </w:rPr>
        <w:t>8 maja 2019</w:t>
      </w:r>
      <w:r w:rsidR="00C91F6E" w:rsidRPr="00EC250C">
        <w:rPr>
          <w:rFonts w:eastAsiaTheme="minorHAnsi" w:cstheme="minorBidi"/>
          <w:spacing w:val="0"/>
          <w:szCs w:val="22"/>
          <w:lang w:eastAsia="en-US"/>
        </w:rPr>
        <w:t> r.</w:t>
      </w:r>
      <w:r w:rsidRPr="00EC250C">
        <w:rPr>
          <w:rFonts w:eastAsiaTheme="minorHAnsi" w:cstheme="minorBidi"/>
          <w:spacing w:val="0"/>
          <w:szCs w:val="22"/>
          <w:lang w:eastAsia="en-US"/>
        </w:rPr>
        <w:t xml:space="preserve"> Komisja Ustawodawcza Senatu postanowiła podjąć inicjatywę ustawodawczą</w:t>
      </w:r>
      <w:r w:rsidR="00992FD0" w:rsidRPr="00EC250C">
        <w:rPr>
          <w:rFonts w:eastAsiaTheme="minorHAnsi" w:cstheme="minorBidi"/>
          <w:spacing w:val="0"/>
          <w:szCs w:val="22"/>
          <w:lang w:eastAsia="en-US"/>
        </w:rPr>
        <w:t xml:space="preserve"> w </w:t>
      </w:r>
      <w:r w:rsidRPr="00EC250C">
        <w:rPr>
          <w:rFonts w:eastAsiaTheme="minorHAnsi" w:cstheme="minorBidi"/>
          <w:spacing w:val="0"/>
          <w:szCs w:val="22"/>
          <w:lang w:eastAsia="en-US"/>
        </w:rPr>
        <w:t>tej sprawie.</w:t>
      </w:r>
    </w:p>
    <w:p w14:paraId="166612F0" w14:textId="77777777" w:rsidR="00187708" w:rsidRPr="00EC250C" w:rsidRDefault="00187708" w:rsidP="00EC79EB">
      <w:pPr>
        <w:pStyle w:val="Nagwek4"/>
      </w:pPr>
      <w:bookmarkStart w:id="486" w:name="_Toc6257859"/>
      <w:bookmarkStart w:id="487" w:name="_Toc11247735"/>
      <w:bookmarkStart w:id="488" w:name="_Hlk7007966"/>
      <w:r w:rsidRPr="00EC250C">
        <w:t xml:space="preserve">Wysokość emerytury </w:t>
      </w:r>
      <w:r w:rsidR="000A7975" w:rsidRPr="00EC250C">
        <w:t>zależna</w:t>
      </w:r>
      <w:r w:rsidRPr="00EC250C">
        <w:t xml:space="preserve"> od miesiąca,</w:t>
      </w:r>
      <w:r w:rsidR="00992FD0" w:rsidRPr="00EC250C">
        <w:t xml:space="preserve"> w </w:t>
      </w:r>
      <w:r w:rsidRPr="00EC250C">
        <w:t>którym został złożony wniosek</w:t>
      </w:r>
      <w:bookmarkEnd w:id="486"/>
      <w:r w:rsidRPr="00EC250C">
        <w:t xml:space="preserve"> </w:t>
      </w:r>
      <w:r w:rsidR="00D96F0C" w:rsidRPr="00EC250C">
        <w:t>(emerytury „czerwcowe”)</w:t>
      </w:r>
      <w:bookmarkEnd w:id="487"/>
    </w:p>
    <w:p w14:paraId="64F13E1A" w14:textId="77777777" w:rsidR="00B473F5" w:rsidRPr="00EC250C" w:rsidRDefault="00187708" w:rsidP="00D131FA">
      <w:pPr>
        <w:pStyle w:val="Problemczowieka"/>
        <w:jc w:val="both"/>
      </w:pPr>
      <w:bookmarkStart w:id="489" w:name="_Hlk8210276"/>
      <w:r w:rsidRPr="00EC250C">
        <w:rPr>
          <w:bdr w:val="none" w:sz="0" w:space="0" w:color="auto" w:frame="1"/>
        </w:rPr>
        <w:t>Najniższą emeryturę dostaje się</w:t>
      </w:r>
      <w:r w:rsidR="00992FD0" w:rsidRPr="00EC250C">
        <w:rPr>
          <w:bdr w:val="none" w:sz="0" w:space="0" w:color="auto" w:frame="1"/>
        </w:rPr>
        <w:t xml:space="preserve"> w </w:t>
      </w:r>
      <w:r w:rsidRPr="00EC250C">
        <w:rPr>
          <w:bdr w:val="none" w:sz="0" w:space="0" w:color="auto" w:frame="1"/>
        </w:rPr>
        <w:t>Polsce, jeśli wniosek</w:t>
      </w:r>
      <w:r w:rsidR="00992FD0" w:rsidRPr="00EC250C">
        <w:rPr>
          <w:bdr w:val="none" w:sz="0" w:space="0" w:color="auto" w:frame="1"/>
        </w:rPr>
        <w:t xml:space="preserve"> o </w:t>
      </w:r>
      <w:r w:rsidRPr="00EC250C">
        <w:rPr>
          <w:bdr w:val="none" w:sz="0" w:space="0" w:color="auto" w:frame="1"/>
        </w:rPr>
        <w:t xml:space="preserve">nią </w:t>
      </w:r>
      <w:r w:rsidR="00D96F0C" w:rsidRPr="00EC250C">
        <w:rPr>
          <w:bdr w:val="none" w:sz="0" w:space="0" w:color="auto" w:frame="1"/>
        </w:rPr>
        <w:t>złoży się</w:t>
      </w:r>
      <w:r w:rsidR="00992FD0" w:rsidRPr="00EC250C">
        <w:rPr>
          <w:bdr w:val="none" w:sz="0" w:space="0" w:color="auto" w:frame="1"/>
        </w:rPr>
        <w:t xml:space="preserve"> w </w:t>
      </w:r>
      <w:r w:rsidRPr="00EC250C">
        <w:t>czerwcu. Wynika to ze sposobu,</w:t>
      </w:r>
      <w:r w:rsidR="00992FD0" w:rsidRPr="00EC250C">
        <w:t xml:space="preserve"> w </w:t>
      </w:r>
      <w:r w:rsidRPr="00EC250C">
        <w:t>jaki ZUS waloryzuje sk</w:t>
      </w:r>
      <w:r w:rsidRPr="00EC250C">
        <w:rPr>
          <w:rFonts w:hint="eastAsia"/>
        </w:rPr>
        <w:t>ł</w:t>
      </w:r>
      <w:r w:rsidRPr="00EC250C">
        <w:t>adki</w:t>
      </w:r>
      <w:r w:rsidR="00B473F5" w:rsidRPr="00EC250C">
        <w:t>.</w:t>
      </w:r>
    </w:p>
    <w:bookmarkEnd w:id="489"/>
    <w:p w14:paraId="15E85F23" w14:textId="77777777" w:rsidR="00187708" w:rsidRPr="00EC250C" w:rsidRDefault="003A663A" w:rsidP="00D131FA">
      <w:pPr>
        <w:pStyle w:val="Styl1"/>
      </w:pPr>
      <w:r w:rsidRPr="00EC250C">
        <w:lastRenderedPageBreak/>
        <w:t>Składki emerytalne ZUS waloryzuje rocznie,</w:t>
      </w:r>
      <w:r w:rsidR="00992FD0" w:rsidRPr="00EC250C">
        <w:t xml:space="preserve"> a </w:t>
      </w:r>
      <w:r w:rsidRPr="00EC250C">
        <w:t>kwartalnie</w:t>
      </w:r>
      <w:r w:rsidR="00026572" w:rsidRPr="00EC250C">
        <w:t xml:space="preserve"> – </w:t>
      </w:r>
      <w:r w:rsidRPr="00EC250C">
        <w:t>o</w:t>
      </w:r>
      <w:r w:rsidR="00187708" w:rsidRPr="00EC250C">
        <w:t>d stycznia do maja</w:t>
      </w:r>
      <w:r w:rsidR="00992FD0" w:rsidRPr="00EC250C">
        <w:t xml:space="preserve"> i </w:t>
      </w:r>
      <w:r w:rsidR="00187708" w:rsidRPr="00EC250C">
        <w:t xml:space="preserve">od lipca do grudnia. </w:t>
      </w:r>
      <w:r w:rsidRPr="00EC250C">
        <w:t>Z waloryzacji wyłączony jest czerwiec:</w:t>
      </w:r>
      <w:r w:rsidR="00992FD0" w:rsidRPr="00EC250C">
        <w:t xml:space="preserve"> w </w:t>
      </w:r>
      <w:r w:rsidR="00187708" w:rsidRPr="00EC250C">
        <w:t>przypadku ustalania wysokości emerytury</w:t>
      </w:r>
      <w:r w:rsidR="00992FD0" w:rsidRPr="00EC250C">
        <w:t xml:space="preserve"> w </w:t>
      </w:r>
      <w:r w:rsidR="00187708" w:rsidRPr="00EC250C">
        <w:t xml:space="preserve">czerwcu, kwota składek poddana zostaje tylko waloryzacji rocznej. </w:t>
      </w:r>
      <w:r w:rsidRPr="00EC250C">
        <w:t>To wynika</w:t>
      </w:r>
      <w:r w:rsidR="00992FD0" w:rsidRPr="00EC250C">
        <w:t xml:space="preserve"> z </w:t>
      </w:r>
      <w:r w:rsidRPr="00EC250C">
        <w:t>praktyki ZUS.</w:t>
      </w:r>
    </w:p>
    <w:p w14:paraId="0E968694" w14:textId="77777777" w:rsidR="00187708" w:rsidRPr="00EC250C" w:rsidRDefault="00187708" w:rsidP="00D131FA">
      <w:pPr>
        <w:pStyle w:val="Styl1"/>
      </w:pPr>
      <w:bookmarkStart w:id="490" w:name="_Hlk6933430"/>
      <w:r w:rsidRPr="00EC250C">
        <w:t>11 października 2017</w:t>
      </w:r>
      <w:r w:rsidR="00C91F6E" w:rsidRPr="00EC250C">
        <w:t> r.</w:t>
      </w:r>
      <w:r w:rsidRPr="00EC250C">
        <w:t xml:space="preserve"> </w:t>
      </w:r>
      <w:r w:rsidR="00B04745" w:rsidRPr="00EC250C">
        <w:t>Minister R</w:t>
      </w:r>
      <w:r w:rsidRPr="00EC250C">
        <w:t>odziny</w:t>
      </w:r>
      <w:r w:rsidR="00B04745" w:rsidRPr="00EC250C">
        <w:t xml:space="preserve">, Pracy i Polityki Społeczbej </w:t>
      </w:r>
      <w:r w:rsidRPr="00EC250C">
        <w:t xml:space="preserve">zapewnił </w:t>
      </w:r>
      <w:r w:rsidR="00B04745" w:rsidRPr="00EC250C">
        <w:t>RPO</w:t>
      </w:r>
      <w:r w:rsidRPr="00EC250C">
        <w:t>, że sprawą się zajmie. Jako jedno</w:t>
      </w:r>
      <w:r w:rsidR="00992FD0" w:rsidRPr="00EC250C">
        <w:t xml:space="preserve"> z </w:t>
      </w:r>
      <w:r w:rsidRPr="00EC250C">
        <w:t>możliwych rozwiązań wskazano wtedy wprowadzenie zasady, że</w:t>
      </w:r>
      <w:r w:rsidR="00992FD0" w:rsidRPr="00EC250C">
        <w:t xml:space="preserve"> w </w:t>
      </w:r>
      <w:r w:rsidRPr="00EC250C">
        <w:t>przypadku zgłoszenia przez ubezpieczonego wniosku</w:t>
      </w:r>
      <w:r w:rsidR="00992FD0" w:rsidRPr="00EC250C">
        <w:t xml:space="preserve"> o </w:t>
      </w:r>
      <w:r w:rsidRPr="00EC250C">
        <w:t>emeryturę</w:t>
      </w:r>
      <w:r w:rsidR="00992FD0" w:rsidRPr="00EC250C">
        <w:t xml:space="preserve"> w </w:t>
      </w:r>
      <w:r w:rsidRPr="00EC250C">
        <w:t>czerwcu, ZUS ustalałby podstawę obliczenia emerytury tak samo, jak miesiąc wcześniej, gdyby było to dla zainteresowanego korzystniejsze. W kolejnej odpowiedzi</w:t>
      </w:r>
      <w:r w:rsidR="00992FD0" w:rsidRPr="00EC250C">
        <w:t xml:space="preserve"> z </w:t>
      </w:r>
      <w:r w:rsidRPr="00EC250C">
        <w:t>25 kwietnia 2018</w:t>
      </w:r>
      <w:r w:rsidR="00C91F6E" w:rsidRPr="00EC250C">
        <w:t> r.</w:t>
      </w:r>
      <w:r w:rsidRPr="00EC250C">
        <w:t xml:space="preserve"> wskazano, że ostateczna decyzja nie została jeszcze podjęta.</w:t>
      </w:r>
    </w:p>
    <w:p w14:paraId="3FB58C78" w14:textId="77777777" w:rsidR="00187708" w:rsidRPr="00EC250C" w:rsidRDefault="00187708" w:rsidP="00D131FA">
      <w:pPr>
        <w:pStyle w:val="Styl1"/>
      </w:pPr>
      <w:r w:rsidRPr="00EC250C">
        <w:t xml:space="preserve">Z informacji dostępnych </w:t>
      </w:r>
      <w:r w:rsidR="00D76DC6" w:rsidRPr="00EC250C">
        <w:t>RPO</w:t>
      </w:r>
      <w:r w:rsidRPr="00EC250C">
        <w:t xml:space="preserve"> wynika, że żadne działania, czy to dotyczące zmiany przyjętej</w:t>
      </w:r>
      <w:r w:rsidR="00CC4D88" w:rsidRPr="00EC250C">
        <w:t xml:space="preserve"> </w:t>
      </w:r>
      <w:r w:rsidRPr="00EC250C">
        <w:t>wykładni, czy też na gruncie legislacyjnym nie zostały podjęte.</w:t>
      </w:r>
    </w:p>
    <w:p w14:paraId="32DAB3FB" w14:textId="77777777" w:rsidR="00187708" w:rsidRPr="00EC250C" w:rsidRDefault="00187708" w:rsidP="00D131FA">
      <w:pPr>
        <w:pStyle w:val="Styl1"/>
      </w:pPr>
      <w:r w:rsidRPr="00EC250C">
        <w:t>Problem jest szczególnie dotkliwy</w:t>
      </w:r>
      <w:r w:rsidR="00992FD0" w:rsidRPr="00EC250C">
        <w:t xml:space="preserve"> w </w:t>
      </w:r>
      <w:r w:rsidRPr="00EC250C">
        <w:t>przypadku osób, które nie mogły zdecydować, kiedy przejdą na emeryturę. Dotyczy to np. osób, które dostają emeryturę</w:t>
      </w:r>
      <w:r w:rsidR="00992FD0" w:rsidRPr="00EC250C">
        <w:t xml:space="preserve"> z </w:t>
      </w:r>
      <w:r w:rsidRPr="00EC250C">
        <w:t>urzędu</w:t>
      </w:r>
      <w:r w:rsidR="00992FD0" w:rsidRPr="00EC250C">
        <w:t xml:space="preserve"> w </w:t>
      </w:r>
      <w:r w:rsidRPr="00EC250C">
        <w:t>miejsce dotychczas pobieranej renty</w:t>
      </w:r>
      <w:r w:rsidR="00992FD0" w:rsidRPr="00EC250C">
        <w:t xml:space="preserve"> z </w:t>
      </w:r>
      <w:r w:rsidRPr="00EC250C">
        <w:t>tytułu niezdolności do pracy,</w:t>
      </w:r>
      <w:r w:rsidR="00992FD0" w:rsidRPr="00EC250C">
        <w:t xml:space="preserve"> a </w:t>
      </w:r>
      <w:r w:rsidRPr="00EC250C">
        <w:t>wiek emerytalny osiągają</w:t>
      </w:r>
      <w:r w:rsidR="00992FD0" w:rsidRPr="00EC250C">
        <w:t xml:space="preserve"> w </w:t>
      </w:r>
      <w:r w:rsidRPr="00EC250C">
        <w:t>czerwcu. Negatywne skutki mogą dotyczyć również osób pobierających świadczenie przedemerytalne czy emeryturę pomostową, do których prawo ustaje</w:t>
      </w:r>
      <w:r w:rsidR="00992FD0" w:rsidRPr="00EC250C">
        <w:t xml:space="preserve"> z </w:t>
      </w:r>
      <w:r w:rsidRPr="00EC250C">
        <w:t>dniem osiągnięcia wieku emerytalnego.</w:t>
      </w:r>
    </w:p>
    <w:bookmarkEnd w:id="490"/>
    <w:p w14:paraId="0B377C9A" w14:textId="77777777" w:rsidR="00187708" w:rsidRPr="00EC250C" w:rsidRDefault="00187708" w:rsidP="00D131FA">
      <w:pPr>
        <w:pStyle w:val="Styl1"/>
      </w:pPr>
      <w:r w:rsidRPr="00EC250C">
        <w:t>Stąd ponowne wystąpienie</w:t>
      </w:r>
      <w:r w:rsidR="00992FD0" w:rsidRPr="00EC250C">
        <w:t xml:space="preserve"> w </w:t>
      </w:r>
      <w:r w:rsidRPr="00EC250C">
        <w:t>tej sprawie</w:t>
      </w:r>
      <w:r w:rsidRPr="00EC250C">
        <w:rPr>
          <w:rStyle w:val="Odwoanieprzypisudolnego"/>
          <w:bCs/>
          <w:iCs/>
        </w:rPr>
        <w:footnoteReference w:id="489"/>
      </w:r>
      <w:r w:rsidRPr="00EC250C">
        <w:rPr>
          <w:bCs/>
          <w:iCs/>
        </w:rPr>
        <w:t>.</w:t>
      </w:r>
    </w:p>
    <w:bookmarkEnd w:id="488"/>
    <w:p w14:paraId="6AB3E04E" w14:textId="77777777" w:rsidR="00187708" w:rsidRPr="00EC250C" w:rsidRDefault="00187708" w:rsidP="00EC250C">
      <w:pPr>
        <w:pStyle w:val="Nagwek8"/>
      </w:pPr>
      <w:r w:rsidRPr="00EC250C">
        <w:t>Matka bez dodatku do zasiłku</w:t>
      </w:r>
      <w:r w:rsidR="00992FD0" w:rsidRPr="00EC250C">
        <w:t xml:space="preserve"> z </w:t>
      </w:r>
      <w:r w:rsidRPr="00EC250C">
        <w:t>tytułu wychowywania dziecka</w:t>
      </w:r>
      <w:r w:rsidR="00992FD0" w:rsidRPr="00EC250C">
        <w:t xml:space="preserve"> w </w:t>
      </w:r>
      <w:r w:rsidRPr="00EC250C">
        <w:t>rodzinie wielodzietnej. Bez powodu</w:t>
      </w:r>
    </w:p>
    <w:p w14:paraId="11B111AA" w14:textId="77777777" w:rsidR="00187708" w:rsidRPr="00EC250C" w:rsidRDefault="00187708" w:rsidP="00D131FA">
      <w:pPr>
        <w:pStyle w:val="Styl2"/>
        <w:rPr>
          <w:szCs w:val="24"/>
        </w:rPr>
      </w:pPr>
      <w:r w:rsidRPr="00EC250C">
        <w:rPr>
          <w:szCs w:val="24"/>
        </w:rPr>
        <w:t>Matka złożyła do gminnego ośrodka pomocy społecznej wniosek</w:t>
      </w:r>
      <w:r w:rsidR="00992FD0" w:rsidRPr="00EC250C">
        <w:rPr>
          <w:szCs w:val="24"/>
        </w:rPr>
        <w:t xml:space="preserve"> o </w:t>
      </w:r>
      <w:r w:rsidRPr="00EC250C">
        <w:rPr>
          <w:szCs w:val="24"/>
        </w:rPr>
        <w:t>dodatek do zasiłku rodzinnego</w:t>
      </w:r>
      <w:r w:rsidR="00992FD0" w:rsidRPr="00EC250C">
        <w:rPr>
          <w:szCs w:val="24"/>
        </w:rPr>
        <w:t xml:space="preserve"> z </w:t>
      </w:r>
      <w:r w:rsidRPr="00EC250C">
        <w:rPr>
          <w:szCs w:val="24"/>
        </w:rPr>
        <w:t>tytułu wychowywania dziecka</w:t>
      </w:r>
      <w:r w:rsidR="00992FD0" w:rsidRPr="00EC250C">
        <w:rPr>
          <w:szCs w:val="24"/>
        </w:rPr>
        <w:t xml:space="preserve"> w </w:t>
      </w:r>
      <w:r w:rsidRPr="00EC250C">
        <w:rPr>
          <w:szCs w:val="24"/>
        </w:rPr>
        <w:t>rodzinie wielodzietnej. Nie dostała jednak żadnej odpowiedzi. Pracownicy GOPS stwierdzili po prostu, że dodatek się nie należy.</w:t>
      </w:r>
    </w:p>
    <w:p w14:paraId="50FF6DDD" w14:textId="77777777" w:rsidR="00882B7A" w:rsidRPr="00EC250C" w:rsidRDefault="00187708" w:rsidP="00D131FA">
      <w:pPr>
        <w:pStyle w:val="Styl2"/>
        <w:rPr>
          <w:szCs w:val="24"/>
        </w:rPr>
      </w:pPr>
      <w:r w:rsidRPr="00EC250C">
        <w:rPr>
          <w:szCs w:val="24"/>
        </w:rPr>
        <w:t>Po interwencji RPO okazało się, że gmina zastanawiała się, czy na najmłodsze dziecko należy się dodatek</w:t>
      </w:r>
      <w:r w:rsidR="003A663A" w:rsidRPr="00EC250C">
        <w:rPr>
          <w:szCs w:val="24"/>
        </w:rPr>
        <w:t>,</w:t>
      </w:r>
      <w:r w:rsidR="00992FD0" w:rsidRPr="00EC250C">
        <w:rPr>
          <w:szCs w:val="24"/>
        </w:rPr>
        <w:t xml:space="preserve"> i </w:t>
      </w:r>
      <w:r w:rsidRPr="00EC250C">
        <w:rPr>
          <w:szCs w:val="24"/>
        </w:rPr>
        <w:t>konsultowała to</w:t>
      </w:r>
      <w:r w:rsidR="00992FD0" w:rsidRPr="00EC250C">
        <w:rPr>
          <w:szCs w:val="24"/>
        </w:rPr>
        <w:t xml:space="preserve"> z </w:t>
      </w:r>
      <w:r w:rsidRPr="00EC250C">
        <w:rPr>
          <w:szCs w:val="24"/>
        </w:rPr>
        <w:t xml:space="preserve">regionalnym ośrodkiem pomocy społecznej oraz zewnętrzną firmą prawniczą. Po interwencji RPO </w:t>
      </w:r>
      <w:r w:rsidR="00882B7A" w:rsidRPr="00EC250C">
        <w:rPr>
          <w:szCs w:val="24"/>
        </w:rPr>
        <w:t>wojewoda napisał do gminy pismo rozwiewając jej wątpliwości:</w:t>
      </w:r>
      <w:r w:rsidRPr="00EC250C">
        <w:rPr>
          <w:szCs w:val="24"/>
        </w:rPr>
        <w:t xml:space="preserve"> „nieuzasadnione jest dalsze narażanie Strony na przewlekłość postępowania</w:t>
      </w:r>
      <w:r w:rsidR="00992FD0" w:rsidRPr="00EC250C">
        <w:rPr>
          <w:szCs w:val="24"/>
        </w:rPr>
        <w:t xml:space="preserve"> i </w:t>
      </w:r>
      <w:r w:rsidRPr="00EC250C">
        <w:rPr>
          <w:szCs w:val="24"/>
        </w:rPr>
        <w:t>brak świadczeń rodzinnych gwarantowanych ustawowo przez Państwo” oraz że „nie istnieją żadne negatywne przesłanki do ustalenia przez Gminny Ośrodek Pomocy Społecznej</w:t>
      </w:r>
      <w:r w:rsidR="00992FD0" w:rsidRPr="00EC250C">
        <w:rPr>
          <w:szCs w:val="24"/>
        </w:rPr>
        <w:t xml:space="preserve"> w </w:t>
      </w:r>
      <w:r w:rsidRPr="00EC250C">
        <w:rPr>
          <w:szCs w:val="24"/>
        </w:rPr>
        <w:t>[…], który jest organem właściwym, prawa do dodatku do zasiłku</w:t>
      </w:r>
      <w:r w:rsidR="00992FD0" w:rsidRPr="00EC250C">
        <w:rPr>
          <w:szCs w:val="24"/>
        </w:rPr>
        <w:t xml:space="preserve"> z </w:t>
      </w:r>
      <w:r w:rsidRPr="00EC250C">
        <w:rPr>
          <w:szCs w:val="24"/>
        </w:rPr>
        <w:t>tytułu wychowywania dziecka</w:t>
      </w:r>
      <w:r w:rsidR="00992FD0" w:rsidRPr="00EC250C">
        <w:rPr>
          <w:szCs w:val="24"/>
        </w:rPr>
        <w:t xml:space="preserve"> w </w:t>
      </w:r>
      <w:r w:rsidRPr="00EC250C">
        <w:rPr>
          <w:szCs w:val="24"/>
        </w:rPr>
        <w:t>rodzinie wielodzietnej na dziecko”</w:t>
      </w:r>
      <w:r w:rsidR="00685A94" w:rsidRPr="00EC250C">
        <w:rPr>
          <w:szCs w:val="24"/>
        </w:rPr>
        <w:t xml:space="preserve">. </w:t>
      </w:r>
    </w:p>
    <w:p w14:paraId="72269F95" w14:textId="77777777" w:rsidR="00187708" w:rsidRPr="00EC250C" w:rsidRDefault="00187708" w:rsidP="00D131FA">
      <w:pPr>
        <w:pStyle w:val="Styl2"/>
        <w:rPr>
          <w:szCs w:val="24"/>
        </w:rPr>
      </w:pPr>
      <w:r w:rsidRPr="00EC250C">
        <w:rPr>
          <w:szCs w:val="24"/>
        </w:rPr>
        <w:t>Rodzina dodatek dostała</w:t>
      </w:r>
      <w:r w:rsidRPr="00EC250C">
        <w:rPr>
          <w:rStyle w:val="Odwoanieprzypisudolnego"/>
          <w:szCs w:val="24"/>
        </w:rPr>
        <w:footnoteReference w:id="490"/>
      </w:r>
      <w:r w:rsidR="003A663A" w:rsidRPr="00EC250C">
        <w:rPr>
          <w:szCs w:val="24"/>
        </w:rPr>
        <w:t>.</w:t>
      </w:r>
    </w:p>
    <w:p w14:paraId="4EC51156" w14:textId="77777777" w:rsidR="00E1331E" w:rsidRPr="00EC250C" w:rsidRDefault="00E1331E" w:rsidP="00EC79EB">
      <w:pPr>
        <w:pStyle w:val="Nagwek4"/>
      </w:pPr>
      <w:bookmarkStart w:id="491" w:name="_Toc6257864"/>
      <w:bookmarkStart w:id="492" w:name="_Toc11247736"/>
      <w:bookmarkStart w:id="493" w:name="_Toc6257860"/>
      <w:r w:rsidRPr="00EC250C">
        <w:lastRenderedPageBreak/>
        <w:t>Problem systemu emerytalnego dla twórców i artystów</w:t>
      </w:r>
      <w:bookmarkEnd w:id="491"/>
      <w:bookmarkEnd w:id="492"/>
    </w:p>
    <w:p w14:paraId="7936F3F8" w14:textId="77777777" w:rsidR="00B473F5" w:rsidRPr="00EC250C" w:rsidRDefault="00E1331E" w:rsidP="00D131FA">
      <w:pPr>
        <w:pStyle w:val="Problemczowieka"/>
        <w:jc w:val="both"/>
        <w:rPr>
          <w:rStyle w:val="Pogrubienie"/>
          <w:rFonts w:eastAsiaTheme="majorEastAsia"/>
          <w:b/>
          <w:bCs w:val="0"/>
        </w:rPr>
      </w:pPr>
      <w:r w:rsidRPr="00EC250C">
        <w:rPr>
          <w:rStyle w:val="Pogrubienie"/>
          <w:rFonts w:eastAsiaTheme="majorEastAsia"/>
          <w:b/>
          <w:bCs w:val="0"/>
        </w:rPr>
        <w:t>Tw</w:t>
      </w:r>
      <w:r w:rsidRPr="00EC250C">
        <w:rPr>
          <w:rStyle w:val="Pogrubienie"/>
          <w:rFonts w:eastAsiaTheme="majorEastAsia" w:hint="eastAsia"/>
          <w:b/>
          <w:bCs w:val="0"/>
        </w:rPr>
        <w:t>ó</w:t>
      </w:r>
      <w:r w:rsidRPr="00EC250C">
        <w:rPr>
          <w:rStyle w:val="Pogrubienie"/>
          <w:rFonts w:eastAsiaTheme="majorEastAsia"/>
          <w:b/>
          <w:bCs w:val="0"/>
        </w:rPr>
        <w:t>rcy prowadz</w:t>
      </w:r>
      <w:r w:rsidRPr="00EC250C">
        <w:rPr>
          <w:rStyle w:val="Pogrubienie"/>
          <w:rFonts w:eastAsiaTheme="majorEastAsia" w:hint="eastAsia"/>
          <w:b/>
          <w:bCs w:val="0"/>
        </w:rPr>
        <w:t>ą</w:t>
      </w:r>
      <w:r w:rsidRPr="00EC250C">
        <w:rPr>
          <w:rStyle w:val="Pogrubienie"/>
          <w:rFonts w:eastAsiaTheme="majorEastAsia"/>
          <w:b/>
          <w:bCs w:val="0"/>
        </w:rPr>
        <w:t>cy dzia</w:t>
      </w:r>
      <w:r w:rsidRPr="00EC250C">
        <w:rPr>
          <w:rStyle w:val="Pogrubienie"/>
          <w:rFonts w:eastAsiaTheme="majorEastAsia" w:hint="eastAsia"/>
          <w:b/>
          <w:bCs w:val="0"/>
        </w:rPr>
        <w:t>ł</w:t>
      </w:r>
      <w:r w:rsidRPr="00EC250C">
        <w:rPr>
          <w:rStyle w:val="Pogrubienie"/>
          <w:rFonts w:eastAsiaTheme="majorEastAsia"/>
          <w:b/>
          <w:bCs w:val="0"/>
        </w:rPr>
        <w:t>alno</w:t>
      </w:r>
      <w:r w:rsidRPr="00EC250C">
        <w:rPr>
          <w:rStyle w:val="Pogrubienie"/>
          <w:rFonts w:eastAsiaTheme="majorEastAsia" w:hint="eastAsia"/>
          <w:b/>
          <w:bCs w:val="0"/>
        </w:rPr>
        <w:t>ść</w:t>
      </w:r>
      <w:r w:rsidRPr="00EC250C">
        <w:rPr>
          <w:rStyle w:val="Pogrubienie"/>
          <w:rFonts w:eastAsiaTheme="majorEastAsia"/>
          <w:b/>
          <w:bCs w:val="0"/>
        </w:rPr>
        <w:t xml:space="preserve"> bez sta</w:t>
      </w:r>
      <w:r w:rsidRPr="00EC250C">
        <w:rPr>
          <w:rStyle w:val="Pogrubienie"/>
          <w:rFonts w:eastAsiaTheme="majorEastAsia" w:hint="eastAsia"/>
          <w:b/>
          <w:bCs w:val="0"/>
        </w:rPr>
        <w:t>ł</w:t>
      </w:r>
      <w:r w:rsidRPr="00EC250C">
        <w:rPr>
          <w:rStyle w:val="Pogrubienie"/>
          <w:rFonts w:eastAsiaTheme="majorEastAsia"/>
          <w:b/>
          <w:bCs w:val="0"/>
        </w:rPr>
        <w:t>ego zatrudnienia nie maj</w:t>
      </w:r>
      <w:r w:rsidRPr="00EC250C">
        <w:rPr>
          <w:rStyle w:val="Pogrubienie"/>
          <w:rFonts w:eastAsiaTheme="majorEastAsia" w:hint="eastAsia"/>
          <w:b/>
          <w:bCs w:val="0"/>
        </w:rPr>
        <w:t>ą</w:t>
      </w:r>
      <w:r w:rsidRPr="00EC250C">
        <w:rPr>
          <w:rStyle w:val="Pogrubienie"/>
          <w:rFonts w:eastAsiaTheme="majorEastAsia"/>
          <w:b/>
          <w:bCs w:val="0"/>
        </w:rPr>
        <w:t xml:space="preserve"> zabezpieczenia spo</w:t>
      </w:r>
      <w:r w:rsidRPr="00EC250C">
        <w:rPr>
          <w:rStyle w:val="Pogrubienie"/>
          <w:rFonts w:eastAsiaTheme="majorEastAsia" w:hint="eastAsia"/>
          <w:b/>
          <w:bCs w:val="0"/>
        </w:rPr>
        <w:t>ł</w:t>
      </w:r>
      <w:r w:rsidRPr="00EC250C">
        <w:rPr>
          <w:rStyle w:val="Pogrubienie"/>
          <w:rFonts w:eastAsiaTheme="majorEastAsia"/>
          <w:b/>
          <w:bCs w:val="0"/>
        </w:rPr>
        <w:t>ecznego na starość – co dotyka tak</w:t>
      </w:r>
      <w:r w:rsidRPr="00EC250C">
        <w:rPr>
          <w:rStyle w:val="Pogrubienie"/>
          <w:rFonts w:eastAsiaTheme="majorEastAsia" w:hint="eastAsia"/>
          <w:b/>
          <w:bCs w:val="0"/>
        </w:rPr>
        <w:t>ż</w:t>
      </w:r>
      <w:r w:rsidRPr="00EC250C">
        <w:rPr>
          <w:rStyle w:val="Pogrubienie"/>
          <w:rFonts w:eastAsiaTheme="majorEastAsia"/>
          <w:b/>
          <w:bCs w:val="0"/>
        </w:rPr>
        <w:t>e cz</w:t>
      </w:r>
      <w:r w:rsidRPr="00EC250C">
        <w:rPr>
          <w:rStyle w:val="Pogrubienie"/>
          <w:rFonts w:eastAsiaTheme="majorEastAsia" w:hint="eastAsia"/>
          <w:b/>
          <w:bCs w:val="0"/>
        </w:rPr>
        <w:t>ł</w:t>
      </w:r>
      <w:r w:rsidRPr="00EC250C">
        <w:rPr>
          <w:rStyle w:val="Pogrubienie"/>
          <w:rFonts w:eastAsiaTheme="majorEastAsia"/>
          <w:b/>
          <w:bCs w:val="0"/>
        </w:rPr>
        <w:t>onk</w:t>
      </w:r>
      <w:r w:rsidRPr="00EC250C">
        <w:rPr>
          <w:rStyle w:val="Pogrubienie"/>
          <w:rFonts w:eastAsiaTheme="majorEastAsia" w:hint="eastAsia"/>
          <w:b/>
          <w:bCs w:val="0"/>
        </w:rPr>
        <w:t>ó</w:t>
      </w:r>
      <w:r w:rsidRPr="00EC250C">
        <w:rPr>
          <w:rStyle w:val="Pogrubienie"/>
          <w:rFonts w:eastAsiaTheme="majorEastAsia"/>
          <w:b/>
          <w:bCs w:val="0"/>
        </w:rPr>
        <w:t>w ich rodzin</w:t>
      </w:r>
      <w:r w:rsidR="00B473F5" w:rsidRPr="00EC250C">
        <w:rPr>
          <w:rStyle w:val="Pogrubienie"/>
          <w:rFonts w:eastAsiaTheme="majorEastAsia"/>
          <w:b/>
          <w:bCs w:val="0"/>
        </w:rPr>
        <w:t>.</w:t>
      </w:r>
    </w:p>
    <w:p w14:paraId="4C3A683B" w14:textId="77777777" w:rsidR="00E1331E" w:rsidRPr="00EC250C" w:rsidRDefault="00E1331E" w:rsidP="00D131FA">
      <w:pPr>
        <w:pStyle w:val="Styl1"/>
      </w:pPr>
      <w:r w:rsidRPr="00EC250C">
        <w:t>W wystąpieniu do premiera RPO powołał się na jedną ze spraw, która wpłynęła do jego Biura. Wdowa po cenionym reżyserze i scenarzyście filmów dokumentalnych oraz wydawcy i producencie programów telewizyjnych starała się o rentę rodzinną dla córek. Rodzina znalazła się w trudnej sytuacji życiowej, ponieważ wdowa nie może podjąć pełnej aktywności zawodowej z powodu konieczności opieki nad małymi córkami. ZUS odmówił jej renty rodzinnej, bo ojciec dzieci nie wypracował pięciu lat okresów składkowych i nieskładkowych w ostatnim dziesięcioleciu przed śmiercią, umarł też nie osiągnąwszy wieku emerytalnego. Prawidłowość decyzji ZUS potwierdził prawomocnie sąd okręgowy.</w:t>
      </w:r>
    </w:p>
    <w:p w14:paraId="77BD7214" w14:textId="77777777" w:rsidR="00E1331E" w:rsidRPr="00EC250C" w:rsidRDefault="00E1331E" w:rsidP="00D131FA">
      <w:pPr>
        <w:pStyle w:val="Styl1"/>
      </w:pPr>
      <w:r w:rsidRPr="00EC250C">
        <w:t>Jak wskazał RPO, taka sytuacja grozi wielu rodzinom twórców. Zdaniem przedstawicieli środowiska twórców obowiązujące zasady podlegania ubezpieczeniom społecznym, zwłaszcza wysokość i częstotliwość opłacania składki, zupełnie nie przystają do specyfiki ich działalności. Zdecydowana większość żyje z nieregularnych przychodów, więc nie może płacić regularnych składek. Tymczasem obowiązują ich zasady takie jak przedsiębiorców.</w:t>
      </w:r>
    </w:p>
    <w:p w14:paraId="39CE5084" w14:textId="77777777" w:rsidR="00E1331E" w:rsidRPr="00EC250C" w:rsidRDefault="00E1331E" w:rsidP="00D131FA">
      <w:pPr>
        <w:pStyle w:val="Styl1"/>
      </w:pPr>
      <w:r w:rsidRPr="00EC250C">
        <w:t>Według RPO warto skorzystać z doświadczeń innych krajów Unii Europejskiej, przewidujących odrębne systemy finansowania kosztów ubezpieczenia artystów, zasilane dodatkowo przez państwo oraz przedsiębiorców korzystających z pracy artystów i twórców.</w:t>
      </w:r>
    </w:p>
    <w:p w14:paraId="3AF3BD7B" w14:textId="77777777" w:rsidR="00E1331E" w:rsidRPr="00EC250C" w:rsidRDefault="00E1331E" w:rsidP="00D131FA">
      <w:pPr>
        <w:pStyle w:val="Styl1"/>
      </w:pPr>
      <w:r w:rsidRPr="00EC250C">
        <w:t>Stąd wystąpienie RPO o zainicjowanie działań rządowych – w porozumieniu z przedstawicielami środowiska artystów i twórców – zmierzających do utworzenia odpowiedniego systemu zabezpieczenia emerytalnego twórców i artystów. Minister Kultury i Dziedzictwa Narodowego, któremu premier przekazał pismo RPO, zapewnił w odpowiedzi o swojej gotowości do podjęcia współpracy z Ministrem Rodziny Pracy i Polityki Społecznej</w:t>
      </w:r>
      <w:r w:rsidRPr="00EC250C">
        <w:rPr>
          <w:rStyle w:val="Odwoanieprzypisudolnego"/>
        </w:rPr>
        <w:footnoteReference w:id="491"/>
      </w:r>
      <w:r w:rsidRPr="00EC250C">
        <w:t>.</w:t>
      </w:r>
    </w:p>
    <w:p w14:paraId="33B8F63F" w14:textId="77777777" w:rsidR="00E1331E" w:rsidRPr="00EC250C" w:rsidRDefault="00E1331E" w:rsidP="00EC79EB">
      <w:pPr>
        <w:pStyle w:val="Nagwek4"/>
      </w:pPr>
      <w:bookmarkStart w:id="494" w:name="_Toc6257863"/>
      <w:bookmarkStart w:id="495" w:name="_Toc11247737"/>
      <w:r w:rsidRPr="00EC250C">
        <w:t>Kłopoty z emeryturami i rentami osób, które ogłosiły upadłość konsumencką</w:t>
      </w:r>
      <w:bookmarkEnd w:id="494"/>
      <w:bookmarkEnd w:id="495"/>
    </w:p>
    <w:p w14:paraId="59CB8B34" w14:textId="77777777" w:rsidR="00B473F5" w:rsidRPr="00EC250C" w:rsidRDefault="00E1331E" w:rsidP="00D131FA">
      <w:pPr>
        <w:pStyle w:val="Problemczowieka"/>
        <w:jc w:val="both"/>
        <w:rPr>
          <w:bdr w:val="none" w:sz="0" w:space="0" w:color="auto" w:frame="1"/>
        </w:rPr>
      </w:pPr>
      <w:r w:rsidRPr="00EC250C">
        <w:rPr>
          <w:bdr w:val="none" w:sz="0" w:space="0" w:color="auto" w:frame="1"/>
        </w:rPr>
        <w:t>Je</w:t>
      </w:r>
      <w:r w:rsidRPr="00EC250C">
        <w:rPr>
          <w:rFonts w:hint="eastAsia"/>
          <w:bdr w:val="none" w:sz="0" w:space="0" w:color="auto" w:frame="1"/>
        </w:rPr>
        <w:t>ś</w:t>
      </w:r>
      <w:r w:rsidRPr="00EC250C">
        <w:rPr>
          <w:bdr w:val="none" w:sz="0" w:space="0" w:color="auto" w:frame="1"/>
        </w:rPr>
        <w:t>li kto</w:t>
      </w:r>
      <w:r w:rsidRPr="00EC250C">
        <w:rPr>
          <w:rFonts w:hint="eastAsia"/>
          <w:bdr w:val="none" w:sz="0" w:space="0" w:color="auto" w:frame="1"/>
        </w:rPr>
        <w:t>ś</w:t>
      </w:r>
      <w:r w:rsidRPr="00EC250C">
        <w:rPr>
          <w:bdr w:val="none" w:sz="0" w:space="0" w:color="auto" w:frame="1"/>
        </w:rPr>
        <w:t xml:space="preserve"> og</w:t>
      </w:r>
      <w:r w:rsidRPr="00EC250C">
        <w:rPr>
          <w:rFonts w:hint="eastAsia"/>
          <w:bdr w:val="none" w:sz="0" w:space="0" w:color="auto" w:frame="1"/>
        </w:rPr>
        <w:t>ł</w:t>
      </w:r>
      <w:r w:rsidRPr="00EC250C">
        <w:rPr>
          <w:bdr w:val="none" w:sz="0" w:space="0" w:color="auto" w:frame="1"/>
        </w:rPr>
        <w:t>osi</w:t>
      </w:r>
      <w:r w:rsidRPr="00EC250C">
        <w:rPr>
          <w:rFonts w:hint="eastAsia"/>
          <w:bdr w:val="none" w:sz="0" w:space="0" w:color="auto" w:frame="1"/>
        </w:rPr>
        <w:t>ł</w:t>
      </w:r>
      <w:r w:rsidRPr="00EC250C">
        <w:rPr>
          <w:bdr w:val="none" w:sz="0" w:space="0" w:color="auto" w:frame="1"/>
        </w:rPr>
        <w:t xml:space="preserve"> upad</w:t>
      </w:r>
      <w:r w:rsidRPr="00EC250C">
        <w:rPr>
          <w:rFonts w:hint="eastAsia"/>
          <w:bdr w:val="none" w:sz="0" w:space="0" w:color="auto" w:frame="1"/>
        </w:rPr>
        <w:t>ł</w:t>
      </w:r>
      <w:r w:rsidRPr="00EC250C">
        <w:rPr>
          <w:bdr w:val="none" w:sz="0" w:space="0" w:color="auto" w:frame="1"/>
        </w:rPr>
        <w:t>o</w:t>
      </w:r>
      <w:r w:rsidRPr="00EC250C">
        <w:rPr>
          <w:rFonts w:hint="eastAsia"/>
          <w:bdr w:val="none" w:sz="0" w:space="0" w:color="auto" w:frame="1"/>
        </w:rPr>
        <w:t>ść</w:t>
      </w:r>
      <w:r w:rsidRPr="00EC250C">
        <w:rPr>
          <w:bdr w:val="none" w:sz="0" w:space="0" w:color="auto" w:frame="1"/>
        </w:rPr>
        <w:t xml:space="preserve"> konsumenck</w:t>
      </w:r>
      <w:r w:rsidRPr="00EC250C">
        <w:rPr>
          <w:rFonts w:hint="eastAsia"/>
          <w:bdr w:val="none" w:sz="0" w:space="0" w:color="auto" w:frame="1"/>
        </w:rPr>
        <w:t>ą</w:t>
      </w:r>
      <w:r w:rsidRPr="00EC250C">
        <w:rPr>
          <w:bdr w:val="none" w:sz="0" w:space="0" w:color="auto" w:frame="1"/>
        </w:rPr>
        <w:t>, a do masy upad</w:t>
      </w:r>
      <w:r w:rsidRPr="00EC250C">
        <w:rPr>
          <w:rFonts w:hint="eastAsia"/>
          <w:bdr w:val="none" w:sz="0" w:space="0" w:color="auto" w:frame="1"/>
        </w:rPr>
        <w:t>ł</w:t>
      </w:r>
      <w:r w:rsidRPr="00EC250C">
        <w:rPr>
          <w:bdr w:val="none" w:sz="0" w:space="0" w:color="auto" w:frame="1"/>
        </w:rPr>
        <w:t>o</w:t>
      </w:r>
      <w:r w:rsidRPr="00EC250C">
        <w:rPr>
          <w:rFonts w:hint="eastAsia"/>
          <w:bdr w:val="none" w:sz="0" w:space="0" w:color="auto" w:frame="1"/>
        </w:rPr>
        <w:t>ś</w:t>
      </w:r>
      <w:r w:rsidRPr="00EC250C">
        <w:rPr>
          <w:bdr w:val="none" w:sz="0" w:space="0" w:color="auto" w:frame="1"/>
        </w:rPr>
        <w:t>ciowej wchodzi jego emerytura lub renta, to ZUS mo</w:t>
      </w:r>
      <w:r w:rsidRPr="00EC250C">
        <w:rPr>
          <w:rFonts w:hint="eastAsia"/>
          <w:bdr w:val="none" w:sz="0" w:space="0" w:color="auto" w:frame="1"/>
        </w:rPr>
        <w:t>ż</w:t>
      </w:r>
      <w:r w:rsidRPr="00EC250C">
        <w:rPr>
          <w:bdr w:val="none" w:sz="0" w:space="0" w:color="auto" w:frame="1"/>
        </w:rPr>
        <w:t>e mu zostawi</w:t>
      </w:r>
      <w:r w:rsidRPr="00EC250C">
        <w:rPr>
          <w:rFonts w:hint="eastAsia"/>
          <w:bdr w:val="none" w:sz="0" w:space="0" w:color="auto" w:frame="1"/>
        </w:rPr>
        <w:t>ć</w:t>
      </w:r>
      <w:r w:rsidRPr="00EC250C">
        <w:rPr>
          <w:bdr w:val="none" w:sz="0" w:space="0" w:color="auto" w:frame="1"/>
        </w:rPr>
        <w:t xml:space="preserve"> tylko 825 z</w:t>
      </w:r>
      <w:r w:rsidRPr="00EC250C">
        <w:rPr>
          <w:rFonts w:hint="eastAsia"/>
          <w:bdr w:val="none" w:sz="0" w:space="0" w:color="auto" w:frame="1"/>
        </w:rPr>
        <w:t>ł</w:t>
      </w:r>
      <w:r w:rsidRPr="00EC250C">
        <w:rPr>
          <w:bdr w:val="none" w:sz="0" w:space="0" w:color="auto" w:frame="1"/>
        </w:rPr>
        <w:t>. Reszt</w:t>
      </w:r>
      <w:r w:rsidRPr="00EC250C">
        <w:rPr>
          <w:rFonts w:hint="eastAsia"/>
          <w:bdr w:val="none" w:sz="0" w:space="0" w:color="auto" w:frame="1"/>
        </w:rPr>
        <w:t>ę</w:t>
      </w:r>
      <w:r w:rsidRPr="00EC250C">
        <w:rPr>
          <w:bdr w:val="none" w:sz="0" w:space="0" w:color="auto" w:frame="1"/>
        </w:rPr>
        <w:t xml:space="preserve"> musi odda</w:t>
      </w:r>
      <w:r w:rsidRPr="00EC250C">
        <w:rPr>
          <w:rFonts w:hint="eastAsia"/>
          <w:bdr w:val="none" w:sz="0" w:space="0" w:color="auto" w:frame="1"/>
        </w:rPr>
        <w:t>ć</w:t>
      </w:r>
      <w:r w:rsidRPr="00EC250C">
        <w:rPr>
          <w:bdr w:val="none" w:sz="0" w:space="0" w:color="auto" w:frame="1"/>
        </w:rPr>
        <w:t xml:space="preserve"> syndykowi masy upad</w:t>
      </w:r>
      <w:r w:rsidRPr="00EC250C">
        <w:rPr>
          <w:rFonts w:hint="eastAsia"/>
          <w:bdr w:val="none" w:sz="0" w:space="0" w:color="auto" w:frame="1"/>
        </w:rPr>
        <w:t>ł</w:t>
      </w:r>
      <w:r w:rsidRPr="00EC250C">
        <w:rPr>
          <w:bdr w:val="none" w:sz="0" w:space="0" w:color="auto" w:frame="1"/>
        </w:rPr>
        <w:t>o</w:t>
      </w:r>
      <w:r w:rsidRPr="00EC250C">
        <w:rPr>
          <w:rFonts w:hint="eastAsia"/>
          <w:bdr w:val="none" w:sz="0" w:space="0" w:color="auto" w:frame="1"/>
        </w:rPr>
        <w:t>ś</w:t>
      </w:r>
      <w:r w:rsidRPr="00EC250C">
        <w:rPr>
          <w:bdr w:val="none" w:sz="0" w:space="0" w:color="auto" w:frame="1"/>
        </w:rPr>
        <w:t>ci, je</w:t>
      </w:r>
      <w:r w:rsidRPr="00EC250C">
        <w:rPr>
          <w:rFonts w:hint="eastAsia"/>
          <w:bdr w:val="none" w:sz="0" w:space="0" w:color="auto" w:frame="1"/>
        </w:rPr>
        <w:t>ś</w:t>
      </w:r>
      <w:r w:rsidRPr="00EC250C">
        <w:rPr>
          <w:bdr w:val="none" w:sz="0" w:space="0" w:color="auto" w:frame="1"/>
        </w:rPr>
        <w:t xml:space="preserve">li ten sobie tego </w:t>
      </w:r>
      <w:r w:rsidRPr="00EC250C">
        <w:rPr>
          <w:rFonts w:hint="eastAsia"/>
          <w:bdr w:val="none" w:sz="0" w:space="0" w:color="auto" w:frame="1"/>
        </w:rPr>
        <w:t>ż</w:t>
      </w:r>
      <w:r w:rsidRPr="00EC250C">
        <w:rPr>
          <w:bdr w:val="none" w:sz="0" w:space="0" w:color="auto" w:frame="1"/>
        </w:rPr>
        <w:t xml:space="preserve">yczy. </w:t>
      </w:r>
      <w:r w:rsidR="00B473F5" w:rsidRPr="00EC250C">
        <w:rPr>
          <w:bdr w:val="none" w:sz="0" w:space="0" w:color="auto" w:frame="1"/>
        </w:rPr>
        <w:t>.</w:t>
      </w:r>
    </w:p>
    <w:p w14:paraId="70A82C32" w14:textId="77777777" w:rsidR="00E1331E" w:rsidRPr="00EC250C" w:rsidRDefault="00E1331E" w:rsidP="00D131FA">
      <w:pPr>
        <w:pStyle w:val="Styl1"/>
      </w:pPr>
      <w:r w:rsidRPr="00EC250C">
        <w:rPr>
          <w:bdr w:val="none" w:sz="0" w:space="0" w:color="auto" w:frame="1"/>
        </w:rPr>
        <w:t xml:space="preserve">Generalnie jeśli komornik ściąga należności z emerytury lub renty, to może zabrać tylko ¼ jej wysokości. Przy upadłości konsumenckiej te ograniczenia wprost nie działają. Syndyk bowiem to nie komornik. ZUS przyznaje, że przepisy nie są do końca jasne, ale nie ma też jasnej linii </w:t>
      </w:r>
      <w:r w:rsidRPr="00EC250C">
        <w:rPr>
          <w:bdr w:val="none" w:sz="0" w:space="0" w:color="auto" w:frame="1"/>
        </w:rPr>
        <w:lastRenderedPageBreak/>
        <w:t xml:space="preserve">orzeczniczej sądów w tej sprawie. </w:t>
      </w:r>
      <w:r w:rsidRPr="00EC250C">
        <w:t>Rzecznik Praw Obywatelskich wystąpił do ZUS po sygnałach, że przy upadłości konsumenckiej ludzie tracą więcej niż ¼ świadczenia, poza tym potrącenia obliczane są w różny sposób, więc człowiek rozważający upadłość konsumencką nie jest w stanie przewidzieć, z czym przyjdzie mu się zmierzyć.</w:t>
      </w:r>
    </w:p>
    <w:p w14:paraId="7EB45FFD" w14:textId="77777777" w:rsidR="00E1331E" w:rsidRPr="00EC250C" w:rsidRDefault="00E1331E" w:rsidP="00D131FA">
      <w:pPr>
        <w:pStyle w:val="Styl1"/>
      </w:pPr>
      <w:r w:rsidRPr="00EC250C">
        <w:t>Wystąpienie to jest efektem spotkania ekspertów w Biurze RPO, podczas którego zastanawiali się, jak poprawić system upadłości konsumenckiej w Polsce. Żeby wypracować konkretne stanowisko i propozycje zmian, RPO wystąpił następnie do instytucji zajmujących się w praktyce upadłością konsumencką z pytaniami, jak mierzą się z problemami zebranymi w czasie tego spotkania</w:t>
      </w:r>
      <w:r w:rsidRPr="00EC250C">
        <w:rPr>
          <w:rStyle w:val="Odwoanieprzypisudolnego"/>
        </w:rPr>
        <w:footnoteReference w:id="492"/>
      </w:r>
      <w:r w:rsidRPr="00EC250C">
        <w:t>.</w:t>
      </w:r>
    </w:p>
    <w:p w14:paraId="68D3676A" w14:textId="77777777" w:rsidR="00E1331E" w:rsidRPr="00EC250C" w:rsidRDefault="00E1331E" w:rsidP="00EC250C">
      <w:pPr>
        <w:pStyle w:val="Nagwek8"/>
        <w:rPr>
          <w:spacing w:val="0"/>
        </w:rPr>
      </w:pPr>
      <w:r w:rsidRPr="00EC250C">
        <w:t>Jak obniżenie wieku emerytalnego przełoży się na sytuację seniorów w Polsce?</w:t>
      </w:r>
    </w:p>
    <w:p w14:paraId="11334D1D" w14:textId="77777777" w:rsidR="00E1331E" w:rsidRPr="00EC250C" w:rsidRDefault="00E1331E" w:rsidP="00D131FA">
      <w:pPr>
        <w:pStyle w:val="Styl2"/>
        <w:rPr>
          <w:szCs w:val="24"/>
        </w:rPr>
      </w:pPr>
      <w:r w:rsidRPr="00EC250C">
        <w:rPr>
          <w:szCs w:val="24"/>
        </w:rPr>
        <w:t>Wcześniejszy wiek emerytalny został przez Polaków i Polski przyjęty z ulgą. Przechodzą na emeryturę tak szybko, jak tylko jest to możliwe, a fakt, że z tego powodu emerytura będzie niższa, nie odgrywa znaczącej roli przy podejmowaniu decyzji. Jakie to będzie miało znaczenie dla dalszego życia emerytów? – zastanawiali się eksperci Komisji ds. Osób Starszych przy RPO na spotkaniu 12 października 2018 r.</w:t>
      </w:r>
    </w:p>
    <w:p w14:paraId="782211D2" w14:textId="77777777" w:rsidR="00E1331E" w:rsidRPr="00EC250C" w:rsidRDefault="00E1331E" w:rsidP="006C70B7">
      <w:pPr>
        <w:pStyle w:val="Styl2"/>
        <w:numPr>
          <w:ilvl w:val="0"/>
          <w:numId w:val="124"/>
        </w:numPr>
        <w:rPr>
          <w:szCs w:val="24"/>
        </w:rPr>
      </w:pPr>
      <w:r w:rsidRPr="00EC250C">
        <w:rPr>
          <w:szCs w:val="24"/>
        </w:rPr>
        <w:t>Niestety, będą się pogłębiać różnice w dochodach kobiet i mężczyzn – kobiety mogą przejść na emeryturę szybciej, ale mają dużo niższe emerytury niż mężczyźni. Utrzymanie różnicy wieku emerytalnego dla kobiet i mężczyzn jest dyskryminujące.</w:t>
      </w:r>
    </w:p>
    <w:p w14:paraId="4E129FA5" w14:textId="77777777" w:rsidR="00E1331E" w:rsidRPr="00EC250C" w:rsidRDefault="00E1331E" w:rsidP="006C70B7">
      <w:pPr>
        <w:pStyle w:val="Styl2"/>
        <w:numPr>
          <w:ilvl w:val="0"/>
          <w:numId w:val="124"/>
        </w:numPr>
        <w:rPr>
          <w:szCs w:val="24"/>
        </w:rPr>
      </w:pPr>
      <w:r w:rsidRPr="00EC250C">
        <w:rPr>
          <w:szCs w:val="24"/>
        </w:rPr>
        <w:t>Będzie rosnąć liczba osób, które będą miały emeryturę niższą od minimalnej, zatem ZUS będzie im do tej kwoty dopłacał. Mimo to emerytura w obecnym systemie nie zapewni ochrony przed ubóstwem.</w:t>
      </w:r>
    </w:p>
    <w:p w14:paraId="3B836E9C" w14:textId="77777777" w:rsidR="00E1331E" w:rsidRPr="00EC250C" w:rsidRDefault="00E1331E" w:rsidP="006C70B7">
      <w:pPr>
        <w:pStyle w:val="Styl2"/>
        <w:numPr>
          <w:ilvl w:val="0"/>
          <w:numId w:val="124"/>
        </w:numPr>
        <w:rPr>
          <w:szCs w:val="24"/>
        </w:rPr>
      </w:pPr>
      <w:r w:rsidRPr="00EC250C">
        <w:rPr>
          <w:szCs w:val="24"/>
        </w:rPr>
        <w:t>W przyszłości coraz większe znaczenie dla ochrony emerytów przed ubóstwem będą spełniały świadczenia z pomocy społecznej</w:t>
      </w:r>
      <w:r w:rsidRPr="00EC250C">
        <w:rPr>
          <w:rStyle w:val="Odwoanieprzypisudolnego"/>
          <w:szCs w:val="24"/>
        </w:rPr>
        <w:footnoteReference w:id="493"/>
      </w:r>
      <w:r w:rsidRPr="00EC250C">
        <w:rPr>
          <w:szCs w:val="24"/>
        </w:rPr>
        <w:t>.</w:t>
      </w:r>
    </w:p>
    <w:p w14:paraId="3C371F34" w14:textId="77777777" w:rsidR="00B42164" w:rsidRPr="00EC250C" w:rsidRDefault="00B42164" w:rsidP="00EC79EB">
      <w:pPr>
        <w:pStyle w:val="Nagwek4"/>
      </w:pPr>
      <w:bookmarkStart w:id="496" w:name="_Toc11247738"/>
      <w:r w:rsidRPr="00EC250C">
        <w:t>Strażnicy gminni bez prawa do emerytury pomostowej</w:t>
      </w:r>
      <w:bookmarkEnd w:id="496"/>
    </w:p>
    <w:p w14:paraId="29B4E123" w14:textId="77777777" w:rsidR="00B42164" w:rsidRPr="00EC250C" w:rsidRDefault="00B42164" w:rsidP="00D131FA">
      <w:pPr>
        <w:pStyle w:val="Problemczowieka"/>
        <w:jc w:val="both"/>
        <w:rPr>
          <w:lang w:eastAsia="en-US"/>
        </w:rPr>
      </w:pPr>
      <w:r w:rsidRPr="00EC250C">
        <w:rPr>
          <w:lang w:eastAsia="en-US"/>
        </w:rPr>
        <w:t>Strażnicy miejscy nie mają prawa do emerytury pomostowej, choć charakter ich pracy uzasadnia taką potrzebę.</w:t>
      </w:r>
    </w:p>
    <w:p w14:paraId="1B2DCDFD" w14:textId="77777777" w:rsidR="00B42164" w:rsidRPr="00EC250C" w:rsidRDefault="00B42164" w:rsidP="00D131FA">
      <w:pPr>
        <w:pStyle w:val="Styl1"/>
      </w:pPr>
      <w:r w:rsidRPr="00EC250C">
        <w:t>Z kierowanych do RPO skarg wynika, że istnieje problem określenia niższego wieku uprawniającego do przejścia na emeryturę pracowników, którzy w świetle art. 10 ustawy o strażach gminnych</w:t>
      </w:r>
      <w:r w:rsidRPr="00EC250C">
        <w:rPr>
          <w:bCs/>
          <w:iCs/>
          <w:vertAlign w:val="superscript"/>
          <w:lang w:eastAsia="en-US"/>
        </w:rPr>
        <w:footnoteReference w:id="494"/>
      </w:r>
      <w:r w:rsidRPr="00EC250C">
        <w:rPr>
          <w:bCs/>
          <w:iCs/>
          <w:lang w:eastAsia="en-US"/>
        </w:rPr>
        <w:t xml:space="preserve"> </w:t>
      </w:r>
      <w:r w:rsidRPr="00EC250C">
        <w:t>wykonują zadania w zakresie ochrony porządku publicznego.</w:t>
      </w:r>
    </w:p>
    <w:p w14:paraId="47442752" w14:textId="77777777" w:rsidR="00B42164" w:rsidRPr="00EC250C" w:rsidRDefault="00B42164" w:rsidP="00D131FA">
      <w:pPr>
        <w:pStyle w:val="Styl1"/>
      </w:pPr>
      <w:r w:rsidRPr="00EC250C">
        <w:t xml:space="preserve">Strażnicy nabywają prawo do świadczeń emerytalnych na zasadach określonych w powszechnym systemie emerytalnym. Ich praca nie została uwzględniona w katalogu prac </w:t>
      </w:r>
      <w:r w:rsidRPr="00EC250C">
        <w:lastRenderedPageBreak/>
        <w:t>o szczególnym charakterze, choć zgodnie z definicją prace o szczególnym charakterze to prace wymagające szczególnej odpowiedzialności oraz szczególnej sprawności psychofizycznej, których możliwość należytego wykonywania w sposób niezagrażający bezpieczeństwu publicznemu, w tym zdrowiu lub życiu innych osób, zmniejsza się przed osiągnięciem wieku emerytalnego na skutek pogorszenia sprawności psychofizycznej, związanego z procesem starzenia się.</w:t>
      </w:r>
    </w:p>
    <w:p w14:paraId="1CA54869" w14:textId="77777777" w:rsidR="00B42164" w:rsidRPr="00EC250C" w:rsidRDefault="00B42164" w:rsidP="00D131FA">
      <w:pPr>
        <w:pStyle w:val="Styl1"/>
      </w:pPr>
      <w:r w:rsidRPr="00EC250C">
        <w:t>To przemawia za tym, by wprowadzić do ustawy o emeryturach pomostowych takich regulacji prawnych, które umożliwią im nabycie prawa do emerytury pomostowej. RPO zwrócił się do Przewodniczącego z prośbą o rozważenie możliwości podjęcia stosownej inicjatywy ustawodawczej na forum Komisji Praworządności, Praw Człowieka i Petycji Senatu</w:t>
      </w:r>
      <w:r w:rsidRPr="00EC250C">
        <w:rPr>
          <w:bCs/>
          <w:iCs/>
          <w:vertAlign w:val="superscript"/>
          <w:lang w:eastAsia="en-US"/>
        </w:rPr>
        <w:footnoteReference w:id="495"/>
      </w:r>
      <w:r w:rsidRPr="00EC250C">
        <w:t>.</w:t>
      </w:r>
    </w:p>
    <w:p w14:paraId="0BD7B2E6" w14:textId="77777777" w:rsidR="00B42164" w:rsidRPr="00EC250C" w:rsidRDefault="00B42164" w:rsidP="00EC79EB">
      <w:pPr>
        <w:pStyle w:val="Nagwek4"/>
      </w:pPr>
      <w:bookmarkStart w:id="497" w:name="_Toc11247739"/>
      <w:r w:rsidRPr="00EC250C">
        <w:t>Celnicy, którym stosunek służbowy wygasł, nie mogą dostać zasiłku chorobowego</w:t>
      </w:r>
      <w:bookmarkEnd w:id="497"/>
      <w:r w:rsidRPr="00EC250C">
        <w:t xml:space="preserve"> </w:t>
      </w:r>
    </w:p>
    <w:p w14:paraId="6CF6D15B" w14:textId="77777777" w:rsidR="00B42164" w:rsidRPr="00EC250C" w:rsidRDefault="00B42164" w:rsidP="00D131FA">
      <w:pPr>
        <w:pStyle w:val="Problemczowieka"/>
        <w:jc w:val="both"/>
        <w:rPr>
          <w:lang w:eastAsia="en-US"/>
        </w:rPr>
      </w:pPr>
      <w:r w:rsidRPr="00EC250C">
        <w:rPr>
          <w:lang w:eastAsia="en-US"/>
        </w:rPr>
        <w:t>Chory celnik, któremu po stworzeniu Krajowej Administracji Skarbowej wygasł mu stosunek służbowy, nie ma prawa do zasiłku chorobowego. Bo jako funkcjonariusz służby celnej nie płacił składek do ZUS.</w:t>
      </w:r>
    </w:p>
    <w:p w14:paraId="53CA8BEA" w14:textId="77777777" w:rsidR="00B42164" w:rsidRPr="00EC250C" w:rsidRDefault="00B42164" w:rsidP="00D131FA">
      <w:pPr>
        <w:pStyle w:val="Styl1"/>
        <w:rPr>
          <w:bCs/>
          <w:iCs/>
          <w:lang w:eastAsia="en-US"/>
        </w:rPr>
      </w:pPr>
      <w:r w:rsidRPr="00EC250C">
        <w:rPr>
          <w:bCs/>
          <w:iCs/>
          <w:lang w:eastAsia="en-US"/>
        </w:rPr>
        <w:t>Do RPO z prośbą o pomoc zwrócili się byli funkcjonariusze Służby Celno-Skarbowej, których stosunek służbowy wygasł w czasie zwolnienia lekarskiego. Stało się to na podstawie przepisów zastępujących dotychczasową służbę Krajową Administracją Skarbową. Ci funkcjonariusze, którzy nie dostali oferty służby w niej, po prostu tracili swój dotychczasowy status.</w:t>
      </w:r>
    </w:p>
    <w:p w14:paraId="1C667397" w14:textId="77777777" w:rsidR="00B42164" w:rsidRPr="00EC250C" w:rsidRDefault="00B42164" w:rsidP="00D131FA">
      <w:pPr>
        <w:pStyle w:val="ODESANIE"/>
        <w:jc w:val="both"/>
        <w:rPr>
          <w:lang w:eastAsia="en-US"/>
        </w:rPr>
      </w:pPr>
      <w:r w:rsidRPr="00EC250C">
        <w:rPr>
          <w:lang w:eastAsia="en-US"/>
        </w:rPr>
        <w:t>Więcej o tych przepisach – w kontekście art. 60  Konstytucji</w:t>
      </w:r>
    </w:p>
    <w:p w14:paraId="216D2AB2" w14:textId="77777777" w:rsidR="00B42164" w:rsidRPr="00EC250C" w:rsidRDefault="00B42164" w:rsidP="00D131FA">
      <w:pPr>
        <w:pStyle w:val="Styl1"/>
        <w:rPr>
          <w:bCs/>
          <w:iCs/>
          <w:lang w:eastAsia="en-US"/>
        </w:rPr>
      </w:pPr>
      <w:r w:rsidRPr="00EC250C">
        <w:rPr>
          <w:bCs/>
          <w:iCs/>
          <w:lang w:eastAsia="en-US"/>
        </w:rPr>
        <w:t>ZUS odmawia im prawa do zasiłków chorobowych twierdząc, iż pełniąc służbę nie podlegali oni ubezpieczeniu chorobowemu. Zdaniem RPO jest to efekt luki prawnej, bo państwo nie może zakładać, że osoby poważnie chore i hospitalizowane, na wieść o zmianie swojego służbowego statusu będą się indywidualnie ubezpieczały w ZUS.</w:t>
      </w:r>
    </w:p>
    <w:p w14:paraId="740BA309" w14:textId="77777777" w:rsidR="00B42164" w:rsidRPr="00EC250C" w:rsidRDefault="00B42164" w:rsidP="00D131FA">
      <w:pPr>
        <w:pStyle w:val="Styl1"/>
        <w:rPr>
          <w:rFonts w:eastAsia="SimSun"/>
          <w:spacing w:val="0"/>
          <w:szCs w:val="24"/>
          <w:lang w:eastAsia="en-US"/>
        </w:rPr>
      </w:pPr>
      <w:r w:rsidRPr="00EC250C">
        <w:rPr>
          <w:lang w:eastAsia="en-US"/>
        </w:rPr>
        <w:t>RPO zwrócił się z tym do Prezesa ZUS</w:t>
      </w:r>
      <w:r w:rsidRPr="00EC250C">
        <w:rPr>
          <w:rStyle w:val="Odwoanieprzypisudolnego"/>
          <w:bCs/>
          <w:iCs/>
          <w:lang w:eastAsia="en-US"/>
        </w:rPr>
        <w:footnoteReference w:id="496"/>
      </w:r>
      <w:r w:rsidRPr="00EC250C">
        <w:rPr>
          <w:lang w:eastAsia="en-US"/>
        </w:rPr>
        <w:t xml:space="preserve"> i dostał odpowiedź, że Zakład nie ma podstaw do wypłaty świadczeń osobom nieubezpieczonym, ale można tu rzeczywiście widzieć lukę systemową, bo byli funkcjonariusze nie mieli jak się ubezpieczyć. Dlatego ZUS wystąpił do Ministerstwa Rodziny, Pracy i Polityki Społecznej o stanowisko.</w:t>
      </w:r>
      <w:r w:rsidRPr="00EC250C">
        <w:rPr>
          <w:b/>
          <w:lang w:eastAsia="en-US"/>
        </w:rPr>
        <w:t xml:space="preserve"> </w:t>
      </w:r>
      <w:r w:rsidRPr="00EC250C">
        <w:rPr>
          <w:rFonts w:eastAsia="SimSun"/>
          <w:spacing w:val="0"/>
          <w:szCs w:val="24"/>
          <w:lang w:eastAsia="en-US"/>
        </w:rPr>
        <w:t>Resort pracy potwierdził, że funkcjonariusze celno-skarbowi nie mają oni prawa do zasiłku chorobowego po ustaniu służby, jeśli nie zostali pracownikami Krajowej Administracji Skarbowej.</w:t>
      </w:r>
    </w:p>
    <w:p w14:paraId="6D8C9A93" w14:textId="61AAF94B" w:rsidR="00EC79EB" w:rsidRPr="00EC250C" w:rsidRDefault="00EC79EB" w:rsidP="00EC250C">
      <w:pPr>
        <w:pStyle w:val="Nagwek5"/>
        <w:rPr>
          <w:rStyle w:val="Pogrubienie"/>
          <w:b/>
          <w:bCs/>
        </w:rPr>
      </w:pPr>
      <w:r w:rsidRPr="00EC250C">
        <w:rPr>
          <w:rStyle w:val="Pogrubienie"/>
          <w:b/>
          <w:bCs/>
        </w:rPr>
        <w:lastRenderedPageBreak/>
        <w:t>Wysokość uposażenia funkcjonariuszy Policji na długotrwałym zwolnieniu lekarskim</w:t>
      </w:r>
    </w:p>
    <w:p w14:paraId="61D465FA" w14:textId="2173ABA5" w:rsidR="006241AD" w:rsidRPr="00EC250C" w:rsidRDefault="006241AD" w:rsidP="00D131FA">
      <w:pPr>
        <w:pStyle w:val="Problemczowieka"/>
        <w:jc w:val="both"/>
        <w:rPr>
          <w:rStyle w:val="Pogrubienie"/>
          <w:rFonts w:eastAsiaTheme="majorEastAsia"/>
          <w:b/>
          <w:bCs w:val="0"/>
        </w:rPr>
      </w:pPr>
      <w:r w:rsidRPr="00EC250C">
        <w:rPr>
          <w:rStyle w:val="Pogrubienie"/>
          <w:rFonts w:eastAsiaTheme="majorEastAsia"/>
          <w:b/>
          <w:bCs w:val="0"/>
        </w:rPr>
        <w:t>Od 2014 r. policjanci na zwolnieniu lekarskim nie dostają 100 proc. Uposażenia, ale 80 proc., chyba że wykażą, że zwolnienie lekarskie było wynikiem szczególnych warunków służby w policji. Jednak jak pokazuje praktyka, uzyskanie zwrotu 20 proc. uposażenia nie jest łatwe.</w:t>
      </w:r>
    </w:p>
    <w:p w14:paraId="2C59088E" w14:textId="77777777" w:rsidR="006241AD" w:rsidRPr="00EC250C" w:rsidRDefault="006241AD" w:rsidP="00D131FA">
      <w:pPr>
        <w:pStyle w:val="Styl1"/>
        <w:rPr>
          <w:rStyle w:val="Pogrubienie"/>
          <w:rFonts w:eastAsiaTheme="majorEastAsia"/>
          <w:b w:val="0"/>
          <w:bCs w:val="0"/>
        </w:rPr>
      </w:pPr>
      <w:r w:rsidRPr="00EC250C">
        <w:rPr>
          <w:rStyle w:val="Pogrubienie"/>
          <w:rFonts w:eastAsiaTheme="majorEastAsia"/>
          <w:b w:val="0"/>
          <w:bCs w:val="0"/>
        </w:rPr>
        <w:t xml:space="preserve">Rzecznik zajął się sprawą jednego z funkcjonariuszy w takiej sytuacji. </w:t>
      </w:r>
    </w:p>
    <w:p w14:paraId="6EA9F62A" w14:textId="77777777" w:rsidR="006241AD" w:rsidRPr="00EC250C" w:rsidRDefault="006241AD" w:rsidP="00EC250C">
      <w:pPr>
        <w:pStyle w:val="Nagwek8"/>
        <w:rPr>
          <w:rStyle w:val="Pogrubienie"/>
          <w:b/>
          <w:bCs w:val="0"/>
        </w:rPr>
      </w:pPr>
      <w:r w:rsidRPr="00EC250C">
        <w:rPr>
          <w:rStyle w:val="Pogrubienie"/>
          <w:b/>
          <w:bCs w:val="0"/>
        </w:rPr>
        <w:t>Sprawa chorego policjanta</w:t>
      </w:r>
    </w:p>
    <w:p w14:paraId="0955AD83" w14:textId="77777777" w:rsidR="006241AD" w:rsidRPr="00EC250C" w:rsidRDefault="006241AD" w:rsidP="00D131FA">
      <w:pPr>
        <w:pStyle w:val="Styl2"/>
        <w:rPr>
          <w:szCs w:val="24"/>
        </w:rPr>
      </w:pPr>
      <w:r w:rsidRPr="00EC250C">
        <w:rPr>
          <w:szCs w:val="24"/>
        </w:rPr>
        <w:t>W sierpniu 2015 u policjanta podejrzewano chorobę nowotworową. Ostatecznie diagnoza się nie potwierdziła, policjant przeszedł jednak załamanie nerwowe. Na zwolnieniu przebywał około czterech miesięcy, po czym wrócił do służby. Zwrócił się o skierowanie do komisji lekarskiej w celu ustalenia związku schorzenia ze służbą w policji. Kolejne orzeczenia komisji pokazały, na czym polega problem. Za każdym razem okazywało się, ze chociaż być może zachorował w związku ze służbą, to fakt, że obecnie był niezdolny do służby, nie miał związku z tą chorobą.</w:t>
      </w:r>
    </w:p>
    <w:p w14:paraId="36EE1EA2" w14:textId="77777777" w:rsidR="006241AD" w:rsidRPr="00EC250C" w:rsidRDefault="006241AD" w:rsidP="00D131FA">
      <w:pPr>
        <w:pStyle w:val="Styl2"/>
        <w:rPr>
          <w:szCs w:val="24"/>
        </w:rPr>
      </w:pPr>
      <w:r w:rsidRPr="00EC250C">
        <w:rPr>
          <w:szCs w:val="24"/>
        </w:rPr>
        <w:t>Wątpliwości RPO budzą procedury stosowane wobec tego policjanta. To one bowiem doprowadziły do takiego a nie innego orzeczenia, które ma wpływ na wysokość uposażenia.</w:t>
      </w:r>
    </w:p>
    <w:p w14:paraId="6819EE7D" w14:textId="77777777" w:rsidR="006241AD" w:rsidRPr="00EC250C" w:rsidRDefault="006241AD" w:rsidP="00D131FA">
      <w:pPr>
        <w:pStyle w:val="Styl1"/>
        <w:rPr>
          <w:lang w:eastAsia="en-US"/>
        </w:rPr>
      </w:pPr>
      <w:r w:rsidRPr="00EC250C">
        <w:t>O problemie tym RPO sygnalizuje od wejścia po wejściu w życie w 2014 roku rozwiązań dotyczących wysokości uposażenia funkcjonariuszy policji na zwolnieniach lekarskich</w:t>
      </w:r>
      <w:r w:rsidRPr="00EC250C">
        <w:rPr>
          <w:vertAlign w:val="superscript"/>
          <w:lang w:eastAsia="en-US"/>
        </w:rPr>
        <w:footnoteReference w:id="497"/>
      </w:r>
      <w:r w:rsidRPr="00EC250C">
        <w:t>. Wtedy już było wiadomo, że nie został określony tryb postępowania w sprawie wydawania orzeczeń o związku choroby ze szczególnymi warunkami służby</w:t>
      </w:r>
      <w:r w:rsidRPr="00EC250C">
        <w:rPr>
          <w:vertAlign w:val="superscript"/>
          <w:lang w:eastAsia="en-US"/>
        </w:rPr>
        <w:footnoteReference w:id="498"/>
      </w:r>
      <w:r w:rsidRPr="00EC250C">
        <w:t>.</w:t>
      </w:r>
    </w:p>
    <w:p w14:paraId="45DF0FBF" w14:textId="77777777" w:rsidR="006241AD" w:rsidRPr="00EC250C" w:rsidRDefault="006241AD" w:rsidP="00D131FA">
      <w:pPr>
        <w:pStyle w:val="Styl1"/>
        <w:rPr>
          <w:bCs/>
          <w:iCs/>
          <w:lang w:eastAsia="en-US"/>
        </w:rPr>
      </w:pPr>
      <w:r w:rsidRPr="00EC250C">
        <w:rPr>
          <w:bCs/>
          <w:iCs/>
          <w:lang w:eastAsia="en-US"/>
        </w:rPr>
        <w:t>W odpowiedzi Minister Spraw Wewnętrznych i Administracji wskazał, że problem został rozwiązany w Przepisach wprowadzających ustawę o Straży Marszałkowskiej</w:t>
      </w:r>
      <w:r w:rsidRPr="00EC250C">
        <w:rPr>
          <w:rStyle w:val="Odwoanieprzypisudolnego"/>
          <w:lang w:eastAsia="en-US"/>
        </w:rPr>
        <w:footnoteReference w:id="499"/>
      </w:r>
      <w:r w:rsidRPr="00EC250C">
        <w:rPr>
          <w:bCs/>
          <w:iCs/>
          <w:lang w:eastAsia="en-US"/>
        </w:rPr>
        <w:t>. Wprowadzono w nich także zmiany do ustawy o komisjach lekarskich podległych MSWiA</w:t>
      </w:r>
      <w:r w:rsidRPr="00EC250C">
        <w:rPr>
          <w:lang w:eastAsia="en-US"/>
        </w:rPr>
        <w:t>(</w:t>
      </w:r>
      <w:r w:rsidRPr="00EC250C">
        <w:rPr>
          <w:bCs/>
          <w:iCs/>
          <w:lang w:eastAsia="en-US"/>
        </w:rPr>
        <w:t xml:space="preserve"> </w:t>
      </w:r>
      <w:r w:rsidRPr="00EC250C">
        <w:rPr>
          <w:lang w:eastAsia="en-US"/>
        </w:rPr>
        <w:t xml:space="preserve">zmiana </w:t>
      </w:r>
      <w:r w:rsidRPr="00EC250C">
        <w:rPr>
          <w:bCs/>
          <w:iCs/>
          <w:lang w:eastAsia="en-US"/>
        </w:rPr>
        <w:t>w art. 1 ust. 1 w brzmieniu: „2a) ustalenia związku schorzeń ze szczególnymi właściwościami lub warunkami służby dla celów ustalenia wysokości wynagrodzenia przysługującego funkcjonariuszom służb wskazanych w pkt 1 za okres zwolnienia od zajęć służbowych z powodu choroby”</w:t>
      </w:r>
      <w:r w:rsidRPr="00EC250C">
        <w:rPr>
          <w:lang w:eastAsia="en-US"/>
        </w:rPr>
        <w:t>)</w:t>
      </w:r>
      <w:r w:rsidRPr="00EC250C">
        <w:rPr>
          <w:bCs/>
          <w:iCs/>
          <w:lang w:eastAsia="en-US"/>
        </w:rPr>
        <w:t>.</w:t>
      </w:r>
    </w:p>
    <w:p w14:paraId="196BE02A" w14:textId="77777777" w:rsidR="00E1331E" w:rsidRPr="00EC250C" w:rsidRDefault="00E1331E" w:rsidP="00EC79EB">
      <w:pPr>
        <w:pStyle w:val="Nagwek4"/>
      </w:pPr>
      <w:bookmarkStart w:id="498" w:name="_Toc11247740"/>
      <w:r w:rsidRPr="00EC250C">
        <w:t>Przepisy obniżające świadczenia emerytalno-rentowe z tytułu służby pełnionej w PRL</w:t>
      </w:r>
      <w:bookmarkEnd w:id="498"/>
    </w:p>
    <w:p w14:paraId="5A837390" w14:textId="77777777" w:rsidR="00B473F5" w:rsidRPr="00EC250C" w:rsidRDefault="00E1331E" w:rsidP="00D131FA">
      <w:pPr>
        <w:pStyle w:val="Problemczowieka"/>
        <w:jc w:val="both"/>
        <w:rPr>
          <w:lang w:eastAsia="en-US"/>
        </w:rPr>
      </w:pPr>
      <w:r w:rsidRPr="00EC250C">
        <w:rPr>
          <w:lang w:eastAsia="en-US"/>
        </w:rPr>
        <w:t>Na przepisy ustawy represyjnej („dezubekizacyjnej”</w:t>
      </w:r>
      <w:r w:rsidRPr="00EC250C">
        <w:rPr>
          <w:rStyle w:val="Odwoanieprzypisudolnego"/>
          <w:bCs/>
          <w:iCs/>
          <w:lang w:eastAsia="en-US"/>
        </w:rPr>
        <w:footnoteReference w:id="500"/>
      </w:r>
      <w:r w:rsidRPr="00EC250C">
        <w:rPr>
          <w:lang w:eastAsia="en-US"/>
        </w:rPr>
        <w:t>) poskarżyło się do RPO na początku 2018 r. już 1500 osób</w:t>
      </w:r>
      <w:r w:rsidR="00B473F5" w:rsidRPr="00EC250C">
        <w:rPr>
          <w:lang w:eastAsia="en-US"/>
        </w:rPr>
        <w:t>.</w:t>
      </w:r>
    </w:p>
    <w:p w14:paraId="7FF54003" w14:textId="77777777" w:rsidR="00E1331E" w:rsidRPr="00EC250C" w:rsidRDefault="00E1331E" w:rsidP="00D131FA">
      <w:pPr>
        <w:pStyle w:val="Styl1"/>
        <w:rPr>
          <w:bCs/>
          <w:iCs/>
          <w:lang w:eastAsia="en-US"/>
        </w:rPr>
      </w:pPr>
      <w:r w:rsidRPr="00EC250C">
        <w:rPr>
          <w:bCs/>
          <w:iCs/>
          <w:lang w:eastAsia="en-US"/>
        </w:rPr>
        <w:lastRenderedPageBreak/>
        <w:t>Analiza spraw tych przez emerytów, rencistów oraz wdów i sierot po funkcjonariuszach PRL prowadzi do wniosku, że zakres ustawy został zakreślony zbyt szeroko. Ustawa ma też taki skutek, że funkcjonariusz, który po weryfikacji w 1990 r. przez lata nienagannie służył w III RP, ma – z powodu lat służby w PRL – uposażenie niższe niż funkcjonariusz prawomocnie skazany za przestępstwa (w przypadku skazania emerytura funkcjonariusza jest przeliczana według zasad obowiązujących w systemie powszechnym; ustawa represyjna po prostu świadczenie obniża).</w:t>
      </w:r>
    </w:p>
    <w:p w14:paraId="7EA5B816" w14:textId="77777777" w:rsidR="00E1331E" w:rsidRPr="00EC250C" w:rsidRDefault="00E1331E" w:rsidP="00D131FA">
      <w:pPr>
        <w:pStyle w:val="Styl1"/>
        <w:rPr>
          <w:bCs/>
          <w:iCs/>
          <w:lang w:eastAsia="en-US"/>
        </w:rPr>
      </w:pPr>
      <w:r w:rsidRPr="00EC250C">
        <w:rPr>
          <w:bCs/>
          <w:iCs/>
          <w:lang w:eastAsia="en-US"/>
        </w:rPr>
        <w:t>Ustawa nie uwzględnia przy tym tego, co naprawdę dany funkcjonariusz robił i jak wyglądała jego służba. Pośpiech towarzyszący uchwaleniu ustawy, a także zastosowany w niej mechanizm zbiorowej odpowiedzialności wyrządziły ogromną krzywdę ludziom, którzy być może na to nie zasługują. Nie sposób jej naprawić bez zmiany przepisów ustawy zaopatrzeniowej.</w:t>
      </w:r>
    </w:p>
    <w:p w14:paraId="36940DB8" w14:textId="77777777" w:rsidR="00E1331E" w:rsidRPr="00EC250C" w:rsidRDefault="00E1331E" w:rsidP="00D131FA">
      <w:pPr>
        <w:pStyle w:val="Styl1"/>
        <w:rPr>
          <w:bCs/>
          <w:iCs/>
          <w:lang w:eastAsia="en-US"/>
        </w:rPr>
      </w:pPr>
      <w:r w:rsidRPr="00EC250C">
        <w:rPr>
          <w:bCs/>
          <w:iCs/>
          <w:lang w:eastAsia="en-US"/>
        </w:rPr>
        <w:t>RPO zwrócił się</w:t>
      </w:r>
      <w:r w:rsidRPr="00EC250C">
        <w:rPr>
          <w:rStyle w:val="Odwoanieprzypisudolnego"/>
          <w:bCs/>
          <w:iCs/>
          <w:lang w:eastAsia="en-US"/>
        </w:rPr>
        <w:footnoteReference w:id="501"/>
      </w:r>
      <w:r w:rsidRPr="00EC250C">
        <w:rPr>
          <w:bCs/>
          <w:iCs/>
          <w:lang w:eastAsia="en-US"/>
        </w:rPr>
        <w:t xml:space="preserve"> do Ministra Spraw Wewnętrznych i Administracji o podjęcie inicjatywy ustawodawczej w celu zmiany przepisów. Minister uważa jednak nadal, że ustawa nie wymaga zmiany.</w:t>
      </w:r>
    </w:p>
    <w:p w14:paraId="68DF0AB5" w14:textId="77777777" w:rsidR="00E41227" w:rsidRPr="00EC250C" w:rsidRDefault="00E41227" w:rsidP="00EC250C">
      <w:pPr>
        <w:pStyle w:val="Nagwek8"/>
      </w:pPr>
      <w:r w:rsidRPr="00EC250C">
        <w:t>Konferencja „Represje wobec żołnierzy i funkcjonariuszy w Rzeczypospolitej</w:t>
      </w:r>
    </w:p>
    <w:p w14:paraId="4FAAAACE" w14:textId="77777777" w:rsidR="00E41227" w:rsidRPr="00EC250C" w:rsidRDefault="00E41227" w:rsidP="00D131FA">
      <w:pPr>
        <w:pStyle w:val="Styl2"/>
        <w:rPr>
          <w:szCs w:val="24"/>
        </w:rPr>
      </w:pPr>
      <w:r w:rsidRPr="00EC250C">
        <w:rPr>
          <w:szCs w:val="24"/>
        </w:rPr>
        <w:t>Wysłuchanie publiczne dotyczące polskiej ustawy represyjnej („dezubekizacyjnej”) zorganizowała w Parlamencie Europejskim Federacja Stowarzyszeń Służb Mundurowych we współpracy z europosłami SLD. Wzięli w nim udział także eurodeputowani z państw członkowskich UE. Polskiego ombudsmana reprezentował naczelnik Wydziału ds. Żołnierzy i Funkcjonariuszy BRPO. Zwrócił uwagę, że ustawa nie bierze pod uwagę indywidualnych osiągnięć poszczególnych funkcjonariuszy i uderza m.in. w osoby chore, jak również inwalidów, których ze względu na obniżenie rent i emerytur nie stać już na leczenie w placówkach medycznych. - Warto podkreślić, że wypadku wielu osób to inwalidztwo zostało orzeczone już po 1989 roku – zaznaczał.</w:t>
      </w:r>
    </w:p>
    <w:p w14:paraId="61676DA3" w14:textId="77777777" w:rsidR="00E41227" w:rsidRPr="00EC250C" w:rsidRDefault="00E41227" w:rsidP="00D131FA">
      <w:pPr>
        <w:pStyle w:val="Styl2"/>
        <w:rPr>
          <w:szCs w:val="24"/>
        </w:rPr>
      </w:pPr>
      <w:r w:rsidRPr="00EC250C">
        <w:rPr>
          <w:szCs w:val="24"/>
        </w:rPr>
        <w:t>Tłumaczył, że ustawa uderza rykoszetem w sportowców, którzy trenowali w klubach gwardyjskich w czasach PRL. Teraz wiele rodzin i wdów po sportowcach zwraca się w tej sprawie do RPO. Dezubekizacja objęła nawet ludzi zasłużonych w walce o niepodległość. Te osoby mają dzisiaj obniżone emerytury w zasadzie do minimum.</w:t>
      </w:r>
    </w:p>
    <w:p w14:paraId="57E5E705" w14:textId="77777777" w:rsidR="00E41227" w:rsidRPr="00EC250C" w:rsidRDefault="00E41227" w:rsidP="00D131FA">
      <w:pPr>
        <w:pStyle w:val="Styl1"/>
        <w:rPr>
          <w:bCs/>
          <w:iCs/>
          <w:lang w:eastAsia="en-US"/>
        </w:rPr>
      </w:pPr>
      <w:r w:rsidRPr="00EC250C">
        <w:br w:type="page"/>
      </w:r>
    </w:p>
    <w:p w14:paraId="29DC9EBB" w14:textId="77777777" w:rsidR="00E1331E" w:rsidRPr="00EC250C" w:rsidRDefault="00E1331E" w:rsidP="00EC250C">
      <w:pPr>
        <w:pStyle w:val="Nagwek8"/>
      </w:pPr>
      <w:r w:rsidRPr="00EC250C">
        <w:lastRenderedPageBreak/>
        <w:t>Sprawa funkcjonariuszy SB, którzy współpracowali z opozycja demokratyczną</w:t>
      </w:r>
    </w:p>
    <w:p w14:paraId="0FC245B3" w14:textId="77777777" w:rsidR="00E1331E" w:rsidRPr="00EC250C" w:rsidRDefault="00E1331E" w:rsidP="00D131FA">
      <w:pPr>
        <w:pStyle w:val="Styl2"/>
        <w:rPr>
          <w:szCs w:val="24"/>
        </w:rPr>
      </w:pPr>
      <w:r w:rsidRPr="00EC250C">
        <w:rPr>
          <w:szCs w:val="24"/>
        </w:rPr>
        <w:t>Do Rzecznika Praw Obywatelskich zwrócili się o pomoc byli funkcjonariusze PRL (Wydziału IV SB), którzy przed 1990 r., bez wiedzy przełożonych, podjęli współpracę i czynnie wspierali osoby lub organizacje działające na rzecz niepodległości państwa polskiego.</w:t>
      </w:r>
    </w:p>
    <w:p w14:paraId="2AF8AEBC" w14:textId="77777777" w:rsidR="00E1331E" w:rsidRPr="00EC250C" w:rsidRDefault="00E1331E" w:rsidP="00D131FA">
      <w:pPr>
        <w:pStyle w:val="Styl2"/>
        <w:rPr>
          <w:szCs w:val="24"/>
        </w:rPr>
      </w:pPr>
      <w:r w:rsidRPr="00EC250C">
        <w:rPr>
          <w:szCs w:val="24"/>
        </w:rPr>
        <w:t>Z uzasadnień wyroków w sprawach o obniżenie im świadczeń emerytalno-rentowych na podstawie poprzednio obowiązujących przepisów ustawy zaopatrzeniowej wynika, że w latach 80. XX w. podjęli oni działania zmierzające do udzielenia Kościołowi katolickiemu i „Solidarności” tajnych informacji o podsłuchach księży, inwigilacji korespondencji, planowanych prowokacjach podczas pielgrzymek i działaniach zmierzających do ich nie odbycia się. Wiadomości te były przekazywane na bieżąco przedstawicielom Kościoła.</w:t>
      </w:r>
    </w:p>
    <w:p w14:paraId="21541972" w14:textId="77777777" w:rsidR="00E1331E" w:rsidRPr="00EC250C" w:rsidRDefault="00E1331E" w:rsidP="00D131FA">
      <w:pPr>
        <w:pStyle w:val="Styl2"/>
        <w:rPr>
          <w:szCs w:val="24"/>
        </w:rPr>
      </w:pPr>
      <w:r w:rsidRPr="00EC250C">
        <w:rPr>
          <w:szCs w:val="24"/>
        </w:rPr>
        <w:t>Dowody te dały sądom podstawę do uznania, że funkcjonariusze ci przed rokiem 1990, bez wiedzy przełożonych podjęli współpracę i czynnie wspierali osoby i organizacje działające na rzecz niepodległości państwa polskiego w rozumieniu art. 15b ust. 3 i 4 ustawy zaopatrzeniowej (tzw. „pierwszej ustawy dezubekizacyjnej” z 2009 r.). Ich emerytura nie podlega więc obniżeniu.</w:t>
      </w:r>
    </w:p>
    <w:p w14:paraId="3260F844" w14:textId="77777777" w:rsidR="00E1331E" w:rsidRPr="00EC250C" w:rsidRDefault="00E1331E" w:rsidP="00D131FA">
      <w:pPr>
        <w:pStyle w:val="Styl2"/>
        <w:rPr>
          <w:szCs w:val="24"/>
        </w:rPr>
      </w:pPr>
      <w:r w:rsidRPr="00EC250C">
        <w:rPr>
          <w:szCs w:val="24"/>
        </w:rPr>
        <w:t>Przepis ten został uchylony z dniem 1 października 2017 r. przez nową ustawę represyjną („drugą ustawą dezubekizacyjną”). Teraz przepisy nie odwołują się do służby w organach bezpieczeństwa państwa wymienionych w ustawie lustracyjnej, a przywołują wprost służbę na rzecz totalitarnego państwa. Jednak współpraca z Kościołem została już raz oceniona. Aktualne przepisy są bardziej korzystne dla takich osób, bowiem udowodnienie wspierania osób i organizacji działających na rzecz niepodległości państwa wyłącza spod rygorów ustawy.</w:t>
      </w:r>
    </w:p>
    <w:p w14:paraId="4D2117FA" w14:textId="77777777" w:rsidR="00E1331E" w:rsidRPr="00EC250C" w:rsidRDefault="00E1331E" w:rsidP="00D131FA">
      <w:pPr>
        <w:pStyle w:val="Styl2"/>
        <w:rPr>
          <w:szCs w:val="24"/>
        </w:rPr>
      </w:pPr>
      <w:r w:rsidRPr="00EC250C">
        <w:rPr>
          <w:szCs w:val="24"/>
        </w:rPr>
        <w:t>Tymczasem zdaniem Ministra Spraw Wewnętrznych i Administracji</w:t>
      </w:r>
      <w:r w:rsidRPr="00EC250C">
        <w:rPr>
          <w:rStyle w:val="Odwoanieprzypisudolnego"/>
          <w:szCs w:val="24"/>
        </w:rPr>
        <w:footnoteReference w:id="502"/>
      </w:r>
      <w:r w:rsidRPr="00EC250C">
        <w:rPr>
          <w:szCs w:val="24"/>
        </w:rPr>
        <w:t xml:space="preserve"> fakt ten nie przeszkadza w ponownej ocenie sprawy i ustalenia im zerowego przelicznika za służbę w PRL. Rzecznik zwrócił uwagę, że takie stanowisko jest nieuprawnione: sytuacji tych funkcjonariuszy nie trzeba na nowo oceniać – wystarczającym dowodem na to, że działali na rzecz niepodległego państwa polskiego, jest treść prawomocnych wyroków sądowych w sprawach, w których sąd doliczył funkcjonariuszom w pełnym wymiarze okresy służby w latach 1944–1990 w trybie art. 15b ust. 3 i 4 ustawy zaopatrzeniowej.</w:t>
      </w:r>
    </w:p>
    <w:p w14:paraId="09A1B268" w14:textId="77777777" w:rsidR="00E1331E" w:rsidRPr="00EC250C" w:rsidRDefault="00E1331E" w:rsidP="00D131FA">
      <w:pPr>
        <w:pStyle w:val="Styl2"/>
        <w:rPr>
          <w:szCs w:val="24"/>
        </w:rPr>
      </w:pPr>
      <w:r w:rsidRPr="00EC250C">
        <w:rPr>
          <w:szCs w:val="24"/>
        </w:rPr>
        <w:t>RPO zwrócił się do MSWiA o weryfikację swojego stanowiska oraz spowodowanie uchylenia decyzji Zakładu Emerytalno-Rentowego MSWiA wobec osób wskazanych w interpelacji nr 14750.</w:t>
      </w:r>
    </w:p>
    <w:p w14:paraId="1B45F86E" w14:textId="77777777" w:rsidR="00E1331E" w:rsidRPr="00EC250C" w:rsidRDefault="00E1331E" w:rsidP="00D131FA">
      <w:pPr>
        <w:pStyle w:val="Styl2"/>
        <w:rPr>
          <w:szCs w:val="24"/>
        </w:rPr>
      </w:pPr>
      <w:r w:rsidRPr="00EC250C">
        <w:rPr>
          <w:szCs w:val="24"/>
        </w:rPr>
        <w:t>W odpowiedzi Minister poinformował, że przepisy „drugiej ustawy dezubekizacyjnej” nie pozwalają na nieobniżanie emerytur w tym przypadku. Sprawę musi rozstrzygnąć sąd.</w:t>
      </w:r>
      <w:r w:rsidRPr="00EC250C">
        <w:rPr>
          <w:rStyle w:val="Odwoanieprzypisudolnego"/>
          <w:rFonts w:eastAsiaTheme="minorHAnsi"/>
          <w:szCs w:val="24"/>
          <w:lang w:eastAsia="en-US"/>
        </w:rPr>
        <w:t xml:space="preserve"> </w:t>
      </w:r>
      <w:r w:rsidRPr="00EC250C">
        <w:rPr>
          <w:rStyle w:val="Odwoanieprzypisudolnego"/>
          <w:rFonts w:eastAsiaTheme="minorHAnsi"/>
          <w:szCs w:val="24"/>
          <w:lang w:eastAsia="en-US"/>
        </w:rPr>
        <w:footnoteReference w:id="503"/>
      </w:r>
    </w:p>
    <w:p w14:paraId="665853B9" w14:textId="77777777" w:rsidR="00E1331E" w:rsidRPr="00EC250C" w:rsidRDefault="00E1331E" w:rsidP="00D131FA">
      <w:pPr>
        <w:pStyle w:val="Styl2"/>
        <w:rPr>
          <w:szCs w:val="24"/>
        </w:rPr>
      </w:pPr>
      <w:r w:rsidRPr="00EC250C">
        <w:rPr>
          <w:szCs w:val="24"/>
        </w:rPr>
        <w:t>Dlatego Rzecznik Praw Obywatelskich przystąpił</w:t>
      </w:r>
      <w:r w:rsidRPr="00EC250C">
        <w:rPr>
          <w:rStyle w:val="Odwoanieprzypisudolnego"/>
          <w:b w:val="0"/>
          <w:szCs w:val="24"/>
          <w:lang w:eastAsia="en-US"/>
        </w:rPr>
        <w:footnoteReference w:id="504"/>
      </w:r>
      <w:r w:rsidRPr="00EC250C">
        <w:rPr>
          <w:szCs w:val="24"/>
        </w:rPr>
        <w:t xml:space="preserve"> do postępowania sądowego w sprawie odwołania od decyzji obniżającej emeryturę jednego z wyżej wymienionych funkcjonariuszy. Korzystny dla nich wyrok zapadł w 2019 r.</w:t>
      </w:r>
    </w:p>
    <w:p w14:paraId="6590D026" w14:textId="77777777" w:rsidR="00C91F6E" w:rsidRPr="00EC250C" w:rsidRDefault="003A663A" w:rsidP="00EC79EB">
      <w:pPr>
        <w:pStyle w:val="Nagwek4"/>
      </w:pPr>
      <w:bookmarkStart w:id="499" w:name="_Toc11247741"/>
      <w:r w:rsidRPr="00EC250C">
        <w:lastRenderedPageBreak/>
        <w:t>Obowiązek płacenia za pobyt</w:t>
      </w:r>
      <w:r w:rsidR="00992FD0" w:rsidRPr="00EC250C">
        <w:t xml:space="preserve"> w </w:t>
      </w:r>
      <w:r w:rsidRPr="00EC250C">
        <w:t xml:space="preserve">DPS nawet tych rodziców, którzy </w:t>
      </w:r>
      <w:bookmarkEnd w:id="493"/>
      <w:r w:rsidRPr="00EC250C">
        <w:t>zaniedbywali swoje rodzicielskie obowiązki</w:t>
      </w:r>
      <w:bookmarkEnd w:id="499"/>
    </w:p>
    <w:p w14:paraId="7F8E29E0" w14:textId="77777777" w:rsidR="00B473F5" w:rsidRPr="00EC250C" w:rsidRDefault="00187708" w:rsidP="00D131FA">
      <w:pPr>
        <w:pStyle w:val="Problemczowieka"/>
        <w:jc w:val="both"/>
        <w:rPr>
          <w:bdr w:val="none" w:sz="0" w:space="0" w:color="auto" w:frame="1"/>
        </w:rPr>
      </w:pPr>
      <w:r w:rsidRPr="00EC250C">
        <w:rPr>
          <w:bdr w:val="none" w:sz="0" w:space="0" w:color="auto" w:frame="1"/>
        </w:rPr>
        <w:t>Dorosłe dzieci rodziców, którzy</w:t>
      </w:r>
      <w:r w:rsidR="00992FD0" w:rsidRPr="00EC250C">
        <w:rPr>
          <w:bdr w:val="none" w:sz="0" w:space="0" w:color="auto" w:frame="1"/>
        </w:rPr>
        <w:t xml:space="preserve"> w </w:t>
      </w:r>
      <w:r w:rsidRPr="00EC250C">
        <w:rPr>
          <w:bdr w:val="none" w:sz="0" w:space="0" w:color="auto" w:frame="1"/>
        </w:rPr>
        <w:t>sposób rażący zaniedbywali obowiązki rodzicielskie lub byli sprawcami przemocy, zasługują na ochronę państwa</w:t>
      </w:r>
      <w:r w:rsidR="00992FD0" w:rsidRPr="00EC250C">
        <w:rPr>
          <w:bdr w:val="none" w:sz="0" w:space="0" w:color="auto" w:frame="1"/>
        </w:rPr>
        <w:t xml:space="preserve"> i </w:t>
      </w:r>
      <w:r w:rsidRPr="00EC250C">
        <w:rPr>
          <w:bdr w:val="none" w:sz="0" w:space="0" w:color="auto" w:frame="1"/>
        </w:rPr>
        <w:t>powinn</w:t>
      </w:r>
      <w:r w:rsidR="003A663A" w:rsidRPr="00EC250C">
        <w:rPr>
          <w:bdr w:val="none" w:sz="0" w:space="0" w:color="auto" w:frame="1"/>
        </w:rPr>
        <w:t>y</w:t>
      </w:r>
      <w:r w:rsidRPr="00EC250C">
        <w:rPr>
          <w:bdr w:val="none" w:sz="0" w:space="0" w:color="auto" w:frame="1"/>
        </w:rPr>
        <w:t xml:space="preserve"> zostać </w:t>
      </w:r>
      <w:r w:rsidR="008E211F" w:rsidRPr="00EC250C">
        <w:rPr>
          <w:bdr w:val="none" w:sz="0" w:space="0" w:color="auto" w:frame="1"/>
        </w:rPr>
        <w:t>zwolnione</w:t>
      </w:r>
      <w:r w:rsidR="00992FD0" w:rsidRPr="00EC250C">
        <w:rPr>
          <w:bdr w:val="none" w:sz="0" w:space="0" w:color="auto" w:frame="1"/>
        </w:rPr>
        <w:t xml:space="preserve"> z </w:t>
      </w:r>
      <w:r w:rsidRPr="00EC250C">
        <w:rPr>
          <w:bdr w:val="none" w:sz="0" w:space="0" w:color="auto" w:frame="1"/>
        </w:rPr>
        <w:t>opłat</w:t>
      </w:r>
      <w:r w:rsidR="003A663A" w:rsidRPr="00EC250C">
        <w:rPr>
          <w:bdr w:val="none" w:sz="0" w:space="0" w:color="auto" w:frame="1"/>
        </w:rPr>
        <w:t xml:space="preserve"> za DPS</w:t>
      </w:r>
      <w:r w:rsidR="00B473F5" w:rsidRPr="00EC250C">
        <w:rPr>
          <w:bdr w:val="none" w:sz="0" w:space="0" w:color="auto" w:frame="1"/>
        </w:rPr>
        <w:t>.</w:t>
      </w:r>
    </w:p>
    <w:p w14:paraId="0BE9820B" w14:textId="77777777" w:rsidR="00187708" w:rsidRPr="00EC250C" w:rsidRDefault="00187708" w:rsidP="00D131FA">
      <w:pPr>
        <w:pStyle w:val="Styl1"/>
      </w:pPr>
      <w:r w:rsidRPr="00EC250C">
        <w:t>RPO zwrócił się</w:t>
      </w:r>
      <w:r w:rsidR="00992FD0" w:rsidRPr="00EC250C">
        <w:t xml:space="preserve"> z </w:t>
      </w:r>
      <w:r w:rsidRPr="00EC250C">
        <w:t>tym postulatem</w:t>
      </w:r>
      <w:r w:rsidRPr="00EC250C">
        <w:rPr>
          <w:rStyle w:val="Odwoanieprzypisudolnego"/>
          <w:bCs/>
          <w:iCs/>
        </w:rPr>
        <w:footnoteReference w:id="505"/>
      </w:r>
      <w:r w:rsidRPr="00EC250C">
        <w:t>, ponieważ rząd zaczął pracę nad regulacjami</w:t>
      </w:r>
      <w:r w:rsidR="00992FD0" w:rsidRPr="00EC250C">
        <w:t xml:space="preserve"> w </w:t>
      </w:r>
      <w:r w:rsidRPr="00EC250C">
        <w:t>ustawie</w:t>
      </w:r>
      <w:r w:rsidR="00992FD0" w:rsidRPr="00EC250C">
        <w:t xml:space="preserve"> o </w:t>
      </w:r>
      <w:r w:rsidRPr="00EC250C">
        <w:t>pomocy społecznej</w:t>
      </w:r>
      <w:r w:rsidRPr="00EC250C">
        <w:rPr>
          <w:rStyle w:val="Odwoanieprzypisudolnego"/>
          <w:bCs/>
          <w:iCs/>
        </w:rPr>
        <w:footnoteReference w:id="506"/>
      </w:r>
      <w:r w:rsidR="003A663A" w:rsidRPr="00EC250C">
        <w:t xml:space="preserve"> dotyczącymi </w:t>
      </w:r>
      <w:r w:rsidRPr="00EC250C">
        <w:t>odpłatności za pobyt</w:t>
      </w:r>
      <w:r w:rsidR="00992FD0" w:rsidRPr="00EC250C">
        <w:t xml:space="preserve"> w </w:t>
      </w:r>
      <w:r w:rsidRPr="00EC250C">
        <w:t>domu pomocy społecznej.</w:t>
      </w:r>
    </w:p>
    <w:p w14:paraId="182EA9A7" w14:textId="77777777" w:rsidR="00C91F6E" w:rsidRPr="00EC250C" w:rsidRDefault="00187708" w:rsidP="00D131FA">
      <w:pPr>
        <w:pStyle w:val="Styl1"/>
        <w:rPr>
          <w:bCs/>
          <w:iCs/>
        </w:rPr>
      </w:pPr>
      <w:r w:rsidRPr="00EC250C">
        <w:rPr>
          <w:bCs/>
          <w:iCs/>
        </w:rPr>
        <w:t>Minister Rodziny, Pracy</w:t>
      </w:r>
      <w:r w:rsidR="00992FD0" w:rsidRPr="00EC250C">
        <w:rPr>
          <w:bCs/>
          <w:iCs/>
        </w:rPr>
        <w:t xml:space="preserve"> i </w:t>
      </w:r>
      <w:r w:rsidRPr="00EC250C">
        <w:rPr>
          <w:bCs/>
          <w:iCs/>
        </w:rPr>
        <w:t xml:space="preserve">Polityki Społecznej poinformował, że </w:t>
      </w:r>
      <w:r w:rsidR="003A663A" w:rsidRPr="00EC250C">
        <w:rPr>
          <w:bCs/>
          <w:iCs/>
        </w:rPr>
        <w:t xml:space="preserve">chce </w:t>
      </w:r>
      <w:r w:rsidRPr="00EC250C">
        <w:rPr>
          <w:bCs/>
          <w:iCs/>
        </w:rPr>
        <w:t>poszerz</w:t>
      </w:r>
      <w:r w:rsidR="00882B7A" w:rsidRPr="00EC250C">
        <w:rPr>
          <w:bCs/>
          <w:iCs/>
        </w:rPr>
        <w:t>yć</w:t>
      </w:r>
      <w:r w:rsidRPr="00EC250C">
        <w:rPr>
          <w:bCs/>
          <w:iCs/>
        </w:rPr>
        <w:t xml:space="preserve"> katalog </w:t>
      </w:r>
      <w:r w:rsidR="003A663A" w:rsidRPr="00EC250C">
        <w:rPr>
          <w:bCs/>
          <w:iCs/>
        </w:rPr>
        <w:t>zwolnień</w:t>
      </w:r>
      <w:r w:rsidR="00992FD0" w:rsidRPr="00EC250C">
        <w:rPr>
          <w:bCs/>
          <w:iCs/>
        </w:rPr>
        <w:t xml:space="preserve"> z </w:t>
      </w:r>
      <w:r w:rsidRPr="00EC250C">
        <w:rPr>
          <w:bCs/>
          <w:iCs/>
        </w:rPr>
        <w:t xml:space="preserve">obowiązku </w:t>
      </w:r>
      <w:r w:rsidR="003A663A" w:rsidRPr="00EC250C">
        <w:rPr>
          <w:bCs/>
          <w:iCs/>
        </w:rPr>
        <w:t>płacenia za pobyt bliskiej osoby</w:t>
      </w:r>
      <w:r w:rsidR="00992FD0" w:rsidRPr="00EC250C">
        <w:rPr>
          <w:bCs/>
          <w:iCs/>
        </w:rPr>
        <w:t xml:space="preserve"> w </w:t>
      </w:r>
      <w:r w:rsidR="003A663A" w:rsidRPr="00EC250C">
        <w:rPr>
          <w:bCs/>
          <w:iCs/>
        </w:rPr>
        <w:t>DPS</w:t>
      </w:r>
      <w:r w:rsidR="00992FD0" w:rsidRPr="00EC250C">
        <w:rPr>
          <w:bCs/>
          <w:iCs/>
        </w:rPr>
        <w:t xml:space="preserve"> o</w:t>
      </w:r>
    </w:p>
    <w:p w14:paraId="512F3459" w14:textId="77777777" w:rsidR="00C91F6E" w:rsidRPr="00EC250C" w:rsidRDefault="0096249C" w:rsidP="006C70B7">
      <w:pPr>
        <w:pStyle w:val="Styl1"/>
        <w:numPr>
          <w:ilvl w:val="0"/>
          <w:numId w:val="123"/>
        </w:numPr>
        <w:rPr>
          <w:bCs/>
          <w:iCs/>
        </w:rPr>
      </w:pPr>
      <w:r w:rsidRPr="00EC250C">
        <w:rPr>
          <w:bCs/>
          <w:iCs/>
        </w:rPr>
        <w:t xml:space="preserve">dzieci, które były źle traktowane przez rodziców teraz </w:t>
      </w:r>
      <w:r w:rsidR="00187708" w:rsidRPr="00EC250C">
        <w:rPr>
          <w:bCs/>
          <w:iCs/>
        </w:rPr>
        <w:t>kierowan</w:t>
      </w:r>
      <w:r w:rsidRPr="00EC250C">
        <w:rPr>
          <w:bCs/>
          <w:iCs/>
        </w:rPr>
        <w:t>ych</w:t>
      </w:r>
      <w:r w:rsidR="00187708" w:rsidRPr="00EC250C">
        <w:rPr>
          <w:bCs/>
          <w:iCs/>
        </w:rPr>
        <w:t xml:space="preserve"> do domu pomocy społeczne</w:t>
      </w:r>
      <w:r w:rsidR="003A663A" w:rsidRPr="00EC250C">
        <w:rPr>
          <w:bCs/>
          <w:iCs/>
        </w:rPr>
        <w:t>. (d</w:t>
      </w:r>
      <w:r w:rsidR="00187708" w:rsidRPr="00EC250C">
        <w:rPr>
          <w:bCs/>
          <w:iCs/>
        </w:rPr>
        <w:t>owodem na t</w:t>
      </w:r>
      <w:r w:rsidR="003A663A" w:rsidRPr="00EC250C">
        <w:rPr>
          <w:bCs/>
          <w:iCs/>
        </w:rPr>
        <w:t xml:space="preserve">o </w:t>
      </w:r>
      <w:r w:rsidR="00187708" w:rsidRPr="00EC250C">
        <w:rPr>
          <w:bCs/>
          <w:iCs/>
        </w:rPr>
        <w:t>byłoby ograniczenie władzy rodzicielskiej</w:t>
      </w:r>
      <w:r w:rsidR="00992FD0" w:rsidRPr="00EC250C">
        <w:rPr>
          <w:bCs/>
          <w:iCs/>
        </w:rPr>
        <w:t xml:space="preserve"> z </w:t>
      </w:r>
      <w:r w:rsidR="00187708" w:rsidRPr="00EC250C">
        <w:rPr>
          <w:bCs/>
          <w:iCs/>
        </w:rPr>
        <w:t>jednoczesnym skierowaniem dziecka przez sąd do rodziny zastępczej, rodzinnego domu dziecka lub placówki opiekuńczo-wychowawczej</w:t>
      </w:r>
      <w:r w:rsidR="003A663A" w:rsidRPr="00EC250C">
        <w:rPr>
          <w:bCs/>
          <w:iCs/>
        </w:rPr>
        <w:t>,</w:t>
      </w:r>
      <w:r w:rsidR="00992FD0" w:rsidRPr="00EC250C">
        <w:rPr>
          <w:bCs/>
          <w:iCs/>
        </w:rPr>
        <w:t xml:space="preserve"> a </w:t>
      </w:r>
      <w:r w:rsidR="003A663A" w:rsidRPr="00EC250C">
        <w:rPr>
          <w:bCs/>
          <w:iCs/>
        </w:rPr>
        <w:t>także decyzja sądu</w:t>
      </w:r>
      <w:r w:rsidR="00992FD0" w:rsidRPr="00EC250C">
        <w:rPr>
          <w:bCs/>
          <w:iCs/>
        </w:rPr>
        <w:t xml:space="preserve"> o </w:t>
      </w:r>
      <w:r w:rsidR="00187708" w:rsidRPr="00EC250C">
        <w:rPr>
          <w:bCs/>
          <w:iCs/>
        </w:rPr>
        <w:t>oddal</w:t>
      </w:r>
      <w:r w:rsidR="003A663A" w:rsidRPr="00EC250C">
        <w:rPr>
          <w:bCs/>
          <w:iCs/>
        </w:rPr>
        <w:t>eniu</w:t>
      </w:r>
      <w:r w:rsidR="00187708" w:rsidRPr="00EC250C">
        <w:rPr>
          <w:bCs/>
          <w:iCs/>
        </w:rPr>
        <w:t xml:space="preserve"> powództw</w:t>
      </w:r>
      <w:r w:rsidR="003A663A" w:rsidRPr="00EC250C">
        <w:rPr>
          <w:bCs/>
          <w:iCs/>
        </w:rPr>
        <w:t>a</w:t>
      </w:r>
      <w:r w:rsidR="00992FD0" w:rsidRPr="00EC250C">
        <w:rPr>
          <w:bCs/>
          <w:iCs/>
        </w:rPr>
        <w:t xml:space="preserve"> o </w:t>
      </w:r>
      <w:r w:rsidR="00187708" w:rsidRPr="00EC250C">
        <w:rPr>
          <w:bCs/>
          <w:iCs/>
        </w:rPr>
        <w:t>alimenty przeciwko osobie zobowiązanej do wnoszenia opłat</w:t>
      </w:r>
      <w:r w:rsidRPr="00EC250C">
        <w:rPr>
          <w:bCs/>
          <w:iCs/>
        </w:rPr>
        <w:t>)</w:t>
      </w:r>
      <w:r w:rsidR="00187708" w:rsidRPr="00EC250C">
        <w:rPr>
          <w:bCs/>
          <w:iCs/>
        </w:rPr>
        <w:t>.</w:t>
      </w:r>
    </w:p>
    <w:p w14:paraId="1AF81B84" w14:textId="77777777" w:rsidR="00C91F6E" w:rsidRPr="00EC250C" w:rsidRDefault="0096249C" w:rsidP="006C70B7">
      <w:pPr>
        <w:pStyle w:val="Styl1"/>
        <w:numPr>
          <w:ilvl w:val="0"/>
          <w:numId w:val="123"/>
        </w:numPr>
        <w:rPr>
          <w:bCs/>
          <w:iCs/>
        </w:rPr>
      </w:pPr>
      <w:r w:rsidRPr="00EC250C">
        <w:rPr>
          <w:bCs/>
          <w:iCs/>
        </w:rPr>
        <w:t xml:space="preserve">ofiary przemocy domowej (dowodem byłby </w:t>
      </w:r>
      <w:r w:rsidR="00187708" w:rsidRPr="00EC250C">
        <w:rPr>
          <w:bCs/>
          <w:iCs/>
        </w:rPr>
        <w:t>prawomocn</w:t>
      </w:r>
      <w:r w:rsidRPr="00EC250C">
        <w:rPr>
          <w:bCs/>
          <w:iCs/>
        </w:rPr>
        <w:t xml:space="preserve">y wyrok, że </w:t>
      </w:r>
      <w:r w:rsidR="0056130F" w:rsidRPr="00EC250C">
        <w:rPr>
          <w:bCs/>
          <w:iCs/>
        </w:rPr>
        <w:t xml:space="preserve">kierowana do DPS osoba </w:t>
      </w:r>
      <w:r w:rsidRPr="00EC250C">
        <w:rPr>
          <w:bCs/>
          <w:iCs/>
        </w:rPr>
        <w:t>był</w:t>
      </w:r>
      <w:r w:rsidR="0056130F" w:rsidRPr="00EC250C">
        <w:rPr>
          <w:bCs/>
          <w:iCs/>
        </w:rPr>
        <w:t>a</w:t>
      </w:r>
      <w:r w:rsidRPr="00EC250C">
        <w:rPr>
          <w:bCs/>
          <w:iCs/>
        </w:rPr>
        <w:t xml:space="preserve"> </w:t>
      </w:r>
      <w:r w:rsidR="0056130F" w:rsidRPr="00EC250C">
        <w:rPr>
          <w:bCs/>
          <w:iCs/>
        </w:rPr>
        <w:t xml:space="preserve">sprawcą </w:t>
      </w:r>
      <w:r w:rsidR="00187708" w:rsidRPr="00EC250C">
        <w:rPr>
          <w:bCs/>
          <w:iCs/>
        </w:rPr>
        <w:t>przestępstwo popełnione</w:t>
      </w:r>
      <w:r w:rsidR="00992FD0" w:rsidRPr="00EC250C">
        <w:rPr>
          <w:bCs/>
          <w:iCs/>
        </w:rPr>
        <w:t xml:space="preserve"> z </w:t>
      </w:r>
      <w:r w:rsidR="00187708" w:rsidRPr="00EC250C">
        <w:rPr>
          <w:bCs/>
          <w:iCs/>
        </w:rPr>
        <w:t>użyciem przemocy na szkodę osoby zobowiązanej do wnoszenia opłaty lub jej rodzica</w:t>
      </w:r>
      <w:r w:rsidR="0056130F" w:rsidRPr="00EC250C">
        <w:rPr>
          <w:bCs/>
          <w:iCs/>
        </w:rPr>
        <w:t>)</w:t>
      </w:r>
      <w:r w:rsidR="00187708" w:rsidRPr="00EC250C">
        <w:rPr>
          <w:bCs/>
          <w:iCs/>
        </w:rPr>
        <w:t>.</w:t>
      </w:r>
    </w:p>
    <w:p w14:paraId="3B4460FC" w14:textId="77777777" w:rsidR="00187708" w:rsidRPr="00EC250C" w:rsidRDefault="00187708" w:rsidP="00D131FA">
      <w:pPr>
        <w:pStyle w:val="Styl1"/>
        <w:rPr>
          <w:bCs/>
          <w:iCs/>
        </w:rPr>
      </w:pPr>
      <w:r w:rsidRPr="00EC250C">
        <w:rPr>
          <w:bCs/>
          <w:iCs/>
        </w:rPr>
        <w:t>W kolejnym piśmie Departament Pomocy</w:t>
      </w:r>
      <w:r w:rsidR="00992FD0" w:rsidRPr="00EC250C">
        <w:rPr>
          <w:bCs/>
          <w:iCs/>
        </w:rPr>
        <w:t xml:space="preserve"> i </w:t>
      </w:r>
      <w:r w:rsidRPr="00EC250C">
        <w:rPr>
          <w:bCs/>
          <w:iCs/>
        </w:rPr>
        <w:t>Integracji Społecznej Ministerstwa Rodziny, Pracy</w:t>
      </w:r>
      <w:r w:rsidR="00992FD0" w:rsidRPr="00EC250C">
        <w:rPr>
          <w:bCs/>
          <w:iCs/>
        </w:rPr>
        <w:t xml:space="preserve"> i </w:t>
      </w:r>
      <w:r w:rsidRPr="00EC250C">
        <w:rPr>
          <w:bCs/>
          <w:iCs/>
        </w:rPr>
        <w:t>Polityki Społecznej poinformował, że projekt ustawy</w:t>
      </w:r>
      <w:r w:rsidR="00992FD0" w:rsidRPr="00EC250C">
        <w:rPr>
          <w:bCs/>
          <w:iCs/>
        </w:rPr>
        <w:t xml:space="preserve"> o </w:t>
      </w:r>
      <w:r w:rsidRPr="00EC250C">
        <w:rPr>
          <w:bCs/>
          <w:iCs/>
        </w:rPr>
        <w:t>zmianie ustawy</w:t>
      </w:r>
      <w:r w:rsidR="00992FD0" w:rsidRPr="00EC250C">
        <w:rPr>
          <w:bCs/>
          <w:iCs/>
        </w:rPr>
        <w:t xml:space="preserve"> o </w:t>
      </w:r>
      <w:r w:rsidRPr="00EC250C">
        <w:rPr>
          <w:bCs/>
          <w:iCs/>
        </w:rPr>
        <w:t>pomocy społecznej oraz ustawy</w:t>
      </w:r>
      <w:r w:rsidR="00992FD0" w:rsidRPr="00EC250C">
        <w:rPr>
          <w:bCs/>
          <w:iCs/>
        </w:rPr>
        <w:t xml:space="preserve"> o </w:t>
      </w:r>
      <w:r w:rsidRPr="00EC250C">
        <w:rPr>
          <w:bCs/>
          <w:iCs/>
        </w:rPr>
        <w:t xml:space="preserve">ochronie zdrowia psychicznego jest </w:t>
      </w:r>
      <w:r w:rsidR="0056130F" w:rsidRPr="00EC250C">
        <w:rPr>
          <w:bCs/>
          <w:iCs/>
        </w:rPr>
        <w:t xml:space="preserve">już </w:t>
      </w:r>
      <w:r w:rsidRPr="00EC250C">
        <w:rPr>
          <w:bCs/>
          <w:iCs/>
        </w:rPr>
        <w:t>przedmiotem prac legislacyjnych</w:t>
      </w:r>
      <w:r w:rsidR="008E211F" w:rsidRPr="00EC250C">
        <w:rPr>
          <w:bCs/>
          <w:iCs/>
        </w:rPr>
        <w:t>.</w:t>
      </w:r>
    </w:p>
    <w:p w14:paraId="494968B5" w14:textId="77777777" w:rsidR="00187708" w:rsidRPr="00EC250C" w:rsidRDefault="00187708" w:rsidP="00EC79EB">
      <w:pPr>
        <w:pStyle w:val="Nagwek4"/>
      </w:pPr>
      <w:bookmarkStart w:id="500" w:name="_Toc6257861"/>
      <w:bookmarkStart w:id="501" w:name="_Toc11247742"/>
      <w:r w:rsidRPr="00EC250C">
        <w:t>Nieprawidłowości</w:t>
      </w:r>
      <w:r w:rsidR="00992FD0" w:rsidRPr="00EC250C">
        <w:t xml:space="preserve"> w </w:t>
      </w:r>
      <w:r w:rsidRPr="00EC250C">
        <w:t>placówkach zapewniających całodobową opiekę</w:t>
      </w:r>
      <w:bookmarkEnd w:id="500"/>
      <w:bookmarkEnd w:id="501"/>
    </w:p>
    <w:p w14:paraId="2042B455" w14:textId="77777777" w:rsidR="00187708" w:rsidRPr="00EC250C" w:rsidRDefault="00187708" w:rsidP="00D131FA">
      <w:pPr>
        <w:pStyle w:val="ODESANIE"/>
        <w:jc w:val="both"/>
        <w:rPr>
          <w:lang w:eastAsia="zh-CN" w:bidi="hi-IN"/>
        </w:rPr>
      </w:pPr>
      <w:r w:rsidRPr="00EC250C">
        <w:rPr>
          <w:lang w:eastAsia="zh-CN" w:bidi="hi-IN"/>
        </w:rPr>
        <w:t>Patrz – art. 40 Konstytucji</w:t>
      </w:r>
    </w:p>
    <w:p w14:paraId="3A0CECC8" w14:textId="77777777" w:rsidR="00C91F6E" w:rsidRPr="00EC250C" w:rsidRDefault="00187708" w:rsidP="00EC79EB">
      <w:pPr>
        <w:pStyle w:val="Nagwek4"/>
      </w:pPr>
      <w:bookmarkStart w:id="502" w:name="_Toc6257862"/>
      <w:bookmarkStart w:id="503" w:name="_Toc11247743"/>
      <w:r w:rsidRPr="00EC250C">
        <w:t>Świadczenia</w:t>
      </w:r>
      <w:r w:rsidR="00992FD0" w:rsidRPr="00EC250C">
        <w:t xml:space="preserve"> z </w:t>
      </w:r>
      <w:r w:rsidRPr="00EC250C">
        <w:t>pomocy społecznej dla osób</w:t>
      </w:r>
      <w:r w:rsidR="00992FD0" w:rsidRPr="00EC250C">
        <w:t xml:space="preserve"> w </w:t>
      </w:r>
      <w:r w:rsidRPr="00EC250C">
        <w:t>kryzysie bezdomności</w:t>
      </w:r>
      <w:bookmarkEnd w:id="502"/>
      <w:bookmarkEnd w:id="503"/>
    </w:p>
    <w:p w14:paraId="1CE48E93" w14:textId="77777777" w:rsidR="00B473F5" w:rsidRPr="00EC250C" w:rsidRDefault="00187708" w:rsidP="00D131FA">
      <w:pPr>
        <w:pStyle w:val="Problemczowieka"/>
        <w:jc w:val="both"/>
      </w:pPr>
      <w:r w:rsidRPr="00EC250C">
        <w:rPr>
          <w:bdr w:val="none" w:sz="0" w:space="0" w:color="auto" w:frame="1"/>
        </w:rPr>
        <w:t>Kiedy osoby</w:t>
      </w:r>
      <w:r w:rsidR="00992FD0" w:rsidRPr="00EC250C">
        <w:rPr>
          <w:bdr w:val="none" w:sz="0" w:space="0" w:color="auto" w:frame="1"/>
        </w:rPr>
        <w:t xml:space="preserve"> w </w:t>
      </w:r>
      <w:r w:rsidRPr="00EC250C">
        <w:rPr>
          <w:bdr w:val="none" w:sz="0" w:space="0" w:color="auto" w:frame="1"/>
        </w:rPr>
        <w:t>kryzysie bezdomności chcą skorzystać</w:t>
      </w:r>
      <w:r w:rsidR="00992FD0" w:rsidRPr="00EC250C">
        <w:rPr>
          <w:bdr w:val="none" w:sz="0" w:space="0" w:color="auto" w:frame="1"/>
        </w:rPr>
        <w:t xml:space="preserve"> z </w:t>
      </w:r>
      <w:r w:rsidRPr="00EC250C">
        <w:rPr>
          <w:bdr w:val="none" w:sz="0" w:space="0" w:color="auto" w:frame="1"/>
        </w:rPr>
        <w:t xml:space="preserve">pomocy społecznej, </w:t>
      </w:r>
      <w:r w:rsidRPr="00EC250C">
        <w:t>odsyłane są do gminy swojego ostatniego miejsca zameldowania. Tymczasem ich wi</w:t>
      </w:r>
      <w:r w:rsidRPr="00EC250C">
        <w:rPr>
          <w:rFonts w:hint="eastAsia"/>
        </w:rPr>
        <w:t>ę</w:t>
      </w:r>
      <w:r w:rsidRPr="00EC250C">
        <w:t>zi</w:t>
      </w:r>
      <w:r w:rsidR="00992FD0" w:rsidRPr="00EC250C">
        <w:t xml:space="preserve"> z </w:t>
      </w:r>
      <w:r w:rsidRPr="00EC250C">
        <w:t>tym miejscem cz</w:t>
      </w:r>
      <w:r w:rsidRPr="00EC250C">
        <w:rPr>
          <w:rFonts w:hint="eastAsia"/>
        </w:rPr>
        <w:t>ę</w:t>
      </w:r>
      <w:r w:rsidRPr="00EC250C">
        <w:t>sto s</w:t>
      </w:r>
      <w:r w:rsidRPr="00EC250C">
        <w:rPr>
          <w:rFonts w:hint="eastAsia"/>
        </w:rPr>
        <w:t>ą</w:t>
      </w:r>
      <w:r w:rsidRPr="00EC250C">
        <w:t xml:space="preserve"> ju</w:t>
      </w:r>
      <w:r w:rsidRPr="00EC250C">
        <w:rPr>
          <w:rFonts w:hint="eastAsia"/>
        </w:rPr>
        <w:t>ż</w:t>
      </w:r>
      <w:r w:rsidRPr="00EC250C">
        <w:t xml:space="preserve"> dawno zerwane</w:t>
      </w:r>
      <w:r w:rsidR="00B473F5" w:rsidRPr="00EC250C">
        <w:t>.</w:t>
      </w:r>
    </w:p>
    <w:p w14:paraId="073E4FAF" w14:textId="77777777" w:rsidR="00187708" w:rsidRPr="00EC250C" w:rsidRDefault="00D76DC6" w:rsidP="00D131FA">
      <w:pPr>
        <w:pStyle w:val="Styl1"/>
      </w:pPr>
      <w:r w:rsidRPr="00EC250C">
        <w:t>RPO</w:t>
      </w:r>
      <w:r w:rsidR="00187708" w:rsidRPr="00EC250C">
        <w:t xml:space="preserve"> </w:t>
      </w:r>
      <w:r w:rsidR="0056130F" w:rsidRPr="00EC250C">
        <w:t xml:space="preserve">przekazał </w:t>
      </w:r>
      <w:r w:rsidR="00187708" w:rsidRPr="00EC250C">
        <w:t>Minist</w:t>
      </w:r>
      <w:r w:rsidR="0056130F" w:rsidRPr="00EC250C">
        <w:t>rowi</w:t>
      </w:r>
      <w:r w:rsidR="00187708" w:rsidRPr="00EC250C">
        <w:t xml:space="preserve"> Rodziny, Pracy</w:t>
      </w:r>
      <w:r w:rsidR="00992FD0" w:rsidRPr="00EC250C">
        <w:t xml:space="preserve"> i </w:t>
      </w:r>
      <w:r w:rsidR="00187708" w:rsidRPr="00EC250C">
        <w:t>Polityki Społecznej</w:t>
      </w:r>
      <w:r w:rsidR="0056130F" w:rsidRPr="00EC250C">
        <w:t xml:space="preserve"> rekomendacje ekspertów współpracujących</w:t>
      </w:r>
      <w:r w:rsidR="00992FD0" w:rsidRPr="00EC250C">
        <w:t xml:space="preserve"> z </w:t>
      </w:r>
      <w:r w:rsidR="0056130F" w:rsidRPr="00EC250C">
        <w:t>nim</w:t>
      </w:r>
      <w:r w:rsidR="00992FD0" w:rsidRPr="00EC250C">
        <w:t xml:space="preserve"> w </w:t>
      </w:r>
      <w:r w:rsidR="0056130F" w:rsidRPr="00EC250C">
        <w:t xml:space="preserve">ramach Komisji </w:t>
      </w:r>
      <w:r w:rsidR="00187708" w:rsidRPr="00EC250C">
        <w:t>RPO ds. przeciwdziałania bezdomności</w:t>
      </w:r>
      <w:r w:rsidR="0056130F" w:rsidRPr="00EC250C">
        <w:t>:</w:t>
      </w:r>
    </w:p>
    <w:p w14:paraId="7C839B7A" w14:textId="77777777" w:rsidR="00187708" w:rsidRPr="00EC250C" w:rsidRDefault="00187708" w:rsidP="006C70B7">
      <w:pPr>
        <w:pStyle w:val="Styl1"/>
        <w:numPr>
          <w:ilvl w:val="0"/>
          <w:numId w:val="52"/>
        </w:numPr>
      </w:pPr>
      <w:r w:rsidRPr="00EC250C">
        <w:lastRenderedPageBreak/>
        <w:t>konieczne jest respektowanie woli osoby bezdomnej</w:t>
      </w:r>
      <w:r w:rsidR="0056130F" w:rsidRPr="00EC250C">
        <w:t xml:space="preserve">, gdzie chce </w:t>
      </w:r>
      <w:r w:rsidRPr="00EC250C">
        <w:t>przebywa</w:t>
      </w:r>
      <w:r w:rsidR="0056130F" w:rsidRPr="00EC250C">
        <w:t>ć</w:t>
      </w:r>
      <w:r w:rsidRPr="00EC250C">
        <w:t>, tak aby praca socjalna</w:t>
      </w:r>
      <w:r w:rsidR="00992FD0" w:rsidRPr="00EC250C">
        <w:t xml:space="preserve"> z </w:t>
      </w:r>
      <w:r w:rsidRPr="00EC250C">
        <w:t>osobą</w:t>
      </w:r>
      <w:r w:rsidR="00992FD0" w:rsidRPr="00EC250C">
        <w:t xml:space="preserve"> w </w:t>
      </w:r>
      <w:r w:rsidRPr="00EC250C">
        <w:t>kryzysie bezdomności miała sens, przynosiła efekt,</w:t>
      </w:r>
      <w:r w:rsidR="00992FD0" w:rsidRPr="00EC250C">
        <w:t xml:space="preserve"> a </w:t>
      </w:r>
      <w:r w:rsidRPr="00EC250C">
        <w:t>środki pieniężne nie były marnotrawione,</w:t>
      </w:r>
    </w:p>
    <w:p w14:paraId="5FF08C48" w14:textId="77777777" w:rsidR="00187708" w:rsidRPr="00EC250C" w:rsidRDefault="00187708" w:rsidP="006C70B7">
      <w:pPr>
        <w:pStyle w:val="Styl1"/>
        <w:numPr>
          <w:ilvl w:val="0"/>
          <w:numId w:val="52"/>
        </w:numPr>
      </w:pPr>
      <w:r w:rsidRPr="00EC250C">
        <w:t>należy stworzyć „koszyk świadczeń” dla bezdomnych, którego realizacji można by się domagać na terenie całego kraju, niezależnie od miejsca pobytu osoby bezdomnej oraz rozwiązań, które przyjęła dana gmina,</w:t>
      </w:r>
    </w:p>
    <w:p w14:paraId="2A4294D4" w14:textId="77777777" w:rsidR="00187708" w:rsidRPr="00EC250C" w:rsidRDefault="00187708" w:rsidP="006C70B7">
      <w:pPr>
        <w:pStyle w:val="Styl1"/>
        <w:numPr>
          <w:ilvl w:val="0"/>
          <w:numId w:val="52"/>
        </w:numPr>
      </w:pPr>
      <w:r w:rsidRPr="00EC250C">
        <w:t>pomoc bezdomnym powinna stać się zadaniem zleconym</w:t>
      </w:r>
      <w:r w:rsidR="00992FD0" w:rsidRPr="00EC250C">
        <w:t xml:space="preserve"> z </w:t>
      </w:r>
      <w:r w:rsidRPr="00EC250C">
        <w:t>zakresu administracji rządowej, finansowanym centralnie, co pozwoliłoby rozwiązać problem właściwości miejscowej organu udzielającego pomocy.</w:t>
      </w:r>
    </w:p>
    <w:p w14:paraId="5754475B" w14:textId="77777777" w:rsidR="0056130F" w:rsidRPr="00EC250C" w:rsidRDefault="0056130F" w:rsidP="006C70B7">
      <w:pPr>
        <w:pStyle w:val="Styl1"/>
        <w:numPr>
          <w:ilvl w:val="0"/>
          <w:numId w:val="52"/>
        </w:numPr>
      </w:pPr>
      <w:r w:rsidRPr="00EC250C">
        <w:t>powinny zostać określone standardy pracy socjalnej</w:t>
      </w:r>
      <w:r w:rsidR="00992FD0" w:rsidRPr="00EC250C">
        <w:t xml:space="preserve"> z </w:t>
      </w:r>
      <w:r w:rsidRPr="00EC250C">
        <w:t>osobą bezdomną,</w:t>
      </w:r>
    </w:p>
    <w:p w14:paraId="57424CB1" w14:textId="77777777" w:rsidR="00C91F6E" w:rsidRPr="00EC250C" w:rsidRDefault="00187708" w:rsidP="00D131FA">
      <w:pPr>
        <w:pStyle w:val="Styl1"/>
        <w:rPr>
          <w:bCs/>
          <w:iCs/>
        </w:rPr>
      </w:pPr>
      <w:r w:rsidRPr="00EC250C">
        <w:rPr>
          <w:bCs/>
          <w:iCs/>
        </w:rPr>
        <w:t>Minister wyjaśnił, że wskazanie gminy ostatniego miejsca zameldowania na pobyt stały wynika</w:t>
      </w:r>
      <w:r w:rsidR="00992FD0" w:rsidRPr="00EC250C">
        <w:rPr>
          <w:bCs/>
          <w:iCs/>
        </w:rPr>
        <w:t xml:space="preserve"> z </w:t>
      </w:r>
      <w:r w:rsidRPr="00EC250C">
        <w:rPr>
          <w:bCs/>
          <w:iCs/>
        </w:rPr>
        <w:t xml:space="preserve">konieczności określenia, </w:t>
      </w:r>
      <w:r w:rsidR="0056130F" w:rsidRPr="00EC250C">
        <w:rPr>
          <w:bCs/>
          <w:iCs/>
        </w:rPr>
        <w:t xml:space="preserve">jaka </w:t>
      </w:r>
      <w:r w:rsidRPr="00EC250C">
        <w:rPr>
          <w:bCs/>
          <w:iCs/>
        </w:rPr>
        <w:t>gmina jest właściwa do udzielenia świadczenia</w:t>
      </w:r>
      <w:r w:rsidR="0056130F" w:rsidRPr="00EC250C">
        <w:rPr>
          <w:bCs/>
          <w:iCs/>
        </w:rPr>
        <w:t xml:space="preserve"> (czyli ma </w:t>
      </w:r>
      <w:r w:rsidRPr="00EC250C">
        <w:rPr>
          <w:bCs/>
          <w:iCs/>
        </w:rPr>
        <w:t>ponos</w:t>
      </w:r>
      <w:r w:rsidR="0056130F" w:rsidRPr="00EC250C">
        <w:rPr>
          <w:bCs/>
          <w:iCs/>
        </w:rPr>
        <w:t>ić</w:t>
      </w:r>
      <w:r w:rsidRPr="00EC250C">
        <w:rPr>
          <w:bCs/>
          <w:iCs/>
        </w:rPr>
        <w:t xml:space="preserve"> wydatk</w:t>
      </w:r>
      <w:r w:rsidR="0056130F" w:rsidRPr="00EC250C">
        <w:rPr>
          <w:bCs/>
          <w:iCs/>
        </w:rPr>
        <w:t>i na rzecz osoby</w:t>
      </w:r>
      <w:r w:rsidR="00992FD0" w:rsidRPr="00EC250C">
        <w:rPr>
          <w:bCs/>
          <w:iCs/>
        </w:rPr>
        <w:t xml:space="preserve"> w </w:t>
      </w:r>
      <w:r w:rsidR="0056130F" w:rsidRPr="00EC250C">
        <w:rPr>
          <w:bCs/>
          <w:iCs/>
        </w:rPr>
        <w:t>kryzysie bezdomności)</w:t>
      </w:r>
      <w:r w:rsidRPr="00EC250C">
        <w:rPr>
          <w:bCs/>
          <w:iCs/>
        </w:rPr>
        <w:t>.</w:t>
      </w:r>
    </w:p>
    <w:p w14:paraId="25850BF4" w14:textId="77777777" w:rsidR="00187708" w:rsidRPr="00EC250C" w:rsidRDefault="00882B7A" w:rsidP="00D131FA">
      <w:pPr>
        <w:pStyle w:val="Styl1"/>
        <w:rPr>
          <w:bCs/>
          <w:iCs/>
        </w:rPr>
      </w:pPr>
      <w:r w:rsidRPr="00EC250C">
        <w:rPr>
          <w:bCs/>
          <w:iCs/>
        </w:rPr>
        <w:t xml:space="preserve">Minister </w:t>
      </w:r>
      <w:r w:rsidR="00187708" w:rsidRPr="00EC250C">
        <w:rPr>
          <w:bCs/>
          <w:iCs/>
        </w:rPr>
        <w:t>planuje zmiany</w:t>
      </w:r>
      <w:r w:rsidR="00992FD0" w:rsidRPr="00EC250C">
        <w:rPr>
          <w:bCs/>
          <w:iCs/>
        </w:rPr>
        <w:t xml:space="preserve"> w </w:t>
      </w:r>
      <w:r w:rsidR="00187708" w:rsidRPr="00EC250C">
        <w:rPr>
          <w:bCs/>
          <w:iCs/>
        </w:rPr>
        <w:t>ustawie</w:t>
      </w:r>
      <w:r w:rsidR="00992FD0" w:rsidRPr="00EC250C">
        <w:rPr>
          <w:bCs/>
          <w:iCs/>
        </w:rPr>
        <w:t xml:space="preserve"> o </w:t>
      </w:r>
      <w:r w:rsidR="00187708" w:rsidRPr="00EC250C">
        <w:rPr>
          <w:bCs/>
          <w:iCs/>
        </w:rPr>
        <w:t>pomocy społecznej</w:t>
      </w:r>
      <w:r w:rsidR="0056130F" w:rsidRPr="00EC250C">
        <w:rPr>
          <w:bCs/>
          <w:iCs/>
        </w:rPr>
        <w:t xml:space="preserve">. </w:t>
      </w:r>
      <w:r w:rsidRPr="00EC250C">
        <w:rPr>
          <w:bCs/>
          <w:iCs/>
        </w:rPr>
        <w:t xml:space="preserve">Rozważa doprecyzowanie </w:t>
      </w:r>
      <w:r w:rsidR="00187708" w:rsidRPr="00EC250C">
        <w:rPr>
          <w:bCs/>
          <w:iCs/>
        </w:rPr>
        <w:t>przepisu</w:t>
      </w:r>
      <w:r w:rsidR="00992FD0" w:rsidRPr="00EC250C">
        <w:rPr>
          <w:bCs/>
          <w:iCs/>
        </w:rPr>
        <w:t xml:space="preserve"> o </w:t>
      </w:r>
      <w:r w:rsidR="00187708" w:rsidRPr="00EC250C">
        <w:rPr>
          <w:bCs/>
          <w:iCs/>
        </w:rPr>
        <w:t>procedur</w:t>
      </w:r>
      <w:r w:rsidR="0056130F" w:rsidRPr="00EC250C">
        <w:rPr>
          <w:bCs/>
          <w:iCs/>
        </w:rPr>
        <w:t>ze</w:t>
      </w:r>
      <w:r w:rsidR="00187708" w:rsidRPr="00EC250C">
        <w:rPr>
          <w:bCs/>
          <w:iCs/>
        </w:rPr>
        <w:t xml:space="preserve"> kontraktu socjalnego</w:t>
      </w:r>
      <w:r w:rsidR="00992FD0" w:rsidRPr="00EC250C">
        <w:rPr>
          <w:bCs/>
          <w:iCs/>
        </w:rPr>
        <w:t xml:space="preserve"> z </w:t>
      </w:r>
      <w:r w:rsidR="00187708" w:rsidRPr="00EC250C">
        <w:rPr>
          <w:bCs/>
          <w:iCs/>
        </w:rPr>
        <w:t>osobą bezdomną. Projekt ustawy nie przewiduje natomiast</w:t>
      </w:r>
      <w:r w:rsidR="0056130F" w:rsidRPr="00EC250C">
        <w:rPr>
          <w:bCs/>
          <w:iCs/>
        </w:rPr>
        <w:t xml:space="preserve">, by </w:t>
      </w:r>
      <w:r w:rsidR="00187708" w:rsidRPr="00EC250C">
        <w:rPr>
          <w:bCs/>
          <w:iCs/>
        </w:rPr>
        <w:t xml:space="preserve">pomocy bezdomnym </w:t>
      </w:r>
      <w:r w:rsidR="0056130F" w:rsidRPr="00EC250C">
        <w:rPr>
          <w:bCs/>
          <w:iCs/>
        </w:rPr>
        <w:t xml:space="preserve">stała się </w:t>
      </w:r>
      <w:r w:rsidR="00187708" w:rsidRPr="00EC250C">
        <w:rPr>
          <w:bCs/>
          <w:iCs/>
        </w:rPr>
        <w:t>zadani</w:t>
      </w:r>
      <w:r w:rsidR="0056130F" w:rsidRPr="00EC250C">
        <w:rPr>
          <w:bCs/>
          <w:iCs/>
        </w:rPr>
        <w:t>em</w:t>
      </w:r>
      <w:r w:rsidR="00187708" w:rsidRPr="00EC250C">
        <w:rPr>
          <w:bCs/>
          <w:iCs/>
        </w:rPr>
        <w:t xml:space="preserve"> zlecon</w:t>
      </w:r>
      <w:r w:rsidR="0056130F" w:rsidRPr="00EC250C">
        <w:rPr>
          <w:bCs/>
          <w:iCs/>
        </w:rPr>
        <w:t>ym</w:t>
      </w:r>
      <w:r w:rsidR="00992FD0" w:rsidRPr="00EC250C">
        <w:rPr>
          <w:bCs/>
          <w:iCs/>
        </w:rPr>
        <w:t xml:space="preserve"> z </w:t>
      </w:r>
      <w:r w:rsidR="00187708" w:rsidRPr="00EC250C">
        <w:rPr>
          <w:bCs/>
          <w:iCs/>
        </w:rPr>
        <w:t>zakresu administracji rządowej.</w:t>
      </w:r>
      <w:r w:rsidR="0056130F" w:rsidRPr="00EC250C">
        <w:rPr>
          <w:bCs/>
          <w:iCs/>
        </w:rPr>
        <w:t xml:space="preserve"> Ma pozostać zadaniem własnym gminy</w:t>
      </w:r>
      <w:r w:rsidR="00E71AAD" w:rsidRPr="00EC250C">
        <w:rPr>
          <w:rStyle w:val="Odwoanieprzypisudolnego"/>
          <w:bCs/>
          <w:iCs/>
        </w:rPr>
        <w:footnoteReference w:id="507"/>
      </w:r>
      <w:r w:rsidR="0056130F" w:rsidRPr="00EC250C">
        <w:rPr>
          <w:bCs/>
          <w:iCs/>
        </w:rPr>
        <w:t>.</w:t>
      </w:r>
    </w:p>
    <w:p w14:paraId="7C284775" w14:textId="77777777" w:rsidR="00187708" w:rsidRPr="00EC250C" w:rsidRDefault="00250879" w:rsidP="00EC79EB">
      <w:pPr>
        <w:pStyle w:val="Nagwek4"/>
        <w:rPr>
          <w:spacing w:val="0"/>
        </w:rPr>
      </w:pPr>
      <w:bookmarkStart w:id="504" w:name="_Toc6257865"/>
      <w:bookmarkStart w:id="505" w:name="_Toc11247744"/>
      <w:r w:rsidRPr="00EC250C">
        <w:t>Kłopoty</w:t>
      </w:r>
      <w:r w:rsidR="00992FD0" w:rsidRPr="00EC250C">
        <w:t xml:space="preserve"> z </w:t>
      </w:r>
      <w:r w:rsidRPr="00EC250C">
        <w:t>w</w:t>
      </w:r>
      <w:r w:rsidR="00187708" w:rsidRPr="00EC250C">
        <w:t>ypłat</w:t>
      </w:r>
      <w:r w:rsidRPr="00EC250C">
        <w:t>ą</w:t>
      </w:r>
      <w:r w:rsidR="00187708" w:rsidRPr="00EC250C">
        <w:t xml:space="preserve"> świadczeń rodzinnych objętych koordynacją</w:t>
      </w:r>
      <w:r w:rsidR="00992FD0" w:rsidRPr="00EC250C">
        <w:t xml:space="preserve"> w </w:t>
      </w:r>
      <w:r w:rsidRPr="00EC250C">
        <w:t xml:space="preserve">Unii </w:t>
      </w:r>
      <w:r w:rsidR="00187708" w:rsidRPr="00EC250C">
        <w:t>E</w:t>
      </w:r>
      <w:bookmarkEnd w:id="504"/>
      <w:r w:rsidRPr="00EC250C">
        <w:t>uropejskiej</w:t>
      </w:r>
      <w:bookmarkEnd w:id="505"/>
    </w:p>
    <w:p w14:paraId="304A6012" w14:textId="77777777" w:rsidR="00B473F5" w:rsidRPr="00EC250C" w:rsidRDefault="00187708" w:rsidP="00D131FA">
      <w:pPr>
        <w:pStyle w:val="Problemczowieka"/>
        <w:jc w:val="both"/>
      </w:pPr>
      <w:r w:rsidRPr="00EC250C">
        <w:t xml:space="preserve">Jeśli </w:t>
      </w:r>
      <w:r w:rsidR="00C769AA" w:rsidRPr="00EC250C">
        <w:t>jeden</w:t>
      </w:r>
      <w:r w:rsidR="00992FD0" w:rsidRPr="00EC250C">
        <w:t xml:space="preserve"> z </w:t>
      </w:r>
      <w:r w:rsidR="00C769AA" w:rsidRPr="00EC250C">
        <w:t>rodziców</w:t>
      </w:r>
      <w:r w:rsidRPr="00EC250C">
        <w:t xml:space="preserve"> porzuci rodzinę</w:t>
      </w:r>
      <w:r w:rsidR="00992FD0" w:rsidRPr="00EC250C">
        <w:t xml:space="preserve"> i </w:t>
      </w:r>
      <w:r w:rsidRPr="00EC250C">
        <w:t>wyjedzie do innego kraju Unii, to jego dzieci nie dostaną wsparcia od polskiego państwa</w:t>
      </w:r>
      <w:r w:rsidR="00C769AA" w:rsidRPr="00EC250C">
        <w:t xml:space="preserve">. </w:t>
      </w:r>
      <w:r w:rsidR="00250879" w:rsidRPr="00EC250C">
        <w:t xml:space="preserve">Także 500+. </w:t>
      </w:r>
      <w:r w:rsidR="00C769AA" w:rsidRPr="00EC250C">
        <w:t xml:space="preserve">Dzieje się tak, ponieważ </w:t>
      </w:r>
      <w:r w:rsidR="00250879" w:rsidRPr="00EC250C">
        <w:t>Unia zakłada, że wsparcie na dzieci pobierze ten rodzic, który ma prawo do wyższego świadczenia,</w:t>
      </w:r>
      <w:r w:rsidR="00992FD0" w:rsidRPr="00EC250C">
        <w:t xml:space="preserve"> w </w:t>
      </w:r>
      <w:r w:rsidR="00250879" w:rsidRPr="00EC250C">
        <w:t>bogatszym kraju. Unijny system koordynacji słabo radzi sobie</w:t>
      </w:r>
      <w:r w:rsidR="00992FD0" w:rsidRPr="00EC250C">
        <w:t xml:space="preserve"> z </w:t>
      </w:r>
      <w:r w:rsidR="00250879" w:rsidRPr="00EC250C">
        <w:t>faktem, że rodzic mógł po prostu porzucić rodzinę</w:t>
      </w:r>
      <w:r w:rsidR="00B473F5" w:rsidRPr="00EC250C">
        <w:t>.</w:t>
      </w:r>
    </w:p>
    <w:p w14:paraId="30546317" w14:textId="77777777" w:rsidR="00C91F6E" w:rsidRPr="00EC250C" w:rsidRDefault="00187708" w:rsidP="00D131FA">
      <w:pPr>
        <w:pStyle w:val="Styl1"/>
      </w:pPr>
      <w:r w:rsidRPr="00EC250C">
        <w:t xml:space="preserve">Najtrudniejsza sytuacja jest wtedy, gdy </w:t>
      </w:r>
      <w:r w:rsidR="00611C78" w:rsidRPr="00EC250C">
        <w:t>jeden</w:t>
      </w:r>
      <w:r w:rsidR="00992FD0" w:rsidRPr="00EC250C">
        <w:t xml:space="preserve"> z </w:t>
      </w:r>
      <w:r w:rsidR="00611C78" w:rsidRPr="00EC250C">
        <w:t>rodziców</w:t>
      </w:r>
      <w:r w:rsidRPr="00EC250C">
        <w:t xml:space="preserve"> jest za granicą aktywny zawodowo,</w:t>
      </w:r>
      <w:r w:rsidR="00992FD0" w:rsidRPr="00EC250C">
        <w:t xml:space="preserve"> a </w:t>
      </w:r>
      <w:r w:rsidR="00611C78" w:rsidRPr="00EC250C">
        <w:t>rodzic pozostający</w:t>
      </w:r>
      <w:r w:rsidR="00992FD0" w:rsidRPr="00EC250C">
        <w:t xml:space="preserve"> w </w:t>
      </w:r>
      <w:r w:rsidRPr="00EC250C">
        <w:t>Polsce</w:t>
      </w:r>
      <w:r w:rsidR="00026572" w:rsidRPr="00EC250C">
        <w:t xml:space="preserve"> – </w:t>
      </w:r>
      <w:r w:rsidRPr="00EC250C">
        <w:t>nie. Przepisy unijne wskazują, że świadczenia społeczne powinny być wypłacane tam, gdzie obywatel Unii pracuje zawodowo.</w:t>
      </w:r>
    </w:p>
    <w:p w14:paraId="306A26F3" w14:textId="77777777" w:rsidR="00C91F6E" w:rsidRPr="00EC250C" w:rsidRDefault="00187708" w:rsidP="00D131FA">
      <w:pPr>
        <w:pStyle w:val="Styl1"/>
      </w:pPr>
      <w:r w:rsidRPr="00EC250C">
        <w:t xml:space="preserve">Problemy związane m.in. ze świadczeniem 500+ ludzie zgłaszali </w:t>
      </w:r>
      <w:r w:rsidR="00D76DC6" w:rsidRPr="00EC250C">
        <w:t>RPO</w:t>
      </w:r>
      <w:r w:rsidRPr="00EC250C">
        <w:t xml:space="preserve"> podczas spotkań regionalnych</w:t>
      </w:r>
      <w:r w:rsidR="00992FD0" w:rsidRPr="00EC250C">
        <w:t xml:space="preserve"> w </w:t>
      </w:r>
      <w:r w:rsidRPr="00EC250C">
        <w:t>styczniu 2018</w:t>
      </w:r>
      <w:r w:rsidR="00C91F6E" w:rsidRPr="00EC250C">
        <w:t> r.</w:t>
      </w:r>
      <w:r w:rsidR="00992FD0" w:rsidRPr="00EC250C">
        <w:t xml:space="preserve"> w </w:t>
      </w:r>
      <w:r w:rsidRPr="00EC250C">
        <w:t>Ostrowcu Świętokrzyskim.</w:t>
      </w:r>
    </w:p>
    <w:p w14:paraId="7364F797" w14:textId="77777777" w:rsidR="00187708" w:rsidRPr="00EC250C" w:rsidRDefault="00187708" w:rsidP="00D131FA">
      <w:pPr>
        <w:pStyle w:val="Styl1"/>
      </w:pPr>
      <w:r w:rsidRPr="00EC250C">
        <w:rPr>
          <w:bdr w:val="none" w:sz="0" w:space="0" w:color="auto" w:frame="1"/>
        </w:rPr>
        <w:t xml:space="preserve">RPO </w:t>
      </w:r>
      <w:r w:rsidR="00250879" w:rsidRPr="00EC250C">
        <w:rPr>
          <w:bdr w:val="none" w:sz="0" w:space="0" w:color="auto" w:frame="1"/>
        </w:rPr>
        <w:t xml:space="preserve">zwrócił </w:t>
      </w:r>
      <w:r w:rsidRPr="00EC250C">
        <w:rPr>
          <w:bdr w:val="none" w:sz="0" w:space="0" w:color="auto" w:frame="1"/>
        </w:rPr>
        <w:t>więc Minist</w:t>
      </w:r>
      <w:r w:rsidR="00250879" w:rsidRPr="00EC250C">
        <w:rPr>
          <w:bdr w:val="none" w:sz="0" w:space="0" w:color="auto" w:frame="1"/>
        </w:rPr>
        <w:t>rowi</w:t>
      </w:r>
      <w:r w:rsidRPr="00EC250C">
        <w:rPr>
          <w:bdr w:val="none" w:sz="0" w:space="0" w:color="auto" w:frame="1"/>
        </w:rPr>
        <w:t xml:space="preserve"> Rodziny, Pracy</w:t>
      </w:r>
      <w:r w:rsidR="00992FD0" w:rsidRPr="00EC250C">
        <w:rPr>
          <w:bdr w:val="none" w:sz="0" w:space="0" w:color="auto" w:frame="1"/>
        </w:rPr>
        <w:t xml:space="preserve"> i </w:t>
      </w:r>
      <w:r w:rsidRPr="00EC250C">
        <w:rPr>
          <w:bdr w:val="none" w:sz="0" w:space="0" w:color="auto" w:frame="1"/>
        </w:rPr>
        <w:t xml:space="preserve">Polityki Społecznej </w:t>
      </w:r>
      <w:r w:rsidR="00250879" w:rsidRPr="00EC250C">
        <w:rPr>
          <w:bdr w:val="none" w:sz="0" w:space="0" w:color="auto" w:frame="1"/>
        </w:rPr>
        <w:t xml:space="preserve">uwagę na potrzebę </w:t>
      </w:r>
      <w:r w:rsidRPr="00EC250C">
        <w:rPr>
          <w:bdr w:val="none" w:sz="0" w:space="0" w:color="auto" w:frame="1"/>
        </w:rPr>
        <w:t>usprawnieni</w:t>
      </w:r>
      <w:r w:rsidR="00250879" w:rsidRPr="00EC250C">
        <w:rPr>
          <w:bdr w:val="none" w:sz="0" w:space="0" w:color="auto" w:frame="1"/>
        </w:rPr>
        <w:t>a</w:t>
      </w:r>
      <w:r w:rsidRPr="00EC250C">
        <w:rPr>
          <w:bdr w:val="none" w:sz="0" w:space="0" w:color="auto" w:frame="1"/>
        </w:rPr>
        <w:t xml:space="preserve"> trybu wypłaty świadczeń</w:t>
      </w:r>
      <w:r w:rsidRPr="00EC250C">
        <w:rPr>
          <w:rStyle w:val="Odwoanieprzypisudolnego"/>
          <w:bdr w:val="none" w:sz="0" w:space="0" w:color="auto" w:frame="1"/>
        </w:rPr>
        <w:footnoteReference w:id="508"/>
      </w:r>
      <w:r w:rsidRPr="00EC250C">
        <w:rPr>
          <w:bdr w:val="none" w:sz="0" w:space="0" w:color="auto" w:frame="1"/>
        </w:rPr>
        <w:t xml:space="preserve">. </w:t>
      </w:r>
      <w:r w:rsidR="00250879" w:rsidRPr="00EC250C">
        <w:rPr>
          <w:bdr w:val="none" w:sz="0" w:space="0" w:color="auto" w:frame="1"/>
        </w:rPr>
        <w:t>Do 2018</w:t>
      </w:r>
      <w:r w:rsidR="00C91F6E" w:rsidRPr="00EC250C">
        <w:rPr>
          <w:bdr w:val="none" w:sz="0" w:space="0" w:color="auto" w:frame="1"/>
        </w:rPr>
        <w:t> r.</w:t>
      </w:r>
      <w:r w:rsidR="00250879" w:rsidRPr="00EC250C">
        <w:rPr>
          <w:bdr w:val="none" w:sz="0" w:space="0" w:color="auto" w:frame="1"/>
        </w:rPr>
        <w:t xml:space="preserve"> obowiązek ustalenia, </w:t>
      </w:r>
      <w:r w:rsidR="009762DD" w:rsidRPr="00EC250C">
        <w:rPr>
          <w:bdr w:val="none" w:sz="0" w:space="0" w:color="auto" w:frame="1"/>
        </w:rPr>
        <w:t xml:space="preserve">czy Polska ma wypłacić </w:t>
      </w:r>
      <w:r w:rsidR="009762DD" w:rsidRPr="00EC250C">
        <w:rPr>
          <w:bdr w:val="none" w:sz="0" w:space="0" w:color="auto" w:frame="1"/>
        </w:rPr>
        <w:lastRenderedPageBreak/>
        <w:t>świadczenie, spoczywał na samorządach wojewódzkich. Nie dawały sobie</w:t>
      </w:r>
      <w:r w:rsidR="00992FD0" w:rsidRPr="00EC250C">
        <w:rPr>
          <w:bdr w:val="none" w:sz="0" w:space="0" w:color="auto" w:frame="1"/>
        </w:rPr>
        <w:t xml:space="preserve"> z </w:t>
      </w:r>
      <w:r w:rsidR="009762DD" w:rsidRPr="00EC250C">
        <w:rPr>
          <w:bdr w:val="none" w:sz="0" w:space="0" w:color="auto" w:frame="1"/>
        </w:rPr>
        <w:t>tym rady</w:t>
      </w:r>
      <w:r w:rsidR="00992FD0" w:rsidRPr="00EC250C">
        <w:rPr>
          <w:bdr w:val="none" w:sz="0" w:space="0" w:color="auto" w:frame="1"/>
        </w:rPr>
        <w:t xml:space="preserve"> i </w:t>
      </w:r>
      <w:r w:rsidR="009762DD" w:rsidRPr="00EC250C">
        <w:rPr>
          <w:bdr w:val="none" w:sz="0" w:space="0" w:color="auto" w:frame="1"/>
        </w:rPr>
        <w:t xml:space="preserve">zaległości rosły. </w:t>
      </w:r>
      <w:r w:rsidRPr="00EC250C">
        <w:t>Od 1 stycznia 2018</w:t>
      </w:r>
      <w:r w:rsidR="00C91F6E" w:rsidRPr="00EC250C">
        <w:t> r.</w:t>
      </w:r>
      <w:r w:rsidRPr="00EC250C">
        <w:t xml:space="preserve"> </w:t>
      </w:r>
      <w:r w:rsidR="009762DD" w:rsidRPr="00EC250C">
        <w:t>sprawą zajęli się wojewodowie (przedstawiciele rządu</w:t>
      </w:r>
      <w:r w:rsidR="00992FD0" w:rsidRPr="00EC250C">
        <w:t xml:space="preserve"> w </w:t>
      </w:r>
      <w:r w:rsidR="009762DD" w:rsidRPr="00EC250C">
        <w:t>terenie)</w:t>
      </w:r>
      <w:r w:rsidRPr="00EC250C">
        <w:t>.</w:t>
      </w:r>
      <w:r w:rsidR="00250879" w:rsidRPr="00EC250C">
        <w:t xml:space="preserve"> </w:t>
      </w:r>
      <w:r w:rsidR="009762DD" w:rsidRPr="00EC250C">
        <w:t xml:space="preserve">Zdaniem RPO taka reorganizacja nie wystarczy jednak do tego, by nadrobić </w:t>
      </w:r>
      <w:r w:rsidRPr="00EC250C">
        <w:t>zaległości</w:t>
      </w:r>
      <w:r w:rsidR="00992FD0" w:rsidRPr="00EC250C">
        <w:t xml:space="preserve"> w </w:t>
      </w:r>
      <w:r w:rsidR="009762DD" w:rsidRPr="00EC250C">
        <w:t xml:space="preserve">wypłacaniu </w:t>
      </w:r>
      <w:r w:rsidR="008E211F" w:rsidRPr="00EC250C">
        <w:t>świadczeń</w:t>
      </w:r>
      <w:r w:rsidRPr="00EC250C">
        <w:t>.</w:t>
      </w:r>
    </w:p>
    <w:p w14:paraId="037B485B" w14:textId="77777777" w:rsidR="008E211F" w:rsidRPr="00EC250C" w:rsidRDefault="008E211F" w:rsidP="00D131FA">
      <w:pPr>
        <w:pStyle w:val="Styl1"/>
        <w:rPr>
          <w:bCs/>
          <w:color w:val="044892"/>
        </w:rPr>
      </w:pPr>
      <w:r w:rsidRPr="00EC250C">
        <w:t>W odpowiedzi</w:t>
      </w:r>
      <w:r w:rsidR="00992FD0" w:rsidRPr="00EC250C">
        <w:t xml:space="preserve"> z </w:t>
      </w:r>
      <w:r w:rsidRPr="00EC250C">
        <w:t>dnia 15 lutego 2019</w:t>
      </w:r>
      <w:r w:rsidR="00C91F6E" w:rsidRPr="00EC250C">
        <w:t> r.</w:t>
      </w:r>
      <w:r w:rsidRPr="00EC250C">
        <w:t xml:space="preserve"> poinformowano</w:t>
      </w:r>
      <w:r w:rsidR="00992FD0" w:rsidRPr="00EC250C">
        <w:t xml:space="preserve"> o </w:t>
      </w:r>
      <w:r w:rsidRPr="00EC250C">
        <w:t>pracach</w:t>
      </w:r>
      <w:r w:rsidR="00992FD0" w:rsidRPr="00EC250C">
        <w:t xml:space="preserve"> w </w:t>
      </w:r>
      <w:r w:rsidR="00AC6D02" w:rsidRPr="00EC250C">
        <w:t>Ministerstwie</w:t>
      </w:r>
      <w:r w:rsidRPr="00EC250C">
        <w:t>, które zmierzają do podsumowania realizacji zadań po pierwszym roku po ich przejęciu przez wojewodów.</w:t>
      </w:r>
    </w:p>
    <w:p w14:paraId="2B937F23" w14:textId="77777777" w:rsidR="00B96B20" w:rsidRPr="00EC250C" w:rsidRDefault="00B96B20" w:rsidP="00EC250C">
      <w:pPr>
        <w:pStyle w:val="Nagwek8"/>
        <w:rPr>
          <w:spacing w:val="0"/>
        </w:rPr>
      </w:pPr>
      <w:bookmarkStart w:id="506" w:name="_Hlk8715620"/>
      <w:r w:rsidRPr="00EC250C">
        <w:t>Skuteczna interwencja – prawo do świadczeń rodzinnych</w:t>
      </w:r>
      <w:r w:rsidR="00992FD0" w:rsidRPr="00EC250C">
        <w:t xml:space="preserve"> i </w:t>
      </w:r>
      <w:r w:rsidRPr="00EC250C">
        <w:t>świadczenia pielęgnacyjnego także</w:t>
      </w:r>
      <w:r w:rsidR="00992FD0" w:rsidRPr="00EC250C">
        <w:t xml:space="preserve"> w </w:t>
      </w:r>
      <w:r w:rsidRPr="00EC250C">
        <w:t>okresie oczekiwania przez obywatela Ukrainy na wydanie karty pobytu</w:t>
      </w:r>
    </w:p>
    <w:p w14:paraId="54811E68" w14:textId="77777777" w:rsidR="00B96B20" w:rsidRPr="00EC250C" w:rsidRDefault="00B96B20" w:rsidP="00D131FA">
      <w:pPr>
        <w:pStyle w:val="Styl2"/>
        <w:rPr>
          <w:szCs w:val="24"/>
        </w:rPr>
      </w:pPr>
      <w:r w:rsidRPr="00EC250C">
        <w:rPr>
          <w:szCs w:val="24"/>
        </w:rPr>
        <w:t>Do RPO zwrócił się obywatel Ukrainy mieszkający od 2011</w:t>
      </w:r>
      <w:r w:rsidR="00C91F6E" w:rsidRPr="00EC250C">
        <w:rPr>
          <w:szCs w:val="24"/>
        </w:rPr>
        <w:t> r.</w:t>
      </w:r>
      <w:r w:rsidR="00992FD0" w:rsidRPr="00EC250C">
        <w:rPr>
          <w:szCs w:val="24"/>
        </w:rPr>
        <w:t xml:space="preserve"> w </w:t>
      </w:r>
      <w:r w:rsidRPr="00EC250C">
        <w:rPr>
          <w:szCs w:val="24"/>
        </w:rPr>
        <w:t>Polsce wraz</w:t>
      </w:r>
      <w:r w:rsidR="00992FD0" w:rsidRPr="00EC250C">
        <w:rPr>
          <w:szCs w:val="24"/>
        </w:rPr>
        <w:t xml:space="preserve"> z </w:t>
      </w:r>
      <w:r w:rsidRPr="00EC250C">
        <w:rPr>
          <w:szCs w:val="24"/>
        </w:rPr>
        <w:t>4-letnim dzieckiem</w:t>
      </w:r>
      <w:r w:rsidR="00992FD0" w:rsidRPr="00EC250C">
        <w:rPr>
          <w:szCs w:val="24"/>
        </w:rPr>
        <w:t xml:space="preserve"> z </w:t>
      </w:r>
      <w:r w:rsidRPr="00EC250C">
        <w:rPr>
          <w:szCs w:val="24"/>
        </w:rPr>
        <w:t>niepełnosprawnością. Od 2015</w:t>
      </w:r>
      <w:r w:rsidR="00C91F6E" w:rsidRPr="00EC250C">
        <w:rPr>
          <w:szCs w:val="24"/>
        </w:rPr>
        <w:t> r.</w:t>
      </w:r>
      <w:r w:rsidRPr="00EC250C">
        <w:rPr>
          <w:szCs w:val="24"/>
        </w:rPr>
        <w:t xml:space="preserve"> pobierał świadczenie pielęgnacyjne ze względu na konieczność opieki nad dzieckiem.</w:t>
      </w:r>
    </w:p>
    <w:p w14:paraId="78785A90" w14:textId="77777777" w:rsidR="00B96B20" w:rsidRPr="00EC250C" w:rsidRDefault="006D12D4" w:rsidP="00D131FA">
      <w:pPr>
        <w:pStyle w:val="Styl2"/>
        <w:rPr>
          <w:szCs w:val="24"/>
        </w:rPr>
      </w:pPr>
      <w:r w:rsidRPr="00EC250C">
        <w:rPr>
          <w:szCs w:val="24"/>
        </w:rPr>
        <w:t xml:space="preserve">W maju 2018 r. </w:t>
      </w:r>
      <w:r w:rsidR="00B96B20" w:rsidRPr="00EC250C">
        <w:rPr>
          <w:szCs w:val="24"/>
        </w:rPr>
        <w:t>skarżącemu skończyła się ważność karty pobytu czasowego</w:t>
      </w:r>
      <w:r w:rsidR="00992FD0" w:rsidRPr="00EC250C">
        <w:rPr>
          <w:szCs w:val="24"/>
        </w:rPr>
        <w:t xml:space="preserve"> i </w:t>
      </w:r>
      <w:r w:rsidR="00B96B20" w:rsidRPr="00EC250C">
        <w:rPr>
          <w:szCs w:val="24"/>
        </w:rPr>
        <w:t>na wydanie kolejnej ciągle czeka</w:t>
      </w:r>
      <w:r w:rsidR="00ED0E75" w:rsidRPr="00EC250C">
        <w:rPr>
          <w:szCs w:val="24"/>
        </w:rPr>
        <w:t>ł</w:t>
      </w:r>
      <w:r w:rsidR="00B96B20" w:rsidRPr="00EC250C">
        <w:rPr>
          <w:szCs w:val="24"/>
        </w:rPr>
        <w:t>. Wprawdzie</w:t>
      </w:r>
      <w:r w:rsidR="00992FD0" w:rsidRPr="00EC250C">
        <w:rPr>
          <w:szCs w:val="24"/>
        </w:rPr>
        <w:t xml:space="preserve"> w </w:t>
      </w:r>
      <w:r w:rsidR="00B96B20" w:rsidRPr="00EC250C">
        <w:rPr>
          <w:szCs w:val="24"/>
        </w:rPr>
        <w:t>paszporcie posiada pieczątkę</w:t>
      </w:r>
      <w:r w:rsidR="00992FD0" w:rsidRPr="00EC250C">
        <w:rPr>
          <w:szCs w:val="24"/>
        </w:rPr>
        <w:t xml:space="preserve"> o </w:t>
      </w:r>
      <w:r w:rsidR="00B96B20" w:rsidRPr="00EC250C">
        <w:rPr>
          <w:szCs w:val="24"/>
        </w:rPr>
        <w:t>złożeniu wniosku, która daje prawo pobytu</w:t>
      </w:r>
      <w:r w:rsidR="00992FD0" w:rsidRPr="00EC250C">
        <w:rPr>
          <w:szCs w:val="24"/>
        </w:rPr>
        <w:t xml:space="preserve"> w </w:t>
      </w:r>
      <w:r w:rsidR="00B96B20" w:rsidRPr="00EC250C">
        <w:rPr>
          <w:szCs w:val="24"/>
        </w:rPr>
        <w:t>Polsce</w:t>
      </w:r>
      <w:r w:rsidR="00992FD0" w:rsidRPr="00EC250C">
        <w:rPr>
          <w:szCs w:val="24"/>
        </w:rPr>
        <w:t xml:space="preserve"> i </w:t>
      </w:r>
      <w:r w:rsidR="00B96B20" w:rsidRPr="00EC250C">
        <w:rPr>
          <w:szCs w:val="24"/>
        </w:rPr>
        <w:t>prawo do pracy, ale</w:t>
      </w:r>
      <w:r w:rsidR="00992FD0" w:rsidRPr="00EC250C">
        <w:rPr>
          <w:szCs w:val="24"/>
        </w:rPr>
        <w:t xml:space="preserve"> w </w:t>
      </w:r>
      <w:r w:rsidR="00B96B20" w:rsidRPr="00EC250C">
        <w:rPr>
          <w:szCs w:val="24"/>
        </w:rPr>
        <w:t>ocenie organu pomocy społecznej nie jest to wystarczające do wypłaty świadczeń. Z powodu braku aktualnej karty pobytu skarżący nie otrzymuje świadczeń rodzinnych, zasiłku pielęgnacyjnego</w:t>
      </w:r>
      <w:r w:rsidR="00992FD0" w:rsidRPr="00EC250C">
        <w:rPr>
          <w:szCs w:val="24"/>
        </w:rPr>
        <w:t xml:space="preserve"> i </w:t>
      </w:r>
      <w:r w:rsidR="00B96B20" w:rsidRPr="00EC250C">
        <w:rPr>
          <w:szCs w:val="24"/>
        </w:rPr>
        <w:t>świadczenia pielęgnacyjnego.</w:t>
      </w:r>
    </w:p>
    <w:p w14:paraId="3C373DE6" w14:textId="77777777" w:rsidR="00B96B20" w:rsidRPr="00EC250C" w:rsidRDefault="00B96B20" w:rsidP="00D131FA">
      <w:pPr>
        <w:pStyle w:val="Styl2"/>
        <w:rPr>
          <w:szCs w:val="24"/>
        </w:rPr>
      </w:pPr>
      <w:r w:rsidRPr="00EC250C">
        <w:rPr>
          <w:szCs w:val="24"/>
        </w:rPr>
        <w:t>W odpowiedzi na interwencję RPO Wojewoda Mazowiecki uznał, że skarżący spełniał warunki do uzyskania świadczeń. Zdaniem Wojewody uprawnienie to potwierdza umieszczona</w:t>
      </w:r>
      <w:r w:rsidR="00992FD0" w:rsidRPr="00EC250C">
        <w:rPr>
          <w:szCs w:val="24"/>
        </w:rPr>
        <w:t xml:space="preserve"> w </w:t>
      </w:r>
      <w:r w:rsidRPr="00EC250C">
        <w:rPr>
          <w:szCs w:val="24"/>
        </w:rPr>
        <w:t>paszporcie informacja, że wniosek</w:t>
      </w:r>
      <w:r w:rsidR="00992FD0" w:rsidRPr="00EC250C">
        <w:rPr>
          <w:szCs w:val="24"/>
        </w:rPr>
        <w:t xml:space="preserve"> o </w:t>
      </w:r>
      <w:r w:rsidRPr="00EC250C">
        <w:rPr>
          <w:szCs w:val="24"/>
        </w:rPr>
        <w:t xml:space="preserve">udzielenie cudzoziemcowi zezwolenia na pobyt rezydenta długoterminowego Unii Europejskiej został </w:t>
      </w:r>
      <w:r w:rsidR="00ED0E75" w:rsidRPr="00EC250C">
        <w:rPr>
          <w:szCs w:val="24"/>
        </w:rPr>
        <w:t xml:space="preserve">już </w:t>
      </w:r>
      <w:r w:rsidRPr="00EC250C">
        <w:rPr>
          <w:szCs w:val="24"/>
        </w:rPr>
        <w:t>złożony,</w:t>
      </w:r>
      <w:r w:rsidR="00992FD0" w:rsidRPr="00EC250C">
        <w:rPr>
          <w:szCs w:val="24"/>
        </w:rPr>
        <w:t xml:space="preserve"> a </w:t>
      </w:r>
      <w:r w:rsidRPr="00EC250C">
        <w:rPr>
          <w:szCs w:val="24"/>
        </w:rPr>
        <w:t xml:space="preserve"> wnioskodawca</w:t>
      </w:r>
      <w:r w:rsidR="00992FD0" w:rsidRPr="00EC250C">
        <w:rPr>
          <w:szCs w:val="24"/>
        </w:rPr>
        <w:t xml:space="preserve"> w </w:t>
      </w:r>
      <w:r w:rsidRPr="00EC250C">
        <w:rPr>
          <w:szCs w:val="24"/>
        </w:rPr>
        <w:t xml:space="preserve">momencie składania tego wniosku był uprawniony do wykonywania pracy na terytorium Rzeczypospolitej Polskiej, ponieważ </w:t>
      </w:r>
      <w:r w:rsidR="00ED0E75" w:rsidRPr="00EC250C">
        <w:rPr>
          <w:szCs w:val="24"/>
        </w:rPr>
        <w:t xml:space="preserve">miał </w:t>
      </w:r>
      <w:r w:rsidRPr="00EC250C">
        <w:rPr>
          <w:szCs w:val="24"/>
        </w:rPr>
        <w:t>zezwolenie na pobyt czasowy</w:t>
      </w:r>
      <w:r w:rsidR="00992FD0" w:rsidRPr="00EC250C">
        <w:rPr>
          <w:szCs w:val="24"/>
        </w:rPr>
        <w:t xml:space="preserve"> z </w:t>
      </w:r>
      <w:r w:rsidRPr="00EC250C">
        <w:rPr>
          <w:szCs w:val="24"/>
        </w:rPr>
        <w:t xml:space="preserve">adnotacją „dostęp do rynku pracy”. </w:t>
      </w:r>
      <w:r w:rsidR="00ED0E75" w:rsidRPr="00EC250C">
        <w:rPr>
          <w:szCs w:val="24"/>
        </w:rPr>
        <w:t xml:space="preserve">Od czerwca </w:t>
      </w:r>
      <w:r w:rsidRPr="00EC250C">
        <w:rPr>
          <w:szCs w:val="24"/>
        </w:rPr>
        <w:t>wypłat</w:t>
      </w:r>
      <w:r w:rsidR="00ED0E75" w:rsidRPr="00EC250C">
        <w:rPr>
          <w:szCs w:val="24"/>
        </w:rPr>
        <w:t>a</w:t>
      </w:r>
      <w:r w:rsidRPr="00EC250C">
        <w:rPr>
          <w:szCs w:val="24"/>
        </w:rPr>
        <w:t xml:space="preserve"> zasiłku pielęgnacyjnego</w:t>
      </w:r>
      <w:r w:rsidR="00992FD0" w:rsidRPr="00EC250C">
        <w:rPr>
          <w:szCs w:val="24"/>
        </w:rPr>
        <w:t xml:space="preserve"> i </w:t>
      </w:r>
      <w:r w:rsidRPr="00EC250C">
        <w:rPr>
          <w:szCs w:val="24"/>
        </w:rPr>
        <w:t xml:space="preserve">zasiłku rodzinnego </w:t>
      </w:r>
      <w:r w:rsidR="00ED0E75" w:rsidRPr="00EC250C">
        <w:rPr>
          <w:szCs w:val="24"/>
        </w:rPr>
        <w:t>została wznowiona</w:t>
      </w:r>
      <w:r w:rsidRPr="00EC250C">
        <w:rPr>
          <w:rStyle w:val="Odwoanieprzypisudolnego"/>
          <w:rFonts w:ascii="Open Sans Regular" w:hAnsi="Open Sans Regular"/>
          <w:sz w:val="21"/>
          <w:szCs w:val="20"/>
        </w:rPr>
        <w:footnoteReference w:id="509"/>
      </w:r>
      <w:r w:rsidRPr="00EC250C">
        <w:rPr>
          <w:szCs w:val="24"/>
        </w:rPr>
        <w:t>.</w:t>
      </w:r>
    </w:p>
    <w:bookmarkEnd w:id="482"/>
    <w:bookmarkEnd w:id="506"/>
    <w:p w14:paraId="2E4E7680" w14:textId="77777777" w:rsidR="00187708" w:rsidRPr="00EC250C" w:rsidRDefault="00187708" w:rsidP="00D131FA">
      <w:pPr>
        <w:spacing w:after="200" w:line="24" w:lineRule="auto"/>
        <w:jc w:val="both"/>
        <w:rPr>
          <w:bCs/>
          <w:color w:val="044892"/>
          <w:sz w:val="24"/>
        </w:rPr>
      </w:pPr>
      <w:r w:rsidRPr="00EC250C">
        <w:rPr>
          <w:sz w:val="24"/>
        </w:rPr>
        <w:br w:type="page"/>
      </w:r>
    </w:p>
    <w:p w14:paraId="1324CD17" w14:textId="77777777" w:rsidR="00C91F6E" w:rsidRPr="00EC250C" w:rsidRDefault="00B1044B" w:rsidP="00EC250C">
      <w:pPr>
        <w:pStyle w:val="Nagwek3"/>
      </w:pPr>
      <w:bookmarkStart w:id="507" w:name="_Toc6257866"/>
      <w:bookmarkStart w:id="508" w:name="_Toc7113832"/>
      <w:bookmarkStart w:id="509" w:name="_Toc11247745"/>
      <w:bookmarkStart w:id="510" w:name="_Toc6257887"/>
      <w:r w:rsidRPr="00EC250C">
        <w:lastRenderedPageBreak/>
        <w:t>Art. 68 ust. 1 – Prawo do ochrony zdrowia</w:t>
      </w:r>
      <w:bookmarkEnd w:id="507"/>
      <w:bookmarkEnd w:id="508"/>
      <w:bookmarkEnd w:id="509"/>
    </w:p>
    <w:p w14:paraId="05DCB4DD" w14:textId="77777777" w:rsidR="00B1044B" w:rsidRPr="00EC250C" w:rsidRDefault="00B1044B" w:rsidP="00D131FA">
      <w:pPr>
        <w:pStyle w:val="konstytucja"/>
        <w:jc w:val="both"/>
      </w:pPr>
      <w:r w:rsidRPr="00EC250C">
        <w:t>Każdy ma prawo do ochrony zdrowia.</w:t>
      </w:r>
    </w:p>
    <w:p w14:paraId="7F133D07" w14:textId="77777777" w:rsidR="00C91F6E" w:rsidRPr="00EC250C" w:rsidRDefault="00B1044B" w:rsidP="00D131FA">
      <w:pPr>
        <w:pStyle w:val="ComwiKonstytucja"/>
      </w:pPr>
      <w:r w:rsidRPr="00EC250C">
        <w:t>Artykuł ten zapewnia każdemu prawo do ochrony zdrowia, natomiast pozostałe ustępy skierowane są już do władz publicznych. Jest on przedmiotem licznych dyskusji, które dotyczą głównie charakteru zagwarantowanego</w:t>
      </w:r>
      <w:r w:rsidR="00992FD0" w:rsidRPr="00EC250C">
        <w:t xml:space="preserve"> w </w:t>
      </w:r>
      <w:r w:rsidRPr="00EC250C">
        <w:t>nim prawa (czy jest to prawo socjalne czy osobiste), sposobu jego interpretacji),</w:t>
      </w:r>
      <w:r w:rsidR="00992FD0" w:rsidRPr="00EC250C">
        <w:t xml:space="preserve"> a </w:t>
      </w:r>
      <w:r w:rsidRPr="00EC250C">
        <w:t>także tego, czy poszczególne ustępy wyrażają publiczne prawa podmiotowe czy są to wyłącznie normy programowe. Najmniej wątpliwości budzi art. 68 ust. 1 Konstytucji RP, który należy uznać za publiczne prawo podmiotowe.</w:t>
      </w:r>
    </w:p>
    <w:p w14:paraId="20191EF8" w14:textId="77777777" w:rsidR="00C91F6E" w:rsidRPr="00EC250C" w:rsidRDefault="00B1044B" w:rsidP="00D131FA">
      <w:pPr>
        <w:pStyle w:val="ComwiKonstytucja"/>
      </w:pPr>
      <w:r w:rsidRPr="00EC250C">
        <w:t>Cały przepis został sformułowany</w:t>
      </w:r>
      <w:r w:rsidR="00992FD0" w:rsidRPr="00EC250C">
        <w:t xml:space="preserve"> w </w:t>
      </w:r>
      <w:r w:rsidRPr="00EC250C">
        <w:t>taki sposób by nie mógł stworzyć po stronie obywatela żadnych roszczeń, nie oznacza to jednak, że nie można wyciągnąć</w:t>
      </w:r>
      <w:r w:rsidR="00992FD0" w:rsidRPr="00EC250C">
        <w:t xml:space="preserve"> z </w:t>
      </w:r>
      <w:r w:rsidRPr="00EC250C">
        <w:t>niego innych wniosków.</w:t>
      </w:r>
    </w:p>
    <w:p w14:paraId="7EC5D972" w14:textId="77777777" w:rsidR="00B1044B" w:rsidRPr="00EC250C" w:rsidRDefault="00B1044B" w:rsidP="00D131FA">
      <w:pPr>
        <w:pStyle w:val="ComwiKonstytucja"/>
      </w:pPr>
      <w:r w:rsidRPr="00EC250C">
        <w:t>Normy programowe można odczytywać</w:t>
      </w:r>
      <w:r w:rsidR="00992FD0" w:rsidRPr="00EC250C">
        <w:t xml:space="preserve"> w </w:t>
      </w:r>
      <w:r w:rsidRPr="00EC250C">
        <w:t>taki sposób, że jest</w:t>
      </w:r>
      <w:r w:rsidR="00992FD0" w:rsidRPr="00EC250C">
        <w:t xml:space="preserve"> w </w:t>
      </w:r>
      <w:r w:rsidRPr="00EC250C">
        <w:t>nich zagwarantowane minimum praw obywatelskich, którym odpowiada minimum obowiązków ciążących na władzy publicznej. Dlatego także na tej podstawie obywatele mogą dochodzić swoich praw.</w:t>
      </w:r>
    </w:p>
    <w:p w14:paraId="0733E3F4" w14:textId="77777777" w:rsidR="00B1044B" w:rsidRPr="00EC250C" w:rsidRDefault="00B1044B" w:rsidP="00D131FA">
      <w:pPr>
        <w:spacing w:after="200" w:line="24" w:lineRule="auto"/>
        <w:jc w:val="both"/>
        <w:rPr>
          <w:i/>
          <w:spacing w:val="5"/>
          <w:sz w:val="22"/>
        </w:rPr>
      </w:pPr>
      <w:r w:rsidRPr="00EC250C">
        <w:rPr>
          <w:sz w:val="24"/>
        </w:rPr>
        <w:br w:type="page"/>
      </w:r>
    </w:p>
    <w:p w14:paraId="6CBCACBA" w14:textId="77777777" w:rsidR="00B1044B" w:rsidRPr="00EC250C" w:rsidRDefault="00B1044B" w:rsidP="00EC79EB">
      <w:pPr>
        <w:pStyle w:val="Nagwek4"/>
      </w:pPr>
      <w:bookmarkStart w:id="511" w:name="_Toc11247746"/>
      <w:r w:rsidRPr="00EC250C">
        <w:lastRenderedPageBreak/>
        <w:t>Brak lekarzy</w:t>
      </w:r>
      <w:r w:rsidR="00992FD0" w:rsidRPr="00EC250C">
        <w:t xml:space="preserve"> i </w:t>
      </w:r>
      <w:r w:rsidRPr="00EC250C">
        <w:t>pielęgniarek</w:t>
      </w:r>
      <w:bookmarkEnd w:id="511"/>
    </w:p>
    <w:p w14:paraId="1D3B5867" w14:textId="77777777" w:rsidR="00E24C6B" w:rsidRPr="00EC250C" w:rsidRDefault="00B1044B" w:rsidP="00D131FA">
      <w:pPr>
        <w:pStyle w:val="Problemczowieka"/>
        <w:jc w:val="both"/>
        <w:rPr>
          <w:lang w:eastAsia="en-US"/>
        </w:rPr>
      </w:pPr>
      <w:r w:rsidRPr="00EC250C">
        <w:rPr>
          <w:lang w:eastAsia="en-US"/>
        </w:rPr>
        <w:t>Problemy</w:t>
      </w:r>
      <w:r w:rsidR="00992FD0" w:rsidRPr="00EC250C">
        <w:rPr>
          <w:lang w:eastAsia="en-US"/>
        </w:rPr>
        <w:t xml:space="preserve"> z </w:t>
      </w:r>
      <w:r w:rsidRPr="00EC250C">
        <w:rPr>
          <w:lang w:eastAsia="en-US"/>
        </w:rPr>
        <w:t>dostępem do służby zdrowia wynikają</w:t>
      </w:r>
      <w:r w:rsidR="00992FD0" w:rsidRPr="00EC250C">
        <w:rPr>
          <w:lang w:eastAsia="en-US"/>
        </w:rPr>
        <w:t xml:space="preserve"> w </w:t>
      </w:r>
      <w:r w:rsidRPr="00EC250C">
        <w:rPr>
          <w:lang w:eastAsia="en-US"/>
        </w:rPr>
        <w:t>dużej mierze</w:t>
      </w:r>
      <w:r w:rsidR="00992FD0" w:rsidRPr="00EC250C">
        <w:rPr>
          <w:lang w:eastAsia="en-US"/>
        </w:rPr>
        <w:t xml:space="preserve"> z </w:t>
      </w:r>
      <w:r w:rsidRPr="00EC250C">
        <w:rPr>
          <w:lang w:eastAsia="en-US"/>
        </w:rPr>
        <w:t>tego, że mamy za mało lekarzy</w:t>
      </w:r>
      <w:r w:rsidR="00992FD0" w:rsidRPr="00EC250C">
        <w:rPr>
          <w:lang w:eastAsia="en-US"/>
        </w:rPr>
        <w:t xml:space="preserve"> i </w:t>
      </w:r>
      <w:r w:rsidRPr="00EC250C">
        <w:rPr>
          <w:lang w:eastAsia="en-US"/>
        </w:rPr>
        <w:t>pielęgniarek</w:t>
      </w:r>
      <w:r w:rsidR="00B473F5" w:rsidRPr="00EC250C">
        <w:rPr>
          <w:lang w:eastAsia="en-US"/>
        </w:rPr>
        <w:t>.</w:t>
      </w:r>
    </w:p>
    <w:p w14:paraId="08BB3293" w14:textId="77777777" w:rsidR="00C91F6E" w:rsidRPr="00EC250C" w:rsidRDefault="00B1044B" w:rsidP="00D131FA">
      <w:pPr>
        <w:pStyle w:val="Styl1"/>
        <w:rPr>
          <w:lang w:eastAsia="en-US"/>
        </w:rPr>
      </w:pPr>
      <w:r w:rsidRPr="00EC250C">
        <w:rPr>
          <w:lang w:eastAsia="en-US"/>
        </w:rPr>
        <w:t>Przechodzących na emeryturę pielęgniarek</w:t>
      </w:r>
      <w:r w:rsidR="00992FD0" w:rsidRPr="00EC250C">
        <w:rPr>
          <w:lang w:eastAsia="en-US"/>
        </w:rPr>
        <w:t xml:space="preserve"> i </w:t>
      </w:r>
      <w:r w:rsidRPr="00EC250C">
        <w:rPr>
          <w:lang w:eastAsia="en-US"/>
        </w:rPr>
        <w:t>położnych nie ma kto zastępować. Te, które pracują</w:t>
      </w:r>
      <w:r w:rsidR="00992FD0" w:rsidRPr="00EC250C">
        <w:rPr>
          <w:lang w:eastAsia="en-US"/>
        </w:rPr>
        <w:t xml:space="preserve"> w </w:t>
      </w:r>
      <w:r w:rsidRPr="00EC250C">
        <w:rPr>
          <w:lang w:eastAsia="en-US"/>
        </w:rPr>
        <w:t>publicznej służbie zdrowia, często zajmują się</w:t>
      </w:r>
      <w:r w:rsidR="00992FD0" w:rsidRPr="00EC250C">
        <w:rPr>
          <w:lang w:eastAsia="en-US"/>
        </w:rPr>
        <w:t xml:space="preserve"> w </w:t>
      </w:r>
      <w:r w:rsidRPr="00EC250C">
        <w:rPr>
          <w:lang w:eastAsia="en-US"/>
        </w:rPr>
        <w:t>pojedynkę kilkudziesięcioma pacjentami. Normą jest praca lekarzy na kilku etatach,</w:t>
      </w:r>
      <w:r w:rsidR="00992FD0" w:rsidRPr="00EC250C">
        <w:rPr>
          <w:lang w:eastAsia="en-US"/>
        </w:rPr>
        <w:t xml:space="preserve"> a </w:t>
      </w:r>
      <w:r w:rsidRPr="00EC250C">
        <w:rPr>
          <w:lang w:eastAsia="en-US"/>
        </w:rPr>
        <w:t>także</w:t>
      </w:r>
      <w:r w:rsidR="00992FD0" w:rsidRPr="00EC250C">
        <w:rPr>
          <w:lang w:eastAsia="en-US"/>
        </w:rPr>
        <w:t xml:space="preserve"> z </w:t>
      </w:r>
      <w:r w:rsidRPr="00EC250C">
        <w:rPr>
          <w:lang w:eastAsia="en-US"/>
        </w:rPr>
        <w:t>wykorzystaniem klauzuli „opt-out” (pozwalającej przekraczać tygodniową normę czasu pracy). Te problemy to nie tylko problemy praw pracowniczych (szerzej opisane przy art. 65 Konstytucji), ale też prawa do ochrony zdrowia. Bez odpowiednio licznego</w:t>
      </w:r>
      <w:r w:rsidR="00992FD0" w:rsidRPr="00EC250C">
        <w:rPr>
          <w:lang w:eastAsia="en-US"/>
        </w:rPr>
        <w:t xml:space="preserve"> i </w:t>
      </w:r>
      <w:r w:rsidRPr="00EC250C">
        <w:rPr>
          <w:lang w:eastAsia="en-US"/>
        </w:rPr>
        <w:t xml:space="preserve">dobrze wynagradzanego personelu medycznego realizacja prawa do ochrony zdrowia zawsze będzie zagrożona, na co </w:t>
      </w:r>
      <w:r w:rsidR="00D76DC6" w:rsidRPr="00EC250C">
        <w:rPr>
          <w:lang w:eastAsia="en-US"/>
        </w:rPr>
        <w:t>RPO</w:t>
      </w:r>
      <w:r w:rsidRPr="00EC250C">
        <w:rPr>
          <w:lang w:eastAsia="en-US"/>
        </w:rPr>
        <w:t xml:space="preserve"> zwraca uwagę od wielu lat, także</w:t>
      </w:r>
      <w:r w:rsidR="00992FD0" w:rsidRPr="00EC250C">
        <w:rPr>
          <w:lang w:eastAsia="en-US"/>
        </w:rPr>
        <w:t xml:space="preserve"> w </w:t>
      </w:r>
      <w:r w:rsidRPr="00EC250C">
        <w:rPr>
          <w:lang w:eastAsia="en-US"/>
        </w:rPr>
        <w:t>roku 2018</w:t>
      </w:r>
      <w:r w:rsidRPr="00EC250C">
        <w:rPr>
          <w:rStyle w:val="Odwoanieprzypisudolnego"/>
          <w:rFonts w:eastAsiaTheme="majorEastAsia"/>
        </w:rPr>
        <w:footnoteReference w:id="510"/>
      </w:r>
      <w:r w:rsidRPr="00EC250C">
        <w:rPr>
          <w:lang w:eastAsia="en-US"/>
        </w:rPr>
        <w:t>.</w:t>
      </w:r>
    </w:p>
    <w:p w14:paraId="108FEC00" w14:textId="77777777" w:rsidR="00C91F6E" w:rsidRPr="00EC250C" w:rsidRDefault="003D41F8" w:rsidP="00EC79EB">
      <w:pPr>
        <w:pStyle w:val="Nagwek4"/>
      </w:pPr>
      <w:bookmarkStart w:id="512" w:name="_Toc6257868"/>
      <w:bookmarkStart w:id="513" w:name="_Toc7113834"/>
      <w:bookmarkStart w:id="514" w:name="_Toc11247747"/>
      <w:r w:rsidRPr="00EC250C">
        <w:t xml:space="preserve">Problem z dostępem do świadczeń po tym, jak lekarz powoła się na </w:t>
      </w:r>
      <w:r w:rsidR="00B1044B" w:rsidRPr="00EC250C">
        <w:t>klauzul</w:t>
      </w:r>
      <w:r w:rsidRPr="00EC250C">
        <w:t>ę</w:t>
      </w:r>
      <w:r w:rsidR="00B1044B" w:rsidRPr="00EC250C">
        <w:t xml:space="preserve"> sumienia</w:t>
      </w:r>
      <w:bookmarkEnd w:id="512"/>
      <w:bookmarkEnd w:id="513"/>
      <w:bookmarkEnd w:id="514"/>
    </w:p>
    <w:p w14:paraId="7C5D711F" w14:textId="77777777" w:rsidR="00B473F5" w:rsidRPr="00EC250C" w:rsidRDefault="00D9230F" w:rsidP="00D131FA">
      <w:pPr>
        <w:pStyle w:val="Problemczowieka"/>
        <w:jc w:val="both"/>
      </w:pPr>
      <w:r w:rsidRPr="00EC250C">
        <w:t xml:space="preserve">Kiedy lekarz odmawia pomocy ze względu na klauzulę sumienia, nie jest obowiązany wskazywać, do kogo pacjent ma się zgłosić. </w:t>
      </w:r>
    </w:p>
    <w:p w14:paraId="27C9AA26" w14:textId="77777777" w:rsidR="00D9230F" w:rsidRPr="00EC250C" w:rsidRDefault="00D9230F" w:rsidP="00D131FA">
      <w:pPr>
        <w:pStyle w:val="Styl1"/>
        <w:rPr>
          <w:bCs/>
          <w:iCs/>
        </w:rPr>
      </w:pPr>
      <w:r w:rsidRPr="00EC250C">
        <w:t>Istnienie klauzuli sumienia stanowi wyraz poszanowania konstytucyjnej wartości, jaką jest wolność sumienia i wyznania. Nie oznacza to jednak zwolnienia państwa z obowiązku zagwarantowania dostępu do zabiegu legalnej aborcji czy do badań prenatalnych. Na problem ten RPO zwraca uwagę od kilku lat.</w:t>
      </w:r>
    </w:p>
    <w:p w14:paraId="7E913F41" w14:textId="77777777" w:rsidR="00C91F6E" w:rsidRPr="00EC250C" w:rsidRDefault="00B1044B" w:rsidP="00D131FA">
      <w:pPr>
        <w:pStyle w:val="Styl1"/>
        <w:rPr>
          <w:bCs/>
          <w:iCs/>
        </w:rPr>
      </w:pPr>
      <w:r w:rsidRPr="00EC250C">
        <w:rPr>
          <w:bCs/>
          <w:iCs/>
        </w:rPr>
        <w:t>W 2015</w:t>
      </w:r>
      <w:r w:rsidR="00C91F6E" w:rsidRPr="00EC250C">
        <w:rPr>
          <w:bCs/>
          <w:iCs/>
        </w:rPr>
        <w:t> r.</w:t>
      </w:r>
      <w:r w:rsidRPr="00EC250C">
        <w:rPr>
          <w:bCs/>
          <w:iCs/>
        </w:rPr>
        <w:t xml:space="preserve"> Trybunał Konstytucyjny orzekł</w:t>
      </w:r>
      <w:r w:rsidR="00DF16F8" w:rsidRPr="00EC250C">
        <w:rPr>
          <w:rStyle w:val="Odwoanieprzypisudolnego"/>
          <w:bCs/>
          <w:iCs/>
        </w:rPr>
        <w:footnoteReference w:id="511"/>
      </w:r>
      <w:r w:rsidRPr="00EC250C">
        <w:rPr>
          <w:bCs/>
          <w:iCs/>
        </w:rPr>
        <w:t>, że lekarz nie ma obowiązku wskazywania podmiotu, który udzieli świadczenia sprzecznego</w:t>
      </w:r>
      <w:r w:rsidR="00992FD0" w:rsidRPr="00EC250C">
        <w:rPr>
          <w:bCs/>
          <w:iCs/>
        </w:rPr>
        <w:t xml:space="preserve"> z </w:t>
      </w:r>
      <w:r w:rsidRPr="00EC250C">
        <w:rPr>
          <w:bCs/>
          <w:iCs/>
        </w:rPr>
        <w:t>jego sumieniem. Od tego czasu przepisy nie zostały zmienione tak, by było jasne, kto</w:t>
      </w:r>
      <w:r w:rsidR="00992FD0" w:rsidRPr="00EC250C">
        <w:rPr>
          <w:bCs/>
          <w:iCs/>
        </w:rPr>
        <w:t xml:space="preserve"> w </w:t>
      </w:r>
      <w:r w:rsidRPr="00EC250C">
        <w:rPr>
          <w:bCs/>
          <w:iCs/>
        </w:rPr>
        <w:t>takim przypadku ma pomóc. Także</w:t>
      </w:r>
      <w:r w:rsidR="00992FD0" w:rsidRPr="00EC250C">
        <w:rPr>
          <w:bCs/>
          <w:iCs/>
        </w:rPr>
        <w:t xml:space="preserve"> w </w:t>
      </w:r>
      <w:r w:rsidRPr="00EC250C">
        <w:rPr>
          <w:bCs/>
          <w:iCs/>
        </w:rPr>
        <w:t>2018</w:t>
      </w:r>
      <w:r w:rsidR="00C91F6E" w:rsidRPr="00EC250C">
        <w:rPr>
          <w:bCs/>
          <w:iCs/>
        </w:rPr>
        <w:t> r.</w:t>
      </w:r>
      <w:r w:rsidRPr="00EC250C">
        <w:rPr>
          <w:bCs/>
          <w:iCs/>
        </w:rPr>
        <w:t xml:space="preserve"> </w:t>
      </w:r>
      <w:r w:rsidR="00D76DC6" w:rsidRPr="00EC250C">
        <w:rPr>
          <w:bCs/>
          <w:iCs/>
        </w:rPr>
        <w:t>RPO</w:t>
      </w:r>
      <w:r w:rsidRPr="00EC250C">
        <w:rPr>
          <w:bCs/>
          <w:iCs/>
        </w:rPr>
        <w:t xml:space="preserve"> zwrócił się do Ministra Zdrowia</w:t>
      </w:r>
      <w:r w:rsidR="00992FD0" w:rsidRPr="00EC250C">
        <w:rPr>
          <w:bCs/>
          <w:iCs/>
        </w:rPr>
        <w:t xml:space="preserve"> o </w:t>
      </w:r>
      <w:r w:rsidRPr="00EC250C">
        <w:rPr>
          <w:bCs/>
          <w:iCs/>
        </w:rPr>
        <w:t>rozważenie działań legislacyjnych.</w:t>
      </w:r>
    </w:p>
    <w:p w14:paraId="25349D72" w14:textId="77777777" w:rsidR="00C91F6E" w:rsidRPr="00EC250C" w:rsidRDefault="00B1044B" w:rsidP="00D131FA">
      <w:pPr>
        <w:pStyle w:val="Styl1"/>
      </w:pPr>
      <w:r w:rsidRPr="00EC250C">
        <w:rPr>
          <w:bCs/>
          <w:iCs/>
        </w:rPr>
        <w:t>W ocenie Ministra przepisów są jasne</w:t>
      </w:r>
      <w:r w:rsidR="00E24C6B" w:rsidRPr="00EC250C">
        <w:rPr>
          <w:bCs/>
          <w:iCs/>
        </w:rPr>
        <w:t>:</w:t>
      </w:r>
      <w:r w:rsidRPr="00EC250C">
        <w:rPr>
          <w:bCs/>
          <w:iCs/>
        </w:rPr>
        <w:t xml:space="preserve"> za wskazanie pacjentowi innego lekarza odpowiada przychodnia lub szpital (podmiot leczniczy). W latach 2013–2017 okręgowe sądy lekarskie oraz Naczelny Sąd Lekarski nie rozpatrywały żadnych spraw wynikających</w:t>
      </w:r>
      <w:r w:rsidR="00992FD0" w:rsidRPr="00EC250C">
        <w:rPr>
          <w:bCs/>
          <w:iCs/>
        </w:rPr>
        <w:t xml:space="preserve"> z </w:t>
      </w:r>
      <w:r w:rsidRPr="00EC250C">
        <w:rPr>
          <w:bCs/>
          <w:iCs/>
        </w:rPr>
        <w:t>tego, że lekarz odmówił aborcji, bo była ona niezgodna</w:t>
      </w:r>
      <w:r w:rsidR="00992FD0" w:rsidRPr="00EC250C">
        <w:rPr>
          <w:bCs/>
          <w:iCs/>
        </w:rPr>
        <w:t xml:space="preserve"> z </w:t>
      </w:r>
      <w:r w:rsidRPr="00EC250C">
        <w:rPr>
          <w:bCs/>
          <w:iCs/>
        </w:rPr>
        <w:t xml:space="preserve">jego sumieniem. Brak skarg – zdaje się sugerować </w:t>
      </w:r>
      <w:r w:rsidR="00395CCC" w:rsidRPr="00EC250C">
        <w:rPr>
          <w:bCs/>
          <w:iCs/>
        </w:rPr>
        <w:t>MZ</w:t>
      </w:r>
      <w:r w:rsidRPr="00EC250C">
        <w:rPr>
          <w:bCs/>
          <w:iCs/>
        </w:rPr>
        <w:t xml:space="preserve"> – pokazuje, że ludzie radzą sobie</w:t>
      </w:r>
      <w:r w:rsidR="00992FD0" w:rsidRPr="00EC250C">
        <w:rPr>
          <w:bCs/>
          <w:iCs/>
        </w:rPr>
        <w:t xml:space="preserve"> w </w:t>
      </w:r>
      <w:r w:rsidRPr="00EC250C">
        <w:rPr>
          <w:bCs/>
          <w:iCs/>
        </w:rPr>
        <w:t>tej sytuacji. Tymczasem jednak Rzecznik Praw Pacjenta</w:t>
      </w:r>
      <w:r w:rsidR="00992FD0" w:rsidRPr="00EC250C">
        <w:rPr>
          <w:bCs/>
          <w:iCs/>
        </w:rPr>
        <w:t xml:space="preserve"> w </w:t>
      </w:r>
      <w:r w:rsidRPr="00EC250C">
        <w:rPr>
          <w:bCs/>
          <w:iCs/>
        </w:rPr>
        <w:t xml:space="preserve">ciągu ostatnich dwóch lat </w:t>
      </w:r>
      <w:r w:rsidRPr="00EC250C">
        <w:t>(2017–2018) dostał dwa pisemne zgłoszenia dotyczące problematyki dostępu do legalnej aborcji. Zdaniem RPP problemem jest także brak możliwości skutecznego odwołania się od decyzji lekarza</w:t>
      </w:r>
      <w:r w:rsidR="00992FD0" w:rsidRPr="00EC250C">
        <w:t xml:space="preserve"> o </w:t>
      </w:r>
      <w:r w:rsidRPr="00EC250C">
        <w:t>odmowie legalnej aborcji. Przepisy wymagają więc jego zdaniem zmian</w:t>
      </w:r>
      <w:r w:rsidRPr="00EC250C">
        <w:rPr>
          <w:bCs/>
          <w:iCs/>
          <w:vertAlign w:val="superscript"/>
        </w:rPr>
        <w:footnoteReference w:id="512"/>
      </w:r>
      <w:r w:rsidRPr="00EC250C">
        <w:t>.</w:t>
      </w:r>
    </w:p>
    <w:p w14:paraId="6E88E991" w14:textId="77777777" w:rsidR="009A311A" w:rsidRPr="00EC250C" w:rsidRDefault="009A311A" w:rsidP="00D131FA">
      <w:pPr>
        <w:pStyle w:val="Styl1"/>
      </w:pPr>
      <w:r w:rsidRPr="00EC250C">
        <w:lastRenderedPageBreak/>
        <w:t>Projekt zmiany prawa po wyroku TK przygotował</w:t>
      </w:r>
      <w:r w:rsidR="00992FD0" w:rsidRPr="00EC250C">
        <w:t xml:space="preserve"> w </w:t>
      </w:r>
      <w:r w:rsidRPr="00EC250C">
        <w:t>2018</w:t>
      </w:r>
      <w:r w:rsidR="00C91F6E" w:rsidRPr="00EC250C">
        <w:t> r.</w:t>
      </w:r>
      <w:r w:rsidRPr="00EC250C">
        <w:t xml:space="preserve"> Senat. Zaproponował, by</w:t>
      </w:r>
      <w:r w:rsidR="00992FD0" w:rsidRPr="00EC250C">
        <w:t xml:space="preserve"> w </w:t>
      </w:r>
      <w:r w:rsidRPr="00EC250C">
        <w:t>przypadku odmowy lekarza placówkę, która wykona świadczenie, wskazywał jego szpital. Jednocześnie senatorowie zaproponowali, by prawo do decydowania, jakie badania zrealizują, otrzymali także także diagności. Gdyby powołali się na klauzulę sumienia,</w:t>
      </w:r>
      <w:r w:rsidR="00992FD0" w:rsidRPr="00EC250C">
        <w:t xml:space="preserve"> o </w:t>
      </w:r>
      <w:r w:rsidRPr="00EC250C">
        <w:t>tym, gdzie można zrobić badania, informowałby pacjenta szpital.</w:t>
      </w:r>
    </w:p>
    <w:p w14:paraId="157540A3" w14:textId="77777777" w:rsidR="009A311A" w:rsidRPr="00EC250C" w:rsidRDefault="009A311A" w:rsidP="00D131FA">
      <w:pPr>
        <w:pStyle w:val="Styl1"/>
      </w:pPr>
      <w:r w:rsidRPr="00EC250C">
        <w:t xml:space="preserve">RPO pozytywnie odniósł się do propozycji dotyczącej lekarzy, jego wątpliwości budzi propozycja dotycząca </w:t>
      </w:r>
      <w:r w:rsidR="00111A5E" w:rsidRPr="00EC250C">
        <w:t xml:space="preserve">przyznania </w:t>
      </w:r>
      <w:r w:rsidRPr="00EC250C">
        <w:t>diagnost</w:t>
      </w:r>
      <w:r w:rsidR="00111A5E" w:rsidRPr="00EC250C">
        <w:t>om prawa do odmowy wykonywania niektórych badań</w:t>
      </w:r>
      <w:r w:rsidR="002F5815" w:rsidRPr="00EC250C">
        <w:rPr>
          <w:rStyle w:val="Odwoanieprzypisudolnego"/>
        </w:rPr>
        <w:footnoteReference w:id="513"/>
      </w:r>
      <w:r w:rsidRPr="00EC250C">
        <w:t>.</w:t>
      </w:r>
    </w:p>
    <w:p w14:paraId="4E3D627D" w14:textId="77777777" w:rsidR="00B1044B" w:rsidRPr="00EC250C" w:rsidRDefault="00B1044B" w:rsidP="00EC79EB">
      <w:pPr>
        <w:pStyle w:val="Nagwek4"/>
      </w:pPr>
      <w:bookmarkStart w:id="515" w:name="_Toc6257869"/>
      <w:bookmarkStart w:id="516" w:name="_Toc7113835"/>
      <w:bookmarkStart w:id="517" w:name="_Toc11247748"/>
      <w:r w:rsidRPr="00EC250C">
        <w:t>Kłopoty</w:t>
      </w:r>
      <w:r w:rsidR="00992FD0" w:rsidRPr="00EC250C">
        <w:t xml:space="preserve"> z </w:t>
      </w:r>
      <w:r w:rsidRPr="00EC250C">
        <w:t>dostępem do pomocy ginekologa</w:t>
      </w:r>
      <w:r w:rsidR="00992FD0" w:rsidRPr="00EC250C">
        <w:t xml:space="preserve"> i </w:t>
      </w:r>
      <w:r w:rsidRPr="00EC250C">
        <w:t>znieczulenia okołoporodowego</w:t>
      </w:r>
      <w:bookmarkEnd w:id="515"/>
      <w:bookmarkEnd w:id="516"/>
      <w:bookmarkEnd w:id="517"/>
    </w:p>
    <w:p w14:paraId="23F834DF" w14:textId="77777777" w:rsidR="00B473F5" w:rsidRPr="00EC250C" w:rsidRDefault="00B1044B" w:rsidP="00D131FA">
      <w:pPr>
        <w:pStyle w:val="Problemczowieka"/>
        <w:jc w:val="both"/>
      </w:pPr>
      <w:r w:rsidRPr="00EC250C">
        <w:t>Część kluczowych świadczeń zdrowotnych jest</w:t>
      </w:r>
      <w:r w:rsidR="00992FD0" w:rsidRPr="00EC250C">
        <w:t xml:space="preserve"> w </w:t>
      </w:r>
      <w:r w:rsidRPr="00EC250C">
        <w:t>Polsce niedostępnych – albo</w:t>
      </w:r>
      <w:r w:rsidR="00992FD0" w:rsidRPr="00EC250C">
        <w:t xml:space="preserve"> z </w:t>
      </w:r>
      <w:r w:rsidRPr="00EC250C">
        <w:t>powodu przepisów szczegółowych albo</w:t>
      </w:r>
      <w:r w:rsidR="00992FD0" w:rsidRPr="00EC250C">
        <w:t xml:space="preserve"> z </w:t>
      </w:r>
      <w:r w:rsidRPr="00EC250C">
        <w:t>powodu braku pieniędzy</w:t>
      </w:r>
      <w:r w:rsidR="00B473F5" w:rsidRPr="00EC250C">
        <w:t>.</w:t>
      </w:r>
    </w:p>
    <w:p w14:paraId="0411123A" w14:textId="77777777" w:rsidR="00C91F6E" w:rsidRPr="00EC250C" w:rsidRDefault="00B1044B" w:rsidP="00D131FA">
      <w:pPr>
        <w:pStyle w:val="Styl1"/>
      </w:pPr>
      <w:r w:rsidRPr="00EC250C">
        <w:t>Uwagi</w:t>
      </w:r>
      <w:r w:rsidR="00992FD0" w:rsidRPr="00EC250C">
        <w:t xml:space="preserve"> w </w:t>
      </w:r>
      <w:r w:rsidRPr="00EC250C">
        <w:t>tej sprawie RPO zawarł</w:t>
      </w:r>
      <w:r w:rsidR="00992FD0" w:rsidRPr="00EC250C">
        <w:t xml:space="preserve"> w </w:t>
      </w:r>
      <w:r w:rsidRPr="00EC250C">
        <w:t>wystąpieniu</w:t>
      </w:r>
      <w:r w:rsidRPr="00EC250C">
        <w:rPr>
          <w:rStyle w:val="Odwoanieprzypisudolnego"/>
          <w:rFonts w:eastAsiaTheme="majorEastAsia"/>
          <w:bCs/>
        </w:rPr>
        <w:footnoteReference w:id="514"/>
      </w:r>
      <w:r w:rsidRPr="00EC250C">
        <w:t xml:space="preserve"> dotyczącym realizacji ustawy</w:t>
      </w:r>
      <w:r w:rsidR="00992FD0" w:rsidRPr="00EC250C">
        <w:t xml:space="preserve"> o </w:t>
      </w:r>
      <w:r w:rsidRPr="00EC250C">
        <w:t>planowaniu rodziny</w:t>
      </w:r>
      <w:r w:rsidR="00992FD0" w:rsidRPr="00EC250C">
        <w:t xml:space="preserve"> i </w:t>
      </w:r>
      <w:r w:rsidRPr="00EC250C">
        <w:t>ochronie płodu ludzkiego</w:t>
      </w:r>
      <w:r w:rsidRPr="00EC250C">
        <w:rPr>
          <w:rStyle w:val="Odwoanieprzypisudolnego"/>
          <w:rFonts w:eastAsiaTheme="majorEastAsia"/>
          <w:bCs/>
        </w:rPr>
        <w:footnoteReference w:id="515"/>
      </w:r>
      <w:r w:rsidRPr="00EC250C">
        <w:t>.</w:t>
      </w:r>
    </w:p>
    <w:p w14:paraId="1DF4EBED" w14:textId="77777777" w:rsidR="005A145A" w:rsidRPr="00EC250C" w:rsidRDefault="00B1044B" w:rsidP="00D131FA">
      <w:pPr>
        <w:pStyle w:val="ODESANIE"/>
        <w:jc w:val="both"/>
      </w:pPr>
      <w:r w:rsidRPr="00EC250C">
        <w:t>Więcej</w:t>
      </w:r>
      <w:r w:rsidR="00992FD0" w:rsidRPr="00EC250C">
        <w:t xml:space="preserve"> o </w:t>
      </w:r>
      <w:r w:rsidRPr="00EC250C">
        <w:t>problemie – art. 68 ust. 3 Konstytucji (prawo szczególnej opieki zdrowotnej dla grup wrażliwych)</w:t>
      </w:r>
    </w:p>
    <w:p w14:paraId="580BA70E" w14:textId="77777777" w:rsidR="00C91F6E" w:rsidRPr="00EC250C" w:rsidRDefault="00B1044B" w:rsidP="00EC79EB">
      <w:pPr>
        <w:pStyle w:val="Nagwek4"/>
      </w:pPr>
      <w:bookmarkStart w:id="518" w:name="_Toc6257870"/>
      <w:bookmarkStart w:id="519" w:name="_Toc7113836"/>
      <w:bookmarkStart w:id="520" w:name="_Toc11247749"/>
      <w:r w:rsidRPr="00EC250C">
        <w:t xml:space="preserve">Problem rzeczywistego dostępu do </w:t>
      </w:r>
      <w:bookmarkEnd w:id="518"/>
      <w:bookmarkEnd w:id="519"/>
      <w:r w:rsidRPr="00EC250C">
        <w:t>marihuany medycznej</w:t>
      </w:r>
      <w:bookmarkEnd w:id="520"/>
    </w:p>
    <w:p w14:paraId="5214BA9F" w14:textId="77777777" w:rsidR="00B473F5" w:rsidRPr="00EC250C" w:rsidRDefault="00B1044B" w:rsidP="00D131FA">
      <w:pPr>
        <w:pStyle w:val="Problemczowieka"/>
        <w:jc w:val="both"/>
        <w:rPr>
          <w:rStyle w:val="Pogrubienie"/>
          <w:rFonts w:eastAsiaTheme="majorEastAsia"/>
        </w:rPr>
      </w:pPr>
      <w:r w:rsidRPr="00EC250C">
        <w:rPr>
          <w:rStyle w:val="Pogrubienie"/>
          <w:rFonts w:eastAsiaTheme="majorEastAsia"/>
        </w:rPr>
        <w:t>Osoby, które chcą się leczyć medyczną marihuaną, mimo zmiany przepisów nadal mogą mieć zamkniętą drogę do takiej terapii</w:t>
      </w:r>
      <w:r w:rsidR="00B473F5" w:rsidRPr="00EC250C">
        <w:rPr>
          <w:rStyle w:val="Pogrubienie"/>
          <w:rFonts w:eastAsiaTheme="majorEastAsia"/>
        </w:rPr>
        <w:t>.</w:t>
      </w:r>
    </w:p>
    <w:p w14:paraId="00484D3E" w14:textId="77777777" w:rsidR="00C91F6E" w:rsidRPr="00EC250C" w:rsidRDefault="00B1044B" w:rsidP="00D131FA">
      <w:pPr>
        <w:pStyle w:val="Styl1"/>
      </w:pPr>
      <w:r w:rsidRPr="00EC250C">
        <w:t>1 listopada 2017</w:t>
      </w:r>
      <w:r w:rsidR="00C91F6E" w:rsidRPr="00EC250C">
        <w:t> r.</w:t>
      </w:r>
      <w:r w:rsidRPr="00EC250C">
        <w:t xml:space="preserve"> weszła</w:t>
      </w:r>
      <w:r w:rsidR="00992FD0" w:rsidRPr="00EC250C">
        <w:t xml:space="preserve"> w </w:t>
      </w:r>
      <w:r w:rsidRPr="00EC250C">
        <w:t>życie nowelizacja m.in. ustawy</w:t>
      </w:r>
      <w:r w:rsidR="00992FD0" w:rsidRPr="00EC250C">
        <w:t xml:space="preserve"> o </w:t>
      </w:r>
      <w:r w:rsidRPr="00EC250C">
        <w:t>przeciwdziałaniu narkomanii</w:t>
      </w:r>
      <w:r w:rsidRPr="00EC250C">
        <w:rPr>
          <w:rStyle w:val="Odwoanieprzypisudolnego"/>
          <w:rFonts w:eastAsiaTheme="majorEastAsia"/>
          <w:bCs/>
        </w:rPr>
        <w:footnoteReference w:id="516"/>
      </w:r>
      <w:r w:rsidRPr="00EC250C">
        <w:rPr>
          <w:bCs/>
          <w:iCs/>
        </w:rPr>
        <w:t>.</w:t>
      </w:r>
      <w:r w:rsidRPr="00EC250C">
        <w:t xml:space="preserve"> Miała ona pozwolić polskim pacjentom na łatwiejszy dostęp do leków na bazie marihuany, poprzez przygotowywanie tych preparatów</w:t>
      </w:r>
      <w:r w:rsidR="00992FD0" w:rsidRPr="00EC250C">
        <w:t xml:space="preserve"> z </w:t>
      </w:r>
      <w:r w:rsidRPr="00EC250C">
        <w:t>surowców przez farmaceutów.</w:t>
      </w:r>
    </w:p>
    <w:p w14:paraId="70C7F114" w14:textId="77777777" w:rsidR="00B1044B" w:rsidRPr="00EC250C" w:rsidRDefault="00B1044B" w:rsidP="00D131FA">
      <w:pPr>
        <w:pStyle w:val="Styl1"/>
      </w:pPr>
      <w:r w:rsidRPr="00EC250C">
        <w:t>Niestety, do 9 maja 2018</w:t>
      </w:r>
      <w:r w:rsidR="00C91F6E" w:rsidRPr="00EC250C">
        <w:t> r.</w:t>
      </w:r>
      <w:r w:rsidRPr="00EC250C">
        <w:t xml:space="preserve"> nie został złożony do Urzędu Rejestracji Produktów Leczniczych ani jeden wniosek</w:t>
      </w:r>
      <w:r w:rsidR="00992FD0" w:rsidRPr="00EC250C">
        <w:t xml:space="preserve"> o </w:t>
      </w:r>
      <w:r w:rsidRPr="00EC250C">
        <w:t>dopuszczenie do obrotu na polskim rynku surowca</w:t>
      </w:r>
      <w:r w:rsidR="00992FD0" w:rsidRPr="00EC250C">
        <w:t xml:space="preserve"> z </w:t>
      </w:r>
      <w:r w:rsidRPr="00EC250C">
        <w:t>konopi. Według ekspertów jest to spowodowane restrykcyjnymi przepisami rozporządzenia Ministra Zdrowia</w:t>
      </w:r>
      <w:r w:rsidR="00992FD0" w:rsidRPr="00EC250C">
        <w:t xml:space="preserve"> z </w:t>
      </w:r>
      <w:r w:rsidRPr="00EC250C">
        <w:t>5 grudnia 2017</w:t>
      </w:r>
      <w:r w:rsidR="00C91F6E" w:rsidRPr="00EC250C">
        <w:t> r.</w:t>
      </w:r>
      <w:r w:rsidRPr="00EC250C">
        <w:t xml:space="preserve"> Stanowią one, że taki surowiec musi spełniać kryteria obowiązujące dla surowca farmaceutycznego.</w:t>
      </w:r>
    </w:p>
    <w:p w14:paraId="417876E4" w14:textId="77777777" w:rsidR="00C91F6E" w:rsidRPr="00EC250C" w:rsidRDefault="00B1044B" w:rsidP="00D131FA">
      <w:pPr>
        <w:pStyle w:val="Styl1"/>
      </w:pPr>
      <w:r w:rsidRPr="00EC250C">
        <w:t>Nieliczne leki zawierające marihuanę medyczną dostępne dla polskich pacjentów są</w:t>
      </w:r>
      <w:r w:rsidR="00992FD0" w:rsidRPr="00EC250C">
        <w:t xml:space="preserve"> z </w:t>
      </w:r>
      <w:r w:rsidRPr="00EC250C">
        <w:t>kolei bardzo drogie (zwłaszcza te, sprowadzane</w:t>
      </w:r>
      <w:r w:rsidR="00992FD0" w:rsidRPr="00EC250C">
        <w:t xml:space="preserve"> w </w:t>
      </w:r>
      <w:r w:rsidRPr="00EC250C">
        <w:t>drodze importu docelowego – wymagającego dodatkowo indywidualnej zgody Ministra Zdrowia). Co więcej,</w:t>
      </w:r>
      <w:r w:rsidR="00992FD0" w:rsidRPr="00EC250C">
        <w:t xml:space="preserve"> w </w:t>
      </w:r>
      <w:r w:rsidRPr="00EC250C">
        <w:t>związku ze zmianą art. 39 ustawy</w:t>
      </w:r>
      <w:r w:rsidR="00992FD0" w:rsidRPr="00EC250C">
        <w:t xml:space="preserve"> o </w:t>
      </w:r>
      <w:r w:rsidRPr="00EC250C">
        <w:t>refundacji leków, ich refundacja nie jest możliwa.</w:t>
      </w:r>
    </w:p>
    <w:p w14:paraId="4575DCF9" w14:textId="77777777" w:rsidR="00C91F6E" w:rsidRPr="00EC250C" w:rsidRDefault="00D76DC6" w:rsidP="00D131FA">
      <w:pPr>
        <w:pStyle w:val="Styl1"/>
        <w:rPr>
          <w:bCs/>
          <w:iCs/>
        </w:rPr>
      </w:pPr>
      <w:r w:rsidRPr="00EC250C">
        <w:rPr>
          <w:bCs/>
          <w:iCs/>
        </w:rPr>
        <w:lastRenderedPageBreak/>
        <w:t>RPO</w:t>
      </w:r>
      <w:r w:rsidR="00B1044B" w:rsidRPr="00EC250C">
        <w:rPr>
          <w:bCs/>
          <w:iCs/>
        </w:rPr>
        <w:t xml:space="preserve"> przedstawił problem Ministrowi Zdrowia. Ten poinformował, że</w:t>
      </w:r>
      <w:r w:rsidR="00992FD0" w:rsidRPr="00EC250C">
        <w:rPr>
          <w:bCs/>
          <w:iCs/>
        </w:rPr>
        <w:t xml:space="preserve"> w </w:t>
      </w:r>
      <w:r w:rsidR="00B1044B" w:rsidRPr="00EC250C">
        <w:rPr>
          <w:bCs/>
          <w:iCs/>
        </w:rPr>
        <w:t>Urzędzie Rejestracji Produktów Leczniczych jest</w:t>
      </w:r>
      <w:r w:rsidR="00992FD0" w:rsidRPr="00EC250C">
        <w:rPr>
          <w:bCs/>
          <w:iCs/>
        </w:rPr>
        <w:t xml:space="preserve"> w </w:t>
      </w:r>
      <w:r w:rsidR="00B1044B" w:rsidRPr="00EC250C">
        <w:rPr>
          <w:bCs/>
          <w:iCs/>
        </w:rPr>
        <w:t>toku 5 postępowań</w:t>
      </w:r>
      <w:r w:rsidR="00992FD0" w:rsidRPr="00EC250C">
        <w:rPr>
          <w:bCs/>
          <w:iCs/>
        </w:rPr>
        <w:t xml:space="preserve"> o </w:t>
      </w:r>
      <w:r w:rsidR="00B1044B" w:rsidRPr="00EC250C">
        <w:rPr>
          <w:bCs/>
          <w:iCs/>
        </w:rPr>
        <w:t>dopuszczenia do obrotu. To, że teraz nie refunduje się tego typu leków</w:t>
      </w:r>
      <w:r w:rsidR="00992FD0" w:rsidRPr="00EC250C">
        <w:rPr>
          <w:bCs/>
          <w:iCs/>
        </w:rPr>
        <w:t xml:space="preserve"> w </w:t>
      </w:r>
      <w:r w:rsidR="00B1044B" w:rsidRPr="00EC250C">
        <w:rPr>
          <w:bCs/>
          <w:iCs/>
        </w:rPr>
        <w:t>ramach importu docelowego, nie wynika ze stosunku do takiej terapii ale</w:t>
      </w:r>
      <w:r w:rsidR="00992FD0" w:rsidRPr="00EC250C">
        <w:rPr>
          <w:bCs/>
          <w:iCs/>
        </w:rPr>
        <w:t xml:space="preserve"> z </w:t>
      </w:r>
      <w:r w:rsidR="00B1044B" w:rsidRPr="00EC250C">
        <w:rPr>
          <w:bCs/>
          <w:iCs/>
        </w:rPr>
        <w:t>prostego faktu, że priorytetem opieki zdrowotnej jest sprawiedliwe gospodarowanie publicznymi środkami</w:t>
      </w:r>
      <w:r w:rsidR="00B1044B" w:rsidRPr="00EC250C">
        <w:rPr>
          <w:rStyle w:val="Odwoanieprzypisudolnego"/>
          <w:rFonts w:eastAsiaTheme="majorEastAsia"/>
          <w:bCs/>
        </w:rPr>
        <w:footnoteReference w:id="517"/>
      </w:r>
      <w:r w:rsidR="00B1044B" w:rsidRPr="00EC250C">
        <w:rPr>
          <w:bCs/>
          <w:iCs/>
        </w:rPr>
        <w:t>.</w:t>
      </w:r>
    </w:p>
    <w:p w14:paraId="55AB159F" w14:textId="77777777" w:rsidR="00B1044B" w:rsidRPr="00EC250C" w:rsidRDefault="00B1044B" w:rsidP="00EC250C">
      <w:pPr>
        <w:pStyle w:val="Nagwek8"/>
        <w:rPr>
          <w:spacing w:val="0"/>
        </w:rPr>
      </w:pPr>
      <w:r w:rsidRPr="00EC250C">
        <w:t>Po wyroku NSA pani Marta</w:t>
      </w:r>
      <w:r w:rsidR="00992FD0" w:rsidRPr="00EC250C">
        <w:t xml:space="preserve"> z </w:t>
      </w:r>
      <w:r w:rsidRPr="00EC250C">
        <w:t>szansą na refundację leku uśmierzającego ból przy rzadkiej chorobie</w:t>
      </w:r>
    </w:p>
    <w:p w14:paraId="1F695473" w14:textId="77777777" w:rsidR="00B1044B" w:rsidRPr="00EC250C" w:rsidRDefault="00B1044B" w:rsidP="00D131FA">
      <w:pPr>
        <w:pStyle w:val="Styl2"/>
        <w:rPr>
          <w:szCs w:val="24"/>
        </w:rPr>
      </w:pPr>
      <w:r w:rsidRPr="00EC250C">
        <w:rPr>
          <w:szCs w:val="24"/>
        </w:rPr>
        <w:t>Pani Marta cierpi na algodystrofię nóg</w:t>
      </w:r>
      <w:r w:rsidR="00026572" w:rsidRPr="00EC250C">
        <w:rPr>
          <w:szCs w:val="24"/>
        </w:rPr>
        <w:t xml:space="preserve"> – </w:t>
      </w:r>
      <w:r w:rsidRPr="00EC250C">
        <w:rPr>
          <w:szCs w:val="24"/>
        </w:rPr>
        <w:t>rzadką chorobę powodującą bóle praktycznie uniemożliwiające funkcjonowanie. Brała na to wiele leków, ale nie pomagały. Dopiero marihuana medyczna przyniosła ulgę. Ale preparat dostępny</w:t>
      </w:r>
      <w:r w:rsidR="00992FD0" w:rsidRPr="00EC250C">
        <w:rPr>
          <w:szCs w:val="24"/>
        </w:rPr>
        <w:t xml:space="preserve"> w </w:t>
      </w:r>
      <w:r w:rsidRPr="00EC250C">
        <w:rPr>
          <w:szCs w:val="24"/>
        </w:rPr>
        <w:t>Polsce wywołał u pani Marty alergię. Trzeba było go zamienić na odpowiednik zagraniczny – Minister Zdrowia wydał na to zgodę. Ale na refundację już nie, mimo że koszty marihuany leczniczej pochłaniały większość dochodów pani Marty.</w:t>
      </w:r>
    </w:p>
    <w:p w14:paraId="26D97188" w14:textId="77777777" w:rsidR="00C91F6E" w:rsidRPr="00EC250C" w:rsidRDefault="00B1044B" w:rsidP="00D131FA">
      <w:pPr>
        <w:pStyle w:val="Styl2"/>
        <w:rPr>
          <w:szCs w:val="24"/>
        </w:rPr>
      </w:pPr>
      <w:r w:rsidRPr="00EC250C">
        <w:rPr>
          <w:szCs w:val="24"/>
        </w:rPr>
        <w:t>Minister powołał się na to, że pani Marta nie kwalifikuje się do refundacji, bo nie ma dowodów, by marihuana</w:t>
      </w:r>
      <w:r w:rsidR="00992FD0" w:rsidRPr="00EC250C">
        <w:rPr>
          <w:szCs w:val="24"/>
        </w:rPr>
        <w:t xml:space="preserve"> w </w:t>
      </w:r>
      <w:r w:rsidRPr="00EC250C">
        <w:rPr>
          <w:szCs w:val="24"/>
        </w:rPr>
        <w:t>jej sytuacji przynosiła więcej korzyści niż zagrożeń. Rzecz</w:t>
      </w:r>
      <w:r w:rsidR="00992FD0" w:rsidRPr="00EC250C">
        <w:rPr>
          <w:szCs w:val="24"/>
        </w:rPr>
        <w:t xml:space="preserve"> w </w:t>
      </w:r>
      <w:r w:rsidRPr="00EC250C">
        <w:rPr>
          <w:szCs w:val="24"/>
        </w:rPr>
        <w:t>tym – zauważył RPO</w:t>
      </w:r>
      <w:r w:rsidR="00026572" w:rsidRPr="00EC250C">
        <w:rPr>
          <w:szCs w:val="24"/>
        </w:rPr>
        <w:t xml:space="preserve"> – </w:t>
      </w:r>
      <w:r w:rsidRPr="00EC250C">
        <w:rPr>
          <w:szCs w:val="24"/>
        </w:rPr>
        <w:t>że Minister posługiwał się ogólnymi opiniami konsultantów, ale nie opiniami</w:t>
      </w:r>
      <w:r w:rsidR="00992FD0" w:rsidRPr="00EC250C">
        <w:rPr>
          <w:szCs w:val="24"/>
        </w:rPr>
        <w:t xml:space="preserve"> w </w:t>
      </w:r>
      <w:r w:rsidRPr="00EC250C">
        <w:rPr>
          <w:szCs w:val="24"/>
        </w:rPr>
        <w:t xml:space="preserve">sprawie zdrowia pani Marty. </w:t>
      </w:r>
      <w:r w:rsidR="00D76DC6" w:rsidRPr="00EC250C">
        <w:rPr>
          <w:szCs w:val="24"/>
        </w:rPr>
        <w:t>RPO</w:t>
      </w:r>
      <w:r w:rsidRPr="00EC250C">
        <w:rPr>
          <w:szCs w:val="24"/>
        </w:rPr>
        <w:t xml:space="preserve"> przystąpił do postępowania przed sądami administracyjnymi po stronie pani Marty.</w:t>
      </w:r>
    </w:p>
    <w:p w14:paraId="7EE53942" w14:textId="77777777" w:rsidR="00C91F6E" w:rsidRPr="00EC250C" w:rsidRDefault="00B1044B" w:rsidP="00D131FA">
      <w:pPr>
        <w:pStyle w:val="Styl2"/>
        <w:rPr>
          <w:szCs w:val="24"/>
        </w:rPr>
      </w:pPr>
      <w:r w:rsidRPr="00EC250C">
        <w:rPr>
          <w:szCs w:val="24"/>
        </w:rPr>
        <w:t>Naczelny Sąd Administracyjny uchylił decyzję Ministra Zdrowia</w:t>
      </w:r>
      <w:r w:rsidR="00992FD0" w:rsidRPr="00EC250C">
        <w:rPr>
          <w:szCs w:val="24"/>
        </w:rPr>
        <w:t xml:space="preserve"> o </w:t>
      </w:r>
      <w:r w:rsidRPr="00EC250C">
        <w:rPr>
          <w:szCs w:val="24"/>
        </w:rPr>
        <w:t>odmowie refundacji</w:t>
      </w:r>
      <w:r w:rsidRPr="00EC250C">
        <w:rPr>
          <w:rStyle w:val="Odwoanieprzypisudolnego"/>
          <w:szCs w:val="24"/>
        </w:rPr>
        <w:footnoteReference w:id="518"/>
      </w:r>
      <w:r w:rsidRPr="00EC250C">
        <w:rPr>
          <w:szCs w:val="24"/>
        </w:rPr>
        <w:t>.</w:t>
      </w:r>
      <w:r w:rsidR="00243BA0" w:rsidRPr="00EC250C">
        <w:rPr>
          <w:szCs w:val="24"/>
        </w:rPr>
        <w:t xml:space="preserve"> W 2019 r. Minister wydał zgodę na refundację leku</w:t>
      </w:r>
      <w:r w:rsidR="00243BA0" w:rsidRPr="00EC250C">
        <w:rPr>
          <w:szCs w:val="24"/>
          <w:vertAlign w:val="superscript"/>
        </w:rPr>
        <w:footnoteReference w:id="519"/>
      </w:r>
      <w:r w:rsidR="00243BA0" w:rsidRPr="00EC250C">
        <w:rPr>
          <w:szCs w:val="24"/>
        </w:rPr>
        <w:t>.</w:t>
      </w:r>
    </w:p>
    <w:p w14:paraId="3AD2846D" w14:textId="77777777" w:rsidR="003B7156" w:rsidRPr="00EC250C" w:rsidRDefault="003B7156" w:rsidP="00EC79EB">
      <w:pPr>
        <w:pStyle w:val="Nagwek4"/>
      </w:pPr>
      <w:bookmarkStart w:id="521" w:name="_Toc11247750"/>
      <w:r w:rsidRPr="00EC250C">
        <w:t>Problemy żołnierzy z dostępem do pomocy lekarskiej</w:t>
      </w:r>
      <w:bookmarkEnd w:id="521"/>
    </w:p>
    <w:p w14:paraId="392F0F5B" w14:textId="77777777" w:rsidR="003B7156" w:rsidRPr="00EC250C" w:rsidRDefault="003B7156" w:rsidP="00D131FA">
      <w:pPr>
        <w:pStyle w:val="Problemczowieka"/>
        <w:jc w:val="both"/>
      </w:pPr>
      <w:r w:rsidRPr="00EC250C">
        <w:t>Żołnierze cierpiący na zaburzenia stresu pourazowego (PTSD) mogą nie otrzymywać właściwej pomocy.</w:t>
      </w:r>
    </w:p>
    <w:p w14:paraId="5D6CF404" w14:textId="77777777" w:rsidR="003B7156" w:rsidRPr="00EC250C" w:rsidRDefault="003B7156" w:rsidP="00D131FA">
      <w:pPr>
        <w:pStyle w:val="Styl1"/>
      </w:pPr>
      <w:r w:rsidRPr="00EC250C">
        <w:t>W 2017 r. RPO zwrócił uwagę</w:t>
      </w:r>
      <w:r w:rsidRPr="00EC250C">
        <w:rPr>
          <w:rStyle w:val="Odwoanieprzypisudolnego"/>
        </w:rPr>
        <w:footnoteReference w:id="520"/>
      </w:r>
      <w:r w:rsidRPr="00EC250C">
        <w:t xml:space="preserve"> Szefa Kancelarii Prezesa Rady Ministrów, że przepisy dotyczące kryteriów diagnostycznych i orzeczniczych zaburzenia stresu pourazowego (PTSD) oraz rozpoznawania urazowego uszkodzenia mózgu (TBI i mTBI) w orzecznictwie wojskowo-lekarskim są niejednolite.</w:t>
      </w:r>
    </w:p>
    <w:p w14:paraId="37DA351D" w14:textId="77777777" w:rsidR="003B7156" w:rsidRPr="00EC250C" w:rsidRDefault="003B7156" w:rsidP="00D131FA">
      <w:pPr>
        <w:pStyle w:val="Styl1"/>
        <w:rPr>
          <w:rStyle w:val="Pogrubienie"/>
        </w:rPr>
      </w:pPr>
      <w:r w:rsidRPr="00EC250C">
        <w:t>Zdaniem rządu różnice rzeczywiście istnieją, ale żaden z właściwych organów nie wskazał na konieczność ujednolicenia aktów prawnych, głównie z uwagi na odmienną specyfikę działania poszczególnych formacji.</w:t>
      </w:r>
    </w:p>
    <w:p w14:paraId="49347672" w14:textId="77777777" w:rsidR="00B1044B" w:rsidRPr="00EC250C" w:rsidRDefault="00B1044B" w:rsidP="00D131FA">
      <w:pPr>
        <w:spacing w:after="200" w:line="24" w:lineRule="auto"/>
        <w:jc w:val="both"/>
        <w:rPr>
          <w:rFonts w:ascii="EB Garamond 08 Regular" w:eastAsiaTheme="minorHAnsi" w:hAnsi="EB Garamond 08 Regular"/>
          <w:b/>
          <w:bCs/>
          <w:iCs/>
          <w:color w:val="18223E"/>
          <w:spacing w:val="5"/>
          <w:sz w:val="36"/>
          <w:szCs w:val="32"/>
          <w:lang w:eastAsia="en-US"/>
        </w:rPr>
      </w:pPr>
      <w:r w:rsidRPr="00EC250C">
        <w:rPr>
          <w:sz w:val="24"/>
        </w:rPr>
        <w:br w:type="page"/>
      </w:r>
    </w:p>
    <w:p w14:paraId="7CB0D63E" w14:textId="77777777" w:rsidR="00C91F6E" w:rsidRPr="00EC250C" w:rsidRDefault="00B1044B" w:rsidP="00EC250C">
      <w:pPr>
        <w:pStyle w:val="Nagwek3"/>
      </w:pPr>
      <w:bookmarkStart w:id="522" w:name="_Toc6257872"/>
      <w:bookmarkStart w:id="523" w:name="_Toc7113837"/>
      <w:bookmarkStart w:id="524" w:name="_Toc11247751"/>
      <w:r w:rsidRPr="00EC250C">
        <w:lastRenderedPageBreak/>
        <w:t>Art. 68 ust. 2 – Prawo równego dostępu do świadczeń opieki zdrowotnej</w:t>
      </w:r>
      <w:bookmarkEnd w:id="522"/>
      <w:bookmarkEnd w:id="523"/>
      <w:bookmarkEnd w:id="524"/>
    </w:p>
    <w:p w14:paraId="2717F8C5" w14:textId="77777777" w:rsidR="00B1044B" w:rsidRPr="00EC250C" w:rsidRDefault="00B1044B" w:rsidP="00D131FA">
      <w:pPr>
        <w:pStyle w:val="konstytucja"/>
        <w:jc w:val="both"/>
      </w:pPr>
      <w:r w:rsidRPr="00EC250C">
        <w:t>Obywatelom, niezależnie od ich sytuacji materialnej, władze publiczne zapewniają równy dostęp do świadczeń opieki zdrowotnej finansowanej ze środków publicznych. Warunki</w:t>
      </w:r>
      <w:r w:rsidR="00992FD0" w:rsidRPr="00EC250C">
        <w:t xml:space="preserve"> i </w:t>
      </w:r>
      <w:r w:rsidRPr="00EC250C">
        <w:t>zakres udzielania świadczeń określa ustawa.</w:t>
      </w:r>
    </w:p>
    <w:p w14:paraId="5DAF54F0" w14:textId="77777777" w:rsidR="00C91F6E" w:rsidRPr="00EC250C" w:rsidRDefault="00B1044B" w:rsidP="00D131FA">
      <w:pPr>
        <w:pStyle w:val="ComwiKonstytucja"/>
      </w:pPr>
      <w:r w:rsidRPr="00EC250C">
        <w:t>Kolejne ustępy artykułu 68 nakładają na władze określone obowiązki:</w:t>
      </w:r>
    </w:p>
    <w:p w14:paraId="2A5A5DF2" w14:textId="77777777" w:rsidR="00C91F6E" w:rsidRPr="00EC250C" w:rsidRDefault="00B1044B" w:rsidP="006C70B7">
      <w:pPr>
        <w:pStyle w:val="ComwiKonstytucja"/>
        <w:numPr>
          <w:ilvl w:val="0"/>
          <w:numId w:val="49"/>
        </w:numPr>
        <w:pBdr>
          <w:left w:val="none" w:sz="0" w:space="0" w:color="auto"/>
          <w:bottom w:val="none" w:sz="0" w:space="0" w:color="auto"/>
        </w:pBdr>
        <w:shd w:val="clear" w:color="auto" w:fill="F2F2F2" w:themeFill="background1" w:themeFillShade="F2"/>
      </w:pPr>
      <w:r w:rsidRPr="00EC250C">
        <w:t>zapewnienia obywatelom, niezależnie od ich sytuacji materialnej, równego dostępu do świadczeń opieki zdrowotnej finansowanej ze środków publicznych,</w:t>
      </w:r>
    </w:p>
    <w:p w14:paraId="67D2CFD3" w14:textId="77777777" w:rsidR="00C91F6E" w:rsidRPr="00EC250C" w:rsidRDefault="00B1044B" w:rsidP="006C70B7">
      <w:pPr>
        <w:pStyle w:val="ComwiKonstytucja"/>
        <w:numPr>
          <w:ilvl w:val="0"/>
          <w:numId w:val="49"/>
        </w:numPr>
        <w:pBdr>
          <w:left w:val="none" w:sz="0" w:space="0" w:color="auto"/>
          <w:bottom w:val="none" w:sz="0" w:space="0" w:color="auto"/>
        </w:pBdr>
        <w:shd w:val="clear" w:color="auto" w:fill="F2F2F2" w:themeFill="background1" w:themeFillShade="F2"/>
      </w:pPr>
      <w:r w:rsidRPr="00EC250C">
        <w:t>określenia</w:t>
      </w:r>
      <w:r w:rsidR="00992FD0" w:rsidRPr="00EC250C">
        <w:t xml:space="preserve"> w </w:t>
      </w:r>
      <w:r w:rsidRPr="00EC250C">
        <w:t>drodze ustawy warunków</w:t>
      </w:r>
      <w:r w:rsidR="00992FD0" w:rsidRPr="00EC250C">
        <w:t xml:space="preserve"> i </w:t>
      </w:r>
      <w:r w:rsidRPr="00EC250C">
        <w:t>zakresu udzielania tych świadczeń,</w:t>
      </w:r>
    </w:p>
    <w:p w14:paraId="1D7BB35C" w14:textId="77777777" w:rsidR="00C91F6E" w:rsidRPr="00EC250C" w:rsidRDefault="00B1044B" w:rsidP="006C70B7">
      <w:pPr>
        <w:pStyle w:val="ComwiKonstytucja"/>
        <w:numPr>
          <w:ilvl w:val="0"/>
          <w:numId w:val="49"/>
        </w:numPr>
        <w:pBdr>
          <w:left w:val="none" w:sz="0" w:space="0" w:color="auto"/>
          <w:bottom w:val="none" w:sz="0" w:space="0" w:color="auto"/>
        </w:pBdr>
        <w:shd w:val="clear" w:color="auto" w:fill="F2F2F2" w:themeFill="background1" w:themeFillShade="F2"/>
      </w:pPr>
      <w:r w:rsidRPr="00EC250C">
        <w:t>zapewnienia szczególnej opieki zdrowotnej dzieciom, kobietom ciężarnym, osobom</w:t>
      </w:r>
      <w:r w:rsidR="00992FD0" w:rsidRPr="00EC250C">
        <w:t xml:space="preserve"> z </w:t>
      </w:r>
      <w:r w:rsidRPr="00EC250C">
        <w:t>niepełnosprawnościami</w:t>
      </w:r>
      <w:r w:rsidR="00992FD0" w:rsidRPr="00EC250C">
        <w:t xml:space="preserve"> i </w:t>
      </w:r>
      <w:r w:rsidRPr="00EC250C">
        <w:t>osobom</w:t>
      </w:r>
      <w:r w:rsidR="00992FD0" w:rsidRPr="00EC250C">
        <w:t xml:space="preserve"> w </w:t>
      </w:r>
      <w:r w:rsidRPr="00EC250C">
        <w:t>podeszłym wieku,</w:t>
      </w:r>
    </w:p>
    <w:p w14:paraId="2D9CA4DE" w14:textId="77777777" w:rsidR="00C91F6E" w:rsidRPr="00EC250C" w:rsidRDefault="00B1044B" w:rsidP="006C70B7">
      <w:pPr>
        <w:pStyle w:val="ComwiKonstytucja"/>
        <w:numPr>
          <w:ilvl w:val="0"/>
          <w:numId w:val="49"/>
        </w:numPr>
        <w:pBdr>
          <w:left w:val="none" w:sz="0" w:space="0" w:color="auto"/>
          <w:bottom w:val="none" w:sz="0" w:space="0" w:color="auto"/>
        </w:pBdr>
        <w:shd w:val="clear" w:color="auto" w:fill="F2F2F2" w:themeFill="background1" w:themeFillShade="F2"/>
      </w:pPr>
      <w:r w:rsidRPr="00EC250C">
        <w:t>zwalczania chorób epidemicznych</w:t>
      </w:r>
      <w:r w:rsidR="00992FD0" w:rsidRPr="00EC250C">
        <w:t xml:space="preserve"> i </w:t>
      </w:r>
      <w:r w:rsidRPr="00EC250C">
        <w:t>zapobiegania negatywnym dla zdrowia skutkom degradacji środowiska,</w:t>
      </w:r>
    </w:p>
    <w:p w14:paraId="6D6DA752" w14:textId="77777777" w:rsidR="00C91F6E" w:rsidRPr="00EC250C" w:rsidRDefault="00B1044B" w:rsidP="006C70B7">
      <w:pPr>
        <w:pStyle w:val="ComwiKonstytucja"/>
        <w:numPr>
          <w:ilvl w:val="0"/>
          <w:numId w:val="49"/>
        </w:numPr>
        <w:pBdr>
          <w:left w:val="none" w:sz="0" w:space="0" w:color="auto"/>
          <w:bottom w:val="none" w:sz="0" w:space="0" w:color="auto"/>
        </w:pBdr>
        <w:shd w:val="clear" w:color="auto" w:fill="F2F2F2" w:themeFill="background1" w:themeFillShade="F2"/>
      </w:pPr>
      <w:r w:rsidRPr="00EC250C">
        <w:t>popierania rozwoju kultury fizycznej, zwłaszcza wśród dzieci</w:t>
      </w:r>
      <w:r w:rsidR="00992FD0" w:rsidRPr="00EC250C">
        <w:t xml:space="preserve"> i </w:t>
      </w:r>
      <w:r w:rsidRPr="00EC250C">
        <w:t>młodzieży.</w:t>
      </w:r>
    </w:p>
    <w:p w14:paraId="22B8EA5B" w14:textId="77777777" w:rsidR="00B1044B" w:rsidRPr="00EC250C" w:rsidRDefault="00B1044B" w:rsidP="00D131FA">
      <w:pPr>
        <w:pStyle w:val="ComwiKonstytucja"/>
      </w:pPr>
      <w:r w:rsidRPr="00EC250C">
        <w:t>Ustęp 2 ustanawia zasadę równego dostępu obywateli do świadczeń opieki zdrowotnej finansowanej ze środków publicznych oraz dostępu niezależnie od sytuacji materialnej. Chociaż gwarantuje obywatelom równy dostęp do świadczeń, nie formułuje jednak jakichkolwiek gwarancji bezpłatności – choćby podstawowych świadczeń. Pojęcie „dostępu” nie jest jednoznaczne. Konstytucja nie określa także zakresu świadczeń opieki zdrowotnej dostępnych dla obywateli na równych zasadach, odsyłając to zagadnienie do uregulowania</w:t>
      </w:r>
      <w:r w:rsidR="00992FD0" w:rsidRPr="00EC250C">
        <w:t xml:space="preserve"> w </w:t>
      </w:r>
      <w:r w:rsidRPr="00EC250C">
        <w:t>ustawie.</w:t>
      </w:r>
    </w:p>
    <w:p w14:paraId="2B035863" w14:textId="77777777" w:rsidR="00B1044B" w:rsidRPr="00EC250C" w:rsidRDefault="00B1044B" w:rsidP="00D131FA">
      <w:pPr>
        <w:spacing w:after="200" w:line="24" w:lineRule="auto"/>
        <w:jc w:val="both"/>
        <w:rPr>
          <w:i/>
          <w:spacing w:val="5"/>
          <w:sz w:val="22"/>
        </w:rPr>
      </w:pPr>
      <w:r w:rsidRPr="00EC250C">
        <w:rPr>
          <w:sz w:val="24"/>
        </w:rPr>
        <w:br w:type="page"/>
      </w:r>
    </w:p>
    <w:p w14:paraId="3A6291B3" w14:textId="77777777" w:rsidR="00C91F6E" w:rsidRPr="00EC250C" w:rsidRDefault="00B1044B" w:rsidP="00EC79EB">
      <w:pPr>
        <w:pStyle w:val="Nagwek4"/>
      </w:pPr>
      <w:bookmarkStart w:id="525" w:name="_Toc6257873"/>
      <w:bookmarkStart w:id="526" w:name="_Toc7113838"/>
      <w:bookmarkStart w:id="527" w:name="_Toc11247752"/>
      <w:r w:rsidRPr="00EC250C">
        <w:lastRenderedPageBreak/>
        <w:t>Publiczna opieka zdrowotna osób</w:t>
      </w:r>
      <w:r w:rsidR="00992FD0" w:rsidRPr="00EC250C">
        <w:t xml:space="preserve"> w </w:t>
      </w:r>
      <w:r w:rsidRPr="00EC250C">
        <w:t>kryzysie bezdomności oraz bez dochodu</w:t>
      </w:r>
      <w:bookmarkEnd w:id="525"/>
      <w:bookmarkEnd w:id="526"/>
      <w:bookmarkEnd w:id="527"/>
    </w:p>
    <w:p w14:paraId="727C61A8" w14:textId="77777777" w:rsidR="00B473F5" w:rsidRPr="00EC250C" w:rsidRDefault="00B1044B" w:rsidP="00D131FA">
      <w:pPr>
        <w:pStyle w:val="Problemczowieka"/>
        <w:jc w:val="both"/>
        <w:rPr>
          <w:shd w:val="clear" w:color="auto" w:fill="FFFFFF"/>
        </w:rPr>
      </w:pPr>
      <w:r w:rsidRPr="00EC250C">
        <w:rPr>
          <w:shd w:val="clear" w:color="auto" w:fill="FFFFFF"/>
        </w:rPr>
        <w:t>Formalnie, również osoby nieubezpieczone mogą uzyskać dostęp do świadczeń opieki zdrowotnej, jednak faktycznie, jest to znacznie utrudnione</w:t>
      </w:r>
      <w:r w:rsidR="00B473F5" w:rsidRPr="00EC250C">
        <w:rPr>
          <w:shd w:val="clear" w:color="auto" w:fill="FFFFFF"/>
        </w:rPr>
        <w:t>.</w:t>
      </w:r>
    </w:p>
    <w:p w14:paraId="28BB5DDF" w14:textId="77777777" w:rsidR="00B1044B" w:rsidRPr="00EC250C" w:rsidRDefault="00B1044B" w:rsidP="00D131FA">
      <w:pPr>
        <w:pStyle w:val="Styl1"/>
      </w:pPr>
      <w:r w:rsidRPr="00EC250C">
        <w:t>Powyższe wynika</w:t>
      </w:r>
      <w:r w:rsidR="00992FD0" w:rsidRPr="00EC250C">
        <w:t xml:space="preserve"> z </w:t>
      </w:r>
      <w:r w:rsidRPr="00EC250C">
        <w:t>rygorystycznych procedur, które poprzedzają uzyskanie prawa do świadczeń. Procedury utrudniają także uzyskanie świadczeń specjalistycznych. Problemem jest również zapewnienie bezdomnym dostępu do niezbędnych świadczeń zdrowotnych, leków</w:t>
      </w:r>
      <w:r w:rsidR="00992FD0" w:rsidRPr="00EC250C">
        <w:t xml:space="preserve"> i </w:t>
      </w:r>
      <w:r w:rsidRPr="00EC250C">
        <w:t>wyrobów medycznych po opuszczeniu szpitala,</w:t>
      </w:r>
      <w:r w:rsidR="00992FD0" w:rsidRPr="00EC250C">
        <w:t xml:space="preserve"> w </w:t>
      </w:r>
      <w:r w:rsidRPr="00EC250C">
        <w:t>schroniskach</w:t>
      </w:r>
      <w:r w:rsidR="00992FD0" w:rsidRPr="00EC250C">
        <w:t xml:space="preserve"> i </w:t>
      </w:r>
      <w:r w:rsidRPr="00EC250C">
        <w:t>innych placówkach dla osób bezdomnych (nadal zdarza się bowiem, że szpitale kierują osoby bezdomne wymagające opieki medycznej</w:t>
      </w:r>
      <w:r w:rsidR="00392799" w:rsidRPr="00EC250C">
        <w:t xml:space="preserve"> </w:t>
      </w:r>
      <w:r w:rsidRPr="00EC250C">
        <w:t>„donikąd”, na ulicę, lub też do placówek nieprzystosowanych do pobytu osób niezdolnych do zadbania</w:t>
      </w:r>
      <w:r w:rsidR="00992FD0" w:rsidRPr="00EC250C">
        <w:t xml:space="preserve"> o </w:t>
      </w:r>
      <w:r w:rsidRPr="00EC250C">
        <w:t>siebie. Kłopoty są także</w:t>
      </w:r>
      <w:r w:rsidR="00992FD0" w:rsidRPr="00EC250C">
        <w:t xml:space="preserve"> z </w:t>
      </w:r>
      <w:r w:rsidRPr="00EC250C">
        <w:t>opieką długoterminową (przewlekła procedura przyjęcia, szczególnie osób</w:t>
      </w:r>
      <w:r w:rsidR="00992FD0" w:rsidRPr="00EC250C">
        <w:t xml:space="preserve"> o </w:t>
      </w:r>
      <w:r w:rsidRPr="00EC250C">
        <w:t>nieustalonej tożsamości nieposiadających dowodu osobistego, do zakładów opiekuńczych</w:t>
      </w:r>
      <w:r w:rsidR="00992FD0" w:rsidRPr="00EC250C">
        <w:t xml:space="preserve"> i </w:t>
      </w:r>
      <w:r w:rsidRPr="00EC250C">
        <w:t>domów pomocy społecznej skutkuje niejednokrotnie koniecznością ich długotrwałej</w:t>
      </w:r>
      <w:r w:rsidR="00992FD0" w:rsidRPr="00EC250C">
        <w:t xml:space="preserve"> i </w:t>
      </w:r>
      <w:r w:rsidRPr="00EC250C">
        <w:t>kosztownej hospitalizacji).</w:t>
      </w:r>
    </w:p>
    <w:p w14:paraId="370D06F5" w14:textId="77777777" w:rsidR="00C91F6E" w:rsidRPr="00EC250C" w:rsidRDefault="00B1044B" w:rsidP="00D131FA">
      <w:pPr>
        <w:pStyle w:val="Styl1"/>
      </w:pPr>
      <w:r w:rsidRPr="00EC250C">
        <w:rPr>
          <w:bdr w:val="none" w:sz="0" w:space="0" w:color="auto" w:frame="1"/>
        </w:rPr>
        <w:t>To trzeba zmienić, dlatego RPO przedstawił</w:t>
      </w:r>
      <w:r w:rsidR="00992FD0" w:rsidRPr="00EC250C">
        <w:rPr>
          <w:bdr w:val="none" w:sz="0" w:space="0" w:color="auto" w:frame="1"/>
        </w:rPr>
        <w:t xml:space="preserve"> i </w:t>
      </w:r>
      <w:r w:rsidRPr="00EC250C">
        <w:rPr>
          <w:bdr w:val="none" w:sz="0" w:space="0" w:color="auto" w:frame="1"/>
        </w:rPr>
        <w:t>uargumentował zagadnienie</w:t>
      </w:r>
      <w:r w:rsidR="00992FD0" w:rsidRPr="00EC250C">
        <w:rPr>
          <w:bdr w:val="none" w:sz="0" w:space="0" w:color="auto" w:frame="1"/>
        </w:rPr>
        <w:t xml:space="preserve"> w </w:t>
      </w:r>
      <w:r w:rsidRPr="00EC250C">
        <w:rPr>
          <w:bdr w:val="none" w:sz="0" w:space="0" w:color="auto" w:frame="1"/>
        </w:rPr>
        <w:t>wystąpieniu do Ministra Zdrowia</w:t>
      </w:r>
      <w:r w:rsidRPr="00EC250C">
        <w:rPr>
          <w:bCs/>
          <w:iCs/>
          <w:vertAlign w:val="superscript"/>
        </w:rPr>
        <w:footnoteReference w:id="521"/>
      </w:r>
      <w:r w:rsidRPr="00EC250C">
        <w:rPr>
          <w:bdr w:val="none" w:sz="0" w:space="0" w:color="auto" w:frame="1"/>
        </w:rPr>
        <w:t xml:space="preserve">. </w:t>
      </w:r>
      <w:r w:rsidRPr="00EC250C">
        <w:t xml:space="preserve">Minister nie podzielił jednak wątpliwości </w:t>
      </w:r>
      <w:r w:rsidR="00D76DC6" w:rsidRPr="00EC250C">
        <w:t>RPO</w:t>
      </w:r>
      <w:r w:rsidRPr="00EC250C">
        <w:t>.</w:t>
      </w:r>
    </w:p>
    <w:p w14:paraId="09D0C1C5" w14:textId="77777777" w:rsidR="00B1044B" w:rsidRPr="00EC250C" w:rsidRDefault="00B1044B" w:rsidP="00D131FA">
      <w:pPr>
        <w:pStyle w:val="Styl1"/>
      </w:pPr>
      <w:r w:rsidRPr="00EC250C">
        <w:t>Jego zdaniem problemy opisane przez RPO nie wynikają</w:t>
      </w:r>
      <w:r w:rsidR="00992FD0" w:rsidRPr="00EC250C">
        <w:t xml:space="preserve"> z </w:t>
      </w:r>
      <w:r w:rsidRPr="00EC250C">
        <w:t>tego, że państwo nie zapewnia osobom bezdomnym leczenia – bo tak nie jest (ustawa</w:t>
      </w:r>
      <w:r w:rsidR="00992FD0" w:rsidRPr="00EC250C">
        <w:t xml:space="preserve"> o </w:t>
      </w:r>
      <w:r w:rsidRPr="00EC250C">
        <w:t>świadczeniach opieki zdrowotnej finansowanych ze środków publicznych</w:t>
      </w:r>
      <w:r w:rsidRPr="00EC250C">
        <w:rPr>
          <w:bCs/>
          <w:iCs/>
          <w:vertAlign w:val="superscript"/>
        </w:rPr>
        <w:footnoteReference w:id="522"/>
      </w:r>
      <w:r w:rsidRPr="00EC250C">
        <w:t xml:space="preserve"> nie ogranicza dostępu do nich osobom nieubezpieczonym). Problemem jest niechęć osób bezdomnych do uzyskania decyzja</w:t>
      </w:r>
      <w:r w:rsidR="00992FD0" w:rsidRPr="00EC250C">
        <w:t xml:space="preserve"> z </w:t>
      </w:r>
      <w:r w:rsidRPr="00EC250C">
        <w:t>pomocy społecznej</w:t>
      </w:r>
      <w:r w:rsidR="00992FD0" w:rsidRPr="00EC250C">
        <w:t xml:space="preserve"> o </w:t>
      </w:r>
      <w:r w:rsidRPr="00EC250C">
        <w:t>prawie do świadczeń. Procedura, którą trzeba przejść</w:t>
      </w:r>
      <w:r w:rsidR="00992FD0" w:rsidRPr="00EC250C">
        <w:t xml:space="preserve"> w </w:t>
      </w:r>
      <w:r w:rsidRPr="00EC250C">
        <w:t>konkretnych przypadkach, może wydawać się zbyt sformalizowana, jednakże nie jest ona skierowana wyłącznie do osób bezdomnych, ale do szerszej grupy obywateli spełniających kryterium dochodowe,</w:t>
      </w:r>
      <w:r w:rsidR="00992FD0" w:rsidRPr="00EC250C">
        <w:t xml:space="preserve"> o </w:t>
      </w:r>
      <w:r w:rsidRPr="00EC250C">
        <w:t>którym mowa</w:t>
      </w:r>
      <w:r w:rsidR="00992FD0" w:rsidRPr="00EC250C">
        <w:t xml:space="preserve"> w </w:t>
      </w:r>
      <w:r w:rsidRPr="00EC250C">
        <w:t>ustawie</w:t>
      </w:r>
      <w:r w:rsidR="00992FD0" w:rsidRPr="00EC250C">
        <w:t xml:space="preserve"> o </w:t>
      </w:r>
      <w:r w:rsidRPr="00EC250C">
        <w:t>pomocy społecznej.</w:t>
      </w:r>
    </w:p>
    <w:p w14:paraId="28A65119" w14:textId="77777777" w:rsidR="00C91F6E" w:rsidRPr="00EC250C" w:rsidRDefault="00B1044B" w:rsidP="00EC79EB">
      <w:pPr>
        <w:pStyle w:val="Nagwek4"/>
      </w:pPr>
      <w:bookmarkStart w:id="528" w:name="_Toc6257874"/>
      <w:bookmarkStart w:id="529" w:name="_Toc7113839"/>
      <w:bookmarkStart w:id="530" w:name="_Toc11247753"/>
      <w:r w:rsidRPr="00EC250C">
        <w:t>Skierowania na leczenie uzdrowiskowe</w:t>
      </w:r>
      <w:bookmarkEnd w:id="528"/>
      <w:bookmarkEnd w:id="529"/>
      <w:bookmarkEnd w:id="530"/>
    </w:p>
    <w:p w14:paraId="0F81FE35" w14:textId="77777777" w:rsidR="00B473F5" w:rsidRPr="00EC250C" w:rsidRDefault="00B1044B" w:rsidP="00D131FA">
      <w:pPr>
        <w:pStyle w:val="Problemczowieka"/>
        <w:jc w:val="both"/>
        <w:rPr>
          <w:rStyle w:val="Pogrubienie"/>
          <w:rFonts w:eastAsiaTheme="majorEastAsia"/>
        </w:rPr>
      </w:pPr>
      <w:r w:rsidRPr="00EC250C">
        <w:rPr>
          <w:rStyle w:val="Pogrubienie"/>
          <w:rFonts w:eastAsiaTheme="majorEastAsia"/>
        </w:rPr>
        <w:t>Procedura kierowania na leczenie uzdrowiskowe dyskryminuje osoby niesamodzielne</w:t>
      </w:r>
      <w:r w:rsidR="00992FD0" w:rsidRPr="00EC250C">
        <w:rPr>
          <w:rStyle w:val="Pogrubienie"/>
          <w:rFonts w:eastAsiaTheme="majorEastAsia"/>
        </w:rPr>
        <w:t xml:space="preserve"> w </w:t>
      </w:r>
      <w:r w:rsidRPr="00EC250C">
        <w:rPr>
          <w:rStyle w:val="Pogrubienie"/>
          <w:rFonts w:eastAsiaTheme="majorEastAsia"/>
        </w:rPr>
        <w:t>codziennym funkcjonowaniu</w:t>
      </w:r>
      <w:r w:rsidR="00B473F5" w:rsidRPr="00EC250C">
        <w:rPr>
          <w:rStyle w:val="Pogrubienie"/>
          <w:rFonts w:eastAsiaTheme="majorEastAsia"/>
        </w:rPr>
        <w:t>.</w:t>
      </w:r>
    </w:p>
    <w:p w14:paraId="0901EDBB" w14:textId="77777777" w:rsidR="00B1044B" w:rsidRPr="00EC250C" w:rsidRDefault="00B1044B" w:rsidP="00D131FA">
      <w:pPr>
        <w:pStyle w:val="Styl1"/>
      </w:pPr>
      <w:r w:rsidRPr="00EC250C">
        <w:t>W wystąpieniu do Ministra Zdrowia RPO powołał się na skargi obywateli, wskazujących na trudności</w:t>
      </w:r>
      <w:r w:rsidR="00992FD0" w:rsidRPr="00EC250C">
        <w:t xml:space="preserve"> z </w:t>
      </w:r>
      <w:r w:rsidRPr="00EC250C">
        <w:t>uzyskaniem skierowania do uzdrowiska</w:t>
      </w:r>
      <w:r w:rsidR="00992FD0" w:rsidRPr="00EC250C">
        <w:t xml:space="preserve"> w </w:t>
      </w:r>
      <w:r w:rsidRPr="00EC250C">
        <w:t>jednym terminie wraz</w:t>
      </w:r>
      <w:r w:rsidR="00992FD0" w:rsidRPr="00EC250C">
        <w:t xml:space="preserve"> z </w:t>
      </w:r>
      <w:r w:rsidRPr="00EC250C">
        <w:t>osobą bliską. Jest to szczególnie istotne dla osób, które mogą udzielać sobie wzajemnie wsparcia</w:t>
      </w:r>
      <w:r w:rsidR="00992FD0" w:rsidRPr="00EC250C">
        <w:t xml:space="preserve"> w </w:t>
      </w:r>
      <w:r w:rsidRPr="00EC250C">
        <w:t xml:space="preserve">codziennych </w:t>
      </w:r>
      <w:r w:rsidRPr="00EC250C">
        <w:lastRenderedPageBreak/>
        <w:t>czynnościach. Przepisy temu się nie sprzeciwiają, ale oddziały Narodowego Funduszu Zdrowia</w:t>
      </w:r>
      <w:r w:rsidR="00992FD0" w:rsidRPr="00EC250C">
        <w:t xml:space="preserve"> z </w:t>
      </w:r>
      <w:r w:rsidRPr="00EC250C">
        <w:t>reguły nie uwzględniają takich próśb.</w:t>
      </w:r>
    </w:p>
    <w:p w14:paraId="2A09D46F" w14:textId="77777777" w:rsidR="00825D00" w:rsidRPr="00EC250C" w:rsidRDefault="00825D00" w:rsidP="00D131FA">
      <w:pPr>
        <w:pStyle w:val="Styl1"/>
      </w:pPr>
      <w:r w:rsidRPr="00EC250C">
        <w:t>Problem polega na tym, że kierujący do uzdrowiska lekarz musi sprawdzić przeciwskazania</w:t>
      </w:r>
      <w:r w:rsidRPr="00EC250C">
        <w:rPr>
          <w:rStyle w:val="Odwoanieprzypisudolnego"/>
          <w:rFonts w:eastAsiaTheme="majorEastAsia"/>
        </w:rPr>
        <w:footnoteReference w:id="523"/>
      </w:r>
      <w:r w:rsidRPr="00EC250C">
        <w:t xml:space="preserve"> i to, czy pacjent ma zdolność do samoobsługi i samodzielnego poruszania się (na nogach albo na wózku). RPO zgadza się, że pacjent może być w takim stanie, że nie powinno się go kierować do sanatoriu. Jednak niepełnosprawność nie może być jedynym czynnikiem decydującym o niemożności skorzystania z uzdrowiska.</w:t>
      </w:r>
    </w:p>
    <w:p w14:paraId="56277453" w14:textId="77777777" w:rsidR="00825D00" w:rsidRPr="00EC250C" w:rsidRDefault="00825D00" w:rsidP="00D131FA">
      <w:pPr>
        <w:pStyle w:val="Styl1"/>
      </w:pPr>
      <w:r w:rsidRPr="00EC250C">
        <w:t>Ratyfikując Konwencję o prawach osób niepełnosprawnych, Polska uznała równe prawo wszystkich osób z niepełnosprawnościami do życia w społeczności lokalnej, wraz z prawem dokonywania wyborów na równi z innymi osobami. Jednym z instrumentów realizacji prawa do niezależnego życia jest dostępność usług asystenta osobistego osoby z niepełnosprawnością, o którym mowa w Konwencji</w:t>
      </w:r>
      <w:r w:rsidRPr="00EC250C">
        <w:rPr>
          <w:rStyle w:val="Odwoanieprzypisudolnego"/>
          <w:rFonts w:eastAsiaTheme="majorEastAsia"/>
          <w:bCs/>
        </w:rPr>
        <w:footnoteReference w:id="524"/>
      </w:r>
      <w:r w:rsidRPr="00EC250C">
        <w:t>. A leczenie uzdrowiskowe osób niesamodzielnych można powiązać z wdrożeniem usług asystenckich.</w:t>
      </w:r>
    </w:p>
    <w:p w14:paraId="42A6715D" w14:textId="77777777" w:rsidR="00C91F6E" w:rsidRPr="00EC250C" w:rsidRDefault="00B1044B" w:rsidP="00D131FA">
      <w:pPr>
        <w:pStyle w:val="Styl1"/>
        <w:rPr>
          <w:bCs/>
          <w:iCs/>
        </w:rPr>
      </w:pPr>
      <w:r w:rsidRPr="00EC250C">
        <w:rPr>
          <w:bCs/>
          <w:iCs/>
        </w:rPr>
        <w:t>Minister Zdrowia nie kwestionował argumentów RPO, ale zwrócił uwagę, że powiązanie asystencji</w:t>
      </w:r>
      <w:r w:rsidR="00992FD0" w:rsidRPr="00EC250C">
        <w:rPr>
          <w:bCs/>
          <w:iCs/>
        </w:rPr>
        <w:t xml:space="preserve"> z </w:t>
      </w:r>
      <w:r w:rsidRPr="00EC250C">
        <w:rPr>
          <w:bCs/>
          <w:iCs/>
        </w:rPr>
        <w:t>leczeniem uzdrowiskowym wymaga:</w:t>
      </w:r>
    </w:p>
    <w:p w14:paraId="0657D521" w14:textId="77777777" w:rsidR="00C91F6E" w:rsidRPr="00EC250C" w:rsidRDefault="00B1044B" w:rsidP="006C70B7">
      <w:pPr>
        <w:pStyle w:val="Styl1"/>
        <w:numPr>
          <w:ilvl w:val="0"/>
          <w:numId w:val="54"/>
        </w:numPr>
        <w:rPr>
          <w:bCs/>
          <w:iCs/>
        </w:rPr>
      </w:pPr>
      <w:r w:rsidRPr="00EC250C">
        <w:rPr>
          <w:bCs/>
          <w:iCs/>
        </w:rPr>
        <w:t>przypisania asystencji do struktury zawodów</w:t>
      </w:r>
      <w:r w:rsidR="00992FD0" w:rsidRPr="00EC250C">
        <w:rPr>
          <w:bCs/>
          <w:iCs/>
        </w:rPr>
        <w:t xml:space="preserve"> z </w:t>
      </w:r>
      <w:r w:rsidRPr="00EC250C">
        <w:rPr>
          <w:bCs/>
          <w:iCs/>
        </w:rPr>
        <w:t>zakresu ochrony zdrowia,</w:t>
      </w:r>
    </w:p>
    <w:p w14:paraId="72980C61" w14:textId="77777777" w:rsidR="00C91F6E" w:rsidRPr="00EC250C" w:rsidRDefault="00B1044B" w:rsidP="006C70B7">
      <w:pPr>
        <w:pStyle w:val="Styl1"/>
        <w:numPr>
          <w:ilvl w:val="0"/>
          <w:numId w:val="54"/>
        </w:numPr>
        <w:rPr>
          <w:bCs/>
          <w:iCs/>
        </w:rPr>
      </w:pPr>
      <w:r w:rsidRPr="00EC250C">
        <w:rPr>
          <w:bCs/>
          <w:iCs/>
        </w:rPr>
        <w:t>dostosowania warunków udzielania świadczeń zdrowotnych</w:t>
      </w:r>
      <w:r w:rsidR="00992FD0" w:rsidRPr="00EC250C">
        <w:rPr>
          <w:bCs/>
          <w:iCs/>
        </w:rPr>
        <w:t xml:space="preserve"> w </w:t>
      </w:r>
      <w:r w:rsidRPr="00EC250C">
        <w:rPr>
          <w:bCs/>
          <w:iCs/>
        </w:rPr>
        <w:t>sposób umożliwiający ich realizację przez asystencję,</w:t>
      </w:r>
    </w:p>
    <w:p w14:paraId="4E1FEAAF" w14:textId="77777777" w:rsidR="00C91F6E" w:rsidRPr="00EC250C" w:rsidRDefault="00B1044B" w:rsidP="006C70B7">
      <w:pPr>
        <w:pStyle w:val="Styl1"/>
        <w:numPr>
          <w:ilvl w:val="0"/>
          <w:numId w:val="54"/>
        </w:numPr>
        <w:rPr>
          <w:bCs/>
          <w:iCs/>
        </w:rPr>
      </w:pPr>
      <w:r w:rsidRPr="00EC250C">
        <w:rPr>
          <w:bCs/>
          <w:iCs/>
        </w:rPr>
        <w:t>a także stworzenia systemu finansowania świadczeń udzielanych przez asystentów.</w:t>
      </w:r>
    </w:p>
    <w:p w14:paraId="397B28BF" w14:textId="77777777" w:rsidR="00B1044B" w:rsidRPr="00EC250C" w:rsidRDefault="00B1044B" w:rsidP="00D131FA">
      <w:pPr>
        <w:pStyle w:val="Styl1"/>
        <w:rPr>
          <w:bCs/>
          <w:iCs/>
        </w:rPr>
      </w:pPr>
      <w:r w:rsidRPr="00EC250C">
        <w:rPr>
          <w:bCs/>
          <w:iCs/>
        </w:rPr>
        <w:t>Obecnie jednak nie toczą się</w:t>
      </w:r>
      <w:r w:rsidR="00992FD0" w:rsidRPr="00EC250C">
        <w:rPr>
          <w:bCs/>
          <w:iCs/>
        </w:rPr>
        <w:t xml:space="preserve"> w </w:t>
      </w:r>
      <w:r w:rsidRPr="00EC250C">
        <w:rPr>
          <w:bCs/>
          <w:iCs/>
        </w:rPr>
        <w:t>Ministerstwie Zdrowia prace nad zmianami systemowymi</w:t>
      </w:r>
      <w:r w:rsidR="00992FD0" w:rsidRPr="00EC250C">
        <w:rPr>
          <w:bCs/>
          <w:iCs/>
        </w:rPr>
        <w:t xml:space="preserve"> w </w:t>
      </w:r>
      <w:r w:rsidRPr="00EC250C">
        <w:rPr>
          <w:bCs/>
          <w:iCs/>
        </w:rPr>
        <w:t>zakresie leczenia uzdrowiskowego.</w:t>
      </w:r>
      <w:r w:rsidR="003D7695" w:rsidRPr="00EC250C">
        <w:rPr>
          <w:bCs/>
          <w:iCs/>
        </w:rPr>
        <w:t xml:space="preserve"> RPO będzie podejmował kolejne działania w tej sprawie.</w:t>
      </w:r>
    </w:p>
    <w:p w14:paraId="44D6F3D0" w14:textId="77777777" w:rsidR="00B1044B" w:rsidRPr="00EC250C" w:rsidRDefault="00B1044B" w:rsidP="00EC79EB">
      <w:pPr>
        <w:pStyle w:val="Nagwek4"/>
      </w:pPr>
      <w:bookmarkStart w:id="531" w:name="_Toc6257875"/>
      <w:bookmarkStart w:id="532" w:name="_Toc7113840"/>
      <w:bookmarkStart w:id="533" w:name="_Toc11247754"/>
      <w:r w:rsidRPr="00EC250C">
        <w:t>System ratunkowego dostępu do technologii lekowych</w:t>
      </w:r>
      <w:bookmarkEnd w:id="531"/>
      <w:bookmarkEnd w:id="532"/>
      <w:bookmarkEnd w:id="533"/>
    </w:p>
    <w:p w14:paraId="055456E5" w14:textId="77777777" w:rsidR="00B473F5" w:rsidRPr="00EC250C" w:rsidRDefault="00B1044B" w:rsidP="00D131FA">
      <w:pPr>
        <w:pStyle w:val="Problemczowieka"/>
        <w:jc w:val="both"/>
        <w:rPr>
          <w:bdr w:val="none" w:sz="0" w:space="0" w:color="auto" w:frame="1"/>
        </w:rPr>
      </w:pPr>
      <w:r w:rsidRPr="00EC250C">
        <w:rPr>
          <w:bdr w:val="none" w:sz="0" w:space="0" w:color="auto" w:frame="1"/>
        </w:rPr>
        <w:t>System ratunkowego dostępu do technologii lekowych nie działa tak, jak zakładano. Ofiarami są walczący</w:t>
      </w:r>
      <w:r w:rsidR="00992FD0" w:rsidRPr="00EC250C">
        <w:rPr>
          <w:bdr w:val="none" w:sz="0" w:space="0" w:color="auto" w:frame="1"/>
        </w:rPr>
        <w:t xml:space="preserve"> o </w:t>
      </w:r>
      <w:r w:rsidRPr="00EC250C">
        <w:rPr>
          <w:bdr w:val="none" w:sz="0" w:space="0" w:color="auto" w:frame="1"/>
        </w:rPr>
        <w:t>życie pacjenci,</w:t>
      </w:r>
      <w:r w:rsidR="00992FD0" w:rsidRPr="00EC250C">
        <w:rPr>
          <w:bdr w:val="none" w:sz="0" w:space="0" w:color="auto" w:frame="1"/>
        </w:rPr>
        <w:t xml:space="preserve"> w </w:t>
      </w:r>
      <w:r w:rsidRPr="00EC250C">
        <w:rPr>
          <w:bdr w:val="none" w:sz="0" w:space="0" w:color="auto" w:frame="1"/>
        </w:rPr>
        <w:t>tym dzieci, których prawo do leczenia jest ograniczane</w:t>
      </w:r>
      <w:r w:rsidR="00B473F5" w:rsidRPr="00EC250C">
        <w:rPr>
          <w:bdr w:val="none" w:sz="0" w:space="0" w:color="auto" w:frame="1"/>
        </w:rPr>
        <w:t>.</w:t>
      </w:r>
    </w:p>
    <w:p w14:paraId="0F964AFD" w14:textId="77777777" w:rsidR="00B1044B" w:rsidRPr="00EC250C" w:rsidRDefault="00B1044B" w:rsidP="00D131FA">
      <w:pPr>
        <w:pStyle w:val="Styl1"/>
        <w:rPr>
          <w:spacing w:val="0"/>
        </w:rPr>
      </w:pPr>
      <w:r w:rsidRPr="00EC250C">
        <w:t>Procedura ratunkowego dostępu do technologii lekowych miała umożliwić ciężko chorym uzyskanie indywidualnej zgody na pokrycie przez NFZ kosztów leku, który generalnie nie jest świadczeniem gwarantowanym (nie jest darmowy dla pacjenta). Zgoda miała być udzielana, jeżeli jest to niezbędne dla ratowania życia lub zdrowia</w:t>
      </w:r>
      <w:r w:rsidR="00992FD0" w:rsidRPr="00EC250C">
        <w:t xml:space="preserve"> i </w:t>
      </w:r>
      <w:r w:rsidRPr="00EC250C">
        <w:t>jest poparte wskazaniami wiedzy medycznej. Procedura ta miała stanowić wypełnienie obowiązku moralnego państwa wobec chorych, którzy wymagają niestandardowego leczenia.</w:t>
      </w:r>
    </w:p>
    <w:p w14:paraId="13C77D71" w14:textId="77777777" w:rsidR="00B1044B" w:rsidRPr="00EC250C" w:rsidRDefault="00B1044B" w:rsidP="00D131FA">
      <w:pPr>
        <w:pStyle w:val="Styl1"/>
      </w:pPr>
      <w:r w:rsidRPr="00EC250C">
        <w:lastRenderedPageBreak/>
        <w:t>Jednakże ograniczenia wynikające</w:t>
      </w:r>
      <w:r w:rsidR="00992FD0" w:rsidRPr="00EC250C">
        <w:t xml:space="preserve"> z </w:t>
      </w:r>
      <w:r w:rsidRPr="00EC250C">
        <w:t>ustaw, praktyki, nadmiernego formalizmu</w:t>
      </w:r>
      <w:r w:rsidR="00992FD0" w:rsidRPr="00EC250C">
        <w:t xml:space="preserve"> i </w:t>
      </w:r>
      <w:r w:rsidRPr="00EC250C">
        <w:t>niedostatecznej wiedzy na temat procedury, zarówno wśród lekarzy jak</w:t>
      </w:r>
      <w:r w:rsidR="00992FD0" w:rsidRPr="00EC250C">
        <w:t xml:space="preserve"> i </w:t>
      </w:r>
      <w:r w:rsidRPr="00EC250C">
        <w:t>pacjentów, utrudniają ubezpieczonym dostęp do leczenia</w:t>
      </w:r>
      <w:r w:rsidR="00992FD0" w:rsidRPr="00EC250C">
        <w:t xml:space="preserve"> w </w:t>
      </w:r>
      <w:r w:rsidRPr="00EC250C">
        <w:t xml:space="preserve">ramach indywidualnej zgody. </w:t>
      </w:r>
      <w:r w:rsidR="00D76DC6" w:rsidRPr="00EC250C">
        <w:t>RPO</w:t>
      </w:r>
      <w:r w:rsidRPr="00EC250C">
        <w:t xml:space="preserve"> wskazał powody</w:t>
      </w:r>
      <w:r w:rsidR="00992FD0" w:rsidRPr="00EC250C">
        <w:t xml:space="preserve"> w </w:t>
      </w:r>
      <w:r w:rsidRPr="00EC250C">
        <w:t>wystąpieniu do Ministra Zdrowia</w:t>
      </w:r>
      <w:r w:rsidRPr="00EC250C">
        <w:rPr>
          <w:rStyle w:val="Odwoanieprzypisudolnego"/>
          <w:rFonts w:eastAsiaTheme="majorEastAsia"/>
          <w:bCs/>
        </w:rPr>
        <w:footnoteReference w:id="525"/>
      </w:r>
      <w:r w:rsidRPr="00EC250C">
        <w:t>:</w:t>
      </w:r>
    </w:p>
    <w:p w14:paraId="67240DFF" w14:textId="77777777" w:rsidR="00B1044B" w:rsidRPr="00EC250C" w:rsidRDefault="00B1044B" w:rsidP="006C70B7">
      <w:pPr>
        <w:pStyle w:val="Styl1"/>
        <w:numPr>
          <w:ilvl w:val="0"/>
          <w:numId w:val="55"/>
        </w:numPr>
      </w:pPr>
      <w:r w:rsidRPr="00EC250C">
        <w:t>Ustawa nie określa,</w:t>
      </w:r>
      <w:r w:rsidR="00992FD0" w:rsidRPr="00EC250C">
        <w:t xml:space="preserve"> z </w:t>
      </w:r>
      <w:r w:rsidRPr="00EC250C">
        <w:t>jakich konkretnie środków ma być finansowany ratunkowy dostęp do technologii lekowej, wskazując jedynie, że ma to zrobić NFZ.</w:t>
      </w:r>
    </w:p>
    <w:p w14:paraId="6D39E772" w14:textId="77777777" w:rsidR="00C91F6E" w:rsidRPr="00EC250C" w:rsidRDefault="00B1044B" w:rsidP="006C70B7">
      <w:pPr>
        <w:pStyle w:val="Styl1"/>
        <w:numPr>
          <w:ilvl w:val="0"/>
          <w:numId w:val="55"/>
        </w:numPr>
      </w:pPr>
      <w:r w:rsidRPr="00EC250C">
        <w:t>Finansowanie często bardzo drogich leków odbywa się więc kosztem innych procedur medycznych,</w:t>
      </w:r>
      <w:r w:rsidR="00992FD0" w:rsidRPr="00EC250C">
        <w:t xml:space="preserve"> a </w:t>
      </w:r>
      <w:r w:rsidRPr="00EC250C">
        <w:t>zatem jest ryzykowne dla finansów szpitala.</w:t>
      </w:r>
    </w:p>
    <w:p w14:paraId="6170EB43" w14:textId="77777777" w:rsidR="00B1044B" w:rsidRPr="00EC250C" w:rsidRDefault="00B1044B" w:rsidP="006C70B7">
      <w:pPr>
        <w:pStyle w:val="Styl1"/>
        <w:numPr>
          <w:ilvl w:val="0"/>
          <w:numId w:val="55"/>
        </w:numPr>
      </w:pPr>
      <w:r w:rsidRPr="00EC250C">
        <w:t>Zgoda Ministra Zdrowia na pokrycie kosztów leku nie oznacza, że pacjent otrzyma potrzebny lek</w:t>
      </w:r>
      <w:r w:rsidR="00992FD0" w:rsidRPr="00EC250C">
        <w:t xml:space="preserve"> w </w:t>
      </w:r>
      <w:r w:rsidRPr="00EC250C">
        <w:t>terminie.</w:t>
      </w:r>
    </w:p>
    <w:p w14:paraId="43FE4414" w14:textId="77777777" w:rsidR="00B1044B" w:rsidRPr="00EC250C" w:rsidRDefault="00B1044B" w:rsidP="006C70B7">
      <w:pPr>
        <w:pStyle w:val="Styl1"/>
        <w:numPr>
          <w:ilvl w:val="0"/>
          <w:numId w:val="55"/>
        </w:numPr>
      </w:pPr>
      <w:r w:rsidRPr="00EC250C">
        <w:t>Pacjent nie może też liczyć na lek zakupiony poza szpitalem (np. przekazany</w:t>
      </w:r>
      <w:r w:rsidR="00992FD0" w:rsidRPr="00EC250C">
        <w:t xml:space="preserve"> w </w:t>
      </w:r>
      <w:r w:rsidRPr="00EC250C">
        <w:t>formie darowizny przez organizację pozarządową), ponieważ wcześniej musiałaby nastąpić odmowa Ministra Zdrowia na pokrycie kosztów leku.</w:t>
      </w:r>
    </w:p>
    <w:p w14:paraId="0C868BD6" w14:textId="77777777" w:rsidR="00B1044B" w:rsidRPr="00EC250C" w:rsidRDefault="00B1044B" w:rsidP="00D131FA">
      <w:pPr>
        <w:pStyle w:val="Styl1"/>
        <w:rPr>
          <w:bCs/>
          <w:iCs/>
        </w:rPr>
      </w:pPr>
      <w:r w:rsidRPr="00EC250C">
        <w:rPr>
          <w:bCs/>
          <w:iCs/>
        </w:rPr>
        <w:t>W odpowiedzi Minister Zdrowia poinformował, że</w:t>
      </w:r>
      <w:r w:rsidR="00992FD0" w:rsidRPr="00EC250C">
        <w:rPr>
          <w:bCs/>
          <w:iCs/>
        </w:rPr>
        <w:t xml:space="preserve"> w </w:t>
      </w:r>
      <w:r w:rsidRPr="00EC250C">
        <w:rPr>
          <w:bCs/>
          <w:iCs/>
        </w:rPr>
        <w:t>resorcie prowadzone są prace analityczne zmierzające do poprawy działania procedury.</w:t>
      </w:r>
      <w:r w:rsidR="006A53FD" w:rsidRPr="00EC250C">
        <w:rPr>
          <w:bCs/>
          <w:iCs/>
        </w:rPr>
        <w:t xml:space="preserve"> Rzecznik nadal będzie monitorował sprawę.</w:t>
      </w:r>
    </w:p>
    <w:p w14:paraId="20AF38AE" w14:textId="77777777" w:rsidR="00C91F6E" w:rsidRPr="00EC250C" w:rsidRDefault="00B1044B" w:rsidP="00EC250C">
      <w:pPr>
        <w:pStyle w:val="Nagwek8"/>
      </w:pPr>
      <w:r w:rsidRPr="00EC250C">
        <w:t>Wniosek do Trybunału Konstytucyjnego</w:t>
      </w:r>
      <w:r w:rsidR="00992FD0" w:rsidRPr="00EC250C">
        <w:t xml:space="preserve"> w </w:t>
      </w:r>
      <w:r w:rsidRPr="00EC250C">
        <w:t>sprawie Zespołu Koordynacyjnego ds. Chorób Ultrarzadkich</w:t>
      </w:r>
    </w:p>
    <w:p w14:paraId="7D1E3DEE" w14:textId="77777777" w:rsidR="00C91F6E" w:rsidRPr="00EC250C" w:rsidRDefault="00B1044B" w:rsidP="00D131FA">
      <w:pPr>
        <w:pStyle w:val="Styl2"/>
        <w:rPr>
          <w:szCs w:val="24"/>
        </w:rPr>
      </w:pPr>
      <w:r w:rsidRPr="00EC250C">
        <w:rPr>
          <w:szCs w:val="24"/>
        </w:rPr>
        <w:t>W opisach programów lekowych, stanowiących element obwieszczeń refundacyjnych wydawanych przez Ministra Zdrowia powołano do życia „Zespół Koordynacyjny ds. Chorób Ultrarzadkich”. Ciało to,</w:t>
      </w:r>
      <w:r w:rsidR="00992FD0" w:rsidRPr="00EC250C">
        <w:rPr>
          <w:szCs w:val="24"/>
        </w:rPr>
        <w:t xml:space="preserve"> o </w:t>
      </w:r>
      <w:r w:rsidRPr="00EC250C">
        <w:rPr>
          <w:szCs w:val="24"/>
        </w:rPr>
        <w:t>którym ani słowa nie mówi ustawa,</w:t>
      </w:r>
      <w:r w:rsidR="00992FD0" w:rsidRPr="00EC250C">
        <w:rPr>
          <w:szCs w:val="24"/>
        </w:rPr>
        <w:t xml:space="preserve"> w </w:t>
      </w:r>
      <w:r w:rsidRPr="00EC250C">
        <w:rPr>
          <w:szCs w:val="24"/>
        </w:rPr>
        <w:t>praktyce decyduje</w:t>
      </w:r>
      <w:r w:rsidR="00992FD0" w:rsidRPr="00EC250C">
        <w:rPr>
          <w:szCs w:val="24"/>
        </w:rPr>
        <w:t xml:space="preserve"> o </w:t>
      </w:r>
      <w:r w:rsidRPr="00EC250C">
        <w:rPr>
          <w:szCs w:val="24"/>
        </w:rPr>
        <w:t>tym, czy pacjenci chorzy na choroby ultrarzadkie otrzymają potrzebne im leki. Nie jest organem administracji</w:t>
      </w:r>
      <w:r w:rsidR="00992FD0" w:rsidRPr="00EC250C">
        <w:rPr>
          <w:szCs w:val="24"/>
        </w:rPr>
        <w:t xml:space="preserve"> i </w:t>
      </w:r>
      <w:r w:rsidRPr="00EC250C">
        <w:rPr>
          <w:szCs w:val="24"/>
        </w:rPr>
        <w:t>jego decyzji odmawiającej leczenia nie można zaskarżyć do sądu.</w:t>
      </w:r>
    </w:p>
    <w:p w14:paraId="0C3AC1AF" w14:textId="77777777" w:rsidR="00C91F6E" w:rsidRPr="00EC250C" w:rsidRDefault="00D76DC6" w:rsidP="00D131FA">
      <w:pPr>
        <w:pStyle w:val="Styl2"/>
        <w:rPr>
          <w:szCs w:val="24"/>
        </w:rPr>
      </w:pPr>
      <w:r w:rsidRPr="00EC250C">
        <w:rPr>
          <w:szCs w:val="24"/>
        </w:rPr>
        <w:t>RPO</w:t>
      </w:r>
      <w:r w:rsidR="00B1044B" w:rsidRPr="00EC250C">
        <w:rPr>
          <w:szCs w:val="24"/>
        </w:rPr>
        <w:t xml:space="preserve"> trzykrotnie zwracał się</w:t>
      </w:r>
      <w:r w:rsidR="00992FD0" w:rsidRPr="00EC250C">
        <w:rPr>
          <w:szCs w:val="24"/>
        </w:rPr>
        <w:t xml:space="preserve"> w </w:t>
      </w:r>
      <w:r w:rsidR="00B1044B" w:rsidRPr="00EC250C">
        <w:rPr>
          <w:szCs w:val="24"/>
        </w:rPr>
        <w:t>tej sprawie do Ministra Zdrowia, jednak nie uzyskał odpowiedzi. Dlatego zaskarżył do Trybunału Konstytucyjnego zawarte</w:t>
      </w:r>
      <w:r w:rsidR="00992FD0" w:rsidRPr="00EC250C">
        <w:rPr>
          <w:szCs w:val="24"/>
        </w:rPr>
        <w:t xml:space="preserve"> w </w:t>
      </w:r>
      <w:r w:rsidR="00B1044B" w:rsidRPr="00EC250C">
        <w:rPr>
          <w:szCs w:val="24"/>
        </w:rPr>
        <w:t>obwieszczeniach normy prawne powołujące „Zespół Koordynacyjny ds. Chorób Ultrarzadkich”.</w:t>
      </w:r>
    </w:p>
    <w:p w14:paraId="4525118B" w14:textId="77777777" w:rsidR="00C91F6E" w:rsidRPr="00EC250C" w:rsidRDefault="00B1044B" w:rsidP="00D131FA">
      <w:pPr>
        <w:pStyle w:val="Styl2"/>
        <w:rPr>
          <w:szCs w:val="24"/>
        </w:rPr>
      </w:pPr>
      <w:r w:rsidRPr="00EC250C">
        <w:rPr>
          <w:szCs w:val="24"/>
        </w:rPr>
        <w:t>W 2018</w:t>
      </w:r>
      <w:r w:rsidR="00C91F6E" w:rsidRPr="00EC250C">
        <w:rPr>
          <w:szCs w:val="24"/>
        </w:rPr>
        <w:t> r.</w:t>
      </w:r>
      <w:r w:rsidRPr="00EC250C">
        <w:rPr>
          <w:szCs w:val="24"/>
        </w:rPr>
        <w:t xml:space="preserve"> Trybunał Konstytucyjny umorzył postępowanie. W ocenie Trybunału kwestionowane przez </w:t>
      </w:r>
      <w:r w:rsidR="00D76DC6" w:rsidRPr="00EC250C">
        <w:rPr>
          <w:szCs w:val="24"/>
        </w:rPr>
        <w:t xml:space="preserve">RPO </w:t>
      </w:r>
      <w:r w:rsidRPr="00EC250C">
        <w:rPr>
          <w:szCs w:val="24"/>
        </w:rPr>
        <w:t>elementy obwieszczenia nie mają charakteru normatywnego, które mogą być badane przez Trybunał Konstytucyjny.</w:t>
      </w:r>
    </w:p>
    <w:p w14:paraId="3A1ED976" w14:textId="77777777" w:rsidR="00B1044B" w:rsidRPr="00EC250C" w:rsidRDefault="00B1044B" w:rsidP="00D131FA">
      <w:pPr>
        <w:pStyle w:val="Styl2"/>
        <w:rPr>
          <w:szCs w:val="24"/>
        </w:rPr>
      </w:pPr>
      <w:r w:rsidRPr="00EC250C">
        <w:rPr>
          <w:szCs w:val="24"/>
        </w:rPr>
        <w:t>Jednocześnie jednak TK uznał za zasadne przedstawić Sejmowi uwagi</w:t>
      </w:r>
      <w:r w:rsidR="00992FD0" w:rsidRPr="00EC250C">
        <w:rPr>
          <w:szCs w:val="24"/>
        </w:rPr>
        <w:t xml:space="preserve"> o </w:t>
      </w:r>
      <w:r w:rsidRPr="00EC250C">
        <w:rPr>
          <w:szCs w:val="24"/>
        </w:rPr>
        <w:t>lukach prawnych dotyczących statusu prawnego Zespołu Koordynacyjnego. Trybunał powziął wątpliwości, czy sposób unormowania kompetencji Zespołu wyłącznie</w:t>
      </w:r>
      <w:r w:rsidR="00992FD0" w:rsidRPr="00EC250C">
        <w:rPr>
          <w:szCs w:val="24"/>
        </w:rPr>
        <w:t xml:space="preserve"> w </w:t>
      </w:r>
      <w:r w:rsidRPr="00EC250C">
        <w:rPr>
          <w:szCs w:val="24"/>
        </w:rPr>
        <w:t>aktach wewnętrznych (zarządzeniu</w:t>
      </w:r>
      <w:r w:rsidR="00992FD0" w:rsidRPr="00EC250C">
        <w:rPr>
          <w:szCs w:val="24"/>
        </w:rPr>
        <w:t xml:space="preserve"> i </w:t>
      </w:r>
      <w:r w:rsidRPr="00EC250C">
        <w:rPr>
          <w:szCs w:val="24"/>
        </w:rPr>
        <w:t>regulaminie) realizuje konstytucyjny wymóg, aby warunki</w:t>
      </w:r>
      <w:r w:rsidR="00992FD0" w:rsidRPr="00EC250C">
        <w:rPr>
          <w:szCs w:val="24"/>
        </w:rPr>
        <w:t xml:space="preserve"> i </w:t>
      </w:r>
      <w:r w:rsidRPr="00EC250C">
        <w:rPr>
          <w:szCs w:val="24"/>
        </w:rPr>
        <w:t>zakres udzielanych świadczeń opieki zdrowotnej finansowanej ze środków publicznych były określone</w:t>
      </w:r>
      <w:r w:rsidR="00992FD0" w:rsidRPr="00EC250C">
        <w:rPr>
          <w:szCs w:val="24"/>
        </w:rPr>
        <w:t xml:space="preserve"> w </w:t>
      </w:r>
      <w:r w:rsidRPr="00EC250C">
        <w:rPr>
          <w:szCs w:val="24"/>
        </w:rPr>
        <w:t>ustawie</w:t>
      </w:r>
      <w:r w:rsidR="000B38CF" w:rsidRPr="00EC250C">
        <w:rPr>
          <w:rStyle w:val="Odwoanieprzypisudolnego"/>
          <w:szCs w:val="24"/>
        </w:rPr>
        <w:footnoteReference w:id="526"/>
      </w:r>
      <w:r w:rsidRPr="00EC250C">
        <w:rPr>
          <w:szCs w:val="24"/>
        </w:rPr>
        <w:t>.</w:t>
      </w:r>
      <w:r w:rsidR="006A53FD" w:rsidRPr="00EC250C">
        <w:rPr>
          <w:szCs w:val="24"/>
        </w:rPr>
        <w:t xml:space="preserve"> Rzecznik oczekuje na działania Ministra Zdrowia w tej sprawie.</w:t>
      </w:r>
    </w:p>
    <w:p w14:paraId="4C896726" w14:textId="77777777" w:rsidR="00B1044B" w:rsidRPr="00EC250C" w:rsidRDefault="00B1044B" w:rsidP="00D131FA">
      <w:pPr>
        <w:pStyle w:val="ODESANIE"/>
        <w:ind w:left="-97"/>
        <w:jc w:val="both"/>
      </w:pPr>
      <w:r w:rsidRPr="00EC250C">
        <w:lastRenderedPageBreak/>
        <w:t>Sprawa mieszkańców miejscowości bez publicznej komunikacji</w:t>
      </w:r>
      <w:r w:rsidR="00992FD0" w:rsidRPr="00EC250C">
        <w:t xml:space="preserve"> z </w:t>
      </w:r>
      <w:r w:rsidRPr="00EC250C">
        <w:t>większymi ośrodkami: nie mają jak dojechać do lekarzy specjalistów – patrz art. 52 Konstytucji</w:t>
      </w:r>
    </w:p>
    <w:p w14:paraId="4E46EA21" w14:textId="77777777" w:rsidR="00C91F6E" w:rsidRPr="00EC250C" w:rsidRDefault="00B1044B" w:rsidP="00EC79EB">
      <w:pPr>
        <w:pStyle w:val="Nagwek4"/>
      </w:pPr>
      <w:bookmarkStart w:id="534" w:name="_Toc7113841"/>
      <w:bookmarkStart w:id="535" w:name="_Toc6257876"/>
      <w:bookmarkStart w:id="536" w:name="_Toc11247755"/>
      <w:r w:rsidRPr="00EC250C">
        <w:t>Wsparcie dla młodzieży</w:t>
      </w:r>
      <w:r w:rsidR="00992FD0" w:rsidRPr="00EC250C">
        <w:t xml:space="preserve"> w </w:t>
      </w:r>
      <w:r w:rsidRPr="00EC250C">
        <w:t>kryzysie psychicznym po uzyskaniu pełnoletności</w:t>
      </w:r>
      <w:bookmarkEnd w:id="534"/>
      <w:bookmarkEnd w:id="535"/>
      <w:bookmarkEnd w:id="536"/>
    </w:p>
    <w:p w14:paraId="1190DF37" w14:textId="77777777" w:rsidR="00D91FBD" w:rsidRPr="00EC250C" w:rsidRDefault="00B1044B" w:rsidP="00D131FA">
      <w:pPr>
        <w:pStyle w:val="Problemczowieka"/>
        <w:jc w:val="both"/>
      </w:pPr>
      <w:r w:rsidRPr="00EC250C">
        <w:t xml:space="preserve">Co mają zrobić rodzice </w:t>
      </w:r>
      <w:r w:rsidR="006A53FD" w:rsidRPr="00EC250C">
        <w:t>młodej osoby</w:t>
      </w:r>
      <w:r w:rsidRPr="00EC250C">
        <w:t>, któr</w:t>
      </w:r>
      <w:r w:rsidR="006A53FD" w:rsidRPr="00EC250C">
        <w:t>a</w:t>
      </w:r>
      <w:r w:rsidRPr="00EC250C">
        <w:t xml:space="preserve"> przeżywa kryzys psychiczny</w:t>
      </w:r>
      <w:r w:rsidR="00992FD0" w:rsidRPr="00EC250C">
        <w:t xml:space="preserve"> a </w:t>
      </w:r>
      <w:r w:rsidRPr="00EC250C">
        <w:t>właśnie skończyło 18 lat</w:t>
      </w:r>
      <w:r w:rsidR="00D91FBD" w:rsidRPr="00EC250C">
        <w:t>?</w:t>
      </w:r>
    </w:p>
    <w:p w14:paraId="7DCFF1AE" w14:textId="77777777" w:rsidR="00B1044B" w:rsidRPr="00EC250C" w:rsidRDefault="00B1044B" w:rsidP="00D131FA">
      <w:pPr>
        <w:pStyle w:val="Styl1"/>
      </w:pPr>
      <w:r w:rsidRPr="00EC250C">
        <w:t xml:space="preserve">Taka młoda osoba </w:t>
      </w:r>
      <w:r w:rsidR="006A53FD" w:rsidRPr="00EC250C">
        <w:t>n</w:t>
      </w:r>
      <w:r w:rsidRPr="00EC250C">
        <w:t>ie może już przebywać</w:t>
      </w:r>
      <w:r w:rsidR="00992FD0" w:rsidRPr="00EC250C">
        <w:t xml:space="preserve"> w </w:t>
      </w:r>
      <w:r w:rsidRPr="00EC250C">
        <w:t>placówce leczniczej dla nieletnich,</w:t>
      </w:r>
      <w:r w:rsidR="00992FD0" w:rsidRPr="00EC250C">
        <w:t xml:space="preserve"> a </w:t>
      </w:r>
      <w:r w:rsidRPr="00EC250C">
        <w:t>nadal wymaga kompleksowego</w:t>
      </w:r>
      <w:r w:rsidR="00992FD0" w:rsidRPr="00EC250C">
        <w:t xml:space="preserve"> i </w:t>
      </w:r>
      <w:r w:rsidRPr="00EC250C">
        <w:t>specjalistycznego wsparcia, którego rodzina często nie jest</w:t>
      </w:r>
      <w:r w:rsidR="00992FD0" w:rsidRPr="00EC250C">
        <w:t xml:space="preserve"> w </w:t>
      </w:r>
      <w:r w:rsidRPr="00EC250C">
        <w:t>stanie zapewnić.</w:t>
      </w:r>
    </w:p>
    <w:p w14:paraId="2D77A2F6" w14:textId="77777777" w:rsidR="00B1044B" w:rsidRPr="00EC250C" w:rsidRDefault="00B1044B" w:rsidP="00D131FA">
      <w:pPr>
        <w:pStyle w:val="Styl1"/>
      </w:pPr>
      <w:r w:rsidRPr="00EC250C">
        <w:t>Prawo nie przewiduje współdziałania szpitala, sądu, organów pomocy społecznej</w:t>
      </w:r>
      <w:r w:rsidR="00992FD0" w:rsidRPr="00EC250C">
        <w:t xml:space="preserve"> i </w:t>
      </w:r>
      <w:r w:rsidRPr="00EC250C">
        <w:t>rodziców/opiekunów na rzecz zapewnienia osobie potrzebującej specjalistycznego wsparcia</w:t>
      </w:r>
      <w:r w:rsidR="00992FD0" w:rsidRPr="00EC250C">
        <w:t xml:space="preserve"> i </w:t>
      </w:r>
      <w:r w:rsidRPr="00EC250C">
        <w:t>terapii. Zwolnienie pełnoletniej osoby</w:t>
      </w:r>
      <w:r w:rsidR="00992FD0" w:rsidRPr="00EC250C">
        <w:t xml:space="preserve"> z </w:t>
      </w:r>
      <w:r w:rsidRPr="00EC250C">
        <w:t>placówki zajmującej się dzieckiem</w:t>
      </w:r>
      <w:r w:rsidR="00992FD0" w:rsidRPr="00EC250C">
        <w:t xml:space="preserve"> w </w:t>
      </w:r>
      <w:r w:rsidRPr="00EC250C">
        <w:t>kryzysie psychicznym nie niesie za sobą żadnej oferty dla rodzica, który oczekuje wsparcia</w:t>
      </w:r>
      <w:r w:rsidR="00992FD0" w:rsidRPr="00EC250C">
        <w:t xml:space="preserve"> w </w:t>
      </w:r>
      <w:r w:rsidRPr="00EC250C">
        <w:t>dalszej opiece nad dorosłym dzieckiem. Brak jest</w:t>
      </w:r>
      <w:r w:rsidR="00992FD0" w:rsidRPr="00EC250C">
        <w:t xml:space="preserve"> w </w:t>
      </w:r>
      <w:r w:rsidRPr="00EC250C">
        <w:t>systemie jednostki, która</w:t>
      </w:r>
      <w:r w:rsidR="00992FD0" w:rsidRPr="00EC250C">
        <w:t xml:space="preserve"> w </w:t>
      </w:r>
      <w:r w:rsidRPr="00EC250C">
        <w:t>takiej sytuacji przejęłaby</w:t>
      </w:r>
      <w:r w:rsidR="00992FD0" w:rsidRPr="00EC250C">
        <w:t xml:space="preserve"> w </w:t>
      </w:r>
      <w:r w:rsidRPr="00EC250C">
        <w:t>sytuacjach koniecznych, potwierdzonych np. opinią medyczną, kontynuację procesu leczenia</w:t>
      </w:r>
      <w:r w:rsidR="00992FD0" w:rsidRPr="00EC250C">
        <w:t xml:space="preserve"> i </w:t>
      </w:r>
      <w:r w:rsidRPr="00EC250C">
        <w:t>terapii oraz edukacji.</w:t>
      </w:r>
    </w:p>
    <w:p w14:paraId="61B38FDB" w14:textId="77777777" w:rsidR="00B1044B" w:rsidRPr="00EC250C" w:rsidRDefault="00B1044B" w:rsidP="00D131FA">
      <w:pPr>
        <w:pStyle w:val="Styl1"/>
      </w:pPr>
      <w:r w:rsidRPr="00EC250C">
        <w:t>Roli tej nie spełnia oferta placówek</w:t>
      </w:r>
      <w:r w:rsidR="00992FD0" w:rsidRPr="00EC250C">
        <w:t xml:space="preserve"> i </w:t>
      </w:r>
      <w:r w:rsidRPr="00EC250C">
        <w:t>rodzin zastępczych prowadzonych na podstawie ustawy</w:t>
      </w:r>
      <w:r w:rsidR="00992FD0" w:rsidRPr="00EC250C">
        <w:t xml:space="preserve"> o </w:t>
      </w:r>
      <w:r w:rsidRPr="00EC250C">
        <w:t>wspieraniu rodziny</w:t>
      </w:r>
      <w:r w:rsidR="00992FD0" w:rsidRPr="00EC250C">
        <w:t xml:space="preserve"> i </w:t>
      </w:r>
      <w:r w:rsidRPr="00EC250C">
        <w:t>systemie pieczy zastępczej, gdyż są one dedykowane dzieciom do uzyskania pełnoletności,</w:t>
      </w:r>
      <w:r w:rsidR="00992FD0" w:rsidRPr="00EC250C">
        <w:t xml:space="preserve"> a </w:t>
      </w:r>
      <w:r w:rsidRPr="00EC250C">
        <w:t>starsi wychowankowie przebywają</w:t>
      </w:r>
      <w:r w:rsidR="00992FD0" w:rsidRPr="00EC250C">
        <w:t xml:space="preserve"> w </w:t>
      </w:r>
      <w:r w:rsidRPr="00EC250C">
        <w:t>pieczy zastępczej tylko do zakończenia procesu edukacji. Ponadto, niedostateczna jest wciąż liczba mieszkań chronionych dedykowanych osobom</w:t>
      </w:r>
      <w:r w:rsidR="00992FD0" w:rsidRPr="00EC250C">
        <w:t xml:space="preserve"> z </w:t>
      </w:r>
      <w:r w:rsidRPr="00EC250C">
        <w:t>zaburzeniami psychicznymi. Ogranicza to dostęp do kompleksowego wsparcia osób, które trwale lub przejściowo mają problemy</w:t>
      </w:r>
      <w:r w:rsidR="00992FD0" w:rsidRPr="00EC250C">
        <w:t xml:space="preserve"> z </w:t>
      </w:r>
      <w:r w:rsidRPr="00EC250C">
        <w:t>samodzielnym funkcjonowaniem</w:t>
      </w:r>
      <w:r w:rsidR="00992FD0" w:rsidRPr="00EC250C">
        <w:t xml:space="preserve"> w </w:t>
      </w:r>
      <w:r w:rsidRPr="00EC250C">
        <w:t>środowisku</w:t>
      </w:r>
      <w:r w:rsidR="00992FD0" w:rsidRPr="00EC250C">
        <w:t xml:space="preserve"> i </w:t>
      </w:r>
      <w:r w:rsidRPr="00EC250C">
        <w:t>powinny być niezwłocznie objęte taką pomocą.</w:t>
      </w:r>
    </w:p>
    <w:p w14:paraId="40A2B241" w14:textId="77777777" w:rsidR="00C91F6E" w:rsidRPr="00EC250C" w:rsidRDefault="00B1044B" w:rsidP="00D131FA">
      <w:pPr>
        <w:pStyle w:val="Styl1"/>
      </w:pPr>
      <w:r w:rsidRPr="00EC250C">
        <w:t>Troska rodziców</w:t>
      </w:r>
      <w:r w:rsidR="00992FD0" w:rsidRPr="00EC250C">
        <w:t xml:space="preserve"> o </w:t>
      </w:r>
      <w:r w:rsidRPr="00EC250C">
        <w:t>swe dzieci,</w:t>
      </w:r>
      <w:r w:rsidR="00992FD0" w:rsidRPr="00EC250C">
        <w:t xml:space="preserve"> o </w:t>
      </w:r>
      <w:r w:rsidRPr="00EC250C">
        <w:t>ich przyszłość</w:t>
      </w:r>
      <w:r w:rsidR="00992FD0" w:rsidRPr="00EC250C">
        <w:t xml:space="preserve"> w </w:t>
      </w:r>
      <w:r w:rsidRPr="00EC250C">
        <w:t>sytuacji, gdy są pozostawieni sami</w:t>
      </w:r>
      <w:r w:rsidR="00992FD0" w:rsidRPr="00EC250C">
        <w:t xml:space="preserve"> z </w:t>
      </w:r>
      <w:r w:rsidRPr="00EC250C">
        <w:t>problemem bez współpracy ze strony dzieci, powoduje, że sięgają do metody ostatecznej</w:t>
      </w:r>
      <w:r w:rsidR="00026572" w:rsidRPr="00EC250C">
        <w:t xml:space="preserve"> – </w:t>
      </w:r>
      <w:r w:rsidRPr="00EC250C">
        <w:t>wystąpienia</w:t>
      </w:r>
      <w:r w:rsidR="00992FD0" w:rsidRPr="00EC250C">
        <w:t xml:space="preserve"> o </w:t>
      </w:r>
      <w:r w:rsidRPr="00EC250C">
        <w:t>ubezwłasnowolnienie</w:t>
      </w:r>
      <w:r w:rsidR="00992FD0" w:rsidRPr="00EC250C">
        <w:t xml:space="preserve"> w </w:t>
      </w:r>
      <w:r w:rsidRPr="00EC250C">
        <w:t>celu sprawowania</w:t>
      </w:r>
      <w:r w:rsidR="00992FD0" w:rsidRPr="00EC250C">
        <w:t xml:space="preserve"> w </w:t>
      </w:r>
      <w:r w:rsidRPr="00EC250C">
        <w:t>sposób adekwatny do potrzeb opieki. Tymczasem</w:t>
      </w:r>
      <w:r w:rsidR="00992FD0" w:rsidRPr="00EC250C">
        <w:t xml:space="preserve"> w </w:t>
      </w:r>
      <w:r w:rsidRPr="00EC250C">
        <w:t xml:space="preserve">opinii </w:t>
      </w:r>
      <w:r w:rsidR="00D76DC6" w:rsidRPr="00EC250C">
        <w:t>RPO</w:t>
      </w:r>
      <w:r w:rsidRPr="00EC250C">
        <w:t xml:space="preserve"> instytucja ubezwłasnowolnienia, jako instytucja zastępczego podejmowania decyzji, powinna zostać zniesiona</w:t>
      </w:r>
      <w:r w:rsidR="00992FD0" w:rsidRPr="00EC250C">
        <w:t xml:space="preserve"> i </w:t>
      </w:r>
      <w:r w:rsidRPr="00EC250C">
        <w:t>zastąpiona systemem wspieranego podejmowania decyzji.</w:t>
      </w:r>
    </w:p>
    <w:p w14:paraId="3C9D3E75" w14:textId="77777777" w:rsidR="00C91F6E" w:rsidRPr="00EC250C" w:rsidRDefault="00D76DC6" w:rsidP="00D131FA">
      <w:pPr>
        <w:pStyle w:val="Styl1"/>
      </w:pPr>
      <w:r w:rsidRPr="00EC250C">
        <w:t xml:space="preserve">RPO </w:t>
      </w:r>
      <w:r w:rsidR="00B1044B" w:rsidRPr="00EC250C">
        <w:t>zwrócił się</w:t>
      </w:r>
      <w:r w:rsidR="00992FD0" w:rsidRPr="00EC250C">
        <w:t xml:space="preserve"> w </w:t>
      </w:r>
      <w:r w:rsidR="00B1044B" w:rsidRPr="00EC250C">
        <w:t>tej sprawie do Ministra Rodziny, Pracy</w:t>
      </w:r>
      <w:r w:rsidR="00992FD0" w:rsidRPr="00EC250C">
        <w:t xml:space="preserve"> i </w:t>
      </w:r>
      <w:r w:rsidR="00B1044B" w:rsidRPr="00EC250C">
        <w:t>Polityki Społecznej. Ten jednak uważa, że osoby</w:t>
      </w:r>
      <w:r w:rsidR="00992FD0" w:rsidRPr="00EC250C">
        <w:t xml:space="preserve"> z </w:t>
      </w:r>
      <w:r w:rsidR="00B1044B" w:rsidRPr="00EC250C">
        <w:t>zaburzeniami psychicznymi, podobnie jak inne osoby znajdujące się</w:t>
      </w:r>
      <w:r w:rsidR="00992FD0" w:rsidRPr="00EC250C">
        <w:t xml:space="preserve"> w </w:t>
      </w:r>
      <w:r w:rsidR="00B1044B" w:rsidRPr="00EC250C">
        <w:t>trudnej sytuacji materialnej</w:t>
      </w:r>
      <w:r w:rsidR="00992FD0" w:rsidRPr="00EC250C">
        <w:t xml:space="preserve"> i </w:t>
      </w:r>
      <w:r w:rsidR="00B1044B" w:rsidRPr="00EC250C">
        <w:t>życiowej, mogą korzystać, zależnie od potrzeb ze świadczeń</w:t>
      </w:r>
      <w:r w:rsidR="00992FD0" w:rsidRPr="00EC250C">
        <w:t xml:space="preserve"> z </w:t>
      </w:r>
      <w:r w:rsidR="00B1044B" w:rsidRPr="00EC250C">
        <w:t>pomocy społecznej, przewidzianych</w:t>
      </w:r>
      <w:r w:rsidR="00992FD0" w:rsidRPr="00EC250C">
        <w:t xml:space="preserve"> w </w:t>
      </w:r>
      <w:r w:rsidR="00B1044B" w:rsidRPr="00EC250C">
        <w:t>ustawie</w:t>
      </w:r>
      <w:r w:rsidR="00992FD0" w:rsidRPr="00EC250C">
        <w:t xml:space="preserve"> o </w:t>
      </w:r>
      <w:r w:rsidR="00B1044B" w:rsidRPr="00EC250C">
        <w:t>pomocy społecznej. Mają prawo do usług opiekuńczych</w:t>
      </w:r>
      <w:r w:rsidR="00992FD0" w:rsidRPr="00EC250C">
        <w:t xml:space="preserve"> </w:t>
      </w:r>
      <w:r w:rsidR="00992FD0" w:rsidRPr="00EC250C">
        <w:lastRenderedPageBreak/>
        <w:t>w </w:t>
      </w:r>
      <w:r w:rsidR="00B1044B" w:rsidRPr="00EC250C">
        <w:t>środowiskowych domach samopomocy,</w:t>
      </w:r>
      <w:r w:rsidR="00992FD0" w:rsidRPr="00EC250C">
        <w:t xml:space="preserve"> w </w:t>
      </w:r>
      <w:r w:rsidR="00B1044B" w:rsidRPr="00EC250C">
        <w:t>miejscu zamieszkania oraz</w:t>
      </w:r>
      <w:r w:rsidR="00992FD0" w:rsidRPr="00EC250C">
        <w:t xml:space="preserve"> w </w:t>
      </w:r>
      <w:r w:rsidR="00B1044B" w:rsidRPr="00EC250C">
        <w:t>mieszkaniach chronionych.</w:t>
      </w:r>
    </w:p>
    <w:p w14:paraId="7771D5FC" w14:textId="77777777" w:rsidR="00B1044B" w:rsidRPr="00EC250C" w:rsidRDefault="00395CCC" w:rsidP="00D131FA">
      <w:pPr>
        <w:pStyle w:val="Styl1"/>
      </w:pPr>
      <w:r w:rsidRPr="00EC250C">
        <w:t>MRPiPS</w:t>
      </w:r>
      <w:r w:rsidR="00B1044B" w:rsidRPr="00EC250C">
        <w:t xml:space="preserve"> rozszerza</w:t>
      </w:r>
      <w:r w:rsidR="00992FD0" w:rsidRPr="00EC250C">
        <w:t xml:space="preserve"> i </w:t>
      </w:r>
      <w:r w:rsidR="00B1044B" w:rsidRPr="00EC250C">
        <w:t>planuje nadal poszerzać dostępność usług</w:t>
      </w:r>
      <w:r w:rsidR="00992FD0" w:rsidRPr="00EC250C">
        <w:t xml:space="preserve"> w </w:t>
      </w:r>
      <w:r w:rsidR="00B1044B" w:rsidRPr="00EC250C">
        <w:t>środowiskowych domach samopomocy także</w:t>
      </w:r>
      <w:r w:rsidR="00992FD0" w:rsidRPr="00EC250C">
        <w:t xml:space="preserve"> w </w:t>
      </w:r>
      <w:r w:rsidR="00B1044B" w:rsidRPr="00EC250C">
        <w:t>odniesieniu do osób wymagających wzmożonej opieki, poprzez rozwój sieci ośrodków wsparcia dla osób</w:t>
      </w:r>
      <w:r w:rsidR="00992FD0" w:rsidRPr="00EC250C">
        <w:t xml:space="preserve"> z </w:t>
      </w:r>
      <w:r w:rsidR="00B1044B" w:rsidRPr="00EC250C">
        <w:t>zaburzeniami psychicznymi. Priorytetowym działaniem jest zaś likwidacja tzw. „białych plam”, czyli powiatów, na terenie których nie funkcjonują jeszcze tego typu jednostki</w:t>
      </w:r>
      <w:r w:rsidR="00B1044B" w:rsidRPr="00EC250C">
        <w:rPr>
          <w:rStyle w:val="Odwoanieprzypisudolnego"/>
          <w:rFonts w:eastAsiaTheme="majorEastAsia"/>
          <w:bCs/>
        </w:rPr>
        <w:footnoteReference w:id="527"/>
      </w:r>
      <w:r w:rsidR="00B1044B" w:rsidRPr="00EC250C">
        <w:t>.</w:t>
      </w:r>
    </w:p>
    <w:p w14:paraId="652B0953" w14:textId="77777777" w:rsidR="006234C6" w:rsidRPr="00EC250C" w:rsidRDefault="006234C6" w:rsidP="00D131FA">
      <w:pPr>
        <w:pStyle w:val="Styl1"/>
      </w:pPr>
      <w:r w:rsidRPr="00EC250C">
        <w:t>Minister zapewnił</w:t>
      </w:r>
      <w:r w:rsidR="00992FD0" w:rsidRPr="00EC250C">
        <w:t xml:space="preserve"> o </w:t>
      </w:r>
      <w:r w:rsidRPr="00EC250C">
        <w:t>ciągłych pracach na rzecz usprawnienia funkcjonowania systemu opieki psychiatrycznej dzieci, młodzieży</w:t>
      </w:r>
      <w:r w:rsidR="00992FD0" w:rsidRPr="00EC250C">
        <w:t xml:space="preserve"> i </w:t>
      </w:r>
      <w:r w:rsidRPr="00EC250C">
        <w:t>osób dorosłych.</w:t>
      </w:r>
      <w:r w:rsidR="006A53FD" w:rsidRPr="00EC250C">
        <w:t xml:space="preserve"> </w:t>
      </w:r>
      <w:r w:rsidR="0092468D" w:rsidRPr="00EC250C">
        <w:t>Rzecznik będzie nadal przyglądał się sprawie</w:t>
      </w:r>
      <w:r w:rsidR="006A53FD" w:rsidRPr="00EC250C">
        <w:t>.</w:t>
      </w:r>
    </w:p>
    <w:p w14:paraId="3F119AD5" w14:textId="77777777" w:rsidR="00C91F6E" w:rsidRPr="00EC250C" w:rsidRDefault="00B1044B" w:rsidP="00EC79EB">
      <w:pPr>
        <w:pStyle w:val="Nagwek4"/>
      </w:pPr>
      <w:bookmarkStart w:id="537" w:name="_Toc6257877"/>
      <w:bookmarkStart w:id="538" w:name="_Toc7113842"/>
      <w:bookmarkStart w:id="539" w:name="_Toc11247756"/>
      <w:r w:rsidRPr="00EC250C">
        <w:t>Jakość żywienia</w:t>
      </w:r>
      <w:r w:rsidR="00992FD0" w:rsidRPr="00EC250C">
        <w:t xml:space="preserve"> w </w:t>
      </w:r>
      <w:r w:rsidRPr="00EC250C">
        <w:t>szpitalach</w:t>
      </w:r>
      <w:bookmarkEnd w:id="537"/>
      <w:bookmarkEnd w:id="538"/>
      <w:bookmarkEnd w:id="539"/>
    </w:p>
    <w:p w14:paraId="216DA384" w14:textId="77777777" w:rsidR="00B473F5" w:rsidRPr="00EC250C" w:rsidRDefault="00B1044B" w:rsidP="00D131FA">
      <w:pPr>
        <w:pStyle w:val="Problemczowieka"/>
        <w:jc w:val="both"/>
        <w:rPr>
          <w:bdr w:val="none" w:sz="0" w:space="0" w:color="auto" w:frame="1"/>
        </w:rPr>
      </w:pPr>
      <w:r w:rsidRPr="00EC250C">
        <w:rPr>
          <w:bdr w:val="none" w:sz="0" w:space="0" w:color="auto" w:frame="1"/>
        </w:rPr>
        <w:t>Dziś szpitale nie mają ustawowego obowiązku zapewniania pacjentom wyżywienia odpowiedniego do stanu zdrowia. Ograniczają więc stawki żywieniowe</w:t>
      </w:r>
      <w:r w:rsidR="00992FD0" w:rsidRPr="00EC250C">
        <w:rPr>
          <w:bdr w:val="none" w:sz="0" w:space="0" w:color="auto" w:frame="1"/>
        </w:rPr>
        <w:t xml:space="preserve"> z </w:t>
      </w:r>
      <w:r w:rsidRPr="00EC250C">
        <w:rPr>
          <w:bdr w:val="none" w:sz="0" w:space="0" w:color="auto" w:frame="1"/>
        </w:rPr>
        <w:t>przyczyn ekonomicznych, ale oszczędności nie można szukać kosztem jedzenia bezpiecznego dla zdrowia pacjentów</w:t>
      </w:r>
      <w:r w:rsidR="00B473F5" w:rsidRPr="00EC250C">
        <w:rPr>
          <w:bdr w:val="none" w:sz="0" w:space="0" w:color="auto" w:frame="1"/>
        </w:rPr>
        <w:t>.</w:t>
      </w:r>
    </w:p>
    <w:p w14:paraId="0626B308" w14:textId="77777777" w:rsidR="00B1044B" w:rsidRPr="00EC250C" w:rsidRDefault="00B1044B" w:rsidP="00D131FA">
      <w:pPr>
        <w:pStyle w:val="Styl1"/>
      </w:pPr>
      <w:r w:rsidRPr="00EC250C">
        <w:t>Główne zastrzeżenia, jakie RPO przedstawił Ministrowi Zdrowia, dotyczą jakości</w:t>
      </w:r>
      <w:r w:rsidR="00992FD0" w:rsidRPr="00EC250C">
        <w:t xml:space="preserve"> i </w:t>
      </w:r>
      <w:r w:rsidRPr="00EC250C">
        <w:t>wielkości porcji pokarmowych, braku urozmaicenia posiłków, ich małej częstotliwości (trzy razy dziennie</w:t>
      </w:r>
      <w:r w:rsidR="00026572" w:rsidRPr="00EC250C">
        <w:t xml:space="preserve"> – </w:t>
      </w:r>
      <w:r w:rsidRPr="00EC250C">
        <w:t xml:space="preserve">zamiast pięć), wychłodzenia dań podawanych „na ciepło”. </w:t>
      </w:r>
      <w:r w:rsidR="00D76DC6" w:rsidRPr="00EC250C">
        <w:t>RPO</w:t>
      </w:r>
      <w:r w:rsidRPr="00EC250C">
        <w:t xml:space="preserve"> powołał się na ustalenia NIK</w:t>
      </w:r>
      <w:r w:rsidR="00992FD0" w:rsidRPr="00EC250C">
        <w:t xml:space="preserve"> i </w:t>
      </w:r>
      <w:r w:rsidRPr="00EC250C">
        <w:t>na kontrole Państwowej Inspekcji Sanitarnej oraz Inspekcji Handlowej: 70% sprawdzonych firm cateringowych używało m.in. przeterminowanych produktów, nie informowało</w:t>
      </w:r>
      <w:r w:rsidR="00992FD0" w:rsidRPr="00EC250C">
        <w:t xml:space="preserve"> o </w:t>
      </w:r>
      <w:r w:rsidRPr="00EC250C">
        <w:t>alergenach, stosowało tańsze zamienniki, oferowało niedoważone porcje.</w:t>
      </w:r>
    </w:p>
    <w:p w14:paraId="15AEF69A" w14:textId="77777777" w:rsidR="00B1044B" w:rsidRPr="00EC250C" w:rsidRDefault="00B1044B" w:rsidP="00D131FA">
      <w:pPr>
        <w:pStyle w:val="Styl1"/>
      </w:pPr>
      <w:r w:rsidRPr="00EC250C">
        <w:t xml:space="preserve">Dziś przepisy nie określają norm żywieniowych pacjentów, jakości produktów, zasad kontroli usług żywienia szpitalnego, czy zasad zatrudniania dietetyków. </w:t>
      </w:r>
      <w:r w:rsidR="00D76DC6" w:rsidRPr="00EC250C">
        <w:t xml:space="preserve">RPO </w:t>
      </w:r>
      <w:r w:rsidRPr="00EC250C">
        <w:t>zwraca uwagę, że od 2006</w:t>
      </w:r>
      <w:r w:rsidR="00C91F6E" w:rsidRPr="00EC250C">
        <w:t> r.</w:t>
      </w:r>
      <w:r w:rsidRPr="00EC250C">
        <w:t xml:space="preserve"> (od wejścia</w:t>
      </w:r>
      <w:r w:rsidR="00992FD0" w:rsidRPr="00EC250C">
        <w:t xml:space="preserve"> w </w:t>
      </w:r>
      <w:r w:rsidRPr="00EC250C">
        <w:t>życie ustawy</w:t>
      </w:r>
      <w:r w:rsidR="00992FD0" w:rsidRPr="00EC250C">
        <w:t xml:space="preserve"> o </w:t>
      </w:r>
      <w:r w:rsidRPr="00EC250C">
        <w:t>bezpieczeństwie żywności</w:t>
      </w:r>
      <w:r w:rsidR="00992FD0" w:rsidRPr="00EC250C">
        <w:t xml:space="preserve"> i </w:t>
      </w:r>
      <w:r w:rsidRPr="00EC250C">
        <w:t>żywienia), Minister Zdrowia nie skorzystał</w:t>
      </w:r>
      <w:r w:rsidR="00992FD0" w:rsidRPr="00EC250C">
        <w:t xml:space="preserve"> z </w:t>
      </w:r>
      <w:r w:rsidRPr="00EC250C">
        <w:t>możliwości prawnego uregulowania wymagań zbiorowego żywienia</w:t>
      </w:r>
      <w:r w:rsidR="00992FD0" w:rsidRPr="00EC250C">
        <w:t xml:space="preserve"> w </w:t>
      </w:r>
      <w:r w:rsidRPr="00EC250C">
        <w:t>szpitalach.</w:t>
      </w:r>
    </w:p>
    <w:p w14:paraId="74372A5D" w14:textId="77777777" w:rsidR="00B1044B" w:rsidRPr="00EC250C" w:rsidRDefault="00B1044B" w:rsidP="00D131FA">
      <w:pPr>
        <w:pStyle w:val="Styl1"/>
      </w:pPr>
      <w:r w:rsidRPr="00EC250C">
        <w:t>W tej kwestii RPO już wcześniej występował do ministrów zdrowia. Wskazywał m.in. na lukę prawną</w:t>
      </w:r>
      <w:r w:rsidR="00992FD0" w:rsidRPr="00EC250C">
        <w:t xml:space="preserve"> w </w:t>
      </w:r>
      <w:r w:rsidRPr="00EC250C">
        <w:t>ustawie</w:t>
      </w:r>
      <w:r w:rsidR="00992FD0" w:rsidRPr="00EC250C">
        <w:t xml:space="preserve"> o </w:t>
      </w:r>
      <w:r w:rsidRPr="00EC250C">
        <w:t>działalności leczniczej</w:t>
      </w:r>
      <w:r w:rsidR="00825D00" w:rsidRPr="00EC250C">
        <w:rPr>
          <w:rStyle w:val="Odwoanieprzypisudolnego"/>
        </w:rPr>
        <w:footnoteReference w:id="528"/>
      </w:r>
      <w:r w:rsidRPr="00EC250C">
        <w:t>. Dziś dla szpitali nie wynika</w:t>
      </w:r>
      <w:r w:rsidR="00992FD0" w:rsidRPr="00EC250C">
        <w:t xml:space="preserve"> z </w:t>
      </w:r>
      <w:r w:rsidRPr="00EC250C">
        <w:t>niej obowiązek zapewnienia pacjentom pomieszczeń</w:t>
      </w:r>
      <w:r w:rsidR="00992FD0" w:rsidRPr="00EC250C">
        <w:t xml:space="preserve"> i </w:t>
      </w:r>
      <w:r w:rsidRPr="00EC250C">
        <w:t>wyżywienia odpowiednich do stanu zdrowia. Obowiązuje to zaś</w:t>
      </w:r>
      <w:r w:rsidR="00992FD0" w:rsidRPr="00EC250C">
        <w:t xml:space="preserve"> w </w:t>
      </w:r>
      <w:r w:rsidRPr="00EC250C">
        <w:t>przypadku całodobowych świadczeń zdrowotnych innych niż szpitalne, udzielanych</w:t>
      </w:r>
      <w:r w:rsidR="00992FD0" w:rsidRPr="00EC250C">
        <w:t xml:space="preserve"> w </w:t>
      </w:r>
      <w:r w:rsidRPr="00EC250C">
        <w:t>zakładzie opiekuńczo-leczniczym lub zakładzie pielęgnacyjno-opiekuńczym.</w:t>
      </w:r>
    </w:p>
    <w:p w14:paraId="03612960" w14:textId="77777777" w:rsidR="00B1044B" w:rsidRPr="00EC250C" w:rsidRDefault="00B1044B" w:rsidP="00D131FA">
      <w:pPr>
        <w:pStyle w:val="Styl1"/>
        <w:rPr>
          <w:rFonts w:ascii="Open Sans Regular" w:hAnsi="Open Sans Regular"/>
          <w:sz w:val="21"/>
        </w:rPr>
      </w:pPr>
      <w:r w:rsidRPr="00EC250C">
        <w:rPr>
          <w:bdr w:val="none" w:sz="0" w:space="0" w:color="auto" w:frame="1"/>
        </w:rPr>
        <w:t>Niezbędne są m.in.:</w:t>
      </w:r>
    </w:p>
    <w:p w14:paraId="417CF774" w14:textId="77777777" w:rsidR="00B1044B" w:rsidRPr="00EC250C" w:rsidRDefault="00B1044B" w:rsidP="006C70B7">
      <w:pPr>
        <w:pStyle w:val="Styl1"/>
        <w:numPr>
          <w:ilvl w:val="0"/>
          <w:numId w:val="56"/>
        </w:numPr>
      </w:pPr>
      <w:r w:rsidRPr="00EC250C">
        <w:t>rzetelna ocena stanu odżywienia pacjentów</w:t>
      </w:r>
      <w:r w:rsidR="00992FD0" w:rsidRPr="00EC250C">
        <w:t xml:space="preserve"> w </w:t>
      </w:r>
      <w:r w:rsidRPr="00EC250C">
        <w:t>momencie ich przyjmowania do szpitala,</w:t>
      </w:r>
    </w:p>
    <w:p w14:paraId="722E0417" w14:textId="77777777" w:rsidR="00B1044B" w:rsidRPr="00EC250C" w:rsidRDefault="00B1044B" w:rsidP="006C70B7">
      <w:pPr>
        <w:pStyle w:val="Styl1"/>
        <w:numPr>
          <w:ilvl w:val="0"/>
          <w:numId w:val="56"/>
        </w:numPr>
      </w:pPr>
      <w:r w:rsidRPr="00EC250C">
        <w:lastRenderedPageBreak/>
        <w:t>dostosowanie diety do choroby,</w:t>
      </w:r>
    </w:p>
    <w:p w14:paraId="6A5FD639" w14:textId="77777777" w:rsidR="00B1044B" w:rsidRPr="00EC250C" w:rsidRDefault="00B1044B" w:rsidP="006C70B7">
      <w:pPr>
        <w:pStyle w:val="Styl1"/>
        <w:numPr>
          <w:ilvl w:val="0"/>
          <w:numId w:val="56"/>
        </w:numPr>
      </w:pPr>
      <w:r w:rsidRPr="00EC250C">
        <w:t>przygotowywanie posiłków</w:t>
      </w:r>
      <w:r w:rsidR="00992FD0" w:rsidRPr="00EC250C">
        <w:t xml:space="preserve"> z </w:t>
      </w:r>
      <w:r w:rsidRPr="00EC250C">
        <w:t>produktów wysokiej jakości</w:t>
      </w:r>
      <w:r w:rsidR="00992FD0" w:rsidRPr="00EC250C">
        <w:t xml:space="preserve"> i z </w:t>
      </w:r>
      <w:r w:rsidRPr="00EC250C">
        <w:t>zachowaniem wymogów sanitarno-higienicznych przy produkcji,</w:t>
      </w:r>
      <w:r w:rsidR="00992FD0" w:rsidRPr="00EC250C">
        <w:t xml:space="preserve"> w </w:t>
      </w:r>
      <w:r w:rsidRPr="00EC250C">
        <w:t>transporcie</w:t>
      </w:r>
      <w:r w:rsidR="00992FD0" w:rsidRPr="00EC250C">
        <w:t xml:space="preserve"> i </w:t>
      </w:r>
      <w:r w:rsidRPr="00EC250C">
        <w:t>dystrybucji,</w:t>
      </w:r>
    </w:p>
    <w:p w14:paraId="79AA29E3" w14:textId="77777777" w:rsidR="00B1044B" w:rsidRPr="00EC250C" w:rsidRDefault="00B1044B" w:rsidP="006C70B7">
      <w:pPr>
        <w:pStyle w:val="Styl1"/>
        <w:numPr>
          <w:ilvl w:val="0"/>
          <w:numId w:val="56"/>
        </w:numPr>
      </w:pPr>
      <w:r w:rsidRPr="00EC250C">
        <w:t>zapewnienie właściwych wartości energetycznych</w:t>
      </w:r>
      <w:r w:rsidR="00992FD0" w:rsidRPr="00EC250C">
        <w:t xml:space="preserve"> i </w:t>
      </w:r>
      <w:r w:rsidRPr="00EC250C">
        <w:t>odżywczych posiłków,</w:t>
      </w:r>
      <w:r w:rsidR="00992FD0" w:rsidRPr="00EC250C">
        <w:t xml:space="preserve"> a </w:t>
      </w:r>
      <w:r w:rsidRPr="00EC250C">
        <w:t>także ich regularności,</w:t>
      </w:r>
    </w:p>
    <w:p w14:paraId="1015D9DC" w14:textId="77777777" w:rsidR="00B1044B" w:rsidRPr="00EC250C" w:rsidRDefault="00B1044B" w:rsidP="006C70B7">
      <w:pPr>
        <w:pStyle w:val="Styl1"/>
        <w:numPr>
          <w:ilvl w:val="0"/>
          <w:numId w:val="56"/>
        </w:numPr>
      </w:pPr>
      <w:r w:rsidRPr="00EC250C">
        <w:t>zapewnienie fachowej pomocy dietetycznej pacjentom wymagającym zmiany nawyków żywieniowych</w:t>
      </w:r>
      <w:r w:rsidR="00992FD0" w:rsidRPr="00EC250C">
        <w:t xml:space="preserve"> i </w:t>
      </w:r>
      <w:r w:rsidRPr="00EC250C">
        <w:t>trybu życia</w:t>
      </w:r>
      <w:r w:rsidR="00992FD0" w:rsidRPr="00EC250C">
        <w:t xml:space="preserve"> w </w:t>
      </w:r>
      <w:r w:rsidRPr="00EC250C">
        <w:t>związku</w:t>
      </w:r>
      <w:r w:rsidR="00992FD0" w:rsidRPr="00EC250C">
        <w:t xml:space="preserve"> z </w:t>
      </w:r>
      <w:r w:rsidRPr="00EC250C">
        <w:t>chorobą,</w:t>
      </w:r>
    </w:p>
    <w:p w14:paraId="31539215" w14:textId="77777777" w:rsidR="00B1044B" w:rsidRPr="00EC250C" w:rsidRDefault="00B1044B" w:rsidP="006C70B7">
      <w:pPr>
        <w:pStyle w:val="Styl1"/>
        <w:numPr>
          <w:ilvl w:val="0"/>
          <w:numId w:val="56"/>
        </w:numPr>
      </w:pPr>
      <w:r w:rsidRPr="00EC250C">
        <w:t>dostosowanie organizacji żywienia do potrzeb chorych niesamodzielnych lub</w:t>
      </w:r>
      <w:r w:rsidR="00992FD0" w:rsidRPr="00EC250C">
        <w:t xml:space="preserve"> o </w:t>
      </w:r>
      <w:r w:rsidRPr="00EC250C">
        <w:t>ograniczonej samodzielności.</w:t>
      </w:r>
    </w:p>
    <w:p w14:paraId="6E17FC34" w14:textId="77777777" w:rsidR="00B1044B" w:rsidRPr="00EC250C" w:rsidRDefault="00B1044B" w:rsidP="00D131FA">
      <w:pPr>
        <w:pStyle w:val="Styl1"/>
      </w:pPr>
      <w:r w:rsidRPr="00EC250C">
        <w:t xml:space="preserve">Zdaniem </w:t>
      </w:r>
      <w:r w:rsidR="00D76DC6" w:rsidRPr="00EC250C">
        <w:t>RPO</w:t>
      </w:r>
      <w:r w:rsidRPr="00EC250C">
        <w:t xml:space="preserve"> organizacja żywienia pacjentów powinna być analizowana, koordynowana</w:t>
      </w:r>
      <w:r w:rsidR="00992FD0" w:rsidRPr="00EC250C">
        <w:t xml:space="preserve"> i </w:t>
      </w:r>
      <w:r w:rsidRPr="00EC250C">
        <w:t>nadzorowana przez kierowników szpitali oraz lekarzy odpowiedzialnych za leczenie pacjenta.</w:t>
      </w:r>
    </w:p>
    <w:p w14:paraId="29334928" w14:textId="77777777" w:rsidR="00C91F6E" w:rsidRPr="00EC250C" w:rsidRDefault="00B1044B" w:rsidP="00D131FA">
      <w:pPr>
        <w:pStyle w:val="Styl1"/>
      </w:pPr>
      <w:r w:rsidRPr="00EC250C">
        <w:t>Minister Zdrowia poinformował, że mimo braku aktów prawnych szczegółowo regulujących kwestię standardów żywienia</w:t>
      </w:r>
      <w:r w:rsidR="00992FD0" w:rsidRPr="00EC250C">
        <w:t xml:space="preserve"> w </w:t>
      </w:r>
      <w:r w:rsidRPr="00EC250C">
        <w:t>szpitalach, podmioty lecznicze zobowiązane są do opracowania</w:t>
      </w:r>
      <w:r w:rsidR="00992FD0" w:rsidRPr="00EC250C">
        <w:t xml:space="preserve"> i </w:t>
      </w:r>
      <w:r w:rsidRPr="00EC250C">
        <w:t>stosowania norm żywieniowych,</w:t>
      </w:r>
      <w:r w:rsidR="00992FD0" w:rsidRPr="00EC250C">
        <w:t xml:space="preserve"> z </w:t>
      </w:r>
      <w:r w:rsidRPr="00EC250C">
        <w:t>uwzględnieniem odpowiedniej wartości kalorycznej</w:t>
      </w:r>
      <w:r w:rsidR="00992FD0" w:rsidRPr="00EC250C">
        <w:t xml:space="preserve"> i </w:t>
      </w:r>
      <w:r w:rsidRPr="00EC250C">
        <w:t>odżywczej posiłków, stosownie do stanu zdrowia pacjentów.</w:t>
      </w:r>
    </w:p>
    <w:p w14:paraId="2F8A5D85" w14:textId="77777777" w:rsidR="00B1044B" w:rsidRPr="00EC250C" w:rsidRDefault="00B1044B" w:rsidP="00D131FA">
      <w:pPr>
        <w:pStyle w:val="Styl1"/>
      </w:pPr>
      <w:r w:rsidRPr="00EC250C">
        <w:t>Odnosząc się natomiast do kwestii wydania rozporządzenia określającego wymagania obowiązujące przy prowadzeniu żywienia zbiorowego</w:t>
      </w:r>
      <w:r w:rsidR="00992FD0" w:rsidRPr="00EC250C">
        <w:t xml:space="preserve"> w </w:t>
      </w:r>
      <w:r w:rsidRPr="00EC250C">
        <w:t>szpitalach, Minister poinformował, że ustawa</w:t>
      </w:r>
      <w:r w:rsidR="00992FD0" w:rsidRPr="00EC250C">
        <w:t xml:space="preserve"> o </w:t>
      </w:r>
      <w:r w:rsidRPr="00EC250C">
        <w:t>bezpieczeństwie żywności</w:t>
      </w:r>
      <w:r w:rsidR="00992FD0" w:rsidRPr="00EC250C">
        <w:t xml:space="preserve"> i </w:t>
      </w:r>
      <w:r w:rsidRPr="00EC250C">
        <w:t>żywienia nie zobowiązuje go do wydania takiego rozporządzenia,</w:t>
      </w:r>
      <w:r w:rsidR="00992FD0" w:rsidRPr="00EC250C">
        <w:t xml:space="preserve"> a </w:t>
      </w:r>
      <w:r w:rsidRPr="00EC250C">
        <w:t>wyłącznie daje mu taką możliwość</w:t>
      </w:r>
      <w:r w:rsidRPr="00EC250C">
        <w:rPr>
          <w:bCs/>
          <w:iCs/>
          <w:vertAlign w:val="superscript"/>
        </w:rPr>
        <w:footnoteReference w:id="529"/>
      </w:r>
      <w:r w:rsidRPr="00EC250C">
        <w:t>.</w:t>
      </w:r>
    </w:p>
    <w:p w14:paraId="6A3296EC" w14:textId="77777777" w:rsidR="00B1044B" w:rsidRPr="00EC250C" w:rsidRDefault="00B1044B" w:rsidP="00D131FA">
      <w:pPr>
        <w:spacing w:after="200" w:line="24" w:lineRule="auto"/>
        <w:jc w:val="both"/>
        <w:rPr>
          <w:spacing w:val="5"/>
          <w:sz w:val="24"/>
        </w:rPr>
      </w:pPr>
      <w:r w:rsidRPr="00EC250C">
        <w:rPr>
          <w:sz w:val="24"/>
        </w:rPr>
        <w:br w:type="page"/>
      </w:r>
    </w:p>
    <w:p w14:paraId="31D4D33F" w14:textId="77777777" w:rsidR="00B1044B" w:rsidRPr="00EC250C" w:rsidRDefault="00B1044B" w:rsidP="00EC250C">
      <w:pPr>
        <w:pStyle w:val="Nagwek3"/>
      </w:pPr>
      <w:bookmarkStart w:id="540" w:name="_Toc6257878"/>
      <w:bookmarkStart w:id="541" w:name="_Toc7113843"/>
      <w:bookmarkStart w:id="542" w:name="_Toc11247757"/>
      <w:r w:rsidRPr="00EC250C">
        <w:lastRenderedPageBreak/>
        <w:t xml:space="preserve">Art. 68 ust. 3 </w:t>
      </w:r>
      <w:bookmarkStart w:id="543" w:name="_Hlk536703510"/>
      <w:r w:rsidRPr="00EC250C">
        <w:t>Konstytucji</w:t>
      </w:r>
      <w:r w:rsidR="00026572" w:rsidRPr="00EC250C">
        <w:t xml:space="preserve"> – </w:t>
      </w:r>
      <w:r w:rsidRPr="00EC250C">
        <w:t>Prawo do szczególnej opieki zdrowotnej dla grup wrażliwych</w:t>
      </w:r>
      <w:bookmarkEnd w:id="540"/>
      <w:bookmarkEnd w:id="541"/>
      <w:bookmarkEnd w:id="542"/>
      <w:bookmarkEnd w:id="543"/>
    </w:p>
    <w:p w14:paraId="4CB8E6DC" w14:textId="77777777" w:rsidR="00B1044B" w:rsidRPr="00EC250C" w:rsidRDefault="00B1044B" w:rsidP="00D131FA">
      <w:pPr>
        <w:pStyle w:val="konstytucja"/>
        <w:jc w:val="both"/>
      </w:pPr>
      <w:r w:rsidRPr="00EC250C">
        <w:t>Władze publiczne są obowiązane do zapewnienia szczególnej opieki zdrowotnej dzieciom, kobietom ciężarnym, osobom niepełnosprawnym</w:t>
      </w:r>
      <w:r w:rsidR="00992FD0" w:rsidRPr="00EC250C">
        <w:t xml:space="preserve"> i </w:t>
      </w:r>
      <w:r w:rsidRPr="00EC250C">
        <w:t>osobom</w:t>
      </w:r>
      <w:r w:rsidR="00992FD0" w:rsidRPr="00EC250C">
        <w:t xml:space="preserve"> w </w:t>
      </w:r>
      <w:r w:rsidRPr="00EC250C">
        <w:t>podeszłym wieku.</w:t>
      </w:r>
    </w:p>
    <w:p w14:paraId="6C7D70FE" w14:textId="77777777" w:rsidR="00C91F6E" w:rsidRPr="00EC250C" w:rsidRDefault="00B1044B" w:rsidP="00D131FA">
      <w:pPr>
        <w:pStyle w:val="ComwiKonstytucja"/>
      </w:pPr>
      <w:r w:rsidRPr="00EC250C">
        <w:t>Konieczność zapewnienia szczególnej opieki zdrowotnej dzieciom, kobietom ciężarnym, osobom</w:t>
      </w:r>
      <w:r w:rsidR="00992FD0" w:rsidRPr="00EC250C">
        <w:t xml:space="preserve"> z </w:t>
      </w:r>
      <w:r w:rsidRPr="00EC250C">
        <w:t>niepełnosprawnościami</w:t>
      </w:r>
      <w:r w:rsidR="00992FD0" w:rsidRPr="00EC250C">
        <w:t xml:space="preserve"> i w </w:t>
      </w:r>
      <w:r w:rsidRPr="00EC250C">
        <w:t>podeszłym wieku stanowi wyjątek od obowiązku zapewnienia wszystkim obywatelom – niezależnie od ich sytuacji materialnej – równego dostępu do świadczeń opieki zdrowotnej finansowanych ze środków publicznych.</w:t>
      </w:r>
    </w:p>
    <w:p w14:paraId="2364AFC5" w14:textId="77777777" w:rsidR="00C91F6E" w:rsidRPr="00EC250C" w:rsidRDefault="00B1044B" w:rsidP="00D131FA">
      <w:pPr>
        <w:pStyle w:val="ComwiKonstytucja"/>
      </w:pPr>
      <w:r w:rsidRPr="00EC250C">
        <w:t>Art. 68 ust. 3 nie jest uważany za źródło praw podmiotowych dla wymienionych</w:t>
      </w:r>
      <w:r w:rsidR="00992FD0" w:rsidRPr="00EC250C">
        <w:t xml:space="preserve"> w </w:t>
      </w:r>
      <w:r w:rsidRPr="00EC250C">
        <w:t>nim osób. Nie oznacza to jednak, że władze publiczne mogą lekceważyć wynikające</w:t>
      </w:r>
      <w:r w:rsidR="00992FD0" w:rsidRPr="00EC250C">
        <w:t xml:space="preserve"> z </w:t>
      </w:r>
      <w:r w:rsidRPr="00EC250C">
        <w:t>niego obowiązki.</w:t>
      </w:r>
    </w:p>
    <w:p w14:paraId="68B7D6D4" w14:textId="77777777" w:rsidR="00B1044B" w:rsidRPr="00EC250C" w:rsidRDefault="00B1044B" w:rsidP="00D131FA">
      <w:pPr>
        <w:pStyle w:val="ComwiKonstytucja"/>
      </w:pPr>
      <w:r w:rsidRPr="00EC250C">
        <w:t>Nie można jednoznacznie stwierdzić, jakie konkretne działania, zgodnie</w:t>
      </w:r>
      <w:r w:rsidR="00992FD0" w:rsidRPr="00EC250C">
        <w:t xml:space="preserve"> z </w:t>
      </w:r>
      <w:r w:rsidRPr="00EC250C">
        <w:t>wolą twórców Konstytucji należałoby zaliczyć do szczególnej opieki zdrowotnej. Władze publiczne mają</w:t>
      </w:r>
      <w:r w:rsidR="00992FD0" w:rsidRPr="00EC250C">
        <w:t xml:space="preserve"> w </w:t>
      </w:r>
      <w:r w:rsidRPr="00EC250C">
        <w:t>tym zakresie daleko idącą swobodę.</w:t>
      </w:r>
    </w:p>
    <w:p w14:paraId="6FB9810B" w14:textId="77777777" w:rsidR="00B1044B" w:rsidRPr="00EC250C" w:rsidRDefault="00B1044B" w:rsidP="00D131FA">
      <w:pPr>
        <w:spacing w:after="200" w:line="24" w:lineRule="auto"/>
        <w:jc w:val="both"/>
        <w:rPr>
          <w:rFonts w:eastAsiaTheme="minorHAnsi"/>
          <w:b/>
          <w:bCs/>
          <w:i/>
          <w:sz w:val="32"/>
          <w:szCs w:val="32"/>
        </w:rPr>
      </w:pPr>
      <w:r w:rsidRPr="00EC250C">
        <w:rPr>
          <w:sz w:val="24"/>
        </w:rPr>
        <w:br w:type="page"/>
      </w:r>
    </w:p>
    <w:p w14:paraId="3A9870C4" w14:textId="77777777" w:rsidR="00B1044B" w:rsidRPr="00EC250C" w:rsidRDefault="00B1044B" w:rsidP="00EC79EB">
      <w:pPr>
        <w:pStyle w:val="Nagwek4"/>
      </w:pPr>
      <w:bookmarkStart w:id="544" w:name="_Toc6257879"/>
      <w:bookmarkStart w:id="545" w:name="_Toc7113844"/>
      <w:bookmarkStart w:id="546" w:name="_Toc11247758"/>
      <w:r w:rsidRPr="00EC250C">
        <w:lastRenderedPageBreak/>
        <w:t>Problemy dotyczące opieki zdrowotnej nad dziećmi</w:t>
      </w:r>
      <w:bookmarkEnd w:id="544"/>
      <w:bookmarkEnd w:id="545"/>
      <w:bookmarkEnd w:id="546"/>
    </w:p>
    <w:p w14:paraId="052AED18" w14:textId="77777777" w:rsidR="00C91F6E" w:rsidRPr="00EC250C" w:rsidRDefault="00B1044B" w:rsidP="00EC250C">
      <w:pPr>
        <w:pStyle w:val="Nagwek5"/>
      </w:pPr>
      <w:r w:rsidRPr="00EC250C">
        <w:t>Dramatyczna sytuacja psychiatrii dziecięcej</w:t>
      </w:r>
    </w:p>
    <w:p w14:paraId="5AD655AF" w14:textId="77777777" w:rsidR="00B473F5" w:rsidRPr="00EC250C" w:rsidRDefault="00B1044B" w:rsidP="00D131FA">
      <w:pPr>
        <w:pStyle w:val="Problemczowieka"/>
        <w:jc w:val="both"/>
        <w:rPr>
          <w:bdr w:val="none" w:sz="0" w:space="0" w:color="auto" w:frame="1"/>
        </w:rPr>
      </w:pPr>
      <w:r w:rsidRPr="00EC250C">
        <w:rPr>
          <w:bdr w:val="none" w:sz="0" w:space="0" w:color="auto" w:frame="1"/>
        </w:rPr>
        <w:t>Miejsc</w:t>
      </w:r>
      <w:r w:rsidR="00992FD0" w:rsidRPr="00EC250C">
        <w:rPr>
          <w:bdr w:val="none" w:sz="0" w:space="0" w:color="auto" w:frame="1"/>
        </w:rPr>
        <w:t xml:space="preserve"> w </w:t>
      </w:r>
      <w:r w:rsidRPr="00EC250C">
        <w:rPr>
          <w:bdr w:val="none" w:sz="0" w:space="0" w:color="auto" w:frame="1"/>
        </w:rPr>
        <w:t>szpitalach psychiatrycznych dla dzieci jest za mało,</w:t>
      </w:r>
      <w:r w:rsidR="00992FD0" w:rsidRPr="00EC250C">
        <w:rPr>
          <w:bdr w:val="none" w:sz="0" w:space="0" w:color="auto" w:frame="1"/>
        </w:rPr>
        <w:t xml:space="preserve"> a </w:t>
      </w:r>
      <w:r w:rsidRPr="00EC250C">
        <w:rPr>
          <w:bdr w:val="none" w:sz="0" w:space="0" w:color="auto" w:frame="1"/>
        </w:rPr>
        <w:t>zamykane są kolejne oddziały. Tymczasem zdrowie psychiczne jest podstawowym dobrem człowieka,</w:t>
      </w:r>
      <w:r w:rsidR="00992FD0" w:rsidRPr="00EC250C">
        <w:rPr>
          <w:bdr w:val="none" w:sz="0" w:space="0" w:color="auto" w:frame="1"/>
        </w:rPr>
        <w:t xml:space="preserve"> a </w:t>
      </w:r>
      <w:r w:rsidRPr="00EC250C">
        <w:rPr>
          <w:bdr w:val="none" w:sz="0" w:space="0" w:color="auto" w:frame="1"/>
        </w:rPr>
        <w:t>zdrowie psychiczne dzieci ma wpływ na całe ich dalsze życie</w:t>
      </w:r>
      <w:r w:rsidR="00B473F5" w:rsidRPr="00EC250C">
        <w:rPr>
          <w:bdr w:val="none" w:sz="0" w:space="0" w:color="auto" w:frame="1"/>
        </w:rPr>
        <w:t>.</w:t>
      </w:r>
    </w:p>
    <w:p w14:paraId="6BA1FB9B" w14:textId="77777777" w:rsidR="00B1044B" w:rsidRPr="00EC250C" w:rsidRDefault="00B1044B" w:rsidP="00D131FA">
      <w:pPr>
        <w:pStyle w:val="Styl1"/>
        <w:rPr>
          <w:rFonts w:ascii="Open Sans Regular" w:hAnsi="Open Sans Regular"/>
        </w:rPr>
      </w:pPr>
      <w:r w:rsidRPr="00EC250C">
        <w:rPr>
          <w:bdr w:val="none" w:sz="0" w:space="0" w:color="auto" w:frame="1"/>
        </w:rPr>
        <w:t>RPO przyłączył się do apelu konsultantki krajowej</w:t>
      </w:r>
      <w:r w:rsidR="00992FD0" w:rsidRPr="00EC250C">
        <w:rPr>
          <w:bdr w:val="none" w:sz="0" w:space="0" w:color="auto" w:frame="1"/>
        </w:rPr>
        <w:t xml:space="preserve"> w </w:t>
      </w:r>
      <w:r w:rsidRPr="00EC250C">
        <w:rPr>
          <w:bdr w:val="none" w:sz="0" w:space="0" w:color="auto" w:frame="1"/>
        </w:rPr>
        <w:t>dziedzinie psychiatrii dzieci</w:t>
      </w:r>
      <w:r w:rsidR="00992FD0" w:rsidRPr="00EC250C">
        <w:rPr>
          <w:bdr w:val="none" w:sz="0" w:space="0" w:color="auto" w:frame="1"/>
        </w:rPr>
        <w:t xml:space="preserve"> i </w:t>
      </w:r>
      <w:r w:rsidRPr="00EC250C">
        <w:rPr>
          <w:bdr w:val="none" w:sz="0" w:space="0" w:color="auto" w:frame="1"/>
        </w:rPr>
        <w:t>młodzieży</w:t>
      </w:r>
      <w:r w:rsidR="00992FD0" w:rsidRPr="00EC250C">
        <w:rPr>
          <w:bdr w:val="none" w:sz="0" w:space="0" w:color="auto" w:frame="1"/>
        </w:rPr>
        <w:t xml:space="preserve"> o </w:t>
      </w:r>
      <w:r w:rsidRPr="00EC250C">
        <w:rPr>
          <w:bdr w:val="none" w:sz="0" w:space="0" w:color="auto" w:frame="1"/>
        </w:rPr>
        <w:t>zapewnienie ciągłości świadczeń psychiatrycznych dla najmłodszych</w:t>
      </w:r>
      <w:r w:rsidR="00992FD0" w:rsidRPr="00EC250C">
        <w:rPr>
          <w:bdr w:val="none" w:sz="0" w:space="0" w:color="auto" w:frame="1"/>
        </w:rPr>
        <w:t xml:space="preserve"> w </w:t>
      </w:r>
      <w:r w:rsidRPr="00EC250C">
        <w:rPr>
          <w:bdr w:val="none" w:sz="0" w:space="0" w:color="auto" w:frame="1"/>
        </w:rPr>
        <w:t>stanie zagrożenia życia</w:t>
      </w:r>
      <w:r w:rsidRPr="00EC250C">
        <w:rPr>
          <w:rStyle w:val="Odwoanieprzypisudolnego"/>
          <w:rFonts w:eastAsiaTheme="majorEastAsia"/>
          <w:bCs/>
        </w:rPr>
        <w:footnoteReference w:id="530"/>
      </w:r>
      <w:r w:rsidRPr="00EC250C">
        <w:rPr>
          <w:bdr w:val="none" w:sz="0" w:space="0" w:color="auto" w:frame="1"/>
        </w:rPr>
        <w:t xml:space="preserve">. </w:t>
      </w:r>
      <w:r w:rsidRPr="00EC250C">
        <w:t>Wystosowała ona do Ministra Zdrowia dramatyczny apel</w:t>
      </w:r>
      <w:r w:rsidR="00992FD0" w:rsidRPr="00EC250C">
        <w:t xml:space="preserve"> o </w:t>
      </w:r>
      <w:r w:rsidRPr="00EC250C">
        <w:t>zapewnienie ciągłości świadczeń psychiatrycznych dla dzieci</w:t>
      </w:r>
      <w:r w:rsidR="00992FD0" w:rsidRPr="00EC250C">
        <w:t xml:space="preserve"> i </w:t>
      </w:r>
      <w:r w:rsidRPr="00EC250C">
        <w:t>młodzieży</w:t>
      </w:r>
      <w:r w:rsidR="00992FD0" w:rsidRPr="00EC250C">
        <w:t xml:space="preserve"> w </w:t>
      </w:r>
      <w:r w:rsidRPr="00EC250C">
        <w:t>stanie zagrożenia życia oraz</w:t>
      </w:r>
      <w:r w:rsidR="00992FD0" w:rsidRPr="00EC250C">
        <w:t xml:space="preserve"> o </w:t>
      </w:r>
      <w:r w:rsidRPr="00EC250C">
        <w:t>zwiększenie poziomu finansowania szpitalnej</w:t>
      </w:r>
      <w:r w:rsidR="00992FD0" w:rsidRPr="00EC250C">
        <w:t xml:space="preserve"> i </w:t>
      </w:r>
      <w:r w:rsidRPr="00EC250C">
        <w:t>ambulatoryjnej ich psychiatrycznej opieki zdrowotnej.</w:t>
      </w:r>
    </w:p>
    <w:p w14:paraId="403E4BC4" w14:textId="77777777" w:rsidR="00B1044B" w:rsidRPr="00EC250C" w:rsidRDefault="00B1044B" w:rsidP="00D131FA">
      <w:pPr>
        <w:pStyle w:val="Styl1"/>
      </w:pPr>
      <w:r w:rsidRPr="00EC250C">
        <w:t>Dzieci leżące na dostawkach czy łóżkach polowych,</w:t>
      </w:r>
      <w:r w:rsidR="00992FD0" w:rsidRPr="00EC250C">
        <w:t xml:space="preserve"> a </w:t>
      </w:r>
      <w:r w:rsidRPr="00EC250C">
        <w:t>nawet odsyłane do domów, to już „standard”</w:t>
      </w:r>
      <w:r w:rsidR="00992FD0" w:rsidRPr="00EC250C">
        <w:t xml:space="preserve"> w </w:t>
      </w:r>
      <w:r w:rsidRPr="00EC250C">
        <w:t xml:space="preserve">psychiatrii dziecięcej. </w:t>
      </w:r>
      <w:r w:rsidR="00B60BBF" w:rsidRPr="00EC250C">
        <w:t>Sytuację pogarsza perspektywa zamykania kolejnych oddziałów psychiatrii dziecięcej.</w:t>
      </w:r>
    </w:p>
    <w:p w14:paraId="30ED6BC1" w14:textId="77777777" w:rsidR="00B1044B" w:rsidRPr="00EC250C" w:rsidRDefault="00B1044B" w:rsidP="00D131FA">
      <w:pPr>
        <w:pStyle w:val="Styl1"/>
      </w:pPr>
      <w:r w:rsidRPr="00EC250C">
        <w:rPr>
          <w:rFonts w:eastAsiaTheme="majorEastAsia"/>
        </w:rPr>
        <w:t>W ostatnich latach stale przybywa dzieci potrzebujących pomocy psychiatrycznej</w:t>
      </w:r>
      <w:r w:rsidRPr="00EC250C">
        <w:t>. Złożone procesy cywilizacyjne bardzo często niekorzystnie wpływają na kształtującą się psychikę młodych pacjentów, stąd też coraz więcej dzieci potrzebuje specjalistycznej opieki psychiatrycznej.</w:t>
      </w:r>
      <w:r w:rsidR="00B60BBF" w:rsidRPr="00EC250C">
        <w:t xml:space="preserve"> Na potrzebę takiej opieki wskazuje również wzrastająca liczba prób samobójczych wśród dzieci i młodzieży.</w:t>
      </w:r>
    </w:p>
    <w:p w14:paraId="1F4BA4E1" w14:textId="77777777" w:rsidR="00B1044B" w:rsidRPr="00EC250C" w:rsidRDefault="00B1044B" w:rsidP="00D131FA">
      <w:pPr>
        <w:pStyle w:val="Styl1"/>
      </w:pPr>
      <w:r w:rsidRPr="00EC250C">
        <w:t>W obecnym stanie konieczne jest, zdaniem RPO, bezzwłoczne wdrożenie działań, które</w:t>
      </w:r>
      <w:r w:rsidR="00992FD0" w:rsidRPr="00EC250C">
        <w:t xml:space="preserve"> w </w:t>
      </w:r>
      <w:r w:rsidRPr="00EC250C">
        <w:t>krótkim czasie wpłyną na poprawę dostępności do świadczeń zdrowotnych</w:t>
      </w:r>
      <w:r w:rsidR="00992FD0" w:rsidRPr="00EC250C">
        <w:t xml:space="preserve"> z </w:t>
      </w:r>
      <w:r w:rsidRPr="00EC250C">
        <w:t>zakresu psychiatrii dla dzieci</w:t>
      </w:r>
      <w:r w:rsidR="00992FD0" w:rsidRPr="00EC250C">
        <w:t xml:space="preserve"> i </w:t>
      </w:r>
      <w:r w:rsidRPr="00EC250C">
        <w:t>młodzieży.</w:t>
      </w:r>
      <w:r w:rsidR="00B60BBF" w:rsidRPr="00EC250C">
        <w:t xml:space="preserve"> Podobnego zdania są RPD i RPP, którzy podobnie jak RPO kierują apele w tej sprawie”.</w:t>
      </w:r>
    </w:p>
    <w:p w14:paraId="34011671" w14:textId="77777777" w:rsidR="00B1044B" w:rsidRPr="00EC250C" w:rsidRDefault="00B1044B" w:rsidP="00EC250C">
      <w:pPr>
        <w:pStyle w:val="Nagwek5"/>
        <w:rPr>
          <w:spacing w:val="0"/>
        </w:rPr>
      </w:pPr>
      <w:r w:rsidRPr="00EC250C">
        <w:t>Transport nieletnich do szpitali psychiatrycznych</w:t>
      </w:r>
    </w:p>
    <w:p w14:paraId="28C6CA90" w14:textId="77777777" w:rsidR="00B473F5" w:rsidRPr="00EC250C" w:rsidRDefault="00B1044B" w:rsidP="00D131FA">
      <w:pPr>
        <w:pStyle w:val="Problemczowieka"/>
        <w:jc w:val="both"/>
        <w:rPr>
          <w:bdr w:val="none" w:sz="0" w:space="0" w:color="auto" w:frame="1"/>
        </w:rPr>
      </w:pPr>
      <w:r w:rsidRPr="00EC250C">
        <w:rPr>
          <w:bdr w:val="none" w:sz="0" w:space="0" w:color="auto" w:frame="1"/>
        </w:rPr>
        <w:t>Dziewczyna cierpiąca na zaburzenia psychiczne</w:t>
      </w:r>
      <w:r w:rsidR="00992FD0" w:rsidRPr="00EC250C">
        <w:rPr>
          <w:bdr w:val="none" w:sz="0" w:space="0" w:color="auto" w:frame="1"/>
        </w:rPr>
        <w:t xml:space="preserve"> i </w:t>
      </w:r>
      <w:r w:rsidRPr="00EC250C">
        <w:rPr>
          <w:bdr w:val="none" w:sz="0" w:space="0" w:color="auto" w:frame="1"/>
        </w:rPr>
        <w:t>niepełnosprawna intelektualnie została przewieziona 400 km radiowozem,</w:t>
      </w:r>
      <w:r w:rsidR="00992FD0" w:rsidRPr="00EC250C">
        <w:rPr>
          <w:bdr w:val="none" w:sz="0" w:space="0" w:color="auto" w:frame="1"/>
        </w:rPr>
        <w:t xml:space="preserve"> w </w:t>
      </w:r>
      <w:r w:rsidRPr="00EC250C">
        <w:rPr>
          <w:bdr w:val="none" w:sz="0" w:space="0" w:color="auto" w:frame="1"/>
        </w:rPr>
        <w:t>asyście trzech umundurowanych funkcjonariuszy, bez opiekuna, co było dla niej traumatycznym przeżyciem</w:t>
      </w:r>
      <w:r w:rsidR="00B473F5" w:rsidRPr="00EC250C">
        <w:rPr>
          <w:bdr w:val="none" w:sz="0" w:space="0" w:color="auto" w:frame="1"/>
        </w:rPr>
        <w:t>.</w:t>
      </w:r>
    </w:p>
    <w:p w14:paraId="6D55C429" w14:textId="77777777" w:rsidR="00B1044B" w:rsidRPr="00EC250C" w:rsidRDefault="00B1044B" w:rsidP="00D131FA">
      <w:pPr>
        <w:pStyle w:val="Styl1"/>
        <w:rPr>
          <w:rFonts w:ascii="Open Sans Regular" w:hAnsi="Open Sans Regular"/>
        </w:rPr>
      </w:pPr>
      <w:r w:rsidRPr="00EC250C">
        <w:rPr>
          <w:bdr w:val="none" w:sz="0" w:space="0" w:color="auto" w:frame="1"/>
        </w:rPr>
        <w:t>Na wieść</w:t>
      </w:r>
      <w:r w:rsidR="00992FD0" w:rsidRPr="00EC250C">
        <w:rPr>
          <w:bdr w:val="none" w:sz="0" w:space="0" w:color="auto" w:frame="1"/>
        </w:rPr>
        <w:t xml:space="preserve"> o </w:t>
      </w:r>
      <w:r w:rsidRPr="00EC250C">
        <w:rPr>
          <w:bdr w:val="none" w:sz="0" w:space="0" w:color="auto" w:frame="1"/>
        </w:rPr>
        <w:t xml:space="preserve">tym </w:t>
      </w:r>
      <w:r w:rsidR="00D76DC6" w:rsidRPr="00EC250C">
        <w:rPr>
          <w:bdr w:val="none" w:sz="0" w:space="0" w:color="auto" w:frame="1"/>
        </w:rPr>
        <w:t>RPO</w:t>
      </w:r>
      <w:r w:rsidRPr="00EC250C">
        <w:rPr>
          <w:bdr w:val="none" w:sz="0" w:space="0" w:color="auto" w:frame="1"/>
        </w:rPr>
        <w:t xml:space="preserve"> skierował do Ministra Zdrowia</w:t>
      </w:r>
      <w:r w:rsidRPr="00EC250C">
        <w:rPr>
          <w:rStyle w:val="Odwoanieprzypisudolnego"/>
          <w:rFonts w:eastAsiaTheme="majorEastAsia"/>
          <w:bCs/>
        </w:rPr>
        <w:footnoteReference w:id="531"/>
      </w:r>
      <w:r w:rsidRPr="00EC250C">
        <w:rPr>
          <w:bdr w:val="none" w:sz="0" w:space="0" w:color="auto" w:frame="1"/>
        </w:rPr>
        <w:t xml:space="preserve"> wystąpienie dotyczące braku odpowiedniej regulacji prawnej warunków transportowania nieletnich do szpitali psychiatrycznych</w:t>
      </w:r>
      <w:r w:rsidR="00992FD0" w:rsidRPr="00EC250C">
        <w:rPr>
          <w:bdr w:val="none" w:sz="0" w:space="0" w:color="auto" w:frame="1"/>
        </w:rPr>
        <w:t xml:space="preserve"> i </w:t>
      </w:r>
      <w:r w:rsidRPr="00EC250C">
        <w:rPr>
          <w:bdr w:val="none" w:sz="0" w:space="0" w:color="auto" w:frame="1"/>
        </w:rPr>
        <w:t>innych zakładów leczniczych, skierowanych tam na podstawie orzeczeń sądu.</w:t>
      </w:r>
    </w:p>
    <w:p w14:paraId="0E534E89" w14:textId="77777777" w:rsidR="00B1044B" w:rsidRPr="00EC250C" w:rsidRDefault="00B1044B" w:rsidP="00D131FA">
      <w:pPr>
        <w:pStyle w:val="Styl1"/>
      </w:pPr>
      <w:r w:rsidRPr="00EC250C">
        <w:t>Nieletni mogą</w:t>
      </w:r>
      <w:r w:rsidR="00992FD0" w:rsidRPr="00EC250C">
        <w:t xml:space="preserve"> w </w:t>
      </w:r>
      <w:r w:rsidRPr="00EC250C">
        <w:t>różnych okolicznościach podlegać przymusowemu (na mocy orzeczenia sądu) umieszczeniu</w:t>
      </w:r>
      <w:r w:rsidR="00992FD0" w:rsidRPr="00EC250C">
        <w:t xml:space="preserve"> w </w:t>
      </w:r>
      <w:r w:rsidRPr="00EC250C">
        <w:t>szpitalu psychiatrycznym lub innym zakładzie leczniczym. Przepisy nie regulują dostatecznie sposobu transportowania ich</w:t>
      </w:r>
      <w:r w:rsidR="00992FD0" w:rsidRPr="00EC250C">
        <w:t xml:space="preserve"> w </w:t>
      </w:r>
      <w:r w:rsidRPr="00EC250C">
        <w:t xml:space="preserve">takich sytuacjach. Jedyna konkretna norma to </w:t>
      </w:r>
      <w:r w:rsidRPr="00EC250C">
        <w:lastRenderedPageBreak/>
        <w:t>§7 rozporządzenia Ministra Zdrowia</w:t>
      </w:r>
      <w:r w:rsidR="00992FD0" w:rsidRPr="00EC250C">
        <w:t xml:space="preserve"> z </w:t>
      </w:r>
      <w:r w:rsidRPr="00EC250C">
        <w:t>dnia 20 kwietnia 2005</w:t>
      </w:r>
      <w:r w:rsidR="00C91F6E" w:rsidRPr="00EC250C">
        <w:t> r.</w:t>
      </w:r>
      <w:r w:rsidR="00992FD0" w:rsidRPr="00EC250C">
        <w:t xml:space="preserve"> w </w:t>
      </w:r>
      <w:r w:rsidRPr="00EC250C">
        <w:t>sprawie szczegółowych zasad kierowania, przyjmowania, przenoszenia, zwalniania</w:t>
      </w:r>
      <w:r w:rsidR="00992FD0" w:rsidRPr="00EC250C">
        <w:t xml:space="preserve"> i </w:t>
      </w:r>
      <w:r w:rsidRPr="00EC250C">
        <w:t>pobytu nieletnich</w:t>
      </w:r>
      <w:r w:rsidR="00992FD0" w:rsidRPr="00EC250C">
        <w:t xml:space="preserve"> w </w:t>
      </w:r>
      <w:r w:rsidRPr="00EC250C">
        <w:t>publicznych zakładach opieki zdrowotnej</w:t>
      </w:r>
      <w:r w:rsidRPr="00EC250C">
        <w:rPr>
          <w:rStyle w:val="Odwoanieprzypisudolnego"/>
          <w:rFonts w:eastAsiaTheme="majorEastAsia"/>
          <w:bCs/>
        </w:rPr>
        <w:footnoteReference w:id="532"/>
      </w:r>
      <w:r w:rsidRPr="00EC250C">
        <w:t>. Jest ona jednak niepełna.</w:t>
      </w:r>
    </w:p>
    <w:p w14:paraId="2CF89824" w14:textId="77777777" w:rsidR="00B1044B" w:rsidRPr="00EC250C" w:rsidRDefault="00B1044B" w:rsidP="00D131FA">
      <w:pPr>
        <w:pStyle w:val="Styl1"/>
      </w:pPr>
      <w:r w:rsidRPr="00EC250C">
        <w:t>Po pierwsze wskazuje jedynie podmioty odpowiedzialne za zorganizowanie transportu (sąd</w:t>
      </w:r>
      <w:r w:rsidR="00992FD0" w:rsidRPr="00EC250C">
        <w:t xml:space="preserve"> i </w:t>
      </w:r>
      <w:r w:rsidRPr="00EC250C">
        <w:t>zakład leczniczy). Nie określa natomiast</w:t>
      </w:r>
      <w:r w:rsidR="00992FD0" w:rsidRPr="00EC250C">
        <w:t xml:space="preserve"> w </w:t>
      </w:r>
      <w:r w:rsidRPr="00EC250C">
        <w:t>ogóle warunków transportowania,</w:t>
      </w:r>
      <w:r w:rsidR="00992FD0" w:rsidRPr="00EC250C">
        <w:t xml:space="preserve"> w </w:t>
      </w:r>
      <w:r w:rsidRPr="00EC250C">
        <w:t>szczególności nie gwarantuje nieletniemu obywatelowi obecności jego opiekuna prawnego lub personelu medycznego.</w:t>
      </w:r>
    </w:p>
    <w:p w14:paraId="57F163A9" w14:textId="77777777" w:rsidR="00C91F6E" w:rsidRPr="00EC250C" w:rsidRDefault="00B1044B" w:rsidP="00D131FA">
      <w:pPr>
        <w:pStyle w:val="Styl1"/>
      </w:pPr>
      <w:r w:rsidRPr="00EC250C">
        <w:t>Po drugie, przepis ten odnosi się jedynie do wykonania prawomocnie orzeczonego środka leczniczego. Brak jest analogicznej regulacji dotyczącej pobytów tymczasowych.</w:t>
      </w:r>
    </w:p>
    <w:p w14:paraId="62892847" w14:textId="77777777" w:rsidR="008923D0" w:rsidRPr="00EC250C" w:rsidRDefault="008923D0" w:rsidP="00D131FA">
      <w:pPr>
        <w:pStyle w:val="Styl1"/>
      </w:pPr>
      <w:r w:rsidRPr="00EC250C">
        <w:t>Informacje statystyczne za rok 2017, uzyskane w Departamencie Zdrowia Publicznego Ministerstwa Zdrowia, obrazują różnorodność praktyk stosowanych w placówkach leczniczych w tym zakresie:</w:t>
      </w:r>
    </w:p>
    <w:p w14:paraId="42DB1C7C" w14:textId="77777777" w:rsidR="008923D0" w:rsidRPr="00EC250C" w:rsidRDefault="008923D0" w:rsidP="006C70B7">
      <w:pPr>
        <w:pStyle w:val="Styl1"/>
        <w:numPr>
          <w:ilvl w:val="0"/>
          <w:numId w:val="57"/>
        </w:numPr>
      </w:pPr>
      <w:r w:rsidRPr="00EC250C">
        <w:t>tylko w przypadku czterech placówek nieletni zostali dowiezieni do nich transportem sanitarnym.</w:t>
      </w:r>
    </w:p>
    <w:p w14:paraId="6AE0A214" w14:textId="77777777" w:rsidR="008923D0" w:rsidRPr="00EC250C" w:rsidRDefault="008923D0" w:rsidP="006C70B7">
      <w:pPr>
        <w:pStyle w:val="Styl1"/>
        <w:numPr>
          <w:ilvl w:val="0"/>
          <w:numId w:val="57"/>
        </w:numPr>
      </w:pPr>
      <w:r w:rsidRPr="00EC250C">
        <w:t>były takie, w których dominował transport własny (rodzina, ośrodek wychowawczy itp.).</w:t>
      </w:r>
    </w:p>
    <w:p w14:paraId="46B6BBB9" w14:textId="77777777" w:rsidR="008923D0" w:rsidRPr="00EC250C" w:rsidRDefault="008923D0" w:rsidP="006C70B7">
      <w:pPr>
        <w:pStyle w:val="Styl1"/>
        <w:numPr>
          <w:ilvl w:val="0"/>
          <w:numId w:val="57"/>
        </w:numPr>
      </w:pPr>
      <w:r w:rsidRPr="00EC250C">
        <w:t>w połowie z nich transport odbył się pojazdem policyjnym(w jednym ze szpitali, na 119 dowiezionych do niego nieletnich, aż 50 przybyło tym właśnie środkiem transportu).</w:t>
      </w:r>
    </w:p>
    <w:p w14:paraId="6B4C75C1" w14:textId="77777777" w:rsidR="00B1044B" w:rsidRPr="00EC250C" w:rsidRDefault="00D76DC6" w:rsidP="00D131FA">
      <w:pPr>
        <w:pStyle w:val="Styl1"/>
      </w:pPr>
      <w:r w:rsidRPr="00EC250C">
        <w:t>RPO</w:t>
      </w:r>
      <w:r w:rsidR="00B1044B" w:rsidRPr="00EC250C">
        <w:t xml:space="preserve"> zwrócił uwagę, że nieletni, których sąd skierował do szpitala psychiatrycznego, znajdują się</w:t>
      </w:r>
      <w:r w:rsidR="00992FD0" w:rsidRPr="00EC250C">
        <w:t xml:space="preserve"> w </w:t>
      </w:r>
      <w:r w:rsidR="00B1044B" w:rsidRPr="00EC250C">
        <w:t>sytuacji,</w:t>
      </w:r>
      <w:r w:rsidR="00992FD0" w:rsidRPr="00EC250C">
        <w:t xml:space="preserve"> w </w:t>
      </w:r>
      <w:r w:rsidR="00B1044B" w:rsidRPr="00EC250C">
        <w:t>której potrzebna jest im szczególna opieka. Potrzebują wsparcia osoby bliskiej, jak również odpowiedniej opieki medycznej. Przewiezienie ich do właściwej placówki może trwać wiele godzin. Pozostawienie ich</w:t>
      </w:r>
      <w:r w:rsidR="00992FD0" w:rsidRPr="00EC250C">
        <w:t xml:space="preserve"> w </w:t>
      </w:r>
      <w:r w:rsidR="00B1044B" w:rsidRPr="00EC250C">
        <w:t>tym czasie bez tej opieki stwarza zagrożenie dla ich bezpieczeństwa, zdrowia,</w:t>
      </w:r>
      <w:r w:rsidR="00992FD0" w:rsidRPr="00EC250C">
        <w:t xml:space="preserve"> a </w:t>
      </w:r>
      <w:r w:rsidR="00B1044B" w:rsidRPr="00EC250C">
        <w:t>być może</w:t>
      </w:r>
      <w:r w:rsidR="00992FD0" w:rsidRPr="00EC250C">
        <w:t xml:space="preserve"> i </w:t>
      </w:r>
      <w:r w:rsidR="00B1044B" w:rsidRPr="00EC250C">
        <w:t>życia, nie wspominając</w:t>
      </w:r>
      <w:r w:rsidR="00992FD0" w:rsidRPr="00EC250C">
        <w:t xml:space="preserve"> o </w:t>
      </w:r>
      <w:r w:rsidR="00B1044B" w:rsidRPr="00EC250C">
        <w:t>skutkach, jakie wywołać traumatyczne doświadczenie.</w:t>
      </w:r>
    </w:p>
    <w:p w14:paraId="6F4E6D3D" w14:textId="77777777" w:rsidR="00B1044B" w:rsidRPr="00EC250C" w:rsidRDefault="00B1044B" w:rsidP="00D131FA">
      <w:pPr>
        <w:pStyle w:val="Styl1"/>
        <w:rPr>
          <w:bCs/>
          <w:iCs/>
        </w:rPr>
      </w:pPr>
      <w:r w:rsidRPr="00EC250C">
        <w:rPr>
          <w:bCs/>
          <w:iCs/>
        </w:rPr>
        <w:t>Minister Zdrowia odpowiedział, że nowelizacja ustawy</w:t>
      </w:r>
      <w:r w:rsidR="00992FD0" w:rsidRPr="00EC250C">
        <w:rPr>
          <w:bCs/>
          <w:iCs/>
        </w:rPr>
        <w:t xml:space="preserve"> o </w:t>
      </w:r>
      <w:r w:rsidRPr="00EC250C">
        <w:rPr>
          <w:bCs/>
          <w:iCs/>
        </w:rPr>
        <w:t>postępowaniu</w:t>
      </w:r>
      <w:r w:rsidR="00992FD0" w:rsidRPr="00EC250C">
        <w:rPr>
          <w:bCs/>
          <w:iCs/>
        </w:rPr>
        <w:t xml:space="preserve"> w </w:t>
      </w:r>
      <w:r w:rsidRPr="00EC250C">
        <w:rPr>
          <w:bCs/>
          <w:iCs/>
        </w:rPr>
        <w:t>sprawach nieletnich powinna uwzględniać określenie m.in. zasad przyjmowania nieletniego do podmiotu leczniczego, przenoszenia</w:t>
      </w:r>
      <w:r w:rsidR="00992FD0" w:rsidRPr="00EC250C">
        <w:rPr>
          <w:bCs/>
          <w:iCs/>
        </w:rPr>
        <w:t xml:space="preserve"> i </w:t>
      </w:r>
      <w:r w:rsidRPr="00EC250C">
        <w:rPr>
          <w:bCs/>
          <w:iCs/>
        </w:rPr>
        <w:t>zwalniania</w:t>
      </w:r>
      <w:r w:rsidR="00992FD0" w:rsidRPr="00EC250C">
        <w:rPr>
          <w:bCs/>
          <w:iCs/>
        </w:rPr>
        <w:t xml:space="preserve"> z </w:t>
      </w:r>
      <w:r w:rsidRPr="00EC250C">
        <w:rPr>
          <w:bCs/>
          <w:iCs/>
        </w:rPr>
        <w:t>tego podmiotu, oraz zasad zabezpieczenia przewozu nieletnich,</w:t>
      </w:r>
      <w:r w:rsidR="00992FD0" w:rsidRPr="00EC250C">
        <w:rPr>
          <w:bCs/>
          <w:iCs/>
        </w:rPr>
        <w:t xml:space="preserve"> w </w:t>
      </w:r>
      <w:r w:rsidRPr="00EC250C">
        <w:rPr>
          <w:bCs/>
          <w:iCs/>
        </w:rPr>
        <w:t>tym pokrywania kosztów odpowiedniego transportu. Poinformował także, że zarządzeniem Ministra Sprawiedliwości powołany został Zespół do przeprowadzenia analizy dotychczasowych regulacji prawnych</w:t>
      </w:r>
      <w:r w:rsidR="00992FD0" w:rsidRPr="00EC250C">
        <w:rPr>
          <w:bCs/>
          <w:iCs/>
        </w:rPr>
        <w:t xml:space="preserve"> w </w:t>
      </w:r>
      <w:r w:rsidRPr="00EC250C">
        <w:rPr>
          <w:bCs/>
          <w:iCs/>
        </w:rPr>
        <w:t>zakresie postępowania</w:t>
      </w:r>
      <w:r w:rsidR="00992FD0" w:rsidRPr="00EC250C">
        <w:rPr>
          <w:bCs/>
          <w:iCs/>
        </w:rPr>
        <w:t xml:space="preserve"> w </w:t>
      </w:r>
      <w:r w:rsidRPr="00EC250C">
        <w:rPr>
          <w:bCs/>
          <w:iCs/>
        </w:rPr>
        <w:t>sprawach nieletnich, dostosowania tych regulacji do obowiązujących obecnie standardów</w:t>
      </w:r>
      <w:r w:rsidR="00992FD0" w:rsidRPr="00EC250C">
        <w:rPr>
          <w:bCs/>
          <w:iCs/>
        </w:rPr>
        <w:t xml:space="preserve"> i </w:t>
      </w:r>
      <w:r w:rsidRPr="00EC250C">
        <w:rPr>
          <w:bCs/>
          <w:iCs/>
        </w:rPr>
        <w:t>wypracowania nowych rozwiązań prawnych. W wyniku prac Zespołu, wypracowana została wstępna wersja projektu nowelizacji ustawy. W celu uzyskania najbardziej aktualnych informacji dotyczących projektu oraz etapu prac legislacyjnych, za zasadne należy zatem uznać zwrócenie się do Ministra Sprawiedliwości.</w:t>
      </w:r>
    </w:p>
    <w:p w14:paraId="2EC1AE61" w14:textId="77777777" w:rsidR="00B60BBF" w:rsidRPr="00EC250C" w:rsidRDefault="00B60BBF" w:rsidP="00D131FA">
      <w:pPr>
        <w:pStyle w:val="Styl1"/>
      </w:pPr>
      <w:r w:rsidRPr="00EC250C">
        <w:rPr>
          <w:bCs/>
          <w:iCs/>
        </w:rPr>
        <w:lastRenderedPageBreak/>
        <w:t xml:space="preserve">Ostatecznie kwestie związane z transportem nieletnich znalazły się opracowanym projekcie ustawy o nieletnich. Proponowane rozwiązania dalej wymagają jednak poprawy. </w:t>
      </w:r>
    </w:p>
    <w:p w14:paraId="574B8465" w14:textId="77777777" w:rsidR="00C91F6E" w:rsidRPr="00EC250C" w:rsidRDefault="00B1044B" w:rsidP="00EC250C">
      <w:pPr>
        <w:pStyle w:val="Nagwek5"/>
      </w:pPr>
      <w:r w:rsidRPr="00EC250C">
        <w:t>Podawanie leków dzieciom</w:t>
      </w:r>
      <w:r w:rsidR="00992FD0" w:rsidRPr="00EC250C">
        <w:t xml:space="preserve"> z </w:t>
      </w:r>
      <w:r w:rsidRPr="00EC250C">
        <w:t>chorobami przewlekłymi</w:t>
      </w:r>
      <w:r w:rsidR="00992FD0" w:rsidRPr="00EC250C">
        <w:t xml:space="preserve"> w </w:t>
      </w:r>
      <w:r w:rsidRPr="00EC250C">
        <w:t>przedszkolach</w:t>
      </w:r>
    </w:p>
    <w:p w14:paraId="072309A3" w14:textId="77777777" w:rsidR="00B473F5" w:rsidRPr="00EC250C" w:rsidRDefault="00B1044B" w:rsidP="00D131FA">
      <w:pPr>
        <w:pStyle w:val="Problemczowieka"/>
        <w:jc w:val="both"/>
        <w:rPr>
          <w:shd w:val="clear" w:color="auto" w:fill="FFFFFF"/>
        </w:rPr>
      </w:pPr>
      <w:r w:rsidRPr="00EC250C">
        <w:rPr>
          <w:shd w:val="clear" w:color="auto" w:fill="FFFFFF"/>
        </w:rPr>
        <w:t>Dziecko</w:t>
      </w:r>
      <w:r w:rsidR="00992FD0" w:rsidRPr="00EC250C">
        <w:rPr>
          <w:shd w:val="clear" w:color="auto" w:fill="FFFFFF"/>
        </w:rPr>
        <w:t xml:space="preserve"> z </w:t>
      </w:r>
      <w:r w:rsidRPr="00EC250C">
        <w:rPr>
          <w:shd w:val="clear" w:color="auto" w:fill="FFFFFF"/>
        </w:rPr>
        <w:t>ciężką alergią</w:t>
      </w:r>
      <w:r w:rsidR="00992FD0" w:rsidRPr="00EC250C">
        <w:rPr>
          <w:shd w:val="clear" w:color="auto" w:fill="FFFFFF"/>
        </w:rPr>
        <w:t xml:space="preserve"> w </w:t>
      </w:r>
      <w:r w:rsidRPr="00EC250C">
        <w:rPr>
          <w:shd w:val="clear" w:color="auto" w:fill="FFFFFF"/>
        </w:rPr>
        <w:t>razie wstrząsu anafilaktycznego musi natychmiast dostać adrenalinę. Dotychczas nauczyciele</w:t>
      </w:r>
      <w:r w:rsidR="00992FD0" w:rsidRPr="00EC250C">
        <w:rPr>
          <w:shd w:val="clear" w:color="auto" w:fill="FFFFFF"/>
        </w:rPr>
        <w:t xml:space="preserve"> w </w:t>
      </w:r>
      <w:r w:rsidRPr="00EC250C">
        <w:rPr>
          <w:shd w:val="clear" w:color="auto" w:fill="FFFFFF"/>
        </w:rPr>
        <w:t>przedszkolu na podstawie instrukcji lekarza godzili się</w:t>
      </w:r>
      <w:r w:rsidR="00992FD0" w:rsidRPr="00EC250C">
        <w:rPr>
          <w:shd w:val="clear" w:color="auto" w:fill="FFFFFF"/>
        </w:rPr>
        <w:t xml:space="preserve"> w </w:t>
      </w:r>
      <w:r w:rsidRPr="00EC250C">
        <w:rPr>
          <w:shd w:val="clear" w:color="auto" w:fill="FFFFFF"/>
        </w:rPr>
        <w:t>takiej sytuacji podać lek. Teraz jednak nie chcą, bo zmieniły się zasady</w:t>
      </w:r>
      <w:r w:rsidR="00992FD0" w:rsidRPr="00EC250C">
        <w:rPr>
          <w:shd w:val="clear" w:color="auto" w:fill="FFFFFF"/>
        </w:rPr>
        <w:t xml:space="preserve"> w </w:t>
      </w:r>
      <w:r w:rsidRPr="00EC250C">
        <w:rPr>
          <w:shd w:val="clear" w:color="auto" w:fill="FFFFFF"/>
        </w:rPr>
        <w:t>przedszkolu</w:t>
      </w:r>
      <w:r w:rsidR="00B473F5" w:rsidRPr="00EC250C">
        <w:rPr>
          <w:shd w:val="clear" w:color="auto" w:fill="FFFFFF"/>
        </w:rPr>
        <w:t>.</w:t>
      </w:r>
    </w:p>
    <w:p w14:paraId="663557C0" w14:textId="77777777" w:rsidR="008923D0" w:rsidRPr="00EC250C" w:rsidRDefault="008923D0" w:rsidP="00D131FA">
      <w:pPr>
        <w:pStyle w:val="Styl1"/>
      </w:pPr>
      <w:r w:rsidRPr="00EC250C">
        <w:t xml:space="preserve">W ocenie Rzecznika Praw Obywatelskich należy uregulować </w:t>
      </w:r>
      <w:r w:rsidR="002936E6" w:rsidRPr="00EC250C">
        <w:t xml:space="preserve">w przepisach </w:t>
      </w:r>
      <w:r w:rsidRPr="00EC250C">
        <w:t>zasady podawania leków czy wykonywania innych czynności dzieciom z chorobami przewlekłymi w przedszkolach. Obecnie dzieje się to na postawie komunikatów Ministerstwa Zdrowia, a to nie jest źródło prawa powszechnie obowiązującego. Sytuacja dzieci z chorobą przewlekłą, które wymagają podawania leków różnymi drogami i technikami, jest więc uzależniona wyłączenie od wewnętrznych zasad postępowania przyjętych przez przedszkola.</w:t>
      </w:r>
    </w:p>
    <w:p w14:paraId="27746107" w14:textId="77777777" w:rsidR="008923D0" w:rsidRPr="00EC250C" w:rsidRDefault="008923D0" w:rsidP="00D131FA">
      <w:pPr>
        <w:pStyle w:val="Styl1"/>
      </w:pPr>
      <w:r w:rsidRPr="00EC250C">
        <w:t>Ministerstwo Zdrowia zdecydowało się uregulować kwestię podawania leków w projekcie ustawy o zdrowiu dzieci i młodzieży w wieku szkolnym</w:t>
      </w:r>
      <w:r w:rsidR="008F4D15" w:rsidRPr="00EC250C">
        <w:rPr>
          <w:rStyle w:val="Odwoanieprzypisudolnego"/>
        </w:rPr>
        <w:footnoteReference w:id="533"/>
      </w:r>
      <w:r w:rsidRPr="00EC250C">
        <w:t>. Ustawa jednak nie</w:t>
      </w:r>
      <w:r w:rsidR="002936E6" w:rsidRPr="00EC250C">
        <w:t xml:space="preserve"> dotyczy </w:t>
      </w:r>
      <w:r w:rsidRPr="00EC250C">
        <w:t>przedszkolaków.</w:t>
      </w:r>
    </w:p>
    <w:p w14:paraId="36BB222F" w14:textId="77777777" w:rsidR="00B1044B" w:rsidRPr="00EC250C" w:rsidRDefault="00D76DC6" w:rsidP="00D131FA">
      <w:pPr>
        <w:pStyle w:val="Styl1"/>
      </w:pPr>
      <w:r w:rsidRPr="00EC250C">
        <w:t>RPO</w:t>
      </w:r>
      <w:r w:rsidR="00B1044B" w:rsidRPr="00EC250C">
        <w:t xml:space="preserve"> zwrócił się więc do Ministra Zdrowia</w:t>
      </w:r>
      <w:r w:rsidR="00992FD0" w:rsidRPr="00EC250C">
        <w:t xml:space="preserve"> o </w:t>
      </w:r>
      <w:r w:rsidR="00B1044B" w:rsidRPr="00EC250C">
        <w:t>analizę problemu</w:t>
      </w:r>
      <w:r w:rsidR="00B1044B" w:rsidRPr="00EC250C">
        <w:rPr>
          <w:rStyle w:val="Odwoanieprzypisudolnego"/>
          <w:rFonts w:eastAsiaTheme="majorEastAsia"/>
          <w:bCs/>
        </w:rPr>
        <w:footnoteReference w:id="534"/>
      </w:r>
      <w:r w:rsidR="00B1044B" w:rsidRPr="00EC250C">
        <w:t>.</w:t>
      </w:r>
    </w:p>
    <w:p w14:paraId="441B3A58" w14:textId="77777777" w:rsidR="00B1044B" w:rsidRPr="00EC250C" w:rsidRDefault="00B1044B" w:rsidP="00D131FA">
      <w:pPr>
        <w:pStyle w:val="Styl1"/>
        <w:rPr>
          <w:bCs/>
          <w:iCs/>
        </w:rPr>
      </w:pPr>
      <w:r w:rsidRPr="00EC250C">
        <w:rPr>
          <w:bCs/>
          <w:iCs/>
        </w:rPr>
        <w:t>Minister</w:t>
      </w:r>
      <w:r w:rsidRPr="00EC250C">
        <w:rPr>
          <w:b/>
          <w:bCs/>
          <w:iCs/>
        </w:rPr>
        <w:t xml:space="preserve"> </w:t>
      </w:r>
      <w:r w:rsidRPr="00EC250C">
        <w:rPr>
          <w:bCs/>
          <w:iCs/>
        </w:rPr>
        <w:t>poinformował, że skoro trwają prace nad projektem ustawy</w:t>
      </w:r>
      <w:r w:rsidR="00992FD0" w:rsidRPr="00EC250C">
        <w:rPr>
          <w:bCs/>
          <w:iCs/>
        </w:rPr>
        <w:t xml:space="preserve"> o </w:t>
      </w:r>
      <w:r w:rsidRPr="00EC250C">
        <w:rPr>
          <w:bCs/>
          <w:iCs/>
        </w:rPr>
        <w:t>opiece zdrowotnej nad uczniami, nie wyklucza to możliwości zastosowania</w:t>
      </w:r>
      <w:r w:rsidR="00992FD0" w:rsidRPr="00EC250C">
        <w:rPr>
          <w:bCs/>
          <w:iCs/>
        </w:rPr>
        <w:t xml:space="preserve"> w </w:t>
      </w:r>
      <w:r w:rsidRPr="00EC250C">
        <w:rPr>
          <w:bCs/>
          <w:iCs/>
        </w:rPr>
        <w:t>przyszłości tych rozwiązań</w:t>
      </w:r>
      <w:r w:rsidR="00992FD0" w:rsidRPr="00EC250C">
        <w:rPr>
          <w:bCs/>
          <w:iCs/>
        </w:rPr>
        <w:t xml:space="preserve"> w </w:t>
      </w:r>
      <w:r w:rsidRPr="00EC250C">
        <w:rPr>
          <w:bCs/>
          <w:iCs/>
        </w:rPr>
        <w:t>odniesieniu do przedszkolaków.</w:t>
      </w:r>
    </w:p>
    <w:p w14:paraId="639A1091" w14:textId="77777777" w:rsidR="00C91F6E" w:rsidRPr="00EC250C" w:rsidRDefault="00B1044B" w:rsidP="00EC250C">
      <w:pPr>
        <w:pStyle w:val="Nagwek5"/>
      </w:pPr>
      <w:r w:rsidRPr="00EC250C">
        <w:t>Problem sztucznego przedłużania pobytu dzieci</w:t>
      </w:r>
      <w:r w:rsidR="00992FD0" w:rsidRPr="00EC250C">
        <w:t xml:space="preserve"> w </w:t>
      </w:r>
      <w:r w:rsidRPr="00EC250C">
        <w:t>szpitalach</w:t>
      </w:r>
    </w:p>
    <w:p w14:paraId="287A7946" w14:textId="77777777" w:rsidR="00B473F5" w:rsidRPr="00EC250C" w:rsidRDefault="00B1044B" w:rsidP="00D131FA">
      <w:pPr>
        <w:pStyle w:val="Problemczowieka"/>
        <w:jc w:val="both"/>
        <w:rPr>
          <w:bdr w:val="none" w:sz="0" w:space="0" w:color="auto" w:frame="1"/>
        </w:rPr>
      </w:pPr>
      <w:r w:rsidRPr="00EC250C">
        <w:rPr>
          <w:bdr w:val="none" w:sz="0" w:space="0" w:color="auto" w:frame="1"/>
        </w:rPr>
        <w:t>Oddziały</w:t>
      </w:r>
      <w:r w:rsidR="00992FD0" w:rsidRPr="00EC250C">
        <w:rPr>
          <w:bdr w:val="none" w:sz="0" w:space="0" w:color="auto" w:frame="1"/>
        </w:rPr>
        <w:t xml:space="preserve"> i </w:t>
      </w:r>
      <w:r w:rsidRPr="00EC250C">
        <w:rPr>
          <w:bdr w:val="none" w:sz="0" w:space="0" w:color="auto" w:frame="1"/>
        </w:rPr>
        <w:t>szpitale pediatryczne przedłużają pobyt dzieci do trzech dni bez medycznej konieczności, bo chcą otrzymać pełną refundację świadczenia</w:t>
      </w:r>
      <w:r w:rsidR="00B473F5" w:rsidRPr="00EC250C">
        <w:rPr>
          <w:bdr w:val="none" w:sz="0" w:space="0" w:color="auto" w:frame="1"/>
        </w:rPr>
        <w:t>.</w:t>
      </w:r>
    </w:p>
    <w:p w14:paraId="7D8B29CC" w14:textId="77777777" w:rsidR="00B1044B" w:rsidRPr="00EC250C" w:rsidRDefault="00B1044B" w:rsidP="00D131FA">
      <w:pPr>
        <w:pStyle w:val="Styl1"/>
      </w:pPr>
      <w:r w:rsidRPr="00EC250C">
        <w:t>Praktyka przedłużania pobytu dzieci wiąże się</w:t>
      </w:r>
      <w:r w:rsidR="00992FD0" w:rsidRPr="00EC250C">
        <w:t xml:space="preserve"> z </w:t>
      </w:r>
      <w:r w:rsidRPr="00EC250C">
        <w:t>dokonaną 1 października 2017</w:t>
      </w:r>
      <w:r w:rsidR="00C91F6E" w:rsidRPr="00EC250C">
        <w:t> r.</w:t>
      </w:r>
      <w:r w:rsidRPr="00EC250C">
        <w:t xml:space="preserve"> modyfikacją zasad finansowania krótkich hospitalizacji zachowawczych. Miała ona zachęcić placówki do udzielania pomocy szpitalnej</w:t>
      </w:r>
      <w:r w:rsidR="00992FD0" w:rsidRPr="00EC250C">
        <w:t xml:space="preserve"> w </w:t>
      </w:r>
      <w:r w:rsidRPr="00EC250C">
        <w:t>ciągu 1-2 dni. Aby pobyt</w:t>
      </w:r>
      <w:r w:rsidR="00992FD0" w:rsidRPr="00EC250C">
        <w:t xml:space="preserve"> w </w:t>
      </w:r>
      <w:r w:rsidRPr="00EC250C">
        <w:t>szpitalu był sklasyfikowany drożej, musi trwać więc aż trzy dni. Szpitale zareagowały na to przeciągając krótkie hospitalizacje do trzech dni.</w:t>
      </w:r>
    </w:p>
    <w:p w14:paraId="5ECF803A" w14:textId="77777777" w:rsidR="00B1044B" w:rsidRPr="00EC250C" w:rsidRDefault="00B1044B" w:rsidP="00D131FA">
      <w:pPr>
        <w:pStyle w:val="Styl1"/>
        <w:rPr>
          <w:rFonts w:ascii="Open Sans Regular" w:hAnsi="Open Sans Regular"/>
        </w:rPr>
      </w:pPr>
      <w:r w:rsidRPr="00EC250C">
        <w:t>RPO podkreślił, że postępowanie szpitali wynika</w:t>
      </w:r>
      <w:r w:rsidR="00992FD0" w:rsidRPr="00EC250C">
        <w:t xml:space="preserve"> z </w:t>
      </w:r>
      <w:r w:rsidRPr="00EC250C">
        <w:t>ich trudnej sytuacji finansowej. Ale skutek jest taki, że wydłużają się kolejki do leczenia</w:t>
      </w:r>
      <w:r w:rsidR="00992FD0" w:rsidRPr="00EC250C">
        <w:t xml:space="preserve"> i </w:t>
      </w:r>
      <w:r w:rsidRPr="00EC250C">
        <w:t>rośnie ryzyko zakażeń małych pacjentów, dla których niekorzystny jest też każdy dzień rozłąki</w:t>
      </w:r>
      <w:r w:rsidR="00992FD0" w:rsidRPr="00EC250C">
        <w:t xml:space="preserve"> z </w:t>
      </w:r>
      <w:r w:rsidRPr="00EC250C">
        <w:t>rodzicami.</w:t>
      </w:r>
    </w:p>
    <w:p w14:paraId="59771A7E" w14:textId="77777777" w:rsidR="00B1044B" w:rsidRPr="00EC250C" w:rsidRDefault="00D76DC6" w:rsidP="00D131FA">
      <w:pPr>
        <w:pStyle w:val="Styl1"/>
      </w:pPr>
      <w:r w:rsidRPr="00EC250C">
        <w:lastRenderedPageBreak/>
        <w:t>RPO</w:t>
      </w:r>
      <w:r w:rsidR="00B1044B" w:rsidRPr="00EC250C">
        <w:t xml:space="preserve"> zwrócił uwagę na problem Prezesowi NFZ. Ten odpowiedział, że Fundusz stwierdził istotnie, że</w:t>
      </w:r>
      <w:r w:rsidR="00992FD0" w:rsidRPr="00EC250C">
        <w:t xml:space="preserve"> w </w:t>
      </w:r>
      <w:r w:rsidR="00B1044B" w:rsidRPr="00EC250C">
        <w:t>IV kwartale 2017</w:t>
      </w:r>
      <w:r w:rsidR="00C91F6E" w:rsidRPr="00EC250C">
        <w:t> r.</w:t>
      </w:r>
      <w:r w:rsidR="00B1044B" w:rsidRPr="00EC250C">
        <w:t xml:space="preserve"> (w stosunku do IV kwartału 2016</w:t>
      </w:r>
      <w:r w:rsidR="00C91F6E" w:rsidRPr="00EC250C">
        <w:t> r.</w:t>
      </w:r>
      <w:r w:rsidR="00B1044B" w:rsidRPr="00EC250C">
        <w:t>) widać było, że więcej małych pacjentów przebywa</w:t>
      </w:r>
      <w:r w:rsidR="00992FD0" w:rsidRPr="00EC250C">
        <w:t xml:space="preserve"> w </w:t>
      </w:r>
      <w:r w:rsidR="00B1044B" w:rsidRPr="00EC250C">
        <w:t>szpitalach dłużej. Jednak</w:t>
      </w:r>
      <w:r w:rsidR="00992FD0" w:rsidRPr="00EC250C">
        <w:t xml:space="preserve"> w </w:t>
      </w:r>
      <w:r w:rsidR="00B1044B" w:rsidRPr="00EC250C">
        <w:t>roku 2018, po zmianie parametrów tak, by wskaźnik finansowania krótszych hospitalizacji wynosił 65%, nastąpiło zmniejszenie liczby hospitalizacji trzydniowych przy jednoczesnym wzroście udziału krótszych pobytów</w:t>
      </w:r>
      <w:r w:rsidR="00B1044B" w:rsidRPr="00EC250C">
        <w:rPr>
          <w:rStyle w:val="Odwoanieprzypisudolnego"/>
          <w:rFonts w:eastAsiaTheme="majorEastAsia"/>
        </w:rPr>
        <w:footnoteReference w:id="535"/>
      </w:r>
      <w:r w:rsidR="00B1044B" w:rsidRPr="00EC250C">
        <w:t>.</w:t>
      </w:r>
    </w:p>
    <w:p w14:paraId="4940436B" w14:textId="77777777" w:rsidR="00C91F6E" w:rsidRPr="00EC250C" w:rsidRDefault="00B1044B" w:rsidP="00EC79EB">
      <w:pPr>
        <w:pStyle w:val="Nagwek4"/>
      </w:pPr>
      <w:bookmarkStart w:id="547" w:name="_Toc6257880"/>
      <w:bookmarkStart w:id="548" w:name="_Toc7113845"/>
      <w:bookmarkStart w:id="549" w:name="_Toc11247759"/>
      <w:r w:rsidRPr="00EC250C">
        <w:t>Problemy związane ze zdrowiem reprodukcyjnym</w:t>
      </w:r>
      <w:bookmarkEnd w:id="547"/>
      <w:bookmarkEnd w:id="548"/>
      <w:bookmarkEnd w:id="549"/>
    </w:p>
    <w:p w14:paraId="41672C13" w14:textId="77777777" w:rsidR="00B1044B" w:rsidRPr="00EC250C" w:rsidRDefault="00B1044B" w:rsidP="00D131FA">
      <w:pPr>
        <w:pStyle w:val="Styl1"/>
      </w:pPr>
      <w:r w:rsidRPr="00EC250C">
        <w:t>Ograniczony dostęp do opieki okołoporodowej</w:t>
      </w:r>
      <w:r w:rsidR="00992FD0" w:rsidRPr="00EC250C">
        <w:t xml:space="preserve"> i </w:t>
      </w:r>
      <w:r w:rsidRPr="00EC250C">
        <w:t>brak realnej możliwości skorzystania</w:t>
      </w:r>
      <w:r w:rsidR="00992FD0" w:rsidRPr="00EC250C">
        <w:t xml:space="preserve"> w </w:t>
      </w:r>
      <w:r w:rsidRPr="00EC250C">
        <w:t>niektórych rejonach Polski</w:t>
      </w:r>
      <w:r w:rsidR="00992FD0" w:rsidRPr="00EC250C">
        <w:t xml:space="preserve"> z </w:t>
      </w:r>
      <w:r w:rsidRPr="00EC250C">
        <w:t>legalnego zabiegu przerywania ciąży przy jednoczesnych niedostatkach</w:t>
      </w:r>
      <w:r w:rsidR="00992FD0" w:rsidRPr="00EC250C">
        <w:t xml:space="preserve"> w </w:t>
      </w:r>
      <w:r w:rsidRPr="00EC250C">
        <w:t>edukacji seksualnej</w:t>
      </w:r>
      <w:r w:rsidR="00992FD0" w:rsidRPr="00EC250C">
        <w:t xml:space="preserve"> i </w:t>
      </w:r>
      <w:r w:rsidRPr="00EC250C">
        <w:t>dostępie</w:t>
      </w:r>
      <w:r w:rsidR="00392799" w:rsidRPr="00EC250C">
        <w:t xml:space="preserve"> </w:t>
      </w:r>
      <w:r w:rsidRPr="00EC250C">
        <w:t>do środków antykoncepcyjnych</w:t>
      </w:r>
      <w:r w:rsidR="00992FD0" w:rsidRPr="00EC250C">
        <w:t xml:space="preserve"> w </w:t>
      </w:r>
      <w:r w:rsidRPr="00EC250C">
        <w:t>ocenie RPO może nie gwarantować</w:t>
      </w:r>
      <w:r w:rsidR="00992FD0" w:rsidRPr="00EC250C">
        <w:t xml:space="preserve"> w </w:t>
      </w:r>
      <w:r w:rsidRPr="00EC250C">
        <w:t>wystarczającym stopniu ochrony życia</w:t>
      </w:r>
      <w:r w:rsidR="00992FD0" w:rsidRPr="00EC250C">
        <w:t xml:space="preserve"> i </w:t>
      </w:r>
      <w:r w:rsidRPr="00EC250C">
        <w:t>wymaga pilnego rozwiązania. W wystąpieniu do Ministra Zdrowia</w:t>
      </w:r>
      <w:r w:rsidRPr="00EC250C">
        <w:rPr>
          <w:rStyle w:val="Odwoanieprzypisudolnego"/>
          <w:rFonts w:eastAsiaTheme="majorEastAsia"/>
        </w:rPr>
        <w:footnoteReference w:id="536"/>
      </w:r>
      <w:r w:rsidRPr="00EC250C">
        <w:t xml:space="preserve"> </w:t>
      </w:r>
      <w:r w:rsidR="00D76DC6" w:rsidRPr="00EC250C">
        <w:t>RPO</w:t>
      </w:r>
      <w:r w:rsidRPr="00EC250C">
        <w:t xml:space="preserve"> przedstawił szereg istniejących problemów</w:t>
      </w:r>
      <w:r w:rsidR="00992FD0" w:rsidRPr="00EC250C">
        <w:t xml:space="preserve"> w </w:t>
      </w:r>
      <w:r w:rsidRPr="00EC250C">
        <w:t>tym zakresie.</w:t>
      </w:r>
    </w:p>
    <w:p w14:paraId="2E12A454" w14:textId="77777777" w:rsidR="00B1044B" w:rsidRPr="00EC250C" w:rsidRDefault="00B1044B" w:rsidP="00EC250C">
      <w:pPr>
        <w:pStyle w:val="Nagwek5"/>
      </w:pPr>
      <w:r w:rsidRPr="00EC250C">
        <w:t>Dostęp do antykoncepcji</w:t>
      </w:r>
    </w:p>
    <w:p w14:paraId="1C36F2AD" w14:textId="77777777" w:rsidR="00B1044B" w:rsidRPr="00EC250C" w:rsidRDefault="00B1044B" w:rsidP="00D131FA">
      <w:pPr>
        <w:pStyle w:val="Styl1"/>
      </w:pPr>
      <w:r w:rsidRPr="00EC250C">
        <w:t>Dostęp do metod</w:t>
      </w:r>
      <w:r w:rsidR="00992FD0" w:rsidRPr="00EC250C">
        <w:t xml:space="preserve"> i </w:t>
      </w:r>
      <w:r w:rsidRPr="00EC250C">
        <w:t>środków służących świadomej prokreacji jest ściśle związany</w:t>
      </w:r>
      <w:r w:rsidR="00992FD0" w:rsidRPr="00EC250C">
        <w:t xml:space="preserve"> z </w:t>
      </w:r>
      <w:r w:rsidRPr="00EC250C">
        <w:t>zapobieganiem niechcianej ciąży oraz planowaniem rodziny. Zgodnie</w:t>
      </w:r>
      <w:r w:rsidR="00992FD0" w:rsidRPr="00EC250C">
        <w:t xml:space="preserve"> z </w:t>
      </w:r>
      <w:r w:rsidRPr="00EC250C">
        <w:t>międzynarodowymi standardami, działania państwa powinny być ukierunkowane na zapewnienie kobietom</w:t>
      </w:r>
      <w:r w:rsidR="00992FD0" w:rsidRPr="00EC250C">
        <w:t xml:space="preserve"> i </w:t>
      </w:r>
      <w:r w:rsidRPr="00EC250C">
        <w:t>małoletnim dziewczętom,</w:t>
      </w:r>
      <w:r w:rsidR="00992FD0" w:rsidRPr="00EC250C">
        <w:t xml:space="preserve"> w </w:t>
      </w:r>
      <w:r w:rsidRPr="00EC250C">
        <w:t>tym kobietom</w:t>
      </w:r>
      <w:r w:rsidR="00992FD0" w:rsidRPr="00EC250C">
        <w:t xml:space="preserve"> z </w:t>
      </w:r>
      <w:r w:rsidRPr="00EC250C">
        <w:t>obszarów wiejskich, dostępu do przystępnej cenowo</w:t>
      </w:r>
      <w:r w:rsidR="00992FD0" w:rsidRPr="00EC250C">
        <w:t xml:space="preserve"> i </w:t>
      </w:r>
      <w:r w:rsidRPr="00EC250C">
        <w:t>nowoczesnej antykoncepcji poprzez refundację nowoczesnych</w:t>
      </w:r>
      <w:r w:rsidR="00992FD0" w:rsidRPr="00EC250C">
        <w:t xml:space="preserve"> i </w:t>
      </w:r>
      <w:r w:rsidRPr="00EC250C">
        <w:t>skutecznych metod antykoncepcji.</w:t>
      </w:r>
    </w:p>
    <w:p w14:paraId="03088741" w14:textId="77777777" w:rsidR="00B1044B" w:rsidRPr="00EC250C" w:rsidRDefault="00B1044B" w:rsidP="00D131FA">
      <w:pPr>
        <w:pStyle w:val="Styl1"/>
      </w:pPr>
      <w:r w:rsidRPr="00EC250C">
        <w:t>Dostęp do środków służących świadomej prokreacji powinien być zapewniony zarówno kobietom, jak</w:t>
      </w:r>
      <w:r w:rsidR="00992FD0" w:rsidRPr="00EC250C">
        <w:t xml:space="preserve"> i </w:t>
      </w:r>
      <w:r w:rsidRPr="00EC250C">
        <w:t>mężczyznom. Ocena dostępu powinna odbywać się</w:t>
      </w:r>
      <w:r w:rsidR="00992FD0" w:rsidRPr="00EC250C">
        <w:t xml:space="preserve"> w </w:t>
      </w:r>
      <w:r w:rsidRPr="00EC250C">
        <w:t>odniesieniu do aktualnych standardów medycznych. Zgodnie ze standardem międzynarodowym dostęp do środków antykoncepcyjnych powinien być zapewniony również małoletnim dziewczętom, m.in. poprzez zapewnienie porad ginekologiczno-położniczych</w:t>
      </w:r>
      <w:r w:rsidR="00992FD0" w:rsidRPr="00EC250C">
        <w:t xml:space="preserve"> i </w:t>
      </w:r>
      <w:r w:rsidRPr="00EC250C">
        <w:t>objęcie ich opieką</w:t>
      </w:r>
      <w:r w:rsidR="00992FD0" w:rsidRPr="00EC250C">
        <w:t xml:space="preserve"> w </w:t>
      </w:r>
      <w:r w:rsidRPr="00EC250C">
        <w:t>zakresie zdrowia reprodukcyjnego</w:t>
      </w:r>
      <w:r w:rsidR="00B60BBF" w:rsidRPr="00EC250C">
        <w:rPr>
          <w:rStyle w:val="Odwoanieprzypisudolnego"/>
        </w:rPr>
        <w:footnoteReference w:id="537"/>
      </w:r>
      <w:r w:rsidRPr="00EC250C">
        <w:t>.</w:t>
      </w:r>
    </w:p>
    <w:p w14:paraId="79398920" w14:textId="77777777" w:rsidR="00B1044B" w:rsidRPr="00EC250C" w:rsidRDefault="00B1044B" w:rsidP="00EC250C">
      <w:pPr>
        <w:pStyle w:val="Nagwek5"/>
      </w:pPr>
      <w:r w:rsidRPr="00EC250C">
        <w:t>Dostęp do badań prenatalnych</w:t>
      </w:r>
    </w:p>
    <w:p w14:paraId="2F4E7987" w14:textId="77777777" w:rsidR="00B1044B" w:rsidRPr="00EC250C" w:rsidRDefault="00B1044B" w:rsidP="00D131FA">
      <w:pPr>
        <w:pStyle w:val="Styl1"/>
      </w:pPr>
      <w:r w:rsidRPr="00EC250C">
        <w:t>Uniemożliwienie kobiecie wykonania badań prenatalnych stanowi pogwałcenie jej prawa do informacji na temat stanu zdrowia płodu,</w:t>
      </w:r>
      <w:r w:rsidR="00992FD0" w:rsidRPr="00EC250C">
        <w:t xml:space="preserve"> a w </w:t>
      </w:r>
      <w:r w:rsidRPr="00EC250C">
        <w:t>pewnych wypadkach, także możliwości skorzystania</w:t>
      </w:r>
      <w:r w:rsidR="00992FD0" w:rsidRPr="00EC250C">
        <w:t xml:space="preserve"> z </w:t>
      </w:r>
      <w:r w:rsidRPr="00EC250C">
        <w:t>legalnego zabiegu przerywania ciąży. Dlatego RPO za istotne uważa monitorowanie dostępności do tych świadczeń.</w:t>
      </w:r>
    </w:p>
    <w:p w14:paraId="709905FC" w14:textId="77777777" w:rsidR="00B1044B" w:rsidRPr="00EC250C" w:rsidRDefault="00B1044B" w:rsidP="00EC250C">
      <w:pPr>
        <w:pStyle w:val="Nagwek5"/>
      </w:pPr>
      <w:r w:rsidRPr="00EC250C">
        <w:lastRenderedPageBreak/>
        <w:t>Dostęp do legalnego zabiegu aborcji</w:t>
      </w:r>
    </w:p>
    <w:p w14:paraId="39877B80" w14:textId="77777777" w:rsidR="00B1044B" w:rsidRPr="00EC250C" w:rsidRDefault="00B1044B" w:rsidP="00D131FA">
      <w:pPr>
        <w:pStyle w:val="Styl1"/>
      </w:pPr>
      <w:r w:rsidRPr="00EC250C">
        <w:t>Prawodawca, gwarantując możliwość przerwania ciąży</w:t>
      </w:r>
      <w:r w:rsidR="00992FD0" w:rsidRPr="00EC250C">
        <w:t xml:space="preserve"> w </w:t>
      </w:r>
      <w:r w:rsidRPr="00EC250C">
        <w:t>trzech przypadkach przewidzianych</w:t>
      </w:r>
      <w:r w:rsidR="00992FD0" w:rsidRPr="00EC250C">
        <w:t xml:space="preserve"> w </w:t>
      </w:r>
      <w:r w:rsidRPr="00EC250C">
        <w:t>ustawie, powinien jednocześnie zagwarantować realny dostęp do tej procedury. W praktyce możliwość ta bywa jednak znacznie ograniczona. Dostęp do aborcji różni się</w:t>
      </w:r>
      <w:r w:rsidR="00992FD0" w:rsidRPr="00EC250C">
        <w:t xml:space="preserve"> w </w:t>
      </w:r>
      <w:r w:rsidRPr="00EC250C">
        <w:t>zależności od rejonu Polski. W niektórych województwach liczba przeprowadzonych zabiegów sięga kilkuset,</w:t>
      </w:r>
      <w:r w:rsidR="00992FD0" w:rsidRPr="00EC250C">
        <w:t xml:space="preserve"> w </w:t>
      </w:r>
      <w:r w:rsidRPr="00EC250C">
        <w:t>innych jedynie kilku. RPO uznał za celowe zbadanie przyczyn tych dysproporcji.</w:t>
      </w:r>
    </w:p>
    <w:p w14:paraId="1D99A728" w14:textId="77777777" w:rsidR="00B1044B" w:rsidRPr="00EC250C" w:rsidRDefault="00B1044B" w:rsidP="00D131FA">
      <w:pPr>
        <w:pStyle w:val="Styl1"/>
      </w:pPr>
      <w:r w:rsidRPr="00EC250C">
        <w:t>Czynnikiem znacznie utrudniającym możliwość skorzystania</w:t>
      </w:r>
      <w:r w:rsidR="00992FD0" w:rsidRPr="00EC250C">
        <w:t xml:space="preserve"> z </w:t>
      </w:r>
      <w:r w:rsidRPr="00EC250C">
        <w:t>zabiegu jest brak</w:t>
      </w:r>
      <w:r w:rsidR="00992FD0" w:rsidRPr="00EC250C">
        <w:t xml:space="preserve"> w </w:t>
      </w:r>
      <w:r w:rsidR="003331B3" w:rsidRPr="00EC250C">
        <w:t xml:space="preserve">szpitalach </w:t>
      </w:r>
      <w:r w:rsidRPr="00EC250C">
        <w:t>odpowiednich procedur przeprowadzania aborcji.</w:t>
      </w:r>
    </w:p>
    <w:p w14:paraId="2AAE7237" w14:textId="77777777" w:rsidR="00B1044B" w:rsidRPr="00EC250C" w:rsidRDefault="00B1044B" w:rsidP="00D131FA">
      <w:pPr>
        <w:pStyle w:val="Styl1"/>
      </w:pPr>
      <w:r w:rsidRPr="00EC250C">
        <w:t>Ponadto według RPO ocena pełnego</w:t>
      </w:r>
      <w:r w:rsidR="00992FD0" w:rsidRPr="00EC250C">
        <w:t xml:space="preserve"> i </w:t>
      </w:r>
      <w:r w:rsidRPr="00EC250C">
        <w:t>niedyskryminującego dostępu do legalnych zabiegów aborcji powinna uwzględniać możliwość realizacji swoich praw przez osoby małoletnie.</w:t>
      </w:r>
    </w:p>
    <w:p w14:paraId="016062CE" w14:textId="77777777" w:rsidR="00B1044B" w:rsidRPr="00EC250C" w:rsidRDefault="00B1044B" w:rsidP="00EC250C">
      <w:pPr>
        <w:pStyle w:val="Nagwek5"/>
      </w:pPr>
      <w:r w:rsidRPr="00EC250C">
        <w:t>Sprzeciw od orzeczenia lekarza</w:t>
      </w:r>
    </w:p>
    <w:p w14:paraId="69BB1C80" w14:textId="77777777" w:rsidR="00B1044B" w:rsidRPr="00EC250C" w:rsidRDefault="00B1044B" w:rsidP="00D131FA">
      <w:pPr>
        <w:pStyle w:val="Styl1"/>
      </w:pPr>
      <w:r w:rsidRPr="00EC250C">
        <w:t>Możliwość kwestionowania orzeczenia lekarza ma istotne znaczenie</w:t>
      </w:r>
      <w:r w:rsidR="00992FD0" w:rsidRPr="00EC250C">
        <w:t xml:space="preserve"> w </w:t>
      </w:r>
      <w:r w:rsidRPr="00EC250C">
        <w:t>perspektywie możliwości korzystania przez kobiety</w:t>
      </w:r>
      <w:r w:rsidR="00992FD0" w:rsidRPr="00EC250C">
        <w:t xml:space="preserve"> z </w:t>
      </w:r>
      <w:r w:rsidRPr="00EC250C">
        <w:t>legalnych zabiegów przerywania ciąży. Niestety istniejąca</w:t>
      </w:r>
      <w:r w:rsidR="00992FD0" w:rsidRPr="00EC250C">
        <w:t xml:space="preserve"> w </w:t>
      </w:r>
      <w:r w:rsidRPr="00EC250C">
        <w:t>Polsce instytucja sprzeciwu od orzeczenia lekarza jest ukształtowana</w:t>
      </w:r>
      <w:r w:rsidR="00992FD0" w:rsidRPr="00EC250C">
        <w:t xml:space="preserve"> w </w:t>
      </w:r>
      <w:r w:rsidRPr="00EC250C">
        <w:t>sposób nieodpowiedni, niegwarantujący kobiecie możliwości zakwestionowania orzeczenia lekarza</w:t>
      </w:r>
      <w:r w:rsidR="00992FD0" w:rsidRPr="00EC250C">
        <w:t xml:space="preserve"> w </w:t>
      </w:r>
      <w:r w:rsidRPr="00EC250C">
        <w:t>terminie umożliwiającym dokonanie aborcji.</w:t>
      </w:r>
    </w:p>
    <w:p w14:paraId="4A414606" w14:textId="77777777" w:rsidR="00B1044B" w:rsidRPr="00EC250C" w:rsidRDefault="00B1044B" w:rsidP="00EC250C">
      <w:pPr>
        <w:pStyle w:val="Nagwek5"/>
      </w:pPr>
      <w:r w:rsidRPr="00EC250C">
        <w:t>Klauzula sumienia</w:t>
      </w:r>
    </w:p>
    <w:p w14:paraId="45282C38" w14:textId="77777777" w:rsidR="00B1044B" w:rsidRPr="00EC250C" w:rsidRDefault="00B1044B" w:rsidP="00D131FA">
      <w:pPr>
        <w:pStyle w:val="Styl1"/>
      </w:pPr>
      <w:r w:rsidRPr="00EC250C">
        <w:t>Możliwość przerwania ciąży</w:t>
      </w:r>
      <w:r w:rsidR="00992FD0" w:rsidRPr="00EC250C">
        <w:t xml:space="preserve"> w </w:t>
      </w:r>
      <w:r w:rsidRPr="00EC250C">
        <w:t>praktyce bywa ograniczona przez powoływanie się przez lekarzy na klauzulę sumienia. Istnienie klauzuli sumienia stanowi wyraz poszanowania konstytucyjnej wartości, jaką jest wolność religii. Nie oznacza to jednak zwolnienia państwa</w:t>
      </w:r>
      <w:r w:rsidR="00992FD0" w:rsidRPr="00EC250C">
        <w:t xml:space="preserve"> z </w:t>
      </w:r>
      <w:r w:rsidRPr="00EC250C">
        <w:t>obowiązku zagwarantowania dostępu do możliwości skorzystania</w:t>
      </w:r>
      <w:r w:rsidR="00992FD0" w:rsidRPr="00EC250C">
        <w:t xml:space="preserve"> z </w:t>
      </w:r>
      <w:r w:rsidRPr="00EC250C">
        <w:t>zabiegu legalnej aborcji czy do badań prenatalnych.</w:t>
      </w:r>
    </w:p>
    <w:p w14:paraId="31354A98" w14:textId="77777777" w:rsidR="00B1044B" w:rsidRPr="00EC250C" w:rsidRDefault="00B1044B" w:rsidP="00EC250C">
      <w:pPr>
        <w:pStyle w:val="Nagwek5"/>
      </w:pPr>
      <w:r w:rsidRPr="00EC250C">
        <w:t>Dostęp osób małoletnich do ginekologa</w:t>
      </w:r>
    </w:p>
    <w:p w14:paraId="647B726C" w14:textId="77777777" w:rsidR="00B1044B" w:rsidRPr="00EC250C" w:rsidRDefault="00B1044B" w:rsidP="00D131FA">
      <w:pPr>
        <w:pStyle w:val="Styl1"/>
      </w:pPr>
      <w:r w:rsidRPr="00EC250C">
        <w:t>Zgodnie</w:t>
      </w:r>
      <w:r w:rsidR="00992FD0" w:rsidRPr="00EC250C">
        <w:t xml:space="preserve"> z </w:t>
      </w:r>
      <w:r w:rsidRPr="00EC250C">
        <w:t>prawem małoletni powyżej 15. roku życia mogą podejmować współżycie bez konsekwencji prawnych, ale nie mają możliwości samodzielnego, na podstawie własnej, prawnie skutecznej zgody, skorzystania</w:t>
      </w:r>
      <w:r w:rsidR="00992FD0" w:rsidRPr="00EC250C">
        <w:t xml:space="preserve"> z </w:t>
      </w:r>
      <w:r w:rsidRPr="00EC250C">
        <w:t>porady ginekologicznej lub urologicznej</w:t>
      </w:r>
      <w:r w:rsidR="00992FD0" w:rsidRPr="00EC250C">
        <w:t xml:space="preserve"> w </w:t>
      </w:r>
      <w:r w:rsidRPr="00EC250C">
        <w:t>celu skontrolowania swego zdrowia. Regulacje prawne co do samodzielnego korzystania przez niepełnoletnich pacjentów powyżej 15. roku życia</w:t>
      </w:r>
      <w:r w:rsidR="00992FD0" w:rsidRPr="00EC250C">
        <w:t xml:space="preserve"> z </w:t>
      </w:r>
      <w:r w:rsidRPr="00EC250C">
        <w:t>określonych świadczeń zdrowotnych, niestanowiących</w:t>
      </w:r>
      <w:r w:rsidR="00992FD0" w:rsidRPr="00EC250C">
        <w:t xml:space="preserve"> z </w:t>
      </w:r>
      <w:r w:rsidRPr="00EC250C">
        <w:t>założenia świadczeń</w:t>
      </w:r>
      <w:r w:rsidR="00992FD0" w:rsidRPr="00EC250C">
        <w:t xml:space="preserve"> o </w:t>
      </w:r>
      <w:r w:rsidRPr="00EC250C">
        <w:t>podwyższonym ryzyku, wymagają</w:t>
      </w:r>
      <w:r w:rsidR="00992FD0" w:rsidRPr="00EC250C">
        <w:t xml:space="preserve"> w </w:t>
      </w:r>
      <w:r w:rsidRPr="00EC250C">
        <w:t>ocenie RPO zmian systemowych.</w:t>
      </w:r>
    </w:p>
    <w:p w14:paraId="6EE184D4" w14:textId="77777777" w:rsidR="00B1044B" w:rsidRPr="00EC250C" w:rsidRDefault="00B1044B" w:rsidP="00EC250C">
      <w:pPr>
        <w:pStyle w:val="Nagwek5"/>
      </w:pPr>
      <w:r w:rsidRPr="00EC250C">
        <w:t>Łagodzenie bólu podczas porodu</w:t>
      </w:r>
    </w:p>
    <w:p w14:paraId="5CB1B2EC" w14:textId="77777777" w:rsidR="00B1044B" w:rsidRPr="00EC250C" w:rsidRDefault="00B1044B" w:rsidP="00D131FA">
      <w:pPr>
        <w:pStyle w:val="Styl1"/>
      </w:pPr>
      <w:r w:rsidRPr="00EC250C">
        <w:t>Zagwarantowanie dostępu pacjentek do metod łagodzenia bólu podczas porodu to jeden ze standardów</w:t>
      </w:r>
      <w:r w:rsidR="00992FD0" w:rsidRPr="00EC250C">
        <w:t xml:space="preserve"> z </w:t>
      </w:r>
      <w:r w:rsidRPr="00EC250C">
        <w:t>zakresu opieki okołoporodowej, ale także gwarant poszanowania prawa pacjentek do opieki zdrowotnej, ich integralności</w:t>
      </w:r>
      <w:r w:rsidR="00992FD0" w:rsidRPr="00EC250C">
        <w:t xml:space="preserve"> i </w:t>
      </w:r>
      <w:r w:rsidRPr="00EC250C">
        <w:t xml:space="preserve">godności. W ocenie RPO zmuszanie ciężarnej do urodzenia </w:t>
      </w:r>
      <w:r w:rsidRPr="00EC250C">
        <w:lastRenderedPageBreak/>
        <w:t>dziecka bez znieczulenia, gdy nie ma ku temu przeciwwskazań zdrowotnych, może zostać uznane za przejaw nieludzkiego</w:t>
      </w:r>
      <w:r w:rsidR="00992FD0" w:rsidRPr="00EC250C">
        <w:t xml:space="preserve"> i </w:t>
      </w:r>
      <w:r w:rsidRPr="00EC250C">
        <w:t>poniżającego traktowania.</w:t>
      </w:r>
    </w:p>
    <w:p w14:paraId="2829F5F5" w14:textId="77777777" w:rsidR="00B1044B" w:rsidRPr="00EC250C" w:rsidRDefault="00B1044B" w:rsidP="00EC250C">
      <w:pPr>
        <w:pStyle w:val="Nagwek5"/>
      </w:pPr>
      <w:r w:rsidRPr="00EC250C">
        <w:t>Cesarskie cięcie</w:t>
      </w:r>
    </w:p>
    <w:p w14:paraId="6CCD72E5" w14:textId="77777777" w:rsidR="00B1044B" w:rsidRPr="00EC250C" w:rsidRDefault="00B1044B" w:rsidP="00D131FA">
      <w:pPr>
        <w:pStyle w:val="Styl1"/>
      </w:pPr>
      <w:r w:rsidRPr="00EC250C">
        <w:t>Z oficjalnych danych wynika, że</w:t>
      </w:r>
      <w:r w:rsidR="00392799" w:rsidRPr="00EC250C">
        <w:t xml:space="preserve"> </w:t>
      </w:r>
      <w:r w:rsidRPr="00EC250C">
        <w:t>ok.</w:t>
      </w:r>
      <w:r w:rsidR="00392799" w:rsidRPr="00EC250C">
        <w:t xml:space="preserve"> </w:t>
      </w:r>
      <w:r w:rsidRPr="00EC250C">
        <w:t>40 proc.</w:t>
      </w:r>
      <w:r w:rsidR="00392799" w:rsidRPr="00EC250C">
        <w:t xml:space="preserve"> </w:t>
      </w:r>
      <w:r w:rsidRPr="00EC250C">
        <w:t>wszystkich porodów</w:t>
      </w:r>
      <w:r w:rsidR="00992FD0" w:rsidRPr="00EC250C">
        <w:t xml:space="preserve"> w </w:t>
      </w:r>
      <w:r w:rsidRPr="00EC250C">
        <w:t>Polsce kończy się cesarskim cieciem. Wykonywanie tego zabiegu, pomimo braku medycznych wskazań do jego przeprowadzenia, może prowadzić do narażenia zdrowia</w:t>
      </w:r>
      <w:r w:rsidR="00992FD0" w:rsidRPr="00EC250C">
        <w:t xml:space="preserve"> i </w:t>
      </w:r>
      <w:r w:rsidRPr="00EC250C">
        <w:t>życia pacjentki oraz dziecka. Zdaniem RPO należy podjąć działania</w:t>
      </w:r>
      <w:r w:rsidR="00992FD0" w:rsidRPr="00EC250C">
        <w:t xml:space="preserve"> w </w:t>
      </w:r>
      <w:r w:rsidRPr="00EC250C">
        <w:t>celu należytej diagnozy przyczyn powszechności stosowania tej procedury, co umożliwi jej ograniczenie.</w:t>
      </w:r>
      <w:r w:rsidR="00392799" w:rsidRPr="00EC250C">
        <w:t xml:space="preserve"> </w:t>
      </w:r>
      <w:r w:rsidRPr="00EC250C">
        <w:t>Niezwykle ważne jest też upowszechnianie u pacjentek wiedzy na temat procedury cesarskiego cięcia</w:t>
      </w:r>
      <w:r w:rsidR="00392799" w:rsidRPr="00EC250C">
        <w:t xml:space="preserve"> </w:t>
      </w:r>
      <w:r w:rsidRPr="00EC250C">
        <w:t>oraz zapewnienie im dostępu do metod łagodzenia bólu porodowego.</w:t>
      </w:r>
    </w:p>
    <w:p w14:paraId="20BDB28E" w14:textId="77777777" w:rsidR="00B1044B" w:rsidRPr="00EC250C" w:rsidRDefault="00B1044B" w:rsidP="00EC250C">
      <w:pPr>
        <w:pStyle w:val="Nagwek5"/>
      </w:pPr>
      <w:r w:rsidRPr="00EC250C">
        <w:t>Opieka okołoporodowa</w:t>
      </w:r>
    </w:p>
    <w:p w14:paraId="2877B2B3" w14:textId="77777777" w:rsidR="00B1044B" w:rsidRPr="00EC250C" w:rsidRDefault="00B1044B" w:rsidP="00D131FA">
      <w:pPr>
        <w:pStyle w:val="Styl1"/>
      </w:pPr>
      <w:r w:rsidRPr="00EC250C">
        <w:t>Należyte zagwarantowanie tego prawa wymaga, m.in. zapewnienia rzeczywistego dostępu do świadczeń opieki okołoporodowej dla kobiet</w:t>
      </w:r>
      <w:r w:rsidR="00992FD0" w:rsidRPr="00EC250C">
        <w:t xml:space="preserve"> w </w:t>
      </w:r>
      <w:r w:rsidRPr="00EC250C">
        <w:t>ciąży. Opieka ta powinna trwać</w:t>
      </w:r>
      <w:r w:rsidR="00392799" w:rsidRPr="00EC250C">
        <w:t xml:space="preserve"> </w:t>
      </w:r>
      <w:r w:rsidRPr="00EC250C">
        <w:t>przez cały okres ciąży,</w:t>
      </w:r>
      <w:r w:rsidR="00992FD0" w:rsidRPr="00EC250C">
        <w:t xml:space="preserve"> a </w:t>
      </w:r>
      <w:r w:rsidRPr="00EC250C">
        <w:t>nie tylko od momentu, gdy kobieta trafia na oddział położniczy.</w:t>
      </w:r>
    </w:p>
    <w:p w14:paraId="130F50F3" w14:textId="77777777" w:rsidR="00B1044B" w:rsidRPr="00EC250C" w:rsidRDefault="00B1044B" w:rsidP="00EC250C">
      <w:pPr>
        <w:pStyle w:val="Nagwek5"/>
      </w:pPr>
      <w:r w:rsidRPr="00EC250C">
        <w:t>Pomoc materialna</w:t>
      </w:r>
      <w:r w:rsidR="00992FD0" w:rsidRPr="00EC250C">
        <w:t xml:space="preserve"> i </w:t>
      </w:r>
      <w:r w:rsidRPr="00EC250C">
        <w:t>opieka nad kobietami</w:t>
      </w:r>
      <w:r w:rsidR="00992FD0" w:rsidRPr="00EC250C">
        <w:t xml:space="preserve"> w </w:t>
      </w:r>
      <w:r w:rsidRPr="00EC250C">
        <w:t>ciąży</w:t>
      </w:r>
    </w:p>
    <w:p w14:paraId="4DA13E89" w14:textId="77777777" w:rsidR="00B1044B" w:rsidRPr="00EC250C" w:rsidRDefault="00B1044B" w:rsidP="00D131FA">
      <w:pPr>
        <w:pStyle w:val="Styl1"/>
      </w:pPr>
      <w:r w:rsidRPr="00EC250C">
        <w:t>W perspektywie dostępu do pomocy materialnej niebagatelne znaczenie ma podnoszenie świadomości</w:t>
      </w:r>
      <w:r w:rsidR="00992FD0" w:rsidRPr="00EC250C">
        <w:t xml:space="preserve"> o </w:t>
      </w:r>
      <w:r w:rsidRPr="00EC250C">
        <w:t>rodzajach wsparcia oferowanego przez państwo oraz warunkach uzyskania go.</w:t>
      </w:r>
      <w:r w:rsidR="00392799" w:rsidRPr="00EC250C">
        <w:t xml:space="preserve"> </w:t>
      </w:r>
      <w:r w:rsidRPr="00EC250C">
        <w:t>Dotyczy to również wsparcia</w:t>
      </w:r>
      <w:r w:rsidR="00992FD0" w:rsidRPr="00EC250C">
        <w:t xml:space="preserve"> w </w:t>
      </w:r>
      <w:r w:rsidRPr="00EC250C">
        <w:t>ramach domów samotnej matki. W ocenie RPO pomoc powinna przysługiwać</w:t>
      </w:r>
      <w:r w:rsidR="00992FD0" w:rsidRPr="00EC250C">
        <w:t xml:space="preserve"> w </w:t>
      </w:r>
      <w:r w:rsidRPr="00EC250C">
        <w:t>takim samym stopniu samotnym rodzicom bez względu na płeć. Ponadto rola państwa</w:t>
      </w:r>
      <w:r w:rsidR="00992FD0" w:rsidRPr="00EC250C">
        <w:t xml:space="preserve"> w </w:t>
      </w:r>
      <w:r w:rsidRPr="00EC250C">
        <w:t>zapewnianiu wsparcia materialnego</w:t>
      </w:r>
      <w:r w:rsidR="00992FD0" w:rsidRPr="00EC250C">
        <w:t xml:space="preserve"> i </w:t>
      </w:r>
      <w:r w:rsidRPr="00EC250C">
        <w:t>odpowiedniej opieki powinna polegać na</w:t>
      </w:r>
      <w:r w:rsidR="00392799" w:rsidRPr="00EC250C">
        <w:t xml:space="preserve"> </w:t>
      </w:r>
      <w:r w:rsidRPr="00EC250C">
        <w:t>zagwarantowaniu dostępu do rozwiązań umożliwiających godzenie ról rodzinnych</w:t>
      </w:r>
      <w:r w:rsidR="00992FD0" w:rsidRPr="00EC250C">
        <w:t xml:space="preserve"> i </w:t>
      </w:r>
      <w:r w:rsidRPr="00EC250C">
        <w:t>zawodowych.</w:t>
      </w:r>
    </w:p>
    <w:p w14:paraId="3DE8F9D1" w14:textId="77777777" w:rsidR="00B1044B" w:rsidRPr="00EC250C" w:rsidRDefault="00B1044B" w:rsidP="00EC250C">
      <w:pPr>
        <w:pStyle w:val="Nagwek5"/>
      </w:pPr>
      <w:r w:rsidRPr="00EC250C">
        <w:t>Wsparcie szkoły dla małoletnich matek, ojców</w:t>
      </w:r>
      <w:r w:rsidR="00992FD0" w:rsidRPr="00EC250C">
        <w:t xml:space="preserve"> i </w:t>
      </w:r>
      <w:r w:rsidRPr="00EC250C">
        <w:t>uczennic</w:t>
      </w:r>
      <w:r w:rsidR="00992FD0" w:rsidRPr="00EC250C">
        <w:t xml:space="preserve"> w </w:t>
      </w:r>
      <w:r w:rsidRPr="00EC250C">
        <w:t>ciąży</w:t>
      </w:r>
    </w:p>
    <w:p w14:paraId="2DC49DEB" w14:textId="77777777" w:rsidR="00B1044B" w:rsidRPr="00EC250C" w:rsidRDefault="00B1044B" w:rsidP="00D131FA">
      <w:pPr>
        <w:pStyle w:val="Styl1"/>
      </w:pPr>
      <w:r w:rsidRPr="00EC250C">
        <w:t>Odpowiednie wsparcie szkoły dla uczennic</w:t>
      </w:r>
      <w:r w:rsidR="00992FD0" w:rsidRPr="00EC250C">
        <w:t xml:space="preserve"> w </w:t>
      </w:r>
      <w:r w:rsidRPr="00EC250C">
        <w:t>ciąży,</w:t>
      </w:r>
      <w:r w:rsidR="00992FD0" w:rsidRPr="00EC250C">
        <w:t xml:space="preserve"> a </w:t>
      </w:r>
      <w:r w:rsidRPr="00EC250C">
        <w:t>także małoletnich matek</w:t>
      </w:r>
      <w:r w:rsidR="00992FD0" w:rsidRPr="00EC250C">
        <w:t xml:space="preserve"> i </w:t>
      </w:r>
      <w:r w:rsidRPr="00EC250C">
        <w:t>ojców ma znaczenie m.in. dla możliwości kontynuacji edukacji czy zagwarantowania prawidłowego rozwoju psychologicznego. Za problem</w:t>
      </w:r>
      <w:r w:rsidR="00992FD0" w:rsidRPr="00EC250C">
        <w:t xml:space="preserve"> o </w:t>
      </w:r>
      <w:r w:rsidRPr="00EC250C">
        <w:t>charakterze systemowym RPO uważa zupełny brak wsparcia dla małoletnich chłopców, którzy zostali ojcami</w:t>
      </w:r>
      <w:r w:rsidR="00992FD0" w:rsidRPr="00EC250C">
        <w:t xml:space="preserve"> i</w:t>
      </w:r>
      <w:r w:rsidR="00026572" w:rsidRPr="00EC250C">
        <w:t xml:space="preserve"> – </w:t>
      </w:r>
      <w:r w:rsidRPr="00EC250C">
        <w:t>podobnie jak małoletnie matki</w:t>
      </w:r>
      <w:r w:rsidR="00026572" w:rsidRPr="00EC250C">
        <w:t xml:space="preserve"> – </w:t>
      </w:r>
      <w:r w:rsidRPr="00EC250C">
        <w:t>nierzadko potrzebują odpowiedniej pomocy psychologicznej</w:t>
      </w:r>
      <w:r w:rsidR="00992FD0" w:rsidRPr="00EC250C">
        <w:t xml:space="preserve"> i </w:t>
      </w:r>
      <w:r w:rsidRPr="00EC250C">
        <w:t>pedagogicznej.</w:t>
      </w:r>
    </w:p>
    <w:p w14:paraId="6AEB15C9" w14:textId="77777777" w:rsidR="00B1044B" w:rsidRPr="00EC250C" w:rsidRDefault="00B1044B" w:rsidP="00D131FA">
      <w:pPr>
        <w:pStyle w:val="Styl1"/>
      </w:pPr>
      <w:r w:rsidRPr="00EC250C">
        <w:t>Niezwykle istotną regulacją</w:t>
      </w:r>
      <w:r w:rsidR="00992FD0" w:rsidRPr="00EC250C">
        <w:t xml:space="preserve"> z </w:t>
      </w:r>
      <w:r w:rsidRPr="00EC250C">
        <w:t>punktu widzenia uczących się matek, które ze względu na nowe obowiązki mogą mieć trudności</w:t>
      </w:r>
      <w:r w:rsidR="00992FD0" w:rsidRPr="00EC250C">
        <w:t xml:space="preserve"> z </w:t>
      </w:r>
      <w:r w:rsidRPr="00EC250C">
        <w:t>uczestnictwem</w:t>
      </w:r>
      <w:r w:rsidR="00992FD0" w:rsidRPr="00EC250C">
        <w:t xml:space="preserve"> w </w:t>
      </w:r>
      <w:r w:rsidRPr="00EC250C">
        <w:t>zajęciach szkolnych, wydaje się możliwość nauki poza szkołą. Niestety, także</w:t>
      </w:r>
      <w:r w:rsidR="00992FD0" w:rsidRPr="00EC250C">
        <w:t xml:space="preserve"> w </w:t>
      </w:r>
      <w:r w:rsidRPr="00EC250C">
        <w:t>tym wypadku nie jest możliwa ocena, czy</w:t>
      </w:r>
      <w:r w:rsidR="00992FD0" w:rsidRPr="00EC250C">
        <w:t xml:space="preserve"> w </w:t>
      </w:r>
      <w:r w:rsidRPr="00EC250C">
        <w:t>rzeczywistości ten rodzaj wsparcia jest dostępny uczennicom.</w:t>
      </w:r>
    </w:p>
    <w:p w14:paraId="57AFC2EB" w14:textId="77777777" w:rsidR="00B1044B" w:rsidRPr="00EC250C" w:rsidRDefault="00B1044B" w:rsidP="00EC250C">
      <w:pPr>
        <w:pStyle w:val="Nagwek5"/>
      </w:pPr>
      <w:r w:rsidRPr="00EC250C">
        <w:t>Kształcenie</w:t>
      </w:r>
      <w:r w:rsidR="00992FD0" w:rsidRPr="00EC250C">
        <w:t xml:space="preserve"> i </w:t>
      </w:r>
      <w:r w:rsidRPr="00EC250C">
        <w:t>wychowywanie młodzieży</w:t>
      </w:r>
    </w:p>
    <w:p w14:paraId="0CD597CD" w14:textId="77777777" w:rsidR="00B1044B" w:rsidRPr="00EC250C" w:rsidRDefault="00B1044B" w:rsidP="00D131FA">
      <w:pPr>
        <w:pStyle w:val="Styl1"/>
      </w:pPr>
      <w:r w:rsidRPr="00EC250C">
        <w:t>Zapewnienie młodym ludziom właściwej odpowiedniej wiedzy</w:t>
      </w:r>
      <w:r w:rsidR="00992FD0" w:rsidRPr="00EC250C">
        <w:t xml:space="preserve"> o </w:t>
      </w:r>
      <w:r w:rsidRPr="00EC250C">
        <w:t>seksualności człowieka było ważnym elementem ustawy.</w:t>
      </w:r>
    </w:p>
    <w:p w14:paraId="792D528F" w14:textId="77777777" w:rsidR="00B1044B" w:rsidRPr="00EC250C" w:rsidRDefault="00B1044B" w:rsidP="00D131FA">
      <w:pPr>
        <w:pStyle w:val="Styl1"/>
      </w:pPr>
      <w:r w:rsidRPr="00EC250C">
        <w:lastRenderedPageBreak/>
        <w:t>Zgodnie</w:t>
      </w:r>
      <w:r w:rsidR="00992FD0" w:rsidRPr="00EC250C">
        <w:t xml:space="preserve"> z </w:t>
      </w:r>
      <w:r w:rsidRPr="00EC250C">
        <w:t>nią wiedza</w:t>
      </w:r>
      <w:r w:rsidR="00992FD0" w:rsidRPr="00EC250C">
        <w:t xml:space="preserve"> o </w:t>
      </w:r>
      <w:r w:rsidRPr="00EC250C">
        <w:t>życiu seksualnym człowieka powinna być realizowana</w:t>
      </w:r>
      <w:r w:rsidR="00992FD0" w:rsidRPr="00EC250C">
        <w:t xml:space="preserve"> w </w:t>
      </w:r>
      <w:r w:rsidRPr="00EC250C">
        <w:t>polskich szkołach. Mimo to edukacja seksualna nie jest traktowana jako przedmiot obowiązkowy.</w:t>
      </w:r>
      <w:r w:rsidR="00392799" w:rsidRPr="00EC250C">
        <w:t xml:space="preserve"> </w:t>
      </w:r>
      <w:r w:rsidRPr="00EC250C">
        <w:t>Stanowisko Ministerstwa Edukacji Narodowej, negujące obligatoryjność tych zajęć, prowadzi do ograniczenia dostępu do rzetelnej edukacji</w:t>
      </w:r>
      <w:r w:rsidR="00992FD0" w:rsidRPr="00EC250C">
        <w:t xml:space="preserve"> i </w:t>
      </w:r>
      <w:r w:rsidRPr="00EC250C">
        <w:t>nie przyczynia się do rozwoju świadomości oraz kształtowania odpowiedzialnych postaw młodzieży. Z badań RPO wynika, że treści podręczników są niezgodne ze wskazaniami aktualnej wiedzy medycznej. Rzetelna edukacja seksualna wymaga ponadto, by osoby ją prowadzące miały odpowiednie kwalifikacje.</w:t>
      </w:r>
    </w:p>
    <w:p w14:paraId="5AC535E7" w14:textId="77777777" w:rsidR="00E041B2" w:rsidRPr="00EC250C" w:rsidRDefault="00E041B2" w:rsidP="00EC79EB">
      <w:pPr>
        <w:pStyle w:val="Nagwek4"/>
        <w:rPr>
          <w:rStyle w:val="field-content"/>
          <w:sz w:val="34"/>
          <w:szCs w:val="32"/>
          <w:bdr w:val="none" w:sz="0" w:space="0" w:color="auto"/>
        </w:rPr>
      </w:pPr>
      <w:bookmarkStart w:id="550" w:name="_Toc11247760"/>
      <w:r w:rsidRPr="00EC250C">
        <w:rPr>
          <w:rStyle w:val="field-content"/>
          <w:sz w:val="34"/>
          <w:szCs w:val="32"/>
          <w:bdr w:val="none" w:sz="0" w:space="0" w:color="auto"/>
        </w:rPr>
        <w:t>Komitet Ministrów Rady Europy</w:t>
      </w:r>
      <w:r w:rsidR="00992FD0" w:rsidRPr="00EC250C">
        <w:rPr>
          <w:rStyle w:val="field-content"/>
          <w:sz w:val="34"/>
          <w:szCs w:val="32"/>
          <w:bdr w:val="none" w:sz="0" w:space="0" w:color="auto"/>
        </w:rPr>
        <w:t xml:space="preserve"> o </w:t>
      </w:r>
      <w:r w:rsidRPr="00EC250C">
        <w:rPr>
          <w:rStyle w:val="field-content"/>
          <w:sz w:val="34"/>
          <w:szCs w:val="32"/>
          <w:bdr w:val="none" w:sz="0" w:space="0" w:color="auto"/>
        </w:rPr>
        <w:t>braku realnego dostępu do legalnej aborcji</w:t>
      </w:r>
      <w:r w:rsidR="00992FD0" w:rsidRPr="00EC250C">
        <w:rPr>
          <w:rStyle w:val="field-content"/>
          <w:sz w:val="34"/>
          <w:szCs w:val="32"/>
          <w:bdr w:val="none" w:sz="0" w:space="0" w:color="auto"/>
        </w:rPr>
        <w:t xml:space="preserve"> w </w:t>
      </w:r>
      <w:r w:rsidRPr="00EC250C">
        <w:rPr>
          <w:rStyle w:val="field-content"/>
          <w:sz w:val="34"/>
          <w:szCs w:val="32"/>
          <w:bdr w:val="none" w:sz="0" w:space="0" w:color="auto"/>
        </w:rPr>
        <w:t>Polsce</w:t>
      </w:r>
      <w:bookmarkEnd w:id="550"/>
    </w:p>
    <w:p w14:paraId="5AB1C5CB" w14:textId="77777777" w:rsidR="00B473F5" w:rsidRPr="00EC250C" w:rsidRDefault="00E041B2" w:rsidP="00D131FA">
      <w:pPr>
        <w:pStyle w:val="Problemczowieka"/>
        <w:jc w:val="both"/>
        <w:rPr>
          <w:rStyle w:val="Pogrubienie"/>
          <w:b/>
          <w:bCs w:val="0"/>
        </w:rPr>
      </w:pPr>
      <w:r w:rsidRPr="00EC250C">
        <w:rPr>
          <w:rStyle w:val="Pogrubienie"/>
          <w:b/>
          <w:bCs w:val="0"/>
        </w:rPr>
        <w:t>Kobiety</w:t>
      </w:r>
      <w:r w:rsidR="00992FD0" w:rsidRPr="00EC250C">
        <w:rPr>
          <w:rStyle w:val="Pogrubienie"/>
          <w:b/>
          <w:bCs w:val="0"/>
        </w:rPr>
        <w:t xml:space="preserve"> w </w:t>
      </w:r>
      <w:r w:rsidRPr="00EC250C">
        <w:rPr>
          <w:rStyle w:val="Pogrubienie"/>
          <w:b/>
          <w:bCs w:val="0"/>
        </w:rPr>
        <w:t>Polsce nie mają rzeczywistego dostępu do zabiegów legalnej aborcji</w:t>
      </w:r>
      <w:r w:rsidR="00B473F5" w:rsidRPr="00EC250C">
        <w:rPr>
          <w:rStyle w:val="Pogrubienie"/>
          <w:b/>
          <w:bCs w:val="0"/>
        </w:rPr>
        <w:t>.</w:t>
      </w:r>
    </w:p>
    <w:p w14:paraId="70FDE5A5" w14:textId="77777777" w:rsidR="00E041B2" w:rsidRPr="00EC250C" w:rsidRDefault="00E041B2" w:rsidP="00D131FA">
      <w:pPr>
        <w:pStyle w:val="Styl1"/>
      </w:pPr>
      <w:r w:rsidRPr="00EC250C">
        <w:rPr>
          <w:rStyle w:val="Pogrubienie"/>
          <w:b w:val="0"/>
          <w:bCs w:val="0"/>
        </w:rPr>
        <w:t>Rzecznik Praw Obywatelskich zapytał Ministra Zdrowia oraz Rzecznika Praw Pacjenta</w:t>
      </w:r>
      <w:r w:rsidR="00992FD0" w:rsidRPr="00EC250C">
        <w:rPr>
          <w:rStyle w:val="Pogrubienie"/>
          <w:b w:val="0"/>
          <w:bCs w:val="0"/>
        </w:rPr>
        <w:t xml:space="preserve"> o </w:t>
      </w:r>
      <w:r w:rsidRPr="00EC250C">
        <w:rPr>
          <w:rStyle w:val="Pogrubienie"/>
          <w:b w:val="0"/>
          <w:bCs w:val="0"/>
        </w:rPr>
        <w:t>to, co robi</w:t>
      </w:r>
      <w:r w:rsidR="00B57A04" w:rsidRPr="00EC250C">
        <w:rPr>
          <w:rStyle w:val="Pogrubienie"/>
          <w:b w:val="0"/>
          <w:bCs w:val="0"/>
        </w:rPr>
        <w:t>ą</w:t>
      </w:r>
      <w:r w:rsidRPr="00EC250C">
        <w:rPr>
          <w:rStyle w:val="Pogrubienie"/>
          <w:b w:val="0"/>
          <w:bCs w:val="0"/>
        </w:rPr>
        <w:t>, aby zagwarantować taki dostęp.</w:t>
      </w:r>
      <w:r w:rsidR="00B57A04" w:rsidRPr="00EC250C">
        <w:rPr>
          <w:rStyle w:val="Pogrubienie"/>
          <w:b w:val="0"/>
          <w:bCs w:val="0"/>
        </w:rPr>
        <w:t xml:space="preserve"> Komitet Ministrów Rady Europy, </w:t>
      </w:r>
      <w:r w:rsidR="00B57A04" w:rsidRPr="00EC250C">
        <w:t>który czuwa nad wykonywaniem przez państwa członkowskie wyroków Europejskiego Trybunału Praw Człowieka</w:t>
      </w:r>
      <w:r w:rsidR="00001642" w:rsidRPr="00EC250C">
        <w:t xml:space="preserve">, </w:t>
      </w:r>
      <w:r w:rsidRPr="00EC250C">
        <w:t>zwrócił uwagę, że ETPCz</w:t>
      </w:r>
      <w:r w:rsidR="00992FD0" w:rsidRPr="00EC250C">
        <w:t xml:space="preserve"> w </w:t>
      </w:r>
      <w:r w:rsidRPr="00EC250C">
        <w:t>dwóch wyrokach</w:t>
      </w:r>
      <w:r w:rsidR="00992FD0" w:rsidRPr="00EC250C">
        <w:t xml:space="preserve"> z </w:t>
      </w:r>
      <w:r w:rsidRPr="00EC250C">
        <w:t>2012</w:t>
      </w:r>
      <w:r w:rsidR="00992FD0" w:rsidRPr="00EC250C">
        <w:t xml:space="preserve"> i </w:t>
      </w:r>
      <w:r w:rsidRPr="00EC250C">
        <w:t>2011</w:t>
      </w:r>
      <w:r w:rsidR="00C91F6E" w:rsidRPr="00EC250C">
        <w:t> r.</w:t>
      </w:r>
      <w:r w:rsidR="00001642" w:rsidRPr="00EC250C">
        <w:rPr>
          <w:rStyle w:val="Odwoanieprzypisudolnego"/>
        </w:rPr>
        <w:footnoteReference w:id="538"/>
      </w:r>
      <w:r w:rsidRPr="00EC250C">
        <w:t xml:space="preserve"> podkreślił istotny rozdźwięk między teoretycznie zapewnioną możliwością terminacji ciąży</w:t>
      </w:r>
      <w:r w:rsidR="00992FD0" w:rsidRPr="00EC250C">
        <w:t xml:space="preserve"> a </w:t>
      </w:r>
      <w:r w:rsidRPr="00EC250C">
        <w:t>rzeczywistym do niej dostępem. Według Komitetu</w:t>
      </w:r>
      <w:r w:rsidR="00992FD0" w:rsidRPr="00EC250C">
        <w:t xml:space="preserve"> z </w:t>
      </w:r>
      <w:r w:rsidRPr="00EC250C">
        <w:t>samego faktu, że podmioty lecznicze mają obowiązek informowania</w:t>
      </w:r>
      <w:r w:rsidR="00992FD0" w:rsidRPr="00EC250C">
        <w:t xml:space="preserve"> o </w:t>
      </w:r>
      <w:r w:rsidRPr="00EC250C">
        <w:t>zakresie udzielanych świadczeń</w:t>
      </w:r>
      <w:r w:rsidR="00B57A04" w:rsidRPr="00EC250C">
        <w:t>,</w:t>
      </w:r>
      <w:r w:rsidRPr="00EC250C">
        <w:t xml:space="preserve"> nie można wywodzić, że wszystkim kobietom</w:t>
      </w:r>
      <w:r w:rsidR="00992FD0" w:rsidRPr="00EC250C">
        <w:t xml:space="preserve"> w </w:t>
      </w:r>
      <w:r w:rsidRPr="00EC250C">
        <w:t>ciąży zapewniona jest pełna</w:t>
      </w:r>
      <w:r w:rsidR="00992FD0" w:rsidRPr="00EC250C">
        <w:t xml:space="preserve"> i </w:t>
      </w:r>
      <w:r w:rsidRPr="00EC250C">
        <w:t>wiarygodna informacja dotycząca praktycznej dostępności do legalnych zabiegów aborcji.</w:t>
      </w:r>
    </w:p>
    <w:p w14:paraId="575FD02B" w14:textId="77777777" w:rsidR="00E041B2" w:rsidRPr="00EC250C" w:rsidRDefault="00E041B2" w:rsidP="00D131FA">
      <w:pPr>
        <w:pStyle w:val="Styl1"/>
      </w:pPr>
      <w:r w:rsidRPr="00EC250C">
        <w:t>Komitet podkreślił też, że kontraktowy obowiązek udzielania przez podmioty lecznicze świadczeń przewidzianych umową</w:t>
      </w:r>
      <w:r w:rsidR="00992FD0" w:rsidRPr="00EC250C">
        <w:t xml:space="preserve"> z </w:t>
      </w:r>
      <w:r w:rsidRPr="00EC250C">
        <w:t>Narodowym Funduszem Zdrowia także nie jest wystarczającą gwarancją poszanowania praw pacjentek. Przykładem nieefektywności tego rozwiązania jest</w:t>
      </w:r>
      <w:r w:rsidR="00026572" w:rsidRPr="00EC250C">
        <w:t xml:space="preserve"> </w:t>
      </w:r>
      <w:r w:rsidRPr="00EC250C">
        <w:t>sprawa </w:t>
      </w:r>
      <w:r w:rsidRPr="00EC250C">
        <w:rPr>
          <w:rStyle w:val="Uwydatnienie"/>
          <w:i w:val="0"/>
          <w:iCs w:val="0"/>
        </w:rPr>
        <w:t>P.</w:t>
      </w:r>
      <w:r w:rsidR="00992FD0" w:rsidRPr="00EC250C">
        <w:rPr>
          <w:rStyle w:val="Uwydatnienie"/>
          <w:i w:val="0"/>
          <w:iCs w:val="0"/>
        </w:rPr>
        <w:t xml:space="preserve"> i </w:t>
      </w:r>
      <w:r w:rsidRPr="00EC250C">
        <w:rPr>
          <w:rStyle w:val="Uwydatnienie"/>
          <w:i w:val="0"/>
          <w:iCs w:val="0"/>
        </w:rPr>
        <w:t>S. przeciwko Polsce,</w:t>
      </w:r>
      <w:r w:rsidR="00992FD0" w:rsidRPr="00EC250C">
        <w:rPr>
          <w:rStyle w:val="Uwydatnienie"/>
          <w:i w:val="0"/>
          <w:iCs w:val="0"/>
        </w:rPr>
        <w:t xml:space="preserve"> w </w:t>
      </w:r>
      <w:r w:rsidRPr="00EC250C">
        <w:t>której mechanizm ten okazał się być niewystarczający.</w:t>
      </w:r>
    </w:p>
    <w:p w14:paraId="11C1EAC0" w14:textId="77777777" w:rsidR="00E041B2" w:rsidRPr="00EC250C" w:rsidRDefault="00E041B2" w:rsidP="00D131FA">
      <w:pPr>
        <w:pStyle w:val="Styl1"/>
      </w:pPr>
      <w:r w:rsidRPr="00EC250C">
        <w:t xml:space="preserve">Komitet zwrócił też uwagę na brak precyzyjnych danych </w:t>
      </w:r>
      <w:r w:rsidR="00B57A04" w:rsidRPr="00EC250C">
        <w:t xml:space="preserve">pozwalających na </w:t>
      </w:r>
      <w:r w:rsidRPr="00EC250C">
        <w:t>ocenę, czy Polska gwarantuje rzeczywisty dostęp do aborcji. Za celowe uznał gromadzenie informacji dotyczących sytuacji,</w:t>
      </w:r>
      <w:r w:rsidR="00992FD0" w:rsidRPr="00EC250C">
        <w:t xml:space="preserve"> w </w:t>
      </w:r>
      <w:r w:rsidRPr="00EC250C">
        <w:t>których lekarze powołują się na klauzulę sumienia oraz spraw dotyczących niewywiązywania się podmiotów leczniczych</w:t>
      </w:r>
      <w:r w:rsidR="00992FD0" w:rsidRPr="00EC250C">
        <w:t xml:space="preserve"> z </w:t>
      </w:r>
      <w:r w:rsidRPr="00EC250C">
        <w:t>umów zawartych</w:t>
      </w:r>
      <w:r w:rsidR="00992FD0" w:rsidRPr="00EC250C">
        <w:t xml:space="preserve"> z </w:t>
      </w:r>
      <w:r w:rsidRPr="00EC250C">
        <w:t>NFZ</w:t>
      </w:r>
      <w:r w:rsidRPr="00EC250C">
        <w:rPr>
          <w:rStyle w:val="Odwoanieprzypisudolnego"/>
        </w:rPr>
        <w:footnoteReference w:id="539"/>
      </w:r>
      <w:r w:rsidRPr="00EC250C">
        <w:t>.</w:t>
      </w:r>
    </w:p>
    <w:p w14:paraId="57577528" w14:textId="77777777" w:rsidR="00B1044B" w:rsidRPr="00EC250C" w:rsidRDefault="00B1044B" w:rsidP="00EC79EB">
      <w:pPr>
        <w:pStyle w:val="Nagwek4"/>
      </w:pPr>
      <w:bookmarkStart w:id="551" w:name="_Toc6257881"/>
      <w:bookmarkStart w:id="552" w:name="_Toc7113846"/>
      <w:bookmarkStart w:id="553" w:name="_Toc11247761"/>
      <w:r w:rsidRPr="00EC250C">
        <w:lastRenderedPageBreak/>
        <w:t>Problemy dotyczące zdrowia seniorów</w:t>
      </w:r>
      <w:bookmarkEnd w:id="551"/>
      <w:bookmarkEnd w:id="552"/>
      <w:bookmarkEnd w:id="553"/>
    </w:p>
    <w:p w14:paraId="51365C38" w14:textId="77777777" w:rsidR="00B1044B" w:rsidRPr="00EC250C" w:rsidRDefault="00B1044B" w:rsidP="00EC250C">
      <w:pPr>
        <w:pStyle w:val="Nagwek8"/>
      </w:pPr>
      <w:r w:rsidRPr="00EC250C">
        <w:t>Konferencja „Alzheimer</w:t>
      </w:r>
      <w:r w:rsidR="00992FD0" w:rsidRPr="00EC250C">
        <w:t xml:space="preserve"> w </w:t>
      </w:r>
      <w:r w:rsidRPr="00EC250C">
        <w:t>rodzinie”</w:t>
      </w:r>
      <w:r w:rsidR="00992FD0" w:rsidRPr="00EC250C">
        <w:t xml:space="preserve"> w </w:t>
      </w:r>
      <w:r w:rsidRPr="00EC250C">
        <w:t>20 miejscach</w:t>
      </w:r>
      <w:r w:rsidR="00992FD0" w:rsidRPr="00EC250C">
        <w:t xml:space="preserve"> w </w:t>
      </w:r>
      <w:r w:rsidRPr="00EC250C">
        <w:t>kraju</w:t>
      </w:r>
    </w:p>
    <w:p w14:paraId="2D7C9E45" w14:textId="77777777" w:rsidR="00C91F6E" w:rsidRPr="00EC250C" w:rsidRDefault="00B1044B" w:rsidP="00D131FA">
      <w:pPr>
        <w:pStyle w:val="Styl2"/>
        <w:rPr>
          <w:szCs w:val="24"/>
        </w:rPr>
      </w:pPr>
      <w:r w:rsidRPr="00EC250C">
        <w:rPr>
          <w:szCs w:val="24"/>
        </w:rPr>
        <w:t>Wczesne diagnozowanie choroby Alzheimera, potrzeba badań przesiewowych, zasady komunikowania się</w:t>
      </w:r>
      <w:r w:rsidR="00992FD0" w:rsidRPr="00EC250C">
        <w:rPr>
          <w:szCs w:val="24"/>
        </w:rPr>
        <w:t xml:space="preserve"> z </w:t>
      </w:r>
      <w:r w:rsidRPr="00EC250C">
        <w:rPr>
          <w:szCs w:val="24"/>
        </w:rPr>
        <w:t>osobami dotkniętymi chorobami otępiennymi – to główne tematy konferencji, która odbyła się 27 września 2018 roku</w:t>
      </w:r>
      <w:r w:rsidR="00992FD0" w:rsidRPr="00EC250C">
        <w:rPr>
          <w:szCs w:val="24"/>
        </w:rPr>
        <w:t xml:space="preserve"> w </w:t>
      </w:r>
      <w:r w:rsidRPr="00EC250C">
        <w:rPr>
          <w:szCs w:val="24"/>
        </w:rPr>
        <w:t>Biurze RPO</w:t>
      </w:r>
      <w:r w:rsidR="000F4429" w:rsidRPr="00EC250C">
        <w:rPr>
          <w:rStyle w:val="Odwoanieprzypisudolnego"/>
          <w:szCs w:val="24"/>
        </w:rPr>
        <w:footnoteReference w:id="540"/>
      </w:r>
      <w:r w:rsidRPr="00EC250C">
        <w:rPr>
          <w:szCs w:val="24"/>
        </w:rPr>
        <w:t>.</w:t>
      </w:r>
      <w:r w:rsidR="00685A94" w:rsidRPr="00EC250C">
        <w:rPr>
          <w:szCs w:val="24"/>
        </w:rPr>
        <w:t xml:space="preserve"> Jej przebieg – dzięki transmisji online – można było śledzić aktywnie</w:t>
      </w:r>
      <w:r w:rsidR="00992FD0" w:rsidRPr="00EC250C">
        <w:rPr>
          <w:szCs w:val="24"/>
        </w:rPr>
        <w:t xml:space="preserve"> w </w:t>
      </w:r>
      <w:r w:rsidR="00685A94" w:rsidRPr="00EC250C">
        <w:rPr>
          <w:szCs w:val="24"/>
        </w:rPr>
        <w:t>20 miejscach</w:t>
      </w:r>
      <w:r w:rsidR="00992FD0" w:rsidRPr="00EC250C">
        <w:rPr>
          <w:szCs w:val="24"/>
        </w:rPr>
        <w:t xml:space="preserve"> w </w:t>
      </w:r>
      <w:r w:rsidR="00685A94" w:rsidRPr="00EC250C">
        <w:rPr>
          <w:szCs w:val="24"/>
        </w:rPr>
        <w:t>całym kraju. Konferencja</w:t>
      </w:r>
      <w:r w:rsidR="00992FD0" w:rsidRPr="00EC250C">
        <w:rPr>
          <w:szCs w:val="24"/>
        </w:rPr>
        <w:t xml:space="preserve"> w </w:t>
      </w:r>
      <w:r w:rsidR="00685A94" w:rsidRPr="00EC250C">
        <w:rPr>
          <w:szCs w:val="24"/>
        </w:rPr>
        <w:t>tej formie odbyła się po raz drugi. W 2017</w:t>
      </w:r>
      <w:r w:rsidR="00C91F6E" w:rsidRPr="00EC250C">
        <w:rPr>
          <w:szCs w:val="24"/>
        </w:rPr>
        <w:t> r.</w:t>
      </w:r>
      <w:r w:rsidR="00685A94" w:rsidRPr="00EC250C">
        <w:rPr>
          <w:szCs w:val="24"/>
        </w:rPr>
        <w:t xml:space="preserve"> uczestniczyli</w:t>
      </w:r>
      <w:r w:rsidR="00992FD0" w:rsidRPr="00EC250C">
        <w:rPr>
          <w:szCs w:val="24"/>
        </w:rPr>
        <w:t xml:space="preserve"> w </w:t>
      </w:r>
      <w:r w:rsidR="00685A94" w:rsidRPr="00EC250C">
        <w:rPr>
          <w:szCs w:val="24"/>
        </w:rPr>
        <w:t>niej mieszkańcy 9 miejscowości poza Warszawą. Widać więc, że akcja rozrasta się</w:t>
      </w:r>
      <w:r w:rsidR="00992FD0" w:rsidRPr="00EC250C">
        <w:rPr>
          <w:szCs w:val="24"/>
        </w:rPr>
        <w:t xml:space="preserve"> i </w:t>
      </w:r>
      <w:r w:rsidR="00685A94" w:rsidRPr="00EC250C">
        <w:rPr>
          <w:szCs w:val="24"/>
        </w:rPr>
        <w:t>przynosi efekty.</w:t>
      </w:r>
    </w:p>
    <w:p w14:paraId="20D09350" w14:textId="77777777" w:rsidR="00B1044B" w:rsidRPr="00EC250C" w:rsidRDefault="00B1044B" w:rsidP="00D131FA">
      <w:pPr>
        <w:pStyle w:val="Styl2"/>
        <w:rPr>
          <w:szCs w:val="24"/>
        </w:rPr>
      </w:pPr>
      <w:r w:rsidRPr="00EC250C">
        <w:rPr>
          <w:szCs w:val="24"/>
        </w:rPr>
        <w:t>Eksperci</w:t>
      </w:r>
      <w:r w:rsidR="00992FD0" w:rsidRPr="00EC250C">
        <w:rPr>
          <w:szCs w:val="24"/>
        </w:rPr>
        <w:t xml:space="preserve"> z </w:t>
      </w:r>
      <w:r w:rsidRPr="00EC250C">
        <w:rPr>
          <w:szCs w:val="24"/>
        </w:rPr>
        <w:t>Biura RPO wielokrotnie podkreślali, jak ważna jest wczesna diagnoza nie tylko dla chorego, ale także dla rodziny, która będzie miała czas oswoić się</w:t>
      </w:r>
      <w:r w:rsidR="00992FD0" w:rsidRPr="00EC250C">
        <w:rPr>
          <w:szCs w:val="24"/>
        </w:rPr>
        <w:t xml:space="preserve"> z </w:t>
      </w:r>
      <w:r w:rsidRPr="00EC250C">
        <w:rPr>
          <w:szCs w:val="24"/>
        </w:rPr>
        <w:t>nową sytuacją</w:t>
      </w:r>
      <w:r w:rsidR="00992FD0" w:rsidRPr="00EC250C">
        <w:rPr>
          <w:szCs w:val="24"/>
        </w:rPr>
        <w:t xml:space="preserve"> i </w:t>
      </w:r>
      <w:r w:rsidRPr="00EC250C">
        <w:rPr>
          <w:szCs w:val="24"/>
        </w:rPr>
        <w:t>przeorganizować życie rodzinne,</w:t>
      </w:r>
      <w:r w:rsidR="00992FD0" w:rsidRPr="00EC250C">
        <w:rPr>
          <w:szCs w:val="24"/>
        </w:rPr>
        <w:t xml:space="preserve"> w </w:t>
      </w:r>
      <w:r w:rsidRPr="00EC250C">
        <w:rPr>
          <w:szCs w:val="24"/>
        </w:rPr>
        <w:t>ten sposób, aby zapewnić jak najlepszą opiekę choremu. Na przykładzie państw europejskich wskazano korzyści wynikające</w:t>
      </w:r>
      <w:r w:rsidR="00992FD0" w:rsidRPr="00EC250C">
        <w:rPr>
          <w:szCs w:val="24"/>
        </w:rPr>
        <w:t xml:space="preserve"> z </w:t>
      </w:r>
      <w:r w:rsidRPr="00EC250C">
        <w:rPr>
          <w:szCs w:val="24"/>
        </w:rPr>
        <w:t>przeprowadzenia wczesnej diagnostyki. Należą do nich m.in.: oszczędności finansowe dla budżetu, przedłużenie okresu sprawności psychofizycznej chorego, zmniejszenie lub opóźnienie negatywnych skutków społecznych, ekonomicznych dla chorego</w:t>
      </w:r>
      <w:r w:rsidR="00992FD0" w:rsidRPr="00EC250C">
        <w:rPr>
          <w:szCs w:val="24"/>
        </w:rPr>
        <w:t xml:space="preserve"> i </w:t>
      </w:r>
      <w:r w:rsidRPr="00EC250C">
        <w:rPr>
          <w:szCs w:val="24"/>
        </w:rPr>
        <w:t>opiekuna, możliwość zaplanowania sobie dalszego życia (finanse, rodzina itp.)</w:t>
      </w:r>
      <w:r w:rsidR="00685A94" w:rsidRPr="00EC250C">
        <w:rPr>
          <w:szCs w:val="24"/>
        </w:rPr>
        <w:t>.</w:t>
      </w:r>
    </w:p>
    <w:p w14:paraId="7CB01A28" w14:textId="77777777" w:rsidR="00685A94" w:rsidRPr="00EC250C" w:rsidRDefault="00685A94" w:rsidP="00D131FA">
      <w:pPr>
        <w:pStyle w:val="Styl2"/>
        <w:rPr>
          <w:szCs w:val="24"/>
        </w:rPr>
      </w:pPr>
      <w:r w:rsidRPr="00EC250C">
        <w:rPr>
          <w:szCs w:val="24"/>
        </w:rPr>
        <w:t>Wydarzenie współorganizowały Stowarzyszenie Alzheimer Polska przy współpracy Związku Powiatów Polskich.</w:t>
      </w:r>
    </w:p>
    <w:p w14:paraId="0AE87648" w14:textId="77777777" w:rsidR="00B1044B" w:rsidRPr="00EC250C" w:rsidRDefault="00B1044B" w:rsidP="00EC250C">
      <w:pPr>
        <w:pStyle w:val="Nagwek8"/>
      </w:pPr>
      <w:r w:rsidRPr="00EC250C">
        <w:t>Problemy geriatrii</w:t>
      </w:r>
    </w:p>
    <w:p w14:paraId="130E647A" w14:textId="77777777" w:rsidR="00B1044B" w:rsidRPr="00EC250C" w:rsidRDefault="00B1044B" w:rsidP="00D131FA">
      <w:pPr>
        <w:pStyle w:val="Styl2"/>
        <w:rPr>
          <w:szCs w:val="24"/>
        </w:rPr>
      </w:pPr>
      <w:r w:rsidRPr="00EC250C">
        <w:rPr>
          <w:szCs w:val="24"/>
        </w:rPr>
        <w:t>Jeżeli nie podejmiemy konkretnych działań, to</w:t>
      </w:r>
      <w:r w:rsidR="00992FD0" w:rsidRPr="00EC250C">
        <w:rPr>
          <w:szCs w:val="24"/>
        </w:rPr>
        <w:t xml:space="preserve"> w </w:t>
      </w:r>
      <w:r w:rsidRPr="00EC250C">
        <w:rPr>
          <w:szCs w:val="24"/>
        </w:rPr>
        <w:t>perspektywie najbliższych dziesięcioleci zamiast szpitali będziemy mieli masowe umieralnie seniorów. Takie są wnioski</w:t>
      </w:r>
      <w:r w:rsidR="00992FD0" w:rsidRPr="00EC250C">
        <w:rPr>
          <w:szCs w:val="24"/>
        </w:rPr>
        <w:t xml:space="preserve"> z </w:t>
      </w:r>
      <w:r w:rsidRPr="00EC250C">
        <w:rPr>
          <w:szCs w:val="24"/>
        </w:rPr>
        <w:t>dyskusji Komisji Ekspertów ds. Osób Starszych działającej przy Rzeczniku Praw Obywatelskich</w:t>
      </w:r>
      <w:r w:rsidR="00992FD0" w:rsidRPr="00EC250C">
        <w:rPr>
          <w:szCs w:val="24"/>
        </w:rPr>
        <w:t xml:space="preserve"> o </w:t>
      </w:r>
      <w:r w:rsidRPr="00EC250C">
        <w:rPr>
          <w:szCs w:val="24"/>
        </w:rPr>
        <w:t>konsekwencjach wprowadzenia sieci szpitali dla opieki medycznej osób starszych.</w:t>
      </w:r>
    </w:p>
    <w:p w14:paraId="2A315844" w14:textId="77777777" w:rsidR="00B1044B" w:rsidRPr="00EC250C" w:rsidRDefault="00B1044B" w:rsidP="00D131FA">
      <w:pPr>
        <w:pStyle w:val="Styl2"/>
        <w:rPr>
          <w:szCs w:val="24"/>
        </w:rPr>
      </w:pPr>
      <w:r w:rsidRPr="00EC250C">
        <w:rPr>
          <w:szCs w:val="24"/>
        </w:rPr>
        <w:t>Obecnie</w:t>
      </w:r>
      <w:r w:rsidR="00992FD0" w:rsidRPr="00EC250C">
        <w:rPr>
          <w:szCs w:val="24"/>
        </w:rPr>
        <w:t xml:space="preserve"> w </w:t>
      </w:r>
      <w:r w:rsidRPr="00EC250C">
        <w:rPr>
          <w:szCs w:val="24"/>
        </w:rPr>
        <w:t xml:space="preserve">sieci szpitali nie ma oddziałów geriatrycznych, zdaniem </w:t>
      </w:r>
      <w:r w:rsidR="00395CCC" w:rsidRPr="00EC250C">
        <w:rPr>
          <w:szCs w:val="24"/>
        </w:rPr>
        <w:t>Ministra Zdrowia</w:t>
      </w:r>
      <w:r w:rsidRPr="00EC250C">
        <w:rPr>
          <w:szCs w:val="24"/>
        </w:rPr>
        <w:t xml:space="preserve"> seniorom wystarczy pomoc internistów.</w:t>
      </w:r>
      <w:r w:rsidR="00685A94" w:rsidRPr="00EC250C">
        <w:rPr>
          <w:szCs w:val="24"/>
        </w:rPr>
        <w:t xml:space="preserve"> </w:t>
      </w:r>
      <w:r w:rsidRPr="00EC250C">
        <w:rPr>
          <w:szCs w:val="24"/>
        </w:rPr>
        <w:t>Tak nie jest. Tak jak opiekę nad dziećmi powierzamy pediatrom</w:t>
      </w:r>
      <w:r w:rsidR="00992FD0" w:rsidRPr="00EC250C">
        <w:rPr>
          <w:szCs w:val="24"/>
        </w:rPr>
        <w:t xml:space="preserve"> a </w:t>
      </w:r>
      <w:r w:rsidRPr="00EC250C">
        <w:rPr>
          <w:szCs w:val="24"/>
        </w:rPr>
        <w:t>nie internistom, tak seniorzy potrzebują wsparcia geriatrów.</w:t>
      </w:r>
    </w:p>
    <w:p w14:paraId="4213E82B" w14:textId="77777777" w:rsidR="00B1044B" w:rsidRPr="00EC250C" w:rsidRDefault="00B1044B" w:rsidP="00D131FA">
      <w:pPr>
        <w:pStyle w:val="Styl2"/>
        <w:rPr>
          <w:b w:val="0"/>
          <w:bCs w:val="0"/>
          <w:szCs w:val="24"/>
        </w:rPr>
      </w:pPr>
      <w:r w:rsidRPr="00EC250C">
        <w:rPr>
          <w:szCs w:val="24"/>
        </w:rPr>
        <w:t>Pacjent geriatryczny trafiający na oddział internistyczny nie ma szans na właściwą opiekę, ponieważ personel nie ma dla niego wystarczająco dużo czasu, ani nie jest odpowiednio przygotowany. Nauka geriatrii wymaga uczenia się wg. standardów stosowanych na oddziałach geriatrycznych. Nie można się tego nauczyć u konsultanta geriatrycznego na oddziale ogólnym. Na izbach przyjęć lekarze nie potrafią zidentyfikować pacjentów geriatrycznych</w:t>
      </w:r>
      <w:r w:rsidR="00992FD0" w:rsidRPr="00EC250C">
        <w:rPr>
          <w:szCs w:val="24"/>
        </w:rPr>
        <w:t xml:space="preserve"> i </w:t>
      </w:r>
      <w:r w:rsidRPr="00EC250C">
        <w:rPr>
          <w:szCs w:val="24"/>
        </w:rPr>
        <w:t>odpowiednio ich kwalifikować,</w:t>
      </w:r>
      <w:r w:rsidR="00992FD0" w:rsidRPr="00EC250C">
        <w:rPr>
          <w:szCs w:val="24"/>
        </w:rPr>
        <w:t xml:space="preserve"> a w </w:t>
      </w:r>
      <w:r w:rsidRPr="00EC250C">
        <w:rPr>
          <w:szCs w:val="24"/>
        </w:rPr>
        <w:t>konsekwencji taki pacjent jest niewłaściwie leczony. Lekarze interniści nie są przygotowani do zajmowania się pacjentami geriatrycznymi</w:t>
      </w:r>
      <w:r w:rsidR="00992FD0" w:rsidRPr="00EC250C">
        <w:rPr>
          <w:szCs w:val="24"/>
        </w:rPr>
        <w:t xml:space="preserve"> i </w:t>
      </w:r>
      <w:r w:rsidRPr="00EC250C">
        <w:rPr>
          <w:szCs w:val="24"/>
        </w:rPr>
        <w:t>są odcięci od możliwości nauki przez wprowadzenie sieci szpitali</w:t>
      </w:r>
      <w:r w:rsidRPr="00EC250C">
        <w:rPr>
          <w:rStyle w:val="Odwoanieprzypisudolnego"/>
          <w:szCs w:val="24"/>
        </w:rPr>
        <w:footnoteReference w:id="541"/>
      </w:r>
      <w:r w:rsidRPr="00EC250C">
        <w:rPr>
          <w:szCs w:val="24"/>
        </w:rPr>
        <w:t>.</w:t>
      </w:r>
    </w:p>
    <w:p w14:paraId="10BE8DB2" w14:textId="77777777" w:rsidR="00B1044B" w:rsidRPr="00EC250C" w:rsidRDefault="00B1044B" w:rsidP="00D131FA">
      <w:pPr>
        <w:pStyle w:val="ODESANIE"/>
        <w:ind w:left="-97"/>
        <w:jc w:val="both"/>
      </w:pPr>
      <w:r w:rsidRPr="00EC250C">
        <w:t>Więcej</w:t>
      </w:r>
      <w:r w:rsidR="00992FD0" w:rsidRPr="00EC250C">
        <w:t xml:space="preserve"> o </w:t>
      </w:r>
      <w:r w:rsidRPr="00EC250C">
        <w:t>pracy komisji ekspertów działających przy RPO na rzecz poprawy sytuacji</w:t>
      </w:r>
      <w:r w:rsidR="00992FD0" w:rsidRPr="00EC250C">
        <w:t xml:space="preserve"> w </w:t>
      </w:r>
      <w:r w:rsidRPr="00EC250C">
        <w:t>służbie zdrowia –</w:t>
      </w:r>
      <w:r w:rsidR="00992FD0" w:rsidRPr="00EC250C">
        <w:t xml:space="preserve"> w </w:t>
      </w:r>
      <w:r w:rsidRPr="00EC250C">
        <w:t>Części III Informacji</w:t>
      </w:r>
    </w:p>
    <w:p w14:paraId="794E917E" w14:textId="77777777" w:rsidR="00B1044B" w:rsidRPr="00EC250C" w:rsidRDefault="00B1044B" w:rsidP="00D131FA">
      <w:pPr>
        <w:spacing w:after="200" w:line="24" w:lineRule="auto"/>
        <w:jc w:val="both"/>
        <w:rPr>
          <w:bCs/>
          <w:color w:val="044892"/>
          <w:sz w:val="24"/>
        </w:rPr>
      </w:pPr>
      <w:r w:rsidRPr="00EC250C">
        <w:rPr>
          <w:sz w:val="24"/>
        </w:rPr>
        <w:br w:type="page"/>
      </w:r>
    </w:p>
    <w:p w14:paraId="563098F1" w14:textId="77777777" w:rsidR="00B1044B" w:rsidRPr="00EC250C" w:rsidRDefault="00B1044B" w:rsidP="00EC250C">
      <w:pPr>
        <w:pStyle w:val="Nagwek3"/>
      </w:pPr>
      <w:bookmarkStart w:id="554" w:name="_Toc6257882"/>
      <w:bookmarkStart w:id="555" w:name="_Toc7113847"/>
      <w:bookmarkStart w:id="556" w:name="_Toc11247762"/>
      <w:r w:rsidRPr="00EC250C">
        <w:lastRenderedPageBreak/>
        <w:t>Art. 68 ust. 4 – Zwalczanie chorób epidemicznych</w:t>
      </w:r>
      <w:r w:rsidR="00992FD0" w:rsidRPr="00EC250C">
        <w:t xml:space="preserve"> i </w:t>
      </w:r>
      <w:r w:rsidRPr="00EC250C">
        <w:t>zapobieganie degradacji środowiska</w:t>
      </w:r>
      <w:bookmarkEnd w:id="554"/>
      <w:bookmarkEnd w:id="555"/>
      <w:bookmarkEnd w:id="556"/>
    </w:p>
    <w:p w14:paraId="21682D4B" w14:textId="77777777" w:rsidR="00B1044B" w:rsidRPr="00EC250C" w:rsidRDefault="00B1044B" w:rsidP="00D131FA">
      <w:pPr>
        <w:pStyle w:val="konstytucja"/>
        <w:jc w:val="both"/>
      </w:pPr>
      <w:r w:rsidRPr="00EC250C">
        <w:t>Władze publiczne są obowiązane do zwalczania chorób epidemicznych</w:t>
      </w:r>
      <w:r w:rsidR="00992FD0" w:rsidRPr="00EC250C">
        <w:t xml:space="preserve"> i </w:t>
      </w:r>
      <w:r w:rsidRPr="00EC250C">
        <w:t>zapobiegania negatywnym dla zdrowia skutkom degradacji środowiska.</w:t>
      </w:r>
    </w:p>
    <w:p w14:paraId="349E649F" w14:textId="77777777" w:rsidR="00B1044B" w:rsidRPr="00EC250C" w:rsidRDefault="00B1044B" w:rsidP="00D131FA">
      <w:pPr>
        <w:pStyle w:val="ComwiKonstytucja"/>
      </w:pPr>
      <w:r w:rsidRPr="00EC250C">
        <w:t>Ten przepis Konstytucji nakłada na władze publiczne obowiązek zwalczania chorób epidemicznych</w:t>
      </w:r>
      <w:r w:rsidR="00992FD0" w:rsidRPr="00EC250C">
        <w:t xml:space="preserve"> i </w:t>
      </w:r>
      <w:r w:rsidRPr="00EC250C">
        <w:t>zapobiegania negatywnym dla zdrowia skutkom degradacji środowiska.</w:t>
      </w:r>
    </w:p>
    <w:p w14:paraId="3B870174" w14:textId="77777777" w:rsidR="00C91F6E" w:rsidRPr="00EC250C" w:rsidRDefault="00B1044B" w:rsidP="00D131FA">
      <w:pPr>
        <w:pStyle w:val="ComwiKonstytucja"/>
      </w:pPr>
      <w:r w:rsidRPr="00EC250C">
        <w:t>Komentatorzy podkreślają, że chodzi przede wszystkim</w:t>
      </w:r>
      <w:r w:rsidR="00992FD0" w:rsidRPr="00EC250C">
        <w:t xml:space="preserve"> o </w:t>
      </w:r>
      <w:r w:rsidRPr="00EC250C">
        <w:t>podejmowanie działań prewencyjnych, tj. profilaktycznych, edukacyjnych, dbałość</w:t>
      </w:r>
      <w:r w:rsidR="00992FD0" w:rsidRPr="00EC250C">
        <w:t xml:space="preserve"> o </w:t>
      </w:r>
      <w:r w:rsidRPr="00EC250C">
        <w:t>higienę, kontrolę zakażeń oraz leczenie chorób epidemicznych.</w:t>
      </w:r>
    </w:p>
    <w:p w14:paraId="454F82E0" w14:textId="77777777" w:rsidR="00B1044B" w:rsidRPr="00EC250C" w:rsidRDefault="00B1044B" w:rsidP="00D131FA">
      <w:pPr>
        <w:pStyle w:val="ComwiKonstytucja"/>
      </w:pPr>
      <w:r w:rsidRPr="00EC250C">
        <w:t>Ten obowiązek należy analizować łącznie</w:t>
      </w:r>
      <w:r w:rsidR="00992FD0" w:rsidRPr="00EC250C">
        <w:t xml:space="preserve"> z </w:t>
      </w:r>
      <w:r w:rsidRPr="00EC250C">
        <w:t>art. 74 Konstytucji, który zobowiązuje władze publiczne do prowadzenia polityki zapewniającej bezpieczeństwo ekologiczne współczesnemu</w:t>
      </w:r>
      <w:r w:rsidR="00992FD0" w:rsidRPr="00EC250C">
        <w:t xml:space="preserve"> i </w:t>
      </w:r>
      <w:r w:rsidRPr="00EC250C">
        <w:t>przyszłym pokoleniom, ochrony środowiska, wspierania działań obywateli na rzecz poprawy stanu środowiska oraz zapewnienia jednostkom prawa do informacji</w:t>
      </w:r>
      <w:r w:rsidR="00992FD0" w:rsidRPr="00EC250C">
        <w:t xml:space="preserve"> o </w:t>
      </w:r>
      <w:r w:rsidRPr="00EC250C">
        <w:t>stanie</w:t>
      </w:r>
      <w:r w:rsidR="00992FD0" w:rsidRPr="00EC250C">
        <w:t xml:space="preserve"> i </w:t>
      </w:r>
      <w:r w:rsidRPr="00EC250C">
        <w:t>ochronie środowiska,</w:t>
      </w:r>
      <w:r w:rsidR="00992FD0" w:rsidRPr="00EC250C">
        <w:t xml:space="preserve"> a </w:t>
      </w:r>
      <w:r w:rsidRPr="00EC250C">
        <w:t>także</w:t>
      </w:r>
      <w:r w:rsidR="00992FD0" w:rsidRPr="00EC250C">
        <w:t xml:space="preserve"> z </w:t>
      </w:r>
      <w:r w:rsidRPr="00EC250C">
        <w:t>art. 86, który nakłada na każdego obowiązek dbałości</w:t>
      </w:r>
      <w:r w:rsidR="00992FD0" w:rsidRPr="00EC250C">
        <w:t xml:space="preserve"> o </w:t>
      </w:r>
      <w:r w:rsidRPr="00EC250C">
        <w:t>stan środowiska oraz odpowiedzialność za jego pogorszenie, której zasady określa ustawa.</w:t>
      </w:r>
    </w:p>
    <w:p w14:paraId="165CAD02" w14:textId="77777777" w:rsidR="00B1044B" w:rsidRPr="00EC250C" w:rsidRDefault="00B1044B" w:rsidP="00D131FA">
      <w:pPr>
        <w:spacing w:after="200" w:line="24" w:lineRule="auto"/>
        <w:jc w:val="both"/>
        <w:rPr>
          <w:i/>
          <w:spacing w:val="5"/>
          <w:sz w:val="22"/>
        </w:rPr>
      </w:pPr>
      <w:r w:rsidRPr="00EC250C">
        <w:rPr>
          <w:sz w:val="24"/>
        </w:rPr>
        <w:br w:type="page"/>
      </w:r>
    </w:p>
    <w:p w14:paraId="7C65F333" w14:textId="77777777" w:rsidR="00C91F6E" w:rsidRPr="00EC250C" w:rsidRDefault="00B1044B" w:rsidP="00EC79EB">
      <w:pPr>
        <w:pStyle w:val="Nagwek4"/>
      </w:pPr>
      <w:bookmarkStart w:id="557" w:name="_Toc6257883"/>
      <w:bookmarkStart w:id="558" w:name="_Toc7113848"/>
      <w:bookmarkStart w:id="559" w:name="_Toc11247763"/>
      <w:r w:rsidRPr="00EC250C">
        <w:lastRenderedPageBreak/>
        <w:t>Zagrożenie epidemią odry</w:t>
      </w:r>
      <w:bookmarkEnd w:id="557"/>
      <w:bookmarkEnd w:id="558"/>
      <w:bookmarkEnd w:id="559"/>
    </w:p>
    <w:p w14:paraId="6E2FE4AF" w14:textId="77777777" w:rsidR="00B473F5" w:rsidRPr="00EC250C" w:rsidRDefault="00B1044B" w:rsidP="00D131FA">
      <w:pPr>
        <w:pStyle w:val="Problemczowieka"/>
        <w:jc w:val="both"/>
        <w:rPr>
          <w:rStyle w:val="Pogrubienie"/>
          <w:rFonts w:eastAsiaTheme="majorEastAsia"/>
          <w:b/>
          <w:bCs w:val="0"/>
        </w:rPr>
      </w:pPr>
      <w:r w:rsidRPr="00EC250C">
        <w:rPr>
          <w:rStyle w:val="Pogrubienie"/>
          <w:rFonts w:eastAsiaTheme="majorEastAsia"/>
          <w:b/>
          <w:bCs w:val="0"/>
        </w:rPr>
        <w:t>Wzrasta liczba dzieci nieszczepionych na odrę,</w:t>
      </w:r>
      <w:r w:rsidR="00992FD0" w:rsidRPr="00EC250C">
        <w:rPr>
          <w:rStyle w:val="Pogrubienie"/>
          <w:rFonts w:eastAsiaTheme="majorEastAsia"/>
          <w:b/>
          <w:bCs w:val="0"/>
        </w:rPr>
        <w:t xml:space="preserve"> a </w:t>
      </w:r>
      <w:r w:rsidRPr="00EC250C">
        <w:rPr>
          <w:rStyle w:val="Pogrubienie"/>
          <w:rFonts w:eastAsiaTheme="majorEastAsia"/>
          <w:b/>
          <w:bCs w:val="0"/>
        </w:rPr>
        <w:t>spadek zaufania do szczepień</w:t>
      </w:r>
      <w:r w:rsidR="00992FD0" w:rsidRPr="00EC250C">
        <w:rPr>
          <w:rStyle w:val="Pogrubienie"/>
          <w:rFonts w:eastAsiaTheme="majorEastAsia"/>
          <w:b/>
          <w:bCs w:val="0"/>
        </w:rPr>
        <w:t xml:space="preserve"> w </w:t>
      </w:r>
      <w:r w:rsidRPr="00EC250C">
        <w:rPr>
          <w:rStyle w:val="Pogrubienie"/>
          <w:rFonts w:eastAsiaTheme="majorEastAsia"/>
          <w:b/>
          <w:bCs w:val="0"/>
        </w:rPr>
        <w:t>Polsce jest największy</w:t>
      </w:r>
      <w:r w:rsidR="00992FD0" w:rsidRPr="00EC250C">
        <w:rPr>
          <w:rStyle w:val="Pogrubienie"/>
          <w:rFonts w:eastAsiaTheme="majorEastAsia"/>
          <w:b/>
          <w:bCs w:val="0"/>
        </w:rPr>
        <w:t xml:space="preserve"> w </w:t>
      </w:r>
      <w:r w:rsidRPr="00EC250C">
        <w:rPr>
          <w:rStyle w:val="Pogrubienie"/>
          <w:rFonts w:eastAsiaTheme="majorEastAsia"/>
          <w:b/>
          <w:bCs w:val="0"/>
        </w:rPr>
        <w:t>Europie. W efekcie poziom odporności populacyjnej na odrę jest już</w:t>
      </w:r>
      <w:r w:rsidR="00992FD0" w:rsidRPr="00EC250C">
        <w:rPr>
          <w:rStyle w:val="Pogrubienie"/>
          <w:rFonts w:eastAsiaTheme="majorEastAsia"/>
          <w:b/>
          <w:bCs w:val="0"/>
        </w:rPr>
        <w:t xml:space="preserve"> w </w:t>
      </w:r>
      <w:r w:rsidRPr="00EC250C">
        <w:rPr>
          <w:rStyle w:val="Pogrubienie"/>
          <w:rFonts w:eastAsiaTheme="majorEastAsia"/>
          <w:b/>
          <w:bCs w:val="0"/>
        </w:rPr>
        <w:t>Polsce niższy od bezpiecznego minimum</w:t>
      </w:r>
      <w:r w:rsidR="00B473F5" w:rsidRPr="00EC250C">
        <w:rPr>
          <w:rStyle w:val="Pogrubienie"/>
          <w:rFonts w:eastAsiaTheme="majorEastAsia"/>
          <w:b/>
          <w:bCs w:val="0"/>
        </w:rPr>
        <w:t>.</w:t>
      </w:r>
    </w:p>
    <w:p w14:paraId="3E6502D6" w14:textId="77777777" w:rsidR="00B1044B" w:rsidRPr="00EC250C" w:rsidRDefault="00B1044B" w:rsidP="00D131FA">
      <w:pPr>
        <w:pStyle w:val="Styl1"/>
      </w:pPr>
      <w:r w:rsidRPr="00EC250C">
        <w:t>Problem,</w:t>
      </w:r>
      <w:r w:rsidR="00992FD0" w:rsidRPr="00EC250C">
        <w:t xml:space="preserve"> z </w:t>
      </w:r>
      <w:r w:rsidRPr="00EC250C">
        <w:t>jakim się borykamy, polega na tym, że informacja</w:t>
      </w:r>
      <w:r w:rsidR="00992FD0" w:rsidRPr="00EC250C">
        <w:t xml:space="preserve"> i </w:t>
      </w:r>
      <w:r w:rsidRPr="00EC250C">
        <w:t>edukacja</w:t>
      </w:r>
      <w:r w:rsidR="00992FD0" w:rsidRPr="00EC250C">
        <w:t xml:space="preserve"> w </w:t>
      </w:r>
      <w:r w:rsidRPr="00EC250C">
        <w:t>zakresie szczepień może być niewystarczająca. Powstaje też pytanie, czy przedstawiciele władzy publicznej stosownie odpowiadają na pojawiające się kontrowersje wokół szczepień oraz coraz bardziej widoczne</w:t>
      </w:r>
      <w:r w:rsidR="00992FD0" w:rsidRPr="00EC250C">
        <w:t xml:space="preserve"> w </w:t>
      </w:r>
      <w:r w:rsidRPr="00EC250C">
        <w:t xml:space="preserve">debacie publicznej głosy przeciw obowiązkowym szczepieniom. Dlatego </w:t>
      </w:r>
      <w:r w:rsidR="00D76DC6" w:rsidRPr="00EC250C">
        <w:t>RPO</w:t>
      </w:r>
      <w:r w:rsidRPr="00EC250C">
        <w:t xml:space="preserve"> prosił</w:t>
      </w:r>
      <w:r w:rsidR="00992FD0" w:rsidRPr="00EC250C">
        <w:t xml:space="preserve"> o </w:t>
      </w:r>
      <w:r w:rsidRPr="00EC250C">
        <w:t>interwencje Ministra Zdrowia, Ministra Edukacji Narodowej oraz Głównego Inspektora Sanitarnego. Dane są alarmujące:</w:t>
      </w:r>
    </w:p>
    <w:p w14:paraId="442AAFEC" w14:textId="77777777" w:rsidR="00B1044B" w:rsidRPr="00EC250C" w:rsidRDefault="00D66441" w:rsidP="006C70B7">
      <w:pPr>
        <w:pStyle w:val="Styl1"/>
        <w:numPr>
          <w:ilvl w:val="0"/>
          <w:numId w:val="53"/>
        </w:numPr>
      </w:pPr>
      <w:r w:rsidRPr="00EC250C">
        <w:t>w</w:t>
      </w:r>
      <w:r w:rsidR="00B1044B" w:rsidRPr="00EC250C">
        <w:t xml:space="preserve"> latach 2006−2010 nieszczepionych dzieci było ok. 4 tys.;</w:t>
      </w:r>
      <w:r w:rsidR="00992FD0" w:rsidRPr="00EC250C">
        <w:t xml:space="preserve"> w </w:t>
      </w:r>
      <w:r w:rsidR="00B1044B" w:rsidRPr="00EC250C">
        <w:t>2012</w:t>
      </w:r>
      <w:r w:rsidR="00C91F6E" w:rsidRPr="00EC250C">
        <w:t> r.</w:t>
      </w:r>
      <w:r w:rsidR="00026572" w:rsidRPr="00EC250C">
        <w:t xml:space="preserve"> – </w:t>
      </w:r>
      <w:r w:rsidR="00B1044B" w:rsidRPr="00EC250C">
        <w:t>ponad 5 tys.,</w:t>
      </w:r>
      <w:r w:rsidR="00992FD0" w:rsidRPr="00EC250C">
        <w:t xml:space="preserve"> w </w:t>
      </w:r>
      <w:r w:rsidR="00B1044B" w:rsidRPr="00EC250C">
        <w:t>2013</w:t>
      </w:r>
      <w:r w:rsidR="00C91F6E" w:rsidRPr="00EC250C">
        <w:t> r.</w:t>
      </w:r>
      <w:r w:rsidR="00B1044B" w:rsidRPr="00EC250C">
        <w:t xml:space="preserve"> – ponad 7 tys.,</w:t>
      </w:r>
      <w:r w:rsidR="00992FD0" w:rsidRPr="00EC250C">
        <w:t xml:space="preserve"> w </w:t>
      </w:r>
      <w:r w:rsidR="00B1044B" w:rsidRPr="00EC250C">
        <w:t>2014</w:t>
      </w:r>
      <w:r w:rsidR="00C91F6E" w:rsidRPr="00EC250C">
        <w:t> r.</w:t>
      </w:r>
      <w:r w:rsidR="00B1044B" w:rsidRPr="00EC250C">
        <w:t xml:space="preserve"> − ponad 12 tys.,</w:t>
      </w:r>
      <w:r w:rsidR="00992FD0" w:rsidRPr="00EC250C">
        <w:t xml:space="preserve"> a w </w:t>
      </w:r>
      <w:r w:rsidR="00B1044B" w:rsidRPr="00EC250C">
        <w:t>2015 − około 16 tys. W 2016</w:t>
      </w:r>
      <w:r w:rsidR="00C91F6E" w:rsidRPr="00EC250C">
        <w:t> r.</w:t>
      </w:r>
      <w:r w:rsidR="00B1044B" w:rsidRPr="00EC250C">
        <w:t xml:space="preserve"> liczba niezaszczepionych dzieci wzrosła do 23,1 tys.</w:t>
      </w:r>
    </w:p>
    <w:p w14:paraId="34ABC4F4" w14:textId="77777777" w:rsidR="00B1044B" w:rsidRPr="00EC250C" w:rsidRDefault="00D66441" w:rsidP="006C70B7">
      <w:pPr>
        <w:pStyle w:val="Styl1"/>
        <w:numPr>
          <w:ilvl w:val="0"/>
          <w:numId w:val="53"/>
        </w:numPr>
      </w:pPr>
      <w:r w:rsidRPr="00EC250C">
        <w:t>w</w:t>
      </w:r>
      <w:r w:rsidR="00B1044B" w:rsidRPr="00EC250C">
        <w:t xml:space="preserve"> 2018</w:t>
      </w:r>
      <w:r w:rsidR="00C91F6E" w:rsidRPr="00EC250C">
        <w:t> r.</w:t>
      </w:r>
      <w:r w:rsidR="00B1044B" w:rsidRPr="00EC250C">
        <w:t xml:space="preserve"> (do 15 października) zarejestrowano</w:t>
      </w:r>
      <w:r w:rsidR="00992FD0" w:rsidRPr="00EC250C">
        <w:t xml:space="preserve"> w </w:t>
      </w:r>
      <w:r w:rsidR="00B1044B" w:rsidRPr="00EC250C">
        <w:t>Polsce 128 przypadków zachorowań na odrę, rok wcześniej – tylko 58</w:t>
      </w:r>
    </w:p>
    <w:p w14:paraId="3CAFA4C6" w14:textId="77777777" w:rsidR="00B1044B" w:rsidRPr="00EC250C" w:rsidRDefault="00D66441" w:rsidP="006C70B7">
      <w:pPr>
        <w:pStyle w:val="Styl1"/>
        <w:numPr>
          <w:ilvl w:val="0"/>
          <w:numId w:val="53"/>
        </w:numPr>
      </w:pPr>
      <w:r w:rsidRPr="00EC250C">
        <w:t>p</w:t>
      </w:r>
      <w:r w:rsidR="00B1044B" w:rsidRPr="00EC250C">
        <w:t>owstrzymanie dalszego rozwoju epidemii odry wymaga odporności populacyjnej, czyli sytuacji kiedy zaszczepione jest ponad 95% populacji. Tymczasem już</w:t>
      </w:r>
      <w:r w:rsidR="00992FD0" w:rsidRPr="00EC250C">
        <w:t xml:space="preserve"> w </w:t>
      </w:r>
      <w:r w:rsidR="00B1044B" w:rsidRPr="00EC250C">
        <w:t>2017</w:t>
      </w:r>
      <w:r w:rsidR="00C91F6E" w:rsidRPr="00EC250C">
        <w:t> r.</w:t>
      </w:r>
      <w:r w:rsidR="00B1044B" w:rsidRPr="00EC250C">
        <w:t xml:space="preserve"> ta odporność była na poziomie 85-94%.</w:t>
      </w:r>
    </w:p>
    <w:p w14:paraId="39511B7E" w14:textId="77777777" w:rsidR="00B1044B" w:rsidRPr="00EC250C" w:rsidRDefault="00B1044B" w:rsidP="00D131FA">
      <w:pPr>
        <w:pStyle w:val="Styl1"/>
      </w:pPr>
      <w:r w:rsidRPr="00EC250C">
        <w:t>Szczepienia ochronne są najskuteczniejszą znaną profilaktyką chorób zakaźnych. Wprowadzenie obowiązkowych szczepień ochronnych dzieci przyczyniło się do zmniejszenia zachorowalności na wiele chorób zakaźnych,</w:t>
      </w:r>
      <w:r w:rsidR="00992FD0" w:rsidRPr="00EC250C">
        <w:t xml:space="preserve"> z </w:t>
      </w:r>
      <w:r w:rsidRPr="00EC250C">
        <w:t>których część została całkowicie wyeliminowana. Unikanie szczepień osłabia nie tylko odporność konkretnej osoby, ale również całej populacji.</w:t>
      </w:r>
    </w:p>
    <w:p w14:paraId="77988943" w14:textId="77777777" w:rsidR="00B1044B" w:rsidRPr="00EC250C" w:rsidRDefault="00B1044B" w:rsidP="00D131FA">
      <w:pPr>
        <w:pStyle w:val="Styl1"/>
      </w:pPr>
      <w:r w:rsidRPr="00EC250C">
        <w:rPr>
          <w:bCs/>
        </w:rPr>
        <w:t xml:space="preserve">Główny Inspektor Sanitarny podzielił stanowisko </w:t>
      </w:r>
      <w:r w:rsidR="00D76DC6" w:rsidRPr="00EC250C">
        <w:rPr>
          <w:bCs/>
        </w:rPr>
        <w:t>RPO</w:t>
      </w:r>
      <w:r w:rsidRPr="00EC250C">
        <w:rPr>
          <w:bCs/>
        </w:rPr>
        <w:t>, że wszelkie działania, których konsekwencją byłoby obniżenie wskaźników stanu zaszczepienia dzieci</w:t>
      </w:r>
      <w:r w:rsidR="00992FD0" w:rsidRPr="00EC250C">
        <w:rPr>
          <w:bCs/>
        </w:rPr>
        <w:t xml:space="preserve"> w </w:t>
      </w:r>
      <w:r w:rsidRPr="00EC250C">
        <w:rPr>
          <w:bCs/>
        </w:rPr>
        <w:t>Polsce, byłyby niekorzystne dla bezpieczeństwa zdrowotnego</w:t>
      </w:r>
      <w:r w:rsidR="00992FD0" w:rsidRPr="00EC250C">
        <w:rPr>
          <w:bCs/>
        </w:rPr>
        <w:t xml:space="preserve"> i </w:t>
      </w:r>
      <w:r w:rsidRPr="00EC250C">
        <w:rPr>
          <w:bCs/>
        </w:rPr>
        <w:t>sprzeczne</w:t>
      </w:r>
      <w:r w:rsidR="00992FD0" w:rsidRPr="00EC250C">
        <w:rPr>
          <w:bCs/>
        </w:rPr>
        <w:t xml:space="preserve"> z </w:t>
      </w:r>
      <w:r w:rsidRPr="00EC250C">
        <w:rPr>
          <w:bCs/>
        </w:rPr>
        <w:t>podstawowym prawem dziecka do ochrony jego zdrowia</w:t>
      </w:r>
      <w:r w:rsidR="00992FD0" w:rsidRPr="00EC250C">
        <w:rPr>
          <w:bCs/>
        </w:rPr>
        <w:t xml:space="preserve"> i </w:t>
      </w:r>
      <w:r w:rsidRPr="00EC250C">
        <w:rPr>
          <w:bCs/>
        </w:rPr>
        <w:t>życia. Wskazał też, że wobec narastającego problemu ruchów antyszczepionkowych</w:t>
      </w:r>
      <w:r w:rsidR="00992FD0" w:rsidRPr="00EC250C">
        <w:rPr>
          <w:bCs/>
        </w:rPr>
        <w:t xml:space="preserve"> w </w:t>
      </w:r>
      <w:r w:rsidRPr="00EC250C">
        <w:rPr>
          <w:bCs/>
        </w:rPr>
        <w:t>Polsce Komisja ds. Profilaktyki</w:t>
      </w:r>
      <w:r w:rsidR="00992FD0" w:rsidRPr="00EC250C">
        <w:rPr>
          <w:bCs/>
        </w:rPr>
        <w:t xml:space="preserve"> i </w:t>
      </w:r>
      <w:r w:rsidRPr="00EC250C">
        <w:rPr>
          <w:bCs/>
        </w:rPr>
        <w:t>Promocji Zdrowia oraz Komisja Epidemiologii Chorób Zakaźnych</w:t>
      </w:r>
      <w:r w:rsidR="00992FD0" w:rsidRPr="00EC250C">
        <w:rPr>
          <w:bCs/>
        </w:rPr>
        <w:t xml:space="preserve"> i </w:t>
      </w:r>
      <w:r w:rsidRPr="00EC250C">
        <w:rPr>
          <w:bCs/>
        </w:rPr>
        <w:t>Szczepień Ochronnych Rady Sanitarno-Epidemiologicznej (ciała doradcze Głównego Inspektora Sanitarnego) przedłożyły rekomendacje Ministrowi Zdrowia.</w:t>
      </w:r>
    </w:p>
    <w:p w14:paraId="31D6BD09" w14:textId="77777777" w:rsidR="00B1044B" w:rsidRPr="00EC250C" w:rsidRDefault="00B1044B" w:rsidP="00D131FA">
      <w:pPr>
        <w:pStyle w:val="Styl1"/>
        <w:rPr>
          <w:rFonts w:ascii="Open Sans Regular" w:hAnsi="Open Sans Regular"/>
          <w:color w:val="18223E"/>
          <w:sz w:val="21"/>
        </w:rPr>
      </w:pPr>
      <w:r w:rsidRPr="00EC250C">
        <w:t>Natomiast Minister Edukacji Narodowej poinformował, że MEN</w:t>
      </w:r>
      <w:r w:rsidR="00992FD0" w:rsidRPr="00EC250C">
        <w:t xml:space="preserve"> i </w:t>
      </w:r>
      <w:r w:rsidRPr="00EC250C">
        <w:t>GIS skierowali do dyrektorów szkół, przedszkoli</w:t>
      </w:r>
      <w:r w:rsidR="00992FD0" w:rsidRPr="00EC250C">
        <w:t xml:space="preserve"> i </w:t>
      </w:r>
      <w:r w:rsidRPr="00EC250C">
        <w:t>placówek oświatowych oraz rodziców specjalny list dotyczący zapewnienia bezpieczeństwa dzieciom przed skutkami chorób zakaźnych</w:t>
      </w:r>
      <w:r w:rsidRPr="00EC250C">
        <w:rPr>
          <w:rStyle w:val="Odwoanieprzypisudolnego"/>
          <w:rFonts w:eastAsiaTheme="majorEastAsia"/>
        </w:rPr>
        <w:footnoteReference w:id="542"/>
      </w:r>
      <w:r w:rsidRPr="00EC250C">
        <w:t>.</w:t>
      </w:r>
    </w:p>
    <w:p w14:paraId="161ED91D" w14:textId="77777777" w:rsidR="00C91F6E" w:rsidRPr="00EC250C" w:rsidRDefault="00B1044B" w:rsidP="00EC79EB">
      <w:pPr>
        <w:pStyle w:val="Nagwek4"/>
      </w:pPr>
      <w:bookmarkStart w:id="560" w:name="_Toc6257884"/>
      <w:bookmarkStart w:id="561" w:name="_Toc7113849"/>
      <w:bookmarkStart w:id="562" w:name="_Toc11247764"/>
      <w:r w:rsidRPr="00EC250C">
        <w:lastRenderedPageBreak/>
        <w:t>Brak kontroli jakości wody pitnej</w:t>
      </w:r>
      <w:r w:rsidR="00992FD0" w:rsidRPr="00EC250C">
        <w:t xml:space="preserve"> w </w:t>
      </w:r>
      <w:r w:rsidRPr="00EC250C">
        <w:t>wewnętrznej instalacji budynków</w:t>
      </w:r>
      <w:bookmarkEnd w:id="560"/>
      <w:bookmarkEnd w:id="561"/>
      <w:bookmarkEnd w:id="562"/>
    </w:p>
    <w:p w14:paraId="387BF504" w14:textId="77777777" w:rsidR="00B473F5" w:rsidRPr="00EC250C" w:rsidRDefault="00B1044B" w:rsidP="00D131FA">
      <w:pPr>
        <w:pStyle w:val="Problemczowieka"/>
        <w:jc w:val="both"/>
        <w:rPr>
          <w:rFonts w:eastAsiaTheme="majorEastAsia"/>
        </w:rPr>
      </w:pPr>
      <w:r w:rsidRPr="00EC250C">
        <w:rPr>
          <w:rFonts w:eastAsiaTheme="majorEastAsia"/>
        </w:rPr>
        <w:t>Choć wodociągi dostarczają nam coraz lepszą wodę, to psuć ją może stan instalacji</w:t>
      </w:r>
      <w:r w:rsidR="00992FD0" w:rsidRPr="00EC250C">
        <w:rPr>
          <w:rFonts w:eastAsiaTheme="majorEastAsia"/>
        </w:rPr>
        <w:t xml:space="preserve"> w </w:t>
      </w:r>
      <w:r w:rsidRPr="00EC250C">
        <w:rPr>
          <w:rFonts w:eastAsiaTheme="majorEastAsia"/>
        </w:rPr>
        <w:t>blokach</w:t>
      </w:r>
      <w:r w:rsidRPr="00EC250C">
        <w:t xml:space="preserve">. </w:t>
      </w:r>
      <w:r w:rsidRPr="00EC250C">
        <w:rPr>
          <w:rFonts w:eastAsiaTheme="majorEastAsia"/>
        </w:rPr>
        <w:t>Tymczasem prawo nie przewiduje, kto ma tam kontrolować jej jakość</w:t>
      </w:r>
      <w:r w:rsidRPr="00EC250C">
        <w:t xml:space="preserve">. </w:t>
      </w:r>
      <w:r w:rsidRPr="00EC250C">
        <w:rPr>
          <w:rFonts w:eastAsiaTheme="majorEastAsia"/>
        </w:rPr>
        <w:t>W efekcie nie robi tego nikt</w:t>
      </w:r>
      <w:r w:rsidR="00B473F5" w:rsidRPr="00EC250C">
        <w:rPr>
          <w:rFonts w:eastAsiaTheme="majorEastAsia"/>
        </w:rPr>
        <w:t>.</w:t>
      </w:r>
    </w:p>
    <w:p w14:paraId="06737F3C" w14:textId="77777777" w:rsidR="002936E6" w:rsidRPr="00EC250C" w:rsidRDefault="002936E6" w:rsidP="00D131FA">
      <w:pPr>
        <w:pStyle w:val="Styl1"/>
        <w:rPr>
          <w:rStyle w:val="Pogrubienie"/>
          <w:rFonts w:eastAsiaTheme="majorEastAsia"/>
          <w:b w:val="0"/>
        </w:rPr>
      </w:pPr>
      <w:r w:rsidRPr="00EC250C">
        <w:rPr>
          <w:rStyle w:val="Pogrubienie"/>
          <w:rFonts w:eastAsiaTheme="majorEastAsia"/>
          <w:b w:val="0"/>
        </w:rPr>
        <w:t>O uregulowanie w ustawie, kto odpowiada za taką kontrolę, RPO wystąpił do Ministra Gospodarki Morskiej i Żeglugi Śródlądowej.</w:t>
      </w:r>
    </w:p>
    <w:p w14:paraId="17E4E00A" w14:textId="77777777" w:rsidR="00B1044B" w:rsidRPr="00EC250C" w:rsidRDefault="00B1044B" w:rsidP="00D131FA">
      <w:pPr>
        <w:pStyle w:val="Styl1"/>
      </w:pPr>
      <w:r w:rsidRPr="00EC250C">
        <w:t>Zgodnie</w:t>
      </w:r>
      <w:r w:rsidR="00992FD0" w:rsidRPr="00EC250C">
        <w:t xml:space="preserve"> z </w:t>
      </w:r>
      <w:r w:rsidRPr="00EC250C">
        <w:t>ustawą</w:t>
      </w:r>
      <w:r w:rsidR="00992FD0" w:rsidRPr="00EC250C">
        <w:t xml:space="preserve"> o </w:t>
      </w:r>
      <w:r w:rsidRPr="00EC250C">
        <w:t>zbiorowym zaopatrzeniu</w:t>
      </w:r>
      <w:r w:rsidR="00992FD0" w:rsidRPr="00EC250C">
        <w:t xml:space="preserve"> w </w:t>
      </w:r>
      <w:r w:rsidRPr="00EC250C">
        <w:t>wodę</w:t>
      </w:r>
      <w:r w:rsidR="00992FD0" w:rsidRPr="00EC250C">
        <w:t xml:space="preserve"> i </w:t>
      </w:r>
      <w:r w:rsidRPr="00EC250C">
        <w:t>zbiorowym odprowadzaniu ścieków</w:t>
      </w:r>
      <w:r w:rsidRPr="00EC250C">
        <w:rPr>
          <w:rStyle w:val="Odwoanieprzypisudolnego"/>
          <w:rFonts w:eastAsiaTheme="majorEastAsia"/>
          <w:bCs/>
        </w:rPr>
        <w:footnoteReference w:id="543"/>
      </w:r>
      <w:r w:rsidRPr="00EC250C">
        <w:t>, przedsiębiorstwo wodociągowo-kanalizacyjne zapewnia ciągłe</w:t>
      </w:r>
      <w:r w:rsidR="00992FD0" w:rsidRPr="00EC250C">
        <w:t xml:space="preserve"> i </w:t>
      </w:r>
      <w:r w:rsidRPr="00EC250C">
        <w:t>niezawodne dostawy wody należytej jakości. Z kolei odbiorca wody (w przypadku budynku wielolokalowego jest to właściciel lub zarządca) odpowiada za niezawodność instalacji</w:t>
      </w:r>
      <w:r w:rsidR="00992FD0" w:rsidRPr="00EC250C">
        <w:t xml:space="preserve"> i </w:t>
      </w:r>
      <w:r w:rsidRPr="00EC250C">
        <w:t>przyłączy do wodociągu. Nie ma zatem obowiązku kontroli jakości wody</w:t>
      </w:r>
      <w:r w:rsidR="00026572" w:rsidRPr="00EC250C">
        <w:t xml:space="preserve"> – </w:t>
      </w:r>
      <w:r w:rsidRPr="00EC250C">
        <w:t>bo to zadanie przedsiębiorstwa wodociągowo-kanalizacyjnego, które jednak zajmuje się wyłącznie stanem samej sieci wodociągowej.</w:t>
      </w:r>
    </w:p>
    <w:p w14:paraId="42739ECC" w14:textId="77777777" w:rsidR="00B1044B" w:rsidRPr="00EC250C" w:rsidRDefault="00B1044B" w:rsidP="00D131FA">
      <w:pPr>
        <w:pStyle w:val="Styl1"/>
      </w:pPr>
      <w:r w:rsidRPr="00EC250C">
        <w:t>Tymczasem</w:t>
      </w:r>
      <w:r w:rsidR="00992FD0" w:rsidRPr="00EC250C">
        <w:t xml:space="preserve"> w </w:t>
      </w:r>
      <w:r w:rsidRPr="00EC250C">
        <w:t>rurach</w:t>
      </w:r>
      <w:r w:rsidR="00992FD0" w:rsidRPr="00EC250C">
        <w:t xml:space="preserve"> w </w:t>
      </w:r>
      <w:r w:rsidRPr="00EC250C">
        <w:t>budynku</w:t>
      </w:r>
      <w:r w:rsidR="00026572" w:rsidRPr="00EC250C">
        <w:t xml:space="preserve"> – </w:t>
      </w:r>
      <w:r w:rsidRPr="00EC250C">
        <w:t>na odcinku od wodomierza głównego do kranów</w:t>
      </w:r>
      <w:r w:rsidR="00026572" w:rsidRPr="00EC250C">
        <w:t xml:space="preserve"> – </w:t>
      </w:r>
      <w:r w:rsidRPr="00EC250C">
        <w:t>woda może zostać zanieczyszczona</w:t>
      </w:r>
      <w:r w:rsidR="00992FD0" w:rsidRPr="00EC250C">
        <w:t xml:space="preserve"> w </w:t>
      </w:r>
      <w:r w:rsidRPr="00EC250C">
        <w:t>sposób niebezpieczny dla ludzi, np.</w:t>
      </w:r>
      <w:r w:rsidR="00992FD0" w:rsidRPr="00EC250C">
        <w:t xml:space="preserve"> w </w:t>
      </w:r>
      <w:r w:rsidRPr="00EC250C">
        <w:t>czasie awarii</w:t>
      </w:r>
      <w:r w:rsidR="00992FD0" w:rsidRPr="00EC250C">
        <w:t xml:space="preserve"> i </w:t>
      </w:r>
      <w:r w:rsidRPr="00EC250C">
        <w:t xml:space="preserve">ich usuwania. Na potrzebę określenia podmiotu, który by za to odpowiadał, zwróciła uwagę </w:t>
      </w:r>
      <w:r w:rsidR="002936E6" w:rsidRPr="00EC250C">
        <w:t>w sierpniu 2018 r.</w:t>
      </w:r>
      <w:r w:rsidRPr="00EC250C">
        <w:t>Najwyższa Izba Kontroli</w:t>
      </w:r>
      <w:r w:rsidR="00992FD0" w:rsidRPr="00EC250C">
        <w:t xml:space="preserve"> w </w:t>
      </w:r>
      <w:r w:rsidRPr="00EC250C">
        <w:t>raporcie „Utrzymanie</w:t>
      </w:r>
      <w:r w:rsidR="00992FD0" w:rsidRPr="00EC250C">
        <w:t xml:space="preserve"> i </w:t>
      </w:r>
      <w:r w:rsidRPr="00EC250C">
        <w:t>eksploatacja sieci wodociągowych</w:t>
      </w:r>
      <w:r w:rsidR="00992FD0" w:rsidRPr="00EC250C">
        <w:t xml:space="preserve"> w </w:t>
      </w:r>
      <w:r w:rsidRPr="00EC250C">
        <w:t>miastach”</w:t>
      </w:r>
      <w:r w:rsidR="002936E6" w:rsidRPr="00EC250C">
        <w:rPr>
          <w:rStyle w:val="Odwoanieprzypisudolnego"/>
        </w:rPr>
        <w:footnoteReference w:id="544"/>
      </w:r>
      <w:r w:rsidRPr="00EC250C">
        <w:t>.</w:t>
      </w:r>
    </w:p>
    <w:p w14:paraId="689FD6AB" w14:textId="77777777" w:rsidR="00B1044B" w:rsidRPr="00EC250C" w:rsidRDefault="00B1044B" w:rsidP="00D131FA">
      <w:pPr>
        <w:pStyle w:val="Styl1"/>
      </w:pPr>
      <w:r w:rsidRPr="00EC250C">
        <w:t>RPO zgadza si</w:t>
      </w:r>
      <w:r w:rsidRPr="00EC250C">
        <w:rPr>
          <w:rFonts w:hint="eastAsia"/>
        </w:rPr>
        <w:t>ę</w:t>
      </w:r>
      <w:r w:rsidRPr="00EC250C">
        <w:t xml:space="preserve"> ze stanowiskiem NIK.</w:t>
      </w:r>
    </w:p>
    <w:p w14:paraId="56FB40CD" w14:textId="77777777" w:rsidR="00B1044B" w:rsidRPr="00EC250C" w:rsidRDefault="00B1044B" w:rsidP="00D131FA">
      <w:pPr>
        <w:pStyle w:val="Styl1"/>
      </w:pPr>
      <w:r w:rsidRPr="00EC250C">
        <w:rPr>
          <w:bCs/>
          <w:iCs/>
        </w:rPr>
        <w:t>Minister Gospodarki Morskiej</w:t>
      </w:r>
      <w:r w:rsidR="00992FD0" w:rsidRPr="00EC250C">
        <w:rPr>
          <w:bCs/>
          <w:iCs/>
        </w:rPr>
        <w:t xml:space="preserve"> i </w:t>
      </w:r>
      <w:r w:rsidRPr="00EC250C">
        <w:rPr>
          <w:bCs/>
          <w:iCs/>
        </w:rPr>
        <w:t>Żeglugi Śródlądowej odpowiedział, że przejął sprawę</w:t>
      </w:r>
      <w:r w:rsidRPr="00EC250C">
        <w:t xml:space="preserve"> zaopatrzenia</w:t>
      </w:r>
      <w:r w:rsidR="00992FD0" w:rsidRPr="00EC250C">
        <w:t xml:space="preserve"> w </w:t>
      </w:r>
      <w:r w:rsidRPr="00EC250C">
        <w:t>wodę</w:t>
      </w:r>
      <w:r w:rsidR="00992FD0" w:rsidRPr="00EC250C">
        <w:t xml:space="preserve"> i </w:t>
      </w:r>
      <w:r w:rsidRPr="00EC250C">
        <w:t>zbiorowego odprowadzania ścieków 9 stycznia 2018</w:t>
      </w:r>
      <w:r w:rsidR="00C91F6E" w:rsidRPr="00EC250C">
        <w:t> r.</w:t>
      </w:r>
      <w:r w:rsidRPr="00EC250C">
        <w:t>,</w:t>
      </w:r>
      <w:r w:rsidR="00992FD0" w:rsidRPr="00EC250C">
        <w:t xml:space="preserve"> a </w:t>
      </w:r>
      <w:r w:rsidRPr="00EC250C">
        <w:t xml:space="preserve">jego </w:t>
      </w:r>
      <w:r w:rsidRPr="00EC250C">
        <w:rPr>
          <w:spacing w:val="10"/>
        </w:rPr>
        <w:t>p</w:t>
      </w:r>
      <w:r w:rsidRPr="00EC250C">
        <w:t>rzedstawiciele biorą udział</w:t>
      </w:r>
      <w:r w:rsidR="00992FD0" w:rsidRPr="00EC250C">
        <w:t xml:space="preserve"> w </w:t>
      </w:r>
      <w:r w:rsidRPr="00EC250C">
        <w:t>pracach Grupy Roboczej do Spraw Środowiska</w:t>
      </w:r>
      <w:r w:rsidR="002936E6" w:rsidRPr="00EC250C">
        <w:t>. W</w:t>
      </w:r>
      <w:r w:rsidR="00992FD0" w:rsidRPr="00EC250C">
        <w:t> </w:t>
      </w:r>
      <w:r w:rsidRPr="00EC250C">
        <w:t xml:space="preserve">ramach Rady Unii Europejskiej prowadzi </w:t>
      </w:r>
      <w:r w:rsidR="002936E6" w:rsidRPr="00EC250C">
        <w:t xml:space="preserve">ona </w:t>
      </w:r>
      <w:r w:rsidRPr="00EC250C">
        <w:t>prace nad projektem nowej dyrektywy</w:t>
      </w:r>
      <w:r w:rsidR="00992FD0" w:rsidRPr="00EC250C">
        <w:t xml:space="preserve"> w </w:t>
      </w:r>
      <w:r w:rsidRPr="00EC250C">
        <w:t>sprawie jakości wody przeznaczonej do spożycia przez ludzi. 5</w:t>
      </w:r>
      <w:r w:rsidRPr="00EC250C">
        <w:rPr>
          <w:rFonts w:hint="eastAsia"/>
        </w:rPr>
        <w:t> </w:t>
      </w:r>
      <w:r w:rsidRPr="00EC250C">
        <w:t>wrze</w:t>
      </w:r>
      <w:r w:rsidRPr="00EC250C">
        <w:rPr>
          <w:rFonts w:hint="eastAsia"/>
        </w:rPr>
        <w:t>ś</w:t>
      </w:r>
      <w:r w:rsidRPr="00EC250C">
        <w:t>nia 2018</w:t>
      </w:r>
      <w:r w:rsidR="00C91F6E" w:rsidRPr="00EC250C">
        <w:t> </w:t>
      </w:r>
      <w:r w:rsidR="00C91F6E" w:rsidRPr="00EC250C">
        <w:rPr>
          <w:rFonts w:hint="eastAsia"/>
        </w:rPr>
        <w:t>r.</w:t>
      </w:r>
      <w:r w:rsidRPr="00EC250C">
        <w:t xml:space="preserve"> powsta</w:t>
      </w:r>
      <w:r w:rsidRPr="00EC250C">
        <w:rPr>
          <w:rFonts w:hint="eastAsia"/>
        </w:rPr>
        <w:t>ł</w:t>
      </w:r>
      <w:r w:rsidRPr="00EC250C">
        <w:t xml:space="preserve"> </w:t>
      </w:r>
      <w:r w:rsidRPr="00EC250C">
        <w:rPr>
          <w:rFonts w:hint="eastAsia"/>
        </w:rPr>
        <w:t>„</w:t>
      </w:r>
      <w:r w:rsidRPr="00EC250C">
        <w:t>Zesp</w:t>
      </w:r>
      <w:r w:rsidRPr="00EC250C">
        <w:rPr>
          <w:rFonts w:hint="eastAsia"/>
        </w:rPr>
        <w:t>ół</w:t>
      </w:r>
      <w:r w:rsidRPr="00EC250C">
        <w:t xml:space="preserve"> doradczy do spraw zbiorowego zaopatrzenia</w:t>
      </w:r>
      <w:r w:rsidR="00992FD0" w:rsidRPr="00EC250C">
        <w:t xml:space="preserve"> w </w:t>
      </w:r>
      <w:r w:rsidRPr="00EC250C">
        <w:t>wod</w:t>
      </w:r>
      <w:r w:rsidRPr="00EC250C">
        <w:rPr>
          <w:rFonts w:hint="eastAsia"/>
        </w:rPr>
        <w:t>ę</w:t>
      </w:r>
      <w:r w:rsidR="00992FD0" w:rsidRPr="00EC250C">
        <w:t xml:space="preserve"> i </w:t>
      </w:r>
      <w:r w:rsidRPr="00EC250C">
        <w:t xml:space="preserve">zbiorowego odprowadzania </w:t>
      </w:r>
      <w:r w:rsidRPr="00EC250C">
        <w:rPr>
          <w:rFonts w:hint="eastAsia"/>
        </w:rPr>
        <w:t>ś</w:t>
      </w:r>
      <w:r w:rsidRPr="00EC250C">
        <w:t>ciek</w:t>
      </w:r>
      <w:r w:rsidRPr="00EC250C">
        <w:rPr>
          <w:rFonts w:hint="eastAsia"/>
        </w:rPr>
        <w:t>ó</w:t>
      </w:r>
      <w:r w:rsidRPr="00EC250C">
        <w:t>w</w:t>
      </w:r>
      <w:r w:rsidRPr="00EC250C">
        <w:rPr>
          <w:rFonts w:hint="eastAsia"/>
        </w:rPr>
        <w:t>”</w:t>
      </w:r>
      <w:r w:rsidRPr="00EC250C">
        <w:t>, kt</w:t>
      </w:r>
      <w:r w:rsidRPr="00EC250C">
        <w:rPr>
          <w:rFonts w:hint="eastAsia"/>
        </w:rPr>
        <w:t>ó</w:t>
      </w:r>
      <w:r w:rsidRPr="00EC250C">
        <w:t>ry zajmuje si</w:t>
      </w:r>
      <w:r w:rsidRPr="00EC250C">
        <w:rPr>
          <w:rFonts w:hint="eastAsia"/>
        </w:rPr>
        <w:t>ę</w:t>
      </w:r>
      <w:r w:rsidRPr="00EC250C">
        <w:t xml:space="preserve"> kompleksow</w:t>
      </w:r>
      <w:r w:rsidRPr="00EC250C">
        <w:rPr>
          <w:rFonts w:hint="eastAsia"/>
        </w:rPr>
        <w:t>ą</w:t>
      </w:r>
      <w:r w:rsidRPr="00EC250C">
        <w:t xml:space="preserve"> analiz</w:t>
      </w:r>
      <w:r w:rsidRPr="00EC250C">
        <w:rPr>
          <w:rFonts w:hint="eastAsia"/>
        </w:rPr>
        <w:t>ą</w:t>
      </w:r>
      <w:r w:rsidRPr="00EC250C">
        <w:t xml:space="preserve"> zagadnie</w:t>
      </w:r>
      <w:r w:rsidRPr="00EC250C">
        <w:rPr>
          <w:rFonts w:hint="eastAsia"/>
        </w:rPr>
        <w:t>ń</w:t>
      </w:r>
      <w:r w:rsidRPr="00EC250C">
        <w:t xml:space="preserve"> zwi</w:t>
      </w:r>
      <w:r w:rsidRPr="00EC250C">
        <w:rPr>
          <w:rFonts w:hint="eastAsia"/>
        </w:rPr>
        <w:t>ą</w:t>
      </w:r>
      <w:r w:rsidRPr="00EC250C">
        <w:t>zanych</w:t>
      </w:r>
      <w:r w:rsidR="00992FD0" w:rsidRPr="00EC250C">
        <w:t xml:space="preserve"> z </w:t>
      </w:r>
      <w:r w:rsidRPr="00EC250C">
        <w:t>tym obszarem,</w:t>
      </w:r>
      <w:r w:rsidR="00992FD0" w:rsidRPr="00EC250C">
        <w:t xml:space="preserve"> w </w:t>
      </w:r>
      <w:r w:rsidRPr="00EC250C">
        <w:t>tym stanem wody</w:t>
      </w:r>
      <w:r w:rsidR="00992FD0" w:rsidRPr="00EC250C">
        <w:t xml:space="preserve"> w </w:t>
      </w:r>
      <w:r w:rsidRPr="00EC250C">
        <w:t>instalacjach budynku. Rozpocz</w:t>
      </w:r>
      <w:r w:rsidRPr="00EC250C">
        <w:rPr>
          <w:rFonts w:hint="eastAsia"/>
        </w:rPr>
        <w:t>ę</w:t>
      </w:r>
      <w:r w:rsidRPr="00EC250C">
        <w:t>to też prace analityczne nad zmian</w:t>
      </w:r>
      <w:r w:rsidRPr="00EC250C">
        <w:rPr>
          <w:rFonts w:hint="eastAsia"/>
        </w:rPr>
        <w:t>ą</w:t>
      </w:r>
      <w:r w:rsidRPr="00EC250C">
        <w:t xml:space="preserve"> ustawy</w:t>
      </w:r>
      <w:r w:rsidRPr="00EC250C">
        <w:rPr>
          <w:rStyle w:val="Odwoanieprzypisudolnego"/>
          <w:rFonts w:eastAsiaTheme="majorEastAsia"/>
          <w:bCs/>
        </w:rPr>
        <w:footnoteReference w:id="545"/>
      </w:r>
      <w:r w:rsidRPr="00EC250C">
        <w:t>.</w:t>
      </w:r>
      <w:r w:rsidR="00B60BBF" w:rsidRPr="00EC250C">
        <w:t xml:space="preserve"> Trwały one także w 2019 r.</w:t>
      </w:r>
    </w:p>
    <w:p w14:paraId="7FF1DAC6" w14:textId="77777777" w:rsidR="002936E6" w:rsidRPr="00EC250C" w:rsidRDefault="002936E6" w:rsidP="00D131FA">
      <w:pPr>
        <w:pStyle w:val="ODESANIE"/>
        <w:jc w:val="both"/>
      </w:pPr>
      <w:r w:rsidRPr="00EC250C">
        <w:t>O problemach ze skażeniem wody – art. 74 Konstytucji</w:t>
      </w:r>
    </w:p>
    <w:p w14:paraId="7C62EA1E" w14:textId="77777777" w:rsidR="00B1044B" w:rsidRPr="00EC250C" w:rsidRDefault="00B1044B" w:rsidP="00D131FA">
      <w:pPr>
        <w:spacing w:after="200" w:line="24" w:lineRule="auto"/>
        <w:jc w:val="both"/>
        <w:rPr>
          <w:spacing w:val="5"/>
          <w:sz w:val="22"/>
        </w:rPr>
      </w:pPr>
      <w:r w:rsidRPr="00EC250C">
        <w:rPr>
          <w:sz w:val="24"/>
        </w:rPr>
        <w:br w:type="page"/>
      </w:r>
    </w:p>
    <w:p w14:paraId="79BC7B67" w14:textId="3C9BC48F" w:rsidR="00C91F6E" w:rsidRPr="00EC250C" w:rsidRDefault="001E17C9" w:rsidP="00EC250C">
      <w:pPr>
        <w:pStyle w:val="Nagwek3"/>
      </w:pPr>
      <w:bookmarkStart w:id="563" w:name="_Toc11247765"/>
      <w:r w:rsidRPr="00EC250C">
        <w:lastRenderedPageBreak/>
        <w:t xml:space="preserve">Art. 69 </w:t>
      </w:r>
      <w:r w:rsidR="003C7122" w:rsidRPr="00EC250C">
        <w:t xml:space="preserve">Konstytucji </w:t>
      </w:r>
      <w:r w:rsidRPr="00EC250C">
        <w:t>– Pomoc na rzecz osób</w:t>
      </w:r>
      <w:r w:rsidR="00992FD0" w:rsidRPr="00EC250C">
        <w:t xml:space="preserve"> z </w:t>
      </w:r>
      <w:r w:rsidRPr="00EC250C">
        <w:t>niepełnosprawnościami</w:t>
      </w:r>
      <w:bookmarkEnd w:id="510"/>
      <w:bookmarkEnd w:id="563"/>
    </w:p>
    <w:p w14:paraId="4ED71E05" w14:textId="77777777" w:rsidR="001E17C9" w:rsidRPr="00EC250C" w:rsidRDefault="001E17C9" w:rsidP="00D131FA">
      <w:pPr>
        <w:pStyle w:val="konstytucja"/>
        <w:jc w:val="both"/>
      </w:pPr>
      <w:r w:rsidRPr="00EC250C">
        <w:t>Osobom niepełnosprawnym władze publiczne udzielają, zgodnie</w:t>
      </w:r>
      <w:r w:rsidR="00992FD0" w:rsidRPr="00EC250C">
        <w:t xml:space="preserve"> z </w:t>
      </w:r>
      <w:r w:rsidRPr="00EC250C">
        <w:t>ustawą, pomocy</w:t>
      </w:r>
      <w:r w:rsidR="00992FD0" w:rsidRPr="00EC250C">
        <w:t xml:space="preserve"> w </w:t>
      </w:r>
      <w:r w:rsidRPr="00EC250C">
        <w:t>zabezpieczaniu egzystencji, przysposobieniu do pracy oraz komunikacji społecznej.</w:t>
      </w:r>
    </w:p>
    <w:p w14:paraId="2DA78C8B" w14:textId="77777777" w:rsidR="00C91F6E" w:rsidRPr="00EC250C" w:rsidRDefault="00547FC3" w:rsidP="00D131FA">
      <w:pPr>
        <w:pStyle w:val="ComwiKonstytucja"/>
      </w:pPr>
      <w:r w:rsidRPr="00EC250C">
        <w:t>Artykuł ten formułuje zasadę polityki państwa, nie przybiera zaś formy prawa podmiotowego. Przepis ten wyraźnie wskazuje na określone obowiązki, leżące po stronie władz publicznych. Nie można więc wyprowadzić</w:t>
      </w:r>
      <w:r w:rsidR="00992FD0" w:rsidRPr="00EC250C">
        <w:t xml:space="preserve"> z </w:t>
      </w:r>
      <w:r w:rsidRPr="00EC250C">
        <w:t>niego roszczeń dla jednostki.</w:t>
      </w:r>
    </w:p>
    <w:p w14:paraId="0FC78B76" w14:textId="77777777" w:rsidR="00C91F6E" w:rsidRPr="00EC250C" w:rsidRDefault="00547FC3" w:rsidP="00D131FA">
      <w:pPr>
        <w:pStyle w:val="ComwiKonstytucja"/>
      </w:pPr>
      <w:r w:rsidRPr="00EC250C">
        <w:t>Przepis ten ma ścisły związek</w:t>
      </w:r>
      <w:r w:rsidR="00992FD0" w:rsidRPr="00EC250C">
        <w:t xml:space="preserve"> z </w:t>
      </w:r>
      <w:r w:rsidRPr="00EC250C">
        <w:t>zasadą godności jednostki. Udzielenie pomocy osobom</w:t>
      </w:r>
      <w:r w:rsidR="00992FD0" w:rsidRPr="00EC250C">
        <w:t xml:space="preserve"> z </w:t>
      </w:r>
      <w:r w:rsidRPr="00EC250C">
        <w:t>niepełnosprawnościami, tak by mogły prowadzić życie</w:t>
      </w:r>
      <w:r w:rsidR="00992FD0" w:rsidRPr="00EC250C">
        <w:t xml:space="preserve"> w </w:t>
      </w:r>
      <w:r w:rsidRPr="00EC250C">
        <w:t>społeczeństwie, dotyczyć ma trzech dziedzin:</w:t>
      </w:r>
    </w:p>
    <w:p w14:paraId="753DF4F9" w14:textId="77777777" w:rsidR="00C91F6E" w:rsidRPr="00EC250C" w:rsidRDefault="00547FC3" w:rsidP="006C70B7">
      <w:pPr>
        <w:pStyle w:val="ComwiKonstytucja"/>
        <w:numPr>
          <w:ilvl w:val="0"/>
          <w:numId w:val="58"/>
        </w:numPr>
      </w:pPr>
      <w:r w:rsidRPr="00EC250C">
        <w:t>zabezpieczenia egzystencji (pokrywa się to częściowo</w:t>
      </w:r>
      <w:r w:rsidR="00992FD0" w:rsidRPr="00EC250C">
        <w:t xml:space="preserve"> z </w:t>
      </w:r>
      <w:r w:rsidRPr="00EC250C">
        <w:t>normą wynikającą</w:t>
      </w:r>
      <w:r w:rsidR="00992FD0" w:rsidRPr="00EC250C">
        <w:t xml:space="preserve"> z </w:t>
      </w:r>
      <w:r w:rsidRPr="00EC250C">
        <w:t>art.</w:t>
      </w:r>
      <w:r w:rsidR="003E4DBD" w:rsidRPr="00EC250C">
        <w:t> </w:t>
      </w:r>
      <w:r w:rsidRPr="00EC250C">
        <w:t>67 ust.</w:t>
      </w:r>
      <w:r w:rsidR="003E4DBD" w:rsidRPr="00EC250C">
        <w:t> </w:t>
      </w:r>
      <w:r w:rsidRPr="00EC250C">
        <w:t>1, odrębne uregulowanie sytuacji osób</w:t>
      </w:r>
      <w:r w:rsidR="00992FD0" w:rsidRPr="00EC250C">
        <w:t xml:space="preserve"> z </w:t>
      </w:r>
      <w:r w:rsidRPr="00EC250C">
        <w:t>niepełnosprawnościami sugeruje dopuszczalność przyznania im pewnych preferencji);</w:t>
      </w:r>
    </w:p>
    <w:p w14:paraId="64EBDCC1" w14:textId="77777777" w:rsidR="00C91F6E" w:rsidRPr="00EC250C" w:rsidRDefault="00547FC3" w:rsidP="006C70B7">
      <w:pPr>
        <w:pStyle w:val="ComwiKonstytucja"/>
        <w:numPr>
          <w:ilvl w:val="0"/>
          <w:numId w:val="58"/>
        </w:numPr>
      </w:pPr>
      <w:r w:rsidRPr="00EC250C">
        <w:t>przysposobienia do pracy (w tym tworzenie programów szkoleniowych</w:t>
      </w:r>
      <w:r w:rsidR="00992FD0" w:rsidRPr="00EC250C">
        <w:t xml:space="preserve"> i </w:t>
      </w:r>
      <w:r w:rsidRPr="00EC250C">
        <w:t>przygotowawczych, wprowadzanie zachęt</w:t>
      </w:r>
      <w:r w:rsidR="00992FD0" w:rsidRPr="00EC250C">
        <w:t xml:space="preserve"> i </w:t>
      </w:r>
      <w:r w:rsidRPr="00EC250C">
        <w:t>ułatwień);</w:t>
      </w:r>
    </w:p>
    <w:p w14:paraId="4780D252" w14:textId="77777777" w:rsidR="00903FE7" w:rsidRPr="00EC250C" w:rsidRDefault="00547FC3" w:rsidP="006C70B7">
      <w:pPr>
        <w:pStyle w:val="ComwiKonstytucja"/>
        <w:numPr>
          <w:ilvl w:val="0"/>
          <w:numId w:val="58"/>
        </w:numPr>
      </w:pPr>
      <w:r w:rsidRPr="00EC250C">
        <w:t>komunikacji społecznej (w tym tworzenie odpowiedniej infrastruktury). Sposób</w:t>
      </w:r>
      <w:r w:rsidR="00992FD0" w:rsidRPr="00EC250C">
        <w:t xml:space="preserve"> i </w:t>
      </w:r>
      <w:r w:rsidRPr="00EC250C">
        <w:t>zakres tej pomocy ma określać ustawa.</w:t>
      </w:r>
    </w:p>
    <w:p w14:paraId="34117772" w14:textId="77777777" w:rsidR="003E4DBD" w:rsidRPr="00EC250C" w:rsidRDefault="003E4DBD" w:rsidP="00D131FA">
      <w:pPr>
        <w:pStyle w:val="ComwiKonstytucja"/>
        <w:ind w:firstLine="0"/>
      </w:pPr>
    </w:p>
    <w:p w14:paraId="1D201A39" w14:textId="77777777" w:rsidR="00903FE7" w:rsidRPr="00EC250C" w:rsidRDefault="00903FE7" w:rsidP="00D131FA">
      <w:pPr>
        <w:spacing w:after="200" w:line="24" w:lineRule="auto"/>
        <w:jc w:val="both"/>
        <w:rPr>
          <w:spacing w:val="5"/>
          <w:sz w:val="24"/>
        </w:rPr>
      </w:pPr>
      <w:r w:rsidRPr="00EC250C">
        <w:rPr>
          <w:sz w:val="24"/>
        </w:rPr>
        <w:br w:type="page"/>
      </w:r>
    </w:p>
    <w:p w14:paraId="739AACF5" w14:textId="77777777" w:rsidR="00FE41DF" w:rsidRPr="00EC250C" w:rsidRDefault="00A25303" w:rsidP="00EC79EB">
      <w:pPr>
        <w:pStyle w:val="Nagwek4"/>
      </w:pPr>
      <w:bookmarkStart w:id="564" w:name="_Toc6257888"/>
      <w:bookmarkStart w:id="565" w:name="_Toc11247766"/>
      <w:r w:rsidRPr="00EC250C">
        <w:lastRenderedPageBreak/>
        <w:t>Prawa osób</w:t>
      </w:r>
      <w:r w:rsidR="00992FD0" w:rsidRPr="00EC250C">
        <w:t xml:space="preserve"> z </w:t>
      </w:r>
      <w:r w:rsidRPr="00EC250C">
        <w:t>niepełnosprawnościami poza głównym nurtem debaty publicznej</w:t>
      </w:r>
      <w:bookmarkEnd w:id="564"/>
      <w:r w:rsidR="00DB14B8" w:rsidRPr="00EC250C">
        <w:t xml:space="preserve">. </w:t>
      </w:r>
      <w:r w:rsidR="009E2A21" w:rsidRPr="00EC250C">
        <w:t>C</w:t>
      </w:r>
      <w:r w:rsidR="00DB14B8" w:rsidRPr="00EC250C">
        <w:t>o RPO słyszy</w:t>
      </w:r>
      <w:r w:rsidR="00992FD0" w:rsidRPr="00EC250C">
        <w:t xml:space="preserve"> z </w:t>
      </w:r>
      <w:r w:rsidR="00DB14B8" w:rsidRPr="00EC250C">
        <w:t>dala od Warszawy?</w:t>
      </w:r>
      <w:bookmarkEnd w:id="565"/>
    </w:p>
    <w:p w14:paraId="0FEA324F" w14:textId="77777777" w:rsidR="00B473F5" w:rsidRPr="00EC250C" w:rsidRDefault="0005736B" w:rsidP="00D131FA">
      <w:pPr>
        <w:pStyle w:val="Problemczowieka"/>
        <w:jc w:val="both"/>
      </w:pPr>
      <w:r w:rsidRPr="00EC250C">
        <w:t>Nierozwiązane od lat problemy osób z niepełnosprawnościami i ich rodzin doprowadziły w 2018 r. do protestu w Sejmie. Trwał on 40 dni, ale nie przyniósł istotnych zmian</w:t>
      </w:r>
      <w:r w:rsidR="00B473F5" w:rsidRPr="00EC250C">
        <w:t>.</w:t>
      </w:r>
    </w:p>
    <w:p w14:paraId="2698CB8E" w14:textId="77777777" w:rsidR="0005736B" w:rsidRPr="00EC250C" w:rsidRDefault="0005736B" w:rsidP="00D131FA">
      <w:pPr>
        <w:pStyle w:val="Styl1"/>
      </w:pPr>
      <w:r w:rsidRPr="00EC250C">
        <w:t>Jak ocenił już w 2019 r. Rzecznik Praw Obywatelskich – w rocznicę rozpoczęcia protestu w Sejmie, z 21 postulatów protestujących rząd zaczął częściowo realizować osiem</w:t>
      </w:r>
      <w:r w:rsidRPr="00EC250C">
        <w:rPr>
          <w:rStyle w:val="Odwoanieprzypisudolnego"/>
        </w:rPr>
        <w:footnoteReference w:id="546"/>
      </w:r>
      <w:r w:rsidRPr="00EC250C">
        <w:t xml:space="preserve">. </w:t>
      </w:r>
    </w:p>
    <w:p w14:paraId="4EC5CBAB" w14:textId="77777777" w:rsidR="005015F8" w:rsidRPr="00EC250C" w:rsidRDefault="00B069FC" w:rsidP="00D131FA">
      <w:pPr>
        <w:pStyle w:val="Styl1"/>
      </w:pPr>
      <w:r w:rsidRPr="00EC250C">
        <w:t>Tymczasem skala problemów, jakie napotykają w życiu osoby z niepełnosprawnościami, jest ogromna. RPO mówił o tym w</w:t>
      </w:r>
      <w:r w:rsidR="005015F8" w:rsidRPr="00EC250C">
        <w:t xml:space="preserve"> czasie IV Kongresu Praw Osób</w:t>
      </w:r>
      <w:r w:rsidR="00992FD0" w:rsidRPr="00EC250C">
        <w:t xml:space="preserve"> z </w:t>
      </w:r>
      <w:r w:rsidR="005015F8" w:rsidRPr="00EC250C">
        <w:t>Niepełnosprawnościami</w:t>
      </w:r>
      <w:r w:rsidR="00992FD0" w:rsidRPr="00EC250C">
        <w:t xml:space="preserve"> w </w:t>
      </w:r>
      <w:r w:rsidR="007B5E6C" w:rsidRPr="00EC250C">
        <w:t>2018</w:t>
      </w:r>
      <w:r w:rsidR="00C91F6E" w:rsidRPr="00EC250C">
        <w:t> r.</w:t>
      </w:r>
      <w:r w:rsidR="007B5E6C" w:rsidRPr="00EC250C">
        <w:t xml:space="preserve"> </w:t>
      </w:r>
      <w:r w:rsidR="00F51EE8" w:rsidRPr="00EC250C">
        <w:t>Podkreślił</w:t>
      </w:r>
      <w:r w:rsidR="005015F8" w:rsidRPr="00EC250C">
        <w:t>, że</w:t>
      </w:r>
      <w:r w:rsidR="00CC4D88" w:rsidRPr="00EC250C">
        <w:t xml:space="preserve"> </w:t>
      </w:r>
      <w:r w:rsidR="00F51EE8" w:rsidRPr="00EC250C">
        <w:t xml:space="preserve">problemy </w:t>
      </w:r>
      <w:r w:rsidRPr="00EC250C">
        <w:t xml:space="preserve">te </w:t>
      </w:r>
      <w:r w:rsidR="00F51EE8" w:rsidRPr="00EC250C">
        <w:t>rzadko</w:t>
      </w:r>
      <w:r w:rsidR="005015F8" w:rsidRPr="00EC250C">
        <w:t xml:space="preserve"> </w:t>
      </w:r>
      <w:r w:rsidRPr="00EC250C">
        <w:t>są przedmiotem debaty publicznej</w:t>
      </w:r>
      <w:r w:rsidR="005015F8" w:rsidRPr="00EC250C">
        <w:t>,</w:t>
      </w:r>
      <w:r w:rsidR="00992FD0" w:rsidRPr="00EC250C">
        <w:t xml:space="preserve"> a </w:t>
      </w:r>
      <w:r w:rsidR="005015F8" w:rsidRPr="00EC250C">
        <w:t>jeśli</w:t>
      </w:r>
      <w:r w:rsidR="00F51EE8" w:rsidRPr="00EC250C">
        <w:t xml:space="preserve"> </w:t>
      </w:r>
      <w:r w:rsidR="001423ED" w:rsidRPr="00EC250C">
        <w:t>już</w:t>
      </w:r>
      <w:r w:rsidR="005015F8" w:rsidRPr="00EC250C">
        <w:t xml:space="preserve">, to </w:t>
      </w:r>
      <w:r w:rsidR="00F51EE8" w:rsidRPr="00EC250C">
        <w:t xml:space="preserve">służą głównie </w:t>
      </w:r>
      <w:r w:rsidR="005015F8" w:rsidRPr="00EC250C">
        <w:t xml:space="preserve">jako ilustracje wydarzeń </w:t>
      </w:r>
      <w:r w:rsidR="00F14B94" w:rsidRPr="00EC250C">
        <w:t>„</w:t>
      </w:r>
      <w:r w:rsidR="005015F8" w:rsidRPr="00EC250C">
        <w:t>warszawskich”, takich chociażby jak protest</w:t>
      </w:r>
      <w:r w:rsidR="00992FD0" w:rsidRPr="00EC250C">
        <w:t xml:space="preserve"> w </w:t>
      </w:r>
      <w:r w:rsidR="005015F8" w:rsidRPr="00EC250C">
        <w:t>Sejmie. Sprawy osób</w:t>
      </w:r>
      <w:r w:rsidR="00992FD0" w:rsidRPr="00EC250C">
        <w:t xml:space="preserve"> z </w:t>
      </w:r>
      <w:r w:rsidR="005015F8" w:rsidRPr="00EC250C">
        <w:t>niepełnosprawnością, mimo niewątpliwych osiągnięć środowiska, nie stały się częścią agendy publicznej. Niewykonany wyrok TK</w:t>
      </w:r>
      <w:r w:rsidR="00992FD0" w:rsidRPr="00EC250C">
        <w:t xml:space="preserve"> w </w:t>
      </w:r>
      <w:r w:rsidR="000F4429" w:rsidRPr="00EC250C">
        <w:t>sprawie</w:t>
      </w:r>
      <w:r w:rsidR="007B5E6C" w:rsidRPr="00EC250C">
        <w:t xml:space="preserve"> pomocy państwa dla opiekunów osób</w:t>
      </w:r>
      <w:r w:rsidR="00992FD0" w:rsidRPr="00EC250C">
        <w:t xml:space="preserve"> z </w:t>
      </w:r>
      <w:r w:rsidR="007B5E6C" w:rsidRPr="00EC250C">
        <w:t xml:space="preserve">niepełnosprawnościami </w:t>
      </w:r>
      <w:r w:rsidR="005015F8" w:rsidRPr="00EC250C">
        <w:t>nie jest tematem</w:t>
      </w:r>
      <w:r w:rsidR="00992FD0" w:rsidRPr="00EC250C">
        <w:t xml:space="preserve"> w </w:t>
      </w:r>
      <w:r w:rsidR="00F14B94" w:rsidRPr="00EC250C">
        <w:t>debacie publicznej</w:t>
      </w:r>
      <w:r w:rsidR="001423ED" w:rsidRPr="00EC250C">
        <w:t>.</w:t>
      </w:r>
      <w:r w:rsidR="005015F8" w:rsidRPr="00EC250C">
        <w:t xml:space="preserve"> Brak pracy</w:t>
      </w:r>
      <w:r w:rsidR="00F14B94" w:rsidRPr="00EC250C">
        <w:t>, problemy komunikacyjne</w:t>
      </w:r>
      <w:r w:rsidR="005015F8" w:rsidRPr="00EC250C">
        <w:t xml:space="preserve"> czy </w:t>
      </w:r>
      <w:r w:rsidR="00F14B94" w:rsidRPr="00EC250C">
        <w:t>o</w:t>
      </w:r>
      <w:r w:rsidR="001423ED" w:rsidRPr="00EC250C">
        <w:t>pieka</w:t>
      </w:r>
      <w:r w:rsidR="005015F8" w:rsidRPr="00EC250C">
        <w:t xml:space="preserve"> wytchnieniowa? </w:t>
      </w:r>
      <w:r w:rsidR="00F14B94" w:rsidRPr="00EC250C">
        <w:t>To wszystko</w:t>
      </w:r>
      <w:r w:rsidR="001423ED" w:rsidRPr="00EC250C">
        <w:t xml:space="preserve"> </w:t>
      </w:r>
      <w:r w:rsidR="005015F8" w:rsidRPr="00EC250C">
        <w:t>pojawia</w:t>
      </w:r>
      <w:r w:rsidR="001423ED" w:rsidRPr="00EC250C">
        <w:t xml:space="preserve"> </w:t>
      </w:r>
      <w:r w:rsidR="00F14B94" w:rsidRPr="00EC250C">
        <w:t>się niekiedy, ale jedynie</w:t>
      </w:r>
      <w:r w:rsidR="00992FD0" w:rsidRPr="00EC250C">
        <w:t xml:space="preserve"> w </w:t>
      </w:r>
      <w:r w:rsidR="005015F8" w:rsidRPr="00EC250C">
        <w:t>kontekście kampanii wyborczej</w:t>
      </w:r>
      <w:r w:rsidR="008F7551" w:rsidRPr="00EC250C">
        <w:t>.</w:t>
      </w:r>
    </w:p>
    <w:p w14:paraId="15234B18" w14:textId="77777777" w:rsidR="00D91FBD" w:rsidRPr="00EC250C" w:rsidRDefault="005015F8" w:rsidP="00D131FA">
      <w:pPr>
        <w:pStyle w:val="Problemczowieka"/>
        <w:jc w:val="both"/>
      </w:pPr>
      <w:r w:rsidRPr="00EC250C">
        <w:t>A jak wygląda sytuacja obywateli</w:t>
      </w:r>
      <w:r w:rsidR="00992FD0" w:rsidRPr="00EC250C">
        <w:t xml:space="preserve"> w </w:t>
      </w:r>
      <w:r w:rsidRPr="00EC250C">
        <w:t>Polsce</w:t>
      </w:r>
      <w:r w:rsidR="00D91FBD" w:rsidRPr="00EC250C">
        <w:t>?</w:t>
      </w:r>
    </w:p>
    <w:p w14:paraId="0604A7BF" w14:textId="77777777" w:rsidR="00C91F6E" w:rsidRPr="00EC250C" w:rsidRDefault="00D76DC6" w:rsidP="00D131FA">
      <w:pPr>
        <w:pStyle w:val="Styl1"/>
      </w:pPr>
      <w:r w:rsidRPr="00EC250C">
        <w:t>RPO</w:t>
      </w:r>
      <w:r w:rsidR="00B736C5" w:rsidRPr="00EC250C">
        <w:t xml:space="preserve"> niemal na każdym</w:t>
      </w:r>
      <w:r w:rsidR="00DB323C" w:rsidRPr="00EC250C">
        <w:t xml:space="preserve"> </w:t>
      </w:r>
      <w:r w:rsidR="003A54FE" w:rsidRPr="00EC250C">
        <w:t>wyjeździe regionalnym</w:t>
      </w:r>
      <w:r w:rsidR="00B736C5" w:rsidRPr="00EC250C">
        <w:t xml:space="preserve">, niezależnie od </w:t>
      </w:r>
      <w:r w:rsidR="00844EE3" w:rsidRPr="00EC250C">
        <w:t>miejsca</w:t>
      </w:r>
      <w:r w:rsidR="00DC2D27" w:rsidRPr="00EC250C">
        <w:t xml:space="preserve">, </w:t>
      </w:r>
      <w:r w:rsidR="00E521A3" w:rsidRPr="00EC250C">
        <w:t xml:space="preserve">od wielkości </w:t>
      </w:r>
      <w:r w:rsidR="002870D9" w:rsidRPr="00EC250C">
        <w:t>mi</w:t>
      </w:r>
      <w:r w:rsidR="007B5E6C" w:rsidRPr="00EC250C">
        <w:t>ejscowości</w:t>
      </w:r>
      <w:r w:rsidR="002870D9" w:rsidRPr="00EC250C">
        <w:t xml:space="preserve">, </w:t>
      </w:r>
      <w:r w:rsidR="003A54FE" w:rsidRPr="00EC250C">
        <w:t xml:space="preserve">spotyka </w:t>
      </w:r>
      <w:r w:rsidR="00AE47A2" w:rsidRPr="00EC250C">
        <w:t>ludzi borykających się</w:t>
      </w:r>
      <w:r w:rsidR="00992FD0" w:rsidRPr="00EC250C">
        <w:t xml:space="preserve"> z </w:t>
      </w:r>
      <w:r w:rsidR="00DA55B5" w:rsidRPr="00EC250C">
        <w:t>trudnościami</w:t>
      </w:r>
      <w:r w:rsidR="00380156" w:rsidRPr="00EC250C">
        <w:t xml:space="preserve"> związanymi</w:t>
      </w:r>
      <w:r w:rsidR="00992FD0" w:rsidRPr="00EC250C">
        <w:t xml:space="preserve"> z </w:t>
      </w:r>
      <w:r w:rsidR="00380156" w:rsidRPr="00EC250C">
        <w:t>niepełnosprawnością</w:t>
      </w:r>
      <w:r w:rsidR="00992FD0" w:rsidRPr="00EC250C">
        <w:t xml:space="preserve"> i </w:t>
      </w:r>
      <w:r w:rsidR="00380156" w:rsidRPr="00EC250C">
        <w:t>niewydolnością państwowego systemu wsparcia. To olbrzymie luki, które powodują, że trudno uznać, że władze wypełniają należycie obowiązki nałożone na nich przez artykuł 69 Konstytucji. Przykładów ludzkich dramatów jest wiele, ale wielu jest też bohaterów dni</w:t>
      </w:r>
      <w:r w:rsidR="00D57C30" w:rsidRPr="00EC250C">
        <w:t>a</w:t>
      </w:r>
      <w:r w:rsidR="00380156" w:rsidRPr="00EC250C">
        <w:t xml:space="preserve"> codziennego. Wszystko to buduje obraz kraju, który choć dba</w:t>
      </w:r>
      <w:r w:rsidR="00992FD0" w:rsidRPr="00EC250C">
        <w:t xml:space="preserve"> o </w:t>
      </w:r>
      <w:r w:rsidR="00380156" w:rsidRPr="00EC250C">
        <w:t>rozwój na wielu polach, często zapomina</w:t>
      </w:r>
      <w:r w:rsidR="00992FD0" w:rsidRPr="00EC250C">
        <w:t xml:space="preserve"> o </w:t>
      </w:r>
      <w:r w:rsidR="00380156" w:rsidRPr="00EC250C">
        <w:t>najsłabszych, którym bez jego wsparcia</w:t>
      </w:r>
      <w:r w:rsidR="00D57C30" w:rsidRPr="00EC250C">
        <w:t xml:space="preserve"> ciężko </w:t>
      </w:r>
      <w:r w:rsidR="00830F49" w:rsidRPr="00EC250C">
        <w:t>egzystować</w:t>
      </w:r>
      <w:r w:rsidR="00D57C30" w:rsidRPr="00EC250C">
        <w:t xml:space="preserve">. Większość nie liczy nawet na </w:t>
      </w:r>
      <w:r w:rsidR="00FD64C6" w:rsidRPr="00EC250C">
        <w:t>jakiekolwiek przywileje, chciałaby jedynie by szanowano nadane im</w:t>
      </w:r>
      <w:r w:rsidR="00992FD0" w:rsidRPr="00EC250C">
        <w:t xml:space="preserve"> w </w:t>
      </w:r>
      <w:r w:rsidR="00FD64C6" w:rsidRPr="00EC250C">
        <w:t>Konstytucji prawa.</w:t>
      </w:r>
    </w:p>
    <w:p w14:paraId="7BA3FD8F" w14:textId="77777777" w:rsidR="00FD64C6" w:rsidRPr="00EC250C" w:rsidRDefault="00FD64C6" w:rsidP="00D131FA">
      <w:pPr>
        <w:pStyle w:val="Styl1"/>
      </w:pPr>
      <w:r w:rsidRPr="00EC250C">
        <w:t>Wśród zgłaszanych</w:t>
      </w:r>
      <w:r w:rsidR="009E16F9" w:rsidRPr="00EC250C">
        <w:t xml:space="preserve"> na spotkaniach regionalnych</w:t>
      </w:r>
      <w:r w:rsidRPr="00EC250C">
        <w:t xml:space="preserve"> problemów osób</w:t>
      </w:r>
      <w:r w:rsidR="00992FD0" w:rsidRPr="00EC250C">
        <w:t xml:space="preserve"> z </w:t>
      </w:r>
      <w:r w:rsidRPr="00EC250C">
        <w:t>niepełnosprawnościami na pierwszy plan przebijają się:</w:t>
      </w:r>
    </w:p>
    <w:p w14:paraId="5D435979" w14:textId="77777777" w:rsidR="00741267" w:rsidRPr="00EC250C" w:rsidRDefault="00741267" w:rsidP="00D131FA">
      <w:pPr>
        <w:pStyle w:val="Styl1"/>
      </w:pPr>
      <w:r w:rsidRPr="00EC250C">
        <w:t xml:space="preserve">- </w:t>
      </w:r>
      <w:bookmarkStart w:id="566" w:name="_Hlk8210494"/>
      <w:r w:rsidRPr="00EC250C">
        <w:t>brak systemowego wsparcia rodzin osób</w:t>
      </w:r>
      <w:r w:rsidR="00992FD0" w:rsidRPr="00EC250C">
        <w:t xml:space="preserve"> z </w:t>
      </w:r>
      <w:r w:rsidRPr="00EC250C">
        <w:t xml:space="preserve">niepełnosprawnościami, które </w:t>
      </w:r>
      <w:r w:rsidR="00D66441" w:rsidRPr="00EC250C">
        <w:t>s</w:t>
      </w:r>
      <w:r w:rsidRPr="00EC250C">
        <w:t>kończyły 25</w:t>
      </w:r>
      <w:r w:rsidR="00D66441" w:rsidRPr="00EC250C">
        <w:t> lat</w:t>
      </w:r>
      <w:r w:rsidRPr="00EC250C">
        <w:t>. O ile dzieci</w:t>
      </w:r>
      <w:r w:rsidR="00992FD0" w:rsidRPr="00EC250C">
        <w:t xml:space="preserve"> z </w:t>
      </w:r>
      <w:r w:rsidR="00D66441" w:rsidRPr="00EC250C">
        <w:t>niepełnosprawnościami mogą korzystać</w:t>
      </w:r>
      <w:r w:rsidR="00992FD0" w:rsidRPr="00EC250C">
        <w:t xml:space="preserve"> z</w:t>
      </w:r>
      <w:r w:rsidR="00830F49" w:rsidRPr="00EC250C">
        <w:t xml:space="preserve">e zorganizowanej </w:t>
      </w:r>
      <w:r w:rsidR="00D66441" w:rsidRPr="00EC250C">
        <w:t>opieki</w:t>
      </w:r>
      <w:r w:rsidR="00026572" w:rsidRPr="00EC250C">
        <w:t xml:space="preserve"> – </w:t>
      </w:r>
      <w:r w:rsidR="00147D32" w:rsidRPr="00EC250C">
        <w:t>choć na kilka godzin dziennie,</w:t>
      </w:r>
      <w:r w:rsidR="00992FD0" w:rsidRPr="00EC250C">
        <w:t xml:space="preserve"> o </w:t>
      </w:r>
      <w:r w:rsidR="00147D32" w:rsidRPr="00EC250C">
        <w:t xml:space="preserve">tyle </w:t>
      </w:r>
      <w:r w:rsidR="00D66441" w:rsidRPr="00EC250C">
        <w:t>dorosłe osoby na takie wsparcie nie mogą liczyć</w:t>
      </w:r>
      <w:r w:rsidR="00147D32" w:rsidRPr="00EC250C">
        <w:t xml:space="preserve">. </w:t>
      </w:r>
      <w:r w:rsidR="00D66441" w:rsidRPr="00EC250C">
        <w:t>Ich r</w:t>
      </w:r>
      <w:r w:rsidR="00147D32" w:rsidRPr="00EC250C">
        <w:t>odzice</w:t>
      </w:r>
      <w:r w:rsidR="00992FD0" w:rsidRPr="00EC250C">
        <w:t xml:space="preserve"> i </w:t>
      </w:r>
      <w:r w:rsidR="00D66441" w:rsidRPr="00EC250C">
        <w:t xml:space="preserve">opiekunowie </w:t>
      </w:r>
      <w:r w:rsidR="00147D32" w:rsidRPr="00EC250C">
        <w:t>zostają sami, bez chwili wytchnienia, bez urlopu, opiekują się swoimi dziećmi całą dobę.</w:t>
      </w:r>
    </w:p>
    <w:bookmarkEnd w:id="566"/>
    <w:p w14:paraId="7BCC60FA" w14:textId="77777777" w:rsidR="00147D32" w:rsidRPr="00EC250C" w:rsidRDefault="00147D32" w:rsidP="00D131FA">
      <w:pPr>
        <w:pStyle w:val="Styl1"/>
      </w:pPr>
      <w:r w:rsidRPr="00EC250C">
        <w:lastRenderedPageBreak/>
        <w:t>-</w:t>
      </w:r>
      <w:r w:rsidR="00830F49" w:rsidRPr="00EC250C">
        <w:t xml:space="preserve"> </w:t>
      </w:r>
      <w:r w:rsidRPr="00EC250C">
        <w:t>niedziałający system dowozu dzieci</w:t>
      </w:r>
      <w:r w:rsidR="00992FD0" w:rsidRPr="00EC250C">
        <w:t xml:space="preserve"> z </w:t>
      </w:r>
      <w:r w:rsidRPr="00EC250C">
        <w:t>niepełnosprawnościami do szkół. Brakuje bezpośredniego transportu, dzieci są przesadzane</w:t>
      </w:r>
      <w:r w:rsidR="00992FD0" w:rsidRPr="00EC250C">
        <w:t xml:space="preserve"> w </w:t>
      </w:r>
      <w:r w:rsidRPr="00EC250C">
        <w:t>trakcie przejazdu</w:t>
      </w:r>
      <w:r w:rsidR="00992FD0" w:rsidRPr="00EC250C">
        <w:t xml:space="preserve"> z </w:t>
      </w:r>
      <w:r w:rsidRPr="00EC250C">
        <w:t>jednego autobusu do drugiego</w:t>
      </w:r>
      <w:r w:rsidR="00A74A05" w:rsidRPr="00EC250C">
        <w:t>. Zdarzają się także przypadki, gdzie na</w:t>
      </w:r>
      <w:r w:rsidRPr="00EC250C">
        <w:t xml:space="preserve"> warsztaty terapii zajęciowej </w:t>
      </w:r>
      <w:r w:rsidR="00A74A05" w:rsidRPr="00EC250C">
        <w:t>dowozi się jedynie osoby samodzielnie poruszające się, ponieważ samochody nie są przystosowane do wózków. Część rodziców skarży się także, że gminy nie refundują kosztów powrotu rodzica ze szkoły, uznając że zwrot należy się jedynie za trasy pokonywane</w:t>
      </w:r>
      <w:r w:rsidR="00992FD0" w:rsidRPr="00EC250C">
        <w:t xml:space="preserve"> z </w:t>
      </w:r>
      <w:r w:rsidR="00A74A05" w:rsidRPr="00EC250C">
        <w:t>dzieckiem.</w:t>
      </w:r>
    </w:p>
    <w:p w14:paraId="6AB157D8" w14:textId="77777777" w:rsidR="00147D32" w:rsidRPr="00EC250C" w:rsidRDefault="00A74A05" w:rsidP="00D131FA">
      <w:pPr>
        <w:pStyle w:val="Styl1"/>
      </w:pPr>
      <w:r w:rsidRPr="00EC250C">
        <w:t xml:space="preserve">- niewystarczające środki </w:t>
      </w:r>
      <w:r w:rsidR="00863852" w:rsidRPr="00EC250C">
        <w:t>przewidziane na dostosowaną terapię dzieci, która umożliwiałabym im lepsze życie</w:t>
      </w:r>
      <w:r w:rsidR="00992FD0" w:rsidRPr="00EC250C">
        <w:t xml:space="preserve"> i </w:t>
      </w:r>
      <w:r w:rsidR="00863852" w:rsidRPr="00EC250C">
        <w:t>pełniejszy rozwój. Wysokość przyznanych świadczeń wciąż jest zbyt niska, by pokryć koszty życia osoby</w:t>
      </w:r>
      <w:r w:rsidR="00992FD0" w:rsidRPr="00EC250C">
        <w:t xml:space="preserve"> z </w:t>
      </w:r>
      <w:r w:rsidR="00863852" w:rsidRPr="00EC250C">
        <w:t>niepełnosprawnościami. Koszty leków, specjalnej diety, dodatkowych rehabilitacji rosną, świadczenia zaś stają się kroplą</w:t>
      </w:r>
      <w:r w:rsidR="00992FD0" w:rsidRPr="00EC250C">
        <w:t xml:space="preserve"> w </w:t>
      </w:r>
      <w:r w:rsidR="00863852" w:rsidRPr="00EC250C">
        <w:t>morzu potrzeb.</w:t>
      </w:r>
    </w:p>
    <w:p w14:paraId="3083F194" w14:textId="77777777" w:rsidR="00863852" w:rsidRPr="00EC250C" w:rsidRDefault="00863852" w:rsidP="00D131FA">
      <w:pPr>
        <w:pStyle w:val="Styl1"/>
      </w:pPr>
      <w:r w:rsidRPr="00EC250C">
        <w:t>- niewykonany wyrok Trybunału Konstytucyjnego</w:t>
      </w:r>
      <w:r w:rsidR="00992FD0" w:rsidRPr="00EC250C">
        <w:t xml:space="preserve"> z </w:t>
      </w:r>
      <w:r w:rsidRPr="00EC250C">
        <w:t>2014 roku</w:t>
      </w:r>
      <w:r w:rsidR="007D4A81" w:rsidRPr="00EC250C">
        <w:t xml:space="preserve"> – nierówne traktowanie rodzin osób</w:t>
      </w:r>
      <w:r w:rsidR="00992FD0" w:rsidRPr="00EC250C">
        <w:t xml:space="preserve"> z </w:t>
      </w:r>
      <w:r w:rsidR="007D4A81" w:rsidRPr="00EC250C">
        <w:t>niepełnosprawnościami</w:t>
      </w:r>
      <w:r w:rsidR="00F2096D" w:rsidRPr="00EC250C">
        <w:rPr>
          <w:rStyle w:val="Odwoanieprzypisudolnego"/>
        </w:rPr>
        <w:footnoteReference w:id="547"/>
      </w:r>
      <w:r w:rsidRPr="00EC250C">
        <w:t>. Dwie rodziny mogą się opiekować dorosłymi dziećmi</w:t>
      </w:r>
      <w:r w:rsidR="00992FD0" w:rsidRPr="00EC250C">
        <w:t xml:space="preserve"> z </w:t>
      </w:r>
      <w:r w:rsidRPr="00EC250C">
        <w:t>niepełnosprawnością, ale</w:t>
      </w:r>
      <w:r w:rsidR="00992FD0" w:rsidRPr="00EC250C">
        <w:t xml:space="preserve"> w </w:t>
      </w:r>
      <w:r w:rsidRPr="00EC250C">
        <w:t xml:space="preserve">jednej opiekun dostanie </w:t>
      </w:r>
      <w:r w:rsidR="000F4429" w:rsidRPr="00EC250C">
        <w:t>1583</w:t>
      </w:r>
      <w:r w:rsidRPr="00EC250C">
        <w:t xml:space="preserve"> zł</w:t>
      </w:r>
      <w:r w:rsidR="000F4429" w:rsidRPr="00EC250C">
        <w:t xml:space="preserve"> (2019</w:t>
      </w:r>
      <w:r w:rsidR="00C91F6E" w:rsidRPr="00EC250C">
        <w:t> r.</w:t>
      </w:r>
      <w:r w:rsidR="000F4429" w:rsidRPr="00EC250C">
        <w:t>)</w:t>
      </w:r>
      <w:r w:rsidRPr="00EC250C">
        <w:t>,</w:t>
      </w:r>
      <w:r w:rsidR="00992FD0" w:rsidRPr="00EC250C">
        <w:t xml:space="preserve"> a w </w:t>
      </w:r>
      <w:r w:rsidRPr="00EC250C">
        <w:t xml:space="preserve">drugiej – </w:t>
      </w:r>
      <w:r w:rsidR="000F4429" w:rsidRPr="00EC250C">
        <w:t>6</w:t>
      </w:r>
      <w:r w:rsidRPr="00EC250C">
        <w:t xml:space="preserve">20 zł </w:t>
      </w:r>
      <w:r w:rsidR="00992FD0" w:rsidRPr="00EC250C">
        <w:t xml:space="preserve"> i </w:t>
      </w:r>
      <w:r w:rsidRPr="00EC250C">
        <w:t>to tylko wtedy, gdy</w:t>
      </w:r>
      <w:r w:rsidR="00992FD0" w:rsidRPr="00EC250C">
        <w:t xml:space="preserve"> w </w:t>
      </w:r>
      <w:r w:rsidRPr="00EC250C">
        <w:t xml:space="preserve">takiej rodzinie dochód na osobę nie przekracza 764 zł. </w:t>
      </w:r>
      <w:r w:rsidR="007D4A81" w:rsidRPr="00EC250C">
        <w:t>W</w:t>
      </w:r>
      <w:r w:rsidRPr="00EC250C">
        <w:t>ysokość pomocy zależy od tego, czy niepełnosprawność była stwierdzona</w:t>
      </w:r>
      <w:r w:rsidR="00992FD0" w:rsidRPr="00EC250C">
        <w:t xml:space="preserve"> w </w:t>
      </w:r>
      <w:r w:rsidRPr="00EC250C">
        <w:t>dzieciństwie (wtedy pomoc jest wyższa), czy</w:t>
      </w:r>
      <w:r w:rsidR="00992FD0" w:rsidRPr="00EC250C">
        <w:t xml:space="preserve"> w </w:t>
      </w:r>
      <w:r w:rsidRPr="00EC250C">
        <w:t>wieku dorosłym (bo jest to skutek np. wypadku komunikacyjnego). Opieka jest taka sama</w:t>
      </w:r>
      <w:r w:rsidR="00F2096D" w:rsidRPr="00EC250C">
        <w:t>.</w:t>
      </w:r>
      <w:r w:rsidR="00F2096D" w:rsidRPr="00EC250C">
        <w:rPr>
          <w:rStyle w:val="Odwoanieprzypisudolnego"/>
        </w:rPr>
        <w:footnoteReference w:id="548"/>
      </w:r>
    </w:p>
    <w:p w14:paraId="50D79B1F" w14:textId="77777777" w:rsidR="007D4A81" w:rsidRPr="00EC250C" w:rsidRDefault="007D4A81" w:rsidP="00D131FA">
      <w:pPr>
        <w:pStyle w:val="Styl1"/>
      </w:pPr>
      <w:r w:rsidRPr="00EC250C">
        <w:t>- brak refundacji ze środków PFRON za dostosowanie miejsca pracy do potrzeb osoby</w:t>
      </w:r>
      <w:r w:rsidR="00992FD0" w:rsidRPr="00EC250C">
        <w:t xml:space="preserve"> z </w:t>
      </w:r>
      <w:r w:rsidRPr="00EC250C">
        <w:t xml:space="preserve">niepełnosprawnością, gdy pracodawcą jest instytucja państwowa. Skutkiem takiego stanu rzeczy jest często odmowa przyjęcia do pracy podyktowana brakiem </w:t>
      </w:r>
      <w:r w:rsidR="00856A4F" w:rsidRPr="00EC250C">
        <w:t>środków</w:t>
      </w:r>
      <w:r w:rsidRPr="00EC250C">
        <w:t xml:space="preserve"> finansowych</w:t>
      </w:r>
      <w:r w:rsidR="00856A4F" w:rsidRPr="00EC250C">
        <w:t>, niezbędnych</w:t>
      </w:r>
      <w:r w:rsidRPr="00EC250C">
        <w:t xml:space="preserve"> </w:t>
      </w:r>
      <w:r w:rsidR="00856A4F" w:rsidRPr="00EC250C">
        <w:t>do zakupu potrzebnego sprzętu.</w:t>
      </w:r>
    </w:p>
    <w:p w14:paraId="7A66E4BA" w14:textId="77777777" w:rsidR="00856A4F" w:rsidRPr="00EC250C" w:rsidRDefault="00856A4F" w:rsidP="00D131FA">
      <w:pPr>
        <w:pStyle w:val="Styl1"/>
      </w:pPr>
      <w:r w:rsidRPr="00EC250C">
        <w:t>- niewystarczające wsparcie pracodawców powodujące niechęć do zatrudniania osób</w:t>
      </w:r>
      <w:r w:rsidR="00992FD0" w:rsidRPr="00EC250C">
        <w:t xml:space="preserve"> z </w:t>
      </w:r>
      <w:r w:rsidRPr="00EC250C">
        <w:t>niepełnosprawnościami, mimo posiadanych prze nich kwalifikacji.</w:t>
      </w:r>
    </w:p>
    <w:p w14:paraId="5861A60F" w14:textId="77777777" w:rsidR="00E26E0A" w:rsidRPr="00EC250C" w:rsidRDefault="008F7551" w:rsidP="00D131FA">
      <w:pPr>
        <w:pStyle w:val="Styl1"/>
      </w:pPr>
      <w:r w:rsidRPr="00EC250C">
        <w:t xml:space="preserve">- </w:t>
      </w:r>
      <w:r w:rsidR="00F2096D" w:rsidRPr="00EC250C">
        <w:t>wyczerpujące się ubezpieczeniowe sumy gwarancyjne – pula środków przyznanych ofiarom wypadków przed rokiem 1993 była bardzo niska. Osoby, którym w tym czasie przyznano renty z tytułu niepełnosprawności ruchowej, mimo że często nadal są młode, nie mają już możliwości dalszego otrzymywania takiego świadczenia. Środki Ubezpieczeniowego Funduszu Gwarancyjnego przewidziane na cel ich renty przez ostatnie 25 lat zdążyły się wyczerpać. Ich renty zostały wstrzymane</w:t>
      </w:r>
      <w:r w:rsidRPr="00EC250C">
        <w:rPr>
          <w:rStyle w:val="Odwoanieprzypisudolnego"/>
        </w:rPr>
        <w:footnoteReference w:id="549"/>
      </w:r>
      <w:r w:rsidR="00E26E0A" w:rsidRPr="00EC250C">
        <w:t>.</w:t>
      </w:r>
    </w:p>
    <w:p w14:paraId="352C7C45" w14:textId="77777777" w:rsidR="00DE6B87" w:rsidRPr="00EC250C" w:rsidRDefault="005767E0" w:rsidP="00EC79EB">
      <w:pPr>
        <w:pStyle w:val="Nagwek4"/>
      </w:pPr>
      <w:bookmarkStart w:id="567" w:name="_Toc11247767"/>
      <w:r w:rsidRPr="00EC250C">
        <w:lastRenderedPageBreak/>
        <w:t>Protest</w:t>
      </w:r>
      <w:r w:rsidR="00992FD0" w:rsidRPr="00EC250C">
        <w:t xml:space="preserve"> </w:t>
      </w:r>
      <w:r w:rsidRPr="00EC250C">
        <w:t>dorosłych osób</w:t>
      </w:r>
      <w:r w:rsidR="00992FD0" w:rsidRPr="00EC250C">
        <w:t xml:space="preserve"> z </w:t>
      </w:r>
      <w:r w:rsidRPr="00EC250C">
        <w:t>niepełnosprawnościami</w:t>
      </w:r>
      <w:r w:rsidR="00992FD0" w:rsidRPr="00EC250C">
        <w:t xml:space="preserve"> i </w:t>
      </w:r>
      <w:r w:rsidRPr="00EC250C">
        <w:t>ich opiekunów</w:t>
      </w:r>
      <w:r w:rsidR="00B60BBF" w:rsidRPr="00EC250C">
        <w:t xml:space="preserve"> w Sejmie</w:t>
      </w:r>
      <w:bookmarkEnd w:id="567"/>
    </w:p>
    <w:p w14:paraId="06A82F59" w14:textId="77777777" w:rsidR="00B473F5" w:rsidRPr="00EC250C" w:rsidRDefault="00DE6B87" w:rsidP="00D131FA">
      <w:pPr>
        <w:pStyle w:val="Problemczowieka"/>
        <w:jc w:val="both"/>
      </w:pPr>
      <w:r w:rsidRPr="00EC250C">
        <w:t>Od 18 kwietnia do 27 maja 2018</w:t>
      </w:r>
      <w:r w:rsidR="00C91F6E" w:rsidRPr="00EC250C">
        <w:t> r.</w:t>
      </w:r>
      <w:r w:rsidRPr="00EC250C">
        <w:t xml:space="preserve"> dorosłe osoby</w:t>
      </w:r>
      <w:r w:rsidR="00992FD0" w:rsidRPr="00EC250C">
        <w:t xml:space="preserve"> z </w:t>
      </w:r>
      <w:r w:rsidRPr="00EC250C">
        <w:t>niepełnosprawnościami</w:t>
      </w:r>
      <w:r w:rsidR="00992FD0" w:rsidRPr="00EC250C">
        <w:t xml:space="preserve"> i </w:t>
      </w:r>
      <w:r w:rsidRPr="00EC250C">
        <w:t>ich opiekunowie prowadzili protest</w:t>
      </w:r>
      <w:r w:rsidR="00992FD0" w:rsidRPr="00EC250C">
        <w:t xml:space="preserve"> w </w:t>
      </w:r>
      <w:r w:rsidRPr="00EC250C">
        <w:t>gmachu Sejmu</w:t>
      </w:r>
      <w:r w:rsidR="00B473F5" w:rsidRPr="00EC250C">
        <w:t>.</w:t>
      </w:r>
    </w:p>
    <w:p w14:paraId="7D2D195C" w14:textId="77777777" w:rsidR="00D16C8F" w:rsidRPr="00EC250C" w:rsidRDefault="005F4C36" w:rsidP="00D131FA">
      <w:pPr>
        <w:pStyle w:val="Styl1"/>
      </w:pPr>
      <w:r w:rsidRPr="00EC250C">
        <w:t>Kilka dni po rozpoczęciu tego protestu</w:t>
      </w:r>
      <w:r w:rsidR="00DA68CA" w:rsidRPr="00EC250C">
        <w:t>, 28 kwietnia</w:t>
      </w:r>
      <w:r w:rsidR="006F1319" w:rsidRPr="00EC250C">
        <w:t xml:space="preserve"> 2018 r.</w:t>
      </w:r>
      <w:r w:rsidR="00DA68CA" w:rsidRPr="00EC250C">
        <w:t>,</w:t>
      </w:r>
      <w:r w:rsidR="00392799" w:rsidRPr="00EC250C">
        <w:t xml:space="preserve"> </w:t>
      </w:r>
      <w:r w:rsidRPr="00EC250C">
        <w:t>rząd zawarł porozumienie</w:t>
      </w:r>
      <w:r w:rsidR="00992FD0" w:rsidRPr="00EC250C">
        <w:t xml:space="preserve"> z </w:t>
      </w:r>
      <w:r w:rsidRPr="00EC250C">
        <w:t>przedstawicielami środowiska osób</w:t>
      </w:r>
      <w:r w:rsidR="00992FD0" w:rsidRPr="00EC250C">
        <w:t xml:space="preserve"> z </w:t>
      </w:r>
      <w:r w:rsidRPr="00EC250C">
        <w:t xml:space="preserve">niepełnosprawnościami – ale </w:t>
      </w:r>
      <w:r w:rsidR="00D16C8F" w:rsidRPr="00EC250C">
        <w:t xml:space="preserve">bez udziału osób protestujących. </w:t>
      </w:r>
      <w:r w:rsidR="00D16C8F" w:rsidRPr="00EC250C">
        <w:rPr>
          <w:bdr w:val="none" w:sz="0" w:space="0" w:color="auto" w:frame="1"/>
        </w:rPr>
        <w:t>Rozwiązania „porozumienia”, określające priorytety działań państwa</w:t>
      </w:r>
      <w:r w:rsidR="00992FD0" w:rsidRPr="00EC250C">
        <w:rPr>
          <w:bdr w:val="none" w:sz="0" w:space="0" w:color="auto" w:frame="1"/>
        </w:rPr>
        <w:t xml:space="preserve"> w </w:t>
      </w:r>
      <w:r w:rsidR="00D16C8F" w:rsidRPr="00EC250C">
        <w:rPr>
          <w:bdr w:val="none" w:sz="0" w:space="0" w:color="auto" w:frame="1"/>
        </w:rPr>
        <w:t>celu ochrony praw osób</w:t>
      </w:r>
      <w:r w:rsidR="00992FD0" w:rsidRPr="00EC250C">
        <w:rPr>
          <w:bdr w:val="none" w:sz="0" w:space="0" w:color="auto" w:frame="1"/>
        </w:rPr>
        <w:t xml:space="preserve"> z </w:t>
      </w:r>
      <w:r w:rsidR="00D16C8F" w:rsidRPr="00EC250C">
        <w:rPr>
          <w:bdr w:val="none" w:sz="0" w:space="0" w:color="auto" w:frame="1"/>
        </w:rPr>
        <w:t xml:space="preserve">niepełnosprawnościami, </w:t>
      </w:r>
      <w:r w:rsidR="00D76DC6" w:rsidRPr="00EC250C">
        <w:rPr>
          <w:bdr w:val="none" w:sz="0" w:space="0" w:color="auto" w:frame="1"/>
        </w:rPr>
        <w:t>RPO</w:t>
      </w:r>
      <w:r w:rsidR="00992FD0" w:rsidRPr="00EC250C">
        <w:rPr>
          <w:bdr w:val="none" w:sz="0" w:space="0" w:color="auto" w:frame="1"/>
        </w:rPr>
        <w:t xml:space="preserve"> w </w:t>
      </w:r>
      <w:r w:rsidR="00DA68CA" w:rsidRPr="00EC250C">
        <w:rPr>
          <w:bdr w:val="none" w:sz="0" w:space="0" w:color="auto" w:frame="1"/>
        </w:rPr>
        <w:t xml:space="preserve">wystąpieniu do premiera </w:t>
      </w:r>
      <w:r w:rsidR="00D16C8F" w:rsidRPr="00EC250C">
        <w:rPr>
          <w:bdr w:val="none" w:sz="0" w:space="0" w:color="auto" w:frame="1"/>
        </w:rPr>
        <w:t>ocenił jako krok naprzód</w:t>
      </w:r>
      <w:r w:rsidR="00992FD0" w:rsidRPr="00EC250C">
        <w:rPr>
          <w:bdr w:val="none" w:sz="0" w:space="0" w:color="auto" w:frame="1"/>
        </w:rPr>
        <w:t xml:space="preserve"> w </w:t>
      </w:r>
      <w:r w:rsidR="00D16C8F" w:rsidRPr="00EC250C">
        <w:rPr>
          <w:bdr w:val="none" w:sz="0" w:space="0" w:color="auto" w:frame="1"/>
        </w:rPr>
        <w:t>zapewnieniu im niezbędnego wsparcia. Uznał jednak, że są one niewystarczające, zwłaszcza iż wypracowano je bez udziału przedstawicieli osób protestujących</w:t>
      </w:r>
      <w:r w:rsidR="00992FD0" w:rsidRPr="00EC250C">
        <w:rPr>
          <w:bdr w:val="none" w:sz="0" w:space="0" w:color="auto" w:frame="1"/>
        </w:rPr>
        <w:t xml:space="preserve"> w </w:t>
      </w:r>
      <w:r w:rsidR="00D16C8F" w:rsidRPr="00EC250C">
        <w:rPr>
          <w:bdr w:val="none" w:sz="0" w:space="0" w:color="auto" w:frame="1"/>
        </w:rPr>
        <w:t>Sejmie.</w:t>
      </w:r>
    </w:p>
    <w:p w14:paraId="4632C8D2" w14:textId="77777777" w:rsidR="00D16C8F" w:rsidRPr="00EC250C" w:rsidRDefault="00D16C8F" w:rsidP="00D131FA">
      <w:pPr>
        <w:pStyle w:val="Styl1"/>
        <w:rPr>
          <w:bCs/>
          <w:iCs/>
        </w:rPr>
      </w:pPr>
      <w:r w:rsidRPr="00EC250C">
        <w:rPr>
          <w:bCs/>
          <w:iCs/>
        </w:rPr>
        <w:t>Pełnomocnik Rządu do spraw Osób</w:t>
      </w:r>
      <w:r w:rsidR="00992FD0" w:rsidRPr="00EC250C">
        <w:rPr>
          <w:bCs/>
          <w:iCs/>
        </w:rPr>
        <w:t xml:space="preserve"> z </w:t>
      </w:r>
      <w:r w:rsidRPr="00EC250C">
        <w:rPr>
          <w:bCs/>
          <w:iCs/>
        </w:rPr>
        <w:t>Niepełnosprawnościami wyjaśnił</w:t>
      </w:r>
      <w:r w:rsidR="00D66441" w:rsidRPr="00EC250C">
        <w:rPr>
          <w:bCs/>
          <w:iCs/>
        </w:rPr>
        <w:t>,</w:t>
      </w:r>
      <w:r w:rsidRPr="00EC250C">
        <w:rPr>
          <w:bCs/>
          <w:iCs/>
        </w:rPr>
        <w:t xml:space="preserve"> że </w:t>
      </w:r>
      <w:r w:rsidR="00DA68CA" w:rsidRPr="00EC250C">
        <w:rPr>
          <w:bCs/>
          <w:iCs/>
        </w:rPr>
        <w:t>przedstawiciel</w:t>
      </w:r>
      <w:r w:rsidR="00830F49" w:rsidRPr="00EC250C">
        <w:rPr>
          <w:bCs/>
          <w:iCs/>
        </w:rPr>
        <w:t>e</w:t>
      </w:r>
      <w:r w:rsidR="00DA68CA" w:rsidRPr="00EC250C">
        <w:rPr>
          <w:bCs/>
          <w:iCs/>
        </w:rPr>
        <w:t xml:space="preserve"> osób protestujących</w:t>
      </w:r>
      <w:r w:rsidR="00992FD0" w:rsidRPr="00EC250C">
        <w:rPr>
          <w:bCs/>
          <w:iCs/>
        </w:rPr>
        <w:t xml:space="preserve"> w </w:t>
      </w:r>
      <w:r w:rsidR="00DA68CA" w:rsidRPr="00EC250C">
        <w:rPr>
          <w:bCs/>
          <w:iCs/>
        </w:rPr>
        <w:t>Sejmie</w:t>
      </w:r>
      <w:r w:rsidRPr="00EC250C">
        <w:rPr>
          <w:bCs/>
          <w:iCs/>
        </w:rPr>
        <w:t xml:space="preserve"> by</w:t>
      </w:r>
      <w:r w:rsidR="00DA68CA" w:rsidRPr="00EC250C">
        <w:rPr>
          <w:bCs/>
          <w:iCs/>
        </w:rPr>
        <w:t>li</w:t>
      </w:r>
      <w:r w:rsidRPr="00EC250C">
        <w:rPr>
          <w:bCs/>
          <w:iCs/>
        </w:rPr>
        <w:t xml:space="preserve"> zaprasza</w:t>
      </w:r>
      <w:r w:rsidR="00DA68CA" w:rsidRPr="00EC250C">
        <w:rPr>
          <w:bCs/>
          <w:iCs/>
        </w:rPr>
        <w:t>ni</w:t>
      </w:r>
      <w:r w:rsidRPr="00EC250C">
        <w:rPr>
          <w:bCs/>
          <w:iCs/>
        </w:rPr>
        <w:t xml:space="preserve"> na posiedzenie Krajowej Rady Konsultacyjnej </w:t>
      </w:r>
      <w:r w:rsidR="00830F49" w:rsidRPr="00EC250C">
        <w:rPr>
          <w:bCs/>
          <w:iCs/>
        </w:rPr>
        <w:t xml:space="preserve">ds. </w:t>
      </w:r>
      <w:r w:rsidRPr="00EC250C">
        <w:rPr>
          <w:bCs/>
          <w:iCs/>
        </w:rPr>
        <w:t>Osób Niepełnosprawnych, lecz odmówi</w:t>
      </w:r>
      <w:r w:rsidR="00DA68CA" w:rsidRPr="00EC250C">
        <w:rPr>
          <w:bCs/>
          <w:iCs/>
        </w:rPr>
        <w:t>li</w:t>
      </w:r>
      <w:r w:rsidRPr="00EC250C">
        <w:rPr>
          <w:bCs/>
          <w:iCs/>
        </w:rPr>
        <w:t xml:space="preserve"> udziału</w:t>
      </w:r>
      <w:r w:rsidR="00992FD0" w:rsidRPr="00EC250C">
        <w:rPr>
          <w:bCs/>
          <w:iCs/>
        </w:rPr>
        <w:t xml:space="preserve"> w </w:t>
      </w:r>
      <w:r w:rsidRPr="00EC250C">
        <w:rPr>
          <w:bCs/>
          <w:iCs/>
        </w:rPr>
        <w:t>spotkaniu. Zapewnił równocześnie, że wyrażone</w:t>
      </w:r>
      <w:r w:rsidR="00992FD0" w:rsidRPr="00EC250C">
        <w:rPr>
          <w:bCs/>
          <w:iCs/>
        </w:rPr>
        <w:t xml:space="preserve"> w </w:t>
      </w:r>
      <w:r w:rsidRPr="00EC250C">
        <w:rPr>
          <w:bCs/>
          <w:iCs/>
        </w:rPr>
        <w:t>Konwencji</w:t>
      </w:r>
      <w:r w:rsidR="00992FD0" w:rsidRPr="00EC250C">
        <w:rPr>
          <w:bCs/>
          <w:iCs/>
        </w:rPr>
        <w:t xml:space="preserve"> o </w:t>
      </w:r>
      <w:r w:rsidRPr="00EC250C">
        <w:rPr>
          <w:bCs/>
          <w:iCs/>
        </w:rPr>
        <w:t xml:space="preserve">prawach osób </w:t>
      </w:r>
      <w:r w:rsidR="006F1319" w:rsidRPr="00EC250C">
        <w:rPr>
          <w:bCs/>
          <w:iCs/>
        </w:rPr>
        <w:t xml:space="preserve">z </w:t>
      </w:r>
      <w:r w:rsidRPr="00EC250C">
        <w:rPr>
          <w:bCs/>
          <w:iCs/>
        </w:rPr>
        <w:t>niepełnosprawn</w:t>
      </w:r>
      <w:r w:rsidR="006F1319" w:rsidRPr="00EC250C">
        <w:rPr>
          <w:bCs/>
          <w:iCs/>
        </w:rPr>
        <w:t>ością</w:t>
      </w:r>
      <w:r w:rsidRPr="00EC250C">
        <w:rPr>
          <w:bCs/>
          <w:iCs/>
        </w:rPr>
        <w:t xml:space="preserve"> zalecenie</w:t>
      </w:r>
      <w:r w:rsidR="00026572" w:rsidRPr="00EC250C">
        <w:rPr>
          <w:bCs/>
          <w:iCs/>
        </w:rPr>
        <w:t xml:space="preserve"> – </w:t>
      </w:r>
      <w:r w:rsidRPr="00EC250C">
        <w:rPr>
          <w:bCs/>
          <w:iCs/>
        </w:rPr>
        <w:t>zagwarantowania osobom</w:t>
      </w:r>
      <w:r w:rsidR="00992FD0" w:rsidRPr="00EC250C">
        <w:rPr>
          <w:bCs/>
          <w:iCs/>
        </w:rPr>
        <w:t xml:space="preserve"> z </w:t>
      </w:r>
      <w:r w:rsidRPr="00EC250C">
        <w:rPr>
          <w:bCs/>
          <w:iCs/>
        </w:rPr>
        <w:t>niepełnosprawnościami możliwości aktywnego udziału</w:t>
      </w:r>
      <w:r w:rsidR="00992FD0" w:rsidRPr="00EC250C">
        <w:rPr>
          <w:bCs/>
          <w:iCs/>
        </w:rPr>
        <w:t xml:space="preserve"> w </w:t>
      </w:r>
      <w:r w:rsidRPr="00EC250C">
        <w:rPr>
          <w:bCs/>
          <w:iCs/>
        </w:rPr>
        <w:t>procesie decyzyjnym, zwłaszcza</w:t>
      </w:r>
      <w:r w:rsidR="00992FD0" w:rsidRPr="00EC250C">
        <w:rPr>
          <w:bCs/>
          <w:iCs/>
        </w:rPr>
        <w:t xml:space="preserve"> w </w:t>
      </w:r>
      <w:r w:rsidRPr="00EC250C">
        <w:rPr>
          <w:bCs/>
          <w:iCs/>
        </w:rPr>
        <w:t>odniesieniu do kwestii dotyczących ich bezpośrednio</w:t>
      </w:r>
      <w:r w:rsidR="00026572" w:rsidRPr="00EC250C">
        <w:rPr>
          <w:bCs/>
          <w:iCs/>
        </w:rPr>
        <w:t xml:space="preserve"> – </w:t>
      </w:r>
      <w:r w:rsidRPr="00EC250C">
        <w:rPr>
          <w:bCs/>
          <w:iCs/>
        </w:rPr>
        <w:t>jest</w:t>
      </w:r>
      <w:r w:rsidR="00992FD0" w:rsidRPr="00EC250C">
        <w:rPr>
          <w:bCs/>
          <w:iCs/>
        </w:rPr>
        <w:t xml:space="preserve"> w </w:t>
      </w:r>
      <w:r w:rsidRPr="00EC250C">
        <w:rPr>
          <w:bCs/>
          <w:iCs/>
        </w:rPr>
        <w:t>pełni realizowane przez obecny rząd</w:t>
      </w:r>
      <w:r w:rsidR="00830F49" w:rsidRPr="00EC250C">
        <w:rPr>
          <w:rStyle w:val="Odwoanieprzypisudolnego"/>
          <w:bCs/>
          <w:iCs/>
        </w:rPr>
        <w:footnoteReference w:id="550"/>
      </w:r>
      <w:r w:rsidRPr="00EC250C">
        <w:rPr>
          <w:bCs/>
          <w:iCs/>
        </w:rPr>
        <w:t>.</w:t>
      </w:r>
      <w:r w:rsidR="00B60BBF" w:rsidRPr="00EC250C">
        <w:rPr>
          <w:bCs/>
          <w:iCs/>
        </w:rPr>
        <w:t xml:space="preserve"> Rzecznik Praw Obywatelskich nie uważa tej odpowiedzi za satysfakcjonującą.</w:t>
      </w:r>
    </w:p>
    <w:p w14:paraId="254EF76F" w14:textId="77777777" w:rsidR="001D7544" w:rsidRPr="00EC250C" w:rsidRDefault="005767E0" w:rsidP="00EC250C">
      <w:pPr>
        <w:pStyle w:val="Nagwek8"/>
      </w:pPr>
      <w:r w:rsidRPr="00EC250C">
        <w:t>Oświadczenie RPO</w:t>
      </w:r>
      <w:r w:rsidR="00DE6B87" w:rsidRPr="00EC250C">
        <w:t xml:space="preserve"> po zakończeniu protestu</w:t>
      </w:r>
      <w:r w:rsidR="00992FD0" w:rsidRPr="00EC250C">
        <w:t xml:space="preserve"> w </w:t>
      </w:r>
      <w:r w:rsidR="00DE6B87" w:rsidRPr="00EC250C">
        <w:t>Sejmie</w:t>
      </w:r>
    </w:p>
    <w:p w14:paraId="61771A50" w14:textId="77777777" w:rsidR="001D7544" w:rsidRPr="00EC250C" w:rsidRDefault="001D7544" w:rsidP="00D131FA">
      <w:pPr>
        <w:pStyle w:val="Styl2"/>
        <w:rPr>
          <w:szCs w:val="24"/>
        </w:rPr>
      </w:pPr>
      <w:r w:rsidRPr="00EC250C">
        <w:rPr>
          <w:szCs w:val="24"/>
        </w:rPr>
        <w:t>27 maja 2018</w:t>
      </w:r>
      <w:r w:rsidR="00C91F6E" w:rsidRPr="00EC250C">
        <w:rPr>
          <w:szCs w:val="24"/>
        </w:rPr>
        <w:t> r.</w:t>
      </w:r>
      <w:r w:rsidRPr="00EC250C">
        <w:rPr>
          <w:szCs w:val="24"/>
        </w:rPr>
        <w:t xml:space="preserve"> zawieszony został protest osób</w:t>
      </w:r>
      <w:r w:rsidR="00992FD0" w:rsidRPr="00EC250C">
        <w:rPr>
          <w:szCs w:val="24"/>
        </w:rPr>
        <w:t xml:space="preserve"> z </w:t>
      </w:r>
      <w:r w:rsidRPr="00EC250C">
        <w:rPr>
          <w:szCs w:val="24"/>
        </w:rPr>
        <w:t>niepełnosprawnościami</w:t>
      </w:r>
      <w:r w:rsidR="00992FD0" w:rsidRPr="00EC250C">
        <w:rPr>
          <w:szCs w:val="24"/>
        </w:rPr>
        <w:t xml:space="preserve"> i </w:t>
      </w:r>
      <w:r w:rsidRPr="00EC250C">
        <w:rPr>
          <w:szCs w:val="24"/>
        </w:rPr>
        <w:t>członków ich rodzin</w:t>
      </w:r>
      <w:r w:rsidR="00992FD0" w:rsidRPr="00EC250C">
        <w:rPr>
          <w:szCs w:val="24"/>
        </w:rPr>
        <w:t xml:space="preserve"> w </w:t>
      </w:r>
      <w:r w:rsidRPr="00EC250C">
        <w:rPr>
          <w:szCs w:val="24"/>
        </w:rPr>
        <w:t>Sejmie. Protest ten sprawił, że problem niewystarczającego wsparcia osób</w:t>
      </w:r>
      <w:r w:rsidR="00992FD0" w:rsidRPr="00EC250C">
        <w:rPr>
          <w:szCs w:val="24"/>
        </w:rPr>
        <w:t xml:space="preserve"> z </w:t>
      </w:r>
      <w:r w:rsidRPr="00EC250C">
        <w:rPr>
          <w:szCs w:val="24"/>
        </w:rPr>
        <w:t>niepełnosprawnościami stał się wreszcie jednym</w:t>
      </w:r>
      <w:r w:rsidR="00992FD0" w:rsidRPr="00EC250C">
        <w:rPr>
          <w:szCs w:val="24"/>
        </w:rPr>
        <w:t xml:space="preserve"> z </w:t>
      </w:r>
      <w:r w:rsidRPr="00EC250C">
        <w:rPr>
          <w:szCs w:val="24"/>
        </w:rPr>
        <w:t>priorytetów rządu. Umożliwienie osobom</w:t>
      </w:r>
      <w:r w:rsidR="00992FD0" w:rsidRPr="00EC250C">
        <w:rPr>
          <w:szCs w:val="24"/>
        </w:rPr>
        <w:t xml:space="preserve"> z </w:t>
      </w:r>
      <w:r w:rsidRPr="00EC250C">
        <w:rPr>
          <w:szCs w:val="24"/>
        </w:rPr>
        <w:t>niepełnosprawnościami prowadzenia niezależnego życia jest już nie tylko wyzwaniem dla osób</w:t>
      </w:r>
      <w:r w:rsidR="00992FD0" w:rsidRPr="00EC250C">
        <w:rPr>
          <w:szCs w:val="24"/>
        </w:rPr>
        <w:t xml:space="preserve"> z </w:t>
      </w:r>
      <w:r w:rsidRPr="00EC250C">
        <w:rPr>
          <w:szCs w:val="24"/>
        </w:rPr>
        <w:t>niepełnosprawnościami</w:t>
      </w:r>
      <w:r w:rsidR="00992FD0" w:rsidRPr="00EC250C">
        <w:rPr>
          <w:szCs w:val="24"/>
        </w:rPr>
        <w:t xml:space="preserve"> i </w:t>
      </w:r>
      <w:r w:rsidRPr="00EC250C">
        <w:rPr>
          <w:szCs w:val="24"/>
        </w:rPr>
        <w:t>ich najbliższych, ale dla każdego</w:t>
      </w:r>
      <w:r w:rsidR="00992FD0" w:rsidRPr="00EC250C">
        <w:rPr>
          <w:szCs w:val="24"/>
        </w:rPr>
        <w:t xml:space="preserve"> z </w:t>
      </w:r>
      <w:r w:rsidRPr="00EC250C">
        <w:rPr>
          <w:szCs w:val="24"/>
        </w:rPr>
        <w:t>nas.</w:t>
      </w:r>
    </w:p>
    <w:p w14:paraId="313969B9" w14:textId="77777777" w:rsidR="001D7544" w:rsidRPr="00EC250C" w:rsidRDefault="001D7544" w:rsidP="00D131FA">
      <w:pPr>
        <w:pStyle w:val="Styl2"/>
        <w:rPr>
          <w:szCs w:val="24"/>
        </w:rPr>
      </w:pPr>
      <w:r w:rsidRPr="00EC250C">
        <w:rPr>
          <w:szCs w:val="24"/>
        </w:rPr>
        <w:t>To dzięki osobom protestującym</w:t>
      </w:r>
      <w:r w:rsidR="00992FD0" w:rsidRPr="00EC250C">
        <w:rPr>
          <w:szCs w:val="24"/>
        </w:rPr>
        <w:t xml:space="preserve"> w </w:t>
      </w:r>
      <w:r w:rsidRPr="00EC250C">
        <w:rPr>
          <w:szCs w:val="24"/>
        </w:rPr>
        <w:t>Sejmie niepełnosprawność zyskała twarz konkretnych osób, które na co dzień pozbawione są elementarnego wsparcia. Dzięki nim społeczeństwo zrozumiało wiele</w:t>
      </w:r>
      <w:r w:rsidR="00992FD0" w:rsidRPr="00EC250C">
        <w:rPr>
          <w:szCs w:val="24"/>
        </w:rPr>
        <w:t xml:space="preserve"> z </w:t>
      </w:r>
      <w:r w:rsidRPr="00EC250C">
        <w:rPr>
          <w:szCs w:val="24"/>
        </w:rPr>
        <w:t>problemów,</w:t>
      </w:r>
      <w:r w:rsidR="00992FD0" w:rsidRPr="00EC250C">
        <w:rPr>
          <w:szCs w:val="24"/>
        </w:rPr>
        <w:t xml:space="preserve"> z </w:t>
      </w:r>
      <w:r w:rsidRPr="00EC250C">
        <w:rPr>
          <w:szCs w:val="24"/>
        </w:rPr>
        <w:t>którymi na co dzień zmagają się rodzice</w:t>
      </w:r>
      <w:r w:rsidR="00992FD0" w:rsidRPr="00EC250C">
        <w:rPr>
          <w:szCs w:val="24"/>
        </w:rPr>
        <w:t xml:space="preserve"> i </w:t>
      </w:r>
      <w:r w:rsidRPr="00EC250C">
        <w:rPr>
          <w:szCs w:val="24"/>
        </w:rPr>
        <w:t>opiekunowie osób</w:t>
      </w:r>
      <w:r w:rsidR="00992FD0" w:rsidRPr="00EC250C">
        <w:rPr>
          <w:szCs w:val="24"/>
        </w:rPr>
        <w:t xml:space="preserve"> z </w:t>
      </w:r>
      <w:r w:rsidRPr="00EC250C">
        <w:rPr>
          <w:szCs w:val="24"/>
        </w:rPr>
        <w:t>niepełnosprawnościami. Znosząc niekiedy niezwykle uciążliwe ograniczenia związane</w:t>
      </w:r>
      <w:r w:rsidR="00992FD0" w:rsidRPr="00EC250C">
        <w:rPr>
          <w:szCs w:val="24"/>
        </w:rPr>
        <w:t xml:space="preserve"> z </w:t>
      </w:r>
      <w:r w:rsidRPr="00EC250C">
        <w:rPr>
          <w:szCs w:val="24"/>
        </w:rPr>
        <w:t>przebywaniem</w:t>
      </w:r>
      <w:r w:rsidR="00992FD0" w:rsidRPr="00EC250C">
        <w:rPr>
          <w:szCs w:val="24"/>
        </w:rPr>
        <w:t xml:space="preserve"> w </w:t>
      </w:r>
      <w:r w:rsidRPr="00EC250C">
        <w:rPr>
          <w:szCs w:val="24"/>
        </w:rPr>
        <w:t>budynku Sejmu czy trudną do uzasadnienia interwencję funkcjonariuszy Straży Marszałkowskiej, protestujący udowodnili, że osoby</w:t>
      </w:r>
      <w:r w:rsidR="00992FD0" w:rsidRPr="00EC250C">
        <w:rPr>
          <w:szCs w:val="24"/>
        </w:rPr>
        <w:t xml:space="preserve"> z </w:t>
      </w:r>
      <w:r w:rsidRPr="00EC250C">
        <w:rPr>
          <w:szCs w:val="24"/>
        </w:rPr>
        <w:t>niepełnosprawnościami nie są „niezdolne”, nie są „niesamodzielne” – osoby</w:t>
      </w:r>
      <w:r w:rsidR="00992FD0" w:rsidRPr="00EC250C">
        <w:rPr>
          <w:szCs w:val="24"/>
        </w:rPr>
        <w:t xml:space="preserve"> z </w:t>
      </w:r>
      <w:r w:rsidRPr="00EC250C">
        <w:rPr>
          <w:szCs w:val="24"/>
        </w:rPr>
        <w:t>niepełnosprawnościami są sprawcze, zdeterminowane, świadome swoich praw oraz godności.</w:t>
      </w:r>
    </w:p>
    <w:p w14:paraId="02999EF3" w14:textId="77777777" w:rsidR="001D7544" w:rsidRPr="00EC250C" w:rsidRDefault="001D7544" w:rsidP="00D131FA">
      <w:pPr>
        <w:pStyle w:val="Styl2"/>
        <w:rPr>
          <w:szCs w:val="24"/>
        </w:rPr>
      </w:pPr>
      <w:r w:rsidRPr="00EC250C">
        <w:rPr>
          <w:szCs w:val="24"/>
        </w:rPr>
        <w:t>Wiele osób wyraziło solidarność</w:t>
      </w:r>
      <w:r w:rsidR="00992FD0" w:rsidRPr="00EC250C">
        <w:rPr>
          <w:szCs w:val="24"/>
        </w:rPr>
        <w:t xml:space="preserve"> z </w:t>
      </w:r>
      <w:r w:rsidRPr="00EC250C">
        <w:rPr>
          <w:szCs w:val="24"/>
        </w:rPr>
        <w:t>osobami protestującymi</w:t>
      </w:r>
      <w:r w:rsidR="00992FD0" w:rsidRPr="00EC250C">
        <w:rPr>
          <w:szCs w:val="24"/>
        </w:rPr>
        <w:t xml:space="preserve"> w </w:t>
      </w:r>
      <w:r w:rsidRPr="00EC250C">
        <w:rPr>
          <w:szCs w:val="24"/>
        </w:rPr>
        <w:t>Sejmie. Głośne</w:t>
      </w:r>
      <w:r w:rsidR="00992FD0" w:rsidRPr="00EC250C">
        <w:rPr>
          <w:szCs w:val="24"/>
        </w:rPr>
        <w:t xml:space="preserve"> i </w:t>
      </w:r>
      <w:r w:rsidRPr="00EC250C">
        <w:rPr>
          <w:szCs w:val="24"/>
        </w:rPr>
        <w:t>dobitne żądanie umożliwienia osobom</w:t>
      </w:r>
      <w:r w:rsidR="00992FD0" w:rsidRPr="00EC250C">
        <w:rPr>
          <w:szCs w:val="24"/>
        </w:rPr>
        <w:t xml:space="preserve"> z </w:t>
      </w:r>
      <w:r w:rsidRPr="00EC250C">
        <w:rPr>
          <w:szCs w:val="24"/>
        </w:rPr>
        <w:t>niepełnosprawnościami</w:t>
      </w:r>
      <w:r w:rsidR="00992FD0" w:rsidRPr="00EC250C">
        <w:rPr>
          <w:szCs w:val="24"/>
        </w:rPr>
        <w:t xml:space="preserve"> i </w:t>
      </w:r>
      <w:r w:rsidRPr="00EC250C">
        <w:rPr>
          <w:szCs w:val="24"/>
        </w:rPr>
        <w:t>członkom ich rodzin godnego życia wywołały niestety również lawinę wypowiedzi poniżających, pogardliwych,</w:t>
      </w:r>
      <w:r w:rsidR="00992FD0" w:rsidRPr="00EC250C">
        <w:rPr>
          <w:szCs w:val="24"/>
        </w:rPr>
        <w:t xml:space="preserve"> a </w:t>
      </w:r>
      <w:r w:rsidRPr="00EC250C">
        <w:rPr>
          <w:szCs w:val="24"/>
        </w:rPr>
        <w:t>nawet nienawistnych. Ogromny sprzeciw budzą</w:t>
      </w:r>
      <w:r w:rsidR="00992FD0" w:rsidRPr="00EC250C">
        <w:rPr>
          <w:szCs w:val="24"/>
        </w:rPr>
        <w:t xml:space="preserve"> w </w:t>
      </w:r>
      <w:r w:rsidRPr="00EC250C">
        <w:rPr>
          <w:szCs w:val="24"/>
        </w:rPr>
        <w:t>szczególności tego rodzaju wypowiedzi osób pełniących funkcje publiczne czy przedstawicieli rządu.</w:t>
      </w:r>
    </w:p>
    <w:p w14:paraId="5A73815B" w14:textId="77777777" w:rsidR="001D7544" w:rsidRPr="00EC250C" w:rsidRDefault="001D7544" w:rsidP="00D131FA">
      <w:pPr>
        <w:pStyle w:val="Styl2"/>
        <w:rPr>
          <w:szCs w:val="24"/>
        </w:rPr>
      </w:pPr>
      <w:r w:rsidRPr="00EC250C">
        <w:rPr>
          <w:szCs w:val="24"/>
        </w:rPr>
        <w:lastRenderedPageBreak/>
        <w:t>W związku</w:t>
      </w:r>
      <w:r w:rsidR="00992FD0" w:rsidRPr="00EC250C">
        <w:rPr>
          <w:szCs w:val="24"/>
        </w:rPr>
        <w:t xml:space="preserve"> z </w:t>
      </w:r>
      <w:r w:rsidRPr="00EC250C">
        <w:rPr>
          <w:szCs w:val="24"/>
        </w:rPr>
        <w:t>zawieszeniem protestu osób</w:t>
      </w:r>
      <w:r w:rsidR="00992FD0" w:rsidRPr="00EC250C">
        <w:rPr>
          <w:szCs w:val="24"/>
        </w:rPr>
        <w:t xml:space="preserve"> z </w:t>
      </w:r>
      <w:r w:rsidRPr="00EC250C">
        <w:rPr>
          <w:szCs w:val="24"/>
        </w:rPr>
        <w:t>niepełnosprawnościami</w:t>
      </w:r>
      <w:r w:rsidR="00992FD0" w:rsidRPr="00EC250C">
        <w:rPr>
          <w:szCs w:val="24"/>
        </w:rPr>
        <w:t xml:space="preserve"> i </w:t>
      </w:r>
      <w:r w:rsidRPr="00EC250C">
        <w:rPr>
          <w:szCs w:val="24"/>
        </w:rPr>
        <w:t>członków ich rodzin</w:t>
      </w:r>
      <w:r w:rsidR="00992FD0" w:rsidRPr="00EC250C">
        <w:rPr>
          <w:szCs w:val="24"/>
        </w:rPr>
        <w:t xml:space="preserve"> w </w:t>
      </w:r>
      <w:r w:rsidRPr="00EC250C">
        <w:rPr>
          <w:szCs w:val="24"/>
        </w:rPr>
        <w:t>Sejmie RP należy ponowić apel</w:t>
      </w:r>
      <w:r w:rsidR="00992FD0" w:rsidRPr="00EC250C">
        <w:rPr>
          <w:szCs w:val="24"/>
        </w:rPr>
        <w:t xml:space="preserve"> o </w:t>
      </w:r>
      <w:r w:rsidRPr="00EC250C">
        <w:rPr>
          <w:szCs w:val="24"/>
        </w:rPr>
        <w:t>przyjęcie kompleksowych rozwiązań</w:t>
      </w:r>
      <w:r w:rsidR="00992FD0" w:rsidRPr="00EC250C">
        <w:rPr>
          <w:szCs w:val="24"/>
        </w:rPr>
        <w:t xml:space="preserve"> w </w:t>
      </w:r>
      <w:r w:rsidRPr="00EC250C">
        <w:rPr>
          <w:szCs w:val="24"/>
        </w:rPr>
        <w:t>zakresie wsparcia osób</w:t>
      </w:r>
      <w:r w:rsidR="00992FD0" w:rsidRPr="00EC250C">
        <w:rPr>
          <w:szCs w:val="24"/>
        </w:rPr>
        <w:t xml:space="preserve"> z </w:t>
      </w:r>
      <w:r w:rsidRPr="00EC250C">
        <w:rPr>
          <w:szCs w:val="24"/>
        </w:rPr>
        <w:t>niepełnosprawnościami. Prace nad systemem wsparcia dla osób</w:t>
      </w:r>
      <w:r w:rsidR="00992FD0" w:rsidRPr="00EC250C">
        <w:rPr>
          <w:szCs w:val="24"/>
        </w:rPr>
        <w:t xml:space="preserve"> z </w:t>
      </w:r>
      <w:r w:rsidRPr="00EC250C">
        <w:rPr>
          <w:szCs w:val="24"/>
        </w:rPr>
        <w:t>niepełnosprawnościami powinny się rozpocząć niezwłocznie</w:t>
      </w:r>
      <w:r w:rsidR="00992FD0" w:rsidRPr="00EC250C">
        <w:rPr>
          <w:szCs w:val="24"/>
        </w:rPr>
        <w:t xml:space="preserve"> i </w:t>
      </w:r>
      <w:r w:rsidRPr="00EC250C">
        <w:rPr>
          <w:szCs w:val="24"/>
        </w:rPr>
        <w:t>odbywać</w:t>
      </w:r>
      <w:r w:rsidR="00992FD0" w:rsidRPr="00EC250C">
        <w:rPr>
          <w:szCs w:val="24"/>
        </w:rPr>
        <w:t xml:space="preserve"> z </w:t>
      </w:r>
      <w:r w:rsidRPr="00EC250C">
        <w:rPr>
          <w:szCs w:val="24"/>
        </w:rPr>
        <w:t>udziałem wszystkich środowisk osób</w:t>
      </w:r>
      <w:r w:rsidR="00992FD0" w:rsidRPr="00EC250C">
        <w:rPr>
          <w:szCs w:val="24"/>
        </w:rPr>
        <w:t xml:space="preserve"> z </w:t>
      </w:r>
      <w:r w:rsidRPr="00EC250C">
        <w:rPr>
          <w:szCs w:val="24"/>
        </w:rPr>
        <w:t>niepełnosprawnościami oraz organizacji je reprezentujących. Ich podstawą powinna być Konwencja ONZ</w:t>
      </w:r>
      <w:r w:rsidR="00992FD0" w:rsidRPr="00EC250C">
        <w:rPr>
          <w:szCs w:val="24"/>
        </w:rPr>
        <w:t xml:space="preserve"> o </w:t>
      </w:r>
      <w:r w:rsidRPr="00EC250C">
        <w:rPr>
          <w:szCs w:val="24"/>
        </w:rPr>
        <w:t>prawach osób niepełnosprawnych, zgodnie</w:t>
      </w:r>
      <w:r w:rsidR="00992FD0" w:rsidRPr="00EC250C">
        <w:rPr>
          <w:szCs w:val="24"/>
        </w:rPr>
        <w:t xml:space="preserve"> z </w:t>
      </w:r>
      <w:r w:rsidRPr="00EC250C">
        <w:rPr>
          <w:szCs w:val="24"/>
        </w:rPr>
        <w:t>którą każdej osobie</w:t>
      </w:r>
      <w:r w:rsidR="00992FD0" w:rsidRPr="00EC250C">
        <w:rPr>
          <w:szCs w:val="24"/>
        </w:rPr>
        <w:t xml:space="preserve"> z </w:t>
      </w:r>
      <w:r w:rsidRPr="00EC250C">
        <w:rPr>
          <w:szCs w:val="24"/>
        </w:rPr>
        <w:t>niepełnosprawnością należy zapewnić warunki do prowadzenia jak najbardziej jest to możliwe niezależnego życia</w:t>
      </w:r>
      <w:r w:rsidR="00992FD0" w:rsidRPr="00EC250C">
        <w:rPr>
          <w:szCs w:val="24"/>
        </w:rPr>
        <w:t xml:space="preserve"> i </w:t>
      </w:r>
      <w:r w:rsidRPr="00EC250C">
        <w:rPr>
          <w:szCs w:val="24"/>
        </w:rPr>
        <w:t>uczestnictwa</w:t>
      </w:r>
      <w:r w:rsidR="00992FD0" w:rsidRPr="00EC250C">
        <w:rPr>
          <w:szCs w:val="24"/>
        </w:rPr>
        <w:t xml:space="preserve"> w </w:t>
      </w:r>
      <w:r w:rsidRPr="00EC250C">
        <w:rPr>
          <w:szCs w:val="24"/>
        </w:rPr>
        <w:t>życiu społecznym. Najbliższe trzy miesiące powinny być czasem wytężonej pracy, zważywszy na fakt odbywającego się we wrześniu 2018</w:t>
      </w:r>
      <w:r w:rsidR="00C91F6E" w:rsidRPr="00EC250C">
        <w:rPr>
          <w:szCs w:val="24"/>
        </w:rPr>
        <w:t> r.</w:t>
      </w:r>
      <w:r w:rsidR="00992FD0" w:rsidRPr="00EC250C">
        <w:rPr>
          <w:szCs w:val="24"/>
        </w:rPr>
        <w:t xml:space="preserve"> w </w:t>
      </w:r>
      <w:r w:rsidRPr="00EC250C">
        <w:rPr>
          <w:szCs w:val="24"/>
        </w:rPr>
        <w:t>Genewie przeglądu wykonania zobowiązań Polski na podstawie powyższej Konwencji.</w:t>
      </w:r>
    </w:p>
    <w:p w14:paraId="1C3658EE" w14:textId="77777777" w:rsidR="001D7544" w:rsidRPr="00EC250C" w:rsidRDefault="001D7544" w:rsidP="00D131FA">
      <w:pPr>
        <w:pStyle w:val="Styl2"/>
        <w:rPr>
          <w:szCs w:val="24"/>
        </w:rPr>
      </w:pPr>
      <w:r w:rsidRPr="00EC250C">
        <w:rPr>
          <w:szCs w:val="24"/>
        </w:rPr>
        <w:t>Rzecznik Praw Obywatelskich nadal będzie zabiegał</w:t>
      </w:r>
      <w:r w:rsidR="00992FD0" w:rsidRPr="00EC250C">
        <w:rPr>
          <w:szCs w:val="24"/>
        </w:rPr>
        <w:t xml:space="preserve"> o </w:t>
      </w:r>
      <w:r w:rsidRPr="00EC250C">
        <w:rPr>
          <w:szCs w:val="24"/>
        </w:rPr>
        <w:t>nowy system orzekania</w:t>
      </w:r>
      <w:r w:rsidR="00992FD0" w:rsidRPr="00EC250C">
        <w:rPr>
          <w:szCs w:val="24"/>
        </w:rPr>
        <w:t xml:space="preserve"> o </w:t>
      </w:r>
      <w:r w:rsidRPr="00EC250C">
        <w:rPr>
          <w:szCs w:val="24"/>
        </w:rPr>
        <w:t>niepełnosprawności, deinstytucjonalizację, edukację włączającą, wsparcie osób</w:t>
      </w:r>
      <w:r w:rsidR="00992FD0" w:rsidRPr="00EC250C">
        <w:rPr>
          <w:szCs w:val="24"/>
        </w:rPr>
        <w:t xml:space="preserve"> z </w:t>
      </w:r>
      <w:r w:rsidRPr="00EC250C">
        <w:rPr>
          <w:szCs w:val="24"/>
        </w:rPr>
        <w:t>niepełnosprawnościami</w:t>
      </w:r>
      <w:r w:rsidR="00992FD0" w:rsidRPr="00EC250C">
        <w:rPr>
          <w:szCs w:val="24"/>
        </w:rPr>
        <w:t xml:space="preserve"> w </w:t>
      </w:r>
      <w:r w:rsidRPr="00EC250C">
        <w:rPr>
          <w:szCs w:val="24"/>
        </w:rPr>
        <w:t>życiu codziennym, zawodowym,</w:t>
      </w:r>
      <w:r w:rsidR="00992FD0" w:rsidRPr="00EC250C">
        <w:rPr>
          <w:szCs w:val="24"/>
        </w:rPr>
        <w:t xml:space="preserve"> w </w:t>
      </w:r>
      <w:r w:rsidRPr="00EC250C">
        <w:rPr>
          <w:szCs w:val="24"/>
        </w:rPr>
        <w:t>zakresie ochrony zdrowia oraz mieszkalnictwa.</w:t>
      </w:r>
    </w:p>
    <w:p w14:paraId="6BFE56E9" w14:textId="77777777" w:rsidR="001D7544" w:rsidRPr="00EC250C" w:rsidRDefault="001D7544" w:rsidP="00D131FA">
      <w:pPr>
        <w:pStyle w:val="Styl2"/>
        <w:rPr>
          <w:szCs w:val="24"/>
        </w:rPr>
      </w:pPr>
      <w:r w:rsidRPr="00EC250C">
        <w:rPr>
          <w:szCs w:val="24"/>
        </w:rPr>
        <w:t>Niezłomna postawa osób protestujących powinna przypominać wszystkim środowiskom politycznym</w:t>
      </w:r>
      <w:r w:rsidR="00992FD0" w:rsidRPr="00EC250C">
        <w:rPr>
          <w:szCs w:val="24"/>
        </w:rPr>
        <w:t xml:space="preserve"> o </w:t>
      </w:r>
      <w:r w:rsidRPr="00EC250C">
        <w:rPr>
          <w:szCs w:val="24"/>
        </w:rPr>
        <w:t>konieczności podejmowania długoterminowych, systematycznych</w:t>
      </w:r>
      <w:r w:rsidR="00992FD0" w:rsidRPr="00EC250C">
        <w:rPr>
          <w:szCs w:val="24"/>
        </w:rPr>
        <w:t xml:space="preserve"> i </w:t>
      </w:r>
      <w:r w:rsidRPr="00EC250C">
        <w:rPr>
          <w:szCs w:val="24"/>
        </w:rPr>
        <w:t>konsekwentnych działań na rzecz poprawy sytuacji osób</w:t>
      </w:r>
      <w:r w:rsidR="00992FD0" w:rsidRPr="00EC250C">
        <w:rPr>
          <w:szCs w:val="24"/>
        </w:rPr>
        <w:t xml:space="preserve"> z </w:t>
      </w:r>
      <w:r w:rsidRPr="00EC250C">
        <w:rPr>
          <w:szCs w:val="24"/>
        </w:rPr>
        <w:t>niepełnosprawnościami</w:t>
      </w:r>
      <w:r w:rsidR="00992FD0" w:rsidRPr="00EC250C">
        <w:rPr>
          <w:szCs w:val="24"/>
        </w:rPr>
        <w:t xml:space="preserve"> i </w:t>
      </w:r>
      <w:r w:rsidRPr="00EC250C">
        <w:rPr>
          <w:szCs w:val="24"/>
        </w:rPr>
        <w:t>ich opiekunów. Dzięki temu istnieje nadzieja, że za kilka lat doprowadzimy</w:t>
      </w:r>
      <w:r w:rsidR="00992FD0" w:rsidRPr="00EC250C">
        <w:rPr>
          <w:szCs w:val="24"/>
        </w:rPr>
        <w:t xml:space="preserve"> w </w:t>
      </w:r>
      <w:r w:rsidRPr="00EC250C">
        <w:rPr>
          <w:szCs w:val="24"/>
        </w:rPr>
        <w:t>Polsce do faktycznej realizacji prawa do niezależnego życia dla każdej osoby</w:t>
      </w:r>
      <w:r w:rsidR="00992FD0" w:rsidRPr="00EC250C">
        <w:rPr>
          <w:szCs w:val="24"/>
        </w:rPr>
        <w:t xml:space="preserve"> z </w:t>
      </w:r>
      <w:r w:rsidRPr="00EC250C">
        <w:rPr>
          <w:szCs w:val="24"/>
        </w:rPr>
        <w:t>niepełnosprawnością</w:t>
      </w:r>
      <w:r w:rsidR="00026572" w:rsidRPr="00EC250C">
        <w:rPr>
          <w:szCs w:val="24"/>
        </w:rPr>
        <w:t xml:space="preserve"> – </w:t>
      </w:r>
      <w:r w:rsidRPr="00EC250C">
        <w:rPr>
          <w:szCs w:val="24"/>
        </w:rPr>
        <w:t>niezależnie od tego czy mieszka ona na wsi,</w:t>
      </w:r>
      <w:r w:rsidR="00992FD0" w:rsidRPr="00EC250C">
        <w:rPr>
          <w:szCs w:val="24"/>
        </w:rPr>
        <w:t xml:space="preserve"> w </w:t>
      </w:r>
      <w:r w:rsidRPr="00EC250C">
        <w:rPr>
          <w:szCs w:val="24"/>
        </w:rPr>
        <w:t>małej miejscowości czy</w:t>
      </w:r>
      <w:r w:rsidR="00992FD0" w:rsidRPr="00EC250C">
        <w:rPr>
          <w:szCs w:val="24"/>
        </w:rPr>
        <w:t xml:space="preserve"> w </w:t>
      </w:r>
      <w:r w:rsidRPr="00EC250C">
        <w:rPr>
          <w:szCs w:val="24"/>
        </w:rPr>
        <w:t>dużym mieście.</w:t>
      </w:r>
    </w:p>
    <w:p w14:paraId="1759082E" w14:textId="77777777" w:rsidR="001D7544" w:rsidRPr="00EC250C" w:rsidRDefault="001D7544" w:rsidP="00D131FA">
      <w:pPr>
        <w:pStyle w:val="Styl2"/>
        <w:rPr>
          <w:rFonts w:ascii="Open Sans Regular" w:hAnsi="Open Sans Regular"/>
          <w:b w:val="0"/>
          <w:szCs w:val="24"/>
        </w:rPr>
      </w:pPr>
      <w:r w:rsidRPr="00EC250C">
        <w:rPr>
          <w:b w:val="0"/>
          <w:szCs w:val="24"/>
          <w:bdr w:val="none" w:sz="0" w:space="0" w:color="auto" w:frame="1"/>
        </w:rPr>
        <w:t>dr Adam Bodnar, rzecznik praw obywatelskich</w:t>
      </w:r>
    </w:p>
    <w:p w14:paraId="4D9B96F7" w14:textId="77777777" w:rsidR="001D7544" w:rsidRPr="00EC250C" w:rsidRDefault="001D7544" w:rsidP="00D131FA">
      <w:pPr>
        <w:pStyle w:val="Styl2"/>
        <w:rPr>
          <w:b w:val="0"/>
          <w:szCs w:val="24"/>
          <w:bdr w:val="none" w:sz="0" w:space="0" w:color="auto" w:frame="1"/>
        </w:rPr>
      </w:pPr>
      <w:r w:rsidRPr="00EC250C">
        <w:rPr>
          <w:b w:val="0"/>
          <w:szCs w:val="24"/>
          <w:bdr w:val="none" w:sz="0" w:space="0" w:color="auto" w:frame="1"/>
        </w:rPr>
        <w:t>dr Sylwia Spurek, zastępczyni RPO ds. równego traktowania</w:t>
      </w:r>
      <w:r w:rsidR="008F7551" w:rsidRPr="00EC250C">
        <w:rPr>
          <w:rStyle w:val="Odwoanieprzypisudolnego"/>
          <w:b w:val="0"/>
          <w:szCs w:val="24"/>
          <w:bdr w:val="none" w:sz="0" w:space="0" w:color="auto" w:frame="1"/>
        </w:rPr>
        <w:footnoteReference w:id="551"/>
      </w:r>
    </w:p>
    <w:p w14:paraId="64FB5BCB" w14:textId="77777777" w:rsidR="00177286" w:rsidRPr="00EC250C" w:rsidRDefault="00177286" w:rsidP="00EC250C">
      <w:pPr>
        <w:pStyle w:val="Nagwek5"/>
      </w:pPr>
      <w:bookmarkStart w:id="568" w:name="_Toc6257889"/>
      <w:r w:rsidRPr="00EC250C">
        <w:t>Prawa opiekunów dorosłych osób</w:t>
      </w:r>
      <w:r w:rsidR="00992FD0" w:rsidRPr="00EC250C">
        <w:t xml:space="preserve"> z </w:t>
      </w:r>
      <w:r w:rsidRPr="00EC250C">
        <w:t>niepełnosprawnościami – niewykonany od 2014</w:t>
      </w:r>
      <w:r w:rsidR="00C91F6E" w:rsidRPr="00EC250C">
        <w:t> r.</w:t>
      </w:r>
      <w:r w:rsidRPr="00EC250C">
        <w:t xml:space="preserve"> wyrok Trybunału Konstytucyjnego</w:t>
      </w:r>
      <w:bookmarkEnd w:id="568"/>
    </w:p>
    <w:p w14:paraId="19FD6153" w14:textId="77777777" w:rsidR="00177286" w:rsidRPr="00EC250C" w:rsidRDefault="00177286" w:rsidP="00D131FA">
      <w:pPr>
        <w:pStyle w:val="ODESANIE"/>
        <w:jc w:val="both"/>
      </w:pPr>
      <w:r w:rsidRPr="00EC250C">
        <w:t xml:space="preserve">Problem </w:t>
      </w:r>
      <w:r w:rsidR="006F1319" w:rsidRPr="00EC250C">
        <w:t xml:space="preserve"> omówiony w kontekście art. 32 ust. 1 Konstytucji</w:t>
      </w:r>
    </w:p>
    <w:p w14:paraId="288B7A2E" w14:textId="77777777" w:rsidR="00E26E0A" w:rsidRPr="00EC250C" w:rsidRDefault="00DB14B8" w:rsidP="00EC79EB">
      <w:pPr>
        <w:pStyle w:val="Nagwek4"/>
      </w:pPr>
      <w:bookmarkStart w:id="569" w:name="_Toc6257890"/>
      <w:bookmarkStart w:id="570" w:name="_Toc11247768"/>
      <w:r w:rsidRPr="00EC250C">
        <w:t>Najważniejsze problemy s</w:t>
      </w:r>
      <w:r w:rsidR="00467E0E" w:rsidRPr="00EC250C">
        <w:t>ystemowe</w:t>
      </w:r>
      <w:r w:rsidR="00026572" w:rsidRPr="00EC250C">
        <w:t xml:space="preserve"> – </w:t>
      </w:r>
      <w:r w:rsidR="00830F49" w:rsidRPr="00EC250C">
        <w:t xml:space="preserve">wykazane przy okazji </w:t>
      </w:r>
      <w:r w:rsidR="00467E0E" w:rsidRPr="00EC250C">
        <w:t>s</w:t>
      </w:r>
      <w:r w:rsidR="00023F38" w:rsidRPr="00EC250C">
        <w:t>prawozdani</w:t>
      </w:r>
      <w:r w:rsidR="00830F49" w:rsidRPr="00EC250C">
        <w:t>a</w:t>
      </w:r>
      <w:r w:rsidR="00023F38" w:rsidRPr="00EC250C">
        <w:t xml:space="preserve"> okresowe</w:t>
      </w:r>
      <w:r w:rsidR="00830F49" w:rsidRPr="00EC250C">
        <w:t>go</w:t>
      </w:r>
      <w:r w:rsidR="00023F38" w:rsidRPr="00EC250C">
        <w:t xml:space="preserve"> Polski przed Komitetem ONZ</w:t>
      </w:r>
      <w:bookmarkEnd w:id="569"/>
      <w:bookmarkEnd w:id="570"/>
    </w:p>
    <w:p w14:paraId="09DB0610" w14:textId="77777777" w:rsidR="00B473F5" w:rsidRPr="00EC250C" w:rsidRDefault="001A0EBB" w:rsidP="00D131FA">
      <w:pPr>
        <w:pStyle w:val="Problemczowieka"/>
        <w:jc w:val="both"/>
      </w:pPr>
      <w:r w:rsidRPr="00EC250C">
        <w:t>Prawo os</w:t>
      </w:r>
      <w:r w:rsidR="00745D67" w:rsidRPr="00EC250C">
        <w:t>ób</w:t>
      </w:r>
      <w:r w:rsidR="00992FD0" w:rsidRPr="00EC250C">
        <w:t xml:space="preserve"> z </w:t>
      </w:r>
      <w:r w:rsidRPr="00EC250C">
        <w:t>niepełnosprawności</w:t>
      </w:r>
      <w:r w:rsidR="00745D67" w:rsidRPr="00EC250C">
        <w:t>ami</w:t>
      </w:r>
      <w:r w:rsidRPr="00EC250C">
        <w:t xml:space="preserve"> do niezależnego życia nie jest właściwie respektowane,</w:t>
      </w:r>
      <w:r w:rsidR="00992FD0" w:rsidRPr="00EC250C">
        <w:t xml:space="preserve"> w </w:t>
      </w:r>
      <w:r w:rsidR="00745D67" w:rsidRPr="00EC250C">
        <w:t>systemie orzekania</w:t>
      </w:r>
      <w:r w:rsidR="00992FD0" w:rsidRPr="00EC250C">
        <w:t xml:space="preserve"> o </w:t>
      </w:r>
      <w:r w:rsidR="00745D67" w:rsidRPr="00EC250C">
        <w:t>niepełnosprawności panuje</w:t>
      </w:r>
      <w:r w:rsidRPr="00EC250C">
        <w:t xml:space="preserve"> chaos, do tego system ten skupia się </w:t>
      </w:r>
      <w:r w:rsidR="00F4665E" w:rsidRPr="00EC250C">
        <w:t xml:space="preserve">na dysfunkcjach osoby a nie na jej </w:t>
      </w:r>
      <w:r w:rsidRPr="00EC250C">
        <w:t>potencjale</w:t>
      </w:r>
      <w:r w:rsidR="00F4665E" w:rsidRPr="00EC250C">
        <w:t>.</w:t>
      </w:r>
      <w:r w:rsidRPr="00EC250C">
        <w:t xml:space="preserve"> </w:t>
      </w:r>
      <w:r w:rsidR="00F4665E" w:rsidRPr="00EC250C">
        <w:t>N</w:t>
      </w:r>
      <w:r w:rsidRPr="00EC250C">
        <w:t>adal instytucja ubezwłasnowolnienia nie została zastąpiona systemem wspomagania decyzji</w:t>
      </w:r>
      <w:r w:rsidR="00B473F5" w:rsidRPr="00EC250C">
        <w:t>.</w:t>
      </w:r>
    </w:p>
    <w:p w14:paraId="32845500" w14:textId="77777777" w:rsidR="00732AD3" w:rsidRPr="00EC250C" w:rsidRDefault="00732AD3" w:rsidP="00D131FA">
      <w:pPr>
        <w:pStyle w:val="Styl1"/>
      </w:pPr>
      <w:r w:rsidRPr="00EC250C">
        <w:t>W dniach 3–5 września 2018 r. Komitet ONZ ds. Praw Osób z Niepełnosprawnościami rozpatrzył sprawozdanie Polski z wdrażania Konwencji o prawach osób z niepełnosprawnościami</w:t>
      </w:r>
      <w:r w:rsidRPr="00EC250C">
        <w:rPr>
          <w:rStyle w:val="Odwoanieprzypisudolnego"/>
        </w:rPr>
        <w:footnoteReference w:id="552"/>
      </w:r>
      <w:r w:rsidRPr="00EC250C">
        <w:t>. Podstawa sprawozdania, czyli Konwencja ONZ o prawach osób niepełnosprawnych została ratyfikowana przez Polskę w 2012 r.</w:t>
      </w:r>
      <w:r w:rsidR="004855B4" w:rsidRPr="00EC250C">
        <w:rPr>
          <w:rStyle w:val="Odwoanieprzypisudolnego"/>
        </w:rPr>
        <w:footnoteReference w:id="553"/>
      </w:r>
      <w:r w:rsidRPr="00EC250C">
        <w:t xml:space="preserve"> </w:t>
      </w:r>
    </w:p>
    <w:p w14:paraId="19BDBBE4" w14:textId="77777777" w:rsidR="00732AD3" w:rsidRPr="00EC250C" w:rsidRDefault="00732AD3" w:rsidP="00D131FA">
      <w:pPr>
        <w:pStyle w:val="Styl1"/>
      </w:pPr>
      <w:r w:rsidRPr="00EC250C">
        <w:rPr>
          <w:rStyle w:val="Pogrubienie"/>
          <w:b w:val="0"/>
          <w:bCs w:val="0"/>
        </w:rPr>
        <w:lastRenderedPageBreak/>
        <w:t>Komitet</w:t>
      </w:r>
      <w:r w:rsidRPr="00EC250C">
        <w:t xml:space="preserve"> </w:t>
      </w:r>
      <w:r w:rsidRPr="00EC250C">
        <w:rPr>
          <w:rStyle w:val="Pogrubienie"/>
          <w:b w:val="0"/>
          <w:bCs w:val="0"/>
        </w:rPr>
        <w:t xml:space="preserve">wezwał Polskę do wdrożenia modelu opartego na prawach </w:t>
      </w:r>
      <w:r w:rsidRPr="00EC250C">
        <w:t>człowieka. Dziękował rządowi za wysiłki na rzecz poprawy sytuacji osób z niepełnosprawnościami i za pracę nad programem „Dostępność+”. Wyraził nadzieję, że program będzie dysponował odpowiednimi środkami. Pogratulował tego, że przepisy wyborcze wspierają osoby z niepełnosprawnościami. Jednak – zaznaczył – są też wobec Polski obawy. </w:t>
      </w:r>
      <w:hyperlink r:id="rId16" w:history="1">
        <w:r w:rsidRPr="00EC250C">
          <w:t>Dotyczą one zwłaszcza</w:t>
        </w:r>
      </w:hyperlink>
      <w:r w:rsidRPr="00EC250C">
        <w:t>:</w:t>
      </w:r>
    </w:p>
    <w:p w14:paraId="1EDDD9F8" w14:textId="77777777" w:rsidR="00732AD3" w:rsidRPr="00EC250C" w:rsidRDefault="00732AD3" w:rsidP="006C70B7">
      <w:pPr>
        <w:pStyle w:val="Styl1"/>
        <w:numPr>
          <w:ilvl w:val="0"/>
          <w:numId w:val="127"/>
        </w:numPr>
      </w:pPr>
      <w:r w:rsidRPr="00EC250C">
        <w:rPr>
          <w:rStyle w:val="Pogrubienie"/>
          <w:b w:val="0"/>
          <w:bCs w:val="0"/>
        </w:rPr>
        <w:t xml:space="preserve">ochrony socjalnej na rzecz osób z niepełnosprawnościami. </w:t>
      </w:r>
    </w:p>
    <w:p w14:paraId="3FFFC527" w14:textId="77777777" w:rsidR="00732AD3" w:rsidRPr="00EC250C" w:rsidRDefault="00732AD3" w:rsidP="006C70B7">
      <w:pPr>
        <w:pStyle w:val="Styl1"/>
        <w:numPr>
          <w:ilvl w:val="0"/>
          <w:numId w:val="127"/>
        </w:numPr>
      </w:pPr>
      <w:r w:rsidRPr="00EC250C">
        <w:rPr>
          <w:rStyle w:val="Pogrubienie"/>
          <w:b w:val="0"/>
          <w:bCs w:val="0"/>
        </w:rPr>
        <w:t>ochrony praw kobiet z niepełnosprawnościami</w:t>
      </w:r>
      <w:r w:rsidRPr="00EC250C">
        <w:t xml:space="preserve"> (m.in. problem przemocy, kwestia zatrudnienia i realizacji praw reprodukcyjnych). </w:t>
      </w:r>
    </w:p>
    <w:p w14:paraId="523B3CA3" w14:textId="77777777" w:rsidR="00732AD3" w:rsidRPr="00EC250C" w:rsidRDefault="00732AD3" w:rsidP="006C70B7">
      <w:pPr>
        <w:pStyle w:val="Styl1"/>
        <w:numPr>
          <w:ilvl w:val="0"/>
          <w:numId w:val="127"/>
        </w:numPr>
      </w:pPr>
      <w:r w:rsidRPr="00EC250C">
        <w:rPr>
          <w:rStyle w:val="Pogrubienie"/>
          <w:b w:val="0"/>
          <w:bCs w:val="0"/>
        </w:rPr>
        <w:t>praw osób ubezwłasnowolnionych z niepełnosprawnością intelektualną lub psychospołeczną</w:t>
      </w:r>
      <w:r w:rsidRPr="00EC250C">
        <w:t> (ich liczba w Polsce rośnie).</w:t>
      </w:r>
    </w:p>
    <w:p w14:paraId="45922064" w14:textId="77777777" w:rsidR="00732AD3" w:rsidRPr="00EC250C" w:rsidRDefault="00732AD3" w:rsidP="00D131FA">
      <w:pPr>
        <w:pStyle w:val="Styl1"/>
        <w:rPr>
          <w:rStyle w:val="Pogrubienie"/>
          <w:b w:val="0"/>
        </w:rPr>
      </w:pPr>
      <w:r w:rsidRPr="00EC250C">
        <w:t>Przedstawiciel Polski, pełnomocnik rządu ds. osób niepełnosprawnych zapowiedział, że zalecenia te zostaną wzięte pod uwagę przy tworzeniu prawa.</w:t>
      </w:r>
      <w:r w:rsidRPr="00EC250C">
        <w:rPr>
          <w:rStyle w:val="Odwoanieprzypisudolnego"/>
        </w:rPr>
        <w:footnoteReference w:id="554"/>
      </w:r>
    </w:p>
    <w:p w14:paraId="11F17ABE" w14:textId="77777777" w:rsidR="005015F8" w:rsidRPr="00EC250C" w:rsidRDefault="00732AD3" w:rsidP="00D131FA">
      <w:pPr>
        <w:pStyle w:val="Styl1"/>
      </w:pPr>
      <w:r w:rsidRPr="00EC250C">
        <w:t>RPO, który pe</w:t>
      </w:r>
      <w:r w:rsidRPr="00EC250C">
        <w:rPr>
          <w:rFonts w:hint="eastAsia"/>
        </w:rPr>
        <w:t>ł</w:t>
      </w:r>
      <w:r w:rsidRPr="00EC250C">
        <w:t>ni w Polsce rol</w:t>
      </w:r>
      <w:r w:rsidRPr="00EC250C">
        <w:rPr>
          <w:rFonts w:hint="eastAsia"/>
        </w:rPr>
        <w:t>ę</w:t>
      </w:r>
      <w:r w:rsidRPr="00EC250C">
        <w:t xml:space="preserve"> niezale</w:t>
      </w:r>
      <w:r w:rsidRPr="00EC250C">
        <w:rPr>
          <w:rFonts w:hint="eastAsia"/>
        </w:rPr>
        <w:t>ż</w:t>
      </w:r>
      <w:r w:rsidRPr="00EC250C">
        <w:t>nego organu monitoruj</w:t>
      </w:r>
      <w:r w:rsidRPr="00EC250C">
        <w:rPr>
          <w:rFonts w:hint="eastAsia"/>
        </w:rPr>
        <w:t>ą</w:t>
      </w:r>
      <w:r w:rsidRPr="00EC250C">
        <w:t>cego wykonanie postanowie</w:t>
      </w:r>
      <w:r w:rsidRPr="00EC250C">
        <w:rPr>
          <w:rFonts w:hint="eastAsia"/>
        </w:rPr>
        <w:t>ń</w:t>
      </w:r>
      <w:r w:rsidRPr="00EC250C">
        <w:t xml:space="preserve"> Konwencji, przygotował dla polskich władz – w związku ze sprawozdaniem przed Komtetem ONZ - rekomendacje </w:t>
      </w:r>
      <w:r w:rsidR="005015F8" w:rsidRPr="00EC250C">
        <w:t>działa</w:t>
      </w:r>
      <w:r w:rsidRPr="00EC250C">
        <w:t>ń</w:t>
      </w:r>
      <w:r w:rsidR="00992FD0" w:rsidRPr="00EC250C">
        <w:t xml:space="preserve"> w </w:t>
      </w:r>
      <w:r w:rsidR="005015F8" w:rsidRPr="00EC250C">
        <w:t>84 obszarach</w:t>
      </w:r>
      <w:r w:rsidR="00463255" w:rsidRPr="00EC250C">
        <w:rPr>
          <w:rStyle w:val="Odwoanieprzypisudolnego"/>
        </w:rPr>
        <w:footnoteReference w:id="555"/>
      </w:r>
      <w:r w:rsidR="005015F8" w:rsidRPr="00EC250C">
        <w:t>.</w:t>
      </w:r>
      <w:r w:rsidRPr="00EC250C">
        <w:t xml:space="preserve"> </w:t>
      </w:r>
      <w:r w:rsidR="001A0EBB" w:rsidRPr="00EC250C">
        <w:t xml:space="preserve">Oto najważniejsze rekomendacje </w:t>
      </w:r>
      <w:r w:rsidRPr="00EC250C">
        <w:t>z nich</w:t>
      </w:r>
      <w:r w:rsidR="001A0EBB" w:rsidRPr="00EC250C">
        <w:t>:</w:t>
      </w:r>
    </w:p>
    <w:p w14:paraId="77FE7967" w14:textId="77777777" w:rsidR="004549A4" w:rsidRPr="00EC250C" w:rsidRDefault="004549A4" w:rsidP="00EC250C">
      <w:pPr>
        <w:pStyle w:val="Nagwek5"/>
      </w:pPr>
      <w:bookmarkStart w:id="571" w:name="_Hlk8998360"/>
      <w:r w:rsidRPr="00EC250C">
        <w:t>Brak strategii wdrażania Konwencji</w:t>
      </w:r>
      <w:r w:rsidR="00732AD3" w:rsidRPr="00EC250C">
        <w:t xml:space="preserve"> ONZ o prawach osób z</w:t>
      </w:r>
      <w:r w:rsidR="00D151DE" w:rsidRPr="00EC250C">
        <w:t> </w:t>
      </w:r>
      <w:r w:rsidR="00732AD3" w:rsidRPr="00EC250C">
        <w:t>niepełnosprawnościami</w:t>
      </w:r>
    </w:p>
    <w:p w14:paraId="78844EF6" w14:textId="77777777" w:rsidR="004549A4" w:rsidRPr="00EC250C" w:rsidRDefault="004549A4" w:rsidP="00D131FA">
      <w:pPr>
        <w:pStyle w:val="Styl1"/>
      </w:pPr>
      <w:r w:rsidRPr="00EC250C">
        <w:t>Programy takie jak „Za życiem” nie mają charakteru kompleksowego. Trwają prace nad rządową Strategią na rzecz osób niepełnosprawnych na lata 2018-30. Nie są jednak znane szczegóły.</w:t>
      </w:r>
    </w:p>
    <w:p w14:paraId="06D63EF6" w14:textId="77777777" w:rsidR="004549A4" w:rsidRPr="00EC250C" w:rsidRDefault="004549A4" w:rsidP="00D131FA">
      <w:pPr>
        <w:pStyle w:val="Styl1"/>
      </w:pPr>
      <w:r w:rsidRPr="00EC250C">
        <w:t>Polska nie ratyfikowała Protokołu Fakultatywnego do Konwencji o prawach osób z niepełnosprawnościami, przez to nie maja one prawa zgłaszać do ONZ indywidualnych skarg.</w:t>
      </w:r>
    </w:p>
    <w:p w14:paraId="643A2620" w14:textId="77777777" w:rsidR="00C91F6E" w:rsidRPr="00EC250C" w:rsidRDefault="00DB008E" w:rsidP="00EC250C">
      <w:pPr>
        <w:pStyle w:val="Nagwek5"/>
      </w:pPr>
      <w:r w:rsidRPr="00EC250C">
        <w:t xml:space="preserve">Brak </w:t>
      </w:r>
      <w:r w:rsidR="005015F8" w:rsidRPr="00EC250C">
        <w:t>jednej powszechnie obowiązującej definicji niepełnosprawności</w:t>
      </w:r>
    </w:p>
    <w:bookmarkEnd w:id="571"/>
    <w:p w14:paraId="25D593C3" w14:textId="77777777" w:rsidR="005D378E" w:rsidRPr="00EC250C" w:rsidRDefault="00674B0F" w:rsidP="00D131FA">
      <w:pPr>
        <w:pStyle w:val="Styl1"/>
      </w:pPr>
      <w:r w:rsidRPr="00EC250C">
        <w:t>W Polsce</w:t>
      </w:r>
      <w:r w:rsidR="00992FD0" w:rsidRPr="00EC250C">
        <w:t xml:space="preserve"> w </w:t>
      </w:r>
      <w:r w:rsidR="005015F8" w:rsidRPr="00EC250C">
        <w:t>spos</w:t>
      </w:r>
      <w:r w:rsidR="005015F8" w:rsidRPr="00EC250C">
        <w:rPr>
          <w:rFonts w:hint="eastAsia"/>
        </w:rPr>
        <w:t>ó</w:t>
      </w:r>
      <w:r w:rsidR="005015F8" w:rsidRPr="00EC250C">
        <w:t>b niezgodny</w:t>
      </w:r>
      <w:r w:rsidR="00992FD0" w:rsidRPr="00EC250C">
        <w:t xml:space="preserve"> z </w:t>
      </w:r>
      <w:r w:rsidR="005015F8" w:rsidRPr="00EC250C">
        <w:t>Konwencj</w:t>
      </w:r>
      <w:r w:rsidR="005015F8" w:rsidRPr="00EC250C">
        <w:rPr>
          <w:rFonts w:hint="eastAsia"/>
        </w:rPr>
        <w:t>ą</w:t>
      </w:r>
      <w:r w:rsidR="005015F8" w:rsidRPr="00EC250C">
        <w:t xml:space="preserve"> systemy orzecznicze skupiaj</w:t>
      </w:r>
      <w:r w:rsidR="005015F8" w:rsidRPr="00EC250C">
        <w:rPr>
          <w:rFonts w:hint="eastAsia"/>
        </w:rPr>
        <w:t>ą</w:t>
      </w:r>
      <w:r w:rsidR="005015F8" w:rsidRPr="00EC250C">
        <w:t xml:space="preserve"> si</w:t>
      </w:r>
      <w:r w:rsidR="005015F8" w:rsidRPr="00EC250C">
        <w:rPr>
          <w:rFonts w:hint="eastAsia"/>
        </w:rPr>
        <w:t>ę</w:t>
      </w:r>
      <w:r w:rsidR="005015F8" w:rsidRPr="00EC250C">
        <w:t xml:space="preserve"> na dysfunkcjach, okre</w:t>
      </w:r>
      <w:r w:rsidR="005015F8" w:rsidRPr="00EC250C">
        <w:rPr>
          <w:rFonts w:hint="eastAsia"/>
        </w:rPr>
        <w:t>ś</w:t>
      </w:r>
      <w:r w:rsidR="005015F8" w:rsidRPr="00EC250C">
        <w:t>laj</w:t>
      </w:r>
      <w:r w:rsidR="005015F8" w:rsidRPr="00EC250C">
        <w:rPr>
          <w:rFonts w:hint="eastAsia"/>
        </w:rPr>
        <w:t>ą</w:t>
      </w:r>
      <w:r w:rsidR="005015F8" w:rsidRPr="00EC250C">
        <w:t>c niepe</w:t>
      </w:r>
      <w:r w:rsidR="005015F8" w:rsidRPr="00EC250C">
        <w:rPr>
          <w:rFonts w:hint="eastAsia"/>
        </w:rPr>
        <w:t>ł</w:t>
      </w:r>
      <w:r w:rsidR="005015F8" w:rsidRPr="00EC250C">
        <w:t>nosprawno</w:t>
      </w:r>
      <w:r w:rsidR="005015F8" w:rsidRPr="00EC250C">
        <w:rPr>
          <w:rFonts w:hint="eastAsia"/>
        </w:rPr>
        <w:t>ść</w:t>
      </w:r>
      <w:r w:rsidR="005015F8" w:rsidRPr="00EC250C">
        <w:t xml:space="preserve"> jako niezdolno</w:t>
      </w:r>
      <w:r w:rsidR="005015F8" w:rsidRPr="00EC250C">
        <w:rPr>
          <w:rFonts w:hint="eastAsia"/>
        </w:rPr>
        <w:t>ść</w:t>
      </w:r>
      <w:r w:rsidR="005015F8" w:rsidRPr="00EC250C">
        <w:t xml:space="preserve"> do efektywnego pe</w:t>
      </w:r>
      <w:r w:rsidR="005015F8" w:rsidRPr="00EC250C">
        <w:rPr>
          <w:rFonts w:hint="eastAsia"/>
        </w:rPr>
        <w:t>ł</w:t>
      </w:r>
      <w:r w:rsidR="005015F8" w:rsidRPr="00EC250C">
        <w:t>nienia r</w:t>
      </w:r>
      <w:r w:rsidR="005015F8" w:rsidRPr="00EC250C">
        <w:rPr>
          <w:rFonts w:hint="eastAsia"/>
        </w:rPr>
        <w:t>ó</w:t>
      </w:r>
      <w:r w:rsidR="005015F8" w:rsidRPr="00EC250C">
        <w:t>l spo</w:t>
      </w:r>
      <w:r w:rsidR="005015F8" w:rsidRPr="00EC250C">
        <w:rPr>
          <w:rFonts w:hint="eastAsia"/>
        </w:rPr>
        <w:t>ł</w:t>
      </w:r>
      <w:r w:rsidR="005015F8" w:rsidRPr="00EC250C">
        <w:t>ecznych oraz</w:t>
      </w:r>
      <w:r w:rsidR="00CC4D88" w:rsidRPr="00EC250C">
        <w:t xml:space="preserve"> </w:t>
      </w:r>
      <w:r w:rsidR="005015F8" w:rsidRPr="00EC250C">
        <w:t>u</w:t>
      </w:r>
      <w:r w:rsidR="005015F8" w:rsidRPr="00EC250C">
        <w:rPr>
          <w:rFonts w:hint="eastAsia"/>
        </w:rPr>
        <w:t>ż</w:t>
      </w:r>
      <w:r w:rsidR="005015F8" w:rsidRPr="00EC250C">
        <w:t>ywaj</w:t>
      </w:r>
      <w:r w:rsidR="005015F8" w:rsidRPr="00EC250C">
        <w:rPr>
          <w:rFonts w:hint="eastAsia"/>
        </w:rPr>
        <w:t>ą</w:t>
      </w:r>
      <w:r w:rsidR="005015F8" w:rsidRPr="00EC250C">
        <w:t>c takich poj</w:t>
      </w:r>
      <w:r w:rsidR="005015F8" w:rsidRPr="00EC250C">
        <w:rPr>
          <w:rFonts w:hint="eastAsia"/>
        </w:rPr>
        <w:t>ęć</w:t>
      </w:r>
      <w:r w:rsidR="005015F8" w:rsidRPr="00EC250C">
        <w:t xml:space="preserve">, jak </w:t>
      </w:r>
      <w:r w:rsidR="00F4665E" w:rsidRPr="00EC250C">
        <w:t>„</w:t>
      </w:r>
      <w:r w:rsidR="005015F8" w:rsidRPr="00EC250C">
        <w:t>niezdolno</w:t>
      </w:r>
      <w:r w:rsidR="005015F8" w:rsidRPr="00EC250C">
        <w:rPr>
          <w:rFonts w:hint="eastAsia"/>
        </w:rPr>
        <w:t>ść</w:t>
      </w:r>
      <w:r w:rsidR="005015F8" w:rsidRPr="00EC250C">
        <w:t xml:space="preserve"> do pracy</w:t>
      </w:r>
      <w:r w:rsidR="00F4665E" w:rsidRPr="00EC250C">
        <w:t>”</w:t>
      </w:r>
      <w:r w:rsidR="005015F8" w:rsidRPr="00EC250C">
        <w:t xml:space="preserve"> czy </w:t>
      </w:r>
      <w:r w:rsidR="00F4665E" w:rsidRPr="00EC250C">
        <w:t>„</w:t>
      </w:r>
      <w:r w:rsidR="005015F8" w:rsidRPr="00EC250C">
        <w:t>niezdolno</w:t>
      </w:r>
      <w:r w:rsidR="005015F8" w:rsidRPr="00EC250C">
        <w:rPr>
          <w:rFonts w:hint="eastAsia"/>
        </w:rPr>
        <w:t>ść</w:t>
      </w:r>
      <w:r w:rsidR="005015F8" w:rsidRPr="00EC250C">
        <w:t xml:space="preserve"> do samodzielnej egzystencji</w:t>
      </w:r>
      <w:r w:rsidR="00F4665E" w:rsidRPr="00EC250C">
        <w:t>”</w:t>
      </w:r>
      <w:r w:rsidR="005015F8" w:rsidRPr="00EC250C">
        <w:t>. W polskim</w:t>
      </w:r>
      <w:r w:rsidR="00CC4D88" w:rsidRPr="00EC250C">
        <w:t xml:space="preserve"> </w:t>
      </w:r>
      <w:r w:rsidR="005015F8" w:rsidRPr="00EC250C">
        <w:t>prawie nadal wyst</w:t>
      </w:r>
      <w:r w:rsidR="005015F8" w:rsidRPr="00EC250C">
        <w:rPr>
          <w:rFonts w:hint="eastAsia"/>
        </w:rPr>
        <w:t>ę</w:t>
      </w:r>
      <w:r w:rsidR="005015F8" w:rsidRPr="00EC250C">
        <w:t>puj</w:t>
      </w:r>
      <w:r w:rsidR="005015F8" w:rsidRPr="00EC250C">
        <w:rPr>
          <w:rFonts w:hint="eastAsia"/>
        </w:rPr>
        <w:t>ą</w:t>
      </w:r>
      <w:r w:rsidR="005015F8" w:rsidRPr="00EC250C">
        <w:t xml:space="preserve"> terminy stygmatyzuj</w:t>
      </w:r>
      <w:r w:rsidR="005015F8" w:rsidRPr="00EC250C">
        <w:rPr>
          <w:rFonts w:hint="eastAsia"/>
        </w:rPr>
        <w:t>ą</w:t>
      </w:r>
      <w:r w:rsidR="005015F8" w:rsidRPr="00EC250C">
        <w:t xml:space="preserve">ce, jak np. </w:t>
      </w:r>
      <w:r w:rsidR="005015F8" w:rsidRPr="00EC250C">
        <w:rPr>
          <w:rFonts w:hint="eastAsia"/>
        </w:rPr>
        <w:t>„</w:t>
      </w:r>
      <w:r w:rsidR="005015F8" w:rsidRPr="00EC250C">
        <w:t>niedorozw</w:t>
      </w:r>
      <w:r w:rsidR="005015F8" w:rsidRPr="00EC250C">
        <w:rPr>
          <w:rFonts w:hint="eastAsia"/>
        </w:rPr>
        <w:t>ó</w:t>
      </w:r>
      <w:r w:rsidR="005015F8" w:rsidRPr="00EC250C">
        <w:t>j umys</w:t>
      </w:r>
      <w:r w:rsidR="005015F8" w:rsidRPr="00EC250C">
        <w:rPr>
          <w:rFonts w:hint="eastAsia"/>
        </w:rPr>
        <w:t>ł</w:t>
      </w:r>
      <w:r w:rsidR="005015F8" w:rsidRPr="00EC250C">
        <w:t>owy</w:t>
      </w:r>
      <w:r w:rsidR="005015F8" w:rsidRPr="00EC250C">
        <w:rPr>
          <w:rFonts w:hint="eastAsia"/>
        </w:rPr>
        <w:t>”</w:t>
      </w:r>
      <w:r w:rsidR="005015F8" w:rsidRPr="00EC250C">
        <w:t xml:space="preserve">, </w:t>
      </w:r>
      <w:r w:rsidR="005015F8" w:rsidRPr="00EC250C">
        <w:rPr>
          <w:rFonts w:hint="eastAsia"/>
        </w:rPr>
        <w:t>„</w:t>
      </w:r>
      <w:r w:rsidR="005015F8" w:rsidRPr="00EC250C">
        <w:t>kalectwo</w:t>
      </w:r>
      <w:r w:rsidR="005015F8" w:rsidRPr="00EC250C">
        <w:rPr>
          <w:rFonts w:hint="eastAsia"/>
        </w:rPr>
        <w:t>”</w:t>
      </w:r>
      <w:r w:rsidR="00463255" w:rsidRPr="00EC250C">
        <w:rPr>
          <w:rStyle w:val="Odwoanieprzypisudolnego"/>
        </w:rPr>
        <w:footnoteReference w:id="556"/>
      </w:r>
      <w:r w:rsidR="00467E0E" w:rsidRPr="00EC250C">
        <w:t>.</w:t>
      </w:r>
    </w:p>
    <w:p w14:paraId="0D92562B" w14:textId="77777777" w:rsidR="005015F8" w:rsidRPr="00EC250C" w:rsidRDefault="005015F8" w:rsidP="00D131FA">
      <w:pPr>
        <w:pStyle w:val="Styl1"/>
        <w:rPr>
          <w:spacing w:val="0"/>
        </w:rPr>
      </w:pPr>
      <w:r w:rsidRPr="00EC250C">
        <w:t>Potrzebny jest przegląd aktów prawnych pod kątem słownictwa</w:t>
      </w:r>
      <w:r w:rsidR="00992FD0" w:rsidRPr="00EC250C">
        <w:t xml:space="preserve"> o </w:t>
      </w:r>
      <w:r w:rsidRPr="00EC250C">
        <w:t>„niepełnosprawności”, poszczególnych rodzajów niepełnosprawności</w:t>
      </w:r>
      <w:r w:rsidR="00992FD0" w:rsidRPr="00EC250C">
        <w:t xml:space="preserve"> i </w:t>
      </w:r>
      <w:r w:rsidRPr="00EC250C">
        <w:t>„osób</w:t>
      </w:r>
      <w:r w:rsidR="00992FD0" w:rsidRPr="00EC250C">
        <w:t xml:space="preserve"> z </w:t>
      </w:r>
      <w:r w:rsidRPr="00EC250C">
        <w:t>niepełnosprawnościami” oraz wyeliminowanie pojęć przestarzałych</w:t>
      </w:r>
      <w:r w:rsidR="00992FD0" w:rsidRPr="00EC250C">
        <w:t xml:space="preserve"> i </w:t>
      </w:r>
      <w:r w:rsidRPr="00EC250C">
        <w:t>pejoratywnych (np. „niesamodzielny”).</w:t>
      </w:r>
      <w:r w:rsidR="003D6077" w:rsidRPr="00EC250C">
        <w:rPr>
          <w:rStyle w:val="Odwoanieprzypisudolnego"/>
          <w:bCs/>
        </w:rPr>
        <w:t xml:space="preserve"> </w:t>
      </w:r>
      <w:r w:rsidR="003D6077" w:rsidRPr="00EC250C">
        <w:rPr>
          <w:rStyle w:val="Odwoanieprzypisudolnego"/>
          <w:bCs/>
        </w:rPr>
        <w:footnoteReference w:id="557"/>
      </w:r>
    </w:p>
    <w:p w14:paraId="4200572F" w14:textId="77777777" w:rsidR="00C91F6E" w:rsidRPr="00EC250C" w:rsidRDefault="005D378E" w:rsidP="00EC250C">
      <w:pPr>
        <w:pStyle w:val="Nagwek5"/>
      </w:pPr>
      <w:r w:rsidRPr="00EC250C">
        <w:lastRenderedPageBreak/>
        <w:t>Polskie prawo nie chroni dostatecznie osób</w:t>
      </w:r>
      <w:r w:rsidR="00992FD0" w:rsidRPr="00EC250C">
        <w:t xml:space="preserve"> z </w:t>
      </w:r>
      <w:r w:rsidRPr="00EC250C">
        <w:t>niepełnosprawnościami przed dyskryminacją</w:t>
      </w:r>
    </w:p>
    <w:p w14:paraId="221D7C52" w14:textId="77777777" w:rsidR="005015F8" w:rsidRPr="00EC250C" w:rsidRDefault="005D378E" w:rsidP="00D131FA">
      <w:pPr>
        <w:pStyle w:val="Styl1"/>
        <w:rPr>
          <w:spacing w:val="0"/>
        </w:rPr>
      </w:pPr>
      <w:r w:rsidRPr="00EC250C">
        <w:t xml:space="preserve">Trzeba </w:t>
      </w:r>
      <w:r w:rsidR="005015F8" w:rsidRPr="00EC250C">
        <w:t>zmienić ustawę</w:t>
      </w:r>
      <w:r w:rsidR="00992FD0" w:rsidRPr="00EC250C">
        <w:t xml:space="preserve"> o </w:t>
      </w:r>
      <w:r w:rsidR="005015F8" w:rsidRPr="00EC250C">
        <w:t>równym traktowaniu, tak by wprowadzić zakaz dyskryminacji ze względu na niepełnosprawność</w:t>
      </w:r>
      <w:r w:rsidR="00992FD0" w:rsidRPr="00EC250C">
        <w:t xml:space="preserve"> w </w:t>
      </w:r>
      <w:r w:rsidR="005015F8" w:rsidRPr="00EC250C">
        <w:t>obszarze zabezpieczenia społecznego, dostępu do usług,</w:t>
      </w:r>
      <w:r w:rsidR="00992FD0" w:rsidRPr="00EC250C">
        <w:t xml:space="preserve"> w </w:t>
      </w:r>
      <w:r w:rsidR="005015F8" w:rsidRPr="00EC250C">
        <w:t>tym usług mieszkaniowych, rzeczy oraz nabywania praw lub energii, opieki zdrowotnej,</w:t>
      </w:r>
      <w:r w:rsidR="00992FD0" w:rsidRPr="00EC250C">
        <w:t xml:space="preserve"> a </w:t>
      </w:r>
      <w:r w:rsidR="005015F8" w:rsidRPr="00EC250C">
        <w:t>także oświaty</w:t>
      </w:r>
      <w:r w:rsidR="00992FD0" w:rsidRPr="00EC250C">
        <w:t xml:space="preserve"> i </w:t>
      </w:r>
      <w:r w:rsidR="005015F8" w:rsidRPr="00EC250C">
        <w:t>szkolnictwa wyższego (dziś zakaz taki dotyczy tylko obszaru zatrudnienia)</w:t>
      </w:r>
      <w:r w:rsidRPr="00EC250C">
        <w:t>.</w:t>
      </w:r>
    </w:p>
    <w:p w14:paraId="60370BE3" w14:textId="77777777" w:rsidR="00DB008E" w:rsidRPr="00EC250C" w:rsidRDefault="005D378E" w:rsidP="006C70B7">
      <w:pPr>
        <w:pStyle w:val="Styl1"/>
        <w:numPr>
          <w:ilvl w:val="0"/>
          <w:numId w:val="60"/>
        </w:numPr>
      </w:pPr>
      <w:r w:rsidRPr="00EC250C">
        <w:t>Osoby</w:t>
      </w:r>
      <w:r w:rsidR="00992FD0" w:rsidRPr="00EC250C">
        <w:t xml:space="preserve"> z </w:t>
      </w:r>
      <w:r w:rsidRPr="00EC250C">
        <w:t>niepełnosprawnościami nie są</w:t>
      </w:r>
      <w:r w:rsidR="00992FD0" w:rsidRPr="00EC250C">
        <w:t xml:space="preserve"> w </w:t>
      </w:r>
      <w:r w:rsidRPr="00EC250C">
        <w:t>stanie skarżyć się na dyskryminację: nie znają swoich praw</w:t>
      </w:r>
      <w:r w:rsidR="001B7606" w:rsidRPr="00EC250C">
        <w:t>. Duże nadzieje pokłada się</w:t>
      </w:r>
      <w:r w:rsidR="00992FD0" w:rsidRPr="00EC250C">
        <w:t xml:space="preserve"> w </w:t>
      </w:r>
      <w:r w:rsidR="001B7606" w:rsidRPr="00EC250C">
        <w:t>ustawie</w:t>
      </w:r>
      <w:r w:rsidR="00992FD0" w:rsidRPr="00EC250C">
        <w:t xml:space="preserve"> o </w:t>
      </w:r>
      <w:r w:rsidRPr="00EC250C">
        <w:t>nieodpłatnej pomocy prawnej</w:t>
      </w:r>
      <w:r w:rsidR="001423ED" w:rsidRPr="00EC250C">
        <w:t xml:space="preserve">, </w:t>
      </w:r>
      <w:r w:rsidR="001B7606" w:rsidRPr="00EC250C">
        <w:t xml:space="preserve">która </w:t>
      </w:r>
      <w:r w:rsidR="001423ED" w:rsidRPr="00EC250C">
        <w:t xml:space="preserve">została </w:t>
      </w:r>
      <w:r w:rsidR="001B7606" w:rsidRPr="00EC250C">
        <w:t>zmieniona</w:t>
      </w:r>
      <w:r w:rsidR="00992FD0" w:rsidRPr="00EC250C">
        <w:t xml:space="preserve"> w </w:t>
      </w:r>
      <w:r w:rsidR="001423ED" w:rsidRPr="00EC250C">
        <w:t>2018</w:t>
      </w:r>
      <w:r w:rsidR="00C91F6E" w:rsidRPr="00EC250C">
        <w:t> r.</w:t>
      </w:r>
      <w:r w:rsidR="001423ED" w:rsidRPr="00EC250C">
        <w:t xml:space="preserve"> </w:t>
      </w:r>
      <w:r w:rsidRPr="00EC250C">
        <w:t>.</w:t>
      </w:r>
    </w:p>
    <w:p w14:paraId="3ACFE2D9" w14:textId="77777777" w:rsidR="00DB008E" w:rsidRPr="00EC250C" w:rsidRDefault="00DB008E" w:rsidP="006C70B7">
      <w:pPr>
        <w:pStyle w:val="Styl1"/>
        <w:numPr>
          <w:ilvl w:val="0"/>
          <w:numId w:val="59"/>
        </w:numPr>
      </w:pPr>
      <w:r w:rsidRPr="00EC250C">
        <w:t>Kobiety</w:t>
      </w:r>
      <w:r w:rsidR="00992FD0" w:rsidRPr="00EC250C">
        <w:t xml:space="preserve"> z </w:t>
      </w:r>
      <w:r w:rsidRPr="00EC250C">
        <w:t>niepełnosprawnościami, zwłaszcza mieszkanki wsi</w:t>
      </w:r>
      <w:r w:rsidR="00992FD0" w:rsidRPr="00EC250C">
        <w:t xml:space="preserve"> i </w:t>
      </w:r>
      <w:r w:rsidRPr="00EC250C">
        <w:t>małych miast, są bardziej narażone na przemoc.</w:t>
      </w:r>
    </w:p>
    <w:p w14:paraId="543E8170" w14:textId="77777777" w:rsidR="00DB008E" w:rsidRPr="00EC250C" w:rsidRDefault="005D378E" w:rsidP="006C70B7">
      <w:pPr>
        <w:pStyle w:val="Styl1"/>
        <w:numPr>
          <w:ilvl w:val="0"/>
          <w:numId w:val="59"/>
        </w:numPr>
      </w:pPr>
      <w:r w:rsidRPr="00EC250C">
        <w:t>O</w:t>
      </w:r>
      <w:r w:rsidR="005015F8" w:rsidRPr="00EC250C">
        <w:t>s</w:t>
      </w:r>
      <w:r w:rsidR="00DB008E" w:rsidRPr="00EC250C">
        <w:t>o</w:t>
      </w:r>
      <w:r w:rsidR="005015F8" w:rsidRPr="00EC250C">
        <w:t>b</w:t>
      </w:r>
      <w:r w:rsidR="00DB008E" w:rsidRPr="00EC250C">
        <w:t>y</w:t>
      </w:r>
      <w:r w:rsidR="005015F8" w:rsidRPr="00EC250C">
        <w:t xml:space="preserve"> LGBT</w:t>
      </w:r>
      <w:r w:rsidR="00992FD0" w:rsidRPr="00EC250C">
        <w:t xml:space="preserve"> z </w:t>
      </w:r>
      <w:r w:rsidR="005015F8" w:rsidRPr="00EC250C">
        <w:t>niepełnosprawnościami</w:t>
      </w:r>
      <w:r w:rsidRPr="00EC250C">
        <w:t xml:space="preserve"> są traktowane wyjątkowo źle</w:t>
      </w:r>
      <w:r w:rsidR="00026572" w:rsidRPr="00EC250C">
        <w:t xml:space="preserve"> – </w:t>
      </w:r>
      <w:r w:rsidR="005015F8" w:rsidRPr="00EC250C">
        <w:t>doświadczają dyskryminacji wielokrotnej (czyli także</w:t>
      </w:r>
      <w:r w:rsidR="00992FD0" w:rsidRPr="00EC250C">
        <w:t xml:space="preserve"> z </w:t>
      </w:r>
      <w:r w:rsidR="005015F8" w:rsidRPr="00EC250C">
        <w:t>powodu orientacji seksualnej lub tożsamości płciowej)</w:t>
      </w:r>
      <w:r w:rsidR="00992FD0" w:rsidRPr="00EC250C">
        <w:t xml:space="preserve"> i </w:t>
      </w:r>
      <w:r w:rsidR="005015F8" w:rsidRPr="00EC250C">
        <w:t>nie mogą żądać odszkodowania</w:t>
      </w:r>
      <w:r w:rsidR="00992FD0" w:rsidRPr="00EC250C">
        <w:t xml:space="preserve"> w </w:t>
      </w:r>
      <w:r w:rsidR="005015F8" w:rsidRPr="00EC250C">
        <w:t>związku</w:t>
      </w:r>
      <w:r w:rsidR="00992FD0" w:rsidRPr="00EC250C">
        <w:t xml:space="preserve"> z </w:t>
      </w:r>
      <w:r w:rsidR="005015F8" w:rsidRPr="00EC250C">
        <w:t>tego rodzaju dyskryminacji. Nie ma oficjalnych danych na temat o</w:t>
      </w:r>
      <w:r w:rsidR="005015F8" w:rsidRPr="00EC250C">
        <w:rPr>
          <w:rFonts w:hint="eastAsia"/>
        </w:rPr>
        <w:t>ś</w:t>
      </w:r>
      <w:r w:rsidR="005015F8" w:rsidRPr="00EC250C">
        <w:t>rodk</w:t>
      </w:r>
      <w:r w:rsidR="005015F8" w:rsidRPr="00EC250C">
        <w:rPr>
          <w:rFonts w:hint="eastAsia"/>
        </w:rPr>
        <w:t>ó</w:t>
      </w:r>
      <w:r w:rsidR="005015F8" w:rsidRPr="00EC250C">
        <w:t>w prowadzących „terapie konwersyjne”. Przepisy nie przewidują finansowania takich „terapii” ze środków publicznych, ale nie istnieje akt prawny zakazujący wprost ich prowadzenia.</w:t>
      </w:r>
    </w:p>
    <w:p w14:paraId="7CF88106" w14:textId="77777777" w:rsidR="008916B3" w:rsidRPr="00EC250C" w:rsidRDefault="008916B3" w:rsidP="00EC250C">
      <w:pPr>
        <w:pStyle w:val="Nagwek5"/>
      </w:pPr>
      <w:r w:rsidRPr="00EC250C">
        <w:t>Ubezwłasnowolnienie – odbieranie osobom z niepełnosprawnościami zdolności do czynności prawnych</w:t>
      </w:r>
    </w:p>
    <w:p w14:paraId="647AAD20" w14:textId="77777777" w:rsidR="008916B3" w:rsidRPr="00EC250C" w:rsidRDefault="008916B3" w:rsidP="00D131FA">
      <w:pPr>
        <w:pStyle w:val="Styl1"/>
        <w:ind w:firstLine="0"/>
      </w:pPr>
      <w:r w:rsidRPr="00EC250C">
        <w:t>Instytucja ubezwłasnowolnienia powinna zostać zniesiona i zastąpiona systemem wspieranego podejmowania decyzji. RPO wskazuje, że byłoby to spełnieniem postulatów organizacji obywatelskich i zrealizowaniem przez Polskę zobowiązań Konwencji ONZ o prawach osób niepełnosprawnych oraz przywróceniem im pełnej zdolności do czynności prawnych</w:t>
      </w:r>
      <w:r w:rsidRPr="00EC250C">
        <w:rPr>
          <w:rStyle w:val="Odwoanieprzypisudolnego"/>
        </w:rPr>
        <w:footnoteReference w:id="558"/>
      </w:r>
      <w:r w:rsidRPr="00EC250C">
        <w:t>.</w:t>
      </w:r>
    </w:p>
    <w:p w14:paraId="51509ED5" w14:textId="77777777" w:rsidR="00DB008E" w:rsidRPr="00EC250C" w:rsidRDefault="00DB008E" w:rsidP="00EC250C">
      <w:pPr>
        <w:pStyle w:val="Nagwek5"/>
      </w:pPr>
      <w:r w:rsidRPr="00EC250C">
        <w:t>Pomoc</w:t>
      </w:r>
      <w:r w:rsidR="00992FD0" w:rsidRPr="00EC250C">
        <w:t xml:space="preserve"> w </w:t>
      </w:r>
      <w:r w:rsidRPr="00EC250C">
        <w:t>DPS zamiast</w:t>
      </w:r>
      <w:r w:rsidR="00992FD0" w:rsidRPr="00EC250C">
        <w:t xml:space="preserve"> w </w:t>
      </w:r>
      <w:r w:rsidRPr="00EC250C">
        <w:t>miejscu zamieszkania</w:t>
      </w:r>
    </w:p>
    <w:p w14:paraId="1CEA3509" w14:textId="77777777" w:rsidR="005015F8" w:rsidRPr="00EC250C" w:rsidRDefault="005015F8" w:rsidP="00D131FA">
      <w:pPr>
        <w:pStyle w:val="Styl1"/>
        <w:ind w:firstLine="0"/>
      </w:pPr>
      <w:r w:rsidRPr="00EC250C">
        <w:t>Dziś ponad tysiąc osób poniżej 18. roku życia przebywa</w:t>
      </w:r>
      <w:r w:rsidR="00992FD0" w:rsidRPr="00EC250C">
        <w:t xml:space="preserve"> w </w:t>
      </w:r>
      <w:r w:rsidRPr="00EC250C">
        <w:t>domach pomocy społecznej. Dzieci</w:t>
      </w:r>
      <w:r w:rsidR="00992FD0" w:rsidRPr="00EC250C">
        <w:t xml:space="preserve"> z </w:t>
      </w:r>
      <w:r w:rsidRPr="00EC250C">
        <w:t>niepełnosprawnościami przebywają również</w:t>
      </w:r>
      <w:r w:rsidR="00992FD0" w:rsidRPr="00EC250C">
        <w:t xml:space="preserve"> w </w:t>
      </w:r>
      <w:r w:rsidRPr="00EC250C">
        <w:t>placówkach opiekuńczo-wychowawczych.</w:t>
      </w:r>
      <w:r w:rsidR="00DB008E" w:rsidRPr="00EC250C">
        <w:rPr>
          <w:rFonts w:ascii="Open Sans Regular" w:hAnsi="Open Sans Regular"/>
          <w:color w:val="18223E"/>
          <w:sz w:val="21"/>
        </w:rPr>
        <w:t xml:space="preserve"> </w:t>
      </w:r>
      <w:r w:rsidR="0038776C" w:rsidRPr="00EC250C">
        <w:t>Tymczasem c</w:t>
      </w:r>
      <w:r w:rsidR="001423ED" w:rsidRPr="00EC250C">
        <w:t>hodzi</w:t>
      </w:r>
      <w:r w:rsidR="00992FD0" w:rsidRPr="00EC250C">
        <w:t xml:space="preserve"> o </w:t>
      </w:r>
      <w:r w:rsidRPr="00EC250C">
        <w:t>to, by potrzebna pomoc dost</w:t>
      </w:r>
      <w:r w:rsidRPr="00EC250C">
        <w:rPr>
          <w:rFonts w:hint="eastAsia"/>
        </w:rPr>
        <w:t>ę</w:t>
      </w:r>
      <w:r w:rsidRPr="00EC250C">
        <w:t>pna by</w:t>
      </w:r>
      <w:r w:rsidRPr="00EC250C">
        <w:rPr>
          <w:rFonts w:hint="eastAsia"/>
        </w:rPr>
        <w:t>ł</w:t>
      </w:r>
      <w:r w:rsidRPr="00EC250C">
        <w:t>a na miejscu,</w:t>
      </w:r>
      <w:r w:rsidR="00992FD0" w:rsidRPr="00EC250C">
        <w:t xml:space="preserve"> w </w:t>
      </w:r>
      <w:r w:rsidRPr="00EC250C">
        <w:rPr>
          <w:rFonts w:hint="eastAsia"/>
        </w:rPr>
        <w:t>ś</w:t>
      </w:r>
      <w:r w:rsidRPr="00EC250C">
        <w:t xml:space="preserve">rodowisku zamieszkania </w:t>
      </w:r>
      <w:r w:rsidRPr="00EC250C">
        <w:rPr>
          <w:rFonts w:hint="eastAsia"/>
        </w:rPr>
        <w:t>–</w:t>
      </w:r>
      <w:r w:rsidR="00992FD0" w:rsidRPr="00EC250C">
        <w:t xml:space="preserve"> a </w:t>
      </w:r>
      <w:r w:rsidRPr="00EC250C">
        <w:t>nie</w:t>
      </w:r>
      <w:r w:rsidR="00992FD0" w:rsidRPr="00EC250C">
        <w:t xml:space="preserve"> w </w:t>
      </w:r>
      <w:r w:rsidRPr="00EC250C">
        <w:t>DPS-ach</w:t>
      </w:r>
      <w:r w:rsidR="0038776C" w:rsidRPr="00EC250C">
        <w:t>.</w:t>
      </w:r>
    </w:p>
    <w:p w14:paraId="60016413" w14:textId="77777777" w:rsidR="008916B3" w:rsidRPr="00EC250C" w:rsidRDefault="008916B3" w:rsidP="00D131FA">
      <w:pPr>
        <w:pStyle w:val="Styl1"/>
      </w:pPr>
      <w:r w:rsidRPr="00EC250C">
        <w:t>Polska nie ma żadnego planu, ani działań na rzecz deinstytucjonalizacji opieki. Nie mamy planów systemowego zapewnienia asystentury osobistej osobom z niepełnosprawnościami. Polska nie ma planu rozwoju usług świadczonych na poziomie społeczności lokalnej</w:t>
      </w:r>
      <w:r w:rsidRPr="00EC250C">
        <w:rPr>
          <w:rStyle w:val="Odwoanieprzypisudolnego"/>
        </w:rPr>
        <w:footnoteReference w:id="559"/>
      </w:r>
      <w:r w:rsidRPr="00EC250C">
        <w:t>.</w:t>
      </w:r>
    </w:p>
    <w:p w14:paraId="30690385" w14:textId="77777777" w:rsidR="00C91F6E" w:rsidRPr="00EC250C" w:rsidRDefault="00DB008E" w:rsidP="00EC250C">
      <w:pPr>
        <w:pStyle w:val="Nagwek5"/>
      </w:pPr>
      <w:r w:rsidRPr="00EC250C">
        <w:lastRenderedPageBreak/>
        <w:t>D</w:t>
      </w:r>
      <w:r w:rsidR="005015F8" w:rsidRPr="00EC250C">
        <w:t>ostępności budynków dla osób</w:t>
      </w:r>
      <w:r w:rsidR="00992FD0" w:rsidRPr="00EC250C">
        <w:t xml:space="preserve"> z </w:t>
      </w:r>
      <w:r w:rsidR="005015F8" w:rsidRPr="00EC250C">
        <w:t>niepełnosprawnościami</w:t>
      </w:r>
    </w:p>
    <w:p w14:paraId="47B8DE42" w14:textId="77777777" w:rsidR="005015F8" w:rsidRPr="00EC250C" w:rsidRDefault="005015F8" w:rsidP="00D131FA">
      <w:pPr>
        <w:pStyle w:val="Styl1"/>
        <w:ind w:firstLine="0"/>
      </w:pPr>
      <w:r w:rsidRPr="00EC250C">
        <w:t>Przepisy gwarantują</w:t>
      </w:r>
      <w:r w:rsidR="00992FD0" w:rsidRPr="00EC250C">
        <w:t xml:space="preserve"> w </w:t>
      </w:r>
      <w:r w:rsidRPr="00EC250C">
        <w:t>Polsce jedynie dostępność budynków dla osób na wózkach. To za mało</w:t>
      </w:r>
      <w:r w:rsidR="00992FD0" w:rsidRPr="00EC250C">
        <w:t xml:space="preserve"> w </w:t>
      </w:r>
      <w:r w:rsidRPr="00EC250C">
        <w:t>momencie, gdy coraz powszechniejsze są standardy projektowania uniwersalnego, tj. takiego, które każe myśleć</w:t>
      </w:r>
      <w:r w:rsidR="00992FD0" w:rsidRPr="00EC250C">
        <w:t xml:space="preserve"> o </w:t>
      </w:r>
      <w:r w:rsidRPr="00EC250C">
        <w:t>wszystkich newralgicznych elementach budynku</w:t>
      </w:r>
      <w:r w:rsidR="00992FD0" w:rsidRPr="00EC250C">
        <w:t xml:space="preserve"> i </w:t>
      </w:r>
      <w:r w:rsidRPr="00EC250C">
        <w:t>jego najbliższego otoczenia</w:t>
      </w:r>
      <w:r w:rsidR="00992FD0" w:rsidRPr="00EC250C">
        <w:t xml:space="preserve"> z </w:t>
      </w:r>
      <w:r w:rsidRPr="00EC250C">
        <w:t>punktu widzenia odbiorcy zmagającego się</w:t>
      </w:r>
      <w:r w:rsidR="00992FD0" w:rsidRPr="00EC250C">
        <w:t xml:space="preserve"> z </w:t>
      </w:r>
      <w:r w:rsidRPr="00EC250C">
        <w:t>różnymi dysfunkcjami</w:t>
      </w:r>
      <w:r w:rsidR="00463255" w:rsidRPr="00EC250C">
        <w:rPr>
          <w:rStyle w:val="Odwoanieprzypisudolnego"/>
          <w:bCs/>
          <w:iCs/>
        </w:rPr>
        <w:footnoteReference w:id="560"/>
      </w:r>
      <w:r w:rsidRPr="00EC250C">
        <w:t>.</w:t>
      </w:r>
    </w:p>
    <w:p w14:paraId="1A3354C2" w14:textId="77777777" w:rsidR="00732AD3" w:rsidRPr="00EC250C" w:rsidRDefault="00732AD3" w:rsidP="00EC250C">
      <w:pPr>
        <w:pStyle w:val="Nagwek5"/>
      </w:pPr>
      <w:r w:rsidRPr="00EC250C">
        <w:t>Dostęp do publicznych programów mieszkaniowych</w:t>
      </w:r>
    </w:p>
    <w:p w14:paraId="3E475498" w14:textId="77777777" w:rsidR="00732AD3" w:rsidRPr="00EC250C" w:rsidRDefault="00732AD3" w:rsidP="00D131FA">
      <w:pPr>
        <w:pStyle w:val="Styl1"/>
        <w:ind w:firstLine="0"/>
      </w:pPr>
      <w:r w:rsidRPr="00EC250C">
        <w:t>Nie prowadzi się żadnych działań, by wspierać dostęp do mieszkań osób z niepełnosprawnościami. Taka osoba może dostosować mieszkanie, ale sam budynek będzie niedostosowany. Mankamentem jest praktyka komasowania mieszkań komunalnych, czy lokali socjalnych, co prowadzi do gettoizacji i segregacji.</w:t>
      </w:r>
    </w:p>
    <w:p w14:paraId="518514F3" w14:textId="77777777" w:rsidR="00C91F6E" w:rsidRPr="00EC250C" w:rsidRDefault="00522F28" w:rsidP="00EC250C">
      <w:pPr>
        <w:pStyle w:val="Nagwek8"/>
      </w:pPr>
      <w:bookmarkStart w:id="572" w:name="_Hlk8740512"/>
      <w:r w:rsidRPr="00EC250C">
        <w:t>Mężczyzna</w:t>
      </w:r>
      <w:r w:rsidR="00992FD0" w:rsidRPr="00EC250C">
        <w:t xml:space="preserve"> z </w:t>
      </w:r>
      <w:r w:rsidRPr="00EC250C">
        <w:t>niepełnosprawnością ruchową otrzyma windę.</w:t>
      </w:r>
    </w:p>
    <w:p w14:paraId="79817DEC" w14:textId="77777777" w:rsidR="00C91F6E" w:rsidRPr="00EC250C" w:rsidRDefault="004855B4" w:rsidP="00D131FA">
      <w:pPr>
        <w:pStyle w:val="Styl2"/>
        <w:rPr>
          <w:szCs w:val="24"/>
        </w:rPr>
      </w:pPr>
      <w:r w:rsidRPr="00EC250C">
        <w:rPr>
          <w:szCs w:val="24"/>
        </w:rPr>
        <w:t xml:space="preserve">Całe życie </w:t>
      </w:r>
      <w:r w:rsidR="00522F28" w:rsidRPr="00EC250C">
        <w:rPr>
          <w:szCs w:val="24"/>
        </w:rPr>
        <w:t>36-letni</w:t>
      </w:r>
      <w:r w:rsidRPr="00EC250C">
        <w:rPr>
          <w:szCs w:val="24"/>
        </w:rPr>
        <w:t>ego</w:t>
      </w:r>
      <w:r w:rsidR="00522F28" w:rsidRPr="00EC250C">
        <w:rPr>
          <w:szCs w:val="24"/>
        </w:rPr>
        <w:t xml:space="preserve"> mężczyzn</w:t>
      </w:r>
      <w:r w:rsidRPr="00EC250C">
        <w:rPr>
          <w:szCs w:val="24"/>
        </w:rPr>
        <w:t xml:space="preserve">y z </w:t>
      </w:r>
      <w:r w:rsidR="00522F28" w:rsidRPr="00EC250C">
        <w:rPr>
          <w:szCs w:val="24"/>
        </w:rPr>
        <w:t>czterokończynow</w:t>
      </w:r>
      <w:r w:rsidRPr="00EC250C">
        <w:rPr>
          <w:szCs w:val="24"/>
        </w:rPr>
        <w:t>ym</w:t>
      </w:r>
      <w:r w:rsidR="00522F28" w:rsidRPr="00EC250C">
        <w:rPr>
          <w:szCs w:val="24"/>
        </w:rPr>
        <w:t xml:space="preserve"> porażeni</w:t>
      </w:r>
      <w:r w:rsidRPr="00EC250C">
        <w:rPr>
          <w:szCs w:val="24"/>
        </w:rPr>
        <w:t>em</w:t>
      </w:r>
      <w:r w:rsidR="00522F28" w:rsidRPr="00EC250C">
        <w:rPr>
          <w:szCs w:val="24"/>
        </w:rPr>
        <w:t xml:space="preserve"> toczy się</w:t>
      </w:r>
      <w:r w:rsidR="00992FD0" w:rsidRPr="00EC250C">
        <w:rPr>
          <w:szCs w:val="24"/>
        </w:rPr>
        <w:t xml:space="preserve"> w </w:t>
      </w:r>
      <w:r w:rsidR="00522F28" w:rsidRPr="00EC250C">
        <w:rPr>
          <w:szCs w:val="24"/>
        </w:rPr>
        <w:t>jednym pokoju. Po wyjściu opiekunk</w:t>
      </w:r>
      <w:r w:rsidR="002657D9" w:rsidRPr="00EC250C">
        <w:rPr>
          <w:szCs w:val="24"/>
        </w:rPr>
        <w:t xml:space="preserve">i </w:t>
      </w:r>
      <w:r w:rsidR="00522F28" w:rsidRPr="00EC250C">
        <w:rPr>
          <w:szCs w:val="24"/>
        </w:rPr>
        <w:t xml:space="preserve">aż do następnego dnia nie może nawet zmienić pozycji ciała. </w:t>
      </w:r>
      <w:r w:rsidRPr="00EC250C">
        <w:rPr>
          <w:szCs w:val="24"/>
        </w:rPr>
        <w:t xml:space="preserve">Opiekując się nim matka sama ma problemy ze zdrowiem, może więc mu tylko </w:t>
      </w:r>
      <w:r w:rsidR="002657D9" w:rsidRPr="00EC250C">
        <w:rPr>
          <w:szCs w:val="24"/>
        </w:rPr>
        <w:t xml:space="preserve">podać </w:t>
      </w:r>
      <w:r w:rsidR="00522F28" w:rsidRPr="00EC250C">
        <w:rPr>
          <w:szCs w:val="24"/>
        </w:rPr>
        <w:t>posiłk</w:t>
      </w:r>
      <w:r w:rsidR="002657D9" w:rsidRPr="00EC250C">
        <w:rPr>
          <w:szCs w:val="24"/>
        </w:rPr>
        <w:t>i</w:t>
      </w:r>
      <w:r w:rsidR="00992FD0" w:rsidRPr="00EC250C">
        <w:rPr>
          <w:szCs w:val="24"/>
        </w:rPr>
        <w:t xml:space="preserve"> z </w:t>
      </w:r>
      <w:r w:rsidR="00522F28" w:rsidRPr="00EC250C">
        <w:rPr>
          <w:szCs w:val="24"/>
        </w:rPr>
        <w:t>MOPS-u. Gdyby</w:t>
      </w:r>
      <w:r w:rsidR="00992FD0" w:rsidRPr="00EC250C">
        <w:rPr>
          <w:szCs w:val="24"/>
        </w:rPr>
        <w:t xml:space="preserve"> w </w:t>
      </w:r>
      <w:r w:rsidR="00522F28" w:rsidRPr="00EC250C">
        <w:rPr>
          <w:szCs w:val="24"/>
        </w:rPr>
        <w:t xml:space="preserve">domu była winda, życie </w:t>
      </w:r>
      <w:r w:rsidR="002657D9" w:rsidRPr="00EC250C">
        <w:rPr>
          <w:szCs w:val="24"/>
        </w:rPr>
        <w:t xml:space="preserve">rodziny </w:t>
      </w:r>
      <w:r w:rsidR="00522F28" w:rsidRPr="00EC250C">
        <w:rPr>
          <w:szCs w:val="24"/>
        </w:rPr>
        <w:t xml:space="preserve">mogłoby wyglądać inaczej. Kosztuje </w:t>
      </w:r>
      <w:r w:rsidR="002657D9" w:rsidRPr="00EC250C">
        <w:rPr>
          <w:szCs w:val="24"/>
        </w:rPr>
        <w:t xml:space="preserve">jednak </w:t>
      </w:r>
      <w:r w:rsidR="00522F28" w:rsidRPr="00EC250C">
        <w:rPr>
          <w:szCs w:val="24"/>
        </w:rPr>
        <w:t xml:space="preserve">80 tysięcy zł. </w:t>
      </w:r>
      <w:r w:rsidR="002657D9" w:rsidRPr="00EC250C">
        <w:rPr>
          <w:szCs w:val="24"/>
        </w:rPr>
        <w:t xml:space="preserve">Choć </w:t>
      </w:r>
      <w:r w:rsidR="00522F28" w:rsidRPr="00EC250C">
        <w:rPr>
          <w:szCs w:val="24"/>
        </w:rPr>
        <w:t xml:space="preserve">do 95% kosztów </w:t>
      </w:r>
      <w:r w:rsidR="002657D9" w:rsidRPr="00EC250C">
        <w:rPr>
          <w:szCs w:val="24"/>
        </w:rPr>
        <w:t xml:space="preserve">mógłby sfinansować </w:t>
      </w:r>
      <w:r w:rsidR="00522F28" w:rsidRPr="00EC250C">
        <w:rPr>
          <w:szCs w:val="24"/>
        </w:rPr>
        <w:t>PFRON</w:t>
      </w:r>
      <w:r w:rsidR="002657D9" w:rsidRPr="00EC250C">
        <w:rPr>
          <w:szCs w:val="24"/>
        </w:rPr>
        <w:t>,</w:t>
      </w:r>
      <w:r w:rsidR="00992FD0" w:rsidRPr="00EC250C">
        <w:rPr>
          <w:szCs w:val="24"/>
        </w:rPr>
        <w:t xml:space="preserve"> a </w:t>
      </w:r>
      <w:r w:rsidR="002657D9" w:rsidRPr="00EC250C">
        <w:rPr>
          <w:szCs w:val="24"/>
        </w:rPr>
        <w:t>miasto dodać 8 tys. zł, to pozostały tysiąc złotych jest poza zasięgiem mężczyzny – tyle wynosi cała jego renta</w:t>
      </w:r>
      <w:r w:rsidR="00522F28" w:rsidRPr="00EC250C">
        <w:rPr>
          <w:szCs w:val="24"/>
        </w:rPr>
        <w:t>.</w:t>
      </w:r>
    </w:p>
    <w:p w14:paraId="77C8CA28" w14:textId="77777777" w:rsidR="00522F28" w:rsidRPr="00EC250C" w:rsidRDefault="00D76DC6" w:rsidP="00D131FA">
      <w:pPr>
        <w:pStyle w:val="Styl2"/>
        <w:rPr>
          <w:szCs w:val="24"/>
        </w:rPr>
      </w:pPr>
      <w:r w:rsidRPr="00EC250C">
        <w:rPr>
          <w:szCs w:val="24"/>
        </w:rPr>
        <w:t>RPO</w:t>
      </w:r>
      <w:r w:rsidR="00522F28" w:rsidRPr="00EC250C">
        <w:rPr>
          <w:szCs w:val="24"/>
        </w:rPr>
        <w:t xml:space="preserve"> interweniował</w:t>
      </w:r>
      <w:r w:rsidR="00992FD0" w:rsidRPr="00EC250C">
        <w:rPr>
          <w:szCs w:val="24"/>
        </w:rPr>
        <w:t xml:space="preserve"> w </w:t>
      </w:r>
      <w:r w:rsidR="00522F28" w:rsidRPr="00EC250C">
        <w:rPr>
          <w:szCs w:val="24"/>
        </w:rPr>
        <w:t xml:space="preserve">tej sprawie u Prezydenta Katowic. </w:t>
      </w:r>
      <w:r w:rsidR="004855B4" w:rsidRPr="00EC250C">
        <w:rPr>
          <w:szCs w:val="24"/>
        </w:rPr>
        <w:t xml:space="preserve">Miasto zaczęło organizować pomoci </w:t>
      </w:r>
      <w:r w:rsidR="00522F28" w:rsidRPr="00EC250C">
        <w:rPr>
          <w:szCs w:val="24"/>
        </w:rPr>
        <w:t>szuka wolontariusz</w:t>
      </w:r>
      <w:r w:rsidR="004855B4" w:rsidRPr="00EC250C">
        <w:rPr>
          <w:szCs w:val="24"/>
        </w:rPr>
        <w:t>y</w:t>
      </w:r>
      <w:r w:rsidR="00522F28" w:rsidRPr="00EC250C">
        <w:rPr>
          <w:szCs w:val="24"/>
        </w:rPr>
        <w:t>.</w:t>
      </w:r>
      <w:r w:rsidR="004855B4" w:rsidRPr="00EC250C">
        <w:rPr>
          <w:szCs w:val="24"/>
        </w:rPr>
        <w:t xml:space="preserve"> </w:t>
      </w:r>
      <w:r w:rsidR="00522F28" w:rsidRPr="00EC250C">
        <w:rPr>
          <w:szCs w:val="24"/>
        </w:rPr>
        <w:t>Wniosek</w:t>
      </w:r>
      <w:r w:rsidR="00992FD0" w:rsidRPr="00EC250C">
        <w:rPr>
          <w:szCs w:val="24"/>
        </w:rPr>
        <w:t xml:space="preserve"> o </w:t>
      </w:r>
      <w:r w:rsidR="00522F28" w:rsidRPr="00EC250C">
        <w:rPr>
          <w:szCs w:val="24"/>
        </w:rPr>
        <w:t>dofinansowanie zakupu windy został zakwalifikowany do realizacji</w:t>
      </w:r>
      <w:r w:rsidR="004855B4" w:rsidRPr="00EC250C">
        <w:rPr>
          <w:szCs w:val="24"/>
        </w:rPr>
        <w:t>, a ś</w:t>
      </w:r>
      <w:r w:rsidR="00522F28" w:rsidRPr="00EC250C">
        <w:rPr>
          <w:szCs w:val="24"/>
        </w:rPr>
        <w:t>rodki na pokrycie wkładu własnego</w:t>
      </w:r>
      <w:r w:rsidR="004855B4" w:rsidRPr="00EC250C">
        <w:rPr>
          <w:szCs w:val="24"/>
        </w:rPr>
        <w:t xml:space="preserve"> udało się zebrać w toku zbiórki zorganizowanej przez organizację pozarządową.</w:t>
      </w:r>
      <w:r w:rsidR="00992FD0" w:rsidRPr="00EC250C">
        <w:rPr>
          <w:szCs w:val="24"/>
        </w:rPr>
        <w:t xml:space="preserve"> </w:t>
      </w:r>
      <w:r w:rsidR="004855B4" w:rsidRPr="00EC250C">
        <w:rPr>
          <w:szCs w:val="24"/>
        </w:rPr>
        <w:t>P</w:t>
      </w:r>
      <w:r w:rsidR="00522F28" w:rsidRPr="00EC250C">
        <w:rPr>
          <w:szCs w:val="24"/>
        </w:rPr>
        <w:t>omoc finansową zadeklarował również proboszcz</w:t>
      </w:r>
      <w:r w:rsidR="00522F28" w:rsidRPr="00EC250C">
        <w:rPr>
          <w:rStyle w:val="Odwoanieprzypisudolnego"/>
          <w:szCs w:val="24"/>
        </w:rPr>
        <w:footnoteReference w:id="561"/>
      </w:r>
      <w:r w:rsidR="00522F28" w:rsidRPr="00EC250C">
        <w:rPr>
          <w:szCs w:val="24"/>
        </w:rPr>
        <w:t>.</w:t>
      </w:r>
    </w:p>
    <w:bookmarkEnd w:id="572"/>
    <w:p w14:paraId="6D005172" w14:textId="77777777" w:rsidR="005015F8" w:rsidRPr="00EC250C" w:rsidRDefault="00DB008E" w:rsidP="00EC250C">
      <w:pPr>
        <w:pStyle w:val="Nagwek5"/>
      </w:pPr>
      <w:r w:rsidRPr="00EC250C">
        <w:t xml:space="preserve">Problemy </w:t>
      </w:r>
      <w:r w:rsidR="005015F8" w:rsidRPr="00EC250C">
        <w:t>osób</w:t>
      </w:r>
      <w:r w:rsidR="00992FD0" w:rsidRPr="00EC250C">
        <w:t xml:space="preserve"> z </w:t>
      </w:r>
      <w:r w:rsidR="005015F8" w:rsidRPr="00EC250C">
        <w:t xml:space="preserve">niepełnosprawnościami </w:t>
      </w:r>
      <w:r w:rsidR="00992FD0" w:rsidRPr="00EC250C">
        <w:t>w </w:t>
      </w:r>
      <w:r w:rsidR="005015F8" w:rsidRPr="00EC250C">
        <w:t>instytucjach opieki</w:t>
      </w:r>
    </w:p>
    <w:p w14:paraId="4041786D" w14:textId="77777777" w:rsidR="005015F8" w:rsidRPr="00EC250C" w:rsidRDefault="005015F8" w:rsidP="00D131FA">
      <w:pPr>
        <w:pStyle w:val="Styl1"/>
      </w:pPr>
      <w:r w:rsidRPr="00EC250C">
        <w:t>Rząd nie zbiera danych</w:t>
      </w:r>
      <w:r w:rsidR="00992FD0" w:rsidRPr="00EC250C">
        <w:t xml:space="preserve"> o </w:t>
      </w:r>
      <w:r w:rsidRPr="00EC250C">
        <w:t>liczbie osób</w:t>
      </w:r>
      <w:r w:rsidR="00992FD0" w:rsidRPr="00EC250C">
        <w:t xml:space="preserve"> z </w:t>
      </w:r>
      <w:r w:rsidRPr="00EC250C">
        <w:t>niepełnosprawnościami umieszczonych</w:t>
      </w:r>
      <w:r w:rsidR="00992FD0" w:rsidRPr="00EC250C">
        <w:t xml:space="preserve"> w </w:t>
      </w:r>
      <w:r w:rsidRPr="00EC250C">
        <w:t>instytucjach bez ich zgody. Od 1 stycznia 2018</w:t>
      </w:r>
      <w:r w:rsidR="00C91F6E" w:rsidRPr="00EC250C">
        <w:t> r.</w:t>
      </w:r>
      <w:r w:rsidRPr="00EC250C">
        <w:t xml:space="preserve"> przyjęcie osoby ubezwłasnowolnionej za zgodą jej przedstawiciela ustawowego, ale bez jej zgody, wymaga orzeczenia sądu.</w:t>
      </w:r>
      <w:r w:rsidR="0058644B" w:rsidRPr="00EC250C">
        <w:t xml:space="preserve"> Zmiana ta jest zresztą efektem działań RPO</w:t>
      </w:r>
      <w:r w:rsidR="0058644B" w:rsidRPr="00EC250C">
        <w:rPr>
          <w:rStyle w:val="Odwoanieprzypisudolnego"/>
        </w:rPr>
        <w:footnoteReference w:id="562"/>
      </w:r>
      <w:r w:rsidR="0058644B" w:rsidRPr="00EC250C">
        <w:t>.</w:t>
      </w:r>
    </w:p>
    <w:p w14:paraId="2AB5CABC" w14:textId="77777777" w:rsidR="005015F8" w:rsidRPr="00EC250C" w:rsidRDefault="005015F8" w:rsidP="00D131FA">
      <w:pPr>
        <w:pStyle w:val="Styl1"/>
      </w:pPr>
      <w:r w:rsidRPr="00EC250C">
        <w:t>Nie są prowadzone systemowe działania</w:t>
      </w:r>
      <w:r w:rsidR="00992FD0" w:rsidRPr="00EC250C">
        <w:t xml:space="preserve"> w </w:t>
      </w:r>
      <w:r w:rsidRPr="00EC250C">
        <w:t>celu reintegracji</w:t>
      </w:r>
      <w:r w:rsidR="00992FD0" w:rsidRPr="00EC250C">
        <w:t xml:space="preserve"> w </w:t>
      </w:r>
      <w:r w:rsidRPr="00EC250C">
        <w:t>rodzinach</w:t>
      </w:r>
      <w:r w:rsidR="00992FD0" w:rsidRPr="00EC250C">
        <w:t xml:space="preserve"> i </w:t>
      </w:r>
      <w:r w:rsidRPr="00EC250C">
        <w:t>społecznościach osób umieszczonych</w:t>
      </w:r>
      <w:r w:rsidR="00992FD0" w:rsidRPr="00EC250C">
        <w:t xml:space="preserve"> w </w:t>
      </w:r>
      <w:r w:rsidRPr="00EC250C">
        <w:t>instytucjach bez ich zgody.</w:t>
      </w:r>
    </w:p>
    <w:p w14:paraId="1B2F5FAC" w14:textId="77777777" w:rsidR="005015F8" w:rsidRPr="00EC250C" w:rsidRDefault="00DB008E" w:rsidP="00D131FA">
      <w:pPr>
        <w:pStyle w:val="Styl1"/>
      </w:pPr>
      <w:r w:rsidRPr="00EC250C">
        <w:rPr>
          <w:rStyle w:val="Pogrubienie"/>
          <w:rFonts w:eastAsiaTheme="majorEastAsia"/>
          <w:b w:val="0"/>
          <w:bCs w:val="0"/>
        </w:rPr>
        <w:lastRenderedPageBreak/>
        <w:t>Osobna kwestia to sytuacja o</w:t>
      </w:r>
      <w:r w:rsidR="005015F8" w:rsidRPr="00EC250C">
        <w:rPr>
          <w:rStyle w:val="Pogrubienie"/>
          <w:rFonts w:eastAsiaTheme="majorEastAsia"/>
          <w:b w:val="0"/>
          <w:bCs w:val="0"/>
        </w:rPr>
        <w:t>s</w:t>
      </w:r>
      <w:r w:rsidRPr="00EC250C">
        <w:rPr>
          <w:rStyle w:val="Pogrubienie"/>
          <w:rFonts w:eastAsiaTheme="majorEastAsia" w:hint="eastAsia"/>
          <w:b w:val="0"/>
          <w:bCs w:val="0"/>
        </w:rPr>
        <w:t>ó</w:t>
      </w:r>
      <w:r w:rsidR="005015F8" w:rsidRPr="00EC250C">
        <w:rPr>
          <w:rStyle w:val="Pogrubienie"/>
          <w:rFonts w:eastAsiaTheme="majorEastAsia"/>
          <w:b w:val="0"/>
          <w:bCs w:val="0"/>
        </w:rPr>
        <w:t>b</w:t>
      </w:r>
      <w:r w:rsidR="00992FD0" w:rsidRPr="00EC250C">
        <w:rPr>
          <w:rStyle w:val="Pogrubienie"/>
          <w:rFonts w:eastAsiaTheme="majorEastAsia"/>
          <w:b w:val="0"/>
          <w:bCs w:val="0"/>
        </w:rPr>
        <w:t xml:space="preserve"> </w:t>
      </w:r>
      <w:r w:rsidR="005015F8" w:rsidRPr="00EC250C">
        <w:rPr>
          <w:rStyle w:val="Pogrubienie"/>
          <w:rFonts w:eastAsiaTheme="majorEastAsia"/>
          <w:b w:val="0"/>
          <w:bCs w:val="0"/>
        </w:rPr>
        <w:t>umieszczon</w:t>
      </w:r>
      <w:r w:rsidRPr="00EC250C">
        <w:rPr>
          <w:rStyle w:val="Pogrubienie"/>
          <w:rFonts w:eastAsiaTheme="majorEastAsia"/>
          <w:b w:val="0"/>
          <w:bCs w:val="0"/>
        </w:rPr>
        <w:t>ych</w:t>
      </w:r>
      <w:r w:rsidR="00992FD0" w:rsidRPr="00EC250C">
        <w:rPr>
          <w:rStyle w:val="Pogrubienie"/>
          <w:rFonts w:eastAsiaTheme="majorEastAsia"/>
          <w:b w:val="0"/>
          <w:bCs w:val="0"/>
        </w:rPr>
        <w:t xml:space="preserve"> w </w:t>
      </w:r>
      <w:r w:rsidR="005015F8" w:rsidRPr="00EC250C">
        <w:rPr>
          <w:rStyle w:val="Pogrubienie"/>
          <w:rFonts w:eastAsiaTheme="majorEastAsia"/>
          <w:b w:val="0"/>
          <w:bCs w:val="0"/>
        </w:rPr>
        <w:t>jednostkach penitencjarnych, przed umieszczeniem ich</w:t>
      </w:r>
      <w:r w:rsidR="00992FD0" w:rsidRPr="00EC250C">
        <w:rPr>
          <w:rStyle w:val="Pogrubienie"/>
          <w:rFonts w:eastAsiaTheme="majorEastAsia"/>
          <w:b w:val="0"/>
          <w:bCs w:val="0"/>
        </w:rPr>
        <w:t xml:space="preserve"> w </w:t>
      </w:r>
      <w:r w:rsidR="005015F8" w:rsidRPr="00EC250C">
        <w:rPr>
          <w:rStyle w:val="Pogrubienie"/>
          <w:rFonts w:eastAsiaTheme="majorEastAsia"/>
          <w:b w:val="0"/>
          <w:bCs w:val="0"/>
        </w:rPr>
        <w:t>szpitalu psychiatrycznym</w:t>
      </w:r>
      <w:r w:rsidR="001C78E1" w:rsidRPr="00EC250C">
        <w:rPr>
          <w:rStyle w:val="Pogrubienie"/>
          <w:rFonts w:eastAsiaTheme="majorEastAsia"/>
          <w:b w:val="0"/>
          <w:bCs w:val="0"/>
        </w:rPr>
        <w:t>.</w:t>
      </w:r>
    </w:p>
    <w:p w14:paraId="03760701" w14:textId="77777777" w:rsidR="005015F8" w:rsidRPr="00EC250C" w:rsidRDefault="00DB008E" w:rsidP="00EC250C">
      <w:pPr>
        <w:pStyle w:val="Nagwek5"/>
      </w:pPr>
      <w:r w:rsidRPr="00EC250C">
        <w:t xml:space="preserve">Kwestia </w:t>
      </w:r>
      <w:r w:rsidR="005015F8" w:rsidRPr="00EC250C">
        <w:t>monitoringu przemocy wobec osób</w:t>
      </w:r>
      <w:r w:rsidR="00992FD0" w:rsidRPr="00EC250C">
        <w:t xml:space="preserve"> z </w:t>
      </w:r>
      <w:r w:rsidR="005015F8" w:rsidRPr="00EC250C">
        <w:t>niepełnosprawnościami</w:t>
      </w:r>
      <w:r w:rsidR="00992FD0" w:rsidRPr="00EC250C">
        <w:t xml:space="preserve"> w </w:t>
      </w:r>
      <w:r w:rsidR="005015F8" w:rsidRPr="00EC250C">
        <w:t>szpitalach psychiatrycznych</w:t>
      </w:r>
      <w:r w:rsidR="00992FD0" w:rsidRPr="00EC250C">
        <w:t xml:space="preserve"> i </w:t>
      </w:r>
      <w:r w:rsidR="005015F8" w:rsidRPr="00EC250C">
        <w:t>DPS-ach</w:t>
      </w:r>
    </w:p>
    <w:p w14:paraId="61F769B5" w14:textId="77777777" w:rsidR="00C91F6E" w:rsidRPr="00EC250C" w:rsidRDefault="002B2386" w:rsidP="00D131FA">
      <w:pPr>
        <w:pStyle w:val="Styl1"/>
      </w:pPr>
      <w:r w:rsidRPr="00EC250C">
        <w:t>Konieczne jest zwiększenie ochrony przed przemocą</w:t>
      </w:r>
      <w:r w:rsidR="00992FD0" w:rsidRPr="00EC250C">
        <w:t xml:space="preserve"> w </w:t>
      </w:r>
      <w:r w:rsidRPr="00EC250C">
        <w:t>DPS</w:t>
      </w:r>
      <w:r w:rsidR="00992FD0" w:rsidRPr="00EC250C">
        <w:t xml:space="preserve"> i </w:t>
      </w:r>
      <w:r w:rsidRPr="00EC250C">
        <w:t>szpitalach psychiatrycznych</w:t>
      </w:r>
      <w:r w:rsidR="00674B0F" w:rsidRPr="00EC250C">
        <w:t>,</w:t>
      </w:r>
      <w:r w:rsidR="00992FD0" w:rsidRPr="00EC250C">
        <w:t xml:space="preserve"> i </w:t>
      </w:r>
      <w:r w:rsidRPr="00EC250C">
        <w:t>zapewnienie skutecznych środków ochrony prawnej przed przemocą instytucjonalną. Organy ścigania powinny mieć umiejętności identyfikowania</w:t>
      </w:r>
      <w:r w:rsidR="00992FD0" w:rsidRPr="00EC250C">
        <w:t xml:space="preserve"> i </w:t>
      </w:r>
      <w:r w:rsidRPr="00EC250C">
        <w:t>reagowania na przemoc</w:t>
      </w:r>
      <w:r w:rsidR="00992FD0" w:rsidRPr="00EC250C">
        <w:t xml:space="preserve"> w </w:t>
      </w:r>
      <w:r w:rsidRPr="00EC250C">
        <w:t>opiekuńczych jednostkach zamkniętych.</w:t>
      </w:r>
    </w:p>
    <w:p w14:paraId="6B9F355E" w14:textId="77777777" w:rsidR="005015F8" w:rsidRPr="00EC250C" w:rsidRDefault="008D205D" w:rsidP="00EC250C">
      <w:pPr>
        <w:pStyle w:val="Nagwek5"/>
      </w:pPr>
      <w:r w:rsidRPr="00EC250C">
        <w:t>D</w:t>
      </w:r>
      <w:r w:rsidR="005015F8" w:rsidRPr="00EC250C">
        <w:t>ostępnoś</w:t>
      </w:r>
      <w:r w:rsidRPr="00EC250C">
        <w:t>ć</w:t>
      </w:r>
      <w:r w:rsidR="005015F8" w:rsidRPr="00EC250C">
        <w:t xml:space="preserve"> urządzeń ułatwiających poruszanie się </w:t>
      </w:r>
    </w:p>
    <w:p w14:paraId="55CF5793" w14:textId="77777777" w:rsidR="005015F8" w:rsidRPr="00EC250C" w:rsidRDefault="008D205D" w:rsidP="00D131FA">
      <w:pPr>
        <w:pStyle w:val="Styl1"/>
        <w:ind w:firstLine="0"/>
      </w:pPr>
      <w:r w:rsidRPr="00EC250C">
        <w:t xml:space="preserve">Nie mamy </w:t>
      </w:r>
      <w:r w:rsidR="005015F8" w:rsidRPr="00EC250C">
        <w:t>standard</w:t>
      </w:r>
      <w:r w:rsidRPr="00EC250C">
        <w:t>ów</w:t>
      </w:r>
      <w:r w:rsidR="005015F8" w:rsidRPr="00EC250C">
        <w:t xml:space="preserve"> jakościowych</w:t>
      </w:r>
      <w:r w:rsidR="00992FD0" w:rsidRPr="00EC250C">
        <w:t xml:space="preserve"> w </w:t>
      </w:r>
      <w:r w:rsidR="005015F8" w:rsidRPr="00EC250C">
        <w:t>system</w:t>
      </w:r>
      <w:r w:rsidRPr="00EC250C">
        <w:t>ie</w:t>
      </w:r>
      <w:r w:rsidR="005015F8" w:rsidRPr="00EC250C">
        <w:t xml:space="preserve"> finasowania urządzeń ułatwiających poruszanie się osobom</w:t>
      </w:r>
      <w:r w:rsidR="00992FD0" w:rsidRPr="00EC250C">
        <w:t xml:space="preserve"> z </w:t>
      </w:r>
      <w:r w:rsidR="005015F8" w:rsidRPr="00EC250C">
        <w:t>niepełnosprawnościami</w:t>
      </w:r>
      <w:r w:rsidRPr="00EC250C">
        <w:t>. Dofinansowanie jest niewystarczające</w:t>
      </w:r>
      <w:r w:rsidR="00992FD0" w:rsidRPr="00EC250C">
        <w:t xml:space="preserve"> i </w:t>
      </w:r>
      <w:r w:rsidRPr="00EC250C">
        <w:t xml:space="preserve">zależy od kryterium dochodowego. Nie mamy programu </w:t>
      </w:r>
      <w:r w:rsidR="005015F8" w:rsidRPr="00EC250C">
        <w:t>dofinansowania zakupu indywidualnych środków transportu</w:t>
      </w:r>
      <w:r w:rsidR="00584260" w:rsidRPr="00EC250C">
        <w:t>.</w:t>
      </w:r>
    </w:p>
    <w:p w14:paraId="0E5F8922" w14:textId="77777777" w:rsidR="008916B3" w:rsidRPr="00EC250C" w:rsidRDefault="008916B3" w:rsidP="00EC250C">
      <w:pPr>
        <w:pStyle w:val="Nagwek5"/>
      </w:pPr>
      <w:r w:rsidRPr="00EC250C">
        <w:t>Kwestia języka migowego i technologii wspomagających</w:t>
      </w:r>
    </w:p>
    <w:p w14:paraId="021C91F5" w14:textId="77777777" w:rsidR="008916B3" w:rsidRPr="00EC250C" w:rsidRDefault="008916B3" w:rsidP="00D131FA">
      <w:pPr>
        <w:pStyle w:val="Styl1"/>
        <w:ind w:firstLine="0"/>
        <w:rPr>
          <w:spacing w:val="0"/>
        </w:rPr>
      </w:pPr>
      <w:r w:rsidRPr="00EC250C">
        <w:t>Trzeba zmienić ustawę o języku migowym</w:t>
      </w:r>
      <w:r w:rsidRPr="00EC250C">
        <w:rPr>
          <w:rStyle w:val="Odwoanieprzypisudolnego"/>
          <w:bCs/>
          <w:iCs/>
        </w:rPr>
        <w:footnoteReference w:id="563"/>
      </w:r>
      <w:r w:rsidRPr="00EC250C">
        <w:t>, tak aby wszystkie instytucje finansowane ze środków publicznych (w tym przychodnie, szpitale i sądy) musiały zapewniać tłumacza języka migowego</w:t>
      </w:r>
      <w:r w:rsidRPr="00EC250C">
        <w:rPr>
          <w:rStyle w:val="Odwoanieprzypisudolnego"/>
          <w:bCs/>
          <w:iCs/>
        </w:rPr>
        <w:footnoteReference w:id="564"/>
      </w:r>
      <w:r w:rsidRPr="00EC250C">
        <w:t>.</w:t>
      </w:r>
    </w:p>
    <w:p w14:paraId="1D1804C0" w14:textId="77777777" w:rsidR="008916B3" w:rsidRPr="00EC250C" w:rsidRDefault="008916B3" w:rsidP="00EC250C">
      <w:pPr>
        <w:pStyle w:val="Nagwek5"/>
      </w:pPr>
      <w:r w:rsidRPr="00EC250C">
        <w:t>Niedostępność stron internetowych instytucji publicznych oraz bankomatów</w:t>
      </w:r>
    </w:p>
    <w:p w14:paraId="3D7AFBB1" w14:textId="77777777" w:rsidR="008916B3" w:rsidRPr="00EC250C" w:rsidRDefault="008916B3" w:rsidP="00D131FA">
      <w:pPr>
        <w:pStyle w:val="Styl1"/>
        <w:ind w:firstLine="0"/>
      </w:pPr>
      <w:r w:rsidRPr="00EC250C">
        <w:t>Wskaźnik dostępności publicznych stron internetowych wciąż kształtuje się na poziomie 40-50%.</w:t>
      </w:r>
    </w:p>
    <w:p w14:paraId="321679C9" w14:textId="77777777" w:rsidR="005015F8" w:rsidRPr="00EC250C" w:rsidRDefault="005015F8" w:rsidP="00D131FA">
      <w:pPr>
        <w:pStyle w:val="Styl1"/>
      </w:pPr>
      <w:r w:rsidRPr="00EC250C">
        <w:t>Urzędy nie są obowiązane do tworzenia tekstów łatwych do czytania. Żaden akt prawny, ani informacja publiczna</w:t>
      </w:r>
      <w:r w:rsidR="00992FD0" w:rsidRPr="00EC250C">
        <w:t xml:space="preserve"> w </w:t>
      </w:r>
      <w:r w:rsidRPr="00EC250C">
        <w:t>Polsce nie jest przygotowywana</w:t>
      </w:r>
      <w:r w:rsidR="00992FD0" w:rsidRPr="00EC250C">
        <w:t xml:space="preserve"> w </w:t>
      </w:r>
      <w:r w:rsidRPr="00EC250C">
        <w:t>takim formacie.</w:t>
      </w:r>
    </w:p>
    <w:p w14:paraId="234AEE9C" w14:textId="77777777" w:rsidR="005015F8" w:rsidRPr="00EC250C" w:rsidRDefault="008D205D" w:rsidP="00EC250C">
      <w:pPr>
        <w:pStyle w:val="Nagwek5"/>
      </w:pPr>
      <w:bookmarkStart w:id="573" w:name="_Hlk10544172"/>
      <w:r w:rsidRPr="00EC250C">
        <w:t>Z</w:t>
      </w:r>
      <w:r w:rsidR="005015F8" w:rsidRPr="00EC250C">
        <w:t>akaz zawierania małżeństw przez osoby</w:t>
      </w:r>
      <w:r w:rsidR="00992FD0" w:rsidRPr="00EC250C">
        <w:t xml:space="preserve"> z </w:t>
      </w:r>
      <w:r w:rsidR="005015F8" w:rsidRPr="00EC250C">
        <w:t>niepełnosprawnością intelektualną</w:t>
      </w:r>
      <w:r w:rsidR="00051900" w:rsidRPr="00EC250C">
        <w:t xml:space="preserve"> </w:t>
      </w:r>
    </w:p>
    <w:p w14:paraId="0CB0A14E" w14:textId="77777777" w:rsidR="005015F8" w:rsidRPr="00EC250C" w:rsidRDefault="005015F8" w:rsidP="00D131FA">
      <w:pPr>
        <w:pStyle w:val="Styl1"/>
        <w:ind w:firstLine="0"/>
      </w:pPr>
      <w:r w:rsidRPr="00EC250C">
        <w:t xml:space="preserve">Od momentu ratyfikacji Konwencji jedynie RPO </w:t>
      </w:r>
      <w:r w:rsidR="00584260" w:rsidRPr="00EC250C">
        <w:t>zabiegał</w:t>
      </w:r>
      <w:r w:rsidR="00992FD0" w:rsidRPr="00EC250C">
        <w:t xml:space="preserve"> o </w:t>
      </w:r>
      <w:r w:rsidR="00584260" w:rsidRPr="00EC250C">
        <w:t>wyeliminowanie</w:t>
      </w:r>
      <w:r w:rsidR="00992FD0" w:rsidRPr="00EC250C">
        <w:t xml:space="preserve"> z </w:t>
      </w:r>
      <w:r w:rsidRPr="00EC250C">
        <w:t>porządku prawnego zapisu zabraniającego zawierania małżeństw osobom</w:t>
      </w:r>
      <w:r w:rsidR="00992FD0" w:rsidRPr="00EC250C">
        <w:t xml:space="preserve"> z </w:t>
      </w:r>
      <w:r w:rsidRPr="00EC250C">
        <w:t xml:space="preserve">niepełnosprawnością intelektualną lub psychiczną. </w:t>
      </w:r>
      <w:r w:rsidR="002E296A" w:rsidRPr="00EC250C">
        <w:t>Trybunał Konstytucyjny rozpatrując wniosek RPO uznał jednak w 2016 r,, że zakaz jest zgodny z Konstytucją</w:t>
      </w:r>
      <w:r w:rsidR="002E296A" w:rsidRPr="00EC250C">
        <w:rPr>
          <w:rStyle w:val="Odwoanieprzypisudolnego"/>
        </w:rPr>
        <w:footnoteReference w:id="565"/>
      </w:r>
      <w:r w:rsidR="002E296A" w:rsidRPr="00EC250C">
        <w:t xml:space="preserve">. </w:t>
      </w:r>
      <w:r w:rsidRPr="00EC250C">
        <w:t xml:space="preserve">Rząd nie prowadzi żadnych </w:t>
      </w:r>
      <w:r w:rsidR="0058644B" w:rsidRPr="00EC250C">
        <w:t>prac.</w:t>
      </w:r>
    </w:p>
    <w:bookmarkEnd w:id="573"/>
    <w:p w14:paraId="6F28DD83" w14:textId="77777777" w:rsidR="005015F8" w:rsidRPr="00EC250C" w:rsidRDefault="008D205D" w:rsidP="00EC250C">
      <w:pPr>
        <w:pStyle w:val="Nagwek5"/>
      </w:pPr>
      <w:r w:rsidRPr="00EC250C">
        <w:lastRenderedPageBreak/>
        <w:t xml:space="preserve">Brak wsparcia </w:t>
      </w:r>
      <w:r w:rsidR="005015F8" w:rsidRPr="00EC250C">
        <w:t>dla rodziców</w:t>
      </w:r>
      <w:r w:rsidR="00992FD0" w:rsidRPr="00EC250C">
        <w:t xml:space="preserve"> z </w:t>
      </w:r>
      <w:r w:rsidR="005015F8" w:rsidRPr="00EC250C">
        <w:t>niepełnosprawnościami</w:t>
      </w:r>
    </w:p>
    <w:p w14:paraId="0DC6E2EE" w14:textId="77777777" w:rsidR="005015F8" w:rsidRPr="00EC250C" w:rsidRDefault="005015F8" w:rsidP="00D131FA">
      <w:pPr>
        <w:pStyle w:val="Styl1"/>
        <w:ind w:firstLine="0"/>
      </w:pPr>
      <w:r w:rsidRPr="00EC250C">
        <w:t>W Polsce nie ma systemu wsparcia osób</w:t>
      </w:r>
      <w:r w:rsidR="00992FD0" w:rsidRPr="00EC250C">
        <w:t xml:space="preserve"> z </w:t>
      </w:r>
      <w:r w:rsidRPr="00EC250C">
        <w:t>niepełnosprawnościami, które są rodzicami. Często konkretna pomoc staje się ingerencją</w:t>
      </w:r>
      <w:r w:rsidR="00992FD0" w:rsidRPr="00EC250C">
        <w:t xml:space="preserve"> w </w:t>
      </w:r>
      <w:r w:rsidRPr="00EC250C">
        <w:t>ich życie rodzinne. Są przypadki ograniczania władzy rodzicielskiej osobom</w:t>
      </w:r>
      <w:r w:rsidR="00992FD0" w:rsidRPr="00EC250C">
        <w:t xml:space="preserve"> z </w:t>
      </w:r>
      <w:r w:rsidRPr="00EC250C">
        <w:t>niepełnosprawnością intelektualną, czy osobom głuchym ze względu na ich niepełnosprawność</w:t>
      </w:r>
      <w:r w:rsidR="00992FD0" w:rsidRPr="00EC250C">
        <w:t xml:space="preserve"> i </w:t>
      </w:r>
      <w:r w:rsidRPr="00EC250C">
        <w:t>brak odpowiedniego wsparcia.</w:t>
      </w:r>
    </w:p>
    <w:p w14:paraId="21FC6D26" w14:textId="77777777" w:rsidR="006D10BF" w:rsidRPr="00EC250C" w:rsidRDefault="001C264A" w:rsidP="00EC250C">
      <w:pPr>
        <w:pStyle w:val="Nagwek8"/>
        <w:rPr>
          <w:spacing w:val="0"/>
        </w:rPr>
      </w:pPr>
      <w:r w:rsidRPr="00EC250C">
        <w:t>R</w:t>
      </w:r>
      <w:r w:rsidR="006D10BF" w:rsidRPr="00EC250C">
        <w:t>odzic</w:t>
      </w:r>
      <w:r w:rsidRPr="00EC250C">
        <w:t>e</w:t>
      </w:r>
      <w:r w:rsidR="00992FD0" w:rsidRPr="00EC250C">
        <w:t xml:space="preserve"> z </w:t>
      </w:r>
      <w:r w:rsidR="006D10BF" w:rsidRPr="00EC250C">
        <w:t>niepełnosprawności</w:t>
      </w:r>
      <w:r w:rsidRPr="00EC250C">
        <w:t>ą</w:t>
      </w:r>
      <w:r w:rsidR="006D10BF" w:rsidRPr="00EC250C">
        <w:t>. Dyskusja na Kongresie Praw Rodzicielskich</w:t>
      </w:r>
    </w:p>
    <w:p w14:paraId="6BF4167B" w14:textId="77777777" w:rsidR="00C91F6E" w:rsidRPr="00EC250C" w:rsidRDefault="006D10BF" w:rsidP="00D131FA">
      <w:pPr>
        <w:pStyle w:val="Styl2"/>
        <w:rPr>
          <w:szCs w:val="24"/>
        </w:rPr>
      </w:pPr>
      <w:r w:rsidRPr="00EC250C">
        <w:rPr>
          <w:szCs w:val="24"/>
        </w:rPr>
        <w:t>Sytuacji rodziców</w:t>
      </w:r>
      <w:r w:rsidR="00992FD0" w:rsidRPr="00EC250C">
        <w:rPr>
          <w:szCs w:val="24"/>
        </w:rPr>
        <w:t xml:space="preserve"> z </w:t>
      </w:r>
      <w:r w:rsidRPr="00EC250C">
        <w:rPr>
          <w:szCs w:val="24"/>
        </w:rPr>
        <w:t>niepełnosprawnościami poświęcony był jeden</w:t>
      </w:r>
      <w:r w:rsidR="00992FD0" w:rsidRPr="00EC250C">
        <w:rPr>
          <w:szCs w:val="24"/>
        </w:rPr>
        <w:t xml:space="preserve"> z </w:t>
      </w:r>
      <w:r w:rsidRPr="00EC250C">
        <w:rPr>
          <w:szCs w:val="24"/>
        </w:rPr>
        <w:t>paneli Kongresu Praw Rodzicielskich zorganizowanego przez RPO</w:t>
      </w:r>
      <w:r w:rsidR="00992FD0" w:rsidRPr="00EC250C">
        <w:rPr>
          <w:szCs w:val="24"/>
        </w:rPr>
        <w:t xml:space="preserve"> w </w:t>
      </w:r>
      <w:r w:rsidRPr="00EC250C">
        <w:rPr>
          <w:szCs w:val="24"/>
        </w:rPr>
        <w:t>czerwcu 2018</w:t>
      </w:r>
      <w:r w:rsidR="00C91F6E" w:rsidRPr="00EC250C">
        <w:rPr>
          <w:szCs w:val="24"/>
        </w:rPr>
        <w:t> </w:t>
      </w:r>
      <w:r w:rsidR="00C91F6E" w:rsidRPr="00EC250C">
        <w:rPr>
          <w:rFonts w:hint="eastAsia"/>
          <w:szCs w:val="24"/>
        </w:rPr>
        <w:t>r.</w:t>
      </w:r>
    </w:p>
    <w:p w14:paraId="0E0F580F" w14:textId="77777777" w:rsidR="00C91F6E" w:rsidRPr="00EC250C" w:rsidRDefault="006D10BF" w:rsidP="00D131FA">
      <w:pPr>
        <w:pStyle w:val="Styl2"/>
        <w:rPr>
          <w:szCs w:val="24"/>
        </w:rPr>
      </w:pPr>
      <w:r w:rsidRPr="00EC250C">
        <w:rPr>
          <w:szCs w:val="24"/>
        </w:rPr>
        <w:t>Nie ma całościowego systemu wsparcia osób</w:t>
      </w:r>
      <w:r w:rsidR="00992FD0" w:rsidRPr="00EC250C">
        <w:rPr>
          <w:szCs w:val="24"/>
        </w:rPr>
        <w:t xml:space="preserve"> z </w:t>
      </w:r>
      <w:r w:rsidRPr="00EC250C">
        <w:rPr>
          <w:szCs w:val="24"/>
        </w:rPr>
        <w:t>niepełnosprawnościami, które są rodzicami. Brakuje też systemu edukacji, dotyczącej również tego, jak osoba</w:t>
      </w:r>
      <w:r w:rsidR="00992FD0" w:rsidRPr="00EC250C">
        <w:rPr>
          <w:szCs w:val="24"/>
        </w:rPr>
        <w:t xml:space="preserve"> z </w:t>
      </w:r>
      <w:r w:rsidRPr="00EC250C">
        <w:rPr>
          <w:szCs w:val="24"/>
        </w:rPr>
        <w:t>niepełnosprawnością</w:t>
      </w:r>
      <w:r w:rsidR="00CC4D88" w:rsidRPr="00EC250C">
        <w:rPr>
          <w:szCs w:val="24"/>
        </w:rPr>
        <w:t xml:space="preserve"> </w:t>
      </w:r>
      <w:r w:rsidRPr="00EC250C">
        <w:rPr>
          <w:szCs w:val="24"/>
        </w:rPr>
        <w:t>ma się przygotować do rodzicielstwa. Z badań wynika, że na pomoc instytucjonalną liczy 30 proc. rodziców</w:t>
      </w:r>
      <w:r w:rsidR="00992FD0" w:rsidRPr="00EC250C">
        <w:rPr>
          <w:szCs w:val="24"/>
        </w:rPr>
        <w:t xml:space="preserve"> z </w:t>
      </w:r>
      <w:r w:rsidRPr="00EC250C">
        <w:rPr>
          <w:szCs w:val="24"/>
        </w:rPr>
        <w:t>niepełnosprawnościami,</w:t>
      </w:r>
      <w:r w:rsidR="00992FD0" w:rsidRPr="00EC250C">
        <w:rPr>
          <w:szCs w:val="24"/>
        </w:rPr>
        <w:t xml:space="preserve"> a </w:t>
      </w:r>
      <w:r w:rsidRPr="00EC250C">
        <w:rPr>
          <w:szCs w:val="24"/>
        </w:rPr>
        <w:t>na pomoc rodziny</w:t>
      </w:r>
      <w:r w:rsidR="00026572" w:rsidRPr="00EC250C">
        <w:rPr>
          <w:szCs w:val="24"/>
        </w:rPr>
        <w:t xml:space="preserve"> – </w:t>
      </w:r>
      <w:r w:rsidRPr="00EC250C">
        <w:rPr>
          <w:szCs w:val="24"/>
        </w:rPr>
        <w:t>90 proc. Uczestnicy panelu zgodzili się, że</w:t>
      </w:r>
      <w:r w:rsidR="00275F4E" w:rsidRPr="00EC250C">
        <w:rPr>
          <w:szCs w:val="24"/>
        </w:rPr>
        <w:t>:</w:t>
      </w:r>
    </w:p>
    <w:p w14:paraId="7DB1F629" w14:textId="77777777" w:rsidR="006D10BF" w:rsidRPr="00EC250C" w:rsidRDefault="00732AD3" w:rsidP="006C70B7">
      <w:pPr>
        <w:pStyle w:val="Styl2"/>
        <w:numPr>
          <w:ilvl w:val="0"/>
          <w:numId w:val="61"/>
        </w:numPr>
        <w:rPr>
          <w:szCs w:val="24"/>
        </w:rPr>
      </w:pPr>
      <w:r w:rsidRPr="00EC250C">
        <w:rPr>
          <w:szCs w:val="24"/>
        </w:rPr>
        <w:t>r</w:t>
      </w:r>
      <w:r w:rsidR="006D10BF" w:rsidRPr="00EC250C">
        <w:rPr>
          <w:szCs w:val="24"/>
        </w:rPr>
        <w:t>odzice</w:t>
      </w:r>
      <w:r w:rsidR="00992FD0" w:rsidRPr="00EC250C">
        <w:rPr>
          <w:szCs w:val="24"/>
        </w:rPr>
        <w:t xml:space="preserve"> z </w:t>
      </w:r>
      <w:r w:rsidR="006D10BF" w:rsidRPr="00EC250C">
        <w:rPr>
          <w:szCs w:val="24"/>
        </w:rPr>
        <w:t>niepełnosprawnościami (a jest ich</w:t>
      </w:r>
      <w:r w:rsidR="00992FD0" w:rsidRPr="00EC250C">
        <w:rPr>
          <w:szCs w:val="24"/>
        </w:rPr>
        <w:t xml:space="preserve"> w </w:t>
      </w:r>
      <w:r w:rsidR="006D10BF" w:rsidRPr="00EC250C">
        <w:rPr>
          <w:szCs w:val="24"/>
        </w:rPr>
        <w:t>Polsce ponad 300 tys.) nie mogą polegać wyłącznie na wsparciu bliskich. Pomoc musi być systemowa, dostosowana do indywidualnych potrzeb – tak by rodzice</w:t>
      </w:r>
      <w:r w:rsidR="00992FD0" w:rsidRPr="00EC250C">
        <w:rPr>
          <w:szCs w:val="24"/>
        </w:rPr>
        <w:t xml:space="preserve"> z </w:t>
      </w:r>
      <w:r w:rsidR="006D10BF" w:rsidRPr="00EC250C">
        <w:rPr>
          <w:szCs w:val="24"/>
        </w:rPr>
        <w:t>niepełnosprawnościami mogli realizować swe funkcje rodzicielskie, bo</w:t>
      </w:r>
      <w:r w:rsidR="00E21466" w:rsidRPr="00EC250C">
        <w:rPr>
          <w:szCs w:val="24"/>
        </w:rPr>
        <w:t xml:space="preserve"> takie</w:t>
      </w:r>
      <w:r w:rsidR="006D10BF" w:rsidRPr="00EC250C">
        <w:rPr>
          <w:szCs w:val="24"/>
        </w:rPr>
        <w:t xml:space="preserve"> jest ich prawo.</w:t>
      </w:r>
      <w:r w:rsidR="00CC4D88" w:rsidRPr="00EC250C">
        <w:rPr>
          <w:szCs w:val="24"/>
        </w:rPr>
        <w:t xml:space="preserve"> </w:t>
      </w:r>
      <w:r w:rsidR="006D10BF" w:rsidRPr="00EC250C">
        <w:rPr>
          <w:szCs w:val="24"/>
        </w:rPr>
        <w:t>Sytuacja,</w:t>
      </w:r>
      <w:r w:rsidR="00992FD0" w:rsidRPr="00EC250C">
        <w:rPr>
          <w:szCs w:val="24"/>
        </w:rPr>
        <w:t xml:space="preserve"> w </w:t>
      </w:r>
      <w:r w:rsidR="006D10BF" w:rsidRPr="00EC250C">
        <w:rPr>
          <w:szCs w:val="24"/>
        </w:rPr>
        <w:t>której sądy stają przed dylematem – odebrać dziecko rodzicom, bo nikt im nie pomaga, czy zostawić</w:t>
      </w:r>
      <w:r w:rsidR="00992FD0" w:rsidRPr="00EC250C">
        <w:rPr>
          <w:szCs w:val="24"/>
        </w:rPr>
        <w:t xml:space="preserve"> i </w:t>
      </w:r>
      <w:r w:rsidR="006D10BF" w:rsidRPr="00EC250C">
        <w:rPr>
          <w:szCs w:val="24"/>
        </w:rPr>
        <w:t>ryzykować, jest niedopuszczalna</w:t>
      </w:r>
      <w:r w:rsidRPr="00EC250C">
        <w:rPr>
          <w:szCs w:val="24"/>
        </w:rPr>
        <w:t>;</w:t>
      </w:r>
    </w:p>
    <w:p w14:paraId="2F3D845F" w14:textId="77777777" w:rsidR="006D10BF" w:rsidRPr="00EC250C" w:rsidRDefault="006D10BF" w:rsidP="006C70B7">
      <w:pPr>
        <w:pStyle w:val="Styl2"/>
        <w:numPr>
          <w:ilvl w:val="0"/>
          <w:numId w:val="61"/>
        </w:numPr>
        <w:rPr>
          <w:szCs w:val="24"/>
        </w:rPr>
      </w:pPr>
      <w:r w:rsidRPr="00EC250C">
        <w:rPr>
          <w:szCs w:val="24"/>
        </w:rPr>
        <w:t xml:space="preserve">Polska musi </w:t>
      </w:r>
      <w:r w:rsidRPr="00EC250C">
        <w:rPr>
          <w:szCs w:val="24"/>
          <w:bdr w:val="none" w:sz="0" w:space="0" w:color="auto" w:frame="1"/>
        </w:rPr>
        <w:t>bezwzględnie</w:t>
      </w:r>
      <w:r w:rsidR="00E21466" w:rsidRPr="00EC250C">
        <w:rPr>
          <w:szCs w:val="24"/>
          <w:bdr w:val="none" w:sz="0" w:space="0" w:color="auto" w:frame="1"/>
        </w:rPr>
        <w:t xml:space="preserve"> </w:t>
      </w:r>
      <w:r w:rsidRPr="00EC250C">
        <w:rPr>
          <w:szCs w:val="24"/>
        </w:rPr>
        <w:t>dostosować</w:t>
      </w:r>
      <w:r w:rsidR="001423ED" w:rsidRPr="00EC250C">
        <w:rPr>
          <w:szCs w:val="24"/>
        </w:rPr>
        <w:t xml:space="preserve"> </w:t>
      </w:r>
      <w:r w:rsidR="002D5F22" w:rsidRPr="00EC250C">
        <w:rPr>
          <w:szCs w:val="24"/>
        </w:rPr>
        <w:t>system</w:t>
      </w:r>
      <w:r w:rsidRPr="00EC250C">
        <w:rPr>
          <w:szCs w:val="24"/>
        </w:rPr>
        <w:t xml:space="preserve"> do standardów międzynarodowych – przestać traktować osoby</w:t>
      </w:r>
      <w:r w:rsidR="00992FD0" w:rsidRPr="00EC250C">
        <w:rPr>
          <w:szCs w:val="24"/>
        </w:rPr>
        <w:t xml:space="preserve"> z </w:t>
      </w:r>
      <w:r w:rsidRPr="00EC250C">
        <w:rPr>
          <w:szCs w:val="24"/>
        </w:rPr>
        <w:t>niepełnosprawnością przedmiotowo (jako „niesamodzielne” albo „niezdolne do pracy”, „niezdolne do bycia rodzicami”). Osoby</w:t>
      </w:r>
      <w:r w:rsidR="00992FD0" w:rsidRPr="00EC250C">
        <w:rPr>
          <w:szCs w:val="24"/>
        </w:rPr>
        <w:t xml:space="preserve"> z </w:t>
      </w:r>
      <w:r w:rsidRPr="00EC250C">
        <w:rPr>
          <w:szCs w:val="24"/>
        </w:rPr>
        <w:t>niepełnosprawnościami po prostu wymagają wsparcia</w:t>
      </w:r>
      <w:r w:rsidR="00992FD0" w:rsidRPr="00EC250C">
        <w:rPr>
          <w:szCs w:val="24"/>
        </w:rPr>
        <w:t xml:space="preserve"> w </w:t>
      </w:r>
      <w:r w:rsidRPr="00EC250C">
        <w:rPr>
          <w:szCs w:val="24"/>
        </w:rPr>
        <w:t>samodzielnym życiu. Trzeba umieć ustalić, jakiego,</w:t>
      </w:r>
      <w:r w:rsidR="00992FD0" w:rsidRPr="00EC250C">
        <w:rPr>
          <w:szCs w:val="24"/>
        </w:rPr>
        <w:t xml:space="preserve"> i </w:t>
      </w:r>
      <w:r w:rsidRPr="00EC250C">
        <w:rPr>
          <w:szCs w:val="24"/>
        </w:rPr>
        <w:t>to zapewniać. To</w:t>
      </w:r>
      <w:r w:rsidR="00CC4D88" w:rsidRPr="00EC250C">
        <w:rPr>
          <w:szCs w:val="24"/>
        </w:rPr>
        <w:t xml:space="preserve"> </w:t>
      </w:r>
      <w:r w:rsidRPr="00EC250C">
        <w:rPr>
          <w:szCs w:val="24"/>
        </w:rPr>
        <w:t>zadanie państwa</w:t>
      </w:r>
      <w:r w:rsidRPr="00EC250C">
        <w:rPr>
          <w:rStyle w:val="Odwoanieprzypisudolnego"/>
          <w:szCs w:val="24"/>
        </w:rPr>
        <w:footnoteReference w:id="566"/>
      </w:r>
      <w:r w:rsidRPr="00EC250C">
        <w:rPr>
          <w:szCs w:val="24"/>
        </w:rPr>
        <w:t>.</w:t>
      </w:r>
    </w:p>
    <w:p w14:paraId="660C058E" w14:textId="77777777" w:rsidR="005015F8" w:rsidRPr="00EC250C" w:rsidRDefault="008D205D" w:rsidP="00EC250C">
      <w:pPr>
        <w:pStyle w:val="Nagwek5"/>
      </w:pPr>
      <w:r w:rsidRPr="00EC250C">
        <w:t xml:space="preserve">Kwestia </w:t>
      </w:r>
      <w:r w:rsidR="005015F8" w:rsidRPr="00EC250C">
        <w:t>tego, czy rodzic opiekujący się dzieckiem, który otrzymał zasiłek związany</w:t>
      </w:r>
      <w:r w:rsidR="00992FD0" w:rsidRPr="00EC250C">
        <w:t xml:space="preserve"> z </w:t>
      </w:r>
      <w:r w:rsidR="005015F8" w:rsidRPr="00EC250C">
        <w:t>niepełnosprawnością, może pracować</w:t>
      </w:r>
    </w:p>
    <w:p w14:paraId="763DF8A4" w14:textId="77777777" w:rsidR="005015F8" w:rsidRPr="00EC250C" w:rsidRDefault="005015F8" w:rsidP="00D131FA">
      <w:pPr>
        <w:pStyle w:val="Styl1"/>
        <w:ind w:firstLine="0"/>
      </w:pPr>
      <w:r w:rsidRPr="00EC250C">
        <w:t>Są trzy rodzaje świadczeń dla rodziców dzieci</w:t>
      </w:r>
      <w:r w:rsidR="00992FD0" w:rsidRPr="00EC250C">
        <w:t xml:space="preserve"> z </w:t>
      </w:r>
      <w:r w:rsidRPr="00EC250C">
        <w:t>niepełnosprawnościami oraz dorosłych osób</w:t>
      </w:r>
      <w:r w:rsidR="00992FD0" w:rsidRPr="00EC250C">
        <w:t xml:space="preserve"> z </w:t>
      </w:r>
      <w:r w:rsidRPr="00EC250C">
        <w:t>niepełnosprawnościami, zróżnicowane pod względem wysokości. Świadczeń tych nie można łączyć</w:t>
      </w:r>
      <w:r w:rsidR="00992FD0" w:rsidRPr="00EC250C">
        <w:t xml:space="preserve"> z </w:t>
      </w:r>
      <w:r w:rsidRPr="00EC250C">
        <w:t>pracą zawodową.</w:t>
      </w:r>
    </w:p>
    <w:p w14:paraId="4278A689" w14:textId="77777777" w:rsidR="005015F8" w:rsidRPr="00EC250C" w:rsidRDefault="008D205D" w:rsidP="00EC250C">
      <w:pPr>
        <w:pStyle w:val="Nagwek5"/>
      </w:pPr>
      <w:r w:rsidRPr="00EC250C">
        <w:t xml:space="preserve">Problem </w:t>
      </w:r>
      <w:r w:rsidR="005015F8" w:rsidRPr="00EC250C">
        <w:t>uczniów</w:t>
      </w:r>
      <w:r w:rsidR="00992FD0" w:rsidRPr="00EC250C">
        <w:t xml:space="preserve"> z </w:t>
      </w:r>
      <w:r w:rsidR="005015F8" w:rsidRPr="00EC250C">
        <w:t>niepełnosprawnościami</w:t>
      </w:r>
      <w:r w:rsidR="00992FD0" w:rsidRPr="00EC250C">
        <w:t xml:space="preserve"> i </w:t>
      </w:r>
      <w:r w:rsidRPr="00EC250C">
        <w:t xml:space="preserve">prawa do </w:t>
      </w:r>
      <w:r w:rsidR="005015F8" w:rsidRPr="00EC250C">
        <w:t>edukacji włączającej</w:t>
      </w:r>
    </w:p>
    <w:p w14:paraId="2999B275" w14:textId="77777777" w:rsidR="005015F8" w:rsidRPr="00EC250C" w:rsidRDefault="005015F8" w:rsidP="00D131FA">
      <w:pPr>
        <w:pStyle w:val="Styl1"/>
        <w:ind w:firstLine="0"/>
      </w:pPr>
      <w:r w:rsidRPr="00EC250C">
        <w:t>Brakuje nam mechanizmów ograniczających przechodzenie uczniów –</w:t>
      </w:r>
      <w:r w:rsidR="00992FD0" w:rsidRPr="00EC250C">
        <w:t xml:space="preserve"> w </w:t>
      </w:r>
      <w:r w:rsidRPr="00EC250C">
        <w:t>miarę postępu edukacji</w:t>
      </w:r>
      <w:r w:rsidR="00026572" w:rsidRPr="00EC250C">
        <w:t xml:space="preserve"> – </w:t>
      </w:r>
      <w:r w:rsidR="00992FD0" w:rsidRPr="00EC250C">
        <w:t>z </w:t>
      </w:r>
      <w:r w:rsidRPr="00EC250C">
        <w:t>przedszkoli</w:t>
      </w:r>
      <w:r w:rsidR="00992FD0" w:rsidRPr="00EC250C">
        <w:t xml:space="preserve"> i </w:t>
      </w:r>
      <w:r w:rsidRPr="00EC250C">
        <w:t>szkół ogólnodostępnych do szkół specjalnych. Słabo wspieramy pozostawanie</w:t>
      </w:r>
      <w:r w:rsidR="00992FD0" w:rsidRPr="00EC250C">
        <w:t xml:space="preserve"> w </w:t>
      </w:r>
      <w:r w:rsidRPr="00EC250C">
        <w:t>ogólnodostępnych formach kształcenia.</w:t>
      </w:r>
    </w:p>
    <w:p w14:paraId="0860006F" w14:textId="77777777" w:rsidR="005015F8" w:rsidRPr="00EC250C" w:rsidRDefault="008D205D" w:rsidP="00EC250C">
      <w:pPr>
        <w:pStyle w:val="Nagwek5"/>
      </w:pPr>
      <w:r w:rsidRPr="00EC250C">
        <w:lastRenderedPageBreak/>
        <w:t>P</w:t>
      </w:r>
      <w:r w:rsidR="005015F8" w:rsidRPr="00EC250C">
        <w:t>raw</w:t>
      </w:r>
      <w:r w:rsidRPr="00EC250C">
        <w:t>a</w:t>
      </w:r>
      <w:r w:rsidR="005015F8" w:rsidRPr="00EC250C">
        <w:t xml:space="preserve"> reprodukcyjn</w:t>
      </w:r>
      <w:r w:rsidR="00D151DE" w:rsidRPr="00EC250C">
        <w:t>e</w:t>
      </w:r>
      <w:r w:rsidR="005015F8" w:rsidRPr="00EC250C">
        <w:t xml:space="preserve"> kobiet</w:t>
      </w:r>
      <w:r w:rsidR="00992FD0" w:rsidRPr="00EC250C">
        <w:t xml:space="preserve"> i </w:t>
      </w:r>
      <w:r w:rsidR="005015F8" w:rsidRPr="00EC250C">
        <w:t>dziewcząt</w:t>
      </w:r>
      <w:r w:rsidR="00992FD0" w:rsidRPr="00EC250C">
        <w:t xml:space="preserve"> z </w:t>
      </w:r>
      <w:r w:rsidR="005015F8" w:rsidRPr="00EC250C">
        <w:t>niepełnosprawnościami</w:t>
      </w:r>
    </w:p>
    <w:p w14:paraId="65FD5234" w14:textId="77777777" w:rsidR="005015F8" w:rsidRPr="00EC250C" w:rsidRDefault="005015F8" w:rsidP="00D131FA">
      <w:pPr>
        <w:pStyle w:val="Styl1"/>
        <w:ind w:firstLine="0"/>
      </w:pPr>
      <w:r w:rsidRPr="00EC250C">
        <w:t>Potrzeby kobiet</w:t>
      </w:r>
      <w:r w:rsidR="00992FD0" w:rsidRPr="00EC250C">
        <w:t xml:space="preserve"> z </w:t>
      </w:r>
      <w:r w:rsidRPr="00EC250C">
        <w:t>niepełnosprawnościami</w:t>
      </w:r>
      <w:r w:rsidR="00992FD0" w:rsidRPr="00EC250C">
        <w:t xml:space="preserve"> w </w:t>
      </w:r>
      <w:r w:rsidRPr="00EC250C">
        <w:t>zakresie zdrowia seksualnego</w:t>
      </w:r>
      <w:r w:rsidR="00992FD0" w:rsidRPr="00EC250C">
        <w:t xml:space="preserve"> i </w:t>
      </w:r>
      <w:r w:rsidRPr="00EC250C">
        <w:t>reprodukcyjnego nie są badane ani monitorowane. Chodzi</w:t>
      </w:r>
      <w:r w:rsidR="00CC4D88" w:rsidRPr="00EC250C">
        <w:t xml:space="preserve"> </w:t>
      </w:r>
      <w:r w:rsidRPr="00EC250C">
        <w:t>tu</w:t>
      </w:r>
      <w:r w:rsidR="00992FD0" w:rsidRPr="00EC250C">
        <w:t xml:space="preserve"> o </w:t>
      </w:r>
      <w:r w:rsidRPr="00EC250C">
        <w:t>pełną dostępność usług ginekologicznych oraz opiekę okołoporodową. Edukacja seksualna nie jest prowadzona</w:t>
      </w:r>
      <w:r w:rsidR="00992FD0" w:rsidRPr="00EC250C">
        <w:t xml:space="preserve"> w </w:t>
      </w:r>
      <w:r w:rsidRPr="00EC250C">
        <w:t>sposób uwzględniający sytuację</w:t>
      </w:r>
      <w:r w:rsidR="00992FD0" w:rsidRPr="00EC250C">
        <w:t xml:space="preserve"> i </w:t>
      </w:r>
      <w:r w:rsidRPr="00EC250C">
        <w:t>potrzeby takich kobiet.</w:t>
      </w:r>
    </w:p>
    <w:p w14:paraId="4247715A" w14:textId="77777777" w:rsidR="005015F8" w:rsidRPr="00EC250C" w:rsidRDefault="008D205D" w:rsidP="00EC250C">
      <w:pPr>
        <w:pStyle w:val="Nagwek5"/>
      </w:pPr>
      <w:r w:rsidRPr="00EC250C">
        <w:t>Z</w:t>
      </w:r>
      <w:r w:rsidR="005015F8" w:rsidRPr="00EC250C">
        <w:t>atrudniani</w:t>
      </w:r>
      <w:r w:rsidRPr="00EC250C">
        <w:t>e</w:t>
      </w:r>
      <w:r w:rsidR="005015F8" w:rsidRPr="00EC250C">
        <w:t xml:space="preserve"> osób</w:t>
      </w:r>
      <w:r w:rsidR="00992FD0" w:rsidRPr="00EC250C">
        <w:t xml:space="preserve"> z </w:t>
      </w:r>
      <w:r w:rsidR="005015F8" w:rsidRPr="00EC250C">
        <w:t>niepełnosprawnościami na otwartym rynku pracy</w:t>
      </w:r>
    </w:p>
    <w:p w14:paraId="49D46914" w14:textId="77777777" w:rsidR="005015F8" w:rsidRPr="00EC250C" w:rsidRDefault="008D205D" w:rsidP="00D131FA">
      <w:pPr>
        <w:pStyle w:val="Styl1"/>
        <w:ind w:firstLine="0"/>
      </w:pPr>
      <w:r w:rsidRPr="00EC250C">
        <w:t>T</w:t>
      </w:r>
      <w:r w:rsidR="005015F8" w:rsidRPr="00EC250C">
        <w:t>rzeba promować zatrudni</w:t>
      </w:r>
      <w:r w:rsidR="00E21466" w:rsidRPr="00EC250C">
        <w:t xml:space="preserve">anie </w:t>
      </w:r>
      <w:r w:rsidR="005015F8" w:rsidRPr="00EC250C">
        <w:t>osób</w:t>
      </w:r>
      <w:r w:rsidR="00992FD0" w:rsidRPr="00EC250C">
        <w:t xml:space="preserve"> z </w:t>
      </w:r>
      <w:r w:rsidR="005015F8" w:rsidRPr="00EC250C">
        <w:t>niepełnosprawnościami na otwartym rynku pracy</w:t>
      </w:r>
      <w:r w:rsidRPr="00EC250C">
        <w:t>. K</w:t>
      </w:r>
      <w:r w:rsidR="005015F8" w:rsidRPr="00EC250C">
        <w:t>onieczne jest zwi</w:t>
      </w:r>
      <w:r w:rsidR="005015F8" w:rsidRPr="00EC250C">
        <w:rPr>
          <w:rFonts w:hint="eastAsia"/>
        </w:rPr>
        <w:t>ę</w:t>
      </w:r>
      <w:r w:rsidR="005015F8" w:rsidRPr="00EC250C">
        <w:t>kszenie ich zatrudnienia</w:t>
      </w:r>
      <w:r w:rsidR="00992FD0" w:rsidRPr="00EC250C">
        <w:t xml:space="preserve"> w </w:t>
      </w:r>
      <w:r w:rsidR="005015F8" w:rsidRPr="00EC250C">
        <w:t>administracji publicznej</w:t>
      </w:r>
      <w:r w:rsidRPr="00EC250C">
        <w:t xml:space="preserve">. Nie mamy </w:t>
      </w:r>
      <w:r w:rsidR="005015F8" w:rsidRPr="00EC250C">
        <w:t>systemowych rozwi</w:t>
      </w:r>
      <w:r w:rsidR="005015F8" w:rsidRPr="00EC250C">
        <w:rPr>
          <w:rFonts w:hint="eastAsia"/>
        </w:rPr>
        <w:t>ą</w:t>
      </w:r>
      <w:r w:rsidR="005015F8" w:rsidRPr="00EC250C">
        <w:t>za</w:t>
      </w:r>
      <w:r w:rsidR="005015F8" w:rsidRPr="00EC250C">
        <w:rPr>
          <w:rFonts w:hint="eastAsia"/>
        </w:rPr>
        <w:t>ń</w:t>
      </w:r>
      <w:r w:rsidR="005015F8" w:rsidRPr="00EC250C">
        <w:t xml:space="preserve"> dotycz</w:t>
      </w:r>
      <w:r w:rsidR="005015F8" w:rsidRPr="00EC250C">
        <w:rPr>
          <w:rFonts w:hint="eastAsia"/>
        </w:rPr>
        <w:t>ą</w:t>
      </w:r>
      <w:r w:rsidR="005015F8" w:rsidRPr="00EC250C">
        <w:t>cych zatrudnienia wspomaganego</w:t>
      </w:r>
      <w:r w:rsidRPr="00EC250C">
        <w:t>.</w:t>
      </w:r>
    </w:p>
    <w:p w14:paraId="74D006DE" w14:textId="77777777" w:rsidR="005015F8" w:rsidRPr="00EC250C" w:rsidRDefault="008D205D" w:rsidP="00EC250C">
      <w:pPr>
        <w:pStyle w:val="Nagwek5"/>
      </w:pPr>
      <w:r w:rsidRPr="00EC250C">
        <w:t>Z</w:t>
      </w:r>
      <w:r w:rsidR="005015F8" w:rsidRPr="00EC250C">
        <w:t>agrożeni</w:t>
      </w:r>
      <w:r w:rsidR="00D151DE" w:rsidRPr="00EC250C">
        <w:t>e</w:t>
      </w:r>
      <w:r w:rsidR="005015F8" w:rsidRPr="00EC250C">
        <w:t xml:space="preserve"> ubóstwem</w:t>
      </w:r>
      <w:r w:rsidRPr="00EC250C">
        <w:t xml:space="preserve"> osób</w:t>
      </w:r>
      <w:r w:rsidR="00992FD0" w:rsidRPr="00EC250C">
        <w:t xml:space="preserve"> z </w:t>
      </w:r>
      <w:r w:rsidRPr="00EC250C">
        <w:t>niepełnosprawnościami</w:t>
      </w:r>
    </w:p>
    <w:p w14:paraId="6BA47459" w14:textId="77777777" w:rsidR="005015F8" w:rsidRPr="00EC250C" w:rsidRDefault="009C3C65" w:rsidP="00D131FA">
      <w:pPr>
        <w:pStyle w:val="Styl1"/>
        <w:ind w:firstLine="0"/>
        <w:rPr>
          <w:rFonts w:ascii="Open Sans Regular" w:hAnsi="Open Sans Regular"/>
          <w:color w:val="18223E"/>
          <w:sz w:val="21"/>
        </w:rPr>
      </w:pPr>
      <w:r w:rsidRPr="00EC250C">
        <w:t xml:space="preserve">Nie mamy właściwych rozwiązań </w:t>
      </w:r>
      <w:r w:rsidR="005015F8" w:rsidRPr="00EC250C">
        <w:t>kompensujących wyższe koszty funkcjonowania osób</w:t>
      </w:r>
      <w:r w:rsidR="00992FD0" w:rsidRPr="00EC250C">
        <w:t xml:space="preserve"> z </w:t>
      </w:r>
      <w:r w:rsidR="005015F8" w:rsidRPr="00EC250C">
        <w:t>niepełnosprawnościami</w:t>
      </w:r>
      <w:r w:rsidRPr="00EC250C">
        <w:t>, za to dostęp do wsparcia ograniczony jest przez kryterium dochodowe.</w:t>
      </w:r>
    </w:p>
    <w:p w14:paraId="1F10645C" w14:textId="77777777" w:rsidR="005015F8" w:rsidRPr="00EC250C" w:rsidRDefault="009C3C65" w:rsidP="00EC250C">
      <w:pPr>
        <w:pStyle w:val="Nagwek5"/>
      </w:pPr>
      <w:r w:rsidRPr="00EC250C">
        <w:t>D</w:t>
      </w:r>
      <w:r w:rsidR="005015F8" w:rsidRPr="00EC250C">
        <w:t>ostępnoś</w:t>
      </w:r>
      <w:r w:rsidRPr="00EC250C">
        <w:t>ć</w:t>
      </w:r>
      <w:r w:rsidR="005015F8" w:rsidRPr="00EC250C">
        <w:t xml:space="preserve"> procedur wyborczych</w:t>
      </w:r>
    </w:p>
    <w:p w14:paraId="52E6D1CC" w14:textId="77777777" w:rsidR="009C3C65" w:rsidRPr="00EC250C" w:rsidRDefault="009C3C65" w:rsidP="00D131FA">
      <w:pPr>
        <w:pStyle w:val="ODESANIE"/>
        <w:jc w:val="both"/>
      </w:pPr>
      <w:r w:rsidRPr="00EC250C">
        <w:t>Problem omówiony przy art. 62 Konstytucji (Prawa wyborcze)</w:t>
      </w:r>
    </w:p>
    <w:p w14:paraId="7C0B57AC" w14:textId="77777777" w:rsidR="00732AD3" w:rsidRPr="00EC250C" w:rsidRDefault="00732AD3" w:rsidP="00EC250C">
      <w:pPr>
        <w:pStyle w:val="Nagwek5"/>
      </w:pPr>
      <w:r w:rsidRPr="00EC250C">
        <w:t>Trudności w dostępie do wymiaru sprawiedliwości</w:t>
      </w:r>
    </w:p>
    <w:p w14:paraId="5A2F5625" w14:textId="77777777" w:rsidR="00732AD3" w:rsidRPr="00EC250C" w:rsidRDefault="00732AD3" w:rsidP="00D131FA">
      <w:pPr>
        <w:pStyle w:val="Styl1"/>
        <w:ind w:firstLine="0"/>
      </w:pPr>
      <w:r w:rsidRPr="00EC250C">
        <w:t>Organy wymiaru sprawiedliwości nie mają w Polsce obowiązku stosowania w kontaktach z osobami z niepełnosprawnościami polskiego języka migowego, alfabetu Braille’a, czy komunikacji wspomagającej lub alternatywnej. Istotną barierą jest niedostępność architektoniczna budynków wielu sądów i prokuratur</w:t>
      </w:r>
      <w:r w:rsidRPr="00EC250C">
        <w:rPr>
          <w:rStyle w:val="Odwoanieprzypisudolnego"/>
        </w:rPr>
        <w:footnoteReference w:id="567"/>
      </w:r>
      <w:r w:rsidRPr="00EC250C">
        <w:t>.</w:t>
      </w:r>
    </w:p>
    <w:p w14:paraId="6508C299" w14:textId="77777777" w:rsidR="005015F8" w:rsidRPr="00EC250C" w:rsidRDefault="005015F8" w:rsidP="00EC250C">
      <w:pPr>
        <w:pStyle w:val="Nagwek5"/>
      </w:pPr>
      <w:r w:rsidRPr="00EC250C">
        <w:t>Możliwości działań RPO jako organu monitorującego wykonanie Konwencji,</w:t>
      </w:r>
      <w:r w:rsidR="00992FD0" w:rsidRPr="00EC250C">
        <w:t xml:space="preserve"> w </w:t>
      </w:r>
      <w:r w:rsidRPr="00EC250C">
        <w:t>tym</w:t>
      </w:r>
      <w:r w:rsidR="00992FD0" w:rsidRPr="00EC250C">
        <w:t xml:space="preserve"> o </w:t>
      </w:r>
      <w:r w:rsidRPr="00EC250C">
        <w:t>przydzielonych mu środkach</w:t>
      </w:r>
    </w:p>
    <w:p w14:paraId="1C1E5CC6" w14:textId="77777777" w:rsidR="005015F8" w:rsidRPr="00EC250C" w:rsidRDefault="005015F8" w:rsidP="00D131FA">
      <w:pPr>
        <w:pStyle w:val="Styl1"/>
      </w:pPr>
      <w:r w:rsidRPr="00EC250C">
        <w:t xml:space="preserve">Choć </w:t>
      </w:r>
      <w:r w:rsidR="00D76DC6" w:rsidRPr="00EC250C">
        <w:t>RPO</w:t>
      </w:r>
      <w:r w:rsidRPr="00EC250C">
        <w:t xml:space="preserve"> ma realizować zadania niezależnego organu monitorującego wykonywanie Konwencji, to nie została odpowiednio zmieniona ustawa</w:t>
      </w:r>
      <w:r w:rsidR="00992FD0" w:rsidRPr="00EC250C">
        <w:t xml:space="preserve"> o </w:t>
      </w:r>
      <w:r w:rsidRPr="00EC250C">
        <w:t>RPO. Budżet Rzecznika, zatwierdzany przez Parlament, jest niewystarczający do efektywnego wykonywania wszystkich jego ustawowych obowiązków.</w:t>
      </w:r>
    </w:p>
    <w:p w14:paraId="53D9CEB4" w14:textId="77777777" w:rsidR="001C78E1" w:rsidRPr="00EC250C" w:rsidRDefault="002F6C49" w:rsidP="00D131FA">
      <w:pPr>
        <w:pStyle w:val="ODESANIE"/>
        <w:jc w:val="both"/>
      </w:pPr>
      <w:r w:rsidRPr="00EC250C">
        <w:lastRenderedPageBreak/>
        <w:t xml:space="preserve">Rekomendacjom Komitetu ONZ poświęcona był też </w:t>
      </w:r>
      <w:r w:rsidR="001C78E1" w:rsidRPr="00EC250C">
        <w:t>sesja na II Kongresie Praw Obywatelskich zorganizowanym przez RPO</w:t>
      </w:r>
      <w:r w:rsidR="00992FD0" w:rsidRPr="00EC250C">
        <w:t xml:space="preserve"> w </w:t>
      </w:r>
      <w:r w:rsidR="001C78E1" w:rsidRPr="00EC250C">
        <w:t>grudniu 2018</w:t>
      </w:r>
      <w:r w:rsidR="00C91F6E" w:rsidRPr="00EC250C">
        <w:t> r.</w:t>
      </w:r>
      <w:r w:rsidR="001C78E1" w:rsidRPr="00EC250C">
        <w:rPr>
          <w:rStyle w:val="Odwoanieprzypisudolnego"/>
        </w:rPr>
        <w:footnoteReference w:id="568"/>
      </w:r>
      <w:r w:rsidR="003D6077" w:rsidRPr="00EC250C">
        <w:t xml:space="preserve"> – patrz </w:t>
      </w:r>
      <w:r w:rsidR="001C78E1" w:rsidRPr="00EC250C">
        <w:t>część III Informacji</w:t>
      </w:r>
    </w:p>
    <w:p w14:paraId="65DBA0C3" w14:textId="77777777" w:rsidR="00AA4F73" w:rsidRPr="00EC250C" w:rsidRDefault="001C264A" w:rsidP="00EC250C">
      <w:pPr>
        <w:pStyle w:val="Nagwek8"/>
        <w:rPr>
          <w:rFonts w:ascii="inherit" w:hAnsi="inherit"/>
          <w:sz w:val="21"/>
          <w:szCs w:val="20"/>
        </w:rPr>
      </w:pPr>
      <w:r w:rsidRPr="00EC250C">
        <w:t>D</w:t>
      </w:r>
      <w:r w:rsidR="00AA4F73" w:rsidRPr="00EC250C">
        <w:t>zieck</w:t>
      </w:r>
      <w:r w:rsidRPr="00EC250C">
        <w:t>o</w:t>
      </w:r>
      <w:r w:rsidR="00992FD0" w:rsidRPr="00EC250C">
        <w:t xml:space="preserve"> z </w:t>
      </w:r>
      <w:r w:rsidR="00AA4F73" w:rsidRPr="00EC250C">
        <w:t>niepełnosprawnością. Debata na Kongresie Praw Rodzicielskich</w:t>
      </w:r>
    </w:p>
    <w:p w14:paraId="35B33CB8" w14:textId="77777777" w:rsidR="00AA4F73" w:rsidRPr="00EC250C" w:rsidRDefault="00AA4F73" w:rsidP="00D131FA">
      <w:pPr>
        <w:pStyle w:val="Styl2"/>
        <w:rPr>
          <w:szCs w:val="24"/>
        </w:rPr>
      </w:pPr>
      <w:r w:rsidRPr="00EC250C">
        <w:rPr>
          <w:szCs w:val="24"/>
        </w:rPr>
        <w:t>Sytuacji rodzin</w:t>
      </w:r>
      <w:r w:rsidR="00992FD0" w:rsidRPr="00EC250C">
        <w:rPr>
          <w:szCs w:val="24"/>
        </w:rPr>
        <w:t xml:space="preserve"> z </w:t>
      </w:r>
      <w:r w:rsidRPr="00EC250C">
        <w:rPr>
          <w:szCs w:val="24"/>
        </w:rPr>
        <w:t>dziećmi</w:t>
      </w:r>
      <w:r w:rsidR="00992FD0" w:rsidRPr="00EC250C">
        <w:rPr>
          <w:szCs w:val="24"/>
        </w:rPr>
        <w:t xml:space="preserve"> z </w:t>
      </w:r>
      <w:r w:rsidRPr="00EC250C">
        <w:rPr>
          <w:szCs w:val="24"/>
        </w:rPr>
        <w:t>niepełnosprawnościami poświęcony był jeden</w:t>
      </w:r>
      <w:r w:rsidR="00992FD0" w:rsidRPr="00EC250C">
        <w:rPr>
          <w:szCs w:val="24"/>
        </w:rPr>
        <w:t xml:space="preserve"> z </w:t>
      </w:r>
      <w:r w:rsidRPr="00EC250C">
        <w:rPr>
          <w:szCs w:val="24"/>
        </w:rPr>
        <w:t>paneli Kongresu Praw Rodzicielskich zorganizowanego przez RPO</w:t>
      </w:r>
      <w:r w:rsidR="00992FD0" w:rsidRPr="00EC250C">
        <w:rPr>
          <w:szCs w:val="24"/>
        </w:rPr>
        <w:t xml:space="preserve"> w </w:t>
      </w:r>
      <w:r w:rsidRPr="00EC250C">
        <w:rPr>
          <w:szCs w:val="24"/>
        </w:rPr>
        <w:t>czerwcu 2018</w:t>
      </w:r>
      <w:r w:rsidR="00C91F6E" w:rsidRPr="00EC250C">
        <w:rPr>
          <w:szCs w:val="24"/>
        </w:rPr>
        <w:t> </w:t>
      </w:r>
      <w:r w:rsidR="00C91F6E" w:rsidRPr="00EC250C">
        <w:rPr>
          <w:rFonts w:hint="eastAsia"/>
          <w:szCs w:val="24"/>
        </w:rPr>
        <w:t>r.</w:t>
      </w:r>
      <w:r w:rsidR="001C264A" w:rsidRPr="00EC250C">
        <w:rPr>
          <w:szCs w:val="24"/>
        </w:rPr>
        <w:t xml:space="preserve"> </w:t>
      </w:r>
      <w:r w:rsidR="001423ED" w:rsidRPr="00EC250C">
        <w:rPr>
          <w:szCs w:val="24"/>
        </w:rPr>
        <w:t>Był</w:t>
      </w:r>
      <w:r w:rsidR="002D5F22" w:rsidRPr="00EC250C">
        <w:rPr>
          <w:szCs w:val="24"/>
        </w:rPr>
        <w:t>a to</w:t>
      </w:r>
      <w:r w:rsidR="001423ED" w:rsidRPr="00EC250C">
        <w:rPr>
          <w:szCs w:val="24"/>
        </w:rPr>
        <w:t xml:space="preserve"> </w:t>
      </w:r>
      <w:r w:rsidR="002D5F22" w:rsidRPr="00EC250C">
        <w:rPr>
          <w:szCs w:val="24"/>
        </w:rPr>
        <w:t>rozmowa</w:t>
      </w:r>
      <w:r w:rsidRPr="00EC250C">
        <w:rPr>
          <w:szCs w:val="24"/>
        </w:rPr>
        <w:t xml:space="preserve"> rodziców dzieci</w:t>
      </w:r>
      <w:r w:rsidR="00992FD0" w:rsidRPr="00EC250C">
        <w:rPr>
          <w:szCs w:val="24"/>
        </w:rPr>
        <w:t xml:space="preserve"> z </w:t>
      </w:r>
      <w:r w:rsidRPr="00EC250C">
        <w:rPr>
          <w:szCs w:val="24"/>
        </w:rPr>
        <w:t>niepełnosprawnościami</w:t>
      </w:r>
      <w:r w:rsidR="002D5F22" w:rsidRPr="00EC250C">
        <w:rPr>
          <w:szCs w:val="24"/>
        </w:rPr>
        <w:t>, r</w:t>
      </w:r>
      <w:r w:rsidR="001423ED" w:rsidRPr="00EC250C">
        <w:rPr>
          <w:szCs w:val="24"/>
        </w:rPr>
        <w:t>odziców</w:t>
      </w:r>
      <w:r w:rsidRPr="00EC250C">
        <w:rPr>
          <w:szCs w:val="24"/>
        </w:rPr>
        <w:t xml:space="preserve"> aktywnych zawodowo</w:t>
      </w:r>
      <w:r w:rsidR="00992FD0" w:rsidRPr="00EC250C">
        <w:rPr>
          <w:szCs w:val="24"/>
        </w:rPr>
        <w:t xml:space="preserve"> i </w:t>
      </w:r>
      <w:r w:rsidRPr="00EC250C">
        <w:rPr>
          <w:szCs w:val="24"/>
        </w:rPr>
        <w:t>społecznie. Troje takich rodziców było panelistami, pozostali zabierali głos</w:t>
      </w:r>
      <w:r w:rsidR="00992FD0" w:rsidRPr="00EC250C">
        <w:rPr>
          <w:szCs w:val="24"/>
        </w:rPr>
        <w:t xml:space="preserve"> w </w:t>
      </w:r>
      <w:r w:rsidRPr="00EC250C">
        <w:rPr>
          <w:szCs w:val="24"/>
        </w:rPr>
        <w:t xml:space="preserve">dyskusji. </w:t>
      </w:r>
      <w:r w:rsidR="001C264A" w:rsidRPr="00EC250C">
        <w:rPr>
          <w:szCs w:val="24"/>
        </w:rPr>
        <w:t xml:space="preserve">Pytanie o największe marzenie, ku zaskoczeniu publiczności powiedzieli: zaprosić już dorosłe dziecko </w:t>
      </w:r>
      <w:r w:rsidRPr="00EC250C">
        <w:rPr>
          <w:szCs w:val="24"/>
        </w:rPr>
        <w:t>na obi</w:t>
      </w:r>
      <w:r w:rsidR="001C264A" w:rsidRPr="00EC250C">
        <w:rPr>
          <w:szCs w:val="24"/>
        </w:rPr>
        <w:t>a</w:t>
      </w:r>
      <w:r w:rsidRPr="00EC250C">
        <w:rPr>
          <w:szCs w:val="24"/>
        </w:rPr>
        <w:t>d niedzielnym</w:t>
      </w:r>
      <w:r w:rsidR="001C264A" w:rsidRPr="00EC250C">
        <w:rPr>
          <w:szCs w:val="24"/>
        </w:rPr>
        <w:t>. Dlacezgo? Bo</w:t>
      </w:r>
      <w:r w:rsidRPr="00EC250C">
        <w:rPr>
          <w:szCs w:val="24"/>
        </w:rPr>
        <w:t xml:space="preserve"> </w:t>
      </w:r>
      <w:r w:rsidR="001C264A" w:rsidRPr="00EC250C">
        <w:rPr>
          <w:szCs w:val="24"/>
        </w:rPr>
        <w:t xml:space="preserve">by było możliwe tylko wtedy, gdy dziecko będzie odpowiednio zaopiekowane, </w:t>
      </w:r>
      <w:r w:rsidRPr="00EC250C">
        <w:rPr>
          <w:szCs w:val="24"/>
        </w:rPr>
        <w:t>samodzielne</w:t>
      </w:r>
      <w:r w:rsidR="001C264A" w:rsidRPr="00EC250C">
        <w:rPr>
          <w:szCs w:val="24"/>
        </w:rPr>
        <w:t xml:space="preserve">, </w:t>
      </w:r>
      <w:r w:rsidR="00992FD0" w:rsidRPr="00EC250C">
        <w:rPr>
          <w:szCs w:val="24"/>
        </w:rPr>
        <w:t>w </w:t>
      </w:r>
      <w:r w:rsidRPr="00EC250C">
        <w:rPr>
          <w:szCs w:val="24"/>
        </w:rPr>
        <w:t xml:space="preserve">mieszkaniu chronionym. </w:t>
      </w:r>
    </w:p>
    <w:p w14:paraId="382D3D8E" w14:textId="77777777" w:rsidR="00AA4F73" w:rsidRPr="00EC250C" w:rsidRDefault="001C264A" w:rsidP="00D131FA">
      <w:pPr>
        <w:pStyle w:val="Styl2"/>
        <w:rPr>
          <w:szCs w:val="24"/>
        </w:rPr>
      </w:pPr>
      <w:r w:rsidRPr="00EC250C">
        <w:rPr>
          <w:szCs w:val="24"/>
        </w:rPr>
        <w:t>Paneliści zastanawiali się, jak funkcjonuje rodzina z dzieckiem z niepełnosprawnością i jak</w:t>
      </w:r>
      <w:r w:rsidR="00AA4F73" w:rsidRPr="00EC250C">
        <w:rPr>
          <w:b w:val="0"/>
          <w:szCs w:val="24"/>
        </w:rPr>
        <w:t xml:space="preserve"> </w:t>
      </w:r>
      <w:r w:rsidR="00AA4F73" w:rsidRPr="00EC250C">
        <w:rPr>
          <w:szCs w:val="24"/>
        </w:rPr>
        <w:t>można wykonywać inne role społeczne jeśli ma się dziecko</w:t>
      </w:r>
      <w:r w:rsidR="00992FD0" w:rsidRPr="00EC250C">
        <w:rPr>
          <w:szCs w:val="24"/>
        </w:rPr>
        <w:t xml:space="preserve"> z </w:t>
      </w:r>
      <w:r w:rsidR="00AA4F73" w:rsidRPr="00EC250C">
        <w:rPr>
          <w:szCs w:val="24"/>
        </w:rPr>
        <w:t>niepełnosprawnością</w:t>
      </w:r>
      <w:r w:rsidRPr="00EC250C">
        <w:rPr>
          <w:b w:val="0"/>
          <w:szCs w:val="24"/>
        </w:rPr>
        <w:t>.</w:t>
      </w:r>
      <w:r w:rsidR="00AA4F73" w:rsidRPr="00EC250C">
        <w:rPr>
          <w:rStyle w:val="Odwoanieprzypisudolnego"/>
          <w:szCs w:val="24"/>
        </w:rPr>
        <w:footnoteReference w:id="569"/>
      </w:r>
      <w:r w:rsidR="00AA4F73" w:rsidRPr="00EC250C">
        <w:rPr>
          <w:szCs w:val="24"/>
        </w:rPr>
        <w:t>.</w:t>
      </w:r>
    </w:p>
    <w:p w14:paraId="3A9F3AD7" w14:textId="77777777" w:rsidR="00377688" w:rsidRPr="00EC250C" w:rsidRDefault="003D41F8" w:rsidP="00D131FA">
      <w:pPr>
        <w:pStyle w:val="ODESANIE"/>
        <w:jc w:val="both"/>
      </w:pPr>
      <w:r w:rsidRPr="00EC250C">
        <w:t>Prawa sędziów z niepełnosprawnościami</w:t>
      </w:r>
      <w:r w:rsidR="0018681C" w:rsidRPr="00EC250C">
        <w:t>:</w:t>
      </w:r>
      <w:r w:rsidR="00A63977" w:rsidRPr="00EC250C">
        <w:t xml:space="preserve"> </w:t>
      </w:r>
      <w:r w:rsidR="0018681C" w:rsidRPr="00EC250C">
        <w:t>A</w:t>
      </w:r>
      <w:r w:rsidR="00A63977" w:rsidRPr="00EC250C">
        <w:t>rt. 65 ust. 2-5</w:t>
      </w:r>
      <w:r w:rsidR="0018681C" w:rsidRPr="00EC250C">
        <w:t xml:space="preserve"> – Prawa pracownicze.</w:t>
      </w:r>
    </w:p>
    <w:p w14:paraId="09A1242C" w14:textId="77777777" w:rsidR="00377688" w:rsidRPr="00EC250C" w:rsidRDefault="00377688" w:rsidP="00D131FA">
      <w:pPr>
        <w:spacing w:after="200" w:line="24" w:lineRule="auto"/>
        <w:jc w:val="both"/>
        <w:rPr>
          <w:rFonts w:eastAsiaTheme="majorEastAsia" w:cstheme="majorBidi"/>
          <w:iCs/>
          <w:color w:val="C00000"/>
          <w:sz w:val="28"/>
        </w:rPr>
      </w:pPr>
      <w:r w:rsidRPr="00EC250C">
        <w:rPr>
          <w:sz w:val="24"/>
        </w:rPr>
        <w:br w:type="page"/>
      </w:r>
    </w:p>
    <w:p w14:paraId="05F56C34" w14:textId="77777777" w:rsidR="00C91F6E" w:rsidRPr="00EC250C" w:rsidRDefault="00724AEC" w:rsidP="00EC250C">
      <w:pPr>
        <w:pStyle w:val="Nagwek3"/>
      </w:pPr>
      <w:bookmarkStart w:id="575" w:name="_Toc6257893"/>
      <w:bookmarkStart w:id="576" w:name="_Toc11247769"/>
      <w:r w:rsidRPr="00EC250C">
        <w:lastRenderedPageBreak/>
        <w:t xml:space="preserve">Art. 70 </w:t>
      </w:r>
      <w:r w:rsidR="006302BF" w:rsidRPr="00EC250C">
        <w:t xml:space="preserve">Konstytucji </w:t>
      </w:r>
      <w:r w:rsidR="003C7122" w:rsidRPr="00EC250C">
        <w:t xml:space="preserve">ust. 1 </w:t>
      </w:r>
      <w:r w:rsidRPr="00EC250C">
        <w:t>– Prawo do nauki</w:t>
      </w:r>
      <w:bookmarkEnd w:id="575"/>
      <w:bookmarkEnd w:id="576"/>
    </w:p>
    <w:p w14:paraId="3344AD8E" w14:textId="77777777" w:rsidR="00724AEC" w:rsidRPr="00EC250C" w:rsidRDefault="00724AEC" w:rsidP="00D131FA">
      <w:pPr>
        <w:pStyle w:val="konstytucja"/>
        <w:jc w:val="both"/>
      </w:pPr>
      <w:r w:rsidRPr="00EC250C">
        <w:t>Każdy ma prawo do nauki. Nauka do 18</w:t>
      </w:r>
      <w:r w:rsidR="001914C3" w:rsidRPr="00EC250C">
        <w:t>.</w:t>
      </w:r>
      <w:r w:rsidRPr="00EC250C">
        <w:t xml:space="preserve"> roku życia jest obowiązkowa. Sposób wykonywania obowiązku szkolnego określa ustawa.</w:t>
      </w:r>
    </w:p>
    <w:p w14:paraId="6CC2EFEF" w14:textId="77777777" w:rsidR="00C91F6E" w:rsidRPr="00EC250C" w:rsidRDefault="00C37860" w:rsidP="00D131FA">
      <w:pPr>
        <w:pStyle w:val="ComwiKonstytucja"/>
      </w:pPr>
      <w:r w:rsidRPr="00EC250C">
        <w:t>Przepis ten należy interpretować</w:t>
      </w:r>
      <w:r w:rsidR="00992FD0" w:rsidRPr="00EC250C">
        <w:t xml:space="preserve"> w </w:t>
      </w:r>
      <w:r w:rsidRPr="00EC250C">
        <w:t>powiązaniu między innymi</w:t>
      </w:r>
      <w:r w:rsidR="00992FD0" w:rsidRPr="00EC250C">
        <w:t xml:space="preserve"> z </w:t>
      </w:r>
      <w:r w:rsidRPr="00EC250C">
        <w:t>art. 73 (wolność nauczania</w:t>
      </w:r>
      <w:r w:rsidR="00992FD0" w:rsidRPr="00EC250C">
        <w:t xml:space="preserve"> i </w:t>
      </w:r>
      <w:r w:rsidRPr="00EC250C">
        <w:t>badań naukowych)</w:t>
      </w:r>
      <w:r w:rsidR="00992FD0" w:rsidRPr="00EC250C">
        <w:t xml:space="preserve"> i </w:t>
      </w:r>
      <w:r w:rsidRPr="00EC250C">
        <w:t>art. 53 (prawo rodziców do wychowywania</w:t>
      </w:r>
      <w:r w:rsidR="00992FD0" w:rsidRPr="00EC250C">
        <w:t xml:space="preserve"> i </w:t>
      </w:r>
      <w:r w:rsidRPr="00EC250C">
        <w:t>nauczania zgodnego</w:t>
      </w:r>
      <w:r w:rsidR="00992FD0" w:rsidRPr="00EC250C">
        <w:t xml:space="preserve"> z </w:t>
      </w:r>
      <w:r w:rsidRPr="00EC250C">
        <w:t>ich przekonaniami).</w:t>
      </w:r>
    </w:p>
    <w:p w14:paraId="0D7B8B61" w14:textId="77777777" w:rsidR="00C91F6E" w:rsidRPr="00EC250C" w:rsidRDefault="00C37860" w:rsidP="00D131FA">
      <w:pPr>
        <w:pStyle w:val="ComwiKonstytucja"/>
      </w:pPr>
      <w:r w:rsidRPr="00EC250C">
        <w:t>Tak ukształtowane prawo do nauki stanowi prawo podmiotowe jednostki, jest również przesłanką należytej realizacji pozostałych wolności</w:t>
      </w:r>
      <w:r w:rsidR="00992FD0" w:rsidRPr="00EC250C">
        <w:t xml:space="preserve"> i </w:t>
      </w:r>
      <w:r w:rsidRPr="00EC250C">
        <w:t>praw. Jego treścią jest możliwość zdobywania wiedzy, kształcenia prowadzonego</w:t>
      </w:r>
      <w:r w:rsidR="00992FD0" w:rsidRPr="00EC250C">
        <w:t xml:space="preserve"> w </w:t>
      </w:r>
      <w:r w:rsidRPr="00EC250C">
        <w:t>zorganizowanych formach,</w:t>
      </w:r>
      <w:r w:rsidR="00992FD0" w:rsidRPr="00EC250C">
        <w:t xml:space="preserve"> w </w:t>
      </w:r>
      <w:r w:rsidRPr="00EC250C">
        <w:t>sposób regularny</w:t>
      </w:r>
      <w:r w:rsidR="00992FD0" w:rsidRPr="00EC250C">
        <w:t xml:space="preserve"> i </w:t>
      </w:r>
      <w:r w:rsidRPr="00EC250C">
        <w:t>ciągły, obejmującego kształcenie podstawowe jak</w:t>
      </w:r>
      <w:r w:rsidR="00992FD0" w:rsidRPr="00EC250C">
        <w:t xml:space="preserve"> i </w:t>
      </w:r>
      <w:r w:rsidRPr="00EC250C">
        <w:t>wiedzę specjalistyczną, jednolitego na terenie całego kraju.</w:t>
      </w:r>
    </w:p>
    <w:p w14:paraId="579EBCE9" w14:textId="77777777" w:rsidR="00C37860" w:rsidRPr="00EC250C" w:rsidRDefault="00C37860" w:rsidP="00D131FA">
      <w:pPr>
        <w:pStyle w:val="ComwiKonstytucja"/>
      </w:pPr>
      <w:r w:rsidRPr="00EC250C">
        <w:t>Kształcenie to ma umożliwić dalsze zdobywanie wiedzy lub wykonywanie określonego zawodu. Prawo to przysługuje zarówno obywatelom jak</w:t>
      </w:r>
      <w:r w:rsidR="00992FD0" w:rsidRPr="00EC250C">
        <w:t xml:space="preserve"> i </w:t>
      </w:r>
      <w:r w:rsidRPr="00EC250C">
        <w:t>cudzoziemcom.</w:t>
      </w:r>
    </w:p>
    <w:p w14:paraId="7FC22B14" w14:textId="77777777" w:rsidR="003E4DBD" w:rsidRPr="00EC250C" w:rsidRDefault="003E4DBD" w:rsidP="00D131FA">
      <w:pPr>
        <w:pStyle w:val="ComwiKonstytucja"/>
      </w:pPr>
    </w:p>
    <w:p w14:paraId="56FBA8CF" w14:textId="77777777" w:rsidR="00C37860" w:rsidRPr="00EC250C" w:rsidRDefault="00C37860" w:rsidP="00D131FA">
      <w:pPr>
        <w:spacing w:after="200" w:line="24" w:lineRule="auto"/>
        <w:jc w:val="both"/>
        <w:rPr>
          <w:i/>
          <w:spacing w:val="5"/>
          <w:sz w:val="22"/>
        </w:rPr>
      </w:pPr>
      <w:r w:rsidRPr="00EC250C">
        <w:rPr>
          <w:sz w:val="24"/>
        </w:rPr>
        <w:br w:type="page"/>
      </w:r>
    </w:p>
    <w:p w14:paraId="0F87E17F" w14:textId="77777777" w:rsidR="00C91F6E" w:rsidRPr="00EC250C" w:rsidRDefault="00853538" w:rsidP="00EC79EB">
      <w:pPr>
        <w:pStyle w:val="Nagwek4"/>
      </w:pPr>
      <w:bookmarkStart w:id="577" w:name="_Toc6257894"/>
      <w:bookmarkStart w:id="578" w:name="_Toc11247770"/>
      <w:r w:rsidRPr="00EC250C">
        <w:lastRenderedPageBreak/>
        <w:t>Negatywne skutki reformy systemu oświaty</w:t>
      </w:r>
      <w:bookmarkEnd w:id="577"/>
      <w:bookmarkEnd w:id="578"/>
    </w:p>
    <w:p w14:paraId="6AE285DF" w14:textId="77777777" w:rsidR="00B473F5" w:rsidRPr="00EC250C" w:rsidRDefault="00C37860" w:rsidP="00D131FA">
      <w:pPr>
        <w:pStyle w:val="Problemczowieka"/>
        <w:jc w:val="both"/>
        <w:rPr>
          <w:rStyle w:val="Pogrubienie"/>
          <w:rFonts w:eastAsiaTheme="majorEastAsia"/>
          <w:b/>
          <w:bCs w:val="0"/>
        </w:rPr>
      </w:pPr>
      <w:r w:rsidRPr="00EC250C">
        <w:rPr>
          <w:rStyle w:val="Pogrubienie"/>
          <w:rFonts w:eastAsiaTheme="majorEastAsia"/>
          <w:b/>
          <w:bCs w:val="0"/>
        </w:rPr>
        <w:t>Przepe</w:t>
      </w:r>
      <w:r w:rsidRPr="00EC250C">
        <w:rPr>
          <w:rStyle w:val="Pogrubienie"/>
          <w:rFonts w:eastAsiaTheme="majorEastAsia" w:hint="eastAsia"/>
          <w:b/>
          <w:bCs w:val="0"/>
        </w:rPr>
        <w:t>ł</w:t>
      </w:r>
      <w:r w:rsidRPr="00EC250C">
        <w:rPr>
          <w:rStyle w:val="Pogrubienie"/>
          <w:rFonts w:eastAsiaTheme="majorEastAsia"/>
          <w:b/>
          <w:bCs w:val="0"/>
        </w:rPr>
        <w:t>nienie szk</w:t>
      </w:r>
      <w:r w:rsidRPr="00EC250C">
        <w:rPr>
          <w:rStyle w:val="Pogrubienie"/>
          <w:rFonts w:eastAsiaTheme="majorEastAsia" w:hint="eastAsia"/>
          <w:b/>
          <w:bCs w:val="0"/>
        </w:rPr>
        <w:t>ół</w:t>
      </w:r>
      <w:r w:rsidRPr="00EC250C">
        <w:rPr>
          <w:rStyle w:val="Pogrubienie"/>
          <w:rFonts w:eastAsiaTheme="majorEastAsia"/>
          <w:b/>
          <w:bCs w:val="0"/>
        </w:rPr>
        <w:t xml:space="preserve"> podstawowych; nauka</w:t>
      </w:r>
      <w:r w:rsidR="00992FD0" w:rsidRPr="00EC250C">
        <w:rPr>
          <w:rStyle w:val="Pogrubienie"/>
          <w:rFonts w:eastAsiaTheme="majorEastAsia"/>
          <w:b/>
          <w:bCs w:val="0"/>
        </w:rPr>
        <w:t xml:space="preserve"> w </w:t>
      </w:r>
      <w:r w:rsidRPr="00EC250C">
        <w:rPr>
          <w:rStyle w:val="Pogrubienie"/>
          <w:rFonts w:eastAsiaTheme="majorEastAsia"/>
          <w:b/>
          <w:bCs w:val="0"/>
        </w:rPr>
        <w:t>p</w:t>
      </w:r>
      <w:r w:rsidRPr="00EC250C">
        <w:rPr>
          <w:rStyle w:val="Pogrubienie"/>
          <w:rFonts w:eastAsiaTheme="majorEastAsia" w:hint="eastAsia"/>
          <w:b/>
          <w:bCs w:val="0"/>
        </w:rPr>
        <w:t>óź</w:t>
      </w:r>
      <w:r w:rsidRPr="00EC250C">
        <w:rPr>
          <w:rStyle w:val="Pogrubienie"/>
          <w:rFonts w:eastAsiaTheme="majorEastAsia"/>
          <w:b/>
          <w:bCs w:val="0"/>
        </w:rPr>
        <w:t>nych godzinach popo</w:t>
      </w:r>
      <w:r w:rsidRPr="00EC250C">
        <w:rPr>
          <w:rStyle w:val="Pogrubienie"/>
          <w:rFonts w:eastAsiaTheme="majorEastAsia" w:hint="eastAsia"/>
          <w:b/>
          <w:bCs w:val="0"/>
        </w:rPr>
        <w:t>ł</w:t>
      </w:r>
      <w:r w:rsidRPr="00EC250C">
        <w:rPr>
          <w:rStyle w:val="Pogrubienie"/>
          <w:rFonts w:eastAsiaTheme="majorEastAsia"/>
          <w:b/>
          <w:bCs w:val="0"/>
        </w:rPr>
        <w:t>udniowych albo nawet</w:t>
      </w:r>
      <w:r w:rsidR="00992FD0" w:rsidRPr="00EC250C">
        <w:rPr>
          <w:rStyle w:val="Pogrubienie"/>
          <w:rFonts w:eastAsiaTheme="majorEastAsia"/>
          <w:b/>
          <w:bCs w:val="0"/>
        </w:rPr>
        <w:t xml:space="preserve"> w </w:t>
      </w:r>
      <w:r w:rsidRPr="00EC250C">
        <w:rPr>
          <w:rStyle w:val="Pogrubienie"/>
          <w:rFonts w:eastAsiaTheme="majorEastAsia"/>
          <w:b/>
          <w:bCs w:val="0"/>
        </w:rPr>
        <w:t>kontenerach przy szko</w:t>
      </w:r>
      <w:r w:rsidRPr="00EC250C">
        <w:rPr>
          <w:rStyle w:val="Pogrubienie"/>
          <w:rFonts w:eastAsiaTheme="majorEastAsia" w:hint="eastAsia"/>
          <w:b/>
          <w:bCs w:val="0"/>
        </w:rPr>
        <w:t>ł</w:t>
      </w:r>
      <w:r w:rsidRPr="00EC250C">
        <w:rPr>
          <w:rStyle w:val="Pogrubienie"/>
          <w:rFonts w:eastAsiaTheme="majorEastAsia"/>
          <w:b/>
          <w:bCs w:val="0"/>
        </w:rPr>
        <w:t>ach; zbyt du</w:t>
      </w:r>
      <w:r w:rsidRPr="00EC250C">
        <w:rPr>
          <w:rStyle w:val="Pogrubienie"/>
          <w:rFonts w:eastAsiaTheme="majorEastAsia" w:hint="eastAsia"/>
          <w:b/>
          <w:bCs w:val="0"/>
        </w:rPr>
        <w:t>ż</w:t>
      </w:r>
      <w:r w:rsidRPr="00EC250C">
        <w:rPr>
          <w:rStyle w:val="Pogrubienie"/>
          <w:rFonts w:eastAsiaTheme="majorEastAsia"/>
          <w:b/>
          <w:bCs w:val="0"/>
        </w:rPr>
        <w:t>o zaj</w:t>
      </w:r>
      <w:r w:rsidRPr="00EC250C">
        <w:rPr>
          <w:rStyle w:val="Pogrubienie"/>
          <w:rFonts w:eastAsiaTheme="majorEastAsia" w:hint="eastAsia"/>
          <w:b/>
          <w:bCs w:val="0"/>
        </w:rPr>
        <w:t>ęć</w:t>
      </w:r>
      <w:r w:rsidR="00992FD0" w:rsidRPr="00EC250C">
        <w:rPr>
          <w:rStyle w:val="Pogrubienie"/>
          <w:rFonts w:eastAsiaTheme="majorEastAsia"/>
          <w:b/>
          <w:bCs w:val="0"/>
        </w:rPr>
        <w:t xml:space="preserve"> w </w:t>
      </w:r>
      <w:r w:rsidRPr="00EC250C">
        <w:rPr>
          <w:rStyle w:val="Pogrubienie"/>
          <w:rFonts w:eastAsiaTheme="majorEastAsia"/>
          <w:b/>
          <w:bCs w:val="0"/>
        </w:rPr>
        <w:t>tygodniu; nadmiar prac domowych – takie są skutki szybkiej reorganizacji szkolnictwa</w:t>
      </w:r>
      <w:r w:rsidR="00992FD0" w:rsidRPr="00EC250C">
        <w:rPr>
          <w:rStyle w:val="Pogrubienie"/>
          <w:rFonts w:eastAsiaTheme="majorEastAsia"/>
          <w:b/>
          <w:bCs w:val="0"/>
        </w:rPr>
        <w:t xml:space="preserve"> i </w:t>
      </w:r>
      <w:r w:rsidRPr="00EC250C">
        <w:rPr>
          <w:rStyle w:val="Pogrubienie"/>
          <w:rFonts w:eastAsiaTheme="majorEastAsia"/>
          <w:b/>
          <w:bCs w:val="0"/>
        </w:rPr>
        <w:t>zastąpienia systemu: sześcioletnia szkoła podstawowa – trzyletnie gimnazjum – trzyletnia szkoła ponadgimnazjalna systemem ośmioletnia podstawówka – czteroletnia szkoła ponadpodstawowa</w:t>
      </w:r>
      <w:r w:rsidR="00B473F5" w:rsidRPr="00EC250C">
        <w:rPr>
          <w:rStyle w:val="Pogrubienie"/>
          <w:rFonts w:eastAsiaTheme="majorEastAsia"/>
          <w:b/>
          <w:bCs w:val="0"/>
        </w:rPr>
        <w:t>.</w:t>
      </w:r>
    </w:p>
    <w:p w14:paraId="0F36B9D2" w14:textId="77777777" w:rsidR="009A3DE3" w:rsidRPr="00EC250C" w:rsidRDefault="00C37860" w:rsidP="00D131FA">
      <w:pPr>
        <w:pStyle w:val="Styl1"/>
      </w:pPr>
      <w:r w:rsidRPr="00EC250C">
        <w:rPr>
          <w:rStyle w:val="Pogrubienie"/>
          <w:rFonts w:eastAsiaTheme="majorEastAsia"/>
          <w:b w:val="0"/>
          <w:bCs w:val="0"/>
        </w:rPr>
        <w:t>Przed tymi negatywnymi skutkami Rzecznik Praw Obywatelskich ostrzega</w:t>
      </w:r>
      <w:r w:rsidR="009A3DE3" w:rsidRPr="00EC250C">
        <w:rPr>
          <w:rStyle w:val="Pogrubienie"/>
          <w:rFonts w:eastAsiaTheme="majorEastAsia"/>
          <w:b w:val="0"/>
          <w:bCs w:val="0"/>
        </w:rPr>
        <w:t>ł</w:t>
      </w:r>
      <w:r w:rsidRPr="00EC250C">
        <w:rPr>
          <w:rStyle w:val="Pogrubienie"/>
          <w:rFonts w:eastAsiaTheme="majorEastAsia"/>
          <w:b w:val="0"/>
          <w:bCs w:val="0"/>
        </w:rPr>
        <w:t xml:space="preserve"> – tak jak</w:t>
      </w:r>
      <w:r w:rsidR="00992FD0" w:rsidRPr="00EC250C">
        <w:rPr>
          <w:rStyle w:val="Pogrubienie"/>
          <w:rFonts w:eastAsiaTheme="majorEastAsia"/>
          <w:b w:val="0"/>
          <w:bCs w:val="0"/>
        </w:rPr>
        <w:t xml:space="preserve"> w </w:t>
      </w:r>
      <w:r w:rsidRPr="00EC250C">
        <w:rPr>
          <w:rStyle w:val="Pogrubienie"/>
          <w:rFonts w:eastAsiaTheme="majorEastAsia"/>
          <w:b w:val="0"/>
          <w:bCs w:val="0"/>
        </w:rPr>
        <w:t>2017</w:t>
      </w:r>
      <w:r w:rsidR="00C91F6E" w:rsidRPr="00EC250C">
        <w:rPr>
          <w:rStyle w:val="Pogrubienie"/>
          <w:rFonts w:eastAsiaTheme="majorEastAsia"/>
          <w:b w:val="0"/>
          <w:bCs w:val="0"/>
        </w:rPr>
        <w:t> r.</w:t>
      </w:r>
      <w:r w:rsidR="00246211" w:rsidRPr="00EC250C">
        <w:rPr>
          <w:rStyle w:val="Odwoanieprzypisudolnego"/>
          <w:rFonts w:eastAsiaTheme="majorEastAsia"/>
        </w:rPr>
        <w:footnoteReference w:id="570"/>
      </w:r>
      <w:r w:rsidRPr="00EC250C">
        <w:rPr>
          <w:rStyle w:val="Pogrubienie"/>
          <w:rFonts w:eastAsiaTheme="majorEastAsia"/>
          <w:b w:val="0"/>
          <w:bCs w:val="0"/>
        </w:rPr>
        <w:t xml:space="preserve"> – Ministra Edukacji Narodowe</w:t>
      </w:r>
      <w:r w:rsidR="0095043F" w:rsidRPr="00EC250C">
        <w:rPr>
          <w:rStyle w:val="Odwoanieprzypisudolnego"/>
          <w:bCs/>
          <w:iCs/>
        </w:rPr>
        <w:footnoteReference w:id="571"/>
      </w:r>
      <w:r w:rsidR="0095043F" w:rsidRPr="00EC250C">
        <w:rPr>
          <w:bCs/>
          <w:iCs/>
        </w:rPr>
        <w:t xml:space="preserve"> </w:t>
      </w:r>
      <w:r w:rsidRPr="00EC250C">
        <w:rPr>
          <w:rStyle w:val="Pogrubienie"/>
          <w:rFonts w:eastAsiaTheme="majorEastAsia"/>
          <w:b w:val="0"/>
          <w:bCs w:val="0"/>
        </w:rPr>
        <w:t>. Alarmujące sygnały docierały do niego od rodziców</w:t>
      </w:r>
      <w:r w:rsidR="00992FD0" w:rsidRPr="00EC250C">
        <w:rPr>
          <w:rStyle w:val="Pogrubienie"/>
          <w:rFonts w:eastAsiaTheme="majorEastAsia"/>
          <w:b w:val="0"/>
          <w:bCs w:val="0"/>
        </w:rPr>
        <w:t xml:space="preserve"> i </w:t>
      </w:r>
      <w:r w:rsidRPr="00EC250C">
        <w:rPr>
          <w:rStyle w:val="Pogrubienie"/>
          <w:rFonts w:eastAsiaTheme="majorEastAsia"/>
          <w:b w:val="0"/>
          <w:bCs w:val="0"/>
        </w:rPr>
        <w:t>nauczycieli</w:t>
      </w:r>
      <w:r w:rsidR="00992FD0" w:rsidRPr="00EC250C">
        <w:rPr>
          <w:rStyle w:val="Pogrubienie"/>
          <w:rFonts w:eastAsiaTheme="majorEastAsia"/>
          <w:b w:val="0"/>
          <w:bCs w:val="0"/>
        </w:rPr>
        <w:t xml:space="preserve"> z </w:t>
      </w:r>
      <w:r w:rsidRPr="00EC250C">
        <w:rPr>
          <w:rStyle w:val="Pogrubienie"/>
          <w:rFonts w:eastAsiaTheme="majorEastAsia"/>
          <w:b w:val="0"/>
          <w:bCs w:val="0"/>
        </w:rPr>
        <w:t>całego kraju.</w:t>
      </w:r>
      <w:r w:rsidR="009A3DE3" w:rsidRPr="00EC250C">
        <w:rPr>
          <w:rStyle w:val="Pogrubienie"/>
          <w:rFonts w:eastAsiaTheme="majorEastAsia"/>
          <w:b w:val="0"/>
          <w:bCs w:val="0"/>
        </w:rPr>
        <w:t xml:space="preserve"> Dlatego</w:t>
      </w:r>
      <w:r w:rsidR="00992FD0" w:rsidRPr="00EC250C">
        <w:rPr>
          <w:rStyle w:val="Pogrubienie"/>
          <w:rFonts w:eastAsiaTheme="majorEastAsia"/>
          <w:b w:val="0"/>
          <w:bCs w:val="0"/>
        </w:rPr>
        <w:t xml:space="preserve"> w </w:t>
      </w:r>
      <w:r w:rsidR="009A3DE3" w:rsidRPr="00EC250C">
        <w:rPr>
          <w:rStyle w:val="Pogrubienie"/>
          <w:rFonts w:eastAsiaTheme="majorEastAsia"/>
          <w:b w:val="0"/>
          <w:bCs w:val="0"/>
        </w:rPr>
        <w:t>kwietniu 2018</w:t>
      </w:r>
      <w:r w:rsidR="00C91F6E" w:rsidRPr="00EC250C">
        <w:rPr>
          <w:rStyle w:val="Pogrubienie"/>
          <w:rFonts w:eastAsiaTheme="majorEastAsia"/>
          <w:b w:val="0"/>
          <w:bCs w:val="0"/>
        </w:rPr>
        <w:t> r.</w:t>
      </w:r>
      <w:r w:rsidR="009A3DE3" w:rsidRPr="00EC250C">
        <w:rPr>
          <w:rStyle w:val="Pogrubienie"/>
          <w:rFonts w:eastAsiaTheme="majorEastAsia"/>
          <w:b w:val="0"/>
          <w:bCs w:val="0"/>
        </w:rPr>
        <w:t xml:space="preserve"> zorganizował</w:t>
      </w:r>
      <w:r w:rsidR="00992FD0" w:rsidRPr="00EC250C">
        <w:rPr>
          <w:rStyle w:val="Pogrubienie"/>
          <w:rFonts w:eastAsiaTheme="majorEastAsia"/>
          <w:b w:val="0"/>
          <w:bCs w:val="0"/>
        </w:rPr>
        <w:t xml:space="preserve"> w </w:t>
      </w:r>
      <w:r w:rsidR="009A3DE3" w:rsidRPr="00EC250C">
        <w:t>Biurze RPO pod has</w:t>
      </w:r>
      <w:r w:rsidR="009A3DE3" w:rsidRPr="00EC250C">
        <w:rPr>
          <w:rFonts w:hint="eastAsia"/>
        </w:rPr>
        <w:t>ł</w:t>
      </w:r>
      <w:r w:rsidR="009A3DE3" w:rsidRPr="00EC250C">
        <w:t xml:space="preserve">em </w:t>
      </w:r>
      <w:r w:rsidR="009A3DE3" w:rsidRPr="00EC250C">
        <w:rPr>
          <w:rFonts w:hint="eastAsia"/>
        </w:rPr>
        <w:t>„</w:t>
      </w:r>
      <w:r w:rsidR="009A3DE3" w:rsidRPr="00EC250C">
        <w:t>(Nie)oczekiwane skutki reformy systemu o</w:t>
      </w:r>
      <w:r w:rsidR="009A3DE3" w:rsidRPr="00EC250C">
        <w:rPr>
          <w:rFonts w:hint="eastAsia"/>
        </w:rPr>
        <w:t>ś</w:t>
      </w:r>
      <w:r w:rsidR="009A3DE3" w:rsidRPr="00EC250C">
        <w:t>wiaty</w:t>
      </w:r>
      <w:r w:rsidR="009A3DE3" w:rsidRPr="00EC250C">
        <w:rPr>
          <w:rFonts w:hint="eastAsia"/>
        </w:rPr>
        <w:t>”</w:t>
      </w:r>
      <w:r w:rsidR="009A3DE3" w:rsidRPr="00EC250C">
        <w:rPr>
          <w:rStyle w:val="Odwoanieprzypisudolnego"/>
        </w:rPr>
        <w:footnoteReference w:id="572"/>
      </w:r>
      <w:r w:rsidR="009A3DE3" w:rsidRPr="00EC250C">
        <w:t xml:space="preserve"> . Debata pozwoliła jeszcze lepiej naświetlić sytuację.</w:t>
      </w:r>
    </w:p>
    <w:p w14:paraId="41835FDE" w14:textId="77777777" w:rsidR="009A3DE3" w:rsidRPr="00EC250C" w:rsidRDefault="009A3DE3" w:rsidP="00D131FA">
      <w:pPr>
        <w:pStyle w:val="Styl1"/>
      </w:pPr>
      <w:r w:rsidRPr="00EC250C">
        <w:t>RPO ma świadomość, iż swobodne kształtowanie systemu oświaty jest elementem polityki państwa, jednakże pragnie wskazać, iż każdej uzasadnionej</w:t>
      </w:r>
      <w:r w:rsidR="00992FD0" w:rsidRPr="00EC250C">
        <w:t xml:space="preserve"> i </w:t>
      </w:r>
      <w:r w:rsidRPr="00EC250C">
        <w:t>przeanalizowanej zmianie towarzyszyć powinno podejmowanie środków, które zapobiegną bądź zamortyzują ewentualne negatywne efekty uboczne.</w:t>
      </w:r>
    </w:p>
    <w:p w14:paraId="6801926D" w14:textId="77777777" w:rsidR="00B473F5" w:rsidRPr="00EC250C" w:rsidRDefault="00E019B3" w:rsidP="00D131FA">
      <w:pPr>
        <w:pStyle w:val="Problemczowieka"/>
        <w:jc w:val="both"/>
      </w:pPr>
      <w:r w:rsidRPr="00EC250C">
        <w:t>Z</w:t>
      </w:r>
      <w:r w:rsidR="001423ED" w:rsidRPr="00EC250C">
        <w:t>większenie</w:t>
      </w:r>
      <w:r w:rsidR="009A3DE3" w:rsidRPr="00EC250C">
        <w:t xml:space="preserve"> się liczby dzieci</w:t>
      </w:r>
      <w:r w:rsidR="00992FD0" w:rsidRPr="00EC250C">
        <w:t xml:space="preserve"> w </w:t>
      </w:r>
      <w:r w:rsidR="009A3DE3" w:rsidRPr="00EC250C">
        <w:t>szkołach podstawowych</w:t>
      </w:r>
      <w:r w:rsidR="00B473F5" w:rsidRPr="00EC250C">
        <w:t>.</w:t>
      </w:r>
    </w:p>
    <w:p w14:paraId="1F5B4414" w14:textId="77777777" w:rsidR="00CE32AE" w:rsidRPr="00EC250C" w:rsidRDefault="009A3DE3" w:rsidP="00D131FA">
      <w:pPr>
        <w:pStyle w:val="Styl1"/>
      </w:pPr>
      <w:r w:rsidRPr="00EC250C">
        <w:t>Dołączenie klas VII do dotychczasowych sześcioklasowych szkół podstawowych, przy jednoczesnym przeprowadzaniu naboru do klas I,</w:t>
      </w:r>
      <w:r w:rsidR="00992FD0" w:rsidRPr="00EC250C">
        <w:t xml:space="preserve"> w </w:t>
      </w:r>
      <w:r w:rsidRPr="00EC250C">
        <w:t>większości szkół doprowadziło do przepełnienia budynków szkół</w:t>
      </w:r>
      <w:r w:rsidR="00992FD0" w:rsidRPr="00EC250C">
        <w:t xml:space="preserve"> i </w:t>
      </w:r>
      <w:r w:rsidRPr="00EC250C">
        <w:t>pogorszenia warunków nauczania.</w:t>
      </w:r>
      <w:r w:rsidR="00CE32AE" w:rsidRPr="00EC250C">
        <w:t xml:space="preserve"> Według MEN przekształcenie samodzielnych gimnazjów</w:t>
      </w:r>
      <w:r w:rsidR="00992FD0" w:rsidRPr="00EC250C">
        <w:t xml:space="preserve"> w </w:t>
      </w:r>
      <w:r w:rsidR="00CE32AE" w:rsidRPr="00EC250C">
        <w:t>szkoły podstawowe znacząco zmniejszy zjawisko zmianowości</w:t>
      </w:r>
      <w:r w:rsidR="00992FD0" w:rsidRPr="00EC250C">
        <w:t xml:space="preserve"> w </w:t>
      </w:r>
      <w:r w:rsidR="00CE32AE" w:rsidRPr="00EC250C">
        <w:t>gminach miejskich. Jednakże wielu uczniów problem ten dotknął już teraz. Część dzieci musi chodzić na zajęcia</w:t>
      </w:r>
      <w:r w:rsidR="00992FD0" w:rsidRPr="00EC250C">
        <w:t xml:space="preserve"> w </w:t>
      </w:r>
      <w:r w:rsidR="00CE32AE" w:rsidRPr="00EC250C">
        <w:t>późnych godzinach popołudniowych.</w:t>
      </w:r>
    </w:p>
    <w:p w14:paraId="0B4F7D00" w14:textId="77777777" w:rsidR="00B473F5" w:rsidRPr="00EC250C" w:rsidRDefault="001423ED" w:rsidP="00D131FA">
      <w:pPr>
        <w:pStyle w:val="Problemczowieka"/>
        <w:jc w:val="both"/>
      </w:pPr>
      <w:r w:rsidRPr="00EC250C">
        <w:t xml:space="preserve">Zbyt </w:t>
      </w:r>
      <w:r w:rsidR="00676C5A" w:rsidRPr="00EC250C">
        <w:t>częste zmiany nauczycieli</w:t>
      </w:r>
      <w:r w:rsidR="00B473F5" w:rsidRPr="00EC250C">
        <w:t>.</w:t>
      </w:r>
    </w:p>
    <w:p w14:paraId="037B124A" w14:textId="77777777" w:rsidR="00CE32AE" w:rsidRPr="00EC250C" w:rsidRDefault="00676C5A" w:rsidP="00D131FA">
      <w:pPr>
        <w:pStyle w:val="Styl1"/>
        <w:ind w:firstLine="0"/>
      </w:pPr>
      <w:r w:rsidRPr="00EC250C">
        <w:t>N</w:t>
      </w:r>
      <w:r w:rsidR="001423ED" w:rsidRPr="00EC250C">
        <w:t>auczyciele</w:t>
      </w:r>
      <w:r w:rsidR="00CE32AE" w:rsidRPr="00EC250C">
        <w:t xml:space="preserve"> zatrudnieni</w:t>
      </w:r>
      <w:r w:rsidR="00992FD0" w:rsidRPr="00EC250C">
        <w:t xml:space="preserve"> w </w:t>
      </w:r>
      <w:r w:rsidR="00CE32AE" w:rsidRPr="00EC250C">
        <w:t>gimnazjach zaczęli</w:t>
      </w:r>
      <w:r w:rsidR="00992FD0" w:rsidRPr="00EC250C">
        <w:t xml:space="preserve"> w </w:t>
      </w:r>
      <w:r w:rsidR="00CE32AE" w:rsidRPr="00EC250C">
        <w:t>2018</w:t>
      </w:r>
      <w:r w:rsidR="00C91F6E" w:rsidRPr="00EC250C">
        <w:t> r.</w:t>
      </w:r>
      <w:r w:rsidR="00CE32AE" w:rsidRPr="00EC250C">
        <w:t xml:space="preserve"> szukać nowych miejsc pracy, przez co uczniowie zostali narażeni na nieustanną zmianę nauczycieli</w:t>
      </w:r>
      <w:r w:rsidR="00992FD0" w:rsidRPr="00EC250C">
        <w:t xml:space="preserve"> i </w:t>
      </w:r>
      <w:r w:rsidR="00CE32AE" w:rsidRPr="00EC250C">
        <w:t>wychowawców. Nie służy to uczniom, zwłaszcza że bardzo często zmiany nauczycieli dotyczą przedmiotów egzaminacyjnych. W takiej sytuacji trudno też wymagać od nauczycieli wysokiej jakości nauczania.</w:t>
      </w:r>
    </w:p>
    <w:p w14:paraId="23795795" w14:textId="77777777" w:rsidR="00B473F5" w:rsidRPr="00EC250C" w:rsidRDefault="00676C5A" w:rsidP="00D131FA">
      <w:pPr>
        <w:pStyle w:val="Problemczowieka"/>
        <w:jc w:val="both"/>
      </w:pPr>
      <w:r w:rsidRPr="00EC250C">
        <w:t>Brak odpowiedniego wyposażenia</w:t>
      </w:r>
      <w:r w:rsidR="00992FD0" w:rsidRPr="00EC250C">
        <w:t xml:space="preserve"> w </w:t>
      </w:r>
      <w:r w:rsidR="00CE32AE" w:rsidRPr="00EC250C">
        <w:t>zreorganizowanych szkołach</w:t>
      </w:r>
      <w:r w:rsidR="00B473F5" w:rsidRPr="00EC250C">
        <w:t>.</w:t>
      </w:r>
    </w:p>
    <w:p w14:paraId="0121B989" w14:textId="77777777" w:rsidR="00C91F6E" w:rsidRPr="00EC250C" w:rsidRDefault="00E6350D" w:rsidP="00D131FA">
      <w:pPr>
        <w:pStyle w:val="Styl1"/>
      </w:pPr>
      <w:r w:rsidRPr="00EC250C">
        <w:lastRenderedPageBreak/>
        <w:t>Problem dotyczy głównie</w:t>
      </w:r>
      <w:r w:rsidR="001423ED" w:rsidRPr="00EC250C">
        <w:t xml:space="preserve"> pracowni fizyczn</w:t>
      </w:r>
      <w:r w:rsidRPr="00EC250C">
        <w:t>ych</w:t>
      </w:r>
      <w:r w:rsidR="00992FD0" w:rsidRPr="00EC250C">
        <w:t xml:space="preserve"> i </w:t>
      </w:r>
      <w:r w:rsidRPr="00EC250C">
        <w:t>chemicznych</w:t>
      </w:r>
      <w:r w:rsidR="001423ED" w:rsidRPr="00EC250C">
        <w:t>, brak</w:t>
      </w:r>
      <w:r w:rsidRPr="00EC250C">
        <w:t>u</w:t>
      </w:r>
      <w:r w:rsidR="00CE32AE" w:rsidRPr="00EC250C">
        <w:t xml:space="preserve"> szafek,</w:t>
      </w:r>
      <w:r w:rsidR="00992FD0" w:rsidRPr="00EC250C">
        <w:t xml:space="preserve"> w </w:t>
      </w:r>
      <w:r w:rsidR="00CE32AE" w:rsidRPr="00EC250C">
        <w:t xml:space="preserve">których dzieci mogłyby zostawiać książki, </w:t>
      </w:r>
      <w:r w:rsidR="001423ED" w:rsidRPr="00EC250C">
        <w:t>brak</w:t>
      </w:r>
      <w:r w:rsidRPr="00EC250C">
        <w:t>u adekwatnych do wieku uczniów</w:t>
      </w:r>
      <w:r w:rsidR="00CE32AE" w:rsidRPr="00EC250C">
        <w:t xml:space="preserve"> pomocy dydaktycznych czy książek</w:t>
      </w:r>
      <w:r w:rsidR="00992FD0" w:rsidRPr="00EC250C">
        <w:t xml:space="preserve"> w </w:t>
      </w:r>
      <w:r w:rsidR="00CE32AE" w:rsidRPr="00EC250C">
        <w:t>bibliotekach.</w:t>
      </w:r>
    </w:p>
    <w:p w14:paraId="05D77E69" w14:textId="77777777" w:rsidR="00B473F5" w:rsidRPr="00EC250C" w:rsidRDefault="00D01A00" w:rsidP="00D131FA">
      <w:pPr>
        <w:pStyle w:val="Problemczowieka"/>
        <w:jc w:val="both"/>
        <w:rPr>
          <w:rStyle w:val="Pogrubienie"/>
        </w:rPr>
      </w:pPr>
      <w:r w:rsidRPr="00EC250C">
        <w:rPr>
          <w:rStyle w:val="Pogrubienie"/>
          <w:b/>
          <w:bCs w:val="0"/>
        </w:rPr>
        <w:t>Narastające</w:t>
      </w:r>
      <w:r w:rsidR="00157E57" w:rsidRPr="00EC250C">
        <w:rPr>
          <w:rStyle w:val="Pogrubienie"/>
          <w:b/>
          <w:bCs w:val="0"/>
        </w:rPr>
        <w:t xml:space="preserve"> </w:t>
      </w:r>
      <w:r w:rsidRPr="00EC250C">
        <w:rPr>
          <w:rStyle w:val="Pogrubienie"/>
          <w:b/>
          <w:bCs w:val="0"/>
        </w:rPr>
        <w:t xml:space="preserve">rozwarstwienie </w:t>
      </w:r>
      <w:r w:rsidR="001423ED" w:rsidRPr="00EC250C">
        <w:rPr>
          <w:rStyle w:val="Pogrubienie"/>
          <w:b/>
          <w:bCs w:val="0"/>
        </w:rPr>
        <w:t>społeczne</w:t>
      </w:r>
      <w:r w:rsidR="00B473F5" w:rsidRPr="00EC250C">
        <w:rPr>
          <w:rStyle w:val="Pogrubienie"/>
        </w:rPr>
        <w:t>.</w:t>
      </w:r>
    </w:p>
    <w:p w14:paraId="37193A1E" w14:textId="77777777" w:rsidR="00C37860" w:rsidRPr="00EC250C" w:rsidRDefault="0095043F" w:rsidP="00D131FA">
      <w:pPr>
        <w:pStyle w:val="Styl1"/>
        <w:rPr>
          <w:rStyle w:val="Pogrubienie"/>
          <w:b w:val="0"/>
          <w:bCs w:val="0"/>
        </w:rPr>
      </w:pPr>
      <w:r w:rsidRPr="00EC250C">
        <w:rPr>
          <w:rStyle w:val="Pogrubienie"/>
          <w:rFonts w:eastAsiaTheme="majorEastAsia"/>
          <w:b w:val="0"/>
          <w:bCs w:val="0"/>
        </w:rPr>
        <w:t>G</w:t>
      </w:r>
      <w:r w:rsidR="00C37860" w:rsidRPr="00EC250C">
        <w:rPr>
          <w:rStyle w:val="Pogrubienie"/>
          <w:rFonts w:eastAsiaTheme="majorEastAsia"/>
          <w:b w:val="0"/>
          <w:bCs w:val="0"/>
        </w:rPr>
        <w:t>orsz</w:t>
      </w:r>
      <w:r w:rsidR="00CE32AE" w:rsidRPr="00EC250C">
        <w:rPr>
          <w:rStyle w:val="Pogrubienie"/>
          <w:rFonts w:eastAsiaTheme="majorEastAsia"/>
          <w:b w:val="0"/>
          <w:bCs w:val="0"/>
        </w:rPr>
        <w:t>e</w:t>
      </w:r>
      <w:r w:rsidR="00C37860" w:rsidRPr="00EC250C">
        <w:rPr>
          <w:rStyle w:val="Pogrubienie"/>
          <w:rFonts w:eastAsiaTheme="majorEastAsia"/>
          <w:b w:val="0"/>
          <w:bCs w:val="0"/>
        </w:rPr>
        <w:t xml:space="preserve"> warunk</w:t>
      </w:r>
      <w:r w:rsidR="00CE32AE" w:rsidRPr="00EC250C">
        <w:rPr>
          <w:rStyle w:val="Pogrubienie"/>
          <w:rFonts w:eastAsiaTheme="majorEastAsia"/>
          <w:b w:val="0"/>
          <w:bCs w:val="0"/>
        </w:rPr>
        <w:t>i</w:t>
      </w:r>
      <w:r w:rsidR="00C37860" w:rsidRPr="00EC250C">
        <w:rPr>
          <w:rStyle w:val="Pogrubienie"/>
          <w:rFonts w:eastAsiaTheme="majorEastAsia"/>
          <w:b w:val="0"/>
          <w:bCs w:val="0"/>
        </w:rPr>
        <w:t xml:space="preserve"> nauki</w:t>
      </w:r>
      <w:r w:rsidR="00992FD0" w:rsidRPr="00EC250C">
        <w:rPr>
          <w:rStyle w:val="Pogrubienie"/>
          <w:rFonts w:eastAsiaTheme="majorEastAsia"/>
          <w:b w:val="0"/>
          <w:bCs w:val="0"/>
        </w:rPr>
        <w:t xml:space="preserve"> w </w:t>
      </w:r>
      <w:r w:rsidR="00C37860" w:rsidRPr="00EC250C">
        <w:rPr>
          <w:rStyle w:val="Pogrubienie"/>
          <w:rFonts w:eastAsiaTheme="majorEastAsia"/>
          <w:b w:val="0"/>
          <w:bCs w:val="0"/>
        </w:rPr>
        <w:t>szko</w:t>
      </w:r>
      <w:r w:rsidR="00C37860" w:rsidRPr="00EC250C">
        <w:rPr>
          <w:rStyle w:val="Pogrubienie"/>
          <w:rFonts w:eastAsiaTheme="majorEastAsia" w:hint="eastAsia"/>
          <w:b w:val="0"/>
          <w:bCs w:val="0"/>
        </w:rPr>
        <w:t>ł</w:t>
      </w:r>
      <w:r w:rsidR="00C37860" w:rsidRPr="00EC250C">
        <w:rPr>
          <w:rStyle w:val="Pogrubienie"/>
          <w:rFonts w:eastAsiaTheme="majorEastAsia"/>
          <w:b w:val="0"/>
          <w:bCs w:val="0"/>
        </w:rPr>
        <w:t xml:space="preserve">ach publicznych </w:t>
      </w:r>
      <w:r w:rsidR="00CE32AE" w:rsidRPr="00EC250C">
        <w:rPr>
          <w:rStyle w:val="Pogrubienie"/>
          <w:rFonts w:eastAsiaTheme="majorEastAsia"/>
          <w:b w:val="0"/>
          <w:bCs w:val="0"/>
        </w:rPr>
        <w:t xml:space="preserve">powodują, że zamożniejsi rodzice przenoszą </w:t>
      </w:r>
      <w:r w:rsidR="00C37860" w:rsidRPr="00EC250C">
        <w:rPr>
          <w:rStyle w:val="Pogrubienie"/>
          <w:rFonts w:eastAsiaTheme="majorEastAsia"/>
          <w:b w:val="0"/>
          <w:bCs w:val="0"/>
        </w:rPr>
        <w:t>dzieci do plac</w:t>
      </w:r>
      <w:r w:rsidR="00C37860" w:rsidRPr="00EC250C">
        <w:rPr>
          <w:rStyle w:val="Pogrubienie"/>
          <w:rFonts w:eastAsiaTheme="majorEastAsia" w:hint="eastAsia"/>
          <w:b w:val="0"/>
          <w:bCs w:val="0"/>
        </w:rPr>
        <w:t>ó</w:t>
      </w:r>
      <w:r w:rsidR="00C37860" w:rsidRPr="00EC250C">
        <w:rPr>
          <w:rStyle w:val="Pogrubienie"/>
          <w:rFonts w:eastAsiaTheme="majorEastAsia"/>
          <w:b w:val="0"/>
          <w:bCs w:val="0"/>
        </w:rPr>
        <w:t>wek prywatnych</w:t>
      </w:r>
      <w:r w:rsidR="00026572" w:rsidRPr="00EC250C">
        <w:rPr>
          <w:rStyle w:val="Pogrubienie"/>
          <w:rFonts w:eastAsiaTheme="majorEastAsia"/>
          <w:b w:val="0"/>
          <w:bCs w:val="0"/>
        </w:rPr>
        <w:t xml:space="preserve"> – </w:t>
      </w:r>
      <w:r w:rsidR="00C37860" w:rsidRPr="00EC250C">
        <w:rPr>
          <w:rStyle w:val="Pogrubienie"/>
          <w:rFonts w:eastAsiaTheme="majorEastAsia"/>
          <w:b w:val="0"/>
          <w:bCs w:val="0"/>
        </w:rPr>
        <w:t>co pog</w:t>
      </w:r>
      <w:r w:rsidR="00C37860" w:rsidRPr="00EC250C">
        <w:rPr>
          <w:rStyle w:val="Pogrubienie"/>
          <w:rFonts w:eastAsiaTheme="majorEastAsia" w:hint="eastAsia"/>
          <w:b w:val="0"/>
          <w:bCs w:val="0"/>
        </w:rPr>
        <w:t>łę</w:t>
      </w:r>
      <w:r w:rsidR="00C37860" w:rsidRPr="00EC250C">
        <w:rPr>
          <w:rStyle w:val="Pogrubienie"/>
          <w:rFonts w:eastAsiaTheme="majorEastAsia"/>
          <w:b w:val="0"/>
          <w:bCs w:val="0"/>
        </w:rPr>
        <w:t>bi nier</w:t>
      </w:r>
      <w:r w:rsidR="00C37860" w:rsidRPr="00EC250C">
        <w:rPr>
          <w:rStyle w:val="Pogrubienie"/>
          <w:rFonts w:eastAsiaTheme="majorEastAsia" w:hint="eastAsia"/>
          <w:b w:val="0"/>
          <w:bCs w:val="0"/>
        </w:rPr>
        <w:t>ó</w:t>
      </w:r>
      <w:r w:rsidR="00C37860" w:rsidRPr="00EC250C">
        <w:rPr>
          <w:rStyle w:val="Pogrubienie"/>
          <w:rFonts w:eastAsiaTheme="majorEastAsia"/>
          <w:b w:val="0"/>
          <w:bCs w:val="0"/>
        </w:rPr>
        <w:t>wno</w:t>
      </w:r>
      <w:r w:rsidR="00C37860" w:rsidRPr="00EC250C">
        <w:rPr>
          <w:rStyle w:val="Pogrubienie"/>
          <w:rFonts w:eastAsiaTheme="majorEastAsia" w:hint="eastAsia"/>
          <w:b w:val="0"/>
          <w:bCs w:val="0"/>
        </w:rPr>
        <w:t>ś</w:t>
      </w:r>
      <w:r w:rsidR="00C37860" w:rsidRPr="00EC250C">
        <w:rPr>
          <w:rStyle w:val="Pogrubienie"/>
          <w:rFonts w:eastAsiaTheme="majorEastAsia"/>
          <w:b w:val="0"/>
          <w:bCs w:val="0"/>
        </w:rPr>
        <w:t>ci spo</w:t>
      </w:r>
      <w:r w:rsidR="00C37860" w:rsidRPr="00EC250C">
        <w:rPr>
          <w:rStyle w:val="Pogrubienie"/>
          <w:rFonts w:eastAsiaTheme="majorEastAsia" w:hint="eastAsia"/>
          <w:b w:val="0"/>
          <w:bCs w:val="0"/>
        </w:rPr>
        <w:t>ł</w:t>
      </w:r>
      <w:r w:rsidR="00C37860" w:rsidRPr="00EC250C">
        <w:rPr>
          <w:rStyle w:val="Pogrubienie"/>
          <w:rFonts w:eastAsiaTheme="majorEastAsia"/>
          <w:b w:val="0"/>
          <w:bCs w:val="0"/>
        </w:rPr>
        <w:t>eczne</w:t>
      </w:r>
      <w:r w:rsidR="00E6350D" w:rsidRPr="00EC250C">
        <w:rPr>
          <w:rStyle w:val="Pogrubienie"/>
          <w:rFonts w:eastAsiaTheme="majorEastAsia"/>
          <w:b w:val="0"/>
          <w:bCs w:val="0"/>
        </w:rPr>
        <w:t>.</w:t>
      </w:r>
    </w:p>
    <w:p w14:paraId="5DD76A2B" w14:textId="77777777" w:rsidR="0095043F" w:rsidRPr="00EC250C" w:rsidRDefault="00C32EF4" w:rsidP="00D131FA">
      <w:pPr>
        <w:pStyle w:val="Styl1"/>
        <w:rPr>
          <w:bCs/>
          <w:iCs/>
        </w:rPr>
      </w:pPr>
      <w:r w:rsidRPr="00EC250C">
        <w:rPr>
          <w:bCs/>
          <w:iCs/>
        </w:rPr>
        <w:t xml:space="preserve">Minister </w:t>
      </w:r>
      <w:r w:rsidR="0095043F" w:rsidRPr="00EC250C">
        <w:rPr>
          <w:bCs/>
          <w:iCs/>
        </w:rPr>
        <w:t>Edukacji Narodowej uspokajał</w:t>
      </w:r>
      <w:r w:rsidR="00F70CE5" w:rsidRPr="00EC250C">
        <w:rPr>
          <w:rStyle w:val="Odwoanieprzypisudolnego"/>
          <w:bCs/>
          <w:iCs/>
        </w:rPr>
        <w:footnoteReference w:id="573"/>
      </w:r>
      <w:r w:rsidRPr="00EC250C">
        <w:rPr>
          <w:bCs/>
          <w:iCs/>
        </w:rPr>
        <w:t xml:space="preserve">, że </w:t>
      </w:r>
      <w:r w:rsidR="003D6077" w:rsidRPr="00EC250C">
        <w:rPr>
          <w:bCs/>
          <w:iCs/>
        </w:rPr>
        <w:t xml:space="preserve">są </w:t>
      </w:r>
      <w:r w:rsidR="00E6350D" w:rsidRPr="00EC250C">
        <w:rPr>
          <w:bCs/>
          <w:iCs/>
        </w:rPr>
        <w:t>odpowiednie</w:t>
      </w:r>
      <w:r w:rsidRPr="00EC250C">
        <w:rPr>
          <w:bCs/>
          <w:iCs/>
        </w:rPr>
        <w:t xml:space="preserve"> środki na wdrażanie reformy edukacji</w:t>
      </w:r>
      <w:r w:rsidR="00395CCC" w:rsidRPr="00EC250C">
        <w:rPr>
          <w:bCs/>
          <w:iCs/>
        </w:rPr>
        <w:t xml:space="preserve"> </w:t>
      </w:r>
      <w:r w:rsidR="003D6077" w:rsidRPr="00EC250C">
        <w:rPr>
          <w:bCs/>
          <w:iCs/>
        </w:rPr>
        <w:t>a MEN</w:t>
      </w:r>
      <w:r w:rsidR="00395CCC" w:rsidRPr="00EC250C">
        <w:rPr>
          <w:bCs/>
          <w:iCs/>
        </w:rPr>
        <w:t xml:space="preserve"> </w:t>
      </w:r>
      <w:r w:rsidRPr="00EC250C">
        <w:rPr>
          <w:bCs/>
          <w:iCs/>
        </w:rPr>
        <w:t>na bieżąco reaguje na postulaty strony samorządowej związane</w:t>
      </w:r>
      <w:r w:rsidR="00992FD0" w:rsidRPr="00EC250C">
        <w:rPr>
          <w:bCs/>
          <w:iCs/>
        </w:rPr>
        <w:t xml:space="preserve"> z </w:t>
      </w:r>
      <w:r w:rsidRPr="00EC250C">
        <w:rPr>
          <w:bCs/>
          <w:iCs/>
        </w:rPr>
        <w:t>reformą edukacji.</w:t>
      </w:r>
    </w:p>
    <w:p w14:paraId="2C10E956" w14:textId="77777777" w:rsidR="00C91F6E" w:rsidRPr="00EC250C" w:rsidRDefault="0095043F" w:rsidP="006C70B7">
      <w:pPr>
        <w:pStyle w:val="Styl1"/>
        <w:numPr>
          <w:ilvl w:val="0"/>
          <w:numId w:val="62"/>
        </w:numPr>
        <w:rPr>
          <w:bCs/>
          <w:iCs/>
        </w:rPr>
      </w:pPr>
      <w:r w:rsidRPr="00EC250C">
        <w:rPr>
          <w:bCs/>
          <w:iCs/>
        </w:rPr>
        <w:t>P</w:t>
      </w:r>
      <w:r w:rsidR="00C32EF4" w:rsidRPr="00EC250C">
        <w:rPr>
          <w:bCs/>
          <w:iCs/>
        </w:rPr>
        <w:t>rzy opracowywaniu nowego ramowego planu nauczania, zachowany został generalnie ogólny wymiar godzin przeznaczonych na obowiązkowe zajęcia edukacyjne we wszystkich typach szkół.</w:t>
      </w:r>
    </w:p>
    <w:p w14:paraId="1FD4496F" w14:textId="77777777" w:rsidR="00C91F6E" w:rsidRPr="00EC250C" w:rsidRDefault="0095043F" w:rsidP="006C70B7">
      <w:pPr>
        <w:pStyle w:val="Styl1"/>
        <w:numPr>
          <w:ilvl w:val="0"/>
          <w:numId w:val="62"/>
        </w:numPr>
        <w:rPr>
          <w:bCs/>
          <w:iCs/>
        </w:rPr>
      </w:pPr>
      <w:r w:rsidRPr="00EC250C">
        <w:rPr>
          <w:bCs/>
          <w:iCs/>
        </w:rPr>
        <w:t>R</w:t>
      </w:r>
      <w:r w:rsidR="00C32EF4" w:rsidRPr="00EC250C">
        <w:rPr>
          <w:bCs/>
          <w:iCs/>
        </w:rPr>
        <w:t>ozwiązań organizacyjnych dotyczących zadań domowych należy zawsze poszukiwać na poziomie szkoły</w:t>
      </w:r>
      <w:r w:rsidR="00992FD0" w:rsidRPr="00EC250C">
        <w:rPr>
          <w:bCs/>
          <w:iCs/>
        </w:rPr>
        <w:t xml:space="preserve"> i </w:t>
      </w:r>
      <w:r w:rsidR="00C32EF4" w:rsidRPr="00EC250C">
        <w:rPr>
          <w:bCs/>
          <w:iCs/>
        </w:rPr>
        <w:t>regulować te kwestie</w:t>
      </w:r>
      <w:r w:rsidR="00992FD0" w:rsidRPr="00EC250C">
        <w:rPr>
          <w:bCs/>
          <w:iCs/>
        </w:rPr>
        <w:t xml:space="preserve"> w </w:t>
      </w:r>
      <w:r w:rsidR="00C32EF4" w:rsidRPr="00EC250C">
        <w:rPr>
          <w:bCs/>
          <w:iCs/>
        </w:rPr>
        <w:t>przepisach wewnątrzszkolnych.</w:t>
      </w:r>
    </w:p>
    <w:p w14:paraId="2E11DBDA" w14:textId="77777777" w:rsidR="00C91F6E" w:rsidRPr="00EC250C" w:rsidRDefault="0095043F" w:rsidP="00EC250C">
      <w:pPr>
        <w:pStyle w:val="Nagwek5"/>
      </w:pPr>
      <w:r w:rsidRPr="00EC250C">
        <w:t>Problem k</w:t>
      </w:r>
      <w:r w:rsidR="00C37860" w:rsidRPr="00EC250C">
        <w:t>umulacj</w:t>
      </w:r>
      <w:r w:rsidRPr="00EC250C">
        <w:t>i</w:t>
      </w:r>
      <w:r w:rsidR="00C37860" w:rsidRPr="00EC250C">
        <w:t xml:space="preserve"> roczników</w:t>
      </w:r>
    </w:p>
    <w:p w14:paraId="7E2BFA55" w14:textId="77777777" w:rsidR="00B473F5" w:rsidRPr="00EC250C" w:rsidRDefault="00C51CCE" w:rsidP="00D131FA">
      <w:pPr>
        <w:pStyle w:val="Problemczowieka"/>
        <w:jc w:val="both"/>
        <w:rPr>
          <w:rStyle w:val="Pogrubienie"/>
          <w:rFonts w:eastAsiaTheme="majorEastAsia"/>
          <w:b/>
          <w:bCs w:val="0"/>
        </w:rPr>
      </w:pPr>
      <w:r w:rsidRPr="00EC250C">
        <w:rPr>
          <w:rStyle w:val="Pogrubienie"/>
          <w:rFonts w:eastAsiaTheme="majorEastAsia"/>
          <w:b/>
          <w:bCs w:val="0"/>
        </w:rPr>
        <w:t>W roku szkolnym 2019/2020 do I</w:t>
      </w:r>
      <w:r w:rsidRPr="00EC250C">
        <w:rPr>
          <w:rStyle w:val="Pogrubienie"/>
          <w:rFonts w:eastAsiaTheme="majorEastAsia" w:hint="eastAsia"/>
          <w:b/>
          <w:bCs w:val="0"/>
        </w:rPr>
        <w:t> </w:t>
      </w:r>
      <w:r w:rsidRPr="00EC250C">
        <w:rPr>
          <w:rStyle w:val="Pogrubienie"/>
          <w:rFonts w:eastAsiaTheme="majorEastAsia"/>
          <w:b/>
          <w:bCs w:val="0"/>
        </w:rPr>
        <w:t>klas liceów ogólnokształcących, techników</w:t>
      </w:r>
      <w:r w:rsidR="00992FD0" w:rsidRPr="00EC250C">
        <w:rPr>
          <w:rStyle w:val="Pogrubienie"/>
          <w:rFonts w:eastAsiaTheme="majorEastAsia"/>
          <w:b/>
          <w:bCs w:val="0"/>
        </w:rPr>
        <w:t xml:space="preserve"> i </w:t>
      </w:r>
      <w:r w:rsidRPr="00EC250C">
        <w:rPr>
          <w:rStyle w:val="Pogrubienie"/>
          <w:rFonts w:eastAsiaTheme="majorEastAsia"/>
          <w:b/>
          <w:bCs w:val="0"/>
        </w:rPr>
        <w:t>branżowych szkół pierwszego stopnia trafią dzieci kończące klasę III gimnazjum, jak</w:t>
      </w:r>
      <w:r w:rsidR="00992FD0" w:rsidRPr="00EC250C">
        <w:rPr>
          <w:rStyle w:val="Pogrubienie"/>
          <w:rFonts w:eastAsiaTheme="majorEastAsia"/>
          <w:b/>
          <w:bCs w:val="0"/>
        </w:rPr>
        <w:t xml:space="preserve"> i </w:t>
      </w:r>
      <w:r w:rsidRPr="00EC250C">
        <w:rPr>
          <w:rStyle w:val="Pogrubienie"/>
          <w:rFonts w:eastAsiaTheme="majorEastAsia"/>
          <w:b/>
          <w:bCs w:val="0"/>
        </w:rPr>
        <w:t>dzieci kończące klasę VIII szkoły podstawowej</w:t>
      </w:r>
      <w:r w:rsidR="00B473F5" w:rsidRPr="00EC250C">
        <w:rPr>
          <w:rStyle w:val="Pogrubienie"/>
          <w:rFonts w:eastAsiaTheme="majorEastAsia"/>
          <w:b/>
          <w:bCs w:val="0"/>
        </w:rPr>
        <w:t>.</w:t>
      </w:r>
    </w:p>
    <w:p w14:paraId="782F7B4C" w14:textId="77777777" w:rsidR="00C91F6E" w:rsidRPr="00EC250C" w:rsidRDefault="00C37860" w:rsidP="00D131FA">
      <w:pPr>
        <w:pStyle w:val="Styl1"/>
        <w:rPr>
          <w:lang w:eastAsia="en-US"/>
        </w:rPr>
      </w:pPr>
      <w:r w:rsidRPr="00EC250C">
        <w:rPr>
          <w:lang w:eastAsia="en-US"/>
        </w:rPr>
        <w:t>Już</w:t>
      </w:r>
      <w:r w:rsidR="00992FD0" w:rsidRPr="00EC250C">
        <w:rPr>
          <w:lang w:eastAsia="en-US"/>
        </w:rPr>
        <w:t xml:space="preserve"> w </w:t>
      </w:r>
      <w:r w:rsidRPr="00EC250C">
        <w:rPr>
          <w:lang w:eastAsia="en-US"/>
        </w:rPr>
        <w:t>2017</w:t>
      </w:r>
      <w:r w:rsidR="00C91F6E" w:rsidRPr="00EC250C">
        <w:rPr>
          <w:lang w:eastAsia="en-US"/>
        </w:rPr>
        <w:t> r.</w:t>
      </w:r>
      <w:r w:rsidRPr="00EC250C">
        <w:rPr>
          <w:lang w:eastAsia="en-US"/>
        </w:rPr>
        <w:t xml:space="preserve"> </w:t>
      </w:r>
      <w:r w:rsidR="00D76DC6" w:rsidRPr="00EC250C">
        <w:rPr>
          <w:lang w:eastAsia="en-US"/>
        </w:rPr>
        <w:t>RPO</w:t>
      </w:r>
      <w:r w:rsidRPr="00EC250C">
        <w:rPr>
          <w:lang w:eastAsia="en-US"/>
        </w:rPr>
        <w:t xml:space="preserve"> zwrócił</w:t>
      </w:r>
      <w:r w:rsidRPr="00EC250C">
        <w:rPr>
          <w:rStyle w:val="Odwoanieprzypisudolnego"/>
          <w:lang w:eastAsia="en-US"/>
        </w:rPr>
        <w:footnoteReference w:id="574"/>
      </w:r>
      <w:r w:rsidRPr="00EC250C">
        <w:rPr>
          <w:lang w:eastAsia="en-US"/>
        </w:rPr>
        <w:t xml:space="preserve"> uwagę Ministrowi Edukacji Narodowej na problem „podwójnego rocznika”</w:t>
      </w:r>
      <w:r w:rsidR="00B57A04" w:rsidRPr="00EC250C">
        <w:rPr>
          <w:lang w:eastAsia="en-US"/>
        </w:rPr>
        <w:t>.</w:t>
      </w:r>
    </w:p>
    <w:p w14:paraId="509A0C84" w14:textId="77777777" w:rsidR="00C91F6E" w:rsidRPr="00EC250C" w:rsidRDefault="00C51CCE" w:rsidP="00D131FA">
      <w:pPr>
        <w:pStyle w:val="Styl1"/>
        <w:rPr>
          <w:lang w:eastAsia="en-US"/>
        </w:rPr>
      </w:pPr>
      <w:r w:rsidRPr="00EC250C">
        <w:rPr>
          <w:lang w:eastAsia="en-US"/>
        </w:rPr>
        <w:t>W styczniu 2018</w:t>
      </w:r>
      <w:r w:rsidR="00C91F6E" w:rsidRPr="00EC250C">
        <w:rPr>
          <w:lang w:eastAsia="en-US"/>
        </w:rPr>
        <w:t> r.</w:t>
      </w:r>
      <w:r w:rsidRPr="00EC250C">
        <w:rPr>
          <w:lang w:eastAsia="en-US"/>
        </w:rPr>
        <w:t xml:space="preserve"> </w:t>
      </w:r>
      <w:r w:rsidR="00C37860" w:rsidRPr="00EC250C">
        <w:rPr>
          <w:lang w:eastAsia="en-US"/>
        </w:rPr>
        <w:t xml:space="preserve">Minister </w:t>
      </w:r>
      <w:r w:rsidRPr="00EC250C">
        <w:rPr>
          <w:lang w:eastAsia="en-US"/>
        </w:rPr>
        <w:t xml:space="preserve">odpowiedział, że </w:t>
      </w:r>
      <w:r w:rsidR="00C37860" w:rsidRPr="00EC250C">
        <w:rPr>
          <w:lang w:eastAsia="en-US"/>
        </w:rPr>
        <w:t xml:space="preserve">odpowiedzialność </w:t>
      </w:r>
      <w:r w:rsidRPr="00EC250C">
        <w:rPr>
          <w:lang w:eastAsia="en-US"/>
        </w:rPr>
        <w:t xml:space="preserve">za rozwiązanie problemu ponoszą </w:t>
      </w:r>
      <w:r w:rsidR="00C37860" w:rsidRPr="00EC250C">
        <w:rPr>
          <w:lang w:eastAsia="en-US"/>
        </w:rPr>
        <w:t>samorząd</w:t>
      </w:r>
      <w:r w:rsidRPr="00EC250C">
        <w:rPr>
          <w:lang w:eastAsia="en-US"/>
        </w:rPr>
        <w:t>y,</w:t>
      </w:r>
      <w:r w:rsidR="00992FD0" w:rsidRPr="00EC250C">
        <w:rPr>
          <w:lang w:eastAsia="en-US"/>
        </w:rPr>
        <w:t xml:space="preserve"> a z </w:t>
      </w:r>
      <w:r w:rsidRPr="00EC250C">
        <w:rPr>
          <w:lang w:eastAsia="en-US"/>
        </w:rPr>
        <w:t>danych, którymi dysponuje MEN, wynika</w:t>
      </w:r>
      <w:r w:rsidR="00B57A04" w:rsidRPr="00EC250C">
        <w:rPr>
          <w:lang w:eastAsia="en-US"/>
        </w:rPr>
        <w:t>ło</w:t>
      </w:r>
      <w:r w:rsidRPr="00EC250C">
        <w:rPr>
          <w:lang w:eastAsia="en-US"/>
        </w:rPr>
        <w:t xml:space="preserve">, że </w:t>
      </w:r>
      <w:r w:rsidR="00C37860" w:rsidRPr="00EC250C">
        <w:rPr>
          <w:lang w:eastAsia="en-US"/>
        </w:rPr>
        <w:t xml:space="preserve">szkoły przygotują się do przyjęcia większej liczby uczniów. </w:t>
      </w:r>
      <w:r w:rsidR="00B57A04" w:rsidRPr="00EC250C">
        <w:rPr>
          <w:lang w:eastAsia="en-US"/>
        </w:rPr>
        <w:t>MEN przekonywał, że a</w:t>
      </w:r>
      <w:r w:rsidR="00C37860" w:rsidRPr="00EC250C">
        <w:rPr>
          <w:lang w:eastAsia="en-US"/>
        </w:rPr>
        <w:t>bsolwenci dotychczasowego gimnazjum</w:t>
      </w:r>
      <w:r w:rsidR="00992FD0" w:rsidRPr="00EC250C">
        <w:rPr>
          <w:lang w:eastAsia="en-US"/>
        </w:rPr>
        <w:t xml:space="preserve"> i </w:t>
      </w:r>
      <w:r w:rsidR="00B57A04" w:rsidRPr="00EC250C">
        <w:rPr>
          <w:lang w:eastAsia="en-US"/>
        </w:rPr>
        <w:t xml:space="preserve">nowej, </w:t>
      </w:r>
      <w:r w:rsidR="00C37860" w:rsidRPr="00EC250C">
        <w:rPr>
          <w:lang w:eastAsia="en-US"/>
        </w:rPr>
        <w:t>ośmioletniej szkoły podstawowej nie będą rywalizować</w:t>
      </w:r>
      <w:r w:rsidR="00992FD0" w:rsidRPr="00EC250C">
        <w:rPr>
          <w:lang w:eastAsia="en-US"/>
        </w:rPr>
        <w:t xml:space="preserve"> w </w:t>
      </w:r>
      <w:r w:rsidR="00C37860" w:rsidRPr="00EC250C">
        <w:rPr>
          <w:lang w:eastAsia="en-US"/>
        </w:rPr>
        <w:t xml:space="preserve">rekrutacji </w:t>
      </w:r>
      <w:r w:rsidR="00992FD0" w:rsidRPr="00EC250C">
        <w:rPr>
          <w:lang w:eastAsia="en-US"/>
        </w:rPr>
        <w:t>o </w:t>
      </w:r>
      <w:r w:rsidR="00C37860" w:rsidRPr="00EC250C">
        <w:rPr>
          <w:lang w:eastAsia="en-US"/>
        </w:rPr>
        <w:t>te same miejsca, ponieważ każda</w:t>
      </w:r>
      <w:r w:rsidR="00992FD0" w:rsidRPr="00EC250C">
        <w:rPr>
          <w:lang w:eastAsia="en-US"/>
        </w:rPr>
        <w:t xml:space="preserve"> z </w:t>
      </w:r>
      <w:r w:rsidR="00C37860" w:rsidRPr="00EC250C">
        <w:rPr>
          <w:lang w:eastAsia="en-US"/>
        </w:rPr>
        <w:t>tych grup będzie ubiegać się</w:t>
      </w:r>
      <w:r w:rsidR="00992FD0" w:rsidRPr="00EC250C">
        <w:rPr>
          <w:lang w:eastAsia="en-US"/>
        </w:rPr>
        <w:t xml:space="preserve"> o </w:t>
      </w:r>
      <w:r w:rsidR="00C37860" w:rsidRPr="00EC250C">
        <w:rPr>
          <w:lang w:eastAsia="en-US"/>
        </w:rPr>
        <w:t>przyjęcie na wolne miejsce przewidziane tylko dla absolwenta konkretnej szkoły.</w:t>
      </w:r>
    </w:p>
    <w:p w14:paraId="40DF122C" w14:textId="77777777" w:rsidR="00C91F6E" w:rsidRPr="00EC250C" w:rsidRDefault="00C37860" w:rsidP="00D131FA">
      <w:pPr>
        <w:pStyle w:val="Styl1"/>
        <w:rPr>
          <w:lang w:eastAsia="en-US"/>
        </w:rPr>
      </w:pPr>
      <w:r w:rsidRPr="00EC250C">
        <w:rPr>
          <w:lang w:eastAsia="en-US"/>
        </w:rPr>
        <w:t xml:space="preserve">Wyjaśnienia MEN nie rozwiały wątpliwości </w:t>
      </w:r>
      <w:r w:rsidR="00D76DC6" w:rsidRPr="00EC250C">
        <w:rPr>
          <w:lang w:eastAsia="en-US"/>
        </w:rPr>
        <w:t>RPO</w:t>
      </w:r>
      <w:r w:rsidRPr="00EC250C">
        <w:rPr>
          <w:lang w:eastAsia="en-US"/>
        </w:rPr>
        <w:t>, do którego wciąż napływa</w:t>
      </w:r>
      <w:r w:rsidR="00C41194" w:rsidRPr="00EC250C">
        <w:rPr>
          <w:lang w:eastAsia="en-US"/>
        </w:rPr>
        <w:t>ły</w:t>
      </w:r>
      <w:r w:rsidRPr="00EC250C">
        <w:rPr>
          <w:lang w:eastAsia="en-US"/>
        </w:rPr>
        <w:t xml:space="preserve"> sygnały</w:t>
      </w:r>
      <w:r w:rsidR="00992FD0" w:rsidRPr="00EC250C">
        <w:rPr>
          <w:lang w:eastAsia="en-US"/>
        </w:rPr>
        <w:t xml:space="preserve"> o </w:t>
      </w:r>
      <w:r w:rsidRPr="00EC250C">
        <w:rPr>
          <w:lang w:eastAsia="en-US"/>
        </w:rPr>
        <w:t>problemach lokalowych szkół oraz niewystarczającej liczbie nauczycieli.</w:t>
      </w:r>
      <w:r w:rsidR="00B57A04" w:rsidRPr="00EC250C">
        <w:rPr>
          <w:lang w:eastAsia="en-US"/>
        </w:rPr>
        <w:t xml:space="preserve"> Sprawą RPO zajmował się także w 2019 r.</w:t>
      </w:r>
      <w:r w:rsidR="00F70CE5" w:rsidRPr="00EC250C">
        <w:rPr>
          <w:lang w:eastAsia="en-US"/>
        </w:rPr>
        <w:t xml:space="preserve"> w korespondencji z władzami lokalnymi.</w:t>
      </w:r>
      <w:r w:rsidR="00B57A04" w:rsidRPr="00EC250C">
        <w:rPr>
          <w:rStyle w:val="Odwoanieprzypisudolnego"/>
          <w:lang w:eastAsia="en-US"/>
        </w:rPr>
        <w:footnoteReference w:id="575"/>
      </w:r>
    </w:p>
    <w:p w14:paraId="48C9033E" w14:textId="77777777" w:rsidR="00EB3410" w:rsidRPr="00EC250C" w:rsidRDefault="00EB3410" w:rsidP="00D131FA">
      <w:pPr>
        <w:pStyle w:val="ODESANIE"/>
        <w:jc w:val="both"/>
        <w:rPr>
          <w:lang w:eastAsia="en-US"/>
        </w:rPr>
      </w:pPr>
      <w:r w:rsidRPr="00EC250C">
        <w:rPr>
          <w:lang w:eastAsia="en-US"/>
        </w:rPr>
        <w:lastRenderedPageBreak/>
        <w:t>Sytuacja nauczycieli po reformie edukacji została omówiona</w:t>
      </w:r>
      <w:r w:rsidR="00992FD0" w:rsidRPr="00EC250C">
        <w:rPr>
          <w:lang w:eastAsia="en-US"/>
        </w:rPr>
        <w:t xml:space="preserve"> w </w:t>
      </w:r>
      <w:r w:rsidRPr="00EC250C">
        <w:rPr>
          <w:lang w:eastAsia="en-US"/>
        </w:rPr>
        <w:t>art. 65 ust. 2-5 Konstytucji (Prawa pracownicze)</w:t>
      </w:r>
    </w:p>
    <w:p w14:paraId="628E3285" w14:textId="77777777" w:rsidR="00A40AF0" w:rsidRPr="00EC250C" w:rsidRDefault="00A40AF0" w:rsidP="00D131FA">
      <w:pPr>
        <w:pStyle w:val="ODESANIE"/>
        <w:jc w:val="both"/>
      </w:pPr>
      <w:r w:rsidRPr="00EC250C">
        <w:t>Niewpuszczenie dziennikarzy na debatę</w:t>
      </w:r>
      <w:r w:rsidR="00992FD0" w:rsidRPr="00EC250C">
        <w:t xml:space="preserve"> o </w:t>
      </w:r>
      <w:r w:rsidRPr="00EC250C">
        <w:t>edukacji przez minister edukacji narodowej – patrz. Art. 61 Konstytucji (Prawo dostępu d9 informacji publicznej)</w:t>
      </w:r>
    </w:p>
    <w:p w14:paraId="0434FFB9" w14:textId="77777777" w:rsidR="00C91F6E" w:rsidRPr="00EC250C" w:rsidRDefault="00C41194" w:rsidP="00EC79EB">
      <w:pPr>
        <w:pStyle w:val="Nagwek4"/>
      </w:pPr>
      <w:bookmarkStart w:id="579" w:name="_Toc6257895"/>
      <w:bookmarkStart w:id="580" w:name="_Toc11247771"/>
      <w:r w:rsidRPr="00EC250C">
        <w:t xml:space="preserve">Problem </w:t>
      </w:r>
      <w:r w:rsidR="00D01A00" w:rsidRPr="00EC250C">
        <w:t xml:space="preserve">pełnoletnich </w:t>
      </w:r>
      <w:r w:rsidR="00C60725" w:rsidRPr="00EC250C">
        <w:t xml:space="preserve">wychowanków </w:t>
      </w:r>
      <w:r w:rsidR="00467E0E" w:rsidRPr="00EC250C">
        <w:t>m</w:t>
      </w:r>
      <w:r w:rsidRPr="00EC250C">
        <w:t xml:space="preserve">łodzieżowych </w:t>
      </w:r>
      <w:r w:rsidR="00467E0E" w:rsidRPr="00EC250C">
        <w:t>o</w:t>
      </w:r>
      <w:r w:rsidRPr="00EC250C">
        <w:t xml:space="preserve">środków </w:t>
      </w:r>
      <w:r w:rsidR="00467E0E" w:rsidRPr="00EC250C">
        <w:t>w</w:t>
      </w:r>
      <w:r w:rsidRPr="00EC250C">
        <w:t>ychowawczych</w:t>
      </w:r>
      <w:bookmarkEnd w:id="579"/>
      <w:bookmarkEnd w:id="580"/>
    </w:p>
    <w:p w14:paraId="004302CD" w14:textId="77777777" w:rsidR="00B473F5" w:rsidRPr="00EC250C" w:rsidRDefault="00622A11" w:rsidP="00D131FA">
      <w:pPr>
        <w:pStyle w:val="Problemczowieka"/>
        <w:jc w:val="both"/>
        <w:rPr>
          <w:shd w:val="clear" w:color="auto" w:fill="FFFFFF"/>
        </w:rPr>
      </w:pPr>
      <w:r w:rsidRPr="00EC250C">
        <w:rPr>
          <w:shd w:val="clear" w:color="auto" w:fill="FFFFFF"/>
        </w:rPr>
        <w:t xml:space="preserve">Wielu wychowanków MOW wie, że po powrocie do środowiska rodzinnego </w:t>
      </w:r>
      <w:r w:rsidR="00134DC9" w:rsidRPr="00EC250C">
        <w:rPr>
          <w:shd w:val="clear" w:color="auto" w:fill="FFFFFF"/>
        </w:rPr>
        <w:t>prawdopodobnie nie będą mogli się już uczyć</w:t>
      </w:r>
      <w:r w:rsidRPr="00EC250C">
        <w:rPr>
          <w:shd w:val="clear" w:color="auto" w:fill="FFFFFF"/>
        </w:rPr>
        <w:t>. Jednak jeśli młody człowiek kończy 18 lat przed rozpoczęciem roku szkolnego, np. 30 sierpnia, nie ma prawa dalej uczyć się</w:t>
      </w:r>
      <w:r w:rsidR="00992FD0" w:rsidRPr="00EC250C">
        <w:rPr>
          <w:shd w:val="clear" w:color="auto" w:fill="FFFFFF"/>
        </w:rPr>
        <w:t xml:space="preserve"> w </w:t>
      </w:r>
      <w:r w:rsidRPr="00EC250C">
        <w:rPr>
          <w:shd w:val="clear" w:color="auto" w:fill="FFFFFF"/>
        </w:rPr>
        <w:t>MOW. Co innego jeśli urodziny obchodzi 2 września</w:t>
      </w:r>
      <w:r w:rsidR="00D01A00" w:rsidRPr="00EC250C">
        <w:rPr>
          <w:shd w:val="clear" w:color="auto" w:fill="FFFFFF"/>
        </w:rPr>
        <w:t>,</w:t>
      </w:r>
      <w:r w:rsidR="001423ED" w:rsidRPr="00EC250C">
        <w:rPr>
          <w:shd w:val="clear" w:color="auto" w:fill="FFFFFF"/>
        </w:rPr>
        <w:t xml:space="preserve"> </w:t>
      </w:r>
      <w:r w:rsidR="00D01A00" w:rsidRPr="00EC250C">
        <w:rPr>
          <w:shd w:val="clear" w:color="auto" w:fill="FFFFFF"/>
        </w:rPr>
        <w:t>wówczas</w:t>
      </w:r>
      <w:r w:rsidRPr="00EC250C">
        <w:rPr>
          <w:shd w:val="clear" w:color="auto" w:fill="FFFFFF"/>
        </w:rPr>
        <w:t xml:space="preserve"> nadal może się uczyć</w:t>
      </w:r>
      <w:r w:rsidR="00992FD0" w:rsidRPr="00EC250C">
        <w:rPr>
          <w:shd w:val="clear" w:color="auto" w:fill="FFFFFF"/>
        </w:rPr>
        <w:t xml:space="preserve"> w </w:t>
      </w:r>
      <w:r w:rsidRPr="00EC250C">
        <w:rPr>
          <w:shd w:val="clear" w:color="auto" w:fill="FFFFFF"/>
        </w:rPr>
        <w:t>MOW</w:t>
      </w:r>
      <w:r w:rsidR="00D01A00" w:rsidRPr="00EC250C">
        <w:rPr>
          <w:shd w:val="clear" w:color="auto" w:fill="FFFFFF"/>
        </w:rPr>
        <w:t xml:space="preserve"> przez cały rok szkolny</w:t>
      </w:r>
      <w:r w:rsidR="00B473F5" w:rsidRPr="00EC250C">
        <w:rPr>
          <w:shd w:val="clear" w:color="auto" w:fill="FFFFFF"/>
        </w:rPr>
        <w:t>.</w:t>
      </w:r>
    </w:p>
    <w:p w14:paraId="25CF147E" w14:textId="77777777" w:rsidR="00622A11" w:rsidRPr="00EC250C" w:rsidRDefault="00622A11" w:rsidP="00D131FA">
      <w:pPr>
        <w:pStyle w:val="Styl1"/>
      </w:pPr>
      <w:r w:rsidRPr="00EC250C">
        <w:t>O problemie RPO dowiedział się</w:t>
      </w:r>
      <w:r w:rsidR="00992FD0" w:rsidRPr="00EC250C">
        <w:t xml:space="preserve"> w </w:t>
      </w:r>
      <w:r w:rsidRPr="00EC250C">
        <w:t>czasie spotkania regionalnego</w:t>
      </w:r>
      <w:r w:rsidR="00992FD0" w:rsidRPr="00EC250C">
        <w:t xml:space="preserve"> w </w:t>
      </w:r>
      <w:r w:rsidRPr="00EC250C">
        <w:t>Cz</w:t>
      </w:r>
      <w:r w:rsidRPr="00EC250C">
        <w:rPr>
          <w:rFonts w:hint="eastAsia"/>
        </w:rPr>
        <w:t>ł</w:t>
      </w:r>
      <w:r w:rsidRPr="00EC250C">
        <w:t>uchowie</w:t>
      </w:r>
      <w:r w:rsidR="00992FD0" w:rsidRPr="00EC250C">
        <w:t xml:space="preserve"> w </w:t>
      </w:r>
      <w:r w:rsidRPr="00EC250C">
        <w:t>kwietniu 2018</w:t>
      </w:r>
      <w:r w:rsidR="00C91F6E" w:rsidRPr="00EC250C">
        <w:t> r.</w:t>
      </w:r>
      <w:r w:rsidR="00992FD0" w:rsidRPr="00EC250C">
        <w:t xml:space="preserve"> i </w:t>
      </w:r>
      <w:r w:rsidR="009202B2" w:rsidRPr="00EC250C">
        <w:t>zasygnalizował go</w:t>
      </w:r>
      <w:r w:rsidR="00992FD0" w:rsidRPr="00EC250C">
        <w:t xml:space="preserve"> w </w:t>
      </w:r>
      <w:r w:rsidR="009202B2" w:rsidRPr="00EC250C">
        <w:t>wystąpieniu do Ministra Edukacji Narodowej</w:t>
      </w:r>
      <w:r w:rsidR="009202B2" w:rsidRPr="00EC250C">
        <w:rPr>
          <w:rStyle w:val="Odwoanieprzypisudolnego"/>
          <w:bCs/>
          <w:iCs/>
        </w:rPr>
        <w:footnoteReference w:id="576"/>
      </w:r>
      <w:r w:rsidR="009202B2" w:rsidRPr="00EC250C">
        <w:t xml:space="preserve">. </w:t>
      </w:r>
      <w:r w:rsidRPr="00EC250C">
        <w:t>Choć formalnie zakazu nauki</w:t>
      </w:r>
      <w:r w:rsidR="00992FD0" w:rsidRPr="00EC250C">
        <w:t xml:space="preserve"> w </w:t>
      </w:r>
      <w:r w:rsidRPr="00EC250C">
        <w:t>MOW nie ma, to faktycznie uniemożliwiają ją zasady działania o</w:t>
      </w:r>
      <w:r w:rsidRPr="00EC250C">
        <w:rPr>
          <w:rFonts w:hint="eastAsia"/>
        </w:rPr>
        <w:t>ś</w:t>
      </w:r>
      <w:r w:rsidRPr="00EC250C">
        <w:t>wiatowej subwencji og</w:t>
      </w:r>
      <w:r w:rsidRPr="00EC250C">
        <w:rPr>
          <w:rFonts w:hint="eastAsia"/>
        </w:rPr>
        <w:t>ó</w:t>
      </w:r>
      <w:r w:rsidRPr="00EC250C">
        <w:t>lnej.</w:t>
      </w:r>
    </w:p>
    <w:p w14:paraId="1451EB16" w14:textId="77777777" w:rsidR="00163F28" w:rsidRPr="00EC250C" w:rsidRDefault="00384A3C" w:rsidP="00D131FA">
      <w:pPr>
        <w:pStyle w:val="Styl1"/>
      </w:pPr>
      <w:r w:rsidRPr="00EC250C">
        <w:rPr>
          <w:bCs/>
          <w:iCs/>
        </w:rPr>
        <w:t xml:space="preserve">W odpowiedzi Minister </w:t>
      </w:r>
      <w:r w:rsidR="00C60725" w:rsidRPr="00EC250C">
        <w:rPr>
          <w:bCs/>
          <w:iCs/>
        </w:rPr>
        <w:t>poinformował</w:t>
      </w:r>
      <w:r w:rsidR="009202B2" w:rsidRPr="00EC250C">
        <w:rPr>
          <w:bCs/>
          <w:iCs/>
        </w:rPr>
        <w:t xml:space="preserve">, postanowienie </w:t>
      </w:r>
      <w:r w:rsidR="00D01A00" w:rsidRPr="00EC250C">
        <w:rPr>
          <w:bCs/>
          <w:iCs/>
        </w:rPr>
        <w:t>sądu</w:t>
      </w:r>
      <w:r w:rsidR="00992FD0" w:rsidRPr="00EC250C">
        <w:rPr>
          <w:bCs/>
          <w:iCs/>
        </w:rPr>
        <w:t xml:space="preserve"> o </w:t>
      </w:r>
      <w:r w:rsidR="009202B2" w:rsidRPr="00EC250C">
        <w:rPr>
          <w:bCs/>
          <w:iCs/>
        </w:rPr>
        <w:t>umieszczeniu</w:t>
      </w:r>
      <w:r w:rsidR="00992FD0" w:rsidRPr="00EC250C">
        <w:rPr>
          <w:bCs/>
          <w:iCs/>
        </w:rPr>
        <w:t xml:space="preserve"> w </w:t>
      </w:r>
      <w:r w:rsidR="009202B2" w:rsidRPr="00EC250C">
        <w:rPr>
          <w:bCs/>
          <w:iCs/>
        </w:rPr>
        <w:t>MOW wygasa</w:t>
      </w:r>
      <w:r w:rsidR="00992FD0" w:rsidRPr="00EC250C">
        <w:rPr>
          <w:bCs/>
          <w:iCs/>
        </w:rPr>
        <w:t xml:space="preserve"> z </w:t>
      </w:r>
      <w:r w:rsidR="00C60725" w:rsidRPr="00EC250C">
        <w:rPr>
          <w:bCs/>
          <w:iCs/>
        </w:rPr>
        <w:t>mocy prawa, gdy nieletni osiąga pełnoletność.</w:t>
      </w:r>
      <w:r w:rsidR="009202B2" w:rsidRPr="00EC250C">
        <w:rPr>
          <w:bCs/>
          <w:iCs/>
        </w:rPr>
        <w:t xml:space="preserve"> Ale jeśli</w:t>
      </w:r>
      <w:r w:rsidR="00992FD0" w:rsidRPr="00EC250C">
        <w:rPr>
          <w:bCs/>
          <w:iCs/>
        </w:rPr>
        <w:t xml:space="preserve"> w </w:t>
      </w:r>
      <w:r w:rsidR="009202B2" w:rsidRPr="00EC250C">
        <w:rPr>
          <w:bCs/>
          <w:iCs/>
        </w:rPr>
        <w:t>ośrodku są miejsca</w:t>
      </w:r>
      <w:r w:rsidR="00992FD0" w:rsidRPr="00EC250C">
        <w:rPr>
          <w:bCs/>
          <w:iCs/>
        </w:rPr>
        <w:t xml:space="preserve"> w </w:t>
      </w:r>
      <w:r w:rsidR="009202B2" w:rsidRPr="00EC250C">
        <w:rPr>
          <w:bCs/>
          <w:iCs/>
        </w:rPr>
        <w:t xml:space="preserve">szkole, to </w:t>
      </w:r>
      <w:r w:rsidR="00C60725" w:rsidRPr="00EC250C">
        <w:rPr>
          <w:bCs/>
          <w:iCs/>
        </w:rPr>
        <w:t xml:space="preserve">sąd rodzinny może przedłużyć </w:t>
      </w:r>
      <w:r w:rsidR="009202B2" w:rsidRPr="00EC250C">
        <w:rPr>
          <w:bCs/>
          <w:iCs/>
        </w:rPr>
        <w:t>pobyt</w:t>
      </w:r>
      <w:r w:rsidR="00992FD0" w:rsidRPr="00EC250C">
        <w:rPr>
          <w:bCs/>
          <w:iCs/>
        </w:rPr>
        <w:t xml:space="preserve"> w </w:t>
      </w:r>
      <w:r w:rsidR="00C60725" w:rsidRPr="00EC250C">
        <w:rPr>
          <w:bCs/>
          <w:iCs/>
        </w:rPr>
        <w:t xml:space="preserve">placówce na okres do zakończenia roku szkolnego. </w:t>
      </w:r>
      <w:r w:rsidR="00D01A00" w:rsidRPr="00EC250C">
        <w:rPr>
          <w:bCs/>
          <w:iCs/>
        </w:rPr>
        <w:t>Ponadto osoba</w:t>
      </w:r>
      <w:r w:rsidR="00CC4D88" w:rsidRPr="00EC250C">
        <w:rPr>
          <w:bCs/>
          <w:iCs/>
        </w:rPr>
        <w:t xml:space="preserve"> </w:t>
      </w:r>
      <w:r w:rsidR="001423ED" w:rsidRPr="00EC250C">
        <w:rPr>
          <w:bCs/>
          <w:iCs/>
        </w:rPr>
        <w:t>pełnoletni</w:t>
      </w:r>
      <w:r w:rsidR="00D01A00" w:rsidRPr="00EC250C">
        <w:rPr>
          <w:bCs/>
          <w:iCs/>
        </w:rPr>
        <w:t>a</w:t>
      </w:r>
      <w:r w:rsidR="00C60725" w:rsidRPr="00EC250C">
        <w:rPr>
          <w:bCs/>
          <w:iCs/>
        </w:rPr>
        <w:t xml:space="preserve">, po opuszczeniu MOW </w:t>
      </w:r>
      <w:r w:rsidR="001423ED" w:rsidRPr="00EC250C">
        <w:rPr>
          <w:bCs/>
          <w:iCs/>
        </w:rPr>
        <w:t>ma</w:t>
      </w:r>
      <w:r w:rsidR="00C60725" w:rsidRPr="00EC250C">
        <w:rPr>
          <w:bCs/>
          <w:iCs/>
        </w:rPr>
        <w:t xml:space="preserve"> możliwość kontynuowania nauki</w:t>
      </w:r>
      <w:r w:rsidR="00992FD0" w:rsidRPr="00EC250C">
        <w:rPr>
          <w:bCs/>
          <w:iCs/>
        </w:rPr>
        <w:t xml:space="preserve"> w </w:t>
      </w:r>
      <w:r w:rsidR="00C60725" w:rsidRPr="00EC250C">
        <w:rPr>
          <w:bCs/>
          <w:iCs/>
        </w:rPr>
        <w:t>szkołach dla młodzieży lub</w:t>
      </w:r>
      <w:r w:rsidR="00992FD0" w:rsidRPr="00EC250C">
        <w:rPr>
          <w:bCs/>
          <w:iCs/>
        </w:rPr>
        <w:t xml:space="preserve"> w </w:t>
      </w:r>
      <w:r w:rsidR="00C60725" w:rsidRPr="00EC250C">
        <w:rPr>
          <w:bCs/>
          <w:iCs/>
        </w:rPr>
        <w:t>szkołach dla dorosłych.</w:t>
      </w:r>
    </w:p>
    <w:p w14:paraId="25B46D88" w14:textId="77777777" w:rsidR="00C91F6E" w:rsidRPr="00EC250C" w:rsidRDefault="00134DC9" w:rsidP="00EC79EB">
      <w:pPr>
        <w:pStyle w:val="Nagwek4"/>
      </w:pPr>
      <w:bookmarkStart w:id="581" w:name="_Toc6257896"/>
      <w:bookmarkStart w:id="582" w:name="_Toc11247772"/>
      <w:r w:rsidRPr="00EC250C">
        <w:t xml:space="preserve">Brak edukacji </w:t>
      </w:r>
      <w:r w:rsidR="009202B2" w:rsidRPr="00EC250C">
        <w:t>antydyskryminacyjnej</w:t>
      </w:r>
      <w:bookmarkEnd w:id="581"/>
      <w:bookmarkEnd w:id="582"/>
    </w:p>
    <w:p w14:paraId="15DAB946" w14:textId="77777777" w:rsidR="00163F28" w:rsidRPr="00EC250C" w:rsidRDefault="00B91018" w:rsidP="00D131FA">
      <w:pPr>
        <w:pStyle w:val="ODESANIE"/>
        <w:jc w:val="both"/>
      </w:pPr>
      <w:r w:rsidRPr="00EC250C">
        <w:t>Omówienie</w:t>
      </w:r>
      <w:r w:rsidR="00F70CE5" w:rsidRPr="00EC250C">
        <w:t xml:space="preserve"> w tym sprawa „Tęczowego Piątku”</w:t>
      </w:r>
      <w:r w:rsidR="008B13D0" w:rsidRPr="00EC250C">
        <w:t>:</w:t>
      </w:r>
      <w:r w:rsidRPr="00EC250C">
        <w:t xml:space="preserve"> </w:t>
      </w:r>
      <w:r w:rsidR="00EB331F" w:rsidRPr="00EC250C">
        <w:t>A</w:t>
      </w:r>
      <w:r w:rsidRPr="00EC250C">
        <w:t>rt. 32 ust. 2</w:t>
      </w:r>
      <w:r w:rsidR="00EB331F" w:rsidRPr="00EC250C">
        <w:t xml:space="preserve"> – Zasada niedyskryminacji.</w:t>
      </w:r>
    </w:p>
    <w:p w14:paraId="0302751F" w14:textId="77777777" w:rsidR="00163F28" w:rsidRPr="00EC250C" w:rsidRDefault="00163F28" w:rsidP="00D131FA">
      <w:pPr>
        <w:spacing w:after="200" w:line="24" w:lineRule="auto"/>
        <w:jc w:val="both"/>
        <w:rPr>
          <w:bCs/>
          <w:color w:val="044892"/>
          <w:sz w:val="24"/>
        </w:rPr>
      </w:pPr>
      <w:r w:rsidRPr="00EC250C">
        <w:rPr>
          <w:sz w:val="24"/>
        </w:rPr>
        <w:br w:type="page"/>
      </w:r>
    </w:p>
    <w:p w14:paraId="69455260" w14:textId="77777777" w:rsidR="00845591" w:rsidRPr="00EC250C" w:rsidRDefault="00845591" w:rsidP="00EC250C">
      <w:pPr>
        <w:pStyle w:val="Nagwek3"/>
      </w:pPr>
      <w:bookmarkStart w:id="583" w:name="_Toc6257897"/>
      <w:bookmarkStart w:id="584" w:name="_Toc11247773"/>
      <w:bookmarkStart w:id="585" w:name="_Toc6257898"/>
      <w:r w:rsidRPr="00EC250C">
        <w:lastRenderedPageBreak/>
        <w:t>Art. 70 Konstytucji ust. 2 – Bezpłatność nauki</w:t>
      </w:r>
      <w:bookmarkEnd w:id="583"/>
      <w:bookmarkEnd w:id="584"/>
    </w:p>
    <w:p w14:paraId="237619E6" w14:textId="77777777" w:rsidR="00845591" w:rsidRPr="00EC250C" w:rsidRDefault="00845591" w:rsidP="00845591">
      <w:pPr>
        <w:pStyle w:val="konstytucja"/>
        <w:jc w:val="both"/>
      </w:pPr>
      <w:r w:rsidRPr="00EC250C">
        <w:t>Nauka w szkołach publicznych jest bezpłatna. Ustawa może dopuścić świadczenie niektórych usług edukacyjnych przez publiczne szkoły wyższe za odpłatnością.</w:t>
      </w:r>
    </w:p>
    <w:p w14:paraId="04CC4B0C" w14:textId="77777777" w:rsidR="00845591" w:rsidRPr="00EC250C" w:rsidRDefault="00845591" w:rsidP="00845591">
      <w:pPr>
        <w:pStyle w:val="ComwiKonstytucja"/>
      </w:pPr>
      <w:r w:rsidRPr="00EC250C">
        <w:t>Kolejne ustępy artykułu 70 formułują szczegółowe gwarancje prawa do nauki</w:t>
      </w:r>
    </w:p>
    <w:p w14:paraId="2C67D192" w14:textId="77777777" w:rsidR="00845591" w:rsidRPr="00EC250C" w:rsidRDefault="00845591" w:rsidP="00845591">
      <w:pPr>
        <w:pStyle w:val="ComwiKonstytucja"/>
        <w:numPr>
          <w:ilvl w:val="0"/>
          <w:numId w:val="63"/>
        </w:numPr>
      </w:pPr>
      <w:r w:rsidRPr="00EC250C">
        <w:t>zasadę dwusektorowości systemu szkolnictwa (równoległe istnienie systemu szkół publicznych i niepublicznych);</w:t>
      </w:r>
    </w:p>
    <w:p w14:paraId="25DF8916" w14:textId="77777777" w:rsidR="00845591" w:rsidRPr="00EC250C" w:rsidRDefault="00845591" w:rsidP="00845591">
      <w:pPr>
        <w:pStyle w:val="ComwiKonstytucja"/>
        <w:numPr>
          <w:ilvl w:val="0"/>
          <w:numId w:val="63"/>
        </w:numPr>
      </w:pPr>
      <w:r w:rsidRPr="00EC250C">
        <w:t>zasadę bezpłatności nauki w szkołach publicznych;</w:t>
      </w:r>
    </w:p>
    <w:p w14:paraId="0B9AC991" w14:textId="77777777" w:rsidR="00845591" w:rsidRPr="00EC250C" w:rsidRDefault="00845591" w:rsidP="00845591">
      <w:pPr>
        <w:pStyle w:val="ComwiKonstytucja"/>
        <w:numPr>
          <w:ilvl w:val="0"/>
          <w:numId w:val="63"/>
        </w:numPr>
      </w:pPr>
      <w:r w:rsidRPr="00EC250C">
        <w:t>zasadę powszechnego i równego dostępu do wykształcenia;</w:t>
      </w:r>
    </w:p>
    <w:p w14:paraId="4C337879" w14:textId="77777777" w:rsidR="00845591" w:rsidRPr="00EC250C" w:rsidRDefault="00845591" w:rsidP="00845591">
      <w:pPr>
        <w:pStyle w:val="ComwiKonstytucja"/>
        <w:numPr>
          <w:ilvl w:val="0"/>
          <w:numId w:val="63"/>
        </w:numPr>
      </w:pPr>
      <w:r w:rsidRPr="00EC250C">
        <w:t>zasadę pomocy władz publicznych dla uczniów i studentów.</w:t>
      </w:r>
    </w:p>
    <w:p w14:paraId="6DA187A8" w14:textId="77777777" w:rsidR="00845591" w:rsidRPr="00EC250C" w:rsidRDefault="00845591" w:rsidP="00845591">
      <w:pPr>
        <w:pStyle w:val="ComwiKonstytucja"/>
      </w:pPr>
      <w:r w:rsidRPr="00EC250C">
        <w:t>Zasada bezpłatności (ustęp 2) dotyczy jedynie szkół publicznych, dlatego ich funkcjonowanie musi być w całości finansowane ze środków publicznych. Wolność zakładania i prowadzenia odpłatnych szkół niepublicznych jest elementem wolności gospodarczej. W publicznych szkołach wyższych dopuszczalne jest tworzenie równoległych systemów studiów odpłatnych.</w:t>
      </w:r>
    </w:p>
    <w:p w14:paraId="68DE1FBB" w14:textId="77777777" w:rsidR="00845591" w:rsidRPr="00EC250C" w:rsidRDefault="00845591" w:rsidP="00845591">
      <w:pPr>
        <w:pStyle w:val="ComwiKonstytucja"/>
      </w:pPr>
    </w:p>
    <w:p w14:paraId="2C7431C3" w14:textId="77777777" w:rsidR="00845591" w:rsidRPr="00EC250C" w:rsidRDefault="00845591" w:rsidP="00845591">
      <w:pPr>
        <w:spacing w:after="200" w:line="24" w:lineRule="auto"/>
        <w:jc w:val="both"/>
        <w:rPr>
          <w:spacing w:val="5"/>
          <w:sz w:val="24"/>
        </w:rPr>
      </w:pPr>
      <w:r w:rsidRPr="00EC250C">
        <w:rPr>
          <w:sz w:val="24"/>
        </w:rPr>
        <w:br w:type="page"/>
      </w:r>
    </w:p>
    <w:p w14:paraId="00A5BDBE" w14:textId="77777777" w:rsidR="00845591" w:rsidRPr="00EC250C" w:rsidRDefault="00845591" w:rsidP="00845591">
      <w:pPr>
        <w:pStyle w:val="Nagwek4"/>
      </w:pPr>
      <w:bookmarkStart w:id="586" w:name="_Toc11247774"/>
      <w:r w:rsidRPr="00EC250C">
        <w:lastRenderedPageBreak/>
        <w:t>Koszty dojazdu do szkoły i dowozu dziecka</w:t>
      </w:r>
      <w:bookmarkEnd w:id="586"/>
    </w:p>
    <w:p w14:paraId="716CC277" w14:textId="77777777" w:rsidR="00845591" w:rsidRPr="00EC250C" w:rsidRDefault="00845591" w:rsidP="00EC250C">
      <w:pPr>
        <w:pStyle w:val="Nagwek8"/>
        <w:rPr>
          <w:sz w:val="26"/>
        </w:rPr>
      </w:pPr>
      <w:bookmarkStart w:id="587" w:name="_Hlk8210663"/>
      <w:r w:rsidRPr="00EC250C">
        <w:t>Autobus zabierał dziecko do zerówki pod warunkiem, że pojedzie z nim rodzic</w:t>
      </w:r>
    </w:p>
    <w:bookmarkEnd w:id="587"/>
    <w:p w14:paraId="746D4205" w14:textId="77777777" w:rsidR="00845591" w:rsidRPr="00EC250C" w:rsidRDefault="00845591" w:rsidP="00845591">
      <w:pPr>
        <w:pStyle w:val="Styl2"/>
        <w:rPr>
          <w:szCs w:val="24"/>
        </w:rPr>
      </w:pPr>
      <w:r w:rsidRPr="00EC250C">
        <w:rPr>
          <w:szCs w:val="24"/>
        </w:rPr>
        <w:t>Matka dwojga dzieci z zerówki zgłosiła Rzecznikowi Praw Obywatelskich, że w jej wsi (w woj. świętokrzyskim) autobus szkolny zabiera maluchy tylko pod warunkiem, że towarzyszą im opiekunowie. Po odwiezieniu dzieci rodzice musieli sami zorganizować sobie powrót do domu. Komunikacja publiczna jednak nie dociera do ich miejsca zamieszkania.</w:t>
      </w:r>
    </w:p>
    <w:p w14:paraId="1E8AA9B0" w14:textId="77777777" w:rsidR="00845591" w:rsidRPr="00EC250C" w:rsidRDefault="00845591" w:rsidP="00845591">
      <w:pPr>
        <w:pStyle w:val="Styl2"/>
        <w:rPr>
          <w:szCs w:val="24"/>
        </w:rPr>
      </w:pPr>
      <w:r w:rsidRPr="00EC250C">
        <w:rPr>
          <w:szCs w:val="24"/>
        </w:rPr>
        <w:t>Wnioskodawczyni skarżyła się także na brak opieki nad dziećmi przed lekcjami – uczniowie przebywali na korytarzu, ponieważ szatnia i sala były zamknięte, natomiast świetlica szkolna działała jedynie do wczesnych godzin popołudniowych. Wskutek interwencji RPO u dyrektora szkoły i wójta</w:t>
      </w:r>
      <w:r w:rsidRPr="00EC250C">
        <w:rPr>
          <w:rStyle w:val="Odwoanieprzypisudolnego"/>
          <w:szCs w:val="24"/>
        </w:rPr>
        <w:footnoteReference w:id="577"/>
      </w:r>
      <w:r w:rsidRPr="00EC250C">
        <w:rPr>
          <w:szCs w:val="24"/>
        </w:rPr>
        <w:t xml:space="preserve"> zmieniono zasady dotyczące dowozu dzieci oraz zapewniono im opiekę w szkolnym autobusie oraz w świetlicy szkolnej.</w:t>
      </w:r>
    </w:p>
    <w:p w14:paraId="489C7FC2" w14:textId="77777777" w:rsidR="00845591" w:rsidRPr="00EC250C" w:rsidRDefault="00845591" w:rsidP="00EC250C">
      <w:pPr>
        <w:pStyle w:val="Nagwek8"/>
      </w:pPr>
      <w:r w:rsidRPr="00EC250C">
        <w:t>40-kilometrowa droga do szkoły – spotkanie regionalne RPO w Człuchowie</w:t>
      </w:r>
    </w:p>
    <w:p w14:paraId="36DDFF82" w14:textId="77777777" w:rsidR="00845591" w:rsidRPr="00EC250C" w:rsidRDefault="00845591" w:rsidP="00845591">
      <w:pPr>
        <w:pStyle w:val="Styl2"/>
        <w:rPr>
          <w:szCs w:val="24"/>
        </w:rPr>
      </w:pPr>
      <w:r w:rsidRPr="00EC250C">
        <w:rPr>
          <w:szCs w:val="24"/>
        </w:rPr>
        <w:t>Konstytucja dając nam prawo do edukacji gwarantuje nie tyle sam dostęp do szkół, zapewnia, by ten dostęp był równy. A to zależy także od zapewnienia realnej możliwości dojazdu. Na wielu spotkaniach ten problem jest nam zgłaszany.</w:t>
      </w:r>
    </w:p>
    <w:p w14:paraId="7D9FE362" w14:textId="77777777" w:rsidR="00845591" w:rsidRPr="00EC250C" w:rsidRDefault="00845591" w:rsidP="00845591">
      <w:pPr>
        <w:pStyle w:val="Styl2"/>
        <w:rPr>
          <w:szCs w:val="24"/>
        </w:rPr>
      </w:pPr>
      <w:r w:rsidRPr="00EC250C">
        <w:rPr>
          <w:szCs w:val="24"/>
        </w:rPr>
        <w:t>W Człuchowie, który RPO odwiedził podczas spotkań regionalnych działa od niedawna zakład budżetowy zajmujący się komunikacją publiczną. Uczniowie mają w tej sieci bilety za darmo, a rozkład jazdy dopasowany jest do planu lekcji (powstał po konsultacjach i rozeznaniu potrzeb), zwłaszcza w szkołach podstawowych. Ma oczywiście kłopoty z finansowaniem, bo dotacja z powiatu to za mało – zdaniem szefa tej firmy potrzebna jest na to dotacja z budżetu centralnego.</w:t>
      </w:r>
    </w:p>
    <w:p w14:paraId="79E3198A" w14:textId="77777777" w:rsidR="00845591" w:rsidRPr="00EC250C" w:rsidRDefault="00845591" w:rsidP="00845591">
      <w:pPr>
        <w:pStyle w:val="Styl2"/>
        <w:rPr>
          <w:szCs w:val="24"/>
        </w:rPr>
      </w:pPr>
      <w:r w:rsidRPr="00EC250C">
        <w:rPr>
          <w:szCs w:val="24"/>
        </w:rPr>
        <w:t>Z proponowanych usług korzysta wielu młodych obywateli, którzy codziennie dojeżdżają do szkół nawet 40 km.</w:t>
      </w:r>
    </w:p>
    <w:p w14:paraId="1857B58D" w14:textId="77777777" w:rsidR="00845591" w:rsidRPr="00EC250C" w:rsidRDefault="00845591" w:rsidP="00845591">
      <w:pPr>
        <w:pStyle w:val="Styl2"/>
        <w:rPr>
          <w:szCs w:val="24"/>
        </w:rPr>
      </w:pPr>
      <w:r w:rsidRPr="00EC250C">
        <w:rPr>
          <w:szCs w:val="24"/>
        </w:rPr>
        <w:t>- Mieszkam koło Człuchowa, chciałam iść do szkoły w Chojnicach – ale tam nie było komunikacji, więc wyboru nie było.</w:t>
      </w:r>
    </w:p>
    <w:p w14:paraId="77DCA3C8" w14:textId="77777777" w:rsidR="00845591" w:rsidRPr="00EC250C" w:rsidRDefault="00845591" w:rsidP="00845591">
      <w:pPr>
        <w:pStyle w:val="Styl2"/>
        <w:rPr>
          <w:szCs w:val="24"/>
        </w:rPr>
      </w:pPr>
      <w:r w:rsidRPr="00EC250C">
        <w:rPr>
          <w:szCs w:val="24"/>
        </w:rPr>
        <w:t>- Autobus dostosowany jest do mojego planu lekcji. Ale to znaczy, że na zajęcia pozalekcyjne nie mam szans. Autobus rusza 5 min. po ostatniej obowiązkowej lekcji.</w:t>
      </w:r>
    </w:p>
    <w:p w14:paraId="66842D62" w14:textId="77777777" w:rsidR="00845591" w:rsidRPr="00EC250C" w:rsidRDefault="00845591" w:rsidP="00845591">
      <w:pPr>
        <w:pStyle w:val="Styl2"/>
        <w:rPr>
          <w:szCs w:val="24"/>
        </w:rPr>
      </w:pPr>
      <w:r w:rsidRPr="00EC250C">
        <w:rPr>
          <w:szCs w:val="24"/>
        </w:rPr>
        <w:t>Według RPO problem wykluczenia transportowego uczniów czy rodzin z dziećmi z niepełnosprawnościami, które muszą dojeżdżać na terapię, jest niezwykle dotkliwy i zbyt mało dostrzegalny z perspektywy dużych miast</w:t>
      </w:r>
      <w:r w:rsidRPr="00EC250C">
        <w:rPr>
          <w:rStyle w:val="Odwoanieprzypisudolnego"/>
          <w:szCs w:val="24"/>
        </w:rPr>
        <w:footnoteReference w:id="578"/>
      </w:r>
      <w:r w:rsidRPr="00EC250C">
        <w:rPr>
          <w:szCs w:val="24"/>
        </w:rPr>
        <w:t>.</w:t>
      </w:r>
    </w:p>
    <w:p w14:paraId="77CE0102" w14:textId="77777777" w:rsidR="00845591" w:rsidRPr="00EC250C" w:rsidRDefault="00845591" w:rsidP="00845591">
      <w:pPr>
        <w:pStyle w:val="ODESANIE"/>
        <w:jc w:val="both"/>
      </w:pPr>
      <w:r w:rsidRPr="00EC250C">
        <w:t>Problem wykluczenia transportowego – omówiony w kontekście art. 52 Konstytucji</w:t>
      </w:r>
    </w:p>
    <w:p w14:paraId="3509A5F5" w14:textId="77777777" w:rsidR="00845591" w:rsidRPr="00EC250C" w:rsidRDefault="00845591" w:rsidP="00845591">
      <w:pPr>
        <w:spacing w:after="200" w:line="24" w:lineRule="auto"/>
        <w:jc w:val="both"/>
        <w:rPr>
          <w:bCs/>
          <w:color w:val="044892"/>
          <w:sz w:val="24"/>
        </w:rPr>
      </w:pPr>
      <w:r w:rsidRPr="00EC250C">
        <w:rPr>
          <w:sz w:val="24"/>
        </w:rPr>
        <w:br w:type="page"/>
      </w:r>
    </w:p>
    <w:p w14:paraId="1053CCB4" w14:textId="456C0BB6" w:rsidR="00C91F6E" w:rsidRPr="00EC250C" w:rsidRDefault="00724AEC" w:rsidP="00EC250C">
      <w:pPr>
        <w:pStyle w:val="Nagwek3"/>
      </w:pPr>
      <w:bookmarkStart w:id="588" w:name="_Toc11247775"/>
      <w:r w:rsidRPr="00EC250C">
        <w:lastRenderedPageBreak/>
        <w:t xml:space="preserve">Art. 70 </w:t>
      </w:r>
      <w:r w:rsidR="006302BF" w:rsidRPr="00EC250C">
        <w:t xml:space="preserve">Konstytucji </w:t>
      </w:r>
      <w:r w:rsidR="003C7122" w:rsidRPr="00EC250C">
        <w:t xml:space="preserve">ust. 3 </w:t>
      </w:r>
      <w:r w:rsidRPr="00EC250C">
        <w:t>– Prawo do szkół prywatnych</w:t>
      </w:r>
      <w:bookmarkEnd w:id="585"/>
      <w:bookmarkEnd w:id="588"/>
    </w:p>
    <w:p w14:paraId="79E0CFD5" w14:textId="77777777" w:rsidR="00724AEC" w:rsidRPr="00EC250C" w:rsidRDefault="00724AEC" w:rsidP="00D131FA">
      <w:pPr>
        <w:pStyle w:val="konstytucja"/>
        <w:jc w:val="both"/>
      </w:pPr>
      <w:r w:rsidRPr="00EC250C">
        <w:t>Rodzice mają wolność wyboru dla swoich dzieci szkół innych niż publiczne. Obywatele</w:t>
      </w:r>
      <w:r w:rsidR="00992FD0" w:rsidRPr="00EC250C">
        <w:t xml:space="preserve"> i </w:t>
      </w:r>
      <w:r w:rsidRPr="00EC250C">
        <w:t>instytucje mają prawo zakładania szkół podstawowych, ponadpodstawowych</w:t>
      </w:r>
      <w:r w:rsidR="00992FD0" w:rsidRPr="00EC250C">
        <w:t xml:space="preserve"> i </w:t>
      </w:r>
      <w:r w:rsidRPr="00EC250C">
        <w:t>wyższych oraz zakładów wychowawczych. Warunki zakładania</w:t>
      </w:r>
      <w:r w:rsidR="00992FD0" w:rsidRPr="00EC250C">
        <w:t xml:space="preserve"> i </w:t>
      </w:r>
      <w:r w:rsidRPr="00EC250C">
        <w:t>działalności szkół niepublicznych oraz udziału władz publicznych</w:t>
      </w:r>
      <w:r w:rsidR="00992FD0" w:rsidRPr="00EC250C">
        <w:t xml:space="preserve"> w </w:t>
      </w:r>
      <w:r w:rsidRPr="00EC250C">
        <w:t>ich finansowaniu,</w:t>
      </w:r>
      <w:r w:rsidR="00992FD0" w:rsidRPr="00EC250C">
        <w:t xml:space="preserve"> a </w:t>
      </w:r>
      <w:r w:rsidRPr="00EC250C">
        <w:t>także zasady nadzoru pedagogicznego nad szkołami</w:t>
      </w:r>
      <w:r w:rsidR="00992FD0" w:rsidRPr="00EC250C">
        <w:t xml:space="preserve"> i </w:t>
      </w:r>
      <w:r w:rsidRPr="00EC250C">
        <w:t>zakładami wychowawczymi, określa ustawa.</w:t>
      </w:r>
    </w:p>
    <w:p w14:paraId="4092294C" w14:textId="77777777" w:rsidR="00C91F6E" w:rsidRPr="00EC250C" w:rsidRDefault="000D39D9" w:rsidP="00D131FA">
      <w:pPr>
        <w:pStyle w:val="ComwiKonstytucja"/>
      </w:pPr>
      <w:r w:rsidRPr="00EC250C">
        <w:t>Ustęp 3</w:t>
      </w:r>
      <w:r w:rsidR="00992FD0" w:rsidRPr="00EC250C">
        <w:t xml:space="preserve"> w </w:t>
      </w:r>
      <w:r w:rsidRPr="00EC250C">
        <w:t>zdaniu 1 reguluje wolność wyboru typu szkoły – publicznej lub niepublicznej. Z tego przepisu można również wyprowadzić zakaz dyskryminowania szkół niepublicznych</w:t>
      </w:r>
      <w:r w:rsidR="00992FD0" w:rsidRPr="00EC250C">
        <w:t xml:space="preserve"> i </w:t>
      </w:r>
      <w:r w:rsidRPr="00EC250C">
        <w:t>ich uczniów.</w:t>
      </w:r>
    </w:p>
    <w:p w14:paraId="42471975" w14:textId="77777777" w:rsidR="000D39D9" w:rsidRPr="00EC250C" w:rsidRDefault="000D39D9" w:rsidP="00D131FA">
      <w:pPr>
        <w:pStyle w:val="ComwiKonstytucja"/>
      </w:pPr>
      <w:r w:rsidRPr="00EC250C">
        <w:t>Kolejne ustępy precyzują wolność zakładania szkół innych niż publiczne, np. prowadzonych przez Kościół. Jest to gwarancja zasady pluralizmu</w:t>
      </w:r>
      <w:r w:rsidR="00992FD0" w:rsidRPr="00EC250C">
        <w:t xml:space="preserve"> w </w:t>
      </w:r>
      <w:r w:rsidRPr="00EC250C">
        <w:t>kontekście wolności religii</w:t>
      </w:r>
      <w:r w:rsidR="00992FD0" w:rsidRPr="00EC250C">
        <w:t xml:space="preserve"> i </w:t>
      </w:r>
      <w:r w:rsidRPr="00EC250C">
        <w:t>praw rodziców do wychowywania dzieci zgodnie</w:t>
      </w:r>
      <w:r w:rsidR="00992FD0" w:rsidRPr="00EC250C">
        <w:t xml:space="preserve"> z </w:t>
      </w:r>
      <w:r w:rsidRPr="00EC250C">
        <w:t>własnymi przekonaniami.</w:t>
      </w:r>
    </w:p>
    <w:p w14:paraId="3CA876F8" w14:textId="77777777" w:rsidR="003E4DBD" w:rsidRPr="00EC250C" w:rsidRDefault="003E4DBD" w:rsidP="00D131FA">
      <w:pPr>
        <w:pStyle w:val="ComwiKonstytucja"/>
      </w:pPr>
    </w:p>
    <w:p w14:paraId="25E8DD4A" w14:textId="77777777" w:rsidR="000D39D9" w:rsidRPr="00EC250C" w:rsidRDefault="000D39D9" w:rsidP="00D131FA">
      <w:pPr>
        <w:pStyle w:val="Styl1"/>
      </w:pPr>
    </w:p>
    <w:p w14:paraId="717E2783" w14:textId="77777777" w:rsidR="00163F28" w:rsidRPr="00EC250C" w:rsidRDefault="006A7981" w:rsidP="00D131FA">
      <w:pPr>
        <w:pStyle w:val="Styl1"/>
      </w:pPr>
      <w:r w:rsidRPr="00EC250C">
        <w:t>Z wniosków kierowanych do RPO</w:t>
      </w:r>
      <w:r w:rsidR="00992FD0" w:rsidRPr="00EC250C">
        <w:t xml:space="preserve"> w </w:t>
      </w:r>
      <w:r w:rsidR="0021335E" w:rsidRPr="00EC250C">
        <w:t>2018</w:t>
      </w:r>
      <w:r w:rsidR="00C91F6E" w:rsidRPr="00EC250C">
        <w:t> r.</w:t>
      </w:r>
      <w:r w:rsidR="0021335E" w:rsidRPr="00EC250C">
        <w:t xml:space="preserve"> nie </w:t>
      </w:r>
      <w:r w:rsidRPr="00EC250C">
        <w:t>wynikało, że</w:t>
      </w:r>
      <w:r w:rsidR="00992FD0" w:rsidRPr="00EC250C">
        <w:t xml:space="preserve"> z </w:t>
      </w:r>
      <w:r w:rsidR="0021335E" w:rsidRPr="00EC250C">
        <w:t>realizacją gwarancji zawartych</w:t>
      </w:r>
      <w:r w:rsidR="00992FD0" w:rsidRPr="00EC250C">
        <w:t xml:space="preserve"> w </w:t>
      </w:r>
      <w:r w:rsidRPr="00EC250C">
        <w:t xml:space="preserve">tym artykule </w:t>
      </w:r>
      <w:r w:rsidR="0021335E" w:rsidRPr="00EC250C">
        <w:t>Konstytucji</w:t>
      </w:r>
      <w:r w:rsidRPr="00EC250C">
        <w:t xml:space="preserve"> mogą być istotne problemy</w:t>
      </w:r>
      <w:r w:rsidR="0021335E" w:rsidRPr="00EC250C">
        <w:t>.</w:t>
      </w:r>
    </w:p>
    <w:p w14:paraId="0FBEBF4F" w14:textId="77777777" w:rsidR="00706B12" w:rsidRPr="00EC250C" w:rsidRDefault="00706B12" w:rsidP="00D131FA">
      <w:pPr>
        <w:pStyle w:val="ODESANIE"/>
        <w:jc w:val="both"/>
      </w:pPr>
      <w:r w:rsidRPr="00EC250C">
        <w:t>Problemy szkół niepublicznych,</w:t>
      </w:r>
      <w:r w:rsidR="00992FD0" w:rsidRPr="00EC250C">
        <w:t xml:space="preserve"> w </w:t>
      </w:r>
      <w:r w:rsidRPr="00EC250C">
        <w:t>których są uczniowie ze specjalnymi potrzebami edukacyjnymi, omówiony jest przy art. 70 Konstytucji ust 4</w:t>
      </w:r>
    </w:p>
    <w:p w14:paraId="23BDF0C6" w14:textId="77777777" w:rsidR="00163F28" w:rsidRPr="00EC250C" w:rsidRDefault="00163F28" w:rsidP="00D131FA">
      <w:pPr>
        <w:spacing w:after="200" w:line="24" w:lineRule="auto"/>
        <w:jc w:val="both"/>
        <w:rPr>
          <w:bCs/>
          <w:color w:val="044892"/>
          <w:sz w:val="24"/>
        </w:rPr>
      </w:pPr>
      <w:r w:rsidRPr="00EC250C">
        <w:rPr>
          <w:sz w:val="24"/>
        </w:rPr>
        <w:br w:type="page"/>
      </w:r>
    </w:p>
    <w:p w14:paraId="48CAA2D0" w14:textId="77777777" w:rsidR="00E45210" w:rsidRPr="00EC250C" w:rsidRDefault="00E45210" w:rsidP="00EC250C">
      <w:pPr>
        <w:pStyle w:val="Nagwek3"/>
      </w:pPr>
      <w:bookmarkStart w:id="589" w:name="_Toc6257899"/>
      <w:bookmarkStart w:id="590" w:name="_Toc11247776"/>
      <w:r w:rsidRPr="00EC250C">
        <w:lastRenderedPageBreak/>
        <w:t xml:space="preserve">Art. 70 </w:t>
      </w:r>
      <w:r w:rsidR="006302BF" w:rsidRPr="00EC250C">
        <w:t xml:space="preserve">Konstytucji </w:t>
      </w:r>
      <w:r w:rsidR="003C7122" w:rsidRPr="00EC250C">
        <w:t xml:space="preserve">ust. 4 </w:t>
      </w:r>
      <w:r w:rsidRPr="00EC250C">
        <w:t>– Równy dostęp do wykształcenia</w:t>
      </w:r>
      <w:bookmarkEnd w:id="589"/>
      <w:bookmarkEnd w:id="590"/>
    </w:p>
    <w:p w14:paraId="20D4D8F6" w14:textId="77777777" w:rsidR="00E45210" w:rsidRPr="00EC250C" w:rsidRDefault="00E45210" w:rsidP="00D131FA">
      <w:pPr>
        <w:pStyle w:val="konstytucja"/>
        <w:jc w:val="both"/>
      </w:pPr>
      <w:r w:rsidRPr="00EC250C">
        <w:t>Władze publiczne zapewniają obywatelom powszechny</w:t>
      </w:r>
      <w:r w:rsidR="00992FD0" w:rsidRPr="00EC250C">
        <w:t xml:space="preserve"> i </w:t>
      </w:r>
      <w:r w:rsidRPr="00EC250C">
        <w:t>równy dostęp do wykształcenia. W tym celu tworzą</w:t>
      </w:r>
      <w:r w:rsidR="00992FD0" w:rsidRPr="00EC250C">
        <w:t xml:space="preserve"> i </w:t>
      </w:r>
      <w:r w:rsidRPr="00EC250C">
        <w:t>wspierają systemy indywidualnej pomocy finansowej</w:t>
      </w:r>
      <w:r w:rsidR="00992FD0" w:rsidRPr="00EC250C">
        <w:t xml:space="preserve"> i </w:t>
      </w:r>
      <w:r w:rsidRPr="00EC250C">
        <w:t>organizacyjnej dla uczniów</w:t>
      </w:r>
      <w:r w:rsidR="00992FD0" w:rsidRPr="00EC250C">
        <w:t xml:space="preserve"> i </w:t>
      </w:r>
      <w:r w:rsidRPr="00EC250C">
        <w:t>studentów. Warunki udzielania pomocy określa ustawa.</w:t>
      </w:r>
    </w:p>
    <w:p w14:paraId="20940F37" w14:textId="77777777" w:rsidR="00C91F6E" w:rsidRPr="00EC250C" w:rsidRDefault="009D0931" w:rsidP="00D131FA">
      <w:pPr>
        <w:pStyle w:val="ComwiKonstytucja"/>
      </w:pPr>
      <w:r w:rsidRPr="00EC250C">
        <w:t>Zasada powszechnego</w:t>
      </w:r>
      <w:r w:rsidR="00992FD0" w:rsidRPr="00EC250C">
        <w:t xml:space="preserve"> i </w:t>
      </w:r>
      <w:r w:rsidRPr="00EC250C">
        <w:t>równego dostępu do wykształcenia odnosi się jedynie do obywateli Rzeczypospolitej. Przepis ten tworzy zasadę polityki państwa,</w:t>
      </w:r>
      <w:r w:rsidR="00992FD0" w:rsidRPr="00EC250C">
        <w:t xml:space="preserve"> a </w:t>
      </w:r>
      <w:r w:rsidRPr="00EC250C">
        <w:t>nie prawo podmiotowe, więc nie stwarza bezpośrednich roszczeń. Jednakże zasada powszechności</w:t>
      </w:r>
      <w:r w:rsidR="00992FD0" w:rsidRPr="00EC250C">
        <w:t xml:space="preserve"> i </w:t>
      </w:r>
      <w:r w:rsidRPr="00EC250C">
        <w:t>równości ma bezpośredni związek</w:t>
      </w:r>
      <w:r w:rsidR="00992FD0" w:rsidRPr="00EC250C">
        <w:t xml:space="preserve"> z </w:t>
      </w:r>
      <w:r w:rsidRPr="00EC250C">
        <w:t>realizacją prawa do nauki</w:t>
      </w:r>
      <w:r w:rsidR="00992FD0" w:rsidRPr="00EC250C">
        <w:t xml:space="preserve"> i </w:t>
      </w:r>
      <w:r w:rsidRPr="00EC250C">
        <w:t>jest konieczna, by</w:t>
      </w:r>
      <w:r w:rsidR="00992FD0" w:rsidRPr="00EC250C">
        <w:t xml:space="preserve"> w </w:t>
      </w:r>
      <w:r w:rsidRPr="00EC250C">
        <w:t>pełni korzystać</w:t>
      </w:r>
      <w:r w:rsidR="00992FD0" w:rsidRPr="00EC250C">
        <w:t xml:space="preserve"> z </w:t>
      </w:r>
      <w:r w:rsidRPr="00EC250C">
        <w:t>tego prawa.</w:t>
      </w:r>
    </w:p>
    <w:p w14:paraId="6B186D25" w14:textId="77777777" w:rsidR="00C91F6E" w:rsidRPr="00EC250C" w:rsidRDefault="009D0931" w:rsidP="00D131FA">
      <w:pPr>
        <w:pStyle w:val="ComwiKonstytucja"/>
      </w:pPr>
      <w:r w:rsidRPr="00EC250C">
        <w:t>Zasada ta dotyczy kształcenia</w:t>
      </w:r>
      <w:r w:rsidR="00992FD0" w:rsidRPr="00EC250C">
        <w:t xml:space="preserve"> w </w:t>
      </w:r>
      <w:r w:rsidRPr="00EC250C">
        <w:t>systemie szkolnictwa publicznego. Powszechność nauki oznacza, że każda osoba objęta obowiązkiem szkolnym musi mieć zapewnioną możliwość nauki</w:t>
      </w:r>
      <w:r w:rsidR="00992FD0" w:rsidRPr="00EC250C">
        <w:t xml:space="preserve"> w </w:t>
      </w:r>
      <w:r w:rsidRPr="00EC250C">
        <w:t>szkole publicznej, chyba że decyduje się na korzystanie</w:t>
      </w:r>
      <w:r w:rsidR="00992FD0" w:rsidRPr="00EC250C">
        <w:t xml:space="preserve"> z </w:t>
      </w:r>
      <w:r w:rsidRPr="00EC250C">
        <w:t>oferty szkół niepublicznych. Z zasady powszechności wynika także, że osoby, które ukończyły 18 lat, również muszą mieć zagwarantowaną możliwość pobierania nauki</w:t>
      </w:r>
      <w:r w:rsidR="00992FD0" w:rsidRPr="00EC250C">
        <w:t xml:space="preserve"> w </w:t>
      </w:r>
      <w:r w:rsidRPr="00EC250C">
        <w:t>szkołach na różnych szczeblach.</w:t>
      </w:r>
    </w:p>
    <w:p w14:paraId="23201F2D" w14:textId="77777777" w:rsidR="00C91F6E" w:rsidRPr="00EC250C" w:rsidRDefault="009D0931" w:rsidP="00D131FA">
      <w:pPr>
        <w:pStyle w:val="ComwiKonstytucja"/>
      </w:pPr>
      <w:r w:rsidRPr="00EC250C">
        <w:t>Równość</w:t>
      </w:r>
      <w:r w:rsidR="00992FD0" w:rsidRPr="00EC250C">
        <w:t xml:space="preserve"> w </w:t>
      </w:r>
      <w:r w:rsidRPr="00EC250C">
        <w:t>dostępie do nauki to realizacja ogólnej zasady równości (art. 32). Każdy powinien mieć jednakową szansę podjęcia nauki</w:t>
      </w:r>
      <w:r w:rsidR="00992FD0" w:rsidRPr="00EC250C">
        <w:t xml:space="preserve"> w </w:t>
      </w:r>
      <w:r w:rsidRPr="00EC250C">
        <w:t>szkołach na różnych szczeblach edukacji. Szczególnie istotne</w:t>
      </w:r>
      <w:r w:rsidR="00992FD0" w:rsidRPr="00EC250C">
        <w:t xml:space="preserve"> w </w:t>
      </w:r>
      <w:r w:rsidRPr="00EC250C">
        <w:t>tym kontekście jest uwzględnienie art. 33</w:t>
      </w:r>
      <w:r w:rsidR="00992FD0" w:rsidRPr="00EC250C">
        <w:t xml:space="preserve"> i </w:t>
      </w:r>
      <w:r w:rsidRPr="00EC250C">
        <w:t>zapewnienie równości</w:t>
      </w:r>
      <w:r w:rsidR="00992FD0" w:rsidRPr="00EC250C">
        <w:t xml:space="preserve"> w </w:t>
      </w:r>
      <w:r w:rsidRPr="00EC250C">
        <w:t>dostępie do nauki niezależnie od płci.</w:t>
      </w:r>
    </w:p>
    <w:p w14:paraId="2258C935" w14:textId="77777777" w:rsidR="009D0931" w:rsidRPr="00EC250C" w:rsidRDefault="009D0931" w:rsidP="00D131FA">
      <w:pPr>
        <w:pStyle w:val="ComwiKonstytucja"/>
      </w:pPr>
      <w:r w:rsidRPr="00EC250C">
        <w:t>Ustęp 4 tworzy także zasadę pomocy władz publicznych dla uczniów</w:t>
      </w:r>
      <w:r w:rsidR="00992FD0" w:rsidRPr="00EC250C">
        <w:t xml:space="preserve"> i </w:t>
      </w:r>
      <w:r w:rsidRPr="00EC250C">
        <w:t>studentów, której realizacja może odbywać się na różne przewidziane przez ustawodawcę sposoby.</w:t>
      </w:r>
    </w:p>
    <w:p w14:paraId="432BB126" w14:textId="77777777" w:rsidR="003E4DBD" w:rsidRPr="00EC250C" w:rsidRDefault="003E4DBD" w:rsidP="00D131FA">
      <w:pPr>
        <w:pStyle w:val="ComwiKonstytucja"/>
      </w:pPr>
    </w:p>
    <w:p w14:paraId="7E37CFCC" w14:textId="77777777" w:rsidR="009D0931" w:rsidRPr="00EC250C" w:rsidRDefault="009D0931" w:rsidP="00D131FA">
      <w:pPr>
        <w:spacing w:after="200" w:line="24" w:lineRule="auto"/>
        <w:jc w:val="both"/>
        <w:rPr>
          <w:i/>
          <w:spacing w:val="5"/>
          <w:sz w:val="22"/>
        </w:rPr>
      </w:pPr>
      <w:r w:rsidRPr="00EC250C">
        <w:rPr>
          <w:sz w:val="24"/>
        </w:rPr>
        <w:br w:type="page"/>
      </w:r>
    </w:p>
    <w:p w14:paraId="3E2BD2E0" w14:textId="77777777" w:rsidR="00C91F6E" w:rsidRPr="00EC250C" w:rsidRDefault="00423ACA" w:rsidP="00EC79EB">
      <w:pPr>
        <w:pStyle w:val="Nagwek4"/>
      </w:pPr>
      <w:bookmarkStart w:id="591" w:name="_Toc6257900"/>
      <w:bookmarkStart w:id="592" w:name="_Toc11247777"/>
      <w:r w:rsidRPr="00EC250C">
        <w:lastRenderedPageBreak/>
        <w:t>Dowóz uczniów</w:t>
      </w:r>
      <w:r w:rsidR="00992FD0" w:rsidRPr="00EC250C">
        <w:t xml:space="preserve"> z </w:t>
      </w:r>
      <w:r w:rsidRPr="00EC250C">
        <w:t>niepełnosprawnościami do szkół</w:t>
      </w:r>
      <w:bookmarkEnd w:id="591"/>
      <w:bookmarkEnd w:id="592"/>
    </w:p>
    <w:p w14:paraId="3245A854" w14:textId="77777777" w:rsidR="00B473F5" w:rsidRPr="00EC250C" w:rsidRDefault="00336194" w:rsidP="00D131FA">
      <w:pPr>
        <w:pStyle w:val="Problemczowieka"/>
        <w:jc w:val="both"/>
        <w:rPr>
          <w:rStyle w:val="Pogrubienie"/>
          <w:rFonts w:eastAsiaTheme="majorEastAsia"/>
          <w:b/>
          <w:bCs w:val="0"/>
        </w:rPr>
      </w:pPr>
      <w:r w:rsidRPr="00EC250C">
        <w:rPr>
          <w:rStyle w:val="Pogrubienie"/>
          <w:rFonts w:eastAsiaTheme="majorEastAsia"/>
          <w:b/>
          <w:bCs w:val="0"/>
        </w:rPr>
        <w:t>Szko</w:t>
      </w:r>
      <w:r w:rsidRPr="00EC250C">
        <w:rPr>
          <w:rStyle w:val="Pogrubienie"/>
          <w:rFonts w:eastAsiaTheme="majorEastAsia" w:hint="eastAsia"/>
          <w:b/>
          <w:bCs w:val="0"/>
        </w:rPr>
        <w:t>ł</w:t>
      </w:r>
      <w:r w:rsidRPr="00EC250C">
        <w:rPr>
          <w:rStyle w:val="Pogrubienie"/>
          <w:rFonts w:eastAsiaTheme="majorEastAsia"/>
          <w:b/>
          <w:bCs w:val="0"/>
        </w:rPr>
        <w:t>a dla dziecka</w:t>
      </w:r>
      <w:r w:rsidR="00992FD0" w:rsidRPr="00EC250C">
        <w:rPr>
          <w:rStyle w:val="Pogrubienie"/>
          <w:rFonts w:eastAsiaTheme="majorEastAsia"/>
          <w:b/>
          <w:bCs w:val="0"/>
        </w:rPr>
        <w:t xml:space="preserve"> z </w:t>
      </w:r>
      <w:r w:rsidRPr="00EC250C">
        <w:rPr>
          <w:rStyle w:val="Pogrubienie"/>
          <w:rFonts w:eastAsiaTheme="majorEastAsia"/>
          <w:b/>
          <w:bCs w:val="0"/>
        </w:rPr>
        <w:t>niepe</w:t>
      </w:r>
      <w:r w:rsidRPr="00EC250C">
        <w:rPr>
          <w:rStyle w:val="Pogrubienie"/>
          <w:rFonts w:eastAsiaTheme="majorEastAsia" w:hint="eastAsia"/>
          <w:b/>
          <w:bCs w:val="0"/>
        </w:rPr>
        <w:t>ł</w:t>
      </w:r>
      <w:r w:rsidRPr="00EC250C">
        <w:rPr>
          <w:rStyle w:val="Pogrubienie"/>
          <w:rFonts w:eastAsiaTheme="majorEastAsia"/>
          <w:b/>
          <w:bCs w:val="0"/>
        </w:rPr>
        <w:t>nosprawno</w:t>
      </w:r>
      <w:r w:rsidRPr="00EC250C">
        <w:rPr>
          <w:rStyle w:val="Pogrubienie"/>
          <w:rFonts w:eastAsiaTheme="majorEastAsia" w:hint="eastAsia"/>
          <w:b/>
          <w:bCs w:val="0"/>
        </w:rPr>
        <w:t>ś</w:t>
      </w:r>
      <w:r w:rsidRPr="00EC250C">
        <w:rPr>
          <w:rStyle w:val="Pogrubienie"/>
          <w:rFonts w:eastAsiaTheme="majorEastAsia"/>
          <w:b/>
          <w:bCs w:val="0"/>
        </w:rPr>
        <w:t>ci</w:t>
      </w:r>
      <w:r w:rsidRPr="00EC250C">
        <w:rPr>
          <w:rStyle w:val="Pogrubienie"/>
          <w:rFonts w:eastAsiaTheme="majorEastAsia" w:hint="eastAsia"/>
          <w:b/>
          <w:bCs w:val="0"/>
        </w:rPr>
        <w:t>ą</w:t>
      </w:r>
      <w:r w:rsidRPr="00EC250C">
        <w:rPr>
          <w:rStyle w:val="Pogrubienie"/>
          <w:rFonts w:eastAsiaTheme="majorEastAsia"/>
          <w:b/>
          <w:bCs w:val="0"/>
        </w:rPr>
        <w:t xml:space="preserve"> na og</w:t>
      </w:r>
      <w:r w:rsidRPr="00EC250C">
        <w:rPr>
          <w:rStyle w:val="Pogrubienie"/>
          <w:rFonts w:eastAsiaTheme="majorEastAsia" w:hint="eastAsia"/>
          <w:b/>
          <w:bCs w:val="0"/>
        </w:rPr>
        <w:t>ół</w:t>
      </w:r>
      <w:r w:rsidRPr="00EC250C">
        <w:rPr>
          <w:rStyle w:val="Pogrubienie"/>
          <w:rFonts w:eastAsiaTheme="majorEastAsia"/>
          <w:b/>
          <w:bCs w:val="0"/>
        </w:rPr>
        <w:t xml:space="preserve"> nie jest blisko domu, tymczasem nie ma</w:t>
      </w:r>
      <w:r w:rsidR="00992FD0" w:rsidRPr="00EC250C">
        <w:rPr>
          <w:rStyle w:val="Pogrubienie"/>
          <w:rFonts w:eastAsiaTheme="majorEastAsia"/>
          <w:b/>
          <w:bCs w:val="0"/>
        </w:rPr>
        <w:t xml:space="preserve"> w </w:t>
      </w:r>
      <w:r w:rsidRPr="00EC250C">
        <w:rPr>
          <w:rStyle w:val="Pogrubienie"/>
          <w:rFonts w:eastAsiaTheme="majorEastAsia"/>
          <w:b/>
          <w:bCs w:val="0"/>
        </w:rPr>
        <w:t xml:space="preserve">Polsce </w:t>
      </w:r>
      <w:r w:rsidR="00597AC6" w:rsidRPr="00EC250C">
        <w:rPr>
          <w:rStyle w:val="Pogrubienie"/>
          <w:rFonts w:eastAsiaTheme="majorEastAsia"/>
          <w:b/>
          <w:bCs w:val="0"/>
        </w:rPr>
        <w:t xml:space="preserve">ujednoliconych </w:t>
      </w:r>
      <w:r w:rsidR="002B2386" w:rsidRPr="00EC250C">
        <w:rPr>
          <w:rStyle w:val="Pogrubienie"/>
          <w:rFonts w:eastAsiaTheme="majorEastAsia"/>
          <w:b/>
          <w:bCs w:val="0"/>
        </w:rPr>
        <w:t xml:space="preserve">kryteriów </w:t>
      </w:r>
      <w:r w:rsidRPr="00EC250C">
        <w:rPr>
          <w:rStyle w:val="Pogrubienie"/>
          <w:rFonts w:eastAsiaTheme="majorEastAsia"/>
          <w:b/>
          <w:bCs w:val="0"/>
        </w:rPr>
        <w:t>zwracania koszt</w:t>
      </w:r>
      <w:r w:rsidRPr="00EC250C">
        <w:rPr>
          <w:rStyle w:val="Pogrubienie"/>
          <w:rFonts w:eastAsiaTheme="majorEastAsia" w:hint="eastAsia"/>
          <w:b/>
          <w:bCs w:val="0"/>
        </w:rPr>
        <w:t>ó</w:t>
      </w:r>
      <w:r w:rsidRPr="00EC250C">
        <w:rPr>
          <w:rStyle w:val="Pogrubienie"/>
          <w:rFonts w:eastAsiaTheme="majorEastAsia"/>
          <w:b/>
          <w:bCs w:val="0"/>
        </w:rPr>
        <w:t xml:space="preserve">w </w:t>
      </w:r>
      <w:r w:rsidR="006A7981" w:rsidRPr="00EC250C">
        <w:rPr>
          <w:rStyle w:val="Pogrubienie"/>
          <w:rFonts w:eastAsiaTheme="majorEastAsia"/>
          <w:b/>
          <w:bCs w:val="0"/>
        </w:rPr>
        <w:t>dojazdu</w:t>
      </w:r>
      <w:r w:rsidRPr="00EC250C">
        <w:rPr>
          <w:rStyle w:val="Pogrubienie"/>
          <w:rFonts w:eastAsiaTheme="majorEastAsia"/>
          <w:b/>
          <w:bCs w:val="0"/>
        </w:rPr>
        <w:t>. Ustalaj</w:t>
      </w:r>
      <w:r w:rsidRPr="00EC250C">
        <w:rPr>
          <w:rStyle w:val="Pogrubienie"/>
          <w:rFonts w:eastAsiaTheme="majorEastAsia" w:hint="eastAsia"/>
          <w:b/>
          <w:bCs w:val="0"/>
        </w:rPr>
        <w:t>ą</w:t>
      </w:r>
      <w:r w:rsidRPr="00EC250C">
        <w:rPr>
          <w:rStyle w:val="Pogrubienie"/>
          <w:rFonts w:eastAsiaTheme="majorEastAsia"/>
          <w:b/>
          <w:bCs w:val="0"/>
        </w:rPr>
        <w:t xml:space="preserve"> </w:t>
      </w:r>
      <w:r w:rsidR="006A7981" w:rsidRPr="00EC250C">
        <w:rPr>
          <w:rStyle w:val="Pogrubienie"/>
          <w:rFonts w:eastAsiaTheme="majorEastAsia"/>
          <w:b/>
          <w:bCs w:val="0"/>
        </w:rPr>
        <w:t xml:space="preserve">je </w:t>
      </w:r>
      <w:r w:rsidRPr="00EC250C">
        <w:rPr>
          <w:rStyle w:val="Pogrubienie"/>
          <w:rFonts w:eastAsiaTheme="majorEastAsia"/>
          <w:b/>
          <w:bCs w:val="0"/>
        </w:rPr>
        <w:t>samorz</w:t>
      </w:r>
      <w:r w:rsidRPr="00EC250C">
        <w:rPr>
          <w:rStyle w:val="Pogrubienie"/>
          <w:rFonts w:eastAsiaTheme="majorEastAsia" w:hint="eastAsia"/>
          <w:b/>
          <w:bCs w:val="0"/>
        </w:rPr>
        <w:t>ą</w:t>
      </w:r>
      <w:r w:rsidRPr="00EC250C">
        <w:rPr>
          <w:rStyle w:val="Pogrubienie"/>
          <w:rFonts w:eastAsiaTheme="majorEastAsia"/>
          <w:b/>
          <w:bCs w:val="0"/>
        </w:rPr>
        <w:t>dy. Jedne finansuj</w:t>
      </w:r>
      <w:r w:rsidRPr="00EC250C">
        <w:rPr>
          <w:rStyle w:val="Pogrubienie"/>
          <w:rFonts w:eastAsiaTheme="majorEastAsia" w:hint="eastAsia"/>
          <w:b/>
          <w:bCs w:val="0"/>
        </w:rPr>
        <w:t>ą</w:t>
      </w:r>
      <w:r w:rsidRPr="00EC250C">
        <w:rPr>
          <w:rStyle w:val="Pogrubienie"/>
          <w:rFonts w:eastAsiaTheme="majorEastAsia"/>
          <w:b/>
          <w:bCs w:val="0"/>
        </w:rPr>
        <w:t xml:space="preserve"> tylko drog</w:t>
      </w:r>
      <w:r w:rsidRPr="00EC250C">
        <w:rPr>
          <w:rStyle w:val="Pogrubienie"/>
          <w:rFonts w:eastAsiaTheme="majorEastAsia" w:hint="eastAsia"/>
          <w:b/>
          <w:bCs w:val="0"/>
        </w:rPr>
        <w:t>ę</w:t>
      </w:r>
      <w:r w:rsidR="00992FD0" w:rsidRPr="00EC250C">
        <w:rPr>
          <w:rStyle w:val="Pogrubienie"/>
          <w:rFonts w:eastAsiaTheme="majorEastAsia"/>
          <w:b/>
          <w:bCs w:val="0"/>
        </w:rPr>
        <w:t xml:space="preserve"> z </w:t>
      </w:r>
      <w:r w:rsidRPr="00EC250C">
        <w:rPr>
          <w:rStyle w:val="Pogrubienie"/>
          <w:rFonts w:eastAsiaTheme="majorEastAsia"/>
          <w:b/>
          <w:bCs w:val="0"/>
        </w:rPr>
        <w:t>dzieckiem (</w:t>
      </w:r>
      <w:r w:rsidR="00597AC6" w:rsidRPr="00EC250C">
        <w:rPr>
          <w:rStyle w:val="Pogrubienie"/>
          <w:rFonts w:eastAsiaTheme="majorEastAsia"/>
          <w:b/>
          <w:bCs w:val="0"/>
        </w:rPr>
        <w:t>powodując, że rodzic jest zmuszony wrócić do domu na własny koszt lub czekać</w:t>
      </w:r>
      <w:r w:rsidR="00992FD0" w:rsidRPr="00EC250C">
        <w:rPr>
          <w:rStyle w:val="Pogrubienie"/>
          <w:rFonts w:eastAsiaTheme="majorEastAsia"/>
          <w:b/>
          <w:bCs w:val="0"/>
        </w:rPr>
        <w:t xml:space="preserve"> w </w:t>
      </w:r>
      <w:r w:rsidR="00597AC6" w:rsidRPr="00EC250C">
        <w:rPr>
          <w:rStyle w:val="Pogrubienie"/>
          <w:rFonts w:eastAsiaTheme="majorEastAsia"/>
          <w:b/>
          <w:bCs w:val="0"/>
        </w:rPr>
        <w:t>szkole na dziecko</w:t>
      </w:r>
      <w:r w:rsidRPr="00EC250C">
        <w:rPr>
          <w:rStyle w:val="Pogrubienie"/>
          <w:rFonts w:eastAsiaTheme="majorEastAsia"/>
          <w:b/>
          <w:bCs w:val="0"/>
        </w:rPr>
        <w:t>), s</w:t>
      </w:r>
      <w:r w:rsidRPr="00EC250C">
        <w:rPr>
          <w:rStyle w:val="Pogrubienie"/>
          <w:rFonts w:eastAsiaTheme="majorEastAsia" w:hint="eastAsia"/>
          <w:b/>
          <w:bCs w:val="0"/>
        </w:rPr>
        <w:t>ą</w:t>
      </w:r>
      <w:r w:rsidRPr="00EC250C">
        <w:rPr>
          <w:rStyle w:val="Pogrubienie"/>
          <w:rFonts w:eastAsiaTheme="majorEastAsia"/>
          <w:b/>
          <w:bCs w:val="0"/>
        </w:rPr>
        <w:t xml:space="preserve"> te</w:t>
      </w:r>
      <w:r w:rsidRPr="00EC250C">
        <w:rPr>
          <w:rStyle w:val="Pogrubienie"/>
          <w:rFonts w:eastAsiaTheme="majorEastAsia" w:hint="eastAsia"/>
          <w:b/>
          <w:bCs w:val="0"/>
        </w:rPr>
        <w:t>ż</w:t>
      </w:r>
      <w:r w:rsidRPr="00EC250C">
        <w:rPr>
          <w:rStyle w:val="Pogrubienie"/>
          <w:rFonts w:eastAsiaTheme="majorEastAsia"/>
          <w:b/>
          <w:bCs w:val="0"/>
        </w:rPr>
        <w:t xml:space="preserve"> takie, kt</w:t>
      </w:r>
      <w:r w:rsidRPr="00EC250C">
        <w:rPr>
          <w:rStyle w:val="Pogrubienie"/>
          <w:rFonts w:eastAsiaTheme="majorEastAsia" w:hint="eastAsia"/>
          <w:b/>
          <w:bCs w:val="0"/>
        </w:rPr>
        <w:t>ó</w:t>
      </w:r>
      <w:r w:rsidRPr="00EC250C">
        <w:rPr>
          <w:rStyle w:val="Pogrubienie"/>
          <w:rFonts w:eastAsiaTheme="majorEastAsia"/>
          <w:b/>
          <w:bCs w:val="0"/>
        </w:rPr>
        <w:t xml:space="preserve">re </w:t>
      </w:r>
      <w:r w:rsidR="00597AC6" w:rsidRPr="00EC250C">
        <w:rPr>
          <w:rStyle w:val="Pogrubienie"/>
          <w:rFonts w:eastAsiaTheme="majorEastAsia"/>
          <w:b/>
          <w:bCs w:val="0"/>
        </w:rPr>
        <w:t xml:space="preserve">oferują </w:t>
      </w:r>
      <w:r w:rsidRPr="00EC250C">
        <w:rPr>
          <w:rStyle w:val="Pogrubienie"/>
          <w:rFonts w:eastAsiaTheme="majorEastAsia"/>
          <w:b/>
          <w:bCs w:val="0"/>
        </w:rPr>
        <w:t>rodzinom bilety miesi</w:t>
      </w:r>
      <w:r w:rsidRPr="00EC250C">
        <w:rPr>
          <w:rStyle w:val="Pogrubienie"/>
          <w:rFonts w:eastAsiaTheme="majorEastAsia" w:hint="eastAsia"/>
          <w:b/>
          <w:bCs w:val="0"/>
        </w:rPr>
        <w:t>ę</w:t>
      </w:r>
      <w:r w:rsidRPr="00EC250C">
        <w:rPr>
          <w:rStyle w:val="Pogrubienie"/>
          <w:rFonts w:eastAsiaTheme="majorEastAsia"/>
          <w:b/>
          <w:bCs w:val="0"/>
        </w:rPr>
        <w:t>czne nawet je</w:t>
      </w:r>
      <w:r w:rsidRPr="00EC250C">
        <w:rPr>
          <w:rStyle w:val="Pogrubienie"/>
          <w:rFonts w:eastAsiaTheme="majorEastAsia" w:hint="eastAsia"/>
          <w:b/>
          <w:bCs w:val="0"/>
        </w:rPr>
        <w:t>ś</w:t>
      </w:r>
      <w:r w:rsidRPr="00EC250C">
        <w:rPr>
          <w:rStyle w:val="Pogrubienie"/>
          <w:rFonts w:eastAsiaTheme="majorEastAsia"/>
          <w:b/>
          <w:bCs w:val="0"/>
        </w:rPr>
        <w:t>li na trasie do szko</w:t>
      </w:r>
      <w:r w:rsidRPr="00EC250C">
        <w:rPr>
          <w:rStyle w:val="Pogrubienie"/>
          <w:rFonts w:eastAsiaTheme="majorEastAsia" w:hint="eastAsia"/>
          <w:b/>
          <w:bCs w:val="0"/>
        </w:rPr>
        <w:t>ł</w:t>
      </w:r>
      <w:r w:rsidRPr="00EC250C">
        <w:rPr>
          <w:rStyle w:val="Pogrubienie"/>
          <w:rFonts w:eastAsiaTheme="majorEastAsia"/>
          <w:b/>
          <w:bCs w:val="0"/>
        </w:rPr>
        <w:t>y nie je</w:t>
      </w:r>
      <w:r w:rsidRPr="00EC250C">
        <w:rPr>
          <w:rStyle w:val="Pogrubienie"/>
          <w:rFonts w:eastAsiaTheme="majorEastAsia" w:hint="eastAsia"/>
          <w:b/>
          <w:bCs w:val="0"/>
        </w:rPr>
        <w:t>ź</w:t>
      </w:r>
      <w:r w:rsidRPr="00EC250C">
        <w:rPr>
          <w:rStyle w:val="Pogrubienie"/>
          <w:rFonts w:eastAsiaTheme="majorEastAsia"/>
          <w:b/>
          <w:bCs w:val="0"/>
        </w:rPr>
        <w:t xml:space="preserve">dzi </w:t>
      </w:r>
      <w:r w:rsidRPr="00EC250C">
        <w:rPr>
          <w:rStyle w:val="Pogrubienie"/>
          <w:rFonts w:eastAsiaTheme="majorEastAsia" w:hint="eastAsia"/>
          <w:b/>
          <w:bCs w:val="0"/>
        </w:rPr>
        <w:t>ż</w:t>
      </w:r>
      <w:r w:rsidRPr="00EC250C">
        <w:rPr>
          <w:rStyle w:val="Pogrubienie"/>
          <w:rFonts w:eastAsiaTheme="majorEastAsia"/>
          <w:b/>
          <w:bCs w:val="0"/>
        </w:rPr>
        <w:t xml:space="preserve">aden </w:t>
      </w:r>
      <w:r w:rsidRPr="00EC250C">
        <w:rPr>
          <w:rStyle w:val="Pogrubienie"/>
          <w:rFonts w:eastAsiaTheme="majorEastAsia" w:hint="eastAsia"/>
          <w:b/>
          <w:bCs w:val="0"/>
        </w:rPr>
        <w:t>ś</w:t>
      </w:r>
      <w:r w:rsidRPr="00EC250C">
        <w:rPr>
          <w:rStyle w:val="Pogrubienie"/>
          <w:rFonts w:eastAsiaTheme="majorEastAsia"/>
          <w:b/>
          <w:bCs w:val="0"/>
        </w:rPr>
        <w:t>rodek komunikacji publicznej</w:t>
      </w:r>
      <w:r w:rsidR="00B473F5" w:rsidRPr="00EC250C">
        <w:rPr>
          <w:rStyle w:val="Pogrubienie"/>
          <w:rFonts w:eastAsiaTheme="majorEastAsia"/>
          <w:b/>
          <w:bCs w:val="0"/>
        </w:rPr>
        <w:t>.</w:t>
      </w:r>
    </w:p>
    <w:p w14:paraId="355766E6" w14:textId="77777777" w:rsidR="002B2386" w:rsidRPr="00EC250C" w:rsidRDefault="002B2386" w:rsidP="00D131FA">
      <w:pPr>
        <w:pStyle w:val="Styl1"/>
      </w:pPr>
      <w:r w:rsidRPr="00EC250C">
        <w:t>Zgodnie</w:t>
      </w:r>
      <w:r w:rsidR="00992FD0" w:rsidRPr="00EC250C">
        <w:t xml:space="preserve"> z </w:t>
      </w:r>
      <w:r w:rsidRPr="00EC250C">
        <w:t>przepisami oświatowymi, obowiązkiem gminy jest zwrot kosztów przejazdu ucznia</w:t>
      </w:r>
      <w:r w:rsidR="00992FD0" w:rsidRPr="00EC250C">
        <w:t xml:space="preserve"> z </w:t>
      </w:r>
      <w:r w:rsidRPr="00EC250C">
        <w:t>niepełnosprawnościami</w:t>
      </w:r>
      <w:r w:rsidR="00992FD0" w:rsidRPr="00EC250C">
        <w:t xml:space="preserve"> i </w:t>
      </w:r>
      <w:r w:rsidRPr="00EC250C">
        <w:t>jego opiekuna do szkoły, na zasadach określonych</w:t>
      </w:r>
      <w:r w:rsidR="00992FD0" w:rsidRPr="00EC250C">
        <w:t xml:space="preserve"> w </w:t>
      </w:r>
      <w:r w:rsidRPr="00EC250C">
        <w:t>umowie między organem gminy</w:t>
      </w:r>
      <w:r w:rsidR="00992FD0" w:rsidRPr="00EC250C">
        <w:t xml:space="preserve"> a </w:t>
      </w:r>
      <w:r w:rsidRPr="00EC250C">
        <w:t>rodzicami</w:t>
      </w:r>
      <w:r w:rsidR="00026572" w:rsidRPr="00EC250C">
        <w:t xml:space="preserve"> – </w:t>
      </w:r>
      <w:r w:rsidRPr="00EC250C">
        <w:t>jeżeli to oni zapewniają dowożenie</w:t>
      </w:r>
      <w:r w:rsidR="00992FD0" w:rsidRPr="00EC250C">
        <w:t xml:space="preserve"> i </w:t>
      </w:r>
      <w:r w:rsidRPr="00EC250C">
        <w:t>opiekę.</w:t>
      </w:r>
    </w:p>
    <w:p w14:paraId="75134ADC" w14:textId="77777777" w:rsidR="002B2386" w:rsidRPr="00EC250C" w:rsidRDefault="002B2386" w:rsidP="00D131FA">
      <w:pPr>
        <w:pStyle w:val="Styl1"/>
      </w:pPr>
      <w:r w:rsidRPr="00EC250C">
        <w:t xml:space="preserve">Prawo nie przewiduje jednak kryteriów, na których podstawie ma być ustalana kwota refundacji. Powoduje to, że jej zasady często jednostronnie określa wójt. Poszczególne gminy mogą zatem różnie ustalać stawkę zwrotu za kilometr przejazdu. Ze skarg do RPO wynika, że często nie pokrywają one rzeczywistych kosztów dowozu. Obywatele musza występować do sądów, by bronić swych praw. </w:t>
      </w:r>
      <w:r w:rsidR="00D76DC6" w:rsidRPr="00EC250C">
        <w:t>RPO</w:t>
      </w:r>
      <w:r w:rsidRPr="00EC250C">
        <w:t xml:space="preserve"> przyłącza się do takich postępowań.</w:t>
      </w:r>
    </w:p>
    <w:p w14:paraId="002BDACE" w14:textId="77777777" w:rsidR="00C91F6E" w:rsidRPr="00EC250C" w:rsidRDefault="00336194" w:rsidP="00D131FA">
      <w:pPr>
        <w:pStyle w:val="Styl1"/>
        <w:rPr>
          <w:rStyle w:val="Pogrubienie"/>
          <w:rFonts w:eastAsiaTheme="majorEastAsia"/>
          <w:b w:val="0"/>
          <w:bCs w:val="0"/>
        </w:rPr>
      </w:pPr>
      <w:r w:rsidRPr="00EC250C">
        <w:rPr>
          <w:rStyle w:val="Pogrubienie"/>
          <w:rFonts w:eastAsiaTheme="majorEastAsia"/>
          <w:b w:val="0"/>
          <w:bCs w:val="0"/>
        </w:rPr>
        <w:t>Niezb</w:t>
      </w:r>
      <w:r w:rsidRPr="00EC250C">
        <w:rPr>
          <w:rStyle w:val="Pogrubienie"/>
          <w:rFonts w:eastAsiaTheme="majorEastAsia" w:hint="eastAsia"/>
          <w:b w:val="0"/>
          <w:bCs w:val="0"/>
        </w:rPr>
        <w:t>ę</w:t>
      </w:r>
      <w:r w:rsidRPr="00EC250C">
        <w:rPr>
          <w:rStyle w:val="Pogrubienie"/>
          <w:rFonts w:eastAsiaTheme="majorEastAsia"/>
          <w:b w:val="0"/>
          <w:bCs w:val="0"/>
        </w:rPr>
        <w:t xml:space="preserve">dne jest </w:t>
      </w:r>
      <w:r w:rsidR="002B2386" w:rsidRPr="00EC250C">
        <w:rPr>
          <w:rStyle w:val="Pogrubienie"/>
          <w:rFonts w:eastAsiaTheme="majorEastAsia"/>
          <w:b w:val="0"/>
          <w:bCs w:val="0"/>
        </w:rPr>
        <w:t xml:space="preserve">więc </w:t>
      </w:r>
      <w:r w:rsidRPr="00EC250C">
        <w:rPr>
          <w:rStyle w:val="Pogrubienie"/>
          <w:rFonts w:eastAsiaTheme="majorEastAsia"/>
          <w:b w:val="0"/>
          <w:bCs w:val="0"/>
        </w:rPr>
        <w:t>uregulowanie zasad zwrotu poniesionych koszt</w:t>
      </w:r>
      <w:r w:rsidRPr="00EC250C">
        <w:rPr>
          <w:rStyle w:val="Pogrubienie"/>
          <w:rFonts w:eastAsiaTheme="majorEastAsia" w:hint="eastAsia"/>
          <w:b w:val="0"/>
          <w:bCs w:val="0"/>
        </w:rPr>
        <w:t>ó</w:t>
      </w:r>
      <w:r w:rsidRPr="00EC250C">
        <w:rPr>
          <w:rStyle w:val="Pogrubienie"/>
          <w:rFonts w:eastAsiaTheme="majorEastAsia"/>
          <w:b w:val="0"/>
          <w:bCs w:val="0"/>
        </w:rPr>
        <w:t>w rodzicom</w:t>
      </w:r>
      <w:r w:rsidR="00992FD0" w:rsidRPr="00EC250C">
        <w:rPr>
          <w:rStyle w:val="Pogrubienie"/>
          <w:rFonts w:eastAsiaTheme="majorEastAsia"/>
          <w:b w:val="0"/>
          <w:bCs w:val="0"/>
        </w:rPr>
        <w:t xml:space="preserve"> w </w:t>
      </w:r>
      <w:r w:rsidRPr="00EC250C">
        <w:rPr>
          <w:rStyle w:val="Pogrubienie"/>
          <w:rFonts w:eastAsiaTheme="majorEastAsia"/>
          <w:b w:val="0"/>
          <w:bCs w:val="0"/>
        </w:rPr>
        <w:t>ten spos</w:t>
      </w:r>
      <w:r w:rsidRPr="00EC250C">
        <w:rPr>
          <w:rStyle w:val="Pogrubienie"/>
          <w:rFonts w:eastAsiaTheme="majorEastAsia" w:hint="eastAsia"/>
          <w:b w:val="0"/>
          <w:bCs w:val="0"/>
        </w:rPr>
        <w:t>ó</w:t>
      </w:r>
      <w:r w:rsidRPr="00EC250C">
        <w:rPr>
          <w:rStyle w:val="Pogrubienie"/>
          <w:rFonts w:eastAsiaTheme="majorEastAsia"/>
          <w:b w:val="0"/>
          <w:bCs w:val="0"/>
        </w:rPr>
        <w:t>b, aby zapewni</w:t>
      </w:r>
      <w:r w:rsidRPr="00EC250C">
        <w:rPr>
          <w:rStyle w:val="Pogrubienie"/>
          <w:rFonts w:eastAsiaTheme="majorEastAsia" w:hint="eastAsia"/>
          <w:b w:val="0"/>
          <w:bCs w:val="0"/>
        </w:rPr>
        <w:t>ć</w:t>
      </w:r>
      <w:r w:rsidRPr="00EC250C">
        <w:rPr>
          <w:rStyle w:val="Pogrubienie"/>
          <w:rFonts w:eastAsiaTheme="majorEastAsia"/>
          <w:b w:val="0"/>
          <w:bCs w:val="0"/>
        </w:rPr>
        <w:t xml:space="preserve"> realizacj</w:t>
      </w:r>
      <w:r w:rsidRPr="00EC250C">
        <w:rPr>
          <w:rStyle w:val="Pogrubienie"/>
          <w:rFonts w:eastAsiaTheme="majorEastAsia" w:hint="eastAsia"/>
          <w:b w:val="0"/>
          <w:bCs w:val="0"/>
        </w:rPr>
        <w:t>ę</w:t>
      </w:r>
      <w:r w:rsidRPr="00EC250C">
        <w:rPr>
          <w:rStyle w:val="Pogrubienie"/>
          <w:rFonts w:eastAsiaTheme="majorEastAsia"/>
          <w:b w:val="0"/>
          <w:bCs w:val="0"/>
        </w:rPr>
        <w:t xml:space="preserve"> tych </w:t>
      </w:r>
      <w:r w:rsidRPr="00EC250C">
        <w:rPr>
          <w:rStyle w:val="Pogrubienie"/>
          <w:rFonts w:eastAsiaTheme="majorEastAsia" w:hint="eastAsia"/>
          <w:b w:val="0"/>
          <w:bCs w:val="0"/>
        </w:rPr>
        <w:t>ś</w:t>
      </w:r>
      <w:r w:rsidRPr="00EC250C">
        <w:rPr>
          <w:rStyle w:val="Pogrubienie"/>
          <w:rFonts w:eastAsiaTheme="majorEastAsia"/>
          <w:b w:val="0"/>
          <w:bCs w:val="0"/>
        </w:rPr>
        <w:t>wiadcze</w:t>
      </w:r>
      <w:r w:rsidRPr="00EC250C">
        <w:rPr>
          <w:rStyle w:val="Pogrubienie"/>
          <w:rFonts w:eastAsiaTheme="majorEastAsia" w:hint="eastAsia"/>
          <w:b w:val="0"/>
          <w:bCs w:val="0"/>
        </w:rPr>
        <w:t>ń</w:t>
      </w:r>
      <w:r w:rsidR="00992FD0" w:rsidRPr="00EC250C">
        <w:rPr>
          <w:rStyle w:val="Pogrubienie"/>
          <w:rFonts w:eastAsiaTheme="majorEastAsia"/>
          <w:b w:val="0"/>
          <w:bCs w:val="0"/>
        </w:rPr>
        <w:t xml:space="preserve"> w </w:t>
      </w:r>
      <w:r w:rsidRPr="00EC250C">
        <w:rPr>
          <w:rStyle w:val="Pogrubienie"/>
          <w:rFonts w:eastAsiaTheme="majorEastAsia"/>
          <w:b w:val="0"/>
          <w:bCs w:val="0"/>
        </w:rPr>
        <w:t>skali ca</w:t>
      </w:r>
      <w:r w:rsidRPr="00EC250C">
        <w:rPr>
          <w:rStyle w:val="Pogrubienie"/>
          <w:rFonts w:eastAsiaTheme="majorEastAsia" w:hint="eastAsia"/>
          <w:b w:val="0"/>
          <w:bCs w:val="0"/>
        </w:rPr>
        <w:t>ł</w:t>
      </w:r>
      <w:r w:rsidRPr="00EC250C">
        <w:rPr>
          <w:rStyle w:val="Pogrubienie"/>
          <w:rFonts w:eastAsiaTheme="majorEastAsia"/>
          <w:b w:val="0"/>
          <w:bCs w:val="0"/>
        </w:rPr>
        <w:t>ego kraju</w:t>
      </w:r>
      <w:r w:rsidR="00992FD0" w:rsidRPr="00EC250C">
        <w:rPr>
          <w:rStyle w:val="Pogrubienie"/>
          <w:rFonts w:eastAsiaTheme="majorEastAsia"/>
          <w:b w:val="0"/>
          <w:bCs w:val="0"/>
        </w:rPr>
        <w:t xml:space="preserve"> w </w:t>
      </w:r>
      <w:r w:rsidRPr="00EC250C">
        <w:rPr>
          <w:rStyle w:val="Pogrubienie"/>
          <w:rFonts w:eastAsiaTheme="majorEastAsia"/>
          <w:b w:val="0"/>
          <w:bCs w:val="0"/>
        </w:rPr>
        <w:t>spos</w:t>
      </w:r>
      <w:r w:rsidRPr="00EC250C">
        <w:rPr>
          <w:rStyle w:val="Pogrubienie"/>
          <w:rFonts w:eastAsiaTheme="majorEastAsia" w:hint="eastAsia"/>
          <w:b w:val="0"/>
          <w:bCs w:val="0"/>
        </w:rPr>
        <w:t>ó</w:t>
      </w:r>
      <w:r w:rsidRPr="00EC250C">
        <w:rPr>
          <w:rStyle w:val="Pogrubienie"/>
          <w:rFonts w:eastAsiaTheme="majorEastAsia"/>
          <w:b w:val="0"/>
          <w:bCs w:val="0"/>
        </w:rPr>
        <w:t>b mo</w:t>
      </w:r>
      <w:r w:rsidRPr="00EC250C">
        <w:rPr>
          <w:rStyle w:val="Pogrubienie"/>
          <w:rFonts w:eastAsiaTheme="majorEastAsia" w:hint="eastAsia"/>
          <w:b w:val="0"/>
          <w:bCs w:val="0"/>
        </w:rPr>
        <w:t>ż</w:t>
      </w:r>
      <w:r w:rsidRPr="00EC250C">
        <w:rPr>
          <w:rStyle w:val="Pogrubienie"/>
          <w:rFonts w:eastAsiaTheme="majorEastAsia"/>
          <w:b w:val="0"/>
          <w:bCs w:val="0"/>
        </w:rPr>
        <w:t>liwie jednolity</w:t>
      </w:r>
      <w:r w:rsidR="00992FD0" w:rsidRPr="00EC250C">
        <w:rPr>
          <w:rStyle w:val="Pogrubienie"/>
          <w:rFonts w:eastAsiaTheme="majorEastAsia"/>
          <w:b w:val="0"/>
          <w:bCs w:val="0"/>
        </w:rPr>
        <w:t xml:space="preserve"> i </w:t>
      </w:r>
      <w:r w:rsidRPr="00EC250C">
        <w:rPr>
          <w:rStyle w:val="Pogrubienie"/>
          <w:rFonts w:eastAsiaTheme="majorEastAsia"/>
          <w:b w:val="0"/>
          <w:bCs w:val="0"/>
        </w:rPr>
        <w:t>zestandaryzowany – pisał RPO</w:t>
      </w:r>
      <w:r w:rsidR="00992FD0" w:rsidRPr="00EC250C">
        <w:rPr>
          <w:rStyle w:val="Pogrubienie"/>
          <w:rFonts w:eastAsiaTheme="majorEastAsia"/>
          <w:b w:val="0"/>
          <w:bCs w:val="0"/>
        </w:rPr>
        <w:t xml:space="preserve"> w </w:t>
      </w:r>
      <w:r w:rsidRPr="00EC250C">
        <w:rPr>
          <w:rStyle w:val="Pogrubienie"/>
          <w:rFonts w:eastAsiaTheme="majorEastAsia"/>
          <w:b w:val="0"/>
          <w:bCs w:val="0"/>
        </w:rPr>
        <w:t>kolejnym wystąpieniu do Ministra Edukacji Narodowej</w:t>
      </w:r>
      <w:r w:rsidR="008A7436" w:rsidRPr="00EC250C">
        <w:rPr>
          <w:rStyle w:val="Odwoanieprzypisudolnego"/>
          <w:bCs/>
          <w:iCs/>
        </w:rPr>
        <w:footnoteReference w:id="579"/>
      </w:r>
      <w:r w:rsidRPr="00EC250C">
        <w:rPr>
          <w:rStyle w:val="Pogrubienie"/>
          <w:rFonts w:eastAsiaTheme="majorEastAsia"/>
          <w:b w:val="0"/>
          <w:bCs w:val="0"/>
        </w:rPr>
        <w:t>.</w:t>
      </w:r>
    </w:p>
    <w:p w14:paraId="2D75AE22" w14:textId="77777777" w:rsidR="00A46E11" w:rsidRPr="00EC250C" w:rsidRDefault="008A7436" w:rsidP="00D131FA">
      <w:pPr>
        <w:pStyle w:val="Styl1"/>
        <w:rPr>
          <w:bCs/>
          <w:iCs/>
        </w:rPr>
      </w:pPr>
      <w:r w:rsidRPr="00EC250C">
        <w:rPr>
          <w:bCs/>
          <w:iCs/>
        </w:rPr>
        <w:t>M</w:t>
      </w:r>
      <w:r w:rsidR="00161E9F" w:rsidRPr="00EC250C">
        <w:rPr>
          <w:bCs/>
          <w:iCs/>
        </w:rPr>
        <w:t xml:space="preserve">inister </w:t>
      </w:r>
      <w:r w:rsidRPr="00EC250C">
        <w:rPr>
          <w:bCs/>
          <w:iCs/>
        </w:rPr>
        <w:t>odpowiedział jednak</w:t>
      </w:r>
      <w:r w:rsidR="00161E9F" w:rsidRPr="00EC250C">
        <w:rPr>
          <w:bCs/>
          <w:iCs/>
        </w:rPr>
        <w:t xml:space="preserve">, że </w:t>
      </w:r>
      <w:r w:rsidR="00A46E11" w:rsidRPr="00EC250C">
        <w:rPr>
          <w:bCs/>
          <w:iCs/>
        </w:rPr>
        <w:t>nie planuje obecnie zmiany regulacji</w:t>
      </w:r>
      <w:r w:rsidR="00992FD0" w:rsidRPr="00EC250C">
        <w:rPr>
          <w:bCs/>
          <w:iCs/>
        </w:rPr>
        <w:t xml:space="preserve"> w </w:t>
      </w:r>
      <w:r w:rsidR="00A46E11" w:rsidRPr="00EC250C">
        <w:rPr>
          <w:bCs/>
          <w:iCs/>
        </w:rPr>
        <w:t xml:space="preserve">tym zakresie. </w:t>
      </w:r>
      <w:r w:rsidR="005D5B5A" w:rsidRPr="00EC250C">
        <w:rPr>
          <w:bCs/>
          <w:iCs/>
        </w:rPr>
        <w:t>Z</w:t>
      </w:r>
      <w:r w:rsidR="00A46E11" w:rsidRPr="00EC250C">
        <w:rPr>
          <w:bCs/>
          <w:iCs/>
        </w:rPr>
        <w:t>apewnił</w:t>
      </w:r>
      <w:r w:rsidR="00161E9F" w:rsidRPr="00EC250C">
        <w:rPr>
          <w:bCs/>
          <w:iCs/>
        </w:rPr>
        <w:t xml:space="preserve">, </w:t>
      </w:r>
      <w:r w:rsidR="00A46E11" w:rsidRPr="00EC250C">
        <w:rPr>
          <w:bCs/>
          <w:iCs/>
        </w:rPr>
        <w:t>ż</w:t>
      </w:r>
      <w:r w:rsidR="00161E9F" w:rsidRPr="00EC250C">
        <w:rPr>
          <w:bCs/>
          <w:iCs/>
        </w:rPr>
        <w:t>e</w:t>
      </w:r>
      <w:r w:rsidR="00A46E11" w:rsidRPr="00EC250C">
        <w:rPr>
          <w:bCs/>
          <w:iCs/>
        </w:rPr>
        <w:t xml:space="preserve"> postulaty </w:t>
      </w:r>
      <w:r w:rsidR="00D76DC6" w:rsidRPr="00EC250C">
        <w:rPr>
          <w:bCs/>
          <w:iCs/>
        </w:rPr>
        <w:t xml:space="preserve">RPO </w:t>
      </w:r>
      <w:r w:rsidR="00A46E11" w:rsidRPr="00EC250C">
        <w:rPr>
          <w:bCs/>
          <w:iCs/>
        </w:rPr>
        <w:t>zostały przekazane do wykorzystania</w:t>
      </w:r>
      <w:r w:rsidR="00992FD0" w:rsidRPr="00EC250C">
        <w:rPr>
          <w:bCs/>
          <w:iCs/>
        </w:rPr>
        <w:t xml:space="preserve"> w </w:t>
      </w:r>
      <w:r w:rsidR="00A46E11" w:rsidRPr="00EC250C">
        <w:rPr>
          <w:bCs/>
          <w:iCs/>
        </w:rPr>
        <w:t>pracach działającego</w:t>
      </w:r>
      <w:r w:rsidR="00992FD0" w:rsidRPr="00EC250C">
        <w:rPr>
          <w:bCs/>
          <w:iCs/>
        </w:rPr>
        <w:t xml:space="preserve"> w </w:t>
      </w:r>
      <w:r w:rsidR="00A46E11" w:rsidRPr="00EC250C">
        <w:rPr>
          <w:bCs/>
          <w:iCs/>
        </w:rPr>
        <w:t>MEN Zespołu do spraw opracowania modelu kształcenia uczniów ze specjalnymi potrzebami edukacyjnymi.</w:t>
      </w:r>
    </w:p>
    <w:p w14:paraId="16A62905" w14:textId="77777777" w:rsidR="00C91F6E" w:rsidRPr="00EC250C" w:rsidRDefault="00541E04" w:rsidP="00D131FA">
      <w:pPr>
        <w:pStyle w:val="Styl1"/>
        <w:rPr>
          <w:bCs/>
          <w:iCs/>
        </w:rPr>
      </w:pPr>
      <w:r w:rsidRPr="00EC250C">
        <w:t>W marcu 2018</w:t>
      </w:r>
      <w:r w:rsidR="00C91F6E" w:rsidRPr="00EC250C">
        <w:t> r.</w:t>
      </w:r>
      <w:r w:rsidRPr="00EC250C">
        <w:t xml:space="preserve"> do Senatu wpłynęła</w:t>
      </w:r>
      <w:r w:rsidRPr="00EC250C">
        <w:rPr>
          <w:rStyle w:val="Odwoanieprzypisudolnego"/>
        </w:rPr>
        <w:footnoteReference w:id="580"/>
      </w:r>
      <w:r w:rsidRPr="00EC250C">
        <w:t xml:space="preserve"> inicjatywa legislacyjna senatorów </w:t>
      </w:r>
      <w:r w:rsidR="008A7436" w:rsidRPr="00EC250C">
        <w:t>zmian przepisów</w:t>
      </w:r>
      <w:r w:rsidR="00992FD0" w:rsidRPr="00EC250C">
        <w:t xml:space="preserve"> o </w:t>
      </w:r>
      <w:r w:rsidR="008A7436" w:rsidRPr="00EC250C">
        <w:t>dowozie dzieci</w:t>
      </w:r>
      <w:r w:rsidR="00992FD0" w:rsidRPr="00EC250C">
        <w:t xml:space="preserve"> z </w:t>
      </w:r>
      <w:r w:rsidR="008A7436" w:rsidRPr="00EC250C">
        <w:t>niepełnosprawnościami do szkół</w:t>
      </w:r>
      <w:r w:rsidR="008A7436" w:rsidRPr="00EC250C">
        <w:rPr>
          <w:bCs/>
          <w:iCs/>
        </w:rPr>
        <w:t>.</w:t>
      </w:r>
      <w:r w:rsidRPr="00EC250C">
        <w:t xml:space="preserve"> </w:t>
      </w:r>
      <w:r w:rsidR="003B08F1" w:rsidRPr="00EC250C">
        <w:t xml:space="preserve">W </w:t>
      </w:r>
      <w:r w:rsidR="003B08F1" w:rsidRPr="00EC250C">
        <w:rPr>
          <w:bCs/>
          <w:iCs/>
        </w:rPr>
        <w:t>wystąpieniu do Przewodniczących Senackich Komisji: Nauki, Edukacji</w:t>
      </w:r>
      <w:r w:rsidR="00992FD0" w:rsidRPr="00EC250C">
        <w:rPr>
          <w:bCs/>
          <w:iCs/>
        </w:rPr>
        <w:t xml:space="preserve"> i </w:t>
      </w:r>
      <w:r w:rsidR="003B08F1" w:rsidRPr="00EC250C">
        <w:rPr>
          <w:bCs/>
          <w:iCs/>
        </w:rPr>
        <w:t>Sportu, Samorządu Terytorialnego</w:t>
      </w:r>
      <w:r w:rsidR="00992FD0" w:rsidRPr="00EC250C">
        <w:rPr>
          <w:bCs/>
          <w:iCs/>
        </w:rPr>
        <w:t xml:space="preserve"> i </w:t>
      </w:r>
      <w:r w:rsidR="003B08F1" w:rsidRPr="00EC250C">
        <w:rPr>
          <w:bCs/>
          <w:iCs/>
        </w:rPr>
        <w:t xml:space="preserve">Administracji Państwowej oraz Ustawodawczej </w:t>
      </w:r>
      <w:r w:rsidR="00D76DC6" w:rsidRPr="00EC250C">
        <w:rPr>
          <w:bCs/>
          <w:iCs/>
        </w:rPr>
        <w:t>RPO</w:t>
      </w:r>
      <w:r w:rsidR="003B08F1" w:rsidRPr="00EC250C">
        <w:rPr>
          <w:bCs/>
          <w:iCs/>
        </w:rPr>
        <w:t xml:space="preserve"> </w:t>
      </w:r>
      <w:r w:rsidRPr="00EC250C">
        <w:rPr>
          <w:bCs/>
          <w:iCs/>
        </w:rPr>
        <w:t>przedstawił</w:t>
      </w:r>
      <w:r w:rsidR="003B08F1" w:rsidRPr="00EC250C">
        <w:rPr>
          <w:bCs/>
          <w:iCs/>
        </w:rPr>
        <w:t xml:space="preserve"> </w:t>
      </w:r>
      <w:r w:rsidRPr="00EC250C">
        <w:rPr>
          <w:bCs/>
          <w:iCs/>
        </w:rPr>
        <w:t>swoja opinię</w:t>
      </w:r>
      <w:r w:rsidR="00992FD0" w:rsidRPr="00EC250C">
        <w:rPr>
          <w:bCs/>
          <w:iCs/>
        </w:rPr>
        <w:t xml:space="preserve"> w </w:t>
      </w:r>
      <w:r w:rsidR="003B08F1" w:rsidRPr="00EC250C">
        <w:rPr>
          <w:bCs/>
          <w:iCs/>
        </w:rPr>
        <w:t>sprawie.</w:t>
      </w:r>
      <w:r w:rsidR="008B13D0" w:rsidRPr="00EC250C">
        <w:rPr>
          <w:bCs/>
          <w:iCs/>
        </w:rPr>
        <w:t xml:space="preserve"> W 2019 r. Senat nadal pracował nad projektem</w:t>
      </w:r>
      <w:r w:rsidR="008B13D0" w:rsidRPr="00EC250C">
        <w:rPr>
          <w:rStyle w:val="Odwoanieprzypisudolnego"/>
          <w:bCs/>
          <w:iCs/>
        </w:rPr>
        <w:footnoteReference w:id="581"/>
      </w:r>
      <w:r w:rsidR="008B13D0" w:rsidRPr="00EC250C">
        <w:rPr>
          <w:bCs/>
          <w:iCs/>
        </w:rPr>
        <w:t>.</w:t>
      </w:r>
    </w:p>
    <w:p w14:paraId="7F805E6F" w14:textId="77777777" w:rsidR="008A7436" w:rsidRPr="00EC250C" w:rsidRDefault="008A7436" w:rsidP="00EC250C">
      <w:pPr>
        <w:pStyle w:val="Nagwek8"/>
      </w:pPr>
      <w:r w:rsidRPr="00EC250C">
        <w:lastRenderedPageBreak/>
        <w:t>Sprawa Filipa</w:t>
      </w:r>
      <w:r w:rsidR="00992FD0" w:rsidRPr="00EC250C">
        <w:t xml:space="preserve"> i </w:t>
      </w:r>
      <w:r w:rsidRPr="00EC250C">
        <w:t>jego mamy</w:t>
      </w:r>
      <w:r w:rsidR="00026572" w:rsidRPr="00EC250C">
        <w:t xml:space="preserve"> – </w:t>
      </w:r>
      <w:r w:rsidRPr="00EC250C">
        <w:t>RPO do prezydenta Warszawy</w:t>
      </w:r>
      <w:r w:rsidR="00992FD0" w:rsidRPr="00EC250C">
        <w:t xml:space="preserve"> w </w:t>
      </w:r>
      <w:r w:rsidRPr="00EC250C">
        <w:t>sprawie kosztów dowozu przedszkolaka</w:t>
      </w:r>
      <w:r w:rsidR="00992FD0" w:rsidRPr="00EC250C">
        <w:t xml:space="preserve"> z </w:t>
      </w:r>
      <w:r w:rsidRPr="00EC250C">
        <w:t>niepełnosprawnością</w:t>
      </w:r>
    </w:p>
    <w:p w14:paraId="7AB3BC4F" w14:textId="77777777" w:rsidR="008A7436" w:rsidRPr="00EC250C" w:rsidRDefault="008A7436" w:rsidP="00D131FA">
      <w:pPr>
        <w:pStyle w:val="Styl2"/>
        <w:rPr>
          <w:szCs w:val="24"/>
        </w:rPr>
      </w:pPr>
      <w:r w:rsidRPr="00EC250C">
        <w:rPr>
          <w:szCs w:val="24"/>
          <w:bdr w:val="none" w:sz="0" w:space="0" w:color="auto" w:frame="1"/>
        </w:rPr>
        <w:t>Mama Filipa dowozi go do przedszkola dla dzieci</w:t>
      </w:r>
      <w:r w:rsidR="00992FD0" w:rsidRPr="00EC250C">
        <w:rPr>
          <w:szCs w:val="24"/>
          <w:bdr w:val="none" w:sz="0" w:space="0" w:color="auto" w:frame="1"/>
        </w:rPr>
        <w:t xml:space="preserve"> z </w:t>
      </w:r>
      <w:r w:rsidRPr="00EC250C">
        <w:rPr>
          <w:szCs w:val="24"/>
          <w:bdr w:val="none" w:sz="0" w:space="0" w:color="auto" w:frame="1"/>
        </w:rPr>
        <w:t>niepełnosprawnościami</w:t>
      </w:r>
      <w:r w:rsidR="00992FD0" w:rsidRPr="00EC250C">
        <w:rPr>
          <w:szCs w:val="24"/>
          <w:bdr w:val="none" w:sz="0" w:space="0" w:color="auto" w:frame="1"/>
        </w:rPr>
        <w:t xml:space="preserve"> a </w:t>
      </w:r>
      <w:r w:rsidRPr="00EC250C">
        <w:rPr>
          <w:szCs w:val="24"/>
          <w:bdr w:val="none" w:sz="0" w:space="0" w:color="auto" w:frame="1"/>
        </w:rPr>
        <w:t>Warszawa zwraca jej tylko za koszt podróży</w:t>
      </w:r>
      <w:r w:rsidR="00992FD0" w:rsidRPr="00EC250C">
        <w:rPr>
          <w:szCs w:val="24"/>
          <w:bdr w:val="none" w:sz="0" w:space="0" w:color="auto" w:frame="1"/>
        </w:rPr>
        <w:t xml:space="preserve"> z </w:t>
      </w:r>
      <w:r w:rsidRPr="00EC250C">
        <w:rPr>
          <w:szCs w:val="24"/>
          <w:bdr w:val="none" w:sz="0" w:space="0" w:color="auto" w:frame="1"/>
        </w:rPr>
        <w:t>dzieckiem –</w:t>
      </w:r>
      <w:r w:rsidR="00992FD0" w:rsidRPr="00EC250C">
        <w:rPr>
          <w:szCs w:val="24"/>
          <w:bdr w:val="none" w:sz="0" w:space="0" w:color="auto" w:frame="1"/>
        </w:rPr>
        <w:t xml:space="preserve"> a </w:t>
      </w:r>
      <w:r w:rsidRPr="00EC250C">
        <w:rPr>
          <w:szCs w:val="24"/>
          <w:bdr w:val="none" w:sz="0" w:space="0" w:color="auto" w:frame="1"/>
        </w:rPr>
        <w:t>nie po dziecko, czy do domu po odwiezieniu synka. Powołuje się na zarządzenie</w:t>
      </w:r>
      <w:r w:rsidR="00992FD0" w:rsidRPr="00EC250C">
        <w:rPr>
          <w:szCs w:val="24"/>
          <w:bdr w:val="none" w:sz="0" w:space="0" w:color="auto" w:frame="1"/>
        </w:rPr>
        <w:t xml:space="preserve"> z </w:t>
      </w:r>
      <w:r w:rsidRPr="00EC250C">
        <w:rPr>
          <w:szCs w:val="24"/>
          <w:bdr w:val="none" w:sz="0" w:space="0" w:color="auto" w:frame="1"/>
        </w:rPr>
        <w:t>2008</w:t>
      </w:r>
      <w:r w:rsidR="00C91F6E" w:rsidRPr="00EC250C">
        <w:rPr>
          <w:szCs w:val="24"/>
          <w:bdr w:val="none" w:sz="0" w:space="0" w:color="auto" w:frame="1"/>
        </w:rPr>
        <w:t> r.</w:t>
      </w:r>
    </w:p>
    <w:p w14:paraId="5C4C29CB" w14:textId="77777777" w:rsidR="008A7436" w:rsidRPr="00EC250C" w:rsidRDefault="00D76DC6" w:rsidP="00D131FA">
      <w:pPr>
        <w:pStyle w:val="Styl2"/>
        <w:rPr>
          <w:szCs w:val="24"/>
        </w:rPr>
      </w:pPr>
      <w:r w:rsidRPr="00EC250C">
        <w:rPr>
          <w:szCs w:val="24"/>
        </w:rPr>
        <w:t>RPO</w:t>
      </w:r>
      <w:r w:rsidR="008A7436" w:rsidRPr="00EC250C">
        <w:rPr>
          <w:szCs w:val="24"/>
        </w:rPr>
        <w:t xml:space="preserve"> zwrócił uwagę nowemu prezydentowi Warszawy na problem finansowania dowozu dzieci</w:t>
      </w:r>
      <w:r w:rsidR="00992FD0" w:rsidRPr="00EC250C">
        <w:rPr>
          <w:szCs w:val="24"/>
        </w:rPr>
        <w:t xml:space="preserve"> z </w:t>
      </w:r>
      <w:r w:rsidR="008A7436" w:rsidRPr="00EC250C">
        <w:rPr>
          <w:szCs w:val="24"/>
        </w:rPr>
        <w:t>niepełnosprawnościami do przedszkoli, szkół lub specjalistycznych ośrodków</w:t>
      </w:r>
      <w:r w:rsidR="00DB4382" w:rsidRPr="00EC250C">
        <w:rPr>
          <w:rStyle w:val="Odwoanieprzypisudolnego"/>
          <w:szCs w:val="24"/>
        </w:rPr>
        <w:t xml:space="preserve"> </w:t>
      </w:r>
      <w:r w:rsidR="00DB4382" w:rsidRPr="00EC250C">
        <w:rPr>
          <w:rStyle w:val="Odwoanieprzypisudolnego"/>
          <w:szCs w:val="24"/>
        </w:rPr>
        <w:footnoteReference w:id="582"/>
      </w:r>
      <w:r w:rsidR="00DB4382" w:rsidRPr="00EC250C">
        <w:rPr>
          <w:szCs w:val="24"/>
        </w:rPr>
        <w:t>.</w:t>
      </w:r>
    </w:p>
    <w:p w14:paraId="70EC3DC4" w14:textId="77777777" w:rsidR="008B13D0" w:rsidRPr="00EC250C" w:rsidRDefault="008B13D0" w:rsidP="00D131FA">
      <w:pPr>
        <w:pStyle w:val="Styl2"/>
        <w:rPr>
          <w:szCs w:val="24"/>
        </w:rPr>
      </w:pPr>
      <w:r w:rsidRPr="00EC250C">
        <w:rPr>
          <w:szCs w:val="24"/>
        </w:rPr>
        <w:t>RPO w podobnej sprawie przedstawił argumenty w Sądzie Okręgowym w Krakowie – i wygrał (wspierał matkę, która złożyła pozew przeciw gminie Kraków o ustalenia obowiązku zawarcia umowy przez gminę na cztery przejazdy dziennie). Wyrok Sądu Okręgowego w Krakowie (sygn. akt II Ca 2202/17) może być niezwykle istotny dla stosowania prawa oświatowego i rozstrzygania dylematu, czy koszty dojazdu do nierzadko oddalonej placówki specjalistycznej, ma ponosić sama rodzina dziecka z niepełnosprawnością, czy też ma ją w tym wspierać cała wspólnota.</w:t>
      </w:r>
    </w:p>
    <w:p w14:paraId="320A6D0F" w14:textId="77777777" w:rsidR="008A7436" w:rsidRPr="00EC250C" w:rsidRDefault="008A7436" w:rsidP="00D131FA">
      <w:pPr>
        <w:pStyle w:val="Styl2"/>
        <w:rPr>
          <w:szCs w:val="24"/>
        </w:rPr>
      </w:pPr>
      <w:r w:rsidRPr="00EC250C">
        <w:rPr>
          <w:szCs w:val="24"/>
        </w:rPr>
        <w:t>Rodzice dzieci</w:t>
      </w:r>
      <w:r w:rsidR="00992FD0" w:rsidRPr="00EC250C">
        <w:rPr>
          <w:szCs w:val="24"/>
        </w:rPr>
        <w:t xml:space="preserve"> z </w:t>
      </w:r>
      <w:r w:rsidRPr="00EC250C">
        <w:rPr>
          <w:szCs w:val="24"/>
        </w:rPr>
        <w:t>niepełnosprawnościami mają prawo wyboru, jak dowozić dzieci na zajęcia – mogą korzystać</w:t>
      </w:r>
      <w:r w:rsidR="00992FD0" w:rsidRPr="00EC250C">
        <w:rPr>
          <w:szCs w:val="24"/>
        </w:rPr>
        <w:t xml:space="preserve"> z </w:t>
      </w:r>
      <w:r w:rsidRPr="00EC250C">
        <w:rPr>
          <w:szCs w:val="24"/>
        </w:rPr>
        <w:t>transportu zorganizowanego lub dowozić dziecko samodzielnie. Nie można stawiać ich</w:t>
      </w:r>
      <w:r w:rsidR="00992FD0" w:rsidRPr="00EC250C">
        <w:rPr>
          <w:szCs w:val="24"/>
        </w:rPr>
        <w:t xml:space="preserve"> w </w:t>
      </w:r>
      <w:r w:rsidRPr="00EC250C">
        <w:rPr>
          <w:szCs w:val="24"/>
        </w:rPr>
        <w:t>sytuacji,</w:t>
      </w:r>
      <w:r w:rsidR="00992FD0" w:rsidRPr="00EC250C">
        <w:rPr>
          <w:szCs w:val="24"/>
        </w:rPr>
        <w:t xml:space="preserve"> w </w:t>
      </w:r>
      <w:r w:rsidRPr="00EC250C">
        <w:rPr>
          <w:szCs w:val="24"/>
        </w:rPr>
        <w:t>której wybór osobistego dowozu</w:t>
      </w:r>
      <w:r w:rsidR="00992FD0" w:rsidRPr="00EC250C">
        <w:rPr>
          <w:szCs w:val="24"/>
        </w:rPr>
        <w:t xml:space="preserve"> w </w:t>
      </w:r>
      <w:r w:rsidRPr="00EC250C">
        <w:rPr>
          <w:szCs w:val="24"/>
        </w:rPr>
        <w:t>rzeczywistości łączy się</w:t>
      </w:r>
      <w:r w:rsidR="00992FD0" w:rsidRPr="00EC250C">
        <w:rPr>
          <w:szCs w:val="24"/>
        </w:rPr>
        <w:t xml:space="preserve"> z </w:t>
      </w:r>
      <w:r w:rsidRPr="00EC250C">
        <w:rPr>
          <w:szCs w:val="24"/>
        </w:rPr>
        <w:t>ponoszeniem dodatkowych kosztów</w:t>
      </w:r>
      <w:r w:rsidR="00674B0F" w:rsidRPr="00EC250C">
        <w:rPr>
          <w:szCs w:val="24"/>
        </w:rPr>
        <w:t xml:space="preserve"> – bo rodzic po odwiezieniu dziecka musi wróci do domu/pracy</w:t>
      </w:r>
      <w:r w:rsidR="00992FD0" w:rsidRPr="00EC250C">
        <w:rPr>
          <w:szCs w:val="24"/>
        </w:rPr>
        <w:t xml:space="preserve"> a </w:t>
      </w:r>
      <w:r w:rsidR="00674B0F" w:rsidRPr="00EC250C">
        <w:rPr>
          <w:szCs w:val="24"/>
        </w:rPr>
        <w:t>potem po dziecko pojechać</w:t>
      </w:r>
      <w:r w:rsidRPr="00EC250C">
        <w:rPr>
          <w:szCs w:val="24"/>
        </w:rPr>
        <w:t xml:space="preserve">. Intencją ustawodawcy było </w:t>
      </w:r>
      <w:r w:rsidR="006812A3" w:rsidRPr="00EC250C">
        <w:rPr>
          <w:szCs w:val="24"/>
        </w:rPr>
        <w:t xml:space="preserve">przecież </w:t>
      </w:r>
      <w:r w:rsidRPr="00EC250C">
        <w:rPr>
          <w:szCs w:val="24"/>
        </w:rPr>
        <w:t>ułatwienie uczniom</w:t>
      </w:r>
      <w:r w:rsidR="00992FD0" w:rsidRPr="00EC250C">
        <w:rPr>
          <w:szCs w:val="24"/>
        </w:rPr>
        <w:t xml:space="preserve"> z </w:t>
      </w:r>
      <w:r w:rsidRPr="00EC250C">
        <w:rPr>
          <w:szCs w:val="24"/>
        </w:rPr>
        <w:t>niepełnosprawnościami realnego dostępu do edukacji.</w:t>
      </w:r>
    </w:p>
    <w:p w14:paraId="55069ECE" w14:textId="77777777" w:rsidR="008A7436" w:rsidRPr="00EC250C" w:rsidRDefault="008A7436" w:rsidP="00D131FA">
      <w:pPr>
        <w:pStyle w:val="Styl2"/>
        <w:rPr>
          <w:szCs w:val="24"/>
        </w:rPr>
      </w:pPr>
      <w:r w:rsidRPr="00EC250C">
        <w:rPr>
          <w:szCs w:val="24"/>
        </w:rPr>
        <w:t>W 2017</w:t>
      </w:r>
      <w:r w:rsidR="00C91F6E" w:rsidRPr="00EC250C">
        <w:rPr>
          <w:szCs w:val="24"/>
        </w:rPr>
        <w:t> r.</w:t>
      </w:r>
      <w:r w:rsidRPr="00EC250C">
        <w:rPr>
          <w:szCs w:val="24"/>
        </w:rPr>
        <w:t xml:space="preserve"> Trybunał Konstytucyjny wydał postanowienie sygnalizacyjne (sygn. akt SK 28/16)</w:t>
      </w:r>
      <w:r w:rsidR="00992FD0" w:rsidRPr="00EC250C">
        <w:rPr>
          <w:szCs w:val="24"/>
        </w:rPr>
        <w:t xml:space="preserve"> w </w:t>
      </w:r>
      <w:r w:rsidRPr="00EC250C">
        <w:rPr>
          <w:szCs w:val="24"/>
        </w:rPr>
        <w:t>sprawie ustalania zwrotu kosztów dowozu uczniów</w:t>
      </w:r>
      <w:r w:rsidR="00992FD0" w:rsidRPr="00EC250C">
        <w:rPr>
          <w:szCs w:val="24"/>
        </w:rPr>
        <w:t xml:space="preserve"> i </w:t>
      </w:r>
      <w:r w:rsidRPr="00EC250C">
        <w:rPr>
          <w:szCs w:val="24"/>
        </w:rPr>
        <w:t xml:space="preserve">poparł potrzebę bardziej szczegółowego uregulowania sprawy przez ustawodawcę. Trybunał podzielił stanowisko </w:t>
      </w:r>
      <w:r w:rsidR="00D76DC6" w:rsidRPr="00EC250C">
        <w:rPr>
          <w:szCs w:val="24"/>
        </w:rPr>
        <w:t>RPO</w:t>
      </w:r>
      <w:r w:rsidR="00992FD0" w:rsidRPr="00EC250C">
        <w:rPr>
          <w:szCs w:val="24"/>
        </w:rPr>
        <w:t xml:space="preserve"> i </w:t>
      </w:r>
      <w:r w:rsidRPr="00EC250C">
        <w:rPr>
          <w:szCs w:val="24"/>
        </w:rPr>
        <w:t>wskazał, iż zamiar ustawodawcy, aby zapewnić możliwość elastycznego dostosowywania przyznawanych świadczeń</w:t>
      </w:r>
      <w:r w:rsidR="00992FD0" w:rsidRPr="00EC250C">
        <w:rPr>
          <w:szCs w:val="24"/>
        </w:rPr>
        <w:t xml:space="preserve"> w </w:t>
      </w:r>
      <w:r w:rsidRPr="00EC250C">
        <w:rPr>
          <w:szCs w:val="24"/>
        </w:rPr>
        <w:t>zależności od indywidualnych potrzeb danych podmiotów, nie został zrealizowany</w:t>
      </w:r>
      <w:r w:rsidR="00992FD0" w:rsidRPr="00EC250C">
        <w:rPr>
          <w:szCs w:val="24"/>
        </w:rPr>
        <w:t xml:space="preserve"> w </w:t>
      </w:r>
      <w:r w:rsidRPr="00EC250C">
        <w:rPr>
          <w:szCs w:val="24"/>
        </w:rPr>
        <w:t>sposób należyty.</w:t>
      </w:r>
    </w:p>
    <w:p w14:paraId="7A07342D" w14:textId="77777777" w:rsidR="00B96B20" w:rsidRPr="00EC250C" w:rsidRDefault="00B96B20" w:rsidP="00EC250C">
      <w:pPr>
        <w:pStyle w:val="Nagwek8"/>
        <w:rPr>
          <w:spacing w:val="0"/>
        </w:rPr>
      </w:pPr>
      <w:bookmarkStart w:id="593" w:name="_Hlk8715856"/>
      <w:r w:rsidRPr="00EC250C">
        <w:t>Miasto zwiększa kwotę zwrotu kosztów przejazdu dzieci</w:t>
      </w:r>
      <w:r w:rsidR="00992FD0" w:rsidRPr="00EC250C">
        <w:t xml:space="preserve"> i </w:t>
      </w:r>
      <w:r w:rsidRPr="00EC250C">
        <w:t>uczniów</w:t>
      </w:r>
      <w:r w:rsidR="00992FD0" w:rsidRPr="00EC250C">
        <w:t xml:space="preserve"> z </w:t>
      </w:r>
      <w:r w:rsidRPr="00EC250C">
        <w:t xml:space="preserve">niepełnosprawnościami po interwencji </w:t>
      </w:r>
      <w:r w:rsidR="00D76DC6" w:rsidRPr="00EC250C">
        <w:t>RPO</w:t>
      </w:r>
    </w:p>
    <w:p w14:paraId="01699F68" w14:textId="77777777" w:rsidR="00B96B20" w:rsidRPr="00EC250C" w:rsidRDefault="00B96B20" w:rsidP="00D131FA">
      <w:pPr>
        <w:pStyle w:val="Styl2"/>
        <w:rPr>
          <w:szCs w:val="24"/>
        </w:rPr>
      </w:pPr>
      <w:r w:rsidRPr="00EC250C">
        <w:rPr>
          <w:szCs w:val="24"/>
        </w:rPr>
        <w:t xml:space="preserve">Zaczęło się od sprawy matki, która poskarżyła się </w:t>
      </w:r>
      <w:r w:rsidR="00D76DC6" w:rsidRPr="00EC250C">
        <w:rPr>
          <w:szCs w:val="24"/>
        </w:rPr>
        <w:t>RPO</w:t>
      </w:r>
      <w:r w:rsidRPr="00EC250C">
        <w:rPr>
          <w:szCs w:val="24"/>
        </w:rPr>
        <w:t>, że zaniżono sposób wyliczenia wysokości kosztów dowozu jej córki na zajęcia do Ośrodka Rehabilitacyjno-Edukacyjno-Wychowawczego. Podkreśliła ona zwłaszcza zbyt niską, określoną</w:t>
      </w:r>
      <w:r w:rsidR="00992FD0" w:rsidRPr="00EC250C">
        <w:rPr>
          <w:szCs w:val="24"/>
        </w:rPr>
        <w:t xml:space="preserve"> w </w:t>
      </w:r>
      <w:r w:rsidRPr="00EC250C">
        <w:rPr>
          <w:szCs w:val="24"/>
        </w:rPr>
        <w:t>umowie</w:t>
      </w:r>
      <w:r w:rsidR="00992FD0" w:rsidRPr="00EC250C">
        <w:rPr>
          <w:szCs w:val="24"/>
        </w:rPr>
        <w:t xml:space="preserve"> z </w:t>
      </w:r>
      <w:r w:rsidRPr="00EC250C">
        <w:rPr>
          <w:szCs w:val="24"/>
        </w:rPr>
        <w:t>miastem, stawkę za kilometr na poziomie 33 gr za 1 km</w:t>
      </w:r>
      <w:r w:rsidR="00992FD0" w:rsidRPr="00EC250C">
        <w:rPr>
          <w:szCs w:val="24"/>
        </w:rPr>
        <w:t xml:space="preserve"> i </w:t>
      </w:r>
      <w:r w:rsidRPr="00EC250C">
        <w:rPr>
          <w:szCs w:val="24"/>
        </w:rPr>
        <w:t>zwrot kosztów tylko za dwa przejazdy, które nie uwzględniają konieczności powrotu rodzica do miejsca zamieszkania, po odwiezieniu dziecka na zajęcia.</w:t>
      </w:r>
    </w:p>
    <w:p w14:paraId="4C151267" w14:textId="77777777" w:rsidR="008B13D0" w:rsidRPr="00EC250C" w:rsidRDefault="008B13D0" w:rsidP="00D131FA">
      <w:pPr>
        <w:pStyle w:val="Styl2"/>
        <w:rPr>
          <w:szCs w:val="24"/>
        </w:rPr>
      </w:pPr>
      <w:r w:rsidRPr="00EC250C">
        <w:rPr>
          <w:szCs w:val="24"/>
        </w:rPr>
        <w:t>Po tym wniosku, RPO napisał do prezydenta miasta, wskazując, że zwrot kosztów powinien nastąpić w kwocie odpowiadającej rzeczywistej ich wysokości i dotyczyć czterech przejazdów. Pełnomocnik przypomniał też działania RPO prowadzone w podobnych sprawach i wyroki sądów.</w:t>
      </w:r>
    </w:p>
    <w:p w14:paraId="5F6FC70B" w14:textId="77777777" w:rsidR="00B96B20" w:rsidRPr="00EC250C" w:rsidRDefault="008B13D0" w:rsidP="00D131FA">
      <w:pPr>
        <w:pStyle w:val="Styl2"/>
        <w:rPr>
          <w:szCs w:val="24"/>
        </w:rPr>
      </w:pPr>
      <w:r w:rsidRPr="00EC250C">
        <w:rPr>
          <w:szCs w:val="24"/>
        </w:rPr>
        <w:t xml:space="preserve">Wiceprezydent Miasta poinformował RPO, że ponownie przeanalizował zasad zwrotu kosztów przejazdu dzieci i uczniów z niepełnosprawnościami oraz ich opiekunów. Dzięki temu </w:t>
      </w:r>
      <w:r w:rsidRPr="00EC250C">
        <w:rPr>
          <w:szCs w:val="24"/>
        </w:rPr>
        <w:lastRenderedPageBreak/>
        <w:t>podjęto decyzję o zwiększeniu stawki za 1 km przejazdu z miejsca zamieszkania do przedszkola, oddziału przedszkolnego w szkole podstawowej, innych form wychowania przedszkolnego, szkoły lub ośrodka</w:t>
      </w:r>
      <w:r w:rsidRPr="00EC250C">
        <w:rPr>
          <w:rStyle w:val="Odwoanieprzypisudolnego"/>
          <w:rFonts w:ascii="Open Sans Regular" w:hAnsi="Open Sans Regular"/>
          <w:sz w:val="21"/>
          <w:szCs w:val="20"/>
        </w:rPr>
        <w:footnoteReference w:id="583"/>
      </w:r>
      <w:r w:rsidRPr="00EC250C">
        <w:rPr>
          <w:szCs w:val="24"/>
        </w:rPr>
        <w:t>.</w:t>
      </w:r>
    </w:p>
    <w:p w14:paraId="5E33DD31" w14:textId="77777777" w:rsidR="00C91F6E" w:rsidRPr="00EC250C" w:rsidRDefault="00964663" w:rsidP="00EC79EB">
      <w:pPr>
        <w:pStyle w:val="Nagwek4"/>
      </w:pPr>
      <w:bookmarkStart w:id="594" w:name="_Toc6257901"/>
      <w:bookmarkStart w:id="595" w:name="_Toc11247778"/>
      <w:bookmarkEnd w:id="593"/>
      <w:r w:rsidRPr="00EC250C">
        <w:t>Organizacja nauczania indywidualnego</w:t>
      </w:r>
      <w:bookmarkEnd w:id="594"/>
      <w:bookmarkEnd w:id="595"/>
    </w:p>
    <w:p w14:paraId="06B985BC" w14:textId="77777777" w:rsidR="00B473F5" w:rsidRPr="00EC250C" w:rsidRDefault="006A7981" w:rsidP="00D131FA">
      <w:pPr>
        <w:pStyle w:val="Problemczowieka"/>
        <w:jc w:val="both"/>
        <w:rPr>
          <w:shd w:val="clear" w:color="auto" w:fill="FFFFFF"/>
        </w:rPr>
      </w:pPr>
      <w:r w:rsidRPr="00EC250C">
        <w:rPr>
          <w:shd w:val="clear" w:color="auto" w:fill="FFFFFF"/>
        </w:rPr>
        <w:t>Zapowiadane przez MEN zmiany</w:t>
      </w:r>
      <w:r w:rsidR="00992FD0" w:rsidRPr="00EC250C">
        <w:rPr>
          <w:shd w:val="clear" w:color="auto" w:fill="FFFFFF"/>
        </w:rPr>
        <w:t xml:space="preserve"> w </w:t>
      </w:r>
      <w:r w:rsidRPr="00EC250C">
        <w:rPr>
          <w:shd w:val="clear" w:color="auto" w:fill="FFFFFF"/>
        </w:rPr>
        <w:t>organizacji nauczania indywidualnego wywołały</w:t>
      </w:r>
      <w:r w:rsidR="00992FD0" w:rsidRPr="00EC250C">
        <w:rPr>
          <w:shd w:val="clear" w:color="auto" w:fill="FFFFFF"/>
        </w:rPr>
        <w:t xml:space="preserve"> w </w:t>
      </w:r>
      <w:r w:rsidRPr="00EC250C">
        <w:rPr>
          <w:shd w:val="clear" w:color="auto" w:fill="FFFFFF"/>
        </w:rPr>
        <w:t>2018</w:t>
      </w:r>
      <w:r w:rsidR="00C91F6E" w:rsidRPr="00EC250C">
        <w:rPr>
          <w:shd w:val="clear" w:color="auto" w:fill="FFFFFF"/>
        </w:rPr>
        <w:t> r.</w:t>
      </w:r>
      <w:r w:rsidRPr="00EC250C">
        <w:rPr>
          <w:shd w:val="clear" w:color="auto" w:fill="FFFFFF"/>
        </w:rPr>
        <w:t xml:space="preserve"> ogromny niepokój rodziców. Obawiali się, że ich dzieci </w:t>
      </w:r>
      <w:r w:rsidR="008B13D0" w:rsidRPr="00EC250C">
        <w:rPr>
          <w:shd w:val="clear" w:color="auto" w:fill="FFFFFF"/>
        </w:rPr>
        <w:t>będą zmuszone do nauki w domu</w:t>
      </w:r>
      <w:r w:rsidR="00B473F5" w:rsidRPr="00EC250C">
        <w:rPr>
          <w:shd w:val="clear" w:color="auto" w:fill="FFFFFF"/>
        </w:rPr>
        <w:t>.</w:t>
      </w:r>
    </w:p>
    <w:p w14:paraId="164C241D" w14:textId="77777777" w:rsidR="00C91F6E" w:rsidRPr="00EC250C" w:rsidRDefault="006A7981" w:rsidP="00D131FA">
      <w:pPr>
        <w:pStyle w:val="Styl1"/>
        <w:rPr>
          <w:shd w:val="clear" w:color="auto" w:fill="FFFFFF"/>
        </w:rPr>
      </w:pPr>
      <w:r w:rsidRPr="00EC250C">
        <w:rPr>
          <w:shd w:val="clear" w:color="auto" w:fill="FFFFFF"/>
        </w:rPr>
        <w:t>Dziecko</w:t>
      </w:r>
      <w:r w:rsidR="00992FD0" w:rsidRPr="00EC250C">
        <w:rPr>
          <w:shd w:val="clear" w:color="auto" w:fill="FFFFFF"/>
        </w:rPr>
        <w:t xml:space="preserve"> z </w:t>
      </w:r>
      <w:r w:rsidRPr="00EC250C">
        <w:rPr>
          <w:shd w:val="clear" w:color="auto" w:fill="FFFFFF"/>
        </w:rPr>
        <w:t>niepełnosprawnością może –</w:t>
      </w:r>
      <w:r w:rsidR="00992FD0" w:rsidRPr="00EC250C">
        <w:rPr>
          <w:shd w:val="clear" w:color="auto" w:fill="FFFFFF"/>
        </w:rPr>
        <w:t xml:space="preserve"> i </w:t>
      </w:r>
      <w:r w:rsidRPr="00EC250C">
        <w:rPr>
          <w:shd w:val="clear" w:color="auto" w:fill="FFFFFF"/>
        </w:rPr>
        <w:t>powinno – chodzić do szkoły, bo nic nie zastąpi kontaktów</w:t>
      </w:r>
      <w:r w:rsidR="00992FD0" w:rsidRPr="00EC250C">
        <w:rPr>
          <w:shd w:val="clear" w:color="auto" w:fill="FFFFFF"/>
        </w:rPr>
        <w:t xml:space="preserve"> z </w:t>
      </w:r>
      <w:r w:rsidRPr="00EC250C">
        <w:rPr>
          <w:shd w:val="clear" w:color="auto" w:fill="FFFFFF"/>
        </w:rPr>
        <w:t>rówieśnikami. Formą wsparcia jest możliwość nauki</w:t>
      </w:r>
      <w:r w:rsidR="00992FD0" w:rsidRPr="00EC250C">
        <w:rPr>
          <w:shd w:val="clear" w:color="auto" w:fill="FFFFFF"/>
        </w:rPr>
        <w:t xml:space="preserve"> z </w:t>
      </w:r>
      <w:r w:rsidRPr="00EC250C">
        <w:rPr>
          <w:shd w:val="clear" w:color="auto" w:fill="FFFFFF"/>
        </w:rPr>
        <w:t>dodatkowym wsparciem</w:t>
      </w:r>
      <w:r w:rsidR="00026572" w:rsidRPr="00EC250C">
        <w:rPr>
          <w:shd w:val="clear" w:color="auto" w:fill="FFFFFF"/>
        </w:rPr>
        <w:t xml:space="preserve"> – </w:t>
      </w:r>
      <w:r w:rsidR="00992FD0" w:rsidRPr="00EC250C">
        <w:rPr>
          <w:shd w:val="clear" w:color="auto" w:fill="FFFFFF"/>
        </w:rPr>
        <w:t>w </w:t>
      </w:r>
      <w:r w:rsidRPr="00EC250C">
        <w:rPr>
          <w:shd w:val="clear" w:color="auto" w:fill="FFFFFF"/>
        </w:rPr>
        <w:t>szkole</w:t>
      </w:r>
      <w:r w:rsidR="00992FD0" w:rsidRPr="00EC250C">
        <w:rPr>
          <w:shd w:val="clear" w:color="auto" w:fill="FFFFFF"/>
        </w:rPr>
        <w:t xml:space="preserve"> i w </w:t>
      </w:r>
      <w:r w:rsidRPr="00EC250C">
        <w:rPr>
          <w:shd w:val="clear" w:color="auto" w:fill="FFFFFF"/>
        </w:rPr>
        <w:t>klasie, lub dzięki indywidualnym zajęciom dodatkowym – na podstawie orzeczenia</w:t>
      </w:r>
      <w:r w:rsidR="00992FD0" w:rsidRPr="00EC250C">
        <w:rPr>
          <w:shd w:val="clear" w:color="auto" w:fill="FFFFFF"/>
        </w:rPr>
        <w:t xml:space="preserve"> o </w:t>
      </w:r>
      <w:r w:rsidR="006812A3" w:rsidRPr="00EC250C">
        <w:rPr>
          <w:shd w:val="clear" w:color="auto" w:fill="FFFFFF"/>
        </w:rPr>
        <w:t xml:space="preserve">potrzebie </w:t>
      </w:r>
      <w:r w:rsidRPr="00EC250C">
        <w:rPr>
          <w:shd w:val="clear" w:color="auto" w:fill="FFFFFF"/>
        </w:rPr>
        <w:t>kształceni</w:t>
      </w:r>
      <w:r w:rsidR="006812A3" w:rsidRPr="00EC250C">
        <w:rPr>
          <w:shd w:val="clear" w:color="auto" w:fill="FFFFFF"/>
        </w:rPr>
        <w:t>a</w:t>
      </w:r>
      <w:r w:rsidRPr="00EC250C">
        <w:rPr>
          <w:shd w:val="clear" w:color="auto" w:fill="FFFFFF"/>
        </w:rPr>
        <w:t xml:space="preserve"> specjaln</w:t>
      </w:r>
      <w:r w:rsidR="006812A3" w:rsidRPr="00EC250C">
        <w:rPr>
          <w:shd w:val="clear" w:color="auto" w:fill="FFFFFF"/>
        </w:rPr>
        <w:t>ego</w:t>
      </w:r>
      <w:r w:rsidRPr="00EC250C">
        <w:rPr>
          <w:shd w:val="clear" w:color="auto" w:fill="FFFFFF"/>
        </w:rPr>
        <w:t>.</w:t>
      </w:r>
    </w:p>
    <w:p w14:paraId="02122376" w14:textId="77777777" w:rsidR="006A7981" w:rsidRPr="00EC250C" w:rsidRDefault="006A7981" w:rsidP="00D131FA">
      <w:pPr>
        <w:pStyle w:val="Styl1"/>
      </w:pPr>
      <w:r w:rsidRPr="00EC250C">
        <w:t>Dodatkową możliwością jest nauczanie indywidualne. „Od zawsze” organizowane ono było albo</w:t>
      </w:r>
      <w:r w:rsidR="00992FD0" w:rsidRPr="00EC250C">
        <w:t xml:space="preserve"> w </w:t>
      </w:r>
      <w:r w:rsidRPr="00EC250C">
        <w:t>szkole, albo</w:t>
      </w:r>
      <w:r w:rsidR="00992FD0" w:rsidRPr="00EC250C">
        <w:t xml:space="preserve"> w </w:t>
      </w:r>
      <w:r w:rsidRPr="00EC250C">
        <w:t>domu samego dziecka</w:t>
      </w:r>
      <w:r w:rsidR="00026572" w:rsidRPr="00EC250C">
        <w:t xml:space="preserve"> – </w:t>
      </w:r>
      <w:r w:rsidRPr="00EC250C">
        <w:t>jeśli nie mogło go ono opuszczać. W praktyce możliwość ta wykorzystywana była jednak niekoniecznie tak, jak planowali organizatorzy edukacji: dzieci „trudne” były często „wypychane”</w:t>
      </w:r>
      <w:r w:rsidR="00992FD0" w:rsidRPr="00EC250C">
        <w:t xml:space="preserve"> z </w:t>
      </w:r>
      <w:r w:rsidRPr="00EC250C">
        <w:t>klasy – kierowane do nauczania indywidualnego. W</w:t>
      </w:r>
      <w:r w:rsidR="00B57A04" w:rsidRPr="00EC250C">
        <w:t> </w:t>
      </w:r>
      <w:r w:rsidRPr="00EC250C">
        <w:t>efekcie, choć chodziły do szkoły, praktycznie nie kontaktowały się</w:t>
      </w:r>
      <w:r w:rsidR="00992FD0" w:rsidRPr="00EC250C">
        <w:t xml:space="preserve"> z </w:t>
      </w:r>
      <w:r w:rsidRPr="00EC250C">
        <w:t>innymi dziećmi.</w:t>
      </w:r>
    </w:p>
    <w:p w14:paraId="0CE71ED1" w14:textId="77777777" w:rsidR="006A7981" w:rsidRPr="00EC250C" w:rsidRDefault="006A7981" w:rsidP="00D131FA">
      <w:pPr>
        <w:pStyle w:val="Styl1"/>
      </w:pPr>
      <w:r w:rsidRPr="00EC250C">
        <w:t>Żeby uniemożliwić tę praktykę, MEN zdecydowało, że nauczanie indywidualne może odbywać się tylko</w:t>
      </w:r>
      <w:r w:rsidR="00992FD0" w:rsidRPr="00EC250C">
        <w:t xml:space="preserve"> w </w:t>
      </w:r>
      <w:r w:rsidRPr="00EC250C">
        <w:t>domu</w:t>
      </w:r>
      <w:r w:rsidRPr="00EC250C">
        <w:rPr>
          <w:rStyle w:val="Odwoanieprzypisudolnego"/>
          <w:bCs/>
          <w:iCs/>
        </w:rPr>
        <w:footnoteReference w:id="584"/>
      </w:r>
      <w:r w:rsidRPr="00EC250C">
        <w:t>. To znaczy, że powinno</w:t>
      </w:r>
      <w:r w:rsidR="00992FD0" w:rsidRPr="00EC250C">
        <w:t xml:space="preserve"> z </w:t>
      </w:r>
      <w:r w:rsidRPr="00EC250C">
        <w:t>niego korzystać tylko to dziecko, które nie może domu opuścić. Zmianę tę Rzecznik Praw Obywatelskich przyjął</w:t>
      </w:r>
      <w:r w:rsidR="00992FD0" w:rsidRPr="00EC250C">
        <w:t xml:space="preserve"> z </w:t>
      </w:r>
      <w:r w:rsidRPr="00EC250C">
        <w:t>aprobatą. Jednak, jak to często bywa, problemy dotyczą sposobu wprowadzenia</w:t>
      </w:r>
      <w:r w:rsidR="00F4068C" w:rsidRPr="00EC250C">
        <w:t xml:space="preserve"> zmiany</w:t>
      </w:r>
      <w:r w:rsidRPr="00EC250C">
        <w:t>.</w:t>
      </w:r>
    </w:p>
    <w:p w14:paraId="1995ED34" w14:textId="77777777" w:rsidR="006A7981" w:rsidRPr="00EC250C" w:rsidRDefault="006A7981" w:rsidP="00D131FA">
      <w:pPr>
        <w:pStyle w:val="Styl1"/>
      </w:pPr>
      <w:r w:rsidRPr="00EC250C">
        <w:t>Rodzice nie rozumieli jej sensu. Nie wiedzieli,</w:t>
      </w:r>
      <w:r w:rsidR="00CC4D88" w:rsidRPr="00EC250C">
        <w:t xml:space="preserve"> </w:t>
      </w:r>
      <w:r w:rsidRPr="00EC250C">
        <w:t xml:space="preserve">na jakie wsparcie mogą liczyć. Bali się, że </w:t>
      </w:r>
      <w:r w:rsidR="00F4068C" w:rsidRPr="00EC250C">
        <w:t>dzieci, które korzystały</w:t>
      </w:r>
      <w:r w:rsidR="00992FD0" w:rsidRPr="00EC250C">
        <w:t xml:space="preserve"> z </w:t>
      </w:r>
      <w:r w:rsidRPr="00EC250C">
        <w:t>nauczania indywidualnego</w:t>
      </w:r>
      <w:r w:rsidR="00992FD0" w:rsidRPr="00EC250C">
        <w:t xml:space="preserve"> w </w:t>
      </w:r>
      <w:r w:rsidRPr="00EC250C">
        <w:t xml:space="preserve">szkole </w:t>
      </w:r>
      <w:r w:rsidR="00F4068C" w:rsidRPr="00EC250C">
        <w:t xml:space="preserve">zostaną </w:t>
      </w:r>
      <w:r w:rsidRPr="00EC250C">
        <w:t>zamknięte</w:t>
      </w:r>
      <w:r w:rsidR="00992FD0" w:rsidRPr="00EC250C">
        <w:t xml:space="preserve"> w </w:t>
      </w:r>
      <w:r w:rsidRPr="00EC250C">
        <w:t>domu</w:t>
      </w:r>
      <w:r w:rsidR="00F4068C" w:rsidRPr="00EC250C">
        <w:t>,</w:t>
      </w:r>
      <w:r w:rsidR="00992FD0" w:rsidRPr="00EC250C">
        <w:t xml:space="preserve"> a </w:t>
      </w:r>
      <w:r w:rsidRPr="00EC250C">
        <w:t>jedno</w:t>
      </w:r>
      <w:r w:rsidR="00992FD0" w:rsidRPr="00EC250C">
        <w:t xml:space="preserve"> z </w:t>
      </w:r>
      <w:r w:rsidRPr="00EC250C">
        <w:t>rodziców będzie musiało zrezygnować</w:t>
      </w:r>
      <w:r w:rsidR="00992FD0" w:rsidRPr="00EC250C">
        <w:t xml:space="preserve"> z </w:t>
      </w:r>
      <w:r w:rsidRPr="00EC250C">
        <w:t>aktywności zawodowej na rzecz opieki.</w:t>
      </w:r>
    </w:p>
    <w:p w14:paraId="27B9B3FB" w14:textId="77777777" w:rsidR="006A7981" w:rsidRPr="00EC250C" w:rsidRDefault="006A7981" w:rsidP="00D131FA">
      <w:pPr>
        <w:pStyle w:val="Styl1"/>
      </w:pPr>
      <w:r w:rsidRPr="00EC250C">
        <w:t xml:space="preserve">W sprawie tej </w:t>
      </w:r>
      <w:r w:rsidR="00D76DC6" w:rsidRPr="00EC250C">
        <w:t>RPO</w:t>
      </w:r>
      <w:r w:rsidRPr="00EC250C">
        <w:t xml:space="preserve"> zwrócił się do MEN</w:t>
      </w:r>
      <w:r w:rsidR="00992FD0" w:rsidRPr="00EC250C">
        <w:t xml:space="preserve"> o </w:t>
      </w:r>
      <w:r w:rsidRPr="00EC250C">
        <w:t>wyjaśnienia</w:t>
      </w:r>
      <w:r w:rsidR="00706B12" w:rsidRPr="00EC250C">
        <w:rPr>
          <w:rStyle w:val="Odwoanieprzypisudolnego"/>
          <w:bCs/>
          <w:iCs/>
        </w:rPr>
        <w:footnoteReference w:id="585"/>
      </w:r>
      <w:r w:rsidRPr="00EC250C">
        <w:t>,</w:t>
      </w:r>
      <w:r w:rsidR="00992FD0" w:rsidRPr="00EC250C">
        <w:t xml:space="preserve"> a </w:t>
      </w:r>
      <w:r w:rsidRPr="00EC250C">
        <w:t>po ich otrzymaniu przedstawił nowe argumenty.</w:t>
      </w:r>
    </w:p>
    <w:p w14:paraId="1A3A7572" w14:textId="77777777" w:rsidR="00C91F6E" w:rsidRPr="00EC250C" w:rsidRDefault="006A7981" w:rsidP="00D131FA">
      <w:pPr>
        <w:pStyle w:val="Styl1"/>
      </w:pPr>
      <w:r w:rsidRPr="00EC250C">
        <w:t>W ocenie RPO niezwykle istotne jest zbadanie,</w:t>
      </w:r>
      <w:r w:rsidR="00992FD0" w:rsidRPr="00EC250C">
        <w:t xml:space="preserve"> w </w:t>
      </w:r>
      <w:r w:rsidRPr="00EC250C">
        <w:t>jaki sposób przyjęte przepisy są stosowane</w:t>
      </w:r>
      <w:r w:rsidR="00992FD0" w:rsidRPr="00EC250C">
        <w:t xml:space="preserve"> w </w:t>
      </w:r>
      <w:r w:rsidRPr="00EC250C">
        <w:t>praktyce oraz czy rzeczywiście wspierają one prawidłowe wdrożenie edukacji włączającej.</w:t>
      </w:r>
    </w:p>
    <w:p w14:paraId="4FB85CA9" w14:textId="77777777" w:rsidR="00C91F6E" w:rsidRPr="00EC250C" w:rsidRDefault="006A7981" w:rsidP="006C70B7">
      <w:pPr>
        <w:pStyle w:val="Styl1"/>
        <w:numPr>
          <w:ilvl w:val="0"/>
          <w:numId w:val="64"/>
        </w:numPr>
      </w:pPr>
      <w:r w:rsidRPr="00EC250C">
        <w:t>Z pisma MEN wynika, że podjęte zostały działania mające na celu należyte przygotowanie dyrektorów oraz nauczycieli,</w:t>
      </w:r>
      <w:r w:rsidR="00992FD0" w:rsidRPr="00EC250C">
        <w:t xml:space="preserve"> a </w:t>
      </w:r>
      <w:r w:rsidRPr="00EC250C">
        <w:t>także pracowników poradni psychologiczno-pedagogicznych do nowych regulacji.</w:t>
      </w:r>
    </w:p>
    <w:p w14:paraId="6EC7911A" w14:textId="77777777" w:rsidR="006A7981" w:rsidRPr="00EC250C" w:rsidRDefault="00D76DC6" w:rsidP="006C70B7">
      <w:pPr>
        <w:pStyle w:val="Styl1"/>
        <w:numPr>
          <w:ilvl w:val="0"/>
          <w:numId w:val="64"/>
        </w:numPr>
      </w:pPr>
      <w:r w:rsidRPr="00EC250C">
        <w:t>RPO</w:t>
      </w:r>
      <w:r w:rsidR="006812A3" w:rsidRPr="00EC250C">
        <w:t xml:space="preserve"> zwrócił jednak uwagę, że ocena skuteczności działań zależy od tego, ilu </w:t>
      </w:r>
      <w:r w:rsidR="006A7981" w:rsidRPr="00EC250C">
        <w:t>dyrektor</w:t>
      </w:r>
      <w:r w:rsidR="006A7981" w:rsidRPr="00EC250C">
        <w:rPr>
          <w:rFonts w:hint="eastAsia"/>
        </w:rPr>
        <w:t>ó</w:t>
      </w:r>
      <w:r w:rsidR="006A7981" w:rsidRPr="00EC250C">
        <w:t>w przedszkoli, szk</w:t>
      </w:r>
      <w:r w:rsidR="006A7981" w:rsidRPr="00EC250C">
        <w:rPr>
          <w:rFonts w:hint="eastAsia"/>
        </w:rPr>
        <w:t>ół</w:t>
      </w:r>
      <w:r w:rsidR="00992FD0" w:rsidRPr="00EC250C">
        <w:t xml:space="preserve"> i </w:t>
      </w:r>
      <w:r w:rsidR="006A7981" w:rsidRPr="00EC250C">
        <w:t>plac</w:t>
      </w:r>
      <w:r w:rsidR="006A7981" w:rsidRPr="00EC250C">
        <w:rPr>
          <w:rFonts w:hint="eastAsia"/>
        </w:rPr>
        <w:t>ó</w:t>
      </w:r>
      <w:r w:rsidR="006A7981" w:rsidRPr="00EC250C">
        <w:t>wek wzi</w:t>
      </w:r>
      <w:r w:rsidR="006A7981" w:rsidRPr="00EC250C">
        <w:rPr>
          <w:rFonts w:hint="eastAsia"/>
        </w:rPr>
        <w:t>ęł</w:t>
      </w:r>
      <w:r w:rsidR="006A7981" w:rsidRPr="00EC250C">
        <w:t>o udzia</w:t>
      </w:r>
      <w:r w:rsidR="006A7981" w:rsidRPr="00EC250C">
        <w:rPr>
          <w:rFonts w:hint="eastAsia"/>
        </w:rPr>
        <w:t>ł</w:t>
      </w:r>
      <w:r w:rsidR="00992FD0" w:rsidRPr="00EC250C">
        <w:t xml:space="preserve"> w </w:t>
      </w:r>
      <w:r w:rsidR="006812A3" w:rsidRPr="00EC250C">
        <w:t>tych przedsięwzięciach (MEN pisało</w:t>
      </w:r>
      <w:r w:rsidR="00992FD0" w:rsidRPr="00EC250C">
        <w:t xml:space="preserve"> </w:t>
      </w:r>
      <w:r w:rsidR="00992FD0" w:rsidRPr="00EC250C">
        <w:lastRenderedPageBreak/>
        <w:t>o </w:t>
      </w:r>
      <w:r w:rsidR="006A7981" w:rsidRPr="00EC250C">
        <w:t xml:space="preserve">konferencji </w:t>
      </w:r>
      <w:r w:rsidR="006A7981" w:rsidRPr="00EC250C">
        <w:rPr>
          <w:rFonts w:hint="eastAsia"/>
        </w:rPr>
        <w:t>„</w:t>
      </w:r>
      <w:r w:rsidR="006A7981" w:rsidRPr="00EC250C">
        <w:t>Ucze</w:t>
      </w:r>
      <w:r w:rsidR="006A7981" w:rsidRPr="00EC250C">
        <w:rPr>
          <w:rFonts w:hint="eastAsia"/>
        </w:rPr>
        <w:t>ń</w:t>
      </w:r>
      <w:r w:rsidR="006A7981" w:rsidRPr="00EC250C">
        <w:t xml:space="preserve"> ze</w:t>
      </w:r>
      <w:r w:rsidR="006A7981" w:rsidRPr="00EC250C">
        <w:rPr>
          <w:rFonts w:hint="eastAsia"/>
        </w:rPr>
        <w:t> </w:t>
      </w:r>
      <w:r w:rsidR="006A7981" w:rsidRPr="00EC250C">
        <w:t>specjalnymi potrzebami edukacyjnymi</w:t>
      </w:r>
      <w:r w:rsidR="00992FD0" w:rsidRPr="00EC250C">
        <w:t xml:space="preserve"> a </w:t>
      </w:r>
      <w:r w:rsidR="006A7981" w:rsidRPr="00EC250C">
        <w:t>zmiany</w:t>
      </w:r>
      <w:r w:rsidR="00992FD0" w:rsidRPr="00EC250C">
        <w:t xml:space="preserve"> w </w:t>
      </w:r>
      <w:r w:rsidR="006A7981" w:rsidRPr="00EC250C">
        <w:t>prawie o</w:t>
      </w:r>
      <w:r w:rsidR="006A7981" w:rsidRPr="00EC250C">
        <w:rPr>
          <w:rFonts w:hint="eastAsia"/>
        </w:rPr>
        <w:t>ś</w:t>
      </w:r>
      <w:r w:rsidR="006A7981" w:rsidRPr="00EC250C">
        <w:t>wiatowym</w:t>
      </w:r>
      <w:r w:rsidR="006A7981" w:rsidRPr="00EC250C">
        <w:rPr>
          <w:rFonts w:hint="eastAsia"/>
        </w:rPr>
        <w:t>”</w:t>
      </w:r>
      <w:r w:rsidR="006A7981" w:rsidRPr="00EC250C">
        <w:t xml:space="preserve"> oraz konferencjach organizowanych przez kurator</w:t>
      </w:r>
      <w:r w:rsidR="006A7981" w:rsidRPr="00EC250C">
        <w:rPr>
          <w:rFonts w:hint="eastAsia"/>
        </w:rPr>
        <w:t>ó</w:t>
      </w:r>
      <w:r w:rsidR="006A7981" w:rsidRPr="00EC250C">
        <w:t>w o</w:t>
      </w:r>
      <w:r w:rsidR="006A7981" w:rsidRPr="00EC250C">
        <w:rPr>
          <w:rFonts w:hint="eastAsia"/>
        </w:rPr>
        <w:t>ś</w:t>
      </w:r>
      <w:r w:rsidR="006A7981" w:rsidRPr="00EC250C">
        <w:t>wiaty pod koniec 2017</w:t>
      </w:r>
      <w:r w:rsidR="00C91F6E" w:rsidRPr="00EC250C">
        <w:t> r.</w:t>
      </w:r>
      <w:r w:rsidR="006812A3" w:rsidRPr="00EC250C">
        <w:t>)</w:t>
      </w:r>
    </w:p>
    <w:p w14:paraId="79168289" w14:textId="77777777" w:rsidR="006A7981" w:rsidRPr="00EC250C" w:rsidRDefault="00D76DC6" w:rsidP="006C70B7">
      <w:pPr>
        <w:pStyle w:val="Styl1"/>
        <w:numPr>
          <w:ilvl w:val="0"/>
          <w:numId w:val="64"/>
        </w:numPr>
      </w:pPr>
      <w:r w:rsidRPr="00EC250C">
        <w:t>RPO</w:t>
      </w:r>
      <w:r w:rsidR="006812A3" w:rsidRPr="00EC250C">
        <w:t xml:space="preserve"> spytał też,</w:t>
      </w:r>
      <w:r w:rsidR="00992FD0" w:rsidRPr="00EC250C">
        <w:t xml:space="preserve"> w </w:t>
      </w:r>
      <w:r w:rsidR="006A7981" w:rsidRPr="00EC250C">
        <w:t>jakich formach</w:t>
      </w:r>
      <w:r w:rsidR="00992FD0" w:rsidRPr="00EC250C">
        <w:t xml:space="preserve"> i w </w:t>
      </w:r>
      <w:r w:rsidR="006A7981" w:rsidRPr="00EC250C">
        <w:t>jakim wymiarze wizytatorzy realizowali działania informacyjno-szkoleniowe</w:t>
      </w:r>
      <w:r w:rsidR="006812A3" w:rsidRPr="00EC250C">
        <w:t>.</w:t>
      </w:r>
      <w:r w:rsidR="006A7981" w:rsidRPr="00EC250C">
        <w:t xml:space="preserve"> Jakie </w:t>
      </w:r>
      <w:r w:rsidR="006812A3" w:rsidRPr="00EC250C">
        <w:t xml:space="preserve">były </w:t>
      </w:r>
      <w:r w:rsidR="006A7981" w:rsidRPr="00EC250C">
        <w:t>efekty ich pracy?</w:t>
      </w:r>
    </w:p>
    <w:p w14:paraId="6F9AB7C7" w14:textId="77777777" w:rsidR="00DA65FF" w:rsidRPr="00EC250C" w:rsidRDefault="00706B12" w:rsidP="00D131FA">
      <w:pPr>
        <w:pStyle w:val="Styl1"/>
      </w:pPr>
      <w:r w:rsidRPr="00EC250C">
        <w:rPr>
          <w:iCs/>
        </w:rPr>
        <w:t xml:space="preserve">W odpowiedzi MEN przekazało szczegółowe dane </w:t>
      </w:r>
      <w:r w:rsidRPr="00EC250C">
        <w:t>statystyczne.</w:t>
      </w:r>
      <w:r w:rsidR="008B13D0" w:rsidRPr="00EC250C">
        <w:rPr>
          <w:rFonts w:eastAsiaTheme="majorEastAsia"/>
        </w:rPr>
        <w:t xml:space="preserve"> Wynika z nich, że w Polsce</w:t>
      </w:r>
      <w:r w:rsidR="008B13D0" w:rsidRPr="00EC250C">
        <w:rPr>
          <w:rStyle w:val="Pogrubienie"/>
          <w:rFonts w:ascii="inherit" w:eastAsiaTheme="majorEastAsia" w:hAnsi="inherit"/>
          <w:color w:val="18223E"/>
          <w:sz w:val="21"/>
          <w:bdr w:val="none" w:sz="0" w:space="0" w:color="auto" w:frame="1"/>
        </w:rPr>
        <w:t xml:space="preserve"> </w:t>
      </w:r>
      <w:r w:rsidR="008B13D0" w:rsidRPr="00EC250C">
        <w:rPr>
          <w:bdr w:val="none" w:sz="0" w:space="0" w:color="auto" w:frame="1"/>
        </w:rPr>
        <w:t>200 tys. dzieci ma orzeczoną niepełnosprawność. W przedszkolach jest ich ponad 30 tys., w szkołach podstawowych – 100 tys., w gimnazjach w roku szkolnym 2017/18 było 35 tys. Z tego 28 tys. dzieci i młodzieży było dotychczas objętych nauczaniem indywidualnym</w:t>
      </w:r>
      <w:r w:rsidRPr="00EC250C">
        <w:rPr>
          <w:rStyle w:val="Odwoanieprzypisudolnego"/>
        </w:rPr>
        <w:footnoteReference w:id="586"/>
      </w:r>
      <w:r w:rsidR="00D40ED9" w:rsidRPr="00EC250C">
        <w:rPr>
          <w:bdr w:val="none" w:sz="0" w:space="0" w:color="auto" w:frame="1"/>
        </w:rPr>
        <w:t>.</w:t>
      </w:r>
    </w:p>
    <w:p w14:paraId="1D8950CB" w14:textId="77777777" w:rsidR="00467E0E" w:rsidRPr="00EC250C" w:rsidRDefault="00F4068C" w:rsidP="00EC79EB">
      <w:pPr>
        <w:pStyle w:val="Nagwek4"/>
      </w:pPr>
      <w:bookmarkStart w:id="596" w:name="_Toc11247779"/>
      <w:bookmarkStart w:id="597" w:name="_Hlk8998498"/>
      <w:r w:rsidRPr="00EC250C">
        <w:t>Dostęp do logopedów czy psychologów</w:t>
      </w:r>
      <w:r w:rsidR="00992FD0" w:rsidRPr="00EC250C">
        <w:t xml:space="preserve"> w </w:t>
      </w:r>
      <w:r w:rsidRPr="00EC250C">
        <w:t>szkołach niepublicznych</w:t>
      </w:r>
      <w:bookmarkEnd w:id="596"/>
    </w:p>
    <w:bookmarkEnd w:id="597"/>
    <w:p w14:paraId="37ED4D32" w14:textId="77777777" w:rsidR="00B473F5" w:rsidRPr="00EC250C" w:rsidRDefault="00706B12" w:rsidP="00D131FA">
      <w:pPr>
        <w:pStyle w:val="Problemczowieka"/>
        <w:jc w:val="both"/>
      </w:pPr>
      <w:r w:rsidRPr="00EC250C">
        <w:rPr>
          <w:rFonts w:eastAsiaTheme="majorEastAsia"/>
        </w:rPr>
        <w:t>Niepublicznych szkół nie b</w:t>
      </w:r>
      <w:r w:rsidRPr="00EC250C">
        <w:rPr>
          <w:rFonts w:eastAsiaTheme="majorEastAsia" w:hint="eastAsia"/>
        </w:rPr>
        <w:t>ę</w:t>
      </w:r>
      <w:r w:rsidRPr="00EC250C">
        <w:rPr>
          <w:rFonts w:eastAsiaTheme="majorEastAsia"/>
        </w:rPr>
        <w:t>dzie sta</w:t>
      </w:r>
      <w:r w:rsidRPr="00EC250C">
        <w:rPr>
          <w:rFonts w:eastAsiaTheme="majorEastAsia" w:hint="eastAsia"/>
        </w:rPr>
        <w:t>ć</w:t>
      </w:r>
      <w:r w:rsidRPr="00EC250C">
        <w:rPr>
          <w:rFonts w:eastAsiaTheme="majorEastAsia"/>
        </w:rPr>
        <w:t xml:space="preserve"> na dalsze zatrudnienie logoped</w:t>
      </w:r>
      <w:r w:rsidRPr="00EC250C">
        <w:rPr>
          <w:rFonts w:eastAsiaTheme="majorEastAsia" w:hint="eastAsia"/>
        </w:rPr>
        <w:t>ó</w:t>
      </w:r>
      <w:r w:rsidRPr="00EC250C">
        <w:rPr>
          <w:rFonts w:eastAsiaTheme="majorEastAsia"/>
        </w:rPr>
        <w:t>w czy psycholog</w:t>
      </w:r>
      <w:r w:rsidRPr="00EC250C">
        <w:rPr>
          <w:rFonts w:eastAsiaTheme="majorEastAsia" w:hint="eastAsia"/>
        </w:rPr>
        <w:t>ó</w:t>
      </w:r>
      <w:r w:rsidRPr="00EC250C">
        <w:rPr>
          <w:rFonts w:eastAsiaTheme="majorEastAsia"/>
        </w:rPr>
        <w:t>w, kt</w:t>
      </w:r>
      <w:r w:rsidRPr="00EC250C">
        <w:rPr>
          <w:rFonts w:eastAsiaTheme="majorEastAsia" w:hint="eastAsia"/>
        </w:rPr>
        <w:t>ó</w:t>
      </w:r>
      <w:r w:rsidRPr="00EC250C">
        <w:rPr>
          <w:rFonts w:eastAsiaTheme="majorEastAsia"/>
        </w:rPr>
        <w:t>rzy dotychczas pracowali na umow</w:t>
      </w:r>
      <w:r w:rsidRPr="00EC250C">
        <w:rPr>
          <w:rFonts w:eastAsiaTheme="majorEastAsia" w:hint="eastAsia"/>
        </w:rPr>
        <w:t>ę</w:t>
      </w:r>
      <w:r w:rsidRPr="00EC250C">
        <w:rPr>
          <w:rFonts w:eastAsiaTheme="majorEastAsia"/>
        </w:rPr>
        <w:t xml:space="preserve"> cywilnoprawn</w:t>
      </w:r>
      <w:r w:rsidRPr="00EC250C">
        <w:rPr>
          <w:rFonts w:eastAsiaTheme="majorEastAsia" w:hint="eastAsia"/>
        </w:rPr>
        <w:t>ą</w:t>
      </w:r>
      <w:r w:rsidRPr="00EC250C">
        <w:rPr>
          <w:rFonts w:eastAsiaTheme="majorEastAsia"/>
        </w:rPr>
        <w:t>. Z problemem tym zwracaj</w:t>
      </w:r>
      <w:r w:rsidRPr="00EC250C">
        <w:rPr>
          <w:rFonts w:eastAsiaTheme="majorEastAsia" w:hint="eastAsia"/>
        </w:rPr>
        <w:t>ą</w:t>
      </w:r>
      <w:r w:rsidRPr="00EC250C">
        <w:rPr>
          <w:rFonts w:eastAsiaTheme="majorEastAsia"/>
        </w:rPr>
        <w:t xml:space="preserve"> si</w:t>
      </w:r>
      <w:r w:rsidRPr="00EC250C">
        <w:rPr>
          <w:rFonts w:eastAsiaTheme="majorEastAsia" w:hint="eastAsia"/>
        </w:rPr>
        <w:t>ę</w:t>
      </w:r>
      <w:r w:rsidRPr="00EC250C">
        <w:rPr>
          <w:rFonts w:eastAsiaTheme="majorEastAsia"/>
        </w:rPr>
        <w:t xml:space="preserve"> do RPO rodzice uczni</w:t>
      </w:r>
      <w:r w:rsidRPr="00EC250C">
        <w:rPr>
          <w:rFonts w:eastAsiaTheme="majorEastAsia" w:hint="eastAsia"/>
        </w:rPr>
        <w:t>ó</w:t>
      </w:r>
      <w:r w:rsidRPr="00EC250C">
        <w:rPr>
          <w:rFonts w:eastAsiaTheme="majorEastAsia"/>
        </w:rPr>
        <w:t>w ze</w:t>
      </w:r>
      <w:r w:rsidRPr="00EC250C">
        <w:rPr>
          <w:rFonts w:eastAsiaTheme="majorEastAsia" w:hint="eastAsia"/>
        </w:rPr>
        <w:t> </w:t>
      </w:r>
      <w:r w:rsidRPr="00EC250C">
        <w:rPr>
          <w:rFonts w:eastAsiaTheme="majorEastAsia"/>
        </w:rPr>
        <w:t>specjalnymi potrzebami edukacyjnymi oraz dyrektorzy niepublicznych plac</w:t>
      </w:r>
      <w:r w:rsidRPr="00EC250C">
        <w:rPr>
          <w:rFonts w:eastAsiaTheme="majorEastAsia" w:hint="eastAsia"/>
        </w:rPr>
        <w:t>ó</w:t>
      </w:r>
      <w:r w:rsidRPr="00EC250C">
        <w:rPr>
          <w:rFonts w:eastAsiaTheme="majorEastAsia"/>
        </w:rPr>
        <w:t>wek edukacyjnych</w:t>
      </w:r>
      <w:r w:rsidR="00B473F5" w:rsidRPr="00EC250C">
        <w:rPr>
          <w:rFonts w:ascii="Open Sans Regular" w:hAnsi="Open Sans Regular"/>
        </w:rPr>
        <w:t>.</w:t>
      </w:r>
    </w:p>
    <w:p w14:paraId="25B73BA7" w14:textId="77777777" w:rsidR="00706B12" w:rsidRPr="00EC250C" w:rsidRDefault="00D76DC6" w:rsidP="00D131FA">
      <w:pPr>
        <w:pStyle w:val="Styl1"/>
      </w:pPr>
      <w:r w:rsidRPr="00EC250C">
        <w:t>RPO</w:t>
      </w:r>
      <w:r w:rsidR="00706B12" w:rsidRPr="00EC250C">
        <w:t xml:space="preserve"> rozumie ideę, która legła u podstaw zmiany </w:t>
      </w:r>
      <w:r w:rsidR="006E4C91" w:rsidRPr="00EC250C">
        <w:t>przepisów</w:t>
      </w:r>
      <w:r w:rsidR="006E4C91" w:rsidRPr="00EC250C">
        <w:rPr>
          <w:rStyle w:val="Odwoanieprzypisudolnego"/>
          <w:bCs/>
          <w:iCs/>
        </w:rPr>
        <w:footnoteReference w:id="587"/>
      </w:r>
      <w:r w:rsidR="006E4C91" w:rsidRPr="00EC250C">
        <w:t xml:space="preserve"> </w:t>
      </w:r>
      <w:r w:rsidR="00706B12" w:rsidRPr="00EC250C">
        <w:t>– dla większości nauczycieli zatrudnienie pracownicze jest</w:t>
      </w:r>
      <w:r w:rsidR="00992FD0" w:rsidRPr="00EC250C">
        <w:t xml:space="preserve"> w </w:t>
      </w:r>
      <w:r w:rsidR="00706B12" w:rsidRPr="00EC250C">
        <w:t xml:space="preserve">oczywisty sposób korzystne. Niemniej </w:t>
      </w:r>
      <w:r w:rsidR="006E4C91" w:rsidRPr="00EC250C">
        <w:t xml:space="preserve">zwrócił uwagę Ministrowi Edukacji Narodowej, że </w:t>
      </w:r>
      <w:r w:rsidR="00706B12" w:rsidRPr="00EC250C">
        <w:t>koszty zatrudnienia</w:t>
      </w:r>
      <w:r w:rsidR="00992FD0" w:rsidRPr="00EC250C">
        <w:t xml:space="preserve"> w </w:t>
      </w:r>
      <w:r w:rsidR="00706B12" w:rsidRPr="00EC250C">
        <w:t>oparciu</w:t>
      </w:r>
      <w:r w:rsidR="00992FD0" w:rsidRPr="00EC250C">
        <w:t xml:space="preserve"> o </w:t>
      </w:r>
      <w:r w:rsidR="00706B12" w:rsidRPr="00EC250C">
        <w:t>umowę</w:t>
      </w:r>
      <w:r w:rsidR="00992FD0" w:rsidRPr="00EC250C">
        <w:t xml:space="preserve"> o </w:t>
      </w:r>
      <w:r w:rsidR="00706B12" w:rsidRPr="00EC250C">
        <w:t>pracę są odczuwalnie wyższe od kosztów zatrudnienia na umowę cywilnoprawną. Można więc przypuszczać, że dyrektorzy placówek niepublicznych, którzy nie będą mogli ponieść zwiększonych kosztów</w:t>
      </w:r>
      <w:r w:rsidR="00992FD0" w:rsidRPr="00EC250C">
        <w:t xml:space="preserve"> z </w:t>
      </w:r>
      <w:r w:rsidR="00706B12" w:rsidRPr="00EC250C">
        <w:t>tego tytułu, będą rezygnować</w:t>
      </w:r>
      <w:r w:rsidR="00992FD0" w:rsidRPr="00EC250C">
        <w:t xml:space="preserve"> z </w:t>
      </w:r>
      <w:r w:rsidR="00706B12" w:rsidRPr="00EC250C">
        <w:t>zatrudniania nauczycieli-specjalistów,</w:t>
      </w:r>
      <w:r w:rsidR="00992FD0" w:rsidRPr="00EC250C">
        <w:t xml:space="preserve"> w </w:t>
      </w:r>
      <w:r w:rsidR="00706B12" w:rsidRPr="00EC250C">
        <w:t>tym m.in. logopedów czy psychologów. Z kolei, jeśli dyrektorzy będą dążyli do utrzymania dotychczasowego standardu, zmuszeni zostaną do </w:t>
      </w:r>
      <w:r w:rsidR="006E4C91" w:rsidRPr="00EC250C">
        <w:t>podniesienia</w:t>
      </w:r>
      <w:r w:rsidR="00706B12" w:rsidRPr="00EC250C">
        <w:t xml:space="preserve"> czesnego</w:t>
      </w:r>
      <w:r w:rsidR="006E4C91" w:rsidRPr="00EC250C">
        <w:rPr>
          <w:rStyle w:val="Odwoanieprzypisudolnego"/>
          <w:bCs/>
          <w:iCs/>
        </w:rPr>
        <w:footnoteReference w:id="588"/>
      </w:r>
      <w:r w:rsidR="00706B12" w:rsidRPr="00EC250C">
        <w:t>.</w:t>
      </w:r>
    </w:p>
    <w:p w14:paraId="017829E6" w14:textId="77777777" w:rsidR="00706B12" w:rsidRPr="00EC250C" w:rsidRDefault="00706B12" w:rsidP="00D131FA">
      <w:pPr>
        <w:pStyle w:val="Styl1"/>
      </w:pPr>
      <w:r w:rsidRPr="00EC250C">
        <w:t>Problem dotyczy głównie nauczycieli-specjalistów, którzy pracują</w:t>
      </w:r>
      <w:r w:rsidR="00992FD0" w:rsidRPr="00EC250C">
        <w:t xml:space="preserve"> z </w:t>
      </w:r>
      <w:r w:rsidRPr="00EC250C">
        <w:t>dziećmi</w:t>
      </w:r>
      <w:r w:rsidR="00992FD0" w:rsidRPr="00EC250C">
        <w:t xml:space="preserve"> i </w:t>
      </w:r>
      <w:r w:rsidRPr="00EC250C">
        <w:t>uczniami ze specjalnymi potrzebami edukacyjnymi</w:t>
      </w:r>
      <w:r w:rsidR="00992FD0" w:rsidRPr="00EC250C">
        <w:t xml:space="preserve"> i </w:t>
      </w:r>
      <w:r w:rsidRPr="00EC250C">
        <w:t>rozwojowymi</w:t>
      </w:r>
      <w:r w:rsidR="00992FD0" w:rsidRPr="00EC250C">
        <w:t xml:space="preserve"> w </w:t>
      </w:r>
      <w:r w:rsidRPr="00EC250C">
        <w:t>stosunkowo niewielkim wymiarze czasu</w:t>
      </w:r>
      <w:r w:rsidR="00992FD0" w:rsidRPr="00EC250C">
        <w:t xml:space="preserve"> w </w:t>
      </w:r>
      <w:r w:rsidRPr="00EC250C">
        <w:t>ciągu miesiąca –</w:t>
      </w:r>
      <w:r w:rsidR="00992FD0" w:rsidRPr="00EC250C">
        <w:t xml:space="preserve"> w </w:t>
      </w:r>
      <w:r w:rsidRPr="00EC250C">
        <w:t>niektórych przypadkach są to 1-2 godziny</w:t>
      </w:r>
      <w:r w:rsidR="00992FD0" w:rsidRPr="00EC250C">
        <w:t xml:space="preserve"> w </w:t>
      </w:r>
      <w:r w:rsidRPr="00EC250C">
        <w:t>miesiącu.</w:t>
      </w:r>
    </w:p>
    <w:p w14:paraId="79EC00D1" w14:textId="77777777" w:rsidR="00541E04" w:rsidRPr="00EC250C" w:rsidRDefault="0040601E" w:rsidP="00D131FA">
      <w:pPr>
        <w:pStyle w:val="Styl1"/>
      </w:pPr>
      <w:r w:rsidRPr="00EC250C">
        <w:rPr>
          <w:bCs/>
          <w:iCs/>
        </w:rPr>
        <w:t>Minister</w:t>
      </w:r>
      <w:r w:rsidR="006A4261" w:rsidRPr="00EC250C">
        <w:rPr>
          <w:bCs/>
          <w:iCs/>
        </w:rPr>
        <w:t xml:space="preserve"> wyjaśnił, że </w:t>
      </w:r>
      <w:r w:rsidR="006E4C91" w:rsidRPr="00EC250C">
        <w:rPr>
          <w:bCs/>
          <w:iCs/>
        </w:rPr>
        <w:t>celem zmiany przepisów</w:t>
      </w:r>
      <w:r w:rsidR="00992FD0" w:rsidRPr="00EC250C">
        <w:rPr>
          <w:bCs/>
          <w:iCs/>
        </w:rPr>
        <w:t xml:space="preserve"> o </w:t>
      </w:r>
      <w:r w:rsidR="006A4261" w:rsidRPr="00EC250C">
        <w:rPr>
          <w:bCs/>
          <w:iCs/>
        </w:rPr>
        <w:t>zatrudniani</w:t>
      </w:r>
      <w:r w:rsidR="006E4C91" w:rsidRPr="00EC250C">
        <w:rPr>
          <w:bCs/>
          <w:iCs/>
        </w:rPr>
        <w:t>u</w:t>
      </w:r>
      <w:r w:rsidR="006A4261" w:rsidRPr="00EC250C">
        <w:rPr>
          <w:bCs/>
          <w:iCs/>
        </w:rPr>
        <w:t xml:space="preserve"> nauczycieli</w:t>
      </w:r>
      <w:r w:rsidR="00992FD0" w:rsidRPr="00EC250C">
        <w:rPr>
          <w:bCs/>
          <w:iCs/>
        </w:rPr>
        <w:t xml:space="preserve"> w </w:t>
      </w:r>
      <w:r w:rsidR="006A4261" w:rsidRPr="00EC250C">
        <w:rPr>
          <w:bCs/>
          <w:iCs/>
        </w:rPr>
        <w:t xml:space="preserve">placówkach </w:t>
      </w:r>
      <w:r w:rsidR="006E4C91" w:rsidRPr="00EC250C">
        <w:rPr>
          <w:bCs/>
          <w:iCs/>
        </w:rPr>
        <w:t>niepublicznych</w:t>
      </w:r>
      <w:r w:rsidR="006A4261" w:rsidRPr="00EC250C">
        <w:rPr>
          <w:bCs/>
          <w:iCs/>
        </w:rPr>
        <w:t xml:space="preserve"> </w:t>
      </w:r>
      <w:r w:rsidR="006E4C91" w:rsidRPr="00EC250C">
        <w:rPr>
          <w:bCs/>
          <w:iCs/>
        </w:rPr>
        <w:t xml:space="preserve">było </w:t>
      </w:r>
      <w:r w:rsidR="006A4261" w:rsidRPr="00EC250C">
        <w:rPr>
          <w:bCs/>
          <w:iCs/>
        </w:rPr>
        <w:t>zapewnieni</w:t>
      </w:r>
      <w:r w:rsidR="006E4C91" w:rsidRPr="00EC250C">
        <w:rPr>
          <w:bCs/>
          <w:iCs/>
        </w:rPr>
        <w:t>e</w:t>
      </w:r>
      <w:r w:rsidR="006A4261" w:rsidRPr="00EC250C">
        <w:rPr>
          <w:bCs/>
          <w:iCs/>
        </w:rPr>
        <w:t xml:space="preserve"> odpowiedniej jakości procesu nauczania, bezpieczeństwa uczniów</w:t>
      </w:r>
      <w:r w:rsidR="006E4C91" w:rsidRPr="00EC250C">
        <w:rPr>
          <w:bCs/>
          <w:iCs/>
        </w:rPr>
        <w:t xml:space="preserve"> oraz praw pracowniczych nauczycieli</w:t>
      </w:r>
      <w:r w:rsidR="006A4261" w:rsidRPr="00EC250C">
        <w:rPr>
          <w:bCs/>
          <w:iCs/>
        </w:rPr>
        <w:t xml:space="preserve">. Ministerstwo będzie </w:t>
      </w:r>
      <w:r w:rsidR="006E4C91" w:rsidRPr="00EC250C">
        <w:rPr>
          <w:bCs/>
          <w:iCs/>
        </w:rPr>
        <w:t>bacznie obserwowało skutki wprowadzenia zmian</w:t>
      </w:r>
      <w:r w:rsidR="00992FD0" w:rsidRPr="00EC250C">
        <w:rPr>
          <w:bCs/>
          <w:iCs/>
        </w:rPr>
        <w:t xml:space="preserve"> i </w:t>
      </w:r>
      <w:r w:rsidR="006E4C91" w:rsidRPr="00EC250C">
        <w:rPr>
          <w:bCs/>
          <w:iCs/>
        </w:rPr>
        <w:t>jeśli będzie to potrzebne, zmieni przepisy</w:t>
      </w:r>
      <w:r w:rsidR="00541E04" w:rsidRPr="00EC250C">
        <w:t>.</w:t>
      </w:r>
    </w:p>
    <w:p w14:paraId="6DE84ED4" w14:textId="77777777" w:rsidR="006E4C91" w:rsidRPr="00EC250C" w:rsidRDefault="006E4C91" w:rsidP="00D131FA">
      <w:pPr>
        <w:pStyle w:val="ODESANIE"/>
        <w:jc w:val="both"/>
      </w:pPr>
      <w:r w:rsidRPr="00EC250C">
        <w:t xml:space="preserve">Czy katecheta może być wychowawcą klasy? – problem omówiony </w:t>
      </w:r>
      <w:r w:rsidR="001874B8" w:rsidRPr="00EC250C">
        <w:t>w kontekście</w:t>
      </w:r>
      <w:r w:rsidRPr="00EC250C">
        <w:t xml:space="preserve"> art. </w:t>
      </w:r>
      <w:r w:rsidR="00EB3410" w:rsidRPr="00EC250C">
        <w:t>53 Konstytucji (wolność sumienia</w:t>
      </w:r>
      <w:r w:rsidR="00992FD0" w:rsidRPr="00EC250C">
        <w:t xml:space="preserve"> i </w:t>
      </w:r>
      <w:r w:rsidR="00EB3410" w:rsidRPr="00EC250C">
        <w:t>wyznania)</w:t>
      </w:r>
    </w:p>
    <w:p w14:paraId="04251EF8" w14:textId="77777777" w:rsidR="006E4C91" w:rsidRPr="00EC250C" w:rsidRDefault="006E4C91" w:rsidP="00D131FA">
      <w:pPr>
        <w:spacing w:after="200" w:line="24" w:lineRule="auto"/>
        <w:jc w:val="both"/>
        <w:rPr>
          <w:spacing w:val="5"/>
          <w:sz w:val="24"/>
        </w:rPr>
      </w:pPr>
      <w:r w:rsidRPr="00EC250C">
        <w:rPr>
          <w:sz w:val="24"/>
        </w:rPr>
        <w:br w:type="page"/>
      </w:r>
    </w:p>
    <w:p w14:paraId="136EE4BF" w14:textId="77777777" w:rsidR="00C91F6E" w:rsidRPr="00EC250C" w:rsidRDefault="00E45210" w:rsidP="00EC250C">
      <w:pPr>
        <w:pStyle w:val="Nagwek3"/>
      </w:pPr>
      <w:bookmarkStart w:id="598" w:name="_Toc6257903"/>
      <w:bookmarkStart w:id="599" w:name="_Toc11247780"/>
      <w:r w:rsidRPr="00EC250C">
        <w:lastRenderedPageBreak/>
        <w:t xml:space="preserve">Art. 70 </w:t>
      </w:r>
      <w:r w:rsidR="006302BF" w:rsidRPr="00EC250C">
        <w:t xml:space="preserve">Konstytucji </w:t>
      </w:r>
      <w:r w:rsidR="003C7122" w:rsidRPr="00EC250C">
        <w:t xml:space="preserve">ust. 5 </w:t>
      </w:r>
      <w:r w:rsidRPr="00EC250C">
        <w:t>– Autonomia szkół wyższych</w:t>
      </w:r>
      <w:bookmarkEnd w:id="598"/>
      <w:bookmarkEnd w:id="599"/>
    </w:p>
    <w:p w14:paraId="204A38D9" w14:textId="77777777" w:rsidR="00E45210" w:rsidRPr="00EC250C" w:rsidRDefault="00E45210" w:rsidP="00D131FA">
      <w:pPr>
        <w:pStyle w:val="konstytucja"/>
        <w:jc w:val="both"/>
      </w:pPr>
      <w:r w:rsidRPr="00EC250C">
        <w:t>Zapewnia się autonomię szkół wyższych na zasadach określonych</w:t>
      </w:r>
      <w:r w:rsidR="00992FD0" w:rsidRPr="00EC250C">
        <w:t xml:space="preserve"> w </w:t>
      </w:r>
      <w:r w:rsidRPr="00EC250C">
        <w:t>ustawie.</w:t>
      </w:r>
    </w:p>
    <w:p w14:paraId="5A739EEB" w14:textId="77777777" w:rsidR="00C91F6E" w:rsidRPr="00EC250C" w:rsidRDefault="00404D61" w:rsidP="00D131FA">
      <w:pPr>
        <w:pStyle w:val="ComwiKonstytucja"/>
        <w:rPr>
          <w:rStyle w:val="ComwiKonstytucjaZnak"/>
          <w:i/>
        </w:rPr>
      </w:pPr>
      <w:r w:rsidRPr="00EC250C">
        <w:t>Zasada autonomii szkół wyższych dotyczy zarówno szkół publicznych, jak</w:t>
      </w:r>
      <w:r w:rsidR="00992FD0" w:rsidRPr="00EC250C">
        <w:t xml:space="preserve"> i </w:t>
      </w:r>
      <w:r w:rsidRPr="00EC250C">
        <w:t>niepublicznych. Te drugie,</w:t>
      </w:r>
      <w:r w:rsidR="00992FD0" w:rsidRPr="00EC250C">
        <w:t xml:space="preserve"> w </w:t>
      </w:r>
      <w:r w:rsidRPr="00EC250C">
        <w:t xml:space="preserve">związku ze swoim charakterem, są niezależne od władz publicznych. </w:t>
      </w:r>
      <w:r w:rsidRPr="00EC250C">
        <w:rPr>
          <w:rStyle w:val="ComwiKonstytucjaZnak"/>
          <w:i/>
        </w:rPr>
        <w:t>Zasada autonomii nie odnosi się do szkół innych szczebli. Uczelnie, korzystając</w:t>
      </w:r>
      <w:r w:rsidR="00992FD0" w:rsidRPr="00EC250C">
        <w:rPr>
          <w:rStyle w:val="ComwiKonstytucjaZnak"/>
          <w:i/>
        </w:rPr>
        <w:t xml:space="preserve"> z </w:t>
      </w:r>
      <w:r w:rsidRPr="00EC250C">
        <w:rPr>
          <w:rStyle w:val="ComwiKonstytucjaZnak"/>
          <w:i/>
        </w:rPr>
        <w:t>autonomii, nie mogą jednak podejmować działań sprzecznych</w:t>
      </w:r>
      <w:r w:rsidR="00992FD0" w:rsidRPr="00EC250C">
        <w:rPr>
          <w:rStyle w:val="ComwiKonstytucjaZnak"/>
          <w:i/>
        </w:rPr>
        <w:t xml:space="preserve"> z </w:t>
      </w:r>
      <w:r w:rsidRPr="00EC250C">
        <w:rPr>
          <w:rStyle w:val="ComwiKonstytucjaZnak"/>
          <w:i/>
        </w:rPr>
        <w:t>powszechnie obowiązującym prawem.</w:t>
      </w:r>
    </w:p>
    <w:p w14:paraId="20A47F28" w14:textId="77777777" w:rsidR="00404D61" w:rsidRPr="00EC250C" w:rsidRDefault="00404D61" w:rsidP="00D131FA">
      <w:pPr>
        <w:pStyle w:val="ComwiKonstytucja"/>
        <w:rPr>
          <w:rStyle w:val="ComwiKonstytucjaZnak"/>
          <w:i/>
        </w:rPr>
      </w:pPr>
      <w:r w:rsidRPr="00EC250C">
        <w:rPr>
          <w:rStyle w:val="ComwiKonstytucjaZnak"/>
          <w:i/>
        </w:rPr>
        <w:t>Poprzez tę zasadę Konstytucja chroni sferę wolności prowadzenia badań naukowych</w:t>
      </w:r>
      <w:r w:rsidR="00992FD0" w:rsidRPr="00EC250C">
        <w:rPr>
          <w:rStyle w:val="ComwiKonstytucjaZnak"/>
          <w:i/>
        </w:rPr>
        <w:t xml:space="preserve"> i </w:t>
      </w:r>
      <w:r w:rsidRPr="00EC250C">
        <w:rPr>
          <w:rStyle w:val="ComwiKonstytucjaZnak"/>
          <w:i/>
        </w:rPr>
        <w:t>kształcenia</w:t>
      </w:r>
      <w:r w:rsidR="00992FD0" w:rsidRPr="00EC250C">
        <w:rPr>
          <w:rStyle w:val="ComwiKonstytucjaZnak"/>
          <w:i/>
        </w:rPr>
        <w:t xml:space="preserve"> w </w:t>
      </w:r>
      <w:r w:rsidRPr="00EC250C">
        <w:rPr>
          <w:rStyle w:val="ComwiKonstytucjaZnak"/>
          <w:i/>
        </w:rPr>
        <w:t>ramach obowiązującego porządku prawnego. Władzom szkół wyższych musi być pozostawiona sfera swobodnego decydowania</w:t>
      </w:r>
      <w:r w:rsidR="00992FD0" w:rsidRPr="00EC250C">
        <w:rPr>
          <w:rStyle w:val="ComwiKonstytucjaZnak"/>
          <w:i/>
        </w:rPr>
        <w:t xml:space="preserve"> o </w:t>
      </w:r>
      <w:r w:rsidRPr="00EC250C">
        <w:rPr>
          <w:rStyle w:val="ComwiKonstytucjaZnak"/>
          <w:i/>
        </w:rPr>
        <w:t>nauce</w:t>
      </w:r>
      <w:r w:rsidR="00992FD0" w:rsidRPr="00EC250C">
        <w:rPr>
          <w:rStyle w:val="ComwiKonstytucjaZnak"/>
          <w:i/>
        </w:rPr>
        <w:t xml:space="preserve"> i </w:t>
      </w:r>
      <w:r w:rsidRPr="00EC250C">
        <w:rPr>
          <w:rStyle w:val="ComwiKonstytucjaZnak"/>
          <w:i/>
        </w:rPr>
        <w:t>nauczaniu, decydowania</w:t>
      </w:r>
      <w:r w:rsidR="00992FD0" w:rsidRPr="00EC250C">
        <w:rPr>
          <w:rStyle w:val="ComwiKonstytucjaZnak"/>
          <w:i/>
        </w:rPr>
        <w:t xml:space="preserve"> o </w:t>
      </w:r>
      <w:r w:rsidRPr="00EC250C">
        <w:rPr>
          <w:rStyle w:val="ComwiKonstytucjaZnak"/>
          <w:i/>
        </w:rPr>
        <w:t>organizacji wewnętrznej</w:t>
      </w:r>
      <w:r w:rsidR="00992FD0" w:rsidRPr="00EC250C">
        <w:rPr>
          <w:rStyle w:val="ComwiKonstytucjaZnak"/>
          <w:i/>
        </w:rPr>
        <w:t xml:space="preserve"> i </w:t>
      </w:r>
      <w:r w:rsidRPr="00EC250C">
        <w:rPr>
          <w:rStyle w:val="ComwiKonstytucjaZnak"/>
          <w:i/>
        </w:rPr>
        <w:t>władzach uczelni, toku nauczania, zasadach przyjmowania studentów, określenia ich praw</w:t>
      </w:r>
      <w:r w:rsidR="00992FD0" w:rsidRPr="00EC250C">
        <w:rPr>
          <w:rStyle w:val="ComwiKonstytucjaZnak"/>
          <w:i/>
        </w:rPr>
        <w:t xml:space="preserve"> i </w:t>
      </w:r>
      <w:r w:rsidRPr="00EC250C">
        <w:rPr>
          <w:rStyle w:val="ComwiKonstytucjaZnak"/>
          <w:i/>
        </w:rPr>
        <w:t>obowiązków. Szczególnie istotne jest</w:t>
      </w:r>
      <w:r w:rsidR="00992FD0" w:rsidRPr="00EC250C">
        <w:rPr>
          <w:rStyle w:val="ComwiKonstytucjaZnak"/>
          <w:i/>
        </w:rPr>
        <w:t xml:space="preserve"> w </w:t>
      </w:r>
      <w:r w:rsidRPr="00EC250C">
        <w:rPr>
          <w:rStyle w:val="ComwiKonstytucjaZnak"/>
          <w:i/>
        </w:rPr>
        <w:t>tym wypadku zadbanie</w:t>
      </w:r>
      <w:r w:rsidR="00992FD0" w:rsidRPr="00EC250C">
        <w:rPr>
          <w:rStyle w:val="ComwiKonstytucjaZnak"/>
          <w:i/>
        </w:rPr>
        <w:t xml:space="preserve"> o </w:t>
      </w:r>
      <w:r w:rsidRPr="00EC250C">
        <w:rPr>
          <w:rStyle w:val="ComwiKonstytucjaZnak"/>
          <w:i/>
        </w:rPr>
        <w:t>odpowiednie gwarancje praw studentów</w:t>
      </w:r>
      <w:r w:rsidR="00992FD0" w:rsidRPr="00EC250C">
        <w:rPr>
          <w:rStyle w:val="ComwiKonstytucjaZnak"/>
          <w:i/>
        </w:rPr>
        <w:t xml:space="preserve"> i </w:t>
      </w:r>
      <w:r w:rsidRPr="00EC250C">
        <w:rPr>
          <w:rStyle w:val="ComwiKonstytucjaZnak"/>
          <w:i/>
        </w:rPr>
        <w:t>studentek.</w:t>
      </w:r>
    </w:p>
    <w:p w14:paraId="61AED694" w14:textId="77777777" w:rsidR="003E4DBD" w:rsidRPr="00EC250C" w:rsidRDefault="003E4DBD" w:rsidP="00D131FA">
      <w:pPr>
        <w:pStyle w:val="ComwiKonstytucja"/>
        <w:rPr>
          <w:rStyle w:val="ComwiKonstytucjaZnak"/>
          <w:i/>
        </w:rPr>
      </w:pPr>
    </w:p>
    <w:p w14:paraId="0B6ADCB0" w14:textId="77777777" w:rsidR="00404D61" w:rsidRPr="00EC250C" w:rsidRDefault="00404D61" w:rsidP="00D131FA">
      <w:pPr>
        <w:spacing w:after="200" w:line="24" w:lineRule="auto"/>
        <w:jc w:val="both"/>
        <w:rPr>
          <w:rStyle w:val="ComwiKonstytucjaZnak"/>
          <w:sz w:val="22"/>
        </w:rPr>
      </w:pPr>
      <w:r w:rsidRPr="00EC250C">
        <w:rPr>
          <w:rStyle w:val="ComwiKonstytucjaZnak"/>
          <w:i w:val="0"/>
          <w:sz w:val="22"/>
        </w:rPr>
        <w:br w:type="page"/>
      </w:r>
    </w:p>
    <w:p w14:paraId="1DA0F527" w14:textId="77777777" w:rsidR="005D4BDB" w:rsidRPr="00EC250C" w:rsidRDefault="00404D61" w:rsidP="00EC79EB">
      <w:pPr>
        <w:pStyle w:val="Nagwek4"/>
      </w:pPr>
      <w:bookmarkStart w:id="600" w:name="_Toc6257904"/>
      <w:bookmarkStart w:id="601" w:name="_Toc11247781"/>
      <w:r w:rsidRPr="00EC250C">
        <w:lastRenderedPageBreak/>
        <w:t>G</w:t>
      </w:r>
      <w:r w:rsidR="005D4BDB" w:rsidRPr="00EC250C">
        <w:t>waranc</w:t>
      </w:r>
      <w:r w:rsidR="000D2537" w:rsidRPr="00EC250C">
        <w:t>j</w:t>
      </w:r>
      <w:r w:rsidR="005D4BDB" w:rsidRPr="00EC250C">
        <w:t>a dożywotnie</w:t>
      </w:r>
      <w:r w:rsidRPr="00EC250C">
        <w:t>go</w:t>
      </w:r>
      <w:r w:rsidR="005D4BDB" w:rsidRPr="00EC250C">
        <w:t xml:space="preserve"> </w:t>
      </w:r>
      <w:r w:rsidRPr="00EC250C">
        <w:t xml:space="preserve">zatrudnienia </w:t>
      </w:r>
      <w:r w:rsidR="005D4BDB" w:rsidRPr="00EC250C">
        <w:t xml:space="preserve">na uczelni </w:t>
      </w:r>
      <w:r w:rsidR="00FC6DCC" w:rsidRPr="00EC250C">
        <w:t>wykładowców będących jednocześnie</w:t>
      </w:r>
      <w:r w:rsidRPr="00EC250C">
        <w:t xml:space="preserve"> sędzi</w:t>
      </w:r>
      <w:r w:rsidR="00FC6DCC" w:rsidRPr="00EC250C">
        <w:t>ami</w:t>
      </w:r>
      <w:r w:rsidRPr="00EC250C">
        <w:t xml:space="preserve"> </w:t>
      </w:r>
      <w:r w:rsidR="005D4BDB" w:rsidRPr="00EC250C">
        <w:t>Trybunału Konstytucyjnego, Sądu Najwyższego</w:t>
      </w:r>
      <w:r w:rsidR="00992FD0" w:rsidRPr="00EC250C">
        <w:t xml:space="preserve"> i </w:t>
      </w:r>
      <w:r w:rsidR="000D2537" w:rsidRPr="00EC250C">
        <w:t>NSA</w:t>
      </w:r>
      <w:bookmarkEnd w:id="600"/>
      <w:bookmarkEnd w:id="601"/>
    </w:p>
    <w:p w14:paraId="42E988E6" w14:textId="77777777" w:rsidR="00B473F5" w:rsidRPr="00EC250C" w:rsidRDefault="00D40ED9" w:rsidP="00D131FA">
      <w:pPr>
        <w:pStyle w:val="Problemczowieka"/>
        <w:jc w:val="both"/>
      </w:pPr>
      <w:r w:rsidRPr="00EC250C">
        <w:t xml:space="preserve">Rok 2018 r. upłynął pod znakiem uchwalenia wielkiej reformy szkolnictwa wyższego. </w:t>
      </w:r>
      <w:r w:rsidR="00B473F5" w:rsidRPr="00EC250C">
        <w:t>.</w:t>
      </w:r>
    </w:p>
    <w:p w14:paraId="1435AE15" w14:textId="77777777" w:rsidR="00B473F5" w:rsidRPr="00EC250C" w:rsidRDefault="00A5669A" w:rsidP="00D131FA">
      <w:pPr>
        <w:pStyle w:val="Problemczowieka"/>
        <w:jc w:val="both"/>
        <w:rPr>
          <w:rStyle w:val="Pogrubienie"/>
          <w:rFonts w:eastAsiaTheme="majorEastAsia"/>
          <w:b/>
          <w:bCs w:val="0"/>
        </w:rPr>
      </w:pPr>
      <w:r w:rsidRPr="00EC250C">
        <w:t xml:space="preserve">W toku jej uchwalenia, gdy jednocześnie trwały prace nad kolejną zmianą w ustawie o Sądzie Najwyższym, do jednej z ustaw dotyczącej reformy nauki parlament wprowadził poprawkę zobowiązującą </w:t>
      </w:r>
      <w:r w:rsidR="000D2537" w:rsidRPr="00EC250C">
        <w:rPr>
          <w:rStyle w:val="Pogrubienie"/>
          <w:rFonts w:eastAsiaTheme="majorEastAsia"/>
          <w:b/>
          <w:bCs w:val="0"/>
        </w:rPr>
        <w:t xml:space="preserve">uczelnie </w:t>
      </w:r>
      <w:r w:rsidRPr="00EC250C">
        <w:rPr>
          <w:rStyle w:val="Pogrubienie"/>
          <w:rFonts w:eastAsiaTheme="majorEastAsia"/>
          <w:b/>
          <w:bCs w:val="0"/>
        </w:rPr>
        <w:t xml:space="preserve">do </w:t>
      </w:r>
      <w:r w:rsidR="000D2537" w:rsidRPr="00EC250C">
        <w:rPr>
          <w:rStyle w:val="Pogrubienie"/>
          <w:rFonts w:eastAsiaTheme="majorEastAsia"/>
          <w:b/>
          <w:bCs w:val="0"/>
        </w:rPr>
        <w:t>do</w:t>
      </w:r>
      <w:r w:rsidR="000D2537" w:rsidRPr="00EC250C">
        <w:rPr>
          <w:rStyle w:val="Pogrubienie"/>
          <w:rFonts w:eastAsiaTheme="majorEastAsia" w:hint="eastAsia"/>
          <w:b/>
          <w:bCs w:val="0"/>
        </w:rPr>
        <w:t>ż</w:t>
      </w:r>
      <w:r w:rsidR="000D2537" w:rsidRPr="00EC250C">
        <w:rPr>
          <w:rStyle w:val="Pogrubienie"/>
          <w:rFonts w:eastAsiaTheme="majorEastAsia"/>
          <w:b/>
          <w:bCs w:val="0"/>
        </w:rPr>
        <w:t>ywotni</w:t>
      </w:r>
      <w:r w:rsidRPr="00EC250C">
        <w:rPr>
          <w:rStyle w:val="Pogrubienie"/>
          <w:rFonts w:eastAsiaTheme="majorEastAsia"/>
          <w:b/>
          <w:bCs w:val="0"/>
        </w:rPr>
        <w:t>ego</w:t>
      </w:r>
      <w:r w:rsidR="000D2537" w:rsidRPr="00EC250C">
        <w:rPr>
          <w:rStyle w:val="Pogrubienie"/>
          <w:rFonts w:eastAsiaTheme="majorEastAsia"/>
          <w:b/>
          <w:bCs w:val="0"/>
        </w:rPr>
        <w:t xml:space="preserve"> zatrudnia</w:t>
      </w:r>
      <w:r w:rsidRPr="00EC250C">
        <w:rPr>
          <w:rStyle w:val="Pogrubienie"/>
          <w:rFonts w:eastAsiaTheme="majorEastAsia"/>
          <w:b/>
          <w:bCs w:val="0"/>
        </w:rPr>
        <w:t>nia</w:t>
      </w:r>
      <w:r w:rsidR="000D2537" w:rsidRPr="00EC250C">
        <w:rPr>
          <w:rStyle w:val="Pogrubienie"/>
          <w:rFonts w:eastAsiaTheme="majorEastAsia"/>
          <w:b/>
          <w:bCs w:val="0"/>
        </w:rPr>
        <w:t xml:space="preserve"> naukowc</w:t>
      </w:r>
      <w:r w:rsidR="000D2537" w:rsidRPr="00EC250C">
        <w:rPr>
          <w:rStyle w:val="Pogrubienie"/>
          <w:rFonts w:eastAsiaTheme="majorEastAsia" w:hint="eastAsia"/>
          <w:b/>
          <w:bCs w:val="0"/>
        </w:rPr>
        <w:t>ó</w:t>
      </w:r>
      <w:r w:rsidR="000D2537" w:rsidRPr="00EC250C">
        <w:rPr>
          <w:rStyle w:val="Pogrubienie"/>
          <w:rFonts w:eastAsiaTheme="majorEastAsia"/>
          <w:b/>
          <w:bCs w:val="0"/>
        </w:rPr>
        <w:t>w, kt</w:t>
      </w:r>
      <w:r w:rsidR="000D2537" w:rsidRPr="00EC250C">
        <w:rPr>
          <w:rStyle w:val="Pogrubienie"/>
          <w:rFonts w:eastAsiaTheme="majorEastAsia" w:hint="eastAsia"/>
          <w:b/>
          <w:bCs w:val="0"/>
        </w:rPr>
        <w:t>ó</w:t>
      </w:r>
      <w:r w:rsidR="000D2537" w:rsidRPr="00EC250C">
        <w:rPr>
          <w:rStyle w:val="Pogrubienie"/>
          <w:rFonts w:eastAsiaTheme="majorEastAsia"/>
          <w:b/>
          <w:bCs w:val="0"/>
        </w:rPr>
        <w:t>rzy jednocze</w:t>
      </w:r>
      <w:r w:rsidR="000D2537" w:rsidRPr="00EC250C">
        <w:rPr>
          <w:rStyle w:val="Pogrubienie"/>
          <w:rFonts w:eastAsiaTheme="majorEastAsia" w:hint="eastAsia"/>
          <w:b/>
          <w:bCs w:val="0"/>
        </w:rPr>
        <w:t>ś</w:t>
      </w:r>
      <w:r w:rsidR="000D2537" w:rsidRPr="00EC250C">
        <w:rPr>
          <w:rStyle w:val="Pogrubienie"/>
          <w:rFonts w:eastAsiaTheme="majorEastAsia"/>
          <w:b/>
          <w:bCs w:val="0"/>
        </w:rPr>
        <w:t>nie s</w:t>
      </w:r>
      <w:r w:rsidR="000D2537" w:rsidRPr="00EC250C">
        <w:rPr>
          <w:rStyle w:val="Pogrubienie"/>
          <w:rFonts w:eastAsiaTheme="majorEastAsia" w:hint="eastAsia"/>
          <w:b/>
          <w:bCs w:val="0"/>
        </w:rPr>
        <w:t>ą</w:t>
      </w:r>
      <w:r w:rsidR="000D2537" w:rsidRPr="00EC250C">
        <w:rPr>
          <w:rStyle w:val="Pogrubienie"/>
          <w:rFonts w:eastAsiaTheme="majorEastAsia"/>
          <w:b/>
          <w:bCs w:val="0"/>
        </w:rPr>
        <w:t xml:space="preserve"> s</w:t>
      </w:r>
      <w:r w:rsidR="000D2537" w:rsidRPr="00EC250C">
        <w:rPr>
          <w:rStyle w:val="Pogrubienie"/>
          <w:rFonts w:eastAsiaTheme="majorEastAsia" w:hint="eastAsia"/>
          <w:b/>
          <w:bCs w:val="0"/>
        </w:rPr>
        <w:t>ę</w:t>
      </w:r>
      <w:r w:rsidR="000D2537" w:rsidRPr="00EC250C">
        <w:rPr>
          <w:rStyle w:val="Pogrubienie"/>
          <w:rFonts w:eastAsiaTheme="majorEastAsia"/>
          <w:b/>
          <w:bCs w:val="0"/>
        </w:rPr>
        <w:t>dziami S</w:t>
      </w:r>
      <w:r w:rsidR="000D2537" w:rsidRPr="00EC250C">
        <w:rPr>
          <w:rStyle w:val="Pogrubienie"/>
          <w:rFonts w:eastAsiaTheme="majorEastAsia" w:hint="eastAsia"/>
          <w:b/>
          <w:bCs w:val="0"/>
        </w:rPr>
        <w:t>ą</w:t>
      </w:r>
      <w:r w:rsidR="000D2537" w:rsidRPr="00EC250C">
        <w:rPr>
          <w:rStyle w:val="Pogrubienie"/>
          <w:rFonts w:eastAsiaTheme="majorEastAsia"/>
          <w:b/>
          <w:bCs w:val="0"/>
        </w:rPr>
        <w:t>du Najwy</w:t>
      </w:r>
      <w:r w:rsidR="000D2537" w:rsidRPr="00EC250C">
        <w:rPr>
          <w:rStyle w:val="Pogrubienie"/>
          <w:rFonts w:eastAsiaTheme="majorEastAsia" w:hint="eastAsia"/>
          <w:b/>
          <w:bCs w:val="0"/>
        </w:rPr>
        <w:t>ż</w:t>
      </w:r>
      <w:r w:rsidR="000D2537" w:rsidRPr="00EC250C">
        <w:rPr>
          <w:rStyle w:val="Pogrubienie"/>
          <w:rFonts w:eastAsiaTheme="majorEastAsia"/>
          <w:b/>
          <w:bCs w:val="0"/>
        </w:rPr>
        <w:t>szego</w:t>
      </w:r>
      <w:r w:rsidRPr="00EC250C">
        <w:rPr>
          <w:rStyle w:val="Pogrubienie"/>
          <w:rFonts w:eastAsiaTheme="majorEastAsia"/>
          <w:b/>
          <w:bCs w:val="0"/>
        </w:rPr>
        <w:t>, Trybuna</w:t>
      </w:r>
      <w:r w:rsidRPr="00EC250C">
        <w:rPr>
          <w:rStyle w:val="Pogrubienie"/>
          <w:rFonts w:eastAsiaTheme="majorEastAsia" w:hint="eastAsia"/>
          <w:b/>
          <w:bCs w:val="0"/>
        </w:rPr>
        <w:t>ł</w:t>
      </w:r>
      <w:r w:rsidRPr="00EC250C">
        <w:rPr>
          <w:rStyle w:val="Pogrubienie"/>
          <w:rFonts w:eastAsiaTheme="majorEastAsia"/>
          <w:b/>
          <w:bCs w:val="0"/>
        </w:rPr>
        <w:t xml:space="preserve">u Konstytucyjnego </w:t>
      </w:r>
      <w:r w:rsidR="000D2537" w:rsidRPr="00EC250C">
        <w:rPr>
          <w:rStyle w:val="Pogrubienie"/>
          <w:rFonts w:eastAsiaTheme="majorEastAsia"/>
          <w:b/>
          <w:bCs w:val="0"/>
        </w:rPr>
        <w:t xml:space="preserve"> lub NSA. Osoby te zosta</w:t>
      </w:r>
      <w:r w:rsidR="000D2537" w:rsidRPr="00EC250C">
        <w:rPr>
          <w:rStyle w:val="Pogrubienie"/>
          <w:rFonts w:eastAsiaTheme="majorEastAsia" w:hint="eastAsia"/>
          <w:b/>
          <w:bCs w:val="0"/>
        </w:rPr>
        <w:t>ł</w:t>
      </w:r>
      <w:r w:rsidR="000D2537" w:rsidRPr="00EC250C">
        <w:rPr>
          <w:rStyle w:val="Pogrubienie"/>
          <w:rFonts w:eastAsiaTheme="majorEastAsia"/>
          <w:b/>
          <w:bCs w:val="0"/>
        </w:rPr>
        <w:t>y wy</w:t>
      </w:r>
      <w:r w:rsidR="000D2537" w:rsidRPr="00EC250C">
        <w:rPr>
          <w:rStyle w:val="Pogrubienie"/>
          <w:rFonts w:eastAsiaTheme="majorEastAsia" w:hint="eastAsia"/>
          <w:b/>
          <w:bCs w:val="0"/>
        </w:rPr>
        <w:t>łą</w:t>
      </w:r>
      <w:r w:rsidR="000D2537" w:rsidRPr="00EC250C">
        <w:rPr>
          <w:rStyle w:val="Pogrubienie"/>
          <w:rFonts w:eastAsiaTheme="majorEastAsia"/>
          <w:b/>
          <w:bCs w:val="0"/>
        </w:rPr>
        <w:t>czone spod rygor</w:t>
      </w:r>
      <w:r w:rsidR="000D2537" w:rsidRPr="00EC250C">
        <w:rPr>
          <w:rStyle w:val="Pogrubienie"/>
          <w:rFonts w:eastAsiaTheme="majorEastAsia" w:hint="eastAsia"/>
          <w:b/>
          <w:bCs w:val="0"/>
        </w:rPr>
        <w:t>ó</w:t>
      </w:r>
      <w:r w:rsidR="000D2537" w:rsidRPr="00EC250C">
        <w:rPr>
          <w:rStyle w:val="Pogrubienie"/>
          <w:rFonts w:eastAsiaTheme="majorEastAsia"/>
          <w:b/>
          <w:bCs w:val="0"/>
        </w:rPr>
        <w:t>w obowi</w:t>
      </w:r>
      <w:r w:rsidR="000D2537" w:rsidRPr="00EC250C">
        <w:rPr>
          <w:rStyle w:val="Pogrubienie"/>
          <w:rFonts w:eastAsiaTheme="majorEastAsia" w:hint="eastAsia"/>
          <w:b/>
          <w:bCs w:val="0"/>
        </w:rPr>
        <w:t>ą</w:t>
      </w:r>
      <w:r w:rsidR="000D2537" w:rsidRPr="00EC250C">
        <w:rPr>
          <w:rStyle w:val="Pogrubienie"/>
          <w:rFonts w:eastAsiaTheme="majorEastAsia"/>
          <w:b/>
          <w:bCs w:val="0"/>
        </w:rPr>
        <w:t>zuj</w:t>
      </w:r>
      <w:r w:rsidR="000D2537" w:rsidRPr="00EC250C">
        <w:rPr>
          <w:rStyle w:val="Pogrubienie"/>
          <w:rFonts w:eastAsiaTheme="majorEastAsia" w:hint="eastAsia"/>
          <w:b/>
          <w:bCs w:val="0"/>
        </w:rPr>
        <w:t>ą</w:t>
      </w:r>
      <w:r w:rsidR="000D2537" w:rsidRPr="00EC250C">
        <w:rPr>
          <w:rStyle w:val="Pogrubienie"/>
          <w:rFonts w:eastAsiaTheme="majorEastAsia"/>
          <w:b/>
          <w:bCs w:val="0"/>
        </w:rPr>
        <w:t xml:space="preserve">cych innych </w:t>
      </w:r>
      <w:r w:rsidR="00FC6DCC" w:rsidRPr="00EC250C">
        <w:rPr>
          <w:rStyle w:val="Pogrubienie"/>
          <w:rFonts w:eastAsiaTheme="majorEastAsia"/>
          <w:b/>
          <w:bCs w:val="0"/>
        </w:rPr>
        <w:t>akademików</w:t>
      </w:r>
      <w:r w:rsidR="000D2537" w:rsidRPr="00EC250C">
        <w:rPr>
          <w:rStyle w:val="Pogrubienie"/>
          <w:rFonts w:eastAsiaTheme="majorEastAsia"/>
          <w:b/>
          <w:bCs w:val="0"/>
        </w:rPr>
        <w:t>, kt</w:t>
      </w:r>
      <w:r w:rsidR="000D2537" w:rsidRPr="00EC250C">
        <w:rPr>
          <w:rStyle w:val="Pogrubienie"/>
          <w:rFonts w:eastAsiaTheme="majorEastAsia" w:hint="eastAsia"/>
          <w:b/>
          <w:bCs w:val="0"/>
        </w:rPr>
        <w:t>ó</w:t>
      </w:r>
      <w:r w:rsidR="000D2537" w:rsidRPr="00EC250C">
        <w:rPr>
          <w:rStyle w:val="Pogrubienie"/>
          <w:rFonts w:eastAsiaTheme="majorEastAsia"/>
          <w:b/>
          <w:bCs w:val="0"/>
        </w:rPr>
        <w:t>rzy</w:t>
      </w:r>
      <w:r w:rsidR="00026572" w:rsidRPr="00EC250C">
        <w:rPr>
          <w:rStyle w:val="Pogrubienie"/>
          <w:rFonts w:eastAsiaTheme="majorEastAsia"/>
          <w:b/>
          <w:bCs w:val="0"/>
        </w:rPr>
        <w:t xml:space="preserve"> – </w:t>
      </w:r>
      <w:r w:rsidR="000D2537" w:rsidRPr="00EC250C">
        <w:rPr>
          <w:rStyle w:val="Pogrubienie"/>
          <w:rFonts w:eastAsiaTheme="majorEastAsia"/>
          <w:b/>
          <w:bCs w:val="0"/>
        </w:rPr>
        <w:t>aby utrzyma</w:t>
      </w:r>
      <w:r w:rsidR="000D2537" w:rsidRPr="00EC250C">
        <w:rPr>
          <w:rStyle w:val="Pogrubienie"/>
          <w:rFonts w:eastAsiaTheme="majorEastAsia" w:hint="eastAsia"/>
          <w:b/>
          <w:bCs w:val="0"/>
        </w:rPr>
        <w:t>ć</w:t>
      </w:r>
      <w:r w:rsidR="000D2537" w:rsidRPr="00EC250C">
        <w:rPr>
          <w:rStyle w:val="Pogrubienie"/>
          <w:rFonts w:eastAsiaTheme="majorEastAsia"/>
          <w:b/>
          <w:bCs w:val="0"/>
        </w:rPr>
        <w:t xml:space="preserve"> prac</w:t>
      </w:r>
      <w:r w:rsidR="000D2537" w:rsidRPr="00EC250C">
        <w:rPr>
          <w:rStyle w:val="Pogrubienie"/>
          <w:rFonts w:eastAsiaTheme="majorEastAsia" w:hint="eastAsia"/>
          <w:b/>
          <w:bCs w:val="0"/>
        </w:rPr>
        <w:t>ę</w:t>
      </w:r>
      <w:r w:rsidR="000D2537" w:rsidRPr="00EC250C">
        <w:rPr>
          <w:rStyle w:val="Pogrubienie"/>
          <w:rFonts w:eastAsiaTheme="majorEastAsia"/>
          <w:b/>
          <w:bCs w:val="0"/>
        </w:rPr>
        <w:t xml:space="preserve"> na uczelni</w:t>
      </w:r>
      <w:r w:rsidR="00026572" w:rsidRPr="00EC250C">
        <w:rPr>
          <w:rStyle w:val="Pogrubienie"/>
          <w:rFonts w:eastAsiaTheme="majorEastAsia"/>
          <w:b/>
          <w:bCs w:val="0"/>
        </w:rPr>
        <w:t xml:space="preserve"> – </w:t>
      </w:r>
      <w:r w:rsidR="000D2537" w:rsidRPr="00EC250C">
        <w:rPr>
          <w:rStyle w:val="Pogrubienie"/>
          <w:rFonts w:eastAsiaTheme="majorEastAsia"/>
          <w:b/>
          <w:bCs w:val="0"/>
        </w:rPr>
        <w:t>musz</w:t>
      </w:r>
      <w:r w:rsidR="000D2537" w:rsidRPr="00EC250C">
        <w:rPr>
          <w:rStyle w:val="Pogrubienie"/>
          <w:rFonts w:eastAsiaTheme="majorEastAsia" w:hint="eastAsia"/>
          <w:b/>
          <w:bCs w:val="0"/>
        </w:rPr>
        <w:t>ą</w:t>
      </w:r>
      <w:r w:rsidR="000D2537" w:rsidRPr="00EC250C">
        <w:rPr>
          <w:rStyle w:val="Pogrubienie"/>
          <w:rFonts w:eastAsiaTheme="majorEastAsia"/>
          <w:b/>
          <w:bCs w:val="0"/>
        </w:rPr>
        <w:t xml:space="preserve"> wykazywa</w:t>
      </w:r>
      <w:r w:rsidR="000D2537" w:rsidRPr="00EC250C">
        <w:rPr>
          <w:rStyle w:val="Pogrubienie"/>
          <w:rFonts w:eastAsiaTheme="majorEastAsia" w:hint="eastAsia"/>
          <w:b/>
          <w:bCs w:val="0"/>
        </w:rPr>
        <w:t>ć</w:t>
      </w:r>
      <w:r w:rsidR="000D2537" w:rsidRPr="00EC250C">
        <w:rPr>
          <w:rStyle w:val="Pogrubienie"/>
          <w:rFonts w:eastAsiaTheme="majorEastAsia"/>
          <w:b/>
          <w:bCs w:val="0"/>
        </w:rPr>
        <w:t xml:space="preserve"> si</w:t>
      </w:r>
      <w:r w:rsidR="000D2537" w:rsidRPr="00EC250C">
        <w:rPr>
          <w:rStyle w:val="Pogrubienie"/>
          <w:rFonts w:eastAsiaTheme="majorEastAsia" w:hint="eastAsia"/>
          <w:b/>
          <w:bCs w:val="0"/>
        </w:rPr>
        <w:t>ę</w:t>
      </w:r>
      <w:r w:rsidR="000D2537" w:rsidRPr="00EC250C">
        <w:rPr>
          <w:rStyle w:val="Pogrubienie"/>
          <w:rFonts w:eastAsiaTheme="majorEastAsia"/>
          <w:b/>
          <w:bCs w:val="0"/>
        </w:rPr>
        <w:t xml:space="preserve"> osi</w:t>
      </w:r>
      <w:r w:rsidR="000D2537" w:rsidRPr="00EC250C">
        <w:rPr>
          <w:rStyle w:val="Pogrubienie"/>
          <w:rFonts w:eastAsiaTheme="majorEastAsia" w:hint="eastAsia"/>
          <w:b/>
          <w:bCs w:val="0"/>
        </w:rPr>
        <w:t>ą</w:t>
      </w:r>
      <w:r w:rsidR="000D2537" w:rsidRPr="00EC250C">
        <w:rPr>
          <w:rStyle w:val="Pogrubienie"/>
          <w:rFonts w:eastAsiaTheme="majorEastAsia"/>
          <w:b/>
          <w:bCs w:val="0"/>
        </w:rPr>
        <w:t>gnieciami naukowymi</w:t>
      </w:r>
      <w:r w:rsidR="00B473F5" w:rsidRPr="00EC250C">
        <w:rPr>
          <w:rStyle w:val="Pogrubienie"/>
          <w:rFonts w:eastAsiaTheme="majorEastAsia"/>
          <w:b/>
          <w:bCs w:val="0"/>
        </w:rPr>
        <w:t>.</w:t>
      </w:r>
    </w:p>
    <w:p w14:paraId="6A641CE4" w14:textId="77777777" w:rsidR="000D2537" w:rsidRPr="00EC250C" w:rsidRDefault="000D2537" w:rsidP="00D131FA">
      <w:pPr>
        <w:pStyle w:val="Styl1"/>
      </w:pPr>
      <w:r w:rsidRPr="00EC250C">
        <w:rPr>
          <w:rStyle w:val="Pogrubienie"/>
          <w:rFonts w:eastAsiaTheme="majorEastAsia"/>
          <w:b w:val="0"/>
          <w:bCs w:val="0"/>
        </w:rPr>
        <w:t>Zdaniem RPO rozwi</w:t>
      </w:r>
      <w:r w:rsidRPr="00EC250C">
        <w:rPr>
          <w:rStyle w:val="Pogrubienie"/>
          <w:rFonts w:eastAsiaTheme="majorEastAsia" w:hint="eastAsia"/>
          <w:b w:val="0"/>
          <w:bCs w:val="0"/>
        </w:rPr>
        <w:t>ą</w:t>
      </w:r>
      <w:r w:rsidRPr="00EC250C">
        <w:rPr>
          <w:rStyle w:val="Pogrubienie"/>
          <w:rFonts w:eastAsiaTheme="majorEastAsia"/>
          <w:b w:val="0"/>
          <w:bCs w:val="0"/>
        </w:rPr>
        <w:t>zanie takie narusza trzy konstytucyjne zasady: zasad</w:t>
      </w:r>
      <w:r w:rsidRPr="00EC250C">
        <w:rPr>
          <w:rStyle w:val="Pogrubienie"/>
          <w:rFonts w:eastAsiaTheme="majorEastAsia" w:hint="eastAsia"/>
          <w:b w:val="0"/>
          <w:bCs w:val="0"/>
        </w:rPr>
        <w:t>ę</w:t>
      </w:r>
      <w:r w:rsidRPr="00EC250C">
        <w:rPr>
          <w:rStyle w:val="Pogrubienie"/>
          <w:rFonts w:eastAsiaTheme="majorEastAsia"/>
          <w:b w:val="0"/>
          <w:bCs w:val="0"/>
        </w:rPr>
        <w:t xml:space="preserve"> autonomii szk</w:t>
      </w:r>
      <w:r w:rsidRPr="00EC250C">
        <w:rPr>
          <w:rStyle w:val="Pogrubienie"/>
          <w:rFonts w:eastAsiaTheme="majorEastAsia" w:hint="eastAsia"/>
          <w:b w:val="0"/>
          <w:bCs w:val="0"/>
        </w:rPr>
        <w:t>ół</w:t>
      </w:r>
      <w:r w:rsidRPr="00EC250C">
        <w:rPr>
          <w:rStyle w:val="Pogrubienie"/>
          <w:rFonts w:eastAsiaTheme="majorEastAsia"/>
          <w:b w:val="0"/>
          <w:bCs w:val="0"/>
        </w:rPr>
        <w:t xml:space="preserve"> wy</w:t>
      </w:r>
      <w:r w:rsidRPr="00EC250C">
        <w:rPr>
          <w:rStyle w:val="Pogrubienie"/>
          <w:rFonts w:eastAsiaTheme="majorEastAsia" w:hint="eastAsia"/>
          <w:b w:val="0"/>
          <w:bCs w:val="0"/>
        </w:rPr>
        <w:t>ż</w:t>
      </w:r>
      <w:r w:rsidRPr="00EC250C">
        <w:rPr>
          <w:rStyle w:val="Pogrubienie"/>
          <w:rFonts w:eastAsiaTheme="majorEastAsia"/>
          <w:b w:val="0"/>
          <w:bCs w:val="0"/>
        </w:rPr>
        <w:t>szych, zasad</w:t>
      </w:r>
      <w:r w:rsidRPr="00EC250C">
        <w:rPr>
          <w:rStyle w:val="Pogrubienie"/>
          <w:rFonts w:eastAsiaTheme="majorEastAsia" w:hint="eastAsia"/>
          <w:b w:val="0"/>
          <w:bCs w:val="0"/>
        </w:rPr>
        <w:t>ę</w:t>
      </w:r>
      <w:r w:rsidRPr="00EC250C">
        <w:rPr>
          <w:rStyle w:val="Pogrubienie"/>
          <w:rFonts w:eastAsiaTheme="majorEastAsia"/>
          <w:b w:val="0"/>
          <w:bCs w:val="0"/>
        </w:rPr>
        <w:t xml:space="preserve"> r</w:t>
      </w:r>
      <w:r w:rsidRPr="00EC250C">
        <w:rPr>
          <w:rStyle w:val="Pogrubienie"/>
          <w:rFonts w:eastAsiaTheme="majorEastAsia" w:hint="eastAsia"/>
          <w:b w:val="0"/>
          <w:bCs w:val="0"/>
        </w:rPr>
        <w:t>ó</w:t>
      </w:r>
      <w:r w:rsidRPr="00EC250C">
        <w:rPr>
          <w:rStyle w:val="Pogrubienie"/>
          <w:rFonts w:eastAsiaTheme="majorEastAsia"/>
          <w:b w:val="0"/>
          <w:bCs w:val="0"/>
        </w:rPr>
        <w:t>wno</w:t>
      </w:r>
      <w:r w:rsidRPr="00EC250C">
        <w:rPr>
          <w:rStyle w:val="Pogrubienie"/>
          <w:rFonts w:eastAsiaTheme="majorEastAsia" w:hint="eastAsia"/>
          <w:b w:val="0"/>
          <w:bCs w:val="0"/>
        </w:rPr>
        <w:t>ś</w:t>
      </w:r>
      <w:r w:rsidRPr="00EC250C">
        <w:rPr>
          <w:rStyle w:val="Pogrubienie"/>
          <w:rFonts w:eastAsiaTheme="majorEastAsia"/>
          <w:b w:val="0"/>
          <w:bCs w:val="0"/>
        </w:rPr>
        <w:t>ci oraz zasad</w:t>
      </w:r>
      <w:r w:rsidRPr="00EC250C">
        <w:rPr>
          <w:rStyle w:val="Pogrubienie"/>
          <w:rFonts w:eastAsiaTheme="majorEastAsia" w:hint="eastAsia"/>
          <w:b w:val="0"/>
          <w:bCs w:val="0"/>
        </w:rPr>
        <w:t>ę</w:t>
      </w:r>
      <w:r w:rsidRPr="00EC250C">
        <w:rPr>
          <w:rStyle w:val="Pogrubienie"/>
          <w:rFonts w:eastAsiaTheme="majorEastAsia"/>
          <w:b w:val="0"/>
          <w:bCs w:val="0"/>
        </w:rPr>
        <w:t xml:space="preserve"> ochrony pracy. </w:t>
      </w:r>
      <w:r w:rsidR="00D76DC6" w:rsidRPr="00EC250C">
        <w:rPr>
          <w:rStyle w:val="Pogrubienie"/>
          <w:rFonts w:eastAsiaTheme="majorEastAsia"/>
          <w:b w:val="0"/>
          <w:bCs w:val="0"/>
        </w:rPr>
        <w:t>RPO</w:t>
      </w:r>
      <w:r w:rsidRPr="00EC250C">
        <w:rPr>
          <w:rStyle w:val="Pogrubienie"/>
          <w:rFonts w:eastAsiaTheme="majorEastAsia"/>
          <w:b w:val="0"/>
          <w:bCs w:val="0"/>
        </w:rPr>
        <w:t xml:space="preserve"> zwracał uwagę na problem rządowi</w:t>
      </w:r>
      <w:r w:rsidRPr="00EC250C">
        <w:rPr>
          <w:rStyle w:val="Odwoanieprzypisudolnego"/>
          <w:bCs/>
          <w:iCs/>
        </w:rPr>
        <w:footnoteReference w:id="589"/>
      </w:r>
      <w:r w:rsidRPr="00EC250C">
        <w:rPr>
          <w:rStyle w:val="Pogrubienie"/>
          <w:rFonts w:eastAsiaTheme="majorEastAsia"/>
          <w:b w:val="0"/>
          <w:bCs w:val="0"/>
        </w:rPr>
        <w:t>,</w:t>
      </w:r>
      <w:r w:rsidR="00992FD0" w:rsidRPr="00EC250C">
        <w:rPr>
          <w:rStyle w:val="Pogrubienie"/>
          <w:rFonts w:eastAsiaTheme="majorEastAsia"/>
          <w:b w:val="0"/>
          <w:bCs w:val="0"/>
        </w:rPr>
        <w:t xml:space="preserve"> a </w:t>
      </w:r>
      <w:r w:rsidRPr="00EC250C">
        <w:rPr>
          <w:rStyle w:val="Pogrubienie"/>
          <w:rFonts w:eastAsiaTheme="majorEastAsia"/>
          <w:b w:val="0"/>
          <w:bCs w:val="0"/>
        </w:rPr>
        <w:t>następnie przyłączył się do postepowania przed Trybunałem Konstytucyjnym, które – po podpisaniu ustawy – zainicjował prezydent Andrzej Duda</w:t>
      </w:r>
      <w:r w:rsidRPr="00EC250C">
        <w:rPr>
          <w:rStyle w:val="Odwoanieprzypisudolnego"/>
          <w:rFonts w:eastAsiaTheme="majorEastAsia"/>
        </w:rPr>
        <w:footnoteReference w:id="590"/>
      </w:r>
      <w:r w:rsidRPr="00EC250C">
        <w:rPr>
          <w:rStyle w:val="Pogrubienie"/>
          <w:rFonts w:eastAsiaTheme="majorEastAsia"/>
          <w:b w:val="0"/>
          <w:bCs w:val="0"/>
        </w:rPr>
        <w:t>.</w:t>
      </w:r>
    </w:p>
    <w:p w14:paraId="1DB538B0" w14:textId="77777777" w:rsidR="000D2537" w:rsidRPr="00EC250C" w:rsidRDefault="00D76DC6" w:rsidP="00D131FA">
      <w:pPr>
        <w:pStyle w:val="Styl1"/>
      </w:pPr>
      <w:r w:rsidRPr="00EC250C">
        <w:t>RPO</w:t>
      </w:r>
      <w:r w:rsidR="000D2537" w:rsidRPr="00EC250C">
        <w:t xml:space="preserve"> zwrócił najpierw uwagę na problem Ministrowi Nauki</w:t>
      </w:r>
      <w:r w:rsidR="00992FD0" w:rsidRPr="00EC250C">
        <w:t xml:space="preserve"> i </w:t>
      </w:r>
      <w:r w:rsidR="000D2537" w:rsidRPr="00EC250C">
        <w:t>Szkolnictwa Wyższego, który jest autorem reformy nauki (Konstytucja dla Nauki). Przepis,</w:t>
      </w:r>
      <w:r w:rsidR="00992FD0" w:rsidRPr="00EC250C">
        <w:t xml:space="preserve"> o </w:t>
      </w:r>
      <w:r w:rsidR="000D2537" w:rsidRPr="00EC250C">
        <w:t>który chodzi Rzecznikowi, znalazł się</w:t>
      </w:r>
      <w:r w:rsidR="00992FD0" w:rsidRPr="00EC250C">
        <w:t xml:space="preserve"> w </w:t>
      </w:r>
      <w:r w:rsidR="000D2537" w:rsidRPr="00EC250C">
        <w:t>ustawie wprowadzającej tę reformę</w:t>
      </w:r>
      <w:r w:rsidR="00992FD0" w:rsidRPr="00EC250C">
        <w:t xml:space="preserve"> w </w:t>
      </w:r>
      <w:r w:rsidR="000D2537" w:rsidRPr="00EC250C">
        <w:t>ostatnim momencie</w:t>
      </w:r>
      <w:r w:rsidR="00026572" w:rsidRPr="00EC250C">
        <w:t xml:space="preserve"> – </w:t>
      </w:r>
      <w:r w:rsidR="000D2537" w:rsidRPr="00EC250C">
        <w:t>gdy latem 2018</w:t>
      </w:r>
      <w:r w:rsidR="00C91F6E" w:rsidRPr="00EC250C">
        <w:t> r.</w:t>
      </w:r>
      <w:r w:rsidR="000D2537" w:rsidRPr="00EC250C">
        <w:t xml:space="preserve"> nowa Krajowa Rada Sądownictwa zaczynała procedurę naboru do Sądu Najwyższego po tym, jak ustawą</w:t>
      </w:r>
      <w:r w:rsidR="00992FD0" w:rsidRPr="00EC250C">
        <w:t xml:space="preserve"> o </w:t>
      </w:r>
      <w:r w:rsidR="000D2537" w:rsidRPr="00EC250C">
        <w:t>SN Parlament zdecydował</w:t>
      </w:r>
      <w:r w:rsidR="00992FD0" w:rsidRPr="00EC250C">
        <w:t xml:space="preserve"> o </w:t>
      </w:r>
      <w:r w:rsidR="000D2537" w:rsidRPr="00EC250C">
        <w:t>odesłaniu części sędziów</w:t>
      </w:r>
      <w:r w:rsidR="00992FD0" w:rsidRPr="00EC250C">
        <w:t xml:space="preserve"> w </w:t>
      </w:r>
      <w:r w:rsidR="000D2537" w:rsidRPr="00EC250C">
        <w:t>stan spoczynku.</w:t>
      </w:r>
    </w:p>
    <w:p w14:paraId="4C4C73F4" w14:textId="77777777" w:rsidR="000D2537" w:rsidRPr="00EC250C" w:rsidRDefault="000D2537" w:rsidP="00D131FA">
      <w:pPr>
        <w:pStyle w:val="Styl1"/>
      </w:pPr>
      <w:r w:rsidRPr="00EC250C">
        <w:t>Zgodnie</w:t>
      </w:r>
      <w:r w:rsidR="00992FD0" w:rsidRPr="00EC250C">
        <w:t xml:space="preserve"> z </w:t>
      </w:r>
      <w:r w:rsidRPr="00EC250C">
        <w:t>tymi przepisami uczelnia nie będzie mogła rozwiązać umowy</w:t>
      </w:r>
      <w:r w:rsidR="00992FD0" w:rsidRPr="00EC250C">
        <w:t xml:space="preserve"> o </w:t>
      </w:r>
      <w:r w:rsidRPr="00EC250C">
        <w:t>pracę</w:t>
      </w:r>
      <w:r w:rsidR="00992FD0" w:rsidRPr="00EC250C">
        <w:t xml:space="preserve"> z </w:t>
      </w:r>
      <w:r w:rsidRPr="00EC250C">
        <w:t>nauczycielem akademickim, który jest sędzią Trybunału Konstytucyjnego, Sądu Najwyższego lub Naczelnego Sądu Administracyjnego. Jeśli mają oni umowy na czas określony, to ustawa zmienia je</w:t>
      </w:r>
      <w:r w:rsidR="00992FD0" w:rsidRPr="00EC250C">
        <w:t xml:space="preserve"> w </w:t>
      </w:r>
      <w:r w:rsidRPr="00EC250C">
        <w:t>umowę na czas nieokreślony.</w:t>
      </w:r>
    </w:p>
    <w:p w14:paraId="2C094470" w14:textId="77777777" w:rsidR="000D2537" w:rsidRPr="00EC250C" w:rsidRDefault="000D2537" w:rsidP="00D131FA">
      <w:pPr>
        <w:pStyle w:val="Styl1"/>
      </w:pPr>
      <w:r w:rsidRPr="00EC250C">
        <w:t>Inaczej jest</w:t>
      </w:r>
      <w:r w:rsidR="00992FD0" w:rsidRPr="00EC250C">
        <w:t xml:space="preserve"> w </w:t>
      </w:r>
      <w:r w:rsidRPr="00EC250C">
        <w:t>sytuacji naukowca-sędziego, który był sędzią</w:t>
      </w:r>
      <w:r w:rsidR="00992FD0" w:rsidRPr="00EC250C">
        <w:t xml:space="preserve"> i </w:t>
      </w:r>
      <w:r w:rsidRPr="00EC250C">
        <w:t>utracił urząd lub uprawnienie do stanu spoczynku. Uczelnia będzie musiała go zwolnić, nawet jeśli był bardzo dobrym naukowcem. Jedynym wyjątkiem będzie tu sytuacja, gdy uczony-sędzia sam się zrzeknie urzędu albo uprawnienia do stanu spoczynku.</w:t>
      </w:r>
    </w:p>
    <w:p w14:paraId="7A934CA2" w14:textId="77777777" w:rsidR="000D2537" w:rsidRPr="00EC250C" w:rsidRDefault="000D2537" w:rsidP="00D131FA">
      <w:pPr>
        <w:pStyle w:val="Styl1"/>
      </w:pPr>
      <w:r w:rsidRPr="00EC250C">
        <w:rPr>
          <w:rStyle w:val="Pogrubienie"/>
          <w:rFonts w:eastAsiaTheme="majorEastAsia"/>
          <w:b w:val="0"/>
          <w:bCs w:val="0"/>
        </w:rPr>
        <w:t>W praktyce dodany przepis ograniczy uczelniom mo</w:t>
      </w:r>
      <w:r w:rsidRPr="00EC250C">
        <w:rPr>
          <w:rStyle w:val="Pogrubienie"/>
          <w:rFonts w:eastAsiaTheme="majorEastAsia" w:hint="eastAsia"/>
          <w:b w:val="0"/>
          <w:bCs w:val="0"/>
        </w:rPr>
        <w:t>ż</w:t>
      </w:r>
      <w:r w:rsidRPr="00EC250C">
        <w:rPr>
          <w:rStyle w:val="Pogrubienie"/>
          <w:rFonts w:eastAsiaTheme="majorEastAsia"/>
          <w:b w:val="0"/>
          <w:bCs w:val="0"/>
        </w:rPr>
        <w:t>liwo</w:t>
      </w:r>
      <w:r w:rsidRPr="00EC250C">
        <w:rPr>
          <w:rStyle w:val="Pogrubienie"/>
          <w:rFonts w:eastAsiaTheme="majorEastAsia" w:hint="eastAsia"/>
          <w:b w:val="0"/>
          <w:bCs w:val="0"/>
        </w:rPr>
        <w:t>ś</w:t>
      </w:r>
      <w:r w:rsidRPr="00EC250C">
        <w:rPr>
          <w:rStyle w:val="Pogrubienie"/>
          <w:rFonts w:eastAsiaTheme="majorEastAsia"/>
          <w:b w:val="0"/>
          <w:bCs w:val="0"/>
        </w:rPr>
        <w:t>ci prowadzenia polityki kadrowej</w:t>
      </w:r>
      <w:r w:rsidRPr="00EC250C">
        <w:t>. Nie tylko nie będą mogły zmienić umowy</w:t>
      </w:r>
      <w:r w:rsidR="00992FD0" w:rsidRPr="00EC250C">
        <w:t xml:space="preserve"> o </w:t>
      </w:r>
      <w:r w:rsidRPr="00EC250C">
        <w:t>pracę sędziemu-pracownikowi naukowemu, który otrzymał negatywną ocenę pracowniczą. Literalna interpretacja nie pozwoli także na zaproponowanie lepszej umowy takiemu uczonemu (ustawa mówi</w:t>
      </w:r>
      <w:r w:rsidR="00992FD0" w:rsidRPr="00EC250C">
        <w:t xml:space="preserve"> o </w:t>
      </w:r>
      <w:r w:rsidRPr="00EC250C">
        <w:t>zakazie zmiany stosunków pracy).</w:t>
      </w:r>
    </w:p>
    <w:p w14:paraId="7FEFDBC8" w14:textId="77777777" w:rsidR="000D2537" w:rsidRPr="00EC250C" w:rsidRDefault="000D2537" w:rsidP="00D131FA">
      <w:pPr>
        <w:pStyle w:val="Styl1"/>
      </w:pPr>
      <w:r w:rsidRPr="00EC250C">
        <w:lastRenderedPageBreak/>
        <w:t>Takie ograniczenie prowadzi też do nierównego traktowania nauczycieli akademickich</w:t>
      </w:r>
      <w:r w:rsidR="00992FD0" w:rsidRPr="00EC250C">
        <w:t xml:space="preserve"> w </w:t>
      </w:r>
      <w:r w:rsidRPr="00EC250C">
        <w:t>zakresie zatrudnienia. Każdy nauczyciel akademicki (z wyjątkiem rektora) podlega bowiem ocenie okresowej,</w:t>
      </w:r>
      <w:r w:rsidR="00992FD0" w:rsidRPr="00EC250C">
        <w:t xml:space="preserve"> w </w:t>
      </w:r>
      <w:r w:rsidRPr="00EC250C">
        <w:t>szczególności</w:t>
      </w:r>
      <w:r w:rsidR="00992FD0" w:rsidRPr="00EC250C">
        <w:t xml:space="preserve"> w </w:t>
      </w:r>
      <w:r w:rsidRPr="00EC250C">
        <w:t>zakresie wykonywania podstawowych obowiązków pracowniczych. Już jedna ocena negatywna jest podstawą do zwolnienia. Przy dwóch rektor po prostu musi rozwiązać umowę</w:t>
      </w:r>
      <w:r w:rsidR="00992FD0" w:rsidRPr="00EC250C">
        <w:t xml:space="preserve"> z </w:t>
      </w:r>
      <w:r w:rsidRPr="00EC250C">
        <w:t>taką osobą. Chodzi</w:t>
      </w:r>
      <w:r w:rsidR="00992FD0" w:rsidRPr="00EC250C">
        <w:t xml:space="preserve"> o </w:t>
      </w:r>
      <w:r w:rsidRPr="00EC250C">
        <w:t>to, by wykluczać</w:t>
      </w:r>
      <w:r w:rsidR="00992FD0" w:rsidRPr="00EC250C">
        <w:t xml:space="preserve"> z </w:t>
      </w:r>
      <w:r w:rsidRPr="00EC250C">
        <w:t>grona nauczycieli akademickich osoby, których działalność nie sprzyja rozwojowi nauki.</w:t>
      </w:r>
    </w:p>
    <w:p w14:paraId="2FCF8E74" w14:textId="77777777" w:rsidR="000D2537" w:rsidRPr="00EC250C" w:rsidRDefault="000D2537" w:rsidP="00D131FA">
      <w:pPr>
        <w:pStyle w:val="Styl1"/>
      </w:pPr>
      <w:r w:rsidRPr="00EC250C">
        <w:t>Skoro teraz dwie negatywne oceny nie pozwolą rozstać się</w:t>
      </w:r>
      <w:r w:rsidR="00992FD0" w:rsidRPr="00EC250C">
        <w:t xml:space="preserve"> z </w:t>
      </w:r>
      <w:r w:rsidRPr="00EC250C">
        <w:t>uczonym-sędzią, to pozostałe osoby</w:t>
      </w:r>
      <w:r w:rsidR="00992FD0" w:rsidRPr="00EC250C">
        <w:t xml:space="preserve"> w </w:t>
      </w:r>
      <w:r w:rsidRPr="00EC250C">
        <w:t>podobnej sytuacji będą traktowane nierówno,</w:t>
      </w:r>
      <w:r w:rsidR="00992FD0" w:rsidRPr="00EC250C">
        <w:t xml:space="preserve"> i </w:t>
      </w:r>
      <w:r w:rsidRPr="00EC250C">
        <w:t>to</w:t>
      </w:r>
      <w:r w:rsidR="00992FD0" w:rsidRPr="00EC250C">
        <w:t xml:space="preserve"> w </w:t>
      </w:r>
      <w:r w:rsidRPr="00EC250C">
        <w:t>sposób mający wszelkie cechy dyskryminacji – zauważa RPO.</w:t>
      </w:r>
    </w:p>
    <w:p w14:paraId="4898C94A" w14:textId="77777777" w:rsidR="000D2537" w:rsidRPr="00EC250C" w:rsidRDefault="000D2537" w:rsidP="00D131FA">
      <w:pPr>
        <w:pStyle w:val="Styl1"/>
      </w:pPr>
      <w:r w:rsidRPr="00EC250C">
        <w:t xml:space="preserve">RPO zwraca </w:t>
      </w:r>
      <w:r w:rsidR="001B1DFA" w:rsidRPr="00EC250C">
        <w:t xml:space="preserve">także </w:t>
      </w:r>
      <w:r w:rsidRPr="00EC250C">
        <w:t>uwagę, że przepis dotyczy też sędziów TK, SN,</w:t>
      </w:r>
      <w:r w:rsidR="00992FD0" w:rsidRPr="00EC250C">
        <w:t xml:space="preserve"> i </w:t>
      </w:r>
      <w:r w:rsidRPr="00EC250C">
        <w:t>NSA, którzy jeszcze nie podjęli pracy na uczelni. Będą na tym stratni, bo mało kto zaryzykuje zatrudnienie uczonego na umowę dożywotnią.</w:t>
      </w:r>
    </w:p>
    <w:p w14:paraId="286EEADC" w14:textId="77777777" w:rsidR="000D2537" w:rsidRPr="00EC250C" w:rsidRDefault="000D2537" w:rsidP="00D131FA">
      <w:pPr>
        <w:pStyle w:val="Styl1"/>
      </w:pPr>
      <w:r w:rsidRPr="00EC250C">
        <w:t>RPO zauważa też, że ustawy regulujące status sędziego Sądu Najwyższego, Naczelnego Sądu Administracyjnego</w:t>
      </w:r>
      <w:r w:rsidR="00992FD0" w:rsidRPr="00EC250C">
        <w:t xml:space="preserve"> i </w:t>
      </w:r>
      <w:r w:rsidRPr="00EC250C">
        <w:t>Trybunału Konstytucyjnego zawierają zamknięty katalog kar dyscyplinarnych. Nie ma tam mowy</w:t>
      </w:r>
      <w:r w:rsidR="00992FD0" w:rsidRPr="00EC250C">
        <w:t xml:space="preserve"> o </w:t>
      </w:r>
      <w:r w:rsidRPr="00EC250C">
        <w:t>sankcji</w:t>
      </w:r>
      <w:r w:rsidR="00992FD0" w:rsidRPr="00EC250C">
        <w:t xml:space="preserve"> w </w:t>
      </w:r>
      <w:r w:rsidRPr="00EC250C">
        <w:t>postaci wygaśnięcia umowy</w:t>
      </w:r>
      <w:r w:rsidR="00992FD0" w:rsidRPr="00EC250C">
        <w:t xml:space="preserve"> o </w:t>
      </w:r>
      <w:r w:rsidRPr="00EC250C">
        <w:t>pracę nauczyciela akademickiego.</w:t>
      </w:r>
    </w:p>
    <w:p w14:paraId="4234BEA2" w14:textId="77777777" w:rsidR="00A0729C" w:rsidRPr="00EC250C" w:rsidRDefault="00A0729C" w:rsidP="00D131FA">
      <w:pPr>
        <w:pStyle w:val="Styl1"/>
      </w:pPr>
      <w:r w:rsidRPr="00EC250C">
        <w:t>W 2019</w:t>
      </w:r>
      <w:r w:rsidR="00C91F6E" w:rsidRPr="00EC250C">
        <w:t> r.</w:t>
      </w:r>
      <w:r w:rsidRPr="00EC250C">
        <w:t xml:space="preserve"> Prezydent RP zaskarżył przepisy</w:t>
      </w:r>
      <w:r w:rsidR="00992FD0" w:rsidRPr="00EC250C">
        <w:t xml:space="preserve"> o </w:t>
      </w:r>
      <w:r w:rsidRPr="00EC250C">
        <w:t>dożywotnim zatrudnieniu sędziów na uczelniach do Trybunału Konstytucyjnego</w:t>
      </w:r>
      <w:r w:rsidR="00A5669A" w:rsidRPr="00EC250C">
        <w:rPr>
          <w:rStyle w:val="Odwoanieprzypisudolnego"/>
        </w:rPr>
        <w:footnoteReference w:id="591"/>
      </w:r>
      <w:r w:rsidRPr="00EC250C">
        <w:t>,</w:t>
      </w:r>
      <w:r w:rsidR="00992FD0" w:rsidRPr="00EC250C">
        <w:t xml:space="preserve"> a </w:t>
      </w:r>
      <w:r w:rsidRPr="00EC250C">
        <w:t>Rzecznik Praw Obywatelskich przystąpił do tego postępowania.</w:t>
      </w:r>
    </w:p>
    <w:p w14:paraId="7C8215FA" w14:textId="77777777" w:rsidR="000D2537" w:rsidRPr="00EC250C" w:rsidRDefault="000D2537" w:rsidP="00D131FA">
      <w:pPr>
        <w:pStyle w:val="ODESANIE"/>
        <w:jc w:val="both"/>
      </w:pPr>
      <w:r w:rsidRPr="00EC250C">
        <w:t>O zmianach</w:t>
      </w:r>
      <w:r w:rsidR="00992FD0" w:rsidRPr="00EC250C">
        <w:t xml:space="preserve"> w </w:t>
      </w:r>
      <w:r w:rsidRPr="00EC250C">
        <w:t>sądownictwie, którego skutkiem jest ta ustawa – art. 45 Konstytucji (prawo do sądu)</w:t>
      </w:r>
    </w:p>
    <w:p w14:paraId="259222D0" w14:textId="77777777" w:rsidR="000D2537" w:rsidRPr="00EC250C" w:rsidRDefault="000D2537" w:rsidP="00EC79EB">
      <w:pPr>
        <w:pStyle w:val="Nagwek4"/>
        <w:rPr>
          <w:spacing w:val="0"/>
        </w:rPr>
      </w:pPr>
      <w:bookmarkStart w:id="602" w:name="_Toc6257905"/>
      <w:bookmarkStart w:id="603" w:name="_Toc11247782"/>
      <w:r w:rsidRPr="00EC250C">
        <w:t>Stopień trudności matury</w:t>
      </w:r>
      <w:r w:rsidR="00992FD0" w:rsidRPr="00EC250C">
        <w:t xml:space="preserve"> a </w:t>
      </w:r>
      <w:r w:rsidRPr="00EC250C">
        <w:t>rekrutacja na studia</w:t>
      </w:r>
      <w:bookmarkEnd w:id="602"/>
      <w:bookmarkEnd w:id="603"/>
    </w:p>
    <w:p w14:paraId="724E5D4D" w14:textId="77777777" w:rsidR="00B473F5" w:rsidRPr="00EC250C" w:rsidRDefault="000D2537" w:rsidP="00D131FA">
      <w:pPr>
        <w:pStyle w:val="Problemczowieka"/>
        <w:jc w:val="both"/>
        <w:rPr>
          <w:bdr w:val="none" w:sz="0" w:space="0" w:color="auto" w:frame="1"/>
        </w:rPr>
      </w:pPr>
      <w:r w:rsidRPr="00EC250C">
        <w:rPr>
          <w:bdr w:val="none" w:sz="0" w:space="0" w:color="auto" w:frame="1"/>
        </w:rPr>
        <w:t>Podczas rekrutacji do wyższych uczelni, m.in. medycznych, nie bierze się pod uwagę stopnia trudności matury, który bywa różny</w:t>
      </w:r>
      <w:r w:rsidR="00992FD0" w:rsidRPr="00EC250C">
        <w:rPr>
          <w:bdr w:val="none" w:sz="0" w:space="0" w:color="auto" w:frame="1"/>
        </w:rPr>
        <w:t xml:space="preserve"> w </w:t>
      </w:r>
      <w:r w:rsidRPr="00EC250C">
        <w:rPr>
          <w:bdr w:val="none" w:sz="0" w:space="0" w:color="auto" w:frame="1"/>
        </w:rPr>
        <w:t>kolejnych latach. W efekcie na studia dostają się osoby, które maturę zdawały</w:t>
      </w:r>
      <w:r w:rsidR="00992FD0" w:rsidRPr="00EC250C">
        <w:rPr>
          <w:bdr w:val="none" w:sz="0" w:space="0" w:color="auto" w:frame="1"/>
        </w:rPr>
        <w:t xml:space="preserve"> w </w:t>
      </w:r>
      <w:r w:rsidRPr="00EC250C">
        <w:rPr>
          <w:bdr w:val="none" w:sz="0" w:space="0" w:color="auto" w:frame="1"/>
        </w:rPr>
        <w:t>latach, gdy stopień jej trudności był niższy</w:t>
      </w:r>
      <w:r w:rsidR="00B473F5" w:rsidRPr="00EC250C">
        <w:rPr>
          <w:bdr w:val="none" w:sz="0" w:space="0" w:color="auto" w:frame="1"/>
        </w:rPr>
        <w:t>.</w:t>
      </w:r>
    </w:p>
    <w:p w14:paraId="435E47B6" w14:textId="77777777" w:rsidR="000D2537" w:rsidRPr="00EC250C" w:rsidRDefault="000D2537" w:rsidP="00D131FA">
      <w:pPr>
        <w:pStyle w:val="Styl1"/>
      </w:pPr>
      <w:r w:rsidRPr="00EC250C">
        <w:t>Rzecznik Praw Obywatelskich nie zgadza się</w:t>
      </w:r>
      <w:r w:rsidR="00992FD0" w:rsidRPr="00EC250C">
        <w:t xml:space="preserve"> z </w:t>
      </w:r>
      <w:r w:rsidRPr="00EC250C">
        <w:t>Ministrem Zdrowia, który nie widzi konieczności zmian</w:t>
      </w:r>
      <w:r w:rsidR="00992FD0" w:rsidRPr="00EC250C">
        <w:t xml:space="preserve"> w </w:t>
      </w:r>
      <w:r w:rsidRPr="00EC250C">
        <w:t>tej sprawie. Dlatego ponawiając wystąpienie poprosi</w:t>
      </w:r>
      <w:r w:rsidRPr="00EC250C">
        <w:rPr>
          <w:rFonts w:hint="eastAsia"/>
        </w:rPr>
        <w:t>ł</w:t>
      </w:r>
      <w:r w:rsidR="00992FD0" w:rsidRPr="00EC250C">
        <w:t xml:space="preserve"> o </w:t>
      </w:r>
      <w:r w:rsidRPr="00EC250C">
        <w:t>stanowisko Konferencj</w:t>
      </w:r>
      <w:r w:rsidRPr="00EC250C">
        <w:rPr>
          <w:rFonts w:hint="eastAsia"/>
        </w:rPr>
        <w:t>ę</w:t>
      </w:r>
      <w:r w:rsidRPr="00EC250C">
        <w:t xml:space="preserve"> Rektor</w:t>
      </w:r>
      <w:r w:rsidRPr="00EC250C">
        <w:rPr>
          <w:rFonts w:hint="eastAsia"/>
        </w:rPr>
        <w:t>ó</w:t>
      </w:r>
      <w:r w:rsidRPr="00EC250C">
        <w:t>w Akademickich Szk</w:t>
      </w:r>
      <w:r w:rsidRPr="00EC250C">
        <w:rPr>
          <w:rFonts w:hint="eastAsia"/>
        </w:rPr>
        <w:t>ół</w:t>
      </w:r>
      <w:r w:rsidRPr="00EC250C">
        <w:t xml:space="preserve"> Polskich</w:t>
      </w:r>
      <w:r w:rsidR="00C25BF1" w:rsidRPr="00EC250C">
        <w:rPr>
          <w:rStyle w:val="Odwoanieprzypisudolnego"/>
        </w:rPr>
        <w:footnoteReference w:id="592"/>
      </w:r>
      <w:r w:rsidRPr="00EC250C">
        <w:t>.</w:t>
      </w:r>
    </w:p>
    <w:p w14:paraId="12F1EAF6" w14:textId="77777777" w:rsidR="000D2537" w:rsidRPr="00EC250C" w:rsidRDefault="000D2537" w:rsidP="00D131FA">
      <w:pPr>
        <w:pStyle w:val="Styl1"/>
      </w:pPr>
      <w:r w:rsidRPr="00EC250C">
        <w:t>W 2017</w:t>
      </w:r>
      <w:r w:rsidR="00C91F6E" w:rsidRPr="00EC250C">
        <w:t> r.</w:t>
      </w:r>
      <w:r w:rsidRPr="00EC250C">
        <w:t xml:space="preserve"> RPO wystąpił</w:t>
      </w:r>
      <w:r w:rsidR="00992FD0" w:rsidRPr="00EC250C">
        <w:t xml:space="preserve"> w </w:t>
      </w:r>
      <w:r w:rsidRPr="00EC250C">
        <w:t>tej sprawie do Ministra Zdrowia</w:t>
      </w:r>
      <w:r w:rsidR="002316BD" w:rsidRPr="00EC250C">
        <w:rPr>
          <w:rStyle w:val="Odwoanieprzypisudolnego"/>
        </w:rPr>
        <w:footnoteReference w:id="593"/>
      </w:r>
      <w:r w:rsidRPr="00EC250C">
        <w:t>. Wskazywał, że obowiązek podawania wyników matur, również</w:t>
      </w:r>
      <w:r w:rsidR="00992FD0" w:rsidRPr="00EC250C">
        <w:t xml:space="preserve"> w </w:t>
      </w:r>
      <w:r w:rsidRPr="00EC250C">
        <w:t>skali centylowej</w:t>
      </w:r>
      <w:r w:rsidR="00992FD0" w:rsidRPr="00EC250C">
        <w:t xml:space="preserve"> w </w:t>
      </w:r>
      <w:r w:rsidRPr="00EC250C">
        <w:t>przypadku części pisemnej egzaminu, wynika</w:t>
      </w:r>
      <w:r w:rsidR="00992FD0" w:rsidRPr="00EC250C">
        <w:t xml:space="preserve"> z </w:t>
      </w:r>
      <w:r w:rsidRPr="00EC250C">
        <w:t>ustawy</w:t>
      </w:r>
      <w:r w:rsidR="00992FD0" w:rsidRPr="00EC250C">
        <w:t xml:space="preserve"> o </w:t>
      </w:r>
      <w:r w:rsidRPr="00EC250C">
        <w:t xml:space="preserve">systemie oświaty. </w:t>
      </w:r>
      <w:r w:rsidR="00C25BF1" w:rsidRPr="00EC250C">
        <w:t xml:space="preserve">A </w:t>
      </w:r>
      <w:r w:rsidRPr="00EC250C">
        <w:t>Prawo</w:t>
      </w:r>
      <w:r w:rsidR="00992FD0" w:rsidRPr="00EC250C">
        <w:t xml:space="preserve"> o </w:t>
      </w:r>
      <w:r w:rsidRPr="00EC250C">
        <w:t xml:space="preserve">szkolnictwie wyższym nie zawęża </w:t>
      </w:r>
      <w:r w:rsidR="00C25BF1" w:rsidRPr="00EC250C">
        <w:t xml:space="preserve">podstawy kwalifikacji na uczelnie </w:t>
      </w:r>
      <w:r w:rsidRPr="00EC250C">
        <w:t>do wyników matury podanych</w:t>
      </w:r>
      <w:r w:rsidR="00992FD0" w:rsidRPr="00EC250C">
        <w:t xml:space="preserve"> w </w:t>
      </w:r>
      <w:r w:rsidRPr="00EC250C">
        <w:t>skali procentowej.</w:t>
      </w:r>
    </w:p>
    <w:p w14:paraId="65CF8AAC" w14:textId="77777777" w:rsidR="00C91F6E" w:rsidRPr="00EC250C" w:rsidRDefault="000D2537" w:rsidP="00D131FA">
      <w:pPr>
        <w:pStyle w:val="Styl1"/>
      </w:pPr>
      <w:r w:rsidRPr="00EC250C">
        <w:t>Dlatego</w:t>
      </w:r>
      <w:r w:rsidR="00992FD0" w:rsidRPr="00EC250C">
        <w:t xml:space="preserve"> w </w:t>
      </w:r>
      <w:r w:rsidRPr="00EC250C">
        <w:t xml:space="preserve">ocenie </w:t>
      </w:r>
      <w:r w:rsidR="00D76DC6" w:rsidRPr="00EC250C">
        <w:t>RPO</w:t>
      </w:r>
      <w:r w:rsidRPr="00EC250C">
        <w:t xml:space="preserve"> uczelnie (także medyczne) powinny uwzględniać oba rezultaty.</w:t>
      </w:r>
    </w:p>
    <w:p w14:paraId="6607E83C" w14:textId="77777777" w:rsidR="000D2537" w:rsidRPr="00EC250C" w:rsidRDefault="000D2537" w:rsidP="00D131FA">
      <w:pPr>
        <w:pStyle w:val="Styl1"/>
      </w:pPr>
      <w:r w:rsidRPr="00EC250C">
        <w:lastRenderedPageBreak/>
        <w:t xml:space="preserve">Z </w:t>
      </w:r>
      <w:r w:rsidR="00C25BF1" w:rsidRPr="00EC250C">
        <w:t xml:space="preserve">pierwszej </w:t>
      </w:r>
      <w:r w:rsidRPr="00EC250C">
        <w:t>odpowiedzi Ministerstwa Zdrowia wynika</w:t>
      </w:r>
      <w:r w:rsidR="00C25BF1" w:rsidRPr="00EC250C">
        <w:t>ło</w:t>
      </w:r>
      <w:r w:rsidRPr="00EC250C">
        <w:t>, że skal</w:t>
      </w:r>
      <w:r w:rsidR="00C25BF1" w:rsidRPr="00EC250C">
        <w:t>a</w:t>
      </w:r>
      <w:r w:rsidRPr="00EC250C">
        <w:t xml:space="preserve"> centylow</w:t>
      </w:r>
      <w:r w:rsidR="00C25BF1" w:rsidRPr="00EC250C">
        <w:t xml:space="preserve">a </w:t>
      </w:r>
      <w:r w:rsidRPr="00EC250C">
        <w:t>ma „jedynie charakter pomocniczy, mający na celu określenie pozycji danego abiturienta na tle całej swojej populacji”.</w:t>
      </w:r>
      <w:r w:rsidR="00C25BF1" w:rsidRPr="00EC250C">
        <w:t xml:space="preserve"> Poza tym</w:t>
      </w:r>
      <w:r w:rsidR="00992FD0" w:rsidRPr="00EC250C">
        <w:t xml:space="preserve"> w </w:t>
      </w:r>
      <w:r w:rsidRPr="00EC250C">
        <w:t>rekrutacji na polskie uczelnie mogą wziąć udział także kandydaci posiadający tzw. maturę międzynarodową lub europejską</w:t>
      </w:r>
      <w:r w:rsidR="00026572" w:rsidRPr="00EC250C">
        <w:t xml:space="preserve"> – </w:t>
      </w:r>
      <w:r w:rsidRPr="00EC250C">
        <w:t>których wynik podawany jest jedynie</w:t>
      </w:r>
      <w:r w:rsidR="00992FD0" w:rsidRPr="00EC250C">
        <w:t xml:space="preserve"> w </w:t>
      </w:r>
      <w:r w:rsidRPr="00EC250C">
        <w:t>skali procentowej. Ponadto wynik</w:t>
      </w:r>
      <w:r w:rsidR="00992FD0" w:rsidRPr="00EC250C">
        <w:t xml:space="preserve"> w </w:t>
      </w:r>
      <w:r w:rsidRPr="00EC250C">
        <w:t>centylach może być wysoki nie tylko</w:t>
      </w:r>
      <w:r w:rsidR="00992FD0" w:rsidRPr="00EC250C">
        <w:t xml:space="preserve"> w </w:t>
      </w:r>
      <w:r w:rsidRPr="00EC250C">
        <w:t>efekcie bardzo dobrze zdanej matury, ale również</w:t>
      </w:r>
      <w:r w:rsidR="00992FD0" w:rsidRPr="00EC250C">
        <w:t xml:space="preserve"> w </w:t>
      </w:r>
      <w:r w:rsidRPr="00EC250C">
        <w:t>przypadku ogólnie bardzo słabego rocznika zdających.</w:t>
      </w:r>
    </w:p>
    <w:p w14:paraId="58653A62" w14:textId="77777777" w:rsidR="00A5669A" w:rsidRPr="00EC250C" w:rsidRDefault="00A5669A" w:rsidP="00D131FA">
      <w:pPr>
        <w:pStyle w:val="Styl1"/>
      </w:pPr>
      <w:r w:rsidRPr="00EC250C">
        <w:t xml:space="preserve">Rzecznik Praw Obywatelskich nie podzielił tego stanowiska. </w:t>
      </w:r>
    </w:p>
    <w:p w14:paraId="3E7DB3B8" w14:textId="77777777" w:rsidR="00C91F6E" w:rsidRPr="00EC250C" w:rsidRDefault="000D2537" w:rsidP="00D131FA">
      <w:pPr>
        <w:pStyle w:val="Styl1"/>
      </w:pPr>
      <w:r w:rsidRPr="00EC250C">
        <w:t xml:space="preserve">Choć uczelnie </w:t>
      </w:r>
      <w:r w:rsidR="00C52CD7" w:rsidRPr="00EC250C">
        <w:t>maja</w:t>
      </w:r>
      <w:r w:rsidRPr="00EC250C">
        <w:t xml:space="preserve"> dużą autonomię, także</w:t>
      </w:r>
      <w:r w:rsidR="00992FD0" w:rsidRPr="00EC250C">
        <w:t xml:space="preserve"> w </w:t>
      </w:r>
      <w:r w:rsidRPr="00EC250C">
        <w:t>zakresie określania warunków rekrutacji, to jednak nie może ona prowadzić do tworzenia zasad naruszających powszechnie obowiązujące prawo – wskazał. Istniejące regulacje realizują postulat zagwarantowania wszystkim kandydatom na uczelnie podobnych warunków rekrutacji. Jednak</w:t>
      </w:r>
      <w:r w:rsidR="00992FD0" w:rsidRPr="00EC250C">
        <w:t xml:space="preserve"> w </w:t>
      </w:r>
      <w:r w:rsidRPr="00EC250C">
        <w:t>praktyce te rozwiązania nie są stosowane.</w:t>
      </w:r>
    </w:p>
    <w:p w14:paraId="776465D1" w14:textId="77777777" w:rsidR="00C52CD7" w:rsidRPr="00EC250C" w:rsidRDefault="00C52CD7" w:rsidP="00EC250C">
      <w:pPr>
        <w:pStyle w:val="Nagwek8"/>
      </w:pPr>
      <w:bookmarkStart w:id="604" w:name="_Hlk10541225"/>
      <w:r w:rsidRPr="00EC250C">
        <w:t>Problemy zgłaszane w związku z działaniem Centralnej Komisji Centralnej Komisji ds. Stopni i Tytułów</w:t>
      </w:r>
    </w:p>
    <w:p w14:paraId="61A30A2B" w14:textId="77777777" w:rsidR="00C52CD7" w:rsidRPr="00EC250C" w:rsidRDefault="00C52CD7" w:rsidP="00D131FA">
      <w:pPr>
        <w:pStyle w:val="Styl2"/>
        <w:rPr>
          <w:szCs w:val="24"/>
        </w:rPr>
      </w:pPr>
      <w:r w:rsidRPr="00EC250C">
        <w:rPr>
          <w:szCs w:val="24"/>
        </w:rPr>
        <w:t>Rzecznik Praw Obywatelskich dostaje skargi na działanie Komisji – przede wszystkim dotyczące przewlekłości postępowań i jakości recenzji prac naukowych.</w:t>
      </w:r>
    </w:p>
    <w:p w14:paraId="46CA0E94" w14:textId="77777777" w:rsidR="006F6B1A" w:rsidRPr="00EC250C" w:rsidRDefault="006F6B1A" w:rsidP="00D131FA">
      <w:pPr>
        <w:pStyle w:val="Styl2"/>
        <w:rPr>
          <w:szCs w:val="24"/>
        </w:rPr>
      </w:pPr>
      <w:r w:rsidRPr="00EC250C">
        <w:rPr>
          <w:szCs w:val="24"/>
        </w:rPr>
        <w:t xml:space="preserve">Zadaniem Centralnej Komisji (od roku 2020 – </w:t>
      </w:r>
      <w:r w:rsidR="00986174" w:rsidRPr="00EC250C">
        <w:rPr>
          <w:szCs w:val="24"/>
        </w:rPr>
        <w:t xml:space="preserve">Rada </w:t>
      </w:r>
      <w:r w:rsidRPr="00EC250C">
        <w:rPr>
          <w:szCs w:val="24"/>
        </w:rPr>
        <w:t>Doskonałości Naukowej) jest w szczególności: zapewnienie harmonijnego rozwoju kadry naukowej zgodnie z najwyższymi standardami jakości badań wymaganych do uzyskania stopni naukowych (doktora i doktora habilitowanego) oraz  tytułu naukowego (profesora) oraz opiniowanie kandydatów na stanowisko profesora nadzwyczajnego (profesora uczelnianego), którzy nie posiadają stopnia naukowego doktora habilitowanego.</w:t>
      </w:r>
    </w:p>
    <w:p w14:paraId="509E2060" w14:textId="77777777" w:rsidR="00C52CD7" w:rsidRPr="00EC250C" w:rsidRDefault="00C52CD7" w:rsidP="00D131FA">
      <w:pPr>
        <w:pStyle w:val="Styl2"/>
        <w:rPr>
          <w:szCs w:val="24"/>
          <w:lang w:bidi="ar-SA"/>
        </w:rPr>
      </w:pPr>
      <w:r w:rsidRPr="00EC250C">
        <w:rPr>
          <w:szCs w:val="24"/>
        </w:rPr>
        <w:t>Wszystkie te sprawy RPO rozpatruje indywidualnie.</w:t>
      </w:r>
    </w:p>
    <w:bookmarkEnd w:id="604"/>
    <w:p w14:paraId="5D4CF032" w14:textId="77777777" w:rsidR="00C52CD7" w:rsidRPr="00EC250C" w:rsidRDefault="00C52CD7" w:rsidP="00D131FA">
      <w:pPr>
        <w:pStyle w:val="ODESANIE"/>
        <w:jc w:val="both"/>
      </w:pPr>
      <w:r w:rsidRPr="00EC250C">
        <w:t>Problem definicji „młodego naukowca” a także problem biernego prawa wyborczego w wyborach do władz uczelni – omówiony w kontekście art. 32 ust. 2 Konstytucji</w:t>
      </w:r>
    </w:p>
    <w:p w14:paraId="6BA78886" w14:textId="77777777" w:rsidR="00DA65FF" w:rsidRPr="00EC250C" w:rsidRDefault="00DA65FF" w:rsidP="00D131FA">
      <w:pPr>
        <w:spacing w:after="200" w:line="24" w:lineRule="auto"/>
        <w:jc w:val="both"/>
        <w:rPr>
          <w:bCs/>
          <w:color w:val="044892"/>
          <w:sz w:val="24"/>
        </w:rPr>
      </w:pPr>
      <w:r w:rsidRPr="00EC250C">
        <w:rPr>
          <w:sz w:val="24"/>
        </w:rPr>
        <w:br w:type="page"/>
      </w:r>
    </w:p>
    <w:p w14:paraId="152D7F22" w14:textId="77777777" w:rsidR="006D2031" w:rsidRPr="00EC250C" w:rsidRDefault="006D2031" w:rsidP="00EC250C">
      <w:pPr>
        <w:pStyle w:val="Nagwek3"/>
      </w:pPr>
      <w:bookmarkStart w:id="605" w:name="_Toc6257906"/>
      <w:bookmarkStart w:id="606" w:name="_Toc11247783"/>
      <w:r w:rsidRPr="00EC250C">
        <w:lastRenderedPageBreak/>
        <w:t xml:space="preserve">Art. 71 </w:t>
      </w:r>
      <w:r w:rsidR="003B4B9B" w:rsidRPr="00EC250C">
        <w:t xml:space="preserve">Konstytucji </w:t>
      </w:r>
      <w:r w:rsidR="003C7122" w:rsidRPr="00EC250C">
        <w:t xml:space="preserve">ust. 1 </w:t>
      </w:r>
      <w:r w:rsidRPr="00EC250C">
        <w:t>– Dobro rodziny. Wsparcie dla rodzin</w:t>
      </w:r>
      <w:bookmarkEnd w:id="605"/>
      <w:bookmarkEnd w:id="606"/>
    </w:p>
    <w:p w14:paraId="0D72F7F9" w14:textId="77777777" w:rsidR="006D2031" w:rsidRPr="00EC250C" w:rsidRDefault="006D2031" w:rsidP="00D131FA">
      <w:pPr>
        <w:pStyle w:val="konstytucja"/>
        <w:jc w:val="both"/>
      </w:pPr>
      <w:r w:rsidRPr="00EC250C">
        <w:t>Państwo</w:t>
      </w:r>
      <w:r w:rsidR="00992FD0" w:rsidRPr="00EC250C">
        <w:t xml:space="preserve"> w </w:t>
      </w:r>
      <w:r w:rsidRPr="00EC250C">
        <w:t>swojej polityce społecznej</w:t>
      </w:r>
      <w:r w:rsidR="00992FD0" w:rsidRPr="00EC250C">
        <w:t xml:space="preserve"> i </w:t>
      </w:r>
      <w:r w:rsidRPr="00EC250C">
        <w:t>gospodarczej uwzględnia dobro rodziny. Rodziny znajdujące się</w:t>
      </w:r>
      <w:r w:rsidR="00992FD0" w:rsidRPr="00EC250C">
        <w:t xml:space="preserve"> w </w:t>
      </w:r>
      <w:r w:rsidRPr="00EC250C">
        <w:t>trudnej sytuacji materialnej</w:t>
      </w:r>
      <w:r w:rsidR="00992FD0" w:rsidRPr="00EC250C">
        <w:t xml:space="preserve"> i </w:t>
      </w:r>
      <w:r w:rsidRPr="00EC250C">
        <w:t>społecznej, zwłaszcza wielodzietne</w:t>
      </w:r>
      <w:r w:rsidR="00992FD0" w:rsidRPr="00EC250C">
        <w:t xml:space="preserve"> i </w:t>
      </w:r>
      <w:r w:rsidRPr="00EC250C">
        <w:t>niepełne, mają prawo do szczególnej pomocy ze strony władz publicznych.</w:t>
      </w:r>
    </w:p>
    <w:p w14:paraId="0E9FBCEA" w14:textId="77777777" w:rsidR="00C91F6E" w:rsidRPr="00EC250C" w:rsidRDefault="009722DD" w:rsidP="00D131FA">
      <w:pPr>
        <w:pStyle w:val="ComwiKonstytucja"/>
      </w:pPr>
      <w:r w:rsidRPr="00EC250C">
        <w:t>Artykuł ten jest fragmentem szerszej regulacji konstytucyjnej, która formułuje zasadę pomocniczości oraz przyznania szczególnej ochrony</w:t>
      </w:r>
      <w:r w:rsidR="00992FD0" w:rsidRPr="00EC250C">
        <w:t xml:space="preserve"> i </w:t>
      </w:r>
      <w:r w:rsidRPr="00EC250C">
        <w:t>opieki małżeństwu, rodzinie, macierzyństwu</w:t>
      </w:r>
      <w:r w:rsidR="00992FD0" w:rsidRPr="00EC250C">
        <w:t xml:space="preserve"> i </w:t>
      </w:r>
      <w:r w:rsidRPr="00EC250C">
        <w:t>rodzicielstwu (art. 18).</w:t>
      </w:r>
    </w:p>
    <w:p w14:paraId="211F0BFD" w14:textId="77777777" w:rsidR="00C91F6E" w:rsidRPr="00EC250C" w:rsidRDefault="009722DD" w:rsidP="00D131FA">
      <w:pPr>
        <w:pStyle w:val="ComwiKonstytucja"/>
      </w:pPr>
      <w:r w:rsidRPr="00EC250C">
        <w:t>Ustęp 1 obejmuje zagadnienie ochrony rodziny. Konstytucyjne pojęcie rodziny odnosi się do każdego trwałego związku dwóch lub więcej osób, zazwyczaj opartego na małżeństwie</w:t>
      </w:r>
      <w:r w:rsidR="00992FD0" w:rsidRPr="00EC250C">
        <w:t xml:space="preserve"> i </w:t>
      </w:r>
      <w:r w:rsidRPr="00EC250C">
        <w:t>więzach pokrewieństwa lub powinowactwa. W zdaniu 2 wprowadza pojęcie rodziny niepełnej, które dotyczy</w:t>
      </w:r>
      <w:r w:rsidR="00992FD0" w:rsidRPr="00EC250C">
        <w:t xml:space="preserve"> w </w:t>
      </w:r>
      <w:r w:rsidRPr="00EC250C">
        <w:t>szczególności rodzica samodzielnie wychowującego dzieci. Nie ma na gruncie tego artykułu przeszkód dla rozumienia przez pojęcie rodziny związków osób tej samej płci.</w:t>
      </w:r>
    </w:p>
    <w:p w14:paraId="3F1BBE7B" w14:textId="77777777" w:rsidR="009722DD" w:rsidRPr="00EC250C" w:rsidRDefault="009722DD" w:rsidP="00D131FA">
      <w:pPr>
        <w:pStyle w:val="ComwiKonstytucja"/>
      </w:pPr>
      <w:r w:rsidRPr="00EC250C">
        <w:t>Nakaz uwzględnienia</w:t>
      </w:r>
      <w:r w:rsidR="00992FD0" w:rsidRPr="00EC250C">
        <w:t xml:space="preserve"> w </w:t>
      </w:r>
      <w:r w:rsidRPr="00EC250C">
        <w:t>polityce społecznej</w:t>
      </w:r>
      <w:r w:rsidR="00992FD0" w:rsidRPr="00EC250C">
        <w:t xml:space="preserve"> i </w:t>
      </w:r>
      <w:r w:rsidRPr="00EC250C">
        <w:t>gospodarczej dobra rodziny to typowe zadanie państwa. Zdanie 2 ustępu 1 formułuje również prawo podmiotowe, które przysługuje rodzinom znajdującym się</w:t>
      </w:r>
      <w:r w:rsidR="00992FD0" w:rsidRPr="00EC250C">
        <w:t xml:space="preserve"> w </w:t>
      </w:r>
      <w:r w:rsidRPr="00EC250C">
        <w:t>trudnej sytuacji materialnej</w:t>
      </w:r>
      <w:r w:rsidR="00992FD0" w:rsidRPr="00EC250C">
        <w:t xml:space="preserve"> i </w:t>
      </w:r>
      <w:r w:rsidRPr="00EC250C">
        <w:t>społecznej (dotyczyć ma jednocześnie obu sfer – finansowej</w:t>
      </w:r>
      <w:r w:rsidR="00992FD0" w:rsidRPr="00EC250C">
        <w:t xml:space="preserve"> i </w:t>
      </w:r>
      <w:r w:rsidRPr="00EC250C">
        <w:t>środowiskowej). Treścią tego prawa jest uzyskanie szczególnej pomocy ze strony władz publicznych.</w:t>
      </w:r>
    </w:p>
    <w:p w14:paraId="266738CC" w14:textId="77777777" w:rsidR="003E4DBD" w:rsidRPr="00EC250C" w:rsidRDefault="003E4DBD" w:rsidP="00D131FA">
      <w:pPr>
        <w:pStyle w:val="ComwiKonstytucja"/>
      </w:pPr>
    </w:p>
    <w:p w14:paraId="60FAA1DB" w14:textId="77777777" w:rsidR="009722DD" w:rsidRPr="00EC250C" w:rsidRDefault="009722DD" w:rsidP="00D131FA">
      <w:pPr>
        <w:spacing w:after="200" w:line="24" w:lineRule="auto"/>
        <w:jc w:val="both"/>
        <w:rPr>
          <w:i/>
          <w:spacing w:val="5"/>
          <w:sz w:val="22"/>
        </w:rPr>
      </w:pPr>
      <w:r w:rsidRPr="00EC250C">
        <w:rPr>
          <w:sz w:val="24"/>
        </w:rPr>
        <w:br w:type="page"/>
      </w:r>
    </w:p>
    <w:p w14:paraId="0A202DCC" w14:textId="77777777" w:rsidR="00957132" w:rsidRPr="00EC250C" w:rsidRDefault="00957132" w:rsidP="00EC79EB">
      <w:pPr>
        <w:pStyle w:val="Nagwek4"/>
      </w:pPr>
      <w:bookmarkStart w:id="607" w:name="_Toc6257907"/>
      <w:bookmarkStart w:id="608" w:name="_Toc11247784"/>
      <w:r w:rsidRPr="00EC250C">
        <w:lastRenderedPageBreak/>
        <w:t>Problemy polskich rodzin – przesłanie Rzecznika Praw Obywatelskich do uczestników Kongresu Praw Rodzicielskich</w:t>
      </w:r>
      <w:bookmarkEnd w:id="607"/>
      <w:bookmarkEnd w:id="608"/>
    </w:p>
    <w:p w14:paraId="0F89996B" w14:textId="77777777" w:rsidR="00B473F5" w:rsidRPr="00EC250C" w:rsidRDefault="00957132" w:rsidP="00D131FA">
      <w:pPr>
        <w:pStyle w:val="Problemczowieka"/>
        <w:jc w:val="both"/>
      </w:pPr>
      <w:r w:rsidRPr="00EC250C">
        <w:t>Przed rodziną stają nowe wyzwania, nie znane starszym pokoleniom. Zmieniają się role rodzicielskie, ojcowie chcą bardzie</w:t>
      </w:r>
      <w:r w:rsidR="003B4B9B" w:rsidRPr="00EC250C">
        <w:t>j</w:t>
      </w:r>
      <w:r w:rsidRPr="00EC250C">
        <w:t xml:space="preserve"> aktywnie zajmować się wychowaniem dzieci, matki chcą pracować także zawodowo, </w:t>
      </w:r>
      <w:r w:rsidR="003B4B9B" w:rsidRPr="00EC250C">
        <w:t xml:space="preserve">zmienia się </w:t>
      </w:r>
      <w:r w:rsidRPr="00EC250C">
        <w:t xml:space="preserve">poziom wykształcenia, </w:t>
      </w:r>
      <w:r w:rsidR="003B4B9B" w:rsidRPr="00EC250C">
        <w:t xml:space="preserve">pojawiają się </w:t>
      </w:r>
      <w:r w:rsidRPr="00EC250C">
        <w:t xml:space="preserve">związki transgraniczne, </w:t>
      </w:r>
      <w:r w:rsidR="003B4B9B" w:rsidRPr="00EC250C">
        <w:t xml:space="preserve">możliwość pracy </w:t>
      </w:r>
      <w:r w:rsidRPr="00EC250C">
        <w:t>za granicą – wszystko to daje nowe szanse, ale</w:t>
      </w:r>
      <w:r w:rsidR="00992FD0" w:rsidRPr="00EC250C">
        <w:t xml:space="preserve"> i </w:t>
      </w:r>
      <w:r w:rsidRPr="00EC250C">
        <w:t>tworzy nowe napięcia</w:t>
      </w:r>
      <w:r w:rsidR="00B473F5" w:rsidRPr="00EC250C">
        <w:t>.</w:t>
      </w:r>
    </w:p>
    <w:p w14:paraId="2CCF5B17" w14:textId="77777777" w:rsidR="00957132" w:rsidRPr="00EC250C" w:rsidRDefault="00957132" w:rsidP="00D131FA">
      <w:pPr>
        <w:pStyle w:val="Styl1"/>
      </w:pPr>
      <w:r w:rsidRPr="00EC250C">
        <w:t>Organizując</w:t>
      </w:r>
      <w:r w:rsidR="00992FD0" w:rsidRPr="00EC250C">
        <w:t xml:space="preserve"> w </w:t>
      </w:r>
      <w:r w:rsidRPr="00EC250C">
        <w:t>2018</w:t>
      </w:r>
      <w:r w:rsidR="00C91F6E" w:rsidRPr="00EC250C">
        <w:t> r.</w:t>
      </w:r>
      <w:r w:rsidRPr="00EC250C">
        <w:t xml:space="preserve"> Kongres Praw </w:t>
      </w:r>
      <w:r w:rsidR="003B4B9B" w:rsidRPr="00EC250C">
        <w:t>Rodzicielskich</w:t>
      </w:r>
      <w:r w:rsidRPr="00EC250C">
        <w:t xml:space="preserve">, </w:t>
      </w:r>
      <w:r w:rsidR="003B4B9B" w:rsidRPr="00EC250C">
        <w:t xml:space="preserve">forum </w:t>
      </w:r>
      <w:r w:rsidRPr="00EC250C">
        <w:t>wymiany opinii</w:t>
      </w:r>
      <w:r w:rsidR="00992FD0" w:rsidRPr="00EC250C">
        <w:t xml:space="preserve"> i </w:t>
      </w:r>
      <w:r w:rsidRPr="00EC250C">
        <w:t>diagnozy sytuacji</w:t>
      </w:r>
      <w:r w:rsidR="00AC1C4C" w:rsidRPr="00EC250C">
        <w:t>,</w:t>
      </w:r>
      <w:r w:rsidRPr="00EC250C">
        <w:t xml:space="preserve"> RPO </w:t>
      </w:r>
      <w:r w:rsidR="003B4B9B" w:rsidRPr="00EC250C">
        <w:t>przedstawił</w:t>
      </w:r>
      <w:r w:rsidRPr="00EC250C">
        <w:t xml:space="preserve"> jego uczestnikom (sędziom, pedagogom, naukowcom, rodzicom, adwokatom) problemy, które rejestruje jego Biuro. To prawdziwe ludzkie historie</w:t>
      </w:r>
      <w:r w:rsidRPr="00EC250C">
        <w:rPr>
          <w:rStyle w:val="Odwoanieprzypisudolnego"/>
        </w:rPr>
        <w:t xml:space="preserve"> </w:t>
      </w:r>
      <w:r w:rsidRPr="00EC250C">
        <w:rPr>
          <w:rStyle w:val="Odwoanieprzypisudolnego"/>
        </w:rPr>
        <w:footnoteReference w:id="594"/>
      </w:r>
      <w:r w:rsidRPr="00EC250C">
        <w:t>.</w:t>
      </w:r>
    </w:p>
    <w:p w14:paraId="29E64431" w14:textId="77777777" w:rsidR="00957132" w:rsidRPr="00EC250C" w:rsidRDefault="00957132" w:rsidP="00D131FA">
      <w:pPr>
        <w:pStyle w:val="Styl1"/>
      </w:pPr>
      <w:bookmarkStart w:id="609" w:name="_Hlk8210887"/>
      <w:r w:rsidRPr="00EC250C">
        <w:rPr>
          <w:rFonts w:ascii="inherit" w:hAnsi="inherit"/>
          <w:b/>
          <w:bCs/>
          <w:bdr w:val="none" w:sz="0" w:space="0" w:color="auto" w:frame="1"/>
        </w:rPr>
        <w:t>Pan Krzysztof</w:t>
      </w:r>
      <w:r w:rsidR="00CC4D88" w:rsidRPr="00EC250C">
        <w:rPr>
          <w:rFonts w:ascii="inherit" w:hAnsi="inherit"/>
          <w:b/>
          <w:bCs/>
          <w:bdr w:val="none" w:sz="0" w:space="0" w:color="auto" w:frame="1"/>
        </w:rPr>
        <w:t xml:space="preserve"> </w:t>
      </w:r>
      <w:r w:rsidR="003B4B9B" w:rsidRPr="00EC250C">
        <w:t>p</w:t>
      </w:r>
      <w:r w:rsidR="005B71BC" w:rsidRPr="00EC250C">
        <w:t>o</w:t>
      </w:r>
      <w:r w:rsidRPr="00EC250C">
        <w:t xml:space="preserve"> rozwodzie może się kontaktować</w:t>
      </w:r>
      <w:r w:rsidR="00992FD0" w:rsidRPr="00EC250C">
        <w:t xml:space="preserve"> z </w:t>
      </w:r>
      <w:r w:rsidRPr="00EC250C">
        <w:t>synkiem na warunkach określonych przez sąd. 12 godzin</w:t>
      </w:r>
      <w:r w:rsidR="00992FD0" w:rsidRPr="00EC250C">
        <w:t xml:space="preserve"> w </w:t>
      </w:r>
      <w:r w:rsidRPr="00EC250C">
        <w:t>miesiącu, bez prawa wyjazdu</w:t>
      </w:r>
      <w:r w:rsidR="00992FD0" w:rsidRPr="00EC250C">
        <w:t xml:space="preserve"> z </w:t>
      </w:r>
      <w:r w:rsidRPr="00EC250C">
        <w:t>miejscowości,</w:t>
      </w:r>
      <w:r w:rsidR="00992FD0" w:rsidRPr="00EC250C">
        <w:t xml:space="preserve"> w </w:t>
      </w:r>
      <w:r w:rsidRPr="00EC250C">
        <w:t>której mieszka. – Tylko</w:t>
      </w:r>
      <w:r w:rsidR="003B4B9B" w:rsidRPr="00EC250C">
        <w:t>,</w:t>
      </w:r>
      <w:r w:rsidRPr="00EC250C">
        <w:t xml:space="preserve"> że to jest wieś, tu nie ma nawet placu zabaw. </w:t>
      </w:r>
      <w:bookmarkEnd w:id="609"/>
      <w:r w:rsidRPr="00EC250C">
        <w:t>I jak sobie wyobrażacie, że</w:t>
      </w:r>
      <w:r w:rsidR="00992FD0" w:rsidRPr="00EC250C">
        <w:t xml:space="preserve"> w </w:t>
      </w:r>
      <w:r w:rsidRPr="00EC250C">
        <w:t>12 godzin</w:t>
      </w:r>
      <w:r w:rsidR="00992FD0" w:rsidRPr="00EC250C">
        <w:t xml:space="preserve"> w </w:t>
      </w:r>
      <w:r w:rsidRPr="00EC250C">
        <w:t>miesiącu zbuduję jakąkolwiek więź</w:t>
      </w:r>
      <w:r w:rsidR="00992FD0" w:rsidRPr="00EC250C">
        <w:t xml:space="preserve"> z </w:t>
      </w:r>
      <w:r w:rsidRPr="00EC250C">
        <w:t>moim synkiem?</w:t>
      </w:r>
    </w:p>
    <w:p w14:paraId="01D2E68B" w14:textId="77777777" w:rsidR="00957132" w:rsidRPr="00EC250C" w:rsidRDefault="00957132" w:rsidP="00D131FA">
      <w:pPr>
        <w:pStyle w:val="Styl1"/>
      </w:pPr>
      <w:r w:rsidRPr="00EC250C">
        <w:rPr>
          <w:rFonts w:ascii="inherit" w:hAnsi="inherit"/>
          <w:b/>
          <w:bCs/>
          <w:bdr w:val="none" w:sz="0" w:space="0" w:color="auto" w:frame="1"/>
        </w:rPr>
        <w:t>Rodzice Szymona</w:t>
      </w:r>
      <w:r w:rsidRPr="00EC250C">
        <w:t> spierają się</w:t>
      </w:r>
      <w:r w:rsidR="00992FD0" w:rsidRPr="00EC250C">
        <w:t xml:space="preserve"> o </w:t>
      </w:r>
      <w:r w:rsidRPr="00EC250C">
        <w:t>to, jak wychowywać dziecko. Sąd orzekł, że kontakty ojca</w:t>
      </w:r>
      <w:r w:rsidR="00992FD0" w:rsidRPr="00EC250C">
        <w:t xml:space="preserve"> z </w:t>
      </w:r>
      <w:r w:rsidRPr="00EC250C">
        <w:t>synem mają mieć miejsce dwa razy</w:t>
      </w:r>
      <w:r w:rsidR="00992FD0" w:rsidRPr="00EC250C">
        <w:t xml:space="preserve"> w </w:t>
      </w:r>
      <w:r w:rsidRPr="00EC250C">
        <w:t>miesiącu, co drugą sobotę</w:t>
      </w:r>
      <w:r w:rsidR="00992FD0" w:rsidRPr="00EC250C">
        <w:t xml:space="preserve"> i </w:t>
      </w:r>
      <w:r w:rsidRPr="00EC250C">
        <w:t>co drugą niedzielę. Szymon jest dzieckiem chorowitym</w:t>
      </w:r>
      <w:r w:rsidR="00992FD0" w:rsidRPr="00EC250C">
        <w:t xml:space="preserve"> i </w:t>
      </w:r>
      <w:r w:rsidRPr="00EC250C">
        <w:t>do kontaktów czasem nie dochodzi. Ojciec dziecka przychodzi zatem do przedszkola Szymona</w:t>
      </w:r>
      <w:r w:rsidR="00992FD0" w:rsidRPr="00EC250C">
        <w:t xml:space="preserve"> i </w:t>
      </w:r>
      <w:r w:rsidRPr="00EC250C">
        <w:t>próbuje odbierać go stamtąd, na co nie wyraża zgody matka dziecka. Dyrektor placówki jednorazowo wydał dziecko ojcu, następnie odmawia</w:t>
      </w:r>
      <w:r w:rsidR="00A62EB5" w:rsidRPr="00EC250C">
        <w:t>ł</w:t>
      </w:r>
      <w:r w:rsidRPr="00EC250C">
        <w:t>, powołując się na treść orzeczenia</w:t>
      </w:r>
      <w:r w:rsidR="00992FD0" w:rsidRPr="00EC250C">
        <w:t xml:space="preserve"> o </w:t>
      </w:r>
      <w:r w:rsidRPr="00EC250C">
        <w:t>kontaktach.</w:t>
      </w:r>
    </w:p>
    <w:p w14:paraId="12E314B3" w14:textId="77777777" w:rsidR="00957132" w:rsidRPr="00EC250C" w:rsidRDefault="00957132" w:rsidP="00D131FA">
      <w:pPr>
        <w:pStyle w:val="Styl1"/>
      </w:pPr>
      <w:r w:rsidRPr="00EC250C">
        <w:rPr>
          <w:rFonts w:ascii="inherit" w:hAnsi="inherit"/>
          <w:b/>
          <w:bCs/>
          <w:bdr w:val="none" w:sz="0" w:space="0" w:color="auto" w:frame="1"/>
        </w:rPr>
        <w:t>12-letnia Karolina</w:t>
      </w:r>
      <w:r w:rsidRPr="00EC250C">
        <w:t> nie chce spotykać się ze ojcem. Twierdzi, że pamięta sceny przemocy ojca wobec matki. Ojciec twierdzi, że Karolina jest indoktrynowana przez matkę</w:t>
      </w:r>
      <w:r w:rsidR="00992FD0" w:rsidRPr="00EC250C">
        <w:t xml:space="preserve"> i </w:t>
      </w:r>
      <w:r w:rsidRPr="00EC250C">
        <w:t xml:space="preserve">żąda realizacji cotygodniowych kontaktów. Matka twierdzi, że nie może nakłonić do tego </w:t>
      </w:r>
      <w:r w:rsidR="00A62EB5" w:rsidRPr="00EC250C">
        <w:t>córki</w:t>
      </w:r>
      <w:r w:rsidRPr="00EC250C">
        <w:t>, mimo usilnych prób. Sąd nakłada na matkę Karoliny obowiązek zapłaty kwoty 200 zł za każdy nieodbyty kontakt. Jednocześnie ojciec zaprzestał opłacania alimentów (350 zł).</w:t>
      </w:r>
    </w:p>
    <w:p w14:paraId="2C9DE555" w14:textId="77777777" w:rsidR="00957132" w:rsidRPr="00EC250C" w:rsidRDefault="00957132" w:rsidP="00D131FA">
      <w:pPr>
        <w:pStyle w:val="Styl1"/>
      </w:pPr>
      <w:r w:rsidRPr="00EC250C">
        <w:rPr>
          <w:rFonts w:ascii="inherit" w:hAnsi="inherit"/>
          <w:b/>
          <w:bCs/>
          <w:bdr w:val="none" w:sz="0" w:space="0" w:color="auto" w:frame="1"/>
        </w:rPr>
        <w:t>Pani Marta </w:t>
      </w:r>
      <w:r w:rsidRPr="00EC250C">
        <w:t>wyszła za mąż młodo, zamieszkała</w:t>
      </w:r>
      <w:r w:rsidR="00992FD0" w:rsidRPr="00EC250C">
        <w:t xml:space="preserve"> z </w:t>
      </w:r>
      <w:r w:rsidRPr="00EC250C">
        <w:t>teściami, nie ułożyło się. Po rozpadzie małżeństwa sama utrzymuje dzieci. Ich ojciec</w:t>
      </w:r>
      <w:r w:rsidR="00992FD0" w:rsidRPr="00EC250C">
        <w:t xml:space="preserve"> i </w:t>
      </w:r>
      <w:r w:rsidRPr="00EC250C">
        <w:t xml:space="preserve">jego rodzice </w:t>
      </w:r>
      <w:r w:rsidR="00A62EB5" w:rsidRPr="00EC250C">
        <w:t>pozostają</w:t>
      </w:r>
      <w:r w:rsidR="00992FD0" w:rsidRPr="00EC250C">
        <w:t xml:space="preserve"> w </w:t>
      </w:r>
      <w:r w:rsidR="00A62EB5" w:rsidRPr="00EC250C">
        <w:t>konflikcie</w:t>
      </w:r>
      <w:r w:rsidR="00992FD0" w:rsidRPr="00EC250C">
        <w:t xml:space="preserve"> z </w:t>
      </w:r>
      <w:r w:rsidR="00A62EB5" w:rsidRPr="00EC250C">
        <w:t>panią Martą</w:t>
      </w:r>
      <w:r w:rsidRPr="00EC250C">
        <w:t>, bo stracili kontakt</w:t>
      </w:r>
      <w:r w:rsidR="00992FD0" w:rsidRPr="00EC250C">
        <w:t xml:space="preserve"> z </w:t>
      </w:r>
      <w:r w:rsidRPr="00EC250C">
        <w:t xml:space="preserve">dziećmi. </w:t>
      </w:r>
      <w:r w:rsidR="00A62EB5" w:rsidRPr="00EC250C">
        <w:t>Kobieta wie</w:t>
      </w:r>
      <w:r w:rsidRPr="00EC250C">
        <w:t xml:space="preserve">, że </w:t>
      </w:r>
      <w:r w:rsidR="00A62EB5" w:rsidRPr="00EC250C">
        <w:t xml:space="preserve">ojciec dzieci </w:t>
      </w:r>
      <w:r w:rsidRPr="00EC250C">
        <w:t>jest zamożny</w:t>
      </w:r>
      <w:r w:rsidR="00992FD0" w:rsidRPr="00EC250C">
        <w:t xml:space="preserve"> i </w:t>
      </w:r>
      <w:r w:rsidRPr="00EC250C">
        <w:t xml:space="preserve">prowadzi firmę teścia. </w:t>
      </w:r>
      <w:r w:rsidR="00A62EB5" w:rsidRPr="00EC250C">
        <w:t>F</w:t>
      </w:r>
      <w:r w:rsidRPr="00EC250C">
        <w:t xml:space="preserve">ormalnie </w:t>
      </w:r>
      <w:r w:rsidR="00A62EB5" w:rsidRPr="00EC250C">
        <w:t xml:space="preserve">jednak nie jest </w:t>
      </w:r>
      <w:r w:rsidRPr="00EC250C">
        <w:t>to jego majątek</w:t>
      </w:r>
      <w:r w:rsidR="00800CA7" w:rsidRPr="00EC250C">
        <w:t>,</w:t>
      </w:r>
      <w:r w:rsidR="00CC4D88" w:rsidRPr="00EC250C">
        <w:t xml:space="preserve"> </w:t>
      </w:r>
      <w:r w:rsidR="00A62EB5" w:rsidRPr="00EC250C">
        <w:t xml:space="preserve">zatem trudno go zobowiązać do wyższych alimentów. Sam </w:t>
      </w:r>
      <w:r w:rsidR="00800CA7" w:rsidRPr="00EC250C">
        <w:t>płacić nie zamierza, bo uważa, że pani Marta źle wyda pieniądze</w:t>
      </w:r>
      <w:r w:rsidRPr="00EC250C">
        <w:t>. Sprawa jest</w:t>
      </w:r>
      <w:r w:rsidR="00992FD0" w:rsidRPr="00EC250C">
        <w:t xml:space="preserve"> w </w:t>
      </w:r>
      <w:r w:rsidRPr="00EC250C">
        <w:t>sądzie,</w:t>
      </w:r>
      <w:r w:rsidR="00992FD0" w:rsidRPr="00EC250C">
        <w:t xml:space="preserve"> a </w:t>
      </w:r>
      <w:r w:rsidRPr="00EC250C">
        <w:t>obie strony postarały się</w:t>
      </w:r>
      <w:r w:rsidR="00992FD0" w:rsidRPr="00EC250C">
        <w:t xml:space="preserve"> o </w:t>
      </w:r>
      <w:r w:rsidRPr="00EC250C">
        <w:t xml:space="preserve">adwokatów, którzy starannie prowadzą rozgrywkę między rodzicami. Same </w:t>
      </w:r>
      <w:r w:rsidRPr="00EC250C">
        <w:lastRenderedPageBreak/>
        <w:t>dzieci adwokata nie mają. Nikt nie zadba</w:t>
      </w:r>
      <w:r w:rsidR="00992FD0" w:rsidRPr="00EC250C">
        <w:t xml:space="preserve"> o </w:t>
      </w:r>
      <w:r w:rsidRPr="00EC250C">
        <w:t>to, by narastający konflikt między rodzicami nie ranił ich. Sprawa rozwodowa toczy się trzeci rok.</w:t>
      </w:r>
    </w:p>
    <w:p w14:paraId="4073B13D" w14:textId="77777777" w:rsidR="00957132" w:rsidRPr="00EC250C" w:rsidRDefault="00957132" w:rsidP="00D131FA">
      <w:pPr>
        <w:pStyle w:val="Styl1"/>
      </w:pPr>
      <w:bookmarkStart w:id="610" w:name="_Hlk8210907"/>
      <w:r w:rsidRPr="00EC250C">
        <w:rPr>
          <w:rFonts w:ascii="inherit" w:hAnsi="inherit"/>
          <w:b/>
          <w:bCs/>
          <w:bdr w:val="none" w:sz="0" w:space="0" w:color="auto" w:frame="1"/>
        </w:rPr>
        <w:t>11-letni Wiktor </w:t>
      </w:r>
      <w:r w:rsidRPr="00EC250C">
        <w:t>ma niesłyszących rodziców. Sam świetnie słyszy</w:t>
      </w:r>
      <w:r w:rsidR="00992FD0" w:rsidRPr="00EC250C">
        <w:t xml:space="preserve"> i </w:t>
      </w:r>
      <w:r w:rsidRPr="00EC250C">
        <w:t xml:space="preserve">mówi, ale jeśli </w:t>
      </w:r>
      <w:r w:rsidR="00800CA7" w:rsidRPr="00EC250C">
        <w:t>nauczyciel wezwie do szkoły jego rodziców</w:t>
      </w:r>
      <w:r w:rsidRPr="00EC250C">
        <w:t xml:space="preserve">, to musi tłumaczyć rodzicom, co mu zarzuca nauczyciel. </w:t>
      </w:r>
      <w:bookmarkEnd w:id="610"/>
      <w:r w:rsidRPr="00EC250C">
        <w:t>Musi też tłumaczyć to, co mówią urzędnicy</w:t>
      </w:r>
      <w:r w:rsidR="00992FD0" w:rsidRPr="00EC250C">
        <w:t xml:space="preserve"> w </w:t>
      </w:r>
      <w:r w:rsidRPr="00EC250C">
        <w:t xml:space="preserve">gminie (bo tam </w:t>
      </w:r>
      <w:r w:rsidR="00800CA7" w:rsidRPr="00EC250C">
        <w:t xml:space="preserve">też </w:t>
      </w:r>
      <w:r w:rsidRPr="00EC250C">
        <w:t>nie ma tłumacza). Ostatnio jego mama zachorowała – Wiktor musiał być tłumaczem lekarza, który stawiał diagnozę.</w:t>
      </w:r>
    </w:p>
    <w:p w14:paraId="31635651" w14:textId="77777777" w:rsidR="00957132" w:rsidRPr="00EC250C" w:rsidRDefault="00957132" w:rsidP="00D131FA">
      <w:pPr>
        <w:pStyle w:val="Styl1"/>
      </w:pPr>
      <w:r w:rsidRPr="00EC250C">
        <w:rPr>
          <w:rFonts w:ascii="inherit" w:hAnsi="inherit"/>
          <w:b/>
          <w:bCs/>
          <w:bdr w:val="none" w:sz="0" w:space="0" w:color="auto" w:frame="1"/>
        </w:rPr>
        <w:t>Pani Sandra</w:t>
      </w:r>
      <w:r w:rsidR="00992FD0" w:rsidRPr="00EC250C">
        <w:rPr>
          <w:rFonts w:ascii="inherit" w:hAnsi="inherit"/>
          <w:b/>
          <w:bCs/>
          <w:bdr w:val="none" w:sz="0" w:space="0" w:color="auto" w:frame="1"/>
        </w:rPr>
        <w:t xml:space="preserve"> i </w:t>
      </w:r>
      <w:r w:rsidRPr="00EC250C">
        <w:rPr>
          <w:rFonts w:ascii="inherit" w:hAnsi="inherit"/>
          <w:b/>
          <w:bCs/>
          <w:bdr w:val="none" w:sz="0" w:space="0" w:color="auto" w:frame="1"/>
        </w:rPr>
        <w:t>pan Jakub</w:t>
      </w:r>
      <w:r w:rsidRPr="00EC250C">
        <w:t> pracują</w:t>
      </w:r>
      <w:r w:rsidR="00992FD0" w:rsidRPr="00EC250C">
        <w:t xml:space="preserve"> w </w:t>
      </w:r>
      <w:r w:rsidRPr="00EC250C">
        <w:t>Norwegii. Kiedy szli do sklepu, ich dziecko było tak niegrzeczne, że ludzie zaczęli się oglądać. Pani Sandra krzyknęła na nie,</w:t>
      </w:r>
      <w:r w:rsidR="00992FD0" w:rsidRPr="00EC250C">
        <w:t xml:space="preserve"> a </w:t>
      </w:r>
      <w:r w:rsidRPr="00EC250C">
        <w:t>pan Jakub dał klapsa. W Norwegii klaps jest jednak nie tylko prawnie zakazany, ale zakaz bicia dzieci jest normą społeczną – Norwegowie nauczyli się już inaczej radzić</w:t>
      </w:r>
      <w:r w:rsidR="00992FD0" w:rsidRPr="00EC250C">
        <w:t xml:space="preserve"> z </w:t>
      </w:r>
      <w:r w:rsidRPr="00EC250C">
        <w:t>emocjami związanymi</w:t>
      </w:r>
      <w:r w:rsidR="00992FD0" w:rsidRPr="00EC250C">
        <w:t xml:space="preserve"> z </w:t>
      </w:r>
      <w:r w:rsidRPr="00EC250C">
        <w:t>wychowywaniem dzieci. Uznali więc, że córce Sandry</w:t>
      </w:r>
      <w:r w:rsidR="00992FD0" w:rsidRPr="00EC250C">
        <w:t xml:space="preserve"> i </w:t>
      </w:r>
      <w:r w:rsidRPr="00EC250C">
        <w:t>Jakuba dzieje się krzywda</w:t>
      </w:r>
      <w:r w:rsidR="00992FD0" w:rsidRPr="00EC250C">
        <w:t xml:space="preserve"> i </w:t>
      </w:r>
      <w:r w:rsidRPr="00EC250C">
        <w:t>przekazali dziewczynkę do rodziny zastępczej. Gdzie nikt nie mówi po polsku…</w:t>
      </w:r>
    </w:p>
    <w:p w14:paraId="4AF31D25" w14:textId="77777777" w:rsidR="00957132" w:rsidRPr="00EC250C" w:rsidRDefault="00957132" w:rsidP="00D131FA">
      <w:pPr>
        <w:pStyle w:val="Styl1"/>
      </w:pPr>
      <w:r w:rsidRPr="00EC250C">
        <w:rPr>
          <w:rFonts w:ascii="inherit" w:hAnsi="inherit"/>
          <w:b/>
          <w:bCs/>
          <w:bdr w:val="none" w:sz="0" w:space="0" w:color="auto" w:frame="1"/>
        </w:rPr>
        <w:t>Pani Jolanta</w:t>
      </w:r>
      <w:r w:rsidR="00992FD0" w:rsidRPr="00EC250C">
        <w:rPr>
          <w:rFonts w:ascii="inherit" w:hAnsi="inherit"/>
          <w:b/>
          <w:bCs/>
          <w:bdr w:val="none" w:sz="0" w:space="0" w:color="auto" w:frame="1"/>
        </w:rPr>
        <w:t xml:space="preserve"> i </w:t>
      </w:r>
      <w:r w:rsidRPr="00EC250C">
        <w:rPr>
          <w:rFonts w:ascii="inherit" w:hAnsi="inherit"/>
          <w:b/>
          <w:bCs/>
          <w:bdr w:val="none" w:sz="0" w:space="0" w:color="auto" w:frame="1"/>
        </w:rPr>
        <w:t>pan Robert </w:t>
      </w:r>
      <w:r w:rsidRPr="00EC250C">
        <w:t>rozwodzą się. Sąd odrzucił wniosek matki</w:t>
      </w:r>
      <w:r w:rsidR="00992FD0" w:rsidRPr="00EC250C">
        <w:t xml:space="preserve"> o </w:t>
      </w:r>
      <w:r w:rsidRPr="00EC250C">
        <w:t>udzielenie zabezpieczenia na poczet przyszłych alimentów. Ojciec może więc na dziecko nie płacić – zwłaszcza, że matka nie chce, by się</w:t>
      </w:r>
      <w:r w:rsidR="00992FD0" w:rsidRPr="00EC250C">
        <w:t xml:space="preserve"> z </w:t>
      </w:r>
      <w:r w:rsidRPr="00EC250C">
        <w:t>dzieckiem widywał. Następna rozprawa dopiero we wrześniu.</w:t>
      </w:r>
    </w:p>
    <w:p w14:paraId="6BB1E55D" w14:textId="77777777" w:rsidR="00957132" w:rsidRPr="00EC250C" w:rsidRDefault="00957132" w:rsidP="00D131FA">
      <w:pPr>
        <w:pStyle w:val="Styl1"/>
      </w:pPr>
      <w:r w:rsidRPr="00EC250C">
        <w:rPr>
          <w:rFonts w:ascii="inherit" w:hAnsi="inherit"/>
          <w:b/>
          <w:bCs/>
          <w:bdr w:val="none" w:sz="0" w:space="0" w:color="auto" w:frame="1"/>
        </w:rPr>
        <w:t>Szesnastoletnia Joanna</w:t>
      </w:r>
      <w:r w:rsidRPr="00EC250C">
        <w:t> urodziła synka. Sąd powierzył opiekę prawną nad dzieckiem jej matce, Marlenie. Joanna</w:t>
      </w:r>
      <w:r w:rsidR="00992FD0" w:rsidRPr="00EC250C">
        <w:t xml:space="preserve"> i </w:t>
      </w:r>
      <w:r w:rsidRPr="00EC250C">
        <w:t>Marlena pozostają</w:t>
      </w:r>
      <w:r w:rsidR="00992FD0" w:rsidRPr="00EC250C">
        <w:t xml:space="preserve"> w </w:t>
      </w:r>
      <w:r w:rsidRPr="00EC250C">
        <w:t>konflikcie co do tego, jak należy zajmować się dzieckiem</w:t>
      </w:r>
      <w:r w:rsidRPr="00EC250C">
        <w:rPr>
          <w:rStyle w:val="Odwoanieprzypisudolnego"/>
        </w:rPr>
        <w:footnoteReference w:id="595"/>
      </w:r>
      <w:r w:rsidRPr="00EC250C">
        <w:t>.</w:t>
      </w:r>
    </w:p>
    <w:p w14:paraId="22B90138" w14:textId="77777777" w:rsidR="00957132" w:rsidRPr="00EC250C" w:rsidRDefault="00AC1C4C" w:rsidP="00EC250C">
      <w:pPr>
        <w:pStyle w:val="Nagwek5"/>
      </w:pPr>
      <w:r w:rsidRPr="00EC250C">
        <w:t xml:space="preserve">Efekt prac Kongresu </w:t>
      </w:r>
    </w:p>
    <w:p w14:paraId="2E70927E" w14:textId="77777777" w:rsidR="00C91F6E" w:rsidRPr="00EC250C" w:rsidRDefault="006302BF" w:rsidP="00D131FA">
      <w:pPr>
        <w:pStyle w:val="Styl1"/>
      </w:pPr>
      <w:r w:rsidRPr="00EC250C">
        <w:t>W ciągu dwóch dni obrad Kongres wypracowa</w:t>
      </w:r>
      <w:r w:rsidR="00AF692A" w:rsidRPr="00EC250C">
        <w:t>ł</w:t>
      </w:r>
      <w:r w:rsidRPr="00EC250C">
        <w:t xml:space="preserve"> kilkadziesiąt rekomendacji</w:t>
      </w:r>
      <w:r w:rsidR="00992FD0" w:rsidRPr="00EC250C">
        <w:t xml:space="preserve"> i </w:t>
      </w:r>
      <w:r w:rsidRPr="00EC250C">
        <w:t>obserwacji. Zwrócił uwagę na istotę przemian polskiej rodziny</w:t>
      </w:r>
      <w:r w:rsidR="00AC1C4C" w:rsidRPr="00EC250C">
        <w:t>:</w:t>
      </w:r>
    </w:p>
    <w:p w14:paraId="2FB0BAC0" w14:textId="77777777" w:rsidR="00BD665E" w:rsidRPr="00EC250C" w:rsidRDefault="00BD665E" w:rsidP="006C70B7">
      <w:pPr>
        <w:pStyle w:val="Styl1"/>
        <w:numPr>
          <w:ilvl w:val="0"/>
          <w:numId w:val="145"/>
        </w:numPr>
      </w:pPr>
      <w:r w:rsidRPr="00EC250C">
        <w:t>dłuższe życie to nie tylko nowe obowiązki opiekuńcze wobec seniorów, ale nowe możliwości komunikacji międzypokoleniowej, możliwe dzięki rozwojowi nowych technologii komunikacyjnych;</w:t>
      </w:r>
    </w:p>
    <w:p w14:paraId="29F91C76" w14:textId="77777777" w:rsidR="00BD665E" w:rsidRPr="00EC250C" w:rsidRDefault="00BD665E" w:rsidP="006C70B7">
      <w:pPr>
        <w:pStyle w:val="Styl1"/>
        <w:numPr>
          <w:ilvl w:val="0"/>
          <w:numId w:val="65"/>
        </w:numPr>
      </w:pPr>
      <w:r w:rsidRPr="00EC250C">
        <w:t>świat cyfrowy nie jest zagrożeniem. Tak samo, jak nie są zagrożeniem lodówki, pralki, radia – rzeczy których sto lat temu nie było – ale teraz są powszechne. Zagrożeniem jest to, jak wprowadzamy do niego nasze dzieci;</w:t>
      </w:r>
    </w:p>
    <w:p w14:paraId="54C5A3FF" w14:textId="77777777" w:rsidR="00BD665E" w:rsidRPr="00EC250C" w:rsidRDefault="00BD665E" w:rsidP="006C70B7">
      <w:pPr>
        <w:pStyle w:val="Styl1"/>
        <w:numPr>
          <w:ilvl w:val="0"/>
          <w:numId w:val="65"/>
        </w:numPr>
      </w:pPr>
      <w:r w:rsidRPr="00EC250C">
        <w:t>rozwiązywanie sporów i napięć w rodzinie to jedno z najtrudniejszych zadań w życiu. Nie możemy zakładać, że będziemy to robić tylko tak, jak nasi rodzice;</w:t>
      </w:r>
    </w:p>
    <w:p w14:paraId="3D315244" w14:textId="77777777" w:rsidR="00BD665E" w:rsidRPr="00EC250C" w:rsidRDefault="00BD665E" w:rsidP="006C70B7">
      <w:pPr>
        <w:pStyle w:val="Styl1"/>
        <w:numPr>
          <w:ilvl w:val="0"/>
          <w:numId w:val="65"/>
        </w:numPr>
      </w:pPr>
      <w:r w:rsidRPr="00EC250C">
        <w:t>rozw</w:t>
      </w:r>
      <w:r w:rsidRPr="00EC250C">
        <w:rPr>
          <w:rFonts w:hint="eastAsia"/>
        </w:rPr>
        <w:t>ó</w:t>
      </w:r>
      <w:r w:rsidRPr="00EC250C">
        <w:t>d jest trudnym do</w:t>
      </w:r>
      <w:r w:rsidRPr="00EC250C">
        <w:rPr>
          <w:rFonts w:hint="eastAsia"/>
        </w:rPr>
        <w:t>ś</w:t>
      </w:r>
      <w:r w:rsidRPr="00EC250C">
        <w:t>wiadczeniem w </w:t>
      </w:r>
      <w:r w:rsidRPr="00EC250C">
        <w:rPr>
          <w:rFonts w:hint="eastAsia"/>
        </w:rPr>
        <w:t>ż</w:t>
      </w:r>
      <w:r w:rsidRPr="00EC250C">
        <w:t>yciu dziecka, ale nie musi by</w:t>
      </w:r>
      <w:r w:rsidRPr="00EC250C">
        <w:rPr>
          <w:rFonts w:hint="eastAsia"/>
        </w:rPr>
        <w:t>ć</w:t>
      </w:r>
      <w:r w:rsidRPr="00EC250C">
        <w:t xml:space="preserve"> traum</w:t>
      </w:r>
      <w:r w:rsidRPr="00EC250C">
        <w:rPr>
          <w:rFonts w:hint="eastAsia"/>
        </w:rPr>
        <w:t>ą</w:t>
      </w:r>
      <w:r w:rsidRPr="00EC250C">
        <w:t>;</w:t>
      </w:r>
    </w:p>
    <w:p w14:paraId="282DD25F" w14:textId="77777777" w:rsidR="00BD665E" w:rsidRPr="00EC250C" w:rsidRDefault="00BD665E" w:rsidP="006C70B7">
      <w:pPr>
        <w:pStyle w:val="Styl1"/>
        <w:numPr>
          <w:ilvl w:val="0"/>
          <w:numId w:val="65"/>
        </w:numPr>
      </w:pPr>
      <w:r w:rsidRPr="00EC250C">
        <w:t xml:space="preserve">milion dzieci nie dostaje w Polsce pieniędzy na życie od swoich rodziców. Prawne i organizacyjne przyczyny tego stanu rzeczy są już dobrze zdefiniowane – m.in. dzięki dwuipółletniej pracy Zespołu ds. Alimentów Rzecznika Praw Obywatelskich i Rzecznika Praw </w:t>
      </w:r>
      <w:r w:rsidRPr="00EC250C">
        <w:lastRenderedPageBreak/>
        <w:t>Dziecka. Kluczowym wyzwaniem społecznym jest jednak to, jak przekonać rodziców, że alimenty są dla dziecka – a nie dla byłego partnera, że niepłacenie alimentów to po prostu przemoc, przemoc ekonomiczna?</w:t>
      </w:r>
    </w:p>
    <w:p w14:paraId="00EC4DEC" w14:textId="77777777" w:rsidR="00BD665E" w:rsidRPr="00EC250C" w:rsidRDefault="00BD665E" w:rsidP="006C70B7">
      <w:pPr>
        <w:pStyle w:val="Styl1"/>
        <w:numPr>
          <w:ilvl w:val="0"/>
          <w:numId w:val="65"/>
        </w:numPr>
      </w:pPr>
      <w:r w:rsidRPr="00EC250C">
        <w:t>rodzice opiekuj</w:t>
      </w:r>
      <w:r w:rsidRPr="00EC250C">
        <w:rPr>
          <w:rFonts w:hint="eastAsia"/>
        </w:rPr>
        <w:t>ą</w:t>
      </w:r>
      <w:r w:rsidRPr="00EC250C">
        <w:t>cy si</w:t>
      </w:r>
      <w:r w:rsidRPr="00EC250C">
        <w:rPr>
          <w:rFonts w:hint="eastAsia"/>
        </w:rPr>
        <w:t>ę</w:t>
      </w:r>
      <w:r w:rsidRPr="00EC250C">
        <w:t xml:space="preserve"> dzie</w:t>
      </w:r>
      <w:r w:rsidRPr="00EC250C">
        <w:rPr>
          <w:rFonts w:hint="eastAsia"/>
        </w:rPr>
        <w:t>ć</w:t>
      </w:r>
      <w:r w:rsidRPr="00EC250C">
        <w:t>mi z niepe</w:t>
      </w:r>
      <w:r w:rsidRPr="00EC250C">
        <w:rPr>
          <w:rFonts w:hint="eastAsia"/>
        </w:rPr>
        <w:t>ł</w:t>
      </w:r>
      <w:r w:rsidRPr="00EC250C">
        <w:t>nosprawno</w:t>
      </w:r>
      <w:r w:rsidRPr="00EC250C">
        <w:rPr>
          <w:rFonts w:hint="eastAsia"/>
        </w:rPr>
        <w:t>ś</w:t>
      </w:r>
      <w:r w:rsidRPr="00EC250C">
        <w:t>ciami musz</w:t>
      </w:r>
      <w:r w:rsidRPr="00EC250C">
        <w:rPr>
          <w:rFonts w:hint="eastAsia"/>
        </w:rPr>
        <w:t>ą</w:t>
      </w:r>
      <w:r w:rsidRPr="00EC250C">
        <w:t xml:space="preserve"> uzyskiwa</w:t>
      </w:r>
      <w:r w:rsidRPr="00EC250C">
        <w:rPr>
          <w:rFonts w:hint="eastAsia"/>
        </w:rPr>
        <w:t>ć</w:t>
      </w:r>
      <w:r w:rsidRPr="00EC250C">
        <w:t xml:space="preserve"> dostosowane do potrzeb wsparcie w wychowaniu tych dzieci. </w:t>
      </w:r>
      <w:r w:rsidRPr="00EC250C">
        <w:rPr>
          <w:rStyle w:val="Pogrubienie"/>
          <w:b w:val="0"/>
          <w:bCs w:val="0"/>
        </w:rPr>
        <w:t>Nie mog</w:t>
      </w:r>
      <w:r w:rsidRPr="00EC250C">
        <w:rPr>
          <w:rStyle w:val="Pogrubienie"/>
          <w:rFonts w:hint="eastAsia"/>
          <w:b w:val="0"/>
          <w:bCs w:val="0"/>
        </w:rPr>
        <w:t>ą</w:t>
      </w:r>
      <w:r w:rsidRPr="00EC250C">
        <w:rPr>
          <w:rStyle w:val="Pogrubienie"/>
          <w:b w:val="0"/>
          <w:bCs w:val="0"/>
        </w:rPr>
        <w:t xml:space="preserve"> te</w:t>
      </w:r>
      <w:r w:rsidRPr="00EC250C">
        <w:rPr>
          <w:rStyle w:val="Pogrubienie"/>
          <w:rFonts w:hint="eastAsia"/>
          <w:b w:val="0"/>
          <w:bCs w:val="0"/>
        </w:rPr>
        <w:t>ż</w:t>
      </w:r>
      <w:r w:rsidRPr="00EC250C">
        <w:rPr>
          <w:rStyle w:val="Pogrubienie"/>
          <w:b w:val="0"/>
          <w:bCs w:val="0"/>
        </w:rPr>
        <w:t xml:space="preserve"> </w:t>
      </w:r>
      <w:r w:rsidRPr="00EC250C">
        <w:rPr>
          <w:rStyle w:val="Pogrubienie"/>
          <w:rFonts w:hint="eastAsia"/>
          <w:b w:val="0"/>
          <w:bCs w:val="0"/>
        </w:rPr>
        <w:t>ż</w:t>
      </w:r>
      <w:r w:rsidRPr="00EC250C">
        <w:rPr>
          <w:rStyle w:val="Pogrubienie"/>
          <w:b w:val="0"/>
          <w:bCs w:val="0"/>
        </w:rPr>
        <w:t>y</w:t>
      </w:r>
      <w:r w:rsidRPr="00EC250C">
        <w:rPr>
          <w:rStyle w:val="Pogrubienie"/>
          <w:rFonts w:hint="eastAsia"/>
          <w:b w:val="0"/>
          <w:bCs w:val="0"/>
        </w:rPr>
        <w:t>ć</w:t>
      </w:r>
      <w:r w:rsidRPr="00EC250C">
        <w:rPr>
          <w:rStyle w:val="Pogrubienie"/>
          <w:b w:val="0"/>
          <w:bCs w:val="0"/>
        </w:rPr>
        <w:t xml:space="preserve"> w l</w:t>
      </w:r>
      <w:r w:rsidRPr="00EC250C">
        <w:rPr>
          <w:rStyle w:val="Pogrubienie"/>
          <w:rFonts w:hint="eastAsia"/>
          <w:b w:val="0"/>
          <w:bCs w:val="0"/>
        </w:rPr>
        <w:t>ę</w:t>
      </w:r>
      <w:r w:rsidRPr="00EC250C">
        <w:rPr>
          <w:rStyle w:val="Pogrubienie"/>
          <w:b w:val="0"/>
          <w:bCs w:val="0"/>
        </w:rPr>
        <w:t xml:space="preserve">ku, </w:t>
      </w:r>
      <w:r w:rsidRPr="00EC250C">
        <w:rPr>
          <w:rStyle w:val="Pogrubienie"/>
          <w:rFonts w:hint="eastAsia"/>
          <w:b w:val="0"/>
          <w:bCs w:val="0"/>
        </w:rPr>
        <w:t>ż</w:t>
      </w:r>
      <w:r w:rsidRPr="00EC250C">
        <w:rPr>
          <w:rStyle w:val="Pogrubienie"/>
          <w:b w:val="0"/>
          <w:bCs w:val="0"/>
        </w:rPr>
        <w:t>e kiedy ich zabraknie, nie b</w:t>
      </w:r>
      <w:r w:rsidRPr="00EC250C">
        <w:rPr>
          <w:rStyle w:val="Pogrubienie"/>
          <w:rFonts w:hint="eastAsia"/>
          <w:b w:val="0"/>
          <w:bCs w:val="0"/>
        </w:rPr>
        <w:t>ę</w:t>
      </w:r>
      <w:r w:rsidRPr="00EC250C">
        <w:rPr>
          <w:rStyle w:val="Pogrubienie"/>
          <w:b w:val="0"/>
          <w:bCs w:val="0"/>
        </w:rPr>
        <w:t>dzie si</w:t>
      </w:r>
      <w:r w:rsidRPr="00EC250C">
        <w:rPr>
          <w:rStyle w:val="Pogrubienie"/>
          <w:rFonts w:hint="eastAsia"/>
          <w:b w:val="0"/>
          <w:bCs w:val="0"/>
        </w:rPr>
        <w:t>ę</w:t>
      </w:r>
      <w:r w:rsidRPr="00EC250C">
        <w:rPr>
          <w:rStyle w:val="Pogrubienie"/>
          <w:b w:val="0"/>
          <w:bCs w:val="0"/>
        </w:rPr>
        <w:t xml:space="preserve"> kto mia</w:t>
      </w:r>
      <w:r w:rsidRPr="00EC250C">
        <w:rPr>
          <w:rStyle w:val="Pogrubienie"/>
          <w:rFonts w:hint="eastAsia"/>
          <w:b w:val="0"/>
          <w:bCs w:val="0"/>
        </w:rPr>
        <w:t>ł</w:t>
      </w:r>
      <w:r w:rsidRPr="00EC250C">
        <w:rPr>
          <w:rStyle w:val="Pogrubienie"/>
          <w:b w:val="0"/>
          <w:bCs w:val="0"/>
        </w:rPr>
        <w:t xml:space="preserve"> dzie</w:t>
      </w:r>
      <w:r w:rsidRPr="00EC250C">
        <w:rPr>
          <w:rStyle w:val="Pogrubienie"/>
          <w:rFonts w:hint="eastAsia"/>
          <w:b w:val="0"/>
          <w:bCs w:val="0"/>
        </w:rPr>
        <w:t>ć</w:t>
      </w:r>
      <w:r w:rsidRPr="00EC250C">
        <w:rPr>
          <w:rStyle w:val="Pogrubienie"/>
          <w:b w:val="0"/>
          <w:bCs w:val="0"/>
        </w:rPr>
        <w:t>mi zaj</w:t>
      </w:r>
      <w:r w:rsidRPr="00EC250C">
        <w:rPr>
          <w:rStyle w:val="Pogrubienie"/>
          <w:rFonts w:hint="eastAsia"/>
          <w:b w:val="0"/>
          <w:bCs w:val="0"/>
        </w:rPr>
        <w:t>ąć</w:t>
      </w:r>
      <w:r w:rsidR="00204A2F" w:rsidRPr="00EC250C">
        <w:rPr>
          <w:rStyle w:val="Pogrubienie"/>
          <w:b w:val="0"/>
          <w:bCs w:val="0"/>
        </w:rPr>
        <w:t>;</w:t>
      </w:r>
    </w:p>
    <w:p w14:paraId="04760E2F" w14:textId="77777777" w:rsidR="00BD665E" w:rsidRPr="00EC250C" w:rsidRDefault="00BD665E" w:rsidP="006C70B7">
      <w:pPr>
        <w:pStyle w:val="Styl1"/>
        <w:numPr>
          <w:ilvl w:val="0"/>
          <w:numId w:val="65"/>
        </w:numPr>
      </w:pPr>
      <w:r w:rsidRPr="00EC250C">
        <w:t>polscy rodzice mieszkaj</w:t>
      </w:r>
      <w:r w:rsidRPr="00EC250C">
        <w:rPr>
          <w:rFonts w:hint="eastAsia"/>
        </w:rPr>
        <w:t>ą</w:t>
      </w:r>
      <w:r w:rsidRPr="00EC250C">
        <w:t>cy za granic</w:t>
      </w:r>
      <w:r w:rsidRPr="00EC250C">
        <w:rPr>
          <w:rFonts w:hint="eastAsia"/>
        </w:rPr>
        <w:t>ą</w:t>
      </w:r>
      <w:r w:rsidRPr="00EC250C">
        <w:t xml:space="preserve"> mog</w:t>
      </w:r>
      <w:r w:rsidRPr="00EC250C">
        <w:rPr>
          <w:rFonts w:hint="eastAsia"/>
        </w:rPr>
        <w:t>ą</w:t>
      </w:r>
      <w:r w:rsidRPr="00EC250C">
        <w:t xml:space="preserve"> liczy</w:t>
      </w:r>
      <w:r w:rsidRPr="00EC250C">
        <w:rPr>
          <w:rFonts w:hint="eastAsia"/>
        </w:rPr>
        <w:t>ć</w:t>
      </w:r>
      <w:r w:rsidRPr="00EC250C">
        <w:t xml:space="preserve"> na pomoc polskich plac</w:t>
      </w:r>
      <w:r w:rsidRPr="00EC250C">
        <w:rPr>
          <w:rFonts w:hint="eastAsia"/>
        </w:rPr>
        <w:t>ó</w:t>
      </w:r>
      <w:r w:rsidRPr="00EC250C">
        <w:t>wek dyplomatycznych oraz polskiego rz</w:t>
      </w:r>
      <w:r w:rsidRPr="00EC250C">
        <w:rPr>
          <w:rFonts w:hint="eastAsia"/>
        </w:rPr>
        <w:t>ą</w:t>
      </w:r>
      <w:r w:rsidRPr="00EC250C">
        <w:t>du. Aby ta pomoc by</w:t>
      </w:r>
      <w:r w:rsidRPr="00EC250C">
        <w:rPr>
          <w:rFonts w:hint="eastAsia"/>
        </w:rPr>
        <w:t>ł</w:t>
      </w:r>
      <w:r w:rsidRPr="00EC250C">
        <w:t>a skuteczna, konieczne jest jednak zrozumienie mechanizm</w:t>
      </w:r>
      <w:r w:rsidRPr="00EC250C">
        <w:rPr>
          <w:rFonts w:hint="eastAsia"/>
        </w:rPr>
        <w:t>ó</w:t>
      </w:r>
      <w:r w:rsidRPr="00EC250C">
        <w:t>w opieki spo</w:t>
      </w:r>
      <w:r w:rsidRPr="00EC250C">
        <w:rPr>
          <w:rFonts w:hint="eastAsia"/>
        </w:rPr>
        <w:t>ł</w:t>
      </w:r>
      <w:r w:rsidRPr="00EC250C">
        <w:t>ecznej w innych pa</w:t>
      </w:r>
      <w:r w:rsidRPr="00EC250C">
        <w:rPr>
          <w:rFonts w:hint="eastAsia"/>
        </w:rPr>
        <w:t>ń</w:t>
      </w:r>
      <w:r w:rsidRPr="00EC250C">
        <w:t>stwach i r</w:t>
      </w:r>
      <w:r w:rsidRPr="00EC250C">
        <w:rPr>
          <w:rFonts w:hint="eastAsia"/>
        </w:rPr>
        <w:t>óż</w:t>
      </w:r>
      <w:r w:rsidRPr="00EC250C">
        <w:t>nic kulturowych</w:t>
      </w:r>
      <w:r w:rsidR="00204A2F" w:rsidRPr="00EC250C">
        <w:t>;</w:t>
      </w:r>
    </w:p>
    <w:p w14:paraId="400AE470" w14:textId="77777777" w:rsidR="00BD665E" w:rsidRPr="00EC250C" w:rsidRDefault="00BD665E" w:rsidP="006C70B7">
      <w:pPr>
        <w:pStyle w:val="Styl1"/>
        <w:numPr>
          <w:ilvl w:val="0"/>
          <w:numId w:val="65"/>
        </w:numPr>
      </w:pPr>
      <w:r w:rsidRPr="00EC250C">
        <w:t>dzieci staj</w:t>
      </w:r>
      <w:r w:rsidRPr="00EC250C">
        <w:rPr>
          <w:rFonts w:hint="eastAsia"/>
        </w:rPr>
        <w:t>ą</w:t>
      </w:r>
      <w:r w:rsidRPr="00EC250C">
        <w:t xml:space="preserve"> si</w:t>
      </w:r>
      <w:r w:rsidRPr="00EC250C">
        <w:rPr>
          <w:rFonts w:hint="eastAsia"/>
        </w:rPr>
        <w:t>ę</w:t>
      </w:r>
      <w:r w:rsidRPr="00EC250C">
        <w:t xml:space="preserve"> rodzicami. Problem b</w:t>
      </w:r>
      <w:r w:rsidRPr="00EC250C">
        <w:rPr>
          <w:rFonts w:hint="eastAsia"/>
        </w:rPr>
        <w:t>ę</w:t>
      </w:r>
      <w:r w:rsidRPr="00EC250C">
        <w:t>dzie narasta</w:t>
      </w:r>
      <w:r w:rsidRPr="00EC250C">
        <w:rPr>
          <w:rFonts w:hint="eastAsia"/>
        </w:rPr>
        <w:t>ł</w:t>
      </w:r>
      <w:r w:rsidRPr="00EC250C">
        <w:t>, o ile nie zdecydujemy si</w:t>
      </w:r>
      <w:r w:rsidRPr="00EC250C">
        <w:rPr>
          <w:rFonts w:hint="eastAsia"/>
        </w:rPr>
        <w:t>ę</w:t>
      </w:r>
      <w:r w:rsidRPr="00EC250C">
        <w:t xml:space="preserve"> na lepsz</w:t>
      </w:r>
      <w:r w:rsidRPr="00EC250C">
        <w:rPr>
          <w:rFonts w:hint="eastAsia"/>
        </w:rPr>
        <w:t>ą</w:t>
      </w:r>
      <w:r w:rsidRPr="00EC250C">
        <w:t xml:space="preserve"> edukacj</w:t>
      </w:r>
      <w:r w:rsidRPr="00EC250C">
        <w:rPr>
          <w:rFonts w:hint="eastAsia"/>
        </w:rPr>
        <w:t>ę</w:t>
      </w:r>
      <w:r w:rsidRPr="00EC250C">
        <w:t xml:space="preserve"> seksualn</w:t>
      </w:r>
      <w:r w:rsidRPr="00EC250C">
        <w:rPr>
          <w:rFonts w:hint="eastAsia"/>
        </w:rPr>
        <w:t>ą</w:t>
      </w:r>
      <w:r w:rsidRPr="00EC250C">
        <w:t xml:space="preserve">, nowoczesne przygotowanie do </w:t>
      </w:r>
      <w:r w:rsidRPr="00EC250C">
        <w:rPr>
          <w:rFonts w:hint="eastAsia"/>
        </w:rPr>
        <w:t>ż</w:t>
      </w:r>
      <w:r w:rsidRPr="00EC250C">
        <w:t>ycia w rodzinie, uczenie dzieci asertywno</w:t>
      </w:r>
      <w:r w:rsidRPr="00EC250C">
        <w:rPr>
          <w:rFonts w:hint="eastAsia"/>
        </w:rPr>
        <w:t>ś</w:t>
      </w:r>
      <w:r w:rsidRPr="00EC250C">
        <w:t>ci</w:t>
      </w:r>
      <w:r w:rsidR="00204A2F" w:rsidRPr="00EC250C">
        <w:t>;</w:t>
      </w:r>
    </w:p>
    <w:p w14:paraId="7CEA66F9" w14:textId="77777777" w:rsidR="00C91F6E" w:rsidRPr="00EC250C" w:rsidRDefault="00BD665E" w:rsidP="006C70B7">
      <w:pPr>
        <w:pStyle w:val="Styl1"/>
        <w:numPr>
          <w:ilvl w:val="0"/>
          <w:numId w:val="65"/>
        </w:numPr>
        <w:ind w:left="357" w:hanging="357"/>
      </w:pPr>
      <w:r w:rsidRPr="00EC250C">
        <w:t>dzieci wychowują się i będą się wychowywały w związkach jednopłciowych. Bo takie rodziny są, są legalne w wielu krajach na świecie, mogą je też zakładać obywatele polscy – choć teraz tylko za granicą. Nie wolno ignorować tego faktu, bo będzie się to kończyć krzywdą dzieci.</w:t>
      </w:r>
    </w:p>
    <w:p w14:paraId="477D4795" w14:textId="77777777" w:rsidR="006302BF" w:rsidRPr="00EC250C" w:rsidRDefault="006302BF" w:rsidP="00D131FA">
      <w:pPr>
        <w:pStyle w:val="ODESANIE"/>
        <w:jc w:val="both"/>
      </w:pPr>
      <w:r w:rsidRPr="00EC250C">
        <w:t>Pełen tekst rekomendacji Kongresu Praw Rodzicielskich –</w:t>
      </w:r>
      <w:r w:rsidR="00992FD0" w:rsidRPr="00EC250C">
        <w:t xml:space="preserve"> w </w:t>
      </w:r>
      <w:r w:rsidRPr="00EC250C">
        <w:t>części III Informacji</w:t>
      </w:r>
    </w:p>
    <w:p w14:paraId="2C2FF2FA" w14:textId="77777777" w:rsidR="00F176D4" w:rsidRPr="00EC250C" w:rsidRDefault="00F176D4" w:rsidP="00EC79EB">
      <w:pPr>
        <w:pStyle w:val="Nagwek4"/>
      </w:pPr>
      <w:bookmarkStart w:id="611" w:name="_Toc11247785"/>
      <w:bookmarkStart w:id="612" w:name="_Toc6257908"/>
      <w:r w:rsidRPr="00EC250C">
        <w:t xml:space="preserve">Problemy ze świadczeniem </w:t>
      </w:r>
      <w:r w:rsidR="00592360" w:rsidRPr="00EC250C">
        <w:t>500+</w:t>
      </w:r>
      <w:bookmarkEnd w:id="611"/>
      <w:r w:rsidR="00592360" w:rsidRPr="00EC250C">
        <w:t xml:space="preserve"> </w:t>
      </w:r>
    </w:p>
    <w:p w14:paraId="46891E1D" w14:textId="77777777" w:rsidR="00C91F6E" w:rsidRPr="00EC250C" w:rsidRDefault="00F176D4" w:rsidP="00EC250C">
      <w:pPr>
        <w:pStyle w:val="Nagwek5"/>
      </w:pPr>
      <w:r w:rsidRPr="00EC250C">
        <w:t xml:space="preserve">500+ </w:t>
      </w:r>
      <w:r w:rsidR="00592360" w:rsidRPr="00EC250C">
        <w:t xml:space="preserve">dla rodziców </w:t>
      </w:r>
      <w:r w:rsidR="00F22749" w:rsidRPr="00EC250C">
        <w:t>samotnie wychowujących dzieci</w:t>
      </w:r>
      <w:bookmarkEnd w:id="612"/>
      <w:r w:rsidRPr="00EC250C">
        <w:t xml:space="preserve"> a także dla dzieci w domach dziecka</w:t>
      </w:r>
    </w:p>
    <w:p w14:paraId="15550858" w14:textId="77777777" w:rsidR="00B473F5" w:rsidRPr="00EC250C" w:rsidRDefault="00592360" w:rsidP="00D131FA">
      <w:pPr>
        <w:pStyle w:val="Problemczowieka"/>
        <w:jc w:val="both"/>
        <w:rPr>
          <w:bdr w:val="none" w:sz="0" w:space="0" w:color="auto" w:frame="1"/>
        </w:rPr>
      </w:pPr>
      <w:r w:rsidRPr="00EC250C">
        <w:rPr>
          <w:bdr w:val="none" w:sz="0" w:space="0" w:color="auto" w:frame="1"/>
        </w:rPr>
        <w:t>Samotny rodzic</w:t>
      </w:r>
      <w:r w:rsidR="001242AA" w:rsidRPr="00EC250C">
        <w:rPr>
          <w:bdr w:val="none" w:sz="0" w:space="0" w:color="auto" w:frame="1"/>
        </w:rPr>
        <w:t xml:space="preserve"> w 2018 r.</w:t>
      </w:r>
      <w:r w:rsidRPr="00EC250C">
        <w:rPr>
          <w:bdr w:val="none" w:sz="0" w:space="0" w:color="auto" w:frame="1"/>
        </w:rPr>
        <w:t>, aby otrzymać wsparcie</w:t>
      </w:r>
      <w:r w:rsidR="00992FD0" w:rsidRPr="00EC250C">
        <w:rPr>
          <w:bdr w:val="none" w:sz="0" w:space="0" w:color="auto" w:frame="1"/>
        </w:rPr>
        <w:t xml:space="preserve"> z </w:t>
      </w:r>
      <w:r w:rsidRPr="00EC250C">
        <w:rPr>
          <w:bdr w:val="none" w:sz="0" w:space="0" w:color="auto" w:frame="1"/>
        </w:rPr>
        <w:t>programu 500+, musi</w:t>
      </w:r>
      <w:r w:rsidR="001242AA" w:rsidRPr="00EC250C">
        <w:rPr>
          <w:bdr w:val="none" w:sz="0" w:space="0" w:color="auto" w:frame="1"/>
        </w:rPr>
        <w:t>ał</w:t>
      </w:r>
      <w:r w:rsidRPr="00EC250C">
        <w:rPr>
          <w:bdr w:val="none" w:sz="0" w:space="0" w:color="auto" w:frame="1"/>
        </w:rPr>
        <w:t xml:space="preserve"> przedstawić tzw. tytuł wykonawcz</w:t>
      </w:r>
      <w:r w:rsidR="00350AE1" w:rsidRPr="00EC250C">
        <w:rPr>
          <w:bdr w:val="none" w:sz="0" w:space="0" w:color="auto" w:frame="1"/>
        </w:rPr>
        <w:t>y</w:t>
      </w:r>
      <w:r w:rsidRPr="00EC250C">
        <w:rPr>
          <w:bdr w:val="none" w:sz="0" w:space="0" w:color="auto" w:frame="1"/>
        </w:rPr>
        <w:t>, poświadczający prawo do alimentów na dziecko. Ten dokument powinien być dostarczony</w:t>
      </w:r>
      <w:r w:rsidR="00992FD0" w:rsidRPr="00EC250C">
        <w:rPr>
          <w:bdr w:val="none" w:sz="0" w:space="0" w:color="auto" w:frame="1"/>
        </w:rPr>
        <w:t xml:space="preserve"> w </w:t>
      </w:r>
      <w:r w:rsidRPr="00EC250C">
        <w:rPr>
          <w:bdr w:val="none" w:sz="0" w:space="0" w:color="auto" w:frame="1"/>
        </w:rPr>
        <w:t>ciągu 3 miesięcy</w:t>
      </w:r>
      <w:r w:rsidR="00204A2F" w:rsidRPr="00EC250C">
        <w:rPr>
          <w:bdr w:val="none" w:sz="0" w:space="0" w:color="auto" w:frame="1"/>
        </w:rPr>
        <w:t xml:space="preserve"> od złożenia wniosku o 500 +</w:t>
      </w:r>
      <w:r w:rsidRPr="00EC250C">
        <w:rPr>
          <w:bdr w:val="none" w:sz="0" w:space="0" w:color="auto" w:frame="1"/>
        </w:rPr>
        <w:t>. Nie zawsze jest to jednak możliwe m.in.</w:t>
      </w:r>
      <w:r w:rsidR="00992FD0" w:rsidRPr="00EC250C">
        <w:rPr>
          <w:bdr w:val="none" w:sz="0" w:space="0" w:color="auto" w:frame="1"/>
        </w:rPr>
        <w:t xml:space="preserve"> w </w:t>
      </w:r>
      <w:r w:rsidRPr="00EC250C">
        <w:rPr>
          <w:bdr w:val="none" w:sz="0" w:space="0" w:color="auto" w:frame="1"/>
        </w:rPr>
        <w:t>związku</w:t>
      </w:r>
      <w:r w:rsidR="00992FD0" w:rsidRPr="00EC250C">
        <w:rPr>
          <w:bdr w:val="none" w:sz="0" w:space="0" w:color="auto" w:frame="1"/>
        </w:rPr>
        <w:t xml:space="preserve"> z </w:t>
      </w:r>
      <w:r w:rsidRPr="00EC250C">
        <w:rPr>
          <w:bdr w:val="none" w:sz="0" w:space="0" w:color="auto" w:frame="1"/>
        </w:rPr>
        <w:t>kilkumiesięcznym oczekiwaniem na wyznaczenie</w:t>
      </w:r>
      <w:r w:rsidR="00992FD0" w:rsidRPr="00EC250C">
        <w:rPr>
          <w:bdr w:val="none" w:sz="0" w:space="0" w:color="auto" w:frame="1"/>
        </w:rPr>
        <w:t xml:space="preserve"> w </w:t>
      </w:r>
      <w:r w:rsidRPr="00EC250C">
        <w:rPr>
          <w:bdr w:val="none" w:sz="0" w:space="0" w:color="auto" w:frame="1"/>
        </w:rPr>
        <w:t>sądzie terminu sprawy</w:t>
      </w:r>
      <w:r w:rsidR="00992FD0" w:rsidRPr="00EC250C">
        <w:rPr>
          <w:bdr w:val="none" w:sz="0" w:space="0" w:color="auto" w:frame="1"/>
        </w:rPr>
        <w:t xml:space="preserve"> o </w:t>
      </w:r>
      <w:r w:rsidRPr="00EC250C">
        <w:rPr>
          <w:bdr w:val="none" w:sz="0" w:space="0" w:color="auto" w:frame="1"/>
        </w:rPr>
        <w:t>alimenty</w:t>
      </w:r>
      <w:r w:rsidR="00B473F5" w:rsidRPr="00EC250C">
        <w:rPr>
          <w:bdr w:val="none" w:sz="0" w:space="0" w:color="auto" w:frame="1"/>
        </w:rPr>
        <w:t>.</w:t>
      </w:r>
    </w:p>
    <w:p w14:paraId="7A2DC838" w14:textId="77777777" w:rsidR="00C91F6E" w:rsidRPr="00EC250C" w:rsidRDefault="00D76DC6" w:rsidP="00D131FA">
      <w:pPr>
        <w:pStyle w:val="Styl1"/>
        <w:rPr>
          <w:bdr w:val="none" w:sz="0" w:space="0" w:color="auto" w:frame="1"/>
        </w:rPr>
      </w:pPr>
      <w:r w:rsidRPr="00EC250C">
        <w:rPr>
          <w:bdr w:val="none" w:sz="0" w:space="0" w:color="auto" w:frame="1"/>
        </w:rPr>
        <w:t>RPO</w:t>
      </w:r>
      <w:r w:rsidR="00592360" w:rsidRPr="00EC250C">
        <w:rPr>
          <w:bdr w:val="none" w:sz="0" w:space="0" w:color="auto" w:frame="1"/>
        </w:rPr>
        <w:t xml:space="preserve"> zwrócił się</w:t>
      </w:r>
      <w:r w:rsidR="00992FD0" w:rsidRPr="00EC250C">
        <w:rPr>
          <w:bdr w:val="none" w:sz="0" w:space="0" w:color="auto" w:frame="1"/>
        </w:rPr>
        <w:t xml:space="preserve"> w </w:t>
      </w:r>
      <w:r w:rsidR="00592360" w:rsidRPr="00EC250C">
        <w:rPr>
          <w:bdr w:val="none" w:sz="0" w:space="0" w:color="auto" w:frame="1"/>
        </w:rPr>
        <w:t>tej sprawie do Minister Rodziny, Pracy</w:t>
      </w:r>
      <w:r w:rsidR="00992FD0" w:rsidRPr="00EC250C">
        <w:rPr>
          <w:bdr w:val="none" w:sz="0" w:space="0" w:color="auto" w:frame="1"/>
        </w:rPr>
        <w:t xml:space="preserve"> i </w:t>
      </w:r>
      <w:r w:rsidR="00592360" w:rsidRPr="00EC250C">
        <w:rPr>
          <w:bdr w:val="none" w:sz="0" w:space="0" w:color="auto" w:frame="1"/>
        </w:rPr>
        <w:t>Polityki Społecznej</w:t>
      </w:r>
      <w:r w:rsidR="00592360" w:rsidRPr="00EC250C">
        <w:rPr>
          <w:rStyle w:val="Odwoanieprzypisudolnego"/>
          <w:bCs/>
          <w:iCs/>
        </w:rPr>
        <w:footnoteReference w:id="596"/>
      </w:r>
      <w:r w:rsidR="00592360" w:rsidRPr="00EC250C">
        <w:rPr>
          <w:bdr w:val="none" w:sz="0" w:space="0" w:color="auto" w:frame="1"/>
        </w:rPr>
        <w:t>.</w:t>
      </w:r>
    </w:p>
    <w:p w14:paraId="49670BA6" w14:textId="77777777" w:rsidR="00592360" w:rsidRPr="00EC250C" w:rsidRDefault="001242AA" w:rsidP="00D131FA">
      <w:pPr>
        <w:pStyle w:val="Styl1"/>
      </w:pPr>
      <w:r w:rsidRPr="00EC250C">
        <w:t xml:space="preserve">Prawo do wsparcia w ramach programu 500+ przysługiwało na drugie dziecko, a na pierwsze – tylko w wyjątkowych sytuacjach, gdy rodzic samotnie je wychowuje. </w:t>
      </w:r>
      <w:r w:rsidR="00592360" w:rsidRPr="00EC250C">
        <w:t>Uczestnicy spotka</w:t>
      </w:r>
      <w:r w:rsidR="00204A2F" w:rsidRPr="00EC250C">
        <w:t>nia</w:t>
      </w:r>
      <w:r w:rsidR="00592360" w:rsidRPr="00EC250C">
        <w:t xml:space="preserve"> regionaln</w:t>
      </w:r>
      <w:r w:rsidR="00204A2F" w:rsidRPr="00EC250C">
        <w:t>ego</w:t>
      </w:r>
      <w:r w:rsidR="00592360" w:rsidRPr="00EC250C">
        <w:t xml:space="preserve"> Rzecznika Praw Obywatelskich </w:t>
      </w:r>
      <w:r w:rsidR="00204A2F" w:rsidRPr="00EC250C">
        <w:t xml:space="preserve">w Ostrowcu Świętokrzyskim </w:t>
      </w:r>
      <w:r w:rsidRPr="00EC250C">
        <w:t>zwrócili jednak uwagę, że rodzice ci nie mają często szans na skorzystanie z pomocy. P</w:t>
      </w:r>
      <w:r w:rsidR="008852FE" w:rsidRPr="00EC250C">
        <w:t>o</w:t>
      </w:r>
      <w:r w:rsidR="00592360" w:rsidRPr="00EC250C">
        <w:t xml:space="preserve"> nowelizacj</w:t>
      </w:r>
      <w:r w:rsidR="008852FE" w:rsidRPr="00EC250C">
        <w:t>i</w:t>
      </w:r>
      <w:r w:rsidR="00592360" w:rsidRPr="00EC250C">
        <w:t xml:space="preserve"> ustawy</w:t>
      </w:r>
      <w:r w:rsidR="00992FD0" w:rsidRPr="00EC250C">
        <w:t xml:space="preserve"> o </w:t>
      </w:r>
      <w:r w:rsidR="00592360" w:rsidRPr="00EC250C">
        <w:t>pomocy państwa</w:t>
      </w:r>
      <w:r w:rsidR="00992FD0" w:rsidRPr="00EC250C">
        <w:t xml:space="preserve"> w </w:t>
      </w:r>
      <w:r w:rsidR="00592360" w:rsidRPr="00EC250C">
        <w:t>wychowywaniu dzieci</w:t>
      </w:r>
      <w:r w:rsidR="00592360" w:rsidRPr="00EC250C">
        <w:rPr>
          <w:rStyle w:val="Odwoanieprzypisudolnego"/>
          <w:bCs/>
          <w:iCs/>
        </w:rPr>
        <w:footnoteReference w:id="597"/>
      </w:r>
      <w:r w:rsidR="008852FE" w:rsidRPr="00EC250C">
        <w:t xml:space="preserve"> rodzic, który deklaruje samotne wychowywanie dziecka, </w:t>
      </w:r>
      <w:r w:rsidRPr="00EC250C">
        <w:t xml:space="preserve">musi mieć </w:t>
      </w:r>
      <w:r w:rsidR="008852FE" w:rsidRPr="00EC250C">
        <w:t xml:space="preserve">ustalone alimenty </w:t>
      </w:r>
      <w:r w:rsidR="00592360" w:rsidRPr="00EC250C">
        <w:t>od drugiego</w:t>
      </w:r>
      <w:r w:rsidR="00992FD0" w:rsidRPr="00EC250C">
        <w:t xml:space="preserve"> z </w:t>
      </w:r>
      <w:r w:rsidR="00592360" w:rsidRPr="00EC250C">
        <w:t>rodziców</w:t>
      </w:r>
      <w:r w:rsidRPr="00EC250C">
        <w:t xml:space="preserve">, by dostać 500+. </w:t>
      </w:r>
    </w:p>
    <w:p w14:paraId="1136AA29" w14:textId="77777777" w:rsidR="00C91F6E" w:rsidRPr="00EC250C" w:rsidRDefault="00657983" w:rsidP="00D131FA">
      <w:pPr>
        <w:pStyle w:val="Styl1"/>
        <w:rPr>
          <w:bCs/>
          <w:iCs/>
        </w:rPr>
      </w:pPr>
      <w:r w:rsidRPr="00EC250C">
        <w:rPr>
          <w:bCs/>
          <w:iCs/>
        </w:rPr>
        <w:lastRenderedPageBreak/>
        <w:t>Minist</w:t>
      </w:r>
      <w:r w:rsidR="001242AA" w:rsidRPr="00EC250C">
        <w:rPr>
          <w:bCs/>
          <w:iCs/>
        </w:rPr>
        <w:t>e</w:t>
      </w:r>
      <w:r w:rsidRPr="00EC250C">
        <w:rPr>
          <w:bCs/>
          <w:iCs/>
        </w:rPr>
        <w:t xml:space="preserve">r </w:t>
      </w:r>
      <w:r w:rsidR="00592360" w:rsidRPr="00EC250C">
        <w:rPr>
          <w:bCs/>
          <w:iCs/>
        </w:rPr>
        <w:t>Rodziny, Pracy</w:t>
      </w:r>
      <w:r w:rsidR="00992FD0" w:rsidRPr="00EC250C">
        <w:rPr>
          <w:bCs/>
          <w:iCs/>
        </w:rPr>
        <w:t xml:space="preserve"> i </w:t>
      </w:r>
      <w:r w:rsidR="00592360" w:rsidRPr="00EC250C">
        <w:rPr>
          <w:bCs/>
          <w:iCs/>
        </w:rPr>
        <w:t xml:space="preserve">Polityki Społecznej </w:t>
      </w:r>
      <w:r w:rsidRPr="00EC250C">
        <w:rPr>
          <w:bCs/>
          <w:iCs/>
        </w:rPr>
        <w:t>wy</w:t>
      </w:r>
      <w:r w:rsidR="001242AA" w:rsidRPr="00EC250C">
        <w:rPr>
          <w:bCs/>
          <w:iCs/>
        </w:rPr>
        <w:t>jaśnił w 2018 r</w:t>
      </w:r>
      <w:r w:rsidR="00F22749" w:rsidRPr="00EC250C">
        <w:rPr>
          <w:bCs/>
          <w:iCs/>
        </w:rPr>
        <w:t xml:space="preserve">, że </w:t>
      </w:r>
      <w:r w:rsidR="001242AA" w:rsidRPr="00EC250C">
        <w:rPr>
          <w:bCs/>
          <w:iCs/>
        </w:rPr>
        <w:t xml:space="preserve">jest to zgodne z zamierzeniem ustawodawcy: </w:t>
      </w:r>
      <w:r w:rsidR="00F22749" w:rsidRPr="00EC250C">
        <w:rPr>
          <w:bCs/>
          <w:iCs/>
        </w:rPr>
        <w:t xml:space="preserve">świadczenie </w:t>
      </w:r>
      <w:r w:rsidR="00592360" w:rsidRPr="00EC250C">
        <w:rPr>
          <w:bCs/>
          <w:iCs/>
        </w:rPr>
        <w:t xml:space="preserve">500+ </w:t>
      </w:r>
      <w:r w:rsidR="001242AA" w:rsidRPr="00EC250C">
        <w:rPr>
          <w:bCs/>
          <w:iCs/>
        </w:rPr>
        <w:t xml:space="preserve">powinno być </w:t>
      </w:r>
      <w:r w:rsidR="00F22749" w:rsidRPr="00EC250C">
        <w:rPr>
          <w:bCs/>
          <w:iCs/>
        </w:rPr>
        <w:t xml:space="preserve">przyznawane osobie samotnie wychowującej dziecko dopiero po wyczerpaniu możliwości dochodzenia świadczeń alimentacyjnych od drugiego rodzica dziecka. </w:t>
      </w:r>
      <w:r w:rsidR="001242AA" w:rsidRPr="00EC250C">
        <w:rPr>
          <w:bCs/>
          <w:iCs/>
        </w:rPr>
        <w:t xml:space="preserve">To wynika z </w:t>
      </w:r>
      <w:r w:rsidR="00F22749" w:rsidRPr="00EC250C">
        <w:rPr>
          <w:bCs/>
          <w:iCs/>
        </w:rPr>
        <w:t>konstytucyjnej zasady pomocniczości państwa, zgodnie</w:t>
      </w:r>
      <w:r w:rsidR="00992FD0" w:rsidRPr="00EC250C">
        <w:rPr>
          <w:bCs/>
          <w:iCs/>
        </w:rPr>
        <w:t xml:space="preserve"> z </w:t>
      </w:r>
      <w:r w:rsidR="00F22749" w:rsidRPr="00EC250C">
        <w:rPr>
          <w:bCs/>
          <w:iCs/>
        </w:rPr>
        <w:t>którą państwo wspiera rodziny, ale</w:t>
      </w:r>
      <w:r w:rsidR="00992FD0" w:rsidRPr="00EC250C">
        <w:rPr>
          <w:bCs/>
          <w:iCs/>
        </w:rPr>
        <w:t xml:space="preserve"> </w:t>
      </w:r>
      <w:r w:rsidR="00F22749" w:rsidRPr="00EC250C">
        <w:rPr>
          <w:bCs/>
          <w:iCs/>
        </w:rPr>
        <w:t xml:space="preserve">obowiązek zaspokojenia potrzeb dziecka </w:t>
      </w:r>
      <w:r w:rsidR="001242AA" w:rsidRPr="00EC250C">
        <w:rPr>
          <w:bCs/>
          <w:iCs/>
        </w:rPr>
        <w:t xml:space="preserve">w pierwszej kolejności </w:t>
      </w:r>
      <w:r w:rsidR="00F22749" w:rsidRPr="00EC250C">
        <w:rPr>
          <w:bCs/>
          <w:iCs/>
        </w:rPr>
        <w:t>spoczywa na jego rodzicach.</w:t>
      </w:r>
    </w:p>
    <w:p w14:paraId="792AABFA" w14:textId="77777777" w:rsidR="00F22749" w:rsidRPr="00EC250C" w:rsidRDefault="00657983" w:rsidP="00D131FA">
      <w:pPr>
        <w:pStyle w:val="Styl1"/>
        <w:rPr>
          <w:bCs/>
          <w:iCs/>
        </w:rPr>
      </w:pPr>
      <w:r w:rsidRPr="00EC250C">
        <w:rPr>
          <w:bCs/>
          <w:iCs/>
        </w:rPr>
        <w:t>Minister</w:t>
      </w:r>
      <w:r w:rsidR="00F22749" w:rsidRPr="00EC250C">
        <w:rPr>
          <w:bCs/>
          <w:iCs/>
        </w:rPr>
        <w:t xml:space="preserve"> zauważył</w:t>
      </w:r>
      <w:r w:rsidR="001242AA" w:rsidRPr="00EC250C">
        <w:rPr>
          <w:bCs/>
          <w:iCs/>
        </w:rPr>
        <w:t xml:space="preserve"> też</w:t>
      </w:r>
      <w:r w:rsidR="00F22749" w:rsidRPr="00EC250C">
        <w:rPr>
          <w:bCs/>
          <w:iCs/>
        </w:rPr>
        <w:t xml:space="preserve">, że </w:t>
      </w:r>
      <w:r w:rsidR="00592360" w:rsidRPr="00EC250C">
        <w:rPr>
          <w:bCs/>
          <w:iCs/>
        </w:rPr>
        <w:t xml:space="preserve">do </w:t>
      </w:r>
      <w:r w:rsidR="00F22749" w:rsidRPr="00EC250C">
        <w:rPr>
          <w:bCs/>
          <w:iCs/>
        </w:rPr>
        <w:t xml:space="preserve">potwierdzenia alimentów od drugiego rodzica nie jest </w:t>
      </w:r>
      <w:r w:rsidR="00592360" w:rsidRPr="00EC250C">
        <w:rPr>
          <w:bCs/>
          <w:iCs/>
        </w:rPr>
        <w:t xml:space="preserve">konieczny </w:t>
      </w:r>
      <w:r w:rsidR="00F22749" w:rsidRPr="00EC250C">
        <w:rPr>
          <w:bCs/>
          <w:iCs/>
        </w:rPr>
        <w:t xml:space="preserve">wyrok </w:t>
      </w:r>
      <w:r w:rsidR="00592360" w:rsidRPr="00EC250C">
        <w:rPr>
          <w:bCs/>
          <w:iCs/>
        </w:rPr>
        <w:t>alimentacyjny</w:t>
      </w:r>
      <w:r w:rsidR="00F22749" w:rsidRPr="00EC250C">
        <w:rPr>
          <w:bCs/>
          <w:iCs/>
        </w:rPr>
        <w:t>. Jeśli sprawa</w:t>
      </w:r>
      <w:r w:rsidR="00992FD0" w:rsidRPr="00EC250C">
        <w:rPr>
          <w:bCs/>
          <w:iCs/>
        </w:rPr>
        <w:t xml:space="preserve"> o </w:t>
      </w:r>
      <w:r w:rsidR="00F22749" w:rsidRPr="00EC250C">
        <w:rPr>
          <w:bCs/>
          <w:iCs/>
        </w:rPr>
        <w:t xml:space="preserve">alimenty już się przed sądem toczy, </w:t>
      </w:r>
      <w:r w:rsidR="00592360" w:rsidRPr="00EC250C">
        <w:rPr>
          <w:bCs/>
          <w:iCs/>
        </w:rPr>
        <w:t xml:space="preserve">wystarczy </w:t>
      </w:r>
      <w:r w:rsidR="00F22749" w:rsidRPr="00EC250C">
        <w:rPr>
          <w:bCs/>
          <w:iCs/>
        </w:rPr>
        <w:t>odpis postanowienia sądu</w:t>
      </w:r>
      <w:r w:rsidR="00992FD0" w:rsidRPr="00EC250C">
        <w:rPr>
          <w:bCs/>
          <w:iCs/>
        </w:rPr>
        <w:t xml:space="preserve"> o </w:t>
      </w:r>
      <w:r w:rsidR="00F22749" w:rsidRPr="00EC250C">
        <w:rPr>
          <w:bCs/>
          <w:iCs/>
        </w:rPr>
        <w:t>zabezpieczeniu powództwa</w:t>
      </w:r>
      <w:r w:rsidR="00992FD0" w:rsidRPr="00EC250C">
        <w:rPr>
          <w:bCs/>
          <w:iCs/>
        </w:rPr>
        <w:t xml:space="preserve"> o </w:t>
      </w:r>
      <w:r w:rsidR="00F22749" w:rsidRPr="00EC250C">
        <w:rPr>
          <w:bCs/>
          <w:iCs/>
        </w:rPr>
        <w:t>alimenty.</w:t>
      </w:r>
    </w:p>
    <w:p w14:paraId="751481CA" w14:textId="77777777" w:rsidR="008C3538" w:rsidRPr="00EC250C" w:rsidRDefault="008C3538" w:rsidP="00D131FA">
      <w:pPr>
        <w:pStyle w:val="Styl1"/>
        <w:rPr>
          <w:bCs/>
          <w:iCs/>
        </w:rPr>
      </w:pPr>
      <w:r w:rsidRPr="00EC250C">
        <w:rPr>
          <w:bCs/>
          <w:iCs/>
        </w:rPr>
        <w:t xml:space="preserve">W 2019 r. przepisy o 500+ zostały istotnie zmienione - </w:t>
      </w:r>
      <w:r w:rsidR="00BB403C" w:rsidRPr="00EC250C">
        <w:rPr>
          <w:bCs/>
          <w:iCs/>
        </w:rPr>
        <w:t>ustaw</w:t>
      </w:r>
      <w:r w:rsidRPr="00EC250C">
        <w:rPr>
          <w:bCs/>
          <w:iCs/>
        </w:rPr>
        <w:t>a</w:t>
      </w:r>
      <w:r w:rsidR="00992FD0" w:rsidRPr="00EC250C">
        <w:rPr>
          <w:bCs/>
          <w:iCs/>
        </w:rPr>
        <w:t xml:space="preserve"> z </w:t>
      </w:r>
      <w:r w:rsidR="00BB403C" w:rsidRPr="00EC250C">
        <w:rPr>
          <w:bCs/>
          <w:iCs/>
        </w:rPr>
        <w:t>26 kwietnia 2019</w:t>
      </w:r>
      <w:r w:rsidR="00C91F6E" w:rsidRPr="00EC250C">
        <w:rPr>
          <w:bCs/>
          <w:iCs/>
        </w:rPr>
        <w:t> r.</w:t>
      </w:r>
      <w:r w:rsidR="00992FD0" w:rsidRPr="00EC250C">
        <w:rPr>
          <w:bCs/>
          <w:iCs/>
        </w:rPr>
        <w:t xml:space="preserve"> o </w:t>
      </w:r>
      <w:r w:rsidR="00BB403C" w:rsidRPr="00EC250C">
        <w:rPr>
          <w:bCs/>
          <w:iCs/>
        </w:rPr>
        <w:t>zmianie ustawy</w:t>
      </w:r>
      <w:r w:rsidR="00992FD0" w:rsidRPr="00EC250C">
        <w:rPr>
          <w:bCs/>
          <w:iCs/>
        </w:rPr>
        <w:t xml:space="preserve"> o </w:t>
      </w:r>
      <w:r w:rsidR="00BB403C" w:rsidRPr="00EC250C">
        <w:rPr>
          <w:bCs/>
          <w:iCs/>
        </w:rPr>
        <w:t>pomocy państwa</w:t>
      </w:r>
      <w:r w:rsidR="00992FD0" w:rsidRPr="00EC250C">
        <w:rPr>
          <w:bCs/>
          <w:iCs/>
        </w:rPr>
        <w:t xml:space="preserve"> w </w:t>
      </w:r>
      <w:r w:rsidR="00BB403C" w:rsidRPr="00EC250C">
        <w:rPr>
          <w:bCs/>
          <w:iCs/>
        </w:rPr>
        <w:t>wychowaniu dzieci</w:t>
      </w:r>
      <w:r w:rsidR="001242AA" w:rsidRPr="00EC250C">
        <w:rPr>
          <w:rStyle w:val="Odwoanieprzypisudolnego"/>
          <w:bCs/>
          <w:iCs/>
        </w:rPr>
        <w:footnoteReference w:id="598"/>
      </w:r>
      <w:r w:rsidRPr="00EC250C">
        <w:rPr>
          <w:bCs/>
          <w:iCs/>
        </w:rPr>
        <w:t xml:space="preserve"> o</w:t>
      </w:r>
      <w:r w:rsidR="00BB403C" w:rsidRPr="00EC250C">
        <w:rPr>
          <w:bCs/>
          <w:iCs/>
        </w:rPr>
        <w:t>bję</w:t>
      </w:r>
      <w:r w:rsidR="001242AA" w:rsidRPr="00EC250C">
        <w:rPr>
          <w:bCs/>
          <w:iCs/>
        </w:rPr>
        <w:t xml:space="preserve">ła </w:t>
      </w:r>
      <w:r w:rsidR="00BB403C" w:rsidRPr="00EC250C">
        <w:rPr>
          <w:bCs/>
          <w:iCs/>
        </w:rPr>
        <w:t>programem wszystki</w:t>
      </w:r>
      <w:r w:rsidR="001242AA" w:rsidRPr="00EC250C">
        <w:rPr>
          <w:bCs/>
          <w:iCs/>
        </w:rPr>
        <w:t>e</w:t>
      </w:r>
      <w:r w:rsidR="00BB403C" w:rsidRPr="00EC250C">
        <w:rPr>
          <w:bCs/>
          <w:iCs/>
        </w:rPr>
        <w:t xml:space="preserve"> dzieci do 18 roku życia</w:t>
      </w:r>
      <w:r w:rsidRPr="00EC250C">
        <w:rPr>
          <w:bCs/>
          <w:iCs/>
        </w:rPr>
        <w:t xml:space="preserve">. Problem został więc rozwiązany. </w:t>
      </w:r>
      <w:r w:rsidR="00874B10" w:rsidRPr="00EC250C">
        <w:rPr>
          <w:bCs/>
          <w:iCs/>
        </w:rPr>
        <w:t>Co więcej, nowelizacja  przyznała też  prawo do świadczenia dzieciom w placówkach opiekuńczo-wychowawczych, o co postulował RPO</w:t>
      </w:r>
      <w:r w:rsidR="00204A2F" w:rsidRPr="00EC250C">
        <w:rPr>
          <w:bCs/>
          <w:iCs/>
        </w:rPr>
        <w:t xml:space="preserve"> od momentu, gdy o problemie dowiedział się w 2016 r. w czasie spotkania regionalnego we Wschowie</w:t>
      </w:r>
      <w:r w:rsidR="00874B10" w:rsidRPr="00EC250C">
        <w:rPr>
          <w:rStyle w:val="Odwoanieprzypisudolnego"/>
          <w:bCs/>
          <w:iCs/>
        </w:rPr>
        <w:footnoteReference w:id="599"/>
      </w:r>
      <w:r w:rsidR="00874B10" w:rsidRPr="00EC250C">
        <w:rPr>
          <w:bCs/>
          <w:iCs/>
        </w:rPr>
        <w:t>.</w:t>
      </w:r>
    </w:p>
    <w:p w14:paraId="2EC418D9" w14:textId="77777777" w:rsidR="008C3538" w:rsidRPr="00EC250C" w:rsidRDefault="008C3538" w:rsidP="00EC250C">
      <w:pPr>
        <w:pStyle w:val="Nagwek5"/>
      </w:pPr>
      <w:r w:rsidRPr="00EC250C">
        <w:t>Prawo do 500+ w przypadku śmierci rodziców</w:t>
      </w:r>
    </w:p>
    <w:p w14:paraId="33F9F70D" w14:textId="77777777" w:rsidR="00B473F5" w:rsidRPr="00EC250C" w:rsidRDefault="008C3538" w:rsidP="00D131FA">
      <w:pPr>
        <w:pStyle w:val="Problemczowieka"/>
        <w:jc w:val="both"/>
        <w:rPr>
          <w:rStyle w:val="Pogrubienie"/>
          <w:rFonts w:eastAsiaTheme="majorEastAsia"/>
          <w:b/>
          <w:bCs w:val="0"/>
        </w:rPr>
      </w:pPr>
      <w:r w:rsidRPr="00EC250C">
        <w:rPr>
          <w:rStyle w:val="Pogrubienie"/>
          <w:rFonts w:eastAsiaTheme="majorEastAsia" w:hint="eastAsia"/>
          <w:b/>
          <w:bCs w:val="0"/>
        </w:rPr>
        <w:t>Ś</w:t>
      </w:r>
      <w:r w:rsidRPr="00EC250C">
        <w:rPr>
          <w:rStyle w:val="Pogrubienie"/>
          <w:rFonts w:eastAsiaTheme="majorEastAsia"/>
          <w:b/>
          <w:bCs w:val="0"/>
        </w:rPr>
        <w:t>mier</w:t>
      </w:r>
      <w:r w:rsidRPr="00EC250C">
        <w:rPr>
          <w:rStyle w:val="Pogrubienie"/>
          <w:rFonts w:eastAsiaTheme="majorEastAsia" w:hint="eastAsia"/>
          <w:b/>
          <w:bCs w:val="0"/>
        </w:rPr>
        <w:t>ć</w:t>
      </w:r>
      <w:r w:rsidRPr="00EC250C">
        <w:rPr>
          <w:rStyle w:val="Pogrubienie"/>
          <w:rFonts w:eastAsiaTheme="majorEastAsia"/>
          <w:b/>
          <w:bCs w:val="0"/>
        </w:rPr>
        <w:t xml:space="preserve"> obojga rodzic</w:t>
      </w:r>
      <w:r w:rsidRPr="00EC250C">
        <w:rPr>
          <w:rStyle w:val="Pogrubienie"/>
          <w:rFonts w:eastAsiaTheme="majorEastAsia" w:hint="eastAsia"/>
          <w:b/>
          <w:bCs w:val="0"/>
        </w:rPr>
        <w:t>ó</w:t>
      </w:r>
      <w:r w:rsidRPr="00EC250C">
        <w:rPr>
          <w:rStyle w:val="Pogrubienie"/>
          <w:rFonts w:eastAsiaTheme="majorEastAsia"/>
          <w:b/>
          <w:bCs w:val="0"/>
        </w:rPr>
        <w:t>w w toku post</w:t>
      </w:r>
      <w:r w:rsidRPr="00EC250C">
        <w:rPr>
          <w:rStyle w:val="Pogrubienie"/>
          <w:rFonts w:eastAsiaTheme="majorEastAsia" w:hint="eastAsia"/>
          <w:b/>
          <w:bCs w:val="0"/>
        </w:rPr>
        <w:t>ę</w:t>
      </w:r>
      <w:r w:rsidRPr="00EC250C">
        <w:rPr>
          <w:rStyle w:val="Pogrubienie"/>
          <w:rFonts w:eastAsiaTheme="majorEastAsia"/>
          <w:b/>
          <w:bCs w:val="0"/>
        </w:rPr>
        <w:t>powania o </w:t>
      </w:r>
      <w:r w:rsidRPr="00EC250C">
        <w:rPr>
          <w:rStyle w:val="Pogrubienie"/>
          <w:rFonts w:eastAsiaTheme="majorEastAsia" w:hint="eastAsia"/>
          <w:b/>
          <w:bCs w:val="0"/>
        </w:rPr>
        <w:t>ś</w:t>
      </w:r>
      <w:r w:rsidRPr="00EC250C">
        <w:rPr>
          <w:rStyle w:val="Pogrubienie"/>
          <w:rFonts w:eastAsiaTheme="majorEastAsia"/>
          <w:b/>
          <w:bCs w:val="0"/>
        </w:rPr>
        <w:t>wiadczenie 500+ dla dziecka powodowała w 2018 r</w:t>
      </w:r>
      <w:r w:rsidR="00874B10" w:rsidRPr="00EC250C">
        <w:rPr>
          <w:rStyle w:val="Pogrubienie"/>
          <w:rFonts w:eastAsiaTheme="majorEastAsia"/>
          <w:b/>
          <w:bCs w:val="0"/>
        </w:rPr>
        <w:t>.</w:t>
      </w:r>
      <w:r w:rsidRPr="00EC250C">
        <w:rPr>
          <w:rStyle w:val="Pogrubienie"/>
          <w:rFonts w:eastAsiaTheme="majorEastAsia"/>
          <w:b/>
          <w:bCs w:val="0"/>
        </w:rPr>
        <w:t xml:space="preserve"> umorzenie sprawy. W przypadku za</w:t>
      </w:r>
      <w:r w:rsidRPr="00EC250C">
        <w:rPr>
          <w:rStyle w:val="Pogrubienie"/>
          <w:rFonts w:eastAsiaTheme="majorEastAsia" w:hint="eastAsia"/>
          <w:b/>
          <w:bCs w:val="0"/>
        </w:rPr>
        <w:t>ś</w:t>
      </w:r>
      <w:r w:rsidRPr="00EC250C">
        <w:rPr>
          <w:rStyle w:val="Pogrubienie"/>
          <w:rFonts w:eastAsiaTheme="majorEastAsia"/>
          <w:b/>
          <w:bCs w:val="0"/>
        </w:rPr>
        <w:t xml:space="preserve"> </w:t>
      </w:r>
      <w:r w:rsidRPr="00EC250C">
        <w:rPr>
          <w:rStyle w:val="Pogrubienie"/>
          <w:rFonts w:eastAsiaTheme="majorEastAsia" w:hint="eastAsia"/>
          <w:b/>
          <w:bCs w:val="0"/>
        </w:rPr>
        <w:t>ś</w:t>
      </w:r>
      <w:r w:rsidRPr="00EC250C">
        <w:rPr>
          <w:rStyle w:val="Pogrubienie"/>
          <w:rFonts w:eastAsiaTheme="majorEastAsia"/>
          <w:b/>
          <w:bCs w:val="0"/>
        </w:rPr>
        <w:t>mierci jednego z rodzic</w:t>
      </w:r>
      <w:r w:rsidRPr="00EC250C">
        <w:rPr>
          <w:rStyle w:val="Pogrubienie"/>
          <w:rFonts w:eastAsiaTheme="majorEastAsia" w:hint="eastAsia"/>
          <w:b/>
          <w:bCs w:val="0"/>
        </w:rPr>
        <w:t>ó</w:t>
      </w:r>
      <w:r w:rsidRPr="00EC250C">
        <w:rPr>
          <w:rStyle w:val="Pogrubienie"/>
          <w:rFonts w:eastAsiaTheme="majorEastAsia"/>
          <w:b/>
          <w:bCs w:val="0"/>
        </w:rPr>
        <w:t>w, drugi rodzic musiał składać wniosek od nowa</w:t>
      </w:r>
      <w:r w:rsidR="00B473F5" w:rsidRPr="00EC250C">
        <w:rPr>
          <w:rStyle w:val="Pogrubienie"/>
          <w:rFonts w:eastAsiaTheme="majorEastAsia"/>
          <w:b/>
          <w:bCs w:val="0"/>
        </w:rPr>
        <w:t>.</w:t>
      </w:r>
    </w:p>
    <w:p w14:paraId="17878CBC" w14:textId="77777777" w:rsidR="008C3538" w:rsidRPr="00EC250C" w:rsidRDefault="008C3538" w:rsidP="00D131FA">
      <w:pPr>
        <w:pStyle w:val="Styl1"/>
      </w:pPr>
      <w:r w:rsidRPr="00EC250C">
        <w:rPr>
          <w:bCs/>
          <w:iCs/>
        </w:rPr>
        <w:t xml:space="preserve">Sytuacja zmieniła się dzięki opisanej wyżej nowelizacji ustawy </w:t>
      </w:r>
      <w:r w:rsidR="00874B10" w:rsidRPr="00EC250C">
        <w:rPr>
          <w:bCs/>
          <w:iCs/>
        </w:rPr>
        <w:t xml:space="preserve">o pomocy państwa w wychowaniu dzieci. </w:t>
      </w:r>
      <w:r w:rsidR="00874B10" w:rsidRPr="00EC250C">
        <w:t xml:space="preserve">O </w:t>
      </w:r>
      <w:r w:rsidR="00F176D4" w:rsidRPr="00EC250C">
        <w:t xml:space="preserve">zmianę tych </w:t>
      </w:r>
      <w:r w:rsidR="00874B10" w:rsidRPr="00EC250C">
        <w:t xml:space="preserve">przepisów </w:t>
      </w:r>
      <w:r w:rsidRPr="00EC250C">
        <w:t xml:space="preserve">RPO wystąpił </w:t>
      </w:r>
      <w:r w:rsidR="00874B10" w:rsidRPr="00EC250C">
        <w:t xml:space="preserve">w 2018 r. </w:t>
      </w:r>
      <w:r w:rsidRPr="00EC250C">
        <w:t>do Ministr</w:t>
      </w:r>
      <w:r w:rsidR="00F176D4" w:rsidRPr="00EC250C">
        <w:t>a</w:t>
      </w:r>
      <w:r w:rsidRPr="00EC250C">
        <w:t xml:space="preserve"> Rodziny, Pracy i Polityki Społecznej</w:t>
      </w:r>
      <w:r w:rsidRPr="00EC250C">
        <w:rPr>
          <w:rStyle w:val="Odwoanieprzypisudolnego"/>
          <w:bCs/>
          <w:iCs/>
        </w:rPr>
        <w:footnoteReference w:id="600"/>
      </w:r>
      <w:r w:rsidRPr="00EC250C">
        <w:t>.</w:t>
      </w:r>
      <w:r w:rsidR="00874B10" w:rsidRPr="00EC250C">
        <w:t xml:space="preserve"> </w:t>
      </w:r>
      <w:r w:rsidRPr="00EC250C">
        <w:t>Problem pokazał telewizyjny reportaż „Urzędnicy nie zdążyli przyznać 500 plus. Rodzice zmarli”</w:t>
      </w:r>
      <w:r w:rsidR="00F176D4" w:rsidRPr="00EC250C">
        <w:t>:</w:t>
      </w:r>
      <w:r w:rsidRPr="00EC250C">
        <w:t xml:space="preserve"> </w:t>
      </w:r>
      <w:r w:rsidR="00F176D4" w:rsidRPr="00EC250C">
        <w:t>R</w:t>
      </w:r>
      <w:r w:rsidRPr="00EC250C">
        <w:t>odzinie wypłacano świadczenie 500+</w:t>
      </w:r>
      <w:r w:rsidR="00F176D4" w:rsidRPr="00EC250C">
        <w:t xml:space="preserve">, ale po śmierci </w:t>
      </w:r>
      <w:r w:rsidRPr="00EC250C">
        <w:t xml:space="preserve">obojga rodziców postępowania w sprawach świadczenia </w:t>
      </w:r>
      <w:r w:rsidR="00F176D4" w:rsidRPr="00EC250C">
        <w:t xml:space="preserve">po prostu </w:t>
      </w:r>
      <w:r w:rsidRPr="00EC250C">
        <w:t>umorzono.</w:t>
      </w:r>
    </w:p>
    <w:p w14:paraId="462EC810" w14:textId="77777777" w:rsidR="00874B10" w:rsidRPr="00EC250C" w:rsidRDefault="00874B10" w:rsidP="00D131FA">
      <w:pPr>
        <w:pStyle w:val="Styl1"/>
      </w:pPr>
      <w:r w:rsidRPr="00EC250C">
        <w:t>RPO zwrócił uwagę, że u</w:t>
      </w:r>
      <w:r w:rsidR="008C3538" w:rsidRPr="00EC250C">
        <w:t xml:space="preserve">stawodawca nie przewidział takiej sytuacji. </w:t>
      </w:r>
    </w:p>
    <w:p w14:paraId="0BBDD765" w14:textId="77777777" w:rsidR="00874B10" w:rsidRPr="00EC250C" w:rsidRDefault="008C3538" w:rsidP="00D131FA">
      <w:pPr>
        <w:pStyle w:val="Styl1"/>
        <w:rPr>
          <w:bCs/>
          <w:iCs/>
        </w:rPr>
      </w:pPr>
      <w:r w:rsidRPr="00EC250C">
        <w:t xml:space="preserve">Minister odpowiedział, że </w:t>
      </w:r>
      <w:r w:rsidR="00F176D4" w:rsidRPr="00EC250C">
        <w:t xml:space="preserve">postępowanie urzędników było właściwe, gdyż </w:t>
      </w:r>
      <w:r w:rsidRPr="00EC250C">
        <w:t>prawo do świadczenia wychowawczego ma charakter ściśle osobisty</w:t>
      </w:r>
      <w:r w:rsidR="00F176D4" w:rsidRPr="00EC250C">
        <w:t>. W</w:t>
      </w:r>
      <w:r w:rsidRPr="00EC250C">
        <w:t xml:space="preserve">ygasa </w:t>
      </w:r>
      <w:r w:rsidR="00F176D4" w:rsidRPr="00EC250C">
        <w:t xml:space="preserve">zatem </w:t>
      </w:r>
      <w:r w:rsidRPr="00EC250C">
        <w:t>wraz ze śmiercią wnioskodawcy</w:t>
      </w:r>
      <w:r w:rsidR="00F176D4" w:rsidRPr="00EC250C">
        <w:t>, n</w:t>
      </w:r>
      <w:r w:rsidRPr="00EC250C">
        <w:t>ie można go także odziedziczyć. Jednocześnie Minister obiecał, że poruszona przez RPO kwestia zostanie poddana analizie w przypadku podjęcia prac legislacyjnych w zakresie zmiany ustawy o pomocy państwa w wychowywaniu dzieci.</w:t>
      </w:r>
      <w:r w:rsidR="00874B10" w:rsidRPr="00EC250C">
        <w:t xml:space="preserve"> Tak się też stało w 2019 r. </w:t>
      </w:r>
      <w:r w:rsidR="00874B10" w:rsidRPr="00EC250C">
        <w:rPr>
          <w:bCs/>
          <w:iCs/>
        </w:rPr>
        <w:t>Teraz państwo automatycznie uznaje ciągłość takiego już raz przyznanego świadczenia</w:t>
      </w:r>
      <w:r w:rsidR="00204A2F" w:rsidRPr="00EC250C">
        <w:rPr>
          <w:rStyle w:val="Odwoanieprzypisudolnego"/>
          <w:bCs/>
          <w:iCs/>
        </w:rPr>
        <w:footnoteReference w:id="601"/>
      </w:r>
      <w:r w:rsidR="00874B10" w:rsidRPr="00EC250C">
        <w:rPr>
          <w:bCs/>
          <w:iCs/>
        </w:rPr>
        <w:t>.</w:t>
      </w:r>
    </w:p>
    <w:p w14:paraId="0CFCFF68" w14:textId="77777777" w:rsidR="00B150B9" w:rsidRPr="00EC250C" w:rsidRDefault="00B150B9" w:rsidP="00D131FA">
      <w:pPr>
        <w:pStyle w:val="ODESANIE"/>
        <w:jc w:val="both"/>
      </w:pPr>
      <w:r w:rsidRPr="00EC250C">
        <w:lastRenderedPageBreak/>
        <w:t>Przewlek</w:t>
      </w:r>
      <w:r w:rsidRPr="00EC250C">
        <w:rPr>
          <w:rFonts w:hint="eastAsia"/>
        </w:rPr>
        <w:t>ł</w:t>
      </w:r>
      <w:r w:rsidRPr="00EC250C">
        <w:t>o</w:t>
      </w:r>
      <w:r w:rsidRPr="00EC250C">
        <w:rPr>
          <w:rFonts w:hint="eastAsia"/>
        </w:rPr>
        <w:t>ść</w:t>
      </w:r>
      <w:r w:rsidRPr="00EC250C">
        <w:t xml:space="preserve"> post</w:t>
      </w:r>
      <w:r w:rsidRPr="00EC250C">
        <w:rPr>
          <w:rFonts w:hint="eastAsia"/>
        </w:rPr>
        <w:t>ę</w:t>
      </w:r>
      <w:r w:rsidRPr="00EC250C">
        <w:t>powa</w:t>
      </w:r>
      <w:r w:rsidRPr="00EC250C">
        <w:rPr>
          <w:rFonts w:hint="eastAsia"/>
        </w:rPr>
        <w:t>ń</w:t>
      </w:r>
      <w:r w:rsidRPr="00EC250C">
        <w:t xml:space="preserve"> dotycz</w:t>
      </w:r>
      <w:r w:rsidRPr="00EC250C">
        <w:rPr>
          <w:rFonts w:hint="eastAsia"/>
        </w:rPr>
        <w:t>ą</w:t>
      </w:r>
      <w:r w:rsidRPr="00EC250C">
        <w:t xml:space="preserve">cych </w:t>
      </w:r>
      <w:r w:rsidRPr="00EC250C">
        <w:rPr>
          <w:rFonts w:hint="eastAsia"/>
        </w:rPr>
        <w:t>ś</w:t>
      </w:r>
      <w:r w:rsidRPr="00EC250C">
        <w:t>wiadcze</w:t>
      </w:r>
      <w:r w:rsidRPr="00EC250C">
        <w:rPr>
          <w:rFonts w:hint="eastAsia"/>
        </w:rPr>
        <w:t>ń</w:t>
      </w:r>
      <w:r w:rsidR="00992FD0" w:rsidRPr="00EC250C">
        <w:t xml:space="preserve"> w </w:t>
      </w:r>
      <w:r w:rsidRPr="00EC250C">
        <w:t>ramach koordynacji system</w:t>
      </w:r>
      <w:r w:rsidRPr="00EC250C">
        <w:rPr>
          <w:rFonts w:hint="eastAsia"/>
        </w:rPr>
        <w:t>ó</w:t>
      </w:r>
      <w:r w:rsidRPr="00EC250C">
        <w:t>w zabezpieczenia spo</w:t>
      </w:r>
      <w:r w:rsidRPr="00EC250C">
        <w:rPr>
          <w:rFonts w:hint="eastAsia"/>
        </w:rPr>
        <w:t>ł</w:t>
      </w:r>
      <w:r w:rsidRPr="00EC250C">
        <w:t xml:space="preserve">ecznego </w:t>
      </w:r>
      <w:r w:rsidR="00FB041C" w:rsidRPr="00EC250C">
        <w:t xml:space="preserve">– </w:t>
      </w:r>
      <w:r w:rsidR="006302BF" w:rsidRPr="00EC250C">
        <w:t xml:space="preserve"> art. 67</w:t>
      </w:r>
    </w:p>
    <w:p w14:paraId="60DEF7B8" w14:textId="77777777" w:rsidR="00FB041C" w:rsidRPr="00EC250C" w:rsidRDefault="00FB041C" w:rsidP="00D131FA">
      <w:pPr>
        <w:pStyle w:val="ODESANIE"/>
        <w:jc w:val="both"/>
      </w:pPr>
      <w:r w:rsidRPr="00EC250C">
        <w:t>Zasady korzystania z tzw. ulgi prorodzinnej w rodzinach niepełnych – art. 217</w:t>
      </w:r>
    </w:p>
    <w:p w14:paraId="64D23DDC" w14:textId="77777777" w:rsidR="0062295F" w:rsidRPr="00EC250C" w:rsidRDefault="004E1566" w:rsidP="00EC79EB">
      <w:pPr>
        <w:pStyle w:val="Nagwek4"/>
      </w:pPr>
      <w:bookmarkStart w:id="613" w:name="_Toc11247786"/>
      <w:r w:rsidRPr="00EC250C">
        <w:t>Ofiary przemocy stosowanej przez bliski</w:t>
      </w:r>
      <w:r w:rsidR="003420D5" w:rsidRPr="00EC250C">
        <w:t>e osoby</w:t>
      </w:r>
      <w:r w:rsidRPr="00EC250C">
        <w:t xml:space="preserve"> poza system</w:t>
      </w:r>
      <w:r w:rsidR="00D97E9D" w:rsidRPr="00EC250C">
        <w:t>em</w:t>
      </w:r>
      <w:r w:rsidRPr="00EC250C">
        <w:t xml:space="preserve"> </w:t>
      </w:r>
      <w:r w:rsidR="003420D5" w:rsidRPr="00EC250C">
        <w:t>wsparcia – niekompletna definicja przemocy „domowej”</w:t>
      </w:r>
      <w:bookmarkEnd w:id="613"/>
    </w:p>
    <w:p w14:paraId="709C0FF7" w14:textId="77777777" w:rsidR="00B473F5" w:rsidRPr="00EC250C" w:rsidRDefault="008D2659" w:rsidP="00D131FA">
      <w:pPr>
        <w:pStyle w:val="Problemczowieka"/>
        <w:jc w:val="both"/>
        <w:rPr>
          <w:bdr w:val="none" w:sz="0" w:space="0" w:color="auto" w:frame="1"/>
        </w:rPr>
      </w:pPr>
      <w:r w:rsidRPr="00EC250C">
        <w:rPr>
          <w:bdr w:val="none" w:sz="0" w:space="0" w:color="auto" w:frame="1"/>
        </w:rPr>
        <w:t xml:space="preserve">Przemoc </w:t>
      </w:r>
      <w:r w:rsidR="00350AE1" w:rsidRPr="00EC250C">
        <w:rPr>
          <w:bdr w:val="none" w:sz="0" w:space="0" w:color="auto" w:frame="1"/>
        </w:rPr>
        <w:t xml:space="preserve">między </w:t>
      </w:r>
      <w:r w:rsidRPr="00EC250C">
        <w:rPr>
          <w:bdr w:val="none" w:sz="0" w:space="0" w:color="auto" w:frame="1"/>
        </w:rPr>
        <w:t>bliskimi może przejawiać się</w:t>
      </w:r>
      <w:r w:rsidR="00992FD0" w:rsidRPr="00EC250C">
        <w:rPr>
          <w:bdr w:val="none" w:sz="0" w:space="0" w:color="auto" w:frame="1"/>
        </w:rPr>
        <w:t xml:space="preserve"> w </w:t>
      </w:r>
      <w:r w:rsidRPr="00EC250C">
        <w:rPr>
          <w:bdr w:val="none" w:sz="0" w:space="0" w:color="auto" w:frame="1"/>
        </w:rPr>
        <w:t>odmawianiu środków na życie. Mąż może znęcać się nad byłą żona,</w:t>
      </w:r>
      <w:r w:rsidR="00992FD0" w:rsidRPr="00EC250C">
        <w:rPr>
          <w:bdr w:val="none" w:sz="0" w:space="0" w:color="auto" w:frame="1"/>
        </w:rPr>
        <w:t xml:space="preserve"> a </w:t>
      </w:r>
      <w:r w:rsidRPr="00EC250C">
        <w:rPr>
          <w:bdr w:val="none" w:sz="0" w:space="0" w:color="auto" w:frame="1"/>
        </w:rPr>
        <w:t>żona nad mężem – nawet jeśli już nie mieszkają razem. Przepisy jednak takich problemów nie zauważają, przez co trudniej jest przemocy przeciwdziałać</w:t>
      </w:r>
      <w:r w:rsidR="00B473F5" w:rsidRPr="00EC250C">
        <w:rPr>
          <w:bdr w:val="none" w:sz="0" w:space="0" w:color="auto" w:frame="1"/>
        </w:rPr>
        <w:t>.</w:t>
      </w:r>
    </w:p>
    <w:p w14:paraId="2E1D57EA" w14:textId="77777777" w:rsidR="00F176D4" w:rsidRPr="00EC250C" w:rsidRDefault="00F176D4" w:rsidP="00D131FA">
      <w:pPr>
        <w:pStyle w:val="ODESANIE"/>
        <w:jc w:val="both"/>
      </w:pPr>
      <w:r w:rsidRPr="00EC250C">
        <w:t>Problem opisany szerzej w kontekście art. 33 Konstytucji</w:t>
      </w:r>
    </w:p>
    <w:p w14:paraId="36C2761D" w14:textId="77777777" w:rsidR="00F22749" w:rsidRPr="00EC250C" w:rsidRDefault="002540A0" w:rsidP="00EC79EB">
      <w:pPr>
        <w:pStyle w:val="Nagwek4"/>
      </w:pPr>
      <w:bookmarkStart w:id="614" w:name="_Toc6257910"/>
      <w:bookmarkStart w:id="615" w:name="_Toc11247787"/>
      <w:r w:rsidRPr="00EC250C">
        <w:t>Długotrwałość postępowa</w:t>
      </w:r>
      <w:r w:rsidRPr="00EC250C">
        <w:rPr>
          <w:rFonts w:hint="eastAsia"/>
        </w:rPr>
        <w:t>ń</w:t>
      </w:r>
      <w:r w:rsidRPr="00EC250C">
        <w:t xml:space="preserve"> sądowych</w:t>
      </w:r>
      <w:r w:rsidR="00992FD0" w:rsidRPr="00EC250C">
        <w:t xml:space="preserve"> z </w:t>
      </w:r>
      <w:r w:rsidRPr="00EC250C">
        <w:t xml:space="preserve">wniosku osób dotkniętych przemocą </w:t>
      </w:r>
      <w:r w:rsidR="00592360" w:rsidRPr="00EC250C">
        <w:t>domową</w:t>
      </w:r>
      <w:bookmarkEnd w:id="614"/>
      <w:bookmarkEnd w:id="615"/>
    </w:p>
    <w:p w14:paraId="5D3A02A9" w14:textId="77777777" w:rsidR="002540A0" w:rsidRPr="00EC250C" w:rsidRDefault="002540A0" w:rsidP="00D131FA">
      <w:pPr>
        <w:pStyle w:val="ODESANIE"/>
        <w:jc w:val="both"/>
        <w:rPr>
          <w:lang w:eastAsia="en-US"/>
        </w:rPr>
      </w:pPr>
      <w:r w:rsidRPr="00EC250C">
        <w:rPr>
          <w:lang w:eastAsia="en-US"/>
        </w:rPr>
        <w:t>Omówienie: Art. 45 – Prawo do sądu.</w:t>
      </w:r>
    </w:p>
    <w:p w14:paraId="1584FC37" w14:textId="77777777" w:rsidR="00013665" w:rsidRPr="00EC250C" w:rsidRDefault="00013665" w:rsidP="00EC250C">
      <w:pPr>
        <w:pStyle w:val="Nagwek8"/>
        <w:rPr>
          <w:spacing w:val="0"/>
        </w:rPr>
      </w:pPr>
      <w:r w:rsidRPr="00EC250C">
        <w:t>Świadczenie pielęgnacyjne</w:t>
      </w:r>
      <w:r w:rsidR="00026572" w:rsidRPr="00EC250C">
        <w:t xml:space="preserve"> – </w:t>
      </w:r>
      <w:r w:rsidRPr="00EC250C">
        <w:t>także dla opiekunów dziecka</w:t>
      </w:r>
      <w:r w:rsidR="00992FD0" w:rsidRPr="00EC250C">
        <w:t xml:space="preserve"> z </w:t>
      </w:r>
      <w:r w:rsidRPr="00EC250C">
        <w:t>niepełnosprawnością, którzy pobierają wcześniejszą emeryturę</w:t>
      </w:r>
    </w:p>
    <w:p w14:paraId="29CC9642" w14:textId="77777777" w:rsidR="00C91F6E" w:rsidRPr="00EC250C" w:rsidRDefault="00013665" w:rsidP="00D131FA">
      <w:pPr>
        <w:pStyle w:val="Styl2"/>
        <w:rPr>
          <w:szCs w:val="24"/>
        </w:rPr>
      </w:pPr>
      <w:r w:rsidRPr="00EC250C">
        <w:rPr>
          <w:szCs w:val="24"/>
          <w:bdr w:val="none" w:sz="0" w:space="0" w:color="auto" w:frame="1"/>
        </w:rPr>
        <w:t>Dziś najwyższe wsparcie</w:t>
      </w:r>
      <w:r w:rsidR="00992FD0" w:rsidRPr="00EC250C">
        <w:rPr>
          <w:szCs w:val="24"/>
          <w:bdr w:val="none" w:sz="0" w:space="0" w:color="auto" w:frame="1"/>
        </w:rPr>
        <w:t xml:space="preserve"> w </w:t>
      </w:r>
      <w:r w:rsidRPr="00EC250C">
        <w:rPr>
          <w:szCs w:val="24"/>
          <w:bdr w:val="none" w:sz="0" w:space="0" w:color="auto" w:frame="1"/>
        </w:rPr>
        <w:t>postaci świadczenia pielęgnacyjnego przysługuje opiekunowi osoby, której niepełnosprawność stwierdzono przy urodzeniu lub</w:t>
      </w:r>
      <w:r w:rsidR="00992FD0" w:rsidRPr="00EC250C">
        <w:rPr>
          <w:szCs w:val="24"/>
          <w:bdr w:val="none" w:sz="0" w:space="0" w:color="auto" w:frame="1"/>
        </w:rPr>
        <w:t xml:space="preserve"> w </w:t>
      </w:r>
      <w:r w:rsidRPr="00EC250C">
        <w:rPr>
          <w:szCs w:val="24"/>
          <w:bdr w:val="none" w:sz="0" w:space="0" w:color="auto" w:frame="1"/>
        </w:rPr>
        <w:t>dzieciństwie (to</w:t>
      </w:r>
      <w:r w:rsidR="00992FD0" w:rsidRPr="00EC250C">
        <w:rPr>
          <w:szCs w:val="24"/>
          <w:bdr w:val="none" w:sz="0" w:space="0" w:color="auto" w:frame="1"/>
        </w:rPr>
        <w:t xml:space="preserve"> w </w:t>
      </w:r>
      <w:r w:rsidR="00A119CD" w:rsidRPr="00EC250C">
        <w:rPr>
          <w:szCs w:val="24"/>
        </w:rPr>
        <w:t>2019</w:t>
      </w:r>
      <w:r w:rsidR="00C91F6E" w:rsidRPr="00EC250C">
        <w:rPr>
          <w:szCs w:val="24"/>
        </w:rPr>
        <w:t> r.</w:t>
      </w:r>
      <w:r w:rsidR="00A119CD" w:rsidRPr="00EC250C">
        <w:rPr>
          <w:szCs w:val="24"/>
        </w:rPr>
        <w:t xml:space="preserve"> 1583 z</w:t>
      </w:r>
      <w:r w:rsidR="00A119CD" w:rsidRPr="00EC250C">
        <w:rPr>
          <w:rFonts w:hint="eastAsia"/>
          <w:szCs w:val="24"/>
        </w:rPr>
        <w:t>ł</w:t>
      </w:r>
      <w:r w:rsidR="00A119CD" w:rsidRPr="00EC250C">
        <w:rPr>
          <w:szCs w:val="24"/>
        </w:rPr>
        <w:t>). Nie dostanie go jednak ani opiekun osoby, której niepełnosprawność stwierdzono</w:t>
      </w:r>
      <w:r w:rsidR="00992FD0" w:rsidRPr="00EC250C">
        <w:rPr>
          <w:szCs w:val="24"/>
        </w:rPr>
        <w:t xml:space="preserve"> w </w:t>
      </w:r>
      <w:r w:rsidR="00A119CD" w:rsidRPr="00EC250C">
        <w:rPr>
          <w:szCs w:val="24"/>
        </w:rPr>
        <w:t>wieku dorosłym, ani – jak</w:t>
      </w:r>
      <w:r w:rsidR="00992FD0" w:rsidRPr="00EC250C">
        <w:rPr>
          <w:szCs w:val="24"/>
        </w:rPr>
        <w:t xml:space="preserve"> w </w:t>
      </w:r>
      <w:r w:rsidR="00A119CD" w:rsidRPr="00EC250C">
        <w:rPr>
          <w:szCs w:val="24"/>
        </w:rPr>
        <w:t>tym przypadku – opiekun osoby</w:t>
      </w:r>
      <w:r w:rsidR="00992FD0" w:rsidRPr="00EC250C">
        <w:rPr>
          <w:szCs w:val="24"/>
        </w:rPr>
        <w:t xml:space="preserve"> z </w:t>
      </w:r>
      <w:r w:rsidR="00A119CD" w:rsidRPr="00EC250C">
        <w:rPr>
          <w:szCs w:val="24"/>
        </w:rPr>
        <w:t>niepełnosprawnością stwierdzoną</w:t>
      </w:r>
      <w:r w:rsidR="00992FD0" w:rsidRPr="00EC250C">
        <w:rPr>
          <w:szCs w:val="24"/>
        </w:rPr>
        <w:t xml:space="preserve"> w </w:t>
      </w:r>
      <w:r w:rsidR="00A119CD" w:rsidRPr="00EC250C">
        <w:rPr>
          <w:szCs w:val="24"/>
        </w:rPr>
        <w:t xml:space="preserve">dzieciństwie, </w:t>
      </w:r>
      <w:r w:rsidR="005D1E15" w:rsidRPr="00EC250C">
        <w:rPr>
          <w:szCs w:val="24"/>
        </w:rPr>
        <w:t xml:space="preserve">gdy </w:t>
      </w:r>
      <w:r w:rsidR="00A119CD" w:rsidRPr="00EC250C">
        <w:rPr>
          <w:szCs w:val="24"/>
        </w:rPr>
        <w:t>opiekun ten już przeszedł na wcześniejszą emeryturę.</w:t>
      </w:r>
    </w:p>
    <w:p w14:paraId="28AD385F" w14:textId="77777777" w:rsidR="00553590" w:rsidRPr="00EC250C" w:rsidRDefault="00A119CD" w:rsidP="00D131FA">
      <w:pPr>
        <w:pStyle w:val="Styl2"/>
        <w:rPr>
          <w:szCs w:val="24"/>
        </w:rPr>
      </w:pPr>
      <w:r w:rsidRPr="00EC250C">
        <w:rPr>
          <w:szCs w:val="24"/>
        </w:rPr>
        <w:t>Tymczasem – jak argumentuje RPO – rozwiązaniem zgodnym</w:t>
      </w:r>
      <w:r w:rsidR="00992FD0" w:rsidRPr="00EC250C">
        <w:rPr>
          <w:szCs w:val="24"/>
        </w:rPr>
        <w:t xml:space="preserve"> z </w:t>
      </w:r>
      <w:r w:rsidRPr="00EC250C">
        <w:rPr>
          <w:szCs w:val="24"/>
        </w:rPr>
        <w:t>Konstytucją byłoby</w:t>
      </w:r>
      <w:r w:rsidR="00992FD0" w:rsidRPr="00EC250C">
        <w:rPr>
          <w:szCs w:val="24"/>
        </w:rPr>
        <w:t xml:space="preserve"> w </w:t>
      </w:r>
      <w:r w:rsidRPr="00EC250C">
        <w:rPr>
          <w:szCs w:val="24"/>
        </w:rPr>
        <w:t xml:space="preserve">takim wypadku wypłacanie takiemu opiekunowi świadczenia pielęgnacyjnego </w:t>
      </w:r>
      <w:r w:rsidR="00013665" w:rsidRPr="00EC250C">
        <w:rPr>
          <w:szCs w:val="24"/>
        </w:rPr>
        <w:t>pomniejsz</w:t>
      </w:r>
      <w:r w:rsidRPr="00EC250C">
        <w:rPr>
          <w:szCs w:val="24"/>
        </w:rPr>
        <w:t>onego</w:t>
      </w:r>
      <w:r w:rsidR="00992FD0" w:rsidRPr="00EC250C">
        <w:rPr>
          <w:szCs w:val="24"/>
        </w:rPr>
        <w:t xml:space="preserve"> o </w:t>
      </w:r>
      <w:r w:rsidR="00013665" w:rsidRPr="00EC250C">
        <w:rPr>
          <w:szCs w:val="24"/>
        </w:rPr>
        <w:t>warto</w:t>
      </w:r>
      <w:r w:rsidR="00013665" w:rsidRPr="00EC250C">
        <w:rPr>
          <w:rFonts w:hint="eastAsia"/>
          <w:szCs w:val="24"/>
        </w:rPr>
        <w:t>ść</w:t>
      </w:r>
      <w:r w:rsidR="00013665" w:rsidRPr="00EC250C">
        <w:rPr>
          <w:szCs w:val="24"/>
        </w:rPr>
        <w:t xml:space="preserve"> emerytury</w:t>
      </w:r>
      <w:r w:rsidRPr="00EC250C">
        <w:rPr>
          <w:szCs w:val="24"/>
        </w:rPr>
        <w:t>.</w:t>
      </w:r>
      <w:r w:rsidR="00036411" w:rsidRPr="00EC250C">
        <w:rPr>
          <w:szCs w:val="24"/>
        </w:rPr>
        <w:t xml:space="preserve"> </w:t>
      </w:r>
      <w:r w:rsidR="00013665" w:rsidRPr="00EC250C">
        <w:rPr>
          <w:szCs w:val="24"/>
        </w:rPr>
        <w:t>Takie jest stanowisko RPO dla senackiej komisji, która pracuje nad petycją</w:t>
      </w:r>
      <w:r w:rsidR="00992FD0" w:rsidRPr="00EC250C">
        <w:rPr>
          <w:szCs w:val="24"/>
        </w:rPr>
        <w:t xml:space="preserve"> w </w:t>
      </w:r>
      <w:r w:rsidR="00013665" w:rsidRPr="00EC250C">
        <w:rPr>
          <w:szCs w:val="24"/>
        </w:rPr>
        <w:t>tej sprawie.</w:t>
      </w:r>
      <w:r w:rsidR="00553590" w:rsidRPr="00EC250C">
        <w:rPr>
          <w:szCs w:val="24"/>
        </w:rPr>
        <w:t xml:space="preserve"> </w:t>
      </w:r>
    </w:p>
    <w:p w14:paraId="1858588D" w14:textId="77777777" w:rsidR="00313479" w:rsidRPr="00EC250C" w:rsidRDefault="00036411" w:rsidP="00D131FA">
      <w:pPr>
        <w:pStyle w:val="Styl2"/>
        <w:rPr>
          <w:szCs w:val="24"/>
        </w:rPr>
      </w:pPr>
      <w:r w:rsidRPr="00EC250C">
        <w:rPr>
          <w:szCs w:val="24"/>
        </w:rPr>
        <w:t xml:space="preserve">RPO poparł petycję </w:t>
      </w:r>
      <w:r w:rsidR="00313479" w:rsidRPr="00EC250C">
        <w:rPr>
          <w:szCs w:val="24"/>
        </w:rPr>
        <w:t xml:space="preserve">opiekunki osoby z niepełnosprawnością, </w:t>
      </w:r>
      <w:r w:rsidRPr="00EC250C">
        <w:rPr>
          <w:szCs w:val="24"/>
        </w:rPr>
        <w:t>skierowaną</w:t>
      </w:r>
      <w:r w:rsidR="00992FD0" w:rsidRPr="00EC250C">
        <w:rPr>
          <w:szCs w:val="24"/>
        </w:rPr>
        <w:t xml:space="preserve"> w </w:t>
      </w:r>
      <w:r w:rsidRPr="00EC250C">
        <w:rPr>
          <w:szCs w:val="24"/>
        </w:rPr>
        <w:t>tej sprawie do Senatu</w:t>
      </w:r>
      <w:r w:rsidRPr="00EC250C">
        <w:rPr>
          <w:rStyle w:val="Odwoanieprzypisudolnego"/>
          <w:bCs w:val="0"/>
          <w:iCs w:val="0"/>
          <w:szCs w:val="24"/>
        </w:rPr>
        <w:footnoteReference w:id="602"/>
      </w:r>
      <w:r w:rsidRPr="00EC250C">
        <w:rPr>
          <w:szCs w:val="24"/>
        </w:rPr>
        <w:t>.</w:t>
      </w:r>
      <w:r w:rsidR="00313479" w:rsidRPr="00EC250C">
        <w:rPr>
          <w:szCs w:val="24"/>
        </w:rPr>
        <w:t xml:space="preserve"> Z</w:t>
      </w:r>
      <w:r w:rsidR="00992FD0" w:rsidRPr="00EC250C">
        <w:rPr>
          <w:szCs w:val="24"/>
        </w:rPr>
        <w:t> </w:t>
      </w:r>
      <w:r w:rsidR="006234C6" w:rsidRPr="00EC250C">
        <w:rPr>
          <w:szCs w:val="24"/>
        </w:rPr>
        <w:t xml:space="preserve">zadowoleniem przyjął decyzję Komisji Praw </w:t>
      </w:r>
      <w:r w:rsidR="00204A2F" w:rsidRPr="00EC250C">
        <w:rPr>
          <w:szCs w:val="24"/>
        </w:rPr>
        <w:t>C</w:t>
      </w:r>
      <w:r w:rsidR="006234C6" w:rsidRPr="00EC250C">
        <w:rPr>
          <w:szCs w:val="24"/>
        </w:rPr>
        <w:t>złowieka, Praworządności</w:t>
      </w:r>
      <w:r w:rsidR="00992FD0" w:rsidRPr="00EC250C">
        <w:rPr>
          <w:szCs w:val="24"/>
        </w:rPr>
        <w:t xml:space="preserve"> i </w:t>
      </w:r>
      <w:r w:rsidR="006234C6" w:rsidRPr="00EC250C">
        <w:rPr>
          <w:szCs w:val="24"/>
        </w:rPr>
        <w:t>Petycji Senatu</w:t>
      </w:r>
      <w:r w:rsidR="00992FD0" w:rsidRPr="00EC250C">
        <w:rPr>
          <w:szCs w:val="24"/>
        </w:rPr>
        <w:t xml:space="preserve"> o </w:t>
      </w:r>
      <w:r w:rsidR="006234C6" w:rsidRPr="00EC250C">
        <w:rPr>
          <w:szCs w:val="24"/>
        </w:rPr>
        <w:t>podjęciu prac legislacyjnych.</w:t>
      </w:r>
      <w:r w:rsidRPr="00EC250C">
        <w:rPr>
          <w:szCs w:val="24"/>
        </w:rPr>
        <w:t xml:space="preserve"> </w:t>
      </w:r>
      <w:r w:rsidR="006234C6" w:rsidRPr="00EC250C">
        <w:rPr>
          <w:szCs w:val="24"/>
        </w:rPr>
        <w:t>Przygotowany przez Senat projekt ustawy, który zakłada przyznanie świadczenia pielęgnacyjnego opiekunowi</w:t>
      </w:r>
      <w:r w:rsidR="00992FD0" w:rsidRPr="00EC250C">
        <w:rPr>
          <w:szCs w:val="24"/>
        </w:rPr>
        <w:t xml:space="preserve"> z </w:t>
      </w:r>
      <w:r w:rsidR="006234C6" w:rsidRPr="00EC250C">
        <w:rPr>
          <w:szCs w:val="24"/>
        </w:rPr>
        <w:t>EWK</w:t>
      </w:r>
      <w:r w:rsidR="00992FD0" w:rsidRPr="00EC250C">
        <w:rPr>
          <w:szCs w:val="24"/>
        </w:rPr>
        <w:t xml:space="preserve"> w </w:t>
      </w:r>
      <w:r w:rsidR="006234C6" w:rsidRPr="00EC250C">
        <w:rPr>
          <w:szCs w:val="24"/>
        </w:rPr>
        <w:t>wysokości różnicy między wysokością świadczenia,</w:t>
      </w:r>
      <w:r w:rsidR="00992FD0" w:rsidRPr="00EC250C">
        <w:rPr>
          <w:szCs w:val="24"/>
        </w:rPr>
        <w:t xml:space="preserve"> a </w:t>
      </w:r>
      <w:r w:rsidR="006234C6" w:rsidRPr="00EC250C">
        <w:rPr>
          <w:szCs w:val="24"/>
        </w:rPr>
        <w:t>pobieraną emeryturą</w:t>
      </w:r>
      <w:r w:rsidR="00204A2F" w:rsidRPr="00EC250C">
        <w:rPr>
          <w:szCs w:val="24"/>
        </w:rPr>
        <w:t xml:space="preserve">. </w:t>
      </w:r>
    </w:p>
    <w:p w14:paraId="1049CA01" w14:textId="77777777" w:rsidR="006234C6" w:rsidRPr="00EC250C" w:rsidRDefault="00204A2F" w:rsidP="00D131FA">
      <w:pPr>
        <w:pStyle w:val="Styl2"/>
        <w:rPr>
          <w:szCs w:val="24"/>
        </w:rPr>
      </w:pPr>
      <w:r w:rsidRPr="00EC250C">
        <w:rPr>
          <w:szCs w:val="24"/>
        </w:rPr>
        <w:t xml:space="preserve">Niestety, w maju 2019 r. Senat odrzucił projekt i zakończył prace </w:t>
      </w:r>
      <w:r w:rsidR="00313479" w:rsidRPr="00EC250C">
        <w:rPr>
          <w:szCs w:val="24"/>
        </w:rPr>
        <w:t>bez rozwiązania problemu</w:t>
      </w:r>
      <w:r w:rsidR="00313479" w:rsidRPr="00EC250C">
        <w:rPr>
          <w:rStyle w:val="Odwoanieprzypisudolnego"/>
          <w:szCs w:val="24"/>
        </w:rPr>
        <w:footnoteReference w:id="603"/>
      </w:r>
      <w:r w:rsidR="00313479" w:rsidRPr="00EC250C">
        <w:rPr>
          <w:szCs w:val="24"/>
        </w:rPr>
        <w:t>.</w:t>
      </w:r>
    </w:p>
    <w:p w14:paraId="79D7455A" w14:textId="77777777" w:rsidR="00C91F6E" w:rsidRPr="00EC250C" w:rsidRDefault="000314E1" w:rsidP="00EC79EB">
      <w:pPr>
        <w:pStyle w:val="Nagwek4"/>
      </w:pPr>
      <w:bookmarkStart w:id="616" w:name="_Toc6257911"/>
      <w:bookmarkStart w:id="617" w:name="_Toc11247788"/>
      <w:r w:rsidRPr="00EC250C">
        <w:lastRenderedPageBreak/>
        <w:t>Wsparcie dla dzieci</w:t>
      </w:r>
      <w:r w:rsidR="00992FD0" w:rsidRPr="00EC250C">
        <w:t xml:space="preserve"> i </w:t>
      </w:r>
      <w:r w:rsidRPr="00EC250C">
        <w:t>młodzieży</w:t>
      </w:r>
      <w:r w:rsidR="00992FD0" w:rsidRPr="00EC250C">
        <w:t xml:space="preserve"> z </w:t>
      </w:r>
      <w:r w:rsidRPr="00EC250C">
        <w:t>niepełnosprawnością po uzyskaniu pełnoletności</w:t>
      </w:r>
      <w:bookmarkEnd w:id="616"/>
      <w:bookmarkEnd w:id="617"/>
    </w:p>
    <w:p w14:paraId="528C885A" w14:textId="77777777" w:rsidR="005E2E43" w:rsidRPr="00EC250C" w:rsidRDefault="000314E1" w:rsidP="00D131FA">
      <w:pPr>
        <w:pStyle w:val="ODESANIE"/>
        <w:jc w:val="both"/>
      </w:pPr>
      <w:r w:rsidRPr="00EC250C">
        <w:t>Omówienie</w:t>
      </w:r>
      <w:r w:rsidR="003C27F1" w:rsidRPr="00EC250C">
        <w:t>:</w:t>
      </w:r>
      <w:r w:rsidRPr="00EC250C">
        <w:t xml:space="preserve"> </w:t>
      </w:r>
      <w:r w:rsidR="00276C19" w:rsidRPr="00EC250C">
        <w:t>A</w:t>
      </w:r>
      <w:r w:rsidRPr="00EC250C">
        <w:t xml:space="preserve">rt. </w:t>
      </w:r>
      <w:r w:rsidR="006302BF" w:rsidRPr="00EC250C">
        <w:t xml:space="preserve">68 </w:t>
      </w:r>
      <w:r w:rsidR="003C27F1" w:rsidRPr="00EC250C">
        <w:t>– Pomoc na rzecz osób</w:t>
      </w:r>
      <w:r w:rsidR="00992FD0" w:rsidRPr="00EC250C">
        <w:t xml:space="preserve"> z </w:t>
      </w:r>
      <w:r w:rsidR="003C27F1" w:rsidRPr="00EC250C">
        <w:t>niepełnosprawnościami.</w:t>
      </w:r>
    </w:p>
    <w:p w14:paraId="7457CBDE" w14:textId="77777777" w:rsidR="00B125B6" w:rsidRPr="00EC250C" w:rsidRDefault="00704386" w:rsidP="00EC250C">
      <w:pPr>
        <w:pStyle w:val="Nagwek8"/>
        <w:rPr>
          <w:spacing w:val="0"/>
        </w:rPr>
      </w:pPr>
      <w:r w:rsidRPr="00EC250C">
        <w:t>A</w:t>
      </w:r>
      <w:r w:rsidR="00B125B6" w:rsidRPr="00EC250C">
        <w:t>doptowane</w:t>
      </w:r>
      <w:r w:rsidRPr="00EC250C">
        <w:t>mu</w:t>
      </w:r>
      <w:r w:rsidR="00B125B6" w:rsidRPr="00EC250C">
        <w:t xml:space="preserve"> dzieck</w:t>
      </w:r>
      <w:r w:rsidRPr="00EC250C">
        <w:t>u groziło, że o</w:t>
      </w:r>
      <w:r w:rsidR="00B125B6" w:rsidRPr="00EC250C">
        <w:t>dziedziczy dług</w:t>
      </w:r>
      <w:r w:rsidRPr="00EC250C">
        <w:t>i</w:t>
      </w:r>
      <w:r w:rsidR="00B125B6" w:rsidRPr="00EC250C">
        <w:t xml:space="preserve"> biologicznego ojca. Druga skarga nadzwyczajna RPO</w:t>
      </w:r>
    </w:p>
    <w:p w14:paraId="6735086B" w14:textId="77777777" w:rsidR="00B125B6" w:rsidRPr="00EC250C" w:rsidRDefault="00B125B6" w:rsidP="00D131FA">
      <w:pPr>
        <w:pStyle w:val="Styl2"/>
        <w:rPr>
          <w:szCs w:val="24"/>
        </w:rPr>
      </w:pPr>
      <w:r w:rsidRPr="00EC250C">
        <w:rPr>
          <w:szCs w:val="24"/>
        </w:rPr>
        <w:t>Rodzina adoptowała dziewczynkę, chcąc zapewnić jej lepszą przyszłość. Pomyłka sądu mogłaby jednak zaciążyć na jej dalszych losach. Sąd uznał, że dziecko nie musi zrzec się spadku (długu) po biologicznym ojcu, bo ma nowych rodziców. Tymczasem proces adopcyjny</w:t>
      </w:r>
      <w:r w:rsidR="00992FD0" w:rsidRPr="00EC250C">
        <w:rPr>
          <w:szCs w:val="24"/>
        </w:rPr>
        <w:t xml:space="preserve"> w </w:t>
      </w:r>
      <w:r w:rsidRPr="00EC250C">
        <w:rPr>
          <w:szCs w:val="24"/>
        </w:rPr>
        <w:t xml:space="preserve">momencie śmierci </w:t>
      </w:r>
      <w:r w:rsidR="00F27DBC" w:rsidRPr="00EC250C">
        <w:rPr>
          <w:szCs w:val="24"/>
        </w:rPr>
        <w:t xml:space="preserve">biologicznego </w:t>
      </w:r>
      <w:r w:rsidRPr="00EC250C">
        <w:rPr>
          <w:szCs w:val="24"/>
        </w:rPr>
        <w:t xml:space="preserve">ojca się jeszcze </w:t>
      </w:r>
      <w:r w:rsidR="00F27DBC" w:rsidRPr="00EC250C">
        <w:rPr>
          <w:szCs w:val="24"/>
        </w:rPr>
        <w:t>trwał</w:t>
      </w:r>
      <w:r w:rsidRPr="00EC250C">
        <w:rPr>
          <w:szCs w:val="24"/>
        </w:rPr>
        <w:t>. Teraz już nie ma możliwości zrzeczenia się spadku, bo rodzice adopcyjni nie zakwestionowali decyzji sądu. Nie podejrzewali, że jest błędna. Skarga nadzwyczajna może odwrócić ten bieg wydarzeń.</w:t>
      </w:r>
    </w:p>
    <w:p w14:paraId="7890EBFA" w14:textId="77777777" w:rsidR="00B125B6" w:rsidRPr="00EC250C" w:rsidRDefault="00B125B6" w:rsidP="00D131FA">
      <w:pPr>
        <w:pStyle w:val="Styl2"/>
        <w:rPr>
          <w:szCs w:val="24"/>
        </w:rPr>
      </w:pPr>
      <w:r w:rsidRPr="00EC250C">
        <w:rPr>
          <w:szCs w:val="24"/>
        </w:rPr>
        <w:t>Zgodnie</w:t>
      </w:r>
      <w:r w:rsidR="00992FD0" w:rsidRPr="00EC250C">
        <w:rPr>
          <w:szCs w:val="24"/>
        </w:rPr>
        <w:t xml:space="preserve"> z </w:t>
      </w:r>
      <w:r w:rsidRPr="00EC250C">
        <w:rPr>
          <w:szCs w:val="24"/>
        </w:rPr>
        <w:t>Kodeksem rodzinnym</w:t>
      </w:r>
      <w:r w:rsidR="00992FD0" w:rsidRPr="00EC250C">
        <w:rPr>
          <w:szCs w:val="24"/>
        </w:rPr>
        <w:t xml:space="preserve"> i </w:t>
      </w:r>
      <w:r w:rsidRPr="00EC250C">
        <w:rPr>
          <w:szCs w:val="24"/>
        </w:rPr>
        <w:t>opiekuńczym, adoptowane dziecko nie dziedziczy po biologicznych rodzicach, jeśli</w:t>
      </w:r>
      <w:r w:rsidR="00992FD0" w:rsidRPr="00EC250C">
        <w:rPr>
          <w:szCs w:val="24"/>
        </w:rPr>
        <w:t xml:space="preserve"> w </w:t>
      </w:r>
      <w:r w:rsidRPr="00EC250C">
        <w:rPr>
          <w:szCs w:val="24"/>
        </w:rPr>
        <w:t>chwili tzw. otwarcia spadku (czyli śmierci spadkodawcy)</w:t>
      </w:r>
      <w:r w:rsidR="00CC4D88" w:rsidRPr="00EC250C">
        <w:rPr>
          <w:szCs w:val="24"/>
        </w:rPr>
        <w:t xml:space="preserve"> </w:t>
      </w:r>
      <w:r w:rsidRPr="00EC250C">
        <w:rPr>
          <w:szCs w:val="24"/>
        </w:rPr>
        <w:t>orzeczenie</w:t>
      </w:r>
      <w:r w:rsidR="00992FD0" w:rsidRPr="00EC250C">
        <w:rPr>
          <w:szCs w:val="24"/>
        </w:rPr>
        <w:t xml:space="preserve"> o </w:t>
      </w:r>
      <w:r w:rsidRPr="00EC250C">
        <w:rPr>
          <w:szCs w:val="24"/>
        </w:rPr>
        <w:t>adopcji było już prawomocne. Tu tak nie było.</w:t>
      </w:r>
    </w:p>
    <w:p w14:paraId="6AB9C05E" w14:textId="77777777" w:rsidR="00B125B6" w:rsidRPr="00EC250C" w:rsidRDefault="00B125B6" w:rsidP="00D131FA">
      <w:pPr>
        <w:pStyle w:val="Styl2"/>
        <w:rPr>
          <w:szCs w:val="24"/>
        </w:rPr>
      </w:pPr>
      <w:r w:rsidRPr="00EC250C">
        <w:rPr>
          <w:rStyle w:val="Pogrubienie"/>
          <w:b/>
          <w:bCs/>
          <w:szCs w:val="24"/>
        </w:rPr>
        <w:t>W tym przypadku</w:t>
      </w:r>
      <w:r w:rsidR="00992FD0" w:rsidRPr="00EC250C">
        <w:rPr>
          <w:rStyle w:val="Pogrubienie"/>
          <w:b/>
          <w:bCs/>
          <w:szCs w:val="24"/>
        </w:rPr>
        <w:t xml:space="preserve"> o </w:t>
      </w:r>
      <w:r w:rsidRPr="00EC250C">
        <w:rPr>
          <w:rStyle w:val="Pogrubienie"/>
          <w:b/>
          <w:bCs/>
          <w:szCs w:val="24"/>
        </w:rPr>
        <w:t>tym, czy się chce przyjąć spadek, decydował jeden sąd rejonowy (w miejscu zamieszkania dziewczynki),</w:t>
      </w:r>
      <w:r w:rsidR="00992FD0" w:rsidRPr="00EC250C">
        <w:rPr>
          <w:rStyle w:val="Pogrubienie"/>
          <w:b/>
          <w:bCs/>
          <w:szCs w:val="24"/>
        </w:rPr>
        <w:t xml:space="preserve"> a o </w:t>
      </w:r>
      <w:r w:rsidRPr="00EC250C">
        <w:rPr>
          <w:rStyle w:val="Pogrubienie"/>
          <w:b/>
          <w:bCs/>
          <w:szCs w:val="24"/>
        </w:rPr>
        <w:t>podziale spadku</w:t>
      </w:r>
      <w:r w:rsidR="00026572" w:rsidRPr="00EC250C">
        <w:rPr>
          <w:rStyle w:val="Pogrubienie"/>
          <w:b/>
          <w:bCs/>
          <w:szCs w:val="24"/>
        </w:rPr>
        <w:t xml:space="preserve"> – </w:t>
      </w:r>
      <w:r w:rsidRPr="00EC250C">
        <w:rPr>
          <w:rStyle w:val="Pogrubienie"/>
          <w:b/>
          <w:bCs/>
          <w:szCs w:val="24"/>
        </w:rPr>
        <w:t xml:space="preserve">drugi sąd rejonowy (w miejscu zamieszkania biologicznego ojca). Odległe </w:t>
      </w:r>
      <w:r w:rsidR="005D1E15" w:rsidRPr="00EC250C">
        <w:rPr>
          <w:rStyle w:val="Pogrubienie"/>
          <w:b/>
          <w:bCs/>
          <w:szCs w:val="24"/>
        </w:rPr>
        <w:t>od siebie</w:t>
      </w:r>
      <w:r w:rsidR="00992FD0" w:rsidRPr="00EC250C">
        <w:rPr>
          <w:rStyle w:val="Pogrubienie"/>
          <w:b/>
          <w:bCs/>
          <w:szCs w:val="24"/>
        </w:rPr>
        <w:t xml:space="preserve"> o </w:t>
      </w:r>
      <w:r w:rsidRPr="00EC250C">
        <w:rPr>
          <w:rStyle w:val="Pogrubienie"/>
          <w:b/>
          <w:bCs/>
          <w:szCs w:val="24"/>
        </w:rPr>
        <w:t>prawie 300 km.</w:t>
      </w:r>
    </w:p>
    <w:p w14:paraId="7315BB60" w14:textId="77777777" w:rsidR="00B125B6" w:rsidRPr="00EC250C" w:rsidRDefault="00B125B6" w:rsidP="00D131FA">
      <w:pPr>
        <w:pStyle w:val="Styl2"/>
        <w:rPr>
          <w:szCs w:val="24"/>
        </w:rPr>
      </w:pPr>
      <w:r w:rsidRPr="00EC250C">
        <w:rPr>
          <w:szCs w:val="24"/>
        </w:rPr>
        <w:t>Sąd, przed którym toczyło się postępowanie spadkowe po zmarłym, wezwał do udziału</w:t>
      </w:r>
      <w:r w:rsidR="00992FD0" w:rsidRPr="00EC250C">
        <w:rPr>
          <w:szCs w:val="24"/>
        </w:rPr>
        <w:t xml:space="preserve"> w </w:t>
      </w:r>
      <w:r w:rsidRPr="00EC250C">
        <w:rPr>
          <w:szCs w:val="24"/>
        </w:rPr>
        <w:t>sprawie jego dzieci,</w:t>
      </w:r>
      <w:r w:rsidR="00992FD0" w:rsidRPr="00EC250C">
        <w:rPr>
          <w:szCs w:val="24"/>
        </w:rPr>
        <w:t xml:space="preserve"> w </w:t>
      </w:r>
      <w:r w:rsidRPr="00EC250C">
        <w:rPr>
          <w:szCs w:val="24"/>
        </w:rPr>
        <w:t>tym także dziewczynkę. W związku</w:t>
      </w:r>
      <w:r w:rsidR="00992FD0" w:rsidRPr="00EC250C">
        <w:rPr>
          <w:szCs w:val="24"/>
        </w:rPr>
        <w:t xml:space="preserve"> z </w:t>
      </w:r>
      <w:r w:rsidRPr="00EC250C">
        <w:rPr>
          <w:szCs w:val="24"/>
        </w:rPr>
        <w:t>tym matka adopcyjna złożyła</w:t>
      </w:r>
      <w:r w:rsidR="00992FD0" w:rsidRPr="00EC250C">
        <w:rPr>
          <w:szCs w:val="24"/>
        </w:rPr>
        <w:t xml:space="preserve"> w </w:t>
      </w:r>
      <w:r w:rsidRPr="00EC250C">
        <w:rPr>
          <w:szCs w:val="24"/>
        </w:rPr>
        <w:t>jej imieniu (ale</w:t>
      </w:r>
      <w:r w:rsidR="00992FD0" w:rsidRPr="00EC250C">
        <w:rPr>
          <w:szCs w:val="24"/>
        </w:rPr>
        <w:t xml:space="preserve"> w </w:t>
      </w:r>
      <w:r w:rsidRPr="00EC250C">
        <w:rPr>
          <w:szCs w:val="24"/>
        </w:rPr>
        <w:t>innym sądzie, bo mieszkała</w:t>
      </w:r>
      <w:r w:rsidR="00992FD0" w:rsidRPr="00EC250C">
        <w:rPr>
          <w:szCs w:val="24"/>
        </w:rPr>
        <w:t xml:space="preserve"> w </w:t>
      </w:r>
      <w:r w:rsidRPr="00EC250C">
        <w:rPr>
          <w:szCs w:val="24"/>
        </w:rPr>
        <w:t>innej miejscowości) oświadczenie</w:t>
      </w:r>
      <w:r w:rsidR="00992FD0" w:rsidRPr="00EC250C">
        <w:rPr>
          <w:szCs w:val="24"/>
        </w:rPr>
        <w:t xml:space="preserve"> o </w:t>
      </w:r>
      <w:r w:rsidRPr="00EC250C">
        <w:rPr>
          <w:szCs w:val="24"/>
        </w:rPr>
        <w:t xml:space="preserve">odrzuceniu spadku. W ten sposób dziecko nie dziedziczyłoby długów biologicznego ojca. </w:t>
      </w:r>
      <w:r w:rsidR="005D1E15" w:rsidRPr="00EC250C">
        <w:rPr>
          <w:szCs w:val="24"/>
        </w:rPr>
        <w:t xml:space="preserve">Niestety </w:t>
      </w:r>
      <w:r w:rsidRPr="00EC250C">
        <w:rPr>
          <w:szCs w:val="24"/>
        </w:rPr>
        <w:t>ten sąd rejonowy oddalił wniosek jako bezprzedmiotowy. Przyjął, że dziecko przysposobione już po śmierci rodzica naturalnego nie jest jego spadkobiercą</w:t>
      </w:r>
      <w:r w:rsidR="00992FD0" w:rsidRPr="00EC250C">
        <w:rPr>
          <w:szCs w:val="24"/>
        </w:rPr>
        <w:t xml:space="preserve"> i </w:t>
      </w:r>
      <w:r w:rsidRPr="00EC250C">
        <w:rPr>
          <w:szCs w:val="24"/>
        </w:rPr>
        <w:t>nie rozpoznał sprawy merytorycznie (nie zauważył, że zmarły</w:t>
      </w:r>
      <w:r w:rsidR="00992FD0" w:rsidRPr="00EC250C">
        <w:rPr>
          <w:szCs w:val="24"/>
        </w:rPr>
        <w:t xml:space="preserve"> w </w:t>
      </w:r>
      <w:r w:rsidRPr="00EC250C">
        <w:rPr>
          <w:szCs w:val="24"/>
        </w:rPr>
        <w:t>chwili śmierci był według prawa ojcem tego dziecka). Orzeczenie nie zostało zaskarżone</w:t>
      </w:r>
      <w:r w:rsidR="00992FD0" w:rsidRPr="00EC250C">
        <w:rPr>
          <w:szCs w:val="24"/>
        </w:rPr>
        <w:t xml:space="preserve"> i </w:t>
      </w:r>
      <w:r w:rsidRPr="00EC250C">
        <w:rPr>
          <w:szCs w:val="24"/>
        </w:rPr>
        <w:t>uprawomocniło się.</w:t>
      </w:r>
    </w:p>
    <w:p w14:paraId="23C23AED" w14:textId="77777777" w:rsidR="00B125B6" w:rsidRPr="00EC250C" w:rsidRDefault="00B125B6" w:rsidP="00D131FA">
      <w:pPr>
        <w:pStyle w:val="Styl2"/>
        <w:rPr>
          <w:szCs w:val="24"/>
        </w:rPr>
      </w:pPr>
      <w:r w:rsidRPr="00EC250C">
        <w:rPr>
          <w:szCs w:val="24"/>
        </w:rPr>
        <w:t>Tymczasem</w:t>
      </w:r>
      <w:r w:rsidR="00992FD0" w:rsidRPr="00EC250C">
        <w:rPr>
          <w:szCs w:val="24"/>
        </w:rPr>
        <w:t xml:space="preserve"> w </w:t>
      </w:r>
      <w:r w:rsidRPr="00EC250C">
        <w:rPr>
          <w:szCs w:val="24"/>
        </w:rPr>
        <w:t>marcu 2018</w:t>
      </w:r>
      <w:r w:rsidR="00C91F6E" w:rsidRPr="00EC250C">
        <w:rPr>
          <w:szCs w:val="24"/>
        </w:rPr>
        <w:t> r.</w:t>
      </w:r>
      <w:r w:rsidRPr="00EC250C">
        <w:rPr>
          <w:szCs w:val="24"/>
        </w:rPr>
        <w:t xml:space="preserve"> sąd prowadzący postępowanie spadkowe po zmarłym stwierdził, że spadek nabyło</w:t>
      </w:r>
      <w:r w:rsidR="00026572" w:rsidRPr="00EC250C">
        <w:rPr>
          <w:szCs w:val="24"/>
        </w:rPr>
        <w:t xml:space="preserve"> – </w:t>
      </w:r>
      <w:r w:rsidRPr="00EC250C">
        <w:rPr>
          <w:szCs w:val="24"/>
        </w:rPr>
        <w:t>po połowie</w:t>
      </w:r>
      <w:r w:rsidR="00026572" w:rsidRPr="00EC250C">
        <w:rPr>
          <w:szCs w:val="24"/>
        </w:rPr>
        <w:t xml:space="preserve"> – </w:t>
      </w:r>
      <w:r w:rsidRPr="00EC250C">
        <w:rPr>
          <w:szCs w:val="24"/>
        </w:rPr>
        <w:t>dwoje jego dzieci (w tym</w:t>
      </w:r>
      <w:r w:rsidR="00992FD0" w:rsidRPr="00EC250C">
        <w:rPr>
          <w:szCs w:val="24"/>
        </w:rPr>
        <w:t xml:space="preserve"> i </w:t>
      </w:r>
      <w:r w:rsidRPr="00EC250C">
        <w:rPr>
          <w:szCs w:val="24"/>
        </w:rPr>
        <w:t>dziewczynka). Niestety jest to decyzja prawidłowa – rzeczywiście,</w:t>
      </w:r>
      <w:r w:rsidR="00992FD0" w:rsidRPr="00EC250C">
        <w:rPr>
          <w:szCs w:val="24"/>
        </w:rPr>
        <w:t xml:space="preserve"> w </w:t>
      </w:r>
      <w:r w:rsidRPr="00EC250C">
        <w:rPr>
          <w:szCs w:val="24"/>
        </w:rPr>
        <w:t>chwili śmierci nie istniały jeszcze prawomocne orzeczenia</w:t>
      </w:r>
      <w:r w:rsidR="00992FD0" w:rsidRPr="00EC250C">
        <w:rPr>
          <w:szCs w:val="24"/>
        </w:rPr>
        <w:t xml:space="preserve"> o </w:t>
      </w:r>
      <w:r w:rsidRPr="00EC250C">
        <w:rPr>
          <w:szCs w:val="24"/>
        </w:rPr>
        <w:t>adopcji.</w:t>
      </w:r>
    </w:p>
    <w:p w14:paraId="6D5B630C" w14:textId="77777777" w:rsidR="008528A0" w:rsidRPr="00EC250C" w:rsidRDefault="00F27DBC" w:rsidP="00D131FA">
      <w:pPr>
        <w:pStyle w:val="Styl2"/>
        <w:rPr>
          <w:szCs w:val="24"/>
        </w:rPr>
      </w:pPr>
      <w:r w:rsidRPr="00EC250C">
        <w:rPr>
          <w:szCs w:val="24"/>
        </w:rPr>
        <w:t>Dlatego RPO złożył</w:t>
      </w:r>
      <w:r w:rsidR="00992FD0" w:rsidRPr="00EC250C">
        <w:rPr>
          <w:szCs w:val="24"/>
        </w:rPr>
        <w:t xml:space="preserve"> w </w:t>
      </w:r>
      <w:r w:rsidRPr="00EC250C">
        <w:rPr>
          <w:szCs w:val="24"/>
        </w:rPr>
        <w:t>tej sprawie skargę nadzwyczajną do Sąd Najwyższego</w:t>
      </w:r>
      <w:r w:rsidRPr="00EC250C">
        <w:rPr>
          <w:rStyle w:val="Odwoanieprzypisudolnego"/>
          <w:szCs w:val="24"/>
        </w:rPr>
        <w:footnoteReference w:id="604"/>
      </w:r>
      <w:r w:rsidR="00704386" w:rsidRPr="00EC250C">
        <w:rPr>
          <w:szCs w:val="24"/>
        </w:rPr>
        <w:t xml:space="preserve">. Już w 2018 r. </w:t>
      </w:r>
      <w:r w:rsidR="00704386" w:rsidRPr="00EC250C">
        <w:rPr>
          <w:szCs w:val="24"/>
          <w:bdr w:val="none" w:sz="0" w:space="0" w:color="auto" w:frame="1"/>
        </w:rPr>
        <w:t>Sąd Najwyższy uwzględnił skargę i zgodnie z nią uchylił orzeczenie sądu rejonowego, któremu zwrócił sprawę.</w:t>
      </w:r>
    </w:p>
    <w:p w14:paraId="65F3B21A" w14:textId="77777777" w:rsidR="007461E8" w:rsidRPr="00EC250C" w:rsidRDefault="007461E8" w:rsidP="00D131FA">
      <w:pPr>
        <w:spacing w:after="200" w:line="24" w:lineRule="auto"/>
        <w:jc w:val="both"/>
        <w:rPr>
          <w:rFonts w:eastAsia="Calibri"/>
          <w:bCs/>
          <w:iCs/>
          <w:color w:val="C00000"/>
          <w:spacing w:val="0"/>
          <w:sz w:val="24"/>
          <w:szCs w:val="24"/>
          <w:lang w:eastAsia="zh-CN" w:bidi="hi-IN"/>
        </w:rPr>
      </w:pPr>
      <w:r w:rsidRPr="00EC250C">
        <w:rPr>
          <w:sz w:val="24"/>
        </w:rPr>
        <w:br w:type="page"/>
      </w:r>
    </w:p>
    <w:p w14:paraId="51047B44" w14:textId="77777777" w:rsidR="00A80F68" w:rsidRPr="00EC250C" w:rsidRDefault="00A80F68" w:rsidP="00EC250C">
      <w:pPr>
        <w:pStyle w:val="Nagwek3"/>
      </w:pPr>
      <w:bookmarkStart w:id="618" w:name="_Toc6257912"/>
      <w:bookmarkStart w:id="619" w:name="_Toc11247789"/>
      <w:r w:rsidRPr="00EC250C">
        <w:lastRenderedPageBreak/>
        <w:t xml:space="preserve">Art. 71 </w:t>
      </w:r>
      <w:r w:rsidR="001F2603" w:rsidRPr="00EC250C">
        <w:t>Konstytucji</w:t>
      </w:r>
      <w:r w:rsidR="003C7122" w:rsidRPr="00EC250C">
        <w:t xml:space="preserve"> ust. 2 </w:t>
      </w:r>
      <w:r w:rsidRPr="00EC250C">
        <w:t>– Pomoc dla matek przed</w:t>
      </w:r>
      <w:r w:rsidR="00992FD0" w:rsidRPr="00EC250C">
        <w:t xml:space="preserve"> i </w:t>
      </w:r>
      <w:r w:rsidRPr="00EC250C">
        <w:t>po urodzeniu dziecka</w:t>
      </w:r>
      <w:bookmarkEnd w:id="618"/>
      <w:bookmarkEnd w:id="619"/>
    </w:p>
    <w:p w14:paraId="33F9C827" w14:textId="77777777" w:rsidR="00A80F68" w:rsidRPr="00EC250C" w:rsidRDefault="00A80F68" w:rsidP="00D131FA">
      <w:pPr>
        <w:pStyle w:val="konstytucja"/>
        <w:jc w:val="both"/>
      </w:pPr>
      <w:r w:rsidRPr="00EC250C">
        <w:t>Matka przed</w:t>
      </w:r>
      <w:r w:rsidR="00992FD0" w:rsidRPr="00EC250C">
        <w:t xml:space="preserve"> i </w:t>
      </w:r>
      <w:r w:rsidRPr="00EC250C">
        <w:t>po urodzeniu dziecka ma prawo do szczególnej pomocy władz publicznych, której zakres określa ustawa.</w:t>
      </w:r>
    </w:p>
    <w:p w14:paraId="108061F4" w14:textId="77777777" w:rsidR="00C91F6E" w:rsidRPr="00EC250C" w:rsidRDefault="007461E8" w:rsidP="00D131FA">
      <w:pPr>
        <w:pStyle w:val="ComwiKonstytucja"/>
      </w:pPr>
      <w:r w:rsidRPr="00EC250C">
        <w:t>Ustęp drugi reguluje sytuację matki</w:t>
      </w:r>
      <w:r w:rsidR="00992FD0" w:rsidRPr="00EC250C">
        <w:t xml:space="preserve"> i </w:t>
      </w:r>
      <w:r w:rsidRPr="00EC250C">
        <w:t>łączy się bezpośrednio</w:t>
      </w:r>
      <w:r w:rsidR="00992FD0" w:rsidRPr="00EC250C">
        <w:t xml:space="preserve"> z </w:t>
      </w:r>
      <w:r w:rsidRPr="00EC250C">
        <w:t>zasadą ochrony macierzyństwa (art. 18). Regulację ujęto</w:t>
      </w:r>
      <w:r w:rsidR="00992FD0" w:rsidRPr="00EC250C">
        <w:t xml:space="preserve"> w </w:t>
      </w:r>
      <w:r w:rsidRPr="00EC250C">
        <w:t>formę prawa podmiotowego matki</w:t>
      </w:r>
      <w:r w:rsidR="00992FD0" w:rsidRPr="00EC250C">
        <w:t xml:space="preserve"> w </w:t>
      </w:r>
      <w:r w:rsidRPr="00EC250C">
        <w:t>sytuacjach przed</w:t>
      </w:r>
      <w:r w:rsidR="00992FD0" w:rsidRPr="00EC250C">
        <w:t xml:space="preserve"> i </w:t>
      </w:r>
      <w:r w:rsidRPr="00EC250C">
        <w:t>po urodzeniu dziecka. Tym samym art. 71 odnosi się zarówno do kobiet</w:t>
      </w:r>
      <w:r w:rsidR="00992FD0" w:rsidRPr="00EC250C">
        <w:t xml:space="preserve"> w </w:t>
      </w:r>
      <w:r w:rsidRPr="00EC250C">
        <w:t>ciąży, jak</w:t>
      </w:r>
      <w:r w:rsidR="00992FD0" w:rsidRPr="00EC250C">
        <w:t xml:space="preserve"> i w </w:t>
      </w:r>
      <w:r w:rsidRPr="00EC250C">
        <w:t>pierwszym okresie po porodzie. Prawo to odnosi się zarówno do kobiet będących obywatelkami Polski jak</w:t>
      </w:r>
      <w:r w:rsidR="00992FD0" w:rsidRPr="00EC250C">
        <w:t xml:space="preserve"> i </w:t>
      </w:r>
      <w:r w:rsidRPr="00EC250C">
        <w:t>cudzoziemkami.</w:t>
      </w:r>
    </w:p>
    <w:p w14:paraId="283A82B1" w14:textId="77777777" w:rsidR="00C91F6E" w:rsidRPr="00EC250C" w:rsidRDefault="007461E8" w:rsidP="00D131FA">
      <w:pPr>
        <w:pStyle w:val="ComwiKonstytucja"/>
      </w:pPr>
      <w:r w:rsidRPr="00EC250C">
        <w:t>Treścią prawa jest zapewnienie szczególnej pomocy matce. Pomoc ta</w:t>
      </w:r>
      <w:r w:rsidR="00992FD0" w:rsidRPr="00EC250C">
        <w:t xml:space="preserve"> i </w:t>
      </w:r>
      <w:r w:rsidRPr="00EC250C">
        <w:t>jej szczególny charakter oznacza, że powinna wykraczać poza zwykłe potrzeby rodziny. Przepisy Konstytucji nie konkretyzują jednak jej formy. Ustawodawcy przysługuje zatem szeroka swoboda</w:t>
      </w:r>
      <w:r w:rsidR="00992FD0" w:rsidRPr="00EC250C">
        <w:t xml:space="preserve"> w </w:t>
      </w:r>
      <w:r w:rsidRPr="00EC250C">
        <w:t>regulowaniu form</w:t>
      </w:r>
      <w:r w:rsidR="00992FD0" w:rsidRPr="00EC250C">
        <w:t xml:space="preserve"> i </w:t>
      </w:r>
      <w:r w:rsidRPr="00EC250C">
        <w:t>zakresu tej pomocy.</w:t>
      </w:r>
    </w:p>
    <w:p w14:paraId="67B48ADA" w14:textId="77777777" w:rsidR="0063614A" w:rsidRPr="00EC250C" w:rsidRDefault="0063614A" w:rsidP="00D131FA">
      <w:pPr>
        <w:pStyle w:val="ComwiKonstytucja"/>
      </w:pPr>
    </w:p>
    <w:p w14:paraId="143FC323" w14:textId="77777777" w:rsidR="007461E8" w:rsidRPr="00EC250C" w:rsidRDefault="007461E8" w:rsidP="00D131FA">
      <w:pPr>
        <w:pStyle w:val="ODESANIE"/>
        <w:jc w:val="both"/>
      </w:pPr>
      <w:r w:rsidRPr="00EC250C">
        <w:t>O problemach</w:t>
      </w:r>
      <w:r w:rsidR="00992FD0" w:rsidRPr="00EC250C">
        <w:t xml:space="preserve"> z </w:t>
      </w:r>
      <w:r w:rsidRPr="00EC250C">
        <w:t>dost</w:t>
      </w:r>
      <w:r w:rsidRPr="00EC250C">
        <w:rPr>
          <w:rFonts w:cs="Times New Roman"/>
        </w:rPr>
        <w:t>ę</w:t>
      </w:r>
      <w:r w:rsidRPr="00EC250C">
        <w:t>pno</w:t>
      </w:r>
      <w:r w:rsidRPr="00EC250C">
        <w:rPr>
          <w:rFonts w:cs="Times New Roman"/>
        </w:rPr>
        <w:t>ś</w:t>
      </w:r>
      <w:r w:rsidRPr="00EC250C">
        <w:t>ci</w:t>
      </w:r>
      <w:r w:rsidRPr="00EC250C">
        <w:rPr>
          <w:rFonts w:cs="Times New Roman"/>
        </w:rPr>
        <w:t>ą</w:t>
      </w:r>
      <w:r w:rsidRPr="00EC250C">
        <w:t xml:space="preserve"> </w:t>
      </w:r>
      <w:r w:rsidRPr="00EC250C">
        <w:rPr>
          <w:rFonts w:cs="Times New Roman"/>
        </w:rPr>
        <w:t>ś</w:t>
      </w:r>
      <w:r w:rsidRPr="00EC250C">
        <w:t>wiadcze</w:t>
      </w:r>
      <w:r w:rsidRPr="00EC250C">
        <w:rPr>
          <w:rFonts w:cs="Times New Roman"/>
        </w:rPr>
        <w:t>ń</w:t>
      </w:r>
      <w:r w:rsidRPr="00EC250C">
        <w:t xml:space="preserve"> medycznych podczas porodu mowa jest </w:t>
      </w:r>
      <w:r w:rsidR="00B63A1B" w:rsidRPr="00EC250C">
        <w:t xml:space="preserve">w kontekście </w:t>
      </w:r>
      <w:r w:rsidRPr="00EC250C">
        <w:t>art. 68 Konstytucji (Prawo równego dostępu do świadczeń opieki zdrowotnej)</w:t>
      </w:r>
    </w:p>
    <w:p w14:paraId="6D2DC571" w14:textId="77777777" w:rsidR="007461E8" w:rsidRPr="00EC250C" w:rsidRDefault="007461E8" w:rsidP="00D131FA">
      <w:pPr>
        <w:spacing w:after="200" w:line="24" w:lineRule="auto"/>
        <w:jc w:val="both"/>
        <w:rPr>
          <w:rFonts w:eastAsiaTheme="majorEastAsia" w:cstheme="majorBidi"/>
          <w:iCs/>
          <w:color w:val="C00000"/>
          <w:sz w:val="28"/>
        </w:rPr>
      </w:pPr>
      <w:r w:rsidRPr="00EC250C">
        <w:rPr>
          <w:sz w:val="24"/>
        </w:rPr>
        <w:br w:type="page"/>
      </w:r>
    </w:p>
    <w:p w14:paraId="0FFC74F1" w14:textId="77777777" w:rsidR="007461E8" w:rsidRPr="00EC250C" w:rsidRDefault="00027313" w:rsidP="00EC79EB">
      <w:pPr>
        <w:pStyle w:val="Nagwek4"/>
        <w:rPr>
          <w:spacing w:val="0"/>
        </w:rPr>
      </w:pPr>
      <w:bookmarkStart w:id="620" w:name="_Toc6257913"/>
      <w:bookmarkStart w:id="621" w:name="_Toc11247790"/>
      <w:r w:rsidRPr="00EC250C">
        <w:lastRenderedPageBreak/>
        <w:t>Nieprzystosowane w</w:t>
      </w:r>
      <w:r w:rsidR="007461E8" w:rsidRPr="00EC250C">
        <w:t>ięzienne sale widzeń</w:t>
      </w:r>
      <w:bookmarkEnd w:id="620"/>
      <w:bookmarkEnd w:id="621"/>
    </w:p>
    <w:p w14:paraId="631F02D0" w14:textId="77777777" w:rsidR="00B473F5" w:rsidRPr="00EC250C" w:rsidRDefault="00CF2F38" w:rsidP="00D131FA">
      <w:pPr>
        <w:pStyle w:val="Problemczowieka"/>
        <w:jc w:val="both"/>
      </w:pPr>
      <w:r w:rsidRPr="00EC250C">
        <w:t>Matki, które</w:t>
      </w:r>
      <w:r w:rsidR="00992FD0" w:rsidRPr="00EC250C">
        <w:t xml:space="preserve"> z </w:t>
      </w:r>
      <w:r w:rsidRPr="00EC250C">
        <w:t>małymi dziećmi przy</w:t>
      </w:r>
      <w:r w:rsidR="0039399D" w:rsidRPr="00EC250C">
        <w:t>jeżdżają</w:t>
      </w:r>
      <w:r w:rsidRPr="00EC250C">
        <w:t xml:space="preserve"> na widzenia</w:t>
      </w:r>
      <w:r w:rsidR="00992FD0" w:rsidRPr="00EC250C">
        <w:t xml:space="preserve"> z </w:t>
      </w:r>
      <w:r w:rsidRPr="00EC250C">
        <w:t>bliskimi pozbawionymi wolności, skarżą się, że po kilku godzinach</w:t>
      </w:r>
      <w:r w:rsidR="00992FD0" w:rsidRPr="00EC250C">
        <w:t xml:space="preserve"> w </w:t>
      </w:r>
      <w:r w:rsidRPr="00EC250C">
        <w:t>podróży</w:t>
      </w:r>
      <w:r w:rsidR="00992FD0" w:rsidRPr="00EC250C">
        <w:t xml:space="preserve"> </w:t>
      </w:r>
      <w:r w:rsidR="0039399D" w:rsidRPr="00EC250C">
        <w:t xml:space="preserve">spędzają długi czas w poczekalniach, gdzie nie ma </w:t>
      </w:r>
      <w:r w:rsidRPr="00EC250C">
        <w:t>miejsca do karmienia</w:t>
      </w:r>
      <w:r w:rsidR="00992FD0" w:rsidRPr="00EC250C">
        <w:t xml:space="preserve"> i </w:t>
      </w:r>
      <w:r w:rsidRPr="00EC250C">
        <w:t>przewijania dziecka czy stanowiska do podgrzewania posiłków</w:t>
      </w:r>
      <w:r w:rsidR="00B473F5" w:rsidRPr="00EC250C">
        <w:t>.</w:t>
      </w:r>
    </w:p>
    <w:p w14:paraId="37BBC76B" w14:textId="77777777" w:rsidR="00CF2F38" w:rsidRPr="00EC250C" w:rsidRDefault="0039399D" w:rsidP="00D131FA">
      <w:pPr>
        <w:pStyle w:val="Styl1"/>
      </w:pPr>
      <w:r w:rsidRPr="00EC250C">
        <w:t xml:space="preserve">Są więzienia, gdzie do samej sali </w:t>
      </w:r>
      <w:r w:rsidR="00CF2F38" w:rsidRPr="00EC250C">
        <w:t xml:space="preserve">widzeń </w:t>
      </w:r>
      <w:r w:rsidRPr="00EC250C">
        <w:t xml:space="preserve">nie można </w:t>
      </w:r>
      <w:r w:rsidR="00CF2F38" w:rsidRPr="00EC250C">
        <w:t xml:space="preserve">zabrać </w:t>
      </w:r>
      <w:r w:rsidRPr="00EC250C">
        <w:t xml:space="preserve">ani posiłku </w:t>
      </w:r>
      <w:r w:rsidR="00CF2F38" w:rsidRPr="00EC250C">
        <w:t xml:space="preserve">dla dziecka posiłku </w:t>
      </w:r>
      <w:r w:rsidRPr="00EC250C">
        <w:t xml:space="preserve">ani </w:t>
      </w:r>
      <w:r w:rsidR="00CF2F38" w:rsidRPr="00EC250C">
        <w:t>jednorazowej pieluchy</w:t>
      </w:r>
      <w:r w:rsidRPr="00EC250C">
        <w:t xml:space="preserve"> (dziecko trzeba przewinąć albo przed albo po widzeniu)</w:t>
      </w:r>
      <w:r w:rsidR="00CF2F38" w:rsidRPr="00EC250C">
        <w:t>.</w:t>
      </w:r>
      <w:r w:rsidRPr="00EC250C">
        <w:t xml:space="preserve"> </w:t>
      </w:r>
      <w:r w:rsidR="00CF2F38" w:rsidRPr="00EC250C">
        <w:t>Dlatego RPO zwrócił się do Dyrektora Generalnego Służby Więziennej</w:t>
      </w:r>
      <w:r w:rsidR="00992FD0" w:rsidRPr="00EC250C">
        <w:t xml:space="preserve"> o </w:t>
      </w:r>
      <w:r w:rsidR="00CF2F38" w:rsidRPr="00EC250C">
        <w:t>wydanie wytycznych, które ujednolicą postępowanie</w:t>
      </w:r>
      <w:r w:rsidR="00992FD0" w:rsidRPr="00EC250C">
        <w:t xml:space="preserve"> z </w:t>
      </w:r>
      <w:r w:rsidR="00CF2F38" w:rsidRPr="00EC250C">
        <w:t>rodzinami</w:t>
      </w:r>
      <w:r w:rsidR="00992FD0" w:rsidRPr="00EC250C">
        <w:t xml:space="preserve"> </w:t>
      </w:r>
      <w:r w:rsidR="00CF2F38" w:rsidRPr="00EC250C">
        <w:t>przyjeżdżającymi na widzenia.</w:t>
      </w:r>
    </w:p>
    <w:p w14:paraId="39DE3641" w14:textId="77777777" w:rsidR="00C91F6E" w:rsidRPr="00EC250C" w:rsidRDefault="00CF2F38" w:rsidP="00D131FA">
      <w:pPr>
        <w:pStyle w:val="Styl1"/>
      </w:pPr>
      <w:r w:rsidRPr="00EC250C">
        <w:t>Służba Więzienna zgodziła się, że problem istnieje, także dlatego, że infrastruktura więziennictwa jest przestarzała,</w:t>
      </w:r>
      <w:r w:rsidR="00992FD0" w:rsidRPr="00EC250C">
        <w:t xml:space="preserve"> a w </w:t>
      </w:r>
      <w:r w:rsidRPr="00EC250C">
        <w:t>poczekalniach nie ma jak wyodrębnić miejsc do przewijania</w:t>
      </w:r>
      <w:r w:rsidR="00992FD0" w:rsidRPr="00EC250C">
        <w:t xml:space="preserve"> i </w:t>
      </w:r>
      <w:r w:rsidRPr="00EC250C">
        <w:t>karmienia dzieci.</w:t>
      </w:r>
      <w:r w:rsidR="0039399D" w:rsidRPr="00EC250C">
        <w:t xml:space="preserve"> Centralny Zarząd SW podjął działania w celu opracowania dokumentu zawierającego kompleksowe uregulowania w tej sprawie</w:t>
      </w:r>
      <w:r w:rsidR="007461E8" w:rsidRPr="00EC250C">
        <w:rPr>
          <w:rStyle w:val="Odwoanieprzypisudolnego"/>
        </w:rPr>
        <w:footnoteReference w:id="605"/>
      </w:r>
      <w:r w:rsidR="007461E8" w:rsidRPr="00EC250C">
        <w:t>.</w:t>
      </w:r>
    </w:p>
    <w:p w14:paraId="1CD4220C" w14:textId="77777777" w:rsidR="00C0413D" w:rsidRPr="00EC250C" w:rsidRDefault="00C0413D" w:rsidP="00D131FA">
      <w:pPr>
        <w:pStyle w:val="ODESANIE"/>
        <w:jc w:val="both"/>
      </w:pPr>
      <w:r w:rsidRPr="00EC250C">
        <w:t>Kontrola osobista dzieci przed widzeniem z rodzicem odbywającym karę pozbawienia wolności – omówiona przy art. 72 Konstytucji</w:t>
      </w:r>
    </w:p>
    <w:p w14:paraId="112AF650" w14:textId="77777777" w:rsidR="008528A0" w:rsidRPr="00EC250C" w:rsidRDefault="008528A0" w:rsidP="00D131FA">
      <w:pPr>
        <w:spacing w:after="200" w:line="24" w:lineRule="auto"/>
        <w:jc w:val="both"/>
        <w:rPr>
          <w:bCs/>
          <w:color w:val="044892"/>
          <w:sz w:val="24"/>
        </w:rPr>
      </w:pPr>
      <w:r w:rsidRPr="00EC250C">
        <w:rPr>
          <w:sz w:val="24"/>
        </w:rPr>
        <w:br w:type="page"/>
      </w:r>
    </w:p>
    <w:p w14:paraId="38380745" w14:textId="77777777" w:rsidR="00C91F6E" w:rsidRPr="00EC250C" w:rsidRDefault="00426216" w:rsidP="00EC250C">
      <w:pPr>
        <w:pStyle w:val="Nagwek3"/>
      </w:pPr>
      <w:bookmarkStart w:id="622" w:name="_Toc6257914"/>
      <w:bookmarkStart w:id="623" w:name="_Toc11247791"/>
      <w:r w:rsidRPr="00EC250C">
        <w:lastRenderedPageBreak/>
        <w:t xml:space="preserve">Art. 72 </w:t>
      </w:r>
      <w:r w:rsidR="001F2603" w:rsidRPr="00EC250C">
        <w:t xml:space="preserve">Konstytucji </w:t>
      </w:r>
      <w:r w:rsidRPr="00EC250C">
        <w:t>– Prawa dziecka</w:t>
      </w:r>
      <w:bookmarkEnd w:id="622"/>
      <w:bookmarkEnd w:id="623"/>
    </w:p>
    <w:p w14:paraId="587BC259" w14:textId="77777777" w:rsidR="00426216" w:rsidRPr="00EC250C" w:rsidRDefault="00426216" w:rsidP="00D131FA">
      <w:pPr>
        <w:pStyle w:val="konstytucja"/>
        <w:jc w:val="both"/>
      </w:pPr>
      <w:r w:rsidRPr="00EC250C">
        <w:t>1. Rzeczpospolita Polska zapewnia ochronę praw dziecka. Każdy ma prawo żądać od organów władzy publicznej ochrony dziecka przed przemocą, okrucieństwem, wyzyskiem</w:t>
      </w:r>
      <w:r w:rsidR="00992FD0" w:rsidRPr="00EC250C">
        <w:t xml:space="preserve"> i </w:t>
      </w:r>
      <w:r w:rsidRPr="00EC250C">
        <w:t>demoralizacją.</w:t>
      </w:r>
    </w:p>
    <w:p w14:paraId="1EDBB9D5" w14:textId="77777777" w:rsidR="00426216" w:rsidRPr="00EC250C" w:rsidRDefault="00426216" w:rsidP="00D131FA">
      <w:pPr>
        <w:pStyle w:val="konstytucja"/>
        <w:jc w:val="both"/>
      </w:pPr>
      <w:r w:rsidRPr="00EC250C">
        <w:t>2. Dziecko pozbawione opieki rodzicielskiej ma prawo do opieki</w:t>
      </w:r>
      <w:r w:rsidR="00992FD0" w:rsidRPr="00EC250C">
        <w:t xml:space="preserve"> i </w:t>
      </w:r>
      <w:r w:rsidRPr="00EC250C">
        <w:t>pomocy władz publicznych.</w:t>
      </w:r>
    </w:p>
    <w:p w14:paraId="6E74F0A0" w14:textId="77777777" w:rsidR="00426216" w:rsidRPr="00EC250C" w:rsidRDefault="00426216" w:rsidP="00D131FA">
      <w:pPr>
        <w:pStyle w:val="konstytucja"/>
        <w:jc w:val="both"/>
      </w:pPr>
      <w:r w:rsidRPr="00EC250C">
        <w:t>3. W toku ustalania praw dziecka organy władzy publicznej oraz osoby odpowiedzialne za dziecko są obowiązane do wysłuchania</w:t>
      </w:r>
      <w:r w:rsidR="00992FD0" w:rsidRPr="00EC250C">
        <w:t xml:space="preserve"> i w </w:t>
      </w:r>
      <w:r w:rsidRPr="00EC250C">
        <w:t>miarę możliwości uwzględnienia zdania dziecka.</w:t>
      </w:r>
    </w:p>
    <w:p w14:paraId="17401892" w14:textId="77777777" w:rsidR="00426216" w:rsidRPr="00EC250C" w:rsidRDefault="00426216" w:rsidP="00D131FA">
      <w:pPr>
        <w:pStyle w:val="konstytucja"/>
        <w:jc w:val="both"/>
      </w:pPr>
      <w:r w:rsidRPr="00EC250C">
        <w:t>4. Ustawa określa kompetencje</w:t>
      </w:r>
      <w:r w:rsidR="00992FD0" w:rsidRPr="00EC250C">
        <w:t xml:space="preserve"> i </w:t>
      </w:r>
      <w:r w:rsidRPr="00EC250C">
        <w:t>sposób powoływania Rzecznika Praw Dziecka.</w:t>
      </w:r>
    </w:p>
    <w:p w14:paraId="10FB68FE" w14:textId="77777777" w:rsidR="00C91F6E" w:rsidRPr="00EC250C" w:rsidRDefault="00EB1B7D" w:rsidP="00D131FA">
      <w:pPr>
        <w:pStyle w:val="ComwiKonstytucja"/>
      </w:pPr>
      <w:r w:rsidRPr="00EC250C">
        <w:t>Art. 72 normuje kilka kwestii:</w:t>
      </w:r>
    </w:p>
    <w:p w14:paraId="17F7847C" w14:textId="77777777" w:rsidR="00C91F6E" w:rsidRPr="00EC250C" w:rsidRDefault="00EB1B7D" w:rsidP="006C70B7">
      <w:pPr>
        <w:pStyle w:val="ComwiKonstytucja"/>
        <w:numPr>
          <w:ilvl w:val="0"/>
          <w:numId w:val="66"/>
        </w:numPr>
      </w:pPr>
      <w:r w:rsidRPr="00EC250C">
        <w:t>ustala obowiązek władz publicznych do zapewnienia ochrony praw dziecka,</w:t>
      </w:r>
      <w:r w:rsidR="00992FD0" w:rsidRPr="00EC250C">
        <w:t xml:space="preserve"> z </w:t>
      </w:r>
      <w:r w:rsidRPr="00EC250C">
        <w:t>czym łączy się prawo każdego do żądania ochrony dziecka przed szczególnie drastycznymi naruszeniami tych praw (ust. 1);</w:t>
      </w:r>
    </w:p>
    <w:p w14:paraId="0DA242F8" w14:textId="77777777" w:rsidR="00C91F6E" w:rsidRPr="00EC250C" w:rsidRDefault="00EB1B7D" w:rsidP="006C70B7">
      <w:pPr>
        <w:pStyle w:val="ComwiKonstytucja"/>
        <w:numPr>
          <w:ilvl w:val="0"/>
          <w:numId w:val="66"/>
        </w:numPr>
      </w:pPr>
      <w:r w:rsidRPr="00EC250C">
        <w:t>ustala zasadę pierwszeństwa roli rodziców</w:t>
      </w:r>
      <w:r w:rsidR="00992FD0" w:rsidRPr="00EC250C">
        <w:t xml:space="preserve"> w </w:t>
      </w:r>
      <w:r w:rsidRPr="00EC250C">
        <w:t>sprawowaniu opieki nad dzieckiem</w:t>
      </w:r>
      <w:r w:rsidR="00992FD0" w:rsidRPr="00EC250C">
        <w:t xml:space="preserve"> i </w:t>
      </w:r>
      <w:r w:rsidRPr="00EC250C">
        <w:t>pomocniczej roli władz</w:t>
      </w:r>
      <w:r w:rsidR="00992FD0" w:rsidRPr="00EC250C">
        <w:t xml:space="preserve"> w </w:t>
      </w:r>
      <w:r w:rsidRPr="00EC250C">
        <w:t>tym zakresie (ust. 2);</w:t>
      </w:r>
    </w:p>
    <w:p w14:paraId="24EFE73B" w14:textId="77777777" w:rsidR="00C91F6E" w:rsidRPr="00EC250C" w:rsidRDefault="00EB1B7D" w:rsidP="006C70B7">
      <w:pPr>
        <w:pStyle w:val="ComwiKonstytucja"/>
        <w:numPr>
          <w:ilvl w:val="0"/>
          <w:numId w:val="66"/>
        </w:numPr>
      </w:pPr>
      <w:r w:rsidRPr="00EC250C">
        <w:t>uznaje podmiotowość dziecka</w:t>
      </w:r>
      <w:r w:rsidR="00992FD0" w:rsidRPr="00EC250C">
        <w:t xml:space="preserve"> i </w:t>
      </w:r>
      <w:r w:rsidRPr="00EC250C">
        <w:t>wynikające stąd jego uprawnienia (ust. 3);</w:t>
      </w:r>
    </w:p>
    <w:p w14:paraId="228692AF" w14:textId="77777777" w:rsidR="00C91F6E" w:rsidRPr="00EC250C" w:rsidRDefault="00EB1B7D" w:rsidP="006C70B7">
      <w:pPr>
        <w:pStyle w:val="ComwiKonstytucja"/>
        <w:numPr>
          <w:ilvl w:val="0"/>
          <w:numId w:val="66"/>
        </w:numPr>
      </w:pPr>
      <w:r w:rsidRPr="00EC250C">
        <w:t>nakazuje utworzenie urzędu Rzecznika Praw Dziecka (ust. 4).</w:t>
      </w:r>
    </w:p>
    <w:p w14:paraId="1FB60BA8" w14:textId="77777777" w:rsidR="00C91F6E" w:rsidRPr="00EC250C" w:rsidRDefault="00EB1B7D" w:rsidP="00D131FA">
      <w:pPr>
        <w:pStyle w:val="ComwiKonstytucja"/>
      </w:pPr>
      <w:r w:rsidRPr="00EC250C">
        <w:t>Dobro dziecka na podstawie tego przepisu staje się samoistną wartością konstytucyjną, która uzupełnia szersze dobro rodziny. Zgodnie</w:t>
      </w:r>
      <w:r w:rsidR="00992FD0" w:rsidRPr="00EC250C">
        <w:t xml:space="preserve"> z </w:t>
      </w:r>
      <w:r w:rsidRPr="00EC250C">
        <w:t>Konwencją</w:t>
      </w:r>
      <w:r w:rsidR="00992FD0" w:rsidRPr="00EC250C">
        <w:t xml:space="preserve"> o </w:t>
      </w:r>
      <w:r w:rsidRPr="00EC250C">
        <w:t>prawach dziecka, dzieckiem jest każda istota ludzka</w:t>
      </w:r>
      <w:r w:rsidR="00992FD0" w:rsidRPr="00EC250C">
        <w:t xml:space="preserve"> w </w:t>
      </w:r>
      <w:r w:rsidRPr="00EC250C">
        <w:t>wieku poniżej 18 lat, chyba że zgodnie</w:t>
      </w:r>
      <w:r w:rsidR="00992FD0" w:rsidRPr="00EC250C">
        <w:t xml:space="preserve"> z </w:t>
      </w:r>
      <w:r w:rsidRPr="00EC250C">
        <w:t>prawem uzyska ono wcześniej pełnoletniość.</w:t>
      </w:r>
    </w:p>
    <w:p w14:paraId="25E9FBD5" w14:textId="77777777" w:rsidR="00EB1B7D" w:rsidRPr="00EC250C" w:rsidRDefault="00EB1B7D" w:rsidP="00D131FA">
      <w:pPr>
        <w:pStyle w:val="ComwiKonstytucja"/>
      </w:pPr>
      <w:r w:rsidRPr="00EC250C">
        <w:t>Konstytucja podchodzi do koncepcji pozycji dziecka na dwa sposoby: po pierwsze określa zasady</w:t>
      </w:r>
      <w:r w:rsidR="00992FD0" w:rsidRPr="00EC250C">
        <w:t xml:space="preserve"> i </w:t>
      </w:r>
      <w:r w:rsidRPr="00EC250C">
        <w:t>zakres poddania dziecka władzy innych osób (np. rodziców</w:t>
      </w:r>
      <w:r w:rsidR="00992FD0" w:rsidRPr="00EC250C">
        <w:t xml:space="preserve"> i </w:t>
      </w:r>
      <w:r w:rsidRPr="00EC250C">
        <w:t>opiekunów), po drugie zapewnia mu możliwość samodzielnego realizowania niektórych wolności</w:t>
      </w:r>
      <w:r w:rsidR="00992FD0" w:rsidRPr="00EC250C">
        <w:t xml:space="preserve"> i </w:t>
      </w:r>
      <w:r w:rsidRPr="00EC250C">
        <w:t>praw.</w:t>
      </w:r>
    </w:p>
    <w:p w14:paraId="1C6EDF04" w14:textId="77777777" w:rsidR="0063614A" w:rsidRPr="00EC250C" w:rsidRDefault="0063614A" w:rsidP="00D131FA">
      <w:pPr>
        <w:pStyle w:val="ComwiKonstytucja"/>
      </w:pPr>
      <w:r w:rsidRPr="00EC250C">
        <w:t>Głównym organem odpowiedzialnym za prawa dziecka jest Rzecznik Praw Dziecka.</w:t>
      </w:r>
    </w:p>
    <w:p w14:paraId="646E5E9D" w14:textId="77777777" w:rsidR="003E4DBD" w:rsidRPr="00EC250C" w:rsidRDefault="003E4DBD" w:rsidP="00D131FA">
      <w:pPr>
        <w:pStyle w:val="ComwiKonstytucja"/>
      </w:pPr>
    </w:p>
    <w:p w14:paraId="793095C8" w14:textId="77777777" w:rsidR="00EB1B7D" w:rsidRPr="00EC250C" w:rsidRDefault="00EB1B7D" w:rsidP="00D131FA">
      <w:pPr>
        <w:spacing w:after="200" w:line="24" w:lineRule="auto"/>
        <w:jc w:val="both"/>
        <w:rPr>
          <w:rFonts w:ascii="EB Garamond 08 Regular" w:eastAsiaTheme="minorHAnsi" w:hAnsi="EB Garamond 08 Regular"/>
          <w:b/>
          <w:bCs/>
          <w:i/>
          <w:color w:val="18223E"/>
          <w:spacing w:val="5"/>
          <w:sz w:val="32"/>
          <w:szCs w:val="24"/>
          <w:lang w:eastAsia="en-US"/>
        </w:rPr>
      </w:pPr>
      <w:r w:rsidRPr="00EC250C">
        <w:rPr>
          <w:sz w:val="24"/>
        </w:rPr>
        <w:br w:type="page"/>
      </w:r>
    </w:p>
    <w:p w14:paraId="57EF174F" w14:textId="77777777" w:rsidR="00431A29" w:rsidRPr="00EC250C" w:rsidRDefault="00FC6E68" w:rsidP="00EC250C">
      <w:pPr>
        <w:pStyle w:val="Nagwek8"/>
      </w:pPr>
      <w:bookmarkStart w:id="624" w:name="_Toc6257915"/>
      <w:r w:rsidRPr="00EC250C">
        <w:lastRenderedPageBreak/>
        <w:t xml:space="preserve">Dorobek </w:t>
      </w:r>
      <w:r w:rsidR="00431A29" w:rsidRPr="00EC250C">
        <w:t>rzecznik</w:t>
      </w:r>
      <w:r w:rsidRPr="00EC250C">
        <w:t>a</w:t>
      </w:r>
      <w:r w:rsidR="00431A29" w:rsidRPr="00EC250C">
        <w:t xml:space="preserve"> praw dziecka Mark</w:t>
      </w:r>
      <w:r w:rsidRPr="00EC250C">
        <w:t>a</w:t>
      </w:r>
      <w:r w:rsidR="00431A29" w:rsidRPr="00EC250C">
        <w:t xml:space="preserve"> Michalak</w:t>
      </w:r>
      <w:r w:rsidRPr="00EC250C">
        <w:t>a</w:t>
      </w:r>
    </w:p>
    <w:p w14:paraId="0A5E2312" w14:textId="77777777" w:rsidR="00431A29" w:rsidRPr="00EC250C" w:rsidRDefault="00431A29" w:rsidP="00D131FA">
      <w:pPr>
        <w:pStyle w:val="Styl2"/>
        <w:rPr>
          <w:szCs w:val="24"/>
        </w:rPr>
      </w:pPr>
      <w:r w:rsidRPr="00EC250C">
        <w:rPr>
          <w:szCs w:val="24"/>
        </w:rPr>
        <w:t xml:space="preserve">Dorobek w zakresie ochrony praw dzieci Marka Michalaka, który w 2018 r. zakończył drugą kadencję na stanowisku Rzecznika Praw </w:t>
      </w:r>
      <w:r w:rsidR="008048B0" w:rsidRPr="00EC250C">
        <w:rPr>
          <w:szCs w:val="24"/>
        </w:rPr>
        <w:t>Dziecka</w:t>
      </w:r>
      <w:r w:rsidRPr="00EC250C">
        <w:rPr>
          <w:szCs w:val="24"/>
        </w:rPr>
        <w:t xml:space="preserve">, </w:t>
      </w:r>
      <w:r w:rsidR="008048B0" w:rsidRPr="00EC250C">
        <w:rPr>
          <w:szCs w:val="24"/>
        </w:rPr>
        <w:t xml:space="preserve">RPO </w:t>
      </w:r>
      <w:r w:rsidRPr="00EC250C">
        <w:rPr>
          <w:szCs w:val="24"/>
        </w:rPr>
        <w:t>Adam Bodnar podsumował w formie dziesięciu punktów. Przedstawił je w czasie uroczystości wręczenia odchodzącemu RPD odznaki honorowej za zasługi dla ochrony praw człowieka:</w:t>
      </w:r>
    </w:p>
    <w:p w14:paraId="58741632" w14:textId="77777777" w:rsidR="00431A29" w:rsidRPr="00EC250C" w:rsidRDefault="00431A29" w:rsidP="006C70B7">
      <w:pPr>
        <w:pStyle w:val="Styl2"/>
        <w:numPr>
          <w:ilvl w:val="0"/>
          <w:numId w:val="69"/>
        </w:numPr>
        <w:rPr>
          <w:szCs w:val="24"/>
        </w:rPr>
      </w:pPr>
      <w:r w:rsidRPr="00EC250C">
        <w:rPr>
          <w:rFonts w:ascii="inherit" w:hAnsi="inherit"/>
          <w:b w:val="0"/>
          <w:smallCaps/>
          <w:szCs w:val="24"/>
          <w:bdr w:val="none" w:sz="0" w:space="0" w:color="auto" w:frame="1"/>
        </w:rPr>
        <w:t>.Nie będziesz bił dzieci.</w:t>
      </w:r>
      <w:r w:rsidRPr="00EC250C">
        <w:rPr>
          <w:rFonts w:ascii="inherit" w:hAnsi="inherit"/>
          <w:b w:val="0"/>
          <w:szCs w:val="24"/>
          <w:bdr w:val="none" w:sz="0" w:space="0" w:color="auto" w:frame="1"/>
        </w:rPr>
        <w:t> </w:t>
      </w:r>
      <w:r w:rsidRPr="00EC250C">
        <w:rPr>
          <w:szCs w:val="24"/>
        </w:rPr>
        <w:t>Wyraziste stanowisko RPD stało się symbolem całej kadencji. Doprowadziło to do pewnej zmiany społecznej – przestaliśmy akceptować „klapsy” jako zwykłą metodę wychowawczą. Akceptuje to ciągle 47% Polaków, ale 10 lat temu tego zdania było aż 78%.</w:t>
      </w:r>
    </w:p>
    <w:p w14:paraId="78845FE4" w14:textId="77777777" w:rsidR="00431A29" w:rsidRPr="00EC250C" w:rsidRDefault="00431A29" w:rsidP="006C70B7">
      <w:pPr>
        <w:pStyle w:val="Styl2"/>
        <w:numPr>
          <w:ilvl w:val="0"/>
          <w:numId w:val="69"/>
        </w:numPr>
        <w:rPr>
          <w:szCs w:val="24"/>
        </w:rPr>
      </w:pPr>
      <w:r w:rsidRPr="00EC250C">
        <w:rPr>
          <w:rFonts w:ascii="inherit" w:hAnsi="inherit"/>
          <w:b w:val="0"/>
          <w:smallCaps/>
          <w:szCs w:val="24"/>
          <w:bdr w:val="none" w:sz="0" w:space="0" w:color="auto" w:frame="1"/>
        </w:rPr>
        <w:t>Alimenty to nie prezenty – należy je płacić</w:t>
      </w:r>
      <w:r w:rsidRPr="00EC250C">
        <w:rPr>
          <w:szCs w:val="24"/>
        </w:rPr>
        <w:t>.</w:t>
      </w:r>
    </w:p>
    <w:p w14:paraId="095FA4F8" w14:textId="77777777" w:rsidR="00431A29" w:rsidRPr="00EC250C" w:rsidRDefault="00431A29" w:rsidP="006C70B7">
      <w:pPr>
        <w:pStyle w:val="Styl2"/>
        <w:numPr>
          <w:ilvl w:val="0"/>
          <w:numId w:val="69"/>
        </w:numPr>
        <w:rPr>
          <w:szCs w:val="24"/>
        </w:rPr>
      </w:pPr>
      <w:r w:rsidRPr="00EC250C">
        <w:rPr>
          <w:rFonts w:ascii="inherit" w:hAnsi="inherit"/>
          <w:b w:val="0"/>
          <w:smallCaps/>
          <w:szCs w:val="24"/>
          <w:bdr w:val="none" w:sz="0" w:space="0" w:color="auto" w:frame="1"/>
        </w:rPr>
        <w:t>Kocham – nie piję</w:t>
      </w:r>
      <w:r w:rsidRPr="00EC250C">
        <w:rPr>
          <w:rFonts w:ascii="inherit" w:hAnsi="inherit"/>
          <w:b w:val="0"/>
          <w:szCs w:val="24"/>
          <w:bdr w:val="none" w:sz="0" w:space="0" w:color="auto" w:frame="1"/>
        </w:rPr>
        <w:t>. </w:t>
      </w:r>
      <w:r w:rsidRPr="00EC250C">
        <w:rPr>
          <w:szCs w:val="24"/>
        </w:rPr>
        <w:t>Wciąż zbyt wiele dzieci rodzi się z syndromem FAS (alkoholowym zespołem płodowym). To rzeczywisty problem społeczny, z którym należy walczyć.</w:t>
      </w:r>
    </w:p>
    <w:p w14:paraId="35486A61" w14:textId="77777777" w:rsidR="00431A29" w:rsidRPr="00EC250C" w:rsidRDefault="00431A29" w:rsidP="006C70B7">
      <w:pPr>
        <w:pStyle w:val="Styl2"/>
        <w:numPr>
          <w:ilvl w:val="0"/>
          <w:numId w:val="69"/>
        </w:numPr>
        <w:rPr>
          <w:szCs w:val="24"/>
        </w:rPr>
      </w:pPr>
      <w:r w:rsidRPr="00EC250C">
        <w:rPr>
          <w:rFonts w:ascii="inherit" w:hAnsi="inherit"/>
          <w:b w:val="0"/>
          <w:smallCaps/>
          <w:szCs w:val="24"/>
          <w:bdr w:val="none" w:sz="0" w:space="0" w:color="auto" w:frame="1"/>
        </w:rPr>
        <w:t>Dziecko ma prawo do ojca i matki</w:t>
      </w:r>
      <w:r w:rsidRPr="00EC250C">
        <w:rPr>
          <w:rFonts w:ascii="inherit" w:hAnsi="inherit"/>
          <w:b w:val="0"/>
          <w:szCs w:val="24"/>
          <w:bdr w:val="none" w:sz="0" w:space="0" w:color="auto" w:frame="1"/>
        </w:rPr>
        <w:t>.</w:t>
      </w:r>
      <w:r w:rsidRPr="00EC250C">
        <w:rPr>
          <w:szCs w:val="24"/>
        </w:rPr>
        <w:t> To dzięki RPD do Kodeksu Rodzinnego i Opiekuńczego wprowadzono zapis, że dziecko ma prawo do wychowania przez oboje rodziców.</w:t>
      </w:r>
    </w:p>
    <w:p w14:paraId="3625CC21" w14:textId="77777777" w:rsidR="00431A29" w:rsidRPr="00EC250C" w:rsidRDefault="00431A29" w:rsidP="006C70B7">
      <w:pPr>
        <w:pStyle w:val="Styl2"/>
        <w:numPr>
          <w:ilvl w:val="0"/>
          <w:numId w:val="69"/>
        </w:numPr>
        <w:rPr>
          <w:szCs w:val="24"/>
        </w:rPr>
      </w:pPr>
      <w:r w:rsidRPr="00EC250C">
        <w:rPr>
          <w:rFonts w:ascii="inherit" w:hAnsi="inherit"/>
          <w:b w:val="0"/>
          <w:smallCaps/>
          <w:szCs w:val="24"/>
          <w:bdr w:val="none" w:sz="0" w:space="0" w:color="auto" w:frame="1"/>
        </w:rPr>
        <w:t>Nie będziesz traktował dzieci jako zawodników w podnoszeniu ciężarów</w:t>
      </w:r>
      <w:r w:rsidRPr="00EC250C">
        <w:rPr>
          <w:rFonts w:ascii="inherit" w:hAnsi="inherit"/>
          <w:b w:val="0"/>
          <w:szCs w:val="24"/>
          <w:bdr w:val="none" w:sz="0" w:space="0" w:color="auto" w:frame="1"/>
        </w:rPr>
        <w:t>. </w:t>
      </w:r>
      <w:r w:rsidRPr="00EC250C">
        <w:rPr>
          <w:szCs w:val="24"/>
        </w:rPr>
        <w:t>To RPD Marek Michalak uruchomił naszą wyobraźnię na temat codziennych obciążeń dzieci w szkole. Zauważył tornistry, których waga często przekracza połowę wagi ciała. Że książki i akcesoria szkolne są za ciężkie, a zeszyty ćwiczeń drukowane na papierze kredowym. Że nie ma w szkołach szafek, by te ciężkie przedmioty tam zostawiać. Problem jeszcze nie został rozwiązany, ale poszczególni ministrowie edukacji nie mogą od niego uciekać. A jeśli już, to raczej poprzez szukanie łatwiejszych tematów do debaty, niż konsekwencje reformy oświaty czy też kumulacja przyszłych roczników w liceach</w:t>
      </w:r>
    </w:p>
    <w:p w14:paraId="6314CD00" w14:textId="77777777" w:rsidR="00431A29" w:rsidRPr="00EC250C" w:rsidRDefault="00431A29" w:rsidP="006C70B7">
      <w:pPr>
        <w:pStyle w:val="Styl2"/>
        <w:numPr>
          <w:ilvl w:val="0"/>
          <w:numId w:val="69"/>
        </w:numPr>
        <w:rPr>
          <w:szCs w:val="24"/>
        </w:rPr>
      </w:pPr>
      <w:r w:rsidRPr="00EC250C">
        <w:rPr>
          <w:rFonts w:ascii="inherit" w:hAnsi="inherit"/>
          <w:b w:val="0"/>
          <w:smallCaps/>
          <w:szCs w:val="24"/>
          <w:bdr w:val="none" w:sz="0" w:space="0" w:color="auto" w:frame="1"/>
        </w:rPr>
        <w:t>Dziecko w szpitalu nie powinno cierpieć</w:t>
      </w:r>
      <w:r w:rsidRPr="00EC250C">
        <w:rPr>
          <w:rFonts w:ascii="inherit" w:hAnsi="inherit"/>
          <w:b w:val="0"/>
          <w:szCs w:val="24"/>
          <w:bdr w:val="none" w:sz="0" w:space="0" w:color="auto" w:frame="1"/>
        </w:rPr>
        <w:t>.</w:t>
      </w:r>
      <w:r w:rsidRPr="00EC250C">
        <w:rPr>
          <w:szCs w:val="24"/>
        </w:rPr>
        <w:t> To RPD odwiedzał dzieci w szpitalach, zwracając uwagę na ich problemy. RPD i RPO podejmowali analogiczne działania w sprawie warunków, zasad i opłat w związku ze sprawowaniem przez rodziców w szpitalu opieki pielęgnacyjnej nad dzieckiem i wspólnego pobytu.</w:t>
      </w:r>
    </w:p>
    <w:p w14:paraId="30096FFD" w14:textId="77777777" w:rsidR="00431A29" w:rsidRPr="00EC250C" w:rsidRDefault="00431A29" w:rsidP="006C70B7">
      <w:pPr>
        <w:pStyle w:val="Styl2"/>
        <w:numPr>
          <w:ilvl w:val="0"/>
          <w:numId w:val="69"/>
        </w:numPr>
        <w:rPr>
          <w:szCs w:val="24"/>
        </w:rPr>
      </w:pPr>
      <w:r w:rsidRPr="00EC250C">
        <w:rPr>
          <w:rFonts w:ascii="inherit" w:hAnsi="inherit"/>
          <w:b w:val="0"/>
          <w:szCs w:val="24"/>
          <w:bdr w:val="none" w:sz="0" w:space="0" w:color="auto" w:frame="1"/>
        </w:rPr>
        <w:t>.</w:t>
      </w:r>
      <w:r w:rsidRPr="00EC250C">
        <w:rPr>
          <w:rFonts w:ascii="inherit" w:hAnsi="inherit"/>
          <w:b w:val="0"/>
          <w:smallCaps/>
          <w:szCs w:val="24"/>
          <w:bdr w:val="none" w:sz="0" w:space="0" w:color="auto" w:frame="1"/>
        </w:rPr>
        <w:t>Nie można dyskryminować i szykanować dzieci w przestrzeni publicznej</w:t>
      </w:r>
      <w:r w:rsidRPr="00EC250C">
        <w:rPr>
          <w:szCs w:val="24"/>
        </w:rPr>
        <w:t>. Np. segregując dzieci w stołówce w zależności od tego, czy za obiady płaci opieka społeczna czy rodzice. Szykany to np. hejt w szkołach (sprawa Dominika z Bieżunia, który prześladowany, popełnił samobójstwo). To także nieodpowiednie traktowanie dzieci znajdujących się w szczególnych sytuacjach – np. dzieci z niepełnosprawnościami (problem ich dowozu do szkół czy edukacji włączającej), dzieci migrantów i uchodźców czy dzieci bezdomnych.</w:t>
      </w:r>
    </w:p>
    <w:p w14:paraId="751A0177" w14:textId="77777777" w:rsidR="00431A29" w:rsidRPr="00EC250C" w:rsidRDefault="00431A29" w:rsidP="006C70B7">
      <w:pPr>
        <w:pStyle w:val="Styl2"/>
        <w:numPr>
          <w:ilvl w:val="0"/>
          <w:numId w:val="69"/>
        </w:numPr>
        <w:rPr>
          <w:szCs w:val="24"/>
        </w:rPr>
      </w:pPr>
      <w:r w:rsidRPr="00EC250C">
        <w:rPr>
          <w:rFonts w:ascii="inherit" w:hAnsi="inherit"/>
          <w:b w:val="0"/>
          <w:smallCaps/>
          <w:szCs w:val="24"/>
          <w:bdr w:val="none" w:sz="0" w:space="0" w:color="auto" w:frame="1"/>
        </w:rPr>
        <w:t>Będziesz wierny faktom, nawet jeśli to się nie opłaca</w:t>
      </w:r>
      <w:r w:rsidRPr="00EC250C">
        <w:rPr>
          <w:rFonts w:ascii="inherit" w:hAnsi="inherit"/>
          <w:b w:val="0"/>
          <w:szCs w:val="24"/>
          <w:bdr w:val="none" w:sz="0" w:space="0" w:color="auto" w:frame="1"/>
        </w:rPr>
        <w:t>. </w:t>
      </w:r>
      <w:r w:rsidRPr="00EC250C">
        <w:rPr>
          <w:szCs w:val="24"/>
        </w:rPr>
        <w:t>Widać to było np. w czasie głośnej debaty politycznej po wyborach w 2015 r. o „odbieraniu dzieci z powodu biedy” przez sądy. Problem w tym, że w Polsce nie odbiera się dzieci z powodu biedy- biedzie zazwyczaj towarzyszą inne problemy społeczne: uzależnienia, zaniedbania oraz przemoc. I to one są powodem odbierania dzieci. Rzecznik Praw Dziecka miał odwagę, aby występować przeciwko takiemu taniemu populizmowi. Pokazywał, jakie są fakty.</w:t>
      </w:r>
    </w:p>
    <w:p w14:paraId="01B73A28" w14:textId="77777777" w:rsidR="00431A29" w:rsidRPr="00EC250C" w:rsidRDefault="00431A29" w:rsidP="006C70B7">
      <w:pPr>
        <w:pStyle w:val="Styl2"/>
        <w:numPr>
          <w:ilvl w:val="0"/>
          <w:numId w:val="69"/>
        </w:numPr>
        <w:rPr>
          <w:szCs w:val="24"/>
        </w:rPr>
      </w:pPr>
      <w:r w:rsidRPr="00EC250C">
        <w:rPr>
          <w:rFonts w:ascii="inherit" w:hAnsi="inherit"/>
          <w:b w:val="0"/>
          <w:smallCaps/>
          <w:szCs w:val="24"/>
          <w:bdr w:val="none" w:sz="0" w:space="0" w:color="auto" w:frame="1"/>
        </w:rPr>
        <w:t>Czcij bohaterów</w:t>
      </w:r>
      <w:r w:rsidRPr="00EC250C">
        <w:rPr>
          <w:szCs w:val="24"/>
        </w:rPr>
        <w:t>. Marek Michalak prowadził swoją działalność na barkach gigantów – Janusza Korczaka oraz Ireny Sendlerowej. To dla niego kompas moralny oraz wyznacznik standardów. Ale też przybliżał nam ich dorobek, nie zawsze przecież znany w szczegółach. To pokazuje sens służby publicznej jako poszukiwania uzasadnienia dla działań w osiągnięciach autorytetów.</w:t>
      </w:r>
    </w:p>
    <w:p w14:paraId="6D3EB0D3" w14:textId="77777777" w:rsidR="00431A29" w:rsidRPr="00EC250C" w:rsidRDefault="00431A29" w:rsidP="006C70B7">
      <w:pPr>
        <w:pStyle w:val="Styl2"/>
        <w:numPr>
          <w:ilvl w:val="0"/>
          <w:numId w:val="69"/>
        </w:numPr>
        <w:rPr>
          <w:szCs w:val="24"/>
        </w:rPr>
      </w:pPr>
      <w:r w:rsidRPr="00EC250C">
        <w:rPr>
          <w:rFonts w:ascii="inherit" w:hAnsi="inherit"/>
          <w:b w:val="0"/>
          <w:smallCaps/>
          <w:szCs w:val="24"/>
          <w:bdr w:val="none" w:sz="0" w:space="0" w:color="auto" w:frame="1"/>
        </w:rPr>
        <w:lastRenderedPageBreak/>
        <w:t>Uśmiechaj się</w:t>
      </w:r>
      <w:r w:rsidRPr="00EC250C">
        <w:rPr>
          <w:rFonts w:ascii="inherit" w:hAnsi="inherit"/>
          <w:b w:val="0"/>
          <w:szCs w:val="24"/>
          <w:bdr w:val="none" w:sz="0" w:space="0" w:color="auto" w:frame="1"/>
        </w:rPr>
        <w:t>. </w:t>
      </w:r>
      <w:r w:rsidRPr="00EC250C">
        <w:rPr>
          <w:szCs w:val="24"/>
        </w:rPr>
        <w:t>Marek Michalak to Kawaler Orderu Uśmiechu, który traktuje uśmiech jako lek na rany. Łączy się to z jego wrodzonym optymizmem. A uśmiech to także gwarancja dobrej woli innych osób i woli do współpracy.</w:t>
      </w:r>
      <w:r w:rsidRPr="00EC250C">
        <w:rPr>
          <w:rStyle w:val="Odwoanieprzypisudolnego"/>
          <w:szCs w:val="24"/>
        </w:rPr>
        <w:footnoteReference w:id="606"/>
      </w:r>
    </w:p>
    <w:p w14:paraId="19127383" w14:textId="77777777" w:rsidR="002B4512" w:rsidRPr="00EC250C" w:rsidRDefault="001F2603" w:rsidP="00EC79EB">
      <w:pPr>
        <w:pStyle w:val="Nagwek4"/>
      </w:pPr>
      <w:bookmarkStart w:id="625" w:name="_Toc11247792"/>
      <w:r w:rsidRPr="00EC250C">
        <w:t>Dzieci bez a</w:t>
      </w:r>
      <w:r w:rsidR="00A920FC" w:rsidRPr="00EC250C">
        <w:t>liment</w:t>
      </w:r>
      <w:bookmarkEnd w:id="624"/>
      <w:r w:rsidRPr="00EC250C">
        <w:t>ów</w:t>
      </w:r>
      <w:bookmarkEnd w:id="625"/>
    </w:p>
    <w:p w14:paraId="73E61F82" w14:textId="77777777" w:rsidR="00B473F5" w:rsidRPr="00EC250C" w:rsidRDefault="00A920FC" w:rsidP="00D131FA">
      <w:pPr>
        <w:pStyle w:val="Problemczowieka"/>
        <w:jc w:val="both"/>
        <w:rPr>
          <w:shd w:val="clear" w:color="auto" w:fill="FFFFFF"/>
        </w:rPr>
      </w:pPr>
      <w:r w:rsidRPr="00EC250C">
        <w:rPr>
          <w:shd w:val="clear" w:color="auto" w:fill="FFFFFF"/>
        </w:rPr>
        <w:t>Co roku prawie 70 tysięcy par decyduje się na rozwód. Dla nich to stres. Dla dzieci – zawalenie się bezpiecznego świata. Konflikt rodziców</w:t>
      </w:r>
      <w:r w:rsidR="00992FD0" w:rsidRPr="00EC250C">
        <w:rPr>
          <w:shd w:val="clear" w:color="auto" w:fill="FFFFFF"/>
        </w:rPr>
        <w:t xml:space="preserve"> o </w:t>
      </w:r>
      <w:r w:rsidRPr="00EC250C">
        <w:rPr>
          <w:shd w:val="clear" w:color="auto" w:fill="FFFFFF"/>
        </w:rPr>
        <w:t>alimenty drastycznie pogarsza sytuację dziecka. A</w:t>
      </w:r>
      <w:r w:rsidR="00992FD0" w:rsidRPr="00EC250C">
        <w:rPr>
          <w:shd w:val="clear" w:color="auto" w:fill="FFFFFF"/>
        </w:rPr>
        <w:t xml:space="preserve"> w </w:t>
      </w:r>
      <w:r w:rsidRPr="00EC250C">
        <w:rPr>
          <w:shd w:val="clear" w:color="auto" w:fill="FFFFFF"/>
        </w:rPr>
        <w:t>Polsce milion dzieci nie dostaje od swego rodzica wsparcia</w:t>
      </w:r>
      <w:r w:rsidR="00090967" w:rsidRPr="00EC250C">
        <w:rPr>
          <w:shd w:val="clear" w:color="auto" w:fill="FFFFFF"/>
        </w:rPr>
        <w:t xml:space="preserve"> materia</w:t>
      </w:r>
      <w:r w:rsidR="00C81995" w:rsidRPr="00EC250C">
        <w:rPr>
          <w:shd w:val="clear" w:color="auto" w:fill="FFFFFF"/>
        </w:rPr>
        <w:t>l</w:t>
      </w:r>
      <w:r w:rsidR="00090967" w:rsidRPr="00EC250C">
        <w:rPr>
          <w:shd w:val="clear" w:color="auto" w:fill="FFFFFF"/>
        </w:rPr>
        <w:t>nego</w:t>
      </w:r>
      <w:r w:rsidR="00B473F5" w:rsidRPr="00EC250C">
        <w:rPr>
          <w:shd w:val="clear" w:color="auto" w:fill="FFFFFF"/>
        </w:rPr>
        <w:t>.</w:t>
      </w:r>
    </w:p>
    <w:p w14:paraId="5E53C3E6" w14:textId="77777777" w:rsidR="002B4512" w:rsidRPr="00EC250C" w:rsidRDefault="002B4512" w:rsidP="00D131FA">
      <w:pPr>
        <w:pStyle w:val="Styl1"/>
      </w:pPr>
      <w:r w:rsidRPr="00EC250C">
        <w:t>Niewywiązywanie się</w:t>
      </w:r>
      <w:r w:rsidR="00992FD0" w:rsidRPr="00EC250C">
        <w:t xml:space="preserve"> z </w:t>
      </w:r>
      <w:r w:rsidRPr="00EC250C">
        <w:t>obowiązku alimentacyjnego należy uznać za formę przemocy ekonomicznej – nie tylko wobec dziecka, ale też rodzica sprawującego opiekę</w:t>
      </w:r>
      <w:r w:rsidR="00C81995" w:rsidRPr="00EC250C">
        <w:t>.</w:t>
      </w:r>
    </w:p>
    <w:p w14:paraId="4E8F2A31" w14:textId="77777777" w:rsidR="00C91F6E" w:rsidRPr="00EC250C" w:rsidRDefault="00C81995" w:rsidP="00D131FA">
      <w:pPr>
        <w:pStyle w:val="Styl1"/>
      </w:pPr>
      <w:r w:rsidRPr="00EC250C">
        <w:t xml:space="preserve">Problemem zajmuje się powołany w </w:t>
      </w:r>
      <w:r w:rsidR="002B4512" w:rsidRPr="00EC250C">
        <w:t>2016</w:t>
      </w:r>
      <w:r w:rsidR="00C91F6E" w:rsidRPr="00EC250C">
        <w:t> r.</w:t>
      </w:r>
      <w:r w:rsidR="002B4512" w:rsidRPr="00EC250C">
        <w:t xml:space="preserve"> </w:t>
      </w:r>
      <w:r w:rsidR="00A920FC" w:rsidRPr="00EC250C">
        <w:t xml:space="preserve">przez </w:t>
      </w:r>
      <w:r w:rsidR="002B4512" w:rsidRPr="00EC250C">
        <w:t>Rzecznik</w:t>
      </w:r>
      <w:r w:rsidR="00A920FC" w:rsidRPr="00EC250C">
        <w:t>a</w:t>
      </w:r>
      <w:r w:rsidR="002B4512" w:rsidRPr="00EC250C">
        <w:t xml:space="preserve"> Praw Obywatelskich</w:t>
      </w:r>
      <w:r w:rsidR="00992FD0" w:rsidRPr="00EC250C">
        <w:t xml:space="preserve"> i </w:t>
      </w:r>
      <w:r w:rsidR="002B4512" w:rsidRPr="00EC250C">
        <w:t>Rzecznik</w:t>
      </w:r>
      <w:r w:rsidR="00A920FC" w:rsidRPr="00EC250C">
        <w:t>a</w:t>
      </w:r>
      <w:r w:rsidR="002B4512" w:rsidRPr="00EC250C">
        <w:t xml:space="preserve"> Praw Dziecka Zespół do spraw Alimentów</w:t>
      </w:r>
      <w:r w:rsidRPr="00EC250C">
        <w:t xml:space="preserve">. Jego </w:t>
      </w:r>
      <w:r w:rsidR="002B4512" w:rsidRPr="00EC250C">
        <w:t xml:space="preserve">zadaniem </w:t>
      </w:r>
      <w:r w:rsidRPr="00EC250C">
        <w:t xml:space="preserve">jest </w:t>
      </w:r>
      <w:r w:rsidR="002B4512" w:rsidRPr="00EC250C">
        <w:t>znalezienie skutecznych</w:t>
      </w:r>
      <w:r w:rsidR="00992FD0" w:rsidRPr="00EC250C">
        <w:t xml:space="preserve"> i </w:t>
      </w:r>
      <w:r w:rsidR="002B4512" w:rsidRPr="00EC250C">
        <w:t>możliwych do wprowadzenia</w:t>
      </w:r>
      <w:r w:rsidR="00992FD0" w:rsidRPr="00EC250C">
        <w:t xml:space="preserve"> w </w:t>
      </w:r>
      <w:r w:rsidR="002B4512" w:rsidRPr="00EC250C">
        <w:t>życie rozwiązań, które</w:t>
      </w:r>
      <w:r w:rsidR="00992FD0" w:rsidRPr="00EC250C">
        <w:t xml:space="preserve"> z </w:t>
      </w:r>
      <w:r w:rsidR="002B4512" w:rsidRPr="00EC250C">
        <w:t>jednej strony poprawiłyby skuteczność egzekucji alimentów,</w:t>
      </w:r>
      <w:r w:rsidR="00992FD0" w:rsidRPr="00EC250C">
        <w:t xml:space="preserve"> a z </w:t>
      </w:r>
      <w:r w:rsidR="002B4512" w:rsidRPr="00EC250C">
        <w:t>drugiej upowszechniły ideę ich regulowania przez osoby zobowiązane.</w:t>
      </w:r>
    </w:p>
    <w:p w14:paraId="65527942" w14:textId="77777777" w:rsidR="00AA45BE" w:rsidRPr="00EC250C" w:rsidRDefault="00AA45BE" w:rsidP="00D131FA">
      <w:pPr>
        <w:pStyle w:val="ODESANIE"/>
        <w:jc w:val="both"/>
      </w:pPr>
      <w:r w:rsidRPr="00EC250C">
        <w:t>Więcej</w:t>
      </w:r>
      <w:r w:rsidR="00992FD0" w:rsidRPr="00EC250C">
        <w:t xml:space="preserve"> o </w:t>
      </w:r>
      <w:r w:rsidRPr="00EC250C">
        <w:t>pracy Zespołu do spraw Alimentów</w:t>
      </w:r>
      <w:r w:rsidR="00992FD0" w:rsidRPr="00EC250C">
        <w:t xml:space="preserve"> w </w:t>
      </w:r>
      <w:r w:rsidRPr="00EC250C">
        <w:t>Części III Informacji</w:t>
      </w:r>
      <w:r w:rsidR="00992FD0" w:rsidRPr="00EC250C">
        <w:t xml:space="preserve"> w </w:t>
      </w:r>
      <w:r w:rsidRPr="00EC250C">
        <w:t>podrozdziale Komisje Ekspertów – Zespół do spraw Alimentów</w:t>
      </w:r>
    </w:p>
    <w:p w14:paraId="2802C28D" w14:textId="77777777" w:rsidR="00C91F6E" w:rsidRPr="00EC250C" w:rsidRDefault="00AE6A07" w:rsidP="00EC250C">
      <w:pPr>
        <w:pStyle w:val="Nagwek5"/>
      </w:pPr>
      <w:r w:rsidRPr="00EC250C">
        <w:t>Utworzenie rejestru uporczywych dłużników alimentacyjnych</w:t>
      </w:r>
    </w:p>
    <w:p w14:paraId="0CEE7271" w14:textId="77777777" w:rsidR="00B473F5" w:rsidRPr="00EC250C" w:rsidRDefault="00AE6A07" w:rsidP="00D131FA">
      <w:pPr>
        <w:pStyle w:val="Problemczowieka"/>
        <w:jc w:val="both"/>
      </w:pPr>
      <w:r w:rsidRPr="00EC250C">
        <w:t>Informacje</w:t>
      </w:r>
      <w:r w:rsidR="00992FD0" w:rsidRPr="00EC250C">
        <w:t xml:space="preserve"> o </w:t>
      </w:r>
      <w:r w:rsidRPr="00EC250C">
        <w:t xml:space="preserve">dłużnikach alimentacyjnych znajdą się </w:t>
      </w:r>
      <w:r w:rsidR="00350861" w:rsidRPr="00EC250C">
        <w:t>od 2020</w:t>
      </w:r>
      <w:r w:rsidR="00992FD0" w:rsidRPr="00EC250C">
        <w:t xml:space="preserve"> w </w:t>
      </w:r>
      <w:r w:rsidRPr="00EC250C">
        <w:t>jednym centralnym rejestrze RUDA</w:t>
      </w:r>
      <w:r w:rsidR="00B473F5" w:rsidRPr="00EC250C">
        <w:rPr>
          <w:b w:val="0"/>
        </w:rPr>
        <w:t>.</w:t>
      </w:r>
    </w:p>
    <w:p w14:paraId="32A91D03" w14:textId="77777777" w:rsidR="00AE6A07" w:rsidRPr="00EC250C" w:rsidRDefault="00350861" w:rsidP="00D131FA">
      <w:pPr>
        <w:pStyle w:val="Styl1"/>
      </w:pPr>
      <w:r w:rsidRPr="00EC250C">
        <w:t>Przepisy,</w:t>
      </w:r>
      <w:r w:rsidR="00992FD0" w:rsidRPr="00EC250C">
        <w:t xml:space="preserve"> o </w:t>
      </w:r>
      <w:r w:rsidRPr="00EC250C">
        <w:t>które zabiegali RPO</w:t>
      </w:r>
      <w:r w:rsidR="00992FD0" w:rsidRPr="00EC250C">
        <w:t xml:space="preserve"> i </w:t>
      </w:r>
      <w:r w:rsidRPr="00EC250C">
        <w:t xml:space="preserve">RPD, </w:t>
      </w:r>
      <w:r w:rsidR="009C4B11" w:rsidRPr="00EC250C">
        <w:rPr>
          <w:bCs/>
        </w:rPr>
        <w:t xml:space="preserve">zostały uchwalone </w:t>
      </w:r>
      <w:r w:rsidRPr="00EC250C">
        <w:rPr>
          <w:bCs/>
        </w:rPr>
        <w:t>przez Sejm 6 grudnia 2018</w:t>
      </w:r>
      <w:r w:rsidR="004417A4" w:rsidRPr="00EC250C">
        <w:rPr>
          <w:bCs/>
        </w:rPr>
        <w:t> </w:t>
      </w:r>
      <w:r w:rsidRPr="00EC250C">
        <w:rPr>
          <w:bCs/>
        </w:rPr>
        <w:t>r.</w:t>
      </w:r>
      <w:r w:rsidR="00992FD0" w:rsidRPr="00EC250C">
        <w:rPr>
          <w:bCs/>
        </w:rPr>
        <w:t xml:space="preserve"> i </w:t>
      </w:r>
      <w:r w:rsidR="009C4B11" w:rsidRPr="00EC250C">
        <w:rPr>
          <w:bCs/>
        </w:rPr>
        <w:t>opublikowane</w:t>
      </w:r>
      <w:r w:rsidR="00992FD0" w:rsidRPr="00EC250C">
        <w:rPr>
          <w:bCs/>
        </w:rPr>
        <w:t xml:space="preserve"> w </w:t>
      </w:r>
      <w:r w:rsidRPr="00EC250C">
        <w:rPr>
          <w:bCs/>
        </w:rPr>
        <w:t>Dzienniku Ustaw</w:t>
      </w:r>
      <w:r w:rsidR="00992FD0" w:rsidRPr="00EC250C">
        <w:rPr>
          <w:bCs/>
        </w:rPr>
        <w:t xml:space="preserve"> z </w:t>
      </w:r>
      <w:r w:rsidRPr="00EC250C">
        <w:rPr>
          <w:bCs/>
        </w:rPr>
        <w:t>2019</w:t>
      </w:r>
      <w:r w:rsidR="00C91F6E" w:rsidRPr="00EC250C">
        <w:rPr>
          <w:bCs/>
        </w:rPr>
        <w:t> r.</w:t>
      </w:r>
      <w:r w:rsidRPr="00EC250C">
        <w:rPr>
          <w:bCs/>
        </w:rPr>
        <w:t xml:space="preserve"> pod poz. 55. W zasadniczej części ustawa</w:t>
      </w:r>
      <w:r w:rsidR="00992FD0" w:rsidRPr="00EC250C">
        <w:rPr>
          <w:bCs/>
        </w:rPr>
        <w:t xml:space="preserve"> o </w:t>
      </w:r>
      <w:r w:rsidRPr="00EC250C">
        <w:rPr>
          <w:bCs/>
        </w:rPr>
        <w:t>Krajowym Rejestrze Zadłużonych wejdzie</w:t>
      </w:r>
      <w:r w:rsidR="00992FD0" w:rsidRPr="00EC250C">
        <w:rPr>
          <w:bCs/>
        </w:rPr>
        <w:t xml:space="preserve"> w </w:t>
      </w:r>
      <w:r w:rsidRPr="00EC250C">
        <w:rPr>
          <w:bCs/>
        </w:rPr>
        <w:t>życie</w:t>
      </w:r>
      <w:r w:rsidR="00992FD0" w:rsidRPr="00EC250C">
        <w:rPr>
          <w:bCs/>
        </w:rPr>
        <w:t xml:space="preserve"> z </w:t>
      </w:r>
      <w:r w:rsidRPr="00EC250C">
        <w:rPr>
          <w:bCs/>
        </w:rPr>
        <w:t>dniem 1 grudnia 2020</w:t>
      </w:r>
      <w:r w:rsidR="00C91F6E" w:rsidRPr="00EC250C">
        <w:rPr>
          <w:bCs/>
        </w:rPr>
        <w:t> r.</w:t>
      </w:r>
      <w:r w:rsidRPr="00EC250C">
        <w:rPr>
          <w:bCs/>
        </w:rPr>
        <w:t xml:space="preserve"> </w:t>
      </w:r>
      <w:r w:rsidR="00AE6A07" w:rsidRPr="00EC250C">
        <w:t>W dost</w:t>
      </w:r>
      <w:r w:rsidR="00AE6A07" w:rsidRPr="00EC250C">
        <w:rPr>
          <w:rFonts w:hint="eastAsia"/>
        </w:rPr>
        <w:t>ę</w:t>
      </w:r>
      <w:r w:rsidR="00AE6A07" w:rsidRPr="00EC250C">
        <w:t>pnym dla ka</w:t>
      </w:r>
      <w:r w:rsidR="00AE6A07" w:rsidRPr="00EC250C">
        <w:rPr>
          <w:rFonts w:hint="eastAsia"/>
        </w:rPr>
        <w:t>ż</w:t>
      </w:r>
      <w:r w:rsidR="00AE6A07" w:rsidRPr="00EC250C">
        <w:t>dego rejestrze znajd</w:t>
      </w:r>
      <w:r w:rsidR="00AE6A07" w:rsidRPr="00EC250C">
        <w:rPr>
          <w:rFonts w:hint="eastAsia"/>
        </w:rPr>
        <w:t>ą</w:t>
      </w:r>
      <w:r w:rsidR="00AE6A07" w:rsidRPr="00EC250C">
        <w:t xml:space="preserve"> si</w:t>
      </w:r>
      <w:r w:rsidR="00AE6A07" w:rsidRPr="00EC250C">
        <w:rPr>
          <w:rFonts w:hint="eastAsia"/>
        </w:rPr>
        <w:t>ę</w:t>
      </w:r>
      <w:r w:rsidR="00AE6A07" w:rsidRPr="00EC250C">
        <w:t xml:space="preserve"> m.in. imiona</w:t>
      </w:r>
      <w:r w:rsidR="00992FD0" w:rsidRPr="00EC250C">
        <w:t xml:space="preserve"> i </w:t>
      </w:r>
      <w:r w:rsidR="00AE6A07" w:rsidRPr="00EC250C">
        <w:t>nazwiska os</w:t>
      </w:r>
      <w:r w:rsidR="00AE6A07" w:rsidRPr="00EC250C">
        <w:rPr>
          <w:rFonts w:hint="eastAsia"/>
        </w:rPr>
        <w:t>ó</w:t>
      </w:r>
      <w:r w:rsidR="00AE6A07" w:rsidRPr="00EC250C">
        <w:t>b zalegaj</w:t>
      </w:r>
      <w:r w:rsidR="00AE6A07" w:rsidRPr="00EC250C">
        <w:rPr>
          <w:rFonts w:hint="eastAsia"/>
        </w:rPr>
        <w:t>ą</w:t>
      </w:r>
      <w:r w:rsidR="00AE6A07" w:rsidRPr="00EC250C">
        <w:t>cych</w:t>
      </w:r>
      <w:r w:rsidR="00992FD0" w:rsidRPr="00EC250C">
        <w:t xml:space="preserve"> z </w:t>
      </w:r>
      <w:r w:rsidR="00AE6A07" w:rsidRPr="00EC250C">
        <w:t>alimentami d</w:t>
      </w:r>
      <w:r w:rsidR="00AE6A07" w:rsidRPr="00EC250C">
        <w:rPr>
          <w:rFonts w:hint="eastAsia"/>
        </w:rPr>
        <w:t>ł</w:t>
      </w:r>
      <w:r w:rsidR="00AE6A07" w:rsidRPr="00EC250C">
        <w:t>u</w:t>
      </w:r>
      <w:r w:rsidR="00AE6A07" w:rsidRPr="00EC250C">
        <w:rPr>
          <w:rFonts w:hint="eastAsia"/>
        </w:rPr>
        <w:t>ż</w:t>
      </w:r>
      <w:r w:rsidR="00AE6A07" w:rsidRPr="00EC250C">
        <w:t>ej ni</w:t>
      </w:r>
      <w:r w:rsidR="00AE6A07" w:rsidRPr="00EC250C">
        <w:rPr>
          <w:rFonts w:hint="eastAsia"/>
        </w:rPr>
        <w:t>ż</w:t>
      </w:r>
      <w:r w:rsidR="00AE6A07" w:rsidRPr="00EC250C">
        <w:t xml:space="preserve"> 3 miesi</w:t>
      </w:r>
      <w:r w:rsidR="00AE6A07" w:rsidRPr="00EC250C">
        <w:rPr>
          <w:rFonts w:hint="eastAsia"/>
        </w:rPr>
        <w:t>ą</w:t>
      </w:r>
      <w:r w:rsidR="00AE6A07" w:rsidRPr="00EC250C">
        <w:t>ce. Zamieszcza</w:t>
      </w:r>
      <w:r w:rsidR="00AE6A07" w:rsidRPr="00EC250C">
        <w:rPr>
          <w:rFonts w:hint="eastAsia"/>
        </w:rPr>
        <w:t>ć</w:t>
      </w:r>
      <w:r w:rsidR="00AE6A07" w:rsidRPr="00EC250C">
        <w:t xml:space="preserve"> je b</w:t>
      </w:r>
      <w:r w:rsidR="00AE6A07" w:rsidRPr="00EC250C">
        <w:rPr>
          <w:rFonts w:hint="eastAsia"/>
        </w:rPr>
        <w:t>ę</w:t>
      </w:r>
      <w:r w:rsidR="00AE6A07" w:rsidRPr="00EC250C">
        <w:t>dzie komornik prowadz</w:t>
      </w:r>
      <w:r w:rsidR="00AE6A07" w:rsidRPr="00EC250C">
        <w:rPr>
          <w:rFonts w:hint="eastAsia"/>
        </w:rPr>
        <w:t>ą</w:t>
      </w:r>
      <w:r w:rsidR="00AE6A07" w:rsidRPr="00EC250C">
        <w:t>cy post</w:t>
      </w:r>
      <w:r w:rsidR="00AE6A07" w:rsidRPr="00EC250C">
        <w:rPr>
          <w:rFonts w:hint="eastAsia"/>
        </w:rPr>
        <w:t>ę</w:t>
      </w:r>
      <w:r w:rsidR="00AE6A07" w:rsidRPr="00EC250C">
        <w:t>powanie egzekucyjne.</w:t>
      </w:r>
    </w:p>
    <w:p w14:paraId="1CCACC44" w14:textId="77777777" w:rsidR="00AE6A07" w:rsidRPr="00EC250C" w:rsidRDefault="00AE6A07" w:rsidP="00D131FA">
      <w:pPr>
        <w:pStyle w:val="Styl1"/>
        <w:rPr>
          <w:rFonts w:ascii="Open Sans Regular" w:hAnsi="Open Sans Regular"/>
        </w:rPr>
      </w:pPr>
      <w:r w:rsidRPr="00EC250C">
        <w:rPr>
          <w:bdr w:val="none" w:sz="0" w:space="0" w:color="auto" w:frame="1"/>
        </w:rPr>
        <w:t>O utworzenie takiego rejestru zabiegali Rzecznik Praw Obywatelskich oraz Rzecznik Praw Dziecka. Wskazywali, że poprawiłoby to skuteczność egzekucji świadczeń alimentacyjnych</w:t>
      </w:r>
      <w:r w:rsidR="00350861" w:rsidRPr="00EC250C">
        <w:rPr>
          <w:bCs/>
          <w:vertAlign w:val="superscript"/>
        </w:rPr>
        <w:footnoteReference w:id="607"/>
      </w:r>
      <w:r w:rsidRPr="00EC250C">
        <w:rPr>
          <w:bdr w:val="none" w:sz="0" w:space="0" w:color="auto" w:frame="1"/>
        </w:rPr>
        <w:t>.</w:t>
      </w:r>
    </w:p>
    <w:p w14:paraId="2B0B0DD1" w14:textId="77777777" w:rsidR="00AE6A07" w:rsidRPr="00EC250C" w:rsidRDefault="00AE6A07" w:rsidP="00D131FA">
      <w:pPr>
        <w:pStyle w:val="Styl1"/>
        <w:rPr>
          <w:bCs/>
        </w:rPr>
      </w:pPr>
      <w:r w:rsidRPr="00EC250C">
        <w:t>W lutym 2017</w:t>
      </w:r>
      <w:r w:rsidR="00C91F6E" w:rsidRPr="00EC250C">
        <w:t> r.</w:t>
      </w:r>
      <w:r w:rsidRPr="00EC250C">
        <w:t xml:space="preserve"> </w:t>
      </w:r>
      <w:r w:rsidR="00350861" w:rsidRPr="00EC250C">
        <w:t>i</w:t>
      </w:r>
      <w:r w:rsidRPr="00EC250C">
        <w:t xml:space="preserve">nicjatywa </w:t>
      </w:r>
      <w:r w:rsidR="00350861" w:rsidRPr="00EC250C">
        <w:t xml:space="preserve">ta </w:t>
      </w:r>
      <w:r w:rsidRPr="00EC250C">
        <w:t>nie spotkała się</w:t>
      </w:r>
      <w:r w:rsidR="00992FD0" w:rsidRPr="00EC250C">
        <w:t xml:space="preserve"> z </w:t>
      </w:r>
      <w:r w:rsidRPr="00EC250C">
        <w:t>akceptacją</w:t>
      </w:r>
      <w:r w:rsidR="00350861" w:rsidRPr="00EC250C">
        <w:rPr>
          <w:bCs/>
          <w:vertAlign w:val="superscript"/>
        </w:rPr>
        <w:footnoteReference w:id="608"/>
      </w:r>
      <w:r w:rsidRPr="00EC250C">
        <w:t>. Po kilku miesiącach Ministerstwo zmieniło jednak zdanie:</w:t>
      </w:r>
      <w:r w:rsidR="00992FD0" w:rsidRPr="00EC250C">
        <w:t xml:space="preserve"> w </w:t>
      </w:r>
      <w:r w:rsidR="00350861" w:rsidRPr="00EC250C">
        <w:t>lutym 2018</w:t>
      </w:r>
      <w:r w:rsidR="00C91F6E" w:rsidRPr="00EC250C">
        <w:t> r.</w:t>
      </w:r>
      <w:r w:rsidR="00350861" w:rsidRPr="00EC250C">
        <w:t xml:space="preserve"> </w:t>
      </w:r>
      <w:r w:rsidRPr="00EC250C">
        <w:t>projekt ustawy</w:t>
      </w:r>
      <w:r w:rsidR="00992FD0" w:rsidRPr="00EC250C">
        <w:t xml:space="preserve"> o </w:t>
      </w:r>
      <w:r w:rsidRPr="00EC250C">
        <w:t>Krajowym Rejestrze Zad</w:t>
      </w:r>
      <w:r w:rsidRPr="00EC250C">
        <w:rPr>
          <w:rFonts w:hint="eastAsia"/>
        </w:rPr>
        <w:t>ł</w:t>
      </w:r>
      <w:r w:rsidRPr="00EC250C">
        <w:t>u</w:t>
      </w:r>
      <w:r w:rsidRPr="00EC250C">
        <w:rPr>
          <w:rFonts w:hint="eastAsia"/>
        </w:rPr>
        <w:t>ż</w:t>
      </w:r>
      <w:r w:rsidRPr="00EC250C">
        <w:t xml:space="preserve">onych </w:t>
      </w:r>
      <w:r w:rsidR="00350861" w:rsidRPr="00EC250C">
        <w:t>był już procedowany.</w:t>
      </w:r>
    </w:p>
    <w:p w14:paraId="621DDED8" w14:textId="77777777" w:rsidR="00E12234" w:rsidRPr="00EC250C" w:rsidRDefault="00E12234" w:rsidP="00EC250C">
      <w:pPr>
        <w:pStyle w:val="Nagwek5"/>
      </w:pPr>
      <w:r w:rsidRPr="00EC250C">
        <w:lastRenderedPageBreak/>
        <w:t>Wdrażanie koncepcji tablic alimentacyjnych</w:t>
      </w:r>
    </w:p>
    <w:p w14:paraId="2EFAEF18" w14:textId="77777777" w:rsidR="0063614A" w:rsidRPr="00EC250C" w:rsidRDefault="0063614A" w:rsidP="00D131FA">
      <w:pPr>
        <w:pStyle w:val="Styl1"/>
      </w:pPr>
      <w:r w:rsidRPr="00EC250C">
        <w:t>Realizacją postulatów Zespołu jest także wprowadzanie w Polsce systemu „tablic alimentacyjnych”, czyli prostego wzoru ustalania wysokości alimentów – bez konieczności prowadzenia o nie sporu w sądzie</w:t>
      </w:r>
      <w:r w:rsidRPr="00EC250C">
        <w:rPr>
          <w:rStyle w:val="Odwoanieprzypisudolnego"/>
          <w:bCs/>
        </w:rPr>
        <w:footnoteReference w:id="609"/>
      </w:r>
      <w:r w:rsidRPr="00EC250C">
        <w:t>. Będą to alimenty natychmiastowe (podstawowe). Na początku roku 2019 projekt był już na etapie prac rządowych</w:t>
      </w:r>
      <w:r w:rsidRPr="00EC250C">
        <w:rPr>
          <w:rStyle w:val="Odwoanieprzypisudolnego"/>
          <w:bCs/>
        </w:rPr>
        <w:footnoteReference w:id="610"/>
      </w:r>
      <w:r w:rsidRPr="00EC250C">
        <w:t>, a osobą, która do tego się przyczyniła jest nowy rzecznik praw dziecka Mikołaj Pawlak, który nad koncepcją pracował jeszcze w czasie pełnienia służby w Ministerstwie Sprawiedliwości.</w:t>
      </w:r>
    </w:p>
    <w:p w14:paraId="6BB33166" w14:textId="77777777" w:rsidR="00C91F6E" w:rsidRPr="00EC250C" w:rsidRDefault="00E12234" w:rsidP="00D131FA">
      <w:pPr>
        <w:pStyle w:val="Styl1"/>
      </w:pPr>
      <w:r w:rsidRPr="00EC250C">
        <w:t>Po wejściu</w:t>
      </w:r>
      <w:r w:rsidR="00992FD0" w:rsidRPr="00EC250C">
        <w:t xml:space="preserve"> w </w:t>
      </w:r>
      <w:r w:rsidRPr="00EC250C">
        <w:t>życie</w:t>
      </w:r>
      <w:r w:rsidR="009C4B11" w:rsidRPr="00EC250C">
        <w:t xml:space="preserve"> nowych przepisów</w:t>
      </w:r>
      <w:r w:rsidRPr="00EC250C">
        <w:t xml:space="preserve">, jeśli rodzice się nie porozumieją co do sposobu łożenia na dzieci, to szybko będzie można ustalić alimenty podstawowe/natychmiastowe. Kluczowe </w:t>
      </w:r>
      <w:r w:rsidR="009C4B11" w:rsidRPr="00EC250C">
        <w:t xml:space="preserve">znaczenie </w:t>
      </w:r>
      <w:r w:rsidRPr="00EC250C">
        <w:t>przy ich wyliczeniu będą miały: wysokość minimalnego wynagrodzenia (zakłada się, że na rodzinę przypadają dwa takie wynagrodzenia) oraz GUS-owski współczynnik dzietności.</w:t>
      </w:r>
    </w:p>
    <w:p w14:paraId="547B1369" w14:textId="77777777" w:rsidR="00C91F6E" w:rsidRPr="00EC250C" w:rsidRDefault="00E12234" w:rsidP="00D131FA">
      <w:pPr>
        <w:pStyle w:val="Styl1"/>
      </w:pPr>
      <w:r w:rsidRPr="00EC250C">
        <w:t>Wraz ze zmianą tych parametrów automatycznie zmieniać się będą alimenty podstawowe/natychmiastowe</w:t>
      </w:r>
      <w:r w:rsidR="009C4B11" w:rsidRPr="00EC250C">
        <w:t>.</w:t>
      </w:r>
    </w:p>
    <w:p w14:paraId="10A478A4" w14:textId="77777777" w:rsidR="00E12234" w:rsidRPr="00EC250C" w:rsidRDefault="00E12234" w:rsidP="00D131FA">
      <w:pPr>
        <w:pStyle w:val="Styl1"/>
      </w:pPr>
      <w:r w:rsidRPr="00EC250C">
        <w:t>Na podstawie ich obecnej wysokości można założyć, że alimenty na jedno dziecko wyniosą od razu ok. 500 zł,</w:t>
      </w:r>
      <w:r w:rsidR="00992FD0" w:rsidRPr="00EC250C">
        <w:t xml:space="preserve"> a </w:t>
      </w:r>
      <w:r w:rsidRPr="00EC250C">
        <w:t>na dwoje -</w:t>
      </w:r>
      <w:r w:rsidR="004417A4" w:rsidRPr="00EC250C">
        <w:t xml:space="preserve"> </w:t>
      </w:r>
      <w:r w:rsidRPr="00EC250C">
        <w:t>ok. 900.</w:t>
      </w:r>
    </w:p>
    <w:p w14:paraId="10B4E8B9" w14:textId="77777777" w:rsidR="00E12234" w:rsidRPr="00EC250C" w:rsidRDefault="00E12234" w:rsidP="00D131FA">
      <w:pPr>
        <w:pStyle w:val="Styl1"/>
      </w:pPr>
      <w:r w:rsidRPr="00EC250C">
        <w:t>Dopiero jeśli rodzice nie akceptują takiej wysokości, mogą dochodzić innego wymiaru przed sądem</w:t>
      </w:r>
      <w:r w:rsidR="009756D6" w:rsidRPr="00EC250C">
        <w:rPr>
          <w:rStyle w:val="Odwoanieprzypisudolnego"/>
        </w:rPr>
        <w:footnoteReference w:id="611"/>
      </w:r>
      <w:r w:rsidRPr="00EC250C">
        <w:t>.</w:t>
      </w:r>
    </w:p>
    <w:p w14:paraId="0750BD14" w14:textId="77777777" w:rsidR="00AF692A" w:rsidRPr="00EC250C" w:rsidRDefault="00AF692A" w:rsidP="00D131FA">
      <w:pPr>
        <w:pStyle w:val="ODESANIE"/>
        <w:jc w:val="both"/>
      </w:pPr>
      <w:r w:rsidRPr="00EC250C">
        <w:t>Pełen tekst rekomendacji Kongresu Praw Rodzicielskich –</w:t>
      </w:r>
      <w:r w:rsidR="00992FD0" w:rsidRPr="00EC250C">
        <w:t xml:space="preserve"> w </w:t>
      </w:r>
      <w:r w:rsidRPr="00EC250C">
        <w:t>części III Informacji</w:t>
      </w:r>
    </w:p>
    <w:p w14:paraId="3F7260C3" w14:textId="77777777" w:rsidR="004417A4" w:rsidRPr="00EC250C" w:rsidRDefault="004417A4" w:rsidP="00EC250C">
      <w:pPr>
        <w:pStyle w:val="Nagwek5"/>
      </w:pPr>
      <w:bookmarkStart w:id="626" w:name="_Toc6257916"/>
      <w:r w:rsidRPr="00EC250C">
        <w:t>Zmiany w przepisach dotyczących egzekucji alimentów</w:t>
      </w:r>
    </w:p>
    <w:p w14:paraId="21F6F108" w14:textId="77777777" w:rsidR="00B473F5" w:rsidRPr="00EC250C" w:rsidRDefault="004417A4" w:rsidP="00D131FA">
      <w:pPr>
        <w:pStyle w:val="Problemczowieka"/>
        <w:jc w:val="both"/>
      </w:pPr>
      <w:r w:rsidRPr="00EC250C">
        <w:t>Ustawa o poprawie skuteczności egzekucji świadczeń alimentacyjnych z grudnia 2018 r.</w:t>
      </w:r>
      <w:r w:rsidRPr="00EC250C">
        <w:rPr>
          <w:vertAlign w:val="superscript"/>
        </w:rPr>
        <w:footnoteReference w:id="612"/>
      </w:r>
      <w:r w:rsidRPr="00EC250C">
        <w:t xml:space="preserve"> wdraża niektóre postulaty Zespołu ds. Alimentów. Trzeba teraz będzie sprawdzić, czy przepisy działają zgodnie z założeniami</w:t>
      </w:r>
      <w:r w:rsidR="00B473F5" w:rsidRPr="00EC250C">
        <w:t>.</w:t>
      </w:r>
    </w:p>
    <w:p w14:paraId="198991BB" w14:textId="77777777" w:rsidR="004417A4" w:rsidRPr="00EC250C" w:rsidRDefault="004417A4" w:rsidP="00D131FA">
      <w:pPr>
        <w:pStyle w:val="Styl1"/>
      </w:pPr>
      <w:r w:rsidRPr="00EC250C">
        <w:t>Ustawa zacznie działać w roku 2019 i 2020:</w:t>
      </w:r>
    </w:p>
    <w:p w14:paraId="4DA873E5" w14:textId="77777777" w:rsidR="004417A4" w:rsidRPr="00EC250C" w:rsidRDefault="004417A4" w:rsidP="006C70B7">
      <w:pPr>
        <w:pStyle w:val="Styl1"/>
        <w:numPr>
          <w:ilvl w:val="0"/>
          <w:numId w:val="67"/>
        </w:numPr>
      </w:pPr>
      <w:r w:rsidRPr="00EC250C">
        <w:t>od 1 stycznia 2019 r. ponosi próg uprawniający do pomocy z Funduszu Alimentacyjnego – z 725 zł do 800 zł do 1 października 2019 </w:t>
      </w:r>
      <w:r w:rsidRPr="00EC250C">
        <w:rPr>
          <w:rFonts w:hint="eastAsia"/>
        </w:rPr>
        <w:t>r.</w:t>
      </w:r>
      <w:r w:rsidRPr="00EC250C">
        <w:t xml:space="preserve"> Zespół ds. Alimentów stale podkreśla, że fakt, iż próg ten był od ośmiu lat w tym samym miejscu, pozbawia pomocy wiele rodzin – tymczasem, gdy zamiast uchylającego się od obowiązków rodzica alimenty zaczyna wypłacać Fundusz, taki rodzic staje się dłużnikiem państwa, a jego ściganie staje się łatwiejsze;</w:t>
      </w:r>
    </w:p>
    <w:p w14:paraId="52730489" w14:textId="77777777" w:rsidR="004417A4" w:rsidRPr="00EC250C" w:rsidRDefault="004417A4" w:rsidP="006C70B7">
      <w:pPr>
        <w:pStyle w:val="Styl1"/>
        <w:numPr>
          <w:ilvl w:val="0"/>
          <w:numId w:val="67"/>
        </w:numPr>
      </w:pPr>
      <w:r w:rsidRPr="00EC250C">
        <w:lastRenderedPageBreak/>
        <w:t>organizatorzy robót publicznych w pierwszej kolejności będą muszą zatrudniać w nich dłużników alimentacyjnych</w:t>
      </w:r>
      <w:r w:rsidR="0063614A" w:rsidRPr="00EC250C">
        <w:t>.</w:t>
      </w:r>
      <w:r w:rsidRPr="00EC250C">
        <w:t xml:space="preserve"> Zespół zwracał uwagę na potrzebę ułatwienia rodzicom, którzy mają płacić alimenty, znajdowania pracy;</w:t>
      </w:r>
    </w:p>
    <w:p w14:paraId="2181EEA3" w14:textId="77777777" w:rsidR="004417A4" w:rsidRPr="00EC250C" w:rsidRDefault="004417A4" w:rsidP="006C70B7">
      <w:pPr>
        <w:pStyle w:val="Styl1"/>
        <w:numPr>
          <w:ilvl w:val="0"/>
          <w:numId w:val="67"/>
        </w:numPr>
      </w:pPr>
      <w:r w:rsidRPr="00EC250C">
        <w:t>od 1 stycznia 2020 r. z 2 tys. do 5 tys. wzrośnie kwota grzywny, jaką będzie mógł zostać ukarany przez komornika pracodawca, który nie wykonuje obowiązków związanych z egzekucją świadczeń alimentacyjnych od pracownika. Kara grzywny od 1500 złotych do 45 tysięcy będzie obowiązywać w sytuacji, kiedy pracodawca na piśmie zawiera z pracownikiem umowę o pracę za najniższą krajową, w rzeczywistości wypłacając mu pensję „do ręki”. Zespół zwracał uwagę na problem akceptacji niepłacenia alimentów przejawiający się w tym, że pracodawcy ułatwiają rodzicom ukrywanie dochodów przed dziećmi);</w:t>
      </w:r>
    </w:p>
    <w:p w14:paraId="10ACA827" w14:textId="77777777" w:rsidR="004417A4" w:rsidRPr="00EC250C" w:rsidRDefault="004417A4" w:rsidP="006C70B7">
      <w:pPr>
        <w:pStyle w:val="Styl1"/>
        <w:numPr>
          <w:ilvl w:val="0"/>
          <w:numId w:val="67"/>
        </w:numPr>
      </w:pPr>
      <w:r w:rsidRPr="00EC250C">
        <w:t xml:space="preserve">Dzięki nowemu prawu komornicy sądowi będą mogli szybciej uzyskiwać informacje o dochodach dłużników alimentacyjnych. Będą to robić dzięki temu, że Zakład Ubezpieczeń Społecznych będzie dostarczał im bardziej szczegółowe dane, również w wersji elektronicznej, co ma usprawnić cały proces pobierana alimentów. Komornicy sądowi będą musieli powiadamiać ZUS co pół roku o prowadzeniu egzekucji alimentów. Zakład będzie musiał być powiadamiany przez komorników o zaprzestaniu egzekucji świadczeń. </w:t>
      </w:r>
      <w:r w:rsidR="0063614A" w:rsidRPr="00EC250C">
        <w:t>U</w:t>
      </w:r>
      <w:r w:rsidRPr="00EC250C">
        <w:t>łatwienie komunikacji między komornikami a ZUS było jednym z podstawowych postulatów Zespołu. Często bowiem zanim komornik dowie się, że zobowiązany do płacenia alimentów rodzic podjął pracę, jest to już informacja nieaktualna – tymczasem ZUS wie takie rzeczy od razu.</w:t>
      </w:r>
    </w:p>
    <w:p w14:paraId="4ABB97D7" w14:textId="77777777" w:rsidR="004417A4" w:rsidRPr="00EC250C" w:rsidRDefault="004417A4" w:rsidP="00D131FA">
      <w:pPr>
        <w:pStyle w:val="Styl1"/>
      </w:pPr>
      <w:r w:rsidRPr="00EC250C">
        <w:t>W ustawie pojawiły się też nowe elementy, jak możliwość prowadzenia egzekucji z części diet przysługujących z tytułu podróży służbowych, czy nałożenia grzywny na pracodawcę za wypłacanie wynagrodzenia wyższego niż wynikającego z zawartej umowy o pracę.</w:t>
      </w:r>
    </w:p>
    <w:p w14:paraId="19BCEB60" w14:textId="77777777" w:rsidR="004417A4" w:rsidRPr="00EC250C" w:rsidRDefault="0063614A" w:rsidP="00EC250C">
      <w:pPr>
        <w:pStyle w:val="Nagwek5"/>
      </w:pPr>
      <w:r w:rsidRPr="00EC250C">
        <w:t xml:space="preserve">Wpływ zmian w Kodeksie karnym na </w:t>
      </w:r>
      <w:r w:rsidR="004417A4" w:rsidRPr="00EC250C">
        <w:t>płaceni</w:t>
      </w:r>
      <w:r w:rsidRPr="00EC250C">
        <w:t>e</w:t>
      </w:r>
      <w:r w:rsidR="004417A4" w:rsidRPr="00EC250C">
        <w:t xml:space="preserve"> alimentów</w:t>
      </w:r>
    </w:p>
    <w:p w14:paraId="7F9E744C" w14:textId="77777777" w:rsidR="00B473F5" w:rsidRPr="00EC250C" w:rsidRDefault="004417A4" w:rsidP="00D131FA">
      <w:pPr>
        <w:pStyle w:val="Problemczowieka"/>
        <w:jc w:val="both"/>
        <w:rPr>
          <w:bdr w:val="none" w:sz="0" w:space="0" w:color="auto" w:frame="1"/>
        </w:rPr>
      </w:pPr>
      <w:r w:rsidRPr="00EC250C">
        <w:rPr>
          <w:bdr w:val="none" w:sz="0" w:space="0" w:color="auto" w:frame="1"/>
        </w:rPr>
        <w:t>Od 31 maja 2017 </w:t>
      </w:r>
      <w:r w:rsidRPr="00EC250C">
        <w:rPr>
          <w:rFonts w:hint="eastAsia"/>
          <w:bdr w:val="none" w:sz="0" w:space="0" w:color="auto" w:frame="1"/>
        </w:rPr>
        <w:t>r.</w:t>
      </w:r>
      <w:r w:rsidRPr="00EC250C">
        <w:rPr>
          <w:bdr w:val="none" w:sz="0" w:space="0" w:color="auto" w:frame="1"/>
        </w:rPr>
        <w:t xml:space="preserve"> obowiązuje znowelizowany przepis art. 209 kodeksu karnego dotyczący przestępstwa niealimentacji</w:t>
      </w:r>
      <w:r w:rsidR="00B473F5" w:rsidRPr="00EC250C">
        <w:rPr>
          <w:bdr w:val="none" w:sz="0" w:space="0" w:color="auto" w:frame="1"/>
        </w:rPr>
        <w:t>.</w:t>
      </w:r>
    </w:p>
    <w:p w14:paraId="7CE0912D" w14:textId="77777777" w:rsidR="0063614A" w:rsidRPr="00EC250C" w:rsidRDefault="0063614A" w:rsidP="00D131FA">
      <w:pPr>
        <w:pStyle w:val="Styl1"/>
      </w:pPr>
      <w:r w:rsidRPr="00EC250C">
        <w:t xml:space="preserve">Wcześniej </w:t>
      </w:r>
      <w:r w:rsidR="001E2CB5" w:rsidRPr="00EC250C">
        <w:t xml:space="preserve">niepłacenie alimentów było zagrożone </w:t>
      </w:r>
      <w:r w:rsidRPr="00EC250C">
        <w:t xml:space="preserve">karą do dwóch lat więzienia w przypadku </w:t>
      </w:r>
      <w:r w:rsidR="001E2CB5" w:rsidRPr="00EC250C">
        <w:t>„</w:t>
      </w:r>
      <w:r w:rsidRPr="00EC250C">
        <w:t>uporczywego</w:t>
      </w:r>
      <w:r w:rsidR="001E2CB5" w:rsidRPr="00EC250C">
        <w:t>”</w:t>
      </w:r>
      <w:r w:rsidRPr="00EC250C">
        <w:t xml:space="preserve"> niepłacenia, które </w:t>
      </w:r>
      <w:r w:rsidR="001E2CB5" w:rsidRPr="00EC250C">
        <w:t>"</w:t>
      </w:r>
      <w:r w:rsidRPr="00EC250C">
        <w:t xml:space="preserve">naraża dziecko na niemożność zaspokojenia </w:t>
      </w:r>
      <w:r w:rsidR="001E2CB5" w:rsidRPr="00EC250C">
        <w:t>„</w:t>
      </w:r>
      <w:r w:rsidRPr="00EC250C">
        <w:t>podstawowych potrzeb życiowych</w:t>
      </w:r>
      <w:r w:rsidR="001E2CB5" w:rsidRPr="00EC250C">
        <w:t>”</w:t>
      </w:r>
      <w:r w:rsidRPr="00EC250C">
        <w:t>. Po zmianie nie trzeba dowodzić uporczywości niepłacenia -  przepisy mówią wprost o zaległości trzymiesięcznej, przewidują jednak niższą karą</w:t>
      </w:r>
      <w:r w:rsidR="001E2CB5" w:rsidRPr="00EC250C">
        <w:t xml:space="preserve"> za uchylanie się od tego obowiązku rodzicielskiego, do roku pozbawienia wolności (a w takim przypadku </w:t>
      </w:r>
      <w:r w:rsidRPr="00EC250C">
        <w:t>pozw</w:t>
      </w:r>
      <w:r w:rsidR="001E2CB5" w:rsidRPr="00EC250C">
        <w:t xml:space="preserve">ala na </w:t>
      </w:r>
      <w:r w:rsidRPr="00EC250C">
        <w:t>stosowa</w:t>
      </w:r>
      <w:r w:rsidR="001E2CB5" w:rsidRPr="00EC250C">
        <w:t>nie</w:t>
      </w:r>
      <w:r w:rsidRPr="00EC250C">
        <w:t xml:space="preserve"> inn</w:t>
      </w:r>
      <w:r w:rsidR="001E2CB5" w:rsidRPr="00EC250C">
        <w:t>ych</w:t>
      </w:r>
      <w:r w:rsidRPr="00EC250C">
        <w:t xml:space="preserve"> formy wykonania kary pozbawienia wolności, np. </w:t>
      </w:r>
      <w:r w:rsidR="001E2CB5" w:rsidRPr="00EC250C">
        <w:t xml:space="preserve">tzw. obrączek czyli </w:t>
      </w:r>
      <w:r w:rsidRPr="00EC250C">
        <w:t>System</w:t>
      </w:r>
      <w:r w:rsidR="001E2CB5" w:rsidRPr="00EC250C">
        <w:t>u</w:t>
      </w:r>
      <w:r w:rsidRPr="00EC250C">
        <w:t xml:space="preserve"> Dozoru Elektronicznego</w:t>
      </w:r>
      <w:r w:rsidR="001E2CB5" w:rsidRPr="00EC250C">
        <w:t>)</w:t>
      </w:r>
      <w:r w:rsidRPr="00EC250C">
        <w:t>.</w:t>
      </w:r>
      <w:r w:rsidR="001E2CB5" w:rsidRPr="00EC250C">
        <w:t xml:space="preserve"> G</w:t>
      </w:r>
      <w:r w:rsidRPr="00EC250C">
        <w:t>dy rodzic uiści szybko zaległe alimenty,</w:t>
      </w:r>
      <w:r w:rsidR="001E2CB5" w:rsidRPr="00EC250C">
        <w:t xml:space="preserve"> jest </w:t>
      </w:r>
      <w:r w:rsidRPr="00EC250C">
        <w:t xml:space="preserve">traktowany łagodniej </w:t>
      </w:r>
      <w:r w:rsidR="001E2CB5" w:rsidRPr="00EC250C">
        <w:t>(</w:t>
      </w:r>
      <w:r w:rsidRPr="00EC250C">
        <w:t>albo w ogóle nie podlega karze, albo sąd odst</w:t>
      </w:r>
      <w:r w:rsidR="001E2CB5" w:rsidRPr="00EC250C">
        <w:t>ępuje</w:t>
      </w:r>
      <w:r w:rsidRPr="00EC250C">
        <w:t xml:space="preserve"> od wymierzenia kary).</w:t>
      </w:r>
    </w:p>
    <w:p w14:paraId="4E2E5811" w14:textId="77777777" w:rsidR="004417A4" w:rsidRPr="00EC250C" w:rsidRDefault="001E2CB5" w:rsidP="00D131FA">
      <w:pPr>
        <w:pStyle w:val="Styl1"/>
      </w:pPr>
      <w:r w:rsidRPr="00EC250C">
        <w:lastRenderedPageBreak/>
        <w:t>Taka zmiana przepisów b</w:t>
      </w:r>
      <w:r w:rsidR="004417A4" w:rsidRPr="00EC250C">
        <w:t>ył</w:t>
      </w:r>
      <w:r w:rsidRPr="00EC250C">
        <w:t>a</w:t>
      </w:r>
      <w:r w:rsidR="004417A4" w:rsidRPr="00EC250C">
        <w:t xml:space="preserve"> jed</w:t>
      </w:r>
      <w:r w:rsidRPr="00EC250C">
        <w:t>nym</w:t>
      </w:r>
      <w:r w:rsidR="004417A4" w:rsidRPr="00EC250C">
        <w:t xml:space="preserve"> z postulatów Zespołu ds. Alimentów. RPO i RPD zapytali więc Ministra Sprawiedliwości, jakie efekty przyniosła zmiana prawa</w:t>
      </w:r>
      <w:r w:rsidR="004417A4" w:rsidRPr="00EC250C">
        <w:rPr>
          <w:rStyle w:val="Odwoanieprzypisudolnego"/>
        </w:rPr>
        <w:footnoteReference w:id="613"/>
      </w:r>
      <w:r w:rsidR="004417A4" w:rsidRPr="00EC250C">
        <w:t>, w tym ile jest</w:t>
      </w:r>
      <w:r w:rsidRPr="00EC250C">
        <w:t>:</w:t>
      </w:r>
    </w:p>
    <w:p w14:paraId="62F57398" w14:textId="77777777" w:rsidR="004417A4" w:rsidRPr="00EC250C" w:rsidRDefault="004417A4" w:rsidP="006C70B7">
      <w:pPr>
        <w:pStyle w:val="Styl1"/>
        <w:numPr>
          <w:ilvl w:val="0"/>
          <w:numId w:val="68"/>
        </w:numPr>
      </w:pPr>
      <w:r w:rsidRPr="00EC250C">
        <w:t>toczących się postępowań przygotowawczych z art. 209 § 1 i 1a k.k. (odpowiedź: nastąpił prawie 260% wzrost),</w:t>
      </w:r>
    </w:p>
    <w:p w14:paraId="7D606BE0" w14:textId="77777777" w:rsidR="004417A4" w:rsidRPr="00EC250C" w:rsidRDefault="004417A4" w:rsidP="006C70B7">
      <w:pPr>
        <w:pStyle w:val="Styl1"/>
        <w:numPr>
          <w:ilvl w:val="0"/>
          <w:numId w:val="68"/>
        </w:numPr>
      </w:pPr>
      <w:r w:rsidRPr="00EC250C">
        <w:t>aktów oskarżenia (odpowiedź: wzrost wynosi prawie 300 proc.),</w:t>
      </w:r>
    </w:p>
    <w:p w14:paraId="77177286" w14:textId="77777777" w:rsidR="004417A4" w:rsidRPr="00EC250C" w:rsidRDefault="004417A4" w:rsidP="006C70B7">
      <w:pPr>
        <w:pStyle w:val="Styl1"/>
        <w:numPr>
          <w:ilvl w:val="0"/>
          <w:numId w:val="68"/>
        </w:numPr>
      </w:pPr>
      <w:r w:rsidRPr="00EC250C">
        <w:t xml:space="preserve">osób prawomocnie skazanych </w:t>
      </w:r>
      <w:r w:rsidR="001E2CB5" w:rsidRPr="00EC250C">
        <w:t xml:space="preserve">i tych, które skorzystały z </w:t>
      </w:r>
      <w:r w:rsidRPr="00EC250C">
        <w:t>czynnego żalu w trybie art. 209 § 4 i 5 k.k.,</w:t>
      </w:r>
    </w:p>
    <w:p w14:paraId="59916C26" w14:textId="77777777" w:rsidR="004417A4" w:rsidRPr="00EC250C" w:rsidRDefault="004417A4" w:rsidP="006C70B7">
      <w:pPr>
        <w:pStyle w:val="Styl1"/>
        <w:numPr>
          <w:ilvl w:val="0"/>
          <w:numId w:val="68"/>
        </w:numPr>
      </w:pPr>
      <w:r w:rsidRPr="00EC250C">
        <w:t>osób skazanych za przestępstwo niealimentacji odbywających karę pozbawienia wolności w systemie dozoru elektronicznego.</w:t>
      </w:r>
    </w:p>
    <w:p w14:paraId="3AEED62E" w14:textId="77777777" w:rsidR="004417A4" w:rsidRPr="00EC250C" w:rsidRDefault="004417A4" w:rsidP="00D131FA">
      <w:pPr>
        <w:pStyle w:val="Styl1"/>
      </w:pPr>
      <w:r w:rsidRPr="00EC250C">
        <w:t xml:space="preserve">Choć Zastępca Prokuratora Krajowego nie odpowiedział na wszystkie te pytania, to zapewnił, że zasadniczo wzrosła liczba postępowań karnych dotyczących przestępstwa </w:t>
      </w:r>
      <w:r w:rsidR="001E2CB5" w:rsidRPr="00EC250C">
        <w:t>nie alimentacji, a więc przepisy działają skutecznie</w:t>
      </w:r>
      <w:r w:rsidRPr="00EC250C">
        <w:t>.</w:t>
      </w:r>
    </w:p>
    <w:p w14:paraId="779B7D85" w14:textId="77777777" w:rsidR="004417A4" w:rsidRPr="00EC250C" w:rsidRDefault="004417A4" w:rsidP="00EC250C">
      <w:pPr>
        <w:pStyle w:val="Nagwek5"/>
      </w:pPr>
      <w:r w:rsidRPr="00EC250C">
        <w:t>Jak poprawić aktywizację zawodową dłużników alimentacyjnych</w:t>
      </w:r>
    </w:p>
    <w:p w14:paraId="232B5D37" w14:textId="77777777" w:rsidR="00B473F5" w:rsidRPr="00EC250C" w:rsidRDefault="004417A4" w:rsidP="00D131FA">
      <w:pPr>
        <w:pStyle w:val="Problemczowieka"/>
        <w:jc w:val="both"/>
        <w:rPr>
          <w:rStyle w:val="Pogrubienie"/>
          <w:rFonts w:eastAsiaTheme="majorEastAsia"/>
          <w:b/>
          <w:bCs w:val="0"/>
        </w:rPr>
      </w:pPr>
      <w:r w:rsidRPr="00EC250C">
        <w:rPr>
          <w:rStyle w:val="Pogrubienie"/>
          <w:rFonts w:eastAsiaTheme="majorEastAsia"/>
          <w:b/>
          <w:bCs w:val="0"/>
        </w:rPr>
        <w:t>Osoby zalegaj</w:t>
      </w:r>
      <w:r w:rsidRPr="00EC250C">
        <w:rPr>
          <w:rStyle w:val="Pogrubienie"/>
          <w:rFonts w:eastAsiaTheme="majorEastAsia" w:hint="eastAsia"/>
          <w:b/>
          <w:bCs w:val="0"/>
        </w:rPr>
        <w:t>ą</w:t>
      </w:r>
      <w:r w:rsidRPr="00EC250C">
        <w:rPr>
          <w:rStyle w:val="Pogrubienie"/>
          <w:rFonts w:eastAsiaTheme="majorEastAsia"/>
          <w:b/>
          <w:bCs w:val="0"/>
        </w:rPr>
        <w:t>ce z alimentami powinny odpracowywa</w:t>
      </w:r>
      <w:r w:rsidRPr="00EC250C">
        <w:rPr>
          <w:rStyle w:val="Pogrubienie"/>
          <w:rFonts w:eastAsiaTheme="majorEastAsia" w:hint="eastAsia"/>
          <w:b/>
          <w:bCs w:val="0"/>
        </w:rPr>
        <w:t>ć</w:t>
      </w:r>
      <w:r w:rsidRPr="00EC250C">
        <w:rPr>
          <w:rStyle w:val="Pogrubienie"/>
          <w:rFonts w:eastAsiaTheme="majorEastAsia"/>
          <w:b/>
          <w:bCs w:val="0"/>
        </w:rPr>
        <w:t xml:space="preserve"> sw</w:t>
      </w:r>
      <w:r w:rsidRPr="00EC250C">
        <w:rPr>
          <w:rStyle w:val="Pogrubienie"/>
          <w:rFonts w:eastAsiaTheme="majorEastAsia" w:hint="eastAsia"/>
          <w:b/>
          <w:bCs w:val="0"/>
        </w:rPr>
        <w:t>ó</w:t>
      </w:r>
      <w:r w:rsidRPr="00EC250C">
        <w:rPr>
          <w:rStyle w:val="Pogrubienie"/>
          <w:rFonts w:eastAsiaTheme="majorEastAsia"/>
          <w:b/>
          <w:bCs w:val="0"/>
        </w:rPr>
        <w:t>j d</w:t>
      </w:r>
      <w:r w:rsidRPr="00EC250C">
        <w:rPr>
          <w:rStyle w:val="Pogrubienie"/>
          <w:rFonts w:eastAsiaTheme="majorEastAsia" w:hint="eastAsia"/>
          <w:b/>
          <w:bCs w:val="0"/>
        </w:rPr>
        <w:t>ł</w:t>
      </w:r>
      <w:r w:rsidRPr="00EC250C">
        <w:rPr>
          <w:rStyle w:val="Pogrubienie"/>
          <w:rFonts w:eastAsiaTheme="majorEastAsia"/>
          <w:b/>
          <w:bCs w:val="0"/>
        </w:rPr>
        <w:t>ug w ramach prac spo</w:t>
      </w:r>
      <w:r w:rsidRPr="00EC250C">
        <w:rPr>
          <w:rStyle w:val="Pogrubienie"/>
          <w:rFonts w:eastAsiaTheme="majorEastAsia" w:hint="eastAsia"/>
          <w:b/>
          <w:bCs w:val="0"/>
        </w:rPr>
        <w:t>ł</w:t>
      </w:r>
      <w:r w:rsidRPr="00EC250C">
        <w:rPr>
          <w:rStyle w:val="Pogrubienie"/>
          <w:rFonts w:eastAsiaTheme="majorEastAsia"/>
          <w:b/>
          <w:bCs w:val="0"/>
        </w:rPr>
        <w:t>ecznie u</w:t>
      </w:r>
      <w:r w:rsidRPr="00EC250C">
        <w:rPr>
          <w:rStyle w:val="Pogrubienie"/>
          <w:rFonts w:eastAsiaTheme="majorEastAsia" w:hint="eastAsia"/>
          <w:b/>
          <w:bCs w:val="0"/>
        </w:rPr>
        <w:t>ż</w:t>
      </w:r>
      <w:r w:rsidRPr="00EC250C">
        <w:rPr>
          <w:rStyle w:val="Pogrubienie"/>
          <w:rFonts w:eastAsiaTheme="majorEastAsia"/>
          <w:b/>
          <w:bCs w:val="0"/>
        </w:rPr>
        <w:t>ytecznych – uwa</w:t>
      </w:r>
      <w:r w:rsidRPr="00EC250C">
        <w:rPr>
          <w:rStyle w:val="Pogrubienie"/>
          <w:rFonts w:eastAsiaTheme="majorEastAsia" w:hint="eastAsia"/>
          <w:b/>
          <w:bCs w:val="0"/>
        </w:rPr>
        <w:t>ż</w:t>
      </w:r>
      <w:r w:rsidRPr="00EC250C">
        <w:rPr>
          <w:rStyle w:val="Pogrubienie"/>
          <w:rFonts w:eastAsiaTheme="majorEastAsia"/>
          <w:b/>
          <w:bCs w:val="0"/>
        </w:rPr>
        <w:t>aj</w:t>
      </w:r>
      <w:r w:rsidRPr="00EC250C">
        <w:rPr>
          <w:rStyle w:val="Pogrubienie"/>
          <w:rFonts w:eastAsiaTheme="majorEastAsia" w:hint="eastAsia"/>
          <w:b/>
          <w:bCs w:val="0"/>
        </w:rPr>
        <w:t>ą</w:t>
      </w:r>
      <w:r w:rsidRPr="00EC250C">
        <w:rPr>
          <w:rStyle w:val="Pogrubienie"/>
          <w:rFonts w:eastAsiaTheme="majorEastAsia"/>
          <w:b/>
          <w:bCs w:val="0"/>
        </w:rPr>
        <w:t xml:space="preserve"> zgodnie Rzecznik Praw Dziecka i Rzecznik Praw Obywatelskich</w:t>
      </w:r>
      <w:r w:rsidRPr="00EC250C">
        <w:rPr>
          <w:rStyle w:val="Odwoanieprzypisudolnego"/>
          <w:bCs/>
          <w:iCs/>
        </w:rPr>
        <w:footnoteReference w:id="614"/>
      </w:r>
      <w:r w:rsidRPr="00EC250C">
        <w:rPr>
          <w:rStyle w:val="Pogrubienie"/>
          <w:rFonts w:eastAsiaTheme="majorEastAsia"/>
          <w:b/>
          <w:bCs w:val="0"/>
        </w:rPr>
        <w:t>. To kolejny postulat wypracowany przez Zespół ds. Alimentów</w:t>
      </w:r>
      <w:r w:rsidR="00B473F5" w:rsidRPr="00EC250C">
        <w:rPr>
          <w:rStyle w:val="Pogrubienie"/>
          <w:rFonts w:eastAsiaTheme="majorEastAsia"/>
          <w:b/>
          <w:bCs w:val="0"/>
        </w:rPr>
        <w:t>.</w:t>
      </w:r>
    </w:p>
    <w:p w14:paraId="51A3D13C" w14:textId="77777777" w:rsidR="001E2CB5" w:rsidRPr="00EC250C" w:rsidRDefault="001E2CB5" w:rsidP="00D131FA">
      <w:pPr>
        <w:pStyle w:val="Problemczowieka"/>
        <w:jc w:val="both"/>
        <w:rPr>
          <w:rStyle w:val="Pogrubienie"/>
          <w:rFonts w:eastAsiaTheme="majorEastAsia"/>
          <w:b/>
          <w:bCs w:val="0"/>
        </w:rPr>
      </w:pPr>
      <w:r w:rsidRPr="00EC250C">
        <w:rPr>
          <w:rStyle w:val="Pogrubienie"/>
          <w:rFonts w:eastAsiaTheme="majorEastAsia"/>
          <w:b/>
          <w:bCs w:val="0"/>
        </w:rPr>
        <w:t>Osoby zalegaj</w:t>
      </w:r>
      <w:r w:rsidRPr="00EC250C">
        <w:rPr>
          <w:rStyle w:val="Pogrubienie"/>
          <w:rFonts w:eastAsiaTheme="majorEastAsia" w:hint="eastAsia"/>
          <w:b/>
          <w:bCs w:val="0"/>
        </w:rPr>
        <w:t>ą</w:t>
      </w:r>
      <w:r w:rsidRPr="00EC250C">
        <w:rPr>
          <w:rStyle w:val="Pogrubienie"/>
          <w:rFonts w:eastAsiaTheme="majorEastAsia"/>
          <w:b/>
          <w:bCs w:val="0"/>
        </w:rPr>
        <w:t>ce z alimentami powinny odpracowywa</w:t>
      </w:r>
      <w:r w:rsidRPr="00EC250C">
        <w:rPr>
          <w:rStyle w:val="Pogrubienie"/>
          <w:rFonts w:eastAsiaTheme="majorEastAsia" w:hint="eastAsia"/>
          <w:b/>
          <w:bCs w:val="0"/>
        </w:rPr>
        <w:t>ć</w:t>
      </w:r>
      <w:r w:rsidRPr="00EC250C">
        <w:rPr>
          <w:rStyle w:val="Pogrubienie"/>
          <w:rFonts w:eastAsiaTheme="majorEastAsia"/>
          <w:b/>
          <w:bCs w:val="0"/>
        </w:rPr>
        <w:t xml:space="preserve"> sw</w:t>
      </w:r>
      <w:r w:rsidRPr="00EC250C">
        <w:rPr>
          <w:rStyle w:val="Pogrubienie"/>
          <w:rFonts w:eastAsiaTheme="majorEastAsia" w:hint="eastAsia"/>
          <w:b/>
          <w:bCs w:val="0"/>
        </w:rPr>
        <w:t>ó</w:t>
      </w:r>
      <w:r w:rsidRPr="00EC250C">
        <w:rPr>
          <w:rStyle w:val="Pogrubienie"/>
          <w:rFonts w:eastAsiaTheme="majorEastAsia"/>
          <w:b/>
          <w:bCs w:val="0"/>
        </w:rPr>
        <w:t>j d</w:t>
      </w:r>
      <w:r w:rsidRPr="00EC250C">
        <w:rPr>
          <w:rStyle w:val="Pogrubienie"/>
          <w:rFonts w:eastAsiaTheme="majorEastAsia" w:hint="eastAsia"/>
          <w:b/>
          <w:bCs w:val="0"/>
        </w:rPr>
        <w:t>ł</w:t>
      </w:r>
      <w:r w:rsidRPr="00EC250C">
        <w:rPr>
          <w:rStyle w:val="Pogrubienie"/>
          <w:rFonts w:eastAsiaTheme="majorEastAsia"/>
          <w:b/>
          <w:bCs w:val="0"/>
        </w:rPr>
        <w:t>ug w ramach prac spo</w:t>
      </w:r>
      <w:r w:rsidRPr="00EC250C">
        <w:rPr>
          <w:rStyle w:val="Pogrubienie"/>
          <w:rFonts w:eastAsiaTheme="majorEastAsia" w:hint="eastAsia"/>
          <w:b/>
          <w:bCs w:val="0"/>
        </w:rPr>
        <w:t>ł</w:t>
      </w:r>
      <w:r w:rsidRPr="00EC250C">
        <w:rPr>
          <w:rStyle w:val="Pogrubienie"/>
          <w:rFonts w:eastAsiaTheme="majorEastAsia"/>
          <w:b/>
          <w:bCs w:val="0"/>
        </w:rPr>
        <w:t>ecznie u</w:t>
      </w:r>
      <w:r w:rsidRPr="00EC250C">
        <w:rPr>
          <w:rStyle w:val="Pogrubienie"/>
          <w:rFonts w:eastAsiaTheme="majorEastAsia" w:hint="eastAsia"/>
          <w:b/>
          <w:bCs w:val="0"/>
        </w:rPr>
        <w:t>ż</w:t>
      </w:r>
      <w:r w:rsidRPr="00EC250C">
        <w:rPr>
          <w:rStyle w:val="Pogrubienie"/>
          <w:rFonts w:eastAsiaTheme="majorEastAsia"/>
          <w:b/>
          <w:bCs w:val="0"/>
        </w:rPr>
        <w:t>ytecznych</w:t>
      </w:r>
      <w:r w:rsidRPr="00EC250C">
        <w:rPr>
          <w:rStyle w:val="Odwoanieprzypisudolnego"/>
          <w:bCs/>
          <w:iCs/>
        </w:rPr>
        <w:footnoteReference w:id="615"/>
      </w:r>
      <w:r w:rsidRPr="00EC250C">
        <w:rPr>
          <w:rStyle w:val="Pogrubienie"/>
          <w:rFonts w:eastAsiaTheme="majorEastAsia"/>
          <w:b/>
          <w:bCs w:val="0"/>
        </w:rPr>
        <w:t>. To kolejny postulat wypracowany przez Zespół ds. Alimentów.</w:t>
      </w:r>
    </w:p>
    <w:p w14:paraId="149EC4DD" w14:textId="77777777" w:rsidR="001E2CB5" w:rsidRPr="00EC250C" w:rsidRDefault="001E2CB5" w:rsidP="00D131FA">
      <w:pPr>
        <w:pStyle w:val="Styl1"/>
      </w:pPr>
      <w:r w:rsidRPr="00EC250C">
        <w:t>Dzięki nowelizacjom Kodeksu karnego</w:t>
      </w:r>
      <w:r w:rsidRPr="00EC250C">
        <w:rPr>
          <w:rStyle w:val="Odwoanieprzypisudolnego"/>
          <w:bCs/>
          <w:iCs/>
        </w:rPr>
        <w:footnoteReference w:id="616"/>
      </w:r>
      <w:r w:rsidRPr="00EC250C">
        <w:t xml:space="preserve"> oraz ustawy o pomocy osobom uprawnionym do alimentów</w:t>
      </w:r>
      <w:r w:rsidRPr="00EC250C">
        <w:rPr>
          <w:rStyle w:val="Odwoanieprzypisudolnego"/>
          <w:bCs/>
          <w:iCs/>
        </w:rPr>
        <w:footnoteReference w:id="617"/>
      </w:r>
      <w:r w:rsidRPr="00EC250C">
        <w:t xml:space="preserve"> z 2017 r., ściągalność alimentów do funduszu alimentacyjnego – w porównaniu z 2015 r. – wzrosła aż o 100 proc. W dalszym ciągu stopa zwrotu jest jednak niewystarczająca dla samofinansowania Funduszu Alimentacyjnego. Niska stopa zwrotu środków wypłaconych przez fundusz alimentacyjny, w połączeniu z ograniczonymi możliwościami budżetowymi, to jeden z czynników uniemożliwiających taką pomoc dla wszystkich uprawnionych do alimentów, którzy ich nie otrzymują z uwagi na bezskuteczność egzekucji.</w:t>
      </w:r>
    </w:p>
    <w:p w14:paraId="29F31280" w14:textId="77777777" w:rsidR="001E2CB5" w:rsidRPr="00EC250C" w:rsidRDefault="001E2CB5" w:rsidP="00D131FA">
      <w:pPr>
        <w:pStyle w:val="Styl1"/>
      </w:pPr>
      <w:r w:rsidRPr="00EC250C">
        <w:t>Już w 2017 r. Minister Rodziny, Pracy i Polityki Socjalnej informował w 2017 r., że rozważa takie wykorzystanie środków na aktywizację zawodową osób bezrobotnych, by gminy mogły wnioskować o środki na roboty publiczne wykonywane przez dłużników alimentacyjnych, by niezwłocznie po zarejestrowaniu w urzędzie pracy mogli otrzymać z gminy skierowanie do pracy.</w:t>
      </w:r>
    </w:p>
    <w:p w14:paraId="6D198586" w14:textId="77777777" w:rsidR="001E2CB5" w:rsidRPr="00EC250C" w:rsidRDefault="001E2CB5" w:rsidP="00D131FA">
      <w:pPr>
        <w:pStyle w:val="Styl1"/>
      </w:pPr>
      <w:r w:rsidRPr="00EC250C">
        <w:lastRenderedPageBreak/>
        <w:t>RPO i RPD poprosili Ministra Rodziny, Pracy i Polityki Społecznej o informacje na temat barier, które nie pozwalają na stosowanie proponowanych rozwiązań oraz kwestii, czy wymagają one zmian legislacyjnych.</w:t>
      </w:r>
    </w:p>
    <w:p w14:paraId="07245B65" w14:textId="77777777" w:rsidR="004417A4" w:rsidRPr="00EC250C" w:rsidRDefault="004417A4" w:rsidP="00D131FA">
      <w:pPr>
        <w:pStyle w:val="Styl1"/>
        <w:rPr>
          <w:bCs/>
          <w:iCs/>
        </w:rPr>
      </w:pPr>
      <w:r w:rsidRPr="00EC250C">
        <w:rPr>
          <w:bCs/>
          <w:iCs/>
        </w:rPr>
        <w:t xml:space="preserve">Minister odpowiedział, że w resorcie kończą się prace nad zmianą przepisów. </w:t>
      </w:r>
      <w:r w:rsidR="004D796F" w:rsidRPr="00EC250C">
        <w:rPr>
          <w:bCs/>
          <w:iCs/>
        </w:rPr>
        <w:t xml:space="preserve">Ich efektem jest </w:t>
      </w:r>
      <w:r w:rsidRPr="00EC250C">
        <w:rPr>
          <w:bCs/>
          <w:iCs/>
        </w:rPr>
        <w:t>ustawa o zmianie niektórych ustaw w celu poprawy skuteczności egzekucji świadczeń alimentacyjnych</w:t>
      </w:r>
      <w:r w:rsidR="004D796F" w:rsidRPr="00EC250C">
        <w:rPr>
          <w:bCs/>
          <w:iCs/>
        </w:rPr>
        <w:t xml:space="preserve"> z 6 grudnia 2018 r.</w:t>
      </w:r>
      <w:r w:rsidRPr="00EC250C">
        <w:rPr>
          <w:rStyle w:val="Odwoanieprzypisudolnego"/>
          <w:bCs/>
          <w:iCs/>
        </w:rPr>
        <w:footnoteReference w:id="618"/>
      </w:r>
      <w:r w:rsidRPr="00EC250C">
        <w:rPr>
          <w:bCs/>
          <w:iCs/>
        </w:rPr>
        <w:t>.</w:t>
      </w:r>
    </w:p>
    <w:p w14:paraId="18D2F2F5" w14:textId="77777777" w:rsidR="00C0413D" w:rsidRPr="00EC250C" w:rsidRDefault="00C0413D" w:rsidP="00EC250C">
      <w:pPr>
        <w:pStyle w:val="Nagwek5"/>
      </w:pPr>
      <w:r w:rsidRPr="00EC250C">
        <w:t>O problemie niepłacenia alimentów na Kongresie Praw Rodzicielskich</w:t>
      </w:r>
    </w:p>
    <w:p w14:paraId="6FBF5C7F" w14:textId="77777777" w:rsidR="00BA3BBE" w:rsidRPr="00EC250C" w:rsidRDefault="00C0413D" w:rsidP="00D131FA">
      <w:pPr>
        <w:pStyle w:val="Styl1"/>
      </w:pPr>
      <w:r w:rsidRPr="00EC250C">
        <w:t xml:space="preserve">Jeden z paneli </w:t>
      </w:r>
      <w:r w:rsidRPr="00EC250C">
        <w:rPr>
          <w:b/>
          <w:bCs/>
        </w:rPr>
        <w:t>„</w:t>
      </w:r>
      <w:r w:rsidRPr="00EC250C">
        <w:rPr>
          <w:bCs/>
        </w:rPr>
        <w:t xml:space="preserve">Niepłacenie alimentów – perspektywa socjologiczna (przyczyny, skutki)” stanowił forum dyskusji na temat </w:t>
      </w:r>
      <w:r w:rsidRPr="00EC250C">
        <w:t>problematyki niealimentacji</w:t>
      </w:r>
      <w:r w:rsidRPr="00EC250C">
        <w:rPr>
          <w:rStyle w:val="Odwoanieprzypisudolnego"/>
          <w:bCs/>
        </w:rPr>
        <w:footnoteReference w:id="619"/>
      </w:r>
      <w:r w:rsidRPr="00EC250C">
        <w:rPr>
          <w:bCs/>
        </w:rPr>
        <w:t>.</w:t>
      </w:r>
      <w:r w:rsidR="00214BFB" w:rsidRPr="00EC250C">
        <w:rPr>
          <w:bCs/>
        </w:rPr>
        <w:t xml:space="preserve"> Jego uczestnicy zwrócili uwagę na to, że </w:t>
      </w:r>
      <w:r w:rsidR="00BA3BBE" w:rsidRPr="00EC250C">
        <w:t>im większy konflikt w czasie rozwodu, tym większe prawdopodobieństwo konfliktu o alimenty. Łagodzenie konfliktu jest więc pierwszym krokiem do rozwiązywania problemu alimentów. Drugim jest indywidualizowanie podejścia: potrzebne są różne formy działania, w tym: programy wsparcia dla dłużników, którzy nie są w stanie płacić, informacja i edukacja dla dłużników, dla których alimenty nie są priorytetem; kary dla tych, którzy celowo unikających płacenia. Przykład? Uczenie zasad tworzenia budżetu domowego, bo tylko wtedy rodzic może odpowiedzialnie zaproponować, ile jest naprawdę w stanie płacić na dziecko.</w:t>
      </w:r>
    </w:p>
    <w:p w14:paraId="1B4C5685" w14:textId="77777777" w:rsidR="00BA3BBE" w:rsidRPr="00EC250C" w:rsidRDefault="00BA3BBE" w:rsidP="00D131FA">
      <w:pPr>
        <w:pStyle w:val="Styl1"/>
      </w:pPr>
      <w:r w:rsidRPr="00EC250C">
        <w:t>Ale przede wszystkim potrzebne są nam działania prewencyjne, w tym wspieranie ojców (poprzez promocję urlopów ojcowskich, wydzielony urlop tylko dla ojcu). To wzmacnia rodzinę i więzi z dzieckiem. Wtedy, nawet jeśli dojdzie do rozwodu,  niepłacenie alimentów jest mniej prawdopodobne.</w:t>
      </w:r>
    </w:p>
    <w:p w14:paraId="5A9FF2D3" w14:textId="77777777" w:rsidR="00C0413D" w:rsidRPr="00EC250C" w:rsidRDefault="00C0413D" w:rsidP="00EC250C">
      <w:pPr>
        <w:pStyle w:val="Nagwek5"/>
      </w:pPr>
      <w:r w:rsidRPr="00EC250C">
        <w:t>Jak poprawić działanie sądów rodzinnych – debaty na Kongresie Praw Rodzicielskich</w:t>
      </w:r>
    </w:p>
    <w:p w14:paraId="45335F92" w14:textId="77777777" w:rsidR="00C0413D" w:rsidRPr="00EC250C" w:rsidRDefault="00C0413D" w:rsidP="00D131FA">
      <w:pPr>
        <w:pStyle w:val="Styl1"/>
      </w:pPr>
      <w:r w:rsidRPr="00EC250C">
        <w:t>Panele kongresu dotyczyły także organizacji sądownictwa rodzinnego, efektywności postępowań sądowych w sprawach rodzinnych, kontaktów z dziećmi po rozwodzie i ich faktycznym egzekwowaniu, opiece naprzemiennej, alienacji rodzicielskiej</w:t>
      </w:r>
      <w:r w:rsidRPr="00EC250C">
        <w:rPr>
          <w:rStyle w:val="Odwoanieprzypisudolnego"/>
        </w:rPr>
        <w:footnoteReference w:id="620"/>
      </w:r>
      <w:r w:rsidRPr="00EC250C">
        <w:t>. To są dziedziny, w których państwo musi poprawiać swoje działania, bo dzięki temu rozstający się małżonkowie nie będą eskalowali konfliktu, a to przełoży się na lepsze wypełnianie ich rodzicielskich obowiązków wobec dzieci.</w:t>
      </w:r>
    </w:p>
    <w:p w14:paraId="5EE6327D" w14:textId="77777777" w:rsidR="00BA3BBE" w:rsidRPr="00EC250C" w:rsidRDefault="00BA3BBE" w:rsidP="00D131FA">
      <w:pPr>
        <w:pStyle w:val="Styl1"/>
      </w:pPr>
      <w:r w:rsidRPr="00EC250C">
        <w:rPr>
          <w:rFonts w:eastAsiaTheme="majorEastAsia"/>
        </w:rPr>
        <w:t xml:space="preserve">Paneliści zwrócili m.in. uwagę na to, że </w:t>
      </w:r>
      <w:r w:rsidR="001F296B" w:rsidRPr="00EC250C">
        <w:rPr>
          <w:rFonts w:eastAsiaTheme="majorEastAsia"/>
        </w:rPr>
        <w:t xml:space="preserve">generalny problem organizacji sądów i przewlekłości postępowań </w:t>
      </w:r>
      <w:r w:rsidR="00883CD0" w:rsidRPr="00EC250C">
        <w:rPr>
          <w:rFonts w:eastAsiaTheme="majorEastAsia"/>
        </w:rPr>
        <w:t xml:space="preserve">najbardziej dotyka sprawy </w:t>
      </w:r>
      <w:r w:rsidRPr="00EC250C">
        <w:rPr>
          <w:rFonts w:eastAsiaTheme="majorEastAsia"/>
        </w:rPr>
        <w:t>rodzinn</w:t>
      </w:r>
      <w:r w:rsidR="00883CD0" w:rsidRPr="00EC250C">
        <w:rPr>
          <w:rFonts w:eastAsiaTheme="majorEastAsia"/>
        </w:rPr>
        <w:t>e</w:t>
      </w:r>
      <w:r w:rsidRPr="00EC250C">
        <w:rPr>
          <w:rFonts w:eastAsiaTheme="majorEastAsia"/>
        </w:rPr>
        <w:t xml:space="preserve"> (czas dla dzieci płynie zupełnie inaczej</w:t>
      </w:r>
      <w:r w:rsidR="00883CD0" w:rsidRPr="00EC250C">
        <w:rPr>
          <w:rFonts w:eastAsiaTheme="majorEastAsia"/>
        </w:rPr>
        <w:t xml:space="preserve"> niż dla dorosłych</w:t>
      </w:r>
      <w:r w:rsidRPr="00EC250C">
        <w:rPr>
          <w:rFonts w:eastAsiaTheme="majorEastAsia"/>
        </w:rPr>
        <w:t xml:space="preserve">). </w:t>
      </w:r>
      <w:r w:rsidR="00883CD0" w:rsidRPr="00EC250C">
        <w:rPr>
          <w:rFonts w:eastAsiaTheme="majorEastAsia"/>
        </w:rPr>
        <w:t xml:space="preserve">Proponowali też rozwiązania dla samych sądów rodzinnych (m.in. uproszczenie postępowania dowodowego,  wspieranie przez sąd inicjatyw mających na względzie dobro dziecka, </w:t>
      </w:r>
      <w:r w:rsidR="00883CD0" w:rsidRPr="00EC250C">
        <w:rPr>
          <w:rFonts w:eastAsiaTheme="majorEastAsia"/>
        </w:rPr>
        <w:lastRenderedPageBreak/>
        <w:t xml:space="preserve">w tym </w:t>
      </w:r>
      <w:r w:rsidRPr="00EC250C">
        <w:rPr>
          <w:rFonts w:eastAsiaTheme="majorEastAsia"/>
        </w:rPr>
        <w:t>mediacj</w:t>
      </w:r>
      <w:r w:rsidR="00883CD0" w:rsidRPr="00EC250C">
        <w:rPr>
          <w:rFonts w:eastAsiaTheme="majorEastAsia"/>
        </w:rPr>
        <w:t>i</w:t>
      </w:r>
      <w:r w:rsidRPr="00EC250C">
        <w:rPr>
          <w:rFonts w:eastAsiaTheme="majorEastAsia"/>
        </w:rPr>
        <w:t>, terapi</w:t>
      </w:r>
      <w:r w:rsidR="00883CD0" w:rsidRPr="00EC250C">
        <w:rPr>
          <w:rFonts w:eastAsiaTheme="majorEastAsia"/>
        </w:rPr>
        <w:t>i</w:t>
      </w:r>
      <w:r w:rsidRPr="00EC250C">
        <w:rPr>
          <w:rFonts w:eastAsiaTheme="majorEastAsia"/>
        </w:rPr>
        <w:t>, warsztat</w:t>
      </w:r>
      <w:r w:rsidR="00883CD0" w:rsidRPr="00EC250C">
        <w:rPr>
          <w:rFonts w:eastAsiaTheme="majorEastAsia"/>
        </w:rPr>
        <w:t>ów</w:t>
      </w:r>
      <w:r w:rsidRPr="00EC250C">
        <w:rPr>
          <w:rFonts w:eastAsiaTheme="majorEastAsia"/>
        </w:rPr>
        <w:t>, szkole</w:t>
      </w:r>
      <w:r w:rsidR="00883CD0" w:rsidRPr="00EC250C">
        <w:rPr>
          <w:rFonts w:eastAsiaTheme="majorEastAsia"/>
        </w:rPr>
        <w:t>ń)</w:t>
      </w:r>
      <w:r w:rsidRPr="00EC250C">
        <w:rPr>
          <w:rFonts w:eastAsiaTheme="majorEastAsia"/>
        </w:rPr>
        <w:t>.</w:t>
      </w:r>
      <w:r w:rsidR="00883CD0" w:rsidRPr="00EC250C">
        <w:rPr>
          <w:rFonts w:eastAsiaTheme="majorEastAsia"/>
        </w:rPr>
        <w:t xml:space="preserve"> Mówili o konieczności wprowadzenia </w:t>
      </w:r>
      <w:r w:rsidRPr="00EC250C">
        <w:rPr>
          <w:rFonts w:eastAsiaTheme="majorEastAsia"/>
        </w:rPr>
        <w:t>reprezentanta dziecka w czasie konfliktu między rodzicami.</w:t>
      </w:r>
    </w:p>
    <w:p w14:paraId="402BC611" w14:textId="77777777" w:rsidR="006761B6" w:rsidRPr="00EC250C" w:rsidRDefault="00C0413D" w:rsidP="00EC79EB">
      <w:pPr>
        <w:pStyle w:val="Nagwek4"/>
        <w:rPr>
          <w:spacing w:val="0"/>
        </w:rPr>
      </w:pPr>
      <w:bookmarkStart w:id="627" w:name="_Toc11247793"/>
      <w:r w:rsidRPr="00EC250C">
        <w:t>Zbyt długi czas podejmowania decyzji w sprawach o opiekę nad dziećmi</w:t>
      </w:r>
      <w:bookmarkEnd w:id="626"/>
      <w:bookmarkEnd w:id="627"/>
    </w:p>
    <w:p w14:paraId="6A5A6027" w14:textId="77777777" w:rsidR="00B473F5" w:rsidRPr="00EC250C" w:rsidRDefault="006761B6" w:rsidP="00D131FA">
      <w:pPr>
        <w:pStyle w:val="Problemczowieka"/>
        <w:jc w:val="both"/>
      </w:pPr>
      <w:r w:rsidRPr="00EC250C">
        <w:t>Jest problem</w:t>
      </w:r>
      <w:r w:rsidR="00992FD0" w:rsidRPr="00EC250C">
        <w:t xml:space="preserve"> z </w:t>
      </w:r>
      <w:r w:rsidRPr="00EC250C">
        <w:t>działaniem Opiniodawczych Zespołów Sądowych Specjalistów, które wydają dla sądów opinie</w:t>
      </w:r>
      <w:r w:rsidR="00992FD0" w:rsidRPr="00EC250C">
        <w:t xml:space="preserve"> w </w:t>
      </w:r>
      <w:r w:rsidRPr="00EC250C">
        <w:t>sprawach rodzinnych. Mniej ni</w:t>
      </w:r>
      <w:r w:rsidRPr="00EC250C">
        <w:rPr>
          <w:rFonts w:hint="eastAsia"/>
        </w:rPr>
        <w:t>ż</w:t>
      </w:r>
      <w:r w:rsidRPr="00EC250C">
        <w:t xml:space="preserve"> 1/3 opinii powstaje</w:t>
      </w:r>
      <w:r w:rsidR="00992FD0" w:rsidRPr="00EC250C">
        <w:t xml:space="preserve"> w </w:t>
      </w:r>
      <w:r w:rsidRPr="00EC250C">
        <w:t>terminie kr</w:t>
      </w:r>
      <w:r w:rsidRPr="00EC250C">
        <w:rPr>
          <w:rFonts w:hint="eastAsia"/>
        </w:rPr>
        <w:t>ó</w:t>
      </w:r>
      <w:r w:rsidRPr="00EC250C">
        <w:t>tszym ni</w:t>
      </w:r>
      <w:r w:rsidRPr="00EC250C">
        <w:rPr>
          <w:rFonts w:hint="eastAsia"/>
        </w:rPr>
        <w:t>ż</w:t>
      </w:r>
      <w:r w:rsidRPr="00EC250C">
        <w:t xml:space="preserve"> 60 dni</w:t>
      </w:r>
      <w:r w:rsidR="00175FDE" w:rsidRPr="00EC250C">
        <w:t>. Długi termin oczekiwania</w:t>
      </w:r>
      <w:r w:rsidRPr="00EC250C">
        <w:t xml:space="preserve"> przed</w:t>
      </w:r>
      <w:r w:rsidRPr="00EC250C">
        <w:rPr>
          <w:rFonts w:hint="eastAsia"/>
        </w:rPr>
        <w:t>ł</w:t>
      </w:r>
      <w:r w:rsidRPr="00EC250C">
        <w:t>u</w:t>
      </w:r>
      <w:r w:rsidRPr="00EC250C">
        <w:rPr>
          <w:rFonts w:hint="eastAsia"/>
        </w:rPr>
        <w:t>ż</w:t>
      </w:r>
      <w:r w:rsidRPr="00EC250C">
        <w:t>a post</w:t>
      </w:r>
      <w:r w:rsidRPr="00EC250C">
        <w:rPr>
          <w:rFonts w:hint="eastAsia"/>
        </w:rPr>
        <w:t>ę</w:t>
      </w:r>
      <w:r w:rsidRPr="00EC250C">
        <w:t>powanie przed s</w:t>
      </w:r>
      <w:r w:rsidRPr="00EC250C">
        <w:rPr>
          <w:rFonts w:hint="eastAsia"/>
        </w:rPr>
        <w:t>ą</w:t>
      </w:r>
      <w:r w:rsidRPr="00EC250C">
        <w:t>dami. Ponadto wyniki test</w:t>
      </w:r>
      <w:r w:rsidRPr="00EC250C">
        <w:rPr>
          <w:rFonts w:hint="eastAsia"/>
        </w:rPr>
        <w:t>ó</w:t>
      </w:r>
      <w:r w:rsidRPr="00EC250C">
        <w:t>w nie s</w:t>
      </w:r>
      <w:r w:rsidRPr="00EC250C">
        <w:rPr>
          <w:rFonts w:hint="eastAsia"/>
        </w:rPr>
        <w:t>ą</w:t>
      </w:r>
      <w:r w:rsidRPr="00EC250C">
        <w:t xml:space="preserve"> ujawniane, wi</w:t>
      </w:r>
      <w:r w:rsidRPr="00EC250C">
        <w:rPr>
          <w:rFonts w:hint="eastAsia"/>
        </w:rPr>
        <w:t>ę</w:t>
      </w:r>
      <w:r w:rsidRPr="00EC250C">
        <w:t>c rodzice nie maj</w:t>
      </w:r>
      <w:r w:rsidRPr="00EC250C">
        <w:rPr>
          <w:rFonts w:hint="eastAsia"/>
        </w:rPr>
        <w:t>ą</w:t>
      </w:r>
      <w:r w:rsidRPr="00EC250C">
        <w:t xml:space="preserve"> jak si</w:t>
      </w:r>
      <w:r w:rsidRPr="00EC250C">
        <w:rPr>
          <w:rFonts w:hint="eastAsia"/>
        </w:rPr>
        <w:t>ę</w:t>
      </w:r>
      <w:r w:rsidRPr="00EC250C">
        <w:t xml:space="preserve"> do nich odnie</w:t>
      </w:r>
      <w:r w:rsidRPr="00EC250C">
        <w:rPr>
          <w:rFonts w:hint="eastAsia"/>
        </w:rPr>
        <w:t>ść</w:t>
      </w:r>
      <w:r w:rsidR="00B473F5" w:rsidRPr="00EC250C">
        <w:t>.</w:t>
      </w:r>
    </w:p>
    <w:p w14:paraId="28279A2D" w14:textId="77777777" w:rsidR="006761B6" w:rsidRPr="00EC250C" w:rsidRDefault="00D76DC6" w:rsidP="00D131FA">
      <w:pPr>
        <w:pStyle w:val="Styl1"/>
      </w:pPr>
      <w:r w:rsidRPr="00EC250C">
        <w:t>RPO</w:t>
      </w:r>
      <w:r w:rsidR="006761B6" w:rsidRPr="00EC250C">
        <w:t xml:space="preserve"> ponownie zwrócił się do Ministra Sprawiedliwości</w:t>
      </w:r>
      <w:r w:rsidR="00992FD0" w:rsidRPr="00EC250C">
        <w:t xml:space="preserve"> w </w:t>
      </w:r>
      <w:r w:rsidR="006761B6" w:rsidRPr="00EC250C">
        <w:t>sprawie problemów</w:t>
      </w:r>
      <w:r w:rsidR="00992FD0" w:rsidRPr="00EC250C">
        <w:t xml:space="preserve"> z </w:t>
      </w:r>
      <w:r w:rsidR="006761B6" w:rsidRPr="00EC250C">
        <w:t>płynnym działaniem Opiniodawczych Zespołów Sądowych Specjalistów. Zespoły te działają</w:t>
      </w:r>
      <w:r w:rsidR="00992FD0" w:rsidRPr="00EC250C">
        <w:t xml:space="preserve"> w </w:t>
      </w:r>
      <w:r w:rsidR="006761B6" w:rsidRPr="00EC250C">
        <w:t>sądach rodzinnych. Ich zadaniem jest sporządzanie, na zlecenie sądu lub prokuratora, opinii</w:t>
      </w:r>
      <w:r w:rsidR="00992FD0" w:rsidRPr="00EC250C">
        <w:t xml:space="preserve"> w </w:t>
      </w:r>
      <w:r w:rsidR="006761B6" w:rsidRPr="00EC250C">
        <w:t>sprawach rodzinnych</w:t>
      </w:r>
      <w:r w:rsidR="00992FD0" w:rsidRPr="00EC250C">
        <w:t xml:space="preserve"> i </w:t>
      </w:r>
      <w:r w:rsidR="006761B6" w:rsidRPr="00EC250C">
        <w:t>opiekuńczych oraz</w:t>
      </w:r>
      <w:r w:rsidR="00992FD0" w:rsidRPr="00EC250C">
        <w:t xml:space="preserve"> w </w:t>
      </w:r>
      <w:r w:rsidR="006761B6" w:rsidRPr="00EC250C">
        <w:t>sprawach nieletnich.</w:t>
      </w:r>
    </w:p>
    <w:p w14:paraId="12527A4E" w14:textId="77777777" w:rsidR="006761B6" w:rsidRPr="00EC250C" w:rsidRDefault="006761B6" w:rsidP="00D131FA">
      <w:pPr>
        <w:pStyle w:val="Styl1"/>
        <w:rPr>
          <w:rFonts w:ascii="Open Sans Regular" w:hAnsi="Open Sans Regular"/>
          <w:color w:val="18223E"/>
          <w:spacing w:val="0"/>
          <w:sz w:val="21"/>
        </w:rPr>
      </w:pPr>
      <w:r w:rsidRPr="00EC250C">
        <w:t xml:space="preserve">Z odpowiedzi </w:t>
      </w:r>
      <w:r w:rsidR="00DC5152" w:rsidRPr="00EC250C">
        <w:t xml:space="preserve">Ministra </w:t>
      </w:r>
      <w:r w:rsidRPr="00EC250C">
        <w:t>wynikało, że prowadzone są prace nad nowelizacją ustawy</w:t>
      </w:r>
      <w:r w:rsidR="00992FD0" w:rsidRPr="00EC250C">
        <w:t xml:space="preserve"> o </w:t>
      </w:r>
      <w:r w:rsidRPr="00EC250C">
        <w:t>OZSS. Projektowane zmiany miały rozwiązać sytuację braków kadrowych, które powodują duże opóźnienia</w:t>
      </w:r>
      <w:r w:rsidR="00992FD0" w:rsidRPr="00EC250C">
        <w:t xml:space="preserve"> w </w:t>
      </w:r>
      <w:r w:rsidRPr="00EC250C">
        <w:t>procesie wydawania opinii. Miała również zostać wyjaśniona kwestia zapisów rozporządzeni</w:t>
      </w:r>
      <w:r w:rsidR="00175FDE" w:rsidRPr="00EC250C">
        <w:t>a</w:t>
      </w:r>
      <w:r w:rsidRPr="00EC250C">
        <w:t xml:space="preserve"> ministra, które </w:t>
      </w:r>
      <w:r w:rsidR="00AC7481" w:rsidRPr="00EC250C">
        <w:t>wyłączają możliwość udostępnienia materiałów pochodzących</w:t>
      </w:r>
      <w:r w:rsidR="00992FD0" w:rsidRPr="00EC250C">
        <w:t xml:space="preserve"> z </w:t>
      </w:r>
      <w:r w:rsidR="00AC7481" w:rsidRPr="00EC250C">
        <w:t>badań</w:t>
      </w:r>
      <w:r w:rsidR="00992FD0" w:rsidRPr="00EC250C">
        <w:t xml:space="preserve"> i </w:t>
      </w:r>
      <w:r w:rsidR="00AC7481" w:rsidRPr="00EC250C">
        <w:t>stanowiących podstawę wydanej opinii</w:t>
      </w:r>
      <w:r w:rsidRPr="00EC250C">
        <w:t>. Jest to problem często zgłaszany przez organizacje ojcowskie.</w:t>
      </w:r>
      <w:r w:rsidR="002B286E" w:rsidRPr="00EC250C">
        <w:t xml:space="preserve"> W kolejnej odpowiedzi Minister doprecyzował, jak wyobraża sobie zmiany przepisów</w:t>
      </w:r>
      <w:r w:rsidR="00AC7481" w:rsidRPr="00EC250C">
        <w:rPr>
          <w:rStyle w:val="Odwoanieprzypisudolnego"/>
        </w:rPr>
        <w:footnoteReference w:id="621"/>
      </w:r>
      <w:r w:rsidRPr="00EC250C">
        <w:rPr>
          <w:rFonts w:ascii="Open Sans Regular" w:hAnsi="Open Sans Regular"/>
          <w:color w:val="18223E"/>
          <w:spacing w:val="0"/>
          <w:sz w:val="21"/>
        </w:rPr>
        <w:t>.</w:t>
      </w:r>
    </w:p>
    <w:p w14:paraId="012AC088" w14:textId="77777777" w:rsidR="008509F3" w:rsidRPr="00EC250C" w:rsidRDefault="008509F3" w:rsidP="00EC79EB">
      <w:pPr>
        <w:pStyle w:val="Nagwek4"/>
        <w:rPr>
          <w:spacing w:val="0"/>
        </w:rPr>
      </w:pPr>
      <w:bookmarkStart w:id="628" w:name="_Toc11247794"/>
      <w:r w:rsidRPr="00EC250C">
        <w:t>Problem dzieci-ofiar przestępstwa pedofilii ze strony księży</w:t>
      </w:r>
      <w:bookmarkEnd w:id="628"/>
    </w:p>
    <w:p w14:paraId="6028CBBD" w14:textId="77777777" w:rsidR="00B473F5" w:rsidRPr="00EC250C" w:rsidRDefault="008509F3" w:rsidP="00D131FA">
      <w:pPr>
        <w:pStyle w:val="Problemczowieka"/>
        <w:jc w:val="both"/>
      </w:pPr>
      <w:r w:rsidRPr="00EC250C">
        <w:t>Osoby, które doświadczyły przemocy seksualnej ze strony księży, doświadczają traumy często przez całe</w:t>
      </w:r>
      <w:r w:rsidR="00392799" w:rsidRPr="00EC250C">
        <w:t xml:space="preserve"> </w:t>
      </w:r>
      <w:r w:rsidRPr="00EC250C">
        <w:t>życie. Działając na ich rzecz RPO współpracuje</w:t>
      </w:r>
      <w:r w:rsidR="00992FD0" w:rsidRPr="00EC250C">
        <w:t xml:space="preserve"> z </w:t>
      </w:r>
      <w:r w:rsidRPr="00EC250C">
        <w:t>reprezentującymi ich organizacjami społecznymi, przedstawicielami Kościoła</w:t>
      </w:r>
      <w:r w:rsidR="00992FD0" w:rsidRPr="00EC250C">
        <w:t xml:space="preserve"> i </w:t>
      </w:r>
      <w:r w:rsidRPr="00EC250C">
        <w:t>państwa.</w:t>
      </w:r>
      <w:r w:rsidR="00B473F5" w:rsidRPr="00EC250C">
        <w:t>.</w:t>
      </w:r>
    </w:p>
    <w:p w14:paraId="181D038E" w14:textId="77777777" w:rsidR="00C91F6E" w:rsidRPr="00EC250C" w:rsidRDefault="008509F3" w:rsidP="00D131FA">
      <w:pPr>
        <w:pStyle w:val="Styl1"/>
      </w:pPr>
      <w:r w:rsidRPr="00EC250C">
        <w:t>9 października 2018</w:t>
      </w:r>
      <w:r w:rsidR="00C91F6E" w:rsidRPr="00EC250C">
        <w:t> r.</w:t>
      </w:r>
      <w:r w:rsidR="00992FD0" w:rsidRPr="00EC250C">
        <w:t xml:space="preserve"> z </w:t>
      </w:r>
      <w:r w:rsidRPr="00EC250C">
        <w:t>udziałem przedstawicieli RPO odbyło się</w:t>
      </w:r>
      <w:r w:rsidR="00992FD0" w:rsidRPr="00EC250C">
        <w:t xml:space="preserve"> w </w:t>
      </w:r>
      <w:r w:rsidRPr="00EC250C">
        <w:t>Sejmie posiedzenie Parlamentarnego Zespołu ds. Przeciwdziałania Mowie Nienawiści</w:t>
      </w:r>
      <w:r w:rsidR="00992FD0" w:rsidRPr="00EC250C">
        <w:t xml:space="preserve"> i </w:t>
      </w:r>
      <w:r w:rsidRPr="00EC250C">
        <w:t>Ochrony Praw Człowieka poświęcony problemowi pedofilii</w:t>
      </w:r>
      <w:r w:rsidR="00992FD0" w:rsidRPr="00EC250C">
        <w:t xml:space="preserve"> w </w:t>
      </w:r>
      <w:r w:rsidRPr="00EC250C">
        <w:t>polskim Kościele.</w:t>
      </w:r>
    </w:p>
    <w:p w14:paraId="2C1E2120" w14:textId="77777777" w:rsidR="008509F3" w:rsidRPr="00EC250C" w:rsidRDefault="008509F3" w:rsidP="00D131FA">
      <w:pPr>
        <w:pStyle w:val="Styl1"/>
        <w:rPr>
          <w:b/>
        </w:rPr>
      </w:pPr>
      <w:r w:rsidRPr="00EC250C">
        <w:t>Mowa była</w:t>
      </w:r>
      <w:r w:rsidR="00992FD0" w:rsidRPr="00EC250C">
        <w:t xml:space="preserve"> o </w:t>
      </w:r>
      <w:r w:rsidRPr="00EC250C">
        <w:t>potrzebie powołania komisji, na kształt sejmowej komisji śledczej, która miałaby zbadać przypadki pedofilii</w:t>
      </w:r>
      <w:r w:rsidR="00992FD0" w:rsidRPr="00EC250C">
        <w:t xml:space="preserve"> w </w:t>
      </w:r>
      <w:r w:rsidRPr="00EC250C">
        <w:t>polskim Kościele (oraz jej ukrywania przez hierarchów) oraz doprowadzić do pociągnięcia ich sprawców do odpowiedzialności.</w:t>
      </w:r>
    </w:p>
    <w:p w14:paraId="1AE9877E" w14:textId="77777777" w:rsidR="008509F3" w:rsidRPr="00EC250C" w:rsidRDefault="008509F3" w:rsidP="00D131FA">
      <w:pPr>
        <w:pStyle w:val="Styl1"/>
      </w:pPr>
      <w:r w:rsidRPr="00EC250C">
        <w:t>Zdaniem przewodniczącej Zespołu, posłanki Joanny Scheuring-Wielgus być może należałoby stworzyć taką komisję przy Rzeczniku Praw Obywatelskich</w:t>
      </w:r>
      <w:r w:rsidR="00992FD0" w:rsidRPr="00EC250C">
        <w:t xml:space="preserve"> i </w:t>
      </w:r>
      <w:r w:rsidRPr="00EC250C">
        <w:t xml:space="preserve">Rzeczniku Praw Dziecka. Mowa też </w:t>
      </w:r>
      <w:r w:rsidRPr="00EC250C">
        <w:lastRenderedPageBreak/>
        <w:t>była</w:t>
      </w:r>
      <w:r w:rsidR="00992FD0" w:rsidRPr="00EC250C">
        <w:t xml:space="preserve"> o </w:t>
      </w:r>
      <w:r w:rsidRPr="00EC250C">
        <w:t>potrzebie zmian przepisów Kodeksu karnego tak, by przestępstw przeciwko wolności seksualnej popełnionych na szkodę małoletnich nie podlegało przedawnieniu,</w:t>
      </w:r>
      <w:r w:rsidR="00992FD0" w:rsidRPr="00EC250C">
        <w:t xml:space="preserve"> a </w:t>
      </w:r>
      <w:r w:rsidRPr="00EC250C">
        <w:t>także</w:t>
      </w:r>
      <w:r w:rsidR="00992FD0" w:rsidRPr="00EC250C">
        <w:t xml:space="preserve"> o </w:t>
      </w:r>
      <w:r w:rsidRPr="00EC250C">
        <w:t>tym, że należałoby wprowadzić minimalną kwota zadośćuczynienia dla ofiar pedofilii.</w:t>
      </w:r>
    </w:p>
    <w:p w14:paraId="0BFFAF77" w14:textId="77777777" w:rsidR="00C91F6E" w:rsidRPr="00EC250C" w:rsidRDefault="00350861" w:rsidP="00EC79EB">
      <w:pPr>
        <w:pStyle w:val="Nagwek4"/>
      </w:pPr>
      <w:bookmarkStart w:id="629" w:name="_Toc6257918"/>
      <w:bookmarkStart w:id="630" w:name="_Toc11247795"/>
      <w:r w:rsidRPr="00EC250C">
        <w:t>Kontrola osobista dzieci przed widzeniem</w:t>
      </w:r>
      <w:r w:rsidR="00992FD0" w:rsidRPr="00EC250C">
        <w:t xml:space="preserve"> </w:t>
      </w:r>
      <w:bookmarkEnd w:id="629"/>
      <w:r w:rsidR="00CA472A" w:rsidRPr="00EC250C">
        <w:t>w więzieniu</w:t>
      </w:r>
      <w:bookmarkEnd w:id="630"/>
    </w:p>
    <w:p w14:paraId="6AFB0EAB" w14:textId="77777777" w:rsidR="00B473F5" w:rsidRPr="00EC250C" w:rsidRDefault="00350861" w:rsidP="00D131FA">
      <w:pPr>
        <w:pStyle w:val="Problemczowieka"/>
        <w:jc w:val="both"/>
      </w:pPr>
      <w:r w:rsidRPr="00EC250C">
        <w:t xml:space="preserve">Strażnicy </w:t>
      </w:r>
      <w:r w:rsidR="00C0413D" w:rsidRPr="00EC250C">
        <w:t xml:space="preserve">więzienni mogą zrobić </w:t>
      </w:r>
      <w:r w:rsidRPr="00EC250C">
        <w:t xml:space="preserve">zrobili kontrolę osobistą </w:t>
      </w:r>
      <w:r w:rsidR="00C0413D" w:rsidRPr="00EC250C">
        <w:t xml:space="preserve">nawet </w:t>
      </w:r>
      <w:r w:rsidRPr="00EC250C">
        <w:t>czterolatkowi, który wraz</w:t>
      </w:r>
      <w:r w:rsidR="00992FD0" w:rsidRPr="00EC250C">
        <w:t xml:space="preserve"> z </w:t>
      </w:r>
      <w:r w:rsidRPr="00EC250C">
        <w:t>matką przyjechał do ojca na widzenie</w:t>
      </w:r>
      <w:r w:rsidR="00B473F5" w:rsidRPr="00EC250C">
        <w:t>.</w:t>
      </w:r>
    </w:p>
    <w:p w14:paraId="3C6E96EE" w14:textId="77777777" w:rsidR="00C91F6E" w:rsidRPr="00EC250C" w:rsidRDefault="00530F64" w:rsidP="00D131FA">
      <w:pPr>
        <w:pStyle w:val="Styl1"/>
      </w:pPr>
      <w:r w:rsidRPr="00EC250C">
        <w:t>W przepisach</w:t>
      </w:r>
      <w:r w:rsidR="00C0413D" w:rsidRPr="00EC250C">
        <w:t xml:space="preserve"> dotyczących Służby Więziennej</w:t>
      </w:r>
      <w:r w:rsidR="00350861" w:rsidRPr="00EC250C">
        <w:rPr>
          <w:rStyle w:val="Odwoanieprzypisudolnego"/>
        </w:rPr>
        <w:footnoteReference w:id="622"/>
      </w:r>
      <w:r w:rsidRPr="00EC250C">
        <w:t xml:space="preserve"> nie </w:t>
      </w:r>
      <w:r w:rsidR="00D40B68" w:rsidRPr="00EC250C">
        <w:t xml:space="preserve">wspominają </w:t>
      </w:r>
      <w:r w:rsidR="00992FD0" w:rsidRPr="00EC250C">
        <w:t>o </w:t>
      </w:r>
      <w:r w:rsidR="00D40B68" w:rsidRPr="00EC250C">
        <w:t xml:space="preserve">odrębnym </w:t>
      </w:r>
      <w:r w:rsidRPr="00EC250C">
        <w:t xml:space="preserve">traktowaniu dzieci. </w:t>
      </w:r>
      <w:r w:rsidR="00350861" w:rsidRPr="00EC250C">
        <w:t xml:space="preserve">Ze skarg wpływających do </w:t>
      </w:r>
      <w:r w:rsidR="00D76DC6" w:rsidRPr="00EC250C">
        <w:t>RPO</w:t>
      </w:r>
      <w:r w:rsidR="00350861" w:rsidRPr="00EC250C">
        <w:t xml:space="preserve"> wynika, że praktyka</w:t>
      </w:r>
      <w:r w:rsidR="00992FD0" w:rsidRPr="00EC250C">
        <w:t xml:space="preserve"> w </w:t>
      </w:r>
      <w:r w:rsidR="00FA3B78" w:rsidRPr="00EC250C">
        <w:t>jednostkach penitencjarnych</w:t>
      </w:r>
      <w:r w:rsidR="00992FD0" w:rsidRPr="00EC250C">
        <w:t xml:space="preserve"> w </w:t>
      </w:r>
      <w:r w:rsidR="00350861" w:rsidRPr="00EC250C">
        <w:t>tym zakresie jest różna.</w:t>
      </w:r>
      <w:r w:rsidR="00C0413D" w:rsidRPr="00EC250C">
        <w:t xml:space="preserve"> </w:t>
      </w:r>
      <w:r w:rsidRPr="00EC250C">
        <w:t>M</w:t>
      </w:r>
      <w:r w:rsidR="00350861" w:rsidRPr="00EC250C">
        <w:t xml:space="preserve">atka 4-letniego chłopca </w:t>
      </w:r>
      <w:r w:rsidRPr="00EC250C">
        <w:t>napisała</w:t>
      </w:r>
      <w:r w:rsidR="00C0413D" w:rsidRPr="00EC250C">
        <w:t xml:space="preserve"> np.</w:t>
      </w:r>
      <w:r w:rsidRPr="00EC250C">
        <w:t>, że kiedy przyjechała</w:t>
      </w:r>
      <w:r w:rsidR="00992FD0" w:rsidRPr="00EC250C">
        <w:t xml:space="preserve"> </w:t>
      </w:r>
      <w:r w:rsidR="00C0413D" w:rsidRPr="00EC250C">
        <w:t xml:space="preserve">na </w:t>
      </w:r>
      <w:r w:rsidRPr="00EC250C">
        <w:t>wizytę</w:t>
      </w:r>
      <w:r w:rsidR="00992FD0" w:rsidRPr="00EC250C">
        <w:t xml:space="preserve"> z </w:t>
      </w:r>
      <w:r w:rsidRPr="00EC250C">
        <w:t>ojcem, została</w:t>
      </w:r>
      <w:r w:rsidR="00992FD0" w:rsidRPr="00EC250C">
        <w:t xml:space="preserve"> z </w:t>
      </w:r>
      <w:r w:rsidRPr="00EC250C">
        <w:t>dzieckiem poddana prewencyjnej kontroli osobistej</w:t>
      </w:r>
      <w:r w:rsidR="00350861" w:rsidRPr="00EC250C">
        <w:t xml:space="preserve">, </w:t>
      </w:r>
      <w:r w:rsidR="00C0413D" w:rsidRPr="00EC250C">
        <w:t xml:space="preserve">choć nie działo się nic, co pozwalałoby tę sytuację uzasadnić </w:t>
      </w:r>
      <w:r w:rsidR="00F221B7" w:rsidRPr="00EC250C">
        <w:t>względami porządku</w:t>
      </w:r>
      <w:r w:rsidR="00992FD0" w:rsidRPr="00EC250C">
        <w:t xml:space="preserve"> i </w:t>
      </w:r>
      <w:r w:rsidR="00F221B7" w:rsidRPr="00EC250C">
        <w:t>bezpieczeństwa</w:t>
      </w:r>
      <w:r w:rsidR="00350861" w:rsidRPr="00EC250C">
        <w:t>.</w:t>
      </w:r>
    </w:p>
    <w:p w14:paraId="79A0F602" w14:textId="77777777" w:rsidR="00C91F6E" w:rsidRPr="00EC250C" w:rsidRDefault="00350861" w:rsidP="00D131FA">
      <w:pPr>
        <w:pStyle w:val="Styl1"/>
      </w:pPr>
      <w:r w:rsidRPr="00EC250C">
        <w:t>Dyrekto</w:t>
      </w:r>
      <w:r w:rsidR="00530F64" w:rsidRPr="00EC250C">
        <w:t>r</w:t>
      </w:r>
      <w:r w:rsidRPr="00EC250C">
        <w:t xml:space="preserve"> Generaln</w:t>
      </w:r>
      <w:r w:rsidR="00530F64" w:rsidRPr="00EC250C">
        <w:t>y</w:t>
      </w:r>
      <w:r w:rsidRPr="00EC250C">
        <w:t xml:space="preserve"> Służby Więziennej</w:t>
      </w:r>
      <w:r w:rsidR="00203C9C" w:rsidRPr="00EC250C">
        <w:t xml:space="preserve"> </w:t>
      </w:r>
      <w:r w:rsidRPr="00EC250C">
        <w:t>wyjaśni</w:t>
      </w:r>
      <w:r w:rsidR="00530F64" w:rsidRPr="00EC250C">
        <w:t>ł</w:t>
      </w:r>
      <w:r w:rsidR="00203C9C" w:rsidRPr="00EC250C">
        <w:t xml:space="preserve"> RPO</w:t>
      </w:r>
      <w:r w:rsidR="00530F64" w:rsidRPr="00EC250C">
        <w:rPr>
          <w:vertAlign w:val="superscript"/>
        </w:rPr>
        <w:footnoteReference w:id="623"/>
      </w:r>
      <w:r w:rsidR="00530F64" w:rsidRPr="00EC250C">
        <w:t xml:space="preserve">, </w:t>
      </w:r>
      <w:r w:rsidR="00F221B7" w:rsidRPr="00EC250C">
        <w:t xml:space="preserve">że spotkania rodzinne </w:t>
      </w:r>
      <w:r w:rsidR="00203C9C" w:rsidRPr="00EC250C">
        <w:t xml:space="preserve">są </w:t>
      </w:r>
      <w:r w:rsidR="00F221B7" w:rsidRPr="00EC250C">
        <w:t xml:space="preserve">realizowane cyklicznie, </w:t>
      </w:r>
      <w:r w:rsidR="00203C9C" w:rsidRPr="00EC250C">
        <w:t xml:space="preserve">w tej jednostce </w:t>
      </w:r>
      <w:r w:rsidR="00F221B7" w:rsidRPr="00EC250C">
        <w:t>przeprowadzono ich łącznie 37,</w:t>
      </w:r>
      <w:r w:rsidR="00992FD0" w:rsidRPr="00EC250C">
        <w:t xml:space="preserve"> i </w:t>
      </w:r>
      <w:r w:rsidR="00F221B7" w:rsidRPr="00EC250C">
        <w:t xml:space="preserve">tylko raz </w:t>
      </w:r>
      <w:r w:rsidR="00203C9C" w:rsidRPr="00EC250C">
        <w:t xml:space="preserve">strażnicy zrobili </w:t>
      </w:r>
      <w:r w:rsidR="00F221B7" w:rsidRPr="00EC250C">
        <w:t>kontrol</w:t>
      </w:r>
      <w:r w:rsidR="00203C9C" w:rsidRPr="00EC250C">
        <w:t>ę</w:t>
      </w:r>
      <w:r w:rsidR="00F221B7" w:rsidRPr="00EC250C">
        <w:t xml:space="preserve"> osobist</w:t>
      </w:r>
      <w:r w:rsidR="00203C9C" w:rsidRPr="00EC250C">
        <w:t>ą</w:t>
      </w:r>
      <w:r w:rsidR="00F221B7" w:rsidRPr="00EC250C">
        <w:t xml:space="preserve"> całej grup</w:t>
      </w:r>
      <w:r w:rsidR="00203C9C" w:rsidRPr="00EC250C">
        <w:t>ie</w:t>
      </w:r>
      <w:r w:rsidR="00F221B7" w:rsidRPr="00EC250C">
        <w:t xml:space="preserve">. </w:t>
      </w:r>
      <w:r w:rsidR="00203C9C" w:rsidRPr="00EC250C">
        <w:t xml:space="preserve">Zrobili to </w:t>
      </w:r>
      <w:r w:rsidR="00F221B7" w:rsidRPr="00EC250C">
        <w:t>na podstawie informacji, że osadzeni zamierzają wykorzystać wyjątkowość spotkania</w:t>
      </w:r>
      <w:r w:rsidR="00992FD0" w:rsidRPr="00EC250C">
        <w:t xml:space="preserve"> z </w:t>
      </w:r>
      <w:r w:rsidR="00F221B7" w:rsidRPr="00EC250C">
        <w:t>rodzinami do pozyskania środków odurzających.</w:t>
      </w:r>
    </w:p>
    <w:p w14:paraId="2F0AAADB" w14:textId="77777777" w:rsidR="00C91F6E" w:rsidRPr="00EC250C" w:rsidRDefault="00D76DC6" w:rsidP="00D131FA">
      <w:pPr>
        <w:pStyle w:val="Styl1"/>
      </w:pPr>
      <w:r w:rsidRPr="00EC250C">
        <w:t>RPO</w:t>
      </w:r>
      <w:r w:rsidR="00F221B7" w:rsidRPr="00EC250C">
        <w:t xml:space="preserve"> nie odrzuca możliwości </w:t>
      </w:r>
      <w:r w:rsidR="00203C9C" w:rsidRPr="00EC250C">
        <w:t xml:space="preserve">robienia </w:t>
      </w:r>
      <w:r w:rsidR="00F221B7" w:rsidRPr="00EC250C">
        <w:t xml:space="preserve">kontroli osobistej </w:t>
      </w:r>
      <w:r w:rsidR="00203C9C" w:rsidRPr="00EC250C">
        <w:t>dziec</w:t>
      </w:r>
      <w:r w:rsidR="00D40B68" w:rsidRPr="00EC250C">
        <w:t>i</w:t>
      </w:r>
      <w:r w:rsidR="00203C9C" w:rsidRPr="00EC250C">
        <w:t>om</w:t>
      </w:r>
      <w:r w:rsidR="00F221B7" w:rsidRPr="00EC250C">
        <w:t xml:space="preserve">, ale jest zdania, że czynności te winny być wykonywane wedle precyzyjnie określonych reguł, </w:t>
      </w:r>
      <w:r w:rsidR="00203C9C" w:rsidRPr="00EC250C">
        <w:t xml:space="preserve">z </w:t>
      </w:r>
      <w:r w:rsidR="00F221B7" w:rsidRPr="00EC250C">
        <w:t>uwzględni</w:t>
      </w:r>
      <w:r w:rsidR="00203C9C" w:rsidRPr="00EC250C">
        <w:t>eniem</w:t>
      </w:r>
      <w:r w:rsidR="00F221B7" w:rsidRPr="00EC250C">
        <w:t xml:space="preserve"> podmiotowoś</w:t>
      </w:r>
      <w:r w:rsidR="00203C9C" w:rsidRPr="00EC250C">
        <w:t>ci</w:t>
      </w:r>
      <w:r w:rsidR="00F221B7" w:rsidRPr="00EC250C">
        <w:t xml:space="preserve"> dziecka</w:t>
      </w:r>
      <w:r w:rsidR="00350861" w:rsidRPr="00EC250C">
        <w:t>.</w:t>
      </w:r>
    </w:p>
    <w:p w14:paraId="47495E69" w14:textId="77777777" w:rsidR="00E24C6B" w:rsidRPr="00EC250C" w:rsidRDefault="00C0413D" w:rsidP="00D131FA">
      <w:pPr>
        <w:pStyle w:val="ODESANIE"/>
        <w:jc w:val="both"/>
      </w:pPr>
      <w:r w:rsidRPr="00EC250C">
        <w:t>Więzienne sale widzeń nieprzystosowane do potrzeb małych dzieci – art. 71 Konstytucji</w:t>
      </w:r>
    </w:p>
    <w:p w14:paraId="64B7CD97" w14:textId="77777777" w:rsidR="00E24C6B" w:rsidRPr="00EC250C" w:rsidRDefault="00E24C6B" w:rsidP="00D131FA">
      <w:pPr>
        <w:spacing w:after="200" w:line="24" w:lineRule="auto"/>
        <w:jc w:val="both"/>
        <w:rPr>
          <w:rFonts w:eastAsiaTheme="majorEastAsia" w:cstheme="majorBidi"/>
          <w:iCs/>
          <w:color w:val="C00000"/>
          <w:sz w:val="24"/>
        </w:rPr>
      </w:pPr>
      <w:r w:rsidRPr="00EC250C">
        <w:rPr>
          <w:sz w:val="24"/>
        </w:rPr>
        <w:br w:type="page"/>
      </w:r>
    </w:p>
    <w:p w14:paraId="7A5705D3" w14:textId="77777777" w:rsidR="00C91F6E" w:rsidRPr="00EC250C" w:rsidRDefault="00530F64" w:rsidP="00EC79EB">
      <w:pPr>
        <w:pStyle w:val="Nagwek4"/>
      </w:pPr>
      <w:bookmarkStart w:id="631" w:name="_Toc6257919"/>
      <w:bookmarkStart w:id="632" w:name="_Toc11247796"/>
      <w:r w:rsidRPr="00EC250C">
        <w:lastRenderedPageBreak/>
        <w:t>Transport nieletnich do zakładów opieki zdrowotnej na podstawie orzeczeń sądu</w:t>
      </w:r>
      <w:bookmarkEnd w:id="631"/>
      <w:bookmarkEnd w:id="632"/>
    </w:p>
    <w:p w14:paraId="77876609" w14:textId="77777777" w:rsidR="00C14A46" w:rsidRPr="00EC250C" w:rsidRDefault="00530F64" w:rsidP="00D131FA">
      <w:pPr>
        <w:pStyle w:val="ODESANIE"/>
        <w:jc w:val="both"/>
      </w:pPr>
      <w:r w:rsidRPr="00EC250C">
        <w:t>Omówienie: Art. 68 ust. 3 – Prawo do szczególnej opieki zdrowotnej dla grup wrażliwych.</w:t>
      </w:r>
    </w:p>
    <w:p w14:paraId="2062672D" w14:textId="77777777" w:rsidR="00C91F6E" w:rsidRPr="00EC250C" w:rsidRDefault="00AF0A70" w:rsidP="00EC79EB">
      <w:pPr>
        <w:pStyle w:val="Nagwek4"/>
      </w:pPr>
      <w:bookmarkStart w:id="633" w:name="_Toc11247797"/>
      <w:r w:rsidRPr="00EC250C">
        <w:t>Problemy</w:t>
      </w:r>
      <w:r w:rsidR="00992FD0" w:rsidRPr="00EC250C">
        <w:t xml:space="preserve"> z </w:t>
      </w:r>
      <w:r w:rsidRPr="00EC250C">
        <w:t>potwierdzeniem obywatels</w:t>
      </w:r>
      <w:r w:rsidR="00C14A46" w:rsidRPr="00EC250C">
        <w:t>twa dzieci polskich obywateli</w:t>
      </w:r>
      <w:bookmarkEnd w:id="633"/>
    </w:p>
    <w:p w14:paraId="7A1CDF38" w14:textId="77777777" w:rsidR="00AF0A70" w:rsidRPr="00EC250C" w:rsidRDefault="00AF0A70" w:rsidP="00D131FA">
      <w:pPr>
        <w:pStyle w:val="ODESANIE"/>
        <w:jc w:val="both"/>
        <w:rPr>
          <w:lang w:eastAsia="en-US"/>
        </w:rPr>
      </w:pPr>
      <w:r w:rsidRPr="00EC250C">
        <w:t>Potwierdzenie obywatelstwa dzieci urodzonych za granica</w:t>
      </w:r>
      <w:r w:rsidR="00992FD0" w:rsidRPr="00EC250C">
        <w:t xml:space="preserve"> w </w:t>
      </w:r>
      <w:r w:rsidRPr="00EC250C">
        <w:t>drodze surogacji oraz transkrypcja aktu urodzenia dzieci par jednopłciowych</w:t>
      </w:r>
      <w:r w:rsidR="00026572" w:rsidRPr="00EC250C">
        <w:t xml:space="preserve"> – </w:t>
      </w:r>
      <w:r w:rsidRPr="00EC250C">
        <w:rPr>
          <w:lang w:eastAsia="en-US"/>
        </w:rPr>
        <w:t>art. 34 Konstytucji (Prawo do obywatelstwa polskiego)</w:t>
      </w:r>
    </w:p>
    <w:p w14:paraId="40AC5830" w14:textId="77777777" w:rsidR="001F2603" w:rsidRPr="00EC250C" w:rsidRDefault="001F2603" w:rsidP="00D131FA">
      <w:pPr>
        <w:spacing w:after="200" w:line="24" w:lineRule="auto"/>
        <w:jc w:val="both"/>
        <w:rPr>
          <w:rFonts w:eastAsia="Calibri"/>
          <w:b/>
          <w:bCs/>
          <w:iCs/>
          <w:color w:val="C00000"/>
          <w:spacing w:val="0"/>
          <w:sz w:val="22"/>
          <w:szCs w:val="24"/>
          <w:lang w:eastAsia="zh-CN" w:bidi="hi-IN"/>
        </w:rPr>
      </w:pPr>
      <w:r w:rsidRPr="00EC250C">
        <w:rPr>
          <w:sz w:val="24"/>
        </w:rPr>
        <w:br w:type="page"/>
      </w:r>
    </w:p>
    <w:p w14:paraId="2EBFF232" w14:textId="77777777" w:rsidR="0050195F" w:rsidRPr="00EC250C" w:rsidRDefault="0050195F" w:rsidP="00EC250C">
      <w:pPr>
        <w:pStyle w:val="Nagwek3"/>
      </w:pPr>
      <w:bookmarkStart w:id="634" w:name="_Toc6257920"/>
      <w:bookmarkStart w:id="635" w:name="_Toc11247798"/>
      <w:r w:rsidRPr="00EC250C">
        <w:lastRenderedPageBreak/>
        <w:t xml:space="preserve">Art. 73 </w:t>
      </w:r>
      <w:r w:rsidR="001F2603" w:rsidRPr="00EC250C">
        <w:t xml:space="preserve">Konstytucji </w:t>
      </w:r>
      <w:r w:rsidRPr="00EC250C">
        <w:t>– Wolność artystyczna</w:t>
      </w:r>
      <w:r w:rsidR="00A44743" w:rsidRPr="00EC250C">
        <w:t>,</w:t>
      </w:r>
      <w:r w:rsidRPr="00EC250C">
        <w:t xml:space="preserve"> badań naukowych </w:t>
      </w:r>
      <w:r w:rsidR="00A44743" w:rsidRPr="00EC250C">
        <w:t>oraz korzystania</w:t>
      </w:r>
      <w:r w:rsidR="00992FD0" w:rsidRPr="00EC250C">
        <w:t xml:space="preserve"> z </w:t>
      </w:r>
      <w:r w:rsidR="00A44743" w:rsidRPr="00EC250C">
        <w:t>dóbr kultury</w:t>
      </w:r>
      <w:bookmarkEnd w:id="634"/>
      <w:bookmarkEnd w:id="635"/>
    </w:p>
    <w:p w14:paraId="14BB29F4" w14:textId="77777777" w:rsidR="0050195F" w:rsidRPr="00EC250C" w:rsidRDefault="0050195F" w:rsidP="00D131FA">
      <w:pPr>
        <w:pStyle w:val="konstytucja"/>
        <w:jc w:val="both"/>
      </w:pPr>
      <w:r w:rsidRPr="00EC250C">
        <w:t>Każdemu zapewnia się wolność twórczości artystycznej, badań naukowych oraz ogłaszania ich wyników, wolność nauczania,</w:t>
      </w:r>
      <w:r w:rsidR="00992FD0" w:rsidRPr="00EC250C">
        <w:t xml:space="preserve"> a </w:t>
      </w:r>
      <w:r w:rsidRPr="00EC250C">
        <w:t>także wolność korzystania</w:t>
      </w:r>
      <w:r w:rsidR="00992FD0" w:rsidRPr="00EC250C">
        <w:t xml:space="preserve"> z </w:t>
      </w:r>
      <w:r w:rsidRPr="00EC250C">
        <w:t>dóbr kultury.</w:t>
      </w:r>
    </w:p>
    <w:p w14:paraId="6B453B8C" w14:textId="77777777" w:rsidR="00B05439" w:rsidRPr="00EC250C" w:rsidRDefault="00B05439" w:rsidP="00D131FA">
      <w:pPr>
        <w:pStyle w:val="ComwiKonstytucja"/>
      </w:pPr>
      <w:r w:rsidRPr="00EC250C">
        <w:t>Art. 73 ponownie tworzy kilka wolności:</w:t>
      </w:r>
    </w:p>
    <w:p w14:paraId="5A0A55C1" w14:textId="77777777" w:rsidR="00C91F6E" w:rsidRPr="00EC250C" w:rsidRDefault="00B05439" w:rsidP="006C70B7">
      <w:pPr>
        <w:pStyle w:val="ComwiKonstytucja"/>
        <w:numPr>
          <w:ilvl w:val="0"/>
          <w:numId w:val="70"/>
        </w:numPr>
      </w:pPr>
      <w:r w:rsidRPr="00EC250C">
        <w:t>wolność twórczości artystycznej (wolność sztuki – swoboda tworzenia dzieł artystycznych wszelkiego rodzaju);</w:t>
      </w:r>
    </w:p>
    <w:p w14:paraId="5988BC88" w14:textId="77777777" w:rsidR="00C91F6E" w:rsidRPr="00EC250C" w:rsidRDefault="00B05439" w:rsidP="006C70B7">
      <w:pPr>
        <w:pStyle w:val="ComwiKonstytucja"/>
        <w:numPr>
          <w:ilvl w:val="0"/>
          <w:numId w:val="70"/>
        </w:numPr>
      </w:pPr>
      <w:r w:rsidRPr="00EC250C">
        <w:t>wolność badań naukowych (swoboda wyboru przedmiotu badań</w:t>
      </w:r>
      <w:r w:rsidR="00992FD0" w:rsidRPr="00EC250C">
        <w:t xml:space="preserve"> i </w:t>
      </w:r>
      <w:r w:rsidRPr="00EC250C">
        <w:t>wolność ogłaszania wyników tych badań) oraz wolność nauczania (czyli swoboda systematycznego przekazywania wiedzy naukowej innym osobom). Wspólnie wolności te tworzą wolność nauki;</w:t>
      </w:r>
    </w:p>
    <w:p w14:paraId="6DB58B10" w14:textId="77777777" w:rsidR="00C91F6E" w:rsidRPr="00EC250C" w:rsidRDefault="00B05439" w:rsidP="006C70B7">
      <w:pPr>
        <w:pStyle w:val="ComwiKonstytucja"/>
        <w:numPr>
          <w:ilvl w:val="0"/>
          <w:numId w:val="70"/>
        </w:numPr>
      </w:pPr>
      <w:r w:rsidRPr="00EC250C">
        <w:t>wolność korzystania</w:t>
      </w:r>
      <w:r w:rsidR="00992FD0" w:rsidRPr="00EC250C">
        <w:t xml:space="preserve"> z </w:t>
      </w:r>
      <w:r w:rsidRPr="00EC250C">
        <w:t>dóbr kultury (gwarantuje dostęp do efektów twórczości innych osób).</w:t>
      </w:r>
    </w:p>
    <w:p w14:paraId="68A4E6F6" w14:textId="77777777" w:rsidR="00B05439" w:rsidRPr="00EC250C" w:rsidRDefault="00B05439" w:rsidP="00D131FA">
      <w:pPr>
        <w:pStyle w:val="ComwiKonstytucja"/>
      </w:pPr>
      <w:r w:rsidRPr="00EC250C">
        <w:t>Wolności te bezpośrednio powiązane są</w:t>
      </w:r>
      <w:r w:rsidR="00992FD0" w:rsidRPr="00EC250C">
        <w:t xml:space="preserve"> z </w:t>
      </w:r>
      <w:r w:rsidRPr="00EC250C">
        <w:t>wolnością wyrażania poglądów (art. 54), są szczególną forma jej realizacji. Zostały one ujęte</w:t>
      </w:r>
      <w:r w:rsidR="00992FD0" w:rsidRPr="00EC250C">
        <w:t xml:space="preserve"> w </w:t>
      </w:r>
      <w:r w:rsidRPr="00EC250C">
        <w:t>formę prawa podmiotowego, więc wynikają</w:t>
      </w:r>
      <w:r w:rsidR="00992FD0" w:rsidRPr="00EC250C">
        <w:t xml:space="preserve"> z </w:t>
      </w:r>
      <w:r w:rsidRPr="00EC250C">
        <w:t>nich roszczenia indywidualne.</w:t>
      </w:r>
    </w:p>
    <w:p w14:paraId="193D58D7" w14:textId="77777777" w:rsidR="003E4DBD" w:rsidRPr="00EC250C" w:rsidRDefault="003E4DBD" w:rsidP="00D131FA">
      <w:pPr>
        <w:pStyle w:val="ComwiKonstytucja"/>
      </w:pPr>
    </w:p>
    <w:p w14:paraId="6185F20A" w14:textId="77777777" w:rsidR="00B05439" w:rsidRPr="00EC250C" w:rsidRDefault="00B05439" w:rsidP="00D131FA">
      <w:pPr>
        <w:spacing w:after="200" w:line="24" w:lineRule="auto"/>
        <w:jc w:val="both"/>
        <w:rPr>
          <w:i/>
          <w:spacing w:val="5"/>
          <w:sz w:val="22"/>
        </w:rPr>
      </w:pPr>
      <w:r w:rsidRPr="00EC250C">
        <w:rPr>
          <w:sz w:val="24"/>
        </w:rPr>
        <w:br w:type="page"/>
      </w:r>
    </w:p>
    <w:p w14:paraId="6AA363D7" w14:textId="77777777" w:rsidR="00C91F6E" w:rsidRPr="00EC250C" w:rsidRDefault="00D65011" w:rsidP="00EC79EB">
      <w:pPr>
        <w:pStyle w:val="Nagwek4"/>
      </w:pPr>
      <w:bookmarkStart w:id="636" w:name="_Toc6257921"/>
      <w:bookmarkStart w:id="637" w:name="_Toc11247799"/>
      <w:r w:rsidRPr="00EC250C">
        <w:lastRenderedPageBreak/>
        <w:t>Erozja wolności</w:t>
      </w:r>
      <w:r w:rsidR="00992FD0" w:rsidRPr="00EC250C">
        <w:t xml:space="preserve"> w </w:t>
      </w:r>
      <w:r w:rsidRPr="00EC250C">
        <w:t>dziedzinie kultury zagraża bogactwu życia kulturalnego</w:t>
      </w:r>
      <w:r w:rsidR="00992FD0" w:rsidRPr="00EC250C">
        <w:t xml:space="preserve"> w </w:t>
      </w:r>
      <w:r w:rsidRPr="00EC250C">
        <w:t>Polsce – raport ekspertki ONZ ds. praw człowieka</w:t>
      </w:r>
      <w:bookmarkEnd w:id="636"/>
      <w:bookmarkEnd w:id="637"/>
    </w:p>
    <w:p w14:paraId="193A12C3" w14:textId="77777777" w:rsidR="00B473F5" w:rsidRPr="00EC250C" w:rsidRDefault="00547891" w:rsidP="00D131FA">
      <w:pPr>
        <w:pStyle w:val="Problemczowieka"/>
        <w:jc w:val="both"/>
      </w:pPr>
      <w:r w:rsidRPr="00EC250C">
        <w:t>Los wystawy</w:t>
      </w:r>
      <w:r w:rsidR="00992FD0" w:rsidRPr="00EC250C">
        <w:t xml:space="preserve"> w </w:t>
      </w:r>
      <w:r w:rsidRPr="00EC250C">
        <w:t>Muzeum II Wojny Światowej</w:t>
      </w:r>
      <w:r w:rsidR="00992FD0" w:rsidRPr="00EC250C">
        <w:t xml:space="preserve"> i </w:t>
      </w:r>
      <w:r w:rsidRPr="00EC250C">
        <w:t>Festiwalu Malta</w:t>
      </w:r>
      <w:r w:rsidR="00992FD0" w:rsidRPr="00EC250C">
        <w:t xml:space="preserve"> a </w:t>
      </w:r>
      <w:r w:rsidRPr="00EC250C">
        <w:t>także oskarżanie obywateli</w:t>
      </w:r>
      <w:r w:rsidR="00992FD0" w:rsidRPr="00EC250C">
        <w:t xml:space="preserve"> o </w:t>
      </w:r>
      <w:r w:rsidRPr="00EC250C">
        <w:t>znieważanie pomników koszulkami</w:t>
      </w:r>
      <w:r w:rsidR="00992FD0" w:rsidRPr="00EC250C">
        <w:t xml:space="preserve"> z </w:t>
      </w:r>
      <w:r w:rsidRPr="00EC250C">
        <w:t xml:space="preserve">napisem </w:t>
      </w:r>
      <w:r w:rsidR="00443A0B" w:rsidRPr="00EC250C">
        <w:t>„konsTYtucJA”</w:t>
      </w:r>
      <w:r w:rsidR="00D77872" w:rsidRPr="00EC250C">
        <w:t xml:space="preserve"> </w:t>
      </w:r>
      <w:r w:rsidRPr="00EC250C">
        <w:t xml:space="preserve">zwróciły </w:t>
      </w:r>
      <w:r w:rsidR="00203C9C" w:rsidRPr="00EC250C">
        <w:t>w</w:t>
      </w:r>
      <w:r w:rsidR="00FA00E2" w:rsidRPr="00EC250C">
        <w:t> </w:t>
      </w:r>
      <w:r w:rsidR="00203C9C" w:rsidRPr="00EC250C">
        <w:t xml:space="preserve">2018 r. </w:t>
      </w:r>
      <w:r w:rsidRPr="00EC250C">
        <w:t>uwagę s</w:t>
      </w:r>
      <w:r w:rsidR="00D65011" w:rsidRPr="00EC250C">
        <w:t>pecjaln</w:t>
      </w:r>
      <w:r w:rsidRPr="00EC250C">
        <w:t>ej</w:t>
      </w:r>
      <w:r w:rsidR="00D65011" w:rsidRPr="00EC250C">
        <w:t xml:space="preserve"> sprawozdawczyni ONZ</w:t>
      </w:r>
      <w:r w:rsidR="00992FD0" w:rsidRPr="00EC250C">
        <w:t xml:space="preserve"> w </w:t>
      </w:r>
      <w:r w:rsidR="00D65011" w:rsidRPr="00EC250C">
        <w:t>dziedzinie praw kulturalnych Karim</w:t>
      </w:r>
      <w:r w:rsidRPr="00EC250C">
        <w:t>y</w:t>
      </w:r>
      <w:r w:rsidR="00D65011" w:rsidRPr="00EC250C">
        <w:t xml:space="preserve"> Bennoune</w:t>
      </w:r>
      <w:r w:rsidR="00B473F5" w:rsidRPr="00EC250C">
        <w:t>.</w:t>
      </w:r>
    </w:p>
    <w:p w14:paraId="63EE8CA4" w14:textId="77777777" w:rsidR="00FA00E2" w:rsidRPr="00EC250C" w:rsidRDefault="00D65011" w:rsidP="00D131FA">
      <w:pPr>
        <w:pStyle w:val="Styl1"/>
      </w:pPr>
      <w:r w:rsidRPr="00EC250C">
        <w:t>Specjalna sprawozdawczyni spotkała się</w:t>
      </w:r>
      <w:r w:rsidR="00992FD0" w:rsidRPr="00EC250C">
        <w:t xml:space="preserve"> w </w:t>
      </w:r>
      <w:r w:rsidRPr="00EC250C">
        <w:t>Warszawie, Krakowie</w:t>
      </w:r>
      <w:r w:rsidR="00992FD0" w:rsidRPr="00EC250C">
        <w:t xml:space="preserve"> i </w:t>
      </w:r>
      <w:r w:rsidRPr="00EC250C">
        <w:t>Gdańsku</w:t>
      </w:r>
      <w:r w:rsidR="00992FD0" w:rsidRPr="00EC250C">
        <w:t xml:space="preserve"> z </w:t>
      </w:r>
      <w:r w:rsidRPr="00EC250C">
        <w:t>osobami zajmującymi się szeroko rozumianym dostępem do kultury lub czynnie uczestniczącymi</w:t>
      </w:r>
      <w:r w:rsidR="00992FD0" w:rsidRPr="00EC250C">
        <w:t xml:space="preserve"> w </w:t>
      </w:r>
      <w:r w:rsidRPr="00EC250C">
        <w:t>tworzeniu kultury polskiej</w:t>
      </w:r>
      <w:r w:rsidR="00D77872" w:rsidRPr="00EC250C">
        <w:t>,</w:t>
      </w:r>
      <w:r w:rsidR="00992FD0" w:rsidRPr="00EC250C">
        <w:t xml:space="preserve"> a </w:t>
      </w:r>
      <w:r w:rsidR="00D77872" w:rsidRPr="00EC250C">
        <w:t>także</w:t>
      </w:r>
      <w:r w:rsidR="00992FD0" w:rsidRPr="00EC250C">
        <w:t xml:space="preserve"> z </w:t>
      </w:r>
      <w:r w:rsidRPr="00EC250C">
        <w:t>przedstawicielami władz rządowych</w:t>
      </w:r>
      <w:r w:rsidR="00992FD0" w:rsidRPr="00EC250C">
        <w:t xml:space="preserve"> i </w:t>
      </w:r>
      <w:r w:rsidRPr="00EC250C">
        <w:t>samorządowych oraz</w:t>
      </w:r>
      <w:r w:rsidR="00992FD0" w:rsidRPr="00EC250C">
        <w:t xml:space="preserve"> z </w:t>
      </w:r>
      <w:r w:rsidR="00443A0B" w:rsidRPr="00EC250C">
        <w:t>r</w:t>
      </w:r>
      <w:r w:rsidRPr="00EC250C">
        <w:t xml:space="preserve">zecznikiem </w:t>
      </w:r>
      <w:r w:rsidR="00443A0B" w:rsidRPr="00EC250C">
        <w:t>p</w:t>
      </w:r>
      <w:r w:rsidRPr="00EC250C">
        <w:t xml:space="preserve">raw </w:t>
      </w:r>
      <w:r w:rsidR="00443A0B" w:rsidRPr="00EC250C">
        <w:t>o</w:t>
      </w:r>
      <w:r w:rsidRPr="00EC250C">
        <w:t>bywatelskich</w:t>
      </w:r>
      <w:r w:rsidR="00FA00E2" w:rsidRPr="00EC250C">
        <w:t xml:space="preserve"> Jej oświadczenie zamykające misję w Polsce w dniach 24 września do 5 października 2018 r., to przegląd ważnych problemów dotyczących wolności w dziedzinie kultury.</w:t>
      </w:r>
    </w:p>
    <w:p w14:paraId="51966C8F" w14:textId="77777777" w:rsidR="00D65011" w:rsidRPr="00EC250C" w:rsidRDefault="00D65011" w:rsidP="00EC250C">
      <w:pPr>
        <w:pStyle w:val="Nagwek5"/>
      </w:pPr>
      <w:r w:rsidRPr="00EC250C">
        <w:t>Sprawa ubierania pomników</w:t>
      </w:r>
      <w:r w:rsidR="00992FD0" w:rsidRPr="00EC250C">
        <w:t xml:space="preserve"> w </w:t>
      </w:r>
      <w:r w:rsidRPr="00EC250C">
        <w:t>koszulki</w:t>
      </w:r>
      <w:r w:rsidR="00992FD0" w:rsidRPr="00EC250C">
        <w:t xml:space="preserve"> z </w:t>
      </w:r>
      <w:r w:rsidRPr="00EC250C">
        <w:t>nadrukiem</w:t>
      </w:r>
      <w:r w:rsidR="00CC4D88" w:rsidRPr="00EC250C">
        <w:t xml:space="preserve"> </w:t>
      </w:r>
      <w:r w:rsidR="00D77872" w:rsidRPr="00EC250C">
        <w:t>„konsTYtucJA”</w:t>
      </w:r>
    </w:p>
    <w:p w14:paraId="12CF82E4" w14:textId="77777777" w:rsidR="00D65011" w:rsidRPr="00EC250C" w:rsidRDefault="00D65011" w:rsidP="00D131FA">
      <w:pPr>
        <w:pStyle w:val="Styl1"/>
      </w:pPr>
      <w:r w:rsidRPr="00EC250C">
        <w:t xml:space="preserve">Prawa kulturalne służą nie tylko ochronie istniejących już dóbr kulturalnych, lecz także zapewnianiu warunków sprzyjających dalszemu tworzeniu kultury. </w:t>
      </w:r>
      <w:r w:rsidR="00FA00E2" w:rsidRPr="00EC250C">
        <w:t>Jak zwraca uwagę specjalna sprawozdawczyni, z</w:t>
      </w:r>
      <w:r w:rsidRPr="00EC250C">
        <w:t>abytki</w:t>
      </w:r>
      <w:r w:rsidR="00992FD0" w:rsidRPr="00EC250C">
        <w:t xml:space="preserve"> i </w:t>
      </w:r>
      <w:r w:rsidRPr="00EC250C">
        <w:t>pomniki powinny również podlegać ciągłej interpretacji</w:t>
      </w:r>
      <w:r w:rsidR="00992FD0" w:rsidRPr="00EC250C">
        <w:t xml:space="preserve"> i </w:t>
      </w:r>
      <w:r w:rsidRPr="00EC250C">
        <w:t>inspirować debaty</w:t>
      </w:r>
      <w:r w:rsidR="00992FD0" w:rsidRPr="00EC250C">
        <w:t xml:space="preserve"> o </w:t>
      </w:r>
      <w:r w:rsidRPr="00EC250C">
        <w:t>tożsamości</w:t>
      </w:r>
      <w:r w:rsidR="00992FD0" w:rsidRPr="00EC250C">
        <w:t xml:space="preserve"> i </w:t>
      </w:r>
      <w:r w:rsidRPr="00EC250C">
        <w:t>wyzwaniach społecznych. Doskonale ilustruje to decyzja obywateli</w:t>
      </w:r>
      <w:r w:rsidR="00992FD0" w:rsidRPr="00EC250C">
        <w:t xml:space="preserve"> o </w:t>
      </w:r>
      <w:r w:rsidRPr="00EC250C">
        <w:t>ubraniu pewnych pomników</w:t>
      </w:r>
      <w:r w:rsidR="00992FD0" w:rsidRPr="00EC250C">
        <w:t xml:space="preserve"> w </w:t>
      </w:r>
      <w:r w:rsidRPr="00EC250C">
        <w:t>koszulki</w:t>
      </w:r>
      <w:r w:rsidR="00992FD0" w:rsidRPr="00EC250C">
        <w:t xml:space="preserve"> z </w:t>
      </w:r>
      <w:r w:rsidRPr="00EC250C">
        <w:t>napisem „kons</w:t>
      </w:r>
      <w:r w:rsidR="00547891" w:rsidRPr="00EC250C">
        <w:t>TY</w:t>
      </w:r>
      <w:r w:rsidRPr="00EC250C">
        <w:t>tuc</w:t>
      </w:r>
      <w:r w:rsidR="00547891" w:rsidRPr="00EC250C">
        <w:t>JA</w:t>
      </w:r>
      <w:r w:rsidRPr="00EC250C">
        <w:t>”</w:t>
      </w:r>
      <w:r w:rsidR="00547891" w:rsidRPr="00EC250C">
        <w:rPr>
          <w:rStyle w:val="Odwoanieprzypisudolnego"/>
        </w:rPr>
        <w:footnoteReference w:id="624"/>
      </w:r>
      <w:r w:rsidRPr="00EC250C">
        <w:t>. Pragnęli oni wyrazić</w:t>
      </w:r>
      <w:r w:rsidR="00992FD0" w:rsidRPr="00EC250C">
        <w:t xml:space="preserve"> w </w:t>
      </w:r>
      <w:r w:rsidRPr="00EC250C">
        <w:t>ten sposób swoje przywiązanie do tego dokumentu</w:t>
      </w:r>
      <w:r w:rsidR="00992FD0" w:rsidRPr="00EC250C">
        <w:t xml:space="preserve"> i </w:t>
      </w:r>
      <w:r w:rsidRPr="00EC250C">
        <w:t>zaprotestować przeciwko działaniom, które</w:t>
      </w:r>
      <w:r w:rsidR="00992FD0" w:rsidRPr="00EC250C">
        <w:t xml:space="preserve"> w </w:t>
      </w:r>
      <w:r w:rsidRPr="00EC250C">
        <w:t xml:space="preserve">ich ocenie podważały jego znaczenie. Chociaż </w:t>
      </w:r>
      <w:r w:rsidR="00FA00E2" w:rsidRPr="00EC250C">
        <w:t>s</w:t>
      </w:r>
      <w:r w:rsidRPr="00EC250C">
        <w:t>prawozdawczyni popiera zaangażowanie</w:t>
      </w:r>
      <w:r w:rsidR="00992FD0" w:rsidRPr="00EC250C">
        <w:t xml:space="preserve"> w </w:t>
      </w:r>
      <w:r w:rsidRPr="00EC250C">
        <w:t>ochronę pomników, niepokoi ją stawianie zarzutów ich „znieważania” osobom odpowiedzialnym za te działania. Z uzyskanych przez nią informacji nie wynika, by na skutek powyższych działań pomniki uległy jakimkolwiek uszkodzeniom.</w:t>
      </w:r>
    </w:p>
    <w:p w14:paraId="3DDD2F9B" w14:textId="77777777" w:rsidR="00D65011" w:rsidRPr="00EC250C" w:rsidRDefault="00D65011" w:rsidP="00EC250C">
      <w:pPr>
        <w:pStyle w:val="Nagwek5"/>
      </w:pPr>
      <w:r w:rsidRPr="00EC250C">
        <w:t>Muzeum II Wojny Świ</w:t>
      </w:r>
      <w:r w:rsidR="00D97E9D" w:rsidRPr="00EC250C">
        <w:t>a</w:t>
      </w:r>
      <w:r w:rsidRPr="00EC250C">
        <w:t>towej</w:t>
      </w:r>
      <w:r w:rsidR="00992FD0" w:rsidRPr="00EC250C">
        <w:t xml:space="preserve"> i </w:t>
      </w:r>
      <w:r w:rsidRPr="00EC250C">
        <w:t>Festiwal Malta</w:t>
      </w:r>
    </w:p>
    <w:p w14:paraId="697831C9" w14:textId="77777777" w:rsidR="00D65011" w:rsidRPr="00EC250C" w:rsidRDefault="00D65011" w:rsidP="00D131FA">
      <w:pPr>
        <w:pStyle w:val="Styl1"/>
      </w:pPr>
      <w:r w:rsidRPr="00EC250C">
        <w:t>Rozwiązanie umowy</w:t>
      </w:r>
      <w:r w:rsidR="00992FD0" w:rsidRPr="00EC250C">
        <w:t xml:space="preserve"> o </w:t>
      </w:r>
      <w:r w:rsidRPr="00EC250C">
        <w:t>pracę</w:t>
      </w:r>
      <w:r w:rsidR="00D77872" w:rsidRPr="00EC250C">
        <w:t xml:space="preserve"> </w:t>
      </w:r>
      <w:r w:rsidRPr="00EC250C">
        <w:t>byłego dyrektora Muzeum II Wojny Światowej</w:t>
      </w:r>
      <w:r w:rsidR="00992FD0" w:rsidRPr="00EC250C">
        <w:t xml:space="preserve"> w </w:t>
      </w:r>
      <w:r w:rsidRPr="00EC250C">
        <w:t>Gdańsku</w:t>
      </w:r>
      <w:r w:rsidR="00992FD0" w:rsidRPr="00EC250C">
        <w:t xml:space="preserve"> i </w:t>
      </w:r>
      <w:r w:rsidRPr="00EC250C">
        <w:t>ciągłe próby wprowadzenia zmian do stałej wystawy muzeum są znamienne</w:t>
      </w:r>
      <w:r w:rsidR="00992FD0" w:rsidRPr="00EC250C">
        <w:t xml:space="preserve"> i </w:t>
      </w:r>
      <w:r w:rsidRPr="00EC250C">
        <w:t xml:space="preserve">dobrze udokumentowane. Specjalna </w:t>
      </w:r>
      <w:r w:rsidR="00FA00E2" w:rsidRPr="00EC250C">
        <w:t>s</w:t>
      </w:r>
      <w:r w:rsidRPr="00EC250C">
        <w:t>prawozdawczyni spotkała się jednakże</w:t>
      </w:r>
      <w:r w:rsidR="00992FD0" w:rsidRPr="00EC250C">
        <w:t xml:space="preserve"> z </w:t>
      </w:r>
      <w:r w:rsidRPr="00EC250C">
        <w:t>innymi jeszcze obecnymi</w:t>
      </w:r>
      <w:r w:rsidR="00992FD0" w:rsidRPr="00EC250C">
        <w:t xml:space="preserve"> i </w:t>
      </w:r>
      <w:r w:rsidRPr="00EC250C">
        <w:t>byłymi dyrektorami instytucji kulturalnych, którzy znaleźli się pod podobną presją na dostosowanie się do narzuconej wizji. W przypadku festiwalu teatralnego Malta</w:t>
      </w:r>
      <w:r w:rsidR="00992FD0" w:rsidRPr="00EC250C">
        <w:t xml:space="preserve"> w </w:t>
      </w:r>
      <w:r w:rsidRPr="00EC250C">
        <w:t xml:space="preserve">Poznaniu, dezaprobata dla doboru repertuaru przełożyła się na nieudzielenie organizatorom zatwierdzonego uprzednio dofinansowania. Jasnym jest, że rolą </w:t>
      </w:r>
      <w:r w:rsidR="00FA00E2" w:rsidRPr="00EC250C">
        <w:t>M</w:t>
      </w:r>
      <w:r w:rsidRPr="00EC250C">
        <w:t>inisterstwa jest</w:t>
      </w:r>
      <w:r w:rsidR="00992FD0" w:rsidRPr="00EC250C">
        <w:t xml:space="preserve"> w </w:t>
      </w:r>
      <w:r w:rsidRPr="00EC250C">
        <w:t>tym kontekście zapewnienie różnorodności ofert</w:t>
      </w:r>
      <w:r w:rsidR="00992FD0" w:rsidRPr="00EC250C">
        <w:t xml:space="preserve"> i </w:t>
      </w:r>
      <w:r w:rsidRPr="00EC250C">
        <w:t>programów oraz możliwości korzystania</w:t>
      </w:r>
      <w:r w:rsidR="00992FD0" w:rsidRPr="00EC250C">
        <w:t xml:space="preserve"> z </w:t>
      </w:r>
      <w:r w:rsidRPr="00EC250C">
        <w:t>prawa wolności badań naukowych</w:t>
      </w:r>
      <w:r w:rsidR="00992FD0" w:rsidRPr="00EC250C">
        <w:t xml:space="preserve"> </w:t>
      </w:r>
      <w:r w:rsidR="00992FD0" w:rsidRPr="00EC250C">
        <w:lastRenderedPageBreak/>
        <w:t>i </w:t>
      </w:r>
      <w:r w:rsidRPr="00EC250C">
        <w:t>twórczości artystycznej jako gwarancji bogatego życia kulturalnego,</w:t>
      </w:r>
      <w:r w:rsidR="00992FD0" w:rsidRPr="00EC250C">
        <w:t xml:space="preserve"> a </w:t>
      </w:r>
      <w:r w:rsidRPr="00EC250C">
        <w:t>nie narzucanie orientacji politycznej programom kulturalnym</w:t>
      </w:r>
      <w:r w:rsidR="00992FD0" w:rsidRPr="00EC250C">
        <w:t xml:space="preserve"> w </w:t>
      </w:r>
      <w:r w:rsidRPr="00EC250C">
        <w:t>celu stworzenia monokultury.</w:t>
      </w:r>
    </w:p>
    <w:p w14:paraId="431ADC1D" w14:textId="77777777" w:rsidR="00D65011" w:rsidRPr="00EC250C" w:rsidRDefault="00D65011" w:rsidP="00EC250C">
      <w:pPr>
        <w:pStyle w:val="Nagwek5"/>
      </w:pPr>
      <w:r w:rsidRPr="00EC250C">
        <w:t>Białowieża</w:t>
      </w:r>
      <w:r w:rsidR="001F2603" w:rsidRPr="00EC250C">
        <w:t>, dziedzictwo ludzkości</w:t>
      </w:r>
    </w:p>
    <w:p w14:paraId="787B142E" w14:textId="77777777" w:rsidR="00D65011" w:rsidRPr="00EC250C" w:rsidRDefault="00D65011" w:rsidP="00D131FA">
      <w:pPr>
        <w:pStyle w:val="Styl1"/>
      </w:pPr>
      <w:r w:rsidRPr="00EC250C">
        <w:t xml:space="preserve">Specjalną </w:t>
      </w:r>
      <w:r w:rsidR="00FA00E2" w:rsidRPr="00EC250C">
        <w:t>s</w:t>
      </w:r>
      <w:r w:rsidRPr="00EC250C">
        <w:t>prawozdawczynię niepoko</w:t>
      </w:r>
      <w:r w:rsidR="00FA00E2" w:rsidRPr="00EC250C">
        <w:t>iły też</w:t>
      </w:r>
      <w:r w:rsidRPr="00EC250C">
        <w:t xml:space="preserve"> skutki wyrębu Puszczy Białowieskiej,</w:t>
      </w:r>
      <w:r w:rsidR="00992FD0" w:rsidRPr="00EC250C">
        <w:t xml:space="preserve"> w </w:t>
      </w:r>
      <w:r w:rsidRPr="00EC250C">
        <w:t>związku</w:t>
      </w:r>
      <w:r w:rsidR="00992FD0" w:rsidRPr="00EC250C">
        <w:t xml:space="preserve"> z </w:t>
      </w:r>
      <w:r w:rsidRPr="00EC250C">
        <w:t>czym wzywa ona do całkowitego przywrócenia drzewostanu.</w:t>
      </w:r>
    </w:p>
    <w:p w14:paraId="24C22C23" w14:textId="77777777" w:rsidR="00D65011" w:rsidRPr="00EC250C" w:rsidRDefault="00D65011" w:rsidP="00EC250C">
      <w:pPr>
        <w:pStyle w:val="Nagwek5"/>
      </w:pPr>
      <w:r w:rsidRPr="00EC250C">
        <w:t>Mowa nienawiści</w:t>
      </w:r>
    </w:p>
    <w:p w14:paraId="48240545" w14:textId="77777777" w:rsidR="00D65011" w:rsidRPr="00EC250C" w:rsidRDefault="00D65011" w:rsidP="00D131FA">
      <w:pPr>
        <w:pStyle w:val="Styl1"/>
      </w:pPr>
      <w:r w:rsidRPr="00EC250C">
        <w:t xml:space="preserve">Poważny niepokój </w:t>
      </w:r>
      <w:r w:rsidR="00FA00E2" w:rsidRPr="00EC250C">
        <w:t>wz</w:t>
      </w:r>
      <w:r w:rsidRPr="00EC250C">
        <w:t>budzi</w:t>
      </w:r>
      <w:r w:rsidR="00FA00E2" w:rsidRPr="00EC250C">
        <w:t>ł</w:t>
      </w:r>
      <w:r w:rsidRPr="00EC250C">
        <w:t xml:space="preserve"> również wzrost znaczenia</w:t>
      </w:r>
      <w:r w:rsidR="00992FD0" w:rsidRPr="00EC250C">
        <w:t xml:space="preserve"> w </w:t>
      </w:r>
      <w:r w:rsidRPr="00EC250C">
        <w:t>Polsce skrajnie prawicowych ugrupowań nacjonalistycznych,</w:t>
      </w:r>
      <w:r w:rsidR="00992FD0" w:rsidRPr="00EC250C">
        <w:t xml:space="preserve"> a </w:t>
      </w:r>
      <w:r w:rsidRPr="00EC250C">
        <w:t>także grup</w:t>
      </w:r>
      <w:r w:rsidR="00992FD0" w:rsidRPr="00EC250C">
        <w:t xml:space="preserve"> i </w:t>
      </w:r>
      <w:r w:rsidRPr="00EC250C">
        <w:t>mediów fundamentalistów chrześcijańskich rozpowszechniających poglądy dyskryminujące</w:t>
      </w:r>
      <w:r w:rsidR="00992FD0" w:rsidRPr="00EC250C">
        <w:t xml:space="preserve"> i </w:t>
      </w:r>
      <w:r w:rsidRPr="00EC250C">
        <w:t>wykluczające. Tendencja ta wpływa szkodliwie m.in. na możliwość korzystania</w:t>
      </w:r>
      <w:r w:rsidR="00992FD0" w:rsidRPr="00EC250C">
        <w:t xml:space="preserve"> z </w:t>
      </w:r>
      <w:r w:rsidRPr="00EC250C">
        <w:t xml:space="preserve">praw kulturalnych bez dyskryminacji. Szczególnie niepokojące </w:t>
      </w:r>
      <w:r w:rsidR="00FA00E2" w:rsidRPr="00EC250C">
        <w:t xml:space="preserve">było </w:t>
      </w:r>
      <w:r w:rsidRPr="00EC250C">
        <w:t xml:space="preserve">uznawania niektórych tego rodzaju poglądów za normalne, wyrażane bez żadnych konsekwencji </w:t>
      </w:r>
      <w:r w:rsidR="00D77872" w:rsidRPr="00EC250C">
        <w:t>za strony</w:t>
      </w:r>
      <w:r w:rsidRPr="00EC250C">
        <w:t xml:space="preserve"> urzędników państwowych. Na zjawisko to należy reagować natychmiast m.in. poprzez pociąganie do odpowiedzialności urzędników posługujących się mową nienawiści. Pojawia</w:t>
      </w:r>
      <w:r w:rsidR="00FA00E2" w:rsidRPr="00EC250C">
        <w:t>ły</w:t>
      </w:r>
      <w:r w:rsidRPr="00EC250C">
        <w:t xml:space="preserve"> się też grupy neonazistowskie</w:t>
      </w:r>
      <w:r w:rsidR="00992FD0" w:rsidRPr="00EC250C">
        <w:t xml:space="preserve"> i </w:t>
      </w:r>
      <w:r w:rsidRPr="00EC250C">
        <w:t xml:space="preserve">neofaszystowskie, które dążą do uzyskania wpływu na młodzież, wykorzystując do tego celu – jak dowiedziała się </w:t>
      </w:r>
      <w:r w:rsidR="00FA00E2" w:rsidRPr="00EC250C">
        <w:t>s</w:t>
      </w:r>
      <w:r w:rsidRPr="00EC250C">
        <w:t xml:space="preserve">pecjalna </w:t>
      </w:r>
      <w:r w:rsidR="00FA00E2" w:rsidRPr="00EC250C">
        <w:t>s</w:t>
      </w:r>
      <w:r w:rsidRPr="00EC250C">
        <w:t>prawozdawczyni – między innymi wydarzenia kulturalne,</w:t>
      </w:r>
      <w:r w:rsidR="00992FD0" w:rsidRPr="00EC250C">
        <w:t xml:space="preserve"> w </w:t>
      </w:r>
      <w:r w:rsidRPr="00EC250C">
        <w:t>tym festiwale muzyczne.</w:t>
      </w:r>
    </w:p>
    <w:p w14:paraId="28EAF7A4" w14:textId="77777777" w:rsidR="00D65011" w:rsidRPr="00EC250C" w:rsidRDefault="00D65011" w:rsidP="00EC250C">
      <w:pPr>
        <w:pStyle w:val="Nagwek5"/>
      </w:pPr>
      <w:r w:rsidRPr="00EC250C">
        <w:t>Przestępstwa</w:t>
      </w:r>
      <w:r w:rsidR="00992FD0" w:rsidRPr="00EC250C">
        <w:t xml:space="preserve"> z </w:t>
      </w:r>
      <w:r w:rsidRPr="00EC250C">
        <w:t>nienawiści</w:t>
      </w:r>
    </w:p>
    <w:p w14:paraId="592B24AB" w14:textId="77777777" w:rsidR="00D65011" w:rsidRPr="00EC250C" w:rsidRDefault="00D65011" w:rsidP="00D131FA">
      <w:pPr>
        <w:pStyle w:val="Styl1"/>
      </w:pPr>
      <w:r w:rsidRPr="00EC250C">
        <w:t xml:space="preserve">Specjalna </w:t>
      </w:r>
      <w:r w:rsidR="00FA00E2" w:rsidRPr="00EC250C">
        <w:t>s</w:t>
      </w:r>
      <w:r w:rsidRPr="00EC250C">
        <w:t>prawozdawczyni</w:t>
      </w:r>
      <w:r w:rsidR="00992FD0" w:rsidRPr="00EC250C">
        <w:t xml:space="preserve"> z </w:t>
      </w:r>
      <w:r w:rsidRPr="00EC250C">
        <w:t>ogromną przykrością dowiedziała się</w:t>
      </w:r>
      <w:r w:rsidR="00992FD0" w:rsidRPr="00EC250C">
        <w:t xml:space="preserve"> o </w:t>
      </w:r>
      <w:r w:rsidRPr="00EC250C">
        <w:t>niedawnej fali incydentów noszących znamiona motywowanych uprzedzeniami, jak również</w:t>
      </w:r>
      <w:r w:rsidR="00992FD0" w:rsidRPr="00EC250C">
        <w:t xml:space="preserve"> o </w:t>
      </w:r>
      <w:r w:rsidRPr="00EC250C">
        <w:t>upowszechnieniu</w:t>
      </w:r>
      <w:r w:rsidR="00992FD0" w:rsidRPr="00EC250C">
        <w:t xml:space="preserve"> i </w:t>
      </w:r>
      <w:r w:rsidRPr="00EC250C">
        <w:t>nasileniu mowy nienawiści, również</w:t>
      </w:r>
      <w:r w:rsidR="00992FD0" w:rsidRPr="00EC250C">
        <w:t xml:space="preserve"> w </w:t>
      </w:r>
      <w:r w:rsidRPr="00EC250C">
        <w:t>internecie, skierowanej przeciwko członkom mniejszości</w:t>
      </w:r>
      <w:r w:rsidR="00992FD0" w:rsidRPr="00EC250C">
        <w:t xml:space="preserve"> i </w:t>
      </w:r>
      <w:r w:rsidRPr="00EC250C">
        <w:t xml:space="preserve">miejscom ważnym dla ich kultury. W niektórych przypadkach osoby piastujące stanowiska publiczne posługiwały się mową nienawiści nie ponosząc za to odpowiedzialności. Pewien psycholog zwrócił uwagę </w:t>
      </w:r>
      <w:r w:rsidR="00FA00E2" w:rsidRPr="00EC250C">
        <w:t>s</w:t>
      </w:r>
      <w:r w:rsidRPr="00EC250C">
        <w:t xml:space="preserve">pecjalnej </w:t>
      </w:r>
      <w:r w:rsidR="00FA00E2" w:rsidRPr="00EC250C">
        <w:t>s</w:t>
      </w:r>
      <w:r w:rsidRPr="00EC250C">
        <w:t>prawozdawczyni, że</w:t>
      </w:r>
      <w:r w:rsidR="00992FD0" w:rsidRPr="00EC250C">
        <w:t xml:space="preserve"> w </w:t>
      </w:r>
      <w:r w:rsidRPr="00EC250C">
        <w:t>wyniku tego członkowie mniejszości mogą rzadziej wychodzić</w:t>
      </w:r>
      <w:r w:rsidR="00992FD0" w:rsidRPr="00EC250C">
        <w:t xml:space="preserve"> z </w:t>
      </w:r>
      <w:r w:rsidRPr="00EC250C">
        <w:t>domu,</w:t>
      </w:r>
      <w:r w:rsidR="00992FD0" w:rsidRPr="00EC250C">
        <w:t xml:space="preserve"> a </w:t>
      </w:r>
      <w:r w:rsidRPr="00EC250C">
        <w:t>pewien działacz społeczny wyjaśnił, że członkowie mniejszości mogą bardziej obawiać się publicznie przyznawać do swojej tożsamości.</w:t>
      </w:r>
    </w:p>
    <w:p w14:paraId="672AA902" w14:textId="77777777" w:rsidR="00D65011" w:rsidRPr="00EC250C" w:rsidRDefault="002A5945" w:rsidP="00D131FA">
      <w:pPr>
        <w:pStyle w:val="ODESANIE"/>
        <w:jc w:val="both"/>
      </w:pPr>
      <w:r w:rsidRPr="00EC250C">
        <w:t>O zagrożeniach związanych</w:t>
      </w:r>
      <w:r w:rsidR="00992FD0" w:rsidRPr="00EC250C">
        <w:t xml:space="preserve"> z </w:t>
      </w:r>
      <w:r w:rsidRPr="00EC250C">
        <w:t>ustawą</w:t>
      </w:r>
      <w:r w:rsidR="00992FD0" w:rsidRPr="00EC250C">
        <w:t xml:space="preserve"> o </w:t>
      </w:r>
      <w:r w:rsidRPr="00EC250C">
        <w:t>IPN –</w:t>
      </w:r>
      <w:r w:rsidR="001874B8" w:rsidRPr="00EC250C">
        <w:t xml:space="preserve"> </w:t>
      </w:r>
      <w:r w:rsidRPr="00EC250C">
        <w:t>art. 42 Konstytucji ust</w:t>
      </w:r>
      <w:r w:rsidR="00443A0B" w:rsidRPr="00EC250C">
        <w:t>. </w:t>
      </w:r>
      <w:r w:rsidRPr="00EC250C">
        <w:t>1</w:t>
      </w:r>
    </w:p>
    <w:p w14:paraId="6AA2995A" w14:textId="77777777" w:rsidR="00203C9C" w:rsidRPr="00EC250C" w:rsidRDefault="00203C9C" w:rsidP="00EC250C">
      <w:pPr>
        <w:pStyle w:val="Nagwek8"/>
      </w:pPr>
      <w:r w:rsidRPr="00EC250C">
        <w:t>Wyrok za przeróbkę hymnu. Kasacja RPO do Sądu Najwyższego</w:t>
      </w:r>
    </w:p>
    <w:p w14:paraId="7AE1F38C" w14:textId="77777777" w:rsidR="00203C9C" w:rsidRPr="00EC250C" w:rsidRDefault="00203C9C" w:rsidP="00D131FA">
      <w:pPr>
        <w:pStyle w:val="Styl2"/>
        <w:rPr>
          <w:szCs w:val="24"/>
        </w:rPr>
      </w:pPr>
      <w:r w:rsidRPr="00EC250C">
        <w:rPr>
          <w:szCs w:val="24"/>
        </w:rPr>
        <w:t>Rzecznik Praw Obywatelskich złożył kasację do Sądu Najwyższego o uniewinnienie dziennikarza prawomocnie ukaranego grzywną za wykroczenie polegające na zmianie słów polskiego hymnu.</w:t>
      </w:r>
    </w:p>
    <w:p w14:paraId="49494A9A" w14:textId="77777777" w:rsidR="00203C9C" w:rsidRPr="00EC250C" w:rsidRDefault="00203C9C" w:rsidP="00D131FA">
      <w:pPr>
        <w:pStyle w:val="Styl2"/>
        <w:rPr>
          <w:szCs w:val="24"/>
        </w:rPr>
      </w:pPr>
      <w:r w:rsidRPr="00EC250C">
        <w:rPr>
          <w:szCs w:val="24"/>
        </w:rPr>
        <w:t>W 2015 r. Jaś Kapela opublikował w internecie film „Polacy witają uchodźców!”, na którym z innymi osobami śpiewa hymn ze zmienionymi słowami: „Marsz, marsz, uchodźcy, z ziemi włoskiej do Polski, za naszym przewodem łączcie się z narodem"’. Był to głos w dyskusji o uchodźcach. Zmieniony tekst „Mazurka Dąbrowskiego” miał przypominać, że była to pieśń polskich żołnierzy-</w:t>
      </w:r>
      <w:r w:rsidRPr="00EC250C">
        <w:rPr>
          <w:szCs w:val="24"/>
        </w:rPr>
        <w:lastRenderedPageBreak/>
        <w:t>tułaczy. Dziennikarz został prawomocnie ukarany przez sąd 1000 zł grzywny za wykroczenie naruszające przepisy o godle, barwach i hymnie Rzeczypospolitej Polskiej</w:t>
      </w:r>
      <w:r w:rsidRPr="00EC250C">
        <w:rPr>
          <w:rStyle w:val="Odwoanieprzypisudolnego"/>
          <w:szCs w:val="24"/>
        </w:rPr>
        <w:footnoteReference w:id="625"/>
      </w:r>
      <w:r w:rsidRPr="00EC250C">
        <w:rPr>
          <w:szCs w:val="24"/>
        </w:rPr>
        <w:t>.</w:t>
      </w:r>
    </w:p>
    <w:p w14:paraId="1BBFE2D2" w14:textId="77777777" w:rsidR="00D65011" w:rsidRPr="00EC250C" w:rsidRDefault="00D65011" w:rsidP="00EC250C">
      <w:pPr>
        <w:pStyle w:val="Nagwek8"/>
      </w:pPr>
      <w:r w:rsidRPr="00EC250C">
        <w:t xml:space="preserve">Interwencja </w:t>
      </w:r>
      <w:r w:rsidR="00443A0B" w:rsidRPr="00EC250C">
        <w:t>p</w:t>
      </w:r>
      <w:r w:rsidRPr="00EC250C">
        <w:t>olicji podczas konferencji naukowej</w:t>
      </w:r>
    </w:p>
    <w:p w14:paraId="2B6D42D8" w14:textId="77777777" w:rsidR="00D65011" w:rsidRPr="00EC250C" w:rsidRDefault="00443A0B" w:rsidP="00D131FA">
      <w:pPr>
        <w:pStyle w:val="Styl2"/>
        <w:rPr>
          <w:szCs w:val="24"/>
        </w:rPr>
      </w:pPr>
      <w:r w:rsidRPr="00EC250C">
        <w:rPr>
          <w:szCs w:val="24"/>
        </w:rPr>
        <w:t xml:space="preserve">Policjanci </w:t>
      </w:r>
      <w:r w:rsidR="004A658F" w:rsidRPr="00EC250C">
        <w:rPr>
          <w:szCs w:val="24"/>
        </w:rPr>
        <w:t xml:space="preserve">weszli na </w:t>
      </w:r>
      <w:r w:rsidR="00D65011" w:rsidRPr="00EC250C">
        <w:rPr>
          <w:szCs w:val="24"/>
        </w:rPr>
        <w:t>konferencj</w:t>
      </w:r>
      <w:r w:rsidR="004A658F" w:rsidRPr="00EC250C">
        <w:rPr>
          <w:szCs w:val="24"/>
        </w:rPr>
        <w:t>ę</w:t>
      </w:r>
      <w:r w:rsidR="00D65011" w:rsidRPr="00EC250C">
        <w:rPr>
          <w:szCs w:val="24"/>
        </w:rPr>
        <w:t xml:space="preserve"> naukow</w:t>
      </w:r>
      <w:r w:rsidR="004A658F" w:rsidRPr="00EC250C">
        <w:rPr>
          <w:szCs w:val="24"/>
        </w:rPr>
        <w:t>ą</w:t>
      </w:r>
      <w:r w:rsidR="00D65011" w:rsidRPr="00EC250C">
        <w:rPr>
          <w:szCs w:val="24"/>
        </w:rPr>
        <w:t xml:space="preserve"> „Karol Marks: 2018</w:t>
      </w:r>
      <w:r w:rsidR="00DB0B82" w:rsidRPr="00EC250C">
        <w:rPr>
          <w:szCs w:val="24"/>
        </w:rPr>
        <w:t>”</w:t>
      </w:r>
      <w:r w:rsidRPr="00EC250C">
        <w:rPr>
          <w:szCs w:val="24"/>
        </w:rPr>
        <w:t xml:space="preserve"> na Uniwersytecie Szczecińskim</w:t>
      </w:r>
      <w:r w:rsidR="00DB0B82" w:rsidRPr="00EC250C">
        <w:rPr>
          <w:szCs w:val="24"/>
        </w:rPr>
        <w:t xml:space="preserve">. </w:t>
      </w:r>
      <w:r w:rsidR="004A658F" w:rsidRPr="00EC250C">
        <w:rPr>
          <w:szCs w:val="24"/>
        </w:rPr>
        <w:t>M</w:t>
      </w:r>
      <w:r w:rsidR="00D65011" w:rsidRPr="00EC250C">
        <w:rPr>
          <w:szCs w:val="24"/>
        </w:rPr>
        <w:t xml:space="preserve">ieli poinformować </w:t>
      </w:r>
      <w:r w:rsidR="004A658F" w:rsidRPr="00EC250C">
        <w:rPr>
          <w:szCs w:val="24"/>
        </w:rPr>
        <w:t xml:space="preserve">jej </w:t>
      </w:r>
      <w:r w:rsidR="00D65011" w:rsidRPr="00EC250C">
        <w:rPr>
          <w:szCs w:val="24"/>
        </w:rPr>
        <w:t xml:space="preserve">uczestników, że </w:t>
      </w:r>
      <w:r w:rsidR="004A658F" w:rsidRPr="00EC250C">
        <w:rPr>
          <w:szCs w:val="24"/>
        </w:rPr>
        <w:t xml:space="preserve">ich </w:t>
      </w:r>
      <w:r w:rsidR="00D65011" w:rsidRPr="00EC250C">
        <w:rPr>
          <w:szCs w:val="24"/>
        </w:rPr>
        <w:t xml:space="preserve">obecność jest koniecznością sprawdzenia, czy konferencja nie </w:t>
      </w:r>
      <w:r w:rsidRPr="00EC250C">
        <w:rPr>
          <w:szCs w:val="24"/>
        </w:rPr>
        <w:t xml:space="preserve">jest </w:t>
      </w:r>
      <w:r w:rsidR="00D65011" w:rsidRPr="00EC250C">
        <w:rPr>
          <w:szCs w:val="24"/>
        </w:rPr>
        <w:t>działalności</w:t>
      </w:r>
      <w:r w:rsidRPr="00EC250C">
        <w:rPr>
          <w:szCs w:val="24"/>
        </w:rPr>
        <w:t>ą</w:t>
      </w:r>
      <w:r w:rsidR="00D65011" w:rsidRPr="00EC250C">
        <w:rPr>
          <w:szCs w:val="24"/>
        </w:rPr>
        <w:t xml:space="preserve"> antynarodow</w:t>
      </w:r>
      <w:r w:rsidRPr="00EC250C">
        <w:rPr>
          <w:szCs w:val="24"/>
        </w:rPr>
        <w:t>ą</w:t>
      </w:r>
      <w:r w:rsidR="00D65011" w:rsidRPr="00EC250C">
        <w:rPr>
          <w:szCs w:val="24"/>
        </w:rPr>
        <w:t xml:space="preserve"> </w:t>
      </w:r>
      <w:r w:rsidRPr="00EC250C">
        <w:rPr>
          <w:szCs w:val="24"/>
        </w:rPr>
        <w:t xml:space="preserve">lub </w:t>
      </w:r>
      <w:r w:rsidR="00D65011" w:rsidRPr="00EC250C">
        <w:rPr>
          <w:szCs w:val="24"/>
        </w:rPr>
        <w:t>nie propag</w:t>
      </w:r>
      <w:r w:rsidRPr="00EC250C">
        <w:rPr>
          <w:szCs w:val="24"/>
        </w:rPr>
        <w:t>uje</w:t>
      </w:r>
      <w:r w:rsidR="00D65011" w:rsidRPr="00EC250C">
        <w:rPr>
          <w:szCs w:val="24"/>
        </w:rPr>
        <w:t xml:space="preserve"> praktyk totalitarnych. Funkcjonariusze fotografowali wystawione egzemplarze czasopism naukowych, pytali uczestników</w:t>
      </w:r>
      <w:r w:rsidR="00992FD0" w:rsidRPr="00EC250C">
        <w:rPr>
          <w:szCs w:val="24"/>
        </w:rPr>
        <w:t xml:space="preserve"> o </w:t>
      </w:r>
      <w:r w:rsidR="00D65011" w:rsidRPr="00EC250C">
        <w:rPr>
          <w:szCs w:val="24"/>
        </w:rPr>
        <w:t>przebieg konferencji,</w:t>
      </w:r>
      <w:r w:rsidR="00992FD0" w:rsidRPr="00EC250C">
        <w:rPr>
          <w:szCs w:val="24"/>
        </w:rPr>
        <w:t xml:space="preserve"> a </w:t>
      </w:r>
      <w:r w:rsidR="00D65011" w:rsidRPr="00EC250C">
        <w:rPr>
          <w:szCs w:val="24"/>
        </w:rPr>
        <w:t>także spisali dane jednego</w:t>
      </w:r>
      <w:r w:rsidR="00992FD0" w:rsidRPr="00EC250C">
        <w:rPr>
          <w:szCs w:val="24"/>
        </w:rPr>
        <w:t xml:space="preserve"> z </w:t>
      </w:r>
      <w:r w:rsidR="00D65011" w:rsidRPr="00EC250C">
        <w:rPr>
          <w:szCs w:val="24"/>
        </w:rPr>
        <w:t>organizatorów wydarzenia – pracownika naukowego Instytutu Filozofii na Uniwersytecie Szczecińskim.</w:t>
      </w:r>
    </w:p>
    <w:p w14:paraId="19AA26EC" w14:textId="77777777" w:rsidR="00D65011" w:rsidRPr="00EC250C" w:rsidRDefault="00D65011" w:rsidP="00D131FA">
      <w:pPr>
        <w:pStyle w:val="Styl2"/>
        <w:rPr>
          <w:szCs w:val="24"/>
        </w:rPr>
      </w:pPr>
      <w:r w:rsidRPr="00EC250C">
        <w:rPr>
          <w:szCs w:val="24"/>
        </w:rPr>
        <w:t xml:space="preserve">W ocenie </w:t>
      </w:r>
      <w:r w:rsidR="00D76DC6" w:rsidRPr="00EC250C">
        <w:rPr>
          <w:szCs w:val="24"/>
        </w:rPr>
        <w:t>RPO</w:t>
      </w:r>
      <w:r w:rsidRPr="00EC250C">
        <w:rPr>
          <w:szCs w:val="24"/>
        </w:rPr>
        <w:t xml:space="preserve"> interwencja </w:t>
      </w:r>
      <w:r w:rsidR="004A658F" w:rsidRPr="00EC250C">
        <w:rPr>
          <w:szCs w:val="24"/>
        </w:rPr>
        <w:t>p</w:t>
      </w:r>
      <w:r w:rsidRPr="00EC250C">
        <w:rPr>
          <w:szCs w:val="24"/>
        </w:rPr>
        <w:t>olicji mogła naruszać gwarantowaną konstytucyjnie wolność nauki,</w:t>
      </w:r>
      <w:r w:rsidR="00992FD0" w:rsidRPr="00EC250C">
        <w:rPr>
          <w:szCs w:val="24"/>
        </w:rPr>
        <w:t xml:space="preserve"> z </w:t>
      </w:r>
      <w:r w:rsidRPr="00EC250C">
        <w:rPr>
          <w:szCs w:val="24"/>
        </w:rPr>
        <w:t xml:space="preserve">której korzystali uczestnicy tego wydarzenia. </w:t>
      </w:r>
      <w:r w:rsidR="00D76DC6" w:rsidRPr="00EC250C">
        <w:rPr>
          <w:szCs w:val="24"/>
        </w:rPr>
        <w:t>RPO</w:t>
      </w:r>
      <w:r w:rsidRPr="00EC250C">
        <w:rPr>
          <w:szCs w:val="24"/>
        </w:rPr>
        <w:t xml:space="preserve"> zwrócił się</w:t>
      </w:r>
      <w:r w:rsidRPr="00EC250C">
        <w:rPr>
          <w:rStyle w:val="Odwoanieprzypisudolnego"/>
          <w:szCs w:val="24"/>
        </w:rPr>
        <w:footnoteReference w:id="626"/>
      </w:r>
      <w:r w:rsidRPr="00EC250C">
        <w:rPr>
          <w:szCs w:val="24"/>
        </w:rPr>
        <w:t xml:space="preserve"> do Prokuratora Rejonowego, Komendanta Powiatowego Policji oraz Ministra Spraw Wewnętrznych, wskazując na dostrzeżone uchybienia. </w:t>
      </w:r>
      <w:r w:rsidR="00DB0B82" w:rsidRPr="00EC250C">
        <w:rPr>
          <w:szCs w:val="24"/>
        </w:rPr>
        <w:t>P</w:t>
      </w:r>
      <w:r w:rsidRPr="00EC250C">
        <w:rPr>
          <w:szCs w:val="24"/>
        </w:rPr>
        <w:t>odkreślił</w:t>
      </w:r>
      <w:r w:rsidR="00992FD0" w:rsidRPr="00EC250C">
        <w:rPr>
          <w:szCs w:val="24"/>
        </w:rPr>
        <w:t xml:space="preserve"> w </w:t>
      </w:r>
      <w:r w:rsidRPr="00EC250C">
        <w:rPr>
          <w:szCs w:val="24"/>
        </w:rPr>
        <w:t>szczególności, że weryfikacja stawianych przez naukowców tez powinna odbywać się</w:t>
      </w:r>
      <w:r w:rsidR="00992FD0" w:rsidRPr="00EC250C">
        <w:rPr>
          <w:szCs w:val="24"/>
        </w:rPr>
        <w:t xml:space="preserve"> w </w:t>
      </w:r>
      <w:r w:rsidRPr="00EC250C">
        <w:rPr>
          <w:szCs w:val="24"/>
        </w:rPr>
        <w:t>drodze otwartego dyskursu naukowego, np. podczas konferencji naukowych, takich jak ta zorganizowana</w:t>
      </w:r>
      <w:r w:rsidR="00992FD0" w:rsidRPr="00EC250C">
        <w:rPr>
          <w:szCs w:val="24"/>
        </w:rPr>
        <w:t xml:space="preserve"> w </w:t>
      </w:r>
      <w:r w:rsidRPr="00EC250C">
        <w:rPr>
          <w:szCs w:val="24"/>
        </w:rPr>
        <w:t>Pobierowie.</w:t>
      </w:r>
    </w:p>
    <w:p w14:paraId="2FA3E608" w14:textId="77777777" w:rsidR="00443A0B" w:rsidRPr="00EC250C" w:rsidRDefault="00443A0B" w:rsidP="00D131FA">
      <w:pPr>
        <w:pStyle w:val="Styl2"/>
        <w:rPr>
          <w:szCs w:val="24"/>
        </w:rPr>
      </w:pPr>
      <w:r w:rsidRPr="00EC250C">
        <w:rPr>
          <w:szCs w:val="24"/>
        </w:rPr>
        <w:t>Po protestach ze strony władz uczelni Minister Spraw Wewnętrznych i Administracji przeprosił za zachowanie policjantów.</w:t>
      </w:r>
    </w:p>
    <w:p w14:paraId="3DBC8085" w14:textId="77777777" w:rsidR="00725002" w:rsidRPr="00EC250C" w:rsidRDefault="00203C9C" w:rsidP="00EC250C">
      <w:pPr>
        <w:pStyle w:val="Nagwek8"/>
      </w:pPr>
      <w:r w:rsidRPr="00EC250C">
        <w:t xml:space="preserve">Problemy z oglądaniem </w:t>
      </w:r>
      <w:r w:rsidR="00725002" w:rsidRPr="00EC250C">
        <w:t>filmu „Kler”</w:t>
      </w:r>
    </w:p>
    <w:p w14:paraId="039B5054" w14:textId="77777777" w:rsidR="00725002" w:rsidRPr="00EC250C" w:rsidRDefault="00725002" w:rsidP="00D131FA">
      <w:pPr>
        <w:pStyle w:val="Styl2"/>
        <w:rPr>
          <w:szCs w:val="24"/>
        </w:rPr>
      </w:pPr>
      <w:r w:rsidRPr="00EC250C">
        <w:rPr>
          <w:szCs w:val="24"/>
        </w:rPr>
        <w:t>Nowym zjawiskiem</w:t>
      </w:r>
      <w:r w:rsidR="00992FD0" w:rsidRPr="00EC250C">
        <w:rPr>
          <w:szCs w:val="24"/>
        </w:rPr>
        <w:t xml:space="preserve"> w </w:t>
      </w:r>
      <w:r w:rsidRPr="00EC250C">
        <w:rPr>
          <w:szCs w:val="24"/>
        </w:rPr>
        <w:t>2018</w:t>
      </w:r>
      <w:r w:rsidR="00C91F6E" w:rsidRPr="00EC250C">
        <w:rPr>
          <w:szCs w:val="24"/>
        </w:rPr>
        <w:t> r.</w:t>
      </w:r>
      <w:r w:rsidRPr="00EC250C">
        <w:rPr>
          <w:szCs w:val="24"/>
        </w:rPr>
        <w:t xml:space="preserve"> było niewyświetlanie</w:t>
      </w:r>
      <w:r w:rsidR="00992FD0" w:rsidRPr="00EC250C">
        <w:rPr>
          <w:szCs w:val="24"/>
        </w:rPr>
        <w:t xml:space="preserve"> w </w:t>
      </w:r>
      <w:r w:rsidRPr="00EC250C">
        <w:rPr>
          <w:szCs w:val="24"/>
        </w:rPr>
        <w:t>kinach</w:t>
      </w:r>
      <w:r w:rsidR="00992FD0" w:rsidRPr="00EC250C">
        <w:rPr>
          <w:szCs w:val="24"/>
        </w:rPr>
        <w:t xml:space="preserve"> w </w:t>
      </w:r>
      <w:r w:rsidRPr="00EC250C">
        <w:rPr>
          <w:szCs w:val="24"/>
        </w:rPr>
        <w:t>niektórych miejscowościach filmu „Kler”, który widzowie chcieli oglądać. RPO pytał się m.in.</w:t>
      </w:r>
      <w:r w:rsidR="00992FD0" w:rsidRPr="00EC250C">
        <w:rPr>
          <w:szCs w:val="24"/>
        </w:rPr>
        <w:t xml:space="preserve"> o </w:t>
      </w:r>
      <w:r w:rsidRPr="00EC250C">
        <w:rPr>
          <w:szCs w:val="24"/>
        </w:rPr>
        <w:t>powody czynienia ludziom takich kłopotów</w:t>
      </w:r>
      <w:r w:rsidR="00992FD0" w:rsidRPr="00EC250C">
        <w:rPr>
          <w:szCs w:val="24"/>
        </w:rPr>
        <w:t xml:space="preserve"> w </w:t>
      </w:r>
      <w:r w:rsidRPr="00EC250C">
        <w:rPr>
          <w:szCs w:val="24"/>
        </w:rPr>
        <w:t>korzystaniu</w:t>
      </w:r>
      <w:r w:rsidR="00992FD0" w:rsidRPr="00EC250C">
        <w:rPr>
          <w:szCs w:val="24"/>
        </w:rPr>
        <w:t xml:space="preserve"> z </w:t>
      </w:r>
      <w:r w:rsidRPr="00EC250C">
        <w:rPr>
          <w:szCs w:val="24"/>
        </w:rPr>
        <w:t>kultury w: Strzyżowie</w:t>
      </w:r>
      <w:r w:rsidR="00992FD0" w:rsidRPr="00EC250C">
        <w:rPr>
          <w:szCs w:val="24"/>
        </w:rPr>
        <w:t xml:space="preserve"> i </w:t>
      </w:r>
      <w:r w:rsidRPr="00EC250C">
        <w:rPr>
          <w:szCs w:val="24"/>
        </w:rPr>
        <w:t>Kraśniku, Rabce, Pułtusku</w:t>
      </w:r>
      <w:r w:rsidR="00992FD0" w:rsidRPr="00EC250C">
        <w:rPr>
          <w:szCs w:val="24"/>
        </w:rPr>
        <w:t xml:space="preserve"> i </w:t>
      </w:r>
      <w:r w:rsidRPr="00EC250C">
        <w:rPr>
          <w:szCs w:val="24"/>
        </w:rPr>
        <w:t>Ostrołęce (prezydent Ostrołęki</w:t>
      </w:r>
      <w:r w:rsidR="00992FD0" w:rsidRPr="00EC250C">
        <w:rPr>
          <w:szCs w:val="24"/>
        </w:rPr>
        <w:t xml:space="preserve"> </w:t>
      </w:r>
      <w:r w:rsidR="00FA00E2" w:rsidRPr="00EC250C">
        <w:rPr>
          <w:szCs w:val="24"/>
        </w:rPr>
        <w:t xml:space="preserve">Janusz Kotowski </w:t>
      </w:r>
      <w:r w:rsidR="00992FD0" w:rsidRPr="00EC250C">
        <w:rPr>
          <w:szCs w:val="24"/>
        </w:rPr>
        <w:t>w </w:t>
      </w:r>
      <w:r w:rsidRPr="00EC250C">
        <w:rPr>
          <w:szCs w:val="24"/>
        </w:rPr>
        <w:t xml:space="preserve">oficjalnym liście do </w:t>
      </w:r>
      <w:r w:rsidR="007C2D02" w:rsidRPr="00EC250C">
        <w:rPr>
          <w:szCs w:val="24"/>
        </w:rPr>
        <w:t>Rzecznika Praw Obywatelskich</w:t>
      </w:r>
      <w:r w:rsidRPr="00EC250C">
        <w:rPr>
          <w:szCs w:val="24"/>
        </w:rPr>
        <w:t xml:space="preserve"> napisał „Nie przypominam sobie, żebym komukolwiek zakazywał oglądania filmu </w:t>
      </w:r>
      <w:r w:rsidR="00443A0B" w:rsidRPr="00EC250C">
        <w:rPr>
          <w:rFonts w:ascii="Segoe UI Symbol" w:hAnsi="Segoe UI Symbol"/>
          <w:szCs w:val="24"/>
        </w:rPr>
        <w:t>»</w:t>
      </w:r>
      <w:r w:rsidRPr="00EC250C">
        <w:rPr>
          <w:szCs w:val="24"/>
        </w:rPr>
        <w:t>Kler</w:t>
      </w:r>
      <w:r w:rsidR="00443A0B" w:rsidRPr="00EC250C">
        <w:rPr>
          <w:rFonts w:ascii="Segoe UI Symbol" w:hAnsi="Segoe UI Symbol"/>
          <w:szCs w:val="24"/>
        </w:rPr>
        <w:t>«</w:t>
      </w:r>
      <w:r w:rsidRPr="00EC250C">
        <w:rPr>
          <w:szCs w:val="24"/>
        </w:rPr>
        <w:t>. Choć mam sprecyzowane poglądy, co do wpływu niektórych „obrazów" na psychikę</w:t>
      </w:r>
      <w:r w:rsidR="00992FD0" w:rsidRPr="00EC250C">
        <w:rPr>
          <w:szCs w:val="24"/>
        </w:rPr>
        <w:t xml:space="preserve"> i </w:t>
      </w:r>
      <w:r w:rsidRPr="00EC250C">
        <w:rPr>
          <w:szCs w:val="24"/>
        </w:rPr>
        <w:t>rozwój, zwłaszcza młodych, kształtujących się osobowości”</w:t>
      </w:r>
      <w:r w:rsidRPr="00EC250C">
        <w:rPr>
          <w:rStyle w:val="Odwoanieprzypisudolnego"/>
          <w:szCs w:val="24"/>
        </w:rPr>
        <w:footnoteReference w:id="627"/>
      </w:r>
      <w:r w:rsidR="007C2D02" w:rsidRPr="00EC250C">
        <w:rPr>
          <w:szCs w:val="24"/>
        </w:rPr>
        <w:t>.</w:t>
      </w:r>
    </w:p>
    <w:p w14:paraId="78654A1A" w14:textId="77777777" w:rsidR="007C2D02" w:rsidRPr="00EC250C" w:rsidRDefault="007C2D02" w:rsidP="00D131FA">
      <w:pPr>
        <w:pStyle w:val="Styl2"/>
        <w:rPr>
          <w:szCs w:val="24"/>
        </w:rPr>
      </w:pPr>
      <w:r w:rsidRPr="00EC250C">
        <w:rPr>
          <w:szCs w:val="24"/>
        </w:rPr>
        <w:t>Inne miasta tłumaczyły się kłopotami technicznymi (kino w Strzyżowie musi przede wszystkim wyświetlać bajki, kino w Kraśniku może wyświetlać tylko jeden film – i wybrało film „Kamerdyner, Pułtusk zaś postanowił zorganizować pokazy dopiero pod koniec października).</w:t>
      </w:r>
    </w:p>
    <w:p w14:paraId="60D8D25C" w14:textId="77777777" w:rsidR="00A16B5C" w:rsidRPr="00EC250C" w:rsidRDefault="00A16B5C" w:rsidP="00D131FA">
      <w:pPr>
        <w:pStyle w:val="ODESANIE"/>
        <w:jc w:val="both"/>
        <w:rPr>
          <w:rFonts w:eastAsia="Calibri"/>
          <w:spacing w:val="0"/>
          <w:szCs w:val="24"/>
          <w:lang w:eastAsia="zh-CN" w:bidi="hi-IN"/>
        </w:rPr>
      </w:pPr>
      <w:r w:rsidRPr="00EC250C">
        <w:t xml:space="preserve">Sprawa odwołań od decyzji PISF </w:t>
      </w:r>
      <w:r w:rsidR="003B08D6" w:rsidRPr="00EC250C">
        <w:t xml:space="preserve">o odmowie dofinansowania produkcji filmu </w:t>
      </w:r>
      <w:r w:rsidRPr="00EC250C">
        <w:t>– art. 77 ust 2 Konstytucji</w:t>
      </w:r>
    </w:p>
    <w:p w14:paraId="790B0AA1" w14:textId="77777777" w:rsidR="00C91F6E" w:rsidRPr="00EC250C" w:rsidRDefault="00DB6938" w:rsidP="00EC79EB">
      <w:pPr>
        <w:pStyle w:val="Nagwek4"/>
      </w:pPr>
      <w:bookmarkStart w:id="638" w:name="_Toc6257922"/>
      <w:bookmarkStart w:id="639" w:name="_Toc11247800"/>
      <w:r w:rsidRPr="00EC250C">
        <w:t>Zgodność przepisów Prawa łowieckiego</w:t>
      </w:r>
      <w:r w:rsidR="00992FD0" w:rsidRPr="00EC250C">
        <w:t xml:space="preserve"> z </w:t>
      </w:r>
      <w:r w:rsidRPr="00EC250C">
        <w:t>Konstytucją oraz Konwencją UNESCO</w:t>
      </w:r>
      <w:r w:rsidR="00992FD0" w:rsidRPr="00EC250C">
        <w:t xml:space="preserve"> w </w:t>
      </w:r>
      <w:r w:rsidRPr="00EC250C">
        <w:t>sprawie ochrony niematerialnego dziedzictwa kulturowego</w:t>
      </w:r>
      <w:bookmarkEnd w:id="638"/>
      <w:bookmarkEnd w:id="639"/>
    </w:p>
    <w:p w14:paraId="37A3C251" w14:textId="77777777" w:rsidR="00B473F5" w:rsidRPr="00EC250C" w:rsidRDefault="00DB6938" w:rsidP="00D131FA">
      <w:pPr>
        <w:pStyle w:val="Problemczowieka"/>
        <w:jc w:val="both"/>
      </w:pPr>
      <w:r w:rsidRPr="00EC250C">
        <w:t>Przy szkoleniu ptaków łowczych</w:t>
      </w:r>
      <w:r w:rsidR="00992FD0" w:rsidRPr="00EC250C">
        <w:t xml:space="preserve"> i </w:t>
      </w:r>
      <w:r w:rsidRPr="00EC250C">
        <w:t xml:space="preserve">psów myśliwskich nie </w:t>
      </w:r>
      <w:r w:rsidR="00F1582F" w:rsidRPr="00EC250C">
        <w:t xml:space="preserve">wolno </w:t>
      </w:r>
      <w:r w:rsidRPr="00EC250C">
        <w:t>już zabijać, płoszyć</w:t>
      </w:r>
      <w:r w:rsidR="00992FD0" w:rsidRPr="00EC250C">
        <w:t xml:space="preserve"> i </w:t>
      </w:r>
      <w:r w:rsidRPr="00EC250C">
        <w:t xml:space="preserve">ranić zwierzyny. Przepisy są </w:t>
      </w:r>
      <w:r w:rsidR="0093212D" w:rsidRPr="00EC250C">
        <w:t xml:space="preserve">jednak </w:t>
      </w:r>
      <w:r w:rsidRPr="00EC250C">
        <w:t>nieprecy</w:t>
      </w:r>
      <w:r w:rsidR="00B26D32" w:rsidRPr="00EC250C">
        <w:t>z</w:t>
      </w:r>
      <w:r w:rsidRPr="00EC250C">
        <w:t>yjne</w:t>
      </w:r>
      <w:r w:rsidR="0093212D" w:rsidRPr="00EC250C">
        <w:t xml:space="preserve"> i nie uwzględniają faktu, że </w:t>
      </w:r>
      <w:r w:rsidRPr="00EC250C">
        <w:lastRenderedPageBreak/>
        <w:t>kynologia myśliwska</w:t>
      </w:r>
      <w:r w:rsidR="0093212D" w:rsidRPr="00EC250C">
        <w:t xml:space="preserve"> (układanie psów)</w:t>
      </w:r>
      <w:r w:rsidRPr="00EC250C">
        <w:t>, jak</w:t>
      </w:r>
      <w:r w:rsidR="00992FD0" w:rsidRPr="00EC250C">
        <w:t xml:space="preserve"> i </w:t>
      </w:r>
      <w:r w:rsidRPr="00EC250C">
        <w:t>sokolnictwo stanowią istotny element polskiej tradycji łowieckiej</w:t>
      </w:r>
      <w:r w:rsidR="00B473F5" w:rsidRPr="00EC250C">
        <w:t>.</w:t>
      </w:r>
    </w:p>
    <w:p w14:paraId="206272C5" w14:textId="77777777" w:rsidR="00C91F6E" w:rsidRPr="00EC250C" w:rsidRDefault="00D76DC6" w:rsidP="00D131FA">
      <w:pPr>
        <w:pStyle w:val="Styl1"/>
        <w:rPr>
          <w:bCs/>
          <w:iCs/>
        </w:rPr>
      </w:pPr>
      <w:r w:rsidRPr="00EC250C">
        <w:rPr>
          <w:bCs/>
          <w:iCs/>
        </w:rPr>
        <w:t xml:space="preserve">RPO </w:t>
      </w:r>
      <w:r w:rsidR="00DB6938" w:rsidRPr="00EC250C">
        <w:rPr>
          <w:bCs/>
          <w:iCs/>
        </w:rPr>
        <w:t>zgłosił</w:t>
      </w:r>
      <w:r w:rsidR="00DB6938" w:rsidRPr="00EC250C">
        <w:rPr>
          <w:rStyle w:val="Odwoanieprzypisudolnego"/>
          <w:bCs/>
          <w:iCs/>
        </w:rPr>
        <w:footnoteReference w:id="628"/>
      </w:r>
      <w:r w:rsidR="00DB6938" w:rsidRPr="00EC250C">
        <w:rPr>
          <w:bCs/>
          <w:iCs/>
        </w:rPr>
        <w:t xml:space="preserve"> udział</w:t>
      </w:r>
      <w:r w:rsidR="00992FD0" w:rsidRPr="00EC250C">
        <w:rPr>
          <w:bCs/>
          <w:iCs/>
        </w:rPr>
        <w:t xml:space="preserve"> w </w:t>
      </w:r>
      <w:r w:rsidR="00DB6938" w:rsidRPr="00EC250C">
        <w:rPr>
          <w:bCs/>
          <w:iCs/>
        </w:rPr>
        <w:t>postępowaniu przed Trybunałem Konstytucyjnym</w:t>
      </w:r>
      <w:r w:rsidR="00992FD0" w:rsidRPr="00EC250C">
        <w:rPr>
          <w:bCs/>
          <w:iCs/>
        </w:rPr>
        <w:t xml:space="preserve"> w </w:t>
      </w:r>
      <w:r w:rsidR="00DB6938" w:rsidRPr="00EC250C">
        <w:rPr>
          <w:bCs/>
          <w:iCs/>
        </w:rPr>
        <w:t>sprawie wniosku grupy posłów</w:t>
      </w:r>
      <w:r w:rsidR="00992FD0" w:rsidRPr="00EC250C">
        <w:rPr>
          <w:bCs/>
          <w:iCs/>
        </w:rPr>
        <w:t xml:space="preserve"> o </w:t>
      </w:r>
      <w:r w:rsidR="00DB6938" w:rsidRPr="00EC250C">
        <w:rPr>
          <w:bCs/>
          <w:iCs/>
        </w:rPr>
        <w:t>zbadanie zgodności</w:t>
      </w:r>
      <w:r w:rsidR="00992FD0" w:rsidRPr="00EC250C">
        <w:rPr>
          <w:bCs/>
          <w:iCs/>
        </w:rPr>
        <w:t xml:space="preserve"> z </w:t>
      </w:r>
      <w:r w:rsidR="00DB6938" w:rsidRPr="00EC250C">
        <w:rPr>
          <w:bCs/>
          <w:iCs/>
        </w:rPr>
        <w:t>Konstytucją przepisów Prawa łowieckiego</w:t>
      </w:r>
      <w:r w:rsidR="00DB6938" w:rsidRPr="00EC250C">
        <w:rPr>
          <w:rStyle w:val="Odwoanieprzypisudolnego"/>
          <w:bCs/>
          <w:iCs/>
        </w:rPr>
        <w:footnoteReference w:id="629"/>
      </w:r>
      <w:r w:rsidR="00DB6938" w:rsidRPr="00EC250C">
        <w:rPr>
          <w:bCs/>
          <w:iCs/>
        </w:rPr>
        <w:t>. Chodzi</w:t>
      </w:r>
      <w:r w:rsidR="00992FD0" w:rsidRPr="00EC250C">
        <w:rPr>
          <w:bCs/>
          <w:iCs/>
        </w:rPr>
        <w:t xml:space="preserve"> o </w:t>
      </w:r>
      <w:r w:rsidR="00DB6938" w:rsidRPr="00EC250C">
        <w:rPr>
          <w:bCs/>
          <w:iCs/>
        </w:rPr>
        <w:t>zakaz płoszenia, chwytania, przetrzymywania, ranienia</w:t>
      </w:r>
      <w:r w:rsidR="00992FD0" w:rsidRPr="00EC250C">
        <w:rPr>
          <w:bCs/>
          <w:iCs/>
        </w:rPr>
        <w:t xml:space="preserve"> i </w:t>
      </w:r>
      <w:r w:rsidR="00DB6938" w:rsidRPr="00EC250C">
        <w:rPr>
          <w:bCs/>
          <w:iCs/>
        </w:rPr>
        <w:t>zabijania zwierzyny podczas szkoleń ptaków łowczych</w:t>
      </w:r>
      <w:r w:rsidR="00992FD0" w:rsidRPr="00EC250C">
        <w:rPr>
          <w:bCs/>
          <w:iCs/>
        </w:rPr>
        <w:t xml:space="preserve"> i </w:t>
      </w:r>
      <w:r w:rsidR="00DB6938" w:rsidRPr="00EC250C">
        <w:rPr>
          <w:bCs/>
          <w:iCs/>
        </w:rPr>
        <w:t>psów myśliwskich, organizowanych przez Polski Związek Łowiecki.</w:t>
      </w:r>
    </w:p>
    <w:p w14:paraId="7BD9C522" w14:textId="77777777" w:rsidR="00C91F6E" w:rsidRPr="00EC250C" w:rsidRDefault="008145BC" w:rsidP="00D131FA">
      <w:pPr>
        <w:pStyle w:val="Styl1"/>
        <w:rPr>
          <w:bCs/>
          <w:iCs/>
        </w:rPr>
      </w:pPr>
      <w:r w:rsidRPr="00EC250C">
        <w:rPr>
          <w:bCs/>
          <w:iCs/>
        </w:rPr>
        <w:t>Grupa posłów zwraca uwagę, ze s</w:t>
      </w:r>
      <w:r w:rsidR="00DB6938" w:rsidRPr="00EC250C">
        <w:rPr>
          <w:bCs/>
          <w:iCs/>
        </w:rPr>
        <w:t>zkolenie psów</w:t>
      </w:r>
      <w:r w:rsidR="00992FD0" w:rsidRPr="00EC250C">
        <w:rPr>
          <w:bCs/>
          <w:iCs/>
        </w:rPr>
        <w:t xml:space="preserve"> i </w:t>
      </w:r>
      <w:r w:rsidR="00DB6938" w:rsidRPr="00EC250C">
        <w:rPr>
          <w:bCs/>
          <w:iCs/>
        </w:rPr>
        <w:t xml:space="preserve">ptaków </w:t>
      </w:r>
      <w:r w:rsidRPr="00EC250C">
        <w:rPr>
          <w:bCs/>
          <w:iCs/>
        </w:rPr>
        <w:t>to nie polowanie,</w:t>
      </w:r>
      <w:r w:rsidR="00992FD0" w:rsidRPr="00EC250C">
        <w:rPr>
          <w:bCs/>
          <w:iCs/>
        </w:rPr>
        <w:t xml:space="preserve"> a w </w:t>
      </w:r>
      <w:r w:rsidRPr="00EC250C">
        <w:rPr>
          <w:bCs/>
          <w:iCs/>
        </w:rPr>
        <w:t xml:space="preserve">toku prac legislacyjnych nie został uwzględniony wniosek, by </w:t>
      </w:r>
      <w:r w:rsidR="00DB6938" w:rsidRPr="00EC250C">
        <w:rPr>
          <w:bCs/>
          <w:iCs/>
        </w:rPr>
        <w:t>szkolenia mogą odbywać się zgodnie</w:t>
      </w:r>
      <w:r w:rsidR="00992FD0" w:rsidRPr="00EC250C">
        <w:rPr>
          <w:bCs/>
          <w:iCs/>
        </w:rPr>
        <w:t xml:space="preserve"> z </w:t>
      </w:r>
      <w:r w:rsidR="00DB6938" w:rsidRPr="00EC250C">
        <w:rPr>
          <w:bCs/>
          <w:iCs/>
        </w:rPr>
        <w:t>kalendarzem polowań lub</w:t>
      </w:r>
      <w:r w:rsidR="00992FD0" w:rsidRPr="00EC250C">
        <w:rPr>
          <w:bCs/>
          <w:iCs/>
        </w:rPr>
        <w:t xml:space="preserve"> z </w:t>
      </w:r>
      <w:r w:rsidR="00DB6938" w:rsidRPr="00EC250C">
        <w:rPr>
          <w:bCs/>
          <w:iCs/>
        </w:rPr>
        <w:t>wyjątkiem okresów ochronnych.</w:t>
      </w:r>
    </w:p>
    <w:p w14:paraId="6C6C93D3" w14:textId="77777777" w:rsidR="008145BC" w:rsidRPr="00EC250C" w:rsidRDefault="00D76DC6" w:rsidP="00D131FA">
      <w:pPr>
        <w:pStyle w:val="Styl1"/>
        <w:rPr>
          <w:bCs/>
          <w:iCs/>
        </w:rPr>
      </w:pPr>
      <w:r w:rsidRPr="00EC250C">
        <w:rPr>
          <w:bCs/>
          <w:iCs/>
        </w:rPr>
        <w:t>RPO</w:t>
      </w:r>
      <w:r w:rsidR="00DB6938" w:rsidRPr="00EC250C">
        <w:rPr>
          <w:bCs/>
          <w:iCs/>
        </w:rPr>
        <w:t xml:space="preserve"> zauważył, że zarówno kynologia myśliwska, jak</w:t>
      </w:r>
      <w:r w:rsidR="00992FD0" w:rsidRPr="00EC250C">
        <w:rPr>
          <w:bCs/>
          <w:iCs/>
        </w:rPr>
        <w:t xml:space="preserve"> i </w:t>
      </w:r>
      <w:r w:rsidR="00DB6938" w:rsidRPr="00EC250C">
        <w:rPr>
          <w:bCs/>
          <w:iCs/>
        </w:rPr>
        <w:t>sokolnictwo stanowią istotny element polskiej tradycji łowieckiej. Nie ulega wątpliwości, że</w:t>
      </w:r>
      <w:r w:rsidR="00992FD0" w:rsidRPr="00EC250C">
        <w:rPr>
          <w:bCs/>
          <w:iCs/>
        </w:rPr>
        <w:t xml:space="preserve"> w </w:t>
      </w:r>
      <w:r w:rsidR="00DB6938" w:rsidRPr="00EC250C">
        <w:rPr>
          <w:bCs/>
          <w:iCs/>
        </w:rPr>
        <w:t>Polsce łowiectwo, włączając</w:t>
      </w:r>
      <w:r w:rsidR="00992FD0" w:rsidRPr="00EC250C">
        <w:rPr>
          <w:bCs/>
          <w:iCs/>
        </w:rPr>
        <w:t xml:space="preserve"> w </w:t>
      </w:r>
      <w:r w:rsidR="00DB6938" w:rsidRPr="00EC250C">
        <w:rPr>
          <w:bCs/>
          <w:iCs/>
        </w:rPr>
        <w:t>nie szkolenie psów myśliwskich</w:t>
      </w:r>
      <w:r w:rsidR="00992FD0" w:rsidRPr="00EC250C">
        <w:rPr>
          <w:bCs/>
          <w:iCs/>
        </w:rPr>
        <w:t xml:space="preserve"> i </w:t>
      </w:r>
      <w:r w:rsidR="00DB6938" w:rsidRPr="00EC250C">
        <w:rPr>
          <w:bCs/>
          <w:iCs/>
        </w:rPr>
        <w:t>ptaków łowczych, jest żywą tradycją kultywowaną przez dużą grupę społeczną</w:t>
      </w:r>
      <w:r w:rsidR="00992FD0" w:rsidRPr="00EC250C">
        <w:rPr>
          <w:bCs/>
          <w:iCs/>
        </w:rPr>
        <w:t xml:space="preserve"> i </w:t>
      </w:r>
      <w:r w:rsidR="00DB6938" w:rsidRPr="00EC250C">
        <w:rPr>
          <w:bCs/>
          <w:iCs/>
        </w:rPr>
        <w:t>stanowiącą istotny element jej życia. Tradycja ta przekazywana jest</w:t>
      </w:r>
      <w:r w:rsidR="00992FD0" w:rsidRPr="00EC250C">
        <w:rPr>
          <w:bCs/>
          <w:iCs/>
        </w:rPr>
        <w:t xml:space="preserve"> z </w:t>
      </w:r>
      <w:r w:rsidR="00DB6938" w:rsidRPr="00EC250C">
        <w:rPr>
          <w:bCs/>
          <w:iCs/>
        </w:rPr>
        <w:t>pokolenia na pokolenie</w:t>
      </w:r>
      <w:r w:rsidR="00992FD0" w:rsidRPr="00EC250C">
        <w:rPr>
          <w:bCs/>
          <w:iCs/>
        </w:rPr>
        <w:t xml:space="preserve"> i </w:t>
      </w:r>
      <w:r w:rsidR="00DB6938" w:rsidRPr="00EC250C">
        <w:rPr>
          <w:bCs/>
          <w:iCs/>
        </w:rPr>
        <w:t xml:space="preserve">stanowi ważny aspekt tożsamości członków wskazanej grupy społecznej. Z przepisów </w:t>
      </w:r>
      <w:r w:rsidR="008145BC" w:rsidRPr="00EC250C">
        <w:rPr>
          <w:bCs/>
          <w:iCs/>
        </w:rPr>
        <w:t>Konwencji UNESCO</w:t>
      </w:r>
      <w:r w:rsidR="00992FD0" w:rsidRPr="00EC250C">
        <w:rPr>
          <w:bCs/>
          <w:iCs/>
        </w:rPr>
        <w:t xml:space="preserve"> w </w:t>
      </w:r>
      <w:r w:rsidR="008145BC" w:rsidRPr="00EC250C">
        <w:rPr>
          <w:bCs/>
          <w:iCs/>
        </w:rPr>
        <w:t>sprawie ochrony niematerialnego dziedzictwa kulturowego</w:t>
      </w:r>
      <w:r w:rsidR="008145BC" w:rsidRPr="00EC250C">
        <w:rPr>
          <w:rStyle w:val="Odwoanieprzypisudolnego"/>
          <w:bCs/>
          <w:iCs/>
        </w:rPr>
        <w:footnoteReference w:id="630"/>
      </w:r>
      <w:r w:rsidR="00A0729C" w:rsidRPr="00EC250C">
        <w:rPr>
          <w:bCs/>
          <w:iCs/>
        </w:rPr>
        <w:t xml:space="preserve"> </w:t>
      </w:r>
      <w:r w:rsidR="00DB6938" w:rsidRPr="00EC250C">
        <w:rPr>
          <w:bCs/>
          <w:iCs/>
        </w:rPr>
        <w:t>wynika więc obowiązek podjęcia przez Polskę działań mających na celu zapewnienie możliwości rozwoju sokolnictwa jako praktyki kulturowej</w:t>
      </w:r>
      <w:r w:rsidR="00992FD0" w:rsidRPr="00EC250C">
        <w:rPr>
          <w:bCs/>
          <w:iCs/>
        </w:rPr>
        <w:t xml:space="preserve"> i </w:t>
      </w:r>
      <w:r w:rsidR="00DB6938" w:rsidRPr="00EC250C">
        <w:rPr>
          <w:bCs/>
          <w:iCs/>
        </w:rPr>
        <w:t>swobodnego do niej dostępu.</w:t>
      </w:r>
    </w:p>
    <w:p w14:paraId="1C6FE3D7" w14:textId="77777777" w:rsidR="00203C9C" w:rsidRPr="00EC250C" w:rsidRDefault="00203C9C" w:rsidP="00EC250C">
      <w:pPr>
        <w:pStyle w:val="Nagwek8"/>
      </w:pPr>
      <w:r w:rsidRPr="00EC250C">
        <w:rPr>
          <w:rStyle w:val="Nagwek8Znak"/>
          <w:b/>
          <w:bCs/>
          <w:i/>
          <w:shd w:val="clear" w:color="auto" w:fill="auto"/>
        </w:rPr>
        <w:t>Ograniczenie sprzeda</w:t>
      </w:r>
      <w:r w:rsidRPr="00EC250C">
        <w:rPr>
          <w:rStyle w:val="Nagwek8Znak"/>
          <w:rFonts w:hint="eastAsia"/>
          <w:b/>
          <w:bCs/>
          <w:i/>
          <w:shd w:val="clear" w:color="auto" w:fill="auto"/>
        </w:rPr>
        <w:t>ż</w:t>
      </w:r>
      <w:r w:rsidRPr="00EC250C">
        <w:rPr>
          <w:rStyle w:val="Nagwek8Znak"/>
          <w:b/>
          <w:bCs/>
          <w:i/>
          <w:shd w:val="clear" w:color="auto" w:fill="auto"/>
        </w:rPr>
        <w:t>y bilet</w:t>
      </w:r>
      <w:r w:rsidRPr="00EC250C">
        <w:rPr>
          <w:rStyle w:val="Nagwek8Znak"/>
          <w:rFonts w:hint="eastAsia"/>
          <w:b/>
          <w:bCs/>
          <w:i/>
          <w:shd w:val="clear" w:color="auto" w:fill="auto"/>
        </w:rPr>
        <w:t>ó</w:t>
      </w:r>
      <w:r w:rsidRPr="00EC250C">
        <w:rPr>
          <w:rStyle w:val="Nagwek8Znak"/>
          <w:b/>
          <w:bCs/>
          <w:i/>
          <w:shd w:val="clear" w:color="auto" w:fill="auto"/>
        </w:rPr>
        <w:t>w na mecz pi</w:t>
      </w:r>
      <w:r w:rsidRPr="00EC250C">
        <w:rPr>
          <w:rStyle w:val="Nagwek8Znak"/>
          <w:rFonts w:hint="eastAsia"/>
          <w:b/>
          <w:bCs/>
          <w:i/>
          <w:shd w:val="clear" w:color="auto" w:fill="auto"/>
        </w:rPr>
        <w:t>ł</w:t>
      </w:r>
      <w:r w:rsidRPr="00EC250C">
        <w:rPr>
          <w:rStyle w:val="Nagwek8Znak"/>
          <w:b/>
          <w:bCs/>
          <w:i/>
          <w:shd w:val="clear" w:color="auto" w:fill="auto"/>
        </w:rPr>
        <w:t>ki no</w:t>
      </w:r>
      <w:r w:rsidRPr="00EC250C">
        <w:rPr>
          <w:rStyle w:val="Nagwek8Znak"/>
          <w:rFonts w:hint="eastAsia"/>
          <w:b/>
          <w:bCs/>
          <w:i/>
          <w:shd w:val="clear" w:color="auto" w:fill="auto"/>
        </w:rPr>
        <w:t>ż</w:t>
      </w:r>
      <w:r w:rsidRPr="00EC250C">
        <w:rPr>
          <w:rStyle w:val="Nagwek8Znak"/>
          <w:b/>
          <w:bCs/>
          <w:i/>
          <w:shd w:val="clear" w:color="auto" w:fill="auto"/>
        </w:rPr>
        <w:t>nej</w:t>
      </w:r>
    </w:p>
    <w:p w14:paraId="0B846F06" w14:textId="77777777" w:rsidR="008145BC" w:rsidRPr="00EC250C" w:rsidRDefault="00203C9C" w:rsidP="00D131FA">
      <w:pPr>
        <w:pStyle w:val="Styl2"/>
        <w:rPr>
          <w:bCs w:val="0"/>
          <w:iCs w:val="0"/>
          <w:spacing w:val="5"/>
          <w:szCs w:val="24"/>
        </w:rPr>
      </w:pPr>
      <w:r w:rsidRPr="00EC250C">
        <w:rPr>
          <w:szCs w:val="24"/>
        </w:rPr>
        <w:t xml:space="preserve">Klub Sportowy Ursus Warszawa odmówił kibicom z Łodzi sprzedaży biletów na mecz KS Ursus Warszawa – RTS Widzew Łódź. Zakazem objęci byli kibice indywidualni (niebędący zorganizowaną grupą), zameldowani poza terenem woj. mazowieckiego. W pismach do Prezesa </w:t>
      </w:r>
      <w:r w:rsidR="006074CA" w:rsidRPr="00EC250C">
        <w:rPr>
          <w:szCs w:val="24"/>
        </w:rPr>
        <w:t xml:space="preserve">Klubu </w:t>
      </w:r>
      <w:r w:rsidRPr="00EC250C">
        <w:rPr>
          <w:szCs w:val="24"/>
        </w:rPr>
        <w:t>RPO podkreślił, że działania na rzecz zapewnienia bezpieczeństwa na imprezach masowych nie mogą prowadzić do ograniczania konstytucyjnego prawa do równego dostępu do dóbr kultury. Po interwencji RPO Prezes Klubu poinformował, że podjęto decyzję o zmianie praktyki, aby każdy kibic niezależnie od miejsca zamieszkania mógł kupić bilet na mecz</w:t>
      </w:r>
      <w:r w:rsidRPr="00EC250C">
        <w:rPr>
          <w:rStyle w:val="Odwoanieprzypisudolnego"/>
          <w:szCs w:val="24"/>
        </w:rPr>
        <w:footnoteReference w:id="631"/>
      </w:r>
      <w:r w:rsidRPr="00EC250C">
        <w:rPr>
          <w:szCs w:val="24"/>
        </w:rPr>
        <w:t>.</w:t>
      </w:r>
      <w:r w:rsidR="008145BC" w:rsidRPr="00EC250C">
        <w:rPr>
          <w:bCs w:val="0"/>
          <w:iCs w:val="0"/>
          <w:szCs w:val="24"/>
        </w:rPr>
        <w:br w:type="page"/>
      </w:r>
    </w:p>
    <w:p w14:paraId="72A3EA54" w14:textId="77777777" w:rsidR="00C91F6E" w:rsidRPr="00EC250C" w:rsidRDefault="00DB6938" w:rsidP="00EC250C">
      <w:pPr>
        <w:pStyle w:val="Nagwek3"/>
      </w:pPr>
      <w:r w:rsidRPr="00EC250C">
        <w:lastRenderedPageBreak/>
        <w:t xml:space="preserve"> </w:t>
      </w:r>
      <w:bookmarkStart w:id="640" w:name="_Toc6257923"/>
      <w:bookmarkStart w:id="641" w:name="_Toc11247801"/>
      <w:r w:rsidR="005A0742" w:rsidRPr="00EC250C">
        <w:t xml:space="preserve">Art. 74 </w:t>
      </w:r>
      <w:r w:rsidR="001F2603" w:rsidRPr="00EC250C">
        <w:t xml:space="preserve">Konstytucji </w:t>
      </w:r>
      <w:r w:rsidR="005A0742" w:rsidRPr="00EC250C">
        <w:t>– Bezpieczeństwo ekologiczne oraz ochrona środowiska</w:t>
      </w:r>
      <w:bookmarkEnd w:id="640"/>
      <w:bookmarkEnd w:id="641"/>
    </w:p>
    <w:p w14:paraId="15619EB7" w14:textId="77777777" w:rsidR="005A0742" w:rsidRPr="00EC250C" w:rsidRDefault="005A0742" w:rsidP="00D131FA">
      <w:pPr>
        <w:pStyle w:val="konstytucja"/>
        <w:jc w:val="both"/>
      </w:pPr>
      <w:r w:rsidRPr="00EC250C">
        <w:t>1. Władze publiczne prowadzą politykę zapewniającą bezpieczeństwo ekologiczne współczesnemu</w:t>
      </w:r>
      <w:r w:rsidR="00992FD0" w:rsidRPr="00EC250C">
        <w:t xml:space="preserve"> i </w:t>
      </w:r>
      <w:r w:rsidRPr="00EC250C">
        <w:t>przyszłym pokoleniom.</w:t>
      </w:r>
    </w:p>
    <w:p w14:paraId="5D12923E" w14:textId="77777777" w:rsidR="005A0742" w:rsidRPr="00EC250C" w:rsidRDefault="005A0742" w:rsidP="00D131FA">
      <w:pPr>
        <w:pStyle w:val="konstytucja"/>
        <w:jc w:val="both"/>
      </w:pPr>
      <w:r w:rsidRPr="00EC250C">
        <w:t>2. Ochrona środowiska jest obowiązkiem władz publicznych.</w:t>
      </w:r>
    </w:p>
    <w:p w14:paraId="2C814478" w14:textId="77777777" w:rsidR="005A0742" w:rsidRPr="00EC250C" w:rsidRDefault="005A0742" w:rsidP="00D131FA">
      <w:pPr>
        <w:pStyle w:val="konstytucja"/>
        <w:jc w:val="both"/>
      </w:pPr>
      <w:r w:rsidRPr="00EC250C">
        <w:t>3. Każdy ma prawo do informacji</w:t>
      </w:r>
      <w:r w:rsidR="00992FD0" w:rsidRPr="00EC250C">
        <w:t xml:space="preserve"> o </w:t>
      </w:r>
      <w:r w:rsidRPr="00EC250C">
        <w:t>stanie</w:t>
      </w:r>
      <w:r w:rsidR="00992FD0" w:rsidRPr="00EC250C">
        <w:t xml:space="preserve"> i </w:t>
      </w:r>
      <w:r w:rsidRPr="00EC250C">
        <w:t>ochronie środowiska.</w:t>
      </w:r>
    </w:p>
    <w:p w14:paraId="762C714E" w14:textId="77777777" w:rsidR="005A0742" w:rsidRPr="00EC250C" w:rsidRDefault="005A0742" w:rsidP="00D131FA">
      <w:pPr>
        <w:pStyle w:val="konstytucja"/>
        <w:jc w:val="both"/>
      </w:pPr>
      <w:r w:rsidRPr="00EC250C">
        <w:t>4. Władze publiczne wspierają działania obywateli na rzecz ochrony</w:t>
      </w:r>
      <w:r w:rsidR="00992FD0" w:rsidRPr="00EC250C">
        <w:t xml:space="preserve"> i </w:t>
      </w:r>
      <w:r w:rsidRPr="00EC250C">
        <w:t>poprawy stanu środowiska.</w:t>
      </w:r>
    </w:p>
    <w:p w14:paraId="2203A2A4" w14:textId="77777777" w:rsidR="00C91F6E" w:rsidRPr="00EC250C" w:rsidRDefault="008145BC" w:rsidP="00D131FA">
      <w:pPr>
        <w:pStyle w:val="ComwiKonstytucja"/>
      </w:pPr>
      <w:r w:rsidRPr="00EC250C">
        <w:t>Ochrona środowiska jest jedną</w:t>
      </w:r>
      <w:r w:rsidR="00992FD0" w:rsidRPr="00EC250C">
        <w:t xml:space="preserve"> z </w:t>
      </w:r>
      <w:r w:rsidRPr="00EC250C">
        <w:t>zasadniczych wartości chronionych przez Konstytucję. Rzeczpospolita Polska zapewnia ochronę środowiska, kierując się zasadą zrównoważonego rozwoju, zaś władze publiczne mają obowiązek ochrony środowiska</w:t>
      </w:r>
      <w:r w:rsidR="00992FD0" w:rsidRPr="00EC250C">
        <w:t xml:space="preserve"> i </w:t>
      </w:r>
      <w:r w:rsidRPr="00EC250C">
        <w:t>prowadzenia polityki zapewniającej bezpieczeństwo ekologiczne współczesnemu</w:t>
      </w:r>
      <w:r w:rsidR="00992FD0" w:rsidRPr="00EC250C">
        <w:t xml:space="preserve"> i </w:t>
      </w:r>
      <w:r w:rsidRPr="00EC250C">
        <w:t>przyszłym pokoleniom.</w:t>
      </w:r>
    </w:p>
    <w:p w14:paraId="0083373D" w14:textId="77777777" w:rsidR="00C91F6E" w:rsidRPr="00EC250C" w:rsidRDefault="008145BC" w:rsidP="00D131FA">
      <w:pPr>
        <w:pStyle w:val="ComwiKonstytucja"/>
      </w:pPr>
      <w:r w:rsidRPr="00EC250C">
        <w:t>Artykuł 74 przede wszystkim formułuje zadania</w:t>
      </w:r>
      <w:r w:rsidR="00992FD0" w:rsidRPr="00EC250C">
        <w:t xml:space="preserve"> i </w:t>
      </w:r>
      <w:r w:rsidRPr="00EC250C">
        <w:t>obowiązki władz publicznych</w:t>
      </w:r>
      <w:r w:rsidR="00992FD0" w:rsidRPr="00EC250C">
        <w:t xml:space="preserve"> i </w:t>
      </w:r>
      <w:r w:rsidRPr="00EC250C">
        <w:t>tworzy zasadę polityki państwa. Dwa zasadnicze obowiązki to ochrona środowiska (ust. 2) oraz wspieranie odpowiednich działań obywateli (ust 4). Ochrona środowiska to całokształt działań</w:t>
      </w:r>
      <w:r w:rsidR="00992FD0" w:rsidRPr="00EC250C">
        <w:t xml:space="preserve"> i </w:t>
      </w:r>
      <w:r w:rsidRPr="00EC250C">
        <w:t>narzędzi, które przeciwdziałają pogorszaniu się stanu środowiska. Warto podkreślić</w:t>
      </w:r>
      <w:r w:rsidR="00992FD0" w:rsidRPr="00EC250C">
        <w:t xml:space="preserve"> w </w:t>
      </w:r>
      <w:r w:rsidRPr="00EC250C">
        <w:t>tym kontekście przeciwdziałanie negatywnym dla zdrowia skutkom degradacji środowiska (art. 68 ust. 4).</w:t>
      </w:r>
    </w:p>
    <w:p w14:paraId="44EAC17A" w14:textId="77777777" w:rsidR="008145BC" w:rsidRPr="00EC250C" w:rsidRDefault="008145BC" w:rsidP="00D131FA">
      <w:pPr>
        <w:pStyle w:val="ComwiKonstytucja"/>
      </w:pPr>
      <w:r w:rsidRPr="00EC250C">
        <w:t>Ustęp trzeci formułuje prawo podmiotowe (obywateli</w:t>
      </w:r>
      <w:r w:rsidR="00992FD0" w:rsidRPr="00EC250C">
        <w:t xml:space="preserve"> i </w:t>
      </w:r>
      <w:r w:rsidRPr="00EC250C">
        <w:t>cudzoziemców) do informacji</w:t>
      </w:r>
      <w:r w:rsidR="00992FD0" w:rsidRPr="00EC250C">
        <w:t xml:space="preserve"> o </w:t>
      </w:r>
      <w:r w:rsidRPr="00EC250C">
        <w:t>stanie</w:t>
      </w:r>
      <w:r w:rsidR="00992FD0" w:rsidRPr="00EC250C">
        <w:t xml:space="preserve"> i </w:t>
      </w:r>
      <w:r w:rsidRPr="00EC250C">
        <w:t>ochronie środowiska. Jest to konkretyzacja szerszego prawa do informacji (art. 54</w:t>
      </w:r>
      <w:r w:rsidR="00992FD0" w:rsidRPr="00EC250C">
        <w:t xml:space="preserve"> i </w:t>
      </w:r>
      <w:r w:rsidRPr="00EC250C">
        <w:t>art. 61).</w:t>
      </w:r>
    </w:p>
    <w:p w14:paraId="7D0D4680" w14:textId="77777777" w:rsidR="008145BC" w:rsidRPr="00EC250C" w:rsidRDefault="008145BC" w:rsidP="00D131FA">
      <w:pPr>
        <w:pStyle w:val="ComwiKonstytucja"/>
      </w:pPr>
      <w:r w:rsidRPr="00EC250C">
        <w:t xml:space="preserve"> Adresatem tych obowiązków są władze publiczne.</w:t>
      </w:r>
    </w:p>
    <w:p w14:paraId="0156985C" w14:textId="77777777" w:rsidR="003E4DBD" w:rsidRPr="00EC250C" w:rsidRDefault="003E4DBD" w:rsidP="00D131FA">
      <w:pPr>
        <w:pStyle w:val="ComwiKonstytucja"/>
      </w:pPr>
    </w:p>
    <w:p w14:paraId="721FBEA3" w14:textId="77777777" w:rsidR="008145BC" w:rsidRPr="00EC250C" w:rsidRDefault="008145BC" w:rsidP="00D131FA">
      <w:pPr>
        <w:spacing w:after="200" w:line="24" w:lineRule="auto"/>
        <w:jc w:val="both"/>
        <w:rPr>
          <w:spacing w:val="5"/>
          <w:sz w:val="24"/>
        </w:rPr>
      </w:pPr>
      <w:r w:rsidRPr="00EC250C">
        <w:rPr>
          <w:sz w:val="24"/>
        </w:rPr>
        <w:br w:type="page"/>
      </w:r>
    </w:p>
    <w:p w14:paraId="46E15C6A" w14:textId="77777777" w:rsidR="008145BC" w:rsidRPr="00EC250C" w:rsidRDefault="008145BC" w:rsidP="00EC79EB">
      <w:pPr>
        <w:pStyle w:val="Nagwek4"/>
      </w:pPr>
      <w:bookmarkStart w:id="642" w:name="_Toc6257924"/>
      <w:bookmarkStart w:id="643" w:name="_Toc11247802"/>
      <w:r w:rsidRPr="00EC250C">
        <w:lastRenderedPageBreak/>
        <w:t>Smog</w:t>
      </w:r>
      <w:bookmarkEnd w:id="642"/>
      <w:r w:rsidR="00992FD0" w:rsidRPr="00EC250C">
        <w:t xml:space="preserve"> w </w:t>
      </w:r>
      <w:r w:rsidR="003565B8" w:rsidRPr="00EC250C">
        <w:t>małych</w:t>
      </w:r>
      <w:r w:rsidR="00992FD0" w:rsidRPr="00EC250C">
        <w:t xml:space="preserve"> i </w:t>
      </w:r>
      <w:r w:rsidR="003565B8" w:rsidRPr="00EC250C">
        <w:t>dużych miejscowościach</w:t>
      </w:r>
      <w:bookmarkEnd w:id="643"/>
    </w:p>
    <w:p w14:paraId="4EA334C9" w14:textId="77777777" w:rsidR="00B473F5" w:rsidRPr="00EC250C" w:rsidRDefault="00D52B5C" w:rsidP="00D131FA">
      <w:pPr>
        <w:pStyle w:val="Problemczowieka"/>
        <w:jc w:val="both"/>
        <w:rPr>
          <w:lang w:eastAsia="en-US"/>
        </w:rPr>
      </w:pPr>
      <w:r w:rsidRPr="00EC250C">
        <w:rPr>
          <w:lang w:eastAsia="en-US"/>
        </w:rPr>
        <w:t>Problem smogu</w:t>
      </w:r>
      <w:r w:rsidR="00992FD0" w:rsidRPr="00EC250C">
        <w:rPr>
          <w:lang w:eastAsia="en-US"/>
        </w:rPr>
        <w:t xml:space="preserve"> i </w:t>
      </w:r>
      <w:r w:rsidRPr="00EC250C">
        <w:rPr>
          <w:lang w:eastAsia="en-US"/>
        </w:rPr>
        <w:t>zanieczyszczenia powietrza dotyczy całego kraju.</w:t>
      </w:r>
      <w:r w:rsidR="00B473F5" w:rsidRPr="00EC250C">
        <w:rPr>
          <w:lang w:eastAsia="en-US"/>
        </w:rPr>
        <w:t>.</w:t>
      </w:r>
    </w:p>
    <w:p w14:paraId="662CDA89" w14:textId="77777777" w:rsidR="00BC1077" w:rsidRPr="00EC250C" w:rsidRDefault="00D52B5C" w:rsidP="00D131FA">
      <w:pPr>
        <w:pStyle w:val="Styl1"/>
        <w:rPr>
          <w:lang w:eastAsia="en-US"/>
        </w:rPr>
      </w:pPr>
      <w:r w:rsidRPr="00EC250C">
        <w:rPr>
          <w:lang w:eastAsia="en-US"/>
        </w:rPr>
        <w:t>RPO</w:t>
      </w:r>
      <w:r w:rsidR="00992FD0" w:rsidRPr="00EC250C">
        <w:rPr>
          <w:lang w:eastAsia="en-US"/>
        </w:rPr>
        <w:t xml:space="preserve"> w </w:t>
      </w:r>
      <w:r w:rsidRPr="00EC250C">
        <w:rPr>
          <w:lang w:eastAsia="en-US"/>
        </w:rPr>
        <w:t>swych działaniach</w:t>
      </w:r>
      <w:r w:rsidR="00992FD0" w:rsidRPr="00EC250C">
        <w:rPr>
          <w:lang w:eastAsia="en-US"/>
        </w:rPr>
        <w:t xml:space="preserve"> w </w:t>
      </w:r>
      <w:r w:rsidRPr="00EC250C">
        <w:rPr>
          <w:lang w:eastAsia="en-US"/>
        </w:rPr>
        <w:t>2018</w:t>
      </w:r>
      <w:r w:rsidR="00C91F6E" w:rsidRPr="00EC250C">
        <w:rPr>
          <w:lang w:eastAsia="en-US"/>
        </w:rPr>
        <w:t> r.</w:t>
      </w:r>
      <w:r w:rsidRPr="00EC250C">
        <w:rPr>
          <w:lang w:eastAsia="en-US"/>
        </w:rPr>
        <w:t xml:space="preserve"> wskazywał na luki systemowe</w:t>
      </w:r>
      <w:r w:rsidR="00992FD0" w:rsidRPr="00EC250C">
        <w:rPr>
          <w:lang w:eastAsia="en-US"/>
        </w:rPr>
        <w:t xml:space="preserve"> i </w:t>
      </w:r>
      <w:r w:rsidRPr="00EC250C">
        <w:rPr>
          <w:lang w:eastAsia="en-US"/>
        </w:rPr>
        <w:t>proponował rozwiązania dotyczące zmian przepisów, ale także wspierał obywateli</w:t>
      </w:r>
      <w:r w:rsidR="00992FD0" w:rsidRPr="00EC250C">
        <w:rPr>
          <w:lang w:eastAsia="en-US"/>
        </w:rPr>
        <w:t xml:space="preserve"> w </w:t>
      </w:r>
      <w:r w:rsidRPr="00EC250C">
        <w:rPr>
          <w:lang w:eastAsia="en-US"/>
        </w:rPr>
        <w:t>ich indywidualnych sprawach ułatwiając nawiązywanie kontaktów</w:t>
      </w:r>
      <w:r w:rsidR="00992FD0" w:rsidRPr="00EC250C">
        <w:rPr>
          <w:lang w:eastAsia="en-US"/>
        </w:rPr>
        <w:t xml:space="preserve"> i </w:t>
      </w:r>
      <w:r w:rsidRPr="00EC250C">
        <w:rPr>
          <w:lang w:eastAsia="en-US"/>
        </w:rPr>
        <w:t>dzielenie się wiedzą. Przystąpił też do sprawy obywatela, któremu poziom smogu</w:t>
      </w:r>
      <w:r w:rsidR="00992FD0" w:rsidRPr="00EC250C">
        <w:rPr>
          <w:lang w:eastAsia="en-US"/>
        </w:rPr>
        <w:t xml:space="preserve"> w </w:t>
      </w:r>
      <w:r w:rsidRPr="00EC250C">
        <w:rPr>
          <w:lang w:eastAsia="en-US"/>
        </w:rPr>
        <w:t>rodzinnym Rybniku uniemożliwia już normalne funkcjonowanie</w:t>
      </w:r>
      <w:r w:rsidR="00BC1077" w:rsidRPr="00EC250C">
        <w:rPr>
          <w:lang w:eastAsia="en-US"/>
        </w:rPr>
        <w:t>.</w:t>
      </w:r>
    </w:p>
    <w:p w14:paraId="61C8999A" w14:textId="77777777" w:rsidR="008145BC" w:rsidRPr="00EC250C" w:rsidRDefault="008145BC" w:rsidP="00EC250C">
      <w:pPr>
        <w:pStyle w:val="Nagwek8"/>
      </w:pPr>
      <w:r w:rsidRPr="00EC250C">
        <w:t>Zadośćuczynienie za smog</w:t>
      </w:r>
      <w:r w:rsidR="00992FD0" w:rsidRPr="00EC250C">
        <w:t xml:space="preserve"> w </w:t>
      </w:r>
      <w:r w:rsidRPr="00EC250C">
        <w:t>Rybniku</w:t>
      </w:r>
    </w:p>
    <w:p w14:paraId="67B98EFF" w14:textId="77777777" w:rsidR="00C91F6E" w:rsidRPr="00EC250C" w:rsidRDefault="00BC1077" w:rsidP="00D131FA">
      <w:pPr>
        <w:pStyle w:val="Styl2"/>
        <w:rPr>
          <w:szCs w:val="24"/>
          <w:bdr w:val="none" w:sz="0" w:space="0" w:color="auto" w:frame="1"/>
        </w:rPr>
      </w:pPr>
      <w:r w:rsidRPr="00EC250C">
        <w:rPr>
          <w:rFonts w:hint="eastAsia"/>
          <w:szCs w:val="24"/>
          <w:bdr w:val="none" w:sz="0" w:space="0" w:color="auto" w:frame="1"/>
        </w:rPr>
        <w:t>„</w:t>
      </w:r>
      <w:bookmarkStart w:id="644" w:name="_Hlk8211024"/>
      <w:r w:rsidRPr="00EC250C">
        <w:rPr>
          <w:szCs w:val="24"/>
          <w:bdr w:val="none" w:sz="0" w:space="0" w:color="auto" w:frame="1"/>
        </w:rPr>
        <w:t>Nie mogę wyjść</w:t>
      </w:r>
      <w:r w:rsidR="00992FD0" w:rsidRPr="00EC250C">
        <w:rPr>
          <w:szCs w:val="24"/>
          <w:bdr w:val="none" w:sz="0" w:space="0" w:color="auto" w:frame="1"/>
        </w:rPr>
        <w:t xml:space="preserve"> z </w:t>
      </w:r>
      <w:r w:rsidRPr="00EC250C">
        <w:rPr>
          <w:szCs w:val="24"/>
          <w:bdr w:val="none" w:sz="0" w:space="0" w:color="auto" w:frame="1"/>
        </w:rPr>
        <w:t>dziećmi na spacer, nie mogę uprawiać sportu na powietrzu,</w:t>
      </w:r>
      <w:r w:rsidR="00992FD0" w:rsidRPr="00EC250C">
        <w:rPr>
          <w:szCs w:val="24"/>
          <w:bdr w:val="none" w:sz="0" w:space="0" w:color="auto" w:frame="1"/>
        </w:rPr>
        <w:t xml:space="preserve"> a w </w:t>
      </w:r>
      <w:r w:rsidRPr="00EC250C">
        <w:rPr>
          <w:szCs w:val="24"/>
          <w:bdr w:val="none" w:sz="0" w:space="0" w:color="auto" w:frame="1"/>
        </w:rPr>
        <w:t xml:space="preserve">domu cały czas pracuje oczyszczacz powietrza”. </w:t>
      </w:r>
      <w:bookmarkEnd w:id="644"/>
      <w:r w:rsidRPr="00EC250C">
        <w:rPr>
          <w:szCs w:val="24"/>
          <w:bdr w:val="none" w:sz="0" w:space="0" w:color="auto" w:frame="1"/>
        </w:rPr>
        <w:t xml:space="preserve">Sąd </w:t>
      </w:r>
      <w:r w:rsidR="003B08D6" w:rsidRPr="00EC250C">
        <w:rPr>
          <w:szCs w:val="24"/>
          <w:bdr w:val="none" w:sz="0" w:space="0" w:color="auto" w:frame="1"/>
        </w:rPr>
        <w:t>R</w:t>
      </w:r>
      <w:r w:rsidRPr="00EC250C">
        <w:rPr>
          <w:szCs w:val="24"/>
          <w:bdr w:val="none" w:sz="0" w:space="0" w:color="auto" w:frame="1"/>
        </w:rPr>
        <w:t xml:space="preserve">ejonowy </w:t>
      </w:r>
      <w:r w:rsidR="003B08D6" w:rsidRPr="00EC250C">
        <w:rPr>
          <w:szCs w:val="24"/>
          <w:bdr w:val="none" w:sz="0" w:space="0" w:color="auto" w:frame="1"/>
        </w:rPr>
        <w:t xml:space="preserve">w Rybniku </w:t>
      </w:r>
      <w:r w:rsidRPr="00EC250C">
        <w:rPr>
          <w:szCs w:val="24"/>
          <w:bdr w:val="none" w:sz="0" w:space="0" w:color="auto" w:frame="1"/>
        </w:rPr>
        <w:t>nie dopatrzył się</w:t>
      </w:r>
      <w:r w:rsidR="00992FD0" w:rsidRPr="00EC250C">
        <w:rPr>
          <w:szCs w:val="24"/>
          <w:bdr w:val="none" w:sz="0" w:space="0" w:color="auto" w:frame="1"/>
        </w:rPr>
        <w:t xml:space="preserve"> w </w:t>
      </w:r>
      <w:r w:rsidRPr="00EC250C">
        <w:rPr>
          <w:szCs w:val="24"/>
          <w:bdr w:val="none" w:sz="0" w:space="0" w:color="auto" w:frame="1"/>
        </w:rPr>
        <w:t xml:space="preserve">tym stanie rzeczy naruszenia dóbr osobistych mieszkańca </w:t>
      </w:r>
      <w:r w:rsidR="003B08D6" w:rsidRPr="00EC250C">
        <w:rPr>
          <w:szCs w:val="24"/>
          <w:bdr w:val="none" w:sz="0" w:space="0" w:color="auto" w:frame="1"/>
        </w:rPr>
        <w:t>miasta</w:t>
      </w:r>
      <w:r w:rsidR="001F2603" w:rsidRPr="00EC250C">
        <w:rPr>
          <w:rStyle w:val="Odwoanieprzypisudolnego"/>
          <w:szCs w:val="24"/>
          <w:bdr w:val="none" w:sz="0" w:space="0" w:color="auto" w:frame="1"/>
        </w:rPr>
        <w:footnoteReference w:id="632"/>
      </w:r>
      <w:r w:rsidRPr="00EC250C">
        <w:rPr>
          <w:szCs w:val="24"/>
          <w:bdr w:val="none" w:sz="0" w:space="0" w:color="auto" w:frame="1"/>
        </w:rPr>
        <w:t>, dlatego</w:t>
      </w:r>
      <w:r w:rsidR="00992FD0" w:rsidRPr="00EC250C">
        <w:rPr>
          <w:szCs w:val="24"/>
          <w:bdr w:val="none" w:sz="0" w:space="0" w:color="auto" w:frame="1"/>
        </w:rPr>
        <w:t xml:space="preserve"> w </w:t>
      </w:r>
      <w:r w:rsidRPr="00EC250C">
        <w:rPr>
          <w:szCs w:val="24"/>
          <w:bdr w:val="none" w:sz="0" w:space="0" w:color="auto" w:frame="1"/>
        </w:rPr>
        <w:t>II instancji RPO przyłączył się do jego sprawy</w:t>
      </w:r>
      <w:r w:rsidRPr="00EC250C">
        <w:rPr>
          <w:szCs w:val="24"/>
          <w:vertAlign w:val="superscript"/>
        </w:rPr>
        <w:footnoteReference w:id="633"/>
      </w:r>
      <w:r w:rsidRPr="00EC250C">
        <w:rPr>
          <w:szCs w:val="24"/>
          <w:bdr w:val="none" w:sz="0" w:space="0" w:color="auto" w:frame="1"/>
        </w:rPr>
        <w:t>.</w:t>
      </w:r>
    </w:p>
    <w:p w14:paraId="54AFB59C" w14:textId="77777777" w:rsidR="00BC1077" w:rsidRPr="00EC250C" w:rsidRDefault="00BC1077" w:rsidP="00D131FA">
      <w:pPr>
        <w:pStyle w:val="Styl2"/>
        <w:rPr>
          <w:szCs w:val="24"/>
        </w:rPr>
      </w:pPr>
      <w:r w:rsidRPr="00EC250C">
        <w:rPr>
          <w:szCs w:val="24"/>
          <w:bdr w:val="none" w:sz="0" w:space="0" w:color="auto" w:frame="1"/>
        </w:rPr>
        <w:t xml:space="preserve">Zdaniem </w:t>
      </w:r>
      <w:r w:rsidR="00D76DC6" w:rsidRPr="00EC250C">
        <w:rPr>
          <w:szCs w:val="24"/>
          <w:bdr w:val="none" w:sz="0" w:space="0" w:color="auto" w:frame="1"/>
        </w:rPr>
        <w:t>RPO</w:t>
      </w:r>
      <w:r w:rsidRPr="00EC250C">
        <w:rPr>
          <w:szCs w:val="24"/>
          <w:bdr w:val="none" w:sz="0" w:space="0" w:color="auto" w:frame="1"/>
        </w:rPr>
        <w:t xml:space="preserve"> rybniczanin wykazał, że zanieczyszczenie powietrza</w:t>
      </w:r>
      <w:r w:rsidR="00992FD0" w:rsidRPr="00EC250C">
        <w:rPr>
          <w:szCs w:val="24"/>
          <w:bdr w:val="none" w:sz="0" w:space="0" w:color="auto" w:frame="1"/>
        </w:rPr>
        <w:t xml:space="preserve"> w </w:t>
      </w:r>
      <w:r w:rsidRPr="00EC250C">
        <w:rPr>
          <w:szCs w:val="24"/>
          <w:bdr w:val="none" w:sz="0" w:space="0" w:color="auto" w:frame="1"/>
        </w:rPr>
        <w:t>mieście przekracza znacznie akceptowalną społecznie miarę. W latach 2014-2015 poziom pyłu PM</w:t>
      </w:r>
      <w:r w:rsidRPr="00EC250C">
        <w:rPr>
          <w:szCs w:val="24"/>
          <w:bdr w:val="none" w:sz="0" w:space="0" w:color="auto" w:frame="1"/>
          <w:vertAlign w:val="subscript"/>
        </w:rPr>
        <w:t>10</w:t>
      </w:r>
      <w:r w:rsidRPr="00EC250C">
        <w:rPr>
          <w:szCs w:val="24"/>
          <w:bdr w:val="none" w:sz="0" w:space="0" w:color="auto" w:frame="1"/>
        </w:rPr>
        <w:t> przekroczony był</w:t>
      </w:r>
      <w:r w:rsidR="00992FD0" w:rsidRPr="00EC250C">
        <w:rPr>
          <w:szCs w:val="24"/>
          <w:bdr w:val="none" w:sz="0" w:space="0" w:color="auto" w:frame="1"/>
        </w:rPr>
        <w:t xml:space="preserve"> w </w:t>
      </w:r>
      <w:r w:rsidRPr="00EC250C">
        <w:rPr>
          <w:szCs w:val="24"/>
          <w:bdr w:val="none" w:sz="0" w:space="0" w:color="auto" w:frame="1"/>
        </w:rPr>
        <w:t>ciągu blisko 1/3 roku,</w:t>
      </w:r>
      <w:r w:rsidR="00992FD0" w:rsidRPr="00EC250C">
        <w:rPr>
          <w:szCs w:val="24"/>
          <w:bdr w:val="none" w:sz="0" w:space="0" w:color="auto" w:frame="1"/>
        </w:rPr>
        <w:t xml:space="preserve"> a w </w:t>
      </w:r>
      <w:r w:rsidRPr="00EC250C">
        <w:rPr>
          <w:szCs w:val="24"/>
          <w:bdr w:val="none" w:sz="0" w:space="0" w:color="auto" w:frame="1"/>
        </w:rPr>
        <w:t>rekordowym lutym 2015</w:t>
      </w:r>
      <w:r w:rsidR="00C91F6E" w:rsidRPr="00EC250C">
        <w:rPr>
          <w:szCs w:val="24"/>
          <w:bdr w:val="none" w:sz="0" w:space="0" w:color="auto" w:frame="1"/>
        </w:rPr>
        <w:t> r.</w:t>
      </w:r>
      <w:r w:rsidRPr="00EC250C">
        <w:rPr>
          <w:szCs w:val="24"/>
          <w:bdr w:val="none" w:sz="0" w:space="0" w:color="auto" w:frame="1"/>
        </w:rPr>
        <w:t xml:space="preserve"> dobowe normy były przekroczone codziennie przez 24 dni,</w:t>
      </w:r>
      <w:r w:rsidR="00992FD0" w:rsidRPr="00EC250C">
        <w:rPr>
          <w:szCs w:val="24"/>
          <w:bdr w:val="none" w:sz="0" w:space="0" w:color="auto" w:frame="1"/>
        </w:rPr>
        <w:t xml:space="preserve"> a </w:t>
      </w:r>
      <w:r w:rsidRPr="00EC250C">
        <w:rPr>
          <w:szCs w:val="24"/>
          <w:bdr w:val="none" w:sz="0" w:space="0" w:color="auto" w:frame="1"/>
        </w:rPr>
        <w:t>pozbawienie możliwości oddychania czystym powietrzem to naruszenie prawa do korzystania ze środowiska – argumentuje RPO</w:t>
      </w:r>
    </w:p>
    <w:p w14:paraId="73D70DDE" w14:textId="77777777" w:rsidR="00BC1077" w:rsidRPr="00EC250C" w:rsidRDefault="00BC1077" w:rsidP="00D131FA">
      <w:pPr>
        <w:pStyle w:val="Styl2"/>
        <w:spacing w:after="0"/>
        <w:rPr>
          <w:szCs w:val="24"/>
        </w:rPr>
      </w:pPr>
      <w:r w:rsidRPr="00EC250C">
        <w:rPr>
          <w:szCs w:val="24"/>
        </w:rPr>
        <w:t>Mieszkaniec Rybnika wniósł</w:t>
      </w:r>
      <w:r w:rsidR="00992FD0" w:rsidRPr="00EC250C">
        <w:rPr>
          <w:szCs w:val="24"/>
        </w:rPr>
        <w:t xml:space="preserve"> w </w:t>
      </w:r>
      <w:r w:rsidRPr="00EC250C">
        <w:rPr>
          <w:szCs w:val="24"/>
        </w:rPr>
        <w:t>2015</w:t>
      </w:r>
      <w:r w:rsidR="00C91F6E" w:rsidRPr="00EC250C">
        <w:rPr>
          <w:szCs w:val="24"/>
        </w:rPr>
        <w:t> r.</w:t>
      </w:r>
      <w:r w:rsidRPr="00EC250C">
        <w:rPr>
          <w:szCs w:val="24"/>
        </w:rPr>
        <w:t xml:space="preserve"> do sądu</w:t>
      </w:r>
      <w:r w:rsidR="00992FD0" w:rsidRPr="00EC250C">
        <w:rPr>
          <w:szCs w:val="24"/>
        </w:rPr>
        <w:t xml:space="preserve"> o </w:t>
      </w:r>
      <w:r w:rsidRPr="00EC250C">
        <w:rPr>
          <w:szCs w:val="24"/>
        </w:rPr>
        <w:t>50 000 zł zadośćuczynienia za naruszenie dóbr osobistych</w:t>
      </w:r>
      <w:r w:rsidR="00992FD0" w:rsidRPr="00EC250C">
        <w:rPr>
          <w:szCs w:val="24"/>
        </w:rPr>
        <w:t xml:space="preserve"> z </w:t>
      </w:r>
      <w:r w:rsidRPr="00EC250C">
        <w:rPr>
          <w:szCs w:val="24"/>
        </w:rPr>
        <w:t>powodu zanieczyszczenia powietrza</w:t>
      </w:r>
      <w:r w:rsidR="00992FD0" w:rsidRPr="00EC250C">
        <w:rPr>
          <w:szCs w:val="24"/>
        </w:rPr>
        <w:t xml:space="preserve"> w </w:t>
      </w:r>
      <w:r w:rsidRPr="00EC250C">
        <w:rPr>
          <w:szCs w:val="24"/>
        </w:rPr>
        <w:t>mieście. Wywiódł, że taki stan rzeczy, sprzeczny</w:t>
      </w:r>
      <w:r w:rsidR="00992FD0" w:rsidRPr="00EC250C">
        <w:rPr>
          <w:szCs w:val="24"/>
        </w:rPr>
        <w:t xml:space="preserve"> z </w:t>
      </w:r>
      <w:r w:rsidRPr="00EC250C">
        <w:rPr>
          <w:szCs w:val="24"/>
        </w:rPr>
        <w:t>art. 13 dyrektywy CAFE (dyrektywy Parlamentu Europejskiego</w:t>
      </w:r>
      <w:r w:rsidR="00992FD0" w:rsidRPr="00EC250C">
        <w:rPr>
          <w:szCs w:val="24"/>
        </w:rPr>
        <w:t xml:space="preserve"> i </w:t>
      </w:r>
      <w:r w:rsidRPr="00EC250C">
        <w:rPr>
          <w:szCs w:val="24"/>
        </w:rPr>
        <w:t>Rady 2008/50/WE</w:t>
      </w:r>
      <w:r w:rsidR="00992FD0" w:rsidRPr="00EC250C">
        <w:rPr>
          <w:szCs w:val="24"/>
        </w:rPr>
        <w:t xml:space="preserve"> z </w:t>
      </w:r>
      <w:r w:rsidRPr="00EC250C">
        <w:rPr>
          <w:szCs w:val="24"/>
        </w:rPr>
        <w:t>dnia 21 maja 2008</w:t>
      </w:r>
      <w:r w:rsidR="00C91F6E" w:rsidRPr="00EC250C">
        <w:rPr>
          <w:szCs w:val="24"/>
        </w:rPr>
        <w:t> r.</w:t>
      </w:r>
      <w:r w:rsidR="00992FD0" w:rsidRPr="00EC250C">
        <w:rPr>
          <w:szCs w:val="24"/>
        </w:rPr>
        <w:t xml:space="preserve"> w </w:t>
      </w:r>
      <w:r w:rsidRPr="00EC250C">
        <w:rPr>
          <w:szCs w:val="24"/>
        </w:rPr>
        <w:t>sprawie jakości powietrza</w:t>
      </w:r>
      <w:r w:rsidR="00992FD0" w:rsidRPr="00EC250C">
        <w:rPr>
          <w:szCs w:val="24"/>
        </w:rPr>
        <w:t xml:space="preserve"> i </w:t>
      </w:r>
      <w:r w:rsidRPr="00EC250C">
        <w:rPr>
          <w:szCs w:val="24"/>
        </w:rPr>
        <w:t>czystszego powietrza dla Europy), jest źródłem naruszenia jego dóbr osobistych. Chodzi mu o:</w:t>
      </w:r>
    </w:p>
    <w:p w14:paraId="1C3BE294" w14:textId="77777777" w:rsidR="00BC1077" w:rsidRPr="00EC250C" w:rsidRDefault="00BC1077" w:rsidP="006C70B7">
      <w:pPr>
        <w:pStyle w:val="Styl2"/>
        <w:numPr>
          <w:ilvl w:val="0"/>
          <w:numId w:val="71"/>
        </w:numPr>
        <w:spacing w:after="0" w:line="240" w:lineRule="auto"/>
        <w:rPr>
          <w:szCs w:val="24"/>
        </w:rPr>
      </w:pPr>
      <w:r w:rsidRPr="00EC250C">
        <w:rPr>
          <w:szCs w:val="24"/>
        </w:rPr>
        <w:t>prawo do zdrowia,</w:t>
      </w:r>
    </w:p>
    <w:p w14:paraId="40701504" w14:textId="77777777" w:rsidR="00BC1077" w:rsidRPr="00EC250C" w:rsidRDefault="00BC1077" w:rsidP="006C70B7">
      <w:pPr>
        <w:pStyle w:val="Styl2"/>
        <w:numPr>
          <w:ilvl w:val="0"/>
          <w:numId w:val="71"/>
        </w:numPr>
        <w:spacing w:after="0" w:line="240" w:lineRule="auto"/>
        <w:rPr>
          <w:szCs w:val="24"/>
        </w:rPr>
      </w:pPr>
      <w:r w:rsidRPr="00EC250C">
        <w:rPr>
          <w:szCs w:val="24"/>
        </w:rPr>
        <w:t>prawo do ochrony życia prywatnego</w:t>
      </w:r>
      <w:r w:rsidR="00992FD0" w:rsidRPr="00EC250C">
        <w:rPr>
          <w:szCs w:val="24"/>
        </w:rPr>
        <w:t xml:space="preserve"> i </w:t>
      </w:r>
      <w:r w:rsidRPr="00EC250C">
        <w:rPr>
          <w:szCs w:val="24"/>
        </w:rPr>
        <w:t>mieszkania,</w:t>
      </w:r>
    </w:p>
    <w:p w14:paraId="26E31EB6" w14:textId="77777777" w:rsidR="00BC1077" w:rsidRPr="00EC250C" w:rsidRDefault="00BC1077" w:rsidP="006C70B7">
      <w:pPr>
        <w:pStyle w:val="Styl2"/>
        <w:numPr>
          <w:ilvl w:val="0"/>
          <w:numId w:val="71"/>
        </w:numPr>
        <w:spacing w:after="0" w:line="240" w:lineRule="auto"/>
        <w:rPr>
          <w:szCs w:val="24"/>
        </w:rPr>
      </w:pPr>
      <w:r w:rsidRPr="00EC250C">
        <w:rPr>
          <w:szCs w:val="24"/>
        </w:rPr>
        <w:t>prawo do swobodnego przemieszczania się,</w:t>
      </w:r>
    </w:p>
    <w:p w14:paraId="721DE0F0" w14:textId="77777777" w:rsidR="00BC1077" w:rsidRPr="00EC250C" w:rsidRDefault="00BC1077" w:rsidP="006C70B7">
      <w:pPr>
        <w:pStyle w:val="Styl2"/>
        <w:numPr>
          <w:ilvl w:val="0"/>
          <w:numId w:val="71"/>
        </w:numPr>
        <w:spacing w:line="240" w:lineRule="auto"/>
        <w:rPr>
          <w:szCs w:val="24"/>
        </w:rPr>
      </w:pPr>
      <w:r w:rsidRPr="00EC250C">
        <w:rPr>
          <w:szCs w:val="24"/>
        </w:rPr>
        <w:t>oraz prawo do życia</w:t>
      </w:r>
      <w:r w:rsidR="00992FD0" w:rsidRPr="00EC250C">
        <w:rPr>
          <w:szCs w:val="24"/>
        </w:rPr>
        <w:t xml:space="preserve"> w </w:t>
      </w:r>
      <w:r w:rsidRPr="00EC250C">
        <w:rPr>
          <w:szCs w:val="24"/>
        </w:rPr>
        <w:t>czystym środowisku.</w:t>
      </w:r>
    </w:p>
    <w:p w14:paraId="7F4B598F" w14:textId="77777777" w:rsidR="00BC1077" w:rsidRPr="00EC250C" w:rsidRDefault="00BC1077" w:rsidP="00D131FA">
      <w:pPr>
        <w:pStyle w:val="Styl2"/>
        <w:rPr>
          <w:szCs w:val="24"/>
        </w:rPr>
      </w:pPr>
      <w:r w:rsidRPr="00EC250C">
        <w:rPr>
          <w:szCs w:val="24"/>
        </w:rPr>
        <w:t>Oddalając</w:t>
      </w:r>
      <w:r w:rsidR="00992FD0" w:rsidRPr="00EC250C">
        <w:rPr>
          <w:szCs w:val="24"/>
        </w:rPr>
        <w:t xml:space="preserve"> w </w:t>
      </w:r>
      <w:r w:rsidRPr="00EC250C">
        <w:rPr>
          <w:szCs w:val="24"/>
        </w:rPr>
        <w:t>maju 2018</w:t>
      </w:r>
      <w:r w:rsidR="00C91F6E" w:rsidRPr="00EC250C">
        <w:rPr>
          <w:szCs w:val="24"/>
        </w:rPr>
        <w:t> r.</w:t>
      </w:r>
      <w:r w:rsidRPr="00EC250C">
        <w:rPr>
          <w:szCs w:val="24"/>
        </w:rPr>
        <w:t xml:space="preserve"> powództwo, Sąd Rejonowy</w:t>
      </w:r>
      <w:r w:rsidR="00992FD0" w:rsidRPr="00EC250C">
        <w:rPr>
          <w:szCs w:val="24"/>
        </w:rPr>
        <w:t xml:space="preserve"> w </w:t>
      </w:r>
      <w:r w:rsidRPr="00EC250C">
        <w:rPr>
          <w:szCs w:val="24"/>
        </w:rPr>
        <w:t>Rybniku przyznał, że powietrze</w:t>
      </w:r>
      <w:r w:rsidR="00992FD0" w:rsidRPr="00EC250C">
        <w:rPr>
          <w:szCs w:val="24"/>
        </w:rPr>
        <w:t xml:space="preserve"> w </w:t>
      </w:r>
      <w:r w:rsidRPr="00EC250C">
        <w:rPr>
          <w:szCs w:val="24"/>
        </w:rPr>
        <w:t>mieście jest często zanieczyszczone, ale nie można tego uznać za naruszenie dobra osobistego</w:t>
      </w:r>
      <w:r w:rsidR="00992FD0" w:rsidRPr="00EC250C">
        <w:rPr>
          <w:szCs w:val="24"/>
        </w:rPr>
        <w:t xml:space="preserve"> w </w:t>
      </w:r>
      <w:r w:rsidRPr="00EC250C">
        <w:rPr>
          <w:szCs w:val="24"/>
        </w:rPr>
        <w:t>postaci zdrowia. Prawa do życia</w:t>
      </w:r>
      <w:r w:rsidR="00992FD0" w:rsidRPr="00EC250C">
        <w:rPr>
          <w:szCs w:val="24"/>
        </w:rPr>
        <w:t xml:space="preserve"> w </w:t>
      </w:r>
      <w:r w:rsidRPr="00EC250C">
        <w:rPr>
          <w:szCs w:val="24"/>
        </w:rPr>
        <w:t>czystym środowisku sąd</w:t>
      </w:r>
      <w:r w:rsidR="00992FD0" w:rsidRPr="00EC250C">
        <w:rPr>
          <w:szCs w:val="24"/>
        </w:rPr>
        <w:t xml:space="preserve"> w </w:t>
      </w:r>
      <w:r w:rsidRPr="00EC250C">
        <w:rPr>
          <w:szCs w:val="24"/>
        </w:rPr>
        <w:t>ogóle nie uznał za dobro osobiste podlegające ochronie. Wskazał ponadto, że prawo do swobodnego przemieszczania się nie jest naruszone, bo</w:t>
      </w:r>
      <w:r w:rsidR="00992FD0" w:rsidRPr="00EC250C">
        <w:rPr>
          <w:szCs w:val="24"/>
        </w:rPr>
        <w:t xml:space="preserve"> z </w:t>
      </w:r>
      <w:r w:rsidRPr="00EC250C">
        <w:rPr>
          <w:szCs w:val="24"/>
        </w:rPr>
        <w:t>Rybnika można się wyprowadzić.</w:t>
      </w:r>
    </w:p>
    <w:p w14:paraId="08B7C541" w14:textId="77777777" w:rsidR="00BC1077" w:rsidRPr="00EC250C" w:rsidRDefault="003B08D6" w:rsidP="00D131FA">
      <w:pPr>
        <w:pStyle w:val="Styl2"/>
        <w:numPr>
          <w:ilvl w:val="0"/>
          <w:numId w:val="0"/>
        </w:numPr>
        <w:rPr>
          <w:szCs w:val="24"/>
        </w:rPr>
      </w:pPr>
      <w:r w:rsidRPr="00EC250C">
        <w:rPr>
          <w:szCs w:val="24"/>
        </w:rPr>
        <w:t xml:space="preserve">O </w:t>
      </w:r>
      <w:r w:rsidR="00BC1077" w:rsidRPr="00EC250C">
        <w:rPr>
          <w:szCs w:val="24"/>
        </w:rPr>
        <w:t>stanie powietrza</w:t>
      </w:r>
      <w:r w:rsidR="00992FD0" w:rsidRPr="00EC250C">
        <w:rPr>
          <w:szCs w:val="24"/>
        </w:rPr>
        <w:t xml:space="preserve"> w </w:t>
      </w:r>
      <w:r w:rsidR="00BC1077" w:rsidRPr="00EC250C">
        <w:rPr>
          <w:szCs w:val="24"/>
        </w:rPr>
        <w:t>Rybniku RPO rozmawiał</w:t>
      </w:r>
      <w:r w:rsidR="00992FD0" w:rsidRPr="00EC250C">
        <w:rPr>
          <w:szCs w:val="24"/>
        </w:rPr>
        <w:t xml:space="preserve"> z </w:t>
      </w:r>
      <w:r w:rsidR="00BC1077" w:rsidRPr="00EC250C">
        <w:rPr>
          <w:szCs w:val="24"/>
        </w:rPr>
        <w:t>mieszkańcami miasta</w:t>
      </w:r>
      <w:r w:rsidR="00992FD0" w:rsidRPr="00EC250C">
        <w:rPr>
          <w:szCs w:val="24"/>
        </w:rPr>
        <w:t xml:space="preserve"> w </w:t>
      </w:r>
      <w:r w:rsidR="00BC1077" w:rsidRPr="00EC250C">
        <w:rPr>
          <w:szCs w:val="24"/>
        </w:rPr>
        <w:t>czasie spotkania regionalnego 26 listopada 2018</w:t>
      </w:r>
      <w:r w:rsidR="00C91F6E" w:rsidRPr="00EC250C">
        <w:rPr>
          <w:szCs w:val="24"/>
        </w:rPr>
        <w:t> r.</w:t>
      </w:r>
      <w:r w:rsidR="00BC1077" w:rsidRPr="00EC250C">
        <w:rPr>
          <w:szCs w:val="24"/>
        </w:rPr>
        <w:t xml:space="preserve"> Stan powietrza jako dręczący ludzi problem pojawiał się na także na innych spotkaniach RPO na Śląsku:</w:t>
      </w:r>
      <w:r w:rsidR="00992FD0" w:rsidRPr="00EC250C">
        <w:rPr>
          <w:szCs w:val="24"/>
        </w:rPr>
        <w:t xml:space="preserve"> w </w:t>
      </w:r>
      <w:r w:rsidR="00BC1077" w:rsidRPr="00EC250C">
        <w:rPr>
          <w:szCs w:val="24"/>
        </w:rPr>
        <w:t>Tarnowskich Górach, Piekarach Śląskich czy Lublińcu 27 listopada.</w:t>
      </w:r>
    </w:p>
    <w:p w14:paraId="0D16FD4C" w14:textId="77777777" w:rsidR="003B08D6" w:rsidRPr="00EC250C" w:rsidRDefault="003B08D6" w:rsidP="00D131FA">
      <w:pPr>
        <w:pStyle w:val="Styl2"/>
        <w:numPr>
          <w:ilvl w:val="0"/>
          <w:numId w:val="0"/>
        </w:numPr>
        <w:rPr>
          <w:szCs w:val="24"/>
        </w:rPr>
      </w:pPr>
      <w:r w:rsidRPr="00EC250C">
        <w:rPr>
          <w:szCs w:val="24"/>
        </w:rPr>
        <w:t>Przedstawiając Sądowi Okręgowemu w Gliwicach argumenty na poparcie pozwu, RPO wskazał, że:</w:t>
      </w:r>
    </w:p>
    <w:p w14:paraId="4600064E" w14:textId="77777777" w:rsidR="00BC1077" w:rsidRPr="00EC250C" w:rsidRDefault="00BC1077" w:rsidP="006C70B7">
      <w:pPr>
        <w:pStyle w:val="Styl2"/>
        <w:numPr>
          <w:ilvl w:val="0"/>
          <w:numId w:val="72"/>
        </w:numPr>
        <w:rPr>
          <w:szCs w:val="24"/>
        </w:rPr>
      </w:pPr>
      <w:r w:rsidRPr="00EC250C">
        <w:rPr>
          <w:szCs w:val="24"/>
        </w:rPr>
        <w:t>mieszkaniec Rybnika przekonująco dowiódł, że stan powietrza uważa za godzący</w:t>
      </w:r>
      <w:r w:rsidR="00992FD0" w:rsidRPr="00EC250C">
        <w:rPr>
          <w:szCs w:val="24"/>
        </w:rPr>
        <w:t xml:space="preserve"> w </w:t>
      </w:r>
      <w:r w:rsidRPr="00EC250C">
        <w:rPr>
          <w:szCs w:val="24"/>
        </w:rPr>
        <w:t>jego prawa. Działa przecież aktywnie na rzecz zmniejszenia zanieczyszczenia powietrza</w:t>
      </w:r>
      <w:r w:rsidR="00992FD0" w:rsidRPr="00EC250C">
        <w:rPr>
          <w:szCs w:val="24"/>
        </w:rPr>
        <w:t xml:space="preserve"> w </w:t>
      </w:r>
      <w:r w:rsidRPr="00EC250C">
        <w:rPr>
          <w:szCs w:val="24"/>
        </w:rPr>
        <w:t>mieście;</w:t>
      </w:r>
    </w:p>
    <w:p w14:paraId="09FEB2EF" w14:textId="77777777" w:rsidR="00BC1077" w:rsidRPr="00EC250C" w:rsidRDefault="00BC1077" w:rsidP="006C70B7">
      <w:pPr>
        <w:pStyle w:val="Styl2"/>
        <w:numPr>
          <w:ilvl w:val="0"/>
          <w:numId w:val="72"/>
        </w:numPr>
        <w:rPr>
          <w:szCs w:val="24"/>
        </w:rPr>
      </w:pPr>
      <w:r w:rsidRPr="00EC250C">
        <w:rPr>
          <w:szCs w:val="24"/>
        </w:rPr>
        <w:lastRenderedPageBreak/>
        <w:t>te dolegliwości związane</w:t>
      </w:r>
      <w:r w:rsidR="00992FD0" w:rsidRPr="00EC250C">
        <w:rPr>
          <w:szCs w:val="24"/>
        </w:rPr>
        <w:t xml:space="preserve"> z </w:t>
      </w:r>
      <w:r w:rsidRPr="00EC250C">
        <w:rPr>
          <w:szCs w:val="24"/>
        </w:rPr>
        <w:t>zanieczyszczeniem powietrza opisał</w:t>
      </w:r>
      <w:r w:rsidR="00992FD0" w:rsidRPr="00EC250C">
        <w:rPr>
          <w:szCs w:val="24"/>
        </w:rPr>
        <w:t xml:space="preserve"> w </w:t>
      </w:r>
      <w:r w:rsidRPr="00EC250C">
        <w:rPr>
          <w:szCs w:val="24"/>
        </w:rPr>
        <w:t>wyroku sam sąd pierwszej instancji. Bo choć – jak stwierdził</w:t>
      </w:r>
      <w:r w:rsidR="00026572" w:rsidRPr="00EC250C">
        <w:rPr>
          <w:szCs w:val="24"/>
        </w:rPr>
        <w:t xml:space="preserve"> – </w:t>
      </w:r>
      <w:r w:rsidRPr="00EC250C">
        <w:rPr>
          <w:szCs w:val="24"/>
        </w:rPr>
        <w:t>ludzie mają pewną tolerancję na zanieczyszczenie powietrza, to </w:t>
      </w:r>
      <w:r w:rsidRPr="00EC250C">
        <w:rPr>
          <w:rFonts w:eastAsia="Times New Roman"/>
          <w:i/>
          <w:szCs w:val="24"/>
          <w:bdr w:val="none" w:sz="0" w:space="0" w:color="auto" w:frame="1"/>
        </w:rPr>
        <w:t>„powód ma swego rodzaju depresję</w:t>
      </w:r>
      <w:r w:rsidR="00992FD0" w:rsidRPr="00EC250C">
        <w:rPr>
          <w:rFonts w:eastAsia="Times New Roman"/>
          <w:i/>
          <w:szCs w:val="24"/>
          <w:bdr w:val="none" w:sz="0" w:space="0" w:color="auto" w:frame="1"/>
        </w:rPr>
        <w:t xml:space="preserve"> w </w:t>
      </w:r>
      <w:r w:rsidRPr="00EC250C">
        <w:rPr>
          <w:rFonts w:eastAsia="Times New Roman"/>
          <w:i/>
          <w:szCs w:val="24"/>
          <w:bdr w:val="none" w:sz="0" w:space="0" w:color="auto" w:frame="1"/>
        </w:rPr>
        <w:t>okresie jesienno-zimowym, ponieważ</w:t>
      </w:r>
      <w:r w:rsidR="00992FD0" w:rsidRPr="00EC250C">
        <w:rPr>
          <w:rFonts w:eastAsia="Times New Roman"/>
          <w:i/>
          <w:szCs w:val="24"/>
          <w:bdr w:val="none" w:sz="0" w:space="0" w:color="auto" w:frame="1"/>
        </w:rPr>
        <w:t xml:space="preserve"> w </w:t>
      </w:r>
      <w:r w:rsidRPr="00EC250C">
        <w:rPr>
          <w:rFonts w:eastAsia="Times New Roman"/>
          <w:i/>
          <w:szCs w:val="24"/>
          <w:bdr w:val="none" w:sz="0" w:space="0" w:color="auto" w:frame="1"/>
        </w:rPr>
        <w:t>tym czasie nie może przewietrzyć mojego domu, bo gdy otwiera okno, do domu wdziera się smród. Musi zatykać klatki wentylacyjne oraz uszczelniać drzwi wejściowe</w:t>
      </w:r>
      <w:r w:rsidR="00992FD0" w:rsidRPr="00EC250C">
        <w:rPr>
          <w:rFonts w:eastAsia="Times New Roman"/>
          <w:i/>
          <w:szCs w:val="24"/>
          <w:bdr w:val="none" w:sz="0" w:space="0" w:color="auto" w:frame="1"/>
        </w:rPr>
        <w:t xml:space="preserve"> w </w:t>
      </w:r>
      <w:r w:rsidRPr="00EC250C">
        <w:rPr>
          <w:rFonts w:eastAsia="Times New Roman"/>
          <w:i/>
          <w:szCs w:val="24"/>
          <w:bdr w:val="none" w:sz="0" w:space="0" w:color="auto" w:frame="1"/>
        </w:rPr>
        <w:t>stosunkowo nowym budynku, ponieważ zapach wdziera się do środka. Korzysta</w:t>
      </w:r>
      <w:r w:rsidR="00992FD0" w:rsidRPr="00EC250C">
        <w:rPr>
          <w:rFonts w:eastAsia="Times New Roman"/>
          <w:i/>
          <w:szCs w:val="24"/>
          <w:bdr w:val="none" w:sz="0" w:space="0" w:color="auto" w:frame="1"/>
        </w:rPr>
        <w:t xml:space="preserve"> z </w:t>
      </w:r>
      <w:r w:rsidRPr="00EC250C">
        <w:rPr>
          <w:rFonts w:eastAsia="Times New Roman"/>
          <w:i/>
          <w:szCs w:val="24"/>
          <w:bdr w:val="none" w:sz="0" w:space="0" w:color="auto" w:frame="1"/>
        </w:rPr>
        <w:t>oczyszczacza powietrza, który non stop pracuje</w:t>
      </w:r>
      <w:r w:rsidR="00992FD0" w:rsidRPr="00EC250C">
        <w:rPr>
          <w:rFonts w:eastAsia="Times New Roman"/>
          <w:i/>
          <w:szCs w:val="24"/>
          <w:bdr w:val="none" w:sz="0" w:space="0" w:color="auto" w:frame="1"/>
        </w:rPr>
        <w:t xml:space="preserve"> i w </w:t>
      </w:r>
      <w:r w:rsidRPr="00EC250C">
        <w:rPr>
          <w:rFonts w:eastAsia="Times New Roman"/>
          <w:i/>
          <w:szCs w:val="24"/>
          <w:bdr w:val="none" w:sz="0" w:space="0" w:color="auto" w:frame="1"/>
        </w:rPr>
        <w:t>związku</w:t>
      </w:r>
      <w:r w:rsidR="00992FD0" w:rsidRPr="00EC250C">
        <w:rPr>
          <w:rFonts w:eastAsia="Times New Roman"/>
          <w:i/>
          <w:szCs w:val="24"/>
          <w:bdr w:val="none" w:sz="0" w:space="0" w:color="auto" w:frame="1"/>
        </w:rPr>
        <w:t xml:space="preserve"> z </w:t>
      </w:r>
      <w:r w:rsidRPr="00EC250C">
        <w:rPr>
          <w:rFonts w:eastAsia="Times New Roman"/>
          <w:i/>
          <w:szCs w:val="24"/>
          <w:bdr w:val="none" w:sz="0" w:space="0" w:color="auto" w:frame="1"/>
        </w:rPr>
        <w:t>czym generuje określone koszty. Dodatkową dolegliwością dla powoda jest fakt, że nie może wychodzić</w:t>
      </w:r>
      <w:r w:rsidR="00992FD0" w:rsidRPr="00EC250C">
        <w:rPr>
          <w:rFonts w:eastAsia="Times New Roman"/>
          <w:i/>
          <w:szCs w:val="24"/>
          <w:bdr w:val="none" w:sz="0" w:space="0" w:color="auto" w:frame="1"/>
        </w:rPr>
        <w:t xml:space="preserve"> z </w:t>
      </w:r>
      <w:r w:rsidRPr="00EC250C">
        <w:rPr>
          <w:rFonts w:eastAsia="Times New Roman"/>
          <w:i/>
          <w:szCs w:val="24"/>
          <w:bdr w:val="none" w:sz="0" w:space="0" w:color="auto" w:frame="1"/>
        </w:rPr>
        <w:t>domu na spacery,</w:t>
      </w:r>
      <w:r w:rsidR="00992FD0" w:rsidRPr="00EC250C">
        <w:rPr>
          <w:rFonts w:eastAsia="Times New Roman"/>
          <w:i/>
          <w:szCs w:val="24"/>
          <w:bdr w:val="none" w:sz="0" w:space="0" w:color="auto" w:frame="1"/>
        </w:rPr>
        <w:t xml:space="preserve"> z </w:t>
      </w:r>
      <w:r w:rsidRPr="00EC250C">
        <w:rPr>
          <w:rFonts w:eastAsia="Times New Roman"/>
          <w:i/>
          <w:szCs w:val="24"/>
          <w:bdr w:val="none" w:sz="0" w:space="0" w:color="auto" w:frame="1"/>
        </w:rPr>
        <w:t>rodziną</w:t>
      </w:r>
      <w:r w:rsidR="00992FD0" w:rsidRPr="00EC250C">
        <w:rPr>
          <w:rFonts w:eastAsia="Times New Roman"/>
          <w:i/>
          <w:szCs w:val="24"/>
          <w:bdr w:val="none" w:sz="0" w:space="0" w:color="auto" w:frame="1"/>
        </w:rPr>
        <w:t xml:space="preserve"> z </w:t>
      </w:r>
      <w:r w:rsidRPr="00EC250C">
        <w:rPr>
          <w:rFonts w:eastAsia="Times New Roman"/>
          <w:i/>
          <w:szCs w:val="24"/>
          <w:bdr w:val="none" w:sz="0" w:space="0" w:color="auto" w:frame="1"/>
        </w:rPr>
        <w:t>dziećmi. Nie może uprawiać sportu mimo, iż jest osobą aktywną fizycznie. Nie może zabrać dzieci na sanki, ani lepić</w:t>
      </w:r>
      <w:r w:rsidR="00992FD0" w:rsidRPr="00EC250C">
        <w:rPr>
          <w:rFonts w:eastAsia="Times New Roman"/>
          <w:i/>
          <w:szCs w:val="24"/>
          <w:bdr w:val="none" w:sz="0" w:space="0" w:color="auto" w:frame="1"/>
        </w:rPr>
        <w:t xml:space="preserve"> z </w:t>
      </w:r>
      <w:r w:rsidRPr="00EC250C">
        <w:rPr>
          <w:rFonts w:eastAsia="Times New Roman"/>
          <w:i/>
          <w:szCs w:val="24"/>
          <w:bdr w:val="none" w:sz="0" w:space="0" w:color="auto" w:frame="1"/>
        </w:rPr>
        <w:t>nimi bałwana pomimo, że lubią to robić. W okresie ferii zimowych przypadających na okres od 16 stycznia do 29 stycznia nie było ani jednego dnia,</w:t>
      </w:r>
      <w:r w:rsidR="00992FD0" w:rsidRPr="00EC250C">
        <w:rPr>
          <w:rFonts w:eastAsia="Times New Roman"/>
          <w:i/>
          <w:szCs w:val="24"/>
          <w:bdr w:val="none" w:sz="0" w:space="0" w:color="auto" w:frame="1"/>
        </w:rPr>
        <w:t xml:space="preserve"> w </w:t>
      </w:r>
      <w:r w:rsidRPr="00EC250C">
        <w:rPr>
          <w:rFonts w:eastAsia="Times New Roman"/>
          <w:i/>
          <w:szCs w:val="24"/>
          <w:bdr w:val="none" w:sz="0" w:space="0" w:color="auto" w:frame="1"/>
        </w:rPr>
        <w:t>którym normy pyłu PN10 nie były by przekroczone. Oznacza to, że</w:t>
      </w:r>
      <w:r w:rsidR="00992FD0" w:rsidRPr="00EC250C">
        <w:rPr>
          <w:rFonts w:eastAsia="Times New Roman"/>
          <w:i/>
          <w:szCs w:val="24"/>
          <w:bdr w:val="none" w:sz="0" w:space="0" w:color="auto" w:frame="1"/>
        </w:rPr>
        <w:t xml:space="preserve"> w </w:t>
      </w:r>
      <w:r w:rsidRPr="00EC250C">
        <w:rPr>
          <w:rFonts w:eastAsia="Times New Roman"/>
          <w:i/>
          <w:szCs w:val="24"/>
          <w:bdr w:val="none" w:sz="0" w:space="0" w:color="auto" w:frame="1"/>
        </w:rPr>
        <w:t>tym okresie nie mógł wyjść</w:t>
      </w:r>
      <w:r w:rsidR="00992FD0" w:rsidRPr="00EC250C">
        <w:rPr>
          <w:rFonts w:eastAsia="Times New Roman"/>
          <w:i/>
          <w:szCs w:val="24"/>
          <w:bdr w:val="none" w:sz="0" w:space="0" w:color="auto" w:frame="1"/>
        </w:rPr>
        <w:t xml:space="preserve"> z </w:t>
      </w:r>
      <w:r w:rsidRPr="00EC250C">
        <w:rPr>
          <w:rFonts w:eastAsia="Times New Roman"/>
          <w:i/>
          <w:szCs w:val="24"/>
          <w:bdr w:val="none" w:sz="0" w:space="0" w:color="auto" w:frame="1"/>
        </w:rPr>
        <w:t>dziećmi na spacer”;</w:t>
      </w:r>
    </w:p>
    <w:p w14:paraId="0B233113" w14:textId="77777777" w:rsidR="00BC1077" w:rsidRPr="00EC250C" w:rsidRDefault="00BC1077" w:rsidP="006C70B7">
      <w:pPr>
        <w:pStyle w:val="Styl2"/>
        <w:numPr>
          <w:ilvl w:val="0"/>
          <w:numId w:val="72"/>
        </w:numPr>
        <w:rPr>
          <w:szCs w:val="24"/>
        </w:rPr>
      </w:pPr>
      <w:r w:rsidRPr="00EC250C">
        <w:rPr>
          <w:szCs w:val="24"/>
        </w:rPr>
        <w:t>w Rybniku wskaźniki zanieczyszczenia powietrza przekraczane są często</w:t>
      </w:r>
      <w:r w:rsidR="00992FD0" w:rsidRPr="00EC250C">
        <w:rPr>
          <w:szCs w:val="24"/>
        </w:rPr>
        <w:t xml:space="preserve"> i </w:t>
      </w:r>
      <w:r w:rsidRPr="00EC250C">
        <w:rPr>
          <w:szCs w:val="24"/>
        </w:rPr>
        <w:t>na długo. Zdarzały się miesiące, gdy powietrze było</w:t>
      </w:r>
      <w:r w:rsidR="00992FD0" w:rsidRPr="00EC250C">
        <w:rPr>
          <w:szCs w:val="24"/>
        </w:rPr>
        <w:t xml:space="preserve"> w </w:t>
      </w:r>
      <w:r w:rsidRPr="00EC250C">
        <w:rPr>
          <w:szCs w:val="24"/>
        </w:rPr>
        <w:t>normie tylko</w:t>
      </w:r>
      <w:r w:rsidR="00992FD0" w:rsidRPr="00EC250C">
        <w:rPr>
          <w:szCs w:val="24"/>
        </w:rPr>
        <w:t xml:space="preserve"> w </w:t>
      </w:r>
      <w:r w:rsidRPr="00EC250C">
        <w:rPr>
          <w:szCs w:val="24"/>
        </w:rPr>
        <w:t>pojedyncze dni, jak</w:t>
      </w:r>
      <w:r w:rsidR="00992FD0" w:rsidRPr="00EC250C">
        <w:rPr>
          <w:szCs w:val="24"/>
        </w:rPr>
        <w:t xml:space="preserve"> w </w:t>
      </w:r>
      <w:r w:rsidRPr="00EC250C">
        <w:rPr>
          <w:szCs w:val="24"/>
        </w:rPr>
        <w:t>rekordowym pod tym względem lutym 2015</w:t>
      </w:r>
      <w:r w:rsidR="00C91F6E" w:rsidRPr="00EC250C">
        <w:rPr>
          <w:szCs w:val="24"/>
        </w:rPr>
        <w:t> r.</w:t>
      </w:r>
      <w:r w:rsidRPr="00EC250C">
        <w:rPr>
          <w:szCs w:val="24"/>
        </w:rPr>
        <w:t xml:space="preserve"> (24 dni smogu).</w:t>
      </w:r>
    </w:p>
    <w:p w14:paraId="601E6CDC" w14:textId="77777777" w:rsidR="00BC1077" w:rsidRPr="00EC250C" w:rsidRDefault="00BC1077" w:rsidP="00D131FA">
      <w:pPr>
        <w:pStyle w:val="Styl2"/>
        <w:rPr>
          <w:szCs w:val="24"/>
        </w:rPr>
      </w:pPr>
      <w:r w:rsidRPr="00EC250C">
        <w:rPr>
          <w:szCs w:val="24"/>
        </w:rPr>
        <w:t>Nie sposób więc przyjąć, że sytuacja</w:t>
      </w:r>
      <w:r w:rsidR="00992FD0" w:rsidRPr="00EC250C">
        <w:rPr>
          <w:szCs w:val="24"/>
        </w:rPr>
        <w:t xml:space="preserve"> w </w:t>
      </w:r>
      <w:r w:rsidRPr="00EC250C">
        <w:rPr>
          <w:szCs w:val="24"/>
        </w:rPr>
        <w:t>Rybniku mieści się</w:t>
      </w:r>
      <w:r w:rsidR="00992FD0" w:rsidRPr="00EC250C">
        <w:rPr>
          <w:szCs w:val="24"/>
        </w:rPr>
        <w:t xml:space="preserve"> w </w:t>
      </w:r>
      <w:r w:rsidRPr="00EC250C">
        <w:rPr>
          <w:szCs w:val="24"/>
        </w:rPr>
        <w:t>ramach powszechnie akceptowalnej miary. O ile bowiem przeciętny człowiek byłby</w:t>
      </w:r>
      <w:r w:rsidR="00992FD0" w:rsidRPr="00EC250C">
        <w:rPr>
          <w:szCs w:val="24"/>
        </w:rPr>
        <w:t xml:space="preserve"> w </w:t>
      </w:r>
      <w:r w:rsidRPr="00EC250C">
        <w:rPr>
          <w:szCs w:val="24"/>
        </w:rPr>
        <w:t>stanie zaakceptować to, że okazjonalnie musi – wskutek zanieczyszczenia powietrza – ograniczać swoją aktywność,</w:t>
      </w:r>
      <w:r w:rsidR="00992FD0" w:rsidRPr="00EC250C">
        <w:rPr>
          <w:szCs w:val="24"/>
        </w:rPr>
        <w:t xml:space="preserve"> o </w:t>
      </w:r>
      <w:r w:rsidRPr="00EC250C">
        <w:rPr>
          <w:szCs w:val="24"/>
        </w:rPr>
        <w:t>tyle sytuacja,</w:t>
      </w:r>
      <w:r w:rsidR="00992FD0" w:rsidRPr="00EC250C">
        <w:rPr>
          <w:szCs w:val="24"/>
        </w:rPr>
        <w:t xml:space="preserve"> w </w:t>
      </w:r>
      <w:r w:rsidRPr="00EC250C">
        <w:rPr>
          <w:szCs w:val="24"/>
        </w:rPr>
        <w:t>której ingerencja</w:t>
      </w:r>
      <w:r w:rsidR="00992FD0" w:rsidRPr="00EC250C">
        <w:rPr>
          <w:szCs w:val="24"/>
        </w:rPr>
        <w:t xml:space="preserve"> w </w:t>
      </w:r>
      <w:r w:rsidRPr="00EC250C">
        <w:rPr>
          <w:szCs w:val="24"/>
        </w:rPr>
        <w:t>przysługujące mu dobra osobiste jest (przynajmniej</w:t>
      </w:r>
      <w:r w:rsidR="00992FD0" w:rsidRPr="00EC250C">
        <w:rPr>
          <w:szCs w:val="24"/>
        </w:rPr>
        <w:t xml:space="preserve"> w </w:t>
      </w:r>
      <w:r w:rsidRPr="00EC250C">
        <w:rPr>
          <w:szCs w:val="24"/>
        </w:rPr>
        <w:t>okresie jesienno-zimowym) permanentna</w:t>
      </w:r>
      <w:r w:rsidR="00992FD0" w:rsidRPr="00EC250C">
        <w:rPr>
          <w:szCs w:val="24"/>
        </w:rPr>
        <w:t xml:space="preserve"> i </w:t>
      </w:r>
      <w:r w:rsidRPr="00EC250C">
        <w:rPr>
          <w:szCs w:val="24"/>
        </w:rPr>
        <w:t>– co trzeba podkreślić – znaczna, przez przeciętnego człowieka zaakceptowana by nie została.</w:t>
      </w:r>
    </w:p>
    <w:p w14:paraId="0A430E4A" w14:textId="77777777" w:rsidR="008A0376" w:rsidRPr="00EC250C" w:rsidRDefault="008A0376" w:rsidP="00D131FA">
      <w:pPr>
        <w:pStyle w:val="Styl2"/>
        <w:rPr>
          <w:szCs w:val="24"/>
        </w:rPr>
      </w:pPr>
      <w:r w:rsidRPr="00EC250C">
        <w:rPr>
          <w:szCs w:val="24"/>
          <w:bdr w:val="none" w:sz="0" w:space="0" w:color="auto" w:frame="1"/>
        </w:rPr>
        <w:t xml:space="preserve">W styczniu 2019 r. Sąd Rejonowy dla Warszawy-Śródmieście uznał naruszenie dóbr osobistych aktorki Grażyny Wolszczak poprzez smog w Warszawie. To precedensowy ale nieprawomocny wyrok w sprawie, w której pozwany został Skarb </w:t>
      </w:r>
      <w:r w:rsidRPr="00EC250C">
        <w:rPr>
          <w:szCs w:val="24"/>
        </w:rPr>
        <w:t>Państwa</w:t>
      </w:r>
      <w:r w:rsidRPr="00EC250C">
        <w:rPr>
          <w:szCs w:val="24"/>
          <w:vertAlign w:val="superscript"/>
        </w:rPr>
        <w:footnoteReference w:id="634"/>
      </w:r>
      <w:r w:rsidRPr="00EC250C">
        <w:rPr>
          <w:szCs w:val="24"/>
          <w:vertAlign w:val="superscript"/>
        </w:rPr>
        <w:t>.</w:t>
      </w:r>
    </w:p>
    <w:p w14:paraId="4987E29B" w14:textId="77777777" w:rsidR="008145BC" w:rsidRPr="00EC250C" w:rsidRDefault="00BC1077" w:rsidP="00EC250C">
      <w:pPr>
        <w:pStyle w:val="Nagwek5"/>
      </w:pPr>
      <w:r w:rsidRPr="00EC250C">
        <w:t>Rozporządzenia antysmogowe</w:t>
      </w:r>
      <w:r w:rsidR="00026572" w:rsidRPr="00EC250C">
        <w:t xml:space="preserve"> – </w:t>
      </w:r>
      <w:r w:rsidR="004D29AB" w:rsidRPr="00EC250C">
        <w:t>n</w:t>
      </w:r>
      <w:r w:rsidR="008145BC" w:rsidRPr="00EC250C">
        <w:t xml:space="preserve">ormy jakości </w:t>
      </w:r>
      <w:r w:rsidR="004D29AB" w:rsidRPr="00EC250C">
        <w:t>węgla</w:t>
      </w:r>
    </w:p>
    <w:p w14:paraId="7D0D3736" w14:textId="77777777" w:rsidR="00B473F5" w:rsidRPr="00EC250C" w:rsidRDefault="00D52B5C" w:rsidP="00D131FA">
      <w:pPr>
        <w:pStyle w:val="Problemczowieka"/>
        <w:jc w:val="both"/>
        <w:rPr>
          <w:bdr w:val="none" w:sz="0" w:space="0" w:color="auto" w:frame="1"/>
        </w:rPr>
      </w:pPr>
      <w:r w:rsidRPr="00EC250C">
        <w:rPr>
          <w:bdr w:val="none" w:sz="0" w:space="0" w:color="auto" w:frame="1"/>
        </w:rPr>
        <w:t>W 2018</w:t>
      </w:r>
      <w:r w:rsidR="00C91F6E" w:rsidRPr="00EC250C">
        <w:rPr>
          <w:bdr w:val="none" w:sz="0" w:space="0" w:color="auto" w:frame="1"/>
        </w:rPr>
        <w:t> r.</w:t>
      </w:r>
      <w:r w:rsidRPr="00EC250C">
        <w:rPr>
          <w:bdr w:val="none" w:sz="0" w:space="0" w:color="auto" w:frame="1"/>
        </w:rPr>
        <w:t xml:space="preserve"> udało się przyjąć rozporządzenie</w:t>
      </w:r>
      <w:r w:rsidR="00992FD0" w:rsidRPr="00EC250C">
        <w:rPr>
          <w:bdr w:val="none" w:sz="0" w:space="0" w:color="auto" w:frame="1"/>
        </w:rPr>
        <w:t xml:space="preserve"> w </w:t>
      </w:r>
      <w:r w:rsidRPr="00EC250C">
        <w:rPr>
          <w:bdr w:val="none" w:sz="0" w:space="0" w:color="auto" w:frame="1"/>
        </w:rPr>
        <w:t>sprawie norm jakości węgla dopuszczonego do sprzedaży</w:t>
      </w:r>
      <w:r w:rsidR="00B473F5" w:rsidRPr="00EC250C">
        <w:rPr>
          <w:bdr w:val="none" w:sz="0" w:space="0" w:color="auto" w:frame="1"/>
        </w:rPr>
        <w:t>.</w:t>
      </w:r>
    </w:p>
    <w:p w14:paraId="7F0C09D3" w14:textId="77777777" w:rsidR="00D52B5C" w:rsidRPr="00EC250C" w:rsidRDefault="00D52B5C" w:rsidP="00D131FA">
      <w:pPr>
        <w:pStyle w:val="Styl1"/>
        <w:rPr>
          <w:bCs/>
          <w:iCs/>
        </w:rPr>
      </w:pPr>
      <w:r w:rsidRPr="00EC250C">
        <w:t>W toku procesu legislacyjnego wydawało się, że rząd złagodzi pierwotnie projektowane wymagania, stąd interwencje RPO u Ministra Energii</w:t>
      </w:r>
      <w:r w:rsidRPr="00EC250C">
        <w:rPr>
          <w:bCs/>
          <w:iCs/>
          <w:vertAlign w:val="superscript"/>
        </w:rPr>
        <w:footnoteReference w:id="635"/>
      </w:r>
      <w:r w:rsidRPr="00EC250C">
        <w:t xml:space="preserve">. </w:t>
      </w:r>
      <w:r w:rsidRPr="00EC250C">
        <w:rPr>
          <w:bCs/>
          <w:iCs/>
        </w:rPr>
        <w:t>Ostatecznie Minister uwzględnił kierowane do niego sprzeciwy organizacji pozarządowych</w:t>
      </w:r>
      <w:r w:rsidR="00992FD0" w:rsidRPr="00EC250C">
        <w:rPr>
          <w:bCs/>
          <w:iCs/>
        </w:rPr>
        <w:t xml:space="preserve"> i </w:t>
      </w:r>
      <w:r w:rsidRPr="00EC250C">
        <w:rPr>
          <w:bCs/>
          <w:iCs/>
        </w:rPr>
        <w:t>ekspertów</w:t>
      </w:r>
      <w:r w:rsidR="00992FD0" w:rsidRPr="00EC250C">
        <w:rPr>
          <w:bCs/>
          <w:iCs/>
        </w:rPr>
        <w:t xml:space="preserve"> i w </w:t>
      </w:r>
      <w:r w:rsidRPr="00EC250C">
        <w:rPr>
          <w:bCs/>
          <w:iCs/>
        </w:rPr>
        <w:t>wydanym rozporządzeniu</w:t>
      </w:r>
      <w:r w:rsidRPr="00EC250C">
        <w:rPr>
          <w:bCs/>
          <w:iCs/>
          <w:vertAlign w:val="superscript"/>
        </w:rPr>
        <w:footnoteReference w:id="636"/>
      </w:r>
      <w:r w:rsidRPr="00EC250C">
        <w:rPr>
          <w:bCs/>
          <w:iCs/>
        </w:rPr>
        <w:t xml:space="preserve"> przyjął akceptowalne rozwiązania.</w:t>
      </w:r>
      <w:r w:rsidR="00143FCF" w:rsidRPr="00EC250C">
        <w:rPr>
          <w:bCs/>
          <w:iCs/>
        </w:rPr>
        <w:t xml:space="preserve"> Oznacza to, że najbardziej zanieczyszczające powietrze rodzaje węgla nie będą mogły być sprzedawane. </w:t>
      </w:r>
    </w:p>
    <w:p w14:paraId="0BE1E38F" w14:textId="77777777" w:rsidR="00C91F6E" w:rsidRPr="00EC250C" w:rsidRDefault="00A07B88" w:rsidP="00EC250C">
      <w:pPr>
        <w:pStyle w:val="Nagwek5"/>
      </w:pPr>
      <w:r w:rsidRPr="00EC250C">
        <w:t>Ułatwianie refundacji kosztów wymiany systemu ogrzewania na ekologiczne</w:t>
      </w:r>
    </w:p>
    <w:p w14:paraId="73E39AD2" w14:textId="77777777" w:rsidR="00B473F5" w:rsidRPr="00EC250C" w:rsidRDefault="000025CF" w:rsidP="00D131FA">
      <w:pPr>
        <w:pStyle w:val="Problemczowieka"/>
        <w:jc w:val="both"/>
        <w:rPr>
          <w:rStyle w:val="Pogrubienie"/>
          <w:b/>
          <w:bCs w:val="0"/>
        </w:rPr>
      </w:pPr>
      <w:r w:rsidRPr="00EC250C">
        <w:rPr>
          <w:rStyle w:val="Pogrubienie"/>
          <w:b/>
          <w:bCs w:val="0"/>
        </w:rPr>
        <w:t>Obywatele</w:t>
      </w:r>
      <w:r w:rsidR="00A07B88" w:rsidRPr="00EC250C">
        <w:rPr>
          <w:rStyle w:val="Pogrubienie"/>
          <w:b/>
          <w:bCs w:val="0"/>
        </w:rPr>
        <w:t xml:space="preserve"> skarżą się na problemy</w:t>
      </w:r>
      <w:r w:rsidR="00992FD0" w:rsidRPr="00EC250C">
        <w:rPr>
          <w:rStyle w:val="Pogrubienie"/>
          <w:b/>
          <w:bCs w:val="0"/>
        </w:rPr>
        <w:t xml:space="preserve"> z </w:t>
      </w:r>
      <w:r w:rsidR="00A07B88" w:rsidRPr="00EC250C">
        <w:rPr>
          <w:rStyle w:val="Pogrubienie"/>
          <w:b/>
          <w:bCs w:val="0"/>
        </w:rPr>
        <w:t>refundacją kosztów wymiany systemu ogrzewania na ekologiczny. Dotacje</w:t>
      </w:r>
      <w:r w:rsidR="00992FD0" w:rsidRPr="00EC250C">
        <w:rPr>
          <w:rStyle w:val="Pogrubienie"/>
          <w:b/>
          <w:bCs w:val="0"/>
        </w:rPr>
        <w:t xml:space="preserve"> z </w:t>
      </w:r>
      <w:r w:rsidR="00A07B88" w:rsidRPr="00EC250C">
        <w:rPr>
          <w:rStyle w:val="Pogrubienie"/>
          <w:b/>
          <w:bCs w:val="0"/>
        </w:rPr>
        <w:t>samorządu terytorialnego nie mogą być bowiem udzielone na już zrealizowaną inwestycję</w:t>
      </w:r>
      <w:r w:rsidR="00B473F5" w:rsidRPr="00EC250C">
        <w:rPr>
          <w:rStyle w:val="Pogrubienie"/>
          <w:b/>
          <w:bCs w:val="0"/>
        </w:rPr>
        <w:t>.</w:t>
      </w:r>
    </w:p>
    <w:p w14:paraId="7DB75B21" w14:textId="77777777" w:rsidR="006074CA" w:rsidRPr="00EC250C" w:rsidRDefault="00731D2E" w:rsidP="00D131FA">
      <w:pPr>
        <w:pStyle w:val="Styl1"/>
        <w:rPr>
          <w:lang w:eastAsia="en-US"/>
        </w:rPr>
      </w:pPr>
      <w:r w:rsidRPr="00EC250C">
        <w:rPr>
          <w:lang w:eastAsia="en-US"/>
        </w:rPr>
        <w:lastRenderedPageBreak/>
        <w:t>Polacy mają coraz większą świadomość konieczności walki</w:t>
      </w:r>
      <w:r w:rsidR="00992FD0" w:rsidRPr="00EC250C">
        <w:rPr>
          <w:lang w:eastAsia="en-US"/>
        </w:rPr>
        <w:t xml:space="preserve"> z </w:t>
      </w:r>
      <w:r w:rsidRPr="00EC250C">
        <w:rPr>
          <w:lang w:eastAsia="en-US"/>
        </w:rPr>
        <w:t>zanieczyszczeniem powietrza</w:t>
      </w:r>
      <w:r w:rsidR="00992FD0" w:rsidRPr="00EC250C">
        <w:rPr>
          <w:lang w:eastAsia="en-US"/>
        </w:rPr>
        <w:t xml:space="preserve"> i </w:t>
      </w:r>
      <w:r w:rsidRPr="00EC250C">
        <w:rPr>
          <w:lang w:eastAsia="en-US"/>
        </w:rPr>
        <w:t>chcą ją prowadzić. Świadczy</w:t>
      </w:r>
      <w:r w:rsidR="00992FD0" w:rsidRPr="00EC250C">
        <w:rPr>
          <w:lang w:eastAsia="en-US"/>
        </w:rPr>
        <w:t xml:space="preserve"> o </w:t>
      </w:r>
      <w:r w:rsidRPr="00EC250C">
        <w:rPr>
          <w:lang w:eastAsia="en-US"/>
        </w:rPr>
        <w:t xml:space="preserve">tym m.in. zainteresowanie programami dofinansowującymi wymianę starych, nieekologicznych źródeł ogrzewania. Analiza spraw kierowanych do </w:t>
      </w:r>
      <w:r w:rsidR="00D76DC6" w:rsidRPr="00EC250C">
        <w:rPr>
          <w:lang w:eastAsia="en-US"/>
        </w:rPr>
        <w:t>RPO</w:t>
      </w:r>
      <w:r w:rsidRPr="00EC250C">
        <w:rPr>
          <w:lang w:eastAsia="en-US"/>
        </w:rPr>
        <w:t xml:space="preserve"> pozwoliła mu na zdefiniowanie pewnych niedostatków legislacyjnych, które </w:t>
      </w:r>
      <w:r w:rsidR="006074CA" w:rsidRPr="00EC250C">
        <w:rPr>
          <w:lang w:eastAsia="en-US"/>
        </w:rPr>
        <w:t xml:space="preserve">utrudniają </w:t>
      </w:r>
      <w:r w:rsidRPr="00EC250C">
        <w:rPr>
          <w:lang w:eastAsia="en-US"/>
        </w:rPr>
        <w:t>korzystani</w:t>
      </w:r>
      <w:r w:rsidR="006074CA" w:rsidRPr="00EC250C">
        <w:rPr>
          <w:lang w:eastAsia="en-US"/>
        </w:rPr>
        <w:t>e</w:t>
      </w:r>
      <w:r w:rsidRPr="00EC250C">
        <w:rPr>
          <w:lang w:eastAsia="en-US"/>
        </w:rPr>
        <w:t xml:space="preserve"> </w:t>
      </w:r>
      <w:r w:rsidR="00992FD0" w:rsidRPr="00EC250C">
        <w:rPr>
          <w:lang w:eastAsia="en-US"/>
        </w:rPr>
        <w:t>z </w:t>
      </w:r>
      <w:r w:rsidRPr="00EC250C">
        <w:rPr>
          <w:lang w:eastAsia="en-US"/>
        </w:rPr>
        <w:t xml:space="preserve">dofinansowania. </w:t>
      </w:r>
    </w:p>
    <w:p w14:paraId="7E2FF01A" w14:textId="77777777" w:rsidR="00731D2E" w:rsidRPr="00EC250C" w:rsidRDefault="00731D2E" w:rsidP="00D131FA">
      <w:pPr>
        <w:pStyle w:val="Styl1"/>
        <w:rPr>
          <w:bCs/>
          <w:iCs/>
        </w:rPr>
      </w:pPr>
      <w:r w:rsidRPr="00EC250C">
        <w:rPr>
          <w:lang w:eastAsia="en-US"/>
        </w:rPr>
        <w:t>Pierwszym</w:t>
      </w:r>
      <w:r w:rsidR="00992FD0" w:rsidRPr="00EC250C">
        <w:rPr>
          <w:lang w:eastAsia="en-US"/>
        </w:rPr>
        <w:t xml:space="preserve"> z </w:t>
      </w:r>
      <w:r w:rsidRPr="00EC250C">
        <w:rPr>
          <w:lang w:eastAsia="en-US"/>
        </w:rPr>
        <w:t>nich jest kwestia nieokreślenia</w:t>
      </w:r>
      <w:r w:rsidR="00992FD0" w:rsidRPr="00EC250C">
        <w:rPr>
          <w:lang w:eastAsia="en-US"/>
        </w:rPr>
        <w:t xml:space="preserve"> w </w:t>
      </w:r>
      <w:r w:rsidRPr="00EC250C">
        <w:rPr>
          <w:lang w:eastAsia="en-US"/>
        </w:rPr>
        <w:t>przepisach formy prawnej,</w:t>
      </w:r>
      <w:r w:rsidR="00992FD0" w:rsidRPr="00EC250C">
        <w:rPr>
          <w:lang w:eastAsia="en-US"/>
        </w:rPr>
        <w:t xml:space="preserve"> w </w:t>
      </w:r>
      <w:r w:rsidRPr="00EC250C">
        <w:rPr>
          <w:lang w:eastAsia="en-US"/>
        </w:rPr>
        <w:t>jakiej właściwy organ rozstrzyga</w:t>
      </w:r>
      <w:r w:rsidR="00992FD0" w:rsidRPr="00EC250C">
        <w:rPr>
          <w:lang w:eastAsia="en-US"/>
        </w:rPr>
        <w:t xml:space="preserve"> o </w:t>
      </w:r>
      <w:r w:rsidRPr="00EC250C">
        <w:rPr>
          <w:lang w:eastAsia="en-US"/>
        </w:rPr>
        <w:t>przyznaniu/odmowie dofinansowania, przez co zainteresowany obywatel ma trudności</w:t>
      </w:r>
      <w:r w:rsidR="00992FD0" w:rsidRPr="00EC250C">
        <w:rPr>
          <w:lang w:eastAsia="en-US"/>
        </w:rPr>
        <w:t xml:space="preserve"> z </w:t>
      </w:r>
      <w:r w:rsidRPr="00EC250C">
        <w:rPr>
          <w:lang w:eastAsia="en-US"/>
        </w:rPr>
        <w:t>weryfikacją tego, czy podjęte</w:t>
      </w:r>
      <w:r w:rsidR="00992FD0" w:rsidRPr="00EC250C">
        <w:rPr>
          <w:lang w:eastAsia="en-US"/>
        </w:rPr>
        <w:t xml:space="preserve"> w </w:t>
      </w:r>
      <w:r w:rsidRPr="00EC250C">
        <w:rPr>
          <w:lang w:eastAsia="en-US"/>
        </w:rPr>
        <w:t>jego sprawie rozstrzygnięcie nie było arbitralne</w:t>
      </w:r>
      <w:r w:rsidRPr="00EC250C">
        <w:rPr>
          <w:rStyle w:val="Odwoanieprzypisudolnego"/>
          <w:rFonts w:eastAsiaTheme="majorEastAsia"/>
          <w:lang w:eastAsia="en-US"/>
        </w:rPr>
        <w:footnoteReference w:id="637"/>
      </w:r>
      <w:r w:rsidRPr="00EC250C">
        <w:rPr>
          <w:lang w:eastAsia="en-US"/>
        </w:rPr>
        <w:t xml:space="preserve">. </w:t>
      </w:r>
      <w:r w:rsidRPr="00EC250C">
        <w:rPr>
          <w:bCs/>
          <w:iCs/>
        </w:rPr>
        <w:t xml:space="preserve">Minister nie podzielił zastrzeżeń </w:t>
      </w:r>
      <w:r w:rsidR="00D76DC6" w:rsidRPr="00EC250C">
        <w:rPr>
          <w:bCs/>
          <w:iCs/>
        </w:rPr>
        <w:t>RPO</w:t>
      </w:r>
      <w:r w:rsidRPr="00EC250C">
        <w:rPr>
          <w:bCs/>
          <w:iCs/>
        </w:rPr>
        <w:t>. Stwierdził, że nieokreślenie formy prawnej rozstrzygnięcia wniosku</w:t>
      </w:r>
      <w:r w:rsidR="00992FD0" w:rsidRPr="00EC250C">
        <w:rPr>
          <w:bCs/>
          <w:iCs/>
        </w:rPr>
        <w:t xml:space="preserve"> o </w:t>
      </w:r>
      <w:r w:rsidRPr="00EC250C">
        <w:rPr>
          <w:bCs/>
          <w:iCs/>
        </w:rPr>
        <w:t>dotację było świadomym zabiegiem ustawodawcy</w:t>
      </w:r>
      <w:r w:rsidR="006074CA" w:rsidRPr="00EC250C">
        <w:rPr>
          <w:bCs/>
          <w:iCs/>
        </w:rPr>
        <w:t>:</w:t>
      </w:r>
      <w:r w:rsidRPr="00EC250C">
        <w:rPr>
          <w:bCs/>
          <w:iCs/>
        </w:rPr>
        <w:t xml:space="preserve"> </w:t>
      </w:r>
      <w:r w:rsidR="006074CA" w:rsidRPr="00EC250C">
        <w:rPr>
          <w:bCs/>
          <w:iCs/>
        </w:rPr>
        <w:t>k</w:t>
      </w:r>
      <w:r w:rsidRPr="00EC250C">
        <w:rPr>
          <w:bCs/>
          <w:iCs/>
        </w:rPr>
        <w:t>westia udzielenia dotacji jest</w:t>
      </w:r>
      <w:r w:rsidR="006074CA" w:rsidRPr="00EC250C">
        <w:rPr>
          <w:bCs/>
          <w:iCs/>
        </w:rPr>
        <w:t xml:space="preserve"> </w:t>
      </w:r>
      <w:r w:rsidRPr="00EC250C">
        <w:rPr>
          <w:bCs/>
          <w:iCs/>
        </w:rPr>
        <w:t>sprawą cywilnoprawną,</w:t>
      </w:r>
      <w:r w:rsidR="00992FD0" w:rsidRPr="00EC250C">
        <w:rPr>
          <w:bCs/>
          <w:iCs/>
        </w:rPr>
        <w:t xml:space="preserve"> a </w:t>
      </w:r>
      <w:r w:rsidRPr="00EC250C">
        <w:rPr>
          <w:bCs/>
          <w:iCs/>
        </w:rPr>
        <w:t>nie administracyjną. Taki stan rzeczy nie zagraża,</w:t>
      </w:r>
      <w:r w:rsidR="00992FD0" w:rsidRPr="00EC250C">
        <w:rPr>
          <w:bCs/>
          <w:iCs/>
        </w:rPr>
        <w:t xml:space="preserve"> w </w:t>
      </w:r>
      <w:r w:rsidRPr="00EC250C">
        <w:rPr>
          <w:bCs/>
          <w:iCs/>
        </w:rPr>
        <w:t>ocenie Ministra, prawu do sądowej weryfikacji podjętej decyzji (zainteresowany może skierować powództwo do sądu powszechnego</w:t>
      </w:r>
      <w:r w:rsidR="00992FD0" w:rsidRPr="00EC250C">
        <w:rPr>
          <w:bCs/>
          <w:iCs/>
        </w:rPr>
        <w:t xml:space="preserve"> o </w:t>
      </w:r>
      <w:r w:rsidRPr="00EC250C">
        <w:rPr>
          <w:bCs/>
          <w:iCs/>
        </w:rPr>
        <w:t>odszkodowanie za szkodę spowodowaną nieprzyznaniem dotacji).</w:t>
      </w:r>
    </w:p>
    <w:p w14:paraId="101B2409" w14:textId="77777777" w:rsidR="00731D2E" w:rsidRPr="00EC250C" w:rsidRDefault="00731D2E" w:rsidP="00D131FA">
      <w:pPr>
        <w:pStyle w:val="Styl1"/>
        <w:rPr>
          <w:bCs/>
          <w:iCs/>
        </w:rPr>
      </w:pPr>
      <w:r w:rsidRPr="00EC250C">
        <w:rPr>
          <w:lang w:eastAsia="en-US"/>
        </w:rPr>
        <w:t>Drugi</w:t>
      </w:r>
      <w:r w:rsidR="00992FD0" w:rsidRPr="00EC250C">
        <w:rPr>
          <w:lang w:eastAsia="en-US"/>
        </w:rPr>
        <w:t xml:space="preserve"> z </w:t>
      </w:r>
      <w:r w:rsidRPr="00EC250C">
        <w:rPr>
          <w:lang w:eastAsia="en-US"/>
        </w:rPr>
        <w:t xml:space="preserve">dostrzeżonych przez </w:t>
      </w:r>
      <w:r w:rsidR="00D76DC6" w:rsidRPr="00EC250C">
        <w:rPr>
          <w:lang w:eastAsia="en-US"/>
        </w:rPr>
        <w:t>RPO</w:t>
      </w:r>
      <w:r w:rsidRPr="00EC250C">
        <w:rPr>
          <w:lang w:eastAsia="en-US"/>
        </w:rPr>
        <w:t xml:space="preserve"> problemów systemowych dotyczący dotacji przyznawanych przez jednostki samorządu terytorialnego, związany jest</w:t>
      </w:r>
      <w:r w:rsidR="00992FD0" w:rsidRPr="00EC250C">
        <w:rPr>
          <w:lang w:eastAsia="en-US"/>
        </w:rPr>
        <w:t xml:space="preserve"> z </w:t>
      </w:r>
      <w:r w:rsidRPr="00EC250C">
        <w:rPr>
          <w:lang w:eastAsia="en-US"/>
        </w:rPr>
        <w:t>charakterem prawnym tego środka pomocowego. Zgodnie</w:t>
      </w:r>
      <w:r w:rsidR="00992FD0" w:rsidRPr="00EC250C">
        <w:rPr>
          <w:lang w:eastAsia="en-US"/>
        </w:rPr>
        <w:t xml:space="preserve"> z </w:t>
      </w:r>
      <w:r w:rsidRPr="00EC250C">
        <w:rPr>
          <w:lang w:eastAsia="en-US"/>
        </w:rPr>
        <w:t>przepisami ustawy</w:t>
      </w:r>
      <w:r w:rsidR="00992FD0" w:rsidRPr="00EC250C">
        <w:rPr>
          <w:lang w:eastAsia="en-US"/>
        </w:rPr>
        <w:t xml:space="preserve"> o </w:t>
      </w:r>
      <w:r w:rsidRPr="00EC250C">
        <w:rPr>
          <w:lang w:eastAsia="en-US"/>
        </w:rPr>
        <w:t>finansach publicznych taka dotacja może być udzielona tylko na inwestycję przyszłą,</w:t>
      </w:r>
      <w:r w:rsidR="00992FD0" w:rsidRPr="00EC250C">
        <w:rPr>
          <w:lang w:eastAsia="en-US"/>
        </w:rPr>
        <w:t xml:space="preserve"> a </w:t>
      </w:r>
      <w:r w:rsidRPr="00EC250C">
        <w:rPr>
          <w:lang w:eastAsia="en-US"/>
        </w:rPr>
        <w:t>nie już zrealizowaną. Tymczasem praktyka samorządowych programów pokazuje, że</w:t>
      </w:r>
      <w:r w:rsidR="00992FD0" w:rsidRPr="00EC250C">
        <w:rPr>
          <w:lang w:eastAsia="en-US"/>
        </w:rPr>
        <w:t xml:space="preserve"> w </w:t>
      </w:r>
      <w:r w:rsidRPr="00EC250C">
        <w:rPr>
          <w:bCs/>
          <w:iCs/>
        </w:rPr>
        <w:t>wielu przypadkach, na realizację wszystkich wniosków nie starcza samorządom środków. Z uwagi na zaawansowanie inwestycji zainteresowani decydują się jednak często na jej przeprowadzenie</w:t>
      </w:r>
      <w:r w:rsidR="006074CA" w:rsidRPr="00EC250C">
        <w:rPr>
          <w:bCs/>
          <w:iCs/>
        </w:rPr>
        <w:t xml:space="preserve"> bez </w:t>
      </w:r>
      <w:r w:rsidRPr="00EC250C">
        <w:rPr>
          <w:bCs/>
          <w:iCs/>
        </w:rPr>
        <w:t>dotacji licząc, że uzyskają dofinansowanie (refundację)</w:t>
      </w:r>
      <w:r w:rsidR="00992FD0" w:rsidRPr="00EC250C">
        <w:rPr>
          <w:bCs/>
          <w:iCs/>
        </w:rPr>
        <w:t xml:space="preserve"> w </w:t>
      </w:r>
      <w:r w:rsidRPr="00EC250C">
        <w:rPr>
          <w:bCs/>
          <w:iCs/>
        </w:rPr>
        <w:t xml:space="preserve">ramach środków przeznaczonych przez samorząd na kolejny rok. To jednak nie jest możliwe, na co </w:t>
      </w:r>
      <w:r w:rsidR="00D76DC6" w:rsidRPr="00EC250C">
        <w:rPr>
          <w:bCs/>
          <w:iCs/>
        </w:rPr>
        <w:t>RPO</w:t>
      </w:r>
      <w:r w:rsidRPr="00EC250C">
        <w:rPr>
          <w:bCs/>
          <w:iCs/>
        </w:rPr>
        <w:t xml:space="preserve"> zwrócił uwagę Ministrowi Środowiska</w:t>
      </w:r>
      <w:r w:rsidRPr="00EC250C">
        <w:rPr>
          <w:rStyle w:val="Odwoanieprzypisudolnego"/>
          <w:rFonts w:eastAsiaTheme="majorEastAsia"/>
          <w:bCs/>
        </w:rPr>
        <w:footnoteReference w:id="638"/>
      </w:r>
      <w:r w:rsidRPr="00EC250C">
        <w:rPr>
          <w:bCs/>
          <w:iCs/>
        </w:rPr>
        <w:t>.</w:t>
      </w:r>
    </w:p>
    <w:p w14:paraId="7C423A38" w14:textId="77777777" w:rsidR="000025CF" w:rsidRPr="00EC250C" w:rsidRDefault="000025CF" w:rsidP="00EC250C">
      <w:pPr>
        <w:pStyle w:val="Nagwek8"/>
      </w:pPr>
      <w:r w:rsidRPr="00EC250C">
        <w:t>Problem smogu zgłaszany przez uczestników spotkań regionalnych RPO</w:t>
      </w:r>
    </w:p>
    <w:p w14:paraId="13C06517" w14:textId="77777777" w:rsidR="000025CF" w:rsidRPr="00EC250C" w:rsidRDefault="009F5010" w:rsidP="00D131FA">
      <w:pPr>
        <w:pStyle w:val="Styl2"/>
        <w:rPr>
          <w:szCs w:val="24"/>
        </w:rPr>
      </w:pPr>
      <w:r w:rsidRPr="00EC250C">
        <w:rPr>
          <w:szCs w:val="24"/>
        </w:rPr>
        <w:t>Problem smogu jest regularnie zgłaszany w czasie większości spotkań regionalnych. W 2018 r. na problem jakości powietrza skarżyli się mieszkańcy: Rybnika, Lublińca i Radomska.</w:t>
      </w:r>
    </w:p>
    <w:p w14:paraId="56F2E8D0" w14:textId="77777777" w:rsidR="009F5010" w:rsidRPr="00EC250C" w:rsidRDefault="009F5010" w:rsidP="00D131FA">
      <w:pPr>
        <w:pStyle w:val="Styl2"/>
        <w:rPr>
          <w:szCs w:val="24"/>
        </w:rPr>
      </w:pPr>
      <w:r w:rsidRPr="00EC250C">
        <w:rPr>
          <w:szCs w:val="24"/>
        </w:rPr>
        <w:t>Prawu do czystego środowiska jako prawo człowieka poświęcony był panel II Kongresu Praw Obywatelskich</w:t>
      </w:r>
      <w:r w:rsidRPr="00EC250C">
        <w:rPr>
          <w:rStyle w:val="Odwoanieprzypisudolnego"/>
          <w:szCs w:val="24"/>
        </w:rPr>
        <w:footnoteReference w:id="639"/>
      </w:r>
      <w:r w:rsidRPr="00EC250C">
        <w:rPr>
          <w:szCs w:val="24"/>
        </w:rPr>
        <w:t>. Z przedstawicielami koalicji "Dość Trucia" RPO spotkał się w czasie grudniowego Szczytu Klimatycznego COP24 w Katowicach.</w:t>
      </w:r>
    </w:p>
    <w:p w14:paraId="3FDA5C03" w14:textId="77777777" w:rsidR="008145BC" w:rsidRPr="00EC250C" w:rsidRDefault="008145BC" w:rsidP="00EC79EB">
      <w:pPr>
        <w:pStyle w:val="Nagwek4"/>
      </w:pPr>
      <w:bookmarkStart w:id="645" w:name="_Toc6257925"/>
      <w:bookmarkStart w:id="646" w:name="_Toc11247803"/>
      <w:r w:rsidRPr="00EC250C">
        <w:lastRenderedPageBreak/>
        <w:t>Odpady</w:t>
      </w:r>
      <w:r w:rsidR="00992FD0" w:rsidRPr="00EC250C">
        <w:t xml:space="preserve"> i </w:t>
      </w:r>
      <w:r w:rsidR="003565B8" w:rsidRPr="00EC250C">
        <w:t xml:space="preserve">nielegalne </w:t>
      </w:r>
      <w:r w:rsidRPr="00EC250C">
        <w:t>wysypiska</w:t>
      </w:r>
      <w:bookmarkEnd w:id="645"/>
      <w:r w:rsidR="003565B8" w:rsidRPr="00EC250C">
        <w:t>;</w:t>
      </w:r>
      <w:r w:rsidR="00731D2E" w:rsidRPr="00EC250C">
        <w:t xml:space="preserve"> gospodarka odpadami</w:t>
      </w:r>
      <w:bookmarkEnd w:id="646"/>
    </w:p>
    <w:p w14:paraId="3708C0DF" w14:textId="77777777" w:rsidR="00B473F5" w:rsidRPr="00EC250C" w:rsidRDefault="00D52B5C" w:rsidP="00D131FA">
      <w:pPr>
        <w:pStyle w:val="Problemczowieka"/>
        <w:jc w:val="both"/>
        <w:rPr>
          <w:rStyle w:val="Pogrubienie"/>
          <w:b/>
          <w:bCs w:val="0"/>
        </w:rPr>
      </w:pPr>
      <w:r w:rsidRPr="00EC250C">
        <w:rPr>
          <w:rStyle w:val="Pogrubienie"/>
          <w:b/>
          <w:bCs w:val="0"/>
        </w:rPr>
        <w:t>Je</w:t>
      </w:r>
      <w:r w:rsidRPr="00EC250C">
        <w:rPr>
          <w:rStyle w:val="Pogrubienie"/>
          <w:rFonts w:hint="eastAsia"/>
          <w:b/>
          <w:bCs w:val="0"/>
        </w:rPr>
        <w:t>ś</w:t>
      </w:r>
      <w:r w:rsidRPr="00EC250C">
        <w:rPr>
          <w:rStyle w:val="Pogrubienie"/>
          <w:b/>
          <w:bCs w:val="0"/>
        </w:rPr>
        <w:t>li mieszka</w:t>
      </w:r>
      <w:r w:rsidRPr="00EC250C">
        <w:rPr>
          <w:rStyle w:val="Pogrubienie"/>
          <w:rFonts w:hint="eastAsia"/>
          <w:b/>
          <w:bCs w:val="0"/>
        </w:rPr>
        <w:t>ń</w:t>
      </w:r>
      <w:r w:rsidRPr="00EC250C">
        <w:rPr>
          <w:rStyle w:val="Pogrubienie"/>
          <w:b/>
          <w:bCs w:val="0"/>
        </w:rPr>
        <w:t>cy gminy czuj</w:t>
      </w:r>
      <w:r w:rsidRPr="00EC250C">
        <w:rPr>
          <w:rStyle w:val="Pogrubienie"/>
          <w:rFonts w:hint="eastAsia"/>
          <w:b/>
          <w:bCs w:val="0"/>
        </w:rPr>
        <w:t>ą</w:t>
      </w:r>
      <w:r w:rsidRPr="00EC250C">
        <w:rPr>
          <w:rStyle w:val="Pogrubienie"/>
          <w:b/>
          <w:bCs w:val="0"/>
        </w:rPr>
        <w:t xml:space="preserve"> si</w:t>
      </w:r>
      <w:r w:rsidRPr="00EC250C">
        <w:rPr>
          <w:rStyle w:val="Pogrubienie"/>
          <w:rFonts w:hint="eastAsia"/>
          <w:b/>
          <w:bCs w:val="0"/>
        </w:rPr>
        <w:t>ę</w:t>
      </w:r>
      <w:r w:rsidRPr="00EC250C">
        <w:rPr>
          <w:rStyle w:val="Pogrubienie"/>
          <w:b/>
          <w:bCs w:val="0"/>
        </w:rPr>
        <w:t xml:space="preserve"> zagro</w:t>
      </w:r>
      <w:r w:rsidRPr="00EC250C">
        <w:rPr>
          <w:rStyle w:val="Pogrubienie"/>
          <w:rFonts w:hint="eastAsia"/>
          <w:b/>
          <w:bCs w:val="0"/>
        </w:rPr>
        <w:t>ż</w:t>
      </w:r>
      <w:r w:rsidRPr="00EC250C">
        <w:rPr>
          <w:rStyle w:val="Pogrubienie"/>
          <w:b/>
          <w:bCs w:val="0"/>
        </w:rPr>
        <w:t>eni nielegalnym sk</w:t>
      </w:r>
      <w:r w:rsidRPr="00EC250C">
        <w:rPr>
          <w:rStyle w:val="Pogrubienie"/>
          <w:rFonts w:hint="eastAsia"/>
          <w:b/>
          <w:bCs w:val="0"/>
        </w:rPr>
        <w:t>ł</w:t>
      </w:r>
      <w:r w:rsidRPr="00EC250C">
        <w:rPr>
          <w:rStyle w:val="Pogrubienie"/>
          <w:b/>
          <w:bCs w:val="0"/>
        </w:rPr>
        <w:t>adowiskiem odpad</w:t>
      </w:r>
      <w:r w:rsidRPr="00EC250C">
        <w:rPr>
          <w:rStyle w:val="Pogrubienie"/>
          <w:rFonts w:hint="eastAsia"/>
          <w:b/>
          <w:bCs w:val="0"/>
        </w:rPr>
        <w:t>ó</w:t>
      </w:r>
      <w:r w:rsidRPr="00EC250C">
        <w:rPr>
          <w:rStyle w:val="Pogrubienie"/>
          <w:b/>
          <w:bCs w:val="0"/>
        </w:rPr>
        <w:t>w, to ciężko im</w:t>
      </w:r>
      <w:r w:rsidR="00992FD0" w:rsidRPr="00EC250C">
        <w:rPr>
          <w:rStyle w:val="Pogrubienie"/>
          <w:b/>
          <w:bCs w:val="0"/>
        </w:rPr>
        <w:t xml:space="preserve"> z </w:t>
      </w:r>
      <w:r w:rsidRPr="00EC250C">
        <w:rPr>
          <w:rStyle w:val="Pogrubienie"/>
          <w:b/>
          <w:bCs w:val="0"/>
        </w:rPr>
        <w:t>tym walczyć. Nawet kiedy działają wsp</w:t>
      </w:r>
      <w:r w:rsidRPr="00EC250C">
        <w:rPr>
          <w:rStyle w:val="Pogrubienie"/>
          <w:rFonts w:hint="eastAsia"/>
          <w:b/>
          <w:bCs w:val="0"/>
        </w:rPr>
        <w:t>ó</w:t>
      </w:r>
      <w:r w:rsidRPr="00EC250C">
        <w:rPr>
          <w:rStyle w:val="Pogrubienie"/>
          <w:b/>
          <w:bCs w:val="0"/>
        </w:rPr>
        <w:t>lnie. Gminy nie maj</w:t>
      </w:r>
      <w:r w:rsidRPr="00EC250C">
        <w:rPr>
          <w:rStyle w:val="Pogrubienie"/>
          <w:rFonts w:hint="eastAsia"/>
          <w:b/>
          <w:bCs w:val="0"/>
        </w:rPr>
        <w:t>ą</w:t>
      </w:r>
      <w:r w:rsidRPr="00EC250C">
        <w:rPr>
          <w:rStyle w:val="Pogrubienie"/>
          <w:b/>
          <w:bCs w:val="0"/>
        </w:rPr>
        <w:t xml:space="preserve"> pieni</w:t>
      </w:r>
      <w:r w:rsidRPr="00EC250C">
        <w:rPr>
          <w:rStyle w:val="Pogrubienie"/>
          <w:rFonts w:hint="eastAsia"/>
          <w:b/>
          <w:bCs w:val="0"/>
        </w:rPr>
        <w:t>ę</w:t>
      </w:r>
      <w:r w:rsidRPr="00EC250C">
        <w:rPr>
          <w:rStyle w:val="Pogrubienie"/>
          <w:b/>
          <w:bCs w:val="0"/>
        </w:rPr>
        <w:t>dzy na samodzielne usuwanie sk</w:t>
      </w:r>
      <w:r w:rsidRPr="00EC250C">
        <w:rPr>
          <w:rStyle w:val="Pogrubienie"/>
          <w:rFonts w:hint="eastAsia"/>
          <w:b/>
          <w:bCs w:val="0"/>
        </w:rPr>
        <w:t>ł</w:t>
      </w:r>
      <w:r w:rsidRPr="00EC250C">
        <w:rPr>
          <w:rStyle w:val="Pogrubienie"/>
          <w:b/>
          <w:bCs w:val="0"/>
        </w:rPr>
        <w:t>adowisk, gdy uchyla si</w:t>
      </w:r>
      <w:r w:rsidRPr="00EC250C">
        <w:rPr>
          <w:rStyle w:val="Pogrubienie"/>
          <w:rFonts w:hint="eastAsia"/>
          <w:b/>
          <w:bCs w:val="0"/>
        </w:rPr>
        <w:t>ę</w:t>
      </w:r>
      <w:r w:rsidRPr="00EC250C">
        <w:rPr>
          <w:rStyle w:val="Pogrubienie"/>
          <w:b/>
          <w:bCs w:val="0"/>
        </w:rPr>
        <w:t xml:space="preserve"> od tego ich posiadacz</w:t>
      </w:r>
      <w:r w:rsidR="00B473F5" w:rsidRPr="00EC250C">
        <w:rPr>
          <w:rStyle w:val="Pogrubienie"/>
          <w:b/>
          <w:bCs w:val="0"/>
        </w:rPr>
        <w:t>.</w:t>
      </w:r>
    </w:p>
    <w:p w14:paraId="65DC066C" w14:textId="77777777" w:rsidR="00C91F6E" w:rsidRPr="00EC250C" w:rsidRDefault="00D76DC6" w:rsidP="00D131FA">
      <w:pPr>
        <w:pStyle w:val="Styl1"/>
        <w:rPr>
          <w:lang w:eastAsia="en-US"/>
        </w:rPr>
      </w:pPr>
      <w:r w:rsidRPr="00EC250C">
        <w:rPr>
          <w:lang w:eastAsia="en-US"/>
        </w:rPr>
        <w:t xml:space="preserve">RPO </w:t>
      </w:r>
      <w:r w:rsidR="00D52B5C" w:rsidRPr="00EC250C">
        <w:rPr>
          <w:lang w:eastAsia="en-US"/>
        </w:rPr>
        <w:t>wystąpił do Komendanta Głównego Państwowej Straży Pożarnej</w:t>
      </w:r>
      <w:r w:rsidR="00992FD0" w:rsidRPr="00EC250C">
        <w:rPr>
          <w:lang w:eastAsia="en-US"/>
        </w:rPr>
        <w:t xml:space="preserve"> i </w:t>
      </w:r>
      <w:r w:rsidR="00D52B5C" w:rsidRPr="00EC250C">
        <w:rPr>
          <w:lang w:eastAsia="en-US"/>
        </w:rPr>
        <w:t>Głównego Inspektora Ochrony Środowiska</w:t>
      </w:r>
      <w:r w:rsidR="00992FD0" w:rsidRPr="00EC250C">
        <w:rPr>
          <w:lang w:eastAsia="en-US"/>
        </w:rPr>
        <w:t xml:space="preserve"> o </w:t>
      </w:r>
      <w:r w:rsidR="00D52B5C" w:rsidRPr="00EC250C">
        <w:rPr>
          <w:lang w:eastAsia="en-US"/>
        </w:rPr>
        <w:t>przedstawienie informacji obrazujących skalę zjawiska</w:t>
      </w:r>
      <w:r w:rsidR="00D52B5C" w:rsidRPr="00EC250C">
        <w:rPr>
          <w:rStyle w:val="Odwoanieprzypisudolnego"/>
          <w:rFonts w:eastAsiaTheme="majorEastAsia"/>
          <w:lang w:eastAsia="en-US"/>
        </w:rPr>
        <w:footnoteReference w:id="640"/>
      </w:r>
      <w:r w:rsidR="00D52B5C" w:rsidRPr="00EC250C">
        <w:rPr>
          <w:lang w:eastAsia="en-US"/>
        </w:rPr>
        <w:t>. Przedstawione przez organy informacje potwierdziły doniesienia</w:t>
      </w:r>
      <w:r w:rsidR="00992FD0" w:rsidRPr="00EC250C">
        <w:rPr>
          <w:lang w:eastAsia="en-US"/>
        </w:rPr>
        <w:t xml:space="preserve"> o </w:t>
      </w:r>
      <w:r w:rsidR="00D52B5C" w:rsidRPr="00EC250C">
        <w:rPr>
          <w:lang w:eastAsia="en-US"/>
        </w:rPr>
        <w:t>systemowym charakterze istniejącego problemu</w:t>
      </w:r>
      <w:r w:rsidR="00992FD0" w:rsidRPr="00EC250C">
        <w:rPr>
          <w:lang w:eastAsia="en-US"/>
        </w:rPr>
        <w:t xml:space="preserve"> z </w:t>
      </w:r>
      <w:r w:rsidR="00D52B5C" w:rsidRPr="00EC250C">
        <w:rPr>
          <w:lang w:eastAsia="en-US"/>
        </w:rPr>
        <w:t>nadzorem nad składowaniem</w:t>
      </w:r>
      <w:r w:rsidR="00992FD0" w:rsidRPr="00EC250C">
        <w:rPr>
          <w:lang w:eastAsia="en-US"/>
        </w:rPr>
        <w:t xml:space="preserve"> i </w:t>
      </w:r>
      <w:r w:rsidR="00D52B5C" w:rsidRPr="00EC250C">
        <w:rPr>
          <w:lang w:eastAsia="en-US"/>
        </w:rPr>
        <w:t>magazynowaniem odpadów.</w:t>
      </w:r>
    </w:p>
    <w:p w14:paraId="44EF4E27" w14:textId="77777777" w:rsidR="00C91F6E" w:rsidRPr="00EC250C" w:rsidRDefault="00D52B5C" w:rsidP="00D131FA">
      <w:pPr>
        <w:pStyle w:val="Styl1"/>
        <w:rPr>
          <w:lang w:eastAsia="en-US"/>
        </w:rPr>
      </w:pPr>
      <w:r w:rsidRPr="00EC250C">
        <w:rPr>
          <w:lang w:eastAsia="en-US"/>
        </w:rPr>
        <w:t>Do rangi osobnego problemu urasta usuwanie pozostałości po pożarach,</w:t>
      </w:r>
      <w:r w:rsidR="00992FD0" w:rsidRPr="00EC250C">
        <w:rPr>
          <w:lang w:eastAsia="en-US"/>
        </w:rPr>
        <w:t xml:space="preserve"> a </w:t>
      </w:r>
      <w:r w:rsidRPr="00EC250C">
        <w:rPr>
          <w:lang w:eastAsia="en-US"/>
        </w:rPr>
        <w:t>także innych, nielegalnie prowadzonych składowisk</w:t>
      </w:r>
      <w:r w:rsidR="00992FD0" w:rsidRPr="00EC250C">
        <w:rPr>
          <w:lang w:eastAsia="en-US"/>
        </w:rPr>
        <w:t xml:space="preserve"> i </w:t>
      </w:r>
      <w:r w:rsidRPr="00EC250C">
        <w:rPr>
          <w:lang w:eastAsia="en-US"/>
        </w:rPr>
        <w:t>magazynów. Zgodnie</w:t>
      </w:r>
      <w:r w:rsidR="00992FD0" w:rsidRPr="00EC250C">
        <w:rPr>
          <w:lang w:eastAsia="en-US"/>
        </w:rPr>
        <w:t xml:space="preserve"> z </w:t>
      </w:r>
      <w:r w:rsidRPr="00EC250C">
        <w:rPr>
          <w:lang w:eastAsia="en-US"/>
        </w:rPr>
        <w:t>przepisami, za usunięcie odpadów odpowiada ich posiadacz. Praktyka pokazuje jednak, że nie da się go do tego zmusić. W takiej sytuacji organy samorządowe powinny zastępczo (na koszt posiadacza) usunąć odpady, jednak zwykle nie mają na to pieniędzy.</w:t>
      </w:r>
    </w:p>
    <w:p w14:paraId="2B95FDBE" w14:textId="77777777" w:rsidR="009F5010" w:rsidRPr="00EC250C" w:rsidRDefault="009F5010" w:rsidP="00D131FA">
      <w:pPr>
        <w:pStyle w:val="Styl1"/>
        <w:rPr>
          <w:lang w:eastAsia="en-US"/>
        </w:rPr>
      </w:pPr>
      <w:r w:rsidRPr="00EC250C">
        <w:rPr>
          <w:lang w:eastAsia="en-US"/>
        </w:rPr>
        <w:t>W sprawie braku dostatecznych mechanizmów wsparcia finansowego samorządów RPO zwrócił się do Prezesa Narodowego Funduszu Ochrony Środowiska i Gospodarki Wodnej</w:t>
      </w:r>
      <w:r w:rsidRPr="00EC250C">
        <w:rPr>
          <w:rStyle w:val="Odwoanieprzypisudolnego"/>
          <w:rFonts w:eastAsiaTheme="majorEastAsia"/>
          <w:lang w:eastAsia="en-US"/>
        </w:rPr>
        <w:footnoteReference w:id="641"/>
      </w:r>
      <w:r w:rsidRPr="00EC250C">
        <w:rPr>
          <w:lang w:eastAsia="en-US"/>
        </w:rPr>
        <w:t xml:space="preserve">. W odpowiedzi Prezes zapewnił o zamiarze dostosowania oferty Funduszu do bieżących potrzeb po przyjęciu procedowanych ówcześnie zmian prawnych. 5 września 2018 r. weszła w życie ustawa stanowiąca odpowiedź </w:t>
      </w:r>
      <w:r w:rsidR="00D231A0" w:rsidRPr="00EC250C">
        <w:rPr>
          <w:lang w:eastAsia="en-US"/>
        </w:rPr>
        <w:t>p</w:t>
      </w:r>
      <w:r w:rsidRPr="00EC250C">
        <w:rPr>
          <w:lang w:eastAsia="en-US"/>
        </w:rPr>
        <w:t>aństwa na problem</w:t>
      </w:r>
      <w:r w:rsidRPr="00EC250C">
        <w:rPr>
          <w:rStyle w:val="Odwoanieprzypisudolnego"/>
          <w:rFonts w:eastAsiaTheme="majorEastAsia"/>
          <w:lang w:eastAsia="en-US"/>
        </w:rPr>
        <w:footnoteReference w:id="642"/>
      </w:r>
      <w:r w:rsidRPr="00EC250C">
        <w:rPr>
          <w:lang w:eastAsia="en-US"/>
        </w:rPr>
        <w:t xml:space="preserve">. </w:t>
      </w:r>
      <w:r w:rsidR="00D231A0" w:rsidRPr="00EC250C">
        <w:rPr>
          <w:lang w:eastAsia="en-US"/>
        </w:rPr>
        <w:t>Dodatkowo, 1 stycznia 2019 r. weszły w życie przepisy reformujące i wzmacniające (także finansowo) Inspekcję Ochrony Środowiska</w:t>
      </w:r>
      <w:r w:rsidR="00D231A0" w:rsidRPr="00EC250C">
        <w:rPr>
          <w:rStyle w:val="Odwoanieprzypisudolnego"/>
          <w:lang w:eastAsia="en-US"/>
        </w:rPr>
        <w:footnoteReference w:id="643"/>
      </w:r>
      <w:r w:rsidR="00D231A0" w:rsidRPr="00EC250C">
        <w:rPr>
          <w:lang w:eastAsia="en-US"/>
        </w:rPr>
        <w:t xml:space="preserve">. </w:t>
      </w:r>
      <w:r w:rsidRPr="00EC250C">
        <w:rPr>
          <w:lang w:eastAsia="en-US"/>
        </w:rPr>
        <w:t xml:space="preserve">Czas pokaże, czy nowe regulacje (m.in. z zakresu ochrony przeciwpożarowej, monitoringu wizyjnego, zabezpieczeń finansowych na koszty usunięcia odpadów) okażą się skuteczne. </w:t>
      </w:r>
    </w:p>
    <w:p w14:paraId="3434381E" w14:textId="77777777" w:rsidR="00D52B5C" w:rsidRPr="00EC250C" w:rsidRDefault="00D52B5C" w:rsidP="00EC250C">
      <w:pPr>
        <w:pStyle w:val="Nagwek8"/>
      </w:pPr>
      <w:r w:rsidRPr="00EC250C">
        <w:t>Sprzedaż gruntu</w:t>
      </w:r>
      <w:r w:rsidR="00992FD0" w:rsidRPr="00EC250C">
        <w:t xml:space="preserve"> z </w:t>
      </w:r>
      <w:r w:rsidRPr="00EC250C">
        <w:t>dzikim składowiskiem odpadów</w:t>
      </w:r>
    </w:p>
    <w:p w14:paraId="5259A56C" w14:textId="77777777" w:rsidR="00C91F6E" w:rsidRPr="00EC250C" w:rsidRDefault="00D52B5C" w:rsidP="00D131FA">
      <w:pPr>
        <w:pStyle w:val="Styl2"/>
        <w:rPr>
          <w:szCs w:val="24"/>
        </w:rPr>
      </w:pPr>
      <w:r w:rsidRPr="00EC250C">
        <w:rPr>
          <w:szCs w:val="24"/>
        </w:rPr>
        <w:t>Sprawy związane</w:t>
      </w:r>
      <w:r w:rsidR="00992FD0" w:rsidRPr="00EC250C">
        <w:rPr>
          <w:szCs w:val="24"/>
        </w:rPr>
        <w:t xml:space="preserve"> z </w:t>
      </w:r>
      <w:r w:rsidRPr="00EC250C">
        <w:rPr>
          <w:szCs w:val="24"/>
        </w:rPr>
        <w:t xml:space="preserve">odpadami są badane przez </w:t>
      </w:r>
      <w:r w:rsidR="00D76DC6" w:rsidRPr="00EC250C">
        <w:rPr>
          <w:szCs w:val="24"/>
        </w:rPr>
        <w:t>RPO</w:t>
      </w:r>
      <w:r w:rsidRPr="00EC250C">
        <w:rPr>
          <w:szCs w:val="24"/>
        </w:rPr>
        <w:t xml:space="preserve"> również indywidualnie. Jedną</w:t>
      </w:r>
      <w:r w:rsidR="00992FD0" w:rsidRPr="00EC250C">
        <w:rPr>
          <w:szCs w:val="24"/>
        </w:rPr>
        <w:t xml:space="preserve"> z </w:t>
      </w:r>
      <w:r w:rsidRPr="00EC250C">
        <w:rPr>
          <w:szCs w:val="24"/>
        </w:rPr>
        <w:t>nich była sprawa mieszkanki województwa pomorskiego, która kupiła od gminy działkę – jak się później okazało – będącą niegdyś dzikim wysypiskiem śmieci.</w:t>
      </w:r>
    </w:p>
    <w:p w14:paraId="542C07DC" w14:textId="77777777" w:rsidR="00C91F6E" w:rsidRPr="00EC250C" w:rsidRDefault="00D52B5C" w:rsidP="00D131FA">
      <w:pPr>
        <w:pStyle w:val="Styl2"/>
        <w:rPr>
          <w:szCs w:val="24"/>
        </w:rPr>
      </w:pPr>
      <w:r w:rsidRPr="00EC250C">
        <w:rPr>
          <w:szCs w:val="24"/>
        </w:rPr>
        <w:t>Sprawa ta dotyczy przepisów ustawy</w:t>
      </w:r>
      <w:r w:rsidR="00992FD0" w:rsidRPr="00EC250C">
        <w:rPr>
          <w:szCs w:val="24"/>
        </w:rPr>
        <w:t xml:space="preserve"> o </w:t>
      </w:r>
      <w:r w:rsidRPr="00EC250C">
        <w:rPr>
          <w:szCs w:val="24"/>
        </w:rPr>
        <w:t>odpadach, zakładających nałożenie na posiadacza odpadów obowiązku ich usunięcia</w:t>
      </w:r>
      <w:r w:rsidR="00992FD0" w:rsidRPr="00EC250C">
        <w:rPr>
          <w:szCs w:val="24"/>
        </w:rPr>
        <w:t xml:space="preserve"> z </w:t>
      </w:r>
      <w:r w:rsidRPr="00EC250C">
        <w:rPr>
          <w:szCs w:val="24"/>
        </w:rPr>
        <w:t>miejsca nieprzeznaczonego na ich składowanie lub magazynowanie,</w:t>
      </w:r>
      <w:r w:rsidR="00992FD0" w:rsidRPr="00EC250C">
        <w:rPr>
          <w:szCs w:val="24"/>
        </w:rPr>
        <w:t xml:space="preserve"> a </w:t>
      </w:r>
      <w:r w:rsidRPr="00EC250C">
        <w:rPr>
          <w:szCs w:val="24"/>
        </w:rPr>
        <w:t xml:space="preserve">także przewidujących domniemanie, że posiadaczem odpadów jest władający </w:t>
      </w:r>
      <w:r w:rsidRPr="00EC250C">
        <w:rPr>
          <w:szCs w:val="24"/>
        </w:rPr>
        <w:lastRenderedPageBreak/>
        <w:t>nieruchomością, na której się one znajdują. Organy administracji umorzyły postępowanie administracyjne</w:t>
      </w:r>
      <w:r w:rsidR="00992FD0" w:rsidRPr="00EC250C">
        <w:rPr>
          <w:szCs w:val="24"/>
        </w:rPr>
        <w:t xml:space="preserve"> i </w:t>
      </w:r>
      <w:r w:rsidRPr="00EC250C">
        <w:rPr>
          <w:szCs w:val="24"/>
        </w:rPr>
        <w:t>stanowisko takie zaakceptował Sąd</w:t>
      </w:r>
      <w:r w:rsidR="00992FD0" w:rsidRPr="00EC250C">
        <w:rPr>
          <w:szCs w:val="24"/>
        </w:rPr>
        <w:t xml:space="preserve"> w </w:t>
      </w:r>
      <w:r w:rsidRPr="00EC250C">
        <w:rPr>
          <w:szCs w:val="24"/>
        </w:rPr>
        <w:t>wydanym wyroku</w:t>
      </w:r>
      <w:r w:rsidRPr="00EC250C">
        <w:rPr>
          <w:rStyle w:val="Odwoanieprzypisudolnego"/>
          <w:szCs w:val="24"/>
        </w:rPr>
        <w:footnoteReference w:id="644"/>
      </w:r>
      <w:r w:rsidRPr="00EC250C">
        <w:rPr>
          <w:szCs w:val="24"/>
        </w:rPr>
        <w:t>.</w:t>
      </w:r>
    </w:p>
    <w:p w14:paraId="383664C7" w14:textId="77777777" w:rsidR="00C91F6E" w:rsidRPr="00EC250C" w:rsidRDefault="00D52B5C" w:rsidP="00D131FA">
      <w:pPr>
        <w:pStyle w:val="Styl2"/>
        <w:rPr>
          <w:szCs w:val="24"/>
        </w:rPr>
      </w:pPr>
      <w:r w:rsidRPr="00EC250C">
        <w:rPr>
          <w:szCs w:val="24"/>
        </w:rPr>
        <w:t>Motywem rozstrzygnięć było stwierdzenie, że właścicielka nieruchomości nie może odpowiadać za składowane odpady (i „odkryte” przez nią</w:t>
      </w:r>
      <w:r w:rsidR="00992FD0" w:rsidRPr="00EC250C">
        <w:rPr>
          <w:szCs w:val="24"/>
        </w:rPr>
        <w:t xml:space="preserve"> w </w:t>
      </w:r>
      <w:r w:rsidRPr="00EC250C">
        <w:rPr>
          <w:szCs w:val="24"/>
        </w:rPr>
        <w:t>związku</w:t>
      </w:r>
      <w:r w:rsidR="00992FD0" w:rsidRPr="00EC250C">
        <w:rPr>
          <w:szCs w:val="24"/>
        </w:rPr>
        <w:t xml:space="preserve"> z </w:t>
      </w:r>
      <w:r w:rsidRPr="00EC250C">
        <w:rPr>
          <w:szCs w:val="24"/>
        </w:rPr>
        <w:t>planami inwestycyjnymi), albowiem te, były składowane na nieruchomości zanim została ona nabyta. W ocenie organów (i</w:t>
      </w:r>
      <w:r w:rsidR="006074CA" w:rsidRPr="00EC250C">
        <w:rPr>
          <w:szCs w:val="24"/>
        </w:rPr>
        <w:t> </w:t>
      </w:r>
      <w:r w:rsidRPr="00EC250C">
        <w:rPr>
          <w:szCs w:val="24"/>
        </w:rPr>
        <w:t>sądu) odpowiedzialności nie może ponieść również gmina, która była właścicielem nieruchomości</w:t>
      </w:r>
      <w:r w:rsidR="00992FD0" w:rsidRPr="00EC250C">
        <w:rPr>
          <w:szCs w:val="24"/>
        </w:rPr>
        <w:t xml:space="preserve"> w </w:t>
      </w:r>
      <w:r w:rsidRPr="00EC250C">
        <w:rPr>
          <w:szCs w:val="24"/>
        </w:rPr>
        <w:t>czasie, gdy odpady były na niej składowane.</w:t>
      </w:r>
      <w:r w:rsidR="006074CA" w:rsidRPr="00EC250C">
        <w:rPr>
          <w:szCs w:val="24"/>
        </w:rPr>
        <w:t xml:space="preserve"> </w:t>
      </w:r>
      <w:r w:rsidRPr="00EC250C">
        <w:rPr>
          <w:szCs w:val="24"/>
        </w:rPr>
        <w:t xml:space="preserve">W złożonej do </w:t>
      </w:r>
      <w:r w:rsidR="006074CA" w:rsidRPr="00EC250C">
        <w:rPr>
          <w:szCs w:val="24"/>
        </w:rPr>
        <w:t xml:space="preserve">NSA </w:t>
      </w:r>
      <w:r w:rsidRPr="00EC250C">
        <w:rPr>
          <w:szCs w:val="24"/>
        </w:rPr>
        <w:t>skardze kasacyjnej</w:t>
      </w:r>
      <w:r w:rsidRPr="00EC250C">
        <w:rPr>
          <w:rStyle w:val="Odwoanieprzypisudolnego"/>
          <w:szCs w:val="24"/>
        </w:rPr>
        <w:footnoteReference w:id="645"/>
      </w:r>
      <w:r w:rsidRPr="00EC250C">
        <w:rPr>
          <w:szCs w:val="24"/>
        </w:rPr>
        <w:t xml:space="preserve"> </w:t>
      </w:r>
      <w:r w:rsidR="00D76DC6" w:rsidRPr="00EC250C">
        <w:rPr>
          <w:szCs w:val="24"/>
        </w:rPr>
        <w:t>RPO</w:t>
      </w:r>
      <w:r w:rsidRPr="00EC250C">
        <w:rPr>
          <w:szCs w:val="24"/>
        </w:rPr>
        <w:t xml:space="preserve"> nie zgodził się</w:t>
      </w:r>
      <w:r w:rsidR="00992FD0" w:rsidRPr="00EC250C">
        <w:rPr>
          <w:szCs w:val="24"/>
        </w:rPr>
        <w:t xml:space="preserve"> z </w:t>
      </w:r>
      <w:r w:rsidRPr="00EC250C">
        <w:rPr>
          <w:szCs w:val="24"/>
        </w:rPr>
        <w:t>tymi rozstrzygnięciami uznając, że</w:t>
      </w:r>
      <w:r w:rsidR="00992FD0" w:rsidRPr="00EC250C">
        <w:rPr>
          <w:szCs w:val="24"/>
        </w:rPr>
        <w:t xml:space="preserve"> w </w:t>
      </w:r>
      <w:r w:rsidRPr="00EC250C">
        <w:rPr>
          <w:szCs w:val="24"/>
        </w:rPr>
        <w:t>ustalonym stanie faktycznym odpowiedzialność za usunięcie odpadów powinna ponosić gmina.</w:t>
      </w:r>
    </w:p>
    <w:p w14:paraId="19C508AD" w14:textId="77777777" w:rsidR="00731D2E" w:rsidRPr="00EC250C" w:rsidRDefault="009F5010" w:rsidP="00D131FA">
      <w:pPr>
        <w:pStyle w:val="ODESANIE"/>
        <w:jc w:val="both"/>
        <w:rPr>
          <w:lang w:eastAsia="en-US"/>
        </w:rPr>
      </w:pPr>
      <w:r w:rsidRPr="00EC250C">
        <w:rPr>
          <w:lang w:eastAsia="en-US"/>
        </w:rPr>
        <w:t>Problemy związane z opłatami za gospodarowanie odpadami komunalnymi omówione są w kontekście art. 217 Konstytucji</w:t>
      </w:r>
    </w:p>
    <w:p w14:paraId="36EA9B48" w14:textId="77777777" w:rsidR="00CE2322" w:rsidRPr="00EC250C" w:rsidRDefault="00CE2322" w:rsidP="00EC79EB">
      <w:pPr>
        <w:pStyle w:val="Nagwek4"/>
      </w:pPr>
      <w:bookmarkStart w:id="647" w:name="_Toc6257667"/>
      <w:bookmarkStart w:id="648" w:name="_Toc11247804"/>
      <w:r w:rsidRPr="00EC250C">
        <w:rPr>
          <w:rStyle w:val="field-content"/>
          <w:sz w:val="32"/>
          <w:szCs w:val="32"/>
          <w:bdr w:val="none" w:sz="0" w:space="0" w:color="auto"/>
        </w:rPr>
        <w:t>Szkodliwe dla życia</w:t>
      </w:r>
      <w:r w:rsidR="00992FD0" w:rsidRPr="00EC250C">
        <w:rPr>
          <w:rStyle w:val="field-content"/>
          <w:sz w:val="32"/>
          <w:szCs w:val="32"/>
          <w:bdr w:val="none" w:sz="0" w:space="0" w:color="auto"/>
        </w:rPr>
        <w:t xml:space="preserve"> i </w:t>
      </w:r>
      <w:r w:rsidRPr="00EC250C">
        <w:rPr>
          <w:rStyle w:val="field-content"/>
          <w:sz w:val="32"/>
          <w:szCs w:val="32"/>
          <w:bdr w:val="none" w:sz="0" w:space="0" w:color="auto"/>
        </w:rPr>
        <w:t>zdrowia wyziewy</w:t>
      </w:r>
      <w:bookmarkEnd w:id="647"/>
      <w:bookmarkEnd w:id="648"/>
    </w:p>
    <w:p w14:paraId="6153E91A" w14:textId="77777777" w:rsidR="00B473F5" w:rsidRPr="00EC250C" w:rsidRDefault="00CE2322" w:rsidP="00D131FA">
      <w:pPr>
        <w:pStyle w:val="Problemczowieka"/>
        <w:jc w:val="both"/>
      </w:pPr>
      <w:r w:rsidRPr="00EC250C">
        <w:t>Ludzie nie mogą skutecznie walczyć ze szkodliwymi substancjami. Nie ma bowiem podstawy prawnej, aby chronić się przed szkodliwym dla zdrowia,</w:t>
      </w:r>
      <w:r w:rsidR="00992FD0" w:rsidRPr="00EC250C">
        <w:t xml:space="preserve"> a w </w:t>
      </w:r>
      <w:r w:rsidRPr="00EC250C">
        <w:t>konsekwencji także życia, przekroczeniem stężeń</w:t>
      </w:r>
      <w:r w:rsidR="00992FD0" w:rsidRPr="00EC250C">
        <w:t xml:space="preserve"> i </w:t>
      </w:r>
      <w:r w:rsidRPr="00EC250C">
        <w:t>natężeń czynników wydzielanych przez materiały budowlane, urządzenia</w:t>
      </w:r>
      <w:r w:rsidR="00992FD0" w:rsidRPr="00EC250C">
        <w:t xml:space="preserve"> i </w:t>
      </w:r>
      <w:r w:rsidRPr="00EC250C">
        <w:t>elementy wyposażenia</w:t>
      </w:r>
      <w:r w:rsidR="00992FD0" w:rsidRPr="00EC250C">
        <w:t xml:space="preserve"> w </w:t>
      </w:r>
      <w:r w:rsidRPr="00EC250C">
        <w:t>pomieszczeniach przeznaczonych na pobyt ludzi</w:t>
      </w:r>
      <w:r w:rsidR="00B473F5" w:rsidRPr="00EC250C">
        <w:t>.</w:t>
      </w:r>
    </w:p>
    <w:p w14:paraId="6B228361" w14:textId="77777777" w:rsidR="00CE2322" w:rsidRPr="00EC250C" w:rsidRDefault="00CE2322" w:rsidP="00D131FA">
      <w:pPr>
        <w:pStyle w:val="Styl1"/>
      </w:pPr>
      <w:r w:rsidRPr="00EC250C">
        <w:t xml:space="preserve">W jednej ze zgłoszonych </w:t>
      </w:r>
      <w:r w:rsidR="00D76DC6" w:rsidRPr="00EC250C">
        <w:t>RPO</w:t>
      </w:r>
      <w:r w:rsidRPr="00EC250C">
        <w:t xml:space="preserve"> spraw powiatowy inspektor sanitarny zarządził unieruchomienie części pralni chemicznej, która stwarzała zagrożenie dla mieszkańców lokalu powyżej. Decyzję uchylił jednak Wojewódzki Sąd Administracyjny</w:t>
      </w:r>
      <w:r w:rsidR="00992FD0" w:rsidRPr="00EC250C">
        <w:t xml:space="preserve"> z </w:t>
      </w:r>
      <w:r w:rsidRPr="00EC250C">
        <w:t>braku podstaw prawnych.</w:t>
      </w:r>
    </w:p>
    <w:p w14:paraId="26170086" w14:textId="77777777" w:rsidR="00CE2322" w:rsidRPr="00EC250C" w:rsidRDefault="00CE2322" w:rsidP="00D131FA">
      <w:pPr>
        <w:pStyle w:val="Styl1"/>
      </w:pPr>
      <w:r w:rsidRPr="00EC250C">
        <w:t>Sprawa wymaga pilnej interwencji ustawodawcy, ponieważ Zarządzenie Ministra Zdrowia</w:t>
      </w:r>
      <w:r w:rsidR="00992FD0" w:rsidRPr="00EC250C">
        <w:t xml:space="preserve"> i </w:t>
      </w:r>
      <w:r w:rsidRPr="00EC250C">
        <w:t>Opieki Społecznej</w:t>
      </w:r>
      <w:r w:rsidR="00992FD0" w:rsidRPr="00EC250C">
        <w:t xml:space="preserve"> z </w:t>
      </w:r>
      <w:r w:rsidRPr="00EC250C">
        <w:t>dnia 12 marca 1996</w:t>
      </w:r>
      <w:r w:rsidR="00C91F6E" w:rsidRPr="00EC250C">
        <w:t> r.</w:t>
      </w:r>
      <w:r w:rsidRPr="00EC250C">
        <w:t xml:space="preserve">, określające czynniki niebezpieczne dla zdrowia wydzielane przez materiały budowlane itp., nie jest aktem prawnym, który jest źródłem prawa powszechnie obowiązującego. </w:t>
      </w:r>
      <w:r w:rsidR="00D76DC6" w:rsidRPr="00EC250C">
        <w:t>RPO</w:t>
      </w:r>
      <w:r w:rsidRPr="00EC250C">
        <w:t xml:space="preserve"> uzyskał zapewnienie Ministra Inwestycji</w:t>
      </w:r>
      <w:r w:rsidR="00992FD0" w:rsidRPr="00EC250C">
        <w:t xml:space="preserve"> i </w:t>
      </w:r>
      <w:r w:rsidRPr="00EC250C">
        <w:t>Rozwoju, że zaczęły się już prace nad nowelizacją Prawa budowlanego. 1 października 2018</w:t>
      </w:r>
      <w:r w:rsidR="00C91F6E" w:rsidRPr="00EC250C">
        <w:t> r.</w:t>
      </w:r>
      <w:r w:rsidRPr="00EC250C">
        <w:t xml:space="preserve"> Ministerstwo Inwestycji</w:t>
      </w:r>
      <w:r w:rsidR="00992FD0" w:rsidRPr="00EC250C">
        <w:t xml:space="preserve"> i </w:t>
      </w:r>
      <w:r w:rsidRPr="00EC250C">
        <w:t xml:space="preserve">Rozwoju zwróciło się do </w:t>
      </w:r>
      <w:r w:rsidR="00DC5152" w:rsidRPr="00EC250C">
        <w:t>Ministra Z</w:t>
      </w:r>
      <w:r w:rsidRPr="00EC250C">
        <w:t>drowia</w:t>
      </w:r>
      <w:r w:rsidR="00992FD0" w:rsidRPr="00EC250C">
        <w:t xml:space="preserve"> o </w:t>
      </w:r>
      <w:r w:rsidRPr="00EC250C">
        <w:t>współpracę</w:t>
      </w:r>
      <w:r w:rsidRPr="00EC250C">
        <w:rPr>
          <w:rStyle w:val="Odwoanieprzypisudolnego"/>
        </w:rPr>
        <w:footnoteReference w:id="646"/>
      </w:r>
      <w:r w:rsidRPr="00EC250C">
        <w:t>.</w:t>
      </w:r>
    </w:p>
    <w:p w14:paraId="5B7BD7E4" w14:textId="77777777" w:rsidR="00D52B5C" w:rsidRPr="00EC250C" w:rsidRDefault="00D52B5C" w:rsidP="00EC79EB">
      <w:pPr>
        <w:pStyle w:val="Nagwek4"/>
        <w:rPr>
          <w:sz w:val="26"/>
        </w:rPr>
      </w:pPr>
      <w:bookmarkStart w:id="649" w:name="_Toc11247805"/>
      <w:r w:rsidRPr="00EC250C">
        <w:t>Uciążliw</w:t>
      </w:r>
      <w:r w:rsidR="003D41F8" w:rsidRPr="00EC250C">
        <w:t>e</w:t>
      </w:r>
      <w:r w:rsidRPr="00EC250C">
        <w:t xml:space="preserve"> zapach</w:t>
      </w:r>
      <w:r w:rsidR="003D41F8" w:rsidRPr="00EC250C">
        <w:t>y i</w:t>
      </w:r>
      <w:r w:rsidRPr="00EC250C">
        <w:t xml:space="preserve"> hałas</w:t>
      </w:r>
      <w:bookmarkEnd w:id="649"/>
    </w:p>
    <w:p w14:paraId="39161D0C" w14:textId="77777777" w:rsidR="00C91F6E" w:rsidRPr="00EC250C" w:rsidRDefault="00D52B5C" w:rsidP="00D131FA">
      <w:pPr>
        <w:pStyle w:val="Styl1"/>
        <w:rPr>
          <w:lang w:eastAsia="en-US"/>
        </w:rPr>
      </w:pPr>
      <w:r w:rsidRPr="00EC250C">
        <w:rPr>
          <w:lang w:eastAsia="en-US"/>
        </w:rPr>
        <w:t>Nadal nie zostały wprowadzone przepisy, które</w:t>
      </w:r>
      <w:r w:rsidR="00992FD0" w:rsidRPr="00EC250C">
        <w:rPr>
          <w:lang w:eastAsia="en-US"/>
        </w:rPr>
        <w:t xml:space="preserve"> w </w:t>
      </w:r>
      <w:r w:rsidRPr="00EC250C">
        <w:rPr>
          <w:lang w:eastAsia="en-US"/>
        </w:rPr>
        <w:t>sposób skuteczny</w:t>
      </w:r>
      <w:r w:rsidR="00992FD0" w:rsidRPr="00EC250C">
        <w:rPr>
          <w:lang w:eastAsia="en-US"/>
        </w:rPr>
        <w:t xml:space="preserve"> i </w:t>
      </w:r>
      <w:r w:rsidRPr="00EC250C">
        <w:rPr>
          <w:lang w:eastAsia="en-US"/>
        </w:rPr>
        <w:t xml:space="preserve">prosty chroniłyby mieszkańców narażonych na uciążliwe zapachowo sąsiedztwo różnego rodzaju przedsiębiorstw. Po całej serii wystąpień generalnych dotyczących wprowadzenia norm jakości zapachowej </w:t>
      </w:r>
      <w:r w:rsidRPr="00EC250C">
        <w:rPr>
          <w:lang w:eastAsia="en-US"/>
        </w:rPr>
        <w:lastRenderedPageBreak/>
        <w:t>powietrza</w:t>
      </w:r>
      <w:r w:rsidRPr="00EC250C">
        <w:rPr>
          <w:rStyle w:val="Odwoanieprzypisudolnego"/>
          <w:rFonts w:eastAsiaTheme="minorHAnsi"/>
          <w:lang w:eastAsia="en-US"/>
        </w:rPr>
        <w:footnoteReference w:id="647"/>
      </w:r>
      <w:r w:rsidRPr="00EC250C">
        <w:rPr>
          <w:lang w:eastAsia="en-US"/>
        </w:rPr>
        <w:t xml:space="preserve">, </w:t>
      </w:r>
      <w:r w:rsidR="00D76DC6" w:rsidRPr="00EC250C">
        <w:rPr>
          <w:lang w:eastAsia="en-US"/>
        </w:rPr>
        <w:t>RPO</w:t>
      </w:r>
      <w:r w:rsidRPr="00EC250C">
        <w:rPr>
          <w:lang w:eastAsia="en-US"/>
        </w:rPr>
        <w:t xml:space="preserve"> wspólnie</w:t>
      </w:r>
      <w:r w:rsidR="00992FD0" w:rsidRPr="00EC250C">
        <w:rPr>
          <w:lang w:eastAsia="en-US"/>
        </w:rPr>
        <w:t xml:space="preserve"> z </w:t>
      </w:r>
      <w:r w:rsidRPr="00EC250C">
        <w:rPr>
          <w:lang w:eastAsia="en-US"/>
        </w:rPr>
        <w:t>organizacjami pozarządowymi skierował apel do właściwych ministrów</w:t>
      </w:r>
      <w:r w:rsidRPr="00EC250C">
        <w:rPr>
          <w:rStyle w:val="Odwoanieprzypisudolnego"/>
          <w:rFonts w:eastAsiaTheme="minorHAnsi"/>
          <w:lang w:eastAsia="en-US"/>
        </w:rPr>
        <w:footnoteReference w:id="648"/>
      </w:r>
      <w:r w:rsidR="00992FD0" w:rsidRPr="00EC250C">
        <w:rPr>
          <w:lang w:eastAsia="en-US"/>
        </w:rPr>
        <w:t xml:space="preserve"> o </w:t>
      </w:r>
      <w:r w:rsidRPr="00EC250C">
        <w:rPr>
          <w:lang w:eastAsia="en-US"/>
        </w:rPr>
        <w:t>rozwiązanie istniejącego problemu.</w:t>
      </w:r>
    </w:p>
    <w:p w14:paraId="20651952" w14:textId="77777777" w:rsidR="006C34AF" w:rsidRPr="00EC250C" w:rsidRDefault="006C34AF" w:rsidP="00EC250C">
      <w:pPr>
        <w:pStyle w:val="Nagwek8"/>
      </w:pPr>
      <w:r w:rsidRPr="00EC250C">
        <w:t>Sprawa Kawęczyna koło Wrześni i ferm kurzych</w:t>
      </w:r>
    </w:p>
    <w:p w14:paraId="61892EF6" w14:textId="77777777" w:rsidR="00D52B5C" w:rsidRPr="00EC250C" w:rsidRDefault="00D52B5C" w:rsidP="00D131FA">
      <w:pPr>
        <w:pStyle w:val="Styl2"/>
        <w:rPr>
          <w:szCs w:val="24"/>
        </w:rPr>
      </w:pPr>
      <w:r w:rsidRPr="00EC250C">
        <w:rPr>
          <w:szCs w:val="24"/>
        </w:rPr>
        <w:t>24 października 2018</w:t>
      </w:r>
      <w:r w:rsidR="00C91F6E" w:rsidRPr="00EC250C">
        <w:rPr>
          <w:szCs w:val="24"/>
        </w:rPr>
        <w:t> r.</w:t>
      </w:r>
      <w:r w:rsidRPr="00EC250C">
        <w:rPr>
          <w:szCs w:val="24"/>
        </w:rPr>
        <w:t xml:space="preserve"> Naczelny Sąd Administracyjny rozstrzygnął sprawę, do której </w:t>
      </w:r>
      <w:r w:rsidR="00D76DC6" w:rsidRPr="00EC250C">
        <w:rPr>
          <w:szCs w:val="24"/>
        </w:rPr>
        <w:t xml:space="preserve">RPO </w:t>
      </w:r>
      <w:r w:rsidRPr="00EC250C">
        <w:rPr>
          <w:szCs w:val="24"/>
        </w:rPr>
        <w:t>przystąpił</w:t>
      </w:r>
      <w:r w:rsidR="00992FD0" w:rsidRPr="00EC250C">
        <w:rPr>
          <w:szCs w:val="24"/>
        </w:rPr>
        <w:t xml:space="preserve"> w </w:t>
      </w:r>
      <w:r w:rsidRPr="00EC250C">
        <w:rPr>
          <w:szCs w:val="24"/>
        </w:rPr>
        <w:t>2017</w:t>
      </w:r>
      <w:r w:rsidR="00C91F6E" w:rsidRPr="00EC250C">
        <w:rPr>
          <w:szCs w:val="24"/>
        </w:rPr>
        <w:t> r.</w:t>
      </w:r>
      <w:r w:rsidRPr="00EC250C">
        <w:rPr>
          <w:rStyle w:val="Odwoanieprzypisudolnego"/>
          <w:rFonts w:eastAsiaTheme="minorHAnsi"/>
          <w:i/>
          <w:szCs w:val="24"/>
          <w:lang w:eastAsia="en-US"/>
        </w:rPr>
        <w:footnoteReference w:id="649"/>
      </w:r>
      <w:r w:rsidRPr="00EC250C">
        <w:rPr>
          <w:szCs w:val="24"/>
        </w:rPr>
        <w:t>, dotyczącą odmowy uzgodnienia przez Zarząd Powiatu Wrzesińskiego projektu planu miejscowego zakazującego lokalizacji nowych ferm</w:t>
      </w:r>
      <w:r w:rsidR="00992FD0" w:rsidRPr="00EC250C">
        <w:rPr>
          <w:szCs w:val="24"/>
        </w:rPr>
        <w:t xml:space="preserve"> w </w:t>
      </w:r>
      <w:r w:rsidRPr="00EC250C">
        <w:rPr>
          <w:szCs w:val="24"/>
        </w:rPr>
        <w:t>sąsiedztwie Kawęczyna (miejscowości już „otoczonej” przez fermy norek). W wyniku wyroku Naczelnego Sądu Administracyjnego</w:t>
      </w:r>
      <w:r w:rsidRPr="00EC250C">
        <w:rPr>
          <w:rStyle w:val="Odwoanieprzypisudolnego"/>
          <w:rFonts w:eastAsiaTheme="minorHAnsi"/>
          <w:i/>
          <w:szCs w:val="24"/>
          <w:lang w:eastAsia="en-US"/>
        </w:rPr>
        <w:footnoteReference w:id="650"/>
      </w:r>
      <w:r w:rsidRPr="00EC250C">
        <w:rPr>
          <w:szCs w:val="24"/>
        </w:rPr>
        <w:t>, prawomocnie uchylone zostało postanowienie Zarządu Powiatu odmawiające uzgodnienia korzystnej dla mieszkańców wersji planu miejscowego. Otwiera to możliwość przyjęcia planu</w:t>
      </w:r>
      <w:r w:rsidR="00992FD0" w:rsidRPr="00EC250C">
        <w:rPr>
          <w:szCs w:val="24"/>
        </w:rPr>
        <w:t xml:space="preserve"> w </w:t>
      </w:r>
      <w:r w:rsidRPr="00EC250C">
        <w:rPr>
          <w:szCs w:val="24"/>
        </w:rPr>
        <w:t>wersji gwarantującej, że żadne nowe uciążliwe inwestycje nie powstaną</w:t>
      </w:r>
      <w:r w:rsidR="00992FD0" w:rsidRPr="00EC250C">
        <w:rPr>
          <w:szCs w:val="24"/>
        </w:rPr>
        <w:t xml:space="preserve"> w </w:t>
      </w:r>
      <w:r w:rsidRPr="00EC250C">
        <w:rPr>
          <w:szCs w:val="24"/>
        </w:rPr>
        <w:t>sąsiedztwie Kawęczyna.</w:t>
      </w:r>
    </w:p>
    <w:p w14:paraId="66DB7AD7" w14:textId="77777777" w:rsidR="00D52B5C" w:rsidRPr="00EC250C" w:rsidRDefault="00D52B5C" w:rsidP="00D131FA">
      <w:pPr>
        <w:pStyle w:val="Styl1"/>
        <w:rPr>
          <w:lang w:eastAsia="en-US"/>
        </w:rPr>
      </w:pPr>
      <w:r w:rsidRPr="00EC250C">
        <w:rPr>
          <w:lang w:eastAsia="en-US"/>
        </w:rPr>
        <w:t xml:space="preserve">Rzecznik </w:t>
      </w:r>
      <w:r w:rsidR="00D76DC6" w:rsidRPr="00EC250C">
        <w:rPr>
          <w:lang w:eastAsia="en-US"/>
        </w:rPr>
        <w:t xml:space="preserve">Praw Obywatelskich </w:t>
      </w:r>
      <w:r w:rsidRPr="00EC250C">
        <w:rPr>
          <w:lang w:eastAsia="en-US"/>
        </w:rPr>
        <w:t>kontynuuje także korespondencję</w:t>
      </w:r>
      <w:r w:rsidR="00992FD0" w:rsidRPr="00EC250C">
        <w:rPr>
          <w:lang w:eastAsia="en-US"/>
        </w:rPr>
        <w:t xml:space="preserve"> w </w:t>
      </w:r>
      <w:r w:rsidRPr="00EC250C">
        <w:rPr>
          <w:lang w:eastAsia="en-US"/>
        </w:rPr>
        <w:t>sprawie nieuwzględniania kwestii ochrony przed nadmiernym hałasem</w:t>
      </w:r>
      <w:r w:rsidR="00992FD0" w:rsidRPr="00EC250C">
        <w:rPr>
          <w:lang w:eastAsia="en-US"/>
        </w:rPr>
        <w:t xml:space="preserve"> w </w:t>
      </w:r>
      <w:r w:rsidRPr="00EC250C">
        <w:rPr>
          <w:lang w:eastAsia="en-US"/>
        </w:rPr>
        <w:t>procedurze wydawania zezwoleń na organizację imprez masowych</w:t>
      </w:r>
      <w:r w:rsidRPr="00EC250C">
        <w:rPr>
          <w:rStyle w:val="Odwoanieprzypisudolnego"/>
          <w:rFonts w:eastAsiaTheme="minorHAnsi"/>
          <w:lang w:eastAsia="en-US"/>
        </w:rPr>
        <w:footnoteReference w:id="651"/>
      </w:r>
      <w:r w:rsidRPr="00EC250C">
        <w:rPr>
          <w:lang w:eastAsia="en-US"/>
        </w:rPr>
        <w:t xml:space="preserve">. </w:t>
      </w:r>
      <w:r w:rsidR="006074CA" w:rsidRPr="00EC250C">
        <w:rPr>
          <w:lang w:eastAsia="en-US"/>
        </w:rPr>
        <w:t>MSWiA</w:t>
      </w:r>
      <w:r w:rsidRPr="00EC250C">
        <w:rPr>
          <w:lang w:eastAsia="en-US"/>
        </w:rPr>
        <w:t xml:space="preserve"> negatywnie oceniło</w:t>
      </w:r>
      <w:r w:rsidRPr="00EC250C">
        <w:rPr>
          <w:rStyle w:val="Odwoanieprzypisudolnego"/>
          <w:rFonts w:eastAsiaTheme="minorHAnsi"/>
          <w:lang w:eastAsia="en-US"/>
        </w:rPr>
        <w:footnoteReference w:id="652"/>
      </w:r>
      <w:r w:rsidRPr="00EC250C">
        <w:rPr>
          <w:lang w:eastAsia="en-US"/>
        </w:rPr>
        <w:t xml:space="preserve"> propozycję, by</w:t>
      </w:r>
      <w:r w:rsidR="006074CA" w:rsidRPr="00EC250C">
        <w:rPr>
          <w:lang w:eastAsia="en-US"/>
        </w:rPr>
        <w:t xml:space="preserve"> zmienić </w:t>
      </w:r>
      <w:r w:rsidRPr="00EC250C">
        <w:rPr>
          <w:lang w:eastAsia="en-US"/>
        </w:rPr>
        <w:t>ustaw</w:t>
      </w:r>
      <w:r w:rsidR="006074CA" w:rsidRPr="00EC250C">
        <w:rPr>
          <w:lang w:eastAsia="en-US"/>
        </w:rPr>
        <w:t>ę</w:t>
      </w:r>
      <w:r w:rsidR="00992FD0" w:rsidRPr="00EC250C">
        <w:rPr>
          <w:lang w:eastAsia="en-US"/>
        </w:rPr>
        <w:t xml:space="preserve"> o </w:t>
      </w:r>
      <w:r w:rsidRPr="00EC250C">
        <w:rPr>
          <w:lang w:eastAsia="en-US"/>
        </w:rPr>
        <w:t xml:space="preserve">bezpieczeństwie imprez masowych. </w:t>
      </w:r>
      <w:r w:rsidR="00D76DC6" w:rsidRPr="00EC250C">
        <w:rPr>
          <w:lang w:eastAsia="en-US"/>
        </w:rPr>
        <w:t xml:space="preserve">RPO </w:t>
      </w:r>
      <w:r w:rsidRPr="00EC250C">
        <w:rPr>
          <w:lang w:eastAsia="en-US"/>
        </w:rPr>
        <w:t>wystąpił zatem ponownie do Ministerstwa Środowiska</w:t>
      </w:r>
      <w:r w:rsidR="00992FD0" w:rsidRPr="00EC250C">
        <w:rPr>
          <w:lang w:eastAsia="en-US"/>
        </w:rPr>
        <w:t xml:space="preserve"> o </w:t>
      </w:r>
      <w:r w:rsidRPr="00EC250C">
        <w:rPr>
          <w:lang w:eastAsia="en-US"/>
        </w:rPr>
        <w:t>przedstawienie alternatywnej koncepcji zaradzenia problemowi</w:t>
      </w:r>
      <w:r w:rsidRPr="00EC250C">
        <w:rPr>
          <w:rStyle w:val="Odwoanieprzypisudolnego"/>
          <w:rFonts w:eastAsiaTheme="minorHAnsi"/>
          <w:lang w:eastAsia="en-US"/>
        </w:rPr>
        <w:footnoteReference w:id="653"/>
      </w:r>
      <w:r w:rsidRPr="00EC250C">
        <w:rPr>
          <w:lang w:eastAsia="en-US"/>
        </w:rPr>
        <w:t>.</w:t>
      </w:r>
    </w:p>
    <w:p w14:paraId="0D048464" w14:textId="77777777" w:rsidR="00D231A0" w:rsidRPr="00EC250C" w:rsidRDefault="00D231A0" w:rsidP="00D131FA">
      <w:pPr>
        <w:pStyle w:val="Styl1"/>
        <w:rPr>
          <w:lang w:eastAsia="en-US"/>
        </w:rPr>
      </w:pPr>
      <w:r w:rsidRPr="00EC250C">
        <w:rPr>
          <w:lang w:eastAsia="en-US"/>
        </w:rPr>
        <w:t>Już w 2019 roku Ministerstwo zaprezentowało propozycję ustawy, która przynajmniej częściowo odpowiada na społeczne oczekiwania. Zgodnie z projektem, mają zostać określone minimalne odległości od zabudowy mieszkalnej, w jakich można będzie lokalizować uciążliwe inwestycje. Proponowane przepisy, w razie ich przyjęcia, będą jednak dotyczyły tylko obiektów hodowlanych (nie obejmą przemysłu). Znajdą też zastosowanie tylko do tych inwestycji, które są dopiero planowane.</w:t>
      </w:r>
    </w:p>
    <w:p w14:paraId="0157B498" w14:textId="77777777" w:rsidR="00D52B5C" w:rsidRPr="00EC250C" w:rsidRDefault="00D52B5C" w:rsidP="00EC250C">
      <w:pPr>
        <w:pStyle w:val="Nagwek8"/>
      </w:pPr>
      <w:r w:rsidRPr="00EC250C">
        <w:t>Hałas</w:t>
      </w:r>
      <w:r w:rsidR="00992FD0" w:rsidRPr="00EC250C">
        <w:t xml:space="preserve"> z </w:t>
      </w:r>
      <w:r w:rsidRPr="00EC250C">
        <w:t>imprez rozrywkowych</w:t>
      </w:r>
    </w:p>
    <w:p w14:paraId="1CB7CA8B" w14:textId="77777777" w:rsidR="00D52B5C" w:rsidRPr="00EC250C" w:rsidRDefault="00D52B5C" w:rsidP="00D131FA">
      <w:pPr>
        <w:pStyle w:val="Styl2"/>
        <w:rPr>
          <w:szCs w:val="24"/>
          <w:lang w:eastAsia="en-US"/>
        </w:rPr>
      </w:pPr>
      <w:r w:rsidRPr="00EC250C">
        <w:rPr>
          <w:szCs w:val="24"/>
        </w:rPr>
        <w:t>W 2018</w:t>
      </w:r>
      <w:r w:rsidR="00C91F6E" w:rsidRPr="00EC250C">
        <w:rPr>
          <w:szCs w:val="24"/>
        </w:rPr>
        <w:t> r.</w:t>
      </w:r>
      <w:r w:rsidRPr="00EC250C">
        <w:rPr>
          <w:szCs w:val="24"/>
        </w:rPr>
        <w:t>,</w:t>
      </w:r>
      <w:r w:rsidR="00992FD0" w:rsidRPr="00EC250C">
        <w:rPr>
          <w:szCs w:val="24"/>
        </w:rPr>
        <w:t xml:space="preserve"> w </w:t>
      </w:r>
      <w:r w:rsidRPr="00EC250C">
        <w:rPr>
          <w:szCs w:val="24"/>
        </w:rPr>
        <w:t>skierowanych do niego sprawach indywidualnych związanych</w:t>
      </w:r>
      <w:r w:rsidR="00992FD0" w:rsidRPr="00EC250C">
        <w:rPr>
          <w:szCs w:val="24"/>
        </w:rPr>
        <w:t xml:space="preserve"> z </w:t>
      </w:r>
      <w:r w:rsidRPr="00EC250C">
        <w:rPr>
          <w:szCs w:val="24"/>
        </w:rPr>
        <w:t xml:space="preserve">hałasem, </w:t>
      </w:r>
      <w:r w:rsidR="00D76DC6" w:rsidRPr="00EC250C">
        <w:rPr>
          <w:szCs w:val="24"/>
        </w:rPr>
        <w:t>RPO</w:t>
      </w:r>
      <w:r w:rsidRPr="00EC250C">
        <w:rPr>
          <w:szCs w:val="24"/>
        </w:rPr>
        <w:t xml:space="preserve"> skierował m.in. wniosek</w:t>
      </w:r>
      <w:r w:rsidR="00992FD0" w:rsidRPr="00EC250C">
        <w:rPr>
          <w:szCs w:val="24"/>
        </w:rPr>
        <w:t xml:space="preserve"> o </w:t>
      </w:r>
      <w:r w:rsidRPr="00EC250C">
        <w:rPr>
          <w:szCs w:val="24"/>
        </w:rPr>
        <w:t>wszczęcie postępowania</w:t>
      </w:r>
      <w:r w:rsidR="00992FD0" w:rsidRPr="00EC250C">
        <w:rPr>
          <w:szCs w:val="24"/>
        </w:rPr>
        <w:t xml:space="preserve"> o </w:t>
      </w:r>
      <w:r w:rsidRPr="00EC250C">
        <w:rPr>
          <w:szCs w:val="24"/>
        </w:rPr>
        <w:t>ograniczenie negatywnego oddziaływania na środowisko obiektu wykorzystywanego jako dom weselny,</w:t>
      </w:r>
      <w:r w:rsidR="00992FD0" w:rsidRPr="00EC250C">
        <w:rPr>
          <w:szCs w:val="24"/>
        </w:rPr>
        <w:t xml:space="preserve"> a </w:t>
      </w:r>
      <w:r w:rsidRPr="00EC250C">
        <w:rPr>
          <w:szCs w:val="24"/>
        </w:rPr>
        <w:t>także żądanie wszczęcia postępowania</w:t>
      </w:r>
      <w:r w:rsidR="00992FD0" w:rsidRPr="00EC250C">
        <w:rPr>
          <w:szCs w:val="24"/>
        </w:rPr>
        <w:t xml:space="preserve"> w </w:t>
      </w:r>
      <w:r w:rsidRPr="00EC250C">
        <w:rPr>
          <w:szCs w:val="24"/>
        </w:rPr>
        <w:t xml:space="preserve">sprawie określenia dopuszczalnych poziomów emisji hałasu przez gminny amfiteatr, na którym są organizowane uciążliwe nocne koncerty. Działania takie </w:t>
      </w:r>
      <w:r w:rsidR="00D76DC6" w:rsidRPr="00EC250C">
        <w:rPr>
          <w:szCs w:val="24"/>
        </w:rPr>
        <w:t xml:space="preserve">RPO </w:t>
      </w:r>
      <w:r w:rsidRPr="00EC250C">
        <w:rPr>
          <w:szCs w:val="24"/>
        </w:rPr>
        <w:t>podejmuje, jeżeli stwierdzi, że organy ochrony środowiska nie wykonują</w:t>
      </w:r>
      <w:r w:rsidR="00992FD0" w:rsidRPr="00EC250C">
        <w:rPr>
          <w:szCs w:val="24"/>
        </w:rPr>
        <w:t xml:space="preserve"> w </w:t>
      </w:r>
      <w:r w:rsidRPr="00EC250C">
        <w:rPr>
          <w:szCs w:val="24"/>
        </w:rPr>
        <w:t>sposób odpowiedni swoich obowiązków.</w:t>
      </w:r>
    </w:p>
    <w:p w14:paraId="51E1E720" w14:textId="77777777" w:rsidR="00C91F6E" w:rsidRPr="00EC250C" w:rsidRDefault="003565B8" w:rsidP="00EC79EB">
      <w:pPr>
        <w:pStyle w:val="Nagwek4"/>
      </w:pPr>
      <w:bookmarkStart w:id="650" w:name="_Toc6257927"/>
      <w:bookmarkStart w:id="651" w:name="_Toc11247806"/>
      <w:r w:rsidRPr="00EC250C">
        <w:lastRenderedPageBreak/>
        <w:t>Nielegalna wycinka</w:t>
      </w:r>
      <w:r w:rsidR="00992FD0" w:rsidRPr="00EC250C">
        <w:t xml:space="preserve"> w </w:t>
      </w:r>
      <w:r w:rsidR="008145BC" w:rsidRPr="00EC250C">
        <w:t>Puszcz</w:t>
      </w:r>
      <w:r w:rsidRPr="00EC250C">
        <w:t>y</w:t>
      </w:r>
      <w:r w:rsidR="008145BC" w:rsidRPr="00EC250C">
        <w:t xml:space="preserve"> Białowiesk</w:t>
      </w:r>
      <w:bookmarkEnd w:id="650"/>
      <w:r w:rsidRPr="00EC250C">
        <w:t>iej</w:t>
      </w:r>
      <w:bookmarkEnd w:id="651"/>
    </w:p>
    <w:p w14:paraId="626C978B" w14:textId="77777777" w:rsidR="001D2631" w:rsidRPr="00EC250C" w:rsidRDefault="001D2631" w:rsidP="00EC250C">
      <w:pPr>
        <w:pStyle w:val="Nagwek5"/>
        <w:rPr>
          <w:spacing w:val="0"/>
        </w:rPr>
      </w:pPr>
      <w:r w:rsidRPr="00EC250C">
        <w:t>Wyrok Trybunału Sprawiedliwości Unii Europejskiej ws. Puszczy Białowieskiej</w:t>
      </w:r>
      <w:r w:rsidR="006074CA" w:rsidRPr="00EC250C">
        <w:t>: j</w:t>
      </w:r>
      <w:r w:rsidRPr="00EC250C">
        <w:t>ej obrona była uzasadniona</w:t>
      </w:r>
    </w:p>
    <w:p w14:paraId="7AFE9AA4" w14:textId="77777777" w:rsidR="00B473F5" w:rsidRPr="00EC250C" w:rsidRDefault="006074CA" w:rsidP="00D131FA">
      <w:pPr>
        <w:pStyle w:val="Problemczowieka"/>
        <w:jc w:val="both"/>
        <w:rPr>
          <w:shd w:val="clear" w:color="auto" w:fill="FFFFFF"/>
        </w:rPr>
      </w:pPr>
      <w:r w:rsidRPr="00EC250C">
        <w:rPr>
          <w:shd w:val="clear" w:color="auto" w:fill="FFFFFF"/>
        </w:rPr>
        <w:t>TS UE</w:t>
      </w:r>
      <w:r w:rsidR="00992FD0" w:rsidRPr="00EC250C">
        <w:rPr>
          <w:shd w:val="clear" w:color="auto" w:fill="FFFFFF"/>
        </w:rPr>
        <w:t xml:space="preserve"> w </w:t>
      </w:r>
      <w:r w:rsidR="001D2631" w:rsidRPr="00EC250C">
        <w:rPr>
          <w:shd w:val="clear" w:color="auto" w:fill="FFFFFF"/>
        </w:rPr>
        <w:t>Luksemburgu orzekł, że decyzje władz Polski</w:t>
      </w:r>
      <w:r w:rsidR="00992FD0" w:rsidRPr="00EC250C">
        <w:rPr>
          <w:shd w:val="clear" w:color="auto" w:fill="FFFFFF"/>
        </w:rPr>
        <w:t xml:space="preserve"> o </w:t>
      </w:r>
      <w:r w:rsidR="001D2631" w:rsidRPr="00EC250C">
        <w:rPr>
          <w:shd w:val="clear" w:color="auto" w:fill="FFFFFF"/>
        </w:rPr>
        <w:t>zwiększeniu wycinki</w:t>
      </w:r>
      <w:r w:rsidR="00992FD0" w:rsidRPr="00EC250C">
        <w:rPr>
          <w:shd w:val="clear" w:color="auto" w:fill="FFFFFF"/>
        </w:rPr>
        <w:t xml:space="preserve"> w </w:t>
      </w:r>
      <w:r w:rsidR="001D2631" w:rsidRPr="00EC250C">
        <w:rPr>
          <w:shd w:val="clear" w:color="auto" w:fill="FFFFFF"/>
        </w:rPr>
        <w:t>Puszczy Białowieskiej naruszały prawo UE . </w:t>
      </w:r>
      <w:r w:rsidR="008337B9" w:rsidRPr="00EC250C">
        <w:t>17 kwietnia 2018</w:t>
      </w:r>
      <w:r w:rsidR="00C91F6E" w:rsidRPr="00EC250C">
        <w:t> r.</w:t>
      </w:r>
      <w:r w:rsidR="008337B9" w:rsidRPr="00EC250C">
        <w:rPr>
          <w:shd w:val="clear" w:color="auto" w:fill="FFFFFF"/>
        </w:rPr>
        <w:t xml:space="preserve"> w</w:t>
      </w:r>
      <w:r w:rsidR="001D2631" w:rsidRPr="00EC250C">
        <w:rPr>
          <w:shd w:val="clear" w:color="auto" w:fill="FFFFFF"/>
        </w:rPr>
        <w:t>yrok</w:t>
      </w:r>
      <w:r w:rsidR="00CC4D88" w:rsidRPr="00EC250C">
        <w:t xml:space="preserve"> </w:t>
      </w:r>
      <w:r w:rsidR="001D2631" w:rsidRPr="00EC250C">
        <w:rPr>
          <w:shd w:val="clear" w:color="auto" w:fill="FFFFFF"/>
        </w:rPr>
        <w:t>wydała Wielka Izba Trybunału</w:t>
      </w:r>
      <w:r w:rsidR="001D2631" w:rsidRPr="00EC250C">
        <w:rPr>
          <w:rStyle w:val="Odwoanieprzypisudolnego"/>
        </w:rPr>
        <w:footnoteReference w:id="654"/>
      </w:r>
      <w:r w:rsidR="001D2631" w:rsidRPr="00EC250C">
        <w:rPr>
          <w:shd w:val="clear" w:color="auto" w:fill="FFFFFF"/>
        </w:rPr>
        <w:t xml:space="preserve">. </w:t>
      </w:r>
    </w:p>
    <w:p w14:paraId="147F7C0B" w14:textId="77777777" w:rsidR="001D2631" w:rsidRPr="00EC250C" w:rsidRDefault="001D2631" w:rsidP="00D131FA">
      <w:pPr>
        <w:pStyle w:val="Styl1"/>
        <w:rPr>
          <w:spacing w:val="0"/>
        </w:rPr>
      </w:pPr>
      <w:r w:rsidRPr="00EC250C">
        <w:t>W 2016</w:t>
      </w:r>
      <w:r w:rsidR="00C91F6E" w:rsidRPr="00EC250C">
        <w:t> r.</w:t>
      </w:r>
      <w:r w:rsidRPr="00EC250C">
        <w:t xml:space="preserve"> Minister Środowiska wydał decyzję</w:t>
      </w:r>
      <w:r w:rsidR="00992FD0" w:rsidRPr="00EC250C">
        <w:t xml:space="preserve"> o </w:t>
      </w:r>
      <w:r w:rsidRPr="00EC250C">
        <w:t>zwiększeniu cięć</w:t>
      </w:r>
      <w:r w:rsidR="00992FD0" w:rsidRPr="00EC250C">
        <w:t xml:space="preserve"> w </w:t>
      </w:r>
      <w:r w:rsidRPr="00EC250C">
        <w:t>Puszczy. Argumentował, że chodzi przede wszystkim</w:t>
      </w:r>
      <w:r w:rsidR="00992FD0" w:rsidRPr="00EC250C">
        <w:t xml:space="preserve"> o </w:t>
      </w:r>
      <w:r w:rsidRPr="00EC250C">
        <w:t>„cięcia sanitarne”</w:t>
      </w:r>
      <w:r w:rsidR="00992FD0" w:rsidRPr="00EC250C">
        <w:t xml:space="preserve"> i </w:t>
      </w:r>
      <w:r w:rsidRPr="00EC250C">
        <w:t>usuwania drzew zagrażających bezpieczeństwu</w:t>
      </w:r>
      <w:r w:rsidR="00026572" w:rsidRPr="00EC250C">
        <w:t xml:space="preserve"> – </w:t>
      </w:r>
      <w:r w:rsidRPr="00EC250C">
        <w:t>wobec zaatakowania świerków przez kornika drukarza. Komisja Europejska wszczęła postępowanie wobec Polski, zakończone skierowaniem sprawy do Trybunału latem 2017</w:t>
      </w:r>
      <w:r w:rsidR="00C91F6E" w:rsidRPr="00EC250C">
        <w:t> r.</w:t>
      </w:r>
      <w:r w:rsidRPr="00EC250C">
        <w:t> Przeciwko wycince aktywnie protestowały organizacje ekologiczne</w:t>
      </w:r>
      <w:r w:rsidR="00992FD0" w:rsidRPr="00EC250C">
        <w:t xml:space="preserve"> i </w:t>
      </w:r>
      <w:r w:rsidRPr="00EC250C">
        <w:t>obywatele.</w:t>
      </w:r>
    </w:p>
    <w:p w14:paraId="79C66C36" w14:textId="77777777" w:rsidR="00D231A0" w:rsidRPr="00EC250C" w:rsidRDefault="00D76DC6" w:rsidP="00D131FA">
      <w:pPr>
        <w:pStyle w:val="Styl1"/>
      </w:pPr>
      <w:r w:rsidRPr="00EC250C">
        <w:t>RPO</w:t>
      </w:r>
      <w:r w:rsidR="001D2631" w:rsidRPr="00EC250C">
        <w:t xml:space="preserve"> kwestionował przed polskimi sądami administracyjnymi decyzję Ministra. Formalnie była ona zatwierdzeniem aneksu do planu urządzenia lasu dla Nadleśnictwa Białowieża. Sądy odmówiły skontrolowania zgodności wycinki</w:t>
      </w:r>
      <w:r w:rsidR="00992FD0" w:rsidRPr="00EC250C">
        <w:t xml:space="preserve"> z </w:t>
      </w:r>
      <w:r w:rsidR="001D2631" w:rsidRPr="00EC250C">
        <w:t>prawem, także unijnym.</w:t>
      </w:r>
      <w:r w:rsidR="00D231A0" w:rsidRPr="00EC250C">
        <w:t xml:space="preserve">  Rzecznika w postępowaniu wsparły organizacje pozarządowe: Klub Przyrodników, Fundacja ClientEarth i Pracownia na rzecz Wszystkich Istot. Sądy obu instancji (postanowienie Wojewódzkiego Sądu Administracyjnego w Warszawie z 14 marca 2017 r., sygn. akt IV SA/Wa 2787/16; postanowienie Naczelnego Sądu Administracyjnego z 17 października 2017 r., sygn. akt II OSK 2336/17) odmówiły skontrolowania zgodności wycinki z prawem, także unijnym.</w:t>
      </w:r>
    </w:p>
    <w:p w14:paraId="4C3258FD" w14:textId="77777777" w:rsidR="00525408" w:rsidRPr="00EC250C" w:rsidRDefault="00525408" w:rsidP="00D131FA">
      <w:pPr>
        <w:pStyle w:val="Srdtytul6"/>
        <w:jc w:val="both"/>
      </w:pPr>
      <w:r w:rsidRPr="00EC250C">
        <w:t>Argumenty RPO</w:t>
      </w:r>
    </w:p>
    <w:p w14:paraId="428CC80A" w14:textId="77777777" w:rsidR="001D2631" w:rsidRPr="00EC250C" w:rsidRDefault="001D2631" w:rsidP="00D131FA">
      <w:pPr>
        <w:pStyle w:val="Styl1"/>
      </w:pPr>
      <w:r w:rsidRPr="00EC250C">
        <w:t>Przed sądami RPO argumentował, że środowisko naturalne jest wspólnym dobrem całego społeczeństwa. Prawo gwarantuje wpływ na decyzje mogące negatywnie oddziaływać na otaczającą nas przyrodę. Dlatego, rozstrzygając</w:t>
      </w:r>
      <w:r w:rsidR="00992FD0" w:rsidRPr="00EC250C">
        <w:t xml:space="preserve"> o </w:t>
      </w:r>
      <w:r w:rsidRPr="00EC250C">
        <w:t>możliwości zwiększenia wycinki, minister powinien był przekonać społeczeństwo</w:t>
      </w:r>
      <w:r w:rsidR="00992FD0" w:rsidRPr="00EC250C">
        <w:t xml:space="preserve"> o </w:t>
      </w:r>
      <w:r w:rsidRPr="00EC250C">
        <w:t>zasadności tych działań.</w:t>
      </w:r>
      <w:r w:rsidR="00525408" w:rsidRPr="00EC250C">
        <w:t xml:space="preserve"> RPO powoływał się na </w:t>
      </w:r>
      <w:r w:rsidRPr="00EC250C">
        <w:t xml:space="preserve">art. 68 ust. 4 Konstytucji </w:t>
      </w:r>
      <w:r w:rsidR="00525408" w:rsidRPr="00EC250C">
        <w:t>(</w:t>
      </w:r>
      <w:r w:rsidRPr="00EC250C">
        <w:t>jednym</w:t>
      </w:r>
      <w:r w:rsidR="00992FD0" w:rsidRPr="00EC250C">
        <w:t xml:space="preserve"> z </w:t>
      </w:r>
      <w:r w:rsidRPr="00EC250C">
        <w:t>zadań władz publicznych jest „zapobiegania negatywnym dla zdrowia skutkom degradacji środowiska”</w:t>
      </w:r>
      <w:r w:rsidR="00525408" w:rsidRPr="00EC250C">
        <w:t xml:space="preserve">), oraz art. </w:t>
      </w:r>
      <w:r w:rsidRPr="00EC250C">
        <w:t>74.</w:t>
      </w:r>
    </w:p>
    <w:p w14:paraId="2DE2F137" w14:textId="77777777" w:rsidR="001D2631" w:rsidRPr="00EC250C" w:rsidRDefault="001D2631" w:rsidP="00D131FA">
      <w:pPr>
        <w:pStyle w:val="Styl1"/>
      </w:pPr>
      <w:r w:rsidRPr="00EC250C">
        <w:t>RPO nie oceniał, czy dla dobra Puszczy zasadne jest zwiększenie wycinki, czy jej ograniczenie. Zależało mu</w:t>
      </w:r>
      <w:r w:rsidR="00525408" w:rsidRPr="00EC250C">
        <w:t>,</w:t>
      </w:r>
      <w:r w:rsidRPr="00EC250C">
        <w:t xml:space="preserve"> aby </w:t>
      </w:r>
      <w:r w:rsidR="00525408" w:rsidRPr="00EC250C">
        <w:t>M</w:t>
      </w:r>
      <w:r w:rsidRPr="00EC250C">
        <w:t>inister postępował</w:t>
      </w:r>
      <w:r w:rsidR="00992FD0" w:rsidRPr="00EC250C">
        <w:t xml:space="preserve"> w </w:t>
      </w:r>
      <w:r w:rsidRPr="00EC250C">
        <w:t>tej sprawie zgodnie</w:t>
      </w:r>
      <w:r w:rsidR="00992FD0" w:rsidRPr="00EC250C">
        <w:t xml:space="preserve"> z </w:t>
      </w:r>
      <w:r w:rsidRPr="00EC250C">
        <w:t>procedurą administracyjną.</w:t>
      </w:r>
      <w:r w:rsidR="00525408" w:rsidRPr="00EC250C">
        <w:t xml:space="preserve"> Poza tym zdaniem RPO M</w:t>
      </w:r>
      <w:r w:rsidRPr="00EC250C">
        <w:t>inister naruszył wiążące Polskę regulacje międzynarodowe</w:t>
      </w:r>
      <w:r w:rsidR="00992FD0" w:rsidRPr="00EC250C">
        <w:t xml:space="preserve"> i </w:t>
      </w:r>
      <w:r w:rsidRPr="00EC250C">
        <w:t>procedurę administracyjną:</w:t>
      </w:r>
    </w:p>
    <w:p w14:paraId="764C8CB1" w14:textId="77777777" w:rsidR="001D2631" w:rsidRPr="00EC250C" w:rsidRDefault="001D2631" w:rsidP="006C70B7">
      <w:pPr>
        <w:pStyle w:val="Styl1"/>
        <w:numPr>
          <w:ilvl w:val="0"/>
          <w:numId w:val="83"/>
        </w:numPr>
      </w:pPr>
      <w:r w:rsidRPr="00EC250C">
        <w:lastRenderedPageBreak/>
        <w:t>nie przeprowadził oceny oddziaływania na obszar Natura 2000</w:t>
      </w:r>
      <w:r w:rsidR="00992FD0" w:rsidRPr="00EC250C">
        <w:t xml:space="preserve"> w </w:t>
      </w:r>
      <w:r w:rsidRPr="00EC250C">
        <w:t>postępowaniu administracyjnym,</w:t>
      </w:r>
      <w:r w:rsidR="00992FD0" w:rsidRPr="00EC250C">
        <w:t xml:space="preserve"> a </w:t>
      </w:r>
      <w:r w:rsidRPr="00EC250C">
        <w:t>przez to uniemożliwił organizacjom ekologicznym udział</w:t>
      </w:r>
      <w:r w:rsidR="00992FD0" w:rsidRPr="00EC250C">
        <w:t xml:space="preserve"> w </w:t>
      </w:r>
      <w:r w:rsidRPr="00EC250C">
        <w:t>tym postępowaniu zgodnie</w:t>
      </w:r>
      <w:r w:rsidR="00992FD0" w:rsidRPr="00EC250C">
        <w:t xml:space="preserve"> z </w:t>
      </w:r>
      <w:r w:rsidRPr="00EC250C">
        <w:t>wymaganiami Konwencji</w:t>
      </w:r>
      <w:r w:rsidR="00992FD0" w:rsidRPr="00EC250C">
        <w:t xml:space="preserve"> z </w:t>
      </w:r>
      <w:r w:rsidRPr="00EC250C">
        <w:t>Aarhus</w:t>
      </w:r>
      <w:r w:rsidR="00992FD0" w:rsidRPr="00EC250C">
        <w:t xml:space="preserve"> i </w:t>
      </w:r>
      <w:r w:rsidRPr="00EC250C">
        <w:t>ustawodawstwa unijnego;</w:t>
      </w:r>
    </w:p>
    <w:p w14:paraId="71BE479A" w14:textId="77777777" w:rsidR="001D2631" w:rsidRPr="00EC250C" w:rsidRDefault="001D2631" w:rsidP="006C70B7">
      <w:pPr>
        <w:pStyle w:val="Styl1"/>
        <w:numPr>
          <w:ilvl w:val="0"/>
          <w:numId w:val="83"/>
        </w:numPr>
      </w:pPr>
      <w:r w:rsidRPr="00EC250C">
        <w:t>nie odniósł się</w:t>
      </w:r>
      <w:r w:rsidR="00992FD0" w:rsidRPr="00EC250C">
        <w:t xml:space="preserve"> w </w:t>
      </w:r>
      <w:r w:rsidRPr="00EC250C">
        <w:t>uzasadnieniu decyzji do opinii krytycznych wobec zwiększenia wycinki (np.</w:t>
      </w:r>
      <w:r w:rsidR="00CC4D88" w:rsidRPr="00EC250C">
        <w:t xml:space="preserve"> </w:t>
      </w:r>
      <w:r w:rsidRPr="00EC250C">
        <w:t>negatywnej opinii Państwowej Rady Ochrony Przyrody);</w:t>
      </w:r>
    </w:p>
    <w:p w14:paraId="2BCDCEF7" w14:textId="77777777" w:rsidR="001D2631" w:rsidRPr="00EC250C" w:rsidRDefault="001D2631" w:rsidP="006C70B7">
      <w:pPr>
        <w:pStyle w:val="Styl1"/>
        <w:numPr>
          <w:ilvl w:val="0"/>
          <w:numId w:val="83"/>
        </w:numPr>
      </w:pPr>
      <w:r w:rsidRPr="00EC250C">
        <w:t>w sposób wadliwy przeprowadził postępowanie dowodowe (w aktach znajdują się wyłącznie dokumenty otrzymane przez ministra od Lasów Państwowych,</w:t>
      </w:r>
      <w:r w:rsidR="00992FD0" w:rsidRPr="00EC250C">
        <w:t xml:space="preserve"> a </w:t>
      </w:r>
      <w:r w:rsidRPr="00EC250C">
        <w:t>żadnego spośród licznych dokumentów krytycznych);</w:t>
      </w:r>
    </w:p>
    <w:p w14:paraId="1189A27D" w14:textId="77777777" w:rsidR="00525408" w:rsidRPr="00EC250C" w:rsidRDefault="00525408" w:rsidP="00D131FA">
      <w:pPr>
        <w:pStyle w:val="Srdtytul6"/>
        <w:jc w:val="both"/>
      </w:pPr>
      <w:r w:rsidRPr="00EC250C">
        <w:t>Sprawa przed polskimi sądami</w:t>
      </w:r>
    </w:p>
    <w:p w14:paraId="682B5732" w14:textId="77777777" w:rsidR="00D231A0" w:rsidRPr="00EC250C" w:rsidRDefault="00D231A0" w:rsidP="00D131FA">
      <w:pPr>
        <w:pStyle w:val="Styl1"/>
      </w:pPr>
      <w:r w:rsidRPr="00EC250C">
        <w:t>W marcu 2017 r. Wojewódzki Sąd Administracyjny w Warszawie (sygn. akt IV SA/Wa 2787/16) odrzucił skargę RPO z przyczyn formalnych – bez badania legalności zaskarżonego aktu. Uznał, że zatwierdzenie aneksu nie podlega kontroli sądu administracyjnego. RPO złożył (podobnie jak popierające go organizacje pozarządowe) skargę kasacyjną do Naczelnego Sądu Administracyjnego. W październiku 2017 r. NSA (sygn. akt II OSK 2336/17) oddalił je na posiedzeniu niejawnym. Oznaczało to, że nie jest możliwe skontrolowanie przez polski sąd zgodności wycinki z prawem</w:t>
      </w:r>
      <w:r w:rsidRPr="00EC250C">
        <w:rPr>
          <w:rStyle w:val="Odwoanieprzypisudolnego"/>
        </w:rPr>
        <w:footnoteReference w:id="655"/>
      </w:r>
      <w:r w:rsidRPr="00EC250C">
        <w:t>.</w:t>
      </w:r>
    </w:p>
    <w:p w14:paraId="61BD056F" w14:textId="77777777" w:rsidR="00D231A0" w:rsidRPr="00EC250C" w:rsidRDefault="00D231A0" w:rsidP="00D131FA">
      <w:pPr>
        <w:pStyle w:val="Srdtytul6"/>
        <w:jc w:val="both"/>
      </w:pPr>
      <w:r w:rsidRPr="00EC250C">
        <w:t>Konsekwencje wyroku TS UE</w:t>
      </w:r>
    </w:p>
    <w:p w14:paraId="2B865F39" w14:textId="77777777" w:rsidR="00D231A0" w:rsidRPr="00EC250C" w:rsidRDefault="00D231A0" w:rsidP="00D131FA">
      <w:pPr>
        <w:pStyle w:val="Styl1"/>
      </w:pPr>
      <w:r w:rsidRPr="00EC250C">
        <w:t>Komisja Europejska uznając, że dopuszczając do wycinki Polska naruszyła prawo europejskie, skierowała sprawę do Trybunału Sprawiedliwości Unii Europejskiej.</w:t>
      </w:r>
    </w:p>
    <w:p w14:paraId="5CFFD6C3" w14:textId="77777777" w:rsidR="00D231A0" w:rsidRPr="00EC250C" w:rsidRDefault="00D231A0" w:rsidP="00D131FA">
      <w:pPr>
        <w:pStyle w:val="Styl1"/>
      </w:pPr>
      <w:r w:rsidRPr="00EC250C">
        <w:t>Wyrok TS UE, wydany w rezultacie skargi Komisji 17 kwietnia 2018 r. pośrednio potwierdza, że protesty oraz działania natury prawnej, także RPO, miały swoje uzasadnienie, tym bardziej że RPO powoływał się przed sądami administracyjnymi m.in. na prawo unijne.</w:t>
      </w:r>
    </w:p>
    <w:p w14:paraId="5DDED480" w14:textId="77777777" w:rsidR="00C91F6E" w:rsidRPr="00EC250C" w:rsidRDefault="00CC708A" w:rsidP="00D131FA">
      <w:pPr>
        <w:pStyle w:val="Styl1"/>
      </w:pPr>
      <w:r w:rsidRPr="00EC250C">
        <w:t>Trybunał Sprawiedliwości Unii Europejskiej orzekł, że Rzeczpospolita Polska uchybiła</w:t>
      </w:r>
      <w:r w:rsidR="00992FD0" w:rsidRPr="00EC250C">
        <w:t xml:space="preserve"> w </w:t>
      </w:r>
      <w:r w:rsidRPr="00EC250C">
        <w:t>związku</w:t>
      </w:r>
      <w:r w:rsidR="00992FD0" w:rsidRPr="00EC250C">
        <w:t xml:space="preserve"> z </w:t>
      </w:r>
      <w:r w:rsidRPr="00EC250C">
        <w:t>przyjęciem dokumentów umożliwiających zwiększenie wycinki</w:t>
      </w:r>
      <w:r w:rsidR="00992FD0" w:rsidRPr="00EC250C">
        <w:t xml:space="preserve"> w </w:t>
      </w:r>
      <w:r w:rsidRPr="00EC250C">
        <w:t>Puszczy Białowieskiej szeregowi norm prawa unijnego (dyrektywa siedliskowa, dyrektywa ptasia).</w:t>
      </w:r>
    </w:p>
    <w:p w14:paraId="488B0E49" w14:textId="77777777" w:rsidR="00C91F6E" w:rsidRPr="00EC250C" w:rsidRDefault="00CC708A" w:rsidP="00D131FA">
      <w:pPr>
        <w:pStyle w:val="Styl1"/>
      </w:pPr>
      <w:r w:rsidRPr="00EC250C">
        <w:t>Trybunał podkreślił, że zgodnie</w:t>
      </w:r>
      <w:r w:rsidR="00992FD0" w:rsidRPr="00EC250C">
        <w:t xml:space="preserve"> z </w:t>
      </w:r>
      <w:r w:rsidRPr="00EC250C">
        <w:t>przepisami unijnymi zezwolenie dotyczące planu lub przedsięwzięcia może być wydane tylko pod warunkiem, że właściwe władze uzyskały</w:t>
      </w:r>
      <w:r w:rsidR="00992FD0" w:rsidRPr="00EC250C">
        <w:t xml:space="preserve"> w </w:t>
      </w:r>
      <w:r w:rsidRPr="00EC250C">
        <w:t>chwili wydania decyzji zezwalającej na plan lub przedsięwzięcie pewność, iż nie będą one miały trwałych skutków szkodliwych dla integralności danego obszaru. Zdaniem Trybunału</w:t>
      </w:r>
      <w:r w:rsidR="00992FD0" w:rsidRPr="00EC250C">
        <w:t xml:space="preserve"> w </w:t>
      </w:r>
      <w:r w:rsidRPr="00EC250C">
        <w:t>sprawie wycinki</w:t>
      </w:r>
      <w:r w:rsidR="00992FD0" w:rsidRPr="00EC250C">
        <w:t xml:space="preserve"> w </w:t>
      </w:r>
      <w:r w:rsidRPr="00EC250C">
        <w:t>Puszczy Białowieskiej Polska takiej pewności nie uzyskała, bowiem nie przeprowadzono odpowiedniej oceny oddziaływania na środowisko.</w:t>
      </w:r>
    </w:p>
    <w:p w14:paraId="19AFF3EB" w14:textId="77777777" w:rsidR="00CC708A" w:rsidRPr="00EC250C" w:rsidRDefault="00D76DC6" w:rsidP="00D131FA">
      <w:pPr>
        <w:pStyle w:val="Styl1"/>
        <w:rPr>
          <w:bCs/>
          <w:iCs/>
        </w:rPr>
      </w:pPr>
      <w:r w:rsidRPr="00EC250C">
        <w:rPr>
          <w:bCs/>
          <w:iCs/>
        </w:rPr>
        <w:lastRenderedPageBreak/>
        <w:t>RPO</w:t>
      </w:r>
      <w:r w:rsidR="00CC708A" w:rsidRPr="00EC250C">
        <w:rPr>
          <w:bCs/>
          <w:iCs/>
        </w:rPr>
        <w:t xml:space="preserve"> zwrócił się</w:t>
      </w:r>
      <w:r w:rsidR="00CC708A" w:rsidRPr="00EC250C">
        <w:rPr>
          <w:rStyle w:val="Odwoanieprzypisudolnego"/>
          <w:bCs/>
          <w:iCs/>
        </w:rPr>
        <w:footnoteReference w:id="656"/>
      </w:r>
      <w:r w:rsidR="00CC708A" w:rsidRPr="00EC250C">
        <w:rPr>
          <w:bCs/>
          <w:iCs/>
        </w:rPr>
        <w:t xml:space="preserve"> do Ministra Środowiska</w:t>
      </w:r>
      <w:r w:rsidR="00992FD0" w:rsidRPr="00EC250C">
        <w:rPr>
          <w:bCs/>
          <w:iCs/>
        </w:rPr>
        <w:t xml:space="preserve"> o </w:t>
      </w:r>
      <w:r w:rsidR="003D0B03" w:rsidRPr="00EC250C">
        <w:rPr>
          <w:bCs/>
          <w:iCs/>
        </w:rPr>
        <w:t>informacje, jak wyrok zostanie wykonany</w:t>
      </w:r>
      <w:r w:rsidR="00992FD0" w:rsidRPr="00EC250C">
        <w:rPr>
          <w:bCs/>
          <w:iCs/>
        </w:rPr>
        <w:t xml:space="preserve"> i </w:t>
      </w:r>
      <w:r w:rsidR="003D0B03" w:rsidRPr="00EC250C">
        <w:rPr>
          <w:bCs/>
          <w:iCs/>
        </w:rPr>
        <w:t xml:space="preserve">jak zamierza </w:t>
      </w:r>
      <w:r w:rsidR="008337B9" w:rsidRPr="00EC250C">
        <w:rPr>
          <w:bCs/>
          <w:iCs/>
        </w:rPr>
        <w:t>umożliwić</w:t>
      </w:r>
      <w:r w:rsidR="00CC708A" w:rsidRPr="00EC250C">
        <w:rPr>
          <w:bCs/>
          <w:iCs/>
        </w:rPr>
        <w:t xml:space="preserve"> stronie społecznej aktywn</w:t>
      </w:r>
      <w:r w:rsidR="003D0B03" w:rsidRPr="00EC250C">
        <w:rPr>
          <w:bCs/>
          <w:iCs/>
        </w:rPr>
        <w:t>y</w:t>
      </w:r>
      <w:r w:rsidR="00CC708A" w:rsidRPr="00EC250C">
        <w:rPr>
          <w:bCs/>
          <w:iCs/>
        </w:rPr>
        <w:t xml:space="preserve"> udział</w:t>
      </w:r>
      <w:r w:rsidR="00992FD0" w:rsidRPr="00EC250C">
        <w:rPr>
          <w:bCs/>
          <w:iCs/>
        </w:rPr>
        <w:t xml:space="preserve"> w </w:t>
      </w:r>
      <w:r w:rsidR="00CC708A" w:rsidRPr="00EC250C">
        <w:rPr>
          <w:bCs/>
          <w:iCs/>
        </w:rPr>
        <w:t>tego rodzaju postępowaniach.</w:t>
      </w:r>
    </w:p>
    <w:p w14:paraId="0E2D3958" w14:textId="77777777" w:rsidR="00CC708A" w:rsidRPr="00EC250C" w:rsidRDefault="00CC708A" w:rsidP="00D131FA">
      <w:pPr>
        <w:pStyle w:val="Styl1"/>
        <w:rPr>
          <w:bCs/>
          <w:iCs/>
        </w:rPr>
      </w:pPr>
      <w:r w:rsidRPr="00EC250C">
        <w:rPr>
          <w:bCs/>
          <w:iCs/>
        </w:rPr>
        <w:t>Minister wskazał, że co prawda Trybunał Sprawiedliwości wydał już wyrok</w:t>
      </w:r>
      <w:r w:rsidR="003D0B03" w:rsidRPr="00EC250C">
        <w:rPr>
          <w:bCs/>
          <w:iCs/>
        </w:rPr>
        <w:t xml:space="preserve">, </w:t>
      </w:r>
      <w:r w:rsidRPr="00EC250C">
        <w:rPr>
          <w:bCs/>
          <w:iCs/>
        </w:rPr>
        <w:t>jednak Komisja Europejska nie zamknęła postępowania naruszeniowego</w:t>
      </w:r>
      <w:r w:rsidRPr="00EC250C">
        <w:rPr>
          <w:rStyle w:val="Odwoanieprzypisudolnego"/>
          <w:bCs/>
          <w:iCs/>
        </w:rPr>
        <w:footnoteReference w:id="657"/>
      </w:r>
      <w:r w:rsidRPr="00EC250C">
        <w:rPr>
          <w:bCs/>
          <w:iCs/>
        </w:rPr>
        <w:t xml:space="preserve">. </w:t>
      </w:r>
      <w:r w:rsidR="003D0B03" w:rsidRPr="00EC250C">
        <w:rPr>
          <w:bCs/>
          <w:iCs/>
        </w:rPr>
        <w:t>Dlatego informacje</w:t>
      </w:r>
      <w:r w:rsidR="00992FD0" w:rsidRPr="00EC250C">
        <w:rPr>
          <w:bCs/>
          <w:iCs/>
        </w:rPr>
        <w:t xml:space="preserve"> o </w:t>
      </w:r>
      <w:r w:rsidR="003D0B03" w:rsidRPr="00EC250C">
        <w:rPr>
          <w:bCs/>
          <w:iCs/>
        </w:rPr>
        <w:t>wykonaniu wyroku TS UE Minister może przedstawić tylko Komisji</w:t>
      </w:r>
      <w:r w:rsidR="00992FD0" w:rsidRPr="00EC250C">
        <w:rPr>
          <w:bCs/>
          <w:iCs/>
        </w:rPr>
        <w:t xml:space="preserve"> i </w:t>
      </w:r>
      <w:r w:rsidR="003D0B03" w:rsidRPr="00EC250C">
        <w:rPr>
          <w:bCs/>
          <w:iCs/>
        </w:rPr>
        <w:t>zrobi to</w:t>
      </w:r>
      <w:r w:rsidR="00992FD0" w:rsidRPr="00EC250C">
        <w:rPr>
          <w:bCs/>
          <w:iCs/>
        </w:rPr>
        <w:t xml:space="preserve"> w </w:t>
      </w:r>
      <w:r w:rsidR="003D0B03" w:rsidRPr="00EC250C">
        <w:rPr>
          <w:bCs/>
          <w:iCs/>
        </w:rPr>
        <w:t>wyznaczonym terminie.</w:t>
      </w:r>
    </w:p>
    <w:p w14:paraId="77FD9691" w14:textId="77777777" w:rsidR="000910DA" w:rsidRPr="00EC250C" w:rsidRDefault="003D41F8" w:rsidP="00D131FA">
      <w:pPr>
        <w:pStyle w:val="ODESANIE"/>
        <w:jc w:val="both"/>
      </w:pPr>
      <w:bookmarkStart w:id="652" w:name="_Toc6257929"/>
      <w:r w:rsidRPr="00EC250C">
        <w:t>Ochrona praw uczestników manifestacji w Puszczy Białowieskiej - o</w:t>
      </w:r>
      <w:r w:rsidR="00A16B5C" w:rsidRPr="00EC250C">
        <w:t>mówienie: Art. 57</w:t>
      </w:r>
    </w:p>
    <w:p w14:paraId="56864251" w14:textId="77777777" w:rsidR="000910DA" w:rsidRPr="00EC250C" w:rsidRDefault="000910DA" w:rsidP="00D131FA">
      <w:pPr>
        <w:spacing w:after="200" w:line="24" w:lineRule="auto"/>
        <w:jc w:val="both"/>
        <w:rPr>
          <w:rFonts w:eastAsiaTheme="majorEastAsia" w:cstheme="majorBidi"/>
          <w:iCs/>
          <w:color w:val="C00000"/>
          <w:sz w:val="28"/>
        </w:rPr>
      </w:pPr>
      <w:r w:rsidRPr="00EC250C">
        <w:rPr>
          <w:sz w:val="24"/>
        </w:rPr>
        <w:br w:type="page"/>
      </w:r>
    </w:p>
    <w:p w14:paraId="77AB1130" w14:textId="77777777" w:rsidR="00C91F6E" w:rsidRPr="00EC250C" w:rsidRDefault="00393636" w:rsidP="00EC250C">
      <w:pPr>
        <w:pStyle w:val="Nagwek3"/>
      </w:pPr>
      <w:bookmarkStart w:id="653" w:name="_Toc11247807"/>
      <w:r w:rsidRPr="00EC250C">
        <w:lastRenderedPageBreak/>
        <w:t xml:space="preserve">Art. 75 </w:t>
      </w:r>
      <w:r w:rsidR="003C7122" w:rsidRPr="00EC250C">
        <w:t xml:space="preserve">Konstytucji </w:t>
      </w:r>
      <w:r w:rsidRPr="00EC250C">
        <w:t>– Polityka mieszkaniowa oraz ochrona praw lokatorów</w:t>
      </w:r>
      <w:bookmarkEnd w:id="652"/>
      <w:bookmarkEnd w:id="653"/>
    </w:p>
    <w:p w14:paraId="78BF50A0" w14:textId="77777777" w:rsidR="00393636" w:rsidRPr="00EC250C" w:rsidRDefault="00393636" w:rsidP="00D131FA">
      <w:pPr>
        <w:pStyle w:val="konstytucja"/>
        <w:jc w:val="both"/>
      </w:pPr>
      <w:r w:rsidRPr="00EC250C">
        <w:t>1. Władze publiczne prowadzą politykę sprzyjającą zaspokojeniu potrzeb mieszkaniowych obywateli,</w:t>
      </w:r>
      <w:r w:rsidR="00992FD0" w:rsidRPr="00EC250C">
        <w:t xml:space="preserve"> w </w:t>
      </w:r>
      <w:r w:rsidRPr="00EC250C">
        <w:t>szczególności przeciwdziałają bezdomności, wspierają rozwój budownictwa socjalnego oraz popierają działania obywateli zmierzające do uzyskania własnego mieszkania.</w:t>
      </w:r>
    </w:p>
    <w:p w14:paraId="5E85036F" w14:textId="77777777" w:rsidR="00393636" w:rsidRPr="00EC250C" w:rsidRDefault="00393636" w:rsidP="00D131FA">
      <w:pPr>
        <w:pStyle w:val="konstytucja"/>
        <w:jc w:val="both"/>
      </w:pPr>
      <w:r w:rsidRPr="00EC250C">
        <w:t>2. Ochronę praw lokatorów określa ustawa.</w:t>
      </w:r>
    </w:p>
    <w:p w14:paraId="2FE19629" w14:textId="77777777" w:rsidR="00C91F6E" w:rsidRPr="00EC250C" w:rsidRDefault="00767393" w:rsidP="00D131FA">
      <w:pPr>
        <w:pStyle w:val="ComwiKonstytucja"/>
      </w:pPr>
      <w:r w:rsidRPr="00EC250C">
        <w:t>Twórcy Konstytucji powstrzymali się od sformułowania prawa do mieszkania, jako prawa podmiotowego obywateli. Artykuł ten nakłada jednak pewne obowiązki na władze publiczne</w:t>
      </w:r>
      <w:r w:rsidR="00992FD0" w:rsidRPr="00EC250C">
        <w:t xml:space="preserve"> w </w:t>
      </w:r>
      <w:r w:rsidRPr="00EC250C">
        <w:t>tym zakresie: chodzi</w:t>
      </w:r>
      <w:r w:rsidR="00992FD0" w:rsidRPr="00EC250C">
        <w:t xml:space="preserve"> o </w:t>
      </w:r>
      <w:r w:rsidRPr="00EC250C">
        <w:t>prowadzenie polityki sprzyjającej zaspokajaniu potrzeb mieszkaniowych obywateli.</w:t>
      </w:r>
    </w:p>
    <w:p w14:paraId="7C4A7EC1" w14:textId="77777777" w:rsidR="00C91F6E" w:rsidRPr="00EC250C" w:rsidRDefault="00767393" w:rsidP="00D131FA">
      <w:pPr>
        <w:pStyle w:val="ComwiKonstytucja"/>
      </w:pPr>
      <w:r w:rsidRPr="00EC250C">
        <w:t>Przepis ten nie konkretyzuje zakresu, form czy metod działania władz publicznych. Jednak</w:t>
      </w:r>
      <w:r w:rsidR="00992FD0" w:rsidRPr="00EC250C">
        <w:t xml:space="preserve"> w </w:t>
      </w:r>
      <w:r w:rsidRPr="00EC250C">
        <w:t>zadaniach szczegółowych wskazano na pierwszym miejscu eliminowanie zjawiska bezdomności, które to zjawisko kłóci się</w:t>
      </w:r>
      <w:r w:rsidR="00992FD0" w:rsidRPr="00EC250C">
        <w:t xml:space="preserve"> z </w:t>
      </w:r>
      <w:r w:rsidRPr="00EC250C">
        <w:t>zasadą godności jednostki.</w:t>
      </w:r>
    </w:p>
    <w:p w14:paraId="50EDA67A" w14:textId="77777777" w:rsidR="00C91F6E" w:rsidRPr="00EC250C" w:rsidRDefault="00767393" w:rsidP="00D131FA">
      <w:pPr>
        <w:pStyle w:val="ComwiKonstytucja"/>
      </w:pPr>
      <w:r w:rsidRPr="00EC250C">
        <w:t>Kolejny obowiązek szczegółowy państwa dotyczy obywateli</w:t>
      </w:r>
      <w:r w:rsidR="00992FD0" w:rsidRPr="00EC250C">
        <w:t xml:space="preserve"> w </w:t>
      </w:r>
      <w:r w:rsidRPr="00EC250C">
        <w:t>gorszej sytuacji finansowej, którym państwo powinno pomagać poprzez rozwój budownictwa socjalnego. Władze mają również popierać działania obywateli zmierzające do uzyskania własnego mieszkania. Realizacją tego zadania może być takie ukształtowanie systemu prawa, by przewidywał on system tanich kredytów, zwolnień</w:t>
      </w:r>
      <w:r w:rsidR="00992FD0" w:rsidRPr="00EC250C">
        <w:t xml:space="preserve"> i </w:t>
      </w:r>
      <w:r w:rsidRPr="00EC250C">
        <w:t>ulg podatkowych, czy bezpośrednią pomoc finansową dla potrzebujących.</w:t>
      </w:r>
    </w:p>
    <w:p w14:paraId="4818739B" w14:textId="77777777" w:rsidR="00767393" w:rsidRPr="00EC250C" w:rsidRDefault="00767393" w:rsidP="00D131FA">
      <w:pPr>
        <w:pStyle w:val="ComwiKonstytucja"/>
      </w:pPr>
      <w:r w:rsidRPr="00EC250C">
        <w:t>Ustęp drugi tego artykułu nakłada obowiązek przyjęcia ustawy, która zapewni ochronę prawną szeroko rozumianych lokatorów (w tym także najemców).</w:t>
      </w:r>
    </w:p>
    <w:p w14:paraId="6D17E09D" w14:textId="77777777" w:rsidR="003E4DBD" w:rsidRPr="00EC250C" w:rsidRDefault="003E4DBD" w:rsidP="00D131FA">
      <w:pPr>
        <w:pStyle w:val="ComwiKonstytucja"/>
      </w:pPr>
    </w:p>
    <w:p w14:paraId="4810E909" w14:textId="77777777" w:rsidR="00767393" w:rsidRPr="00EC250C" w:rsidRDefault="00767393" w:rsidP="00D131FA">
      <w:pPr>
        <w:spacing w:after="200" w:line="24" w:lineRule="auto"/>
        <w:jc w:val="both"/>
        <w:rPr>
          <w:i/>
          <w:spacing w:val="5"/>
          <w:sz w:val="22"/>
        </w:rPr>
      </w:pPr>
      <w:r w:rsidRPr="00EC250C">
        <w:rPr>
          <w:sz w:val="24"/>
        </w:rPr>
        <w:br w:type="page"/>
      </w:r>
    </w:p>
    <w:p w14:paraId="4BC8DDCD" w14:textId="77777777" w:rsidR="00C91F6E" w:rsidRPr="00EC250C" w:rsidRDefault="00132A19" w:rsidP="00EC79EB">
      <w:pPr>
        <w:pStyle w:val="Nagwek4"/>
      </w:pPr>
      <w:bookmarkStart w:id="654" w:name="_Toc11247808"/>
      <w:bookmarkStart w:id="655" w:name="_Toc6257930"/>
      <w:bookmarkStart w:id="656" w:name="_Toc503766389"/>
      <w:r w:rsidRPr="00EC250C">
        <w:lastRenderedPageBreak/>
        <w:t>Problemy właścicieli książeczek mieszkaniowych</w:t>
      </w:r>
      <w:bookmarkEnd w:id="654"/>
    </w:p>
    <w:p w14:paraId="73F1F203" w14:textId="77777777" w:rsidR="00B473F5" w:rsidRPr="00EC250C" w:rsidRDefault="00132A19" w:rsidP="00D131FA">
      <w:pPr>
        <w:pStyle w:val="Problemczowieka"/>
        <w:jc w:val="both"/>
      </w:pPr>
      <w:bookmarkStart w:id="657" w:name="_Hlk8211227"/>
      <w:r w:rsidRPr="00EC250C">
        <w:t>Około miliona posiadaczy tzw. książeczek mieszkaniowych</w:t>
      </w:r>
      <w:r w:rsidR="00992FD0" w:rsidRPr="00EC250C">
        <w:t xml:space="preserve"> z </w:t>
      </w:r>
      <w:r w:rsidRPr="00EC250C">
        <w:t>czasów PRL nie może odzyskać nawet minimalnej części oszczędności</w:t>
      </w:r>
      <w:r w:rsidR="00992FD0" w:rsidRPr="00EC250C">
        <w:t xml:space="preserve"> w </w:t>
      </w:r>
      <w:r w:rsidRPr="00EC250C">
        <w:t>postaci premii gwarancyjnej</w:t>
      </w:r>
      <w:bookmarkEnd w:id="657"/>
      <w:r w:rsidRPr="00EC250C">
        <w:t>, bo do tego trzeba spełnić kilka sztywnych warunków. RPO apeluje do rządu, by te kryteria poluzować, rząd stoi jednak na stanowisku, że właściciele książeczek mogą korzystać</w:t>
      </w:r>
      <w:r w:rsidR="00992FD0" w:rsidRPr="00EC250C">
        <w:t xml:space="preserve"> z </w:t>
      </w:r>
      <w:r w:rsidRPr="00EC250C">
        <w:t>innych państwowych programów mieszkaniowych</w:t>
      </w:r>
      <w:r w:rsidR="00B473F5" w:rsidRPr="00EC250C">
        <w:t>.</w:t>
      </w:r>
    </w:p>
    <w:p w14:paraId="23DE568D" w14:textId="77777777" w:rsidR="00C91F6E" w:rsidRPr="00EC250C" w:rsidRDefault="00132A19" w:rsidP="00D131FA">
      <w:pPr>
        <w:pStyle w:val="Styl1"/>
        <w:rPr>
          <w:rStyle w:val="Pogrubienie"/>
          <w:rFonts w:eastAsiaTheme="majorEastAsia"/>
          <w:b w:val="0"/>
          <w:bCs w:val="0"/>
        </w:rPr>
      </w:pPr>
      <w:r w:rsidRPr="00EC250C">
        <w:rPr>
          <w:rStyle w:val="Pogrubienie"/>
          <w:rFonts w:eastAsiaTheme="majorEastAsia"/>
          <w:b w:val="0"/>
          <w:bCs w:val="0"/>
        </w:rPr>
        <w:t>W czasach PRL władze zachęcały ludzi do oszczędzania na mieszkanie na tzw. książeczkach mieszkaniowych. Po uskładaniu wkładu na mieszkanie spółdzielcze właściciel książeczki mógł liczyć na dodatkową premię – tzw. gwarancyjną. System zawalił się jednak</w:t>
      </w:r>
      <w:r w:rsidR="00992FD0" w:rsidRPr="00EC250C">
        <w:rPr>
          <w:rStyle w:val="Pogrubienie"/>
          <w:rFonts w:eastAsiaTheme="majorEastAsia"/>
          <w:b w:val="0"/>
          <w:bCs w:val="0"/>
        </w:rPr>
        <w:t xml:space="preserve"> w </w:t>
      </w:r>
      <w:r w:rsidRPr="00EC250C">
        <w:rPr>
          <w:rStyle w:val="Pogrubienie"/>
          <w:rFonts w:eastAsiaTheme="majorEastAsia"/>
          <w:b w:val="0"/>
          <w:bCs w:val="0"/>
        </w:rPr>
        <w:t>kryzysie gospodarczym lat 70.</w:t>
      </w:r>
      <w:r w:rsidR="00992FD0" w:rsidRPr="00EC250C">
        <w:rPr>
          <w:rStyle w:val="Pogrubienie"/>
          <w:rFonts w:eastAsiaTheme="majorEastAsia"/>
          <w:b w:val="0"/>
          <w:bCs w:val="0"/>
        </w:rPr>
        <w:t xml:space="preserve"> i </w:t>
      </w:r>
      <w:r w:rsidRPr="00EC250C">
        <w:rPr>
          <w:rStyle w:val="Pogrubienie"/>
          <w:rFonts w:eastAsiaTheme="majorEastAsia"/>
          <w:b w:val="0"/>
          <w:bCs w:val="0"/>
        </w:rPr>
        <w:t>80. XX wieku. Wkład zgromadzony na książeczce nie starczał już na mieszkanie. W III RP można już było jednak dzięki książeczce sfinansować część wydatków np. na wykup mieszkania czy wymianę okien</w:t>
      </w:r>
      <w:r w:rsidRPr="00EC250C">
        <w:rPr>
          <w:rStyle w:val="Odwoanieprzypisudolnego"/>
          <w:bCs/>
          <w:iCs/>
        </w:rPr>
        <w:footnoteReference w:id="658"/>
      </w:r>
      <w:r w:rsidRPr="00EC250C">
        <w:rPr>
          <w:rStyle w:val="Pogrubienie"/>
          <w:rFonts w:eastAsiaTheme="majorEastAsia"/>
          <w:b w:val="0"/>
          <w:bCs w:val="0"/>
        </w:rPr>
        <w:t>.</w:t>
      </w:r>
    </w:p>
    <w:p w14:paraId="23AB23A2" w14:textId="77777777" w:rsidR="00132A19" w:rsidRPr="00EC250C" w:rsidRDefault="00132A19" w:rsidP="00D131FA">
      <w:pPr>
        <w:pStyle w:val="Styl1"/>
      </w:pPr>
      <w:r w:rsidRPr="00EC250C">
        <w:rPr>
          <w:rStyle w:val="Pogrubienie"/>
          <w:rFonts w:eastAsiaTheme="majorEastAsia"/>
          <w:b w:val="0"/>
          <w:bCs w:val="0"/>
        </w:rPr>
        <w:t>Z tej możliwości nie skorzystało jednak do tej pory nadal ponad milion osób. Mają prawo do premii, ale wydatki mieszkaniowe, jakie planują, nie są podstawą do wypłaty premii.</w:t>
      </w:r>
    </w:p>
    <w:p w14:paraId="7782D178" w14:textId="77777777" w:rsidR="00132A19" w:rsidRPr="00EC250C" w:rsidRDefault="00132A19" w:rsidP="00D131FA">
      <w:pPr>
        <w:pStyle w:val="Styl1"/>
      </w:pPr>
      <w:r w:rsidRPr="00EC250C">
        <w:rPr>
          <w:rStyle w:val="Pogrubienie"/>
          <w:rFonts w:eastAsiaTheme="majorEastAsia"/>
          <w:b w:val="0"/>
          <w:bCs w:val="0"/>
        </w:rPr>
        <w:t>RPO proponuje, by zastanowić się, na jakie jeszcze cele mieszkaniowe można by uzyskać premię – czy może być to np. wymiana pieca albo dostosowanie mieszkania do potrzeb osób starszych</w:t>
      </w:r>
      <w:r w:rsidR="00D82883" w:rsidRPr="00EC250C">
        <w:rPr>
          <w:rStyle w:val="Odwoanieprzypisudolnego"/>
          <w:bCs/>
          <w:iCs/>
        </w:rPr>
        <w:footnoteReference w:id="659"/>
      </w:r>
      <w:r w:rsidRPr="00EC250C">
        <w:rPr>
          <w:rStyle w:val="Pogrubienie"/>
          <w:rFonts w:eastAsiaTheme="majorEastAsia"/>
          <w:b w:val="0"/>
          <w:bCs w:val="0"/>
        </w:rPr>
        <w:t>?</w:t>
      </w:r>
    </w:p>
    <w:p w14:paraId="70AADDB4" w14:textId="77777777" w:rsidR="00132A19" w:rsidRPr="00EC250C" w:rsidRDefault="00132A19" w:rsidP="00D131FA">
      <w:pPr>
        <w:pStyle w:val="Styl1"/>
      </w:pPr>
      <w:r w:rsidRPr="00EC250C">
        <w:t>Kto nie może skorzystać</w:t>
      </w:r>
      <w:r w:rsidR="00992FD0" w:rsidRPr="00EC250C">
        <w:t xml:space="preserve"> z </w:t>
      </w:r>
      <w:r w:rsidRPr="00EC250C">
        <w:t>premii?</w:t>
      </w:r>
    </w:p>
    <w:p w14:paraId="66083EFF" w14:textId="77777777" w:rsidR="00132A19" w:rsidRPr="00EC250C" w:rsidRDefault="00132A19" w:rsidP="006C70B7">
      <w:pPr>
        <w:pStyle w:val="Styl1"/>
        <w:numPr>
          <w:ilvl w:val="0"/>
          <w:numId w:val="84"/>
        </w:numPr>
      </w:pPr>
      <w:r w:rsidRPr="00EC250C">
        <w:rPr>
          <w:rStyle w:val="Pogrubienie"/>
          <w:rFonts w:eastAsiaTheme="majorEastAsia"/>
          <w:b w:val="0"/>
          <w:bCs w:val="0"/>
        </w:rPr>
        <w:t>Ci, którzy mają prawo własności do domu</w:t>
      </w:r>
      <w:r w:rsidRPr="00EC250C">
        <w:t> jednorodzinnego bądź też ze spółdzielczym prawem do domu jednorodzinnego, ale nie chcą wymieniać okien lub całej instalacji elektrycznej czy gazowej. A przecież ich budynki często wymagają innych pilnych remontów.</w:t>
      </w:r>
    </w:p>
    <w:p w14:paraId="6565992C" w14:textId="77777777" w:rsidR="00132A19" w:rsidRPr="00EC250C" w:rsidRDefault="00132A19" w:rsidP="006C70B7">
      <w:pPr>
        <w:pStyle w:val="Styl1"/>
        <w:numPr>
          <w:ilvl w:val="0"/>
          <w:numId w:val="84"/>
        </w:numPr>
      </w:pPr>
      <w:r w:rsidRPr="00EC250C">
        <w:rPr>
          <w:rStyle w:val="Pogrubienie"/>
          <w:rFonts w:eastAsiaTheme="majorEastAsia"/>
          <w:b w:val="0"/>
          <w:bCs w:val="0"/>
        </w:rPr>
        <w:t>Kolejną grupą są najemcy lokali,</w:t>
      </w:r>
      <w:r w:rsidR="00992FD0" w:rsidRPr="00EC250C">
        <w:rPr>
          <w:rStyle w:val="Pogrubienie"/>
          <w:rFonts w:eastAsiaTheme="majorEastAsia"/>
          <w:b w:val="0"/>
          <w:bCs w:val="0"/>
        </w:rPr>
        <w:t xml:space="preserve"> w </w:t>
      </w:r>
      <w:r w:rsidRPr="00EC250C">
        <w:rPr>
          <w:rStyle w:val="Pogrubienie"/>
          <w:rFonts w:eastAsiaTheme="majorEastAsia"/>
          <w:b w:val="0"/>
          <w:bCs w:val="0"/>
        </w:rPr>
        <w:t>tym lokali komunalnych</w:t>
      </w:r>
      <w:r w:rsidRPr="00EC250C">
        <w:t>, którzy mieszkań nie wykupią, bo gmina nie przeznacza ich do sprzedaży. Premii nie dostaną na potrzebne modernizację (także tych, które są niezbędne</w:t>
      </w:r>
      <w:r w:rsidR="00992FD0" w:rsidRPr="00EC250C">
        <w:t xml:space="preserve"> w </w:t>
      </w:r>
      <w:r w:rsidRPr="00EC250C">
        <w:t>przypadku np. osób starszych).</w:t>
      </w:r>
    </w:p>
    <w:p w14:paraId="05B21357" w14:textId="77777777" w:rsidR="00132A19" w:rsidRPr="00EC250C" w:rsidRDefault="00132A19" w:rsidP="006C70B7">
      <w:pPr>
        <w:pStyle w:val="Styl1"/>
        <w:numPr>
          <w:ilvl w:val="0"/>
          <w:numId w:val="84"/>
        </w:numPr>
      </w:pPr>
      <w:r w:rsidRPr="00EC250C">
        <w:rPr>
          <w:rStyle w:val="Pogrubienie"/>
          <w:rFonts w:eastAsiaTheme="majorEastAsia"/>
          <w:b w:val="0"/>
          <w:bCs w:val="0"/>
        </w:rPr>
        <w:t>Prawa do premii nie mają także ci,</w:t>
      </w:r>
      <w:r w:rsidRPr="00EC250C">
        <w:t> którzy nie mają żadnego tytułu prawnego do lokalu,</w:t>
      </w:r>
      <w:r w:rsidR="00992FD0" w:rsidRPr="00EC250C">
        <w:t xml:space="preserve"> w </w:t>
      </w:r>
      <w:r w:rsidRPr="00EC250C">
        <w:t>tym osoby bezdomne. A przecież mogliby wykorzystać premię na zaspokojenie potrzeb mieszkaniowych, choćby nawet tymczasowo.</w:t>
      </w:r>
    </w:p>
    <w:p w14:paraId="1B9CA8BB" w14:textId="77777777" w:rsidR="00132A19" w:rsidRPr="00EC250C" w:rsidRDefault="00132A19" w:rsidP="00D131FA">
      <w:pPr>
        <w:pStyle w:val="Styl1"/>
        <w:rPr>
          <w:bCs/>
          <w:iCs/>
        </w:rPr>
      </w:pPr>
      <w:r w:rsidRPr="00EC250C">
        <w:rPr>
          <w:bCs/>
          <w:iCs/>
        </w:rPr>
        <w:t>W 2018</w:t>
      </w:r>
      <w:r w:rsidR="00C91F6E" w:rsidRPr="00EC250C">
        <w:rPr>
          <w:bCs/>
          <w:iCs/>
        </w:rPr>
        <w:t> r.</w:t>
      </w:r>
      <w:r w:rsidRPr="00EC250C">
        <w:rPr>
          <w:bCs/>
          <w:iCs/>
        </w:rPr>
        <w:t xml:space="preserve"> RPO zwrócił się</w:t>
      </w:r>
      <w:r w:rsidR="00992FD0" w:rsidRPr="00EC250C">
        <w:rPr>
          <w:bCs/>
          <w:iCs/>
        </w:rPr>
        <w:t xml:space="preserve"> w </w:t>
      </w:r>
      <w:r w:rsidRPr="00EC250C">
        <w:rPr>
          <w:bCs/>
          <w:iCs/>
        </w:rPr>
        <w:t xml:space="preserve">tej sprawie do </w:t>
      </w:r>
      <w:r w:rsidR="00ED0535" w:rsidRPr="00EC250C">
        <w:rPr>
          <w:bCs/>
          <w:iCs/>
        </w:rPr>
        <w:t>p</w:t>
      </w:r>
      <w:r w:rsidRPr="00EC250C">
        <w:rPr>
          <w:bCs/>
          <w:iCs/>
        </w:rPr>
        <w:t>remiera. Dostał odpowiedź od Ministra Inwestycji</w:t>
      </w:r>
      <w:r w:rsidR="00992FD0" w:rsidRPr="00EC250C">
        <w:rPr>
          <w:bCs/>
          <w:iCs/>
        </w:rPr>
        <w:t xml:space="preserve"> i </w:t>
      </w:r>
      <w:r w:rsidRPr="00EC250C">
        <w:rPr>
          <w:bCs/>
          <w:iCs/>
        </w:rPr>
        <w:t>Rozwoju, że rozwiązaniem dla właścicieli książeczek,</w:t>
      </w:r>
      <w:r w:rsidR="00992FD0" w:rsidRPr="00EC250C">
        <w:rPr>
          <w:bCs/>
          <w:iCs/>
        </w:rPr>
        <w:t xml:space="preserve"> o </w:t>
      </w:r>
      <w:r w:rsidRPr="00EC250C">
        <w:rPr>
          <w:bCs/>
          <w:iCs/>
        </w:rPr>
        <w:t xml:space="preserve">których upomina się </w:t>
      </w:r>
      <w:r w:rsidR="00135B9D" w:rsidRPr="00EC250C">
        <w:rPr>
          <w:bCs/>
          <w:iCs/>
        </w:rPr>
        <w:t>RPO</w:t>
      </w:r>
      <w:r w:rsidRPr="00EC250C">
        <w:rPr>
          <w:bCs/>
          <w:iCs/>
        </w:rPr>
        <w:t>, jest rządowy program „Mieszkanie+”. Zdaniem Ministra dziś książeczki mieszkaniowe są już</w:t>
      </w:r>
      <w:r w:rsidR="00992FD0" w:rsidRPr="00EC250C">
        <w:rPr>
          <w:bCs/>
          <w:iCs/>
        </w:rPr>
        <w:t xml:space="preserve"> w </w:t>
      </w:r>
      <w:r w:rsidRPr="00EC250C">
        <w:rPr>
          <w:bCs/>
          <w:iCs/>
        </w:rPr>
        <w:t>rękach spadkobierców tych, którzy na nie oszczędzali,</w:t>
      </w:r>
      <w:r w:rsidR="00992FD0" w:rsidRPr="00EC250C">
        <w:rPr>
          <w:bCs/>
          <w:iCs/>
        </w:rPr>
        <w:t xml:space="preserve"> a </w:t>
      </w:r>
      <w:r w:rsidRPr="00EC250C">
        <w:rPr>
          <w:bCs/>
          <w:iCs/>
        </w:rPr>
        <w:t>rządowy program jest przeznaczony właśnie dla tego młodego pokolenia.</w:t>
      </w:r>
    </w:p>
    <w:p w14:paraId="6401C348" w14:textId="77777777" w:rsidR="006C34AF" w:rsidRPr="00EC250C" w:rsidRDefault="006C34AF" w:rsidP="00D131FA">
      <w:pPr>
        <w:pStyle w:val="Styl1"/>
      </w:pPr>
      <w:r w:rsidRPr="00EC250C">
        <w:lastRenderedPageBreak/>
        <w:t xml:space="preserve">W tym kontekście trzeba wspomnieć, że </w:t>
      </w:r>
      <w:r w:rsidR="001916FF" w:rsidRPr="00EC250C">
        <w:t>program „Mieszkanie+”</w:t>
      </w:r>
      <w:r w:rsidRPr="00EC250C">
        <w:t xml:space="preserve"> zakłada budowę 100 tys. takich mieszkań. Jednak do końca 2018 r. powstało ich 500.</w:t>
      </w:r>
      <w:r w:rsidR="001916FF" w:rsidRPr="00EC250C">
        <w:t xml:space="preserve"> Zdaniem Ministerstwa Inwestycji i Rozwoju kolejnych </w:t>
      </w:r>
      <w:r w:rsidRPr="00EC250C">
        <w:rPr>
          <w:rStyle w:val="Uwydatnienie"/>
          <w:rFonts w:eastAsiaTheme="majorEastAsia"/>
          <w:i w:val="0"/>
          <w:iCs w:val="0"/>
        </w:rPr>
        <w:t xml:space="preserve">30 tys. mieszkań </w:t>
      </w:r>
      <w:r w:rsidR="001916FF" w:rsidRPr="00EC250C">
        <w:rPr>
          <w:rStyle w:val="Uwydatnienie"/>
          <w:rFonts w:eastAsiaTheme="majorEastAsia"/>
          <w:i w:val="0"/>
          <w:iCs w:val="0"/>
        </w:rPr>
        <w:t xml:space="preserve">było w styczniu 2019 r., co oznaczało, że w ich przypadku można już </w:t>
      </w:r>
      <w:r w:rsidRPr="00EC250C">
        <w:rPr>
          <w:rStyle w:val="Uwydatnienie"/>
          <w:rFonts w:eastAsiaTheme="majorEastAsia"/>
          <w:i w:val="0"/>
          <w:iCs w:val="0"/>
        </w:rPr>
        <w:t>przygotow</w:t>
      </w:r>
      <w:r w:rsidR="001916FF" w:rsidRPr="00EC250C">
        <w:rPr>
          <w:rStyle w:val="Uwydatnienie"/>
          <w:rFonts w:eastAsiaTheme="majorEastAsia"/>
          <w:i w:val="0"/>
          <w:iCs w:val="0"/>
        </w:rPr>
        <w:t>ywać</w:t>
      </w:r>
      <w:r w:rsidRPr="00EC250C">
        <w:rPr>
          <w:rStyle w:val="Uwydatnienie"/>
          <w:rFonts w:eastAsiaTheme="majorEastAsia"/>
          <w:i w:val="0"/>
          <w:iCs w:val="0"/>
        </w:rPr>
        <w:t xml:space="preserve"> dokumentacj</w:t>
      </w:r>
      <w:r w:rsidR="001916FF" w:rsidRPr="00EC250C">
        <w:rPr>
          <w:rStyle w:val="Uwydatnienie"/>
          <w:rFonts w:eastAsiaTheme="majorEastAsia"/>
          <w:i w:val="0"/>
          <w:iCs w:val="0"/>
        </w:rPr>
        <w:t>ę</w:t>
      </w:r>
      <w:r w:rsidRPr="00EC250C">
        <w:rPr>
          <w:rStyle w:val="Uwydatnienie"/>
          <w:rFonts w:eastAsiaTheme="majorEastAsia"/>
          <w:i w:val="0"/>
          <w:iCs w:val="0"/>
        </w:rPr>
        <w:t>, uzysk</w:t>
      </w:r>
      <w:r w:rsidR="001916FF" w:rsidRPr="00EC250C">
        <w:rPr>
          <w:rStyle w:val="Uwydatnienie"/>
          <w:rFonts w:eastAsiaTheme="majorEastAsia"/>
          <w:i w:val="0"/>
          <w:iCs w:val="0"/>
        </w:rPr>
        <w:t>iwać</w:t>
      </w:r>
      <w:r w:rsidRPr="00EC250C">
        <w:rPr>
          <w:rStyle w:val="Uwydatnienie"/>
          <w:rFonts w:eastAsiaTheme="majorEastAsia"/>
          <w:i w:val="0"/>
          <w:iCs w:val="0"/>
        </w:rPr>
        <w:t xml:space="preserve"> zg</w:t>
      </w:r>
      <w:r w:rsidR="001916FF" w:rsidRPr="00EC250C">
        <w:rPr>
          <w:rStyle w:val="Uwydatnienie"/>
          <w:rFonts w:eastAsiaTheme="majorEastAsia"/>
          <w:i w:val="0"/>
          <w:iCs w:val="0"/>
        </w:rPr>
        <w:t>o</w:t>
      </w:r>
      <w:r w:rsidRPr="00EC250C">
        <w:rPr>
          <w:rStyle w:val="Uwydatnienie"/>
          <w:rFonts w:eastAsiaTheme="majorEastAsia"/>
          <w:i w:val="0"/>
          <w:iCs w:val="0"/>
        </w:rPr>
        <w:t>d</w:t>
      </w:r>
      <w:r w:rsidR="001916FF" w:rsidRPr="00EC250C">
        <w:rPr>
          <w:rStyle w:val="Uwydatnienie"/>
          <w:rFonts w:eastAsiaTheme="majorEastAsia"/>
          <w:i w:val="0"/>
          <w:iCs w:val="0"/>
        </w:rPr>
        <w:t>y</w:t>
      </w:r>
      <w:r w:rsidRPr="00EC250C">
        <w:rPr>
          <w:rStyle w:val="Uwydatnienie"/>
          <w:rFonts w:eastAsiaTheme="majorEastAsia"/>
          <w:i w:val="0"/>
          <w:iCs w:val="0"/>
        </w:rPr>
        <w:t xml:space="preserve"> i </w:t>
      </w:r>
      <w:r w:rsidR="001916FF" w:rsidRPr="00EC250C">
        <w:rPr>
          <w:rStyle w:val="Uwydatnienie"/>
          <w:rFonts w:eastAsiaTheme="majorEastAsia"/>
          <w:i w:val="0"/>
          <w:iCs w:val="0"/>
        </w:rPr>
        <w:t>zaczynać budowę</w:t>
      </w:r>
      <w:r w:rsidR="001916FF" w:rsidRPr="00EC250C">
        <w:rPr>
          <w:rStyle w:val="Odwoanieprzypisudolnego"/>
          <w:rFonts w:eastAsiaTheme="majorEastAsia"/>
        </w:rPr>
        <w:footnoteReference w:id="660"/>
      </w:r>
      <w:r w:rsidRPr="00EC250C">
        <w:t>.</w:t>
      </w:r>
    </w:p>
    <w:p w14:paraId="32AD8796" w14:textId="77777777" w:rsidR="006C34AF" w:rsidRPr="00EC250C" w:rsidRDefault="006C34AF" w:rsidP="00D131FA">
      <w:pPr>
        <w:pStyle w:val="Styl1"/>
      </w:pPr>
      <w:r w:rsidRPr="00EC250C">
        <w:t>W wystąpieniu do Prezesa PKO BP Rzecznik zwrócił się</w:t>
      </w:r>
      <w:r w:rsidRPr="00EC250C">
        <w:rPr>
          <w:rStyle w:val="Odwoanieprzypisudolnego"/>
        </w:rPr>
        <w:footnoteReference w:id="661"/>
      </w:r>
      <w:r w:rsidRPr="00EC250C">
        <w:t xml:space="preserve"> o </w:t>
      </w:r>
      <w:r w:rsidRPr="00EC250C">
        <w:rPr>
          <w:bCs/>
        </w:rPr>
        <w:t>wyjaśnienie kwestii niskiego oprocentowania wkładów na książeczkach oraz opłat pobieranych przez bank za obsługę i likwidację książeczek</w:t>
      </w:r>
      <w:r w:rsidRPr="00EC250C">
        <w:t>. Zdaniem PKO BP kwestia waloryzacji wkładów została przez ustawodawcę rozwiązana poprzez wypłatę premii gwarancyjnej.</w:t>
      </w:r>
    </w:p>
    <w:p w14:paraId="46374495" w14:textId="77777777" w:rsidR="007F00E2" w:rsidRPr="00EC250C" w:rsidRDefault="007F00E2" w:rsidP="00EC79EB">
      <w:pPr>
        <w:pStyle w:val="Nagwek4"/>
        <w:rPr>
          <w:spacing w:val="0"/>
        </w:rPr>
      </w:pPr>
      <w:bookmarkStart w:id="658" w:name="_Toc11247809"/>
      <w:r w:rsidRPr="00EC250C">
        <w:t>Prawa ofiar "dzikiej reprywatyzacji" wobec których wydano wyroki eksmisji</w:t>
      </w:r>
      <w:bookmarkEnd w:id="658"/>
    </w:p>
    <w:p w14:paraId="514EDFB8" w14:textId="77777777" w:rsidR="00B473F5" w:rsidRPr="00EC250C" w:rsidRDefault="007F00E2" w:rsidP="00D131FA">
      <w:pPr>
        <w:pStyle w:val="Problemczowieka"/>
        <w:jc w:val="both"/>
      </w:pPr>
      <w:r w:rsidRPr="00EC250C">
        <w:t>Wielu lokatorów reprywatyzowanych</w:t>
      </w:r>
      <w:r w:rsidR="00992FD0" w:rsidRPr="00EC250C">
        <w:t xml:space="preserve"> w </w:t>
      </w:r>
      <w:r w:rsidRPr="00EC250C">
        <w:t>stolicy kamienic nie było</w:t>
      </w:r>
      <w:r w:rsidR="00992FD0" w:rsidRPr="00EC250C">
        <w:t xml:space="preserve"> w </w:t>
      </w:r>
      <w:r w:rsidRPr="00EC250C">
        <w:t>stanie płacić czynszów radykalnie podwyższanych przez nowych właścicieli. Z inicjatywy właścicieli zapadały wyroki sądowe, po których ludzie tracili prawo najmu do lokalu. Dziś nie mogą tego prawa odzyskać</w:t>
      </w:r>
      <w:r w:rsidR="00B473F5" w:rsidRPr="00EC250C">
        <w:t>.</w:t>
      </w:r>
    </w:p>
    <w:p w14:paraId="59E97CA5" w14:textId="77777777" w:rsidR="00C91F6E" w:rsidRPr="00EC250C" w:rsidRDefault="007F00E2" w:rsidP="00D131FA">
      <w:pPr>
        <w:pStyle w:val="Styl1"/>
      </w:pPr>
      <w:r w:rsidRPr="00EC250C">
        <w:t>Nie ma bowiem przepisu, który by to umożliwiał</w:t>
      </w:r>
      <w:r w:rsidR="00026572" w:rsidRPr="00EC250C">
        <w:t xml:space="preserve"> – </w:t>
      </w:r>
      <w:r w:rsidRPr="00EC250C">
        <w:t xml:space="preserve">nawet po uchyleniu decyzji reprywatyzacyjnej przez Komisję Weryfikacyjną. Dlatego </w:t>
      </w:r>
      <w:r w:rsidR="00135B9D" w:rsidRPr="00EC250C">
        <w:t>RPO</w:t>
      </w:r>
      <w:r w:rsidRPr="00EC250C">
        <w:t xml:space="preserve"> wystąpił do Ministra Sprawiedliwości</w:t>
      </w:r>
      <w:r w:rsidR="00992FD0" w:rsidRPr="00EC250C">
        <w:t xml:space="preserve"> o </w:t>
      </w:r>
      <w:r w:rsidRPr="00EC250C">
        <w:t>doprecyzowanie ustawy</w:t>
      </w:r>
      <w:r w:rsidR="00992FD0" w:rsidRPr="00EC250C">
        <w:t xml:space="preserve"> o </w:t>
      </w:r>
      <w:r w:rsidRPr="00EC250C">
        <w:t>usuwaniu skutków prawnych decyzji reprywatyzacyjnych wydanych</w:t>
      </w:r>
      <w:r w:rsidR="00992FD0" w:rsidRPr="00EC250C">
        <w:t xml:space="preserve"> w </w:t>
      </w:r>
      <w:r w:rsidRPr="00EC250C">
        <w:t>Warszawie</w:t>
      </w:r>
      <w:r w:rsidR="00992FD0" w:rsidRPr="00EC250C">
        <w:t xml:space="preserve"> z </w:t>
      </w:r>
      <w:r w:rsidRPr="00EC250C">
        <w:t>naruszeniem prawa</w:t>
      </w:r>
      <w:r w:rsidRPr="00EC250C">
        <w:rPr>
          <w:rStyle w:val="Odwoanieprzypisudolnego"/>
          <w:bCs/>
          <w:iCs/>
        </w:rPr>
        <w:footnoteReference w:id="662"/>
      </w:r>
      <w:r w:rsidRPr="00EC250C">
        <w:t>.</w:t>
      </w:r>
    </w:p>
    <w:p w14:paraId="6D5FA7DF" w14:textId="77777777" w:rsidR="007F00E2" w:rsidRPr="00EC250C" w:rsidRDefault="007F00E2" w:rsidP="00D131FA">
      <w:pPr>
        <w:pStyle w:val="Styl1"/>
      </w:pPr>
      <w:r w:rsidRPr="00EC250C">
        <w:t>Nie otrzymał odpowiedzi, więc pytanie ponowił.</w:t>
      </w:r>
    </w:p>
    <w:p w14:paraId="09B7FF5D" w14:textId="77777777" w:rsidR="007F00E2" w:rsidRPr="00EC250C" w:rsidRDefault="007F00E2" w:rsidP="00D131FA">
      <w:pPr>
        <w:pStyle w:val="Styl1"/>
      </w:pPr>
      <w:r w:rsidRPr="00EC250C">
        <w:t>Wobec wielu lokatorów reprywatyzowanych kamienic zapadały</w:t>
      </w:r>
      <w:r w:rsidR="00026572" w:rsidRPr="00EC250C">
        <w:t xml:space="preserve"> – </w:t>
      </w:r>
      <w:r w:rsidR="00992FD0" w:rsidRPr="00EC250C">
        <w:t>z </w:t>
      </w:r>
      <w:r w:rsidRPr="00EC250C">
        <w:t>inicjatywy beneficjenta decyzji reprywatyzacyjnej</w:t>
      </w:r>
      <w:r w:rsidR="00026572" w:rsidRPr="00EC250C">
        <w:t xml:space="preserve"> – </w:t>
      </w:r>
      <w:r w:rsidRPr="00EC250C">
        <w:t>prawomocne wyroki, nakazujące opróżnienie</w:t>
      </w:r>
      <w:r w:rsidR="00992FD0" w:rsidRPr="00EC250C">
        <w:t xml:space="preserve"> i </w:t>
      </w:r>
      <w:r w:rsidRPr="00EC250C">
        <w:t>opuszczenie zajmowanych lokali mieszkalnych. Osoby te nie były</w:t>
      </w:r>
      <w:r w:rsidR="00992FD0" w:rsidRPr="00EC250C">
        <w:t xml:space="preserve"> w </w:t>
      </w:r>
      <w:r w:rsidRPr="00EC250C">
        <w:t>stanie płacić rażąco wysokich czynszów wprowadzanych przez nowego właściciela. Efektem była utrata tytułu prawnego do lokalu wskutek wypowiedzenia najmu</w:t>
      </w:r>
      <w:r w:rsidR="00992FD0" w:rsidRPr="00EC250C">
        <w:t xml:space="preserve"> i w </w:t>
      </w:r>
      <w:r w:rsidRPr="00EC250C">
        <w:t>konsekwencji orzeczenia eksmisji.</w:t>
      </w:r>
    </w:p>
    <w:p w14:paraId="72CC553E" w14:textId="77777777" w:rsidR="007F00E2" w:rsidRPr="00EC250C" w:rsidRDefault="007F00E2" w:rsidP="00D131FA">
      <w:pPr>
        <w:pStyle w:val="Styl1"/>
      </w:pPr>
      <w:r w:rsidRPr="00EC250C">
        <w:t>Ta grupa byłych lokatorów pozostaje poza ochroną przewidzianą</w:t>
      </w:r>
      <w:r w:rsidR="00992FD0" w:rsidRPr="00EC250C">
        <w:t xml:space="preserve"> w </w:t>
      </w:r>
      <w:r w:rsidRPr="00EC250C">
        <w:t>ustawie</w:t>
      </w:r>
      <w:r w:rsidR="00992FD0" w:rsidRPr="00EC250C">
        <w:t xml:space="preserve"> o </w:t>
      </w:r>
      <w:r w:rsidRPr="00EC250C">
        <w:t>szczególnych zasadach usuwania skutków prawnych decyzji reprywatyzacyjnych dotyczących nieruchomości warszawskich, wydanych</w:t>
      </w:r>
      <w:r w:rsidR="00992FD0" w:rsidRPr="00EC250C">
        <w:t xml:space="preserve"> z </w:t>
      </w:r>
      <w:r w:rsidRPr="00EC250C">
        <w:t>naruszeniem prawa. Na mocy tej ustawy powołano Komisję Weryfikacyjną, która zajmuje się „dziką reprywatyzacją”.</w:t>
      </w:r>
    </w:p>
    <w:p w14:paraId="23EF3026" w14:textId="77777777" w:rsidR="007F00E2" w:rsidRPr="00EC250C" w:rsidRDefault="007F00E2" w:rsidP="00D131FA">
      <w:pPr>
        <w:pStyle w:val="Styl1"/>
      </w:pPr>
      <w:r w:rsidRPr="00EC250C">
        <w:t>Założeniem ustawy miało być usunięcie wszelkich skutków decyzji reprywatyzacyjnych wydanych</w:t>
      </w:r>
      <w:r w:rsidR="00992FD0" w:rsidRPr="00EC250C">
        <w:t xml:space="preserve"> z </w:t>
      </w:r>
      <w:r w:rsidRPr="00EC250C">
        <w:t xml:space="preserve">naruszeniem prawa, zwłaszcza wyrównanie dotkliwych krzywd wyrządzonych </w:t>
      </w:r>
      <w:r w:rsidRPr="00EC250C">
        <w:lastRenderedPageBreak/>
        <w:t>lokatorom. Niestety,</w:t>
      </w:r>
      <w:r w:rsidR="00992FD0" w:rsidRPr="00EC250C">
        <w:t xml:space="preserve"> w </w:t>
      </w:r>
      <w:r w:rsidRPr="00EC250C">
        <w:t>praktyce okazuje się, że cel ten nie może zostać</w:t>
      </w:r>
      <w:r w:rsidR="00992FD0" w:rsidRPr="00EC250C">
        <w:t xml:space="preserve"> w </w:t>
      </w:r>
      <w:r w:rsidRPr="00EC250C">
        <w:t>pełni osiągnięty ze względu na złożoność stosunków prawnych, których ustawa nie uwzględnia.</w:t>
      </w:r>
    </w:p>
    <w:p w14:paraId="2A16E8C3" w14:textId="77777777" w:rsidR="007F00E2" w:rsidRPr="00EC250C" w:rsidRDefault="007F00E2" w:rsidP="00D131FA">
      <w:pPr>
        <w:pStyle w:val="Styl1"/>
      </w:pPr>
      <w:r w:rsidRPr="00EC250C">
        <w:t>Wprawdzie stanowi ona, że czynności prawne dokonane przez osobę, na rzecz której wydano decyzję reprywatyzacyjną, uznaje się za bezskuteczne wobec osoby zajmującej nieruchomość lub jej część, ale nie uwzględnia to bardziej skomplikowanych sytuacji. Nie daje też podstaw do uznania, że niweczy to skutki prawomocnych orzeczeń sądowych.</w:t>
      </w:r>
    </w:p>
    <w:p w14:paraId="4BEC5B34" w14:textId="77777777" w:rsidR="007F00E2" w:rsidRPr="00EC250C" w:rsidRDefault="007F00E2" w:rsidP="00D131FA">
      <w:pPr>
        <w:pStyle w:val="Styl1"/>
      </w:pPr>
      <w:r w:rsidRPr="00EC250C">
        <w:t>Kwestia dotyczy lokatorów, wobec których prawomocne wyroki eksmisyjne nie zostały wykonane; lokatorów, którzy dobrowolnie bądź</w:t>
      </w:r>
      <w:r w:rsidR="00992FD0" w:rsidRPr="00EC250C">
        <w:t xml:space="preserve"> w </w:t>
      </w:r>
      <w:r w:rsidRPr="00EC250C">
        <w:t>wyniku działań egzekucyjnych opuścili lokale,</w:t>
      </w:r>
      <w:r w:rsidR="00992FD0" w:rsidRPr="00EC250C">
        <w:t xml:space="preserve"> a </w:t>
      </w:r>
      <w:r w:rsidRPr="00EC250C">
        <w:t>także tych, których sytuacja została ukształtowana wyrokami oddalającymi ich powództwo</w:t>
      </w:r>
      <w:r w:rsidR="00992FD0" w:rsidRPr="00EC250C">
        <w:t xml:space="preserve"> o </w:t>
      </w:r>
      <w:r w:rsidRPr="00EC250C">
        <w:t>ustalenie wstąpienia</w:t>
      </w:r>
      <w:r w:rsidR="00992FD0" w:rsidRPr="00EC250C">
        <w:t xml:space="preserve"> w </w:t>
      </w:r>
      <w:r w:rsidRPr="00EC250C">
        <w:t>stosunek najmu. Nadal zatem na byłych lokatorach ciąży obowiązek opróżnienia zajmowanych lokali, bowiem są oni związani sentencją prawomocnych orzeczeń sądowych.</w:t>
      </w:r>
    </w:p>
    <w:p w14:paraId="4573B5FA" w14:textId="77777777" w:rsidR="00730E58" w:rsidRPr="00EC250C" w:rsidRDefault="007F00E2" w:rsidP="00EC79EB">
      <w:pPr>
        <w:pStyle w:val="Nagwek4"/>
      </w:pPr>
      <w:bookmarkStart w:id="659" w:name="_Toc11247810"/>
      <w:r w:rsidRPr="00EC250C">
        <w:t>Prawo do lokalu socjalnego</w:t>
      </w:r>
      <w:bookmarkEnd w:id="659"/>
    </w:p>
    <w:p w14:paraId="03191ABB" w14:textId="77777777" w:rsidR="007F00E2" w:rsidRPr="00EC250C" w:rsidRDefault="007F00E2" w:rsidP="00EC250C">
      <w:pPr>
        <w:pStyle w:val="Nagwek5"/>
      </w:pPr>
      <w:r w:rsidRPr="00EC250C">
        <w:t>Problemy przy realizacji orzeczeń sądów po zmianie przepisów</w:t>
      </w:r>
    </w:p>
    <w:p w14:paraId="7523226A" w14:textId="77777777" w:rsidR="00B473F5" w:rsidRPr="00EC250C" w:rsidRDefault="007F00E2" w:rsidP="00D131FA">
      <w:pPr>
        <w:pStyle w:val="Problemczowieka"/>
        <w:jc w:val="both"/>
        <w:rPr>
          <w:bdr w:val="none" w:sz="0" w:space="0" w:color="auto" w:frame="1"/>
        </w:rPr>
      </w:pPr>
      <w:r w:rsidRPr="00EC250C">
        <w:rPr>
          <w:bdr w:val="none" w:sz="0" w:space="0" w:color="auto" w:frame="1"/>
        </w:rPr>
        <w:t>Jak ludzie mają dostawać lokale socjalne na podstawie eksmisyjnych wyroków sądów? Przepisy, które miały ułatwić ten proces, obowiązują od 1 maja 2018</w:t>
      </w:r>
      <w:r w:rsidR="00C91F6E" w:rsidRPr="00EC250C">
        <w:rPr>
          <w:bdr w:val="none" w:sz="0" w:space="0" w:color="auto" w:frame="1"/>
        </w:rPr>
        <w:t> r.</w:t>
      </w:r>
      <w:r w:rsidRPr="00EC250C">
        <w:rPr>
          <w:bdr w:val="none" w:sz="0" w:space="0" w:color="auto" w:frame="1"/>
        </w:rPr>
        <w:t xml:space="preserve">, ale odwołują się do przepisów, które mają obowiązywać dopiero </w:t>
      </w:r>
      <w:r w:rsidR="005121A5" w:rsidRPr="00EC250C">
        <w:rPr>
          <w:bdr w:val="none" w:sz="0" w:space="0" w:color="auto" w:frame="1"/>
        </w:rPr>
        <w:t>od</w:t>
      </w:r>
      <w:r w:rsidRPr="00EC250C">
        <w:rPr>
          <w:bdr w:val="none" w:sz="0" w:space="0" w:color="auto" w:frame="1"/>
        </w:rPr>
        <w:t xml:space="preserve"> 21 kwietnia 2019</w:t>
      </w:r>
      <w:r w:rsidR="00C91F6E" w:rsidRPr="00EC250C">
        <w:rPr>
          <w:bdr w:val="none" w:sz="0" w:space="0" w:color="auto" w:frame="1"/>
        </w:rPr>
        <w:t> r</w:t>
      </w:r>
      <w:r w:rsidR="00B473F5" w:rsidRPr="00EC250C">
        <w:rPr>
          <w:bdr w:val="none" w:sz="0" w:space="0" w:color="auto" w:frame="1"/>
        </w:rPr>
        <w:t>.</w:t>
      </w:r>
    </w:p>
    <w:p w14:paraId="5FEC3C56" w14:textId="77777777" w:rsidR="00C91F6E" w:rsidRPr="00EC250C" w:rsidRDefault="007F00E2" w:rsidP="00D131FA">
      <w:pPr>
        <w:pStyle w:val="Styl1"/>
      </w:pPr>
      <w:r w:rsidRPr="00EC250C">
        <w:t>Ustawa</w:t>
      </w:r>
      <w:r w:rsidR="00992FD0" w:rsidRPr="00EC250C">
        <w:t xml:space="preserve"> o </w:t>
      </w:r>
      <w:r w:rsidRPr="00EC250C">
        <w:t>ochronie lokatorów chroni przed eksmisją na bruk osoby</w:t>
      </w:r>
      <w:r w:rsidR="00992FD0" w:rsidRPr="00EC250C">
        <w:t xml:space="preserve"> w </w:t>
      </w:r>
      <w:r w:rsidRPr="00EC250C">
        <w:t>trudnej sytuacji – m.in. rodziny</w:t>
      </w:r>
      <w:r w:rsidR="00992FD0" w:rsidRPr="00EC250C">
        <w:t xml:space="preserve"> z </w:t>
      </w:r>
      <w:r w:rsidRPr="00EC250C">
        <w:t>dziećmi, osoby starsze</w:t>
      </w:r>
      <w:r w:rsidR="00992FD0" w:rsidRPr="00EC250C">
        <w:t xml:space="preserve"> i z </w:t>
      </w:r>
      <w:r w:rsidRPr="00EC250C">
        <w:t>niepełnosprawnościami. W przypadku eksmisji muszą dostać lokal socjalny. Jednak zasoby gminne są tu skąpe, więc wyroków tych nie ma jak realizować. Zmiana przepisów miała pozwolić gminom na korzystanie nie tylko ze lokali komunalnych, ale też</w:t>
      </w:r>
      <w:r w:rsidR="00992FD0" w:rsidRPr="00EC250C">
        <w:t xml:space="preserve"> z </w:t>
      </w:r>
      <w:r w:rsidRPr="00EC250C">
        <w:t>mieszkań, które na cel socjalny wynajmie</w:t>
      </w:r>
      <w:r w:rsidRPr="00EC250C">
        <w:rPr>
          <w:rStyle w:val="Odwoanieprzypisudolnego"/>
          <w:lang w:eastAsia="en-US"/>
        </w:rPr>
        <w:footnoteReference w:id="663"/>
      </w:r>
      <w:r w:rsidRPr="00EC250C">
        <w:t>.</w:t>
      </w:r>
    </w:p>
    <w:p w14:paraId="04D39B84" w14:textId="77777777" w:rsidR="007F00E2" w:rsidRPr="00EC250C" w:rsidRDefault="00FC13BB" w:rsidP="00D131FA">
      <w:pPr>
        <w:pStyle w:val="Styl1"/>
      </w:pPr>
      <w:r w:rsidRPr="00EC250C">
        <w:t>Przepisy zmieniające ustawę</w:t>
      </w:r>
      <w:r w:rsidR="00992FD0" w:rsidRPr="00EC250C">
        <w:t xml:space="preserve"> o </w:t>
      </w:r>
      <w:r w:rsidRPr="00EC250C">
        <w:t>ochronie praw lokatorów wchodzą</w:t>
      </w:r>
      <w:r w:rsidR="00992FD0" w:rsidRPr="00EC250C">
        <w:t xml:space="preserve"> w </w:t>
      </w:r>
      <w:r w:rsidRPr="00EC250C">
        <w:t>życie prawie rok po uchwaleniu ustawy, jednak przepisy przejściowe są zredagowane niejasno</w:t>
      </w:r>
      <w:r w:rsidR="00992FD0" w:rsidRPr="00EC250C">
        <w:t xml:space="preserve"> i </w:t>
      </w:r>
      <w:r w:rsidRPr="00EC250C">
        <w:t>nie pozwalają na jednoznaczne ustalenie ich znaczenia</w:t>
      </w:r>
      <w:r w:rsidR="00026572" w:rsidRPr="00EC250C">
        <w:t xml:space="preserve"> – </w:t>
      </w:r>
      <w:r w:rsidR="007F00E2" w:rsidRPr="00EC250C">
        <w:t>podkreślił RPO</w:t>
      </w:r>
      <w:r w:rsidR="00992FD0" w:rsidRPr="00EC250C">
        <w:t xml:space="preserve"> w </w:t>
      </w:r>
      <w:r w:rsidR="007F00E2" w:rsidRPr="00EC250C">
        <w:t>wystąpieniu do Ministra Inwestycji</w:t>
      </w:r>
      <w:r w:rsidR="00992FD0" w:rsidRPr="00EC250C">
        <w:t xml:space="preserve"> i </w:t>
      </w:r>
      <w:r w:rsidR="007F00E2" w:rsidRPr="00EC250C">
        <w:t>Rozwoju</w:t>
      </w:r>
      <w:r w:rsidR="007F00E2" w:rsidRPr="00EC250C">
        <w:rPr>
          <w:rStyle w:val="Odwoanieprzypisudolnego"/>
          <w:bCs/>
          <w:iCs/>
          <w:lang w:eastAsia="en-US"/>
        </w:rPr>
        <w:footnoteReference w:id="664"/>
      </w:r>
      <w:r w:rsidR="007F00E2" w:rsidRPr="00EC250C">
        <w:t>.</w:t>
      </w:r>
    </w:p>
    <w:p w14:paraId="4501DC7D" w14:textId="77777777" w:rsidR="007F00E2" w:rsidRPr="00EC250C" w:rsidRDefault="007F00E2" w:rsidP="00D131FA">
      <w:pPr>
        <w:pStyle w:val="Styl1"/>
        <w:rPr>
          <w:bCs/>
          <w:i/>
          <w:iCs/>
          <w:lang w:eastAsia="en-US"/>
        </w:rPr>
      </w:pPr>
      <w:r w:rsidRPr="00EC250C">
        <w:rPr>
          <w:bCs/>
          <w:iCs/>
          <w:lang w:eastAsia="en-US"/>
        </w:rPr>
        <w:t xml:space="preserve">Minister </w:t>
      </w:r>
      <w:r w:rsidRPr="00EC250C">
        <w:t>wyjaśnił</w:t>
      </w:r>
      <w:r w:rsidRPr="00EC250C">
        <w:rPr>
          <w:bCs/>
          <w:iCs/>
          <w:lang w:eastAsia="en-US"/>
        </w:rPr>
        <w:t>, że ustawodawcy chodziło to, by cała zmiana, łącznie</w:t>
      </w:r>
      <w:r w:rsidR="00992FD0" w:rsidRPr="00EC250C">
        <w:rPr>
          <w:bCs/>
          <w:iCs/>
          <w:lang w:eastAsia="en-US"/>
        </w:rPr>
        <w:t xml:space="preserve"> z </w:t>
      </w:r>
      <w:r w:rsidRPr="00EC250C">
        <w:rPr>
          <w:bCs/>
          <w:iCs/>
          <w:lang w:eastAsia="en-US"/>
        </w:rPr>
        <w:t>wyrokami eksmisyjnymi,</w:t>
      </w:r>
      <w:r w:rsidR="00CC4D88" w:rsidRPr="00EC250C">
        <w:rPr>
          <w:bCs/>
          <w:iCs/>
          <w:lang w:eastAsia="en-US"/>
        </w:rPr>
        <w:t xml:space="preserve"> </w:t>
      </w:r>
      <w:r w:rsidRPr="00EC250C">
        <w:rPr>
          <w:bCs/>
          <w:iCs/>
          <w:lang w:eastAsia="en-US"/>
        </w:rPr>
        <w:t>obowiązywała od 21 kwietnia 2019</w:t>
      </w:r>
      <w:r w:rsidR="00C91F6E" w:rsidRPr="00EC250C">
        <w:rPr>
          <w:bCs/>
          <w:iCs/>
          <w:lang w:eastAsia="en-US"/>
        </w:rPr>
        <w:t> r.</w:t>
      </w:r>
      <w:r w:rsidRPr="00EC250C">
        <w:rPr>
          <w:bCs/>
          <w:iCs/>
          <w:lang w:eastAsia="en-US"/>
        </w:rPr>
        <w:t xml:space="preserve"> Nie ma powodu, by pilnie poprawiać przepisy. Ministerstwo obiecało jednak, że będzie monitorować proces wdrażania nowych przepisów</w:t>
      </w:r>
      <w:r w:rsidR="00992FD0" w:rsidRPr="00EC250C">
        <w:rPr>
          <w:bCs/>
          <w:iCs/>
          <w:lang w:eastAsia="en-US"/>
        </w:rPr>
        <w:t xml:space="preserve"> i w </w:t>
      </w:r>
      <w:r w:rsidRPr="00EC250C">
        <w:rPr>
          <w:bCs/>
          <w:iCs/>
          <w:lang w:eastAsia="en-US"/>
        </w:rPr>
        <w:t>razie potrzeby będzie podejmować środki zaradcze.</w:t>
      </w:r>
    </w:p>
    <w:p w14:paraId="73747076" w14:textId="77777777" w:rsidR="00C91F6E" w:rsidRPr="00EC250C" w:rsidRDefault="007F00E2" w:rsidP="00EC250C">
      <w:pPr>
        <w:pStyle w:val="Nagwek5"/>
      </w:pPr>
      <w:r w:rsidRPr="00EC250C">
        <w:lastRenderedPageBreak/>
        <w:t xml:space="preserve">Ochrona </w:t>
      </w:r>
      <w:r w:rsidR="00F2281D" w:rsidRPr="00EC250C">
        <w:t xml:space="preserve">eksmitowanych </w:t>
      </w:r>
      <w:r w:rsidRPr="00EC250C">
        <w:t>przed bezdomnością</w:t>
      </w:r>
    </w:p>
    <w:p w14:paraId="550B62E4" w14:textId="77777777" w:rsidR="00B473F5" w:rsidRPr="00EC250C" w:rsidRDefault="007F00E2" w:rsidP="00D131FA">
      <w:pPr>
        <w:pStyle w:val="Problemczowieka"/>
        <w:jc w:val="both"/>
        <w:rPr>
          <w:bdr w:val="none" w:sz="0" w:space="0" w:color="auto" w:frame="1"/>
        </w:rPr>
      </w:pPr>
      <w:r w:rsidRPr="00EC250C">
        <w:rPr>
          <w:bdr w:val="none" w:sz="0" w:space="0" w:color="auto" w:frame="1"/>
        </w:rPr>
        <w:t>Osoby chronione przed bezdomnością, np. niepełnosprawne, bezrobotne czy kobiety</w:t>
      </w:r>
      <w:r w:rsidR="00992FD0" w:rsidRPr="00EC250C">
        <w:rPr>
          <w:bdr w:val="none" w:sz="0" w:space="0" w:color="auto" w:frame="1"/>
        </w:rPr>
        <w:t xml:space="preserve"> w </w:t>
      </w:r>
      <w:r w:rsidRPr="00EC250C">
        <w:rPr>
          <w:bdr w:val="none" w:sz="0" w:space="0" w:color="auto" w:frame="1"/>
        </w:rPr>
        <w:t>ciąży, mają trudności</w:t>
      </w:r>
      <w:r w:rsidR="00992FD0" w:rsidRPr="00EC250C">
        <w:rPr>
          <w:bdr w:val="none" w:sz="0" w:space="0" w:color="auto" w:frame="1"/>
        </w:rPr>
        <w:t xml:space="preserve"> w </w:t>
      </w:r>
      <w:r w:rsidRPr="00EC250C">
        <w:rPr>
          <w:bdr w:val="none" w:sz="0" w:space="0" w:color="auto" w:frame="1"/>
        </w:rPr>
        <w:t>uzyskiwaniu na drodze sądowej prawa do</w:t>
      </w:r>
      <w:r w:rsidR="00CC4D88" w:rsidRPr="00EC250C">
        <w:rPr>
          <w:bdr w:val="none" w:sz="0" w:space="0" w:color="auto" w:frame="1"/>
        </w:rPr>
        <w:t xml:space="preserve"> </w:t>
      </w:r>
      <w:r w:rsidRPr="00EC250C">
        <w:rPr>
          <w:bdr w:val="none" w:sz="0" w:space="0" w:color="auto" w:frame="1"/>
        </w:rPr>
        <w:t>lokalu socjalnego, jeśli dochodzi do ich eksmisji za długi,</w:t>
      </w:r>
      <w:r w:rsidR="00992FD0" w:rsidRPr="00EC250C">
        <w:rPr>
          <w:bdr w:val="none" w:sz="0" w:space="0" w:color="auto" w:frame="1"/>
        </w:rPr>
        <w:t xml:space="preserve"> a </w:t>
      </w:r>
      <w:r w:rsidRPr="00EC250C">
        <w:rPr>
          <w:bdr w:val="none" w:sz="0" w:space="0" w:color="auto" w:frame="1"/>
        </w:rPr>
        <w:t>ich lokale są licytowane</w:t>
      </w:r>
      <w:r w:rsidR="00B473F5" w:rsidRPr="00EC250C">
        <w:rPr>
          <w:bdr w:val="none" w:sz="0" w:space="0" w:color="auto" w:frame="1"/>
        </w:rPr>
        <w:t>.</w:t>
      </w:r>
    </w:p>
    <w:p w14:paraId="30DDA0C4" w14:textId="77777777" w:rsidR="007F00E2" w:rsidRPr="00EC250C" w:rsidRDefault="007F00E2" w:rsidP="00D131FA">
      <w:pPr>
        <w:pStyle w:val="Styl1"/>
        <w:rPr>
          <w:rFonts w:ascii="Open Sans Regular" w:hAnsi="Open Sans Regular"/>
        </w:rPr>
      </w:pPr>
      <w:r w:rsidRPr="00EC250C">
        <w:rPr>
          <w:bdr w:val="none" w:sz="0" w:space="0" w:color="auto" w:frame="1"/>
        </w:rPr>
        <w:t>RPO zwrócił się do Ministra Sprawiedliwości</w:t>
      </w:r>
      <w:r w:rsidR="00992FD0" w:rsidRPr="00EC250C">
        <w:rPr>
          <w:bdr w:val="none" w:sz="0" w:space="0" w:color="auto" w:frame="1"/>
        </w:rPr>
        <w:t xml:space="preserve"> o </w:t>
      </w:r>
      <w:r w:rsidRPr="00EC250C">
        <w:rPr>
          <w:bdr w:val="none" w:sz="0" w:space="0" w:color="auto" w:frame="1"/>
        </w:rPr>
        <w:t>rozważenie działań</w:t>
      </w:r>
      <w:r w:rsidR="00992FD0" w:rsidRPr="00EC250C">
        <w:rPr>
          <w:bdr w:val="none" w:sz="0" w:space="0" w:color="auto" w:frame="1"/>
        </w:rPr>
        <w:t xml:space="preserve"> w </w:t>
      </w:r>
      <w:r w:rsidRPr="00EC250C">
        <w:rPr>
          <w:bdr w:val="none" w:sz="0" w:space="0" w:color="auto" w:frame="1"/>
        </w:rPr>
        <w:t>celu</w:t>
      </w:r>
      <w:r w:rsidR="00CC4D88" w:rsidRPr="00EC250C">
        <w:rPr>
          <w:bdr w:val="none" w:sz="0" w:space="0" w:color="auto" w:frame="1"/>
        </w:rPr>
        <w:t xml:space="preserve"> </w:t>
      </w:r>
      <w:r w:rsidRPr="00EC250C">
        <w:rPr>
          <w:bdr w:val="none" w:sz="0" w:space="0" w:color="auto" w:frame="1"/>
        </w:rPr>
        <w:t>wyeliminowania wątpliwości co do</w:t>
      </w:r>
      <w:r w:rsidR="00CC4D88" w:rsidRPr="00EC250C">
        <w:rPr>
          <w:bdr w:val="none" w:sz="0" w:space="0" w:color="auto" w:frame="1"/>
        </w:rPr>
        <w:t xml:space="preserve"> </w:t>
      </w:r>
      <w:r w:rsidRPr="00EC250C">
        <w:rPr>
          <w:bdr w:val="none" w:sz="0" w:space="0" w:color="auto" w:frame="1"/>
        </w:rPr>
        <w:t>obecnych przepisów</w:t>
      </w:r>
      <w:r w:rsidRPr="00EC250C">
        <w:rPr>
          <w:rStyle w:val="Odwoanieprzypisudolnego"/>
          <w:bCs/>
          <w:iCs/>
        </w:rPr>
        <w:footnoteReference w:id="665"/>
      </w:r>
      <w:r w:rsidRPr="00EC250C">
        <w:rPr>
          <w:bdr w:val="none" w:sz="0" w:space="0" w:color="auto" w:frame="1"/>
        </w:rPr>
        <w:t>.</w:t>
      </w:r>
    </w:p>
    <w:p w14:paraId="416D542C" w14:textId="77777777" w:rsidR="007F00E2" w:rsidRPr="00EC250C" w:rsidRDefault="007F00E2" w:rsidP="00D131FA">
      <w:pPr>
        <w:pStyle w:val="Styl1"/>
      </w:pPr>
      <w:r w:rsidRPr="00EC250C">
        <w:t>Już</w:t>
      </w:r>
      <w:r w:rsidR="00992FD0" w:rsidRPr="00EC250C">
        <w:t xml:space="preserve"> w </w:t>
      </w:r>
      <w:r w:rsidRPr="00EC250C">
        <w:t>2013</w:t>
      </w:r>
      <w:r w:rsidR="00C91F6E" w:rsidRPr="00EC250C">
        <w:t> r.</w:t>
      </w:r>
      <w:r w:rsidRPr="00EC250C">
        <w:t xml:space="preserve"> RPO sygnalizował problem trybu,</w:t>
      </w:r>
      <w:r w:rsidR="00992FD0" w:rsidRPr="00EC250C">
        <w:t xml:space="preserve"> w </w:t>
      </w:r>
      <w:r w:rsidRPr="00EC250C">
        <w:t>jakim dłużnik</w:t>
      </w:r>
      <w:r w:rsidR="00026572" w:rsidRPr="00EC250C">
        <w:t xml:space="preserve"> – </w:t>
      </w:r>
      <w:r w:rsidRPr="00EC250C">
        <w:t>będący osobą szczególnie chronioną przed bezdomnością</w:t>
      </w:r>
      <w:r w:rsidR="00026572" w:rsidRPr="00EC250C">
        <w:t xml:space="preserve"> – </w:t>
      </w:r>
      <w:r w:rsidRPr="00EC250C">
        <w:t>może dochodzić przyznania przez sąd prawa do lokalu socjalnego</w:t>
      </w:r>
      <w:r w:rsidR="00992FD0" w:rsidRPr="00EC250C">
        <w:t xml:space="preserve"> w </w:t>
      </w:r>
      <w:r w:rsidRPr="00EC250C">
        <w:t>toku egzekucji sądowej zajmowanego wcześniej lokalu. RPO podkreśla, że gdy nabywca takiego zlicytowanego lokalu ma już do niego tytuł wykonawczy, to nie musi inicjować odrębnego postępowania</w:t>
      </w:r>
      <w:r w:rsidR="00992FD0" w:rsidRPr="00EC250C">
        <w:t xml:space="preserve"> w </w:t>
      </w:r>
      <w:r w:rsidRPr="00EC250C">
        <w:t>celu uzyskania orzeczenia sądu, nakazującego opuszczenie lokalu przez dłużnika. Oznacza to, że</w:t>
      </w:r>
      <w:r w:rsidR="00992FD0" w:rsidRPr="00EC250C">
        <w:t xml:space="preserve"> w </w:t>
      </w:r>
      <w:r w:rsidRPr="00EC250C">
        <w:t>toku egzekucji sąd nie jest uprawniony do orzekania</w:t>
      </w:r>
      <w:r w:rsidR="00992FD0" w:rsidRPr="00EC250C">
        <w:t xml:space="preserve"> o </w:t>
      </w:r>
      <w:r w:rsidRPr="00EC250C">
        <w:t>uprawnieniu do lokalu socjalnego dla lokatorów objętych szczególną ochroną przed bezdomnością</w:t>
      </w:r>
      <w:r w:rsidR="00026572" w:rsidRPr="00EC250C">
        <w:t xml:space="preserve"> – </w:t>
      </w:r>
      <w:r w:rsidRPr="00EC250C">
        <w:t>napisał RPO.</w:t>
      </w:r>
    </w:p>
    <w:p w14:paraId="1A42F514" w14:textId="77777777" w:rsidR="007F00E2" w:rsidRPr="00EC250C" w:rsidRDefault="007F00E2" w:rsidP="00D131FA">
      <w:pPr>
        <w:pStyle w:val="Styl1"/>
      </w:pPr>
      <w:r w:rsidRPr="00EC250C">
        <w:t>W 2013</w:t>
      </w:r>
      <w:r w:rsidR="00C91F6E" w:rsidRPr="00EC250C">
        <w:t> r.</w:t>
      </w:r>
      <w:r w:rsidRPr="00EC250C">
        <w:t xml:space="preserve"> </w:t>
      </w:r>
      <w:r w:rsidR="00DC5152" w:rsidRPr="00EC250C">
        <w:t xml:space="preserve">Minister </w:t>
      </w:r>
      <w:r w:rsidRPr="00EC250C">
        <w:t>odpisał RPO, że przepisy umożliwiają należytą ochronę tych osób, bo mogą one występować</w:t>
      </w:r>
      <w:r w:rsidR="00992FD0" w:rsidRPr="00EC250C">
        <w:t xml:space="preserve"> z </w:t>
      </w:r>
      <w:r w:rsidRPr="00EC250C">
        <w:t>tzw. powództwem przeciwegzekucyjnym.</w:t>
      </w:r>
    </w:p>
    <w:p w14:paraId="15C0B29F" w14:textId="77777777" w:rsidR="00C91F6E" w:rsidRPr="00EC250C" w:rsidRDefault="007F00E2" w:rsidP="00D131FA">
      <w:pPr>
        <w:pStyle w:val="Styl1"/>
      </w:pPr>
      <w:r w:rsidRPr="00EC250C">
        <w:t>Ale skargi do RPO płynęły dalej. Ludzie skarżyli się na nieprecyzyjną</w:t>
      </w:r>
      <w:r w:rsidR="00992FD0" w:rsidRPr="00EC250C">
        <w:t xml:space="preserve"> i </w:t>
      </w:r>
      <w:r w:rsidRPr="00EC250C">
        <w:t>niejasną treść przepisów. Przekłada się to na problemy ze sformułowaniem pozwu,</w:t>
      </w:r>
      <w:r w:rsidR="00992FD0" w:rsidRPr="00EC250C">
        <w:t xml:space="preserve"> a </w:t>
      </w:r>
      <w:r w:rsidRPr="00EC250C">
        <w:t>zwłaszcza</w:t>
      </w:r>
      <w:r w:rsidR="00026572" w:rsidRPr="00EC250C">
        <w:t xml:space="preserve"> – </w:t>
      </w:r>
      <w:r w:rsidR="00992FD0" w:rsidRPr="00EC250C">
        <w:t>z </w:t>
      </w:r>
      <w:r w:rsidRPr="00EC250C">
        <w:t>powiązaniem żądania pozbawienia wykonalności tytułu wykonawczego</w:t>
      </w:r>
      <w:r w:rsidR="00992FD0" w:rsidRPr="00EC250C">
        <w:t xml:space="preserve"> z </w:t>
      </w:r>
      <w:r w:rsidRPr="00EC250C">
        <w:t>ustaleniem uprawnienia do lokalu socjalnego. Nie mają oni też wiedzy</w:t>
      </w:r>
      <w:r w:rsidR="00992FD0" w:rsidRPr="00EC250C">
        <w:t xml:space="preserve"> o </w:t>
      </w:r>
      <w:r w:rsidRPr="00EC250C">
        <w:t>przysługujących im uprawnieniach,</w:t>
      </w:r>
      <w:r w:rsidR="00992FD0" w:rsidRPr="00EC250C">
        <w:t xml:space="preserve"> a </w:t>
      </w:r>
      <w:r w:rsidRPr="00EC250C">
        <w:t>komornicy, nawet gdy</w:t>
      </w:r>
      <w:r w:rsidR="00992FD0" w:rsidRPr="00EC250C">
        <w:t xml:space="preserve"> w </w:t>
      </w:r>
      <w:r w:rsidRPr="00EC250C">
        <w:t>zlicytowanym lokalu mieszkają dzieci lub osoby niepełnosprawne, nie pouczają ich</w:t>
      </w:r>
      <w:r w:rsidR="00992FD0" w:rsidRPr="00EC250C">
        <w:t xml:space="preserve"> o </w:t>
      </w:r>
      <w:r w:rsidRPr="00EC250C">
        <w:t>możliwości wniesienia powództwa przeciwegzekucyjnego.</w:t>
      </w:r>
    </w:p>
    <w:p w14:paraId="1C9133A3" w14:textId="77777777" w:rsidR="001916FF" w:rsidRPr="00EC250C" w:rsidRDefault="001916FF" w:rsidP="00D131FA">
      <w:pPr>
        <w:pStyle w:val="Styl1"/>
      </w:pPr>
      <w:r w:rsidRPr="00EC250C">
        <w:t>W razie wniesienia powództwa sądy odmawiają zawieszenia egzekucji. W ocenie RPO zarzuty obywateli świadczą o tym, że regulacja jest wadliwa.</w:t>
      </w:r>
    </w:p>
    <w:p w14:paraId="0976BEB2" w14:textId="77777777" w:rsidR="00C91F6E" w:rsidRPr="00EC250C" w:rsidRDefault="007F00E2" w:rsidP="00D131FA">
      <w:pPr>
        <w:pStyle w:val="Styl1"/>
        <w:rPr>
          <w:bCs/>
          <w:iCs/>
        </w:rPr>
      </w:pPr>
      <w:r w:rsidRPr="00EC250C">
        <w:rPr>
          <w:bCs/>
          <w:iCs/>
        </w:rPr>
        <w:t>Minister Sprawiedliwości poinformował, że też zauważył problem, ale względy systemowe przemawiają za tym, by sprawą zajął się ministra właściwego do spraw mieszkalnictwa, zmienić trzeba bowiem pozostającą</w:t>
      </w:r>
      <w:r w:rsidR="00992FD0" w:rsidRPr="00EC250C">
        <w:rPr>
          <w:bCs/>
          <w:iCs/>
        </w:rPr>
        <w:t xml:space="preserve"> w </w:t>
      </w:r>
      <w:r w:rsidRPr="00EC250C">
        <w:rPr>
          <w:bCs/>
          <w:iCs/>
        </w:rPr>
        <w:t>jego gestii ustawą</w:t>
      </w:r>
      <w:r w:rsidR="00992FD0" w:rsidRPr="00EC250C">
        <w:rPr>
          <w:bCs/>
          <w:iCs/>
        </w:rPr>
        <w:t xml:space="preserve"> o </w:t>
      </w:r>
      <w:r w:rsidRPr="00EC250C">
        <w:rPr>
          <w:bCs/>
          <w:iCs/>
        </w:rPr>
        <w:t>ochronie lokatorów.</w:t>
      </w:r>
    </w:p>
    <w:p w14:paraId="2B7E7B45" w14:textId="77777777" w:rsidR="007F00E2" w:rsidRPr="00EC250C" w:rsidRDefault="00135B9D" w:rsidP="00D131FA">
      <w:pPr>
        <w:pStyle w:val="Styl1"/>
      </w:pPr>
      <w:r w:rsidRPr="00EC250C">
        <w:t>RPO</w:t>
      </w:r>
      <w:r w:rsidR="007F00E2" w:rsidRPr="00EC250C">
        <w:t xml:space="preserve"> napisał więc do Ministra Inwestycji</w:t>
      </w:r>
      <w:r w:rsidR="00992FD0" w:rsidRPr="00EC250C">
        <w:t xml:space="preserve"> i </w:t>
      </w:r>
      <w:r w:rsidR="007F00E2" w:rsidRPr="00EC250C">
        <w:t>Rozwoju,</w:t>
      </w:r>
      <w:r w:rsidR="00992FD0" w:rsidRPr="00EC250C">
        <w:t xml:space="preserve"> a </w:t>
      </w:r>
      <w:r w:rsidR="007F00E2" w:rsidRPr="00EC250C">
        <w:t>ten potwierdził, że problem zna</w:t>
      </w:r>
      <w:r w:rsidR="00992FD0" w:rsidRPr="00EC250C">
        <w:t xml:space="preserve"> i </w:t>
      </w:r>
      <w:r w:rsidR="007F00E2" w:rsidRPr="00EC250C">
        <w:t>że rzeczywiście trzeba zmienić ustawę</w:t>
      </w:r>
      <w:r w:rsidR="00992FD0" w:rsidRPr="00EC250C">
        <w:t xml:space="preserve"> o </w:t>
      </w:r>
      <w:r w:rsidR="007F00E2" w:rsidRPr="00EC250C">
        <w:t>ochronie lokatorów. „Kwestia ta zostanie uwzględniona</w:t>
      </w:r>
      <w:r w:rsidR="00992FD0" w:rsidRPr="00EC250C">
        <w:t xml:space="preserve"> w </w:t>
      </w:r>
      <w:r w:rsidR="007F00E2" w:rsidRPr="00EC250C">
        <w:t>przypadku podjęcia prac nad zmianami</w:t>
      </w:r>
      <w:r w:rsidR="00992FD0" w:rsidRPr="00EC250C">
        <w:t xml:space="preserve"> w </w:t>
      </w:r>
      <w:r w:rsidR="007F00E2" w:rsidRPr="00EC250C">
        <w:t>uol”</w:t>
      </w:r>
      <w:r w:rsidR="001916FF" w:rsidRPr="00EC250C">
        <w:t xml:space="preserve"> [ustawę o ochronie lokatorów – red.]</w:t>
      </w:r>
      <w:r w:rsidR="003A5EEA" w:rsidRPr="00EC250C">
        <w:rPr>
          <w:rStyle w:val="Odwoanieprzypisudolnego"/>
          <w:bCs/>
          <w:iCs/>
        </w:rPr>
        <w:t xml:space="preserve"> </w:t>
      </w:r>
      <w:r w:rsidR="003A5EEA" w:rsidRPr="00EC250C">
        <w:rPr>
          <w:rStyle w:val="Odwoanieprzypisudolnego"/>
          <w:bCs/>
          <w:iCs/>
        </w:rPr>
        <w:footnoteReference w:id="666"/>
      </w:r>
      <w:r w:rsidR="007F00E2" w:rsidRPr="00EC250C">
        <w:t>.</w:t>
      </w:r>
      <w:r w:rsidR="001916FF" w:rsidRPr="00EC250C">
        <w:t xml:space="preserve"> Na tym etapie RPO zamknął sprawę.</w:t>
      </w:r>
    </w:p>
    <w:p w14:paraId="2E4BE048" w14:textId="77777777" w:rsidR="007F00E2" w:rsidRPr="00EC250C" w:rsidRDefault="007F00E2" w:rsidP="00EC250C">
      <w:pPr>
        <w:pStyle w:val="Nagwek8"/>
      </w:pPr>
      <w:r w:rsidRPr="00EC250C">
        <w:lastRenderedPageBreak/>
        <w:t>Zastrzeżenia do stanu technicznego lokalu komunalnego</w:t>
      </w:r>
    </w:p>
    <w:p w14:paraId="2FE7F84F" w14:textId="77777777" w:rsidR="00C91F6E" w:rsidRPr="00EC250C" w:rsidRDefault="00666014" w:rsidP="00D131FA">
      <w:pPr>
        <w:pStyle w:val="Styl2"/>
        <w:rPr>
          <w:szCs w:val="24"/>
        </w:rPr>
      </w:pPr>
      <w:bookmarkStart w:id="660" w:name="_Hlk8211274"/>
      <w:r w:rsidRPr="00EC250C">
        <w:rPr>
          <w:szCs w:val="24"/>
        </w:rPr>
        <w:t>M</w:t>
      </w:r>
      <w:r w:rsidR="007F00E2" w:rsidRPr="00EC250C">
        <w:rPr>
          <w:szCs w:val="24"/>
        </w:rPr>
        <w:t>atka samotnie wychowująca dziecko, osoba chora</w:t>
      </w:r>
      <w:r w:rsidR="00992FD0" w:rsidRPr="00EC250C">
        <w:rPr>
          <w:szCs w:val="24"/>
        </w:rPr>
        <w:t xml:space="preserve"> i </w:t>
      </w:r>
      <w:r w:rsidR="007F00E2" w:rsidRPr="00EC250C">
        <w:rPr>
          <w:szCs w:val="24"/>
        </w:rPr>
        <w:t>znajdująca się</w:t>
      </w:r>
      <w:r w:rsidR="00992FD0" w:rsidRPr="00EC250C">
        <w:rPr>
          <w:szCs w:val="24"/>
        </w:rPr>
        <w:t xml:space="preserve"> w </w:t>
      </w:r>
      <w:r w:rsidR="007F00E2" w:rsidRPr="00EC250C">
        <w:rPr>
          <w:szCs w:val="24"/>
        </w:rPr>
        <w:t>trudnej sytuacji materialnej</w:t>
      </w:r>
      <w:r w:rsidRPr="00EC250C">
        <w:rPr>
          <w:szCs w:val="24"/>
        </w:rPr>
        <w:t xml:space="preserve"> poprosiła gminę</w:t>
      </w:r>
      <w:r w:rsidR="00992FD0" w:rsidRPr="00EC250C">
        <w:rPr>
          <w:szCs w:val="24"/>
        </w:rPr>
        <w:t xml:space="preserve"> o </w:t>
      </w:r>
      <w:r w:rsidRPr="00EC250C">
        <w:rPr>
          <w:szCs w:val="24"/>
        </w:rPr>
        <w:t>pomoc</w:t>
      </w:r>
      <w:r w:rsidR="00992FD0" w:rsidRPr="00EC250C">
        <w:rPr>
          <w:szCs w:val="24"/>
        </w:rPr>
        <w:t xml:space="preserve"> i </w:t>
      </w:r>
      <w:r w:rsidRPr="00EC250C">
        <w:rPr>
          <w:szCs w:val="24"/>
        </w:rPr>
        <w:t xml:space="preserve">dostała zamiast mieszkania komunalnego, na które nie było jej stać, </w:t>
      </w:r>
      <w:r w:rsidR="007F00E2" w:rsidRPr="00EC250C">
        <w:rPr>
          <w:szCs w:val="24"/>
        </w:rPr>
        <w:t>mniejszy lokal socjalny</w:t>
      </w:r>
      <w:r w:rsidR="00F2281D" w:rsidRPr="00EC250C">
        <w:rPr>
          <w:szCs w:val="24"/>
        </w:rPr>
        <w:t>…</w:t>
      </w:r>
      <w:r w:rsidRPr="00EC250C">
        <w:rPr>
          <w:szCs w:val="24"/>
        </w:rPr>
        <w:t xml:space="preserve">w </w:t>
      </w:r>
      <w:r w:rsidR="007F00E2" w:rsidRPr="00EC250C">
        <w:rPr>
          <w:szCs w:val="24"/>
        </w:rPr>
        <w:t>fatalny</w:t>
      </w:r>
      <w:r w:rsidRPr="00EC250C">
        <w:rPr>
          <w:szCs w:val="24"/>
        </w:rPr>
        <w:t>m stanie</w:t>
      </w:r>
      <w:r w:rsidR="007F00E2" w:rsidRPr="00EC250C">
        <w:rPr>
          <w:szCs w:val="24"/>
        </w:rPr>
        <w:t xml:space="preserve">: </w:t>
      </w:r>
      <w:r w:rsidRPr="00EC250C">
        <w:rPr>
          <w:szCs w:val="24"/>
        </w:rPr>
        <w:t xml:space="preserve">bez </w:t>
      </w:r>
      <w:r w:rsidR="007F00E2" w:rsidRPr="00EC250C">
        <w:rPr>
          <w:szCs w:val="24"/>
        </w:rPr>
        <w:t>ogrzewania, kranów,</w:t>
      </w:r>
      <w:r w:rsidR="00992FD0" w:rsidRPr="00EC250C">
        <w:rPr>
          <w:szCs w:val="24"/>
        </w:rPr>
        <w:t xml:space="preserve"> z </w:t>
      </w:r>
      <w:r w:rsidR="007F00E2" w:rsidRPr="00EC250C">
        <w:rPr>
          <w:szCs w:val="24"/>
        </w:rPr>
        <w:t>nieszczeln</w:t>
      </w:r>
      <w:r w:rsidRPr="00EC250C">
        <w:rPr>
          <w:szCs w:val="24"/>
        </w:rPr>
        <w:t>ymi oknami</w:t>
      </w:r>
      <w:r w:rsidR="007F00E2" w:rsidRPr="00EC250C">
        <w:rPr>
          <w:szCs w:val="24"/>
        </w:rPr>
        <w:t>.</w:t>
      </w:r>
    </w:p>
    <w:bookmarkEnd w:id="660"/>
    <w:p w14:paraId="712DB37B" w14:textId="77777777" w:rsidR="00C91F6E" w:rsidRPr="00EC250C" w:rsidRDefault="007F00E2" w:rsidP="00D131FA">
      <w:pPr>
        <w:pStyle w:val="Styl2"/>
        <w:rPr>
          <w:szCs w:val="24"/>
        </w:rPr>
      </w:pPr>
      <w:r w:rsidRPr="00EC250C">
        <w:rPr>
          <w:szCs w:val="24"/>
        </w:rPr>
        <w:t>Interwencja RPO</w:t>
      </w:r>
      <w:r w:rsidR="00992FD0" w:rsidRPr="00EC250C">
        <w:rPr>
          <w:szCs w:val="24"/>
        </w:rPr>
        <w:t xml:space="preserve"> w </w:t>
      </w:r>
      <w:r w:rsidRPr="00EC250C">
        <w:rPr>
          <w:szCs w:val="24"/>
        </w:rPr>
        <w:t xml:space="preserve">takiej sytuacji polega na sprawdzeniu, czy lokal odpowiada zasadom, jakie samorząd określa dla zasobu </w:t>
      </w:r>
      <w:r w:rsidR="00666014" w:rsidRPr="00EC250C">
        <w:rPr>
          <w:szCs w:val="24"/>
        </w:rPr>
        <w:t>socjalnego</w:t>
      </w:r>
      <w:r w:rsidRPr="00EC250C">
        <w:rPr>
          <w:szCs w:val="24"/>
        </w:rPr>
        <w:t>. Tu jednak okazało się, że takich zasad</w:t>
      </w:r>
      <w:r w:rsidR="00992FD0" w:rsidRPr="00EC250C">
        <w:rPr>
          <w:szCs w:val="24"/>
        </w:rPr>
        <w:t xml:space="preserve"> w </w:t>
      </w:r>
      <w:r w:rsidRPr="00EC250C">
        <w:rPr>
          <w:szCs w:val="24"/>
        </w:rPr>
        <w:t>ogóle nie ma, choć wymaga</w:t>
      </w:r>
      <w:r w:rsidR="00F2281D" w:rsidRPr="00EC250C">
        <w:rPr>
          <w:szCs w:val="24"/>
        </w:rPr>
        <w:t xml:space="preserve"> tego</w:t>
      </w:r>
      <w:r w:rsidRPr="00EC250C">
        <w:rPr>
          <w:szCs w:val="24"/>
        </w:rPr>
        <w:t xml:space="preserve"> ustawa</w:t>
      </w:r>
      <w:r w:rsidR="00992FD0" w:rsidRPr="00EC250C">
        <w:rPr>
          <w:szCs w:val="24"/>
        </w:rPr>
        <w:t xml:space="preserve"> o </w:t>
      </w:r>
      <w:r w:rsidRPr="00EC250C">
        <w:rPr>
          <w:szCs w:val="24"/>
        </w:rPr>
        <w:t>ochronie praw lokatorów.</w:t>
      </w:r>
    </w:p>
    <w:p w14:paraId="014B6C26" w14:textId="77777777" w:rsidR="00C91F6E" w:rsidRPr="00EC250C" w:rsidRDefault="00666014" w:rsidP="00D131FA">
      <w:pPr>
        <w:pStyle w:val="Styl2"/>
        <w:rPr>
          <w:szCs w:val="24"/>
        </w:rPr>
      </w:pPr>
      <w:r w:rsidRPr="00EC250C">
        <w:rPr>
          <w:szCs w:val="24"/>
        </w:rPr>
        <w:t>Kiedy gmina dowiedziała się</w:t>
      </w:r>
      <w:r w:rsidR="00992FD0" w:rsidRPr="00EC250C">
        <w:rPr>
          <w:szCs w:val="24"/>
        </w:rPr>
        <w:t xml:space="preserve"> o </w:t>
      </w:r>
      <w:r w:rsidRPr="00EC250C">
        <w:rPr>
          <w:szCs w:val="24"/>
        </w:rPr>
        <w:t xml:space="preserve">tym od RPO, uchwaliła </w:t>
      </w:r>
      <w:r w:rsidR="007F00E2" w:rsidRPr="00EC250C">
        <w:rPr>
          <w:szCs w:val="24"/>
        </w:rPr>
        <w:t>zasad</w:t>
      </w:r>
      <w:r w:rsidRPr="00EC250C">
        <w:rPr>
          <w:szCs w:val="24"/>
        </w:rPr>
        <w:t>y</w:t>
      </w:r>
      <w:r w:rsidR="007F00E2" w:rsidRPr="00EC250C">
        <w:rPr>
          <w:szCs w:val="24"/>
        </w:rPr>
        <w:t xml:space="preserve">. </w:t>
      </w:r>
      <w:r w:rsidRPr="00EC250C">
        <w:rPr>
          <w:szCs w:val="24"/>
        </w:rPr>
        <w:t xml:space="preserve">Ale były one </w:t>
      </w:r>
      <w:r w:rsidR="007F00E2" w:rsidRPr="00EC250C">
        <w:rPr>
          <w:szCs w:val="24"/>
        </w:rPr>
        <w:t>niezgodne</w:t>
      </w:r>
      <w:r w:rsidR="00992FD0" w:rsidRPr="00EC250C">
        <w:rPr>
          <w:szCs w:val="24"/>
        </w:rPr>
        <w:t xml:space="preserve"> z </w:t>
      </w:r>
      <w:r w:rsidR="007F00E2" w:rsidRPr="00EC250C">
        <w:rPr>
          <w:szCs w:val="24"/>
        </w:rPr>
        <w:t xml:space="preserve">prawem. Ponieważ gmina nie chciała uwzględnić uwag, </w:t>
      </w:r>
      <w:r w:rsidR="00135B9D" w:rsidRPr="00EC250C">
        <w:rPr>
          <w:szCs w:val="24"/>
        </w:rPr>
        <w:t>RPO</w:t>
      </w:r>
      <w:r w:rsidRPr="00EC250C">
        <w:rPr>
          <w:szCs w:val="24"/>
        </w:rPr>
        <w:t xml:space="preserve"> </w:t>
      </w:r>
      <w:r w:rsidR="007F00E2" w:rsidRPr="00EC250C">
        <w:rPr>
          <w:szCs w:val="24"/>
        </w:rPr>
        <w:t>skierowa</w:t>
      </w:r>
      <w:r w:rsidRPr="00EC250C">
        <w:rPr>
          <w:szCs w:val="24"/>
        </w:rPr>
        <w:t>ł</w:t>
      </w:r>
      <w:r w:rsidR="007F00E2" w:rsidRPr="00EC250C">
        <w:rPr>
          <w:szCs w:val="24"/>
        </w:rPr>
        <w:t xml:space="preserve"> do sądu administracyjnego skargi na uchwałę rady gminy</w:t>
      </w:r>
      <w:r w:rsidRPr="00EC250C">
        <w:rPr>
          <w:szCs w:val="24"/>
        </w:rPr>
        <w:t>.</w:t>
      </w:r>
      <w:r w:rsidR="007F00E2" w:rsidRPr="00EC250C">
        <w:rPr>
          <w:szCs w:val="24"/>
        </w:rPr>
        <w:t xml:space="preserve"> </w:t>
      </w:r>
      <w:r w:rsidRPr="00EC250C">
        <w:rPr>
          <w:szCs w:val="24"/>
        </w:rPr>
        <w:t xml:space="preserve">Zakwestionował </w:t>
      </w:r>
      <w:r w:rsidR="007F00E2" w:rsidRPr="00EC250C">
        <w:rPr>
          <w:szCs w:val="24"/>
        </w:rPr>
        <w:t>postanowie</w:t>
      </w:r>
      <w:r w:rsidRPr="00EC250C">
        <w:rPr>
          <w:szCs w:val="24"/>
        </w:rPr>
        <w:t>nia</w:t>
      </w:r>
      <w:r w:rsidR="007F00E2" w:rsidRPr="00EC250C">
        <w:rPr>
          <w:szCs w:val="24"/>
        </w:rPr>
        <w:t>, które wprowadziły nieprzewidziane</w:t>
      </w:r>
      <w:r w:rsidR="00992FD0" w:rsidRPr="00EC250C">
        <w:rPr>
          <w:szCs w:val="24"/>
        </w:rPr>
        <w:t xml:space="preserve"> w </w:t>
      </w:r>
      <w:r w:rsidR="007F00E2" w:rsidRPr="00EC250C">
        <w:rPr>
          <w:szCs w:val="24"/>
        </w:rPr>
        <w:t>ustawie kryterium uzależniające przyznanie prawa do lokalu od nieposiadania tytułu prawnego do innego lokalu, bez względu na rzeczywiste warunki zamieszkiwania wnioskodawców oraz osiągany przez nich dochód</w:t>
      </w:r>
      <w:r w:rsidR="00F2281D" w:rsidRPr="00EC250C">
        <w:rPr>
          <w:szCs w:val="24"/>
        </w:rPr>
        <w:t>.</w:t>
      </w:r>
      <w:r w:rsidR="007F00E2" w:rsidRPr="00EC250C">
        <w:rPr>
          <w:szCs w:val="24"/>
        </w:rPr>
        <w:t xml:space="preserve"> </w:t>
      </w:r>
      <w:r w:rsidR="00F2281D" w:rsidRPr="00EC250C">
        <w:rPr>
          <w:szCs w:val="24"/>
        </w:rPr>
        <w:t>Tym samym wiele osób, mimo, że ustawa ich nie wyklucza, nie mogło ubiegać się</w:t>
      </w:r>
      <w:r w:rsidR="00992FD0" w:rsidRPr="00EC250C">
        <w:rPr>
          <w:szCs w:val="24"/>
        </w:rPr>
        <w:t xml:space="preserve"> o </w:t>
      </w:r>
      <w:r w:rsidR="00F2281D" w:rsidRPr="00EC250C">
        <w:rPr>
          <w:szCs w:val="24"/>
        </w:rPr>
        <w:t>lokal socjalny</w:t>
      </w:r>
      <w:r w:rsidR="00992FD0" w:rsidRPr="00EC250C">
        <w:rPr>
          <w:szCs w:val="24"/>
        </w:rPr>
        <w:t xml:space="preserve"> w </w:t>
      </w:r>
      <w:r w:rsidR="00F2281D" w:rsidRPr="00EC250C">
        <w:rPr>
          <w:szCs w:val="24"/>
        </w:rPr>
        <w:t>tej gminie.</w:t>
      </w:r>
    </w:p>
    <w:p w14:paraId="4580A806" w14:textId="77777777" w:rsidR="00BD0A0E" w:rsidRPr="00EC250C" w:rsidRDefault="00BD0A0E" w:rsidP="00D131FA">
      <w:pPr>
        <w:pStyle w:val="Styl2"/>
        <w:rPr>
          <w:szCs w:val="24"/>
        </w:rPr>
      </w:pPr>
      <w:r w:rsidRPr="00EC250C">
        <w:rPr>
          <w:szCs w:val="24"/>
        </w:rPr>
        <w:t>Sąd zaskarżone postanowienia uchwały unieważnił</w:t>
      </w:r>
      <w:r w:rsidRPr="00EC250C">
        <w:rPr>
          <w:szCs w:val="24"/>
          <w:vertAlign w:val="superscript"/>
        </w:rPr>
        <w:footnoteReference w:id="667"/>
      </w:r>
      <w:r w:rsidRPr="00EC250C">
        <w:rPr>
          <w:szCs w:val="24"/>
        </w:rPr>
        <w:t>.</w:t>
      </w:r>
      <w:r w:rsidR="00163AB9" w:rsidRPr="00EC250C">
        <w:rPr>
          <w:szCs w:val="24"/>
        </w:rPr>
        <w:t xml:space="preserve"> Wyrok jest prawomocny.</w:t>
      </w:r>
    </w:p>
    <w:p w14:paraId="73BACD30" w14:textId="77777777" w:rsidR="00242854" w:rsidRPr="00EC250C" w:rsidRDefault="00242854" w:rsidP="00EC250C">
      <w:pPr>
        <w:pStyle w:val="Nagwek8"/>
      </w:pPr>
      <w:r w:rsidRPr="00EC250C">
        <w:t xml:space="preserve">Karta Praw Osób </w:t>
      </w:r>
      <w:r w:rsidR="00AE707F" w:rsidRPr="00EC250C">
        <w:t xml:space="preserve">Doświadczających </w:t>
      </w:r>
      <w:r w:rsidRPr="00EC250C">
        <w:t>Bezdomn</w:t>
      </w:r>
      <w:r w:rsidR="00AE707F" w:rsidRPr="00EC250C">
        <w:t>ości</w:t>
      </w:r>
    </w:p>
    <w:p w14:paraId="605E9C07" w14:textId="77777777" w:rsidR="00242854" w:rsidRPr="00EC250C" w:rsidRDefault="00242854" w:rsidP="00D131FA">
      <w:pPr>
        <w:pStyle w:val="Styl2"/>
        <w:rPr>
          <w:szCs w:val="24"/>
        </w:rPr>
      </w:pPr>
      <w:r w:rsidRPr="00EC250C">
        <w:rPr>
          <w:szCs w:val="24"/>
        </w:rPr>
        <w:t xml:space="preserve">Karta Praw </w:t>
      </w:r>
      <w:r w:rsidR="00F2281D" w:rsidRPr="00EC250C">
        <w:rPr>
          <w:szCs w:val="24"/>
        </w:rPr>
        <w:t>Osób</w:t>
      </w:r>
      <w:r w:rsidRPr="00EC250C">
        <w:rPr>
          <w:szCs w:val="24"/>
        </w:rPr>
        <w:t xml:space="preserve"> </w:t>
      </w:r>
      <w:r w:rsidR="00AE707F" w:rsidRPr="00EC250C">
        <w:rPr>
          <w:szCs w:val="24"/>
        </w:rPr>
        <w:t>Doświadczających Bezdomności</w:t>
      </w:r>
      <w:r w:rsidRPr="00EC250C">
        <w:rPr>
          <w:szCs w:val="24"/>
        </w:rPr>
        <w:t xml:space="preserve"> to program dla społeczności miejskich, który</w:t>
      </w:r>
      <w:r w:rsidR="00CC4D88" w:rsidRPr="00EC250C">
        <w:rPr>
          <w:szCs w:val="24"/>
        </w:rPr>
        <w:t xml:space="preserve"> </w:t>
      </w:r>
      <w:r w:rsidRPr="00EC250C">
        <w:rPr>
          <w:szCs w:val="24"/>
        </w:rPr>
        <w:t>zawiera zobowiązania rad miast do przestrzegania podstawowych praw osób dotkniętych bezdomnością.</w:t>
      </w:r>
    </w:p>
    <w:p w14:paraId="2894A078" w14:textId="77777777" w:rsidR="004733A6" w:rsidRPr="00EC250C" w:rsidRDefault="004733A6" w:rsidP="00D131FA">
      <w:pPr>
        <w:pStyle w:val="Styl2"/>
        <w:rPr>
          <w:szCs w:val="24"/>
        </w:rPr>
      </w:pPr>
      <w:r w:rsidRPr="00EC250C">
        <w:rPr>
          <w:szCs w:val="24"/>
          <w:lang w:val="en-US"/>
        </w:rPr>
        <w:t>Kartę przygotowały</w:t>
      </w:r>
      <w:r w:rsidRPr="00EC250C">
        <w:rPr>
          <w:szCs w:val="24"/>
          <w:lang w:val="en-GB"/>
        </w:rPr>
        <w:t xml:space="preserve"> Housing Rights Watch</w:t>
      </w:r>
      <w:r w:rsidR="00992FD0" w:rsidRPr="00EC250C">
        <w:rPr>
          <w:szCs w:val="24"/>
          <w:lang w:val="en-GB"/>
        </w:rPr>
        <w:t xml:space="preserve"> i </w:t>
      </w:r>
      <w:r w:rsidRPr="00EC250C">
        <w:rPr>
          <w:szCs w:val="24"/>
          <w:lang w:val="en-GB"/>
        </w:rPr>
        <w:t xml:space="preserve">European Federation of National Organisations Working with the Homeless (FEANTSA). </w:t>
      </w:r>
      <w:r w:rsidRPr="00EC250C">
        <w:rPr>
          <w:szCs w:val="24"/>
        </w:rPr>
        <w:t>Projekt funkcjonuje już</w:t>
      </w:r>
      <w:r w:rsidR="00992FD0" w:rsidRPr="00EC250C">
        <w:rPr>
          <w:szCs w:val="24"/>
        </w:rPr>
        <w:t xml:space="preserve"> w </w:t>
      </w:r>
      <w:r w:rsidRPr="00EC250C">
        <w:rPr>
          <w:szCs w:val="24"/>
        </w:rPr>
        <w:t>niektórych europejskich miastach m.in. Barcelonie. RPO zabiega, by wdrażany był także</w:t>
      </w:r>
      <w:r w:rsidR="00992FD0" w:rsidRPr="00EC250C">
        <w:rPr>
          <w:szCs w:val="24"/>
        </w:rPr>
        <w:t xml:space="preserve"> w </w:t>
      </w:r>
      <w:r w:rsidRPr="00EC250C">
        <w:rPr>
          <w:szCs w:val="24"/>
        </w:rPr>
        <w:t>polskich miastach. Karta stanowi, że:</w:t>
      </w:r>
    </w:p>
    <w:p w14:paraId="68DCF2F5" w14:textId="77777777" w:rsidR="00242854" w:rsidRPr="00EC250C" w:rsidRDefault="00242854" w:rsidP="006C70B7">
      <w:pPr>
        <w:pStyle w:val="Styl2"/>
        <w:numPr>
          <w:ilvl w:val="0"/>
          <w:numId w:val="85"/>
        </w:numPr>
        <w:ind w:left="357" w:hanging="357"/>
        <w:contextualSpacing/>
        <w:rPr>
          <w:szCs w:val="24"/>
        </w:rPr>
      </w:pPr>
      <w:r w:rsidRPr="00EC250C">
        <w:rPr>
          <w:szCs w:val="24"/>
        </w:rPr>
        <w:t>najważniejszym prawem osoby</w:t>
      </w:r>
      <w:r w:rsidR="00992FD0" w:rsidRPr="00EC250C">
        <w:rPr>
          <w:szCs w:val="24"/>
        </w:rPr>
        <w:t xml:space="preserve"> w </w:t>
      </w:r>
      <w:r w:rsidRPr="00EC250C">
        <w:rPr>
          <w:szCs w:val="24"/>
        </w:rPr>
        <w:t>kryzysie bezdomności jest prawo do wyjścia</w:t>
      </w:r>
      <w:r w:rsidR="00992FD0" w:rsidRPr="00EC250C">
        <w:rPr>
          <w:szCs w:val="24"/>
        </w:rPr>
        <w:t xml:space="preserve"> z </w:t>
      </w:r>
      <w:r w:rsidRPr="00EC250C">
        <w:rPr>
          <w:szCs w:val="24"/>
        </w:rPr>
        <w:t>bezdomności. Usługi umożliwiające dostęp do odpowiednich rozwiązań opartych na mieszkaniach muszą być dostępne dla wszystkich doświadczających bezdomności;</w:t>
      </w:r>
    </w:p>
    <w:p w14:paraId="7F619943" w14:textId="77777777" w:rsidR="00242854" w:rsidRPr="00EC250C" w:rsidRDefault="00242854" w:rsidP="006C70B7">
      <w:pPr>
        <w:pStyle w:val="Styl2"/>
        <w:numPr>
          <w:ilvl w:val="0"/>
          <w:numId w:val="85"/>
        </w:numPr>
        <w:ind w:left="357" w:hanging="357"/>
        <w:contextualSpacing/>
        <w:rPr>
          <w:szCs w:val="24"/>
        </w:rPr>
      </w:pPr>
      <w:r w:rsidRPr="00EC250C">
        <w:rPr>
          <w:szCs w:val="24"/>
        </w:rPr>
        <w:t>gdy niemożliwe jest niezwłoczne zapewnienie mieszkania osobie doświadczającej bezdomności, należy zagwarantować jej dostęp do godnego tymczasowego schronienia;</w:t>
      </w:r>
    </w:p>
    <w:p w14:paraId="5E418DA2" w14:textId="77777777" w:rsidR="00242854" w:rsidRPr="00EC250C" w:rsidRDefault="00242854" w:rsidP="006C70B7">
      <w:pPr>
        <w:pStyle w:val="Styl2"/>
        <w:numPr>
          <w:ilvl w:val="0"/>
          <w:numId w:val="85"/>
        </w:numPr>
        <w:ind w:left="357" w:hanging="357"/>
        <w:contextualSpacing/>
        <w:rPr>
          <w:szCs w:val="24"/>
        </w:rPr>
      </w:pPr>
      <w:r w:rsidRPr="00EC250C">
        <w:rPr>
          <w:szCs w:val="24"/>
        </w:rPr>
        <w:t xml:space="preserve">jeżeli Rada </w:t>
      </w:r>
      <w:r w:rsidR="00F736E6" w:rsidRPr="00EC250C">
        <w:rPr>
          <w:szCs w:val="24"/>
        </w:rPr>
        <w:t xml:space="preserve">Miasta </w:t>
      </w:r>
      <w:r w:rsidRPr="00EC250C">
        <w:rPr>
          <w:szCs w:val="24"/>
        </w:rPr>
        <w:t>nie będzie</w:t>
      </w:r>
      <w:r w:rsidR="00992FD0" w:rsidRPr="00EC250C">
        <w:rPr>
          <w:szCs w:val="24"/>
        </w:rPr>
        <w:t xml:space="preserve"> w </w:t>
      </w:r>
      <w:r w:rsidRPr="00EC250C">
        <w:rPr>
          <w:szCs w:val="24"/>
        </w:rPr>
        <w:t>stanie zapewnić odpowiednich usług</w:t>
      </w:r>
      <w:r w:rsidR="00992FD0" w:rsidRPr="00EC250C">
        <w:rPr>
          <w:szCs w:val="24"/>
        </w:rPr>
        <w:t xml:space="preserve"> w </w:t>
      </w:r>
      <w:r w:rsidRPr="00EC250C">
        <w:rPr>
          <w:szCs w:val="24"/>
        </w:rPr>
        <w:t>zakresie tymczasowego schronienia, zobowiązuje się zapewnić prawo dostępu do podstawowych, publicznie dostępnych, urządzeń sanitarnych: bieżącej wody (kranów</w:t>
      </w:r>
      <w:r w:rsidR="00992FD0" w:rsidRPr="00EC250C">
        <w:rPr>
          <w:szCs w:val="24"/>
        </w:rPr>
        <w:t xml:space="preserve"> z </w:t>
      </w:r>
      <w:r w:rsidRPr="00EC250C">
        <w:rPr>
          <w:szCs w:val="24"/>
        </w:rPr>
        <w:t>wodą pitną), pryszniców</w:t>
      </w:r>
      <w:r w:rsidR="00992FD0" w:rsidRPr="00EC250C">
        <w:rPr>
          <w:szCs w:val="24"/>
        </w:rPr>
        <w:t xml:space="preserve"> i </w:t>
      </w:r>
      <w:r w:rsidRPr="00EC250C">
        <w:rPr>
          <w:szCs w:val="24"/>
        </w:rPr>
        <w:t>toalet umożliwiających utrzymanie poziomu higieny gwarantującego zachowanie godności człowieka;</w:t>
      </w:r>
    </w:p>
    <w:p w14:paraId="13E36814" w14:textId="77777777" w:rsidR="00242854" w:rsidRPr="00EC250C" w:rsidRDefault="00242854" w:rsidP="006C70B7">
      <w:pPr>
        <w:pStyle w:val="Styl2"/>
        <w:numPr>
          <w:ilvl w:val="0"/>
          <w:numId w:val="85"/>
        </w:numPr>
        <w:ind w:left="357" w:hanging="357"/>
        <w:contextualSpacing/>
        <w:rPr>
          <w:szCs w:val="24"/>
        </w:rPr>
      </w:pPr>
      <w:r w:rsidRPr="00EC250C">
        <w:rPr>
          <w:szCs w:val="24"/>
        </w:rPr>
        <w:t>osoby doświadczające bezdomności mają takie samo prawo do korzystania</w:t>
      </w:r>
      <w:r w:rsidR="00992FD0" w:rsidRPr="00EC250C">
        <w:rPr>
          <w:szCs w:val="24"/>
        </w:rPr>
        <w:t xml:space="preserve"> z </w:t>
      </w:r>
      <w:r w:rsidRPr="00EC250C">
        <w:rPr>
          <w:szCs w:val="24"/>
        </w:rPr>
        <w:t>przestrzeni publicznej oraz do swobodnego poruszania się</w:t>
      </w:r>
      <w:r w:rsidR="00992FD0" w:rsidRPr="00EC250C">
        <w:rPr>
          <w:szCs w:val="24"/>
        </w:rPr>
        <w:t xml:space="preserve"> w </w:t>
      </w:r>
      <w:r w:rsidRPr="00EC250C">
        <w:rPr>
          <w:szCs w:val="24"/>
        </w:rPr>
        <w:t>niej. Obejmuje to między innymi dostęp do chodników, publicznych parków, transportu publicznego</w:t>
      </w:r>
      <w:r w:rsidR="00992FD0" w:rsidRPr="00EC250C">
        <w:rPr>
          <w:szCs w:val="24"/>
        </w:rPr>
        <w:t xml:space="preserve"> i </w:t>
      </w:r>
      <w:r w:rsidRPr="00EC250C">
        <w:rPr>
          <w:szCs w:val="24"/>
        </w:rPr>
        <w:t>budynków publicznych na takich samych warunkach, jakie odnoszą się do innych mieszkańców;</w:t>
      </w:r>
    </w:p>
    <w:p w14:paraId="161C9425" w14:textId="77777777" w:rsidR="00242854" w:rsidRPr="00EC250C" w:rsidRDefault="00242854" w:rsidP="006C70B7">
      <w:pPr>
        <w:pStyle w:val="Styl2"/>
        <w:numPr>
          <w:ilvl w:val="0"/>
          <w:numId w:val="85"/>
        </w:numPr>
        <w:ind w:left="357" w:hanging="357"/>
        <w:contextualSpacing/>
        <w:rPr>
          <w:szCs w:val="24"/>
        </w:rPr>
      </w:pPr>
      <w:r w:rsidRPr="00EC250C">
        <w:rPr>
          <w:szCs w:val="24"/>
        </w:rPr>
        <w:t xml:space="preserve">Rada </w:t>
      </w:r>
      <w:r w:rsidR="00F736E6" w:rsidRPr="00EC250C">
        <w:rPr>
          <w:szCs w:val="24"/>
        </w:rPr>
        <w:t xml:space="preserve">Miasta </w:t>
      </w:r>
      <w:r w:rsidRPr="00EC250C">
        <w:rPr>
          <w:szCs w:val="24"/>
        </w:rPr>
        <w:t>zobowiązuje się zapewnić, by pracownicy świadczący usługi szanowali prawo do równego traktowania wszystkich ludzi, nie dyskryminując osób nie mających domu;</w:t>
      </w:r>
    </w:p>
    <w:p w14:paraId="616C10DA" w14:textId="77777777" w:rsidR="00C91F6E" w:rsidRPr="00EC250C" w:rsidRDefault="00242854" w:rsidP="006C70B7">
      <w:pPr>
        <w:pStyle w:val="Styl2"/>
        <w:numPr>
          <w:ilvl w:val="0"/>
          <w:numId w:val="85"/>
        </w:numPr>
        <w:ind w:left="357" w:hanging="357"/>
        <w:contextualSpacing/>
        <w:rPr>
          <w:szCs w:val="24"/>
        </w:rPr>
      </w:pPr>
      <w:r w:rsidRPr="00EC250C">
        <w:rPr>
          <w:szCs w:val="24"/>
        </w:rPr>
        <w:lastRenderedPageBreak/>
        <w:t>prawo do usług ratujących życie: pomocy społecznej, służby zdrowia, policji</w:t>
      </w:r>
      <w:r w:rsidR="00992FD0" w:rsidRPr="00EC250C">
        <w:rPr>
          <w:szCs w:val="24"/>
        </w:rPr>
        <w:t xml:space="preserve"> i </w:t>
      </w:r>
      <w:r w:rsidRPr="00EC250C">
        <w:rPr>
          <w:szCs w:val="24"/>
        </w:rPr>
        <w:t>straży pożarnej na takich samych warunkach, jak</w:t>
      </w:r>
      <w:r w:rsidR="00992FD0" w:rsidRPr="00EC250C">
        <w:rPr>
          <w:szCs w:val="24"/>
        </w:rPr>
        <w:t xml:space="preserve"> w </w:t>
      </w:r>
      <w:r w:rsidRPr="00EC250C">
        <w:rPr>
          <w:szCs w:val="24"/>
        </w:rPr>
        <w:t>przypadku pozostałych mieszkańców, bez dyskryminacji ze względu na sytuację mieszkaniową lub wygląd zewnętrzny;</w:t>
      </w:r>
    </w:p>
    <w:p w14:paraId="09CF6AFE" w14:textId="77777777" w:rsidR="00242854" w:rsidRPr="00EC250C" w:rsidRDefault="00242854" w:rsidP="006C70B7">
      <w:pPr>
        <w:pStyle w:val="Styl2"/>
        <w:numPr>
          <w:ilvl w:val="0"/>
          <w:numId w:val="85"/>
        </w:numPr>
        <w:ind w:left="357" w:hanging="357"/>
        <w:contextualSpacing/>
        <w:rPr>
          <w:szCs w:val="24"/>
        </w:rPr>
      </w:pPr>
      <w:r w:rsidRPr="00EC250C">
        <w:rPr>
          <w:szCs w:val="24"/>
        </w:rPr>
        <w:t>prawo do udziału</w:t>
      </w:r>
      <w:r w:rsidR="00992FD0" w:rsidRPr="00EC250C">
        <w:rPr>
          <w:szCs w:val="24"/>
        </w:rPr>
        <w:t xml:space="preserve"> w </w:t>
      </w:r>
      <w:r w:rsidRPr="00EC250C">
        <w:rPr>
          <w:szCs w:val="24"/>
        </w:rPr>
        <w:t>wyborach</w:t>
      </w:r>
      <w:r w:rsidR="00992FD0" w:rsidRPr="00EC250C">
        <w:rPr>
          <w:szCs w:val="24"/>
        </w:rPr>
        <w:t xml:space="preserve"> i </w:t>
      </w:r>
      <w:r w:rsidRPr="00EC250C">
        <w:rPr>
          <w:szCs w:val="24"/>
        </w:rPr>
        <w:t>związanego</w:t>
      </w:r>
      <w:r w:rsidR="00992FD0" w:rsidRPr="00EC250C">
        <w:rPr>
          <w:szCs w:val="24"/>
        </w:rPr>
        <w:t xml:space="preserve"> z </w:t>
      </w:r>
      <w:r w:rsidRPr="00EC250C">
        <w:rPr>
          <w:szCs w:val="24"/>
        </w:rPr>
        <w:t>tym wpisania do rejestru wyborców oraz otrzymania niezbędnych dokumentów;</w:t>
      </w:r>
    </w:p>
    <w:p w14:paraId="7548460C" w14:textId="77777777" w:rsidR="00242854" w:rsidRPr="00EC250C" w:rsidRDefault="00242854" w:rsidP="006C70B7">
      <w:pPr>
        <w:pStyle w:val="Styl2"/>
        <w:numPr>
          <w:ilvl w:val="0"/>
          <w:numId w:val="85"/>
        </w:numPr>
        <w:ind w:left="357" w:hanging="357"/>
        <w:contextualSpacing/>
        <w:rPr>
          <w:szCs w:val="24"/>
        </w:rPr>
      </w:pPr>
      <w:r w:rsidRPr="00EC250C">
        <w:rPr>
          <w:szCs w:val="24"/>
        </w:rPr>
        <w:t>prawo do ochrony danych osobowych, poprzez przetwarzanie danych osobowych osób doświadczających bezdomności przez instytucje publiczne</w:t>
      </w:r>
      <w:r w:rsidR="00992FD0" w:rsidRPr="00EC250C">
        <w:rPr>
          <w:szCs w:val="24"/>
        </w:rPr>
        <w:t xml:space="preserve"> i </w:t>
      </w:r>
      <w:r w:rsidRPr="00EC250C">
        <w:rPr>
          <w:szCs w:val="24"/>
        </w:rPr>
        <w:t>organizacje pozarządowe wyłącznie za zgodą tych osób, jedynie</w:t>
      </w:r>
      <w:r w:rsidR="00992FD0" w:rsidRPr="00EC250C">
        <w:rPr>
          <w:szCs w:val="24"/>
        </w:rPr>
        <w:t xml:space="preserve"> w </w:t>
      </w:r>
      <w:r w:rsidRPr="00EC250C">
        <w:rPr>
          <w:szCs w:val="24"/>
        </w:rPr>
        <w:t>celu świadczenia usług na ich rzecz oraz rozwiązywania ich problemów;</w:t>
      </w:r>
    </w:p>
    <w:p w14:paraId="70B427E7" w14:textId="77777777" w:rsidR="00242854" w:rsidRPr="00EC250C" w:rsidRDefault="00242854" w:rsidP="006C70B7">
      <w:pPr>
        <w:pStyle w:val="Styl2"/>
        <w:numPr>
          <w:ilvl w:val="0"/>
          <w:numId w:val="85"/>
        </w:numPr>
        <w:ind w:left="357" w:hanging="357"/>
        <w:contextualSpacing/>
        <w:rPr>
          <w:szCs w:val="24"/>
        </w:rPr>
      </w:pPr>
      <w:r w:rsidRPr="00EC250C">
        <w:rPr>
          <w:szCs w:val="24"/>
        </w:rPr>
        <w:t>prawo do prywatności musi być szanowane</w:t>
      </w:r>
      <w:r w:rsidR="00992FD0" w:rsidRPr="00EC250C">
        <w:rPr>
          <w:szCs w:val="24"/>
        </w:rPr>
        <w:t xml:space="preserve"> i </w:t>
      </w:r>
      <w:r w:rsidRPr="00EC250C">
        <w:rPr>
          <w:szCs w:val="24"/>
        </w:rPr>
        <w:t>chronione</w:t>
      </w:r>
      <w:r w:rsidR="00992FD0" w:rsidRPr="00EC250C">
        <w:rPr>
          <w:szCs w:val="24"/>
        </w:rPr>
        <w:t xml:space="preserve"> w </w:t>
      </w:r>
      <w:r w:rsidRPr="00EC250C">
        <w:rPr>
          <w:szCs w:val="24"/>
        </w:rPr>
        <w:t>najszerszym możliwym zakresie we wszystkich miejscach</w:t>
      </w:r>
      <w:r w:rsidR="00992FD0" w:rsidRPr="00EC250C">
        <w:rPr>
          <w:szCs w:val="24"/>
        </w:rPr>
        <w:t xml:space="preserve"> w </w:t>
      </w:r>
      <w:r w:rsidRPr="00EC250C">
        <w:rPr>
          <w:szCs w:val="24"/>
        </w:rPr>
        <w:t>których przebywają</w:t>
      </w:r>
      <w:r w:rsidR="00992FD0" w:rsidRPr="00EC250C">
        <w:rPr>
          <w:szCs w:val="24"/>
        </w:rPr>
        <w:t xml:space="preserve"> i </w:t>
      </w:r>
      <w:r w:rsidRPr="00EC250C">
        <w:rPr>
          <w:szCs w:val="24"/>
        </w:rPr>
        <w:t>zamieszkują osoby doświadczające bezdomności;</w:t>
      </w:r>
    </w:p>
    <w:p w14:paraId="4A6BB856" w14:textId="77777777" w:rsidR="00242854" w:rsidRPr="00EC250C" w:rsidRDefault="00242854" w:rsidP="006C70B7">
      <w:pPr>
        <w:pStyle w:val="Styl2"/>
        <w:numPr>
          <w:ilvl w:val="0"/>
          <w:numId w:val="85"/>
        </w:numPr>
        <w:ind w:left="357" w:hanging="357"/>
        <w:contextualSpacing/>
        <w:rPr>
          <w:szCs w:val="24"/>
        </w:rPr>
      </w:pPr>
      <w:r w:rsidRPr="00EC250C">
        <w:rPr>
          <w:szCs w:val="24"/>
        </w:rPr>
        <w:t>dążąc do tego by nikt nie był zmuszony do podejmowania takich czynności, uznajemy jednak, że niektóre osoby, nie mając innej możliwości, będą szukać wsparcia poprzez żebractwo czy zbieractwo wyrzuconej żywności by przetrwać. Praktyki te same</w:t>
      </w:r>
      <w:r w:rsidR="00992FD0" w:rsidRPr="00EC250C">
        <w:rPr>
          <w:szCs w:val="24"/>
        </w:rPr>
        <w:t xml:space="preserve"> w </w:t>
      </w:r>
      <w:r w:rsidRPr="00EC250C">
        <w:rPr>
          <w:szCs w:val="24"/>
        </w:rPr>
        <w:t>sobie nie powinny być kryminalizowane, zabronione czy arbitralnie ograniczone do określonych obszarów.</w:t>
      </w:r>
    </w:p>
    <w:p w14:paraId="218B98FB" w14:textId="77777777" w:rsidR="00242854" w:rsidRPr="00EC250C" w:rsidRDefault="00242854" w:rsidP="00D131FA">
      <w:pPr>
        <w:pStyle w:val="Styl2"/>
        <w:spacing w:before="240"/>
        <w:rPr>
          <w:szCs w:val="24"/>
        </w:rPr>
      </w:pPr>
      <w:r w:rsidRPr="00EC250C">
        <w:rPr>
          <w:szCs w:val="24"/>
        </w:rPr>
        <w:t>Rzecznik Praw Obywatelskich od lat zajmuje się problematyką przeciwdziałania bezdomności. Podkreśla, że osoby bezdomne</w:t>
      </w:r>
      <w:r w:rsidR="00CC4D88" w:rsidRPr="00EC250C">
        <w:rPr>
          <w:szCs w:val="24"/>
        </w:rPr>
        <w:t xml:space="preserve"> </w:t>
      </w:r>
      <w:r w:rsidRPr="00EC250C">
        <w:rPr>
          <w:szCs w:val="24"/>
        </w:rPr>
        <w:t>to jedna</w:t>
      </w:r>
      <w:r w:rsidR="00992FD0" w:rsidRPr="00EC250C">
        <w:rPr>
          <w:szCs w:val="24"/>
        </w:rPr>
        <w:t xml:space="preserve"> z </w:t>
      </w:r>
      <w:r w:rsidRPr="00EC250C">
        <w:rPr>
          <w:szCs w:val="24"/>
        </w:rPr>
        <w:t>najsłabszych grup, stygmatyzowana przez swój status. Według oficjalnych danych jest ich</w:t>
      </w:r>
      <w:r w:rsidR="00992FD0" w:rsidRPr="00EC250C">
        <w:rPr>
          <w:szCs w:val="24"/>
        </w:rPr>
        <w:t xml:space="preserve"> w </w:t>
      </w:r>
      <w:r w:rsidRPr="00EC250C">
        <w:rPr>
          <w:szCs w:val="24"/>
        </w:rPr>
        <w:t>Polsce. 30 tys. Organizacje pozarządowe uznają t</w:t>
      </w:r>
      <w:r w:rsidR="00B06A20" w:rsidRPr="00EC250C">
        <w:rPr>
          <w:szCs w:val="24"/>
        </w:rPr>
        <w:t>ę</w:t>
      </w:r>
      <w:r w:rsidRPr="00EC250C">
        <w:rPr>
          <w:szCs w:val="24"/>
        </w:rPr>
        <w:t xml:space="preserve"> liczbę za niedoszacowaną</w:t>
      </w:r>
      <w:r w:rsidRPr="00EC250C">
        <w:rPr>
          <w:rStyle w:val="Odwoanieprzypisudolnego"/>
          <w:szCs w:val="24"/>
        </w:rPr>
        <w:footnoteReference w:id="668"/>
      </w:r>
      <w:r w:rsidRPr="00EC250C">
        <w:rPr>
          <w:szCs w:val="24"/>
        </w:rPr>
        <w:t>.</w:t>
      </w:r>
    </w:p>
    <w:p w14:paraId="03789194" w14:textId="77777777" w:rsidR="00E12373" w:rsidRPr="00EC250C" w:rsidRDefault="00E12373" w:rsidP="00D131FA">
      <w:pPr>
        <w:pStyle w:val="ODESANIE"/>
        <w:jc w:val="both"/>
      </w:pPr>
      <w:r w:rsidRPr="00EC250C">
        <w:t>Problem bezdomności jako wyzwania dla samorządów lokalnych był tematem jednego</w:t>
      </w:r>
      <w:r w:rsidR="00992FD0" w:rsidRPr="00EC250C">
        <w:t xml:space="preserve"> z </w:t>
      </w:r>
      <w:r w:rsidRPr="00EC250C">
        <w:t xml:space="preserve">paneli II Kongresu Praw Obywatelskich. </w:t>
      </w:r>
      <w:r w:rsidR="00BD0A0E" w:rsidRPr="00EC250C">
        <w:t>W jego trakcie wiceprezydent Warszawy Paweł Rabiej zadeklarował, że miasto przyjmie „Kartę…” Pełna r</w:t>
      </w:r>
      <w:r w:rsidRPr="00EC250C">
        <w:t>elacja dostępna jest na portalu Kongresu</w:t>
      </w:r>
      <w:r w:rsidRPr="00EC250C">
        <w:rPr>
          <w:rStyle w:val="Odwoanieprzypisudolnego"/>
        </w:rPr>
        <w:footnoteReference w:id="669"/>
      </w:r>
    </w:p>
    <w:p w14:paraId="43759DAD" w14:textId="77777777" w:rsidR="00C91F6E" w:rsidRPr="00EC250C" w:rsidRDefault="00666014" w:rsidP="00EC79EB">
      <w:pPr>
        <w:pStyle w:val="Nagwek4"/>
      </w:pPr>
      <w:bookmarkStart w:id="661" w:name="_Toc11247811"/>
      <w:r w:rsidRPr="00EC250C">
        <w:t>Problemy spółdzielczości mieszkaniowej</w:t>
      </w:r>
      <w:bookmarkEnd w:id="661"/>
    </w:p>
    <w:bookmarkEnd w:id="655"/>
    <w:p w14:paraId="122ED78F" w14:textId="77777777" w:rsidR="00F4334B" w:rsidRPr="00EC250C" w:rsidRDefault="00F4334B" w:rsidP="00EC250C">
      <w:pPr>
        <w:pStyle w:val="Nagwek5"/>
      </w:pPr>
      <w:r w:rsidRPr="00EC250C">
        <w:t>Niewdrożone zasady demokracji bezpośredniej</w:t>
      </w:r>
      <w:r w:rsidR="00992FD0" w:rsidRPr="00EC250C">
        <w:t xml:space="preserve"> w </w:t>
      </w:r>
      <w:r w:rsidRPr="00EC250C">
        <w:t>spółdzielniach</w:t>
      </w:r>
    </w:p>
    <w:p w14:paraId="2A103708" w14:textId="77777777" w:rsidR="00B473F5" w:rsidRPr="00EC250C" w:rsidRDefault="00666014" w:rsidP="00D131FA">
      <w:pPr>
        <w:pStyle w:val="Problemczowieka"/>
        <w:jc w:val="both"/>
      </w:pPr>
      <w:r w:rsidRPr="00EC250C">
        <w:rPr>
          <w:bdr w:val="none" w:sz="0" w:space="0" w:color="auto" w:frame="1"/>
        </w:rPr>
        <w:t>Nadal są spółdzielnie mieszkaniowe,</w:t>
      </w:r>
      <w:r w:rsidR="00992FD0" w:rsidRPr="00EC250C">
        <w:rPr>
          <w:bdr w:val="none" w:sz="0" w:space="0" w:color="auto" w:frame="1"/>
        </w:rPr>
        <w:t xml:space="preserve"> w </w:t>
      </w:r>
      <w:r w:rsidRPr="00EC250C">
        <w:rPr>
          <w:bdr w:val="none" w:sz="0" w:space="0" w:color="auto" w:frame="1"/>
        </w:rPr>
        <w:t>których najwyższym organem jest zebranie przedstawicieli,</w:t>
      </w:r>
      <w:r w:rsidR="00992FD0" w:rsidRPr="00EC250C">
        <w:rPr>
          <w:bdr w:val="none" w:sz="0" w:space="0" w:color="auto" w:frame="1"/>
        </w:rPr>
        <w:t xml:space="preserve"> a </w:t>
      </w:r>
      <w:r w:rsidRPr="00EC250C">
        <w:rPr>
          <w:bdr w:val="none" w:sz="0" w:space="0" w:color="auto" w:frame="1"/>
        </w:rPr>
        <w:t>nie walne zgromadzenie wszystkich członków spółdzielni</w:t>
      </w:r>
      <w:r w:rsidR="00F4334B" w:rsidRPr="00EC250C">
        <w:rPr>
          <w:bdr w:val="none" w:sz="0" w:space="0" w:color="auto" w:frame="1"/>
        </w:rPr>
        <w:t>. Spółdzielcy nie mogą wyegzekwować zmiany, jeśli za</w:t>
      </w:r>
      <w:r w:rsidR="00F4334B" w:rsidRPr="00EC250C">
        <w:rPr>
          <w:bCs/>
          <w:iCs/>
        </w:rPr>
        <w:t>blokuje ją często nieliczna</w:t>
      </w:r>
      <w:r w:rsidR="00992FD0" w:rsidRPr="00EC250C">
        <w:rPr>
          <w:bCs/>
          <w:iCs/>
        </w:rPr>
        <w:t xml:space="preserve"> i </w:t>
      </w:r>
      <w:r w:rsidR="00F4334B" w:rsidRPr="00EC250C">
        <w:rPr>
          <w:bCs/>
          <w:iCs/>
        </w:rPr>
        <w:t>niereprezentatywna grupa członków, wybranych przed laty jako przedstawiciele</w:t>
      </w:r>
      <w:r w:rsidR="00B473F5" w:rsidRPr="00EC250C">
        <w:rPr>
          <w:bCs/>
          <w:iCs/>
        </w:rPr>
        <w:t>.</w:t>
      </w:r>
    </w:p>
    <w:p w14:paraId="4B1BFC95" w14:textId="77777777" w:rsidR="00C91F6E" w:rsidRPr="00EC250C" w:rsidRDefault="00666014" w:rsidP="00D131FA">
      <w:pPr>
        <w:pStyle w:val="Styl1"/>
        <w:rPr>
          <w:bdr w:val="none" w:sz="0" w:space="0" w:color="auto" w:frame="1"/>
        </w:rPr>
      </w:pPr>
      <w:r w:rsidRPr="00EC250C">
        <w:rPr>
          <w:bdr w:val="none" w:sz="0" w:space="0" w:color="auto" w:frame="1"/>
        </w:rPr>
        <w:t>Choć ustawa</w:t>
      </w:r>
      <w:r w:rsidR="00992FD0" w:rsidRPr="00EC250C">
        <w:rPr>
          <w:bdr w:val="none" w:sz="0" w:space="0" w:color="auto" w:frame="1"/>
        </w:rPr>
        <w:t xml:space="preserve"> z </w:t>
      </w:r>
      <w:r w:rsidRPr="00EC250C">
        <w:rPr>
          <w:bdr w:val="none" w:sz="0" w:space="0" w:color="auto" w:frame="1"/>
        </w:rPr>
        <w:t>2007</w:t>
      </w:r>
      <w:r w:rsidR="00C91F6E" w:rsidRPr="00EC250C">
        <w:rPr>
          <w:bdr w:val="none" w:sz="0" w:space="0" w:color="auto" w:frame="1"/>
        </w:rPr>
        <w:t> r.</w:t>
      </w:r>
      <w:r w:rsidR="00F4334B" w:rsidRPr="00EC250C">
        <w:rPr>
          <w:rStyle w:val="Odwoanieprzypisudolnego"/>
          <w:bCs/>
          <w:iCs/>
        </w:rPr>
        <w:t xml:space="preserve"> </w:t>
      </w:r>
      <w:r w:rsidR="00F4334B" w:rsidRPr="00EC250C">
        <w:rPr>
          <w:rStyle w:val="Odwoanieprzypisudolnego"/>
          <w:bCs/>
          <w:iCs/>
        </w:rPr>
        <w:footnoteReference w:id="670"/>
      </w:r>
      <w:r w:rsidRPr="00EC250C">
        <w:rPr>
          <w:bdr w:val="none" w:sz="0" w:space="0" w:color="auto" w:frame="1"/>
        </w:rPr>
        <w:t xml:space="preserve"> stworzyła podstawę do realizowania</w:t>
      </w:r>
      <w:r w:rsidR="00992FD0" w:rsidRPr="00EC250C">
        <w:rPr>
          <w:bdr w:val="none" w:sz="0" w:space="0" w:color="auto" w:frame="1"/>
        </w:rPr>
        <w:t xml:space="preserve"> w </w:t>
      </w:r>
      <w:r w:rsidRPr="00EC250C">
        <w:rPr>
          <w:bdr w:val="none" w:sz="0" w:space="0" w:color="auto" w:frame="1"/>
        </w:rPr>
        <w:t>spółdzielniach zasad demokracji bezpośredniej, okazało się to częściowo iluzoryczne</w:t>
      </w:r>
      <w:r w:rsidR="00F4334B" w:rsidRPr="00EC250C">
        <w:rPr>
          <w:bdr w:val="none" w:sz="0" w:space="0" w:color="auto" w:frame="1"/>
        </w:rPr>
        <w:t xml:space="preserve">. Nie ma żadnych sankcji prawnych, </w:t>
      </w:r>
      <w:r w:rsidR="00930EED" w:rsidRPr="00EC250C">
        <w:rPr>
          <w:bdr w:val="none" w:sz="0" w:space="0" w:color="auto" w:frame="1"/>
        </w:rPr>
        <w:t>k</w:t>
      </w:r>
      <w:r w:rsidR="00930EED" w:rsidRPr="00EC250C">
        <w:t>tóre wymusiłyby na zebraniu przedstawicieli realizację obowiązku zmiany statutu spółdzielni,</w:t>
      </w:r>
      <w:r w:rsidR="00992FD0" w:rsidRPr="00EC250C">
        <w:t xml:space="preserve"> w </w:t>
      </w:r>
      <w:r w:rsidR="00930EED" w:rsidRPr="00EC250C">
        <w:t>tym zastąpienia zebrania przedstawicieli walnym zgromadzeniem wszystkich członków</w:t>
      </w:r>
      <w:r w:rsidR="00026572" w:rsidRPr="00EC250C">
        <w:t xml:space="preserve"> – </w:t>
      </w:r>
      <w:r w:rsidRPr="00EC250C">
        <w:rPr>
          <w:bdr w:val="none" w:sz="0" w:space="0" w:color="auto" w:frame="1"/>
        </w:rPr>
        <w:t>podkreśla RPO</w:t>
      </w:r>
      <w:r w:rsidR="00992FD0" w:rsidRPr="00EC250C">
        <w:rPr>
          <w:bdr w:val="none" w:sz="0" w:space="0" w:color="auto" w:frame="1"/>
        </w:rPr>
        <w:t xml:space="preserve"> w </w:t>
      </w:r>
      <w:r w:rsidR="00F4334B" w:rsidRPr="00EC250C">
        <w:rPr>
          <w:bdr w:val="none" w:sz="0" w:space="0" w:color="auto" w:frame="1"/>
        </w:rPr>
        <w:t>wystąpieniu do Ministra Inwestycji</w:t>
      </w:r>
      <w:r w:rsidR="00992FD0" w:rsidRPr="00EC250C">
        <w:rPr>
          <w:bdr w:val="none" w:sz="0" w:space="0" w:color="auto" w:frame="1"/>
        </w:rPr>
        <w:t xml:space="preserve"> i </w:t>
      </w:r>
      <w:r w:rsidR="00F4334B" w:rsidRPr="00EC250C">
        <w:rPr>
          <w:bdr w:val="none" w:sz="0" w:space="0" w:color="auto" w:frame="1"/>
        </w:rPr>
        <w:t>Rozwoju.</w:t>
      </w:r>
    </w:p>
    <w:p w14:paraId="0BB5AF55" w14:textId="77777777" w:rsidR="00666014" w:rsidRPr="00EC250C" w:rsidRDefault="00666014" w:rsidP="00D131FA">
      <w:pPr>
        <w:pStyle w:val="Styl1"/>
        <w:rPr>
          <w:rFonts w:ascii="Open Sans Regular" w:hAnsi="Open Sans Regular"/>
          <w:color w:val="18223E"/>
          <w:spacing w:val="0"/>
          <w:sz w:val="21"/>
        </w:rPr>
      </w:pPr>
      <w:r w:rsidRPr="00EC250C">
        <w:rPr>
          <w:bdr w:val="none" w:sz="0" w:space="0" w:color="auto" w:frame="1"/>
        </w:rPr>
        <w:lastRenderedPageBreak/>
        <w:t>Do Biura RPO wpływają skargi, że mimo upływu ponad 10 lat nadal funkcjonują spółdzielnie mieszkaniowe,</w:t>
      </w:r>
      <w:r w:rsidR="00992FD0" w:rsidRPr="00EC250C">
        <w:rPr>
          <w:bdr w:val="none" w:sz="0" w:space="0" w:color="auto" w:frame="1"/>
        </w:rPr>
        <w:t xml:space="preserve"> w </w:t>
      </w:r>
      <w:r w:rsidRPr="00EC250C">
        <w:rPr>
          <w:bdr w:val="none" w:sz="0" w:space="0" w:color="auto" w:frame="1"/>
        </w:rPr>
        <w:t>których najwyższym organem jest zebranie przedstawicieli. „Tego stanu rzeczy nie akceptują członkowie spółdzielni, którzy zainteresowani są zwiększeniem swojego wpływu na działalność najwyższego organu spółdzielni poprzez bezpośredni udział</w:t>
      </w:r>
      <w:r w:rsidR="00992FD0" w:rsidRPr="00EC250C">
        <w:rPr>
          <w:bdr w:val="none" w:sz="0" w:space="0" w:color="auto" w:frame="1"/>
        </w:rPr>
        <w:t xml:space="preserve"> w </w:t>
      </w:r>
      <w:r w:rsidRPr="00EC250C">
        <w:rPr>
          <w:bdr w:val="none" w:sz="0" w:space="0" w:color="auto" w:frame="1"/>
        </w:rPr>
        <w:t>posiedzeniach walnych zgromadzeń”</w:t>
      </w:r>
      <w:r w:rsidR="00026572" w:rsidRPr="00EC250C">
        <w:rPr>
          <w:bdr w:val="none" w:sz="0" w:space="0" w:color="auto" w:frame="1"/>
        </w:rPr>
        <w:t xml:space="preserve"> – </w:t>
      </w:r>
      <w:r w:rsidRPr="00EC250C">
        <w:rPr>
          <w:bdr w:val="none" w:sz="0" w:space="0" w:color="auto" w:frame="1"/>
        </w:rPr>
        <w:t xml:space="preserve">napisał </w:t>
      </w:r>
      <w:r w:rsidR="00F4334B" w:rsidRPr="00EC250C">
        <w:rPr>
          <w:bdr w:val="none" w:sz="0" w:space="0" w:color="auto" w:frame="1"/>
        </w:rPr>
        <w:t>RPO</w:t>
      </w:r>
      <w:r w:rsidRPr="00EC250C">
        <w:rPr>
          <w:bdr w:val="none" w:sz="0" w:space="0" w:color="auto" w:frame="1"/>
        </w:rPr>
        <w:t>.</w:t>
      </w:r>
    </w:p>
    <w:p w14:paraId="54140321" w14:textId="77777777" w:rsidR="00666014" w:rsidRPr="00EC250C" w:rsidRDefault="00F4334B" w:rsidP="00D131FA">
      <w:pPr>
        <w:pStyle w:val="Styl1"/>
        <w:rPr>
          <w:rFonts w:ascii="Open Sans Regular" w:hAnsi="Open Sans Regular"/>
          <w:sz w:val="21"/>
        </w:rPr>
      </w:pPr>
      <w:r w:rsidRPr="00EC250C">
        <w:rPr>
          <w:bdr w:val="none" w:sz="0" w:space="0" w:color="auto" w:frame="1"/>
        </w:rPr>
        <w:t>P</w:t>
      </w:r>
      <w:r w:rsidR="00666014" w:rsidRPr="00EC250C">
        <w:rPr>
          <w:bdr w:val="none" w:sz="0" w:space="0" w:color="auto" w:frame="1"/>
        </w:rPr>
        <w:t xml:space="preserve">roblemu </w:t>
      </w:r>
      <w:r w:rsidRPr="00EC250C">
        <w:rPr>
          <w:bdr w:val="none" w:sz="0" w:space="0" w:color="auto" w:frame="1"/>
        </w:rPr>
        <w:t xml:space="preserve">nie da się rozwiązać </w:t>
      </w:r>
      <w:r w:rsidR="00666014" w:rsidRPr="00EC250C">
        <w:rPr>
          <w:bdr w:val="none" w:sz="0" w:space="0" w:color="auto" w:frame="1"/>
        </w:rPr>
        <w:t>bez zmian ustawowych</w:t>
      </w:r>
      <w:r w:rsidRPr="00EC250C">
        <w:rPr>
          <w:bdr w:val="none" w:sz="0" w:space="0" w:color="auto" w:frame="1"/>
        </w:rPr>
        <w:t>.</w:t>
      </w:r>
    </w:p>
    <w:p w14:paraId="1EC8EC1F" w14:textId="77777777" w:rsidR="001A734E" w:rsidRPr="00EC250C" w:rsidRDefault="007A2574" w:rsidP="00D131FA">
      <w:pPr>
        <w:pStyle w:val="Styl1"/>
        <w:rPr>
          <w:bCs/>
          <w:iCs/>
        </w:rPr>
      </w:pPr>
      <w:r w:rsidRPr="00EC250C">
        <w:rPr>
          <w:bCs/>
          <w:iCs/>
        </w:rPr>
        <w:t>Minister</w:t>
      </w:r>
      <w:r w:rsidR="001A734E" w:rsidRPr="00EC250C">
        <w:rPr>
          <w:bCs/>
          <w:iCs/>
        </w:rPr>
        <w:t xml:space="preserve"> poinformował</w:t>
      </w:r>
      <w:r w:rsidR="00F4334B" w:rsidRPr="00EC250C">
        <w:rPr>
          <w:bCs/>
          <w:iCs/>
        </w:rPr>
        <w:t xml:space="preserve">, </w:t>
      </w:r>
      <w:r w:rsidR="001A734E" w:rsidRPr="00EC250C">
        <w:rPr>
          <w:bCs/>
          <w:iCs/>
        </w:rPr>
        <w:t xml:space="preserve">że </w:t>
      </w:r>
      <w:r w:rsidR="00F4334B" w:rsidRPr="00EC250C">
        <w:rPr>
          <w:bCs/>
          <w:iCs/>
        </w:rPr>
        <w:t>rozważy wniosek,</w:t>
      </w:r>
      <w:r w:rsidR="00992FD0" w:rsidRPr="00EC250C">
        <w:rPr>
          <w:bCs/>
          <w:iCs/>
        </w:rPr>
        <w:t xml:space="preserve"> o </w:t>
      </w:r>
      <w:r w:rsidR="00F4334B" w:rsidRPr="00EC250C">
        <w:rPr>
          <w:bCs/>
          <w:iCs/>
        </w:rPr>
        <w:t>ile ustawa</w:t>
      </w:r>
      <w:r w:rsidR="00992FD0" w:rsidRPr="00EC250C">
        <w:rPr>
          <w:bCs/>
          <w:iCs/>
        </w:rPr>
        <w:t xml:space="preserve"> o </w:t>
      </w:r>
      <w:r w:rsidR="00F4334B" w:rsidRPr="00EC250C">
        <w:rPr>
          <w:bCs/>
          <w:iCs/>
        </w:rPr>
        <w:t xml:space="preserve">spółdzielniach mieszkaniowych będzie ponownie zmieniana. Ostatnia duża zmiana została </w:t>
      </w:r>
      <w:r w:rsidR="001A734E" w:rsidRPr="00EC250C">
        <w:rPr>
          <w:bCs/>
          <w:iCs/>
        </w:rPr>
        <w:t>w</w:t>
      </w:r>
      <w:r w:rsidR="00F4334B" w:rsidRPr="00EC250C">
        <w:rPr>
          <w:bCs/>
          <w:iCs/>
        </w:rPr>
        <w:t>prowadzona</w:t>
      </w:r>
      <w:r w:rsidR="00992FD0" w:rsidRPr="00EC250C">
        <w:rPr>
          <w:bCs/>
          <w:iCs/>
        </w:rPr>
        <w:t xml:space="preserve"> w </w:t>
      </w:r>
      <w:r w:rsidR="00F4334B" w:rsidRPr="00EC250C">
        <w:rPr>
          <w:bCs/>
          <w:iCs/>
        </w:rPr>
        <w:t>2017</w:t>
      </w:r>
      <w:r w:rsidR="00C91F6E" w:rsidRPr="00EC250C">
        <w:rPr>
          <w:bCs/>
          <w:iCs/>
        </w:rPr>
        <w:t> r.</w:t>
      </w:r>
      <w:r w:rsidR="00930EED" w:rsidRPr="00EC250C">
        <w:rPr>
          <w:rStyle w:val="Odwoanieprzypisudolnego"/>
          <w:bCs/>
          <w:iCs/>
        </w:rPr>
        <w:t xml:space="preserve"> </w:t>
      </w:r>
      <w:r w:rsidR="00930EED" w:rsidRPr="00EC250C">
        <w:rPr>
          <w:rStyle w:val="Odwoanieprzypisudolnego"/>
          <w:bCs/>
          <w:iCs/>
        </w:rPr>
        <w:footnoteReference w:id="671"/>
      </w:r>
    </w:p>
    <w:p w14:paraId="1D1720A7" w14:textId="77777777" w:rsidR="002B3453" w:rsidRPr="00EC250C" w:rsidRDefault="007D0CC4" w:rsidP="00EC250C">
      <w:pPr>
        <w:pStyle w:val="Nagwek5"/>
      </w:pPr>
      <w:bookmarkStart w:id="662" w:name="_Toc6257936"/>
      <w:r w:rsidRPr="00EC250C">
        <w:t>Skutki nowelizacji ustawy</w:t>
      </w:r>
      <w:r w:rsidR="00992FD0" w:rsidRPr="00EC250C">
        <w:t xml:space="preserve"> o </w:t>
      </w:r>
      <w:r w:rsidRPr="00EC250C">
        <w:t>spółdzielniach mieszkaniowych</w:t>
      </w:r>
      <w:bookmarkEnd w:id="662"/>
      <w:r w:rsidR="00992FD0" w:rsidRPr="00EC250C">
        <w:t xml:space="preserve"> z </w:t>
      </w:r>
      <w:r w:rsidR="00F4334B" w:rsidRPr="00EC250C">
        <w:t>2017</w:t>
      </w:r>
      <w:r w:rsidR="00C91F6E" w:rsidRPr="00EC250C">
        <w:t> r.</w:t>
      </w:r>
      <w:r w:rsidR="00216378" w:rsidRPr="00EC250C">
        <w:t xml:space="preserve"> – pół miliona osób straciło niechcący prawa członkowskie</w:t>
      </w:r>
    </w:p>
    <w:p w14:paraId="1B4C73C6" w14:textId="77777777" w:rsidR="00BD0A0E" w:rsidRPr="00EC250C" w:rsidRDefault="00BD0A0E" w:rsidP="00D131FA">
      <w:pPr>
        <w:pStyle w:val="Problemczowieka"/>
        <w:jc w:val="both"/>
        <w:rPr>
          <w:rStyle w:val="Pogrubienie"/>
          <w:rFonts w:eastAsiaTheme="majorEastAsia"/>
          <w:b/>
          <w:bCs w:val="0"/>
        </w:rPr>
      </w:pPr>
      <w:bookmarkStart w:id="663" w:name="_Hlk8211302"/>
      <w:r w:rsidRPr="00EC250C">
        <w:rPr>
          <w:rStyle w:val="Pogrubienie"/>
          <w:rFonts w:eastAsiaTheme="majorEastAsia"/>
          <w:b/>
          <w:bCs w:val="0"/>
        </w:rPr>
        <w:t>P</w:t>
      </w:r>
      <w:r w:rsidRPr="00EC250C">
        <w:rPr>
          <w:rStyle w:val="Pogrubienie"/>
          <w:rFonts w:eastAsiaTheme="majorEastAsia" w:hint="eastAsia"/>
          <w:b/>
          <w:bCs w:val="0"/>
        </w:rPr>
        <w:t>ół</w:t>
      </w:r>
      <w:r w:rsidRPr="00EC250C">
        <w:rPr>
          <w:rStyle w:val="Pogrubienie"/>
          <w:rFonts w:eastAsiaTheme="majorEastAsia"/>
          <w:b/>
          <w:bCs w:val="0"/>
        </w:rPr>
        <w:t xml:space="preserve"> miliona os</w:t>
      </w:r>
      <w:r w:rsidRPr="00EC250C">
        <w:rPr>
          <w:rStyle w:val="Pogrubienie"/>
          <w:rFonts w:eastAsiaTheme="majorEastAsia" w:hint="eastAsia"/>
          <w:b/>
          <w:bCs w:val="0"/>
        </w:rPr>
        <w:t>ó</w:t>
      </w:r>
      <w:r w:rsidRPr="00EC250C">
        <w:rPr>
          <w:rStyle w:val="Pogrubienie"/>
          <w:rFonts w:eastAsiaTheme="majorEastAsia"/>
          <w:b/>
          <w:bCs w:val="0"/>
        </w:rPr>
        <w:t>b, kt</w:t>
      </w:r>
      <w:r w:rsidRPr="00EC250C">
        <w:rPr>
          <w:rStyle w:val="Pogrubienie"/>
          <w:rFonts w:eastAsiaTheme="majorEastAsia" w:hint="eastAsia"/>
          <w:b/>
          <w:bCs w:val="0"/>
        </w:rPr>
        <w:t>ó</w:t>
      </w:r>
      <w:r w:rsidRPr="00EC250C">
        <w:rPr>
          <w:rStyle w:val="Pogrubienie"/>
          <w:rFonts w:eastAsiaTheme="majorEastAsia"/>
          <w:b/>
          <w:bCs w:val="0"/>
        </w:rPr>
        <w:t>re maj</w:t>
      </w:r>
      <w:r w:rsidRPr="00EC250C">
        <w:rPr>
          <w:rStyle w:val="Pogrubienie"/>
          <w:rFonts w:eastAsiaTheme="majorEastAsia" w:hint="eastAsia"/>
          <w:b/>
          <w:bCs w:val="0"/>
        </w:rPr>
        <w:t>ą</w:t>
      </w:r>
      <w:r w:rsidRPr="00EC250C">
        <w:rPr>
          <w:rStyle w:val="Pogrubienie"/>
          <w:rFonts w:eastAsiaTheme="majorEastAsia"/>
          <w:b/>
          <w:bCs w:val="0"/>
        </w:rPr>
        <w:t xml:space="preserve"> roszczenie o ustanowienie sp</w:t>
      </w:r>
      <w:r w:rsidRPr="00EC250C">
        <w:rPr>
          <w:rStyle w:val="Pogrubienie"/>
          <w:rFonts w:eastAsiaTheme="majorEastAsia" w:hint="eastAsia"/>
          <w:b/>
          <w:bCs w:val="0"/>
        </w:rPr>
        <w:t>ół</w:t>
      </w:r>
      <w:r w:rsidRPr="00EC250C">
        <w:rPr>
          <w:rStyle w:val="Pogrubienie"/>
          <w:rFonts w:eastAsiaTheme="majorEastAsia"/>
          <w:b/>
          <w:bCs w:val="0"/>
        </w:rPr>
        <w:t>dzielczego w</w:t>
      </w:r>
      <w:r w:rsidRPr="00EC250C">
        <w:rPr>
          <w:rStyle w:val="Pogrubienie"/>
          <w:rFonts w:eastAsiaTheme="majorEastAsia" w:hint="eastAsia"/>
          <w:b/>
          <w:bCs w:val="0"/>
        </w:rPr>
        <w:t>ł</w:t>
      </w:r>
      <w:r w:rsidRPr="00EC250C">
        <w:rPr>
          <w:rStyle w:val="Pogrubienie"/>
          <w:rFonts w:eastAsiaTheme="majorEastAsia"/>
          <w:b/>
          <w:bCs w:val="0"/>
        </w:rPr>
        <w:t>asno</w:t>
      </w:r>
      <w:r w:rsidRPr="00EC250C">
        <w:rPr>
          <w:rStyle w:val="Pogrubienie"/>
          <w:rFonts w:eastAsiaTheme="majorEastAsia" w:hint="eastAsia"/>
          <w:b/>
          <w:bCs w:val="0"/>
        </w:rPr>
        <w:t>ś</w:t>
      </w:r>
      <w:r w:rsidRPr="00EC250C">
        <w:rPr>
          <w:rStyle w:val="Pogrubienie"/>
          <w:rFonts w:eastAsiaTheme="majorEastAsia"/>
          <w:b/>
          <w:bCs w:val="0"/>
        </w:rPr>
        <w:t>ciowego prawa do lokalu, traci cz</w:t>
      </w:r>
      <w:r w:rsidRPr="00EC250C">
        <w:rPr>
          <w:rStyle w:val="Pogrubienie"/>
          <w:rFonts w:eastAsiaTheme="majorEastAsia" w:hint="eastAsia"/>
          <w:b/>
          <w:bCs w:val="0"/>
        </w:rPr>
        <w:t>ł</w:t>
      </w:r>
      <w:r w:rsidRPr="00EC250C">
        <w:rPr>
          <w:rStyle w:val="Pogrubienie"/>
          <w:rFonts w:eastAsiaTheme="majorEastAsia"/>
          <w:b/>
          <w:bCs w:val="0"/>
        </w:rPr>
        <w:t>onkostwo sp</w:t>
      </w:r>
      <w:r w:rsidRPr="00EC250C">
        <w:rPr>
          <w:rStyle w:val="Pogrubienie"/>
          <w:rFonts w:eastAsiaTheme="majorEastAsia" w:hint="eastAsia"/>
          <w:b/>
          <w:bCs w:val="0"/>
        </w:rPr>
        <w:t>ół</w:t>
      </w:r>
      <w:r w:rsidRPr="00EC250C">
        <w:rPr>
          <w:rStyle w:val="Pogrubienie"/>
          <w:rFonts w:eastAsiaTheme="majorEastAsia"/>
          <w:b/>
          <w:bCs w:val="0"/>
        </w:rPr>
        <w:t>dzielni z mocy prawa, a bez w</w:t>
      </w:r>
      <w:r w:rsidRPr="00EC250C">
        <w:rPr>
          <w:rStyle w:val="Pogrubienie"/>
          <w:rFonts w:eastAsiaTheme="majorEastAsia" w:hint="eastAsia"/>
          <w:b/>
          <w:bCs w:val="0"/>
        </w:rPr>
        <w:t>ł</w:t>
      </w:r>
      <w:r w:rsidRPr="00EC250C">
        <w:rPr>
          <w:rStyle w:val="Pogrubienie"/>
          <w:rFonts w:eastAsiaTheme="majorEastAsia"/>
          <w:b/>
          <w:bCs w:val="0"/>
        </w:rPr>
        <w:t>asnej winy w wyniku usterki nowelizacji z 2017 </w:t>
      </w:r>
      <w:r w:rsidRPr="00EC250C">
        <w:rPr>
          <w:rStyle w:val="Pogrubienie"/>
          <w:rFonts w:eastAsiaTheme="majorEastAsia" w:hint="eastAsia"/>
          <w:b/>
          <w:bCs w:val="0"/>
        </w:rPr>
        <w:t>r.</w:t>
      </w:r>
    </w:p>
    <w:bookmarkEnd w:id="663"/>
    <w:p w14:paraId="5F0222E2" w14:textId="77777777" w:rsidR="00216378" w:rsidRPr="00EC250C" w:rsidRDefault="00216378" w:rsidP="00D131FA">
      <w:pPr>
        <w:pStyle w:val="Styl1"/>
      </w:pPr>
      <w:r w:rsidRPr="00EC250C">
        <w:t>O naprawienie sytuacji RPO zwrócił się do Ministra Inwestycji</w:t>
      </w:r>
      <w:r w:rsidR="00992FD0" w:rsidRPr="00EC250C">
        <w:t xml:space="preserve"> i </w:t>
      </w:r>
      <w:r w:rsidRPr="00EC250C">
        <w:t>Rozwoju</w:t>
      </w:r>
      <w:r w:rsidRPr="00EC250C">
        <w:rPr>
          <w:rStyle w:val="Odwoanieprzypisudolnego"/>
          <w:bCs/>
        </w:rPr>
        <w:footnoteReference w:id="672"/>
      </w:r>
      <w:r w:rsidRPr="00EC250C">
        <w:t>.</w:t>
      </w:r>
    </w:p>
    <w:p w14:paraId="70011B87" w14:textId="77777777" w:rsidR="00216378" w:rsidRPr="00EC250C" w:rsidRDefault="00216378" w:rsidP="00D131FA">
      <w:pPr>
        <w:pStyle w:val="Styl1"/>
      </w:pPr>
      <w:r w:rsidRPr="00EC250C">
        <w:t>Nowelizacja, która weszła</w:t>
      </w:r>
      <w:r w:rsidR="00992FD0" w:rsidRPr="00EC250C">
        <w:t xml:space="preserve"> w </w:t>
      </w:r>
      <w:r w:rsidRPr="00EC250C">
        <w:t>życie 9 września 2017</w:t>
      </w:r>
      <w:r w:rsidR="00C91F6E" w:rsidRPr="00EC250C">
        <w:t> r.</w:t>
      </w:r>
      <w:r w:rsidRPr="00EC250C">
        <w:rPr>
          <w:rStyle w:val="Odwoanieprzypisudolnego"/>
        </w:rPr>
        <w:footnoteReference w:id="673"/>
      </w:r>
      <w:r w:rsidRPr="00EC250C">
        <w:t>, przewiduje, że członkostwo</w:t>
      </w:r>
      <w:r w:rsidR="00992FD0" w:rsidRPr="00EC250C">
        <w:t xml:space="preserve"> w </w:t>
      </w:r>
      <w:r w:rsidRPr="00EC250C">
        <w:t>spółdzielni tracą wszyscy, którym nie przysługuje spółdzielcze lokatorskie prawo do lokalu, spółdzielcze własnościowe prawo, prawo odrębnej własności czy roszczenie</w:t>
      </w:r>
      <w:r w:rsidR="00992FD0" w:rsidRPr="00EC250C">
        <w:t xml:space="preserve"> o </w:t>
      </w:r>
      <w:r w:rsidRPr="00EC250C">
        <w:t>ustanowienie prawa odrębnej własności lokalu lub roszczenie</w:t>
      </w:r>
      <w:r w:rsidR="00992FD0" w:rsidRPr="00EC250C">
        <w:t xml:space="preserve"> o </w:t>
      </w:r>
      <w:r w:rsidRPr="00EC250C">
        <w:t>ustanowienie spółdzielczego lokatorskiego prawa do lokalu.</w:t>
      </w:r>
    </w:p>
    <w:p w14:paraId="758A0BAA" w14:textId="77777777" w:rsidR="00216378" w:rsidRPr="00EC250C" w:rsidRDefault="00216378" w:rsidP="00D131FA">
      <w:pPr>
        <w:pStyle w:val="Styl1"/>
      </w:pPr>
      <w:r w:rsidRPr="00EC250C">
        <w:t>Ustawodawca zapomniał</w:t>
      </w:r>
      <w:r w:rsidR="00992FD0" w:rsidRPr="00EC250C">
        <w:t xml:space="preserve"> o </w:t>
      </w:r>
      <w:r w:rsidRPr="00EC250C">
        <w:t>roszczeniu</w:t>
      </w:r>
      <w:r w:rsidR="00992FD0" w:rsidRPr="00EC250C">
        <w:t xml:space="preserve"> o </w:t>
      </w:r>
      <w:r w:rsidRPr="00EC250C">
        <w:t>ustanowienie spółdzielczego własnościowego prawa do lokalu. Chodzi</w:t>
      </w:r>
      <w:r w:rsidR="00992FD0" w:rsidRPr="00EC250C">
        <w:t xml:space="preserve"> o </w:t>
      </w:r>
      <w:r w:rsidRPr="00EC250C">
        <w:t>członków spółdzielni, którzy</w:t>
      </w:r>
      <w:r w:rsidR="00992FD0" w:rsidRPr="00EC250C">
        <w:t xml:space="preserve"> w </w:t>
      </w:r>
      <w:r w:rsidRPr="00EC250C">
        <w:t>przeszłości uzyskali przydział spółdzielczego własnościowego prawa do lokalu</w:t>
      </w:r>
      <w:r w:rsidR="00992FD0" w:rsidRPr="00EC250C">
        <w:t xml:space="preserve"> w </w:t>
      </w:r>
      <w:r w:rsidRPr="00EC250C">
        <w:t>budynku położonym na gruncie, do którego spółdzielni nie przysługuje prawo własności albo prawo użytkowania wieczystego. Jak głosi uchwała siedmiu sędziów Sądu Najwyższego</w:t>
      </w:r>
      <w:r w:rsidR="00992FD0" w:rsidRPr="00EC250C">
        <w:t xml:space="preserve"> z </w:t>
      </w:r>
      <w:r w:rsidRPr="00EC250C">
        <w:t>24 maja 2013</w:t>
      </w:r>
      <w:r w:rsidR="00C91F6E" w:rsidRPr="00EC250C">
        <w:t> r.</w:t>
      </w:r>
      <w:r w:rsidRPr="00EC250C">
        <w:rPr>
          <w:rStyle w:val="Odwoanieprzypisudolnego"/>
        </w:rPr>
        <w:t xml:space="preserve"> </w:t>
      </w:r>
      <w:r w:rsidRPr="00EC250C">
        <w:rPr>
          <w:rStyle w:val="Odwoanieprzypisudolnego"/>
        </w:rPr>
        <w:footnoteReference w:id="674"/>
      </w:r>
      <w:r w:rsidRPr="00EC250C">
        <w:t>, takie osoby mają tylko roszczenie (tzw. ekspektatywę) spółdzielczego własnościowego prawa do lokalu.</w:t>
      </w:r>
    </w:p>
    <w:p w14:paraId="4BEE8240" w14:textId="77777777" w:rsidR="00216378" w:rsidRPr="00EC250C" w:rsidRDefault="00B60A08" w:rsidP="00D131FA">
      <w:pPr>
        <w:pStyle w:val="Styl1"/>
      </w:pPr>
      <w:r w:rsidRPr="00EC250C">
        <w:t xml:space="preserve">Spółdzielnie mieszkaniowe przystąpiły w 2018 r. do wykreślania tych osób z rejestru członków. </w:t>
      </w:r>
      <w:r w:rsidR="00216378" w:rsidRPr="00EC250C">
        <w:t xml:space="preserve">Z doniesień medialnych wynika, że może </w:t>
      </w:r>
      <w:r w:rsidRPr="00EC250C">
        <w:t xml:space="preserve">ich </w:t>
      </w:r>
      <w:r w:rsidR="00216378" w:rsidRPr="00EC250C">
        <w:t xml:space="preserve">być ok. pół miliona (w samej Warszawie ok. 300 tysięcy). </w:t>
      </w:r>
    </w:p>
    <w:p w14:paraId="1807B715" w14:textId="77777777" w:rsidR="00216378" w:rsidRPr="00EC250C" w:rsidRDefault="00B60A08" w:rsidP="00D131FA">
      <w:pPr>
        <w:pStyle w:val="Styl1"/>
      </w:pPr>
      <w:r w:rsidRPr="00EC250C">
        <w:t xml:space="preserve">Zdaniem </w:t>
      </w:r>
      <w:r w:rsidR="00216378" w:rsidRPr="00EC250C">
        <w:t>RPO zachodzi realna obawa, iż wykreślenie tych osób</w:t>
      </w:r>
      <w:r w:rsidR="00992FD0" w:rsidRPr="00EC250C">
        <w:t xml:space="preserve"> z </w:t>
      </w:r>
      <w:r w:rsidR="00216378" w:rsidRPr="00EC250C">
        <w:t>rejestru członków spółdzielni spowoduje odebranie przysługujących im uprawnień. Zostaną one pozbawione wpływu na funkcjonowanie spółdzielni</w:t>
      </w:r>
      <w:r w:rsidR="00992FD0" w:rsidRPr="00EC250C">
        <w:t xml:space="preserve"> i </w:t>
      </w:r>
      <w:r w:rsidR="00216378" w:rsidRPr="00EC250C">
        <w:t>współdecydowanie</w:t>
      </w:r>
      <w:r w:rsidR="00992FD0" w:rsidRPr="00EC250C">
        <w:t xml:space="preserve"> o </w:t>
      </w:r>
      <w:r w:rsidR="00216378" w:rsidRPr="00EC250C">
        <w:t>jej działalności</w:t>
      </w:r>
      <w:r w:rsidRPr="00EC250C">
        <w:t xml:space="preserve"> (</w:t>
      </w:r>
      <w:r w:rsidR="00216378" w:rsidRPr="00EC250C">
        <w:t>zarządzani</w:t>
      </w:r>
      <w:r w:rsidRPr="00EC250C">
        <w:t>e</w:t>
      </w:r>
      <w:r w:rsidR="00216378" w:rsidRPr="00EC250C">
        <w:t xml:space="preserve"> majątkiem, </w:t>
      </w:r>
      <w:r w:rsidR="00216378" w:rsidRPr="00EC250C">
        <w:lastRenderedPageBreak/>
        <w:t>dostęp do dokumentów,</w:t>
      </w:r>
      <w:r w:rsidR="00CC4D88" w:rsidRPr="00EC250C">
        <w:t xml:space="preserve"> </w:t>
      </w:r>
      <w:r w:rsidR="00216378" w:rsidRPr="00EC250C">
        <w:t>uprawnienia do żądania przedstawienia przez spółdzielnię kalkulacji wysokości opłat itp.</w:t>
      </w:r>
      <w:r w:rsidRPr="00EC250C">
        <w:t xml:space="preserve">). </w:t>
      </w:r>
      <w:r w:rsidR="00216378" w:rsidRPr="00EC250C">
        <w:t>Sytuacja,</w:t>
      </w:r>
      <w:r w:rsidR="00992FD0" w:rsidRPr="00EC250C">
        <w:t xml:space="preserve"> w </w:t>
      </w:r>
      <w:r w:rsidR="00216378" w:rsidRPr="00EC250C">
        <w:t>której grupa obywateli</w:t>
      </w:r>
      <w:r w:rsidR="00026572" w:rsidRPr="00EC250C">
        <w:t xml:space="preserve"> – </w:t>
      </w:r>
      <w:r w:rsidR="00216378" w:rsidRPr="00EC250C">
        <w:t>bez własnej winy</w:t>
      </w:r>
      <w:r w:rsidR="00026572" w:rsidRPr="00EC250C">
        <w:t xml:space="preserve"> – </w:t>
      </w:r>
      <w:r w:rsidR="00216378" w:rsidRPr="00EC250C">
        <w:t>pozbawiana jest przysługujących im uprawnień, narusza zasadę zaufania obywateli do państwa</w:t>
      </w:r>
      <w:r w:rsidR="00992FD0" w:rsidRPr="00EC250C">
        <w:t xml:space="preserve"> i </w:t>
      </w:r>
      <w:r w:rsidR="00216378" w:rsidRPr="00EC250C">
        <w:t>stanowionego prawa oraz nie może być akceptowana</w:t>
      </w:r>
      <w:r w:rsidR="00992FD0" w:rsidRPr="00EC250C">
        <w:t xml:space="preserve"> w </w:t>
      </w:r>
      <w:r w:rsidR="00216378" w:rsidRPr="00EC250C">
        <w:t>praworządnym państwie</w:t>
      </w:r>
      <w:r w:rsidR="00026572" w:rsidRPr="00EC250C">
        <w:t xml:space="preserve"> – </w:t>
      </w:r>
      <w:r w:rsidR="00216378" w:rsidRPr="00EC250C">
        <w:t>oświadczył RPO.</w:t>
      </w:r>
    </w:p>
    <w:p w14:paraId="7B074E55" w14:textId="77777777" w:rsidR="002254CC" w:rsidRPr="00EC250C" w:rsidRDefault="00FD3865" w:rsidP="00D131FA">
      <w:pPr>
        <w:pStyle w:val="Styl1"/>
      </w:pPr>
      <w:r w:rsidRPr="00EC250C">
        <w:rPr>
          <w:bCs/>
        </w:rPr>
        <w:t>Minist</w:t>
      </w:r>
      <w:r w:rsidR="00216378" w:rsidRPr="00EC250C">
        <w:rPr>
          <w:bCs/>
        </w:rPr>
        <w:t>e</w:t>
      </w:r>
      <w:r w:rsidRPr="00EC250C">
        <w:rPr>
          <w:bCs/>
        </w:rPr>
        <w:t>r Inwestycji</w:t>
      </w:r>
      <w:r w:rsidR="00992FD0" w:rsidRPr="00EC250C">
        <w:rPr>
          <w:bCs/>
        </w:rPr>
        <w:t xml:space="preserve"> i </w:t>
      </w:r>
      <w:r w:rsidRPr="00EC250C">
        <w:t>Rozwoju</w:t>
      </w:r>
      <w:r w:rsidR="00216378" w:rsidRPr="00EC250C">
        <w:rPr>
          <w:bCs/>
        </w:rPr>
        <w:t xml:space="preserve"> wyjaśnił, że rząd </w:t>
      </w:r>
      <w:r w:rsidR="00B06A20" w:rsidRPr="00EC250C">
        <w:rPr>
          <w:bCs/>
        </w:rPr>
        <w:t xml:space="preserve">rozumie </w:t>
      </w:r>
      <w:r w:rsidR="00216378" w:rsidRPr="00EC250C">
        <w:rPr>
          <w:bCs/>
        </w:rPr>
        <w:t>problem</w:t>
      </w:r>
      <w:r w:rsidR="00992FD0" w:rsidRPr="00EC250C">
        <w:rPr>
          <w:bCs/>
        </w:rPr>
        <w:t xml:space="preserve"> i </w:t>
      </w:r>
      <w:r w:rsidR="00216378" w:rsidRPr="00EC250C">
        <w:rPr>
          <w:bCs/>
        </w:rPr>
        <w:t>przygotow</w:t>
      </w:r>
      <w:r w:rsidR="00B60A08" w:rsidRPr="00EC250C">
        <w:rPr>
          <w:bCs/>
        </w:rPr>
        <w:t>ywa</w:t>
      </w:r>
      <w:r w:rsidR="00216378" w:rsidRPr="00EC250C">
        <w:rPr>
          <w:bCs/>
        </w:rPr>
        <w:t>ł inne przepisy</w:t>
      </w:r>
      <w:r w:rsidR="00216378" w:rsidRPr="00EC250C">
        <w:rPr>
          <w:rStyle w:val="Odwoanieprzypisudolnego"/>
        </w:rPr>
        <w:footnoteReference w:id="675"/>
      </w:r>
      <w:r w:rsidR="00216378" w:rsidRPr="00EC250C">
        <w:rPr>
          <w:bCs/>
        </w:rPr>
        <w:t xml:space="preserve">. Za uchwaloną </w:t>
      </w:r>
      <w:r w:rsidR="00B60A08" w:rsidRPr="00EC250C">
        <w:rPr>
          <w:bCs/>
        </w:rPr>
        <w:t xml:space="preserve">ostatecznie </w:t>
      </w:r>
      <w:r w:rsidR="00216378" w:rsidRPr="00EC250C">
        <w:rPr>
          <w:bCs/>
        </w:rPr>
        <w:t>wersję odpowiadają</w:t>
      </w:r>
      <w:r w:rsidR="002B3453" w:rsidRPr="00EC250C">
        <w:t xml:space="preserve"> </w:t>
      </w:r>
      <w:r w:rsidR="00216378" w:rsidRPr="00EC250C">
        <w:t>parlamentarzyści,</w:t>
      </w:r>
      <w:r w:rsidR="00992FD0" w:rsidRPr="00EC250C">
        <w:t xml:space="preserve"> a </w:t>
      </w:r>
      <w:r w:rsidR="00216378" w:rsidRPr="00EC250C">
        <w:t>wynikły</w:t>
      </w:r>
      <w:r w:rsidR="00992FD0" w:rsidRPr="00EC250C">
        <w:t xml:space="preserve"> z </w:t>
      </w:r>
      <w:r w:rsidR="00216378" w:rsidRPr="00EC250C">
        <w:t xml:space="preserve">tego problem </w:t>
      </w:r>
      <w:r w:rsidR="004501F4" w:rsidRPr="00EC250C">
        <w:t>był</w:t>
      </w:r>
      <w:r w:rsidR="002B3453" w:rsidRPr="00EC250C">
        <w:t xml:space="preserve">obecnie </w:t>
      </w:r>
      <w:r w:rsidR="00930EED" w:rsidRPr="00EC250C">
        <w:t>przedmiotem analizy</w:t>
      </w:r>
      <w:r w:rsidR="002B3453" w:rsidRPr="00EC250C">
        <w:t>.</w:t>
      </w:r>
    </w:p>
    <w:p w14:paraId="62550B70" w14:textId="77777777" w:rsidR="00E95DDE" w:rsidRPr="00EC250C" w:rsidRDefault="00E95DDE" w:rsidP="00EC250C">
      <w:pPr>
        <w:pStyle w:val="Nagwek5"/>
      </w:pPr>
      <w:r w:rsidRPr="00EC250C">
        <w:rPr>
          <w:rStyle w:val="date-display-single"/>
        </w:rPr>
        <w:t>Problemy mieszkańców domów</w:t>
      </w:r>
      <w:r w:rsidR="00992FD0" w:rsidRPr="00EC250C">
        <w:rPr>
          <w:rStyle w:val="date-display-single"/>
        </w:rPr>
        <w:t xml:space="preserve"> w </w:t>
      </w:r>
      <w:r w:rsidRPr="00EC250C">
        <w:rPr>
          <w:rStyle w:val="date-display-single"/>
        </w:rPr>
        <w:t>dawnych PGR-ach</w:t>
      </w:r>
    </w:p>
    <w:p w14:paraId="73A4AB90" w14:textId="77777777" w:rsidR="00E95DDE" w:rsidRPr="00EC250C" w:rsidRDefault="00E95DDE" w:rsidP="00D131FA">
      <w:pPr>
        <w:pStyle w:val="Styl1"/>
        <w:rPr>
          <w:rFonts w:ascii="Open Sans Regular" w:hAnsi="Open Sans Regular"/>
        </w:rPr>
      </w:pPr>
      <w:r w:rsidRPr="00EC250C">
        <w:rPr>
          <w:rStyle w:val="Pogrubienie"/>
          <w:rFonts w:ascii="inherit" w:hAnsi="inherit"/>
          <w:color w:val="18223E"/>
          <w:sz w:val="25"/>
          <w:bdr w:val="none" w:sz="0" w:space="0" w:color="auto" w:frame="1"/>
        </w:rPr>
        <w:t>Ludzie nagle się dowiedzieli, że nie mają żadnego prawa do kotłowni</w:t>
      </w:r>
      <w:r w:rsidR="00992FD0" w:rsidRPr="00EC250C">
        <w:rPr>
          <w:rStyle w:val="Pogrubienie"/>
          <w:rFonts w:ascii="inherit" w:hAnsi="inherit"/>
          <w:color w:val="18223E"/>
          <w:sz w:val="25"/>
          <w:bdr w:val="none" w:sz="0" w:space="0" w:color="auto" w:frame="1"/>
        </w:rPr>
        <w:t xml:space="preserve"> i </w:t>
      </w:r>
      <w:r w:rsidRPr="00EC250C">
        <w:rPr>
          <w:rStyle w:val="Pogrubienie"/>
          <w:rFonts w:ascii="inherit" w:hAnsi="inherit"/>
          <w:color w:val="18223E"/>
          <w:sz w:val="25"/>
          <w:bdr w:val="none" w:sz="0" w:space="0" w:color="auto" w:frame="1"/>
        </w:rPr>
        <w:t>reszty infrastruktury zasilającej ich mieszkania</w:t>
      </w:r>
      <w:r w:rsidR="00992FD0" w:rsidRPr="00EC250C">
        <w:rPr>
          <w:rStyle w:val="Pogrubienie"/>
          <w:rFonts w:ascii="inherit" w:hAnsi="inherit"/>
          <w:color w:val="18223E"/>
          <w:sz w:val="25"/>
          <w:bdr w:val="none" w:sz="0" w:space="0" w:color="auto" w:frame="1"/>
        </w:rPr>
        <w:t xml:space="preserve"> w </w:t>
      </w:r>
      <w:r w:rsidRPr="00EC250C">
        <w:rPr>
          <w:rStyle w:val="Pogrubienie"/>
          <w:rFonts w:ascii="inherit" w:hAnsi="inherit"/>
          <w:color w:val="18223E"/>
          <w:sz w:val="25"/>
          <w:bdr w:val="none" w:sz="0" w:space="0" w:color="auto" w:frame="1"/>
        </w:rPr>
        <w:t>dawnym PGR</w:t>
      </w:r>
    </w:p>
    <w:p w14:paraId="0F56B863" w14:textId="77777777" w:rsidR="00C91F6E" w:rsidRPr="00EC250C" w:rsidRDefault="00E95DDE" w:rsidP="00D131FA">
      <w:pPr>
        <w:pStyle w:val="Styl1"/>
      </w:pPr>
      <w:r w:rsidRPr="00EC250C">
        <w:t>Ustawa</w:t>
      </w:r>
      <w:r w:rsidR="00992FD0" w:rsidRPr="00EC250C">
        <w:t xml:space="preserve"> z </w:t>
      </w:r>
      <w:r w:rsidRPr="00EC250C">
        <w:t>2017</w:t>
      </w:r>
      <w:r w:rsidR="00C91F6E" w:rsidRPr="00EC250C">
        <w:t> r.</w:t>
      </w:r>
      <w:r w:rsidR="00992FD0" w:rsidRPr="00EC250C">
        <w:t xml:space="preserve"> w </w:t>
      </w:r>
      <w:r w:rsidRPr="00EC250C">
        <w:t>niezamierzony sposób wymusiła bowiem likwidację „spółdzielni popegeerowskich”</w:t>
      </w:r>
      <w:r w:rsidR="00026572" w:rsidRPr="00EC250C">
        <w:t xml:space="preserve"> – </w:t>
      </w:r>
      <w:r w:rsidRPr="00EC250C">
        <w:t>podmiotów stworzonych do zarządzania infrastrukturą obsługującą mieszkania</w:t>
      </w:r>
      <w:r w:rsidR="00992FD0" w:rsidRPr="00EC250C">
        <w:t xml:space="preserve"> w </w:t>
      </w:r>
      <w:r w:rsidRPr="00EC250C">
        <w:t>zlikwidowanych PGR-ach.</w:t>
      </w:r>
    </w:p>
    <w:p w14:paraId="0CEC7839" w14:textId="77777777" w:rsidR="00E95DDE" w:rsidRPr="00EC250C" w:rsidRDefault="00E95DDE" w:rsidP="00D131FA">
      <w:pPr>
        <w:pStyle w:val="Styl1"/>
      </w:pPr>
      <w:r w:rsidRPr="00EC250C">
        <w:t>Nowelizacja ustawy</w:t>
      </w:r>
      <w:r w:rsidR="00992FD0" w:rsidRPr="00EC250C">
        <w:t xml:space="preserve"> o </w:t>
      </w:r>
      <w:r w:rsidRPr="00EC250C">
        <w:t xml:space="preserve">spółdzielniach mieszkaniowych, </w:t>
      </w:r>
      <w:r w:rsidR="00EF364A" w:rsidRPr="00EC250C">
        <w:t>p</w:t>
      </w:r>
      <w:r w:rsidRPr="00EC250C">
        <w:t>rawa spółdzielczego oraz Kodeksu postępowania cywilnego sprawiła, że członkostwo</w:t>
      </w:r>
      <w:r w:rsidR="00992FD0" w:rsidRPr="00EC250C">
        <w:t xml:space="preserve"> w </w:t>
      </w:r>
      <w:r w:rsidRPr="00EC250C">
        <w:t xml:space="preserve">spółdzielni </w:t>
      </w:r>
      <w:r w:rsidR="00EF364A" w:rsidRPr="00EC250C">
        <w:t>s</w:t>
      </w:r>
      <w:r w:rsidRPr="00EC250C">
        <w:t>trac</w:t>
      </w:r>
      <w:r w:rsidR="00EF364A" w:rsidRPr="00EC250C">
        <w:t>ili</w:t>
      </w:r>
      <w:r w:rsidRPr="00EC250C">
        <w:t xml:space="preserve"> wszyscy, którym nie przysługuje spółdzielcze lokatorskie prawo do lokalu, spółdzielcze własnościowe prawo, prawo odrębnej własności czy roszczenie</w:t>
      </w:r>
      <w:r w:rsidR="00992FD0" w:rsidRPr="00EC250C">
        <w:t xml:space="preserve"> o </w:t>
      </w:r>
      <w:r w:rsidRPr="00EC250C">
        <w:t>ustanowienie prawa odrębnej własności lokalu lub roszczenie</w:t>
      </w:r>
      <w:r w:rsidR="00992FD0" w:rsidRPr="00EC250C">
        <w:t xml:space="preserve"> o </w:t>
      </w:r>
      <w:r w:rsidRPr="00EC250C">
        <w:t>ustanowienie spółdzielczego lokatorskiego prawa do lokalu.</w:t>
      </w:r>
    </w:p>
    <w:p w14:paraId="66CCD668" w14:textId="77777777" w:rsidR="00E95DDE" w:rsidRPr="00EC250C" w:rsidRDefault="00E95DDE" w:rsidP="00D131FA">
      <w:pPr>
        <w:pStyle w:val="Styl1"/>
      </w:pPr>
      <w:r w:rsidRPr="00EC250C">
        <w:t>Ten ogólny przepis bardzo niekorzystn</w:t>
      </w:r>
      <w:r w:rsidR="00EF364A" w:rsidRPr="00EC250C">
        <w:t>ie</w:t>
      </w:r>
      <w:r w:rsidRPr="00EC250C">
        <w:t xml:space="preserve"> rzutuje m.in. na byt tzw. spółdzielni popegeerowskich. Nie mają one</w:t>
      </w:r>
      <w:r w:rsidR="00992FD0" w:rsidRPr="00EC250C">
        <w:t xml:space="preserve"> w </w:t>
      </w:r>
      <w:r w:rsidRPr="00EC250C">
        <w:t>swoich zasobach mieszkań,</w:t>
      </w:r>
      <w:r w:rsidR="00992FD0" w:rsidRPr="00EC250C">
        <w:t xml:space="preserve"> a </w:t>
      </w:r>
      <w:r w:rsidRPr="00EC250C">
        <w:t>zatem nie zrzeszają spółdzielców mających prawa do mieszkań. Zakładane były bowiem wyłącznie</w:t>
      </w:r>
      <w:r w:rsidR="00992FD0" w:rsidRPr="00EC250C">
        <w:t xml:space="preserve"> w </w:t>
      </w:r>
      <w:r w:rsidRPr="00EC250C">
        <w:t>celu zarządzania mieniem po PGR-ach (państwowych gospodarstwach rolnych, masowo bankrutujących na początku lat 90.</w:t>
      </w:r>
      <w:r w:rsidR="00992FD0" w:rsidRPr="00EC250C">
        <w:t xml:space="preserve"> i w </w:t>
      </w:r>
      <w:r w:rsidRPr="00EC250C">
        <w:t>związku</w:t>
      </w:r>
      <w:r w:rsidR="00992FD0" w:rsidRPr="00EC250C">
        <w:t xml:space="preserve"> z </w:t>
      </w:r>
      <w:r w:rsidRPr="00EC250C">
        <w:t>tym likwidowanych). Chodzi np.</w:t>
      </w:r>
      <w:r w:rsidR="00992FD0" w:rsidRPr="00EC250C">
        <w:t xml:space="preserve"> o </w:t>
      </w:r>
      <w:r w:rsidRPr="00EC250C">
        <w:t>kotłownie, stacje transformatorowe, place zabaw</w:t>
      </w:r>
      <w:r w:rsidR="00992FD0" w:rsidRPr="00EC250C">
        <w:t xml:space="preserve"> i </w:t>
      </w:r>
      <w:r w:rsidRPr="00EC250C">
        <w:t>inne obiekty infrastruktury technicznej towarzyszącej budynkom mieszkalnym,</w:t>
      </w:r>
      <w:r w:rsidR="00992FD0" w:rsidRPr="00EC250C">
        <w:t xml:space="preserve"> w </w:t>
      </w:r>
      <w:r w:rsidRPr="00EC250C">
        <w:t>których mieszkania sprzedano na własność byłym pracownikom PGR. Takie obiekty były przekazywane nieodpłatnie gminie albo właśnie spółdzielni utworzonej przez nabywców lokali.</w:t>
      </w:r>
    </w:p>
    <w:p w14:paraId="5B4A3A5B" w14:textId="77777777" w:rsidR="00E95DDE" w:rsidRPr="00EC250C" w:rsidRDefault="00E95DDE" w:rsidP="00D131FA">
      <w:pPr>
        <w:pStyle w:val="Styl1"/>
      </w:pPr>
      <w:r w:rsidRPr="00EC250C">
        <w:t>Minister Infrastruktury</w:t>
      </w:r>
      <w:r w:rsidR="00992FD0" w:rsidRPr="00EC250C">
        <w:t xml:space="preserve"> i </w:t>
      </w:r>
      <w:r w:rsidRPr="00EC250C">
        <w:t>Budownictwa odpowiedział, że sprawdzi tren problem, który RPO przedstawił mu na podstawie zgłoszeń od obywateli</w:t>
      </w:r>
      <w:r w:rsidR="00992FD0" w:rsidRPr="00EC250C">
        <w:t xml:space="preserve"> i </w:t>
      </w:r>
      <w:r w:rsidRPr="00EC250C">
        <w:t>uwag Krajowej Rady Spółdzielczej.</w:t>
      </w:r>
    </w:p>
    <w:p w14:paraId="49ADA873" w14:textId="77777777" w:rsidR="00E95DDE" w:rsidRPr="00EC250C" w:rsidRDefault="00E95DDE" w:rsidP="00D131FA">
      <w:pPr>
        <w:pStyle w:val="Styl1"/>
        <w:rPr>
          <w:rFonts w:asciiTheme="minorHAnsi" w:eastAsia="SimSun" w:hAnsiTheme="minorHAnsi" w:cstheme="minorBidi"/>
          <w:spacing w:val="0"/>
          <w:szCs w:val="22"/>
          <w:lang w:eastAsia="en-US"/>
        </w:rPr>
      </w:pPr>
      <w:r w:rsidRPr="00EC250C">
        <w:t>Przepisy nie zostały zmienione, dlatego</w:t>
      </w:r>
      <w:r w:rsidR="00992FD0" w:rsidRPr="00EC250C">
        <w:t xml:space="preserve"> w </w:t>
      </w:r>
      <w:r w:rsidRPr="00EC250C">
        <w:t>2019</w:t>
      </w:r>
      <w:r w:rsidR="00C91F6E" w:rsidRPr="00EC250C">
        <w:t> </w:t>
      </w:r>
      <w:r w:rsidR="00C91F6E" w:rsidRPr="00EC250C">
        <w:rPr>
          <w:rFonts w:hint="eastAsia"/>
        </w:rPr>
        <w:t>r.</w:t>
      </w:r>
      <w:r w:rsidRPr="00EC250C">
        <w:t xml:space="preserve"> RPO zaskarżył </w:t>
      </w:r>
      <w:r w:rsidR="004501F4" w:rsidRPr="00EC250C">
        <w:t xml:space="preserve">do Trybunału Konstytucyjnego </w:t>
      </w:r>
      <w:r w:rsidRPr="00EC250C">
        <w:t>zmiany</w:t>
      </w:r>
      <w:r w:rsidR="00992FD0" w:rsidRPr="00EC250C">
        <w:t xml:space="preserve"> w </w:t>
      </w:r>
      <w:r w:rsidRPr="00EC250C">
        <w:t>prawie spółdzielczym,</w:t>
      </w:r>
      <w:r w:rsidR="00992FD0" w:rsidRPr="00EC250C">
        <w:t xml:space="preserve"> w </w:t>
      </w:r>
      <w:r w:rsidRPr="00EC250C">
        <w:t>tym te, które dotyczą opisanego problemu</w:t>
      </w:r>
      <w:r w:rsidRPr="00EC250C">
        <w:rPr>
          <w:rStyle w:val="Odwoanieprzypisudolnego"/>
        </w:rPr>
        <w:footnoteReference w:id="676"/>
      </w:r>
      <w:r w:rsidRPr="00EC250C">
        <w:t>.</w:t>
      </w:r>
    </w:p>
    <w:p w14:paraId="26241321" w14:textId="77777777" w:rsidR="00C91F6E" w:rsidRPr="00EC250C" w:rsidRDefault="005B7F20" w:rsidP="00EC250C">
      <w:pPr>
        <w:pStyle w:val="Nagwek5"/>
      </w:pPr>
      <w:bookmarkStart w:id="664" w:name="_Toc6257937"/>
      <w:r w:rsidRPr="00EC250C">
        <w:lastRenderedPageBreak/>
        <w:t>Ustanowienie</w:t>
      </w:r>
      <w:r w:rsidR="00992FD0" w:rsidRPr="00EC250C">
        <w:t xml:space="preserve"> i </w:t>
      </w:r>
      <w:r w:rsidRPr="00EC250C">
        <w:t>przeniesienie przez spółdzielnię mieszkaniową odrębnej własności lokalu</w:t>
      </w:r>
      <w:bookmarkEnd w:id="664"/>
    </w:p>
    <w:p w14:paraId="50FE9A2D" w14:textId="77777777" w:rsidR="00B473F5" w:rsidRPr="00EC250C" w:rsidRDefault="009E2DAB" w:rsidP="00D131FA">
      <w:pPr>
        <w:pStyle w:val="Problemczowieka"/>
        <w:jc w:val="both"/>
      </w:pPr>
      <w:r w:rsidRPr="00EC250C">
        <w:t>Niezgodny</w:t>
      </w:r>
      <w:r w:rsidR="00992FD0" w:rsidRPr="00EC250C">
        <w:t xml:space="preserve"> z </w:t>
      </w:r>
      <w:r w:rsidRPr="00EC250C">
        <w:t>Konstytucją okazał się</w:t>
      </w:r>
      <w:r w:rsidR="00992FD0" w:rsidRPr="00EC250C">
        <w:t xml:space="preserve"> w </w:t>
      </w:r>
      <w:r w:rsidRPr="00EC250C">
        <w:t>2018</w:t>
      </w:r>
      <w:r w:rsidR="00C91F6E" w:rsidRPr="00EC250C">
        <w:t> r.</w:t>
      </w:r>
      <w:r w:rsidRPr="00EC250C">
        <w:t xml:space="preserve"> przepis prawa spółdzielczego, który pozwala na dzielenie mieszkań spó</w:t>
      </w:r>
      <w:r w:rsidR="00B06A20" w:rsidRPr="00EC250C">
        <w:t>ł</w:t>
      </w:r>
      <w:r w:rsidRPr="00EC250C">
        <w:t>dzielczych tylko</w:t>
      </w:r>
      <w:r w:rsidR="00992FD0" w:rsidRPr="00EC250C">
        <w:t xml:space="preserve"> w </w:t>
      </w:r>
      <w:r w:rsidRPr="00EC250C">
        <w:t>taki sposób, że powstający nowy lokal nie wymaga potem adaptacji technicznej</w:t>
      </w:r>
      <w:r w:rsidR="00B473F5" w:rsidRPr="00EC250C">
        <w:t>.</w:t>
      </w:r>
    </w:p>
    <w:p w14:paraId="526D8B3C" w14:textId="77777777" w:rsidR="00C91F6E" w:rsidRPr="00EC250C" w:rsidRDefault="005B7F20" w:rsidP="00D131FA">
      <w:pPr>
        <w:pStyle w:val="Styl1"/>
      </w:pPr>
      <w:r w:rsidRPr="00EC250C">
        <w:t>Trybunał Konstytucyjny rozpoznał pytanie prawne Sądu Okręgowego</w:t>
      </w:r>
      <w:r w:rsidR="004501F4" w:rsidRPr="00EC250C">
        <w:t xml:space="preserve"> w Gdańsku</w:t>
      </w:r>
      <w:r w:rsidRPr="00EC250C">
        <w:t xml:space="preserve">, do którego </w:t>
      </w:r>
      <w:r w:rsidR="00135B9D" w:rsidRPr="00EC250C">
        <w:t>RPO</w:t>
      </w:r>
      <w:r w:rsidRPr="00EC250C">
        <w:t xml:space="preserve"> przystąpił</w:t>
      </w:r>
      <w:r w:rsidR="00992FD0" w:rsidRPr="00EC250C">
        <w:t xml:space="preserve"> w </w:t>
      </w:r>
      <w:r w:rsidRPr="00EC250C">
        <w:t>2016</w:t>
      </w:r>
      <w:r w:rsidR="00C91F6E" w:rsidRPr="00EC250C">
        <w:t> r.</w:t>
      </w:r>
      <w:r w:rsidRPr="00EC250C">
        <w:t xml:space="preserve">, opowiadając się </w:t>
      </w:r>
      <w:r w:rsidR="00960564" w:rsidRPr="00EC250C">
        <w:t>za niekonstytucyjnością</w:t>
      </w:r>
      <w:r w:rsidRPr="00EC250C">
        <w:t xml:space="preserve"> przepis</w:t>
      </w:r>
      <w:r w:rsidR="00960564" w:rsidRPr="00EC250C">
        <w:t>u</w:t>
      </w:r>
      <w:r w:rsidRPr="00EC250C">
        <w:t xml:space="preserve"> ustawy</w:t>
      </w:r>
      <w:r w:rsidR="00992FD0" w:rsidRPr="00EC250C">
        <w:t xml:space="preserve"> o </w:t>
      </w:r>
      <w:r w:rsidRPr="00EC250C">
        <w:t>spółdzielniach mieszkaniowych,</w:t>
      </w:r>
      <w:r w:rsidR="00992FD0" w:rsidRPr="00EC250C">
        <w:t xml:space="preserve"> w </w:t>
      </w:r>
      <w:r w:rsidRPr="00EC250C">
        <w:t>zakresie</w:t>
      </w:r>
      <w:r w:rsidR="00992FD0" w:rsidRPr="00EC250C">
        <w:t xml:space="preserve"> w </w:t>
      </w:r>
      <w:r w:rsidRPr="00EC250C">
        <w:t>jakim uniemożliwia</w:t>
      </w:r>
      <w:r w:rsidR="00960564" w:rsidRPr="00EC250C">
        <w:t xml:space="preserve"> on</w:t>
      </w:r>
      <w:r w:rsidRPr="00EC250C">
        <w:t xml:space="preserve"> </w:t>
      </w:r>
      <w:r w:rsidR="009E2DAB" w:rsidRPr="00EC250C">
        <w:t xml:space="preserve">spółdzielni mieszkaniowej </w:t>
      </w:r>
      <w:r w:rsidRPr="00EC250C">
        <w:t>ustanowienie odrębnej własności</w:t>
      </w:r>
      <w:r w:rsidR="009E2DAB" w:rsidRPr="00EC250C">
        <w:t xml:space="preserve">, </w:t>
      </w:r>
      <w:r w:rsidRPr="00EC250C">
        <w:t xml:space="preserve">gdy </w:t>
      </w:r>
      <w:r w:rsidR="009E2DAB" w:rsidRPr="00EC250C">
        <w:t xml:space="preserve">lokal taki nie będzie samodzielny bez dodatkowych </w:t>
      </w:r>
      <w:r w:rsidRPr="00EC250C">
        <w:t>robót adaptacyjnych</w:t>
      </w:r>
      <w:r w:rsidR="00960564" w:rsidRPr="00EC250C">
        <w:t>.</w:t>
      </w:r>
    </w:p>
    <w:p w14:paraId="4F83634C" w14:textId="77777777" w:rsidR="007324EB" w:rsidRPr="00EC250C" w:rsidRDefault="00960564" w:rsidP="00D131FA">
      <w:pPr>
        <w:pStyle w:val="Styl1"/>
      </w:pPr>
      <w:r w:rsidRPr="00EC250C">
        <w:t>Wyrokiem Trybunału Konstytucyjnego</w:t>
      </w:r>
      <w:r w:rsidR="004501F4" w:rsidRPr="00EC250C">
        <w:rPr>
          <w:rStyle w:val="Odwoanieprzypisudolnego"/>
        </w:rPr>
        <w:footnoteReference w:id="677"/>
      </w:r>
      <w:r w:rsidRPr="00EC250C">
        <w:t xml:space="preserve"> zakwestionowany przepis został uznany za niezgodny</w:t>
      </w:r>
      <w:r w:rsidR="00992FD0" w:rsidRPr="00EC250C">
        <w:t xml:space="preserve"> z </w:t>
      </w:r>
      <w:r w:rsidRPr="00EC250C">
        <w:t>Konstytucją. Trybunał uznał, że biorąc pod uwagę charakter czynności faktycznych, które muszą zostać wykonane, aby mogła dojść do skutku umowa</w:t>
      </w:r>
      <w:r w:rsidR="00992FD0" w:rsidRPr="00EC250C">
        <w:t xml:space="preserve"> o </w:t>
      </w:r>
      <w:r w:rsidRPr="00EC250C">
        <w:t>ustanowieniu</w:t>
      </w:r>
      <w:r w:rsidR="00992FD0" w:rsidRPr="00EC250C">
        <w:t xml:space="preserve"> i </w:t>
      </w:r>
      <w:r w:rsidRPr="00EC250C">
        <w:t>przeniesieniu odrębnej własności lokalu,</w:t>
      </w:r>
      <w:r w:rsidR="00992FD0" w:rsidRPr="00EC250C">
        <w:t xml:space="preserve"> w </w:t>
      </w:r>
      <w:r w:rsidRPr="00EC250C">
        <w:t>art. 49</w:t>
      </w:r>
      <w:r w:rsidRPr="00EC250C">
        <w:rPr>
          <w:vertAlign w:val="superscript"/>
        </w:rPr>
        <w:t>1</w:t>
      </w:r>
      <w:r w:rsidRPr="00EC250C">
        <w:t xml:space="preserve"> ustawy</w:t>
      </w:r>
      <w:r w:rsidR="00992FD0" w:rsidRPr="00EC250C">
        <w:t xml:space="preserve"> o </w:t>
      </w:r>
      <w:r w:rsidRPr="00EC250C">
        <w:t>spółdzielniach mieszkaniowych nie przewidziano odpowiednich bezspornych instrumentów procesowych do dochodzenia wykreowanego</w:t>
      </w:r>
      <w:r w:rsidR="00992FD0" w:rsidRPr="00EC250C">
        <w:t xml:space="preserve"> w </w:t>
      </w:r>
      <w:r w:rsidRPr="00EC250C">
        <w:t>przepisach materialnych ustawy</w:t>
      </w:r>
      <w:r w:rsidR="00992FD0" w:rsidRPr="00EC250C">
        <w:t xml:space="preserve"> o </w:t>
      </w:r>
      <w:r w:rsidRPr="00EC250C">
        <w:t>spółdzielniach mieszkaniowych roszczenia</w:t>
      </w:r>
      <w:r w:rsidR="00992FD0" w:rsidRPr="00EC250C">
        <w:t xml:space="preserve"> o </w:t>
      </w:r>
      <w:r w:rsidRPr="00EC250C">
        <w:t>ustanowienie</w:t>
      </w:r>
      <w:r w:rsidR="00992FD0" w:rsidRPr="00EC250C">
        <w:t xml:space="preserve"> i </w:t>
      </w:r>
      <w:r w:rsidRPr="00EC250C">
        <w:t>przeniesienie odrębnej własności,</w:t>
      </w:r>
      <w:r w:rsidR="00992FD0" w:rsidRPr="00EC250C">
        <w:t xml:space="preserve"> w </w:t>
      </w:r>
      <w:r w:rsidRPr="00EC250C">
        <w:t>takich sytuacjach, gdy do uzyskania samodzielności lokalu konieczne jest przeprowadzenie prac adaptacyjnych</w:t>
      </w:r>
      <w:r w:rsidR="00C967D4" w:rsidRPr="00EC250C">
        <w:rPr>
          <w:vertAlign w:val="superscript"/>
        </w:rPr>
        <w:t xml:space="preserve"> </w:t>
      </w:r>
      <w:r w:rsidR="00C967D4" w:rsidRPr="00EC250C">
        <w:rPr>
          <w:vertAlign w:val="superscript"/>
        </w:rPr>
        <w:footnoteReference w:id="678"/>
      </w:r>
      <w:r w:rsidR="00B60A08" w:rsidRPr="00EC250C">
        <w:rPr>
          <w:vertAlign w:val="superscript"/>
        </w:rPr>
        <w:t>.</w:t>
      </w:r>
    </w:p>
    <w:p w14:paraId="7E854707" w14:textId="77777777" w:rsidR="00C91F6E" w:rsidRPr="00EC250C" w:rsidRDefault="00B031F7" w:rsidP="00EC79EB">
      <w:pPr>
        <w:pStyle w:val="Nagwek4"/>
      </w:pPr>
      <w:bookmarkStart w:id="665" w:name="_Toc11247812"/>
      <w:bookmarkStart w:id="666" w:name="_Toc6257938"/>
      <w:r w:rsidRPr="00EC250C">
        <w:t>Niebezpieczeństwo utraty mieszkania z powodu niekorzystnej umowy pożyczki</w:t>
      </w:r>
      <w:bookmarkEnd w:id="665"/>
    </w:p>
    <w:p w14:paraId="5A02D160" w14:textId="77777777" w:rsidR="009D2293" w:rsidRPr="00EC250C" w:rsidRDefault="00730E58" w:rsidP="00D131FA">
      <w:pPr>
        <w:pStyle w:val="ODESANIE"/>
        <w:jc w:val="both"/>
        <w:rPr>
          <w:bCs/>
        </w:rPr>
      </w:pPr>
      <w:r w:rsidRPr="00EC250C">
        <w:t>Problem niekorzystnego rozporządzani</w:t>
      </w:r>
      <w:r w:rsidR="004501F4" w:rsidRPr="00EC250C">
        <w:t>a</w:t>
      </w:r>
      <w:r w:rsidRPr="00EC250C">
        <w:t xml:space="preserve"> </w:t>
      </w:r>
      <w:r w:rsidR="007324EB" w:rsidRPr="00EC250C">
        <w:t>prawem własności</w:t>
      </w:r>
      <w:bookmarkEnd w:id="666"/>
      <w:r w:rsidR="00C4236A" w:rsidRPr="00EC250C">
        <w:t xml:space="preserve"> do mieszkania</w:t>
      </w:r>
      <w:r w:rsidR="00CC4D88" w:rsidRPr="00EC250C">
        <w:t xml:space="preserve"> </w:t>
      </w:r>
      <w:r w:rsidR="001874B8" w:rsidRPr="00EC250C">
        <w:t>-</w:t>
      </w:r>
      <w:r w:rsidR="00C4236A" w:rsidRPr="00EC250C">
        <w:t xml:space="preserve"> art.</w:t>
      </w:r>
      <w:r w:rsidR="001874B8" w:rsidRPr="00EC250C">
        <w:t> </w:t>
      </w:r>
      <w:r w:rsidR="00C4236A" w:rsidRPr="00EC250C">
        <w:t>64 Konstytucji</w:t>
      </w:r>
      <w:bookmarkEnd w:id="656"/>
    </w:p>
    <w:p w14:paraId="39273734" w14:textId="77777777" w:rsidR="00730E58" w:rsidRPr="00EC250C" w:rsidRDefault="00730E58" w:rsidP="00EC79EB">
      <w:pPr>
        <w:pStyle w:val="Nagwek4"/>
      </w:pPr>
      <w:bookmarkStart w:id="667" w:name="_Toc11247813"/>
      <w:bookmarkStart w:id="668" w:name="_Toc6257940"/>
      <w:r w:rsidRPr="00EC250C">
        <w:t>Problem rozliczenia kosztów ogrzewania (podzielniki kosztów ciepła)</w:t>
      </w:r>
      <w:bookmarkEnd w:id="667"/>
    </w:p>
    <w:p w14:paraId="307D8BE0" w14:textId="77777777" w:rsidR="00B473F5" w:rsidRPr="00EC250C" w:rsidRDefault="00730E58" w:rsidP="00D131FA">
      <w:pPr>
        <w:pStyle w:val="Problemczowieka"/>
        <w:jc w:val="both"/>
        <w:rPr>
          <w:bdr w:val="none" w:sz="0" w:space="0" w:color="auto" w:frame="1"/>
        </w:rPr>
      </w:pPr>
      <w:r w:rsidRPr="00EC250C">
        <w:rPr>
          <w:bdr w:val="none" w:sz="0" w:space="0" w:color="auto" w:frame="1"/>
        </w:rPr>
        <w:t>Ludzie skarżą się na nieprawidłowości</w:t>
      </w:r>
      <w:r w:rsidR="00992FD0" w:rsidRPr="00EC250C">
        <w:rPr>
          <w:bdr w:val="none" w:sz="0" w:space="0" w:color="auto" w:frame="1"/>
        </w:rPr>
        <w:t xml:space="preserve"> w </w:t>
      </w:r>
      <w:r w:rsidRPr="00EC250C">
        <w:rPr>
          <w:bdr w:val="none" w:sz="0" w:space="0" w:color="auto" w:frame="1"/>
        </w:rPr>
        <w:t>rozliczeniach za ogrzewanie mieszkań</w:t>
      </w:r>
      <w:r w:rsidR="00992FD0" w:rsidRPr="00EC250C">
        <w:rPr>
          <w:bdr w:val="none" w:sz="0" w:space="0" w:color="auto" w:frame="1"/>
        </w:rPr>
        <w:t xml:space="preserve"> w </w:t>
      </w:r>
      <w:r w:rsidRPr="00EC250C">
        <w:rPr>
          <w:bdr w:val="none" w:sz="0" w:space="0" w:color="auto" w:frame="1"/>
        </w:rPr>
        <w:t>budynkach</w:t>
      </w:r>
      <w:r w:rsidR="00B473F5" w:rsidRPr="00EC250C">
        <w:rPr>
          <w:bdr w:val="none" w:sz="0" w:space="0" w:color="auto" w:frame="1"/>
        </w:rPr>
        <w:t>.</w:t>
      </w:r>
    </w:p>
    <w:p w14:paraId="5B6BDCE0" w14:textId="77777777" w:rsidR="00C91F6E" w:rsidRPr="00EC250C" w:rsidRDefault="00730E58" w:rsidP="00D131FA">
      <w:pPr>
        <w:pStyle w:val="Styl1"/>
      </w:pPr>
      <w:r w:rsidRPr="00EC250C">
        <w:t>Nie ma bowiem regulacji prawnych określających sposób funkcjonowania</w:t>
      </w:r>
      <w:r w:rsidR="00992FD0" w:rsidRPr="00EC250C">
        <w:t xml:space="preserve"> i </w:t>
      </w:r>
      <w:r w:rsidRPr="00EC250C">
        <w:t>użytkowania podzielników kosztów ciepła</w:t>
      </w:r>
      <w:r w:rsidR="00992FD0" w:rsidRPr="00EC250C">
        <w:t xml:space="preserve"> w </w:t>
      </w:r>
      <w:r w:rsidRPr="00EC250C">
        <w:t>lokalach mieszkalnych</w:t>
      </w:r>
      <w:r w:rsidR="00992FD0" w:rsidRPr="00EC250C">
        <w:t xml:space="preserve"> i </w:t>
      </w:r>
      <w:r w:rsidRPr="00EC250C">
        <w:t>użytkowych.</w:t>
      </w:r>
    </w:p>
    <w:p w14:paraId="540568AC" w14:textId="77777777" w:rsidR="00730E58" w:rsidRPr="00EC250C" w:rsidRDefault="00730E58" w:rsidP="00D131FA">
      <w:pPr>
        <w:pStyle w:val="Styl1"/>
      </w:pPr>
      <w:r w:rsidRPr="00EC250C">
        <w:t>Kwestia podzielników kosztów ciepła dla rozliczania kosztów ogrzewania lokali mieszkalnych</w:t>
      </w:r>
      <w:r w:rsidR="00992FD0" w:rsidRPr="00EC250C">
        <w:t xml:space="preserve"> i </w:t>
      </w:r>
      <w:r w:rsidRPr="00EC250C">
        <w:t>użytkowych</w:t>
      </w:r>
      <w:r w:rsidR="00992FD0" w:rsidRPr="00EC250C">
        <w:t xml:space="preserve"> w </w:t>
      </w:r>
      <w:r w:rsidRPr="00EC250C">
        <w:t xml:space="preserve">budynkach wielolokalowych wciąż jest tematem skarg do Rzecznika Praw Obywatelskich. W licznych wystąpieniach Rzecznik wskazywał na potrzebę uregulowania </w:t>
      </w:r>
      <w:r w:rsidRPr="00EC250C">
        <w:lastRenderedPageBreak/>
        <w:t>zasad rozliczania</w:t>
      </w:r>
      <w:r w:rsidR="00992FD0" w:rsidRPr="00EC250C">
        <w:t xml:space="preserve"> z </w:t>
      </w:r>
      <w:r w:rsidRPr="00EC250C">
        <w:t>indywidualnymi użytkownikami. Jednak mimo kolejnych nowelizacji Prawa energetycznego, takich uregulowań wciąż nie ma</w:t>
      </w:r>
      <w:r w:rsidRPr="00EC250C">
        <w:rPr>
          <w:rStyle w:val="Odwoanieprzypisudolnego"/>
          <w:bCs/>
          <w:iCs/>
        </w:rPr>
        <w:footnoteReference w:id="679"/>
      </w:r>
      <w:r w:rsidRPr="00EC250C">
        <w:t>.</w:t>
      </w:r>
    </w:p>
    <w:p w14:paraId="6E8D6C84" w14:textId="77777777" w:rsidR="00730E58" w:rsidRPr="00EC250C" w:rsidRDefault="00730E58" w:rsidP="00D131FA">
      <w:pPr>
        <w:pStyle w:val="Styl1"/>
      </w:pPr>
      <w:r w:rsidRPr="00EC250C">
        <w:t>Systemy rozliczeń oparte na wskazaniach podzielników kosztów ciepła, nie dają użytkownikom mieszkań poczucia rzetelnego rejestrowania zużycia. Zdaniem skarżących nieprawidłowości często są wynikiem wadliwych regulaminów rozliczeń kosztów,</w:t>
      </w:r>
      <w:r w:rsidR="00992FD0" w:rsidRPr="00EC250C">
        <w:t xml:space="preserve"> w </w:t>
      </w:r>
      <w:r w:rsidRPr="00EC250C">
        <w:t>tym ustalanych przez właściciela lub zarządcę współczynników wyrównawczych zużycia ciepła na ogrzewanie, wynikających</w:t>
      </w:r>
      <w:r w:rsidR="00992FD0" w:rsidRPr="00EC250C">
        <w:t xml:space="preserve"> z </w:t>
      </w:r>
      <w:r w:rsidRPr="00EC250C">
        <w:t>położenia lokalu</w:t>
      </w:r>
      <w:r w:rsidR="00992FD0" w:rsidRPr="00EC250C">
        <w:t xml:space="preserve"> w </w:t>
      </w:r>
      <w:r w:rsidRPr="00EC250C">
        <w:t>budynku. System rozliczania jest stosowany bez uprzedniej termomodernizacji budynków.</w:t>
      </w:r>
    </w:p>
    <w:p w14:paraId="42890295" w14:textId="77777777" w:rsidR="00730E58" w:rsidRPr="00EC250C" w:rsidRDefault="00730E58" w:rsidP="00D131FA">
      <w:pPr>
        <w:pStyle w:val="Styl1"/>
      </w:pPr>
      <w:r w:rsidRPr="00EC250C">
        <w:t>Już</w:t>
      </w:r>
      <w:r w:rsidR="00992FD0" w:rsidRPr="00EC250C">
        <w:t xml:space="preserve"> w </w:t>
      </w:r>
      <w:r w:rsidRPr="00EC250C">
        <w:t>2017</w:t>
      </w:r>
      <w:r w:rsidR="00C91F6E" w:rsidRPr="00EC250C">
        <w:t> r.</w:t>
      </w:r>
      <w:r w:rsidRPr="00EC250C">
        <w:t xml:space="preserve"> Minister Energii zapowiedział powołanie Grupy Roboczej ds. określenia wytycznych dla indywidualnego rozliczania kosztów zakupu ciepła</w:t>
      </w:r>
      <w:r w:rsidR="00992FD0" w:rsidRPr="00EC250C">
        <w:t xml:space="preserve"> w </w:t>
      </w:r>
      <w:r w:rsidRPr="00EC250C">
        <w:t>budynkach wielolokalowych.</w:t>
      </w:r>
      <w:r w:rsidR="00CC4D88" w:rsidRPr="00EC250C">
        <w:t xml:space="preserve"> </w:t>
      </w:r>
      <w:r w:rsidRPr="00EC250C">
        <w:t>Stąd kolejne pytanie RPO</w:t>
      </w:r>
      <w:r w:rsidR="00992FD0" w:rsidRPr="00EC250C">
        <w:t xml:space="preserve"> o </w:t>
      </w:r>
      <w:r w:rsidRPr="00EC250C">
        <w:t>postęp prac.</w:t>
      </w:r>
    </w:p>
    <w:p w14:paraId="1D34E712" w14:textId="77777777" w:rsidR="004501F4" w:rsidRPr="00EC250C" w:rsidRDefault="00B60A08" w:rsidP="00D131FA">
      <w:pPr>
        <w:pStyle w:val="Styl1"/>
        <w:rPr>
          <w:bCs/>
          <w:iCs/>
        </w:rPr>
      </w:pPr>
      <w:r w:rsidRPr="00EC250C">
        <w:rPr>
          <w:bCs/>
          <w:iCs/>
        </w:rPr>
        <w:t>W 2018 r. m</w:t>
      </w:r>
      <w:r w:rsidR="00730E58" w:rsidRPr="00EC250C">
        <w:rPr>
          <w:bCs/>
          <w:iCs/>
        </w:rPr>
        <w:t>inister poinformował, że</w:t>
      </w:r>
      <w:r w:rsidR="00204101" w:rsidRPr="00EC250C">
        <w:rPr>
          <w:bCs/>
          <w:iCs/>
        </w:rPr>
        <w:t>:</w:t>
      </w:r>
    </w:p>
    <w:p w14:paraId="11916852" w14:textId="77777777" w:rsidR="004501F4" w:rsidRPr="00EC250C" w:rsidRDefault="00204101" w:rsidP="006C70B7">
      <w:pPr>
        <w:pStyle w:val="Styl1"/>
        <w:numPr>
          <w:ilvl w:val="0"/>
          <w:numId w:val="157"/>
        </w:numPr>
      </w:pPr>
      <w:r w:rsidRPr="00EC250C">
        <w:t>c</w:t>
      </w:r>
      <w:r w:rsidR="00730E58" w:rsidRPr="00EC250C">
        <w:t>złonkowie Grupy Roboczej 27</w:t>
      </w:r>
      <w:r w:rsidR="00B60A08" w:rsidRPr="00EC250C">
        <w:t> </w:t>
      </w:r>
      <w:r w:rsidR="00730E58" w:rsidRPr="00EC250C">
        <w:t>września 2018</w:t>
      </w:r>
      <w:r w:rsidR="00C91F6E" w:rsidRPr="00EC250C">
        <w:t> r.</w:t>
      </w:r>
      <w:r w:rsidR="00730E58" w:rsidRPr="00EC250C">
        <w:t xml:space="preserve"> ze względu na szeroki zakres zadań oraz</w:t>
      </w:r>
      <w:r w:rsidR="00992FD0" w:rsidRPr="00EC250C">
        <w:t xml:space="preserve"> w </w:t>
      </w:r>
      <w:r w:rsidR="00730E58" w:rsidRPr="00EC250C">
        <w:t xml:space="preserve">celu usprawnienia pracy utworzyli dwa zespoły. </w:t>
      </w:r>
    </w:p>
    <w:p w14:paraId="125BCFE8" w14:textId="77777777" w:rsidR="00730E58" w:rsidRPr="00EC250C" w:rsidRDefault="00204101" w:rsidP="006C70B7">
      <w:pPr>
        <w:pStyle w:val="Styl1"/>
        <w:numPr>
          <w:ilvl w:val="0"/>
          <w:numId w:val="157"/>
        </w:numPr>
      </w:pPr>
      <w:r w:rsidRPr="00EC250C">
        <w:t>p</w:t>
      </w:r>
      <w:r w:rsidR="00730E58" w:rsidRPr="00EC250C">
        <w:t xml:space="preserve">ierwszy </w:t>
      </w:r>
      <w:r w:rsidRPr="00EC250C">
        <w:t xml:space="preserve">zespół </w:t>
      </w:r>
      <w:r w:rsidR="00730E58" w:rsidRPr="00EC250C">
        <w:t>pracuje nad przygotowaniem zbioru zaleceń do metodyki rozliczania kosztów ciepła dostarczonego do budynku wielolokalowego, drugi</w:t>
      </w:r>
      <w:r w:rsidR="00026572" w:rsidRPr="00EC250C">
        <w:t xml:space="preserve"> – </w:t>
      </w:r>
      <w:r w:rsidR="00730E58" w:rsidRPr="00EC250C">
        <w:t>nad techniczną stroną pomiarów ciepła zużytego przez dany budynek/lokal.</w:t>
      </w:r>
    </w:p>
    <w:p w14:paraId="6743C102" w14:textId="77777777" w:rsidR="007322EB" w:rsidRPr="00EC250C" w:rsidRDefault="007322EB" w:rsidP="00D131FA">
      <w:pPr>
        <w:pStyle w:val="Styl1"/>
        <w:rPr>
          <w:spacing w:val="0"/>
        </w:rPr>
      </w:pPr>
      <w:r w:rsidRPr="00EC250C">
        <w:t xml:space="preserve">RPO zamierza zapytać o wyniki  prac tych zespołów. </w:t>
      </w:r>
    </w:p>
    <w:p w14:paraId="2D505FBD" w14:textId="77777777" w:rsidR="00F736E6" w:rsidRPr="00EC250C" w:rsidRDefault="00F736E6" w:rsidP="00D131FA">
      <w:pPr>
        <w:pStyle w:val="ODESANIE"/>
        <w:jc w:val="both"/>
      </w:pPr>
      <w:r w:rsidRPr="00EC250C">
        <w:t>Problem ulgi meldunkowej</w:t>
      </w:r>
      <w:r w:rsidR="004501F4" w:rsidRPr="00EC250C">
        <w:t xml:space="preserve">, czyli konieczności zapłacenia do urzędu skarbowego wysokich kwot z powodu niedopełnienia drobnej formalności </w:t>
      </w:r>
      <w:r w:rsidRPr="00EC250C">
        <w:t xml:space="preserve"> – omówiony </w:t>
      </w:r>
      <w:r w:rsidR="004501F4" w:rsidRPr="00EC250C">
        <w:t xml:space="preserve">w kontekście </w:t>
      </w:r>
      <w:r w:rsidRPr="00EC250C">
        <w:t>problematy</w:t>
      </w:r>
      <w:r w:rsidR="004501F4" w:rsidRPr="00EC250C">
        <w:t xml:space="preserve">ki </w:t>
      </w:r>
      <w:r w:rsidRPr="00EC250C">
        <w:t>art. 217 Konstytucji</w:t>
      </w:r>
      <w:r w:rsidR="004501F4" w:rsidRPr="00EC250C">
        <w:t xml:space="preserve"> (podatki)</w:t>
      </w:r>
    </w:p>
    <w:p w14:paraId="7F75B2B8" w14:textId="77777777" w:rsidR="00F736E6" w:rsidRPr="00EC250C" w:rsidRDefault="00F736E6" w:rsidP="00D131FA">
      <w:pPr>
        <w:spacing w:after="200" w:line="24" w:lineRule="auto"/>
        <w:jc w:val="both"/>
        <w:rPr>
          <w:bCs/>
          <w:iCs/>
          <w:spacing w:val="5"/>
          <w:sz w:val="24"/>
        </w:rPr>
      </w:pPr>
      <w:r w:rsidRPr="00EC250C">
        <w:rPr>
          <w:bCs/>
          <w:iCs/>
          <w:sz w:val="24"/>
        </w:rPr>
        <w:br w:type="page"/>
      </w:r>
    </w:p>
    <w:p w14:paraId="61562D9C" w14:textId="77777777" w:rsidR="00C91F6E" w:rsidRPr="00EC250C" w:rsidRDefault="00EA11F7" w:rsidP="00EC250C">
      <w:pPr>
        <w:pStyle w:val="Nagwek3"/>
      </w:pPr>
      <w:bookmarkStart w:id="669" w:name="_Toc11247814"/>
      <w:r w:rsidRPr="00EC250C">
        <w:lastRenderedPageBreak/>
        <w:t xml:space="preserve">Art. 76 </w:t>
      </w:r>
      <w:r w:rsidR="003C7122" w:rsidRPr="00EC250C">
        <w:t xml:space="preserve">Konstytucji </w:t>
      </w:r>
      <w:r w:rsidRPr="00EC250C">
        <w:t>– Ochrona praw konsumentów</w:t>
      </w:r>
      <w:bookmarkEnd w:id="668"/>
      <w:bookmarkEnd w:id="669"/>
    </w:p>
    <w:p w14:paraId="4220A1BF" w14:textId="77777777" w:rsidR="00EA11F7" w:rsidRPr="00EC250C" w:rsidRDefault="00EA11F7" w:rsidP="00D131FA">
      <w:pPr>
        <w:pStyle w:val="konstytucja"/>
        <w:jc w:val="both"/>
      </w:pPr>
      <w:r w:rsidRPr="00EC250C">
        <w:t>Władze publiczne chronią konsumentów, użytkowników</w:t>
      </w:r>
      <w:r w:rsidR="00992FD0" w:rsidRPr="00EC250C">
        <w:t xml:space="preserve"> i </w:t>
      </w:r>
      <w:r w:rsidRPr="00EC250C">
        <w:t>najemców przed działaniami zagrażającymi ich zdrowiu, prywatności</w:t>
      </w:r>
      <w:r w:rsidR="00992FD0" w:rsidRPr="00EC250C">
        <w:t xml:space="preserve"> i </w:t>
      </w:r>
      <w:r w:rsidRPr="00EC250C">
        <w:t>bezpieczeństwu oraz przed nieuczciwymi praktykami rynkowymi. Zakres tej ochrony określa ustawa.</w:t>
      </w:r>
    </w:p>
    <w:p w14:paraId="78EA01B0" w14:textId="77777777" w:rsidR="00C91F6E" w:rsidRPr="00EC250C" w:rsidRDefault="00452B12" w:rsidP="00D131FA">
      <w:pPr>
        <w:pStyle w:val="ComwiKonstytucja"/>
      </w:pPr>
      <w:r w:rsidRPr="00EC250C">
        <w:t>Przepis ten formułuje kolejną zasadę polityki państwa, która tworzy obowiązki po stronie władz publicznych. Beneficjentami tych obowiązków są konsumenci, użytkownicy</w:t>
      </w:r>
      <w:r w:rsidR="00992FD0" w:rsidRPr="00EC250C">
        <w:t xml:space="preserve"> i </w:t>
      </w:r>
      <w:r w:rsidRPr="00EC250C">
        <w:t>najemcy – nie ma znaczenia zatem kwestia obywatelstwa.</w:t>
      </w:r>
    </w:p>
    <w:p w14:paraId="444FACF5" w14:textId="77777777" w:rsidR="00C91F6E" w:rsidRPr="00EC250C" w:rsidRDefault="00452B12" w:rsidP="00D131FA">
      <w:pPr>
        <w:pStyle w:val="ComwiKonstytucja"/>
      </w:pPr>
      <w:r w:rsidRPr="00EC250C">
        <w:t>Konstytucja nakłada na władze publiczne obowiązek ochrony praw konsumentów, użytkowników</w:t>
      </w:r>
      <w:r w:rsidR="00992FD0" w:rsidRPr="00EC250C">
        <w:t xml:space="preserve"> i </w:t>
      </w:r>
      <w:r w:rsidRPr="00EC250C">
        <w:t>najemców przed działaniami, które mogą zagrozić ich zdrowiu, prywatności</w:t>
      </w:r>
      <w:r w:rsidR="00992FD0" w:rsidRPr="00EC250C">
        <w:t xml:space="preserve"> i </w:t>
      </w:r>
      <w:r w:rsidRPr="00EC250C">
        <w:t>bezpieczeństwu.</w:t>
      </w:r>
    </w:p>
    <w:p w14:paraId="3FAAFBC2" w14:textId="77777777" w:rsidR="00452B12" w:rsidRPr="00EC250C" w:rsidRDefault="00452B12" w:rsidP="00D131FA">
      <w:pPr>
        <w:pStyle w:val="ComwiKonstytucja"/>
      </w:pPr>
      <w:r w:rsidRPr="00EC250C">
        <w:t>Konstytucja chroni też konsumenta przed nieuczciwymi praktykami rynkowymi. Celem działań władz publicznych ma być więc stworzenie takiego systemu prawnego, który pozwoli na zapobieganie</w:t>
      </w:r>
      <w:r w:rsidR="00992FD0" w:rsidRPr="00EC250C">
        <w:t xml:space="preserve"> i </w:t>
      </w:r>
      <w:r w:rsidRPr="00EC250C">
        <w:t>przeciwstawianie się naruszeniom</w:t>
      </w:r>
      <w:r w:rsidR="00992FD0" w:rsidRPr="00EC250C">
        <w:t xml:space="preserve"> w </w:t>
      </w:r>
      <w:r w:rsidRPr="00EC250C">
        <w:t>tym zakresie.</w:t>
      </w:r>
    </w:p>
    <w:p w14:paraId="1D8929A1" w14:textId="77777777" w:rsidR="003E4DBD" w:rsidRPr="00EC250C" w:rsidRDefault="003E4DBD" w:rsidP="00D131FA">
      <w:pPr>
        <w:pStyle w:val="ComwiKonstytucja"/>
      </w:pPr>
    </w:p>
    <w:p w14:paraId="320ECB66" w14:textId="77777777" w:rsidR="00452B12" w:rsidRPr="00EC250C" w:rsidRDefault="00452B12" w:rsidP="00D131FA">
      <w:pPr>
        <w:spacing w:after="200" w:line="24" w:lineRule="auto"/>
        <w:jc w:val="both"/>
        <w:rPr>
          <w:i/>
          <w:spacing w:val="5"/>
          <w:sz w:val="22"/>
        </w:rPr>
      </w:pPr>
      <w:r w:rsidRPr="00EC250C">
        <w:rPr>
          <w:sz w:val="24"/>
        </w:rPr>
        <w:br w:type="page"/>
      </w:r>
    </w:p>
    <w:p w14:paraId="7C9DCD96" w14:textId="77777777" w:rsidR="00A617A9" w:rsidRPr="00EC250C" w:rsidRDefault="00A54F80" w:rsidP="00EC79EB">
      <w:pPr>
        <w:pStyle w:val="Nagwek4"/>
      </w:pPr>
      <w:bookmarkStart w:id="670" w:name="_Toc11247815"/>
      <w:r w:rsidRPr="00EC250C">
        <w:lastRenderedPageBreak/>
        <w:t>Problemy</w:t>
      </w:r>
      <w:r w:rsidR="00992FD0" w:rsidRPr="00EC250C">
        <w:t xml:space="preserve"> z </w:t>
      </w:r>
      <w:r w:rsidRPr="00EC250C">
        <w:t>u</w:t>
      </w:r>
      <w:r w:rsidR="00A617A9" w:rsidRPr="00EC250C">
        <w:t>padłoś</w:t>
      </w:r>
      <w:r w:rsidRPr="00EC250C">
        <w:t>cią</w:t>
      </w:r>
      <w:r w:rsidR="00A617A9" w:rsidRPr="00EC250C">
        <w:t xml:space="preserve"> konsumenck</w:t>
      </w:r>
      <w:r w:rsidRPr="00EC250C">
        <w:t>ą</w:t>
      </w:r>
      <w:bookmarkEnd w:id="670"/>
    </w:p>
    <w:p w14:paraId="4CE4E2E9" w14:textId="77777777" w:rsidR="00B473F5" w:rsidRPr="00EC250C" w:rsidRDefault="00CF16AB" w:rsidP="00D131FA">
      <w:pPr>
        <w:pStyle w:val="Problemczowieka"/>
        <w:jc w:val="both"/>
        <w:rPr>
          <w:rStyle w:val="Pogrubienie"/>
          <w:rFonts w:eastAsiaTheme="majorEastAsia"/>
          <w:b/>
          <w:bCs w:val="0"/>
        </w:rPr>
      </w:pPr>
      <w:r w:rsidRPr="00EC250C">
        <w:rPr>
          <w:rStyle w:val="Pogrubienie"/>
          <w:rFonts w:eastAsiaTheme="majorEastAsia"/>
          <w:b/>
          <w:bCs w:val="0"/>
        </w:rPr>
        <w:t>Upad</w:t>
      </w:r>
      <w:r w:rsidRPr="00EC250C">
        <w:rPr>
          <w:rStyle w:val="Pogrubienie"/>
          <w:rFonts w:eastAsiaTheme="majorEastAsia" w:hint="eastAsia"/>
          <w:b/>
          <w:bCs w:val="0"/>
        </w:rPr>
        <w:t>ł</w:t>
      </w:r>
      <w:r w:rsidRPr="00EC250C">
        <w:rPr>
          <w:rStyle w:val="Pogrubienie"/>
          <w:rFonts w:eastAsiaTheme="majorEastAsia"/>
          <w:b/>
          <w:bCs w:val="0"/>
        </w:rPr>
        <w:t>o</w:t>
      </w:r>
      <w:r w:rsidRPr="00EC250C">
        <w:rPr>
          <w:rStyle w:val="Pogrubienie"/>
          <w:rFonts w:eastAsiaTheme="majorEastAsia" w:hint="eastAsia"/>
          <w:b/>
          <w:bCs w:val="0"/>
        </w:rPr>
        <w:t>ść</w:t>
      </w:r>
      <w:r w:rsidRPr="00EC250C">
        <w:rPr>
          <w:rStyle w:val="Pogrubienie"/>
          <w:rFonts w:eastAsiaTheme="majorEastAsia"/>
          <w:b/>
          <w:bCs w:val="0"/>
        </w:rPr>
        <w:t xml:space="preserve"> konsumencka powinna by</w:t>
      </w:r>
      <w:r w:rsidRPr="00EC250C">
        <w:rPr>
          <w:rStyle w:val="Pogrubienie"/>
          <w:rFonts w:eastAsiaTheme="majorEastAsia" w:hint="eastAsia"/>
          <w:b/>
          <w:bCs w:val="0"/>
        </w:rPr>
        <w:t>ć</w:t>
      </w:r>
      <w:r w:rsidRPr="00EC250C">
        <w:rPr>
          <w:rStyle w:val="Pogrubienie"/>
          <w:rFonts w:eastAsiaTheme="majorEastAsia"/>
          <w:b/>
          <w:bCs w:val="0"/>
        </w:rPr>
        <w:t xml:space="preserve"> uregulowana</w:t>
      </w:r>
      <w:r w:rsidR="00992FD0" w:rsidRPr="00EC250C">
        <w:rPr>
          <w:rStyle w:val="Pogrubienie"/>
          <w:rFonts w:eastAsiaTheme="majorEastAsia"/>
          <w:b/>
          <w:bCs w:val="0"/>
        </w:rPr>
        <w:t xml:space="preserve"> w </w:t>
      </w:r>
      <w:r w:rsidRPr="00EC250C">
        <w:rPr>
          <w:rStyle w:val="Pogrubienie"/>
          <w:rFonts w:eastAsiaTheme="majorEastAsia"/>
          <w:b/>
          <w:bCs w:val="0"/>
        </w:rPr>
        <w:t>odr</w:t>
      </w:r>
      <w:r w:rsidRPr="00EC250C">
        <w:rPr>
          <w:rStyle w:val="Pogrubienie"/>
          <w:rFonts w:eastAsiaTheme="majorEastAsia" w:hint="eastAsia"/>
          <w:b/>
          <w:bCs w:val="0"/>
        </w:rPr>
        <w:t>ę</w:t>
      </w:r>
      <w:r w:rsidRPr="00EC250C">
        <w:rPr>
          <w:rStyle w:val="Pogrubienie"/>
          <w:rFonts w:eastAsiaTheme="majorEastAsia"/>
          <w:b/>
          <w:bCs w:val="0"/>
        </w:rPr>
        <w:t>bnej ustawie,</w:t>
      </w:r>
      <w:r w:rsidR="00992FD0" w:rsidRPr="00EC250C">
        <w:rPr>
          <w:rStyle w:val="Pogrubienie"/>
          <w:rFonts w:eastAsiaTheme="majorEastAsia"/>
          <w:b/>
          <w:bCs w:val="0"/>
        </w:rPr>
        <w:t xml:space="preserve"> a </w:t>
      </w:r>
      <w:r w:rsidRPr="00EC250C">
        <w:rPr>
          <w:rStyle w:val="Pogrubienie"/>
          <w:rFonts w:eastAsiaTheme="majorEastAsia"/>
          <w:b/>
          <w:bCs w:val="0"/>
        </w:rPr>
        <w:t>jej procedura uproszczona. Inaczej przepisy, które mają pomóc człowiekowi</w:t>
      </w:r>
      <w:r w:rsidR="00992FD0" w:rsidRPr="00EC250C">
        <w:rPr>
          <w:rStyle w:val="Pogrubienie"/>
          <w:rFonts w:eastAsiaTheme="majorEastAsia"/>
          <w:b/>
          <w:bCs w:val="0"/>
        </w:rPr>
        <w:t xml:space="preserve"> w </w:t>
      </w:r>
      <w:r w:rsidRPr="00EC250C">
        <w:rPr>
          <w:rStyle w:val="Pogrubienie"/>
          <w:rFonts w:eastAsiaTheme="majorEastAsia"/>
          <w:b/>
          <w:bCs w:val="0"/>
        </w:rPr>
        <w:t>sytuacji bardzo poważnych kłopotów finansowych, nie zadziałają</w:t>
      </w:r>
      <w:r w:rsidR="00B473F5" w:rsidRPr="00EC250C">
        <w:rPr>
          <w:rStyle w:val="Pogrubienie"/>
          <w:rFonts w:eastAsiaTheme="majorEastAsia"/>
          <w:b/>
          <w:bCs w:val="0"/>
        </w:rPr>
        <w:t>.</w:t>
      </w:r>
    </w:p>
    <w:p w14:paraId="03E1E262" w14:textId="77777777" w:rsidR="00C91F6E" w:rsidRPr="00EC250C" w:rsidRDefault="00A617A9" w:rsidP="00D131FA">
      <w:pPr>
        <w:pStyle w:val="Styl1"/>
      </w:pPr>
      <w:r w:rsidRPr="00EC250C">
        <w:t xml:space="preserve">Obecny model upadłości konsumenckiej nie sprzyja realizacji podstawowego celu tej instytucji, tj. oddłużeniu upadłego konsumenta, daniu mu tzw. „drugiej szansy”. W wystąpieniu do Ministra Sprawiedliwości </w:t>
      </w:r>
      <w:r w:rsidR="00135B9D" w:rsidRPr="00EC250C">
        <w:t>RPO</w:t>
      </w:r>
      <w:r w:rsidRPr="00EC250C">
        <w:t xml:space="preserve"> przedstawił szereg problemów związanych</w:t>
      </w:r>
      <w:r w:rsidR="00992FD0" w:rsidRPr="00EC250C">
        <w:t xml:space="preserve"> z </w:t>
      </w:r>
      <w:r w:rsidRPr="00EC250C">
        <w:t>obecnym kształtem przepisów dotyczących upadłości konsumenckiej.</w:t>
      </w:r>
    </w:p>
    <w:p w14:paraId="0BB685FF" w14:textId="77777777" w:rsidR="00C91F6E" w:rsidRPr="00EC250C" w:rsidRDefault="00A617A9" w:rsidP="00D131FA">
      <w:pPr>
        <w:pStyle w:val="Styl1"/>
      </w:pPr>
      <w:r w:rsidRPr="00EC250C">
        <w:t xml:space="preserve">Uwagi Rzecznika </w:t>
      </w:r>
      <w:r w:rsidR="00135B9D" w:rsidRPr="00EC250C">
        <w:t xml:space="preserve">Praw Obywatelskich </w:t>
      </w:r>
      <w:r w:rsidRPr="00EC250C">
        <w:t>dotyczyły zagadnień takich jak</w:t>
      </w:r>
      <w:r w:rsidR="00D52B5C" w:rsidRPr="00EC250C">
        <w:t>:</w:t>
      </w:r>
    </w:p>
    <w:p w14:paraId="743F4A8B" w14:textId="77777777" w:rsidR="00C00B9B" w:rsidRPr="00EC250C" w:rsidRDefault="003B6150" w:rsidP="006C70B7">
      <w:pPr>
        <w:pStyle w:val="Styl1"/>
        <w:numPr>
          <w:ilvl w:val="0"/>
          <w:numId w:val="86"/>
        </w:numPr>
      </w:pPr>
      <w:r w:rsidRPr="00EC250C">
        <w:t xml:space="preserve">konieczność </w:t>
      </w:r>
      <w:r w:rsidR="00A617A9" w:rsidRPr="00EC250C">
        <w:t>uregulowania upadłości konsumenckiej</w:t>
      </w:r>
      <w:r w:rsidR="00992FD0" w:rsidRPr="00EC250C">
        <w:t xml:space="preserve"> w </w:t>
      </w:r>
      <w:r w:rsidR="00A617A9" w:rsidRPr="00EC250C">
        <w:t>odrębnej ustawie,</w:t>
      </w:r>
    </w:p>
    <w:p w14:paraId="3B1BBE91" w14:textId="77777777" w:rsidR="00C91F6E" w:rsidRPr="00EC250C" w:rsidRDefault="003B6150" w:rsidP="006C70B7">
      <w:pPr>
        <w:pStyle w:val="Styl1"/>
        <w:numPr>
          <w:ilvl w:val="0"/>
          <w:numId w:val="86"/>
        </w:numPr>
      </w:pPr>
      <w:r w:rsidRPr="00EC250C">
        <w:t xml:space="preserve">potrzeba </w:t>
      </w:r>
      <w:r w:rsidR="00A617A9" w:rsidRPr="00EC250C">
        <w:t>wyodrębnienia upadłości konsumenckiej na etapie postępowania sądowego,</w:t>
      </w:r>
    </w:p>
    <w:p w14:paraId="326A951F" w14:textId="77777777" w:rsidR="00A617A9" w:rsidRPr="00EC250C" w:rsidRDefault="003B6150" w:rsidP="006C70B7">
      <w:pPr>
        <w:pStyle w:val="Styl1"/>
        <w:numPr>
          <w:ilvl w:val="0"/>
          <w:numId w:val="86"/>
        </w:numPr>
      </w:pPr>
      <w:r w:rsidRPr="00EC250C">
        <w:t xml:space="preserve">długość </w:t>
      </w:r>
      <w:r w:rsidR="00A617A9" w:rsidRPr="00EC250C">
        <w:t>postępowań upadłościowych</w:t>
      </w:r>
      <w:r w:rsidRPr="00EC250C">
        <w:t>,</w:t>
      </w:r>
    </w:p>
    <w:p w14:paraId="3DE794F0" w14:textId="77777777" w:rsidR="00855FEB" w:rsidRPr="00EC250C" w:rsidRDefault="00855FEB" w:rsidP="006C70B7">
      <w:pPr>
        <w:pStyle w:val="Styl1"/>
        <w:numPr>
          <w:ilvl w:val="0"/>
          <w:numId w:val="86"/>
        </w:numPr>
      </w:pPr>
      <w:r w:rsidRPr="00EC250C">
        <w:t>brak należytej edukacji finansowej</w:t>
      </w:r>
      <w:r w:rsidRPr="00EC250C">
        <w:rPr>
          <w:rStyle w:val="Odwoanieprzypisudolnego"/>
          <w:rFonts w:eastAsiaTheme="majorEastAsia"/>
        </w:rPr>
        <w:footnoteReference w:id="680"/>
      </w:r>
      <w:r w:rsidRPr="00EC250C">
        <w:t>.</w:t>
      </w:r>
    </w:p>
    <w:p w14:paraId="78498A62" w14:textId="77777777" w:rsidR="00855FEB" w:rsidRPr="00EC250C" w:rsidRDefault="00855FEB" w:rsidP="00D131FA">
      <w:pPr>
        <w:pStyle w:val="Styl1"/>
      </w:pPr>
      <w:r w:rsidRPr="00EC250C">
        <w:t>Część postulatów Rzecznika została uwzględniona w skierowanym do Sejmu projekcie nowelizacji Prawa upadłościowego</w:t>
      </w:r>
      <w:r w:rsidRPr="00EC250C">
        <w:rPr>
          <w:rStyle w:val="Odwoanieprzypisudolnego"/>
        </w:rPr>
        <w:footnoteReference w:id="681"/>
      </w:r>
      <w:r w:rsidRPr="00EC250C">
        <w:t>. Zawarto w nim m.in. regulacje, które mają zwiększyć bezpieczeństwo małżonka upadłego konsumenta, a także przepisy, które mają w założeniu przyspieszyć procedurę upadłościową.</w:t>
      </w:r>
    </w:p>
    <w:p w14:paraId="384ED194" w14:textId="77777777" w:rsidR="00A617A9" w:rsidRPr="00EC250C" w:rsidRDefault="00A617A9" w:rsidP="00EC250C">
      <w:pPr>
        <w:pStyle w:val="Nagwek8"/>
      </w:pPr>
      <w:r w:rsidRPr="00EC250C">
        <w:t>Spotkanie ekspertów</w:t>
      </w:r>
      <w:r w:rsidR="00992FD0" w:rsidRPr="00EC250C">
        <w:t xml:space="preserve"> w </w:t>
      </w:r>
      <w:r w:rsidRPr="00EC250C">
        <w:t>sprawie nowelizacji prawa upadłościowego</w:t>
      </w:r>
    </w:p>
    <w:p w14:paraId="42CAFDE5" w14:textId="77777777" w:rsidR="00B60A08" w:rsidRPr="00EC250C" w:rsidRDefault="00A617A9" w:rsidP="00D131FA">
      <w:pPr>
        <w:pStyle w:val="Styl2"/>
        <w:rPr>
          <w:szCs w:val="24"/>
        </w:rPr>
      </w:pPr>
      <w:r w:rsidRPr="00EC250C">
        <w:rPr>
          <w:szCs w:val="24"/>
        </w:rPr>
        <w:t>Tezy zawarte</w:t>
      </w:r>
      <w:r w:rsidR="00992FD0" w:rsidRPr="00EC250C">
        <w:rPr>
          <w:szCs w:val="24"/>
        </w:rPr>
        <w:t xml:space="preserve"> w </w:t>
      </w:r>
      <w:r w:rsidRPr="00EC250C">
        <w:rPr>
          <w:szCs w:val="24"/>
        </w:rPr>
        <w:t>skierowanym do Ministra Sprawiedliwości wystąpieniu stanowiły efekt dyskusji na zorganizowanym przez Rzecznika 14 czerwca 2018</w:t>
      </w:r>
      <w:r w:rsidR="00C91F6E" w:rsidRPr="00EC250C">
        <w:rPr>
          <w:szCs w:val="24"/>
        </w:rPr>
        <w:t> r.</w:t>
      </w:r>
      <w:r w:rsidRPr="00EC250C">
        <w:rPr>
          <w:szCs w:val="24"/>
        </w:rPr>
        <w:t xml:space="preserve"> spotkaniu ekspertów</w:t>
      </w:r>
      <w:r w:rsidR="00992FD0" w:rsidRPr="00EC250C">
        <w:rPr>
          <w:szCs w:val="24"/>
        </w:rPr>
        <w:t xml:space="preserve"> w </w:t>
      </w:r>
      <w:r w:rsidRPr="00EC250C">
        <w:rPr>
          <w:szCs w:val="24"/>
        </w:rPr>
        <w:t xml:space="preserve">sprawie nowelizacji prawa upadłościowego. </w:t>
      </w:r>
    </w:p>
    <w:p w14:paraId="007B1FF3" w14:textId="77777777" w:rsidR="00A617A9" w:rsidRPr="00EC250C" w:rsidRDefault="00A617A9" w:rsidP="00D131FA">
      <w:pPr>
        <w:pStyle w:val="Styl2"/>
        <w:rPr>
          <w:szCs w:val="24"/>
        </w:rPr>
      </w:pPr>
      <w:r w:rsidRPr="00EC250C">
        <w:rPr>
          <w:szCs w:val="24"/>
        </w:rPr>
        <w:t>Przedstawiciele środowiska sędziowskiego, uczelni, profesjonalni pełnomocnicy, doradcy restrukturyzacyjni, przedstawiciele organizacji</w:t>
      </w:r>
      <w:r w:rsidR="00CC4D88" w:rsidRPr="00EC250C">
        <w:rPr>
          <w:szCs w:val="24"/>
        </w:rPr>
        <w:t xml:space="preserve"> </w:t>
      </w:r>
      <w:r w:rsidRPr="00EC250C">
        <w:rPr>
          <w:szCs w:val="24"/>
        </w:rPr>
        <w:t>wspierających osoby</w:t>
      </w:r>
      <w:r w:rsidR="00992FD0" w:rsidRPr="00EC250C">
        <w:rPr>
          <w:szCs w:val="24"/>
        </w:rPr>
        <w:t xml:space="preserve"> w </w:t>
      </w:r>
      <w:r w:rsidRPr="00EC250C">
        <w:rPr>
          <w:szCs w:val="24"/>
        </w:rPr>
        <w:t>procesie upadłości wyrazili pozytywne opinie, że system upadłości konsumenckiej</w:t>
      </w:r>
      <w:r w:rsidR="00992FD0" w:rsidRPr="00EC250C">
        <w:rPr>
          <w:szCs w:val="24"/>
        </w:rPr>
        <w:t xml:space="preserve"> w </w:t>
      </w:r>
      <w:r w:rsidRPr="00EC250C">
        <w:rPr>
          <w:szCs w:val="24"/>
        </w:rPr>
        <w:t>ogóle został wprowadzony</w:t>
      </w:r>
      <w:r w:rsidR="00992FD0" w:rsidRPr="00EC250C">
        <w:rPr>
          <w:szCs w:val="24"/>
        </w:rPr>
        <w:t xml:space="preserve"> w </w:t>
      </w:r>
      <w:r w:rsidRPr="00EC250C">
        <w:rPr>
          <w:szCs w:val="24"/>
        </w:rPr>
        <w:t>Polsce. Uczestnicy spotkania zastanawiali się nad polskim modelem upadłości konsumenckiej na tle innych państw europejskich. Wskazano problemy,</w:t>
      </w:r>
      <w:r w:rsidR="00992FD0" w:rsidRPr="00EC250C">
        <w:rPr>
          <w:szCs w:val="24"/>
        </w:rPr>
        <w:t xml:space="preserve"> z </w:t>
      </w:r>
      <w:r w:rsidRPr="00EC250C">
        <w:rPr>
          <w:szCs w:val="24"/>
        </w:rPr>
        <w:t>jakimi spotykają się osoby chcące skorzystać</w:t>
      </w:r>
      <w:r w:rsidR="00992FD0" w:rsidRPr="00EC250C">
        <w:rPr>
          <w:szCs w:val="24"/>
        </w:rPr>
        <w:t xml:space="preserve"> z </w:t>
      </w:r>
      <w:r w:rsidRPr="00EC250C">
        <w:rPr>
          <w:szCs w:val="24"/>
        </w:rPr>
        <w:t>instytucji upadłości konsumenckiej oraz pojawiające się</w:t>
      </w:r>
      <w:r w:rsidR="00992FD0" w:rsidRPr="00EC250C">
        <w:rPr>
          <w:szCs w:val="24"/>
        </w:rPr>
        <w:t xml:space="preserve"> w </w:t>
      </w:r>
      <w:r w:rsidRPr="00EC250C">
        <w:rPr>
          <w:szCs w:val="24"/>
        </w:rPr>
        <w:t>trakcie trwającego postępowania upadłościowego.</w:t>
      </w:r>
    </w:p>
    <w:p w14:paraId="0E855405" w14:textId="77777777" w:rsidR="00C91F6E" w:rsidRPr="00EC250C" w:rsidRDefault="00A617A9" w:rsidP="00D131FA">
      <w:pPr>
        <w:pStyle w:val="Styl2"/>
        <w:rPr>
          <w:szCs w:val="24"/>
        </w:rPr>
      </w:pPr>
      <w:r w:rsidRPr="00EC250C">
        <w:rPr>
          <w:szCs w:val="24"/>
        </w:rPr>
        <w:t xml:space="preserve">Rozpatrywane przez </w:t>
      </w:r>
      <w:r w:rsidR="00135B9D" w:rsidRPr="00EC250C">
        <w:rPr>
          <w:szCs w:val="24"/>
        </w:rPr>
        <w:t>RPO</w:t>
      </w:r>
      <w:r w:rsidRPr="00EC250C">
        <w:rPr>
          <w:szCs w:val="24"/>
        </w:rPr>
        <w:t xml:space="preserve"> skargi pozwalają również na sformułowanie bardzo szczegółowych postulatów dotyczących postępowania</w:t>
      </w:r>
      <w:r w:rsidR="00992FD0" w:rsidRPr="00EC250C">
        <w:rPr>
          <w:szCs w:val="24"/>
        </w:rPr>
        <w:t xml:space="preserve"> w </w:t>
      </w:r>
      <w:r w:rsidRPr="00EC250C">
        <w:rPr>
          <w:szCs w:val="24"/>
        </w:rPr>
        <w:t>sprawie upadłości konsumenckiej.</w:t>
      </w:r>
    </w:p>
    <w:p w14:paraId="2BF4F3C6" w14:textId="77777777" w:rsidR="00C91F6E" w:rsidRPr="00EC250C" w:rsidRDefault="00456E99" w:rsidP="00EC250C">
      <w:pPr>
        <w:pStyle w:val="Nagwek5"/>
      </w:pPr>
      <w:r w:rsidRPr="00EC250C">
        <w:lastRenderedPageBreak/>
        <w:t>Problem doręczania przesyłek pocztowych podczas postępowania upadłościowego</w:t>
      </w:r>
    </w:p>
    <w:p w14:paraId="6F38BB7F" w14:textId="77777777" w:rsidR="00B473F5" w:rsidRPr="00EC250C" w:rsidRDefault="00B60A08" w:rsidP="00D131FA">
      <w:pPr>
        <w:pStyle w:val="Problemczowieka"/>
        <w:jc w:val="both"/>
      </w:pPr>
      <w:r w:rsidRPr="00EC250C">
        <w:t>Po ogłoszeniu upadłości przesyłki adresowane do upadłego zaczynają trafiać do syndyka (zawiadamia on o upadłości placówki pocztowe, a one zaczynają mu te przesyłki przekazywać). Powinien on następnie przekazać je adresatowi, ale przepisy nie wskazują terminu, w jakim to ma nastąpić. Czasem może to nastąpić nawet po kilku miesiącach. Jest to szczególnie dotkliwe, gdy przesyłka pochodzi z sądu, a upadły ma tylko kilka dni na złożenie pisma procesowego</w:t>
      </w:r>
      <w:r w:rsidR="00B473F5" w:rsidRPr="00EC250C">
        <w:t>.</w:t>
      </w:r>
    </w:p>
    <w:p w14:paraId="6E7DE10C" w14:textId="77777777" w:rsidR="00C00B9B" w:rsidRPr="00EC250C" w:rsidRDefault="00A617A9" w:rsidP="00D131FA">
      <w:pPr>
        <w:pStyle w:val="Styl1"/>
      </w:pPr>
      <w:r w:rsidRPr="00EC250C">
        <w:t xml:space="preserve">W wystąpieniu do Ministra Sprawiedliwości </w:t>
      </w:r>
      <w:r w:rsidR="00135B9D" w:rsidRPr="00EC250C">
        <w:t xml:space="preserve">RPO </w:t>
      </w:r>
      <w:r w:rsidR="00C00B9B" w:rsidRPr="00EC250C">
        <w:t xml:space="preserve">wskazał na </w:t>
      </w:r>
      <w:r w:rsidR="00B60A08" w:rsidRPr="00EC250C">
        <w:t xml:space="preserve">ten </w:t>
      </w:r>
      <w:r w:rsidR="00C00B9B" w:rsidRPr="00EC250C">
        <w:t>problem</w:t>
      </w:r>
      <w:r w:rsidRPr="00EC250C">
        <w:t xml:space="preserve"> podczas postępowania upadłościowego</w:t>
      </w:r>
      <w:r w:rsidR="00C00B9B" w:rsidRPr="00EC250C">
        <w:rPr>
          <w:rStyle w:val="Odwoanieprzypisudolnego"/>
          <w:rFonts w:eastAsiaTheme="majorEastAsia"/>
        </w:rPr>
        <w:footnoteReference w:id="682"/>
      </w:r>
      <w:r w:rsidRPr="00EC250C">
        <w:t>.</w:t>
      </w:r>
      <w:r w:rsidR="00855FEB" w:rsidRPr="00EC250C">
        <w:t xml:space="preserve"> Propozycja jego rozwiązania została zawarta we wzmiankowanym wyżej projekcie nowelizacji Prawa upadłościowego (nowe brzmienie art. 176 ust.</w:t>
      </w:r>
      <w:r w:rsidR="002A0915" w:rsidRPr="00EC250C">
        <w:t> </w:t>
      </w:r>
      <w:r w:rsidR="00855FEB" w:rsidRPr="00EC250C">
        <w:t>2). Zakłada ona, że syndyk będzie zobowiązany do zawiadomienia upadłego o wpływie przesyłki niezwiązanej z masą upadłości, a skutek doręczenia tej przesyłki nastąpi z upływem 30</w:t>
      </w:r>
      <w:r w:rsidR="002A0915" w:rsidRPr="00EC250C">
        <w:t> </w:t>
      </w:r>
      <w:r w:rsidR="00855FEB" w:rsidRPr="00EC250C">
        <w:t>dni od doręczenia przesyłki syndykowi.</w:t>
      </w:r>
    </w:p>
    <w:p w14:paraId="6E2F6CC9" w14:textId="77777777" w:rsidR="00456E99" w:rsidRPr="00EC250C" w:rsidRDefault="00456E99" w:rsidP="00EC250C">
      <w:pPr>
        <w:pStyle w:val="Nagwek5"/>
      </w:pPr>
      <w:r w:rsidRPr="00EC250C">
        <w:t>Potrącenia ZUS</w:t>
      </w:r>
      <w:r w:rsidR="00992FD0" w:rsidRPr="00EC250C">
        <w:t xml:space="preserve"> z </w:t>
      </w:r>
      <w:r w:rsidRPr="00EC250C">
        <w:t>emerytur</w:t>
      </w:r>
      <w:r w:rsidR="00992FD0" w:rsidRPr="00EC250C">
        <w:t xml:space="preserve"> i </w:t>
      </w:r>
      <w:r w:rsidRPr="00EC250C">
        <w:t>rent</w:t>
      </w:r>
      <w:r w:rsidR="00992FD0" w:rsidRPr="00EC250C">
        <w:t xml:space="preserve"> w </w:t>
      </w:r>
      <w:r w:rsidRPr="00EC250C">
        <w:t>ramach upadłości konsumenckiej</w:t>
      </w:r>
    </w:p>
    <w:p w14:paraId="2C6D5CB9" w14:textId="77777777" w:rsidR="00286745" w:rsidRPr="00EC250C" w:rsidRDefault="00286745" w:rsidP="00D131FA">
      <w:pPr>
        <w:pStyle w:val="Problemczowieka"/>
        <w:jc w:val="both"/>
      </w:pPr>
      <w:r w:rsidRPr="00EC250C">
        <w:rPr>
          <w:bdr w:val="none" w:sz="0" w:space="0" w:color="auto" w:frame="1"/>
        </w:rPr>
        <w:t>Obywatele skarżą się, że Zakład Ubezpieczeń Społecznych dokonuje zbyt wysokich potrąceń świadczeń emerytalnych i rentowych w postępowaniach o tzw. upadłość konsumencką</w:t>
      </w:r>
      <w:r w:rsidRPr="00EC250C">
        <w:rPr>
          <w:rFonts w:ascii="Open Sans Regular" w:hAnsi="Open Sans Regular"/>
        </w:rPr>
        <w:t>.</w:t>
      </w:r>
    </w:p>
    <w:p w14:paraId="7A8AE8DD" w14:textId="77777777" w:rsidR="00C91F6E" w:rsidRPr="00EC250C" w:rsidRDefault="00B60A08" w:rsidP="00D131FA">
      <w:pPr>
        <w:pStyle w:val="Styl1"/>
      </w:pPr>
      <w:r w:rsidRPr="00EC250C">
        <w:t>RPO</w:t>
      </w:r>
      <w:r w:rsidR="00135B9D" w:rsidRPr="00EC250C">
        <w:t xml:space="preserve"> </w:t>
      </w:r>
      <w:r w:rsidR="00A617A9" w:rsidRPr="00EC250C">
        <w:t>postanowił zbadać praktykę stosowania przepisów</w:t>
      </w:r>
      <w:r w:rsidR="00992FD0" w:rsidRPr="00EC250C">
        <w:t xml:space="preserve"> w </w:t>
      </w:r>
      <w:r w:rsidR="00A617A9" w:rsidRPr="00EC250C">
        <w:t>szerszym zakresie.</w:t>
      </w:r>
    </w:p>
    <w:p w14:paraId="3E146750" w14:textId="77777777" w:rsidR="00823116" w:rsidRPr="00EC250C" w:rsidRDefault="00456E99" w:rsidP="00D131FA">
      <w:pPr>
        <w:pStyle w:val="Styl1"/>
      </w:pPr>
      <w:r w:rsidRPr="00EC250C">
        <w:t>C</w:t>
      </w:r>
      <w:r w:rsidR="00A617A9" w:rsidRPr="00EC250C">
        <w:t xml:space="preserve">o do zasady potrącenie nie powinno przekraczać 25% świadczenia. </w:t>
      </w:r>
      <w:r w:rsidRPr="00EC250C">
        <w:t>W</w:t>
      </w:r>
      <w:r w:rsidR="00A617A9" w:rsidRPr="00EC250C">
        <w:t xml:space="preserve"> praktyce zdarza się, </w:t>
      </w:r>
      <w:r w:rsidRPr="00EC250C">
        <w:t xml:space="preserve">że </w:t>
      </w:r>
      <w:r w:rsidR="00A617A9" w:rsidRPr="00EC250C">
        <w:t xml:space="preserve">ZUS </w:t>
      </w:r>
      <w:r w:rsidRPr="00EC250C">
        <w:t>potrąca więcej</w:t>
      </w:r>
      <w:r w:rsidR="00A617A9" w:rsidRPr="00EC250C">
        <w:t xml:space="preserve">. </w:t>
      </w:r>
      <w:r w:rsidRPr="00EC250C">
        <w:t xml:space="preserve">Dotyczy to </w:t>
      </w:r>
      <w:r w:rsidR="00A617A9" w:rsidRPr="00EC250C">
        <w:t>świadczeń emerytalnych</w:t>
      </w:r>
      <w:r w:rsidR="00992FD0" w:rsidRPr="00EC250C">
        <w:t xml:space="preserve"> i </w:t>
      </w:r>
      <w:r w:rsidR="00A617A9" w:rsidRPr="00EC250C">
        <w:t xml:space="preserve">rentowych. </w:t>
      </w:r>
      <w:r w:rsidRPr="00EC250C">
        <w:t>Z</w:t>
      </w:r>
      <w:r w:rsidR="00A617A9" w:rsidRPr="00EC250C">
        <w:t xml:space="preserve">darzały się również przypadki, że ZUS </w:t>
      </w:r>
      <w:r w:rsidRPr="00EC250C">
        <w:t>zmieniał wysokość potrąceń wobec jednej osoby, choć nie zmieniały się przesłanki, którymi Zakład powinien się kierować</w:t>
      </w:r>
      <w:r w:rsidR="00A617A9" w:rsidRPr="00EC250C">
        <w:t xml:space="preserve">. </w:t>
      </w:r>
      <w:r w:rsidRPr="00EC250C">
        <w:t>Do tego n</w:t>
      </w:r>
      <w:r w:rsidR="00A617A9" w:rsidRPr="00EC250C">
        <w:t xml:space="preserve">iektóre </w:t>
      </w:r>
      <w:r w:rsidRPr="00EC250C">
        <w:t>o</w:t>
      </w:r>
      <w:r w:rsidR="00A617A9" w:rsidRPr="00EC250C">
        <w:t xml:space="preserve">ddziały ZUS dokonują owego obliczenia od kwoty brutto, inne zaś od wartości netto świadczenia. </w:t>
      </w:r>
      <w:r w:rsidR="00135B9D" w:rsidRPr="00EC250C">
        <w:t xml:space="preserve">RPO </w:t>
      </w:r>
      <w:r w:rsidR="00A617A9" w:rsidRPr="00EC250C">
        <w:t>zwrócił się</w:t>
      </w:r>
      <w:r w:rsidR="00A617A9" w:rsidRPr="00EC250C">
        <w:rPr>
          <w:rStyle w:val="Odwoanieprzypisudolnego"/>
          <w:rFonts w:eastAsiaTheme="majorEastAsia"/>
        </w:rPr>
        <w:footnoteReference w:id="683"/>
      </w:r>
      <w:r w:rsidR="00992FD0" w:rsidRPr="00EC250C">
        <w:t xml:space="preserve"> w </w:t>
      </w:r>
      <w:r w:rsidR="00A617A9" w:rsidRPr="00EC250C">
        <w:t>związku</w:t>
      </w:r>
      <w:r w:rsidR="00992FD0" w:rsidRPr="00EC250C">
        <w:t xml:space="preserve"> z </w:t>
      </w:r>
      <w:r w:rsidR="00A617A9" w:rsidRPr="00EC250C">
        <w:t>tym do Prezesa ZUS</w:t>
      </w:r>
      <w:r w:rsidR="00992FD0" w:rsidRPr="00EC250C">
        <w:t xml:space="preserve"> o </w:t>
      </w:r>
      <w:r w:rsidR="00A617A9" w:rsidRPr="00EC250C">
        <w:t>ujednolicenie praktyki.</w:t>
      </w:r>
      <w:r w:rsidR="00823116" w:rsidRPr="00EC250C">
        <w:t xml:space="preserve"> Ten stwierdził, że problemem jest niejednolite orzecznictwo sądowe (które ZUS stara się monitorować), a także odmienne wskazania, jakie zawierają w swoich pismach sądy gospodarcze i syndycy.</w:t>
      </w:r>
    </w:p>
    <w:p w14:paraId="2FCC39D0" w14:textId="77777777" w:rsidR="00A617A9" w:rsidRPr="00EC250C" w:rsidRDefault="00A54F80" w:rsidP="00EC79EB">
      <w:pPr>
        <w:pStyle w:val="Nagwek4"/>
      </w:pPr>
      <w:bookmarkStart w:id="671" w:name="_Toc11247816"/>
      <w:r w:rsidRPr="00EC250C">
        <w:t>Problem niehonorowania notarialnych pełnomocnictw przez banki</w:t>
      </w:r>
      <w:bookmarkEnd w:id="671"/>
    </w:p>
    <w:p w14:paraId="48D29A8F" w14:textId="77777777" w:rsidR="00B473F5" w:rsidRPr="00EC250C" w:rsidRDefault="00A54F80" w:rsidP="00D131FA">
      <w:pPr>
        <w:pStyle w:val="Problemczowieka"/>
        <w:jc w:val="both"/>
      </w:pPr>
      <w:r w:rsidRPr="00EC250C">
        <w:rPr>
          <w:bdr w:val="none" w:sz="0" w:space="0" w:color="auto" w:frame="1"/>
        </w:rPr>
        <w:t>Banki nie uznają notarialnych pełnomocnictw</w:t>
      </w:r>
      <w:r w:rsidR="003B6150" w:rsidRPr="00EC250C">
        <w:rPr>
          <w:bdr w:val="none" w:sz="0" w:space="0" w:color="auto" w:frame="1"/>
        </w:rPr>
        <w:t xml:space="preserve"> do czynności bankowych</w:t>
      </w:r>
      <w:r w:rsidRPr="00EC250C">
        <w:rPr>
          <w:bdr w:val="none" w:sz="0" w:space="0" w:color="auto" w:frame="1"/>
        </w:rPr>
        <w:t xml:space="preserve">. </w:t>
      </w:r>
      <w:r w:rsidRPr="00EC250C">
        <w:t>Ogranicza to dost</w:t>
      </w:r>
      <w:r w:rsidRPr="00EC250C">
        <w:rPr>
          <w:rFonts w:hint="eastAsia"/>
        </w:rPr>
        <w:t>ę</w:t>
      </w:r>
      <w:r w:rsidRPr="00EC250C">
        <w:t>p do pieni</w:t>
      </w:r>
      <w:r w:rsidRPr="00EC250C">
        <w:rPr>
          <w:rFonts w:hint="eastAsia"/>
        </w:rPr>
        <w:t>ę</w:t>
      </w:r>
      <w:r w:rsidRPr="00EC250C">
        <w:t>dzy</w:t>
      </w:r>
      <w:r w:rsidR="00992FD0" w:rsidRPr="00EC250C">
        <w:t xml:space="preserve"> z </w:t>
      </w:r>
      <w:r w:rsidRPr="00EC250C">
        <w:t>konta dla os</w:t>
      </w:r>
      <w:r w:rsidRPr="00EC250C">
        <w:rPr>
          <w:rFonts w:hint="eastAsia"/>
        </w:rPr>
        <w:t>ó</w:t>
      </w:r>
      <w:r w:rsidRPr="00EC250C">
        <w:t>b starszych,</w:t>
      </w:r>
      <w:r w:rsidR="00992FD0" w:rsidRPr="00EC250C">
        <w:t xml:space="preserve"> z </w:t>
      </w:r>
      <w:r w:rsidRPr="00EC250C">
        <w:t>niepe</w:t>
      </w:r>
      <w:r w:rsidRPr="00EC250C">
        <w:rPr>
          <w:rFonts w:hint="eastAsia"/>
        </w:rPr>
        <w:t>ł</w:t>
      </w:r>
      <w:r w:rsidRPr="00EC250C">
        <w:t>nosprawno</w:t>
      </w:r>
      <w:r w:rsidRPr="00EC250C">
        <w:rPr>
          <w:rFonts w:hint="eastAsia"/>
        </w:rPr>
        <w:t>ś</w:t>
      </w:r>
      <w:r w:rsidRPr="00EC250C">
        <w:t>ciami, maj</w:t>
      </w:r>
      <w:r w:rsidRPr="00EC250C">
        <w:rPr>
          <w:rFonts w:hint="eastAsia"/>
        </w:rPr>
        <w:t>ą</w:t>
      </w:r>
      <w:r w:rsidRPr="00EC250C">
        <w:t>cych trudno</w:t>
      </w:r>
      <w:r w:rsidRPr="00EC250C">
        <w:rPr>
          <w:rFonts w:hint="eastAsia"/>
        </w:rPr>
        <w:t>ś</w:t>
      </w:r>
      <w:r w:rsidRPr="00EC250C">
        <w:t>ci</w:t>
      </w:r>
      <w:r w:rsidR="00992FD0" w:rsidRPr="00EC250C">
        <w:t xml:space="preserve"> z </w:t>
      </w:r>
      <w:r w:rsidRPr="00EC250C">
        <w:t>chodzeniem, czy przebywaj</w:t>
      </w:r>
      <w:r w:rsidRPr="00EC250C">
        <w:rPr>
          <w:rFonts w:hint="eastAsia"/>
        </w:rPr>
        <w:t>ą</w:t>
      </w:r>
      <w:r w:rsidRPr="00EC250C">
        <w:t>cych</w:t>
      </w:r>
      <w:r w:rsidR="00992FD0" w:rsidRPr="00EC250C">
        <w:t xml:space="preserve"> w </w:t>
      </w:r>
      <w:r w:rsidRPr="00EC250C">
        <w:t>szpitalach. Banki wymagaj</w:t>
      </w:r>
      <w:r w:rsidRPr="00EC250C">
        <w:rPr>
          <w:rFonts w:hint="eastAsia"/>
        </w:rPr>
        <w:t>ą</w:t>
      </w:r>
      <w:r w:rsidRPr="00EC250C">
        <w:t xml:space="preserve"> bowiem, </w:t>
      </w:r>
      <w:r w:rsidRPr="00EC250C">
        <w:lastRenderedPageBreak/>
        <w:t>aby pe</w:t>
      </w:r>
      <w:r w:rsidRPr="00EC250C">
        <w:rPr>
          <w:rFonts w:hint="eastAsia"/>
        </w:rPr>
        <w:t>ł</w:t>
      </w:r>
      <w:r w:rsidRPr="00EC250C">
        <w:t>nomocnictwo by</w:t>
      </w:r>
      <w:r w:rsidRPr="00EC250C">
        <w:rPr>
          <w:rFonts w:hint="eastAsia"/>
        </w:rPr>
        <w:t>ł</w:t>
      </w:r>
      <w:r w:rsidRPr="00EC250C">
        <w:t>o sporz</w:t>
      </w:r>
      <w:r w:rsidRPr="00EC250C">
        <w:rPr>
          <w:rFonts w:hint="eastAsia"/>
        </w:rPr>
        <w:t>ą</w:t>
      </w:r>
      <w:r w:rsidRPr="00EC250C">
        <w:t>dzane</w:t>
      </w:r>
      <w:r w:rsidR="00992FD0" w:rsidRPr="00EC250C">
        <w:t xml:space="preserve"> w </w:t>
      </w:r>
      <w:r w:rsidRPr="00EC250C">
        <w:t>obecno</w:t>
      </w:r>
      <w:r w:rsidRPr="00EC250C">
        <w:rPr>
          <w:rFonts w:hint="eastAsia"/>
        </w:rPr>
        <w:t>ś</w:t>
      </w:r>
      <w:r w:rsidRPr="00EC250C">
        <w:t>ci ich pracownika, kt</w:t>
      </w:r>
      <w:r w:rsidRPr="00EC250C">
        <w:rPr>
          <w:rFonts w:hint="eastAsia"/>
        </w:rPr>
        <w:t>ó</w:t>
      </w:r>
      <w:r w:rsidRPr="00EC250C">
        <w:t>ry jednak nie mo</w:t>
      </w:r>
      <w:r w:rsidRPr="00EC250C">
        <w:rPr>
          <w:rFonts w:hint="eastAsia"/>
        </w:rPr>
        <w:t>ż</w:t>
      </w:r>
      <w:r w:rsidRPr="00EC250C">
        <w:t xml:space="preserve">e </w:t>
      </w:r>
      <w:r w:rsidR="003B6150" w:rsidRPr="00EC250C">
        <w:t>przyjść</w:t>
      </w:r>
      <w:r w:rsidRPr="00EC250C">
        <w:t xml:space="preserve"> np. </w:t>
      </w:r>
      <w:r w:rsidR="003B6150" w:rsidRPr="00EC250C">
        <w:t xml:space="preserve">do </w:t>
      </w:r>
      <w:r w:rsidRPr="00EC250C">
        <w:t xml:space="preserve">domu starszej osoby, czy </w:t>
      </w:r>
      <w:r w:rsidR="003B6150" w:rsidRPr="00EC250C">
        <w:t>do szpitala</w:t>
      </w:r>
      <w:r w:rsidR="00B473F5" w:rsidRPr="00EC250C">
        <w:t>.</w:t>
      </w:r>
    </w:p>
    <w:p w14:paraId="52802A0D" w14:textId="77777777" w:rsidR="00A617A9" w:rsidRPr="00EC250C" w:rsidRDefault="00135B9D" w:rsidP="00D131FA">
      <w:pPr>
        <w:pStyle w:val="Styl1"/>
      </w:pPr>
      <w:r w:rsidRPr="00EC250C">
        <w:t>RPO</w:t>
      </w:r>
      <w:r w:rsidR="00A617A9" w:rsidRPr="00EC250C">
        <w:t xml:space="preserve"> zwracał się</w:t>
      </w:r>
      <w:r w:rsidR="00992FD0" w:rsidRPr="00EC250C">
        <w:t xml:space="preserve"> w </w:t>
      </w:r>
      <w:r w:rsidR="00A617A9" w:rsidRPr="00EC250C">
        <w:t>tej sprawie do Prezesa Związku Banków Polskich, jednak nie uzyskał satysfakcjonującej odpowiedzi. W związku</w:t>
      </w:r>
      <w:r w:rsidR="00992FD0" w:rsidRPr="00EC250C">
        <w:t xml:space="preserve"> z </w:t>
      </w:r>
      <w:r w:rsidR="00A617A9" w:rsidRPr="00EC250C">
        <w:t>tym, postanowił zwrócić się do Prezesa Krajowej Rady Notarialnej</w:t>
      </w:r>
      <w:r w:rsidR="00992FD0" w:rsidRPr="00EC250C">
        <w:t xml:space="preserve"> w </w:t>
      </w:r>
      <w:r w:rsidR="00A617A9" w:rsidRPr="00EC250C">
        <w:t>sprawie wprowadzenia wzoru pełnomocnictwa udzielanego</w:t>
      </w:r>
      <w:r w:rsidR="00992FD0" w:rsidRPr="00EC250C">
        <w:t xml:space="preserve"> w </w:t>
      </w:r>
      <w:r w:rsidR="00A617A9" w:rsidRPr="00EC250C">
        <w:t>formie aktu notarialnego, który byłby przez banki akceptowany.</w:t>
      </w:r>
    </w:p>
    <w:p w14:paraId="19DA2737" w14:textId="77777777" w:rsidR="005555FD" w:rsidRPr="00EC250C" w:rsidRDefault="005555FD" w:rsidP="00D131FA">
      <w:pPr>
        <w:pStyle w:val="Styl1"/>
      </w:pPr>
      <w:r w:rsidRPr="00EC250C">
        <w:t>W opinii Krajowej Rady Notarialnej nierespektowanie przez instytucje finansowe pełnomocnictw w formie aktu notarialnego, byłoby bezpodstawne i niezrozumiale, ale do Rady sygnały o takich przypadkach nie docierają. Jednak fakt, że interwencja RPO w tej sprawie w Związku Banków Polskich nie spotkała się ze zrozumieniem, budzi też zdumienie Krajowej Rady Notarialnej, jednakże „wydaje się. że tylko odpowiednia inicjatywa ze strony instytucji finansowych może zmienić tę niepopartą przepisami prawa, dotychczasową praktykę”</w:t>
      </w:r>
      <w:r w:rsidRPr="00EC250C">
        <w:rPr>
          <w:rStyle w:val="Odwoanieprzypisudolnego"/>
          <w:rFonts w:eastAsiaTheme="majorEastAsia"/>
        </w:rPr>
        <w:footnoteReference w:id="684"/>
      </w:r>
      <w:r w:rsidRPr="00EC250C">
        <w:t>.</w:t>
      </w:r>
    </w:p>
    <w:p w14:paraId="611F316F" w14:textId="77777777" w:rsidR="00726097" w:rsidRPr="00EC250C" w:rsidRDefault="00726097" w:rsidP="00EC79EB">
      <w:pPr>
        <w:pStyle w:val="Nagwek4"/>
      </w:pPr>
      <w:bookmarkStart w:id="672" w:name="_Toc11247817"/>
      <w:r w:rsidRPr="00EC250C">
        <w:t>Problemy osób, które zaciągnęły tzw. kredyty „frankowe”</w:t>
      </w:r>
      <w:bookmarkEnd w:id="672"/>
    </w:p>
    <w:p w14:paraId="04B861F8" w14:textId="77777777" w:rsidR="00A617A9" w:rsidRPr="00EC250C" w:rsidRDefault="00A617A9" w:rsidP="00EC250C">
      <w:pPr>
        <w:pStyle w:val="Nagwek8"/>
      </w:pPr>
      <w:r w:rsidRPr="00EC250C">
        <w:t>Kluczem do rozwiązania sprawy kredytów „frankowych” jest lepsza znajomość prawa europejskiego</w:t>
      </w:r>
      <w:r w:rsidR="00026572" w:rsidRPr="00EC250C">
        <w:t xml:space="preserve"> – </w:t>
      </w:r>
      <w:r w:rsidRPr="00EC250C">
        <w:t>seminarium</w:t>
      </w:r>
      <w:r w:rsidR="00992FD0" w:rsidRPr="00EC250C">
        <w:t xml:space="preserve"> w </w:t>
      </w:r>
      <w:r w:rsidRPr="00EC250C">
        <w:t>Biurze RPO</w:t>
      </w:r>
    </w:p>
    <w:p w14:paraId="30931720" w14:textId="77777777" w:rsidR="00726097" w:rsidRPr="00EC250C" w:rsidRDefault="00A617A9" w:rsidP="00D131FA">
      <w:pPr>
        <w:pStyle w:val="Styl2"/>
        <w:rPr>
          <w:szCs w:val="24"/>
        </w:rPr>
      </w:pPr>
      <w:r w:rsidRPr="00EC250C">
        <w:rPr>
          <w:szCs w:val="24"/>
        </w:rPr>
        <w:t>Rzecznik Praw Obywatelskich nie jest instytucją, która może ingerować</w:t>
      </w:r>
      <w:r w:rsidR="00992FD0" w:rsidRPr="00EC250C">
        <w:rPr>
          <w:szCs w:val="24"/>
        </w:rPr>
        <w:t xml:space="preserve"> w </w:t>
      </w:r>
      <w:r w:rsidRPr="00EC250C">
        <w:rPr>
          <w:szCs w:val="24"/>
        </w:rPr>
        <w:t>relacje między obywatelami</w:t>
      </w:r>
      <w:r w:rsidR="00992FD0" w:rsidRPr="00EC250C">
        <w:rPr>
          <w:szCs w:val="24"/>
        </w:rPr>
        <w:t xml:space="preserve"> a </w:t>
      </w:r>
      <w:r w:rsidRPr="00EC250C">
        <w:rPr>
          <w:szCs w:val="24"/>
        </w:rPr>
        <w:t>prywatnymi instytucjami. Zajmuje się naruszeniem praw ze strony instytucji państwa. Jednak ponieważ Konstytucja nakłada na władze obowiązek ochrony praw konsumentów, Rzecznik zajmuje się sposobem realizowania tego prawa.</w:t>
      </w:r>
    </w:p>
    <w:p w14:paraId="15EAEAAA" w14:textId="77777777" w:rsidR="00C91F6E" w:rsidRPr="00EC250C" w:rsidRDefault="00A617A9" w:rsidP="00D131FA">
      <w:pPr>
        <w:pStyle w:val="Styl2"/>
        <w:rPr>
          <w:szCs w:val="24"/>
        </w:rPr>
      </w:pPr>
      <w:r w:rsidRPr="00EC250C">
        <w:rPr>
          <w:szCs w:val="24"/>
        </w:rPr>
        <w:t>W 2017</w:t>
      </w:r>
      <w:r w:rsidR="00C91F6E" w:rsidRPr="00EC250C">
        <w:rPr>
          <w:szCs w:val="24"/>
        </w:rPr>
        <w:t> r.</w:t>
      </w:r>
      <w:r w:rsidRPr="00EC250C">
        <w:rPr>
          <w:szCs w:val="24"/>
        </w:rPr>
        <w:t xml:space="preserve"> wraz</w:t>
      </w:r>
      <w:r w:rsidR="00992FD0" w:rsidRPr="00EC250C">
        <w:rPr>
          <w:szCs w:val="24"/>
        </w:rPr>
        <w:t xml:space="preserve"> z </w:t>
      </w:r>
      <w:r w:rsidRPr="00EC250C">
        <w:rPr>
          <w:szCs w:val="24"/>
        </w:rPr>
        <w:t xml:space="preserve">Rzecznikiem Finansowym zorganizował 17 otwartych </w:t>
      </w:r>
      <w:r w:rsidR="0020091E" w:rsidRPr="00EC250C">
        <w:rPr>
          <w:szCs w:val="24"/>
        </w:rPr>
        <w:t xml:space="preserve">spotkań </w:t>
      </w:r>
      <w:r w:rsidRPr="00EC250C">
        <w:rPr>
          <w:szCs w:val="24"/>
        </w:rPr>
        <w:t>dla kredytobiorców</w:t>
      </w:r>
      <w:r w:rsidR="00992FD0" w:rsidRPr="00EC250C">
        <w:rPr>
          <w:szCs w:val="24"/>
        </w:rPr>
        <w:t xml:space="preserve"> w </w:t>
      </w:r>
      <w:r w:rsidRPr="00EC250C">
        <w:rPr>
          <w:szCs w:val="24"/>
        </w:rPr>
        <w:t>14 miastach</w:t>
      </w:r>
      <w:r w:rsidR="00992FD0" w:rsidRPr="00EC250C">
        <w:rPr>
          <w:szCs w:val="24"/>
        </w:rPr>
        <w:t xml:space="preserve"> o </w:t>
      </w:r>
      <w:r w:rsidRPr="00EC250C">
        <w:rPr>
          <w:szCs w:val="24"/>
        </w:rPr>
        <w:t xml:space="preserve">tym, jakie prawa </w:t>
      </w:r>
      <w:r w:rsidR="0020091E" w:rsidRPr="00EC250C">
        <w:rPr>
          <w:szCs w:val="24"/>
        </w:rPr>
        <w:t xml:space="preserve">im </w:t>
      </w:r>
      <w:r w:rsidRPr="00EC250C">
        <w:rPr>
          <w:szCs w:val="24"/>
        </w:rPr>
        <w:t>przysługują</w:t>
      </w:r>
      <w:r w:rsidR="00992FD0" w:rsidRPr="00EC250C">
        <w:rPr>
          <w:szCs w:val="24"/>
        </w:rPr>
        <w:t xml:space="preserve"> i </w:t>
      </w:r>
      <w:r w:rsidRPr="00EC250C">
        <w:rPr>
          <w:szCs w:val="24"/>
        </w:rPr>
        <w:t>jak</w:t>
      </w:r>
      <w:r w:rsidR="00992FD0" w:rsidRPr="00EC250C">
        <w:rPr>
          <w:szCs w:val="24"/>
        </w:rPr>
        <w:t xml:space="preserve"> z </w:t>
      </w:r>
      <w:r w:rsidRPr="00EC250C">
        <w:rPr>
          <w:szCs w:val="24"/>
        </w:rPr>
        <w:t>nich korzystać. Dzięki temu Rzecznik Finansowy odnotował znaczący przyrost wniosków</w:t>
      </w:r>
      <w:r w:rsidR="00992FD0" w:rsidRPr="00EC250C">
        <w:rPr>
          <w:szCs w:val="24"/>
        </w:rPr>
        <w:t xml:space="preserve"> o </w:t>
      </w:r>
      <w:r w:rsidRPr="00EC250C">
        <w:rPr>
          <w:szCs w:val="24"/>
        </w:rPr>
        <w:t>interwencję.</w:t>
      </w:r>
    </w:p>
    <w:p w14:paraId="70392C89" w14:textId="77777777" w:rsidR="00A617A9" w:rsidRPr="00EC250C" w:rsidRDefault="00726097" w:rsidP="00D131FA">
      <w:pPr>
        <w:pStyle w:val="Styl2"/>
        <w:rPr>
          <w:szCs w:val="24"/>
        </w:rPr>
      </w:pPr>
      <w:r w:rsidRPr="00EC250C">
        <w:rPr>
          <w:szCs w:val="24"/>
        </w:rPr>
        <w:t>W 2018</w:t>
      </w:r>
      <w:r w:rsidR="00C91F6E" w:rsidRPr="00EC250C">
        <w:rPr>
          <w:szCs w:val="24"/>
        </w:rPr>
        <w:t> r.</w:t>
      </w:r>
      <w:r w:rsidRPr="00EC250C">
        <w:rPr>
          <w:szCs w:val="24"/>
        </w:rPr>
        <w:t xml:space="preserve"> RPO prowadził współpracę</w:t>
      </w:r>
      <w:r w:rsidR="00992FD0" w:rsidRPr="00EC250C">
        <w:rPr>
          <w:szCs w:val="24"/>
        </w:rPr>
        <w:t xml:space="preserve"> z </w:t>
      </w:r>
      <w:r w:rsidRPr="00EC250C">
        <w:rPr>
          <w:szCs w:val="24"/>
        </w:rPr>
        <w:t>rzecznikami konsumentów</w:t>
      </w:r>
      <w:r w:rsidR="0020091E" w:rsidRPr="00EC250C">
        <w:rPr>
          <w:szCs w:val="24"/>
        </w:rPr>
        <w:t xml:space="preserve"> oraz </w:t>
      </w:r>
      <w:r w:rsidR="00A617A9" w:rsidRPr="00EC250C">
        <w:rPr>
          <w:szCs w:val="24"/>
        </w:rPr>
        <w:t>odbył spotkanie</w:t>
      </w:r>
      <w:r w:rsidR="00992FD0" w:rsidRPr="00EC250C">
        <w:rPr>
          <w:szCs w:val="24"/>
        </w:rPr>
        <w:t xml:space="preserve"> z </w:t>
      </w:r>
      <w:r w:rsidR="00A617A9" w:rsidRPr="00EC250C">
        <w:rPr>
          <w:szCs w:val="24"/>
        </w:rPr>
        <w:t>prawnikami – praktykami, by uzyskać ich opinię, co jeszcze można zrobić</w:t>
      </w:r>
      <w:r w:rsidR="00992FD0" w:rsidRPr="00EC250C">
        <w:rPr>
          <w:szCs w:val="24"/>
        </w:rPr>
        <w:t xml:space="preserve"> w </w:t>
      </w:r>
      <w:r w:rsidR="00A617A9" w:rsidRPr="00EC250C">
        <w:rPr>
          <w:szCs w:val="24"/>
        </w:rPr>
        <w:t>sprawach frankowiczów</w:t>
      </w:r>
      <w:r w:rsidR="00A54F80" w:rsidRPr="00EC250C">
        <w:rPr>
          <w:rStyle w:val="Odwoanieprzypisudolnego"/>
          <w:szCs w:val="24"/>
        </w:rPr>
        <w:footnoteReference w:id="685"/>
      </w:r>
      <w:r w:rsidR="00A617A9" w:rsidRPr="00EC250C">
        <w:rPr>
          <w:szCs w:val="24"/>
        </w:rPr>
        <w:t>.</w:t>
      </w:r>
    </w:p>
    <w:p w14:paraId="5C6E6720" w14:textId="77777777" w:rsidR="00A617A9" w:rsidRPr="00EC250C" w:rsidRDefault="00726097" w:rsidP="00EC79EB">
      <w:pPr>
        <w:pStyle w:val="Nagwek4"/>
      </w:pPr>
      <w:bookmarkStart w:id="673" w:name="_Toc11247818"/>
      <w:r w:rsidRPr="00EC250C">
        <w:t>Skutki kłopotów instytucji finansowych dla obywateli</w:t>
      </w:r>
      <w:bookmarkEnd w:id="673"/>
    </w:p>
    <w:p w14:paraId="12770B13" w14:textId="77777777" w:rsidR="00A54F80" w:rsidRPr="00EC250C" w:rsidRDefault="00A54F80" w:rsidP="00EC250C">
      <w:pPr>
        <w:pStyle w:val="Nagwek8"/>
        <w:rPr>
          <w:spacing w:val="0"/>
        </w:rPr>
      </w:pPr>
      <w:r w:rsidRPr="00EC250C">
        <w:t>Członkowie upadłego SKOK-u mają podwyższyć swe udziały</w:t>
      </w:r>
      <w:r w:rsidR="00992FD0" w:rsidRPr="00EC250C">
        <w:t xml:space="preserve"> o </w:t>
      </w:r>
      <w:r w:rsidRPr="00EC250C">
        <w:t>950</w:t>
      </w:r>
      <w:r w:rsidR="0020091E" w:rsidRPr="00EC250C">
        <w:t>%</w:t>
      </w:r>
      <w:r w:rsidR="00B60A08" w:rsidRPr="00EC250C">
        <w:t>?</w:t>
      </w:r>
    </w:p>
    <w:p w14:paraId="7BF08036" w14:textId="77777777" w:rsidR="00B60A08" w:rsidRPr="00EC250C" w:rsidRDefault="00A617A9" w:rsidP="00D131FA">
      <w:pPr>
        <w:pStyle w:val="Styl2"/>
        <w:rPr>
          <w:szCs w:val="24"/>
        </w:rPr>
      </w:pPr>
      <w:r w:rsidRPr="00EC250C">
        <w:rPr>
          <w:szCs w:val="24"/>
        </w:rPr>
        <w:t xml:space="preserve">Problemy finansowe niektórych </w:t>
      </w:r>
      <w:r w:rsidR="00A54F80" w:rsidRPr="00EC250C">
        <w:rPr>
          <w:szCs w:val="24"/>
        </w:rPr>
        <w:t>s</w:t>
      </w:r>
      <w:r w:rsidRPr="00EC250C">
        <w:rPr>
          <w:szCs w:val="24"/>
        </w:rPr>
        <w:t xml:space="preserve">półdzielczych </w:t>
      </w:r>
      <w:r w:rsidR="00A54F80" w:rsidRPr="00EC250C">
        <w:rPr>
          <w:szCs w:val="24"/>
        </w:rPr>
        <w:t>k</w:t>
      </w:r>
      <w:r w:rsidRPr="00EC250C">
        <w:rPr>
          <w:szCs w:val="24"/>
        </w:rPr>
        <w:t xml:space="preserve">as </w:t>
      </w:r>
      <w:r w:rsidR="00A54F80" w:rsidRPr="00EC250C">
        <w:rPr>
          <w:szCs w:val="24"/>
        </w:rPr>
        <w:t>o</w:t>
      </w:r>
      <w:r w:rsidRPr="00EC250C">
        <w:rPr>
          <w:szCs w:val="24"/>
        </w:rPr>
        <w:t>szczędnościowo-</w:t>
      </w:r>
      <w:r w:rsidR="00A54F80" w:rsidRPr="00EC250C">
        <w:rPr>
          <w:szCs w:val="24"/>
        </w:rPr>
        <w:t>k</w:t>
      </w:r>
      <w:r w:rsidRPr="00EC250C">
        <w:rPr>
          <w:szCs w:val="24"/>
        </w:rPr>
        <w:t xml:space="preserve">redytowych </w:t>
      </w:r>
      <w:r w:rsidR="00A54F80" w:rsidRPr="00EC250C">
        <w:rPr>
          <w:szCs w:val="24"/>
        </w:rPr>
        <w:t xml:space="preserve">(SKOK) </w:t>
      </w:r>
      <w:r w:rsidRPr="00EC250C">
        <w:rPr>
          <w:szCs w:val="24"/>
        </w:rPr>
        <w:t>odbijają się dotkliwie na ich członkach, choć ci</w:t>
      </w:r>
      <w:r w:rsidR="00992FD0" w:rsidRPr="00EC250C">
        <w:rPr>
          <w:szCs w:val="24"/>
        </w:rPr>
        <w:t xml:space="preserve"> w </w:t>
      </w:r>
      <w:r w:rsidRPr="00EC250C">
        <w:rPr>
          <w:szCs w:val="24"/>
        </w:rPr>
        <w:t>żaden sposób nie przyczynili się do trudnej sytuacji kasy. Są wzywani przez syndyków masy upadłości do opłacenia podwyższonych udziałów</w:t>
      </w:r>
      <w:r w:rsidR="00992FD0" w:rsidRPr="00EC250C">
        <w:rPr>
          <w:szCs w:val="24"/>
        </w:rPr>
        <w:t xml:space="preserve"> </w:t>
      </w:r>
      <w:r w:rsidR="00992FD0" w:rsidRPr="00EC250C">
        <w:rPr>
          <w:szCs w:val="24"/>
        </w:rPr>
        <w:lastRenderedPageBreak/>
        <w:t>w </w:t>
      </w:r>
      <w:r w:rsidRPr="00EC250C">
        <w:rPr>
          <w:szCs w:val="24"/>
        </w:rPr>
        <w:t>kasie.</w:t>
      </w:r>
      <w:r w:rsidR="00B60A08" w:rsidRPr="00EC250C">
        <w:rPr>
          <w:szCs w:val="24"/>
        </w:rPr>
        <w:t xml:space="preserve"> </w:t>
      </w:r>
      <w:r w:rsidRPr="00EC250C">
        <w:rPr>
          <w:szCs w:val="24"/>
        </w:rPr>
        <w:t>Przykładowo, Syndyk SKOK „Skarbiec” zażądał uiszczenia udziałów podwyższonych</w:t>
      </w:r>
      <w:r w:rsidR="00992FD0" w:rsidRPr="00EC250C">
        <w:rPr>
          <w:szCs w:val="24"/>
        </w:rPr>
        <w:t xml:space="preserve"> o </w:t>
      </w:r>
      <w:r w:rsidRPr="00EC250C">
        <w:rPr>
          <w:szCs w:val="24"/>
        </w:rPr>
        <w:t xml:space="preserve">950%. Co gorsza, obowiązujące przepisy utrudniają również członkom kas zakwestionowanie takich praktyk przed sądem. </w:t>
      </w:r>
    </w:p>
    <w:p w14:paraId="54738D2E" w14:textId="77777777" w:rsidR="00C91F6E" w:rsidRPr="00EC250C" w:rsidRDefault="00A617A9" w:rsidP="00D131FA">
      <w:pPr>
        <w:pStyle w:val="Styl1"/>
      </w:pPr>
      <w:r w:rsidRPr="00EC250C">
        <w:t xml:space="preserve">Tego rodzaju przypadki skłoniły </w:t>
      </w:r>
      <w:r w:rsidR="00135B9D" w:rsidRPr="00EC250C">
        <w:t>RPO</w:t>
      </w:r>
      <w:r w:rsidRPr="00EC250C">
        <w:t xml:space="preserve"> do zwrócenia się do Ministra Sprawiedliwości</w:t>
      </w:r>
      <w:r w:rsidRPr="00EC250C">
        <w:rPr>
          <w:rStyle w:val="Odwoanieprzypisudolnego"/>
          <w:iCs/>
        </w:rPr>
        <w:footnoteReference w:id="686"/>
      </w:r>
      <w:r w:rsidR="00992FD0" w:rsidRPr="00EC250C">
        <w:t xml:space="preserve"> o </w:t>
      </w:r>
      <w:r w:rsidRPr="00EC250C">
        <w:t>przedstawienie stanowiska oraz rozważenie przygotowania nowelizacji odpowiednich przepisów.</w:t>
      </w:r>
      <w:r w:rsidR="005555FD" w:rsidRPr="00EC250C">
        <w:t xml:space="preserve"> Odpowiedź nie nadeszła.</w:t>
      </w:r>
    </w:p>
    <w:p w14:paraId="6FFBF766" w14:textId="77777777" w:rsidR="00A617A9" w:rsidRPr="00EC250C" w:rsidRDefault="00A617A9" w:rsidP="00EC250C">
      <w:pPr>
        <w:pStyle w:val="Nagwek8"/>
      </w:pPr>
      <w:r w:rsidRPr="00EC250C">
        <w:t>Co</w:t>
      </w:r>
      <w:r w:rsidR="00992FD0" w:rsidRPr="00EC250C">
        <w:t xml:space="preserve"> z </w:t>
      </w:r>
      <w:r w:rsidRPr="00EC250C">
        <w:t>obligatariuszami GetBack SA?</w:t>
      </w:r>
    </w:p>
    <w:p w14:paraId="304EEE28" w14:textId="77777777" w:rsidR="00823116" w:rsidRPr="00EC250C" w:rsidRDefault="00A617A9" w:rsidP="00D131FA">
      <w:pPr>
        <w:pStyle w:val="Styl2"/>
        <w:rPr>
          <w:rFonts w:ascii="TimesNewRomanPSMT" w:eastAsiaTheme="minorHAnsi" w:hAnsi="TimesNewRomanPSMT" w:cs="TimesNewRomanPSMT"/>
          <w:lang w:eastAsia="en-US"/>
        </w:rPr>
      </w:pPr>
      <w:r w:rsidRPr="00EC250C">
        <w:rPr>
          <w:szCs w:val="24"/>
        </w:rPr>
        <w:t xml:space="preserve">Tzw. afera GetBack ma bardzo negatywne skutki dla obligatariuszy tej Spółki – </w:t>
      </w:r>
      <w:r w:rsidR="0020091E" w:rsidRPr="00EC250C">
        <w:rPr>
          <w:szCs w:val="24"/>
        </w:rPr>
        <w:t>osób</w:t>
      </w:r>
      <w:r w:rsidRPr="00EC250C">
        <w:rPr>
          <w:szCs w:val="24"/>
        </w:rPr>
        <w:t>, które nabyły</w:t>
      </w:r>
      <w:r w:rsidR="00992FD0" w:rsidRPr="00EC250C">
        <w:rPr>
          <w:szCs w:val="24"/>
        </w:rPr>
        <w:t xml:space="preserve"> w </w:t>
      </w:r>
      <w:r w:rsidRPr="00EC250C">
        <w:rPr>
          <w:szCs w:val="24"/>
        </w:rPr>
        <w:t xml:space="preserve">ramach oferty niepublicznej obligacje przez nią emitowane. Poszkodowanych może być nawet 9 tysięcy. </w:t>
      </w:r>
      <w:r w:rsidR="00135B9D" w:rsidRPr="00EC250C">
        <w:rPr>
          <w:szCs w:val="24"/>
        </w:rPr>
        <w:t xml:space="preserve">RPO </w:t>
      </w:r>
      <w:r w:rsidRPr="00EC250C">
        <w:rPr>
          <w:szCs w:val="24"/>
        </w:rPr>
        <w:t>spotkał się 6 września 2018</w:t>
      </w:r>
      <w:r w:rsidR="00C91F6E" w:rsidRPr="00EC250C">
        <w:rPr>
          <w:szCs w:val="24"/>
        </w:rPr>
        <w:t> r.</w:t>
      </w:r>
      <w:r w:rsidR="00992FD0" w:rsidRPr="00EC250C">
        <w:rPr>
          <w:szCs w:val="24"/>
        </w:rPr>
        <w:t xml:space="preserve"> z </w:t>
      </w:r>
      <w:r w:rsidRPr="00EC250C">
        <w:rPr>
          <w:szCs w:val="24"/>
        </w:rPr>
        <w:t xml:space="preserve">przedstawicielami </w:t>
      </w:r>
      <w:r w:rsidRPr="00EC250C">
        <w:rPr>
          <w:rFonts w:ascii="TimesNewRomanPSMT" w:eastAsiaTheme="minorHAnsi" w:hAnsi="TimesNewRomanPSMT" w:cs="TimesNewRomanPSMT"/>
          <w:lang w:eastAsia="en-US"/>
        </w:rPr>
        <w:t>Stowarzyszenia Poszkodowanych Obligatariuszy GetBack SA</w:t>
      </w:r>
      <w:r w:rsidR="00992FD0" w:rsidRPr="00EC250C">
        <w:rPr>
          <w:rFonts w:ascii="TimesNewRomanPSMT" w:eastAsiaTheme="minorHAnsi" w:hAnsi="TimesNewRomanPSMT" w:cs="TimesNewRomanPSMT"/>
          <w:lang w:eastAsia="en-US"/>
        </w:rPr>
        <w:t xml:space="preserve"> w </w:t>
      </w:r>
      <w:r w:rsidRPr="00EC250C">
        <w:rPr>
          <w:rFonts w:ascii="TimesNewRomanPSMT" w:eastAsiaTheme="minorHAnsi" w:hAnsi="TimesNewRomanPSMT" w:cs="TimesNewRomanPSMT"/>
          <w:lang w:eastAsia="en-US"/>
        </w:rPr>
        <w:t>celu przedyskutowania możliwej do udzielenia przez Rzecznika pomocy</w:t>
      </w:r>
      <w:r w:rsidR="00992FD0" w:rsidRPr="00EC250C">
        <w:rPr>
          <w:rFonts w:ascii="TimesNewRomanPSMT" w:eastAsiaTheme="minorHAnsi" w:hAnsi="TimesNewRomanPSMT" w:cs="TimesNewRomanPSMT"/>
          <w:lang w:eastAsia="en-US"/>
        </w:rPr>
        <w:t xml:space="preserve"> w </w:t>
      </w:r>
      <w:r w:rsidRPr="00EC250C">
        <w:rPr>
          <w:rFonts w:ascii="TimesNewRomanPSMT" w:eastAsiaTheme="minorHAnsi" w:hAnsi="TimesNewRomanPSMT" w:cs="TimesNewRomanPSMT"/>
          <w:lang w:eastAsia="en-US"/>
        </w:rPr>
        <w:t>tej sprawie</w:t>
      </w:r>
      <w:r w:rsidR="00726097" w:rsidRPr="00EC250C">
        <w:rPr>
          <w:rStyle w:val="Odwoanieprzypisudolnego"/>
          <w:rFonts w:ascii="TimesNewRomanPSMT" w:eastAsiaTheme="minorHAnsi" w:hAnsi="TimesNewRomanPSMT" w:cs="TimesNewRomanPSMT"/>
          <w:lang w:eastAsia="en-US"/>
        </w:rPr>
        <w:footnoteReference w:id="687"/>
      </w:r>
      <w:r w:rsidRPr="00EC250C">
        <w:rPr>
          <w:rFonts w:ascii="TimesNewRomanPSMT" w:eastAsiaTheme="minorHAnsi" w:hAnsi="TimesNewRomanPSMT" w:cs="TimesNewRomanPSMT"/>
          <w:lang w:eastAsia="en-US"/>
        </w:rPr>
        <w:t>.</w:t>
      </w:r>
      <w:r w:rsidR="00823116" w:rsidRPr="00EC250C">
        <w:rPr>
          <w:rFonts w:ascii="TimesNewRomanPSMT" w:eastAsiaTheme="minorHAnsi" w:hAnsi="TimesNewRomanPSMT" w:cs="TimesNewRomanPSMT"/>
          <w:lang w:eastAsia="en-US"/>
        </w:rPr>
        <w:t xml:space="preserve"> W rezultacie Rzecznik skierował szereg wystąpień: do Prokuratora Krajowego w sprawie toczącego się postępowania karnego, a także do Prezesa Komisji Nadzoru Finansowego i Rzecznika Finansowego w sprawie działań, jakie te organy mogą podjąć na rzecz obligatariuszy. Sprawa pozostaje w toku.</w:t>
      </w:r>
    </w:p>
    <w:p w14:paraId="5F132FCC" w14:textId="77777777" w:rsidR="00C91F6E" w:rsidRPr="00EC250C" w:rsidRDefault="00A617A9" w:rsidP="00EC79EB">
      <w:pPr>
        <w:pStyle w:val="Nagwek4"/>
      </w:pPr>
      <w:bookmarkStart w:id="674" w:name="_Toc11247819"/>
      <w:r w:rsidRPr="00EC250C">
        <w:t xml:space="preserve">Regulacje chroniące interesy osób oddających </w:t>
      </w:r>
      <w:r w:rsidR="005467C2" w:rsidRPr="00EC250C">
        <w:t>mieszkanie</w:t>
      </w:r>
      <w:r w:rsidR="00992FD0" w:rsidRPr="00EC250C">
        <w:t xml:space="preserve"> w </w:t>
      </w:r>
      <w:r w:rsidRPr="00EC250C">
        <w:t xml:space="preserve">zamian za </w:t>
      </w:r>
      <w:r w:rsidR="005467C2" w:rsidRPr="00EC250C">
        <w:t>renty</w:t>
      </w:r>
      <w:bookmarkEnd w:id="674"/>
    </w:p>
    <w:p w14:paraId="7E1D98F2" w14:textId="77777777" w:rsidR="00B473F5" w:rsidRPr="00EC250C" w:rsidRDefault="00D52B5C" w:rsidP="00D131FA">
      <w:pPr>
        <w:pStyle w:val="Problemczowieka"/>
        <w:jc w:val="both"/>
        <w:rPr>
          <w:bdr w:val="none" w:sz="0" w:space="0" w:color="auto" w:frame="1"/>
        </w:rPr>
      </w:pPr>
      <w:r w:rsidRPr="00EC250C">
        <w:rPr>
          <w:bdr w:val="none" w:sz="0" w:space="0" w:color="auto" w:frame="1"/>
        </w:rPr>
        <w:t>Coraz więcej starszych osób oddaje mieszkania</w:t>
      </w:r>
      <w:r w:rsidR="00992FD0" w:rsidRPr="00EC250C">
        <w:rPr>
          <w:bdr w:val="none" w:sz="0" w:space="0" w:color="auto" w:frame="1"/>
        </w:rPr>
        <w:t xml:space="preserve"> w </w:t>
      </w:r>
      <w:r w:rsidRPr="00EC250C">
        <w:rPr>
          <w:bdr w:val="none" w:sz="0" w:space="0" w:color="auto" w:frame="1"/>
        </w:rPr>
        <w:t>zamian za renty. Brak przepisów dotyczących tego rodzaju umów zagraża jednak prawom tych osób</w:t>
      </w:r>
      <w:r w:rsidR="00B473F5" w:rsidRPr="00EC250C">
        <w:rPr>
          <w:bdr w:val="none" w:sz="0" w:space="0" w:color="auto" w:frame="1"/>
        </w:rPr>
        <w:t>.</w:t>
      </w:r>
    </w:p>
    <w:p w14:paraId="50817513" w14:textId="77777777" w:rsidR="00D52B5C" w:rsidRPr="00EC250C" w:rsidRDefault="00D52B5C" w:rsidP="00D131FA">
      <w:pPr>
        <w:pStyle w:val="Styl1"/>
        <w:rPr>
          <w:rFonts w:ascii="Open Sans Regular" w:hAnsi="Open Sans Regular"/>
        </w:rPr>
      </w:pPr>
      <w:r w:rsidRPr="00EC250C">
        <w:rPr>
          <w:bdr w:val="none" w:sz="0" w:space="0" w:color="auto" w:frame="1"/>
        </w:rPr>
        <w:t>W tych umowach człowiek jest zawsze stroną słabszą niż firma, dlatego państwo ma obowiązek wesprzeć go prawnie. W związku</w:t>
      </w:r>
      <w:r w:rsidR="00992FD0" w:rsidRPr="00EC250C">
        <w:rPr>
          <w:bdr w:val="none" w:sz="0" w:space="0" w:color="auto" w:frame="1"/>
        </w:rPr>
        <w:t xml:space="preserve"> z </w:t>
      </w:r>
      <w:r w:rsidRPr="00EC250C">
        <w:rPr>
          <w:bdr w:val="none" w:sz="0" w:space="0" w:color="auto" w:frame="1"/>
        </w:rPr>
        <w:t>tym RPO apelował do Ministra Inwestycji</w:t>
      </w:r>
      <w:r w:rsidR="00992FD0" w:rsidRPr="00EC250C">
        <w:rPr>
          <w:bdr w:val="none" w:sz="0" w:space="0" w:color="auto" w:frame="1"/>
        </w:rPr>
        <w:t xml:space="preserve"> i </w:t>
      </w:r>
      <w:r w:rsidRPr="00EC250C">
        <w:rPr>
          <w:bdr w:val="none" w:sz="0" w:space="0" w:color="auto" w:frame="1"/>
        </w:rPr>
        <w:t>Rozwoju</w:t>
      </w:r>
      <w:r w:rsidR="00992FD0" w:rsidRPr="00EC250C">
        <w:rPr>
          <w:bdr w:val="none" w:sz="0" w:space="0" w:color="auto" w:frame="1"/>
        </w:rPr>
        <w:t xml:space="preserve"> o </w:t>
      </w:r>
      <w:r w:rsidRPr="00EC250C">
        <w:rPr>
          <w:bdr w:val="none" w:sz="0" w:space="0" w:color="auto" w:frame="1"/>
        </w:rPr>
        <w:t>wznowienie prac nad porzuconym kilka lat temu projektem ustawy</w:t>
      </w:r>
      <w:r w:rsidRPr="00EC250C">
        <w:rPr>
          <w:rStyle w:val="Odwoanieprzypisudolnego"/>
          <w:rFonts w:eastAsiaTheme="majorEastAsia"/>
        </w:rPr>
        <w:footnoteReference w:id="688"/>
      </w:r>
      <w:r w:rsidRPr="00EC250C">
        <w:rPr>
          <w:bdr w:val="none" w:sz="0" w:space="0" w:color="auto" w:frame="1"/>
        </w:rPr>
        <w:t>.</w:t>
      </w:r>
    </w:p>
    <w:p w14:paraId="117528CE" w14:textId="77777777" w:rsidR="002A0915" w:rsidRPr="00EC250C" w:rsidRDefault="00D52B5C" w:rsidP="00D131FA">
      <w:pPr>
        <w:jc w:val="both"/>
        <w:rPr>
          <w:sz w:val="24"/>
        </w:rPr>
      </w:pPr>
      <w:r w:rsidRPr="00EC250C">
        <w:rPr>
          <w:sz w:val="24"/>
        </w:rPr>
        <w:t>Minister odpowiedział, że dostrzega problem, jednak kwestia uregulowania rynku rent dożywotnich jest bardzo złożona, łączy bowiem zagadnienia</w:t>
      </w:r>
      <w:r w:rsidR="00992FD0" w:rsidRPr="00EC250C">
        <w:rPr>
          <w:sz w:val="24"/>
        </w:rPr>
        <w:t xml:space="preserve"> z </w:t>
      </w:r>
      <w:r w:rsidRPr="00EC250C">
        <w:rPr>
          <w:sz w:val="24"/>
        </w:rPr>
        <w:t>zakresu prawa cywilnego, administracyjnego, finansowego</w:t>
      </w:r>
      <w:r w:rsidR="00992FD0" w:rsidRPr="00EC250C">
        <w:rPr>
          <w:sz w:val="24"/>
        </w:rPr>
        <w:t xml:space="preserve"> i </w:t>
      </w:r>
      <w:r w:rsidRPr="00EC250C">
        <w:rPr>
          <w:sz w:val="24"/>
        </w:rPr>
        <w:t>karnego.</w:t>
      </w:r>
      <w:r w:rsidR="002A0915" w:rsidRPr="00EC250C">
        <w:rPr>
          <w:sz w:val="24"/>
        </w:rPr>
        <w:t xml:space="preserve"> </w:t>
      </w:r>
    </w:p>
    <w:p w14:paraId="56AB2493" w14:textId="77777777" w:rsidR="002A0915" w:rsidRPr="00EC250C" w:rsidRDefault="002A0915" w:rsidP="00EC250C">
      <w:pPr>
        <w:pStyle w:val="Nagwek8"/>
      </w:pPr>
      <w:r w:rsidRPr="00EC250C">
        <w:t>Druki stosowane przez przedsiębiorców są często nieczytelne.</w:t>
      </w:r>
    </w:p>
    <w:p w14:paraId="7EA70F03" w14:textId="77777777" w:rsidR="00C91F6E" w:rsidRPr="00EC250C" w:rsidRDefault="002A0915" w:rsidP="00D131FA">
      <w:pPr>
        <w:pStyle w:val="Styl2"/>
        <w:rPr>
          <w:szCs w:val="24"/>
        </w:rPr>
      </w:pPr>
      <w:r w:rsidRPr="00EC250C">
        <w:rPr>
          <w:szCs w:val="24"/>
        </w:rPr>
        <w:t xml:space="preserve">Problem ten jest często zgłaszany Rzecznikowi podczas spotkań regionalnych, zwłaszcza przez osoby starsze. Przedsiębiorcy, konstruując stosowane przez siebie druki i formularze nie dbają w odpowiedni sposób o ich czytelność. Jeśli, często skomplikowane, informacje są pisane drobnym drukiem, trudno jest oczekiwać od konsumenta, by je zrozumiał. Przykładem tego rodzaju spraw badanych przez Rzecznika jest stosowanie przez jednego z dostawców energii </w:t>
      </w:r>
      <w:r w:rsidRPr="00EC250C">
        <w:rPr>
          <w:szCs w:val="24"/>
        </w:rPr>
        <w:lastRenderedPageBreak/>
        <w:t>elektrycznej wzorców umów zapisanych bardzo drobnym drukiem. O swoich wątpliwościach związanych ze stosowaniem tego rodzaju praktyki Rzecznik poinformował Prezesa Urzędu Ochrony Konkurencji i Konsumentów</w:t>
      </w:r>
      <w:r w:rsidRPr="00EC250C">
        <w:rPr>
          <w:rStyle w:val="Odwoanieprzypisudolnego"/>
          <w:szCs w:val="24"/>
        </w:rPr>
        <w:footnoteReference w:id="689"/>
      </w:r>
      <w:r w:rsidRPr="00EC250C">
        <w:rPr>
          <w:szCs w:val="24"/>
        </w:rPr>
        <w:t xml:space="preserve">, który, w rezultacie, podjął postępowanie wyjaśniające wobec przedsiębiorcy. Sprawa pozostaje w toku. </w:t>
      </w:r>
    </w:p>
    <w:p w14:paraId="69F7F0B4" w14:textId="77777777" w:rsidR="00A617A9" w:rsidRPr="00EC250C" w:rsidRDefault="00A617A9" w:rsidP="00EC79EB">
      <w:pPr>
        <w:pStyle w:val="Nagwek4"/>
      </w:pPr>
      <w:bookmarkStart w:id="675" w:name="_Toc11247820"/>
      <w:r w:rsidRPr="00EC250C">
        <w:t>Co</w:t>
      </w:r>
      <w:r w:rsidR="00992FD0" w:rsidRPr="00EC250C">
        <w:t xml:space="preserve"> z </w:t>
      </w:r>
      <w:r w:rsidRPr="00EC250C">
        <w:t>wykazem postępowań grupowych?</w:t>
      </w:r>
      <w:bookmarkEnd w:id="675"/>
    </w:p>
    <w:p w14:paraId="67DA2B17" w14:textId="77777777" w:rsidR="00B473F5" w:rsidRPr="00EC250C" w:rsidRDefault="002546CC" w:rsidP="00D131FA">
      <w:pPr>
        <w:pStyle w:val="Problemczowieka"/>
        <w:jc w:val="both"/>
        <w:rPr>
          <w:lang w:eastAsia="en-US"/>
        </w:rPr>
      </w:pPr>
      <w:r w:rsidRPr="00EC250C">
        <w:rPr>
          <w:lang w:eastAsia="en-US"/>
        </w:rPr>
        <w:t>Łatwiej byłoby skorzystać</w:t>
      </w:r>
      <w:r w:rsidR="00992FD0" w:rsidRPr="00EC250C">
        <w:rPr>
          <w:lang w:eastAsia="en-US"/>
        </w:rPr>
        <w:t xml:space="preserve"> z </w:t>
      </w:r>
      <w:r w:rsidRPr="00EC250C">
        <w:rPr>
          <w:lang w:eastAsia="en-US"/>
        </w:rPr>
        <w:t>instytucji postępowania grupowego, gdyby można się było dowiedzieć, że postępowanie</w:t>
      </w:r>
      <w:r w:rsidR="00992FD0" w:rsidRPr="00EC250C">
        <w:rPr>
          <w:lang w:eastAsia="en-US"/>
        </w:rPr>
        <w:t xml:space="preserve"> w </w:t>
      </w:r>
      <w:r w:rsidRPr="00EC250C">
        <w:rPr>
          <w:lang w:eastAsia="en-US"/>
        </w:rPr>
        <w:t>interesującej na sprawie jest już prowadzone</w:t>
      </w:r>
      <w:r w:rsidR="00B473F5" w:rsidRPr="00EC250C">
        <w:rPr>
          <w:lang w:eastAsia="en-US"/>
        </w:rPr>
        <w:t>.</w:t>
      </w:r>
    </w:p>
    <w:p w14:paraId="37B3FB4E" w14:textId="77777777" w:rsidR="00A617A9" w:rsidRPr="00EC250C" w:rsidRDefault="00A617A9" w:rsidP="00D131FA">
      <w:pPr>
        <w:pStyle w:val="Styl1"/>
        <w:rPr>
          <w:lang w:eastAsia="en-US"/>
        </w:rPr>
      </w:pPr>
      <w:r w:rsidRPr="00EC250C">
        <w:rPr>
          <w:lang w:eastAsia="en-US"/>
        </w:rPr>
        <w:t>Jedną</w:t>
      </w:r>
      <w:r w:rsidR="00992FD0" w:rsidRPr="00EC250C">
        <w:rPr>
          <w:lang w:eastAsia="en-US"/>
        </w:rPr>
        <w:t xml:space="preserve"> z </w:t>
      </w:r>
      <w:r w:rsidRPr="00EC250C">
        <w:rPr>
          <w:lang w:eastAsia="en-US"/>
        </w:rPr>
        <w:t>podjętych</w:t>
      </w:r>
      <w:r w:rsidR="00992FD0" w:rsidRPr="00EC250C">
        <w:rPr>
          <w:lang w:eastAsia="en-US"/>
        </w:rPr>
        <w:t xml:space="preserve"> w </w:t>
      </w:r>
      <w:r w:rsidRPr="00EC250C">
        <w:rPr>
          <w:lang w:eastAsia="en-US"/>
        </w:rPr>
        <w:t>ostatnich latach przez ustawodawcę prób zwiększenia znaczenia tej instytucji była nowelizacja ustawy</w:t>
      </w:r>
      <w:r w:rsidR="00992FD0" w:rsidRPr="00EC250C">
        <w:rPr>
          <w:lang w:eastAsia="en-US"/>
        </w:rPr>
        <w:t xml:space="preserve"> o </w:t>
      </w:r>
      <w:r w:rsidRPr="00EC250C">
        <w:rPr>
          <w:lang w:eastAsia="en-US"/>
        </w:rPr>
        <w:t>dochodzeniu roszczeń</w:t>
      </w:r>
      <w:r w:rsidR="00992FD0" w:rsidRPr="00EC250C">
        <w:rPr>
          <w:lang w:eastAsia="en-US"/>
        </w:rPr>
        <w:t xml:space="preserve"> w </w:t>
      </w:r>
      <w:r w:rsidRPr="00EC250C">
        <w:rPr>
          <w:lang w:eastAsia="en-US"/>
        </w:rPr>
        <w:t>postępowaniu grupowym</w:t>
      </w:r>
      <w:r w:rsidR="00595D7E" w:rsidRPr="00EC250C">
        <w:rPr>
          <w:rStyle w:val="Odwoanieprzypisudolnego"/>
          <w:lang w:eastAsia="en-US"/>
        </w:rPr>
        <w:footnoteReference w:id="690"/>
      </w:r>
      <w:r w:rsidRPr="00EC250C">
        <w:rPr>
          <w:lang w:eastAsia="en-US"/>
        </w:rPr>
        <w:t xml:space="preserve"> do której doszło</w:t>
      </w:r>
      <w:r w:rsidR="00992FD0" w:rsidRPr="00EC250C">
        <w:rPr>
          <w:lang w:eastAsia="en-US"/>
        </w:rPr>
        <w:t xml:space="preserve"> z </w:t>
      </w:r>
      <w:r w:rsidRPr="00EC250C">
        <w:rPr>
          <w:lang w:eastAsia="en-US"/>
        </w:rPr>
        <w:t xml:space="preserve">dniem </w:t>
      </w:r>
      <w:r w:rsidRPr="00EC250C">
        <w:t>1</w:t>
      </w:r>
      <w:r w:rsidR="0074073A" w:rsidRPr="00EC250C">
        <w:t> </w:t>
      </w:r>
      <w:r w:rsidRPr="00EC250C">
        <w:t>czerwca</w:t>
      </w:r>
      <w:r w:rsidRPr="00EC250C">
        <w:rPr>
          <w:lang w:eastAsia="en-US"/>
        </w:rPr>
        <w:t xml:space="preserve"> 2017</w:t>
      </w:r>
      <w:r w:rsidR="00C91F6E" w:rsidRPr="00EC250C">
        <w:rPr>
          <w:lang w:eastAsia="en-US"/>
        </w:rPr>
        <w:t> r.</w:t>
      </w:r>
      <w:r w:rsidRPr="00EC250C">
        <w:rPr>
          <w:lang w:eastAsia="en-US"/>
        </w:rPr>
        <w:t xml:space="preserve"> Zakładała ona utworzenie</w:t>
      </w:r>
      <w:r w:rsidR="00992FD0" w:rsidRPr="00EC250C">
        <w:rPr>
          <w:lang w:eastAsia="en-US"/>
        </w:rPr>
        <w:t xml:space="preserve"> i </w:t>
      </w:r>
      <w:r w:rsidRPr="00EC250C">
        <w:rPr>
          <w:lang w:eastAsia="en-US"/>
        </w:rPr>
        <w:t>opublikowanie przez Ministra Sprawiedliwości wykazu postępowań grupowych, mającego służyć zainteresowanym informacją</w:t>
      </w:r>
      <w:r w:rsidR="00992FD0" w:rsidRPr="00EC250C">
        <w:rPr>
          <w:lang w:eastAsia="en-US"/>
        </w:rPr>
        <w:t xml:space="preserve"> o </w:t>
      </w:r>
      <w:r w:rsidRPr="00EC250C">
        <w:rPr>
          <w:lang w:eastAsia="en-US"/>
        </w:rPr>
        <w:t>toczących się</w:t>
      </w:r>
      <w:r w:rsidR="00992FD0" w:rsidRPr="00EC250C">
        <w:rPr>
          <w:lang w:eastAsia="en-US"/>
        </w:rPr>
        <w:t xml:space="preserve"> i </w:t>
      </w:r>
      <w:r w:rsidRPr="00EC250C">
        <w:rPr>
          <w:lang w:eastAsia="en-US"/>
        </w:rPr>
        <w:t>zakończonych postępowaniach. Wykaz taki nie został jednak przez Ministra opublikowany,</w:t>
      </w:r>
      <w:r w:rsidR="00992FD0" w:rsidRPr="00EC250C">
        <w:rPr>
          <w:lang w:eastAsia="en-US"/>
        </w:rPr>
        <w:t xml:space="preserve"> w </w:t>
      </w:r>
      <w:r w:rsidRPr="00EC250C">
        <w:rPr>
          <w:lang w:eastAsia="en-US"/>
        </w:rPr>
        <w:t>związku</w:t>
      </w:r>
      <w:r w:rsidR="00992FD0" w:rsidRPr="00EC250C">
        <w:rPr>
          <w:lang w:eastAsia="en-US"/>
        </w:rPr>
        <w:t xml:space="preserve"> z </w:t>
      </w:r>
      <w:r w:rsidRPr="00EC250C">
        <w:rPr>
          <w:lang w:eastAsia="en-US"/>
        </w:rPr>
        <w:t xml:space="preserve">czym </w:t>
      </w:r>
      <w:r w:rsidR="00135B9D" w:rsidRPr="00EC250C">
        <w:rPr>
          <w:lang w:eastAsia="en-US"/>
        </w:rPr>
        <w:t>RPO</w:t>
      </w:r>
      <w:r w:rsidRPr="00EC250C">
        <w:rPr>
          <w:lang w:eastAsia="en-US"/>
        </w:rPr>
        <w:t xml:space="preserve"> zwrócił się</w:t>
      </w:r>
      <w:r w:rsidRPr="00EC250C">
        <w:rPr>
          <w:rStyle w:val="Odwoanieprzypisudolnego"/>
          <w:rFonts w:eastAsiaTheme="majorEastAsia"/>
          <w:lang w:eastAsia="en-US"/>
        </w:rPr>
        <w:footnoteReference w:id="691"/>
      </w:r>
      <w:r w:rsidRPr="00EC250C">
        <w:rPr>
          <w:lang w:eastAsia="en-US"/>
        </w:rPr>
        <w:t xml:space="preserve"> do niego</w:t>
      </w:r>
      <w:r w:rsidR="00992FD0" w:rsidRPr="00EC250C">
        <w:rPr>
          <w:lang w:eastAsia="en-US"/>
        </w:rPr>
        <w:t xml:space="preserve"> o </w:t>
      </w:r>
      <w:r w:rsidRPr="00EC250C">
        <w:rPr>
          <w:lang w:eastAsia="en-US"/>
        </w:rPr>
        <w:t>wyjaśnienia. Minister poinformował</w:t>
      </w:r>
      <w:r w:rsidR="0074073A" w:rsidRPr="00EC250C">
        <w:rPr>
          <w:lang w:eastAsia="en-US"/>
        </w:rPr>
        <w:t>, że problem rozwiązał</w:t>
      </w:r>
      <w:r w:rsidRPr="00EC250C">
        <w:rPr>
          <w:lang w:eastAsia="en-US"/>
        </w:rPr>
        <w:t>. W chwili obecnej wykaz jest prowadzony</w:t>
      </w:r>
      <w:r w:rsidR="00823116" w:rsidRPr="00EC250C">
        <w:rPr>
          <w:rStyle w:val="Odwoanieprzypisudolnego"/>
          <w:lang w:eastAsia="en-US"/>
        </w:rPr>
        <w:footnoteReference w:id="692"/>
      </w:r>
      <w:r w:rsidRPr="00EC250C">
        <w:rPr>
          <w:lang w:eastAsia="en-US"/>
        </w:rPr>
        <w:t>.</w:t>
      </w:r>
    </w:p>
    <w:p w14:paraId="0EBCB309" w14:textId="77777777" w:rsidR="00AC6D02" w:rsidRPr="00EC250C" w:rsidRDefault="00AC6D02" w:rsidP="00D131FA">
      <w:pPr>
        <w:pStyle w:val="ODESANIE"/>
        <w:jc w:val="both"/>
      </w:pPr>
      <w:bookmarkStart w:id="676" w:name="_Hlk8716963"/>
      <w:r w:rsidRPr="00EC250C">
        <w:t>Kłopoty z emeryturami i rentami osób, które ogłosiły upadłość konsumencką – art. 67 Konstytucji</w:t>
      </w:r>
      <w:r w:rsidRPr="00EC250C">
        <w:rPr>
          <w:lang w:eastAsia="en-US"/>
        </w:rPr>
        <w:t xml:space="preserve"> </w:t>
      </w:r>
    </w:p>
    <w:p w14:paraId="782D0F9F" w14:textId="77777777" w:rsidR="00823116" w:rsidRPr="00EC250C" w:rsidRDefault="00823116" w:rsidP="00EC250C">
      <w:pPr>
        <w:pStyle w:val="Nagwek8"/>
      </w:pPr>
      <w:r w:rsidRPr="00EC250C">
        <w:t>Problemy nabywców „mini apartamentów” w związku z</w:t>
      </w:r>
      <w:r w:rsidRPr="00EC250C">
        <w:rPr>
          <w:rFonts w:hint="eastAsia"/>
        </w:rPr>
        <w:t> </w:t>
      </w:r>
      <w:r w:rsidRPr="00EC250C">
        <w:t>upadłością dewelopera.</w:t>
      </w:r>
    </w:p>
    <w:p w14:paraId="73BD3F2B" w14:textId="77777777" w:rsidR="00823116" w:rsidRPr="00EC250C" w:rsidRDefault="00823116" w:rsidP="00D131FA">
      <w:pPr>
        <w:pStyle w:val="Styl2"/>
        <w:rPr>
          <w:szCs w:val="24"/>
        </w:rPr>
      </w:pPr>
      <w:r w:rsidRPr="00EC250C">
        <w:rPr>
          <w:szCs w:val="24"/>
        </w:rPr>
        <w:t xml:space="preserve">Do Rzecznika zwróciła się grupa osób, które zawarły przedwstępne umowy na zakup „mini apartamentów” z deweloperem, który wkrótce ogłosił upadłość. Ze względu na to, że lokale te były formalnie lokalami użytkowymi a nie mieszkalnymi, nabywcy nie mogą liczyć na pierwszeństwo zaspokojenia swoich wierzytelności z majątku upadłej spółki. Nie mogą ani doprowadzić do zawarcie umowy sprzedaży, ani odzyskać pieniędzy zainwestowanych w budowę. </w:t>
      </w:r>
    </w:p>
    <w:p w14:paraId="3E2D50ED" w14:textId="77777777" w:rsidR="00823116" w:rsidRPr="00EC250C" w:rsidRDefault="00823116" w:rsidP="00D131FA">
      <w:pPr>
        <w:pStyle w:val="Styl2"/>
        <w:rPr>
          <w:szCs w:val="24"/>
        </w:rPr>
      </w:pPr>
      <w:r w:rsidRPr="00EC250C">
        <w:rPr>
          <w:szCs w:val="24"/>
        </w:rPr>
        <w:t>Rzecznik wystąpił</w:t>
      </w:r>
      <w:r w:rsidRPr="00EC250C">
        <w:rPr>
          <w:rStyle w:val="Odwoanieprzypisudolnego"/>
          <w:szCs w:val="24"/>
        </w:rPr>
        <w:footnoteReference w:id="693"/>
      </w:r>
      <w:r w:rsidRPr="00EC250C">
        <w:rPr>
          <w:szCs w:val="24"/>
        </w:rPr>
        <w:t xml:space="preserve"> w tej sprawie do syndyka upadłej spółki wskazując, że jej działania (lokale oferowała jako </w:t>
      </w:r>
      <w:r w:rsidRPr="00EC250C">
        <w:rPr>
          <w:i/>
          <w:iCs w:val="0"/>
          <w:szCs w:val="24"/>
        </w:rPr>
        <w:t>de facto</w:t>
      </w:r>
      <w:r w:rsidRPr="00EC250C">
        <w:rPr>
          <w:szCs w:val="24"/>
        </w:rPr>
        <w:t xml:space="preserve"> mieszkalne) naruszały prawa konsumenta. Zasugerował, by ewentualną sprzedaż rozpoczętej inwestycji innemu deweloperowi obwarować warunkiem respektowania umów przedwstępnych zawartych z nabywcami lokali. Syndyk zapowiedział, że postara się uwzględnić prawa poszkodowanych i pozyskać branżowego inwestora, który kupując zorganizowaną część przedsiębiorstwa upadłego zabezpieczy ich roszczenia. Sprawa pozostaje w toku.</w:t>
      </w:r>
    </w:p>
    <w:bookmarkEnd w:id="676"/>
    <w:p w14:paraId="6B867B1F" w14:textId="77777777" w:rsidR="009D2293" w:rsidRPr="00EC250C" w:rsidRDefault="009D2293" w:rsidP="00D131FA">
      <w:pPr>
        <w:spacing w:after="200" w:line="24" w:lineRule="auto"/>
        <w:jc w:val="both"/>
        <w:rPr>
          <w:b/>
          <w:color w:val="002368"/>
          <w:spacing w:val="0"/>
          <w:sz w:val="32"/>
        </w:rPr>
      </w:pPr>
      <w:r w:rsidRPr="00EC250C">
        <w:rPr>
          <w:sz w:val="24"/>
        </w:rPr>
        <w:br w:type="page"/>
      </w:r>
    </w:p>
    <w:p w14:paraId="212E4B1A" w14:textId="77777777" w:rsidR="000C623A" w:rsidRPr="00EC250C" w:rsidRDefault="00FA237D" w:rsidP="00D131FA">
      <w:pPr>
        <w:pStyle w:val="Nagwek2"/>
        <w:jc w:val="both"/>
      </w:pPr>
      <w:bookmarkStart w:id="677" w:name="_Toc6257945"/>
      <w:bookmarkStart w:id="678" w:name="_Toc11247821"/>
      <w:r w:rsidRPr="00EC250C">
        <w:lastRenderedPageBreak/>
        <w:t xml:space="preserve">5. </w:t>
      </w:r>
      <w:r w:rsidR="00F4277F" w:rsidRPr="00EC250C">
        <w:t>Ś</w:t>
      </w:r>
      <w:r w:rsidR="003E2C1E" w:rsidRPr="00EC250C">
        <w:t>rodki</w:t>
      </w:r>
      <w:r w:rsidR="00F4277F" w:rsidRPr="00EC250C">
        <w:t xml:space="preserve"> </w:t>
      </w:r>
      <w:r w:rsidR="003E2C1E" w:rsidRPr="00EC250C">
        <w:t>ochrony praw</w:t>
      </w:r>
      <w:r w:rsidR="00992FD0" w:rsidRPr="00EC250C">
        <w:t xml:space="preserve"> i </w:t>
      </w:r>
      <w:r w:rsidR="003E2C1E" w:rsidRPr="00EC250C">
        <w:t>wolności</w:t>
      </w:r>
      <w:bookmarkEnd w:id="677"/>
      <w:bookmarkEnd w:id="678"/>
    </w:p>
    <w:p w14:paraId="0803DB39" w14:textId="77777777" w:rsidR="00C91F6E" w:rsidRPr="00EC250C" w:rsidRDefault="000C623A" w:rsidP="00EC250C">
      <w:pPr>
        <w:pStyle w:val="Nagwek3"/>
      </w:pPr>
      <w:bookmarkStart w:id="679" w:name="_Toc6257946"/>
      <w:bookmarkStart w:id="680" w:name="_Toc11247822"/>
      <w:r w:rsidRPr="00EC250C">
        <w:t xml:space="preserve">Art. 77 </w:t>
      </w:r>
      <w:r w:rsidR="003C7122" w:rsidRPr="00EC250C">
        <w:t xml:space="preserve">Konstytucji </w:t>
      </w:r>
      <w:r w:rsidRPr="00EC250C">
        <w:t>ust. 1 – Odpowiedzialność odszkodowawcza władzy publicznej</w:t>
      </w:r>
      <w:bookmarkEnd w:id="679"/>
      <w:bookmarkEnd w:id="680"/>
    </w:p>
    <w:p w14:paraId="16FDC4B8" w14:textId="77777777" w:rsidR="000C623A" w:rsidRPr="00EC250C" w:rsidRDefault="000C623A" w:rsidP="00D131FA">
      <w:pPr>
        <w:pStyle w:val="konstytucja"/>
        <w:jc w:val="both"/>
      </w:pPr>
      <w:r w:rsidRPr="00EC250C">
        <w:t>Każdy ma prawo do wynagrodzenia szkody, jaka została mu wyrządzona przez niezgodne</w:t>
      </w:r>
      <w:r w:rsidR="00992FD0" w:rsidRPr="00EC250C">
        <w:t xml:space="preserve"> z </w:t>
      </w:r>
      <w:r w:rsidRPr="00EC250C">
        <w:t>prawem działanie organu władzy publicznej.</w:t>
      </w:r>
    </w:p>
    <w:p w14:paraId="2070845D" w14:textId="77777777" w:rsidR="00C91F6E" w:rsidRPr="00EC250C" w:rsidRDefault="002544FA" w:rsidP="00D131FA">
      <w:pPr>
        <w:pStyle w:val="ComwiKonstytucja"/>
      </w:pPr>
      <w:r w:rsidRPr="00EC250C">
        <w:t>Przepis ten obejmuje każdego, komu została wyrządzona szkoda przez niezgodne</w:t>
      </w:r>
      <w:r w:rsidR="00992FD0" w:rsidRPr="00EC250C">
        <w:t xml:space="preserve"> z </w:t>
      </w:r>
      <w:r w:rsidRPr="00EC250C">
        <w:t>prawem działanie organu władzy publicznej. Ponadto oznacza on, że prawo do wynagrodzenia szkody przysługuje nie tylko obywatelowi polskiemu, ale także obcokrajowcom.</w:t>
      </w:r>
    </w:p>
    <w:p w14:paraId="17929C22" w14:textId="77777777" w:rsidR="00C91F6E" w:rsidRPr="00EC250C" w:rsidRDefault="002544FA" w:rsidP="00D131FA">
      <w:pPr>
        <w:pStyle w:val="ComwiKonstytucja"/>
      </w:pPr>
      <w:r w:rsidRPr="00EC250C">
        <w:t>Komentatorzy wskazują różne źródła potencjalnej szkody, spowodowanej działaniem władz publicznych: jednostkowe działania faktyczne (czynności materialno-techniczne), wydanie aktu indywidualnego (orzeczeń sądowych, aktów administracyjnych), nienormatywne akty generalne, akty normatywne (z ustawami włącznie).</w:t>
      </w:r>
    </w:p>
    <w:p w14:paraId="6E7C8E9A" w14:textId="77777777" w:rsidR="002544FA" w:rsidRPr="00EC250C" w:rsidRDefault="002544FA" w:rsidP="00D131FA">
      <w:pPr>
        <w:pStyle w:val="ComwiKonstytucja"/>
      </w:pPr>
      <w:r w:rsidRPr="00EC250C">
        <w:t>Konieczną przesłanką uzasadniającą roszczenie</w:t>
      </w:r>
      <w:r w:rsidR="00992FD0" w:rsidRPr="00EC250C">
        <w:t xml:space="preserve"> o </w:t>
      </w:r>
      <w:r w:rsidRPr="00EC250C">
        <w:t>wynagrodzenie szkody, jest stwierdzenie niezgodności</w:t>
      </w:r>
      <w:r w:rsidR="00992FD0" w:rsidRPr="00EC250C">
        <w:t xml:space="preserve"> z </w:t>
      </w:r>
      <w:r w:rsidRPr="00EC250C">
        <w:t>prawem działań organów władzy publicznej</w:t>
      </w:r>
      <w:r w:rsidR="003E4DBD" w:rsidRPr="00EC250C">
        <w:t>.</w:t>
      </w:r>
    </w:p>
    <w:p w14:paraId="3B77AA5F" w14:textId="77777777" w:rsidR="003E4DBD" w:rsidRPr="00EC250C" w:rsidRDefault="003E4DBD" w:rsidP="00D131FA">
      <w:pPr>
        <w:pStyle w:val="ComwiKonstytucja"/>
      </w:pPr>
    </w:p>
    <w:p w14:paraId="78CFE53C" w14:textId="77777777" w:rsidR="002544FA" w:rsidRPr="00EC250C" w:rsidRDefault="002544FA" w:rsidP="00D131FA">
      <w:pPr>
        <w:spacing w:after="200" w:line="24" w:lineRule="auto"/>
        <w:jc w:val="both"/>
        <w:rPr>
          <w:spacing w:val="5"/>
          <w:sz w:val="24"/>
        </w:rPr>
      </w:pPr>
      <w:r w:rsidRPr="00EC250C">
        <w:rPr>
          <w:sz w:val="24"/>
        </w:rPr>
        <w:br w:type="page"/>
      </w:r>
    </w:p>
    <w:p w14:paraId="5A9A301F" w14:textId="77777777" w:rsidR="00C91F6E" w:rsidRPr="00EC250C" w:rsidRDefault="002544FA" w:rsidP="00EC79EB">
      <w:pPr>
        <w:pStyle w:val="Nagwek4"/>
      </w:pPr>
      <w:bookmarkStart w:id="681" w:name="_Toc6257947"/>
      <w:bookmarkStart w:id="682" w:name="_Toc11247823"/>
      <w:r w:rsidRPr="00EC250C">
        <w:lastRenderedPageBreak/>
        <w:t>Przepisy</w:t>
      </w:r>
      <w:r w:rsidR="00992FD0" w:rsidRPr="00EC250C">
        <w:t xml:space="preserve"> o </w:t>
      </w:r>
      <w:r w:rsidRPr="00EC250C">
        <w:t>niesłusznym skazaniu nie uwzględniają pojawienia się skargi nadzwyczajnej</w:t>
      </w:r>
      <w:bookmarkEnd w:id="681"/>
      <w:bookmarkEnd w:id="682"/>
    </w:p>
    <w:p w14:paraId="683502E1" w14:textId="77777777" w:rsidR="00B473F5" w:rsidRPr="00EC250C" w:rsidRDefault="002544FA" w:rsidP="00D131FA">
      <w:pPr>
        <w:pStyle w:val="Problemczowieka"/>
        <w:jc w:val="both"/>
        <w:rPr>
          <w:rFonts w:eastAsiaTheme="majorEastAsia"/>
        </w:rPr>
      </w:pPr>
      <w:bookmarkStart w:id="683" w:name="_Hlk8211575"/>
      <w:r w:rsidRPr="00EC250C">
        <w:rPr>
          <w:rFonts w:eastAsiaTheme="majorEastAsia"/>
        </w:rPr>
        <w:t>Osoba uniewinniona na podstawie skargi nadzwyczajnej nie ma prawa do odszkodowania, bo przepisy wprowadzające skargę nadzwyczajną nie uwzględniły tego problemu</w:t>
      </w:r>
      <w:bookmarkEnd w:id="683"/>
      <w:r w:rsidR="00B473F5" w:rsidRPr="00EC250C">
        <w:rPr>
          <w:rFonts w:eastAsiaTheme="majorEastAsia"/>
        </w:rPr>
        <w:t>.</w:t>
      </w:r>
    </w:p>
    <w:p w14:paraId="54BC67F9" w14:textId="77777777" w:rsidR="002544FA" w:rsidRPr="00EC250C" w:rsidRDefault="0020091E" w:rsidP="00D131FA">
      <w:pPr>
        <w:pStyle w:val="Styl1"/>
      </w:pPr>
      <w:r w:rsidRPr="00EC250C">
        <w:rPr>
          <w:bdr w:val="none" w:sz="0" w:space="0" w:color="auto" w:frame="1"/>
        </w:rPr>
        <w:t>W</w:t>
      </w:r>
      <w:r w:rsidR="002544FA" w:rsidRPr="00EC250C">
        <w:rPr>
          <w:bdr w:val="none" w:sz="0" w:space="0" w:color="auto" w:frame="1"/>
        </w:rPr>
        <w:t xml:space="preserve"> rozdziale Kodeksu postępowania karnego</w:t>
      </w:r>
      <w:r w:rsidR="0074073A" w:rsidRPr="00EC250C">
        <w:rPr>
          <w:rStyle w:val="Odwoanieprzypisudolnego"/>
          <w:bdr w:val="none" w:sz="0" w:space="0" w:color="auto" w:frame="1"/>
        </w:rPr>
        <w:footnoteReference w:id="694"/>
      </w:r>
      <w:r w:rsidR="002544FA" w:rsidRPr="00EC250C">
        <w:rPr>
          <w:bdr w:val="none" w:sz="0" w:space="0" w:color="auto" w:frame="1"/>
        </w:rPr>
        <w:t xml:space="preserve">, dotyczącym odszkodowania za niesłuszne skazanie, aresztowanie lub zatrzymanie, pominięto instytucję skargi nadzwyczajnej. </w:t>
      </w:r>
      <w:r w:rsidR="00135B9D" w:rsidRPr="00EC250C">
        <w:rPr>
          <w:rFonts w:eastAsiaTheme="majorEastAsia"/>
        </w:rPr>
        <w:t>RPO</w:t>
      </w:r>
      <w:r w:rsidR="002544FA" w:rsidRPr="00EC250C">
        <w:rPr>
          <w:rFonts w:eastAsiaTheme="majorEastAsia"/>
        </w:rPr>
        <w:t xml:space="preserve"> zwrócił się do Ministra Sprawiedliwości</w:t>
      </w:r>
      <w:r w:rsidR="00992FD0" w:rsidRPr="00EC250C">
        <w:rPr>
          <w:rFonts w:eastAsiaTheme="majorEastAsia"/>
        </w:rPr>
        <w:t xml:space="preserve"> o </w:t>
      </w:r>
      <w:r w:rsidR="002544FA" w:rsidRPr="00EC250C">
        <w:rPr>
          <w:rFonts w:eastAsiaTheme="majorEastAsia"/>
        </w:rPr>
        <w:t>rozważenie działań legislacyjnych</w:t>
      </w:r>
      <w:r w:rsidR="00992FD0" w:rsidRPr="00EC250C">
        <w:rPr>
          <w:rFonts w:eastAsiaTheme="majorEastAsia"/>
        </w:rPr>
        <w:t xml:space="preserve"> w </w:t>
      </w:r>
      <w:r w:rsidR="002544FA" w:rsidRPr="00EC250C">
        <w:rPr>
          <w:rFonts w:eastAsiaTheme="majorEastAsia"/>
        </w:rPr>
        <w:t>celu uzupełnienia przepisów</w:t>
      </w:r>
      <w:r w:rsidR="002544FA" w:rsidRPr="00EC250C">
        <w:rPr>
          <w:rStyle w:val="Odwoanieprzypisudolnego"/>
          <w:bCs/>
          <w:iCs/>
        </w:rPr>
        <w:footnoteReference w:id="695"/>
      </w:r>
      <w:r w:rsidR="002544FA" w:rsidRPr="00EC250C">
        <w:t>.</w:t>
      </w:r>
      <w:r w:rsidR="0074073A" w:rsidRPr="00EC250C">
        <w:t xml:space="preserve"> </w:t>
      </w:r>
      <w:r w:rsidR="002544FA" w:rsidRPr="00EC250C">
        <w:t>Wprowadzona ustawą</w:t>
      </w:r>
      <w:r w:rsidR="00992FD0" w:rsidRPr="00EC250C">
        <w:t xml:space="preserve"> o </w:t>
      </w:r>
      <w:r w:rsidR="002544FA" w:rsidRPr="00EC250C">
        <w:t>Sądzie Najwyższym skarga nadzwyczajna może wywoływać skutki prawne podobne do kasacji</w:t>
      </w:r>
      <w:r w:rsidR="00992FD0" w:rsidRPr="00EC250C">
        <w:t xml:space="preserve"> i </w:t>
      </w:r>
      <w:r w:rsidR="002544FA" w:rsidRPr="00EC250C">
        <w:t>wznowienia postępowania karnego</w:t>
      </w:r>
      <w:r w:rsidR="00026572" w:rsidRPr="00EC250C">
        <w:t xml:space="preserve"> – </w:t>
      </w:r>
      <w:r w:rsidR="002544FA" w:rsidRPr="00EC250C">
        <w:t>co może oznaczać uniewinnienie oskarżonego lub skazanie go na łagodniejszą karę.</w:t>
      </w:r>
    </w:p>
    <w:p w14:paraId="5AEDAD6C" w14:textId="77777777" w:rsidR="00595D7E" w:rsidRPr="00EC250C" w:rsidRDefault="00595D7E" w:rsidP="00D131FA">
      <w:pPr>
        <w:pStyle w:val="Styl1"/>
      </w:pPr>
      <w:bookmarkStart w:id="684" w:name="_Toc6257948"/>
      <w:r w:rsidRPr="00EC250C">
        <w:t>Według przepisów oskarżonemu – który w wyniku wznowienia postępowania lub kasacji został uniewinniony lub skazany na łagodniejszą karę – należne jest od Skarbu Państwa odszkodowanie oraz zadośćuczynienie, wynikające z wykonania w całości lub w części kary, której nie powinien był ponieść. Ale ustawodawca nie uwzględnił konsekwencji wprowadzenia skargi nadzwyczajnej.</w:t>
      </w:r>
    </w:p>
    <w:p w14:paraId="6B22ECA3" w14:textId="77777777" w:rsidR="00595D7E" w:rsidRPr="00EC250C" w:rsidRDefault="00595D7E" w:rsidP="00D131FA">
      <w:pPr>
        <w:pStyle w:val="Styl1"/>
      </w:pPr>
      <w:r w:rsidRPr="00EC250C">
        <w:t>Zdaniem RPO problemu nie rozwiązuje przepis odsyłający z ustawy z 8 grudnia 2017 r. o SN, że w sprawach nieuregulowanych jej przepisami, do skargi nadzwyczajnej stosuje się przepisy Kpk dotyczące kasacji. Wydaje się bowiem, że odesłanie to dotyczy wyłącznie rozdziału 55 Kpk (który reguluje właśnie kasacje).</w:t>
      </w:r>
    </w:p>
    <w:p w14:paraId="35DD1257" w14:textId="77777777" w:rsidR="00595D7E" w:rsidRPr="00EC250C" w:rsidRDefault="00595D7E" w:rsidP="00D131FA">
      <w:pPr>
        <w:pStyle w:val="Styl1"/>
        <w:rPr>
          <w:bCs/>
          <w:iCs/>
        </w:rPr>
      </w:pPr>
      <w:r w:rsidRPr="00EC250C">
        <w:rPr>
          <w:bCs/>
          <w:iCs/>
        </w:rPr>
        <w:t>RPO wystąpił do Ministra Sprawiedliwości z prośbą o dokonanie analizy przedstawionej w niniejszym wystąpieniu problematyki i rozważenie podjęcia działań legislacyjnych w zakresie zmiany art. 552 Kpk we wskazanym kierunku.</w:t>
      </w:r>
      <w:r w:rsidR="00B65DF0" w:rsidRPr="00EC250C">
        <w:rPr>
          <w:bCs/>
          <w:iCs/>
        </w:rPr>
        <w:t xml:space="preserve"> Odpowiedź nie nadeszła.</w:t>
      </w:r>
    </w:p>
    <w:p w14:paraId="7D156772" w14:textId="77777777" w:rsidR="00C91F6E" w:rsidRPr="00EC250C" w:rsidRDefault="002A230A" w:rsidP="00EC79EB">
      <w:pPr>
        <w:pStyle w:val="Nagwek4"/>
        <w:rPr>
          <w:lang w:bidi="hi-IN"/>
        </w:rPr>
      </w:pPr>
      <w:bookmarkStart w:id="685" w:name="_Toc11247824"/>
      <w:r w:rsidRPr="00EC250C">
        <w:rPr>
          <w:lang w:bidi="hi-IN"/>
        </w:rPr>
        <w:t>Brak odszkodowania dla części rodzin osób represjonowanych za działalność na rzecz niepodległości Polski</w:t>
      </w:r>
      <w:bookmarkEnd w:id="684"/>
      <w:bookmarkEnd w:id="685"/>
    </w:p>
    <w:p w14:paraId="392E8A6F" w14:textId="77777777" w:rsidR="00B473F5" w:rsidRPr="00EC250C" w:rsidRDefault="002A230A" w:rsidP="00D131FA">
      <w:pPr>
        <w:pStyle w:val="Problemczowieka"/>
        <w:jc w:val="both"/>
        <w:rPr>
          <w:bdr w:val="none" w:sz="0" w:space="0" w:color="auto" w:frame="1"/>
        </w:rPr>
      </w:pPr>
      <w:bookmarkStart w:id="686" w:name="_Hlk8211584"/>
      <w:r w:rsidRPr="00EC250C">
        <w:rPr>
          <w:bdr w:val="none" w:sz="0" w:space="0" w:color="auto" w:frame="1"/>
        </w:rPr>
        <w:t>Potomkowie osób, które zginęły np.</w:t>
      </w:r>
      <w:r w:rsidR="00992FD0" w:rsidRPr="00EC250C">
        <w:rPr>
          <w:bdr w:val="none" w:sz="0" w:space="0" w:color="auto" w:frame="1"/>
        </w:rPr>
        <w:t xml:space="preserve"> z </w:t>
      </w:r>
      <w:r w:rsidRPr="00EC250C">
        <w:rPr>
          <w:bdr w:val="none" w:sz="0" w:space="0" w:color="auto" w:frame="1"/>
        </w:rPr>
        <w:t>rąk NKWD walcząc</w:t>
      </w:r>
      <w:r w:rsidR="00992FD0" w:rsidRPr="00EC250C">
        <w:rPr>
          <w:bdr w:val="none" w:sz="0" w:space="0" w:color="auto" w:frame="1"/>
        </w:rPr>
        <w:t xml:space="preserve"> o </w:t>
      </w:r>
      <w:r w:rsidRPr="00EC250C">
        <w:rPr>
          <w:bdr w:val="none" w:sz="0" w:space="0" w:color="auto" w:frame="1"/>
        </w:rPr>
        <w:t>niepodległość na obszarach Polski</w:t>
      </w:r>
      <w:r w:rsidR="0074073A" w:rsidRPr="00EC250C">
        <w:rPr>
          <w:bdr w:val="none" w:sz="0" w:space="0" w:color="auto" w:frame="1"/>
        </w:rPr>
        <w:t xml:space="preserve"> </w:t>
      </w:r>
      <w:r w:rsidRPr="00EC250C">
        <w:rPr>
          <w:bdr w:val="none" w:sz="0" w:space="0" w:color="auto" w:frame="1"/>
        </w:rPr>
        <w:t>po II wojnie światowej w</w:t>
      </w:r>
      <w:r w:rsidR="0074073A" w:rsidRPr="00EC250C">
        <w:rPr>
          <w:bdr w:val="none" w:sz="0" w:space="0" w:color="auto" w:frame="1"/>
        </w:rPr>
        <w:t xml:space="preserve">łączonych do </w:t>
      </w:r>
      <w:r w:rsidRPr="00EC250C">
        <w:rPr>
          <w:bdr w:val="none" w:sz="0" w:space="0" w:color="auto" w:frame="1"/>
        </w:rPr>
        <w:t>ZSRR, nie mają prawa do odszkodowania tak jak ci, którzy mają groby swoich bliskich po tej stronie granicy Rzeczypospolitej</w:t>
      </w:r>
      <w:r w:rsidR="00B473F5" w:rsidRPr="00EC250C">
        <w:rPr>
          <w:bdr w:val="none" w:sz="0" w:space="0" w:color="auto" w:frame="1"/>
        </w:rPr>
        <w:t>.</w:t>
      </w:r>
    </w:p>
    <w:bookmarkEnd w:id="686"/>
    <w:p w14:paraId="49818E47" w14:textId="77777777" w:rsidR="002A230A" w:rsidRPr="00EC250C" w:rsidRDefault="002A230A" w:rsidP="00D131FA">
      <w:pPr>
        <w:pStyle w:val="Styl1"/>
      </w:pPr>
      <w:r w:rsidRPr="00EC250C">
        <w:t>Od 2014</w:t>
      </w:r>
      <w:r w:rsidR="00C91F6E" w:rsidRPr="00EC250C">
        <w:t> r.</w:t>
      </w:r>
      <w:r w:rsidR="00CC4D88" w:rsidRPr="00EC250C">
        <w:t xml:space="preserve"> </w:t>
      </w:r>
      <w:r w:rsidRPr="00EC250C">
        <w:t xml:space="preserve">kolejni </w:t>
      </w:r>
      <w:r w:rsidR="0074073A" w:rsidRPr="00EC250C">
        <w:t>r</w:t>
      </w:r>
      <w:r w:rsidRPr="00EC250C">
        <w:t xml:space="preserve">zecznicy </w:t>
      </w:r>
      <w:r w:rsidR="0074073A" w:rsidRPr="00EC250C">
        <w:t xml:space="preserve">praw obywatelskich </w:t>
      </w:r>
      <w:r w:rsidRPr="00EC250C">
        <w:t>występują na rzecz prawa do odszkodowania dla rodzin obywateli Polski, którzy zginęli walcząc</w:t>
      </w:r>
      <w:r w:rsidR="00992FD0" w:rsidRPr="00EC250C">
        <w:t xml:space="preserve"> o </w:t>
      </w:r>
      <w:r w:rsidRPr="00EC250C">
        <w:t>niepodległość ojczyzny</w:t>
      </w:r>
      <w:r w:rsidR="00992FD0" w:rsidRPr="00EC250C">
        <w:t xml:space="preserve"> i </w:t>
      </w:r>
      <w:r w:rsidRPr="00EC250C">
        <w:t>walkę tę rozpoczęli</w:t>
      </w:r>
      <w:r w:rsidR="00992FD0" w:rsidRPr="00EC250C">
        <w:t xml:space="preserve"> </w:t>
      </w:r>
      <w:r w:rsidR="00992FD0" w:rsidRPr="00EC250C">
        <w:lastRenderedPageBreak/>
        <w:t>w </w:t>
      </w:r>
      <w:r w:rsidRPr="00EC250C">
        <w:t xml:space="preserve">latach II wojny </w:t>
      </w:r>
      <w:r w:rsidR="00863D73" w:rsidRPr="00EC250C">
        <w:t xml:space="preserve">światowej </w:t>
      </w:r>
      <w:r w:rsidRPr="00EC250C">
        <w:t>na terytorium Polski, ale</w:t>
      </w:r>
      <w:r w:rsidR="00026572" w:rsidRPr="00EC250C">
        <w:t xml:space="preserve"> – </w:t>
      </w:r>
      <w:r w:rsidRPr="00EC250C">
        <w:t>wskutek przesunięcia granic</w:t>
      </w:r>
      <w:r w:rsidR="00026572" w:rsidRPr="00EC250C">
        <w:t xml:space="preserve"> – </w:t>
      </w:r>
      <w:r w:rsidRPr="00EC250C">
        <w:t>kontynuowali ją poza terytorium państwa polskiego</w:t>
      </w:r>
      <w:r w:rsidRPr="00EC250C">
        <w:rPr>
          <w:rStyle w:val="Odwoanieprzypisudolnego"/>
          <w:bCs/>
          <w:iCs/>
        </w:rPr>
        <w:footnoteReference w:id="696"/>
      </w:r>
      <w:r w:rsidRPr="00EC250C">
        <w:t>.</w:t>
      </w:r>
    </w:p>
    <w:p w14:paraId="0A3C1E5A" w14:textId="77777777" w:rsidR="002A230A" w:rsidRPr="00EC250C" w:rsidRDefault="002A230A" w:rsidP="00D131FA">
      <w:pPr>
        <w:pStyle w:val="Styl1"/>
      </w:pPr>
      <w:r w:rsidRPr="00EC250C">
        <w:t>W styczniu 2017</w:t>
      </w:r>
      <w:r w:rsidR="00C91F6E" w:rsidRPr="00EC250C">
        <w:t> r.</w:t>
      </w:r>
      <w:r w:rsidRPr="00EC250C">
        <w:t xml:space="preserve"> </w:t>
      </w:r>
      <w:r w:rsidR="00B65DF0" w:rsidRPr="00EC250C">
        <w:t xml:space="preserve">RPO </w:t>
      </w:r>
      <w:r w:rsidRPr="00EC250C">
        <w:t>wystąpił do Ministra Sprawiedliwości</w:t>
      </w:r>
      <w:r w:rsidR="00992FD0" w:rsidRPr="00EC250C">
        <w:t xml:space="preserve"> w </w:t>
      </w:r>
      <w:r w:rsidRPr="00EC250C">
        <w:t>sprawie rodziny żołnierza Armii Krajowej. Walczył on tam, gdzie się urodził</w:t>
      </w:r>
      <w:r w:rsidR="00992FD0" w:rsidRPr="00EC250C">
        <w:t xml:space="preserve"> i </w:t>
      </w:r>
      <w:r w:rsidRPr="00EC250C">
        <w:t>mieszkał</w:t>
      </w:r>
      <w:r w:rsidR="00026572" w:rsidRPr="00EC250C">
        <w:t xml:space="preserve"> – </w:t>
      </w:r>
      <w:r w:rsidRPr="00EC250C">
        <w:t>zginął</w:t>
      </w:r>
      <w:r w:rsidR="00992FD0" w:rsidRPr="00EC250C">
        <w:t xml:space="preserve"> w </w:t>
      </w:r>
      <w:r w:rsidRPr="00EC250C">
        <w:t>1948</w:t>
      </w:r>
      <w:r w:rsidR="00C91F6E" w:rsidRPr="00EC250C">
        <w:t> r.</w:t>
      </w:r>
      <w:r w:rsidRPr="00EC250C">
        <w:t xml:space="preserve"> kilkanaście kilometrów </w:t>
      </w:r>
      <w:r w:rsidR="0074073A" w:rsidRPr="00EC250C">
        <w:t xml:space="preserve">na wschód </w:t>
      </w:r>
      <w:r w:rsidRPr="00EC250C">
        <w:t>od nowej granicy Polski. Jego najbliżsi nie mają prawa do odszkodowania.</w:t>
      </w:r>
    </w:p>
    <w:p w14:paraId="3F650D08" w14:textId="77777777" w:rsidR="002A230A" w:rsidRPr="00EC250C" w:rsidRDefault="002A230A" w:rsidP="00D131FA">
      <w:pPr>
        <w:pStyle w:val="Styl1"/>
      </w:pPr>
      <w:r w:rsidRPr="00EC250C">
        <w:t xml:space="preserve">W ocenie </w:t>
      </w:r>
      <w:r w:rsidR="00135B9D" w:rsidRPr="00EC250C">
        <w:t xml:space="preserve">RPO </w:t>
      </w:r>
      <w:r w:rsidRPr="00EC250C">
        <w:t xml:space="preserve">związek </w:t>
      </w:r>
      <w:r w:rsidR="0074073A" w:rsidRPr="00EC250C">
        <w:t xml:space="preserve">tego i innych </w:t>
      </w:r>
      <w:r w:rsidRPr="00EC250C">
        <w:t>żołnierzy</w:t>
      </w:r>
      <w:r w:rsidR="00992FD0" w:rsidRPr="00EC250C">
        <w:t xml:space="preserve"> z </w:t>
      </w:r>
      <w:r w:rsidRPr="00EC250C">
        <w:t>Polską nie pozostawia żadnych wątpliwości. Ginęli za nią,</w:t>
      </w:r>
      <w:r w:rsidR="00992FD0" w:rsidRPr="00EC250C">
        <w:t xml:space="preserve"> a </w:t>
      </w:r>
      <w:r w:rsidRPr="00EC250C">
        <w:t>wcześniej często narażali na terror okupantów nie tylko siebie, ale także swoich bliskich. Tymczasem</w:t>
      </w:r>
      <w:r w:rsidR="00992FD0" w:rsidRPr="00EC250C">
        <w:t xml:space="preserve"> o </w:t>
      </w:r>
      <w:r w:rsidRPr="00EC250C">
        <w:t>tym, czy rodzinom należy się rekompensata, decyduje przebieg granic ustalony po wojnie. Stosowanie</w:t>
      </w:r>
      <w:r w:rsidR="00992FD0" w:rsidRPr="00EC250C">
        <w:t xml:space="preserve"> w </w:t>
      </w:r>
      <w:r w:rsidRPr="00EC250C">
        <w:t>takich sprawach przesłanki miejsca zamieszkania (tzw. domicylu)</w:t>
      </w:r>
      <w:r w:rsidR="00CC4D88" w:rsidRPr="00EC250C">
        <w:t xml:space="preserve"> </w:t>
      </w:r>
      <w:r w:rsidRPr="00EC250C">
        <w:t xml:space="preserve">narusza konstytucyjną zasadę równości wobec prawa. </w:t>
      </w:r>
    </w:p>
    <w:p w14:paraId="22B1B770" w14:textId="77777777" w:rsidR="002A230A" w:rsidRPr="00EC250C" w:rsidRDefault="002A230A" w:rsidP="00D131FA">
      <w:pPr>
        <w:pStyle w:val="Styl1"/>
      </w:pPr>
      <w:r w:rsidRPr="00EC250C">
        <w:t>W lutym 2017</w:t>
      </w:r>
      <w:r w:rsidR="00C91F6E" w:rsidRPr="00EC250C">
        <w:t> r.</w:t>
      </w:r>
      <w:r w:rsidRPr="00EC250C">
        <w:t xml:space="preserve"> Minister Sprawiedliwości odpisał, że postulaty RPO są słuszne, zmiana przepisów nie leży jednak</w:t>
      </w:r>
      <w:r w:rsidR="00992FD0" w:rsidRPr="00EC250C">
        <w:t xml:space="preserve"> w </w:t>
      </w:r>
      <w:r w:rsidRPr="00EC250C">
        <w:t>gestii administracji rządowej, gdyż</w:t>
      </w:r>
      <w:r w:rsidR="00992FD0" w:rsidRPr="00EC250C">
        <w:t xml:space="preserve"> w </w:t>
      </w:r>
      <w:r w:rsidRPr="00EC250C">
        <w:t>Sejmie procedowany jest senacki projekt nowelizacji ustawy</w:t>
      </w:r>
      <w:r w:rsidR="00992FD0" w:rsidRPr="00EC250C">
        <w:t xml:space="preserve"> i </w:t>
      </w:r>
      <w:r w:rsidRPr="00EC250C">
        <w:t>do niej można wprowadzić odpowiednie zmiany</w:t>
      </w:r>
      <w:r w:rsidRPr="00EC250C">
        <w:rPr>
          <w:rStyle w:val="Odwoanieprzypisudolnego"/>
          <w:bCs/>
          <w:iCs/>
        </w:rPr>
        <w:footnoteReference w:id="697"/>
      </w:r>
      <w:r w:rsidRPr="00EC250C">
        <w:t>.</w:t>
      </w:r>
    </w:p>
    <w:p w14:paraId="16D6FAC3" w14:textId="77777777" w:rsidR="002A230A" w:rsidRPr="00EC250C" w:rsidRDefault="002A230A" w:rsidP="00D131FA">
      <w:pPr>
        <w:pStyle w:val="Styl1"/>
        <w:rPr>
          <w:bCs/>
          <w:iCs/>
        </w:rPr>
      </w:pPr>
      <w:r w:rsidRPr="00EC250C">
        <w:t>Ponieważ prace legislacyjne</w:t>
      </w:r>
      <w:r w:rsidR="00992FD0" w:rsidRPr="00EC250C">
        <w:t xml:space="preserve"> w </w:t>
      </w:r>
      <w:r w:rsidRPr="00EC250C">
        <w:t xml:space="preserve">Sejmie nie doprowadziły do zmiany prawa, </w:t>
      </w:r>
      <w:r w:rsidR="00135B9D" w:rsidRPr="00EC250C">
        <w:t>RPO</w:t>
      </w:r>
      <w:r w:rsidRPr="00EC250C">
        <w:t xml:space="preserve"> ponownie poprosił Ministra </w:t>
      </w:r>
      <w:r w:rsidR="00992FD0" w:rsidRPr="00EC250C">
        <w:t>o </w:t>
      </w:r>
      <w:r w:rsidRPr="00EC250C">
        <w:t>rozważenie zainicjowania prac legislacyjnych</w:t>
      </w:r>
      <w:r w:rsidRPr="00EC250C">
        <w:rPr>
          <w:rStyle w:val="Odwoanieprzypisudolnego"/>
        </w:rPr>
        <w:footnoteReference w:id="698"/>
      </w:r>
      <w:r w:rsidRPr="00EC250C">
        <w:t xml:space="preserve">. </w:t>
      </w:r>
      <w:r w:rsidRPr="00EC250C">
        <w:rPr>
          <w:bCs/>
          <w:iCs/>
        </w:rPr>
        <w:t>Minister powtórzył jednak, że sprawą nadal zajmuje się parlament – teraz senacki projekt</w:t>
      </w:r>
      <w:r w:rsidR="00CC4D88" w:rsidRPr="00EC250C">
        <w:rPr>
          <w:bCs/>
          <w:iCs/>
        </w:rPr>
        <w:t xml:space="preserve"> </w:t>
      </w:r>
      <w:r w:rsidRPr="00EC250C">
        <w:rPr>
          <w:bCs/>
          <w:iCs/>
        </w:rPr>
        <w:t>rozpatrywany jest przez Sejm.</w:t>
      </w:r>
    </w:p>
    <w:p w14:paraId="505ED1B9" w14:textId="77777777" w:rsidR="002A230A" w:rsidRPr="00EC250C" w:rsidRDefault="002A230A" w:rsidP="00EC79EB">
      <w:pPr>
        <w:pStyle w:val="Nagwek4"/>
      </w:pPr>
      <w:bookmarkStart w:id="687" w:name="_Toc6257949"/>
      <w:bookmarkStart w:id="688" w:name="_Toc11247825"/>
      <w:r w:rsidRPr="00EC250C">
        <w:t xml:space="preserve">Odpowiedzialność Skarbu Państwa za szkody wyrządzone przez </w:t>
      </w:r>
      <w:bookmarkEnd w:id="687"/>
      <w:r w:rsidRPr="00EC250C">
        <w:t>żurawie</w:t>
      </w:r>
      <w:r w:rsidR="00992FD0" w:rsidRPr="00EC250C">
        <w:t xml:space="preserve"> i </w:t>
      </w:r>
      <w:r w:rsidRPr="00EC250C">
        <w:t>wydry</w:t>
      </w:r>
      <w:bookmarkEnd w:id="688"/>
    </w:p>
    <w:p w14:paraId="60A0799A" w14:textId="77777777" w:rsidR="00B473F5" w:rsidRPr="00EC250C" w:rsidRDefault="002A230A" w:rsidP="00D131FA">
      <w:pPr>
        <w:pStyle w:val="Problemczowieka"/>
        <w:jc w:val="both"/>
        <w:rPr>
          <w:rStyle w:val="Pogrubienie"/>
          <w:b/>
          <w:bCs w:val="0"/>
        </w:rPr>
      </w:pPr>
      <w:r w:rsidRPr="00EC250C">
        <w:rPr>
          <w:rStyle w:val="Pogrubienie"/>
          <w:b/>
          <w:bCs w:val="0"/>
        </w:rPr>
        <w:t>Rolnicy nie mog</w:t>
      </w:r>
      <w:r w:rsidRPr="00EC250C">
        <w:rPr>
          <w:rStyle w:val="Pogrubienie"/>
          <w:rFonts w:hint="eastAsia"/>
          <w:b/>
          <w:bCs w:val="0"/>
        </w:rPr>
        <w:t>ą</w:t>
      </w:r>
      <w:r w:rsidRPr="00EC250C">
        <w:rPr>
          <w:rStyle w:val="Pogrubienie"/>
          <w:b/>
          <w:bCs w:val="0"/>
        </w:rPr>
        <w:t xml:space="preserve"> dosta</w:t>
      </w:r>
      <w:r w:rsidRPr="00EC250C">
        <w:rPr>
          <w:rStyle w:val="Pogrubienie"/>
          <w:rFonts w:hint="eastAsia"/>
          <w:b/>
          <w:bCs w:val="0"/>
        </w:rPr>
        <w:t>ć</w:t>
      </w:r>
      <w:r w:rsidRPr="00EC250C">
        <w:rPr>
          <w:rStyle w:val="Pogrubienie"/>
          <w:b/>
          <w:bCs w:val="0"/>
        </w:rPr>
        <w:t xml:space="preserve"> odszkodowania od pa</w:t>
      </w:r>
      <w:r w:rsidRPr="00EC250C">
        <w:rPr>
          <w:rStyle w:val="Pogrubienie"/>
          <w:rFonts w:hint="eastAsia"/>
          <w:b/>
          <w:bCs w:val="0"/>
        </w:rPr>
        <w:t>ń</w:t>
      </w:r>
      <w:r w:rsidRPr="00EC250C">
        <w:rPr>
          <w:rStyle w:val="Pogrubienie"/>
          <w:b/>
          <w:bCs w:val="0"/>
        </w:rPr>
        <w:t xml:space="preserve">stwa za straty powodowane przez </w:t>
      </w:r>
      <w:r w:rsidR="00B96CEE" w:rsidRPr="00EC250C">
        <w:rPr>
          <w:rStyle w:val="Pogrubienie"/>
          <w:b/>
          <w:bCs w:val="0"/>
        </w:rPr>
        <w:t>obj</w:t>
      </w:r>
      <w:r w:rsidR="00B96CEE" w:rsidRPr="00EC250C">
        <w:rPr>
          <w:rStyle w:val="Pogrubienie"/>
          <w:rFonts w:hint="eastAsia"/>
          <w:b/>
          <w:bCs w:val="0"/>
        </w:rPr>
        <w:t>ę</w:t>
      </w:r>
      <w:r w:rsidR="00B96CEE" w:rsidRPr="00EC250C">
        <w:rPr>
          <w:rStyle w:val="Pogrubienie"/>
          <w:b/>
          <w:bCs w:val="0"/>
        </w:rPr>
        <w:t>te ochron</w:t>
      </w:r>
      <w:r w:rsidR="00B96CEE" w:rsidRPr="00EC250C">
        <w:rPr>
          <w:rStyle w:val="Pogrubienie"/>
          <w:rFonts w:hint="eastAsia"/>
          <w:b/>
          <w:bCs w:val="0"/>
        </w:rPr>
        <w:t>ą</w:t>
      </w:r>
      <w:r w:rsidR="00B96CEE" w:rsidRPr="00EC250C">
        <w:rPr>
          <w:rStyle w:val="Pogrubienie"/>
          <w:b/>
          <w:bCs w:val="0"/>
        </w:rPr>
        <w:t xml:space="preserve"> gatunkow</w:t>
      </w:r>
      <w:r w:rsidR="00B96CEE" w:rsidRPr="00EC250C">
        <w:rPr>
          <w:rStyle w:val="Pogrubienie"/>
          <w:rFonts w:hint="eastAsia"/>
          <w:b/>
          <w:bCs w:val="0"/>
        </w:rPr>
        <w:t xml:space="preserve">ą </w:t>
      </w:r>
      <w:r w:rsidRPr="00EC250C">
        <w:rPr>
          <w:rStyle w:val="Pogrubienie"/>
          <w:rFonts w:hint="eastAsia"/>
          <w:b/>
          <w:bCs w:val="0"/>
        </w:rPr>
        <w:t>ż</w:t>
      </w:r>
      <w:r w:rsidRPr="00EC250C">
        <w:rPr>
          <w:rStyle w:val="Pogrubienie"/>
          <w:b/>
          <w:bCs w:val="0"/>
        </w:rPr>
        <w:t>urawie</w:t>
      </w:r>
      <w:r w:rsidR="00992FD0" w:rsidRPr="00EC250C">
        <w:rPr>
          <w:rStyle w:val="Pogrubienie"/>
          <w:b/>
          <w:bCs w:val="0"/>
        </w:rPr>
        <w:t xml:space="preserve"> i </w:t>
      </w:r>
      <w:r w:rsidRPr="00EC250C">
        <w:rPr>
          <w:rStyle w:val="Pogrubienie"/>
          <w:b/>
          <w:bCs w:val="0"/>
        </w:rPr>
        <w:t>wydry. Skarb Pa</w:t>
      </w:r>
      <w:r w:rsidRPr="00EC250C">
        <w:rPr>
          <w:rStyle w:val="Pogrubienie"/>
          <w:rFonts w:hint="eastAsia"/>
          <w:b/>
          <w:bCs w:val="0"/>
        </w:rPr>
        <w:t>ń</w:t>
      </w:r>
      <w:r w:rsidRPr="00EC250C">
        <w:rPr>
          <w:rStyle w:val="Pogrubienie"/>
          <w:b/>
          <w:bCs w:val="0"/>
        </w:rPr>
        <w:t>stwa ponosi odpowiedzialno</w:t>
      </w:r>
      <w:r w:rsidRPr="00EC250C">
        <w:rPr>
          <w:rStyle w:val="Pogrubienie"/>
          <w:rFonts w:hint="eastAsia"/>
          <w:b/>
          <w:bCs w:val="0"/>
        </w:rPr>
        <w:t>ść</w:t>
      </w:r>
      <w:r w:rsidRPr="00EC250C">
        <w:rPr>
          <w:rStyle w:val="Pogrubienie"/>
          <w:b/>
          <w:bCs w:val="0"/>
        </w:rPr>
        <w:t xml:space="preserve"> tylko za szkody wyrz</w:t>
      </w:r>
      <w:r w:rsidRPr="00EC250C">
        <w:rPr>
          <w:rStyle w:val="Pogrubienie"/>
          <w:rFonts w:hint="eastAsia"/>
          <w:b/>
          <w:bCs w:val="0"/>
        </w:rPr>
        <w:t>ą</w:t>
      </w:r>
      <w:r w:rsidRPr="00EC250C">
        <w:rPr>
          <w:rStyle w:val="Pogrubienie"/>
          <w:b/>
          <w:bCs w:val="0"/>
        </w:rPr>
        <w:t xml:space="preserve">dzone przez </w:t>
      </w:r>
      <w:r w:rsidRPr="00EC250C">
        <w:rPr>
          <w:rStyle w:val="Pogrubienie"/>
          <w:rFonts w:hint="eastAsia"/>
          <w:b/>
          <w:bCs w:val="0"/>
        </w:rPr>
        <w:t>ż</w:t>
      </w:r>
      <w:r w:rsidRPr="00EC250C">
        <w:rPr>
          <w:rStyle w:val="Pogrubienie"/>
          <w:b/>
          <w:bCs w:val="0"/>
        </w:rPr>
        <w:t>ubry, wilki</w:t>
      </w:r>
      <w:r w:rsidR="00992FD0" w:rsidRPr="00EC250C">
        <w:rPr>
          <w:rStyle w:val="Pogrubienie"/>
          <w:b/>
          <w:bCs w:val="0"/>
        </w:rPr>
        <w:t xml:space="preserve"> i </w:t>
      </w:r>
      <w:r w:rsidRPr="00EC250C">
        <w:rPr>
          <w:rStyle w:val="Pogrubienie"/>
          <w:b/>
          <w:bCs w:val="0"/>
        </w:rPr>
        <w:t>rysie, nied</w:t>
      </w:r>
      <w:r w:rsidRPr="00EC250C">
        <w:rPr>
          <w:rStyle w:val="Pogrubienie"/>
          <w:rFonts w:hint="eastAsia"/>
          <w:b/>
          <w:bCs w:val="0"/>
        </w:rPr>
        <w:t>ź</w:t>
      </w:r>
      <w:r w:rsidRPr="00EC250C">
        <w:rPr>
          <w:rStyle w:val="Pogrubienie"/>
          <w:b/>
          <w:bCs w:val="0"/>
        </w:rPr>
        <w:t>wiedzie oraz bobry</w:t>
      </w:r>
      <w:r w:rsidR="00B473F5" w:rsidRPr="00EC250C">
        <w:rPr>
          <w:rStyle w:val="Pogrubienie"/>
          <w:b/>
          <w:bCs w:val="0"/>
        </w:rPr>
        <w:t>.</w:t>
      </w:r>
    </w:p>
    <w:p w14:paraId="0765E928" w14:textId="77777777" w:rsidR="002A230A" w:rsidRPr="00EC250C" w:rsidRDefault="002A230A" w:rsidP="00D131FA">
      <w:pPr>
        <w:pStyle w:val="Styl1"/>
      </w:pPr>
      <w:r w:rsidRPr="00EC250C">
        <w:t xml:space="preserve">Problem zgłosili </w:t>
      </w:r>
      <w:r w:rsidR="00135B9D" w:rsidRPr="00EC250C">
        <w:t xml:space="preserve">RPO </w:t>
      </w:r>
      <w:r w:rsidRPr="00EC250C">
        <w:t>uczestnicy spotkań regionalnych</w:t>
      </w:r>
      <w:r w:rsidR="00992FD0" w:rsidRPr="00EC250C">
        <w:t xml:space="preserve"> w </w:t>
      </w:r>
      <w:r w:rsidRPr="00EC250C">
        <w:t>2018</w:t>
      </w:r>
      <w:r w:rsidR="00C91F6E" w:rsidRPr="00EC250C">
        <w:t> r.</w:t>
      </w:r>
      <w:r w:rsidRPr="00EC250C">
        <w:t xml:space="preserve">, dlatego </w:t>
      </w:r>
      <w:r w:rsidR="00B96CEE" w:rsidRPr="00EC250C">
        <w:t xml:space="preserve">Rzecznik </w:t>
      </w:r>
      <w:r w:rsidRPr="00EC250C">
        <w:t>ponownie przedstawił go Ministrowi Środowiska.</w:t>
      </w:r>
    </w:p>
    <w:p w14:paraId="6BAE5FB2" w14:textId="77777777" w:rsidR="00B96CEE" w:rsidRPr="00EC250C" w:rsidRDefault="00B96CEE" w:rsidP="00D131FA">
      <w:pPr>
        <w:pStyle w:val="Styl1"/>
      </w:pPr>
      <w:r w:rsidRPr="00EC250C">
        <w:t>Prawo nie przewiduje możliwości odszkodowania za szkody wyrządzone przez zwierzęta objęte ochroną gatunkową</w:t>
      </w:r>
      <w:r w:rsidRPr="00EC250C">
        <w:rPr>
          <w:rStyle w:val="Odwoanieprzypisudolnego"/>
        </w:rPr>
        <w:footnoteReference w:id="699"/>
      </w:r>
      <w:r w:rsidRPr="00EC250C">
        <w:t>. Zgodnie z ustawą o ochronie przyrody</w:t>
      </w:r>
      <w:r w:rsidR="00976F10" w:rsidRPr="00EC250C">
        <w:rPr>
          <w:rStyle w:val="Odwoanieprzypisudolnego"/>
          <w:bCs/>
          <w:iCs/>
        </w:rPr>
        <w:footnoteReference w:id="700"/>
      </w:r>
      <w:r w:rsidRPr="00EC250C">
        <w:t xml:space="preserve"> Rada Ministrów może jednak określić rozporządzeniem inne gatunki zwierząt chronionych wyrządzających szkody, za które odpowiada Skarb Państwa – kierując się potrzebą utrzymania ochrony gatunkowej zwierząt zagrożonych wyginięciem i wyrządzających szkody w gospodarce. </w:t>
      </w:r>
      <w:r w:rsidR="00976F10" w:rsidRPr="00EC250C">
        <w:t xml:space="preserve">Obecnie są na niej </w:t>
      </w:r>
      <w:r w:rsidRPr="00EC250C">
        <w:t xml:space="preserve">żubry, wilki i rysie, niedźwiedzie oraz bobry. </w:t>
      </w:r>
    </w:p>
    <w:p w14:paraId="1B9A2A66" w14:textId="77777777" w:rsidR="002A230A" w:rsidRPr="00EC250C" w:rsidRDefault="002A230A" w:rsidP="00D131FA">
      <w:pPr>
        <w:pStyle w:val="Styl1"/>
      </w:pPr>
      <w:r w:rsidRPr="00EC250C">
        <w:lastRenderedPageBreak/>
        <w:t>Wprawdzie</w:t>
      </w:r>
      <w:r w:rsidR="00992FD0" w:rsidRPr="00EC250C">
        <w:t xml:space="preserve"> w </w:t>
      </w:r>
      <w:r w:rsidRPr="00EC250C">
        <w:t>uzasadnieniu wyroku</w:t>
      </w:r>
      <w:r w:rsidR="00992FD0" w:rsidRPr="00EC250C">
        <w:t xml:space="preserve"> z </w:t>
      </w:r>
      <w:r w:rsidRPr="00EC250C">
        <w:t>28 września 2015</w:t>
      </w:r>
      <w:r w:rsidR="00C91F6E" w:rsidRPr="00EC250C">
        <w:t> r.</w:t>
      </w:r>
      <w:r w:rsidRPr="00EC250C">
        <w:t xml:space="preserve"> Trybunał Konstytucyjny stwierdził, iż nie istnieje konstytucyjna podstawa odpowiedzialności Skarbu Państwa za każdą szkodę wyrządzoną przez chronione zwierzęta, ale jednak zwrócił uwagę na możliwość jej rozciągnięcia</w:t>
      </w:r>
      <w:r w:rsidR="00992FD0" w:rsidRPr="00EC250C">
        <w:t xml:space="preserve"> w </w:t>
      </w:r>
      <w:r w:rsidRPr="00EC250C">
        <w:t>rozporządzeniu Rady Ministrów na szkody wyrządzone przez inne gatunki. Możliwość ta stanowiła</w:t>
      </w:r>
      <w:r w:rsidR="00992FD0" w:rsidRPr="00EC250C">
        <w:t xml:space="preserve"> w </w:t>
      </w:r>
      <w:r w:rsidRPr="00EC250C">
        <w:t>istocie główny argument dla TK za uznaniem, że art. 126 ust. 1 ustawy</w:t>
      </w:r>
      <w:r w:rsidR="00992FD0" w:rsidRPr="00EC250C">
        <w:t xml:space="preserve"> o </w:t>
      </w:r>
      <w:r w:rsidRPr="00EC250C">
        <w:t>ochronie przyrody</w:t>
      </w:r>
      <w:r w:rsidR="00992FD0" w:rsidRPr="00EC250C">
        <w:t xml:space="preserve"> w </w:t>
      </w:r>
      <w:r w:rsidRPr="00EC250C">
        <w:t>zakresie,</w:t>
      </w:r>
      <w:r w:rsidR="00992FD0" w:rsidRPr="00EC250C">
        <w:t xml:space="preserve"> w </w:t>
      </w:r>
      <w:r w:rsidRPr="00EC250C">
        <w:t>jakim ogranicza odpowiedzialność Skarbu Państwa za szkody wyrządzone przez zwierzęta objęte ochroną, jest zgodny</w:t>
      </w:r>
      <w:r w:rsidR="00992FD0" w:rsidRPr="00EC250C">
        <w:t xml:space="preserve"> z </w:t>
      </w:r>
      <w:r w:rsidRPr="00EC250C">
        <w:t>art. 64 ust. 2 Konstytucji.</w:t>
      </w:r>
    </w:p>
    <w:p w14:paraId="045952EA" w14:textId="77777777" w:rsidR="00C91F6E" w:rsidRPr="00EC250C" w:rsidRDefault="002A230A" w:rsidP="00D131FA">
      <w:pPr>
        <w:pStyle w:val="Styl1"/>
      </w:pPr>
      <w:r w:rsidRPr="00EC250C">
        <w:t>Jak wyjaśniał Trybunał, ustawodawca wprowadził odpowiedzialność za gatunki, co do których prawdopodobieństwo wyrządzenia istotnych szkód dla człowieka</w:t>
      </w:r>
      <w:r w:rsidR="00992FD0" w:rsidRPr="00EC250C">
        <w:t xml:space="preserve"> i </w:t>
      </w:r>
      <w:r w:rsidRPr="00EC250C">
        <w:t>jego gospodarki jest szczególnie wysokie.</w:t>
      </w:r>
    </w:p>
    <w:p w14:paraId="71CE95E6" w14:textId="77777777" w:rsidR="002A230A" w:rsidRPr="00EC250C" w:rsidRDefault="002A230A" w:rsidP="00D131FA">
      <w:pPr>
        <w:pStyle w:val="Styl1"/>
      </w:pPr>
      <w:r w:rsidRPr="00EC250C">
        <w:rPr>
          <w:bCs/>
          <w:iCs/>
        </w:rPr>
        <w:t xml:space="preserve">Minister Środowiska stwierdził jednak, </w:t>
      </w:r>
      <w:r w:rsidR="00B65DF0" w:rsidRPr="00EC250C">
        <w:rPr>
          <w:bCs/>
          <w:iCs/>
        </w:rPr>
        <w:t>ż</w:t>
      </w:r>
      <w:r w:rsidRPr="00EC250C">
        <w:rPr>
          <w:bCs/>
          <w:iCs/>
        </w:rPr>
        <w:t xml:space="preserve">e </w:t>
      </w:r>
      <w:r w:rsidRPr="00EC250C">
        <w:t>rozszerzanie listy gatunków wyrządzających szkody</w:t>
      </w:r>
      <w:r w:rsidR="00992FD0" w:rsidRPr="00EC250C">
        <w:t xml:space="preserve"> w </w:t>
      </w:r>
      <w:r w:rsidRPr="00EC250C">
        <w:t>gospodarce człowieka, za które odpowiada Skarb Państwa, nie jest zasadne.</w:t>
      </w:r>
      <w:r w:rsidR="00B65DF0" w:rsidRPr="00EC250C">
        <w:t xml:space="preserve"> Ministerstwo nie dostaje sygnałów, aby problem był poważny, a samo szacowanie strat byłoby trudne – Skarb Państwa odpowiada bowiem tylko za szkody rzeczywiste, a nie za utracone korzyści</w:t>
      </w:r>
      <w:r w:rsidR="00DD3BF6" w:rsidRPr="00EC250C">
        <w:rPr>
          <w:rStyle w:val="Odwoanieprzypisudolnego"/>
          <w:bCs/>
          <w:iCs/>
        </w:rPr>
        <w:footnoteReference w:id="701"/>
      </w:r>
      <w:r w:rsidR="00B65DF0" w:rsidRPr="00EC250C">
        <w:t>.</w:t>
      </w:r>
    </w:p>
    <w:p w14:paraId="1D598FEB" w14:textId="77777777" w:rsidR="00C066B0" w:rsidRPr="00EC250C" w:rsidRDefault="00C066B0" w:rsidP="00EC79EB">
      <w:pPr>
        <w:pStyle w:val="Nagwek4"/>
      </w:pPr>
      <w:bookmarkStart w:id="689" w:name="_Toc11247826"/>
      <w:r w:rsidRPr="00EC250C">
        <w:t>Odpowiedzialność odszkodowawcza państwa za niesłuszne skazanie</w:t>
      </w:r>
      <w:r w:rsidR="00DA6999" w:rsidRPr="00EC250C">
        <w:t xml:space="preserve"> – sprawa Tomasza Komendy</w:t>
      </w:r>
      <w:bookmarkEnd w:id="689"/>
    </w:p>
    <w:p w14:paraId="0FF2EB7D" w14:textId="77777777" w:rsidR="00C066B0" w:rsidRPr="00EC250C" w:rsidRDefault="00C066B0" w:rsidP="00D131FA">
      <w:pPr>
        <w:pStyle w:val="Problemczowieka"/>
        <w:jc w:val="both"/>
        <w:rPr>
          <w:lang w:eastAsia="en-US"/>
        </w:rPr>
      </w:pPr>
      <w:r w:rsidRPr="00EC250C">
        <w:rPr>
          <w:lang w:eastAsia="en-US"/>
        </w:rPr>
        <w:t>Sprawę tę RPO odnotowuje w swej informacji o stanie przestrzegania praw i wolności ze względu na jej społeczne znaczenie. Nie jest bowiem jej stroną i nie podejmował w</w:t>
      </w:r>
      <w:r w:rsidR="00E24C6B" w:rsidRPr="00EC250C">
        <w:rPr>
          <w:lang w:eastAsia="en-US"/>
        </w:rPr>
        <w:t> </w:t>
      </w:r>
      <w:r w:rsidRPr="00EC250C">
        <w:rPr>
          <w:lang w:eastAsia="en-US"/>
        </w:rPr>
        <w:t>tej sprawie działań.</w:t>
      </w:r>
    </w:p>
    <w:p w14:paraId="7540C7F7" w14:textId="77777777" w:rsidR="00DA6999" w:rsidRPr="00EC250C" w:rsidRDefault="00C066B0" w:rsidP="00D131FA">
      <w:pPr>
        <w:pStyle w:val="Styl1"/>
      </w:pPr>
      <w:r w:rsidRPr="00EC250C">
        <w:t>Tomasz Komendy</w:t>
      </w:r>
      <w:r w:rsidR="00A841F6" w:rsidRPr="00EC250C">
        <w:t xml:space="preserve"> został </w:t>
      </w:r>
      <w:r w:rsidRPr="00EC250C">
        <w:t>w 2004</w:t>
      </w:r>
      <w:r w:rsidR="00E24C6B" w:rsidRPr="00EC250C">
        <w:t xml:space="preserve"> r. </w:t>
      </w:r>
      <w:r w:rsidRPr="00EC250C">
        <w:t xml:space="preserve">został niesłusznie skazany na karę 25 lat pozbawienia wolności za zgwałcenie i zabójstwo 15-letniej </w:t>
      </w:r>
      <w:r w:rsidR="00DA6999" w:rsidRPr="00EC250C">
        <w:t>dziewczyny</w:t>
      </w:r>
      <w:r w:rsidRPr="00EC250C">
        <w:t xml:space="preserve">. </w:t>
      </w:r>
      <w:r w:rsidR="00DA6999" w:rsidRPr="00EC250C">
        <w:t>W czerwcu 2017</w:t>
      </w:r>
      <w:r w:rsidR="00E24C6B" w:rsidRPr="00EC250C">
        <w:t xml:space="preserve"> r. </w:t>
      </w:r>
      <w:r w:rsidR="00DA6999" w:rsidRPr="00EC250C">
        <w:t>ujawniono, że związek ze śmiercią nastolatki może mieć Ireneusz M., który kilka razy był już skazywany za gwałty.</w:t>
      </w:r>
      <w:r w:rsidR="00E24C6B" w:rsidRPr="00EC250C">
        <w:t xml:space="preserve"> </w:t>
      </w:r>
      <w:r w:rsidR="00DA6999" w:rsidRPr="00EC250C">
        <w:t>Podczas powtórnej analizy akt, okazało się, że Tomasz Komenda jest niewinny</w:t>
      </w:r>
      <w:hyperlink r:id="rId17" w:anchor="cite_note-rpp-18" w:history="1"/>
      <w:r w:rsidR="00DA6999" w:rsidRPr="00EC250C">
        <w:t>, w związku z czym śledczy złożyli do Sądu Najwyższego wniosek o uniewinnienie. 15 marca 2018 r. sąd okręgowy we Wrocławiu z urzędu warunkowo zwolnił Komendę z odbycia kary16 maja 2018 r. Sąd Najwyższy uchylił wyrok, stwierdzając, iż Tomasz Komenda jest niewinny, a dowody w sposób jednoznaczny wykluczają jego sprawstwo. Wskazał też na błędy popełnione w śledztwie.</w:t>
      </w:r>
      <w:r w:rsidR="00DA6999" w:rsidRPr="00EC250C">
        <w:rPr>
          <w:rStyle w:val="Odwoanieprzypisudolnego"/>
        </w:rPr>
        <w:footnoteReference w:id="702"/>
      </w:r>
    </w:p>
    <w:p w14:paraId="5144395A" w14:textId="77777777" w:rsidR="00DA6999" w:rsidRPr="00EC250C" w:rsidRDefault="00DA6999" w:rsidP="00D131FA">
      <w:pPr>
        <w:pStyle w:val="Styl1"/>
      </w:pPr>
      <w:r w:rsidRPr="00EC250C">
        <w:t>Tomasz Komenda spędził w więzieniu 6540 dni. Znęcano się nad nim psychicznie i fizycznie. Trzy razy próbował popełnić samobójstwo.</w:t>
      </w:r>
    </w:p>
    <w:p w14:paraId="41591DD1" w14:textId="77777777" w:rsidR="00DA6999" w:rsidRPr="00EC250C" w:rsidRDefault="00DA6999" w:rsidP="00D131FA">
      <w:pPr>
        <w:pStyle w:val="Styl1"/>
      </w:pPr>
      <w:r w:rsidRPr="00EC250C">
        <w:t>Tomasz Komenda wniósł w 2019 r. do sądu o zadośćuczynienie i odszkodowanie za to.</w:t>
      </w:r>
    </w:p>
    <w:p w14:paraId="12D9B8E4" w14:textId="77777777" w:rsidR="002A230A" w:rsidRPr="00EC250C" w:rsidRDefault="00DA6999" w:rsidP="00D131FA">
      <w:pPr>
        <w:spacing w:after="200" w:line="24" w:lineRule="auto"/>
        <w:jc w:val="both"/>
        <w:rPr>
          <w:spacing w:val="5"/>
          <w:sz w:val="22"/>
        </w:rPr>
      </w:pPr>
      <w:r w:rsidRPr="00EC250C">
        <w:rPr>
          <w:sz w:val="24"/>
        </w:rPr>
        <w:br w:type="page"/>
      </w:r>
    </w:p>
    <w:p w14:paraId="4596ADC3" w14:textId="77777777" w:rsidR="002A230A" w:rsidRPr="00EC250C" w:rsidRDefault="002A230A" w:rsidP="00EC250C">
      <w:pPr>
        <w:pStyle w:val="Nagwek3"/>
      </w:pPr>
      <w:bookmarkStart w:id="690" w:name="_Toc6257950"/>
      <w:bookmarkStart w:id="691" w:name="_Toc11247827"/>
      <w:r w:rsidRPr="00EC250C">
        <w:lastRenderedPageBreak/>
        <w:t xml:space="preserve">Art. 77 </w:t>
      </w:r>
      <w:r w:rsidR="003C7122" w:rsidRPr="00EC250C">
        <w:t xml:space="preserve">Konstytucji </w:t>
      </w:r>
      <w:r w:rsidRPr="00EC250C">
        <w:t>ust. 2 – Prawo do drogi sądowej</w:t>
      </w:r>
      <w:bookmarkEnd w:id="690"/>
      <w:bookmarkEnd w:id="691"/>
    </w:p>
    <w:p w14:paraId="4094EEC0" w14:textId="77777777" w:rsidR="002A230A" w:rsidRPr="00EC250C" w:rsidRDefault="002A230A" w:rsidP="00D131FA">
      <w:pPr>
        <w:pStyle w:val="konstytucja"/>
        <w:jc w:val="both"/>
      </w:pPr>
      <w:r w:rsidRPr="00EC250C">
        <w:t>Ustawa nie może nikomu zamykać drogi sądowej dochodzenia naruszonych wolności lub praw.</w:t>
      </w:r>
    </w:p>
    <w:p w14:paraId="2C981E95" w14:textId="77777777" w:rsidR="00C91F6E" w:rsidRPr="00EC250C" w:rsidRDefault="002A230A" w:rsidP="00D131FA">
      <w:pPr>
        <w:pStyle w:val="ComwiKonstytucja"/>
      </w:pPr>
      <w:r w:rsidRPr="00EC250C">
        <w:t>Regulacja ta ma uniwersalny wymiar. Gwarantuje drogę sądową nie tylko</w:t>
      </w:r>
      <w:r w:rsidR="00992FD0" w:rsidRPr="00EC250C">
        <w:t xml:space="preserve"> w </w:t>
      </w:r>
      <w:r w:rsidRPr="00EC250C">
        <w:t>sprawach</w:t>
      </w:r>
      <w:r w:rsidR="00992FD0" w:rsidRPr="00EC250C">
        <w:t xml:space="preserve"> o </w:t>
      </w:r>
      <w:r w:rsidRPr="00EC250C">
        <w:t>roszczenia odszkodowawcze wobec władzy publicznej, ale również</w:t>
      </w:r>
      <w:r w:rsidR="00992FD0" w:rsidRPr="00EC250C">
        <w:t xml:space="preserve"> w </w:t>
      </w:r>
      <w:r w:rsidRPr="00EC250C">
        <w:t>orzekaniu</w:t>
      </w:r>
      <w:r w:rsidR="00992FD0" w:rsidRPr="00EC250C">
        <w:t xml:space="preserve"> o </w:t>
      </w:r>
      <w:r w:rsidRPr="00EC250C">
        <w:t>wszelkich przypadkach naruszenia praw</w:t>
      </w:r>
      <w:r w:rsidR="00992FD0" w:rsidRPr="00EC250C">
        <w:t xml:space="preserve"> i </w:t>
      </w:r>
      <w:r w:rsidRPr="00EC250C">
        <w:t>wolności.</w:t>
      </w:r>
    </w:p>
    <w:p w14:paraId="62DA0402" w14:textId="77777777" w:rsidR="00C91F6E" w:rsidRPr="00EC250C" w:rsidRDefault="002A230A" w:rsidP="00D131FA">
      <w:pPr>
        <w:pStyle w:val="ComwiKonstytucja"/>
      </w:pPr>
      <w:r w:rsidRPr="00EC250C">
        <w:t>Prawo do sądu należy do jednych</w:t>
      </w:r>
      <w:r w:rsidR="00992FD0" w:rsidRPr="00EC250C">
        <w:t xml:space="preserve"> z </w:t>
      </w:r>
      <w:r w:rsidRPr="00EC250C">
        <w:t>podstawowych praw jednostki</w:t>
      </w:r>
      <w:r w:rsidR="00992FD0" w:rsidRPr="00EC250C">
        <w:t xml:space="preserve"> i </w:t>
      </w:r>
      <w:r w:rsidRPr="00EC250C">
        <w:t>stanowi jedną</w:t>
      </w:r>
      <w:r w:rsidR="00992FD0" w:rsidRPr="00EC250C">
        <w:t xml:space="preserve"> z </w:t>
      </w:r>
      <w:r w:rsidRPr="00EC250C">
        <w:t>fundamentalnych gwarancji praworządności. Komentatorzy podkreślają, że zakres przedmiotowy ustępu 2 ma nieporównywalnie szerszy charakter</w:t>
      </w:r>
      <w:r w:rsidR="00992FD0" w:rsidRPr="00EC250C">
        <w:t xml:space="preserve"> i </w:t>
      </w:r>
      <w:r w:rsidRPr="00EC250C">
        <w:t>wiąże się raczej</w:t>
      </w:r>
      <w:r w:rsidR="00992FD0" w:rsidRPr="00EC250C">
        <w:t xml:space="preserve"> z </w:t>
      </w:r>
      <w:r w:rsidRPr="00EC250C">
        <w:t>art. 45 ust. 1 Konstytucji niż</w:t>
      </w:r>
      <w:r w:rsidR="00992FD0" w:rsidRPr="00EC250C">
        <w:t xml:space="preserve"> z </w:t>
      </w:r>
      <w:r w:rsidRPr="00EC250C">
        <w:t>art. 77 ust.1. Oba wspomniane przepisy nie powtarzają swojej treści, art. 45 stanowi pozytywne ujęcie prawa do sądu, natomiast art. 77 ust 2. negatywne.</w:t>
      </w:r>
    </w:p>
    <w:p w14:paraId="60D89E4F" w14:textId="77777777" w:rsidR="002A230A" w:rsidRPr="00EC250C" w:rsidRDefault="002A230A" w:rsidP="00D131FA">
      <w:pPr>
        <w:pStyle w:val="ComwiKonstytucja"/>
      </w:pPr>
      <w:r w:rsidRPr="00EC250C">
        <w:t>Art. 77 ust. 2 dotyczy dochodzenia naruszonych wolności</w:t>
      </w:r>
      <w:r w:rsidR="00992FD0" w:rsidRPr="00EC250C">
        <w:t xml:space="preserve"> i </w:t>
      </w:r>
      <w:r w:rsidRPr="00EC250C">
        <w:t>praw zagwarantowanych</w:t>
      </w:r>
      <w:r w:rsidR="00992FD0" w:rsidRPr="00EC250C">
        <w:t xml:space="preserve"> w </w:t>
      </w:r>
      <w:r w:rsidRPr="00EC250C">
        <w:t>Konstytucji RP. Sąd Najwyższy stwierdził, że posługuje się on pojęciem drogi sądowej</w:t>
      </w:r>
      <w:r w:rsidR="00992FD0" w:rsidRPr="00EC250C">
        <w:t xml:space="preserve"> w </w:t>
      </w:r>
      <w:r w:rsidRPr="00EC250C">
        <w:t>szerokim znaczeniu, obejmującej postępowanie przed jakimkolwiek sądem przewidzianym</w:t>
      </w:r>
      <w:r w:rsidR="00992FD0" w:rsidRPr="00EC250C">
        <w:t xml:space="preserve"> w </w:t>
      </w:r>
      <w:r w:rsidRPr="00EC250C">
        <w:t>art. 175 Konstytucji,</w:t>
      </w:r>
      <w:r w:rsidR="00992FD0" w:rsidRPr="00EC250C">
        <w:t xml:space="preserve"> a </w:t>
      </w:r>
      <w:r w:rsidRPr="00EC250C">
        <w:t>więc przed Sądem Najwyższym, sądami powszechnym, administracyjnymi</w:t>
      </w:r>
      <w:r w:rsidR="00992FD0" w:rsidRPr="00EC250C">
        <w:t xml:space="preserve"> i </w:t>
      </w:r>
      <w:r w:rsidRPr="00EC250C">
        <w:t>wojskowymi.</w:t>
      </w:r>
    </w:p>
    <w:p w14:paraId="713E37E1" w14:textId="77777777" w:rsidR="003E4DBD" w:rsidRPr="00EC250C" w:rsidRDefault="003E4DBD" w:rsidP="00D131FA">
      <w:pPr>
        <w:pStyle w:val="ComwiKonstytucja"/>
      </w:pPr>
    </w:p>
    <w:p w14:paraId="7AF2A440" w14:textId="77777777" w:rsidR="002A230A" w:rsidRPr="00EC250C" w:rsidRDefault="002A230A" w:rsidP="00D131FA">
      <w:pPr>
        <w:spacing w:after="200" w:line="24" w:lineRule="auto"/>
        <w:jc w:val="both"/>
        <w:rPr>
          <w:i/>
          <w:spacing w:val="5"/>
          <w:sz w:val="22"/>
        </w:rPr>
      </w:pPr>
      <w:r w:rsidRPr="00EC250C">
        <w:rPr>
          <w:sz w:val="24"/>
        </w:rPr>
        <w:br w:type="page"/>
      </w:r>
    </w:p>
    <w:p w14:paraId="499432A5" w14:textId="77777777" w:rsidR="00C91F6E" w:rsidRPr="00EC250C" w:rsidRDefault="002A230A" w:rsidP="00EC79EB">
      <w:pPr>
        <w:pStyle w:val="Nagwek4"/>
      </w:pPr>
      <w:bookmarkStart w:id="692" w:name="_Toc11247828"/>
      <w:r w:rsidRPr="00EC250C">
        <w:lastRenderedPageBreak/>
        <w:t>Brak kontroli s</w:t>
      </w:r>
      <w:r w:rsidRPr="00EC250C">
        <w:rPr>
          <w:rFonts w:hint="eastAsia"/>
        </w:rPr>
        <w:t>ą</w:t>
      </w:r>
      <w:r w:rsidRPr="00EC250C">
        <w:t>dowej przeszuka</w:t>
      </w:r>
      <w:r w:rsidRPr="00EC250C">
        <w:rPr>
          <w:rFonts w:hint="eastAsia"/>
        </w:rPr>
        <w:t>ń</w:t>
      </w:r>
      <w:r w:rsidR="00992FD0" w:rsidRPr="00EC250C">
        <w:t xml:space="preserve"> i </w:t>
      </w:r>
      <w:r w:rsidRPr="00EC250C">
        <w:t xml:space="preserve">kontroli osobistej </w:t>
      </w:r>
      <w:r w:rsidR="00B84BD7" w:rsidRPr="00EC250C">
        <w:t xml:space="preserve">prowadzonych </w:t>
      </w:r>
      <w:r w:rsidRPr="00EC250C">
        <w:t>przez s</w:t>
      </w:r>
      <w:r w:rsidRPr="00EC250C">
        <w:rPr>
          <w:rFonts w:hint="eastAsia"/>
        </w:rPr>
        <w:t>ł</w:t>
      </w:r>
      <w:r w:rsidRPr="00EC250C">
        <w:t>u</w:t>
      </w:r>
      <w:r w:rsidRPr="00EC250C">
        <w:rPr>
          <w:rFonts w:hint="eastAsia"/>
        </w:rPr>
        <w:t>ż</w:t>
      </w:r>
      <w:r w:rsidRPr="00EC250C">
        <w:t>by celno-skarbowe</w:t>
      </w:r>
      <w:r w:rsidR="00992FD0" w:rsidRPr="00EC250C">
        <w:t xml:space="preserve"> i </w:t>
      </w:r>
      <w:r w:rsidRPr="00EC250C">
        <w:t>funkcjonariuszy SOP</w:t>
      </w:r>
      <w:bookmarkEnd w:id="692"/>
    </w:p>
    <w:p w14:paraId="5567C679" w14:textId="77777777" w:rsidR="00B473F5" w:rsidRPr="00EC250C" w:rsidRDefault="002A230A" w:rsidP="00D131FA">
      <w:pPr>
        <w:pStyle w:val="Problemczowieka"/>
        <w:jc w:val="both"/>
      </w:pPr>
      <w:r w:rsidRPr="00EC250C">
        <w:t xml:space="preserve">Jeśli są wątpliwości, czy funkcjonariusze Krajowej Administracji Sądowej lub Służby Ochrony Państwa </w:t>
      </w:r>
      <w:r w:rsidR="00B84BD7" w:rsidRPr="00EC250C">
        <w:t xml:space="preserve">prowadząc </w:t>
      </w:r>
      <w:r w:rsidRPr="00EC250C">
        <w:t>przeszukanie czy kontrolę osobistą nie przekroczyli uprawnień, nie można zwrócić się</w:t>
      </w:r>
      <w:r w:rsidR="00992FD0" w:rsidRPr="00EC250C">
        <w:t xml:space="preserve"> w </w:t>
      </w:r>
      <w:r w:rsidRPr="00EC250C">
        <w:t>tej sprawie do sądu</w:t>
      </w:r>
      <w:r w:rsidR="00B473F5" w:rsidRPr="00EC250C">
        <w:t>.</w:t>
      </w:r>
    </w:p>
    <w:p w14:paraId="0935E454" w14:textId="77777777" w:rsidR="00C91F6E" w:rsidRPr="00EC250C" w:rsidRDefault="002A230A" w:rsidP="00D131FA">
      <w:pPr>
        <w:pStyle w:val="Styl1"/>
      </w:pPr>
      <w:r w:rsidRPr="00EC250C">
        <w:t>Wprawdzie Trybunał Konstytucyjny uznał (z wniosku RPO</w:t>
      </w:r>
      <w:r w:rsidRPr="00EC250C">
        <w:rPr>
          <w:bCs/>
          <w:iCs/>
        </w:rPr>
        <w:t>)</w:t>
      </w:r>
      <w:r w:rsidRPr="00EC250C">
        <w:rPr>
          <w:rStyle w:val="Odwoanieprzypisudolnego"/>
          <w:bCs/>
          <w:iCs/>
        </w:rPr>
        <w:t xml:space="preserve"> </w:t>
      </w:r>
      <w:r w:rsidRPr="00EC250C">
        <w:rPr>
          <w:rStyle w:val="Odwoanieprzypisudolnego"/>
          <w:bCs/>
          <w:iCs/>
        </w:rPr>
        <w:footnoteReference w:id="703"/>
      </w:r>
      <w:r w:rsidRPr="00EC250C">
        <w:rPr>
          <w:bCs/>
          <w:iCs/>
        </w:rPr>
        <w:t xml:space="preserve">, że </w:t>
      </w:r>
      <w:r w:rsidRPr="00EC250C">
        <w:t>brak takiej kontroli sądowej</w:t>
      </w:r>
      <w:r w:rsidR="00992FD0" w:rsidRPr="00EC250C">
        <w:t xml:space="preserve"> w </w:t>
      </w:r>
      <w:r w:rsidRPr="00EC250C">
        <w:t>przypadku policji, ABW, AW, CBA</w:t>
      </w:r>
      <w:r w:rsidR="00992FD0" w:rsidRPr="00EC250C">
        <w:t xml:space="preserve"> i </w:t>
      </w:r>
      <w:r w:rsidRPr="00EC250C">
        <w:t xml:space="preserve">Żandarmerii Wojskowej </w:t>
      </w:r>
      <w:r w:rsidR="00B84BD7" w:rsidRPr="00EC250C">
        <w:t>jest niezgodny</w:t>
      </w:r>
      <w:r w:rsidR="00992FD0" w:rsidRPr="00EC250C">
        <w:t xml:space="preserve"> z </w:t>
      </w:r>
      <w:r w:rsidRPr="00EC250C">
        <w:t xml:space="preserve">Konstytucją, ale nie odniósł się do KAS, gdyż ta </w:t>
      </w:r>
      <w:r w:rsidR="00B84BD7" w:rsidRPr="00EC250C">
        <w:t xml:space="preserve">instytucja </w:t>
      </w:r>
      <w:r w:rsidRPr="00EC250C">
        <w:t>wtedy jeszcze nie istniała,</w:t>
      </w:r>
      <w:r w:rsidR="00992FD0" w:rsidRPr="00EC250C">
        <w:t xml:space="preserve"> a </w:t>
      </w:r>
      <w:r w:rsidRPr="00EC250C">
        <w:t>SOP dopiero powstawała</w:t>
      </w:r>
      <w:r w:rsidR="00992FD0" w:rsidRPr="00EC250C">
        <w:t xml:space="preserve"> w </w:t>
      </w:r>
      <w:r w:rsidRPr="00EC250C">
        <w:t>miejsce BOR</w:t>
      </w:r>
      <w:r w:rsidRPr="00EC250C">
        <w:rPr>
          <w:rStyle w:val="Odwoanieprzypisudolnego"/>
          <w:bCs/>
          <w:iCs/>
        </w:rPr>
        <w:footnoteReference w:id="704"/>
      </w:r>
      <w:r w:rsidRPr="00EC250C">
        <w:t>.</w:t>
      </w:r>
    </w:p>
    <w:p w14:paraId="73853238" w14:textId="77777777" w:rsidR="002A230A" w:rsidRPr="00EC250C" w:rsidRDefault="002A230A" w:rsidP="00D131FA">
      <w:pPr>
        <w:pStyle w:val="Styl1"/>
      </w:pPr>
      <w:r w:rsidRPr="00EC250C">
        <w:t>Tymczasem ustawa</w:t>
      </w:r>
      <w:r w:rsidR="00992FD0" w:rsidRPr="00EC250C">
        <w:t xml:space="preserve"> o </w:t>
      </w:r>
      <w:r w:rsidRPr="00EC250C">
        <w:t>Krajowej Administracji Skarbowej, kt</w:t>
      </w:r>
      <w:r w:rsidRPr="00EC250C">
        <w:rPr>
          <w:rFonts w:hint="eastAsia"/>
        </w:rPr>
        <w:t>ó</w:t>
      </w:r>
      <w:r w:rsidRPr="00EC250C">
        <w:t>ra zast</w:t>
      </w:r>
      <w:r w:rsidRPr="00EC250C">
        <w:rPr>
          <w:rFonts w:hint="eastAsia"/>
        </w:rPr>
        <w:t>ą</w:t>
      </w:r>
      <w:r w:rsidRPr="00EC250C">
        <w:t>pi</w:t>
      </w:r>
      <w:r w:rsidRPr="00EC250C">
        <w:rPr>
          <w:rFonts w:hint="eastAsia"/>
        </w:rPr>
        <w:t>ł</w:t>
      </w:r>
      <w:r w:rsidRPr="00EC250C">
        <w:t>a ustaw</w:t>
      </w:r>
      <w:r w:rsidRPr="00EC250C">
        <w:rPr>
          <w:rFonts w:hint="eastAsia"/>
        </w:rPr>
        <w:t>ę</w:t>
      </w:r>
      <w:r w:rsidR="00992FD0" w:rsidRPr="00EC250C">
        <w:t xml:space="preserve"> o </w:t>
      </w:r>
      <w:r w:rsidRPr="00EC250C">
        <w:t xml:space="preserve">kontroli skarbowej, </w:t>
      </w:r>
      <w:r w:rsidR="00B84BD7" w:rsidRPr="00EC250C">
        <w:t xml:space="preserve">przewiduje </w:t>
      </w:r>
      <w:r w:rsidRPr="00EC250C">
        <w:t>podobne uprawnienia dla funkcjonariuszy S</w:t>
      </w:r>
      <w:r w:rsidRPr="00EC250C">
        <w:rPr>
          <w:rFonts w:hint="eastAsia"/>
        </w:rPr>
        <w:t>ł</w:t>
      </w:r>
      <w:r w:rsidRPr="00EC250C">
        <w:t>u</w:t>
      </w:r>
      <w:r w:rsidRPr="00EC250C">
        <w:rPr>
          <w:rFonts w:hint="eastAsia"/>
        </w:rPr>
        <w:t>ż</w:t>
      </w:r>
      <w:r w:rsidRPr="00EC250C">
        <w:t>by Celno-Skarbowej, m.in. do prowadzenia przeszukania zar</w:t>
      </w:r>
      <w:r w:rsidRPr="00EC250C">
        <w:rPr>
          <w:rFonts w:hint="eastAsia"/>
        </w:rPr>
        <w:t>ó</w:t>
      </w:r>
      <w:r w:rsidRPr="00EC250C">
        <w:t>wno os</w:t>
      </w:r>
      <w:r w:rsidRPr="00EC250C">
        <w:rPr>
          <w:rFonts w:hint="eastAsia"/>
        </w:rPr>
        <w:t>ó</w:t>
      </w:r>
      <w:r w:rsidRPr="00EC250C">
        <w:t>b, jak</w:t>
      </w:r>
      <w:r w:rsidR="00992FD0" w:rsidRPr="00EC250C">
        <w:t xml:space="preserve"> i </w:t>
      </w:r>
      <w:r w:rsidRPr="00EC250C">
        <w:t>lokali (w tym mieszkań), nie okre</w:t>
      </w:r>
      <w:r w:rsidRPr="00EC250C">
        <w:rPr>
          <w:rFonts w:hint="eastAsia"/>
        </w:rPr>
        <w:t>ś</w:t>
      </w:r>
      <w:r w:rsidRPr="00EC250C">
        <w:t>laj</w:t>
      </w:r>
      <w:r w:rsidRPr="00EC250C">
        <w:rPr>
          <w:rFonts w:hint="eastAsia"/>
        </w:rPr>
        <w:t>ą</w:t>
      </w:r>
      <w:r w:rsidRPr="00EC250C">
        <w:t>c</w:t>
      </w:r>
      <w:r w:rsidR="00992FD0" w:rsidRPr="00EC250C">
        <w:t xml:space="preserve"> w </w:t>
      </w:r>
      <w:r w:rsidRPr="00EC250C">
        <w:rPr>
          <w:rFonts w:hint="eastAsia"/>
        </w:rPr>
        <w:t>ż</w:t>
      </w:r>
      <w:r w:rsidRPr="00EC250C">
        <w:t>aden spos</w:t>
      </w:r>
      <w:r w:rsidRPr="00EC250C">
        <w:rPr>
          <w:rFonts w:hint="eastAsia"/>
        </w:rPr>
        <w:t>ó</w:t>
      </w:r>
      <w:r w:rsidRPr="00EC250C">
        <w:t>b granic tego przeszukania.</w:t>
      </w:r>
    </w:p>
    <w:p w14:paraId="57E48807" w14:textId="77777777" w:rsidR="002A230A" w:rsidRPr="00EC250C" w:rsidRDefault="002A230A" w:rsidP="00D131FA">
      <w:pPr>
        <w:pStyle w:val="Styl1"/>
      </w:pPr>
      <w:r w:rsidRPr="00EC250C">
        <w:t>Natomiast ustawa</w:t>
      </w:r>
      <w:r w:rsidR="00992FD0" w:rsidRPr="00EC250C">
        <w:t xml:space="preserve"> o </w:t>
      </w:r>
      <w:r w:rsidRPr="00EC250C">
        <w:t>Służbie Ochrony Państwa zawiera te same przepisy, które</w:t>
      </w:r>
      <w:r w:rsidR="00992FD0" w:rsidRPr="00EC250C">
        <w:t xml:space="preserve"> w </w:t>
      </w:r>
      <w:r w:rsidRPr="00EC250C">
        <w:t>przypadku BOR Trybunał Konstytucyjny uznał za niezgodne</w:t>
      </w:r>
      <w:r w:rsidR="00992FD0" w:rsidRPr="00EC250C">
        <w:t xml:space="preserve"> z </w:t>
      </w:r>
      <w:r w:rsidRPr="00EC250C">
        <w:t xml:space="preserve">Konstytucją. </w:t>
      </w:r>
      <w:r w:rsidR="00135B9D" w:rsidRPr="00EC250C">
        <w:t>RPO</w:t>
      </w:r>
      <w:r w:rsidRPr="00EC250C">
        <w:t xml:space="preserve"> zwracał na to uwagę już</w:t>
      </w:r>
      <w:r w:rsidR="00992FD0" w:rsidRPr="00EC250C">
        <w:t xml:space="preserve"> w </w:t>
      </w:r>
      <w:r w:rsidRPr="00EC250C">
        <w:t>czasie prac legislacyjnych nad ustawą</w:t>
      </w:r>
      <w:r w:rsidR="00992FD0" w:rsidRPr="00EC250C">
        <w:t xml:space="preserve"> o </w:t>
      </w:r>
      <w:r w:rsidRPr="00EC250C">
        <w:t xml:space="preserve">SOP, ale </w:t>
      </w:r>
      <w:r w:rsidR="00B84BD7" w:rsidRPr="00EC250C">
        <w:t>bezskutecznie</w:t>
      </w:r>
      <w:r w:rsidRPr="00EC250C">
        <w:t>.</w:t>
      </w:r>
      <w:r w:rsidRPr="00EC250C">
        <w:rPr>
          <w:rStyle w:val="Odwoanieprzypisudolnego"/>
        </w:rPr>
        <w:footnoteReference w:id="705"/>
      </w:r>
    </w:p>
    <w:p w14:paraId="75434DC8" w14:textId="77777777" w:rsidR="00C91F6E" w:rsidRPr="00EC250C" w:rsidRDefault="00135B9D" w:rsidP="00D131FA">
      <w:pPr>
        <w:pStyle w:val="Styl1"/>
      </w:pPr>
      <w:r w:rsidRPr="00EC250C">
        <w:t>RPO</w:t>
      </w:r>
      <w:r w:rsidR="002A230A" w:rsidRPr="00EC250C">
        <w:t xml:space="preserve"> ponownie więc zwrócił się</w:t>
      </w:r>
      <w:r w:rsidR="00992FD0" w:rsidRPr="00EC250C">
        <w:t xml:space="preserve"> o </w:t>
      </w:r>
      <w:r w:rsidR="002A230A" w:rsidRPr="00EC250C">
        <w:t>poprawę prawa do Ministra Finansów</w:t>
      </w:r>
      <w:r w:rsidR="002A230A" w:rsidRPr="00EC250C">
        <w:rPr>
          <w:rStyle w:val="Odwoanieprzypisudolnego"/>
          <w:bCs/>
          <w:iCs/>
        </w:rPr>
        <w:footnoteReference w:id="706"/>
      </w:r>
      <w:r w:rsidR="00026572" w:rsidRPr="00EC250C">
        <w:t xml:space="preserve"> – </w:t>
      </w:r>
      <w:r w:rsidR="00992FD0" w:rsidRPr="00EC250C">
        <w:t>w </w:t>
      </w:r>
      <w:r w:rsidR="002A230A" w:rsidRPr="00EC250C">
        <w:t>sprawie KAS</w:t>
      </w:r>
      <w:r w:rsidR="00992FD0" w:rsidRPr="00EC250C">
        <w:t xml:space="preserve"> i </w:t>
      </w:r>
      <w:r w:rsidR="002A230A" w:rsidRPr="00EC250C">
        <w:t>do Ministra Spraw Wewnętrznych</w:t>
      </w:r>
      <w:r w:rsidR="00992FD0" w:rsidRPr="00EC250C">
        <w:t xml:space="preserve"> i </w:t>
      </w:r>
      <w:r w:rsidR="002A230A" w:rsidRPr="00EC250C">
        <w:t>Administracji</w:t>
      </w:r>
      <w:r w:rsidR="002A230A" w:rsidRPr="00EC250C">
        <w:rPr>
          <w:rStyle w:val="Odwoanieprzypisudolnego"/>
          <w:bCs/>
          <w:iCs/>
        </w:rPr>
        <w:footnoteReference w:id="707"/>
      </w:r>
      <w:r w:rsidR="002A230A" w:rsidRPr="00EC250C">
        <w:t xml:space="preserve"> –</w:t>
      </w:r>
      <w:r w:rsidR="00992FD0" w:rsidRPr="00EC250C">
        <w:t xml:space="preserve"> w </w:t>
      </w:r>
      <w:r w:rsidR="002A230A" w:rsidRPr="00EC250C">
        <w:t>sprawie SOP.</w:t>
      </w:r>
    </w:p>
    <w:p w14:paraId="320BD84F" w14:textId="77777777" w:rsidR="002A230A" w:rsidRPr="00EC250C" w:rsidRDefault="002A230A" w:rsidP="00D131FA">
      <w:pPr>
        <w:pStyle w:val="Styl1"/>
        <w:rPr>
          <w:bCs/>
          <w:iCs/>
        </w:rPr>
      </w:pPr>
      <w:r w:rsidRPr="00EC250C">
        <w:t>MSWiA przyznał</w:t>
      </w:r>
      <w:r w:rsidR="00B84BD7" w:rsidRPr="00EC250C">
        <w:t>o</w:t>
      </w:r>
      <w:r w:rsidRPr="00EC250C">
        <w:t>, że sprawa wymaga analizy. Minister Finansów nie odpowiedział.</w:t>
      </w:r>
    </w:p>
    <w:p w14:paraId="0B7622D9" w14:textId="77777777" w:rsidR="002A230A" w:rsidRPr="00EC250C" w:rsidRDefault="002A230A" w:rsidP="00D131FA">
      <w:pPr>
        <w:pStyle w:val="ODESANIE"/>
        <w:jc w:val="both"/>
      </w:pPr>
      <w:r w:rsidRPr="00EC250C">
        <w:t>Zobacz też problemy</w:t>
      </w:r>
      <w:r w:rsidR="00992FD0" w:rsidRPr="00EC250C">
        <w:t xml:space="preserve"> z </w:t>
      </w:r>
      <w:r w:rsidRPr="00EC250C">
        <w:t>odszkodowaniami za bezprawne przeszukania</w:t>
      </w:r>
      <w:r w:rsidR="00992FD0" w:rsidRPr="00EC250C">
        <w:t xml:space="preserve"> i </w:t>
      </w:r>
      <w:r w:rsidRPr="00EC250C">
        <w:t>kontrolę osobistą – art. 41 ust. 1 Konstytucji</w:t>
      </w:r>
    </w:p>
    <w:p w14:paraId="4E2391A2" w14:textId="77777777" w:rsidR="00FD197A" w:rsidRPr="00EC250C" w:rsidRDefault="00FD197A" w:rsidP="00D131FA">
      <w:pPr>
        <w:pStyle w:val="ODESANIE"/>
        <w:jc w:val="both"/>
      </w:pPr>
      <w:r w:rsidRPr="00EC250C">
        <w:t>Sprawa ekshumacji ofiar katastrofy smoleńskiej i wyrok Europejskiego Trybunału Praw Człowieka przyznający rację rodzinom –  sprawa Solska i Rybicka v. Polska, wyrok z 20/09/2018, skarga nr 30491/17 oraz 31083/17 (w załączniku do niniejszej Informacji)</w:t>
      </w:r>
    </w:p>
    <w:p w14:paraId="4596D389" w14:textId="77777777" w:rsidR="002A230A" w:rsidRPr="00EC250C" w:rsidRDefault="002A230A" w:rsidP="00D131FA">
      <w:pPr>
        <w:pStyle w:val="Przypis"/>
        <w:jc w:val="both"/>
        <w:rPr>
          <w:rFonts w:eastAsiaTheme="majorEastAsia" w:cstheme="majorBidi"/>
          <w:color w:val="C00000"/>
          <w:sz w:val="28"/>
        </w:rPr>
      </w:pPr>
      <w:r w:rsidRPr="00EC250C">
        <w:br w:type="page"/>
      </w:r>
    </w:p>
    <w:p w14:paraId="463E06E3" w14:textId="77777777" w:rsidR="00C91F6E" w:rsidRPr="00EC250C" w:rsidRDefault="00D52B5C" w:rsidP="00EC79EB">
      <w:pPr>
        <w:pStyle w:val="Nagwek4"/>
      </w:pPr>
      <w:bookmarkStart w:id="693" w:name="_Toc7113917"/>
      <w:bookmarkStart w:id="694" w:name="_Toc6257952"/>
      <w:bookmarkStart w:id="695" w:name="_Toc11247829"/>
      <w:r w:rsidRPr="00EC250C">
        <w:lastRenderedPageBreak/>
        <w:t xml:space="preserve">Wątpliwości wobec 5-letniego terminu na </w:t>
      </w:r>
      <w:bookmarkEnd w:id="693"/>
      <w:r w:rsidRPr="00EC250C">
        <w:t>uchylenie decyzji administracyjnej wydanej na podstawie niekonstytucyjnego przepisu</w:t>
      </w:r>
      <w:bookmarkEnd w:id="694"/>
      <w:bookmarkEnd w:id="695"/>
    </w:p>
    <w:p w14:paraId="549AFD51" w14:textId="77777777" w:rsidR="00B473F5" w:rsidRPr="00EC250C" w:rsidRDefault="00D52B5C" w:rsidP="00D131FA">
      <w:pPr>
        <w:pStyle w:val="Problemczowieka"/>
        <w:jc w:val="both"/>
      </w:pPr>
      <w:r w:rsidRPr="00EC250C">
        <w:t>Osoba pokrzywdzona decyzją administracyjną wydaną na podstawie przepisu, który Trybunał Konstytucyjny uznał za niezgodny</w:t>
      </w:r>
      <w:r w:rsidR="00992FD0" w:rsidRPr="00EC250C">
        <w:t xml:space="preserve"> z </w:t>
      </w:r>
      <w:r w:rsidRPr="00EC250C">
        <w:t>Konstytucją nie może uzyskać zmiany tej decyzji, jeśli od jej wydania minęło 5 lat. Termin ten jest za krótki</w:t>
      </w:r>
      <w:r w:rsidR="00B473F5" w:rsidRPr="00EC250C">
        <w:t>.</w:t>
      </w:r>
    </w:p>
    <w:p w14:paraId="58F4F7DF" w14:textId="77777777" w:rsidR="00D52B5C" w:rsidRPr="00EC250C" w:rsidRDefault="00D52B5C" w:rsidP="00D131FA">
      <w:pPr>
        <w:pStyle w:val="Styl1"/>
      </w:pPr>
      <w:r w:rsidRPr="00EC250C">
        <w:t>O znaczeniu tego problemu opinia publiczna przekonała się już</w:t>
      </w:r>
      <w:r w:rsidR="00992FD0" w:rsidRPr="00EC250C">
        <w:t xml:space="preserve"> w </w:t>
      </w:r>
      <w:r w:rsidRPr="00EC250C">
        <w:t>2019</w:t>
      </w:r>
      <w:r w:rsidR="00C91F6E" w:rsidRPr="00EC250C">
        <w:t> r.</w:t>
      </w:r>
      <w:r w:rsidRPr="00EC250C">
        <w:t xml:space="preserve"> – tysiące kobiet</w:t>
      </w:r>
      <w:r w:rsidR="00992FD0" w:rsidRPr="00EC250C">
        <w:t xml:space="preserve"> z </w:t>
      </w:r>
      <w:r w:rsidRPr="00EC250C">
        <w:t>rocznika 1953 nie może wystąpić do ZUS</w:t>
      </w:r>
      <w:r w:rsidR="00992FD0" w:rsidRPr="00EC250C">
        <w:t xml:space="preserve"> o </w:t>
      </w:r>
      <w:r w:rsidRPr="00EC250C">
        <w:t>przeliczenie emerytur na bardziej korzystne, choć Trybunał Konstytucyjny uznał przepisy emerytalne za niezgodne</w:t>
      </w:r>
      <w:r w:rsidR="00992FD0" w:rsidRPr="00EC250C">
        <w:t xml:space="preserve"> z </w:t>
      </w:r>
      <w:r w:rsidRPr="00EC250C">
        <w:t>Konstytucją. Od decyzji ZUS</w:t>
      </w:r>
      <w:r w:rsidR="00992FD0" w:rsidRPr="00EC250C">
        <w:t xml:space="preserve"> o </w:t>
      </w:r>
      <w:r w:rsidRPr="00EC250C">
        <w:t>wysokości ich emerytur minęło już bowiem pięć lat.</w:t>
      </w:r>
    </w:p>
    <w:p w14:paraId="48D611FC" w14:textId="77777777" w:rsidR="00F167C6" w:rsidRPr="00EC250C" w:rsidRDefault="00F167C6" w:rsidP="00D131FA">
      <w:pPr>
        <w:pStyle w:val="ODESANIE"/>
        <w:jc w:val="both"/>
      </w:pPr>
      <w:r w:rsidRPr="00EC250C">
        <w:t>Sprawa opisana w kontekście art. 67 Konstytucji</w:t>
      </w:r>
    </w:p>
    <w:p w14:paraId="577CC092" w14:textId="77777777" w:rsidR="002A230A" w:rsidRPr="00EC250C" w:rsidRDefault="002A230A" w:rsidP="00D131FA">
      <w:pPr>
        <w:pStyle w:val="Styl1"/>
        <w:rPr>
          <w:bdr w:val="none" w:sz="0" w:space="0" w:color="auto" w:frame="1"/>
        </w:rPr>
      </w:pPr>
      <w:r w:rsidRPr="00EC250C">
        <w:rPr>
          <w:bdr w:val="none" w:sz="0" w:space="0" w:color="auto" w:frame="1"/>
        </w:rPr>
        <w:t>Przepis Kodeksu postępowania administracyjnego wyłącza uchylenie decyzji, wydanej na podstawie uznanego przez Trybunał Konstytucyjny za niekonstytucyjny aktu normatywnego po upływie 5 lat od dnia jej doręczenia lub ogłoszenia</w:t>
      </w:r>
      <w:r w:rsidR="00F167C6" w:rsidRPr="00EC250C">
        <w:rPr>
          <w:rStyle w:val="Odwoanieprzypisudolnego"/>
          <w:bdr w:val="none" w:sz="0" w:space="0" w:color="auto" w:frame="1"/>
        </w:rPr>
        <w:footnoteReference w:id="708"/>
      </w:r>
      <w:r w:rsidRPr="00EC250C">
        <w:rPr>
          <w:bdr w:val="none" w:sz="0" w:space="0" w:color="auto" w:frame="1"/>
        </w:rPr>
        <w:t>. W taki sposób przepisy chronią zasadę pewności obrotu</w:t>
      </w:r>
      <w:r w:rsidR="00CC4D88" w:rsidRPr="00EC250C">
        <w:rPr>
          <w:bdr w:val="none" w:sz="0" w:space="0" w:color="auto" w:frame="1"/>
        </w:rPr>
        <w:t xml:space="preserve"> </w:t>
      </w:r>
      <w:r w:rsidRPr="00EC250C">
        <w:rPr>
          <w:bdr w:val="none" w:sz="0" w:space="0" w:color="auto" w:frame="1"/>
        </w:rPr>
        <w:t>prawnego, dzięki której można polega</w:t>
      </w:r>
      <w:r w:rsidR="00C678CE" w:rsidRPr="00EC250C">
        <w:rPr>
          <w:bdr w:val="none" w:sz="0" w:space="0" w:color="auto" w:frame="1"/>
        </w:rPr>
        <w:t>ć</w:t>
      </w:r>
      <w:r w:rsidRPr="00EC250C">
        <w:rPr>
          <w:bdr w:val="none" w:sz="0" w:space="0" w:color="auto" w:frame="1"/>
        </w:rPr>
        <w:t xml:space="preserve"> na prawomocnych decyzjach</w:t>
      </w:r>
      <w:r w:rsidR="00992FD0" w:rsidRPr="00EC250C">
        <w:rPr>
          <w:bdr w:val="none" w:sz="0" w:space="0" w:color="auto" w:frame="1"/>
        </w:rPr>
        <w:t xml:space="preserve"> i </w:t>
      </w:r>
      <w:r w:rsidRPr="00EC250C">
        <w:rPr>
          <w:bdr w:val="none" w:sz="0" w:space="0" w:color="auto" w:frame="1"/>
        </w:rPr>
        <w:t>podejmować na ich podstawie dalsze wiążące kroki.</w:t>
      </w:r>
    </w:p>
    <w:p w14:paraId="67F47A94" w14:textId="77777777" w:rsidR="002A230A" w:rsidRPr="00EC250C" w:rsidRDefault="002A230A" w:rsidP="00D131FA">
      <w:pPr>
        <w:pStyle w:val="Styl1"/>
        <w:rPr>
          <w:rFonts w:ascii="Open Sans Regular" w:hAnsi="Open Sans Regular"/>
        </w:rPr>
      </w:pPr>
      <w:r w:rsidRPr="00EC250C">
        <w:rPr>
          <w:bdr w:val="none" w:sz="0" w:space="0" w:color="auto" w:frame="1"/>
        </w:rPr>
        <w:t>RPO wskazał jednak na konstytucyjne argumenty przemawiające za potrzebą dopuszczenia merytorycznego orzekania</w:t>
      </w:r>
      <w:r w:rsidR="00992FD0" w:rsidRPr="00EC250C">
        <w:rPr>
          <w:bdr w:val="none" w:sz="0" w:space="0" w:color="auto" w:frame="1"/>
        </w:rPr>
        <w:t xml:space="preserve"> w </w:t>
      </w:r>
      <w:r w:rsidRPr="00EC250C">
        <w:rPr>
          <w:bdr w:val="none" w:sz="0" w:space="0" w:color="auto" w:frame="1"/>
        </w:rPr>
        <w:t>sprawie</w:t>
      </w:r>
      <w:r w:rsidR="00992FD0" w:rsidRPr="00EC250C">
        <w:rPr>
          <w:bdr w:val="none" w:sz="0" w:space="0" w:color="auto" w:frame="1"/>
        </w:rPr>
        <w:t xml:space="preserve"> o </w:t>
      </w:r>
      <w:r w:rsidRPr="00EC250C">
        <w:rPr>
          <w:bdr w:val="none" w:sz="0" w:space="0" w:color="auto" w:frame="1"/>
        </w:rPr>
        <w:t>wznowienie postępowania także po upływie tego terminu.</w:t>
      </w:r>
    </w:p>
    <w:p w14:paraId="290F5BEE" w14:textId="77777777" w:rsidR="002A230A" w:rsidRPr="00EC250C" w:rsidRDefault="002A230A" w:rsidP="00D131FA">
      <w:pPr>
        <w:pStyle w:val="Styl1"/>
      </w:pPr>
      <w:r w:rsidRPr="00EC250C">
        <w:t>Zdaniem RPO wznowienie postępowania</w:t>
      </w:r>
      <w:r w:rsidR="00992FD0" w:rsidRPr="00EC250C">
        <w:t xml:space="preserve"> w </w:t>
      </w:r>
      <w:r w:rsidRPr="00EC250C">
        <w:t>następstwie orzeczenia Trybunału</w:t>
      </w:r>
      <w:r w:rsidR="00992FD0" w:rsidRPr="00EC250C">
        <w:t xml:space="preserve"> o </w:t>
      </w:r>
      <w:r w:rsidRPr="00EC250C">
        <w:t>niekonstytucyjności podstawy prawnej rozstrzygnięcia jest formą realizacji zasady praworządności</w:t>
      </w:r>
      <w:r w:rsidR="00992FD0" w:rsidRPr="00EC250C">
        <w:t xml:space="preserve"> i </w:t>
      </w:r>
      <w:r w:rsidRPr="00EC250C">
        <w:t>konstytucyjnego prawa do sądu (ponownego rozstrzygnięcia sprawy</w:t>
      </w:r>
      <w:r w:rsidR="00992FD0" w:rsidRPr="00EC250C">
        <w:t xml:space="preserve"> w </w:t>
      </w:r>
      <w:r w:rsidRPr="00EC250C">
        <w:t>nowym, zgodnym</w:t>
      </w:r>
      <w:r w:rsidR="00992FD0" w:rsidRPr="00EC250C">
        <w:t xml:space="preserve"> z </w:t>
      </w:r>
      <w:r w:rsidRPr="00EC250C">
        <w:t>Konstytucją, stanie prawnym). To prawda, że oznacza to ingerencję</w:t>
      </w:r>
      <w:r w:rsidR="00992FD0" w:rsidRPr="00EC250C">
        <w:t xml:space="preserve"> w </w:t>
      </w:r>
      <w:r w:rsidRPr="00EC250C">
        <w:t>stosunki prawne ukształtowane prawomocnym już rozstrzygnięciem, ale chroniąc pewność obrotu prawnego nie można całkowicie pozbawiać znaczenia prawa do sądu. Trzeba poszukać punktu równowagi pomiędzy każdą</w:t>
      </w:r>
      <w:r w:rsidR="00992FD0" w:rsidRPr="00EC250C">
        <w:t xml:space="preserve"> z </w:t>
      </w:r>
      <w:r w:rsidRPr="00EC250C">
        <w:t>tych dwóch wartości.</w:t>
      </w:r>
    </w:p>
    <w:p w14:paraId="4D467CF9" w14:textId="77777777" w:rsidR="002A230A" w:rsidRPr="00EC250C" w:rsidRDefault="002A230A" w:rsidP="00D131FA">
      <w:pPr>
        <w:pStyle w:val="Styl1"/>
      </w:pPr>
      <w:r w:rsidRPr="00EC250C">
        <w:t>O rozważenie tego problemu RPO zwrócił się</w:t>
      </w:r>
      <w:r w:rsidRPr="00EC250C">
        <w:rPr>
          <w:rStyle w:val="Odwoanieprzypisudolnego"/>
          <w:bCs/>
          <w:iCs/>
        </w:rPr>
        <w:footnoteReference w:id="709"/>
      </w:r>
      <w:r w:rsidRPr="00EC250C">
        <w:rPr>
          <w:bCs/>
          <w:iCs/>
        </w:rPr>
        <w:t xml:space="preserve"> do Ministra Spraw Wewnętrznych</w:t>
      </w:r>
      <w:r w:rsidR="00992FD0" w:rsidRPr="00EC250C">
        <w:rPr>
          <w:bCs/>
          <w:iCs/>
        </w:rPr>
        <w:t xml:space="preserve"> i </w:t>
      </w:r>
      <w:r w:rsidRPr="00EC250C">
        <w:rPr>
          <w:bCs/>
          <w:iCs/>
        </w:rPr>
        <w:t xml:space="preserve">Administracji. Ten </w:t>
      </w:r>
      <w:r w:rsidRPr="00EC250C">
        <w:t>przyznał, że argumentacja przedstawiona</w:t>
      </w:r>
      <w:r w:rsidR="00992FD0" w:rsidRPr="00EC250C">
        <w:t xml:space="preserve"> w </w:t>
      </w:r>
      <w:r w:rsidRPr="00EC250C">
        <w:t xml:space="preserve">wystąpieniu </w:t>
      </w:r>
      <w:r w:rsidR="00135B9D" w:rsidRPr="00EC250C">
        <w:t>RPO</w:t>
      </w:r>
      <w:r w:rsidRPr="00EC250C">
        <w:t xml:space="preserve"> wydaje się istotna. Jednak wydłużenie terminu na zmianę decyzji administracyjnej po wyroku TK wymaga uwzględnienia skutków społecznych związanych ze zmniejszeniem pewności obrotu administracyjno-prawnego.</w:t>
      </w:r>
    </w:p>
    <w:p w14:paraId="24352930" w14:textId="77777777" w:rsidR="00C91F6E" w:rsidRPr="00EC250C" w:rsidRDefault="002A230A" w:rsidP="00EC79EB">
      <w:pPr>
        <w:pStyle w:val="Nagwek4"/>
      </w:pPr>
      <w:bookmarkStart w:id="696" w:name="_Toc6257953"/>
      <w:bookmarkStart w:id="697" w:name="_Toc11247830"/>
      <w:r w:rsidRPr="00EC250C">
        <w:lastRenderedPageBreak/>
        <w:t>Brak możliwości odwołania się do sądu od decyzji</w:t>
      </w:r>
      <w:r w:rsidR="00992FD0" w:rsidRPr="00EC250C">
        <w:t xml:space="preserve"> w </w:t>
      </w:r>
      <w:r w:rsidRPr="00EC250C">
        <w:t>sprawie dofinansowania przez Polski Instytut Sztuki Filmowej</w:t>
      </w:r>
      <w:bookmarkEnd w:id="696"/>
      <w:bookmarkEnd w:id="697"/>
    </w:p>
    <w:p w14:paraId="2679C9EA" w14:textId="77777777" w:rsidR="00B473F5" w:rsidRPr="00EC250C" w:rsidRDefault="002A230A" w:rsidP="00D131FA">
      <w:pPr>
        <w:pStyle w:val="Problemczowieka"/>
        <w:jc w:val="both"/>
        <w:rPr>
          <w:bdr w:val="none" w:sz="0" w:space="0" w:color="auto" w:frame="1"/>
        </w:rPr>
      </w:pPr>
      <w:r w:rsidRPr="00EC250C">
        <w:rPr>
          <w:bdr w:val="none" w:sz="0" w:space="0" w:color="auto" w:frame="1"/>
        </w:rPr>
        <w:t>Jeśli twórca złoży wniosek</w:t>
      </w:r>
      <w:r w:rsidR="00992FD0" w:rsidRPr="00EC250C">
        <w:rPr>
          <w:bdr w:val="none" w:sz="0" w:space="0" w:color="auto" w:frame="1"/>
        </w:rPr>
        <w:t xml:space="preserve"> o </w:t>
      </w:r>
      <w:r w:rsidRPr="00EC250C">
        <w:rPr>
          <w:bdr w:val="none" w:sz="0" w:space="0" w:color="auto" w:frame="1"/>
        </w:rPr>
        <w:t xml:space="preserve"> dofinasowani</w:t>
      </w:r>
      <w:r w:rsidR="00F167C6" w:rsidRPr="00EC250C">
        <w:rPr>
          <w:bdr w:val="none" w:sz="0" w:space="0" w:color="auto" w:frame="1"/>
        </w:rPr>
        <w:t>e</w:t>
      </w:r>
      <w:r w:rsidRPr="00EC250C">
        <w:rPr>
          <w:bdr w:val="none" w:sz="0" w:space="0" w:color="auto" w:frame="1"/>
        </w:rPr>
        <w:t xml:space="preserve"> przez Polski Instytut Sztuki Filmowej, ale</w:t>
      </w:r>
      <w:r w:rsidR="00F167C6" w:rsidRPr="00EC250C">
        <w:rPr>
          <w:bdr w:val="none" w:sz="0" w:space="0" w:color="auto" w:frame="1"/>
        </w:rPr>
        <w:t> </w:t>
      </w:r>
      <w:r w:rsidRPr="00EC250C">
        <w:rPr>
          <w:bdr w:val="none" w:sz="0" w:space="0" w:color="auto" w:frame="1"/>
        </w:rPr>
        <w:t>go nie otrzyma, to nie może odwołać się od tej decyzji</w:t>
      </w:r>
      <w:r w:rsidR="00992FD0" w:rsidRPr="00EC250C">
        <w:rPr>
          <w:bdr w:val="none" w:sz="0" w:space="0" w:color="auto" w:frame="1"/>
        </w:rPr>
        <w:t xml:space="preserve"> w </w:t>
      </w:r>
      <w:r w:rsidRPr="00EC250C">
        <w:rPr>
          <w:bdr w:val="none" w:sz="0" w:space="0" w:color="auto" w:frame="1"/>
        </w:rPr>
        <w:t>postępowaniu sądowoadministracyjnym</w:t>
      </w:r>
      <w:r w:rsidR="00B473F5" w:rsidRPr="00EC250C">
        <w:rPr>
          <w:bdr w:val="none" w:sz="0" w:space="0" w:color="auto" w:frame="1"/>
        </w:rPr>
        <w:t>.</w:t>
      </w:r>
    </w:p>
    <w:p w14:paraId="2943E7AE" w14:textId="77777777" w:rsidR="002A230A" w:rsidRPr="00EC250C" w:rsidRDefault="002A230A" w:rsidP="00D131FA">
      <w:pPr>
        <w:pStyle w:val="Styl1"/>
      </w:pPr>
      <w:r w:rsidRPr="00EC250C">
        <w:t>Jednym</w:t>
      </w:r>
      <w:r w:rsidR="00992FD0" w:rsidRPr="00EC250C">
        <w:t xml:space="preserve"> z </w:t>
      </w:r>
      <w:r w:rsidRPr="00EC250C">
        <w:t xml:space="preserve">podstawowych zadań Instytutu jest dofinansowywanie przedsięwzięć filmowych ze środków publicznych. PISF udziela dofinansowania </w:t>
      </w:r>
      <w:r w:rsidR="00992FD0" w:rsidRPr="00EC250C">
        <w:t>w </w:t>
      </w:r>
      <w:r w:rsidRPr="00EC250C">
        <w:t>drodze umowy cywilnoprawnej, którą</w:t>
      </w:r>
      <w:r w:rsidR="00992FD0" w:rsidRPr="00EC250C">
        <w:t xml:space="preserve"> w </w:t>
      </w:r>
      <w:r w:rsidRPr="00EC250C">
        <w:t>imieniu Instytutu zawiera Dyrektor po zasięgnięciu opinii ekspertów. Takie rozwiązanie ma na celu uwzględnienie specyfiki twórczoś</w:t>
      </w:r>
      <w:r w:rsidR="00F167C6" w:rsidRPr="00EC250C">
        <w:t>ci</w:t>
      </w:r>
      <w:r w:rsidRPr="00EC250C">
        <w:t xml:space="preserve"> kinematograficzn</w:t>
      </w:r>
      <w:r w:rsidR="00F167C6" w:rsidRPr="00EC250C">
        <w:t>ej</w:t>
      </w:r>
      <w:r w:rsidRPr="00EC250C">
        <w:t>.</w:t>
      </w:r>
    </w:p>
    <w:p w14:paraId="2D1BD79A" w14:textId="77777777" w:rsidR="002A230A" w:rsidRPr="00EC250C" w:rsidRDefault="002A230A" w:rsidP="00D131FA">
      <w:pPr>
        <w:pStyle w:val="Styl1"/>
      </w:pPr>
      <w:r w:rsidRPr="00EC250C">
        <w:t xml:space="preserve">Zdaniem Rzecznika </w:t>
      </w:r>
      <w:r w:rsidR="00135B9D" w:rsidRPr="00EC250C">
        <w:t xml:space="preserve">Praw Obywatelskich </w:t>
      </w:r>
      <w:r w:rsidRPr="00EC250C">
        <w:t>brak możliwości sądowej kontroli</w:t>
      </w:r>
      <w:r w:rsidR="00992FD0" w:rsidRPr="00EC250C">
        <w:t xml:space="preserve"> w </w:t>
      </w:r>
      <w:r w:rsidRPr="00EC250C">
        <w:t>zakresie dochowania procedury przyznania dofinasowania budzi poważne wątpliwości. Nie chodzi tutaj</w:t>
      </w:r>
      <w:r w:rsidR="00992FD0" w:rsidRPr="00EC250C">
        <w:t xml:space="preserve"> o </w:t>
      </w:r>
      <w:r w:rsidRPr="00EC250C">
        <w:t>kontrolę rzetelności ocen ekspertów PISF, ale</w:t>
      </w:r>
      <w:r w:rsidR="00992FD0" w:rsidRPr="00EC250C">
        <w:t xml:space="preserve"> o </w:t>
      </w:r>
      <w:r w:rsidRPr="00EC250C">
        <w:t>kontrolę zgodności działań</w:t>
      </w:r>
      <w:r w:rsidR="00992FD0" w:rsidRPr="00EC250C">
        <w:t xml:space="preserve"> w </w:t>
      </w:r>
      <w:r w:rsidRPr="00EC250C">
        <w:t>toku rozpatrywania wniosku</w:t>
      </w:r>
      <w:r w:rsidR="00992FD0" w:rsidRPr="00EC250C">
        <w:t xml:space="preserve"> o </w:t>
      </w:r>
      <w:r w:rsidRPr="00EC250C">
        <w:t>dofinasowania</w:t>
      </w:r>
      <w:r w:rsidR="00992FD0" w:rsidRPr="00EC250C">
        <w:t xml:space="preserve"> z </w:t>
      </w:r>
      <w:r w:rsidRPr="00EC250C">
        <w:t>przepisami prawa. W</w:t>
      </w:r>
      <w:r w:rsidRPr="00EC250C">
        <w:rPr>
          <w:bCs/>
          <w:bdr w:val="none" w:sz="0" w:space="0" w:color="auto" w:frame="1"/>
        </w:rPr>
        <w:t xml:space="preserve"> obowiązującym stanie prawnym brak jest możliwości wniesienia skargi do sądu administracyjnego na decyzję</w:t>
      </w:r>
      <w:r w:rsidR="00992FD0" w:rsidRPr="00EC250C">
        <w:rPr>
          <w:bCs/>
          <w:bdr w:val="none" w:sz="0" w:space="0" w:color="auto" w:frame="1"/>
        </w:rPr>
        <w:t xml:space="preserve"> w </w:t>
      </w:r>
      <w:r w:rsidRPr="00EC250C">
        <w:rPr>
          <w:bCs/>
          <w:bdr w:val="none" w:sz="0" w:space="0" w:color="auto" w:frame="1"/>
        </w:rPr>
        <w:t>przedmiocie przyznania bądź odmowy przyznania dofinasowania.</w:t>
      </w:r>
    </w:p>
    <w:p w14:paraId="202AFD2C" w14:textId="77777777" w:rsidR="00C91F6E" w:rsidRPr="00EC250C" w:rsidRDefault="00135B9D" w:rsidP="00D131FA">
      <w:pPr>
        <w:pStyle w:val="Styl1"/>
        <w:rPr>
          <w:bCs/>
          <w:iCs/>
          <w:lang w:eastAsia="en-US"/>
        </w:rPr>
      </w:pPr>
      <w:r w:rsidRPr="00EC250C">
        <w:t xml:space="preserve">RPO </w:t>
      </w:r>
      <w:r w:rsidR="002A230A" w:rsidRPr="00EC250C">
        <w:t>przedstawił ten problem Ministrowi Kultury</w:t>
      </w:r>
      <w:r w:rsidR="00992FD0" w:rsidRPr="00EC250C">
        <w:t xml:space="preserve"> i </w:t>
      </w:r>
      <w:r w:rsidR="002A230A" w:rsidRPr="00EC250C">
        <w:t>Dziedzictwa Narodowego</w:t>
      </w:r>
      <w:r w:rsidR="002A230A" w:rsidRPr="00EC250C">
        <w:rPr>
          <w:bCs/>
          <w:iCs/>
          <w:lang w:eastAsia="en-US"/>
        </w:rPr>
        <w:t>. Ten odpowiedział, że przyznawanie dofinansowania nie odbywa się</w:t>
      </w:r>
      <w:r w:rsidR="00992FD0" w:rsidRPr="00EC250C">
        <w:rPr>
          <w:bCs/>
          <w:iCs/>
          <w:lang w:eastAsia="en-US"/>
        </w:rPr>
        <w:t xml:space="preserve"> w </w:t>
      </w:r>
      <w:r w:rsidR="002A230A" w:rsidRPr="00EC250C">
        <w:rPr>
          <w:bCs/>
          <w:iCs/>
          <w:lang w:eastAsia="en-US"/>
        </w:rPr>
        <w:t>trybie postępowania administracyjnego lecz</w:t>
      </w:r>
      <w:r w:rsidR="00992FD0" w:rsidRPr="00EC250C">
        <w:rPr>
          <w:bCs/>
          <w:iCs/>
          <w:lang w:eastAsia="en-US"/>
        </w:rPr>
        <w:t xml:space="preserve"> w </w:t>
      </w:r>
      <w:r w:rsidR="002A230A" w:rsidRPr="00EC250C">
        <w:rPr>
          <w:bCs/>
          <w:iCs/>
          <w:lang w:eastAsia="en-US"/>
        </w:rPr>
        <w:t>drodze konkursu. Odmowa dofinansowania</w:t>
      </w:r>
      <w:r w:rsidR="00992FD0" w:rsidRPr="00EC250C">
        <w:rPr>
          <w:bCs/>
          <w:iCs/>
          <w:lang w:eastAsia="en-US"/>
        </w:rPr>
        <w:t xml:space="preserve"> w </w:t>
      </w:r>
      <w:r w:rsidR="002A230A" w:rsidRPr="00EC250C">
        <w:rPr>
          <w:bCs/>
          <w:iCs/>
          <w:lang w:eastAsia="en-US"/>
        </w:rPr>
        <w:t>danej sesji nie oznacza zamknięcia drogi do jego uzyskania</w:t>
      </w:r>
      <w:r w:rsidR="00992FD0" w:rsidRPr="00EC250C">
        <w:rPr>
          <w:bCs/>
          <w:iCs/>
          <w:lang w:eastAsia="en-US"/>
        </w:rPr>
        <w:t xml:space="preserve"> w </w:t>
      </w:r>
      <w:r w:rsidR="002A230A" w:rsidRPr="00EC250C">
        <w:rPr>
          <w:bCs/>
          <w:iCs/>
          <w:lang w:eastAsia="en-US"/>
        </w:rPr>
        <w:t>przyszłości,</w:t>
      </w:r>
      <w:r w:rsidR="00992FD0" w:rsidRPr="00EC250C">
        <w:rPr>
          <w:bCs/>
          <w:iCs/>
          <w:lang w:eastAsia="en-US"/>
        </w:rPr>
        <w:t xml:space="preserve"> a </w:t>
      </w:r>
      <w:r w:rsidR="002A230A" w:rsidRPr="00EC250C">
        <w:rPr>
          <w:bCs/>
          <w:iCs/>
          <w:lang w:eastAsia="en-US"/>
        </w:rPr>
        <w:t>taki skutek miałaby decyzja administracyjna. Zmiana trybu przyznawania dofinansowania</w:t>
      </w:r>
      <w:r w:rsidR="00992FD0" w:rsidRPr="00EC250C">
        <w:rPr>
          <w:bCs/>
          <w:iCs/>
          <w:lang w:eastAsia="en-US"/>
        </w:rPr>
        <w:t xml:space="preserve"> z </w:t>
      </w:r>
      <w:r w:rsidR="002A230A" w:rsidRPr="00EC250C">
        <w:rPr>
          <w:bCs/>
          <w:iCs/>
          <w:lang w:eastAsia="en-US"/>
        </w:rPr>
        <w:t>konkursowego na administracyjny oznaczałaby długi stan niepewności prawnej</w:t>
      </w:r>
      <w:r w:rsidR="00992FD0" w:rsidRPr="00EC250C">
        <w:rPr>
          <w:bCs/>
          <w:iCs/>
          <w:lang w:eastAsia="en-US"/>
        </w:rPr>
        <w:t xml:space="preserve"> i </w:t>
      </w:r>
      <w:r w:rsidR="002A230A" w:rsidRPr="00EC250C">
        <w:rPr>
          <w:bCs/>
          <w:iCs/>
          <w:lang w:eastAsia="en-US"/>
        </w:rPr>
        <w:t>zagrożenie płynności finansowej Instytutu. Ewentualne uchylenie decyzji Dyrektora PISF po kilku latach trwania postępowania sądowo-administracyjnego oznaczałoby konieczność ponownego rozpatrywania wniosku</w:t>
      </w:r>
      <w:r w:rsidR="00992FD0" w:rsidRPr="00EC250C">
        <w:rPr>
          <w:bCs/>
          <w:iCs/>
          <w:lang w:eastAsia="en-US"/>
        </w:rPr>
        <w:t xml:space="preserve"> o </w:t>
      </w:r>
      <w:r w:rsidR="002A230A" w:rsidRPr="00EC250C">
        <w:rPr>
          <w:bCs/>
          <w:iCs/>
          <w:lang w:eastAsia="en-US"/>
        </w:rPr>
        <w:t>dofinansowanie przy budżecie ograniczonym ze względu na dofinansowania już przyznane</w:t>
      </w:r>
      <w:r w:rsidR="00992FD0" w:rsidRPr="00EC250C">
        <w:rPr>
          <w:bCs/>
          <w:iCs/>
          <w:lang w:eastAsia="en-US"/>
        </w:rPr>
        <w:t xml:space="preserve"> w </w:t>
      </w:r>
      <w:r w:rsidR="002A230A" w:rsidRPr="00EC250C">
        <w:rPr>
          <w:bCs/>
          <w:iCs/>
          <w:lang w:eastAsia="en-US"/>
        </w:rPr>
        <w:t>danym okresie</w:t>
      </w:r>
      <w:r w:rsidR="00B473F5" w:rsidRPr="00EC250C">
        <w:rPr>
          <w:rStyle w:val="Odwoanieprzypisudolnego"/>
          <w:bCs/>
          <w:iCs/>
          <w:lang w:eastAsia="en-US"/>
        </w:rPr>
        <w:footnoteReference w:id="710"/>
      </w:r>
      <w:r w:rsidR="002A230A" w:rsidRPr="00EC250C">
        <w:rPr>
          <w:bCs/>
          <w:iCs/>
          <w:lang w:eastAsia="en-US"/>
        </w:rPr>
        <w:t>.</w:t>
      </w:r>
    </w:p>
    <w:p w14:paraId="2C3F4CBD" w14:textId="77777777" w:rsidR="00C91F6E" w:rsidRPr="00EC250C" w:rsidRDefault="009E2A21" w:rsidP="00EC79EB">
      <w:pPr>
        <w:pStyle w:val="Nagwek4"/>
      </w:pPr>
      <w:bookmarkStart w:id="698" w:name="_Toc6257954"/>
      <w:bookmarkStart w:id="699" w:name="_Toc11247831"/>
      <w:r w:rsidRPr="00EC250C">
        <w:t xml:space="preserve">Podwyżka opłaty za użytkowanie wieczyste. </w:t>
      </w:r>
      <w:r w:rsidR="002A230A" w:rsidRPr="00EC250C">
        <w:t xml:space="preserve">Dopuszczalność skargi do sądu administracyjnego na postanowienie </w:t>
      </w:r>
      <w:r w:rsidRPr="00EC250C">
        <w:t xml:space="preserve">SKO </w:t>
      </w:r>
      <w:r w:rsidR="00992FD0" w:rsidRPr="00EC250C">
        <w:t>o </w:t>
      </w:r>
      <w:r w:rsidR="002A230A" w:rsidRPr="00EC250C">
        <w:t>odmowie przywrócenia terminu</w:t>
      </w:r>
      <w:bookmarkEnd w:id="698"/>
      <w:bookmarkEnd w:id="699"/>
    </w:p>
    <w:p w14:paraId="136FBAA4" w14:textId="77777777" w:rsidR="00B473F5" w:rsidRPr="00EC250C" w:rsidRDefault="002A230A" w:rsidP="00D131FA">
      <w:pPr>
        <w:pStyle w:val="Problemczowieka"/>
        <w:jc w:val="both"/>
        <w:rPr>
          <w:bdr w:val="none" w:sz="0" w:space="0" w:color="auto" w:frame="1"/>
        </w:rPr>
      </w:pPr>
      <w:r w:rsidRPr="00EC250C">
        <w:rPr>
          <w:bdr w:val="none" w:sz="0" w:space="0" w:color="auto" w:frame="1"/>
        </w:rPr>
        <w:t>Dopuszczalna jest skarga do s</w:t>
      </w:r>
      <w:r w:rsidRPr="00EC250C">
        <w:rPr>
          <w:rFonts w:hint="eastAsia"/>
          <w:bdr w:val="none" w:sz="0" w:space="0" w:color="auto" w:frame="1"/>
        </w:rPr>
        <w:t>ą</w:t>
      </w:r>
      <w:r w:rsidRPr="00EC250C">
        <w:rPr>
          <w:bdr w:val="none" w:sz="0" w:space="0" w:color="auto" w:frame="1"/>
        </w:rPr>
        <w:t>du administracyjnego, je</w:t>
      </w:r>
      <w:r w:rsidRPr="00EC250C">
        <w:rPr>
          <w:rFonts w:hint="eastAsia"/>
          <w:bdr w:val="none" w:sz="0" w:space="0" w:color="auto" w:frame="1"/>
        </w:rPr>
        <w:t>ś</w:t>
      </w:r>
      <w:r w:rsidRPr="00EC250C">
        <w:rPr>
          <w:bdr w:val="none" w:sz="0" w:space="0" w:color="auto" w:frame="1"/>
        </w:rPr>
        <w:t>li samorz</w:t>
      </w:r>
      <w:r w:rsidRPr="00EC250C">
        <w:rPr>
          <w:rFonts w:hint="eastAsia"/>
          <w:bdr w:val="none" w:sz="0" w:space="0" w:color="auto" w:frame="1"/>
        </w:rPr>
        <w:t>ą</w:t>
      </w:r>
      <w:r w:rsidRPr="00EC250C">
        <w:rPr>
          <w:bdr w:val="none" w:sz="0" w:space="0" w:color="auto" w:frame="1"/>
        </w:rPr>
        <w:t>dowe kolegium odwo</w:t>
      </w:r>
      <w:r w:rsidRPr="00EC250C">
        <w:rPr>
          <w:rFonts w:hint="eastAsia"/>
          <w:bdr w:val="none" w:sz="0" w:space="0" w:color="auto" w:frame="1"/>
        </w:rPr>
        <w:t>ł</w:t>
      </w:r>
      <w:r w:rsidRPr="00EC250C">
        <w:rPr>
          <w:bdr w:val="none" w:sz="0" w:space="0" w:color="auto" w:frame="1"/>
        </w:rPr>
        <w:t>awcze odm</w:t>
      </w:r>
      <w:r w:rsidRPr="00EC250C">
        <w:rPr>
          <w:rFonts w:hint="eastAsia"/>
          <w:bdr w:val="none" w:sz="0" w:space="0" w:color="auto" w:frame="1"/>
        </w:rPr>
        <w:t>ó</w:t>
      </w:r>
      <w:r w:rsidRPr="00EC250C">
        <w:rPr>
          <w:bdr w:val="none" w:sz="0" w:space="0" w:color="auto" w:frame="1"/>
        </w:rPr>
        <w:t>wi przywr</w:t>
      </w:r>
      <w:r w:rsidRPr="00EC250C">
        <w:rPr>
          <w:rFonts w:hint="eastAsia"/>
          <w:bdr w:val="none" w:sz="0" w:space="0" w:color="auto" w:frame="1"/>
        </w:rPr>
        <w:t>ó</w:t>
      </w:r>
      <w:r w:rsidRPr="00EC250C">
        <w:rPr>
          <w:bdr w:val="none" w:sz="0" w:space="0" w:color="auto" w:frame="1"/>
        </w:rPr>
        <w:t>cenia terminu do zakwestionowania podwy</w:t>
      </w:r>
      <w:r w:rsidRPr="00EC250C">
        <w:rPr>
          <w:rFonts w:hint="eastAsia"/>
          <w:bdr w:val="none" w:sz="0" w:space="0" w:color="auto" w:frame="1"/>
        </w:rPr>
        <w:t>ż</w:t>
      </w:r>
      <w:r w:rsidRPr="00EC250C">
        <w:rPr>
          <w:bdr w:val="none" w:sz="0" w:space="0" w:color="auto" w:frame="1"/>
        </w:rPr>
        <w:t>ki op</w:t>
      </w:r>
      <w:r w:rsidRPr="00EC250C">
        <w:rPr>
          <w:rFonts w:hint="eastAsia"/>
          <w:bdr w:val="none" w:sz="0" w:space="0" w:color="auto" w:frame="1"/>
        </w:rPr>
        <w:t>ł</w:t>
      </w:r>
      <w:r w:rsidRPr="00EC250C">
        <w:rPr>
          <w:bdr w:val="none" w:sz="0" w:space="0" w:color="auto" w:frame="1"/>
        </w:rPr>
        <w:t>aty za u</w:t>
      </w:r>
      <w:r w:rsidRPr="00EC250C">
        <w:rPr>
          <w:rFonts w:hint="eastAsia"/>
          <w:bdr w:val="none" w:sz="0" w:space="0" w:color="auto" w:frame="1"/>
        </w:rPr>
        <w:t>ż</w:t>
      </w:r>
      <w:r w:rsidRPr="00EC250C">
        <w:rPr>
          <w:bdr w:val="none" w:sz="0" w:space="0" w:color="auto" w:frame="1"/>
        </w:rPr>
        <w:t>ytkowanie wieczyste gruntu. Zdecydowa</w:t>
      </w:r>
      <w:r w:rsidRPr="00EC250C">
        <w:rPr>
          <w:rFonts w:hint="eastAsia"/>
          <w:bdr w:val="none" w:sz="0" w:space="0" w:color="auto" w:frame="1"/>
        </w:rPr>
        <w:t>ł</w:t>
      </w:r>
      <w:r w:rsidR="00992FD0" w:rsidRPr="00EC250C">
        <w:rPr>
          <w:bdr w:val="none" w:sz="0" w:space="0" w:color="auto" w:frame="1"/>
        </w:rPr>
        <w:t xml:space="preserve"> o </w:t>
      </w:r>
      <w:r w:rsidRPr="00EC250C">
        <w:rPr>
          <w:bdr w:val="none" w:sz="0" w:space="0" w:color="auto" w:frame="1"/>
        </w:rPr>
        <w:t>tym</w:t>
      </w:r>
      <w:r w:rsidR="00992FD0" w:rsidRPr="00EC250C">
        <w:rPr>
          <w:bdr w:val="none" w:sz="0" w:space="0" w:color="auto" w:frame="1"/>
        </w:rPr>
        <w:t xml:space="preserve"> w </w:t>
      </w:r>
      <w:r w:rsidRPr="00EC250C">
        <w:rPr>
          <w:bdr w:val="none" w:sz="0" w:space="0" w:color="auto" w:frame="1"/>
        </w:rPr>
        <w:t>2018</w:t>
      </w:r>
      <w:r w:rsidR="00C91F6E" w:rsidRPr="00EC250C">
        <w:rPr>
          <w:bdr w:val="none" w:sz="0" w:space="0" w:color="auto" w:frame="1"/>
        </w:rPr>
        <w:t> </w:t>
      </w:r>
      <w:r w:rsidR="00C91F6E" w:rsidRPr="00EC250C">
        <w:rPr>
          <w:rFonts w:hint="eastAsia"/>
          <w:bdr w:val="none" w:sz="0" w:space="0" w:color="auto" w:frame="1"/>
        </w:rPr>
        <w:t>r.</w:t>
      </w:r>
      <w:r w:rsidRPr="00EC250C">
        <w:rPr>
          <w:bdr w:val="none" w:sz="0" w:space="0" w:color="auto" w:frame="1"/>
        </w:rPr>
        <w:t xml:space="preserve"> </w:t>
      </w:r>
      <w:r w:rsidR="00B473F5" w:rsidRPr="00EC250C">
        <w:rPr>
          <w:bdr w:val="none" w:sz="0" w:space="0" w:color="auto" w:frame="1"/>
        </w:rPr>
        <w:t>NSA</w:t>
      </w:r>
      <w:r w:rsidRPr="00EC250C">
        <w:rPr>
          <w:bdr w:val="none" w:sz="0" w:space="0" w:color="auto" w:frame="1"/>
        </w:rPr>
        <w:t>, kt</w:t>
      </w:r>
      <w:r w:rsidRPr="00EC250C">
        <w:rPr>
          <w:rFonts w:hint="eastAsia"/>
          <w:bdr w:val="none" w:sz="0" w:space="0" w:color="auto" w:frame="1"/>
        </w:rPr>
        <w:t>ó</w:t>
      </w:r>
      <w:r w:rsidRPr="00EC250C">
        <w:rPr>
          <w:bdr w:val="none" w:sz="0" w:space="0" w:color="auto" w:frame="1"/>
        </w:rPr>
        <w:t>ry uwzgl</w:t>
      </w:r>
      <w:r w:rsidRPr="00EC250C">
        <w:rPr>
          <w:rFonts w:hint="eastAsia"/>
          <w:bdr w:val="none" w:sz="0" w:space="0" w:color="auto" w:frame="1"/>
        </w:rPr>
        <w:t>ę</w:t>
      </w:r>
      <w:r w:rsidRPr="00EC250C">
        <w:rPr>
          <w:bdr w:val="none" w:sz="0" w:space="0" w:color="auto" w:frame="1"/>
        </w:rPr>
        <w:t>dni</w:t>
      </w:r>
      <w:r w:rsidRPr="00EC250C">
        <w:rPr>
          <w:rFonts w:hint="eastAsia"/>
          <w:bdr w:val="none" w:sz="0" w:space="0" w:color="auto" w:frame="1"/>
        </w:rPr>
        <w:t>ł</w:t>
      </w:r>
      <w:r w:rsidRPr="00EC250C">
        <w:rPr>
          <w:bdr w:val="none" w:sz="0" w:space="0" w:color="auto" w:frame="1"/>
        </w:rPr>
        <w:t xml:space="preserve"> wniosek Rzecznika Praw Obywatelskich</w:t>
      </w:r>
      <w:r w:rsidR="00B473F5" w:rsidRPr="00EC250C">
        <w:rPr>
          <w:bdr w:val="none" w:sz="0" w:space="0" w:color="auto" w:frame="1"/>
        </w:rPr>
        <w:t>.</w:t>
      </w:r>
    </w:p>
    <w:p w14:paraId="4057E019" w14:textId="77777777" w:rsidR="002A230A" w:rsidRPr="00EC250C" w:rsidRDefault="002A230A" w:rsidP="00D131FA">
      <w:pPr>
        <w:pStyle w:val="Styl1"/>
      </w:pPr>
      <w:r w:rsidRPr="00EC250C">
        <w:lastRenderedPageBreak/>
        <w:t>17 grudnia 2018</w:t>
      </w:r>
      <w:r w:rsidR="00C91F6E" w:rsidRPr="00EC250C">
        <w:t> r.</w:t>
      </w:r>
      <w:r w:rsidRPr="00EC250C">
        <w:t xml:space="preserve"> NSA rozpatrzył wniosek </w:t>
      </w:r>
      <w:r w:rsidR="00B473F5" w:rsidRPr="00EC250C">
        <w:t>RPO</w:t>
      </w:r>
      <w:r w:rsidRPr="00EC250C">
        <w:rPr>
          <w:rStyle w:val="Odwoanieprzypisudolnego"/>
          <w:bCs/>
          <w:iCs/>
          <w:lang w:eastAsia="en-US"/>
        </w:rPr>
        <w:footnoteReference w:id="711"/>
      </w:r>
      <w:r w:rsidR="00992FD0" w:rsidRPr="00EC250C">
        <w:t xml:space="preserve"> o </w:t>
      </w:r>
      <w:r w:rsidRPr="00EC250C">
        <w:t>rozstrzygnięcie zagadnienia prawnego: „Czy dopuszczalna jest skarga do sądu administracyjnego na postanowienie samorządowego kolegium odwoławczego odmawiające przywrócenia terminu do złożenia wniosku</w:t>
      </w:r>
      <w:r w:rsidR="00992FD0" w:rsidRPr="00EC250C">
        <w:t xml:space="preserve"> o </w:t>
      </w:r>
      <w:r w:rsidRPr="00EC250C">
        <w:t>ustalenie, że aktualizacja opłaty rocznej jest nieuzasadniona albo jest uzasadniona</w:t>
      </w:r>
      <w:r w:rsidR="00992FD0" w:rsidRPr="00EC250C">
        <w:t xml:space="preserve"> w </w:t>
      </w:r>
      <w:r w:rsidRPr="00EC250C">
        <w:t>innej wysokości (art. 78 ust. 2 ustawy</w:t>
      </w:r>
      <w:r w:rsidR="00992FD0" w:rsidRPr="00EC250C">
        <w:t xml:space="preserve"> o </w:t>
      </w:r>
      <w:r w:rsidRPr="00EC250C">
        <w:t>gospodarce nieruchomościami</w:t>
      </w:r>
      <w:r w:rsidRPr="00EC250C">
        <w:rPr>
          <w:rStyle w:val="Odwoanieprzypisudolnego"/>
          <w:bCs/>
          <w:iCs/>
          <w:lang w:eastAsia="en-US"/>
        </w:rPr>
        <w:footnoteReference w:id="712"/>
      </w:r>
      <w:r w:rsidRPr="00EC250C">
        <w:t>)?”.</w:t>
      </w:r>
    </w:p>
    <w:p w14:paraId="063CF39B" w14:textId="77777777" w:rsidR="002A230A" w:rsidRPr="00EC250C" w:rsidRDefault="002A230A" w:rsidP="00D131FA">
      <w:pPr>
        <w:pStyle w:val="Styl1"/>
      </w:pPr>
      <w:r w:rsidRPr="00EC250C">
        <w:t>Opłata roczna stanowi ekwiwalent pieniężny za możliwość korzystania przez użytkownika wieczystego</w:t>
      </w:r>
      <w:r w:rsidR="00992FD0" w:rsidRPr="00EC250C">
        <w:t xml:space="preserve"> z </w:t>
      </w:r>
      <w:r w:rsidRPr="00EC250C">
        <w:t>gruntu będącego własnością Skarbu Państwa lub samorządu. Zakwestionować wysokość podwyżki można składając</w:t>
      </w:r>
      <w:r w:rsidR="00992FD0" w:rsidRPr="00EC250C">
        <w:t xml:space="preserve"> w </w:t>
      </w:r>
      <w:r w:rsidRPr="00EC250C">
        <w:t xml:space="preserve">ciągu 30 dni wniosek do </w:t>
      </w:r>
      <w:r w:rsidR="00B473F5" w:rsidRPr="00EC250C">
        <w:t>SKO</w:t>
      </w:r>
      <w:r w:rsidRPr="00EC250C">
        <w:t>. Kolegium stosuje już przepisy Kodeksu postępowania administracyjnego</w:t>
      </w:r>
      <w:r w:rsidR="00992FD0" w:rsidRPr="00EC250C">
        <w:t xml:space="preserve"> i </w:t>
      </w:r>
      <w:r w:rsidRPr="00EC250C">
        <w:t>od jego orzeczenia można wnieść sprzeciw</w:t>
      </w:r>
      <w:r w:rsidR="00026572" w:rsidRPr="00EC250C">
        <w:t xml:space="preserve"> – </w:t>
      </w:r>
      <w:r w:rsidRPr="00EC250C">
        <w:t>wtedy sprawa trafia do sądu cywilnego.</w:t>
      </w:r>
    </w:p>
    <w:p w14:paraId="6B5A3096" w14:textId="77777777" w:rsidR="00C91F6E" w:rsidRPr="00EC250C" w:rsidRDefault="002A230A" w:rsidP="00D131FA">
      <w:pPr>
        <w:pStyle w:val="Styl1"/>
      </w:pPr>
      <w:r w:rsidRPr="00EC250C">
        <w:t>W związku</w:t>
      </w:r>
      <w:r w:rsidR="00992FD0" w:rsidRPr="00EC250C">
        <w:t xml:space="preserve"> z </w:t>
      </w:r>
      <w:r w:rsidRPr="00EC250C">
        <w:t>takim mieszanym, administracyjno-sądowym trybem rozstrzygania sporów</w:t>
      </w:r>
      <w:r w:rsidR="00992FD0" w:rsidRPr="00EC250C">
        <w:t xml:space="preserve"> o </w:t>
      </w:r>
      <w:r w:rsidRPr="00EC250C">
        <w:t>ustalenie wysokości opłaty, kwestia dopuszczalności kontroli czynności SKO przez sądy administracyjne znalazła odbicie</w:t>
      </w:r>
      <w:r w:rsidR="00992FD0" w:rsidRPr="00EC250C">
        <w:t xml:space="preserve"> w </w:t>
      </w:r>
      <w:r w:rsidRPr="00EC250C">
        <w:t>rozbieżnym orzecznictwie sądów administracyjnych.</w:t>
      </w:r>
    </w:p>
    <w:p w14:paraId="7E06DBEE" w14:textId="77777777" w:rsidR="002A230A" w:rsidRPr="00EC250C" w:rsidRDefault="002A230A" w:rsidP="00D131FA">
      <w:pPr>
        <w:pStyle w:val="Styl1"/>
      </w:pPr>
      <w:r w:rsidRPr="00EC250C">
        <w:t>NSA</w:t>
      </w:r>
      <w:r w:rsidR="00992FD0" w:rsidRPr="00EC250C">
        <w:t xml:space="preserve"> w </w:t>
      </w:r>
      <w:r w:rsidRPr="00EC250C">
        <w:t>składzie 7 sędziów podjął uchwałę, którą rozstrzygnął, że na postanowienie SKO</w:t>
      </w:r>
      <w:r w:rsidR="00992FD0" w:rsidRPr="00EC250C">
        <w:t xml:space="preserve"> w </w:t>
      </w:r>
      <w:r w:rsidRPr="00EC250C">
        <w:t>tej sytuacji przysługuje skarga do sądu administracyjnego.</w:t>
      </w:r>
    </w:p>
    <w:p w14:paraId="683039F6" w14:textId="77777777" w:rsidR="00D52B5C" w:rsidRPr="00EC250C" w:rsidRDefault="00D52B5C" w:rsidP="00EC79EB">
      <w:pPr>
        <w:pStyle w:val="Nagwek4"/>
        <w:rPr>
          <w:lang w:bidi="hi-IN"/>
        </w:rPr>
      </w:pPr>
      <w:bookmarkStart w:id="700" w:name="_Toc11247832"/>
      <w:bookmarkStart w:id="701" w:name="_Toc6257956"/>
      <w:r w:rsidRPr="00EC250C">
        <w:rPr>
          <w:lang w:bidi="hi-IN"/>
        </w:rPr>
        <w:t>Czy wyrok „interpretacyjny” Trybunału Konstytucyjnego może stanowić podstawę wznowienia postępowania cywilnego?</w:t>
      </w:r>
      <w:bookmarkEnd w:id="700"/>
    </w:p>
    <w:p w14:paraId="1D2C7FFD" w14:textId="77777777" w:rsidR="00B473F5" w:rsidRPr="00EC250C" w:rsidRDefault="00D52B5C" w:rsidP="00D131FA">
      <w:pPr>
        <w:pStyle w:val="Problemczowieka"/>
        <w:jc w:val="both"/>
        <w:rPr>
          <w:lang w:eastAsia="en-US"/>
        </w:rPr>
      </w:pPr>
      <w:r w:rsidRPr="00EC250C">
        <w:rPr>
          <w:lang w:eastAsia="en-US"/>
        </w:rPr>
        <w:t>Sądy powszechne przyjmują, że wyrok „interpretacyjny” (uznający za niezgodne</w:t>
      </w:r>
      <w:r w:rsidR="00992FD0" w:rsidRPr="00EC250C">
        <w:rPr>
          <w:lang w:eastAsia="en-US"/>
        </w:rPr>
        <w:t xml:space="preserve"> z </w:t>
      </w:r>
      <w:r w:rsidRPr="00EC250C">
        <w:rPr>
          <w:lang w:eastAsia="en-US"/>
        </w:rPr>
        <w:t>Konstytucją określone rozumienie przepisu) nie może stanowić podstawy do wznowienia postępowania cywilnego. Tak</w:t>
      </w:r>
      <w:r w:rsidR="00645DB9" w:rsidRPr="00EC250C">
        <w:rPr>
          <w:lang w:eastAsia="en-US"/>
        </w:rPr>
        <w:t>ie</w:t>
      </w:r>
      <w:r w:rsidRPr="00EC250C">
        <w:rPr>
          <w:lang w:eastAsia="en-US"/>
        </w:rPr>
        <w:t xml:space="preserve"> stanowisko jest, zdaniem Rzecznika, niezgodne</w:t>
      </w:r>
      <w:r w:rsidR="00992FD0" w:rsidRPr="00EC250C">
        <w:rPr>
          <w:lang w:eastAsia="en-US"/>
        </w:rPr>
        <w:t xml:space="preserve"> z </w:t>
      </w:r>
      <w:r w:rsidRPr="00EC250C">
        <w:rPr>
          <w:lang w:eastAsia="en-US"/>
        </w:rPr>
        <w:t>Konstytucją</w:t>
      </w:r>
      <w:r w:rsidR="00B473F5" w:rsidRPr="00EC250C">
        <w:rPr>
          <w:lang w:eastAsia="en-US"/>
        </w:rPr>
        <w:t>.</w:t>
      </w:r>
    </w:p>
    <w:p w14:paraId="4F36DCC8" w14:textId="77777777" w:rsidR="00D52B5C" w:rsidRPr="00EC250C" w:rsidRDefault="00135B9D" w:rsidP="00D131FA">
      <w:pPr>
        <w:pStyle w:val="Styl1"/>
        <w:rPr>
          <w:bCs/>
          <w:iCs/>
          <w:lang w:eastAsia="en-US"/>
        </w:rPr>
      </w:pPr>
      <w:r w:rsidRPr="00EC250C">
        <w:rPr>
          <w:bCs/>
          <w:iCs/>
          <w:lang w:eastAsia="en-US"/>
        </w:rPr>
        <w:t>RPO</w:t>
      </w:r>
      <w:r w:rsidR="00D52B5C" w:rsidRPr="00EC250C">
        <w:rPr>
          <w:bCs/>
          <w:iCs/>
          <w:lang w:eastAsia="en-US"/>
        </w:rPr>
        <w:t xml:space="preserve"> zgłosił</w:t>
      </w:r>
      <w:r w:rsidR="00D52B5C" w:rsidRPr="00EC250C">
        <w:rPr>
          <w:rStyle w:val="Odwoanieprzypisudolnego"/>
          <w:bCs/>
          <w:iCs/>
          <w:lang w:eastAsia="en-US"/>
        </w:rPr>
        <w:footnoteReference w:id="713"/>
      </w:r>
      <w:r w:rsidR="00D52B5C" w:rsidRPr="00EC250C">
        <w:rPr>
          <w:bCs/>
          <w:iCs/>
          <w:lang w:eastAsia="en-US"/>
        </w:rPr>
        <w:t xml:space="preserve"> udział</w:t>
      </w:r>
      <w:r w:rsidR="00992FD0" w:rsidRPr="00EC250C">
        <w:rPr>
          <w:bCs/>
          <w:iCs/>
          <w:lang w:eastAsia="en-US"/>
        </w:rPr>
        <w:t xml:space="preserve"> w </w:t>
      </w:r>
      <w:r w:rsidR="00D52B5C" w:rsidRPr="00EC250C">
        <w:rPr>
          <w:bCs/>
          <w:iCs/>
          <w:lang w:eastAsia="en-US"/>
        </w:rPr>
        <w:t>postępowaniu przed Trybunałem Konstytucyjnym</w:t>
      </w:r>
      <w:r w:rsidR="00992FD0" w:rsidRPr="00EC250C">
        <w:rPr>
          <w:bCs/>
          <w:iCs/>
          <w:lang w:eastAsia="en-US"/>
        </w:rPr>
        <w:t xml:space="preserve"> w </w:t>
      </w:r>
      <w:r w:rsidR="00D52B5C" w:rsidRPr="00EC250C">
        <w:rPr>
          <w:bCs/>
          <w:iCs/>
          <w:lang w:eastAsia="en-US"/>
        </w:rPr>
        <w:t>sprawie skargi konstytucyjnej dotyczącej podstaw żądania wznowienia postępowania.</w:t>
      </w:r>
      <w:r w:rsidR="00B473F5" w:rsidRPr="00EC250C">
        <w:rPr>
          <w:bCs/>
          <w:iCs/>
          <w:lang w:eastAsia="en-US"/>
        </w:rPr>
        <w:t xml:space="preserve"> </w:t>
      </w:r>
      <w:r w:rsidR="00D52B5C" w:rsidRPr="00EC250C">
        <w:rPr>
          <w:bCs/>
          <w:iCs/>
          <w:lang w:eastAsia="en-US"/>
        </w:rPr>
        <w:t>Sprawa dotyczy sytuacji, gdy wobec spółki jawnej wydany był tytuł egzekucyjny. Przepisy (art. 778</w:t>
      </w:r>
      <w:r w:rsidR="00D52B5C" w:rsidRPr="00EC250C">
        <w:rPr>
          <w:bCs/>
          <w:iCs/>
          <w:vertAlign w:val="superscript"/>
          <w:lang w:eastAsia="en-US"/>
        </w:rPr>
        <w:t>1</w:t>
      </w:r>
      <w:r w:rsidR="00D52B5C" w:rsidRPr="00EC250C">
        <w:rPr>
          <w:bCs/>
          <w:iCs/>
          <w:lang w:eastAsia="en-US"/>
        </w:rPr>
        <w:t xml:space="preserve"> k.p.c.) pozwalały na to, by sąd nadał klauzulę wykonalności tytułowi egzekucyjnemu także wobec byłego wspólnika (kogoś, kto przestał być wspólnikiem przed wydaniem tytułu egzekucyjnego wobec spółki).</w:t>
      </w:r>
    </w:p>
    <w:p w14:paraId="06C0D6A0" w14:textId="77777777" w:rsidR="00D52B5C" w:rsidRPr="00EC250C" w:rsidRDefault="00D52B5C" w:rsidP="00D131FA">
      <w:pPr>
        <w:pStyle w:val="Styl1"/>
        <w:rPr>
          <w:bCs/>
          <w:iCs/>
          <w:lang w:eastAsia="en-US"/>
        </w:rPr>
      </w:pPr>
      <w:r w:rsidRPr="00EC250C">
        <w:rPr>
          <w:bCs/>
          <w:iCs/>
          <w:lang w:eastAsia="en-US"/>
        </w:rPr>
        <w:t>W 2017</w:t>
      </w:r>
      <w:r w:rsidR="00C91F6E" w:rsidRPr="00EC250C">
        <w:rPr>
          <w:bCs/>
          <w:iCs/>
          <w:lang w:eastAsia="en-US"/>
        </w:rPr>
        <w:t> r.</w:t>
      </w:r>
      <w:r w:rsidRPr="00EC250C">
        <w:rPr>
          <w:bCs/>
          <w:iCs/>
          <w:lang w:eastAsia="en-US"/>
        </w:rPr>
        <w:t xml:space="preserve"> Trybunał Konstytucyjny uznał te przepisy za niezgodne</w:t>
      </w:r>
      <w:r w:rsidR="00992FD0" w:rsidRPr="00EC250C">
        <w:rPr>
          <w:bCs/>
          <w:iCs/>
          <w:lang w:eastAsia="en-US"/>
        </w:rPr>
        <w:t xml:space="preserve"> z </w:t>
      </w:r>
      <w:r w:rsidRPr="00EC250C">
        <w:rPr>
          <w:bCs/>
          <w:iCs/>
          <w:lang w:eastAsia="en-US"/>
        </w:rPr>
        <w:t>Konstytucją</w:t>
      </w:r>
      <w:r w:rsidRPr="00EC250C">
        <w:rPr>
          <w:rStyle w:val="Odwoanieprzypisudolnego"/>
          <w:bCs/>
          <w:iCs/>
          <w:lang w:eastAsia="en-US"/>
        </w:rPr>
        <w:footnoteReference w:id="714"/>
      </w:r>
      <w:r w:rsidRPr="00EC250C">
        <w:rPr>
          <w:bCs/>
          <w:iCs/>
          <w:lang w:eastAsia="en-US"/>
        </w:rPr>
        <w:t>.</w:t>
      </w:r>
    </w:p>
    <w:p w14:paraId="2EF6762B" w14:textId="77777777" w:rsidR="00D52B5C" w:rsidRPr="00EC250C" w:rsidRDefault="00D52B5C" w:rsidP="00D131FA">
      <w:pPr>
        <w:pStyle w:val="Styl1"/>
        <w:rPr>
          <w:bCs/>
          <w:iCs/>
          <w:lang w:eastAsia="en-US"/>
        </w:rPr>
      </w:pPr>
      <w:r w:rsidRPr="00EC250C">
        <w:rPr>
          <w:bCs/>
          <w:iCs/>
          <w:lang w:eastAsia="en-US"/>
        </w:rPr>
        <w:t>Na podstawie tego wyroku obywatel, wobec którego sąd wydał postanowienie</w:t>
      </w:r>
      <w:r w:rsidR="00992FD0" w:rsidRPr="00EC250C">
        <w:rPr>
          <w:bCs/>
          <w:iCs/>
          <w:lang w:eastAsia="en-US"/>
        </w:rPr>
        <w:t xml:space="preserve"> o </w:t>
      </w:r>
      <w:r w:rsidRPr="00EC250C">
        <w:rPr>
          <w:bCs/>
          <w:iCs/>
          <w:lang w:eastAsia="en-US"/>
        </w:rPr>
        <w:t xml:space="preserve">wykonalności tytułu egzekucyjnego, zakwestionował tę decyzję. Sąd apelacyjny jednak odrzucił skargę </w:t>
      </w:r>
      <w:r w:rsidRPr="00EC250C">
        <w:rPr>
          <w:bCs/>
          <w:iCs/>
          <w:lang w:eastAsia="en-US"/>
        </w:rPr>
        <w:lastRenderedPageBreak/>
        <w:t>stwierdzając,</w:t>
      </w:r>
      <w:r w:rsidR="00B473F5" w:rsidRPr="00EC250C">
        <w:rPr>
          <w:bCs/>
          <w:iCs/>
          <w:lang w:eastAsia="en-US"/>
        </w:rPr>
        <w:t xml:space="preserve"> </w:t>
      </w:r>
      <w:r w:rsidRPr="00EC250C">
        <w:rPr>
          <w:bCs/>
          <w:iCs/>
          <w:lang w:eastAsia="en-US"/>
        </w:rPr>
        <w:t>że negatywny wyrok interpretacyjny nie może stanowić podstawy żądania wznowienia postępowania. Taki pogląd jest powszechny</w:t>
      </w:r>
      <w:r w:rsidR="00992FD0" w:rsidRPr="00EC250C">
        <w:rPr>
          <w:bCs/>
          <w:iCs/>
          <w:lang w:eastAsia="en-US"/>
        </w:rPr>
        <w:t xml:space="preserve"> w </w:t>
      </w:r>
      <w:r w:rsidRPr="00EC250C">
        <w:rPr>
          <w:bCs/>
          <w:iCs/>
          <w:lang w:eastAsia="en-US"/>
        </w:rPr>
        <w:t>orzecznictwie sądów powszechnych.</w:t>
      </w:r>
    </w:p>
    <w:p w14:paraId="40201262" w14:textId="77777777" w:rsidR="00D52B5C" w:rsidRPr="00EC250C" w:rsidRDefault="00135B9D" w:rsidP="00D131FA">
      <w:pPr>
        <w:pStyle w:val="Styl1"/>
        <w:rPr>
          <w:bCs/>
          <w:iCs/>
          <w:lang w:eastAsia="en-US"/>
        </w:rPr>
      </w:pPr>
      <w:r w:rsidRPr="00EC250C">
        <w:rPr>
          <w:bCs/>
          <w:iCs/>
          <w:lang w:eastAsia="en-US"/>
        </w:rPr>
        <w:t>RPO</w:t>
      </w:r>
      <w:r w:rsidR="00D52B5C" w:rsidRPr="00EC250C">
        <w:rPr>
          <w:bCs/>
          <w:iCs/>
          <w:lang w:eastAsia="en-US"/>
        </w:rPr>
        <w:t xml:space="preserve"> uznał, że przyjmowane przez sądy rozumienie przepisu k.p.c. dotyczącego wznowienia postępowania jest niezgodne</w:t>
      </w:r>
      <w:r w:rsidR="00992FD0" w:rsidRPr="00EC250C">
        <w:rPr>
          <w:bCs/>
          <w:iCs/>
          <w:lang w:eastAsia="en-US"/>
        </w:rPr>
        <w:t xml:space="preserve"> z </w:t>
      </w:r>
      <w:r w:rsidR="00D52B5C" w:rsidRPr="00EC250C">
        <w:rPr>
          <w:bCs/>
          <w:iCs/>
          <w:lang w:eastAsia="en-US"/>
        </w:rPr>
        <w:t>Konstytucją. Przedstawił argumenty</w:t>
      </w:r>
      <w:r w:rsidR="00992FD0" w:rsidRPr="00EC250C">
        <w:rPr>
          <w:bCs/>
          <w:iCs/>
          <w:lang w:eastAsia="en-US"/>
        </w:rPr>
        <w:t xml:space="preserve"> </w:t>
      </w:r>
      <w:r w:rsidR="00D52B5C" w:rsidRPr="00EC250C">
        <w:rPr>
          <w:bCs/>
          <w:iCs/>
          <w:lang w:eastAsia="en-US"/>
        </w:rPr>
        <w:t>Trybunałowi Konstytucyjnemu.</w:t>
      </w:r>
      <w:r w:rsidR="00392799" w:rsidRPr="00EC250C">
        <w:rPr>
          <w:bCs/>
          <w:iCs/>
          <w:lang w:eastAsia="en-US"/>
        </w:rPr>
        <w:t xml:space="preserve"> </w:t>
      </w:r>
      <w:r w:rsidR="00D52B5C" w:rsidRPr="00EC250C">
        <w:rPr>
          <w:bCs/>
          <w:iCs/>
          <w:lang w:eastAsia="en-US"/>
        </w:rPr>
        <w:t>Sprawa jeszcze nie została rozpoznana.</w:t>
      </w:r>
    </w:p>
    <w:p w14:paraId="296E0D60" w14:textId="77777777" w:rsidR="00C91F6E" w:rsidRPr="00EC250C" w:rsidRDefault="009A0BBA" w:rsidP="00EC79EB">
      <w:pPr>
        <w:pStyle w:val="Nagwek4"/>
      </w:pPr>
      <w:bookmarkStart w:id="702" w:name="_Toc11247833"/>
      <w:r w:rsidRPr="00EC250C">
        <w:t xml:space="preserve">Problem odwołania od decyzji odmownej ws. </w:t>
      </w:r>
      <w:r w:rsidR="002A230A" w:rsidRPr="00EC250C">
        <w:t xml:space="preserve">dotacji celowej na </w:t>
      </w:r>
      <w:r w:rsidRPr="00EC250C">
        <w:t xml:space="preserve">wymianę </w:t>
      </w:r>
      <w:r w:rsidR="002A230A" w:rsidRPr="00EC250C">
        <w:t>ogrzewani</w:t>
      </w:r>
      <w:r w:rsidRPr="00EC250C">
        <w:t>a</w:t>
      </w:r>
      <w:bookmarkEnd w:id="701"/>
      <w:bookmarkEnd w:id="702"/>
    </w:p>
    <w:p w14:paraId="7E03D232" w14:textId="77777777" w:rsidR="002A230A" w:rsidRPr="00EC250C" w:rsidRDefault="002A230A" w:rsidP="00D131FA">
      <w:pPr>
        <w:pStyle w:val="ODESANIE"/>
        <w:jc w:val="both"/>
      </w:pPr>
      <w:r w:rsidRPr="00EC250C">
        <w:t>Omówienie: Art. 74 – Bezpieczeństwo ekologiczne oraz ochrona środowiska.</w:t>
      </w:r>
    </w:p>
    <w:p w14:paraId="73A3BC73" w14:textId="77777777" w:rsidR="002A230A" w:rsidRPr="00EC250C" w:rsidRDefault="002A230A" w:rsidP="00D131FA">
      <w:pPr>
        <w:spacing w:after="200" w:line="24" w:lineRule="auto"/>
        <w:jc w:val="both"/>
        <w:rPr>
          <w:bCs/>
          <w:color w:val="044892"/>
          <w:sz w:val="24"/>
        </w:rPr>
      </w:pPr>
      <w:r w:rsidRPr="00EC250C">
        <w:rPr>
          <w:sz w:val="24"/>
        </w:rPr>
        <w:br w:type="page"/>
      </w:r>
    </w:p>
    <w:p w14:paraId="6B818461" w14:textId="77777777" w:rsidR="002A230A" w:rsidRPr="00EC250C" w:rsidRDefault="002A230A" w:rsidP="00EC250C">
      <w:pPr>
        <w:pStyle w:val="Nagwek3"/>
      </w:pPr>
      <w:bookmarkStart w:id="703" w:name="_Toc6257958"/>
      <w:bookmarkStart w:id="704" w:name="_Toc11247834"/>
      <w:r w:rsidRPr="00EC250C">
        <w:lastRenderedPageBreak/>
        <w:t xml:space="preserve">Art. 78 </w:t>
      </w:r>
      <w:r w:rsidR="003C7122" w:rsidRPr="00EC250C">
        <w:t xml:space="preserve">Konstytucji </w:t>
      </w:r>
      <w:r w:rsidRPr="00EC250C">
        <w:t>– Prawo do dwóch instancji</w:t>
      </w:r>
      <w:bookmarkEnd w:id="703"/>
      <w:bookmarkEnd w:id="704"/>
    </w:p>
    <w:p w14:paraId="62C08023" w14:textId="77777777" w:rsidR="002A230A" w:rsidRPr="00EC250C" w:rsidRDefault="002A230A" w:rsidP="00D131FA">
      <w:pPr>
        <w:pStyle w:val="konstytucja"/>
        <w:jc w:val="both"/>
      </w:pPr>
      <w:r w:rsidRPr="00EC250C">
        <w:t>Każda ze stron ma prawo do zaskarżenia orzeczeń</w:t>
      </w:r>
      <w:r w:rsidR="00992FD0" w:rsidRPr="00EC250C">
        <w:t xml:space="preserve"> i </w:t>
      </w:r>
      <w:r w:rsidRPr="00EC250C">
        <w:t>decyzji wydanych</w:t>
      </w:r>
      <w:r w:rsidR="00992FD0" w:rsidRPr="00EC250C">
        <w:t xml:space="preserve"> w </w:t>
      </w:r>
      <w:r w:rsidRPr="00EC250C">
        <w:t>pierwszej instancji. Wyjątki od tej zasady oraz tryb zaskarżania określa ustawa.</w:t>
      </w:r>
    </w:p>
    <w:p w14:paraId="0E00A525" w14:textId="77777777" w:rsidR="00C91F6E" w:rsidRPr="00EC250C" w:rsidRDefault="002A230A" w:rsidP="00D131FA">
      <w:pPr>
        <w:pStyle w:val="ComwiKonstytucja"/>
      </w:pPr>
      <w:r w:rsidRPr="00EC250C">
        <w:t>Konstytucja gwarantuje stronom prawo do zaskarżania orzeczeń</w:t>
      </w:r>
      <w:r w:rsidR="00992FD0" w:rsidRPr="00EC250C">
        <w:t xml:space="preserve"> i </w:t>
      </w:r>
      <w:r w:rsidRPr="00EC250C">
        <w:t>decyzji wydanych</w:t>
      </w:r>
      <w:r w:rsidR="00992FD0" w:rsidRPr="00EC250C">
        <w:t xml:space="preserve"> w </w:t>
      </w:r>
      <w:r w:rsidRPr="00EC250C">
        <w:t>pierwszej instancji.</w:t>
      </w:r>
    </w:p>
    <w:p w14:paraId="49CC3B88" w14:textId="77777777" w:rsidR="002A230A" w:rsidRPr="00EC250C" w:rsidRDefault="002A230A" w:rsidP="00D131FA">
      <w:pPr>
        <w:pStyle w:val="ComwiKonstytucja"/>
      </w:pPr>
      <w:r w:rsidRPr="00EC250C">
        <w:t>Jak orzekł Trybunał Konstytucyjny, organ rozpoznający środek zaskarżenia powinien mieć możliwość merytorycznej oceny prawidłowości rozstrzygnięcia</w:t>
      </w:r>
      <w:r w:rsidR="00992FD0" w:rsidRPr="00EC250C">
        <w:t xml:space="preserve"> w </w:t>
      </w:r>
      <w:r w:rsidRPr="00EC250C">
        <w:t>sprawie</w:t>
      </w:r>
      <w:r w:rsidRPr="00EC250C">
        <w:rPr>
          <w:rStyle w:val="Odwoanieprzypisudolnego"/>
        </w:rPr>
        <w:footnoteReference w:id="715"/>
      </w:r>
      <w:r w:rsidRPr="00EC250C">
        <w:t>. „Konstytucyjne prawo zaskarżania orzeczeń</w:t>
      </w:r>
      <w:r w:rsidR="00992FD0" w:rsidRPr="00EC250C">
        <w:t xml:space="preserve"> i </w:t>
      </w:r>
      <w:r w:rsidRPr="00EC250C">
        <w:t>decyzji wydanych</w:t>
      </w:r>
      <w:r w:rsidR="00992FD0" w:rsidRPr="00EC250C">
        <w:t xml:space="preserve"> w </w:t>
      </w:r>
      <w:r w:rsidRPr="00EC250C">
        <w:t>pierwszej instancji stanowi bardzo istotny czynnik urzeczywistniania tzw. sprawiedliwości proceduralnej”</w:t>
      </w:r>
      <w:r w:rsidRPr="00EC250C">
        <w:rPr>
          <w:rStyle w:val="Odwoanieprzypisudolnego"/>
        </w:rPr>
        <w:footnoteReference w:id="716"/>
      </w:r>
      <w:r w:rsidR="003E4DBD" w:rsidRPr="00EC250C">
        <w:t>.</w:t>
      </w:r>
    </w:p>
    <w:p w14:paraId="3B14A800" w14:textId="77777777" w:rsidR="003E4DBD" w:rsidRPr="00EC250C" w:rsidRDefault="003E4DBD" w:rsidP="00D131FA">
      <w:pPr>
        <w:pStyle w:val="ComwiKonstytucja"/>
      </w:pPr>
    </w:p>
    <w:p w14:paraId="227DC871" w14:textId="77777777" w:rsidR="002A230A" w:rsidRPr="00EC250C" w:rsidRDefault="002A230A" w:rsidP="00D131FA">
      <w:pPr>
        <w:spacing w:after="200" w:line="24" w:lineRule="auto"/>
        <w:jc w:val="both"/>
        <w:rPr>
          <w:i/>
          <w:spacing w:val="5"/>
          <w:sz w:val="22"/>
        </w:rPr>
      </w:pPr>
      <w:r w:rsidRPr="00EC250C">
        <w:rPr>
          <w:sz w:val="24"/>
        </w:rPr>
        <w:br w:type="page"/>
      </w:r>
    </w:p>
    <w:p w14:paraId="4E7F529E" w14:textId="77777777" w:rsidR="002A230A" w:rsidRPr="00EC250C" w:rsidRDefault="002A230A" w:rsidP="00EC79EB">
      <w:pPr>
        <w:pStyle w:val="Nagwek4"/>
        <w:rPr>
          <w:spacing w:val="0"/>
        </w:rPr>
      </w:pPr>
      <w:bookmarkStart w:id="705" w:name="_Toc11247835"/>
      <w:r w:rsidRPr="00EC250C">
        <w:lastRenderedPageBreak/>
        <w:t>Brak możliwości zaskarżenia decyzji sądu II instancji</w:t>
      </w:r>
      <w:r w:rsidR="00992FD0" w:rsidRPr="00EC250C">
        <w:t xml:space="preserve"> o </w:t>
      </w:r>
      <w:r w:rsidR="009A0BBA" w:rsidRPr="00EC250C">
        <w:t>zawieszeniu</w:t>
      </w:r>
      <w:r w:rsidRPr="00EC250C">
        <w:t xml:space="preserve"> p</w:t>
      </w:r>
      <w:r w:rsidR="009A0BBA" w:rsidRPr="00EC250C">
        <w:t>ostępowania</w:t>
      </w:r>
      <w:r w:rsidRPr="00EC250C">
        <w:t xml:space="preserve"> </w:t>
      </w:r>
      <w:r w:rsidR="009A0BBA" w:rsidRPr="00EC250C">
        <w:t>karnego</w:t>
      </w:r>
      <w:bookmarkEnd w:id="705"/>
    </w:p>
    <w:p w14:paraId="059160C0" w14:textId="77777777" w:rsidR="00B473F5" w:rsidRPr="00EC250C" w:rsidRDefault="002A230A" w:rsidP="00D131FA">
      <w:pPr>
        <w:pStyle w:val="Problemczowieka"/>
        <w:jc w:val="both"/>
      </w:pPr>
      <w:r w:rsidRPr="00EC250C">
        <w:t>Niemożność zaskarżenia decyzji sądu II instancji</w:t>
      </w:r>
      <w:r w:rsidR="00992FD0" w:rsidRPr="00EC250C">
        <w:t xml:space="preserve"> w </w:t>
      </w:r>
      <w:r w:rsidRPr="00EC250C">
        <w:t>kwestii zawieszenia postępowania karnego może być niezgodna</w:t>
      </w:r>
      <w:r w:rsidR="00992FD0" w:rsidRPr="00EC250C">
        <w:t xml:space="preserve"> z </w:t>
      </w:r>
      <w:r w:rsidRPr="00EC250C">
        <w:t>konstytucyjnym prawem do obrony. Okoliczno</w:t>
      </w:r>
      <w:r w:rsidRPr="00EC250C">
        <w:rPr>
          <w:rFonts w:hint="eastAsia"/>
        </w:rPr>
        <w:t>ś</w:t>
      </w:r>
      <w:r w:rsidRPr="00EC250C">
        <w:t>ci uniemo</w:t>
      </w:r>
      <w:r w:rsidRPr="00EC250C">
        <w:rPr>
          <w:rFonts w:hint="eastAsia"/>
        </w:rPr>
        <w:t>ż</w:t>
      </w:r>
      <w:r w:rsidRPr="00EC250C">
        <w:t>liwiaj</w:t>
      </w:r>
      <w:r w:rsidRPr="00EC250C">
        <w:rPr>
          <w:rFonts w:hint="eastAsia"/>
        </w:rPr>
        <w:t>ą</w:t>
      </w:r>
      <w:r w:rsidRPr="00EC250C">
        <w:t>ce kontynuowanie procesu mog</w:t>
      </w:r>
      <w:r w:rsidRPr="00EC250C">
        <w:rPr>
          <w:rFonts w:hint="eastAsia"/>
        </w:rPr>
        <w:t>ą</w:t>
      </w:r>
      <w:r w:rsidRPr="00EC250C">
        <w:t xml:space="preserve"> wyst</w:t>
      </w:r>
      <w:r w:rsidRPr="00EC250C">
        <w:rPr>
          <w:rFonts w:hint="eastAsia"/>
        </w:rPr>
        <w:t>ą</w:t>
      </w:r>
      <w:r w:rsidRPr="00EC250C">
        <w:t>pi</w:t>
      </w:r>
      <w:r w:rsidRPr="00EC250C">
        <w:rPr>
          <w:rFonts w:hint="eastAsia"/>
        </w:rPr>
        <w:t>ć</w:t>
      </w:r>
      <w:r w:rsidRPr="00EC250C">
        <w:t xml:space="preserve"> dopiero na etapie odwo</w:t>
      </w:r>
      <w:r w:rsidRPr="00EC250C">
        <w:rPr>
          <w:rFonts w:hint="eastAsia"/>
        </w:rPr>
        <w:t>ł</w:t>
      </w:r>
      <w:r w:rsidRPr="00EC250C">
        <w:t>awczym sprawy</w:t>
      </w:r>
      <w:r w:rsidR="00B473F5" w:rsidRPr="00EC250C">
        <w:t>.</w:t>
      </w:r>
    </w:p>
    <w:p w14:paraId="35396810" w14:textId="77777777" w:rsidR="002A230A" w:rsidRPr="00EC250C" w:rsidRDefault="002A230A" w:rsidP="00D131FA">
      <w:pPr>
        <w:pStyle w:val="Styl1"/>
      </w:pPr>
      <w:r w:rsidRPr="00EC250C">
        <w:t>RPO zwrócił się</w:t>
      </w:r>
      <w:r w:rsidR="00992FD0" w:rsidRPr="00EC250C">
        <w:t xml:space="preserve"> w </w:t>
      </w:r>
      <w:r w:rsidRPr="00EC250C">
        <w:t>tej sprawie do Ministra Sprawiedliwości</w:t>
      </w:r>
      <w:r w:rsidRPr="00EC250C">
        <w:rPr>
          <w:rStyle w:val="Odwoanieprzypisudolnego"/>
          <w:bCs/>
          <w:iCs/>
        </w:rPr>
        <w:footnoteReference w:id="717"/>
      </w:r>
      <w:r w:rsidRPr="00EC250C">
        <w:t>. Powo</w:t>
      </w:r>
      <w:r w:rsidRPr="00EC250C">
        <w:rPr>
          <w:rFonts w:hint="eastAsia"/>
        </w:rPr>
        <w:t>ł</w:t>
      </w:r>
      <w:r w:rsidRPr="00EC250C">
        <w:t>ał si</w:t>
      </w:r>
      <w:r w:rsidRPr="00EC250C">
        <w:rPr>
          <w:rFonts w:hint="eastAsia"/>
        </w:rPr>
        <w:t>ę</w:t>
      </w:r>
      <w:r w:rsidRPr="00EC250C">
        <w:t xml:space="preserve"> na wp</w:t>
      </w:r>
      <w:r w:rsidRPr="00EC250C">
        <w:rPr>
          <w:rFonts w:hint="eastAsia"/>
        </w:rPr>
        <w:t>ł</w:t>
      </w:r>
      <w:r w:rsidRPr="00EC250C">
        <w:t>ywaj</w:t>
      </w:r>
      <w:r w:rsidRPr="00EC250C">
        <w:rPr>
          <w:rFonts w:hint="eastAsia"/>
        </w:rPr>
        <w:t>ą</w:t>
      </w:r>
      <w:r w:rsidRPr="00EC250C">
        <w:t xml:space="preserve">ce do niego </w:t>
      </w:r>
      <w:r w:rsidR="00B473F5" w:rsidRPr="00EC250C">
        <w:t>skargi</w:t>
      </w:r>
      <w:r w:rsidRPr="00EC250C">
        <w:t>. Zgodnie</w:t>
      </w:r>
      <w:r w:rsidR="00992FD0" w:rsidRPr="00EC250C">
        <w:t xml:space="preserve"> z </w:t>
      </w:r>
      <w:r w:rsidRPr="00EC250C">
        <w:t>Kodeksem postepowania karnego, postanowienie s</w:t>
      </w:r>
      <w:r w:rsidRPr="00EC250C">
        <w:rPr>
          <w:rFonts w:hint="eastAsia"/>
        </w:rPr>
        <w:t>ą</w:t>
      </w:r>
      <w:r w:rsidRPr="00EC250C">
        <w:t>du</w:t>
      </w:r>
      <w:r w:rsidR="00992FD0" w:rsidRPr="00EC250C">
        <w:t xml:space="preserve"> w </w:t>
      </w:r>
      <w:r w:rsidRPr="00EC250C">
        <w:t>przedmiocie zawieszenia jest zaskar</w:t>
      </w:r>
      <w:r w:rsidRPr="00EC250C">
        <w:rPr>
          <w:rFonts w:hint="eastAsia"/>
        </w:rPr>
        <w:t>ż</w:t>
      </w:r>
      <w:r w:rsidRPr="00EC250C">
        <w:t>alne</w:t>
      </w:r>
      <w:r w:rsidR="00992FD0" w:rsidRPr="00EC250C">
        <w:t xml:space="preserve"> w </w:t>
      </w:r>
      <w:r w:rsidRPr="00EC250C">
        <w:t>s</w:t>
      </w:r>
      <w:r w:rsidRPr="00EC250C">
        <w:rPr>
          <w:rFonts w:hint="eastAsia"/>
        </w:rPr>
        <w:t>ą</w:t>
      </w:r>
      <w:r w:rsidRPr="00EC250C">
        <w:t>dzie I instancji</w:t>
      </w:r>
      <w:r w:rsidR="00992FD0" w:rsidRPr="00EC250C">
        <w:t xml:space="preserve"> i </w:t>
      </w:r>
      <w:r w:rsidRPr="00EC250C">
        <w:t>niezaskar</w:t>
      </w:r>
      <w:r w:rsidRPr="00EC250C">
        <w:rPr>
          <w:rFonts w:hint="eastAsia"/>
        </w:rPr>
        <w:t>ż</w:t>
      </w:r>
      <w:r w:rsidRPr="00EC250C">
        <w:t>alne</w:t>
      </w:r>
      <w:r w:rsidR="00992FD0" w:rsidRPr="00EC250C">
        <w:t xml:space="preserve"> w </w:t>
      </w:r>
      <w:r w:rsidRPr="00EC250C">
        <w:t>s</w:t>
      </w:r>
      <w:r w:rsidRPr="00EC250C">
        <w:rPr>
          <w:rFonts w:hint="eastAsia"/>
        </w:rPr>
        <w:t>ą</w:t>
      </w:r>
      <w:r w:rsidRPr="00EC250C">
        <w:t>dzie II instancji. W I instancji za</w:t>
      </w:r>
      <w:r w:rsidRPr="00EC250C">
        <w:rPr>
          <w:rFonts w:hint="eastAsia"/>
        </w:rPr>
        <w:t>ż</w:t>
      </w:r>
      <w:r w:rsidRPr="00EC250C">
        <w:t>alenie mo</w:t>
      </w:r>
      <w:r w:rsidRPr="00EC250C">
        <w:rPr>
          <w:rFonts w:hint="eastAsia"/>
        </w:rPr>
        <w:t>ż</w:t>
      </w:r>
      <w:r w:rsidRPr="00EC250C">
        <w:t>na z</w:t>
      </w:r>
      <w:r w:rsidRPr="00EC250C">
        <w:rPr>
          <w:rFonts w:hint="eastAsia"/>
        </w:rPr>
        <w:t>ł</w:t>
      </w:r>
      <w:r w:rsidRPr="00EC250C">
        <w:t>o</w:t>
      </w:r>
      <w:r w:rsidRPr="00EC250C">
        <w:rPr>
          <w:rFonts w:hint="eastAsia"/>
        </w:rPr>
        <w:t>ż</w:t>
      </w:r>
      <w:r w:rsidRPr="00EC250C">
        <w:t>y</w:t>
      </w:r>
      <w:r w:rsidRPr="00EC250C">
        <w:rPr>
          <w:rFonts w:hint="eastAsia"/>
        </w:rPr>
        <w:t>ć</w:t>
      </w:r>
      <w:r w:rsidRPr="00EC250C">
        <w:t xml:space="preserve"> zar</w:t>
      </w:r>
      <w:r w:rsidRPr="00EC250C">
        <w:rPr>
          <w:rFonts w:hint="eastAsia"/>
        </w:rPr>
        <w:t>ó</w:t>
      </w:r>
      <w:r w:rsidRPr="00EC250C">
        <w:t>wno na decyzj</w:t>
      </w:r>
      <w:r w:rsidRPr="00EC250C">
        <w:rPr>
          <w:rFonts w:hint="eastAsia"/>
        </w:rPr>
        <w:t>ę</w:t>
      </w:r>
      <w:r w:rsidRPr="00EC250C">
        <w:t xml:space="preserve"> zawieszaj</w:t>
      </w:r>
      <w:r w:rsidRPr="00EC250C">
        <w:rPr>
          <w:rFonts w:hint="eastAsia"/>
        </w:rPr>
        <w:t>ą</w:t>
      </w:r>
      <w:r w:rsidRPr="00EC250C">
        <w:t>c</w:t>
      </w:r>
      <w:r w:rsidRPr="00EC250C">
        <w:rPr>
          <w:rFonts w:hint="eastAsia"/>
        </w:rPr>
        <w:t>ą</w:t>
      </w:r>
      <w:r w:rsidRPr="00EC250C">
        <w:t xml:space="preserve"> proces, jak</w:t>
      </w:r>
      <w:r w:rsidR="00992FD0" w:rsidRPr="00EC250C">
        <w:t xml:space="preserve"> i </w:t>
      </w:r>
      <w:r w:rsidRPr="00EC250C">
        <w:t>odmawiaj</w:t>
      </w:r>
      <w:r w:rsidRPr="00EC250C">
        <w:rPr>
          <w:rFonts w:hint="eastAsia"/>
        </w:rPr>
        <w:t>ą</w:t>
      </w:r>
      <w:r w:rsidRPr="00EC250C">
        <w:t>c</w:t>
      </w:r>
      <w:r w:rsidRPr="00EC250C">
        <w:rPr>
          <w:rFonts w:hint="eastAsia"/>
        </w:rPr>
        <w:t>ą</w:t>
      </w:r>
      <w:r w:rsidRPr="00EC250C">
        <w:t xml:space="preserve"> tego,</w:t>
      </w:r>
      <w:r w:rsidR="00992FD0" w:rsidRPr="00EC250C">
        <w:t xml:space="preserve"> a </w:t>
      </w:r>
      <w:r w:rsidRPr="00EC250C">
        <w:t>tak</w:t>
      </w:r>
      <w:r w:rsidRPr="00EC250C">
        <w:rPr>
          <w:rFonts w:hint="eastAsia"/>
        </w:rPr>
        <w:t>ż</w:t>
      </w:r>
      <w:r w:rsidRPr="00EC250C">
        <w:t>e na podj</w:t>
      </w:r>
      <w:r w:rsidRPr="00EC250C">
        <w:rPr>
          <w:rFonts w:hint="eastAsia"/>
        </w:rPr>
        <w:t>ę</w:t>
      </w:r>
      <w:r w:rsidRPr="00EC250C">
        <w:t>cie sprawy wcze</w:t>
      </w:r>
      <w:r w:rsidRPr="00EC250C">
        <w:rPr>
          <w:rFonts w:hint="eastAsia"/>
        </w:rPr>
        <w:t>ś</w:t>
      </w:r>
      <w:r w:rsidRPr="00EC250C">
        <w:t>niej zawieszonej.</w:t>
      </w:r>
    </w:p>
    <w:p w14:paraId="7659FE22" w14:textId="77777777" w:rsidR="00C91F6E" w:rsidRPr="00EC250C" w:rsidRDefault="00863D73" w:rsidP="00D131FA">
      <w:pPr>
        <w:pStyle w:val="Styl1"/>
      </w:pPr>
      <w:r w:rsidRPr="00EC250C">
        <w:t>Zdaniem RPO trudno znaleźć argumenty przemawiające za zasadnością braku zażalenia decyzji wydanej</w:t>
      </w:r>
      <w:r w:rsidR="00992FD0" w:rsidRPr="00EC250C">
        <w:t xml:space="preserve"> w </w:t>
      </w:r>
      <w:r w:rsidRPr="00EC250C">
        <w:t>toku postępowania</w:t>
      </w:r>
      <w:r w:rsidR="00992FD0" w:rsidRPr="00EC250C">
        <w:t xml:space="preserve"> w </w:t>
      </w:r>
      <w:r w:rsidRPr="00EC250C">
        <w:t>II instancji. Katalog przesłanek zawieszenia postępowania jest identyczny</w:t>
      </w:r>
      <w:r w:rsidR="00026572" w:rsidRPr="00EC250C">
        <w:t xml:space="preserve"> – </w:t>
      </w:r>
      <w:r w:rsidRPr="00EC250C">
        <w:t>niezależnie od instancji,</w:t>
      </w:r>
      <w:r w:rsidR="00992FD0" w:rsidRPr="00EC250C">
        <w:t xml:space="preserve"> w </w:t>
      </w:r>
      <w:r w:rsidRPr="00EC250C">
        <w:t>której się ono toczy. Zawsze są to zewnętrzne, obiektywne okoliczności, uniemożliwiające</w:t>
      </w:r>
      <w:r w:rsidR="00992FD0" w:rsidRPr="00EC250C">
        <w:t xml:space="preserve"> w </w:t>
      </w:r>
      <w:r w:rsidRPr="00EC250C">
        <w:t>danym momencie dalsze procedowanie.</w:t>
      </w:r>
    </w:p>
    <w:p w14:paraId="757753C3" w14:textId="77777777" w:rsidR="00C91F6E" w:rsidRPr="00EC250C" w:rsidRDefault="002A230A" w:rsidP="00D131FA">
      <w:pPr>
        <w:pStyle w:val="Styl1"/>
      </w:pPr>
      <w:r w:rsidRPr="00EC250C">
        <w:t>Decyzja co do zawieszenia postępowania może mieć istotne znaczenie dla ochrony praw</w:t>
      </w:r>
      <w:r w:rsidR="00992FD0" w:rsidRPr="00EC250C">
        <w:t xml:space="preserve"> i </w:t>
      </w:r>
      <w:r w:rsidRPr="00EC250C">
        <w:t>interesów stron postępowania. Przykładowo, ciężka choroba znacznie utrudniać będzie oskarżonemu osobistą obronę, więc</w:t>
      </w:r>
      <w:r w:rsidR="00992FD0" w:rsidRPr="00EC250C">
        <w:t xml:space="preserve"> w </w:t>
      </w:r>
      <w:r w:rsidRPr="00EC250C">
        <w:t>jego interesie leży, aby</w:t>
      </w:r>
      <w:r w:rsidR="00992FD0" w:rsidRPr="00EC250C">
        <w:t xml:space="preserve"> w </w:t>
      </w:r>
      <w:r w:rsidRPr="00EC250C">
        <w:t>czasie jej trwania postępowanie było zawieszone.</w:t>
      </w:r>
    </w:p>
    <w:p w14:paraId="7DD551F4" w14:textId="77777777" w:rsidR="002A230A" w:rsidRPr="00EC250C" w:rsidRDefault="002A230A" w:rsidP="00EC79EB">
      <w:pPr>
        <w:pStyle w:val="Nagwek4"/>
        <w:rPr>
          <w:spacing w:val="0"/>
        </w:rPr>
      </w:pPr>
      <w:bookmarkStart w:id="706" w:name="_Toc11247836"/>
      <w:r w:rsidRPr="00EC250C">
        <w:t>Zażalenie oskarżyciela posiłkowego na odmowę dopuszczenia do procesu</w:t>
      </w:r>
      <w:r w:rsidR="00026572" w:rsidRPr="00EC250C">
        <w:t xml:space="preserve"> – </w:t>
      </w:r>
      <w:r w:rsidRPr="00EC250C">
        <w:t>TK uwzględnił wniosek RPO</w:t>
      </w:r>
      <w:bookmarkEnd w:id="706"/>
    </w:p>
    <w:p w14:paraId="7BB5F00E" w14:textId="77777777" w:rsidR="00B473F5" w:rsidRPr="00EC250C" w:rsidRDefault="002A230A" w:rsidP="00D131FA">
      <w:pPr>
        <w:pStyle w:val="Problemczowieka"/>
        <w:jc w:val="both"/>
        <w:rPr>
          <w:rStyle w:val="Pogrubienie"/>
          <w:b/>
          <w:bCs w:val="0"/>
        </w:rPr>
      </w:pPr>
      <w:r w:rsidRPr="00EC250C">
        <w:rPr>
          <w:rStyle w:val="Pogrubienie"/>
          <w:b/>
          <w:bCs w:val="0"/>
        </w:rPr>
        <w:t>Osoba pokrzywdzona przest</w:t>
      </w:r>
      <w:r w:rsidRPr="00EC250C">
        <w:rPr>
          <w:rStyle w:val="Pogrubienie"/>
          <w:rFonts w:hint="eastAsia"/>
          <w:b/>
          <w:bCs w:val="0"/>
        </w:rPr>
        <w:t>ę</w:t>
      </w:r>
      <w:r w:rsidRPr="00EC250C">
        <w:rPr>
          <w:rStyle w:val="Pogrubienie"/>
          <w:b/>
          <w:bCs w:val="0"/>
        </w:rPr>
        <w:t>pstwem, kt</w:t>
      </w:r>
      <w:r w:rsidRPr="00EC250C">
        <w:rPr>
          <w:rStyle w:val="Pogrubienie"/>
          <w:rFonts w:hint="eastAsia"/>
          <w:b/>
          <w:bCs w:val="0"/>
        </w:rPr>
        <w:t>ó</w:t>
      </w:r>
      <w:r w:rsidRPr="00EC250C">
        <w:rPr>
          <w:rStyle w:val="Pogrubienie"/>
          <w:b/>
          <w:bCs w:val="0"/>
        </w:rPr>
        <w:t>ra chce by</w:t>
      </w:r>
      <w:r w:rsidRPr="00EC250C">
        <w:rPr>
          <w:rStyle w:val="Pogrubienie"/>
          <w:rFonts w:hint="eastAsia"/>
          <w:b/>
          <w:bCs w:val="0"/>
        </w:rPr>
        <w:t>ć</w:t>
      </w:r>
      <w:r w:rsidRPr="00EC250C">
        <w:rPr>
          <w:rStyle w:val="Pogrubienie"/>
          <w:b/>
          <w:bCs w:val="0"/>
        </w:rPr>
        <w:t xml:space="preserve"> oskar</w:t>
      </w:r>
      <w:r w:rsidRPr="00EC250C">
        <w:rPr>
          <w:rStyle w:val="Pogrubienie"/>
          <w:rFonts w:hint="eastAsia"/>
          <w:b/>
          <w:bCs w:val="0"/>
        </w:rPr>
        <w:t>ż</w:t>
      </w:r>
      <w:r w:rsidRPr="00EC250C">
        <w:rPr>
          <w:rStyle w:val="Pogrubienie"/>
          <w:b/>
          <w:bCs w:val="0"/>
        </w:rPr>
        <w:t>ycielem posi</w:t>
      </w:r>
      <w:r w:rsidRPr="00EC250C">
        <w:rPr>
          <w:rStyle w:val="Pogrubienie"/>
          <w:rFonts w:hint="eastAsia"/>
          <w:b/>
          <w:bCs w:val="0"/>
        </w:rPr>
        <w:t>ł</w:t>
      </w:r>
      <w:r w:rsidRPr="00EC250C">
        <w:rPr>
          <w:rStyle w:val="Pogrubienie"/>
          <w:b/>
          <w:bCs w:val="0"/>
        </w:rPr>
        <w:t>kowym</w:t>
      </w:r>
      <w:r w:rsidR="00992FD0" w:rsidRPr="00EC250C">
        <w:rPr>
          <w:rStyle w:val="Pogrubienie"/>
          <w:b/>
          <w:bCs w:val="0"/>
        </w:rPr>
        <w:t xml:space="preserve"> w </w:t>
      </w:r>
      <w:r w:rsidRPr="00EC250C">
        <w:rPr>
          <w:rStyle w:val="Pogrubienie"/>
          <w:b/>
          <w:bCs w:val="0"/>
        </w:rPr>
        <w:t>procesie, ma prawo do za</w:t>
      </w:r>
      <w:r w:rsidRPr="00EC250C">
        <w:rPr>
          <w:rStyle w:val="Pogrubienie"/>
          <w:rFonts w:hint="eastAsia"/>
          <w:b/>
          <w:bCs w:val="0"/>
        </w:rPr>
        <w:t>ż</w:t>
      </w:r>
      <w:r w:rsidRPr="00EC250C">
        <w:rPr>
          <w:rStyle w:val="Pogrubienie"/>
          <w:b/>
          <w:bCs w:val="0"/>
        </w:rPr>
        <w:t xml:space="preserve">alenia </w:t>
      </w:r>
      <w:r w:rsidR="009A0BBA" w:rsidRPr="00EC250C">
        <w:rPr>
          <w:rStyle w:val="Pogrubienie"/>
          <w:b/>
          <w:bCs w:val="0"/>
        </w:rPr>
        <w:t xml:space="preserve">decyzji </w:t>
      </w:r>
      <w:r w:rsidRPr="00EC250C">
        <w:rPr>
          <w:rStyle w:val="Pogrubienie"/>
          <w:b/>
          <w:bCs w:val="0"/>
        </w:rPr>
        <w:t>s</w:t>
      </w:r>
      <w:r w:rsidRPr="00EC250C">
        <w:rPr>
          <w:rStyle w:val="Pogrubienie"/>
          <w:rFonts w:hint="eastAsia"/>
          <w:b/>
          <w:bCs w:val="0"/>
        </w:rPr>
        <w:t>ą</w:t>
      </w:r>
      <w:r w:rsidRPr="00EC250C">
        <w:rPr>
          <w:rStyle w:val="Pogrubienie"/>
          <w:b/>
          <w:bCs w:val="0"/>
        </w:rPr>
        <w:t>du</w:t>
      </w:r>
      <w:r w:rsidR="00992FD0" w:rsidRPr="00EC250C">
        <w:rPr>
          <w:rStyle w:val="Pogrubienie"/>
          <w:b/>
          <w:bCs w:val="0"/>
        </w:rPr>
        <w:t xml:space="preserve"> o </w:t>
      </w:r>
      <w:r w:rsidRPr="00EC250C">
        <w:rPr>
          <w:rStyle w:val="Pogrubienie"/>
          <w:b/>
          <w:bCs w:val="0"/>
        </w:rPr>
        <w:t>niedopuszczeniu do udzia</w:t>
      </w:r>
      <w:r w:rsidRPr="00EC250C">
        <w:rPr>
          <w:rStyle w:val="Pogrubienie"/>
          <w:rFonts w:hint="eastAsia"/>
          <w:b/>
          <w:bCs w:val="0"/>
        </w:rPr>
        <w:t>ł</w:t>
      </w:r>
      <w:r w:rsidRPr="00EC250C">
        <w:rPr>
          <w:rStyle w:val="Pogrubienie"/>
          <w:b/>
          <w:bCs w:val="0"/>
        </w:rPr>
        <w:t>u</w:t>
      </w:r>
      <w:r w:rsidR="00992FD0" w:rsidRPr="00EC250C">
        <w:rPr>
          <w:rStyle w:val="Pogrubienie"/>
          <w:b/>
          <w:bCs w:val="0"/>
        </w:rPr>
        <w:t xml:space="preserve"> w </w:t>
      </w:r>
      <w:r w:rsidRPr="00EC250C">
        <w:rPr>
          <w:rStyle w:val="Pogrubienie"/>
          <w:b/>
          <w:bCs w:val="0"/>
        </w:rPr>
        <w:t>sprawie</w:t>
      </w:r>
      <w:r w:rsidR="00B473F5" w:rsidRPr="00EC250C">
        <w:rPr>
          <w:rStyle w:val="Pogrubienie"/>
          <w:b/>
          <w:bCs w:val="0"/>
        </w:rPr>
        <w:t>.</w:t>
      </w:r>
    </w:p>
    <w:p w14:paraId="0DC73104" w14:textId="77777777" w:rsidR="002A230A" w:rsidRPr="00EC250C" w:rsidRDefault="002A230A" w:rsidP="00D131FA">
      <w:pPr>
        <w:pStyle w:val="Styl1"/>
      </w:pPr>
      <w:r w:rsidRPr="00EC250C">
        <w:rPr>
          <w:rStyle w:val="Pogrubienie"/>
          <w:b w:val="0"/>
          <w:bCs w:val="0"/>
        </w:rPr>
        <w:t>Z wniosku Rzecznika Praw Obywatelskich Trybuna</w:t>
      </w:r>
      <w:r w:rsidRPr="00EC250C">
        <w:rPr>
          <w:rStyle w:val="Pogrubienie"/>
          <w:rFonts w:hint="eastAsia"/>
          <w:b w:val="0"/>
          <w:bCs w:val="0"/>
        </w:rPr>
        <w:t>ł</w:t>
      </w:r>
      <w:r w:rsidRPr="00EC250C">
        <w:rPr>
          <w:rStyle w:val="Pogrubienie"/>
          <w:b w:val="0"/>
          <w:bCs w:val="0"/>
        </w:rPr>
        <w:t xml:space="preserve"> Konstytucyjny orzek</w:t>
      </w:r>
      <w:r w:rsidRPr="00EC250C">
        <w:rPr>
          <w:rStyle w:val="Pogrubienie"/>
          <w:rFonts w:hint="eastAsia"/>
          <w:b w:val="0"/>
          <w:bCs w:val="0"/>
        </w:rPr>
        <w:t>ł</w:t>
      </w:r>
      <w:r w:rsidRPr="00EC250C">
        <w:rPr>
          <w:rStyle w:val="Pogrubienie"/>
          <w:b w:val="0"/>
          <w:bCs w:val="0"/>
        </w:rPr>
        <w:t xml:space="preserve">, </w:t>
      </w:r>
      <w:r w:rsidRPr="00EC250C">
        <w:rPr>
          <w:rStyle w:val="Pogrubienie"/>
          <w:rFonts w:hint="eastAsia"/>
          <w:b w:val="0"/>
          <w:bCs w:val="0"/>
        </w:rPr>
        <w:t>ż</w:t>
      </w:r>
      <w:r w:rsidRPr="00EC250C">
        <w:rPr>
          <w:rStyle w:val="Pogrubienie"/>
          <w:b w:val="0"/>
          <w:bCs w:val="0"/>
        </w:rPr>
        <w:t>e niemo</w:t>
      </w:r>
      <w:r w:rsidRPr="00EC250C">
        <w:rPr>
          <w:rStyle w:val="Pogrubienie"/>
          <w:rFonts w:hint="eastAsia"/>
          <w:b w:val="0"/>
          <w:bCs w:val="0"/>
        </w:rPr>
        <w:t>ż</w:t>
      </w:r>
      <w:r w:rsidRPr="00EC250C">
        <w:rPr>
          <w:rStyle w:val="Pogrubienie"/>
          <w:b w:val="0"/>
          <w:bCs w:val="0"/>
        </w:rPr>
        <w:t>no</w:t>
      </w:r>
      <w:r w:rsidRPr="00EC250C">
        <w:rPr>
          <w:rStyle w:val="Pogrubienie"/>
          <w:rFonts w:hint="eastAsia"/>
          <w:b w:val="0"/>
          <w:bCs w:val="0"/>
        </w:rPr>
        <w:t>ść</w:t>
      </w:r>
      <w:r w:rsidRPr="00EC250C">
        <w:rPr>
          <w:rStyle w:val="Pogrubienie"/>
          <w:b w:val="0"/>
          <w:bCs w:val="0"/>
        </w:rPr>
        <w:t xml:space="preserve"> takiego za</w:t>
      </w:r>
      <w:r w:rsidRPr="00EC250C">
        <w:rPr>
          <w:rStyle w:val="Pogrubienie"/>
          <w:rFonts w:hint="eastAsia"/>
          <w:b w:val="0"/>
          <w:bCs w:val="0"/>
        </w:rPr>
        <w:t>ż</w:t>
      </w:r>
      <w:r w:rsidRPr="00EC250C">
        <w:rPr>
          <w:rStyle w:val="Pogrubienie"/>
          <w:b w:val="0"/>
          <w:bCs w:val="0"/>
        </w:rPr>
        <w:t>alenia jest niekonstytucyjna. Wniosek</w:t>
      </w:r>
      <w:r w:rsidR="00992FD0" w:rsidRPr="00EC250C">
        <w:rPr>
          <w:rStyle w:val="Pogrubienie"/>
          <w:b w:val="0"/>
          <w:bCs w:val="0"/>
        </w:rPr>
        <w:t xml:space="preserve"> w </w:t>
      </w:r>
      <w:r w:rsidRPr="00EC250C">
        <w:rPr>
          <w:rStyle w:val="Pogrubienie"/>
          <w:b w:val="0"/>
          <w:bCs w:val="0"/>
        </w:rPr>
        <w:t>tej sprawie z</w:t>
      </w:r>
      <w:r w:rsidRPr="00EC250C">
        <w:rPr>
          <w:rStyle w:val="Pogrubienie"/>
          <w:rFonts w:hint="eastAsia"/>
          <w:b w:val="0"/>
          <w:bCs w:val="0"/>
        </w:rPr>
        <w:t>ł</w:t>
      </w:r>
      <w:r w:rsidRPr="00EC250C">
        <w:rPr>
          <w:rStyle w:val="Pogrubienie"/>
          <w:b w:val="0"/>
          <w:bCs w:val="0"/>
        </w:rPr>
        <w:t>o</w:t>
      </w:r>
      <w:r w:rsidRPr="00EC250C">
        <w:rPr>
          <w:rStyle w:val="Pogrubienie"/>
          <w:rFonts w:hint="eastAsia"/>
          <w:b w:val="0"/>
          <w:bCs w:val="0"/>
        </w:rPr>
        <w:t>ż</w:t>
      </w:r>
      <w:r w:rsidRPr="00EC250C">
        <w:rPr>
          <w:rStyle w:val="Pogrubienie"/>
          <w:b w:val="0"/>
          <w:bCs w:val="0"/>
        </w:rPr>
        <w:t>y</w:t>
      </w:r>
      <w:r w:rsidRPr="00EC250C">
        <w:rPr>
          <w:rStyle w:val="Pogrubienie"/>
          <w:rFonts w:hint="eastAsia"/>
          <w:b w:val="0"/>
          <w:bCs w:val="0"/>
        </w:rPr>
        <w:t>ł</w:t>
      </w:r>
      <w:r w:rsidRPr="00EC250C">
        <w:rPr>
          <w:rStyle w:val="Pogrubienie"/>
          <w:b w:val="0"/>
          <w:bCs w:val="0"/>
        </w:rPr>
        <w:t>a</w:t>
      </w:r>
      <w:r w:rsidR="00992FD0" w:rsidRPr="00EC250C">
        <w:rPr>
          <w:rStyle w:val="Pogrubienie"/>
          <w:b w:val="0"/>
          <w:bCs w:val="0"/>
        </w:rPr>
        <w:t xml:space="preserve"> w </w:t>
      </w:r>
      <w:r w:rsidRPr="00EC250C">
        <w:rPr>
          <w:rStyle w:val="Pogrubienie"/>
          <w:b w:val="0"/>
          <w:bCs w:val="0"/>
        </w:rPr>
        <w:t>2015</w:t>
      </w:r>
      <w:r w:rsidR="00C91F6E" w:rsidRPr="00EC250C">
        <w:rPr>
          <w:rStyle w:val="Pogrubienie"/>
          <w:b w:val="0"/>
          <w:bCs w:val="0"/>
        </w:rPr>
        <w:t> r.</w:t>
      </w:r>
      <w:r w:rsidRPr="00EC250C">
        <w:rPr>
          <w:rStyle w:val="Pogrubienie"/>
          <w:b w:val="0"/>
          <w:bCs w:val="0"/>
        </w:rPr>
        <w:t xml:space="preserve"> RPO Irena Lipowicz</w:t>
      </w:r>
      <w:r w:rsidRPr="00EC250C">
        <w:rPr>
          <w:rStyle w:val="Odwoanieprzypisudolnego"/>
        </w:rPr>
        <w:footnoteReference w:id="718"/>
      </w:r>
      <w:r w:rsidRPr="00EC250C">
        <w:rPr>
          <w:rStyle w:val="Pogrubienie"/>
          <w:b w:val="0"/>
          <w:bCs w:val="0"/>
        </w:rPr>
        <w:t>.</w:t>
      </w:r>
    </w:p>
    <w:p w14:paraId="2DB01788" w14:textId="77777777" w:rsidR="002A230A" w:rsidRPr="00EC250C" w:rsidRDefault="002A230A" w:rsidP="00D131FA">
      <w:pPr>
        <w:pStyle w:val="Styl1"/>
      </w:pPr>
      <w:r w:rsidRPr="00EC250C">
        <w:t>Zgodnie</w:t>
      </w:r>
      <w:r w:rsidR="00992FD0" w:rsidRPr="00EC250C">
        <w:t xml:space="preserve"> z </w:t>
      </w:r>
      <w:r w:rsidRPr="00EC250C">
        <w:t xml:space="preserve">Kodeksem postępowania karnego, </w:t>
      </w:r>
      <w:r w:rsidR="009A0BBA" w:rsidRPr="00EC250C">
        <w:t>„</w:t>
      </w:r>
      <w:r w:rsidRPr="00EC250C">
        <w:t>w sprawach</w:t>
      </w:r>
      <w:r w:rsidR="00992FD0" w:rsidRPr="00EC250C">
        <w:t xml:space="preserve"> o </w:t>
      </w:r>
      <w:r w:rsidRPr="00EC250C">
        <w:t>przestępstwa ścigane</w:t>
      </w:r>
      <w:r w:rsidR="00992FD0" w:rsidRPr="00EC250C">
        <w:t xml:space="preserve"> z </w:t>
      </w:r>
      <w:r w:rsidRPr="00EC250C">
        <w:t>oskarżenia publicznego pokrzywdzony może działać jako strona</w:t>
      </w:r>
      <w:r w:rsidR="00992FD0" w:rsidRPr="00EC250C">
        <w:t xml:space="preserve"> w </w:t>
      </w:r>
      <w:r w:rsidRPr="00EC250C">
        <w:t>charakterze oskarżyciela posiłkowego obok oskarżyciela publicznego lub zamiast niego</w:t>
      </w:r>
      <w:r w:rsidR="00A43D01" w:rsidRPr="00EC250C">
        <w:t>”</w:t>
      </w:r>
      <w:r w:rsidRPr="00EC250C">
        <w:t xml:space="preserve">. </w:t>
      </w:r>
      <w:r w:rsidR="00A43D01" w:rsidRPr="00EC250C">
        <w:t>S</w:t>
      </w:r>
      <w:r w:rsidRPr="00EC250C">
        <w:t xml:space="preserve">ąd może </w:t>
      </w:r>
      <w:r w:rsidR="00A43D01" w:rsidRPr="00EC250C">
        <w:t xml:space="preserve">też </w:t>
      </w:r>
      <w:r w:rsidRPr="00EC250C">
        <w:t>ograniczyć liczbę oskarżycieli posiłkowych</w:t>
      </w:r>
      <w:r w:rsidR="00992FD0" w:rsidRPr="00EC250C">
        <w:t xml:space="preserve"> w </w:t>
      </w:r>
      <w:r w:rsidRPr="00EC250C">
        <w:t xml:space="preserve">sprawie, jeżeli jest to konieczne dla zabezpieczenia prawidłowego toku </w:t>
      </w:r>
      <w:r w:rsidRPr="00EC250C">
        <w:lastRenderedPageBreak/>
        <w:t>postępowania. Sąd orzeka, że oskarżyciel posiłkowy nie może brać udziału</w:t>
      </w:r>
      <w:r w:rsidR="00992FD0" w:rsidRPr="00EC250C">
        <w:t xml:space="preserve"> w </w:t>
      </w:r>
      <w:r w:rsidRPr="00EC250C">
        <w:t>postępowaniu, gdy bierze</w:t>
      </w:r>
      <w:r w:rsidR="00992FD0" w:rsidRPr="00EC250C">
        <w:t xml:space="preserve"> w </w:t>
      </w:r>
      <w:r w:rsidRPr="00EC250C">
        <w:t>nim już udział określona przez sąd liczba oskarżycieli</w:t>
      </w:r>
      <w:r w:rsidR="00A43D01" w:rsidRPr="00EC250C">
        <w:t xml:space="preserve"> lub </w:t>
      </w:r>
      <w:r w:rsidRPr="00EC250C">
        <w:t>jeżeli stwierdzi, że nie jest on osobą uprawnioną lub jego akt oskarżenia albo oświadczenie</w:t>
      </w:r>
      <w:r w:rsidR="00992FD0" w:rsidRPr="00EC250C">
        <w:t xml:space="preserve"> o </w:t>
      </w:r>
      <w:r w:rsidRPr="00EC250C">
        <w:t xml:space="preserve">przystąpieniu do postępowania zostało złożone po terminie. </w:t>
      </w:r>
      <w:r w:rsidR="00A43D01" w:rsidRPr="00EC250C">
        <w:t>Z</w:t>
      </w:r>
      <w:r w:rsidRPr="00EC250C">
        <w:t>ażalenie</w:t>
      </w:r>
      <w:r w:rsidR="00A43D01" w:rsidRPr="00EC250C">
        <w:t xml:space="preserve"> na taką decyzję</w:t>
      </w:r>
      <w:r w:rsidRPr="00EC250C">
        <w:t xml:space="preserve"> nie przysługuje.</w:t>
      </w:r>
    </w:p>
    <w:p w14:paraId="57839545" w14:textId="77777777" w:rsidR="002A230A" w:rsidRPr="00EC250C" w:rsidRDefault="002A230A" w:rsidP="00D131FA">
      <w:pPr>
        <w:pStyle w:val="Styl1"/>
      </w:pPr>
      <w:r w:rsidRPr="00EC250C">
        <w:t>Trybunał podzielił argumenty RPO, że uprawnienie oskarżyciela posiłkowego do udziału</w:t>
      </w:r>
      <w:r w:rsidR="00992FD0" w:rsidRPr="00EC250C">
        <w:t xml:space="preserve"> w </w:t>
      </w:r>
      <w:r w:rsidRPr="00EC250C">
        <w:t>postępowaniu sądowym</w:t>
      </w:r>
      <w:r w:rsidR="00992FD0" w:rsidRPr="00EC250C">
        <w:t xml:space="preserve"> w </w:t>
      </w:r>
      <w:r w:rsidRPr="00EC250C">
        <w:t>charakterze strony jest istotne</w:t>
      </w:r>
      <w:r w:rsidR="00992FD0" w:rsidRPr="00EC250C">
        <w:t xml:space="preserve"> z </w:t>
      </w:r>
      <w:r w:rsidRPr="00EC250C">
        <w:t>perspektywy całego postępowania karnego. Uznał, że ograniczenia praw konstytucyjnych pokrzywdzonego nie spełniają testu konieczności</w:t>
      </w:r>
      <w:r w:rsidR="00992FD0" w:rsidRPr="00EC250C">
        <w:t xml:space="preserve"> i </w:t>
      </w:r>
      <w:r w:rsidRPr="00EC250C">
        <w:t>proporcjonalności</w:t>
      </w:r>
      <w:r w:rsidR="00A43D01" w:rsidRPr="00EC250C">
        <w:t>.</w:t>
      </w:r>
    </w:p>
    <w:p w14:paraId="6E02623D" w14:textId="77777777" w:rsidR="00C91F6E" w:rsidRPr="00EC250C" w:rsidRDefault="002A230A" w:rsidP="00EC79EB">
      <w:pPr>
        <w:pStyle w:val="Nagwek4"/>
      </w:pPr>
      <w:bookmarkStart w:id="707" w:name="_Toc6257961"/>
      <w:bookmarkStart w:id="708" w:name="_Toc11247837"/>
      <w:r w:rsidRPr="00EC250C">
        <w:t>Możliwość zaskarżenia orzeczenia referendarza sądowego</w:t>
      </w:r>
      <w:r w:rsidR="00992FD0" w:rsidRPr="00EC250C">
        <w:t xml:space="preserve"> w </w:t>
      </w:r>
      <w:r w:rsidRPr="00EC250C">
        <w:t>postępowaniu egzekucyjnym</w:t>
      </w:r>
      <w:bookmarkEnd w:id="707"/>
      <w:bookmarkEnd w:id="708"/>
    </w:p>
    <w:p w14:paraId="6C7FA6C2" w14:textId="77777777" w:rsidR="002A230A" w:rsidRPr="00EC250C" w:rsidRDefault="002A230A" w:rsidP="00D131FA">
      <w:pPr>
        <w:pStyle w:val="ODESANIE"/>
        <w:jc w:val="both"/>
      </w:pPr>
      <w:r w:rsidRPr="00EC250C">
        <w:t>Omówienie: Art. 45 – Prawo do sądu.</w:t>
      </w:r>
    </w:p>
    <w:p w14:paraId="782D5031" w14:textId="77777777" w:rsidR="002A230A" w:rsidRPr="00EC250C" w:rsidRDefault="002A230A" w:rsidP="00D131FA">
      <w:pPr>
        <w:spacing w:after="200" w:line="24" w:lineRule="auto"/>
        <w:jc w:val="both"/>
        <w:rPr>
          <w:bCs/>
          <w:color w:val="044892"/>
          <w:sz w:val="24"/>
        </w:rPr>
      </w:pPr>
      <w:r w:rsidRPr="00EC250C">
        <w:rPr>
          <w:sz w:val="24"/>
        </w:rPr>
        <w:br w:type="page"/>
      </w:r>
    </w:p>
    <w:p w14:paraId="7D6A6168" w14:textId="77777777" w:rsidR="002A230A" w:rsidRPr="00EC250C" w:rsidRDefault="002A230A" w:rsidP="00EC250C">
      <w:pPr>
        <w:pStyle w:val="Nagwek3"/>
      </w:pPr>
      <w:bookmarkStart w:id="709" w:name="_Toc6257962"/>
      <w:bookmarkStart w:id="710" w:name="_Toc11247838"/>
      <w:r w:rsidRPr="00EC250C">
        <w:lastRenderedPageBreak/>
        <w:t xml:space="preserve">Art. 79 </w:t>
      </w:r>
      <w:r w:rsidR="001856D8" w:rsidRPr="00EC250C">
        <w:t xml:space="preserve">Konstytucji </w:t>
      </w:r>
      <w:r w:rsidRPr="00EC250C">
        <w:t>ust. 1 – Prawo do skargi konstytucyjnej</w:t>
      </w:r>
      <w:bookmarkEnd w:id="709"/>
      <w:bookmarkEnd w:id="710"/>
    </w:p>
    <w:p w14:paraId="7527CB7D" w14:textId="77777777" w:rsidR="002A230A" w:rsidRPr="00EC250C" w:rsidRDefault="002A230A" w:rsidP="00D131FA">
      <w:pPr>
        <w:pStyle w:val="konstytucja"/>
        <w:jc w:val="both"/>
      </w:pPr>
      <w:r w:rsidRPr="00EC250C">
        <w:t>Każdy, czyje konstytucyjne wolności lub prawa zostały naruszone, ma prawo, na zasadach określonych</w:t>
      </w:r>
      <w:r w:rsidR="00992FD0" w:rsidRPr="00EC250C">
        <w:t xml:space="preserve"> w </w:t>
      </w:r>
      <w:r w:rsidRPr="00EC250C">
        <w:t>ustawie, wnieść skargę do Trybunału Konstytucyjnego</w:t>
      </w:r>
      <w:r w:rsidR="00992FD0" w:rsidRPr="00EC250C">
        <w:t xml:space="preserve"> w </w:t>
      </w:r>
      <w:r w:rsidRPr="00EC250C">
        <w:t>sprawie zgodności</w:t>
      </w:r>
      <w:r w:rsidR="00992FD0" w:rsidRPr="00EC250C">
        <w:t xml:space="preserve"> z </w:t>
      </w:r>
      <w:r w:rsidRPr="00EC250C">
        <w:t>Konstytucją ustawy lub innego aktu normatywnego, na podstawie którego sąd lub organ administracji publicznej orzekł ostatecznie</w:t>
      </w:r>
      <w:r w:rsidR="00992FD0" w:rsidRPr="00EC250C">
        <w:t xml:space="preserve"> o </w:t>
      </w:r>
      <w:r w:rsidRPr="00EC250C">
        <w:t>jego wolnościach lub prawach albo</w:t>
      </w:r>
      <w:r w:rsidR="00992FD0" w:rsidRPr="00EC250C">
        <w:t xml:space="preserve"> o </w:t>
      </w:r>
      <w:r w:rsidRPr="00EC250C">
        <w:t>jego obowiązkach określonych</w:t>
      </w:r>
      <w:r w:rsidR="00992FD0" w:rsidRPr="00EC250C">
        <w:t xml:space="preserve"> w </w:t>
      </w:r>
      <w:r w:rsidRPr="00EC250C">
        <w:t>Konstytucji.</w:t>
      </w:r>
    </w:p>
    <w:p w14:paraId="12B66C3B" w14:textId="77777777" w:rsidR="00C91F6E" w:rsidRPr="00EC250C" w:rsidRDefault="002A230A" w:rsidP="00D131FA">
      <w:pPr>
        <w:pStyle w:val="ComwiKonstytucja"/>
      </w:pPr>
      <w:r w:rsidRPr="00EC250C">
        <w:t>Ochronie za pomocą skargi konstytucyjnej podlegają konstytucyjne wolności</w:t>
      </w:r>
      <w:r w:rsidR="00992FD0" w:rsidRPr="00EC250C">
        <w:t xml:space="preserve"> i </w:t>
      </w:r>
      <w:r w:rsidRPr="00EC250C">
        <w:t>prawa, które zostały naruszone. Prawo to przysługuje każdemu,</w:t>
      </w:r>
      <w:r w:rsidR="00992FD0" w:rsidRPr="00EC250C">
        <w:t xml:space="preserve"> a </w:t>
      </w:r>
      <w:r w:rsidRPr="00EC250C">
        <w:t>więc nie jest związane</w:t>
      </w:r>
      <w:r w:rsidR="00992FD0" w:rsidRPr="00EC250C">
        <w:t xml:space="preserve"> z </w:t>
      </w:r>
      <w:r w:rsidRPr="00EC250C">
        <w:t>faktem posiadania obywatelstwa polskiego (wyjątki przewiduje Konstytucja</w:t>
      </w:r>
      <w:r w:rsidR="00992FD0" w:rsidRPr="00EC250C">
        <w:t xml:space="preserve"> w </w:t>
      </w:r>
      <w:r w:rsidRPr="00EC250C">
        <w:t>ust. 2,</w:t>
      </w:r>
      <w:r w:rsidR="00992FD0" w:rsidRPr="00EC250C">
        <w:t xml:space="preserve"> a </w:t>
      </w:r>
      <w:r w:rsidRPr="00EC250C">
        <w:t>dotyczą one</w:t>
      </w:r>
      <w:r w:rsidR="00D1788D" w:rsidRPr="00EC250C">
        <w:t>, prawa do azylu, prawa ubiegania się</w:t>
      </w:r>
      <w:r w:rsidR="00992FD0" w:rsidRPr="00EC250C">
        <w:t xml:space="preserve"> o </w:t>
      </w:r>
      <w:r w:rsidR="00D1788D" w:rsidRPr="00EC250C">
        <w:t>status uchodźcy</w:t>
      </w:r>
      <w:r w:rsidRPr="00EC250C">
        <w:t>).</w:t>
      </w:r>
    </w:p>
    <w:p w14:paraId="7B62C39C" w14:textId="77777777" w:rsidR="00C91F6E" w:rsidRPr="00EC250C" w:rsidRDefault="002A230A" w:rsidP="00D131FA">
      <w:pPr>
        <w:pStyle w:val="ComwiKonstytucja"/>
      </w:pPr>
      <w:r w:rsidRPr="00EC250C">
        <w:t>Komentatorzy zauważają, że powszechna skarga konstytucyjna stanowi filar demokratycznego państwa prawnego. Sankcje</w:t>
      </w:r>
      <w:r w:rsidR="00992FD0" w:rsidRPr="00EC250C">
        <w:t xml:space="preserve"> w </w:t>
      </w:r>
      <w:r w:rsidRPr="00EC250C">
        <w:t>postaci orzeczenia Trybunału Konstytucyjnego powinny być stosowane wówczas, kiedy organ stanowiący prawo,</w:t>
      </w:r>
      <w:r w:rsidR="00992FD0" w:rsidRPr="00EC250C">
        <w:t xml:space="preserve"> w </w:t>
      </w:r>
      <w:r w:rsidRPr="00EC250C">
        <w:t>tym</w:t>
      </w:r>
      <w:r w:rsidR="00992FD0" w:rsidRPr="00EC250C">
        <w:t xml:space="preserve"> i </w:t>
      </w:r>
      <w:r w:rsidRPr="00EC250C">
        <w:t>parlament, zlekceważył konstytucyjne prawo jednostki.</w:t>
      </w:r>
    </w:p>
    <w:p w14:paraId="16F73002" w14:textId="77777777" w:rsidR="002A230A" w:rsidRPr="00EC250C" w:rsidRDefault="002A230A" w:rsidP="00D131FA">
      <w:pPr>
        <w:pStyle w:val="ComwiKonstytucja"/>
      </w:pPr>
      <w:r w:rsidRPr="00EC250C">
        <w:t>Trzeba pamiętać, że wniesienie skargi konstytucyjnej jest możliwe tylko</w:t>
      </w:r>
      <w:r w:rsidR="00992FD0" w:rsidRPr="00EC250C">
        <w:t xml:space="preserve"> w </w:t>
      </w:r>
      <w:r w:rsidRPr="00EC250C">
        <w:t>przypadku, gdy orzeczenie sądu lub decyzja organu administracji była ostateczna</w:t>
      </w:r>
      <w:r w:rsidR="003E4DBD" w:rsidRPr="00EC250C">
        <w:t>.</w:t>
      </w:r>
    </w:p>
    <w:p w14:paraId="23F98BC7" w14:textId="77777777" w:rsidR="003E4DBD" w:rsidRPr="00EC250C" w:rsidRDefault="003E4DBD" w:rsidP="00D131FA">
      <w:pPr>
        <w:pStyle w:val="ComwiKonstytucja"/>
      </w:pPr>
    </w:p>
    <w:p w14:paraId="37741CF9" w14:textId="77777777" w:rsidR="002A230A" w:rsidRPr="00EC250C" w:rsidRDefault="002A230A" w:rsidP="00D131FA">
      <w:pPr>
        <w:pStyle w:val="Styl1"/>
      </w:pPr>
    </w:p>
    <w:p w14:paraId="7C884176" w14:textId="77777777" w:rsidR="00C91F6E" w:rsidRPr="00EC250C" w:rsidRDefault="002A230A" w:rsidP="00D131FA">
      <w:pPr>
        <w:pStyle w:val="Styl1"/>
      </w:pPr>
      <w:r w:rsidRPr="00EC250C">
        <w:t xml:space="preserve">Rzecznik </w:t>
      </w:r>
      <w:r w:rsidR="00135B9D" w:rsidRPr="00EC250C">
        <w:t xml:space="preserve">Praw Obywatelskich </w:t>
      </w:r>
      <w:r w:rsidRPr="00EC250C">
        <w:t>korzysta</w:t>
      </w:r>
      <w:r w:rsidR="00992FD0" w:rsidRPr="00EC250C">
        <w:t xml:space="preserve"> z </w:t>
      </w:r>
      <w:r w:rsidRPr="00EC250C">
        <w:t>ustawowych możliwości</w:t>
      </w:r>
      <w:r w:rsidR="00992FD0" w:rsidRPr="00EC250C">
        <w:t xml:space="preserve"> i </w:t>
      </w:r>
      <w:r w:rsidRPr="00EC250C">
        <w:t>wspiera osoby wnoszące skargi konstytucyjne przystępując do postępowań zainicjowanych takimi skargami.</w:t>
      </w:r>
    </w:p>
    <w:p w14:paraId="1244573D" w14:textId="77777777" w:rsidR="00C91F6E" w:rsidRPr="00EC250C" w:rsidRDefault="002A230A" w:rsidP="00D131FA">
      <w:pPr>
        <w:pStyle w:val="Styl1"/>
      </w:pPr>
      <w:r w:rsidRPr="00EC250C">
        <w:t>W 2018</w:t>
      </w:r>
      <w:r w:rsidR="00C91F6E" w:rsidRPr="00EC250C">
        <w:t> r.</w:t>
      </w:r>
      <w:r w:rsidRPr="00EC250C">
        <w:t xml:space="preserve"> Rzecznik zgłosił udział</w:t>
      </w:r>
      <w:r w:rsidR="00992FD0" w:rsidRPr="00EC250C">
        <w:t xml:space="preserve"> w </w:t>
      </w:r>
      <w:r w:rsidRPr="00EC250C">
        <w:t>trzech postępowaniach zainicjowanych skargą konstytucyjną.</w:t>
      </w:r>
    </w:p>
    <w:p w14:paraId="62D36CF1" w14:textId="77777777" w:rsidR="002A230A" w:rsidRPr="00EC250C" w:rsidRDefault="002A230A" w:rsidP="00D131FA">
      <w:pPr>
        <w:spacing w:after="200" w:line="24" w:lineRule="auto"/>
        <w:jc w:val="both"/>
        <w:rPr>
          <w:bCs/>
          <w:color w:val="044892"/>
          <w:sz w:val="24"/>
        </w:rPr>
      </w:pPr>
      <w:r w:rsidRPr="00EC250C">
        <w:rPr>
          <w:sz w:val="24"/>
        </w:rPr>
        <w:br w:type="page"/>
      </w:r>
    </w:p>
    <w:p w14:paraId="640732B7" w14:textId="77777777" w:rsidR="00C91F6E" w:rsidRPr="00EC250C" w:rsidRDefault="002A230A" w:rsidP="00EC250C">
      <w:pPr>
        <w:pStyle w:val="Nagwek3"/>
      </w:pPr>
      <w:bookmarkStart w:id="711" w:name="_Toc6257963"/>
      <w:bookmarkStart w:id="712" w:name="_Toc11247839"/>
      <w:r w:rsidRPr="00EC250C">
        <w:lastRenderedPageBreak/>
        <w:t xml:space="preserve">Art. 80 </w:t>
      </w:r>
      <w:r w:rsidR="001856D8" w:rsidRPr="00EC250C">
        <w:t xml:space="preserve">Konstytucji </w:t>
      </w:r>
      <w:r w:rsidRPr="00EC250C">
        <w:t>– Prawo wystąpienia do RPO</w:t>
      </w:r>
      <w:bookmarkEnd w:id="711"/>
      <w:bookmarkEnd w:id="712"/>
    </w:p>
    <w:p w14:paraId="0331762B" w14:textId="77777777" w:rsidR="002A230A" w:rsidRPr="00EC250C" w:rsidRDefault="002A230A" w:rsidP="00D131FA">
      <w:pPr>
        <w:pStyle w:val="konstytucja"/>
        <w:jc w:val="both"/>
      </w:pPr>
      <w:r w:rsidRPr="00EC250C">
        <w:t>Każdy ma prawo wystąpienia, na zasadach określonych</w:t>
      </w:r>
      <w:r w:rsidR="00992FD0" w:rsidRPr="00EC250C">
        <w:t xml:space="preserve"> w </w:t>
      </w:r>
      <w:r w:rsidRPr="00EC250C">
        <w:t>ustawie, do Rzecznika Praw Obywatelskich</w:t>
      </w:r>
      <w:r w:rsidR="00992FD0" w:rsidRPr="00EC250C">
        <w:t xml:space="preserve"> z </w:t>
      </w:r>
      <w:r w:rsidRPr="00EC250C">
        <w:t>wnioskiem</w:t>
      </w:r>
      <w:r w:rsidR="00992FD0" w:rsidRPr="00EC250C">
        <w:t xml:space="preserve"> o </w:t>
      </w:r>
      <w:r w:rsidRPr="00EC250C">
        <w:t>pomoc</w:t>
      </w:r>
      <w:r w:rsidR="00992FD0" w:rsidRPr="00EC250C">
        <w:t xml:space="preserve"> w </w:t>
      </w:r>
      <w:r w:rsidRPr="00EC250C">
        <w:t>ochronie swoich wolności lub praw naruszonych przez organy władzy publicznej.</w:t>
      </w:r>
    </w:p>
    <w:p w14:paraId="1B8F0160" w14:textId="77777777" w:rsidR="00C91F6E" w:rsidRPr="00EC250C" w:rsidRDefault="002A230A" w:rsidP="00D131FA">
      <w:pPr>
        <w:pStyle w:val="ComwiKonstytucja"/>
      </w:pPr>
      <w:r w:rsidRPr="00EC250C">
        <w:t>Do Rzecznika może zwrócić się obywatel polski, cudzoziemiec znajdujący się pod władzą Rzeczypospolitej Polskiej, osoba prawna, organizacja obywateli lub inna jednostka organizacyjna, jeśli może być podmiotem praw</w:t>
      </w:r>
      <w:r w:rsidR="00992FD0" w:rsidRPr="00EC250C">
        <w:t xml:space="preserve"> i </w:t>
      </w:r>
      <w:r w:rsidRPr="00EC250C">
        <w:t>obowiązków. Rzecznik może podjąć przewidziane prawem czynności na wniosek obywateli</w:t>
      </w:r>
      <w:r w:rsidR="00992FD0" w:rsidRPr="00EC250C">
        <w:t xml:space="preserve"> i </w:t>
      </w:r>
      <w:r w:rsidRPr="00EC250C">
        <w:t>ich organizacji, organów samorządowych,</w:t>
      </w:r>
      <w:r w:rsidR="00992FD0" w:rsidRPr="00EC250C">
        <w:t xml:space="preserve"> a </w:t>
      </w:r>
      <w:r w:rsidRPr="00EC250C">
        <w:t>także</w:t>
      </w:r>
      <w:r w:rsidR="00992FD0" w:rsidRPr="00EC250C">
        <w:t xml:space="preserve"> z </w:t>
      </w:r>
      <w:r w:rsidRPr="00EC250C">
        <w:t>własnej inicjatywy na podstawie wyników analizy obowiązujących przepisów prawnych, przeprowadzonej kontroli, informacji uzyskanej za pośrednictwem środków masowego przekazu itp.</w:t>
      </w:r>
    </w:p>
    <w:p w14:paraId="58348ABB" w14:textId="77777777" w:rsidR="002A230A" w:rsidRPr="00EC250C" w:rsidRDefault="002A230A" w:rsidP="00D131FA">
      <w:pPr>
        <w:pStyle w:val="ComwiKonstytucja"/>
      </w:pPr>
      <w:r w:rsidRPr="00EC250C">
        <w:t>Bliżej zadania Rzecznika określają art. 208-212 Konstytucji oraz ustawa.</w:t>
      </w:r>
    </w:p>
    <w:p w14:paraId="72BB0405" w14:textId="77777777" w:rsidR="003E4DBD" w:rsidRPr="00EC250C" w:rsidRDefault="003E4DBD" w:rsidP="00D131FA">
      <w:pPr>
        <w:pStyle w:val="ComwiKonstytucja"/>
      </w:pPr>
    </w:p>
    <w:p w14:paraId="0B9616BA" w14:textId="77777777" w:rsidR="002A230A" w:rsidRPr="00EC250C" w:rsidRDefault="002A230A" w:rsidP="00D131FA">
      <w:pPr>
        <w:pStyle w:val="Styl1"/>
      </w:pPr>
    </w:p>
    <w:p w14:paraId="17F2880F" w14:textId="77777777" w:rsidR="00C91F6E" w:rsidRPr="00EC250C" w:rsidRDefault="002A230A" w:rsidP="00D131FA">
      <w:pPr>
        <w:pStyle w:val="Styl1"/>
      </w:pPr>
      <w:r w:rsidRPr="00EC250C">
        <w:t>Wniosek kierowany do Rzecznika może zostać złożony</w:t>
      </w:r>
      <w:r w:rsidR="00992FD0" w:rsidRPr="00EC250C">
        <w:t xml:space="preserve"> w </w:t>
      </w:r>
      <w:r w:rsidRPr="00EC250C">
        <w:t>dowolnej formie – na piśmie, ustnie, pocztą elektroniczną.</w:t>
      </w:r>
    </w:p>
    <w:p w14:paraId="4E5A5A8D" w14:textId="77777777" w:rsidR="00C91F6E" w:rsidRPr="00EC250C" w:rsidRDefault="002A230A" w:rsidP="00D131FA">
      <w:pPr>
        <w:pStyle w:val="Styl1"/>
      </w:pPr>
      <w:r w:rsidRPr="00EC250C">
        <w:t>W 2018</w:t>
      </w:r>
      <w:r w:rsidR="00C91F6E" w:rsidRPr="00EC250C">
        <w:t> r.</w:t>
      </w:r>
      <w:r w:rsidRPr="00EC250C">
        <w:t xml:space="preserve"> Rzecznik nie spotkał się</w:t>
      </w:r>
      <w:r w:rsidR="00992FD0" w:rsidRPr="00EC250C">
        <w:t xml:space="preserve"> z </w:t>
      </w:r>
      <w:r w:rsidRPr="00EC250C">
        <w:t>sytuacjami,</w:t>
      </w:r>
      <w:r w:rsidR="00992FD0" w:rsidRPr="00EC250C">
        <w:t xml:space="preserve"> w </w:t>
      </w:r>
      <w:r w:rsidRPr="00EC250C">
        <w:t>których miałoby miejsce utrudnienie składania takich wniosków.</w:t>
      </w:r>
    </w:p>
    <w:p w14:paraId="7B50A86A" w14:textId="77777777" w:rsidR="00C91F6E" w:rsidRPr="00EC250C" w:rsidRDefault="002A230A" w:rsidP="00D131FA">
      <w:pPr>
        <w:pStyle w:val="Styl1"/>
      </w:pPr>
      <w:r w:rsidRPr="00EC250C">
        <w:t>Wskazać natomiast należy, że</w:t>
      </w:r>
      <w:r w:rsidR="00992FD0" w:rsidRPr="00EC250C">
        <w:t xml:space="preserve"> w </w:t>
      </w:r>
      <w:r w:rsidRPr="00EC250C">
        <w:t>związku</w:t>
      </w:r>
      <w:r w:rsidR="00992FD0" w:rsidRPr="00EC250C">
        <w:t xml:space="preserve"> z </w:t>
      </w:r>
      <w:r w:rsidRPr="00EC250C">
        <w:t>wejściem ustawy</w:t>
      </w:r>
      <w:r w:rsidR="00992FD0" w:rsidRPr="00EC250C">
        <w:t xml:space="preserve"> o </w:t>
      </w:r>
      <w:r w:rsidRPr="00EC250C">
        <w:t>Sądzie Najwyższym</w:t>
      </w:r>
      <w:r w:rsidRPr="00EC250C">
        <w:rPr>
          <w:rStyle w:val="Odwoanieprzypisudolnego"/>
        </w:rPr>
        <w:footnoteReference w:id="719"/>
      </w:r>
      <w:r w:rsidRPr="00EC250C">
        <w:t>, która uprawnia Rzecznika do złożenia do Sądu Najwyższego skargi nadzwyczajnej od prawomocnego orzeczenia sądu kończącego postępowanie</w:t>
      </w:r>
      <w:r w:rsidR="00992FD0" w:rsidRPr="00EC250C">
        <w:t xml:space="preserve"> w </w:t>
      </w:r>
      <w:r w:rsidRPr="00EC250C">
        <w:t>sprawie,</w:t>
      </w:r>
      <w:r w:rsidR="00992FD0" w:rsidRPr="00EC250C">
        <w:t xml:space="preserve"> w </w:t>
      </w:r>
      <w:r w:rsidR="00A43D01" w:rsidRPr="00EC250C">
        <w:t xml:space="preserve">samym tylko </w:t>
      </w:r>
      <w:r w:rsidRPr="00EC250C">
        <w:t>2018</w:t>
      </w:r>
      <w:r w:rsidR="00C91F6E" w:rsidRPr="00EC250C">
        <w:t> r.</w:t>
      </w:r>
      <w:r w:rsidRPr="00EC250C">
        <w:t xml:space="preserve"> wpłynęło do Rzecznika 2991 wniosków</w:t>
      </w:r>
      <w:r w:rsidR="00992FD0" w:rsidRPr="00EC250C">
        <w:t xml:space="preserve"> o </w:t>
      </w:r>
      <w:r w:rsidRPr="00EC250C">
        <w:t>wniesienie takiej skargi.</w:t>
      </w:r>
    </w:p>
    <w:p w14:paraId="6059D880" w14:textId="77777777" w:rsidR="00C91F6E" w:rsidRPr="00EC250C" w:rsidRDefault="002A230A" w:rsidP="00D131FA">
      <w:pPr>
        <w:pStyle w:val="Styl1"/>
      </w:pPr>
      <w:r w:rsidRPr="00EC250C">
        <w:t>Przyznanie Rzecznikowi tego nadzwyczajnego środka zaskarżenia nie spowodowało jednak przyznania dodatkowych środków budżetowych, które pozwoliłyby sprawnie realizować to nowe zadanie.</w:t>
      </w:r>
    </w:p>
    <w:p w14:paraId="71D39936" w14:textId="77777777" w:rsidR="00C91F6E" w:rsidRPr="00EC250C" w:rsidRDefault="002A230A" w:rsidP="00D131FA">
      <w:pPr>
        <w:pStyle w:val="Styl1"/>
      </w:pPr>
      <w:r w:rsidRPr="00EC250C">
        <w:t>Również</w:t>
      </w:r>
      <w:r w:rsidR="00992FD0" w:rsidRPr="00EC250C">
        <w:t xml:space="preserve"> w </w:t>
      </w:r>
      <w:r w:rsidRPr="00EC250C">
        <w:t>budżecie na 2019</w:t>
      </w:r>
      <w:r w:rsidR="00C91F6E" w:rsidRPr="00EC250C">
        <w:t> r.</w:t>
      </w:r>
      <w:r w:rsidRPr="00EC250C">
        <w:t xml:space="preserve"> nie zostały zabezpieczone jakiekolwiek środki na badanie tak masowo kierowanych wniosków</w:t>
      </w:r>
      <w:r w:rsidR="00992FD0" w:rsidRPr="00EC250C">
        <w:t xml:space="preserve"> w </w:t>
      </w:r>
      <w:r w:rsidRPr="00EC250C">
        <w:t>sprawie skargi nadzwyczajnej.</w:t>
      </w:r>
      <w:r w:rsidR="00645DB9" w:rsidRPr="00EC250C">
        <w:t xml:space="preserve"> RPO kierował liczne wnioski i postulaty związane ze zwiększeniem budżetu na to zadanie, ale także na rozpoznawanie kasacji w sprawach karnych.</w:t>
      </w:r>
    </w:p>
    <w:p w14:paraId="5DA9B057" w14:textId="77777777" w:rsidR="002A230A" w:rsidRPr="00EC250C" w:rsidRDefault="002A230A" w:rsidP="00D131FA">
      <w:pPr>
        <w:spacing w:after="200" w:line="24" w:lineRule="auto"/>
        <w:jc w:val="both"/>
        <w:rPr>
          <w:b/>
          <w:color w:val="002368"/>
          <w:spacing w:val="0"/>
          <w:sz w:val="32"/>
        </w:rPr>
      </w:pPr>
      <w:r w:rsidRPr="00EC250C">
        <w:rPr>
          <w:sz w:val="24"/>
        </w:rPr>
        <w:br w:type="page"/>
      </w:r>
    </w:p>
    <w:p w14:paraId="51DEE008" w14:textId="77777777" w:rsidR="002A230A" w:rsidRPr="00EC250C" w:rsidRDefault="002A230A" w:rsidP="00D131FA">
      <w:pPr>
        <w:pStyle w:val="Nagwek2"/>
        <w:jc w:val="both"/>
      </w:pPr>
      <w:bookmarkStart w:id="713" w:name="_Toc6257964"/>
      <w:bookmarkStart w:id="714" w:name="_Toc11247840"/>
      <w:r w:rsidRPr="00EC250C">
        <w:lastRenderedPageBreak/>
        <w:t>6. Inne standardy normatywne</w:t>
      </w:r>
      <w:bookmarkEnd w:id="713"/>
      <w:bookmarkEnd w:id="714"/>
    </w:p>
    <w:p w14:paraId="6E45785B" w14:textId="77777777" w:rsidR="00C91F6E" w:rsidRPr="00EC250C" w:rsidRDefault="002A230A" w:rsidP="00EC250C">
      <w:pPr>
        <w:pStyle w:val="Nagwek3"/>
      </w:pPr>
      <w:bookmarkStart w:id="715" w:name="_Toc6257965"/>
      <w:bookmarkStart w:id="716" w:name="_Toc11247841"/>
      <w:r w:rsidRPr="00EC250C">
        <w:t xml:space="preserve">Art. 2 </w:t>
      </w:r>
      <w:r w:rsidR="001856D8" w:rsidRPr="00EC250C">
        <w:t xml:space="preserve">Konstytucji </w:t>
      </w:r>
      <w:r w:rsidRPr="00EC250C">
        <w:t>– Zasada praworządności</w:t>
      </w:r>
      <w:bookmarkEnd w:id="715"/>
      <w:bookmarkEnd w:id="716"/>
    </w:p>
    <w:p w14:paraId="7A273903" w14:textId="77777777" w:rsidR="002A230A" w:rsidRPr="00EC250C" w:rsidRDefault="002A230A" w:rsidP="00D131FA">
      <w:pPr>
        <w:pStyle w:val="konstytucja"/>
        <w:jc w:val="both"/>
      </w:pPr>
      <w:r w:rsidRPr="00EC250C">
        <w:t>Rzeczpospolita Polska jest demokratycznym państwem prawnym, urzeczywistniającym zasady sprawiedliwości społecznej.</w:t>
      </w:r>
    </w:p>
    <w:p w14:paraId="4DC30EF7" w14:textId="77777777" w:rsidR="00C91F6E" w:rsidRPr="00EC250C" w:rsidRDefault="002A230A" w:rsidP="00D131FA">
      <w:pPr>
        <w:pStyle w:val="ComwiKonstytucja"/>
      </w:pPr>
      <w:r w:rsidRPr="00EC250C">
        <w:t>To podstawowa zasada demokratycznego państwa prawnego. Oznacza ona, że państwo ma być rządzone prawem, prawo stoi ponad państwem (przedstawicielami władzy), ma być wytyczną działania dla władz</w:t>
      </w:r>
      <w:r w:rsidR="00992FD0" w:rsidRPr="00EC250C">
        <w:t xml:space="preserve"> i </w:t>
      </w:r>
      <w:r w:rsidRPr="00EC250C">
        <w:t>dla społeczeństwa. Zasada ta ma również zabezpieczać wpływ obywateli na władzę państwową</w:t>
      </w:r>
      <w:r w:rsidR="00992FD0" w:rsidRPr="00EC250C">
        <w:t xml:space="preserve"> i </w:t>
      </w:r>
      <w:r w:rsidRPr="00EC250C">
        <w:t>ich udział</w:t>
      </w:r>
      <w:r w:rsidR="00992FD0" w:rsidRPr="00EC250C">
        <w:t xml:space="preserve"> w </w:t>
      </w:r>
      <w:r w:rsidRPr="00EC250C">
        <w:t>podejmowaniu decyzji państwowych.</w:t>
      </w:r>
    </w:p>
    <w:p w14:paraId="4F2202B4" w14:textId="77777777" w:rsidR="00C91F6E" w:rsidRPr="00EC250C" w:rsidRDefault="002A230A" w:rsidP="00D131FA">
      <w:pPr>
        <w:pStyle w:val="ComwiKonstytucja"/>
      </w:pPr>
      <w:r w:rsidRPr="00EC250C">
        <w:t>Przepis ten mówi także</w:t>
      </w:r>
      <w:r w:rsidR="00992FD0" w:rsidRPr="00EC250C">
        <w:t xml:space="preserve"> o </w:t>
      </w:r>
      <w:r w:rsidRPr="00EC250C">
        <w:t>tym, że działalność państwa</w:t>
      </w:r>
      <w:r w:rsidR="00992FD0" w:rsidRPr="00EC250C">
        <w:t xml:space="preserve"> i </w:t>
      </w:r>
      <w:r w:rsidRPr="00EC250C">
        <w:t>jego organów ma być oparta na wartościach, które dobrze służą zapewnieniu praworządności, wyraża on bowiem zasadę legalizmu. Z tej zasady wynika między innymi najwyższa ranga Konstytucji</w:t>
      </w:r>
      <w:r w:rsidR="00992FD0" w:rsidRPr="00EC250C">
        <w:t xml:space="preserve"> w </w:t>
      </w:r>
      <w:r w:rsidRPr="00EC250C">
        <w:t>systemie źródeł prawa,</w:t>
      </w:r>
      <w:r w:rsidR="00992FD0" w:rsidRPr="00EC250C">
        <w:t xml:space="preserve"> i </w:t>
      </w:r>
      <w:r w:rsidRPr="00EC250C">
        <w:t>rola ustaw, ich priorytet</w:t>
      </w:r>
      <w:r w:rsidR="00992FD0" w:rsidRPr="00EC250C">
        <w:t xml:space="preserve"> w </w:t>
      </w:r>
      <w:r w:rsidRPr="00EC250C">
        <w:t>tworzeniu porządku prawnego</w:t>
      </w:r>
      <w:r w:rsidR="00992FD0" w:rsidRPr="00EC250C">
        <w:t xml:space="preserve"> w </w:t>
      </w:r>
      <w:r w:rsidRPr="00EC250C">
        <w:t>państwie (koncepcja hierarchicznej budowy systemu źródeł prawa).</w:t>
      </w:r>
    </w:p>
    <w:p w14:paraId="66CE9F96" w14:textId="77777777" w:rsidR="00C91F6E" w:rsidRPr="00EC250C" w:rsidRDefault="002A230A" w:rsidP="00D131FA">
      <w:pPr>
        <w:pStyle w:val="ComwiKonstytucja"/>
      </w:pPr>
      <w:r w:rsidRPr="00EC250C">
        <w:t>Nieodzownym elementem zasady demokratycznego państwa prawnego pozostają reguły stanowienia prawa, określane czasem jako zasady przyzwoitej legislacji. Należy tutaj wymienić m.in.:</w:t>
      </w:r>
    </w:p>
    <w:p w14:paraId="1FCD226C" w14:textId="77777777" w:rsidR="00C91F6E" w:rsidRPr="00EC250C" w:rsidRDefault="002A230A" w:rsidP="006C70B7">
      <w:pPr>
        <w:pStyle w:val="ComwiKonstytucja"/>
        <w:numPr>
          <w:ilvl w:val="0"/>
          <w:numId w:val="89"/>
        </w:numPr>
      </w:pPr>
      <w:r w:rsidRPr="00EC250C">
        <w:t xml:space="preserve">zasadę niedziałania prawa wstecz (łac. </w:t>
      </w:r>
      <w:r w:rsidRPr="00EC250C">
        <w:rPr>
          <w:i w:val="0"/>
        </w:rPr>
        <w:t>lex retro non agit</w:t>
      </w:r>
      <w:r w:rsidRPr="00EC250C">
        <w:t>),</w:t>
      </w:r>
    </w:p>
    <w:p w14:paraId="1BAE566A" w14:textId="77777777" w:rsidR="00C91F6E" w:rsidRPr="00EC250C" w:rsidRDefault="002A230A" w:rsidP="006C70B7">
      <w:pPr>
        <w:pStyle w:val="ComwiKonstytucja"/>
        <w:numPr>
          <w:ilvl w:val="0"/>
          <w:numId w:val="89"/>
        </w:numPr>
      </w:pPr>
      <w:r w:rsidRPr="00EC250C">
        <w:t>zasadę ochrony praw słusznie nabytych,</w:t>
      </w:r>
    </w:p>
    <w:p w14:paraId="0A35D76F" w14:textId="77777777" w:rsidR="00C91F6E" w:rsidRPr="00EC250C" w:rsidRDefault="002A230A" w:rsidP="006C70B7">
      <w:pPr>
        <w:pStyle w:val="ComwiKonstytucja"/>
        <w:numPr>
          <w:ilvl w:val="0"/>
          <w:numId w:val="89"/>
        </w:numPr>
      </w:pPr>
      <w:r w:rsidRPr="00EC250C">
        <w:t>zasadę ochrony interesów</w:t>
      </w:r>
      <w:r w:rsidR="00992FD0" w:rsidRPr="00EC250C">
        <w:t xml:space="preserve"> w </w:t>
      </w:r>
      <w:r w:rsidRPr="00EC250C">
        <w:t>toku,</w:t>
      </w:r>
    </w:p>
    <w:p w14:paraId="4E967645" w14:textId="77777777" w:rsidR="00C91F6E" w:rsidRPr="00EC250C" w:rsidRDefault="002A230A" w:rsidP="006C70B7">
      <w:pPr>
        <w:pStyle w:val="ComwiKonstytucja"/>
        <w:numPr>
          <w:ilvl w:val="0"/>
          <w:numId w:val="89"/>
        </w:numPr>
      </w:pPr>
      <w:r w:rsidRPr="00EC250C">
        <w:t>nakaz zachowania odpowiedniego okresu dostosowawczego przy wprowadzaniu nowych norm prawnych</w:t>
      </w:r>
      <w:r w:rsidR="00992FD0" w:rsidRPr="00EC250C">
        <w:t xml:space="preserve"> w </w:t>
      </w:r>
      <w:r w:rsidRPr="00EC250C">
        <w:t xml:space="preserve">życie (łac. </w:t>
      </w:r>
      <w:r w:rsidRPr="00EC250C">
        <w:rPr>
          <w:i w:val="0"/>
        </w:rPr>
        <w:t>vacatio legis</w:t>
      </w:r>
      <w:r w:rsidRPr="00EC250C">
        <w:t>),</w:t>
      </w:r>
    </w:p>
    <w:p w14:paraId="7D4410B3" w14:textId="77777777" w:rsidR="002A230A" w:rsidRPr="00EC250C" w:rsidRDefault="002A230A" w:rsidP="006C70B7">
      <w:pPr>
        <w:pStyle w:val="ComwiKonstytucja"/>
        <w:numPr>
          <w:ilvl w:val="0"/>
          <w:numId w:val="89"/>
        </w:numPr>
      </w:pPr>
      <w:r w:rsidRPr="00EC250C">
        <w:t>zasadę pewności (określoności) prawa, nakazującą formułowanie przepisów prawa</w:t>
      </w:r>
      <w:r w:rsidR="00992FD0" w:rsidRPr="00EC250C">
        <w:t xml:space="preserve"> w </w:t>
      </w:r>
      <w:r w:rsidRPr="00EC250C">
        <w:t>sposób jasny.</w:t>
      </w:r>
    </w:p>
    <w:p w14:paraId="3741A8DA" w14:textId="77777777" w:rsidR="003E4DBD" w:rsidRPr="00EC250C" w:rsidRDefault="003E4DBD" w:rsidP="00D131FA">
      <w:pPr>
        <w:pStyle w:val="ComwiKonstytucja"/>
        <w:ind w:firstLine="0"/>
      </w:pPr>
    </w:p>
    <w:p w14:paraId="6CF7768E" w14:textId="77777777" w:rsidR="002A230A" w:rsidRPr="00EC250C" w:rsidRDefault="002A230A" w:rsidP="00D131FA">
      <w:pPr>
        <w:spacing w:after="200" w:line="24" w:lineRule="auto"/>
        <w:jc w:val="both"/>
        <w:rPr>
          <w:i/>
          <w:spacing w:val="5"/>
          <w:sz w:val="22"/>
        </w:rPr>
      </w:pPr>
      <w:r w:rsidRPr="00EC250C">
        <w:rPr>
          <w:sz w:val="24"/>
        </w:rPr>
        <w:br w:type="page"/>
      </w:r>
    </w:p>
    <w:p w14:paraId="6C8C0ABD" w14:textId="77777777" w:rsidR="00D7192C" w:rsidRPr="00EC250C" w:rsidRDefault="00D7192C" w:rsidP="00EC79EB">
      <w:pPr>
        <w:pStyle w:val="Nagwek4"/>
        <w:rPr>
          <w:rStyle w:val="Pogrubienie"/>
          <w:b/>
          <w:bCs w:val="0"/>
        </w:rPr>
      </w:pPr>
      <w:bookmarkStart w:id="717" w:name="_Toc11247842"/>
      <w:r w:rsidRPr="00EC250C">
        <w:rPr>
          <w:rStyle w:val="Pogrubienie"/>
          <w:b/>
          <w:bCs w:val="0"/>
        </w:rPr>
        <w:lastRenderedPageBreak/>
        <w:t>Prawo sądów do zwrócenia się z pytaniem prejudycjalnym do Trybunału Sprawiedliwości Unii Europejskiej</w:t>
      </w:r>
      <w:bookmarkEnd w:id="717"/>
    </w:p>
    <w:p w14:paraId="5384D6E4" w14:textId="77777777" w:rsidR="00B473F5" w:rsidRPr="00EC250C" w:rsidRDefault="002A230A" w:rsidP="00D131FA">
      <w:pPr>
        <w:pStyle w:val="Problemczowieka"/>
        <w:jc w:val="both"/>
        <w:rPr>
          <w:rStyle w:val="Pogrubienie"/>
          <w:rFonts w:eastAsiaTheme="majorEastAsia"/>
          <w:b/>
          <w:bCs w:val="0"/>
        </w:rPr>
      </w:pPr>
      <w:r w:rsidRPr="00EC250C">
        <w:rPr>
          <w:rStyle w:val="Pogrubienie"/>
          <w:rFonts w:eastAsiaTheme="majorEastAsia"/>
          <w:b/>
          <w:bCs w:val="0"/>
        </w:rPr>
        <w:t xml:space="preserve">Prokurator Generalny zakwestionował </w:t>
      </w:r>
      <w:r w:rsidR="0061493F" w:rsidRPr="00EC250C">
        <w:rPr>
          <w:rStyle w:val="Pogrubienie"/>
          <w:rFonts w:eastAsiaTheme="majorEastAsia"/>
          <w:b/>
          <w:bCs w:val="0"/>
        </w:rPr>
        <w:t xml:space="preserve">przed Trybunałem Konstytucyjnym </w:t>
      </w:r>
      <w:r w:rsidRPr="00EC250C">
        <w:rPr>
          <w:rStyle w:val="Pogrubienie"/>
          <w:rFonts w:eastAsiaTheme="majorEastAsia"/>
          <w:b/>
          <w:bCs w:val="0"/>
        </w:rPr>
        <w:t>konstytucyjność jednego</w:t>
      </w:r>
      <w:r w:rsidR="00992FD0" w:rsidRPr="00EC250C">
        <w:rPr>
          <w:rStyle w:val="Pogrubienie"/>
          <w:rFonts w:eastAsiaTheme="majorEastAsia"/>
          <w:b/>
          <w:bCs w:val="0"/>
        </w:rPr>
        <w:t xml:space="preserve"> z </w:t>
      </w:r>
      <w:r w:rsidRPr="00EC250C">
        <w:rPr>
          <w:rStyle w:val="Pogrubienie"/>
          <w:rFonts w:eastAsiaTheme="majorEastAsia"/>
          <w:b/>
          <w:bCs w:val="0"/>
        </w:rPr>
        <w:t>najdonioślejszych przepisów przyjętego przez Polskę Traktatu</w:t>
      </w:r>
      <w:r w:rsidR="00992FD0" w:rsidRPr="00EC250C">
        <w:rPr>
          <w:rStyle w:val="Pogrubienie"/>
          <w:rFonts w:eastAsiaTheme="majorEastAsia"/>
          <w:b/>
          <w:bCs w:val="0"/>
        </w:rPr>
        <w:t xml:space="preserve"> o </w:t>
      </w:r>
      <w:r w:rsidRPr="00EC250C">
        <w:rPr>
          <w:rStyle w:val="Pogrubienie"/>
          <w:rFonts w:eastAsiaTheme="majorEastAsia"/>
          <w:b/>
          <w:bCs w:val="0"/>
        </w:rPr>
        <w:t>funkcjonowaniu Unii Europejskiej, mówiącego m.in.</w:t>
      </w:r>
      <w:r w:rsidR="00992FD0" w:rsidRPr="00EC250C">
        <w:rPr>
          <w:rStyle w:val="Pogrubienie"/>
          <w:rFonts w:eastAsiaTheme="majorEastAsia"/>
          <w:b/>
          <w:bCs w:val="0"/>
        </w:rPr>
        <w:t xml:space="preserve"> o </w:t>
      </w:r>
      <w:r w:rsidRPr="00EC250C">
        <w:rPr>
          <w:rStyle w:val="Pogrubienie"/>
          <w:rFonts w:eastAsiaTheme="majorEastAsia"/>
          <w:b/>
          <w:bCs w:val="0"/>
        </w:rPr>
        <w:t>obowiązku zadania</w:t>
      </w:r>
      <w:r w:rsidR="00CC4D88" w:rsidRPr="00EC250C">
        <w:rPr>
          <w:rStyle w:val="Pogrubienie"/>
          <w:rFonts w:eastAsiaTheme="majorEastAsia"/>
          <w:b/>
          <w:bCs w:val="0"/>
        </w:rPr>
        <w:t xml:space="preserve"> </w:t>
      </w:r>
      <w:r w:rsidRPr="00EC250C">
        <w:rPr>
          <w:rStyle w:val="Pogrubienie"/>
          <w:rFonts w:eastAsiaTheme="majorEastAsia"/>
          <w:b/>
          <w:bCs w:val="0"/>
        </w:rPr>
        <w:t xml:space="preserve">pytania </w:t>
      </w:r>
      <w:r w:rsidR="00E45CF7" w:rsidRPr="00EC250C">
        <w:rPr>
          <w:rStyle w:val="Pogrubienie"/>
          <w:rFonts w:eastAsiaTheme="majorEastAsia"/>
          <w:b/>
          <w:bCs w:val="0"/>
        </w:rPr>
        <w:t xml:space="preserve">prejudycjalnego </w:t>
      </w:r>
      <w:r w:rsidRPr="00EC250C">
        <w:rPr>
          <w:rStyle w:val="Pogrubienie"/>
          <w:rFonts w:eastAsiaTheme="majorEastAsia"/>
          <w:b/>
          <w:bCs w:val="0"/>
        </w:rPr>
        <w:t>przez sąd krajowy</w:t>
      </w:r>
      <w:r w:rsidR="00B473F5" w:rsidRPr="00EC250C">
        <w:rPr>
          <w:rStyle w:val="Pogrubienie"/>
          <w:rFonts w:eastAsiaTheme="majorEastAsia"/>
          <w:b/>
          <w:bCs w:val="0"/>
        </w:rPr>
        <w:t>.</w:t>
      </w:r>
    </w:p>
    <w:p w14:paraId="2A34C7C4" w14:textId="77777777" w:rsidR="002A230A" w:rsidRPr="00EC250C" w:rsidRDefault="002A230A" w:rsidP="00D131FA">
      <w:pPr>
        <w:pStyle w:val="Styl1"/>
      </w:pPr>
      <w:r w:rsidRPr="00EC250C">
        <w:rPr>
          <w:rStyle w:val="Pogrubienie"/>
          <w:rFonts w:eastAsiaTheme="majorEastAsia"/>
          <w:b w:val="0"/>
          <w:bCs w:val="0"/>
        </w:rPr>
        <w:t>W postępowaniu tym RPO zgłosił zdanie przeciwne</w:t>
      </w:r>
      <w:r w:rsidRPr="00EC250C">
        <w:rPr>
          <w:rStyle w:val="Odwoanieprzypisudolnego"/>
          <w:bCs/>
          <w:iCs/>
        </w:rPr>
        <w:footnoteReference w:id="720"/>
      </w:r>
      <w:r w:rsidRPr="00EC250C">
        <w:rPr>
          <w:rStyle w:val="Pogrubienie"/>
          <w:rFonts w:eastAsiaTheme="majorEastAsia"/>
          <w:b w:val="0"/>
          <w:bCs w:val="0"/>
        </w:rPr>
        <w:t xml:space="preserve"> broniąc przepisów, na których podstawie Sąd Najwyższy zadał pytanie prejudycjalne</w:t>
      </w:r>
      <w:r w:rsidR="00992FD0" w:rsidRPr="00EC250C">
        <w:rPr>
          <w:rStyle w:val="Pogrubienie"/>
          <w:rFonts w:eastAsiaTheme="majorEastAsia"/>
          <w:b w:val="0"/>
          <w:bCs w:val="0"/>
        </w:rPr>
        <w:t xml:space="preserve"> w </w:t>
      </w:r>
      <w:r w:rsidRPr="00EC250C">
        <w:rPr>
          <w:rStyle w:val="Pogrubienie"/>
          <w:rFonts w:eastAsiaTheme="majorEastAsia"/>
          <w:b w:val="0"/>
          <w:bCs w:val="0"/>
        </w:rPr>
        <w:t>kwestii nowej ustawy</w:t>
      </w:r>
      <w:r w:rsidR="00992FD0" w:rsidRPr="00EC250C">
        <w:rPr>
          <w:rStyle w:val="Pogrubienie"/>
          <w:rFonts w:eastAsiaTheme="majorEastAsia"/>
          <w:b w:val="0"/>
          <w:bCs w:val="0"/>
        </w:rPr>
        <w:t xml:space="preserve"> o </w:t>
      </w:r>
      <w:r w:rsidRPr="00EC250C">
        <w:rPr>
          <w:rStyle w:val="Pogrubienie"/>
          <w:rFonts w:eastAsiaTheme="majorEastAsia"/>
          <w:b w:val="0"/>
          <w:bCs w:val="0"/>
        </w:rPr>
        <w:t>SN</w:t>
      </w:r>
      <w:r w:rsidRPr="00EC250C">
        <w:t xml:space="preserve">: Kompetencja każdego sądu państwa członkowskiego Unii Europejskiej do pytania prejudycjalnego nie może być wyłączona lub ograniczona przez jakiekolwiek organy czy procedury krajowe. </w:t>
      </w:r>
      <w:r w:rsidR="00135B9D" w:rsidRPr="00EC250C">
        <w:t>RPO</w:t>
      </w:r>
      <w:r w:rsidRPr="00EC250C">
        <w:t xml:space="preserve"> wniósł, aby Trybunał</w:t>
      </w:r>
      <w:r w:rsidR="00717B80" w:rsidRPr="00EC250C">
        <w:t xml:space="preserve"> Konstytucyjny</w:t>
      </w:r>
      <w:r w:rsidRPr="00EC250C">
        <w:t xml:space="preserve"> umorzył postępowanie</w:t>
      </w:r>
      <w:r w:rsidR="00992FD0" w:rsidRPr="00EC250C">
        <w:t xml:space="preserve"> z </w:t>
      </w:r>
      <w:r w:rsidRPr="00EC250C">
        <w:t>wniosku Prokuratora Generalnego</w:t>
      </w:r>
      <w:r w:rsidR="00992FD0" w:rsidRPr="00EC250C">
        <w:t xml:space="preserve"> z </w:t>
      </w:r>
      <w:r w:rsidRPr="00EC250C">
        <w:t>powodu niedopuszczalności wydania wyroku.</w:t>
      </w:r>
    </w:p>
    <w:p w14:paraId="45E06300" w14:textId="77777777" w:rsidR="002A230A" w:rsidRPr="00EC250C" w:rsidRDefault="002A230A" w:rsidP="00D131FA">
      <w:pPr>
        <w:pStyle w:val="Styl1"/>
      </w:pPr>
      <w:r w:rsidRPr="00EC250C">
        <w:t>Pytanie prejudycjalne stworzono</w:t>
      </w:r>
      <w:r w:rsidR="00992FD0" w:rsidRPr="00EC250C">
        <w:t xml:space="preserve"> w </w:t>
      </w:r>
      <w:r w:rsidRPr="00EC250C">
        <w:t>Unii Europejskiej po to, by sąd kraju członkowskiego mógł sprawdzić, czy konkretny przepis prawa krajowego nie jest sprzeczny</w:t>
      </w:r>
      <w:r w:rsidR="00992FD0" w:rsidRPr="00EC250C">
        <w:t xml:space="preserve"> z </w:t>
      </w:r>
      <w:r w:rsidRPr="00EC250C">
        <w:t>prawem obowiązującym wszystkich członków Unii.</w:t>
      </w:r>
    </w:p>
    <w:p w14:paraId="4C42C4B3" w14:textId="77777777" w:rsidR="002A230A" w:rsidRPr="00EC250C" w:rsidRDefault="002A230A" w:rsidP="00D131FA">
      <w:pPr>
        <w:pStyle w:val="Styl1"/>
      </w:pPr>
      <w:r w:rsidRPr="00EC250C">
        <w:t>2 sierpnia 2018</w:t>
      </w:r>
      <w:r w:rsidR="00C91F6E" w:rsidRPr="00EC250C">
        <w:t> r.</w:t>
      </w:r>
      <w:r w:rsidRPr="00EC250C">
        <w:t xml:space="preserve"> Sąd Najwyższy</w:t>
      </w:r>
      <w:r w:rsidR="00026572" w:rsidRPr="00EC250C">
        <w:t xml:space="preserve"> – </w:t>
      </w:r>
      <w:r w:rsidRPr="00EC250C">
        <w:t>badając jedną ze spraw</w:t>
      </w:r>
      <w:r w:rsidR="00992FD0" w:rsidRPr="00EC250C">
        <w:t xml:space="preserve"> z </w:t>
      </w:r>
      <w:r w:rsidRPr="00EC250C">
        <w:t>zakresu ubezpieczenia społecznego</w:t>
      </w:r>
      <w:r w:rsidR="00992FD0" w:rsidRPr="00EC250C">
        <w:t xml:space="preserve"> z </w:t>
      </w:r>
      <w:r w:rsidRPr="00EC250C">
        <w:t>udziałem sędziów, którzy przekroczyli 65 lat – zadał pytanie prejudycjalne TS UE</w:t>
      </w:r>
      <w:r w:rsidRPr="00EC250C">
        <w:rPr>
          <w:rStyle w:val="Odwoanieprzypisudolnego"/>
          <w:bCs/>
          <w:iCs/>
        </w:rPr>
        <w:footnoteReference w:id="721"/>
      </w:r>
      <w:r w:rsidRPr="00EC250C">
        <w:t>. Chodziło</w:t>
      </w:r>
      <w:r w:rsidR="00992FD0" w:rsidRPr="00EC250C">
        <w:t xml:space="preserve"> o </w:t>
      </w:r>
      <w:r w:rsidRPr="00EC250C">
        <w:t>to, czy</w:t>
      </w:r>
      <w:r w:rsidR="00992FD0" w:rsidRPr="00EC250C">
        <w:t xml:space="preserve"> z </w:t>
      </w:r>
      <w:r w:rsidRPr="00EC250C">
        <w:t>prawem UE zgodne są zapisy nowej ustawy</w:t>
      </w:r>
      <w:r w:rsidR="00992FD0" w:rsidRPr="00EC250C">
        <w:t xml:space="preserve"> o </w:t>
      </w:r>
      <w:r w:rsidRPr="00EC250C">
        <w:t>SN wykluczające</w:t>
      </w:r>
      <w:r w:rsidR="00992FD0" w:rsidRPr="00EC250C">
        <w:t xml:space="preserve"> z </w:t>
      </w:r>
      <w:r w:rsidRPr="00EC250C">
        <w:t>orzekania sędziów poprzez obniżenie im wieku emerytalnego (z 70 do 65 lat). Bo gdyby nie były, powstałoby ryzyko podważania wyroków SN.</w:t>
      </w:r>
    </w:p>
    <w:p w14:paraId="3880EEBB" w14:textId="77777777" w:rsidR="002A230A" w:rsidRPr="00EC250C" w:rsidRDefault="002A230A" w:rsidP="00D131FA">
      <w:pPr>
        <w:pStyle w:val="Styl1"/>
      </w:pPr>
      <w:r w:rsidRPr="00EC250C">
        <w:t>Prokurator Generalny wniósł do Trybunału Konstytucyjnego</w:t>
      </w:r>
      <w:r w:rsidR="00992FD0" w:rsidRPr="00EC250C">
        <w:t xml:space="preserve"> o </w:t>
      </w:r>
      <w:r w:rsidRPr="00EC250C">
        <w:t>stwierdzenie niekonstytucyjności rozumienia przepisów</w:t>
      </w:r>
      <w:r w:rsidR="00992FD0" w:rsidRPr="00EC250C">
        <w:t xml:space="preserve"> w </w:t>
      </w:r>
      <w:r w:rsidRPr="00EC250C">
        <w:t>taki sposób, jak zrobił to Sąd Najwyższy. Chodzi</w:t>
      </w:r>
      <w:r w:rsidR="00992FD0" w:rsidRPr="00EC250C">
        <w:t xml:space="preserve"> o </w:t>
      </w:r>
      <w:r w:rsidRPr="00EC250C">
        <w:t>art. 755 § 1 K.p.c. (rozumiany jako uprawniający sąd do zabezpieczenia) oraz art. 267 Traktatu</w:t>
      </w:r>
      <w:r w:rsidR="00992FD0" w:rsidRPr="00EC250C">
        <w:t xml:space="preserve"> o </w:t>
      </w:r>
      <w:r w:rsidRPr="00EC250C">
        <w:t>funkcjonowaniu UE</w:t>
      </w:r>
      <w:r w:rsidR="00026572" w:rsidRPr="00EC250C">
        <w:t xml:space="preserve"> – </w:t>
      </w:r>
      <w:r w:rsidRPr="00EC250C">
        <w:t>rozumiany</w:t>
      </w:r>
      <w:r w:rsidR="00992FD0" w:rsidRPr="00EC250C">
        <w:t xml:space="preserve"> w </w:t>
      </w:r>
      <w:r w:rsidRPr="00EC250C">
        <w:t>ten sposób, że uprawnia sąd krajowy do zadania pytania prejudycjalnego</w:t>
      </w:r>
      <w:r w:rsidR="00992FD0" w:rsidRPr="00EC250C">
        <w:t xml:space="preserve"> w </w:t>
      </w:r>
      <w:r w:rsidRPr="00EC250C">
        <w:t>sytuacji, gdy rozstrzygnięcie TS UE nie odnosi się do przedmiotu sprawy, którą ma rozstrzygnąć sąd kierujący pytanie.</w:t>
      </w:r>
    </w:p>
    <w:p w14:paraId="45533E65" w14:textId="77777777" w:rsidR="002A230A" w:rsidRPr="00EC250C" w:rsidRDefault="002A230A" w:rsidP="00D131FA">
      <w:pPr>
        <w:pStyle w:val="Styl1"/>
      </w:pPr>
      <w:r w:rsidRPr="00EC250C">
        <w:t>4 października 2018</w:t>
      </w:r>
      <w:r w:rsidR="00C91F6E" w:rsidRPr="00EC250C">
        <w:t> r.</w:t>
      </w:r>
      <w:r w:rsidRPr="00EC250C">
        <w:t xml:space="preserve"> Prokurator Generalny rozszerzył swój wniosek – dodał, że chodzi mu też, by TK zbadał konstytucyjność art. 267 TFUE także</w:t>
      </w:r>
      <w:r w:rsidR="00992FD0" w:rsidRPr="00EC250C">
        <w:t xml:space="preserve"> w </w:t>
      </w:r>
      <w:r w:rsidRPr="00EC250C">
        <w:t>zakresie,</w:t>
      </w:r>
      <w:r w:rsidR="00992FD0" w:rsidRPr="00EC250C">
        <w:t xml:space="preserve"> w </w:t>
      </w:r>
      <w:r w:rsidRPr="00EC250C">
        <w:t>jakim dopuszcza pytanie prejudycjalne</w:t>
      </w:r>
      <w:r w:rsidR="00992FD0" w:rsidRPr="00EC250C">
        <w:t xml:space="preserve"> o </w:t>
      </w:r>
      <w:r w:rsidRPr="00EC250C">
        <w:t>wykładnię aktów</w:t>
      </w:r>
      <w:r w:rsidR="00992FD0" w:rsidRPr="00EC250C">
        <w:t xml:space="preserve"> w </w:t>
      </w:r>
      <w:r w:rsidRPr="00EC250C">
        <w:t>sprawach dotyczących ustroju, kształtu</w:t>
      </w:r>
      <w:r w:rsidR="00992FD0" w:rsidRPr="00EC250C">
        <w:t xml:space="preserve"> i </w:t>
      </w:r>
      <w:r w:rsidRPr="00EC250C">
        <w:t>organizacji władzy sądowniczej oraz postępowania przed organami władzy sądowniczej państwa członkowskiego.</w:t>
      </w:r>
    </w:p>
    <w:p w14:paraId="258D86F4" w14:textId="77777777" w:rsidR="00C91F6E" w:rsidRPr="00EC250C" w:rsidRDefault="002A230A" w:rsidP="00D131FA">
      <w:pPr>
        <w:pStyle w:val="Styl1"/>
      </w:pPr>
      <w:r w:rsidRPr="00EC250C">
        <w:t>27 września 2018</w:t>
      </w:r>
      <w:r w:rsidR="00C91F6E" w:rsidRPr="00EC250C">
        <w:t> r.</w:t>
      </w:r>
      <w:r w:rsidRPr="00EC250C">
        <w:t xml:space="preserve"> RPO zgłosił udział</w:t>
      </w:r>
      <w:r w:rsidR="00992FD0" w:rsidRPr="00EC250C">
        <w:t xml:space="preserve"> w </w:t>
      </w:r>
      <w:r w:rsidRPr="00EC250C">
        <w:t>tym postępowaniu przed TK. Wniósł</w:t>
      </w:r>
      <w:r w:rsidR="00992FD0" w:rsidRPr="00EC250C">
        <w:t xml:space="preserve"> o </w:t>
      </w:r>
      <w:r w:rsidRPr="00EC250C">
        <w:t>jego umorzenie</w:t>
      </w:r>
      <w:r w:rsidR="00992FD0" w:rsidRPr="00EC250C">
        <w:t xml:space="preserve"> z </w:t>
      </w:r>
      <w:r w:rsidRPr="00EC250C">
        <w:t xml:space="preserve">uwagi </w:t>
      </w:r>
      <w:r w:rsidR="00E45CF7" w:rsidRPr="00EC250C">
        <w:t xml:space="preserve">na </w:t>
      </w:r>
      <w:r w:rsidRPr="00EC250C">
        <w:t>niedopuszczalność wydania wyroku.</w:t>
      </w:r>
      <w:r w:rsidR="00B473F5" w:rsidRPr="00EC250C">
        <w:t xml:space="preserve"> Sprawa nie jest rozstrzygnięta.</w:t>
      </w:r>
    </w:p>
    <w:p w14:paraId="417F0573" w14:textId="77777777" w:rsidR="00C91F6E" w:rsidRPr="00EC250C" w:rsidRDefault="002A230A" w:rsidP="00EC79EB">
      <w:pPr>
        <w:pStyle w:val="Nagwek4"/>
      </w:pPr>
      <w:bookmarkStart w:id="718" w:name="_Toc11247843"/>
      <w:r w:rsidRPr="00EC250C">
        <w:lastRenderedPageBreak/>
        <w:t>W</w:t>
      </w:r>
      <w:r w:rsidRPr="00EC250C">
        <w:rPr>
          <w:rFonts w:hint="eastAsia"/>
        </w:rPr>
        <w:t>ą</w:t>
      </w:r>
      <w:r w:rsidRPr="00EC250C">
        <w:t>tpliwo</w:t>
      </w:r>
      <w:r w:rsidRPr="00EC250C">
        <w:rPr>
          <w:rFonts w:hint="eastAsia"/>
        </w:rPr>
        <w:t>ś</w:t>
      </w:r>
      <w:r w:rsidRPr="00EC250C">
        <w:t>ci dotycz</w:t>
      </w:r>
      <w:r w:rsidRPr="00EC250C">
        <w:rPr>
          <w:rFonts w:hint="eastAsia"/>
        </w:rPr>
        <w:t>ą</w:t>
      </w:r>
      <w:r w:rsidRPr="00EC250C">
        <w:t>ce brzmienia</w:t>
      </w:r>
      <w:r w:rsidRPr="00EC250C">
        <w:rPr>
          <w:color w:val="0070C0"/>
          <w:lang w:eastAsia="zh-CN" w:bidi="hi-IN"/>
        </w:rPr>
        <w:t xml:space="preserve"> </w:t>
      </w:r>
      <w:r w:rsidRPr="00EC250C">
        <w:t>tekstu jednolitego ustawy</w:t>
      </w:r>
      <w:bookmarkEnd w:id="718"/>
      <w:r w:rsidR="00992FD0" w:rsidRPr="00EC250C">
        <w:t xml:space="preserve"> </w:t>
      </w:r>
    </w:p>
    <w:p w14:paraId="4100D934" w14:textId="77777777" w:rsidR="00B473F5" w:rsidRPr="00EC250C" w:rsidRDefault="002A230A" w:rsidP="00D131FA">
      <w:pPr>
        <w:pStyle w:val="Problemczowieka"/>
        <w:jc w:val="both"/>
      </w:pPr>
      <w:r w:rsidRPr="00EC250C">
        <w:t xml:space="preserve">Obywatel nigdzie nie znajdzie ważnego </w:t>
      </w:r>
      <w:r w:rsidR="00E45CF7" w:rsidRPr="00EC250C">
        <w:t xml:space="preserve">tekstu </w:t>
      </w:r>
      <w:r w:rsidRPr="00EC250C">
        <w:t>ustawy</w:t>
      </w:r>
      <w:r w:rsidR="00992FD0" w:rsidRPr="00EC250C">
        <w:t xml:space="preserve"> o </w:t>
      </w:r>
      <w:r w:rsidRPr="00EC250C">
        <w:t xml:space="preserve">gospodarowaniu nieruchomościami rolnymi Skarbu Państwa. </w:t>
      </w:r>
      <w:r w:rsidR="0061493F" w:rsidRPr="00EC250C">
        <w:t xml:space="preserve">Jeden przepis, </w:t>
      </w:r>
      <w:r w:rsidR="0061493F" w:rsidRPr="00EC250C">
        <w:rPr>
          <w:bCs/>
          <w:iCs/>
        </w:rPr>
        <w:t>a</w:t>
      </w:r>
      <w:r w:rsidRPr="00EC250C">
        <w:rPr>
          <w:bCs/>
          <w:iCs/>
        </w:rPr>
        <w:t>rt. 63 ust. 2</w:t>
      </w:r>
      <w:r w:rsidR="00992FD0" w:rsidRPr="00EC250C">
        <w:rPr>
          <w:bCs/>
          <w:iCs/>
        </w:rPr>
        <w:t xml:space="preserve"> i </w:t>
      </w:r>
      <w:r w:rsidRPr="00EC250C">
        <w:rPr>
          <w:bCs/>
          <w:iCs/>
        </w:rPr>
        <w:t>3 jest pominięty</w:t>
      </w:r>
      <w:r w:rsidR="00992FD0" w:rsidRPr="00EC250C">
        <w:rPr>
          <w:bCs/>
          <w:iCs/>
        </w:rPr>
        <w:t xml:space="preserve"> w </w:t>
      </w:r>
      <w:r w:rsidRPr="00EC250C">
        <w:rPr>
          <w:bCs/>
          <w:iCs/>
        </w:rPr>
        <w:t>obwieszczeniu, mimo iż jest to norma obowiązująca</w:t>
      </w:r>
      <w:r w:rsidR="00B473F5" w:rsidRPr="00EC250C">
        <w:rPr>
          <w:bCs/>
          <w:iCs/>
        </w:rPr>
        <w:t>.</w:t>
      </w:r>
    </w:p>
    <w:p w14:paraId="58998438" w14:textId="77777777" w:rsidR="0034097B" w:rsidRPr="00EC250C" w:rsidRDefault="0034097B" w:rsidP="00D131FA">
      <w:pPr>
        <w:pStyle w:val="Styl1"/>
      </w:pPr>
      <w:r w:rsidRPr="00EC250C">
        <w:t>Chodzi o obwieszczenie w Dzienniku Ustaw, w którym Marszałek Sejmu publikuje jednolity tekst ustawy w brzmieniu, w którym ona obowiązuje po wprowadzeniu różnych cząstkowych zmian. Ułatwia to posługiwanie się takim aktem prawnym. W tym przypadku sytuacja jest bardziej skomplikowana, bo art. 63 ust 2 i 3</w:t>
      </w:r>
      <w:r w:rsidR="008412B2" w:rsidRPr="00EC250C">
        <w:rPr>
          <w:rStyle w:val="Odwoanieprzypisudolnego"/>
          <w:bCs/>
          <w:iCs/>
        </w:rPr>
        <w:footnoteReference w:id="722"/>
      </w:r>
      <w:r w:rsidRPr="00EC250C">
        <w:t xml:space="preserve"> już nie obowiązuje, ale na jego podstawie podjęto decyzje, które są w mocy. </w:t>
      </w:r>
    </w:p>
    <w:p w14:paraId="14723A81" w14:textId="77777777" w:rsidR="002A230A" w:rsidRPr="00EC250C" w:rsidRDefault="0034097B" w:rsidP="00D131FA">
      <w:pPr>
        <w:pStyle w:val="Styl1"/>
        <w:rPr>
          <w:rStyle w:val="Pogrubienie"/>
          <w:b w:val="0"/>
          <w:bCs w:val="0"/>
        </w:rPr>
      </w:pPr>
      <w:r w:rsidRPr="00EC250C">
        <w:rPr>
          <w:rStyle w:val="Pogrubienie"/>
          <w:b w:val="0"/>
          <w:bCs w:val="0"/>
        </w:rPr>
        <w:t>T</w:t>
      </w:r>
      <w:r w:rsidR="002A230A" w:rsidRPr="00EC250C">
        <w:rPr>
          <w:rStyle w:val="Pogrubienie"/>
          <w:b w:val="0"/>
          <w:bCs w:val="0"/>
        </w:rPr>
        <w:t>o ten artykuł, który nie pozwala rolnikom kwestionować decyzji</w:t>
      </w:r>
      <w:r w:rsidR="00992FD0" w:rsidRPr="00EC250C">
        <w:rPr>
          <w:rStyle w:val="Pogrubienie"/>
          <w:b w:val="0"/>
          <w:bCs w:val="0"/>
        </w:rPr>
        <w:t xml:space="preserve"> o </w:t>
      </w:r>
      <w:r w:rsidR="002A230A" w:rsidRPr="00EC250C">
        <w:rPr>
          <w:rStyle w:val="Pogrubienie"/>
          <w:b w:val="0"/>
          <w:bCs w:val="0"/>
        </w:rPr>
        <w:t>przejęciu ich nieruchomości wchodzących</w:t>
      </w:r>
      <w:r w:rsidR="00992FD0" w:rsidRPr="00EC250C">
        <w:rPr>
          <w:rStyle w:val="Pogrubienie"/>
          <w:b w:val="0"/>
          <w:bCs w:val="0"/>
        </w:rPr>
        <w:t xml:space="preserve"> w </w:t>
      </w:r>
      <w:r w:rsidR="002A230A" w:rsidRPr="00EC250C">
        <w:rPr>
          <w:rStyle w:val="Pogrubienie"/>
          <w:b w:val="0"/>
          <w:bCs w:val="0"/>
        </w:rPr>
        <w:t>skład gospodarstw rolnych przez państwo na podstawie tzw. ustawy uwłaszczeniowej</w:t>
      </w:r>
      <w:r w:rsidR="00992FD0" w:rsidRPr="00EC250C">
        <w:rPr>
          <w:rStyle w:val="Pogrubienie"/>
          <w:b w:val="0"/>
          <w:bCs w:val="0"/>
        </w:rPr>
        <w:t xml:space="preserve"> z </w:t>
      </w:r>
      <w:r w:rsidR="002A230A" w:rsidRPr="00EC250C">
        <w:rPr>
          <w:rStyle w:val="Pogrubienie"/>
          <w:b w:val="0"/>
          <w:bCs w:val="0"/>
        </w:rPr>
        <w:t>1971</w:t>
      </w:r>
      <w:r w:rsidR="00C91F6E" w:rsidRPr="00EC250C">
        <w:rPr>
          <w:rStyle w:val="Pogrubienie"/>
          <w:b w:val="0"/>
          <w:bCs w:val="0"/>
        </w:rPr>
        <w:t> r.</w:t>
      </w:r>
      <w:r w:rsidR="002A230A" w:rsidRPr="00EC250C">
        <w:rPr>
          <w:rStyle w:val="Pogrubienie"/>
          <w:b w:val="0"/>
          <w:bCs w:val="0"/>
        </w:rPr>
        <w:t xml:space="preserve"> </w:t>
      </w:r>
      <w:r w:rsidRPr="00EC250C">
        <w:rPr>
          <w:rStyle w:val="Pogrubienie"/>
          <w:b w:val="0"/>
          <w:bCs w:val="0"/>
        </w:rPr>
        <w:t>Ponieważ nie ma go w obwieszczeniu</w:t>
      </w:r>
      <w:r w:rsidR="008412B2" w:rsidRPr="00EC250C">
        <w:rPr>
          <w:rStyle w:val="Odwoanieprzypisudolnego"/>
          <w:bCs/>
          <w:iCs/>
        </w:rPr>
        <w:footnoteReference w:id="723"/>
      </w:r>
      <w:r w:rsidRPr="00EC250C">
        <w:rPr>
          <w:rStyle w:val="Pogrubienie"/>
          <w:b w:val="0"/>
          <w:bCs w:val="0"/>
        </w:rPr>
        <w:t xml:space="preserve">, </w:t>
      </w:r>
      <w:r w:rsidR="00930EED" w:rsidRPr="00EC250C">
        <w:t>sytuację prawną obywateli kształtuje przepis, którego treść nie znajduje się</w:t>
      </w:r>
      <w:r w:rsidR="00992FD0" w:rsidRPr="00EC250C">
        <w:t xml:space="preserve"> w </w:t>
      </w:r>
      <w:r w:rsidR="00930EED" w:rsidRPr="00EC250C">
        <w:t>żadnym</w:t>
      </w:r>
      <w:r w:rsidR="00992FD0" w:rsidRPr="00EC250C">
        <w:t xml:space="preserve"> z </w:t>
      </w:r>
      <w:r w:rsidR="00930EED" w:rsidRPr="00EC250C">
        <w:t>obowiązujących obecnie tekstów aktów normatywnych</w:t>
      </w:r>
      <w:r w:rsidR="008412B2" w:rsidRPr="00EC250C">
        <w:t xml:space="preserve">. </w:t>
      </w:r>
      <w:r w:rsidR="008412B2" w:rsidRPr="00EC250C">
        <w:rPr>
          <w:rStyle w:val="Pogrubienie"/>
          <w:b w:val="0"/>
          <w:bCs w:val="0"/>
        </w:rPr>
        <w:t>Tymczasem artykuł ten jest wciąż stosowany przez sądy.</w:t>
      </w:r>
    </w:p>
    <w:p w14:paraId="7D3B1863" w14:textId="77777777" w:rsidR="008412B2" w:rsidRPr="00EC250C" w:rsidRDefault="008412B2" w:rsidP="00D131FA">
      <w:pPr>
        <w:pStyle w:val="Styl1"/>
        <w:rPr>
          <w:bCs/>
          <w:color w:val="044892"/>
        </w:rPr>
      </w:pPr>
      <w:r w:rsidRPr="00EC250C">
        <w:rPr>
          <w:rStyle w:val="Pogrubienie"/>
          <w:rFonts w:eastAsiaTheme="majorEastAsia"/>
          <w:b w:val="0"/>
          <w:bCs w:val="0"/>
        </w:rPr>
        <w:t>Problem rozwiązałoby opublikowanie przepisu w adnotacji do</w:t>
      </w:r>
      <w:r w:rsidRPr="00EC250C">
        <w:rPr>
          <w:rStyle w:val="Pogrubienie"/>
          <w:rFonts w:eastAsiaTheme="majorEastAsia"/>
          <w:bCs w:val="0"/>
        </w:rPr>
        <w:t xml:space="preserve"> </w:t>
      </w:r>
      <w:r w:rsidRPr="00EC250C">
        <w:rPr>
          <w:rStyle w:val="Pogrubienie"/>
          <w:rFonts w:eastAsiaTheme="majorEastAsia"/>
          <w:b w:val="0"/>
          <w:bCs w:val="0"/>
        </w:rPr>
        <w:t xml:space="preserve">obwieszczenia Marszałka Sejmu. </w:t>
      </w:r>
    </w:p>
    <w:p w14:paraId="5F2390A3" w14:textId="77777777" w:rsidR="002A230A" w:rsidRPr="00EC250C" w:rsidRDefault="002A230A" w:rsidP="00D131FA">
      <w:pPr>
        <w:pStyle w:val="ODESANIE"/>
        <w:jc w:val="both"/>
      </w:pPr>
      <w:r w:rsidRPr="00EC250C">
        <w:t xml:space="preserve">O </w:t>
      </w:r>
      <w:r w:rsidR="008412B2" w:rsidRPr="00EC250C">
        <w:t xml:space="preserve">skali </w:t>
      </w:r>
      <w:r w:rsidRPr="00EC250C">
        <w:t>problem</w:t>
      </w:r>
      <w:r w:rsidR="008412B2" w:rsidRPr="00EC250C">
        <w:t xml:space="preserve">u z samą </w:t>
      </w:r>
      <w:r w:rsidRPr="00EC250C">
        <w:t>ustawą uwłaszczeniową</w:t>
      </w:r>
      <w:r w:rsidR="00992FD0" w:rsidRPr="00EC250C">
        <w:t xml:space="preserve"> z </w:t>
      </w:r>
      <w:r w:rsidRPr="00EC250C">
        <w:t>1971</w:t>
      </w:r>
      <w:r w:rsidR="00C91F6E" w:rsidRPr="00EC250C">
        <w:t> r.</w:t>
      </w:r>
      <w:r w:rsidRPr="00EC250C">
        <w:t xml:space="preserve"> –</w:t>
      </w:r>
      <w:r w:rsidR="001874B8" w:rsidRPr="00EC250C">
        <w:t xml:space="preserve"> </w:t>
      </w:r>
      <w:r w:rsidRPr="00EC250C">
        <w:t>art. 64 Konstytucji (prawo własności)</w:t>
      </w:r>
    </w:p>
    <w:p w14:paraId="7270B506" w14:textId="77777777" w:rsidR="00C91F6E" w:rsidRPr="00EC250C" w:rsidRDefault="002725E5" w:rsidP="00EC79EB">
      <w:pPr>
        <w:pStyle w:val="Nagwek4"/>
      </w:pPr>
      <w:bookmarkStart w:id="719" w:name="_Toc11247844"/>
      <w:r w:rsidRPr="00EC250C">
        <w:t>Analogowa o</w:t>
      </w:r>
      <w:r w:rsidR="002A230A" w:rsidRPr="00EC250C">
        <w:t>bywatelska inicjatywa ustawodawcza</w:t>
      </w:r>
      <w:bookmarkEnd w:id="719"/>
    </w:p>
    <w:p w14:paraId="68DD9206" w14:textId="77777777" w:rsidR="00B473F5" w:rsidRPr="00EC250C" w:rsidRDefault="002A230A" w:rsidP="00D131FA">
      <w:pPr>
        <w:pStyle w:val="Problemczowieka"/>
        <w:jc w:val="both"/>
        <w:rPr>
          <w:bdr w:val="none" w:sz="0" w:space="0" w:color="auto" w:frame="1"/>
        </w:rPr>
      </w:pPr>
      <w:r w:rsidRPr="00EC250C">
        <w:rPr>
          <w:bdr w:val="none" w:sz="0" w:space="0" w:color="auto" w:frame="1"/>
        </w:rPr>
        <w:t>Pod</w:t>
      </w:r>
      <w:r w:rsidR="00CC4D88" w:rsidRPr="00EC250C">
        <w:rPr>
          <w:bdr w:val="none" w:sz="0" w:space="0" w:color="auto" w:frame="1"/>
        </w:rPr>
        <w:t xml:space="preserve"> </w:t>
      </w:r>
      <w:r w:rsidRPr="00EC250C">
        <w:rPr>
          <w:bdr w:val="none" w:sz="0" w:space="0" w:color="auto" w:frame="1"/>
        </w:rPr>
        <w:t>obywatelskimi projektami ustaw nie można zbierać podpisów drogą elektroniczną</w:t>
      </w:r>
      <w:r w:rsidR="00B473F5" w:rsidRPr="00EC250C">
        <w:rPr>
          <w:bdr w:val="none" w:sz="0" w:space="0" w:color="auto" w:frame="1"/>
        </w:rPr>
        <w:t>.</w:t>
      </w:r>
    </w:p>
    <w:p w14:paraId="1737F149" w14:textId="77777777" w:rsidR="002A230A" w:rsidRPr="00EC250C" w:rsidRDefault="002A230A" w:rsidP="00D131FA">
      <w:pPr>
        <w:pStyle w:val="Styl1"/>
      </w:pPr>
      <w:r w:rsidRPr="00EC250C">
        <w:rPr>
          <w:bdr w:val="none" w:sz="0" w:space="0" w:color="auto" w:frame="1"/>
        </w:rPr>
        <w:t>RPO zwrócił się</w:t>
      </w:r>
      <w:r w:rsidR="00992FD0" w:rsidRPr="00EC250C">
        <w:rPr>
          <w:bdr w:val="none" w:sz="0" w:space="0" w:color="auto" w:frame="1"/>
        </w:rPr>
        <w:t xml:space="preserve"> w </w:t>
      </w:r>
      <w:r w:rsidRPr="00EC250C">
        <w:rPr>
          <w:bdr w:val="none" w:sz="0" w:space="0" w:color="auto" w:frame="1"/>
        </w:rPr>
        <w:t>tej sprawie do władz po raz kolejny – tym razem do Ministerstwa Cyfryzacji</w:t>
      </w:r>
      <w:r w:rsidRPr="00EC250C">
        <w:rPr>
          <w:rStyle w:val="Odwoanieprzypisudolnego"/>
          <w:bCs/>
          <w:iCs/>
        </w:rPr>
        <w:footnoteReference w:id="724"/>
      </w:r>
      <w:r w:rsidRPr="00EC250C">
        <w:rPr>
          <w:bdr w:val="none" w:sz="0" w:space="0" w:color="auto" w:frame="1"/>
        </w:rPr>
        <w:t>.</w:t>
      </w:r>
      <w:r w:rsidR="008412B2" w:rsidRPr="00EC250C">
        <w:rPr>
          <w:bdr w:val="none" w:sz="0" w:space="0" w:color="auto" w:frame="1"/>
        </w:rPr>
        <w:t xml:space="preserve"> </w:t>
      </w:r>
      <w:r w:rsidRPr="00EC250C">
        <w:t>Powołał się m.in. na postulaty ekspertów, organizacji społecznych oraz na sygnały od obywateli. Zdaniem RPO potrzebę taką dostrzegają od dłuższego czasu niezależne ośrodki badawcze.</w:t>
      </w:r>
    </w:p>
    <w:p w14:paraId="58302FB8" w14:textId="77777777" w:rsidR="002A230A" w:rsidRPr="00EC250C" w:rsidRDefault="002A230A" w:rsidP="00D131FA">
      <w:pPr>
        <w:pStyle w:val="Styl1"/>
      </w:pPr>
      <w:r w:rsidRPr="00EC250C">
        <w:t>Procedura mogłaby polegać np. na przesłaniu podpisanej elektronicznie treści proponowanego aktu prawnego drogą elektroniczną do organizatora. Innym rozwiązaniem może być zaprojektowanie</w:t>
      </w:r>
      <w:r w:rsidR="00992FD0" w:rsidRPr="00EC250C">
        <w:t xml:space="preserve"> w </w:t>
      </w:r>
      <w:r w:rsidRPr="00EC250C">
        <w:t xml:space="preserve">ramach </w:t>
      </w:r>
      <w:r w:rsidR="002725E5" w:rsidRPr="00EC250C">
        <w:t>jednej</w:t>
      </w:r>
      <w:r w:rsidR="00992FD0" w:rsidRPr="00EC250C">
        <w:t xml:space="preserve"> z </w:t>
      </w:r>
      <w:r w:rsidRPr="00EC250C">
        <w:t>instytucji państwowych elektronicznej platformy bądź serwisu internetowego lub też uruchomienie usługi</w:t>
      </w:r>
      <w:r w:rsidR="00992FD0" w:rsidRPr="00EC250C">
        <w:t xml:space="preserve"> w </w:t>
      </w:r>
      <w:r w:rsidRPr="00EC250C">
        <w:t>ramach serwisu ePUAP.</w:t>
      </w:r>
    </w:p>
    <w:p w14:paraId="4BA39A82" w14:textId="77777777" w:rsidR="002A230A" w:rsidRPr="00EC250C" w:rsidRDefault="002A230A" w:rsidP="00D131FA">
      <w:pPr>
        <w:pStyle w:val="Styl1"/>
      </w:pPr>
      <w:r w:rsidRPr="00EC250C">
        <w:t>RPO argumentuje, że wykorzystywanie nowoczesnych technologii mogłoby zwiększyć udział obywateli</w:t>
      </w:r>
      <w:r w:rsidR="00992FD0" w:rsidRPr="00EC250C">
        <w:t xml:space="preserve"> w </w:t>
      </w:r>
      <w:r w:rsidRPr="00EC250C">
        <w:t>życiu publicznym.</w:t>
      </w:r>
    </w:p>
    <w:p w14:paraId="5E6B3FF2" w14:textId="77777777" w:rsidR="002A230A" w:rsidRPr="00EC250C" w:rsidRDefault="002A230A" w:rsidP="00D131FA">
      <w:pPr>
        <w:pStyle w:val="Styl1"/>
        <w:rPr>
          <w:bCs/>
          <w:iCs/>
        </w:rPr>
      </w:pPr>
      <w:r w:rsidRPr="00EC250C">
        <w:rPr>
          <w:bCs/>
          <w:iCs/>
        </w:rPr>
        <w:lastRenderedPageBreak/>
        <w:t xml:space="preserve">Minister Cyfryzacji popiera postulat RPO, jednak </w:t>
      </w:r>
      <w:r w:rsidR="00B473F5" w:rsidRPr="00EC250C">
        <w:rPr>
          <w:bCs/>
          <w:iCs/>
        </w:rPr>
        <w:t xml:space="preserve">pod </w:t>
      </w:r>
      <w:r w:rsidRPr="00EC250C">
        <w:rPr>
          <w:bCs/>
          <w:iCs/>
        </w:rPr>
        <w:t>warunkiem wypracowani</w:t>
      </w:r>
      <w:r w:rsidR="00B473F5" w:rsidRPr="00EC250C">
        <w:rPr>
          <w:bCs/>
          <w:iCs/>
        </w:rPr>
        <w:t>a</w:t>
      </w:r>
      <w:r w:rsidRPr="00EC250C">
        <w:rPr>
          <w:bCs/>
          <w:iCs/>
        </w:rPr>
        <w:t xml:space="preserve"> szerokiego konsensusu politycznego oraz rozważenia wszystkich ryzyk dotyczących m.in. zagrożeń</w:t>
      </w:r>
      <w:r w:rsidR="00992FD0" w:rsidRPr="00EC250C">
        <w:rPr>
          <w:bCs/>
          <w:iCs/>
        </w:rPr>
        <w:t xml:space="preserve"> w </w:t>
      </w:r>
      <w:r w:rsidRPr="00EC250C">
        <w:rPr>
          <w:bCs/>
          <w:iCs/>
        </w:rPr>
        <w:t>cyberprzestrzeni.</w:t>
      </w:r>
    </w:p>
    <w:p w14:paraId="53811522" w14:textId="77777777" w:rsidR="008412B2" w:rsidRPr="00EC250C" w:rsidRDefault="008412B2" w:rsidP="00D131FA">
      <w:pPr>
        <w:pStyle w:val="Styl1"/>
        <w:rPr>
          <w:bCs/>
          <w:iCs/>
        </w:rPr>
      </w:pPr>
      <w:r w:rsidRPr="00EC250C">
        <w:rPr>
          <w:bCs/>
          <w:iCs/>
        </w:rPr>
        <w:t>Warto wiedzieć, że podpis elektroniczny jest akceptowany w przypadku europejskiej inicjatywy obywatelskiej</w:t>
      </w:r>
      <w:r w:rsidRPr="00EC250C">
        <w:rPr>
          <w:rStyle w:val="Odwoanieprzypisudolnego"/>
          <w:bCs/>
          <w:iCs/>
        </w:rPr>
        <w:footnoteReference w:id="725"/>
      </w:r>
      <w:r w:rsidRPr="00EC250C">
        <w:rPr>
          <w:bCs/>
          <w:iCs/>
        </w:rPr>
        <w:t>.</w:t>
      </w:r>
    </w:p>
    <w:p w14:paraId="1A149A9C" w14:textId="77777777" w:rsidR="00C91F6E" w:rsidRPr="00EC250C" w:rsidRDefault="002A230A" w:rsidP="00EC79EB">
      <w:pPr>
        <w:pStyle w:val="Nagwek4"/>
      </w:pPr>
      <w:bookmarkStart w:id="720" w:name="_Toc11247845"/>
      <w:r w:rsidRPr="00EC250C">
        <w:t>Zasady odpowiedzialności karnej za niezawiadomienie</w:t>
      </w:r>
      <w:r w:rsidR="00992FD0" w:rsidRPr="00EC250C">
        <w:t xml:space="preserve"> o </w:t>
      </w:r>
      <w:r w:rsidRPr="00EC250C">
        <w:t>przestępstwie</w:t>
      </w:r>
      <w:bookmarkEnd w:id="720"/>
    </w:p>
    <w:p w14:paraId="237C23AC" w14:textId="77777777" w:rsidR="00B473F5" w:rsidRPr="00EC250C" w:rsidRDefault="002A230A" w:rsidP="00D131FA">
      <w:pPr>
        <w:pStyle w:val="Problemczowieka"/>
        <w:jc w:val="both"/>
      </w:pPr>
      <w:r w:rsidRPr="00EC250C">
        <w:t>Obywatelowi, który nie powiadomił organów ścigania</w:t>
      </w:r>
      <w:r w:rsidR="00992FD0" w:rsidRPr="00EC250C">
        <w:t xml:space="preserve"> o </w:t>
      </w:r>
      <w:r w:rsidRPr="00EC250C">
        <w:t xml:space="preserve">groźnym przestępstwie, grozi </w:t>
      </w:r>
      <w:r w:rsidR="00B473F5" w:rsidRPr="00EC250C">
        <w:t xml:space="preserve">surowa kara </w:t>
      </w:r>
      <w:r w:rsidRPr="00EC250C">
        <w:t xml:space="preserve">do 3 lat pozbawienia wolności, bez możliwości ukarania ograniczeniem wolności lub grzywną. </w:t>
      </w:r>
      <w:r w:rsidR="00B473F5" w:rsidRPr="00EC250C">
        <w:t>P</w:t>
      </w:r>
      <w:r w:rsidRPr="00EC250C">
        <w:t>rzepis te</w:t>
      </w:r>
      <w:r w:rsidR="00917352" w:rsidRPr="00EC250C">
        <w:t>n rodzi liczne wątpliwości.</w:t>
      </w:r>
    </w:p>
    <w:p w14:paraId="6C713E85" w14:textId="77777777" w:rsidR="002A230A" w:rsidRPr="00EC250C" w:rsidRDefault="00135B9D" w:rsidP="00D131FA">
      <w:pPr>
        <w:pStyle w:val="Styl1"/>
      </w:pPr>
      <w:r w:rsidRPr="00EC250C">
        <w:t>RPO</w:t>
      </w:r>
      <w:r w:rsidR="002A230A" w:rsidRPr="00EC250C">
        <w:t xml:space="preserve"> zwrócił się do Ministra Sprawiedliwości</w:t>
      </w:r>
      <w:r w:rsidR="00992FD0" w:rsidRPr="00EC250C">
        <w:t xml:space="preserve"> o </w:t>
      </w:r>
      <w:r w:rsidR="002A230A" w:rsidRPr="00EC250C">
        <w:t>zainicjowanie zmian prawnych. Powołał się na wnioski wpływające do Biura RPO.</w:t>
      </w:r>
    </w:p>
    <w:p w14:paraId="4F7867A1" w14:textId="77777777" w:rsidR="00C91F6E" w:rsidRPr="00EC250C" w:rsidRDefault="002A230A" w:rsidP="00D131FA">
      <w:pPr>
        <w:pStyle w:val="Styl1"/>
      </w:pPr>
      <w:r w:rsidRPr="00EC250C">
        <w:t>Artykuł 240 Kodeksu karnego</w:t>
      </w:r>
      <w:r w:rsidR="00186578" w:rsidRPr="00EC250C">
        <w:rPr>
          <w:rStyle w:val="Odwoanieprzypisudolnego"/>
        </w:rPr>
        <w:footnoteReference w:id="726"/>
      </w:r>
      <w:r w:rsidRPr="00EC250C">
        <w:t xml:space="preserve"> przewiduje karę do lat 3 pozbawienia wolności dla osoby, która</w:t>
      </w:r>
      <w:r w:rsidR="00026572" w:rsidRPr="00EC250C">
        <w:t xml:space="preserve"> – </w:t>
      </w:r>
      <w:r w:rsidRPr="00EC250C">
        <w:t>mając wiarygodną wiadomość</w:t>
      </w:r>
      <w:r w:rsidR="00992FD0" w:rsidRPr="00EC250C">
        <w:t xml:space="preserve"> o </w:t>
      </w:r>
      <w:r w:rsidRPr="00EC250C">
        <w:t>przestępstwie</w:t>
      </w:r>
      <w:r w:rsidR="00026572" w:rsidRPr="00EC250C">
        <w:t xml:space="preserve"> – </w:t>
      </w:r>
      <w:r w:rsidRPr="00EC250C">
        <w:t>nie zawiadamia</w:t>
      </w:r>
      <w:r w:rsidR="00992FD0" w:rsidRPr="00EC250C">
        <w:t xml:space="preserve"> o </w:t>
      </w:r>
      <w:r w:rsidRPr="00EC250C">
        <w:t>tym niezwłocznie organów ścigania.</w:t>
      </w:r>
    </w:p>
    <w:p w14:paraId="592C7A4E" w14:textId="77777777" w:rsidR="00863D73" w:rsidRPr="00EC250C" w:rsidRDefault="00863D73" w:rsidP="00D131FA">
      <w:pPr>
        <w:pStyle w:val="Styl1"/>
      </w:pPr>
      <w:bookmarkStart w:id="721" w:name="_Hlk8749428"/>
      <w:r w:rsidRPr="00EC250C">
        <w:t>Artykuł ten zawiera zamknięty katalog przestępstw, które trzeba zgłaszać. Są to m. in. ludobójstwo, zamach stanu, szpiegostwo, zamach na życie prezydenta RP, terroryzm, wzięcie zakładnika, pozbawienie wolności, zabójstwo, spowodowanie katastrofy, piractwo, zgwałcenie, pedofilia.</w:t>
      </w:r>
    </w:p>
    <w:bookmarkEnd w:id="721"/>
    <w:p w14:paraId="1A5CF4FB" w14:textId="77777777" w:rsidR="002A230A" w:rsidRPr="00EC250C" w:rsidRDefault="002A230A" w:rsidP="00D131FA">
      <w:pPr>
        <w:pStyle w:val="Styl1"/>
      </w:pPr>
      <w:r w:rsidRPr="00EC250C">
        <w:t>Katalog jest niespójny</w:t>
      </w:r>
      <w:r w:rsidR="00026572" w:rsidRPr="00EC250C">
        <w:t xml:space="preserve"> – </w:t>
      </w:r>
      <w:r w:rsidRPr="00EC250C">
        <w:t>choć jest</w:t>
      </w:r>
      <w:r w:rsidR="00992FD0" w:rsidRPr="00EC250C">
        <w:t xml:space="preserve"> w </w:t>
      </w:r>
      <w:r w:rsidRPr="00EC250C">
        <w:t>nim np. spowodowanie ciężkiego uszczerbku na zdrowiu to nie ma nieumyślnego spowodowani</w:t>
      </w:r>
      <w:r w:rsidR="00362B1D" w:rsidRPr="00EC250C">
        <w:t>a</w:t>
      </w:r>
      <w:r w:rsidRPr="00EC250C">
        <w:t xml:space="preserve"> śmierci. Ponadto za to przestępstwo grozi taka sama kara, jak</w:t>
      </w:r>
      <w:r w:rsidR="00992FD0" w:rsidRPr="00EC250C">
        <w:t xml:space="preserve"> i </w:t>
      </w:r>
      <w:r w:rsidRPr="00EC250C">
        <w:t>za jego niezgłoszenie. Tak samo jest</w:t>
      </w:r>
      <w:r w:rsidR="00992FD0" w:rsidRPr="00EC250C">
        <w:t xml:space="preserve"> w </w:t>
      </w:r>
      <w:r w:rsidRPr="00EC250C">
        <w:t>przypadku prezentowania treści pornograficznych osobie poniżej 15. roku życia.</w:t>
      </w:r>
    </w:p>
    <w:p w14:paraId="7B2EF136" w14:textId="77777777" w:rsidR="002A230A" w:rsidRPr="00EC250C" w:rsidRDefault="002A230A" w:rsidP="00D131FA">
      <w:pPr>
        <w:pStyle w:val="Styl1"/>
      </w:pPr>
      <w:r w:rsidRPr="00EC250C">
        <w:t>Drugi postulat RPO to zmiana zakresu kary art. 240 kk</w:t>
      </w:r>
      <w:r w:rsidR="00026572" w:rsidRPr="00EC250C">
        <w:t xml:space="preserve"> – </w:t>
      </w:r>
      <w:r w:rsidRPr="00EC250C">
        <w:t>prawo powinno pozwolić na ukaranie</w:t>
      </w:r>
      <w:r w:rsidR="00992FD0" w:rsidRPr="00EC250C">
        <w:t xml:space="preserve"> w </w:t>
      </w:r>
      <w:r w:rsidRPr="00EC250C">
        <w:t>takim przypadku karą wolnościową (grzywna, ograniczenie wolności), zwłaszcza, że za fałszywe zawiadomienie</w:t>
      </w:r>
      <w:r w:rsidR="00992FD0" w:rsidRPr="00EC250C">
        <w:t xml:space="preserve"> o </w:t>
      </w:r>
      <w:r w:rsidRPr="00EC250C">
        <w:t>przestępstwie czy też za nieprawdziwe oskarżenie innej osoby sprawca podlega dziś łagodniejszej karze</w:t>
      </w:r>
      <w:r w:rsidR="00026572" w:rsidRPr="00EC250C">
        <w:t xml:space="preserve"> – </w:t>
      </w:r>
      <w:r w:rsidRPr="00EC250C">
        <w:t>ograniczenia wolności właśnie albo do 2 lat pozbawienia wolności.</w:t>
      </w:r>
    </w:p>
    <w:p w14:paraId="52E88F04" w14:textId="77777777" w:rsidR="002A230A" w:rsidRPr="00EC250C" w:rsidRDefault="00863D73" w:rsidP="00D131FA">
      <w:pPr>
        <w:pStyle w:val="Styl1"/>
      </w:pPr>
      <w:r w:rsidRPr="00EC250C">
        <w:t>Ponadto RPO jest zdania, że za takie niepowiadomienie nie powinny być karane osoby, których tajemnice zawodowe są chronione prawem, np. lekarze, prawnicy, dziennikarze</w:t>
      </w:r>
      <w:r w:rsidR="00026572" w:rsidRPr="00EC250C">
        <w:t xml:space="preserve"> – </w:t>
      </w:r>
      <w:r w:rsidRPr="00EC250C">
        <w:t>przy zachowaniu możliwości uchylenia ich tajemnicy zawodowej przez sąd</w:t>
      </w:r>
      <w:r w:rsidR="00DE3FA7" w:rsidRPr="00EC250C">
        <w:rPr>
          <w:rStyle w:val="Odwoanieprzypisudolnego"/>
          <w:bCs/>
          <w:iCs/>
        </w:rPr>
        <w:footnoteReference w:id="727"/>
      </w:r>
      <w:r w:rsidR="002A230A" w:rsidRPr="00EC250C">
        <w:t>.</w:t>
      </w:r>
      <w:r w:rsidR="008412B2" w:rsidRPr="00EC250C">
        <w:t xml:space="preserve"> Odpowiedź MS nie nadeszła.</w:t>
      </w:r>
    </w:p>
    <w:p w14:paraId="3EC36398" w14:textId="77777777" w:rsidR="00C91F6E" w:rsidRPr="00EC250C" w:rsidRDefault="002A230A" w:rsidP="00EC79EB">
      <w:pPr>
        <w:pStyle w:val="Nagwek4"/>
      </w:pPr>
      <w:bookmarkStart w:id="722" w:name="_Toc11247846"/>
      <w:r w:rsidRPr="00EC250C">
        <w:lastRenderedPageBreak/>
        <w:t>Grzywna</w:t>
      </w:r>
      <w:r w:rsidR="00992FD0" w:rsidRPr="00EC250C">
        <w:t xml:space="preserve"> i </w:t>
      </w:r>
      <w:r w:rsidRPr="00EC250C">
        <w:t>kara administracyjna za wydobywanie kopalin ze złóż bez koncesji</w:t>
      </w:r>
      <w:bookmarkEnd w:id="722"/>
    </w:p>
    <w:p w14:paraId="68D0A192" w14:textId="77777777" w:rsidR="00B473F5" w:rsidRPr="00EC250C" w:rsidRDefault="002A230A" w:rsidP="00D131FA">
      <w:pPr>
        <w:pStyle w:val="Problemczowieka"/>
        <w:jc w:val="both"/>
        <w:rPr>
          <w:rStyle w:val="Pogrubienie"/>
          <w:rFonts w:eastAsiaTheme="majorEastAsia"/>
          <w:b/>
          <w:bCs w:val="0"/>
        </w:rPr>
      </w:pPr>
      <w:r w:rsidRPr="00EC250C">
        <w:rPr>
          <w:rStyle w:val="Pogrubienie"/>
          <w:rFonts w:eastAsiaTheme="majorEastAsia"/>
          <w:b/>
          <w:bCs w:val="0"/>
        </w:rPr>
        <w:t>Za wydobywanie piasku bez koncesji człowiek został ukarany grzywną oraz karą</w:t>
      </w:r>
      <w:r w:rsidR="00917352" w:rsidRPr="00EC250C">
        <w:rPr>
          <w:rStyle w:val="Pogrubienie"/>
          <w:rFonts w:eastAsiaTheme="majorEastAsia"/>
          <w:b/>
          <w:bCs w:val="0"/>
        </w:rPr>
        <w:t xml:space="preserve"> administracyjną</w:t>
      </w:r>
      <w:r w:rsidRPr="00EC250C">
        <w:rPr>
          <w:rStyle w:val="Pogrubienie"/>
          <w:rFonts w:eastAsiaTheme="majorEastAsia"/>
          <w:b/>
          <w:bCs w:val="0"/>
        </w:rPr>
        <w:t xml:space="preserve"> pół miliona złotych</w:t>
      </w:r>
      <w:r w:rsidR="00B473F5" w:rsidRPr="00EC250C">
        <w:rPr>
          <w:rStyle w:val="Pogrubienie"/>
          <w:rFonts w:eastAsiaTheme="majorEastAsia"/>
          <w:b/>
          <w:bCs w:val="0"/>
        </w:rPr>
        <w:t>.</w:t>
      </w:r>
    </w:p>
    <w:p w14:paraId="26D358B3" w14:textId="77777777" w:rsidR="002A230A" w:rsidRPr="00EC250C" w:rsidRDefault="002A230A" w:rsidP="00D131FA">
      <w:pPr>
        <w:pStyle w:val="Styl1"/>
      </w:pPr>
      <w:r w:rsidRPr="00EC250C">
        <w:rPr>
          <w:rStyle w:val="Pogrubienie"/>
          <w:rFonts w:eastAsiaTheme="majorEastAsia"/>
          <w:b w:val="0"/>
          <w:bCs w:val="0"/>
        </w:rPr>
        <w:t>RPO ma wątpliwości konstytucyjne co do takiego podwójnego karania</w:t>
      </w:r>
      <w:r w:rsidR="00362B1D" w:rsidRPr="00EC250C">
        <w:rPr>
          <w:rStyle w:val="Pogrubienie"/>
          <w:rFonts w:eastAsiaTheme="majorEastAsia"/>
          <w:b w:val="0"/>
          <w:bCs w:val="0"/>
        </w:rPr>
        <w:t xml:space="preserve">, które </w:t>
      </w:r>
      <w:r w:rsidRPr="00EC250C">
        <w:rPr>
          <w:rStyle w:val="Pogrubienie"/>
          <w:rFonts w:eastAsiaTheme="majorEastAsia"/>
          <w:b w:val="0"/>
          <w:bCs w:val="0"/>
        </w:rPr>
        <w:t>przewiduje prawo geologiczne</w:t>
      </w:r>
      <w:r w:rsidR="008412B2" w:rsidRPr="00EC250C">
        <w:rPr>
          <w:rStyle w:val="Odwoanieprzypisudolnego"/>
          <w:rFonts w:eastAsiaTheme="majorEastAsia"/>
        </w:rPr>
        <w:footnoteReference w:id="728"/>
      </w:r>
      <w:r w:rsidRPr="00EC250C">
        <w:rPr>
          <w:rStyle w:val="Pogrubienie"/>
          <w:rFonts w:eastAsiaTheme="majorEastAsia"/>
          <w:b w:val="0"/>
          <w:bCs w:val="0"/>
        </w:rPr>
        <w:t xml:space="preserve">. Jednak zdaniem </w:t>
      </w:r>
      <w:r w:rsidR="00DC5152" w:rsidRPr="00EC250C">
        <w:rPr>
          <w:rStyle w:val="Pogrubienie"/>
          <w:rFonts w:eastAsiaTheme="majorEastAsia"/>
          <w:b w:val="0"/>
          <w:bCs w:val="0"/>
        </w:rPr>
        <w:t>Ministra E</w:t>
      </w:r>
      <w:r w:rsidRPr="00EC250C">
        <w:rPr>
          <w:rStyle w:val="Pogrubienie"/>
          <w:rFonts w:eastAsiaTheme="majorEastAsia"/>
          <w:b w:val="0"/>
          <w:bCs w:val="0"/>
        </w:rPr>
        <w:t>nergii opłaty pełnią funkcję prewencyjną,</w:t>
      </w:r>
      <w:r w:rsidR="00992FD0" w:rsidRPr="00EC250C">
        <w:rPr>
          <w:rStyle w:val="Pogrubienie"/>
          <w:rFonts w:eastAsiaTheme="majorEastAsia"/>
          <w:b w:val="0"/>
          <w:bCs w:val="0"/>
        </w:rPr>
        <w:t xml:space="preserve"> a </w:t>
      </w:r>
      <w:r w:rsidRPr="00EC250C">
        <w:rPr>
          <w:rStyle w:val="Pogrubienie"/>
          <w:rFonts w:eastAsiaTheme="majorEastAsia"/>
          <w:b w:val="0"/>
          <w:bCs w:val="0"/>
        </w:rPr>
        <w:t>sankcje karne</w:t>
      </w:r>
      <w:r w:rsidR="00026572" w:rsidRPr="00EC250C">
        <w:rPr>
          <w:rStyle w:val="Pogrubienie"/>
          <w:rFonts w:eastAsiaTheme="majorEastAsia"/>
          <w:b w:val="0"/>
          <w:bCs w:val="0"/>
        </w:rPr>
        <w:t xml:space="preserve"> – </w:t>
      </w:r>
      <w:r w:rsidRPr="00EC250C">
        <w:rPr>
          <w:rStyle w:val="Pogrubienie"/>
          <w:rFonts w:eastAsiaTheme="majorEastAsia"/>
          <w:b w:val="0"/>
          <w:bCs w:val="0"/>
        </w:rPr>
        <w:t>represyjną.</w:t>
      </w:r>
      <w:r w:rsidR="00DE3FA7" w:rsidRPr="00EC250C">
        <w:rPr>
          <w:rStyle w:val="Pogrubienie"/>
          <w:rFonts w:eastAsiaTheme="majorEastAsia"/>
          <w:b w:val="0"/>
          <w:bCs w:val="0"/>
        </w:rPr>
        <w:t xml:space="preserve"> </w:t>
      </w:r>
      <w:r w:rsidRPr="00EC250C">
        <w:rPr>
          <w:rStyle w:val="Pogrubienie"/>
          <w:rFonts w:eastAsiaTheme="majorEastAsia"/>
          <w:b w:val="0"/>
          <w:bCs w:val="0"/>
        </w:rPr>
        <w:t>Chodzi</w:t>
      </w:r>
      <w:r w:rsidR="00992FD0" w:rsidRPr="00EC250C">
        <w:rPr>
          <w:rStyle w:val="Pogrubienie"/>
          <w:rFonts w:eastAsiaTheme="majorEastAsia"/>
          <w:b w:val="0"/>
          <w:bCs w:val="0"/>
        </w:rPr>
        <w:t xml:space="preserve"> o </w:t>
      </w:r>
      <w:r w:rsidR="0009782E" w:rsidRPr="00EC250C">
        <w:rPr>
          <w:rStyle w:val="Pogrubienie"/>
          <w:rFonts w:eastAsiaTheme="majorEastAsia"/>
          <w:b w:val="0"/>
          <w:bCs w:val="0"/>
        </w:rPr>
        <w:t xml:space="preserve">to, by nie wydobywać </w:t>
      </w:r>
      <w:r w:rsidRPr="00EC250C">
        <w:rPr>
          <w:rStyle w:val="Pogrubienie"/>
          <w:rFonts w:eastAsiaTheme="majorEastAsia"/>
          <w:b w:val="0"/>
          <w:bCs w:val="0"/>
        </w:rPr>
        <w:t xml:space="preserve">kopaliny </w:t>
      </w:r>
      <w:r w:rsidR="0009782E" w:rsidRPr="00EC250C">
        <w:rPr>
          <w:rStyle w:val="Pogrubienie"/>
          <w:rFonts w:eastAsiaTheme="majorEastAsia"/>
          <w:b w:val="0"/>
          <w:bCs w:val="0"/>
        </w:rPr>
        <w:t xml:space="preserve">bez </w:t>
      </w:r>
      <w:r w:rsidRPr="00EC250C">
        <w:rPr>
          <w:rStyle w:val="Pogrubienie"/>
          <w:rFonts w:eastAsiaTheme="majorEastAsia"/>
          <w:b w:val="0"/>
          <w:bCs w:val="0"/>
        </w:rPr>
        <w:t>koncesji.</w:t>
      </w:r>
    </w:p>
    <w:p w14:paraId="14FE8BC5" w14:textId="77777777" w:rsidR="002A230A" w:rsidRPr="00EC250C" w:rsidRDefault="002A230A" w:rsidP="00D131FA">
      <w:pPr>
        <w:pStyle w:val="Styl1"/>
      </w:pPr>
      <w:r w:rsidRPr="00EC250C">
        <w:t>Do Rzecznika Praw Obywatelskich wpłynęła skarga od przedsiębiorcy, który za wydobywanie piasku bez koncesji został ukarany grzywną</w:t>
      </w:r>
      <w:r w:rsidR="00992FD0" w:rsidRPr="00EC250C">
        <w:t xml:space="preserve"> w </w:t>
      </w:r>
      <w:r w:rsidRPr="00EC250C">
        <w:t xml:space="preserve">trybie karnym oraz 575 tys. zł administracyjnej kary pieniężnej. Wydobywanie kopalin bez wymaganej koncesji stanowi zarówno </w:t>
      </w:r>
      <w:r w:rsidR="00362B1D" w:rsidRPr="00EC250C">
        <w:t xml:space="preserve">działanie wbrew prawu </w:t>
      </w:r>
      <w:r w:rsidRPr="00EC250C">
        <w:t>administracyjn</w:t>
      </w:r>
      <w:r w:rsidR="00362B1D" w:rsidRPr="00EC250C">
        <w:t>emu</w:t>
      </w:r>
      <w:r w:rsidRPr="00EC250C">
        <w:t xml:space="preserve">, </w:t>
      </w:r>
      <w:r w:rsidR="00362B1D" w:rsidRPr="00EC250C">
        <w:t xml:space="preserve">będące </w:t>
      </w:r>
      <w:r w:rsidRPr="00EC250C">
        <w:t>podstawą ustalenia tzw. opłaty podwyższonej, jak</w:t>
      </w:r>
      <w:r w:rsidR="00992FD0" w:rsidRPr="00EC250C">
        <w:t xml:space="preserve"> i </w:t>
      </w:r>
      <w:r w:rsidRPr="00EC250C">
        <w:t>wykroczenie albo przestępstwo.</w:t>
      </w:r>
    </w:p>
    <w:p w14:paraId="0444B5A6" w14:textId="77777777" w:rsidR="00C91F6E" w:rsidRPr="00EC250C" w:rsidRDefault="002A230A" w:rsidP="00D131FA">
      <w:pPr>
        <w:pStyle w:val="Styl1"/>
      </w:pPr>
      <w:r w:rsidRPr="00EC250C">
        <w:t>Kwestię łączenia administracyjnych kar pieniężnych</w:t>
      </w:r>
      <w:r w:rsidR="00992FD0" w:rsidRPr="00EC250C">
        <w:t xml:space="preserve"> z </w:t>
      </w:r>
      <w:r w:rsidRPr="00EC250C">
        <w:t>karami kryminalnymi wiele razy oceniał Trybunał Konstytucyjny</w:t>
      </w:r>
      <w:r w:rsidR="0009782E" w:rsidRPr="00EC250C">
        <w:rPr>
          <w:rStyle w:val="Odwoanieprzypisudolnego"/>
        </w:rPr>
        <w:footnoteReference w:id="729"/>
      </w:r>
      <w:r w:rsidRPr="00EC250C">
        <w:t>. TK nie kwestionuje co do zasady takiej możliwości. Podkreśla jednak, że ustawodawca musi respektować zasadę proporcjonalności. Nie można zatem stosować sankcji oczywiście nieadekwatnych lub nieracjonalnych albo też niewspółmiernie dolegliwych.</w:t>
      </w:r>
    </w:p>
    <w:p w14:paraId="5AF953CE" w14:textId="77777777" w:rsidR="002A230A" w:rsidRPr="00EC250C" w:rsidRDefault="00135B9D" w:rsidP="00D131FA">
      <w:pPr>
        <w:pStyle w:val="Styl1"/>
      </w:pPr>
      <w:r w:rsidRPr="00EC250C">
        <w:t>RPO</w:t>
      </w:r>
      <w:r w:rsidR="002A230A" w:rsidRPr="00EC250C">
        <w:t xml:space="preserve"> nie kwestionuje zasadności wprowadzenia opłaty za wydobywanie kopalin bez koncesji, ale ma wątpliwości co do jej wysokości. Jest ona bowiem ustalana</w:t>
      </w:r>
      <w:r w:rsidR="00992FD0" w:rsidRPr="00EC250C">
        <w:t xml:space="preserve"> w </w:t>
      </w:r>
      <w:r w:rsidR="002A230A" w:rsidRPr="00EC250C">
        <w:t>wysokości czterdziestokrotnej stawki opłaty eksploatacyjnej dla danej kopaliny, pomnożonej przez ilość kopaliny wydobytej bez koncesji. Według RPO główną funkcją tej opłaty jest zatem funkcja represyjna.</w:t>
      </w:r>
    </w:p>
    <w:p w14:paraId="2A10F003" w14:textId="77777777" w:rsidR="00C91F6E" w:rsidRPr="00EC250C" w:rsidRDefault="002A230A" w:rsidP="00D131FA">
      <w:pPr>
        <w:pStyle w:val="Styl1"/>
        <w:rPr>
          <w:bCs/>
        </w:rPr>
      </w:pPr>
      <w:r w:rsidRPr="00EC250C">
        <w:t xml:space="preserve">W ocenie Ministerstwa Energii mechanizm karania nie budzi wątpliwości konstytucyjnych. </w:t>
      </w:r>
      <w:r w:rsidRPr="00EC250C">
        <w:rPr>
          <w:bCs/>
        </w:rPr>
        <w:t xml:space="preserve">Argumentacja przedstawiona przez Ministra skłoniła </w:t>
      </w:r>
      <w:r w:rsidR="00135B9D" w:rsidRPr="00EC250C">
        <w:rPr>
          <w:bCs/>
        </w:rPr>
        <w:t>RPO</w:t>
      </w:r>
      <w:r w:rsidRPr="00EC250C">
        <w:rPr>
          <w:bCs/>
        </w:rPr>
        <w:t xml:space="preserve"> do zakończenia sprawy na jej obecnym etapie.</w:t>
      </w:r>
    </w:p>
    <w:p w14:paraId="66D46553" w14:textId="77777777" w:rsidR="00C91F6E" w:rsidRPr="00EC250C" w:rsidRDefault="00CF0534" w:rsidP="00EC79EB">
      <w:pPr>
        <w:pStyle w:val="Nagwek4"/>
      </w:pPr>
      <w:bookmarkStart w:id="723" w:name="_Toc11247847"/>
      <w:r w:rsidRPr="00EC250C">
        <w:lastRenderedPageBreak/>
        <w:t>Niejasne przepisy dotyczące</w:t>
      </w:r>
      <w:r w:rsidR="002A230A" w:rsidRPr="00EC250C">
        <w:t xml:space="preserve"> </w:t>
      </w:r>
      <w:r w:rsidR="00B031F7" w:rsidRPr="00EC250C">
        <w:t>szukania cennych przedmiotów</w:t>
      </w:r>
      <w:bookmarkEnd w:id="723"/>
      <w:r w:rsidR="002A230A" w:rsidRPr="00EC250C">
        <w:t xml:space="preserve"> </w:t>
      </w:r>
    </w:p>
    <w:p w14:paraId="7D4010DE" w14:textId="77777777" w:rsidR="00B473F5" w:rsidRPr="00EC250C" w:rsidRDefault="002A230A" w:rsidP="00D131FA">
      <w:pPr>
        <w:pStyle w:val="Problemczowieka"/>
        <w:jc w:val="both"/>
      </w:pPr>
      <w:r w:rsidRPr="00EC250C">
        <w:t>Po nowelizacji przepisów poszukiwanie zabytków bez pozwolenia</w:t>
      </w:r>
      <w:r w:rsidR="00CC4D88" w:rsidRPr="00EC250C">
        <w:t xml:space="preserve"> </w:t>
      </w:r>
      <w:r w:rsidRPr="00EC250C">
        <w:t>nie jest już wykroczeniem, ale przestępstwem</w:t>
      </w:r>
      <w:r w:rsidR="00186578" w:rsidRPr="00EC250C">
        <w:t>.</w:t>
      </w:r>
      <w:r w:rsidRPr="00EC250C">
        <w:t xml:space="preserve"> </w:t>
      </w:r>
      <w:r w:rsidR="00186578" w:rsidRPr="00EC250C">
        <w:t>U</w:t>
      </w:r>
      <w:r w:rsidRPr="00EC250C">
        <w:t>stawa wprowadzająca zmianę jest jednak niekonsekwentna,</w:t>
      </w:r>
      <w:r w:rsidR="00992FD0" w:rsidRPr="00EC250C">
        <w:t xml:space="preserve"> a </w:t>
      </w:r>
      <w:r w:rsidRPr="00EC250C">
        <w:t>przez to niejasna</w:t>
      </w:r>
      <w:r w:rsidR="00B473F5" w:rsidRPr="00EC250C">
        <w:t>.</w:t>
      </w:r>
    </w:p>
    <w:p w14:paraId="1DD40E2F" w14:textId="77777777" w:rsidR="002A230A" w:rsidRPr="00EC250C" w:rsidRDefault="00135B9D" w:rsidP="00D131FA">
      <w:pPr>
        <w:pStyle w:val="Styl1"/>
      </w:pPr>
      <w:r w:rsidRPr="00EC250C">
        <w:t>RPO</w:t>
      </w:r>
      <w:r w:rsidR="002A230A" w:rsidRPr="00EC250C">
        <w:t xml:space="preserve"> zwraca</w:t>
      </w:r>
      <w:r w:rsidR="00863D73" w:rsidRPr="00EC250C">
        <w:t>ł</w:t>
      </w:r>
      <w:r w:rsidR="002A230A" w:rsidRPr="00EC250C">
        <w:t xml:space="preserve"> się</w:t>
      </w:r>
      <w:r w:rsidR="00992FD0" w:rsidRPr="00EC250C">
        <w:t xml:space="preserve"> w </w:t>
      </w:r>
      <w:r w:rsidR="002A230A" w:rsidRPr="00EC250C">
        <w:t>tej sprawie do Ministra Kultury</w:t>
      </w:r>
      <w:r w:rsidR="00992FD0" w:rsidRPr="00EC250C">
        <w:t xml:space="preserve"> i </w:t>
      </w:r>
      <w:r w:rsidR="002A230A" w:rsidRPr="00EC250C">
        <w:t>Dziedzictwa Narodowego.</w:t>
      </w:r>
    </w:p>
    <w:p w14:paraId="6B30EC86" w14:textId="77777777" w:rsidR="002A230A" w:rsidRPr="00EC250C" w:rsidRDefault="002A230A" w:rsidP="00D131FA">
      <w:pPr>
        <w:pStyle w:val="Styl1"/>
      </w:pPr>
      <w:r w:rsidRPr="00EC250C">
        <w:t>Nowelizacja ustawy</w:t>
      </w:r>
      <w:r w:rsidR="00992FD0" w:rsidRPr="00EC250C">
        <w:t xml:space="preserve"> o </w:t>
      </w:r>
      <w:r w:rsidRPr="00EC250C">
        <w:t>ochronie zabytków</w:t>
      </w:r>
      <w:r w:rsidR="00992FD0" w:rsidRPr="00EC250C">
        <w:t xml:space="preserve"> i </w:t>
      </w:r>
      <w:r w:rsidRPr="00EC250C">
        <w:t>opiece nad zabytkami, która weszła</w:t>
      </w:r>
      <w:r w:rsidR="00992FD0" w:rsidRPr="00EC250C">
        <w:t xml:space="preserve"> w </w:t>
      </w:r>
      <w:r w:rsidRPr="00EC250C">
        <w:t>życie 1 stycznia 2018</w:t>
      </w:r>
      <w:r w:rsidR="00C91F6E" w:rsidRPr="00EC250C">
        <w:t> r.</w:t>
      </w:r>
      <w:r w:rsidRPr="00EC250C">
        <w:rPr>
          <w:rStyle w:val="Odwoanieprzypisudolnego"/>
        </w:rPr>
        <w:t xml:space="preserve"> </w:t>
      </w:r>
      <w:r w:rsidRPr="00EC250C">
        <w:rPr>
          <w:rStyle w:val="Odwoanieprzypisudolnego"/>
        </w:rPr>
        <w:footnoteReference w:id="730"/>
      </w:r>
      <w:r w:rsidRPr="00EC250C">
        <w:t>, wprowadziła art. 109c, zgodnie</w:t>
      </w:r>
      <w:r w:rsidR="00992FD0" w:rsidRPr="00EC250C">
        <w:t xml:space="preserve"> z </w:t>
      </w:r>
      <w:r w:rsidRPr="00EC250C">
        <w:t>którym poszukiwanie bez pozwolenia albo wbrew jego warunkom ukrytych lub porzuconych zabytków,</w:t>
      </w:r>
      <w:r w:rsidR="00992FD0" w:rsidRPr="00EC250C">
        <w:t xml:space="preserve"> w </w:t>
      </w:r>
      <w:r w:rsidRPr="00EC250C">
        <w:t>tym przy użyciu wszelkiego rodzaju urządzeń elektronicznych</w:t>
      </w:r>
      <w:r w:rsidR="00992FD0" w:rsidRPr="00EC250C">
        <w:t xml:space="preserve"> i </w:t>
      </w:r>
      <w:r w:rsidRPr="00EC250C">
        <w:t>technicznych oraz sprzętu do nurkowania, podlega grzywnie, karze ograniczenia wolności albo pozbawienia wolności do lat 2. Oznacza to, że dotychczasowe wykroczenie zostało przekształcone</w:t>
      </w:r>
      <w:r w:rsidR="00992FD0" w:rsidRPr="00EC250C">
        <w:t xml:space="preserve"> w </w:t>
      </w:r>
      <w:r w:rsidRPr="00EC250C">
        <w:t xml:space="preserve">przestępstwo – dotyczy ono jednak dosyć niejasnych pojęć takich jak </w:t>
      </w:r>
      <w:r w:rsidR="00CF0534" w:rsidRPr="00EC250C">
        <w:t>„</w:t>
      </w:r>
      <w:r w:rsidRPr="00EC250C">
        <w:t>zabytek ruchomy”, „zabytek archeologiczny”.</w:t>
      </w:r>
    </w:p>
    <w:p w14:paraId="4EEECD82" w14:textId="77777777" w:rsidR="002A230A" w:rsidRPr="00EC250C" w:rsidRDefault="00135B9D" w:rsidP="00D131FA">
      <w:pPr>
        <w:pStyle w:val="Styl1"/>
      </w:pPr>
      <w:r w:rsidRPr="00EC250C">
        <w:t>RPO</w:t>
      </w:r>
      <w:r w:rsidR="002A230A" w:rsidRPr="00EC250C">
        <w:t xml:space="preserve"> zwrócił również uwagę na sprzeczności,</w:t>
      </w:r>
      <w:r w:rsidR="00992FD0" w:rsidRPr="00EC250C">
        <w:t xml:space="preserve"> w </w:t>
      </w:r>
      <w:r w:rsidR="002A230A" w:rsidRPr="00EC250C">
        <w:t>jakiej pozostają przepisy ustawy</w:t>
      </w:r>
      <w:r w:rsidR="00992FD0" w:rsidRPr="00EC250C">
        <w:t xml:space="preserve"> o </w:t>
      </w:r>
      <w:r w:rsidR="002A230A" w:rsidRPr="00EC250C">
        <w:t>ochronie zabytków. Zgodnie</w:t>
      </w:r>
      <w:r w:rsidR="00992FD0" w:rsidRPr="00EC250C">
        <w:t xml:space="preserve"> z </w:t>
      </w:r>
      <w:r w:rsidR="002A230A" w:rsidRPr="00EC250C">
        <w:t>art. 36 ust. 2 pozwolenia wymagają poszukiwania zabytków prowadzone przy użyciu wszelkiego rodzaju urządzeń elektronicznych</w:t>
      </w:r>
      <w:r w:rsidR="00992FD0" w:rsidRPr="00EC250C">
        <w:t xml:space="preserve"> i </w:t>
      </w:r>
      <w:r w:rsidR="002A230A" w:rsidRPr="00EC250C">
        <w:t>technicznych oraz sprzętu do nurkowania, natomiast art. 109c wyraźnie sugeruje, że odpowiedzialnością karną na podstawie tego przepisu zagrożone są także zachowania prowadzone bez użycia takiego sprzętu.</w:t>
      </w:r>
    </w:p>
    <w:p w14:paraId="3A4EE5BE" w14:textId="77777777" w:rsidR="002A230A" w:rsidRPr="00EC250C" w:rsidRDefault="002A230A" w:rsidP="00D131FA">
      <w:pPr>
        <w:pStyle w:val="Styl1"/>
      </w:pPr>
      <w:r w:rsidRPr="00EC250C">
        <w:t>Brak jest też</w:t>
      </w:r>
      <w:r w:rsidR="00992FD0" w:rsidRPr="00EC250C">
        <w:t xml:space="preserve"> w </w:t>
      </w:r>
      <w:r w:rsidRPr="00EC250C">
        <w:t>ustawie szczeg</w:t>
      </w:r>
      <w:r w:rsidRPr="00EC250C">
        <w:rPr>
          <w:rFonts w:hint="eastAsia"/>
        </w:rPr>
        <w:t>ół</w:t>
      </w:r>
      <w:r w:rsidRPr="00EC250C">
        <w:t>owych uregulowa</w:t>
      </w:r>
      <w:r w:rsidRPr="00EC250C">
        <w:rPr>
          <w:rFonts w:hint="eastAsia"/>
        </w:rPr>
        <w:t>ń</w:t>
      </w:r>
      <w:r w:rsidRPr="00EC250C">
        <w:t xml:space="preserve"> co do sposobu funkcjonowania nowoutworzonego Narodowego Funduszu Ochrony Zabytk</w:t>
      </w:r>
      <w:r w:rsidRPr="00EC250C">
        <w:rPr>
          <w:rFonts w:hint="eastAsia"/>
        </w:rPr>
        <w:t>ó</w:t>
      </w:r>
      <w:r w:rsidRPr="00EC250C">
        <w:t>w</w:t>
      </w:r>
      <w:r w:rsidR="00992FD0" w:rsidRPr="00EC250C">
        <w:t xml:space="preserve"> i </w:t>
      </w:r>
      <w:r w:rsidRPr="00EC250C">
        <w:t>wydatkowania gromadzonych</w:t>
      </w:r>
      <w:r w:rsidR="00992FD0" w:rsidRPr="00EC250C">
        <w:t xml:space="preserve"> w </w:t>
      </w:r>
      <w:r w:rsidRPr="00EC250C">
        <w:t xml:space="preserve">nim </w:t>
      </w:r>
      <w:r w:rsidRPr="00EC250C">
        <w:rPr>
          <w:rFonts w:hint="eastAsia"/>
        </w:rPr>
        <w:t>ś</w:t>
      </w:r>
      <w:r w:rsidRPr="00EC250C">
        <w:t>rodk</w:t>
      </w:r>
      <w:r w:rsidRPr="00EC250C">
        <w:rPr>
          <w:rFonts w:hint="eastAsia"/>
        </w:rPr>
        <w:t>ó</w:t>
      </w:r>
      <w:r w:rsidRPr="00EC250C">
        <w:t>w.</w:t>
      </w:r>
    </w:p>
    <w:p w14:paraId="7FD08AFA" w14:textId="77777777" w:rsidR="00863D73" w:rsidRPr="00EC250C" w:rsidRDefault="00863D73" w:rsidP="00D131FA">
      <w:pPr>
        <w:pStyle w:val="Styl1"/>
      </w:pPr>
      <w:r w:rsidRPr="00EC250C">
        <w:t>Minister nie podzielił wątpliwości RPO</w:t>
      </w:r>
      <w:r w:rsidR="00186578" w:rsidRPr="00EC250C">
        <w:t>.</w:t>
      </w:r>
      <w:r w:rsidRPr="00EC250C">
        <w:t xml:space="preserve"> </w:t>
      </w:r>
      <w:r w:rsidR="00186578" w:rsidRPr="00EC250C">
        <w:t>W</w:t>
      </w:r>
      <w:r w:rsidR="00992FD0" w:rsidRPr="00EC250C">
        <w:t> </w:t>
      </w:r>
      <w:r w:rsidRPr="00EC250C">
        <w:t>jego ocenie wystarczające ramy funkcjonowania Narodowego Funduszu Ochrony Zabytk</w:t>
      </w:r>
      <w:r w:rsidRPr="00EC250C">
        <w:rPr>
          <w:rFonts w:hint="eastAsia"/>
        </w:rPr>
        <w:t>ó</w:t>
      </w:r>
      <w:r w:rsidRPr="00EC250C">
        <w:t>w określa ustawa</w:t>
      </w:r>
      <w:r w:rsidR="00992FD0" w:rsidRPr="00EC250C">
        <w:t xml:space="preserve"> o </w:t>
      </w:r>
      <w:r w:rsidRPr="00EC250C">
        <w:t>finansach publicznych</w:t>
      </w:r>
      <w:r w:rsidR="00D7192C" w:rsidRPr="00EC250C">
        <w:t xml:space="preserve">. Dalszą korespondencję w tej sprawie RPO prowadził z MKiDN w 2019 r. W jej toku Minister przyznał, że sformułowanie „w tym” w art. </w:t>
      </w:r>
      <w:r w:rsidR="00D7192C" w:rsidRPr="00EC250C">
        <w:rPr>
          <w:rFonts w:eastAsia="SimSun"/>
        </w:rPr>
        <w:t>109c ustawy jest zbędne i prowadzi do niejasności interpretacyjnych, dlatego RPO nadal apeluje do niego o zainicjowanie zmian prawa</w:t>
      </w:r>
      <w:r w:rsidR="0009782E" w:rsidRPr="00EC250C">
        <w:rPr>
          <w:rStyle w:val="Odwoanieprzypisudolnego"/>
        </w:rPr>
        <w:t xml:space="preserve"> </w:t>
      </w:r>
      <w:r w:rsidR="0009782E" w:rsidRPr="00EC250C">
        <w:rPr>
          <w:rStyle w:val="Odwoanieprzypisudolnego"/>
        </w:rPr>
        <w:footnoteReference w:id="731"/>
      </w:r>
      <w:r w:rsidRPr="00EC250C">
        <w:t>.</w:t>
      </w:r>
    </w:p>
    <w:p w14:paraId="7E709AAB" w14:textId="77777777" w:rsidR="00D004B2" w:rsidRPr="00EC250C" w:rsidRDefault="00E41227" w:rsidP="00EC79EB">
      <w:pPr>
        <w:pStyle w:val="Nagwek4"/>
      </w:pPr>
      <w:bookmarkStart w:id="724" w:name="_Toc11247848"/>
      <w:r w:rsidRPr="00EC250C">
        <w:t xml:space="preserve">Niezamierzone </w:t>
      </w:r>
      <w:r w:rsidR="00855FEB" w:rsidRPr="00EC250C">
        <w:t xml:space="preserve">ograniczenie </w:t>
      </w:r>
      <w:r w:rsidR="00D004B2" w:rsidRPr="00EC250C">
        <w:t>działania policjantów służby kontrterrorystycznej</w:t>
      </w:r>
      <w:bookmarkEnd w:id="724"/>
    </w:p>
    <w:p w14:paraId="40EA8A15" w14:textId="77777777" w:rsidR="00D004B2" w:rsidRPr="00EC250C" w:rsidRDefault="00D004B2" w:rsidP="00D131FA">
      <w:pPr>
        <w:pStyle w:val="Problemczowieka"/>
        <w:jc w:val="both"/>
      </w:pPr>
      <w:r w:rsidRPr="00EC250C">
        <w:rPr>
          <w:bdr w:val="none" w:sz="0" w:space="0" w:color="auto" w:frame="1"/>
        </w:rPr>
        <w:t>Nowelizacja ustawy o Policji może ograniczyć działanie służb kontrterrorystycznych wyłącznie do stanu wyższej konieczności. Z konstrukcji przepisów wynika, że większe możliwości działania od policjanta-antyterrorysty ma dzielnicowy ścigający złodzieja</w:t>
      </w:r>
      <w:r w:rsidRPr="00EC250C">
        <w:rPr>
          <w:rFonts w:ascii="Open Sans Regular" w:hAnsi="Open Sans Regular"/>
        </w:rPr>
        <w:t>.</w:t>
      </w:r>
    </w:p>
    <w:p w14:paraId="00C01A21" w14:textId="77777777" w:rsidR="00D004B2" w:rsidRPr="00EC250C" w:rsidRDefault="00D004B2" w:rsidP="00D131FA">
      <w:pPr>
        <w:pStyle w:val="Styl1"/>
      </w:pPr>
      <w:r w:rsidRPr="00EC250C">
        <w:rPr>
          <w:bCs/>
          <w:iCs/>
          <w:lang w:eastAsia="en-US"/>
        </w:rPr>
        <w:lastRenderedPageBreak/>
        <w:t xml:space="preserve">Nowelizacja ustawy o Policji stanowi, że kontrterrorysta może odstąpić </w:t>
      </w:r>
      <w:r w:rsidRPr="00EC250C">
        <w:t xml:space="preserve">od przestrzegania przepisów i zasad bezpieczeństwa i higieny służby </w:t>
      </w:r>
      <w:r w:rsidRPr="00EC250C">
        <w:rPr>
          <w:bCs/>
          <w:iCs/>
          <w:lang w:eastAsia="en-US"/>
        </w:rPr>
        <w:t>w stanie wyższej konieczności,</w:t>
      </w:r>
      <w:r w:rsidR="00E41227" w:rsidRPr="00EC250C">
        <w:rPr>
          <w:bCs/>
          <w:iCs/>
          <w:lang w:eastAsia="en-US"/>
        </w:rPr>
        <w:t xml:space="preserve"> </w:t>
      </w:r>
      <w:r w:rsidRPr="00EC250C">
        <w:t xml:space="preserve">jeżeli w czasie zadań służbowych, stwierdzi, że istnieje prawdopodobieństwo uratowania życia ludzkiego lub usunięcia zagrożenia dla bezpieczeństwa państwa. </w:t>
      </w:r>
    </w:p>
    <w:p w14:paraId="64B716F0" w14:textId="77777777" w:rsidR="00D004B2" w:rsidRPr="00EC250C" w:rsidRDefault="00D004B2" w:rsidP="00D131FA">
      <w:pPr>
        <w:pStyle w:val="Styl1"/>
      </w:pPr>
      <w:r w:rsidRPr="00EC250C">
        <w:t>Podobne rozwiązanie już funkcjonuje w ustawach o Agencji Bezpieczeństwa Wewnętrznego, Agencji Wywiadu, Centralnym Biurze Antykorupcyjnym, Służbie Kontrwywiadu Wojskowego oraz Służbie Wywiadu Wojskowego.</w:t>
      </w:r>
    </w:p>
    <w:p w14:paraId="5EF7E2CF" w14:textId="77777777" w:rsidR="00D004B2" w:rsidRPr="00EC250C" w:rsidRDefault="00D004B2" w:rsidP="00D131FA">
      <w:pPr>
        <w:pStyle w:val="Styl1"/>
      </w:pPr>
      <w:r w:rsidRPr="00EC250C">
        <w:t>Problem w tym, że generalne przepisy ustawy o Policji</w:t>
      </w:r>
      <w:r w:rsidRPr="00EC250C">
        <w:rPr>
          <w:rStyle w:val="Odwoanieprzypisudolnego"/>
        </w:rPr>
        <w:footnoteReference w:id="732"/>
      </w:r>
      <w:r w:rsidRPr="00EC250C">
        <w:t xml:space="preserve"> dają policjantom prawo do takiego działanie nie tylko w „sytuacjach nadzwyczajnych”, ale zawsze, gdy wykonują zadania dotyczące:</w:t>
      </w:r>
    </w:p>
    <w:p w14:paraId="66C4FA89" w14:textId="77777777" w:rsidR="00D004B2" w:rsidRPr="00EC250C" w:rsidRDefault="00D004B2" w:rsidP="006C70B7">
      <w:pPr>
        <w:pStyle w:val="Styl1"/>
        <w:numPr>
          <w:ilvl w:val="0"/>
          <w:numId w:val="103"/>
        </w:numPr>
      </w:pPr>
      <w:r w:rsidRPr="00EC250C">
        <w:t>ochrony życia i zdrowia ludzi oraz mienia przed bezprawnymi zamachami naruszającymi te dobra;</w:t>
      </w:r>
    </w:p>
    <w:p w14:paraId="2DCC43B8" w14:textId="77777777" w:rsidR="00D004B2" w:rsidRPr="00EC250C" w:rsidRDefault="00D004B2" w:rsidP="006C70B7">
      <w:pPr>
        <w:pStyle w:val="Styl1"/>
        <w:numPr>
          <w:ilvl w:val="0"/>
          <w:numId w:val="103"/>
        </w:numPr>
      </w:pPr>
      <w:r w:rsidRPr="00EC250C">
        <w:t>ochrony bezpieczeństwa i porządku publicznego, w tym zapewnienie spokoju w miejscach publicznych oraz w środkach publicznego transportu i komunikacji publicznej, w ruchu drogowym i na wodach przeznaczonych do powszechnego korzystania;</w:t>
      </w:r>
    </w:p>
    <w:p w14:paraId="104EBD8B" w14:textId="77777777" w:rsidR="00D004B2" w:rsidRPr="00EC250C" w:rsidRDefault="00D004B2" w:rsidP="006C70B7">
      <w:pPr>
        <w:pStyle w:val="Styl1"/>
        <w:numPr>
          <w:ilvl w:val="0"/>
          <w:numId w:val="103"/>
        </w:numPr>
      </w:pPr>
      <w:r w:rsidRPr="00EC250C">
        <w:t>inicjowania i organizowania działań mających na celu zapobieganie popełnianiu przestępstw i wykroczeń oraz zjawiskom kryminogennym i współdziałanie w tym zakresie z organami państwowymi, samorządowymi i organizacjami społecznymi;</w:t>
      </w:r>
    </w:p>
    <w:p w14:paraId="37CA2CDA" w14:textId="77777777" w:rsidR="00D004B2" w:rsidRPr="00EC250C" w:rsidRDefault="00D004B2" w:rsidP="006C70B7">
      <w:pPr>
        <w:pStyle w:val="Styl1"/>
        <w:numPr>
          <w:ilvl w:val="0"/>
          <w:numId w:val="103"/>
        </w:numPr>
      </w:pPr>
      <w:r w:rsidRPr="00EC250C">
        <w:t>prowadzenia działań kontrterrorystycznych w rozumieniu ustawy z 10 czerwca 2016 r. o działaniach antyterrorystycznych;</w:t>
      </w:r>
    </w:p>
    <w:p w14:paraId="6227793D" w14:textId="77777777" w:rsidR="00D004B2" w:rsidRPr="00EC250C" w:rsidRDefault="00D004B2" w:rsidP="006C70B7">
      <w:pPr>
        <w:pStyle w:val="Styl1"/>
        <w:numPr>
          <w:ilvl w:val="0"/>
          <w:numId w:val="103"/>
        </w:numPr>
      </w:pPr>
      <w:r w:rsidRPr="00EC250C">
        <w:t>wykrywania przestępstw i wykroczeń oraz ściganie ich sprawców;</w:t>
      </w:r>
    </w:p>
    <w:p w14:paraId="1F631565" w14:textId="77777777" w:rsidR="00D004B2" w:rsidRPr="00EC250C" w:rsidRDefault="00D004B2" w:rsidP="006C70B7">
      <w:pPr>
        <w:pStyle w:val="Styl1"/>
        <w:numPr>
          <w:ilvl w:val="0"/>
          <w:numId w:val="103"/>
        </w:numPr>
      </w:pPr>
      <w:r w:rsidRPr="00EC250C">
        <w:t>kontroli przestrzegania przepisów porządkowych i administracyjnych związanych z działalnością publiczną lub obowiązujących w miejscach publicznych.</w:t>
      </w:r>
    </w:p>
    <w:p w14:paraId="37387D50" w14:textId="77777777" w:rsidR="00E41227" w:rsidRPr="00EC250C" w:rsidRDefault="00D004B2" w:rsidP="00D131FA">
      <w:pPr>
        <w:pStyle w:val="Styl1"/>
        <w:rPr>
          <w:bCs/>
          <w:iCs/>
          <w:lang w:eastAsia="en-US"/>
        </w:rPr>
      </w:pPr>
      <w:r w:rsidRPr="00EC250C">
        <w:t>Inaczej mówiąc, już na gruncie obowiązującej ustawy o Policji, przepisy BHP nie są stosowane do policjanta realizującego zadania kontrterrorystyczne.</w:t>
      </w:r>
      <w:r w:rsidR="00E41227" w:rsidRPr="00EC250C">
        <w:t xml:space="preserve"> </w:t>
      </w:r>
      <w:r w:rsidR="00E41227" w:rsidRPr="00EC250C">
        <w:rPr>
          <w:bCs/>
          <w:iCs/>
          <w:lang w:eastAsia="en-US"/>
        </w:rPr>
        <w:t>RPO przekazał tę uwagę</w:t>
      </w:r>
      <w:r w:rsidR="00E41227" w:rsidRPr="00EC250C">
        <w:rPr>
          <w:bCs/>
          <w:iCs/>
          <w:vertAlign w:val="superscript"/>
          <w:lang w:eastAsia="en-US"/>
        </w:rPr>
        <w:footnoteReference w:id="733"/>
      </w:r>
      <w:r w:rsidR="00E41227" w:rsidRPr="00EC250C">
        <w:rPr>
          <w:bCs/>
          <w:iCs/>
          <w:lang w:eastAsia="en-US"/>
        </w:rPr>
        <w:t xml:space="preserve"> Przewodniczącemu Komisji Administracji i Spraw Wewnętrznych Sejmu.</w:t>
      </w:r>
    </w:p>
    <w:p w14:paraId="0D2C33B1" w14:textId="77777777" w:rsidR="00D004B2" w:rsidRPr="00EC250C" w:rsidRDefault="00D004B2" w:rsidP="00D131FA">
      <w:pPr>
        <w:pStyle w:val="Styl1"/>
        <w:rPr>
          <w:bCs/>
          <w:iCs/>
          <w:lang w:eastAsia="en-US"/>
        </w:rPr>
      </w:pPr>
      <w:r w:rsidRPr="00EC250C">
        <w:rPr>
          <w:bCs/>
          <w:iCs/>
          <w:lang w:eastAsia="en-US"/>
        </w:rPr>
        <w:t>Ustawa została uchwalona w niezmienionym kształcie</w:t>
      </w:r>
      <w:r w:rsidRPr="00EC250C">
        <w:rPr>
          <w:rStyle w:val="Odwoanieprzypisudolnego"/>
          <w:bCs/>
          <w:iCs/>
          <w:lang w:eastAsia="en-US"/>
        </w:rPr>
        <w:footnoteReference w:id="734"/>
      </w:r>
      <w:r w:rsidRPr="00EC250C">
        <w:rPr>
          <w:bCs/>
          <w:iCs/>
          <w:lang w:eastAsia="en-US"/>
        </w:rPr>
        <w:t>.</w:t>
      </w:r>
    </w:p>
    <w:p w14:paraId="73C7C7AB" w14:textId="77777777" w:rsidR="00C91F6E" w:rsidRPr="00EC250C" w:rsidRDefault="00DD17D6" w:rsidP="00EC250C">
      <w:pPr>
        <w:pStyle w:val="Nagwek5"/>
      </w:pPr>
      <w:bookmarkStart w:id="725" w:name="_Toc6257791"/>
      <w:bookmarkStart w:id="726" w:name="_Toc6257969"/>
      <w:r w:rsidRPr="00EC250C">
        <w:t>Przewlekłość postępowań</w:t>
      </w:r>
      <w:r w:rsidR="00992FD0" w:rsidRPr="00EC250C">
        <w:t xml:space="preserve"> w </w:t>
      </w:r>
      <w:r w:rsidRPr="00EC250C">
        <w:t>sprawach legalizacji pobytu cudzoziemców</w:t>
      </w:r>
      <w:bookmarkEnd w:id="725"/>
    </w:p>
    <w:p w14:paraId="5243D811" w14:textId="77777777" w:rsidR="00B473F5" w:rsidRPr="00EC250C" w:rsidRDefault="00DD17D6" w:rsidP="00D131FA">
      <w:pPr>
        <w:pStyle w:val="Problemczowieka"/>
        <w:jc w:val="both"/>
        <w:rPr>
          <w:bdr w:val="none" w:sz="0" w:space="0" w:color="auto" w:frame="1"/>
        </w:rPr>
      </w:pPr>
      <w:r w:rsidRPr="00EC250C">
        <w:rPr>
          <w:bdr w:val="none" w:sz="0" w:space="0" w:color="auto" w:frame="1"/>
        </w:rPr>
        <w:t>Na zezwolenie na pobyt</w:t>
      </w:r>
      <w:r w:rsidR="00992FD0" w:rsidRPr="00EC250C">
        <w:rPr>
          <w:bdr w:val="none" w:sz="0" w:space="0" w:color="auto" w:frame="1"/>
        </w:rPr>
        <w:t xml:space="preserve"> i </w:t>
      </w:r>
      <w:r w:rsidRPr="00EC250C">
        <w:rPr>
          <w:bdr w:val="none" w:sz="0" w:space="0" w:color="auto" w:frame="1"/>
        </w:rPr>
        <w:t>pracę cudzoziemiec może czekać od 53 dni (na Podlasiu) do 254 dni (na Pomorzu),</w:t>
      </w:r>
      <w:r w:rsidR="00992FD0" w:rsidRPr="00EC250C">
        <w:rPr>
          <w:bdr w:val="none" w:sz="0" w:space="0" w:color="auto" w:frame="1"/>
        </w:rPr>
        <w:t xml:space="preserve"> a </w:t>
      </w:r>
      <w:r w:rsidRPr="00EC250C">
        <w:rPr>
          <w:bdr w:val="none" w:sz="0" w:space="0" w:color="auto" w:frame="1"/>
        </w:rPr>
        <w:t>na działalność gospodarczą – od 59 dni (na Warmii</w:t>
      </w:r>
      <w:r w:rsidR="00992FD0" w:rsidRPr="00EC250C">
        <w:rPr>
          <w:bdr w:val="none" w:sz="0" w:space="0" w:color="auto" w:frame="1"/>
        </w:rPr>
        <w:t xml:space="preserve"> i </w:t>
      </w:r>
      <w:r w:rsidRPr="00EC250C">
        <w:rPr>
          <w:bdr w:val="none" w:sz="0" w:space="0" w:color="auto" w:frame="1"/>
        </w:rPr>
        <w:t>Mazurach) do 344 dni (w Wielkopolsce)</w:t>
      </w:r>
      <w:r w:rsidR="00B473F5" w:rsidRPr="00EC250C">
        <w:rPr>
          <w:bdr w:val="none" w:sz="0" w:space="0" w:color="auto" w:frame="1"/>
        </w:rPr>
        <w:t>.</w:t>
      </w:r>
    </w:p>
    <w:p w14:paraId="0FC4E237" w14:textId="77777777" w:rsidR="00C91F6E" w:rsidRPr="00EC250C" w:rsidRDefault="00DD17D6" w:rsidP="00D131FA">
      <w:pPr>
        <w:pStyle w:val="Styl1"/>
      </w:pPr>
      <w:r w:rsidRPr="00EC250C">
        <w:lastRenderedPageBreak/>
        <w:t>Cudzoziemiec, który przyjeżdża do Polski na podstawie wizy, ma określony ustawowo czas złożenie wniosku u wojewody</w:t>
      </w:r>
      <w:r w:rsidR="00992FD0" w:rsidRPr="00EC250C">
        <w:t xml:space="preserve"> o </w:t>
      </w:r>
      <w:r w:rsidRPr="00EC250C">
        <w:t>zgodę na pobyt (miesiąc do 45 dni</w:t>
      </w:r>
      <w:r w:rsidR="00026572" w:rsidRPr="00EC250C">
        <w:t xml:space="preserve"> – </w:t>
      </w:r>
      <w:r w:rsidR="00992FD0" w:rsidRPr="00EC250C">
        <w:t>w </w:t>
      </w:r>
      <w:r w:rsidRPr="00EC250C">
        <w:t>zależności od tego,</w:t>
      </w:r>
      <w:r w:rsidR="00992FD0" w:rsidRPr="00EC250C">
        <w:t xml:space="preserve"> o </w:t>
      </w:r>
      <w:r w:rsidRPr="00EC250C">
        <w:t>jaką zgodę się ubiega). Problem</w:t>
      </w:r>
      <w:r w:rsidR="00992FD0" w:rsidRPr="00EC250C">
        <w:t xml:space="preserve"> w </w:t>
      </w:r>
      <w:r w:rsidRPr="00EC250C">
        <w:t>tym, że wniosek trzeba złożyć osobiście, pokazać dokumenty podróży</w:t>
      </w:r>
      <w:r w:rsidR="00992FD0" w:rsidRPr="00EC250C">
        <w:t xml:space="preserve"> i </w:t>
      </w:r>
      <w:r w:rsidRPr="00EC250C">
        <w:t>złożyć odciski palców. Jest to czynność na tyle pracochłonna, że same kolejki</w:t>
      </w:r>
      <w:r w:rsidR="00992FD0" w:rsidRPr="00EC250C">
        <w:t xml:space="preserve"> w </w:t>
      </w:r>
      <w:r w:rsidRPr="00EC250C">
        <w:t>urzędach bywają dłuższe niż przewidziany na złożenie dokumentów czas.</w:t>
      </w:r>
    </w:p>
    <w:p w14:paraId="0F2709E3" w14:textId="77777777" w:rsidR="00DD17D6" w:rsidRPr="00EC250C" w:rsidRDefault="00DD17D6" w:rsidP="00D131FA">
      <w:pPr>
        <w:pStyle w:val="Styl1"/>
      </w:pPr>
      <w:r w:rsidRPr="00EC250C">
        <w:t>Skargi do RPO na przewlekłość tych postępowań zgłaszali zarówno cudzoziemcy jak</w:t>
      </w:r>
      <w:r w:rsidR="00992FD0" w:rsidRPr="00EC250C">
        <w:t xml:space="preserve"> i </w:t>
      </w:r>
      <w:r w:rsidRPr="00EC250C">
        <w:t>ich pracodawcy: nawet kilkanaście miesięcy trwało oczekiwanie na wydanie zezwolenia na pobyt czasowy, pobyt stały lub na pobyt</w:t>
      </w:r>
      <w:r w:rsidR="00992FD0" w:rsidRPr="00EC250C">
        <w:t xml:space="preserve"> i </w:t>
      </w:r>
      <w:r w:rsidRPr="00EC250C">
        <w:t>pracę.</w:t>
      </w:r>
      <w:r w:rsidR="00D7192C" w:rsidRPr="00EC250C">
        <w:rPr>
          <w:rStyle w:val="Odwoanieprzypisudolnego"/>
        </w:rPr>
        <w:footnoteReference w:id="735"/>
      </w:r>
      <w:r w:rsidR="0009782E" w:rsidRPr="00EC250C">
        <w:t xml:space="preserve"> </w:t>
      </w:r>
    </w:p>
    <w:p w14:paraId="67B2FBE4" w14:textId="77777777" w:rsidR="00C91F6E" w:rsidRPr="00EC250C" w:rsidRDefault="00DD17D6" w:rsidP="00D131FA">
      <w:pPr>
        <w:pStyle w:val="Styl1"/>
        <w:rPr>
          <w:bdr w:val="none" w:sz="0" w:space="0" w:color="auto" w:frame="1"/>
        </w:rPr>
      </w:pPr>
      <w:r w:rsidRPr="00EC250C">
        <w:t>Alarmowane</w:t>
      </w:r>
      <w:r w:rsidR="00992FD0" w:rsidRPr="00EC250C">
        <w:t xml:space="preserve"> w </w:t>
      </w:r>
      <w:r w:rsidRPr="00EC250C">
        <w:t xml:space="preserve">tej sprawie </w:t>
      </w:r>
      <w:r w:rsidRPr="00EC250C">
        <w:rPr>
          <w:bdr w:val="none" w:sz="0" w:space="0" w:color="auto" w:frame="1"/>
        </w:rPr>
        <w:t>MSWiA poinformowało, że przeznacza 300 nowych etatów</w:t>
      </w:r>
      <w:r w:rsidR="00992FD0" w:rsidRPr="00EC250C">
        <w:rPr>
          <w:bdr w:val="none" w:sz="0" w:space="0" w:color="auto" w:frame="1"/>
        </w:rPr>
        <w:t xml:space="preserve"> w </w:t>
      </w:r>
      <w:r w:rsidRPr="00EC250C">
        <w:rPr>
          <w:bdr w:val="none" w:sz="0" w:space="0" w:color="auto" w:frame="1"/>
        </w:rPr>
        <w:t>urzędach wojewódzkich na obsługę wniosków cudzoziemców,</w:t>
      </w:r>
      <w:r w:rsidR="00992FD0" w:rsidRPr="00EC250C">
        <w:rPr>
          <w:bdr w:val="none" w:sz="0" w:space="0" w:color="auto" w:frame="1"/>
        </w:rPr>
        <w:t xml:space="preserve"> a </w:t>
      </w:r>
      <w:r w:rsidRPr="00EC250C">
        <w:rPr>
          <w:bdr w:val="none" w:sz="0" w:space="0" w:color="auto" w:frame="1"/>
        </w:rPr>
        <w:t xml:space="preserve">Urząd ds. Cudzoziemców zajął się informatyzacją procesu (by danych nie wpisywano ręcznie). </w:t>
      </w:r>
      <w:r w:rsidR="00DC5152" w:rsidRPr="00EC250C">
        <w:rPr>
          <w:bdr w:val="none" w:sz="0" w:space="0" w:color="auto" w:frame="1"/>
        </w:rPr>
        <w:t>C</w:t>
      </w:r>
      <w:r w:rsidRPr="00EC250C">
        <w:rPr>
          <w:bdr w:val="none" w:sz="0" w:space="0" w:color="auto" w:frame="1"/>
        </w:rPr>
        <w:t>hoć wnioski</w:t>
      </w:r>
      <w:r w:rsidR="00992FD0" w:rsidRPr="00EC250C">
        <w:rPr>
          <w:bdr w:val="none" w:sz="0" w:space="0" w:color="auto" w:frame="1"/>
        </w:rPr>
        <w:t xml:space="preserve"> o </w:t>
      </w:r>
      <w:r w:rsidRPr="00EC250C">
        <w:rPr>
          <w:bdr w:val="none" w:sz="0" w:space="0" w:color="auto" w:frame="1"/>
        </w:rPr>
        <w:t>zgodę na pobyt trzeba złożyć osobiście,</w:t>
      </w:r>
      <w:r w:rsidR="00992FD0" w:rsidRPr="00EC250C">
        <w:rPr>
          <w:bdr w:val="none" w:sz="0" w:space="0" w:color="auto" w:frame="1"/>
        </w:rPr>
        <w:t xml:space="preserve"> a </w:t>
      </w:r>
      <w:r w:rsidRPr="00EC250C">
        <w:rPr>
          <w:bdr w:val="none" w:sz="0" w:space="0" w:color="auto" w:frame="1"/>
        </w:rPr>
        <w:t>kolejka zajmuje więcej czasu niż przewidywany przez ustawę, to terminy można zachować, wysyłając wniosek wysłać pocztą,</w:t>
      </w:r>
      <w:r w:rsidR="00992FD0" w:rsidRPr="00EC250C">
        <w:rPr>
          <w:bdr w:val="none" w:sz="0" w:space="0" w:color="auto" w:frame="1"/>
        </w:rPr>
        <w:t xml:space="preserve"> a </w:t>
      </w:r>
      <w:r w:rsidRPr="00EC250C">
        <w:rPr>
          <w:bdr w:val="none" w:sz="0" w:space="0" w:color="auto" w:frame="1"/>
        </w:rPr>
        <w:t>dopiero potem stawić się na wezwanie</w:t>
      </w:r>
      <w:r w:rsidR="00992FD0" w:rsidRPr="00EC250C">
        <w:rPr>
          <w:bdr w:val="none" w:sz="0" w:space="0" w:color="auto" w:frame="1"/>
        </w:rPr>
        <w:t xml:space="preserve"> w </w:t>
      </w:r>
      <w:r w:rsidRPr="00EC250C">
        <w:rPr>
          <w:bdr w:val="none" w:sz="0" w:space="0" w:color="auto" w:frame="1"/>
        </w:rPr>
        <w:t>celu uzupełnienia danych</w:t>
      </w:r>
      <w:r w:rsidRPr="00EC250C">
        <w:rPr>
          <w:rStyle w:val="Odwoanieprzypisudolnego"/>
          <w:iCs/>
        </w:rPr>
        <w:footnoteReference w:id="736"/>
      </w:r>
      <w:r w:rsidRPr="00EC250C">
        <w:rPr>
          <w:bdr w:val="none" w:sz="0" w:space="0" w:color="auto" w:frame="1"/>
        </w:rPr>
        <w:t>.</w:t>
      </w:r>
    </w:p>
    <w:p w14:paraId="58763D08" w14:textId="77777777" w:rsidR="00C91F6E" w:rsidRPr="00EC250C" w:rsidRDefault="00D7192C" w:rsidP="00EC79EB">
      <w:pPr>
        <w:pStyle w:val="Nagwek4"/>
      </w:pPr>
      <w:bookmarkStart w:id="727" w:name="_Toc11247849"/>
      <w:r w:rsidRPr="00EC250C">
        <w:t>Inne problemy z przepisami, które mogą podważać zaufanie obywatela do państwa</w:t>
      </w:r>
      <w:bookmarkEnd w:id="726"/>
      <w:bookmarkEnd w:id="727"/>
    </w:p>
    <w:p w14:paraId="4B1048A0" w14:textId="77777777" w:rsidR="002A230A" w:rsidRPr="00EC250C" w:rsidRDefault="002A230A" w:rsidP="00D131FA">
      <w:pPr>
        <w:pStyle w:val="ODESANIE"/>
        <w:jc w:val="both"/>
      </w:pPr>
      <w:r w:rsidRPr="00EC250C">
        <w:t>Problem</w:t>
      </w:r>
      <w:r w:rsidR="00D7192C" w:rsidRPr="00EC250C">
        <w:t xml:space="preserve"> polegający na tym, że </w:t>
      </w:r>
      <w:r w:rsidR="00D7192C" w:rsidRPr="00EC250C">
        <w:rPr>
          <w:rStyle w:val="Pogrubienie"/>
          <w:b w:val="0"/>
          <w:bCs w:val="0"/>
        </w:rPr>
        <w:t xml:space="preserve">można dziś – w ramach reprywatyzacji – stracić prawo do nieruchomości, którą się dysponuje od lat, opisany jest w kontekście </w:t>
      </w:r>
      <w:r w:rsidRPr="00EC250C">
        <w:t>art. 64 Konstytucji</w:t>
      </w:r>
      <w:r w:rsidR="00992FD0" w:rsidRPr="00EC250C">
        <w:t xml:space="preserve"> i </w:t>
      </w:r>
      <w:r w:rsidRPr="00EC250C">
        <w:t>problemach</w:t>
      </w:r>
      <w:r w:rsidR="00992FD0" w:rsidRPr="00EC250C">
        <w:t xml:space="preserve"> z </w:t>
      </w:r>
      <w:r w:rsidRPr="00EC250C">
        <w:t>reprywatyzacją</w:t>
      </w:r>
    </w:p>
    <w:p w14:paraId="4ABF1178" w14:textId="77777777" w:rsidR="003208EA" w:rsidRPr="00EC250C" w:rsidRDefault="00D7192C" w:rsidP="00D131FA">
      <w:pPr>
        <w:pStyle w:val="ODESANIE"/>
        <w:jc w:val="both"/>
      </w:pPr>
      <w:r w:rsidRPr="00EC250C">
        <w:t>Problem z przepisami, na podstawie których fiskus może wystąpić z powództwem cywilnym przeciwko osobie, która np. otrzymała nieruchomość w drodze darowizny od podatnika, mającego zaległości podatkowe</w:t>
      </w:r>
      <w:r w:rsidR="009217EA" w:rsidRPr="00EC250C">
        <w:t xml:space="preserve"> – opisany jest w kontekście </w:t>
      </w:r>
      <w:r w:rsidR="009F02EC" w:rsidRPr="00EC250C">
        <w:t>art. 217 Konstytucji</w:t>
      </w:r>
    </w:p>
    <w:p w14:paraId="1F0DFF4A" w14:textId="77777777" w:rsidR="002A230A" w:rsidRPr="00EC250C" w:rsidRDefault="002A230A" w:rsidP="00D131FA">
      <w:pPr>
        <w:spacing w:after="200" w:line="24" w:lineRule="auto"/>
        <w:jc w:val="both"/>
        <w:rPr>
          <w:spacing w:val="5"/>
          <w:sz w:val="24"/>
        </w:rPr>
      </w:pPr>
      <w:r w:rsidRPr="00EC250C">
        <w:rPr>
          <w:sz w:val="24"/>
        </w:rPr>
        <w:br w:type="page"/>
      </w:r>
    </w:p>
    <w:p w14:paraId="7707736D" w14:textId="77777777" w:rsidR="00C91F6E" w:rsidRPr="00EC250C" w:rsidRDefault="002A230A" w:rsidP="00EC250C">
      <w:pPr>
        <w:pStyle w:val="Nagwek3"/>
      </w:pPr>
      <w:bookmarkStart w:id="728" w:name="_Toc6257973"/>
      <w:bookmarkStart w:id="729" w:name="_Toc11247850"/>
      <w:r w:rsidRPr="00EC250C">
        <w:lastRenderedPageBreak/>
        <w:t xml:space="preserve">Art. 22 </w:t>
      </w:r>
      <w:r w:rsidR="001856D8" w:rsidRPr="00EC250C">
        <w:t xml:space="preserve">Konstytucji </w:t>
      </w:r>
      <w:r w:rsidRPr="00EC250C">
        <w:t>– Wolność działalności gospodarczej</w:t>
      </w:r>
      <w:bookmarkEnd w:id="728"/>
      <w:bookmarkEnd w:id="729"/>
    </w:p>
    <w:p w14:paraId="73E4099E" w14:textId="77777777" w:rsidR="002A230A" w:rsidRPr="00EC250C" w:rsidRDefault="002A230A" w:rsidP="00D131FA">
      <w:pPr>
        <w:pStyle w:val="konstytucja"/>
        <w:jc w:val="both"/>
      </w:pPr>
      <w:r w:rsidRPr="00EC250C">
        <w:t>Ograniczenie wolności działalności gospodarczej jest dopuszczalne tylko</w:t>
      </w:r>
      <w:r w:rsidR="00992FD0" w:rsidRPr="00EC250C">
        <w:t xml:space="preserve"> w </w:t>
      </w:r>
      <w:r w:rsidRPr="00EC250C">
        <w:t>drodze ustawy</w:t>
      </w:r>
      <w:r w:rsidR="00992FD0" w:rsidRPr="00EC250C">
        <w:t xml:space="preserve"> i </w:t>
      </w:r>
      <w:r w:rsidRPr="00EC250C">
        <w:t>tylko ze względu na ważny interes publiczny.</w:t>
      </w:r>
    </w:p>
    <w:p w14:paraId="0E51D755" w14:textId="77777777" w:rsidR="00C91F6E" w:rsidRPr="00EC250C" w:rsidRDefault="002A230A" w:rsidP="00D131FA">
      <w:pPr>
        <w:pStyle w:val="ComwiKonstytucja"/>
      </w:pPr>
      <w:r w:rsidRPr="00EC250C">
        <w:t>Co do zasady Konstytucja gwarantuje wolność działalności gospodarczej – jest to jedna</w:t>
      </w:r>
      <w:r w:rsidR="00992FD0" w:rsidRPr="00EC250C">
        <w:t xml:space="preserve"> z </w:t>
      </w:r>
      <w:r w:rsidRPr="00EC250C">
        <w:t>podstaw naszego ustroju. Tak jak artykuł 21 określa warunki dopuszczalnego przez Konstytucję ograniczenia prawa własności, tak artykuł 22 zakłada dopuszczalność ograniczenia wolności działalności gospodarczej. Sformułowane zostały</w:t>
      </w:r>
      <w:r w:rsidR="00992FD0" w:rsidRPr="00EC250C">
        <w:t xml:space="preserve"> w </w:t>
      </w:r>
      <w:r w:rsidRPr="00EC250C">
        <w:t>nim określone warunki, od których spełnienia zależy dopuszczalność tego ograniczenia.</w:t>
      </w:r>
    </w:p>
    <w:p w14:paraId="74BE7EC4" w14:textId="77777777" w:rsidR="00C91F6E" w:rsidRPr="00EC250C" w:rsidRDefault="002A230A" w:rsidP="00D131FA">
      <w:pPr>
        <w:pStyle w:val="ComwiKonstytucja"/>
      </w:pPr>
      <w:r w:rsidRPr="00EC250C">
        <w:t>Pierwszy warunek to zastosowanie drogi ustawowej. Nie można zatem ograniczeń tego rodzaju wprowadzać innym aktem prawnym niż ustawa (np. nie może wprowadzić ich samodzielnie władza wykonawcza lub</w:t>
      </w:r>
      <w:r w:rsidR="00992FD0" w:rsidRPr="00EC250C">
        <w:t xml:space="preserve"> w </w:t>
      </w:r>
      <w:r w:rsidRPr="00EC250C">
        <w:t>drodze aktów prawnych Rada Ministrów czy ministrowie).</w:t>
      </w:r>
    </w:p>
    <w:p w14:paraId="4B120975" w14:textId="77777777" w:rsidR="002A230A" w:rsidRPr="00EC250C" w:rsidRDefault="002A230A" w:rsidP="00D131FA">
      <w:pPr>
        <w:pStyle w:val="ComwiKonstytucja"/>
      </w:pPr>
      <w:r w:rsidRPr="00EC250C">
        <w:t>Drugie ograniczenie, podobnie jak</w:t>
      </w:r>
      <w:r w:rsidR="00992FD0" w:rsidRPr="00EC250C">
        <w:t xml:space="preserve"> w </w:t>
      </w:r>
      <w:r w:rsidRPr="00EC250C">
        <w:t>przypadku wywłaszczenia, polega na tym, że jest ono dopuszczalne tylko ze względu na ważny interes publiczny. Nie ma więc żadnych innych uwarunkowań, które by pozwalały wprowadzić tego rodzaju ograniczenia</w:t>
      </w:r>
      <w:r w:rsidR="003E4DBD" w:rsidRPr="00EC250C">
        <w:t>.</w:t>
      </w:r>
    </w:p>
    <w:p w14:paraId="0E01A8D8" w14:textId="77777777" w:rsidR="003E4DBD" w:rsidRPr="00EC250C" w:rsidRDefault="003E4DBD" w:rsidP="00D131FA">
      <w:pPr>
        <w:pStyle w:val="ComwiKonstytucja"/>
      </w:pPr>
    </w:p>
    <w:p w14:paraId="70B72A0D" w14:textId="77777777" w:rsidR="002A230A" w:rsidRPr="00EC250C" w:rsidRDefault="002A230A" w:rsidP="00D131FA">
      <w:pPr>
        <w:spacing w:after="200" w:line="24" w:lineRule="auto"/>
        <w:jc w:val="both"/>
        <w:rPr>
          <w:i/>
          <w:spacing w:val="5"/>
          <w:sz w:val="22"/>
        </w:rPr>
      </w:pPr>
      <w:r w:rsidRPr="00EC250C">
        <w:rPr>
          <w:sz w:val="24"/>
        </w:rPr>
        <w:br w:type="page"/>
      </w:r>
    </w:p>
    <w:p w14:paraId="3DD52EC8" w14:textId="77777777" w:rsidR="002A230A" w:rsidRPr="00EC250C" w:rsidRDefault="00186578" w:rsidP="00EC79EB">
      <w:pPr>
        <w:pStyle w:val="Nagwek4"/>
      </w:pPr>
      <w:bookmarkStart w:id="730" w:name="_Toc11247851"/>
      <w:r w:rsidRPr="00EC250C">
        <w:lastRenderedPageBreak/>
        <w:t>Zasady k</w:t>
      </w:r>
      <w:r w:rsidR="002A230A" w:rsidRPr="00EC250C">
        <w:t>ontrol</w:t>
      </w:r>
      <w:r w:rsidRPr="00EC250C">
        <w:t>i</w:t>
      </w:r>
      <w:r w:rsidR="002A230A" w:rsidRPr="00EC250C">
        <w:t xml:space="preserve"> towar</w:t>
      </w:r>
      <w:r w:rsidR="002A230A" w:rsidRPr="00EC250C">
        <w:rPr>
          <w:rFonts w:hint="eastAsia"/>
        </w:rPr>
        <w:t>ó</w:t>
      </w:r>
      <w:r w:rsidR="002A230A" w:rsidRPr="00EC250C">
        <w:t xml:space="preserve">w </w:t>
      </w:r>
      <w:r w:rsidR="002A230A" w:rsidRPr="00EC250C">
        <w:rPr>
          <w:rFonts w:hint="eastAsia"/>
        </w:rPr>
        <w:t>ź</w:t>
      </w:r>
      <w:r w:rsidR="002A230A" w:rsidRPr="00EC250C">
        <w:t>le oznakowanych</w:t>
      </w:r>
      <w:bookmarkEnd w:id="730"/>
    </w:p>
    <w:p w14:paraId="36708473" w14:textId="77777777" w:rsidR="00B473F5" w:rsidRPr="00EC250C" w:rsidRDefault="002A230A" w:rsidP="00D131FA">
      <w:pPr>
        <w:pStyle w:val="Problemczowieka"/>
        <w:jc w:val="both"/>
      </w:pPr>
      <w:r w:rsidRPr="00EC250C">
        <w:t>Sprzedawcy skarżą się, że dostają kary za to, że produkty</w:t>
      </w:r>
      <w:r w:rsidR="00992FD0" w:rsidRPr="00EC250C">
        <w:t xml:space="preserve"> </w:t>
      </w:r>
      <w:r w:rsidRPr="00EC250C">
        <w:t>nie mają składu</w:t>
      </w:r>
      <w:r w:rsidR="00992FD0" w:rsidRPr="00EC250C">
        <w:t xml:space="preserve"> i </w:t>
      </w:r>
      <w:r w:rsidRPr="00EC250C">
        <w:t>zawartości takiej, jak deklaruje etykieta. A przecież nie są</w:t>
      </w:r>
      <w:r w:rsidR="00992FD0" w:rsidRPr="00EC250C">
        <w:t xml:space="preserve"> w </w:t>
      </w:r>
      <w:r w:rsidRPr="00EC250C">
        <w:t>stanie sprawdzić, co naprawdę jest</w:t>
      </w:r>
      <w:r w:rsidR="00992FD0" w:rsidRPr="00EC250C">
        <w:t xml:space="preserve"> w </w:t>
      </w:r>
      <w:r w:rsidRPr="00EC250C">
        <w:t>opakowaniu, bo do tego potrzebne jest laboratorium</w:t>
      </w:r>
      <w:r w:rsidR="00B473F5" w:rsidRPr="00EC250C">
        <w:t>.</w:t>
      </w:r>
    </w:p>
    <w:p w14:paraId="159608CC" w14:textId="77777777" w:rsidR="00D52B5C" w:rsidRPr="00EC250C" w:rsidRDefault="00D52B5C" w:rsidP="00D131FA">
      <w:pPr>
        <w:pStyle w:val="Styl1"/>
      </w:pPr>
      <w:r w:rsidRPr="00EC250C">
        <w:t>W jednej ze spraw sprzedawca za sześć partii produktów</w:t>
      </w:r>
      <w:r w:rsidR="00992FD0" w:rsidRPr="00EC250C">
        <w:t xml:space="preserve"> o </w:t>
      </w:r>
      <w:r w:rsidRPr="00EC250C">
        <w:t>wartości 2,20 zł dostał karę,</w:t>
      </w:r>
      <w:r w:rsidR="00992FD0" w:rsidRPr="00EC250C">
        <w:t xml:space="preserve"> a </w:t>
      </w:r>
      <w:r w:rsidRPr="00EC250C">
        <w:t xml:space="preserve">jej minimalna wysokość to 500 zł. </w:t>
      </w:r>
      <w:r w:rsidR="00036411" w:rsidRPr="00EC250C">
        <w:t xml:space="preserve"> </w:t>
      </w:r>
      <w:r w:rsidRPr="00EC250C">
        <w:t>RPO ma wątpliwości co do takiej praktyki inspekcji handlowej</w:t>
      </w:r>
      <w:r w:rsidR="00026572" w:rsidRPr="00EC250C">
        <w:t xml:space="preserve"> – </w:t>
      </w:r>
      <w:r w:rsidRPr="00EC250C">
        <w:t>skupia się na kontroli sprzedawców,</w:t>
      </w:r>
      <w:r w:rsidR="00992FD0" w:rsidRPr="00EC250C">
        <w:t xml:space="preserve"> a </w:t>
      </w:r>
      <w:r w:rsidRPr="00EC250C">
        <w:t xml:space="preserve">nie producentów. </w:t>
      </w:r>
    </w:p>
    <w:p w14:paraId="37DC257E" w14:textId="77777777" w:rsidR="00D52B5C" w:rsidRPr="00EC250C" w:rsidRDefault="00D52B5C" w:rsidP="00D131FA">
      <w:pPr>
        <w:pStyle w:val="Styl1"/>
      </w:pPr>
      <w:r w:rsidRPr="00EC250C">
        <w:t>Zgodnie</w:t>
      </w:r>
      <w:r w:rsidR="00992FD0" w:rsidRPr="00EC250C">
        <w:t xml:space="preserve"> z </w:t>
      </w:r>
      <w:r w:rsidRPr="00EC250C">
        <w:t>ustawą</w:t>
      </w:r>
      <w:r w:rsidR="00992FD0" w:rsidRPr="00EC250C">
        <w:t xml:space="preserve"> o </w:t>
      </w:r>
      <w:r w:rsidRPr="00EC250C">
        <w:t>jakości handlowej artykułów rolno-spożywczych</w:t>
      </w:r>
      <w:r w:rsidR="00186578" w:rsidRPr="00EC250C">
        <w:rPr>
          <w:rStyle w:val="Odwoanieprzypisudolnego"/>
        </w:rPr>
        <w:footnoteReference w:id="737"/>
      </w:r>
      <w:r w:rsidRPr="00EC250C">
        <w:t>, inspekcja handlowa wymierza karę pieniężną każdemu, kto wprowadza do obrotu artykuły nieodpowiadające jakości handlowej określonej</w:t>
      </w:r>
      <w:r w:rsidR="00992FD0" w:rsidRPr="00EC250C">
        <w:t xml:space="preserve"> w </w:t>
      </w:r>
      <w:r w:rsidRPr="00EC250C">
        <w:t>przepisach</w:t>
      </w:r>
      <w:r w:rsidR="00992FD0" w:rsidRPr="00EC250C">
        <w:t xml:space="preserve"> o </w:t>
      </w:r>
      <w:r w:rsidRPr="00EC250C">
        <w:t>jakości handlowej lub deklarowanej przez producenta</w:t>
      </w:r>
      <w:r w:rsidR="00992FD0" w:rsidRPr="00EC250C">
        <w:t xml:space="preserve"> w </w:t>
      </w:r>
      <w:r w:rsidRPr="00EC250C">
        <w:t>oznakowaniu. Kara może sięgać pięciokrotność wartości korzyści majątkowej (uzyskanej lub która mogłaby zostać uzyskana przez sprzedaż tych artykułów); nie może być jednak niższa niż 500 zł. Odpowiedzialność ma charakter administracyjny</w:t>
      </w:r>
      <w:r w:rsidR="00026572" w:rsidRPr="00EC250C">
        <w:t xml:space="preserve"> – </w:t>
      </w:r>
      <w:r w:rsidRPr="00EC250C">
        <w:t>bez znaczenia jest to, jak doszło do naruszenia prawa</w:t>
      </w:r>
      <w:r w:rsidR="00992FD0" w:rsidRPr="00EC250C">
        <w:t xml:space="preserve"> i </w:t>
      </w:r>
      <w:r w:rsidRPr="00EC250C">
        <w:t>czy nastąpiło to</w:t>
      </w:r>
      <w:r w:rsidR="00992FD0" w:rsidRPr="00EC250C">
        <w:t xml:space="preserve"> z </w:t>
      </w:r>
      <w:r w:rsidRPr="00EC250C">
        <w:t>winy umyślnej, czy</w:t>
      </w:r>
      <w:r w:rsidR="00392799" w:rsidRPr="00EC250C">
        <w:t xml:space="preserve"> </w:t>
      </w:r>
      <w:r w:rsidRPr="00EC250C">
        <w:t>nie.</w:t>
      </w:r>
    </w:p>
    <w:p w14:paraId="13973322" w14:textId="77777777" w:rsidR="00D52B5C" w:rsidRPr="00EC250C" w:rsidRDefault="00135B9D" w:rsidP="00D131FA">
      <w:pPr>
        <w:pStyle w:val="Styl1"/>
      </w:pPr>
      <w:r w:rsidRPr="00EC250C">
        <w:t>RPO</w:t>
      </w:r>
      <w:r w:rsidR="00D52B5C" w:rsidRPr="00EC250C">
        <w:t xml:space="preserve"> podkreśla, że obowiązek kontrolowania zasad oznakowania produktów spożywczych</w:t>
      </w:r>
      <w:r w:rsidR="00992FD0" w:rsidRPr="00EC250C">
        <w:t xml:space="preserve"> i </w:t>
      </w:r>
      <w:r w:rsidR="00D52B5C" w:rsidRPr="00EC250C">
        <w:t>sankcjonowania ich naruszania nałożyły przepisy prawa unijnego</w:t>
      </w:r>
      <w:r w:rsidR="00D52B5C" w:rsidRPr="00EC250C">
        <w:rPr>
          <w:rStyle w:val="Odwoanieprzypisudolnego"/>
        </w:rPr>
        <w:footnoteReference w:id="738"/>
      </w:r>
      <w:r w:rsidR="00992FD0" w:rsidRPr="00EC250C">
        <w:t xml:space="preserve"> i </w:t>
      </w:r>
      <w:r w:rsidR="00D52B5C" w:rsidRPr="00EC250C">
        <w:t>dotyczy wszystkich etapów produkcji</w:t>
      </w:r>
      <w:r w:rsidR="00992FD0" w:rsidRPr="00EC250C">
        <w:t xml:space="preserve"> i </w:t>
      </w:r>
      <w:r w:rsidR="00D52B5C" w:rsidRPr="00EC250C">
        <w:t xml:space="preserve">dystrybucji. </w:t>
      </w:r>
      <w:r w:rsidR="00186578" w:rsidRPr="00EC250C">
        <w:t>Pytanie jednak</w:t>
      </w:r>
      <w:r w:rsidR="00D52B5C" w:rsidRPr="00EC250C">
        <w:t>, czy kontrol</w:t>
      </w:r>
      <w:r w:rsidR="00186578" w:rsidRPr="00EC250C">
        <w:t>a</w:t>
      </w:r>
      <w:r w:rsidR="00D52B5C" w:rsidRPr="00EC250C">
        <w:t xml:space="preserve"> nie skupia się </w:t>
      </w:r>
      <w:r w:rsidR="00186578" w:rsidRPr="00EC250C">
        <w:t xml:space="preserve">nadto </w:t>
      </w:r>
      <w:r w:rsidR="00D52B5C" w:rsidRPr="00EC250C">
        <w:t>na sprzedawcach,</w:t>
      </w:r>
      <w:r w:rsidR="00992FD0" w:rsidRPr="00EC250C">
        <w:t xml:space="preserve"> a </w:t>
      </w:r>
      <w:r w:rsidR="00D52B5C" w:rsidRPr="00EC250C">
        <w:t>także czy stosuj</w:t>
      </w:r>
      <w:r w:rsidR="00D91FBD" w:rsidRPr="00EC250C">
        <w:t>e</w:t>
      </w:r>
      <w:r w:rsidR="00D52B5C" w:rsidRPr="00EC250C">
        <w:t xml:space="preserve"> przepisy umożliwiające odstępowanie od kary</w:t>
      </w:r>
      <w:r w:rsidR="00992FD0" w:rsidRPr="00EC250C">
        <w:t xml:space="preserve"> w </w:t>
      </w:r>
      <w:r w:rsidR="00D52B5C" w:rsidRPr="00EC250C">
        <w:t>przypadkach błahych.</w:t>
      </w:r>
    </w:p>
    <w:p w14:paraId="2A916975" w14:textId="77777777" w:rsidR="00D52B5C" w:rsidRPr="00EC250C" w:rsidRDefault="00135B9D" w:rsidP="00D131FA">
      <w:pPr>
        <w:pStyle w:val="Styl1"/>
      </w:pPr>
      <w:r w:rsidRPr="00EC250C">
        <w:t>RPO</w:t>
      </w:r>
      <w:r w:rsidR="00D52B5C" w:rsidRPr="00EC250C">
        <w:t xml:space="preserve"> wystąpił do Prezesa Urzędu Ochrony Konkurencji</w:t>
      </w:r>
      <w:r w:rsidR="00992FD0" w:rsidRPr="00EC250C">
        <w:t xml:space="preserve"> i </w:t>
      </w:r>
      <w:r w:rsidR="00D52B5C" w:rsidRPr="00EC250C">
        <w:t>Konsumentów</w:t>
      </w:r>
      <w:r w:rsidR="00992FD0" w:rsidRPr="00EC250C">
        <w:t xml:space="preserve"> o </w:t>
      </w:r>
      <w:r w:rsidR="00D52B5C" w:rsidRPr="00EC250C">
        <w:t>stanowisko. W tej samej sprawie RPO zwrócił się również do Głównego Inspektora Jakości Handlowej Artykułów Rolno-Spożywczych.</w:t>
      </w:r>
    </w:p>
    <w:p w14:paraId="278779A2" w14:textId="77777777" w:rsidR="00186578" w:rsidRPr="00EC250C" w:rsidRDefault="00D52B5C" w:rsidP="00D131FA">
      <w:pPr>
        <w:pStyle w:val="Styl1"/>
      </w:pPr>
      <w:r w:rsidRPr="00EC250C">
        <w:t>Prezes UOKiK</w:t>
      </w:r>
      <w:r w:rsidR="00992FD0" w:rsidRPr="00EC250C">
        <w:t xml:space="preserve"> w </w:t>
      </w:r>
      <w:r w:rsidRPr="00EC250C">
        <w:t>odpowiedzi opisał szczegółowo działania podległej sobie Inspekcji Handlowej,</w:t>
      </w:r>
      <w:r w:rsidR="00992FD0" w:rsidRPr="00EC250C">
        <w:t xml:space="preserve"> a </w:t>
      </w:r>
      <w:r w:rsidRPr="00EC250C">
        <w:t>także wyraził przekonanie, że nie powodują one uszczerbku</w:t>
      </w:r>
      <w:r w:rsidR="00992FD0" w:rsidRPr="00EC250C">
        <w:t xml:space="preserve"> w </w:t>
      </w:r>
      <w:r w:rsidRPr="00EC250C">
        <w:t>sferze wolności</w:t>
      </w:r>
      <w:r w:rsidR="00992FD0" w:rsidRPr="00EC250C">
        <w:t xml:space="preserve"> i </w:t>
      </w:r>
      <w:r w:rsidRPr="00EC250C">
        <w:t>praw przedsiębiorców. Potwierdził, że kontroluje również producentów,</w:t>
      </w:r>
      <w:r w:rsidR="00992FD0" w:rsidRPr="00EC250C">
        <w:t xml:space="preserve"> a </w:t>
      </w:r>
      <w:r w:rsidRPr="00EC250C">
        <w:t>także poinformował</w:t>
      </w:r>
      <w:r w:rsidR="00992FD0" w:rsidRPr="00EC250C">
        <w:t xml:space="preserve"> o </w:t>
      </w:r>
      <w:r w:rsidRPr="00EC250C">
        <w:t xml:space="preserve">stosowaniu przepisów dotyczących odstępowania od nakładania kar. Główny Inspektor poinformował </w:t>
      </w:r>
      <w:r w:rsidR="00135B9D" w:rsidRPr="00EC250C">
        <w:t>RPO</w:t>
      </w:r>
      <w:r w:rsidR="00992FD0" w:rsidRPr="00EC250C">
        <w:t xml:space="preserve"> o </w:t>
      </w:r>
      <w:r w:rsidRPr="00EC250C">
        <w:t>skierowaniu do podległych mu jednostek przypomnienia</w:t>
      </w:r>
      <w:r w:rsidR="00992FD0" w:rsidRPr="00EC250C">
        <w:t xml:space="preserve"> o </w:t>
      </w:r>
      <w:r w:rsidRPr="00EC250C">
        <w:t>konieczności rozpatrywania</w:t>
      </w:r>
      <w:r w:rsidR="00992FD0" w:rsidRPr="00EC250C">
        <w:t xml:space="preserve"> z </w:t>
      </w:r>
      <w:r w:rsidRPr="00EC250C">
        <w:t>urzędu podstaw odstąpienia od wymierzenia kary pieniężnej</w:t>
      </w:r>
      <w:r w:rsidR="0019228E" w:rsidRPr="00EC250C">
        <w:rPr>
          <w:rStyle w:val="Odwoanieprzypisudolnego"/>
        </w:rPr>
        <w:footnoteReference w:id="739"/>
      </w:r>
      <w:r w:rsidRPr="00EC250C">
        <w:t>.</w:t>
      </w:r>
    </w:p>
    <w:p w14:paraId="1352044F" w14:textId="77777777" w:rsidR="00186578" w:rsidRPr="00EC250C" w:rsidRDefault="00186578" w:rsidP="00D131FA">
      <w:pPr>
        <w:pStyle w:val="ODESANIE"/>
        <w:jc w:val="both"/>
        <w:rPr>
          <w:rStyle w:val="field-content"/>
          <w:szCs w:val="20"/>
          <w:bdr w:val="none" w:sz="0" w:space="0" w:color="auto"/>
        </w:rPr>
      </w:pPr>
      <w:r w:rsidRPr="00EC250C">
        <w:lastRenderedPageBreak/>
        <w:t xml:space="preserve">Przewlekłość postępowań w sprawach legalizacji pobytu i pracy cudzoziemców </w:t>
      </w:r>
      <w:r w:rsidRPr="00EC250C">
        <w:rPr>
          <w:rStyle w:val="field-content"/>
          <w:szCs w:val="20"/>
          <w:bdr w:val="none" w:sz="0" w:space="0" w:color="auto"/>
        </w:rPr>
        <w:t>– art. 2 Konstytucji</w:t>
      </w:r>
    </w:p>
    <w:p w14:paraId="4C7C16FA" w14:textId="77777777" w:rsidR="00186578" w:rsidRPr="00EC250C" w:rsidRDefault="00186578" w:rsidP="00D131FA">
      <w:pPr>
        <w:pStyle w:val="ODESANIE"/>
        <w:jc w:val="both"/>
        <w:rPr>
          <w:lang w:eastAsia="en-US"/>
        </w:rPr>
      </w:pPr>
      <w:r w:rsidRPr="00EC250C">
        <w:t xml:space="preserve">Brak ograniczeń w egzekucji </w:t>
      </w:r>
      <w:r w:rsidR="0019228E" w:rsidRPr="00EC250C">
        <w:t xml:space="preserve">z majątku </w:t>
      </w:r>
      <w:r w:rsidRPr="00EC250C">
        <w:t xml:space="preserve">przedsiębiorcy </w:t>
      </w:r>
      <w:r w:rsidR="00A60814" w:rsidRPr="00EC250C">
        <w:t xml:space="preserve">prowadzącego jednoosobową działalność </w:t>
      </w:r>
      <w:r w:rsidRPr="00EC250C">
        <w:t xml:space="preserve">– Konstytucja dla biznesu – </w:t>
      </w:r>
      <w:r w:rsidRPr="00EC250C">
        <w:rPr>
          <w:lang w:eastAsia="en-US"/>
        </w:rPr>
        <w:t>Art. 30 Konstytucji Prawo do godności</w:t>
      </w:r>
    </w:p>
    <w:p w14:paraId="4F8A4B36" w14:textId="77777777" w:rsidR="002A230A" w:rsidRPr="00EC250C" w:rsidRDefault="002A230A" w:rsidP="00D131FA">
      <w:pPr>
        <w:pStyle w:val="Styl1"/>
        <w:rPr>
          <w:b/>
          <w:bCs/>
          <w:color w:val="044892"/>
        </w:rPr>
      </w:pPr>
      <w:r w:rsidRPr="00EC250C">
        <w:br w:type="page"/>
      </w:r>
    </w:p>
    <w:p w14:paraId="07744105" w14:textId="77777777" w:rsidR="002A230A" w:rsidRPr="00EC250C" w:rsidRDefault="002A230A" w:rsidP="00EC250C">
      <w:pPr>
        <w:pStyle w:val="Nagwek3"/>
      </w:pPr>
      <w:bookmarkStart w:id="731" w:name="_Toc6257977"/>
      <w:bookmarkStart w:id="732" w:name="_Toc11247852"/>
      <w:r w:rsidRPr="00EC250C">
        <w:lastRenderedPageBreak/>
        <w:t>Art. 173 Konstytucji – Niezależność</w:t>
      </w:r>
      <w:r w:rsidR="00992FD0" w:rsidRPr="00EC250C">
        <w:t xml:space="preserve"> i </w:t>
      </w:r>
      <w:r w:rsidRPr="00EC250C">
        <w:t>niezawisłość sądów</w:t>
      </w:r>
      <w:bookmarkEnd w:id="731"/>
      <w:bookmarkEnd w:id="732"/>
    </w:p>
    <w:p w14:paraId="11EF0D99" w14:textId="77777777" w:rsidR="002A230A" w:rsidRPr="00EC250C" w:rsidRDefault="002A230A" w:rsidP="00D131FA">
      <w:pPr>
        <w:pStyle w:val="konstytucja"/>
        <w:jc w:val="both"/>
      </w:pPr>
      <w:r w:rsidRPr="00EC250C">
        <w:t>Sądy</w:t>
      </w:r>
      <w:r w:rsidR="00992FD0" w:rsidRPr="00EC250C">
        <w:t xml:space="preserve"> i </w:t>
      </w:r>
      <w:r w:rsidRPr="00EC250C">
        <w:t>Trybunały są władzą odrębną</w:t>
      </w:r>
      <w:r w:rsidR="00992FD0" w:rsidRPr="00EC250C">
        <w:t xml:space="preserve"> i </w:t>
      </w:r>
      <w:r w:rsidRPr="00EC250C">
        <w:t>niezależną od innych władz.</w:t>
      </w:r>
    </w:p>
    <w:p w14:paraId="1AE96394" w14:textId="77777777" w:rsidR="00C62899" w:rsidRPr="00EC250C" w:rsidRDefault="00C62899" w:rsidP="00D131FA">
      <w:pPr>
        <w:pStyle w:val="ComwiKonstytucja"/>
      </w:pPr>
      <w:r w:rsidRPr="00EC250C">
        <w:t>Niezależność sądów,</w:t>
      </w:r>
      <w:r w:rsidR="00992FD0" w:rsidRPr="00EC250C">
        <w:t xml:space="preserve"> o </w:t>
      </w:r>
      <w:r w:rsidRPr="00EC250C">
        <w:t>której mowa</w:t>
      </w:r>
      <w:r w:rsidR="00992FD0" w:rsidRPr="00EC250C">
        <w:t xml:space="preserve"> w </w:t>
      </w:r>
      <w:r w:rsidRPr="00EC250C">
        <w:t>artykule, oznacza niezależność od innych władz,</w:t>
      </w:r>
      <w:r w:rsidR="00992FD0" w:rsidRPr="00EC250C">
        <w:t xml:space="preserve"> a </w:t>
      </w:r>
      <w:r w:rsidRPr="00EC250C">
        <w:t>konkretnie od władzy ustawodawczej</w:t>
      </w:r>
      <w:r w:rsidR="00992FD0" w:rsidRPr="00EC250C">
        <w:t xml:space="preserve"> i </w:t>
      </w:r>
      <w:r w:rsidRPr="00EC250C">
        <w:t>wykonawczej. W tym sensie pojęcie niezależności sądów doprecyzowuje pojęcie ich odrębności, jako jednej</w:t>
      </w:r>
      <w:r w:rsidR="00992FD0" w:rsidRPr="00EC250C">
        <w:t xml:space="preserve"> z </w:t>
      </w:r>
      <w:r w:rsidRPr="00EC250C">
        <w:t>cech zasady podziału władzy.</w:t>
      </w:r>
    </w:p>
    <w:p w14:paraId="069DD2B3" w14:textId="77777777" w:rsidR="00C91F6E" w:rsidRPr="00EC250C" w:rsidRDefault="00C62899" w:rsidP="00D131FA">
      <w:pPr>
        <w:pStyle w:val="ComwiKonstytucja"/>
      </w:pPr>
      <w:r w:rsidRPr="00EC250C">
        <w:t>Odrębność</w:t>
      </w:r>
      <w:r w:rsidR="00992FD0" w:rsidRPr="00EC250C">
        <w:t xml:space="preserve"> i </w:t>
      </w:r>
      <w:r w:rsidRPr="00EC250C">
        <w:t>niezależność sądów,</w:t>
      </w:r>
      <w:r w:rsidR="00992FD0" w:rsidRPr="00EC250C">
        <w:t xml:space="preserve"> w </w:t>
      </w:r>
      <w:r w:rsidRPr="00EC250C">
        <w:t>rozumieniu art. 173 Konstytucji RP, zakłada oddzielenie sądownictwa od organów innych władz, tak aby zapewnić sądom pełną samodzielność</w:t>
      </w:r>
      <w:r w:rsidR="00992FD0" w:rsidRPr="00EC250C">
        <w:t xml:space="preserve"> w </w:t>
      </w:r>
      <w:r w:rsidRPr="00EC250C">
        <w:t>zakresie rozpoznawania spraw</w:t>
      </w:r>
      <w:r w:rsidR="00992FD0" w:rsidRPr="00EC250C">
        <w:t xml:space="preserve"> i </w:t>
      </w:r>
      <w:r w:rsidRPr="00EC250C">
        <w:t>orzekania.</w:t>
      </w:r>
    </w:p>
    <w:p w14:paraId="6FA8DDC3" w14:textId="77777777" w:rsidR="00C62899" w:rsidRPr="00EC250C" w:rsidRDefault="00C62899" w:rsidP="00D131FA">
      <w:pPr>
        <w:pStyle w:val="ComwiKonstytucja"/>
      </w:pPr>
      <w:r w:rsidRPr="00EC250C">
        <w:t>Odrębność taką należy rozumieć jako odrębność organizacyjną, co oznacza, że władza sądownicza jest osobną, autonomiczną strukturą organizacyjną</w:t>
      </w:r>
      <w:r w:rsidR="00992FD0" w:rsidRPr="00EC250C">
        <w:t xml:space="preserve"> w </w:t>
      </w:r>
      <w:r w:rsidRPr="00EC250C">
        <w:t>systemie organów państwa,</w:t>
      </w:r>
      <w:r w:rsidR="00992FD0" w:rsidRPr="00EC250C">
        <w:t xml:space="preserve"> a </w:t>
      </w:r>
      <w:r w:rsidRPr="00EC250C">
        <w:t>także jako odrębność funkcjonalną, co oznacza, że na wymierzanie sprawiedliwości</w:t>
      </w:r>
      <w:r w:rsidR="00992FD0" w:rsidRPr="00EC250C">
        <w:t xml:space="preserve"> w </w:t>
      </w:r>
      <w:r w:rsidRPr="00EC250C">
        <w:t>ramach władzy sądowniczej nie ma wpływu ani władza ustawodawcza, ani władza wykonawcza.</w:t>
      </w:r>
    </w:p>
    <w:p w14:paraId="3C507FA5" w14:textId="77777777" w:rsidR="003E4DBD" w:rsidRPr="00EC250C" w:rsidRDefault="003E4DBD" w:rsidP="00D131FA">
      <w:pPr>
        <w:pStyle w:val="ComwiKonstytucja"/>
      </w:pPr>
    </w:p>
    <w:p w14:paraId="773DB5E1" w14:textId="77777777" w:rsidR="002A230A" w:rsidRPr="00EC250C" w:rsidRDefault="002A230A" w:rsidP="00D131FA">
      <w:pPr>
        <w:spacing w:after="200" w:line="24" w:lineRule="auto"/>
        <w:jc w:val="both"/>
        <w:rPr>
          <w:rFonts w:cs="Arial"/>
          <w:b/>
          <w:i/>
          <w:color w:val="000000"/>
          <w:sz w:val="24"/>
        </w:rPr>
      </w:pPr>
      <w:r w:rsidRPr="00EC250C">
        <w:rPr>
          <w:sz w:val="24"/>
        </w:rPr>
        <w:br w:type="page"/>
      </w:r>
    </w:p>
    <w:p w14:paraId="157769E2" w14:textId="77777777" w:rsidR="002A230A" w:rsidRPr="00EC250C" w:rsidRDefault="002A230A" w:rsidP="00EC79EB">
      <w:pPr>
        <w:pStyle w:val="Nagwek4"/>
      </w:pPr>
      <w:bookmarkStart w:id="733" w:name="_Toc11247853"/>
      <w:r w:rsidRPr="00EC250C">
        <w:lastRenderedPageBreak/>
        <w:t>Postępowania dyscyplinarne wobec sędziów</w:t>
      </w:r>
      <w:bookmarkEnd w:id="733"/>
    </w:p>
    <w:p w14:paraId="2125C15F" w14:textId="77777777" w:rsidR="00C61414" w:rsidRPr="00EC250C" w:rsidRDefault="00C61414" w:rsidP="00D131FA">
      <w:pPr>
        <w:pStyle w:val="Problemczowieka"/>
        <w:jc w:val="both"/>
      </w:pPr>
      <w:r w:rsidRPr="00EC250C">
        <w:t>RPO jest zwolennikiem reformy sądownictwa w Polsce pod warunkiem, że reformy te będą spełniać standardy praworządności i nie będą wpływać na konstytucyjną zasadę trójpodziału władzy. Ofiarami reform łamiących te zasady są bowiem przede wszystkim obywatele.</w:t>
      </w:r>
    </w:p>
    <w:p w14:paraId="40780AD1" w14:textId="77777777" w:rsidR="00C61414" w:rsidRPr="00EC250C" w:rsidRDefault="00C61414" w:rsidP="00D131FA">
      <w:pPr>
        <w:pStyle w:val="Styl1"/>
        <w:rPr>
          <w:rFonts w:ascii="Open Sans Regular" w:hAnsi="Open Sans Regular"/>
        </w:rPr>
      </w:pPr>
      <w:r w:rsidRPr="00EC250C">
        <w:rPr>
          <w:bdr w:val="none" w:sz="0" w:space="0" w:color="auto" w:frame="1"/>
        </w:rPr>
        <w:t>Reformy sądownictwa w Polsce i związane z nimi zagrożenie praworządności były tematem publicznego wysłuchania Polski przed komisją wolności obywatelskich, sprawiedliwości i spraw wewnętrznych Parlamentu Europejskiego (LIBE), które miało miejsce 20 listopada 2018 roku. W spotkaniu – z udziałem wiceszefa Komisji Europejskiej Fransa Timmermansa, przedstawicieli Komisji Weneckiej, Europejskiej Sieci Rad Sądownictwa oraz środowiska akademickiego – uczestniczył rzecznik praw obywatelskich Adam Bodnar</w:t>
      </w:r>
      <w:r w:rsidRPr="00EC250C">
        <w:rPr>
          <w:rStyle w:val="Odwoanieprzypisudolnego"/>
          <w:rFonts w:eastAsiaTheme="majorEastAsia"/>
          <w:sz w:val="24"/>
          <w:bdr w:val="none" w:sz="0" w:space="0" w:color="auto" w:frame="1"/>
        </w:rPr>
        <w:footnoteReference w:id="740"/>
      </w:r>
      <w:r w:rsidRPr="00EC250C">
        <w:rPr>
          <w:bdr w:val="none" w:sz="0" w:space="0" w:color="auto" w:frame="1"/>
        </w:rPr>
        <w:t>.</w:t>
      </w:r>
    </w:p>
    <w:p w14:paraId="5843BB55" w14:textId="77777777" w:rsidR="00C55D56" w:rsidRPr="00EC250C" w:rsidRDefault="00C55D56" w:rsidP="00D131FA">
      <w:pPr>
        <w:pStyle w:val="Styl1"/>
        <w:rPr>
          <w:sz w:val="24"/>
          <w:bdr w:val="none" w:sz="0" w:space="0" w:color="auto" w:frame="1"/>
        </w:rPr>
      </w:pPr>
      <w:r w:rsidRPr="00EC250C">
        <w:t>Zwrócił on uwagę na postępowania dyscyplinarne wobec sędziów, które prowadzi mianowany przez Ministra Sprawiedliwości rzecznik dyscyplinarny. Zauważył, że ostateczną instancją odwoławczą od decyzji w tych sprawach jest Izba Dyscyplinarna Sądu Najwyższego, która  działa de facto poza strukturą Sądu, a do której powołani zostali w 2018 r. nowi sędziowie (otrzymali uposażenie wyższe o 40 proc. od innych sędziów SN).</w:t>
      </w:r>
    </w:p>
    <w:p w14:paraId="397689B1" w14:textId="77777777" w:rsidR="00C55D56" w:rsidRPr="00EC250C" w:rsidRDefault="00C55D56" w:rsidP="00D131FA">
      <w:pPr>
        <w:pStyle w:val="Styl1"/>
      </w:pPr>
      <w:r w:rsidRPr="00EC250C">
        <w:t>Ze względu na taką organizację postępowań dyscyplinarnych RPO bacznie się im przygląda.</w:t>
      </w:r>
    </w:p>
    <w:p w14:paraId="138D0EAA" w14:textId="77777777" w:rsidR="00C55D56" w:rsidRPr="00EC250C" w:rsidRDefault="00C55D56" w:rsidP="00D131FA">
      <w:pPr>
        <w:pStyle w:val="Styl1"/>
      </w:pPr>
      <w:r w:rsidRPr="00EC250C">
        <w:t>W listopadzie 2018</w:t>
      </w:r>
      <w:r w:rsidRPr="00EC250C">
        <w:rPr>
          <w:rFonts w:hint="eastAsia"/>
        </w:rPr>
        <w:t> </w:t>
      </w:r>
      <w:r w:rsidRPr="00EC250C">
        <w:t>r. było ich osiem, wszystkie w fazie składania wyjaśnień. Postępowania dotyczyły m.in, sędziów kierujących pytania prejudycjalne do TS UE (Ewa Maciejewska, Igor Tuleya</w:t>
      </w:r>
      <w:r w:rsidRPr="00EC250C">
        <w:rPr>
          <w:rStyle w:val="Odwoanieprzypisudolnego"/>
        </w:rPr>
        <w:footnoteReference w:id="741"/>
      </w:r>
      <w:r w:rsidRPr="00EC250C">
        <w:t>), sędziów komentujących działania władzy wykonawczej wobec sądów (Bartłomiej Przymusiński, Igor Tuleya, Krystian Markiewicz i Monika Frąckowiak</w:t>
      </w:r>
      <w:r w:rsidRPr="00EC250C">
        <w:rPr>
          <w:rStyle w:val="Odwoanieprzypisudolnego"/>
        </w:rPr>
        <w:footnoteReference w:id="742"/>
      </w:r>
      <w:r w:rsidRPr="00EC250C">
        <w:t>). Jak informował RPO zastępca rzecznika dyscyplinarnego, ci sędziowie wzywani byli w tych sprawach jako świadkowie w celu złożenia wyjaśnień. RPO podkreślał, że sędziów tych wzywał do składania wyjaśnień funkcjonariusz publiczny powołany przez Prokuratora Generalnego pełniącego jedocześnie funkcję Ministra Sprawiedliwości.</w:t>
      </w:r>
    </w:p>
    <w:p w14:paraId="25784E8D" w14:textId="77777777" w:rsidR="00C55D56" w:rsidRPr="00EC250C" w:rsidRDefault="00C55D56" w:rsidP="00D131FA">
      <w:pPr>
        <w:pStyle w:val="Styl1"/>
      </w:pPr>
      <w:r w:rsidRPr="00EC250C">
        <w:t>Jedna ze spraw dyscyplinarnych dotyczy sędziego, który wydał wyrok w sprawie obywateli angażujących się w działania przeciw władzy (Sławomir Jęksa</w:t>
      </w:r>
      <w:r w:rsidRPr="00EC250C">
        <w:rPr>
          <w:rStyle w:val="Odwoanieprzypisudolnego"/>
        </w:rPr>
        <w:footnoteReference w:id="743"/>
      </w:r>
      <w:r w:rsidRPr="00EC250C">
        <w:t>). Jest też sprawa dyscyplinarna za udział w wydarzeniu edukacyjnym, jakim jest symulacja procesu sądowego, wobec  sędziów, którzy zrobili to w todze i z insygniami sędziowskimi (Monika Frąckowiak i Arkadiusz Krupa</w:t>
      </w:r>
      <w:r w:rsidR="00B22652" w:rsidRPr="00EC250C">
        <w:rPr>
          <w:rStyle w:val="Odwoanieprzypisudolnego"/>
        </w:rPr>
        <w:footnoteReference w:id="744"/>
      </w:r>
      <w:r w:rsidRPr="00EC250C">
        <w:t>).</w:t>
      </w:r>
    </w:p>
    <w:p w14:paraId="136A32F2" w14:textId="77777777" w:rsidR="00C55D56" w:rsidRPr="00EC250C" w:rsidRDefault="00C55D56" w:rsidP="00D131FA">
      <w:pPr>
        <w:pStyle w:val="Styl1"/>
        <w:rPr>
          <w:bdr w:val="none" w:sz="0" w:space="0" w:color="auto" w:frame="1"/>
        </w:rPr>
      </w:pPr>
      <w:r w:rsidRPr="00EC250C">
        <w:lastRenderedPageBreak/>
        <w:t xml:space="preserve">Jeszcze inaczej wygląda sprawa sędziego </w:t>
      </w:r>
      <w:r w:rsidRPr="00EC250C">
        <w:rPr>
          <w:bdr w:val="none" w:sz="0" w:space="0" w:color="auto" w:frame="1"/>
        </w:rPr>
        <w:t>Waldemara Żurka, który był rzecznikiem poprzedniej Krajowej Rady Sądownictwa – w jego przypadku RPO odnotowuje, że wbrew swojej woli został przeniesiony z jednego wydziału sądu do innego, a ponieważ jego przełożoną jest sędzia, która weszła w skład nowej Krajowej Rady Sądownictwa, wchodzić tu mogą w grę motywy polityczne</w:t>
      </w:r>
      <w:r w:rsidR="00B22652" w:rsidRPr="00EC250C">
        <w:rPr>
          <w:rStyle w:val="Odwoanieprzypisudolnego"/>
          <w:bdr w:val="none" w:sz="0" w:space="0" w:color="auto" w:frame="1"/>
        </w:rPr>
        <w:footnoteReference w:id="745"/>
      </w:r>
      <w:r w:rsidRPr="00EC250C">
        <w:rPr>
          <w:bdr w:val="none" w:sz="0" w:space="0" w:color="auto" w:frame="1"/>
        </w:rPr>
        <w:t>.</w:t>
      </w:r>
    </w:p>
    <w:p w14:paraId="6C311879" w14:textId="77777777" w:rsidR="00C61414" w:rsidRPr="00EC250C" w:rsidRDefault="00C55D56" w:rsidP="00D131FA">
      <w:pPr>
        <w:pStyle w:val="Styl1"/>
        <w:rPr>
          <w:sz w:val="24"/>
        </w:rPr>
      </w:pPr>
      <w:r w:rsidRPr="00EC250C">
        <w:t>RPO podkreślił, że choć toczące się sprawy dyscyplinarne są w fazie wstępnej, to wszystkie one mogą wywołać „efekt mrożący” wobec wszystkich sędziów w Polsce. Jak podał dziennik „Rzeczpospolita” ponad 64% polskich sędziów uważa obecnie, że sytuacja w sądownictwie ma wpływ na ich pracę, 90% deklaruje, że niezawisłość sędziowska jest zagrożona</w:t>
      </w:r>
      <w:r w:rsidRPr="00EC250C">
        <w:rPr>
          <w:rStyle w:val="Odwoanieprzypisudolnego"/>
          <w:rFonts w:eastAsiaTheme="majorEastAsia"/>
          <w:sz w:val="24"/>
        </w:rPr>
        <w:footnoteReference w:id="746"/>
      </w:r>
      <w:r w:rsidRPr="00EC250C">
        <w:rPr>
          <w:sz w:val="24"/>
        </w:rPr>
        <w:t>.</w:t>
      </w:r>
    </w:p>
    <w:p w14:paraId="3284BA64" w14:textId="77777777" w:rsidR="002A230A" w:rsidRPr="00EC250C" w:rsidRDefault="002A230A" w:rsidP="00D131FA">
      <w:pPr>
        <w:spacing w:after="200" w:line="24" w:lineRule="auto"/>
        <w:jc w:val="both"/>
        <w:rPr>
          <w:b/>
          <w:bCs/>
          <w:color w:val="044892"/>
          <w:sz w:val="24"/>
        </w:rPr>
      </w:pPr>
      <w:r w:rsidRPr="00EC250C">
        <w:rPr>
          <w:sz w:val="24"/>
        </w:rPr>
        <w:br w:type="page"/>
      </w:r>
    </w:p>
    <w:p w14:paraId="28EF5F7A" w14:textId="77777777" w:rsidR="00C91F6E" w:rsidRPr="00EC250C" w:rsidRDefault="002A230A" w:rsidP="00EC250C">
      <w:pPr>
        <w:pStyle w:val="Nagwek3"/>
      </w:pPr>
      <w:bookmarkStart w:id="734" w:name="_Toc6257978"/>
      <w:bookmarkStart w:id="735" w:name="_Toc11247854"/>
      <w:r w:rsidRPr="00EC250C">
        <w:lastRenderedPageBreak/>
        <w:t>Art. 217 Konstytucji – Zasady nakładania podatków</w:t>
      </w:r>
      <w:bookmarkEnd w:id="734"/>
      <w:bookmarkEnd w:id="735"/>
    </w:p>
    <w:p w14:paraId="022E9A4D" w14:textId="77777777" w:rsidR="002A230A" w:rsidRPr="00EC250C" w:rsidRDefault="002A230A" w:rsidP="00D131FA">
      <w:pPr>
        <w:pStyle w:val="konstytucja"/>
        <w:jc w:val="both"/>
      </w:pPr>
      <w:r w:rsidRPr="00EC250C">
        <w:t>Nakładanie podatków, innych danin publicznych, określanie podmiotów, przedmiotów opodatkowania</w:t>
      </w:r>
      <w:r w:rsidR="00992FD0" w:rsidRPr="00EC250C">
        <w:t xml:space="preserve"> i </w:t>
      </w:r>
      <w:r w:rsidRPr="00EC250C">
        <w:t>stawek podatkowych,</w:t>
      </w:r>
      <w:r w:rsidR="00992FD0" w:rsidRPr="00EC250C">
        <w:t xml:space="preserve"> a </w:t>
      </w:r>
      <w:r w:rsidRPr="00EC250C">
        <w:t>także zasad przyznawania ulg</w:t>
      </w:r>
      <w:r w:rsidR="00992FD0" w:rsidRPr="00EC250C">
        <w:t xml:space="preserve"> i </w:t>
      </w:r>
      <w:r w:rsidRPr="00EC250C">
        <w:t>umorzeń oraz kategorii podmiotów zwolnionych od podatków następuje</w:t>
      </w:r>
      <w:r w:rsidR="00992FD0" w:rsidRPr="00EC250C">
        <w:t xml:space="preserve"> w </w:t>
      </w:r>
      <w:r w:rsidRPr="00EC250C">
        <w:t>drodze ustawy.</w:t>
      </w:r>
    </w:p>
    <w:p w14:paraId="50E21A51" w14:textId="77777777" w:rsidR="00C91F6E" w:rsidRPr="00EC250C" w:rsidRDefault="002A230A" w:rsidP="00D131FA">
      <w:pPr>
        <w:pStyle w:val="ComwiKonstytucja"/>
      </w:pPr>
      <w:r w:rsidRPr="00EC250C">
        <w:t>Jak wskazał Trybunał Konstytucyjny, art. 217 jest szczególnie powiązany</w:t>
      </w:r>
      <w:r w:rsidR="00992FD0" w:rsidRPr="00EC250C">
        <w:t xml:space="preserve"> z </w:t>
      </w:r>
      <w:r w:rsidRPr="00EC250C">
        <w:t>art. 84 (obowiązek ponoszenia ciężarów publicznych), art. 82 (troska</w:t>
      </w:r>
      <w:r w:rsidR="00992FD0" w:rsidRPr="00EC250C">
        <w:t xml:space="preserve"> o </w:t>
      </w:r>
      <w:r w:rsidRPr="00EC250C">
        <w:t>wspólne dobro), art. 83 (obowiązek przestrzegania prawa)</w:t>
      </w:r>
      <w:r w:rsidR="00992FD0" w:rsidRPr="00EC250C">
        <w:t xml:space="preserve"> i </w:t>
      </w:r>
      <w:r w:rsidRPr="00EC250C">
        <w:t>art. 1 (państwo jako dobro wspólne obywateli) – wyrok TK</w:t>
      </w:r>
      <w:r w:rsidR="00992FD0" w:rsidRPr="00EC250C">
        <w:t xml:space="preserve"> z </w:t>
      </w:r>
      <w:r w:rsidRPr="00EC250C">
        <w:t>6 marca 2002, P 7/00.</w:t>
      </w:r>
    </w:p>
    <w:p w14:paraId="0D1884ED" w14:textId="77777777" w:rsidR="00C91F6E" w:rsidRPr="00EC250C" w:rsidRDefault="002A230A" w:rsidP="00D131FA">
      <w:pPr>
        <w:pStyle w:val="ComwiKonstytucja"/>
      </w:pPr>
      <w:r w:rsidRPr="00EC250C">
        <w:t>Przepis ten formułuje wyraźnie</w:t>
      </w:r>
      <w:r w:rsidR="00992FD0" w:rsidRPr="00EC250C">
        <w:t xml:space="preserve"> i </w:t>
      </w:r>
      <w:r w:rsidRPr="00EC250C">
        <w:t>wprost bezwzględny nakaz regulacji tej materii na drodze ustawy.</w:t>
      </w:r>
    </w:p>
    <w:p w14:paraId="00B02702" w14:textId="77777777" w:rsidR="002A230A" w:rsidRPr="00EC250C" w:rsidRDefault="002A230A" w:rsidP="00D131FA">
      <w:pPr>
        <w:pStyle w:val="ComwiKonstytucja"/>
      </w:pPr>
      <w:r w:rsidRPr="00EC250C">
        <w:t>Artykuł 217 kładzie kres możliwościom nakładania podatków</w:t>
      </w:r>
      <w:r w:rsidR="00992FD0" w:rsidRPr="00EC250C">
        <w:t xml:space="preserve"> i </w:t>
      </w:r>
      <w:r w:rsidRPr="00EC250C">
        <w:t>danin publicznych, ustalania stawek podatkowych, zasad przyznawania ulg</w:t>
      </w:r>
      <w:r w:rsidR="00992FD0" w:rsidRPr="00EC250C">
        <w:t xml:space="preserve"> i </w:t>
      </w:r>
      <w:r w:rsidRPr="00EC250C">
        <w:t>umorzeń, jak również zwolnień od podatku</w:t>
      </w:r>
      <w:r w:rsidR="00992FD0" w:rsidRPr="00EC250C">
        <w:t xml:space="preserve"> w </w:t>
      </w:r>
      <w:r w:rsidRPr="00EC250C">
        <w:t>innej formie niż</w:t>
      </w:r>
      <w:r w:rsidR="00992FD0" w:rsidRPr="00EC250C">
        <w:t xml:space="preserve"> w </w:t>
      </w:r>
      <w:r w:rsidRPr="00EC250C">
        <w:t>drodze ustawy.</w:t>
      </w:r>
    </w:p>
    <w:p w14:paraId="00D51FF8" w14:textId="77777777" w:rsidR="003E4DBD" w:rsidRPr="00EC250C" w:rsidRDefault="003E4DBD" w:rsidP="00D131FA">
      <w:pPr>
        <w:pStyle w:val="ComwiKonstytucja"/>
      </w:pPr>
    </w:p>
    <w:p w14:paraId="0B380EF7" w14:textId="77777777" w:rsidR="002A230A" w:rsidRPr="00EC250C" w:rsidRDefault="002A230A" w:rsidP="00D131FA">
      <w:pPr>
        <w:spacing w:after="200" w:line="24" w:lineRule="auto"/>
        <w:jc w:val="both"/>
        <w:rPr>
          <w:i/>
          <w:spacing w:val="5"/>
          <w:sz w:val="22"/>
        </w:rPr>
      </w:pPr>
      <w:r w:rsidRPr="00EC250C">
        <w:rPr>
          <w:sz w:val="24"/>
        </w:rPr>
        <w:br w:type="page"/>
      </w:r>
    </w:p>
    <w:p w14:paraId="00A2DC9B" w14:textId="77777777" w:rsidR="002A230A" w:rsidRPr="00EC250C" w:rsidRDefault="00050032" w:rsidP="00EC79EB">
      <w:pPr>
        <w:pStyle w:val="Nagwek4"/>
      </w:pPr>
      <w:bookmarkStart w:id="736" w:name="_Toc11247855"/>
      <w:r w:rsidRPr="00EC250C">
        <w:lastRenderedPageBreak/>
        <w:t>Problemy</w:t>
      </w:r>
      <w:r w:rsidR="00992FD0" w:rsidRPr="00EC250C">
        <w:t xml:space="preserve"> z </w:t>
      </w:r>
      <w:r w:rsidR="002A230A" w:rsidRPr="00EC250C">
        <w:t>Ordynacj</w:t>
      </w:r>
      <w:r w:rsidRPr="00EC250C">
        <w:t>ą</w:t>
      </w:r>
      <w:r w:rsidR="002A230A" w:rsidRPr="00EC250C">
        <w:t xml:space="preserve"> Podatkow</w:t>
      </w:r>
      <w:r w:rsidRPr="00EC250C">
        <w:t>ą</w:t>
      </w:r>
      <w:bookmarkEnd w:id="736"/>
    </w:p>
    <w:p w14:paraId="02F5DA5C" w14:textId="77777777" w:rsidR="00C91F6E" w:rsidRPr="00EC250C" w:rsidRDefault="002A230A" w:rsidP="00EC250C">
      <w:pPr>
        <w:pStyle w:val="Nagwek5"/>
      </w:pPr>
      <w:r w:rsidRPr="00EC250C">
        <w:t>Jak określać zawieszenie biegu terminu przedawnienia zobowiązania podatkowego?</w:t>
      </w:r>
    </w:p>
    <w:p w14:paraId="2CC6B0B5" w14:textId="77777777" w:rsidR="00B473F5" w:rsidRPr="00EC250C" w:rsidRDefault="002A230A" w:rsidP="00D131FA">
      <w:pPr>
        <w:pStyle w:val="Problemczowieka"/>
        <w:jc w:val="both"/>
      </w:pPr>
      <w:r w:rsidRPr="00EC250C">
        <w:t xml:space="preserve">Naczelny Sąd Administracyjny orzekł, że do przerwania biegu przedawnienia zobowiązania podatkowego wystarczy </w:t>
      </w:r>
      <w:r w:rsidR="0017687E" w:rsidRPr="00EC250C">
        <w:t>zawiadomienie</w:t>
      </w:r>
      <w:r w:rsidR="00992FD0" w:rsidRPr="00EC250C">
        <w:t xml:space="preserve"> z </w:t>
      </w:r>
      <w:r w:rsidRPr="00EC250C">
        <w:t>urzędu skarbowego, że np. toczy się postępowanie</w:t>
      </w:r>
      <w:r w:rsidR="00992FD0" w:rsidRPr="00EC250C">
        <w:t xml:space="preserve"> o </w:t>
      </w:r>
      <w:r w:rsidRPr="00EC250C">
        <w:t>przestępstwo skarbowe. Urząd nie musi doprecyzowywać, czego to postępowanie dotyczy, bo podatnik sam może się tego dowiedzieć po otrzymaniu zawiadomienia</w:t>
      </w:r>
      <w:r w:rsidR="00B473F5" w:rsidRPr="00EC250C">
        <w:t>.</w:t>
      </w:r>
    </w:p>
    <w:p w14:paraId="5D75E39B" w14:textId="77777777" w:rsidR="002A230A" w:rsidRPr="00EC250C" w:rsidRDefault="002A230A" w:rsidP="00D131FA">
      <w:pPr>
        <w:pStyle w:val="Styl1"/>
      </w:pPr>
      <w:r w:rsidRPr="00EC250C">
        <w:t>Generalnie zobowiązanie podatkowe przedawnia się</w:t>
      </w:r>
      <w:r w:rsidR="00992FD0" w:rsidRPr="00EC250C">
        <w:t xml:space="preserve"> z </w:t>
      </w:r>
      <w:r w:rsidRPr="00EC250C">
        <w:t>upływem 5 lat od końca roku kalendarzowego,</w:t>
      </w:r>
      <w:r w:rsidR="00992FD0" w:rsidRPr="00EC250C">
        <w:t xml:space="preserve"> w </w:t>
      </w:r>
      <w:r w:rsidRPr="00EC250C">
        <w:t>którym upłynął termin płatności podatku. Bieg przedawnienia może jednak zostać przerwany</w:t>
      </w:r>
      <w:r w:rsidR="00992FD0" w:rsidRPr="00EC250C">
        <w:t xml:space="preserve"> i </w:t>
      </w:r>
      <w:r w:rsidRPr="00EC250C">
        <w:t>może się to m.in. stać na skutek zawiadomienia urzędu skarbowego, jeśli np. toczy się postępowanie</w:t>
      </w:r>
      <w:r w:rsidR="00992FD0" w:rsidRPr="00EC250C">
        <w:t xml:space="preserve"> o </w:t>
      </w:r>
      <w:r w:rsidRPr="00EC250C">
        <w:t xml:space="preserve">przestępstwo skarbowe. </w:t>
      </w:r>
      <w:r w:rsidR="00135B9D" w:rsidRPr="00EC250C">
        <w:t xml:space="preserve">RPO </w:t>
      </w:r>
      <w:r w:rsidRPr="00EC250C">
        <w:t>uważał</w:t>
      </w:r>
      <w:r w:rsidRPr="00EC250C">
        <w:rPr>
          <w:rStyle w:val="Odwoanieprzypisudolnego"/>
          <w:rFonts w:eastAsiaTheme="majorEastAsia"/>
        </w:rPr>
        <w:footnoteReference w:id="747"/>
      </w:r>
      <w:r w:rsidRPr="00EC250C">
        <w:t xml:space="preserve">, że samo zawiadomienie </w:t>
      </w:r>
      <w:r w:rsidR="00D91FBD" w:rsidRPr="00EC250C">
        <w:t>w trybie art. 70c ordynacji podatkowej</w:t>
      </w:r>
      <w:r w:rsidR="00D91FBD" w:rsidRPr="00EC250C">
        <w:rPr>
          <w:rStyle w:val="Odwoanieprzypisudolnego"/>
        </w:rPr>
        <w:footnoteReference w:id="748"/>
      </w:r>
      <w:r w:rsidR="00D91FBD" w:rsidRPr="00EC250C">
        <w:t xml:space="preserve"> </w:t>
      </w:r>
      <w:r w:rsidRPr="00EC250C">
        <w:t xml:space="preserve">nie wystarcza. </w:t>
      </w:r>
      <w:r w:rsidR="00D91FBD" w:rsidRPr="00EC250C">
        <w:t xml:space="preserve">Powinno </w:t>
      </w:r>
      <w:r w:rsidRPr="00EC250C">
        <w:t>ono spełniać dodatkowe warunki, by podatnik wiedział, czego konkretnie dotyczy sprawa. A zatem</w:t>
      </w:r>
      <w:r w:rsidR="00D91FBD" w:rsidRPr="00EC250C">
        <w:t xml:space="preserve"> zawiadomienie powinno:</w:t>
      </w:r>
    </w:p>
    <w:p w14:paraId="0EA98D36" w14:textId="77777777" w:rsidR="002A230A" w:rsidRPr="00EC250C" w:rsidRDefault="002A230A" w:rsidP="006C70B7">
      <w:pPr>
        <w:pStyle w:val="Styl1"/>
        <w:numPr>
          <w:ilvl w:val="0"/>
          <w:numId w:val="90"/>
        </w:numPr>
      </w:pPr>
      <w:r w:rsidRPr="00EC250C">
        <w:t>nie tylko</w:t>
      </w:r>
      <w:r w:rsidR="00D91FBD" w:rsidRPr="00EC250C">
        <w:t xml:space="preserve"> informować</w:t>
      </w:r>
      <w:r w:rsidR="004D0F80" w:rsidRPr="00EC250C">
        <w:t xml:space="preserve">, że </w:t>
      </w:r>
      <w:r w:rsidRPr="00EC250C">
        <w:t>toczy się postępowanie</w:t>
      </w:r>
      <w:r w:rsidR="00992FD0" w:rsidRPr="00EC250C">
        <w:t xml:space="preserve"> w </w:t>
      </w:r>
      <w:r w:rsidRPr="00EC250C">
        <w:t>sprawie</w:t>
      </w:r>
      <w:r w:rsidR="00992FD0" w:rsidRPr="00EC250C">
        <w:t xml:space="preserve"> o </w:t>
      </w:r>
      <w:r w:rsidRPr="00EC250C">
        <w:t>przestępstwo skarbowe lub wykroczenie skarbowe,</w:t>
      </w:r>
    </w:p>
    <w:p w14:paraId="199B0EF6" w14:textId="77777777" w:rsidR="002A230A" w:rsidRPr="00EC250C" w:rsidRDefault="002A230A" w:rsidP="006C70B7">
      <w:pPr>
        <w:pStyle w:val="Styl1"/>
        <w:numPr>
          <w:ilvl w:val="0"/>
          <w:numId w:val="90"/>
        </w:numPr>
      </w:pPr>
      <w:r w:rsidRPr="00EC250C">
        <w:t>ale także</w:t>
      </w:r>
      <w:r w:rsidR="00D91FBD" w:rsidRPr="00EC250C">
        <w:t xml:space="preserve"> wskazywać, że</w:t>
      </w:r>
      <w:r w:rsidRPr="00EC250C">
        <w:t xml:space="preserve"> postępowanie to wiąże się</w:t>
      </w:r>
      <w:r w:rsidR="00992FD0" w:rsidRPr="00EC250C">
        <w:t xml:space="preserve"> z </w:t>
      </w:r>
      <w:r w:rsidRPr="00EC250C">
        <w:t>niewykonaniem zobowiązania, którego bieg terminu zostaje zawieszony,</w:t>
      </w:r>
    </w:p>
    <w:p w14:paraId="6C99ABA3" w14:textId="77777777" w:rsidR="002A230A" w:rsidRPr="00EC250C" w:rsidRDefault="00D91FBD" w:rsidP="006C70B7">
      <w:pPr>
        <w:pStyle w:val="Styl1"/>
        <w:numPr>
          <w:ilvl w:val="0"/>
          <w:numId w:val="90"/>
        </w:numPr>
      </w:pPr>
      <w:r w:rsidRPr="00EC250C">
        <w:t xml:space="preserve">zawierać </w:t>
      </w:r>
      <w:r w:rsidR="002A230A" w:rsidRPr="00EC250C">
        <w:t>inform</w:t>
      </w:r>
      <w:r w:rsidRPr="00EC250C">
        <w:t>ację</w:t>
      </w:r>
      <w:r w:rsidR="00992FD0" w:rsidRPr="00EC250C">
        <w:t xml:space="preserve"> o </w:t>
      </w:r>
      <w:r w:rsidR="002A230A" w:rsidRPr="00EC250C">
        <w:t xml:space="preserve">zakresie przedmiotowym postępowania co najmniej poprzez wskazanie </w:t>
      </w:r>
      <w:r w:rsidR="004D0F80" w:rsidRPr="00EC250C">
        <w:t xml:space="preserve">przepisu </w:t>
      </w:r>
      <w:r w:rsidR="002A230A" w:rsidRPr="00EC250C">
        <w:t xml:space="preserve">Kodeksu karnego skarbowego </w:t>
      </w:r>
      <w:r w:rsidR="004D0F80" w:rsidRPr="00EC250C">
        <w:t xml:space="preserve">dotyczącego </w:t>
      </w:r>
      <w:r w:rsidR="002A230A" w:rsidRPr="00EC250C">
        <w:t>czynu,</w:t>
      </w:r>
      <w:r w:rsidR="00992FD0" w:rsidRPr="00EC250C">
        <w:t xml:space="preserve"> w </w:t>
      </w:r>
      <w:r w:rsidR="002A230A" w:rsidRPr="00EC250C">
        <w:t>sprawie którego wszczęto postępowanie.</w:t>
      </w:r>
      <w:r w:rsidRPr="00EC250C">
        <w:t xml:space="preserve"> </w:t>
      </w:r>
    </w:p>
    <w:p w14:paraId="5E5A75DD" w14:textId="77777777" w:rsidR="002A230A" w:rsidRPr="00EC250C" w:rsidRDefault="00D52B5C" w:rsidP="00D131FA">
      <w:pPr>
        <w:pStyle w:val="Styl1"/>
      </w:pPr>
      <w:r w:rsidRPr="00EC250C">
        <w:t>Pogląd RPO oparty był na prokonstytucyjnej wykładni, zgodnie</w:t>
      </w:r>
      <w:r w:rsidR="00992FD0" w:rsidRPr="00EC250C">
        <w:t xml:space="preserve"> z </w:t>
      </w:r>
      <w:r w:rsidRPr="00EC250C">
        <w:t>którą przepisy ordynacji podatkowej powinny być interpretowane</w:t>
      </w:r>
      <w:r w:rsidR="00992FD0" w:rsidRPr="00EC250C">
        <w:t xml:space="preserve"> w </w:t>
      </w:r>
      <w:r w:rsidRPr="00EC250C">
        <w:t xml:space="preserve">sposób zapewniający gwarancję przestrzegania zasady „wątpliwości należy rozstrzygać na korzyść podatnika” (łac. </w:t>
      </w:r>
      <w:r w:rsidRPr="00EC250C">
        <w:rPr>
          <w:rFonts w:ascii="inherit" w:hAnsi="inherit"/>
          <w:i/>
          <w:iCs/>
          <w:bdr w:val="none" w:sz="0" w:space="0" w:color="auto" w:frame="1"/>
        </w:rPr>
        <w:t>in dubio pro tributario</w:t>
      </w:r>
      <w:r w:rsidRPr="00EC250C">
        <w:t>) oraz zasady zaufania do państwa.</w:t>
      </w:r>
      <w:r w:rsidR="00D91FBD" w:rsidRPr="00EC250C">
        <w:t xml:space="preserve"> </w:t>
      </w:r>
      <w:r w:rsidR="002A230A" w:rsidRPr="00EC250C">
        <w:t xml:space="preserve">NSA nie podzielił tego poglądu. Uznał, że po zawiadomieniu </w:t>
      </w:r>
      <w:r w:rsidR="005E0AFE" w:rsidRPr="00EC250C">
        <w:t>na podstawie art. 70c ordynacji podatkowej</w:t>
      </w:r>
      <w:r w:rsidR="00992FD0" w:rsidRPr="00EC250C">
        <w:t xml:space="preserve"> o </w:t>
      </w:r>
      <w:r w:rsidR="002A230A" w:rsidRPr="00EC250C">
        <w:t>przerwaniu biegu terminu przedawnienia podatnik może we własnym zakresie dowiedzieć się</w:t>
      </w:r>
      <w:r w:rsidR="00992FD0" w:rsidRPr="00EC250C">
        <w:t xml:space="preserve"> o </w:t>
      </w:r>
      <w:r w:rsidR="002A230A" w:rsidRPr="00EC250C">
        <w:t xml:space="preserve">przyczynie. </w:t>
      </w:r>
    </w:p>
    <w:p w14:paraId="4F687D9F" w14:textId="77777777" w:rsidR="00C91F6E" w:rsidRPr="00EC250C" w:rsidRDefault="002A230A" w:rsidP="00EC250C">
      <w:pPr>
        <w:pStyle w:val="Nagwek5"/>
      </w:pPr>
      <w:r w:rsidRPr="00EC250C">
        <w:t>Zasady wykorzystani</w:t>
      </w:r>
      <w:r w:rsidR="00D52B5C" w:rsidRPr="00EC250C">
        <w:t>a</w:t>
      </w:r>
      <w:r w:rsidRPr="00EC250C">
        <w:t xml:space="preserve"> jako dowodu</w:t>
      </w:r>
      <w:r w:rsidR="00992FD0" w:rsidRPr="00EC250C">
        <w:t xml:space="preserve"> w </w:t>
      </w:r>
      <w:r w:rsidRPr="00EC250C">
        <w:t>postępowaniu podatkowym protokołów</w:t>
      </w:r>
      <w:r w:rsidR="00992FD0" w:rsidRPr="00EC250C">
        <w:t xml:space="preserve"> z </w:t>
      </w:r>
      <w:r w:rsidRPr="00EC250C">
        <w:t>podsłuchów rozmów</w:t>
      </w:r>
    </w:p>
    <w:p w14:paraId="76A80A89" w14:textId="77777777" w:rsidR="00B473F5" w:rsidRPr="00EC250C" w:rsidRDefault="002A230A" w:rsidP="00D131FA">
      <w:pPr>
        <w:pStyle w:val="Problemczowieka"/>
        <w:jc w:val="both"/>
      </w:pPr>
      <w:r w:rsidRPr="00EC250C">
        <w:t>Czy do postępowań podatkowych można wykorzystywać podsłuchy rozmów przekazane przez prokuraturę,</w:t>
      </w:r>
      <w:r w:rsidR="00992FD0" w:rsidRPr="00EC250C">
        <w:t xml:space="preserve"> a </w:t>
      </w:r>
      <w:r w:rsidRPr="00EC250C">
        <w:t>zdobyte wbrew zasadzie niewykorzystywania „owoców zatrutego drzewa”?</w:t>
      </w:r>
    </w:p>
    <w:p w14:paraId="27A91871" w14:textId="77777777" w:rsidR="002A230A" w:rsidRPr="00EC250C" w:rsidRDefault="00135B9D" w:rsidP="00D131FA">
      <w:pPr>
        <w:pStyle w:val="Styl1"/>
        <w:rPr>
          <w:bCs/>
          <w:iCs/>
        </w:rPr>
      </w:pPr>
      <w:r w:rsidRPr="00EC250C">
        <w:rPr>
          <w:bCs/>
          <w:iCs/>
        </w:rPr>
        <w:lastRenderedPageBreak/>
        <w:t>RPO</w:t>
      </w:r>
      <w:r w:rsidR="002A230A" w:rsidRPr="00EC250C">
        <w:rPr>
          <w:bCs/>
          <w:iCs/>
        </w:rPr>
        <w:t xml:space="preserve"> zgłosił udział</w:t>
      </w:r>
      <w:r w:rsidR="00992FD0" w:rsidRPr="00EC250C">
        <w:rPr>
          <w:bCs/>
          <w:iCs/>
        </w:rPr>
        <w:t xml:space="preserve"> w </w:t>
      </w:r>
      <w:r w:rsidR="002A230A" w:rsidRPr="00EC250C">
        <w:rPr>
          <w:bCs/>
          <w:iCs/>
        </w:rPr>
        <w:t>postępowaniu przed NSA</w:t>
      </w:r>
      <w:r w:rsidR="00992FD0" w:rsidRPr="00EC250C">
        <w:rPr>
          <w:bCs/>
          <w:iCs/>
        </w:rPr>
        <w:t xml:space="preserve"> w </w:t>
      </w:r>
      <w:r w:rsidR="002A230A" w:rsidRPr="00EC250C">
        <w:rPr>
          <w:bCs/>
          <w:iCs/>
        </w:rPr>
        <w:t>sprawie wykładni przepisów umożliwiających wykorzystywanie przez organy podatkowe jako dowodu</w:t>
      </w:r>
      <w:r w:rsidR="00992FD0" w:rsidRPr="00EC250C">
        <w:rPr>
          <w:bCs/>
          <w:iCs/>
        </w:rPr>
        <w:t xml:space="preserve"> w </w:t>
      </w:r>
      <w:r w:rsidR="002A230A" w:rsidRPr="00EC250C">
        <w:rPr>
          <w:bCs/>
          <w:iCs/>
        </w:rPr>
        <w:t>postępowaniu podatkowym przekazanych przez Prokuraturę protokołów (stenogramów)</w:t>
      </w:r>
      <w:r w:rsidR="00992FD0" w:rsidRPr="00EC250C">
        <w:rPr>
          <w:bCs/>
          <w:iCs/>
        </w:rPr>
        <w:t xml:space="preserve"> z </w:t>
      </w:r>
      <w:r w:rsidR="002A230A" w:rsidRPr="00EC250C">
        <w:rPr>
          <w:bCs/>
          <w:iCs/>
        </w:rPr>
        <w:t>podsłuchów rozmów, przeprowadzonych przez uprawnione do tego organy.</w:t>
      </w:r>
    </w:p>
    <w:p w14:paraId="1D1B6578" w14:textId="77777777" w:rsidR="00C91F6E" w:rsidRPr="00EC250C" w:rsidRDefault="00135B9D" w:rsidP="00D131FA">
      <w:pPr>
        <w:pStyle w:val="Styl1"/>
        <w:rPr>
          <w:bCs/>
          <w:iCs/>
        </w:rPr>
      </w:pPr>
      <w:r w:rsidRPr="00EC250C">
        <w:rPr>
          <w:bCs/>
          <w:iCs/>
        </w:rPr>
        <w:t>RPO</w:t>
      </w:r>
      <w:r w:rsidR="002A230A" w:rsidRPr="00EC250C">
        <w:rPr>
          <w:bCs/>
          <w:iCs/>
        </w:rPr>
        <w:t xml:space="preserve"> wskazał, iż dowodem</w:t>
      </w:r>
      <w:r w:rsidR="00992FD0" w:rsidRPr="00EC250C">
        <w:rPr>
          <w:bCs/>
          <w:iCs/>
        </w:rPr>
        <w:t xml:space="preserve"> w </w:t>
      </w:r>
      <w:r w:rsidR="002A230A" w:rsidRPr="00EC250C">
        <w:rPr>
          <w:bCs/>
          <w:iCs/>
        </w:rPr>
        <w:t>postępowaniu podatkowym może być tylko taki materiał, który został uzyskany</w:t>
      </w:r>
      <w:r w:rsidR="00992FD0" w:rsidRPr="00EC250C">
        <w:rPr>
          <w:bCs/>
          <w:iCs/>
        </w:rPr>
        <w:t xml:space="preserve"> w </w:t>
      </w:r>
      <w:r w:rsidR="002A230A" w:rsidRPr="00EC250C">
        <w:rPr>
          <w:bCs/>
          <w:iCs/>
        </w:rPr>
        <w:t>sposób legalny,</w:t>
      </w:r>
      <w:r w:rsidR="00992FD0" w:rsidRPr="00EC250C">
        <w:rPr>
          <w:bCs/>
          <w:iCs/>
        </w:rPr>
        <w:t xml:space="preserve"> a </w:t>
      </w:r>
      <w:r w:rsidR="002A230A" w:rsidRPr="00EC250C">
        <w:rPr>
          <w:bCs/>
          <w:iCs/>
        </w:rPr>
        <w:t>więc na podstawie orzeczenia sądu karnego. Wykorzystywanie jako dowodu</w:t>
      </w:r>
      <w:r w:rsidR="00992FD0" w:rsidRPr="00EC250C">
        <w:rPr>
          <w:bCs/>
          <w:iCs/>
        </w:rPr>
        <w:t xml:space="preserve"> w </w:t>
      </w:r>
      <w:r w:rsidR="002A230A" w:rsidRPr="00EC250C">
        <w:rPr>
          <w:bCs/>
          <w:iCs/>
        </w:rPr>
        <w:t>postępowaniu podatkowym protokołów</w:t>
      </w:r>
      <w:r w:rsidR="00992FD0" w:rsidRPr="00EC250C">
        <w:rPr>
          <w:bCs/>
          <w:iCs/>
        </w:rPr>
        <w:t xml:space="preserve"> z </w:t>
      </w:r>
      <w:r w:rsidR="002A230A" w:rsidRPr="00EC250C">
        <w:rPr>
          <w:bCs/>
          <w:iCs/>
        </w:rPr>
        <w:t>podsłuchów bez potwierdzenia, że zostały one uzyskane zgodnie</w:t>
      </w:r>
      <w:r w:rsidR="00992FD0" w:rsidRPr="00EC250C">
        <w:rPr>
          <w:bCs/>
          <w:iCs/>
        </w:rPr>
        <w:t xml:space="preserve"> z </w:t>
      </w:r>
      <w:r w:rsidR="002A230A" w:rsidRPr="00EC250C">
        <w:rPr>
          <w:bCs/>
          <w:iCs/>
        </w:rPr>
        <w:t>prawem, nie spełnia wymogów wynikających</w:t>
      </w:r>
      <w:r w:rsidR="00992FD0" w:rsidRPr="00EC250C">
        <w:rPr>
          <w:bCs/>
          <w:iCs/>
        </w:rPr>
        <w:t xml:space="preserve"> z </w:t>
      </w:r>
      <w:r w:rsidR="002A230A" w:rsidRPr="00EC250C">
        <w:rPr>
          <w:bCs/>
          <w:iCs/>
        </w:rPr>
        <w:t>orzecznictwa TSUE.</w:t>
      </w:r>
    </w:p>
    <w:p w14:paraId="3F106BD5" w14:textId="77777777" w:rsidR="00D52B5C" w:rsidRPr="00EC250C" w:rsidRDefault="00D52B5C" w:rsidP="00D131FA">
      <w:pPr>
        <w:pStyle w:val="Styl1"/>
        <w:rPr>
          <w:bCs/>
          <w:iCs/>
        </w:rPr>
      </w:pPr>
      <w:r w:rsidRPr="00EC250C">
        <w:rPr>
          <w:bCs/>
          <w:iCs/>
        </w:rPr>
        <w:t>Naczelny Sąd Administracyjny odmówił jednak podjęcia uchwały stwierdzając, że zagadnienie prawne formułowane</w:t>
      </w:r>
      <w:r w:rsidR="00992FD0" w:rsidRPr="00EC250C">
        <w:rPr>
          <w:bCs/>
          <w:iCs/>
        </w:rPr>
        <w:t xml:space="preserve"> w </w:t>
      </w:r>
      <w:r w:rsidRPr="00EC250C">
        <w:rPr>
          <w:bCs/>
          <w:iCs/>
        </w:rPr>
        <w:t>indywidualnej sprawie jest zbyt ściśle osadzone</w:t>
      </w:r>
      <w:r w:rsidR="00992FD0" w:rsidRPr="00EC250C">
        <w:rPr>
          <w:bCs/>
          <w:iCs/>
        </w:rPr>
        <w:t xml:space="preserve"> w </w:t>
      </w:r>
      <w:r w:rsidRPr="00EC250C">
        <w:rPr>
          <w:bCs/>
          <w:iCs/>
        </w:rPr>
        <w:t>jej realiach faktyczno-prawnych,</w:t>
      </w:r>
      <w:r w:rsidR="00992FD0" w:rsidRPr="00EC250C">
        <w:rPr>
          <w:bCs/>
          <w:iCs/>
        </w:rPr>
        <w:t xml:space="preserve"> a </w:t>
      </w:r>
      <w:r w:rsidRPr="00EC250C">
        <w:rPr>
          <w:bCs/>
          <w:iCs/>
        </w:rPr>
        <w:t>tych powiększony skład NSA nie może samodzielnie badać</w:t>
      </w:r>
      <w:r w:rsidR="00D91FBD" w:rsidRPr="00EC250C">
        <w:rPr>
          <w:rStyle w:val="Odwoanieprzypisudolnego"/>
          <w:rFonts w:eastAsiaTheme="majorEastAsia"/>
          <w:bCs/>
        </w:rPr>
        <w:footnoteReference w:id="749"/>
      </w:r>
      <w:r w:rsidRPr="00EC250C">
        <w:rPr>
          <w:bCs/>
          <w:iCs/>
        </w:rPr>
        <w:t>.</w:t>
      </w:r>
    </w:p>
    <w:p w14:paraId="7405AFE7" w14:textId="77777777" w:rsidR="002A230A" w:rsidRPr="00EC250C" w:rsidRDefault="002A230A" w:rsidP="00EC250C">
      <w:pPr>
        <w:pStyle w:val="Nagwek8"/>
      </w:pPr>
      <w:r w:rsidRPr="00EC250C">
        <w:t>Drugie wydanie poradnika „Zasada rozstrzygania wątpliwości na korzyść podatnika”</w:t>
      </w:r>
    </w:p>
    <w:p w14:paraId="193A35D8" w14:textId="77777777" w:rsidR="00C91F6E" w:rsidRPr="00EC250C" w:rsidRDefault="002A230A" w:rsidP="00D131FA">
      <w:pPr>
        <w:pStyle w:val="Styl2"/>
        <w:rPr>
          <w:szCs w:val="24"/>
        </w:rPr>
      </w:pPr>
      <w:r w:rsidRPr="00EC250C">
        <w:rPr>
          <w:szCs w:val="24"/>
        </w:rPr>
        <w:t>W lipcu 2018</w:t>
      </w:r>
      <w:r w:rsidR="00C91F6E" w:rsidRPr="00EC250C">
        <w:rPr>
          <w:szCs w:val="24"/>
        </w:rPr>
        <w:t> r.</w:t>
      </w:r>
      <w:r w:rsidRPr="00EC250C">
        <w:rPr>
          <w:szCs w:val="24"/>
        </w:rPr>
        <w:t xml:space="preserve"> </w:t>
      </w:r>
      <w:r w:rsidR="00135B9D" w:rsidRPr="00EC250C">
        <w:rPr>
          <w:szCs w:val="24"/>
        </w:rPr>
        <w:t xml:space="preserve">RPO </w:t>
      </w:r>
      <w:r w:rsidRPr="00EC250C">
        <w:rPr>
          <w:szCs w:val="24"/>
        </w:rPr>
        <w:t>opublikował drugą edycję praktycznego poradnika objaśniającego działanie zasady rozstrzygania wątpliwości na korzyść podatnika (</w:t>
      </w:r>
      <w:r w:rsidRPr="00EC250C">
        <w:rPr>
          <w:i/>
          <w:szCs w:val="24"/>
        </w:rPr>
        <w:t>in dubio pro tributario</w:t>
      </w:r>
      <w:r w:rsidRPr="00EC250C">
        <w:rPr>
          <w:szCs w:val="24"/>
        </w:rPr>
        <w:t>).</w:t>
      </w:r>
      <w:r w:rsidR="00B22652" w:rsidRPr="00EC250C">
        <w:rPr>
          <w:szCs w:val="24"/>
        </w:rPr>
        <w:t xml:space="preserve"> Autorką jest Elżbieta Góźdź z BRPO.</w:t>
      </w:r>
    </w:p>
    <w:p w14:paraId="69305BEF" w14:textId="77777777" w:rsidR="00C91F6E" w:rsidRPr="00EC250C" w:rsidRDefault="002A230A" w:rsidP="00D131FA">
      <w:pPr>
        <w:pStyle w:val="Styl2"/>
        <w:rPr>
          <w:szCs w:val="24"/>
        </w:rPr>
      </w:pPr>
      <w:r w:rsidRPr="00EC250C">
        <w:rPr>
          <w:szCs w:val="24"/>
        </w:rPr>
        <w:t>Oprócz najważniejszych informacji na temat tej zasady,</w:t>
      </w:r>
      <w:r w:rsidR="00992FD0" w:rsidRPr="00EC250C">
        <w:rPr>
          <w:szCs w:val="24"/>
        </w:rPr>
        <w:t xml:space="preserve"> w </w:t>
      </w:r>
      <w:r w:rsidRPr="00EC250C">
        <w:rPr>
          <w:szCs w:val="24"/>
        </w:rPr>
        <w:t>zaktualizowanej publikacji zawarte zostały odwołania do tez wynikających</w:t>
      </w:r>
      <w:r w:rsidR="00992FD0" w:rsidRPr="00EC250C">
        <w:rPr>
          <w:szCs w:val="24"/>
        </w:rPr>
        <w:t xml:space="preserve"> z </w:t>
      </w:r>
      <w:r w:rsidRPr="00EC250C">
        <w:rPr>
          <w:szCs w:val="24"/>
        </w:rPr>
        <w:t>najnowszego orzecznictwa Trybunału Konstytucyjnego oraz sądów administracyjnych,</w:t>
      </w:r>
      <w:r w:rsidR="00992FD0" w:rsidRPr="00EC250C">
        <w:rPr>
          <w:szCs w:val="24"/>
        </w:rPr>
        <w:t xml:space="preserve"> a </w:t>
      </w:r>
      <w:r w:rsidRPr="00EC250C">
        <w:rPr>
          <w:szCs w:val="24"/>
        </w:rPr>
        <w:t>także projektu nowej Ordynacji podatkowej opracowanego przez Komisję Kodyfikacyjną Ogólnego Prawa Podatkowego. Poradnik dostępny jest</w:t>
      </w:r>
      <w:r w:rsidR="00992FD0" w:rsidRPr="00EC250C">
        <w:rPr>
          <w:szCs w:val="24"/>
        </w:rPr>
        <w:t xml:space="preserve"> w </w:t>
      </w:r>
      <w:r w:rsidRPr="00EC250C">
        <w:rPr>
          <w:szCs w:val="24"/>
        </w:rPr>
        <w:t xml:space="preserve">formie elektronicznej na stronach internetowych </w:t>
      </w:r>
      <w:r w:rsidR="00135B9D" w:rsidRPr="00EC250C">
        <w:rPr>
          <w:szCs w:val="24"/>
        </w:rPr>
        <w:t>RPO</w:t>
      </w:r>
      <w:r w:rsidRPr="00EC250C">
        <w:rPr>
          <w:rStyle w:val="Odwoanieprzypisudolnego"/>
          <w:szCs w:val="24"/>
        </w:rPr>
        <w:footnoteReference w:id="750"/>
      </w:r>
      <w:r w:rsidRPr="00EC250C">
        <w:rPr>
          <w:szCs w:val="24"/>
        </w:rPr>
        <w:t>.</w:t>
      </w:r>
    </w:p>
    <w:p w14:paraId="7F43D010" w14:textId="77777777" w:rsidR="002A230A" w:rsidRPr="00EC250C" w:rsidRDefault="00D83A55" w:rsidP="00EC79EB">
      <w:pPr>
        <w:pStyle w:val="Nagwek4"/>
      </w:pPr>
      <w:bookmarkStart w:id="737" w:name="_Toc11247856"/>
      <w:r w:rsidRPr="00EC250C">
        <w:t>Pułapki</w:t>
      </w:r>
      <w:r w:rsidR="00992FD0" w:rsidRPr="00EC250C">
        <w:t xml:space="preserve"> w </w:t>
      </w:r>
      <w:r w:rsidRPr="00EC250C">
        <w:t>p</w:t>
      </w:r>
      <w:r w:rsidR="002A230A" w:rsidRPr="00EC250C">
        <w:t>odatk</w:t>
      </w:r>
      <w:r w:rsidRPr="00EC250C">
        <w:t>u</w:t>
      </w:r>
      <w:r w:rsidR="002A230A" w:rsidRPr="00EC250C">
        <w:t xml:space="preserve"> dochodowy</w:t>
      </w:r>
      <w:r w:rsidRPr="00EC250C">
        <w:t>m</w:t>
      </w:r>
      <w:r w:rsidR="002A230A" w:rsidRPr="00EC250C">
        <w:t xml:space="preserve"> od osób fizycznych</w:t>
      </w:r>
      <w:bookmarkEnd w:id="737"/>
    </w:p>
    <w:p w14:paraId="6791F9C2" w14:textId="77777777" w:rsidR="002A230A" w:rsidRPr="00EC250C" w:rsidRDefault="002A230A" w:rsidP="00EC250C">
      <w:pPr>
        <w:pStyle w:val="Nagwek5"/>
      </w:pPr>
      <w:r w:rsidRPr="00EC250C">
        <w:t>Co dalej</w:t>
      </w:r>
      <w:r w:rsidR="00992FD0" w:rsidRPr="00EC250C">
        <w:t xml:space="preserve"> z </w:t>
      </w:r>
      <w:r w:rsidRPr="00EC250C">
        <w:rPr>
          <w:rFonts w:hint="eastAsia"/>
        </w:rPr>
        <w:t>tzw. ofiar</w:t>
      </w:r>
      <w:r w:rsidRPr="00EC250C">
        <w:t>ami</w:t>
      </w:r>
      <w:r w:rsidRPr="00EC250C">
        <w:rPr>
          <w:rFonts w:hint="eastAsia"/>
        </w:rPr>
        <w:t xml:space="preserve"> ulgi meldunkowej</w:t>
      </w:r>
      <w:r w:rsidRPr="00EC250C">
        <w:t>?</w:t>
      </w:r>
    </w:p>
    <w:p w14:paraId="662782BB" w14:textId="77777777" w:rsidR="00B473F5" w:rsidRPr="00EC250C" w:rsidRDefault="002A230A" w:rsidP="00D131FA">
      <w:pPr>
        <w:pStyle w:val="Problemczowieka"/>
        <w:jc w:val="both"/>
        <w:rPr>
          <w:lang w:eastAsia="en-US"/>
        </w:rPr>
      </w:pPr>
      <w:bookmarkStart w:id="738" w:name="_Hlk8211759"/>
      <w:r w:rsidRPr="00EC250C">
        <w:rPr>
          <w:lang w:eastAsia="en-US"/>
        </w:rPr>
        <w:t>Ofiary ulgi meldunkowej to osoby, które</w:t>
      </w:r>
      <w:r w:rsidR="00992FD0" w:rsidRPr="00EC250C">
        <w:rPr>
          <w:lang w:eastAsia="en-US"/>
        </w:rPr>
        <w:t xml:space="preserve"> w </w:t>
      </w:r>
      <w:r w:rsidRPr="00EC250C">
        <w:rPr>
          <w:lang w:eastAsia="en-US"/>
        </w:rPr>
        <w:t>latach 2007-2008 kupiły mieszkanie,</w:t>
      </w:r>
      <w:r w:rsidR="00992FD0" w:rsidRPr="00EC250C">
        <w:rPr>
          <w:lang w:eastAsia="en-US"/>
        </w:rPr>
        <w:t xml:space="preserve"> a </w:t>
      </w:r>
      <w:r w:rsidRPr="00EC250C">
        <w:rPr>
          <w:lang w:eastAsia="en-US"/>
        </w:rPr>
        <w:t>następnie sprzedały je przed upływem 5 lat. Może to dotyczyć</w:t>
      </w:r>
      <w:r w:rsidR="00992FD0" w:rsidRPr="00EC250C">
        <w:rPr>
          <w:lang w:eastAsia="en-US"/>
        </w:rPr>
        <w:t xml:space="preserve"> w </w:t>
      </w:r>
      <w:r w:rsidRPr="00EC250C">
        <w:rPr>
          <w:lang w:eastAsia="en-US"/>
        </w:rPr>
        <w:t>sumie kilkunastu tysięcy osób. Urzędy skarbowe żądały od nich zaległego podatku,</w:t>
      </w:r>
      <w:r w:rsidR="00992FD0" w:rsidRPr="00EC250C">
        <w:rPr>
          <w:lang w:eastAsia="en-US"/>
        </w:rPr>
        <w:t xml:space="preserve"> a </w:t>
      </w:r>
      <w:r w:rsidRPr="00EC250C">
        <w:rPr>
          <w:lang w:eastAsia="en-US"/>
        </w:rPr>
        <w:t>pretekstem był brak oświadczenia</w:t>
      </w:r>
      <w:r w:rsidR="00992FD0" w:rsidRPr="00EC250C">
        <w:rPr>
          <w:lang w:eastAsia="en-US"/>
        </w:rPr>
        <w:t xml:space="preserve"> o </w:t>
      </w:r>
      <w:r w:rsidRPr="00EC250C">
        <w:rPr>
          <w:lang w:eastAsia="en-US"/>
        </w:rPr>
        <w:t>zameldowaniu</w:t>
      </w:r>
      <w:r w:rsidR="00992FD0" w:rsidRPr="00EC250C">
        <w:rPr>
          <w:lang w:eastAsia="en-US"/>
        </w:rPr>
        <w:t xml:space="preserve"> w </w:t>
      </w:r>
      <w:r w:rsidRPr="00EC250C">
        <w:rPr>
          <w:lang w:eastAsia="en-US"/>
        </w:rPr>
        <w:t>takim lokalu</w:t>
      </w:r>
      <w:r w:rsidR="00B473F5" w:rsidRPr="00EC250C">
        <w:rPr>
          <w:lang w:eastAsia="en-US"/>
        </w:rPr>
        <w:t>.</w:t>
      </w:r>
    </w:p>
    <w:bookmarkEnd w:id="738"/>
    <w:p w14:paraId="14CF386C" w14:textId="77777777" w:rsidR="00C91F6E" w:rsidRPr="00EC250C" w:rsidRDefault="002A230A" w:rsidP="00D131FA">
      <w:pPr>
        <w:pStyle w:val="Styl1"/>
        <w:rPr>
          <w:bCs/>
          <w:iCs/>
          <w:lang w:eastAsia="en-US"/>
        </w:rPr>
      </w:pPr>
      <w:r w:rsidRPr="00EC250C">
        <w:rPr>
          <w:bCs/>
          <w:iCs/>
          <w:lang w:eastAsia="en-US"/>
        </w:rPr>
        <w:t>W 2018</w:t>
      </w:r>
      <w:r w:rsidR="00C91F6E" w:rsidRPr="00EC250C">
        <w:rPr>
          <w:bCs/>
          <w:iCs/>
          <w:lang w:eastAsia="en-US"/>
        </w:rPr>
        <w:t> r.</w:t>
      </w:r>
      <w:r w:rsidRPr="00EC250C">
        <w:rPr>
          <w:bCs/>
          <w:iCs/>
          <w:lang w:eastAsia="en-US"/>
        </w:rPr>
        <w:t xml:space="preserve"> </w:t>
      </w:r>
      <w:r w:rsidR="00135B9D" w:rsidRPr="00EC250C">
        <w:rPr>
          <w:bCs/>
          <w:iCs/>
          <w:lang w:eastAsia="en-US"/>
        </w:rPr>
        <w:t>RPO</w:t>
      </w:r>
      <w:r w:rsidRPr="00EC250C">
        <w:rPr>
          <w:bCs/>
          <w:iCs/>
          <w:lang w:eastAsia="en-US"/>
        </w:rPr>
        <w:t xml:space="preserve"> dalej prowadził działania na rzecz tych osób. W stanowiącym kontynuację korespondencji wystąpieniu do Ministra Finansów</w:t>
      </w:r>
      <w:r w:rsidRPr="00EC250C">
        <w:rPr>
          <w:rStyle w:val="Odwoanieprzypisudolnego"/>
          <w:rFonts w:eastAsiaTheme="majorEastAsia"/>
          <w:bCs/>
          <w:lang w:eastAsia="en-US"/>
        </w:rPr>
        <w:footnoteReference w:id="751"/>
      </w:r>
      <w:r w:rsidRPr="00EC250C">
        <w:rPr>
          <w:bCs/>
          <w:iCs/>
          <w:lang w:eastAsia="en-US"/>
        </w:rPr>
        <w:t xml:space="preserve"> pokreślił m.in., że skoro</w:t>
      </w:r>
      <w:r w:rsidR="00992FD0" w:rsidRPr="00EC250C">
        <w:rPr>
          <w:bCs/>
          <w:iCs/>
          <w:lang w:eastAsia="en-US"/>
        </w:rPr>
        <w:t xml:space="preserve"> w </w:t>
      </w:r>
      <w:r w:rsidRPr="00EC250C">
        <w:rPr>
          <w:bCs/>
          <w:iCs/>
          <w:lang w:eastAsia="en-US"/>
        </w:rPr>
        <w:t>przepisach podatkowych nie określono ani treści ani też formy,</w:t>
      </w:r>
      <w:r w:rsidR="00992FD0" w:rsidRPr="00EC250C">
        <w:rPr>
          <w:bCs/>
          <w:iCs/>
          <w:lang w:eastAsia="en-US"/>
        </w:rPr>
        <w:t xml:space="preserve"> w </w:t>
      </w:r>
      <w:r w:rsidRPr="00EC250C">
        <w:rPr>
          <w:bCs/>
          <w:iCs/>
          <w:lang w:eastAsia="en-US"/>
        </w:rPr>
        <w:t>jakiej należy oświadczenie</w:t>
      </w:r>
      <w:r w:rsidR="00992FD0" w:rsidRPr="00EC250C">
        <w:rPr>
          <w:bCs/>
          <w:iCs/>
          <w:lang w:eastAsia="en-US"/>
        </w:rPr>
        <w:t xml:space="preserve"> o </w:t>
      </w:r>
      <w:r w:rsidRPr="00EC250C">
        <w:rPr>
          <w:bCs/>
          <w:iCs/>
          <w:lang w:eastAsia="en-US"/>
        </w:rPr>
        <w:t>zameldowaniu złożyć, należałoby dopuścić ewentualność jego odzwierciedlenia</w:t>
      </w:r>
      <w:r w:rsidR="00992FD0" w:rsidRPr="00EC250C">
        <w:rPr>
          <w:bCs/>
          <w:iCs/>
          <w:lang w:eastAsia="en-US"/>
        </w:rPr>
        <w:t xml:space="preserve"> w </w:t>
      </w:r>
      <w:r w:rsidR="00D91FBD" w:rsidRPr="00EC250C">
        <w:rPr>
          <w:bCs/>
          <w:iCs/>
          <w:lang w:eastAsia="en-US"/>
        </w:rPr>
        <w:t>d</w:t>
      </w:r>
      <w:r w:rsidRPr="00EC250C">
        <w:rPr>
          <w:bCs/>
          <w:iCs/>
          <w:lang w:eastAsia="en-US"/>
        </w:rPr>
        <w:t>orozumiany sposób</w:t>
      </w:r>
      <w:r w:rsidR="00992FD0" w:rsidRPr="00EC250C">
        <w:rPr>
          <w:bCs/>
          <w:iCs/>
          <w:lang w:eastAsia="en-US"/>
        </w:rPr>
        <w:t xml:space="preserve"> </w:t>
      </w:r>
      <w:r w:rsidR="00FB041C" w:rsidRPr="00EC250C">
        <w:rPr>
          <w:bCs/>
          <w:iCs/>
          <w:lang w:eastAsia="en-US"/>
        </w:rPr>
        <w:t xml:space="preserve">np. na </w:t>
      </w:r>
      <w:r w:rsidR="00FB041C" w:rsidRPr="00EC250C">
        <w:rPr>
          <w:bCs/>
          <w:iCs/>
          <w:lang w:eastAsia="en-US"/>
        </w:rPr>
        <w:lastRenderedPageBreak/>
        <w:t xml:space="preserve">podstawie </w:t>
      </w:r>
      <w:r w:rsidRPr="00EC250C">
        <w:rPr>
          <w:bCs/>
          <w:iCs/>
          <w:lang w:eastAsia="en-US"/>
        </w:rPr>
        <w:t>zezna</w:t>
      </w:r>
      <w:r w:rsidR="00FB041C" w:rsidRPr="00EC250C">
        <w:rPr>
          <w:bCs/>
          <w:iCs/>
          <w:lang w:eastAsia="en-US"/>
        </w:rPr>
        <w:t>ń</w:t>
      </w:r>
      <w:r w:rsidRPr="00EC250C">
        <w:rPr>
          <w:bCs/>
          <w:iCs/>
          <w:lang w:eastAsia="en-US"/>
        </w:rPr>
        <w:t xml:space="preserve"> podatkow</w:t>
      </w:r>
      <w:r w:rsidR="00FB041C" w:rsidRPr="00EC250C">
        <w:rPr>
          <w:bCs/>
          <w:iCs/>
          <w:lang w:eastAsia="en-US"/>
        </w:rPr>
        <w:t>ych</w:t>
      </w:r>
      <w:r w:rsidRPr="00EC250C">
        <w:rPr>
          <w:bCs/>
          <w:iCs/>
          <w:lang w:eastAsia="en-US"/>
        </w:rPr>
        <w:t xml:space="preserve">, czy </w:t>
      </w:r>
      <w:r w:rsidR="00FB041C" w:rsidRPr="00EC250C">
        <w:rPr>
          <w:bCs/>
          <w:iCs/>
          <w:lang w:eastAsia="en-US"/>
        </w:rPr>
        <w:t xml:space="preserve">informacji o zameldowaniu widniejącej w </w:t>
      </w:r>
      <w:r w:rsidRPr="00EC250C">
        <w:rPr>
          <w:bCs/>
          <w:iCs/>
          <w:lang w:eastAsia="en-US"/>
        </w:rPr>
        <w:t>akt</w:t>
      </w:r>
      <w:r w:rsidR="00FB041C" w:rsidRPr="00EC250C">
        <w:rPr>
          <w:bCs/>
          <w:iCs/>
          <w:lang w:eastAsia="en-US"/>
        </w:rPr>
        <w:t>ach</w:t>
      </w:r>
      <w:r w:rsidRPr="00EC250C">
        <w:rPr>
          <w:bCs/>
          <w:iCs/>
          <w:lang w:eastAsia="en-US"/>
        </w:rPr>
        <w:t xml:space="preserve"> notarialny</w:t>
      </w:r>
      <w:r w:rsidR="00FB041C" w:rsidRPr="00EC250C">
        <w:rPr>
          <w:bCs/>
          <w:iCs/>
          <w:lang w:eastAsia="en-US"/>
        </w:rPr>
        <w:t>ch</w:t>
      </w:r>
      <w:r w:rsidRPr="00EC250C">
        <w:rPr>
          <w:bCs/>
          <w:iCs/>
          <w:lang w:eastAsia="en-US"/>
        </w:rPr>
        <w:t xml:space="preserve"> przekazywany</w:t>
      </w:r>
      <w:r w:rsidR="00FB041C" w:rsidRPr="00EC250C">
        <w:rPr>
          <w:bCs/>
          <w:iCs/>
          <w:lang w:eastAsia="en-US"/>
        </w:rPr>
        <w:t>ch</w:t>
      </w:r>
      <w:r w:rsidRPr="00EC250C">
        <w:rPr>
          <w:bCs/>
          <w:iCs/>
          <w:lang w:eastAsia="en-US"/>
        </w:rPr>
        <w:t xml:space="preserve"> organom podatkowym przez notariuszy.</w:t>
      </w:r>
    </w:p>
    <w:p w14:paraId="6CB43DB4" w14:textId="77777777" w:rsidR="00C91F6E" w:rsidRPr="00EC250C" w:rsidRDefault="002A230A" w:rsidP="00D131FA">
      <w:pPr>
        <w:pStyle w:val="Styl1"/>
        <w:rPr>
          <w:bCs/>
          <w:iCs/>
          <w:lang w:eastAsia="en-US"/>
        </w:rPr>
      </w:pPr>
      <w:r w:rsidRPr="00EC250C">
        <w:rPr>
          <w:bCs/>
          <w:iCs/>
          <w:lang w:eastAsia="en-US"/>
        </w:rPr>
        <w:t>Minister stwierdził, że nie znajduje podstaw do zmiany stanowiska</w:t>
      </w:r>
      <w:r w:rsidR="00992FD0" w:rsidRPr="00EC250C">
        <w:rPr>
          <w:bCs/>
          <w:iCs/>
          <w:lang w:eastAsia="en-US"/>
        </w:rPr>
        <w:t xml:space="preserve"> i </w:t>
      </w:r>
      <w:r w:rsidRPr="00EC250C">
        <w:rPr>
          <w:bCs/>
          <w:iCs/>
          <w:lang w:eastAsia="en-US"/>
        </w:rPr>
        <w:t>rozwiązania problemu tzw. ulgowiczów</w:t>
      </w:r>
      <w:r w:rsidR="00992FD0" w:rsidRPr="00EC250C">
        <w:rPr>
          <w:bCs/>
          <w:iCs/>
          <w:lang w:eastAsia="en-US"/>
        </w:rPr>
        <w:t xml:space="preserve"> </w:t>
      </w:r>
      <w:r w:rsidRPr="00EC250C">
        <w:rPr>
          <w:bCs/>
          <w:iCs/>
          <w:lang w:eastAsia="en-US"/>
        </w:rPr>
        <w:t>np.</w:t>
      </w:r>
      <w:r w:rsidR="00992FD0" w:rsidRPr="00EC250C">
        <w:rPr>
          <w:bCs/>
          <w:iCs/>
          <w:lang w:eastAsia="en-US"/>
        </w:rPr>
        <w:t xml:space="preserve"> w </w:t>
      </w:r>
      <w:r w:rsidRPr="00EC250C">
        <w:rPr>
          <w:bCs/>
          <w:iCs/>
          <w:lang w:eastAsia="en-US"/>
        </w:rPr>
        <w:t>formie wydania interpretacji ogólnej prawa podatkowego.</w:t>
      </w:r>
    </w:p>
    <w:p w14:paraId="59B0249D" w14:textId="77777777" w:rsidR="002A230A" w:rsidRPr="00EC250C" w:rsidRDefault="002A230A" w:rsidP="00D131FA">
      <w:pPr>
        <w:pStyle w:val="Styl1"/>
        <w:rPr>
          <w:bCs/>
          <w:iCs/>
          <w:lang w:eastAsia="en-US"/>
        </w:rPr>
      </w:pPr>
      <w:r w:rsidRPr="00EC250C">
        <w:rPr>
          <w:bCs/>
          <w:iCs/>
          <w:lang w:eastAsia="en-US"/>
        </w:rPr>
        <w:t xml:space="preserve">Pozostały zatem </w:t>
      </w:r>
      <w:r w:rsidR="00135B9D" w:rsidRPr="00EC250C">
        <w:rPr>
          <w:bCs/>
          <w:iCs/>
          <w:lang w:eastAsia="en-US"/>
        </w:rPr>
        <w:t xml:space="preserve">RPO </w:t>
      </w:r>
      <w:r w:rsidRPr="00EC250C">
        <w:rPr>
          <w:bCs/>
          <w:iCs/>
          <w:lang w:eastAsia="en-US"/>
        </w:rPr>
        <w:t>działania procesowe</w:t>
      </w:r>
      <w:r w:rsidR="00B22652" w:rsidRPr="00EC250C">
        <w:rPr>
          <w:bCs/>
          <w:iCs/>
          <w:lang w:eastAsia="en-US"/>
        </w:rPr>
        <w:t>, czyli przystępowanie do spraw obywateli po to, by zwrócić uwagę sądom administracyjnym na ważne argumenty na rzecz podatników.</w:t>
      </w:r>
    </w:p>
    <w:p w14:paraId="55798F8C" w14:textId="77777777" w:rsidR="002A230A" w:rsidRPr="00EC250C" w:rsidRDefault="002A230A" w:rsidP="00EC250C">
      <w:pPr>
        <w:pStyle w:val="Nagwek8"/>
      </w:pPr>
      <w:r w:rsidRPr="00EC250C">
        <w:t>NSA</w:t>
      </w:r>
      <w:r w:rsidR="00992FD0" w:rsidRPr="00EC250C">
        <w:t xml:space="preserve"> w </w:t>
      </w:r>
      <w:r w:rsidRPr="00EC250C">
        <w:t>sprawie pana Henryka – informacja</w:t>
      </w:r>
      <w:r w:rsidR="00992FD0" w:rsidRPr="00EC250C">
        <w:t xml:space="preserve"> o </w:t>
      </w:r>
      <w:r w:rsidRPr="00EC250C">
        <w:t>zameldowaniu</w:t>
      </w:r>
      <w:r w:rsidR="00992FD0" w:rsidRPr="00EC250C">
        <w:t xml:space="preserve"> w </w:t>
      </w:r>
      <w:r w:rsidRPr="00EC250C">
        <w:t>akcie notarialnym wystarczająca do uzyskania ulgi meldunkowej.</w:t>
      </w:r>
    </w:p>
    <w:p w14:paraId="3384D902" w14:textId="77777777" w:rsidR="002A230A" w:rsidRPr="00EC250C" w:rsidRDefault="002A230A" w:rsidP="00D131FA">
      <w:pPr>
        <w:pStyle w:val="Styl2"/>
        <w:rPr>
          <w:szCs w:val="24"/>
        </w:rPr>
      </w:pPr>
      <w:bookmarkStart w:id="739" w:name="_Hlk8211768"/>
      <w:r w:rsidRPr="00EC250C">
        <w:rPr>
          <w:szCs w:val="24"/>
        </w:rPr>
        <w:t>Pan Henryk był jedną</w:t>
      </w:r>
      <w:r w:rsidR="00992FD0" w:rsidRPr="00EC250C">
        <w:rPr>
          <w:szCs w:val="24"/>
        </w:rPr>
        <w:t xml:space="preserve"> z </w:t>
      </w:r>
      <w:r w:rsidRPr="00EC250C">
        <w:rPr>
          <w:szCs w:val="24"/>
        </w:rPr>
        <w:t>tzw. ofiar ulgi meldunkowej. Organy podatkowe żądały od niego kilkudziesięciu tysięcy złotych zaległego podatku</w:t>
      </w:r>
      <w:r w:rsidR="00FB041C" w:rsidRPr="00EC250C">
        <w:rPr>
          <w:szCs w:val="24"/>
        </w:rPr>
        <w:t xml:space="preserve">. Takie </w:t>
      </w:r>
      <w:r w:rsidRPr="00EC250C">
        <w:rPr>
          <w:szCs w:val="24"/>
        </w:rPr>
        <w:t>stanowisko, co do zasady, podtrzymał Wojewódzki Sąd Administracyjny</w:t>
      </w:r>
      <w:r w:rsidR="00992FD0" w:rsidRPr="00EC250C">
        <w:rPr>
          <w:szCs w:val="24"/>
        </w:rPr>
        <w:t xml:space="preserve"> w </w:t>
      </w:r>
      <w:r w:rsidRPr="00EC250C">
        <w:rPr>
          <w:szCs w:val="24"/>
        </w:rPr>
        <w:t xml:space="preserve">Lublinie. </w:t>
      </w:r>
      <w:r w:rsidR="00135B9D" w:rsidRPr="00EC250C">
        <w:rPr>
          <w:szCs w:val="24"/>
        </w:rPr>
        <w:t>RPO</w:t>
      </w:r>
      <w:r w:rsidR="00992FD0" w:rsidRPr="00EC250C">
        <w:rPr>
          <w:szCs w:val="24"/>
        </w:rPr>
        <w:t xml:space="preserve"> o </w:t>
      </w:r>
      <w:r w:rsidRPr="00EC250C">
        <w:rPr>
          <w:szCs w:val="24"/>
        </w:rPr>
        <w:t>sprawie dowiedział się</w:t>
      </w:r>
      <w:r w:rsidR="00992FD0" w:rsidRPr="00EC250C">
        <w:rPr>
          <w:szCs w:val="24"/>
        </w:rPr>
        <w:t xml:space="preserve"> z </w:t>
      </w:r>
      <w:r w:rsidRPr="00EC250C">
        <w:rPr>
          <w:szCs w:val="24"/>
        </w:rPr>
        <w:t>mediów</w:t>
      </w:r>
      <w:r w:rsidR="00992FD0" w:rsidRPr="00EC250C">
        <w:rPr>
          <w:szCs w:val="24"/>
        </w:rPr>
        <w:t xml:space="preserve"> i </w:t>
      </w:r>
      <w:r w:rsidRPr="00EC250C">
        <w:rPr>
          <w:szCs w:val="24"/>
        </w:rPr>
        <w:t>przystąpił do niej na etapie kasacyjnym</w:t>
      </w:r>
      <w:r w:rsidRPr="00EC250C">
        <w:rPr>
          <w:rStyle w:val="Odwoanieprzypisudolnego"/>
          <w:rFonts w:eastAsiaTheme="majorEastAsia"/>
          <w:bCs w:val="0"/>
          <w:szCs w:val="24"/>
          <w:lang w:eastAsia="en-US"/>
        </w:rPr>
        <w:footnoteReference w:id="752"/>
      </w:r>
      <w:r w:rsidR="00FB041C" w:rsidRPr="00EC250C">
        <w:rPr>
          <w:szCs w:val="24"/>
        </w:rPr>
        <w:t xml:space="preserve">. Udało mu </w:t>
      </w:r>
      <w:r w:rsidRPr="00EC250C">
        <w:rPr>
          <w:szCs w:val="24"/>
        </w:rPr>
        <w:t xml:space="preserve">się przekonać Naczelny Sąd Administracyjny do wydania korzystnego dla </w:t>
      </w:r>
      <w:r w:rsidR="00FB041C" w:rsidRPr="00EC250C">
        <w:rPr>
          <w:szCs w:val="24"/>
        </w:rPr>
        <w:t>p</w:t>
      </w:r>
      <w:r w:rsidRPr="00EC250C">
        <w:rPr>
          <w:szCs w:val="24"/>
        </w:rPr>
        <w:t>ana Henryka rozstrzygnięcia. NSA stwierdził, że wystarczająca do skorzystania</w:t>
      </w:r>
      <w:r w:rsidR="00992FD0" w:rsidRPr="00EC250C">
        <w:rPr>
          <w:szCs w:val="24"/>
        </w:rPr>
        <w:t xml:space="preserve"> z </w:t>
      </w:r>
      <w:r w:rsidRPr="00EC250C">
        <w:rPr>
          <w:szCs w:val="24"/>
        </w:rPr>
        <w:t>ulgi była</w:t>
      </w:r>
      <w:r w:rsidR="00992FD0" w:rsidRPr="00EC250C">
        <w:rPr>
          <w:szCs w:val="24"/>
        </w:rPr>
        <w:t xml:space="preserve"> w </w:t>
      </w:r>
      <w:r w:rsidRPr="00EC250C">
        <w:rPr>
          <w:szCs w:val="24"/>
        </w:rPr>
        <w:t>tej sprawie informacja</w:t>
      </w:r>
      <w:r w:rsidR="00992FD0" w:rsidRPr="00EC250C">
        <w:rPr>
          <w:szCs w:val="24"/>
        </w:rPr>
        <w:t xml:space="preserve"> o </w:t>
      </w:r>
      <w:r w:rsidRPr="00EC250C">
        <w:rPr>
          <w:szCs w:val="24"/>
        </w:rPr>
        <w:t>zameldowaniu zawarta</w:t>
      </w:r>
      <w:r w:rsidR="00992FD0" w:rsidRPr="00EC250C">
        <w:rPr>
          <w:szCs w:val="24"/>
        </w:rPr>
        <w:t xml:space="preserve"> w </w:t>
      </w:r>
      <w:r w:rsidRPr="00EC250C">
        <w:rPr>
          <w:szCs w:val="24"/>
        </w:rPr>
        <w:t>akcie notarialnym sprzedaży lokalu – nie było potrzebne dodatkowe oświadczenie.</w:t>
      </w:r>
    </w:p>
    <w:bookmarkEnd w:id="739"/>
    <w:p w14:paraId="0A85F1D4" w14:textId="77777777" w:rsidR="002A230A" w:rsidRPr="00EC250C" w:rsidRDefault="002A230A" w:rsidP="00D131FA">
      <w:pPr>
        <w:pStyle w:val="Styl1"/>
        <w:spacing w:before="240"/>
      </w:pPr>
      <w:r w:rsidRPr="00EC250C">
        <w:rPr>
          <w:bCs/>
          <w:iCs/>
          <w:lang w:eastAsia="en-US"/>
        </w:rPr>
        <w:t>Liczne wygrane przez podatników sprawy sądowe,</w:t>
      </w:r>
      <w:r w:rsidR="00992FD0" w:rsidRPr="00EC250C">
        <w:rPr>
          <w:bCs/>
          <w:iCs/>
          <w:lang w:eastAsia="en-US"/>
        </w:rPr>
        <w:t xml:space="preserve"> w </w:t>
      </w:r>
      <w:r w:rsidRPr="00EC250C">
        <w:rPr>
          <w:bCs/>
          <w:iCs/>
          <w:lang w:eastAsia="en-US"/>
        </w:rPr>
        <w:t xml:space="preserve">tym te, do których przystępował </w:t>
      </w:r>
      <w:r w:rsidR="00135B9D" w:rsidRPr="00EC250C">
        <w:rPr>
          <w:bCs/>
          <w:iCs/>
          <w:lang w:eastAsia="en-US"/>
        </w:rPr>
        <w:t>RPO</w:t>
      </w:r>
      <w:r w:rsidRPr="00EC250C">
        <w:rPr>
          <w:bCs/>
          <w:iCs/>
          <w:lang w:eastAsia="en-US"/>
        </w:rPr>
        <w:t>, doprowadziły</w:t>
      </w:r>
      <w:r w:rsidR="00992FD0" w:rsidRPr="00EC250C">
        <w:rPr>
          <w:bCs/>
          <w:iCs/>
          <w:lang w:eastAsia="en-US"/>
        </w:rPr>
        <w:t xml:space="preserve"> w </w:t>
      </w:r>
      <w:r w:rsidRPr="00EC250C">
        <w:rPr>
          <w:bCs/>
          <w:iCs/>
          <w:lang w:eastAsia="en-US"/>
        </w:rPr>
        <w:t>końcu do modyfikacji stanowiska Ministra Finansów</w:t>
      </w:r>
      <w:r w:rsidRPr="00EC250C">
        <w:t>, który polecił podległym sobie organom, aby</w:t>
      </w:r>
      <w:r w:rsidR="00992FD0" w:rsidRPr="00EC250C">
        <w:t xml:space="preserve"> w </w:t>
      </w:r>
      <w:r w:rsidRPr="00EC250C">
        <w:t>świetle utrwalonej linii orzeczniczej sądów administracyjnych przeanalizowały wszystkie niezakończone postępowania skarbowe</w:t>
      </w:r>
      <w:r w:rsidR="00992FD0" w:rsidRPr="00EC250C">
        <w:t xml:space="preserve"> i </w:t>
      </w:r>
      <w:r w:rsidRPr="00EC250C">
        <w:t>karno-skarbowe</w:t>
      </w:r>
      <w:r w:rsidR="00992FD0" w:rsidRPr="00EC250C">
        <w:t xml:space="preserve"> w </w:t>
      </w:r>
      <w:r w:rsidRPr="00EC250C">
        <w:t>sprawach ulgi mieszkaniowej</w:t>
      </w:r>
      <w:r w:rsidR="00992FD0" w:rsidRPr="00EC250C">
        <w:t xml:space="preserve"> z </w:t>
      </w:r>
      <w:r w:rsidRPr="00EC250C">
        <w:t>lat 2007-2008</w:t>
      </w:r>
      <w:r w:rsidR="00FB041C" w:rsidRPr="00EC250C">
        <w:rPr>
          <w:rStyle w:val="Odwoanieprzypisudolnego"/>
        </w:rPr>
        <w:footnoteReference w:id="753"/>
      </w:r>
      <w:r w:rsidRPr="00EC250C">
        <w:t>.</w:t>
      </w:r>
    </w:p>
    <w:p w14:paraId="4F9B0C29" w14:textId="77777777" w:rsidR="002A230A" w:rsidRPr="00EC250C" w:rsidRDefault="002A230A" w:rsidP="00EC250C">
      <w:pPr>
        <w:pStyle w:val="Nagwek5"/>
      </w:pPr>
      <w:r w:rsidRPr="00EC250C">
        <w:t>Możliwość korzystania</w:t>
      </w:r>
      <w:r w:rsidR="00992FD0" w:rsidRPr="00EC250C">
        <w:t xml:space="preserve"> z </w:t>
      </w:r>
      <w:r w:rsidRPr="00EC250C">
        <w:t>ulgi rehabilitacyjnej przez opiekunów osób</w:t>
      </w:r>
      <w:r w:rsidR="00992FD0" w:rsidRPr="00EC250C">
        <w:t xml:space="preserve"> z </w:t>
      </w:r>
      <w:r w:rsidRPr="00EC250C">
        <w:t>niepełnosprawnościami</w:t>
      </w:r>
    </w:p>
    <w:p w14:paraId="0A2E58F0" w14:textId="77777777" w:rsidR="00B473F5" w:rsidRPr="00EC250C" w:rsidRDefault="00D52B5C" w:rsidP="00D131FA">
      <w:pPr>
        <w:pStyle w:val="Problemczowieka"/>
        <w:jc w:val="both"/>
        <w:rPr>
          <w:bdr w:val="none" w:sz="0" w:space="0" w:color="auto" w:frame="1"/>
        </w:rPr>
      </w:pPr>
      <w:r w:rsidRPr="00EC250C">
        <w:rPr>
          <w:bdr w:val="none" w:sz="0" w:space="0" w:color="auto" w:frame="1"/>
        </w:rPr>
        <w:t>Przez nieprecyzyjne przepisy</w:t>
      </w:r>
      <w:r w:rsidR="00992FD0" w:rsidRPr="00EC250C">
        <w:rPr>
          <w:bdr w:val="none" w:sz="0" w:space="0" w:color="auto" w:frame="1"/>
        </w:rPr>
        <w:t xml:space="preserve"> w </w:t>
      </w:r>
      <w:r w:rsidRPr="00EC250C">
        <w:rPr>
          <w:bdr w:val="none" w:sz="0" w:space="0" w:color="auto" w:frame="1"/>
        </w:rPr>
        <w:t>przypadku pobierania renty socjalnej</w:t>
      </w:r>
      <w:r w:rsidR="00992FD0" w:rsidRPr="00EC250C">
        <w:rPr>
          <w:bdr w:val="none" w:sz="0" w:space="0" w:color="auto" w:frame="1"/>
        </w:rPr>
        <w:t xml:space="preserve"> i </w:t>
      </w:r>
      <w:r w:rsidRPr="00EC250C">
        <w:rPr>
          <w:bdr w:val="none" w:sz="0" w:space="0" w:color="auto" w:frame="1"/>
        </w:rPr>
        <w:t>zasiłku pielęgnacyjnego istnieje ryzyko utraty prawa do ulgi rehabilitacyjnej</w:t>
      </w:r>
      <w:r w:rsidR="00B473F5" w:rsidRPr="00EC250C">
        <w:rPr>
          <w:bdr w:val="none" w:sz="0" w:space="0" w:color="auto" w:frame="1"/>
        </w:rPr>
        <w:t>.</w:t>
      </w:r>
    </w:p>
    <w:p w14:paraId="2F16B313" w14:textId="77777777" w:rsidR="00C91F6E" w:rsidRPr="00EC250C" w:rsidRDefault="00D52B5C" w:rsidP="00D131FA">
      <w:pPr>
        <w:pStyle w:val="Styl1"/>
        <w:rPr>
          <w:bCs/>
          <w:iCs/>
          <w:lang w:eastAsia="en-US"/>
        </w:rPr>
      </w:pPr>
      <w:r w:rsidRPr="00EC250C">
        <w:rPr>
          <w:bCs/>
          <w:iCs/>
          <w:lang w:eastAsia="en-US"/>
        </w:rPr>
        <w:t>W nowelizacji ustawy</w:t>
      </w:r>
      <w:r w:rsidR="00992FD0" w:rsidRPr="00EC250C">
        <w:rPr>
          <w:bCs/>
          <w:iCs/>
          <w:lang w:eastAsia="en-US"/>
        </w:rPr>
        <w:t xml:space="preserve"> o </w:t>
      </w:r>
      <w:r w:rsidRPr="00EC250C">
        <w:rPr>
          <w:bCs/>
          <w:iCs/>
          <w:lang w:eastAsia="en-US"/>
        </w:rPr>
        <w:t>PIT</w:t>
      </w:r>
      <w:r w:rsidRPr="00EC250C">
        <w:rPr>
          <w:rStyle w:val="Odwoanieprzypisudolnego"/>
          <w:rFonts w:eastAsiaTheme="majorEastAsia"/>
          <w:bCs/>
          <w:lang w:eastAsia="en-US"/>
        </w:rPr>
        <w:footnoteReference w:id="754"/>
      </w:r>
      <w:r w:rsidRPr="00EC250C">
        <w:rPr>
          <w:bCs/>
          <w:iCs/>
          <w:lang w:eastAsia="en-US"/>
        </w:rPr>
        <w:t xml:space="preserve"> próg, do którego przysługuje ulga rehabilitacyjna dla kogoś, kto ma na utrzymaniu osobę</w:t>
      </w:r>
      <w:r w:rsidR="00992FD0" w:rsidRPr="00EC250C">
        <w:rPr>
          <w:bCs/>
          <w:iCs/>
          <w:lang w:eastAsia="en-US"/>
        </w:rPr>
        <w:t xml:space="preserve"> z </w:t>
      </w:r>
      <w:r w:rsidRPr="00EC250C">
        <w:rPr>
          <w:bCs/>
          <w:iCs/>
          <w:lang w:eastAsia="en-US"/>
        </w:rPr>
        <w:t>niepełnosprawnościami, został podniesiony do 10 800 zł</w:t>
      </w:r>
      <w:r w:rsidR="00392799" w:rsidRPr="00EC250C">
        <w:rPr>
          <w:bCs/>
          <w:iCs/>
          <w:lang w:eastAsia="en-US"/>
        </w:rPr>
        <w:t xml:space="preserve"> </w:t>
      </w:r>
      <w:r w:rsidRPr="00EC250C">
        <w:rPr>
          <w:bCs/>
          <w:iCs/>
          <w:lang w:eastAsia="en-US"/>
        </w:rPr>
        <w:t>rocznie (wcześniej osoba</w:t>
      </w:r>
      <w:r w:rsidR="00992FD0" w:rsidRPr="00EC250C">
        <w:rPr>
          <w:bCs/>
          <w:iCs/>
          <w:lang w:eastAsia="en-US"/>
        </w:rPr>
        <w:t xml:space="preserve"> z </w:t>
      </w:r>
      <w:r w:rsidRPr="00EC250C">
        <w:rPr>
          <w:bCs/>
          <w:iCs/>
          <w:lang w:eastAsia="en-US"/>
        </w:rPr>
        <w:t>niepełnosprawnościami mogła mieć do 9120 zł rocznie). Wyłączono</w:t>
      </w:r>
      <w:r w:rsidR="00992FD0" w:rsidRPr="00EC250C">
        <w:rPr>
          <w:bCs/>
          <w:iCs/>
          <w:lang w:eastAsia="en-US"/>
        </w:rPr>
        <w:t xml:space="preserve"> z </w:t>
      </w:r>
      <w:r w:rsidRPr="00EC250C">
        <w:rPr>
          <w:bCs/>
          <w:iCs/>
          <w:lang w:eastAsia="en-US"/>
        </w:rPr>
        <w:t>tego dochodu także alimenty. Ale pominięto zasiłek pielęgnacyjny, więc jeśli osoba</w:t>
      </w:r>
      <w:r w:rsidR="00992FD0" w:rsidRPr="00EC250C">
        <w:rPr>
          <w:bCs/>
          <w:iCs/>
          <w:lang w:eastAsia="en-US"/>
        </w:rPr>
        <w:t xml:space="preserve"> z </w:t>
      </w:r>
      <w:r w:rsidRPr="00EC250C">
        <w:rPr>
          <w:bCs/>
          <w:iCs/>
          <w:lang w:eastAsia="en-US"/>
        </w:rPr>
        <w:t>niepełnosprawnościami pobiera rentę socjalną oraz zasiłek pielęgnacyjny, próg dochodowy zostanie</w:t>
      </w:r>
      <w:r w:rsidR="00392799" w:rsidRPr="00EC250C">
        <w:rPr>
          <w:bCs/>
          <w:iCs/>
          <w:lang w:eastAsia="en-US"/>
        </w:rPr>
        <w:t xml:space="preserve"> </w:t>
      </w:r>
      <w:r w:rsidRPr="00EC250C">
        <w:rPr>
          <w:bCs/>
          <w:iCs/>
          <w:lang w:eastAsia="en-US"/>
        </w:rPr>
        <w:t>przekroczony.</w:t>
      </w:r>
    </w:p>
    <w:p w14:paraId="14E0A91C" w14:textId="77777777" w:rsidR="002A230A" w:rsidRPr="00EC250C" w:rsidRDefault="00135B9D" w:rsidP="00D131FA">
      <w:pPr>
        <w:pStyle w:val="Styl1"/>
        <w:rPr>
          <w:lang w:eastAsia="en-US"/>
        </w:rPr>
      </w:pPr>
      <w:r w:rsidRPr="00EC250C">
        <w:rPr>
          <w:bCs/>
          <w:iCs/>
          <w:lang w:eastAsia="en-US"/>
        </w:rPr>
        <w:lastRenderedPageBreak/>
        <w:t>RPO</w:t>
      </w:r>
      <w:r w:rsidR="00D52B5C" w:rsidRPr="00EC250C">
        <w:rPr>
          <w:bCs/>
          <w:iCs/>
          <w:lang w:eastAsia="en-US"/>
        </w:rPr>
        <w:t xml:space="preserve"> zwrócił się</w:t>
      </w:r>
      <w:r w:rsidR="00992FD0" w:rsidRPr="00EC250C">
        <w:rPr>
          <w:bCs/>
          <w:iCs/>
          <w:lang w:eastAsia="en-US"/>
        </w:rPr>
        <w:t xml:space="preserve"> z </w:t>
      </w:r>
      <w:r w:rsidR="00D52B5C" w:rsidRPr="00EC250C">
        <w:rPr>
          <w:bCs/>
          <w:iCs/>
          <w:lang w:eastAsia="en-US"/>
        </w:rPr>
        <w:t>tym</w:t>
      </w:r>
      <w:r w:rsidR="00D52B5C" w:rsidRPr="00EC250C">
        <w:rPr>
          <w:rStyle w:val="Odwoanieprzypisudolnego"/>
          <w:rFonts w:eastAsiaTheme="majorEastAsia"/>
          <w:bCs/>
          <w:lang w:eastAsia="en-US"/>
        </w:rPr>
        <w:footnoteReference w:id="755"/>
      </w:r>
      <w:r w:rsidR="00D52B5C" w:rsidRPr="00EC250C">
        <w:rPr>
          <w:bCs/>
          <w:iCs/>
          <w:lang w:eastAsia="en-US"/>
        </w:rPr>
        <w:t xml:space="preserve"> do Ministra Finansów. Otrzymał odpowiedź, </w:t>
      </w:r>
      <w:r w:rsidR="00D52B5C" w:rsidRPr="00EC250C">
        <w:rPr>
          <w:lang w:eastAsia="en-US"/>
        </w:rPr>
        <w:t>że strona rządowa pozytywnie odniosła się do poprawki, która wyłączyła</w:t>
      </w:r>
      <w:r w:rsidR="00992FD0" w:rsidRPr="00EC250C">
        <w:rPr>
          <w:lang w:eastAsia="en-US"/>
        </w:rPr>
        <w:t xml:space="preserve"> z </w:t>
      </w:r>
      <w:r w:rsidR="00D52B5C" w:rsidRPr="00EC250C">
        <w:rPr>
          <w:lang w:eastAsia="en-US"/>
        </w:rPr>
        <w:t>dochodu osoby niepełnosprawnej również otrzymywany przez nie zasiłek pielęgnacyjny.</w:t>
      </w:r>
    </w:p>
    <w:p w14:paraId="09C45C69" w14:textId="77777777" w:rsidR="002A230A" w:rsidRPr="00EC250C" w:rsidRDefault="002A230A" w:rsidP="00EC250C">
      <w:pPr>
        <w:pStyle w:val="Nagwek5"/>
      </w:pPr>
      <w:r w:rsidRPr="00EC250C">
        <w:t>Zasady korzystania</w:t>
      </w:r>
      <w:r w:rsidR="00992FD0" w:rsidRPr="00EC250C">
        <w:t xml:space="preserve"> z </w:t>
      </w:r>
      <w:r w:rsidRPr="00EC250C">
        <w:t>tzw. ulgi prorodzinnej</w:t>
      </w:r>
      <w:r w:rsidR="00992FD0" w:rsidRPr="00EC250C">
        <w:t xml:space="preserve"> w </w:t>
      </w:r>
      <w:r w:rsidRPr="00EC250C">
        <w:t>rodzinach niepełnych</w:t>
      </w:r>
    </w:p>
    <w:p w14:paraId="4D19D553" w14:textId="77777777" w:rsidR="00B473F5" w:rsidRPr="00EC250C" w:rsidRDefault="002A230A" w:rsidP="00D131FA">
      <w:pPr>
        <w:pStyle w:val="Problemczowieka"/>
        <w:jc w:val="both"/>
        <w:rPr>
          <w:bdr w:val="none" w:sz="0" w:space="0" w:color="auto" w:frame="1"/>
        </w:rPr>
      </w:pPr>
      <w:r w:rsidRPr="00EC250C">
        <w:rPr>
          <w:bdr w:val="none" w:sz="0" w:space="0" w:color="auto" w:frame="1"/>
        </w:rPr>
        <w:t>Nie jest jasne, który</w:t>
      </w:r>
      <w:r w:rsidR="00992FD0" w:rsidRPr="00EC250C">
        <w:rPr>
          <w:bdr w:val="none" w:sz="0" w:space="0" w:color="auto" w:frame="1"/>
        </w:rPr>
        <w:t xml:space="preserve"> z </w:t>
      </w:r>
      <w:r w:rsidRPr="00EC250C">
        <w:rPr>
          <w:bdr w:val="none" w:sz="0" w:space="0" w:color="auto" w:frame="1"/>
        </w:rPr>
        <w:t>rozwiedzionych rodziców ma prawo do skorzystania</w:t>
      </w:r>
      <w:r w:rsidR="00992FD0" w:rsidRPr="00EC250C">
        <w:rPr>
          <w:bdr w:val="none" w:sz="0" w:space="0" w:color="auto" w:frame="1"/>
        </w:rPr>
        <w:t xml:space="preserve"> z </w:t>
      </w:r>
      <w:r w:rsidRPr="00EC250C">
        <w:rPr>
          <w:bdr w:val="none" w:sz="0" w:space="0" w:color="auto" w:frame="1"/>
        </w:rPr>
        <w:t>podatkowej ulgi prorodzinnej. Problemy dotyczą też preferencyjnego rozliczania podatku przez osobę samotnie wychowującą dziecko</w:t>
      </w:r>
      <w:r w:rsidR="00026572" w:rsidRPr="00EC250C">
        <w:rPr>
          <w:bdr w:val="none" w:sz="0" w:space="0" w:color="auto" w:frame="1"/>
        </w:rPr>
        <w:t xml:space="preserve"> – </w:t>
      </w:r>
      <w:r w:rsidRPr="00EC250C">
        <w:rPr>
          <w:bdr w:val="none" w:sz="0" w:space="0" w:color="auto" w:frame="1"/>
        </w:rPr>
        <w:t>warunkiem jest brak jakiegokolwiek wsparcia drugiego rodzica</w:t>
      </w:r>
      <w:r w:rsidR="00B473F5" w:rsidRPr="00EC250C">
        <w:rPr>
          <w:bdr w:val="none" w:sz="0" w:space="0" w:color="auto" w:frame="1"/>
        </w:rPr>
        <w:t>.</w:t>
      </w:r>
    </w:p>
    <w:p w14:paraId="7319BF4B" w14:textId="77777777" w:rsidR="00C91F6E" w:rsidRPr="00EC250C" w:rsidRDefault="002A230A" w:rsidP="00D131FA">
      <w:pPr>
        <w:pStyle w:val="Styl1"/>
        <w:rPr>
          <w:bCs/>
          <w:iCs/>
          <w:lang w:eastAsia="en-US"/>
        </w:rPr>
      </w:pPr>
      <w:r w:rsidRPr="00EC250C">
        <w:rPr>
          <w:bCs/>
          <w:iCs/>
          <w:lang w:eastAsia="en-US"/>
        </w:rPr>
        <w:t>W wystąpieniu do Ministra Finansów</w:t>
      </w:r>
      <w:r w:rsidRPr="00EC250C">
        <w:rPr>
          <w:rStyle w:val="Odwoanieprzypisudolnego"/>
          <w:rFonts w:eastAsiaTheme="majorEastAsia"/>
          <w:bCs/>
          <w:lang w:eastAsia="en-US"/>
        </w:rPr>
        <w:footnoteReference w:id="756"/>
      </w:r>
      <w:r w:rsidRPr="00EC250C">
        <w:rPr>
          <w:bCs/>
          <w:iCs/>
          <w:lang w:eastAsia="en-US"/>
        </w:rPr>
        <w:t xml:space="preserve">, </w:t>
      </w:r>
      <w:r w:rsidR="00135B9D" w:rsidRPr="00EC250C">
        <w:rPr>
          <w:bCs/>
          <w:iCs/>
          <w:lang w:eastAsia="en-US"/>
        </w:rPr>
        <w:t>RPO</w:t>
      </w:r>
      <w:r w:rsidRPr="00EC250C">
        <w:rPr>
          <w:bCs/>
          <w:iCs/>
          <w:lang w:eastAsia="en-US"/>
        </w:rPr>
        <w:t xml:space="preserve"> przedstawił wnioski</w:t>
      </w:r>
      <w:r w:rsidR="00992FD0" w:rsidRPr="00EC250C">
        <w:rPr>
          <w:bCs/>
          <w:iCs/>
          <w:lang w:eastAsia="en-US"/>
        </w:rPr>
        <w:t xml:space="preserve"> z </w:t>
      </w:r>
      <w:r w:rsidRPr="00EC250C">
        <w:rPr>
          <w:bCs/>
          <w:iCs/>
          <w:lang w:eastAsia="en-US"/>
        </w:rPr>
        <w:t>kierowanych do niego skarg, dotyczących stosowania</w:t>
      </w:r>
      <w:r w:rsidR="00992FD0" w:rsidRPr="00EC250C">
        <w:rPr>
          <w:bCs/>
          <w:iCs/>
          <w:lang w:eastAsia="en-US"/>
        </w:rPr>
        <w:t xml:space="preserve"> w </w:t>
      </w:r>
      <w:r w:rsidRPr="00EC250C">
        <w:rPr>
          <w:bCs/>
          <w:iCs/>
          <w:lang w:eastAsia="en-US"/>
        </w:rPr>
        <w:t>rodzinach niepełnych tzw. ulgi prorodzinnej.</w:t>
      </w:r>
    </w:p>
    <w:p w14:paraId="3DCCA0E6" w14:textId="77777777" w:rsidR="00C91F6E" w:rsidRPr="00EC250C" w:rsidRDefault="002A230A" w:rsidP="00D131FA">
      <w:pPr>
        <w:pStyle w:val="Styl1"/>
        <w:rPr>
          <w:bCs/>
          <w:iCs/>
          <w:lang w:eastAsia="en-US"/>
        </w:rPr>
      </w:pPr>
      <w:r w:rsidRPr="00EC250C">
        <w:rPr>
          <w:bCs/>
          <w:iCs/>
          <w:lang w:eastAsia="en-US"/>
        </w:rPr>
        <w:t>Minister odpowiedział, że organy podatkowe uznają, że</w:t>
      </w:r>
      <w:r w:rsidR="00992FD0" w:rsidRPr="00EC250C">
        <w:rPr>
          <w:bCs/>
          <w:iCs/>
          <w:lang w:eastAsia="en-US"/>
        </w:rPr>
        <w:t xml:space="preserve"> o </w:t>
      </w:r>
      <w:r w:rsidRPr="00EC250C">
        <w:rPr>
          <w:bCs/>
          <w:iCs/>
          <w:lang w:eastAsia="en-US"/>
        </w:rPr>
        <w:t>prawie do ulgi decyduje faktyczne sprawowanie władzy rodzicielskiej. Posiadanie władzy rodzicielskiej bez jej faktycznego wykonywania, podobnie jak samo utrzymywanie sporadycznych kontaktów</w:t>
      </w:r>
      <w:r w:rsidR="00992FD0" w:rsidRPr="00EC250C">
        <w:rPr>
          <w:bCs/>
          <w:iCs/>
          <w:lang w:eastAsia="en-US"/>
        </w:rPr>
        <w:t xml:space="preserve"> z </w:t>
      </w:r>
      <w:r w:rsidRPr="00EC250C">
        <w:rPr>
          <w:bCs/>
          <w:iCs/>
          <w:lang w:eastAsia="en-US"/>
        </w:rPr>
        <w:t>dzieckiem lub jego alimentacja, nie wystarcza do zastosowania odliczenia.</w:t>
      </w:r>
    </w:p>
    <w:p w14:paraId="6E456CBF" w14:textId="77777777" w:rsidR="00C91F6E" w:rsidRPr="00EC250C" w:rsidRDefault="002A230A" w:rsidP="00D131FA">
      <w:pPr>
        <w:pStyle w:val="Styl1"/>
        <w:rPr>
          <w:bCs/>
          <w:iCs/>
          <w:lang w:eastAsia="en-US"/>
        </w:rPr>
      </w:pPr>
      <w:r w:rsidRPr="00EC250C">
        <w:rPr>
          <w:bCs/>
          <w:iCs/>
          <w:lang w:eastAsia="en-US"/>
        </w:rPr>
        <w:t>W konsekwencji, samo utrzymywanie kontaktów</w:t>
      </w:r>
      <w:r w:rsidR="00992FD0" w:rsidRPr="00EC250C">
        <w:rPr>
          <w:bCs/>
          <w:iCs/>
          <w:lang w:eastAsia="en-US"/>
        </w:rPr>
        <w:t xml:space="preserve"> z </w:t>
      </w:r>
      <w:r w:rsidRPr="00EC250C">
        <w:rPr>
          <w:bCs/>
          <w:iCs/>
          <w:lang w:eastAsia="en-US"/>
        </w:rPr>
        <w:t>dzieckiem nie jest rozstrzygające do uznania, że rodzic wykonuje władzę rodzicielską.</w:t>
      </w:r>
    </w:p>
    <w:p w14:paraId="7869C961" w14:textId="77777777" w:rsidR="002A230A" w:rsidRPr="00EC250C" w:rsidRDefault="002A230A" w:rsidP="00D131FA">
      <w:pPr>
        <w:pStyle w:val="Styl1"/>
        <w:rPr>
          <w:bCs/>
          <w:iCs/>
          <w:lang w:eastAsia="en-US"/>
        </w:rPr>
      </w:pPr>
      <w:r w:rsidRPr="00EC250C">
        <w:rPr>
          <w:bCs/>
          <w:iCs/>
          <w:lang w:eastAsia="en-US"/>
        </w:rPr>
        <w:t>Odnośnie problemów związanych</w:t>
      </w:r>
      <w:r w:rsidR="00992FD0" w:rsidRPr="00EC250C">
        <w:rPr>
          <w:bCs/>
          <w:iCs/>
          <w:lang w:eastAsia="en-US"/>
        </w:rPr>
        <w:t xml:space="preserve"> z </w:t>
      </w:r>
      <w:r w:rsidRPr="00EC250C">
        <w:rPr>
          <w:bCs/>
          <w:iCs/>
          <w:lang w:eastAsia="en-US"/>
        </w:rPr>
        <w:t>uzyskaniem prawa do opodatkowania dochodów na preferencyjnych zasadach przewidzianych dla osób samotnie wychowujących dzieci, Minister wyjaśnił, że gdy każdy</w:t>
      </w:r>
      <w:r w:rsidR="00992FD0" w:rsidRPr="00EC250C">
        <w:rPr>
          <w:bCs/>
          <w:iCs/>
          <w:lang w:eastAsia="en-US"/>
        </w:rPr>
        <w:t xml:space="preserve"> z </w:t>
      </w:r>
      <w:r w:rsidRPr="00EC250C">
        <w:rPr>
          <w:bCs/>
          <w:iCs/>
          <w:lang w:eastAsia="en-US"/>
        </w:rPr>
        <w:t>rodziców</w:t>
      </w:r>
      <w:r w:rsidR="00992FD0" w:rsidRPr="00EC250C">
        <w:rPr>
          <w:bCs/>
          <w:iCs/>
          <w:lang w:eastAsia="en-US"/>
        </w:rPr>
        <w:t xml:space="preserve"> w </w:t>
      </w:r>
      <w:r w:rsidRPr="00EC250C">
        <w:rPr>
          <w:bCs/>
          <w:iCs/>
          <w:lang w:eastAsia="en-US"/>
        </w:rPr>
        <w:t>porównywalnym stopniu uczestniczy</w:t>
      </w:r>
      <w:r w:rsidR="00992FD0" w:rsidRPr="00EC250C">
        <w:rPr>
          <w:bCs/>
          <w:iCs/>
          <w:lang w:eastAsia="en-US"/>
        </w:rPr>
        <w:t xml:space="preserve"> w </w:t>
      </w:r>
      <w:r w:rsidRPr="00EC250C">
        <w:rPr>
          <w:bCs/>
          <w:iCs/>
          <w:lang w:eastAsia="en-US"/>
        </w:rPr>
        <w:t>wychowaniu dziecka, co przejawia się m.in. dzieleniem się obowiązkami związanymi</w:t>
      </w:r>
      <w:r w:rsidR="00992FD0" w:rsidRPr="00EC250C">
        <w:rPr>
          <w:bCs/>
          <w:iCs/>
          <w:lang w:eastAsia="en-US"/>
        </w:rPr>
        <w:t xml:space="preserve"> z </w:t>
      </w:r>
      <w:r w:rsidRPr="00EC250C">
        <w:rPr>
          <w:bCs/>
          <w:iCs/>
          <w:lang w:eastAsia="en-US"/>
        </w:rPr>
        <w:t>procesem wychowawczym, nie można mówić</w:t>
      </w:r>
      <w:r w:rsidR="00992FD0" w:rsidRPr="00EC250C">
        <w:rPr>
          <w:bCs/>
          <w:iCs/>
          <w:lang w:eastAsia="en-US"/>
        </w:rPr>
        <w:t xml:space="preserve"> o </w:t>
      </w:r>
      <w:r w:rsidRPr="00EC250C">
        <w:rPr>
          <w:bCs/>
          <w:iCs/>
          <w:lang w:eastAsia="en-US"/>
        </w:rPr>
        <w:t>samotnym wychowywaniu dziecka.</w:t>
      </w:r>
    </w:p>
    <w:p w14:paraId="0D5F80F5" w14:textId="77777777" w:rsidR="002A230A" w:rsidRPr="00EC250C" w:rsidRDefault="00D83A55" w:rsidP="00EC79EB">
      <w:pPr>
        <w:pStyle w:val="Nagwek4"/>
      </w:pPr>
      <w:bookmarkStart w:id="740" w:name="_Toc11247857"/>
      <w:r w:rsidRPr="00EC250C">
        <w:t>Wątpliwości dotyczące p</w:t>
      </w:r>
      <w:r w:rsidR="002A230A" w:rsidRPr="00EC250C">
        <w:t>odatk</w:t>
      </w:r>
      <w:r w:rsidRPr="00EC250C">
        <w:t>u</w:t>
      </w:r>
      <w:r w:rsidR="002A230A" w:rsidRPr="00EC250C">
        <w:t xml:space="preserve"> od towarów</w:t>
      </w:r>
      <w:r w:rsidR="00992FD0" w:rsidRPr="00EC250C">
        <w:t xml:space="preserve"> i </w:t>
      </w:r>
      <w:r w:rsidR="002A230A" w:rsidRPr="00EC250C">
        <w:t>usług</w:t>
      </w:r>
      <w:bookmarkEnd w:id="740"/>
    </w:p>
    <w:p w14:paraId="23E2EE14" w14:textId="77777777" w:rsidR="002A230A" w:rsidRPr="00EC250C" w:rsidRDefault="002A230A" w:rsidP="00EC250C">
      <w:pPr>
        <w:pStyle w:val="Nagwek8"/>
      </w:pPr>
      <w:r w:rsidRPr="00EC250C">
        <w:t>Rozstrzygnięcie spraw stawki VAT od usług związanych</w:t>
      </w:r>
      <w:r w:rsidR="00992FD0" w:rsidRPr="00EC250C">
        <w:t xml:space="preserve"> z </w:t>
      </w:r>
      <w:r w:rsidRPr="00EC250C">
        <w:t>ochroną środowiska morskiego</w:t>
      </w:r>
    </w:p>
    <w:p w14:paraId="53D43C26" w14:textId="77777777" w:rsidR="00C91F6E" w:rsidRPr="00EC250C" w:rsidRDefault="002A230A" w:rsidP="00D131FA">
      <w:pPr>
        <w:pStyle w:val="Styl2"/>
        <w:rPr>
          <w:szCs w:val="24"/>
        </w:rPr>
      </w:pPr>
      <w:r w:rsidRPr="00EC250C">
        <w:rPr>
          <w:szCs w:val="24"/>
        </w:rPr>
        <w:t>W 2018</w:t>
      </w:r>
      <w:r w:rsidR="00C91F6E" w:rsidRPr="00EC250C">
        <w:rPr>
          <w:szCs w:val="24"/>
        </w:rPr>
        <w:t> r.</w:t>
      </w:r>
      <w:r w:rsidRPr="00EC250C">
        <w:rPr>
          <w:szCs w:val="24"/>
        </w:rPr>
        <w:t xml:space="preserve"> Naczelny Sąd Administracyjny rozstrzygnął ostatecznie sprawy, do których </w:t>
      </w:r>
      <w:r w:rsidR="00135B9D" w:rsidRPr="00EC250C">
        <w:rPr>
          <w:szCs w:val="24"/>
        </w:rPr>
        <w:t>RPO</w:t>
      </w:r>
      <w:r w:rsidRPr="00EC250C">
        <w:rPr>
          <w:szCs w:val="24"/>
        </w:rPr>
        <w:t xml:space="preserve"> przystąpił jeszcze</w:t>
      </w:r>
      <w:r w:rsidR="00992FD0" w:rsidRPr="00EC250C">
        <w:rPr>
          <w:szCs w:val="24"/>
        </w:rPr>
        <w:t xml:space="preserve"> w </w:t>
      </w:r>
      <w:r w:rsidRPr="00EC250C">
        <w:rPr>
          <w:szCs w:val="24"/>
        </w:rPr>
        <w:t>2016</w:t>
      </w:r>
      <w:r w:rsidR="00C91F6E" w:rsidRPr="00EC250C">
        <w:rPr>
          <w:szCs w:val="24"/>
        </w:rPr>
        <w:t> r.</w:t>
      </w:r>
      <w:r w:rsidRPr="00EC250C">
        <w:rPr>
          <w:szCs w:val="24"/>
        </w:rPr>
        <w:t xml:space="preserve"> Dotyczyły one przedsiębiorców, którzy wygrali organizowane przez urzędy morskie przetargi na odbudowę budowli chroniących brzeg morski.</w:t>
      </w:r>
    </w:p>
    <w:p w14:paraId="10145134" w14:textId="77777777" w:rsidR="00C91F6E" w:rsidRPr="00EC250C" w:rsidRDefault="002A230A" w:rsidP="00D131FA">
      <w:pPr>
        <w:pStyle w:val="Styl2"/>
        <w:rPr>
          <w:szCs w:val="24"/>
        </w:rPr>
      </w:pPr>
      <w:r w:rsidRPr="00EC250C">
        <w:rPr>
          <w:szCs w:val="24"/>
        </w:rPr>
        <w:t>Jednym</w:t>
      </w:r>
      <w:r w:rsidR="00992FD0" w:rsidRPr="00EC250C">
        <w:rPr>
          <w:szCs w:val="24"/>
        </w:rPr>
        <w:t xml:space="preserve"> z </w:t>
      </w:r>
      <w:r w:rsidRPr="00EC250C">
        <w:rPr>
          <w:szCs w:val="24"/>
        </w:rPr>
        <w:t>wymogów przetargów było zastosowanie „zerowej” stawki podatku VAT (urzędy morskie uważały, że zlecane przez nie prace są usługami związanymi</w:t>
      </w:r>
      <w:r w:rsidR="00992FD0" w:rsidRPr="00EC250C">
        <w:rPr>
          <w:szCs w:val="24"/>
        </w:rPr>
        <w:t xml:space="preserve"> z </w:t>
      </w:r>
      <w:r w:rsidRPr="00EC250C">
        <w:rPr>
          <w:szCs w:val="24"/>
        </w:rPr>
        <w:t>ochroną środowiska morskiego, do których taka stawka ma zastosowanie). Post factum zastosowanie tej stawki zakwestionowały jednak organy podatkowe, żądając spłaty rzekomych zaległości. Przed przedsiębiorcami, którzy działali</w:t>
      </w:r>
      <w:r w:rsidR="00992FD0" w:rsidRPr="00EC250C">
        <w:rPr>
          <w:szCs w:val="24"/>
        </w:rPr>
        <w:t xml:space="preserve"> w </w:t>
      </w:r>
      <w:r w:rsidRPr="00EC250C">
        <w:rPr>
          <w:szCs w:val="24"/>
        </w:rPr>
        <w:t>zaufaniu do organów państwa, stanęło widmo bankructwa.</w:t>
      </w:r>
    </w:p>
    <w:p w14:paraId="767BF1BB" w14:textId="77777777" w:rsidR="002A230A" w:rsidRPr="00EC250C" w:rsidRDefault="002A230A" w:rsidP="00D131FA">
      <w:pPr>
        <w:pStyle w:val="Styl2"/>
        <w:rPr>
          <w:szCs w:val="24"/>
        </w:rPr>
      </w:pPr>
      <w:r w:rsidRPr="00EC250C">
        <w:rPr>
          <w:szCs w:val="24"/>
        </w:rPr>
        <w:lastRenderedPageBreak/>
        <w:t xml:space="preserve">W jednej ze spraw, do których przyłączył się </w:t>
      </w:r>
      <w:r w:rsidR="00135B9D" w:rsidRPr="00EC250C">
        <w:rPr>
          <w:szCs w:val="24"/>
        </w:rPr>
        <w:t>RPO</w:t>
      </w:r>
      <w:r w:rsidRPr="00EC250C">
        <w:rPr>
          <w:szCs w:val="24"/>
        </w:rPr>
        <w:t>, jeszcze pod koniec 2017</w:t>
      </w:r>
      <w:r w:rsidR="00C91F6E" w:rsidRPr="00EC250C">
        <w:rPr>
          <w:szCs w:val="24"/>
        </w:rPr>
        <w:t> r.</w:t>
      </w:r>
      <w:r w:rsidRPr="00EC250C">
        <w:rPr>
          <w:szCs w:val="24"/>
        </w:rPr>
        <w:t xml:space="preserve"> Naczelny Sąd Administracyjny podjął korzystną dla podatników uchwałę stwierdzającą, że usługi związane</w:t>
      </w:r>
      <w:r w:rsidR="00992FD0" w:rsidRPr="00EC250C">
        <w:rPr>
          <w:szCs w:val="24"/>
        </w:rPr>
        <w:t xml:space="preserve"> z </w:t>
      </w:r>
      <w:r w:rsidRPr="00EC250C">
        <w:rPr>
          <w:szCs w:val="24"/>
        </w:rPr>
        <w:t>odbudową obiektów chroniących brzeg morski podlegają opodatkowaniu stawką „zerową”</w:t>
      </w:r>
      <w:r w:rsidRPr="00EC250C">
        <w:rPr>
          <w:rStyle w:val="Odwoanieprzypisudolnego"/>
          <w:rFonts w:eastAsiaTheme="majorEastAsia"/>
          <w:szCs w:val="24"/>
          <w:lang w:eastAsia="en-US"/>
        </w:rPr>
        <w:footnoteReference w:id="757"/>
      </w:r>
      <w:r w:rsidRPr="00EC250C">
        <w:rPr>
          <w:szCs w:val="24"/>
        </w:rPr>
        <w:t>. W rezultacie, korzystnie dla przedsiębiorców zakończyły się indywidualne sprawy</w:t>
      </w:r>
      <w:r w:rsidRPr="00EC250C">
        <w:rPr>
          <w:rStyle w:val="Odwoanieprzypisudolnego"/>
          <w:rFonts w:eastAsiaTheme="majorEastAsia"/>
          <w:szCs w:val="24"/>
          <w:lang w:eastAsia="en-US"/>
        </w:rPr>
        <w:footnoteReference w:id="758"/>
      </w:r>
      <w:r w:rsidR="00026572" w:rsidRPr="00EC250C">
        <w:rPr>
          <w:szCs w:val="24"/>
        </w:rPr>
        <w:t xml:space="preserve"> – </w:t>
      </w:r>
      <w:r w:rsidRPr="00EC250C">
        <w:rPr>
          <w:szCs w:val="24"/>
        </w:rPr>
        <w:t>złożone przez Rzecznika skargi kasacyjne od niekorzystnych dla nich wyroków pierwszoinstancyjnych zostały uwzględnione.</w:t>
      </w:r>
    </w:p>
    <w:p w14:paraId="0BF59BD5" w14:textId="77777777" w:rsidR="00C91F6E" w:rsidRPr="00EC250C" w:rsidRDefault="00D83A55" w:rsidP="00EC79EB">
      <w:pPr>
        <w:pStyle w:val="Nagwek4"/>
      </w:pPr>
      <w:bookmarkStart w:id="741" w:name="_Toc11247858"/>
      <w:r w:rsidRPr="00EC250C">
        <w:t>Kłopoty</w:t>
      </w:r>
      <w:r w:rsidR="00992FD0" w:rsidRPr="00EC250C">
        <w:t xml:space="preserve"> z </w:t>
      </w:r>
      <w:r w:rsidRPr="00EC250C">
        <w:t>c</w:t>
      </w:r>
      <w:r w:rsidR="002A230A" w:rsidRPr="00EC250C">
        <w:rPr>
          <w:rFonts w:hint="eastAsia"/>
        </w:rPr>
        <w:t>ł</w:t>
      </w:r>
      <w:r w:rsidRPr="00EC250C">
        <w:t>ami</w:t>
      </w:r>
      <w:bookmarkEnd w:id="741"/>
    </w:p>
    <w:p w14:paraId="6867E875" w14:textId="77777777" w:rsidR="002A230A" w:rsidRPr="00EC250C" w:rsidRDefault="002A230A" w:rsidP="00EC250C">
      <w:pPr>
        <w:pStyle w:val="Nagwek8"/>
      </w:pPr>
      <w:r w:rsidRPr="00EC250C">
        <w:t>Retrospektywne zarejestrowanie długu celnego – co jest błędem organu?</w:t>
      </w:r>
    </w:p>
    <w:p w14:paraId="754DC58A" w14:textId="77777777" w:rsidR="00C91F6E" w:rsidRPr="00EC250C" w:rsidRDefault="002A230A" w:rsidP="00D131FA">
      <w:pPr>
        <w:pStyle w:val="Styl2"/>
        <w:rPr>
          <w:szCs w:val="24"/>
        </w:rPr>
      </w:pPr>
      <w:r w:rsidRPr="00EC250C">
        <w:rPr>
          <w:szCs w:val="24"/>
        </w:rPr>
        <w:t>Sprawa dotyczy</w:t>
      </w:r>
      <w:r w:rsidR="00B22652" w:rsidRPr="00EC250C">
        <w:rPr>
          <w:szCs w:val="24"/>
        </w:rPr>
        <w:t>ła</w:t>
      </w:r>
      <w:r w:rsidRPr="00EC250C">
        <w:rPr>
          <w:szCs w:val="24"/>
        </w:rPr>
        <w:t xml:space="preserve"> przedsiębiorcy, który</w:t>
      </w:r>
      <w:r w:rsidR="00992FD0" w:rsidRPr="00EC250C">
        <w:rPr>
          <w:szCs w:val="24"/>
        </w:rPr>
        <w:t xml:space="preserve"> w </w:t>
      </w:r>
      <w:r w:rsidRPr="00EC250C">
        <w:rPr>
          <w:szCs w:val="24"/>
        </w:rPr>
        <w:t>latach 1991-2001 sprowadzał produkt paszowy, co do którego</w:t>
      </w:r>
      <w:r w:rsidR="00992FD0" w:rsidRPr="00EC250C">
        <w:rPr>
          <w:szCs w:val="24"/>
        </w:rPr>
        <w:t xml:space="preserve"> w </w:t>
      </w:r>
      <w:r w:rsidRPr="00EC250C">
        <w:rPr>
          <w:szCs w:val="24"/>
        </w:rPr>
        <w:t>zgłoszeniach celnych deklarował stawkę obniżoną 0 proc.</w:t>
      </w:r>
    </w:p>
    <w:p w14:paraId="43A034B2" w14:textId="77777777" w:rsidR="00C91F6E" w:rsidRPr="00EC250C" w:rsidRDefault="002A230A" w:rsidP="00D131FA">
      <w:pPr>
        <w:pStyle w:val="Styl2"/>
        <w:rPr>
          <w:szCs w:val="24"/>
        </w:rPr>
      </w:pPr>
      <w:r w:rsidRPr="00EC250C">
        <w:rPr>
          <w:szCs w:val="24"/>
        </w:rPr>
        <w:t>Organ celny początkowo nie kwestionował tych deklaracji. W 2001</w:t>
      </w:r>
      <w:r w:rsidR="00C91F6E" w:rsidRPr="00EC250C">
        <w:rPr>
          <w:szCs w:val="24"/>
        </w:rPr>
        <w:t> r.</w:t>
      </w:r>
      <w:r w:rsidRPr="00EC250C">
        <w:rPr>
          <w:szCs w:val="24"/>
        </w:rPr>
        <w:t xml:space="preserve"> urząd celny wszczął postępowanie,</w:t>
      </w:r>
      <w:r w:rsidR="00992FD0" w:rsidRPr="00EC250C">
        <w:rPr>
          <w:szCs w:val="24"/>
        </w:rPr>
        <w:t xml:space="preserve"> w </w:t>
      </w:r>
      <w:r w:rsidRPr="00EC250C">
        <w:rPr>
          <w:szCs w:val="24"/>
        </w:rPr>
        <w:t>wyniku którego ustalono inną stawkę celną – 20</w:t>
      </w:r>
      <w:r w:rsidR="009F02EC" w:rsidRPr="00EC250C">
        <w:rPr>
          <w:szCs w:val="24"/>
        </w:rPr>
        <w:t>%</w:t>
      </w:r>
      <w:r w:rsidR="00992FD0" w:rsidRPr="00EC250C">
        <w:rPr>
          <w:szCs w:val="24"/>
        </w:rPr>
        <w:t xml:space="preserve"> i </w:t>
      </w:r>
      <w:r w:rsidRPr="00EC250C">
        <w:rPr>
          <w:szCs w:val="24"/>
        </w:rPr>
        <w:t>zastosowano ją wstecznie do rozliczonych już należności. Prawo dopuszcza pod pewnymi wyjątkami takie „zarejestrowanie retrospektywne”. Jedną</w:t>
      </w:r>
      <w:r w:rsidR="00992FD0" w:rsidRPr="00EC250C">
        <w:rPr>
          <w:szCs w:val="24"/>
        </w:rPr>
        <w:t xml:space="preserve"> z </w:t>
      </w:r>
      <w:r w:rsidRPr="00EC250C">
        <w:rPr>
          <w:szCs w:val="24"/>
        </w:rPr>
        <w:t>przesłanek uniemożliwiających zastosowanie wyższej stawki do należności</w:t>
      </w:r>
      <w:r w:rsidR="00992FD0" w:rsidRPr="00EC250C">
        <w:rPr>
          <w:szCs w:val="24"/>
        </w:rPr>
        <w:t xml:space="preserve"> z </w:t>
      </w:r>
      <w:r w:rsidRPr="00EC250C">
        <w:rPr>
          <w:szCs w:val="24"/>
        </w:rPr>
        <w:t>przeszłości jest jednak błąd organu.</w:t>
      </w:r>
    </w:p>
    <w:p w14:paraId="74126A5A" w14:textId="77777777" w:rsidR="00C91F6E" w:rsidRPr="00EC250C" w:rsidRDefault="002A230A" w:rsidP="00D131FA">
      <w:pPr>
        <w:pStyle w:val="Styl2"/>
        <w:rPr>
          <w:szCs w:val="24"/>
        </w:rPr>
      </w:pPr>
      <w:r w:rsidRPr="00EC250C">
        <w:rPr>
          <w:szCs w:val="24"/>
        </w:rPr>
        <w:t>Postępowanie, do którego przyłączył się RPO</w:t>
      </w:r>
      <w:r w:rsidRPr="00EC250C">
        <w:rPr>
          <w:rStyle w:val="Odwoanieprzypisudolnego"/>
          <w:rFonts w:eastAsiaTheme="majorEastAsia"/>
          <w:szCs w:val="24"/>
        </w:rPr>
        <w:footnoteReference w:id="759"/>
      </w:r>
      <w:r w:rsidRPr="00EC250C">
        <w:rPr>
          <w:szCs w:val="24"/>
        </w:rPr>
        <w:t>, dotyczyło właśnie tej kwestii – czy organ celny popełnił błąd, nie kwestionując wcześniej zerowej stawki przyjętej przez przedsiębiorcę.</w:t>
      </w:r>
    </w:p>
    <w:p w14:paraId="0186E8CC" w14:textId="77777777" w:rsidR="002A230A" w:rsidRPr="00EC250C" w:rsidRDefault="002A230A" w:rsidP="00D131FA">
      <w:pPr>
        <w:pStyle w:val="Styl2"/>
        <w:rPr>
          <w:szCs w:val="24"/>
        </w:rPr>
      </w:pPr>
      <w:r w:rsidRPr="00EC250C">
        <w:rPr>
          <w:szCs w:val="24"/>
        </w:rPr>
        <w:t>Naczelny Sąd Administracyjny przyznał rację RPO, uznając że WSA dokonał błędnej wykładni art. 229 Kodeksu celnego. Zdaniem NSA brak działań organu celnego, czy brak należytej weryfikacji zgłoszenia celnego może stanowić „błąd”,</w:t>
      </w:r>
      <w:r w:rsidR="00992FD0" w:rsidRPr="00EC250C">
        <w:rPr>
          <w:szCs w:val="24"/>
        </w:rPr>
        <w:t xml:space="preserve"> o </w:t>
      </w:r>
      <w:r w:rsidRPr="00EC250C">
        <w:rPr>
          <w:szCs w:val="24"/>
        </w:rPr>
        <w:t>którym mówi art. 229. Błąd taki stanowi podstawę niedokonywania retrospektywnego zarejestrowania kwoty długu celnego. NSA uchylił wyrok WSA</w:t>
      </w:r>
      <w:r w:rsidR="00992FD0" w:rsidRPr="00EC250C">
        <w:rPr>
          <w:szCs w:val="24"/>
        </w:rPr>
        <w:t xml:space="preserve"> w </w:t>
      </w:r>
      <w:r w:rsidRPr="00EC250C">
        <w:rPr>
          <w:szCs w:val="24"/>
        </w:rPr>
        <w:t>Gdańsku oraz decyzję Dyrektora Izby Celnej</w:t>
      </w:r>
      <w:r w:rsidR="00992FD0" w:rsidRPr="00EC250C">
        <w:rPr>
          <w:szCs w:val="24"/>
        </w:rPr>
        <w:t xml:space="preserve"> w </w:t>
      </w:r>
      <w:r w:rsidRPr="00EC250C">
        <w:rPr>
          <w:szCs w:val="24"/>
        </w:rPr>
        <w:t>Gdyni, któremu zwrócił sprawę. W ponownym jej rozpatrzeniu dyrektor musi uwzględnić ustalenia NSA.</w:t>
      </w:r>
    </w:p>
    <w:p w14:paraId="2F9D9561" w14:textId="77777777" w:rsidR="00C91F6E" w:rsidRPr="00EC250C" w:rsidRDefault="00396F31" w:rsidP="00EC79EB">
      <w:pPr>
        <w:pStyle w:val="Nagwek4"/>
      </w:pPr>
      <w:bookmarkStart w:id="742" w:name="_Toc11247859"/>
      <w:r w:rsidRPr="00EC250C">
        <w:t>Ciąg dalszy problemów</w:t>
      </w:r>
      <w:r w:rsidR="00992FD0" w:rsidRPr="00EC250C">
        <w:t xml:space="preserve"> z </w:t>
      </w:r>
      <w:r w:rsidRPr="00EC250C">
        <w:t>abonamentem RTV</w:t>
      </w:r>
      <w:bookmarkEnd w:id="742"/>
    </w:p>
    <w:p w14:paraId="4B7877B7" w14:textId="77777777" w:rsidR="00B473F5" w:rsidRPr="00EC250C" w:rsidRDefault="002A230A" w:rsidP="00D131FA">
      <w:pPr>
        <w:pStyle w:val="Problemczowieka"/>
        <w:jc w:val="both"/>
      </w:pPr>
      <w:r w:rsidRPr="00EC250C">
        <w:t>Osoby starsze, schorowane</w:t>
      </w:r>
      <w:r w:rsidR="00992FD0" w:rsidRPr="00EC250C">
        <w:t xml:space="preserve"> i z </w:t>
      </w:r>
      <w:r w:rsidRPr="00EC250C">
        <w:t>niepełnosprawnościami mus</w:t>
      </w:r>
      <w:r w:rsidR="00EA674D" w:rsidRPr="00EC250C">
        <w:t>iały</w:t>
      </w:r>
      <w:r w:rsidRPr="00EC250C">
        <w:t xml:space="preserve"> osobi</w:t>
      </w:r>
      <w:r w:rsidRPr="00EC250C">
        <w:rPr>
          <w:rFonts w:hint="eastAsia"/>
        </w:rPr>
        <w:t>ś</w:t>
      </w:r>
      <w:r w:rsidRPr="00EC250C">
        <w:t>cie stawi</w:t>
      </w:r>
      <w:r w:rsidRPr="00EC250C">
        <w:rPr>
          <w:rFonts w:hint="eastAsia"/>
        </w:rPr>
        <w:t>ć</w:t>
      </w:r>
      <w:r w:rsidRPr="00EC250C">
        <w:t xml:space="preserve"> si</w:t>
      </w:r>
      <w:r w:rsidRPr="00EC250C">
        <w:rPr>
          <w:rFonts w:hint="eastAsia"/>
        </w:rPr>
        <w:t>ę</w:t>
      </w:r>
      <w:r w:rsidRPr="00EC250C">
        <w:t xml:space="preserve"> na poczcie, aby potwierdza</w:t>
      </w:r>
      <w:r w:rsidRPr="00EC250C">
        <w:rPr>
          <w:rFonts w:hint="eastAsia"/>
        </w:rPr>
        <w:t>ć</w:t>
      </w:r>
      <w:r w:rsidRPr="00EC250C">
        <w:t xml:space="preserve"> uprawnienia do zwolnienia</w:t>
      </w:r>
      <w:r w:rsidR="00992FD0" w:rsidRPr="00EC250C">
        <w:t xml:space="preserve"> z </w:t>
      </w:r>
      <w:r w:rsidRPr="00EC250C">
        <w:t>op</w:t>
      </w:r>
      <w:r w:rsidRPr="00EC250C">
        <w:rPr>
          <w:rFonts w:hint="eastAsia"/>
        </w:rPr>
        <w:t>ł</w:t>
      </w:r>
      <w:r w:rsidRPr="00EC250C">
        <w:t>at. Wed</w:t>
      </w:r>
      <w:r w:rsidRPr="00EC250C">
        <w:rPr>
          <w:rFonts w:hint="eastAsia"/>
        </w:rPr>
        <w:t>ł</w:t>
      </w:r>
      <w:r w:rsidRPr="00EC250C">
        <w:t>ug RPO, Poczta Polska powinna rozwa</w:t>
      </w:r>
      <w:r w:rsidRPr="00EC250C">
        <w:rPr>
          <w:rFonts w:hint="eastAsia"/>
        </w:rPr>
        <w:t>ż</w:t>
      </w:r>
      <w:r w:rsidRPr="00EC250C">
        <w:t>y</w:t>
      </w:r>
      <w:r w:rsidRPr="00EC250C">
        <w:rPr>
          <w:rFonts w:hint="eastAsia"/>
        </w:rPr>
        <w:t>ć</w:t>
      </w:r>
      <w:r w:rsidRPr="00EC250C">
        <w:t xml:space="preserve"> te</w:t>
      </w:r>
      <w:r w:rsidRPr="00EC250C">
        <w:rPr>
          <w:rFonts w:hint="eastAsia"/>
        </w:rPr>
        <w:t>ż</w:t>
      </w:r>
      <w:r w:rsidRPr="00EC250C">
        <w:t xml:space="preserve"> umarzanie post</w:t>
      </w:r>
      <w:r w:rsidRPr="00EC250C">
        <w:rPr>
          <w:rFonts w:hint="eastAsia"/>
        </w:rPr>
        <w:t>ę</w:t>
      </w:r>
      <w:r w:rsidRPr="00EC250C">
        <w:t>powania egzekucyjnego wobec os</w:t>
      </w:r>
      <w:r w:rsidRPr="00EC250C">
        <w:rPr>
          <w:rFonts w:hint="eastAsia"/>
        </w:rPr>
        <w:t>ó</w:t>
      </w:r>
      <w:r w:rsidRPr="00EC250C">
        <w:t xml:space="preserve">b po 75. roku </w:t>
      </w:r>
      <w:r w:rsidRPr="00EC250C">
        <w:rPr>
          <w:rFonts w:hint="eastAsia"/>
        </w:rPr>
        <w:t>ż</w:t>
      </w:r>
      <w:r w:rsidRPr="00EC250C">
        <w:t>ycia, kt</w:t>
      </w:r>
      <w:r w:rsidRPr="00EC250C">
        <w:rPr>
          <w:rFonts w:hint="eastAsia"/>
        </w:rPr>
        <w:t>ó</w:t>
      </w:r>
      <w:r w:rsidRPr="00EC250C">
        <w:t>re do 2015</w:t>
      </w:r>
      <w:r w:rsidR="00C91F6E" w:rsidRPr="00EC250C">
        <w:t> r.</w:t>
      </w:r>
      <w:r w:rsidRPr="00EC250C">
        <w:t xml:space="preserve"> nie dope</w:t>
      </w:r>
      <w:r w:rsidRPr="00EC250C">
        <w:rPr>
          <w:rFonts w:hint="eastAsia"/>
        </w:rPr>
        <w:t>ł</w:t>
      </w:r>
      <w:r w:rsidRPr="00EC250C">
        <w:t>ni</w:t>
      </w:r>
      <w:r w:rsidRPr="00EC250C">
        <w:rPr>
          <w:rFonts w:hint="eastAsia"/>
        </w:rPr>
        <w:t>ł</w:t>
      </w:r>
      <w:r w:rsidRPr="00EC250C">
        <w:t>y formalnych warunk</w:t>
      </w:r>
      <w:r w:rsidRPr="00EC250C">
        <w:rPr>
          <w:rFonts w:hint="eastAsia"/>
        </w:rPr>
        <w:t>ó</w:t>
      </w:r>
      <w:r w:rsidRPr="00EC250C">
        <w:t>w zwolnienia</w:t>
      </w:r>
      <w:r w:rsidR="00992FD0" w:rsidRPr="00EC250C">
        <w:t xml:space="preserve"> z </w:t>
      </w:r>
      <w:r w:rsidRPr="00EC250C">
        <w:t>op</w:t>
      </w:r>
      <w:r w:rsidRPr="00EC250C">
        <w:rPr>
          <w:rFonts w:hint="eastAsia"/>
        </w:rPr>
        <w:t>ł</w:t>
      </w:r>
      <w:r w:rsidRPr="00EC250C">
        <w:t>at abonamentowych</w:t>
      </w:r>
      <w:r w:rsidR="00B473F5" w:rsidRPr="00EC250C">
        <w:t>.</w:t>
      </w:r>
    </w:p>
    <w:p w14:paraId="679585C7" w14:textId="77777777" w:rsidR="002A230A" w:rsidRPr="00EC250C" w:rsidRDefault="002A230A" w:rsidP="00D131FA">
      <w:pPr>
        <w:pStyle w:val="Styl1"/>
        <w:rPr>
          <w:lang w:eastAsia="en-US"/>
        </w:rPr>
      </w:pPr>
      <w:r w:rsidRPr="00EC250C">
        <w:rPr>
          <w:bCs/>
          <w:iCs/>
          <w:lang w:eastAsia="en-US"/>
        </w:rPr>
        <w:t xml:space="preserve">Kolejna grupa skarg kierowanych do </w:t>
      </w:r>
      <w:r w:rsidR="00135B9D" w:rsidRPr="00EC250C">
        <w:rPr>
          <w:bCs/>
          <w:iCs/>
          <w:lang w:eastAsia="en-US"/>
        </w:rPr>
        <w:t>RPO</w:t>
      </w:r>
      <w:r w:rsidRPr="00EC250C">
        <w:rPr>
          <w:bCs/>
          <w:iCs/>
          <w:lang w:eastAsia="en-US"/>
        </w:rPr>
        <w:t xml:space="preserve"> dotyczyła problemów związanych</w:t>
      </w:r>
      <w:r w:rsidR="00992FD0" w:rsidRPr="00EC250C">
        <w:rPr>
          <w:bCs/>
          <w:iCs/>
          <w:lang w:eastAsia="en-US"/>
        </w:rPr>
        <w:t xml:space="preserve"> z </w:t>
      </w:r>
      <w:r w:rsidRPr="00EC250C">
        <w:rPr>
          <w:bCs/>
          <w:iCs/>
          <w:lang w:eastAsia="en-US"/>
        </w:rPr>
        <w:t xml:space="preserve">brakiem możliwości udokumentowania wyrejestrowania odbiornika ze względu na znaczny upływ czasu. </w:t>
      </w:r>
      <w:r w:rsidR="00135B9D" w:rsidRPr="00EC250C">
        <w:rPr>
          <w:bCs/>
          <w:iCs/>
          <w:lang w:eastAsia="en-US"/>
        </w:rPr>
        <w:t>RPO</w:t>
      </w:r>
      <w:r w:rsidRPr="00EC250C">
        <w:rPr>
          <w:bCs/>
          <w:iCs/>
          <w:lang w:eastAsia="en-US"/>
        </w:rPr>
        <w:t xml:space="preserve"> wyliczył problemy</w:t>
      </w:r>
      <w:r w:rsidR="00992FD0" w:rsidRPr="00EC250C">
        <w:rPr>
          <w:bCs/>
          <w:iCs/>
          <w:lang w:eastAsia="en-US"/>
        </w:rPr>
        <w:t xml:space="preserve"> z </w:t>
      </w:r>
      <w:r w:rsidRPr="00EC250C">
        <w:rPr>
          <w:bCs/>
          <w:iCs/>
          <w:lang w:eastAsia="en-US"/>
        </w:rPr>
        <w:t>płaceniem abonamentu</w:t>
      </w:r>
      <w:r w:rsidR="00992FD0" w:rsidRPr="00EC250C">
        <w:rPr>
          <w:bCs/>
          <w:iCs/>
          <w:lang w:eastAsia="en-US"/>
        </w:rPr>
        <w:t xml:space="preserve"> w </w:t>
      </w:r>
      <w:r w:rsidRPr="00EC250C">
        <w:rPr>
          <w:bCs/>
          <w:iCs/>
          <w:lang w:eastAsia="en-US"/>
        </w:rPr>
        <w:t>wystąpieniu</w:t>
      </w:r>
      <w:r w:rsidRPr="00EC250C">
        <w:rPr>
          <w:rStyle w:val="Odwoanieprzypisudolnego"/>
          <w:rFonts w:eastAsiaTheme="majorEastAsia"/>
          <w:bCs/>
          <w:lang w:eastAsia="en-US"/>
        </w:rPr>
        <w:footnoteReference w:id="760"/>
      </w:r>
      <w:r w:rsidRPr="00EC250C">
        <w:rPr>
          <w:bCs/>
          <w:iCs/>
          <w:lang w:eastAsia="en-US"/>
        </w:rPr>
        <w:t xml:space="preserve"> do Ministra Infrastruktury, który nadzoruje Pocztę Polską. </w:t>
      </w:r>
      <w:r w:rsidRPr="00EC250C">
        <w:rPr>
          <w:lang w:eastAsia="en-US"/>
        </w:rPr>
        <w:t>Minister odpowiedział, że:</w:t>
      </w:r>
    </w:p>
    <w:p w14:paraId="6E3A00CD" w14:textId="77777777" w:rsidR="002A230A" w:rsidRPr="00EC250C" w:rsidRDefault="002A230A" w:rsidP="006C70B7">
      <w:pPr>
        <w:pStyle w:val="Styl1"/>
        <w:numPr>
          <w:ilvl w:val="0"/>
          <w:numId w:val="91"/>
        </w:numPr>
        <w:rPr>
          <w:lang w:eastAsia="en-US"/>
        </w:rPr>
      </w:pPr>
      <w:r w:rsidRPr="00EC250C">
        <w:rPr>
          <w:lang w:eastAsia="en-US"/>
        </w:rPr>
        <w:lastRenderedPageBreak/>
        <w:t>w przypadku osób</w:t>
      </w:r>
      <w:r w:rsidR="00992FD0" w:rsidRPr="00EC250C">
        <w:rPr>
          <w:lang w:eastAsia="en-US"/>
        </w:rPr>
        <w:t xml:space="preserve"> z </w:t>
      </w:r>
      <w:r w:rsidRPr="00EC250C">
        <w:rPr>
          <w:lang w:eastAsia="en-US"/>
        </w:rPr>
        <w:t>niepełnosprawnościami, które nie mogą dokonać osobiście formalności</w:t>
      </w:r>
      <w:r w:rsidR="00992FD0" w:rsidRPr="00EC250C">
        <w:rPr>
          <w:lang w:eastAsia="en-US"/>
        </w:rPr>
        <w:t xml:space="preserve"> w </w:t>
      </w:r>
      <w:r w:rsidRPr="00EC250C">
        <w:rPr>
          <w:lang w:eastAsia="en-US"/>
        </w:rPr>
        <w:t>placówce pocztowej, Poczta Polska –</w:t>
      </w:r>
      <w:r w:rsidR="00992FD0" w:rsidRPr="00EC250C">
        <w:rPr>
          <w:lang w:eastAsia="en-US"/>
        </w:rPr>
        <w:t xml:space="preserve"> w </w:t>
      </w:r>
      <w:r w:rsidRPr="00EC250C">
        <w:rPr>
          <w:lang w:eastAsia="en-US"/>
        </w:rPr>
        <w:t>myśl przepisów Kodeksu postępowania administracyjnego – honoruje upoważnienia lub pełnomocnictwa;</w:t>
      </w:r>
    </w:p>
    <w:p w14:paraId="423DACB0" w14:textId="77777777" w:rsidR="002A230A" w:rsidRPr="00EC250C" w:rsidRDefault="002A230A" w:rsidP="006C70B7">
      <w:pPr>
        <w:pStyle w:val="Styl1"/>
        <w:numPr>
          <w:ilvl w:val="0"/>
          <w:numId w:val="91"/>
        </w:numPr>
        <w:rPr>
          <w:lang w:eastAsia="en-US"/>
        </w:rPr>
      </w:pPr>
      <w:r w:rsidRPr="00EC250C">
        <w:rPr>
          <w:lang w:eastAsia="en-US"/>
        </w:rPr>
        <w:t>w przypadku osób, które mają zaległości</w:t>
      </w:r>
      <w:r w:rsidR="00992FD0" w:rsidRPr="00EC250C">
        <w:rPr>
          <w:lang w:eastAsia="en-US"/>
        </w:rPr>
        <w:t xml:space="preserve"> w </w:t>
      </w:r>
      <w:r w:rsidRPr="00EC250C">
        <w:rPr>
          <w:lang w:eastAsia="en-US"/>
        </w:rPr>
        <w:t>abonamencie,</w:t>
      </w:r>
      <w:r w:rsidR="00992FD0" w:rsidRPr="00EC250C">
        <w:rPr>
          <w:lang w:eastAsia="en-US"/>
        </w:rPr>
        <w:t xml:space="preserve"> a </w:t>
      </w:r>
      <w:r w:rsidRPr="00EC250C">
        <w:rPr>
          <w:lang w:eastAsia="en-US"/>
        </w:rPr>
        <w:t>nie wystąpiły</w:t>
      </w:r>
      <w:r w:rsidR="00992FD0" w:rsidRPr="00EC250C">
        <w:rPr>
          <w:lang w:eastAsia="en-US"/>
        </w:rPr>
        <w:t xml:space="preserve"> o </w:t>
      </w:r>
      <w:r w:rsidRPr="00EC250C">
        <w:rPr>
          <w:lang w:eastAsia="en-US"/>
        </w:rPr>
        <w:t>zwolnienie</w:t>
      </w:r>
      <w:r w:rsidR="00992FD0" w:rsidRPr="00EC250C">
        <w:rPr>
          <w:lang w:eastAsia="en-US"/>
        </w:rPr>
        <w:t xml:space="preserve"> z </w:t>
      </w:r>
      <w:r w:rsidRPr="00EC250C">
        <w:rPr>
          <w:lang w:eastAsia="en-US"/>
        </w:rPr>
        <w:t>niego</w:t>
      </w:r>
      <w:r w:rsidR="00992FD0" w:rsidRPr="00EC250C">
        <w:rPr>
          <w:lang w:eastAsia="en-US"/>
        </w:rPr>
        <w:t xml:space="preserve"> z </w:t>
      </w:r>
      <w:r w:rsidRPr="00EC250C">
        <w:rPr>
          <w:lang w:eastAsia="en-US"/>
        </w:rPr>
        <w:t>racji wieku, Poczta Polska S.A nie ma podstawy prawnej do wystąpienia</w:t>
      </w:r>
      <w:r w:rsidR="00992FD0" w:rsidRPr="00EC250C">
        <w:rPr>
          <w:lang w:eastAsia="en-US"/>
        </w:rPr>
        <w:t xml:space="preserve"> o </w:t>
      </w:r>
      <w:r w:rsidRPr="00EC250C">
        <w:rPr>
          <w:lang w:eastAsia="en-US"/>
        </w:rPr>
        <w:t>umorzenie postępowania;</w:t>
      </w:r>
    </w:p>
    <w:p w14:paraId="5316AB49" w14:textId="77777777" w:rsidR="00C91F6E" w:rsidRPr="00EC250C" w:rsidRDefault="002A230A" w:rsidP="006C70B7">
      <w:pPr>
        <w:pStyle w:val="Styl1"/>
        <w:numPr>
          <w:ilvl w:val="0"/>
          <w:numId w:val="91"/>
        </w:numPr>
        <w:rPr>
          <w:lang w:eastAsia="en-US"/>
        </w:rPr>
      </w:pPr>
      <w:r w:rsidRPr="00EC250C">
        <w:rPr>
          <w:lang w:eastAsia="en-US"/>
        </w:rPr>
        <w:t>jeśli chodzi</w:t>
      </w:r>
      <w:r w:rsidR="00992FD0" w:rsidRPr="00EC250C">
        <w:rPr>
          <w:lang w:eastAsia="en-US"/>
        </w:rPr>
        <w:t xml:space="preserve"> o </w:t>
      </w:r>
      <w:r w:rsidRPr="00EC250C">
        <w:rPr>
          <w:lang w:eastAsia="en-US"/>
        </w:rPr>
        <w:t>osoby pobierające rentę rodzinną, to nie mogą one skorzystać ze zwolnienia</w:t>
      </w:r>
      <w:r w:rsidR="00992FD0" w:rsidRPr="00EC250C">
        <w:rPr>
          <w:lang w:eastAsia="en-US"/>
        </w:rPr>
        <w:t xml:space="preserve"> z </w:t>
      </w:r>
      <w:r w:rsidRPr="00EC250C">
        <w:rPr>
          <w:lang w:eastAsia="en-US"/>
        </w:rPr>
        <w:t>abonamentu tak jak emeryci, bo nie przewiduje tego rozporządzenie Krajowej Rady Radiofonii</w:t>
      </w:r>
      <w:r w:rsidR="00992FD0" w:rsidRPr="00EC250C">
        <w:rPr>
          <w:lang w:eastAsia="en-US"/>
        </w:rPr>
        <w:t xml:space="preserve"> i </w:t>
      </w:r>
      <w:r w:rsidRPr="00EC250C">
        <w:rPr>
          <w:lang w:eastAsia="en-US"/>
        </w:rPr>
        <w:t>Telewizji.</w:t>
      </w:r>
    </w:p>
    <w:p w14:paraId="27B5F712" w14:textId="77777777" w:rsidR="002A230A" w:rsidRPr="00EC250C" w:rsidRDefault="002A230A" w:rsidP="00D131FA">
      <w:pPr>
        <w:pStyle w:val="Styl1"/>
        <w:rPr>
          <w:bCs/>
          <w:iCs/>
          <w:lang w:eastAsia="en-US"/>
        </w:rPr>
      </w:pPr>
      <w:r w:rsidRPr="00EC250C">
        <w:rPr>
          <w:lang w:eastAsia="en-US"/>
        </w:rPr>
        <w:t>Zmianę przepisów</w:t>
      </w:r>
      <w:r w:rsidR="00992FD0" w:rsidRPr="00EC250C">
        <w:rPr>
          <w:lang w:eastAsia="en-US"/>
        </w:rPr>
        <w:t xml:space="preserve"> w </w:t>
      </w:r>
      <w:r w:rsidRPr="00EC250C">
        <w:rPr>
          <w:lang w:eastAsia="en-US"/>
        </w:rPr>
        <w:t>tej ostatniej sprawie może zainicjować Minister Kultury</w:t>
      </w:r>
      <w:r w:rsidR="00992FD0" w:rsidRPr="00EC250C">
        <w:rPr>
          <w:lang w:eastAsia="en-US"/>
        </w:rPr>
        <w:t xml:space="preserve"> i </w:t>
      </w:r>
      <w:r w:rsidRPr="00EC250C">
        <w:rPr>
          <w:lang w:eastAsia="en-US"/>
        </w:rPr>
        <w:t>Dziedzictwa Narodowego.</w:t>
      </w:r>
      <w:r w:rsidRPr="00EC250C">
        <w:rPr>
          <w:bCs/>
          <w:iCs/>
          <w:lang w:eastAsia="en-US"/>
        </w:rPr>
        <w:t xml:space="preserve"> </w:t>
      </w:r>
      <w:r w:rsidR="00135B9D" w:rsidRPr="00EC250C">
        <w:rPr>
          <w:bCs/>
          <w:iCs/>
          <w:lang w:eastAsia="en-US"/>
        </w:rPr>
        <w:t>RPO</w:t>
      </w:r>
      <w:r w:rsidR="00F91C38" w:rsidRPr="00EC250C">
        <w:rPr>
          <w:bCs/>
          <w:iCs/>
          <w:lang w:eastAsia="en-US"/>
        </w:rPr>
        <w:t xml:space="preserve"> </w:t>
      </w:r>
      <w:r w:rsidRPr="00EC250C">
        <w:rPr>
          <w:bCs/>
          <w:iCs/>
          <w:lang w:eastAsia="en-US"/>
        </w:rPr>
        <w:t>zwrócił się więc do niego</w:t>
      </w:r>
      <w:r w:rsidR="00992FD0" w:rsidRPr="00EC250C">
        <w:rPr>
          <w:bCs/>
          <w:iCs/>
          <w:lang w:eastAsia="en-US"/>
        </w:rPr>
        <w:t xml:space="preserve"> o </w:t>
      </w:r>
      <w:r w:rsidRPr="00EC250C">
        <w:rPr>
          <w:bCs/>
          <w:iCs/>
          <w:lang w:eastAsia="en-US"/>
        </w:rPr>
        <w:t>rozważenie takiej zmiany</w:t>
      </w:r>
      <w:r w:rsidR="00992FD0" w:rsidRPr="00EC250C">
        <w:rPr>
          <w:bCs/>
          <w:iCs/>
          <w:lang w:eastAsia="en-US"/>
        </w:rPr>
        <w:t xml:space="preserve"> i </w:t>
      </w:r>
      <w:r w:rsidRPr="00EC250C">
        <w:rPr>
          <w:bCs/>
          <w:iCs/>
          <w:lang w:eastAsia="en-US"/>
        </w:rPr>
        <w:t>objęcie zwolnieniem od opłat abonamentowych osób pobierających rentę rodzinną,</w:t>
      </w:r>
      <w:r w:rsidR="00992FD0" w:rsidRPr="00EC250C">
        <w:rPr>
          <w:bCs/>
          <w:iCs/>
          <w:lang w:eastAsia="en-US"/>
        </w:rPr>
        <w:t xml:space="preserve"> a </w:t>
      </w:r>
      <w:r w:rsidRPr="00EC250C">
        <w:rPr>
          <w:bCs/>
          <w:iCs/>
          <w:lang w:eastAsia="en-US"/>
        </w:rPr>
        <w:t>spełniających jednocześnie kryteria dotyczące wieku oraz wysokości dochodów. Minister wystąpił</w:t>
      </w:r>
      <w:r w:rsidR="00992FD0" w:rsidRPr="00EC250C">
        <w:rPr>
          <w:bCs/>
          <w:iCs/>
          <w:lang w:eastAsia="en-US"/>
        </w:rPr>
        <w:t xml:space="preserve"> o </w:t>
      </w:r>
      <w:r w:rsidRPr="00EC250C">
        <w:rPr>
          <w:bCs/>
          <w:iCs/>
          <w:lang w:eastAsia="en-US"/>
        </w:rPr>
        <w:t>opinię do KRRiT</w:t>
      </w:r>
      <w:r w:rsidR="00DE3FA7" w:rsidRPr="00EC250C">
        <w:rPr>
          <w:rStyle w:val="Odwoanieprzypisudolnego"/>
          <w:rFonts w:eastAsiaTheme="majorEastAsia"/>
          <w:bCs/>
          <w:lang w:eastAsia="en-US"/>
        </w:rPr>
        <w:footnoteReference w:id="761"/>
      </w:r>
      <w:r w:rsidRPr="00EC250C">
        <w:rPr>
          <w:bCs/>
          <w:iCs/>
          <w:lang w:eastAsia="en-US"/>
        </w:rPr>
        <w:t>.</w:t>
      </w:r>
      <w:r w:rsidR="000006A8" w:rsidRPr="00EC250C">
        <w:rPr>
          <w:bCs/>
          <w:iCs/>
          <w:lang w:eastAsia="en-US"/>
        </w:rPr>
        <w:t xml:space="preserve"> Rzecznik będzie monitorował tę sprawę.</w:t>
      </w:r>
    </w:p>
    <w:p w14:paraId="0AD4486E" w14:textId="77777777" w:rsidR="002A230A" w:rsidRPr="00EC250C" w:rsidRDefault="002A230A" w:rsidP="00EC79EB">
      <w:pPr>
        <w:pStyle w:val="Nagwek4"/>
      </w:pPr>
      <w:bookmarkStart w:id="743" w:name="_Toc11247860"/>
      <w:r w:rsidRPr="00EC250C">
        <w:t>Opłata za gospodarowanie odpadami komunalnymi</w:t>
      </w:r>
      <w:bookmarkEnd w:id="743"/>
    </w:p>
    <w:p w14:paraId="0CEB641A" w14:textId="77777777" w:rsidR="00B473F5" w:rsidRPr="00EC250C" w:rsidRDefault="00396F31" w:rsidP="00D131FA">
      <w:pPr>
        <w:pStyle w:val="Problemczowieka"/>
        <w:jc w:val="both"/>
        <w:rPr>
          <w:lang w:eastAsia="en-US"/>
        </w:rPr>
      </w:pPr>
      <w:r w:rsidRPr="00EC250C">
        <w:rPr>
          <w:lang w:eastAsia="en-US"/>
        </w:rPr>
        <w:t>Opłaty ryczałtowe za gospodarowanie odpadami</w:t>
      </w:r>
      <w:r w:rsidR="00992FD0" w:rsidRPr="00EC250C">
        <w:rPr>
          <w:lang w:eastAsia="en-US"/>
        </w:rPr>
        <w:t xml:space="preserve"> z </w:t>
      </w:r>
      <w:r w:rsidRPr="00EC250C">
        <w:rPr>
          <w:lang w:eastAsia="en-US"/>
        </w:rPr>
        <w:t>nieruchomości wykorzystywanych na cele rekreacyjne</w:t>
      </w:r>
      <w:r w:rsidR="00992FD0" w:rsidRPr="00EC250C">
        <w:rPr>
          <w:lang w:eastAsia="en-US"/>
        </w:rPr>
        <w:t xml:space="preserve"> i </w:t>
      </w:r>
      <w:r w:rsidRPr="00EC250C">
        <w:rPr>
          <w:lang w:eastAsia="en-US"/>
        </w:rPr>
        <w:t>wypoczynkowe wzrosły kilkukrotnie</w:t>
      </w:r>
      <w:r w:rsidR="00B473F5" w:rsidRPr="00EC250C">
        <w:rPr>
          <w:lang w:eastAsia="en-US"/>
        </w:rPr>
        <w:t>.</w:t>
      </w:r>
      <w:r w:rsidR="000006A8" w:rsidRPr="00EC250C">
        <w:rPr>
          <w:lang w:eastAsia="en-US"/>
        </w:rPr>
        <w:t xml:space="preserve"> Dla właścicieli domków letniskowych było to ogromne i w ich odczuciu niesprawiedliwe obciążenie – przecież domków takich nie wykorzystuje się cały rok, więc też nie trzeba z nich wywozić dużo śmieci.</w:t>
      </w:r>
    </w:p>
    <w:p w14:paraId="3D6BFF81" w14:textId="77777777" w:rsidR="00C91F6E" w:rsidRPr="00EC250C" w:rsidRDefault="00396F31" w:rsidP="00D131FA">
      <w:pPr>
        <w:pStyle w:val="Styl1"/>
        <w:rPr>
          <w:lang w:eastAsia="en-US"/>
        </w:rPr>
      </w:pPr>
      <w:r w:rsidRPr="00EC250C">
        <w:rPr>
          <w:lang w:eastAsia="en-US"/>
        </w:rPr>
        <w:t>Obecne regulacje budzą też zasadnicze wątpliwości konstytucyjne (przede wszystkim nieokreślenie</w:t>
      </w:r>
      <w:r w:rsidR="00992FD0" w:rsidRPr="00EC250C">
        <w:rPr>
          <w:lang w:eastAsia="en-US"/>
        </w:rPr>
        <w:t xml:space="preserve"> w </w:t>
      </w:r>
      <w:r w:rsidRPr="00EC250C">
        <w:rPr>
          <w:lang w:eastAsia="en-US"/>
        </w:rPr>
        <w:t xml:space="preserve">ustawie maksymalnych stawek opłat), co </w:t>
      </w:r>
      <w:r w:rsidR="00135B9D" w:rsidRPr="00EC250C">
        <w:rPr>
          <w:lang w:eastAsia="en-US"/>
        </w:rPr>
        <w:t>RPO</w:t>
      </w:r>
      <w:r w:rsidRPr="00EC250C">
        <w:rPr>
          <w:lang w:eastAsia="en-US"/>
        </w:rPr>
        <w:t xml:space="preserve"> sygnalizował Ministrowi Środowiska jeszcze</w:t>
      </w:r>
      <w:r w:rsidR="00992FD0" w:rsidRPr="00EC250C">
        <w:rPr>
          <w:lang w:eastAsia="en-US"/>
        </w:rPr>
        <w:t xml:space="preserve"> w </w:t>
      </w:r>
      <w:r w:rsidRPr="00EC250C">
        <w:rPr>
          <w:lang w:eastAsia="en-US"/>
        </w:rPr>
        <w:t>2016</w:t>
      </w:r>
      <w:r w:rsidR="00C91F6E" w:rsidRPr="00EC250C">
        <w:rPr>
          <w:lang w:eastAsia="en-US"/>
        </w:rPr>
        <w:t> r.</w:t>
      </w:r>
      <w:r w:rsidRPr="00EC250C">
        <w:rPr>
          <w:rStyle w:val="Odwoanieprzypisudolnego"/>
          <w:rFonts w:eastAsiaTheme="majorEastAsia"/>
          <w:lang w:eastAsia="en-US"/>
        </w:rPr>
        <w:footnoteReference w:id="762"/>
      </w:r>
      <w:r w:rsidRPr="00EC250C">
        <w:rPr>
          <w:lang w:eastAsia="en-US"/>
        </w:rPr>
        <w:t xml:space="preserve"> Dopiero</w:t>
      </w:r>
      <w:r w:rsidR="00992FD0" w:rsidRPr="00EC250C">
        <w:rPr>
          <w:lang w:eastAsia="en-US"/>
        </w:rPr>
        <w:t xml:space="preserve"> w </w:t>
      </w:r>
      <w:r w:rsidRPr="00EC250C">
        <w:rPr>
          <w:lang w:eastAsia="en-US"/>
        </w:rPr>
        <w:t>2018</w:t>
      </w:r>
      <w:r w:rsidR="00C91F6E" w:rsidRPr="00EC250C">
        <w:rPr>
          <w:lang w:eastAsia="en-US"/>
        </w:rPr>
        <w:t> r.</w:t>
      </w:r>
      <w:r w:rsidRPr="00EC250C">
        <w:rPr>
          <w:lang w:eastAsia="en-US"/>
        </w:rPr>
        <w:t xml:space="preserve"> dostał odpowiedź wraz</w:t>
      </w:r>
      <w:r w:rsidR="00992FD0" w:rsidRPr="00EC250C">
        <w:rPr>
          <w:lang w:eastAsia="en-US"/>
        </w:rPr>
        <w:t xml:space="preserve"> z </w:t>
      </w:r>
      <w:r w:rsidRPr="00EC250C">
        <w:rPr>
          <w:lang w:eastAsia="en-US"/>
        </w:rPr>
        <w:t>informacją</w:t>
      </w:r>
      <w:r w:rsidR="00992FD0" w:rsidRPr="00EC250C">
        <w:rPr>
          <w:lang w:eastAsia="en-US"/>
        </w:rPr>
        <w:t xml:space="preserve"> o </w:t>
      </w:r>
      <w:r w:rsidRPr="00EC250C">
        <w:rPr>
          <w:lang w:eastAsia="en-US"/>
        </w:rPr>
        <w:t>projekcie, który – przynajmniej częściowo – wyeliminuje wspomniane zastrzeżenia konstytucyjne, wprowadzając</w:t>
      </w:r>
      <w:r w:rsidR="00992FD0" w:rsidRPr="00EC250C">
        <w:rPr>
          <w:lang w:eastAsia="en-US"/>
        </w:rPr>
        <w:t xml:space="preserve"> w </w:t>
      </w:r>
      <w:r w:rsidRPr="00EC250C">
        <w:rPr>
          <w:lang w:eastAsia="en-US"/>
        </w:rPr>
        <w:t>ustawie górną granicę wysokości opłaty ryczałtowej.</w:t>
      </w:r>
    </w:p>
    <w:p w14:paraId="7335CB55" w14:textId="77777777" w:rsidR="000006A8" w:rsidRPr="00EC250C" w:rsidRDefault="000006A8" w:rsidP="00D131FA">
      <w:pPr>
        <w:pStyle w:val="Styl1"/>
        <w:rPr>
          <w:lang w:eastAsia="en-US"/>
        </w:rPr>
      </w:pPr>
      <w:r w:rsidRPr="00EC250C">
        <w:rPr>
          <w:lang w:eastAsia="en-US"/>
        </w:rPr>
        <w:t xml:space="preserve">Projekt rządowy wpłynął </w:t>
      </w:r>
      <w:r w:rsidR="0053136C" w:rsidRPr="00EC250C">
        <w:rPr>
          <w:lang w:eastAsia="en-US"/>
        </w:rPr>
        <w:t>do Sejmu w 6 czerwca 2019 r.</w:t>
      </w:r>
      <w:r w:rsidR="0053136C" w:rsidRPr="00EC250C">
        <w:rPr>
          <w:rStyle w:val="Odwoanieprzypisudolnego"/>
          <w:lang w:eastAsia="en-US"/>
        </w:rPr>
        <w:footnoteReference w:id="763"/>
      </w:r>
    </w:p>
    <w:p w14:paraId="71C6630D" w14:textId="77777777" w:rsidR="00396F31" w:rsidRPr="00EC250C" w:rsidRDefault="00396F31" w:rsidP="00EC79EB">
      <w:pPr>
        <w:pStyle w:val="Nagwek4"/>
      </w:pPr>
      <w:bookmarkStart w:id="744" w:name="_Toc7113948"/>
      <w:bookmarkStart w:id="745" w:name="_Toc11247861"/>
      <w:r w:rsidRPr="00EC250C">
        <w:lastRenderedPageBreak/>
        <w:t xml:space="preserve">Dochodzenie należności przez </w:t>
      </w:r>
      <w:r w:rsidR="00992FD0" w:rsidRPr="00EC250C">
        <w:t xml:space="preserve">Skarb Państwa na drodze </w:t>
      </w:r>
      <w:r w:rsidRPr="00EC250C">
        <w:t>skargi pauliańskiej</w:t>
      </w:r>
      <w:bookmarkEnd w:id="744"/>
      <w:bookmarkEnd w:id="745"/>
    </w:p>
    <w:p w14:paraId="62D2EE92" w14:textId="77777777" w:rsidR="00B473F5" w:rsidRPr="00EC250C" w:rsidRDefault="0053136C" w:rsidP="00D131FA">
      <w:pPr>
        <w:pStyle w:val="Problemczowieka"/>
        <w:jc w:val="both"/>
      </w:pPr>
      <w:r w:rsidRPr="00EC250C">
        <w:t xml:space="preserve">Urząd skarbowy </w:t>
      </w:r>
      <w:r w:rsidR="00992FD0" w:rsidRPr="00EC250C">
        <w:t xml:space="preserve">może wystąpić z powództwem </w:t>
      </w:r>
      <w:r w:rsidR="00396F31" w:rsidRPr="00EC250C">
        <w:t>cywilnym przeciwko osobie, która np. otrzymała nieruchomość</w:t>
      </w:r>
      <w:r w:rsidR="00992FD0" w:rsidRPr="00EC250C">
        <w:t xml:space="preserve"> w </w:t>
      </w:r>
      <w:r w:rsidR="00396F31" w:rsidRPr="00EC250C">
        <w:t>drodze darowizny od podatnika, mającego zaległości podatkowe</w:t>
      </w:r>
      <w:r w:rsidR="00B473F5" w:rsidRPr="00EC250C">
        <w:t>.</w:t>
      </w:r>
    </w:p>
    <w:p w14:paraId="511732D3" w14:textId="77777777" w:rsidR="00396F31" w:rsidRPr="00EC250C" w:rsidRDefault="00396F31" w:rsidP="00D131FA">
      <w:pPr>
        <w:pStyle w:val="Styl1"/>
      </w:pPr>
      <w:r w:rsidRPr="00EC250C">
        <w:t>Trybunał Konstytucyjny orzekł zgodność</w:t>
      </w:r>
      <w:r w:rsidR="00992FD0" w:rsidRPr="00EC250C">
        <w:t xml:space="preserve"> z </w:t>
      </w:r>
      <w:r w:rsidRPr="00EC250C">
        <w:t>Konstytucją możliwości dochodzenia należności podatkowych</w:t>
      </w:r>
      <w:r w:rsidR="00992FD0" w:rsidRPr="00EC250C">
        <w:t xml:space="preserve"> w </w:t>
      </w:r>
      <w:r w:rsidRPr="00EC250C">
        <w:t>ramach przewidzianej</w:t>
      </w:r>
      <w:r w:rsidR="00992FD0" w:rsidRPr="00EC250C">
        <w:t xml:space="preserve"> w </w:t>
      </w:r>
      <w:r w:rsidRPr="00EC250C">
        <w:t>prawie cywilnym tzw. skargi pauliańskiej. Wniosek do TK</w:t>
      </w:r>
      <w:r w:rsidR="00992FD0" w:rsidRPr="00EC250C">
        <w:t xml:space="preserve"> w </w:t>
      </w:r>
      <w:r w:rsidRPr="00EC250C">
        <w:t>tej sprawie złożył Rzecznik Praw Obywatelskich. Kwestionował stosowanie</w:t>
      </w:r>
      <w:r w:rsidR="00026572" w:rsidRPr="00EC250C">
        <w:t xml:space="preserve"> – </w:t>
      </w:r>
      <w:r w:rsidR="00992FD0" w:rsidRPr="00EC250C">
        <w:t>w </w:t>
      </w:r>
      <w:r w:rsidRPr="00EC250C">
        <w:t>drodze analogii</w:t>
      </w:r>
      <w:r w:rsidR="00026572" w:rsidRPr="00EC250C">
        <w:t xml:space="preserve"> – </w:t>
      </w:r>
      <w:r w:rsidRPr="00EC250C">
        <w:t>regulacji cywilnoprawnej, jaką jest skarga pauliańska, do dochodzenia należności publicznoprawnych,</w:t>
      </w:r>
      <w:r w:rsidR="00992FD0" w:rsidRPr="00EC250C">
        <w:t xml:space="preserve"> w </w:t>
      </w:r>
      <w:r w:rsidRPr="00EC250C">
        <w:t>tym zobowiązań podatkowych</w:t>
      </w:r>
      <w:r w:rsidRPr="00EC250C">
        <w:rPr>
          <w:rStyle w:val="Odwoanieprzypisudolnego"/>
          <w:rFonts w:eastAsiaTheme="majorEastAsia"/>
        </w:rPr>
        <w:footnoteReference w:id="764"/>
      </w:r>
      <w:r w:rsidRPr="00EC250C">
        <w:t>.</w:t>
      </w:r>
    </w:p>
    <w:p w14:paraId="0205B60D" w14:textId="77777777" w:rsidR="00396F31" w:rsidRPr="00EC250C" w:rsidRDefault="00396F31" w:rsidP="00D131FA">
      <w:pPr>
        <w:pStyle w:val="Styl1"/>
      </w:pPr>
      <w:r w:rsidRPr="00EC250C">
        <w:t>Chodzi</w:t>
      </w:r>
      <w:r w:rsidR="00992FD0" w:rsidRPr="00EC250C">
        <w:t xml:space="preserve"> o </w:t>
      </w:r>
      <w:r w:rsidRPr="00EC250C">
        <w:t>art. 527 Kodeksu cywilnego. Stanowi on: „Gdy wskutek czynności prawnej dłużnika dokonanej</w:t>
      </w:r>
      <w:r w:rsidR="00992FD0" w:rsidRPr="00EC250C">
        <w:t xml:space="preserve"> z </w:t>
      </w:r>
      <w:r w:rsidRPr="00EC250C">
        <w:t>pokrzywdzeniem wierzycieli osoba trzecia uzyskała korzyść majątkową, każdy</w:t>
      </w:r>
      <w:r w:rsidR="00992FD0" w:rsidRPr="00EC250C">
        <w:t xml:space="preserve"> z </w:t>
      </w:r>
      <w:r w:rsidRPr="00EC250C">
        <w:t>wierzycieli może żądać uznania tej czynności za bezskuteczną</w:t>
      </w:r>
      <w:r w:rsidR="00992FD0" w:rsidRPr="00EC250C">
        <w:t xml:space="preserve"> w </w:t>
      </w:r>
      <w:r w:rsidRPr="00EC250C">
        <w:t>stosunku do niego, jeżeli dłużnik działał ze świadomością pokrzywdzenia wierzycieli,</w:t>
      </w:r>
      <w:r w:rsidR="00992FD0" w:rsidRPr="00EC250C">
        <w:t xml:space="preserve"> a </w:t>
      </w:r>
      <w:r w:rsidRPr="00EC250C">
        <w:t>osoba trzecia</w:t>
      </w:r>
      <w:r w:rsidR="00992FD0" w:rsidRPr="00EC250C">
        <w:t xml:space="preserve"> o </w:t>
      </w:r>
      <w:r w:rsidRPr="00EC250C">
        <w:t>tym wiedziała lub przy zachowaniu należytej staranności mogła się dowiedzieć”.</w:t>
      </w:r>
    </w:p>
    <w:p w14:paraId="3025CBB1" w14:textId="77777777" w:rsidR="00396F31" w:rsidRPr="00EC250C" w:rsidRDefault="00135B9D" w:rsidP="00D131FA">
      <w:pPr>
        <w:pStyle w:val="Styl1"/>
      </w:pPr>
      <w:r w:rsidRPr="00EC250C">
        <w:t>RPO</w:t>
      </w:r>
      <w:r w:rsidR="00396F31" w:rsidRPr="00EC250C">
        <w:t xml:space="preserve"> ma jednak nadal wątpliwości, czy można stosować regulacje pochodzące</w:t>
      </w:r>
      <w:r w:rsidR="00992FD0" w:rsidRPr="00EC250C">
        <w:t xml:space="preserve"> z </w:t>
      </w:r>
      <w:r w:rsidR="00396F31" w:rsidRPr="00EC250C">
        <w:t>prawa cywilnego (jaką jest skarga pauliańska) do działań państwa</w:t>
      </w:r>
      <w:r w:rsidR="00992FD0" w:rsidRPr="00EC250C">
        <w:t xml:space="preserve"> w </w:t>
      </w:r>
      <w:r w:rsidR="00396F31" w:rsidRPr="00EC250C">
        <w:t>ramach prawa podatkowego. Zdaniem Rzecznika jest to sprzeczne</w:t>
      </w:r>
      <w:r w:rsidR="00992FD0" w:rsidRPr="00EC250C">
        <w:t xml:space="preserve"> z </w:t>
      </w:r>
      <w:r w:rsidR="00396F31" w:rsidRPr="00EC250C">
        <w:t>zasadą poprawnej legislacji (art. 2 Konstytucji). Ustawodawca pozostawił organom stosującym prawo nadmierną swobodę interpretacyjną, co doprowadziło do niedopuszczalnego odwołania się do konstrukcji wnioskowania</w:t>
      </w:r>
      <w:r w:rsidR="00992FD0" w:rsidRPr="00EC250C">
        <w:t xml:space="preserve"> z </w:t>
      </w:r>
      <w:r w:rsidR="00396F31" w:rsidRPr="00EC250C">
        <w:t>analogii na niekorzyść obywatela.</w:t>
      </w:r>
    </w:p>
    <w:p w14:paraId="35041D45" w14:textId="77777777" w:rsidR="00396F31" w:rsidRPr="00EC250C" w:rsidRDefault="00396F31" w:rsidP="00D131FA">
      <w:pPr>
        <w:pStyle w:val="Styl1"/>
      </w:pPr>
      <w:r w:rsidRPr="00EC250C">
        <w:t>Trybunał orzekł jednak, że art. 527 Kc</w:t>
      </w:r>
      <w:r w:rsidR="00992FD0" w:rsidRPr="00EC250C">
        <w:t xml:space="preserve"> w </w:t>
      </w:r>
      <w:r w:rsidRPr="00EC250C">
        <w:t>zakresie,</w:t>
      </w:r>
      <w:r w:rsidR="00992FD0" w:rsidRPr="00EC250C">
        <w:t xml:space="preserve"> w </w:t>
      </w:r>
      <w:r w:rsidRPr="00EC250C">
        <w:t>jakim znajduje zastosowanie na zasadzie analogii do ochrony należności publicznoprawnych, jest zgodny</w:t>
      </w:r>
      <w:r w:rsidR="00992FD0" w:rsidRPr="00EC250C">
        <w:t xml:space="preserve"> z </w:t>
      </w:r>
      <w:r w:rsidRPr="00EC250C">
        <w:t xml:space="preserve">art. 2 Konstytucji. </w:t>
      </w:r>
    </w:p>
    <w:p w14:paraId="79E3B3FC" w14:textId="77777777" w:rsidR="0053136C" w:rsidRPr="00EC250C" w:rsidRDefault="0053136C" w:rsidP="00D131FA">
      <w:pPr>
        <w:pStyle w:val="Styl1"/>
      </w:pPr>
      <w:r w:rsidRPr="00EC250C">
        <w:t>Trybunał przypomniał, że organy podatkowe sięgając w procesie cywilnym do skargi pauliańskiej, nie działają władczo. Wyrok w procesie pauliańskim nie tworzy nowych podatkowo-prawnych stanów faktycznych podlegających opodatkowaniu, nie powoduje też rozszerzenia zakresu opodatkowania, lecz jedynie stwarza wierzycielowi możliwość przeprowadzenia w przyszłości skutecznej egzekucji należności publicznoprawnej z przedmiotów majątkowych, których dłużnik wyzbył się w celu pokrzywdzenia wierzyciela. Sąd, stwierdzając bezskuteczność umowy zawartej między dłużnikiem publicznoprawnym i osobą trzecią, nie wkracza w obszar uprawnień i obowiązków podatkowych o charakterze materialno-prawnym; nie nakłada na osobę trzecią żadnego nowego ciężaru podatkowego.</w:t>
      </w:r>
    </w:p>
    <w:p w14:paraId="2F7CB52C" w14:textId="77777777" w:rsidR="002A230A" w:rsidRPr="00EC250C" w:rsidRDefault="002A230A" w:rsidP="00D131FA">
      <w:pPr>
        <w:spacing w:after="200" w:line="24" w:lineRule="auto"/>
        <w:jc w:val="both"/>
        <w:rPr>
          <w:spacing w:val="5"/>
          <w:sz w:val="24"/>
        </w:rPr>
      </w:pPr>
      <w:r w:rsidRPr="00EC250C">
        <w:rPr>
          <w:sz w:val="24"/>
        </w:rPr>
        <w:br w:type="page"/>
      </w:r>
    </w:p>
    <w:p w14:paraId="5E3F1EBE" w14:textId="77777777" w:rsidR="007C23D5" w:rsidRPr="00EC250C" w:rsidRDefault="007C23D5" w:rsidP="006C70B7">
      <w:pPr>
        <w:pStyle w:val="Nagwek2"/>
        <w:numPr>
          <w:ilvl w:val="0"/>
          <w:numId w:val="88"/>
        </w:numPr>
        <w:jc w:val="both"/>
      </w:pPr>
      <w:bookmarkStart w:id="746" w:name="_Toc6257985"/>
      <w:bookmarkStart w:id="747" w:name="_Toc10721817"/>
      <w:bookmarkStart w:id="748" w:name="_Toc11247862"/>
      <w:bookmarkStart w:id="749" w:name="_Hlk10810932"/>
      <w:r w:rsidRPr="00EC250C">
        <w:lastRenderedPageBreak/>
        <w:t>Wdrożenie prawa europejskiego i wykonywanie wyroków ETPC i TSUE</w:t>
      </w:r>
      <w:bookmarkEnd w:id="746"/>
      <w:bookmarkEnd w:id="747"/>
      <w:bookmarkEnd w:id="748"/>
    </w:p>
    <w:p w14:paraId="368B3CFC" w14:textId="77777777" w:rsidR="007C23D5" w:rsidRPr="00EC250C" w:rsidRDefault="007C23D5" w:rsidP="00EC79EB">
      <w:pPr>
        <w:pStyle w:val="Nagwek4"/>
      </w:pPr>
      <w:bookmarkStart w:id="750" w:name="_Toc11247863"/>
      <w:bookmarkEnd w:id="749"/>
      <w:r w:rsidRPr="00EC250C">
        <w:t>Wykonanie postanowienia Trybunału Sprawiedliwości UE dotyczącego przywrócenia sędziów SN odesłanych w stan spoczynku</w:t>
      </w:r>
      <w:bookmarkEnd w:id="750"/>
    </w:p>
    <w:p w14:paraId="16AF60D9" w14:textId="77777777" w:rsidR="007C23D5" w:rsidRPr="00EC250C" w:rsidRDefault="007C23D5" w:rsidP="00D131FA">
      <w:pPr>
        <w:pStyle w:val="Problemczowieka"/>
        <w:jc w:val="both"/>
        <w:rPr>
          <w:rStyle w:val="Pogrubienie"/>
          <w:rFonts w:eastAsiaTheme="majorEastAsia"/>
          <w:b/>
          <w:bCs w:val="0"/>
        </w:rPr>
      </w:pPr>
      <w:r w:rsidRPr="00EC250C">
        <w:rPr>
          <w:rStyle w:val="Pogrubienie"/>
          <w:rFonts w:eastAsiaTheme="majorEastAsia"/>
          <w:b/>
        </w:rPr>
        <w:t>Wiceprezes Trybunału Sprawiedliwości UE tymczasowym postanowieniem z 19</w:t>
      </w:r>
      <w:r w:rsidRPr="00EC250C">
        <w:rPr>
          <w:rStyle w:val="Pogrubienie"/>
          <w:rFonts w:eastAsiaTheme="majorEastAsia"/>
        </w:rPr>
        <w:t> </w:t>
      </w:r>
      <w:r w:rsidRPr="00EC250C">
        <w:rPr>
          <w:rStyle w:val="Pogrubienie"/>
          <w:rFonts w:eastAsiaTheme="majorEastAsia"/>
          <w:b/>
        </w:rPr>
        <w:t>października 2018 r. (</w:t>
      </w:r>
      <w:r w:rsidRPr="00EC250C">
        <w:t xml:space="preserve">C-619/18) </w:t>
      </w:r>
      <w:r w:rsidRPr="00EC250C">
        <w:rPr>
          <w:rStyle w:val="Pogrubienie"/>
          <w:rFonts w:eastAsiaTheme="majorEastAsia"/>
          <w:b/>
        </w:rPr>
        <w:t xml:space="preserve">zobowiązała Polskę do natychmiastowego zawieszenia stosowania przepisów dotyczących obniżenia wieku sędziów Sądu Najwyższego i przejścia ich w stan spoczynku — ze skutkiem wstecz. Postanowienie to zostało potwierdzone postanowieniem TSUE z </w:t>
      </w:r>
      <w:r w:rsidRPr="00EC250C">
        <w:t>17 grudnia 2018 r.</w:t>
      </w:r>
    </w:p>
    <w:p w14:paraId="61231B61" w14:textId="77777777" w:rsidR="007C23D5" w:rsidRPr="00EC250C" w:rsidRDefault="007C23D5" w:rsidP="00D131FA">
      <w:pPr>
        <w:pStyle w:val="ODESANIE"/>
        <w:jc w:val="both"/>
      </w:pPr>
      <w:r w:rsidRPr="00EC250C">
        <w:t>Sprawa odsyłania sędziów SN w stan spoczynku omówiona jest w niniejszej informacji w kontekście art. 45 Konstytucji (prawo do sądu).</w:t>
      </w:r>
    </w:p>
    <w:p w14:paraId="1ADE3B12" w14:textId="77777777" w:rsidR="007C23D5" w:rsidRPr="00EC250C" w:rsidRDefault="007C23D5" w:rsidP="00D131FA">
      <w:pPr>
        <w:pStyle w:val="Styl1"/>
      </w:pPr>
      <w:r w:rsidRPr="00EC250C">
        <w:t>Sąd Najwyższy oraz Naczelny Sąd Administracyjny zastosowały się do tego postanowienia: wszyscy sędziowie, których zakwestionowana ustawa o SN odesłała w stan spoczynku, stawili się w Sądzie, otrzymali też sprawy do rozpoznania</w:t>
      </w:r>
      <w:r w:rsidRPr="00EC250C">
        <w:rPr>
          <w:rStyle w:val="Odwoanieprzypisudolnego"/>
        </w:rPr>
        <w:footnoteReference w:id="765"/>
      </w:r>
      <w:r w:rsidRPr="00EC250C">
        <w:t>. Wolę powrotu na swoje stanowiska wyrazili również wszyscy sędziowie NSA, którzy zostali przeniesieni w stan spoczynku na mocy zakwestionowanych przepisów</w:t>
      </w:r>
      <w:r w:rsidRPr="00EC250C">
        <w:rPr>
          <w:rStyle w:val="Odwoanieprzypisudolnego"/>
        </w:rPr>
        <w:footnoteReference w:id="766"/>
      </w:r>
      <w:r w:rsidRPr="00EC250C">
        <w:t>.</w:t>
      </w:r>
    </w:p>
    <w:p w14:paraId="5A8CEB6B" w14:textId="77777777" w:rsidR="007C23D5" w:rsidRPr="00EC250C" w:rsidRDefault="007C23D5" w:rsidP="00D131FA">
      <w:pPr>
        <w:pStyle w:val="Styl1"/>
      </w:pPr>
      <w:r w:rsidRPr="00EC250C">
        <w:t>18 grudnia 2018 r. prezydent podpisał nowelizację ustawy o SN (kolejną w 2018 r.), umożliwiającą powrót na stanowiska sędziów NSA i SN. W przypadku SN dotyczyło to  22 sędziów, w tym trojga prezesów, podczas gdy w NSA chodziło o 42 sędziów NSA, w tym osób pełniących w sądach administracyjnych funkcje: Wiceprezesa NSA, prezesa jednego z wojewódzkich sądów administracyjnych, dwóch wiceprezesów wojewódzkich sądów administracyjnych i dwóch przewodniczących wydziałów</w:t>
      </w:r>
      <w:r w:rsidRPr="00EC250C">
        <w:rPr>
          <w:rStyle w:val="Odwoanieprzypisudolnego"/>
        </w:rPr>
        <w:footnoteReference w:id="767"/>
      </w:r>
      <w:r w:rsidRPr="00EC250C">
        <w:t>.</w:t>
      </w:r>
    </w:p>
    <w:p w14:paraId="6B304574" w14:textId="77777777" w:rsidR="007C23D5" w:rsidRPr="00EC250C" w:rsidRDefault="007C23D5" w:rsidP="00D131FA">
      <w:pPr>
        <w:pStyle w:val="Styl1"/>
      </w:pPr>
      <w:r w:rsidRPr="00EC250C">
        <w:t>Sprawa C-619/18 nie została jeszcze zakończona ostatecznym wyrokiem TSUE. 11 kwietnia 2019 r. swoją opinię w sprawie przedstawił Rzecznik Generalny Tanchev, który zaproponował, TSUE orzekł, że obniżając wiek przejścia w stan spoczynku i stosując go do urzędujących sędziów Sądu Najwyższego powołanych do Sądu Najwyższego przed dniem 3 kwietnia 2018 r., a także przyznając Prezydentowi Rzeczypospolitej Polskiej dyskrecjonalne prawo do przedłużenia czynnej służby sędziów Sądu Najwyższego, Rzeczpospolita Polska uchybiła zobowiązaniom wynikającym z art. 19 ust. 1 akapit drugi TUE.</w:t>
      </w:r>
    </w:p>
    <w:p w14:paraId="35E56E53" w14:textId="77777777" w:rsidR="007C23D5" w:rsidRPr="00EC250C" w:rsidRDefault="007C23D5" w:rsidP="00D131FA">
      <w:pPr>
        <w:pStyle w:val="Styl1"/>
      </w:pPr>
      <w:r w:rsidRPr="00EC250C">
        <w:lastRenderedPageBreak/>
        <w:t xml:space="preserve">W TSUE toczą się również inne postępowania, których rozstrzygnięcia będą miały znaczenie dla oceny sytuacji praworządności w Polsce. Chodzi o postępowania w sprawach C-522/18 </w:t>
      </w:r>
      <w:r w:rsidRPr="00EC250C">
        <w:rPr>
          <w:i/>
        </w:rPr>
        <w:t xml:space="preserve">Zakład Ubezpieczeń Społecznych, </w:t>
      </w:r>
      <w:r w:rsidRPr="00EC250C">
        <w:t xml:space="preserve">C-624/18 </w:t>
      </w:r>
      <w:r w:rsidRPr="00EC250C">
        <w:rPr>
          <w:i/>
        </w:rPr>
        <w:t xml:space="preserve">CP, </w:t>
      </w:r>
      <w:r w:rsidRPr="00EC250C">
        <w:t xml:space="preserve">C-625/18 </w:t>
      </w:r>
      <w:r w:rsidRPr="00EC250C">
        <w:rPr>
          <w:i/>
        </w:rPr>
        <w:t>DO</w:t>
      </w:r>
      <w:r w:rsidRPr="00EC250C">
        <w:t xml:space="preserve"> oraz C-688/18 </w:t>
      </w:r>
      <w:r w:rsidRPr="00EC250C">
        <w:rPr>
          <w:i/>
        </w:rPr>
        <w:t>Uniparts</w:t>
      </w:r>
      <w:r w:rsidRPr="00EC250C">
        <w:t xml:space="preserve"> czy C-824/18 </w:t>
      </w:r>
      <w:r w:rsidRPr="00EC250C">
        <w:rPr>
          <w:i/>
          <w:iCs/>
        </w:rPr>
        <w:t xml:space="preserve">Naczelny Sąd Administracyjny </w:t>
      </w:r>
      <w:r w:rsidRPr="00EC250C">
        <w:t xml:space="preserve">oraz w sprawach połączonych C-558/18 i C-563/18 </w:t>
      </w:r>
      <w:r w:rsidRPr="00EC250C">
        <w:rPr>
          <w:i/>
          <w:iCs/>
        </w:rPr>
        <w:t>Miasto Łowicz</w:t>
      </w:r>
      <w:r w:rsidRPr="00EC250C">
        <w:t xml:space="preserve">. </w:t>
      </w:r>
    </w:p>
    <w:p w14:paraId="3DC6314E" w14:textId="77777777" w:rsidR="007C23D5" w:rsidRPr="00EC250C" w:rsidRDefault="007C23D5" w:rsidP="00EC79EB">
      <w:pPr>
        <w:pStyle w:val="Nagwek4"/>
      </w:pPr>
      <w:bookmarkStart w:id="751" w:name="_Toc6257987"/>
      <w:bookmarkStart w:id="752" w:name="_Toc10721819"/>
      <w:bookmarkStart w:id="753" w:name="_Toc11247864"/>
      <w:r w:rsidRPr="00EC250C">
        <w:t>Wykonanie wyroku TSUE dotyczącego wycinki w Puszczy Białowieskiej</w:t>
      </w:r>
      <w:bookmarkEnd w:id="751"/>
      <w:bookmarkEnd w:id="752"/>
      <w:bookmarkEnd w:id="753"/>
    </w:p>
    <w:p w14:paraId="775E5E4A" w14:textId="77777777" w:rsidR="007C23D5" w:rsidRPr="00EC250C" w:rsidRDefault="007C23D5" w:rsidP="00D131FA">
      <w:pPr>
        <w:pStyle w:val="ODESANIE"/>
        <w:jc w:val="both"/>
      </w:pPr>
      <w:r w:rsidRPr="00EC250C">
        <w:t xml:space="preserve">Omówienie: Art. 74 – Bezpieczeństwo ekologiczne oraz ochrona </w:t>
      </w:r>
    </w:p>
    <w:p w14:paraId="7A543EBB" w14:textId="77777777" w:rsidR="007C23D5" w:rsidRPr="00EC250C" w:rsidRDefault="007C23D5" w:rsidP="00EC250C">
      <w:pPr>
        <w:pStyle w:val="Nagwek8"/>
      </w:pPr>
      <w:r w:rsidRPr="00EC250C">
        <w:t>Warsztaty dla sędziów i adwokatów z pisania wniosku o wydanie orzeczenia w trybie prejudycjalnym do TS UE</w:t>
      </w:r>
    </w:p>
    <w:p w14:paraId="0CF783E6" w14:textId="77777777" w:rsidR="007C23D5" w:rsidRPr="00EC250C" w:rsidRDefault="007C23D5" w:rsidP="00D131FA">
      <w:pPr>
        <w:pStyle w:val="Styl2"/>
        <w:rPr>
          <w:szCs w:val="24"/>
        </w:rPr>
      </w:pPr>
      <w:r w:rsidRPr="00EC250C">
        <w:rPr>
          <w:szCs w:val="24"/>
        </w:rPr>
        <w:t>Trybunał Sprawiedliwości Unii Europejskiej odgrywa coraz ważniejszą rolę w procesie kontroli zgodności polskiego prawa z prawem europejskim. Efektem reformy sądownictwa są liczne pytania prejudycjalne polskich sądów, dotyczące m.in. statusu sędziów SN, postępowań dyscyplinarnych czy Krajowej Rady Sądownictwa. Jednak pytania prejudycjalne mogą dotyczyć różnych zagadnień z zakresu Karty Praw Podstawowych UE, prawa antydyskryminacyjnego, prawa do obrony w sprawach karnych, prawa ochrony środowiska, pomocy publicznej, czy prawa podatkowego, które pozostają w zakresie prawa UE.</w:t>
      </w:r>
    </w:p>
    <w:p w14:paraId="0E8BBAB1" w14:textId="77777777" w:rsidR="007C23D5" w:rsidRPr="00EC250C" w:rsidRDefault="007C23D5" w:rsidP="00D131FA">
      <w:pPr>
        <w:pStyle w:val="Styl2"/>
        <w:rPr>
          <w:szCs w:val="24"/>
        </w:rPr>
      </w:pPr>
      <w:r w:rsidRPr="00EC250C">
        <w:rPr>
          <w:szCs w:val="24"/>
        </w:rPr>
        <w:t>Celem warsztatów zorganizowanych 14 grudnia 2018 r. w czasie II Kongresu Praw Obywatelskich było przygotowanie uczestników do prawidłowej oceny sytuacji, w której możliwe jest (lub wręcz obowiązkowe) zadanie pytania prejudycjalnego  do TSUE, odpowiedniego sformułowania pytania, znajomości procedury przed TSUE, możliwych interakcji w jej trakcie pomiędzy sądami (odsyłającym i TSUE), a także oceny skutków prawnych pytań (tj. wydanych wskutek zadania pytań wyroków) dla sądu pytającego jak i innych sądów.</w:t>
      </w:r>
    </w:p>
    <w:p w14:paraId="2185CB41" w14:textId="77777777" w:rsidR="007C23D5" w:rsidRPr="00EC250C" w:rsidRDefault="007C23D5" w:rsidP="00D131FA">
      <w:pPr>
        <w:pStyle w:val="Styl2"/>
        <w:rPr>
          <w:szCs w:val="24"/>
        </w:rPr>
      </w:pPr>
      <w:r w:rsidRPr="00EC250C">
        <w:rPr>
          <w:szCs w:val="24"/>
        </w:rPr>
        <w:t>Zajęcia miały charakter praktyczny. Zadaniem uczestników było przygotowanie, przy wykorzystaniu wiedzy uzyskanej w trakcie szkolenia, formuły pytania prejudycjalnego do przedstawionego stanu faktycznego</w:t>
      </w:r>
      <w:r w:rsidRPr="00EC250C">
        <w:rPr>
          <w:rStyle w:val="Odwoanieprzypisudolnego"/>
          <w:szCs w:val="24"/>
        </w:rPr>
        <w:footnoteReference w:id="768"/>
      </w:r>
      <w:r w:rsidRPr="00EC250C">
        <w:rPr>
          <w:szCs w:val="24"/>
        </w:rPr>
        <w:t>.</w:t>
      </w:r>
    </w:p>
    <w:p w14:paraId="24D343DF" w14:textId="77777777" w:rsidR="007C23D5" w:rsidRPr="00EC250C" w:rsidRDefault="007C23D5" w:rsidP="00EC79EB">
      <w:pPr>
        <w:pStyle w:val="Nagwek4"/>
      </w:pPr>
      <w:bookmarkStart w:id="754" w:name="_Toc6257986"/>
      <w:bookmarkStart w:id="755" w:name="_Toc10721818"/>
      <w:bookmarkStart w:id="756" w:name="_Toc11247865"/>
      <w:r w:rsidRPr="00EC250C">
        <w:t>Konieczność wdrożenia dyrektywy niewinnościowej</w:t>
      </w:r>
      <w:bookmarkEnd w:id="754"/>
      <w:bookmarkEnd w:id="755"/>
      <w:bookmarkEnd w:id="756"/>
    </w:p>
    <w:p w14:paraId="57DF91E2" w14:textId="77777777" w:rsidR="007C23D5" w:rsidRPr="00EC250C" w:rsidRDefault="007C23D5" w:rsidP="00D131FA">
      <w:pPr>
        <w:pStyle w:val="ODESANIE"/>
        <w:jc w:val="both"/>
      </w:pPr>
      <w:r w:rsidRPr="00EC250C">
        <w:t>Omówienie: Art. 42 ust. 3 – Zasada domniemania niewinności.</w:t>
      </w:r>
    </w:p>
    <w:p w14:paraId="36EC7D12" w14:textId="77777777" w:rsidR="007C23D5" w:rsidRPr="00EC250C" w:rsidRDefault="007C23D5" w:rsidP="00EC79EB">
      <w:pPr>
        <w:pStyle w:val="Nagwek4"/>
      </w:pPr>
      <w:bookmarkStart w:id="757" w:name="_Toc11247866"/>
      <w:r w:rsidRPr="00EC250C">
        <w:t>Realizacja orzeczeń Europejskiego Trybunału Praw Człowieka w Strasburgu</w:t>
      </w:r>
      <w:bookmarkEnd w:id="757"/>
    </w:p>
    <w:p w14:paraId="2986D995" w14:textId="77777777" w:rsidR="007C23D5" w:rsidRPr="00EC250C" w:rsidRDefault="007C23D5" w:rsidP="00D131FA">
      <w:pPr>
        <w:pStyle w:val="Styl1"/>
      </w:pPr>
      <w:r w:rsidRPr="00EC250C">
        <w:t xml:space="preserve">19 stycznia 2018 r.  minęło 25 lat  od momentu ratyfikacji przez Polskę Europejskiej Konwencji Praw Człowieka. Konwencja jest więc częścią polskiego prawa. Zgodnie z Konstytucją, Konwencja ma pierwszeństwo przed ustawami. Można ją więc stosować w kraju, już przed polskimi sądami – a nie odkładać wynikające z niej argumenty dopiero na koniec, kiedy już droga krajowa </w:t>
      </w:r>
      <w:r w:rsidRPr="00EC250C">
        <w:lastRenderedPageBreak/>
        <w:t>zostanie wyczerpana</w:t>
      </w:r>
      <w:r w:rsidRPr="00EC250C">
        <w:rPr>
          <w:rStyle w:val="Odwoanieprzypisudolnego"/>
        </w:rPr>
        <w:footnoteReference w:id="769"/>
      </w:r>
      <w:r w:rsidRPr="00EC250C">
        <w:t xml:space="preserve">. Standard z niej wynikający musi być też uwzględniany w postępowaniu legislacyjnym, w procesie stanowienia prawa. </w:t>
      </w:r>
    </w:p>
    <w:p w14:paraId="3555EBE4" w14:textId="77777777" w:rsidR="007C23D5" w:rsidRPr="00EC250C" w:rsidRDefault="007C23D5" w:rsidP="00EC250C">
      <w:pPr>
        <w:pStyle w:val="Nagwek8"/>
        <w:rPr>
          <w:rStyle w:val="Pogrubienie"/>
          <w:b/>
          <w:bCs w:val="0"/>
        </w:rPr>
      </w:pPr>
      <w:r w:rsidRPr="00EC250C">
        <w:rPr>
          <w:rStyle w:val="Pogrubienie"/>
          <w:b/>
          <w:bCs w:val="0"/>
        </w:rPr>
        <w:t>Porozumienie w sprawie tłumaczenia na język polski wyroków ETPCz</w:t>
      </w:r>
    </w:p>
    <w:p w14:paraId="3C475D99" w14:textId="77777777" w:rsidR="007C23D5" w:rsidRPr="00EC250C" w:rsidRDefault="007C23D5" w:rsidP="00D131FA">
      <w:pPr>
        <w:pStyle w:val="Styl2"/>
        <w:rPr>
          <w:szCs w:val="24"/>
        </w:rPr>
      </w:pPr>
      <w:r w:rsidRPr="00EC250C">
        <w:rPr>
          <w:szCs w:val="24"/>
        </w:rPr>
        <w:t>Wyroki Trybunału w Strasburgu publikowane są po angielsku lub francusku. Oprócz tego są tłumaczenia, w językach krajów, którego wyrok dotyczy (np. po turecku lub grecku albo węgiersku). Dlatego wyroki w sprawach przeciwko Polsce są już dostępne w bazie wyroków HUDOC w języku polskim.</w:t>
      </w:r>
    </w:p>
    <w:p w14:paraId="18DE9345" w14:textId="77777777" w:rsidR="007C23D5" w:rsidRPr="00EC250C" w:rsidRDefault="007C23D5" w:rsidP="00D131FA">
      <w:pPr>
        <w:pStyle w:val="Styl2"/>
        <w:rPr>
          <w:szCs w:val="24"/>
        </w:rPr>
      </w:pPr>
      <w:r w:rsidRPr="00EC250C">
        <w:rPr>
          <w:szCs w:val="24"/>
        </w:rPr>
        <w:t>Jednak dla Polaków ważne są nie tylko „polskie” wyroki. Wszystkie orzeczenia ETPCz zawierają szczegółową argumentacje prawną, dotyczącą poszczególnych przepisów Konwencji, która może być przydatna już w postępowaniu przed polskim sądem – nawet jeśli sama sprawa dotyczyła innego kraju. Trybunał w Strasburgu wyznacza bowiem standardy ochrony praw i wolności człowieka, zgodnie z Konwencją o Ochronie  Praw Człowieka i Podstawowych Wolności.</w:t>
      </w:r>
    </w:p>
    <w:p w14:paraId="2DC48BFE" w14:textId="77777777" w:rsidR="007C23D5" w:rsidRPr="00EC250C" w:rsidRDefault="007C23D5" w:rsidP="00D131FA">
      <w:pPr>
        <w:pStyle w:val="Styl2"/>
        <w:rPr>
          <w:szCs w:val="24"/>
        </w:rPr>
      </w:pPr>
      <w:r w:rsidRPr="00EC250C">
        <w:rPr>
          <w:szCs w:val="24"/>
        </w:rPr>
        <w:t xml:space="preserve">Zarządzeniem Prezesa Rady Ministrów z 2015 r. wyroki przeciwko Polsce są tłumaczone przez właściwe ministerstwa. Zaś od 2014 r. obowiązuje porozumienie Trybunału Konstytucyjnego, Ministerstwa Sprawiedliwości, NSA i MSZ  w sprawie tłumaczenia wybranych orzeczeń przeciw innym państwom. </w:t>
      </w:r>
      <w:r w:rsidRPr="00EC250C">
        <w:rPr>
          <w:rStyle w:val="Pogrubienie"/>
          <w:b/>
          <w:bCs/>
          <w:szCs w:val="24"/>
        </w:rPr>
        <w:t>Porozumienie o tłumaczeniu innych ważnych orzeczeń ETPCz podpisane zostało 27 marca 2018</w:t>
      </w:r>
      <w:r w:rsidRPr="00EC250C">
        <w:rPr>
          <w:rStyle w:val="Pogrubienie"/>
          <w:rFonts w:hint="eastAsia"/>
          <w:b/>
          <w:bCs/>
          <w:szCs w:val="24"/>
        </w:rPr>
        <w:t> </w:t>
      </w:r>
      <w:r w:rsidRPr="00EC250C">
        <w:rPr>
          <w:rStyle w:val="Pogrubienie"/>
          <w:b/>
          <w:bCs/>
          <w:szCs w:val="24"/>
        </w:rPr>
        <w:t>r. przez RPO, Naczelną Radę Adwokacką, Krajową Izbę Radców Prawnych, Instytut Nauk Prawnych PAN oraz siedem kancelarii prawnych.</w:t>
      </w:r>
    </w:p>
    <w:p w14:paraId="683B6584" w14:textId="77777777" w:rsidR="007C23D5" w:rsidRPr="00EC250C" w:rsidRDefault="007C23D5" w:rsidP="00D131FA">
      <w:pPr>
        <w:pStyle w:val="ODESANIE"/>
        <w:jc w:val="both"/>
      </w:pPr>
      <w:r w:rsidRPr="00EC250C">
        <w:t> Pisaniu skarg do Europejskiego Trybunału Praw Człowieka poświęcona była też jedna z sesji warsztatowych II Kongresu Praw Obywatelskich</w:t>
      </w:r>
      <w:r w:rsidRPr="00EC250C">
        <w:rPr>
          <w:rStyle w:val="Odwoanieprzypisudolnego"/>
        </w:rPr>
        <w:footnoteReference w:id="770"/>
      </w:r>
    </w:p>
    <w:p w14:paraId="49B2556A" w14:textId="77777777" w:rsidR="007C23D5" w:rsidRPr="00EC250C" w:rsidRDefault="007C23D5" w:rsidP="00D131FA">
      <w:pPr>
        <w:pStyle w:val="Styl1"/>
      </w:pPr>
      <w:r w:rsidRPr="00EC250C">
        <w:t xml:space="preserve">Z informacji międzyresortowego Zespołu ds. ETPCz wynika, że w 2018 r. Trybunał wydał wobec Polski 21 wyroków (o 1 więcej niż w 2017 r.). Wzrosła nieco liczba wyroków stwierdzających naruszenia Europejskiej Konwencji Praw Człowieka - było ich 20 (w 2017 r. - 14). Trybunał wydał 106 decyzji w sprawach dotyczących Polski. </w:t>
      </w:r>
    </w:p>
    <w:p w14:paraId="5983A2E4" w14:textId="77777777" w:rsidR="007C23D5" w:rsidRPr="00EC250C" w:rsidRDefault="007C23D5" w:rsidP="00D131FA">
      <w:pPr>
        <w:pStyle w:val="Styl1"/>
        <w:rPr>
          <w:i/>
          <w:iCs/>
        </w:rPr>
      </w:pPr>
      <w:r w:rsidRPr="00EC250C">
        <w:t>Na</w:t>
      </w:r>
      <w:r w:rsidRPr="00EC250C">
        <w:rPr>
          <w:b/>
          <w:bCs/>
        </w:rPr>
        <w:t xml:space="preserve"> </w:t>
      </w:r>
      <w:r w:rsidRPr="00EC250C">
        <w:t xml:space="preserve">koniec 2018 r. Polska miała do wykonania 100 orzeczeń Trybunału, a za wykonane uznanych zostało 69 orzeczeń. Sześć spraw, bądź grup spraw polskich, było na agendzie posiedzeń Komitetu Ministrów RE poświęconych nadzorowi nad wykonywaniem wyroków ETPCz (sprawa </w:t>
      </w:r>
      <w:r w:rsidRPr="00EC250C">
        <w:rPr>
          <w:i/>
          <w:iCs/>
        </w:rPr>
        <w:t>Grabowski,</w:t>
      </w:r>
      <w:r w:rsidRPr="00EC250C">
        <w:rPr>
          <w:b/>
          <w:bCs/>
        </w:rPr>
        <w:t xml:space="preserve"> </w:t>
      </w:r>
      <w:r w:rsidRPr="00EC250C">
        <w:t xml:space="preserve">grupa </w:t>
      </w:r>
      <w:r w:rsidRPr="00EC250C">
        <w:rPr>
          <w:i/>
          <w:iCs/>
        </w:rPr>
        <w:t xml:space="preserve">Kędzior, </w:t>
      </w:r>
      <w:r w:rsidRPr="00EC250C">
        <w:t xml:space="preserve">sprawa </w:t>
      </w:r>
      <w:r w:rsidRPr="00EC250C">
        <w:rPr>
          <w:i/>
          <w:iCs/>
        </w:rPr>
        <w:t>P. i S.,</w:t>
      </w:r>
      <w:r w:rsidRPr="00EC250C">
        <w:rPr>
          <w:b/>
          <w:bCs/>
        </w:rPr>
        <w:t xml:space="preserve"> </w:t>
      </w:r>
      <w:r w:rsidRPr="00EC250C">
        <w:t xml:space="preserve">grupa </w:t>
      </w:r>
      <w:r w:rsidRPr="00EC250C">
        <w:rPr>
          <w:i/>
          <w:iCs/>
        </w:rPr>
        <w:t>Al Nashiri,</w:t>
      </w:r>
      <w:r w:rsidRPr="00EC250C">
        <w:rPr>
          <w:b/>
          <w:bCs/>
        </w:rPr>
        <w:t xml:space="preserve"> </w:t>
      </w:r>
      <w:r w:rsidRPr="00EC250C">
        <w:t xml:space="preserve">grupa </w:t>
      </w:r>
      <w:r w:rsidRPr="00EC250C">
        <w:rPr>
          <w:i/>
          <w:iCs/>
        </w:rPr>
        <w:t>Bąk-Majewski-Rutkowski,</w:t>
      </w:r>
      <w:r w:rsidRPr="00EC250C">
        <w:rPr>
          <w:b/>
          <w:bCs/>
        </w:rPr>
        <w:t xml:space="preserve"> </w:t>
      </w:r>
      <w:r w:rsidRPr="00EC250C">
        <w:t xml:space="preserve">grupa </w:t>
      </w:r>
      <w:r w:rsidRPr="00EC250C">
        <w:rPr>
          <w:i/>
          <w:iCs/>
        </w:rPr>
        <w:t>Beller).</w:t>
      </w:r>
      <w:r w:rsidRPr="00EC250C">
        <w:rPr>
          <w:b/>
          <w:bCs/>
        </w:rPr>
        <w:t xml:space="preserve"> </w:t>
      </w:r>
      <w:r w:rsidRPr="00EC250C">
        <w:t>Dwie z tych spraw były poddane debacie na forum Komitetu (</w:t>
      </w:r>
      <w:r w:rsidRPr="00EC250C">
        <w:rPr>
          <w:i/>
          <w:iCs/>
        </w:rPr>
        <w:t>P. i S.</w:t>
      </w:r>
      <w:r w:rsidRPr="00EC250C">
        <w:rPr>
          <w:b/>
          <w:bCs/>
        </w:rPr>
        <w:t xml:space="preserve"> </w:t>
      </w:r>
      <w:r w:rsidRPr="00EC250C">
        <w:t xml:space="preserve">oraz grupa </w:t>
      </w:r>
      <w:r w:rsidRPr="00EC250C">
        <w:rPr>
          <w:i/>
          <w:iCs/>
        </w:rPr>
        <w:t>Al Nashiri i Abu Zubaydah).</w:t>
      </w:r>
    </w:p>
    <w:p w14:paraId="2A0CE76F" w14:textId="77777777" w:rsidR="007C23D5" w:rsidRPr="00EC250C" w:rsidRDefault="007C23D5" w:rsidP="00D131FA">
      <w:pPr>
        <w:pStyle w:val="Styl1"/>
      </w:pPr>
      <w:r w:rsidRPr="00EC250C">
        <w:t>Zdaniem władz polskich, liczba nowych skarg wniesionych przeciwko Polsce w 2018 r. (1941) była najniższa od 2001 r.  W 2018 r. nastąpił też znaczny spadek liczby nowych skarg zakomunikowanych rządowi celem zajęcia stanowiska.</w:t>
      </w:r>
    </w:p>
    <w:p w14:paraId="4C1768A9" w14:textId="77777777" w:rsidR="007C23D5" w:rsidRPr="00EC250C" w:rsidRDefault="007C23D5" w:rsidP="00EC250C">
      <w:pPr>
        <w:pStyle w:val="Nagwek5"/>
      </w:pPr>
      <w:r w:rsidRPr="00EC250C">
        <w:lastRenderedPageBreak/>
        <w:t>Wykonanie wyroków ETPCz</w:t>
      </w:r>
    </w:p>
    <w:p w14:paraId="39170558" w14:textId="77777777" w:rsidR="007C23D5" w:rsidRPr="00EC250C" w:rsidRDefault="007C23D5" w:rsidP="00D131FA">
      <w:pPr>
        <w:pStyle w:val="Styl1"/>
      </w:pPr>
      <w:r w:rsidRPr="00EC250C">
        <w:t>Wyroki ETPCz dotyczące obywateli polskich i państwa polskiego są przedmiotem analiz rządowego Zespołu do spraw Europejskiego Trybunału Praw Człowieka. W jego pracach, z głosem doradczym, uczestniczą przedstawiciele Rzecznika Praw Obywatelskich. Z wyroków analizowanych w 2018 r. można zwrócić uwagę na:</w:t>
      </w:r>
    </w:p>
    <w:p w14:paraId="4334D4AA" w14:textId="77777777" w:rsidR="007C23D5" w:rsidRPr="00EC250C" w:rsidRDefault="007C23D5" w:rsidP="00D131FA">
      <w:pPr>
        <w:pStyle w:val="Srdtytul6"/>
        <w:jc w:val="both"/>
      </w:pPr>
      <w:r w:rsidRPr="00EC250C">
        <w:t>Wykonanie wyroków w sprawie Alicja Tysiąc, R.R. i R.S. przeciwko Polsce</w:t>
      </w:r>
      <w:r w:rsidRPr="00EC250C">
        <w:rPr>
          <w:rStyle w:val="Odwoanieprzypisudolnego"/>
        </w:rPr>
        <w:footnoteReference w:id="771"/>
      </w:r>
      <w:r w:rsidRPr="00EC250C">
        <w:t xml:space="preserve"> (niedostępność aborcji mimo wskazań medycznych). </w:t>
      </w:r>
    </w:p>
    <w:p w14:paraId="5CCF5379" w14:textId="77777777" w:rsidR="007C23D5" w:rsidRPr="00EC250C" w:rsidRDefault="007C23D5" w:rsidP="00D131FA">
      <w:pPr>
        <w:pStyle w:val="Styl1"/>
      </w:pPr>
      <w:r w:rsidRPr="00EC250C">
        <w:t>Ministerstwo Zdrowia poinformowało członków Zespołu, że w kwestii działań podejmowanych przez NFZ w przypadku niewywiązywania się kontrahenta z umowy z NFZ prowadzone są każdorazowo postępowania wyjaśniające. Jednocześnie MZ wskazało, że nie otrzymuje żadnych skarg od pacjentek. Trwają prace koncepcyjne nad zmianami w ustawie o prawach pacjenta i Rzeczniku Praw Pacjenta - znowelizowany ma być w szczególności art. 31 ustawy, rozszerzone podstawy do wyrażenia sprzeciwu (w tym sprzeciw od odmowy orzeczenia czy wydania skierowania), uproszczona jego zawartość i forma. Sprzeciw będzie można wnieść ustnie do protokołu, zaś termin na wydanie orzeczenia przez komisję ma być skrócony do 21 dni (co w naszej ocenie i tak jest długo). Zmiany mają dotyczyć tez możliwości ustanowienia pełnomocnika. Zmiany te mają dotyczyć wszystkich zabiegów, badań i orzeczeń - nie tylko w sprawie aborcji.</w:t>
      </w:r>
    </w:p>
    <w:p w14:paraId="18C2415F" w14:textId="77777777" w:rsidR="007C23D5" w:rsidRPr="00EC250C" w:rsidRDefault="007C23D5" w:rsidP="00D131FA">
      <w:pPr>
        <w:pStyle w:val="Srdtytul6"/>
        <w:jc w:val="both"/>
      </w:pPr>
      <w:r w:rsidRPr="00EC250C">
        <w:t xml:space="preserve">Wykonanie grupy wyroków dotyczących stosowania Konwencji Haskiej o cywilnych aspektach uprowadzenia dziecka za granicę (sprawy </w:t>
      </w:r>
      <w:r w:rsidRPr="00EC250C">
        <w:rPr>
          <w:iCs/>
        </w:rPr>
        <w:t>K. J. p. Polsce,</w:t>
      </w:r>
      <w:r w:rsidRPr="00EC250C">
        <w:rPr>
          <w:rStyle w:val="Odwoanieprzypisudolnego"/>
          <w:iCs/>
        </w:rPr>
        <w:footnoteReference w:id="772"/>
      </w:r>
      <w:r w:rsidRPr="00EC250C">
        <w:rPr>
          <w:iCs/>
        </w:rPr>
        <w:t xml:space="preserve"> G. N. p. Polsce</w:t>
      </w:r>
      <w:r w:rsidRPr="00EC250C">
        <w:rPr>
          <w:rStyle w:val="Odwoanieprzypisudolnego"/>
          <w:iCs/>
        </w:rPr>
        <w:footnoteReference w:id="773"/>
      </w:r>
      <w:r w:rsidRPr="00EC250C">
        <w:rPr>
          <w:iCs/>
        </w:rPr>
        <w:t xml:space="preserve"> </w:t>
      </w:r>
      <w:r w:rsidRPr="00EC250C">
        <w:t xml:space="preserve">oraz </w:t>
      </w:r>
      <w:r w:rsidRPr="00EC250C">
        <w:rPr>
          <w:iCs/>
        </w:rPr>
        <w:t>Oller Kamińska p. Polsce</w:t>
      </w:r>
      <w:r w:rsidRPr="00EC250C">
        <w:rPr>
          <w:rStyle w:val="Odwoanieprzypisudolnego"/>
          <w:iCs/>
        </w:rPr>
        <w:footnoteReference w:id="774"/>
      </w:r>
      <w:r w:rsidRPr="00EC250C">
        <w:t xml:space="preserve">) </w:t>
      </w:r>
    </w:p>
    <w:p w14:paraId="6F528904" w14:textId="77777777" w:rsidR="007C23D5" w:rsidRPr="00EC250C" w:rsidRDefault="007C23D5" w:rsidP="00D131FA">
      <w:pPr>
        <w:pStyle w:val="Styl1"/>
      </w:pPr>
      <w:r w:rsidRPr="00EC250C">
        <w:t>Przedstawiciele Ministerstwa Sprawiedliwości są zdania, że ustawa z dnia 26 stycznia 2018 r. o wykonywaniu niektórych czynności organu centralnego w sprawach rodzinnych z zakresu obrotu prawnego na podstawie prawa Unii Europejskiej i umów międzynarodowych</w:t>
      </w:r>
      <w:r w:rsidRPr="00EC250C">
        <w:rPr>
          <w:rStyle w:val="Odwoanieprzypisudolnego"/>
        </w:rPr>
        <w:footnoteReference w:id="775"/>
      </w:r>
      <w:r w:rsidRPr="00EC250C">
        <w:t xml:space="preserve"> powinna przynieść poprawę. Ustawa w sposób zasadniczy zmienia dotychczasową procedurę stosowania przepisów w zakresie spraw wszczynanych na podstawie Konwencji Haskiej. Przywraca m.in. możliwość wnoszenia skargi kasacyjnej od prawomocnych postanowień sądów w sprawach o wydanie dziecka w trybie Konwencji przez Rzecznika Praw Dziecka, Rzecznika Praw Obywatelskich, czy też Prokuratora Generalnego. </w:t>
      </w:r>
    </w:p>
    <w:p w14:paraId="4C5F3E70" w14:textId="77777777" w:rsidR="007C23D5" w:rsidRPr="00EC250C" w:rsidRDefault="007C23D5" w:rsidP="00D131FA">
      <w:pPr>
        <w:pStyle w:val="Srdtytul6"/>
        <w:jc w:val="both"/>
      </w:pPr>
      <w:r w:rsidRPr="00EC250C">
        <w:lastRenderedPageBreak/>
        <w:t xml:space="preserve">Wykonywanie wyroku </w:t>
      </w:r>
      <w:r w:rsidRPr="00EC250C">
        <w:rPr>
          <w:iCs/>
        </w:rPr>
        <w:t>Mariusz Lewandowski p. Polsce</w:t>
      </w:r>
      <w:r w:rsidRPr="00EC250C">
        <w:rPr>
          <w:rStyle w:val="Odwoanieprzypisudolnego"/>
          <w:iCs/>
        </w:rPr>
        <w:footnoteReference w:id="776"/>
      </w:r>
      <w:r w:rsidRPr="00EC250C">
        <w:t xml:space="preserve"> w związku z nowym wyrokiem ETPCz, stwierdzającym podobne naruszenie, </w:t>
      </w:r>
      <w:r w:rsidRPr="00EC250C">
        <w:rPr>
          <w:iCs/>
        </w:rPr>
        <w:t>Słomka p. Polsce</w:t>
      </w:r>
      <w:r w:rsidRPr="00EC250C">
        <w:rPr>
          <w:rStyle w:val="Odwoanieprzypisudolnego"/>
          <w:iCs/>
        </w:rPr>
        <w:footnoteReference w:id="777"/>
      </w:r>
      <w:r w:rsidRPr="00EC250C">
        <w:t xml:space="preserve"> </w:t>
      </w:r>
    </w:p>
    <w:p w14:paraId="7CEB1C62" w14:textId="77777777" w:rsidR="007C23D5" w:rsidRPr="00EC250C" w:rsidRDefault="007C23D5" w:rsidP="00D131FA">
      <w:pPr>
        <w:pStyle w:val="Styl1"/>
      </w:pPr>
      <w:r w:rsidRPr="00EC250C">
        <w:t>Sprawa dotyczyła naruszenia prawa do rozpatrzenia sprawy przez bezstronny sąd (art. 6 ust. 1 Konwencji) z uwagi na nałożenie na skarżącego kary porządkowej za obrazę sądu w postaci umieszczenia w celi izolacyjnej na maksymalny okres 28 dni przez ten sam skład orzekający, który był przedmiotem krytyki i bez możliwości przedstawienia przez skarżącego swoich argumentów. Trybunał uznał za dopuszczalny również zarzut skarżącego co do niezgodnego z prawem naruszenia prawa do swobody wypowiedzi, ale nie uznał za konieczne odrębne rozpatrywanie tego zarzutu.</w:t>
      </w:r>
    </w:p>
    <w:p w14:paraId="62ACE9AA" w14:textId="77777777" w:rsidR="007C23D5" w:rsidRPr="00EC250C" w:rsidRDefault="007C23D5" w:rsidP="00D131FA">
      <w:pPr>
        <w:pStyle w:val="Styl1"/>
      </w:pPr>
      <w:r w:rsidRPr="00EC250C">
        <w:t>Ministerstwo Sprawiedliwości rozesłało do wszystkich sądów apelacyjnych ten przetłumaczony wyrok ETPCz oraz dwa wyroki SN, zgodnie z którymi nie jest możliwe nałożenie, na podstawie art. 49 ustawy o ustroju sądów powszechnych, kary porządkowej za obrazę sądu na piśmie. Ponadto przeprowadzona kwerenda za lata 2014-1016, dotycząca stosowanych kar porządkowych, wykazała, że na 97 przypadków zastosowania kary pozbawienia wolności złożono 17 zażaleń, z których 6 zostało uwzględnionych. W dwóch przypadkach zażalenie było rozpoznane po wykonaniu kary.</w:t>
      </w:r>
    </w:p>
    <w:p w14:paraId="1E8D0796" w14:textId="77777777" w:rsidR="007C23D5" w:rsidRPr="00EC250C" w:rsidRDefault="007C23D5" w:rsidP="00D131FA">
      <w:pPr>
        <w:pStyle w:val="Srdtytul6"/>
        <w:jc w:val="both"/>
      </w:pPr>
      <w:r w:rsidRPr="00EC250C">
        <w:t xml:space="preserve">Wykonywanie wyroku ws. </w:t>
      </w:r>
      <w:r w:rsidRPr="00EC250C">
        <w:rPr>
          <w:iCs/>
        </w:rPr>
        <w:t>Potomska i Potomski p. Polsce</w:t>
      </w:r>
      <w:r w:rsidRPr="00EC250C">
        <w:rPr>
          <w:rStyle w:val="Odwoanieprzypisudolnego"/>
          <w:iCs/>
        </w:rPr>
        <w:footnoteReference w:id="778"/>
      </w:r>
      <w:r w:rsidRPr="00EC250C">
        <w:t xml:space="preserve">, w zakresie przeprowadzenia nowelizacji </w:t>
      </w:r>
      <w:r w:rsidRPr="00EC250C">
        <w:rPr>
          <w:iCs/>
        </w:rPr>
        <w:t>ustawy o ochronie zabytków</w:t>
      </w:r>
    </w:p>
    <w:p w14:paraId="2368BD64" w14:textId="77777777" w:rsidR="007C23D5" w:rsidRPr="00EC250C" w:rsidRDefault="007C23D5" w:rsidP="00D131FA">
      <w:pPr>
        <w:pStyle w:val="Styl1"/>
      </w:pPr>
      <w:r w:rsidRPr="00EC250C">
        <w:t xml:space="preserve">Sprawa dotyczy naruszenia prawa własności skarżących z powodu braku możliwości uzyskania przez nich wywłaszczenia za adekwatnym odszkodowaniem należącej do nich działki, na której znajduje się cmentarz żydowski wpisany do rejestru zabytków. </w:t>
      </w:r>
    </w:p>
    <w:p w14:paraId="04366C24" w14:textId="77777777" w:rsidR="007C23D5" w:rsidRPr="00EC250C" w:rsidRDefault="007C23D5" w:rsidP="00D131FA">
      <w:pPr>
        <w:pStyle w:val="Styl1"/>
      </w:pPr>
      <w:r w:rsidRPr="00EC250C">
        <w:t>Zdaniem Ministra Kultury i Dziedzictwa Narodowego w celu wykonania wyroku należy, w ramach środków indywidualnych, wykupić od skarżących sporną działkę, natomiast w przedmiocie środków generalnych procedowana jest w MKiDN kompleksowa nowelizacja przepisów o ochronie zabytków (mowa o tym w kontekście okazji art. 64 Konstytucji).</w:t>
      </w:r>
    </w:p>
    <w:p w14:paraId="36DF4725" w14:textId="77777777" w:rsidR="00EF0F8D" w:rsidRPr="00EC250C" w:rsidRDefault="007C23D5" w:rsidP="00D131FA">
      <w:pPr>
        <w:pStyle w:val="ODESANIE"/>
        <w:jc w:val="both"/>
      </w:pPr>
      <w:r w:rsidRPr="00EC250C">
        <w:t>Wykaz wyroków w „polskich” sprawach zapadłych przed  ETPCz w 2018 r. zamieszczony jest na końcu Informacji</w:t>
      </w:r>
    </w:p>
    <w:p w14:paraId="2EB91469" w14:textId="77777777" w:rsidR="00C809F0" w:rsidRPr="00EC250C" w:rsidRDefault="002A230A" w:rsidP="00D131FA">
      <w:pPr>
        <w:spacing w:after="200" w:line="24" w:lineRule="auto"/>
        <w:jc w:val="both"/>
        <w:rPr>
          <w:b/>
          <w:sz w:val="32"/>
        </w:rPr>
      </w:pPr>
      <w:r w:rsidRPr="00EC250C">
        <w:rPr>
          <w:sz w:val="24"/>
        </w:rPr>
        <w:br w:type="page"/>
      </w:r>
    </w:p>
    <w:p w14:paraId="0D50BBF1" w14:textId="77777777" w:rsidR="00D83A55" w:rsidRPr="00EC250C" w:rsidRDefault="00450A9F" w:rsidP="00D131FA">
      <w:pPr>
        <w:pStyle w:val="Nagwek1"/>
        <w:jc w:val="both"/>
        <w:rPr>
          <w:rFonts w:eastAsiaTheme="majorEastAsia"/>
          <w:b w:val="0"/>
          <w:spacing w:val="0"/>
          <w:sz w:val="36"/>
        </w:rPr>
      </w:pPr>
      <w:bookmarkStart w:id="758" w:name="_Toc6257988"/>
      <w:bookmarkStart w:id="759" w:name="_Toc11247867"/>
      <w:r w:rsidRPr="00EC250C">
        <w:lastRenderedPageBreak/>
        <w:t>CZĘŚĆ II</w:t>
      </w:r>
      <w:bookmarkEnd w:id="758"/>
      <w:r w:rsidR="00026572" w:rsidRPr="00EC250C">
        <w:t xml:space="preserve"> – </w:t>
      </w:r>
      <w:bookmarkStart w:id="760" w:name="_Toc6257989"/>
      <w:r w:rsidR="00F31BC1" w:rsidRPr="00EC250C">
        <w:t>Szczególne zadania Rzecznika Praw Obywatelskich</w:t>
      </w:r>
      <w:bookmarkEnd w:id="759"/>
      <w:bookmarkEnd w:id="760"/>
    </w:p>
    <w:p w14:paraId="6D46BE13" w14:textId="77777777" w:rsidR="006812A3" w:rsidRPr="00EC250C" w:rsidRDefault="006812A3" w:rsidP="00EC250C">
      <w:pPr>
        <w:pStyle w:val="Nagwek3"/>
      </w:pPr>
      <w:bookmarkStart w:id="761" w:name="_RPO_jako_niezależny"/>
      <w:bookmarkStart w:id="762" w:name="_Toc6415873"/>
      <w:bookmarkStart w:id="763" w:name="_Toc7113954"/>
      <w:bookmarkStart w:id="764" w:name="_Toc11247868"/>
      <w:bookmarkStart w:id="765" w:name="_Hlk865424"/>
      <w:bookmarkStart w:id="766" w:name="_Toc6258065"/>
      <w:bookmarkEnd w:id="761"/>
      <w:r w:rsidRPr="00EC250C">
        <w:t xml:space="preserve">RPO jako niezależny organ ds. </w:t>
      </w:r>
      <w:bookmarkEnd w:id="762"/>
      <w:bookmarkEnd w:id="763"/>
      <w:r w:rsidRPr="00EC250C">
        <w:t>równego traktowania</w:t>
      </w:r>
      <w:bookmarkEnd w:id="764"/>
    </w:p>
    <w:p w14:paraId="4DF6E194" w14:textId="77777777" w:rsidR="00C91F6E" w:rsidRPr="00EC250C" w:rsidRDefault="00724EF1" w:rsidP="00EC250C">
      <w:pPr>
        <w:pStyle w:val="konstytucja"/>
        <w:spacing w:before="0" w:after="0"/>
        <w:jc w:val="both"/>
        <w:rPr>
          <w:sz w:val="22"/>
        </w:rPr>
      </w:pPr>
      <w:r w:rsidRPr="00EC250C">
        <w:rPr>
          <w:sz w:val="22"/>
        </w:rPr>
        <w:t>Zakazuje się nierównego traktowania osób fizycznych ze względu na płeć, rasę, pochodzenie etniczne lub narodowość</w:t>
      </w:r>
      <w:r w:rsidR="00992FD0" w:rsidRPr="00EC250C">
        <w:rPr>
          <w:sz w:val="22"/>
        </w:rPr>
        <w:t xml:space="preserve"> w </w:t>
      </w:r>
      <w:r w:rsidRPr="00EC250C">
        <w:rPr>
          <w:sz w:val="22"/>
        </w:rPr>
        <w:t>zakresie dostępu</w:t>
      </w:r>
      <w:r w:rsidR="00992FD0" w:rsidRPr="00EC250C">
        <w:rPr>
          <w:sz w:val="22"/>
        </w:rPr>
        <w:t xml:space="preserve"> i </w:t>
      </w:r>
      <w:r w:rsidRPr="00EC250C">
        <w:rPr>
          <w:sz w:val="22"/>
        </w:rPr>
        <w:t>warunków korzystania</w:t>
      </w:r>
      <w:r w:rsidR="00992FD0" w:rsidRPr="00EC250C">
        <w:rPr>
          <w:sz w:val="22"/>
        </w:rPr>
        <w:t xml:space="preserve"> z </w:t>
      </w:r>
      <w:r w:rsidRPr="00EC250C">
        <w:rPr>
          <w:sz w:val="22"/>
        </w:rPr>
        <w:t>zabezpieczenia społecznego, usług,</w:t>
      </w:r>
      <w:r w:rsidR="00992FD0" w:rsidRPr="00EC250C">
        <w:rPr>
          <w:sz w:val="22"/>
        </w:rPr>
        <w:t xml:space="preserve"> w </w:t>
      </w:r>
      <w:r w:rsidRPr="00EC250C">
        <w:rPr>
          <w:sz w:val="22"/>
        </w:rPr>
        <w:t>tym usług mieszkaniowych, rzeczy oraz nabywania praw lub energii, jeżeli są one oferowane publicznie.</w:t>
      </w:r>
    </w:p>
    <w:p w14:paraId="1338BC37" w14:textId="77777777" w:rsidR="00C91F6E" w:rsidRPr="00EC250C" w:rsidRDefault="00724EF1" w:rsidP="00EC250C">
      <w:pPr>
        <w:pStyle w:val="konstytucja"/>
        <w:spacing w:before="0" w:after="0"/>
        <w:jc w:val="both"/>
        <w:rPr>
          <w:sz w:val="22"/>
        </w:rPr>
      </w:pPr>
      <w:r w:rsidRPr="00EC250C">
        <w:rPr>
          <w:sz w:val="22"/>
        </w:rPr>
        <w:t>Zakazuje się nierównego traktowania osób fizycznych ze względu na rasę, pochodzenie etniczne lub narodowość</w:t>
      </w:r>
      <w:r w:rsidR="00992FD0" w:rsidRPr="00EC250C">
        <w:rPr>
          <w:sz w:val="22"/>
        </w:rPr>
        <w:t xml:space="preserve"> w </w:t>
      </w:r>
      <w:r w:rsidRPr="00EC250C">
        <w:rPr>
          <w:sz w:val="22"/>
        </w:rPr>
        <w:t>zakresie opieki zdrowotnej oraz oświaty</w:t>
      </w:r>
      <w:r w:rsidR="00992FD0" w:rsidRPr="00EC250C">
        <w:rPr>
          <w:sz w:val="22"/>
        </w:rPr>
        <w:t xml:space="preserve"> i </w:t>
      </w:r>
      <w:r w:rsidRPr="00EC250C">
        <w:rPr>
          <w:sz w:val="22"/>
        </w:rPr>
        <w:t>szkolnictwa wyższego.</w:t>
      </w:r>
    </w:p>
    <w:p w14:paraId="02994E78" w14:textId="77777777" w:rsidR="00724EF1" w:rsidRPr="00EC250C" w:rsidRDefault="00724EF1" w:rsidP="00EC250C">
      <w:pPr>
        <w:pStyle w:val="konstytucja"/>
        <w:spacing w:before="0" w:after="0"/>
        <w:jc w:val="both"/>
      </w:pPr>
      <w:r w:rsidRPr="00EC250C">
        <w:rPr>
          <w:sz w:val="22"/>
        </w:rPr>
        <w:t>Zakazuje się nierównego traktowania osób fizycznych ze względu na płeć, rasę, pochodzenie etniczne, narodowość, religię, wyznanie, światopogląd, niepełnosprawność, wiek lub orientację seksualną</w:t>
      </w:r>
      <w:r w:rsidR="00992FD0" w:rsidRPr="00EC250C">
        <w:rPr>
          <w:sz w:val="22"/>
        </w:rPr>
        <w:t xml:space="preserve"> w </w:t>
      </w:r>
      <w:r w:rsidRPr="00EC250C">
        <w:rPr>
          <w:sz w:val="22"/>
        </w:rPr>
        <w:t>zakresie: 1)</w:t>
      </w:r>
      <w:r w:rsidR="00EB54A3" w:rsidRPr="00EC250C">
        <w:rPr>
          <w:sz w:val="22"/>
        </w:rPr>
        <w:t> </w:t>
      </w:r>
      <w:r w:rsidRPr="00EC250C">
        <w:rPr>
          <w:sz w:val="22"/>
        </w:rPr>
        <w:t>podejmowania kształcenia zawodowego,</w:t>
      </w:r>
      <w:r w:rsidR="00992FD0" w:rsidRPr="00EC250C">
        <w:rPr>
          <w:sz w:val="22"/>
        </w:rPr>
        <w:t xml:space="preserve"> w </w:t>
      </w:r>
      <w:r w:rsidRPr="00EC250C">
        <w:rPr>
          <w:sz w:val="22"/>
        </w:rPr>
        <w:t>tym dokształcania, doskonalenia, przekwalifikowania zawodowego oraz praktyk zawodowych; 2)</w:t>
      </w:r>
      <w:r w:rsidR="00EB54A3" w:rsidRPr="00EC250C">
        <w:rPr>
          <w:sz w:val="22"/>
        </w:rPr>
        <w:t> </w:t>
      </w:r>
      <w:r w:rsidRPr="00EC250C">
        <w:rPr>
          <w:sz w:val="22"/>
        </w:rPr>
        <w:t>warunków podejmowania</w:t>
      </w:r>
      <w:r w:rsidR="00992FD0" w:rsidRPr="00EC250C">
        <w:rPr>
          <w:sz w:val="22"/>
        </w:rPr>
        <w:t xml:space="preserve"> i </w:t>
      </w:r>
      <w:r w:rsidRPr="00EC250C">
        <w:rPr>
          <w:sz w:val="22"/>
        </w:rPr>
        <w:t>wykonywania działalności gospodarczej lub zawodowej,</w:t>
      </w:r>
      <w:r w:rsidR="00992FD0" w:rsidRPr="00EC250C">
        <w:rPr>
          <w:sz w:val="22"/>
        </w:rPr>
        <w:t xml:space="preserve"> w </w:t>
      </w:r>
      <w:r w:rsidRPr="00EC250C">
        <w:rPr>
          <w:sz w:val="22"/>
        </w:rPr>
        <w:t>tym</w:t>
      </w:r>
      <w:r w:rsidR="00992FD0" w:rsidRPr="00EC250C">
        <w:rPr>
          <w:sz w:val="22"/>
        </w:rPr>
        <w:t xml:space="preserve"> w </w:t>
      </w:r>
      <w:r w:rsidRPr="00EC250C">
        <w:rPr>
          <w:sz w:val="22"/>
        </w:rPr>
        <w:t>szczególności</w:t>
      </w:r>
      <w:r w:rsidR="00992FD0" w:rsidRPr="00EC250C">
        <w:rPr>
          <w:sz w:val="22"/>
        </w:rPr>
        <w:t xml:space="preserve"> w </w:t>
      </w:r>
      <w:r w:rsidRPr="00EC250C">
        <w:rPr>
          <w:sz w:val="22"/>
        </w:rPr>
        <w:t>ramach stosunku pracy albo pracy na podstawie umowy cywilnoprawnej; 3)</w:t>
      </w:r>
      <w:r w:rsidR="00EB54A3" w:rsidRPr="00EC250C">
        <w:rPr>
          <w:sz w:val="22"/>
        </w:rPr>
        <w:t> </w:t>
      </w:r>
      <w:r w:rsidRPr="00EC250C">
        <w:rPr>
          <w:sz w:val="22"/>
        </w:rPr>
        <w:t>przystępowania</w:t>
      </w:r>
      <w:r w:rsidR="00992FD0" w:rsidRPr="00EC250C">
        <w:rPr>
          <w:sz w:val="22"/>
        </w:rPr>
        <w:t xml:space="preserve"> i </w:t>
      </w:r>
      <w:r w:rsidRPr="00EC250C">
        <w:rPr>
          <w:sz w:val="22"/>
        </w:rPr>
        <w:t>działania</w:t>
      </w:r>
      <w:r w:rsidR="00992FD0" w:rsidRPr="00EC250C">
        <w:rPr>
          <w:sz w:val="22"/>
        </w:rPr>
        <w:t xml:space="preserve"> w </w:t>
      </w:r>
      <w:r w:rsidRPr="00EC250C">
        <w:rPr>
          <w:sz w:val="22"/>
        </w:rPr>
        <w:t>związkach zawodowych, organizacjach pracodawców oraz samorządach zawodowych,</w:t>
      </w:r>
      <w:r w:rsidR="00992FD0" w:rsidRPr="00EC250C">
        <w:rPr>
          <w:sz w:val="22"/>
        </w:rPr>
        <w:t xml:space="preserve"> a </w:t>
      </w:r>
      <w:r w:rsidRPr="00EC250C">
        <w:rPr>
          <w:sz w:val="22"/>
        </w:rPr>
        <w:t>także korzystania</w:t>
      </w:r>
      <w:r w:rsidR="00992FD0" w:rsidRPr="00EC250C">
        <w:rPr>
          <w:sz w:val="22"/>
        </w:rPr>
        <w:t xml:space="preserve"> z </w:t>
      </w:r>
      <w:r w:rsidRPr="00EC250C">
        <w:rPr>
          <w:sz w:val="22"/>
        </w:rPr>
        <w:t>uprawnień przysługujących członkom tych organizacji; 4)</w:t>
      </w:r>
      <w:r w:rsidR="00EB54A3" w:rsidRPr="00EC250C">
        <w:rPr>
          <w:sz w:val="22"/>
        </w:rPr>
        <w:t> </w:t>
      </w:r>
      <w:r w:rsidRPr="00EC250C">
        <w:rPr>
          <w:sz w:val="22"/>
        </w:rPr>
        <w:t>dostępu</w:t>
      </w:r>
      <w:r w:rsidR="00992FD0" w:rsidRPr="00EC250C">
        <w:rPr>
          <w:sz w:val="22"/>
        </w:rPr>
        <w:t xml:space="preserve"> i </w:t>
      </w:r>
      <w:r w:rsidRPr="00EC250C">
        <w:rPr>
          <w:sz w:val="22"/>
        </w:rPr>
        <w:t>warunków korzystania</w:t>
      </w:r>
      <w:r w:rsidR="00992FD0" w:rsidRPr="00EC250C">
        <w:rPr>
          <w:sz w:val="22"/>
        </w:rPr>
        <w:t xml:space="preserve"> z </w:t>
      </w:r>
      <w:r w:rsidRPr="00EC250C">
        <w:rPr>
          <w:sz w:val="22"/>
        </w:rPr>
        <w:t>instrumentów rynku pracy</w:t>
      </w:r>
      <w:r w:rsidR="00992FD0" w:rsidRPr="00EC250C">
        <w:rPr>
          <w:sz w:val="22"/>
        </w:rPr>
        <w:t xml:space="preserve"> i </w:t>
      </w:r>
      <w:r w:rsidRPr="00EC250C">
        <w:rPr>
          <w:sz w:val="22"/>
        </w:rPr>
        <w:t>usług rynku pracy określonych</w:t>
      </w:r>
      <w:r w:rsidR="00992FD0" w:rsidRPr="00EC250C">
        <w:rPr>
          <w:sz w:val="22"/>
        </w:rPr>
        <w:t xml:space="preserve"> w </w:t>
      </w:r>
      <w:r w:rsidRPr="00EC250C">
        <w:rPr>
          <w:sz w:val="22"/>
        </w:rPr>
        <w:t>ustawie</w:t>
      </w:r>
      <w:r w:rsidR="00992FD0" w:rsidRPr="00EC250C">
        <w:rPr>
          <w:sz w:val="22"/>
        </w:rPr>
        <w:t xml:space="preserve"> z </w:t>
      </w:r>
      <w:r w:rsidRPr="00EC250C">
        <w:rPr>
          <w:sz w:val="22"/>
        </w:rPr>
        <w:t>dnia 20 kwietnia 2004</w:t>
      </w:r>
      <w:r w:rsidR="00C91F6E" w:rsidRPr="00EC250C">
        <w:rPr>
          <w:sz w:val="22"/>
        </w:rPr>
        <w:t> r.</w:t>
      </w:r>
      <w:r w:rsidR="00992FD0" w:rsidRPr="00EC250C">
        <w:rPr>
          <w:sz w:val="22"/>
        </w:rPr>
        <w:t xml:space="preserve"> o </w:t>
      </w:r>
      <w:r w:rsidRPr="00EC250C">
        <w:rPr>
          <w:sz w:val="22"/>
        </w:rPr>
        <w:t>promocji zatrudnienia</w:t>
      </w:r>
      <w:r w:rsidR="00992FD0" w:rsidRPr="00EC250C">
        <w:rPr>
          <w:sz w:val="22"/>
        </w:rPr>
        <w:t xml:space="preserve"> i </w:t>
      </w:r>
      <w:r w:rsidRPr="00EC250C">
        <w:rPr>
          <w:sz w:val="22"/>
        </w:rPr>
        <w:t>instytucjach rynku pracy oferowanych przez instytucje rynku pracy oraz instrumentów rynku pracy</w:t>
      </w:r>
      <w:r w:rsidR="00992FD0" w:rsidRPr="00EC250C">
        <w:rPr>
          <w:sz w:val="22"/>
        </w:rPr>
        <w:t xml:space="preserve"> i </w:t>
      </w:r>
      <w:r w:rsidRPr="00EC250C">
        <w:rPr>
          <w:sz w:val="22"/>
        </w:rPr>
        <w:t>usług rynku pracy oferowanych przez inne podmioty działające na rzecz zatrudnienia, rozwoju zasobów ludzkich</w:t>
      </w:r>
      <w:r w:rsidR="00992FD0" w:rsidRPr="00EC250C">
        <w:rPr>
          <w:sz w:val="22"/>
        </w:rPr>
        <w:t xml:space="preserve"> i </w:t>
      </w:r>
      <w:r w:rsidRPr="00EC250C">
        <w:rPr>
          <w:sz w:val="22"/>
        </w:rPr>
        <w:t>przeciwdziałania bezrobociu</w:t>
      </w:r>
      <w:r w:rsidRPr="00EC250C">
        <w:t>.</w:t>
      </w:r>
      <w:r w:rsidRPr="00EC250C">
        <w:rPr>
          <w:rStyle w:val="Odwoanieprzypisudolnego"/>
        </w:rPr>
        <w:footnoteReference w:id="779"/>
      </w:r>
    </w:p>
    <w:p w14:paraId="4E6405D1" w14:textId="77777777" w:rsidR="00724EF1" w:rsidRPr="00EC250C" w:rsidRDefault="00724EF1" w:rsidP="00EC250C">
      <w:pPr>
        <w:pStyle w:val="ComwiKonstytucja"/>
        <w:spacing w:before="240"/>
      </w:pPr>
      <w:r w:rsidRPr="00EC250C">
        <w:t>Rzecznik Praw Obywatelskich wykonuje</w:t>
      </w:r>
      <w:r w:rsidR="00992FD0" w:rsidRPr="00EC250C">
        <w:t xml:space="preserve"> w </w:t>
      </w:r>
      <w:r w:rsidRPr="00EC250C">
        <w:t>Polsce zadania niezależnego organu ds. realizacji zasady równego traktowania. Podstawą jest „ustawa</w:t>
      </w:r>
      <w:r w:rsidR="00992FD0" w:rsidRPr="00EC250C">
        <w:t xml:space="preserve"> o </w:t>
      </w:r>
      <w:r w:rsidRPr="00EC250C">
        <w:t>równym traktowaniu” (o</w:t>
      </w:r>
      <w:r w:rsidR="00EB54A3" w:rsidRPr="00EC250C">
        <w:t> </w:t>
      </w:r>
      <w:r w:rsidRPr="00EC250C">
        <w:t>wdrażaniu niektórych przepisów Unii Europejskiej</w:t>
      </w:r>
      <w:r w:rsidR="00992FD0" w:rsidRPr="00EC250C">
        <w:t xml:space="preserve"> w </w:t>
      </w:r>
      <w:r w:rsidRPr="00EC250C">
        <w:t>zakresie równego traktowania).</w:t>
      </w:r>
    </w:p>
    <w:p w14:paraId="6E4013EB" w14:textId="77777777" w:rsidR="00C73FDE" w:rsidRPr="00EC250C" w:rsidRDefault="00724EF1" w:rsidP="00D131FA">
      <w:pPr>
        <w:pStyle w:val="ComwiKonstytucja"/>
        <w:spacing w:after="240"/>
      </w:pPr>
      <w:r w:rsidRPr="00EC250C">
        <w:t>Rzecznik wykonuje także funkcję niezależnego organu do spraw popierania, ochrony</w:t>
      </w:r>
      <w:r w:rsidR="00992FD0" w:rsidRPr="00EC250C">
        <w:t xml:space="preserve"> i </w:t>
      </w:r>
      <w:r w:rsidRPr="00EC250C">
        <w:t>monitorowania wdrażania postanowień Konwencji</w:t>
      </w:r>
      <w:r w:rsidR="00992FD0" w:rsidRPr="00EC250C">
        <w:t xml:space="preserve"> o </w:t>
      </w:r>
      <w:r w:rsidRPr="00EC250C">
        <w:t>prawach osób niepełnosprawnych</w:t>
      </w:r>
      <w:r w:rsidRPr="00EC250C">
        <w:rPr>
          <w:vertAlign w:val="superscript"/>
        </w:rPr>
        <w:footnoteReference w:id="780"/>
      </w:r>
      <w:r w:rsidRPr="00EC250C">
        <w:t>.</w:t>
      </w:r>
      <w:bookmarkStart w:id="767" w:name="_Toc514831510"/>
    </w:p>
    <w:p w14:paraId="2C5AFF6D" w14:textId="77777777" w:rsidR="00B473F5" w:rsidRPr="00EC250C" w:rsidRDefault="00724EF1" w:rsidP="00D131FA">
      <w:pPr>
        <w:pStyle w:val="Problemczowieka"/>
        <w:spacing w:before="960"/>
        <w:jc w:val="both"/>
      </w:pPr>
      <w:r w:rsidRPr="00EC250C">
        <w:lastRenderedPageBreak/>
        <w:t>W 2018</w:t>
      </w:r>
      <w:r w:rsidR="00C91F6E" w:rsidRPr="00EC250C">
        <w:t> r.</w:t>
      </w:r>
      <w:r w:rsidRPr="00EC250C">
        <w:t xml:space="preserve"> do Biura RPO wpłynęło 626 spraw dotyczących szeroko rozumianej problematyki równego traktowania. W ocenie Rzecznika jest to jednak liczba dalece nieproporcjonalna</w:t>
      </w:r>
      <w:r w:rsidR="00992FD0" w:rsidRPr="00EC250C">
        <w:t xml:space="preserve"> w </w:t>
      </w:r>
      <w:r w:rsidRPr="00EC250C">
        <w:t>stosunku do rzeczywistej skali dyskryminacji</w:t>
      </w:r>
      <w:r w:rsidR="00992FD0" w:rsidRPr="00EC250C">
        <w:t xml:space="preserve"> w </w:t>
      </w:r>
      <w:r w:rsidRPr="00EC250C">
        <w:t>Polsce</w:t>
      </w:r>
      <w:r w:rsidR="00B473F5" w:rsidRPr="00EC250C">
        <w:t>.</w:t>
      </w:r>
    </w:p>
    <w:p w14:paraId="3A05D642" w14:textId="77777777" w:rsidR="00724EF1" w:rsidRPr="00EC250C" w:rsidRDefault="00EB54A3" w:rsidP="00D131FA">
      <w:pPr>
        <w:pStyle w:val="Styl1"/>
      </w:pPr>
      <w:r w:rsidRPr="00EC250C">
        <w:t>O</w:t>
      </w:r>
      <w:r w:rsidR="00724EF1" w:rsidRPr="00EC250C">
        <w:t>soby narażone na dyskryminację</w:t>
      </w:r>
      <w:r w:rsidR="00992FD0" w:rsidRPr="00EC250C">
        <w:t xml:space="preserve"> i </w:t>
      </w:r>
      <w:r w:rsidR="00724EF1" w:rsidRPr="00EC250C">
        <w:t xml:space="preserve">wykluczenie społeczne często </w:t>
      </w:r>
      <w:r w:rsidRPr="00EC250C">
        <w:t xml:space="preserve">nie mają </w:t>
      </w:r>
      <w:r w:rsidR="00724EF1" w:rsidRPr="00EC250C">
        <w:t xml:space="preserve">zaufania do instytucji publicznych, </w:t>
      </w:r>
      <w:r w:rsidRPr="00EC250C">
        <w:t xml:space="preserve">mają </w:t>
      </w:r>
      <w:r w:rsidR="00724EF1" w:rsidRPr="00EC250C">
        <w:t>niską świadomoś</w:t>
      </w:r>
      <w:r w:rsidRPr="00EC250C">
        <w:t>ć</w:t>
      </w:r>
      <w:r w:rsidR="00724EF1" w:rsidRPr="00EC250C">
        <w:t xml:space="preserve"> prawną </w:t>
      </w:r>
      <w:r w:rsidRPr="00EC250C">
        <w:t xml:space="preserve">i nie widzą, jakie instytucje mogą im pomóc w razie </w:t>
      </w:r>
      <w:r w:rsidR="00724EF1" w:rsidRPr="00EC250C">
        <w:t>dyskryminacji.</w:t>
      </w:r>
    </w:p>
    <w:p w14:paraId="0CF97DC4" w14:textId="77777777" w:rsidR="00724EF1" w:rsidRPr="00EC250C" w:rsidRDefault="00724EF1" w:rsidP="00D131FA">
      <w:pPr>
        <w:pStyle w:val="Styl1"/>
      </w:pPr>
      <w:r w:rsidRPr="00EC250C">
        <w:t>Z badań</w:t>
      </w:r>
      <w:r w:rsidRPr="00EC250C">
        <w:rPr>
          <w:vertAlign w:val="superscript"/>
        </w:rPr>
        <w:footnoteReference w:id="781"/>
      </w:r>
      <w:r w:rsidRPr="00EC250C">
        <w:t xml:space="preserve"> przeprowadzonych na zlecenie </w:t>
      </w:r>
      <w:r w:rsidR="00135B9D" w:rsidRPr="00EC250C">
        <w:t>RPO</w:t>
      </w:r>
      <w:r w:rsidRPr="00EC250C">
        <w:t xml:space="preserve"> wynika, że 84% osób, które doświadczyły lub były świadkami dyskryminacji</w:t>
      </w:r>
      <w:r w:rsidR="00EB54A3" w:rsidRPr="00EC250C">
        <w:t>,</w:t>
      </w:r>
      <w:r w:rsidRPr="00EC250C">
        <w:t xml:space="preserve"> nie zgłosiło tego faktu żadnej instytucji publicznej. Ponad 44% ankietowanych twierdzi jednocześnie, że zgłoszenie dyskryminacji nie przyniosłoby oczekiwanej zmiany. Może to świadczyć</w:t>
      </w:r>
      <w:r w:rsidR="00992FD0" w:rsidRPr="00EC250C">
        <w:t xml:space="preserve"> o </w:t>
      </w:r>
      <w:r w:rsidRPr="00EC250C">
        <w:t>wysokiej akceptacji społecznej dla zachowań dyskryminacyjnych</w:t>
      </w:r>
      <w:r w:rsidR="00992FD0" w:rsidRPr="00EC250C">
        <w:t xml:space="preserve"> i </w:t>
      </w:r>
      <w:r w:rsidRPr="00EC250C">
        <w:t>niskiej efektywności prawnych</w:t>
      </w:r>
      <w:r w:rsidR="00992FD0" w:rsidRPr="00EC250C">
        <w:t xml:space="preserve"> i </w:t>
      </w:r>
      <w:r w:rsidRPr="00EC250C">
        <w:t>praktycznych mechanizmów wspierania zasady równego traktowania.</w:t>
      </w:r>
    </w:p>
    <w:p w14:paraId="5A5A8F3C" w14:textId="77777777" w:rsidR="00C91F6E" w:rsidRPr="00EC250C" w:rsidRDefault="00724EF1" w:rsidP="00D131FA">
      <w:pPr>
        <w:pStyle w:val="Styl1"/>
      </w:pPr>
      <w:r w:rsidRPr="00EC250C">
        <w:t>Z tych powodów Rzecznik został zobowiązany do prowadzenia działań</w:t>
      </w:r>
      <w:r w:rsidR="00992FD0" w:rsidRPr="00EC250C">
        <w:t xml:space="preserve"> o </w:t>
      </w:r>
      <w:r w:rsidRPr="00EC250C">
        <w:t>charakterze proaktywnym,</w:t>
      </w:r>
      <w:r w:rsidR="00992FD0" w:rsidRPr="00EC250C">
        <w:t xml:space="preserve"> w </w:t>
      </w:r>
      <w:r w:rsidRPr="00EC250C">
        <w:t>tym do analizowania, monitorowania</w:t>
      </w:r>
      <w:r w:rsidR="00992FD0" w:rsidRPr="00EC250C">
        <w:t xml:space="preserve"> i </w:t>
      </w:r>
      <w:r w:rsidRPr="00EC250C">
        <w:t>wspierania równego traktowania wszystkich osób, prowadzenia niezależnych badań dotyczących dyskryminacji,</w:t>
      </w:r>
      <w:r w:rsidR="00992FD0" w:rsidRPr="00EC250C">
        <w:t xml:space="preserve"> a </w:t>
      </w:r>
      <w:r w:rsidRPr="00EC250C">
        <w:t>także opracowywania</w:t>
      </w:r>
      <w:r w:rsidR="00992FD0" w:rsidRPr="00EC250C">
        <w:t xml:space="preserve"> i </w:t>
      </w:r>
      <w:r w:rsidRPr="00EC250C">
        <w:t>wydawania niezależnych sprawozdań</w:t>
      </w:r>
      <w:r w:rsidR="00992FD0" w:rsidRPr="00EC250C">
        <w:t xml:space="preserve"> i </w:t>
      </w:r>
      <w:r w:rsidRPr="00EC250C">
        <w:t>wydawania zaleceń odnośnie do problemów związanych</w:t>
      </w:r>
      <w:r w:rsidR="00992FD0" w:rsidRPr="00EC250C">
        <w:t xml:space="preserve"> z </w:t>
      </w:r>
      <w:r w:rsidRPr="00EC250C">
        <w:t>dyskryminacją.</w:t>
      </w:r>
    </w:p>
    <w:p w14:paraId="5F35D221" w14:textId="77777777" w:rsidR="00724EF1" w:rsidRPr="00EC250C" w:rsidRDefault="00724EF1" w:rsidP="00D131FA">
      <w:pPr>
        <w:pStyle w:val="Styl1"/>
      </w:pPr>
      <w:r w:rsidRPr="00EC250C">
        <w:t>Mając na uwadze zakres ustawy</w:t>
      </w:r>
      <w:r w:rsidR="00992FD0" w:rsidRPr="00EC250C">
        <w:t xml:space="preserve"> o </w:t>
      </w:r>
      <w:r w:rsidRPr="00EC250C">
        <w:t xml:space="preserve">równym traktowaniu, działania </w:t>
      </w:r>
      <w:r w:rsidR="00135B9D" w:rsidRPr="00EC250C">
        <w:t>RPO</w:t>
      </w:r>
      <w:r w:rsidRPr="00EC250C">
        <w:t xml:space="preserve"> koncentrują się wokół następujących przesłanek dyskryminacji: pł</w:t>
      </w:r>
      <w:r w:rsidR="00F773CD" w:rsidRPr="00EC250C">
        <w:t>ci</w:t>
      </w:r>
      <w:r w:rsidRPr="00EC250C">
        <w:t>, ras</w:t>
      </w:r>
      <w:r w:rsidR="00F773CD" w:rsidRPr="00EC250C">
        <w:t>ie</w:t>
      </w:r>
      <w:r w:rsidRPr="00EC250C">
        <w:t>, pochodzeni</w:t>
      </w:r>
      <w:r w:rsidR="00F773CD" w:rsidRPr="00EC250C">
        <w:t>u</w:t>
      </w:r>
      <w:r w:rsidRPr="00EC250C">
        <w:t xml:space="preserve"> etniczn</w:t>
      </w:r>
      <w:r w:rsidR="00F773CD" w:rsidRPr="00EC250C">
        <w:t>ym</w:t>
      </w:r>
      <w:r w:rsidRPr="00EC250C">
        <w:t>, narodowoś</w:t>
      </w:r>
      <w:r w:rsidR="00F773CD" w:rsidRPr="00EC250C">
        <w:t>ci</w:t>
      </w:r>
      <w:r w:rsidRPr="00EC250C">
        <w:t>, religi</w:t>
      </w:r>
      <w:r w:rsidR="00F773CD" w:rsidRPr="00EC250C">
        <w:t>i</w:t>
      </w:r>
      <w:r w:rsidRPr="00EC250C">
        <w:t>, wyznani</w:t>
      </w:r>
      <w:r w:rsidR="00F773CD" w:rsidRPr="00EC250C">
        <w:t>a</w:t>
      </w:r>
      <w:r w:rsidRPr="00EC250C">
        <w:t>, światopogląd</w:t>
      </w:r>
      <w:r w:rsidR="00F773CD" w:rsidRPr="00EC250C">
        <w:t>u</w:t>
      </w:r>
      <w:r w:rsidRPr="00EC250C">
        <w:t>, niepełnosprawnoś</w:t>
      </w:r>
      <w:r w:rsidR="00F773CD" w:rsidRPr="00EC250C">
        <w:t>ci</w:t>
      </w:r>
      <w:r w:rsidRPr="00EC250C">
        <w:t>, wiek</w:t>
      </w:r>
      <w:r w:rsidR="00F773CD" w:rsidRPr="00EC250C">
        <w:t>u</w:t>
      </w:r>
      <w:r w:rsidR="00992FD0" w:rsidRPr="00EC250C">
        <w:t xml:space="preserve"> i </w:t>
      </w:r>
      <w:r w:rsidRPr="00EC250C">
        <w:t>orientacj</w:t>
      </w:r>
      <w:r w:rsidR="00F773CD" w:rsidRPr="00EC250C">
        <w:t>i</w:t>
      </w:r>
      <w:r w:rsidRPr="00EC250C">
        <w:t xml:space="preserve"> seksualn</w:t>
      </w:r>
      <w:r w:rsidR="00F773CD" w:rsidRPr="00EC250C">
        <w:t>ej</w:t>
      </w:r>
      <w:r w:rsidRPr="00EC250C">
        <w:rPr>
          <w:rStyle w:val="Odwoanieprzypisudolnego"/>
        </w:rPr>
        <w:footnoteReference w:id="782"/>
      </w:r>
      <w:r w:rsidRPr="00EC250C">
        <w:t>.</w:t>
      </w:r>
    </w:p>
    <w:bookmarkEnd w:id="767"/>
    <w:p w14:paraId="2ECB13F5" w14:textId="77777777" w:rsidR="00724EF1" w:rsidRPr="00EC250C" w:rsidRDefault="00F773CD" w:rsidP="00D131FA">
      <w:pPr>
        <w:pStyle w:val="ODESANIE"/>
        <w:jc w:val="both"/>
      </w:pPr>
      <w:r w:rsidRPr="00EC250C">
        <w:t xml:space="preserve">Więcej - w kontekście art. 32 Konstytucji a także w </w:t>
      </w:r>
      <w:r w:rsidR="00724EF1" w:rsidRPr="00EC250C">
        <w:t>Informacj</w:t>
      </w:r>
      <w:r w:rsidRPr="00EC250C">
        <w:t>i</w:t>
      </w:r>
      <w:r w:rsidR="00992FD0" w:rsidRPr="00EC250C">
        <w:t xml:space="preserve"> o </w:t>
      </w:r>
      <w:r w:rsidR="00724EF1" w:rsidRPr="00EC250C">
        <w:t>działalności Rzecznika Praw Obywatelskich</w:t>
      </w:r>
      <w:r w:rsidR="00992FD0" w:rsidRPr="00EC250C">
        <w:t xml:space="preserve"> w </w:t>
      </w:r>
      <w:r w:rsidR="00724EF1" w:rsidRPr="00EC250C">
        <w:t>obszarze równego traktowania</w:t>
      </w:r>
      <w:r w:rsidR="00992FD0" w:rsidRPr="00EC250C">
        <w:t xml:space="preserve"> w </w:t>
      </w:r>
      <w:r w:rsidR="00724EF1" w:rsidRPr="00EC250C">
        <w:t>roku 2018.</w:t>
      </w:r>
    </w:p>
    <w:p w14:paraId="3FC95AEC" w14:textId="77777777" w:rsidR="00724EF1" w:rsidRPr="00EC250C" w:rsidRDefault="00724EF1" w:rsidP="00EC250C">
      <w:pPr>
        <w:pStyle w:val="Nagwek5"/>
      </w:pPr>
      <w:bookmarkStart w:id="768" w:name="_Toc513635345"/>
      <w:bookmarkStart w:id="769" w:name="_Toc513723369"/>
      <w:bookmarkStart w:id="770" w:name="_Toc514831511"/>
      <w:bookmarkStart w:id="771" w:name="_Toc6257992"/>
      <w:r w:rsidRPr="00EC250C">
        <w:t>Przeciwdziałanie dyskryminacji ze względu na rasę, pochodzenie etniczne</w:t>
      </w:r>
      <w:r w:rsidR="00992FD0" w:rsidRPr="00EC250C">
        <w:t xml:space="preserve"> i </w:t>
      </w:r>
      <w:r w:rsidRPr="00EC250C">
        <w:t>narodowość oraz religię, wyznanie lub światopogląd</w:t>
      </w:r>
      <w:bookmarkEnd w:id="768"/>
      <w:bookmarkEnd w:id="769"/>
      <w:bookmarkEnd w:id="770"/>
      <w:bookmarkEnd w:id="771"/>
    </w:p>
    <w:p w14:paraId="2AB1DD10" w14:textId="77777777" w:rsidR="00C91F6E" w:rsidRPr="00EC250C" w:rsidRDefault="00724EF1" w:rsidP="00D131FA">
      <w:pPr>
        <w:pStyle w:val="Styl1"/>
      </w:pPr>
      <w:bookmarkStart w:id="772" w:name="_Toc445063265"/>
      <w:bookmarkStart w:id="773" w:name="_Toc445190627"/>
      <w:bookmarkStart w:id="774" w:name="_Toc513723370"/>
      <w:bookmarkStart w:id="775" w:name="_Toc514831512"/>
      <w:r w:rsidRPr="00EC250C">
        <w:t>Wśród badanych</w:t>
      </w:r>
      <w:r w:rsidR="00992FD0" w:rsidRPr="00EC250C">
        <w:t xml:space="preserve"> w </w:t>
      </w:r>
      <w:r w:rsidRPr="00EC250C">
        <w:t>Biurze RPO spraw dotyczących dyskryminacji ze względu na rasę, narodowość, pochodzenie etniczne czy wyznanie dominowały</w:t>
      </w:r>
      <w:r w:rsidR="00026572" w:rsidRPr="00EC250C">
        <w:t xml:space="preserve"> – </w:t>
      </w:r>
      <w:r w:rsidRPr="00EC250C">
        <w:t>podobnie jak</w:t>
      </w:r>
      <w:r w:rsidR="00992FD0" w:rsidRPr="00EC250C">
        <w:t xml:space="preserve"> w </w:t>
      </w:r>
      <w:r w:rsidRPr="00EC250C">
        <w:t>latach ubiegłych</w:t>
      </w:r>
      <w:r w:rsidR="00026572" w:rsidRPr="00EC250C">
        <w:t xml:space="preserve"> – </w:t>
      </w:r>
      <w:r w:rsidRPr="00EC250C">
        <w:t>sprawy związane</w:t>
      </w:r>
      <w:r w:rsidR="00992FD0" w:rsidRPr="00EC250C">
        <w:t xml:space="preserve"> z </w:t>
      </w:r>
      <w:r w:rsidRPr="00EC250C">
        <w:t>przestępczością motywowaną uprzedzeniami.</w:t>
      </w:r>
    </w:p>
    <w:p w14:paraId="047A73AD" w14:textId="77777777" w:rsidR="00C91F6E" w:rsidRPr="00EC250C" w:rsidRDefault="00724EF1" w:rsidP="00D131FA">
      <w:pPr>
        <w:pStyle w:val="Styl1"/>
      </w:pPr>
      <w:r w:rsidRPr="00EC250C">
        <w:t>Ze statystyk Prokuratury Krajowej wynika, że od</w:t>
      </w:r>
      <w:r w:rsidRPr="00EC250C">
        <w:rPr>
          <w:b/>
        </w:rPr>
        <w:t xml:space="preserve"> </w:t>
      </w:r>
      <w:r w:rsidRPr="00EC250C">
        <w:t>2016</w:t>
      </w:r>
      <w:r w:rsidR="00C91F6E" w:rsidRPr="00EC250C">
        <w:t> r.</w:t>
      </w:r>
      <w:r w:rsidRPr="00EC250C">
        <w:t xml:space="preserve"> to muzułmanie, ewentualnie osoby utożsamiane przez sprawców</w:t>
      </w:r>
      <w:r w:rsidR="00992FD0" w:rsidRPr="00EC250C">
        <w:t xml:space="preserve"> z </w:t>
      </w:r>
      <w:r w:rsidRPr="00EC250C">
        <w:t>tym właśnie wyznaniem, najczęściej doświadczają ataków motywowanych nienawiścią. Niepokojąco rośnie też liczba przestępstw kierowanych wobec Ukraińców.</w:t>
      </w:r>
    </w:p>
    <w:p w14:paraId="68B4648D" w14:textId="77777777" w:rsidR="00C91F6E" w:rsidRPr="00EC250C" w:rsidRDefault="002C0D0D" w:rsidP="00D131FA">
      <w:pPr>
        <w:pStyle w:val="Styl1"/>
      </w:pPr>
      <w:r w:rsidRPr="00EC250C">
        <w:lastRenderedPageBreak/>
        <w:t>S</w:t>
      </w:r>
      <w:r w:rsidR="00724EF1" w:rsidRPr="00EC250C">
        <w:t>tatystyki prowadzone przez Prokuraturę Krajową nie oddają przy tym rzeczywistej skali problemu, bowiem uwzględniają wyłącznie te zdarzenia, które zostały zgłoszone organom ścigania. Poza statystykami pozostaje natomiast tzw. ciemna liczba nieujawnionych przestępstw</w:t>
      </w:r>
      <w:r w:rsidR="00992FD0" w:rsidRPr="00EC250C">
        <w:t xml:space="preserve"> z </w:t>
      </w:r>
      <w:r w:rsidR="00724EF1" w:rsidRPr="00EC250C">
        <w:t>nienawiści.</w:t>
      </w:r>
    </w:p>
    <w:p w14:paraId="6B82519B" w14:textId="77777777" w:rsidR="00724EF1" w:rsidRPr="00EC250C" w:rsidRDefault="00724EF1" w:rsidP="00D131FA">
      <w:pPr>
        <w:pStyle w:val="Srdtytul6"/>
        <w:jc w:val="both"/>
      </w:pPr>
      <w:r w:rsidRPr="00EC250C">
        <w:t>Projekt badawczy</w:t>
      </w:r>
      <w:r w:rsidR="00992FD0" w:rsidRPr="00EC250C">
        <w:t xml:space="preserve"> o </w:t>
      </w:r>
      <w:r w:rsidRPr="00EC250C">
        <w:t>skali przestępstw</w:t>
      </w:r>
      <w:r w:rsidR="00992FD0" w:rsidRPr="00EC250C">
        <w:t xml:space="preserve"> z </w:t>
      </w:r>
      <w:r w:rsidRPr="00EC250C">
        <w:t>nienawiści</w:t>
      </w:r>
    </w:p>
    <w:p w14:paraId="0181A617" w14:textId="77777777" w:rsidR="00C91F6E" w:rsidRPr="00EC250C" w:rsidRDefault="00724EF1" w:rsidP="00D131FA">
      <w:pPr>
        <w:pStyle w:val="Styl1"/>
      </w:pPr>
      <w:r w:rsidRPr="00EC250C">
        <w:t>Aby ocenić skalę tego zjawiska</w:t>
      </w:r>
      <w:r w:rsidR="00F773CD" w:rsidRPr="00EC250C">
        <w:t>,</w:t>
      </w:r>
      <w:r w:rsidRPr="00EC250C">
        <w:t xml:space="preserve"> Biuro RPO, we współpracy</w:t>
      </w:r>
      <w:r w:rsidR="00992FD0" w:rsidRPr="00EC250C">
        <w:t xml:space="preserve"> z </w:t>
      </w:r>
      <w:r w:rsidRPr="00EC250C">
        <w:t>Biurem Instytucji Demokratycznych</w:t>
      </w:r>
      <w:r w:rsidR="00992FD0" w:rsidRPr="00EC250C">
        <w:t xml:space="preserve"> i </w:t>
      </w:r>
      <w:r w:rsidRPr="00EC250C">
        <w:t>Praw Człowieka Organizacji Bezpieczeństwa</w:t>
      </w:r>
      <w:r w:rsidR="00992FD0" w:rsidRPr="00EC250C">
        <w:t xml:space="preserve"> i </w:t>
      </w:r>
      <w:r w:rsidRPr="00EC250C">
        <w:t>Współpracy</w:t>
      </w:r>
      <w:r w:rsidR="00992FD0" w:rsidRPr="00EC250C">
        <w:t xml:space="preserve"> w </w:t>
      </w:r>
      <w:r w:rsidRPr="00EC250C">
        <w:t>Europie, przeprowadziło</w:t>
      </w:r>
      <w:r w:rsidR="00992FD0" w:rsidRPr="00EC250C">
        <w:t xml:space="preserve"> w </w:t>
      </w:r>
      <w:r w:rsidRPr="00EC250C">
        <w:t>2018</w:t>
      </w:r>
      <w:r w:rsidR="00C91F6E" w:rsidRPr="00EC250C">
        <w:t> r.</w:t>
      </w:r>
      <w:r w:rsidRPr="00EC250C">
        <w:t xml:space="preserve"> projekt badawczy, poświęcony zgłaszalności przestępstw</w:t>
      </w:r>
      <w:r w:rsidR="00992FD0" w:rsidRPr="00EC250C">
        <w:t xml:space="preserve"> z </w:t>
      </w:r>
      <w:r w:rsidRPr="00EC250C">
        <w:t>nienawiści oraz rozpoznaniu ich specyfiki</w:t>
      </w:r>
      <w:r w:rsidR="00992FD0" w:rsidRPr="00EC250C">
        <w:t xml:space="preserve"> w </w:t>
      </w:r>
      <w:r w:rsidRPr="00EC250C">
        <w:t>ściśle wytypowanych społecznościach, tj. muzułmańskiej</w:t>
      </w:r>
      <w:r w:rsidR="00992FD0" w:rsidRPr="00EC250C">
        <w:t xml:space="preserve"> i </w:t>
      </w:r>
      <w:r w:rsidRPr="00EC250C">
        <w:t>afrykańskiej (w woj. mazowieckim)</w:t>
      </w:r>
      <w:r w:rsidR="00992FD0" w:rsidRPr="00EC250C">
        <w:t xml:space="preserve"> i </w:t>
      </w:r>
      <w:r w:rsidRPr="00EC250C">
        <w:t>ukraińskiej (w woj. małopolskim)</w:t>
      </w:r>
      <w:r w:rsidRPr="00EC250C">
        <w:rPr>
          <w:rStyle w:val="Odwoanieprzypisudolnego"/>
        </w:rPr>
        <w:footnoteReference w:id="783"/>
      </w:r>
      <w:r w:rsidRPr="00EC250C">
        <w:t>.</w:t>
      </w:r>
    </w:p>
    <w:p w14:paraId="65CD80B8" w14:textId="77777777" w:rsidR="00724EF1" w:rsidRPr="00EC250C" w:rsidRDefault="00724EF1" w:rsidP="00D131FA">
      <w:pPr>
        <w:pStyle w:val="Styl1"/>
      </w:pPr>
      <w:r w:rsidRPr="00EC250C">
        <w:t>Badania pokazały, że</w:t>
      </w:r>
      <w:r w:rsidR="00992FD0" w:rsidRPr="00EC250C">
        <w:t xml:space="preserve"> w </w:t>
      </w:r>
      <w:r w:rsidRPr="00EC250C">
        <w:t>latach 2016–2017 ponad 18% Ukraińców, 8% muzułmanów</w:t>
      </w:r>
      <w:r w:rsidR="00992FD0" w:rsidRPr="00EC250C">
        <w:t xml:space="preserve"> i </w:t>
      </w:r>
      <w:r w:rsidRPr="00EC250C">
        <w:t>aż 43% osób pochodzących</w:t>
      </w:r>
      <w:r w:rsidR="00992FD0" w:rsidRPr="00EC250C">
        <w:t xml:space="preserve"> z </w:t>
      </w:r>
      <w:r w:rsidRPr="00EC250C">
        <w:t>państw Afryki Subsaharyjskiej doświadczyło co najmniej jednego przestępstwa motywowanego nienawiścią. Tylko</w:t>
      </w:r>
      <w:r w:rsidR="00992FD0" w:rsidRPr="00EC250C">
        <w:t xml:space="preserve"> w </w:t>
      </w:r>
      <w:r w:rsidRPr="00EC250C">
        <w:t>przypadku społeczności ukraińskiej</w:t>
      </w:r>
      <w:r w:rsidR="00992FD0" w:rsidRPr="00EC250C">
        <w:t xml:space="preserve"> w </w:t>
      </w:r>
      <w:r w:rsidRPr="00EC250C">
        <w:t>woj. małopolskim, najliczniejszej spośród badanych grup,</w:t>
      </w:r>
      <w:r w:rsidR="00992FD0" w:rsidRPr="00EC250C">
        <w:t xml:space="preserve"> w </w:t>
      </w:r>
      <w:r w:rsidRPr="00EC250C">
        <w:t xml:space="preserve">badanym okresie mogło zatem dojść do popełnienia nawet 44 000 przestępstw motywowanych nienawiścią. Wyniki badań ujawniły też dużą skalę </w:t>
      </w:r>
      <w:r w:rsidR="002C0D0D" w:rsidRPr="00EC250C">
        <w:t>niezgłaszania przestępstw (</w:t>
      </w:r>
      <w:r w:rsidRPr="00EC250C">
        <w:t>underreportingu</w:t>
      </w:r>
      <w:r w:rsidR="002C0D0D" w:rsidRPr="00EC250C">
        <w:t>)</w:t>
      </w:r>
      <w:r w:rsidRPr="00EC250C">
        <w:t>. Jak się okazało, organom ścigania jest zgłaszanych jedynie 5% przestępstw tego rodzaju.</w:t>
      </w:r>
    </w:p>
    <w:p w14:paraId="17CFEDD0" w14:textId="77777777" w:rsidR="00724EF1" w:rsidRPr="00EC250C" w:rsidRDefault="00724EF1" w:rsidP="00D131FA">
      <w:pPr>
        <w:pStyle w:val="Styl1"/>
      </w:pPr>
      <w:r w:rsidRPr="00EC250C">
        <w:t>W roku 2018</w:t>
      </w:r>
      <w:r w:rsidR="00992FD0" w:rsidRPr="00EC250C">
        <w:t xml:space="preserve"> w </w:t>
      </w:r>
      <w:r w:rsidRPr="00EC250C">
        <w:t xml:space="preserve">Biurze RPO odbyły się trzy spotkania eksperckie </w:t>
      </w:r>
      <w:r w:rsidR="00135B9D" w:rsidRPr="00EC250C">
        <w:t>RPO</w:t>
      </w:r>
      <w:r w:rsidR="00992FD0" w:rsidRPr="00EC250C">
        <w:t xml:space="preserve"> z </w:t>
      </w:r>
      <w:r w:rsidRPr="00EC250C">
        <w:t>przedstawicielami mniejszości narodowych</w:t>
      </w:r>
      <w:r w:rsidR="00992FD0" w:rsidRPr="00EC250C">
        <w:t xml:space="preserve"> i </w:t>
      </w:r>
      <w:r w:rsidRPr="00EC250C">
        <w:t xml:space="preserve">etnicznych. </w:t>
      </w:r>
      <w:r w:rsidR="00F773CD" w:rsidRPr="00EC250C">
        <w:t>Ich c</w:t>
      </w:r>
      <w:r w:rsidRPr="00EC250C">
        <w:t xml:space="preserve">elem </w:t>
      </w:r>
      <w:r w:rsidR="002C0D0D" w:rsidRPr="00EC250C">
        <w:t xml:space="preserve">była </w:t>
      </w:r>
      <w:r w:rsidRPr="00EC250C">
        <w:t>ocena stanu realizacji praw</w:t>
      </w:r>
      <w:r w:rsidR="00992FD0" w:rsidRPr="00EC250C">
        <w:t xml:space="preserve"> i </w:t>
      </w:r>
      <w:r w:rsidRPr="00EC250C">
        <w:t>wolności przysługujących mniejszościom,</w:t>
      </w:r>
      <w:r w:rsidR="00992FD0" w:rsidRPr="00EC250C">
        <w:t xml:space="preserve"> a </w:t>
      </w:r>
      <w:r w:rsidRPr="00EC250C">
        <w:t>także ewaluacja obowiązujących</w:t>
      </w:r>
      <w:r w:rsidR="00992FD0" w:rsidRPr="00EC250C">
        <w:t xml:space="preserve"> </w:t>
      </w:r>
      <w:r w:rsidRPr="00EC250C">
        <w:t>przepisów prawa. Każde</w:t>
      </w:r>
      <w:r w:rsidR="00992FD0" w:rsidRPr="00EC250C">
        <w:t xml:space="preserve"> z</w:t>
      </w:r>
      <w:r w:rsidR="00F773CD" w:rsidRPr="00EC250C">
        <w:t>e</w:t>
      </w:r>
      <w:r w:rsidR="00992FD0" w:rsidRPr="00EC250C">
        <w:t> </w:t>
      </w:r>
      <w:r w:rsidRPr="00EC250C">
        <w:t xml:space="preserve"> spotkań poświęcone zostało innemu zagadnieniu: przeciwdziałaniu ksenofobii</w:t>
      </w:r>
      <w:r w:rsidR="00992FD0" w:rsidRPr="00EC250C">
        <w:t xml:space="preserve"> i </w:t>
      </w:r>
      <w:r w:rsidRPr="00EC250C">
        <w:t>przestępczości motywowanej nienawiścią, prawom oświatowym mniejszości</w:t>
      </w:r>
      <w:r w:rsidR="00992FD0" w:rsidRPr="00EC250C">
        <w:t xml:space="preserve"> i </w:t>
      </w:r>
      <w:r w:rsidRPr="00EC250C">
        <w:t>przeciwdziałaniu dyskryminacji</w:t>
      </w:r>
      <w:r w:rsidR="00992FD0" w:rsidRPr="00EC250C">
        <w:t xml:space="preserve"> w </w:t>
      </w:r>
      <w:r w:rsidRPr="00EC250C">
        <w:t>edukacji oraz prawom mniejszości do utrzymania</w:t>
      </w:r>
      <w:r w:rsidR="00992FD0" w:rsidRPr="00EC250C">
        <w:t xml:space="preserve"> i </w:t>
      </w:r>
      <w:r w:rsidRPr="00EC250C">
        <w:t xml:space="preserve">rozwoju własnej tożsamości kulturowej. Efektem prac tej nieformalnej grupy eksperckiej </w:t>
      </w:r>
      <w:r w:rsidR="00F773CD" w:rsidRPr="00EC250C">
        <w:t xml:space="preserve">ma być </w:t>
      </w:r>
      <w:r w:rsidRPr="00EC250C">
        <w:t xml:space="preserve">wystąpienie </w:t>
      </w:r>
      <w:r w:rsidR="002C0D0D" w:rsidRPr="00EC250C">
        <w:t>RPO</w:t>
      </w:r>
      <w:r w:rsidRPr="00EC250C">
        <w:t>, które</w:t>
      </w:r>
      <w:r w:rsidR="00992FD0" w:rsidRPr="00EC250C">
        <w:t xml:space="preserve"> </w:t>
      </w:r>
      <w:r w:rsidRPr="00EC250C">
        <w:t>ma być „mapą drogową” zmian</w:t>
      </w:r>
      <w:r w:rsidR="00992FD0" w:rsidRPr="00EC250C">
        <w:t xml:space="preserve"> w </w:t>
      </w:r>
      <w:r w:rsidRPr="00EC250C">
        <w:t>prawie</w:t>
      </w:r>
      <w:r w:rsidR="00992FD0" w:rsidRPr="00EC250C">
        <w:t xml:space="preserve"> i </w:t>
      </w:r>
      <w:r w:rsidRPr="00EC250C">
        <w:t>praktyce</w:t>
      </w:r>
      <w:r w:rsidR="00992FD0" w:rsidRPr="00EC250C">
        <w:t xml:space="preserve"> w </w:t>
      </w:r>
      <w:r w:rsidRPr="00EC250C">
        <w:t>zakresie przestrzegania praw mniejszości</w:t>
      </w:r>
      <w:r w:rsidR="00992FD0" w:rsidRPr="00EC250C">
        <w:t xml:space="preserve"> w </w:t>
      </w:r>
      <w:r w:rsidRPr="00EC250C">
        <w:t>Polsce.</w:t>
      </w:r>
    </w:p>
    <w:p w14:paraId="1EE2F0C6" w14:textId="77777777" w:rsidR="002C0D0D" w:rsidRPr="00EC250C" w:rsidRDefault="002C0D0D" w:rsidP="00D131FA">
      <w:pPr>
        <w:pStyle w:val="ODESANIE"/>
        <w:jc w:val="both"/>
      </w:pPr>
      <w:r w:rsidRPr="00EC250C">
        <w:t>Prawa mniejszości narodowych gwarantuje art. 35 Konstytucji</w:t>
      </w:r>
    </w:p>
    <w:p w14:paraId="033B95DA" w14:textId="77777777" w:rsidR="00724EF1" w:rsidRPr="00EC250C" w:rsidRDefault="00724EF1" w:rsidP="00D131FA">
      <w:pPr>
        <w:pStyle w:val="Srdtytul6"/>
        <w:jc w:val="both"/>
      </w:pPr>
      <w:r w:rsidRPr="00EC250C">
        <w:t>Równe traktowanie ze względu na wyznanie</w:t>
      </w:r>
      <w:r w:rsidR="00992FD0" w:rsidRPr="00EC250C">
        <w:t xml:space="preserve"> w </w:t>
      </w:r>
      <w:r w:rsidRPr="00EC250C">
        <w:t>zatrudnieniu</w:t>
      </w:r>
    </w:p>
    <w:p w14:paraId="1FF08F55" w14:textId="77777777" w:rsidR="00C91F6E" w:rsidRPr="00EC250C" w:rsidRDefault="00724EF1" w:rsidP="00D131FA">
      <w:pPr>
        <w:pStyle w:val="Styl1"/>
      </w:pPr>
      <w:r w:rsidRPr="00EC250C">
        <w:t>W 2018</w:t>
      </w:r>
      <w:r w:rsidR="00C91F6E" w:rsidRPr="00EC250C">
        <w:t> r.</w:t>
      </w:r>
      <w:r w:rsidRPr="00EC250C">
        <w:t xml:space="preserve"> </w:t>
      </w:r>
      <w:r w:rsidR="001B79A8" w:rsidRPr="00EC250C">
        <w:t xml:space="preserve">RPO </w:t>
      </w:r>
      <w:r w:rsidRPr="00EC250C">
        <w:t>wydał także raport „Równe traktowanie ze względu na wyznanie</w:t>
      </w:r>
      <w:r w:rsidR="00992FD0" w:rsidRPr="00EC250C">
        <w:t xml:space="preserve"> w </w:t>
      </w:r>
      <w:r w:rsidRPr="00EC250C">
        <w:t>zatrudnieniu”</w:t>
      </w:r>
      <w:r w:rsidRPr="00EC250C">
        <w:rPr>
          <w:rStyle w:val="Odwoanieprzypisudolnego"/>
        </w:rPr>
        <w:footnoteReference w:id="784"/>
      </w:r>
      <w:r w:rsidRPr="00EC250C">
        <w:t>. Badania, których wyniki opisane zostały</w:t>
      </w:r>
      <w:r w:rsidR="00992FD0" w:rsidRPr="00EC250C">
        <w:t xml:space="preserve"> w </w:t>
      </w:r>
      <w:r w:rsidRPr="00EC250C">
        <w:t xml:space="preserve">raporcie, potwierdziły </w:t>
      </w:r>
      <w:r w:rsidR="002C0D0D" w:rsidRPr="00EC250C">
        <w:t xml:space="preserve">istnienie </w:t>
      </w:r>
      <w:r w:rsidRPr="00EC250C">
        <w:t>różnych form dyskryminacji ze względu na wyznanie</w:t>
      </w:r>
      <w:r w:rsidR="00992FD0" w:rsidRPr="00EC250C">
        <w:t xml:space="preserve"> w </w:t>
      </w:r>
      <w:r w:rsidRPr="00EC250C">
        <w:t>miejscu pracy</w:t>
      </w:r>
      <w:r w:rsidR="002C0D0D" w:rsidRPr="00EC250C">
        <w:t>.</w:t>
      </w:r>
      <w:r w:rsidR="00992FD0" w:rsidRPr="00EC250C">
        <w:t xml:space="preserve"> </w:t>
      </w:r>
      <w:r w:rsidR="002C0D0D" w:rsidRPr="00EC250C">
        <w:t>U</w:t>
      </w:r>
      <w:r w:rsidRPr="00EC250C">
        <w:t xml:space="preserve">jawniły </w:t>
      </w:r>
      <w:r w:rsidR="002C0D0D" w:rsidRPr="00EC250C">
        <w:t xml:space="preserve">tez </w:t>
      </w:r>
      <w:r w:rsidRPr="00EC250C">
        <w:t>najczęściej spotykane mechanizmy wykluczenia.</w:t>
      </w:r>
      <w:r w:rsidR="002C0D0D" w:rsidRPr="00EC250C">
        <w:t xml:space="preserve"> </w:t>
      </w:r>
    </w:p>
    <w:p w14:paraId="6AB78021" w14:textId="77777777" w:rsidR="00C91F6E" w:rsidRPr="00EC250C" w:rsidRDefault="00724EF1" w:rsidP="00D131FA">
      <w:pPr>
        <w:pStyle w:val="Styl1"/>
      </w:pPr>
      <w:r w:rsidRPr="00EC250C">
        <w:lastRenderedPageBreak/>
        <w:t>Jak ustalili badacze, naruszenia zasady równego traktowania</w:t>
      </w:r>
      <w:r w:rsidR="00992FD0" w:rsidRPr="00EC250C">
        <w:t xml:space="preserve"> w </w:t>
      </w:r>
      <w:r w:rsidRPr="00EC250C">
        <w:t xml:space="preserve">zatrudnieniu ze względu na wyznanie mogą </w:t>
      </w:r>
      <w:r w:rsidR="002C0D0D" w:rsidRPr="00EC250C">
        <w:t>być spowodowane zarówno uprzedzeniami lub negatywnymi stereotypami, jak też brakiem wiedzy lub wrażliwości pracodawców i współpracowników.</w:t>
      </w:r>
      <w:r w:rsidRPr="00EC250C">
        <w:t xml:space="preserve"> </w:t>
      </w:r>
      <w:r w:rsidR="002C0D0D" w:rsidRPr="00EC250C">
        <w:t>P</w:t>
      </w:r>
      <w:r w:rsidRPr="00EC250C">
        <w:t>rzybierają</w:t>
      </w:r>
      <w:r w:rsidR="002C0D0D" w:rsidRPr="00EC250C">
        <w:t xml:space="preserve"> one</w:t>
      </w:r>
      <w:r w:rsidRPr="00EC250C">
        <w:t xml:space="preserve"> postać zachowań intencjonalnych lub nieintencjonalnych. Co ważne, dyskryminacji ze względu na wyznanie doświadczają zarówno przedstawiciele mniejszości religijnych, jak</w:t>
      </w:r>
      <w:r w:rsidR="00992FD0" w:rsidRPr="00EC250C">
        <w:t xml:space="preserve"> i </w:t>
      </w:r>
      <w:r w:rsidRPr="00EC250C">
        <w:t>większości katolickiej.</w:t>
      </w:r>
    </w:p>
    <w:p w14:paraId="1CBB5113" w14:textId="77777777" w:rsidR="00724EF1" w:rsidRPr="00EC250C" w:rsidRDefault="00724EF1" w:rsidP="00EC250C">
      <w:pPr>
        <w:pStyle w:val="Nagwek5"/>
      </w:pPr>
      <w:bookmarkStart w:id="776" w:name="_Toc6257993"/>
      <w:r w:rsidRPr="00EC250C">
        <w:t>Przeciwdziałanie dyskryminacji ze względu na płeć</w:t>
      </w:r>
      <w:bookmarkEnd w:id="772"/>
      <w:bookmarkEnd w:id="773"/>
      <w:bookmarkEnd w:id="774"/>
      <w:bookmarkEnd w:id="775"/>
      <w:bookmarkEnd w:id="776"/>
    </w:p>
    <w:p w14:paraId="59220CA2" w14:textId="77777777" w:rsidR="00C91F6E" w:rsidRPr="00EC250C" w:rsidRDefault="00724EF1" w:rsidP="00D131FA">
      <w:pPr>
        <w:pStyle w:val="Styl1"/>
      </w:pPr>
      <w:bookmarkStart w:id="777" w:name="_Toc445063267"/>
      <w:bookmarkStart w:id="778" w:name="_Toc445190629"/>
      <w:bookmarkStart w:id="779" w:name="_Toc513723371"/>
      <w:bookmarkStart w:id="780" w:name="_Toc514831513"/>
      <w:r w:rsidRPr="00EC250C">
        <w:t>Istotnym zagadnieniem</w:t>
      </w:r>
      <w:r w:rsidR="00992FD0" w:rsidRPr="00EC250C">
        <w:t xml:space="preserve"> w </w:t>
      </w:r>
      <w:r w:rsidRPr="00EC250C">
        <w:t>działalności Biura RPO pozostaje przeciwdziałanie przemocy ze względu na płeć</w:t>
      </w:r>
      <w:r w:rsidR="00992FD0" w:rsidRPr="00EC250C">
        <w:t xml:space="preserve"> i </w:t>
      </w:r>
      <w:r w:rsidRPr="00EC250C">
        <w:t>przemocy domowej. Rzecznik podkreślał m.in. konieczność dostosowania polskiego ustawodawstwa do standardów wytyczonych przez przepisy Unii Europejskiej</w:t>
      </w:r>
      <w:r w:rsidRPr="00EC250C">
        <w:rPr>
          <w:vertAlign w:val="superscript"/>
        </w:rPr>
        <w:footnoteReference w:id="785"/>
      </w:r>
      <w:r w:rsidRPr="00EC250C">
        <w:t xml:space="preserve"> oraz Rady Europy</w:t>
      </w:r>
      <w:r w:rsidRPr="00EC250C">
        <w:rPr>
          <w:vertAlign w:val="superscript"/>
        </w:rPr>
        <w:footnoteReference w:id="786"/>
      </w:r>
      <w:r w:rsidR="00992FD0" w:rsidRPr="00EC250C">
        <w:t xml:space="preserve"> w </w:t>
      </w:r>
      <w:r w:rsidRPr="00EC250C">
        <w:t>zakresie zapobiegania oraz zwalczania tego rodzaju przemocy,</w:t>
      </w:r>
      <w:r w:rsidR="00992FD0" w:rsidRPr="00EC250C">
        <w:t xml:space="preserve"> a </w:t>
      </w:r>
      <w:r w:rsidRPr="00EC250C">
        <w:t>także wsparcia udzielanego ofiarom przemocy ze względu na płeć.</w:t>
      </w:r>
    </w:p>
    <w:p w14:paraId="0A4B8EAD" w14:textId="77777777" w:rsidR="00724EF1" w:rsidRPr="00EC250C" w:rsidRDefault="00724EF1" w:rsidP="00D131FA">
      <w:pPr>
        <w:pStyle w:val="Styl1"/>
      </w:pPr>
      <w:r w:rsidRPr="00EC250C">
        <w:t xml:space="preserve">Zdaniem </w:t>
      </w:r>
      <w:r w:rsidR="001B79A8" w:rsidRPr="00EC250C">
        <w:t>RPO</w:t>
      </w:r>
      <w:r w:rsidRPr="00EC250C">
        <w:t xml:space="preserve"> szczególnie pilne jest wprowadzenie możliwości natychmiastowego odizolowania sprawcy przemocy od ofiary bez konieczności formalnego wszczynania postępowania karnego,</w:t>
      </w:r>
      <w:r w:rsidR="00992FD0" w:rsidRPr="00EC250C">
        <w:t xml:space="preserve"> a </w:t>
      </w:r>
      <w:r w:rsidRPr="00EC250C">
        <w:t xml:space="preserve">także </w:t>
      </w:r>
      <w:r w:rsidRPr="00EC250C">
        <w:rPr>
          <w:bCs/>
        </w:rPr>
        <w:t>zapewnienie osobie doznającej przemocy faktycznego prawa do bezpiecznego schronienia</w:t>
      </w:r>
      <w:r w:rsidR="00992FD0" w:rsidRPr="00EC250C">
        <w:rPr>
          <w:bCs/>
        </w:rPr>
        <w:t xml:space="preserve"> w </w:t>
      </w:r>
      <w:r w:rsidRPr="00EC250C">
        <w:rPr>
          <w:bCs/>
        </w:rPr>
        <w:t>specjalistycznym ośrodku wsparcia. Niezbędne jest także wprowadzenie obowiązkowego udziału sprawców przemocy</w:t>
      </w:r>
      <w:r w:rsidR="00992FD0" w:rsidRPr="00EC250C">
        <w:rPr>
          <w:bCs/>
        </w:rPr>
        <w:t xml:space="preserve"> w </w:t>
      </w:r>
      <w:r w:rsidRPr="00EC250C">
        <w:rPr>
          <w:bCs/>
        </w:rPr>
        <w:t>zajęciach korekcyjno-edukacyjnych,</w:t>
      </w:r>
      <w:r w:rsidR="00992FD0" w:rsidRPr="00EC250C">
        <w:rPr>
          <w:bCs/>
        </w:rPr>
        <w:t xml:space="preserve"> a </w:t>
      </w:r>
      <w:r w:rsidRPr="00EC250C">
        <w:rPr>
          <w:bCs/>
        </w:rPr>
        <w:t>także zapewnienie praktycznej możliwości realizacji tego obowiązku</w:t>
      </w:r>
      <w:r w:rsidR="00992FD0" w:rsidRPr="00EC250C">
        <w:rPr>
          <w:bCs/>
        </w:rPr>
        <w:t xml:space="preserve"> w </w:t>
      </w:r>
      <w:r w:rsidRPr="00EC250C">
        <w:rPr>
          <w:bCs/>
        </w:rPr>
        <w:t>miejscu ich zamieszkania.</w:t>
      </w:r>
    </w:p>
    <w:p w14:paraId="0FAD44F0" w14:textId="77777777" w:rsidR="00724EF1" w:rsidRPr="00EC250C" w:rsidRDefault="00724EF1" w:rsidP="00D131FA">
      <w:pPr>
        <w:pStyle w:val="Styl1"/>
      </w:pPr>
      <w:r w:rsidRPr="00EC250C">
        <w:t xml:space="preserve">W obszarze przeciwdziałania przemocy ze względu na płeć </w:t>
      </w:r>
      <w:r w:rsidR="00135B9D" w:rsidRPr="00EC250C">
        <w:t>RPO</w:t>
      </w:r>
      <w:r w:rsidRPr="00EC250C">
        <w:t xml:space="preserve"> analizował także problem molestowania</w:t>
      </w:r>
      <w:r w:rsidR="00992FD0" w:rsidRPr="00EC250C">
        <w:t xml:space="preserve"> i </w:t>
      </w:r>
      <w:r w:rsidRPr="00EC250C">
        <w:t xml:space="preserve">molestowania seksualnego na uczelniach. </w:t>
      </w:r>
      <w:r w:rsidR="002C0D0D" w:rsidRPr="00EC250C">
        <w:t xml:space="preserve">Opublikował </w:t>
      </w:r>
      <w:r w:rsidRPr="00EC250C">
        <w:t>raport „Doświadczenie molestowania wśród studentek</w:t>
      </w:r>
      <w:r w:rsidR="00992FD0" w:rsidRPr="00EC250C">
        <w:t xml:space="preserve"> i </w:t>
      </w:r>
      <w:r w:rsidRPr="00EC250C">
        <w:t>studentów. Analiza</w:t>
      </w:r>
      <w:r w:rsidR="00992FD0" w:rsidRPr="00EC250C">
        <w:t xml:space="preserve"> i </w:t>
      </w:r>
      <w:r w:rsidRPr="00EC250C">
        <w:t>zalecenia”.</w:t>
      </w:r>
    </w:p>
    <w:p w14:paraId="053A669C" w14:textId="77777777" w:rsidR="00724EF1" w:rsidRPr="00EC250C" w:rsidRDefault="00724EF1" w:rsidP="00D131FA">
      <w:pPr>
        <w:pStyle w:val="Styl1"/>
      </w:pPr>
      <w:r w:rsidRPr="00EC250C">
        <w:t xml:space="preserve">Z inicjatywy </w:t>
      </w:r>
      <w:r w:rsidR="001B79A8" w:rsidRPr="00EC250C">
        <w:t>RPO</w:t>
      </w:r>
      <w:r w:rsidRPr="00EC250C">
        <w:t xml:space="preserve"> zrealizowano również badania dotyczące udziału kobiet</w:t>
      </w:r>
      <w:r w:rsidR="00992FD0" w:rsidRPr="00EC250C">
        <w:t xml:space="preserve"> w </w:t>
      </w:r>
      <w:r w:rsidRPr="00EC250C">
        <w:t>życiu publicznym podsumowujące m.in. rolę kobiet</w:t>
      </w:r>
      <w:r w:rsidR="00992FD0" w:rsidRPr="00EC250C">
        <w:t xml:space="preserve"> w </w:t>
      </w:r>
      <w:r w:rsidRPr="00EC250C">
        <w:t>wyborach samorządowych</w:t>
      </w:r>
      <w:r w:rsidR="00992FD0" w:rsidRPr="00EC250C">
        <w:t xml:space="preserve"> w </w:t>
      </w:r>
      <w:r w:rsidRPr="00EC250C">
        <w:t>roku 2018.</w:t>
      </w:r>
    </w:p>
    <w:p w14:paraId="2C7F23B9" w14:textId="77777777" w:rsidR="00724EF1" w:rsidRPr="00EC250C" w:rsidRDefault="00724EF1" w:rsidP="00D131FA">
      <w:pPr>
        <w:pStyle w:val="Styl1"/>
      </w:pPr>
      <w:r w:rsidRPr="00EC250C">
        <w:t>Interwencje Rzecznika dotyczyły także obszaru zdrowia reprodukcyjnego kobiet –</w:t>
      </w:r>
      <w:r w:rsidR="00992FD0" w:rsidRPr="00EC250C">
        <w:t xml:space="preserve"> w </w:t>
      </w:r>
      <w:r w:rsidRPr="00EC250C">
        <w:t xml:space="preserve">ocenie </w:t>
      </w:r>
      <w:r w:rsidR="001B79A8" w:rsidRPr="00EC250C">
        <w:t>RPO</w:t>
      </w:r>
      <w:r w:rsidRPr="00EC250C">
        <w:t xml:space="preserve"> pilnego rozwiązania wymagają m.in. problemy związane</w:t>
      </w:r>
      <w:r w:rsidR="00992FD0" w:rsidRPr="00EC250C">
        <w:t xml:space="preserve"> z </w:t>
      </w:r>
      <w:r w:rsidRPr="00EC250C">
        <w:t>nierzetelną edukacją seksualną, brakiem pełnego dostępu do środków antykoncepcyjnych,</w:t>
      </w:r>
      <w:r w:rsidR="00992FD0" w:rsidRPr="00EC250C">
        <w:t xml:space="preserve"> a </w:t>
      </w:r>
      <w:r w:rsidRPr="00EC250C">
        <w:t>także barier</w:t>
      </w:r>
      <w:r w:rsidR="002C0D0D" w:rsidRPr="00EC250C">
        <w:t>ami</w:t>
      </w:r>
      <w:r w:rsidR="00992FD0" w:rsidRPr="00EC250C">
        <w:t xml:space="preserve"> w </w:t>
      </w:r>
      <w:r w:rsidRPr="00EC250C">
        <w:t>dostęp</w:t>
      </w:r>
      <w:r w:rsidR="002C0D0D" w:rsidRPr="00EC250C">
        <w:t>ie</w:t>
      </w:r>
      <w:r w:rsidRPr="00EC250C">
        <w:t xml:space="preserve"> do legalnego zabiegu przerwania ciąży. </w:t>
      </w:r>
      <w:bookmarkStart w:id="781" w:name="_Hlk535498373"/>
      <w:r w:rsidRPr="00EC250C">
        <w:t xml:space="preserve">Skargi kierowane do Rzecznika </w:t>
      </w:r>
      <w:r w:rsidR="001B79A8" w:rsidRPr="00EC250C">
        <w:t xml:space="preserve">Praw Obywatelskich </w:t>
      </w:r>
      <w:r w:rsidRPr="00EC250C">
        <w:t>wskazywały także na niewystarczające wsparcie państwa dla kobiet</w:t>
      </w:r>
      <w:r w:rsidR="00992FD0" w:rsidRPr="00EC250C">
        <w:t xml:space="preserve"> w </w:t>
      </w:r>
      <w:r w:rsidRPr="00EC250C">
        <w:t>ciąży oraz ograniczony dostęp do świadczeń zdrowotnych</w:t>
      </w:r>
      <w:r w:rsidR="00992FD0" w:rsidRPr="00EC250C">
        <w:t xml:space="preserve"> z </w:t>
      </w:r>
      <w:r w:rsidRPr="00EC250C">
        <w:t>zakresu opieki okołoporodowej.</w:t>
      </w:r>
      <w:bookmarkEnd w:id="781"/>
    </w:p>
    <w:p w14:paraId="248A3AC3" w14:textId="77777777" w:rsidR="00724EF1" w:rsidRPr="00EC250C" w:rsidRDefault="00724EF1" w:rsidP="00EC250C">
      <w:pPr>
        <w:pStyle w:val="Nagwek5"/>
      </w:pPr>
      <w:bookmarkStart w:id="782" w:name="_Toc6257994"/>
      <w:r w:rsidRPr="00EC250C">
        <w:lastRenderedPageBreak/>
        <w:t>Przeciwdziałanie dyskryminacji ze względu na wiek</w:t>
      </w:r>
      <w:bookmarkEnd w:id="777"/>
      <w:bookmarkEnd w:id="778"/>
      <w:bookmarkEnd w:id="779"/>
      <w:bookmarkEnd w:id="780"/>
      <w:bookmarkEnd w:id="782"/>
    </w:p>
    <w:p w14:paraId="65FD1A69" w14:textId="77777777" w:rsidR="00C91F6E" w:rsidRPr="00EC250C" w:rsidRDefault="00135B9D" w:rsidP="00D131FA">
      <w:pPr>
        <w:pStyle w:val="Styl1"/>
      </w:pPr>
      <w:bookmarkStart w:id="783" w:name="_Toc445063266"/>
      <w:bookmarkStart w:id="784" w:name="_Toc445190628"/>
      <w:bookmarkStart w:id="785" w:name="_Toc513723372"/>
      <w:bookmarkStart w:id="786" w:name="_Toc514831514"/>
      <w:bookmarkStart w:id="787" w:name="_Toc445063268"/>
      <w:bookmarkStart w:id="788" w:name="_Toc445190630"/>
      <w:r w:rsidRPr="00EC250C">
        <w:t>RPO</w:t>
      </w:r>
      <w:r w:rsidR="00724EF1" w:rsidRPr="00EC250C">
        <w:t xml:space="preserve"> kontynuował starania</w:t>
      </w:r>
      <w:r w:rsidR="00992FD0" w:rsidRPr="00EC250C">
        <w:t xml:space="preserve"> o </w:t>
      </w:r>
      <w:r w:rsidR="00724EF1" w:rsidRPr="00EC250C">
        <w:t>wdrożenie całościowej strategii państwa</w:t>
      </w:r>
      <w:r w:rsidR="00992FD0" w:rsidRPr="00EC250C">
        <w:t xml:space="preserve"> w </w:t>
      </w:r>
      <w:r w:rsidR="00724EF1" w:rsidRPr="00EC250C">
        <w:t>zakresie polityki senioralnej, angażującej wszystkie instytucje na poziomie centralnym</w:t>
      </w:r>
      <w:r w:rsidR="00992FD0" w:rsidRPr="00EC250C">
        <w:t xml:space="preserve"> i </w:t>
      </w:r>
      <w:r w:rsidR="00724EF1" w:rsidRPr="00EC250C">
        <w:t xml:space="preserve">samorządowym. W tym celu zanalizował rządowy projekt dokumentu </w:t>
      </w:r>
      <w:r w:rsidR="00724EF1" w:rsidRPr="00EC250C">
        <w:rPr>
          <w:i/>
        </w:rPr>
        <w:t>Polityka Społeczna wobec osób starszych do 2030</w:t>
      </w:r>
      <w:r w:rsidR="00C91F6E" w:rsidRPr="00EC250C">
        <w:rPr>
          <w:i/>
        </w:rPr>
        <w:t> r.</w:t>
      </w:r>
      <w:r w:rsidR="00724EF1" w:rsidRPr="00EC250C">
        <w:rPr>
          <w:i/>
        </w:rPr>
        <w:t xml:space="preserve"> Bezpieczeństwo – Uczestnictwo – Solidarność</w:t>
      </w:r>
      <w:r w:rsidR="00724EF1" w:rsidRPr="00EC250C">
        <w:rPr>
          <w:i/>
          <w:vertAlign w:val="superscript"/>
        </w:rPr>
        <w:footnoteReference w:id="787"/>
      </w:r>
      <w:r w:rsidR="00724EF1" w:rsidRPr="00EC250C">
        <w:rPr>
          <w:i/>
        </w:rPr>
        <w:t>,</w:t>
      </w:r>
      <w:r w:rsidR="00992FD0" w:rsidRPr="00EC250C">
        <w:rPr>
          <w:i/>
        </w:rPr>
        <w:t xml:space="preserve"> a </w:t>
      </w:r>
      <w:r w:rsidR="00724EF1" w:rsidRPr="00EC250C">
        <w:t>wnioski</w:t>
      </w:r>
      <w:r w:rsidR="00724EF1" w:rsidRPr="00EC250C">
        <w:rPr>
          <w:i/>
        </w:rPr>
        <w:t xml:space="preserve"> </w:t>
      </w:r>
      <w:r w:rsidR="00724EF1" w:rsidRPr="00EC250C">
        <w:t>przekazał odpowiednim organom publicznym</w:t>
      </w:r>
      <w:r w:rsidR="00724EF1" w:rsidRPr="00EC250C">
        <w:rPr>
          <w:vertAlign w:val="superscript"/>
        </w:rPr>
        <w:footnoteReference w:id="788"/>
      </w:r>
      <w:r w:rsidR="00724EF1" w:rsidRPr="00EC250C">
        <w:t>.</w:t>
      </w:r>
    </w:p>
    <w:p w14:paraId="39EB2A9A" w14:textId="77777777" w:rsidR="00724EF1" w:rsidRPr="00EC250C" w:rsidRDefault="00724EF1" w:rsidP="00D131FA">
      <w:pPr>
        <w:pStyle w:val="Styl1"/>
      </w:pPr>
      <w:r w:rsidRPr="00EC250C">
        <w:t>Starając się</w:t>
      </w:r>
      <w:r w:rsidR="00992FD0" w:rsidRPr="00EC250C">
        <w:t xml:space="preserve"> o </w:t>
      </w:r>
      <w:r w:rsidRPr="00EC250C">
        <w:t xml:space="preserve">międzynarodową ochronę praw seniorów, </w:t>
      </w:r>
      <w:r w:rsidR="001B79A8" w:rsidRPr="00EC250C">
        <w:t>RPO</w:t>
      </w:r>
      <w:r w:rsidRPr="00EC250C">
        <w:t xml:space="preserve"> aktywnie uczestniczył także</w:t>
      </w:r>
      <w:r w:rsidR="00992FD0" w:rsidRPr="00EC250C">
        <w:t xml:space="preserve"> w </w:t>
      </w:r>
      <w:r w:rsidRPr="00EC250C">
        <w:t>pracach Grupy Roboczej ONZ ds. Starzenia się</w:t>
      </w:r>
      <w:r w:rsidRPr="00EC250C">
        <w:rPr>
          <w:vertAlign w:val="superscript"/>
        </w:rPr>
        <w:footnoteReference w:id="789"/>
      </w:r>
      <w:r w:rsidRPr="00EC250C">
        <w:t>. Kontynuowane były działania na rzecz wzmocnienia poparcia dla projektowanej na forum ONZ Konwencji</w:t>
      </w:r>
      <w:r w:rsidR="00992FD0" w:rsidRPr="00EC250C">
        <w:t xml:space="preserve"> o </w:t>
      </w:r>
      <w:r w:rsidRPr="00EC250C">
        <w:t>prawach osób starszych. We współpracy</w:t>
      </w:r>
      <w:r w:rsidR="00992FD0" w:rsidRPr="00EC250C">
        <w:t xml:space="preserve"> z </w:t>
      </w:r>
      <w:r w:rsidRPr="00EC250C">
        <w:t>Niemieckim Instytutem Ochrony Praw Człowieka zostały przygotowane propozycje elementów prawa normatywnego jako nowego instrumentu prawa międzynarodowego</w:t>
      </w:r>
      <w:r w:rsidR="00992FD0" w:rsidRPr="00EC250C">
        <w:t xml:space="preserve"> w </w:t>
      </w:r>
      <w:r w:rsidRPr="00EC250C">
        <w:t>zakresie przeciwdziałania dyskryminacji</w:t>
      </w:r>
      <w:r w:rsidR="00992FD0" w:rsidRPr="00EC250C">
        <w:t xml:space="preserve"> i </w:t>
      </w:r>
      <w:r w:rsidRPr="00EC250C">
        <w:t xml:space="preserve">przemocy wobec osób starszych. W dalszym ciągu </w:t>
      </w:r>
      <w:r w:rsidR="001B79A8" w:rsidRPr="00EC250C">
        <w:t>RPO</w:t>
      </w:r>
      <w:r w:rsidRPr="00EC250C">
        <w:t xml:space="preserve"> zachęca rząd do włączenia się</w:t>
      </w:r>
      <w:r w:rsidR="00992FD0" w:rsidRPr="00EC250C">
        <w:t xml:space="preserve"> w </w:t>
      </w:r>
      <w:r w:rsidRPr="00EC250C">
        <w:t>te prace,</w:t>
      </w:r>
      <w:r w:rsidR="00992FD0" w:rsidRPr="00EC250C">
        <w:t xml:space="preserve"> w </w:t>
      </w:r>
      <w:r w:rsidRPr="00EC250C">
        <w:t>celu poprawy sytuacji seniorów</w:t>
      </w:r>
      <w:r w:rsidR="00992FD0" w:rsidRPr="00EC250C">
        <w:t xml:space="preserve"> w </w:t>
      </w:r>
      <w:r w:rsidRPr="00EC250C">
        <w:t>Polsce</w:t>
      </w:r>
      <w:r w:rsidR="00992FD0" w:rsidRPr="00EC250C">
        <w:t xml:space="preserve"> i </w:t>
      </w:r>
      <w:r w:rsidRPr="00EC250C">
        <w:t>na świecie oraz zapewnienia możliwości wpływu Polski na kształt omawianego nowego międzynarodowego instrumentu ochrony praw osób starszych.</w:t>
      </w:r>
    </w:p>
    <w:p w14:paraId="0DCE2479" w14:textId="77777777" w:rsidR="00724EF1" w:rsidRPr="00EC250C" w:rsidRDefault="00724EF1" w:rsidP="00D131FA">
      <w:pPr>
        <w:pStyle w:val="Styl1"/>
      </w:pPr>
      <w:r w:rsidRPr="00EC250C">
        <w:t xml:space="preserve">Jednocześnie </w:t>
      </w:r>
      <w:r w:rsidR="001B79A8" w:rsidRPr="00EC250C">
        <w:t xml:space="preserve">RPO </w:t>
      </w:r>
      <w:r w:rsidRPr="00EC250C">
        <w:t>kontynuował działania</w:t>
      </w:r>
      <w:r w:rsidR="00992FD0" w:rsidRPr="00EC250C">
        <w:t xml:space="preserve"> w </w:t>
      </w:r>
      <w:r w:rsidRPr="00EC250C">
        <w:t>zakresie równego dostępu osób starszych do opieki zdrowotnej,</w:t>
      </w:r>
      <w:r w:rsidR="00992FD0" w:rsidRPr="00EC250C">
        <w:t xml:space="preserve"> a </w:t>
      </w:r>
      <w:r w:rsidRPr="00EC250C">
        <w:t>także zwiększenia partycypacji społecznej seniorów.</w:t>
      </w:r>
    </w:p>
    <w:p w14:paraId="3859F738" w14:textId="77777777" w:rsidR="00724EF1" w:rsidRPr="00EC250C" w:rsidRDefault="00724EF1" w:rsidP="00EC250C">
      <w:pPr>
        <w:pStyle w:val="Nagwek5"/>
      </w:pPr>
      <w:bookmarkStart w:id="789" w:name="_Toc6257995"/>
      <w:r w:rsidRPr="00EC250C">
        <w:t>Przeciwdziałanie dyskryminacji ze względu na orientację seksualną</w:t>
      </w:r>
      <w:r w:rsidR="00992FD0" w:rsidRPr="00EC250C">
        <w:t xml:space="preserve"> i </w:t>
      </w:r>
      <w:r w:rsidRPr="00EC250C">
        <w:t>tożsamość płciową</w:t>
      </w:r>
      <w:bookmarkEnd w:id="783"/>
      <w:bookmarkEnd w:id="784"/>
      <w:bookmarkEnd w:id="785"/>
      <w:bookmarkEnd w:id="786"/>
      <w:bookmarkEnd w:id="789"/>
    </w:p>
    <w:p w14:paraId="6E6E0133" w14:textId="77777777" w:rsidR="00C91F6E" w:rsidRPr="00EC250C" w:rsidRDefault="00724EF1" w:rsidP="00D131FA">
      <w:pPr>
        <w:pStyle w:val="Styl1"/>
      </w:pPr>
      <w:bookmarkStart w:id="790" w:name="_Toc513723373"/>
      <w:bookmarkStart w:id="791" w:name="_Toc514831515"/>
      <w:r w:rsidRPr="00EC250C">
        <w:t xml:space="preserve">Priorytetem </w:t>
      </w:r>
      <w:r w:rsidR="001B79A8" w:rsidRPr="00EC250C">
        <w:t>RPO</w:t>
      </w:r>
      <w:r w:rsidRPr="00EC250C">
        <w:t xml:space="preserve"> pozostaje </w:t>
      </w:r>
      <w:r w:rsidR="00C21C8F" w:rsidRPr="00EC250C">
        <w:t xml:space="preserve">realizacja </w:t>
      </w:r>
      <w:r w:rsidRPr="00EC250C">
        <w:t>prawa do poszanowania życia prywatnego</w:t>
      </w:r>
      <w:r w:rsidR="00992FD0" w:rsidRPr="00EC250C">
        <w:t xml:space="preserve"> i </w:t>
      </w:r>
      <w:r w:rsidRPr="00EC250C">
        <w:t>rodzinnego bez dyskryminacji ze względu na orientację seksualną</w:t>
      </w:r>
      <w:r w:rsidR="00992FD0" w:rsidRPr="00EC250C">
        <w:t xml:space="preserve"> i </w:t>
      </w:r>
      <w:r w:rsidRPr="00EC250C">
        <w:t xml:space="preserve">tożsamość płciową. Rzecznik </w:t>
      </w:r>
      <w:r w:rsidR="001B79A8" w:rsidRPr="00EC250C">
        <w:t xml:space="preserve">Praw Obywatelskich </w:t>
      </w:r>
      <w:r w:rsidRPr="00EC250C">
        <w:t>przystąpił do postępowań przed wojewódzkimi sądami administracyjnymi dotyczącymi odmowy potwierdzenia obywatelstwa oraz transkrypcji zagranicznych aktów urodzenia</w:t>
      </w:r>
      <w:r w:rsidR="00992FD0" w:rsidRPr="00EC250C">
        <w:t xml:space="preserve"> </w:t>
      </w:r>
      <w:r w:rsidR="002C0D0D" w:rsidRPr="00EC250C">
        <w:t>dzieci</w:t>
      </w:r>
      <w:r w:rsidR="002B32C9" w:rsidRPr="00EC250C">
        <w:t>om</w:t>
      </w:r>
      <w:r w:rsidRPr="00EC250C">
        <w:t>,</w:t>
      </w:r>
      <w:r w:rsidR="00992FD0" w:rsidRPr="00EC250C">
        <w:t xml:space="preserve"> </w:t>
      </w:r>
      <w:r w:rsidRPr="00EC250C">
        <w:t>któr</w:t>
      </w:r>
      <w:r w:rsidR="002C0D0D" w:rsidRPr="00EC250C">
        <w:t xml:space="preserve">e </w:t>
      </w:r>
      <w:r w:rsidR="002B32C9" w:rsidRPr="00EC250C">
        <w:t xml:space="preserve">w dokumentach mają wpisane </w:t>
      </w:r>
      <w:r w:rsidRPr="00EC250C">
        <w:t>jako rodzic</w:t>
      </w:r>
      <w:r w:rsidR="002B32C9" w:rsidRPr="00EC250C">
        <w:t>ów</w:t>
      </w:r>
      <w:r w:rsidRPr="00EC250C">
        <w:t xml:space="preserve"> osoby tej samej płci. </w:t>
      </w:r>
      <w:r w:rsidR="001B79A8" w:rsidRPr="00EC250C">
        <w:t xml:space="preserve">RPO </w:t>
      </w:r>
      <w:r w:rsidRPr="00EC250C">
        <w:t>podkreślał, że negatywna decyzja dotycząca transkrypcji lub potwierdzenia obywatelstwa godzi</w:t>
      </w:r>
      <w:r w:rsidR="00992FD0" w:rsidRPr="00EC250C">
        <w:t xml:space="preserve"> w </w:t>
      </w:r>
      <w:r w:rsidRPr="00EC250C">
        <w:t>prawa dziecka, utrudniając mu funkcjonowanie</w:t>
      </w:r>
      <w:r w:rsidR="00992FD0" w:rsidRPr="00EC250C">
        <w:t xml:space="preserve"> w </w:t>
      </w:r>
      <w:r w:rsidRPr="00EC250C">
        <w:t>społeczeństwie. W październiku 2018</w:t>
      </w:r>
      <w:r w:rsidR="00C91F6E" w:rsidRPr="00EC250C">
        <w:t> r.</w:t>
      </w:r>
      <w:r w:rsidR="00992FD0" w:rsidRPr="00EC250C">
        <w:t xml:space="preserve"> w </w:t>
      </w:r>
      <w:r w:rsidRPr="00EC250C">
        <w:t xml:space="preserve">dwóch istotnych orzeczeniach </w:t>
      </w:r>
      <w:r w:rsidR="00C21C8F" w:rsidRPr="00EC250C">
        <w:t>NSA</w:t>
      </w:r>
      <w:r w:rsidRPr="00EC250C">
        <w:t xml:space="preserve"> podzielił argumentację </w:t>
      </w:r>
      <w:r w:rsidR="001B79A8" w:rsidRPr="00EC250C">
        <w:t>RPO</w:t>
      </w:r>
      <w:r w:rsidRPr="00EC250C">
        <w:t>, wskazując na obowiązek najlepszego zabezpieczenia interesu dziecka. Wydane wyroki stanowią odstępstwo od dotychczasowej linii orzeczniczej dając nadzieję, że sytuacja prawna dzieci wychowywanych przez rodziców tej samej płci ulegnie poprawie.</w:t>
      </w:r>
    </w:p>
    <w:p w14:paraId="0D30E3E9" w14:textId="77777777" w:rsidR="00724EF1" w:rsidRPr="00EC250C" w:rsidRDefault="001B79A8" w:rsidP="00D131FA">
      <w:pPr>
        <w:pStyle w:val="Styl1"/>
      </w:pPr>
      <w:r w:rsidRPr="00EC250C">
        <w:lastRenderedPageBreak/>
        <w:t xml:space="preserve">RPO </w:t>
      </w:r>
      <w:r w:rsidR="00724EF1" w:rsidRPr="00EC250C">
        <w:t>przystąpił również do postępowania sądowego</w:t>
      </w:r>
      <w:r w:rsidR="00992FD0" w:rsidRPr="00EC250C">
        <w:t xml:space="preserve"> w </w:t>
      </w:r>
      <w:r w:rsidR="00724EF1" w:rsidRPr="00EC250C">
        <w:t>sprawie zakazu organizacji Marszu Równości</w:t>
      </w:r>
      <w:r w:rsidR="00992FD0" w:rsidRPr="00EC250C">
        <w:t xml:space="preserve"> w </w:t>
      </w:r>
      <w:r w:rsidR="00724EF1" w:rsidRPr="00EC250C">
        <w:t>Lublinie podkreślając, że władze publiczne mają obowiązek zapewnienia bezpieczeństwa uczestnikom manifestacji,</w:t>
      </w:r>
      <w:r w:rsidR="00992FD0" w:rsidRPr="00EC250C">
        <w:t xml:space="preserve"> a </w:t>
      </w:r>
      <w:r w:rsidR="00724EF1" w:rsidRPr="00EC250C">
        <w:t>ryzyko ataków ze strony innych osób nie może stanowić podstawy do zakazania pokojowego zgromadzenia. Sąd Apelacyjny</w:t>
      </w:r>
      <w:r w:rsidR="00992FD0" w:rsidRPr="00EC250C">
        <w:t xml:space="preserve"> w </w:t>
      </w:r>
      <w:r w:rsidR="00724EF1" w:rsidRPr="00EC250C">
        <w:t>Lublinie uchylił zakaz organizacji wydarzenia wydany przez Prezydenta Miasta Lublin.</w:t>
      </w:r>
    </w:p>
    <w:p w14:paraId="27A42827" w14:textId="77777777" w:rsidR="00724EF1" w:rsidRPr="00EC250C" w:rsidRDefault="00724EF1" w:rsidP="00D131FA">
      <w:pPr>
        <w:pStyle w:val="Styl1"/>
      </w:pPr>
      <w:r w:rsidRPr="00EC250C">
        <w:t xml:space="preserve">Skargi kierowane do </w:t>
      </w:r>
      <w:r w:rsidR="001B79A8" w:rsidRPr="00EC250C">
        <w:t>RPO</w:t>
      </w:r>
      <w:r w:rsidRPr="00EC250C">
        <w:t xml:space="preserve"> wskazują także na rosnący problem homofobicznej mowy nienawiści, również ze strony osób piastujących funkcje publiczne.</w:t>
      </w:r>
    </w:p>
    <w:p w14:paraId="5FA53715" w14:textId="77777777" w:rsidR="00724EF1" w:rsidRPr="00EC250C" w:rsidRDefault="00724EF1" w:rsidP="00EC250C">
      <w:pPr>
        <w:pStyle w:val="Nagwek5"/>
      </w:pPr>
      <w:bookmarkStart w:id="792" w:name="_Toc6257996"/>
      <w:r w:rsidRPr="00EC250C">
        <w:t>Przeciwdziałanie dyskryminacji ze względu na niepełnosprawność oraz realizacja postanowień Konwencji</w:t>
      </w:r>
      <w:r w:rsidR="00992FD0" w:rsidRPr="00EC250C">
        <w:t xml:space="preserve"> o </w:t>
      </w:r>
      <w:r w:rsidRPr="00EC250C">
        <w:t xml:space="preserve">prawach osób </w:t>
      </w:r>
      <w:r w:rsidR="00C21C8F" w:rsidRPr="00EC250C">
        <w:t xml:space="preserve">z </w:t>
      </w:r>
      <w:r w:rsidRPr="00EC250C">
        <w:t>niepełnosprawn</w:t>
      </w:r>
      <w:bookmarkEnd w:id="787"/>
      <w:bookmarkEnd w:id="788"/>
      <w:bookmarkEnd w:id="790"/>
      <w:bookmarkEnd w:id="791"/>
      <w:bookmarkEnd w:id="792"/>
      <w:r w:rsidR="00C21C8F" w:rsidRPr="00EC250C">
        <w:t>ością</w:t>
      </w:r>
    </w:p>
    <w:p w14:paraId="603F1571" w14:textId="77777777" w:rsidR="00724EF1" w:rsidRPr="00EC250C" w:rsidRDefault="00724EF1" w:rsidP="00D131FA">
      <w:pPr>
        <w:pStyle w:val="Styl1"/>
      </w:pPr>
      <w:r w:rsidRPr="00EC250C">
        <w:t>We wrześniu 2018</w:t>
      </w:r>
      <w:r w:rsidR="00C91F6E" w:rsidRPr="00EC250C">
        <w:t> r.</w:t>
      </w:r>
      <w:r w:rsidRPr="00EC250C">
        <w:t xml:space="preserve"> Komitet ONZ ds. Praw Osób</w:t>
      </w:r>
      <w:r w:rsidR="00992FD0" w:rsidRPr="00EC250C">
        <w:t xml:space="preserve"> z </w:t>
      </w:r>
      <w:r w:rsidRPr="00EC250C">
        <w:t xml:space="preserve">Niepełnosprawnościami, </w:t>
      </w:r>
      <w:r w:rsidR="00C21C8F" w:rsidRPr="00EC250C">
        <w:t>`</w:t>
      </w:r>
      <w:r w:rsidRPr="00EC250C">
        <w:t>po sprawozdani</w:t>
      </w:r>
      <w:r w:rsidR="002B32C9" w:rsidRPr="00EC250C">
        <w:t>u</w:t>
      </w:r>
      <w:r w:rsidRPr="00EC250C">
        <w:t xml:space="preserve"> Polski</w:t>
      </w:r>
      <w:r w:rsidR="00992FD0" w:rsidRPr="00EC250C">
        <w:t xml:space="preserve"> o </w:t>
      </w:r>
      <w:r w:rsidRPr="00EC250C">
        <w:t xml:space="preserve"> stanie wdrożenia Konwencji, przedstawił swoje rekomendacje. Podstawową</w:t>
      </w:r>
      <w:r w:rsidR="00992FD0" w:rsidRPr="00EC250C">
        <w:t xml:space="preserve"> z </w:t>
      </w:r>
      <w:r w:rsidRPr="00EC250C">
        <w:t>nich pozostaje przyjęcie kompleksowej, ogólnokrajowej strategii</w:t>
      </w:r>
      <w:r w:rsidR="00992FD0" w:rsidRPr="00EC250C">
        <w:t xml:space="preserve"> i </w:t>
      </w:r>
      <w:r w:rsidRPr="00EC250C">
        <w:t xml:space="preserve">planu działania na rzecz wdrożenia postanowień Konwencji, przy szerokim udziale organizacji osób </w:t>
      </w:r>
      <w:r w:rsidR="00C21C8F" w:rsidRPr="00EC250C">
        <w:t xml:space="preserve">z </w:t>
      </w:r>
      <w:r w:rsidRPr="00EC250C">
        <w:t>niepełnosprawn</w:t>
      </w:r>
      <w:r w:rsidR="00C21C8F" w:rsidRPr="00EC250C">
        <w:t xml:space="preserve">ościami. Celem ma być </w:t>
      </w:r>
      <w:r w:rsidRPr="00EC250C">
        <w:t>zmiany dotychczasowego modelu opartego na opiece na rzecz modelu opartego na prawach człowieka. Odnotować przy tym należy, że nadal nie zostały ukończone prace nad Strategią na rzecz Osób Niepełnosprawnych na lata 2018–2030.</w:t>
      </w:r>
    </w:p>
    <w:p w14:paraId="6F2670B5" w14:textId="77777777" w:rsidR="00C91F6E" w:rsidRPr="00EC250C" w:rsidRDefault="00724EF1" w:rsidP="00D131FA">
      <w:pPr>
        <w:pStyle w:val="Styl1"/>
      </w:pPr>
      <w:r w:rsidRPr="00EC250C">
        <w:t>Koniecznym elementem zmian jest ujednolicony system orzekania</w:t>
      </w:r>
      <w:r w:rsidR="00992FD0" w:rsidRPr="00EC250C">
        <w:t xml:space="preserve"> o </w:t>
      </w:r>
      <w:r w:rsidRPr="00EC250C">
        <w:t>niepełnosprawności, który powinien skupiać się na potencjale osoby</w:t>
      </w:r>
      <w:r w:rsidR="00992FD0" w:rsidRPr="00EC250C">
        <w:t xml:space="preserve"> z </w:t>
      </w:r>
      <w:r w:rsidRPr="00EC250C">
        <w:t xml:space="preserve">niepełnosprawnością, nie zaś na jej dysfunkcjach. </w:t>
      </w:r>
      <w:r w:rsidR="001B79A8" w:rsidRPr="00EC250C">
        <w:t>RPO</w:t>
      </w:r>
      <w:r w:rsidRPr="00EC250C">
        <w:t xml:space="preserve"> monitorował prace prowadzone</w:t>
      </w:r>
      <w:r w:rsidR="00992FD0" w:rsidRPr="00EC250C">
        <w:t xml:space="preserve"> w </w:t>
      </w:r>
      <w:r w:rsidRPr="00EC250C">
        <w:t>ramach Międzyresortowego Zespołu do spraw Opracowania Systemu Orzekania</w:t>
      </w:r>
      <w:r w:rsidR="00992FD0" w:rsidRPr="00EC250C">
        <w:t xml:space="preserve"> o </w:t>
      </w:r>
      <w:r w:rsidRPr="00EC250C">
        <w:t>Niepełnosprawności oraz Niezdolności do Pracy,</w:t>
      </w:r>
      <w:r w:rsidR="00992FD0" w:rsidRPr="00EC250C">
        <w:t xml:space="preserve"> a </w:t>
      </w:r>
      <w:r w:rsidRPr="00EC250C">
        <w:t>po ich zakończeniu kontynuuje działania mające na celu uwzględnienie standardów konwencyjnych</w:t>
      </w:r>
      <w:r w:rsidR="00992FD0" w:rsidRPr="00EC250C">
        <w:t xml:space="preserve"> w </w:t>
      </w:r>
      <w:r w:rsidRPr="00EC250C">
        <w:t>rządowych pracach nad projektowanym systemem orzekania</w:t>
      </w:r>
      <w:r w:rsidR="00992FD0" w:rsidRPr="00EC250C">
        <w:t xml:space="preserve"> o </w:t>
      </w:r>
      <w:r w:rsidRPr="00EC250C">
        <w:t>niepełnosprawności.</w:t>
      </w:r>
    </w:p>
    <w:p w14:paraId="30BEB5BC" w14:textId="77777777" w:rsidR="00724EF1" w:rsidRPr="00EC250C" w:rsidRDefault="00724EF1" w:rsidP="00D131FA">
      <w:pPr>
        <w:pStyle w:val="Styl1"/>
      </w:pPr>
      <w:r w:rsidRPr="00EC250C">
        <w:t>Nierozwiązaną kwestią pozostaje opracowanie</w:t>
      </w:r>
      <w:r w:rsidR="00992FD0" w:rsidRPr="00EC250C">
        <w:t xml:space="preserve"> i </w:t>
      </w:r>
      <w:r w:rsidRPr="00EC250C">
        <w:t>przyjęcie planu działania na rzecz deinstytucjonalizacji</w:t>
      </w:r>
      <w:r w:rsidR="00992FD0" w:rsidRPr="00EC250C">
        <w:t xml:space="preserve"> w </w:t>
      </w:r>
      <w:r w:rsidRPr="00EC250C">
        <w:t>celu wspierania niezależnego życia osób</w:t>
      </w:r>
      <w:r w:rsidR="00992FD0" w:rsidRPr="00EC250C">
        <w:t xml:space="preserve"> z </w:t>
      </w:r>
      <w:r w:rsidRPr="00EC250C">
        <w:t>niepełnosprawnościami. Komitet uwzględnił</w:t>
      </w:r>
      <w:r w:rsidR="00992FD0" w:rsidRPr="00EC250C">
        <w:t xml:space="preserve"> w </w:t>
      </w:r>
      <w:r w:rsidRPr="00EC250C">
        <w:t>swoich rekomendacjach dla Polski, że niezbędne jest przyjęcie ram prawnych</w:t>
      </w:r>
      <w:r w:rsidR="00992FD0" w:rsidRPr="00EC250C">
        <w:t xml:space="preserve"> i </w:t>
      </w:r>
      <w:r w:rsidRPr="00EC250C">
        <w:t>przydział stałego budżetu</w:t>
      </w:r>
      <w:r w:rsidR="00992FD0" w:rsidRPr="00EC250C">
        <w:t xml:space="preserve"> w </w:t>
      </w:r>
      <w:r w:rsidRPr="00EC250C">
        <w:t>celu zapewnienia pomocy asystenta osobistego osobom</w:t>
      </w:r>
      <w:r w:rsidR="00992FD0" w:rsidRPr="00EC250C">
        <w:t xml:space="preserve"> z </w:t>
      </w:r>
      <w:r w:rsidRPr="00EC250C">
        <w:t>niepełnosprawnościami</w:t>
      </w:r>
      <w:r w:rsidRPr="00EC250C">
        <w:rPr>
          <w:vertAlign w:val="superscript"/>
        </w:rPr>
        <w:footnoteReference w:id="790"/>
      </w:r>
      <w:r w:rsidRPr="00EC250C">
        <w:t>.</w:t>
      </w:r>
    </w:p>
    <w:p w14:paraId="1F4EA904" w14:textId="77777777" w:rsidR="00C91F6E" w:rsidRPr="00EC250C" w:rsidRDefault="002B32C9" w:rsidP="00D131FA">
      <w:pPr>
        <w:pStyle w:val="Styl1"/>
      </w:pPr>
      <w:r w:rsidRPr="00EC250C">
        <w:t>M</w:t>
      </w:r>
      <w:r w:rsidR="00724EF1" w:rsidRPr="00EC250C">
        <w:t>imo wyroków sądowych uznających prawa rodziców do zwrotu rzeczywistych kosztów samodzielnego dowozu dzieci</w:t>
      </w:r>
      <w:r w:rsidR="00992FD0" w:rsidRPr="00EC250C">
        <w:t xml:space="preserve"> z </w:t>
      </w:r>
      <w:r w:rsidR="00724EF1" w:rsidRPr="00EC250C">
        <w:t>niepełnosprawnościami do przedszkoli, szkół</w:t>
      </w:r>
      <w:r w:rsidR="00992FD0" w:rsidRPr="00EC250C">
        <w:t xml:space="preserve"> i </w:t>
      </w:r>
      <w:r w:rsidR="00724EF1" w:rsidRPr="00EC250C">
        <w:t>placówek oświatowych, zasady tego dowozu pozostają niejednolite.</w:t>
      </w:r>
      <w:r w:rsidRPr="00EC250C">
        <w:t xml:space="preserve"> Tymczasem b</w:t>
      </w:r>
      <w:r w:rsidR="00C21C8F" w:rsidRPr="00EC250C">
        <w:t xml:space="preserve">ez rozwiązania tego problemu nie da się </w:t>
      </w:r>
      <w:r w:rsidR="00724EF1" w:rsidRPr="00EC250C">
        <w:t>wdr</w:t>
      </w:r>
      <w:r w:rsidR="00C21C8F" w:rsidRPr="00EC250C">
        <w:t>o</w:t>
      </w:r>
      <w:r w:rsidR="00724EF1" w:rsidRPr="00EC250C">
        <w:t>ż</w:t>
      </w:r>
      <w:r w:rsidR="00C21C8F" w:rsidRPr="00EC250C">
        <w:t>yć</w:t>
      </w:r>
      <w:r w:rsidR="00724EF1" w:rsidRPr="00EC250C">
        <w:t xml:space="preserve"> edukacji włączającej. Choć Senat podjął prace nad </w:t>
      </w:r>
      <w:r w:rsidRPr="00EC250C">
        <w:t xml:space="preserve">zmianą </w:t>
      </w:r>
      <w:r w:rsidR="00724EF1" w:rsidRPr="00EC250C">
        <w:t>prawa oświatowego odnoszących się do tej kwestii, do czasu jej uchwalenia sytuacja prawna rodziców nadal pozostaje niepewna.</w:t>
      </w:r>
    </w:p>
    <w:p w14:paraId="27B6CF61" w14:textId="77777777" w:rsidR="00724EF1" w:rsidRPr="00EC250C" w:rsidRDefault="00724EF1" w:rsidP="00D131FA">
      <w:pPr>
        <w:pStyle w:val="Styl1"/>
      </w:pPr>
      <w:r w:rsidRPr="00EC250C">
        <w:lastRenderedPageBreak/>
        <w:t>Wciąż nierozstrzygnięta jest także sprawa uchylenia przepisów dotyczących ubezwłasnowolnienia osób</w:t>
      </w:r>
      <w:r w:rsidR="00992FD0" w:rsidRPr="00EC250C">
        <w:t xml:space="preserve"> z </w:t>
      </w:r>
      <w:r w:rsidRPr="00EC250C">
        <w:t>niepełnosprawnościami, pozwalających na pozbawienie poszczególnych osób zdolności do czynności prawnych</w:t>
      </w:r>
      <w:r w:rsidR="00992FD0" w:rsidRPr="00EC250C">
        <w:t xml:space="preserve"> i </w:t>
      </w:r>
      <w:r w:rsidRPr="00EC250C">
        <w:t>ustanowienia</w:t>
      </w:r>
      <w:r w:rsidR="00992FD0" w:rsidRPr="00EC250C">
        <w:t xml:space="preserve"> w </w:t>
      </w:r>
      <w:r w:rsidRPr="00EC250C">
        <w:t>to miejsce mechanizmów wspierania podejmowania decyzji. Problemem</w:t>
      </w:r>
      <w:r w:rsidR="00992FD0" w:rsidRPr="00EC250C">
        <w:t xml:space="preserve"> z </w:t>
      </w:r>
      <w:r w:rsidRPr="00EC250C">
        <w:t>tym związanym jest zniesienie ograniczeń wolności osobistej osób przebywających</w:t>
      </w:r>
      <w:r w:rsidR="00992FD0" w:rsidRPr="00EC250C">
        <w:t xml:space="preserve"> w </w:t>
      </w:r>
      <w:r w:rsidRPr="00EC250C">
        <w:t>domach opieki społecznej.</w:t>
      </w:r>
    </w:p>
    <w:bookmarkEnd w:id="765"/>
    <w:p w14:paraId="2B3E764F" w14:textId="0F16F3B1" w:rsidR="00422600" w:rsidRPr="00EC250C" w:rsidRDefault="00422600" w:rsidP="00EC250C">
      <w:pPr>
        <w:pStyle w:val="Nagwek5"/>
      </w:pPr>
      <w:r w:rsidRPr="00EC250C">
        <w:t>Działalność międzynarodowa RPO</w:t>
      </w:r>
      <w:r w:rsidR="00992FD0" w:rsidRPr="00EC250C">
        <w:t xml:space="preserve"> w </w:t>
      </w:r>
      <w:r w:rsidRPr="00EC250C">
        <w:t>obszarze równego traktowania</w:t>
      </w:r>
      <w:bookmarkEnd w:id="766"/>
    </w:p>
    <w:p w14:paraId="164D85C6" w14:textId="77777777" w:rsidR="00C91F6E" w:rsidRPr="00EC250C" w:rsidRDefault="00422600" w:rsidP="00D131FA">
      <w:pPr>
        <w:pStyle w:val="Styl1"/>
        <w:ind w:firstLine="360"/>
        <w:rPr>
          <w:szCs w:val="24"/>
        </w:rPr>
      </w:pPr>
      <w:r w:rsidRPr="00EC250C">
        <w:rPr>
          <w:szCs w:val="24"/>
        </w:rPr>
        <w:t xml:space="preserve">Rzecznik Praw Obywatelskich jest aktywnym członkiem Europejskiej Sieci Organów ds. Równego Traktowania EQUINET („European Network of Equality Bodies EQUINET”), zrzeszającej 49 krajowych organów </w:t>
      </w:r>
      <w:r w:rsidR="00F945CB" w:rsidRPr="00EC250C">
        <w:rPr>
          <w:szCs w:val="24"/>
        </w:rPr>
        <w:t xml:space="preserve">ds. </w:t>
      </w:r>
      <w:r w:rsidRPr="00EC250C">
        <w:rPr>
          <w:szCs w:val="24"/>
        </w:rPr>
        <w:t>równego traktowania</w:t>
      </w:r>
      <w:r w:rsidR="00992FD0" w:rsidRPr="00EC250C">
        <w:rPr>
          <w:szCs w:val="24"/>
        </w:rPr>
        <w:t xml:space="preserve"> z </w:t>
      </w:r>
      <w:r w:rsidRPr="00EC250C">
        <w:rPr>
          <w:szCs w:val="24"/>
        </w:rPr>
        <w:t xml:space="preserve">36 państw. Organizacja ta </w:t>
      </w:r>
      <w:r w:rsidR="00F945CB" w:rsidRPr="00EC250C">
        <w:rPr>
          <w:szCs w:val="24"/>
        </w:rPr>
        <w:t xml:space="preserve">jest </w:t>
      </w:r>
      <w:r w:rsidRPr="00EC250C">
        <w:rPr>
          <w:szCs w:val="24"/>
        </w:rPr>
        <w:t>platform</w:t>
      </w:r>
      <w:r w:rsidR="00F945CB" w:rsidRPr="00EC250C">
        <w:rPr>
          <w:szCs w:val="24"/>
        </w:rPr>
        <w:t>ą</w:t>
      </w:r>
      <w:r w:rsidRPr="00EC250C">
        <w:rPr>
          <w:szCs w:val="24"/>
        </w:rPr>
        <w:t xml:space="preserve"> współpracy</w:t>
      </w:r>
      <w:r w:rsidR="00992FD0" w:rsidRPr="00EC250C">
        <w:rPr>
          <w:szCs w:val="24"/>
        </w:rPr>
        <w:t xml:space="preserve"> i </w:t>
      </w:r>
      <w:r w:rsidRPr="00EC250C">
        <w:rPr>
          <w:szCs w:val="24"/>
        </w:rPr>
        <w:t>wzajemnego wsparcia</w:t>
      </w:r>
      <w:r w:rsidR="00992FD0" w:rsidRPr="00EC250C">
        <w:rPr>
          <w:szCs w:val="24"/>
        </w:rPr>
        <w:t xml:space="preserve"> w </w:t>
      </w:r>
      <w:r w:rsidRPr="00EC250C">
        <w:rPr>
          <w:szCs w:val="24"/>
        </w:rPr>
        <w:t>kwestiach interpretacji prawnej</w:t>
      </w:r>
      <w:r w:rsidR="00992FD0" w:rsidRPr="00EC250C">
        <w:rPr>
          <w:szCs w:val="24"/>
        </w:rPr>
        <w:t xml:space="preserve"> i </w:t>
      </w:r>
      <w:r w:rsidRPr="00EC250C">
        <w:rPr>
          <w:szCs w:val="24"/>
        </w:rPr>
        <w:t>praktycznej realizacji dyrektyw Unii Europejskiej mających na celu przeciwdziałanie dyskryminacji.</w:t>
      </w:r>
    </w:p>
    <w:p w14:paraId="3711C4F0" w14:textId="77777777" w:rsidR="00422600" w:rsidRPr="00EC250C" w:rsidRDefault="00422600" w:rsidP="00D131FA">
      <w:pPr>
        <w:pStyle w:val="Styl1"/>
        <w:ind w:firstLine="360"/>
        <w:rPr>
          <w:szCs w:val="24"/>
        </w:rPr>
      </w:pPr>
      <w:r w:rsidRPr="00EC250C">
        <w:rPr>
          <w:szCs w:val="24"/>
          <w:lang w:val="en-US"/>
        </w:rPr>
        <w:t>W 2018</w:t>
      </w:r>
      <w:r w:rsidR="00C91F6E" w:rsidRPr="00EC250C">
        <w:rPr>
          <w:szCs w:val="24"/>
          <w:lang w:val="en-US"/>
        </w:rPr>
        <w:t> r.</w:t>
      </w:r>
      <w:r w:rsidRPr="00EC250C">
        <w:rPr>
          <w:szCs w:val="24"/>
          <w:lang w:val="en-US"/>
        </w:rPr>
        <w:t xml:space="preserve"> przedstawiciele RPO wzięli udział</w:t>
      </w:r>
      <w:r w:rsidR="00992FD0" w:rsidRPr="00EC250C">
        <w:rPr>
          <w:szCs w:val="24"/>
          <w:lang w:val="en-US"/>
        </w:rPr>
        <w:t xml:space="preserve"> w </w:t>
      </w:r>
      <w:r w:rsidRPr="00EC250C">
        <w:rPr>
          <w:szCs w:val="24"/>
          <w:lang w:val="en-US"/>
        </w:rPr>
        <w:t>seminariach</w:t>
      </w:r>
      <w:r w:rsidR="00992FD0" w:rsidRPr="00EC250C">
        <w:rPr>
          <w:szCs w:val="24"/>
          <w:lang w:val="en-US"/>
        </w:rPr>
        <w:t xml:space="preserve"> i </w:t>
      </w:r>
      <w:r w:rsidRPr="00EC250C">
        <w:rPr>
          <w:szCs w:val="24"/>
          <w:lang w:val="en-US"/>
        </w:rPr>
        <w:t>konferencjach EQUINET,</w:t>
      </w:r>
      <w:r w:rsidR="00992FD0" w:rsidRPr="00EC250C">
        <w:rPr>
          <w:szCs w:val="24"/>
          <w:lang w:val="en-US"/>
        </w:rPr>
        <w:t xml:space="preserve"> w </w:t>
      </w:r>
      <w:r w:rsidRPr="00EC250C">
        <w:rPr>
          <w:szCs w:val="24"/>
          <w:lang w:val="en-US"/>
        </w:rPr>
        <w:t xml:space="preserve">tym: </w:t>
      </w:r>
      <w:r w:rsidRPr="00EC250C">
        <w:rPr>
          <w:i/>
          <w:szCs w:val="24"/>
          <w:lang w:val="en-US"/>
        </w:rPr>
        <w:t>Poverty and discrimination: two sides of the same coin</w:t>
      </w:r>
      <w:r w:rsidRPr="00EC250C">
        <w:rPr>
          <w:szCs w:val="24"/>
          <w:lang w:val="en-US"/>
        </w:rPr>
        <w:t xml:space="preserve">; </w:t>
      </w:r>
      <w:r w:rsidRPr="00EC250C">
        <w:rPr>
          <w:i/>
          <w:szCs w:val="24"/>
          <w:lang w:val="en-US"/>
        </w:rPr>
        <w:t>Investing in equalityTackling discrimination and ensuring dismissal protection for carers in Europe: strengthening links between equality bodies and labour inspectorates Equality bodies countering ethnic profiling: lessons learned</w:t>
      </w:r>
      <w:r w:rsidRPr="00EC250C">
        <w:rPr>
          <w:szCs w:val="24"/>
          <w:lang w:val="en-US"/>
        </w:rPr>
        <w:t xml:space="preserve">; </w:t>
      </w:r>
      <w:r w:rsidRPr="00EC250C">
        <w:rPr>
          <w:i/>
          <w:szCs w:val="24"/>
          <w:lang w:val="en-US"/>
        </w:rPr>
        <w:t xml:space="preserve">Not on our watch! </w:t>
      </w:r>
      <w:r w:rsidRPr="00EC250C">
        <w:rPr>
          <w:i/>
          <w:szCs w:val="24"/>
        </w:rPr>
        <w:t>Equality bodies fighting hate speech</w:t>
      </w:r>
      <w:r w:rsidRPr="00EC250C">
        <w:rPr>
          <w:szCs w:val="24"/>
        </w:rPr>
        <w:t>.</w:t>
      </w:r>
    </w:p>
    <w:p w14:paraId="3FBCF405" w14:textId="77777777" w:rsidR="00C91F6E" w:rsidRPr="00EC250C" w:rsidRDefault="00422600" w:rsidP="00D131FA">
      <w:pPr>
        <w:pStyle w:val="Styl1"/>
        <w:ind w:firstLine="360"/>
        <w:rPr>
          <w:szCs w:val="24"/>
        </w:rPr>
      </w:pPr>
      <w:r w:rsidRPr="00EC250C">
        <w:rPr>
          <w:szCs w:val="24"/>
        </w:rPr>
        <w:t>Pracownicy Biura Rzecznika brali także udział</w:t>
      </w:r>
      <w:r w:rsidR="00992FD0" w:rsidRPr="00EC250C">
        <w:rPr>
          <w:szCs w:val="24"/>
        </w:rPr>
        <w:t xml:space="preserve"> w </w:t>
      </w:r>
      <w:r w:rsidRPr="00EC250C">
        <w:rPr>
          <w:szCs w:val="24"/>
        </w:rPr>
        <w:t>pracach stałych grup roboczych zajmujących się analizą praktycznego zastosowania przepisów prawa antydyskryminacyjnego</w:t>
      </w:r>
      <w:r w:rsidR="00992FD0" w:rsidRPr="00EC250C">
        <w:rPr>
          <w:szCs w:val="24"/>
        </w:rPr>
        <w:t xml:space="preserve"> w </w:t>
      </w:r>
      <w:r w:rsidRPr="00EC250C">
        <w:rPr>
          <w:szCs w:val="24"/>
        </w:rPr>
        <w:t>państwach członkowskich, równym traktowaniem kobiet</w:t>
      </w:r>
      <w:r w:rsidR="00992FD0" w:rsidRPr="00EC250C">
        <w:rPr>
          <w:szCs w:val="24"/>
        </w:rPr>
        <w:t xml:space="preserve"> i </w:t>
      </w:r>
      <w:r w:rsidRPr="00EC250C">
        <w:rPr>
          <w:szCs w:val="24"/>
        </w:rPr>
        <w:t>mężczyzn</w:t>
      </w:r>
      <w:r w:rsidR="00CC4D88" w:rsidRPr="00EC250C">
        <w:rPr>
          <w:szCs w:val="24"/>
        </w:rPr>
        <w:t xml:space="preserve"> </w:t>
      </w:r>
      <w:r w:rsidRPr="00EC250C">
        <w:rPr>
          <w:szCs w:val="24"/>
        </w:rPr>
        <w:t>oraz antydyskryminacyjną polityką Unii Europejskiej</w:t>
      </w:r>
      <w:r w:rsidR="00817584" w:rsidRPr="00EC250C">
        <w:rPr>
          <w:szCs w:val="24"/>
        </w:rPr>
        <w:t>.</w:t>
      </w:r>
    </w:p>
    <w:p w14:paraId="4EEA2C92" w14:textId="77777777" w:rsidR="00422600" w:rsidRPr="00EC250C" w:rsidRDefault="001B79A8" w:rsidP="00D131FA">
      <w:pPr>
        <w:pStyle w:val="Styl1"/>
        <w:ind w:firstLine="360"/>
        <w:rPr>
          <w:szCs w:val="24"/>
        </w:rPr>
      </w:pPr>
      <w:r w:rsidRPr="00EC250C">
        <w:rPr>
          <w:szCs w:val="24"/>
        </w:rPr>
        <w:t>RPO</w:t>
      </w:r>
      <w:r w:rsidR="00422600" w:rsidRPr="00EC250C">
        <w:rPr>
          <w:szCs w:val="24"/>
        </w:rPr>
        <w:t xml:space="preserve"> współpracuje także</w:t>
      </w:r>
      <w:r w:rsidR="00992FD0" w:rsidRPr="00EC250C">
        <w:rPr>
          <w:szCs w:val="24"/>
        </w:rPr>
        <w:t xml:space="preserve"> z </w:t>
      </w:r>
      <w:r w:rsidR="00422600" w:rsidRPr="00EC250C">
        <w:rPr>
          <w:szCs w:val="24"/>
        </w:rPr>
        <w:t>Europejską Siecią Krajowych Instytucji Praw Człowieka („European Network of National Human Rights Institutions”)</w:t>
      </w:r>
      <w:r w:rsidR="00992FD0" w:rsidRPr="00EC250C">
        <w:rPr>
          <w:szCs w:val="24"/>
        </w:rPr>
        <w:t xml:space="preserve"> w </w:t>
      </w:r>
      <w:r w:rsidR="00422600" w:rsidRPr="00EC250C">
        <w:rPr>
          <w:szCs w:val="24"/>
        </w:rPr>
        <w:t>zakresie ochrony praw osób starszych</w:t>
      </w:r>
      <w:r w:rsidR="00992FD0" w:rsidRPr="00EC250C">
        <w:rPr>
          <w:szCs w:val="24"/>
        </w:rPr>
        <w:t xml:space="preserve"> i </w:t>
      </w:r>
      <w:r w:rsidR="00422600" w:rsidRPr="00EC250C">
        <w:rPr>
          <w:szCs w:val="24"/>
        </w:rPr>
        <w:t>projektowanej na forum Organizacji Narodów Zjednoczonych Konwencji</w:t>
      </w:r>
      <w:r w:rsidR="00992FD0" w:rsidRPr="00EC250C">
        <w:rPr>
          <w:szCs w:val="24"/>
        </w:rPr>
        <w:t xml:space="preserve"> o </w:t>
      </w:r>
      <w:r w:rsidR="00422600" w:rsidRPr="00EC250C">
        <w:rPr>
          <w:szCs w:val="24"/>
        </w:rPr>
        <w:t>prawach osób starszych. W ramach tej współpracy wypracowano m.in. wspólne stanowisko odnośnie do treści normatywnej wybranych obszarów projektu tej umowy międzynarodowej.</w:t>
      </w:r>
    </w:p>
    <w:p w14:paraId="08BCC531" w14:textId="77777777" w:rsidR="002B267E" w:rsidRPr="00EC250C" w:rsidRDefault="00422600" w:rsidP="00D131FA">
      <w:pPr>
        <w:pStyle w:val="Styl1"/>
        <w:ind w:firstLine="360"/>
      </w:pPr>
      <w:r w:rsidRPr="00EC250C">
        <w:rPr>
          <w:szCs w:val="24"/>
        </w:rPr>
        <w:t>We współpracy</w:t>
      </w:r>
      <w:r w:rsidR="00992FD0" w:rsidRPr="00EC250C">
        <w:rPr>
          <w:szCs w:val="24"/>
        </w:rPr>
        <w:t xml:space="preserve"> z </w:t>
      </w:r>
      <w:r w:rsidRPr="00EC250C">
        <w:rPr>
          <w:szCs w:val="24"/>
        </w:rPr>
        <w:t>Biurem Instytucji Demokratycznych</w:t>
      </w:r>
      <w:r w:rsidR="00992FD0" w:rsidRPr="00EC250C">
        <w:rPr>
          <w:szCs w:val="24"/>
        </w:rPr>
        <w:t xml:space="preserve"> i </w:t>
      </w:r>
      <w:r w:rsidRPr="00EC250C">
        <w:rPr>
          <w:szCs w:val="24"/>
        </w:rPr>
        <w:t xml:space="preserve">Praw Człowieka (ODIHR) </w:t>
      </w:r>
      <w:r w:rsidR="00C2648D" w:rsidRPr="00EC250C">
        <w:rPr>
          <w:szCs w:val="24"/>
        </w:rPr>
        <w:t>RPO</w:t>
      </w:r>
      <w:r w:rsidRPr="00EC250C">
        <w:rPr>
          <w:szCs w:val="24"/>
        </w:rPr>
        <w:t xml:space="preserve"> kontynuował działania</w:t>
      </w:r>
      <w:r w:rsidR="00992FD0" w:rsidRPr="00EC250C">
        <w:rPr>
          <w:szCs w:val="24"/>
        </w:rPr>
        <w:t xml:space="preserve"> w </w:t>
      </w:r>
      <w:r w:rsidRPr="00EC250C">
        <w:rPr>
          <w:szCs w:val="24"/>
        </w:rPr>
        <w:t>ramach projektu finansowanego ze środków unijnych pn. „Stworzenie kompleksowego systemu reagowania, na mocy prawa karnego, na przestępstwa</w:t>
      </w:r>
      <w:r w:rsidR="00992FD0" w:rsidRPr="00EC250C">
        <w:rPr>
          <w:szCs w:val="24"/>
        </w:rPr>
        <w:t xml:space="preserve"> z </w:t>
      </w:r>
      <w:r w:rsidRPr="00EC250C">
        <w:rPr>
          <w:szCs w:val="24"/>
        </w:rPr>
        <w:t>nienawiści” (Building</w:t>
      </w:r>
      <w:r w:rsidR="00992FD0" w:rsidRPr="00EC250C">
        <w:rPr>
          <w:szCs w:val="24"/>
        </w:rPr>
        <w:t xml:space="preserve"> a </w:t>
      </w:r>
      <w:r w:rsidRPr="00EC250C">
        <w:rPr>
          <w:szCs w:val="24"/>
        </w:rPr>
        <w:t>comprehensive criminal justice response to hate crime)</w:t>
      </w:r>
      <w:r w:rsidRPr="00EC250C">
        <w:rPr>
          <w:szCs w:val="24"/>
          <w:vertAlign w:val="superscript"/>
        </w:rPr>
        <w:footnoteReference w:id="791"/>
      </w:r>
      <w:r w:rsidRPr="00EC250C">
        <w:rPr>
          <w:szCs w:val="24"/>
        </w:rPr>
        <w:t>.</w:t>
      </w:r>
      <w:r w:rsidR="002B267E" w:rsidRPr="00EC250C">
        <w:br w:type="page"/>
      </w:r>
    </w:p>
    <w:p w14:paraId="4CE5AEB5" w14:textId="77777777" w:rsidR="004E7E94" w:rsidRPr="00EC250C" w:rsidRDefault="004E7E94" w:rsidP="00EC250C">
      <w:pPr>
        <w:pStyle w:val="Nagwek3"/>
      </w:pPr>
      <w:bookmarkStart w:id="793" w:name="_Toc6257997"/>
      <w:bookmarkStart w:id="794" w:name="_Toc6415874"/>
      <w:bookmarkStart w:id="795" w:name="_Toc11247869"/>
      <w:bookmarkStart w:id="796" w:name="_Hlk532895241"/>
      <w:bookmarkStart w:id="797" w:name="_Toc6258064"/>
      <w:r w:rsidRPr="00EC250C">
        <w:lastRenderedPageBreak/>
        <w:t>Wykonywanie przez Rzecznika Praw Obywatelskich zadań Krajowego Mechanizmu Prewencji Tortur</w:t>
      </w:r>
      <w:bookmarkEnd w:id="793"/>
      <w:bookmarkEnd w:id="794"/>
      <w:bookmarkEnd w:id="795"/>
    </w:p>
    <w:bookmarkEnd w:id="796"/>
    <w:p w14:paraId="226C41A7" w14:textId="77777777" w:rsidR="004E7E94" w:rsidRPr="00EC250C" w:rsidRDefault="004E7E94" w:rsidP="00D131FA">
      <w:pPr>
        <w:pStyle w:val="konstytucja"/>
        <w:jc w:val="both"/>
      </w:pPr>
      <w:r w:rsidRPr="00EC250C">
        <w:t>„Nikt nie może być poddany torturom ani nieludzkiemu lub poniżającemu traktowaniu albo karaniu”</w:t>
      </w:r>
      <w:r w:rsidR="00026572" w:rsidRPr="00EC250C">
        <w:t xml:space="preserve"> – </w:t>
      </w:r>
      <w:r w:rsidRPr="00EC250C">
        <w:t>art. 3 Europejskiej Konwencji Praw Człowieka</w:t>
      </w:r>
      <w:r w:rsidR="00992FD0" w:rsidRPr="00EC250C">
        <w:t xml:space="preserve"> i </w:t>
      </w:r>
      <w:r w:rsidRPr="00EC250C">
        <w:t>Podstawowych Wolności</w:t>
      </w:r>
    </w:p>
    <w:p w14:paraId="2E1F6CB9" w14:textId="77777777" w:rsidR="00C91F6E" w:rsidRPr="00EC250C" w:rsidRDefault="004E7E94" w:rsidP="00D131FA">
      <w:pPr>
        <w:pStyle w:val="ComwiKonstytucja"/>
      </w:pPr>
      <w:r w:rsidRPr="00EC250C">
        <w:t>Zakaz stosowania tortur ma charakter bezwzględny, tym samym żadne okoliczności nie usprawiedliwiają ich stosowania.</w:t>
      </w:r>
    </w:p>
    <w:p w14:paraId="069AD2DF" w14:textId="53CD801F" w:rsidR="00FF128F" w:rsidRPr="00EC250C" w:rsidRDefault="00FF128F" w:rsidP="00D131FA">
      <w:pPr>
        <w:pStyle w:val="ComwiKonstytucja"/>
      </w:pPr>
      <w:r w:rsidRPr="00EC250C">
        <w:t>Rzecznik Praw Obywatelskich wykonuje</w:t>
      </w:r>
      <w:r w:rsidR="00992FD0" w:rsidRPr="00EC250C">
        <w:t xml:space="preserve"> w </w:t>
      </w:r>
      <w:r w:rsidRPr="00EC250C">
        <w:t>Polsce zadania Krajowego Mechanizmu Prewencji Tortur. Podstawą prawną sprawowania mandatu KMPT jest Protokół fakultatywnego do ratyfikowanej przez Polskę Konwencji ONZ</w:t>
      </w:r>
      <w:r w:rsidR="00992FD0" w:rsidRPr="00EC250C">
        <w:t xml:space="preserve"> w </w:t>
      </w:r>
      <w:r w:rsidRPr="00EC250C">
        <w:t>sprawie zakazu stosowania tortur oraz innego okrutnego, nieludzkiego lub poniżającego traktowania albo karania.</w:t>
      </w:r>
    </w:p>
    <w:p w14:paraId="7C986A6F" w14:textId="77777777" w:rsidR="004E7E94" w:rsidRPr="00EC250C" w:rsidRDefault="004E7E94" w:rsidP="00D131FA">
      <w:pPr>
        <w:pStyle w:val="ComwiKonstytucja"/>
      </w:pPr>
      <w:r w:rsidRPr="00EC250C">
        <w:t>Rzecznik wykonuje funkcję organu wizytującego do spraw zapobiegania torturom</w:t>
      </w:r>
      <w:r w:rsidR="00992FD0" w:rsidRPr="00EC250C">
        <w:t xml:space="preserve"> i </w:t>
      </w:r>
      <w:r w:rsidRPr="00EC250C">
        <w:t>innemu okrutnemu, nieludzkiemu lub poniżającemu traktowaniu albo karaniu na mocy postanowień</w:t>
      </w:r>
      <w:r w:rsidR="00DE3FA7" w:rsidRPr="00EC250C">
        <w:rPr>
          <w:rStyle w:val="Odwoanieprzypisudolnego"/>
        </w:rPr>
        <w:footnoteReference w:id="792"/>
      </w:r>
      <w:r w:rsidRPr="00EC250C">
        <w:t>.</w:t>
      </w:r>
    </w:p>
    <w:p w14:paraId="480CA12D" w14:textId="5739D70B" w:rsidR="004E7E94" w:rsidRDefault="004E7E94" w:rsidP="00D131FA">
      <w:pPr>
        <w:pStyle w:val="Styl1"/>
      </w:pPr>
    </w:p>
    <w:p w14:paraId="60FBAACB" w14:textId="77777777" w:rsidR="00D92FD3" w:rsidRPr="00EC250C" w:rsidRDefault="00D92FD3" w:rsidP="00D131FA">
      <w:pPr>
        <w:pStyle w:val="Styl1"/>
      </w:pPr>
    </w:p>
    <w:p w14:paraId="27901364" w14:textId="77777777" w:rsidR="00A012BF" w:rsidRPr="00EC250C" w:rsidRDefault="002B32C9" w:rsidP="00D131FA">
      <w:pPr>
        <w:pStyle w:val="Styl1"/>
      </w:pPr>
      <w:r w:rsidRPr="00EC250C">
        <w:t xml:space="preserve">Osoby przebywające w zamknięciu, w miejscach pozbawienia wolności są bardziej narażone na różnego rodzaju nadużycia. </w:t>
      </w:r>
      <w:r w:rsidR="00A012BF" w:rsidRPr="00EC250C">
        <w:t>Mogą one wynikać m.in. z polityki kryminalnej państwa, niewystarczających środków finansowych na zapewnienie odpowiednich warunków, niewłaściwego przygotowania pracowników, czy braku odpowiedniego nadzoru.</w:t>
      </w:r>
    </w:p>
    <w:p w14:paraId="5D44A736" w14:textId="77777777" w:rsidR="00C91F6E" w:rsidRPr="00EC250C" w:rsidRDefault="004E7E94" w:rsidP="00D131FA">
      <w:pPr>
        <w:pStyle w:val="Styl1"/>
      </w:pPr>
      <w:r w:rsidRPr="00EC250C">
        <w:t>Mechanizm regularnych wizytacji miejsc zatrzymań ma więc swój głęboki sens</w:t>
      </w:r>
      <w:r w:rsidR="00992FD0" w:rsidRPr="00EC250C">
        <w:t xml:space="preserve"> i </w:t>
      </w:r>
      <w:r w:rsidRPr="00EC250C">
        <w:t>jest uważany za jeden</w:t>
      </w:r>
      <w:r w:rsidR="00992FD0" w:rsidRPr="00EC250C">
        <w:t xml:space="preserve"> z </w:t>
      </w:r>
      <w:r w:rsidRPr="00EC250C">
        <w:t>najefektywniejszych środków zapobiegania torturom</w:t>
      </w:r>
      <w:r w:rsidR="00992FD0" w:rsidRPr="00EC250C">
        <w:t xml:space="preserve"> i </w:t>
      </w:r>
      <w:r w:rsidRPr="00EC250C">
        <w:t>innym niedozwolonym formom traktowania osób pozbawionych wolności.</w:t>
      </w:r>
    </w:p>
    <w:p w14:paraId="2DCFB230" w14:textId="77777777" w:rsidR="004E7E94" w:rsidRPr="00EC250C" w:rsidRDefault="004E7E94" w:rsidP="00EC250C">
      <w:pPr>
        <w:pStyle w:val="Nagwek5"/>
        <w:rPr>
          <w:u w:val="single"/>
        </w:rPr>
      </w:pPr>
      <w:bookmarkStart w:id="798" w:name="_Toc6257999"/>
      <w:r w:rsidRPr="00EC250C">
        <w:t>Wizytacje</w:t>
      </w:r>
      <w:r w:rsidRPr="00EC250C">
        <w:rPr>
          <w:u w:val="single"/>
        </w:rPr>
        <w:t xml:space="preserve"> </w:t>
      </w:r>
      <w:r w:rsidRPr="00EC250C">
        <w:t>prewencyjne</w:t>
      </w:r>
      <w:bookmarkEnd w:id="798"/>
      <w:r w:rsidR="00A012BF" w:rsidRPr="00EC250C">
        <w:t xml:space="preserve"> KMPT</w:t>
      </w:r>
    </w:p>
    <w:p w14:paraId="13F3A0AD" w14:textId="77777777" w:rsidR="00A012BF" w:rsidRPr="00EC250C" w:rsidRDefault="00FF128F" w:rsidP="00D131FA">
      <w:pPr>
        <w:pStyle w:val="Styl1"/>
      </w:pPr>
      <w:r w:rsidRPr="00EC250C">
        <w:t>Rok 2018 był jedenastym rokiem wykonywania przez RPO zadań krajowego mechanizmu prewencji</w:t>
      </w:r>
      <w:r w:rsidR="00A012BF" w:rsidRPr="00EC250C">
        <w:t xml:space="preserve"> tortur</w:t>
      </w:r>
      <w:r w:rsidRPr="00EC250C">
        <w:t>. Jego przedstawiciele przeprowadzili 82 niezapowiedziane wizytacje różn</w:t>
      </w:r>
      <w:r w:rsidR="00A012BF" w:rsidRPr="00EC250C">
        <w:t>ych</w:t>
      </w:r>
      <w:r w:rsidRPr="00EC250C">
        <w:t xml:space="preserve"> miejsc detencji. Wizytacjami objęte są również państwowe oraz prywatne placówki całodobowej opieki</w:t>
      </w:r>
      <w:r w:rsidR="00992FD0" w:rsidRPr="00EC250C">
        <w:t xml:space="preserve"> i </w:t>
      </w:r>
      <w:r w:rsidRPr="00EC250C">
        <w:t xml:space="preserve">zakłady opiekuńczo – lecznicze. </w:t>
      </w:r>
    </w:p>
    <w:p w14:paraId="0467BA09" w14:textId="77777777" w:rsidR="004E7E94" w:rsidRPr="00EC250C" w:rsidRDefault="00FF128F" w:rsidP="00D131FA">
      <w:pPr>
        <w:pStyle w:val="Problemczowieka"/>
        <w:jc w:val="both"/>
      </w:pPr>
      <w:r w:rsidRPr="00EC250C">
        <w:t>Liczba miejsc znajdujących się</w:t>
      </w:r>
      <w:r w:rsidR="00992FD0" w:rsidRPr="00EC250C">
        <w:t xml:space="preserve"> w </w:t>
      </w:r>
      <w:r w:rsidRPr="00EC250C">
        <w:t>mandacie KMPT wynosi ponad 3 tys.</w:t>
      </w:r>
    </w:p>
    <w:p w14:paraId="1A588CB1" w14:textId="77777777" w:rsidR="00FF128F" w:rsidRPr="00EC250C" w:rsidRDefault="004E7E94" w:rsidP="00D131FA">
      <w:pPr>
        <w:pStyle w:val="Styl1"/>
      </w:pPr>
      <w:r w:rsidRPr="00EC250C">
        <w:t>Działalność Mechanizmu była realizowana przez wyspecjalizowany zespół merytoryczny Biura RPO,</w:t>
      </w:r>
      <w:r w:rsidR="00992FD0" w:rsidRPr="00EC250C">
        <w:t xml:space="preserve"> w </w:t>
      </w:r>
      <w:r w:rsidRPr="00EC250C">
        <w:t xml:space="preserve">którego skład wchodziło 10 osób. Wsparcie Zespołu stanowili również pracownicy </w:t>
      </w:r>
      <w:r w:rsidRPr="00EC250C">
        <w:lastRenderedPageBreak/>
        <w:t>Biur Pełnomocników Terenowych RPO</w:t>
      </w:r>
      <w:r w:rsidR="00992FD0" w:rsidRPr="00EC250C">
        <w:t xml:space="preserve"> z </w:t>
      </w:r>
      <w:r w:rsidRPr="00EC250C">
        <w:t xml:space="preserve">Gdańska, Wrocławia oraz Katowic. Oprócz pracowników Biura </w:t>
      </w:r>
      <w:r w:rsidR="00A012BF" w:rsidRPr="00EC250C">
        <w:t xml:space="preserve">RPO </w:t>
      </w:r>
      <w:r w:rsidRPr="00EC250C">
        <w:t>Krajowy Mechanizm Prewencji Tortur tworzą eksperci</w:t>
      </w:r>
      <w:r w:rsidR="00992FD0" w:rsidRPr="00EC250C">
        <w:t xml:space="preserve"> z </w:t>
      </w:r>
      <w:r w:rsidRPr="00EC250C">
        <w:t xml:space="preserve">Komisji Ekspertów przy KMPT oraz eksperci zewnętrzni. </w:t>
      </w:r>
      <w:r w:rsidR="00FF128F" w:rsidRPr="00EC250C">
        <w:t>W wizytacjach prewencyjnych</w:t>
      </w:r>
      <w:r w:rsidR="00992FD0" w:rsidRPr="00EC250C">
        <w:t xml:space="preserve"> w </w:t>
      </w:r>
      <w:r w:rsidR="00FF128F" w:rsidRPr="00EC250C">
        <w:t>ośrodkach strzeżonych dla cudzoziemców bierze udział przedstawiciel Wydziału Praw Migrantów</w:t>
      </w:r>
      <w:r w:rsidR="00992FD0" w:rsidRPr="00EC250C">
        <w:t xml:space="preserve"> i </w:t>
      </w:r>
      <w:r w:rsidR="00FF128F" w:rsidRPr="00EC250C">
        <w:t>Mniejszości Narodowych BRPO.</w:t>
      </w:r>
    </w:p>
    <w:p w14:paraId="521A163A" w14:textId="77777777" w:rsidR="004E7E94" w:rsidRPr="00EC250C" w:rsidRDefault="004E7E94" w:rsidP="00D131FA">
      <w:pPr>
        <w:pStyle w:val="Styl1"/>
      </w:pPr>
      <w:r w:rsidRPr="00EC250C">
        <w:t>Krajowy Mechanizm Prewencji współpracuje</w:t>
      </w:r>
      <w:r w:rsidR="00992FD0" w:rsidRPr="00EC250C">
        <w:t xml:space="preserve"> z </w:t>
      </w:r>
      <w:r w:rsidRPr="00EC250C">
        <w:t>Zespołem ds. Wykonywania Kar</w:t>
      </w:r>
      <w:r w:rsidR="00992FD0" w:rsidRPr="00EC250C">
        <w:t xml:space="preserve"> w </w:t>
      </w:r>
      <w:r w:rsidRPr="00EC250C">
        <w:t>Biurze RPO</w:t>
      </w:r>
      <w:r w:rsidR="00A012BF" w:rsidRPr="00EC250C">
        <w:t xml:space="preserve"> wymieniając </w:t>
      </w:r>
      <w:r w:rsidRPr="00EC250C">
        <w:t>doświadcze</w:t>
      </w:r>
      <w:r w:rsidR="00A012BF" w:rsidRPr="00EC250C">
        <w:t>nia</w:t>
      </w:r>
      <w:r w:rsidR="00992FD0" w:rsidRPr="00EC250C">
        <w:t xml:space="preserve"> z </w:t>
      </w:r>
      <w:r w:rsidRPr="00EC250C">
        <w:t>zakresu stanu przestrzegania praw osób pozbawionych wolności. Przedstawiciele KMPT wraz</w:t>
      </w:r>
      <w:r w:rsidR="00992FD0" w:rsidRPr="00EC250C">
        <w:t xml:space="preserve"> z </w:t>
      </w:r>
      <w:r w:rsidRPr="00EC250C">
        <w:t>pracownikami Zespołu ds. Wykonywania Kar odbywają cykliczne spotkania</w:t>
      </w:r>
      <w:r w:rsidR="00992FD0" w:rsidRPr="00EC250C">
        <w:t xml:space="preserve"> z </w:t>
      </w:r>
      <w:r w:rsidRPr="00EC250C">
        <w:t>przedstawicielami Centralnego Zarządu Służby Więziennej, podczas których prowadzone są rozmowy dotyczące problemów sygnalizowanych</w:t>
      </w:r>
      <w:r w:rsidR="00992FD0" w:rsidRPr="00EC250C">
        <w:t xml:space="preserve"> w </w:t>
      </w:r>
      <w:r w:rsidRPr="00EC250C">
        <w:t>skargach przez więźniów oraz ujawnianych podczas wizytacji prewencyjnych KMPT.</w:t>
      </w:r>
    </w:p>
    <w:p w14:paraId="4DD38430" w14:textId="77777777" w:rsidR="00FF128F" w:rsidRPr="00EC250C" w:rsidRDefault="00FF128F" w:rsidP="00D131FA">
      <w:pPr>
        <w:pStyle w:val="Styl1"/>
      </w:pPr>
      <w:r w:rsidRPr="00EC250C">
        <w:t>Począwszy od 2016</w:t>
      </w:r>
      <w:r w:rsidR="00C91F6E" w:rsidRPr="00EC250C">
        <w:t> r.</w:t>
      </w:r>
      <w:r w:rsidRPr="00EC250C">
        <w:t xml:space="preserve"> przedstawiciele Krajowego Mechanizmu Prewencji Tortur jeżdżą do aresztów śledczych</w:t>
      </w:r>
      <w:r w:rsidR="00992FD0" w:rsidRPr="00EC250C">
        <w:t xml:space="preserve"> i </w:t>
      </w:r>
      <w:r w:rsidRPr="00EC250C">
        <w:t>zakładów karnych</w:t>
      </w:r>
      <w:r w:rsidR="00992FD0" w:rsidRPr="00EC250C">
        <w:t xml:space="preserve"> z </w:t>
      </w:r>
      <w:r w:rsidRPr="00EC250C">
        <w:t>przedstawicielem Wydziału ds. Żołnierzy</w:t>
      </w:r>
      <w:r w:rsidR="00992FD0" w:rsidRPr="00EC250C">
        <w:t xml:space="preserve"> i </w:t>
      </w:r>
      <w:r w:rsidRPr="00EC250C">
        <w:t xml:space="preserve">Funkcjonariuszy BRPO. Pracownicy KMPT sprawdzają traktowanie więźniów pod kątem przeciwdziałania torturom. </w:t>
      </w:r>
      <w:r w:rsidR="004B2152" w:rsidRPr="00EC250C">
        <w:t>W tym czasie funkcjonariusze Służby Więziennej mogą zgłosić problemy związane z wykonywaniem obowiązków służbowych p</w:t>
      </w:r>
      <w:r w:rsidRPr="00EC250C">
        <w:t>rzedstawiciel</w:t>
      </w:r>
      <w:r w:rsidR="004B2152" w:rsidRPr="00EC250C">
        <w:t>owi</w:t>
      </w:r>
      <w:r w:rsidRPr="00EC250C">
        <w:t xml:space="preserve"> Wydziału ds. Żołnierzy</w:t>
      </w:r>
      <w:r w:rsidR="00992FD0" w:rsidRPr="00EC250C">
        <w:t xml:space="preserve"> i </w:t>
      </w:r>
      <w:r w:rsidRPr="00EC250C">
        <w:t>Funkcjonariuszy.</w:t>
      </w:r>
    </w:p>
    <w:p w14:paraId="46830C77" w14:textId="77777777" w:rsidR="00C91F6E" w:rsidRPr="00EC250C" w:rsidRDefault="004E7E94" w:rsidP="00D131FA">
      <w:pPr>
        <w:pStyle w:val="Styl1"/>
      </w:pPr>
      <w:r w:rsidRPr="00EC250C">
        <w:t>Podczas jednej</w:t>
      </w:r>
      <w:r w:rsidR="00992FD0" w:rsidRPr="00EC250C">
        <w:t xml:space="preserve"> z </w:t>
      </w:r>
      <w:r w:rsidRPr="00EC250C">
        <w:t>niezapowiedzianych wizytacji pomieszczenia dla osób zatrzymanych Komendy Powiatowej Policji</w:t>
      </w:r>
      <w:r w:rsidR="00992FD0" w:rsidRPr="00EC250C">
        <w:t xml:space="preserve"> w </w:t>
      </w:r>
      <w:r w:rsidRPr="00EC250C">
        <w:t>Rykach przedstawiciele KMPT napotkali osadzonego 70-letniego mężczyznę, który został pobity przez funkcjonariuszy policji podczas przesłuchania na komisariacie. Mimo że zgłaszał policjantom problemy ze zdrowiem</w:t>
      </w:r>
      <w:r w:rsidR="00992FD0" w:rsidRPr="00EC250C">
        <w:t xml:space="preserve"> i </w:t>
      </w:r>
      <w:r w:rsidRPr="00EC250C">
        <w:t>prosił</w:t>
      </w:r>
      <w:r w:rsidR="00992FD0" w:rsidRPr="00EC250C">
        <w:t xml:space="preserve"> o </w:t>
      </w:r>
      <w:r w:rsidRPr="00EC250C">
        <w:t>wezwanie pogotowia, został osadzony</w:t>
      </w:r>
      <w:r w:rsidR="00992FD0" w:rsidRPr="00EC250C">
        <w:t xml:space="preserve"> w </w:t>
      </w:r>
      <w:r w:rsidRPr="00EC250C">
        <w:t>pomieszczeniu dla osób zatrzymanych bez badań lekarskich.</w:t>
      </w:r>
    </w:p>
    <w:p w14:paraId="2C8201B4" w14:textId="77777777" w:rsidR="004E7E94" w:rsidRPr="00EC250C" w:rsidRDefault="004E7E94" w:rsidP="00D131FA">
      <w:pPr>
        <w:pStyle w:val="Styl1"/>
      </w:pPr>
      <w:r w:rsidRPr="00EC250C">
        <w:t>Sprawa jest szczególnie bulwersująca, gdyż jak przyznał pobity mężczyzna</w:t>
      </w:r>
      <w:r w:rsidR="00992FD0" w:rsidRPr="00EC250C">
        <w:t xml:space="preserve"> w </w:t>
      </w:r>
      <w:r w:rsidRPr="00EC250C">
        <w:t xml:space="preserve">całym zdarzeniu brał udział </w:t>
      </w:r>
      <w:r w:rsidR="004B2152" w:rsidRPr="00EC250C">
        <w:t>z</w:t>
      </w:r>
      <w:r w:rsidRPr="00EC250C">
        <w:t xml:space="preserve">astępca Komendanta. </w:t>
      </w:r>
      <w:r w:rsidR="001B79A8" w:rsidRPr="00EC250C">
        <w:t>RPO</w:t>
      </w:r>
      <w:r w:rsidRPr="00EC250C">
        <w:t xml:space="preserve"> złożył zawiadomienie</w:t>
      </w:r>
      <w:r w:rsidR="00992FD0" w:rsidRPr="00EC250C">
        <w:t xml:space="preserve"> o </w:t>
      </w:r>
      <w:r w:rsidRPr="00EC250C">
        <w:t>możliwości popełnienia przestępstwa przez funkcjonariuszy Policji. Opisany przypadek stanowi przykład stosowania tortur przez funkcjonariusza Policji.</w:t>
      </w:r>
    </w:p>
    <w:p w14:paraId="12883361" w14:textId="77777777" w:rsidR="004B2152" w:rsidRPr="00EC250C" w:rsidRDefault="004B2152" w:rsidP="00D131FA">
      <w:pPr>
        <w:pStyle w:val="ODESANIE"/>
        <w:jc w:val="both"/>
      </w:pPr>
      <w:r w:rsidRPr="00EC250C">
        <w:t>Więcej o tej sprawie  w kontekście art. 40 Konstytucji</w:t>
      </w:r>
    </w:p>
    <w:p w14:paraId="0E27D3AD" w14:textId="77777777" w:rsidR="004E7E94" w:rsidRPr="00EC250C" w:rsidRDefault="004E7E94" w:rsidP="00EC250C">
      <w:pPr>
        <w:pStyle w:val="Nagwek5"/>
      </w:pPr>
      <w:bookmarkStart w:id="799" w:name="_Toc6258000"/>
      <w:r w:rsidRPr="00EC250C">
        <w:t>Wystąpienia generalne</w:t>
      </w:r>
      <w:bookmarkEnd w:id="799"/>
    </w:p>
    <w:p w14:paraId="28F0599C" w14:textId="77777777" w:rsidR="00C91F6E" w:rsidRPr="00EC250C" w:rsidRDefault="004E7E94" w:rsidP="00D131FA">
      <w:pPr>
        <w:pStyle w:val="Styl1"/>
      </w:pPr>
      <w:r w:rsidRPr="00EC250C">
        <w:t>W 2018</w:t>
      </w:r>
      <w:r w:rsidR="00C91F6E" w:rsidRPr="00EC250C">
        <w:t> r.</w:t>
      </w:r>
      <w:r w:rsidR="00992FD0" w:rsidRPr="00EC250C">
        <w:t xml:space="preserve"> w </w:t>
      </w:r>
      <w:r w:rsidRPr="00EC250C">
        <w:t xml:space="preserve">wystąpieniu do Prezesa Rady Ministrów </w:t>
      </w:r>
      <w:r w:rsidR="001B79A8" w:rsidRPr="00EC250C">
        <w:t>RPO</w:t>
      </w:r>
      <w:r w:rsidRPr="00EC250C">
        <w:t xml:space="preserve"> zwrócił uwagę na konieczność wprowadzenia środków prawnych służących ochronie sygnalistów</w:t>
      </w:r>
      <w:r w:rsidR="00992FD0" w:rsidRPr="00EC250C">
        <w:t xml:space="preserve"> w </w:t>
      </w:r>
      <w:r w:rsidRPr="00EC250C">
        <w:t>służbach mundurowych</w:t>
      </w:r>
      <w:r w:rsidR="00992FD0" w:rsidRPr="00EC250C">
        <w:t xml:space="preserve"> i </w:t>
      </w:r>
      <w:r w:rsidRPr="00EC250C">
        <w:t>służbach specjalnych (</w:t>
      </w:r>
      <w:r w:rsidRPr="00EC250C">
        <w:rPr>
          <w:i/>
        </w:rPr>
        <w:t>ang. whistle-blower</w:t>
      </w:r>
      <w:r w:rsidRPr="00EC250C">
        <w:t>) jako mechanizmu chroniącego przed torturami. Obecne regulacje prawne są</w:t>
      </w:r>
      <w:r w:rsidR="00992FD0" w:rsidRPr="00EC250C">
        <w:t xml:space="preserve"> w </w:t>
      </w:r>
      <w:r w:rsidRPr="00EC250C">
        <w:t>ocenie Rzecznika niewystarczające</w:t>
      </w:r>
      <w:r w:rsidR="00992FD0" w:rsidRPr="00EC250C">
        <w:t xml:space="preserve"> i </w:t>
      </w:r>
      <w:r w:rsidRPr="00EC250C">
        <w:t>wymagają wzmocnienia</w:t>
      </w:r>
      <w:r w:rsidRPr="00EC250C">
        <w:rPr>
          <w:vertAlign w:val="superscript"/>
        </w:rPr>
        <w:footnoteReference w:id="793"/>
      </w:r>
      <w:r w:rsidRPr="00EC250C">
        <w:t xml:space="preserve">. </w:t>
      </w:r>
      <w:r w:rsidRPr="00EC250C">
        <w:lastRenderedPageBreak/>
        <w:t>Inicjatywę tę poparł Minister Spraw Wewnętrznych</w:t>
      </w:r>
      <w:r w:rsidR="00992FD0" w:rsidRPr="00EC250C">
        <w:t xml:space="preserve"> i </w:t>
      </w:r>
      <w:r w:rsidRPr="00EC250C">
        <w:t>Administracji, który poinformował RPO</w:t>
      </w:r>
      <w:r w:rsidR="00992FD0" w:rsidRPr="00EC250C">
        <w:t xml:space="preserve"> o </w:t>
      </w:r>
      <w:r w:rsidRPr="00EC250C">
        <w:t>konieczności przyjęcia kompleksowego rozwiązania</w:t>
      </w:r>
      <w:r w:rsidR="00992FD0" w:rsidRPr="00EC250C">
        <w:t xml:space="preserve"> w </w:t>
      </w:r>
      <w:r w:rsidRPr="00EC250C">
        <w:t>omawianym obszarze.</w:t>
      </w:r>
    </w:p>
    <w:p w14:paraId="27AA6D45" w14:textId="77777777" w:rsidR="004E7E94" w:rsidRPr="00EC250C" w:rsidRDefault="004E7E94" w:rsidP="00D131FA">
      <w:pPr>
        <w:pStyle w:val="Styl1"/>
      </w:pPr>
      <w:r w:rsidRPr="00EC250C">
        <w:rPr>
          <w:bCs/>
        </w:rPr>
        <w:t>Po raz kolejny Rzecznik zwrócił się do Ministra Sprawiedliwości</w:t>
      </w:r>
      <w:r w:rsidR="00992FD0" w:rsidRPr="00EC250C">
        <w:rPr>
          <w:bCs/>
        </w:rPr>
        <w:t xml:space="preserve"> o </w:t>
      </w:r>
      <w:r w:rsidRPr="00EC250C">
        <w:rPr>
          <w:bCs/>
        </w:rPr>
        <w:t>wprowadzenie do polskiego prawa definicji tortur oraz</w:t>
      </w:r>
      <w:r w:rsidRPr="00EC250C">
        <w:rPr>
          <w:b/>
          <w:bCs/>
        </w:rPr>
        <w:t xml:space="preserve"> </w:t>
      </w:r>
      <w:r w:rsidRPr="00EC250C">
        <w:t>określenia kar za ich stosowanie</w:t>
      </w:r>
      <w:r w:rsidRPr="00EC250C">
        <w:rPr>
          <w:vertAlign w:val="superscript"/>
        </w:rPr>
        <w:footnoteReference w:id="794"/>
      </w:r>
      <w:r w:rsidRPr="00EC250C">
        <w:t>. W związku</w:t>
      </w:r>
      <w:r w:rsidR="00992FD0" w:rsidRPr="00EC250C">
        <w:t xml:space="preserve"> z </w:t>
      </w:r>
      <w:r w:rsidRPr="00EC250C">
        <w:t>dotychczasowym stanowiskiem Ministerstwa, iż polskie uregulowania prawnokarne</w:t>
      </w:r>
      <w:r w:rsidR="00992FD0" w:rsidRPr="00EC250C">
        <w:t xml:space="preserve"> w </w:t>
      </w:r>
      <w:r w:rsidRPr="00EC250C">
        <w:t xml:space="preserve">tym zakresie są wystarczające dla realizacji zobowiązań międzynarodowych, </w:t>
      </w:r>
      <w:r w:rsidR="00C2648D" w:rsidRPr="00EC250C">
        <w:t>RPO</w:t>
      </w:r>
      <w:r w:rsidR="00992FD0" w:rsidRPr="00EC250C">
        <w:t xml:space="preserve"> w </w:t>
      </w:r>
      <w:r w:rsidRPr="00EC250C">
        <w:t>wystąpieniu przedstawił przypadki tortur oraz innych form złego traktowania</w:t>
      </w:r>
      <w:r w:rsidR="00992FD0" w:rsidRPr="00EC250C">
        <w:t xml:space="preserve"> w </w:t>
      </w:r>
      <w:r w:rsidRPr="00EC250C">
        <w:t>Polsce zdiagnozowane przez KMPT, jak również rekomendacje instytucji</w:t>
      </w:r>
      <w:r w:rsidR="00992FD0" w:rsidRPr="00EC250C">
        <w:t xml:space="preserve"> i </w:t>
      </w:r>
      <w:r w:rsidRPr="00EC250C">
        <w:t>organizacji międzynarodowych</w:t>
      </w:r>
      <w:r w:rsidR="00992FD0" w:rsidRPr="00EC250C">
        <w:t xml:space="preserve"> w </w:t>
      </w:r>
      <w:r w:rsidRPr="00EC250C">
        <w:t>zakresie kryminalizacji tortur</w:t>
      </w:r>
      <w:r w:rsidRPr="00EC250C">
        <w:rPr>
          <w:vertAlign w:val="superscript"/>
        </w:rPr>
        <w:footnoteReference w:id="795"/>
      </w:r>
      <w:r w:rsidRPr="00EC250C">
        <w:t>.</w:t>
      </w:r>
    </w:p>
    <w:p w14:paraId="502EC15D" w14:textId="77777777" w:rsidR="004E7E94" w:rsidRPr="00EC250C" w:rsidRDefault="004E7E94" w:rsidP="00D131FA">
      <w:pPr>
        <w:pStyle w:val="Styl1"/>
      </w:pPr>
      <w:r w:rsidRPr="00EC250C">
        <w:t>Podczas wizytacji zakładów opiekuńczo-leczniczych pracownicy Mechanizmu ujawnili problem braku regulacji prawnej dotyczącej zasad przyjęć do tych placówek pełnoletnich osób nieubezwłasnowolnionych, które</w:t>
      </w:r>
      <w:r w:rsidR="00992FD0" w:rsidRPr="00EC250C">
        <w:t xml:space="preserve"> w </w:t>
      </w:r>
      <w:r w:rsidRPr="00EC250C">
        <w:t>związku ze swoim stanem zdrowia nie są</w:t>
      </w:r>
      <w:r w:rsidR="00992FD0" w:rsidRPr="00EC250C">
        <w:t xml:space="preserve"> w </w:t>
      </w:r>
      <w:r w:rsidRPr="00EC250C">
        <w:t>stanie samodzielnie podpisać wniosku</w:t>
      </w:r>
      <w:r w:rsidR="00992FD0" w:rsidRPr="00EC250C">
        <w:t xml:space="preserve"> o </w:t>
      </w:r>
      <w:r w:rsidRPr="00EC250C">
        <w:t>przyjęcie,</w:t>
      </w:r>
      <w:r w:rsidR="00992FD0" w:rsidRPr="00EC250C">
        <w:t xml:space="preserve"> a </w:t>
      </w:r>
      <w:r w:rsidRPr="00EC250C">
        <w:t>jednocześnie nie mają ustanowionych przedstawicieli ustawowych, którzy mogliby tego obowiązku dopełnić. W związku</w:t>
      </w:r>
      <w:r w:rsidR="00992FD0" w:rsidRPr="00EC250C">
        <w:t xml:space="preserve"> z </w:t>
      </w:r>
      <w:r w:rsidRPr="00EC250C">
        <w:t xml:space="preserve">tym, </w:t>
      </w:r>
      <w:r w:rsidR="00C2648D" w:rsidRPr="00EC250C">
        <w:t>RPO</w:t>
      </w:r>
      <w:r w:rsidRPr="00EC250C">
        <w:t xml:space="preserve"> skierował wystąpienie do Ministra Zdrowia</w:t>
      </w:r>
      <w:r w:rsidR="00992FD0" w:rsidRPr="00EC250C">
        <w:t xml:space="preserve"> z </w:t>
      </w:r>
      <w:r w:rsidRPr="00EC250C">
        <w:t>prośbą</w:t>
      </w:r>
      <w:r w:rsidR="00992FD0" w:rsidRPr="00EC250C">
        <w:t xml:space="preserve"> o </w:t>
      </w:r>
      <w:r w:rsidRPr="00EC250C">
        <w:t>podjęcie działań zmierzających do uregulowania tego problemu na poziomie ustawowym.</w:t>
      </w:r>
    </w:p>
    <w:p w14:paraId="2CBCE9B3" w14:textId="77777777" w:rsidR="004E7E94" w:rsidRPr="00EC250C" w:rsidRDefault="004E7E94" w:rsidP="00D131FA">
      <w:pPr>
        <w:pStyle w:val="Styl1"/>
      </w:pPr>
      <w:r w:rsidRPr="00EC250C">
        <w:t>W następstwie opublikowania</w:t>
      </w:r>
      <w:r w:rsidR="00992FD0" w:rsidRPr="00EC250C">
        <w:t xml:space="preserve"> w </w:t>
      </w:r>
      <w:r w:rsidRPr="00EC250C">
        <w:t>2017</w:t>
      </w:r>
      <w:r w:rsidR="00C91F6E" w:rsidRPr="00EC250C">
        <w:t> r.</w:t>
      </w:r>
      <w:r w:rsidRPr="00EC250C">
        <w:t xml:space="preserve"> raportu KMPT „Prawa mieszkańców domów pomocy społecznej. Jak wspólnie zadbać</w:t>
      </w:r>
      <w:r w:rsidR="00992FD0" w:rsidRPr="00EC250C">
        <w:t xml:space="preserve"> o </w:t>
      </w:r>
      <w:r w:rsidRPr="00EC250C">
        <w:t>godne życie osób starszych, chorych</w:t>
      </w:r>
      <w:r w:rsidR="00992FD0" w:rsidRPr="00EC250C">
        <w:t xml:space="preserve"> i</w:t>
      </w:r>
      <w:r w:rsidR="004B2152" w:rsidRPr="00EC250C">
        <w:t> </w:t>
      </w:r>
      <w:r w:rsidR="00992FD0" w:rsidRPr="00EC250C">
        <w:t>z </w:t>
      </w:r>
      <w:r w:rsidRPr="00EC250C">
        <w:t>niepełnosprawnościami?”</w:t>
      </w:r>
      <w:r w:rsidRPr="00EC250C">
        <w:rPr>
          <w:vertAlign w:val="superscript"/>
        </w:rPr>
        <w:footnoteReference w:id="796"/>
      </w:r>
      <w:r w:rsidRPr="00EC250C">
        <w:t xml:space="preserve"> Rzecznik zwrócił się do Ministra Rodziny, Pracy</w:t>
      </w:r>
      <w:r w:rsidR="00992FD0" w:rsidRPr="00EC250C">
        <w:t xml:space="preserve"> i </w:t>
      </w:r>
      <w:r w:rsidRPr="00EC250C">
        <w:t>Polityki Społecznej (RPPS)</w:t>
      </w:r>
      <w:r w:rsidR="00992FD0" w:rsidRPr="00EC250C">
        <w:t xml:space="preserve"> z </w:t>
      </w:r>
      <w:r w:rsidRPr="00EC250C">
        <w:t>prośbą</w:t>
      </w:r>
      <w:r w:rsidR="00992FD0" w:rsidRPr="00EC250C">
        <w:t xml:space="preserve"> o </w:t>
      </w:r>
      <w:r w:rsidRPr="00EC250C">
        <w:t>ustosunkowanie się do zdiagnozowanych</w:t>
      </w:r>
      <w:r w:rsidR="00992FD0" w:rsidRPr="00EC250C">
        <w:t xml:space="preserve"> w </w:t>
      </w:r>
      <w:r w:rsidRPr="00EC250C">
        <w:t>nim problemów systemowych</w:t>
      </w:r>
      <w:r w:rsidRPr="00EC250C">
        <w:rPr>
          <w:vertAlign w:val="superscript"/>
        </w:rPr>
        <w:footnoteReference w:id="797"/>
      </w:r>
      <w:r w:rsidRPr="00EC250C">
        <w:t>. Ponieważ większość</w:t>
      </w:r>
      <w:r w:rsidR="00992FD0" w:rsidRPr="00EC250C">
        <w:t xml:space="preserve"> z </w:t>
      </w:r>
      <w:r w:rsidRPr="00EC250C">
        <w:t xml:space="preserve">nich nie spotkała się ze zrozumieniem </w:t>
      </w:r>
      <w:r w:rsidR="00DC5152" w:rsidRPr="00EC250C">
        <w:t>Ministra</w:t>
      </w:r>
      <w:r w:rsidRPr="00EC250C">
        <w:t>, wciąż pozostają one</w:t>
      </w:r>
      <w:r w:rsidR="00992FD0" w:rsidRPr="00EC250C">
        <w:t xml:space="preserve"> w </w:t>
      </w:r>
      <w:r w:rsidRPr="00EC250C">
        <w:t>zainteresowaniu KMPT.</w:t>
      </w:r>
    </w:p>
    <w:p w14:paraId="665E347E" w14:textId="77777777" w:rsidR="004E7E94" w:rsidRPr="00EC250C" w:rsidRDefault="004E7E94" w:rsidP="00D131FA">
      <w:pPr>
        <w:pStyle w:val="Styl1"/>
      </w:pPr>
      <w:r w:rsidRPr="00EC250C">
        <w:t>W 2018</w:t>
      </w:r>
      <w:r w:rsidR="00C91F6E" w:rsidRPr="00EC250C">
        <w:t> r.</w:t>
      </w:r>
      <w:r w:rsidRPr="00EC250C">
        <w:t xml:space="preserve"> </w:t>
      </w:r>
      <w:r w:rsidR="00C2648D" w:rsidRPr="00EC250C">
        <w:t>RPO</w:t>
      </w:r>
      <w:r w:rsidRPr="00EC250C">
        <w:t xml:space="preserve"> ponownie zwrócił się do Ministra Zdrowia</w:t>
      </w:r>
      <w:r w:rsidR="00992FD0" w:rsidRPr="00EC250C">
        <w:t xml:space="preserve"> w </w:t>
      </w:r>
      <w:r w:rsidRPr="00EC250C">
        <w:t>sprawie stosowania monitoringu wizyjnego</w:t>
      </w:r>
      <w:r w:rsidR="00992FD0" w:rsidRPr="00EC250C">
        <w:t xml:space="preserve"> w </w:t>
      </w:r>
      <w:r w:rsidRPr="00EC250C">
        <w:t>szpitalach psychiatrycznych oraz konwojowania pacjentów przebywających</w:t>
      </w:r>
      <w:r w:rsidR="00992FD0" w:rsidRPr="00EC250C">
        <w:t xml:space="preserve"> w </w:t>
      </w:r>
      <w:r w:rsidRPr="00EC250C">
        <w:t>ramach środka zabezpieczającego</w:t>
      </w:r>
      <w:r w:rsidR="00992FD0" w:rsidRPr="00EC250C">
        <w:t xml:space="preserve"> w </w:t>
      </w:r>
      <w:r w:rsidRPr="00EC250C">
        <w:t>szpitalach</w:t>
      </w:r>
      <w:r w:rsidR="00992FD0" w:rsidRPr="00EC250C">
        <w:t xml:space="preserve"> i </w:t>
      </w:r>
      <w:r w:rsidRPr="00EC250C">
        <w:t xml:space="preserve">oddziałach psychiatrycznych poza teren tych placówek. </w:t>
      </w:r>
      <w:r w:rsidRPr="00EC250C">
        <w:lastRenderedPageBreak/>
        <w:t>Dotychczasowe stanowisko Ministra</w:t>
      </w:r>
      <w:r w:rsidR="00992FD0" w:rsidRPr="00EC250C">
        <w:t xml:space="preserve"> w </w:t>
      </w:r>
      <w:r w:rsidRPr="00EC250C">
        <w:t>tych kwestiach</w:t>
      </w:r>
      <w:r w:rsidRPr="00EC250C">
        <w:rPr>
          <w:vertAlign w:val="superscript"/>
        </w:rPr>
        <w:footnoteReference w:id="798"/>
      </w:r>
      <w:r w:rsidRPr="00EC250C">
        <w:t xml:space="preserve"> nie wyjaśniło wątpliwości podnoszonych przez Rzecznika.</w:t>
      </w:r>
    </w:p>
    <w:p w14:paraId="4710B604" w14:textId="77777777" w:rsidR="00FF128F" w:rsidRPr="00EC250C" w:rsidRDefault="001C54CC" w:rsidP="00D131FA">
      <w:pPr>
        <w:pStyle w:val="Styl1"/>
        <w:rPr>
          <w:bCs/>
          <w:iCs/>
        </w:rPr>
      </w:pPr>
      <w:r w:rsidRPr="00EC250C">
        <w:t>RPO od 2017</w:t>
      </w:r>
      <w:r w:rsidR="00C91F6E" w:rsidRPr="00EC250C">
        <w:t> r.</w:t>
      </w:r>
      <w:r w:rsidRPr="00EC250C">
        <w:t xml:space="preserve"> </w:t>
      </w:r>
      <w:r w:rsidR="00FF128F" w:rsidRPr="00EC250C">
        <w:t>nie dostał odpowiedzi na wystąpienia do</w:t>
      </w:r>
      <w:r w:rsidR="00FF128F" w:rsidRPr="00EC250C">
        <w:rPr>
          <w:bCs/>
          <w:iCs/>
        </w:rPr>
        <w:t xml:space="preserve"> </w:t>
      </w:r>
      <w:r w:rsidR="00FF128F" w:rsidRPr="00EC250C">
        <w:t>Ministra Sprawiedliwości</w:t>
      </w:r>
      <w:r w:rsidR="00FF128F" w:rsidRPr="00EC250C">
        <w:rPr>
          <w:rStyle w:val="Odwoanieprzypisudolnego"/>
          <w:szCs w:val="24"/>
        </w:rPr>
        <w:footnoteReference w:id="799"/>
      </w:r>
      <w:r w:rsidR="00992FD0" w:rsidRPr="00EC250C">
        <w:t xml:space="preserve"> w </w:t>
      </w:r>
      <w:r w:rsidR="00FF128F" w:rsidRPr="00EC250C">
        <w:t>sprawie inicjatywy legislacyjnej, która zagwarantowałaby</w:t>
      </w:r>
      <w:r w:rsidR="00FF128F" w:rsidRPr="00EC250C">
        <w:rPr>
          <w:b/>
        </w:rPr>
        <w:t xml:space="preserve"> </w:t>
      </w:r>
      <w:r w:rsidRPr="00EC250C">
        <w:t xml:space="preserve">natychmiastowy </w:t>
      </w:r>
      <w:r w:rsidRPr="00EC250C">
        <w:rPr>
          <w:bCs/>
          <w:iCs/>
        </w:rPr>
        <w:t>kontakt</w:t>
      </w:r>
      <w:r w:rsidR="00992FD0" w:rsidRPr="00EC250C">
        <w:rPr>
          <w:bCs/>
          <w:iCs/>
        </w:rPr>
        <w:t xml:space="preserve"> z </w:t>
      </w:r>
      <w:r w:rsidRPr="00EC250C">
        <w:rPr>
          <w:bCs/>
          <w:iCs/>
        </w:rPr>
        <w:t xml:space="preserve">obrońcą </w:t>
      </w:r>
      <w:r w:rsidR="00FF128F" w:rsidRPr="00EC250C">
        <w:rPr>
          <w:bCs/>
          <w:iCs/>
        </w:rPr>
        <w:t>każde</w:t>
      </w:r>
      <w:r w:rsidRPr="00EC250C">
        <w:rPr>
          <w:bCs/>
          <w:iCs/>
        </w:rPr>
        <w:t xml:space="preserve">mu zatrzymanemu </w:t>
      </w:r>
      <w:r w:rsidR="00FF128F" w:rsidRPr="00EC250C">
        <w:rPr>
          <w:bCs/>
          <w:iCs/>
        </w:rPr>
        <w:t xml:space="preserve">przez policję lub inne służby. Ponieważ jest </w:t>
      </w:r>
      <w:r w:rsidRPr="00EC250C">
        <w:rPr>
          <w:bCs/>
          <w:iCs/>
        </w:rPr>
        <w:t xml:space="preserve">to </w:t>
      </w:r>
      <w:r w:rsidR="00FF128F" w:rsidRPr="00EC250C">
        <w:rPr>
          <w:bCs/>
          <w:iCs/>
        </w:rPr>
        <w:t>podstawow</w:t>
      </w:r>
      <w:r w:rsidRPr="00EC250C">
        <w:rPr>
          <w:bCs/>
          <w:iCs/>
        </w:rPr>
        <w:t>a</w:t>
      </w:r>
      <w:r w:rsidR="00FF128F" w:rsidRPr="00EC250C">
        <w:rPr>
          <w:bCs/>
          <w:iCs/>
        </w:rPr>
        <w:t xml:space="preserve"> </w:t>
      </w:r>
      <w:r w:rsidRPr="00EC250C">
        <w:rPr>
          <w:bCs/>
          <w:iCs/>
        </w:rPr>
        <w:t>sposób zapobiegania torturom</w:t>
      </w:r>
      <w:r w:rsidR="00FF128F" w:rsidRPr="00EC250C">
        <w:rPr>
          <w:bCs/>
          <w:iCs/>
        </w:rPr>
        <w:t>, na co wskazują międzynarodowe standardy, instytucje monitorujące</w:t>
      </w:r>
      <w:r w:rsidR="00992FD0" w:rsidRPr="00EC250C">
        <w:rPr>
          <w:bCs/>
          <w:iCs/>
        </w:rPr>
        <w:t xml:space="preserve"> i </w:t>
      </w:r>
      <w:r w:rsidR="00FF128F" w:rsidRPr="00EC250C">
        <w:rPr>
          <w:bCs/>
          <w:iCs/>
        </w:rPr>
        <w:t xml:space="preserve">środowiska eksperckie, </w:t>
      </w:r>
      <w:r w:rsidR="00C2648D" w:rsidRPr="00EC250C">
        <w:rPr>
          <w:bCs/>
          <w:iCs/>
        </w:rPr>
        <w:t>RPO</w:t>
      </w:r>
      <w:r w:rsidR="00FF128F" w:rsidRPr="00EC250C">
        <w:rPr>
          <w:bCs/>
          <w:iCs/>
        </w:rPr>
        <w:t xml:space="preserve"> postuluje wprowadzeni</w:t>
      </w:r>
      <w:r w:rsidRPr="00EC250C">
        <w:rPr>
          <w:bCs/>
          <w:iCs/>
        </w:rPr>
        <w:t>e</w:t>
      </w:r>
      <w:r w:rsidR="00FF128F" w:rsidRPr="00EC250C">
        <w:rPr>
          <w:bCs/>
          <w:iCs/>
        </w:rPr>
        <w:t xml:space="preserve"> takiego rozwiązania</w:t>
      </w:r>
      <w:r w:rsidR="00992FD0" w:rsidRPr="00EC250C">
        <w:rPr>
          <w:bCs/>
          <w:iCs/>
        </w:rPr>
        <w:t xml:space="preserve"> w </w:t>
      </w:r>
      <w:r w:rsidR="00FF128F" w:rsidRPr="00EC250C">
        <w:rPr>
          <w:bCs/>
          <w:iCs/>
        </w:rPr>
        <w:t xml:space="preserve">polskim systemie prawnym. </w:t>
      </w:r>
      <w:r w:rsidR="00FF128F" w:rsidRPr="00EC250C">
        <w:t>W związku</w:t>
      </w:r>
      <w:r w:rsidR="00992FD0" w:rsidRPr="00EC250C">
        <w:t xml:space="preserve"> z </w:t>
      </w:r>
      <w:r w:rsidR="00FF128F" w:rsidRPr="00EC250C">
        <w:t>brakiem odpowiedzi, Rzecznik zwrócił się</w:t>
      </w:r>
      <w:r w:rsidR="00FF128F" w:rsidRPr="00EC250C">
        <w:rPr>
          <w:rStyle w:val="Odwoanieprzypisudolnego"/>
          <w:szCs w:val="24"/>
        </w:rPr>
        <w:footnoteReference w:id="800"/>
      </w:r>
      <w:r w:rsidR="00FF128F" w:rsidRPr="00EC250C">
        <w:t xml:space="preserve"> do Prezesa Rady Ministrów</w:t>
      </w:r>
      <w:r w:rsidR="00992FD0" w:rsidRPr="00EC250C">
        <w:t xml:space="preserve"> z </w:t>
      </w:r>
      <w:r w:rsidR="00FF128F" w:rsidRPr="00EC250C">
        <w:t>prośbą</w:t>
      </w:r>
      <w:r w:rsidR="00992FD0" w:rsidRPr="00EC250C">
        <w:t xml:space="preserve"> o </w:t>
      </w:r>
      <w:r w:rsidR="00FF128F" w:rsidRPr="00EC250C">
        <w:t>osobiste zainteresowanie się poruszoną kwestią.</w:t>
      </w:r>
    </w:p>
    <w:p w14:paraId="67239509" w14:textId="77777777" w:rsidR="004E7E94" w:rsidRPr="00EC250C" w:rsidRDefault="004E7E94" w:rsidP="00EC250C">
      <w:pPr>
        <w:pStyle w:val="Nagwek5"/>
      </w:pPr>
      <w:bookmarkStart w:id="800" w:name="_Toc6258001"/>
      <w:r w:rsidRPr="00EC250C">
        <w:t>Debaty regionalne</w:t>
      </w:r>
      <w:bookmarkEnd w:id="800"/>
    </w:p>
    <w:p w14:paraId="5B197573" w14:textId="77777777" w:rsidR="004E7E94" w:rsidRPr="00EC250C" w:rsidRDefault="004E7E94" w:rsidP="00D131FA">
      <w:pPr>
        <w:pStyle w:val="Styl1"/>
      </w:pPr>
      <w:r w:rsidRPr="00EC250C">
        <w:t>W 2018</w:t>
      </w:r>
      <w:r w:rsidR="00C91F6E" w:rsidRPr="00EC250C">
        <w:t> r.</w:t>
      </w:r>
      <w:r w:rsidRPr="00EC250C">
        <w:t xml:space="preserve"> Krajowy Mechanizm Prewencji zakończył cykl 16 debat regionalnych, organizowanych od 2016</w:t>
      </w:r>
      <w:r w:rsidR="00C91F6E" w:rsidRPr="00EC250C">
        <w:t> r.</w:t>
      </w:r>
      <w:r w:rsidR="00992FD0" w:rsidRPr="00EC250C">
        <w:t xml:space="preserve"> w </w:t>
      </w:r>
      <w:r w:rsidRPr="00EC250C">
        <w:t>stolicach województw. Podczas debat</w:t>
      </w:r>
      <w:r w:rsidR="00992FD0" w:rsidRPr="00EC250C">
        <w:t xml:space="preserve"> w </w:t>
      </w:r>
      <w:r w:rsidRPr="00EC250C">
        <w:t>2018</w:t>
      </w:r>
      <w:r w:rsidR="00C91F6E" w:rsidRPr="00EC250C">
        <w:t> r.</w:t>
      </w:r>
      <w:r w:rsidRPr="00EC250C">
        <w:t>, które odbyły się</w:t>
      </w:r>
      <w:r w:rsidR="00992FD0" w:rsidRPr="00EC250C">
        <w:t xml:space="preserve"> w </w:t>
      </w:r>
      <w:r w:rsidRPr="00EC250C">
        <w:t>Łodzi, Kielcach, Poznaniu</w:t>
      </w:r>
      <w:r w:rsidR="00992FD0" w:rsidRPr="00EC250C">
        <w:t xml:space="preserve"> i </w:t>
      </w:r>
      <w:r w:rsidRPr="00EC250C">
        <w:t>Warszawie</w:t>
      </w:r>
      <w:r w:rsidRPr="00EC250C">
        <w:rPr>
          <w:vertAlign w:val="superscript"/>
        </w:rPr>
        <w:footnoteReference w:id="801"/>
      </w:r>
      <w:r w:rsidRPr="00EC250C">
        <w:t xml:space="preserve"> przedstawiciele KMPT omawiali najważniejsze problemy</w:t>
      </w:r>
      <w:r w:rsidR="00992FD0" w:rsidRPr="00EC250C">
        <w:t xml:space="preserve"> z </w:t>
      </w:r>
      <w:r w:rsidRPr="00EC250C">
        <w:t>funkcjonowaniem miejsc pozbawienia wolności</w:t>
      </w:r>
      <w:r w:rsidR="00992FD0" w:rsidRPr="00EC250C">
        <w:t xml:space="preserve"> w </w:t>
      </w:r>
      <w:r w:rsidRPr="00EC250C">
        <w:t>Polsce. Spotkania adresowane były do pracowników wszystkich miejsc detencji, prokuratorów, sędziów, pracowników samorządu wojewódzkiego oraz uczelni. Debaty stanowią platformę do wymiany doświadczeń płynących ze współpracy władz miejsc detencji</w:t>
      </w:r>
      <w:r w:rsidR="00992FD0" w:rsidRPr="00EC250C">
        <w:t xml:space="preserve"> z </w:t>
      </w:r>
      <w:r w:rsidRPr="00EC250C">
        <w:t>Krajowym Mechanizmem Prewencji Tortur</w:t>
      </w:r>
      <w:r w:rsidR="00992FD0" w:rsidRPr="00EC250C">
        <w:t xml:space="preserve"> w </w:t>
      </w:r>
      <w:r w:rsidRPr="00EC250C">
        <w:t>obszarze ochrony praw osób pozbawionych wolności. Mają również na celu przybliżenie problemów natury systemowej identyfikowanych</w:t>
      </w:r>
      <w:r w:rsidR="00992FD0" w:rsidRPr="00EC250C">
        <w:t xml:space="preserve"> w </w:t>
      </w:r>
      <w:r w:rsidRPr="00EC250C">
        <w:t>trakcie wizytacji prewencyjnych</w:t>
      </w:r>
      <w:r w:rsidR="00992FD0" w:rsidRPr="00EC250C">
        <w:t xml:space="preserve"> w </w:t>
      </w:r>
      <w:r w:rsidRPr="00EC250C">
        <w:t>miejscach detencji oraz podkreślenie roli Mechanizmu jako partnera dla władz wizytowanych miejsc</w:t>
      </w:r>
      <w:r w:rsidR="00992FD0" w:rsidRPr="00EC250C">
        <w:t xml:space="preserve"> w </w:t>
      </w:r>
      <w:r w:rsidRPr="00EC250C">
        <w:t>zapobieganiu występowania tortur, okrutnego, nieludzkiego, poniżającego traktowania albo karania.</w:t>
      </w:r>
    </w:p>
    <w:p w14:paraId="7ABBAE4A" w14:textId="77777777" w:rsidR="004E7E94" w:rsidRPr="00EC250C" w:rsidRDefault="004E7E94" w:rsidP="00D131FA">
      <w:pPr>
        <w:pStyle w:val="Styl1"/>
      </w:pPr>
      <w:r w:rsidRPr="00EC250C">
        <w:t>Organizacja debat regionalnych Krajowego Mechanizmu Prewencji Tortur stanowi wypełnienie edukacyjnej roli Mechanizmu, który poza regularnym monitoringiem miejsc pozbawienia wolności, zobowiązany jest także do edukacji społeczeństwa</w:t>
      </w:r>
      <w:r w:rsidR="00992FD0" w:rsidRPr="00EC250C">
        <w:t xml:space="preserve"> w </w:t>
      </w:r>
      <w:r w:rsidRPr="00EC250C">
        <w:t>zakresie przeciwdziałania torturom oraz innemu okrutnemu, nieludzkiemu lub poniżającemu traktowaniu albo karaniu.</w:t>
      </w:r>
    </w:p>
    <w:p w14:paraId="0D1A5435" w14:textId="77777777" w:rsidR="004E7E94" w:rsidRPr="00EC250C" w:rsidRDefault="004E7E94" w:rsidP="00EC250C">
      <w:pPr>
        <w:pStyle w:val="Nagwek5"/>
      </w:pPr>
      <w:bookmarkStart w:id="801" w:name="_Toc6258002"/>
      <w:r w:rsidRPr="00EC250C">
        <w:lastRenderedPageBreak/>
        <w:t>Obserwacja procesu</w:t>
      </w:r>
      <w:bookmarkEnd w:id="801"/>
    </w:p>
    <w:p w14:paraId="461D2A87" w14:textId="77777777" w:rsidR="004E7E94" w:rsidRPr="00EC250C" w:rsidRDefault="004E7E94" w:rsidP="00D131FA">
      <w:pPr>
        <w:pStyle w:val="Styl1"/>
      </w:pPr>
      <w:r w:rsidRPr="00EC250C">
        <w:t>Przedstawiciel KMPT był obserwatorem ogłoszenia wyroku</w:t>
      </w:r>
      <w:r w:rsidR="00992FD0" w:rsidRPr="00EC250C">
        <w:t xml:space="preserve"> i </w:t>
      </w:r>
      <w:r w:rsidRPr="00EC250C">
        <w:t>jego uzasadnienia</w:t>
      </w:r>
      <w:r w:rsidR="00992FD0" w:rsidRPr="00EC250C">
        <w:t xml:space="preserve"> w </w:t>
      </w:r>
      <w:r w:rsidRPr="00EC250C">
        <w:t>sprawie stosowania tortur</w:t>
      </w:r>
      <w:r w:rsidR="00992FD0" w:rsidRPr="00EC250C">
        <w:t xml:space="preserve"> w </w:t>
      </w:r>
      <w:r w:rsidRPr="00EC250C">
        <w:t>komendzie Policji</w:t>
      </w:r>
      <w:r w:rsidR="00992FD0" w:rsidRPr="00EC250C">
        <w:t xml:space="preserve"> w </w:t>
      </w:r>
      <w:r w:rsidRPr="00EC250C">
        <w:t>Siedlcach</w:t>
      </w:r>
      <w:r w:rsidRPr="00EC250C">
        <w:rPr>
          <w:vertAlign w:val="superscript"/>
        </w:rPr>
        <w:footnoteReference w:id="802"/>
      </w:r>
      <w:r w:rsidRPr="00EC250C">
        <w:t>. Sąd wymierzył oskarżonym kary od jednego roku do dwóch lat</w:t>
      </w:r>
      <w:r w:rsidR="00992FD0" w:rsidRPr="00EC250C">
        <w:t xml:space="preserve"> i </w:t>
      </w:r>
      <w:r w:rsidRPr="00EC250C">
        <w:t>dwóch miesięcy pozbawienia wolności. W jednym przypadku wykonanie kary zawiesił na okres próby wynoszący trzy lata. KMPT</w:t>
      </w:r>
      <w:r w:rsidR="00992FD0" w:rsidRPr="00EC250C">
        <w:t xml:space="preserve"> z </w:t>
      </w:r>
      <w:r w:rsidRPr="00EC250C">
        <w:t>satysfakcją przyjął kary bezwzględnego pozbawienia wolności wymierzone sprawcom przez Sąd. Ubolewa jednak nad faktem, że uzasadniając wyrok Sąd nie skorzystał</w:t>
      </w:r>
      <w:r w:rsidR="00992FD0" w:rsidRPr="00EC250C">
        <w:t xml:space="preserve"> z </w:t>
      </w:r>
      <w:r w:rsidRPr="00EC250C">
        <w:t>możliwości zwiększenia skuteczności prewencji generalnej</w:t>
      </w:r>
      <w:r w:rsidR="00992FD0" w:rsidRPr="00EC250C">
        <w:t xml:space="preserve"> i </w:t>
      </w:r>
      <w:r w:rsidRPr="00EC250C">
        <w:t>nie wskazał, że zachowanie oskarżonych nosiło znamiona tortur.</w:t>
      </w:r>
      <w:r w:rsidR="001C54CC" w:rsidRPr="00EC250C">
        <w:t xml:space="preserve"> Wyrok nie jest prawomocny.</w:t>
      </w:r>
    </w:p>
    <w:p w14:paraId="67F55C80" w14:textId="77777777" w:rsidR="004E7E94" w:rsidRPr="00EC250C" w:rsidRDefault="004E7E94" w:rsidP="00EC250C">
      <w:pPr>
        <w:pStyle w:val="Nagwek5"/>
      </w:pPr>
      <w:bookmarkStart w:id="802" w:name="_Toc6258003"/>
      <w:r w:rsidRPr="00EC250C">
        <w:t>Kampania społeczna</w:t>
      </w:r>
      <w:bookmarkEnd w:id="802"/>
    </w:p>
    <w:p w14:paraId="4AEA8413" w14:textId="77777777" w:rsidR="00C91F6E" w:rsidRPr="00EC250C" w:rsidRDefault="004E7E94" w:rsidP="00D131FA">
      <w:pPr>
        <w:pStyle w:val="Styl1"/>
      </w:pPr>
      <w:r w:rsidRPr="00EC250C">
        <w:t>W grudniu 2018</w:t>
      </w:r>
      <w:r w:rsidR="00C91F6E" w:rsidRPr="00EC250C">
        <w:t> r.</w:t>
      </w:r>
      <w:r w:rsidRPr="00EC250C">
        <w:t xml:space="preserve"> Rzecznik Praw Obywatelskich, we współpracy</w:t>
      </w:r>
      <w:r w:rsidR="00992FD0" w:rsidRPr="00EC250C">
        <w:t xml:space="preserve"> z </w:t>
      </w:r>
      <w:r w:rsidRPr="00EC250C">
        <w:t>m.in. Radą Europy, rozpoczął kampanię społeczną „Państwo bez tortur”</w:t>
      </w:r>
      <w:r w:rsidRPr="00EC250C">
        <w:rPr>
          <w:vertAlign w:val="superscript"/>
        </w:rPr>
        <w:footnoteReference w:id="803"/>
      </w:r>
      <w:r w:rsidRPr="00EC250C">
        <w:t xml:space="preserve">. Jej celem jest uświadomienie społeczeństwu problemu tortur oraz przeprowadzanie </w:t>
      </w:r>
      <w:r w:rsidR="001C54CC" w:rsidRPr="00EC250C">
        <w:t>szkoleń</w:t>
      </w:r>
      <w:r w:rsidR="00992FD0" w:rsidRPr="00EC250C">
        <w:t xml:space="preserve"> i </w:t>
      </w:r>
      <w:r w:rsidR="001C54CC" w:rsidRPr="00EC250C">
        <w:t>wykładów dotyczących tego zjawiska</w:t>
      </w:r>
      <w:r w:rsidRPr="00EC250C">
        <w:t>. Pierwsze szkolenie, inaugurujące serię spotkań ze studentami wyższych uczelni, odbyło się 8 grudnia 2018</w:t>
      </w:r>
      <w:r w:rsidR="00C91F6E" w:rsidRPr="00EC250C">
        <w:t> r.</w:t>
      </w:r>
      <w:r w:rsidRPr="00EC250C">
        <w:t xml:space="preserve"> dla studentów Uniwersytetu Jagiellońskiego</w:t>
      </w:r>
      <w:r w:rsidR="00992FD0" w:rsidRPr="00EC250C">
        <w:t xml:space="preserve"> i </w:t>
      </w:r>
      <w:r w:rsidRPr="00EC250C">
        <w:t xml:space="preserve">dotyczyło </w:t>
      </w:r>
      <w:r w:rsidRPr="00EC250C">
        <w:rPr>
          <w:i/>
          <w:iCs/>
        </w:rPr>
        <w:t>roli Krajowego Mechanizmu Prewencji Tortur</w:t>
      </w:r>
      <w:r w:rsidR="00992FD0" w:rsidRPr="00EC250C">
        <w:rPr>
          <w:i/>
          <w:iCs/>
        </w:rPr>
        <w:t xml:space="preserve"> i </w:t>
      </w:r>
      <w:r w:rsidRPr="00EC250C">
        <w:rPr>
          <w:i/>
          <w:iCs/>
        </w:rPr>
        <w:t>Rzecznika Praw Obywatelskich</w:t>
      </w:r>
      <w:r w:rsidR="00992FD0" w:rsidRPr="00EC250C">
        <w:rPr>
          <w:i/>
          <w:iCs/>
        </w:rPr>
        <w:t xml:space="preserve"> w </w:t>
      </w:r>
      <w:r w:rsidRPr="00EC250C">
        <w:rPr>
          <w:i/>
          <w:iCs/>
        </w:rPr>
        <w:t>zapobieganiu torturom</w:t>
      </w:r>
      <w:r w:rsidR="00992FD0" w:rsidRPr="00EC250C">
        <w:rPr>
          <w:i/>
          <w:iCs/>
        </w:rPr>
        <w:t xml:space="preserve"> w </w:t>
      </w:r>
      <w:r w:rsidRPr="00EC250C">
        <w:rPr>
          <w:i/>
          <w:iCs/>
        </w:rPr>
        <w:t>Polsce –</w:t>
      </w:r>
      <w:r w:rsidR="00992FD0" w:rsidRPr="00EC250C">
        <w:rPr>
          <w:i/>
          <w:iCs/>
        </w:rPr>
        <w:t xml:space="preserve"> w </w:t>
      </w:r>
      <w:r w:rsidRPr="00EC250C">
        <w:rPr>
          <w:i/>
          <w:iCs/>
        </w:rPr>
        <w:t>aspekcie praktycznym</w:t>
      </w:r>
      <w:r w:rsidR="00992FD0" w:rsidRPr="00EC250C">
        <w:rPr>
          <w:i/>
          <w:iCs/>
        </w:rPr>
        <w:t xml:space="preserve"> i </w:t>
      </w:r>
      <w:r w:rsidRPr="00EC250C">
        <w:rPr>
          <w:i/>
          <w:iCs/>
        </w:rPr>
        <w:t xml:space="preserve">prawnym. </w:t>
      </w:r>
      <w:r w:rsidRPr="00EC250C">
        <w:t>O tym jak nie stać się ofiarą tortur przedstawicielki KMPT opowiadały studentom Koła Naukowego Komparatystyki Prawniczej działającego na Uniwersytecie Humanistycznym SWPS</w:t>
      </w:r>
      <w:r w:rsidR="00992FD0" w:rsidRPr="00EC250C">
        <w:t xml:space="preserve"> w </w:t>
      </w:r>
      <w:r w:rsidRPr="00EC250C">
        <w:t>Warszawie.</w:t>
      </w:r>
    </w:p>
    <w:p w14:paraId="21D9A41F" w14:textId="77777777" w:rsidR="004E7E94" w:rsidRPr="00EC250C" w:rsidRDefault="004E7E94" w:rsidP="00D131FA">
      <w:pPr>
        <w:pStyle w:val="Styl1"/>
      </w:pPr>
      <w:r w:rsidRPr="00EC250C">
        <w:t>Kampania, która będzie realizowana przez cały 2019</w:t>
      </w:r>
      <w:r w:rsidR="00C91F6E" w:rsidRPr="00EC250C">
        <w:t> r.</w:t>
      </w:r>
      <w:r w:rsidRPr="00EC250C">
        <w:t xml:space="preserve"> ważna jest nie tylko dla KMPT, ale</w:t>
      </w:r>
      <w:r w:rsidR="00CC4D88" w:rsidRPr="00EC250C">
        <w:t xml:space="preserve"> </w:t>
      </w:r>
      <w:r w:rsidRPr="00EC250C">
        <w:t>przede wszystkim ma posłużyć kreowaniu wśród społeczeństwa kultury braku akceptacji dla tortur</w:t>
      </w:r>
      <w:r w:rsidR="00992FD0" w:rsidRPr="00EC250C">
        <w:t xml:space="preserve"> i </w:t>
      </w:r>
      <w:r w:rsidRPr="00EC250C">
        <w:t>złego traktowania. Jak pokazuje doświadczenie oraz wyniki badań sondażowych firmy Kantar</w:t>
      </w:r>
      <w:r w:rsidRPr="00EC250C">
        <w:rPr>
          <w:vertAlign w:val="superscript"/>
        </w:rPr>
        <w:footnoteReference w:id="804"/>
      </w:r>
      <w:r w:rsidRPr="00EC250C">
        <w:t>, niepokojące jest to, że idea KMPT nie zakorzeniła się dotychczas</w:t>
      </w:r>
      <w:r w:rsidR="00992FD0" w:rsidRPr="00EC250C">
        <w:t xml:space="preserve"> w </w:t>
      </w:r>
      <w:r w:rsidRPr="00EC250C">
        <w:t>świadomości społeczeństwa.</w:t>
      </w:r>
    </w:p>
    <w:p w14:paraId="3579FD39" w14:textId="6F1D8AC2" w:rsidR="00973CBF" w:rsidRPr="00EC250C" w:rsidRDefault="00973CBF" w:rsidP="00EC250C">
      <w:pPr>
        <w:pStyle w:val="Nagwek5"/>
      </w:pPr>
      <w:r w:rsidRPr="00EC250C">
        <w:t>Działalność na arenie międzynarodowej</w:t>
      </w:r>
      <w:bookmarkEnd w:id="797"/>
      <w:r w:rsidR="004B39B9" w:rsidRPr="00EC250C">
        <w:t xml:space="preserve"> KMPT</w:t>
      </w:r>
    </w:p>
    <w:p w14:paraId="23F443E2" w14:textId="77777777" w:rsidR="00973CBF" w:rsidRPr="00EC250C" w:rsidRDefault="004B39B9" w:rsidP="00D131FA">
      <w:pPr>
        <w:pStyle w:val="Styl1"/>
        <w:ind w:firstLine="360"/>
        <w:rPr>
          <w:szCs w:val="24"/>
        </w:rPr>
      </w:pPr>
      <w:r w:rsidRPr="00EC250C">
        <w:rPr>
          <w:szCs w:val="24"/>
        </w:rPr>
        <w:t>P</w:t>
      </w:r>
      <w:r w:rsidR="00973CBF" w:rsidRPr="00EC250C">
        <w:rPr>
          <w:szCs w:val="24"/>
        </w:rPr>
        <w:t>rzedstawiciele KMPT uczestniczyli</w:t>
      </w:r>
      <w:r w:rsidR="00992FD0" w:rsidRPr="00EC250C">
        <w:rPr>
          <w:szCs w:val="24"/>
        </w:rPr>
        <w:t xml:space="preserve"> w </w:t>
      </w:r>
      <w:r w:rsidRPr="00EC250C">
        <w:rPr>
          <w:szCs w:val="24"/>
        </w:rPr>
        <w:t>2018</w:t>
      </w:r>
      <w:r w:rsidR="00C91F6E" w:rsidRPr="00EC250C">
        <w:rPr>
          <w:szCs w:val="24"/>
        </w:rPr>
        <w:t> r.</w:t>
      </w:r>
      <w:r w:rsidRPr="00EC250C">
        <w:rPr>
          <w:szCs w:val="24"/>
        </w:rPr>
        <w:t xml:space="preserve"> </w:t>
      </w:r>
      <w:r w:rsidR="00973CBF" w:rsidRPr="00EC250C">
        <w:rPr>
          <w:szCs w:val="24"/>
        </w:rPr>
        <w:t>spotkaniach międzynarodowych</w:t>
      </w:r>
      <w:r w:rsidR="00992FD0" w:rsidRPr="00EC250C">
        <w:rPr>
          <w:szCs w:val="24"/>
        </w:rPr>
        <w:t xml:space="preserve"> z </w:t>
      </w:r>
      <w:r w:rsidR="00973CBF" w:rsidRPr="00EC250C">
        <w:rPr>
          <w:szCs w:val="24"/>
        </w:rPr>
        <w:t xml:space="preserve">zakresu prewencji tortur. Dotyczyły one </w:t>
      </w:r>
      <w:r w:rsidR="00973CBF" w:rsidRPr="00EC250C">
        <w:rPr>
          <w:color w:val="000000" w:themeColor="text1"/>
          <w:szCs w:val="24"/>
        </w:rPr>
        <w:t>m</w:t>
      </w:r>
      <w:hyperlink r:id="rId18" w:history="1">
        <w:r w:rsidR="00973CBF" w:rsidRPr="00EC250C">
          <w:rPr>
            <w:rStyle w:val="Hipercze"/>
            <w:color w:val="000000" w:themeColor="text1"/>
            <w:szCs w:val="24"/>
            <w:u w:val="none"/>
          </w:rPr>
          <w:t>onitoringu domów pomocy społecznej</w:t>
        </w:r>
        <w:r w:rsidR="00973CBF" w:rsidRPr="00EC250C">
          <w:rPr>
            <w:rStyle w:val="Hipercze"/>
            <w:color w:val="000000" w:themeColor="text1"/>
            <w:szCs w:val="24"/>
            <w:u w:val="none"/>
            <w:vertAlign w:val="superscript"/>
          </w:rPr>
          <w:footnoteReference w:id="805"/>
        </w:r>
        <w:r w:rsidR="00973CBF" w:rsidRPr="00EC250C">
          <w:rPr>
            <w:rStyle w:val="Hipercze"/>
            <w:color w:val="000000" w:themeColor="text1"/>
            <w:szCs w:val="24"/>
            <w:u w:val="none"/>
          </w:rPr>
          <w:t>,</w:t>
        </w:r>
      </w:hyperlink>
      <w:r w:rsidR="00973CBF" w:rsidRPr="00EC250C">
        <w:rPr>
          <w:szCs w:val="24"/>
        </w:rPr>
        <w:t xml:space="preserve"> stworzenia standardów</w:t>
      </w:r>
      <w:r w:rsidR="00992FD0" w:rsidRPr="00EC250C">
        <w:rPr>
          <w:szCs w:val="24"/>
        </w:rPr>
        <w:t xml:space="preserve"> </w:t>
      </w:r>
      <w:r w:rsidR="00992FD0" w:rsidRPr="00EC250C">
        <w:rPr>
          <w:szCs w:val="24"/>
        </w:rPr>
        <w:lastRenderedPageBreak/>
        <w:t>w </w:t>
      </w:r>
      <w:r w:rsidR="00973CBF" w:rsidRPr="00EC250C">
        <w:rPr>
          <w:szCs w:val="24"/>
        </w:rPr>
        <w:t>zakresie monitorowania sytuacji osób LGBT</w:t>
      </w:r>
      <w:r w:rsidR="00992FD0" w:rsidRPr="00EC250C">
        <w:rPr>
          <w:szCs w:val="24"/>
        </w:rPr>
        <w:t xml:space="preserve"> w </w:t>
      </w:r>
      <w:r w:rsidR="00973CBF" w:rsidRPr="00EC250C">
        <w:rPr>
          <w:szCs w:val="24"/>
        </w:rPr>
        <w:t>detencji</w:t>
      </w:r>
      <w:r w:rsidR="00973CBF" w:rsidRPr="00EC250C">
        <w:rPr>
          <w:szCs w:val="24"/>
          <w:vertAlign w:val="superscript"/>
        </w:rPr>
        <w:footnoteReference w:id="806"/>
      </w:r>
      <w:r w:rsidR="00973CBF" w:rsidRPr="00EC250C">
        <w:rPr>
          <w:szCs w:val="24"/>
        </w:rPr>
        <w:t>, wzmacniania roli krajowych mechanizmów prewencji we wdrażaniu pozytywnych zmian</w:t>
      </w:r>
      <w:r w:rsidR="00992FD0" w:rsidRPr="00EC250C">
        <w:rPr>
          <w:szCs w:val="24"/>
        </w:rPr>
        <w:t xml:space="preserve"> w </w:t>
      </w:r>
      <w:r w:rsidR="00973CBF" w:rsidRPr="00EC250C">
        <w:rPr>
          <w:szCs w:val="24"/>
        </w:rPr>
        <w:t>miejscach pozbawienia wolności</w:t>
      </w:r>
      <w:r w:rsidR="00973CBF" w:rsidRPr="00EC250C">
        <w:rPr>
          <w:szCs w:val="24"/>
          <w:vertAlign w:val="superscript"/>
        </w:rPr>
        <w:footnoteReference w:id="807"/>
      </w:r>
      <w:r w:rsidR="00973CBF" w:rsidRPr="00EC250C">
        <w:rPr>
          <w:szCs w:val="24"/>
        </w:rPr>
        <w:t>, wypracowania wspólnego stanowiska na temat istnienia</w:t>
      </w:r>
      <w:r w:rsidR="00992FD0" w:rsidRPr="00EC250C">
        <w:rPr>
          <w:szCs w:val="24"/>
        </w:rPr>
        <w:t xml:space="preserve"> w </w:t>
      </w:r>
      <w:r w:rsidR="00973CBF" w:rsidRPr="00EC250C">
        <w:rPr>
          <w:szCs w:val="24"/>
        </w:rPr>
        <w:t>krajach członkowskich UE efektywnych systemów monitorujących wydalanie cudzoziemców do państw trzecich oraz mandatu KMPT do prowadzenia monitoringu lotów powrotowych</w:t>
      </w:r>
      <w:r w:rsidR="00973CBF" w:rsidRPr="00EC250C">
        <w:rPr>
          <w:szCs w:val="24"/>
          <w:vertAlign w:val="superscript"/>
        </w:rPr>
        <w:footnoteReference w:id="808"/>
      </w:r>
      <w:r w:rsidR="00973CBF" w:rsidRPr="00EC250C">
        <w:rPr>
          <w:szCs w:val="24"/>
        </w:rPr>
        <w:t>, ochrony praw cudzoziemców</w:t>
      </w:r>
      <w:r w:rsidR="00992FD0" w:rsidRPr="00EC250C">
        <w:rPr>
          <w:szCs w:val="24"/>
        </w:rPr>
        <w:t xml:space="preserve"> w </w:t>
      </w:r>
      <w:r w:rsidR="00973CBF" w:rsidRPr="00EC250C">
        <w:rPr>
          <w:szCs w:val="24"/>
        </w:rPr>
        <w:t>ośrodkach detencji</w:t>
      </w:r>
      <w:r w:rsidR="00973CBF" w:rsidRPr="00EC250C">
        <w:rPr>
          <w:szCs w:val="24"/>
          <w:vertAlign w:val="superscript"/>
        </w:rPr>
        <w:footnoteReference w:id="809"/>
      </w:r>
      <w:r w:rsidR="00973CBF" w:rsidRPr="00EC250C">
        <w:rPr>
          <w:szCs w:val="24"/>
        </w:rPr>
        <w:t xml:space="preserve"> oraz implementacji </w:t>
      </w:r>
      <w:r w:rsidR="00973CBF" w:rsidRPr="00EC250C">
        <w:rPr>
          <w:bCs/>
          <w:szCs w:val="24"/>
        </w:rPr>
        <w:t>Wzorcowych Reguł Minimalnych Organizacji Narodów Zjednoczonych dotyczących postępowania</w:t>
      </w:r>
      <w:r w:rsidR="00992FD0" w:rsidRPr="00EC250C">
        <w:rPr>
          <w:bCs/>
          <w:szCs w:val="24"/>
        </w:rPr>
        <w:t xml:space="preserve"> z </w:t>
      </w:r>
      <w:r w:rsidR="00973CBF" w:rsidRPr="00EC250C">
        <w:rPr>
          <w:bCs/>
          <w:szCs w:val="24"/>
        </w:rPr>
        <w:t>więźniami (Reguły Mandeli)</w:t>
      </w:r>
      <w:r w:rsidR="00973CBF" w:rsidRPr="00EC250C">
        <w:rPr>
          <w:bCs/>
          <w:szCs w:val="24"/>
          <w:vertAlign w:val="superscript"/>
        </w:rPr>
        <w:footnoteReference w:id="810"/>
      </w:r>
    </w:p>
    <w:p w14:paraId="6CDCF636" w14:textId="77777777" w:rsidR="00C91F6E" w:rsidRPr="00EC250C" w:rsidRDefault="00973CBF" w:rsidP="00D131FA">
      <w:pPr>
        <w:pStyle w:val="Styl1"/>
        <w:ind w:firstLine="360"/>
        <w:rPr>
          <w:szCs w:val="24"/>
        </w:rPr>
      </w:pPr>
      <w:r w:rsidRPr="00EC250C">
        <w:rPr>
          <w:szCs w:val="24"/>
        </w:rPr>
        <w:t>W 2018</w:t>
      </w:r>
      <w:r w:rsidR="00C91F6E" w:rsidRPr="00EC250C">
        <w:rPr>
          <w:szCs w:val="24"/>
        </w:rPr>
        <w:t> r.</w:t>
      </w:r>
      <w:r w:rsidRPr="00EC250C">
        <w:rPr>
          <w:szCs w:val="24"/>
        </w:rPr>
        <w:t xml:space="preserve">, po raz pierwszy </w:t>
      </w:r>
      <w:r w:rsidR="004B39B9" w:rsidRPr="00EC250C">
        <w:rPr>
          <w:szCs w:val="24"/>
        </w:rPr>
        <w:t xml:space="preserve">do </w:t>
      </w:r>
      <w:r w:rsidRPr="00EC250C">
        <w:rPr>
          <w:szCs w:val="24"/>
        </w:rPr>
        <w:t>Pols</w:t>
      </w:r>
      <w:r w:rsidR="004B39B9" w:rsidRPr="00EC250C">
        <w:rPr>
          <w:szCs w:val="24"/>
        </w:rPr>
        <w:t xml:space="preserve">ku przyjechała </w:t>
      </w:r>
      <w:r w:rsidRPr="00EC250C">
        <w:rPr>
          <w:szCs w:val="24"/>
        </w:rPr>
        <w:t xml:space="preserve">delegacji Podkomitetu ONZ do Spraw Zapobiegania Torturom oraz Nieludzkiemu lub Poniżającemu Traktowaniu albo Karaniu (SPT). </w:t>
      </w:r>
      <w:r w:rsidR="004B39B9" w:rsidRPr="00EC250C">
        <w:rPr>
          <w:szCs w:val="24"/>
        </w:rPr>
        <w:t>Jej c</w:t>
      </w:r>
      <w:r w:rsidRPr="00EC250C">
        <w:rPr>
          <w:szCs w:val="24"/>
        </w:rPr>
        <w:t>złonkowie spotkali się</w:t>
      </w:r>
      <w:r w:rsidR="00992FD0" w:rsidRPr="00EC250C">
        <w:rPr>
          <w:szCs w:val="24"/>
        </w:rPr>
        <w:t xml:space="preserve"> z </w:t>
      </w:r>
      <w:r w:rsidR="004B39B9" w:rsidRPr="00EC250C">
        <w:rPr>
          <w:szCs w:val="24"/>
        </w:rPr>
        <w:t>RPO</w:t>
      </w:r>
      <w:r w:rsidRPr="00EC250C">
        <w:rPr>
          <w:szCs w:val="24"/>
        </w:rPr>
        <w:t xml:space="preserve">, członkami </w:t>
      </w:r>
      <w:r w:rsidR="004B39B9" w:rsidRPr="00EC250C">
        <w:rPr>
          <w:szCs w:val="24"/>
        </w:rPr>
        <w:t>KMPT</w:t>
      </w:r>
      <w:r w:rsidRPr="00EC250C">
        <w:rPr>
          <w:szCs w:val="24"/>
        </w:rPr>
        <w:t>, także</w:t>
      </w:r>
      <w:r w:rsidR="00992FD0" w:rsidRPr="00EC250C">
        <w:rPr>
          <w:szCs w:val="24"/>
        </w:rPr>
        <w:t xml:space="preserve"> z </w:t>
      </w:r>
      <w:r w:rsidRPr="00EC250C">
        <w:rPr>
          <w:szCs w:val="24"/>
        </w:rPr>
        <w:t>przedstawicielami władz, instytucjami stojącymi na straży praw człowieka, organizacjami pozarządowymi, społeczeństwem obywatelskim.</w:t>
      </w:r>
    </w:p>
    <w:p w14:paraId="73DE6FE6" w14:textId="77777777" w:rsidR="00973CBF" w:rsidRPr="00EC250C" w:rsidRDefault="00973CBF" w:rsidP="00D131FA">
      <w:pPr>
        <w:pStyle w:val="Styl1"/>
        <w:ind w:firstLine="360"/>
        <w:rPr>
          <w:szCs w:val="24"/>
        </w:rPr>
      </w:pPr>
      <w:r w:rsidRPr="00EC250C">
        <w:rPr>
          <w:szCs w:val="24"/>
        </w:rPr>
        <w:t>Wizyta SPT</w:t>
      </w:r>
      <w:r w:rsidR="00992FD0" w:rsidRPr="00EC250C">
        <w:rPr>
          <w:szCs w:val="24"/>
        </w:rPr>
        <w:t xml:space="preserve"> w </w:t>
      </w:r>
      <w:r w:rsidRPr="00EC250C">
        <w:rPr>
          <w:szCs w:val="24"/>
        </w:rPr>
        <w:t>naszym kraju ma ogromne znaczenie edukacyjne</w:t>
      </w:r>
      <w:r w:rsidR="00992FD0" w:rsidRPr="00EC250C">
        <w:rPr>
          <w:szCs w:val="24"/>
        </w:rPr>
        <w:t xml:space="preserve"> i </w:t>
      </w:r>
      <w:r w:rsidRPr="00EC250C">
        <w:rPr>
          <w:szCs w:val="24"/>
        </w:rPr>
        <w:t>prewencyjne. Umożliwia bowiem władzom refleksję nad sposobem traktowania osób pozbawionych wolności, podejmowanymi działaniami zapobiegawczymi oraz współpracą</w:t>
      </w:r>
      <w:r w:rsidR="00992FD0" w:rsidRPr="00EC250C">
        <w:rPr>
          <w:szCs w:val="24"/>
        </w:rPr>
        <w:t xml:space="preserve"> z </w:t>
      </w:r>
      <w:r w:rsidRPr="00EC250C">
        <w:rPr>
          <w:szCs w:val="24"/>
        </w:rPr>
        <w:t>rozmaitymi podmiotami, ukierunkowaną na budowę kultury braku społecznej akceptacji dla tortur.</w:t>
      </w:r>
    </w:p>
    <w:p w14:paraId="3777B52E" w14:textId="77777777" w:rsidR="008723E4" w:rsidRPr="00EC250C" w:rsidRDefault="00F52AC5" w:rsidP="00EC250C">
      <w:pPr>
        <w:pStyle w:val="Nagwek3"/>
      </w:pPr>
      <w:r w:rsidRPr="00EC250C">
        <w:br w:type="page"/>
      </w:r>
      <w:bookmarkStart w:id="803" w:name="_Toc11247870"/>
      <w:r w:rsidR="008723E4" w:rsidRPr="00EC250C">
        <w:lastRenderedPageBreak/>
        <w:t>Ochrona praw żołnierzy i funkcjonariuszy publicznych</w:t>
      </w:r>
      <w:bookmarkEnd w:id="803"/>
    </w:p>
    <w:p w14:paraId="066E6B79" w14:textId="77777777" w:rsidR="008723E4" w:rsidRPr="00EC250C" w:rsidRDefault="008723E4" w:rsidP="00D131FA">
      <w:pPr>
        <w:pStyle w:val="Problemczowieka"/>
        <w:jc w:val="both"/>
        <w:rPr>
          <w:shd w:val="clear" w:color="auto" w:fill="FFFFFF"/>
        </w:rPr>
      </w:pPr>
      <w:r w:rsidRPr="00EC250C">
        <w:rPr>
          <w:shd w:val="clear" w:color="auto" w:fill="FFFFFF"/>
        </w:rPr>
        <w:t>Specyfika służb mundurowych sprawia, że są one instytucjami zhierarchizowanymi, hermetycznymi, o silnych strukturach pionowego podporządkowania. To wszystko sprawia, że  realia służby stwarzają potencjalne zagrożenie naruszania, a nawet łamania wolności i praw.</w:t>
      </w:r>
    </w:p>
    <w:p w14:paraId="551DB88E" w14:textId="77777777" w:rsidR="008723E4" w:rsidRPr="00EC250C" w:rsidRDefault="008723E4" w:rsidP="00D131FA">
      <w:pPr>
        <w:pStyle w:val="Styl1"/>
      </w:pPr>
      <w:r w:rsidRPr="00EC250C">
        <w:t>Problemy dotyczące żołnierzy RPO identyfikuje dzięki kontrolom przestrzegania praw i wolności obywatelskich żołnierzy i funkcjonariuszy. W przypadku skargi wskazującej na nieprawidłowości w służbie Rzecznik może zbadać sprawę na miejscu – nawet bez zapowiedzi. Także w czasie wizytacji prewencyjnych Krajowego Mechanizmu Prewencji Tortur funkcjonariusze jednostek penitencjarnych mogą zgłaszać uwagi dotyczące warunków służby i respektowania praw i wolności.</w:t>
      </w:r>
    </w:p>
    <w:p w14:paraId="703DF0E1" w14:textId="77777777" w:rsidR="008723E4" w:rsidRPr="00EC250C" w:rsidRDefault="008723E4" w:rsidP="00D131FA">
      <w:pPr>
        <w:pStyle w:val="Styl1"/>
      </w:pPr>
      <w:r w:rsidRPr="00EC250C">
        <w:t>Problematyką tą zajmuje się w Biurze RPO wydział ds. żołnierzy i funkcjonariuszy.</w:t>
      </w:r>
    </w:p>
    <w:p w14:paraId="134EEB04" w14:textId="77777777" w:rsidR="008723E4" w:rsidRPr="00EC250C" w:rsidRDefault="008723E4" w:rsidP="00EC250C">
      <w:pPr>
        <w:pStyle w:val="Nagwek5"/>
      </w:pPr>
      <w:r w:rsidRPr="00EC250C">
        <w:t>Sprawy żołnierzy</w:t>
      </w:r>
    </w:p>
    <w:p w14:paraId="559AB4EB" w14:textId="77777777" w:rsidR="008723E4" w:rsidRPr="00EC250C" w:rsidRDefault="008723E4" w:rsidP="00D131FA">
      <w:pPr>
        <w:pStyle w:val="Srdtytul6"/>
        <w:jc w:val="both"/>
        <w:rPr>
          <w:lang w:eastAsia="en-US" w:bidi="hi-IN"/>
        </w:rPr>
      </w:pPr>
      <w:r w:rsidRPr="00EC250C">
        <w:rPr>
          <w:lang w:eastAsia="en-US" w:bidi="hi-IN"/>
        </w:rPr>
        <w:t>Sprzęt wojskowy</w:t>
      </w:r>
    </w:p>
    <w:p w14:paraId="2B1B8B9E" w14:textId="77777777" w:rsidR="008723E4" w:rsidRPr="00EC250C" w:rsidRDefault="008723E4" w:rsidP="00D131FA">
      <w:pPr>
        <w:pStyle w:val="Styl1"/>
        <w:rPr>
          <w:bCs/>
          <w:iCs/>
        </w:rPr>
      </w:pPr>
      <w:r w:rsidRPr="00EC250C">
        <w:t xml:space="preserve">Kontrole przeprowadzane w 2018  r. dotyczyły nie tylko sytuacji trudnych i dramatycznych (jak wypadek myśliwca MIG 29), ale też tego, jak w praktyce działają przepisy dotyczące służby. Z jednej z takich kontroli okazało się, że </w:t>
      </w:r>
      <w:r w:rsidRPr="00EC250C">
        <w:rPr>
          <w:bCs/>
          <w:iCs/>
        </w:rPr>
        <w:t xml:space="preserve">żołnierze pozytywnie oceniają zmianę przepisów regulujących zasady odbywania służby kontraktowej i zniesienie 12-letniego limitu maksymalnego okresu służby dla żołnierzy korpusu szeregowych. Zdaniem żołnierzy spowodowało to poprawę dyscypliny i jakości wykonywania obowiązków służbowych. Najistotniejszym problemem – z punktu widzenia żołnierzy – jest natomiast wiarygodne informowanie żołnierzy, zwłaszcza z korpusu podoficerskiego, o możliwości odpowiedniego, indywidualnego planowania ich rozwoju zawodowego. </w:t>
      </w:r>
    </w:p>
    <w:p w14:paraId="5AC7E39F" w14:textId="77777777" w:rsidR="008723E4" w:rsidRPr="00EC250C" w:rsidRDefault="008723E4" w:rsidP="00D131FA">
      <w:pPr>
        <w:pStyle w:val="Styl1"/>
        <w:rPr>
          <w:bCs/>
          <w:iCs/>
        </w:rPr>
      </w:pPr>
      <w:r w:rsidRPr="00EC250C">
        <w:rPr>
          <w:bCs/>
          <w:iCs/>
        </w:rPr>
        <w:t>Żołnierze negatywnie ocenili wprowadzenie w wojsku systemu zmniejszania uposażenia do 80% w przypadku pozostawania żołnierza na zwolnieniu lekarskim.</w:t>
      </w:r>
    </w:p>
    <w:p w14:paraId="41741F95" w14:textId="77777777" w:rsidR="008723E4" w:rsidRPr="00EC250C" w:rsidRDefault="008723E4" w:rsidP="00D131FA">
      <w:pPr>
        <w:pStyle w:val="Styl1"/>
        <w:rPr>
          <w:bCs/>
          <w:iCs/>
        </w:rPr>
      </w:pPr>
      <w:r w:rsidRPr="00EC250C">
        <w:rPr>
          <w:bCs/>
          <w:iCs/>
        </w:rPr>
        <w:t>Praktycznie wszyscy żołnierze kontrolowanych jednostek wskazywali na niską jakość sprzętu wojskowego, zwłaszcza transportowego oraz umundurowania. Niepokój wzbudził również fakt, że w szkoleniach na poligonie nie uczestniczy lekarz wojskowy, a jednostka nie ma izby chorych. Co więcej, żołnierze nie mogą liczyć na pomoc w cywilnych jednostkach służby zdrowia nawet w zakresie podstawowych potrzeb</w:t>
      </w:r>
      <w:r w:rsidRPr="00EC250C">
        <w:rPr>
          <w:rStyle w:val="Odwoanieprzypisudolnego"/>
          <w:bCs/>
          <w:iCs/>
        </w:rPr>
        <w:footnoteReference w:id="811"/>
      </w:r>
      <w:r w:rsidRPr="00EC250C">
        <w:rPr>
          <w:bCs/>
          <w:iCs/>
        </w:rPr>
        <w:t>.</w:t>
      </w:r>
    </w:p>
    <w:p w14:paraId="1EEC6249" w14:textId="77777777" w:rsidR="008723E4" w:rsidRPr="00EC250C" w:rsidRDefault="008723E4" w:rsidP="00D131FA">
      <w:pPr>
        <w:pStyle w:val="Styl1"/>
        <w:rPr>
          <w:bCs/>
          <w:iCs/>
        </w:rPr>
      </w:pPr>
      <w:r w:rsidRPr="00EC250C">
        <w:rPr>
          <w:bCs/>
          <w:iCs/>
        </w:rPr>
        <w:lastRenderedPageBreak/>
        <w:t>Bardzo poważnym problemem okazał się w 2018 r. sposób serwisowania samolotów wojskowej produkcji rosyjskiej – zdaniem żołnierzy są one naprawiane w sposób rzemieślniczy w krajowych zakładach, które nie mają kontaktu z producentem tych maszyn. Zdaniem żołnierzy to ten sposób napraw przyczynił się do śmierci w 2018 r. pilota z bazy w Malborku: samolot miał awarię silnika, pilot katapultował się, ale nie otworzył mu się spadochron.</w:t>
      </w:r>
    </w:p>
    <w:p w14:paraId="6D83451C" w14:textId="77777777" w:rsidR="008723E4" w:rsidRPr="00EC250C" w:rsidRDefault="008723E4" w:rsidP="00D131FA">
      <w:pPr>
        <w:pStyle w:val="Styl1"/>
        <w:rPr>
          <w:bCs/>
          <w:iCs/>
        </w:rPr>
      </w:pPr>
      <w:r w:rsidRPr="00EC250C">
        <w:rPr>
          <w:bCs/>
          <w:iCs/>
        </w:rPr>
        <w:t>W trosce o bezpieczeństwo żołnierzy oraz ludności cywilnej, narażonej na skutki wypadków lotniczych RPO zwrócił się do Ministra Obrony Narodowej o zbadanie problemu oraz rozważenie zmiany serwisowania samolotów MIG 29</w:t>
      </w:r>
      <w:r w:rsidRPr="00EC250C">
        <w:t xml:space="preserve"> na zasadach zbliżonych do samolotów F-16.</w:t>
      </w:r>
    </w:p>
    <w:p w14:paraId="5FFF4505" w14:textId="77777777" w:rsidR="008723E4" w:rsidRPr="00EC250C" w:rsidRDefault="008723E4" w:rsidP="00D131FA">
      <w:pPr>
        <w:pStyle w:val="Styl1"/>
        <w:rPr>
          <w:bCs/>
          <w:iCs/>
        </w:rPr>
      </w:pPr>
      <w:r w:rsidRPr="00EC250C">
        <w:rPr>
          <w:bCs/>
          <w:iCs/>
        </w:rPr>
        <w:t>Minister poinformował, że działania profilaktyczne po katastrofie zostały zrealizowane i samoloty uznane zostały za bezpieczne</w:t>
      </w:r>
      <w:r w:rsidRPr="00EC250C">
        <w:rPr>
          <w:rStyle w:val="Odwoanieprzypisudolnego"/>
          <w:bCs/>
          <w:iCs/>
        </w:rPr>
        <w:footnoteReference w:id="812"/>
      </w:r>
      <w:r w:rsidRPr="00EC250C">
        <w:rPr>
          <w:bCs/>
          <w:iCs/>
        </w:rPr>
        <w:t>. Kolejny wypadek MIG-a zdarzył się w marcu 2019 r.</w:t>
      </w:r>
    </w:p>
    <w:p w14:paraId="5F07C8C6" w14:textId="77777777" w:rsidR="008723E4" w:rsidRPr="00EC250C" w:rsidRDefault="008723E4" w:rsidP="00D131FA">
      <w:pPr>
        <w:pStyle w:val="Styl1"/>
      </w:pPr>
      <w:r w:rsidRPr="00EC250C">
        <w:rPr>
          <w:bCs/>
          <w:iCs/>
        </w:rPr>
        <w:t xml:space="preserve">Z doniesień medialnych wynika, że badająca pierwszy wypadek </w:t>
      </w:r>
      <w:r w:rsidRPr="00EC250C">
        <w:t>Komisja Badania Wypadków Lotniczych potwierdziła zgłaszane do RPO uwagi żołnierzy: problemem jest sposób serwisowania maszyn</w:t>
      </w:r>
      <w:r w:rsidRPr="00EC250C">
        <w:rPr>
          <w:rStyle w:val="Odwoanieprzypisudolnego"/>
        </w:rPr>
        <w:footnoteReference w:id="813"/>
      </w:r>
      <w:r w:rsidRPr="00EC250C">
        <w:t>.</w:t>
      </w:r>
    </w:p>
    <w:p w14:paraId="48AE4CB7" w14:textId="77777777" w:rsidR="008723E4" w:rsidRPr="00EC250C" w:rsidRDefault="008723E4" w:rsidP="00D131FA">
      <w:pPr>
        <w:pStyle w:val="ODESANIE"/>
        <w:jc w:val="both"/>
      </w:pPr>
      <w:r w:rsidRPr="00EC250C">
        <w:t>Sprawa konsekwencji zaniedbań sprzętowych dla bezpieczeństwa i życia żołnierzy opisana jest szerzej w kontekście art. 66 Konstytucji</w:t>
      </w:r>
    </w:p>
    <w:p w14:paraId="61C1DAD3" w14:textId="77777777" w:rsidR="008723E4" w:rsidRPr="00EC250C" w:rsidRDefault="008723E4" w:rsidP="00D131FA">
      <w:pPr>
        <w:pStyle w:val="Srdtytul6"/>
        <w:jc w:val="both"/>
      </w:pPr>
      <w:r w:rsidRPr="00EC250C">
        <w:t>Orzecznictwo wojskowo-lekarskie</w:t>
      </w:r>
    </w:p>
    <w:p w14:paraId="64F4C264" w14:textId="77777777" w:rsidR="008723E4" w:rsidRPr="00EC250C" w:rsidRDefault="008723E4" w:rsidP="00D131FA">
      <w:pPr>
        <w:pStyle w:val="Styl1"/>
      </w:pPr>
      <w:r w:rsidRPr="00EC250C">
        <w:t>Osobnym tematem zainteresowania RPO jest system zabezpieczenia społecznego żołnierzy i funkcjonariuszy. RPO zwracał uwagę w 2018 r. na nieprecyzyjne przepisy odnoszące się do kryteriów diagnostycznych i orzeczniczych w orzecznictwie wojskowo-lekarskim. Przez to żołnierze cierpiący na zaburzenia stresu pourazowego (PTSD) mogą nie otrzymywać właściwej pomocy</w:t>
      </w:r>
      <w:r w:rsidRPr="00EC250C">
        <w:rPr>
          <w:rStyle w:val="Odwoanieprzypisudolnego"/>
        </w:rPr>
        <w:footnoteReference w:id="814"/>
      </w:r>
      <w:r w:rsidRPr="00EC250C">
        <w:t>.</w:t>
      </w:r>
    </w:p>
    <w:p w14:paraId="1CD26C31" w14:textId="77777777" w:rsidR="008723E4" w:rsidRPr="00EC250C" w:rsidRDefault="008723E4" w:rsidP="00D131FA">
      <w:pPr>
        <w:pStyle w:val="ODESANIE"/>
        <w:jc w:val="both"/>
      </w:pPr>
      <w:r w:rsidRPr="00EC250C">
        <w:t>Więcej na ten temat – art. 68 Konstytucji</w:t>
      </w:r>
    </w:p>
    <w:p w14:paraId="4F8D62ED" w14:textId="77777777" w:rsidR="008723E4" w:rsidRPr="00EC250C" w:rsidRDefault="008723E4" w:rsidP="00D131FA">
      <w:pPr>
        <w:pStyle w:val="Srdtytul6"/>
        <w:jc w:val="both"/>
        <w:rPr>
          <w:lang w:eastAsia="zh-CN" w:bidi="hi-IN"/>
        </w:rPr>
      </w:pPr>
      <w:r w:rsidRPr="00EC250C">
        <w:rPr>
          <w:lang w:eastAsia="zh-CN" w:bidi="hi-IN"/>
        </w:rPr>
        <w:t>Standardy demokratycznej kontroli nad Siłami Zbrojnymi – współpraca z ombudsmanami sił zbrojnych innych krajów</w:t>
      </w:r>
      <w:r w:rsidRPr="00EC250C">
        <w:t xml:space="preserve"> </w:t>
      </w:r>
    </w:p>
    <w:p w14:paraId="7E18F0BD" w14:textId="77777777" w:rsidR="008723E4" w:rsidRPr="00EC250C" w:rsidRDefault="008723E4" w:rsidP="00D131FA">
      <w:pPr>
        <w:pStyle w:val="Styl1"/>
      </w:pPr>
      <w:r w:rsidRPr="00EC250C">
        <w:t xml:space="preserve">Rzecznik Praw Obywatelskich brał udział w cyklicznie organizowanych przez Centrum ds. Demokratycznej Kontroli nad Siłami Zbrojnymi (DCAF) w Genewie międzynarodowych konferencjach ombudsmanów ds. sił zbrojnych (ICOAF). Przedmiotem zainteresowania ich uczestników jest rola ombudsmanów wojskowych w demokratycznej kontroli nad siłami zbrojnymi oraz dobrym zarządzaniu sektorem bezpieczeństwa. </w:t>
      </w:r>
    </w:p>
    <w:p w14:paraId="1DD89047" w14:textId="77777777" w:rsidR="008723E4" w:rsidRPr="00EC250C" w:rsidRDefault="008723E4" w:rsidP="00D131FA">
      <w:pPr>
        <w:pStyle w:val="Styl1"/>
      </w:pPr>
      <w:r w:rsidRPr="00EC250C">
        <w:rPr>
          <w:lang w:eastAsia="zh-CN" w:bidi="hi-IN"/>
        </w:rPr>
        <w:lastRenderedPageBreak/>
        <w:t>W dniach 28-30 października 2018 r. w Johannesburgu miała miejsce 10</w:t>
      </w:r>
      <w:r w:rsidRPr="00EC250C">
        <w:t xml:space="preserve"> Międzynarodowa Konferencja Ombudsmanów ds. Sił Zbrojnych</w:t>
      </w:r>
      <w:r w:rsidRPr="00EC250C">
        <w:rPr>
          <w:rStyle w:val="Odwoanieprzypisudolnego"/>
          <w:szCs w:val="22"/>
        </w:rPr>
        <w:footnoteReference w:id="815"/>
      </w:r>
      <w:r w:rsidRPr="00EC250C">
        <w:t xml:space="preserve"> na temat roli instytucji ombudsmańskich w rozwoju sił zbrojnych. Dyskusja dotyczyła także bezpieczeństwa wewnętrznego (w tym porządku publicznego, kontrterroryzmu, gromadzenia informacji, śledztw kryminalnych). W stanie zagrożenia ombudsmani powinni monitorować przestrzeganie polityk i procedur, i sygnalizować, kiedy zostaną one przekroczone. Przykładowo przedstawiciel resortu obrony Belgii przedstawił konsekwencje społeczne (problemy wynikające z obecności żołnierzy w przestrzeni publicznej po zamachu terrorystycznym w Brukseli) wykorzystania sił zbrojnych w przypadku zagrożeń związanych z zamachami terrorystycznymi.</w:t>
      </w:r>
    </w:p>
    <w:p w14:paraId="1823B2F6" w14:textId="77777777" w:rsidR="008723E4" w:rsidRPr="00EC250C" w:rsidRDefault="008723E4" w:rsidP="00D131FA">
      <w:pPr>
        <w:pStyle w:val="Styl1"/>
      </w:pPr>
      <w:r w:rsidRPr="00EC250C">
        <w:t>Rozważania dotyczyły także sposobów reagowania ombudsmanów wojskowych na kryzys związany z klęską żywiołową, chorobami zakaźnymi (przedstawione zostały działania związane z rozprzestrzenianiem się wirusa Eboli w Afryce) czy zagrożeniami pochodzącymi od człowieka (wyciek oleju, katastrofy komunikacyjne), w szczególności odpowiednie wyszkolenie i wyposażenie zanim jeszcze kryzys nastąpi. W przypadku wystąpienia kryzysu ombudsmani powinni monitorować ewentualne naruszenia wobec osób cywilnych. W takich okolicznościach ombudsmani mogą pełnić rolę mediatora pomiędzy ludnością cywilną a wojskiem.</w:t>
      </w:r>
    </w:p>
    <w:p w14:paraId="2C953F91" w14:textId="77777777" w:rsidR="008723E4" w:rsidRPr="00EC250C" w:rsidRDefault="008723E4" w:rsidP="00D131FA">
      <w:pPr>
        <w:pStyle w:val="Styl1"/>
      </w:pPr>
      <w:r w:rsidRPr="00EC250C">
        <w:t>Omawiane były ponadto problemy migracji i systemów ochrony granic. W przypadku, gdy dojdzie do kryzysu migracyjnego i równoczesnego udziału w nim sił zbrojnych i straży granicznej, ombudsmani powinni koncentrować się na koordynacji współpracy pomiędzy obiema instytucjami oraz ewentualnym nadużyciami wobec ludności cywilnej.</w:t>
      </w:r>
    </w:p>
    <w:p w14:paraId="74B459FD" w14:textId="77777777" w:rsidR="008723E4" w:rsidRPr="00EC250C" w:rsidRDefault="008723E4" w:rsidP="00D131FA">
      <w:pPr>
        <w:pStyle w:val="Styl1"/>
      </w:pPr>
      <w:r w:rsidRPr="00EC250C">
        <w:t>Zaangażowanie sił zbrojnych w misje międzynarodowe implikuje zwiększone zainteresowanie ombudsmanów adekwatnymi przygotowaniami do misji, warunkami służby, a następnie skutkami udziału w misji dla żołnierzy oraz ich rodzin. Każda misja (np. NATO, ONZ, Unia Afrykańska czy ECOWAS) ma swoją specyfikę, więc systemy skargowe powinny je uwzględniać. Ombudsmani skupiają swoją uwagę na uczestnikach misji, jednak systemy skargowe powinny obejmować także ludność cywilną w rejonie działania kontyngentu wojskowego. Dobrą praktyką byłoby organizowanie dla żołnierzy z różnych krajów, mających uczestniczyć w misji wojskowej wspólnych szkoleń. Rozwiązanie takie powinno przyczynić się do zapobieżenia nieporozumieniom wynikającym ze zróżnicowanego wsparcia technicznego w przygotowaniu do konkretnych misji wojskowych.</w:t>
      </w:r>
    </w:p>
    <w:p w14:paraId="45ED4794" w14:textId="77777777" w:rsidR="008723E4" w:rsidRPr="00EC250C" w:rsidRDefault="008723E4" w:rsidP="00EC250C">
      <w:pPr>
        <w:pStyle w:val="Nagwek5"/>
      </w:pPr>
      <w:r w:rsidRPr="00EC250C">
        <w:lastRenderedPageBreak/>
        <w:t>Ochrona praw funkcjonariuszy</w:t>
      </w:r>
    </w:p>
    <w:p w14:paraId="3ADFDE98" w14:textId="77777777" w:rsidR="008723E4" w:rsidRPr="00EC250C" w:rsidRDefault="008723E4" w:rsidP="00D131FA">
      <w:pPr>
        <w:pStyle w:val="Srdtytul6"/>
        <w:jc w:val="both"/>
        <w:rPr>
          <w:lang w:eastAsia="en-US"/>
        </w:rPr>
      </w:pPr>
      <w:r w:rsidRPr="00EC250C">
        <w:rPr>
          <w:lang w:eastAsia="en-US"/>
        </w:rPr>
        <w:t>10-godzinna służba na stałe</w:t>
      </w:r>
    </w:p>
    <w:p w14:paraId="396B414A" w14:textId="77777777" w:rsidR="008723E4" w:rsidRPr="00EC250C" w:rsidRDefault="008723E4" w:rsidP="00D131FA">
      <w:pPr>
        <w:pStyle w:val="Styl1"/>
        <w:rPr>
          <w:lang w:eastAsia="en-US"/>
        </w:rPr>
      </w:pPr>
      <w:r w:rsidRPr="00EC250C">
        <w:rPr>
          <w:lang w:eastAsia="en-US"/>
        </w:rPr>
        <w:t>RPO zwracał w 2018 r. uwagę na konsekwencje wykorzystania wyjątkowych przepisów o organizacji czasu służby policjantów jako normy: zbyt często policjanci mają służbę planowaną na 10-godzin, a pomieszczenia, w których pełnią służbę, stwarzają zagrożenie dla zdrowiu zatrzymanych i samych funkcjonariuszy.</w:t>
      </w:r>
    </w:p>
    <w:p w14:paraId="62B48614" w14:textId="77777777" w:rsidR="008723E4" w:rsidRPr="00EC250C" w:rsidRDefault="008723E4" w:rsidP="00D131FA">
      <w:pPr>
        <w:pStyle w:val="Styl1"/>
      </w:pPr>
      <w:r w:rsidRPr="00EC250C">
        <w:rPr>
          <w:bCs/>
          <w:iCs/>
          <w:lang w:eastAsia="en-US"/>
        </w:rPr>
        <w:t xml:space="preserve">10-godzinna służba ma oczywiście zalety, na co wskazują sami </w:t>
      </w:r>
      <w:r w:rsidRPr="00EC250C">
        <w:t>policjanci (mają dzięki temu dodatkowy dzień wolny w tygodniu, bo 40 godzin tygodniowo wypracowują w cztery dni). Nie można jej jednak nadużywać. Norma wypoczynku (14 godzin) dla służby 10-godzinnej jest zauważalnie niższa od normy wypoczynku dla służby 12-godzinnej (24/48 godz) i odpowiada wartości przewidzianej dla 8-godzinnej służby w porze nocnej.</w:t>
      </w:r>
    </w:p>
    <w:p w14:paraId="42889112" w14:textId="77777777" w:rsidR="008723E4" w:rsidRPr="00EC250C" w:rsidRDefault="008723E4" w:rsidP="00D131FA">
      <w:pPr>
        <w:pStyle w:val="Styl1"/>
      </w:pPr>
      <w:r w:rsidRPr="00EC250C">
        <w:t>Zdaniem RPO pozostawienie przełożonym możliwości decydowania o prawie do wypoczynku w indywidualnym czasie służby budzi wątpliwości z punktu widzenia art. 66 ust. 2 Konstytucji. Tymczasem problem organizacji służby można rozwiązać w inny sposób, co – jak podkreślił RPO – proponują sami policjanci</w:t>
      </w:r>
      <w:r w:rsidRPr="00EC250C">
        <w:rPr>
          <w:rStyle w:val="Odwoanieprzypisudolnego"/>
          <w:bCs/>
          <w:iCs/>
          <w:lang w:eastAsia="en-US"/>
        </w:rPr>
        <w:footnoteReference w:id="816"/>
      </w:r>
      <w:r w:rsidRPr="00EC250C">
        <w:t>. Możliwe nowe formy pełnienia służby to:</w:t>
      </w:r>
    </w:p>
    <w:p w14:paraId="0C323749" w14:textId="77777777" w:rsidR="008723E4" w:rsidRPr="00EC250C" w:rsidRDefault="008723E4" w:rsidP="006C70B7">
      <w:pPr>
        <w:pStyle w:val="Styl1"/>
        <w:numPr>
          <w:ilvl w:val="0"/>
          <w:numId w:val="102"/>
        </w:numPr>
      </w:pPr>
      <w:r w:rsidRPr="00EC250C">
        <w:t>służba na pół etatu (przewidywana np. wobec rodziców, policjantów-seniorów lub funkcjonariuszy w okresie rekonwalescencji)</w:t>
      </w:r>
    </w:p>
    <w:p w14:paraId="7D7F9387" w14:textId="77777777" w:rsidR="008723E4" w:rsidRPr="00EC250C" w:rsidRDefault="008723E4" w:rsidP="006C70B7">
      <w:pPr>
        <w:pStyle w:val="Styl1"/>
        <w:numPr>
          <w:ilvl w:val="0"/>
          <w:numId w:val="102"/>
        </w:numPr>
      </w:pPr>
      <w:r w:rsidRPr="00EC250C">
        <w:t>elastyczny czas służby (ruchome godziny rozpoczęcia i zakończenia służby, np. w pionie kryminalnym)</w:t>
      </w:r>
    </w:p>
    <w:p w14:paraId="224BA219" w14:textId="77777777" w:rsidR="008723E4" w:rsidRPr="00EC250C" w:rsidRDefault="008723E4" w:rsidP="006C70B7">
      <w:pPr>
        <w:pStyle w:val="Styl1"/>
        <w:numPr>
          <w:ilvl w:val="0"/>
          <w:numId w:val="102"/>
        </w:numPr>
        <w:rPr>
          <w:bCs/>
          <w:iCs/>
          <w:lang w:eastAsia="en-US"/>
        </w:rPr>
      </w:pPr>
      <w:r w:rsidRPr="00EC250C">
        <w:t>służba na odległość (za pośrednictwem internetu, np. pion cyberprzestępczości.</w:t>
      </w:r>
    </w:p>
    <w:p w14:paraId="4A965CE4" w14:textId="77777777" w:rsidR="008723E4" w:rsidRPr="00EC250C" w:rsidRDefault="008723E4" w:rsidP="00D131FA">
      <w:pPr>
        <w:pStyle w:val="Styl1"/>
        <w:rPr>
          <w:bCs/>
          <w:iCs/>
          <w:lang w:eastAsia="en-US"/>
        </w:rPr>
      </w:pPr>
      <w:r w:rsidRPr="00EC250C">
        <w:rPr>
          <w:bCs/>
          <w:iCs/>
          <w:lang w:eastAsia="en-US"/>
        </w:rPr>
        <w:t xml:space="preserve">Minister </w:t>
      </w:r>
      <w:r w:rsidRPr="00EC250C">
        <w:rPr>
          <w:bCs/>
          <w:iCs/>
          <w:caps/>
          <w:lang w:eastAsia="en-US"/>
        </w:rPr>
        <w:t>SW</w:t>
      </w:r>
      <w:r w:rsidRPr="00EC250C">
        <w:rPr>
          <w:bCs/>
          <w:iCs/>
          <w:lang w:eastAsia="en-US"/>
        </w:rPr>
        <w:t>i</w:t>
      </w:r>
      <w:r w:rsidRPr="00EC250C">
        <w:rPr>
          <w:bCs/>
          <w:iCs/>
          <w:caps/>
          <w:lang w:eastAsia="en-US"/>
        </w:rPr>
        <w:t xml:space="preserve">A </w:t>
      </w:r>
      <w:r w:rsidRPr="00EC250C">
        <w:rPr>
          <w:bCs/>
          <w:iCs/>
          <w:lang w:eastAsia="en-US"/>
        </w:rPr>
        <w:t>nie podzielił zastrzeżeń RPO wskazując m.in., że indywidualny rozkład czasu służby policjanta jest ustalany w szczególnie uzasadnionych przypadkach (na wniosek policjanta) oraz w ramach normy czasu służby, o której mowa w art. 33 ust. 2 ustawy o Policji, w zakresie konkretnego systemu czasu służby i nie może naruszać charakterystycznych dla niego zasad ochronnych, tj. np. maksymalnego dobowego wymiaru czasu służby obowiązującego w danym systemie czasu służby, przeciętnie 40-godzinnej tygodniowej normy czasu służby, dobowego i tygodniowego prawa funkcjonariusza do odpoczynku, a także prawa do jednej na trzy tygodnie niedzieli wolnej od służby. Funkcjonariusze Policji nie są pracownikami w rozumieniu art. 2 Kodeksu pracy, a stosunek służbowy policjanta nie jest stosunkiem pracy. Zatem przepisy prawa pracy mają zastosowanie do policjantów tylko w takim zakresie, na jaki pozwala ustawa o Policji i wydane na jej podstawie akty wykonawcze.</w:t>
      </w:r>
    </w:p>
    <w:p w14:paraId="05767F6F" w14:textId="77777777" w:rsidR="008723E4" w:rsidRPr="00EC250C" w:rsidRDefault="008723E4" w:rsidP="00D131FA">
      <w:pPr>
        <w:pStyle w:val="ODESANIE"/>
        <w:jc w:val="both"/>
        <w:rPr>
          <w:lang w:eastAsia="en-US"/>
        </w:rPr>
      </w:pPr>
      <w:r w:rsidRPr="00EC250C">
        <w:rPr>
          <w:lang w:eastAsia="en-US"/>
        </w:rPr>
        <w:lastRenderedPageBreak/>
        <w:t>Zobacz też – art. 66 Konstytucji</w:t>
      </w:r>
    </w:p>
    <w:p w14:paraId="2E036851" w14:textId="77777777" w:rsidR="008723E4" w:rsidRPr="00EC250C" w:rsidRDefault="008723E4" w:rsidP="00D131FA">
      <w:pPr>
        <w:pStyle w:val="Srdtytul6"/>
        <w:jc w:val="both"/>
      </w:pPr>
      <w:r w:rsidRPr="00EC250C">
        <w:t xml:space="preserve">Problemy chorujących funkcjonariuszy </w:t>
      </w:r>
    </w:p>
    <w:p w14:paraId="53C5BE98" w14:textId="77777777" w:rsidR="008723E4" w:rsidRPr="00EC250C" w:rsidRDefault="008723E4" w:rsidP="00D131FA">
      <w:pPr>
        <w:pStyle w:val="Styl1"/>
      </w:pPr>
      <w:r w:rsidRPr="00EC250C">
        <w:rPr>
          <w:rStyle w:val="Pogrubienie"/>
          <w:rFonts w:eastAsiaTheme="majorEastAsia"/>
          <w:b w:val="0"/>
          <w:bCs w:val="0"/>
        </w:rPr>
        <w:t>RPO dostawał w 2018 r. sygnały, że policjanci mają kłopoty z uzyskaniem 100-proc uposażenia na zwolnieniu lekarskim, kiedy zwolnienie to jest wynikiem szczególnych warunków służby w policji (od 2014 r. chorujący policjanci dostają 80 proc. uposażenia)</w:t>
      </w:r>
      <w:r w:rsidRPr="00EC250C">
        <w:t xml:space="preserve">.  </w:t>
      </w:r>
      <w:r w:rsidRPr="00EC250C">
        <w:rPr>
          <w:bCs/>
          <w:iCs/>
          <w:lang w:eastAsia="en-US"/>
        </w:rPr>
        <w:t>Minister Spraw Wewnętrznych i Administracji zapewnił jednak, że problem został ostatecznie rozwiązany w Przepisach wprowadzających ustawę o Straży Marszałkowskiej. Wprowadzono w nich także zmiany do ustawy o komisjach lekarskich podległych MSWiA polegające m.in. na dodaniu punktu 2a w art. 1 ust. 1 w brzmieniu: „2a) ustalenia związku schorzeń ze szczególnymi właściwościami lub warunkami służby dla celów ustalenia wysokości wynagrodzenia przysługującego funkcjonariuszom służb wskazanych w pkt 1 za okres zwolnienia od zajęć służbowych z powodu choroby”</w:t>
      </w:r>
      <w:r w:rsidRPr="00EC250C">
        <w:rPr>
          <w:vertAlign w:val="superscript"/>
          <w:lang w:eastAsia="en-US"/>
        </w:rPr>
        <w:t xml:space="preserve"> </w:t>
      </w:r>
      <w:r w:rsidRPr="00EC250C">
        <w:rPr>
          <w:vertAlign w:val="superscript"/>
          <w:lang w:eastAsia="en-US"/>
        </w:rPr>
        <w:footnoteReference w:id="817"/>
      </w:r>
      <w:r w:rsidRPr="00EC250C">
        <w:rPr>
          <w:bCs/>
          <w:iCs/>
          <w:lang w:eastAsia="en-US"/>
        </w:rPr>
        <w:t>.</w:t>
      </w:r>
      <w:r w:rsidRPr="00EC250C">
        <w:rPr>
          <w:vertAlign w:val="superscript"/>
          <w:lang w:eastAsia="en-US"/>
        </w:rPr>
        <w:t xml:space="preserve"> </w:t>
      </w:r>
    </w:p>
    <w:p w14:paraId="642DBEE2" w14:textId="77777777" w:rsidR="008723E4" w:rsidRPr="00EC250C" w:rsidRDefault="008723E4" w:rsidP="00D131FA">
      <w:pPr>
        <w:pStyle w:val="Styl1"/>
        <w:rPr>
          <w:lang w:eastAsia="en-US"/>
        </w:rPr>
      </w:pPr>
      <w:r w:rsidRPr="00EC250C">
        <w:t xml:space="preserve">W szczególnej i trudnej sytuacji znaleźli się </w:t>
      </w:r>
      <w:r w:rsidRPr="00EC250C">
        <w:rPr>
          <w:lang w:eastAsia="en-US"/>
        </w:rPr>
        <w:t>celnicy, którym po stworzeniu Krajowej Administracji Skarbowej wygasł mu stosunek służbowy, kiedy byli na zwolnieniu. Automatycznie stracili prawo do zasiłku chorobowego, bo jako funkcjonariusz służby celnej nie płacili składek do ZUS.</w:t>
      </w:r>
    </w:p>
    <w:p w14:paraId="4A00D2FF" w14:textId="77777777" w:rsidR="008723E4" w:rsidRPr="00EC250C" w:rsidRDefault="008723E4" w:rsidP="00D131FA">
      <w:pPr>
        <w:pStyle w:val="Styl1"/>
        <w:rPr>
          <w:rFonts w:eastAsia="SimSun"/>
          <w:spacing w:val="0"/>
          <w:szCs w:val="24"/>
          <w:lang w:eastAsia="en-US"/>
        </w:rPr>
      </w:pPr>
      <w:r w:rsidRPr="00EC250C">
        <w:rPr>
          <w:lang w:eastAsia="en-US" w:bidi="hi-IN"/>
        </w:rPr>
        <w:t xml:space="preserve">Interwencja RPO nie przyniosła tu skutku: ZUS i Minister Rodziny, Pracy i Polityki Społecznej potwierdziły, że jeśli cywil (a ci byli celnicy stali się cywilami) nie jest ubezpieczony, to nie ma prawa do zasiłku. </w:t>
      </w:r>
      <w:r w:rsidRPr="00EC250C">
        <w:rPr>
          <w:rFonts w:eastAsia="SimSun"/>
          <w:spacing w:val="0"/>
          <w:szCs w:val="24"/>
          <w:lang w:eastAsia="en-US"/>
        </w:rPr>
        <w:t>Wynika to z podstawowego warunku niezbędnego do przyznania zasiłku chorobowego, jakim jest podleganie temu ubezpieczeniu w czasie trwania tytułu ubezpieczenia. Podzielając stanowisko resortu pracy ZUS uznał, że zgodnie z obowiązującymi przepisami nie ma możliwości przyznania prawa do zasiłku chorobowego funkcjonariuszom celno-skarbowym po zwolnieniu ze służby</w:t>
      </w:r>
      <w:r w:rsidRPr="00EC250C">
        <w:rPr>
          <w:rStyle w:val="Odwoanieprzypisudolnego"/>
          <w:bCs/>
          <w:iCs/>
          <w:lang w:eastAsia="en-US"/>
        </w:rPr>
        <w:footnoteReference w:id="818"/>
      </w:r>
      <w:r w:rsidRPr="00EC250C">
        <w:rPr>
          <w:rFonts w:eastAsia="SimSun"/>
          <w:spacing w:val="0"/>
          <w:szCs w:val="24"/>
          <w:lang w:eastAsia="en-US"/>
        </w:rPr>
        <w:t>.</w:t>
      </w:r>
    </w:p>
    <w:p w14:paraId="1CAB53E2" w14:textId="77777777" w:rsidR="008723E4" w:rsidRPr="00EC250C" w:rsidRDefault="008723E4" w:rsidP="00D131FA">
      <w:pPr>
        <w:pStyle w:val="ODESANIE"/>
        <w:jc w:val="both"/>
        <w:rPr>
          <w:rFonts w:eastAsia="SimSun"/>
          <w:lang w:eastAsia="en-US"/>
        </w:rPr>
      </w:pPr>
      <w:r w:rsidRPr="00EC250C">
        <w:rPr>
          <w:rFonts w:eastAsia="SimSun"/>
          <w:lang w:eastAsia="en-US"/>
        </w:rPr>
        <w:t>Więcej na ten temat – art. 67 Konstytucji</w:t>
      </w:r>
    </w:p>
    <w:p w14:paraId="73BDD75F" w14:textId="77777777" w:rsidR="008723E4" w:rsidRPr="00EC250C" w:rsidRDefault="008723E4" w:rsidP="00D131FA">
      <w:pPr>
        <w:pStyle w:val="Srdtytul6"/>
        <w:jc w:val="both"/>
        <w:rPr>
          <w:lang w:eastAsia="en-US"/>
        </w:rPr>
      </w:pPr>
      <w:r w:rsidRPr="00EC250C">
        <w:rPr>
          <w:lang w:eastAsia="en-US"/>
        </w:rPr>
        <w:t>Niekonsekwentne przepisy o policyjnych kontrterrorystach</w:t>
      </w:r>
    </w:p>
    <w:p w14:paraId="54FC4249" w14:textId="77777777" w:rsidR="008723E4" w:rsidRPr="00EC250C" w:rsidRDefault="008723E4" w:rsidP="00D131FA">
      <w:pPr>
        <w:pStyle w:val="Styl1"/>
        <w:rPr>
          <w:bdr w:val="none" w:sz="0" w:space="0" w:color="auto" w:frame="1"/>
        </w:rPr>
      </w:pPr>
      <w:r w:rsidRPr="00EC250C">
        <w:rPr>
          <w:bdr w:val="none" w:sz="0" w:space="0" w:color="auto" w:frame="1"/>
        </w:rPr>
        <w:t>W 2018 r. ustawa o Policji została zmieniona w sposób budzący wątpliwości interpretacyjne. Zasady, na jakich policyjny kontrterrorysta może odstąpić od zachowania własnego bezpieczeństwa, skopiowano z ustaw o ABW, AW CBA i kontrwywiadzie</w:t>
      </w:r>
      <w:r w:rsidRPr="00EC250C">
        <w:t xml:space="preserve">. Tymczasem ustawa o Policji daje policjantom dużo większą swobodę w podejmowaniu decyzji. RPO zwracał uwagę, że </w:t>
      </w:r>
      <w:r w:rsidRPr="00EC250C">
        <w:rPr>
          <w:sz w:val="24"/>
          <w:bdr w:val="none" w:sz="0" w:space="0" w:color="auto" w:frame="1"/>
        </w:rPr>
        <w:t xml:space="preserve">w efekcie </w:t>
      </w:r>
      <w:r w:rsidRPr="00EC250C">
        <w:rPr>
          <w:bdr w:val="none" w:sz="0" w:space="0" w:color="auto" w:frame="1"/>
        </w:rPr>
        <w:t>większe możliwości będzie miał policjant dzielnicowy ścigający złodzieja niż policjant-</w:t>
      </w:r>
      <w:r w:rsidRPr="00EC250C">
        <w:rPr>
          <w:bdr w:val="none" w:sz="0" w:space="0" w:color="auto" w:frame="1"/>
        </w:rPr>
        <w:lastRenderedPageBreak/>
        <w:t>antyterrorysta zatrzymujący terrorystę. Uwagi RPO nie zostały uwzględnione w pracach nad ustawą</w:t>
      </w:r>
      <w:r w:rsidRPr="00EC250C">
        <w:rPr>
          <w:rStyle w:val="Odwoanieprzypisudolnego"/>
          <w:bCs/>
          <w:iCs/>
          <w:lang w:eastAsia="en-US"/>
        </w:rPr>
        <w:footnoteReference w:id="819"/>
      </w:r>
      <w:r w:rsidRPr="00EC250C">
        <w:rPr>
          <w:bdr w:val="none" w:sz="0" w:space="0" w:color="auto" w:frame="1"/>
        </w:rPr>
        <w:t>.</w:t>
      </w:r>
    </w:p>
    <w:p w14:paraId="6C87BE36" w14:textId="77777777" w:rsidR="008723E4" w:rsidRPr="00EC250C" w:rsidRDefault="008723E4" w:rsidP="00D131FA">
      <w:pPr>
        <w:pStyle w:val="ODESANIE"/>
        <w:jc w:val="both"/>
        <w:rPr>
          <w:spacing w:val="5"/>
          <w:sz w:val="22"/>
        </w:rPr>
      </w:pPr>
      <w:r w:rsidRPr="00EC250C">
        <w:rPr>
          <w:bdr w:val="none" w:sz="0" w:space="0" w:color="auto" w:frame="1"/>
        </w:rPr>
        <w:t>Więcej na ten temat – art. 2 Konstytucji</w:t>
      </w:r>
    </w:p>
    <w:p w14:paraId="2E9919B3" w14:textId="77777777" w:rsidR="008723E4" w:rsidRPr="00EC250C" w:rsidRDefault="008723E4" w:rsidP="00D131FA">
      <w:pPr>
        <w:pStyle w:val="Srdtytul6"/>
        <w:jc w:val="both"/>
        <w:rPr>
          <w:lang w:eastAsia="en-US"/>
        </w:rPr>
      </w:pPr>
      <w:r w:rsidRPr="00EC250C">
        <w:rPr>
          <w:lang w:eastAsia="en-US"/>
        </w:rPr>
        <w:t>Zasady naboru do SOP</w:t>
      </w:r>
    </w:p>
    <w:p w14:paraId="427BBA13" w14:textId="77777777" w:rsidR="008723E4" w:rsidRPr="00EC250C" w:rsidRDefault="008723E4" w:rsidP="00D131FA">
      <w:pPr>
        <w:pStyle w:val="Styl1"/>
        <w:rPr>
          <w:iCs/>
          <w:lang w:eastAsia="en-US"/>
        </w:rPr>
      </w:pPr>
      <w:r w:rsidRPr="00EC250C">
        <w:rPr>
          <w:iCs/>
          <w:lang w:eastAsia="en-US"/>
        </w:rPr>
        <w:t>Służba Ochrony Państwa stworzona w miejsce BOR prowadziła w 2018 r. stały nabór do formacji. Problem w tym, że z jednej strony przepisy przejściowe (art. 379) ustawy o SOP uznawały za ważne zaczęte przed jej wejściem w życie etapy naboru do BOR, Minister Spraw Wewnętrznych i Administracji spóźnił się z wydaniem odpowiedniego rozporządzenia. Komendant SOP przyznał rację RPO między 1 lutego, kiedy weszła w życie ustawa o SOP, a 24 marca, kiedy pojawiło się rozporządzenie MSWiA, nie było właściwych podstaw prawnych do naboru. Zapewnił jednak, że w tym czasie żadne działania w zakresie naboru do SOP nie były podejmowane</w:t>
      </w:r>
      <w:r w:rsidR="00571E8B" w:rsidRPr="00EC250C">
        <w:rPr>
          <w:bCs/>
          <w:iCs/>
          <w:vertAlign w:val="superscript"/>
          <w:lang w:eastAsia="en-US"/>
        </w:rPr>
        <w:footnoteReference w:id="820"/>
      </w:r>
      <w:r w:rsidRPr="00EC250C">
        <w:rPr>
          <w:iCs/>
          <w:lang w:eastAsia="en-US"/>
        </w:rPr>
        <w:t>.</w:t>
      </w:r>
    </w:p>
    <w:p w14:paraId="1F9E40C6" w14:textId="77777777" w:rsidR="008723E4" w:rsidRPr="00EC250C" w:rsidRDefault="008723E4" w:rsidP="00D131FA">
      <w:pPr>
        <w:pStyle w:val="Srdtytul6"/>
        <w:jc w:val="both"/>
      </w:pPr>
      <w:r w:rsidRPr="00EC250C">
        <w:t>Służba Więzienna</w:t>
      </w:r>
    </w:p>
    <w:p w14:paraId="1527A58D" w14:textId="77777777" w:rsidR="008723E4" w:rsidRPr="00EC250C" w:rsidRDefault="008723E4" w:rsidP="00D131FA">
      <w:pPr>
        <w:pStyle w:val="Styl1"/>
        <w:rPr>
          <w:b/>
          <w:bCs/>
          <w:iCs/>
          <w:lang w:eastAsia="en-US"/>
        </w:rPr>
      </w:pPr>
      <w:r w:rsidRPr="00EC250C">
        <w:rPr>
          <w:lang w:eastAsia="en-US"/>
        </w:rPr>
        <w:t>Funkcjonariusze Służby Więziennej zwracali uwagę RPO na nowy problem: jeśli funkcjonariusz innej służby (celnik, strażak) trafi do więziennictwa, to nie ma już gwarancji zachowania stopnia służbowego. Zdaniem Dyrektora Generalnego Służby Więziennej zmiana przepisów jest dobra: gwarancję zachowania stopnia służbowego przewidywały tylko  przepisy o SW. Nie</w:t>
      </w:r>
      <w:r w:rsidRPr="00EC250C">
        <w:rPr>
          <w:bCs/>
          <w:iCs/>
          <w:lang w:eastAsia="en-US"/>
        </w:rPr>
        <w:t xml:space="preserve"> ma ich ani w ustawie o Policji ani o Państwowej Straży Pożarnej</w:t>
      </w:r>
      <w:r w:rsidR="00571E8B" w:rsidRPr="00EC250C">
        <w:rPr>
          <w:vertAlign w:val="superscript"/>
          <w:lang w:eastAsia="en-US"/>
        </w:rPr>
        <w:footnoteReference w:id="821"/>
      </w:r>
      <w:r w:rsidRPr="00EC250C">
        <w:rPr>
          <w:bCs/>
          <w:iCs/>
          <w:lang w:eastAsia="en-US"/>
        </w:rPr>
        <w:t xml:space="preserve">. </w:t>
      </w:r>
    </w:p>
    <w:p w14:paraId="2D06DFDA" w14:textId="77777777" w:rsidR="008723E4" w:rsidRPr="00EC250C" w:rsidRDefault="008723E4" w:rsidP="00EC250C">
      <w:pPr>
        <w:pStyle w:val="Nagwek8"/>
      </w:pPr>
      <w:bookmarkStart w:id="804" w:name="_Hlk536446457"/>
      <w:r w:rsidRPr="00EC250C">
        <w:t>Ochrona praw sygnalistów w Służbie Więziennej</w:t>
      </w:r>
    </w:p>
    <w:p w14:paraId="7BC66890" w14:textId="77777777" w:rsidR="008723E4" w:rsidRPr="00EC250C" w:rsidRDefault="008723E4" w:rsidP="00D131FA">
      <w:pPr>
        <w:pStyle w:val="Styl2"/>
        <w:rPr>
          <w:szCs w:val="24"/>
        </w:rPr>
      </w:pPr>
      <w:r w:rsidRPr="00EC250C">
        <w:rPr>
          <w:szCs w:val="24"/>
        </w:rPr>
        <w:t>Śledztwo w sprawie nieprawidłowości, które zasygnalizowali funkcjonariusze, zostało umorzone, oni sami zaś oddelegowani na różne krańce Polski.</w:t>
      </w:r>
    </w:p>
    <w:p w14:paraId="05A64943" w14:textId="77777777" w:rsidR="008723E4" w:rsidRPr="00EC250C" w:rsidRDefault="008723E4" w:rsidP="00D131FA">
      <w:pPr>
        <w:pStyle w:val="Styl2"/>
        <w:rPr>
          <w:szCs w:val="24"/>
        </w:rPr>
      </w:pPr>
      <w:r w:rsidRPr="00EC250C">
        <w:rPr>
          <w:szCs w:val="24"/>
        </w:rPr>
        <w:t>Funkcjonariusze Służby Więziennej w interesie publicznym sygnalizowali nieprawidłowości w Zakładzie Technologii Informatycznych i Edukacyjnych (ZTIiE) Centralnego Ośrodka Szkolenia Służby Więziennej. Zawiadomienie o podejrzeniu popełnienia przestępstwa złożyli w prokuraturze. Zawiadomienie w tej samej sprawie złożył również ówczesny Komendant Ośrodka. Nieprawidłowości były uprzednio przedmiotem czynności wyjaśniających Biura Spraw Wewnętrznych Centralnego Zarządu Służby Więziennej na podstawie anonimowego zgłoszenia. Postępowanie dyscyplinarne zostały jednak umorzone, a cały Zakład zlikwidowany. Zgłaszający nieprawidłowości zostali oddelegowani do innych jednostek, często bardzo daleko od dotychczasowego miejsca służby.</w:t>
      </w:r>
    </w:p>
    <w:p w14:paraId="57554703" w14:textId="77777777" w:rsidR="008723E4" w:rsidRPr="00EC250C" w:rsidRDefault="008723E4" w:rsidP="00D131FA">
      <w:pPr>
        <w:pStyle w:val="Styl2"/>
        <w:rPr>
          <w:szCs w:val="24"/>
        </w:rPr>
      </w:pPr>
      <w:r w:rsidRPr="00EC250C">
        <w:rPr>
          <w:szCs w:val="24"/>
        </w:rPr>
        <w:t>Zdaniem RPO instytucja delegowania mogła tu zostać nadużyta do uciszenia sygnalistów</w:t>
      </w:r>
      <w:r w:rsidRPr="00EC250C">
        <w:rPr>
          <w:rStyle w:val="Odwoanieprzypisudolnego"/>
          <w:bCs w:val="0"/>
          <w:iCs w:val="0"/>
          <w:szCs w:val="24"/>
          <w:lang w:eastAsia="en-US"/>
        </w:rPr>
        <w:footnoteReference w:id="822"/>
      </w:r>
      <w:r w:rsidRPr="00EC250C">
        <w:rPr>
          <w:szCs w:val="24"/>
        </w:rPr>
        <w:t xml:space="preserve">, zwłaszcza że byli oni też członkami związku zawodowego – w ten sposób uniemożliwiono im </w:t>
      </w:r>
      <w:r w:rsidRPr="00EC250C">
        <w:rPr>
          <w:szCs w:val="24"/>
        </w:rPr>
        <w:lastRenderedPageBreak/>
        <w:t>działalność związkową. Podejmowanie takich działań wobec sygnalistów wpływa demotywująco na inne osoby będące świadkami nieprawidłowości. Zgłoszenie nieprawidłowości nie tylko pozwala na ich naprawienie, ale również na uniknięcie strat i szkód w przyszłości..</w:t>
      </w:r>
    </w:p>
    <w:p w14:paraId="7D92165A" w14:textId="77777777" w:rsidR="008723E4" w:rsidRPr="00EC250C" w:rsidRDefault="008723E4" w:rsidP="00D131FA">
      <w:pPr>
        <w:pStyle w:val="Styl2"/>
        <w:rPr>
          <w:szCs w:val="24"/>
        </w:rPr>
      </w:pPr>
      <w:r w:rsidRPr="00EC250C">
        <w:rPr>
          <w:szCs w:val="24"/>
        </w:rPr>
        <w:t xml:space="preserve">Minister wyjaśnił, że </w:t>
      </w:r>
      <w:bookmarkEnd w:id="804"/>
      <w:r w:rsidRPr="00EC250C">
        <w:rPr>
          <w:szCs w:val="24"/>
        </w:rPr>
        <w:t>nie może zanegować zasadności wydania przez Dyrektora Generalnego Służby Więziennej rozkazów personalnych o delegowaniu funkcjonariuszy do czasowego wykonywania obowiązków służbowych w innych niż macierzyste jednostkach organizacyjnych SW. Dyrektor Generalny skorzystał w tym wypadku z przysługujących mu z mocy prawa uprawnień, a w samym tylko 2017 r. wydał ponad 400 podobnych rozkazów o delegowaniu, zastosowanie tej instytucji nie może być uznane za nietypowe.</w:t>
      </w:r>
    </w:p>
    <w:p w14:paraId="687079D9" w14:textId="77777777" w:rsidR="008723E4" w:rsidRPr="00EC250C" w:rsidRDefault="008723E4" w:rsidP="00EC250C">
      <w:pPr>
        <w:pStyle w:val="Nagwek8"/>
        <w:rPr>
          <w:spacing w:val="0"/>
          <w:sz w:val="20"/>
        </w:rPr>
      </w:pPr>
      <w:r w:rsidRPr="00EC250C">
        <w:t>Nagrody funkcjonariuszy służby przygotowawczej w Służbie Więziennej</w:t>
      </w:r>
    </w:p>
    <w:p w14:paraId="3DFF5D1D" w14:textId="77777777" w:rsidR="008723E4" w:rsidRPr="00EC250C" w:rsidRDefault="008723E4" w:rsidP="00D131FA">
      <w:pPr>
        <w:pStyle w:val="Styl2"/>
        <w:rPr>
          <w:szCs w:val="24"/>
        </w:rPr>
      </w:pPr>
      <w:r w:rsidRPr="00EC250C">
        <w:rPr>
          <w:szCs w:val="24"/>
        </w:rPr>
        <w:t>Przy podziale nagród dla funkcjonariuszy jednego z aresztów śledczych mogła zostać naruszona zasada równego traktowania, gdyż nagrody nie dostał ani jeden funkcjonariusz służby przygotowawczej.</w:t>
      </w:r>
    </w:p>
    <w:p w14:paraId="08A3EEDD" w14:textId="77777777" w:rsidR="008723E4" w:rsidRPr="00EC250C" w:rsidRDefault="008723E4" w:rsidP="00D131FA">
      <w:pPr>
        <w:pStyle w:val="Styl2"/>
        <w:rPr>
          <w:szCs w:val="24"/>
        </w:rPr>
      </w:pPr>
      <w:r w:rsidRPr="00EC250C">
        <w:rPr>
          <w:szCs w:val="24"/>
        </w:rPr>
        <w:t xml:space="preserve">RPO zwrócił się w tej sprawie </w:t>
      </w:r>
      <w:r w:rsidRPr="00EC250C">
        <w:rPr>
          <w:szCs w:val="24"/>
          <w:vertAlign w:val="superscript"/>
        </w:rPr>
        <w:footnoteReference w:id="823"/>
      </w:r>
      <w:r w:rsidRPr="00EC250C">
        <w:rPr>
          <w:szCs w:val="24"/>
        </w:rPr>
        <w:t xml:space="preserve"> do Dyrektora Generalnego Służby Więziennej, Zauważył, iż każda grupa funkcjonariuszy za rzetelną służbę powinna mieć możliwość uzyskania takiej nagrody.</w:t>
      </w:r>
    </w:p>
    <w:p w14:paraId="140F5926" w14:textId="77777777" w:rsidR="008723E4" w:rsidRPr="00EC250C" w:rsidRDefault="008723E4" w:rsidP="00D131FA">
      <w:pPr>
        <w:pStyle w:val="Srdtytul6"/>
        <w:jc w:val="both"/>
      </w:pPr>
      <w:bookmarkStart w:id="805" w:name="_Hlk536447104"/>
      <w:r w:rsidRPr="00EC250C">
        <w:t>Wstrzymanie wydatków osobowych niezaliczanych do uposażeń policjantów do czasu otrzymania dodatkowych środków z budżetu</w:t>
      </w:r>
    </w:p>
    <w:p w14:paraId="2BDBB782" w14:textId="77777777" w:rsidR="008723E4" w:rsidRPr="00EC250C" w:rsidRDefault="008723E4" w:rsidP="00D131FA">
      <w:pPr>
        <w:pStyle w:val="Problemczowieka"/>
        <w:jc w:val="both"/>
        <w:rPr>
          <w:b w:val="0"/>
          <w:bCs/>
        </w:rPr>
      </w:pPr>
      <w:r w:rsidRPr="00EC250C">
        <w:rPr>
          <w:rFonts w:eastAsiaTheme="majorEastAsia"/>
          <w:b w:val="0"/>
          <w:bCs/>
        </w:rPr>
        <w:t>W sierpniu 2018 r. policja wstrzymała wypłaty dodatków dla funkcjonariuszy. Potem to odwołano – z zapewnieniem, że wydatki te nie są zagrożone. MSWiA zwróciło się zaś do premiera o zwiększenie budżetu policji z rezerwy ogólnej</w:t>
      </w:r>
      <w:r w:rsidRPr="00EC250C">
        <w:rPr>
          <w:b w:val="0"/>
          <w:bCs/>
        </w:rPr>
        <w:t>.</w:t>
      </w:r>
    </w:p>
    <w:p w14:paraId="271BD29D" w14:textId="77777777" w:rsidR="008723E4" w:rsidRPr="00EC250C" w:rsidRDefault="008723E4" w:rsidP="00D131FA">
      <w:pPr>
        <w:pStyle w:val="Styl1"/>
      </w:pPr>
      <w:r w:rsidRPr="00EC250C">
        <w:rPr>
          <w:rFonts w:eastAsiaTheme="majorEastAsia"/>
        </w:rPr>
        <w:t>Rzecznik Praw Obywatelskich pytał więc MSWiA, jakie braki były powodem tego wniosku i jak zamierza uniknąć takich sytuacji w przyszłości.</w:t>
      </w:r>
    </w:p>
    <w:p w14:paraId="716BA973" w14:textId="77777777" w:rsidR="008723E4" w:rsidRPr="00EC250C" w:rsidRDefault="008723E4" w:rsidP="00D131FA">
      <w:pPr>
        <w:pStyle w:val="Styl1"/>
      </w:pPr>
      <w:r w:rsidRPr="00EC250C">
        <w:rPr>
          <w:rFonts w:eastAsiaTheme="majorEastAsia"/>
        </w:rPr>
        <w:t>Zdaniem RPO problemy z planowaniem i realizacją budżetu policji mogą mieć charakter systemowy, a trudności z tym związane nie powinny ograniczać uprawnień policjantów.</w:t>
      </w:r>
    </w:p>
    <w:p w14:paraId="4A508781" w14:textId="77777777" w:rsidR="008723E4" w:rsidRPr="00EC250C" w:rsidRDefault="008723E4" w:rsidP="00D131FA">
      <w:pPr>
        <w:pStyle w:val="Styl1"/>
      </w:pPr>
      <w:r w:rsidRPr="00EC250C">
        <w:t>W wystąpieniu do MSWiA</w:t>
      </w:r>
      <w:r w:rsidRPr="00EC250C">
        <w:rPr>
          <w:bCs/>
          <w:iCs/>
          <w:vertAlign w:val="superscript"/>
          <w:lang w:eastAsia="en-US"/>
        </w:rPr>
        <w:footnoteReference w:id="824"/>
      </w:r>
      <w:r w:rsidRPr="00EC250C">
        <w:rPr>
          <w:bCs/>
          <w:iCs/>
          <w:lang w:eastAsia="en-US"/>
        </w:rPr>
        <w:t xml:space="preserve"> </w:t>
      </w:r>
      <w:r w:rsidRPr="00EC250C">
        <w:t>Rzecznik powołał się na informacje mediów, że w połowie sierpnia 2018 r. Komendant Główny Policji polecił wstrzymanie wypłaty wszelkich wydatków osobowych, niezaliczanych do uposażeń funkcjonariuszy – do czasu otrzymania na ten cel dodatkowych środków z budżetu państwa. Minister zwrócił się zaś o odpowiednie zwiększenie budżetu policji do Prezesa Rady Ministrów.</w:t>
      </w:r>
    </w:p>
    <w:p w14:paraId="0E6B3AE8" w14:textId="77777777" w:rsidR="008723E4" w:rsidRPr="00EC250C" w:rsidRDefault="008723E4" w:rsidP="00D131FA">
      <w:pPr>
        <w:pStyle w:val="Styl1"/>
      </w:pPr>
      <w:r w:rsidRPr="00EC250C">
        <w:t>Od 16 sierpnia 2018 r. wstrzymano realizację wydatków osobowych, w tym m.in.:</w:t>
      </w:r>
    </w:p>
    <w:p w14:paraId="42BF7DFE" w14:textId="77777777" w:rsidR="008723E4" w:rsidRPr="00EC250C" w:rsidRDefault="008723E4" w:rsidP="006C70B7">
      <w:pPr>
        <w:pStyle w:val="Styl1"/>
        <w:numPr>
          <w:ilvl w:val="0"/>
          <w:numId w:val="128"/>
        </w:numPr>
        <w:spacing w:line="240" w:lineRule="auto"/>
      </w:pPr>
      <w:r w:rsidRPr="00EC250C">
        <w:t>dopłat do wypoczynku</w:t>
      </w:r>
    </w:p>
    <w:p w14:paraId="47515D74" w14:textId="77777777" w:rsidR="008723E4" w:rsidRPr="00EC250C" w:rsidRDefault="008723E4" w:rsidP="006C70B7">
      <w:pPr>
        <w:pStyle w:val="Styl1"/>
        <w:numPr>
          <w:ilvl w:val="0"/>
          <w:numId w:val="128"/>
        </w:numPr>
        <w:spacing w:line="240" w:lineRule="auto"/>
      </w:pPr>
      <w:r w:rsidRPr="00EC250C">
        <w:t>przejazdów raz w roku dla funkcjonariuszy i ich rodzin</w:t>
      </w:r>
    </w:p>
    <w:p w14:paraId="177AFF5D" w14:textId="77777777" w:rsidR="008723E4" w:rsidRPr="00EC250C" w:rsidRDefault="008723E4" w:rsidP="006C70B7">
      <w:pPr>
        <w:pStyle w:val="Styl1"/>
        <w:numPr>
          <w:ilvl w:val="0"/>
          <w:numId w:val="128"/>
        </w:numPr>
        <w:spacing w:line="240" w:lineRule="auto"/>
      </w:pPr>
      <w:r w:rsidRPr="00EC250C">
        <w:t>zasiłków na zagospodarowanie, zasiłków osiedleniowych oraz ryczałtu z tytułu przeniesienia</w:t>
      </w:r>
    </w:p>
    <w:p w14:paraId="64A34C8E" w14:textId="77777777" w:rsidR="008723E4" w:rsidRPr="00EC250C" w:rsidRDefault="008723E4" w:rsidP="006C70B7">
      <w:pPr>
        <w:pStyle w:val="Styl1"/>
        <w:numPr>
          <w:ilvl w:val="0"/>
          <w:numId w:val="128"/>
        </w:numPr>
        <w:spacing w:line="240" w:lineRule="auto"/>
      </w:pPr>
      <w:r w:rsidRPr="00EC250C">
        <w:t>odpraw pośmiertnych i zasiłków pogrzebowych</w:t>
      </w:r>
    </w:p>
    <w:p w14:paraId="67BCBF25" w14:textId="77777777" w:rsidR="008723E4" w:rsidRPr="00EC250C" w:rsidRDefault="008723E4" w:rsidP="006C70B7">
      <w:pPr>
        <w:pStyle w:val="Styl1"/>
        <w:numPr>
          <w:ilvl w:val="0"/>
          <w:numId w:val="128"/>
        </w:numPr>
        <w:spacing w:line="240" w:lineRule="auto"/>
      </w:pPr>
      <w:r w:rsidRPr="00EC250C">
        <w:lastRenderedPageBreak/>
        <w:t>pomocy mieszkaniowej</w:t>
      </w:r>
    </w:p>
    <w:p w14:paraId="4EFDED4B" w14:textId="77777777" w:rsidR="008723E4" w:rsidRPr="00EC250C" w:rsidRDefault="008723E4" w:rsidP="00D131FA">
      <w:pPr>
        <w:pStyle w:val="Styl1"/>
      </w:pPr>
      <w:r w:rsidRPr="00EC250C">
        <w:t>Po interwencji związku zawodowego NSZZ Policjantów polecenie KGP zostało odwołane. Jednocześnie w piśmie szefa KGP z 27 sierpnia 2018 r. komendanci wojewódzcy zostali poinformowani, że wydatki osobowe w ramach ogólnego planu finansowego nie są zagrożone.</w:t>
      </w:r>
    </w:p>
    <w:p w14:paraId="7E8543F0" w14:textId="77777777" w:rsidR="008723E4" w:rsidRPr="00EC250C" w:rsidRDefault="008723E4" w:rsidP="00D131FA">
      <w:pPr>
        <w:pStyle w:val="Styl1"/>
      </w:pPr>
      <w:r w:rsidRPr="00EC250C">
        <w:t xml:space="preserve">RPO podkreśla, że czasowe wstrzymanie niewymagalnych wydatków osobowych, niezaliczanych do uposażeń funkcjonariuszy, co do zasady nie stanowi naruszenia prawa. </w:t>
      </w:r>
      <w:r w:rsidRPr="00EC250C">
        <w:rPr>
          <w:rFonts w:eastAsiaTheme="majorEastAsia"/>
        </w:rPr>
        <w:t>Niemniej ograniczenie przysługujących funkcjonariuszom świadczeń może w pewnych okolicznościach stanowić naruszenie zasad współżycia społecznego i sprawiedliwości społecznej względem policjanta,</w:t>
      </w:r>
      <w:r w:rsidRPr="00EC250C">
        <w:t> np. starającego się o zasiłek pogrzebowy w razie śmierci członka rodziny albo zasiłek na zagospodarowanie.</w:t>
      </w:r>
    </w:p>
    <w:p w14:paraId="598C4B64" w14:textId="77777777" w:rsidR="008723E4" w:rsidRPr="00EC250C" w:rsidRDefault="008723E4" w:rsidP="00D131FA">
      <w:pPr>
        <w:pStyle w:val="Styl1"/>
        <w:rPr>
          <w:bCs/>
          <w:iCs/>
          <w:lang w:eastAsia="en-US"/>
        </w:rPr>
      </w:pPr>
      <w:r w:rsidRPr="00EC250C">
        <w:rPr>
          <w:bCs/>
          <w:iCs/>
          <w:lang w:eastAsia="en-US"/>
        </w:rPr>
        <w:t>Analiza publikacji prasowych, a także wcześniejszej korespondencji</w:t>
      </w:r>
      <w:r w:rsidRPr="00EC250C">
        <w:rPr>
          <w:bCs/>
          <w:iCs/>
          <w:vertAlign w:val="superscript"/>
          <w:lang w:eastAsia="en-US"/>
        </w:rPr>
        <w:footnoteReference w:id="825"/>
      </w:r>
      <w:r w:rsidRPr="00EC250C">
        <w:rPr>
          <w:bCs/>
          <w:iCs/>
          <w:lang w:eastAsia="en-US"/>
        </w:rPr>
        <w:t xml:space="preserve"> Rzecznika z Komendantem Głównym Policji wskazuje, że problemy związane z planowaniem i realizacją na różnych poziomach dysponowania budżetem Policji mogą mieć charakter systemowy.</w:t>
      </w:r>
    </w:p>
    <w:p w14:paraId="7635293F" w14:textId="77777777" w:rsidR="008723E4" w:rsidRPr="00EC250C" w:rsidRDefault="008723E4" w:rsidP="00D131FA">
      <w:pPr>
        <w:pStyle w:val="Styl1"/>
        <w:rPr>
          <w:bCs/>
          <w:iCs/>
          <w:lang w:eastAsia="en-US"/>
        </w:rPr>
      </w:pPr>
      <w:r w:rsidRPr="00EC250C">
        <w:rPr>
          <w:bCs/>
          <w:iCs/>
          <w:lang w:eastAsia="en-US"/>
        </w:rPr>
        <w:t>W odpowiedzi Minister Spraw Wewnętrznych i Administracji wyjaśnił, że zarządzanie finansami tak dużej formacji, jaką jest Policja, wymaga sprawowania ciągłego nadzoru nad wydatkami oraz dokonywania okresowych analiz i reagowania na zaistniałe sytuacje i zdarzenia. W 2018 r., po wystąpieniu Ministra Spraw Wewnętrznych i Administracji do Ministra Finansów Policja i inne służby mundurowe dostały dodatkowe środki finansowe na realizację ich ustawowych zadań.</w:t>
      </w:r>
      <w:bookmarkEnd w:id="805"/>
    </w:p>
    <w:p w14:paraId="707C41A2" w14:textId="77777777" w:rsidR="008723E4" w:rsidRPr="00EC250C" w:rsidRDefault="008723E4" w:rsidP="00EC250C">
      <w:pPr>
        <w:pStyle w:val="Nagwek5"/>
      </w:pPr>
      <w:bookmarkStart w:id="806" w:name="_Toc6258007"/>
      <w:r w:rsidRPr="00EC250C">
        <w:t>System emerytalny służb mundurowych</w:t>
      </w:r>
      <w:bookmarkEnd w:id="806"/>
    </w:p>
    <w:p w14:paraId="69EEC57B" w14:textId="77777777" w:rsidR="008723E4" w:rsidRPr="00EC250C" w:rsidRDefault="008723E4" w:rsidP="00D131FA">
      <w:pPr>
        <w:pStyle w:val="Srdtytul6"/>
        <w:jc w:val="both"/>
      </w:pPr>
      <w:r w:rsidRPr="00EC250C">
        <w:t>Przepisy obniżające świadczenia emerytalno-rentowe z tytułu służby pełnionej w organach PRL</w:t>
      </w:r>
    </w:p>
    <w:p w14:paraId="081AF39A" w14:textId="77777777" w:rsidR="008723E4" w:rsidRPr="00EC250C" w:rsidRDefault="008723E4" w:rsidP="00D131FA">
      <w:pPr>
        <w:pStyle w:val="Problemczowieka"/>
        <w:jc w:val="both"/>
        <w:rPr>
          <w:lang w:eastAsia="en-US"/>
        </w:rPr>
      </w:pPr>
      <w:r w:rsidRPr="00EC250C">
        <w:rPr>
          <w:bCs/>
          <w:iCs/>
          <w:lang w:eastAsia="en-US"/>
        </w:rPr>
        <w:t xml:space="preserve">Analiza spraw tych przez emerytów, rencistów oraz wdów i sierot po funkcjonariuszach PRL prowadzi do wniosku, że zakres ustawy został zakreślony zbyt szeroko. </w:t>
      </w:r>
      <w:r w:rsidRPr="00EC250C">
        <w:rPr>
          <w:lang w:eastAsia="en-US"/>
        </w:rPr>
        <w:t>Na przepisy ustawy represyjnej („dezubekizacyjnej”</w:t>
      </w:r>
      <w:r w:rsidRPr="00EC250C">
        <w:rPr>
          <w:rStyle w:val="Odwoanieprzypisudolnego"/>
          <w:bCs/>
          <w:iCs/>
          <w:lang w:eastAsia="en-US"/>
        </w:rPr>
        <w:footnoteReference w:id="826"/>
      </w:r>
      <w:r w:rsidRPr="00EC250C">
        <w:rPr>
          <w:lang w:eastAsia="en-US"/>
        </w:rPr>
        <w:t>) poskarżyło się do RPO na początku 2018 r. już 1500 osób.</w:t>
      </w:r>
    </w:p>
    <w:p w14:paraId="0D000E59" w14:textId="77777777" w:rsidR="008723E4" w:rsidRPr="00EC250C" w:rsidRDefault="008723E4" w:rsidP="00D131FA">
      <w:pPr>
        <w:pStyle w:val="ODESANIE"/>
        <w:jc w:val="both"/>
      </w:pPr>
      <w:r w:rsidRPr="00EC250C">
        <w:t>Więcej o problemie – art. 67 Konstytucji</w:t>
      </w:r>
    </w:p>
    <w:p w14:paraId="56333709" w14:textId="77777777" w:rsidR="008723E4" w:rsidRPr="00EC250C" w:rsidRDefault="007D1E19" w:rsidP="00D131FA">
      <w:pPr>
        <w:pStyle w:val="Srdtytul6"/>
        <w:jc w:val="both"/>
      </w:pPr>
      <w:r w:rsidRPr="00EC250C">
        <w:t xml:space="preserve">Strażnicy gminni nie mają </w:t>
      </w:r>
      <w:r w:rsidR="008723E4" w:rsidRPr="00EC250C">
        <w:t xml:space="preserve">prawa do emerytury pomostowej </w:t>
      </w:r>
    </w:p>
    <w:p w14:paraId="05D331C9" w14:textId="77777777" w:rsidR="008723E4" w:rsidRPr="00EC250C" w:rsidRDefault="008723E4" w:rsidP="00D131FA">
      <w:pPr>
        <w:pStyle w:val="Problemczowieka"/>
        <w:jc w:val="both"/>
        <w:rPr>
          <w:b w:val="0"/>
          <w:bCs/>
          <w:lang w:eastAsia="en-US"/>
        </w:rPr>
      </w:pPr>
      <w:r w:rsidRPr="00EC250C">
        <w:rPr>
          <w:b w:val="0"/>
          <w:bCs/>
          <w:lang w:eastAsia="en-US"/>
        </w:rPr>
        <w:t>Strażnicy miejscy nie mają prawa do emerytury pomostowej, choć charakter ich pracy uzasadnia taką potrzebę.</w:t>
      </w:r>
    </w:p>
    <w:p w14:paraId="12299383" w14:textId="77777777" w:rsidR="008723E4" w:rsidRPr="00EC250C" w:rsidRDefault="008723E4" w:rsidP="00D131FA">
      <w:pPr>
        <w:pStyle w:val="ODESANIE"/>
        <w:jc w:val="both"/>
        <w:rPr>
          <w:lang w:eastAsia="en-US"/>
        </w:rPr>
      </w:pPr>
      <w:r w:rsidRPr="00EC250C">
        <w:rPr>
          <w:lang w:eastAsia="en-US"/>
        </w:rPr>
        <w:t>Więcej – art. 67 Konstytucji</w:t>
      </w:r>
    </w:p>
    <w:p w14:paraId="600CB180" w14:textId="77777777" w:rsidR="00F52AC5" w:rsidRPr="00EC250C" w:rsidRDefault="008723E4" w:rsidP="00D131FA">
      <w:pPr>
        <w:spacing w:after="200" w:line="24" w:lineRule="auto"/>
        <w:jc w:val="both"/>
        <w:rPr>
          <w:rFonts w:eastAsiaTheme="majorEastAsia" w:cstheme="majorBidi"/>
          <w:iCs/>
          <w:color w:val="C00000"/>
          <w:sz w:val="24"/>
          <w:lang w:eastAsia="en-US"/>
        </w:rPr>
      </w:pPr>
      <w:r w:rsidRPr="00EC250C">
        <w:rPr>
          <w:sz w:val="24"/>
          <w:lang w:eastAsia="en-US"/>
        </w:rPr>
        <w:br w:type="page"/>
      </w:r>
    </w:p>
    <w:p w14:paraId="62025C15" w14:textId="77777777" w:rsidR="00192982" w:rsidRPr="00EC250C" w:rsidRDefault="000E1FF4" w:rsidP="00D131FA">
      <w:pPr>
        <w:pStyle w:val="Nagwek1"/>
        <w:jc w:val="both"/>
      </w:pPr>
      <w:bookmarkStart w:id="807" w:name="_Toc6258009"/>
      <w:bookmarkStart w:id="808" w:name="_Toc6415877"/>
      <w:bookmarkStart w:id="809" w:name="_Toc11247871"/>
      <w:bookmarkStart w:id="810" w:name="_Toc6258095"/>
      <w:r w:rsidRPr="00EC250C">
        <w:lastRenderedPageBreak/>
        <w:t>CZĘŚĆ III</w:t>
      </w:r>
      <w:r w:rsidR="00026572" w:rsidRPr="00EC250C">
        <w:t xml:space="preserve"> – </w:t>
      </w:r>
      <w:r w:rsidR="00192982" w:rsidRPr="00EC250C">
        <w:t>Mechanizmy</w:t>
      </w:r>
      <w:r w:rsidR="00992FD0" w:rsidRPr="00EC250C">
        <w:t xml:space="preserve"> i </w:t>
      </w:r>
      <w:r w:rsidR="00192982" w:rsidRPr="00EC250C">
        <w:t>metody działań Rzecznika Praw Obywatelskich</w:t>
      </w:r>
      <w:bookmarkEnd w:id="807"/>
      <w:bookmarkEnd w:id="808"/>
      <w:bookmarkEnd w:id="809"/>
    </w:p>
    <w:p w14:paraId="130B855F" w14:textId="244D10CA" w:rsidR="003F4DBA" w:rsidRPr="00EC250C" w:rsidRDefault="00964511" w:rsidP="003D39C7">
      <w:pPr>
        <w:pStyle w:val="Problemczowieka"/>
      </w:pPr>
      <w:r>
        <w:t xml:space="preserve">Działania RPO wspiera </w:t>
      </w:r>
      <w:r w:rsidR="003F4DBA" w:rsidRPr="00EC250C">
        <w:t>tr</w:t>
      </w:r>
      <w:r w:rsidR="009C7CB4">
        <w:t>oje</w:t>
      </w:r>
      <w:r w:rsidR="003F4DBA" w:rsidRPr="00EC250C">
        <w:t xml:space="preserve"> zastępców: Stanisław Trociuk, dr Hanna Machińska i – do 2019 r. </w:t>
      </w:r>
      <w:r w:rsidR="00DF637D" w:rsidRPr="00EC250C">
        <w:t xml:space="preserve">dr </w:t>
      </w:r>
      <w:r w:rsidR="003F4DBA" w:rsidRPr="00EC250C">
        <w:t>Sylwia Spurek, a obecnie dr Maciej Taborowski</w:t>
      </w:r>
      <w:r>
        <w:t>, d</w:t>
      </w:r>
      <w:r w:rsidRPr="00EC250C">
        <w:t>yrektor generaln</w:t>
      </w:r>
      <w:r>
        <w:t>a</w:t>
      </w:r>
      <w:r w:rsidRPr="00EC250C">
        <w:t xml:space="preserve"> Katarzyna Jakimowicz </w:t>
      </w:r>
      <w:r w:rsidR="003D39C7" w:rsidRPr="00EC250C">
        <w:t>oraz 1</w:t>
      </w:r>
      <w:r w:rsidR="001651C0">
        <w:t>6 jednostek organizacyjnych</w:t>
      </w:r>
      <w:r w:rsidR="003D39C7" w:rsidRPr="00EC250C">
        <w:t>.</w:t>
      </w:r>
    </w:p>
    <w:p w14:paraId="2F8B3A00" w14:textId="77777777" w:rsidR="00523934" w:rsidRPr="000057B0" w:rsidRDefault="00523934" w:rsidP="00523934">
      <w:pPr>
        <w:pStyle w:val="Styl1"/>
        <w:rPr>
          <w:sz w:val="20"/>
        </w:rPr>
      </w:pPr>
      <w:r w:rsidRPr="000057B0">
        <w:rPr>
          <w:sz w:val="20"/>
        </w:rPr>
        <w:t>Kierują nimi:</w:t>
      </w:r>
    </w:p>
    <w:p w14:paraId="0B3CCDA5" w14:textId="77777777" w:rsidR="00523934" w:rsidRPr="000057B0" w:rsidRDefault="00523934" w:rsidP="00523934">
      <w:pPr>
        <w:pStyle w:val="Styl1"/>
        <w:numPr>
          <w:ilvl w:val="0"/>
          <w:numId w:val="160"/>
        </w:numPr>
        <w:rPr>
          <w:sz w:val="20"/>
        </w:rPr>
      </w:pPr>
      <w:r w:rsidRPr="000057B0">
        <w:rPr>
          <w:sz w:val="20"/>
        </w:rPr>
        <w:t>Zespół Prawa Konstytucyjnego, Międzynarodowego i Europejskiego – dyr. Mirosław Wróblewski</w:t>
      </w:r>
    </w:p>
    <w:p w14:paraId="36A9FCE6" w14:textId="77777777" w:rsidR="00523934" w:rsidRPr="000057B0" w:rsidRDefault="00523934" w:rsidP="00523934">
      <w:pPr>
        <w:pStyle w:val="Styl1"/>
        <w:numPr>
          <w:ilvl w:val="0"/>
          <w:numId w:val="160"/>
        </w:numPr>
        <w:rPr>
          <w:sz w:val="20"/>
        </w:rPr>
      </w:pPr>
      <w:r w:rsidRPr="000057B0">
        <w:rPr>
          <w:sz w:val="20"/>
        </w:rPr>
        <w:t>Zespół Prawa Karnego – dyr. Marek Łukaszuk</w:t>
      </w:r>
    </w:p>
    <w:p w14:paraId="3257C1BF" w14:textId="77777777" w:rsidR="00523934" w:rsidRPr="000057B0" w:rsidRDefault="00523934" w:rsidP="00523934">
      <w:pPr>
        <w:pStyle w:val="Styl1"/>
        <w:numPr>
          <w:ilvl w:val="0"/>
          <w:numId w:val="160"/>
        </w:numPr>
        <w:rPr>
          <w:sz w:val="20"/>
        </w:rPr>
      </w:pPr>
      <w:r w:rsidRPr="000057B0">
        <w:rPr>
          <w:sz w:val="20"/>
        </w:rPr>
        <w:t>Zespół Prawa Cywilnego – dyr. Kamilla Dołowska</w:t>
      </w:r>
    </w:p>
    <w:p w14:paraId="6BB08D15" w14:textId="77777777" w:rsidR="00523934" w:rsidRPr="000057B0" w:rsidRDefault="00523934" w:rsidP="00523934">
      <w:pPr>
        <w:pStyle w:val="Styl1"/>
        <w:numPr>
          <w:ilvl w:val="0"/>
          <w:numId w:val="160"/>
        </w:numPr>
        <w:rPr>
          <w:sz w:val="20"/>
        </w:rPr>
      </w:pPr>
      <w:r w:rsidRPr="000057B0">
        <w:rPr>
          <w:sz w:val="20"/>
        </w:rPr>
        <w:t>Zespół Prawa Administracyjnego i Gospodarczego – dyr. Piotr Mierzejewski</w:t>
      </w:r>
    </w:p>
    <w:p w14:paraId="6F215084" w14:textId="77777777" w:rsidR="00523934" w:rsidRPr="00EC250C" w:rsidRDefault="00523934" w:rsidP="00523934">
      <w:pPr>
        <w:pStyle w:val="Styl1"/>
        <w:numPr>
          <w:ilvl w:val="0"/>
          <w:numId w:val="160"/>
        </w:numPr>
        <w:rPr>
          <w:sz w:val="20"/>
        </w:rPr>
      </w:pPr>
      <w:r w:rsidRPr="00EC250C">
        <w:rPr>
          <w:sz w:val="20"/>
        </w:rPr>
        <w:t>Zespół Prawa Pracy i Zabezpieczeń Społecznych – dyr. Lesław Nawacki</w:t>
      </w:r>
    </w:p>
    <w:p w14:paraId="6C1ADBC0" w14:textId="40A6465B" w:rsidR="00523934" w:rsidRPr="00EC250C" w:rsidRDefault="00523934" w:rsidP="00523934">
      <w:pPr>
        <w:pStyle w:val="Styl1"/>
        <w:numPr>
          <w:ilvl w:val="0"/>
          <w:numId w:val="160"/>
        </w:numPr>
        <w:rPr>
          <w:sz w:val="20"/>
        </w:rPr>
      </w:pPr>
      <w:r w:rsidRPr="00EC250C">
        <w:rPr>
          <w:sz w:val="20"/>
        </w:rPr>
        <w:t>Zespół Wstępnej Oceny Wniosków – dyr. Wioletta Lewicka</w:t>
      </w:r>
      <w:r w:rsidR="00964511">
        <w:rPr>
          <w:sz w:val="20"/>
        </w:rPr>
        <w:t>-</w:t>
      </w:r>
      <w:r w:rsidR="00964511" w:rsidRPr="00EC250C">
        <w:rPr>
          <w:sz w:val="20"/>
        </w:rPr>
        <w:t>Szostak</w:t>
      </w:r>
    </w:p>
    <w:p w14:paraId="5D6D4212" w14:textId="3C041153" w:rsidR="00523934" w:rsidRPr="00EC250C" w:rsidRDefault="00523934" w:rsidP="00523934">
      <w:pPr>
        <w:pStyle w:val="Styl1"/>
        <w:numPr>
          <w:ilvl w:val="0"/>
          <w:numId w:val="160"/>
        </w:numPr>
        <w:rPr>
          <w:sz w:val="20"/>
        </w:rPr>
      </w:pPr>
      <w:r w:rsidRPr="00EC250C">
        <w:rPr>
          <w:sz w:val="20"/>
        </w:rPr>
        <w:t xml:space="preserve">Zespół Krajowy Mechanizm Prewencji </w:t>
      </w:r>
      <w:r w:rsidR="001651C0">
        <w:rPr>
          <w:sz w:val="20"/>
        </w:rPr>
        <w:t xml:space="preserve">– dyr. </w:t>
      </w:r>
      <w:r w:rsidRPr="00EC250C">
        <w:rPr>
          <w:sz w:val="20"/>
        </w:rPr>
        <w:t>Przemysław Kazimirski</w:t>
      </w:r>
    </w:p>
    <w:p w14:paraId="438C86FA" w14:textId="77777777" w:rsidR="00523934" w:rsidRPr="00EC250C" w:rsidRDefault="00523934" w:rsidP="00523934">
      <w:pPr>
        <w:pStyle w:val="Styl1"/>
        <w:numPr>
          <w:ilvl w:val="0"/>
          <w:numId w:val="160"/>
        </w:numPr>
        <w:rPr>
          <w:sz w:val="20"/>
        </w:rPr>
      </w:pPr>
      <w:r w:rsidRPr="00EC250C">
        <w:rPr>
          <w:sz w:val="20"/>
        </w:rPr>
        <w:t>Zespół ds. Wykonywania Kar - dyr. Ewa Dawidziuk</w:t>
      </w:r>
    </w:p>
    <w:p w14:paraId="012307E1" w14:textId="04F3890F" w:rsidR="00523934" w:rsidRPr="00EC250C" w:rsidRDefault="00523934" w:rsidP="00523934">
      <w:pPr>
        <w:pStyle w:val="Styl1"/>
        <w:numPr>
          <w:ilvl w:val="0"/>
          <w:numId w:val="160"/>
        </w:numPr>
        <w:rPr>
          <w:sz w:val="20"/>
        </w:rPr>
      </w:pPr>
      <w:r w:rsidRPr="00EC250C">
        <w:rPr>
          <w:sz w:val="20"/>
        </w:rPr>
        <w:t>Zespół ds. Równego Traktowania – dyr. Anna Błaszczak</w:t>
      </w:r>
      <w:r w:rsidR="001651C0">
        <w:rPr>
          <w:sz w:val="20"/>
        </w:rPr>
        <w:t>-</w:t>
      </w:r>
      <w:r w:rsidRPr="00EC250C">
        <w:rPr>
          <w:sz w:val="20"/>
        </w:rPr>
        <w:t>Banasiak</w:t>
      </w:r>
    </w:p>
    <w:p w14:paraId="37F1FB29" w14:textId="77777777" w:rsidR="00523934" w:rsidRPr="00EC250C" w:rsidRDefault="00523934" w:rsidP="00523934">
      <w:pPr>
        <w:pStyle w:val="Styl1"/>
        <w:numPr>
          <w:ilvl w:val="0"/>
          <w:numId w:val="160"/>
        </w:numPr>
        <w:rPr>
          <w:sz w:val="20"/>
        </w:rPr>
      </w:pPr>
      <w:r w:rsidRPr="00EC250C">
        <w:rPr>
          <w:sz w:val="20"/>
        </w:rPr>
        <w:t>Zespół Kontaktów z Mediami i Komunikacji Społecznej – dyr. Stanisław Ćwik</w:t>
      </w:r>
    </w:p>
    <w:p w14:paraId="593D251E" w14:textId="0DDDB6F5" w:rsidR="00523934" w:rsidRPr="00EC250C" w:rsidRDefault="00523934" w:rsidP="00523934">
      <w:pPr>
        <w:pStyle w:val="Styl1"/>
        <w:numPr>
          <w:ilvl w:val="0"/>
          <w:numId w:val="160"/>
        </w:numPr>
        <w:rPr>
          <w:sz w:val="20"/>
        </w:rPr>
      </w:pPr>
      <w:r w:rsidRPr="00EC250C">
        <w:rPr>
          <w:sz w:val="20"/>
        </w:rPr>
        <w:t xml:space="preserve">Centrum Projektów Społecznych – dyr.  Barbara Imiołczyk </w:t>
      </w:r>
    </w:p>
    <w:p w14:paraId="19C5D14F" w14:textId="77777777" w:rsidR="00523934" w:rsidRPr="00EC250C" w:rsidRDefault="00523934" w:rsidP="00523934">
      <w:pPr>
        <w:pStyle w:val="Styl1"/>
        <w:numPr>
          <w:ilvl w:val="0"/>
          <w:numId w:val="160"/>
        </w:numPr>
        <w:rPr>
          <w:sz w:val="20"/>
        </w:rPr>
      </w:pPr>
      <w:r w:rsidRPr="00EC250C">
        <w:rPr>
          <w:sz w:val="20"/>
        </w:rPr>
        <w:t>Wydział ds. Współpracy Międzynarodowej – Barbara Kurach</w:t>
      </w:r>
    </w:p>
    <w:p w14:paraId="54FB7C45" w14:textId="5CE6CF8C" w:rsidR="00523934" w:rsidRPr="00EC250C" w:rsidRDefault="00523934" w:rsidP="00523934">
      <w:pPr>
        <w:pStyle w:val="Styl1"/>
        <w:numPr>
          <w:ilvl w:val="0"/>
          <w:numId w:val="160"/>
        </w:numPr>
        <w:rPr>
          <w:sz w:val="20"/>
        </w:rPr>
      </w:pPr>
      <w:r w:rsidRPr="00EC250C">
        <w:rPr>
          <w:sz w:val="20"/>
        </w:rPr>
        <w:t>Wydział ds. Żołnierzy i Funkcjonariuszy</w:t>
      </w:r>
      <w:r w:rsidR="001651C0">
        <w:rPr>
          <w:sz w:val="20"/>
        </w:rPr>
        <w:t xml:space="preserve"> – </w:t>
      </w:r>
      <w:r w:rsidRPr="00EC250C">
        <w:rPr>
          <w:sz w:val="20"/>
        </w:rPr>
        <w:t>Tomasz Oklejak</w:t>
      </w:r>
    </w:p>
    <w:p w14:paraId="4EDB423A" w14:textId="0FB67589" w:rsidR="00523934" w:rsidRPr="00EC250C" w:rsidRDefault="00523934" w:rsidP="00523934">
      <w:pPr>
        <w:pStyle w:val="Styl1"/>
        <w:numPr>
          <w:ilvl w:val="0"/>
          <w:numId w:val="160"/>
        </w:numPr>
        <w:rPr>
          <w:sz w:val="20"/>
        </w:rPr>
      </w:pPr>
      <w:r w:rsidRPr="00EC250C">
        <w:rPr>
          <w:sz w:val="20"/>
        </w:rPr>
        <w:t xml:space="preserve">Biuro </w:t>
      </w:r>
      <w:r w:rsidR="001651C0">
        <w:rPr>
          <w:sz w:val="20"/>
        </w:rPr>
        <w:t xml:space="preserve">Pełnomocnika Terenowego </w:t>
      </w:r>
      <w:r w:rsidRPr="00EC250C">
        <w:rPr>
          <w:sz w:val="20"/>
        </w:rPr>
        <w:t>RPO we Wrocławiu - pełnomocnik terenowy Katarzyna Sobańska-Laskowska</w:t>
      </w:r>
    </w:p>
    <w:p w14:paraId="4C8878C5" w14:textId="1720BAC0" w:rsidR="00523934" w:rsidRPr="00EC250C" w:rsidRDefault="00523934" w:rsidP="00523934">
      <w:pPr>
        <w:pStyle w:val="Styl1"/>
        <w:numPr>
          <w:ilvl w:val="0"/>
          <w:numId w:val="160"/>
        </w:numPr>
        <w:rPr>
          <w:sz w:val="20"/>
        </w:rPr>
      </w:pPr>
      <w:r w:rsidRPr="00EC250C">
        <w:rPr>
          <w:sz w:val="20"/>
        </w:rPr>
        <w:t xml:space="preserve">Biuro </w:t>
      </w:r>
      <w:r w:rsidR="001651C0">
        <w:rPr>
          <w:sz w:val="20"/>
        </w:rPr>
        <w:t xml:space="preserve">Pełnomocnika Terenowego </w:t>
      </w:r>
      <w:r w:rsidRPr="00EC250C">
        <w:rPr>
          <w:sz w:val="20"/>
        </w:rPr>
        <w:t>RPO  w Katowicach - pełnomocnik terenowy Aleksandra Wentkowska</w:t>
      </w:r>
    </w:p>
    <w:p w14:paraId="2A8E0545" w14:textId="3B89E448" w:rsidR="00523934" w:rsidRPr="00EC250C" w:rsidRDefault="00523934" w:rsidP="00523934">
      <w:pPr>
        <w:pStyle w:val="Styl1"/>
        <w:numPr>
          <w:ilvl w:val="0"/>
          <w:numId w:val="160"/>
        </w:numPr>
        <w:rPr>
          <w:sz w:val="20"/>
        </w:rPr>
      </w:pPr>
      <w:r w:rsidRPr="00EC250C">
        <w:rPr>
          <w:sz w:val="20"/>
        </w:rPr>
        <w:t xml:space="preserve">Biuro </w:t>
      </w:r>
      <w:r w:rsidR="001651C0">
        <w:rPr>
          <w:sz w:val="20"/>
        </w:rPr>
        <w:t xml:space="preserve">Pełnomocnika Terenowego </w:t>
      </w:r>
      <w:r w:rsidRPr="00EC250C">
        <w:rPr>
          <w:sz w:val="20"/>
        </w:rPr>
        <w:t>RPO w Gdańsku - pełnomocnik terenowy  Krzysztof Szerkus</w:t>
      </w:r>
      <w:r w:rsidR="001651C0">
        <w:rPr>
          <w:sz w:val="20"/>
        </w:rPr>
        <w:t>.</w:t>
      </w:r>
    </w:p>
    <w:p w14:paraId="256CEA88" w14:textId="77777777" w:rsidR="00523934" w:rsidRPr="00EC250C" w:rsidRDefault="00523934" w:rsidP="00523934">
      <w:pPr>
        <w:pStyle w:val="Styl1"/>
        <w:rPr>
          <w:sz w:val="20"/>
        </w:rPr>
      </w:pPr>
      <w:r w:rsidRPr="00EC250C">
        <w:rPr>
          <w:sz w:val="20"/>
        </w:rPr>
        <w:t xml:space="preserve">Zadania specjalne koordynują: </w:t>
      </w:r>
    </w:p>
    <w:p w14:paraId="5E6E1B4D" w14:textId="7DC117AC" w:rsidR="00523934" w:rsidRPr="00EC250C" w:rsidRDefault="00523934" w:rsidP="00523934">
      <w:pPr>
        <w:pStyle w:val="Styl1"/>
        <w:numPr>
          <w:ilvl w:val="0"/>
          <w:numId w:val="161"/>
        </w:numPr>
        <w:rPr>
          <w:sz w:val="20"/>
        </w:rPr>
      </w:pPr>
      <w:r w:rsidRPr="00EC250C">
        <w:rPr>
          <w:sz w:val="20"/>
        </w:rPr>
        <w:t xml:space="preserve">Główny Koordynator ds. </w:t>
      </w:r>
      <w:r w:rsidR="001651C0">
        <w:rPr>
          <w:sz w:val="20"/>
        </w:rPr>
        <w:t>W</w:t>
      </w:r>
      <w:r w:rsidRPr="00EC250C">
        <w:rPr>
          <w:sz w:val="20"/>
        </w:rPr>
        <w:t xml:space="preserve">spółpracy z </w:t>
      </w:r>
      <w:r w:rsidR="001651C0">
        <w:rPr>
          <w:sz w:val="20"/>
        </w:rPr>
        <w:t>B</w:t>
      </w:r>
      <w:r w:rsidRPr="00EC250C">
        <w:rPr>
          <w:sz w:val="20"/>
        </w:rPr>
        <w:t xml:space="preserve">iurami </w:t>
      </w:r>
      <w:r w:rsidR="001651C0">
        <w:rPr>
          <w:sz w:val="20"/>
        </w:rPr>
        <w:t>P</w:t>
      </w:r>
      <w:r w:rsidRPr="00EC250C">
        <w:rPr>
          <w:sz w:val="20"/>
        </w:rPr>
        <w:t xml:space="preserve">ełnomocników </w:t>
      </w:r>
      <w:r w:rsidR="001651C0">
        <w:rPr>
          <w:sz w:val="20"/>
        </w:rPr>
        <w:t>T</w:t>
      </w:r>
      <w:r w:rsidRPr="00EC250C">
        <w:rPr>
          <w:sz w:val="20"/>
        </w:rPr>
        <w:t xml:space="preserve">erenowych i </w:t>
      </w:r>
      <w:r w:rsidR="001651C0">
        <w:rPr>
          <w:sz w:val="20"/>
        </w:rPr>
        <w:t>P</w:t>
      </w:r>
      <w:r w:rsidRPr="00EC250C">
        <w:rPr>
          <w:sz w:val="20"/>
        </w:rPr>
        <w:t xml:space="preserve">unktami </w:t>
      </w:r>
      <w:r w:rsidR="001651C0">
        <w:rPr>
          <w:sz w:val="20"/>
        </w:rPr>
        <w:t>P</w:t>
      </w:r>
      <w:r w:rsidRPr="00EC250C">
        <w:rPr>
          <w:sz w:val="20"/>
        </w:rPr>
        <w:t xml:space="preserve">rzyjęć </w:t>
      </w:r>
      <w:r w:rsidR="001651C0">
        <w:rPr>
          <w:sz w:val="20"/>
        </w:rPr>
        <w:t>I</w:t>
      </w:r>
      <w:r w:rsidRPr="00EC250C">
        <w:rPr>
          <w:sz w:val="20"/>
        </w:rPr>
        <w:t xml:space="preserve">nteresantów </w:t>
      </w:r>
      <w:r w:rsidR="001651C0">
        <w:rPr>
          <w:sz w:val="20"/>
        </w:rPr>
        <w:t xml:space="preserve">- </w:t>
      </w:r>
      <w:r w:rsidRPr="00EC250C">
        <w:rPr>
          <w:sz w:val="20"/>
        </w:rPr>
        <w:t>Aleksandra Czubińska-Durka</w:t>
      </w:r>
    </w:p>
    <w:p w14:paraId="411A4625" w14:textId="2E4B2245" w:rsidR="00523934" w:rsidRPr="00EC250C" w:rsidRDefault="00523934" w:rsidP="00523934">
      <w:pPr>
        <w:pStyle w:val="Styl1"/>
        <w:numPr>
          <w:ilvl w:val="0"/>
          <w:numId w:val="161"/>
        </w:numPr>
        <w:rPr>
          <w:sz w:val="20"/>
        </w:rPr>
      </w:pPr>
      <w:r w:rsidRPr="00EC250C">
        <w:rPr>
          <w:sz w:val="20"/>
        </w:rPr>
        <w:t xml:space="preserve">Główny Koordynator ds. Ochrony Zdrowia Psychicznego </w:t>
      </w:r>
      <w:r w:rsidR="001651C0">
        <w:rPr>
          <w:sz w:val="20"/>
        </w:rPr>
        <w:t xml:space="preserve">- </w:t>
      </w:r>
      <w:r w:rsidRPr="00EC250C">
        <w:rPr>
          <w:sz w:val="20"/>
        </w:rPr>
        <w:t>Krzysztof Olkowicz</w:t>
      </w:r>
    </w:p>
    <w:p w14:paraId="2801C5DF" w14:textId="2B3A7B8A" w:rsidR="00523934" w:rsidRPr="00EC250C" w:rsidRDefault="00523934" w:rsidP="00523934">
      <w:pPr>
        <w:pStyle w:val="Styl1"/>
        <w:numPr>
          <w:ilvl w:val="0"/>
          <w:numId w:val="161"/>
        </w:numPr>
        <w:rPr>
          <w:sz w:val="20"/>
        </w:rPr>
      </w:pPr>
      <w:r w:rsidRPr="00EC250C">
        <w:rPr>
          <w:sz w:val="20"/>
        </w:rPr>
        <w:t xml:space="preserve">Główny Koordynator ds. Strategicznych Postępowań Sądowych </w:t>
      </w:r>
      <w:r w:rsidR="001651C0">
        <w:rPr>
          <w:sz w:val="20"/>
        </w:rPr>
        <w:t xml:space="preserve"> - </w:t>
      </w:r>
      <w:r w:rsidRPr="00EC250C">
        <w:rPr>
          <w:sz w:val="20"/>
        </w:rPr>
        <w:t>Zuzanna Rudz</w:t>
      </w:r>
      <w:r w:rsidR="001651C0">
        <w:rPr>
          <w:sz w:val="20"/>
        </w:rPr>
        <w:t>i</w:t>
      </w:r>
      <w:r w:rsidRPr="00EC250C">
        <w:rPr>
          <w:sz w:val="20"/>
        </w:rPr>
        <w:t>ńska-Bluszcz</w:t>
      </w:r>
    </w:p>
    <w:p w14:paraId="6710B9FA" w14:textId="73FECF9E" w:rsidR="00DF637D" w:rsidRPr="00EC250C" w:rsidRDefault="00523934" w:rsidP="00523934">
      <w:pPr>
        <w:pStyle w:val="Styl1"/>
        <w:numPr>
          <w:ilvl w:val="0"/>
          <w:numId w:val="161"/>
        </w:numPr>
        <w:rPr>
          <w:sz w:val="20"/>
        </w:rPr>
      </w:pPr>
      <w:r w:rsidRPr="00EC250C">
        <w:rPr>
          <w:sz w:val="20"/>
        </w:rPr>
        <w:t xml:space="preserve">Główny Koordynator ds. </w:t>
      </w:r>
      <w:r w:rsidR="001651C0">
        <w:rPr>
          <w:sz w:val="20"/>
        </w:rPr>
        <w:t>S</w:t>
      </w:r>
      <w:r w:rsidRPr="00EC250C">
        <w:rPr>
          <w:sz w:val="20"/>
        </w:rPr>
        <w:t xml:space="preserve">połecznych </w:t>
      </w:r>
      <w:r w:rsidR="001651C0">
        <w:rPr>
          <w:sz w:val="20"/>
        </w:rPr>
        <w:t xml:space="preserve"> - </w:t>
      </w:r>
      <w:r w:rsidRPr="00EC250C">
        <w:rPr>
          <w:sz w:val="20"/>
        </w:rPr>
        <w:t>Andrzej Stefański</w:t>
      </w:r>
      <w:r w:rsidR="00DF637D" w:rsidRPr="00EC250C">
        <w:rPr>
          <w:sz w:val="20"/>
        </w:rPr>
        <w:t>.</w:t>
      </w:r>
    </w:p>
    <w:p w14:paraId="0C0930D8" w14:textId="77777777" w:rsidR="00DF637D" w:rsidRPr="00EC250C" w:rsidRDefault="00DF637D">
      <w:pPr>
        <w:spacing w:after="200" w:line="24" w:lineRule="auto"/>
        <w:rPr>
          <w:spacing w:val="5"/>
          <w:sz w:val="20"/>
        </w:rPr>
      </w:pPr>
      <w:r w:rsidRPr="00EC250C">
        <w:rPr>
          <w:sz w:val="20"/>
        </w:rPr>
        <w:br w:type="page"/>
      </w:r>
    </w:p>
    <w:p w14:paraId="400C2EDC" w14:textId="77777777" w:rsidR="00DF637D" w:rsidRPr="00EC250C" w:rsidRDefault="00DF637D" w:rsidP="00DF637D">
      <w:pPr>
        <w:pStyle w:val="Problemczowieka"/>
        <w:ind w:left="207"/>
        <w:jc w:val="both"/>
      </w:pPr>
      <w:r w:rsidRPr="00EC250C">
        <w:lastRenderedPageBreak/>
        <w:t>Reagowanie na indywidualne zgłoszenia obywateli, a także sygnalizowanie władzom propozycji rozwiązań i przedstawianie argumentacji na rzecz obywateli przed sądami to tylko jedno z narzędzi pracy RPO.</w:t>
      </w:r>
    </w:p>
    <w:p w14:paraId="26550358" w14:textId="0BB3FD5D" w:rsidR="00192982" w:rsidRPr="00EC250C" w:rsidRDefault="00192982" w:rsidP="00D131FA">
      <w:pPr>
        <w:pStyle w:val="Styl1"/>
      </w:pPr>
      <w:r w:rsidRPr="00EC250C">
        <w:t>Dla Rzecznika Praw Obywatelskich bardzo ważna jest współpraca</w:t>
      </w:r>
      <w:r w:rsidR="00992FD0" w:rsidRPr="00EC250C">
        <w:t xml:space="preserve"> z </w:t>
      </w:r>
      <w:r w:rsidRPr="00EC250C">
        <w:t>lokalnymi środowiskami,</w:t>
      </w:r>
      <w:r w:rsidR="00992FD0" w:rsidRPr="00EC250C">
        <w:t xml:space="preserve"> z </w:t>
      </w:r>
      <w:r w:rsidRPr="00EC250C">
        <w:t>aktywnymi obywatelami</w:t>
      </w:r>
      <w:r w:rsidR="00992FD0" w:rsidRPr="00EC250C">
        <w:t xml:space="preserve"> i z </w:t>
      </w:r>
      <w:r w:rsidRPr="00EC250C">
        <w:t>organizacjami społecznymi. Jest to bowiem nie tylko sposób na lepsze wychwytywanie pojawiających się</w:t>
      </w:r>
      <w:r w:rsidR="00992FD0" w:rsidRPr="00EC250C">
        <w:t xml:space="preserve"> w </w:t>
      </w:r>
      <w:r w:rsidRPr="00EC250C">
        <w:t xml:space="preserve">kraju problemów czy ważnych </w:t>
      </w:r>
      <w:r w:rsidR="00DE4F44" w:rsidRPr="00EC250C">
        <w:t xml:space="preserve">spraw </w:t>
      </w:r>
      <w:r w:rsidRPr="00EC250C">
        <w:t>rozstrzyganych przed sądami, ale też na zauważanie dobrych praktyk</w:t>
      </w:r>
      <w:r w:rsidR="00992FD0" w:rsidRPr="00EC250C">
        <w:t xml:space="preserve"> i </w:t>
      </w:r>
      <w:r w:rsidRPr="00EC250C">
        <w:t xml:space="preserve">promowanie </w:t>
      </w:r>
      <w:r w:rsidR="00D97E9D" w:rsidRPr="00EC250C">
        <w:t>takich sposobów działania</w:t>
      </w:r>
      <w:r w:rsidRPr="00EC250C">
        <w:t>, dzięki którym rozwiązywanie problemów staje się nie tylko możliwe, ale</w:t>
      </w:r>
      <w:r w:rsidR="00992FD0" w:rsidRPr="00EC250C">
        <w:t xml:space="preserve"> i </w:t>
      </w:r>
      <w:r w:rsidRPr="00EC250C">
        <w:t>łatwiejsze.</w:t>
      </w:r>
    </w:p>
    <w:p w14:paraId="266E108D" w14:textId="77777777" w:rsidR="00192982" w:rsidRPr="00EC250C" w:rsidRDefault="00192982" w:rsidP="006C70B7">
      <w:pPr>
        <w:pStyle w:val="Styl1"/>
        <w:numPr>
          <w:ilvl w:val="0"/>
          <w:numId w:val="119"/>
        </w:numPr>
        <w:ind w:left="360"/>
      </w:pPr>
      <w:r w:rsidRPr="00EC250C">
        <w:t>Nowatorskim programem wdrażanym</w:t>
      </w:r>
      <w:r w:rsidR="00992FD0" w:rsidRPr="00EC250C">
        <w:t xml:space="preserve"> w </w:t>
      </w:r>
      <w:r w:rsidRPr="00EC250C">
        <w:t>tej kadencji jest program spotkań regionalnych RPO.</w:t>
      </w:r>
      <w:r w:rsidR="00DE4F44" w:rsidRPr="00EC250C">
        <w:t xml:space="preserve"> </w:t>
      </w:r>
      <w:r w:rsidRPr="00EC250C">
        <w:t xml:space="preserve">Jego istotą jest to, że </w:t>
      </w:r>
      <w:r w:rsidR="00DE4F44" w:rsidRPr="00EC250C">
        <w:t xml:space="preserve">RPO </w:t>
      </w:r>
      <w:r w:rsidRPr="00EC250C">
        <w:t>regularnie jeździ po kraju, po to, by słuchać ludzi, notować ich problemy, podpowiadać, co można</w:t>
      </w:r>
      <w:r w:rsidR="00992FD0" w:rsidRPr="00EC250C">
        <w:t xml:space="preserve"> w </w:t>
      </w:r>
      <w:r w:rsidRPr="00EC250C">
        <w:t>sprawie zrobić</w:t>
      </w:r>
      <w:r w:rsidR="00992FD0" w:rsidRPr="00EC250C">
        <w:t xml:space="preserve"> i </w:t>
      </w:r>
      <w:r w:rsidRPr="00EC250C">
        <w:t>jak on sam może pomóc.</w:t>
      </w:r>
    </w:p>
    <w:p w14:paraId="677DB2EF" w14:textId="77777777" w:rsidR="00192982" w:rsidRPr="00EC250C" w:rsidRDefault="00192982" w:rsidP="006C70B7">
      <w:pPr>
        <w:pStyle w:val="Styl1"/>
        <w:numPr>
          <w:ilvl w:val="0"/>
          <w:numId w:val="119"/>
        </w:numPr>
        <w:ind w:left="360"/>
      </w:pPr>
      <w:r w:rsidRPr="00EC250C">
        <w:t>Z idei spotkań</w:t>
      </w:r>
      <w:r w:rsidR="00992FD0" w:rsidRPr="00EC250C">
        <w:t xml:space="preserve"> w </w:t>
      </w:r>
      <w:r w:rsidRPr="00EC250C">
        <w:t xml:space="preserve">całym kraju (było ich </w:t>
      </w:r>
      <w:r w:rsidR="00595821" w:rsidRPr="00EC250C">
        <w:t>od początku tej kadencji</w:t>
      </w:r>
      <w:r w:rsidR="00992FD0" w:rsidRPr="00EC250C">
        <w:t xml:space="preserve"> w </w:t>
      </w:r>
      <w:r w:rsidRPr="00EC250C">
        <w:t xml:space="preserve">sumie </w:t>
      </w:r>
      <w:r w:rsidR="00595821" w:rsidRPr="00EC250C">
        <w:t xml:space="preserve">ponad </w:t>
      </w:r>
      <w:r w:rsidRPr="00EC250C">
        <w:t>180) narodziły się kongresy</w:t>
      </w:r>
      <w:r w:rsidR="00992FD0" w:rsidRPr="00EC250C">
        <w:t xml:space="preserve"> i </w:t>
      </w:r>
      <w:r w:rsidRPr="00EC250C">
        <w:t>spotkania tematyczne, grupujące ekspertów</w:t>
      </w:r>
      <w:r w:rsidR="00992FD0" w:rsidRPr="00EC250C">
        <w:t xml:space="preserve"> i </w:t>
      </w:r>
      <w:r w:rsidRPr="00EC250C">
        <w:t>praktyków</w:t>
      </w:r>
      <w:r w:rsidR="00595821" w:rsidRPr="00EC250C">
        <w:t>,</w:t>
      </w:r>
      <w:r w:rsidR="00992FD0" w:rsidRPr="00EC250C">
        <w:t xml:space="preserve"> i </w:t>
      </w:r>
      <w:r w:rsidRPr="00EC250C">
        <w:t>tworzące przestrzeń do dyskusji</w:t>
      </w:r>
      <w:r w:rsidR="00992FD0" w:rsidRPr="00EC250C">
        <w:t xml:space="preserve"> o </w:t>
      </w:r>
      <w:r w:rsidRPr="00EC250C">
        <w:t>najważniejszych problemach, które RPO poznaje ze zgłoszeń od obywateli.</w:t>
      </w:r>
    </w:p>
    <w:p w14:paraId="5C466020" w14:textId="77777777" w:rsidR="00192982" w:rsidRPr="00EC250C" w:rsidRDefault="00192982" w:rsidP="006C70B7">
      <w:pPr>
        <w:pStyle w:val="Styl1"/>
        <w:numPr>
          <w:ilvl w:val="0"/>
          <w:numId w:val="119"/>
        </w:numPr>
        <w:ind w:left="360"/>
      </w:pPr>
      <w:r w:rsidRPr="00EC250C">
        <w:t>Merytoryczną pracę RPO wspierają komisje ekspertów grupujące najwybitniejszych przedstawicieli swoich dziedzin, którzy dzięki wiedzy</w:t>
      </w:r>
      <w:r w:rsidR="00992FD0" w:rsidRPr="00EC250C">
        <w:t xml:space="preserve"> i </w:t>
      </w:r>
      <w:r w:rsidRPr="00EC250C">
        <w:t>doświadczeniu są</w:t>
      </w:r>
      <w:r w:rsidR="00992FD0" w:rsidRPr="00EC250C">
        <w:t xml:space="preserve"> w </w:t>
      </w:r>
      <w:r w:rsidRPr="00EC250C">
        <w:t>stanie podpowiadać rozwiązania, które następnie Rzecznik może rekomendować władzom.</w:t>
      </w:r>
    </w:p>
    <w:p w14:paraId="12E29BA5" w14:textId="77777777" w:rsidR="00192982" w:rsidRPr="00EC250C" w:rsidRDefault="00192982" w:rsidP="006C70B7">
      <w:pPr>
        <w:pStyle w:val="Styl1"/>
        <w:numPr>
          <w:ilvl w:val="0"/>
          <w:numId w:val="119"/>
        </w:numPr>
        <w:ind w:left="360"/>
      </w:pPr>
      <w:r w:rsidRPr="00EC250C">
        <w:t>Głęboka, niehierarchiczna, ale dwustronna</w:t>
      </w:r>
      <w:r w:rsidR="00DE4F44" w:rsidRPr="00EC250C">
        <w:t>,</w:t>
      </w:r>
      <w:r w:rsidRPr="00EC250C">
        <w:t xml:space="preserve"> relacja Rzecznik-obywatele zwróciła też uwagę RPO na nowe wyzwania komunikacyjne, na potrzebę wspólnego uczenia się</w:t>
      </w:r>
      <w:r w:rsidR="00992FD0" w:rsidRPr="00EC250C">
        <w:t xml:space="preserve"> o </w:t>
      </w:r>
      <w:r w:rsidRPr="00EC250C">
        <w:t>tym, czym jest naprawdę Konstytucja, jak rozmawiać</w:t>
      </w:r>
      <w:r w:rsidR="00992FD0" w:rsidRPr="00EC250C">
        <w:t xml:space="preserve"> o </w:t>
      </w:r>
      <w:r w:rsidRPr="00EC250C">
        <w:t>prawie – także</w:t>
      </w:r>
      <w:r w:rsidR="00992FD0" w:rsidRPr="00EC250C">
        <w:t xml:space="preserve"> w </w:t>
      </w:r>
      <w:r w:rsidRPr="00EC250C">
        <w:t>sądach. Stąd liczne edukacyjne projekty – od spotkań</w:t>
      </w:r>
      <w:r w:rsidR="00992FD0" w:rsidRPr="00EC250C">
        <w:t xml:space="preserve"> w </w:t>
      </w:r>
      <w:r w:rsidRPr="00EC250C">
        <w:t>szkołach</w:t>
      </w:r>
      <w:r w:rsidR="00992FD0" w:rsidRPr="00EC250C">
        <w:t xml:space="preserve"> i </w:t>
      </w:r>
      <w:r w:rsidRPr="00EC250C">
        <w:t>na festiwalach młodzieżowych po szkolenia</w:t>
      </w:r>
      <w:r w:rsidR="00992FD0" w:rsidRPr="00EC250C">
        <w:t xml:space="preserve"> z </w:t>
      </w:r>
      <w:r w:rsidRPr="00EC250C">
        <w:t>komunikacji dla prawników.</w:t>
      </w:r>
    </w:p>
    <w:p w14:paraId="1A79D1A0" w14:textId="3F596621" w:rsidR="00192982" w:rsidRPr="00EC250C" w:rsidRDefault="00192982" w:rsidP="00EC79EB">
      <w:pPr>
        <w:pStyle w:val="Nagwek4"/>
      </w:pPr>
      <w:bookmarkStart w:id="811" w:name="_Toc11247872"/>
      <w:r w:rsidRPr="00EC250C">
        <w:t>Biura terenowe RPO</w:t>
      </w:r>
      <w:r w:rsidR="009C7CB4">
        <w:t xml:space="preserve"> </w:t>
      </w:r>
      <w:r w:rsidRPr="00EC250C">
        <w:t>– szansa na pogłębianie więzi</w:t>
      </w:r>
      <w:r w:rsidR="00992FD0" w:rsidRPr="00EC250C">
        <w:t xml:space="preserve"> z </w:t>
      </w:r>
      <w:r w:rsidRPr="00EC250C">
        <w:t>lokalnymi społecznościami</w:t>
      </w:r>
      <w:bookmarkEnd w:id="811"/>
    </w:p>
    <w:p w14:paraId="4E6BA1F1" w14:textId="77777777" w:rsidR="00B473F5" w:rsidRPr="00EC250C" w:rsidRDefault="00192982" w:rsidP="00D131FA">
      <w:pPr>
        <w:pStyle w:val="Problemczowieka"/>
        <w:jc w:val="both"/>
      </w:pPr>
      <w:r w:rsidRPr="00EC250C">
        <w:t>Pełnomocnicy terenowi Rzecznika</w:t>
      </w:r>
      <w:r w:rsidR="00992FD0" w:rsidRPr="00EC250C">
        <w:t xml:space="preserve"> w </w:t>
      </w:r>
      <w:r w:rsidRPr="00EC250C">
        <w:t>Gdańsku, Katowicach</w:t>
      </w:r>
      <w:r w:rsidR="00992FD0" w:rsidRPr="00EC250C">
        <w:t xml:space="preserve"> i </w:t>
      </w:r>
      <w:r w:rsidRPr="00EC250C">
        <w:t xml:space="preserve">Wrocławiu </w:t>
      </w:r>
      <w:r w:rsidR="00595821" w:rsidRPr="00EC250C">
        <w:t>nie tylko przyjmują skargi</w:t>
      </w:r>
      <w:r w:rsidR="00992FD0" w:rsidRPr="00EC250C">
        <w:t xml:space="preserve"> i </w:t>
      </w:r>
      <w:r w:rsidR="00595821" w:rsidRPr="00EC250C">
        <w:t xml:space="preserve">wnioski od obywateli, ale </w:t>
      </w:r>
      <w:r w:rsidRPr="00EC250C">
        <w:t>biorą udział</w:t>
      </w:r>
      <w:r w:rsidR="00992FD0" w:rsidRPr="00EC250C">
        <w:t xml:space="preserve"> w </w:t>
      </w:r>
      <w:r w:rsidRPr="00EC250C">
        <w:t>wielu wydarzeniach</w:t>
      </w:r>
      <w:r w:rsidR="00992FD0" w:rsidRPr="00EC250C">
        <w:t xml:space="preserve"> i </w:t>
      </w:r>
      <w:r w:rsidRPr="00EC250C">
        <w:t xml:space="preserve">spotkaniach, </w:t>
      </w:r>
      <w:r w:rsidR="00992FD0" w:rsidRPr="00EC250C">
        <w:t>z </w:t>
      </w:r>
      <w:r w:rsidRPr="00EC250C">
        <w:t>przedstawicielami organizacji pozarządowych</w:t>
      </w:r>
      <w:r w:rsidR="00992FD0" w:rsidRPr="00EC250C">
        <w:t xml:space="preserve"> i </w:t>
      </w:r>
      <w:r w:rsidRPr="00EC250C">
        <w:t xml:space="preserve">społecznych, </w:t>
      </w:r>
      <w:r w:rsidR="00657F1D" w:rsidRPr="00EC250C">
        <w:t xml:space="preserve">a </w:t>
      </w:r>
      <w:r w:rsidRPr="00EC250C">
        <w:t>także</w:t>
      </w:r>
      <w:r w:rsidR="00992FD0" w:rsidRPr="00EC250C">
        <w:t xml:space="preserve"> z </w:t>
      </w:r>
      <w:r w:rsidR="000E1FF4" w:rsidRPr="00EC250C">
        <w:t xml:space="preserve">przedstawicielami </w:t>
      </w:r>
      <w:r w:rsidRPr="00EC250C">
        <w:t>władz samorządowych, uczelni oraz wymiaru sprawiedliwości</w:t>
      </w:r>
      <w:r w:rsidR="00B473F5" w:rsidRPr="00EC250C">
        <w:t>.</w:t>
      </w:r>
    </w:p>
    <w:p w14:paraId="12308AF2" w14:textId="77777777" w:rsidR="00192982" w:rsidRPr="00EC250C" w:rsidRDefault="00192982" w:rsidP="00D131FA">
      <w:pPr>
        <w:pStyle w:val="Styl1"/>
      </w:pPr>
      <w:r w:rsidRPr="00EC250C">
        <w:t>Pracownicy Biura</w:t>
      </w:r>
      <w:r w:rsidR="00992FD0" w:rsidRPr="00EC250C">
        <w:t xml:space="preserve"> w </w:t>
      </w:r>
      <w:r w:rsidRPr="00EC250C">
        <w:t xml:space="preserve">Katowicach upowszechniali </w:t>
      </w:r>
      <w:r w:rsidR="000E1FF4" w:rsidRPr="00EC250C">
        <w:t>np.</w:t>
      </w:r>
      <w:r w:rsidR="00992FD0" w:rsidRPr="00EC250C">
        <w:t xml:space="preserve"> w </w:t>
      </w:r>
      <w:r w:rsidRPr="00EC250C">
        <w:t>2018</w:t>
      </w:r>
      <w:r w:rsidR="00C91F6E" w:rsidRPr="00EC250C">
        <w:t> r.</w:t>
      </w:r>
      <w:r w:rsidRPr="00EC250C">
        <w:t xml:space="preserve"> wiedzę</w:t>
      </w:r>
      <w:r w:rsidR="00992FD0" w:rsidRPr="00EC250C">
        <w:t xml:space="preserve"> o </w:t>
      </w:r>
      <w:r w:rsidRPr="00EC250C">
        <w:t>prawach obywatelskich na spotkaniach</w:t>
      </w:r>
      <w:r w:rsidR="00992FD0" w:rsidRPr="00EC250C">
        <w:t xml:space="preserve"> z </w:t>
      </w:r>
      <w:r w:rsidRPr="00EC250C">
        <w:t>uczniami, studentami</w:t>
      </w:r>
      <w:r w:rsidR="00992FD0" w:rsidRPr="00EC250C">
        <w:t xml:space="preserve"> i </w:t>
      </w:r>
      <w:r w:rsidRPr="00EC250C">
        <w:t>słuchaczami uniwersytetów III wieku, czy organizacji pozarządowych. W działaniach tych Biuro</w:t>
      </w:r>
      <w:r w:rsidR="00992FD0" w:rsidRPr="00EC250C">
        <w:t xml:space="preserve"> w </w:t>
      </w:r>
      <w:r w:rsidRPr="00EC250C">
        <w:t>Katowicach wspomagały współpracujące</w:t>
      </w:r>
      <w:r w:rsidR="00992FD0" w:rsidRPr="00EC250C">
        <w:t xml:space="preserve"> z </w:t>
      </w:r>
      <w:r w:rsidRPr="00EC250C">
        <w:t>nim organizacje</w:t>
      </w:r>
      <w:r w:rsidR="00992FD0" w:rsidRPr="00EC250C">
        <w:t xml:space="preserve"> i </w:t>
      </w:r>
      <w:r w:rsidRPr="00EC250C">
        <w:t>stowarzyszenia (centra pomocy, kliniki prawa, biura porad prawnych, samorządy zawodowe, stowarzyszenia charytatywne, czy też organizacje młodzieżowe</w:t>
      </w:r>
      <w:r w:rsidR="00992FD0" w:rsidRPr="00EC250C">
        <w:t xml:space="preserve"> i </w:t>
      </w:r>
      <w:r w:rsidRPr="00EC250C">
        <w:t>studenckie) oraz praktykanci.</w:t>
      </w:r>
    </w:p>
    <w:p w14:paraId="6B4F2B12" w14:textId="77777777" w:rsidR="00C91F6E" w:rsidRPr="00EC250C" w:rsidRDefault="00192982" w:rsidP="00D131FA">
      <w:pPr>
        <w:pStyle w:val="Styl1"/>
        <w:ind w:firstLine="0"/>
      </w:pPr>
      <w:r w:rsidRPr="00EC250C">
        <w:lastRenderedPageBreak/>
        <w:t>Biuro we Wrocławiu włączyło się</w:t>
      </w:r>
      <w:r w:rsidR="00992FD0" w:rsidRPr="00EC250C">
        <w:t xml:space="preserve"> w </w:t>
      </w:r>
      <w:r w:rsidRPr="00EC250C">
        <w:t>organizowaną przez Okręgową Izbę Radców Prawnych we Wrocławiu akcję „Prawo</w:t>
      </w:r>
      <w:r w:rsidR="00992FD0" w:rsidRPr="00EC250C">
        <w:t xml:space="preserve"> w </w:t>
      </w:r>
      <w:r w:rsidRPr="00EC250C">
        <w:t>szkole”, brało też udział</w:t>
      </w:r>
      <w:r w:rsidR="00992FD0" w:rsidRPr="00EC250C">
        <w:t xml:space="preserve"> w </w:t>
      </w:r>
      <w:r w:rsidRPr="00EC250C">
        <w:t>Tygodniu Konstytucyjnym.</w:t>
      </w:r>
    </w:p>
    <w:p w14:paraId="5734447A" w14:textId="77777777" w:rsidR="00C91F6E" w:rsidRPr="00EC250C" w:rsidRDefault="00192982" w:rsidP="00D131FA">
      <w:pPr>
        <w:pStyle w:val="Styl1"/>
        <w:ind w:firstLine="0"/>
      </w:pPr>
      <w:bookmarkStart w:id="812" w:name="_Toc6415879"/>
      <w:r w:rsidRPr="00EC250C">
        <w:t>Pełnomocnik Terenowy RPO</w:t>
      </w:r>
      <w:r w:rsidR="00992FD0" w:rsidRPr="00EC250C">
        <w:t xml:space="preserve"> w </w:t>
      </w:r>
      <w:r w:rsidR="00595821" w:rsidRPr="00EC250C">
        <w:t xml:space="preserve">Gdańsku </w:t>
      </w:r>
      <w:r w:rsidRPr="00EC250C">
        <w:t>współpracował</w:t>
      </w:r>
      <w:r w:rsidR="00992FD0" w:rsidRPr="00EC250C">
        <w:t xml:space="preserve"> w </w:t>
      </w:r>
      <w:r w:rsidRPr="00EC250C">
        <w:t>2018</w:t>
      </w:r>
      <w:r w:rsidR="00C91F6E" w:rsidRPr="00EC250C">
        <w:t> r.</w:t>
      </w:r>
      <w:r w:rsidR="00992FD0" w:rsidRPr="00EC250C">
        <w:t xml:space="preserve"> z </w:t>
      </w:r>
      <w:r w:rsidRPr="00EC250C">
        <w:t>organizacjami pozarządowymi, zwłaszcza działającymi</w:t>
      </w:r>
      <w:r w:rsidR="00992FD0" w:rsidRPr="00EC250C">
        <w:t xml:space="preserve"> w </w:t>
      </w:r>
      <w:r w:rsidRPr="00EC250C">
        <w:t>zakresie ochrony praw człowieka</w:t>
      </w:r>
      <w:r w:rsidR="00992FD0" w:rsidRPr="00EC250C">
        <w:t xml:space="preserve"> i </w:t>
      </w:r>
      <w:r w:rsidRPr="00EC250C">
        <w:t>obywatela oraz poradnictwa obywatelskiego.</w:t>
      </w:r>
    </w:p>
    <w:p w14:paraId="0B33EEBD" w14:textId="77777777" w:rsidR="00A172F5" w:rsidRPr="00EC250C" w:rsidRDefault="00A172F5" w:rsidP="00EC79EB">
      <w:pPr>
        <w:pStyle w:val="Nagwek4"/>
      </w:pPr>
      <w:bookmarkStart w:id="813" w:name="_Toc11247873"/>
      <w:r w:rsidRPr="00EC250C">
        <w:t>Infolinia Rzecznika Praw Obywatelskich – Infolinia Obywatelska ( 800 – 676 – 676 )</w:t>
      </w:r>
      <w:bookmarkEnd w:id="813"/>
    </w:p>
    <w:p w14:paraId="625A8A25" w14:textId="77777777" w:rsidR="00B473F5" w:rsidRPr="00EC250C" w:rsidRDefault="00A172F5" w:rsidP="00D131FA">
      <w:pPr>
        <w:pStyle w:val="Problemczowieka"/>
        <w:jc w:val="both"/>
      </w:pPr>
      <w:r w:rsidRPr="00EC250C">
        <w:t>Najszybszym</w:t>
      </w:r>
      <w:r w:rsidR="00992FD0" w:rsidRPr="00EC250C">
        <w:t xml:space="preserve"> i </w:t>
      </w:r>
      <w:r w:rsidRPr="00EC250C">
        <w:t>często pierwszym sposobem kontaktu obywatela</w:t>
      </w:r>
      <w:r w:rsidR="00992FD0" w:rsidRPr="00EC250C">
        <w:t xml:space="preserve"> z </w:t>
      </w:r>
      <w:r w:rsidRPr="00EC250C">
        <w:t>Biurem Rzecznika Praw Obywatelskich jest Infolinia Obywatelska. Za pośrednictwem tego darmowego numeru telefonu przeprowadza</w:t>
      </w:r>
      <w:r w:rsidR="006C33F5" w:rsidRPr="00EC250C">
        <w:t>my</w:t>
      </w:r>
      <w:r w:rsidRPr="00EC250C">
        <w:t xml:space="preserve"> rocznie nawet 30 tys. rozmów. </w:t>
      </w:r>
      <w:r w:rsidR="006C33F5" w:rsidRPr="00EC250C">
        <w:t xml:space="preserve">O </w:t>
      </w:r>
      <w:r w:rsidRPr="00EC250C">
        <w:t>drobnych</w:t>
      </w:r>
      <w:r w:rsidR="006C33F5" w:rsidRPr="00EC250C">
        <w:t>,</w:t>
      </w:r>
      <w:r w:rsidRPr="00EC250C">
        <w:t xml:space="preserve"> dotyczących zwykłych spraw życia codziennego </w:t>
      </w:r>
      <w:r w:rsidR="006C33F5" w:rsidRPr="00EC250C">
        <w:t xml:space="preserve">sprawach po </w:t>
      </w:r>
      <w:r w:rsidRPr="00EC250C">
        <w:t>do kwesti</w:t>
      </w:r>
      <w:r w:rsidR="006C33F5" w:rsidRPr="00EC250C">
        <w:t>e</w:t>
      </w:r>
      <w:r w:rsidRPr="00EC250C">
        <w:t xml:space="preserve"> decydując</w:t>
      </w:r>
      <w:r w:rsidR="006C33F5" w:rsidRPr="00EC250C">
        <w:t>e</w:t>
      </w:r>
      <w:r w:rsidR="00992FD0" w:rsidRPr="00EC250C">
        <w:t xml:space="preserve"> o </w:t>
      </w:r>
      <w:r w:rsidRPr="00EC250C">
        <w:t>losie dzwoniącego</w:t>
      </w:r>
      <w:r w:rsidR="00B473F5" w:rsidRPr="00EC250C">
        <w:t>.</w:t>
      </w:r>
    </w:p>
    <w:p w14:paraId="4672A434" w14:textId="77777777" w:rsidR="00C91F6E" w:rsidRPr="00EC250C" w:rsidRDefault="00A172F5" w:rsidP="00D131FA">
      <w:pPr>
        <w:pStyle w:val="Styl1"/>
      </w:pPr>
      <w:r w:rsidRPr="00EC250C">
        <w:t xml:space="preserve">Najliczniejsza jest grupa </w:t>
      </w:r>
      <w:r w:rsidR="006C33F5" w:rsidRPr="00EC250C">
        <w:t>ludzi pytających</w:t>
      </w:r>
      <w:r w:rsidR="00992FD0" w:rsidRPr="00EC250C">
        <w:t xml:space="preserve"> o </w:t>
      </w:r>
      <w:r w:rsidR="006C33F5" w:rsidRPr="00EC250C">
        <w:t xml:space="preserve">sprawy </w:t>
      </w:r>
      <w:r w:rsidRPr="00EC250C">
        <w:t>prawa karnego. Rozmowy dotyczą kompetencji Rzecznika Praw Obywatelskich</w:t>
      </w:r>
      <w:r w:rsidR="00992FD0" w:rsidRPr="00EC250C">
        <w:t xml:space="preserve"> w </w:t>
      </w:r>
      <w:r w:rsidRPr="00EC250C">
        <w:t>toczącym się postępowaniu karnym, jak</w:t>
      </w:r>
      <w:r w:rsidR="00992FD0" w:rsidRPr="00EC250C">
        <w:t xml:space="preserve"> i </w:t>
      </w:r>
      <w:r w:rsidRPr="00EC250C">
        <w:t>uprawnień przysługujących stronom postępowania,</w:t>
      </w:r>
      <w:r w:rsidR="00992FD0" w:rsidRPr="00EC250C">
        <w:t xml:space="preserve"> a </w:t>
      </w:r>
      <w:r w:rsidRPr="00EC250C">
        <w:t xml:space="preserve">także możliwości działania RPO po zakończeniu postępowania. </w:t>
      </w:r>
    </w:p>
    <w:p w14:paraId="371234E9" w14:textId="77777777" w:rsidR="00C91F6E" w:rsidRPr="00EC250C" w:rsidRDefault="00A172F5" w:rsidP="00D131FA">
      <w:pPr>
        <w:pStyle w:val="Styl1"/>
      </w:pPr>
      <w:r w:rsidRPr="00EC250C">
        <w:t>Popularność zagadnień poruszanych</w:t>
      </w:r>
      <w:r w:rsidR="00992FD0" w:rsidRPr="00EC250C">
        <w:t xml:space="preserve"> w </w:t>
      </w:r>
      <w:r w:rsidR="006C33F5" w:rsidRPr="00EC250C">
        <w:t xml:space="preserve">rozmowach zależy od </w:t>
      </w:r>
      <w:r w:rsidRPr="00EC250C">
        <w:t>bieżąc</w:t>
      </w:r>
      <w:r w:rsidR="006C33F5" w:rsidRPr="00EC250C">
        <w:t>ych</w:t>
      </w:r>
      <w:r w:rsidRPr="00EC250C">
        <w:t xml:space="preserve"> wydarze</w:t>
      </w:r>
      <w:r w:rsidR="006C33F5" w:rsidRPr="00EC250C">
        <w:t>ń</w:t>
      </w:r>
      <w:r w:rsidRPr="00EC250C">
        <w:t>. Wejście</w:t>
      </w:r>
      <w:r w:rsidR="00992FD0" w:rsidRPr="00EC250C">
        <w:t xml:space="preserve"> w </w:t>
      </w:r>
      <w:r w:rsidRPr="00EC250C">
        <w:t>życie nowej ustawy, wydanie orzeczenia przez Trybunał Konstytucyjny lub Sąd Najwyższy, zwłaszcza</w:t>
      </w:r>
      <w:r w:rsidR="00992FD0" w:rsidRPr="00EC250C">
        <w:t xml:space="preserve"> w </w:t>
      </w:r>
      <w:r w:rsidRPr="00EC250C">
        <w:t>sferze zagadnień emerytalnych, rentowych lub świadczeń ze strony państwa, powoduje lawinę pytań, wątpliwości, zastrzeżeń.</w:t>
      </w:r>
    </w:p>
    <w:p w14:paraId="50849633" w14:textId="77777777" w:rsidR="00C91F6E" w:rsidRPr="00EC250C" w:rsidRDefault="00A172F5" w:rsidP="00D131FA">
      <w:pPr>
        <w:pStyle w:val="Styl1"/>
      </w:pPr>
      <w:r w:rsidRPr="00EC250C">
        <w:t xml:space="preserve">Oddzielną kategorią </w:t>
      </w:r>
      <w:r w:rsidR="006C33F5" w:rsidRPr="00EC250C">
        <w:t xml:space="preserve">są telefony od osób, które tylko tak </w:t>
      </w:r>
      <w:r w:rsidRPr="00EC250C">
        <w:t xml:space="preserve">mogą zwrócić się do </w:t>
      </w:r>
      <w:r w:rsidR="006C33F5" w:rsidRPr="00EC250C">
        <w:t>RPO</w:t>
      </w:r>
      <w:r w:rsidR="00992FD0" w:rsidRPr="00EC250C">
        <w:t xml:space="preserve"> o </w:t>
      </w:r>
      <w:r w:rsidRPr="00EC250C">
        <w:t xml:space="preserve">pomoc. </w:t>
      </w:r>
      <w:r w:rsidR="006C33F5" w:rsidRPr="00EC250C">
        <w:t xml:space="preserve">To przede wszystkim </w:t>
      </w:r>
      <w:r w:rsidRPr="00EC250C">
        <w:t>osob</w:t>
      </w:r>
      <w:r w:rsidR="006C33F5" w:rsidRPr="00EC250C">
        <w:t>y</w:t>
      </w:r>
      <w:r w:rsidR="00992FD0" w:rsidRPr="00EC250C">
        <w:t xml:space="preserve"> z </w:t>
      </w:r>
      <w:r w:rsidRPr="00EC250C">
        <w:t>niepełnosprawnościami uniemożliwiającymi sformułowanie wniosku</w:t>
      </w:r>
      <w:r w:rsidR="00992FD0" w:rsidRPr="00EC250C">
        <w:t xml:space="preserve"> w </w:t>
      </w:r>
      <w:r w:rsidRPr="00EC250C">
        <w:t>inny niż za pośrednictwem telefonu sposób. W takich sytuacjach</w:t>
      </w:r>
      <w:r w:rsidR="00992FD0" w:rsidRPr="00EC250C">
        <w:t xml:space="preserve"> z </w:t>
      </w:r>
      <w:r w:rsidRPr="00EC250C">
        <w:t>rozmów sporządzana jest notatka, która zastępuje wniosek obywatela.</w:t>
      </w:r>
    </w:p>
    <w:p w14:paraId="09830E47" w14:textId="77777777" w:rsidR="00A172F5" w:rsidRPr="00EC250C" w:rsidRDefault="00A172F5" w:rsidP="00D131FA">
      <w:pPr>
        <w:pStyle w:val="Styl1"/>
      </w:pPr>
      <w:r w:rsidRPr="00EC250C">
        <w:t>W sytuacjach nagłych</w:t>
      </w:r>
      <w:r w:rsidR="00992FD0" w:rsidRPr="00EC250C">
        <w:t xml:space="preserve"> i </w:t>
      </w:r>
      <w:r w:rsidRPr="00EC250C">
        <w:t>niecierpiących zwłoki pracownicy Wydziału Przyjęć Interesantów podejmują interwencje, najczęściej telefoniczne, mające na celu zażegnanie sytuacji kryzysowej,</w:t>
      </w:r>
      <w:r w:rsidR="00992FD0" w:rsidRPr="00EC250C">
        <w:t xml:space="preserve"> w </w:t>
      </w:r>
      <w:r w:rsidRPr="00EC250C">
        <w:t>której znalazł się obywatel.</w:t>
      </w:r>
    </w:p>
    <w:p w14:paraId="03C774EA" w14:textId="77777777" w:rsidR="00192982" w:rsidRPr="00EC250C" w:rsidRDefault="00192982" w:rsidP="00EC79EB">
      <w:pPr>
        <w:pStyle w:val="Nagwek4"/>
      </w:pPr>
      <w:bookmarkStart w:id="814" w:name="_Toc11247874"/>
      <w:r w:rsidRPr="00EC250C">
        <w:t>Konsultacje regionalne Rzecznika Praw Obywatelskich</w:t>
      </w:r>
      <w:bookmarkEnd w:id="814"/>
    </w:p>
    <w:p w14:paraId="15DCF48D" w14:textId="77777777" w:rsidR="00B473F5" w:rsidRPr="00EC250C" w:rsidRDefault="00192982" w:rsidP="00D131FA">
      <w:pPr>
        <w:pStyle w:val="Problemczowieka"/>
        <w:jc w:val="both"/>
      </w:pPr>
      <w:r w:rsidRPr="00EC250C">
        <w:t>Co miesiąc rzecznik praw obywatelskich wraz</w:t>
      </w:r>
      <w:r w:rsidR="00992FD0" w:rsidRPr="00EC250C">
        <w:t xml:space="preserve"> z </w:t>
      </w:r>
      <w:r w:rsidRPr="00EC250C">
        <w:t>zespołem jedzie do jednego województwa</w:t>
      </w:r>
      <w:r w:rsidR="00992FD0" w:rsidRPr="00EC250C">
        <w:t xml:space="preserve"> i </w:t>
      </w:r>
      <w:r w:rsidRPr="00EC250C">
        <w:t>tam</w:t>
      </w:r>
      <w:r w:rsidR="00992FD0" w:rsidRPr="00EC250C">
        <w:t xml:space="preserve"> w </w:t>
      </w:r>
      <w:r w:rsidRPr="00EC250C">
        <w:t>kilku miastach organizuje</w:t>
      </w:r>
      <w:r w:rsidR="000E1FF4" w:rsidRPr="00EC250C">
        <w:t xml:space="preserve"> </w:t>
      </w:r>
      <w:r w:rsidRPr="00EC250C">
        <w:t>spotkania, na które każdy może przyjść</w:t>
      </w:r>
      <w:r w:rsidR="00992FD0" w:rsidRPr="00EC250C">
        <w:t xml:space="preserve"> i </w:t>
      </w:r>
      <w:r w:rsidRPr="00EC250C">
        <w:t>opowiedzieć, jakimi problemami dotyczącymi funkcjonowania państwa, samorządu, sądów itd., powinien zająć się Rzecznik. Jeśli obywatel ma</w:t>
      </w:r>
      <w:r w:rsidR="000E1FF4" w:rsidRPr="00EC250C">
        <w:t xml:space="preserve"> </w:t>
      </w:r>
      <w:r w:rsidRPr="00EC250C">
        <w:t>sprawę indywidualną, to prawnik</w:t>
      </w:r>
      <w:r w:rsidR="00992FD0" w:rsidRPr="00EC250C">
        <w:t xml:space="preserve"> z </w:t>
      </w:r>
      <w:r w:rsidRPr="00EC250C">
        <w:t>Biura RPO może udzielić mu informacji prawnej</w:t>
      </w:r>
      <w:r w:rsidR="00B473F5" w:rsidRPr="00EC250C">
        <w:t>.</w:t>
      </w:r>
    </w:p>
    <w:p w14:paraId="589E79E5" w14:textId="77777777" w:rsidR="00C91F6E" w:rsidRPr="00EC250C" w:rsidRDefault="00192982" w:rsidP="00D131FA">
      <w:pPr>
        <w:pStyle w:val="Styl1"/>
      </w:pPr>
      <w:r w:rsidRPr="00EC250C">
        <w:lastRenderedPageBreak/>
        <w:t>W 2018</w:t>
      </w:r>
      <w:r w:rsidR="00C91F6E" w:rsidRPr="00EC250C">
        <w:t> r.</w:t>
      </w:r>
      <w:r w:rsidRPr="00EC250C">
        <w:t xml:space="preserve"> Rzecznik odwiedził </w:t>
      </w:r>
      <w:r w:rsidR="000E1FF4" w:rsidRPr="00EC250C">
        <w:t>dziewięć</w:t>
      </w:r>
      <w:r w:rsidRPr="00EC250C">
        <w:t xml:space="preserve"> województw</w:t>
      </w:r>
      <w:r w:rsidR="00992FD0" w:rsidRPr="00EC250C">
        <w:t xml:space="preserve"> i </w:t>
      </w:r>
      <w:r w:rsidRPr="00EC250C">
        <w:t>45 miejscowości,</w:t>
      </w:r>
      <w:r w:rsidR="00992FD0" w:rsidRPr="00EC250C">
        <w:t xml:space="preserve"> a </w:t>
      </w:r>
      <w:r w:rsidRPr="00EC250C">
        <w:t xml:space="preserve">konsultacje </w:t>
      </w:r>
      <w:r w:rsidR="00D97E9D" w:rsidRPr="00EC250C">
        <w:t>o</w:t>
      </w:r>
      <w:r w:rsidRPr="00EC250C">
        <w:t>dbyły się</w:t>
      </w:r>
      <w:r w:rsidR="00992FD0" w:rsidRPr="00EC250C">
        <w:t xml:space="preserve"> w </w:t>
      </w:r>
      <w:r w:rsidRPr="00EC250C">
        <w:t xml:space="preserve">38 miejscowościach. Rzecznik odwiedził również 17 organizacji </w:t>
      </w:r>
      <w:r w:rsidR="00D97E9D" w:rsidRPr="00EC250C">
        <w:t>pozarządowych</w:t>
      </w:r>
      <w:r w:rsidRPr="00EC250C">
        <w:t>, które działają na rzecz osób zagrożonych wykluczeniem społecznym</w:t>
      </w:r>
      <w:r w:rsidR="00992FD0" w:rsidRPr="00EC250C">
        <w:t xml:space="preserve"> i </w:t>
      </w:r>
      <w:r w:rsidRPr="00EC250C">
        <w:t>zawodowym</w:t>
      </w:r>
      <w:r w:rsidRPr="00EC250C">
        <w:rPr>
          <w:rStyle w:val="Odwoanieprzypisudolnego"/>
        </w:rPr>
        <w:footnoteReference w:id="827"/>
      </w:r>
      <w:r w:rsidRPr="00EC250C">
        <w:t>.</w:t>
      </w:r>
    </w:p>
    <w:p w14:paraId="52B73AA1" w14:textId="77777777" w:rsidR="00192982" w:rsidRPr="00EC250C" w:rsidRDefault="00192982" w:rsidP="00D131FA">
      <w:pPr>
        <w:pStyle w:val="Styl1"/>
      </w:pPr>
      <w:r w:rsidRPr="00EC250C">
        <w:t>Spotkania regionalne są unikalnym projektem zaproponowanym przez RPO Adama Bodnara. Nowoczesność projektu przejawia się</w:t>
      </w:r>
      <w:r w:rsidR="00992FD0" w:rsidRPr="00EC250C">
        <w:t xml:space="preserve"> w </w:t>
      </w:r>
      <w:r w:rsidRPr="00EC250C">
        <w:t>interakcji pomiędzy uczestnikami (mieszkańcami, gośćmi, lokalnymi działaczami – po prostu obywatelami)</w:t>
      </w:r>
      <w:r w:rsidR="00992FD0" w:rsidRPr="00EC250C">
        <w:t xml:space="preserve"> a </w:t>
      </w:r>
      <w:r w:rsidRPr="00EC250C">
        <w:t>prowadzącymi (RPO wraz</w:t>
      </w:r>
      <w:r w:rsidR="00992FD0" w:rsidRPr="00EC250C">
        <w:t xml:space="preserve"> z </w:t>
      </w:r>
      <w:r w:rsidRPr="00EC250C">
        <w:t>pracownikami).</w:t>
      </w:r>
    </w:p>
    <w:p w14:paraId="5A5116AB" w14:textId="77777777" w:rsidR="00192982" w:rsidRPr="00EC250C" w:rsidRDefault="00192982" w:rsidP="00D131FA">
      <w:pPr>
        <w:pStyle w:val="Styl1"/>
      </w:pPr>
      <w:r w:rsidRPr="00EC250C">
        <w:t xml:space="preserve">Spotkania pozwoliły zidentyfikować nowe lub </w:t>
      </w:r>
      <w:r w:rsidR="00657F1D" w:rsidRPr="00EC250C">
        <w:t>wcześniej</w:t>
      </w:r>
      <w:r w:rsidRPr="00EC250C">
        <w:t xml:space="preserve"> niezauważane</w:t>
      </w:r>
      <w:r w:rsidR="00992FD0" w:rsidRPr="00EC250C">
        <w:t xml:space="preserve"> w </w:t>
      </w:r>
      <w:r w:rsidRPr="00EC250C">
        <w:t xml:space="preserve">debacie publicznej problemy: </w:t>
      </w:r>
      <w:r w:rsidR="00595821" w:rsidRPr="00EC250C">
        <w:t xml:space="preserve">np. </w:t>
      </w:r>
      <w:r w:rsidRPr="00EC250C">
        <w:t xml:space="preserve">wykluczenia transportowego, nierównego dostępu do służby zdrowia, zatrucia środowiska. Są też szansą na zgłoszenie problemów ze złym funkcjonowaniem systemu zabezpieczeń społecznych – często </w:t>
      </w:r>
      <w:r w:rsidR="00595821" w:rsidRPr="00EC250C">
        <w:t>(jak wynika</w:t>
      </w:r>
      <w:r w:rsidR="00992FD0" w:rsidRPr="00EC250C">
        <w:t xml:space="preserve"> z </w:t>
      </w:r>
      <w:r w:rsidR="00595821" w:rsidRPr="00EC250C">
        <w:t xml:space="preserve">niniejszej Informacji) </w:t>
      </w:r>
      <w:r w:rsidRPr="00EC250C">
        <w:t>nie daje się ich naprawić, jednak odpowiednie resorty dostają przynajmniej zgłoszenia</w:t>
      </w:r>
      <w:r w:rsidR="00D97E9D" w:rsidRPr="00EC250C">
        <w:t>,</w:t>
      </w:r>
      <w:r w:rsidR="00992FD0" w:rsidRPr="00EC250C">
        <w:t xml:space="preserve"> a </w:t>
      </w:r>
      <w:r w:rsidRPr="00EC250C">
        <w:t>opinia publiczna lepiej rozumie problemy,</w:t>
      </w:r>
      <w:r w:rsidR="00992FD0" w:rsidRPr="00EC250C">
        <w:t xml:space="preserve"> z </w:t>
      </w:r>
      <w:r w:rsidRPr="00EC250C">
        <w:t>jakimi zmagają się współobywatele</w:t>
      </w:r>
      <w:r w:rsidR="00992FD0" w:rsidRPr="00EC250C">
        <w:t xml:space="preserve"> w </w:t>
      </w:r>
      <w:r w:rsidRPr="00EC250C">
        <w:t>różnych częściach kraju.</w:t>
      </w:r>
    </w:p>
    <w:p w14:paraId="73DF7256" w14:textId="77777777" w:rsidR="00192982" w:rsidRPr="00EC250C" w:rsidRDefault="00192982" w:rsidP="00D131FA">
      <w:pPr>
        <w:pStyle w:val="ODESANIE"/>
        <w:jc w:val="both"/>
      </w:pPr>
      <w:r w:rsidRPr="00EC250C">
        <w:t>Przykłady spraw zgłoszonych</w:t>
      </w:r>
      <w:r w:rsidR="00992FD0" w:rsidRPr="00EC250C">
        <w:t xml:space="preserve"> w </w:t>
      </w:r>
      <w:r w:rsidRPr="00EC250C">
        <w:t>czasie spotkań regionalnych znalazły się</w:t>
      </w:r>
      <w:r w:rsidR="00992FD0" w:rsidRPr="00EC250C">
        <w:t xml:space="preserve"> w </w:t>
      </w:r>
      <w:r w:rsidRPr="00EC250C">
        <w:t>części I tego sprawozdania</w:t>
      </w:r>
    </w:p>
    <w:p w14:paraId="5E3253BD" w14:textId="77777777" w:rsidR="00192982" w:rsidRPr="00EC250C" w:rsidRDefault="00192982" w:rsidP="00EC79EB">
      <w:pPr>
        <w:pStyle w:val="Nagwek4"/>
      </w:pPr>
      <w:bookmarkStart w:id="815" w:name="_Toc11247875"/>
      <w:r w:rsidRPr="00EC250C">
        <w:t>Wielkoduszna Polska</w:t>
      </w:r>
      <w:bookmarkEnd w:id="815"/>
    </w:p>
    <w:p w14:paraId="4BC3554C" w14:textId="77777777" w:rsidR="00B473F5" w:rsidRPr="00EC250C" w:rsidRDefault="00192982" w:rsidP="00D131FA">
      <w:pPr>
        <w:pStyle w:val="Problemczowieka"/>
        <w:jc w:val="both"/>
      </w:pPr>
      <w:r w:rsidRPr="00EC250C">
        <w:t>Metodą pracy Rzecznika są też regularne wizyty</w:t>
      </w:r>
      <w:r w:rsidR="00992FD0" w:rsidRPr="00EC250C">
        <w:t xml:space="preserve"> w </w:t>
      </w:r>
      <w:r w:rsidRPr="00EC250C">
        <w:t>ważnych instytucjach, często prowadzonych przez organizacje społeczne lub samorządy we współpracy</w:t>
      </w:r>
      <w:r w:rsidR="00992FD0" w:rsidRPr="00EC250C">
        <w:t xml:space="preserve"> z </w:t>
      </w:r>
      <w:r w:rsidRPr="00EC250C">
        <w:t>obywatelami. Działają one na rzecz najważniejszych praw obywatelskich –</w:t>
      </w:r>
      <w:r w:rsidR="00992FD0" w:rsidRPr="00EC250C">
        <w:t xml:space="preserve"> w </w:t>
      </w:r>
      <w:r w:rsidRPr="00EC250C">
        <w:t>dziedzinie wsparcia dla osób</w:t>
      </w:r>
      <w:r w:rsidR="00992FD0" w:rsidRPr="00EC250C">
        <w:t xml:space="preserve"> z </w:t>
      </w:r>
      <w:r w:rsidRPr="00EC250C">
        <w:t>niepełnosprawnościami,</w:t>
      </w:r>
      <w:r w:rsidR="00992FD0" w:rsidRPr="00EC250C">
        <w:t xml:space="preserve"> w </w:t>
      </w:r>
      <w:r w:rsidRPr="00EC250C">
        <w:t xml:space="preserve">kryzysie bezdomności, chorujących psychicznie, zagrożonych bezrobociem, seniorów. Instytucje Wielkodusznej </w:t>
      </w:r>
      <w:r w:rsidR="00595821" w:rsidRPr="00EC250C">
        <w:t xml:space="preserve">Polski </w:t>
      </w:r>
      <w:r w:rsidRPr="00EC250C">
        <w:t>tworzą podwaliny ekonomii społecznej</w:t>
      </w:r>
      <w:r w:rsidR="00992FD0" w:rsidRPr="00EC250C">
        <w:t xml:space="preserve"> i </w:t>
      </w:r>
      <w:r w:rsidRPr="00EC250C">
        <w:t>wspierają edukację obywatelską</w:t>
      </w:r>
      <w:r w:rsidR="00B473F5" w:rsidRPr="00EC250C">
        <w:t>.</w:t>
      </w:r>
    </w:p>
    <w:p w14:paraId="1FAC2412" w14:textId="77777777" w:rsidR="00192982" w:rsidRPr="00EC250C" w:rsidRDefault="00192982" w:rsidP="00D131FA">
      <w:pPr>
        <w:pStyle w:val="Styl1"/>
      </w:pPr>
      <w:r w:rsidRPr="00EC250C">
        <w:t xml:space="preserve">Rzecznik odwiedza miejsca tworzone </w:t>
      </w:r>
      <w:r w:rsidR="000E1FF4" w:rsidRPr="00EC250C">
        <w:t xml:space="preserve">przez </w:t>
      </w:r>
      <w:r w:rsidRPr="00EC250C">
        <w:t>różne stowarzyszenia, by zapytać</w:t>
      </w:r>
      <w:r w:rsidR="00992FD0" w:rsidRPr="00EC250C">
        <w:t xml:space="preserve"> o </w:t>
      </w:r>
      <w:r w:rsidRPr="00EC250C">
        <w:t>problemy,</w:t>
      </w:r>
      <w:r w:rsidR="00992FD0" w:rsidRPr="00EC250C">
        <w:t xml:space="preserve"> z </w:t>
      </w:r>
      <w:r w:rsidRPr="00EC250C">
        <w:t>jakimi mus</w:t>
      </w:r>
      <w:r w:rsidR="000E1FF4" w:rsidRPr="00EC250C">
        <w:t>zą</w:t>
      </w:r>
      <w:r w:rsidRPr="00EC250C">
        <w:t xml:space="preserve"> się mierzyć, ale też by wiedzę</w:t>
      </w:r>
      <w:r w:rsidR="00992FD0" w:rsidRPr="00EC250C">
        <w:t xml:space="preserve"> o </w:t>
      </w:r>
      <w:r w:rsidRPr="00EC250C">
        <w:t>dobrych praktykach przekazywać dalej, by promować dobre przykłady</w:t>
      </w:r>
      <w:r w:rsidR="00992FD0" w:rsidRPr="00EC250C">
        <w:t xml:space="preserve"> i </w:t>
      </w:r>
      <w:r w:rsidRPr="00EC250C">
        <w:t>pokazać</w:t>
      </w:r>
      <w:r w:rsidR="00992FD0" w:rsidRPr="00EC250C">
        <w:t xml:space="preserve"> w </w:t>
      </w:r>
      <w:r w:rsidRPr="00EC250C">
        <w:t>innych regionach Polski, jak własnymi siłami można kształtować najbliższą rzeczywistość. Wystarczy często przekazać</w:t>
      </w:r>
      <w:r w:rsidR="00992FD0" w:rsidRPr="00EC250C">
        <w:t xml:space="preserve"> w </w:t>
      </w:r>
      <w:r w:rsidRPr="00EC250C">
        <w:t>jednym końcu Polski kontakt do tych, którzy podobną drogę przeszli już gdzie indziej, by sprawy ważne dla ludzi nabierały tempa. Program ten został nazwany Wielkoduszną Polską</w:t>
      </w:r>
      <w:r w:rsidRPr="00EC250C">
        <w:rPr>
          <w:rStyle w:val="Odwoanieprzypisudolnego"/>
        </w:rPr>
        <w:footnoteReference w:id="828"/>
      </w:r>
      <w:r w:rsidRPr="00EC250C">
        <w:t>.</w:t>
      </w:r>
    </w:p>
    <w:p w14:paraId="29F089C0" w14:textId="77777777" w:rsidR="00C91F6E" w:rsidRPr="00EC250C" w:rsidRDefault="00192982" w:rsidP="00D131FA">
      <w:pPr>
        <w:pStyle w:val="Styl1"/>
      </w:pPr>
      <w:r w:rsidRPr="00EC250C">
        <w:t>W 2018</w:t>
      </w:r>
      <w:r w:rsidR="00C91F6E" w:rsidRPr="00EC250C">
        <w:t> r.</w:t>
      </w:r>
      <w:r w:rsidRPr="00EC250C">
        <w:t xml:space="preserve"> rzecznik praw obywatelskich Adam Bodnar odwiedził:</w:t>
      </w:r>
    </w:p>
    <w:p w14:paraId="0BE161F8" w14:textId="77777777" w:rsidR="00192982" w:rsidRPr="00EC250C" w:rsidRDefault="00192982" w:rsidP="00D131FA">
      <w:pPr>
        <w:pStyle w:val="Srdtytul6"/>
        <w:jc w:val="both"/>
      </w:pPr>
      <w:r w:rsidRPr="00EC250C">
        <w:lastRenderedPageBreak/>
        <w:t>Instytucje działające na rzecz osób</w:t>
      </w:r>
      <w:r w:rsidR="00992FD0" w:rsidRPr="00EC250C">
        <w:t xml:space="preserve"> z </w:t>
      </w:r>
      <w:r w:rsidRPr="00EC250C">
        <w:t>niepełnosprawnościami:</w:t>
      </w:r>
    </w:p>
    <w:p w14:paraId="60782B0D" w14:textId="77777777" w:rsidR="00192982" w:rsidRPr="00EC250C" w:rsidRDefault="00192982" w:rsidP="006C70B7">
      <w:pPr>
        <w:pStyle w:val="Styl1"/>
        <w:numPr>
          <w:ilvl w:val="0"/>
          <w:numId w:val="92"/>
        </w:numPr>
      </w:pPr>
      <w:r w:rsidRPr="00EC250C">
        <w:t>Stowarzyszenie Integracyjne „Klub Otwartych Serc”</w:t>
      </w:r>
      <w:r w:rsidR="00992FD0" w:rsidRPr="00EC250C">
        <w:t xml:space="preserve"> w </w:t>
      </w:r>
      <w:r w:rsidRPr="00EC250C">
        <w:t>Wieruszowie, które doprowadziło do stworzenia kompleksowej pomocy dla osób</w:t>
      </w:r>
      <w:r w:rsidR="00992FD0" w:rsidRPr="00EC250C">
        <w:t xml:space="preserve"> z </w:t>
      </w:r>
      <w:r w:rsidRPr="00EC250C">
        <w:t>niepełnosprawnościami – od diagnozy</w:t>
      </w:r>
      <w:r w:rsidR="00992FD0" w:rsidRPr="00EC250C">
        <w:t xml:space="preserve"> i </w:t>
      </w:r>
      <w:r w:rsidRPr="00EC250C">
        <w:t>terapii przez</w:t>
      </w:r>
      <w:r w:rsidR="00CC4D88" w:rsidRPr="00EC250C">
        <w:t xml:space="preserve"> </w:t>
      </w:r>
      <w:r w:rsidRPr="00EC250C">
        <w:t>zatrudnienie</w:t>
      </w:r>
      <w:r w:rsidR="00992FD0" w:rsidRPr="00EC250C">
        <w:t xml:space="preserve"> w </w:t>
      </w:r>
      <w:r w:rsidRPr="00EC250C">
        <w:t>Zakładzie Aktywizacji Zawodowej</w:t>
      </w:r>
      <w:r w:rsidR="00992FD0" w:rsidRPr="00EC250C">
        <w:t xml:space="preserve"> i </w:t>
      </w:r>
      <w:r w:rsidRPr="00EC250C">
        <w:t>przedsiębiorstwie społecznym po mieszkania treningowe</w:t>
      </w:r>
      <w:r w:rsidR="00657F1D" w:rsidRPr="00EC250C">
        <w:t>;</w:t>
      </w:r>
    </w:p>
    <w:p w14:paraId="7D188841" w14:textId="77777777" w:rsidR="00C91F6E" w:rsidRPr="00EC250C" w:rsidRDefault="00192982" w:rsidP="006C70B7">
      <w:pPr>
        <w:pStyle w:val="Styl1"/>
        <w:numPr>
          <w:ilvl w:val="0"/>
          <w:numId w:val="92"/>
        </w:numPr>
      </w:pPr>
      <w:r w:rsidRPr="00EC250C">
        <w:t>Stowarzyszenie Pomocy Młodzieży</w:t>
      </w:r>
      <w:r w:rsidR="00992FD0" w:rsidRPr="00EC250C">
        <w:t xml:space="preserve"> i </w:t>
      </w:r>
      <w:r w:rsidRPr="00EC250C">
        <w:t>Dzieciom Autystycznym oraz Młodzieży</w:t>
      </w:r>
      <w:r w:rsidR="00992FD0" w:rsidRPr="00EC250C">
        <w:t xml:space="preserve"> i </w:t>
      </w:r>
      <w:r w:rsidRPr="00EC250C">
        <w:t>Dzieciom</w:t>
      </w:r>
      <w:r w:rsidR="00992FD0" w:rsidRPr="00EC250C">
        <w:t xml:space="preserve"> o </w:t>
      </w:r>
      <w:r w:rsidRPr="00EC250C">
        <w:t>Pokrewnych zaburzeniach „WSPÓLNY ŚWIAT”</w:t>
      </w:r>
      <w:r w:rsidR="00992FD0" w:rsidRPr="00EC250C">
        <w:t xml:space="preserve"> w </w:t>
      </w:r>
      <w:r w:rsidRPr="00EC250C">
        <w:t>Białej Podlaskiej</w:t>
      </w:r>
      <w:r w:rsidR="00657F1D" w:rsidRPr="00EC250C">
        <w:t>;</w:t>
      </w:r>
    </w:p>
    <w:p w14:paraId="31303374" w14:textId="77777777" w:rsidR="00C91F6E" w:rsidRPr="00EC250C" w:rsidRDefault="00192982" w:rsidP="006C70B7">
      <w:pPr>
        <w:pStyle w:val="Styl1"/>
        <w:numPr>
          <w:ilvl w:val="0"/>
          <w:numId w:val="92"/>
        </w:numPr>
      </w:pPr>
      <w:r w:rsidRPr="00EC250C">
        <w:t>Stowarzyszenie TACY SAMI</w:t>
      </w:r>
      <w:r w:rsidR="00992FD0" w:rsidRPr="00EC250C">
        <w:t xml:space="preserve"> w </w:t>
      </w:r>
      <w:r w:rsidRPr="00EC250C">
        <w:t>Wieluniu oferujący kompleksową rehabilitację dzieciom</w:t>
      </w:r>
      <w:r w:rsidR="00992FD0" w:rsidRPr="00EC250C">
        <w:t xml:space="preserve"> z </w:t>
      </w:r>
      <w:r w:rsidRPr="00EC250C">
        <w:t>niepełnosprawnościami</w:t>
      </w:r>
      <w:r w:rsidR="00992FD0" w:rsidRPr="00EC250C">
        <w:t xml:space="preserve"> z </w:t>
      </w:r>
      <w:r w:rsidRPr="00EC250C">
        <w:t>regionu Wielunia</w:t>
      </w:r>
      <w:r w:rsidR="00657F1D" w:rsidRPr="00EC250C">
        <w:t>;</w:t>
      </w:r>
    </w:p>
    <w:p w14:paraId="2132BD23" w14:textId="77777777" w:rsidR="00192982" w:rsidRPr="00EC250C" w:rsidRDefault="00192982" w:rsidP="006C70B7">
      <w:pPr>
        <w:pStyle w:val="Styl1"/>
        <w:numPr>
          <w:ilvl w:val="0"/>
          <w:numId w:val="92"/>
        </w:numPr>
      </w:pPr>
      <w:r w:rsidRPr="00EC250C">
        <w:t>Działający od 1975</w:t>
      </w:r>
      <w:r w:rsidR="00C91F6E" w:rsidRPr="00EC250C">
        <w:t> r.</w:t>
      </w:r>
      <w:r w:rsidRPr="00EC250C">
        <w:t xml:space="preserve"> Ośrodek Szkolno-Wychowawczy</w:t>
      </w:r>
      <w:r w:rsidR="00992FD0" w:rsidRPr="00EC250C">
        <w:t xml:space="preserve"> w </w:t>
      </w:r>
      <w:r w:rsidRPr="00EC250C">
        <w:t>Gromadzicach dla dzieci</w:t>
      </w:r>
      <w:r w:rsidR="00992FD0" w:rsidRPr="00EC250C">
        <w:t xml:space="preserve"> i </w:t>
      </w:r>
      <w:r w:rsidRPr="00EC250C">
        <w:t>młodzieży</w:t>
      </w:r>
      <w:r w:rsidR="00992FD0" w:rsidRPr="00EC250C">
        <w:t xml:space="preserve"> z </w:t>
      </w:r>
      <w:r w:rsidRPr="00EC250C">
        <w:t>niepełnosprawnością intelektualną</w:t>
      </w:r>
      <w:r w:rsidR="00992FD0" w:rsidRPr="00EC250C">
        <w:t xml:space="preserve"> w </w:t>
      </w:r>
      <w:r w:rsidRPr="00EC250C">
        <w:t>stopniu umiarkowanym, znacznym</w:t>
      </w:r>
      <w:r w:rsidR="00992FD0" w:rsidRPr="00EC250C">
        <w:t xml:space="preserve"> i </w:t>
      </w:r>
      <w:r w:rsidRPr="00EC250C">
        <w:t>głębokim</w:t>
      </w:r>
      <w:r w:rsidR="00657F1D" w:rsidRPr="00EC250C">
        <w:t>;</w:t>
      </w:r>
    </w:p>
    <w:p w14:paraId="328EB2F2" w14:textId="77777777" w:rsidR="00192982" w:rsidRPr="00EC250C" w:rsidRDefault="00192982" w:rsidP="006C70B7">
      <w:pPr>
        <w:pStyle w:val="Styl1"/>
        <w:numPr>
          <w:ilvl w:val="0"/>
          <w:numId w:val="92"/>
        </w:numPr>
      </w:pPr>
      <w:r w:rsidRPr="00EC250C">
        <w:t>Zespół Placówek Edukacyjno-Wychowawczych</w:t>
      </w:r>
      <w:r w:rsidR="00992FD0" w:rsidRPr="00EC250C">
        <w:t xml:space="preserve"> i </w:t>
      </w:r>
      <w:r w:rsidRPr="00EC250C">
        <w:t>Rehabilitacyjnych</w:t>
      </w:r>
      <w:r w:rsidR="00992FD0" w:rsidRPr="00EC250C">
        <w:t xml:space="preserve"> w </w:t>
      </w:r>
      <w:r w:rsidRPr="00EC250C">
        <w:t>Stemplewie pomagający dzieciom</w:t>
      </w:r>
      <w:r w:rsidR="00992FD0" w:rsidRPr="00EC250C">
        <w:t xml:space="preserve"> z </w:t>
      </w:r>
      <w:r w:rsidRPr="00EC250C">
        <w:t>wielorakimi potrzebami – od niepełnosprawności, poprzez autyzm, sprzężenia, do zagrożenia niedostosowaniem społecznym</w:t>
      </w:r>
      <w:r w:rsidR="00657F1D" w:rsidRPr="00EC250C">
        <w:t>;</w:t>
      </w:r>
    </w:p>
    <w:p w14:paraId="2773AF7A" w14:textId="77777777" w:rsidR="00192982" w:rsidRPr="00EC250C" w:rsidRDefault="00192982" w:rsidP="006C70B7">
      <w:pPr>
        <w:pStyle w:val="Styl1"/>
        <w:numPr>
          <w:ilvl w:val="0"/>
          <w:numId w:val="92"/>
        </w:numPr>
      </w:pPr>
      <w:r w:rsidRPr="00EC250C">
        <w:t>Środowiskowy Dom Samopomocy</w:t>
      </w:r>
      <w:r w:rsidR="00992FD0" w:rsidRPr="00EC250C">
        <w:t xml:space="preserve"> w </w:t>
      </w:r>
      <w:r w:rsidRPr="00EC250C">
        <w:t>Wałczu,</w:t>
      </w:r>
      <w:r w:rsidR="00992FD0" w:rsidRPr="00EC250C">
        <w:t xml:space="preserve"> w </w:t>
      </w:r>
      <w:r w:rsidRPr="00EC250C">
        <w:t>którym codzienne wsparcie, pomoc</w:t>
      </w:r>
      <w:r w:rsidR="00992FD0" w:rsidRPr="00EC250C">
        <w:t xml:space="preserve"> w </w:t>
      </w:r>
      <w:r w:rsidRPr="00EC250C">
        <w:t>czynnościach życiowych</w:t>
      </w:r>
      <w:r w:rsidR="00992FD0" w:rsidRPr="00EC250C">
        <w:t xml:space="preserve"> i </w:t>
      </w:r>
      <w:r w:rsidRPr="00EC250C">
        <w:t>społecznych mogą uzyskać dorosłe osoby</w:t>
      </w:r>
      <w:r w:rsidR="00992FD0" w:rsidRPr="00EC250C">
        <w:t xml:space="preserve"> z </w:t>
      </w:r>
      <w:r w:rsidRPr="00EC250C">
        <w:t>zaburzeniami psychicznymi oraz osoby</w:t>
      </w:r>
      <w:r w:rsidR="00992FD0" w:rsidRPr="00EC250C">
        <w:t xml:space="preserve"> z </w:t>
      </w:r>
      <w:r w:rsidRPr="00EC250C">
        <w:t>niepełnosprawnością intelektualną</w:t>
      </w:r>
      <w:r w:rsidR="00657F1D" w:rsidRPr="00EC250C">
        <w:t>;</w:t>
      </w:r>
    </w:p>
    <w:p w14:paraId="1C1FB2B0" w14:textId="77777777" w:rsidR="00C91F6E" w:rsidRPr="00EC250C" w:rsidRDefault="00192982" w:rsidP="006C70B7">
      <w:pPr>
        <w:pStyle w:val="Styl1"/>
        <w:numPr>
          <w:ilvl w:val="0"/>
          <w:numId w:val="92"/>
        </w:numPr>
      </w:pPr>
      <w:r w:rsidRPr="00EC250C">
        <w:t>Zakład Aktywności Zawodowej zatrudniający osoby głuche</w:t>
      </w:r>
      <w:r w:rsidR="00992FD0" w:rsidRPr="00EC250C">
        <w:t xml:space="preserve"> w </w:t>
      </w:r>
      <w:r w:rsidRPr="00EC250C">
        <w:t>Kałkowie oraz</w:t>
      </w:r>
      <w:r w:rsidR="00992FD0" w:rsidRPr="00EC250C">
        <w:t xml:space="preserve"> w </w:t>
      </w:r>
      <w:r w:rsidRPr="00EC250C">
        <w:t>Stykowie</w:t>
      </w:r>
      <w:r w:rsidR="00657F1D" w:rsidRPr="00EC250C">
        <w:t>;</w:t>
      </w:r>
    </w:p>
    <w:p w14:paraId="0716DBD7" w14:textId="77777777" w:rsidR="00C91F6E" w:rsidRPr="00EC250C" w:rsidRDefault="00192982" w:rsidP="006C70B7">
      <w:pPr>
        <w:pStyle w:val="Styl1"/>
        <w:numPr>
          <w:ilvl w:val="0"/>
          <w:numId w:val="92"/>
        </w:numPr>
      </w:pPr>
      <w:r w:rsidRPr="00EC250C">
        <w:t>Ośrodek Szkolno-Wychowawczy im. Marii Konopnickiej</w:t>
      </w:r>
      <w:r w:rsidR="00992FD0" w:rsidRPr="00EC250C">
        <w:t xml:space="preserve"> i </w:t>
      </w:r>
      <w:r w:rsidRPr="00EC250C">
        <w:t>Stowarzyszenie Wspierania Rozwoju Dzieci</w:t>
      </w:r>
      <w:r w:rsidR="00992FD0" w:rsidRPr="00EC250C">
        <w:t xml:space="preserve"> i </w:t>
      </w:r>
      <w:r w:rsidRPr="00EC250C">
        <w:t>Młodzieży „Jesteś”</w:t>
      </w:r>
      <w:r w:rsidR="00992FD0" w:rsidRPr="00EC250C">
        <w:t xml:space="preserve"> w </w:t>
      </w:r>
      <w:r w:rsidRPr="00EC250C">
        <w:t>Węgorzewie, który zapewnia edukację, terapię, rehabilitację</w:t>
      </w:r>
      <w:r w:rsidR="00992FD0" w:rsidRPr="00EC250C">
        <w:t xml:space="preserve"> i </w:t>
      </w:r>
      <w:r w:rsidRPr="00EC250C">
        <w:t>opiekę uczniom</w:t>
      </w:r>
      <w:r w:rsidR="00992FD0" w:rsidRPr="00EC250C">
        <w:t xml:space="preserve"> z </w:t>
      </w:r>
      <w:r w:rsidRPr="00EC250C">
        <w:t>trudnościami</w:t>
      </w:r>
      <w:r w:rsidR="00992FD0" w:rsidRPr="00EC250C">
        <w:t xml:space="preserve"> w </w:t>
      </w:r>
      <w:r w:rsidRPr="00EC250C">
        <w:t>nauce,</w:t>
      </w:r>
      <w:r w:rsidR="00992FD0" w:rsidRPr="00EC250C">
        <w:t xml:space="preserve"> z </w:t>
      </w:r>
      <w:r w:rsidRPr="00EC250C">
        <w:t>niepełnosprawnością intelektualną</w:t>
      </w:r>
      <w:r w:rsidR="00992FD0" w:rsidRPr="00EC250C">
        <w:t xml:space="preserve"> i </w:t>
      </w:r>
      <w:r w:rsidRPr="00EC250C">
        <w:t>sprzężoną, autyzmem</w:t>
      </w:r>
      <w:r w:rsidR="00992FD0" w:rsidRPr="00EC250C">
        <w:t xml:space="preserve"> i </w:t>
      </w:r>
      <w:r w:rsidRPr="00EC250C">
        <w:t>zespołem Aspergera na każdym etapie edukacyjnym. Organizuje również wczesne wspomaganie rozwoju dziecka</w:t>
      </w:r>
      <w:r w:rsidR="00992FD0" w:rsidRPr="00EC250C">
        <w:t xml:space="preserve"> w </w:t>
      </w:r>
      <w:r w:rsidRPr="00EC250C">
        <w:t>wieku przedszkolnym</w:t>
      </w:r>
      <w:r w:rsidR="00657F1D" w:rsidRPr="00EC250C">
        <w:t>;</w:t>
      </w:r>
    </w:p>
    <w:p w14:paraId="12FC68AD" w14:textId="77777777" w:rsidR="00192982" w:rsidRPr="00EC250C" w:rsidRDefault="00192982" w:rsidP="00D131FA">
      <w:pPr>
        <w:pStyle w:val="Srdtytul6"/>
        <w:jc w:val="both"/>
      </w:pPr>
      <w:r w:rsidRPr="00EC250C">
        <w:t>Tworzące nowe wzorce więzi społecznych:</w:t>
      </w:r>
    </w:p>
    <w:p w14:paraId="784876B5" w14:textId="77777777" w:rsidR="00192982" w:rsidRPr="00EC250C" w:rsidRDefault="00192982" w:rsidP="006C70B7">
      <w:pPr>
        <w:pStyle w:val="Styl1"/>
        <w:numPr>
          <w:ilvl w:val="0"/>
          <w:numId w:val="93"/>
        </w:numPr>
      </w:pPr>
      <w:r w:rsidRPr="00EC250C">
        <w:t>Bank Żywności</w:t>
      </w:r>
      <w:r w:rsidR="00992FD0" w:rsidRPr="00EC250C">
        <w:t xml:space="preserve"> w </w:t>
      </w:r>
      <w:r w:rsidRPr="00EC250C">
        <w:t>Ostrowcu Świętokrzyskim, który współpracuje</w:t>
      </w:r>
      <w:r w:rsidR="00992FD0" w:rsidRPr="00EC250C">
        <w:t xml:space="preserve"> z </w:t>
      </w:r>
      <w:r w:rsidRPr="00EC250C">
        <w:t>49 organizacjami społecznymi,</w:t>
      </w:r>
      <w:r w:rsidR="00992FD0" w:rsidRPr="00EC250C">
        <w:t xml:space="preserve"> a </w:t>
      </w:r>
      <w:r w:rsidRPr="00EC250C">
        <w:t>organizując zbiórki żywności do współpracy zaprasza dzieci</w:t>
      </w:r>
      <w:r w:rsidR="00992FD0" w:rsidRPr="00EC250C">
        <w:t xml:space="preserve"> i </w:t>
      </w:r>
      <w:r w:rsidRPr="00EC250C">
        <w:t>lokalną społeczność</w:t>
      </w:r>
      <w:r w:rsidR="00657F1D" w:rsidRPr="00EC250C">
        <w:t>;</w:t>
      </w:r>
    </w:p>
    <w:p w14:paraId="0EFEF0FF" w14:textId="77777777" w:rsidR="00192982" w:rsidRPr="00EC250C" w:rsidRDefault="00192982" w:rsidP="006C70B7">
      <w:pPr>
        <w:pStyle w:val="Styl1"/>
        <w:numPr>
          <w:ilvl w:val="0"/>
          <w:numId w:val="93"/>
        </w:numPr>
      </w:pPr>
      <w:r w:rsidRPr="00EC250C">
        <w:t>Stowarzyszenie Lokalna Grupa Działania „Krzemienny Krąg”</w:t>
      </w:r>
      <w:r w:rsidR="00992FD0" w:rsidRPr="00EC250C">
        <w:t xml:space="preserve"> w </w:t>
      </w:r>
      <w:r w:rsidR="00725949" w:rsidRPr="00EC250C">
        <w:t>Bałtowie</w:t>
      </w:r>
      <w:r w:rsidRPr="00EC250C">
        <w:t>, które dzięki inicjatywom oddolnym, lokalnym liderom</w:t>
      </w:r>
      <w:r w:rsidR="00992FD0" w:rsidRPr="00EC250C">
        <w:t xml:space="preserve"> i </w:t>
      </w:r>
      <w:r w:rsidRPr="00EC250C">
        <w:t>stowarzyszeniu zmieniło życie mieszkańców trzech powiatów: ostrowieckiego</w:t>
      </w:r>
      <w:r w:rsidR="00992FD0" w:rsidRPr="00EC250C">
        <w:t xml:space="preserve"> i </w:t>
      </w:r>
      <w:r w:rsidRPr="00EC250C">
        <w:t>opatowskiego oraz lipskiego</w:t>
      </w:r>
      <w:r w:rsidR="00657F1D" w:rsidRPr="00EC250C">
        <w:t>;</w:t>
      </w:r>
    </w:p>
    <w:p w14:paraId="65702832" w14:textId="77777777" w:rsidR="00192982" w:rsidRPr="00EC250C" w:rsidRDefault="00192982" w:rsidP="006C70B7">
      <w:pPr>
        <w:pStyle w:val="Styl1"/>
        <w:numPr>
          <w:ilvl w:val="0"/>
          <w:numId w:val="93"/>
        </w:numPr>
      </w:pPr>
      <w:r w:rsidRPr="00EC250C">
        <w:t>Przedsiębiorstwo społeczne Dom Nasutów</w:t>
      </w:r>
      <w:r w:rsidR="00992FD0" w:rsidRPr="00EC250C">
        <w:t xml:space="preserve"> w </w:t>
      </w:r>
      <w:r w:rsidRPr="00EC250C">
        <w:t>Niemcach zarządzające</w:t>
      </w:r>
      <w:r w:rsidR="00CC4D88" w:rsidRPr="00EC250C">
        <w:t xml:space="preserve"> </w:t>
      </w:r>
      <w:r w:rsidRPr="00EC250C">
        <w:t>ośrodkiem szkoleniowo-konferencyjnym.</w:t>
      </w:r>
    </w:p>
    <w:p w14:paraId="1AC303E5" w14:textId="77777777" w:rsidR="00192982" w:rsidRPr="00EC250C" w:rsidRDefault="00192982" w:rsidP="00D131FA">
      <w:pPr>
        <w:pStyle w:val="Srdtytul6"/>
        <w:jc w:val="both"/>
      </w:pPr>
      <w:r w:rsidRPr="00EC250C">
        <w:lastRenderedPageBreak/>
        <w:t>Wspierające potencjał dzieci</w:t>
      </w:r>
    </w:p>
    <w:p w14:paraId="46793A17" w14:textId="77777777" w:rsidR="00C91F6E" w:rsidRPr="00EC250C" w:rsidRDefault="00192982" w:rsidP="006C70B7">
      <w:pPr>
        <w:pStyle w:val="Styl1"/>
        <w:numPr>
          <w:ilvl w:val="0"/>
          <w:numId w:val="94"/>
        </w:numPr>
      </w:pPr>
      <w:r w:rsidRPr="00EC250C">
        <w:t>Niepubliczny Dom Dziecka „Ochronka” im. Św. Brata Alberta</w:t>
      </w:r>
      <w:r w:rsidR="00992FD0" w:rsidRPr="00EC250C">
        <w:t xml:space="preserve"> w </w:t>
      </w:r>
      <w:r w:rsidR="00725949" w:rsidRPr="00EC250C">
        <w:t>Stalowe</w:t>
      </w:r>
      <w:r w:rsidR="00D97E9D" w:rsidRPr="00EC250C">
        <w:t>j</w:t>
      </w:r>
      <w:r w:rsidR="00725949" w:rsidRPr="00EC250C">
        <w:t xml:space="preserve"> Woli</w:t>
      </w:r>
      <w:r w:rsidRPr="00EC250C">
        <w:t>, który skutecznie pomaga wychowankom wejść</w:t>
      </w:r>
      <w:r w:rsidR="00992FD0" w:rsidRPr="00EC250C">
        <w:t xml:space="preserve"> w </w:t>
      </w:r>
      <w:r w:rsidRPr="00EC250C">
        <w:t>dorosłość</w:t>
      </w:r>
      <w:r w:rsidR="00992FD0" w:rsidRPr="00EC250C">
        <w:t xml:space="preserve"> i </w:t>
      </w:r>
      <w:r w:rsidRPr="00EC250C">
        <w:t>osiągnąć samodzielność</w:t>
      </w:r>
      <w:r w:rsidR="00657F1D" w:rsidRPr="00EC250C">
        <w:t>;</w:t>
      </w:r>
    </w:p>
    <w:p w14:paraId="33B64C4A" w14:textId="77777777" w:rsidR="00192982" w:rsidRPr="00EC250C" w:rsidRDefault="00192982" w:rsidP="006C70B7">
      <w:pPr>
        <w:pStyle w:val="Styl1"/>
        <w:numPr>
          <w:ilvl w:val="0"/>
          <w:numId w:val="94"/>
        </w:numPr>
      </w:pPr>
      <w:r w:rsidRPr="00EC250C">
        <w:t>Teatr Zbożowy</w:t>
      </w:r>
      <w:r w:rsidR="00992FD0" w:rsidRPr="00EC250C">
        <w:t xml:space="preserve"> w </w:t>
      </w:r>
      <w:r w:rsidRPr="00EC250C">
        <w:t>Kielcach, gdzie uzdolnione osoby, także niesłyszące, mogą rozwijać swoje pasje dzięki współpracy</w:t>
      </w:r>
      <w:r w:rsidR="00992FD0" w:rsidRPr="00EC250C">
        <w:t xml:space="preserve"> z </w:t>
      </w:r>
      <w:r w:rsidRPr="00EC250C">
        <w:t>aktorami, reżyserami, tancerzami, choreografami, czy muzykami</w:t>
      </w:r>
      <w:r w:rsidR="00657F1D" w:rsidRPr="00EC250C">
        <w:t>;</w:t>
      </w:r>
    </w:p>
    <w:p w14:paraId="739974BE" w14:textId="77777777" w:rsidR="00C91F6E" w:rsidRPr="00EC250C" w:rsidRDefault="00192982" w:rsidP="006C70B7">
      <w:pPr>
        <w:pStyle w:val="Styl1"/>
        <w:numPr>
          <w:ilvl w:val="0"/>
          <w:numId w:val="94"/>
        </w:numPr>
      </w:pPr>
      <w:r w:rsidRPr="00EC250C">
        <w:t>Zakład Poprawczy</w:t>
      </w:r>
      <w:r w:rsidR="00992FD0" w:rsidRPr="00EC250C">
        <w:t xml:space="preserve"> i </w:t>
      </w:r>
      <w:r w:rsidRPr="00EC250C">
        <w:t>Schronisko dla Nieletnich</w:t>
      </w:r>
      <w:r w:rsidR="00992FD0" w:rsidRPr="00EC250C">
        <w:t xml:space="preserve"> w </w:t>
      </w:r>
      <w:r w:rsidRPr="00EC250C">
        <w:t>Koronowie, który ma najniższy</w:t>
      </w:r>
      <w:r w:rsidR="00992FD0" w:rsidRPr="00EC250C">
        <w:t xml:space="preserve"> w </w:t>
      </w:r>
      <w:r w:rsidRPr="00EC250C">
        <w:t>Polsce wskaźnik powrotu do przestępstwa (5%)</w:t>
      </w:r>
      <w:r w:rsidR="00657F1D" w:rsidRPr="00EC250C">
        <w:t>;</w:t>
      </w:r>
    </w:p>
    <w:p w14:paraId="61209043" w14:textId="77777777" w:rsidR="00C91F6E" w:rsidRPr="00EC250C" w:rsidRDefault="00725949" w:rsidP="006C70B7">
      <w:pPr>
        <w:pStyle w:val="Styl1"/>
        <w:numPr>
          <w:ilvl w:val="0"/>
          <w:numId w:val="94"/>
        </w:numPr>
      </w:pPr>
      <w:r w:rsidRPr="00EC250C">
        <w:t xml:space="preserve">Prowadzących </w:t>
      </w:r>
      <w:r w:rsidR="00192982" w:rsidRPr="00EC250C">
        <w:t>Program „Starszy Brat, Starsza Siostra”</w:t>
      </w:r>
      <w:r w:rsidR="00992FD0" w:rsidRPr="00EC250C">
        <w:t xml:space="preserve"> w </w:t>
      </w:r>
      <w:r w:rsidR="00192982" w:rsidRPr="00EC250C">
        <w:t>Szczecinku, który ma na celu wspieranie dzieci przeżywających trudności</w:t>
      </w:r>
      <w:r w:rsidR="00992FD0" w:rsidRPr="00EC250C">
        <w:t xml:space="preserve"> w </w:t>
      </w:r>
      <w:r w:rsidR="00192982" w:rsidRPr="00EC250C">
        <w:t>wieku 6-12 lat.</w:t>
      </w:r>
    </w:p>
    <w:p w14:paraId="394B4244" w14:textId="77777777" w:rsidR="00192982" w:rsidRPr="00EC250C" w:rsidRDefault="00192982" w:rsidP="00D131FA">
      <w:pPr>
        <w:pStyle w:val="Styl1"/>
      </w:pPr>
      <w:r w:rsidRPr="00EC250C">
        <w:t>Rozmawiał też</w:t>
      </w:r>
    </w:p>
    <w:p w14:paraId="173A0213" w14:textId="77777777" w:rsidR="00C91F6E" w:rsidRPr="00EC250C" w:rsidRDefault="00192982" w:rsidP="00D131FA">
      <w:pPr>
        <w:pStyle w:val="Styl1"/>
        <w:ind w:firstLine="0"/>
      </w:pPr>
      <w:r w:rsidRPr="00EC250C">
        <w:rPr>
          <w:b/>
        </w:rPr>
        <w:t>z przedstawicielami Fundacji Edukacyjnej Jacka Kuronia</w:t>
      </w:r>
      <w:r w:rsidR="00992FD0" w:rsidRPr="00EC250C">
        <w:t xml:space="preserve"> w </w:t>
      </w:r>
      <w:r w:rsidRPr="00EC250C">
        <w:t>Teremiskach, Obozie dla Puszczy,</w:t>
      </w:r>
      <w:r w:rsidR="00992FD0" w:rsidRPr="00EC250C">
        <w:t xml:space="preserve"> z </w:t>
      </w:r>
      <w:r w:rsidRPr="00EC250C">
        <w:t>Polskim Towarzystwem Ochrony Ptaków</w:t>
      </w:r>
      <w:r w:rsidR="00992FD0" w:rsidRPr="00EC250C">
        <w:t xml:space="preserve"> z </w:t>
      </w:r>
      <w:r w:rsidRPr="00EC250C">
        <w:t>Białowieży</w:t>
      </w:r>
      <w:r w:rsidR="00992FD0" w:rsidRPr="00EC250C">
        <w:t xml:space="preserve"> i </w:t>
      </w:r>
      <w:r w:rsidRPr="00EC250C">
        <w:t>grupą nieformalną „Lokalsi przeciwko wycince”.</w:t>
      </w:r>
    </w:p>
    <w:p w14:paraId="276E3E70" w14:textId="77777777" w:rsidR="00192982" w:rsidRPr="00EC250C" w:rsidRDefault="00192982" w:rsidP="00EC79EB">
      <w:pPr>
        <w:pStyle w:val="Nagwek4"/>
      </w:pPr>
      <w:bookmarkStart w:id="816" w:name="_Toc11247876"/>
      <w:bookmarkEnd w:id="812"/>
      <w:r w:rsidRPr="00EC250C">
        <w:t>Edukacja obywatelska</w:t>
      </w:r>
      <w:bookmarkEnd w:id="816"/>
    </w:p>
    <w:p w14:paraId="4B5E169E" w14:textId="77777777" w:rsidR="00192982" w:rsidRPr="00EC250C" w:rsidRDefault="00192982" w:rsidP="00D131FA">
      <w:pPr>
        <w:pStyle w:val="Styl1"/>
      </w:pPr>
      <w:r w:rsidRPr="00EC250C">
        <w:t>Projekty edukacyjne Rzecznika Praw Obywatelskich zakładają jak najszersze upowszechnianie wiedzy</w:t>
      </w:r>
      <w:r w:rsidR="00992FD0" w:rsidRPr="00EC250C">
        <w:t xml:space="preserve"> o </w:t>
      </w:r>
      <w:r w:rsidRPr="00EC250C">
        <w:t>prawach</w:t>
      </w:r>
      <w:r w:rsidR="00992FD0" w:rsidRPr="00EC250C">
        <w:t xml:space="preserve"> i </w:t>
      </w:r>
      <w:r w:rsidRPr="00EC250C">
        <w:t>wolnościach zapisanych</w:t>
      </w:r>
      <w:r w:rsidR="00992FD0" w:rsidRPr="00EC250C">
        <w:t xml:space="preserve"> w </w:t>
      </w:r>
      <w:r w:rsidRPr="00EC250C">
        <w:t>Konstytucji,</w:t>
      </w:r>
      <w:r w:rsidR="00992FD0" w:rsidRPr="00EC250C">
        <w:t xml:space="preserve"> o </w:t>
      </w:r>
      <w:r w:rsidRPr="00EC250C">
        <w:t>tym,</w:t>
      </w:r>
      <w:r w:rsidR="00992FD0" w:rsidRPr="00EC250C">
        <w:t xml:space="preserve"> w </w:t>
      </w:r>
      <w:r w:rsidRPr="00EC250C">
        <w:t>jaki sposób może pomóc RPO, jakie znaczenie mają zasady równego traktowania</w:t>
      </w:r>
      <w:r w:rsidR="00992FD0" w:rsidRPr="00EC250C">
        <w:t xml:space="preserve"> i </w:t>
      </w:r>
      <w:r w:rsidRPr="00EC250C">
        <w:t>antydyskryminacji, ochrona praw osób starszych,</w:t>
      </w:r>
      <w:r w:rsidR="00992FD0" w:rsidRPr="00EC250C">
        <w:t xml:space="preserve"> z </w:t>
      </w:r>
      <w:r w:rsidRPr="00EC250C">
        <w:t>niepełnosprawnościami,</w:t>
      </w:r>
      <w:r w:rsidR="00992FD0" w:rsidRPr="00EC250C">
        <w:t xml:space="preserve"> z </w:t>
      </w:r>
      <w:r w:rsidRPr="00EC250C">
        <w:t>doświadczeniem choroby psychicznej, cudzoziemców</w:t>
      </w:r>
      <w:r w:rsidR="00992FD0" w:rsidRPr="00EC250C">
        <w:t xml:space="preserve"> i </w:t>
      </w:r>
      <w:r w:rsidRPr="00EC250C">
        <w:t>mniejszości narodowych, etnicznych</w:t>
      </w:r>
      <w:r w:rsidR="00992FD0" w:rsidRPr="00EC250C">
        <w:t xml:space="preserve"> i </w:t>
      </w:r>
      <w:r w:rsidRPr="00EC250C">
        <w:t>religijnych oraz innych grup społecznych.</w:t>
      </w:r>
    </w:p>
    <w:p w14:paraId="7396939F" w14:textId="77777777" w:rsidR="00192982" w:rsidRPr="00EC250C" w:rsidRDefault="00192982" w:rsidP="00EC250C">
      <w:pPr>
        <w:pStyle w:val="Nagwek5"/>
      </w:pPr>
      <w:r w:rsidRPr="00EC250C">
        <w:t>Spotkania</w:t>
      </w:r>
      <w:r w:rsidR="00992FD0" w:rsidRPr="00EC250C">
        <w:t xml:space="preserve"> z </w:t>
      </w:r>
      <w:r w:rsidRPr="00EC250C">
        <w:t>uczniami</w:t>
      </w:r>
    </w:p>
    <w:p w14:paraId="72AA2E00" w14:textId="77777777" w:rsidR="00192982" w:rsidRPr="00EC250C" w:rsidRDefault="00192982" w:rsidP="00D131FA">
      <w:pPr>
        <w:pStyle w:val="Styl1"/>
      </w:pPr>
      <w:r w:rsidRPr="00EC250C">
        <w:t>Rzecznik spotyka się regularnie</w:t>
      </w:r>
      <w:r w:rsidR="00992FD0" w:rsidRPr="00EC250C">
        <w:t xml:space="preserve"> z </w:t>
      </w:r>
      <w:r w:rsidRPr="00EC250C">
        <w:t>uczniami szkół, głównie podnadpodstawowych prowadząc dla nich żywe lekcje wychowania obywatelskiego. Tłumaczy,</w:t>
      </w:r>
      <w:r w:rsidR="00992FD0" w:rsidRPr="00EC250C">
        <w:t xml:space="preserve"> z </w:t>
      </w:r>
      <w:r w:rsidRPr="00EC250C">
        <w:t>czego wynika koncepcja praw człowieka</w:t>
      </w:r>
      <w:r w:rsidR="00992FD0" w:rsidRPr="00EC250C">
        <w:t xml:space="preserve"> i </w:t>
      </w:r>
      <w:r w:rsidRPr="00EC250C">
        <w:t>jak jest umocowana</w:t>
      </w:r>
      <w:r w:rsidR="00992FD0" w:rsidRPr="00EC250C">
        <w:t xml:space="preserve"> w </w:t>
      </w:r>
      <w:r w:rsidRPr="00EC250C">
        <w:t>polskiej Konstytucji, podaje przykłady ze swojej działalności, które mogą zainteresować osoby młode. A potem prosi</w:t>
      </w:r>
      <w:r w:rsidR="00992FD0" w:rsidRPr="00EC250C">
        <w:t xml:space="preserve"> o </w:t>
      </w:r>
      <w:r w:rsidRPr="00EC250C">
        <w:t>zadanie pytań na karteczkach, anonimowo. Dzięki temu wyłania się obraz praw człowieka</w:t>
      </w:r>
      <w:r w:rsidR="00992FD0" w:rsidRPr="00EC250C">
        <w:t xml:space="preserve"> z </w:t>
      </w:r>
      <w:r w:rsidRPr="00EC250C">
        <w:t>perspektywy ludzi młodych – żyjących</w:t>
      </w:r>
      <w:r w:rsidR="00992FD0" w:rsidRPr="00EC250C">
        <w:t xml:space="preserve"> w </w:t>
      </w:r>
      <w:r w:rsidRPr="00EC250C">
        <w:t>inte</w:t>
      </w:r>
      <w:r w:rsidR="00E804B6" w:rsidRPr="00EC250C">
        <w:t>r</w:t>
      </w:r>
      <w:r w:rsidRPr="00EC250C">
        <w:t>necie, doświadczających tam hejtu</w:t>
      </w:r>
      <w:r w:rsidR="00992FD0" w:rsidRPr="00EC250C">
        <w:t xml:space="preserve"> i </w:t>
      </w:r>
      <w:r w:rsidRPr="00EC250C">
        <w:t>przemocy, doświadczających trudności u progu pełnoletniości (co już mogę,</w:t>
      </w:r>
      <w:r w:rsidR="00992FD0" w:rsidRPr="00EC250C">
        <w:t xml:space="preserve"> a </w:t>
      </w:r>
      <w:r w:rsidRPr="00EC250C">
        <w:t>czego jeszcze nie),</w:t>
      </w:r>
      <w:r w:rsidR="00992FD0" w:rsidRPr="00EC250C">
        <w:t xml:space="preserve"> w </w:t>
      </w:r>
      <w:r w:rsidRPr="00EC250C">
        <w:t>rodzinie (alimenty).</w:t>
      </w:r>
    </w:p>
    <w:p w14:paraId="05B39DEE" w14:textId="77777777" w:rsidR="00C91F6E" w:rsidRPr="00EC250C" w:rsidRDefault="00192982" w:rsidP="00D131FA">
      <w:pPr>
        <w:pStyle w:val="Styl1"/>
      </w:pPr>
      <w:bookmarkStart w:id="817" w:name="_Toc6258037"/>
      <w:r w:rsidRPr="00EC250C">
        <w:t>W 2018</w:t>
      </w:r>
      <w:r w:rsidR="00C91F6E" w:rsidRPr="00EC250C">
        <w:t> r.</w:t>
      </w:r>
      <w:r w:rsidRPr="00EC250C">
        <w:t xml:space="preserve"> RPO rozmawiał</w:t>
      </w:r>
      <w:r w:rsidR="00992FD0" w:rsidRPr="00EC250C">
        <w:t xml:space="preserve"> o </w:t>
      </w:r>
      <w:r w:rsidRPr="00EC250C">
        <w:t>tym</w:t>
      </w:r>
      <w:r w:rsidR="00992FD0" w:rsidRPr="00EC250C">
        <w:t xml:space="preserve"> z </w:t>
      </w:r>
      <w:r w:rsidRPr="00EC250C">
        <w:t>uczniami:</w:t>
      </w:r>
    </w:p>
    <w:p w14:paraId="56BE648A" w14:textId="77777777" w:rsidR="00C91F6E" w:rsidRPr="00EC250C" w:rsidRDefault="00192982" w:rsidP="006C70B7">
      <w:pPr>
        <w:pStyle w:val="Styl1"/>
        <w:numPr>
          <w:ilvl w:val="0"/>
          <w:numId w:val="95"/>
        </w:numPr>
      </w:pPr>
      <w:r w:rsidRPr="00EC250C">
        <w:t>Liceum Ogólnokształcącego im. KEN</w:t>
      </w:r>
      <w:r w:rsidR="00992FD0" w:rsidRPr="00EC250C">
        <w:t xml:space="preserve"> w </w:t>
      </w:r>
      <w:r w:rsidRPr="00EC250C">
        <w:t>Stalowej Woli,</w:t>
      </w:r>
    </w:p>
    <w:p w14:paraId="6123DAFF" w14:textId="77777777" w:rsidR="00C91F6E" w:rsidRPr="00EC250C" w:rsidRDefault="00192982" w:rsidP="006C70B7">
      <w:pPr>
        <w:pStyle w:val="Styl1"/>
        <w:numPr>
          <w:ilvl w:val="0"/>
          <w:numId w:val="95"/>
        </w:numPr>
      </w:pPr>
      <w:r w:rsidRPr="00EC250C">
        <w:t>trzech gimnazjów</w:t>
      </w:r>
      <w:r w:rsidR="00992FD0" w:rsidRPr="00EC250C">
        <w:t xml:space="preserve"> w </w:t>
      </w:r>
      <w:r w:rsidRPr="00EC250C">
        <w:t>Centrum Edukacyjnym „Szklany Dom”</w:t>
      </w:r>
      <w:r w:rsidR="00992FD0" w:rsidRPr="00EC250C">
        <w:t xml:space="preserve"> w </w:t>
      </w:r>
      <w:r w:rsidRPr="00EC250C">
        <w:t>Ciekotach,</w:t>
      </w:r>
    </w:p>
    <w:p w14:paraId="379552D0" w14:textId="77777777" w:rsidR="00C91F6E" w:rsidRPr="00EC250C" w:rsidRDefault="00192982" w:rsidP="006C70B7">
      <w:pPr>
        <w:pStyle w:val="Styl1"/>
        <w:numPr>
          <w:ilvl w:val="0"/>
          <w:numId w:val="95"/>
        </w:numPr>
      </w:pPr>
      <w:r w:rsidRPr="00EC250C">
        <w:t>Zespołu Szkół</w:t>
      </w:r>
      <w:r w:rsidR="00992FD0" w:rsidRPr="00EC250C">
        <w:t xml:space="preserve"> w </w:t>
      </w:r>
      <w:r w:rsidRPr="00EC250C">
        <w:t>Hajnówce, do której chodzi 314 uczniów mniejszości białoruskiej,</w:t>
      </w:r>
    </w:p>
    <w:p w14:paraId="7696B7CC" w14:textId="77777777" w:rsidR="00C91F6E" w:rsidRPr="00EC250C" w:rsidRDefault="00192982" w:rsidP="006C70B7">
      <w:pPr>
        <w:pStyle w:val="Styl1"/>
        <w:numPr>
          <w:ilvl w:val="0"/>
          <w:numId w:val="95"/>
        </w:numPr>
      </w:pPr>
      <w:r w:rsidRPr="00EC250C">
        <w:t>II LO im. Janusza Korczaka</w:t>
      </w:r>
      <w:r w:rsidR="00992FD0" w:rsidRPr="00EC250C">
        <w:t xml:space="preserve"> w </w:t>
      </w:r>
      <w:r w:rsidRPr="00EC250C">
        <w:t>Wieluniu, które prowadzi</w:t>
      </w:r>
      <w:r w:rsidR="00CC4D88" w:rsidRPr="00EC250C">
        <w:t xml:space="preserve"> </w:t>
      </w:r>
      <w:r w:rsidRPr="00EC250C">
        <w:t>Szkołę Dialogu</w:t>
      </w:r>
      <w:r w:rsidR="00992FD0" w:rsidRPr="00EC250C">
        <w:t xml:space="preserve"> i </w:t>
      </w:r>
      <w:r w:rsidRPr="00EC250C">
        <w:t>zgłębia polską</w:t>
      </w:r>
      <w:r w:rsidR="00992FD0" w:rsidRPr="00EC250C">
        <w:t xml:space="preserve"> i </w:t>
      </w:r>
      <w:r w:rsidRPr="00EC250C">
        <w:t>żydowską historię miasta, którego bombardowanie zaczęło II wojnę światową,</w:t>
      </w:r>
    </w:p>
    <w:p w14:paraId="0F15FCD5" w14:textId="77777777" w:rsidR="00192982" w:rsidRPr="00EC250C" w:rsidRDefault="00192982" w:rsidP="006C70B7">
      <w:pPr>
        <w:pStyle w:val="Styl1"/>
        <w:numPr>
          <w:ilvl w:val="0"/>
          <w:numId w:val="95"/>
        </w:numPr>
      </w:pPr>
      <w:r w:rsidRPr="00EC250C">
        <w:lastRenderedPageBreak/>
        <w:t>I LO im. Bolesława Krzywoustego</w:t>
      </w:r>
      <w:r w:rsidR="00992FD0" w:rsidRPr="00EC250C">
        <w:t xml:space="preserve"> w </w:t>
      </w:r>
      <w:r w:rsidRPr="00EC250C">
        <w:t>Nakle.</w:t>
      </w:r>
    </w:p>
    <w:bookmarkEnd w:id="817"/>
    <w:p w14:paraId="59912442" w14:textId="77777777" w:rsidR="00192982" w:rsidRPr="00EC250C" w:rsidRDefault="00192982" w:rsidP="00D131FA">
      <w:pPr>
        <w:pStyle w:val="Styl1"/>
      </w:pPr>
      <w:r w:rsidRPr="00EC250C">
        <w:t>We współpracy ze stowarzyszeniem im. prof. Zbigniewa Hołdy,</w:t>
      </w:r>
      <w:r w:rsidR="00992FD0" w:rsidRPr="00EC250C">
        <w:t xml:space="preserve"> w </w:t>
      </w:r>
      <w:r w:rsidRPr="00EC250C">
        <w:t>ramach projektu „Tydzień Konstytucji” Rzecznik przeprowadził cykl zajęć</w:t>
      </w:r>
      <w:r w:rsidR="00992FD0" w:rsidRPr="00EC250C">
        <w:t xml:space="preserve"> w </w:t>
      </w:r>
      <w:r w:rsidRPr="00EC250C">
        <w:t>szkołach średnich</w:t>
      </w:r>
      <w:r w:rsidR="00992FD0" w:rsidRPr="00EC250C">
        <w:t xml:space="preserve"> i </w:t>
      </w:r>
      <w:r w:rsidRPr="00EC250C">
        <w:t>gimnazjalnych, podczas których uczniowie rozwiązywali praktyczne przykłady</w:t>
      </w:r>
      <w:r w:rsidR="00992FD0" w:rsidRPr="00EC250C">
        <w:t xml:space="preserve"> z </w:t>
      </w:r>
      <w:r w:rsidRPr="00EC250C">
        <w:t>zakresu ochrony praw człowieka</w:t>
      </w:r>
      <w:r w:rsidR="00992FD0" w:rsidRPr="00EC250C">
        <w:t xml:space="preserve"> i </w:t>
      </w:r>
      <w:r w:rsidRPr="00EC250C">
        <w:t>obywatela</w:t>
      </w:r>
      <w:r w:rsidR="00992FD0" w:rsidRPr="00EC250C">
        <w:t xml:space="preserve"> w </w:t>
      </w:r>
      <w:r w:rsidRPr="00EC250C">
        <w:t>oparciu</w:t>
      </w:r>
      <w:r w:rsidR="00992FD0" w:rsidRPr="00EC250C">
        <w:t xml:space="preserve"> o </w:t>
      </w:r>
      <w:r w:rsidRPr="00EC250C">
        <w:t>zapisy Konstytucji. W 2018</w:t>
      </w:r>
      <w:r w:rsidR="00C91F6E" w:rsidRPr="00EC250C">
        <w:t> r.</w:t>
      </w:r>
      <w:r w:rsidRPr="00EC250C">
        <w:t xml:space="preserve"> odbyły się dwie tury Tygodnia Konstytucyjnego –</w:t>
      </w:r>
      <w:r w:rsidR="00992FD0" w:rsidRPr="00EC250C">
        <w:t xml:space="preserve"> w </w:t>
      </w:r>
      <w:r w:rsidRPr="00EC250C">
        <w:t>czerwcu</w:t>
      </w:r>
      <w:r w:rsidR="00992FD0" w:rsidRPr="00EC250C">
        <w:t xml:space="preserve"> i </w:t>
      </w:r>
      <w:r w:rsidRPr="00EC250C">
        <w:t>listopadzie.</w:t>
      </w:r>
    </w:p>
    <w:p w14:paraId="3028F09D" w14:textId="77777777" w:rsidR="00192982" w:rsidRPr="00EC250C" w:rsidRDefault="00192982" w:rsidP="00D131FA">
      <w:pPr>
        <w:pStyle w:val="Styl1"/>
      </w:pPr>
      <w:r w:rsidRPr="00EC250C">
        <w:t>W 2018</w:t>
      </w:r>
      <w:r w:rsidR="00C91F6E" w:rsidRPr="00EC250C">
        <w:t> r.</w:t>
      </w:r>
      <w:r w:rsidRPr="00EC250C">
        <w:t xml:space="preserve"> były te</w:t>
      </w:r>
      <w:r w:rsidR="00D97E9D" w:rsidRPr="00EC250C">
        <w:t>ż</w:t>
      </w:r>
      <w:r w:rsidRPr="00EC250C">
        <w:t xml:space="preserve"> organizowane spotkania warsztatowe dla młodzieży gimnazjalnej, licealistów oraz dzieci</w:t>
      </w:r>
      <w:r w:rsidR="00992FD0" w:rsidRPr="00EC250C">
        <w:t xml:space="preserve"> z </w:t>
      </w:r>
      <w:r w:rsidRPr="00EC250C">
        <w:t>ostatnich klas szkół podstawowych</w:t>
      </w:r>
      <w:r w:rsidR="00992FD0" w:rsidRPr="00EC250C">
        <w:t xml:space="preserve"> w </w:t>
      </w:r>
      <w:r w:rsidRPr="00EC250C">
        <w:t>Biurze RPO</w:t>
      </w:r>
      <w:r w:rsidR="00992FD0" w:rsidRPr="00EC250C">
        <w:t xml:space="preserve"> i w </w:t>
      </w:r>
      <w:r w:rsidRPr="00EC250C">
        <w:t>szkołach.</w:t>
      </w:r>
    </w:p>
    <w:p w14:paraId="2DA37B72" w14:textId="77777777" w:rsidR="00C91F6E" w:rsidRPr="00EC250C" w:rsidRDefault="00192982" w:rsidP="00EC250C">
      <w:pPr>
        <w:pStyle w:val="Nagwek5"/>
      </w:pPr>
      <w:r w:rsidRPr="00EC250C">
        <w:t>Spotkania</w:t>
      </w:r>
      <w:r w:rsidR="00992FD0" w:rsidRPr="00EC250C">
        <w:t xml:space="preserve"> z </w:t>
      </w:r>
      <w:r w:rsidRPr="00EC250C">
        <w:t>młodymi na Pol’and’Rock Festiwal 2018</w:t>
      </w:r>
    </w:p>
    <w:p w14:paraId="73C39808" w14:textId="77777777" w:rsidR="00192982" w:rsidRPr="00EC250C" w:rsidRDefault="00192982" w:rsidP="00D131FA">
      <w:pPr>
        <w:pStyle w:val="Styl1"/>
      </w:pPr>
      <w:r w:rsidRPr="00EC250C">
        <w:t>W festiwalu</w:t>
      </w:r>
      <w:r w:rsidR="00992FD0" w:rsidRPr="00EC250C">
        <w:t xml:space="preserve"> w </w:t>
      </w:r>
      <w:r w:rsidR="00536446" w:rsidRPr="00EC250C">
        <w:t>Kostrzynie</w:t>
      </w:r>
      <w:r w:rsidRPr="00EC250C">
        <w:t xml:space="preserve"> nad Odrą organizowanym przez Wielką Orkiestrę Świątecznej Pomocy Biuro RPO uczestniczy od czasów RPO Janusza Kochanowskiego, który zainicjował tę współpracę. Była ona kontynuowana także</w:t>
      </w:r>
      <w:r w:rsidR="00992FD0" w:rsidRPr="00EC250C">
        <w:t xml:space="preserve"> w </w:t>
      </w:r>
      <w:r w:rsidRPr="00EC250C">
        <w:t>2018</w:t>
      </w:r>
      <w:r w:rsidR="00C91F6E" w:rsidRPr="00EC250C">
        <w:t> r.</w:t>
      </w:r>
      <w:r w:rsidRPr="00EC250C">
        <w:t xml:space="preserve"> (Przystanek Woodstock zmienił</w:t>
      </w:r>
      <w:r w:rsidR="00992FD0" w:rsidRPr="00EC250C">
        <w:t xml:space="preserve"> w </w:t>
      </w:r>
      <w:r w:rsidRPr="00EC250C">
        <w:t>2018</w:t>
      </w:r>
      <w:r w:rsidR="00C91F6E" w:rsidRPr="00EC250C">
        <w:t> r.</w:t>
      </w:r>
      <w:r w:rsidRPr="00EC250C">
        <w:t xml:space="preserve"> nazwę na Pol’and’Rock Festiwal, chociaż sama formuła imprezy pozostała taka sama).</w:t>
      </w:r>
    </w:p>
    <w:p w14:paraId="31AC6005" w14:textId="77777777" w:rsidR="00192982" w:rsidRPr="00EC250C" w:rsidRDefault="00192982" w:rsidP="00D131FA">
      <w:pPr>
        <w:pStyle w:val="Srdtytul6"/>
        <w:jc w:val="both"/>
      </w:pPr>
      <w:r w:rsidRPr="00EC250C">
        <w:t>Namiot Praw Człowieka</w:t>
      </w:r>
    </w:p>
    <w:p w14:paraId="3CEC760F" w14:textId="77777777" w:rsidR="00C91F6E" w:rsidRPr="00EC250C" w:rsidRDefault="00536446" w:rsidP="00D131FA">
      <w:pPr>
        <w:pStyle w:val="Styl1"/>
      </w:pPr>
      <w:r w:rsidRPr="00EC250C">
        <w:t>Na Festiwalu</w:t>
      </w:r>
      <w:r w:rsidR="00992FD0" w:rsidRPr="00EC250C">
        <w:t xml:space="preserve"> w </w:t>
      </w:r>
      <w:r w:rsidRPr="00EC250C">
        <w:t>2018</w:t>
      </w:r>
      <w:r w:rsidR="00C91F6E" w:rsidRPr="00EC250C">
        <w:t> r.</w:t>
      </w:r>
      <w:r w:rsidR="00992FD0" w:rsidRPr="00EC250C">
        <w:t xml:space="preserve"> w </w:t>
      </w:r>
      <w:r w:rsidRPr="00EC250C">
        <w:t>strefie Akademii Sztuk Przepięknych, przeznaczonej dla organizacji pozarządowych, funkcjonował Namiot Praw Człowieka Rzecznika Praw Obywatelskich.</w:t>
      </w:r>
    </w:p>
    <w:p w14:paraId="5679F9E9" w14:textId="77777777" w:rsidR="00C91F6E" w:rsidRPr="00EC250C" w:rsidRDefault="00192982" w:rsidP="00D131FA">
      <w:pPr>
        <w:pStyle w:val="Styl1"/>
      </w:pPr>
      <w:r w:rsidRPr="00EC250C">
        <w:t>W namiocie obok stanowiska RPO swoje miejsce znalazły organizacje partnerskie: Sieć Obywatelska Watchdog Polska, Spółdzielnia Socjalna FADO, ClientEarth (Prawnicy dla Ziemi), Centrum Praw Kobiet, Forum Dialogu oraz przedstawiciele Stowarzyszenia Sędziów Polskich „Iustitia”, sędziowie: Monika Frąckowiak, Arkadiusz Krupa,</w:t>
      </w:r>
      <w:r w:rsidR="00992FD0" w:rsidRPr="00EC250C">
        <w:t xml:space="preserve"> a </w:t>
      </w:r>
      <w:r w:rsidRPr="00EC250C">
        <w:t>także youtuber Karol Paciorek</w:t>
      </w:r>
      <w:r w:rsidR="00992FD0" w:rsidRPr="00EC250C">
        <w:t xml:space="preserve"> i </w:t>
      </w:r>
      <w:r w:rsidRPr="00EC250C">
        <w:t>adwokat Bogumił Zygmont.</w:t>
      </w:r>
    </w:p>
    <w:p w14:paraId="20753F08" w14:textId="77777777" w:rsidR="00192982" w:rsidRPr="00EC250C" w:rsidRDefault="00192982" w:rsidP="00D131FA">
      <w:pPr>
        <w:pStyle w:val="Styl1"/>
      </w:pPr>
      <w:r w:rsidRPr="00EC250C">
        <w:t>O</w:t>
      </w:r>
      <w:r w:rsidR="00536446" w:rsidRPr="00EC250C">
        <w:t>d</w:t>
      </w:r>
      <w:r w:rsidRPr="00EC250C">
        <w:t>bywały się t</w:t>
      </w:r>
      <w:r w:rsidR="00536446" w:rsidRPr="00EC250C">
        <w:t>am</w:t>
      </w:r>
      <w:r w:rsidRPr="00EC250C">
        <w:t xml:space="preserve"> też warsztaty, m.in. dotyczące prawa do informacji publicznej</w:t>
      </w:r>
      <w:r w:rsidR="00992FD0" w:rsidRPr="00EC250C">
        <w:t xml:space="preserve"> i </w:t>
      </w:r>
      <w:r w:rsidRPr="00EC250C">
        <w:t>innych narzędzi obywatelskich, Konstytucji, kompetencji Rzecznika Praw Obywatelskich, praktyczne warsztaty</w:t>
      </w:r>
      <w:r w:rsidR="00992FD0" w:rsidRPr="00EC250C">
        <w:t xml:space="preserve"> z </w:t>
      </w:r>
      <w:r w:rsidRPr="00EC250C">
        <w:t>języka migowego. Każdy mógł także sprawdzić, co to znaczy być osobą</w:t>
      </w:r>
      <w:r w:rsidR="00992FD0" w:rsidRPr="00EC250C">
        <w:t xml:space="preserve"> z </w:t>
      </w:r>
      <w:r w:rsidRPr="00EC250C">
        <w:t>niepełnosprawnością pokonując kilkuetapowy tor przeszkód tzw. Barierołamacz zorganizowany przez Spółdzielnię Socjalną FADO</w:t>
      </w:r>
      <w:r w:rsidR="00992FD0" w:rsidRPr="00EC250C">
        <w:t xml:space="preserve"> z </w:t>
      </w:r>
      <w:r w:rsidRPr="00EC250C">
        <w:t>Łodzi. W Namiocie RPO odbyły się także symulacje rozprawy sądowej: karnej</w:t>
      </w:r>
      <w:r w:rsidR="00992FD0" w:rsidRPr="00EC250C">
        <w:t xml:space="preserve"> i </w:t>
      </w:r>
      <w:r w:rsidRPr="00EC250C">
        <w:t>cywilnej</w:t>
      </w:r>
      <w:r w:rsidR="00992FD0" w:rsidRPr="00EC250C">
        <w:t xml:space="preserve"> z </w:t>
      </w:r>
      <w:r w:rsidRPr="00EC250C">
        <w:t>aktywnym udziałem publiczności</w:t>
      </w:r>
      <w:r w:rsidRPr="00EC250C">
        <w:rPr>
          <w:vertAlign w:val="superscript"/>
        </w:rPr>
        <w:footnoteReference w:id="829"/>
      </w:r>
      <w:r w:rsidRPr="00EC250C">
        <w:t>.</w:t>
      </w:r>
    </w:p>
    <w:p w14:paraId="4CFFD226" w14:textId="77777777" w:rsidR="00192982" w:rsidRPr="00EC250C" w:rsidRDefault="00192982" w:rsidP="00D131FA">
      <w:pPr>
        <w:pStyle w:val="Styl1"/>
      </w:pPr>
      <w:r w:rsidRPr="00EC250C">
        <w:t>Codziennie</w:t>
      </w:r>
      <w:r w:rsidR="00992FD0" w:rsidRPr="00EC250C">
        <w:t xml:space="preserve"> w </w:t>
      </w:r>
      <w:r w:rsidRPr="00EC250C">
        <w:t>Namiocie pracownicy Biura Rzecznika Praw Obywatelskich prowadzili punkt informacji prawnej</w:t>
      </w:r>
      <w:r w:rsidR="00992FD0" w:rsidRPr="00EC250C">
        <w:t xml:space="preserve"> i </w:t>
      </w:r>
      <w:r w:rsidRPr="00EC250C">
        <w:t>przyjmowali wnioski do RPO.</w:t>
      </w:r>
    </w:p>
    <w:p w14:paraId="0D2DD725" w14:textId="77777777" w:rsidR="00192982" w:rsidRPr="00EC250C" w:rsidRDefault="00192982" w:rsidP="00D131FA">
      <w:pPr>
        <w:pStyle w:val="Srdtytul6"/>
        <w:jc w:val="both"/>
      </w:pPr>
      <w:bookmarkStart w:id="818" w:name="_Toc6258038"/>
      <w:r w:rsidRPr="00EC250C">
        <w:t>Debaty RPO na Pol’And’Rock Festiwal</w:t>
      </w:r>
      <w:bookmarkEnd w:id="818"/>
    </w:p>
    <w:p w14:paraId="32A36A07" w14:textId="77777777" w:rsidR="00C91F6E" w:rsidRPr="00EC250C" w:rsidRDefault="00192982" w:rsidP="00D131FA">
      <w:pPr>
        <w:pStyle w:val="Styl1"/>
      </w:pPr>
      <w:r w:rsidRPr="00EC250C">
        <w:t xml:space="preserve">W trakcie festiwalu odbyły się </w:t>
      </w:r>
      <w:r w:rsidR="00536446" w:rsidRPr="00EC250C">
        <w:t>cztery</w:t>
      </w:r>
      <w:r w:rsidRPr="00EC250C">
        <w:t xml:space="preserve"> debaty przygotowane Biuro RPO.</w:t>
      </w:r>
    </w:p>
    <w:p w14:paraId="4227623D" w14:textId="77777777" w:rsidR="00192982" w:rsidRPr="00EC250C" w:rsidRDefault="00192982" w:rsidP="006C70B7">
      <w:pPr>
        <w:pStyle w:val="Styl1"/>
        <w:numPr>
          <w:ilvl w:val="0"/>
          <w:numId w:val="96"/>
        </w:numPr>
      </w:pPr>
      <w:r w:rsidRPr="00EC250C">
        <w:lastRenderedPageBreak/>
        <w:t>1 sierpnia</w:t>
      </w:r>
      <w:r w:rsidR="00657F1D" w:rsidRPr="00EC250C">
        <w:t xml:space="preserve"> 2018 r.</w:t>
      </w:r>
      <w:r w:rsidR="00026572" w:rsidRPr="00EC250C">
        <w:t xml:space="preserve"> – </w:t>
      </w:r>
      <w:r w:rsidRPr="00EC250C">
        <w:rPr>
          <w:b/>
        </w:rPr>
        <w:t>„Hejt</w:t>
      </w:r>
      <w:r w:rsidR="00992FD0" w:rsidRPr="00EC250C">
        <w:rPr>
          <w:b/>
        </w:rPr>
        <w:t xml:space="preserve"> w </w:t>
      </w:r>
      <w:r w:rsidRPr="00EC250C">
        <w:rPr>
          <w:b/>
        </w:rPr>
        <w:t>sieci, mowa nienawiści”</w:t>
      </w:r>
      <w:r w:rsidRPr="00EC250C">
        <w:t xml:space="preserve"> (</w:t>
      </w:r>
      <w:r w:rsidR="00E804B6" w:rsidRPr="00EC250C">
        <w:t>p</w:t>
      </w:r>
      <w:r w:rsidRPr="00EC250C">
        <w:t>relegentami</w:t>
      </w:r>
      <w:r w:rsidR="00992FD0" w:rsidRPr="00EC250C">
        <w:t xml:space="preserve"> i </w:t>
      </w:r>
      <w:r w:rsidRPr="00EC250C">
        <w:t>gośćmi Rzecznika byli: Marcin Kącki – dziennikarz, autor książek, Zuzanna Radzik – dziennikarka, członkini Zarządu Forum Dialogu oraz Ziemowit Szczerek – dziennikarz, pisarz</w:t>
      </w:r>
      <w:r w:rsidR="00992FD0" w:rsidRPr="00EC250C">
        <w:t xml:space="preserve"> i </w:t>
      </w:r>
      <w:r w:rsidRPr="00EC250C">
        <w:t>tłumacz)</w:t>
      </w:r>
    </w:p>
    <w:p w14:paraId="7BF093E0" w14:textId="77777777" w:rsidR="00192982" w:rsidRPr="00EC250C" w:rsidRDefault="00192982" w:rsidP="006C70B7">
      <w:pPr>
        <w:pStyle w:val="Styl1"/>
        <w:numPr>
          <w:ilvl w:val="0"/>
          <w:numId w:val="96"/>
        </w:numPr>
      </w:pPr>
      <w:r w:rsidRPr="00EC250C">
        <w:t>2 sierpnia</w:t>
      </w:r>
      <w:r w:rsidR="00026572" w:rsidRPr="00EC250C">
        <w:t xml:space="preserve"> – </w:t>
      </w:r>
      <w:r w:rsidRPr="00EC250C">
        <w:rPr>
          <w:b/>
        </w:rPr>
        <w:t>„Wolne sądy”(</w:t>
      </w:r>
      <w:r w:rsidR="00E804B6" w:rsidRPr="00EC250C">
        <w:t>p</w:t>
      </w:r>
      <w:r w:rsidRPr="00EC250C">
        <w:t>relegentami</w:t>
      </w:r>
      <w:r w:rsidR="00992FD0" w:rsidRPr="00EC250C">
        <w:t xml:space="preserve"> i </w:t>
      </w:r>
      <w:r w:rsidRPr="00EC250C">
        <w:t xml:space="preserve">gośćmi </w:t>
      </w:r>
      <w:r w:rsidR="00657F1D" w:rsidRPr="00EC250C">
        <w:t>RPO</w:t>
      </w:r>
      <w:r w:rsidRPr="00EC250C">
        <w:t xml:space="preserve"> byli: sędzia Bartłomiej Przymusiński – rzecznik prasowy Stowarzyszenia Sędziów Polskich „Iustitia”, sędzia Igor Tuleja</w:t>
      </w:r>
      <w:r w:rsidR="00992FD0" w:rsidRPr="00EC250C">
        <w:t xml:space="preserve"> z </w:t>
      </w:r>
      <w:r w:rsidRPr="00EC250C">
        <w:t>Sądu Okręgowego</w:t>
      </w:r>
      <w:r w:rsidR="00992FD0" w:rsidRPr="00EC250C">
        <w:t xml:space="preserve"> w </w:t>
      </w:r>
      <w:r w:rsidRPr="00EC250C">
        <w:t>Warszawie, sędzia Olimpia Barańska-Małuszek</w:t>
      </w:r>
      <w:r w:rsidR="00992FD0" w:rsidRPr="00EC250C">
        <w:t xml:space="preserve"> z </w:t>
      </w:r>
      <w:r w:rsidRPr="00EC250C">
        <w:t>Gorzowa Wielkopolskiego oraz mecenas Zuzanna Rudzińska-Bluszcz – Główna Koordynatorka ds. Strategicznych Postępowań Sądowych</w:t>
      </w:r>
      <w:r w:rsidR="00992FD0" w:rsidRPr="00EC250C">
        <w:t xml:space="preserve"> w </w:t>
      </w:r>
      <w:r w:rsidRPr="00EC250C">
        <w:t>Biurze RPO)</w:t>
      </w:r>
    </w:p>
    <w:p w14:paraId="5765F0C9" w14:textId="77777777" w:rsidR="00192982" w:rsidRPr="00EC250C" w:rsidRDefault="00192982" w:rsidP="006C70B7">
      <w:pPr>
        <w:pStyle w:val="Styl1"/>
        <w:numPr>
          <w:ilvl w:val="0"/>
          <w:numId w:val="96"/>
        </w:numPr>
      </w:pPr>
      <w:r w:rsidRPr="00EC250C">
        <w:t>3 sierpnia</w:t>
      </w:r>
      <w:r w:rsidR="00026572" w:rsidRPr="00EC250C">
        <w:t xml:space="preserve"> – </w:t>
      </w:r>
      <w:r w:rsidRPr="00EC250C">
        <w:rPr>
          <w:b/>
        </w:rPr>
        <w:t>„#Metoo rok później” (</w:t>
      </w:r>
      <w:r w:rsidR="00E804B6" w:rsidRPr="00EC250C">
        <w:t>p</w:t>
      </w:r>
      <w:r w:rsidRPr="00EC250C">
        <w:t>relegentami</w:t>
      </w:r>
      <w:r w:rsidR="00992FD0" w:rsidRPr="00EC250C">
        <w:t xml:space="preserve"> i </w:t>
      </w:r>
      <w:r w:rsidRPr="00EC250C">
        <w:t xml:space="preserve">gośćmi </w:t>
      </w:r>
      <w:r w:rsidR="00657F1D" w:rsidRPr="00EC250C">
        <w:t xml:space="preserve">RPO </w:t>
      </w:r>
      <w:r w:rsidRPr="00EC250C">
        <w:t>byli: Karolina Korwin-Piotrowska dziennikarka</w:t>
      </w:r>
      <w:r w:rsidR="00992FD0" w:rsidRPr="00EC250C">
        <w:t xml:space="preserve"> i </w:t>
      </w:r>
      <w:r w:rsidRPr="00EC250C">
        <w:t>krytyczka filmowa, dr Natasza Kosakowska-Berezecka – psycholożka, pracowni</w:t>
      </w:r>
      <w:r w:rsidR="00E804B6" w:rsidRPr="00EC250C">
        <w:t>czka</w:t>
      </w:r>
      <w:r w:rsidRPr="00EC250C">
        <w:t xml:space="preserve"> naukow</w:t>
      </w:r>
      <w:r w:rsidR="00E804B6" w:rsidRPr="00EC250C">
        <w:t>a</w:t>
      </w:r>
      <w:r w:rsidRPr="00EC250C">
        <w:t xml:space="preserve"> Uniwersytetu Gdańskiego oraz Bożena Szubińska – komandor</w:t>
      </w:r>
      <w:r w:rsidR="00E804B6" w:rsidRPr="00EC250C">
        <w:t>ka</w:t>
      </w:r>
      <w:r w:rsidR="00992FD0" w:rsidRPr="00EC250C">
        <w:t xml:space="preserve"> w </w:t>
      </w:r>
      <w:r w:rsidRPr="00EC250C">
        <w:t>stanie spoczynku, była przewodnicząca Rady ds. Kobiet</w:t>
      </w:r>
      <w:r w:rsidR="00992FD0" w:rsidRPr="00EC250C">
        <w:t xml:space="preserve"> w </w:t>
      </w:r>
      <w:r w:rsidRPr="00EC250C">
        <w:t>Siłach Zbrojnych RP</w:t>
      </w:r>
      <w:r w:rsidR="00992FD0" w:rsidRPr="00EC250C">
        <w:t xml:space="preserve"> i </w:t>
      </w:r>
      <w:r w:rsidRPr="00EC250C">
        <w:t>była pełnomocni</w:t>
      </w:r>
      <w:r w:rsidR="00E804B6" w:rsidRPr="00EC250C">
        <w:t>czka</w:t>
      </w:r>
      <w:r w:rsidRPr="00EC250C">
        <w:t xml:space="preserve"> Ministra Obrony Narodowej ds. Wojskowej Służby Kobiet). </w:t>
      </w:r>
      <w:r w:rsidRPr="00EC250C">
        <w:rPr>
          <w:vertAlign w:val="superscript"/>
        </w:rPr>
        <w:footnoteReference w:id="830"/>
      </w:r>
      <w:r w:rsidRPr="00EC250C">
        <w:t>.</w:t>
      </w:r>
    </w:p>
    <w:p w14:paraId="7CD324F5" w14:textId="77777777" w:rsidR="00C91F6E" w:rsidRPr="00EC250C" w:rsidRDefault="00192982" w:rsidP="006C70B7">
      <w:pPr>
        <w:pStyle w:val="Styl1"/>
        <w:numPr>
          <w:ilvl w:val="0"/>
          <w:numId w:val="96"/>
        </w:numPr>
      </w:pPr>
      <w:r w:rsidRPr="00EC250C">
        <w:t>3 sierpnia</w:t>
      </w:r>
      <w:r w:rsidR="00026572" w:rsidRPr="00EC250C">
        <w:t xml:space="preserve"> – </w:t>
      </w:r>
      <w:r w:rsidRPr="00EC250C">
        <w:t>„</w:t>
      </w:r>
      <w:r w:rsidRPr="00EC250C">
        <w:rPr>
          <w:b/>
        </w:rPr>
        <w:t>Kolos na glinianych nogach</w:t>
      </w:r>
      <w:r w:rsidR="00026572" w:rsidRPr="00EC250C">
        <w:rPr>
          <w:b/>
        </w:rPr>
        <w:t xml:space="preserve"> – </w:t>
      </w:r>
      <w:r w:rsidRPr="00EC250C">
        <w:rPr>
          <w:b/>
        </w:rPr>
        <w:t>porozmawiajmy</w:t>
      </w:r>
      <w:r w:rsidR="00992FD0" w:rsidRPr="00EC250C">
        <w:rPr>
          <w:b/>
        </w:rPr>
        <w:t xml:space="preserve"> o </w:t>
      </w:r>
      <w:r w:rsidRPr="00EC250C">
        <w:rPr>
          <w:b/>
        </w:rPr>
        <w:t>ochronie przyrody” (</w:t>
      </w:r>
      <w:r w:rsidR="00E804B6" w:rsidRPr="00EC250C">
        <w:t>p</w:t>
      </w:r>
      <w:r w:rsidRPr="00EC250C">
        <w:t>anelistami byli: dr Adam Bodnar, mec. Agata Szafraniuk</w:t>
      </w:r>
      <w:r w:rsidR="00992FD0" w:rsidRPr="00EC250C">
        <w:t xml:space="preserve"> i </w:t>
      </w:r>
      <w:r w:rsidRPr="00EC250C">
        <w:t>Michał Zabłocki</w:t>
      </w:r>
      <w:r w:rsidR="00992FD0" w:rsidRPr="00EC250C">
        <w:t xml:space="preserve"> z </w:t>
      </w:r>
      <w:r w:rsidRPr="00EC250C">
        <w:t>ClientEarth. Debatę moderował Krzysztof Cibor</w:t>
      </w:r>
      <w:r w:rsidR="00992FD0" w:rsidRPr="00EC250C">
        <w:t xml:space="preserve"> z </w:t>
      </w:r>
      <w:r w:rsidRPr="00EC250C">
        <w:t>Greenpeace Polska. Debata była na żywo „komentowana” rysunkami satyrycznymi sędziego Arkadiusza Krupy).</w:t>
      </w:r>
    </w:p>
    <w:p w14:paraId="4B3DD851" w14:textId="77777777" w:rsidR="00192982" w:rsidRPr="00EC250C" w:rsidRDefault="00192982" w:rsidP="00EC250C">
      <w:pPr>
        <w:pStyle w:val="Nagwek5"/>
      </w:pPr>
      <w:r w:rsidRPr="00EC250C">
        <w:t>Warsztaty dla dorosłych</w:t>
      </w:r>
    </w:p>
    <w:p w14:paraId="1EA08B72" w14:textId="77777777" w:rsidR="00192982" w:rsidRPr="00EC250C" w:rsidRDefault="00192982" w:rsidP="00D131FA">
      <w:pPr>
        <w:pStyle w:val="Styl1"/>
      </w:pPr>
      <w:r w:rsidRPr="00EC250C">
        <w:t>W 2018</w:t>
      </w:r>
      <w:r w:rsidR="00C91F6E" w:rsidRPr="00EC250C">
        <w:t> r.</w:t>
      </w:r>
      <w:r w:rsidRPr="00EC250C">
        <w:t xml:space="preserve"> zorganizowa</w:t>
      </w:r>
      <w:r w:rsidR="00536446" w:rsidRPr="00EC250C">
        <w:t>no</w:t>
      </w:r>
      <w:r w:rsidRPr="00EC250C">
        <w:t xml:space="preserve"> 17 spotkań warsztatowych,</w:t>
      </w:r>
      <w:r w:rsidR="00992FD0" w:rsidRPr="00EC250C">
        <w:t xml:space="preserve"> w </w:t>
      </w:r>
      <w:r w:rsidRPr="00EC250C">
        <w:t>tym trzy warsztaty dla osób głuchych oraz jeden dedykowany osobom starszym.</w:t>
      </w:r>
    </w:p>
    <w:p w14:paraId="10125D19" w14:textId="77777777" w:rsidR="00C91F6E" w:rsidRPr="00EC250C" w:rsidRDefault="00536446" w:rsidP="00D131FA">
      <w:pPr>
        <w:pStyle w:val="Styl1"/>
      </w:pPr>
      <w:r w:rsidRPr="00EC250C">
        <w:t>Odbyły się</w:t>
      </w:r>
      <w:r w:rsidR="00192982" w:rsidRPr="00EC250C">
        <w:t xml:space="preserve"> także warsztaty dla studentów Uniwersytetu im. Mikołaja Kopernika</w:t>
      </w:r>
      <w:r w:rsidR="00992FD0" w:rsidRPr="00EC250C">
        <w:t xml:space="preserve"> w </w:t>
      </w:r>
      <w:r w:rsidR="00192982" w:rsidRPr="00EC250C">
        <w:t>Toruniu</w:t>
      </w:r>
      <w:r w:rsidR="00992FD0" w:rsidRPr="00EC250C">
        <w:t xml:space="preserve"> w </w:t>
      </w:r>
      <w:r w:rsidR="00192982" w:rsidRPr="00EC250C">
        <w:t>ramach uczelnianego projektu „Mentor”, polegającego na opiece polskich studentów nad zagranicznymi uczestnikami wymiany międzyuczelnianej projektu Erasmus.</w:t>
      </w:r>
    </w:p>
    <w:p w14:paraId="2B8A42E7" w14:textId="77777777" w:rsidR="00192982" w:rsidRPr="00EC250C" w:rsidRDefault="00192982" w:rsidP="00D131FA">
      <w:pPr>
        <w:pStyle w:val="Styl1"/>
        <w:rPr>
          <w:lang w:eastAsia="zh-CN" w:bidi="hi-IN"/>
        </w:rPr>
      </w:pPr>
      <w:r w:rsidRPr="00EC250C">
        <w:rPr>
          <w:lang w:eastAsia="zh-CN" w:bidi="hi-IN"/>
        </w:rPr>
        <w:t xml:space="preserve">Do działań </w:t>
      </w:r>
      <w:r w:rsidR="00536446" w:rsidRPr="00EC250C">
        <w:rPr>
          <w:lang w:eastAsia="zh-CN" w:bidi="hi-IN"/>
        </w:rPr>
        <w:t>edykacyjnyc</w:t>
      </w:r>
      <w:r w:rsidRPr="00EC250C">
        <w:rPr>
          <w:lang w:eastAsia="zh-CN" w:bidi="hi-IN"/>
        </w:rPr>
        <w:t>h wypracowujących nowe rozwiązania</w:t>
      </w:r>
      <w:r w:rsidR="00992FD0" w:rsidRPr="00EC250C">
        <w:rPr>
          <w:lang w:eastAsia="zh-CN" w:bidi="hi-IN"/>
        </w:rPr>
        <w:t xml:space="preserve"> i </w:t>
      </w:r>
      <w:r w:rsidRPr="00EC250C">
        <w:rPr>
          <w:lang w:eastAsia="zh-CN" w:bidi="hi-IN"/>
        </w:rPr>
        <w:t>identyfikujących problemy należały też:</w:t>
      </w:r>
    </w:p>
    <w:p w14:paraId="723561F2" w14:textId="77777777" w:rsidR="00C91F6E" w:rsidRPr="00EC250C" w:rsidRDefault="00192982" w:rsidP="006C70B7">
      <w:pPr>
        <w:pStyle w:val="Styl1"/>
        <w:numPr>
          <w:ilvl w:val="0"/>
          <w:numId w:val="97"/>
        </w:numPr>
      </w:pPr>
      <w:r w:rsidRPr="00EC250C">
        <w:t>Kolejna konferencja poświęcona osobom żyjącym</w:t>
      </w:r>
      <w:r w:rsidR="00992FD0" w:rsidRPr="00EC250C">
        <w:t xml:space="preserve"> z </w:t>
      </w:r>
      <w:r w:rsidRPr="00EC250C">
        <w:t>chorobą Alzheimera oraz ich rodzinom</w:t>
      </w:r>
      <w:r w:rsidR="00992FD0" w:rsidRPr="00EC250C">
        <w:t xml:space="preserve"> i </w:t>
      </w:r>
      <w:r w:rsidRPr="00EC250C">
        <w:t>opiekunom.</w:t>
      </w:r>
      <w:r w:rsidRPr="00EC250C">
        <w:rPr>
          <w:vertAlign w:val="superscript"/>
        </w:rPr>
        <w:footnoteReference w:id="831"/>
      </w:r>
      <w:r w:rsidRPr="00EC250C">
        <w:t xml:space="preserve"> -27 września 2018</w:t>
      </w:r>
      <w:r w:rsidR="00C91F6E" w:rsidRPr="00EC250C">
        <w:t> r.</w:t>
      </w:r>
    </w:p>
    <w:p w14:paraId="04FB6C71" w14:textId="77777777" w:rsidR="00192982" w:rsidRPr="00EC250C" w:rsidRDefault="00192982" w:rsidP="006C70B7">
      <w:pPr>
        <w:pStyle w:val="Styl1"/>
        <w:numPr>
          <w:ilvl w:val="0"/>
          <w:numId w:val="97"/>
        </w:numPr>
      </w:pPr>
      <w:r w:rsidRPr="00EC250C">
        <w:t>Spotkanie</w:t>
      </w:r>
      <w:r w:rsidR="00992FD0" w:rsidRPr="00EC250C">
        <w:t xml:space="preserve"> z </w:t>
      </w:r>
      <w:r w:rsidRPr="00EC250C">
        <w:t>przedstawicielami Pieszej Masy Krytycznej</w:t>
      </w:r>
      <w:r w:rsidR="00992FD0" w:rsidRPr="00EC250C">
        <w:t xml:space="preserve"> o </w:t>
      </w:r>
      <w:r w:rsidRPr="00EC250C">
        <w:t>wypadkach drogowych</w:t>
      </w:r>
      <w:r w:rsidR="00992FD0" w:rsidRPr="00EC250C">
        <w:t xml:space="preserve"> z </w:t>
      </w:r>
      <w:r w:rsidRPr="00EC250C">
        <w:t>udziałem pieszych ze szczególnym zwróceniem uwagi na osoby starsze</w:t>
      </w:r>
      <w:r w:rsidR="00026572" w:rsidRPr="00EC250C">
        <w:t xml:space="preserve"> – </w:t>
      </w:r>
      <w:r w:rsidRPr="00EC250C">
        <w:t>11 maja 2018</w:t>
      </w:r>
      <w:r w:rsidR="00C91F6E" w:rsidRPr="00EC250C">
        <w:t> r.</w:t>
      </w:r>
      <w:r w:rsidRPr="00EC250C">
        <w:t xml:space="preserve"> </w:t>
      </w:r>
      <w:r w:rsidRPr="00EC250C">
        <w:rPr>
          <w:vertAlign w:val="superscript"/>
        </w:rPr>
        <w:footnoteReference w:id="832"/>
      </w:r>
      <w:r w:rsidRPr="00EC250C">
        <w:t>.</w:t>
      </w:r>
    </w:p>
    <w:p w14:paraId="3C7BD157" w14:textId="77777777" w:rsidR="00192982" w:rsidRPr="00EC250C" w:rsidRDefault="00192982" w:rsidP="006C70B7">
      <w:pPr>
        <w:pStyle w:val="Styl1"/>
        <w:numPr>
          <w:ilvl w:val="0"/>
          <w:numId w:val="97"/>
        </w:numPr>
        <w:rPr>
          <w:rFonts w:eastAsiaTheme="minorHAnsi"/>
        </w:rPr>
      </w:pPr>
      <w:r w:rsidRPr="00EC250C">
        <w:rPr>
          <w:rStyle w:val="Hipercze"/>
          <w:rFonts w:eastAsiaTheme="majorEastAsia"/>
          <w:color w:val="auto"/>
          <w:u w:val="none"/>
        </w:rPr>
        <w:t>Wykład</w:t>
      </w:r>
      <w:r w:rsidR="00992FD0" w:rsidRPr="00EC250C">
        <w:rPr>
          <w:rStyle w:val="Hipercze"/>
          <w:rFonts w:eastAsiaTheme="majorEastAsia"/>
          <w:color w:val="auto"/>
          <w:u w:val="none"/>
        </w:rPr>
        <w:t xml:space="preserve"> w </w:t>
      </w:r>
      <w:r w:rsidRPr="00EC250C">
        <w:rPr>
          <w:rStyle w:val="Hipercze"/>
          <w:rFonts w:eastAsiaTheme="majorEastAsia"/>
          <w:color w:val="auto"/>
          <w:u w:val="none"/>
        </w:rPr>
        <w:t>Biurze RPO „</w:t>
      </w:r>
      <w:hyperlink r:id="rId19" w:history="1">
        <w:r w:rsidRPr="00EC250C">
          <w:rPr>
            <w:rStyle w:val="Hipercze"/>
            <w:rFonts w:eastAsiaTheme="majorEastAsia"/>
            <w:color w:val="auto"/>
            <w:u w:val="none"/>
          </w:rPr>
          <w:t>Czy gry wideo mogą promować prawa człowieka?”</w:t>
        </w:r>
      </w:hyperlink>
      <w:r w:rsidR="00026572" w:rsidRPr="00EC250C">
        <w:t xml:space="preserve"> – </w:t>
      </w:r>
      <w:r w:rsidRPr="00EC250C">
        <w:t>13 listopada 2018</w:t>
      </w:r>
      <w:r w:rsidR="00C91F6E" w:rsidRPr="00EC250C">
        <w:t> r.</w:t>
      </w:r>
    </w:p>
    <w:p w14:paraId="751AC979" w14:textId="77777777" w:rsidR="00C91F6E" w:rsidRPr="00EC250C" w:rsidRDefault="00192982" w:rsidP="00EC250C">
      <w:pPr>
        <w:pStyle w:val="Nagwek8"/>
      </w:pPr>
      <w:bookmarkStart w:id="819" w:name="_Toc6258040"/>
      <w:r w:rsidRPr="00EC250C">
        <w:lastRenderedPageBreak/>
        <w:t>Projekt Zapomniane cmentarze – nasze historyczne</w:t>
      </w:r>
      <w:r w:rsidR="00992FD0" w:rsidRPr="00EC250C">
        <w:t xml:space="preserve"> i </w:t>
      </w:r>
      <w:r w:rsidRPr="00EC250C">
        <w:t>wielokulturowe dziedzictwo</w:t>
      </w:r>
      <w:bookmarkEnd w:id="819"/>
    </w:p>
    <w:p w14:paraId="1FB0231E" w14:textId="77777777" w:rsidR="00C91F6E" w:rsidRPr="00EC250C" w:rsidRDefault="00192982" w:rsidP="00D131FA">
      <w:pPr>
        <w:pStyle w:val="Styl2"/>
        <w:rPr>
          <w:szCs w:val="24"/>
        </w:rPr>
      </w:pPr>
      <w:r w:rsidRPr="00EC250C">
        <w:rPr>
          <w:szCs w:val="24"/>
        </w:rPr>
        <w:t>Na terenie Polski niszczeją cmentarze różnych wyznań. Często zdarza się, że cmentarz (który nie został zgłoszony do rejestru zabytków) jest sprzedawany przez gminę jako działka budowlana lub rekreacyjna,</w:t>
      </w:r>
      <w:r w:rsidR="00992FD0" w:rsidRPr="00EC250C">
        <w:rPr>
          <w:szCs w:val="24"/>
        </w:rPr>
        <w:t xml:space="preserve"> a </w:t>
      </w:r>
      <w:r w:rsidRPr="00EC250C">
        <w:rPr>
          <w:szCs w:val="24"/>
        </w:rPr>
        <w:t>następnie zamieniany na parking, sklep lub budynek mieszkalny. Rzecznik Praw Obywatelskich</w:t>
      </w:r>
      <w:r w:rsidR="00992FD0" w:rsidRPr="00EC250C">
        <w:rPr>
          <w:szCs w:val="24"/>
        </w:rPr>
        <w:t xml:space="preserve"> z </w:t>
      </w:r>
      <w:r w:rsidRPr="00EC250C">
        <w:rPr>
          <w:szCs w:val="24"/>
        </w:rPr>
        <w:t>własnej inicjatywy podejmował sprawy związane</w:t>
      </w:r>
      <w:r w:rsidR="00992FD0" w:rsidRPr="00EC250C">
        <w:rPr>
          <w:szCs w:val="24"/>
        </w:rPr>
        <w:t xml:space="preserve"> z </w:t>
      </w:r>
      <w:r w:rsidRPr="00EC250C">
        <w:rPr>
          <w:szCs w:val="24"/>
        </w:rPr>
        <w:t>dewastacją starych cmentarzy (np. cmentarza żydowskiego</w:t>
      </w:r>
      <w:r w:rsidR="00992FD0" w:rsidRPr="00EC250C">
        <w:rPr>
          <w:szCs w:val="24"/>
        </w:rPr>
        <w:t xml:space="preserve"> w </w:t>
      </w:r>
      <w:r w:rsidRPr="00EC250C">
        <w:rPr>
          <w:szCs w:val="24"/>
        </w:rPr>
        <w:t>Maszewie</w:t>
      </w:r>
      <w:r w:rsidR="00992FD0" w:rsidRPr="00EC250C">
        <w:rPr>
          <w:szCs w:val="24"/>
        </w:rPr>
        <w:t xml:space="preserve"> w </w:t>
      </w:r>
      <w:r w:rsidRPr="00EC250C">
        <w:rPr>
          <w:szCs w:val="24"/>
        </w:rPr>
        <w:t>woj. zachodniopomorskim). Działania</w:t>
      </w:r>
      <w:r w:rsidR="00992FD0" w:rsidRPr="00EC250C">
        <w:rPr>
          <w:szCs w:val="24"/>
        </w:rPr>
        <w:t xml:space="preserve"> w </w:t>
      </w:r>
      <w:r w:rsidRPr="00EC250C">
        <w:rPr>
          <w:szCs w:val="24"/>
        </w:rPr>
        <w:t>tej sprawie pokazały, że problem jest znacznie szerszy</w:t>
      </w:r>
      <w:r w:rsidR="00992FD0" w:rsidRPr="00EC250C">
        <w:rPr>
          <w:szCs w:val="24"/>
        </w:rPr>
        <w:t xml:space="preserve"> i </w:t>
      </w:r>
      <w:r w:rsidRPr="00EC250C">
        <w:rPr>
          <w:szCs w:val="24"/>
        </w:rPr>
        <w:t>dotyczy nie tylko cmentarzy na terenie całego kraju, ale także osób, które nieświadomie takie tereny kupią.</w:t>
      </w:r>
    </w:p>
    <w:p w14:paraId="433FE8A0" w14:textId="77777777" w:rsidR="00192982" w:rsidRPr="00EC250C" w:rsidRDefault="00192982" w:rsidP="00D131FA">
      <w:pPr>
        <w:pStyle w:val="Styl2"/>
        <w:rPr>
          <w:szCs w:val="24"/>
        </w:rPr>
      </w:pPr>
      <w:r w:rsidRPr="00EC250C">
        <w:rPr>
          <w:szCs w:val="24"/>
        </w:rPr>
        <w:t>W Biurze RPO 15 listopada 2018</w:t>
      </w:r>
      <w:r w:rsidR="00C91F6E" w:rsidRPr="00EC250C">
        <w:rPr>
          <w:szCs w:val="24"/>
        </w:rPr>
        <w:t> r.</w:t>
      </w:r>
      <w:r w:rsidRPr="00EC250C">
        <w:rPr>
          <w:szCs w:val="24"/>
        </w:rPr>
        <w:t xml:space="preserve"> dr Adam Bodnar spotkał się</w:t>
      </w:r>
      <w:r w:rsidR="00992FD0" w:rsidRPr="00EC250C">
        <w:rPr>
          <w:szCs w:val="24"/>
        </w:rPr>
        <w:t xml:space="preserve"> z </w:t>
      </w:r>
      <w:r w:rsidRPr="00EC250C">
        <w:rPr>
          <w:szCs w:val="24"/>
        </w:rPr>
        <w:t>ekspertami, prawnikami</w:t>
      </w:r>
      <w:r w:rsidR="00992FD0" w:rsidRPr="00EC250C">
        <w:rPr>
          <w:szCs w:val="24"/>
        </w:rPr>
        <w:t xml:space="preserve"> i </w:t>
      </w:r>
      <w:r w:rsidRPr="00EC250C">
        <w:rPr>
          <w:szCs w:val="24"/>
        </w:rPr>
        <w:t>pasjonatami sztuki sepulkralnej, zrzeszonymi</w:t>
      </w:r>
      <w:r w:rsidR="00992FD0" w:rsidRPr="00EC250C">
        <w:rPr>
          <w:szCs w:val="24"/>
        </w:rPr>
        <w:t xml:space="preserve"> w </w:t>
      </w:r>
      <w:r w:rsidRPr="00EC250C">
        <w:rPr>
          <w:szCs w:val="24"/>
        </w:rPr>
        <w:t>stowarzyszeniach propagujących wiedzę historyczną</w:t>
      </w:r>
      <w:r w:rsidR="00992FD0" w:rsidRPr="00EC250C">
        <w:rPr>
          <w:szCs w:val="24"/>
        </w:rPr>
        <w:t xml:space="preserve"> i </w:t>
      </w:r>
      <w:r w:rsidRPr="00EC250C">
        <w:rPr>
          <w:szCs w:val="24"/>
        </w:rPr>
        <w:t>chroniących zabytki. Omówiono najważniejsze zagadnienia</w:t>
      </w:r>
      <w:r w:rsidR="00992FD0" w:rsidRPr="00EC250C">
        <w:rPr>
          <w:szCs w:val="24"/>
        </w:rPr>
        <w:t xml:space="preserve"> i </w:t>
      </w:r>
      <w:r w:rsidRPr="00EC250C">
        <w:rPr>
          <w:szCs w:val="24"/>
        </w:rPr>
        <w:t>problemy związane</w:t>
      </w:r>
      <w:r w:rsidR="00992FD0" w:rsidRPr="00EC250C">
        <w:rPr>
          <w:szCs w:val="24"/>
        </w:rPr>
        <w:t xml:space="preserve"> z </w:t>
      </w:r>
      <w:r w:rsidRPr="00EC250C">
        <w:rPr>
          <w:szCs w:val="24"/>
        </w:rPr>
        <w:t>ochroną cmentarzy</w:t>
      </w:r>
      <w:r w:rsidR="00992FD0" w:rsidRPr="00EC250C">
        <w:rPr>
          <w:szCs w:val="24"/>
        </w:rPr>
        <w:t xml:space="preserve"> w </w:t>
      </w:r>
      <w:r w:rsidRPr="00EC250C">
        <w:rPr>
          <w:szCs w:val="24"/>
        </w:rPr>
        <w:t>Polsce, uzgodniono wspólne działania</w:t>
      </w:r>
      <w:r w:rsidRPr="00EC250C">
        <w:rPr>
          <w:szCs w:val="24"/>
          <w:vertAlign w:val="superscript"/>
        </w:rPr>
        <w:footnoteReference w:id="833"/>
      </w:r>
      <w:r w:rsidRPr="00EC250C">
        <w:rPr>
          <w:szCs w:val="24"/>
        </w:rPr>
        <w:t>.</w:t>
      </w:r>
    </w:p>
    <w:p w14:paraId="05CC1AD8" w14:textId="77777777" w:rsidR="00335AF8" w:rsidRPr="00EC250C" w:rsidRDefault="00335AF8" w:rsidP="00EC250C">
      <w:pPr>
        <w:pStyle w:val="Nagwek5"/>
      </w:pPr>
      <w:r w:rsidRPr="00EC250C">
        <w:t>Działalność RPO</w:t>
      </w:r>
      <w:r w:rsidR="00992FD0" w:rsidRPr="00EC250C">
        <w:t xml:space="preserve"> w </w:t>
      </w:r>
      <w:r w:rsidRPr="00EC250C">
        <w:t>zakresie komunikacji społecznej</w:t>
      </w:r>
    </w:p>
    <w:p w14:paraId="022E8659" w14:textId="77777777" w:rsidR="00335AF8" w:rsidRPr="00EC250C" w:rsidRDefault="00335AF8" w:rsidP="00D131FA">
      <w:pPr>
        <w:pStyle w:val="Styl1"/>
      </w:pPr>
      <w:r w:rsidRPr="00EC250C">
        <w:t>Kontakty Rzecznika</w:t>
      </w:r>
      <w:r w:rsidR="00992FD0" w:rsidRPr="00EC250C">
        <w:t xml:space="preserve"> z </w:t>
      </w:r>
      <w:r w:rsidRPr="00EC250C">
        <w:t>mediami nie ograniczają się tylko do mediów tradycyjnych, ogólnopolskich</w:t>
      </w:r>
      <w:r w:rsidR="00992FD0" w:rsidRPr="00EC250C">
        <w:t xml:space="preserve"> i </w:t>
      </w:r>
      <w:r w:rsidRPr="00EC250C">
        <w:t>centralnych. W 2018</w:t>
      </w:r>
      <w:r w:rsidR="00C91F6E" w:rsidRPr="00EC250C">
        <w:t> r.</w:t>
      </w:r>
      <w:r w:rsidRPr="00EC250C">
        <w:t>, tak jak</w:t>
      </w:r>
      <w:r w:rsidR="00992FD0" w:rsidRPr="00EC250C">
        <w:t xml:space="preserve"> w </w:t>
      </w:r>
      <w:r w:rsidRPr="00EC250C">
        <w:t>latach poprzednich, coraz większe znaczenie miało przygotowywanie komunikacji „celowanej”, czyli odpowiadającej potrzebom różnych typów mediów – przede wszystkim lokalnych, ale także portali,</w:t>
      </w:r>
      <w:r w:rsidR="00992FD0" w:rsidRPr="00EC250C">
        <w:t xml:space="preserve"> w </w:t>
      </w:r>
      <w:r w:rsidRPr="00EC250C">
        <w:t>tym portali branżowych, uczestników różnych spotkań</w:t>
      </w:r>
      <w:r w:rsidR="00992FD0" w:rsidRPr="00EC250C">
        <w:t xml:space="preserve"> i </w:t>
      </w:r>
      <w:r w:rsidRPr="00EC250C">
        <w:t>konferencji, liderów opinii</w:t>
      </w:r>
      <w:r w:rsidR="00992FD0" w:rsidRPr="00EC250C">
        <w:t xml:space="preserve"> w </w:t>
      </w:r>
      <w:r w:rsidRPr="00EC250C">
        <w:t>internecie.</w:t>
      </w:r>
    </w:p>
    <w:p w14:paraId="4DE4A872" w14:textId="77777777" w:rsidR="00335AF8" w:rsidRPr="00EC250C" w:rsidRDefault="00335AF8" w:rsidP="00D131FA">
      <w:pPr>
        <w:pStyle w:val="Srdtytul6"/>
        <w:jc w:val="both"/>
      </w:pPr>
      <w:r w:rsidRPr="00EC250C">
        <w:t>Nowy portal wiedzy – żywa informacja RPO</w:t>
      </w:r>
      <w:r w:rsidR="00992FD0" w:rsidRPr="00EC250C">
        <w:t xml:space="preserve"> o </w:t>
      </w:r>
      <w:r w:rsidRPr="00EC250C">
        <w:t>stanie przestrzegania Konstytucji</w:t>
      </w:r>
    </w:p>
    <w:p w14:paraId="581F0C62" w14:textId="77777777" w:rsidR="00335AF8" w:rsidRPr="00EC250C" w:rsidRDefault="00335AF8" w:rsidP="00D131FA">
      <w:pPr>
        <w:pStyle w:val="Styl1"/>
      </w:pPr>
      <w:r w:rsidRPr="00EC250C">
        <w:t>Kwestie prawne, niekiedy bardzo szczegółowe, wymagają precyzji</w:t>
      </w:r>
      <w:r w:rsidR="00992FD0" w:rsidRPr="00EC250C">
        <w:t xml:space="preserve"> i </w:t>
      </w:r>
      <w:r w:rsidRPr="00EC250C">
        <w:t>specjalistycznej wiedzy. Jednak gromadzony</w:t>
      </w:r>
      <w:r w:rsidR="00992FD0" w:rsidRPr="00EC250C">
        <w:t xml:space="preserve"> w </w:t>
      </w:r>
      <w:r w:rsidRPr="00EC250C">
        <w:t>ten sposób dorobek nie zostanie wykorzystany, jeśli nie uda się go</w:t>
      </w:r>
      <w:r w:rsidR="00992FD0" w:rsidRPr="00EC250C">
        <w:t xml:space="preserve"> w </w:t>
      </w:r>
      <w:r w:rsidRPr="00EC250C">
        <w:t xml:space="preserve">sposób przystępny przekazać </w:t>
      </w:r>
      <w:r w:rsidR="00BB200F" w:rsidRPr="00EC250C">
        <w:t>obywatelkom</w:t>
      </w:r>
      <w:r w:rsidR="00992FD0" w:rsidRPr="00EC250C">
        <w:t xml:space="preserve"> i </w:t>
      </w:r>
      <w:r w:rsidRPr="00EC250C">
        <w:t>obywatelom. Zmiana języka pozwala ludziom nie tylko lepiej wykorzystać informację, ale też aktywnie włączyć się</w:t>
      </w:r>
      <w:r w:rsidR="00992FD0" w:rsidRPr="00EC250C">
        <w:t xml:space="preserve"> w </w:t>
      </w:r>
      <w:r w:rsidRPr="00EC250C">
        <w:t>debatę publiczną oraz proponować rozwiązania, których prawdopodobnie bez szerokiej</w:t>
      </w:r>
      <w:r w:rsidR="00992FD0" w:rsidRPr="00EC250C">
        <w:t xml:space="preserve"> i </w:t>
      </w:r>
      <w:r w:rsidRPr="00EC250C">
        <w:t>otwartej wymiany pomysłów nie udałoby się znaleźć.</w:t>
      </w:r>
    </w:p>
    <w:p w14:paraId="3A2AFCD2" w14:textId="77777777" w:rsidR="00335AF8" w:rsidRPr="00EC250C" w:rsidRDefault="00335AF8" w:rsidP="00D131FA">
      <w:pPr>
        <w:pStyle w:val="Styl1"/>
      </w:pPr>
      <w:r w:rsidRPr="00EC250C">
        <w:t>Wychodząc</w:t>
      </w:r>
      <w:r w:rsidR="00992FD0" w:rsidRPr="00EC250C">
        <w:t xml:space="preserve"> z </w:t>
      </w:r>
      <w:r w:rsidRPr="00EC250C">
        <w:t>tych założeń</w:t>
      </w:r>
      <w:r w:rsidR="00992FD0" w:rsidRPr="00EC250C">
        <w:t xml:space="preserve"> w </w:t>
      </w:r>
      <w:r w:rsidRPr="00EC250C">
        <w:t>2018</w:t>
      </w:r>
      <w:r w:rsidR="00C91F6E" w:rsidRPr="00EC250C">
        <w:t> r.</w:t>
      </w:r>
      <w:r w:rsidRPr="00EC250C">
        <w:t xml:space="preserve"> Rzecznik Praw Obywatelskich gruntownie przebudował serwis </w:t>
      </w:r>
      <w:hyperlink r:id="rId20" w:history="1">
        <w:r w:rsidRPr="00EC250C">
          <w:rPr>
            <w:rStyle w:val="Hipercze"/>
          </w:rPr>
          <w:t>RPO.gov.pl</w:t>
        </w:r>
      </w:hyperlink>
      <w:r w:rsidRPr="00EC250C">
        <w:t xml:space="preserve"> – porządkując istniejące zasoby pod kątem spraw ważnych dla obywateli. Każdy może też na bieżąco przeglądać zagadnienia poruszane przez RPO</w:t>
      </w:r>
      <w:r w:rsidR="00992FD0" w:rsidRPr="00EC250C">
        <w:t xml:space="preserve"> w </w:t>
      </w:r>
      <w:r w:rsidRPr="00EC250C">
        <w:t>układzie konstytucyjnym (tzw. żywa informacja roczna), może też przeglądać te treści po typach aktywności RPO (funkcja, która została wprowadzona</w:t>
      </w:r>
      <w:r w:rsidR="00992FD0" w:rsidRPr="00EC250C">
        <w:t xml:space="preserve"> z </w:t>
      </w:r>
      <w:r w:rsidRPr="00EC250C">
        <w:t>myślą</w:t>
      </w:r>
      <w:r w:rsidR="00992FD0" w:rsidRPr="00EC250C">
        <w:t xml:space="preserve"> o</w:t>
      </w:r>
      <w:r w:rsidR="009A04A0" w:rsidRPr="00EC250C">
        <w:t> </w:t>
      </w:r>
      <w:r w:rsidRPr="00EC250C">
        <w:t>odbiorc</w:t>
      </w:r>
      <w:r w:rsidR="009A04A0" w:rsidRPr="00EC250C">
        <w:t>ach</w:t>
      </w:r>
      <w:r w:rsidRPr="00EC250C">
        <w:t>, których interesują szczegółowe kwestie prawne).</w:t>
      </w:r>
      <w:r w:rsidR="000424A4" w:rsidRPr="00EC250C">
        <w:t xml:space="preserve"> Statystyki odwiedzin na stronie wskazują, że był to dobry kierunek zmian.</w:t>
      </w:r>
    </w:p>
    <w:p w14:paraId="1E31C960" w14:textId="77777777" w:rsidR="00335AF8" w:rsidRPr="00EC250C" w:rsidRDefault="00335AF8" w:rsidP="00D131FA">
      <w:pPr>
        <w:pStyle w:val="Srdtytul6"/>
        <w:jc w:val="both"/>
      </w:pPr>
      <w:bookmarkStart w:id="820" w:name="_Portale_i_spotkania"/>
      <w:bookmarkStart w:id="821" w:name="_Toc513723486"/>
      <w:bookmarkStart w:id="822" w:name="_Toc515022540"/>
      <w:bookmarkStart w:id="823" w:name="_Toc6258022"/>
      <w:bookmarkEnd w:id="820"/>
      <w:r w:rsidRPr="00EC250C">
        <w:lastRenderedPageBreak/>
        <w:t>Działalność wydawnicza</w:t>
      </w:r>
      <w:bookmarkEnd w:id="821"/>
      <w:bookmarkEnd w:id="822"/>
      <w:bookmarkEnd w:id="823"/>
    </w:p>
    <w:p w14:paraId="77072D7B" w14:textId="77777777" w:rsidR="00335AF8" w:rsidRPr="00EC250C" w:rsidRDefault="00335AF8" w:rsidP="00D131FA">
      <w:pPr>
        <w:pStyle w:val="Styl1"/>
      </w:pPr>
      <w:r w:rsidRPr="00EC250C">
        <w:t>W 2018</w:t>
      </w:r>
      <w:r w:rsidR="00C91F6E" w:rsidRPr="00EC250C">
        <w:t> r.</w:t>
      </w:r>
      <w:r w:rsidRPr="00EC250C">
        <w:t xml:space="preserve"> ukazało się 14 publikacji książkowych oraz kilkanaście broszur informacyjnych</w:t>
      </w:r>
      <w:r w:rsidR="00992FD0" w:rsidRPr="00EC250C">
        <w:t xml:space="preserve"> w </w:t>
      </w:r>
      <w:r w:rsidRPr="00EC250C">
        <w:t>wersji papierowej oraz elektronicznej. Ich odbiorcami są uczestnicy spotkań regionalnych, organizacje pozarządowe, samorządy, ośrodki akademickie</w:t>
      </w:r>
      <w:r w:rsidR="00992FD0" w:rsidRPr="00EC250C">
        <w:t xml:space="preserve"> i </w:t>
      </w:r>
      <w:r w:rsidRPr="00EC250C">
        <w:t>oświatowe oraz media lokalne</w:t>
      </w:r>
      <w:r w:rsidR="001C54CC" w:rsidRPr="00EC250C">
        <w:t>.</w:t>
      </w:r>
    </w:p>
    <w:p w14:paraId="6968BE11" w14:textId="77777777" w:rsidR="00335AF8" w:rsidRPr="00EC250C" w:rsidRDefault="00335AF8" w:rsidP="006C70B7">
      <w:pPr>
        <w:pStyle w:val="Styl1"/>
        <w:numPr>
          <w:ilvl w:val="0"/>
          <w:numId w:val="21"/>
        </w:numPr>
        <w:ind w:left="0"/>
      </w:pPr>
      <w:r w:rsidRPr="00EC250C">
        <w:t>„Alfabet Rzecznika Praw Obywatelskich” – wznowienie</w:t>
      </w:r>
      <w:r w:rsidR="00992FD0" w:rsidRPr="00EC250C">
        <w:t xml:space="preserve"> i </w:t>
      </w:r>
      <w:r w:rsidRPr="00EC250C">
        <w:t>aktualizacja przystępnej informacji</w:t>
      </w:r>
      <w:r w:rsidR="00992FD0" w:rsidRPr="00EC250C">
        <w:t xml:space="preserve"> o </w:t>
      </w:r>
      <w:r w:rsidRPr="00EC250C">
        <w:t>działalności RPO na wybranych przykładach spraw obywateli</w:t>
      </w:r>
      <w:r w:rsidR="009A04A0" w:rsidRPr="00EC250C">
        <w:t>;</w:t>
      </w:r>
    </w:p>
    <w:p w14:paraId="72509213" w14:textId="77777777" w:rsidR="00335AF8" w:rsidRPr="00EC250C" w:rsidRDefault="00335AF8" w:rsidP="006C70B7">
      <w:pPr>
        <w:pStyle w:val="Styl1"/>
        <w:numPr>
          <w:ilvl w:val="0"/>
          <w:numId w:val="21"/>
        </w:numPr>
        <w:ind w:left="0"/>
      </w:pPr>
      <w:r w:rsidRPr="00EC250C">
        <w:t>Nasze prawa” (tekst Konstytucji, Konwencji</w:t>
      </w:r>
      <w:r w:rsidR="00992FD0" w:rsidRPr="00EC250C">
        <w:t xml:space="preserve"> o </w:t>
      </w:r>
      <w:r w:rsidRPr="00EC250C">
        <w:t>ochronie praw człowieka</w:t>
      </w:r>
      <w:r w:rsidR="00992FD0" w:rsidRPr="00EC250C">
        <w:t xml:space="preserve"> i </w:t>
      </w:r>
      <w:r w:rsidRPr="00EC250C">
        <w:t>podstawowych wolności</w:t>
      </w:r>
      <w:r w:rsidR="00992FD0" w:rsidRPr="00EC250C">
        <w:t xml:space="preserve"> i </w:t>
      </w:r>
      <w:r w:rsidRPr="00EC250C">
        <w:t>Karta Praw Podstawowych Unii Europejskiej)</w:t>
      </w:r>
      <w:r w:rsidR="009A04A0" w:rsidRPr="00EC250C">
        <w:t xml:space="preserve"> –</w:t>
      </w:r>
      <w:r w:rsidRPr="00EC250C">
        <w:t xml:space="preserve"> dodruk</w:t>
      </w:r>
      <w:r w:rsidR="009A04A0" w:rsidRPr="00EC250C">
        <w:t>;</w:t>
      </w:r>
    </w:p>
    <w:p w14:paraId="1800E56E" w14:textId="77777777" w:rsidR="00335AF8" w:rsidRPr="00EC250C" w:rsidRDefault="00335AF8" w:rsidP="006C70B7">
      <w:pPr>
        <w:pStyle w:val="Styl1"/>
        <w:numPr>
          <w:ilvl w:val="0"/>
          <w:numId w:val="21"/>
        </w:numPr>
        <w:ind w:left="0"/>
      </w:pPr>
      <w:r w:rsidRPr="00EC250C">
        <w:t>„Złota księga dobrych praktyk na rzecz Społecznego Uczestnictwa Osób Starszych” Edycje I-III.</w:t>
      </w:r>
    </w:p>
    <w:p w14:paraId="756E709E" w14:textId="77777777" w:rsidR="00335AF8" w:rsidRPr="00EC250C" w:rsidRDefault="00335AF8" w:rsidP="006C70B7">
      <w:pPr>
        <w:pStyle w:val="Styl1"/>
        <w:numPr>
          <w:ilvl w:val="0"/>
          <w:numId w:val="21"/>
        </w:numPr>
        <w:ind w:left="0"/>
      </w:pPr>
      <w:r w:rsidRPr="00EC250C">
        <w:t>„Przeciwdziałanie mobbingowi</w:t>
      </w:r>
      <w:r w:rsidR="00992FD0" w:rsidRPr="00EC250C">
        <w:t xml:space="preserve"> i </w:t>
      </w:r>
      <w:r w:rsidRPr="00EC250C">
        <w:t>dyskryminacji</w:t>
      </w:r>
      <w:r w:rsidR="00992FD0" w:rsidRPr="00EC250C">
        <w:t xml:space="preserve"> w </w:t>
      </w:r>
      <w:r w:rsidRPr="00EC250C">
        <w:t>służbach mundurowych</w:t>
      </w:r>
      <w:r w:rsidR="00026572" w:rsidRPr="00EC250C">
        <w:t xml:space="preserve"> – </w:t>
      </w:r>
      <w:r w:rsidRPr="00EC250C">
        <w:t>analiza</w:t>
      </w:r>
      <w:r w:rsidR="00992FD0" w:rsidRPr="00EC250C">
        <w:t xml:space="preserve"> i </w:t>
      </w:r>
      <w:r w:rsidRPr="00EC250C">
        <w:t>zalecenia</w:t>
      </w:r>
      <w:r w:rsidR="00BB200F" w:rsidRPr="00EC250C">
        <w:t>.”</w:t>
      </w:r>
    </w:p>
    <w:p w14:paraId="28E35E6D" w14:textId="77777777" w:rsidR="00335AF8" w:rsidRPr="00EC250C" w:rsidRDefault="00335AF8" w:rsidP="006C70B7">
      <w:pPr>
        <w:pStyle w:val="Styl1"/>
        <w:numPr>
          <w:ilvl w:val="0"/>
          <w:numId w:val="21"/>
        </w:numPr>
        <w:ind w:left="0"/>
      </w:pPr>
      <w:r w:rsidRPr="00EC250C">
        <w:t>„Doświadczenie molestowania wśród studentek</w:t>
      </w:r>
      <w:r w:rsidR="00992FD0" w:rsidRPr="00EC250C">
        <w:t xml:space="preserve"> i </w:t>
      </w:r>
      <w:r w:rsidRPr="00EC250C">
        <w:t>studentów</w:t>
      </w:r>
      <w:r w:rsidR="00026572" w:rsidRPr="00EC250C">
        <w:t xml:space="preserve"> – </w:t>
      </w:r>
      <w:r w:rsidRPr="00EC250C">
        <w:t>analiza</w:t>
      </w:r>
      <w:r w:rsidR="00992FD0" w:rsidRPr="00EC250C">
        <w:t xml:space="preserve"> i </w:t>
      </w:r>
      <w:r w:rsidRPr="00EC250C">
        <w:t>zalecenia”</w:t>
      </w:r>
      <w:r w:rsidR="009A04A0" w:rsidRPr="00EC250C">
        <w:t>;</w:t>
      </w:r>
    </w:p>
    <w:p w14:paraId="35AA4D58" w14:textId="77777777" w:rsidR="00335AF8" w:rsidRPr="00EC250C" w:rsidRDefault="00335AF8" w:rsidP="006C70B7">
      <w:pPr>
        <w:pStyle w:val="Styl1"/>
        <w:numPr>
          <w:ilvl w:val="0"/>
          <w:numId w:val="21"/>
        </w:numPr>
        <w:ind w:left="0"/>
      </w:pPr>
      <w:r w:rsidRPr="00EC250C">
        <w:t>„Równe traktowanie ze względu na wyznanie</w:t>
      </w:r>
      <w:r w:rsidR="00992FD0" w:rsidRPr="00EC250C">
        <w:t xml:space="preserve"> w </w:t>
      </w:r>
      <w:r w:rsidRPr="00EC250C">
        <w:t>zatrudnieniu</w:t>
      </w:r>
      <w:r w:rsidR="00026572" w:rsidRPr="00EC250C">
        <w:t xml:space="preserve"> – </w:t>
      </w:r>
      <w:r w:rsidRPr="00EC250C">
        <w:t>analiza</w:t>
      </w:r>
      <w:r w:rsidR="00992FD0" w:rsidRPr="00EC250C">
        <w:t xml:space="preserve"> i </w:t>
      </w:r>
      <w:r w:rsidRPr="00EC250C">
        <w:t>zalecenia</w:t>
      </w:r>
      <w:r w:rsidR="00BB200F" w:rsidRPr="00EC250C">
        <w:t>”</w:t>
      </w:r>
      <w:r w:rsidR="009A04A0" w:rsidRPr="00EC250C">
        <w:t>;</w:t>
      </w:r>
    </w:p>
    <w:p w14:paraId="61660953" w14:textId="77777777" w:rsidR="00335AF8" w:rsidRPr="00EC250C" w:rsidRDefault="00335AF8" w:rsidP="006C70B7">
      <w:pPr>
        <w:pStyle w:val="Styl1"/>
        <w:numPr>
          <w:ilvl w:val="0"/>
          <w:numId w:val="21"/>
        </w:numPr>
        <w:ind w:left="0"/>
      </w:pPr>
      <w:r w:rsidRPr="00EC250C">
        <w:t>„Prawa człowieka</w:t>
      </w:r>
      <w:r w:rsidR="00992FD0" w:rsidRPr="00EC250C">
        <w:t xml:space="preserve"> a </w:t>
      </w:r>
      <w:r w:rsidRPr="00EC250C">
        <w:t>wyzwania bioetyczne związane</w:t>
      </w:r>
      <w:r w:rsidR="00992FD0" w:rsidRPr="00EC250C">
        <w:t xml:space="preserve"> z </w:t>
      </w:r>
      <w:r w:rsidRPr="00EC250C">
        <w:t>nowymi technologiami”</w:t>
      </w:r>
      <w:r w:rsidR="009A04A0" w:rsidRPr="00EC250C">
        <w:t>;</w:t>
      </w:r>
    </w:p>
    <w:p w14:paraId="2280A59F" w14:textId="77777777" w:rsidR="00335AF8" w:rsidRPr="00EC250C" w:rsidRDefault="00335AF8" w:rsidP="006C70B7">
      <w:pPr>
        <w:pStyle w:val="Styl1"/>
        <w:numPr>
          <w:ilvl w:val="0"/>
          <w:numId w:val="21"/>
        </w:numPr>
        <w:ind w:left="0"/>
      </w:pPr>
      <w:r w:rsidRPr="00EC250C">
        <w:t>„Raport Rzecznika Praw Obywatelskich. Wolność zgromadzeń</w:t>
      </w:r>
      <w:r w:rsidR="00992FD0" w:rsidRPr="00EC250C">
        <w:t xml:space="preserve"> w </w:t>
      </w:r>
      <w:r w:rsidRPr="00EC250C">
        <w:t>Polsce</w:t>
      </w:r>
      <w:r w:rsidR="00992FD0" w:rsidRPr="00EC250C">
        <w:t xml:space="preserve"> w </w:t>
      </w:r>
      <w:r w:rsidRPr="00EC250C">
        <w:t>latach 2016-2018”</w:t>
      </w:r>
      <w:r w:rsidR="009A04A0" w:rsidRPr="00EC250C">
        <w:t>;</w:t>
      </w:r>
    </w:p>
    <w:p w14:paraId="3C5E90E4" w14:textId="77777777" w:rsidR="00335AF8" w:rsidRPr="00EC250C" w:rsidRDefault="00335AF8" w:rsidP="006C70B7">
      <w:pPr>
        <w:pStyle w:val="Styl1"/>
        <w:numPr>
          <w:ilvl w:val="0"/>
          <w:numId w:val="21"/>
        </w:numPr>
        <w:ind w:left="0"/>
      </w:pPr>
      <w:r w:rsidRPr="00EC250C">
        <w:t>„Postępowanie kontrolne prowadzone przez Rzecznika Praw Obywatelskich. Monografia”</w:t>
      </w:r>
      <w:r w:rsidR="009A04A0" w:rsidRPr="00EC250C">
        <w:t>;</w:t>
      </w:r>
    </w:p>
    <w:p w14:paraId="12E94349" w14:textId="77777777" w:rsidR="00335AF8" w:rsidRPr="00EC250C" w:rsidRDefault="00335AF8" w:rsidP="006C70B7">
      <w:pPr>
        <w:pStyle w:val="Styl1"/>
        <w:numPr>
          <w:ilvl w:val="0"/>
          <w:numId w:val="21"/>
        </w:numPr>
        <w:ind w:left="0"/>
        <w:rPr>
          <w:b/>
        </w:rPr>
      </w:pPr>
      <w:r w:rsidRPr="00EC250C">
        <w:t>Kilkanaście wyciągów tematycznych</w:t>
      </w:r>
      <w:r w:rsidR="00992FD0" w:rsidRPr="00EC250C">
        <w:t xml:space="preserve"> z </w:t>
      </w:r>
      <w:r w:rsidRPr="00EC250C">
        <w:t>Informacji Rocznej, np. prawa osób</w:t>
      </w:r>
      <w:r w:rsidR="00992FD0" w:rsidRPr="00EC250C">
        <w:t xml:space="preserve"> z </w:t>
      </w:r>
      <w:r w:rsidRPr="00EC250C">
        <w:t>niepełnosprawnościami</w:t>
      </w:r>
      <w:r w:rsidR="00992FD0" w:rsidRPr="00EC250C">
        <w:t xml:space="preserve"> w </w:t>
      </w:r>
      <w:r w:rsidRPr="00EC250C">
        <w:t>działalności RPO</w:t>
      </w:r>
      <w:r w:rsidR="009A04A0" w:rsidRPr="00EC250C">
        <w:t>;</w:t>
      </w:r>
    </w:p>
    <w:p w14:paraId="19C713CD" w14:textId="77777777" w:rsidR="001C54CC" w:rsidRPr="00EC250C" w:rsidRDefault="001C54CC" w:rsidP="006C70B7">
      <w:pPr>
        <w:pStyle w:val="Styl1"/>
        <w:numPr>
          <w:ilvl w:val="0"/>
          <w:numId w:val="21"/>
        </w:numPr>
        <w:ind w:left="0"/>
      </w:pPr>
      <w:r w:rsidRPr="00EC250C">
        <w:t>Informacja</w:t>
      </w:r>
      <w:r w:rsidR="00992FD0" w:rsidRPr="00EC250C">
        <w:t xml:space="preserve"> o </w:t>
      </w:r>
      <w:r w:rsidRPr="00EC250C">
        <w:t>stanie przestrzegania wolności</w:t>
      </w:r>
      <w:r w:rsidR="00992FD0" w:rsidRPr="00EC250C">
        <w:t xml:space="preserve"> i </w:t>
      </w:r>
      <w:r w:rsidRPr="00EC250C">
        <w:t>praw człowieka</w:t>
      </w:r>
      <w:r w:rsidR="00992FD0" w:rsidRPr="00EC250C">
        <w:t xml:space="preserve"> i </w:t>
      </w:r>
      <w:r w:rsidRPr="00EC250C">
        <w:t>obywatela</w:t>
      </w:r>
      <w:r w:rsidR="00992FD0" w:rsidRPr="00EC250C">
        <w:t xml:space="preserve"> w </w:t>
      </w:r>
      <w:r w:rsidRPr="00EC250C">
        <w:t>2017</w:t>
      </w:r>
      <w:r w:rsidR="00C91F6E" w:rsidRPr="00EC250C">
        <w:t> r.</w:t>
      </w:r>
      <w:r w:rsidRPr="00EC250C">
        <w:t xml:space="preserve"> oraz</w:t>
      </w:r>
      <w:r w:rsidR="00992FD0" w:rsidRPr="00EC250C">
        <w:t xml:space="preserve"> o </w:t>
      </w:r>
      <w:r w:rsidRPr="00EC250C">
        <w:t>działalności Rzecznika Praw Obywatelskich (także</w:t>
      </w:r>
      <w:r w:rsidR="00992FD0" w:rsidRPr="00EC250C">
        <w:t xml:space="preserve"> w </w:t>
      </w:r>
      <w:r w:rsidRPr="00EC250C">
        <w:t>syntetycznej wersji angielskiej</w:t>
      </w:r>
      <w:r w:rsidR="00026572" w:rsidRPr="00EC250C">
        <w:t xml:space="preserve"> – </w:t>
      </w:r>
      <w:r w:rsidRPr="00EC250C">
        <w:t>„Summary of the Report on the Activity of the Commissioner for Human Rights/Ombudsman in 2017, with Comments on the Observance of Human and Civil Rights and Freedoms)</w:t>
      </w:r>
      <w:r w:rsidR="009A04A0" w:rsidRPr="00EC250C">
        <w:t>;</w:t>
      </w:r>
    </w:p>
    <w:p w14:paraId="054F4F81" w14:textId="77777777" w:rsidR="00335AF8" w:rsidRPr="00EC250C" w:rsidRDefault="001C54CC" w:rsidP="006C70B7">
      <w:pPr>
        <w:pStyle w:val="Styl1"/>
        <w:numPr>
          <w:ilvl w:val="0"/>
          <w:numId w:val="21"/>
        </w:numPr>
        <w:ind w:left="0"/>
      </w:pPr>
      <w:r w:rsidRPr="00EC250C">
        <w:t xml:space="preserve"> </w:t>
      </w:r>
      <w:r w:rsidR="00335AF8" w:rsidRPr="00EC250C">
        <w:t>„Informacja</w:t>
      </w:r>
      <w:r w:rsidR="00992FD0" w:rsidRPr="00EC250C">
        <w:t xml:space="preserve"> o </w:t>
      </w:r>
      <w:r w:rsidR="00335AF8" w:rsidRPr="00EC250C">
        <w:t>działalności Rzecznika Praw Obywatelskich</w:t>
      </w:r>
      <w:r w:rsidR="00992FD0" w:rsidRPr="00EC250C">
        <w:t xml:space="preserve"> w </w:t>
      </w:r>
      <w:r w:rsidR="00335AF8" w:rsidRPr="00EC250C">
        <w:t>obszarze równego traktowania</w:t>
      </w:r>
      <w:r w:rsidR="00992FD0" w:rsidRPr="00EC250C">
        <w:t xml:space="preserve"> w </w:t>
      </w:r>
      <w:r w:rsidR="00335AF8" w:rsidRPr="00EC250C">
        <w:t>roku 2017 oraz</w:t>
      </w:r>
      <w:r w:rsidR="00992FD0" w:rsidRPr="00EC250C">
        <w:t xml:space="preserve"> o </w:t>
      </w:r>
      <w:r w:rsidR="00335AF8" w:rsidRPr="00EC250C">
        <w:t>przestrzeganiu zasady równego traktowania</w:t>
      </w:r>
      <w:r w:rsidR="00992FD0" w:rsidRPr="00EC250C">
        <w:t xml:space="preserve"> w </w:t>
      </w:r>
      <w:r w:rsidR="00335AF8" w:rsidRPr="00EC250C">
        <w:t>Rzeczypospolitej Polskiej, również</w:t>
      </w:r>
      <w:r w:rsidR="00992FD0" w:rsidRPr="00EC250C">
        <w:t xml:space="preserve"> w </w:t>
      </w:r>
      <w:r w:rsidR="00335AF8" w:rsidRPr="00EC250C">
        <w:t>wersji angielskiej</w:t>
      </w:r>
      <w:r w:rsidR="009A04A0" w:rsidRPr="00EC250C">
        <w:t>;</w:t>
      </w:r>
    </w:p>
    <w:p w14:paraId="4EA9CBE6" w14:textId="77777777" w:rsidR="00335AF8" w:rsidRPr="00EC250C" w:rsidRDefault="00335AF8" w:rsidP="006C70B7">
      <w:pPr>
        <w:pStyle w:val="Styl1"/>
        <w:numPr>
          <w:ilvl w:val="0"/>
          <w:numId w:val="21"/>
        </w:numPr>
        <w:ind w:left="0"/>
      </w:pPr>
      <w:r w:rsidRPr="00EC250C">
        <w:t>Raport RPO</w:t>
      </w:r>
      <w:r w:rsidR="00992FD0" w:rsidRPr="00EC250C">
        <w:t xml:space="preserve"> z </w:t>
      </w:r>
      <w:r w:rsidRPr="00EC250C">
        <w:t>działalności</w:t>
      </w:r>
      <w:r w:rsidR="00992FD0" w:rsidRPr="00EC250C">
        <w:t xml:space="preserve"> w </w:t>
      </w:r>
      <w:r w:rsidRPr="00EC250C">
        <w:t>Polsce Krajowego Mechanizmu Prewencji Tortur</w:t>
      </w:r>
      <w:r w:rsidR="00992FD0" w:rsidRPr="00EC250C">
        <w:t xml:space="preserve"> w </w:t>
      </w:r>
      <w:r w:rsidRPr="00EC250C">
        <w:t>roku 2017</w:t>
      </w:r>
      <w:bookmarkStart w:id="824" w:name="_Toc513723489"/>
      <w:bookmarkStart w:id="825" w:name="_Toc515022543"/>
      <w:r w:rsidR="009A04A0" w:rsidRPr="00EC250C">
        <w:t>;</w:t>
      </w:r>
    </w:p>
    <w:p w14:paraId="63000DB2" w14:textId="77777777" w:rsidR="00335AF8" w:rsidRPr="00EC250C" w:rsidRDefault="00335AF8" w:rsidP="006C70B7">
      <w:pPr>
        <w:pStyle w:val="Styl1"/>
        <w:numPr>
          <w:ilvl w:val="0"/>
          <w:numId w:val="21"/>
        </w:numPr>
        <w:ind w:left="0"/>
      </w:pPr>
      <w:r w:rsidRPr="00EC250C">
        <w:t>Raport RPO</w:t>
      </w:r>
      <w:r w:rsidR="00992FD0" w:rsidRPr="00EC250C">
        <w:t xml:space="preserve"> z </w:t>
      </w:r>
      <w:r w:rsidRPr="00EC250C">
        <w:t>działalności</w:t>
      </w:r>
      <w:r w:rsidR="00992FD0" w:rsidRPr="00EC250C">
        <w:t xml:space="preserve"> w </w:t>
      </w:r>
      <w:r w:rsidRPr="00EC250C">
        <w:t>Polsce Krajowego Mechanizmu Prewencji</w:t>
      </w:r>
      <w:r w:rsidR="00992FD0" w:rsidRPr="00EC250C">
        <w:t xml:space="preserve"> w </w:t>
      </w:r>
      <w:r w:rsidRPr="00EC250C">
        <w:t>roku 2017 wersja</w:t>
      </w:r>
      <w:r w:rsidR="00992FD0" w:rsidRPr="00EC250C">
        <w:t xml:space="preserve"> w </w:t>
      </w:r>
      <w:r w:rsidRPr="00EC250C">
        <w:t>j.</w:t>
      </w:r>
      <w:r w:rsidR="009A04A0" w:rsidRPr="00EC250C">
        <w:t> </w:t>
      </w:r>
      <w:r w:rsidRPr="00EC250C">
        <w:t>angielskim</w:t>
      </w:r>
      <w:r w:rsidR="00026572" w:rsidRPr="00EC250C">
        <w:t xml:space="preserve"> – </w:t>
      </w:r>
      <w:r w:rsidRPr="00EC250C">
        <w:t>wydanie</w:t>
      </w:r>
      <w:r w:rsidR="00992FD0" w:rsidRPr="00EC250C">
        <w:t xml:space="preserve"> w </w:t>
      </w:r>
      <w:r w:rsidRPr="00EC250C">
        <w:t>wersji elektronicznej.</w:t>
      </w:r>
    </w:p>
    <w:p w14:paraId="141A4906" w14:textId="77777777" w:rsidR="00192982" w:rsidRPr="00EC250C" w:rsidRDefault="00192982" w:rsidP="00EC79EB">
      <w:pPr>
        <w:pStyle w:val="Nagwek4"/>
      </w:pPr>
      <w:bookmarkStart w:id="826" w:name="_Toc11247877"/>
      <w:bookmarkEnd w:id="824"/>
      <w:bookmarkEnd w:id="825"/>
      <w:r w:rsidRPr="00EC250C">
        <w:t>II Ogólnopolski Kongres Praw Obywatelskich 14-15 grudnia 2018</w:t>
      </w:r>
      <w:r w:rsidR="00C91F6E" w:rsidRPr="00EC250C">
        <w:t> </w:t>
      </w:r>
      <w:r w:rsidR="00C91F6E" w:rsidRPr="00EC250C">
        <w:rPr>
          <w:rFonts w:hint="eastAsia"/>
        </w:rPr>
        <w:t>r.</w:t>
      </w:r>
      <w:bookmarkEnd w:id="826"/>
    </w:p>
    <w:p w14:paraId="4F70191C" w14:textId="77777777" w:rsidR="00B473F5" w:rsidRPr="00EC250C" w:rsidRDefault="00192982" w:rsidP="00D131FA">
      <w:pPr>
        <w:pStyle w:val="Problemczowieka"/>
        <w:jc w:val="both"/>
      </w:pPr>
      <w:r w:rsidRPr="00EC250C">
        <w:t>Inicjatywą wyrosłą ze spotkań regionalnych</w:t>
      </w:r>
      <w:r w:rsidR="00992FD0" w:rsidRPr="00EC250C">
        <w:t xml:space="preserve"> i </w:t>
      </w:r>
      <w:r w:rsidRPr="00EC250C">
        <w:t>doświadczenia Wielkodusznej Polski jest Kongres Praw Obywatelskich – wielkie obywatelskie spotkanie, które</w:t>
      </w:r>
      <w:r w:rsidR="00992FD0" w:rsidRPr="00EC250C">
        <w:t xml:space="preserve"> w </w:t>
      </w:r>
      <w:r w:rsidRPr="00EC250C">
        <w:t>2018</w:t>
      </w:r>
      <w:r w:rsidR="00C91F6E" w:rsidRPr="00EC250C">
        <w:t> r.</w:t>
      </w:r>
      <w:r w:rsidRPr="00EC250C">
        <w:t xml:space="preserve"> odbyło się po raz drugi,</w:t>
      </w:r>
      <w:r w:rsidR="00992FD0" w:rsidRPr="00EC250C">
        <w:t xml:space="preserve"> w </w:t>
      </w:r>
      <w:r w:rsidRPr="00EC250C">
        <w:t>dniach 14-15 grudnia 2018</w:t>
      </w:r>
      <w:r w:rsidR="00C91F6E" w:rsidRPr="00EC250C">
        <w:t> r.</w:t>
      </w:r>
      <w:r w:rsidR="00992FD0" w:rsidRPr="00EC250C">
        <w:t xml:space="preserve"> w </w:t>
      </w:r>
      <w:r w:rsidRPr="00EC250C">
        <w:t>Warszawie</w:t>
      </w:r>
      <w:r w:rsidR="00B473F5" w:rsidRPr="00EC250C">
        <w:t>.</w:t>
      </w:r>
    </w:p>
    <w:p w14:paraId="1A802E47" w14:textId="77777777" w:rsidR="00192982" w:rsidRPr="00EC250C" w:rsidRDefault="00192982" w:rsidP="00D131FA">
      <w:pPr>
        <w:pStyle w:val="Styl1"/>
      </w:pPr>
      <w:r w:rsidRPr="00EC250C">
        <w:lastRenderedPageBreak/>
        <w:t>Wzięło</w:t>
      </w:r>
      <w:r w:rsidR="00992FD0" w:rsidRPr="00EC250C">
        <w:t xml:space="preserve"> w </w:t>
      </w:r>
      <w:r w:rsidRPr="00EC250C">
        <w:t>nim udział ponad 1700 gości</w:t>
      </w:r>
      <w:r w:rsidR="00992FD0" w:rsidRPr="00EC250C">
        <w:t xml:space="preserve"> z </w:t>
      </w:r>
      <w:r w:rsidRPr="00EC250C">
        <w:t>całego kraju,</w:t>
      </w:r>
      <w:r w:rsidR="00992FD0" w:rsidRPr="00EC250C">
        <w:t xml:space="preserve"> a </w:t>
      </w:r>
      <w:r w:rsidRPr="00EC250C">
        <w:t>także</w:t>
      </w:r>
      <w:r w:rsidR="00992FD0" w:rsidRPr="00EC250C">
        <w:t xml:space="preserve"> z </w:t>
      </w:r>
      <w:r w:rsidRPr="00EC250C">
        <w:t>zagranicy. Uczestniczyli oni</w:t>
      </w:r>
      <w:r w:rsidR="00992FD0" w:rsidRPr="00EC250C">
        <w:t xml:space="preserve"> w </w:t>
      </w:r>
      <w:r w:rsidRPr="00EC250C">
        <w:t>43 panelach dyskusyjnych, zorganizowanych we współpracy</w:t>
      </w:r>
      <w:r w:rsidR="00992FD0" w:rsidRPr="00EC250C">
        <w:t xml:space="preserve"> z </w:t>
      </w:r>
      <w:r w:rsidRPr="00EC250C">
        <w:t>wiodącymi organizacjami pozarządowymi. Głos zabrało 200 panelistów,</w:t>
      </w:r>
      <w:r w:rsidR="00992FD0" w:rsidRPr="00EC250C">
        <w:t xml:space="preserve"> a </w:t>
      </w:r>
      <w:r w:rsidRPr="00EC250C">
        <w:t>także liczni przedstawiciele publiczności.</w:t>
      </w:r>
    </w:p>
    <w:p w14:paraId="427C0ADF" w14:textId="77777777" w:rsidR="00C91F6E" w:rsidRPr="00EC250C" w:rsidRDefault="00192982" w:rsidP="00D131FA">
      <w:pPr>
        <w:pStyle w:val="Styl1"/>
        <w:rPr>
          <w:b/>
        </w:rPr>
      </w:pPr>
      <w:r w:rsidRPr="00EC250C">
        <w:rPr>
          <w:b/>
        </w:rPr>
        <w:t>Program Kongresu skupiał się wokół czterech bloków tematycznych:</w:t>
      </w:r>
    </w:p>
    <w:p w14:paraId="2BB9E5E1" w14:textId="77777777" w:rsidR="00C91F6E" w:rsidRPr="00EC250C" w:rsidRDefault="00192982" w:rsidP="006C70B7">
      <w:pPr>
        <w:pStyle w:val="Styl1"/>
        <w:numPr>
          <w:ilvl w:val="0"/>
          <w:numId w:val="129"/>
        </w:numPr>
        <w:spacing w:line="240" w:lineRule="auto"/>
        <w:rPr>
          <w:b/>
        </w:rPr>
      </w:pPr>
      <w:r w:rsidRPr="00EC250C">
        <w:rPr>
          <w:b/>
        </w:rPr>
        <w:t>Kryzys praworządności</w:t>
      </w:r>
      <w:r w:rsidR="00992FD0" w:rsidRPr="00EC250C">
        <w:rPr>
          <w:b/>
        </w:rPr>
        <w:t xml:space="preserve"> w </w:t>
      </w:r>
      <w:r w:rsidRPr="00EC250C">
        <w:rPr>
          <w:b/>
        </w:rPr>
        <w:t>Polsce;</w:t>
      </w:r>
    </w:p>
    <w:p w14:paraId="15B4AC8D" w14:textId="77777777" w:rsidR="00C91F6E" w:rsidRPr="00EC250C" w:rsidRDefault="00192982" w:rsidP="006C70B7">
      <w:pPr>
        <w:pStyle w:val="Styl1"/>
        <w:numPr>
          <w:ilvl w:val="0"/>
          <w:numId w:val="129"/>
        </w:numPr>
        <w:spacing w:line="240" w:lineRule="auto"/>
        <w:rPr>
          <w:b/>
        </w:rPr>
      </w:pPr>
      <w:r w:rsidRPr="00EC250C">
        <w:rPr>
          <w:b/>
        </w:rPr>
        <w:t>Równość – lekcja</w:t>
      </w:r>
      <w:r w:rsidR="00992FD0" w:rsidRPr="00EC250C">
        <w:rPr>
          <w:b/>
        </w:rPr>
        <w:t xml:space="preserve"> z </w:t>
      </w:r>
      <w:r w:rsidRPr="00EC250C">
        <w:rPr>
          <w:b/>
        </w:rPr>
        <w:t>historii;</w:t>
      </w:r>
    </w:p>
    <w:p w14:paraId="4F4C5F75" w14:textId="77777777" w:rsidR="00C91F6E" w:rsidRPr="00EC250C" w:rsidRDefault="00192982" w:rsidP="006C70B7">
      <w:pPr>
        <w:pStyle w:val="Styl1"/>
        <w:numPr>
          <w:ilvl w:val="0"/>
          <w:numId w:val="129"/>
        </w:numPr>
        <w:spacing w:line="240" w:lineRule="auto"/>
        <w:rPr>
          <w:b/>
        </w:rPr>
      </w:pPr>
      <w:r w:rsidRPr="00EC250C">
        <w:rPr>
          <w:b/>
        </w:rPr>
        <w:t>Biorąc prawo poważnie;</w:t>
      </w:r>
    </w:p>
    <w:p w14:paraId="3FF6FB39" w14:textId="77777777" w:rsidR="00C91F6E" w:rsidRPr="00EC250C" w:rsidRDefault="00192982" w:rsidP="006C70B7">
      <w:pPr>
        <w:pStyle w:val="Styl1"/>
        <w:numPr>
          <w:ilvl w:val="0"/>
          <w:numId w:val="129"/>
        </w:numPr>
        <w:spacing w:line="240" w:lineRule="auto"/>
        <w:rPr>
          <w:b/>
        </w:rPr>
      </w:pPr>
      <w:r w:rsidRPr="00EC250C">
        <w:rPr>
          <w:b/>
        </w:rPr>
        <w:t>Efektywność wymiaru sprawiedliwości.</w:t>
      </w:r>
    </w:p>
    <w:p w14:paraId="01108CE2" w14:textId="77777777" w:rsidR="00192982" w:rsidRPr="00EC250C" w:rsidRDefault="00192982" w:rsidP="00D131FA">
      <w:pPr>
        <w:pStyle w:val="Styl1"/>
      </w:pPr>
      <w:r w:rsidRPr="00EC250C">
        <w:t>Podsumowując dwudniowe obrady rzecznik praw obywatelskich Adam Bodnar podkreślił, że</w:t>
      </w:r>
      <w:r w:rsidR="00992FD0" w:rsidRPr="00EC250C">
        <w:t xml:space="preserve"> o </w:t>
      </w:r>
      <w:r w:rsidRPr="00EC250C">
        <w:t>ile pierwszy Kongres</w:t>
      </w:r>
      <w:r w:rsidR="00992FD0" w:rsidRPr="00EC250C">
        <w:t xml:space="preserve"> w </w:t>
      </w:r>
      <w:r w:rsidRPr="00EC250C">
        <w:t>2017 roku miał charakter diagnostyczny, służył rozpoznaniu wielu istotnych zjawisk społecznych</w:t>
      </w:r>
      <w:r w:rsidR="00992FD0" w:rsidRPr="00EC250C">
        <w:t xml:space="preserve"> i </w:t>
      </w:r>
      <w:r w:rsidRPr="00EC250C">
        <w:t>prawnych, to II Kongres zmierzał do programowania przyszłości, szukania rozwiązań</w:t>
      </w:r>
      <w:r w:rsidR="00992FD0" w:rsidRPr="00EC250C">
        <w:t xml:space="preserve"> i </w:t>
      </w:r>
      <w:r w:rsidRPr="00EC250C">
        <w:t>wskazywania działań, które wydają się niezbędne dla ochrony praw obywatelskich</w:t>
      </w:r>
      <w:r w:rsidRPr="00EC250C">
        <w:rPr>
          <w:rStyle w:val="Odwoanieprzypisudolnego"/>
        </w:rPr>
        <w:footnoteReference w:id="834"/>
      </w:r>
      <w:r w:rsidRPr="00EC250C">
        <w:t>.</w:t>
      </w:r>
    </w:p>
    <w:p w14:paraId="72F95F0A" w14:textId="77777777" w:rsidR="00192982" w:rsidRPr="00EC250C" w:rsidRDefault="00192982" w:rsidP="00EC250C">
      <w:pPr>
        <w:pStyle w:val="Nagwek5"/>
      </w:pPr>
      <w:bookmarkStart w:id="827" w:name="_Toc6258047"/>
      <w:r w:rsidRPr="00EC250C">
        <w:t>Wnioski</w:t>
      </w:r>
      <w:r w:rsidR="00992FD0" w:rsidRPr="00EC250C">
        <w:t xml:space="preserve"> i </w:t>
      </w:r>
      <w:r w:rsidRPr="00EC250C">
        <w:t>rekomendacje</w:t>
      </w:r>
      <w:bookmarkEnd w:id="827"/>
    </w:p>
    <w:p w14:paraId="63BFF187" w14:textId="77777777" w:rsidR="00B473F5" w:rsidRPr="00EC250C" w:rsidRDefault="00192982" w:rsidP="00D131FA">
      <w:pPr>
        <w:pStyle w:val="Problemczowieka"/>
        <w:jc w:val="both"/>
      </w:pPr>
      <w:r w:rsidRPr="00EC250C">
        <w:t>Jedną</w:t>
      </w:r>
      <w:r w:rsidR="00992FD0" w:rsidRPr="00EC250C">
        <w:t xml:space="preserve"> z </w:t>
      </w:r>
      <w:r w:rsidRPr="00EC250C">
        <w:t xml:space="preserve">najważniejszych konkluzji kongresowych dyskusji jest </w:t>
      </w:r>
      <w:r w:rsidRPr="00EC250C">
        <w:rPr>
          <w:rFonts w:eastAsia="Verdana"/>
        </w:rPr>
        <w:t xml:space="preserve">potrzeba </w:t>
      </w:r>
      <w:r w:rsidRPr="00EC250C">
        <w:t>rozbudzania świadomości konstytucyjnej obywateli. W tym również wśród sędziów, ludzi nauki</w:t>
      </w:r>
      <w:r w:rsidR="00992FD0" w:rsidRPr="00EC250C">
        <w:t xml:space="preserve"> i </w:t>
      </w:r>
      <w:r w:rsidRPr="00EC250C">
        <w:t>mediów, środowisk opiniotwórczych. Związane jest to</w:t>
      </w:r>
      <w:r w:rsidR="00992FD0" w:rsidRPr="00EC250C">
        <w:t xml:space="preserve"> z </w:t>
      </w:r>
      <w:r w:rsidRPr="00EC250C">
        <w:t>aktualnym kryzysem ustrojowym</w:t>
      </w:r>
      <w:r w:rsidR="00992FD0" w:rsidRPr="00EC250C">
        <w:t xml:space="preserve"> i </w:t>
      </w:r>
      <w:r w:rsidRPr="00EC250C">
        <w:t>zaburzeniami ładu konstytucyjnego</w:t>
      </w:r>
      <w:r w:rsidR="00992FD0" w:rsidRPr="00EC250C">
        <w:t xml:space="preserve"> w </w:t>
      </w:r>
      <w:r w:rsidRPr="00EC250C">
        <w:t>kraju,</w:t>
      </w:r>
      <w:r w:rsidR="00992FD0" w:rsidRPr="00EC250C">
        <w:t xml:space="preserve"> a </w:t>
      </w:r>
      <w:r w:rsidRPr="00EC250C">
        <w:t>co za tym idzie, rosnącym zamętem</w:t>
      </w:r>
      <w:r w:rsidR="00992FD0" w:rsidRPr="00EC250C">
        <w:t xml:space="preserve"> i </w:t>
      </w:r>
      <w:r w:rsidRPr="00EC250C">
        <w:t>niepewnością co do roli</w:t>
      </w:r>
      <w:r w:rsidR="00992FD0" w:rsidRPr="00EC250C">
        <w:t xml:space="preserve"> i </w:t>
      </w:r>
      <w:r w:rsidRPr="00EC250C">
        <w:t>kompetencji niektórych organów państwa</w:t>
      </w:r>
      <w:r w:rsidR="00B473F5" w:rsidRPr="00EC250C">
        <w:t>.</w:t>
      </w:r>
    </w:p>
    <w:p w14:paraId="55A1A6D4" w14:textId="77777777" w:rsidR="00192982" w:rsidRPr="00EC250C" w:rsidRDefault="00192982" w:rsidP="00D131FA">
      <w:pPr>
        <w:pStyle w:val="Styl1"/>
      </w:pPr>
      <w:r w:rsidRPr="00EC250C">
        <w:t>Zahamowanie</w:t>
      </w:r>
      <w:r w:rsidR="00992FD0" w:rsidRPr="00EC250C">
        <w:t xml:space="preserve"> i </w:t>
      </w:r>
      <w:r w:rsidRPr="00EC250C">
        <w:t>odwrócenie tej tendencji zależy</w:t>
      </w:r>
      <w:r w:rsidR="00992FD0" w:rsidRPr="00EC250C">
        <w:t xml:space="preserve"> w </w:t>
      </w:r>
      <w:r w:rsidRPr="00EC250C">
        <w:t>głównej mierze od aktywności społeczeństwa obywatelskiego. Od tego, czy na co dzień obywatele będą dostrzegać zagrożenia, utożsamiać się</w:t>
      </w:r>
      <w:r w:rsidR="00992FD0" w:rsidRPr="00EC250C">
        <w:t xml:space="preserve"> z </w:t>
      </w:r>
      <w:r w:rsidRPr="00EC250C">
        <w:t>wartościami konstytucyjnymi oraz czy</w:t>
      </w:r>
      <w:r w:rsidR="00992FD0" w:rsidRPr="00EC250C">
        <w:t xml:space="preserve"> w </w:t>
      </w:r>
      <w:r w:rsidRPr="00EC250C">
        <w:t>relacjach</w:t>
      </w:r>
      <w:r w:rsidR="00992FD0" w:rsidRPr="00EC250C">
        <w:t xml:space="preserve"> z </w:t>
      </w:r>
      <w:r w:rsidRPr="00EC250C">
        <w:t>władzą będą potrafili bronić swoich konstytucyjnych praw</w:t>
      </w:r>
      <w:r w:rsidR="00992FD0" w:rsidRPr="00EC250C">
        <w:t xml:space="preserve"> i </w:t>
      </w:r>
      <w:r w:rsidRPr="00EC250C">
        <w:t>wolności.</w:t>
      </w:r>
    </w:p>
    <w:p w14:paraId="3589E43D" w14:textId="77777777" w:rsidR="00192982" w:rsidRPr="00EC250C" w:rsidRDefault="00192982" w:rsidP="00D131FA">
      <w:pPr>
        <w:pStyle w:val="Styl1"/>
      </w:pPr>
      <w:r w:rsidRPr="00EC250C">
        <w:t>Ogromnie ważna jest również świadomość prawna na poziomie europejskim. Zwłaszcza obecnie, gdy nasilają się spory dotyczące sposobu funkcjonowania Unii Europejskiej oraz jakości uczestnictwa naszego kraju</w:t>
      </w:r>
      <w:r w:rsidR="00992FD0" w:rsidRPr="00EC250C">
        <w:t xml:space="preserve"> w </w:t>
      </w:r>
      <w:r w:rsidRPr="00EC250C">
        <w:t xml:space="preserve">tej wspólnocie. </w:t>
      </w:r>
      <w:r w:rsidRPr="00EC250C">
        <w:rPr>
          <w:rStyle w:val="Styl1Znak"/>
        </w:rPr>
        <w:t>Musimy umacniać wśród obywateli przekonanie, że europejskie prawo</w:t>
      </w:r>
      <w:r w:rsidR="00992FD0" w:rsidRPr="00EC250C">
        <w:rPr>
          <w:rStyle w:val="Styl1Znak"/>
        </w:rPr>
        <w:t xml:space="preserve"> i </w:t>
      </w:r>
      <w:r w:rsidRPr="00EC250C">
        <w:rPr>
          <w:rStyle w:val="Styl1Znak"/>
        </w:rPr>
        <w:t>europejskie instytucje</w:t>
      </w:r>
      <w:r w:rsidR="00026572" w:rsidRPr="00EC250C">
        <w:rPr>
          <w:rStyle w:val="Styl1Znak"/>
        </w:rPr>
        <w:t xml:space="preserve"> – </w:t>
      </w:r>
      <w:r w:rsidRPr="00EC250C">
        <w:rPr>
          <w:rStyle w:val="Styl1Znak"/>
        </w:rPr>
        <w:t>takie jak np. Trybunał Sprawiedliwości UE czy Europejski Trybunał Praw Człowieka</w:t>
      </w:r>
      <w:r w:rsidR="00026572" w:rsidRPr="00EC250C">
        <w:rPr>
          <w:rStyle w:val="Styl1Znak"/>
        </w:rPr>
        <w:t xml:space="preserve"> – </w:t>
      </w:r>
      <w:r w:rsidRPr="00EC250C">
        <w:rPr>
          <w:rStyle w:val="Styl1Znak"/>
        </w:rPr>
        <w:t xml:space="preserve">dobrze służą Polakom. </w:t>
      </w:r>
      <w:r w:rsidRPr="00EC250C">
        <w:t>Każdy obywatel może</w:t>
      </w:r>
      <w:r w:rsidR="00992FD0" w:rsidRPr="00EC250C">
        <w:t xml:space="preserve"> z </w:t>
      </w:r>
      <w:r w:rsidRPr="00EC250C">
        <w:t>nich korzystać, każdy może dochodzić przed nimi sprawiedliwości</w:t>
      </w:r>
      <w:r w:rsidR="00992FD0" w:rsidRPr="00EC250C">
        <w:t xml:space="preserve"> i </w:t>
      </w:r>
      <w:r w:rsidRPr="00EC250C">
        <w:t>bronić swoich interesów.</w:t>
      </w:r>
    </w:p>
    <w:p w14:paraId="0605CE1B" w14:textId="77777777" w:rsidR="00192982" w:rsidRPr="00EC250C" w:rsidRDefault="00192982" w:rsidP="00D131FA">
      <w:pPr>
        <w:pStyle w:val="Styl1"/>
      </w:pPr>
      <w:r w:rsidRPr="00EC250C">
        <w:t xml:space="preserve">Uczestnicy Kongresu wskazali też na </w:t>
      </w:r>
      <w:r w:rsidRPr="00EC250C">
        <w:rPr>
          <w:rStyle w:val="Styl1Znak"/>
        </w:rPr>
        <w:t>konieczność zmian</w:t>
      </w:r>
      <w:r w:rsidR="00992FD0" w:rsidRPr="00EC250C">
        <w:rPr>
          <w:rStyle w:val="Styl1Znak"/>
        </w:rPr>
        <w:t xml:space="preserve"> w </w:t>
      </w:r>
      <w:r w:rsidRPr="00EC250C">
        <w:rPr>
          <w:rStyle w:val="Styl1Znak"/>
        </w:rPr>
        <w:t>edukacji historycznej</w:t>
      </w:r>
      <w:r w:rsidR="00992FD0" w:rsidRPr="00EC250C">
        <w:rPr>
          <w:rStyle w:val="Styl1Znak"/>
        </w:rPr>
        <w:t xml:space="preserve"> i </w:t>
      </w:r>
      <w:r w:rsidRPr="00EC250C">
        <w:rPr>
          <w:rStyle w:val="Styl1Znak"/>
        </w:rPr>
        <w:t>obywatelskiej, tak aby dopuszczała ona dialog</w:t>
      </w:r>
      <w:r w:rsidR="00992FD0" w:rsidRPr="00EC250C">
        <w:rPr>
          <w:rStyle w:val="Styl1Znak"/>
        </w:rPr>
        <w:t xml:space="preserve"> i </w:t>
      </w:r>
      <w:r w:rsidRPr="00EC250C">
        <w:rPr>
          <w:rStyle w:val="Styl1Znak"/>
        </w:rPr>
        <w:t>różnorodność punktów widzenia, prowadzona była</w:t>
      </w:r>
      <w:r w:rsidR="00992FD0" w:rsidRPr="00EC250C">
        <w:rPr>
          <w:rStyle w:val="Styl1Znak"/>
        </w:rPr>
        <w:t xml:space="preserve"> w </w:t>
      </w:r>
      <w:r w:rsidRPr="00EC250C">
        <w:rPr>
          <w:rStyle w:val="Styl1Znak"/>
        </w:rPr>
        <w:t>sposób pogłębiony</w:t>
      </w:r>
      <w:r w:rsidR="00992FD0" w:rsidRPr="00EC250C">
        <w:rPr>
          <w:rStyle w:val="Styl1Znak"/>
        </w:rPr>
        <w:t xml:space="preserve"> i z </w:t>
      </w:r>
      <w:r w:rsidRPr="00EC250C">
        <w:rPr>
          <w:rStyle w:val="Styl1Znak"/>
        </w:rPr>
        <w:t xml:space="preserve">większym poczuciem odpowiedzialności. </w:t>
      </w:r>
      <w:r w:rsidRPr="00EC250C">
        <w:t>Nie można dostosowywać procesu edukacji do chwilowych potrzeb czy doraźnych celów politycznych. Po 100 latach od odzyskania niepodległości Polacy zasługują na poważną</w:t>
      </w:r>
      <w:r w:rsidR="00992FD0" w:rsidRPr="00EC250C">
        <w:t xml:space="preserve"> i </w:t>
      </w:r>
      <w:r w:rsidRPr="00EC250C">
        <w:t>pogłębioną debatę</w:t>
      </w:r>
      <w:r w:rsidR="00992FD0" w:rsidRPr="00EC250C">
        <w:t xml:space="preserve"> o </w:t>
      </w:r>
      <w:r w:rsidRPr="00EC250C">
        <w:t>tym, co jest rzeczywistym źródłem siły państwa</w:t>
      </w:r>
      <w:r w:rsidR="00992FD0" w:rsidRPr="00EC250C">
        <w:t xml:space="preserve"> i </w:t>
      </w:r>
      <w:r w:rsidRPr="00EC250C">
        <w:t>społeczeństwa oraz jaką rolę</w:t>
      </w:r>
      <w:r w:rsidR="00992FD0" w:rsidRPr="00EC250C">
        <w:t xml:space="preserve"> w </w:t>
      </w:r>
      <w:r w:rsidRPr="00EC250C">
        <w:t xml:space="preserve">umacnianiu niepodległości </w:t>
      </w:r>
      <w:r w:rsidRPr="00EC250C">
        <w:lastRenderedPageBreak/>
        <w:t>odgrywają społeczna solidarność</w:t>
      </w:r>
      <w:r w:rsidR="00992FD0" w:rsidRPr="00EC250C">
        <w:t xml:space="preserve"> i </w:t>
      </w:r>
      <w:r w:rsidRPr="00EC250C">
        <w:t>budowanie wspólnoty, która nie pomija</w:t>
      </w:r>
      <w:r w:rsidR="00992FD0" w:rsidRPr="00EC250C">
        <w:t xml:space="preserve"> i </w:t>
      </w:r>
      <w:r w:rsidRPr="00EC250C">
        <w:t>nie wyklucza nikogo? Warto pamiętać, że nasi przodkowie tracili niepodległość m.in. na skutek wewnętrznych swarów, my mamy szansę być mądrzejsi, jeśli wyciągniemy właściwe wnioski</w:t>
      </w:r>
      <w:r w:rsidR="00992FD0" w:rsidRPr="00EC250C">
        <w:t xml:space="preserve"> i </w:t>
      </w:r>
      <w:r w:rsidRPr="00EC250C">
        <w:t>będziemy potrafili przekonać do nich zwłaszcza młode pokolenie.</w:t>
      </w:r>
    </w:p>
    <w:p w14:paraId="27C0A266" w14:textId="77777777" w:rsidR="00192982" w:rsidRPr="00EC250C" w:rsidRDefault="00192982" w:rsidP="00D131FA">
      <w:pPr>
        <w:pStyle w:val="Styl1"/>
      </w:pPr>
      <w:r w:rsidRPr="00EC250C">
        <w:rPr>
          <w:rStyle w:val="Styl1Znak"/>
        </w:rPr>
        <w:t>Kolejne wyzwanie dotyczy szeroko rozumianej komunikacji społecznej. Musimy ją udrożnić</w:t>
      </w:r>
      <w:r w:rsidR="00992FD0" w:rsidRPr="00EC250C">
        <w:rPr>
          <w:rStyle w:val="Styl1Znak"/>
        </w:rPr>
        <w:t xml:space="preserve"> i </w:t>
      </w:r>
      <w:r w:rsidRPr="00EC250C">
        <w:rPr>
          <w:rStyle w:val="Styl1Znak"/>
        </w:rPr>
        <w:t xml:space="preserve">uczynić bardziej użyteczną dla obywateli. </w:t>
      </w:r>
      <w:r w:rsidRPr="00EC250C">
        <w:t>Każda jednostka, środowisko czy grupa zawodowa powinny mieć pełną wiedzę</w:t>
      </w:r>
      <w:r w:rsidR="00992FD0" w:rsidRPr="00EC250C">
        <w:t xml:space="preserve"> o </w:t>
      </w:r>
      <w:r w:rsidRPr="00EC250C">
        <w:t>swoich prawach</w:t>
      </w:r>
      <w:r w:rsidR="00992FD0" w:rsidRPr="00EC250C">
        <w:t xml:space="preserve"> i </w:t>
      </w:r>
      <w:r w:rsidRPr="00EC250C">
        <w:t>realną możliwość ich ochrony. Potrzebna jest lepsza samoorganizacja, sprawniejsze komunikowanie się ze sobą</w:t>
      </w:r>
      <w:r w:rsidR="00992FD0" w:rsidRPr="00EC250C">
        <w:t xml:space="preserve"> i </w:t>
      </w:r>
      <w:r w:rsidRPr="00EC250C">
        <w:t>bliższa współpraca,</w:t>
      </w:r>
      <w:r w:rsidR="00992FD0" w:rsidRPr="00EC250C">
        <w:t xml:space="preserve"> a </w:t>
      </w:r>
      <w:r w:rsidRPr="00EC250C">
        <w:t>gdy trzeba, wspólne występowanie na zewnątrz. Nie można, na przykład, godzić się na występujące obecnie próby ograniczania przestrzeni publicznej dla społeczeństwa obywatelskiego</w:t>
      </w:r>
      <w:r w:rsidR="00992FD0" w:rsidRPr="00EC250C">
        <w:t xml:space="preserve"> i </w:t>
      </w:r>
      <w:r w:rsidRPr="00EC250C">
        <w:t>organizacji pozarządowych, nie można też lekceważyć przypadków nieuzasadnionej odmowy dostępu do informacji publicznej. W relacjach jednostka</w:t>
      </w:r>
      <w:r w:rsidR="00026572" w:rsidRPr="00EC250C">
        <w:t xml:space="preserve"> – </w:t>
      </w:r>
      <w:r w:rsidRPr="00EC250C">
        <w:t>państwo powinna być przywrócona względna równowaga, komunikacja powinna być dwukierunkowa. Odnosi się to również do samorządów</w:t>
      </w:r>
      <w:r w:rsidR="00992FD0" w:rsidRPr="00EC250C">
        <w:t xml:space="preserve"> i </w:t>
      </w:r>
      <w:r w:rsidRPr="00EC250C">
        <w:t>wszystkich instytucji publicznych. Wiele zależy tu od codziennej odwagi</w:t>
      </w:r>
      <w:r w:rsidR="00992FD0" w:rsidRPr="00EC250C">
        <w:t xml:space="preserve"> i </w:t>
      </w:r>
      <w:r w:rsidRPr="00EC250C">
        <w:t>konsekwencji</w:t>
      </w:r>
      <w:r w:rsidR="00992FD0" w:rsidRPr="00EC250C">
        <w:t xml:space="preserve"> w </w:t>
      </w:r>
      <w:r w:rsidRPr="00EC250C">
        <w:t>postawach obywateli.</w:t>
      </w:r>
    </w:p>
    <w:p w14:paraId="2422EC90" w14:textId="77777777" w:rsidR="00192982" w:rsidRPr="00EC250C" w:rsidRDefault="00192982" w:rsidP="00D131FA">
      <w:pPr>
        <w:pStyle w:val="Styl1"/>
      </w:pPr>
      <w:r w:rsidRPr="00EC250C">
        <w:t xml:space="preserve">Wreszcie, istotnym wątkiem przewijającym się podczas całego Kongresu był postulat, aby </w:t>
      </w:r>
      <w:r w:rsidRPr="00EC250C">
        <w:rPr>
          <w:rFonts w:eastAsia="Verdana"/>
        </w:rPr>
        <w:t xml:space="preserve">za wszelką cenę </w:t>
      </w:r>
      <w:r w:rsidR="00536446" w:rsidRPr="00EC250C">
        <w:rPr>
          <w:rFonts w:eastAsia="Verdana"/>
        </w:rPr>
        <w:t>wyłączyć</w:t>
      </w:r>
      <w:r w:rsidR="00992FD0" w:rsidRPr="00EC250C">
        <w:rPr>
          <w:rFonts w:eastAsia="Verdana"/>
        </w:rPr>
        <w:t xml:space="preserve"> z </w:t>
      </w:r>
      <w:r w:rsidR="00536446" w:rsidRPr="00EC250C">
        <w:rPr>
          <w:rFonts w:eastAsia="Verdana"/>
        </w:rPr>
        <w:t xml:space="preserve">walk partyjnych </w:t>
      </w:r>
      <w:r w:rsidRPr="00EC250C">
        <w:rPr>
          <w:rFonts w:eastAsia="Verdana"/>
        </w:rPr>
        <w:t xml:space="preserve">przynajmniej część naszego życia społecznego. </w:t>
      </w:r>
      <w:r w:rsidRPr="00EC250C">
        <w:t>Istnieje ogromny obszar spraw obywateli, zwłaszcza tych najbiedniejszych</w:t>
      </w:r>
      <w:r w:rsidR="00992FD0" w:rsidRPr="00EC250C">
        <w:t xml:space="preserve"> i </w:t>
      </w:r>
      <w:r w:rsidRPr="00EC250C">
        <w:t>najsłabszych, które wymagają współdziałania ponad podziałami, gdzie potrzebna jest elementarna wrażliwość</w:t>
      </w:r>
      <w:r w:rsidR="00992FD0" w:rsidRPr="00EC250C">
        <w:t xml:space="preserve"> i </w:t>
      </w:r>
      <w:r w:rsidRPr="00EC250C">
        <w:t>praktyczne podejście,</w:t>
      </w:r>
      <w:r w:rsidR="00992FD0" w:rsidRPr="00EC250C">
        <w:t xml:space="preserve"> a </w:t>
      </w:r>
      <w:r w:rsidRPr="00EC250C">
        <w:t>nie partyjne rozgrywki. Tam, gdzie np. chcemy pomóc osobom</w:t>
      </w:r>
      <w:r w:rsidR="00992FD0" w:rsidRPr="00EC250C">
        <w:t xml:space="preserve"> z </w:t>
      </w:r>
      <w:r w:rsidRPr="00EC250C">
        <w:t>niepełnosprawnościami, gdzie szukamy rozwiązań dla bezdomnych, czy gdy pochylamy się nad problemami ofiar przestępstw, tam nie powinno być miejsca na p</w:t>
      </w:r>
      <w:r w:rsidR="00536446" w:rsidRPr="00EC250C">
        <w:t>artyjne</w:t>
      </w:r>
      <w:r w:rsidRPr="00EC250C">
        <w:t xml:space="preserve"> czy ideowe uprzedzenia. W tej części naszego życia powinny występować tylko dwie strony: ci, którzy potrzebują pomocy</w:t>
      </w:r>
      <w:r w:rsidR="00992FD0" w:rsidRPr="00EC250C">
        <w:t xml:space="preserve"> i </w:t>
      </w:r>
      <w:r w:rsidRPr="00EC250C">
        <w:t>ci, którzy mogą, chcą</w:t>
      </w:r>
      <w:r w:rsidR="00992FD0" w:rsidRPr="00EC250C">
        <w:t xml:space="preserve"> i </w:t>
      </w:r>
      <w:r w:rsidRPr="00EC250C">
        <w:t>potrafią jej udzielić.</w:t>
      </w:r>
    </w:p>
    <w:p w14:paraId="6ADA0B0E" w14:textId="77777777" w:rsidR="00192982" w:rsidRPr="00EC250C" w:rsidRDefault="00192982" w:rsidP="00D131FA">
      <w:pPr>
        <w:pStyle w:val="Srdtytul6"/>
        <w:jc w:val="both"/>
      </w:pPr>
      <w:r w:rsidRPr="00EC250C">
        <w:t>Kryzys praworządności</w:t>
      </w:r>
      <w:r w:rsidR="00992FD0" w:rsidRPr="00EC250C">
        <w:t xml:space="preserve"> w </w:t>
      </w:r>
      <w:r w:rsidRPr="00EC250C">
        <w:t>Polsce</w:t>
      </w:r>
    </w:p>
    <w:p w14:paraId="49E70183" w14:textId="77777777" w:rsidR="00192982" w:rsidRPr="00EC250C" w:rsidRDefault="00192982" w:rsidP="00D131FA">
      <w:pPr>
        <w:jc w:val="both"/>
        <w:rPr>
          <w:sz w:val="2"/>
          <w:szCs w:val="2"/>
        </w:rPr>
      </w:pPr>
    </w:p>
    <w:p w14:paraId="3E31C7F2" w14:textId="77777777" w:rsidR="00192982" w:rsidRPr="00EC250C" w:rsidRDefault="00192982" w:rsidP="006C70B7">
      <w:pPr>
        <w:pStyle w:val="Styl1"/>
        <w:numPr>
          <w:ilvl w:val="0"/>
          <w:numId w:val="104"/>
        </w:numPr>
      </w:pPr>
      <w:r w:rsidRPr="00EC250C">
        <w:t>Dbajmy</w:t>
      </w:r>
      <w:r w:rsidR="00992FD0" w:rsidRPr="00EC250C">
        <w:t xml:space="preserve"> o </w:t>
      </w:r>
      <w:r w:rsidRPr="00EC250C">
        <w:t>zróżnicowany charakter organizacji społecznych poprzez budowę niedyskryminującego systemu podziału środków publicznych przeznaczonych na realizację ich celów statutowych. Dystrybucja wsparcia powinna opierać się na sprawiedliwym, przejrzystym, otwartym</w:t>
      </w:r>
      <w:r w:rsidR="00992FD0" w:rsidRPr="00EC250C">
        <w:t xml:space="preserve"> i </w:t>
      </w:r>
      <w:r w:rsidRPr="00EC250C">
        <w:t xml:space="preserve">konkurencyjnym procesie </w:t>
      </w:r>
      <w:r w:rsidR="00BB200F" w:rsidRPr="00EC250C">
        <w:t>oceny</w:t>
      </w:r>
      <w:r w:rsidR="00992FD0" w:rsidRPr="00EC250C">
        <w:t xml:space="preserve"> i </w:t>
      </w:r>
      <w:r w:rsidR="00BB200F" w:rsidRPr="00EC250C">
        <w:t>podejmowania decyzji</w:t>
      </w:r>
      <w:r w:rsidRPr="00EC250C">
        <w:t>. Rozwój NGO-sów jest drogą do rozszerzenia przestrzeni dla rozwoju społeczeństwa obywatelskiego.</w:t>
      </w:r>
    </w:p>
    <w:p w14:paraId="16D06216" w14:textId="77777777" w:rsidR="00192982" w:rsidRPr="00EC250C" w:rsidRDefault="00192982" w:rsidP="006C70B7">
      <w:pPr>
        <w:pStyle w:val="Styl1"/>
        <w:numPr>
          <w:ilvl w:val="0"/>
          <w:numId w:val="104"/>
        </w:numPr>
      </w:pPr>
      <w:r w:rsidRPr="00EC250C">
        <w:t>Reagujmy też na każdą próbę stygmatyzowania organizacji społeczeństwa obywatelskiego działających na rzecz demokracji</w:t>
      </w:r>
      <w:r w:rsidR="00992FD0" w:rsidRPr="00EC250C">
        <w:t xml:space="preserve"> i </w:t>
      </w:r>
      <w:r w:rsidRPr="00EC250C">
        <w:t>praw człowieka. Należy</w:t>
      </w:r>
      <w:r w:rsidR="00992FD0" w:rsidRPr="00EC250C">
        <w:t xml:space="preserve"> w </w:t>
      </w:r>
      <w:r w:rsidRPr="00EC250C">
        <w:t>tym zakresie domagać się od organów państwa przestrzegania zobowiązań wynikających</w:t>
      </w:r>
      <w:r w:rsidR="00992FD0" w:rsidRPr="00EC250C">
        <w:t xml:space="preserve"> z </w:t>
      </w:r>
      <w:r w:rsidRPr="00EC250C">
        <w:t>prawa międzynarodowego</w:t>
      </w:r>
      <w:r w:rsidR="00992FD0" w:rsidRPr="00EC250C">
        <w:t xml:space="preserve"> </w:t>
      </w:r>
      <w:r w:rsidR="00992FD0" w:rsidRPr="00EC250C">
        <w:lastRenderedPageBreak/>
        <w:t>i </w:t>
      </w:r>
      <w:r w:rsidRPr="00EC250C">
        <w:t>rekomendacji Agencji Praw Podstawowych Unii Europejskiej (FRA). W swoim ostatnim raporcie Agencja wręcz zaleca gromadzenie</w:t>
      </w:r>
      <w:r w:rsidR="00992FD0" w:rsidRPr="00EC250C">
        <w:t xml:space="preserve"> i </w:t>
      </w:r>
      <w:r w:rsidRPr="00EC250C">
        <w:t>publikowanie danych na temat przestępstw</w:t>
      </w:r>
      <w:r w:rsidR="00992FD0" w:rsidRPr="00EC250C">
        <w:t xml:space="preserve"> z </w:t>
      </w:r>
      <w:r w:rsidRPr="00EC250C">
        <w:t>nienawiści skierowanych przeciwko organizacjom działającym</w:t>
      </w:r>
      <w:r w:rsidR="00992FD0" w:rsidRPr="00EC250C">
        <w:t xml:space="preserve"> w </w:t>
      </w:r>
      <w:r w:rsidRPr="00EC250C">
        <w:t>obszarze praw człowieka.</w:t>
      </w:r>
    </w:p>
    <w:p w14:paraId="534FB14B" w14:textId="77777777" w:rsidR="00192982" w:rsidRPr="00EC250C" w:rsidRDefault="00192982" w:rsidP="006C70B7">
      <w:pPr>
        <w:pStyle w:val="Styl1"/>
        <w:numPr>
          <w:ilvl w:val="0"/>
          <w:numId w:val="104"/>
        </w:numPr>
      </w:pPr>
      <w:bookmarkStart w:id="828" w:name="bookmark0"/>
      <w:r w:rsidRPr="00EC250C">
        <w:t>Zaangażujmy się</w:t>
      </w:r>
      <w:r w:rsidR="00992FD0" w:rsidRPr="00EC250C">
        <w:t xml:space="preserve"> w </w:t>
      </w:r>
      <w:r w:rsidRPr="00EC250C">
        <w:t>proces tworzenia prawa</w:t>
      </w:r>
      <w:bookmarkEnd w:id="828"/>
      <w:r w:rsidR="00026572" w:rsidRPr="00EC250C">
        <w:t xml:space="preserve"> – </w:t>
      </w:r>
      <w:r w:rsidRPr="00EC250C">
        <w:t>upominając się</w:t>
      </w:r>
      <w:r w:rsidR="00992FD0" w:rsidRPr="00EC250C">
        <w:t xml:space="preserve"> o </w:t>
      </w:r>
      <w:r w:rsidRPr="00EC250C">
        <w:t>przestrzeganie naszych praw do powszechnych</w:t>
      </w:r>
      <w:r w:rsidR="00992FD0" w:rsidRPr="00EC250C">
        <w:t xml:space="preserve"> i </w:t>
      </w:r>
      <w:r w:rsidRPr="00EC250C">
        <w:t>efektywnych konsultacji społecznych. Coraz częściej bowiem mamy do czynienia</w:t>
      </w:r>
      <w:r w:rsidR="00992FD0" w:rsidRPr="00EC250C">
        <w:t xml:space="preserve"> z </w:t>
      </w:r>
      <w:r w:rsidRPr="00EC250C">
        <w:t xml:space="preserve">unikaniem takich konsultacji lub ich obchodzeniem, czego przykładem może być nadużywanie możliwości zgłaszania inicjatyw poselskich zamiast projektów rządowych (inicjatywy poselskie nie wymagają konsultacji). Zgłaszajmy także </w:t>
      </w:r>
      <w:bookmarkStart w:id="829" w:name="bookmark1"/>
      <w:r w:rsidRPr="00EC250C">
        <w:t>projekty obywatelskie.</w:t>
      </w:r>
      <w:bookmarkEnd w:id="829"/>
    </w:p>
    <w:p w14:paraId="33517924" w14:textId="77777777" w:rsidR="00192982" w:rsidRPr="00EC250C" w:rsidRDefault="00192982" w:rsidP="006C70B7">
      <w:pPr>
        <w:pStyle w:val="Styl1"/>
        <w:numPr>
          <w:ilvl w:val="0"/>
          <w:numId w:val="104"/>
        </w:numPr>
      </w:pPr>
      <w:r w:rsidRPr="00EC250C">
        <w:t>Rozwijajmy współpracę</w:t>
      </w:r>
      <w:r w:rsidR="00992FD0" w:rsidRPr="00EC250C">
        <w:t xml:space="preserve"> z </w:t>
      </w:r>
      <w:r w:rsidRPr="00EC250C">
        <w:t>organami międzynarodowymi poprzez przekazywanie im informacji istotnych dla podjęcia obiektywnych ocen dotyczących praworządności</w:t>
      </w:r>
      <w:r w:rsidR="00992FD0" w:rsidRPr="00EC250C">
        <w:t xml:space="preserve"> w </w:t>
      </w:r>
      <w:r w:rsidRPr="00EC250C">
        <w:t>Polsce. Z tego punktu widzenia, najważniejszą decyzją Trybunału Sprawiedliwości</w:t>
      </w:r>
      <w:r w:rsidR="00992FD0" w:rsidRPr="00EC250C">
        <w:t xml:space="preserve"> w </w:t>
      </w:r>
      <w:r w:rsidRPr="00EC250C">
        <w:t>2018</w:t>
      </w:r>
      <w:r w:rsidR="00C91F6E" w:rsidRPr="00EC250C">
        <w:t> r.</w:t>
      </w:r>
      <w:r w:rsidRPr="00EC250C">
        <w:t xml:space="preserve"> było postanowienie Wiceprezesa Trybunału Sprawiedliwości</w:t>
      </w:r>
      <w:r w:rsidR="00992FD0" w:rsidRPr="00EC250C">
        <w:t xml:space="preserve"> z </w:t>
      </w:r>
      <w:r w:rsidRPr="00EC250C">
        <w:t>19 października 2018</w:t>
      </w:r>
      <w:r w:rsidR="00C91F6E" w:rsidRPr="00EC250C">
        <w:t> r.</w:t>
      </w:r>
      <w:r w:rsidR="00992FD0" w:rsidRPr="00EC250C">
        <w:t xml:space="preserve"> w </w:t>
      </w:r>
      <w:r w:rsidRPr="00EC250C">
        <w:t>sprawie C-619/18R (skarga Komisji p. Polsce, dotycząca ustawy</w:t>
      </w:r>
      <w:r w:rsidR="00992FD0" w:rsidRPr="00EC250C">
        <w:t xml:space="preserve"> o </w:t>
      </w:r>
      <w:r w:rsidRPr="00EC250C">
        <w:t>Sądzie Najwyższym). Efektem tego postanowienia (potwierdzonego następnie postanowieniem</w:t>
      </w:r>
      <w:r w:rsidR="00992FD0" w:rsidRPr="00EC250C">
        <w:t xml:space="preserve"> z </w:t>
      </w:r>
      <w:r w:rsidRPr="00EC250C">
        <w:t>17 grudnia 2018</w:t>
      </w:r>
      <w:r w:rsidR="00C91F6E" w:rsidRPr="00EC250C">
        <w:t> r.</w:t>
      </w:r>
      <w:r w:rsidRPr="00EC250C">
        <w:t>) stała się siódma już nowelizacja ustawy</w:t>
      </w:r>
      <w:r w:rsidR="00992FD0" w:rsidRPr="00EC250C">
        <w:t xml:space="preserve"> o </w:t>
      </w:r>
      <w:r w:rsidRPr="00EC250C">
        <w:t>Sądzie Najwyższym</w:t>
      </w:r>
      <w:r w:rsidR="00992FD0" w:rsidRPr="00EC250C">
        <w:t xml:space="preserve"> z </w:t>
      </w:r>
      <w:r w:rsidRPr="00EC250C">
        <w:t>21 listopada 2018</w:t>
      </w:r>
      <w:r w:rsidR="00C91F6E" w:rsidRPr="00EC250C">
        <w:t> r.</w:t>
      </w:r>
      <w:r w:rsidRPr="00EC250C">
        <w:t xml:space="preserve"> To tylko dowodzi, że kierunek działań jest prawidłowy</w:t>
      </w:r>
      <w:r w:rsidR="00992FD0" w:rsidRPr="00EC250C">
        <w:t xml:space="preserve"> i </w:t>
      </w:r>
      <w:r w:rsidRPr="00EC250C">
        <w:t>należy go kontynuować.</w:t>
      </w:r>
    </w:p>
    <w:p w14:paraId="57A12D53" w14:textId="77777777" w:rsidR="00192982" w:rsidRPr="00EC250C" w:rsidRDefault="00192982" w:rsidP="006C70B7">
      <w:pPr>
        <w:pStyle w:val="Styl1"/>
        <w:numPr>
          <w:ilvl w:val="0"/>
          <w:numId w:val="104"/>
        </w:numPr>
      </w:pPr>
      <w:r w:rsidRPr="00EC250C">
        <w:t>Z całą stanowczością należy przeciwstawiać się retoryce, że postępowania sądowe przed Trybunałem Sprawiedliwości UE (zarówno te</w:t>
      </w:r>
      <w:r w:rsidR="00992FD0" w:rsidRPr="00EC250C">
        <w:t xml:space="preserve"> z </w:t>
      </w:r>
      <w:r w:rsidRPr="00EC250C">
        <w:t>inicjatywy Komisji Europejskiej, jak</w:t>
      </w:r>
      <w:r w:rsidR="00992FD0" w:rsidRPr="00EC250C">
        <w:t xml:space="preserve"> i </w:t>
      </w:r>
      <w:r w:rsidRPr="00EC250C">
        <w:t>pytania prejudycjalne dotyczące interpretacji przepisów TUE</w:t>
      </w:r>
      <w:r w:rsidR="00992FD0" w:rsidRPr="00EC250C">
        <w:t xml:space="preserve"> w </w:t>
      </w:r>
      <w:r w:rsidRPr="00EC250C">
        <w:t>kontekście praworządności</w:t>
      </w:r>
      <w:r w:rsidR="00992FD0" w:rsidRPr="00EC250C">
        <w:t xml:space="preserve"> w </w:t>
      </w:r>
      <w:r w:rsidRPr="00EC250C">
        <w:t>Polsce) mogą być postrzegane jako ingerencja</w:t>
      </w:r>
      <w:r w:rsidR="00992FD0" w:rsidRPr="00EC250C">
        <w:t xml:space="preserve"> w </w:t>
      </w:r>
      <w:r w:rsidRPr="00EC250C">
        <w:t>wewnętrzne sprawy Polski. Warto przypominać, że takie postepowania sądowe mają podstawę nie tylko</w:t>
      </w:r>
      <w:r w:rsidR="00992FD0" w:rsidRPr="00EC250C">
        <w:t xml:space="preserve"> w </w:t>
      </w:r>
      <w:r w:rsidRPr="00EC250C">
        <w:t>zaciągniętych przez Polskę zobowiązaniach międzynarodowych, ale również</w:t>
      </w:r>
      <w:r w:rsidR="00992FD0" w:rsidRPr="00EC250C">
        <w:t xml:space="preserve"> w </w:t>
      </w:r>
      <w:r w:rsidRPr="00EC250C">
        <w:t>Konstytucji RP.</w:t>
      </w:r>
    </w:p>
    <w:p w14:paraId="5D549B6C" w14:textId="77777777" w:rsidR="00192982" w:rsidRPr="00EC250C" w:rsidRDefault="00192982" w:rsidP="006C70B7">
      <w:pPr>
        <w:pStyle w:val="Styl1"/>
        <w:numPr>
          <w:ilvl w:val="0"/>
          <w:numId w:val="104"/>
        </w:numPr>
      </w:pPr>
      <w:r w:rsidRPr="00EC250C">
        <w:t>Brońmy sędziów, którzy decydują się kierować pytania prejudycjalne do Trybunału Sprawiedliwości. Mają takie prawo,</w:t>
      </w:r>
      <w:r w:rsidR="00992FD0" w:rsidRPr="00EC250C">
        <w:t xml:space="preserve"> a </w:t>
      </w:r>
      <w:r w:rsidRPr="00EC250C">
        <w:t>niekiedy wręcz obowiązek wynikający bezpośrednio</w:t>
      </w:r>
      <w:r w:rsidR="00992FD0" w:rsidRPr="00EC250C">
        <w:t xml:space="preserve"> z </w:t>
      </w:r>
      <w:r w:rsidRPr="00EC250C">
        <w:t>prawa UE. Sędziowie nie mogą być ograniczani</w:t>
      </w:r>
      <w:r w:rsidR="00992FD0" w:rsidRPr="00EC250C">
        <w:t xml:space="preserve"> w </w:t>
      </w:r>
      <w:r w:rsidRPr="00EC250C">
        <w:t>możliwości zwracania się do TSUE</w:t>
      </w:r>
      <w:r w:rsidR="00992FD0" w:rsidRPr="00EC250C">
        <w:t xml:space="preserve"> z </w:t>
      </w:r>
      <w:r w:rsidRPr="00EC250C">
        <w:t>wnioskiem</w:t>
      </w:r>
      <w:r w:rsidR="00992FD0" w:rsidRPr="00EC250C">
        <w:t xml:space="preserve"> o </w:t>
      </w:r>
      <w:r w:rsidRPr="00EC250C">
        <w:t>wykładnię lub ocenę ważności prawa UE</w:t>
      </w:r>
      <w:r w:rsidR="00992FD0" w:rsidRPr="00EC250C">
        <w:t xml:space="preserve"> i </w:t>
      </w:r>
      <w:r w:rsidRPr="00EC250C">
        <w:t>tylko TSUE może oceniać, czy pytania są sformułowane prawidłowo</w:t>
      </w:r>
      <w:r w:rsidR="00992FD0" w:rsidRPr="00EC250C">
        <w:t xml:space="preserve"> i w </w:t>
      </w:r>
      <w:r w:rsidRPr="00EC250C">
        <w:t>granicach kompetencji tego sądu. Pytania kierowane przez sędziów</w:t>
      </w:r>
      <w:r w:rsidR="00992FD0" w:rsidRPr="00EC250C">
        <w:t xml:space="preserve"> w </w:t>
      </w:r>
      <w:r w:rsidRPr="00EC250C">
        <w:t>żadnym wypadku nie mogą być oceniane jako „eksces orzeczniczy”</w:t>
      </w:r>
      <w:r w:rsidR="00992FD0" w:rsidRPr="00EC250C">
        <w:t xml:space="preserve"> i </w:t>
      </w:r>
      <w:r w:rsidRPr="00EC250C">
        <w:t>nie powinny być podstawą wszczynania postępowań dyscyplinarnych.</w:t>
      </w:r>
    </w:p>
    <w:p w14:paraId="11DB6903" w14:textId="77777777" w:rsidR="00C91F6E" w:rsidRPr="00EC250C" w:rsidRDefault="00192982" w:rsidP="00D131FA">
      <w:pPr>
        <w:pStyle w:val="Srdtytul6"/>
        <w:jc w:val="both"/>
      </w:pPr>
      <w:r w:rsidRPr="00EC250C">
        <w:t>Równość</w:t>
      </w:r>
      <w:r w:rsidR="00026572" w:rsidRPr="00EC250C">
        <w:t xml:space="preserve"> – </w:t>
      </w:r>
      <w:r w:rsidRPr="00EC250C">
        <w:t>lekcja</w:t>
      </w:r>
      <w:r w:rsidR="00992FD0" w:rsidRPr="00EC250C">
        <w:t xml:space="preserve"> z </w:t>
      </w:r>
      <w:r w:rsidRPr="00EC250C">
        <w:t>historii</w:t>
      </w:r>
    </w:p>
    <w:p w14:paraId="29584559" w14:textId="77777777" w:rsidR="00192982" w:rsidRPr="00EC250C" w:rsidRDefault="00192982" w:rsidP="006C70B7">
      <w:pPr>
        <w:pStyle w:val="Styl1"/>
        <w:numPr>
          <w:ilvl w:val="0"/>
          <w:numId w:val="104"/>
        </w:numPr>
      </w:pPr>
      <w:r w:rsidRPr="00EC250C">
        <w:t>Jeśli chcemy umacniać naszą niepodległość, to układajmy nasze stosunki społeczne</w:t>
      </w:r>
      <w:r w:rsidR="00992FD0" w:rsidRPr="00EC250C">
        <w:t xml:space="preserve"> i </w:t>
      </w:r>
      <w:r w:rsidRPr="00EC250C">
        <w:t>międzyludzkie na zasadzie współodpowiedzialności</w:t>
      </w:r>
      <w:r w:rsidR="00992FD0" w:rsidRPr="00EC250C">
        <w:t xml:space="preserve"> a </w:t>
      </w:r>
      <w:r w:rsidRPr="00EC250C">
        <w:t>nie rywalizacji, dopuszczajmy możliwość różnych perspektyw</w:t>
      </w:r>
      <w:r w:rsidR="00992FD0" w:rsidRPr="00EC250C">
        <w:t xml:space="preserve"> i </w:t>
      </w:r>
      <w:r w:rsidRPr="00EC250C">
        <w:t>punktów widzenia. Mamy dziś nowe pokolenie wychowane już</w:t>
      </w:r>
      <w:r w:rsidR="00992FD0" w:rsidRPr="00EC250C">
        <w:t xml:space="preserve"> w </w:t>
      </w:r>
      <w:r w:rsidRPr="00EC250C">
        <w:t>wolnej Polsce, ale istnieją też całe środowiska, które niekoniecznie się</w:t>
      </w:r>
      <w:r w:rsidR="00992FD0" w:rsidRPr="00EC250C">
        <w:t xml:space="preserve"> z </w:t>
      </w:r>
      <w:r w:rsidRPr="00EC250C">
        <w:t xml:space="preserve">tym nowym </w:t>
      </w:r>
      <w:r w:rsidRPr="00EC250C">
        <w:lastRenderedPageBreak/>
        <w:t>modelem państwa identyfikują. Kluczem jest komunikacja</w:t>
      </w:r>
      <w:r w:rsidR="00026572" w:rsidRPr="00EC250C">
        <w:t xml:space="preserve"> – </w:t>
      </w:r>
      <w:r w:rsidRPr="00EC250C">
        <w:t>wielostronna, wykorzystująca nowe możliwości technologiczne, znosząca tradycyjny jednokierunkowy przekaz idący od elit do społeczeństwa.</w:t>
      </w:r>
    </w:p>
    <w:p w14:paraId="3A693615" w14:textId="77777777" w:rsidR="00192982" w:rsidRPr="00EC250C" w:rsidRDefault="00192982" w:rsidP="006C70B7">
      <w:pPr>
        <w:pStyle w:val="Styl1"/>
        <w:numPr>
          <w:ilvl w:val="0"/>
          <w:numId w:val="104"/>
        </w:numPr>
      </w:pPr>
      <w:r w:rsidRPr="00EC250C">
        <w:t>Dbajmy</w:t>
      </w:r>
      <w:r w:rsidR="00992FD0" w:rsidRPr="00EC250C">
        <w:t xml:space="preserve"> o </w:t>
      </w:r>
      <w:r w:rsidRPr="00EC250C">
        <w:t>rzeczywistą równość praw</w:t>
      </w:r>
      <w:r w:rsidR="00992FD0" w:rsidRPr="00EC250C">
        <w:t xml:space="preserve"> i </w:t>
      </w:r>
      <w:r w:rsidRPr="00EC250C">
        <w:t>podmiotowość mniejszości. Przynależność do mniejszości narodowych czy innych nie może być postrzegana jako zagrożenie. Osoby doświadczające „mowy nienawiści” muszą mieć zawsze wsparcie państwa. Historia Polski</w:t>
      </w:r>
      <w:r w:rsidR="00026572" w:rsidRPr="00EC250C">
        <w:t xml:space="preserve"> – </w:t>
      </w:r>
      <w:r w:rsidRPr="00EC250C">
        <w:t>państwa przez stulecia współtworzonego przez mniejszości</w:t>
      </w:r>
      <w:r w:rsidR="00026572" w:rsidRPr="00EC250C">
        <w:t xml:space="preserve"> – </w:t>
      </w:r>
      <w:r w:rsidRPr="00EC250C">
        <w:t>jest pełna dobrych wzorów</w:t>
      </w:r>
      <w:r w:rsidR="00992FD0" w:rsidRPr="00EC250C">
        <w:t xml:space="preserve"> i </w:t>
      </w:r>
      <w:r w:rsidRPr="00EC250C">
        <w:t>przykładów. Każda ksenofobiczna wypowiedź czy zachowanie</w:t>
      </w:r>
      <w:r w:rsidR="00992FD0" w:rsidRPr="00EC250C">
        <w:t xml:space="preserve"> w </w:t>
      </w:r>
      <w:r w:rsidRPr="00EC250C">
        <w:t>przestrzeni publicznej powinna spotkać się</w:t>
      </w:r>
      <w:r w:rsidR="00992FD0" w:rsidRPr="00EC250C">
        <w:t xml:space="preserve"> z </w:t>
      </w:r>
      <w:r w:rsidRPr="00EC250C">
        <w:t>napiętnowaniem.</w:t>
      </w:r>
    </w:p>
    <w:p w14:paraId="714C99CB" w14:textId="77777777" w:rsidR="00192982" w:rsidRPr="00EC250C" w:rsidRDefault="00192982" w:rsidP="006C70B7">
      <w:pPr>
        <w:pStyle w:val="Styl1"/>
        <w:numPr>
          <w:ilvl w:val="0"/>
          <w:numId w:val="104"/>
        </w:numPr>
      </w:pPr>
      <w:r w:rsidRPr="00EC250C">
        <w:t>Należy zabiegać</w:t>
      </w:r>
      <w:r w:rsidR="00992FD0" w:rsidRPr="00EC250C">
        <w:t xml:space="preserve"> o </w:t>
      </w:r>
      <w:r w:rsidRPr="00EC250C">
        <w:t>reformę charakteru, składu</w:t>
      </w:r>
      <w:r w:rsidR="00992FD0" w:rsidRPr="00EC250C">
        <w:t xml:space="preserve"> i </w:t>
      </w:r>
      <w:r w:rsidRPr="00EC250C">
        <w:t>zasad działania Komisji Wspólnej Rządu</w:t>
      </w:r>
      <w:r w:rsidR="00992FD0" w:rsidRPr="00EC250C">
        <w:t xml:space="preserve"> i </w:t>
      </w:r>
      <w:r w:rsidRPr="00EC250C">
        <w:t>Mniejszości Narodowych</w:t>
      </w:r>
      <w:r w:rsidR="00992FD0" w:rsidRPr="00EC250C">
        <w:t xml:space="preserve"> i </w:t>
      </w:r>
      <w:r w:rsidRPr="00EC250C">
        <w:t>Etnicznych lub</w:t>
      </w:r>
      <w:r w:rsidR="00992FD0" w:rsidRPr="00EC250C">
        <w:t xml:space="preserve"> o </w:t>
      </w:r>
      <w:r w:rsidRPr="00EC250C">
        <w:t>powołanie nowej instytucji, która zapewniłaby przedstawicielom mniejszości realny wpływ na kształt polityki państwa</w:t>
      </w:r>
      <w:r w:rsidR="00992FD0" w:rsidRPr="00EC250C">
        <w:t xml:space="preserve"> w </w:t>
      </w:r>
      <w:r w:rsidRPr="00EC250C">
        <w:t>tym obszarze.</w:t>
      </w:r>
    </w:p>
    <w:p w14:paraId="22B4FC9B" w14:textId="77777777" w:rsidR="00192982" w:rsidRPr="00EC250C" w:rsidRDefault="00192982" w:rsidP="006C70B7">
      <w:pPr>
        <w:pStyle w:val="Styl1"/>
        <w:numPr>
          <w:ilvl w:val="0"/>
          <w:numId w:val="104"/>
        </w:numPr>
      </w:pPr>
      <w:r w:rsidRPr="00EC250C">
        <w:t>Powinniśmy też dążyć do tego, aby</w:t>
      </w:r>
      <w:r w:rsidR="00992FD0" w:rsidRPr="00EC250C">
        <w:t xml:space="preserve"> w </w:t>
      </w:r>
      <w:r w:rsidRPr="00EC250C">
        <w:t>podstawie programowej kształcenia ogólnego oraz</w:t>
      </w:r>
      <w:r w:rsidR="00992FD0" w:rsidRPr="00EC250C">
        <w:t xml:space="preserve"> w </w:t>
      </w:r>
      <w:r w:rsidRPr="00EC250C">
        <w:t>programach edukacyjnych prowadzonych</w:t>
      </w:r>
      <w:r w:rsidR="00992FD0" w:rsidRPr="00EC250C">
        <w:t xml:space="preserve"> w </w:t>
      </w:r>
      <w:r w:rsidRPr="00EC250C">
        <w:t>szkołach</w:t>
      </w:r>
      <w:r w:rsidR="00992FD0" w:rsidRPr="00EC250C">
        <w:t xml:space="preserve"> i </w:t>
      </w:r>
      <w:r w:rsidRPr="00EC250C">
        <w:t>placówkach oświatowych znalazło się podkreślenie znaczenia mniejszości narodowych</w:t>
      </w:r>
      <w:r w:rsidR="00992FD0" w:rsidRPr="00EC250C">
        <w:t xml:space="preserve"> i </w:t>
      </w:r>
      <w:r w:rsidRPr="00EC250C">
        <w:t>etnicznych</w:t>
      </w:r>
      <w:r w:rsidR="00992FD0" w:rsidRPr="00EC250C">
        <w:t xml:space="preserve"> w </w:t>
      </w:r>
      <w:r w:rsidRPr="00EC250C">
        <w:t>historii Polski. Jak również lekcje</w:t>
      </w:r>
      <w:r w:rsidR="00992FD0" w:rsidRPr="00EC250C">
        <w:t xml:space="preserve"> o </w:t>
      </w:r>
      <w:r w:rsidRPr="00EC250C">
        <w:t>nowoczesnym patriotyzmie</w:t>
      </w:r>
      <w:r w:rsidR="00992FD0" w:rsidRPr="00EC250C">
        <w:t xml:space="preserve"> i </w:t>
      </w:r>
      <w:r w:rsidRPr="00EC250C">
        <w:t>międzykulturowej współpracy, nawiązujące wprost do idei</w:t>
      </w:r>
      <w:r w:rsidR="00992FD0" w:rsidRPr="00EC250C">
        <w:t xml:space="preserve"> i </w:t>
      </w:r>
      <w:r w:rsidRPr="00EC250C">
        <w:t>dziedzictwa Rzeczpospolitej Wielu Narodów.</w:t>
      </w:r>
    </w:p>
    <w:p w14:paraId="144B8387" w14:textId="77777777" w:rsidR="00192982" w:rsidRPr="00EC250C" w:rsidRDefault="00192982" w:rsidP="006C70B7">
      <w:pPr>
        <w:pStyle w:val="Styl1"/>
        <w:numPr>
          <w:ilvl w:val="0"/>
          <w:numId w:val="104"/>
        </w:numPr>
      </w:pPr>
      <w:r w:rsidRPr="00EC250C">
        <w:t>Apelujmy do władz samorządowych</w:t>
      </w:r>
      <w:r w:rsidR="00992FD0" w:rsidRPr="00EC250C">
        <w:t xml:space="preserve"> o </w:t>
      </w:r>
      <w:r w:rsidRPr="00EC250C">
        <w:t>ich większe zaangażowanie</w:t>
      </w:r>
      <w:r w:rsidR="00992FD0" w:rsidRPr="00EC250C">
        <w:t xml:space="preserve"> w </w:t>
      </w:r>
      <w:r w:rsidRPr="00EC250C">
        <w:t>promowanie zakazu dyskryminacji,</w:t>
      </w:r>
      <w:r w:rsidR="00992FD0" w:rsidRPr="00EC250C">
        <w:t xml:space="preserve"> w </w:t>
      </w:r>
      <w:r w:rsidRPr="00EC250C">
        <w:t>tym zakazu dyskryminacji osób LGBT, na przykład poprzez przyjmowanie lokalnych programów na rzecz równego traktowania.</w:t>
      </w:r>
    </w:p>
    <w:p w14:paraId="300194E1" w14:textId="77777777" w:rsidR="00192982" w:rsidRPr="00EC250C" w:rsidRDefault="00192982" w:rsidP="006C70B7">
      <w:pPr>
        <w:pStyle w:val="Styl1"/>
        <w:numPr>
          <w:ilvl w:val="0"/>
          <w:numId w:val="104"/>
        </w:numPr>
      </w:pPr>
      <w:r w:rsidRPr="00EC250C">
        <w:t>Należy dążyć do tego, aby konsekwentnie stosowany był</w:t>
      </w:r>
      <w:r w:rsidR="00992FD0" w:rsidRPr="00EC250C">
        <w:t xml:space="preserve"> w </w:t>
      </w:r>
      <w:r w:rsidRPr="00EC250C">
        <w:t>działaniach prokuratury</w:t>
      </w:r>
      <w:r w:rsidR="00992FD0" w:rsidRPr="00EC250C">
        <w:t xml:space="preserve"> i </w:t>
      </w:r>
      <w:r w:rsidRPr="00EC250C">
        <w:t>orzecznictwie sądowym art. 13 Konstytucji (zakazujący istnienia partii politycznych</w:t>
      </w:r>
      <w:r w:rsidR="00992FD0" w:rsidRPr="00EC250C">
        <w:t xml:space="preserve"> i </w:t>
      </w:r>
      <w:r w:rsidRPr="00EC250C">
        <w:t>innych organizacji odwołujących się do totalitarnych metod</w:t>
      </w:r>
      <w:r w:rsidR="00992FD0" w:rsidRPr="00EC250C">
        <w:t xml:space="preserve"> i </w:t>
      </w:r>
      <w:r w:rsidRPr="00EC250C">
        <w:t>praktyk działania nazizmu, faszyzmu</w:t>
      </w:r>
      <w:r w:rsidR="00992FD0" w:rsidRPr="00EC250C">
        <w:t xml:space="preserve"> i </w:t>
      </w:r>
      <w:r w:rsidRPr="00EC250C">
        <w:t>komunizmu oraz dopuszczających taką nienawiść</w:t>
      </w:r>
      <w:r w:rsidR="00992FD0" w:rsidRPr="00EC250C">
        <w:t xml:space="preserve"> i </w:t>
      </w:r>
      <w:r w:rsidRPr="00EC250C">
        <w:t>stosowanie przemocy),</w:t>
      </w:r>
      <w:r w:rsidR="00992FD0" w:rsidRPr="00EC250C">
        <w:t xml:space="preserve"> a </w:t>
      </w:r>
      <w:r w:rsidRPr="00EC250C">
        <w:t>nie służył tylko jako papierowa groźba.</w:t>
      </w:r>
    </w:p>
    <w:p w14:paraId="47B9567A" w14:textId="77777777" w:rsidR="00192982" w:rsidRPr="00EC250C" w:rsidRDefault="00192982" w:rsidP="006C70B7">
      <w:pPr>
        <w:pStyle w:val="Styl1"/>
        <w:numPr>
          <w:ilvl w:val="0"/>
          <w:numId w:val="104"/>
        </w:numPr>
      </w:pPr>
      <w:bookmarkStart w:id="830" w:name="bookmark2"/>
      <w:r w:rsidRPr="00EC250C">
        <w:t>Wspierajmy organizacje pozarządowe</w:t>
      </w:r>
      <w:bookmarkEnd w:id="830"/>
      <w:r w:rsidR="00992FD0" w:rsidRPr="00EC250C">
        <w:t xml:space="preserve"> w </w:t>
      </w:r>
      <w:r w:rsidRPr="00EC250C">
        <w:t>działaniach przeciwko przestępstwom</w:t>
      </w:r>
      <w:r w:rsidR="00992FD0" w:rsidRPr="00EC250C">
        <w:t xml:space="preserve"> z </w:t>
      </w:r>
      <w:r w:rsidRPr="00EC250C">
        <w:t>nienawiści, przeciwko przemocy</w:t>
      </w:r>
      <w:r w:rsidR="00992FD0" w:rsidRPr="00EC250C">
        <w:t xml:space="preserve"> i </w:t>
      </w:r>
      <w:r w:rsidRPr="00EC250C">
        <w:t>nierównemu traktowaniu. Cenna jest każda inicjatywa, szczególnie oddolna, która niesie pomoc osobom słabszym, dyskryminowanym, pokrzywdzonym przestępstwem,</w:t>
      </w:r>
      <w:r w:rsidR="00992FD0" w:rsidRPr="00EC250C">
        <w:t xml:space="preserve"> w </w:t>
      </w:r>
      <w:r w:rsidRPr="00EC250C">
        <w:t xml:space="preserve">tym zwłaszcza narażonym na </w:t>
      </w:r>
      <w:bookmarkStart w:id="831" w:name="bookmark3"/>
      <w:r w:rsidRPr="00EC250C">
        <w:t>przemoc.</w:t>
      </w:r>
      <w:bookmarkEnd w:id="831"/>
    </w:p>
    <w:p w14:paraId="2C375EE3" w14:textId="77777777" w:rsidR="00192982" w:rsidRPr="00EC250C" w:rsidRDefault="00192982" w:rsidP="006C70B7">
      <w:pPr>
        <w:pStyle w:val="Styl1"/>
        <w:numPr>
          <w:ilvl w:val="0"/>
          <w:numId w:val="104"/>
        </w:numPr>
      </w:pPr>
      <w:r w:rsidRPr="00EC250C">
        <w:t>Musimy stworzyć prosty</w:t>
      </w:r>
      <w:r w:rsidR="00992FD0" w:rsidRPr="00EC250C">
        <w:t xml:space="preserve"> i </w:t>
      </w:r>
      <w:r w:rsidRPr="00EC250C">
        <w:t>przyjazny dla ofiary system zgłaszania przestępstw</w:t>
      </w:r>
      <w:r w:rsidR="00992FD0" w:rsidRPr="00EC250C">
        <w:t xml:space="preserve"> z </w:t>
      </w:r>
      <w:r w:rsidRPr="00EC250C">
        <w:t>nienawiści, m.in. poprzez rzetelne wdrożenie postanowień tzw. dyrektywy ofiarowej (dyrektywy Parlamentu Europejskiego</w:t>
      </w:r>
      <w:r w:rsidR="00992FD0" w:rsidRPr="00EC250C">
        <w:t xml:space="preserve"> i </w:t>
      </w:r>
      <w:r w:rsidRPr="00EC250C">
        <w:t>Rady 2012/29/UE</w:t>
      </w:r>
      <w:r w:rsidR="00992FD0" w:rsidRPr="00EC250C">
        <w:t xml:space="preserve"> z </w:t>
      </w:r>
      <w:r w:rsidRPr="00EC250C">
        <w:t>dnia 25 października 2012</w:t>
      </w:r>
      <w:r w:rsidR="00C91F6E" w:rsidRPr="00EC250C">
        <w:t> r.</w:t>
      </w:r>
      <w:r w:rsidRPr="00EC250C">
        <w:t xml:space="preserve"> ustanawiającej normy minimalne</w:t>
      </w:r>
      <w:r w:rsidR="00992FD0" w:rsidRPr="00EC250C">
        <w:t xml:space="preserve"> w </w:t>
      </w:r>
      <w:r w:rsidRPr="00EC250C">
        <w:t>zakresie praw, wsparcia</w:t>
      </w:r>
      <w:r w:rsidR="00992FD0" w:rsidRPr="00EC250C">
        <w:t xml:space="preserve"> i </w:t>
      </w:r>
      <w:r w:rsidRPr="00EC250C">
        <w:t>ochrony ofiar przestępstw oraz zastępującej decyzję ramową Rady 2001/220/WSiSW).</w:t>
      </w:r>
    </w:p>
    <w:p w14:paraId="633FF8C3" w14:textId="77777777" w:rsidR="00192982" w:rsidRPr="00EC250C" w:rsidRDefault="00192982" w:rsidP="006C70B7">
      <w:pPr>
        <w:pStyle w:val="Styl1"/>
        <w:numPr>
          <w:ilvl w:val="0"/>
          <w:numId w:val="104"/>
        </w:numPr>
      </w:pPr>
      <w:r w:rsidRPr="00EC250C">
        <w:lastRenderedPageBreak/>
        <w:t>Należy zapewnić bezpieczeństwo ofiarom przemocy</w:t>
      </w:r>
      <w:r w:rsidR="00992FD0" w:rsidRPr="00EC250C">
        <w:t xml:space="preserve"> w </w:t>
      </w:r>
      <w:r w:rsidRPr="00EC250C">
        <w:t>rodzinie poprzez wprowadzenie natychmiastowej izolacji sprawcy od ofiary, niezależne od faktu wszczęcia postępowania</w:t>
      </w:r>
      <w:r w:rsidR="00992FD0" w:rsidRPr="00EC250C">
        <w:t xml:space="preserve"> i </w:t>
      </w:r>
      <w:r w:rsidRPr="00EC250C">
        <w:t>etapu tego postępowania.</w:t>
      </w:r>
    </w:p>
    <w:p w14:paraId="283749ED" w14:textId="77777777" w:rsidR="00192982" w:rsidRPr="00EC250C" w:rsidRDefault="00192982" w:rsidP="006C70B7">
      <w:pPr>
        <w:pStyle w:val="Styl1"/>
        <w:numPr>
          <w:ilvl w:val="0"/>
          <w:numId w:val="104"/>
        </w:numPr>
      </w:pPr>
      <w:r w:rsidRPr="00EC250C">
        <w:t>Niezbędne wydaje się być uzupełnienie przepisów prawnych zakazujących molestowania seksualnego</w:t>
      </w:r>
      <w:r w:rsidR="00992FD0" w:rsidRPr="00EC250C">
        <w:t xml:space="preserve"> w </w:t>
      </w:r>
      <w:r w:rsidRPr="00EC250C">
        <w:t>różnych obszarach życia społecznego,</w:t>
      </w:r>
      <w:r w:rsidR="00992FD0" w:rsidRPr="00EC250C">
        <w:t xml:space="preserve"> w </w:t>
      </w:r>
      <w:r w:rsidRPr="00EC250C">
        <w:t>szczególności</w:t>
      </w:r>
      <w:r w:rsidR="00992FD0" w:rsidRPr="00EC250C">
        <w:t xml:space="preserve"> w </w:t>
      </w:r>
      <w:r w:rsidRPr="00EC250C">
        <w:t>obszarze szkolnictwa wyższego.</w:t>
      </w:r>
    </w:p>
    <w:p w14:paraId="6C1BD0F4" w14:textId="77777777" w:rsidR="00192982" w:rsidRPr="00EC250C" w:rsidRDefault="00192982" w:rsidP="006C70B7">
      <w:pPr>
        <w:pStyle w:val="Styl1"/>
        <w:numPr>
          <w:ilvl w:val="0"/>
          <w:numId w:val="104"/>
        </w:numPr>
      </w:pPr>
      <w:r w:rsidRPr="00EC250C">
        <w:t>Inicjujmy szkolenia dla pracowników Policji, prokuratury, sędziów</w:t>
      </w:r>
      <w:r w:rsidR="00992FD0" w:rsidRPr="00EC250C">
        <w:t xml:space="preserve"> i </w:t>
      </w:r>
      <w:r w:rsidRPr="00EC250C">
        <w:t>lekarzy na temat przemocy</w:t>
      </w:r>
      <w:r w:rsidR="00992FD0" w:rsidRPr="00EC250C">
        <w:t xml:space="preserve"> w </w:t>
      </w:r>
      <w:r w:rsidRPr="00EC250C">
        <w:t>rodzinie</w:t>
      </w:r>
      <w:r w:rsidR="00992FD0" w:rsidRPr="00EC250C">
        <w:t xml:space="preserve"> i </w:t>
      </w:r>
      <w:r w:rsidRPr="00EC250C">
        <w:t>przemocy seksualnej, ponieważ walka</w:t>
      </w:r>
      <w:r w:rsidR="00992FD0" w:rsidRPr="00EC250C">
        <w:t xml:space="preserve"> z </w:t>
      </w:r>
      <w:r w:rsidRPr="00EC250C">
        <w:t>tymi zjawiskami wymaga szczególnej wiedzy</w:t>
      </w:r>
      <w:r w:rsidR="00992FD0" w:rsidRPr="00EC250C">
        <w:t xml:space="preserve"> i </w:t>
      </w:r>
      <w:r w:rsidRPr="00EC250C">
        <w:t>wrażliwości. Powinniśmy uczyć się, jak przyjmować zawiadomienia</w:t>
      </w:r>
      <w:r w:rsidR="00992FD0" w:rsidRPr="00EC250C">
        <w:t xml:space="preserve"> o </w:t>
      </w:r>
      <w:r w:rsidRPr="00EC250C">
        <w:t>takich przestępstwach</w:t>
      </w:r>
      <w:r w:rsidR="00992FD0" w:rsidRPr="00EC250C">
        <w:t xml:space="preserve"> i </w:t>
      </w:r>
      <w:r w:rsidRPr="00EC250C">
        <w:t>jak rozmawiać</w:t>
      </w:r>
      <w:r w:rsidR="00992FD0" w:rsidRPr="00EC250C">
        <w:t xml:space="preserve"> z </w:t>
      </w:r>
      <w:r w:rsidRPr="00EC250C">
        <w:t>ofiarami, by nie dochodziło do wtórnej wiktymizacji. Warto zwrócić uwagę na wyjątkową sytuację kobiet- migrantek, kobiet</w:t>
      </w:r>
      <w:r w:rsidR="00992FD0" w:rsidRPr="00EC250C">
        <w:t xml:space="preserve"> z </w:t>
      </w:r>
      <w:r w:rsidRPr="00EC250C">
        <w:t>niepełnosprawnościami, osób starszych czy mieszkających na wsi.</w:t>
      </w:r>
    </w:p>
    <w:p w14:paraId="022C01E7" w14:textId="77777777" w:rsidR="00192982" w:rsidRPr="00EC250C" w:rsidRDefault="00192982" w:rsidP="006C70B7">
      <w:pPr>
        <w:pStyle w:val="Styl1"/>
        <w:numPr>
          <w:ilvl w:val="0"/>
          <w:numId w:val="104"/>
        </w:numPr>
      </w:pPr>
      <w:r w:rsidRPr="00EC250C">
        <w:t>Dążmy do zmiany definicji przestępstwa zgwałcenia tak, aby</w:t>
      </w:r>
      <w:r w:rsidR="00992FD0" w:rsidRPr="00EC250C">
        <w:t xml:space="preserve"> w </w:t>
      </w:r>
      <w:r w:rsidRPr="00EC250C">
        <w:t>sposób wyraźny penalizowany był każdy akt seksualny, na który jedna</w:t>
      </w:r>
      <w:r w:rsidR="00992FD0" w:rsidRPr="00EC250C">
        <w:t xml:space="preserve"> z </w:t>
      </w:r>
      <w:r w:rsidRPr="00EC250C">
        <w:t>osób</w:t>
      </w:r>
      <w:r w:rsidR="00992FD0" w:rsidRPr="00EC250C">
        <w:t xml:space="preserve"> w </w:t>
      </w:r>
      <w:r w:rsidRPr="00EC250C">
        <w:t>nim uczestniczących nie wyraziła wprost swojej zgody.</w:t>
      </w:r>
    </w:p>
    <w:p w14:paraId="6D51A5B3" w14:textId="77777777" w:rsidR="00192982" w:rsidRPr="00EC250C" w:rsidRDefault="00192982" w:rsidP="006C70B7">
      <w:pPr>
        <w:pStyle w:val="Styl1"/>
        <w:numPr>
          <w:ilvl w:val="0"/>
          <w:numId w:val="104"/>
        </w:numPr>
      </w:pPr>
      <w:r w:rsidRPr="00EC250C">
        <w:t>Podejmujmy rozmowę</w:t>
      </w:r>
      <w:r w:rsidR="00992FD0" w:rsidRPr="00EC250C">
        <w:t xml:space="preserve"> o </w:t>
      </w:r>
      <w:r w:rsidRPr="00EC250C">
        <w:t>tym, jakie problemy życiowe napotykają osoby LGBT na skutek nieuznawania ich praw</w:t>
      </w:r>
      <w:r w:rsidR="00992FD0" w:rsidRPr="00EC250C">
        <w:t xml:space="preserve"> w </w:t>
      </w:r>
      <w:r w:rsidRPr="00EC250C">
        <w:t>istniejącym porządku prawnym. Dobrą okazją do tego mogą być obowiązkowe zajęcia szkolne na temat praw człowieka (np. wiedza</w:t>
      </w:r>
      <w:r w:rsidR="00992FD0" w:rsidRPr="00EC250C">
        <w:t xml:space="preserve"> o </w:t>
      </w:r>
      <w:r w:rsidRPr="00EC250C">
        <w:t>społeczeństwie, wychowanie do życia</w:t>
      </w:r>
      <w:r w:rsidR="00992FD0" w:rsidRPr="00EC250C">
        <w:t xml:space="preserve"> w </w:t>
      </w:r>
      <w:r w:rsidRPr="00EC250C">
        <w:t>rodzinie).</w:t>
      </w:r>
    </w:p>
    <w:p w14:paraId="704EB95D" w14:textId="77777777" w:rsidR="00192982" w:rsidRPr="00EC250C" w:rsidRDefault="00192982" w:rsidP="006C70B7">
      <w:pPr>
        <w:pStyle w:val="Styl1"/>
        <w:numPr>
          <w:ilvl w:val="0"/>
          <w:numId w:val="104"/>
        </w:numPr>
      </w:pPr>
      <w:r w:rsidRPr="00EC250C">
        <w:t>Niezbędne jest również rozwinięcie aktywności</w:t>
      </w:r>
      <w:r w:rsidR="00992FD0" w:rsidRPr="00EC250C">
        <w:t xml:space="preserve"> w </w:t>
      </w:r>
      <w:r w:rsidRPr="00EC250C">
        <w:t>zakresie litygacji strategicznej</w:t>
      </w:r>
      <w:r w:rsidR="00992FD0" w:rsidRPr="00EC250C">
        <w:t xml:space="preserve"> w </w:t>
      </w:r>
      <w:r w:rsidRPr="00EC250C">
        <w:t>sprawach ochrony praw osób LGBT, prowadzonych przez profesjonalnych pełnomocników oraz organizacje pozarządowe,</w:t>
      </w:r>
      <w:r w:rsidR="00992FD0" w:rsidRPr="00EC250C">
        <w:t xml:space="preserve"> w </w:t>
      </w:r>
      <w:r w:rsidRPr="00EC250C">
        <w:t>celu upowszechnienia standardów międzynarodowych</w:t>
      </w:r>
      <w:r w:rsidR="00992FD0" w:rsidRPr="00EC250C">
        <w:t xml:space="preserve"> w </w:t>
      </w:r>
      <w:r w:rsidRPr="00EC250C">
        <w:t>praktyce sądowej.</w:t>
      </w:r>
    </w:p>
    <w:p w14:paraId="172A26F0" w14:textId="77777777" w:rsidR="00192982" w:rsidRPr="00EC250C" w:rsidRDefault="00192982" w:rsidP="006C70B7">
      <w:pPr>
        <w:pStyle w:val="Styl1"/>
        <w:numPr>
          <w:ilvl w:val="0"/>
          <w:numId w:val="104"/>
        </w:numPr>
      </w:pPr>
      <w:r w:rsidRPr="00EC250C">
        <w:t xml:space="preserve">Niezbędne jest również wprowadzenie </w:t>
      </w:r>
      <w:bookmarkStart w:id="832" w:name="bookmark4"/>
      <w:r w:rsidRPr="00EC250C">
        <w:t>regulacji prawnych dotyczących uniwersalnego projektowania oraz poszerzenie zakresu stosowania</w:t>
      </w:r>
      <w:bookmarkEnd w:id="832"/>
      <w:r w:rsidRPr="00EC250C">
        <w:t xml:space="preserve"> tzw. racjonalnych dostosowań.</w:t>
      </w:r>
    </w:p>
    <w:p w14:paraId="47248C4B" w14:textId="77777777" w:rsidR="00192982" w:rsidRPr="00EC250C" w:rsidRDefault="00192982" w:rsidP="00D131FA">
      <w:pPr>
        <w:pStyle w:val="Srdtytul6"/>
        <w:jc w:val="both"/>
      </w:pPr>
      <w:r w:rsidRPr="00EC250C">
        <w:t>Debata „Biorąc prawo poważnie”</w:t>
      </w:r>
    </w:p>
    <w:p w14:paraId="6027018B" w14:textId="77777777" w:rsidR="00192982" w:rsidRPr="00EC250C" w:rsidRDefault="00192982" w:rsidP="006C70B7">
      <w:pPr>
        <w:pStyle w:val="Styl1"/>
        <w:numPr>
          <w:ilvl w:val="0"/>
          <w:numId w:val="104"/>
        </w:numPr>
      </w:pPr>
      <w:r w:rsidRPr="00EC250C">
        <w:t>Prawo do edukacji seksualnej to prawo do informacji. Edukacja ta jest też częścią edukacji zdrowotnej, wiąże się więc</w:t>
      </w:r>
      <w:r w:rsidR="00992FD0" w:rsidRPr="00EC250C">
        <w:t xml:space="preserve"> z </w:t>
      </w:r>
      <w:r w:rsidRPr="00EC250C">
        <w:t>prawem do ochrony zdrowia. Niestety, młodzież jest pozostawiona sama sobie,</w:t>
      </w:r>
      <w:r w:rsidR="00992FD0" w:rsidRPr="00EC250C">
        <w:t xml:space="preserve"> a </w:t>
      </w:r>
      <w:r w:rsidRPr="00EC250C">
        <w:t>nauczyciele nie chcą podejmować tematu oraz nie mają do tego narzędzi</w:t>
      </w:r>
      <w:r w:rsidR="00992FD0" w:rsidRPr="00EC250C">
        <w:t xml:space="preserve"> i </w:t>
      </w:r>
      <w:r w:rsidRPr="00EC250C">
        <w:t>możliwości. Dlatego powinniśmy domagać się od państwa, aby wywiązywało się ze swoich obowiązków, m.in. wprowadzając obowiązkowe zajęcia</w:t>
      </w:r>
      <w:r w:rsidR="00992FD0" w:rsidRPr="00EC250C">
        <w:t xml:space="preserve"> z </w:t>
      </w:r>
      <w:r w:rsidRPr="00EC250C">
        <w:t>edukacji seksualnej,</w:t>
      </w:r>
      <w:r w:rsidR="00992FD0" w:rsidRPr="00EC250C">
        <w:t xml:space="preserve"> z </w:t>
      </w:r>
      <w:r w:rsidRPr="00EC250C">
        <w:t>uwzględnieniem współczesnej wiedzy</w:t>
      </w:r>
      <w:r w:rsidR="00992FD0" w:rsidRPr="00EC250C">
        <w:t xml:space="preserve"> i </w:t>
      </w:r>
      <w:r w:rsidRPr="00EC250C">
        <w:t>wyników badań naukowych. Wskazane jest tu również większe zaangażowanie władz samorządowych, zwłaszcza</w:t>
      </w:r>
      <w:r w:rsidR="00992FD0" w:rsidRPr="00EC250C">
        <w:t xml:space="preserve"> w </w:t>
      </w:r>
      <w:r w:rsidRPr="00EC250C">
        <w:t>zakresie współfinansowania</w:t>
      </w:r>
      <w:r w:rsidR="00992FD0" w:rsidRPr="00EC250C">
        <w:t xml:space="preserve"> i </w:t>
      </w:r>
      <w:r w:rsidRPr="00EC250C">
        <w:t>organizowania dodatkowych zajęć.</w:t>
      </w:r>
    </w:p>
    <w:p w14:paraId="53732BB4" w14:textId="77777777" w:rsidR="00192982" w:rsidRPr="00EC250C" w:rsidRDefault="00192982" w:rsidP="006C70B7">
      <w:pPr>
        <w:pStyle w:val="Styl1"/>
        <w:numPr>
          <w:ilvl w:val="0"/>
          <w:numId w:val="104"/>
        </w:numPr>
      </w:pPr>
      <w:r w:rsidRPr="00EC250C">
        <w:lastRenderedPageBreak/>
        <w:t>Powinniśmy dążyć do wzmocnienia nadzoru ze strony Ministerstwa Edukacji Narodowej oraz kuratorów oświaty nad praktyką organizowania zajęć</w:t>
      </w:r>
      <w:r w:rsidR="00992FD0" w:rsidRPr="00EC250C">
        <w:t xml:space="preserve"> w </w:t>
      </w:r>
      <w:r w:rsidRPr="00EC250C">
        <w:t>ramach przedmiotu „Wychowanie do życia</w:t>
      </w:r>
      <w:r w:rsidR="00992FD0" w:rsidRPr="00EC250C">
        <w:t xml:space="preserve"> w </w:t>
      </w:r>
      <w:r w:rsidRPr="00EC250C">
        <w:t>rodzinie”, tak aby była ona również zgodna ze współczesną wiedzą oraz zachowywała neutralny światopoglądowo charakter.</w:t>
      </w:r>
    </w:p>
    <w:p w14:paraId="04607C0D" w14:textId="77777777" w:rsidR="00192982" w:rsidRPr="00EC250C" w:rsidRDefault="00192982" w:rsidP="006C70B7">
      <w:pPr>
        <w:pStyle w:val="Styl1"/>
        <w:numPr>
          <w:ilvl w:val="0"/>
          <w:numId w:val="104"/>
        </w:numPr>
      </w:pPr>
      <w:r w:rsidRPr="00EC250C">
        <w:t>Potrzebna jest lepsza edukacja</w:t>
      </w:r>
      <w:r w:rsidR="00992FD0" w:rsidRPr="00EC250C">
        <w:t xml:space="preserve"> i </w:t>
      </w:r>
      <w:r w:rsidRPr="00EC250C">
        <w:t>informowanie społeczeństwa, co do szans</w:t>
      </w:r>
      <w:r w:rsidR="00992FD0" w:rsidRPr="00EC250C">
        <w:t xml:space="preserve"> i </w:t>
      </w:r>
      <w:r w:rsidRPr="00EC250C">
        <w:t>zagrożeń płynących</w:t>
      </w:r>
      <w:r w:rsidR="00992FD0" w:rsidRPr="00EC250C">
        <w:t xml:space="preserve"> z </w:t>
      </w:r>
      <w:r w:rsidRPr="00EC250C">
        <w:t>rozwoju nowych technologii. Zwłaszcza jeśli chodzi</w:t>
      </w:r>
      <w:r w:rsidR="00992FD0" w:rsidRPr="00EC250C">
        <w:t xml:space="preserve"> o </w:t>
      </w:r>
      <w:r w:rsidRPr="00EC250C">
        <w:t>zasady</w:t>
      </w:r>
      <w:r w:rsidR="00992FD0" w:rsidRPr="00EC250C">
        <w:t xml:space="preserve"> i </w:t>
      </w:r>
      <w:r w:rsidRPr="00EC250C">
        <w:t>konsekwencje działania samouczących się systemów. Musimy „patrzeć na ręce algorytmom”, by uchronić się od utraty kontroli</w:t>
      </w:r>
      <w:r w:rsidR="00992FD0" w:rsidRPr="00EC250C">
        <w:t xml:space="preserve"> i </w:t>
      </w:r>
      <w:r w:rsidRPr="00EC250C">
        <w:t>możliwości niewłaściwego wykorzystywania naszych danych.</w:t>
      </w:r>
    </w:p>
    <w:p w14:paraId="0483A22B" w14:textId="77777777" w:rsidR="00192982" w:rsidRPr="00EC250C" w:rsidRDefault="00192982" w:rsidP="006C70B7">
      <w:pPr>
        <w:pStyle w:val="Styl1"/>
        <w:numPr>
          <w:ilvl w:val="0"/>
          <w:numId w:val="104"/>
        </w:numPr>
      </w:pPr>
      <w:r w:rsidRPr="00EC250C">
        <w:t>Musimy podejmować bardziej efektywne działania na rzecz wyegzekwowania od państwa jego odpowiedzialności za ochronę środowiska. Tylko państwo ma narzędzia (lub możliwość ich ustanowienia) do realizacji tego celu. Konstytucja RP</w:t>
      </w:r>
      <w:r w:rsidR="00992FD0" w:rsidRPr="00EC250C">
        <w:t xml:space="preserve"> w </w:t>
      </w:r>
      <w:r w:rsidRPr="00EC250C">
        <w:t>art. 68 gwarantuje obywatelom prawo do ochrony zdrowia. Realizacja tego prawa jest możliwa</w:t>
      </w:r>
      <w:r w:rsidR="00992FD0" w:rsidRPr="00EC250C">
        <w:t xml:space="preserve"> w </w:t>
      </w:r>
      <w:r w:rsidRPr="00EC250C">
        <w:t>szczególności wtedy, gdy władze państwowe wywiązują się</w:t>
      </w:r>
      <w:r w:rsidR="00992FD0" w:rsidRPr="00EC250C">
        <w:t xml:space="preserve"> z </w:t>
      </w:r>
      <w:r w:rsidRPr="00EC250C">
        <w:t>obowiązku dbałości</w:t>
      </w:r>
      <w:r w:rsidR="00992FD0" w:rsidRPr="00EC250C">
        <w:t xml:space="preserve"> o </w:t>
      </w:r>
      <w:r w:rsidRPr="00EC250C">
        <w:t>środowisko (art. 74 Konstytucji). Zapewnienie równowagi przyrodniczej można zatem traktować jako równoznaczne</w:t>
      </w:r>
      <w:r w:rsidR="00992FD0" w:rsidRPr="00EC250C">
        <w:t xml:space="preserve"> z </w:t>
      </w:r>
      <w:r w:rsidRPr="00EC250C">
        <w:t>ochroną zdrowia obywateli. Skuteczna ochrona środowiska to nie tylko przeciwdziałanie zanieczyszczeniom, ale również ochrona bioróżnorodności</w:t>
      </w:r>
      <w:r w:rsidR="00992FD0" w:rsidRPr="00EC250C">
        <w:t xml:space="preserve"> i </w:t>
      </w:r>
      <w:r w:rsidRPr="00EC250C">
        <w:t>stabilnego klimatu.</w:t>
      </w:r>
    </w:p>
    <w:p w14:paraId="48F0FBE0" w14:textId="77777777" w:rsidR="00192982" w:rsidRPr="00EC250C" w:rsidRDefault="00192982" w:rsidP="006C70B7">
      <w:pPr>
        <w:pStyle w:val="Styl1"/>
        <w:numPr>
          <w:ilvl w:val="0"/>
          <w:numId w:val="104"/>
        </w:numPr>
      </w:pPr>
      <w:r w:rsidRPr="00EC250C">
        <w:t>Powinniśmy też korzystać częściej</w:t>
      </w:r>
      <w:r w:rsidR="00992FD0" w:rsidRPr="00EC250C">
        <w:t xml:space="preserve"> z </w:t>
      </w:r>
      <w:r w:rsidRPr="00EC250C">
        <w:t>praw wynikających</w:t>
      </w:r>
      <w:r w:rsidR="00992FD0" w:rsidRPr="00EC250C">
        <w:t xml:space="preserve"> z </w:t>
      </w:r>
      <w:r w:rsidRPr="00EC250C">
        <w:t>Konwencji Aarhus, która gwarantuje prawo do informacji</w:t>
      </w:r>
      <w:r w:rsidR="00992FD0" w:rsidRPr="00EC250C">
        <w:t xml:space="preserve"> i </w:t>
      </w:r>
      <w:r w:rsidRPr="00EC250C">
        <w:t>udziału</w:t>
      </w:r>
      <w:r w:rsidR="00992FD0" w:rsidRPr="00EC250C">
        <w:t xml:space="preserve"> w </w:t>
      </w:r>
      <w:r w:rsidRPr="00EC250C">
        <w:t>podejmowaniu decyzji oraz dostęp do wymiaru sprawiedliwości</w:t>
      </w:r>
      <w:r w:rsidR="00992FD0" w:rsidRPr="00EC250C">
        <w:t xml:space="preserve"> w </w:t>
      </w:r>
      <w:r w:rsidRPr="00EC250C">
        <w:t>sprawach dotyczących środowiska. Dzięki temu można egzekwować od władzy realizację jej obowiązków</w:t>
      </w:r>
      <w:r w:rsidR="00992FD0" w:rsidRPr="00EC250C">
        <w:t xml:space="preserve"> w </w:t>
      </w:r>
      <w:r w:rsidRPr="00EC250C">
        <w:t>tym zakresie na drodze sądowej.</w:t>
      </w:r>
    </w:p>
    <w:p w14:paraId="5FFB9950" w14:textId="77777777" w:rsidR="00192982" w:rsidRPr="00EC250C" w:rsidRDefault="00192982" w:rsidP="006C70B7">
      <w:pPr>
        <w:pStyle w:val="Styl1"/>
        <w:numPr>
          <w:ilvl w:val="0"/>
          <w:numId w:val="104"/>
        </w:numPr>
      </w:pPr>
      <w:r w:rsidRPr="00EC250C">
        <w:t>Istnieje również możliwość stosowania art 364 p.o.ś. (wstrzymanie działalności</w:t>
      </w:r>
      <w:r w:rsidR="00992FD0" w:rsidRPr="00EC250C">
        <w:t xml:space="preserve"> z </w:t>
      </w:r>
      <w:r w:rsidRPr="00EC250C">
        <w:t>powodu zagrożenia dla zdrowia ludzkiego). Na przykład</w:t>
      </w:r>
      <w:r w:rsidR="00992FD0" w:rsidRPr="00EC250C">
        <w:t xml:space="preserve"> w </w:t>
      </w:r>
      <w:r w:rsidRPr="00EC250C">
        <w:t>przypadku problemu uciążliwości zapachowych</w:t>
      </w:r>
      <w:r w:rsidR="00992FD0" w:rsidRPr="00EC250C">
        <w:t xml:space="preserve"> i </w:t>
      </w:r>
      <w:r w:rsidRPr="00EC250C">
        <w:t>wystąpienia zagrożenia dla zdrowia psychicznego ludzi. W ujęciu holistycznym bowiem zdrowie człowieka obejmuje nie tylko jego fizyczność, ale</w:t>
      </w:r>
      <w:r w:rsidR="00992FD0" w:rsidRPr="00EC250C">
        <w:t xml:space="preserve"> i </w:t>
      </w:r>
      <w:r w:rsidRPr="00EC250C">
        <w:t>psychikę, której podstawą jest dobre samopoczucie. Taka wykładnia może pozwolić organom Inspekcji Ochrony Środowiska na ograniczenie legalnej, lecz uciążliwej działalności, jako zagrażającej życiu lub zdrowiu człowieka.</w:t>
      </w:r>
    </w:p>
    <w:p w14:paraId="52358334" w14:textId="77777777" w:rsidR="00192982" w:rsidRPr="00EC250C" w:rsidRDefault="00192982" w:rsidP="006C70B7">
      <w:pPr>
        <w:pStyle w:val="Styl1"/>
        <w:numPr>
          <w:ilvl w:val="0"/>
          <w:numId w:val="104"/>
        </w:numPr>
      </w:pPr>
      <w:r w:rsidRPr="00EC250C">
        <w:t>Należy ponadto dążyć do wprowadzenia prawa podmiotowego do czystego środowiska. Dawałoby to większe możliwości, na przykład</w:t>
      </w:r>
      <w:r w:rsidR="00992FD0" w:rsidRPr="00EC250C">
        <w:t xml:space="preserve"> w </w:t>
      </w:r>
      <w:r w:rsidRPr="00EC250C">
        <w:t>zakresie zanieczyszczenia powietrza, korzystania</w:t>
      </w:r>
      <w:r w:rsidR="00992FD0" w:rsidRPr="00EC250C">
        <w:t xml:space="preserve"> z </w:t>
      </w:r>
      <w:r w:rsidRPr="00EC250C">
        <w:t>prawa do nieskażonego środowiska jako dobra osobistego człowieka. A co za tym idzie</w:t>
      </w:r>
      <w:r w:rsidR="00026572" w:rsidRPr="00EC250C">
        <w:t xml:space="preserve"> – </w:t>
      </w:r>
      <w:r w:rsidRPr="00EC250C">
        <w:t>poszukiwania ochrony</w:t>
      </w:r>
      <w:r w:rsidR="00992FD0" w:rsidRPr="00EC250C">
        <w:t xml:space="preserve"> w </w:t>
      </w:r>
      <w:r w:rsidRPr="00EC250C">
        <w:t>trybie powództwa</w:t>
      </w:r>
      <w:r w:rsidR="00992FD0" w:rsidRPr="00EC250C">
        <w:t xml:space="preserve"> o </w:t>
      </w:r>
      <w:r w:rsidRPr="00EC250C">
        <w:t>naruszenie dóbr osobistych.</w:t>
      </w:r>
    </w:p>
    <w:p w14:paraId="69F7465E" w14:textId="77777777" w:rsidR="00192982" w:rsidRPr="00EC250C" w:rsidRDefault="00192982" w:rsidP="006C70B7">
      <w:pPr>
        <w:pStyle w:val="Styl1"/>
        <w:numPr>
          <w:ilvl w:val="0"/>
          <w:numId w:val="104"/>
        </w:numPr>
      </w:pPr>
      <w:r w:rsidRPr="00EC250C">
        <w:t>Podejmujmy działania, aby przekonać jak największą liczbę samorządów do stosowania Karty Praw Osób Doświadczających Bezdomności. Stwarza ona możliwość na systemowe</w:t>
      </w:r>
      <w:r w:rsidR="00992FD0" w:rsidRPr="00EC250C">
        <w:t xml:space="preserve"> i </w:t>
      </w:r>
      <w:r w:rsidRPr="00EC250C">
        <w:t>kompleksowe rozwiązywanie problemu.</w:t>
      </w:r>
    </w:p>
    <w:p w14:paraId="4E53743E" w14:textId="77777777" w:rsidR="00192982" w:rsidRPr="00EC250C" w:rsidRDefault="00192982" w:rsidP="006C70B7">
      <w:pPr>
        <w:pStyle w:val="Styl1"/>
        <w:numPr>
          <w:ilvl w:val="0"/>
          <w:numId w:val="104"/>
        </w:numPr>
      </w:pPr>
      <w:r w:rsidRPr="00EC250C">
        <w:lastRenderedPageBreak/>
        <w:t>Musimy dążyć do tego, aby ograniczyć postępujące wykluczenie transportowe mieszkańców mniejszych miast</w:t>
      </w:r>
      <w:r w:rsidR="00992FD0" w:rsidRPr="00EC250C">
        <w:t xml:space="preserve"> i </w:t>
      </w:r>
      <w:r w:rsidRPr="00EC250C">
        <w:t>wsi, którzy mają problemy</w:t>
      </w:r>
      <w:r w:rsidR="00992FD0" w:rsidRPr="00EC250C">
        <w:t xml:space="preserve"> z </w:t>
      </w:r>
      <w:r w:rsidRPr="00EC250C">
        <w:t>dojazdem publicznym transportem do miejsc pracy, ośrodków zdrowia czy placówek kulturalno-oświatowych. W tym celu można m.in. udostępnić dowozy szkolne dla wszystkich potrzebujących czy wprowadzić autobusy na telefon. Niezbędne jest tu również większe zaangażowanie władz samorządowych, zarówno na poziomie gminy, jak</w:t>
      </w:r>
      <w:r w:rsidR="00992FD0" w:rsidRPr="00EC250C">
        <w:t xml:space="preserve"> i </w:t>
      </w:r>
      <w:r w:rsidRPr="00EC250C">
        <w:t>województwa.</w:t>
      </w:r>
    </w:p>
    <w:p w14:paraId="729F3E2B" w14:textId="77777777" w:rsidR="00192982" w:rsidRPr="00EC250C" w:rsidRDefault="00192982" w:rsidP="00D131FA">
      <w:pPr>
        <w:pStyle w:val="Srdtytul6"/>
        <w:jc w:val="both"/>
      </w:pPr>
      <w:r w:rsidRPr="00EC250C">
        <w:t>Efektywność wymiaru sprawiedliwości</w:t>
      </w:r>
    </w:p>
    <w:p w14:paraId="6220FB0B" w14:textId="77777777" w:rsidR="00192982" w:rsidRPr="00EC250C" w:rsidRDefault="00192982" w:rsidP="006C70B7">
      <w:pPr>
        <w:pStyle w:val="Styl1"/>
        <w:numPr>
          <w:ilvl w:val="0"/>
          <w:numId w:val="104"/>
        </w:numPr>
      </w:pPr>
      <w:r w:rsidRPr="00EC250C">
        <w:t>Działanie sądów trzeba poprawiać. Gwarancję sprawiedliwego wyroku daje tylko sąd, który jest niezależny, kompetentny, rozliczalny</w:t>
      </w:r>
      <w:r w:rsidR="00992FD0" w:rsidRPr="00EC250C">
        <w:t xml:space="preserve"> i </w:t>
      </w:r>
      <w:r w:rsidRPr="00EC250C">
        <w:t>efektywny. Dlatego rozmawiajmy na temat modelu wyboru sędziów, czy struktury</w:t>
      </w:r>
      <w:r w:rsidR="00992FD0" w:rsidRPr="00EC250C">
        <w:t xml:space="preserve"> i </w:t>
      </w:r>
      <w:r w:rsidRPr="00EC250C">
        <w:t>organizacji wymiaru sprawiedliwości</w:t>
      </w:r>
      <w:r w:rsidR="00992FD0" w:rsidRPr="00EC250C">
        <w:t xml:space="preserve"> w </w:t>
      </w:r>
      <w:r w:rsidRPr="00EC250C">
        <w:t>Polsce, nie wolno nam się nigdy zgodzić na utratę podstawowych wartości konstytucyjnych tych instytucji: sądy muszą być niezależne,</w:t>
      </w:r>
      <w:r w:rsidR="00992FD0" w:rsidRPr="00EC250C">
        <w:t xml:space="preserve"> a </w:t>
      </w:r>
      <w:r w:rsidRPr="00EC250C">
        <w:t>sędziowie niezawiśli.</w:t>
      </w:r>
    </w:p>
    <w:p w14:paraId="264BC5EA" w14:textId="77777777" w:rsidR="00192982" w:rsidRPr="00EC250C" w:rsidRDefault="00192982" w:rsidP="006C70B7">
      <w:pPr>
        <w:pStyle w:val="Styl1"/>
        <w:numPr>
          <w:ilvl w:val="0"/>
          <w:numId w:val="104"/>
        </w:numPr>
      </w:pPr>
      <w:bookmarkStart w:id="833" w:name="bookmark5"/>
      <w:r w:rsidRPr="00EC250C">
        <w:t>Należy popierać kontynuowanie działań na rzecz cyfryzacji wymiaru sprawiedliwości,</w:t>
      </w:r>
      <w:bookmarkEnd w:id="833"/>
      <w:r w:rsidRPr="00EC250C">
        <w:t xml:space="preserve"> dzięki temu duża część dokumentacji</w:t>
      </w:r>
      <w:r w:rsidR="00992FD0" w:rsidRPr="00EC250C">
        <w:t xml:space="preserve"> w </w:t>
      </w:r>
      <w:r w:rsidRPr="00EC250C">
        <w:t>postępowaniu będzie dostępna</w:t>
      </w:r>
      <w:r w:rsidR="00992FD0" w:rsidRPr="00EC250C">
        <w:t xml:space="preserve"> w </w:t>
      </w:r>
      <w:r w:rsidRPr="00EC250C">
        <w:t>wersji elektronicznej</w:t>
      </w:r>
      <w:r w:rsidR="00992FD0" w:rsidRPr="00EC250C">
        <w:t xml:space="preserve"> i </w:t>
      </w:r>
      <w:r w:rsidRPr="00EC250C">
        <w:t>zgodna ze standardami WCAG 2.0, uwzględniającymi specyficzne potrzeby osób</w:t>
      </w:r>
      <w:r w:rsidR="00992FD0" w:rsidRPr="00EC250C">
        <w:t xml:space="preserve"> z </w:t>
      </w:r>
      <w:r w:rsidRPr="00EC250C">
        <w:t>niepełnosprawnościami.</w:t>
      </w:r>
    </w:p>
    <w:p w14:paraId="43F47195" w14:textId="77777777" w:rsidR="00192982" w:rsidRPr="00EC250C" w:rsidRDefault="00192982" w:rsidP="006C70B7">
      <w:pPr>
        <w:pStyle w:val="Styl1"/>
        <w:numPr>
          <w:ilvl w:val="0"/>
          <w:numId w:val="104"/>
        </w:numPr>
      </w:pPr>
      <w:bookmarkStart w:id="834" w:name="bookmark6"/>
      <w:r w:rsidRPr="00EC250C">
        <w:t>Musimy dążyć do tego, aby wszystkie osoby</w:t>
      </w:r>
      <w:bookmarkEnd w:id="834"/>
      <w:r w:rsidRPr="00EC250C">
        <w:t xml:space="preserve"> pracujące</w:t>
      </w:r>
      <w:r w:rsidR="00992FD0" w:rsidRPr="00EC250C">
        <w:t xml:space="preserve"> w </w:t>
      </w:r>
      <w:r w:rsidRPr="00EC250C">
        <w:t>wymiarze sprawiedliwości, bez względu na stanowisko</w:t>
      </w:r>
      <w:r w:rsidR="00992FD0" w:rsidRPr="00EC250C">
        <w:t xml:space="preserve"> i </w:t>
      </w:r>
      <w:r w:rsidRPr="00EC250C">
        <w:t>pełnioną funkcję, przeszły przeszkolenie</w:t>
      </w:r>
      <w:r w:rsidR="00992FD0" w:rsidRPr="00EC250C">
        <w:t xml:space="preserve"> w </w:t>
      </w:r>
      <w:r w:rsidRPr="00EC250C">
        <w:t>zakresie szczególnych potrzeb osób</w:t>
      </w:r>
      <w:r w:rsidR="00992FD0" w:rsidRPr="00EC250C">
        <w:t xml:space="preserve"> z </w:t>
      </w:r>
      <w:r w:rsidRPr="00EC250C">
        <w:t>niepełnosprawnościami oraz działań antydyskryminacyjnych. Tę wiedzę należy także włączyć do programu studiów prawniczych,</w:t>
      </w:r>
      <w:r w:rsidR="00992FD0" w:rsidRPr="00EC250C">
        <w:t xml:space="preserve"> w </w:t>
      </w:r>
      <w:r w:rsidRPr="00EC250C">
        <w:t>tym szkoleń aplikantów oraz Krajowej Szkoły Sądownictwa</w:t>
      </w:r>
      <w:r w:rsidR="00992FD0" w:rsidRPr="00EC250C">
        <w:t xml:space="preserve"> i </w:t>
      </w:r>
      <w:bookmarkStart w:id="835" w:name="bookmark7"/>
      <w:r w:rsidRPr="00EC250C">
        <w:t>Prokuratury.</w:t>
      </w:r>
      <w:bookmarkEnd w:id="835"/>
    </w:p>
    <w:p w14:paraId="13B63739" w14:textId="77777777" w:rsidR="00192982" w:rsidRPr="00EC250C" w:rsidRDefault="00192982" w:rsidP="006C70B7">
      <w:pPr>
        <w:pStyle w:val="Styl1"/>
        <w:numPr>
          <w:ilvl w:val="0"/>
          <w:numId w:val="104"/>
        </w:numPr>
      </w:pPr>
      <w:r w:rsidRPr="00EC250C">
        <w:t>Podejmujmy działania na rzecz zniesienia instytucji ubezwłasnowolnienia</w:t>
      </w:r>
      <w:r w:rsidR="00992FD0" w:rsidRPr="00EC250C">
        <w:t xml:space="preserve"> w </w:t>
      </w:r>
      <w:r w:rsidRPr="00EC250C">
        <w:t>jej obecnym kształcie, jako niezgodnej</w:t>
      </w:r>
      <w:r w:rsidR="00992FD0" w:rsidRPr="00EC250C">
        <w:t xml:space="preserve"> z </w:t>
      </w:r>
      <w:r w:rsidRPr="00EC250C">
        <w:t>postanowieniami Konwencji</w:t>
      </w:r>
      <w:r w:rsidR="00992FD0" w:rsidRPr="00EC250C">
        <w:t xml:space="preserve"> o </w:t>
      </w:r>
      <w:r w:rsidRPr="00EC250C">
        <w:t>prawach osób niepełnosprawnych. W to miejsce wprowadzajmy różnorodne formy pomocy oparte na modelu wspieranego podejmowania decyzji.</w:t>
      </w:r>
    </w:p>
    <w:p w14:paraId="5071543B" w14:textId="77777777" w:rsidR="00192982" w:rsidRPr="00EC250C" w:rsidRDefault="00192982" w:rsidP="006C70B7">
      <w:pPr>
        <w:pStyle w:val="Styl1"/>
        <w:numPr>
          <w:ilvl w:val="0"/>
          <w:numId w:val="104"/>
        </w:numPr>
      </w:pPr>
      <w:r w:rsidRPr="00EC250C">
        <w:t>Potrzebny jest też plan na poziomie centralnym dotyczący całościowej deinstytucjonalizacji opieki nad osobami</w:t>
      </w:r>
      <w:r w:rsidR="00992FD0" w:rsidRPr="00EC250C">
        <w:t xml:space="preserve"> z </w:t>
      </w:r>
      <w:r w:rsidRPr="00EC250C">
        <w:t>niepełnosprawnościami. Apelujmy do władz</w:t>
      </w:r>
      <w:r w:rsidR="00992FD0" w:rsidRPr="00EC250C">
        <w:t xml:space="preserve"> i </w:t>
      </w:r>
      <w:r w:rsidRPr="00EC250C">
        <w:t>parlamentarzystów</w:t>
      </w:r>
      <w:r w:rsidR="00992FD0" w:rsidRPr="00EC250C">
        <w:t xml:space="preserve"> o </w:t>
      </w:r>
      <w:r w:rsidRPr="00EC250C">
        <w:t>podjęcie inicjatywy</w:t>
      </w:r>
      <w:r w:rsidR="00992FD0" w:rsidRPr="00EC250C">
        <w:t xml:space="preserve"> w </w:t>
      </w:r>
      <w:r w:rsidRPr="00EC250C">
        <w:t>tym zakresie</w:t>
      </w:r>
      <w:r w:rsidR="00992FD0" w:rsidRPr="00EC250C">
        <w:t xml:space="preserve"> i </w:t>
      </w:r>
      <w:r w:rsidRPr="00EC250C">
        <w:t>wdrożenie Krajowego Programu Deinstytucjonalizacji.</w:t>
      </w:r>
    </w:p>
    <w:p w14:paraId="26B94310" w14:textId="77777777" w:rsidR="00192982" w:rsidRPr="00EC250C" w:rsidRDefault="00192982" w:rsidP="006C70B7">
      <w:pPr>
        <w:pStyle w:val="Styl1"/>
        <w:numPr>
          <w:ilvl w:val="0"/>
          <w:numId w:val="104"/>
        </w:numPr>
      </w:pPr>
      <w:r w:rsidRPr="00EC250C">
        <w:t>Musimy dążyć do zmiany obecnego sądowego systemu kontroli inwigilacji jednostki przez służby specjalne. Po zakończeniu postępowania</w:t>
      </w:r>
      <w:r w:rsidR="00992FD0" w:rsidRPr="00EC250C">
        <w:t xml:space="preserve"> w </w:t>
      </w:r>
      <w:r w:rsidRPr="00EC250C">
        <w:t>sprawie osoba, której rozmowy nagrano, powinna być</w:t>
      </w:r>
      <w:r w:rsidR="00992FD0" w:rsidRPr="00EC250C">
        <w:t xml:space="preserve"> o </w:t>
      </w:r>
      <w:r w:rsidRPr="00EC250C">
        <w:t>tym informowana. Pozwoliłoby to na skuteczniejsze weryfikowanie zasadności podsłuchów. Sądom należy zaś zapewnić wsparcie finansowe</w:t>
      </w:r>
      <w:r w:rsidR="00992FD0" w:rsidRPr="00EC250C">
        <w:t xml:space="preserve"> i </w:t>
      </w:r>
      <w:r w:rsidRPr="00EC250C">
        <w:t>kadrowe</w:t>
      </w:r>
      <w:r w:rsidR="00992FD0" w:rsidRPr="00EC250C">
        <w:t xml:space="preserve"> w </w:t>
      </w:r>
      <w:r w:rsidRPr="00EC250C">
        <w:t>tym zakresie. Warto także rozważyć, czy nie wprowadzić systemu znanego</w:t>
      </w:r>
      <w:r w:rsidR="00992FD0" w:rsidRPr="00EC250C">
        <w:t xml:space="preserve"> z </w:t>
      </w:r>
      <w:r w:rsidRPr="00EC250C">
        <w:t>Niemiec czy Wlk. Brytanii, gdzie zasadność inwigilacji badają pozasądowe, niezależne organy.</w:t>
      </w:r>
    </w:p>
    <w:p w14:paraId="2C4E784F" w14:textId="77777777" w:rsidR="00192982" w:rsidRPr="00EC250C" w:rsidRDefault="00192982" w:rsidP="006C70B7">
      <w:pPr>
        <w:pStyle w:val="Styl1"/>
        <w:numPr>
          <w:ilvl w:val="0"/>
          <w:numId w:val="104"/>
        </w:numPr>
      </w:pPr>
      <w:r w:rsidRPr="00EC250C">
        <w:lastRenderedPageBreak/>
        <w:t>Jedną</w:t>
      </w:r>
      <w:r w:rsidR="00992FD0" w:rsidRPr="00EC250C">
        <w:t xml:space="preserve"> z </w:t>
      </w:r>
      <w:r w:rsidRPr="00EC250C">
        <w:t>bolączek polskiego sądownictwa jest nieefektywny system korzystania</w:t>
      </w:r>
      <w:r w:rsidR="00992FD0" w:rsidRPr="00EC250C">
        <w:t xml:space="preserve"> z </w:t>
      </w:r>
      <w:r w:rsidRPr="00EC250C">
        <w:t>biegłych sądowych. Tymczasem ich rola</w:t>
      </w:r>
      <w:r w:rsidR="00992FD0" w:rsidRPr="00EC250C">
        <w:t xml:space="preserve"> w </w:t>
      </w:r>
      <w:r w:rsidRPr="00EC250C">
        <w:t>procedurze sądowej jest niezwykle ważna, często bezpośrednio wpływająca na orzeczenie. Dlatego potrzebna jest weryfikacja sposobu ich doboru oraz stworzenie centralnego rejestru biegłych sądowych.</w:t>
      </w:r>
    </w:p>
    <w:p w14:paraId="596A2AB7" w14:textId="77777777" w:rsidR="00192982" w:rsidRPr="00EC250C" w:rsidRDefault="00192982" w:rsidP="006C70B7">
      <w:pPr>
        <w:pStyle w:val="Styl1"/>
        <w:numPr>
          <w:ilvl w:val="0"/>
          <w:numId w:val="104"/>
        </w:numPr>
      </w:pPr>
      <w:r w:rsidRPr="00EC250C">
        <w:t>Niezbędne są zmiany</w:t>
      </w:r>
      <w:r w:rsidR="00992FD0" w:rsidRPr="00EC250C">
        <w:t xml:space="preserve"> w </w:t>
      </w:r>
      <w:r w:rsidRPr="00EC250C">
        <w:t>stosowaniu języka urzędowego</w:t>
      </w:r>
      <w:r w:rsidR="00992FD0" w:rsidRPr="00EC250C">
        <w:t xml:space="preserve"> w </w:t>
      </w:r>
      <w:r w:rsidRPr="00EC250C">
        <w:t>sądach oraz poprawa komunikatywności uzasadnień wyroków. Obywatelowi, który nie rozumie wyroku sądu, trudno zaufać wymiarowi sprawiedliwości. Warto</w:t>
      </w:r>
      <w:r w:rsidR="00992FD0" w:rsidRPr="00EC250C">
        <w:t xml:space="preserve"> w </w:t>
      </w:r>
      <w:r w:rsidRPr="00EC250C">
        <w:t>tym zakresie lepiej wykorzystywać nowe technologie. Zaufanie mogłoby umocnić także wprowadzenie jawności algorytmów przyznawania spraw sędziom. Ponadto ważne jest, aby obywatele mieli poczucie, że samym sędziom zależy na większej otwartości</w:t>
      </w:r>
      <w:r w:rsidR="00992FD0" w:rsidRPr="00EC250C">
        <w:t xml:space="preserve"> i </w:t>
      </w:r>
      <w:r w:rsidRPr="00EC250C">
        <w:t>wprowadzaniu koniecznych zmian.</w:t>
      </w:r>
    </w:p>
    <w:p w14:paraId="58F59B46" w14:textId="77777777" w:rsidR="00192982" w:rsidRPr="00EC250C" w:rsidRDefault="00192982" w:rsidP="006C70B7">
      <w:pPr>
        <w:pStyle w:val="Styl1"/>
        <w:numPr>
          <w:ilvl w:val="0"/>
          <w:numId w:val="104"/>
        </w:numPr>
      </w:pPr>
      <w:bookmarkStart w:id="836" w:name="bookmark8"/>
      <w:r w:rsidRPr="00EC250C">
        <w:t>Należy zadbać</w:t>
      </w:r>
      <w:r w:rsidR="00992FD0" w:rsidRPr="00EC250C">
        <w:t xml:space="preserve"> o </w:t>
      </w:r>
      <w:r w:rsidRPr="00EC250C">
        <w:t>wykorzystywanie nowoczesnych form edukacji prawnej obywateli.</w:t>
      </w:r>
      <w:bookmarkEnd w:id="836"/>
      <w:r w:rsidRPr="00EC250C">
        <w:t xml:space="preserve"> Niezwykle skutecznym narzędziem</w:t>
      </w:r>
      <w:r w:rsidR="00992FD0" w:rsidRPr="00EC250C">
        <w:t xml:space="preserve"> w </w:t>
      </w:r>
      <w:r w:rsidRPr="00EC250C">
        <w:t>tym zakresie jest symulacja procesu sądowego. Uczy nie tylko podstaw postępowania przed sądem, ale także widzenia świata</w:t>
      </w:r>
      <w:r w:rsidR="00992FD0" w:rsidRPr="00EC250C">
        <w:t xml:space="preserve"> w </w:t>
      </w:r>
      <w:r w:rsidRPr="00EC250C">
        <w:t>jego złożoności, unikania uproszczonych ocen</w:t>
      </w:r>
      <w:r w:rsidR="00992FD0" w:rsidRPr="00EC250C">
        <w:t xml:space="preserve"> i </w:t>
      </w:r>
      <w:r w:rsidRPr="00EC250C">
        <w:t>zachowania szacunku dla innych. W tym kontekście musi niepokoić wszczynanie postępowań dyscyplinarnych wobec sędziów za udział</w:t>
      </w:r>
      <w:r w:rsidR="00992FD0" w:rsidRPr="00EC250C">
        <w:t xml:space="preserve"> w </w:t>
      </w:r>
      <w:r w:rsidRPr="00EC250C">
        <w:t>takich formach przybliżania</w:t>
      </w:r>
      <w:r w:rsidR="00992FD0" w:rsidRPr="00EC250C">
        <w:t xml:space="preserve"> i </w:t>
      </w:r>
      <w:r w:rsidRPr="00EC250C">
        <w:t>objaśniania pracy sądów obywatelom.</w:t>
      </w:r>
    </w:p>
    <w:p w14:paraId="6152C2BD" w14:textId="77777777" w:rsidR="00192982" w:rsidRPr="00EC250C" w:rsidRDefault="00192982" w:rsidP="006C70B7">
      <w:pPr>
        <w:pStyle w:val="Styl1"/>
        <w:numPr>
          <w:ilvl w:val="0"/>
          <w:numId w:val="104"/>
        </w:numPr>
      </w:pPr>
      <w:r w:rsidRPr="00EC250C">
        <w:t>Żeby reforma wymiaru sprawiedliwości przynosiła oczekiwane rezultaty, konieczne jest zastosowanie właściwych metod do pomiaru efektywności pracy sądów. Musimy dążyć do tego, aby</w:t>
      </w:r>
      <w:r w:rsidR="00992FD0" w:rsidRPr="00EC250C">
        <w:t xml:space="preserve"> w </w:t>
      </w:r>
      <w:r w:rsidRPr="00EC250C">
        <w:t>tym zakresie były brane pod uwagę zarówno czynniki ilościowe, jak</w:t>
      </w:r>
      <w:r w:rsidR="00992FD0" w:rsidRPr="00EC250C">
        <w:t xml:space="preserve"> i </w:t>
      </w:r>
      <w:r w:rsidRPr="00EC250C">
        <w:t>jakościowe. Ogromnie ważne jest również to, aby system ten był czytelny dla obywateli.</w:t>
      </w:r>
    </w:p>
    <w:p w14:paraId="3F05C598" w14:textId="77777777" w:rsidR="00192982" w:rsidRPr="00EC250C" w:rsidRDefault="00192982" w:rsidP="00D131FA">
      <w:pPr>
        <w:spacing w:after="200" w:line="24" w:lineRule="auto"/>
        <w:jc w:val="both"/>
        <w:rPr>
          <w:b/>
          <w:color w:val="002368"/>
          <w:spacing w:val="0"/>
          <w:sz w:val="32"/>
        </w:rPr>
      </w:pPr>
    </w:p>
    <w:p w14:paraId="5B7A3880" w14:textId="77777777" w:rsidR="00C91F6E" w:rsidRPr="00EC250C" w:rsidRDefault="00192982" w:rsidP="00EC79EB">
      <w:pPr>
        <w:pStyle w:val="Nagwek4"/>
      </w:pPr>
      <w:bookmarkStart w:id="837" w:name="_Toc11247878"/>
      <w:r w:rsidRPr="00EC250C">
        <w:t>Kongres Praw Rodzicielskich 25</w:t>
      </w:r>
      <w:r w:rsidR="009E2A21" w:rsidRPr="00EC250C">
        <w:t>-</w:t>
      </w:r>
      <w:r w:rsidRPr="00EC250C">
        <w:t>25 czerwca 2018</w:t>
      </w:r>
      <w:r w:rsidR="00C91F6E" w:rsidRPr="00EC250C">
        <w:t> r.</w:t>
      </w:r>
      <w:bookmarkEnd w:id="837"/>
    </w:p>
    <w:p w14:paraId="7AD66FFF" w14:textId="77777777" w:rsidR="00B473F5" w:rsidRPr="00EC250C" w:rsidRDefault="009A04A0" w:rsidP="00D131FA">
      <w:pPr>
        <w:pStyle w:val="Problemczowieka"/>
        <w:jc w:val="both"/>
      </w:pPr>
      <w:r w:rsidRPr="00EC250C">
        <w:t xml:space="preserve">Także </w:t>
      </w:r>
      <w:r w:rsidR="00192982" w:rsidRPr="00EC250C">
        <w:t>Kongres Praw Rodzicielskich wyrósł</w:t>
      </w:r>
      <w:r w:rsidR="00992FD0" w:rsidRPr="00EC250C">
        <w:t xml:space="preserve"> z </w:t>
      </w:r>
      <w:r w:rsidR="00192982" w:rsidRPr="00EC250C">
        <w:t>doświadczeń spotkań regionalnych –</w:t>
      </w:r>
      <w:r w:rsidR="00992FD0" w:rsidRPr="00EC250C">
        <w:t xml:space="preserve"> z </w:t>
      </w:r>
      <w:r w:rsidR="00192982" w:rsidRPr="00EC250C">
        <w:t>liczby zgłaszanych tam spraw dotyczących problemów</w:t>
      </w:r>
      <w:r w:rsidR="00992FD0" w:rsidRPr="00EC250C">
        <w:t xml:space="preserve"> w </w:t>
      </w:r>
      <w:r w:rsidR="00192982" w:rsidRPr="00EC250C">
        <w:t>sądach rodzinnych,</w:t>
      </w:r>
      <w:r w:rsidR="00992FD0" w:rsidRPr="00EC250C">
        <w:t xml:space="preserve"> z </w:t>
      </w:r>
      <w:r w:rsidR="0013752A" w:rsidRPr="00EC250C">
        <w:t>opowieści</w:t>
      </w:r>
      <w:r w:rsidR="00992FD0" w:rsidRPr="00EC250C">
        <w:t xml:space="preserve"> o </w:t>
      </w:r>
      <w:r w:rsidR="00192982" w:rsidRPr="00EC250C">
        <w:t>problemach eurosieroctwa, rodzin transgranicznych, wreszcie –</w:t>
      </w:r>
      <w:r w:rsidR="00992FD0" w:rsidRPr="00EC250C">
        <w:t xml:space="preserve"> z </w:t>
      </w:r>
      <w:r w:rsidR="00192982" w:rsidRPr="00EC250C">
        <w:t>coraz wyraźniej artykułowanych problemów,</w:t>
      </w:r>
      <w:r w:rsidR="00992FD0" w:rsidRPr="00EC250C">
        <w:t xml:space="preserve"> z </w:t>
      </w:r>
      <w:r w:rsidR="00192982" w:rsidRPr="00EC250C">
        <w:t>jakimi borykają się</w:t>
      </w:r>
      <w:r w:rsidR="00992FD0" w:rsidRPr="00EC250C">
        <w:t xml:space="preserve"> w </w:t>
      </w:r>
      <w:r w:rsidR="0013752A" w:rsidRPr="00EC250C">
        <w:t xml:space="preserve">Polsce </w:t>
      </w:r>
      <w:r w:rsidR="00192982" w:rsidRPr="00EC250C">
        <w:t>ojcowie</w:t>
      </w:r>
      <w:r w:rsidR="00B473F5" w:rsidRPr="00EC250C">
        <w:t>.</w:t>
      </w:r>
    </w:p>
    <w:p w14:paraId="0F938040" w14:textId="77777777" w:rsidR="00C91F6E" w:rsidRPr="00EC250C" w:rsidRDefault="00192982" w:rsidP="00D131FA">
      <w:pPr>
        <w:pStyle w:val="Styl1"/>
      </w:pPr>
      <w:r w:rsidRPr="00EC250C">
        <w:t>Stąd pomysł, by – wspólnie</w:t>
      </w:r>
      <w:r w:rsidR="00992FD0" w:rsidRPr="00EC250C">
        <w:t xml:space="preserve"> z </w:t>
      </w:r>
      <w:r w:rsidRPr="00EC250C">
        <w:t>Akademią Pedagogiki Specjalnej im Marii Grzegorzewskiej spotkać się razem</w:t>
      </w:r>
      <w:r w:rsidR="00992FD0" w:rsidRPr="00EC250C">
        <w:t xml:space="preserve"> z </w:t>
      </w:r>
      <w:r w:rsidRPr="00EC250C">
        <w:t xml:space="preserve">rodzicami, </w:t>
      </w:r>
      <w:r w:rsidR="0013752A" w:rsidRPr="00EC250C">
        <w:t xml:space="preserve">pedagogami, </w:t>
      </w:r>
      <w:r w:rsidRPr="00EC250C">
        <w:t>prawnikami, psychologami</w:t>
      </w:r>
      <w:r w:rsidR="0013752A" w:rsidRPr="00EC250C">
        <w:t>,</w:t>
      </w:r>
      <w:r w:rsidR="00992FD0" w:rsidRPr="00EC250C">
        <w:t xml:space="preserve"> i </w:t>
      </w:r>
      <w:r w:rsidRPr="00EC250C">
        <w:t>poszukać rozwiązań dla najpoważniejszych problemów.</w:t>
      </w:r>
    </w:p>
    <w:p w14:paraId="28ABDF68" w14:textId="77777777" w:rsidR="00192982" w:rsidRPr="00EC250C" w:rsidRDefault="00192982" w:rsidP="00D131FA">
      <w:pPr>
        <w:pStyle w:val="Styl1"/>
      </w:pPr>
      <w:r w:rsidRPr="00EC250C">
        <w:t>14 paneli pozwoliło skupić się na konkretnych zagadnieniach,</w:t>
      </w:r>
      <w:r w:rsidR="00992FD0" w:rsidRPr="00EC250C">
        <w:t xml:space="preserve"> a </w:t>
      </w:r>
      <w:r w:rsidRPr="00EC250C">
        <w:t>rekomendacje zostały przedstawione</w:t>
      </w:r>
      <w:r w:rsidR="00992FD0" w:rsidRPr="00EC250C">
        <w:t xml:space="preserve"> w </w:t>
      </w:r>
      <w:r w:rsidRPr="00EC250C">
        <w:t xml:space="preserve">czasie podsumowania Kongresu. </w:t>
      </w:r>
      <w:r w:rsidR="0013752A" w:rsidRPr="00EC250C">
        <w:rPr>
          <w:rStyle w:val="Odwoanieprzypisudolnego"/>
        </w:rPr>
        <w:footnoteReference w:id="835"/>
      </w:r>
    </w:p>
    <w:p w14:paraId="64A66F8C" w14:textId="77777777" w:rsidR="00192982" w:rsidRPr="00EC250C" w:rsidRDefault="00192982" w:rsidP="00EC250C">
      <w:pPr>
        <w:pStyle w:val="Nagwek5"/>
      </w:pPr>
      <w:r w:rsidRPr="00EC250C">
        <w:lastRenderedPageBreak/>
        <w:t>Najważniejsze ustalenia Kongresu</w:t>
      </w:r>
    </w:p>
    <w:p w14:paraId="601234BC" w14:textId="77777777" w:rsidR="00192982" w:rsidRPr="00EC250C" w:rsidRDefault="00BB200F" w:rsidP="00D131FA">
      <w:pPr>
        <w:pStyle w:val="Srdtytul6"/>
        <w:jc w:val="both"/>
      </w:pPr>
      <w:r w:rsidRPr="00EC250C">
        <w:t>Zmiany</w:t>
      </w:r>
      <w:r w:rsidR="00192982" w:rsidRPr="00EC250C">
        <w:t xml:space="preserve"> cywilizacyjne wyzwaniem dla rodziców</w:t>
      </w:r>
    </w:p>
    <w:p w14:paraId="357DF933" w14:textId="77777777" w:rsidR="00D91FBD" w:rsidRPr="00EC250C" w:rsidRDefault="00192982" w:rsidP="00D131FA">
      <w:pPr>
        <w:pStyle w:val="Problemczowieka"/>
        <w:jc w:val="both"/>
      </w:pPr>
      <w:r w:rsidRPr="00EC250C">
        <w:t>To prawda, że nie ma już dziś wielu wielopokoleniowych</w:t>
      </w:r>
      <w:r w:rsidR="00992FD0" w:rsidRPr="00EC250C">
        <w:t xml:space="preserve"> i </w:t>
      </w:r>
      <w:r w:rsidRPr="00EC250C">
        <w:t>wielodzietnych domów rodzinnych</w:t>
      </w:r>
      <w:r w:rsidR="00026572" w:rsidRPr="00EC250C">
        <w:t xml:space="preserve"> – </w:t>
      </w:r>
      <w:r w:rsidRPr="00EC250C">
        <w:t>dziś dzieci są jedynakami, często mieszkają tylko</w:t>
      </w:r>
      <w:r w:rsidR="00992FD0" w:rsidRPr="00EC250C">
        <w:t xml:space="preserve"> z </w:t>
      </w:r>
      <w:r w:rsidRPr="00EC250C">
        <w:t>jednym rodzicem. Ale jednocześnie dzieci mają też pradziadków, co się wcześniej praktycznie nie zdarzało.</w:t>
      </w:r>
      <w:r w:rsidR="00CC4D88" w:rsidRPr="00EC250C">
        <w:t xml:space="preserve"> </w:t>
      </w:r>
      <w:r w:rsidRPr="00EC250C">
        <w:t>Do tego skomplikowane, patchworkowe rodziny nie są wynalazkiem naszych czasów</w:t>
      </w:r>
      <w:r w:rsidR="00026572" w:rsidRPr="00EC250C">
        <w:t xml:space="preserve"> – </w:t>
      </w:r>
      <w:r w:rsidRPr="00EC250C">
        <w:t>zawsze istniały. Co się zatem naprawdę zmienia</w:t>
      </w:r>
      <w:r w:rsidR="00D91FBD" w:rsidRPr="00EC250C">
        <w:t>?</w:t>
      </w:r>
    </w:p>
    <w:p w14:paraId="3CCDD865" w14:textId="77777777" w:rsidR="00192982" w:rsidRPr="00EC250C" w:rsidRDefault="00192982" w:rsidP="006C70B7">
      <w:pPr>
        <w:pStyle w:val="Styl1"/>
        <w:numPr>
          <w:ilvl w:val="0"/>
          <w:numId w:val="105"/>
        </w:numPr>
        <w:ind w:left="426" w:hanging="426"/>
      </w:pPr>
      <w:r w:rsidRPr="00EC250C">
        <w:t>Dłuższe życie to nie tylko nowe obowiązki opiekuńcze wobec seniorów (dzieci jest mniej, ale seniorów</w:t>
      </w:r>
      <w:r w:rsidR="00026572" w:rsidRPr="00EC250C">
        <w:t xml:space="preserve"> – </w:t>
      </w:r>
      <w:r w:rsidRPr="00EC250C">
        <w:t>więcej), ale nowe możliwości komunikacji międzypokoleniowej, możliwe dzięki rozwojowi nowych technologii komunikacyjnych.</w:t>
      </w:r>
    </w:p>
    <w:p w14:paraId="3FF35D61" w14:textId="77777777" w:rsidR="00192982" w:rsidRPr="00EC250C" w:rsidRDefault="00192982" w:rsidP="006C70B7">
      <w:pPr>
        <w:pStyle w:val="Styl1"/>
        <w:numPr>
          <w:ilvl w:val="0"/>
          <w:numId w:val="105"/>
        </w:numPr>
        <w:ind w:left="426" w:hanging="426"/>
      </w:pPr>
      <w:r w:rsidRPr="00EC250C">
        <w:t>Nowe technologie reprodukcyjne, zapłodnienie pozaustrojowe, dawstwo komórek rozrodczych, surogacja, adopcja, stawiają nowe pytania prawne, każą na nowo zdefiniować rodzinę</w:t>
      </w:r>
      <w:r w:rsidR="00992FD0" w:rsidRPr="00EC250C">
        <w:t xml:space="preserve"> i </w:t>
      </w:r>
      <w:r w:rsidRPr="00EC250C">
        <w:t>prawa jej członków.</w:t>
      </w:r>
      <w:r w:rsidR="00CC4D88" w:rsidRPr="00EC250C">
        <w:t xml:space="preserve"> </w:t>
      </w:r>
      <w:r w:rsidRPr="00EC250C">
        <w:t>Nie da się od tego uciec.</w:t>
      </w:r>
    </w:p>
    <w:p w14:paraId="76521F09" w14:textId="77777777" w:rsidR="00192982" w:rsidRPr="00EC250C" w:rsidRDefault="00192982" w:rsidP="006C70B7">
      <w:pPr>
        <w:pStyle w:val="Styl1"/>
        <w:numPr>
          <w:ilvl w:val="0"/>
          <w:numId w:val="105"/>
        </w:numPr>
        <w:ind w:left="426" w:hanging="426"/>
      </w:pPr>
      <w:r w:rsidRPr="00EC250C">
        <w:t xml:space="preserve">Nowe technologie komunikacyjne mogą stanowić zagrożenie. Ale dobrze dobrane do wieku dziecka wspierają rozwój. Świat cyfrowy nie jest zagrożeniem. Tak samo, jak nie </w:t>
      </w:r>
      <w:r w:rsidR="00BB200F" w:rsidRPr="00EC250C">
        <w:t xml:space="preserve">są </w:t>
      </w:r>
      <w:r w:rsidRPr="00EC250C">
        <w:t>zagrożeniem domo</w:t>
      </w:r>
      <w:r w:rsidR="00BB200F" w:rsidRPr="00EC250C">
        <w:t>fony</w:t>
      </w:r>
      <w:r w:rsidRPr="00EC250C">
        <w:t>, lodówki, pralki, radia</w:t>
      </w:r>
      <w:r w:rsidR="00026572" w:rsidRPr="00EC250C">
        <w:t xml:space="preserve"> – </w:t>
      </w:r>
      <w:r w:rsidRPr="00EC250C">
        <w:t>rzeczy których sto lat temu nie było</w:t>
      </w:r>
      <w:r w:rsidR="00026572" w:rsidRPr="00EC250C">
        <w:t xml:space="preserve"> – </w:t>
      </w:r>
      <w:r w:rsidRPr="00EC250C">
        <w:t>ale teraz są powszechne.</w:t>
      </w:r>
      <w:r w:rsidR="00CC4D88" w:rsidRPr="00EC250C">
        <w:t xml:space="preserve"> </w:t>
      </w:r>
      <w:r w:rsidRPr="00EC250C">
        <w:t>Zagrożeniem jest to, jak wprowadzamy do niego nasze dzieci.</w:t>
      </w:r>
    </w:p>
    <w:p w14:paraId="477DA371" w14:textId="77777777" w:rsidR="00192982" w:rsidRPr="00EC250C" w:rsidRDefault="00192982" w:rsidP="006C70B7">
      <w:pPr>
        <w:pStyle w:val="Styl1"/>
        <w:numPr>
          <w:ilvl w:val="0"/>
          <w:numId w:val="105"/>
        </w:numPr>
        <w:ind w:left="426" w:hanging="426"/>
      </w:pPr>
      <w:r w:rsidRPr="00EC250C">
        <w:t>Rozmowa to największe wyzwanie dla rodziny.</w:t>
      </w:r>
    </w:p>
    <w:p w14:paraId="39F3F39A" w14:textId="77777777" w:rsidR="00192982" w:rsidRPr="00EC250C" w:rsidRDefault="00192982" w:rsidP="00D131FA">
      <w:pPr>
        <w:pStyle w:val="Srdtytul6"/>
        <w:jc w:val="both"/>
      </w:pPr>
      <w:r w:rsidRPr="00EC250C">
        <w:t>Problemy</w:t>
      </w:r>
      <w:r w:rsidR="00992FD0" w:rsidRPr="00EC250C">
        <w:t xml:space="preserve"> w </w:t>
      </w:r>
      <w:r w:rsidRPr="00EC250C">
        <w:t>rodzinie (Przemoc czy konflikt oraz zakaz stosowania kar cielesnych).</w:t>
      </w:r>
    </w:p>
    <w:p w14:paraId="5ED534B5" w14:textId="77777777" w:rsidR="00B473F5" w:rsidRPr="00EC250C" w:rsidRDefault="00192982" w:rsidP="00D131FA">
      <w:pPr>
        <w:pStyle w:val="Problemczowieka"/>
        <w:jc w:val="both"/>
        <w:rPr>
          <w:rFonts w:eastAsiaTheme="minorHAnsi"/>
        </w:rPr>
      </w:pPr>
      <w:r w:rsidRPr="00EC250C">
        <w:t>Rozwiązywanie sporów</w:t>
      </w:r>
      <w:r w:rsidR="00992FD0" w:rsidRPr="00EC250C">
        <w:t xml:space="preserve"> i </w:t>
      </w:r>
      <w:r w:rsidRPr="00EC250C">
        <w:t>napięć</w:t>
      </w:r>
      <w:r w:rsidR="00992FD0" w:rsidRPr="00EC250C">
        <w:t xml:space="preserve"> w </w:t>
      </w:r>
      <w:r w:rsidRPr="00EC250C">
        <w:t>rodzinie to jedno</w:t>
      </w:r>
      <w:r w:rsidR="00992FD0" w:rsidRPr="00EC250C">
        <w:t xml:space="preserve"> z </w:t>
      </w:r>
      <w:r w:rsidRPr="00EC250C">
        <w:t>najtrudniejszych zadań</w:t>
      </w:r>
      <w:r w:rsidR="00992FD0" w:rsidRPr="00EC250C">
        <w:t xml:space="preserve"> w </w:t>
      </w:r>
      <w:r w:rsidRPr="00EC250C">
        <w:t>życiu. Nie możemy zakładać, że będziemy to robić tylko tak, jak nasi rodzice.</w:t>
      </w:r>
      <w:r w:rsidR="0013752A" w:rsidRPr="00EC250C">
        <w:t xml:space="preserve"> </w:t>
      </w:r>
      <w:r w:rsidRPr="00EC250C">
        <w:rPr>
          <w:rFonts w:eastAsiaTheme="minorHAnsi"/>
        </w:rPr>
        <w:t>Możemy – mamy prawo</w:t>
      </w:r>
      <w:r w:rsidR="00992FD0" w:rsidRPr="00EC250C">
        <w:rPr>
          <w:rFonts w:eastAsiaTheme="minorHAnsi"/>
        </w:rPr>
        <w:t xml:space="preserve"> i </w:t>
      </w:r>
      <w:r w:rsidRPr="00EC250C">
        <w:rPr>
          <w:rFonts w:eastAsiaTheme="minorHAnsi"/>
        </w:rPr>
        <w:t>obowiązek – poznawać inne metody wychowania. Bo też świat, dla którego wychowujemy dzieci, jest inny niż świat, do którego przygotowywali nas nasi rodzice</w:t>
      </w:r>
      <w:r w:rsidR="00B473F5" w:rsidRPr="00EC250C">
        <w:rPr>
          <w:rFonts w:eastAsiaTheme="minorHAnsi"/>
        </w:rPr>
        <w:t>.</w:t>
      </w:r>
    </w:p>
    <w:p w14:paraId="3453F4D2" w14:textId="77777777" w:rsidR="00192982" w:rsidRPr="00EC250C" w:rsidRDefault="00192982" w:rsidP="006C70B7">
      <w:pPr>
        <w:pStyle w:val="Styl1"/>
        <w:numPr>
          <w:ilvl w:val="0"/>
          <w:numId w:val="106"/>
        </w:numPr>
        <w:ind w:left="426" w:hanging="426"/>
      </w:pPr>
      <w:r w:rsidRPr="00EC250C">
        <w:t>Każdy</w:t>
      </w:r>
      <w:r w:rsidR="00992FD0" w:rsidRPr="00EC250C">
        <w:t xml:space="preserve"> z </w:t>
      </w:r>
      <w:r w:rsidRPr="00EC250C">
        <w:t>nas powinien być ambasadorem zakazu stosowania kar cielesnych.</w:t>
      </w:r>
    </w:p>
    <w:p w14:paraId="13E3F9CD" w14:textId="77777777" w:rsidR="00C91F6E" w:rsidRPr="00EC250C" w:rsidRDefault="0013752A" w:rsidP="006C70B7">
      <w:pPr>
        <w:pStyle w:val="Styl1"/>
        <w:numPr>
          <w:ilvl w:val="0"/>
          <w:numId w:val="106"/>
        </w:numPr>
        <w:ind w:left="426" w:hanging="426"/>
      </w:pPr>
      <w:r w:rsidRPr="00EC250C">
        <w:t>Konieczna jest edukacja prawna</w:t>
      </w:r>
      <w:r w:rsidR="00992FD0" w:rsidRPr="00EC250C">
        <w:t xml:space="preserve"> i </w:t>
      </w:r>
      <w:r w:rsidRPr="00EC250C">
        <w:t>społeczna</w:t>
      </w:r>
      <w:r w:rsidR="00992FD0" w:rsidRPr="00EC250C">
        <w:t xml:space="preserve"> o </w:t>
      </w:r>
      <w:r w:rsidR="00192982" w:rsidRPr="00EC250C">
        <w:t>tym, że prawo zakazuje stosowania kar cielesnych.</w:t>
      </w:r>
    </w:p>
    <w:p w14:paraId="2BF2FB53" w14:textId="77777777" w:rsidR="00192982" w:rsidRPr="00EC250C" w:rsidRDefault="00192982" w:rsidP="006C70B7">
      <w:pPr>
        <w:pStyle w:val="Styl1"/>
        <w:numPr>
          <w:ilvl w:val="0"/>
          <w:numId w:val="106"/>
        </w:numPr>
        <w:ind w:left="426" w:hanging="426"/>
      </w:pPr>
      <w:r w:rsidRPr="00EC250C">
        <w:t>Stosowanie kar cielesnych przenosi się na dalszy rozwój dziecka, nawet stosowanie „klapsów”</w:t>
      </w:r>
      <w:r w:rsidR="0013752A" w:rsidRPr="00EC250C">
        <w:t>.</w:t>
      </w:r>
      <w:r w:rsidRPr="00EC250C">
        <w:t xml:space="preserve"> </w:t>
      </w:r>
      <w:r w:rsidR="0013752A" w:rsidRPr="00EC250C">
        <w:t>N</w:t>
      </w:r>
      <w:r w:rsidRPr="00EC250C">
        <w:t xml:space="preserve">ależy </w:t>
      </w:r>
      <w:r w:rsidR="0013752A" w:rsidRPr="00EC250C">
        <w:t>korzystać</w:t>
      </w:r>
      <w:r w:rsidR="00992FD0" w:rsidRPr="00EC250C">
        <w:t xml:space="preserve"> z </w:t>
      </w:r>
      <w:r w:rsidR="0013752A" w:rsidRPr="00EC250C">
        <w:t xml:space="preserve">innych </w:t>
      </w:r>
      <w:r w:rsidRPr="00EC250C">
        <w:t>metod wychowawczych – bo wiadomo, że takie są.</w:t>
      </w:r>
    </w:p>
    <w:p w14:paraId="23A06E6E" w14:textId="77777777" w:rsidR="00192982" w:rsidRPr="00EC250C" w:rsidRDefault="00192982" w:rsidP="006C70B7">
      <w:pPr>
        <w:pStyle w:val="Styl1"/>
        <w:numPr>
          <w:ilvl w:val="0"/>
          <w:numId w:val="106"/>
        </w:numPr>
        <w:ind w:left="426" w:hanging="426"/>
      </w:pPr>
      <w:r w:rsidRPr="00EC250C">
        <w:t>Konieczne jest wprowadzenie pojęcia odpowiedzialności rodzicielskiej do Kodeksu rodzinnego</w:t>
      </w:r>
      <w:r w:rsidR="00992FD0" w:rsidRPr="00EC250C">
        <w:t xml:space="preserve"> i </w:t>
      </w:r>
      <w:r w:rsidRPr="00EC250C">
        <w:t>opiekuńczego</w:t>
      </w:r>
      <w:r w:rsidR="0013752A" w:rsidRPr="00EC250C">
        <w:t>.</w:t>
      </w:r>
      <w:r w:rsidRPr="00EC250C">
        <w:t xml:space="preserve"> </w:t>
      </w:r>
      <w:r w:rsidR="0013752A" w:rsidRPr="00EC250C">
        <w:t>T</w:t>
      </w:r>
      <w:r w:rsidRPr="00EC250C">
        <w:t>o może istotnie przyczynić się do ograniczenia stosowania przemocy wobec dzieci</w:t>
      </w:r>
      <w:r w:rsidR="00992FD0" w:rsidRPr="00EC250C">
        <w:t xml:space="preserve"> w </w:t>
      </w:r>
      <w:r w:rsidRPr="00EC250C">
        <w:t>rodzinie.</w:t>
      </w:r>
    </w:p>
    <w:p w14:paraId="5CB92C2E" w14:textId="77777777" w:rsidR="00192982" w:rsidRPr="00EC250C" w:rsidRDefault="00192982" w:rsidP="006C70B7">
      <w:pPr>
        <w:pStyle w:val="Styl1"/>
        <w:numPr>
          <w:ilvl w:val="0"/>
          <w:numId w:val="106"/>
        </w:numPr>
        <w:ind w:left="426" w:hanging="426"/>
      </w:pPr>
      <w:r w:rsidRPr="00EC250C">
        <w:lastRenderedPageBreak/>
        <w:t>Powinniśmy poprawić komunikację</w:t>
      </w:r>
      <w:r w:rsidR="00992FD0" w:rsidRPr="00EC250C">
        <w:t xml:space="preserve"> z </w:t>
      </w:r>
      <w:r w:rsidRPr="00EC250C">
        <w:t>dziećmi, tak by</w:t>
      </w:r>
      <w:r w:rsidR="00992FD0" w:rsidRPr="00EC250C">
        <w:t xml:space="preserve"> w </w:t>
      </w:r>
      <w:r w:rsidRPr="00EC250C">
        <w:t>sposób właściwy reagować na ich potrzeby.</w:t>
      </w:r>
    </w:p>
    <w:p w14:paraId="46E0BFB8" w14:textId="77777777" w:rsidR="00192982" w:rsidRPr="00EC250C" w:rsidRDefault="00192982" w:rsidP="006C70B7">
      <w:pPr>
        <w:pStyle w:val="Styl1"/>
        <w:numPr>
          <w:ilvl w:val="0"/>
          <w:numId w:val="106"/>
        </w:numPr>
        <w:ind w:left="426" w:hanging="426"/>
      </w:pPr>
      <w:r w:rsidRPr="00EC250C">
        <w:t>Przemoc należy nazywać przemocą</w:t>
      </w:r>
      <w:r w:rsidR="00992FD0" w:rsidRPr="00EC250C">
        <w:t xml:space="preserve"> a </w:t>
      </w:r>
      <w:r w:rsidRPr="00EC250C">
        <w:t>nie konfliktem. Bo konflikt</w:t>
      </w:r>
      <w:r w:rsidR="00992FD0" w:rsidRPr="00EC250C">
        <w:t xml:space="preserve"> i </w:t>
      </w:r>
      <w:r w:rsidRPr="00EC250C">
        <w:t>kryzys to zjawiska naturalne,</w:t>
      </w:r>
      <w:r w:rsidR="00992FD0" w:rsidRPr="00EC250C">
        <w:t xml:space="preserve"> a </w:t>
      </w:r>
      <w:r w:rsidRPr="00EC250C">
        <w:t>przemoc to przestępstwo. Jeśli się zamazuje te pojęcia, to osłabia to ochronę pokrzywdzonych.</w:t>
      </w:r>
    </w:p>
    <w:p w14:paraId="3727DBF9" w14:textId="77777777" w:rsidR="00192982" w:rsidRPr="00EC250C" w:rsidRDefault="00192982" w:rsidP="00D131FA">
      <w:pPr>
        <w:pStyle w:val="Srdtytul6"/>
        <w:jc w:val="both"/>
      </w:pPr>
      <w:r w:rsidRPr="00EC250C">
        <w:t>Polska rodzina za granicą</w:t>
      </w:r>
    </w:p>
    <w:p w14:paraId="0F2EA90A" w14:textId="77777777" w:rsidR="00B473F5" w:rsidRPr="00EC250C" w:rsidRDefault="00192982" w:rsidP="00D131FA">
      <w:pPr>
        <w:pStyle w:val="Problemczowieka"/>
        <w:jc w:val="both"/>
      </w:pPr>
      <w:r w:rsidRPr="00EC250C">
        <w:t>Co raz więcej Polaków mieszka</w:t>
      </w:r>
      <w:r w:rsidR="00992FD0" w:rsidRPr="00EC250C">
        <w:t xml:space="preserve"> w </w:t>
      </w:r>
      <w:r w:rsidRPr="00EC250C">
        <w:t>innych krajach Europy, kontakt</w:t>
      </w:r>
      <w:r w:rsidR="0013752A" w:rsidRPr="00EC250C">
        <w:t>ują się oni</w:t>
      </w:r>
      <w:r w:rsidR="00992FD0" w:rsidRPr="00EC250C">
        <w:t xml:space="preserve"> z </w:t>
      </w:r>
      <w:r w:rsidRPr="00EC250C">
        <w:t>instytucjami</w:t>
      </w:r>
      <w:r w:rsidR="00992FD0" w:rsidRPr="00EC250C">
        <w:t xml:space="preserve"> i </w:t>
      </w:r>
      <w:r w:rsidR="0013752A" w:rsidRPr="00EC250C">
        <w:t xml:space="preserve">prawem </w:t>
      </w:r>
      <w:r w:rsidRPr="00EC250C">
        <w:t>innych krajów. Dotyczą ich problemy zakresu władzy rodzicielskiej, rozwodów</w:t>
      </w:r>
      <w:r w:rsidR="00992FD0" w:rsidRPr="00EC250C">
        <w:t xml:space="preserve"> a </w:t>
      </w:r>
      <w:r w:rsidRPr="00EC250C">
        <w:t>także uprowadzeń rodzicielskich</w:t>
      </w:r>
      <w:r w:rsidR="00B473F5" w:rsidRPr="00EC250C">
        <w:t>.</w:t>
      </w:r>
    </w:p>
    <w:p w14:paraId="0C17A659" w14:textId="77777777" w:rsidR="00192982" w:rsidRPr="00EC250C" w:rsidRDefault="00192982" w:rsidP="006C70B7">
      <w:pPr>
        <w:pStyle w:val="Styl1"/>
        <w:numPr>
          <w:ilvl w:val="0"/>
          <w:numId w:val="107"/>
        </w:numPr>
        <w:ind w:left="426" w:hanging="426"/>
      </w:pPr>
      <w:r w:rsidRPr="00EC250C">
        <w:t xml:space="preserve">Polscy rodzice mieszkający za granicą </w:t>
      </w:r>
      <w:r w:rsidR="0013752A" w:rsidRPr="00EC250C">
        <w:t xml:space="preserve">mają prawo do </w:t>
      </w:r>
      <w:r w:rsidRPr="00EC250C">
        <w:t>pomoc</w:t>
      </w:r>
      <w:r w:rsidR="0013752A" w:rsidRPr="00EC250C">
        <w:t>y ze strony</w:t>
      </w:r>
      <w:r w:rsidRPr="00EC250C">
        <w:t xml:space="preserve"> polskich placówek dyplomatycznych oraz polskiego rządu. Aby ta pomoc była skuteczna, konieczne jest jednak zrozumienie mechanizmów opieki społecznej</w:t>
      </w:r>
      <w:r w:rsidR="00992FD0" w:rsidRPr="00EC250C">
        <w:t xml:space="preserve"> w </w:t>
      </w:r>
      <w:r w:rsidRPr="00EC250C">
        <w:t>innych państwach</w:t>
      </w:r>
      <w:r w:rsidR="00992FD0" w:rsidRPr="00EC250C">
        <w:t xml:space="preserve"> i </w:t>
      </w:r>
      <w:r w:rsidRPr="00EC250C">
        <w:t>różnic kulturowych.</w:t>
      </w:r>
    </w:p>
    <w:p w14:paraId="02556347" w14:textId="77777777" w:rsidR="00C91F6E" w:rsidRPr="00EC250C" w:rsidRDefault="00192982" w:rsidP="006C70B7">
      <w:pPr>
        <w:pStyle w:val="Styl1"/>
        <w:numPr>
          <w:ilvl w:val="0"/>
          <w:numId w:val="107"/>
        </w:numPr>
        <w:ind w:left="426" w:hanging="426"/>
      </w:pPr>
      <w:r w:rsidRPr="00EC250C">
        <w:t>Rodzice powinni również zgłaszać problemy pracownikom konsularnym. Istotne jest też zaufanie</w:t>
      </w:r>
      <w:r w:rsidR="00992FD0" w:rsidRPr="00EC250C">
        <w:t xml:space="preserve"> w </w:t>
      </w:r>
      <w:r w:rsidRPr="00EC250C">
        <w:t>kontaktach</w:t>
      </w:r>
      <w:r w:rsidR="00992FD0" w:rsidRPr="00EC250C">
        <w:t xml:space="preserve"> z </w:t>
      </w:r>
      <w:r w:rsidRPr="00EC250C">
        <w:t>pracownikami konsularnymi</w:t>
      </w:r>
      <w:r w:rsidR="00992FD0" w:rsidRPr="00EC250C">
        <w:t xml:space="preserve"> i </w:t>
      </w:r>
      <w:r w:rsidRPr="00EC250C">
        <w:t>organami opieki społecznej. Tylko ono może zagwarantować należytą pomoc.</w:t>
      </w:r>
    </w:p>
    <w:p w14:paraId="20CE3E16" w14:textId="77777777" w:rsidR="00192982" w:rsidRPr="00EC250C" w:rsidRDefault="00192982" w:rsidP="006C70B7">
      <w:pPr>
        <w:pStyle w:val="Styl1"/>
        <w:numPr>
          <w:ilvl w:val="0"/>
          <w:numId w:val="107"/>
        </w:numPr>
        <w:ind w:left="426" w:hanging="426"/>
      </w:pPr>
      <w:r w:rsidRPr="00EC250C">
        <w:t>Warto też podjąć refleksję na temat stosowanych metod wychowawczych</w:t>
      </w:r>
      <w:r w:rsidR="00992FD0" w:rsidRPr="00EC250C">
        <w:t xml:space="preserve"> i </w:t>
      </w:r>
      <w:r w:rsidRPr="00EC250C">
        <w:t>korzystać</w:t>
      </w:r>
      <w:r w:rsidR="00992FD0" w:rsidRPr="00EC250C">
        <w:t xml:space="preserve"> z </w:t>
      </w:r>
      <w:r w:rsidRPr="00EC250C">
        <w:t>pomocy pedagogów</w:t>
      </w:r>
      <w:r w:rsidR="00992FD0" w:rsidRPr="00EC250C">
        <w:t xml:space="preserve"> w </w:t>
      </w:r>
      <w:r w:rsidRPr="00EC250C">
        <w:t>państwie,</w:t>
      </w:r>
      <w:r w:rsidR="00992FD0" w:rsidRPr="00EC250C">
        <w:t xml:space="preserve"> w </w:t>
      </w:r>
      <w:r w:rsidRPr="00EC250C">
        <w:t>którym się przebywa.</w:t>
      </w:r>
    </w:p>
    <w:p w14:paraId="23309AAD" w14:textId="77777777" w:rsidR="00192982" w:rsidRPr="00EC250C" w:rsidRDefault="00192982" w:rsidP="00D131FA">
      <w:pPr>
        <w:pStyle w:val="Srdtytul6"/>
        <w:jc w:val="both"/>
      </w:pPr>
      <w:r w:rsidRPr="00EC250C">
        <w:t>Rodziny</w:t>
      </w:r>
      <w:r w:rsidR="00992FD0" w:rsidRPr="00EC250C">
        <w:t xml:space="preserve"> z </w:t>
      </w:r>
      <w:r w:rsidRPr="00EC250C">
        <w:t>niepełnosprawnościami</w:t>
      </w:r>
    </w:p>
    <w:p w14:paraId="1AAAB0AC" w14:textId="77777777" w:rsidR="00B473F5" w:rsidRPr="00EC250C" w:rsidRDefault="00192982" w:rsidP="00D131FA">
      <w:pPr>
        <w:pStyle w:val="Problemczowieka"/>
        <w:jc w:val="both"/>
      </w:pPr>
      <w:r w:rsidRPr="00EC250C">
        <w:t>Polska musi się bezwzględnie dostosować do standardów międzynarodowych wynikających</w:t>
      </w:r>
      <w:r w:rsidR="00992FD0" w:rsidRPr="00EC250C">
        <w:t xml:space="preserve"> z </w:t>
      </w:r>
      <w:r w:rsidRPr="00EC250C">
        <w:t>Konwencji</w:t>
      </w:r>
      <w:r w:rsidR="00992FD0" w:rsidRPr="00EC250C">
        <w:t xml:space="preserve"> o </w:t>
      </w:r>
      <w:r w:rsidRPr="00EC250C">
        <w:t>prawach osób</w:t>
      </w:r>
      <w:r w:rsidR="00992FD0" w:rsidRPr="00EC250C">
        <w:t xml:space="preserve"> z </w:t>
      </w:r>
      <w:r w:rsidRPr="00EC250C">
        <w:t>niepełnosprawnościami – przestać traktować osoby</w:t>
      </w:r>
      <w:r w:rsidR="00992FD0" w:rsidRPr="00EC250C">
        <w:t xml:space="preserve"> z </w:t>
      </w:r>
      <w:r w:rsidRPr="00EC250C">
        <w:t>niepełnosprawnością przedmiotowo (jako „niesamodzielne” albo „niezdolne do pracy”, „niezdolne do bycia rodzicami”)</w:t>
      </w:r>
      <w:r w:rsidR="00B473F5" w:rsidRPr="00EC250C">
        <w:t>.</w:t>
      </w:r>
    </w:p>
    <w:p w14:paraId="21487773" w14:textId="77777777" w:rsidR="00192982" w:rsidRPr="00EC250C" w:rsidRDefault="00192982" w:rsidP="006C70B7">
      <w:pPr>
        <w:pStyle w:val="Styl1"/>
        <w:numPr>
          <w:ilvl w:val="0"/>
          <w:numId w:val="108"/>
        </w:numPr>
        <w:ind w:left="426" w:hanging="426"/>
      </w:pPr>
      <w:r w:rsidRPr="00EC250C">
        <w:t>Osoby</w:t>
      </w:r>
      <w:r w:rsidR="00992FD0" w:rsidRPr="00EC250C">
        <w:t xml:space="preserve"> z </w:t>
      </w:r>
      <w:r w:rsidRPr="00EC250C">
        <w:t>niepełnosprawnościami mogą potrzebować wsparcia</w:t>
      </w:r>
      <w:r w:rsidR="00992FD0" w:rsidRPr="00EC250C">
        <w:t xml:space="preserve"> w </w:t>
      </w:r>
      <w:r w:rsidRPr="00EC250C">
        <w:t>niezależnym życiu,</w:t>
      </w:r>
      <w:r w:rsidR="00992FD0" w:rsidRPr="00EC250C">
        <w:t xml:space="preserve"> w </w:t>
      </w:r>
      <w:r w:rsidRPr="00EC250C">
        <w:t>tym</w:t>
      </w:r>
      <w:r w:rsidR="00992FD0" w:rsidRPr="00EC250C">
        <w:t xml:space="preserve"> w </w:t>
      </w:r>
      <w:r w:rsidRPr="00EC250C">
        <w:t>byciu rodzicem. Trzeba umieć ustalić, jakiego,</w:t>
      </w:r>
      <w:r w:rsidR="00992FD0" w:rsidRPr="00EC250C">
        <w:t xml:space="preserve"> i </w:t>
      </w:r>
      <w:r w:rsidRPr="00EC250C">
        <w:t>to zapewniać. To jest zadanie państwa.</w:t>
      </w:r>
    </w:p>
    <w:p w14:paraId="741B3CC2" w14:textId="77777777" w:rsidR="00192982" w:rsidRPr="00EC250C" w:rsidRDefault="00192982" w:rsidP="006C70B7">
      <w:pPr>
        <w:pStyle w:val="Styl1"/>
        <w:numPr>
          <w:ilvl w:val="0"/>
          <w:numId w:val="108"/>
        </w:numPr>
        <w:ind w:left="426" w:hanging="426"/>
      </w:pPr>
      <w:r w:rsidRPr="00EC250C">
        <w:t>Rodzice</w:t>
      </w:r>
      <w:r w:rsidR="00992FD0" w:rsidRPr="00EC250C">
        <w:t xml:space="preserve"> z </w:t>
      </w:r>
      <w:r w:rsidRPr="00EC250C">
        <w:t>niepełnosprawnościami (a jest ich</w:t>
      </w:r>
      <w:r w:rsidR="00992FD0" w:rsidRPr="00EC250C">
        <w:t xml:space="preserve"> w </w:t>
      </w:r>
      <w:r w:rsidRPr="00EC250C">
        <w:t>Polsce ponad 300 tys.) nie mogą polegać wyłącznie na wsparciu bliskich. Pomoc musi być systemowa, dostosowana do indywidualnych potrzeb – tak by rodzice</w:t>
      </w:r>
      <w:r w:rsidR="00992FD0" w:rsidRPr="00EC250C">
        <w:t xml:space="preserve"> z </w:t>
      </w:r>
      <w:r w:rsidRPr="00EC250C">
        <w:t xml:space="preserve">niepełnosprawnościami mogli realizować swe funkcje rodzicielskie, </w:t>
      </w:r>
      <w:r w:rsidR="00BB200F" w:rsidRPr="00EC250C">
        <w:t>to</w:t>
      </w:r>
      <w:r w:rsidRPr="00EC250C">
        <w:t xml:space="preserve"> jest ich prawo. Sytuacja,</w:t>
      </w:r>
      <w:r w:rsidR="00992FD0" w:rsidRPr="00EC250C">
        <w:t xml:space="preserve"> w </w:t>
      </w:r>
      <w:r w:rsidRPr="00EC250C">
        <w:t>której sądy stają przed dylematem – odebrać dziecko rodzicom ze względu na ich niepełnosprawność, bo nikt im nie pomaga, czy zostawić</w:t>
      </w:r>
      <w:r w:rsidR="00992FD0" w:rsidRPr="00EC250C">
        <w:t xml:space="preserve"> i </w:t>
      </w:r>
      <w:r w:rsidRPr="00EC250C">
        <w:t>ryzykować, jest niedopuszczalna. Wsparcie dla rodziców nie może przerodzić się</w:t>
      </w:r>
      <w:r w:rsidR="00992FD0" w:rsidRPr="00EC250C">
        <w:t xml:space="preserve"> w </w:t>
      </w:r>
      <w:r w:rsidRPr="00EC250C">
        <w:t>ingerencję</w:t>
      </w:r>
      <w:r w:rsidR="00992FD0" w:rsidRPr="00EC250C">
        <w:t xml:space="preserve"> w </w:t>
      </w:r>
      <w:r w:rsidRPr="00EC250C">
        <w:t>ich prawa rodzicielskie. Musi być punktualne – nie spóźnione.</w:t>
      </w:r>
    </w:p>
    <w:p w14:paraId="53F6D157" w14:textId="77777777" w:rsidR="00192982" w:rsidRPr="00EC250C" w:rsidRDefault="00192982" w:rsidP="006C70B7">
      <w:pPr>
        <w:pStyle w:val="Styl1"/>
        <w:numPr>
          <w:ilvl w:val="0"/>
          <w:numId w:val="108"/>
        </w:numPr>
        <w:ind w:left="426" w:hanging="426"/>
      </w:pPr>
      <w:r w:rsidRPr="00EC250C">
        <w:t>Także rodzice opiekujący się dziećmi</w:t>
      </w:r>
      <w:r w:rsidR="00992FD0" w:rsidRPr="00EC250C">
        <w:t xml:space="preserve"> z </w:t>
      </w:r>
      <w:r w:rsidRPr="00EC250C">
        <w:t>niepełnosprawnościami muszą uzyskiwać dostosowane do potrzeb wsparcie</w:t>
      </w:r>
      <w:r w:rsidR="00992FD0" w:rsidRPr="00EC250C">
        <w:t xml:space="preserve"> w </w:t>
      </w:r>
      <w:r w:rsidRPr="00EC250C">
        <w:t>wychowaniu tych dzieci</w:t>
      </w:r>
      <w:r w:rsidR="0013752A" w:rsidRPr="00EC250C">
        <w:t xml:space="preserve">. </w:t>
      </w:r>
      <w:r w:rsidRPr="00EC250C">
        <w:t>Nie mogą też żyć</w:t>
      </w:r>
      <w:r w:rsidR="00992FD0" w:rsidRPr="00EC250C">
        <w:t xml:space="preserve"> w </w:t>
      </w:r>
      <w:r w:rsidRPr="00EC250C">
        <w:t xml:space="preserve">lęku, że kiedy ich </w:t>
      </w:r>
      <w:r w:rsidRPr="00EC250C">
        <w:lastRenderedPageBreak/>
        <w:t>zabraknie, nie będzie się kto miał dziećmi zająć. To nie jest tylko kwestia wsparcia finansowego (choć to zupełnie oczywiste</w:t>
      </w:r>
      <w:r w:rsidR="00026572" w:rsidRPr="00EC250C">
        <w:t xml:space="preserve"> – </w:t>
      </w:r>
      <w:r w:rsidR="00992FD0" w:rsidRPr="00EC250C">
        <w:t>i </w:t>
      </w:r>
      <w:r w:rsidRPr="00EC250C">
        <w:t>to nie rzeczowego, ale pieniężnego, by samodzielnie decydować</w:t>
      </w:r>
      <w:r w:rsidR="00992FD0" w:rsidRPr="00EC250C">
        <w:t xml:space="preserve"> o </w:t>
      </w:r>
      <w:r w:rsidRPr="00EC250C">
        <w:t>tym, jak pomagać dziecku), ale także:</w:t>
      </w:r>
    </w:p>
    <w:p w14:paraId="3EC9E1FA" w14:textId="77777777" w:rsidR="00192982" w:rsidRPr="00EC250C" w:rsidRDefault="00192982" w:rsidP="006C70B7">
      <w:pPr>
        <w:pStyle w:val="Styl1"/>
        <w:numPr>
          <w:ilvl w:val="0"/>
          <w:numId w:val="109"/>
        </w:numPr>
      </w:pPr>
      <w:r w:rsidRPr="00EC250C">
        <w:t>asystencji osobistej dla dzieci,</w:t>
      </w:r>
    </w:p>
    <w:p w14:paraId="61EF18D2" w14:textId="77777777" w:rsidR="00C91F6E" w:rsidRPr="00EC250C" w:rsidRDefault="00192982" w:rsidP="006C70B7">
      <w:pPr>
        <w:pStyle w:val="Styl1"/>
        <w:numPr>
          <w:ilvl w:val="0"/>
          <w:numId w:val="109"/>
        </w:numPr>
      </w:pPr>
      <w:r w:rsidRPr="00EC250C">
        <w:t>mieszkań wspomaganych dla dzieci, kiedy będą już dorosłe,</w:t>
      </w:r>
    </w:p>
    <w:p w14:paraId="2C982ACC" w14:textId="77777777" w:rsidR="00192982" w:rsidRPr="00EC250C" w:rsidRDefault="00192982" w:rsidP="006C70B7">
      <w:pPr>
        <w:pStyle w:val="Styl1"/>
        <w:numPr>
          <w:ilvl w:val="0"/>
          <w:numId w:val="109"/>
        </w:numPr>
      </w:pPr>
      <w:r w:rsidRPr="00EC250C">
        <w:t>sprawa elastycznego czasu pracy rodziców</w:t>
      </w:r>
      <w:r w:rsidR="00992FD0" w:rsidRPr="00EC250C">
        <w:t xml:space="preserve"> i </w:t>
      </w:r>
      <w:r w:rsidRPr="00EC250C">
        <w:t>wsparcia</w:t>
      </w:r>
      <w:r w:rsidR="00992FD0" w:rsidRPr="00EC250C">
        <w:t xml:space="preserve"> w </w:t>
      </w:r>
      <w:r w:rsidRPr="00EC250C">
        <w:t>łączeniu pracy zawodowej</w:t>
      </w:r>
      <w:r w:rsidR="00992FD0" w:rsidRPr="00EC250C">
        <w:t xml:space="preserve"> z </w:t>
      </w:r>
      <w:r w:rsidRPr="00EC250C">
        <w:t>obowiązkami rodzicielskimi,</w:t>
      </w:r>
    </w:p>
    <w:p w14:paraId="64AEAD46" w14:textId="77777777" w:rsidR="00192982" w:rsidRPr="00EC250C" w:rsidRDefault="00192982" w:rsidP="006C70B7">
      <w:pPr>
        <w:pStyle w:val="Styl1"/>
        <w:numPr>
          <w:ilvl w:val="0"/>
          <w:numId w:val="109"/>
        </w:numPr>
      </w:pPr>
      <w:r w:rsidRPr="00EC250C">
        <w:t>kwestia dostępu do terapii (np.</w:t>
      </w:r>
      <w:r w:rsidR="00992FD0" w:rsidRPr="00EC250C">
        <w:t xml:space="preserve"> w </w:t>
      </w:r>
      <w:r w:rsidRPr="00EC250C">
        <w:t>mniejszych miejscowościach), do edukacji (m.in. kwestia dowozu dziecka),</w:t>
      </w:r>
    </w:p>
    <w:p w14:paraId="1C3A361E" w14:textId="77777777" w:rsidR="00192982" w:rsidRPr="00EC250C" w:rsidRDefault="00192982" w:rsidP="006C70B7">
      <w:pPr>
        <w:pStyle w:val="Styl1"/>
        <w:numPr>
          <w:ilvl w:val="0"/>
          <w:numId w:val="109"/>
        </w:numPr>
      </w:pPr>
      <w:r w:rsidRPr="00EC250C">
        <w:t>przerwy wytchnieniowej (urlopu!),</w:t>
      </w:r>
    </w:p>
    <w:p w14:paraId="003ACEA8" w14:textId="77777777" w:rsidR="00192982" w:rsidRPr="00EC250C" w:rsidRDefault="00192982" w:rsidP="006C70B7">
      <w:pPr>
        <w:pStyle w:val="Styl1"/>
        <w:numPr>
          <w:ilvl w:val="0"/>
          <w:numId w:val="109"/>
        </w:numPr>
      </w:pPr>
      <w:r w:rsidRPr="00EC250C">
        <w:t>wsparcia instytucjonalnego (placówki).</w:t>
      </w:r>
    </w:p>
    <w:p w14:paraId="6B16A785" w14:textId="77777777" w:rsidR="00192982" w:rsidRPr="00EC250C" w:rsidRDefault="00192982" w:rsidP="006C70B7">
      <w:pPr>
        <w:pStyle w:val="Styl1"/>
        <w:numPr>
          <w:ilvl w:val="0"/>
          <w:numId w:val="108"/>
        </w:numPr>
        <w:ind w:left="426" w:hanging="426"/>
      </w:pPr>
      <w:r w:rsidRPr="00EC250C">
        <w:t>Brakuje też informacji,</w:t>
      </w:r>
      <w:r w:rsidR="00992FD0" w:rsidRPr="00EC250C">
        <w:t xml:space="preserve"> w </w:t>
      </w:r>
      <w:r w:rsidRPr="00EC250C">
        <w:t>tym internetowej platformy wymiany doświadczeń rodziców dzieci</w:t>
      </w:r>
      <w:r w:rsidR="00992FD0" w:rsidRPr="00EC250C">
        <w:t xml:space="preserve"> z </w:t>
      </w:r>
      <w:r w:rsidRPr="00EC250C">
        <w:t>niepełnosprawnościami.</w:t>
      </w:r>
    </w:p>
    <w:p w14:paraId="5F2584C3" w14:textId="77777777" w:rsidR="00192982" w:rsidRPr="00EC250C" w:rsidRDefault="00192982" w:rsidP="006C70B7">
      <w:pPr>
        <w:pStyle w:val="Styl1"/>
        <w:numPr>
          <w:ilvl w:val="0"/>
          <w:numId w:val="108"/>
        </w:numPr>
        <w:ind w:left="426" w:hanging="426"/>
      </w:pPr>
      <w:r w:rsidRPr="00EC250C">
        <w:rPr>
          <w:bCs/>
        </w:rPr>
        <w:t>Potrzebna jest także uwaga władz</w:t>
      </w:r>
      <w:r w:rsidR="00992FD0" w:rsidRPr="00EC250C">
        <w:rPr>
          <w:bCs/>
        </w:rPr>
        <w:t xml:space="preserve"> i </w:t>
      </w:r>
      <w:r w:rsidRPr="00EC250C">
        <w:rPr>
          <w:bCs/>
        </w:rPr>
        <w:t>większa chęć zrozumienia postulatów rodzin osób</w:t>
      </w:r>
      <w:r w:rsidR="00992FD0" w:rsidRPr="00EC250C">
        <w:rPr>
          <w:bCs/>
        </w:rPr>
        <w:t xml:space="preserve"> z </w:t>
      </w:r>
      <w:r w:rsidRPr="00EC250C">
        <w:rPr>
          <w:bCs/>
        </w:rPr>
        <w:t>niepełnosprawnościami</w:t>
      </w:r>
      <w:r w:rsidR="00992FD0" w:rsidRPr="00EC250C">
        <w:rPr>
          <w:bCs/>
        </w:rPr>
        <w:t xml:space="preserve"> i </w:t>
      </w:r>
      <w:r w:rsidRPr="00EC250C">
        <w:rPr>
          <w:bCs/>
        </w:rPr>
        <w:t>rzetelne konsultacje społeczne.</w:t>
      </w:r>
    </w:p>
    <w:p w14:paraId="3D632733" w14:textId="77777777" w:rsidR="00192982" w:rsidRPr="00EC250C" w:rsidRDefault="00192982" w:rsidP="00D131FA">
      <w:pPr>
        <w:pStyle w:val="Srdtytul6"/>
        <w:jc w:val="both"/>
      </w:pPr>
      <w:r w:rsidRPr="00EC250C">
        <w:t>Problemy małoletniego rodzicielstwa</w:t>
      </w:r>
    </w:p>
    <w:p w14:paraId="1FE39AC2" w14:textId="77777777" w:rsidR="00B473F5" w:rsidRPr="00EC250C" w:rsidRDefault="00192982" w:rsidP="00D131FA">
      <w:pPr>
        <w:pStyle w:val="Problemczowieka"/>
        <w:jc w:val="both"/>
      </w:pPr>
      <w:r w:rsidRPr="00EC250C">
        <w:t>Dzieci stają się rodzicami. Problem będzie narastał,</w:t>
      </w:r>
      <w:r w:rsidR="00992FD0" w:rsidRPr="00EC250C">
        <w:t xml:space="preserve"> o </w:t>
      </w:r>
      <w:r w:rsidRPr="00EC250C">
        <w:t>ile nie zdecydujemy się na lepszą edukację seksualną, nowoczesne przygotowanie do życia</w:t>
      </w:r>
      <w:r w:rsidR="00992FD0" w:rsidRPr="00EC250C">
        <w:t xml:space="preserve"> w </w:t>
      </w:r>
      <w:r w:rsidRPr="00EC250C">
        <w:t>rodzinie, uczenie dzieci asertywności</w:t>
      </w:r>
      <w:r w:rsidR="00B473F5" w:rsidRPr="00EC250C">
        <w:t>.</w:t>
      </w:r>
    </w:p>
    <w:p w14:paraId="79B4C609" w14:textId="77777777" w:rsidR="00192982" w:rsidRPr="00EC250C" w:rsidRDefault="00192982" w:rsidP="006C70B7">
      <w:pPr>
        <w:pStyle w:val="Styl1"/>
        <w:numPr>
          <w:ilvl w:val="0"/>
          <w:numId w:val="110"/>
        </w:numPr>
        <w:ind w:left="426" w:hanging="426"/>
      </w:pPr>
      <w:r w:rsidRPr="00EC250C">
        <w:t>Przyczyną przedwczesnych ciąż jest brak edukacji seksualnej. Wychowanie seksualne</w:t>
      </w:r>
      <w:r w:rsidR="00992FD0" w:rsidRPr="00EC250C">
        <w:t xml:space="preserve"> w </w:t>
      </w:r>
      <w:r w:rsidRPr="00EC250C">
        <w:t>rodzinach wciąż jest tematem tabu. Rodzice przerzucają ten obowiązek na szkołę. Szkoła nie edukuje</w:t>
      </w:r>
      <w:r w:rsidR="00992FD0" w:rsidRPr="00EC250C">
        <w:t xml:space="preserve"> w </w:t>
      </w:r>
      <w:r w:rsidRPr="00EC250C">
        <w:t>sposób dostosowany do potrzeb współczesnej młodzieży.</w:t>
      </w:r>
    </w:p>
    <w:p w14:paraId="271E4500" w14:textId="77777777" w:rsidR="00192982" w:rsidRPr="00EC250C" w:rsidRDefault="00192982" w:rsidP="006C70B7">
      <w:pPr>
        <w:pStyle w:val="Styl1"/>
        <w:numPr>
          <w:ilvl w:val="0"/>
          <w:numId w:val="110"/>
        </w:numPr>
        <w:ind w:left="426" w:hanging="426"/>
      </w:pPr>
      <w:r w:rsidRPr="00EC250C">
        <w:t>Przyczyną małoletniego rodzicielstwa jest też utrudniony dostęp do świadczeń medycznych. Dziewczęta, które skończyły 15 lat, ale nie mają lat 18, mogą legalnie uprawiać seks, ale mają problem</w:t>
      </w:r>
      <w:r w:rsidR="00992FD0" w:rsidRPr="00EC250C">
        <w:t xml:space="preserve"> z </w:t>
      </w:r>
      <w:r w:rsidRPr="00EC250C">
        <w:t>dostępem do ginekologa</w:t>
      </w:r>
      <w:r w:rsidR="00992FD0" w:rsidRPr="00EC250C">
        <w:t xml:space="preserve"> i </w:t>
      </w:r>
      <w:r w:rsidRPr="00EC250C">
        <w:t>do środków antykoncepcyjnych na receptę. Muszą bowiem mieć na to zgodę rodzica lub innego przedstawiciela ustawowego. Należałoby rozważyć możliwość korzystania</w:t>
      </w:r>
      <w:r w:rsidR="00992FD0" w:rsidRPr="00EC250C">
        <w:t xml:space="preserve"> z </w:t>
      </w:r>
      <w:r w:rsidRPr="00EC250C">
        <w:t>tych świadczeń wyłącznie za zgodą osoby małoletniej.</w:t>
      </w:r>
    </w:p>
    <w:p w14:paraId="4F49E30C" w14:textId="77777777" w:rsidR="00192982" w:rsidRPr="00EC250C" w:rsidRDefault="00192982" w:rsidP="006C70B7">
      <w:pPr>
        <w:pStyle w:val="Styl1"/>
        <w:numPr>
          <w:ilvl w:val="0"/>
          <w:numId w:val="110"/>
        </w:numPr>
        <w:ind w:left="426" w:hanging="426"/>
      </w:pPr>
      <w:r w:rsidRPr="00EC250C">
        <w:t>Dużą grupę małoletnich matek stanowią wychowanki placówek resocjalizacyjnych. Rozdziela się je od dzieci, bo</w:t>
      </w:r>
      <w:r w:rsidR="00992FD0" w:rsidRPr="00EC250C">
        <w:t xml:space="preserve"> w </w:t>
      </w:r>
      <w:r w:rsidRPr="00EC250C">
        <w:t>placówce resocjalizacyjnej młode matki nie mają takich możliwości jak pełnoletnie kobiety odbywające karę pozbawienia wolności (przy zakładach karnych są domy dla matki</w:t>
      </w:r>
      <w:r w:rsidR="00992FD0" w:rsidRPr="00EC250C">
        <w:t xml:space="preserve"> z </w:t>
      </w:r>
      <w:r w:rsidRPr="00EC250C">
        <w:t>dzieckiem). Potrzebujemy rozwiązań, które pozwoliłyby, by małoletnia matka mogła opiekować się dzieckiem</w:t>
      </w:r>
      <w:r w:rsidR="00992FD0" w:rsidRPr="00EC250C">
        <w:t xml:space="preserve"> w </w:t>
      </w:r>
      <w:r w:rsidRPr="00EC250C">
        <w:t>czasie resocjalizacji. To</w:t>
      </w:r>
      <w:r w:rsidR="00992FD0" w:rsidRPr="00EC250C">
        <w:t xml:space="preserve"> z </w:t>
      </w:r>
      <w:r w:rsidRPr="00EC250C">
        <w:t>całą pewnością pozytywnie wpływa zarówno na matkę jak</w:t>
      </w:r>
      <w:r w:rsidR="00992FD0" w:rsidRPr="00EC250C">
        <w:t xml:space="preserve"> i </w:t>
      </w:r>
      <w:r w:rsidRPr="00EC250C">
        <w:t>dziecko.</w:t>
      </w:r>
    </w:p>
    <w:p w14:paraId="6098193A" w14:textId="77777777" w:rsidR="00192982" w:rsidRPr="00EC250C" w:rsidRDefault="00192982" w:rsidP="006C70B7">
      <w:pPr>
        <w:pStyle w:val="Styl1"/>
        <w:numPr>
          <w:ilvl w:val="0"/>
          <w:numId w:val="110"/>
        </w:numPr>
        <w:ind w:left="426" w:hanging="426"/>
      </w:pPr>
      <w:r w:rsidRPr="00EC250C">
        <w:lastRenderedPageBreak/>
        <w:t>Małoletnim rodzicom potrzebna jest dostosowana do ich potrzeb pomoc. Przede wszystkim trzeba im umożliwiać dalszą naukę</w:t>
      </w:r>
      <w:r w:rsidR="00992FD0" w:rsidRPr="00EC250C">
        <w:t xml:space="preserve"> i </w:t>
      </w:r>
      <w:r w:rsidRPr="00EC250C">
        <w:t>zdobycie wykształcenia tak, by mogli znaleźć pracę</w:t>
      </w:r>
      <w:r w:rsidR="00992FD0" w:rsidRPr="00EC250C">
        <w:t xml:space="preserve"> i </w:t>
      </w:r>
      <w:r w:rsidRPr="00EC250C">
        <w:t>utrzymać siebie</w:t>
      </w:r>
      <w:r w:rsidR="00992FD0" w:rsidRPr="00EC250C">
        <w:t xml:space="preserve"> i </w:t>
      </w:r>
      <w:r w:rsidRPr="00EC250C">
        <w:t>dziecko.</w:t>
      </w:r>
    </w:p>
    <w:p w14:paraId="460CA60E" w14:textId="77777777" w:rsidR="00192982" w:rsidRPr="00EC250C" w:rsidRDefault="00192982" w:rsidP="00D131FA">
      <w:pPr>
        <w:pStyle w:val="Srdtytul6"/>
        <w:jc w:val="both"/>
      </w:pPr>
      <w:r w:rsidRPr="00EC250C">
        <w:t>Dzieci rodziców pozostających</w:t>
      </w:r>
      <w:r w:rsidR="00992FD0" w:rsidRPr="00EC250C">
        <w:t xml:space="preserve"> w </w:t>
      </w:r>
      <w:r w:rsidRPr="00EC250C">
        <w:t>związkach jednopłciowych</w:t>
      </w:r>
    </w:p>
    <w:p w14:paraId="6E4B34B6" w14:textId="77777777" w:rsidR="00B473F5" w:rsidRPr="00EC250C" w:rsidRDefault="00192982" w:rsidP="00D131FA">
      <w:pPr>
        <w:pStyle w:val="Problemczowieka"/>
        <w:jc w:val="both"/>
      </w:pPr>
      <w:r w:rsidRPr="00EC250C">
        <w:t>Dzieci wychowują się</w:t>
      </w:r>
      <w:r w:rsidR="00992FD0" w:rsidRPr="00EC250C">
        <w:t xml:space="preserve"> i </w:t>
      </w:r>
      <w:r w:rsidRPr="00EC250C">
        <w:t>będą się wychowywały</w:t>
      </w:r>
      <w:r w:rsidR="00992FD0" w:rsidRPr="00EC250C">
        <w:t xml:space="preserve"> w </w:t>
      </w:r>
      <w:r w:rsidRPr="00EC250C">
        <w:t>związkach jednopłciowych. Bo takie rodziny są, są legalne</w:t>
      </w:r>
      <w:r w:rsidR="00992FD0" w:rsidRPr="00EC250C">
        <w:t xml:space="preserve"> w </w:t>
      </w:r>
      <w:r w:rsidRPr="00EC250C">
        <w:t>wielu krajach na świecie, mogą je też zakładać obywatele polscy – choć teraz tylko za granicą. Nie wolno ignorować tego faktu, bo będzie się to kończyć krzywdą dzieci</w:t>
      </w:r>
      <w:r w:rsidR="00B473F5" w:rsidRPr="00EC250C">
        <w:t>.</w:t>
      </w:r>
    </w:p>
    <w:p w14:paraId="56320AD9" w14:textId="77777777" w:rsidR="00192982" w:rsidRPr="00EC250C" w:rsidRDefault="00192982" w:rsidP="006C70B7">
      <w:pPr>
        <w:pStyle w:val="Styl1"/>
        <w:numPr>
          <w:ilvl w:val="0"/>
          <w:numId w:val="111"/>
        </w:numPr>
        <w:ind w:left="426" w:hanging="426"/>
      </w:pPr>
      <w:r w:rsidRPr="00EC250C">
        <w:t>Wszystkie osoby uważające takie stanowisko za naruszające fundamenty rodziny, powinny sobie przypomnieć, jak kiedyś traktowano dzieci urodzone poza małżeństwem. Czy dziś uważamy to za „normalne”?</w:t>
      </w:r>
    </w:p>
    <w:p w14:paraId="58D713DA" w14:textId="77777777" w:rsidR="00192982" w:rsidRPr="00EC250C" w:rsidRDefault="00192982" w:rsidP="006C70B7">
      <w:pPr>
        <w:pStyle w:val="Styl1"/>
        <w:numPr>
          <w:ilvl w:val="0"/>
          <w:numId w:val="111"/>
        </w:numPr>
        <w:ind w:left="426" w:hanging="426"/>
      </w:pPr>
      <w:r w:rsidRPr="00EC250C">
        <w:t>Idealnym rozwiązaniem byłoby wprowadzenie pełnej równości małżeńskiej. Rozwiązaniem pośrednim mogłoby być wprowadzenie związków partnerskich</w:t>
      </w:r>
      <w:r w:rsidR="00992FD0" w:rsidRPr="00EC250C">
        <w:t xml:space="preserve"> i </w:t>
      </w:r>
      <w:r w:rsidRPr="00EC250C">
        <w:t>umożliwienie adopcji wewnętrznej przez pary tej samej płci.</w:t>
      </w:r>
    </w:p>
    <w:p w14:paraId="4E21770C" w14:textId="77777777" w:rsidR="00192982" w:rsidRPr="00EC250C" w:rsidRDefault="00192982" w:rsidP="006C70B7">
      <w:pPr>
        <w:pStyle w:val="Styl1"/>
        <w:numPr>
          <w:ilvl w:val="0"/>
          <w:numId w:val="111"/>
        </w:numPr>
        <w:ind w:left="426" w:hanging="426"/>
      </w:pPr>
      <w:r w:rsidRPr="00EC250C">
        <w:t>Niezwykle ważna jest rola sądów</w:t>
      </w:r>
      <w:r w:rsidR="00992FD0" w:rsidRPr="00EC250C">
        <w:t xml:space="preserve"> w </w:t>
      </w:r>
      <w:r w:rsidRPr="00EC250C">
        <w:t>interpretowaniu przepisów prawa, szczególnie uwzględnianie dobra dziecka</w:t>
      </w:r>
      <w:r w:rsidR="00992FD0" w:rsidRPr="00EC250C">
        <w:t xml:space="preserve"> i </w:t>
      </w:r>
      <w:r w:rsidRPr="00EC250C">
        <w:t>posiłkowanie się obowiązującymi</w:t>
      </w:r>
      <w:r w:rsidR="00992FD0" w:rsidRPr="00EC250C">
        <w:t xml:space="preserve"> w </w:t>
      </w:r>
      <w:r w:rsidRPr="00EC250C">
        <w:t>Polsce aktami prawa międzynarodowego.</w:t>
      </w:r>
    </w:p>
    <w:p w14:paraId="74E0F3ED" w14:textId="77777777" w:rsidR="00192982" w:rsidRPr="00EC250C" w:rsidRDefault="00192982" w:rsidP="006C70B7">
      <w:pPr>
        <w:pStyle w:val="Styl1"/>
        <w:numPr>
          <w:ilvl w:val="0"/>
          <w:numId w:val="111"/>
        </w:numPr>
        <w:ind w:left="426" w:hanging="426"/>
      </w:pPr>
      <w:r w:rsidRPr="00EC250C">
        <w:t>Trzeba zrezygnować</w:t>
      </w:r>
      <w:r w:rsidR="00992FD0" w:rsidRPr="00EC250C">
        <w:t xml:space="preserve"> z </w:t>
      </w:r>
      <w:r w:rsidRPr="00EC250C">
        <w:t>obowiązkowej transkrypcji aktów urodzenia</w:t>
      </w:r>
      <w:r w:rsidR="00992FD0" w:rsidRPr="00EC250C">
        <w:t xml:space="preserve"> i </w:t>
      </w:r>
      <w:r w:rsidRPr="00EC250C">
        <w:t>umożliwić wydawanie dokumentów tożsamości</w:t>
      </w:r>
      <w:r w:rsidR="00992FD0" w:rsidRPr="00EC250C">
        <w:t xml:space="preserve"> i </w:t>
      </w:r>
      <w:r w:rsidRPr="00EC250C">
        <w:t>nadawania numeru PESEL na podstawie zagranicznych aktów urodzenia</w:t>
      </w:r>
    </w:p>
    <w:p w14:paraId="74FAD2DD" w14:textId="77777777" w:rsidR="00192982" w:rsidRPr="00EC250C" w:rsidRDefault="00192982" w:rsidP="00D131FA">
      <w:pPr>
        <w:pStyle w:val="Srdtytul6"/>
        <w:jc w:val="both"/>
      </w:pPr>
      <w:r w:rsidRPr="00EC250C">
        <w:t>Jak zabezpieczyć dobro dziecka</w:t>
      </w:r>
      <w:r w:rsidR="00992FD0" w:rsidRPr="00EC250C">
        <w:t xml:space="preserve"> w </w:t>
      </w:r>
      <w:r w:rsidRPr="00EC250C">
        <w:t>sytuacji rozstania rodziców?</w:t>
      </w:r>
    </w:p>
    <w:p w14:paraId="55786D95" w14:textId="77777777" w:rsidR="00B473F5" w:rsidRPr="00EC250C" w:rsidRDefault="00192982" w:rsidP="00D131FA">
      <w:pPr>
        <w:pStyle w:val="Problemczowieka"/>
        <w:jc w:val="both"/>
      </w:pPr>
      <w:r w:rsidRPr="00EC250C">
        <w:t>Rozwód jest trudnym doświadczeniem</w:t>
      </w:r>
      <w:r w:rsidR="00992FD0" w:rsidRPr="00EC250C">
        <w:t xml:space="preserve"> w </w:t>
      </w:r>
      <w:r w:rsidRPr="00EC250C">
        <w:t>życiu dziecka, ale nie musi być traumą. Bo to nie rozstanie jest najgorsze, ale konflikt między rodzicami. Musimy się więc uczyć, jak dostrzec, zrozumieć</w:t>
      </w:r>
      <w:r w:rsidR="00992FD0" w:rsidRPr="00EC250C">
        <w:t xml:space="preserve"> i </w:t>
      </w:r>
      <w:r w:rsidRPr="00EC250C">
        <w:t>wesprzeć dziecko</w:t>
      </w:r>
      <w:r w:rsidR="00992FD0" w:rsidRPr="00EC250C">
        <w:t xml:space="preserve"> w </w:t>
      </w:r>
      <w:r w:rsidRPr="00EC250C">
        <w:t>takiej sytuacji</w:t>
      </w:r>
      <w:r w:rsidR="00B473F5" w:rsidRPr="00EC250C">
        <w:t>.</w:t>
      </w:r>
    </w:p>
    <w:p w14:paraId="0810CC5E" w14:textId="77777777" w:rsidR="00192982" w:rsidRPr="00EC250C" w:rsidRDefault="00192982" w:rsidP="006C70B7">
      <w:pPr>
        <w:pStyle w:val="Styl1"/>
        <w:numPr>
          <w:ilvl w:val="0"/>
          <w:numId w:val="112"/>
        </w:numPr>
        <w:ind w:left="426" w:hanging="426"/>
      </w:pPr>
      <w:r w:rsidRPr="00EC250C">
        <w:t>Rolą sądów, mediatorów, terapeutów jest edukowanie rodziców na temat potrzeb dzieci</w:t>
      </w:r>
      <w:r w:rsidR="00992FD0" w:rsidRPr="00EC250C">
        <w:t xml:space="preserve"> i </w:t>
      </w:r>
      <w:r w:rsidRPr="00EC250C">
        <w:t>wzmacnianie</w:t>
      </w:r>
      <w:r w:rsidR="00992FD0" w:rsidRPr="00EC250C">
        <w:t xml:space="preserve"> w </w:t>
      </w:r>
      <w:r w:rsidRPr="00EC250C">
        <w:t>nich gotowości do szukania porozumienia.</w:t>
      </w:r>
    </w:p>
    <w:p w14:paraId="077CE075" w14:textId="77777777" w:rsidR="00192982" w:rsidRPr="00EC250C" w:rsidRDefault="00192982" w:rsidP="006C70B7">
      <w:pPr>
        <w:pStyle w:val="Styl1"/>
        <w:numPr>
          <w:ilvl w:val="0"/>
          <w:numId w:val="112"/>
        </w:numPr>
        <w:ind w:left="426" w:hanging="426"/>
      </w:pPr>
      <w:r w:rsidRPr="00EC250C">
        <w:t>Elementem postępowania przedprocesowego powinny być działania edukacyjne dla rodziców wraz</w:t>
      </w:r>
      <w:r w:rsidR="00992FD0" w:rsidRPr="00EC250C">
        <w:t xml:space="preserve"> z </w:t>
      </w:r>
      <w:r w:rsidRPr="00EC250C">
        <w:t>mediacjami</w:t>
      </w:r>
      <w:r w:rsidR="00992FD0" w:rsidRPr="00EC250C">
        <w:t xml:space="preserve"> i </w:t>
      </w:r>
      <w:r w:rsidRPr="00EC250C">
        <w:t>terapią. Sądy powinny</w:t>
      </w:r>
      <w:r w:rsidR="00992FD0" w:rsidRPr="00EC250C">
        <w:t xml:space="preserve"> o </w:t>
      </w:r>
      <w:r w:rsidRPr="00EC250C">
        <w:t>tym pamiętać.</w:t>
      </w:r>
    </w:p>
    <w:p w14:paraId="5CBBA5B8" w14:textId="77777777" w:rsidR="00192982" w:rsidRPr="00EC250C" w:rsidRDefault="00192982" w:rsidP="006C70B7">
      <w:pPr>
        <w:pStyle w:val="Styl1"/>
        <w:numPr>
          <w:ilvl w:val="0"/>
          <w:numId w:val="112"/>
        </w:numPr>
        <w:ind w:left="426" w:hanging="426"/>
      </w:pPr>
      <w:r w:rsidRPr="00EC250C">
        <w:t>Warto korzystać</w:t>
      </w:r>
      <w:r w:rsidR="00992FD0" w:rsidRPr="00EC250C">
        <w:t xml:space="preserve"> z </w:t>
      </w:r>
      <w:r w:rsidRPr="00EC250C">
        <w:t>mediacji, warto uczyć rodziców, jak sytuacja ich konfliktu wpływa na dziecko, warto budzić</w:t>
      </w:r>
      <w:r w:rsidR="00992FD0" w:rsidRPr="00EC250C">
        <w:t xml:space="preserve"> w </w:t>
      </w:r>
      <w:r w:rsidRPr="00EC250C">
        <w:t>nich gotowość do szukania porozumienia.</w:t>
      </w:r>
    </w:p>
    <w:p w14:paraId="25D16D0C" w14:textId="77777777" w:rsidR="00192982" w:rsidRPr="00EC250C" w:rsidRDefault="00192982" w:rsidP="006C70B7">
      <w:pPr>
        <w:pStyle w:val="Styl1"/>
        <w:numPr>
          <w:ilvl w:val="0"/>
          <w:numId w:val="112"/>
        </w:numPr>
        <w:ind w:left="426" w:hanging="426"/>
      </w:pPr>
      <w:r w:rsidRPr="00EC250C">
        <w:t>Warto, aby wszystkie podmioty, organizacje, osoby, które stykają się</w:t>
      </w:r>
      <w:r w:rsidR="00992FD0" w:rsidRPr="00EC250C">
        <w:t xml:space="preserve"> z </w:t>
      </w:r>
      <w:r w:rsidRPr="00EC250C">
        <w:t>sytuacjami konfliktowymi uczyły się mediacji, bo to pomaga wychodzić „obronną ręką”</w:t>
      </w:r>
      <w:r w:rsidR="00992FD0" w:rsidRPr="00EC250C">
        <w:t xml:space="preserve"> z </w:t>
      </w:r>
      <w:r w:rsidRPr="00EC250C">
        <w:t>konfliktów.</w:t>
      </w:r>
    </w:p>
    <w:p w14:paraId="6E5119BB" w14:textId="77777777" w:rsidR="00192982" w:rsidRPr="00EC250C" w:rsidRDefault="00192982" w:rsidP="00D131FA">
      <w:pPr>
        <w:pStyle w:val="Srdtytul6"/>
        <w:jc w:val="both"/>
      </w:pPr>
      <w:r w:rsidRPr="00EC250C">
        <w:lastRenderedPageBreak/>
        <w:t>Niepłacenie alimentów</w:t>
      </w:r>
      <w:r w:rsidR="00026572" w:rsidRPr="00EC250C">
        <w:t xml:space="preserve"> – </w:t>
      </w:r>
      <w:r w:rsidRPr="00EC250C">
        <w:t>perspektywa socjologiczna (przyczyny, skutki)</w:t>
      </w:r>
    </w:p>
    <w:p w14:paraId="385519DD" w14:textId="77777777" w:rsidR="00D91FBD" w:rsidRPr="00EC250C" w:rsidRDefault="00192982" w:rsidP="00D131FA">
      <w:pPr>
        <w:pStyle w:val="Problemczowieka"/>
        <w:jc w:val="both"/>
      </w:pPr>
      <w:r w:rsidRPr="00EC250C">
        <w:t>Milion dzieci nie dostaje</w:t>
      </w:r>
      <w:r w:rsidR="00992FD0" w:rsidRPr="00EC250C">
        <w:t xml:space="preserve"> w </w:t>
      </w:r>
      <w:r w:rsidRPr="00EC250C">
        <w:t>Polsce środków do życia od swoich rodziców. Prawne</w:t>
      </w:r>
      <w:r w:rsidR="00992FD0" w:rsidRPr="00EC250C">
        <w:t xml:space="preserve"> i </w:t>
      </w:r>
      <w:r w:rsidRPr="00EC250C">
        <w:t>organizacyjne przyczyny tego stanu rzeczy są już dobrze zdefiniowane – m.in. dzięki pracy Zespołu ds. Alimentów Rzecznika Praw Obywatelskich</w:t>
      </w:r>
      <w:r w:rsidR="00992FD0" w:rsidRPr="00EC250C">
        <w:t xml:space="preserve"> i </w:t>
      </w:r>
      <w:r w:rsidRPr="00EC250C">
        <w:t>Rzecznika Praw Dziecka. Kluczowym wyzwaniem społecznym jest jednak to, jak zmienić stosunek do alimentów. Jak przekonać rodziców, że alimenty są dla dziecka –</w:t>
      </w:r>
      <w:r w:rsidR="00992FD0" w:rsidRPr="00EC250C">
        <w:t xml:space="preserve"> a </w:t>
      </w:r>
      <w:r w:rsidRPr="00EC250C">
        <w:t>nie dla byłego partnera, że niepłacenie alimentów to po prostu przemoc, przemoc ekonomiczna</w:t>
      </w:r>
      <w:r w:rsidR="00D91FBD" w:rsidRPr="00EC250C">
        <w:t>?</w:t>
      </w:r>
    </w:p>
    <w:p w14:paraId="33CE01BC" w14:textId="77777777" w:rsidR="00192982" w:rsidRPr="00EC250C" w:rsidRDefault="00192982" w:rsidP="006C70B7">
      <w:pPr>
        <w:pStyle w:val="Styl1"/>
        <w:numPr>
          <w:ilvl w:val="0"/>
          <w:numId w:val="113"/>
        </w:numPr>
      </w:pPr>
      <w:r w:rsidRPr="00EC250C">
        <w:t>W ciągu ostatnich lat rejestrowane zadłużenie wobec dzieci wzrosło ponad dwukrotnie (z 5 mld</w:t>
      </w:r>
      <w:r w:rsidR="00992FD0" w:rsidRPr="00EC250C">
        <w:t xml:space="preserve"> w </w:t>
      </w:r>
      <w:r w:rsidRPr="00EC250C">
        <w:t>2015 do ponad 11 mld zł</w:t>
      </w:r>
      <w:r w:rsidR="00992FD0" w:rsidRPr="00EC250C">
        <w:t xml:space="preserve"> w </w:t>
      </w:r>
      <w:r w:rsidRPr="00EC250C">
        <w:t>2017);</w:t>
      </w:r>
    </w:p>
    <w:p w14:paraId="012569F5" w14:textId="77777777" w:rsidR="00192982" w:rsidRPr="00EC250C" w:rsidRDefault="00192982" w:rsidP="006C70B7">
      <w:pPr>
        <w:pStyle w:val="Styl1"/>
        <w:numPr>
          <w:ilvl w:val="0"/>
          <w:numId w:val="113"/>
        </w:numPr>
      </w:pPr>
      <w:r w:rsidRPr="00EC250C">
        <w:t>Liczba dłużników alimentacyjnych:</w:t>
      </w:r>
      <w:r w:rsidR="00992FD0" w:rsidRPr="00EC250C">
        <w:t xml:space="preserve"> z </w:t>
      </w:r>
      <w:r w:rsidRPr="00EC250C">
        <w:t>176 do 320 tysięcy (BIG Info Monitor);</w:t>
      </w:r>
    </w:p>
    <w:p w14:paraId="135E9B9F" w14:textId="77777777" w:rsidR="00192982" w:rsidRPr="00EC250C" w:rsidRDefault="00192982" w:rsidP="006C70B7">
      <w:pPr>
        <w:pStyle w:val="Styl1"/>
        <w:numPr>
          <w:ilvl w:val="0"/>
          <w:numId w:val="113"/>
        </w:numPr>
      </w:pPr>
      <w:r w:rsidRPr="00EC250C">
        <w:t>Według GUS 700 tys. osób pracuje</w:t>
      </w:r>
      <w:r w:rsidR="00992FD0" w:rsidRPr="00EC250C">
        <w:t xml:space="preserve"> w </w:t>
      </w:r>
      <w:r w:rsidRPr="00EC250C">
        <w:t>Polsce „na czarno”, mimo że</w:t>
      </w:r>
      <w:r w:rsidR="00992FD0" w:rsidRPr="00EC250C">
        <w:t xml:space="preserve"> w </w:t>
      </w:r>
      <w:r w:rsidRPr="00EC250C">
        <w:t>kraju brakuje rąk do pracy</w:t>
      </w:r>
      <w:r w:rsidR="00026572" w:rsidRPr="00EC250C">
        <w:t xml:space="preserve"> – </w:t>
      </w:r>
      <w:r w:rsidRPr="00EC250C">
        <w:t>to</w:t>
      </w:r>
      <w:r w:rsidR="00992FD0" w:rsidRPr="00EC250C">
        <w:t xml:space="preserve"> w </w:t>
      </w:r>
      <w:r w:rsidRPr="00EC250C">
        <w:t>dużej mierze osoby, które unikają płacenia alimentów;</w:t>
      </w:r>
    </w:p>
    <w:p w14:paraId="2F84DE68" w14:textId="77777777" w:rsidR="00192982" w:rsidRPr="00EC250C" w:rsidRDefault="00192982" w:rsidP="006C70B7">
      <w:pPr>
        <w:pStyle w:val="Styl1"/>
        <w:numPr>
          <w:ilvl w:val="0"/>
          <w:numId w:val="113"/>
        </w:numPr>
      </w:pPr>
      <w:r w:rsidRPr="00EC250C">
        <w:t>Średnia wysokość alimentów zasądzonych</w:t>
      </w:r>
      <w:r w:rsidR="00992FD0" w:rsidRPr="00EC250C">
        <w:t xml:space="preserve"> w </w:t>
      </w:r>
      <w:r w:rsidRPr="00EC250C">
        <w:t>Polsce to 600 zł</w:t>
      </w:r>
      <w:r w:rsidR="00026572" w:rsidRPr="00EC250C">
        <w:t xml:space="preserve"> – </w:t>
      </w:r>
      <w:r w:rsidRPr="00EC250C">
        <w:t>to nie starcza na dobrą edukację, dentystę czy wypoczynek.</w:t>
      </w:r>
    </w:p>
    <w:p w14:paraId="1755113D" w14:textId="77777777" w:rsidR="00192982" w:rsidRPr="00EC250C" w:rsidRDefault="00192982" w:rsidP="006C70B7">
      <w:pPr>
        <w:pStyle w:val="Styl1"/>
        <w:numPr>
          <w:ilvl w:val="0"/>
          <w:numId w:val="113"/>
        </w:numPr>
      </w:pPr>
      <w:r w:rsidRPr="00EC250C">
        <w:t>Przeciętny dłużnik ma ponad 30 tys. zaległości wobec Funduszu Alimentacyjnego (czyli wobec państwa)</w:t>
      </w:r>
    </w:p>
    <w:p w14:paraId="35831E00" w14:textId="77777777" w:rsidR="00192982" w:rsidRPr="00EC250C" w:rsidRDefault="00192982" w:rsidP="006C70B7">
      <w:pPr>
        <w:pStyle w:val="Styl1"/>
        <w:numPr>
          <w:ilvl w:val="0"/>
          <w:numId w:val="113"/>
        </w:numPr>
      </w:pPr>
      <w:r w:rsidRPr="00EC250C">
        <w:t>Polacy (77 proc.) uważają już jednak, że temat niepłacenie alimentów na rzecz dzieci jest pomijany</w:t>
      </w:r>
      <w:r w:rsidR="00992FD0" w:rsidRPr="00EC250C">
        <w:t xml:space="preserve"> w </w:t>
      </w:r>
      <w:r w:rsidRPr="00EC250C">
        <w:t>debacie publicznej</w:t>
      </w:r>
      <w:r w:rsidR="00992FD0" w:rsidRPr="00EC250C">
        <w:t xml:space="preserve"> i </w:t>
      </w:r>
      <w:r w:rsidRPr="00EC250C">
        <w:t>za rzadko poruszany przez media</w:t>
      </w:r>
      <w:r w:rsidR="00026572" w:rsidRPr="00EC250C">
        <w:t xml:space="preserve"> – </w:t>
      </w:r>
      <w:r w:rsidRPr="00EC250C">
        <w:t>77% (Kantar Millward Brown)</w:t>
      </w:r>
    </w:p>
    <w:p w14:paraId="0222B71D" w14:textId="77777777" w:rsidR="00192982" w:rsidRPr="00EC250C" w:rsidRDefault="00192982" w:rsidP="00D131FA">
      <w:pPr>
        <w:pStyle w:val="Styl1"/>
        <w:ind w:firstLine="0"/>
        <w:rPr>
          <w:b/>
        </w:rPr>
      </w:pPr>
      <w:r w:rsidRPr="00EC250C">
        <w:rPr>
          <w:b/>
        </w:rPr>
        <w:t>Jak pomóc ludziom wyjść</w:t>
      </w:r>
      <w:r w:rsidR="00992FD0" w:rsidRPr="00EC250C">
        <w:rPr>
          <w:b/>
        </w:rPr>
        <w:t xml:space="preserve"> z </w:t>
      </w:r>
      <w:r w:rsidRPr="00EC250C">
        <w:rPr>
          <w:b/>
        </w:rPr>
        <w:t>tego pata?</w:t>
      </w:r>
    </w:p>
    <w:p w14:paraId="08D78BE3" w14:textId="77777777" w:rsidR="00192982" w:rsidRPr="00EC250C" w:rsidRDefault="00192982" w:rsidP="006C70B7">
      <w:pPr>
        <w:pStyle w:val="Styl1"/>
        <w:numPr>
          <w:ilvl w:val="0"/>
          <w:numId w:val="114"/>
        </w:numPr>
        <w:ind w:left="426" w:hanging="426"/>
      </w:pPr>
      <w:r w:rsidRPr="00EC250C">
        <w:t>Im większy konflikt</w:t>
      </w:r>
      <w:r w:rsidR="00992FD0" w:rsidRPr="00EC250C">
        <w:t xml:space="preserve"> w </w:t>
      </w:r>
      <w:r w:rsidRPr="00EC250C">
        <w:t>czasie rozwodu, tym większe prawdopodobieństwo konfliktu</w:t>
      </w:r>
      <w:r w:rsidR="00992FD0" w:rsidRPr="00EC250C">
        <w:t xml:space="preserve"> o </w:t>
      </w:r>
      <w:r w:rsidRPr="00EC250C">
        <w:t>alimenty. Łagodzenie konfliktu jest więc pierwszym krokiem do rozwiązywania problemu alimentów.</w:t>
      </w:r>
    </w:p>
    <w:p w14:paraId="501E275B" w14:textId="77777777" w:rsidR="00C91F6E" w:rsidRPr="00EC250C" w:rsidRDefault="00192982" w:rsidP="006C70B7">
      <w:pPr>
        <w:pStyle w:val="Styl1"/>
        <w:numPr>
          <w:ilvl w:val="0"/>
          <w:numId w:val="114"/>
        </w:numPr>
        <w:ind w:left="426" w:hanging="426"/>
      </w:pPr>
      <w:r w:rsidRPr="00EC250C">
        <w:t>Potrzebne są różne formy działania,</w:t>
      </w:r>
      <w:r w:rsidR="00992FD0" w:rsidRPr="00EC250C">
        <w:t xml:space="preserve"> w </w:t>
      </w:r>
      <w:r w:rsidRPr="00EC250C">
        <w:t>tym: programy wsparcia dla dłużników, którzy nie są</w:t>
      </w:r>
      <w:r w:rsidR="00992FD0" w:rsidRPr="00EC250C">
        <w:t xml:space="preserve"> w </w:t>
      </w:r>
      <w:r w:rsidRPr="00EC250C">
        <w:t>stanie płacić, informacja</w:t>
      </w:r>
      <w:r w:rsidR="00992FD0" w:rsidRPr="00EC250C">
        <w:t xml:space="preserve"> i </w:t>
      </w:r>
      <w:r w:rsidRPr="00EC250C">
        <w:t>edukacja dla dłużników, dla których alimenty nie są priorytetem; kary dla tych, którzy celowo unikają płacenia. Przykład? Uczenie zasad tworzenia budżetu domowego, bo tylko wtedy rodzic może odpowiedzialnie zaproponować, ile jest naprawdę</w:t>
      </w:r>
      <w:r w:rsidR="00992FD0" w:rsidRPr="00EC250C">
        <w:t xml:space="preserve"> w </w:t>
      </w:r>
      <w:r w:rsidRPr="00EC250C">
        <w:t>stanie płacić na dziecko.</w:t>
      </w:r>
    </w:p>
    <w:p w14:paraId="2FD8BF1E" w14:textId="77777777" w:rsidR="00192982" w:rsidRPr="00EC250C" w:rsidRDefault="00192982" w:rsidP="006C70B7">
      <w:pPr>
        <w:pStyle w:val="Styl1"/>
        <w:numPr>
          <w:ilvl w:val="0"/>
          <w:numId w:val="114"/>
        </w:numPr>
        <w:ind w:left="426" w:hanging="426"/>
      </w:pPr>
      <w:r w:rsidRPr="00EC250C">
        <w:t>Potrzebne są nam działania prewencyjne,</w:t>
      </w:r>
      <w:r w:rsidR="00992FD0" w:rsidRPr="00EC250C">
        <w:t xml:space="preserve"> w </w:t>
      </w:r>
      <w:r w:rsidRPr="00EC250C">
        <w:t>tym wspieranie ojców (poprzez promocję urlopów ojcowskich, wydzielony urlop tylko dla ojc</w:t>
      </w:r>
      <w:r w:rsidR="00BB200F" w:rsidRPr="00EC250C">
        <w:t>a</w:t>
      </w:r>
      <w:r w:rsidRPr="00EC250C">
        <w:t>). To wzmacnia rodzinę</w:t>
      </w:r>
      <w:r w:rsidR="00992FD0" w:rsidRPr="00EC250C">
        <w:t xml:space="preserve"> i </w:t>
      </w:r>
      <w:r w:rsidRPr="00EC250C">
        <w:t>więzi</w:t>
      </w:r>
      <w:r w:rsidR="00992FD0" w:rsidRPr="00EC250C">
        <w:t xml:space="preserve"> z </w:t>
      </w:r>
      <w:r w:rsidRPr="00EC250C">
        <w:t>dzieckiem. Wtedy, nawet jeśli dojdzie do rozwodu,</w:t>
      </w:r>
      <w:r w:rsidR="00CC4D88" w:rsidRPr="00EC250C">
        <w:t xml:space="preserve"> </w:t>
      </w:r>
      <w:r w:rsidRPr="00EC250C">
        <w:t>niepłacenie alimentów jest mniej prawdopodobne.</w:t>
      </w:r>
    </w:p>
    <w:p w14:paraId="2928B020" w14:textId="77777777" w:rsidR="00192982" w:rsidRPr="00EC250C" w:rsidRDefault="00192982" w:rsidP="006C70B7">
      <w:pPr>
        <w:pStyle w:val="Styl1"/>
        <w:numPr>
          <w:ilvl w:val="0"/>
          <w:numId w:val="114"/>
        </w:numPr>
        <w:ind w:left="426" w:hanging="426"/>
      </w:pPr>
      <w:r w:rsidRPr="00EC250C">
        <w:t>Nie powinno się antagonizować dwóch grup rodziców najbardziej zaangażowanych</w:t>
      </w:r>
      <w:r w:rsidR="00992FD0" w:rsidRPr="00EC250C">
        <w:t xml:space="preserve"> w </w:t>
      </w:r>
      <w:r w:rsidRPr="00EC250C">
        <w:t>sprawę alimentów: matek, które po rozwodzie nie mają pomocy od ojców swoich dzieci,</w:t>
      </w:r>
      <w:r w:rsidR="00992FD0" w:rsidRPr="00EC250C">
        <w:t xml:space="preserve"> i </w:t>
      </w:r>
      <w:r w:rsidRPr="00EC250C">
        <w:t>ojców, którzy po rozwodzie chcieliby się więcej zajmować dziećmi, ale nie jest to im dane.</w:t>
      </w:r>
    </w:p>
    <w:p w14:paraId="18F98761" w14:textId="77777777" w:rsidR="00192982" w:rsidRPr="00EC250C" w:rsidRDefault="00192982" w:rsidP="006C70B7">
      <w:pPr>
        <w:pStyle w:val="Styl1"/>
        <w:numPr>
          <w:ilvl w:val="0"/>
          <w:numId w:val="114"/>
        </w:numPr>
        <w:ind w:left="426" w:hanging="426"/>
      </w:pPr>
      <w:r w:rsidRPr="00EC250C">
        <w:lastRenderedPageBreak/>
        <w:t>Trzeba znieść próg uprawniający do pomocy</w:t>
      </w:r>
      <w:r w:rsidR="00992FD0" w:rsidRPr="00EC250C">
        <w:t xml:space="preserve"> z </w:t>
      </w:r>
      <w:r w:rsidRPr="00EC250C">
        <w:t>Funduszu Alimentacyjnego</w:t>
      </w:r>
      <w:r w:rsidR="00992FD0" w:rsidRPr="00EC250C">
        <w:t xml:space="preserve"> w </w:t>
      </w:r>
      <w:r w:rsidRPr="00EC250C">
        <w:t>przypadku, gdy jedno</w:t>
      </w:r>
      <w:r w:rsidR="00992FD0" w:rsidRPr="00EC250C">
        <w:t xml:space="preserve"> z </w:t>
      </w:r>
      <w:r w:rsidRPr="00EC250C">
        <w:t>rodziców nie płaci na dziecko.</w:t>
      </w:r>
    </w:p>
    <w:p w14:paraId="37CB6037" w14:textId="77777777" w:rsidR="00192982" w:rsidRPr="00EC250C" w:rsidRDefault="00192982" w:rsidP="006C70B7">
      <w:pPr>
        <w:pStyle w:val="Styl1"/>
        <w:numPr>
          <w:ilvl w:val="0"/>
          <w:numId w:val="114"/>
        </w:numPr>
        <w:ind w:left="426" w:hanging="426"/>
      </w:pPr>
      <w:r w:rsidRPr="00EC250C">
        <w:t>Problem alimentacji jest pod każdym względem szczególny, złożony</w:t>
      </w:r>
      <w:r w:rsidR="00992FD0" w:rsidRPr="00EC250C">
        <w:t xml:space="preserve"> i </w:t>
      </w:r>
      <w:r w:rsidRPr="00EC250C">
        <w:t>dynamiczny – trudno oczekiwać, że da się go rozwiązać prostymi metodami. Wymaga on podejmowania zróżnicowanych</w:t>
      </w:r>
      <w:r w:rsidR="00992FD0" w:rsidRPr="00EC250C">
        <w:t xml:space="preserve"> i </w:t>
      </w:r>
      <w:r w:rsidRPr="00EC250C">
        <w:t>bardziej zindywidualizowanych działań. Blisko 36% dłużników alimentacyjnych ma inne zaległości wobec wierzycieli.</w:t>
      </w:r>
    </w:p>
    <w:p w14:paraId="1036FEDE" w14:textId="77777777" w:rsidR="00192982" w:rsidRPr="00EC250C" w:rsidRDefault="00192982" w:rsidP="006C70B7">
      <w:pPr>
        <w:pStyle w:val="Styl1"/>
        <w:numPr>
          <w:ilvl w:val="0"/>
          <w:numId w:val="114"/>
        </w:numPr>
        <w:ind w:left="426" w:hanging="426"/>
      </w:pPr>
      <w:r w:rsidRPr="00EC250C">
        <w:t>Programy wsparcia dla dłużników, którzy nie są</w:t>
      </w:r>
      <w:r w:rsidR="00992FD0" w:rsidRPr="00EC250C">
        <w:t xml:space="preserve"> w </w:t>
      </w:r>
      <w:r w:rsidRPr="00EC250C">
        <w:t>stanie płacić; kary dla celowo unikających płacenia.</w:t>
      </w:r>
    </w:p>
    <w:p w14:paraId="28DC38CE" w14:textId="77777777" w:rsidR="00192982" w:rsidRPr="00EC250C" w:rsidRDefault="00192982" w:rsidP="00D131FA">
      <w:pPr>
        <w:pStyle w:val="Srdtytul6"/>
        <w:jc w:val="both"/>
      </w:pPr>
      <w:r w:rsidRPr="00EC250C">
        <w:t>Kontakty</w:t>
      </w:r>
      <w:r w:rsidR="00992FD0" w:rsidRPr="00EC250C">
        <w:t xml:space="preserve"> z </w:t>
      </w:r>
      <w:r w:rsidRPr="00EC250C">
        <w:t>dziećmi po rozwodzie</w:t>
      </w:r>
      <w:r w:rsidR="00992FD0" w:rsidRPr="00EC250C">
        <w:t xml:space="preserve"> i </w:t>
      </w:r>
      <w:r w:rsidRPr="00EC250C">
        <w:t>ich faktyczne egzekwowanie, opieka naprzemienna, alienacja rodzicielska</w:t>
      </w:r>
    </w:p>
    <w:p w14:paraId="237C0C7B" w14:textId="77777777" w:rsidR="00B473F5" w:rsidRPr="00EC250C" w:rsidRDefault="00BB200F" w:rsidP="00D131FA">
      <w:pPr>
        <w:pStyle w:val="Problemczowieka"/>
        <w:jc w:val="both"/>
      </w:pPr>
      <w:r w:rsidRPr="00EC250C">
        <w:t>Obecnie cały</w:t>
      </w:r>
      <w:r w:rsidR="00192982" w:rsidRPr="00EC250C">
        <w:t xml:space="preserve"> proces rozwodowy opiera się na konflikcie:</w:t>
      </w:r>
      <w:r w:rsidR="00992FD0" w:rsidRPr="00EC250C">
        <w:t xml:space="preserve"> o </w:t>
      </w:r>
      <w:r w:rsidR="00192982" w:rsidRPr="00EC250C">
        <w:t>winę,</w:t>
      </w:r>
      <w:r w:rsidR="00992FD0" w:rsidRPr="00EC250C">
        <w:t xml:space="preserve"> o </w:t>
      </w:r>
      <w:r w:rsidR="00192982" w:rsidRPr="00EC250C">
        <w:t>majątek,</w:t>
      </w:r>
      <w:r w:rsidR="00992FD0" w:rsidRPr="00EC250C">
        <w:t xml:space="preserve"> o </w:t>
      </w:r>
      <w:r w:rsidR="00192982" w:rsidRPr="00EC250C">
        <w:t>kontakty</w:t>
      </w:r>
      <w:r w:rsidR="00992FD0" w:rsidRPr="00EC250C">
        <w:t xml:space="preserve"> z </w:t>
      </w:r>
      <w:r w:rsidR="00192982" w:rsidRPr="00EC250C">
        <w:t>dzieckiem,</w:t>
      </w:r>
      <w:r w:rsidR="00992FD0" w:rsidRPr="00EC250C">
        <w:t xml:space="preserve"> o </w:t>
      </w:r>
      <w:r w:rsidR="00192982" w:rsidRPr="00EC250C">
        <w:t xml:space="preserve">prawa rodzicielskie. </w:t>
      </w:r>
      <w:r w:rsidRPr="00EC250C">
        <w:t>Należy to zmieniać,</w:t>
      </w:r>
      <w:r w:rsidR="00192982" w:rsidRPr="00EC250C">
        <w:t xml:space="preserve"> eliminować pola konfliktu</w:t>
      </w:r>
      <w:r w:rsidR="00992FD0" w:rsidRPr="00EC250C">
        <w:t xml:space="preserve"> i </w:t>
      </w:r>
      <w:r w:rsidR="00192982" w:rsidRPr="00EC250C">
        <w:t>poprawiać efektywność postępowania przed sądami</w:t>
      </w:r>
      <w:r w:rsidR="00B473F5" w:rsidRPr="00EC250C">
        <w:t>.</w:t>
      </w:r>
    </w:p>
    <w:p w14:paraId="68F795C2" w14:textId="77777777" w:rsidR="00192982" w:rsidRPr="00EC250C" w:rsidRDefault="00192982" w:rsidP="006C70B7">
      <w:pPr>
        <w:pStyle w:val="Styl1"/>
        <w:numPr>
          <w:ilvl w:val="0"/>
          <w:numId w:val="115"/>
        </w:numPr>
        <w:ind w:left="426" w:hanging="426"/>
      </w:pPr>
      <w:r w:rsidRPr="00EC250C">
        <w:t>Trzeba dążyć do uregulowanie zasad kontaktów</w:t>
      </w:r>
      <w:r w:rsidR="00992FD0" w:rsidRPr="00EC250C">
        <w:t xml:space="preserve"> z </w:t>
      </w:r>
      <w:r w:rsidRPr="00EC250C">
        <w:t>dzieckiem (w sądzie,</w:t>
      </w:r>
      <w:r w:rsidR="00992FD0" w:rsidRPr="00EC250C">
        <w:t xml:space="preserve"> w </w:t>
      </w:r>
      <w:r w:rsidRPr="00EC250C">
        <w:t>drodze mediacji czy</w:t>
      </w:r>
      <w:r w:rsidR="00992FD0" w:rsidRPr="00EC250C">
        <w:t xml:space="preserve"> w </w:t>
      </w:r>
      <w:r w:rsidRPr="00EC250C">
        <w:t>ugodzie). To ogranicza ryzyko niepewności</w:t>
      </w:r>
      <w:r w:rsidR="00992FD0" w:rsidRPr="00EC250C">
        <w:t xml:space="preserve"> i </w:t>
      </w:r>
      <w:r w:rsidRPr="00EC250C">
        <w:t>nowych konfliktów.</w:t>
      </w:r>
    </w:p>
    <w:p w14:paraId="7D3933D3" w14:textId="77777777" w:rsidR="00192982" w:rsidRPr="00EC250C" w:rsidRDefault="00192982" w:rsidP="006C70B7">
      <w:pPr>
        <w:pStyle w:val="Styl1"/>
        <w:numPr>
          <w:ilvl w:val="0"/>
          <w:numId w:val="115"/>
        </w:numPr>
        <w:ind w:left="426" w:hanging="426"/>
      </w:pPr>
      <w:r w:rsidRPr="00EC250C">
        <w:t>Jeśli dziecko odmawia przed sądem kontaktu</w:t>
      </w:r>
      <w:r w:rsidR="00992FD0" w:rsidRPr="00EC250C">
        <w:t xml:space="preserve"> z </w:t>
      </w:r>
      <w:r w:rsidRPr="00EC250C">
        <w:t>rodzicem, sąd powinien się dowiedzieć, dlaczego</w:t>
      </w:r>
      <w:r w:rsidR="00026572" w:rsidRPr="00EC250C">
        <w:t xml:space="preserve"> – </w:t>
      </w:r>
      <w:r w:rsidR="00992FD0" w:rsidRPr="00EC250C">
        <w:t>a </w:t>
      </w:r>
      <w:r w:rsidRPr="00EC250C">
        <w:t>nie poprzestać na przyjęciu do wiadomości woli dziecka.</w:t>
      </w:r>
    </w:p>
    <w:p w14:paraId="16862BA1" w14:textId="77777777" w:rsidR="00192982" w:rsidRPr="00EC250C" w:rsidRDefault="00192982" w:rsidP="006C70B7">
      <w:pPr>
        <w:pStyle w:val="Styl1"/>
        <w:numPr>
          <w:ilvl w:val="0"/>
          <w:numId w:val="115"/>
        </w:numPr>
        <w:ind w:left="426" w:hanging="426"/>
      </w:pPr>
      <w:r w:rsidRPr="00EC250C">
        <w:t>System karania rodziców za utrudnianie kontaktów</w:t>
      </w:r>
      <w:r w:rsidR="00992FD0" w:rsidRPr="00EC250C">
        <w:t xml:space="preserve"> z </w:t>
      </w:r>
      <w:r w:rsidRPr="00EC250C">
        <w:t>dzieckiem nie sprawdza się.</w:t>
      </w:r>
    </w:p>
    <w:p w14:paraId="34446A46" w14:textId="77777777" w:rsidR="00192982" w:rsidRPr="00EC250C" w:rsidRDefault="00192982" w:rsidP="006C70B7">
      <w:pPr>
        <w:pStyle w:val="Styl1"/>
        <w:numPr>
          <w:ilvl w:val="0"/>
          <w:numId w:val="115"/>
        </w:numPr>
        <w:ind w:left="426" w:hanging="426"/>
      </w:pPr>
      <w:r w:rsidRPr="00EC250C">
        <w:t>Kontakty są prawem</w:t>
      </w:r>
      <w:r w:rsidR="00992FD0" w:rsidRPr="00EC250C">
        <w:t xml:space="preserve"> i </w:t>
      </w:r>
      <w:r w:rsidRPr="00EC250C">
        <w:t>obowiązkiem –</w:t>
      </w:r>
      <w:r w:rsidR="00992FD0" w:rsidRPr="00EC250C">
        <w:t xml:space="preserve"> i </w:t>
      </w:r>
      <w:r w:rsidRPr="00EC250C">
        <w:t>dla rodzica</w:t>
      </w:r>
      <w:r w:rsidR="00992FD0" w:rsidRPr="00EC250C">
        <w:t xml:space="preserve"> i </w:t>
      </w:r>
      <w:r w:rsidRPr="00EC250C">
        <w:t>dla dziecka. Jeśli dziecko nie chce kontaktów</w:t>
      </w:r>
      <w:r w:rsidR="00992FD0" w:rsidRPr="00EC250C">
        <w:t xml:space="preserve"> z </w:t>
      </w:r>
      <w:r w:rsidRPr="00EC250C">
        <w:t>jednym</w:t>
      </w:r>
      <w:r w:rsidR="00992FD0" w:rsidRPr="00EC250C">
        <w:t xml:space="preserve"> z </w:t>
      </w:r>
      <w:r w:rsidRPr="00EC250C">
        <w:t>rodziców, to znaczy, że dziecko to jest</w:t>
      </w:r>
      <w:r w:rsidR="00992FD0" w:rsidRPr="00EC250C">
        <w:t xml:space="preserve"> w </w:t>
      </w:r>
      <w:r w:rsidRPr="00EC250C">
        <w:t>dramatycznej sytuacji</w:t>
      </w:r>
      <w:r w:rsidR="00992FD0" w:rsidRPr="00EC250C">
        <w:t xml:space="preserve"> i </w:t>
      </w:r>
      <w:r w:rsidRPr="00EC250C">
        <w:t>potrzebuje pomocy. Konflikt</w:t>
      </w:r>
      <w:r w:rsidR="00992FD0" w:rsidRPr="00EC250C">
        <w:t xml:space="preserve"> o </w:t>
      </w:r>
      <w:r w:rsidRPr="00EC250C">
        <w:t>kontakt</w:t>
      </w:r>
      <w:r w:rsidR="00992FD0" w:rsidRPr="00EC250C">
        <w:t xml:space="preserve"> z </w:t>
      </w:r>
      <w:r w:rsidRPr="00EC250C">
        <w:t>dzieckiem jest przejawem bardzo ostrego kryzysu. Bardzo źle wpływa na dziecko. Postulat pieczy naprzemiennej</w:t>
      </w:r>
      <w:r w:rsidR="00992FD0" w:rsidRPr="00EC250C">
        <w:t xml:space="preserve"> w </w:t>
      </w:r>
      <w:r w:rsidRPr="00EC250C">
        <w:t>takiej sytuacji nie może być realizowany, bo do tego potrzebny jest wspólny front rodziców</w:t>
      </w:r>
      <w:r w:rsidR="00992FD0" w:rsidRPr="00EC250C">
        <w:t xml:space="preserve"> w </w:t>
      </w:r>
      <w:r w:rsidRPr="00EC250C">
        <w:t>wychowywaniu dzieci.</w:t>
      </w:r>
    </w:p>
    <w:p w14:paraId="3FADCE68" w14:textId="77777777" w:rsidR="00192982" w:rsidRPr="00EC250C" w:rsidRDefault="00192982" w:rsidP="006C70B7">
      <w:pPr>
        <w:pStyle w:val="Styl1"/>
        <w:numPr>
          <w:ilvl w:val="0"/>
          <w:numId w:val="115"/>
        </w:numPr>
        <w:ind w:left="426" w:hanging="426"/>
      </w:pPr>
      <w:r w:rsidRPr="00EC250C">
        <w:t>Także ze względu na kontakty</w:t>
      </w:r>
      <w:r w:rsidR="00992FD0" w:rsidRPr="00EC250C">
        <w:t xml:space="preserve"> z </w:t>
      </w:r>
      <w:r w:rsidRPr="00EC250C">
        <w:t>dzieckiem po rozwodzie trzeba szukać sposobów porozumienia między rodzicami</w:t>
      </w:r>
      <w:r w:rsidR="00992FD0" w:rsidRPr="00EC250C">
        <w:t xml:space="preserve"> i </w:t>
      </w:r>
      <w:r w:rsidRPr="00EC250C">
        <w:t>łagodzić konflikt</w:t>
      </w:r>
      <w:r w:rsidR="00992FD0" w:rsidRPr="00EC250C">
        <w:t xml:space="preserve"> w </w:t>
      </w:r>
      <w:r w:rsidRPr="00EC250C">
        <w:t>czasie rozstania.</w:t>
      </w:r>
    </w:p>
    <w:p w14:paraId="09D4307E" w14:textId="77777777" w:rsidR="00192982" w:rsidRPr="00EC250C" w:rsidRDefault="00192982" w:rsidP="006C70B7">
      <w:pPr>
        <w:pStyle w:val="Styl1"/>
        <w:numPr>
          <w:ilvl w:val="0"/>
          <w:numId w:val="115"/>
        </w:numPr>
        <w:ind w:left="426" w:hanging="426"/>
      </w:pPr>
      <w:r w:rsidRPr="00EC250C">
        <w:t>Konieczne jest usprawnianie pracy sądów rodzinnych</w:t>
      </w:r>
      <w:r w:rsidR="00026572" w:rsidRPr="00EC250C">
        <w:t xml:space="preserve"> – </w:t>
      </w:r>
      <w:r w:rsidRPr="00EC250C">
        <w:t>by konflikt nie miał czasu narastać.</w:t>
      </w:r>
    </w:p>
    <w:p w14:paraId="2C551AE8" w14:textId="77777777" w:rsidR="00192982" w:rsidRPr="00EC250C" w:rsidRDefault="00192982" w:rsidP="00D131FA">
      <w:pPr>
        <w:pStyle w:val="Srdtytul6"/>
        <w:jc w:val="both"/>
      </w:pPr>
      <w:r w:rsidRPr="00EC250C">
        <w:t>Ustalenie pochodzenia dziecka</w:t>
      </w:r>
    </w:p>
    <w:p w14:paraId="57F5F48C" w14:textId="77777777" w:rsidR="00B473F5" w:rsidRPr="00EC250C" w:rsidRDefault="00192982" w:rsidP="00D131FA">
      <w:pPr>
        <w:pStyle w:val="Problemczowieka"/>
        <w:jc w:val="both"/>
      </w:pPr>
      <w:r w:rsidRPr="00EC250C">
        <w:t>Poprawienie procedur może</w:t>
      </w:r>
      <w:r w:rsidR="00992FD0" w:rsidRPr="00EC250C">
        <w:t xml:space="preserve"> w </w:t>
      </w:r>
      <w:r w:rsidRPr="00EC250C">
        <w:t>tym wypadku nie tylko usprawnić</w:t>
      </w:r>
      <w:r w:rsidRPr="00EC250C">
        <w:rPr>
          <w:rStyle w:val="Srdtytul6Znak"/>
          <w:b/>
          <w:bCs w:val="0"/>
          <w:color w:val="auto"/>
          <w:spacing w:val="5"/>
          <w:bdr w:val="none" w:sz="0" w:space="0" w:color="auto"/>
          <w:lang w:bidi="ar-SA"/>
        </w:rPr>
        <w:t xml:space="preserve"> pracę sądów, ale także nie dopuszczać do niep</w:t>
      </w:r>
      <w:r w:rsidRPr="00EC250C">
        <w:t>otrzebnych konfliktów</w:t>
      </w:r>
      <w:r w:rsidR="00992FD0" w:rsidRPr="00EC250C">
        <w:t xml:space="preserve"> i </w:t>
      </w:r>
      <w:r w:rsidRPr="00EC250C">
        <w:t>cierpienia</w:t>
      </w:r>
      <w:r w:rsidR="00B473F5" w:rsidRPr="00EC250C">
        <w:t>.</w:t>
      </w:r>
    </w:p>
    <w:p w14:paraId="11B37687" w14:textId="77777777" w:rsidR="00192982" w:rsidRPr="00EC250C" w:rsidRDefault="00192982" w:rsidP="006C70B7">
      <w:pPr>
        <w:pStyle w:val="Styl1"/>
        <w:numPr>
          <w:ilvl w:val="0"/>
          <w:numId w:val="116"/>
        </w:numPr>
        <w:ind w:left="426" w:hanging="426"/>
      </w:pPr>
      <w:r w:rsidRPr="00EC250C">
        <w:t>Powinno się wydłużyć terminy na zaprzeczenie ojcostwa,</w:t>
      </w:r>
      <w:r w:rsidR="00992FD0" w:rsidRPr="00EC250C">
        <w:t xml:space="preserve"> a </w:t>
      </w:r>
      <w:r w:rsidRPr="00EC250C">
        <w:t>testy DNA dokładnie uregulować.</w:t>
      </w:r>
    </w:p>
    <w:p w14:paraId="2CD6E073" w14:textId="77777777" w:rsidR="00192982" w:rsidRPr="00EC250C" w:rsidRDefault="00192982" w:rsidP="006C70B7">
      <w:pPr>
        <w:pStyle w:val="Styl1"/>
        <w:numPr>
          <w:ilvl w:val="0"/>
          <w:numId w:val="116"/>
        </w:numPr>
        <w:ind w:left="426" w:hanging="426"/>
      </w:pPr>
      <w:r w:rsidRPr="00EC250C">
        <w:t>Rygorystyczne przepisy nie pozwalają dorosłemu dziecku poprawić dokumentów</w:t>
      </w:r>
      <w:r w:rsidR="00992FD0" w:rsidRPr="00EC250C">
        <w:t xml:space="preserve"> o </w:t>
      </w:r>
      <w:r w:rsidRPr="00EC250C">
        <w:t>swoim pochodzeniu, bo jest na to tylko ściśle określony czas.</w:t>
      </w:r>
    </w:p>
    <w:p w14:paraId="4A6D7996" w14:textId="77777777" w:rsidR="00192982" w:rsidRPr="00EC250C" w:rsidRDefault="00192982" w:rsidP="006C70B7">
      <w:pPr>
        <w:pStyle w:val="Styl1"/>
        <w:numPr>
          <w:ilvl w:val="0"/>
          <w:numId w:val="116"/>
        </w:numPr>
        <w:ind w:left="426" w:hanging="426"/>
      </w:pPr>
      <w:r w:rsidRPr="00EC250C">
        <w:lastRenderedPageBreak/>
        <w:t>Ustalenie pochodzenia dziecka wymaga współpracy dwóch osób, jeśli dziecko jest małe,</w:t>
      </w:r>
      <w:r w:rsidR="00992FD0" w:rsidRPr="00EC250C">
        <w:t xml:space="preserve"> i </w:t>
      </w:r>
      <w:r w:rsidRPr="00EC250C">
        <w:t>trzech, jeśli już może stanowić</w:t>
      </w:r>
      <w:r w:rsidR="00992FD0" w:rsidRPr="00EC250C">
        <w:t xml:space="preserve"> o </w:t>
      </w:r>
      <w:r w:rsidRPr="00EC250C">
        <w:t>sobie. Nie mamy na to procedur – dziś wszystko zależy od prokuratora</w:t>
      </w:r>
      <w:r w:rsidR="00992FD0" w:rsidRPr="00EC250C">
        <w:t xml:space="preserve"> i </w:t>
      </w:r>
      <w:r w:rsidRPr="00EC250C">
        <w:t>od sądu,</w:t>
      </w:r>
      <w:r w:rsidR="00992FD0" w:rsidRPr="00EC250C">
        <w:t xml:space="preserve"> a </w:t>
      </w:r>
      <w:r w:rsidRPr="00EC250C">
        <w:t>to nie wystarcza. Należy rozważyć obowiązek pośrednictwa prokuratora</w:t>
      </w:r>
      <w:r w:rsidR="00992FD0" w:rsidRPr="00EC250C">
        <w:t xml:space="preserve"> w </w:t>
      </w:r>
      <w:r w:rsidRPr="00EC250C">
        <w:t>tych sprawach.</w:t>
      </w:r>
    </w:p>
    <w:p w14:paraId="64DE5937" w14:textId="77777777" w:rsidR="00192982" w:rsidRPr="00EC250C" w:rsidRDefault="00192982" w:rsidP="006C70B7">
      <w:pPr>
        <w:pStyle w:val="Styl1"/>
        <w:numPr>
          <w:ilvl w:val="0"/>
          <w:numId w:val="116"/>
        </w:numPr>
        <w:ind w:left="426" w:hanging="426"/>
      </w:pPr>
      <w:r w:rsidRPr="00EC250C">
        <w:t>Zasady prowadzenia badań DNA nie są uregulowane – dziś komercyjne testy, choć są dla rodziców podstawą, nie mają</w:t>
      </w:r>
      <w:r w:rsidR="00992FD0" w:rsidRPr="00EC250C">
        <w:t xml:space="preserve"> w </w:t>
      </w:r>
      <w:r w:rsidRPr="00EC250C">
        <w:t>sądzie wartości dowodowej. Bo nie są prowadzone zgodnie</w:t>
      </w:r>
      <w:r w:rsidR="00992FD0" w:rsidRPr="00EC250C">
        <w:t xml:space="preserve"> z </w:t>
      </w:r>
      <w:r w:rsidRPr="00EC250C">
        <w:t>procedurami gwarantującymi zgodność pochodzenia próbek do badań</w:t>
      </w:r>
      <w:r w:rsidR="00992FD0" w:rsidRPr="00EC250C">
        <w:t xml:space="preserve"> z </w:t>
      </w:r>
      <w:r w:rsidRPr="00EC250C">
        <w:t>deklaracją, że nie zostaną zanieczyszczone. Brak szczegółowych przepisów co do zgody zainteresowanych na pobranie,</w:t>
      </w:r>
      <w:r w:rsidR="00992FD0" w:rsidRPr="00EC250C">
        <w:t xml:space="preserve"> a </w:t>
      </w:r>
      <w:r w:rsidRPr="00EC250C">
        <w:t>zwłaszcza na wykorzystanie</w:t>
      </w:r>
      <w:r w:rsidR="00CC4D88" w:rsidRPr="00EC250C">
        <w:t xml:space="preserve"> </w:t>
      </w:r>
      <w:r w:rsidRPr="00EC250C">
        <w:t>DNA.</w:t>
      </w:r>
    </w:p>
    <w:p w14:paraId="41117822" w14:textId="77777777" w:rsidR="00192982" w:rsidRPr="00EC250C" w:rsidRDefault="00192982" w:rsidP="006C70B7">
      <w:pPr>
        <w:pStyle w:val="Styl1"/>
        <w:numPr>
          <w:ilvl w:val="0"/>
          <w:numId w:val="116"/>
        </w:numPr>
        <w:ind w:left="426" w:hanging="426"/>
      </w:pPr>
      <w:r w:rsidRPr="00EC250C">
        <w:t>Na pobranie materiału DNA od dziecka sąd może się zgodzić tylko wtedy, jeśli to przed sądem toczone jest postępowanie</w:t>
      </w:r>
      <w:r w:rsidR="00992FD0" w:rsidRPr="00EC250C">
        <w:t xml:space="preserve"> w </w:t>
      </w:r>
      <w:r w:rsidRPr="00EC250C">
        <w:t>sprawie ojcostwa. Tymczasem prokurator nie ma takiej możliwości</w:t>
      </w:r>
      <w:r w:rsidR="00992FD0" w:rsidRPr="00EC250C">
        <w:t xml:space="preserve"> w </w:t>
      </w:r>
      <w:r w:rsidRPr="00EC250C">
        <w:t>fazie badania wniosku obywatela</w:t>
      </w:r>
      <w:r w:rsidR="00992FD0" w:rsidRPr="00EC250C">
        <w:t xml:space="preserve"> w </w:t>
      </w:r>
      <w:r w:rsidRPr="00EC250C">
        <w:t>sprawie ojcostwa.</w:t>
      </w:r>
    </w:p>
    <w:p w14:paraId="563A926F" w14:textId="77777777" w:rsidR="00192982" w:rsidRPr="00EC250C" w:rsidRDefault="00192982" w:rsidP="00D131FA">
      <w:pPr>
        <w:pStyle w:val="Srdtytul6"/>
        <w:jc w:val="both"/>
      </w:pPr>
      <w:r w:rsidRPr="00EC250C">
        <w:t>Organizacja sądownictwa rodzinnego</w:t>
      </w:r>
      <w:r w:rsidR="00026572" w:rsidRPr="00EC250C">
        <w:t xml:space="preserve"> – </w:t>
      </w:r>
      <w:r w:rsidRPr="00EC250C">
        <w:t>bariery</w:t>
      </w:r>
      <w:r w:rsidR="00992FD0" w:rsidRPr="00EC250C">
        <w:t xml:space="preserve"> i </w:t>
      </w:r>
      <w:r w:rsidRPr="00EC250C">
        <w:t>problemy. Efektywność sądownictwa rodzinnego.</w:t>
      </w:r>
    </w:p>
    <w:p w14:paraId="20107D40" w14:textId="77777777" w:rsidR="00B473F5" w:rsidRPr="00EC250C" w:rsidRDefault="00192982" w:rsidP="00D131FA">
      <w:pPr>
        <w:pStyle w:val="Problemczowieka"/>
        <w:jc w:val="both"/>
      </w:pPr>
      <w:r w:rsidRPr="00EC250C">
        <w:rPr>
          <w:rStyle w:val="ProblemczowiekaZnak"/>
          <w:b/>
        </w:rPr>
        <w:t>Obowiązkiem państwa jest tak wzmacniać sądownictwo rodzinne, by sędziowie mieli czas na uważne badanie spraw, które im są przedstawiane. Postulaty te środowisko formułuje od dawna, niestety, nie są one wysłuchiwane</w:t>
      </w:r>
      <w:r w:rsidR="00B473F5" w:rsidRPr="00EC250C">
        <w:t>.</w:t>
      </w:r>
    </w:p>
    <w:p w14:paraId="33A1BA52" w14:textId="77777777" w:rsidR="00192982" w:rsidRPr="00EC250C" w:rsidRDefault="00192982" w:rsidP="006C70B7">
      <w:pPr>
        <w:pStyle w:val="Styl1"/>
        <w:numPr>
          <w:ilvl w:val="0"/>
          <w:numId w:val="117"/>
        </w:numPr>
        <w:ind w:left="426" w:hanging="426"/>
      </w:pPr>
      <w:r w:rsidRPr="00EC250C">
        <w:t>Czas rozstrzygania spraw, które dotyczą dzieci, jest szczególnie ważny. Jeden rok</w:t>
      </w:r>
      <w:r w:rsidR="00992FD0" w:rsidRPr="00EC250C">
        <w:t xml:space="preserve"> w </w:t>
      </w:r>
      <w:r w:rsidRPr="00EC250C">
        <w:t>życiu dziecka oznacza więcej niż jeden rok</w:t>
      </w:r>
      <w:r w:rsidR="00992FD0" w:rsidRPr="00EC250C">
        <w:t xml:space="preserve"> w </w:t>
      </w:r>
      <w:r w:rsidRPr="00EC250C">
        <w:t>życiu dorosłego. Bez tego sądy rodzinne nie będą</w:t>
      </w:r>
      <w:r w:rsidR="00992FD0" w:rsidRPr="00EC250C">
        <w:t xml:space="preserve"> w </w:t>
      </w:r>
      <w:r w:rsidRPr="00EC250C">
        <w:t>stanie dostosować się do zmieniających się okoliczności, do tego, że rodzice inaczej niż</w:t>
      </w:r>
      <w:r w:rsidR="00992FD0" w:rsidRPr="00EC250C">
        <w:t xml:space="preserve"> w </w:t>
      </w:r>
      <w:r w:rsidRPr="00EC250C">
        <w:t>poprzednim pokoleniu dzielą się zadaniami, inaczej chcą budować więzi</w:t>
      </w:r>
      <w:r w:rsidR="00992FD0" w:rsidRPr="00EC250C">
        <w:t xml:space="preserve"> z </w:t>
      </w:r>
      <w:r w:rsidRPr="00EC250C">
        <w:t>dziećmi. Nie będą</w:t>
      </w:r>
      <w:r w:rsidR="00992FD0" w:rsidRPr="00EC250C">
        <w:t xml:space="preserve"> w </w:t>
      </w:r>
      <w:r w:rsidRPr="00EC250C">
        <w:t>stanie reagować na nowe wyzwania, jakimi są choćby konflikty</w:t>
      </w:r>
      <w:r w:rsidR="00992FD0" w:rsidRPr="00EC250C">
        <w:t xml:space="preserve"> w </w:t>
      </w:r>
      <w:r w:rsidRPr="00EC250C">
        <w:t>rodzinach transgranicznych.</w:t>
      </w:r>
    </w:p>
    <w:p w14:paraId="5E75ACDC" w14:textId="77777777" w:rsidR="00192982" w:rsidRPr="00EC250C" w:rsidRDefault="00192982" w:rsidP="006C70B7">
      <w:pPr>
        <w:pStyle w:val="Styl1"/>
        <w:numPr>
          <w:ilvl w:val="0"/>
          <w:numId w:val="117"/>
        </w:numPr>
        <w:ind w:left="426" w:hanging="426"/>
      </w:pPr>
      <w:r w:rsidRPr="00EC250C">
        <w:t>Sądownictwo rodzinne to cały specyficzny organizm</w:t>
      </w:r>
      <w:r w:rsidR="00026572" w:rsidRPr="00EC250C">
        <w:t xml:space="preserve"> – </w:t>
      </w:r>
      <w:r w:rsidRPr="00EC250C">
        <w:t>to nie tylko sądy, ale cała sieć organów</w:t>
      </w:r>
      <w:r w:rsidR="00992FD0" w:rsidRPr="00EC250C">
        <w:t xml:space="preserve"> i </w:t>
      </w:r>
      <w:r w:rsidRPr="00EC250C">
        <w:t>instytucji, które dostarczają sądom informacji, zarówno</w:t>
      </w:r>
      <w:r w:rsidR="00992FD0" w:rsidRPr="00EC250C">
        <w:t xml:space="preserve"> o </w:t>
      </w:r>
      <w:r w:rsidRPr="00EC250C">
        <w:t>sytuacji rodziny, jak</w:t>
      </w:r>
      <w:r w:rsidR="00992FD0" w:rsidRPr="00EC250C">
        <w:t xml:space="preserve"> i </w:t>
      </w:r>
      <w:r w:rsidRPr="00EC250C">
        <w:t>wiedzy specjalistycznej. To one łącznie gwarantują poszanowanie praw rodziny, ochronę więzi oraz ochronę dobra dziecka. Wspólna praca</w:t>
      </w:r>
      <w:r w:rsidR="00992FD0" w:rsidRPr="00EC250C">
        <w:t xml:space="preserve"> i </w:t>
      </w:r>
      <w:r w:rsidRPr="00EC250C">
        <w:t>wysiłek: kuratorów, biegłych, specjalistów</w:t>
      </w:r>
      <w:r w:rsidR="00992FD0" w:rsidRPr="00EC250C">
        <w:t xml:space="preserve"> z </w:t>
      </w:r>
      <w:r w:rsidRPr="00EC250C">
        <w:t>opiniodawczych zespołów, pozwalają sądom</w:t>
      </w:r>
      <w:r w:rsidR="00992FD0" w:rsidRPr="00EC250C">
        <w:t xml:space="preserve"> w </w:t>
      </w:r>
      <w:r w:rsidRPr="00EC250C">
        <w:t>sposób jak najbardziej obiektywny</w:t>
      </w:r>
      <w:r w:rsidR="00992FD0" w:rsidRPr="00EC250C">
        <w:t xml:space="preserve"> i </w:t>
      </w:r>
      <w:r w:rsidRPr="00EC250C">
        <w:t>profesjonalny sprawować wymiar sprawiedliwości</w:t>
      </w:r>
      <w:r w:rsidR="00992FD0" w:rsidRPr="00EC250C">
        <w:t xml:space="preserve"> w </w:t>
      </w:r>
      <w:r w:rsidRPr="00EC250C">
        <w:t>tej specyficznej dziedzinie, jaką jest prawo rodzinne</w:t>
      </w:r>
      <w:r w:rsidR="00992FD0" w:rsidRPr="00EC250C">
        <w:t xml:space="preserve"> i </w:t>
      </w:r>
      <w:r w:rsidRPr="00EC250C">
        <w:t>opiekuńcze. Dlatego tak ważna jest organizacja sądownictwa rodzinnego</w:t>
      </w:r>
      <w:r w:rsidR="00992FD0" w:rsidRPr="00EC250C">
        <w:t xml:space="preserve"> z </w:t>
      </w:r>
      <w:r w:rsidRPr="00EC250C">
        <w:t>uwzględnieniem tej specyfiki</w:t>
      </w:r>
      <w:r w:rsidR="00992FD0" w:rsidRPr="00EC250C">
        <w:t xml:space="preserve"> i </w:t>
      </w:r>
      <w:r w:rsidRPr="00EC250C">
        <w:t>wszystkich „trybików”, które łącznie tworzą sądownictwo rodzinne.</w:t>
      </w:r>
    </w:p>
    <w:p w14:paraId="6375624A" w14:textId="77777777" w:rsidR="00192982" w:rsidRPr="00EC250C" w:rsidRDefault="00192982" w:rsidP="006C70B7">
      <w:pPr>
        <w:pStyle w:val="Styl1"/>
        <w:numPr>
          <w:ilvl w:val="0"/>
          <w:numId w:val="117"/>
        </w:numPr>
        <w:ind w:left="426" w:hanging="426"/>
      </w:pPr>
      <w:r w:rsidRPr="00EC250C">
        <w:t>Potrzebne są zmiany</w:t>
      </w:r>
      <w:r w:rsidR="00992FD0" w:rsidRPr="00EC250C">
        <w:t xml:space="preserve"> w </w:t>
      </w:r>
      <w:r w:rsidRPr="00EC250C">
        <w:t>prawie: ograniczenie kognicji sądów rodzinnych (czyli zakresu spraw</w:t>
      </w:r>
      <w:r w:rsidR="00026572" w:rsidRPr="00EC250C">
        <w:t xml:space="preserve"> – </w:t>
      </w:r>
      <w:r w:rsidRPr="00EC250C">
        <w:t>przykładem jest kierowanie na przymusowe leczenie odwykowe), rezygnacja</w:t>
      </w:r>
      <w:r w:rsidR="00992FD0" w:rsidRPr="00EC250C">
        <w:t xml:space="preserve"> z </w:t>
      </w:r>
      <w:r w:rsidRPr="00EC250C">
        <w:t xml:space="preserve">drogi </w:t>
      </w:r>
      <w:r w:rsidRPr="00EC250C">
        <w:lastRenderedPageBreak/>
        <w:t>zaskarżania niektórych rozstrzygnięć (np. wydawanych</w:t>
      </w:r>
      <w:r w:rsidR="00992FD0" w:rsidRPr="00EC250C">
        <w:t xml:space="preserve"> w </w:t>
      </w:r>
      <w:r w:rsidRPr="00EC250C">
        <w:t>trybie tzw. zabezpieczenia), przywrócenie obligatoryjnego dwuinstancyjnego sądownictwa rodzinnego (obecnie</w:t>
      </w:r>
      <w:r w:rsidR="00992FD0" w:rsidRPr="00EC250C">
        <w:t xml:space="preserve"> w </w:t>
      </w:r>
      <w:r w:rsidRPr="00EC250C">
        <w:t>II instancji mogą orzekać wydział</w:t>
      </w:r>
      <w:r w:rsidR="00BB200F" w:rsidRPr="00EC250C">
        <w:t>y</w:t>
      </w:r>
      <w:r w:rsidRPr="00EC250C">
        <w:t xml:space="preserve"> cywilne,</w:t>
      </w:r>
      <w:r w:rsidR="00992FD0" w:rsidRPr="00EC250C">
        <w:t xml:space="preserve"> a </w:t>
      </w:r>
      <w:r w:rsidRPr="00EC250C">
        <w:t>nawet cywilno-gospodarcze), uproszczone orzekanie</w:t>
      </w:r>
      <w:r w:rsidR="00992FD0" w:rsidRPr="00EC250C">
        <w:t xml:space="preserve"> w </w:t>
      </w:r>
      <w:r w:rsidRPr="00EC250C">
        <w:t>sprawach</w:t>
      </w:r>
      <w:r w:rsidR="00992FD0" w:rsidRPr="00EC250C">
        <w:t xml:space="preserve"> o </w:t>
      </w:r>
      <w:r w:rsidRPr="00EC250C">
        <w:t>alimenty czy kontakty</w:t>
      </w:r>
      <w:r w:rsidR="00992FD0" w:rsidRPr="00EC250C">
        <w:t xml:space="preserve"> w </w:t>
      </w:r>
      <w:r w:rsidRPr="00EC250C">
        <w:t>oparciu</w:t>
      </w:r>
      <w:r w:rsidR="00992FD0" w:rsidRPr="00EC250C">
        <w:t xml:space="preserve"> o </w:t>
      </w:r>
      <w:r w:rsidRPr="00EC250C">
        <w:t>specjalne tabele, stanowiące wzorzec rozstrzygania, doprecyzowanie praw</w:t>
      </w:r>
      <w:r w:rsidR="00992FD0" w:rsidRPr="00EC250C">
        <w:t xml:space="preserve"> i </w:t>
      </w:r>
      <w:r w:rsidRPr="00EC250C">
        <w:t>obowiązków kuratorów sądowych, jednoznaczne określenie ich uprawnień przy wykonywaniu czynności.</w:t>
      </w:r>
    </w:p>
    <w:p w14:paraId="2948A014" w14:textId="77777777" w:rsidR="00192982" w:rsidRPr="00EC250C" w:rsidRDefault="00192982" w:rsidP="006C70B7">
      <w:pPr>
        <w:pStyle w:val="Styl1"/>
        <w:numPr>
          <w:ilvl w:val="0"/>
          <w:numId w:val="117"/>
        </w:numPr>
        <w:ind w:left="426" w:hanging="426"/>
      </w:pPr>
      <w:r w:rsidRPr="00EC250C">
        <w:t>Musi zmienić się praktyka działania sądów rodzinnych zlecających sporządzenie opinii biegłym</w:t>
      </w:r>
      <w:r w:rsidR="00992FD0" w:rsidRPr="00EC250C">
        <w:t xml:space="preserve"> i </w:t>
      </w:r>
      <w:r w:rsidRPr="00EC250C">
        <w:t>wywiadów kuratorom: precyzyjne</w:t>
      </w:r>
      <w:r w:rsidR="00992FD0" w:rsidRPr="00EC250C">
        <w:t xml:space="preserve"> i </w:t>
      </w:r>
      <w:r w:rsidRPr="00EC250C">
        <w:t>jednoznaczne formułowanie tez dowodowych kierowanych do biegłych</w:t>
      </w:r>
      <w:r w:rsidR="00992FD0" w:rsidRPr="00EC250C">
        <w:t xml:space="preserve"> i </w:t>
      </w:r>
      <w:r w:rsidRPr="00EC250C">
        <w:t>OZSS (opiniodawczych zespołów specjalistów sądowych), dokładne określenie celu</w:t>
      </w:r>
      <w:r w:rsidR="00992FD0" w:rsidRPr="00EC250C">
        <w:t xml:space="preserve"> i </w:t>
      </w:r>
      <w:r w:rsidRPr="00EC250C">
        <w:t>kierunku wywiadu środowiskowego sporządzanego przez kuratora, rozumienie</w:t>
      </w:r>
      <w:r w:rsidR="00992FD0" w:rsidRPr="00EC250C">
        <w:t xml:space="preserve"> i </w:t>
      </w:r>
      <w:r w:rsidRPr="00EC250C">
        <w:t>respektowanie granic kompetencji tych organów „pomocniczych dla sądu”.</w:t>
      </w:r>
    </w:p>
    <w:p w14:paraId="6231E805" w14:textId="77777777" w:rsidR="00192982" w:rsidRPr="00EC250C" w:rsidRDefault="00192982" w:rsidP="006C70B7">
      <w:pPr>
        <w:pStyle w:val="Styl1"/>
        <w:numPr>
          <w:ilvl w:val="0"/>
          <w:numId w:val="117"/>
        </w:numPr>
        <w:ind w:left="426" w:hanging="426"/>
      </w:pPr>
      <w:r w:rsidRPr="00EC250C">
        <w:t>Potrzebne jest wsparcie finansowe we wszystkich sektorach sądownictwa rodzinnego:</w:t>
      </w:r>
      <w:r w:rsidR="00992FD0" w:rsidRPr="00EC250C">
        <w:t xml:space="preserve"> w </w:t>
      </w:r>
      <w:r w:rsidRPr="00EC250C">
        <w:t>sądach rodzinnych stale brakuje asystentów sędziego</w:t>
      </w:r>
      <w:r w:rsidR="00992FD0" w:rsidRPr="00EC250C">
        <w:t xml:space="preserve"> i </w:t>
      </w:r>
      <w:r w:rsidRPr="00EC250C">
        <w:t>referendarzy, poziom wynagrodzeń biegłych</w:t>
      </w:r>
      <w:r w:rsidR="00992FD0" w:rsidRPr="00EC250C">
        <w:t xml:space="preserve"> i </w:t>
      </w:r>
      <w:r w:rsidRPr="00EC250C">
        <w:t>kuratorów jest nieadekwatny do stawianych im oczekiwań</w:t>
      </w:r>
      <w:r w:rsidR="00992FD0" w:rsidRPr="00EC250C">
        <w:t xml:space="preserve"> i </w:t>
      </w:r>
      <w:r w:rsidRPr="00EC250C">
        <w:t>wymagań</w:t>
      </w:r>
      <w:r w:rsidR="00992FD0" w:rsidRPr="00EC250C">
        <w:t xml:space="preserve"> i </w:t>
      </w:r>
      <w:r w:rsidRPr="00EC250C">
        <w:t>powoduje permanentne braki kadrowe</w:t>
      </w:r>
      <w:r w:rsidR="00992FD0" w:rsidRPr="00EC250C">
        <w:t xml:space="preserve"> w </w:t>
      </w:r>
      <w:r w:rsidRPr="00EC250C">
        <w:t>tych zawodach.</w:t>
      </w:r>
    </w:p>
    <w:p w14:paraId="2F9EEFF8" w14:textId="77777777" w:rsidR="00192982" w:rsidRPr="00EC250C" w:rsidRDefault="00192982" w:rsidP="006C70B7">
      <w:pPr>
        <w:pStyle w:val="Styl1"/>
        <w:numPr>
          <w:ilvl w:val="0"/>
          <w:numId w:val="117"/>
        </w:numPr>
        <w:ind w:left="426" w:hanging="426"/>
      </w:pPr>
      <w:r w:rsidRPr="00EC250C">
        <w:t>Potrzebne jest ustanowienie pełnomocnika dziecka</w:t>
      </w:r>
      <w:r w:rsidR="00992FD0" w:rsidRPr="00EC250C">
        <w:t xml:space="preserve"> w </w:t>
      </w:r>
      <w:r w:rsidRPr="00EC250C">
        <w:t>postępowaniu rozwodowym.</w:t>
      </w:r>
    </w:p>
    <w:p w14:paraId="7F68C300" w14:textId="77777777" w:rsidR="00192982" w:rsidRPr="00EC250C" w:rsidRDefault="00192982" w:rsidP="006C70B7">
      <w:pPr>
        <w:pStyle w:val="Styl1"/>
        <w:numPr>
          <w:ilvl w:val="0"/>
          <w:numId w:val="117"/>
        </w:numPr>
        <w:ind w:left="426" w:hanging="426"/>
      </w:pPr>
      <w:r w:rsidRPr="00EC250C">
        <w:t>Trzeba znowelizować</w:t>
      </w:r>
      <w:r w:rsidR="00CC4D88" w:rsidRPr="00EC250C">
        <w:t xml:space="preserve"> </w:t>
      </w:r>
      <w:r w:rsidRPr="00EC250C">
        <w:t>lub całkowicie zmienić Kodeks rodzinny</w:t>
      </w:r>
      <w:r w:rsidR="00992FD0" w:rsidRPr="00EC250C">
        <w:t xml:space="preserve"> i </w:t>
      </w:r>
      <w:r w:rsidRPr="00EC250C">
        <w:t>opiekuńczy.</w:t>
      </w:r>
    </w:p>
    <w:p w14:paraId="710DC2E5" w14:textId="77777777" w:rsidR="00192982" w:rsidRPr="00EC250C" w:rsidRDefault="00192982" w:rsidP="006C70B7">
      <w:pPr>
        <w:pStyle w:val="Styl1"/>
        <w:numPr>
          <w:ilvl w:val="0"/>
          <w:numId w:val="117"/>
        </w:numPr>
        <w:ind w:left="426" w:hanging="426"/>
      </w:pPr>
      <w:r w:rsidRPr="00EC250C">
        <w:t>Sędziowie rodzinny powinni mniej schematycznie podchodzić do spraw</w:t>
      </w:r>
      <w:r w:rsidR="00992FD0" w:rsidRPr="00EC250C">
        <w:t xml:space="preserve"> i </w:t>
      </w:r>
      <w:r w:rsidRPr="00EC250C">
        <w:t>nie przerzucać decyzji na biegłych</w:t>
      </w:r>
      <w:bookmarkStart w:id="838" w:name="_Toc6258015"/>
      <w:bookmarkStart w:id="839" w:name="_Hlk532895274"/>
      <w:r w:rsidRPr="00EC250C">
        <w:t>.</w:t>
      </w:r>
    </w:p>
    <w:p w14:paraId="37FABA9C" w14:textId="77777777" w:rsidR="009B00B6" w:rsidRPr="00EC250C" w:rsidRDefault="009B00B6" w:rsidP="00EC79EB">
      <w:pPr>
        <w:pStyle w:val="Nagwek4"/>
      </w:pPr>
      <w:bookmarkStart w:id="840" w:name="_Toc513723394"/>
      <w:bookmarkStart w:id="841" w:name="_Toc515022408"/>
      <w:bookmarkStart w:id="842" w:name="_Toc11247879"/>
      <w:bookmarkStart w:id="843" w:name="_Toc513723491"/>
      <w:bookmarkStart w:id="844" w:name="_Toc515022545"/>
      <w:bookmarkStart w:id="845" w:name="_Toc6258027"/>
      <w:bookmarkEnd w:id="838"/>
      <w:r w:rsidRPr="00EC250C">
        <w:t>Litygacja strategiczna</w:t>
      </w:r>
      <w:bookmarkEnd w:id="840"/>
      <w:bookmarkEnd w:id="841"/>
      <w:bookmarkEnd w:id="842"/>
    </w:p>
    <w:p w14:paraId="28D5D069" w14:textId="77777777" w:rsidR="00B473F5" w:rsidRPr="00EC250C" w:rsidRDefault="009B00B6" w:rsidP="00D131FA">
      <w:pPr>
        <w:pStyle w:val="Problemczowieka"/>
        <w:jc w:val="both"/>
      </w:pPr>
      <w:r w:rsidRPr="00EC250C">
        <w:t>Przyłączanie się do postępowań sądowych przez Rzecznika jest jednym</w:t>
      </w:r>
      <w:r w:rsidR="00992FD0" w:rsidRPr="00EC250C">
        <w:t xml:space="preserve"> z </w:t>
      </w:r>
      <w:r w:rsidRPr="00EC250C">
        <w:t>jego najważniejszych narzędzi do walki</w:t>
      </w:r>
      <w:r w:rsidR="00992FD0" w:rsidRPr="00EC250C">
        <w:t xml:space="preserve"> z </w:t>
      </w:r>
      <w:r w:rsidRPr="00EC250C">
        <w:t>naruszeniami praw</w:t>
      </w:r>
      <w:r w:rsidR="00992FD0" w:rsidRPr="00EC250C">
        <w:t xml:space="preserve"> i </w:t>
      </w:r>
      <w:r w:rsidRPr="00EC250C">
        <w:t>wolności obywatelskich</w:t>
      </w:r>
      <w:r w:rsidR="00B473F5" w:rsidRPr="00EC250C">
        <w:t>.</w:t>
      </w:r>
    </w:p>
    <w:p w14:paraId="2DA9088A" w14:textId="77777777" w:rsidR="009B00B6" w:rsidRPr="00EC250C" w:rsidRDefault="009B00B6" w:rsidP="00D131FA">
      <w:pPr>
        <w:pStyle w:val="Styl1"/>
      </w:pPr>
      <w:r w:rsidRPr="00EC250C">
        <w:t>Sprawy indywidualne prowadzone przez prawników BRPO,</w:t>
      </w:r>
      <w:r w:rsidR="00992FD0" w:rsidRPr="00EC250C">
        <w:t xml:space="preserve"> w </w:t>
      </w:r>
      <w:r w:rsidRPr="00EC250C">
        <w:t>których rozstrzygnięcie ma znaczenie nie tylko dla stron konkretnego postępowania, ale może także pomóc innym obywatelom</w:t>
      </w:r>
      <w:r w:rsidR="00992FD0" w:rsidRPr="00EC250C">
        <w:t xml:space="preserve"> w </w:t>
      </w:r>
      <w:r w:rsidRPr="00EC250C">
        <w:t>podobnej sytuacji, są traktowane jako strategiczne. Najczęściej chodzi</w:t>
      </w:r>
      <w:r w:rsidR="00992FD0" w:rsidRPr="00EC250C">
        <w:t xml:space="preserve"> o </w:t>
      </w:r>
      <w:r w:rsidRPr="00EC250C">
        <w:t>wyroki, które zmieniają utartą linię orzeczniczą, odnoszą się do ważnych społecznie tematów, wpływają na zmianę prawa.</w:t>
      </w:r>
    </w:p>
    <w:p w14:paraId="48B9590B" w14:textId="77777777" w:rsidR="009B00B6" w:rsidRPr="00EC250C" w:rsidRDefault="009B00B6" w:rsidP="00D131FA">
      <w:pPr>
        <w:pStyle w:val="Styl1"/>
      </w:pPr>
      <w:r w:rsidRPr="00EC250C">
        <w:t>Program litygacji strategicznej RPO pozwala na trzy rzeczy:</w:t>
      </w:r>
    </w:p>
    <w:p w14:paraId="0999DCB5" w14:textId="77777777" w:rsidR="009B00B6" w:rsidRPr="00EC250C" w:rsidRDefault="009B00B6" w:rsidP="006C70B7">
      <w:pPr>
        <w:pStyle w:val="Styl1"/>
        <w:numPr>
          <w:ilvl w:val="0"/>
          <w:numId w:val="131"/>
        </w:numPr>
      </w:pPr>
      <w:r w:rsidRPr="00EC250C">
        <w:rPr>
          <w:rStyle w:val="Styl1Znak"/>
          <w:rFonts w:eastAsiaTheme="majorEastAsia"/>
        </w:rPr>
        <w:t>M</w:t>
      </w:r>
      <w:r w:rsidRPr="00EC250C">
        <w:t>ożna</w:t>
      </w:r>
      <w:r w:rsidR="00992FD0" w:rsidRPr="00EC250C">
        <w:t xml:space="preserve"> w </w:t>
      </w:r>
      <w:r w:rsidRPr="00EC250C">
        <w:t>ten sposób pomóc konkretnej osobie</w:t>
      </w:r>
      <w:r w:rsidR="00992FD0" w:rsidRPr="00EC250C">
        <w:t xml:space="preserve"> a </w:t>
      </w:r>
      <w:r w:rsidRPr="00EC250C">
        <w:t>przy wygranej sprawie – wesprzeć argumentację innych osób walczących</w:t>
      </w:r>
      <w:r w:rsidR="00992FD0" w:rsidRPr="00EC250C">
        <w:t xml:space="preserve"> o </w:t>
      </w:r>
      <w:r w:rsidRPr="00EC250C">
        <w:t>swoje prawa</w:t>
      </w:r>
      <w:r w:rsidR="00992FD0" w:rsidRPr="00EC250C">
        <w:t xml:space="preserve"> w </w:t>
      </w:r>
      <w:r w:rsidRPr="00EC250C">
        <w:t>podobnej sytuacji.</w:t>
      </w:r>
    </w:p>
    <w:p w14:paraId="6EB4B9D5" w14:textId="77777777" w:rsidR="009B00B6" w:rsidRPr="00EC250C" w:rsidRDefault="009B00B6" w:rsidP="006C70B7">
      <w:pPr>
        <w:pStyle w:val="Styl1"/>
        <w:numPr>
          <w:ilvl w:val="0"/>
          <w:numId w:val="131"/>
        </w:numPr>
      </w:pPr>
      <w:r w:rsidRPr="00EC250C">
        <w:t>Można przedstawiać sądowi argumentację prawnoczłowieczą, opartą także na orzecznictwie Europejskiego Trybunału Praw Człowieka, do której sąd</w:t>
      </w:r>
      <w:r w:rsidR="00992FD0" w:rsidRPr="00EC250C">
        <w:t xml:space="preserve"> w </w:t>
      </w:r>
      <w:r w:rsidRPr="00EC250C">
        <w:t>swoim orzeczeniu musi się odnieść.</w:t>
      </w:r>
    </w:p>
    <w:p w14:paraId="264A156B" w14:textId="77777777" w:rsidR="009B00B6" w:rsidRPr="00EC250C" w:rsidRDefault="009B00B6" w:rsidP="006C70B7">
      <w:pPr>
        <w:pStyle w:val="Styl1"/>
        <w:numPr>
          <w:ilvl w:val="0"/>
          <w:numId w:val="131"/>
        </w:numPr>
      </w:pPr>
      <w:r w:rsidRPr="00EC250C">
        <w:t>Można też wprowadzić do dyskusji publicznej tematy związane</w:t>
      </w:r>
      <w:r w:rsidR="00992FD0" w:rsidRPr="00EC250C">
        <w:t xml:space="preserve"> z </w:t>
      </w:r>
      <w:r w:rsidRPr="00EC250C">
        <w:t>ochroną praw jednostki.</w:t>
      </w:r>
    </w:p>
    <w:p w14:paraId="03247939" w14:textId="77777777" w:rsidR="009B00B6" w:rsidRPr="00EC250C" w:rsidRDefault="009B00B6" w:rsidP="00D131FA">
      <w:pPr>
        <w:pStyle w:val="Styl1"/>
      </w:pPr>
      <w:r w:rsidRPr="00EC250C">
        <w:lastRenderedPageBreak/>
        <w:t>Rzecznik dowiaduje się</w:t>
      </w:r>
      <w:r w:rsidR="00992FD0" w:rsidRPr="00EC250C">
        <w:t xml:space="preserve"> o </w:t>
      </w:r>
      <w:r w:rsidRPr="00EC250C">
        <w:t>toczących się postępowaniach sądowych</w:t>
      </w:r>
      <w:r w:rsidR="00992FD0" w:rsidRPr="00EC250C">
        <w:t xml:space="preserve"> z </w:t>
      </w:r>
      <w:r w:rsidRPr="00EC250C">
        <w:t>różnych źródeł: od obywateli, ich pełnomocników, ze spotkań regionalnych</w:t>
      </w:r>
      <w:r w:rsidR="00992FD0" w:rsidRPr="00EC250C">
        <w:t xml:space="preserve"> i </w:t>
      </w:r>
      <w:r w:rsidRPr="00EC250C">
        <w:t>od organizacji pozarządowych,</w:t>
      </w:r>
      <w:r w:rsidR="00992FD0" w:rsidRPr="00EC250C">
        <w:t xml:space="preserve"> z </w:t>
      </w:r>
      <w:r w:rsidRPr="00EC250C">
        <w:t>którymi współpracuje oraz</w:t>
      </w:r>
      <w:r w:rsidR="00992FD0" w:rsidRPr="00EC250C">
        <w:t xml:space="preserve"> z </w:t>
      </w:r>
      <w:r w:rsidRPr="00EC250C">
        <w:t>mediów. Argumentacja prawna przedstawiana</w:t>
      </w:r>
      <w:r w:rsidR="00992FD0" w:rsidRPr="00EC250C">
        <w:t xml:space="preserve"> w </w:t>
      </w:r>
      <w:r w:rsidRPr="00EC250C">
        <w:t>toku strategicznych postępowań sądowych zamieszczana jest</w:t>
      </w:r>
      <w:r w:rsidR="00992FD0" w:rsidRPr="00EC250C">
        <w:t xml:space="preserve"> w </w:t>
      </w:r>
      <w:r w:rsidRPr="00EC250C">
        <w:t>serwisie internetowym RPO.</w:t>
      </w:r>
    </w:p>
    <w:p w14:paraId="294B40E5" w14:textId="77777777" w:rsidR="00C91F6E" w:rsidRPr="00EC250C" w:rsidRDefault="009B00B6" w:rsidP="00D131FA">
      <w:pPr>
        <w:pStyle w:val="Styl1"/>
      </w:pPr>
      <w:r w:rsidRPr="00EC250C">
        <w:t>W 2018 roku, do postępowań strategicznych prowadzonych</w:t>
      </w:r>
      <w:r w:rsidR="00992FD0" w:rsidRPr="00EC250C">
        <w:t xml:space="preserve"> w </w:t>
      </w:r>
      <w:r w:rsidRPr="00EC250C">
        <w:t>Biurze RPO należały między innymi sprawy dotyczące tego:</w:t>
      </w:r>
    </w:p>
    <w:p w14:paraId="47056C15" w14:textId="77777777" w:rsidR="009B00B6" w:rsidRPr="00EC250C" w:rsidRDefault="009B00B6" w:rsidP="006C70B7">
      <w:pPr>
        <w:pStyle w:val="Styl1"/>
        <w:numPr>
          <w:ilvl w:val="0"/>
          <w:numId w:val="132"/>
        </w:numPr>
      </w:pPr>
      <w:r w:rsidRPr="00EC250C">
        <w:t>czy dziennikarzowi, przewodniczącemu związku zawodowego, zwolnionemu</w:t>
      </w:r>
      <w:r w:rsidR="00992FD0" w:rsidRPr="00EC250C">
        <w:t xml:space="preserve"> z </w:t>
      </w:r>
      <w:r w:rsidRPr="00EC250C">
        <w:t>publicznego radia za utratę zaufania na skutek publicznej krytyki sytuacji wokół mediów publicznych należy się odszkodowanie (prawomocny wyrok</w:t>
      </w:r>
      <w:r w:rsidR="00992FD0" w:rsidRPr="00EC250C">
        <w:t xml:space="preserve"> w </w:t>
      </w:r>
      <w:r w:rsidRPr="00EC250C">
        <w:t>2018</w:t>
      </w:r>
      <w:r w:rsidR="00C91F6E" w:rsidRPr="00EC250C">
        <w:t> r.</w:t>
      </w:r>
      <w:r w:rsidRPr="00EC250C">
        <w:t>)</w:t>
      </w:r>
      <w:r w:rsidRPr="00EC250C">
        <w:rPr>
          <w:rStyle w:val="Odwoanieprzypisudolnego"/>
        </w:rPr>
        <w:t xml:space="preserve"> </w:t>
      </w:r>
      <w:r w:rsidRPr="00EC250C">
        <w:rPr>
          <w:rStyle w:val="Odwoanieprzypisudolnego"/>
        </w:rPr>
        <w:footnoteReference w:id="836"/>
      </w:r>
    </w:p>
    <w:p w14:paraId="361038C5" w14:textId="77777777" w:rsidR="009B00B6" w:rsidRPr="00EC250C" w:rsidRDefault="009B00B6" w:rsidP="006C70B7">
      <w:pPr>
        <w:pStyle w:val="Styl1"/>
        <w:numPr>
          <w:ilvl w:val="0"/>
          <w:numId w:val="132"/>
        </w:numPr>
      </w:pPr>
      <w:r w:rsidRPr="00EC250C">
        <w:t>czy zasadna jest odmowa transkrypcji zagranicznego aktu urodzenia,</w:t>
      </w:r>
      <w:r w:rsidR="00992FD0" w:rsidRPr="00EC250C">
        <w:t xml:space="preserve"> w </w:t>
      </w:r>
      <w:r w:rsidRPr="00EC250C">
        <w:t>którym jako rodzice wskazane są dwie matki (wyrok Naczelnego Sądu Administracyjnego</w:t>
      </w:r>
      <w:r w:rsidR="00992FD0" w:rsidRPr="00EC250C">
        <w:t xml:space="preserve"> w </w:t>
      </w:r>
      <w:r w:rsidRPr="00EC250C">
        <w:t>2018</w:t>
      </w:r>
      <w:r w:rsidR="00C91F6E" w:rsidRPr="00EC250C">
        <w:t> r.</w:t>
      </w:r>
      <w:r w:rsidRPr="00EC250C">
        <w:t>)</w:t>
      </w:r>
      <w:r w:rsidRPr="00EC250C">
        <w:rPr>
          <w:rStyle w:val="Odwoanieprzypisudolnego"/>
        </w:rPr>
        <w:footnoteReference w:id="837"/>
      </w:r>
    </w:p>
    <w:p w14:paraId="275EC0EC" w14:textId="77777777" w:rsidR="009B00B6" w:rsidRPr="00EC250C" w:rsidRDefault="009B00B6" w:rsidP="006C70B7">
      <w:pPr>
        <w:pStyle w:val="Styl1"/>
        <w:numPr>
          <w:ilvl w:val="0"/>
          <w:numId w:val="132"/>
        </w:numPr>
      </w:pPr>
      <w:r w:rsidRPr="00EC250C">
        <w:t>czy</w:t>
      </w:r>
      <w:r w:rsidR="00992FD0" w:rsidRPr="00EC250C">
        <w:t xml:space="preserve"> w </w:t>
      </w:r>
      <w:r w:rsidRPr="00EC250C">
        <w:t>postępowaniu</w:t>
      </w:r>
      <w:r w:rsidR="00992FD0" w:rsidRPr="00EC250C">
        <w:t xml:space="preserve"> o </w:t>
      </w:r>
      <w:r w:rsidRPr="00EC250C">
        <w:t>ustalenie płci osoby transpłciowej konieczne jest, obok pozwania rodziców, pozwanie także dzieci osoby transpłciowej (przyjęcie skargi przez SN do rozpoznania</w:t>
      </w:r>
      <w:r w:rsidR="00992FD0" w:rsidRPr="00EC250C">
        <w:t xml:space="preserve"> w </w:t>
      </w:r>
      <w:r w:rsidRPr="00EC250C">
        <w:t>2018</w:t>
      </w:r>
      <w:r w:rsidR="00C91F6E" w:rsidRPr="00EC250C">
        <w:t> r.</w:t>
      </w:r>
      <w:r w:rsidRPr="00EC250C">
        <w:t>)</w:t>
      </w:r>
      <w:r w:rsidRPr="00EC250C">
        <w:rPr>
          <w:rStyle w:val="Odwoanieprzypisudolnego"/>
        </w:rPr>
        <w:footnoteReference w:id="838"/>
      </w:r>
    </w:p>
    <w:p w14:paraId="791BF207" w14:textId="77777777" w:rsidR="009B00B6" w:rsidRPr="00EC250C" w:rsidRDefault="009B00B6" w:rsidP="006C70B7">
      <w:pPr>
        <w:pStyle w:val="Styl1"/>
        <w:numPr>
          <w:ilvl w:val="0"/>
          <w:numId w:val="132"/>
        </w:numPr>
        <w:rPr>
          <w:szCs w:val="22"/>
        </w:rPr>
      </w:pPr>
      <w:r w:rsidRPr="00EC250C">
        <w:t>jaki ma być zwrot kosztów dla rodzica za dowóz dziecka</w:t>
      </w:r>
      <w:r w:rsidR="00992FD0" w:rsidRPr="00EC250C">
        <w:t xml:space="preserve"> z </w:t>
      </w:r>
      <w:r w:rsidRPr="00EC250C">
        <w:t>niepełnosprawnością do szkoły (prawomocny wyrok</w:t>
      </w:r>
      <w:r w:rsidR="00992FD0" w:rsidRPr="00EC250C">
        <w:t xml:space="preserve"> w </w:t>
      </w:r>
      <w:r w:rsidRPr="00EC250C">
        <w:t>2018</w:t>
      </w:r>
      <w:r w:rsidR="00C91F6E" w:rsidRPr="00EC250C">
        <w:t> r.</w:t>
      </w:r>
      <w:r w:rsidRPr="00EC250C">
        <w:t>)</w:t>
      </w:r>
      <w:r w:rsidRPr="00EC250C">
        <w:rPr>
          <w:rStyle w:val="Odwoanieprzypisudolnego"/>
        </w:rPr>
        <w:footnoteReference w:id="839"/>
      </w:r>
    </w:p>
    <w:p w14:paraId="4020DDA5" w14:textId="77777777" w:rsidR="00192982" w:rsidRPr="00EC250C" w:rsidRDefault="00192982" w:rsidP="00EC79EB">
      <w:pPr>
        <w:pStyle w:val="Nagwek4"/>
      </w:pPr>
      <w:bookmarkStart w:id="846" w:name="_Toc11247880"/>
      <w:r w:rsidRPr="00EC250C">
        <w:t>Nagrody</w:t>
      </w:r>
      <w:r w:rsidR="00992FD0" w:rsidRPr="00EC250C">
        <w:t xml:space="preserve"> i </w:t>
      </w:r>
      <w:r w:rsidRPr="00EC250C">
        <w:t>odznaczenia RPO</w:t>
      </w:r>
      <w:bookmarkEnd w:id="843"/>
      <w:bookmarkEnd w:id="844"/>
      <w:bookmarkEnd w:id="845"/>
      <w:bookmarkEnd w:id="846"/>
    </w:p>
    <w:p w14:paraId="47E3DA62" w14:textId="77777777" w:rsidR="00192982" w:rsidRPr="00EC250C" w:rsidRDefault="00192982" w:rsidP="00D131FA">
      <w:pPr>
        <w:pStyle w:val="Srdtytul6"/>
        <w:jc w:val="both"/>
      </w:pPr>
      <w:bookmarkStart w:id="847" w:name="_Toc6258029"/>
      <w:bookmarkStart w:id="848" w:name="_Toc6258028"/>
      <w:r w:rsidRPr="00EC250C">
        <w:t>Nagroda im. Pawła Włodkowica</w:t>
      </w:r>
      <w:bookmarkEnd w:id="847"/>
    </w:p>
    <w:p w14:paraId="0B3DBA78" w14:textId="77777777" w:rsidR="00192982" w:rsidRPr="00EC250C" w:rsidRDefault="00536275" w:rsidP="00D131FA">
      <w:pPr>
        <w:pStyle w:val="Styl1"/>
      </w:pPr>
      <w:r w:rsidRPr="00EC250C">
        <w:t>Przyznawana od 20</w:t>
      </w:r>
      <w:r w:rsidR="001D262D" w:rsidRPr="00EC250C">
        <w:t>0</w:t>
      </w:r>
      <w:r w:rsidRPr="00EC250C">
        <w:t>6</w:t>
      </w:r>
      <w:r w:rsidR="00C91F6E" w:rsidRPr="00EC250C">
        <w:t> </w:t>
      </w:r>
      <w:r w:rsidR="00C91F6E" w:rsidRPr="00EC250C">
        <w:rPr>
          <w:rFonts w:hint="eastAsia"/>
        </w:rPr>
        <w:t>r.</w:t>
      </w:r>
      <w:r w:rsidRPr="00EC250C">
        <w:t xml:space="preserve"> nagroda Rzecznika Praw Obywatelskich im. Pawła Włodkowica ma charakter honorowy</w:t>
      </w:r>
      <w:r w:rsidR="00992FD0" w:rsidRPr="00EC250C">
        <w:t xml:space="preserve"> i </w:t>
      </w:r>
      <w:r w:rsidRPr="00EC250C">
        <w:t>przyznawana jest corocznie jako wyraz uznania RPO dla występowania</w:t>
      </w:r>
      <w:r w:rsidR="00992FD0" w:rsidRPr="00EC250C">
        <w:t xml:space="preserve"> w </w:t>
      </w:r>
      <w:r w:rsidRPr="00EC250C">
        <w:t>obronie podstawowych wartości</w:t>
      </w:r>
      <w:r w:rsidR="00992FD0" w:rsidRPr="00EC250C">
        <w:t xml:space="preserve"> i </w:t>
      </w:r>
      <w:r w:rsidRPr="00EC250C">
        <w:t>prawd, nawet wbrew zdaniu</w:t>
      </w:r>
      <w:r w:rsidR="00992FD0" w:rsidRPr="00EC250C">
        <w:t xml:space="preserve"> i </w:t>
      </w:r>
      <w:r w:rsidRPr="00EC250C">
        <w:t>poglądom większości. W 2018</w:t>
      </w:r>
      <w:r w:rsidR="00C91F6E" w:rsidRPr="00EC250C">
        <w:t> r.</w:t>
      </w:r>
      <w:r w:rsidRPr="00EC250C">
        <w:t xml:space="preserve"> </w:t>
      </w:r>
      <w:r w:rsidR="00192982" w:rsidRPr="00EC250C">
        <w:t xml:space="preserve">Kapituła Nagrody </w:t>
      </w:r>
      <w:r w:rsidRPr="00EC250C">
        <w:t>zdecydowała się wyróżnić</w:t>
      </w:r>
      <w:r w:rsidR="00192982" w:rsidRPr="00EC250C">
        <w:t>:</w:t>
      </w:r>
    </w:p>
    <w:p w14:paraId="5A275167" w14:textId="77777777" w:rsidR="00192982" w:rsidRPr="00EC250C" w:rsidRDefault="00192982" w:rsidP="006C70B7">
      <w:pPr>
        <w:pStyle w:val="Styl1"/>
        <w:numPr>
          <w:ilvl w:val="0"/>
          <w:numId w:val="23"/>
        </w:numPr>
      </w:pPr>
      <w:r w:rsidRPr="00EC250C">
        <w:t>Siostr</w:t>
      </w:r>
      <w:r w:rsidR="00536275" w:rsidRPr="00EC250C">
        <w:t>ę</w:t>
      </w:r>
      <w:r w:rsidRPr="00EC250C">
        <w:t xml:space="preserve"> Małgorzat</w:t>
      </w:r>
      <w:r w:rsidR="00536275" w:rsidRPr="00EC250C">
        <w:t>ę</w:t>
      </w:r>
      <w:r w:rsidRPr="00EC250C">
        <w:t xml:space="preserve"> Chmielewsk</w:t>
      </w:r>
      <w:r w:rsidR="00536275" w:rsidRPr="00EC250C">
        <w:t>ą</w:t>
      </w:r>
      <w:r w:rsidRPr="00EC250C">
        <w:t>, przełożon</w:t>
      </w:r>
      <w:r w:rsidR="00536275" w:rsidRPr="00EC250C">
        <w:t>ą</w:t>
      </w:r>
      <w:r w:rsidRPr="00EC250C">
        <w:t xml:space="preserve"> Wspólnoty „Chleb Życia”, działaczk</w:t>
      </w:r>
      <w:r w:rsidR="00536275" w:rsidRPr="00EC250C">
        <w:t>ę</w:t>
      </w:r>
      <w:r w:rsidRPr="00EC250C">
        <w:t xml:space="preserve"> na rzecz osób bezdomnych, skrzywdzonych, chorych</w:t>
      </w:r>
      <w:r w:rsidR="00992FD0" w:rsidRPr="00EC250C">
        <w:t xml:space="preserve"> i </w:t>
      </w:r>
      <w:r w:rsidRPr="00EC250C">
        <w:t>ubogich.</w:t>
      </w:r>
    </w:p>
    <w:p w14:paraId="316AC505" w14:textId="77777777" w:rsidR="00192982" w:rsidRPr="00EC250C" w:rsidRDefault="00192982" w:rsidP="006C70B7">
      <w:pPr>
        <w:pStyle w:val="Styl1"/>
        <w:numPr>
          <w:ilvl w:val="0"/>
          <w:numId w:val="23"/>
        </w:numPr>
      </w:pPr>
      <w:r w:rsidRPr="00EC250C">
        <w:t>Ew</w:t>
      </w:r>
      <w:r w:rsidR="00536275" w:rsidRPr="00EC250C">
        <w:t>ę</w:t>
      </w:r>
      <w:r w:rsidRPr="00EC250C">
        <w:t xml:space="preserve"> Kulik-Bielińsk</w:t>
      </w:r>
      <w:r w:rsidR="00536275" w:rsidRPr="00EC250C">
        <w:t>ą</w:t>
      </w:r>
      <w:r w:rsidRPr="00EC250C">
        <w:t>, dyrektork</w:t>
      </w:r>
      <w:r w:rsidR="00536275" w:rsidRPr="00EC250C">
        <w:t>ę</w:t>
      </w:r>
      <w:r w:rsidRPr="00EC250C">
        <w:t xml:space="preserve"> Fundacji im. Stefana Batorego, działaczk</w:t>
      </w:r>
      <w:r w:rsidR="00536275" w:rsidRPr="00EC250C">
        <w:t>ę</w:t>
      </w:r>
      <w:r w:rsidRPr="00EC250C">
        <w:t xml:space="preserve"> opozycji demokratycznej</w:t>
      </w:r>
      <w:r w:rsidR="00992FD0" w:rsidRPr="00EC250C">
        <w:t xml:space="preserve"> i </w:t>
      </w:r>
      <w:r w:rsidRPr="00EC250C">
        <w:t>NSZZ „Solidarność”, zaangażowan</w:t>
      </w:r>
      <w:r w:rsidR="00536275" w:rsidRPr="00EC250C">
        <w:t>ą dziś</w:t>
      </w:r>
      <w:r w:rsidR="00992FD0" w:rsidRPr="00EC250C">
        <w:t xml:space="preserve"> w </w:t>
      </w:r>
      <w:r w:rsidRPr="00EC250C">
        <w:t>działania na rzecz poprawy warunków funkcjonowania organizacji pozarządowych, rozwoju filantropii</w:t>
      </w:r>
      <w:r w:rsidR="00992FD0" w:rsidRPr="00EC250C">
        <w:t xml:space="preserve"> i </w:t>
      </w:r>
      <w:r w:rsidRPr="00EC250C">
        <w:t>aktywności obywatelskiej</w:t>
      </w:r>
      <w:r w:rsidR="00992FD0" w:rsidRPr="00EC250C">
        <w:t xml:space="preserve"> w </w:t>
      </w:r>
      <w:r w:rsidRPr="00EC250C">
        <w:t>kraju</w:t>
      </w:r>
      <w:r w:rsidR="00992FD0" w:rsidRPr="00EC250C">
        <w:t xml:space="preserve"> i </w:t>
      </w:r>
      <w:r w:rsidRPr="00EC250C">
        <w:t>zagranicą.</w:t>
      </w:r>
    </w:p>
    <w:p w14:paraId="68151A2B" w14:textId="77777777" w:rsidR="00192982" w:rsidRPr="00EC250C" w:rsidRDefault="00192982" w:rsidP="006C70B7">
      <w:pPr>
        <w:pStyle w:val="Styl1"/>
        <w:numPr>
          <w:ilvl w:val="0"/>
          <w:numId w:val="23"/>
        </w:numPr>
      </w:pPr>
      <w:r w:rsidRPr="00EC250C">
        <w:lastRenderedPageBreak/>
        <w:t>Dr Katarzyn</w:t>
      </w:r>
      <w:r w:rsidR="00536275" w:rsidRPr="00EC250C">
        <w:t>ę</w:t>
      </w:r>
      <w:r w:rsidRPr="00EC250C">
        <w:t xml:space="preserve"> Przybysławsk</w:t>
      </w:r>
      <w:r w:rsidR="00536275" w:rsidRPr="00EC250C">
        <w:t>ą</w:t>
      </w:r>
      <w:r w:rsidRPr="00EC250C">
        <w:t>, prezesk</w:t>
      </w:r>
      <w:r w:rsidR="00536275" w:rsidRPr="00EC250C">
        <w:t>ę</w:t>
      </w:r>
      <w:r w:rsidRPr="00EC250C">
        <w:t xml:space="preserve"> Zarządu Centrum Pomocy Prawnej im. Haliny Nieć, które specjalizuje się we wspieraniu uchodźców</w:t>
      </w:r>
      <w:r w:rsidR="00992FD0" w:rsidRPr="00EC250C">
        <w:t xml:space="preserve"> i </w:t>
      </w:r>
      <w:r w:rsidRPr="00EC250C">
        <w:t>osób starających się</w:t>
      </w:r>
      <w:r w:rsidR="00992FD0" w:rsidRPr="00EC250C">
        <w:t xml:space="preserve"> o </w:t>
      </w:r>
      <w:r w:rsidRPr="00EC250C">
        <w:t>ochronę międzynarodową</w:t>
      </w:r>
      <w:r w:rsidR="00992FD0" w:rsidRPr="00EC250C">
        <w:t xml:space="preserve"> w </w:t>
      </w:r>
      <w:r w:rsidRPr="00EC250C">
        <w:t>Polsce.</w:t>
      </w:r>
    </w:p>
    <w:p w14:paraId="0C99DD29" w14:textId="77777777" w:rsidR="001D262D" w:rsidRPr="00EC250C" w:rsidRDefault="001D262D" w:rsidP="00D131FA">
      <w:pPr>
        <w:pStyle w:val="Srdtytul6"/>
        <w:jc w:val="both"/>
      </w:pPr>
      <w:r w:rsidRPr="00EC250C">
        <w:t>Nagroda im. Macieja Lisa</w:t>
      </w:r>
    </w:p>
    <w:p w14:paraId="05C612D7" w14:textId="77777777" w:rsidR="001D262D" w:rsidRPr="00EC250C" w:rsidRDefault="001D262D" w:rsidP="00D131FA">
      <w:pPr>
        <w:pStyle w:val="Styl1"/>
      </w:pPr>
      <w:r w:rsidRPr="00EC250C">
        <w:t>Przyznawana od 2016</w:t>
      </w:r>
      <w:r w:rsidR="00C91F6E" w:rsidRPr="00EC250C">
        <w:t> r.</w:t>
      </w:r>
      <w:r w:rsidRPr="00EC250C">
        <w:t xml:space="preserve"> Nagroda im. doktora Macieja Lisa została ustanowiona</w:t>
      </w:r>
      <w:r w:rsidR="00992FD0" w:rsidRPr="00EC250C">
        <w:t xml:space="preserve"> w </w:t>
      </w:r>
      <w:r w:rsidRPr="00EC250C">
        <w:t>celu uhonorowania pamięci Macieja Lisa</w:t>
      </w:r>
      <w:r w:rsidR="00CC4D88" w:rsidRPr="00EC250C">
        <w:t xml:space="preserve"> </w:t>
      </w:r>
      <w:r w:rsidRPr="00EC250C">
        <w:t>(1950-2015) – Pełnomocnika Terenowego RPO we Wrocławiu, doktora nauk prawnych, który aktywnie działał</w:t>
      </w:r>
      <w:r w:rsidR="00992FD0" w:rsidRPr="00EC250C">
        <w:t xml:space="preserve"> w </w:t>
      </w:r>
      <w:r w:rsidRPr="00EC250C">
        <w:t>stowarzyszeniach</w:t>
      </w:r>
      <w:r w:rsidR="00992FD0" w:rsidRPr="00EC250C">
        <w:t xml:space="preserve"> i </w:t>
      </w:r>
      <w:r w:rsidRPr="00EC250C">
        <w:t>organizacjach społecznych, powołanych</w:t>
      </w:r>
      <w:r w:rsidR="00992FD0" w:rsidRPr="00EC250C">
        <w:t xml:space="preserve"> z </w:t>
      </w:r>
      <w:r w:rsidRPr="00EC250C">
        <w:t>myślą</w:t>
      </w:r>
      <w:r w:rsidR="00992FD0" w:rsidRPr="00EC250C">
        <w:t xml:space="preserve"> o </w:t>
      </w:r>
      <w:r w:rsidRPr="00EC250C">
        <w:t>osobach niepełnosprawnych</w:t>
      </w:r>
      <w:r w:rsidR="00992FD0" w:rsidRPr="00EC250C">
        <w:t xml:space="preserve"> i </w:t>
      </w:r>
      <w:r w:rsidRPr="00EC250C">
        <w:t>ubogich. Jest ona przyznawana za szczególne osiągnięcia</w:t>
      </w:r>
      <w:r w:rsidR="00992FD0" w:rsidRPr="00EC250C">
        <w:t xml:space="preserve"> w </w:t>
      </w:r>
      <w:r w:rsidRPr="00EC250C">
        <w:t>dziedzinie obrony praw</w:t>
      </w:r>
      <w:r w:rsidR="00992FD0" w:rsidRPr="00EC250C">
        <w:t xml:space="preserve"> i </w:t>
      </w:r>
      <w:r w:rsidRPr="00EC250C">
        <w:t>interesów osób</w:t>
      </w:r>
      <w:r w:rsidR="00992FD0" w:rsidRPr="00EC250C">
        <w:t xml:space="preserve"> z </w:t>
      </w:r>
      <w:r w:rsidRPr="00EC250C">
        <w:t>niepełnosprawnościami.</w:t>
      </w:r>
    </w:p>
    <w:p w14:paraId="1ACD6446" w14:textId="77777777" w:rsidR="00C91F6E" w:rsidRPr="00EC250C" w:rsidRDefault="001D262D" w:rsidP="00D131FA">
      <w:pPr>
        <w:pStyle w:val="Styl1"/>
      </w:pPr>
      <w:r w:rsidRPr="00EC250C">
        <w:t>W 2018</w:t>
      </w:r>
      <w:r w:rsidR="00C91F6E" w:rsidRPr="00EC250C">
        <w:t> </w:t>
      </w:r>
      <w:r w:rsidR="00C91F6E" w:rsidRPr="00EC250C">
        <w:rPr>
          <w:rFonts w:hint="eastAsia"/>
        </w:rPr>
        <w:t>r.</w:t>
      </w:r>
      <w:r w:rsidRPr="00EC250C">
        <w:t xml:space="preserve"> nagrodą tą uhonorowany został pośmiertnie Piotr Pawłowski. Nagrodę otrzymało te</w:t>
      </w:r>
      <w:r w:rsidR="00992FD0" w:rsidRPr="00EC250C">
        <w:t xml:space="preserve"> z </w:t>
      </w:r>
      <w:r w:rsidRPr="00EC250C">
        <w:t>stworzone przez niego Stowarzyszenie Przyjaciół Integracji oraz Fundację Integracja.</w:t>
      </w:r>
    </w:p>
    <w:p w14:paraId="548CA4AD" w14:textId="77777777" w:rsidR="00C91F6E" w:rsidRPr="00EC250C" w:rsidRDefault="001D262D" w:rsidP="00D131FA">
      <w:pPr>
        <w:pStyle w:val="Styl1"/>
      </w:pPr>
      <w:r w:rsidRPr="00EC250C">
        <w:rPr>
          <w:rFonts w:ascii="inherit" w:hAnsi="inherit"/>
          <w:bCs/>
          <w:bdr w:val="none" w:sz="0" w:space="0" w:color="auto" w:frame="1"/>
        </w:rPr>
        <w:t>Piotr Pawłowski (</w:t>
      </w:r>
      <w:r w:rsidRPr="00EC250C">
        <w:t>1966-2018) był twórcą</w:t>
      </w:r>
      <w:r w:rsidR="00992FD0" w:rsidRPr="00EC250C">
        <w:t xml:space="preserve"> i </w:t>
      </w:r>
      <w:r w:rsidRPr="00EC250C">
        <w:t>prezesem Fundacji Integracja</w:t>
      </w:r>
      <w:r w:rsidR="00992FD0" w:rsidRPr="00EC250C">
        <w:t xml:space="preserve"> i </w:t>
      </w:r>
      <w:r w:rsidRPr="00EC250C">
        <w:t>Stowarzyszenia Przyjaciół Integracji. W wyniku niefortunnego skoku do wody na głowę złamał</w:t>
      </w:r>
      <w:r w:rsidR="00992FD0" w:rsidRPr="00EC250C">
        <w:t xml:space="preserve"> w </w:t>
      </w:r>
      <w:r w:rsidRPr="00EC250C">
        <w:t>1982</w:t>
      </w:r>
      <w:r w:rsidR="00C91F6E" w:rsidRPr="00EC250C">
        <w:t> r.</w:t>
      </w:r>
      <w:r w:rsidRPr="00EC250C">
        <w:t xml:space="preserve"> kręgosłup. Od tego czasu poruszał się na wózku.</w:t>
      </w:r>
      <w:r w:rsidR="00CC4D88" w:rsidRPr="00EC250C">
        <w:t xml:space="preserve"> </w:t>
      </w:r>
      <w:r w:rsidRPr="00EC250C">
        <w:t>Przez ponad 25 lat był aktywnym dziennikarzem, działaczem społecznym, pracującym na rzecz likwidacji barier architektonicznych, cyfrowych , społecznych</w:t>
      </w:r>
      <w:r w:rsidR="00992FD0" w:rsidRPr="00EC250C">
        <w:t xml:space="preserve"> i </w:t>
      </w:r>
      <w:r w:rsidRPr="00EC250C">
        <w:t>prawnych. – Zrobił tak wiele dla osób</w:t>
      </w:r>
      <w:r w:rsidR="00992FD0" w:rsidRPr="00EC250C">
        <w:t xml:space="preserve"> z </w:t>
      </w:r>
      <w:r w:rsidRPr="00EC250C">
        <w:t>niepełnosprawnościami, stworzył wielkie dzieło</w:t>
      </w:r>
      <w:r w:rsidR="00992FD0" w:rsidRPr="00EC250C">
        <w:t xml:space="preserve"> w </w:t>
      </w:r>
      <w:r w:rsidRPr="00EC250C">
        <w:t>postaci trwałych zmian</w:t>
      </w:r>
      <w:r w:rsidR="00992FD0" w:rsidRPr="00EC250C">
        <w:t xml:space="preserve"> w </w:t>
      </w:r>
      <w:r w:rsidRPr="00EC250C">
        <w:t>świadomości, organizacji pozarządowych działających</w:t>
      </w:r>
      <w:r w:rsidR="00CC4D88" w:rsidRPr="00EC250C">
        <w:t xml:space="preserve"> </w:t>
      </w:r>
      <w:r w:rsidRPr="00EC250C">
        <w:t>na rzecz środowiska</w:t>
      </w:r>
      <w:r w:rsidR="00026572" w:rsidRPr="00EC250C">
        <w:t xml:space="preserve"> – </w:t>
      </w:r>
      <w:r w:rsidRPr="00EC250C">
        <w:t>podkreślał RPO Adam Bodnar podczas uroczystości wręczenia nagrody 16 listopada 2018</w:t>
      </w:r>
      <w:r w:rsidR="00C91F6E" w:rsidRPr="00EC250C">
        <w:t> r.</w:t>
      </w:r>
      <w:r w:rsidRPr="00EC250C">
        <w:t xml:space="preserve"> we Wrocławiu.</w:t>
      </w:r>
    </w:p>
    <w:p w14:paraId="3296531F" w14:textId="77777777" w:rsidR="00192982" w:rsidRPr="00EC250C" w:rsidRDefault="00192982" w:rsidP="00D131FA">
      <w:pPr>
        <w:pStyle w:val="Srdtytul6"/>
        <w:jc w:val="both"/>
      </w:pPr>
      <w:r w:rsidRPr="00EC250C">
        <w:t>Odznaki honorowe</w:t>
      </w:r>
      <w:bookmarkEnd w:id="848"/>
    </w:p>
    <w:p w14:paraId="4BFF90AC" w14:textId="77777777" w:rsidR="00C91F6E" w:rsidRPr="00EC250C" w:rsidRDefault="00192982" w:rsidP="00D131FA">
      <w:pPr>
        <w:pStyle w:val="Styl1"/>
        <w:ind w:firstLine="360"/>
      </w:pPr>
      <w:r w:rsidRPr="00EC250C">
        <w:t>Odznaka honorowa „Za Zasługi dla Ochrony Praw Człowieka” może zostać nadana obywatelom Rzeczypospolitej Polskiej, obywatelom państw obcych,</w:t>
      </w:r>
      <w:r w:rsidR="00992FD0" w:rsidRPr="00EC250C">
        <w:t xml:space="preserve"> a </w:t>
      </w:r>
      <w:r w:rsidRPr="00EC250C">
        <w:t>także organizacjom</w:t>
      </w:r>
      <w:r w:rsidR="00992FD0" w:rsidRPr="00EC250C">
        <w:t xml:space="preserve"> i </w:t>
      </w:r>
      <w:r w:rsidRPr="00EC250C">
        <w:t>instytucjom. W 2018 roku odznaki otrzymali:</w:t>
      </w:r>
    </w:p>
    <w:p w14:paraId="265DEA1B" w14:textId="77777777" w:rsidR="00192982" w:rsidRPr="00EC250C" w:rsidRDefault="00192982" w:rsidP="006C70B7">
      <w:pPr>
        <w:pStyle w:val="Styl1"/>
        <w:numPr>
          <w:ilvl w:val="0"/>
          <w:numId w:val="118"/>
        </w:numPr>
        <w:ind w:left="709"/>
      </w:pPr>
      <w:r w:rsidRPr="00EC250C">
        <w:t>Stowarzyszenie przeciw Antysemityzmowi</w:t>
      </w:r>
      <w:r w:rsidR="00992FD0" w:rsidRPr="00EC250C">
        <w:t xml:space="preserve"> i </w:t>
      </w:r>
      <w:r w:rsidRPr="00EC250C">
        <w:t xml:space="preserve">Ksenofobii „Otwarta Rzeczpospolita”. Odznakę odebrali: Marek Gumkowski, </w:t>
      </w:r>
      <w:r w:rsidR="00536275" w:rsidRPr="00EC250C">
        <w:t>p</w:t>
      </w:r>
      <w:r w:rsidRPr="00EC250C">
        <w:t xml:space="preserve">rezes Zarządu Głównego Stowarzyszenia oraz Paula Sawicka, </w:t>
      </w:r>
      <w:r w:rsidR="00536275" w:rsidRPr="00EC250C">
        <w:t>p</w:t>
      </w:r>
      <w:r w:rsidRPr="00EC250C">
        <w:t>rzewodnicząca Rady Programowej</w:t>
      </w:r>
    </w:p>
    <w:p w14:paraId="7BEADC8E" w14:textId="77777777" w:rsidR="00192982" w:rsidRPr="00EC250C" w:rsidRDefault="00192982" w:rsidP="006C70B7">
      <w:pPr>
        <w:pStyle w:val="Styl1"/>
        <w:numPr>
          <w:ilvl w:val="0"/>
          <w:numId w:val="22"/>
        </w:numPr>
      </w:pPr>
      <w:r w:rsidRPr="00EC250C">
        <w:t xml:space="preserve">Marek Michalak, </w:t>
      </w:r>
      <w:r w:rsidR="00536275" w:rsidRPr="00EC250C">
        <w:t xml:space="preserve">kończący kadencję </w:t>
      </w:r>
      <w:r w:rsidRPr="00EC250C">
        <w:t>rzecznik praw dziecka..</w:t>
      </w:r>
    </w:p>
    <w:p w14:paraId="7C1C301D" w14:textId="77777777" w:rsidR="00192982" w:rsidRPr="00EC250C" w:rsidRDefault="00192982" w:rsidP="006C70B7">
      <w:pPr>
        <w:pStyle w:val="Styl1"/>
        <w:numPr>
          <w:ilvl w:val="0"/>
          <w:numId w:val="22"/>
        </w:numPr>
      </w:pPr>
      <w:r w:rsidRPr="00EC250C">
        <w:t>Stanisława Łukasik, Róża Czempas, Krystyna Stopczyńska, Janina Gałwa za działalność</w:t>
      </w:r>
      <w:r w:rsidR="00992FD0" w:rsidRPr="00EC250C">
        <w:t xml:space="preserve"> w </w:t>
      </w:r>
      <w:r w:rsidRPr="00EC250C">
        <w:t>Stowarzyszeniu Lekarze Nadziei.</w:t>
      </w:r>
    </w:p>
    <w:p w14:paraId="606EC48A" w14:textId="77777777" w:rsidR="00192982" w:rsidRPr="00EC250C" w:rsidRDefault="00192982" w:rsidP="00EC79EB">
      <w:pPr>
        <w:pStyle w:val="Nagwek4"/>
      </w:pPr>
      <w:bookmarkStart w:id="849" w:name="_Toc6258041"/>
      <w:bookmarkStart w:id="850" w:name="_Toc11247881"/>
      <w:r w:rsidRPr="00EC250C">
        <w:lastRenderedPageBreak/>
        <w:t>Rad</w:t>
      </w:r>
      <w:r w:rsidR="00536275" w:rsidRPr="00EC250C">
        <w:t>y</w:t>
      </w:r>
      <w:r w:rsidR="00A7097E" w:rsidRPr="00EC250C">
        <w:t xml:space="preserve"> </w:t>
      </w:r>
      <w:r w:rsidRPr="00EC250C">
        <w:t>Społeczn</w:t>
      </w:r>
      <w:r w:rsidR="00335AF8" w:rsidRPr="00EC250C">
        <w:t>e</w:t>
      </w:r>
      <w:r w:rsidRPr="00EC250C">
        <w:t xml:space="preserve"> przy Rzeczniku Praw Obywatelskich</w:t>
      </w:r>
      <w:bookmarkEnd w:id="849"/>
      <w:bookmarkEnd w:id="850"/>
    </w:p>
    <w:p w14:paraId="1476D3A7" w14:textId="77777777" w:rsidR="00192982" w:rsidRPr="00EC250C" w:rsidRDefault="00192982" w:rsidP="00D131FA">
      <w:pPr>
        <w:pStyle w:val="Problemczowieka"/>
        <w:jc w:val="both"/>
      </w:pPr>
      <w:bookmarkStart w:id="851" w:name="_Toc6258053"/>
      <w:r w:rsidRPr="00EC250C">
        <w:t>W Biurze Rzecznika Praw Obywatelskich działają rady społeczne. Wspierają one Rzecznika</w:t>
      </w:r>
      <w:r w:rsidR="00992FD0" w:rsidRPr="00EC250C">
        <w:t xml:space="preserve"> w </w:t>
      </w:r>
      <w:r w:rsidRPr="00EC250C">
        <w:t>realizacji jego ustawowych zadań, pomagają te</w:t>
      </w:r>
      <w:r w:rsidR="00BB200F" w:rsidRPr="00EC250C">
        <w:t>ż</w:t>
      </w:r>
      <w:r w:rsidR="00992FD0" w:rsidRPr="00EC250C">
        <w:t xml:space="preserve"> w </w:t>
      </w:r>
      <w:r w:rsidRPr="00EC250C">
        <w:t>pracy pełnomocnikom terenowym.</w:t>
      </w:r>
    </w:p>
    <w:p w14:paraId="2DA26843" w14:textId="77777777" w:rsidR="006B618E" w:rsidRPr="00EC250C" w:rsidRDefault="006B618E" w:rsidP="00D131FA">
      <w:pPr>
        <w:pStyle w:val="Styl1"/>
      </w:pPr>
      <w:r w:rsidRPr="00EC250C">
        <w:t>Ich rola zmieniła się w 2018 r. Poszerzony też został ich skład - o wybitnych przedstawicieli wielu organizacji samorządowych i społeczności lokalnych. Podczas regularnych spotkań z RPO członkinie i członkowie Rad Społecznych mogą sygnalizować ważne kwestie społeczne, zarówno o charakterze lokalnym jak i ogólnopolskim, które mogłyby zostać podjęte przez Rzecznika.</w:t>
      </w:r>
    </w:p>
    <w:p w14:paraId="4A86ADD4" w14:textId="77777777" w:rsidR="006B618E" w:rsidRPr="00EC250C" w:rsidRDefault="006B618E" w:rsidP="00D131FA">
      <w:pPr>
        <w:pStyle w:val="Styl1"/>
      </w:pPr>
      <w:r w:rsidRPr="00EC250C">
        <w:t>Rady Społeczne ma więc angażować RPO w problemy na szczeblu lokalnym, wzmacniać biura terenowe oraz społeczeństwo obywatelskie.</w:t>
      </w:r>
    </w:p>
    <w:p w14:paraId="2BC76F8A" w14:textId="77777777" w:rsidR="00192982" w:rsidRPr="00EC250C" w:rsidRDefault="00192982" w:rsidP="00D131FA">
      <w:pPr>
        <w:pStyle w:val="Styl1"/>
      </w:pPr>
      <w:r w:rsidRPr="00EC250C">
        <w:t>Członkowie utrzymują kontakty</w:t>
      </w:r>
      <w:r w:rsidR="00992FD0" w:rsidRPr="00EC250C">
        <w:t xml:space="preserve"> z </w:t>
      </w:r>
      <w:r w:rsidR="00BB200F" w:rsidRPr="00EC250C">
        <w:t>przedstawicielami</w:t>
      </w:r>
      <w:r w:rsidRPr="00EC250C">
        <w:t xml:space="preserve"> władzy publicznej oraz innymi podmiotami,</w:t>
      </w:r>
      <w:r w:rsidR="00992FD0" w:rsidRPr="00EC250C">
        <w:t xml:space="preserve"> w </w:t>
      </w:r>
      <w:r w:rsidRPr="00EC250C">
        <w:t>szczególności organizacjami społecznymi. Na prośbę RPO reprezentują Rzecznika podczas spotkań oraz innych uroczystości okolicznościowych. Przygotowują opinie, ekspertyzy</w:t>
      </w:r>
      <w:r w:rsidR="00992FD0" w:rsidRPr="00EC250C">
        <w:t xml:space="preserve"> i </w:t>
      </w:r>
      <w:r w:rsidRPr="00EC250C">
        <w:t>stanowiska.</w:t>
      </w:r>
    </w:p>
    <w:p w14:paraId="1D0ECC97" w14:textId="77777777" w:rsidR="00192982" w:rsidRPr="00EC250C" w:rsidRDefault="00192982" w:rsidP="00D131FA">
      <w:pPr>
        <w:pStyle w:val="Styl1"/>
      </w:pPr>
      <w:r w:rsidRPr="00EC250C">
        <w:t>Rady działają</w:t>
      </w:r>
      <w:r w:rsidR="00992FD0" w:rsidRPr="00EC250C">
        <w:t xml:space="preserve"> w </w:t>
      </w:r>
      <w:r w:rsidRPr="00EC250C">
        <w:t>siedzibach Biura:</w:t>
      </w:r>
      <w:r w:rsidR="00992FD0" w:rsidRPr="00EC250C">
        <w:t xml:space="preserve"> w </w:t>
      </w:r>
      <w:r w:rsidRPr="00EC250C">
        <w:t>Warszawie;</w:t>
      </w:r>
      <w:r w:rsidR="00992FD0" w:rsidRPr="00EC250C">
        <w:t xml:space="preserve"> w </w:t>
      </w:r>
      <w:r w:rsidRPr="00EC250C">
        <w:t>Gdańsku;</w:t>
      </w:r>
      <w:r w:rsidR="00992FD0" w:rsidRPr="00EC250C">
        <w:t xml:space="preserve"> w </w:t>
      </w:r>
      <w:r w:rsidRPr="00EC250C">
        <w:t>Katowicach; we Wrocławiu.</w:t>
      </w:r>
    </w:p>
    <w:p w14:paraId="5BCB6CF5" w14:textId="77777777" w:rsidR="00192982" w:rsidRPr="00EC250C" w:rsidRDefault="00192982" w:rsidP="00EC250C">
      <w:pPr>
        <w:pStyle w:val="Nagwek5"/>
      </w:pPr>
      <w:r w:rsidRPr="00EC250C">
        <w:t>Rada Społeczna</w:t>
      </w:r>
      <w:r w:rsidR="00992FD0" w:rsidRPr="00EC250C">
        <w:t xml:space="preserve"> w </w:t>
      </w:r>
      <w:r w:rsidRPr="00EC250C">
        <w:t>Warszawie</w:t>
      </w:r>
    </w:p>
    <w:p w14:paraId="261FE45F" w14:textId="77777777" w:rsidR="00192982" w:rsidRPr="00EC250C" w:rsidRDefault="00192982" w:rsidP="00D131FA">
      <w:pPr>
        <w:pStyle w:val="Styl1"/>
      </w:pPr>
      <w:r w:rsidRPr="00EC250C">
        <w:t>Inauguracja działalności – 10 grudnia 2010</w:t>
      </w:r>
      <w:r w:rsidR="00C91F6E" w:rsidRPr="00EC250C">
        <w:t> r.</w:t>
      </w:r>
    </w:p>
    <w:p w14:paraId="3088E389" w14:textId="77777777" w:rsidR="00C73FDE" w:rsidRPr="00EC250C" w:rsidRDefault="00C73FDE" w:rsidP="006C70B7">
      <w:pPr>
        <w:pStyle w:val="Styl1"/>
        <w:numPr>
          <w:ilvl w:val="0"/>
          <w:numId w:val="98"/>
        </w:numPr>
        <w:rPr>
          <w:rStyle w:val="Hipercze"/>
          <w:rFonts w:eastAsia="Calibri"/>
          <w:color w:val="auto"/>
          <w:u w:val="none"/>
        </w:rPr>
        <w:sectPr w:rsidR="00C73FDE" w:rsidRPr="00EC250C" w:rsidSect="00803B7D">
          <w:headerReference w:type="even" r:id="rId21"/>
          <w:headerReference w:type="default" r:id="rId22"/>
          <w:footerReference w:type="even" r:id="rId23"/>
          <w:footerReference w:type="default" r:id="rId24"/>
          <w:headerReference w:type="first" r:id="rId25"/>
          <w:footerReference w:type="first" r:id="rId26"/>
          <w:type w:val="continuous"/>
          <w:pgSz w:w="11907" w:h="16840"/>
          <w:pgMar w:top="1418" w:right="1418" w:bottom="1418" w:left="1276" w:header="113" w:footer="113" w:gutter="0"/>
          <w:cols w:space="708"/>
          <w:titlePg/>
          <w:docGrid w:linePitch="354"/>
        </w:sectPr>
      </w:pPr>
    </w:p>
    <w:p w14:paraId="0E8DBC24" w14:textId="77777777" w:rsidR="00192982" w:rsidRPr="00EC250C" w:rsidRDefault="00192982" w:rsidP="006C70B7">
      <w:pPr>
        <w:pStyle w:val="Styl1"/>
        <w:numPr>
          <w:ilvl w:val="0"/>
          <w:numId w:val="98"/>
        </w:numPr>
      </w:pPr>
      <w:r w:rsidRPr="00EC250C">
        <w:rPr>
          <w:rStyle w:val="Hipercze"/>
          <w:rFonts w:eastAsia="Calibri"/>
          <w:color w:val="auto"/>
          <w:u w:val="none"/>
        </w:rPr>
        <w:t xml:space="preserve">Katarzyna </w:t>
      </w:r>
      <w:hyperlink r:id="rId27" w:history="1">
        <w:r w:rsidRPr="00EC250C">
          <w:rPr>
            <w:rStyle w:val="Hipercze"/>
            <w:rFonts w:eastAsia="Calibri"/>
            <w:color w:val="auto"/>
            <w:u w:val="none"/>
          </w:rPr>
          <w:t xml:space="preserve">Batko-Tołuć </w:t>
        </w:r>
      </w:hyperlink>
    </w:p>
    <w:p w14:paraId="6E775B7C" w14:textId="77777777" w:rsidR="00192982" w:rsidRPr="00EC250C" w:rsidRDefault="00744B2D" w:rsidP="006C70B7">
      <w:pPr>
        <w:pStyle w:val="Styl1"/>
        <w:numPr>
          <w:ilvl w:val="0"/>
          <w:numId w:val="98"/>
        </w:numPr>
      </w:pPr>
      <w:hyperlink r:id="rId28" w:history="1">
        <w:r w:rsidR="00192982" w:rsidRPr="00EC250C">
          <w:rPr>
            <w:rStyle w:val="Hipercze"/>
            <w:rFonts w:eastAsia="Calibri"/>
            <w:color w:val="auto"/>
            <w:u w:val="none"/>
          </w:rPr>
          <w:t>Halina</w:t>
        </w:r>
      </w:hyperlink>
      <w:r w:rsidR="00192982" w:rsidRPr="00EC250C">
        <w:rPr>
          <w:rFonts w:eastAsia="Calibri"/>
        </w:rPr>
        <w:t xml:space="preserve"> </w:t>
      </w:r>
      <w:r w:rsidR="00192982" w:rsidRPr="00EC250C">
        <w:rPr>
          <w:rStyle w:val="Hipercze"/>
          <w:rFonts w:eastAsia="Calibri"/>
          <w:color w:val="auto"/>
          <w:u w:val="none"/>
        </w:rPr>
        <w:t>Bortnowska</w:t>
      </w:r>
    </w:p>
    <w:p w14:paraId="73FD9CE7" w14:textId="77777777" w:rsidR="00192982" w:rsidRPr="00EC250C" w:rsidRDefault="00192982" w:rsidP="006C70B7">
      <w:pPr>
        <w:pStyle w:val="Styl1"/>
        <w:numPr>
          <w:ilvl w:val="0"/>
          <w:numId w:val="98"/>
        </w:numPr>
      </w:pPr>
      <w:r w:rsidRPr="00EC250C">
        <w:rPr>
          <w:rStyle w:val="Hipercze"/>
          <w:rFonts w:eastAsia="Calibri"/>
          <w:color w:val="auto"/>
          <w:u w:val="none"/>
        </w:rPr>
        <w:t xml:space="preserve">prof. nadzw. dr. hab. Janusz </w:t>
      </w:r>
      <w:hyperlink r:id="rId29" w:history="1">
        <w:r w:rsidRPr="00EC250C">
          <w:rPr>
            <w:rStyle w:val="Hipercze"/>
            <w:rFonts w:eastAsia="Calibri"/>
            <w:color w:val="auto"/>
            <w:u w:val="none"/>
          </w:rPr>
          <w:t xml:space="preserve">Czapiński </w:t>
        </w:r>
      </w:hyperlink>
    </w:p>
    <w:p w14:paraId="637949AB" w14:textId="77777777" w:rsidR="00192982" w:rsidRPr="00EC250C" w:rsidRDefault="00744B2D" w:rsidP="006C70B7">
      <w:pPr>
        <w:pStyle w:val="Styl1"/>
        <w:numPr>
          <w:ilvl w:val="0"/>
          <w:numId w:val="98"/>
        </w:numPr>
      </w:pPr>
      <w:hyperlink r:id="rId30" w:history="1">
        <w:r w:rsidR="00192982" w:rsidRPr="00EC250C">
          <w:rPr>
            <w:rStyle w:val="Hipercze"/>
            <w:rFonts w:eastAsia="Calibri"/>
            <w:color w:val="auto"/>
            <w:u w:val="none"/>
          </w:rPr>
          <w:t>Maria</w:t>
        </w:r>
      </w:hyperlink>
      <w:r w:rsidR="00192982" w:rsidRPr="00EC250C">
        <w:rPr>
          <w:rFonts w:eastAsia="Calibri"/>
        </w:rPr>
        <w:t xml:space="preserve"> </w:t>
      </w:r>
      <w:r w:rsidR="00192982" w:rsidRPr="00EC250C">
        <w:rPr>
          <w:rStyle w:val="Hipercze"/>
          <w:rFonts w:eastAsia="Calibri"/>
          <w:color w:val="auto"/>
          <w:u w:val="none"/>
        </w:rPr>
        <w:t>Ejchart-Dubois</w:t>
      </w:r>
    </w:p>
    <w:p w14:paraId="3F0C19C9" w14:textId="77777777" w:rsidR="00192982" w:rsidRPr="00EC250C" w:rsidRDefault="00192982" w:rsidP="006C70B7">
      <w:pPr>
        <w:pStyle w:val="Styl1"/>
        <w:numPr>
          <w:ilvl w:val="0"/>
          <w:numId w:val="98"/>
        </w:numPr>
      </w:pPr>
      <w:r w:rsidRPr="00EC250C">
        <w:rPr>
          <w:rStyle w:val="Hipercze"/>
          <w:rFonts w:eastAsia="Calibri"/>
          <w:color w:val="auto"/>
          <w:u w:val="none"/>
        </w:rPr>
        <w:t xml:space="preserve">Anna </w:t>
      </w:r>
      <w:hyperlink r:id="rId31" w:history="1">
        <w:r w:rsidRPr="00EC250C">
          <w:rPr>
            <w:rStyle w:val="Hipercze"/>
            <w:rFonts w:eastAsia="Calibri"/>
            <w:color w:val="auto"/>
            <w:u w:val="none"/>
          </w:rPr>
          <w:t xml:space="preserve">Jakubowska </w:t>
        </w:r>
      </w:hyperlink>
    </w:p>
    <w:p w14:paraId="4E4606BD" w14:textId="77777777" w:rsidR="00192982" w:rsidRPr="00EC250C" w:rsidRDefault="00192982" w:rsidP="006C70B7">
      <w:pPr>
        <w:pStyle w:val="Styl1"/>
        <w:numPr>
          <w:ilvl w:val="0"/>
          <w:numId w:val="98"/>
        </w:numPr>
      </w:pPr>
      <w:r w:rsidRPr="00EC250C">
        <w:rPr>
          <w:rStyle w:val="Hipercze"/>
          <w:rFonts w:eastAsia="Calibri"/>
          <w:color w:val="auto"/>
          <w:u w:val="none"/>
        </w:rPr>
        <w:t xml:space="preserve">Urszula </w:t>
      </w:r>
      <w:hyperlink r:id="rId32" w:history="1">
        <w:r w:rsidRPr="00EC250C">
          <w:rPr>
            <w:rStyle w:val="Hipercze"/>
            <w:rFonts w:eastAsia="Calibri"/>
            <w:color w:val="auto"/>
            <w:u w:val="none"/>
          </w:rPr>
          <w:t xml:space="preserve">Jaworska </w:t>
        </w:r>
      </w:hyperlink>
    </w:p>
    <w:p w14:paraId="6F7D6EE1" w14:textId="77777777" w:rsidR="00192982" w:rsidRPr="00EC250C" w:rsidRDefault="00744B2D" w:rsidP="006C70B7">
      <w:pPr>
        <w:pStyle w:val="Styl1"/>
        <w:numPr>
          <w:ilvl w:val="0"/>
          <w:numId w:val="98"/>
        </w:numPr>
      </w:pPr>
      <w:hyperlink r:id="rId33" w:history="1">
        <w:r w:rsidR="00192982" w:rsidRPr="00EC250C">
          <w:rPr>
            <w:rStyle w:val="Hipercze"/>
            <w:rFonts w:eastAsia="Calibri"/>
            <w:color w:val="auto"/>
            <w:u w:val="none"/>
          </w:rPr>
          <w:t>Paweł</w:t>
        </w:r>
      </w:hyperlink>
      <w:r w:rsidR="00192982" w:rsidRPr="00EC250C">
        <w:rPr>
          <w:rFonts w:eastAsia="Calibri"/>
        </w:rPr>
        <w:t xml:space="preserve"> </w:t>
      </w:r>
      <w:r w:rsidR="00192982" w:rsidRPr="00EC250C">
        <w:rPr>
          <w:rStyle w:val="Hipercze"/>
          <w:rFonts w:eastAsia="Calibri"/>
          <w:color w:val="auto"/>
          <w:u w:val="none"/>
        </w:rPr>
        <w:t>Łukasiak</w:t>
      </w:r>
    </w:p>
    <w:p w14:paraId="3A138EFF" w14:textId="77777777" w:rsidR="00192982" w:rsidRPr="00EC250C" w:rsidRDefault="00192982" w:rsidP="006C70B7">
      <w:pPr>
        <w:pStyle w:val="Styl1"/>
        <w:numPr>
          <w:ilvl w:val="0"/>
          <w:numId w:val="98"/>
        </w:numPr>
      </w:pPr>
      <w:r w:rsidRPr="00EC250C">
        <w:t>Marek Michalak</w:t>
      </w:r>
    </w:p>
    <w:p w14:paraId="1B619DC9" w14:textId="77777777" w:rsidR="00192982" w:rsidRPr="00EC250C" w:rsidRDefault="00744B2D" w:rsidP="006C70B7">
      <w:pPr>
        <w:pStyle w:val="Styl1"/>
        <w:numPr>
          <w:ilvl w:val="0"/>
          <w:numId w:val="98"/>
        </w:numPr>
      </w:pPr>
      <w:hyperlink r:id="rId34" w:history="1">
        <w:r w:rsidR="00192982" w:rsidRPr="00EC250C">
          <w:rPr>
            <w:rStyle w:val="Hipercze"/>
            <w:rFonts w:eastAsia="Calibri"/>
            <w:color w:val="auto"/>
            <w:u w:val="none"/>
          </w:rPr>
          <w:t>Krystyna</w:t>
        </w:r>
      </w:hyperlink>
      <w:r w:rsidR="00192982" w:rsidRPr="00EC250C">
        <w:rPr>
          <w:rFonts w:eastAsia="Calibri"/>
        </w:rPr>
        <w:t xml:space="preserve"> </w:t>
      </w:r>
      <w:r w:rsidR="00192982" w:rsidRPr="00EC250C">
        <w:rPr>
          <w:rStyle w:val="Hipercze"/>
          <w:rFonts w:eastAsia="Calibri"/>
          <w:color w:val="auto"/>
          <w:u w:val="none"/>
        </w:rPr>
        <w:t>Mrugalska</w:t>
      </w:r>
    </w:p>
    <w:p w14:paraId="0AEEF6FF" w14:textId="77777777" w:rsidR="00192982" w:rsidRPr="00EC250C" w:rsidRDefault="00192982" w:rsidP="006C70B7">
      <w:pPr>
        <w:pStyle w:val="Styl1"/>
        <w:numPr>
          <w:ilvl w:val="0"/>
          <w:numId w:val="98"/>
        </w:numPr>
      </w:pPr>
      <w:r w:rsidRPr="00EC250C">
        <w:rPr>
          <w:rStyle w:val="Hipercze"/>
          <w:rFonts w:eastAsia="Calibri"/>
          <w:color w:val="auto"/>
          <w:u w:val="none"/>
        </w:rPr>
        <w:t xml:space="preserve">Draginja </w:t>
      </w:r>
      <w:hyperlink r:id="rId35" w:history="1">
        <w:r w:rsidRPr="00EC250C">
          <w:rPr>
            <w:rStyle w:val="Hipercze"/>
            <w:rFonts w:eastAsia="Calibri"/>
            <w:color w:val="auto"/>
            <w:u w:val="none"/>
          </w:rPr>
          <w:t>Nadaždin </w:t>
        </w:r>
      </w:hyperlink>
    </w:p>
    <w:p w14:paraId="0C865959" w14:textId="77777777" w:rsidR="00192982" w:rsidRPr="00EC250C" w:rsidRDefault="00744B2D" w:rsidP="006C70B7">
      <w:pPr>
        <w:pStyle w:val="Styl1"/>
        <w:numPr>
          <w:ilvl w:val="0"/>
          <w:numId w:val="98"/>
        </w:numPr>
      </w:pPr>
      <w:hyperlink r:id="rId36" w:history="1">
        <w:r w:rsidR="00192982" w:rsidRPr="00EC250C">
          <w:rPr>
            <w:rStyle w:val="Hipercze"/>
            <w:rFonts w:eastAsia="Calibri"/>
            <w:color w:val="auto"/>
            <w:u w:val="none"/>
          </w:rPr>
          <w:t>Zbigniew</w:t>
        </w:r>
      </w:hyperlink>
      <w:r w:rsidR="00192982" w:rsidRPr="00EC250C">
        <w:rPr>
          <w:rFonts w:eastAsia="Calibri"/>
        </w:rPr>
        <w:t xml:space="preserve"> </w:t>
      </w:r>
      <w:r w:rsidR="00192982" w:rsidRPr="00EC250C">
        <w:rPr>
          <w:rStyle w:val="Hipercze"/>
          <w:rFonts w:eastAsia="Calibri"/>
          <w:color w:val="auto"/>
          <w:u w:val="none"/>
        </w:rPr>
        <w:t>Nosowski</w:t>
      </w:r>
    </w:p>
    <w:p w14:paraId="191E7477" w14:textId="77777777" w:rsidR="00192982" w:rsidRPr="00EC250C" w:rsidRDefault="00744B2D" w:rsidP="006C70B7">
      <w:pPr>
        <w:pStyle w:val="Styl1"/>
        <w:numPr>
          <w:ilvl w:val="0"/>
          <w:numId w:val="98"/>
        </w:numPr>
      </w:pPr>
      <w:hyperlink r:id="rId37" w:history="1">
        <w:r w:rsidR="00192982" w:rsidRPr="00EC250C">
          <w:rPr>
            <w:rStyle w:val="Hipercze"/>
            <w:rFonts w:eastAsia="Calibri"/>
            <w:color w:val="auto"/>
            <w:u w:val="none"/>
          </w:rPr>
          <w:t>Janina</w:t>
        </w:r>
      </w:hyperlink>
      <w:r w:rsidR="00192982" w:rsidRPr="00EC250C">
        <w:rPr>
          <w:rFonts w:eastAsia="Calibri"/>
        </w:rPr>
        <w:t xml:space="preserve"> </w:t>
      </w:r>
      <w:r w:rsidR="00192982" w:rsidRPr="00EC250C">
        <w:rPr>
          <w:rStyle w:val="Hipercze"/>
          <w:rFonts w:eastAsia="Calibri"/>
          <w:color w:val="auto"/>
          <w:u w:val="none"/>
        </w:rPr>
        <w:t>Ochojska-Okońska</w:t>
      </w:r>
    </w:p>
    <w:p w14:paraId="4066B77F" w14:textId="77777777" w:rsidR="00192982" w:rsidRPr="00EC250C" w:rsidRDefault="00192982" w:rsidP="006C70B7">
      <w:pPr>
        <w:pStyle w:val="Styl1"/>
        <w:numPr>
          <w:ilvl w:val="0"/>
          <w:numId w:val="98"/>
        </w:numPr>
      </w:pPr>
      <w:r w:rsidRPr="00EC250C">
        <w:rPr>
          <w:rStyle w:val="Hipercze"/>
          <w:rFonts w:eastAsia="Calibri"/>
          <w:color w:val="auto"/>
          <w:u w:val="none"/>
        </w:rPr>
        <w:t xml:space="preserve">Lidia </w:t>
      </w:r>
      <w:hyperlink r:id="rId38" w:history="1">
        <w:r w:rsidRPr="00EC250C">
          <w:rPr>
            <w:rStyle w:val="Hipercze"/>
            <w:rFonts w:eastAsia="Calibri"/>
            <w:color w:val="auto"/>
            <w:u w:val="none"/>
          </w:rPr>
          <w:t xml:space="preserve">Olejnik </w:t>
        </w:r>
      </w:hyperlink>
    </w:p>
    <w:p w14:paraId="3F9A5ACE" w14:textId="77777777" w:rsidR="00192982" w:rsidRPr="00EC250C" w:rsidRDefault="00744B2D" w:rsidP="006C70B7">
      <w:pPr>
        <w:pStyle w:val="Styl1"/>
        <w:numPr>
          <w:ilvl w:val="0"/>
          <w:numId w:val="98"/>
        </w:numPr>
      </w:pPr>
      <w:hyperlink r:id="rId39" w:history="1">
        <w:r w:rsidR="00192982" w:rsidRPr="00EC250C">
          <w:rPr>
            <w:rStyle w:val="Hipercze"/>
            <w:rFonts w:eastAsia="Calibri"/>
            <w:color w:val="auto"/>
            <w:u w:val="none"/>
          </w:rPr>
          <w:t>Jerzy</w:t>
        </w:r>
      </w:hyperlink>
      <w:r w:rsidR="00192982" w:rsidRPr="00EC250C">
        <w:rPr>
          <w:rStyle w:val="Hipercze"/>
          <w:rFonts w:eastAsia="Calibri"/>
          <w:color w:val="auto"/>
          <w:u w:val="none"/>
        </w:rPr>
        <w:t xml:space="preserve"> Owsiak</w:t>
      </w:r>
    </w:p>
    <w:p w14:paraId="1F9A583F" w14:textId="77777777" w:rsidR="00192982" w:rsidRPr="00EC250C" w:rsidRDefault="00192982" w:rsidP="006C70B7">
      <w:pPr>
        <w:pStyle w:val="Styl1"/>
        <w:numPr>
          <w:ilvl w:val="0"/>
          <w:numId w:val="98"/>
        </w:numPr>
      </w:pPr>
      <w:r w:rsidRPr="00EC250C">
        <w:rPr>
          <w:rStyle w:val="Hipercze"/>
          <w:rFonts w:eastAsia="Calibri"/>
          <w:color w:val="auto"/>
          <w:u w:val="none"/>
        </w:rPr>
        <w:t xml:space="preserve">Mikołaj </w:t>
      </w:r>
      <w:hyperlink r:id="rId40" w:history="1">
        <w:r w:rsidRPr="00EC250C">
          <w:rPr>
            <w:rStyle w:val="Hipercze"/>
            <w:rFonts w:eastAsia="Calibri"/>
            <w:color w:val="auto"/>
            <w:u w:val="none"/>
          </w:rPr>
          <w:t xml:space="preserve">Pietrzak </w:t>
        </w:r>
      </w:hyperlink>
    </w:p>
    <w:p w14:paraId="7F382055" w14:textId="77777777" w:rsidR="00192982" w:rsidRPr="00EC250C" w:rsidRDefault="00744B2D" w:rsidP="006C70B7">
      <w:pPr>
        <w:pStyle w:val="Styl1"/>
        <w:numPr>
          <w:ilvl w:val="0"/>
          <w:numId w:val="98"/>
        </w:numPr>
      </w:pPr>
      <w:hyperlink r:id="rId41" w:history="1">
        <w:r w:rsidR="00192982" w:rsidRPr="00EC250C">
          <w:rPr>
            <w:rStyle w:val="Hipercze"/>
            <w:rFonts w:eastAsia="Calibri"/>
            <w:color w:val="auto"/>
            <w:u w:val="none"/>
          </w:rPr>
          <w:t>Adriana</w:t>
        </w:r>
      </w:hyperlink>
      <w:r w:rsidR="00192982" w:rsidRPr="00EC250C">
        <w:rPr>
          <w:rFonts w:eastAsia="Calibri"/>
        </w:rPr>
        <w:t xml:space="preserve"> </w:t>
      </w:r>
      <w:r w:rsidR="00192982" w:rsidRPr="00EC250C">
        <w:rPr>
          <w:rStyle w:val="Hipercze"/>
          <w:rFonts w:eastAsia="Calibri"/>
          <w:color w:val="auto"/>
          <w:u w:val="none"/>
        </w:rPr>
        <w:t>Porowska</w:t>
      </w:r>
    </w:p>
    <w:p w14:paraId="273D469B" w14:textId="77777777" w:rsidR="00192982" w:rsidRPr="00EC250C" w:rsidRDefault="00192982" w:rsidP="006C70B7">
      <w:pPr>
        <w:pStyle w:val="Styl1"/>
        <w:numPr>
          <w:ilvl w:val="0"/>
          <w:numId w:val="98"/>
        </w:numPr>
      </w:pPr>
      <w:r w:rsidRPr="00EC250C">
        <w:rPr>
          <w:rStyle w:val="Hipercze"/>
          <w:rFonts w:eastAsia="Calibri"/>
          <w:color w:val="auto"/>
          <w:u w:val="none"/>
        </w:rPr>
        <w:t xml:space="preserve">Teresa </w:t>
      </w:r>
      <w:hyperlink r:id="rId42" w:history="1">
        <w:r w:rsidRPr="00EC250C">
          <w:rPr>
            <w:rStyle w:val="Hipercze"/>
            <w:rFonts w:eastAsia="Calibri"/>
            <w:color w:val="auto"/>
            <w:u w:val="none"/>
          </w:rPr>
          <w:t xml:space="preserve">Romer, </w:t>
        </w:r>
        <w:r w:rsidRPr="00EC250C">
          <w:t>SSN</w:t>
        </w:r>
        <w:r w:rsidR="00992FD0" w:rsidRPr="00EC250C">
          <w:t xml:space="preserve"> w </w:t>
        </w:r>
        <w:r w:rsidRPr="00EC250C">
          <w:t>stanie spoczynku</w:t>
        </w:r>
        <w:r w:rsidRPr="00EC250C">
          <w:rPr>
            <w:rStyle w:val="Hipercze"/>
            <w:rFonts w:eastAsia="Calibri"/>
            <w:color w:val="auto"/>
            <w:u w:val="none"/>
          </w:rPr>
          <w:t xml:space="preserve"> </w:t>
        </w:r>
      </w:hyperlink>
    </w:p>
    <w:p w14:paraId="74CA672C" w14:textId="77777777" w:rsidR="00192982" w:rsidRPr="00EC250C" w:rsidRDefault="00744B2D" w:rsidP="006C70B7">
      <w:pPr>
        <w:pStyle w:val="Styl1"/>
        <w:numPr>
          <w:ilvl w:val="0"/>
          <w:numId w:val="98"/>
        </w:numPr>
      </w:pPr>
      <w:hyperlink r:id="rId43" w:history="1">
        <w:r w:rsidR="00192982" w:rsidRPr="00EC250C">
          <w:rPr>
            <w:rStyle w:val="Hipercze"/>
            <w:rFonts w:eastAsia="Calibri"/>
            <w:color w:val="auto"/>
            <w:u w:val="none"/>
          </w:rPr>
          <w:t>Andrzej</w:t>
        </w:r>
      </w:hyperlink>
      <w:r w:rsidR="00192982" w:rsidRPr="00EC250C">
        <w:rPr>
          <w:rFonts w:eastAsia="Calibri"/>
        </w:rPr>
        <w:t xml:space="preserve"> </w:t>
      </w:r>
      <w:r w:rsidR="00192982" w:rsidRPr="00EC250C">
        <w:rPr>
          <w:rStyle w:val="Hipercze"/>
          <w:rFonts w:eastAsia="Calibri"/>
          <w:color w:val="auto"/>
          <w:u w:val="none"/>
        </w:rPr>
        <w:t>Rosner</w:t>
      </w:r>
    </w:p>
    <w:p w14:paraId="13E4EC09" w14:textId="77777777" w:rsidR="00192982" w:rsidRPr="00EC250C" w:rsidRDefault="00192982" w:rsidP="006C70B7">
      <w:pPr>
        <w:pStyle w:val="Styl1"/>
        <w:numPr>
          <w:ilvl w:val="0"/>
          <w:numId w:val="98"/>
        </w:numPr>
      </w:pPr>
      <w:r w:rsidRPr="00EC250C">
        <w:rPr>
          <w:rStyle w:val="Hipercze"/>
          <w:rFonts w:eastAsia="Calibri"/>
          <w:color w:val="auto"/>
          <w:u w:val="none"/>
        </w:rPr>
        <w:t xml:space="preserve">Monika </w:t>
      </w:r>
      <w:hyperlink r:id="rId44" w:history="1">
        <w:r w:rsidRPr="00EC250C">
          <w:rPr>
            <w:rStyle w:val="Hipercze"/>
            <w:rFonts w:eastAsia="Calibri"/>
            <w:color w:val="auto"/>
            <w:u w:val="none"/>
          </w:rPr>
          <w:t xml:space="preserve">Sajkowska </w:t>
        </w:r>
      </w:hyperlink>
    </w:p>
    <w:p w14:paraId="503FE238" w14:textId="77777777" w:rsidR="00192982" w:rsidRPr="00EC250C" w:rsidRDefault="00744B2D" w:rsidP="006C70B7">
      <w:pPr>
        <w:pStyle w:val="Styl1"/>
        <w:numPr>
          <w:ilvl w:val="0"/>
          <w:numId w:val="98"/>
        </w:numPr>
      </w:pPr>
      <w:hyperlink r:id="rId45" w:history="1">
        <w:r w:rsidR="00192982" w:rsidRPr="00EC250C">
          <w:rPr>
            <w:rStyle w:val="Hipercze"/>
            <w:rFonts w:eastAsia="Calibri"/>
            <w:color w:val="auto"/>
            <w:u w:val="none"/>
          </w:rPr>
          <w:t>Ks. Marian</w:t>
        </w:r>
      </w:hyperlink>
      <w:r w:rsidR="00192982" w:rsidRPr="00EC250C">
        <w:rPr>
          <w:rFonts w:eastAsia="Calibri"/>
        </w:rPr>
        <w:t xml:space="preserve"> </w:t>
      </w:r>
      <w:r w:rsidR="00192982" w:rsidRPr="00EC250C">
        <w:rPr>
          <w:rStyle w:val="Hipercze"/>
          <w:rFonts w:eastAsia="Calibri"/>
          <w:color w:val="auto"/>
          <w:u w:val="none"/>
        </w:rPr>
        <w:t>Subocz</w:t>
      </w:r>
    </w:p>
    <w:p w14:paraId="3DD66D17" w14:textId="77777777" w:rsidR="00192982" w:rsidRPr="00EC250C" w:rsidRDefault="00744B2D" w:rsidP="006C70B7">
      <w:pPr>
        <w:pStyle w:val="Styl1"/>
        <w:numPr>
          <w:ilvl w:val="0"/>
          <w:numId w:val="98"/>
        </w:numPr>
      </w:pPr>
      <w:hyperlink r:id="rId46" w:history="1">
        <w:r w:rsidR="00192982" w:rsidRPr="00EC250C">
          <w:rPr>
            <w:rStyle w:val="Hipercze"/>
            <w:rFonts w:eastAsia="Calibri"/>
            <w:color w:val="auto"/>
            <w:u w:val="none"/>
          </w:rPr>
          <w:t>Jacek</w:t>
        </w:r>
      </w:hyperlink>
      <w:r w:rsidR="00192982" w:rsidRPr="00EC250C">
        <w:rPr>
          <w:rFonts w:eastAsia="Calibri"/>
        </w:rPr>
        <w:t xml:space="preserve"> </w:t>
      </w:r>
      <w:r w:rsidR="00192982" w:rsidRPr="00EC250C">
        <w:rPr>
          <w:rStyle w:val="Hipercze"/>
          <w:rFonts w:eastAsia="Calibri"/>
          <w:color w:val="auto"/>
          <w:u w:val="none"/>
        </w:rPr>
        <w:t>Taylor</w:t>
      </w:r>
    </w:p>
    <w:p w14:paraId="6623D0AA" w14:textId="77777777" w:rsidR="00192982" w:rsidRPr="00EC250C" w:rsidRDefault="00744B2D" w:rsidP="006C70B7">
      <w:pPr>
        <w:pStyle w:val="Styl1"/>
        <w:numPr>
          <w:ilvl w:val="0"/>
          <w:numId w:val="98"/>
        </w:numPr>
      </w:pPr>
      <w:hyperlink r:id="rId47" w:history="1">
        <w:r w:rsidR="00192982" w:rsidRPr="00EC250C">
          <w:rPr>
            <w:rStyle w:val="Hipercze"/>
            <w:rFonts w:eastAsia="Calibri"/>
            <w:color w:val="auto"/>
            <w:u w:val="none"/>
          </w:rPr>
          <w:t>Marian</w:t>
        </w:r>
      </w:hyperlink>
      <w:r w:rsidR="00192982" w:rsidRPr="00EC250C">
        <w:rPr>
          <w:rFonts w:eastAsia="Calibri"/>
        </w:rPr>
        <w:t xml:space="preserve"> </w:t>
      </w:r>
      <w:r w:rsidR="00192982" w:rsidRPr="00EC250C">
        <w:rPr>
          <w:rStyle w:val="Hipercze"/>
          <w:rFonts w:eastAsia="Calibri"/>
          <w:color w:val="auto"/>
          <w:u w:val="none"/>
        </w:rPr>
        <w:t>Turski</w:t>
      </w:r>
    </w:p>
    <w:p w14:paraId="0708E446" w14:textId="77777777" w:rsidR="00192982" w:rsidRPr="00EC250C" w:rsidRDefault="00192982" w:rsidP="006C70B7">
      <w:pPr>
        <w:pStyle w:val="Styl1"/>
        <w:numPr>
          <w:ilvl w:val="0"/>
          <w:numId w:val="98"/>
        </w:numPr>
      </w:pPr>
      <w:r w:rsidRPr="00EC250C">
        <w:rPr>
          <w:rStyle w:val="Hipercze"/>
          <w:rFonts w:eastAsia="Calibri"/>
          <w:color w:val="auto"/>
          <w:u w:val="none"/>
        </w:rPr>
        <w:t xml:space="preserve">Henryk </w:t>
      </w:r>
      <w:hyperlink r:id="rId48" w:history="1">
        <w:r w:rsidRPr="00EC250C">
          <w:rPr>
            <w:rStyle w:val="Hipercze"/>
            <w:rFonts w:eastAsia="Calibri"/>
            <w:color w:val="auto"/>
            <w:u w:val="none"/>
          </w:rPr>
          <w:t>Wujec</w:t>
        </w:r>
      </w:hyperlink>
    </w:p>
    <w:p w14:paraId="7B2A1516" w14:textId="77777777" w:rsidR="00192982" w:rsidRPr="00EC250C" w:rsidRDefault="00192982" w:rsidP="00EC250C">
      <w:pPr>
        <w:pStyle w:val="Styl1"/>
        <w:numPr>
          <w:ilvl w:val="0"/>
          <w:numId w:val="98"/>
        </w:numPr>
        <w:jc w:val="left"/>
      </w:pPr>
      <w:r w:rsidRPr="00EC250C">
        <w:rPr>
          <w:rStyle w:val="Hipercze"/>
          <w:rFonts w:eastAsia="Calibri"/>
          <w:color w:val="auto"/>
          <w:u w:val="none"/>
        </w:rPr>
        <w:t>p</w:t>
      </w:r>
      <w:r w:rsidRPr="00EC250C">
        <w:t>rof. nadz. dr. hab.</w:t>
      </w:r>
      <w:r w:rsidRPr="00EC250C">
        <w:rPr>
          <w:rStyle w:val="Hipercze"/>
          <w:rFonts w:eastAsia="Calibri"/>
          <w:color w:val="auto"/>
          <w:u w:val="none"/>
        </w:rPr>
        <w:t xml:space="preserve"> Mirosław </w:t>
      </w:r>
      <w:hyperlink r:id="rId49" w:history="1">
        <w:r w:rsidRPr="00EC250C">
          <w:rPr>
            <w:rStyle w:val="Hipercze"/>
            <w:rFonts w:eastAsia="Calibri"/>
            <w:color w:val="auto"/>
            <w:u w:val="none"/>
          </w:rPr>
          <w:t xml:space="preserve">Wyrzykowski </w:t>
        </w:r>
      </w:hyperlink>
    </w:p>
    <w:p w14:paraId="1877EE05" w14:textId="77777777" w:rsidR="00192982" w:rsidRPr="00EC250C" w:rsidRDefault="00192982" w:rsidP="006C70B7">
      <w:pPr>
        <w:pStyle w:val="Styl1"/>
        <w:numPr>
          <w:ilvl w:val="0"/>
          <w:numId w:val="98"/>
        </w:numPr>
      </w:pPr>
      <w:r w:rsidRPr="00EC250C">
        <w:t>Dariusz Supeł, BRPO – sekretarz</w:t>
      </w:r>
    </w:p>
    <w:p w14:paraId="4BF30790" w14:textId="77777777" w:rsidR="00C73FDE" w:rsidRPr="00EC250C" w:rsidRDefault="00C73FDE" w:rsidP="00EC250C">
      <w:pPr>
        <w:pStyle w:val="Nagwek5"/>
        <w:sectPr w:rsidR="00C73FDE" w:rsidRPr="00EC250C" w:rsidSect="00FC47F2">
          <w:type w:val="continuous"/>
          <w:pgSz w:w="11907" w:h="16840"/>
          <w:pgMar w:top="1418" w:right="1418" w:bottom="1418" w:left="1276" w:header="567" w:footer="567" w:gutter="0"/>
          <w:cols w:num="2" w:space="708"/>
          <w:titlePg/>
          <w:docGrid w:linePitch="354"/>
        </w:sectPr>
      </w:pPr>
      <w:bookmarkStart w:id="852" w:name="GDANSK"/>
      <w:bookmarkEnd w:id="852"/>
    </w:p>
    <w:p w14:paraId="4575FFAC" w14:textId="77777777" w:rsidR="00C73FDE" w:rsidRPr="00EC250C" w:rsidRDefault="00C73FDE" w:rsidP="00D131FA">
      <w:pPr>
        <w:spacing w:after="200" w:line="24" w:lineRule="auto"/>
        <w:jc w:val="both"/>
        <w:rPr>
          <w:rFonts w:eastAsiaTheme="majorEastAsia"/>
          <w:b/>
          <w:bCs/>
          <w:i/>
          <w:iCs/>
          <w:color w:val="18223E"/>
          <w:spacing w:val="5"/>
          <w:sz w:val="28"/>
          <w:szCs w:val="28"/>
          <w:bdr w:val="none" w:sz="0" w:space="0" w:color="auto" w:frame="1"/>
          <w:lang w:eastAsia="en-US" w:bidi="hi-IN"/>
        </w:rPr>
      </w:pPr>
      <w:r w:rsidRPr="00EC250C">
        <w:rPr>
          <w:sz w:val="24"/>
        </w:rPr>
        <w:br w:type="page"/>
      </w:r>
    </w:p>
    <w:p w14:paraId="5ADE3396" w14:textId="77777777" w:rsidR="00192982" w:rsidRPr="00EC250C" w:rsidRDefault="00192982" w:rsidP="00EC250C">
      <w:pPr>
        <w:pStyle w:val="Nagwek5"/>
      </w:pPr>
      <w:r w:rsidRPr="00EC250C">
        <w:lastRenderedPageBreak/>
        <w:t>Rada Społeczna</w:t>
      </w:r>
      <w:r w:rsidR="00992FD0" w:rsidRPr="00EC250C">
        <w:t xml:space="preserve"> w </w:t>
      </w:r>
      <w:r w:rsidRPr="00EC250C">
        <w:t>Gdańsku</w:t>
      </w:r>
    </w:p>
    <w:p w14:paraId="196DF3FC" w14:textId="77777777" w:rsidR="00192982" w:rsidRPr="00EC250C" w:rsidRDefault="00192982" w:rsidP="00D131FA">
      <w:pPr>
        <w:pStyle w:val="Styl1"/>
      </w:pPr>
      <w:r w:rsidRPr="00EC250C">
        <w:t>Inauguracja działalności</w:t>
      </w:r>
      <w:r w:rsidR="00026572" w:rsidRPr="00EC250C">
        <w:t xml:space="preserve"> – </w:t>
      </w:r>
      <w:r w:rsidRPr="00EC250C">
        <w:t>luty 2019</w:t>
      </w:r>
    </w:p>
    <w:p w14:paraId="2A35D301" w14:textId="77777777" w:rsidR="00C73FDE" w:rsidRPr="00EC250C" w:rsidRDefault="00C73FDE" w:rsidP="006C70B7">
      <w:pPr>
        <w:pStyle w:val="Styl1"/>
        <w:numPr>
          <w:ilvl w:val="0"/>
          <w:numId w:val="99"/>
        </w:numPr>
        <w:sectPr w:rsidR="00C73FDE" w:rsidRPr="00EC250C" w:rsidSect="00FC47F2">
          <w:type w:val="continuous"/>
          <w:pgSz w:w="11907" w:h="16840"/>
          <w:pgMar w:top="1418" w:right="1418" w:bottom="1418" w:left="1276" w:header="567" w:footer="567" w:gutter="0"/>
          <w:cols w:space="708"/>
          <w:titlePg/>
          <w:docGrid w:linePitch="354"/>
        </w:sectPr>
      </w:pPr>
    </w:p>
    <w:p w14:paraId="6DEC99A3" w14:textId="77777777" w:rsidR="00192982" w:rsidRPr="00EC250C" w:rsidRDefault="00192982" w:rsidP="006C70B7">
      <w:pPr>
        <w:pStyle w:val="Styl1"/>
        <w:numPr>
          <w:ilvl w:val="0"/>
          <w:numId w:val="99"/>
        </w:numPr>
      </w:pPr>
      <w:r w:rsidRPr="00EC250C">
        <w:t>Marta Abramowicz</w:t>
      </w:r>
    </w:p>
    <w:p w14:paraId="28CEFEF9" w14:textId="77777777" w:rsidR="00192982" w:rsidRPr="00EC250C" w:rsidRDefault="00192982" w:rsidP="006C70B7">
      <w:pPr>
        <w:pStyle w:val="Styl1"/>
        <w:numPr>
          <w:ilvl w:val="0"/>
          <w:numId w:val="99"/>
        </w:numPr>
      </w:pPr>
      <w:r w:rsidRPr="00EC250C">
        <w:t>Jerzy Boczoń</w:t>
      </w:r>
    </w:p>
    <w:p w14:paraId="28185A92" w14:textId="77777777" w:rsidR="00192982" w:rsidRPr="00EC250C" w:rsidRDefault="00192982" w:rsidP="006C70B7">
      <w:pPr>
        <w:pStyle w:val="Styl1"/>
        <w:numPr>
          <w:ilvl w:val="0"/>
          <w:numId w:val="99"/>
        </w:numPr>
      </w:pPr>
      <w:r w:rsidRPr="00EC250C">
        <w:t>Marek Kamiński</w:t>
      </w:r>
    </w:p>
    <w:p w14:paraId="49574AC9" w14:textId="77777777" w:rsidR="00192982" w:rsidRPr="00EC250C" w:rsidRDefault="00192982" w:rsidP="006C70B7">
      <w:pPr>
        <w:pStyle w:val="Styl1"/>
        <w:numPr>
          <w:ilvl w:val="0"/>
          <w:numId w:val="99"/>
        </w:numPr>
      </w:pPr>
      <w:r w:rsidRPr="00EC250C">
        <w:t>Basil Kerski</w:t>
      </w:r>
    </w:p>
    <w:p w14:paraId="34DCE041" w14:textId="77777777" w:rsidR="00192982" w:rsidRPr="00EC250C" w:rsidRDefault="00192982" w:rsidP="006C70B7">
      <w:pPr>
        <w:pStyle w:val="Styl1"/>
        <w:numPr>
          <w:ilvl w:val="0"/>
          <w:numId w:val="99"/>
        </w:numPr>
      </w:pPr>
      <w:r w:rsidRPr="00EC250C">
        <w:t>Sławina Kosmulska</w:t>
      </w:r>
    </w:p>
    <w:p w14:paraId="1893F249" w14:textId="77777777" w:rsidR="00192982" w:rsidRPr="00EC250C" w:rsidRDefault="00192982" w:rsidP="006C70B7">
      <w:pPr>
        <w:pStyle w:val="Styl1"/>
        <w:numPr>
          <w:ilvl w:val="0"/>
          <w:numId w:val="99"/>
        </w:numPr>
      </w:pPr>
      <w:r w:rsidRPr="00EC250C">
        <w:t>mjr. Waldemar Kowalski</w:t>
      </w:r>
    </w:p>
    <w:p w14:paraId="7EC297BC" w14:textId="77777777" w:rsidR="00192982" w:rsidRPr="00EC250C" w:rsidRDefault="00192982" w:rsidP="006C70B7">
      <w:pPr>
        <w:pStyle w:val="Styl1"/>
        <w:numPr>
          <w:ilvl w:val="0"/>
          <w:numId w:val="99"/>
        </w:numPr>
      </w:pPr>
      <w:r w:rsidRPr="00EC250C">
        <w:t>dr Piotr Kuropatwiński</w:t>
      </w:r>
    </w:p>
    <w:p w14:paraId="0A43F080" w14:textId="77777777" w:rsidR="00192982" w:rsidRPr="00EC250C" w:rsidRDefault="00192982" w:rsidP="006C70B7">
      <w:pPr>
        <w:pStyle w:val="Styl1"/>
        <w:numPr>
          <w:ilvl w:val="0"/>
          <w:numId w:val="99"/>
        </w:numPr>
      </w:pPr>
      <w:r w:rsidRPr="00EC250C">
        <w:t>Lawrence Okey Ugwu</w:t>
      </w:r>
    </w:p>
    <w:p w14:paraId="6B6E12DF" w14:textId="77777777" w:rsidR="00192982" w:rsidRPr="00EC250C" w:rsidRDefault="00192982" w:rsidP="00EC250C">
      <w:pPr>
        <w:pStyle w:val="Styl1"/>
        <w:numPr>
          <w:ilvl w:val="0"/>
          <w:numId w:val="99"/>
        </w:numPr>
        <w:jc w:val="left"/>
      </w:pPr>
      <w:r w:rsidRPr="00EC250C">
        <w:t>prof. zw. dr. hab. Cezary Olbracht-Prondzyński</w:t>
      </w:r>
    </w:p>
    <w:p w14:paraId="78D6F3F0" w14:textId="77777777" w:rsidR="00192982" w:rsidRPr="00EC250C" w:rsidRDefault="00192982" w:rsidP="006C70B7">
      <w:pPr>
        <w:pStyle w:val="Styl1"/>
        <w:numPr>
          <w:ilvl w:val="0"/>
          <w:numId w:val="99"/>
        </w:numPr>
      </w:pPr>
      <w:r w:rsidRPr="00EC250C">
        <w:t>Łukasz Ossowski</w:t>
      </w:r>
    </w:p>
    <w:p w14:paraId="69593300" w14:textId="77777777" w:rsidR="00192982" w:rsidRPr="00EC250C" w:rsidRDefault="00192982" w:rsidP="006C70B7">
      <w:pPr>
        <w:pStyle w:val="Styl1"/>
        <w:numPr>
          <w:ilvl w:val="0"/>
          <w:numId w:val="99"/>
        </w:numPr>
      </w:pPr>
      <w:r w:rsidRPr="00EC250C">
        <w:t>Małgorzata Rybicka</w:t>
      </w:r>
    </w:p>
    <w:p w14:paraId="1E0667BC" w14:textId="77777777" w:rsidR="00192982" w:rsidRPr="00EC250C" w:rsidRDefault="00192982" w:rsidP="006C70B7">
      <w:pPr>
        <w:pStyle w:val="Styl1"/>
        <w:numPr>
          <w:ilvl w:val="0"/>
          <w:numId w:val="99"/>
        </w:numPr>
      </w:pPr>
      <w:r w:rsidRPr="00EC250C">
        <w:t>dr Zbigniew Szczurek</w:t>
      </w:r>
    </w:p>
    <w:p w14:paraId="76C65DE0" w14:textId="77777777" w:rsidR="00192982" w:rsidRPr="00EC250C" w:rsidRDefault="00192982" w:rsidP="006C70B7">
      <w:pPr>
        <w:pStyle w:val="Styl1"/>
        <w:numPr>
          <w:ilvl w:val="0"/>
          <w:numId w:val="99"/>
        </w:numPr>
      </w:pPr>
      <w:r w:rsidRPr="00EC250C">
        <w:t>prof. dr hab. Bogdan Wojciszke</w:t>
      </w:r>
    </w:p>
    <w:p w14:paraId="330C5EA0" w14:textId="77777777" w:rsidR="00192982" w:rsidRPr="00EC250C" w:rsidRDefault="00192982" w:rsidP="006C70B7">
      <w:pPr>
        <w:pStyle w:val="Styl1"/>
        <w:numPr>
          <w:ilvl w:val="0"/>
          <w:numId w:val="99"/>
        </w:numPr>
      </w:pPr>
      <w:r w:rsidRPr="00EC250C">
        <w:t>dr hab. inż. arch. Marek Wysocki, prof.. Politechniki Gdańskiej</w:t>
      </w:r>
    </w:p>
    <w:p w14:paraId="7C96EA87" w14:textId="77777777" w:rsidR="00192982" w:rsidRPr="00EC250C" w:rsidRDefault="00192982" w:rsidP="006C70B7">
      <w:pPr>
        <w:pStyle w:val="Styl1"/>
        <w:numPr>
          <w:ilvl w:val="0"/>
          <w:numId w:val="99"/>
        </w:numPr>
      </w:pPr>
      <w:r w:rsidRPr="00EC250C">
        <w:t>prof. dr hab. Jerzy Zajadło</w:t>
      </w:r>
    </w:p>
    <w:p w14:paraId="44B0250B" w14:textId="77777777" w:rsidR="00192982" w:rsidRPr="00EC250C" w:rsidRDefault="00192982" w:rsidP="006C70B7">
      <w:pPr>
        <w:pStyle w:val="Styl1"/>
        <w:numPr>
          <w:ilvl w:val="0"/>
          <w:numId w:val="99"/>
        </w:numPr>
      </w:pPr>
      <w:r w:rsidRPr="00EC250C">
        <w:t>Karolina Goldstrom, BRPO – sekretarz</w:t>
      </w:r>
    </w:p>
    <w:p w14:paraId="3489F555" w14:textId="77777777" w:rsidR="00C73FDE" w:rsidRPr="00EC250C" w:rsidRDefault="00C73FDE" w:rsidP="00EC250C">
      <w:pPr>
        <w:pStyle w:val="Nagwek5"/>
        <w:sectPr w:rsidR="00C73FDE" w:rsidRPr="00EC250C" w:rsidSect="00FC47F2">
          <w:type w:val="continuous"/>
          <w:pgSz w:w="11907" w:h="16840"/>
          <w:pgMar w:top="1418" w:right="1418" w:bottom="1418" w:left="1276" w:header="567" w:footer="567" w:gutter="0"/>
          <w:cols w:num="2" w:space="708"/>
          <w:titlePg/>
          <w:docGrid w:linePitch="354"/>
        </w:sectPr>
      </w:pPr>
      <w:bookmarkStart w:id="853" w:name="KATOWICE"/>
      <w:bookmarkEnd w:id="853"/>
    </w:p>
    <w:p w14:paraId="2B958BA8" w14:textId="77777777" w:rsidR="00192982" w:rsidRPr="00EC250C" w:rsidRDefault="00192982" w:rsidP="00EC250C">
      <w:pPr>
        <w:pStyle w:val="Nagwek5"/>
      </w:pPr>
      <w:r w:rsidRPr="00EC250C">
        <w:t>Rada Społeczna</w:t>
      </w:r>
      <w:r w:rsidR="00992FD0" w:rsidRPr="00EC250C">
        <w:t xml:space="preserve"> w </w:t>
      </w:r>
      <w:r w:rsidRPr="00EC250C">
        <w:t>Katowicach</w:t>
      </w:r>
    </w:p>
    <w:p w14:paraId="231B7457" w14:textId="77777777" w:rsidR="00192982" w:rsidRPr="00EC250C" w:rsidRDefault="00192982" w:rsidP="00D131FA">
      <w:pPr>
        <w:pStyle w:val="Styl1"/>
      </w:pPr>
      <w:r w:rsidRPr="00EC250C">
        <w:t>Inauguracja działalności</w:t>
      </w:r>
      <w:r w:rsidR="00026572" w:rsidRPr="00EC250C">
        <w:t xml:space="preserve"> – </w:t>
      </w:r>
      <w:r w:rsidRPr="00EC250C">
        <w:t>styczeń 2019</w:t>
      </w:r>
    </w:p>
    <w:p w14:paraId="6F4AEBF1" w14:textId="77777777" w:rsidR="00C73FDE" w:rsidRPr="00EC250C" w:rsidRDefault="00C73FDE" w:rsidP="006C70B7">
      <w:pPr>
        <w:pStyle w:val="Styl1"/>
        <w:numPr>
          <w:ilvl w:val="0"/>
          <w:numId w:val="100"/>
        </w:numPr>
        <w:sectPr w:rsidR="00C73FDE" w:rsidRPr="00EC250C" w:rsidSect="00FC47F2">
          <w:type w:val="continuous"/>
          <w:pgSz w:w="11907" w:h="16840"/>
          <w:pgMar w:top="1418" w:right="1418" w:bottom="1418" w:left="1276" w:header="567" w:footer="567" w:gutter="0"/>
          <w:cols w:space="708"/>
          <w:titlePg/>
          <w:docGrid w:linePitch="354"/>
        </w:sectPr>
      </w:pPr>
    </w:p>
    <w:p w14:paraId="284A818D" w14:textId="77777777" w:rsidR="00192982" w:rsidRPr="00EC250C" w:rsidRDefault="00192982" w:rsidP="006C70B7">
      <w:pPr>
        <w:pStyle w:val="Styl1"/>
        <w:numPr>
          <w:ilvl w:val="0"/>
          <w:numId w:val="100"/>
        </w:numPr>
      </w:pPr>
      <w:r w:rsidRPr="00EC250C">
        <w:t>Alicja Bartuś</w:t>
      </w:r>
    </w:p>
    <w:p w14:paraId="4D58C195" w14:textId="77777777" w:rsidR="00192982" w:rsidRPr="00EC250C" w:rsidRDefault="00192982" w:rsidP="006C70B7">
      <w:pPr>
        <w:pStyle w:val="Styl1"/>
        <w:numPr>
          <w:ilvl w:val="0"/>
          <w:numId w:val="100"/>
        </w:numPr>
      </w:pPr>
      <w:r w:rsidRPr="00EC250C">
        <w:t>prof. dr. hab. Andrzej Bochenek</w:t>
      </w:r>
    </w:p>
    <w:p w14:paraId="61075648" w14:textId="77777777" w:rsidR="00192982" w:rsidRPr="00EC250C" w:rsidRDefault="00192982" w:rsidP="006C70B7">
      <w:pPr>
        <w:pStyle w:val="Styl1"/>
        <w:numPr>
          <w:ilvl w:val="0"/>
          <w:numId w:val="100"/>
        </w:numPr>
      </w:pPr>
      <w:r w:rsidRPr="00EC250C">
        <w:t>Alicja Knast</w:t>
      </w:r>
    </w:p>
    <w:p w14:paraId="7185EA3C" w14:textId="77777777" w:rsidR="00192982" w:rsidRPr="00EC250C" w:rsidRDefault="00192982" w:rsidP="006C70B7">
      <w:pPr>
        <w:pStyle w:val="Styl1"/>
        <w:numPr>
          <w:ilvl w:val="0"/>
          <w:numId w:val="100"/>
        </w:numPr>
      </w:pPr>
      <w:r w:rsidRPr="00EC250C">
        <w:t>Tomasz Kołodziejczyk</w:t>
      </w:r>
    </w:p>
    <w:p w14:paraId="3977F715" w14:textId="77777777" w:rsidR="00192982" w:rsidRPr="00EC250C" w:rsidRDefault="00192982" w:rsidP="006C70B7">
      <w:pPr>
        <w:pStyle w:val="Styl1"/>
        <w:numPr>
          <w:ilvl w:val="0"/>
          <w:numId w:val="100"/>
        </w:numPr>
      </w:pPr>
      <w:r w:rsidRPr="00EC250C">
        <w:t>Robert Konieczny</w:t>
      </w:r>
    </w:p>
    <w:p w14:paraId="4A4EC110" w14:textId="77777777" w:rsidR="00192982" w:rsidRPr="00EC250C" w:rsidRDefault="00192982" w:rsidP="006C70B7">
      <w:pPr>
        <w:pStyle w:val="Styl1"/>
        <w:numPr>
          <w:ilvl w:val="0"/>
          <w:numId w:val="100"/>
        </w:numPr>
      </w:pPr>
      <w:r w:rsidRPr="00EC250C">
        <w:t>Ewa Kusz</w:t>
      </w:r>
    </w:p>
    <w:p w14:paraId="4A5153E2" w14:textId="77777777" w:rsidR="00192982" w:rsidRPr="00EC250C" w:rsidRDefault="00192982" w:rsidP="006C70B7">
      <w:pPr>
        <w:pStyle w:val="Styl1"/>
        <w:numPr>
          <w:ilvl w:val="0"/>
          <w:numId w:val="100"/>
        </w:numPr>
      </w:pPr>
      <w:r w:rsidRPr="00EC250C">
        <w:t>Iwona Palka</w:t>
      </w:r>
    </w:p>
    <w:p w14:paraId="2D0BF379" w14:textId="77777777" w:rsidR="00192982" w:rsidRPr="00EC250C" w:rsidRDefault="00192982" w:rsidP="006C70B7">
      <w:pPr>
        <w:pStyle w:val="Styl1"/>
        <w:numPr>
          <w:ilvl w:val="0"/>
          <w:numId w:val="100"/>
        </w:numPr>
      </w:pPr>
      <w:r w:rsidRPr="00EC250C">
        <w:t>Anna Peterko</w:t>
      </w:r>
    </w:p>
    <w:p w14:paraId="3E8831CA" w14:textId="77777777" w:rsidR="00192982" w:rsidRPr="00EC250C" w:rsidRDefault="00192982" w:rsidP="006C70B7">
      <w:pPr>
        <w:pStyle w:val="Styl1"/>
        <w:numPr>
          <w:ilvl w:val="0"/>
          <w:numId w:val="100"/>
        </w:numPr>
      </w:pPr>
      <w:r w:rsidRPr="00EC250C">
        <w:t>dr. hab. prof. UŚ Tomasz Pietrzykowski</w:t>
      </w:r>
    </w:p>
    <w:p w14:paraId="09EADB24" w14:textId="77777777" w:rsidR="00192982" w:rsidRPr="00EC250C" w:rsidRDefault="00192982" w:rsidP="006C70B7">
      <w:pPr>
        <w:pStyle w:val="Styl1"/>
        <w:numPr>
          <w:ilvl w:val="0"/>
          <w:numId w:val="100"/>
        </w:numPr>
      </w:pPr>
      <w:r w:rsidRPr="00EC250C">
        <w:t>Anna Poraj</w:t>
      </w:r>
    </w:p>
    <w:p w14:paraId="11E5B5DE" w14:textId="77777777" w:rsidR="00192982" w:rsidRPr="00EC250C" w:rsidRDefault="00192982" w:rsidP="006C70B7">
      <w:pPr>
        <w:pStyle w:val="Styl1"/>
        <w:numPr>
          <w:ilvl w:val="0"/>
          <w:numId w:val="100"/>
        </w:numPr>
      </w:pPr>
      <w:r w:rsidRPr="00EC250C">
        <w:t>Wojciech Sarnowicz</w:t>
      </w:r>
    </w:p>
    <w:p w14:paraId="347ECB8F" w14:textId="77777777" w:rsidR="00192982" w:rsidRPr="00EC250C" w:rsidRDefault="00192982" w:rsidP="006C70B7">
      <w:pPr>
        <w:pStyle w:val="Styl1"/>
        <w:numPr>
          <w:ilvl w:val="0"/>
          <w:numId w:val="100"/>
        </w:numPr>
      </w:pPr>
      <w:r w:rsidRPr="00EC250C">
        <w:t>gen. Janusz Skulich</w:t>
      </w:r>
    </w:p>
    <w:p w14:paraId="7F53F27B" w14:textId="77777777" w:rsidR="00192982" w:rsidRPr="00EC250C" w:rsidRDefault="00192982" w:rsidP="006C70B7">
      <w:pPr>
        <w:pStyle w:val="Styl1"/>
        <w:numPr>
          <w:ilvl w:val="0"/>
          <w:numId w:val="100"/>
        </w:numPr>
      </w:pPr>
      <w:r w:rsidRPr="00EC250C">
        <w:t>prof. dr. hab. Tadeusz Sławek</w:t>
      </w:r>
    </w:p>
    <w:p w14:paraId="528A481A" w14:textId="77777777" w:rsidR="00192982" w:rsidRPr="00EC250C" w:rsidRDefault="00192982" w:rsidP="006C70B7">
      <w:pPr>
        <w:pStyle w:val="Styl1"/>
        <w:numPr>
          <w:ilvl w:val="0"/>
          <w:numId w:val="100"/>
        </w:numPr>
      </w:pPr>
      <w:r w:rsidRPr="00EC250C">
        <w:t>Anna Solińska</w:t>
      </w:r>
    </w:p>
    <w:p w14:paraId="1DFCEB2F" w14:textId="77777777" w:rsidR="00192982" w:rsidRPr="00EC250C" w:rsidRDefault="00192982" w:rsidP="006C70B7">
      <w:pPr>
        <w:pStyle w:val="Styl1"/>
        <w:numPr>
          <w:ilvl w:val="0"/>
          <w:numId w:val="100"/>
        </w:numPr>
      </w:pPr>
      <w:r w:rsidRPr="00EC250C">
        <w:t>dr Joanna Talewicz-Kwiatkowska</w:t>
      </w:r>
    </w:p>
    <w:p w14:paraId="0AD72678" w14:textId="77777777" w:rsidR="00192982" w:rsidRPr="00EC250C" w:rsidRDefault="00192982" w:rsidP="006C70B7">
      <w:pPr>
        <w:pStyle w:val="Styl1"/>
        <w:numPr>
          <w:ilvl w:val="0"/>
          <w:numId w:val="100"/>
        </w:numPr>
      </w:pPr>
      <w:r w:rsidRPr="00EC250C">
        <w:t>Paulina Zielińska, BRPO – sekretarz</w:t>
      </w:r>
    </w:p>
    <w:p w14:paraId="7AEB8C80" w14:textId="77777777" w:rsidR="00C73FDE" w:rsidRPr="00EC250C" w:rsidRDefault="00C73FDE" w:rsidP="00EC250C">
      <w:pPr>
        <w:pStyle w:val="Nagwek5"/>
        <w:sectPr w:rsidR="00C73FDE" w:rsidRPr="00EC250C" w:rsidSect="00FC47F2">
          <w:type w:val="continuous"/>
          <w:pgSz w:w="11907" w:h="16840"/>
          <w:pgMar w:top="1418" w:right="1418" w:bottom="1418" w:left="1276" w:header="567" w:footer="567" w:gutter="0"/>
          <w:cols w:num="2" w:space="708"/>
          <w:titlePg/>
          <w:docGrid w:linePitch="354"/>
        </w:sectPr>
      </w:pPr>
      <w:bookmarkStart w:id="854" w:name="WROCLAW"/>
      <w:bookmarkEnd w:id="854"/>
    </w:p>
    <w:p w14:paraId="397A1292" w14:textId="77777777" w:rsidR="00192982" w:rsidRPr="00EC250C" w:rsidRDefault="00192982" w:rsidP="00EC250C">
      <w:pPr>
        <w:pStyle w:val="Nagwek5"/>
      </w:pPr>
      <w:r w:rsidRPr="00EC250C">
        <w:t>Rada Społeczna we Wrocławiu</w:t>
      </w:r>
    </w:p>
    <w:p w14:paraId="1B273F7C" w14:textId="77777777" w:rsidR="00192982" w:rsidRPr="00EC250C" w:rsidRDefault="00192982" w:rsidP="00D131FA">
      <w:pPr>
        <w:pStyle w:val="Styl1"/>
      </w:pPr>
      <w:r w:rsidRPr="00EC250C">
        <w:t>Inauguracja działalności</w:t>
      </w:r>
      <w:r w:rsidR="00026572" w:rsidRPr="00EC250C">
        <w:t xml:space="preserve"> – </w:t>
      </w:r>
      <w:r w:rsidRPr="00EC250C">
        <w:t>listopad 2018</w:t>
      </w:r>
      <w:r w:rsidR="00C91F6E" w:rsidRPr="00EC250C">
        <w:t> r.</w:t>
      </w:r>
    </w:p>
    <w:p w14:paraId="4BBB46B9" w14:textId="77777777" w:rsidR="00C73FDE" w:rsidRPr="00EC250C" w:rsidRDefault="00C73FDE" w:rsidP="006C70B7">
      <w:pPr>
        <w:pStyle w:val="Styl1"/>
        <w:numPr>
          <w:ilvl w:val="0"/>
          <w:numId w:val="101"/>
        </w:numPr>
        <w:sectPr w:rsidR="00C73FDE" w:rsidRPr="00EC250C" w:rsidSect="00FC47F2">
          <w:type w:val="continuous"/>
          <w:pgSz w:w="11907" w:h="16840"/>
          <w:pgMar w:top="1418" w:right="1418" w:bottom="1418" w:left="1276" w:header="567" w:footer="567" w:gutter="0"/>
          <w:cols w:space="708"/>
          <w:titlePg/>
          <w:docGrid w:linePitch="354"/>
        </w:sectPr>
      </w:pPr>
    </w:p>
    <w:p w14:paraId="6A94F667" w14:textId="77777777" w:rsidR="00192982" w:rsidRPr="00EC250C" w:rsidRDefault="00192982" w:rsidP="006C70B7">
      <w:pPr>
        <w:pStyle w:val="Styl1"/>
        <w:numPr>
          <w:ilvl w:val="0"/>
          <w:numId w:val="101"/>
        </w:numPr>
      </w:pPr>
      <w:r w:rsidRPr="00EC250C">
        <w:t>Ks Jerzy Babiak</w:t>
      </w:r>
    </w:p>
    <w:p w14:paraId="6FBDCD65" w14:textId="77777777" w:rsidR="00192982" w:rsidRPr="00EC250C" w:rsidRDefault="00192982" w:rsidP="006C70B7">
      <w:pPr>
        <w:pStyle w:val="Styl1"/>
        <w:numPr>
          <w:ilvl w:val="0"/>
          <w:numId w:val="101"/>
        </w:numPr>
      </w:pPr>
      <w:r w:rsidRPr="00EC250C">
        <w:t>dr Ryszard Balicki</w:t>
      </w:r>
    </w:p>
    <w:p w14:paraId="5F7D7ED2" w14:textId="77777777" w:rsidR="00192982" w:rsidRPr="00EC250C" w:rsidRDefault="00192982" w:rsidP="006C70B7">
      <w:pPr>
        <w:pStyle w:val="Styl1"/>
        <w:numPr>
          <w:ilvl w:val="0"/>
          <w:numId w:val="101"/>
        </w:numPr>
      </w:pPr>
      <w:r w:rsidRPr="00EC250C">
        <w:t>Małgorzata Gorący;</w:t>
      </w:r>
    </w:p>
    <w:p w14:paraId="6C77241D" w14:textId="77777777" w:rsidR="00192982" w:rsidRPr="00EC250C" w:rsidRDefault="00192982" w:rsidP="006C70B7">
      <w:pPr>
        <w:pStyle w:val="Styl1"/>
        <w:numPr>
          <w:ilvl w:val="0"/>
          <w:numId w:val="101"/>
        </w:numPr>
      </w:pPr>
      <w:r w:rsidRPr="00EC250C">
        <w:t>Erazm Humienny</w:t>
      </w:r>
    </w:p>
    <w:p w14:paraId="31B166F8" w14:textId="77777777" w:rsidR="00192982" w:rsidRPr="00EC250C" w:rsidRDefault="00192982" w:rsidP="006C70B7">
      <w:pPr>
        <w:pStyle w:val="Styl1"/>
        <w:numPr>
          <w:ilvl w:val="0"/>
          <w:numId w:val="101"/>
        </w:numPr>
      </w:pPr>
      <w:r w:rsidRPr="00EC250C">
        <w:t>Konrad Imiela</w:t>
      </w:r>
    </w:p>
    <w:p w14:paraId="7DC80A70" w14:textId="77777777" w:rsidR="00192982" w:rsidRPr="00EC250C" w:rsidRDefault="00192982" w:rsidP="006C70B7">
      <w:pPr>
        <w:pStyle w:val="Styl1"/>
        <w:numPr>
          <w:ilvl w:val="0"/>
          <w:numId w:val="101"/>
        </w:numPr>
      </w:pPr>
      <w:r w:rsidRPr="00EC250C">
        <w:t>Lidia Lempart</w:t>
      </w:r>
    </w:p>
    <w:p w14:paraId="7E455C6D" w14:textId="77777777" w:rsidR="00192982" w:rsidRPr="00EC250C" w:rsidRDefault="00192982" w:rsidP="006C70B7">
      <w:pPr>
        <w:pStyle w:val="Styl1"/>
        <w:numPr>
          <w:ilvl w:val="0"/>
          <w:numId w:val="101"/>
        </w:numPr>
      </w:pPr>
      <w:r w:rsidRPr="00EC250C">
        <w:t>Justyna Mańkowska</w:t>
      </w:r>
    </w:p>
    <w:p w14:paraId="45F7B79C" w14:textId="77777777" w:rsidR="00192982" w:rsidRPr="00EC250C" w:rsidRDefault="00192982" w:rsidP="006C70B7">
      <w:pPr>
        <w:pStyle w:val="Styl1"/>
        <w:numPr>
          <w:ilvl w:val="0"/>
          <w:numId w:val="101"/>
        </w:numPr>
      </w:pPr>
      <w:r w:rsidRPr="00EC250C">
        <w:t>Karolina Mróz</w:t>
      </w:r>
    </w:p>
    <w:p w14:paraId="4B4BB8CF" w14:textId="77777777" w:rsidR="00192982" w:rsidRPr="00EC250C" w:rsidRDefault="00192982" w:rsidP="006C70B7">
      <w:pPr>
        <w:pStyle w:val="Styl1"/>
        <w:numPr>
          <w:ilvl w:val="0"/>
          <w:numId w:val="101"/>
        </w:numPr>
      </w:pPr>
      <w:r w:rsidRPr="00EC250C">
        <w:t>Ks. Robert Sitarek</w:t>
      </w:r>
    </w:p>
    <w:p w14:paraId="32FDAE93" w14:textId="77777777" w:rsidR="00192982" w:rsidRPr="00EC250C" w:rsidRDefault="00192982" w:rsidP="006C70B7">
      <w:pPr>
        <w:pStyle w:val="Styl1"/>
        <w:numPr>
          <w:ilvl w:val="0"/>
          <w:numId w:val="101"/>
        </w:numPr>
      </w:pPr>
      <w:r w:rsidRPr="00EC250C">
        <w:t>Jan Surma, SSA</w:t>
      </w:r>
      <w:r w:rsidR="00992FD0" w:rsidRPr="00EC250C">
        <w:t xml:space="preserve"> w </w:t>
      </w:r>
      <w:r w:rsidRPr="00EC250C">
        <w:t>stanie spoczynku</w:t>
      </w:r>
    </w:p>
    <w:p w14:paraId="491EFAEB" w14:textId="77777777" w:rsidR="00192982" w:rsidRPr="00EC250C" w:rsidRDefault="00192982" w:rsidP="006C70B7">
      <w:pPr>
        <w:pStyle w:val="Styl1"/>
        <w:numPr>
          <w:ilvl w:val="0"/>
          <w:numId w:val="101"/>
        </w:numPr>
      </w:pPr>
      <w:r w:rsidRPr="00EC250C">
        <w:t>dr Anna Śledzińska-Simon</w:t>
      </w:r>
    </w:p>
    <w:p w14:paraId="448CE815" w14:textId="77777777" w:rsidR="00192982" w:rsidRPr="00EC250C" w:rsidRDefault="00192982" w:rsidP="006C70B7">
      <w:pPr>
        <w:pStyle w:val="Styl1"/>
        <w:numPr>
          <w:ilvl w:val="0"/>
          <w:numId w:val="101"/>
        </w:numPr>
      </w:pPr>
      <w:r w:rsidRPr="00EC250C">
        <w:t>dr hab. prof. UWr Magdalena Tabemacka</w:t>
      </w:r>
    </w:p>
    <w:p w14:paraId="6CB037E1" w14:textId="77777777" w:rsidR="00192982" w:rsidRPr="00EC250C" w:rsidRDefault="00192982" w:rsidP="006C70B7">
      <w:pPr>
        <w:pStyle w:val="Styl1"/>
        <w:numPr>
          <w:ilvl w:val="0"/>
          <w:numId w:val="101"/>
        </w:numPr>
      </w:pPr>
      <w:r w:rsidRPr="00EC250C">
        <w:t>Jose Torres</w:t>
      </w:r>
    </w:p>
    <w:p w14:paraId="3F5CB32A" w14:textId="77777777" w:rsidR="00192982" w:rsidRPr="00EC250C" w:rsidRDefault="00192982" w:rsidP="006C70B7">
      <w:pPr>
        <w:pStyle w:val="Styl1"/>
        <w:numPr>
          <w:ilvl w:val="0"/>
          <w:numId w:val="101"/>
        </w:numPr>
      </w:pPr>
      <w:r w:rsidRPr="00EC250C">
        <w:t>prof. dr hab. Janusz Trzciński</w:t>
      </w:r>
    </w:p>
    <w:p w14:paraId="625238FC" w14:textId="77777777" w:rsidR="00192982" w:rsidRPr="00EC250C" w:rsidRDefault="00192982" w:rsidP="006C70B7">
      <w:pPr>
        <w:pStyle w:val="Styl1"/>
        <w:numPr>
          <w:ilvl w:val="0"/>
          <w:numId w:val="101"/>
        </w:numPr>
      </w:pPr>
      <w:r w:rsidRPr="00EC250C">
        <w:t>Aleksandra Wilczura</w:t>
      </w:r>
    </w:p>
    <w:p w14:paraId="0760F683" w14:textId="77777777" w:rsidR="00192982" w:rsidRPr="00EC250C" w:rsidRDefault="00192982" w:rsidP="006C70B7">
      <w:pPr>
        <w:pStyle w:val="Styl1"/>
        <w:numPr>
          <w:ilvl w:val="0"/>
          <w:numId w:val="101"/>
        </w:numPr>
      </w:pPr>
      <w:r w:rsidRPr="00EC250C">
        <w:t>Artem Zozulia</w:t>
      </w:r>
    </w:p>
    <w:p w14:paraId="2DDDC6B3" w14:textId="77777777" w:rsidR="00192982" w:rsidRPr="00EC250C" w:rsidRDefault="00192982" w:rsidP="006C70B7">
      <w:pPr>
        <w:pStyle w:val="Styl1"/>
        <w:numPr>
          <w:ilvl w:val="0"/>
          <w:numId w:val="101"/>
        </w:numPr>
      </w:pPr>
      <w:r w:rsidRPr="00EC250C">
        <w:t>Emilia Kobiela, BRPO – sekretarz</w:t>
      </w:r>
    </w:p>
    <w:p w14:paraId="301C82F7" w14:textId="77777777" w:rsidR="00C73FDE" w:rsidRPr="00EC250C" w:rsidRDefault="00C73FDE" w:rsidP="00EC79EB">
      <w:pPr>
        <w:pStyle w:val="Nagwek4"/>
        <w:sectPr w:rsidR="00C73FDE" w:rsidRPr="00EC250C" w:rsidSect="00FC47F2">
          <w:type w:val="continuous"/>
          <w:pgSz w:w="11907" w:h="16840"/>
          <w:pgMar w:top="1418" w:right="1418" w:bottom="1418" w:left="1276" w:header="567" w:footer="567" w:gutter="0"/>
          <w:cols w:num="2" w:space="708"/>
          <w:titlePg/>
          <w:docGrid w:linePitch="354"/>
        </w:sectPr>
      </w:pPr>
    </w:p>
    <w:p w14:paraId="50D91193" w14:textId="77777777" w:rsidR="00C91F6E" w:rsidRPr="00EC250C" w:rsidRDefault="00192982" w:rsidP="00EC79EB">
      <w:pPr>
        <w:pStyle w:val="Nagwek4"/>
      </w:pPr>
      <w:bookmarkStart w:id="855" w:name="_Toc11247882"/>
      <w:r w:rsidRPr="00EC250C">
        <w:lastRenderedPageBreak/>
        <w:t>Komisje ekspertów</w:t>
      </w:r>
      <w:bookmarkEnd w:id="851"/>
      <w:bookmarkEnd w:id="855"/>
    </w:p>
    <w:p w14:paraId="3284180F" w14:textId="77777777" w:rsidR="00192982" w:rsidRPr="00EC250C" w:rsidRDefault="00192982" w:rsidP="00EC250C">
      <w:pPr>
        <w:pStyle w:val="Nagwek5"/>
      </w:pPr>
      <w:bookmarkStart w:id="856" w:name="_Toc6258054"/>
      <w:r w:rsidRPr="00EC250C">
        <w:t>A. Komisja Ekspertów ds. Przeciwdziałania Bezdomności</w:t>
      </w:r>
      <w:bookmarkEnd w:id="856"/>
    </w:p>
    <w:p w14:paraId="109BC142" w14:textId="77777777" w:rsidR="00B473F5" w:rsidRPr="00EC250C" w:rsidRDefault="00192982" w:rsidP="00D131FA">
      <w:pPr>
        <w:pStyle w:val="Problemczowieka"/>
        <w:jc w:val="both"/>
      </w:pPr>
      <w:r w:rsidRPr="00EC250C">
        <w:t>Zjawisko bezdomności jest powszechnie uznawane za najcięższą formę wykluczenia społecznego, wiąże się bowiem nie tylko</w:t>
      </w:r>
      <w:r w:rsidR="00992FD0" w:rsidRPr="00EC250C">
        <w:t xml:space="preserve"> z </w:t>
      </w:r>
      <w:r w:rsidRPr="00EC250C">
        <w:t>brakiem miejsca do mieszkania, ale także uniemożliwia prawidłowe funkcjonowanie</w:t>
      </w:r>
      <w:r w:rsidR="00992FD0" w:rsidRPr="00EC250C">
        <w:t xml:space="preserve"> w </w:t>
      </w:r>
      <w:r w:rsidRPr="00EC250C">
        <w:t>społeczeństwie</w:t>
      </w:r>
      <w:r w:rsidR="00992FD0" w:rsidRPr="00EC250C">
        <w:t xml:space="preserve"> i </w:t>
      </w:r>
      <w:r w:rsidRPr="00EC250C">
        <w:t>prowadzi do stygmatyzacji. Przeciwdziałanie bezdomności stało się jednym</w:t>
      </w:r>
      <w:r w:rsidR="00992FD0" w:rsidRPr="00EC250C">
        <w:t xml:space="preserve"> z </w:t>
      </w:r>
      <w:r w:rsidRPr="00EC250C">
        <w:t>priorytetów Rzecznika obecnej kadencji</w:t>
      </w:r>
      <w:r w:rsidR="00536275" w:rsidRPr="00EC250C">
        <w:t>,</w:t>
      </w:r>
      <w:r w:rsidR="00992FD0" w:rsidRPr="00EC250C">
        <w:t xml:space="preserve"> a </w:t>
      </w:r>
      <w:r w:rsidR="00536275" w:rsidRPr="00EC250C">
        <w:t>wspiera go</w:t>
      </w:r>
      <w:r w:rsidR="00992FD0" w:rsidRPr="00EC250C">
        <w:t xml:space="preserve"> w </w:t>
      </w:r>
      <w:r w:rsidR="00536275" w:rsidRPr="00EC250C">
        <w:t xml:space="preserve">tym </w:t>
      </w:r>
      <w:r w:rsidRPr="00EC250C">
        <w:t>Komisj</w:t>
      </w:r>
      <w:r w:rsidR="00536275" w:rsidRPr="00EC250C">
        <w:t>a</w:t>
      </w:r>
      <w:r w:rsidRPr="00EC250C">
        <w:t xml:space="preserve"> Ekspertów ds. Przeciwdziałania Bezdomności</w:t>
      </w:r>
      <w:r w:rsidR="00B473F5" w:rsidRPr="00EC250C">
        <w:t>.</w:t>
      </w:r>
    </w:p>
    <w:p w14:paraId="4251B13B" w14:textId="77777777" w:rsidR="00192982" w:rsidRPr="00EC250C" w:rsidRDefault="00192982" w:rsidP="00D131FA">
      <w:pPr>
        <w:pStyle w:val="Srdtytul6"/>
        <w:jc w:val="both"/>
      </w:pPr>
      <w:r w:rsidRPr="00EC250C">
        <w:t>Skład Komisji Ekspertów ds. Przeciwdziałania Bezdomności</w:t>
      </w:r>
    </w:p>
    <w:p w14:paraId="5308FD5F" w14:textId="77777777" w:rsidR="00C73FDE" w:rsidRPr="00EC250C" w:rsidRDefault="00C73FDE" w:rsidP="006C70B7">
      <w:pPr>
        <w:pStyle w:val="Styl1"/>
        <w:numPr>
          <w:ilvl w:val="0"/>
          <w:numId w:val="14"/>
        </w:numPr>
        <w:sectPr w:rsidR="00C73FDE" w:rsidRPr="00EC250C" w:rsidSect="00FC47F2">
          <w:type w:val="continuous"/>
          <w:pgSz w:w="11907" w:h="16840"/>
          <w:pgMar w:top="1418" w:right="1418" w:bottom="1418" w:left="1276" w:header="567" w:footer="567" w:gutter="0"/>
          <w:cols w:space="708"/>
          <w:titlePg/>
          <w:docGrid w:linePitch="354"/>
        </w:sectPr>
      </w:pPr>
    </w:p>
    <w:p w14:paraId="1AED16A8" w14:textId="77777777" w:rsidR="00192982" w:rsidRPr="00EC250C" w:rsidRDefault="00192982" w:rsidP="006C70B7">
      <w:pPr>
        <w:pStyle w:val="Styl1"/>
        <w:numPr>
          <w:ilvl w:val="0"/>
          <w:numId w:val="14"/>
        </w:numPr>
      </w:pPr>
      <w:r w:rsidRPr="00EC250C">
        <w:t>Barbara Audycka-Zandberg</w:t>
      </w:r>
    </w:p>
    <w:p w14:paraId="148AE926" w14:textId="77777777" w:rsidR="00192982" w:rsidRPr="00EC250C" w:rsidRDefault="00192982" w:rsidP="006C70B7">
      <w:pPr>
        <w:pStyle w:val="Styl1"/>
        <w:numPr>
          <w:ilvl w:val="0"/>
          <w:numId w:val="14"/>
        </w:numPr>
      </w:pPr>
      <w:r w:rsidRPr="00EC250C">
        <w:t>Małgorzata Bednarek</w:t>
      </w:r>
    </w:p>
    <w:p w14:paraId="301F2089" w14:textId="77777777" w:rsidR="00192982" w:rsidRPr="00EC250C" w:rsidRDefault="00192982" w:rsidP="006C70B7">
      <w:pPr>
        <w:pStyle w:val="Styl1"/>
        <w:numPr>
          <w:ilvl w:val="0"/>
          <w:numId w:val="14"/>
        </w:numPr>
      </w:pPr>
      <w:r w:rsidRPr="00EC250C">
        <w:t>Marek Borowski</w:t>
      </w:r>
    </w:p>
    <w:p w14:paraId="352FF76B" w14:textId="77777777" w:rsidR="00192982" w:rsidRPr="00EC250C" w:rsidRDefault="00192982" w:rsidP="006C70B7">
      <w:pPr>
        <w:pStyle w:val="Styl1"/>
        <w:numPr>
          <w:ilvl w:val="0"/>
          <w:numId w:val="14"/>
        </w:numPr>
      </w:pPr>
      <w:r w:rsidRPr="00EC250C">
        <w:t>Wojciech Bystry</w:t>
      </w:r>
    </w:p>
    <w:p w14:paraId="0C33A0EF" w14:textId="77777777" w:rsidR="00192982" w:rsidRPr="00EC250C" w:rsidRDefault="00192982" w:rsidP="006C70B7">
      <w:pPr>
        <w:pStyle w:val="Styl1"/>
        <w:numPr>
          <w:ilvl w:val="0"/>
          <w:numId w:val="14"/>
        </w:numPr>
      </w:pPr>
      <w:r w:rsidRPr="00EC250C">
        <w:t>Siostra Małgorzata Chmielewska</w:t>
      </w:r>
    </w:p>
    <w:p w14:paraId="33B1BB3B" w14:textId="77777777" w:rsidR="00192982" w:rsidRPr="00EC250C" w:rsidRDefault="00192982" w:rsidP="006C70B7">
      <w:pPr>
        <w:pStyle w:val="Styl1"/>
        <w:numPr>
          <w:ilvl w:val="0"/>
          <w:numId w:val="14"/>
        </w:numPr>
      </w:pPr>
      <w:r w:rsidRPr="00EC250C">
        <w:t>Karol Kretkowski</w:t>
      </w:r>
    </w:p>
    <w:p w14:paraId="44688812" w14:textId="77777777" w:rsidR="00192982" w:rsidRPr="00EC250C" w:rsidRDefault="00192982" w:rsidP="006C70B7">
      <w:pPr>
        <w:pStyle w:val="Styl1"/>
        <w:numPr>
          <w:ilvl w:val="0"/>
          <w:numId w:val="14"/>
        </w:numPr>
      </w:pPr>
      <w:r w:rsidRPr="00EC250C">
        <w:t>Tomasz Maruszak</w:t>
      </w:r>
    </w:p>
    <w:p w14:paraId="7938F8DF" w14:textId="77777777" w:rsidR="00192982" w:rsidRPr="00EC250C" w:rsidRDefault="00192982" w:rsidP="006C70B7">
      <w:pPr>
        <w:pStyle w:val="Styl1"/>
        <w:numPr>
          <w:ilvl w:val="0"/>
          <w:numId w:val="14"/>
        </w:numPr>
      </w:pPr>
      <w:r w:rsidRPr="00EC250C">
        <w:t>Radosław Mędrzycki</w:t>
      </w:r>
    </w:p>
    <w:p w14:paraId="19B07727" w14:textId="77777777" w:rsidR="00192982" w:rsidRPr="00EC250C" w:rsidRDefault="00192982" w:rsidP="006C70B7">
      <w:pPr>
        <w:pStyle w:val="Styl1"/>
        <w:numPr>
          <w:ilvl w:val="0"/>
          <w:numId w:val="14"/>
        </w:numPr>
      </w:pPr>
      <w:r w:rsidRPr="00EC250C">
        <w:t>Agata Nosal-Ikonowicz</w:t>
      </w:r>
    </w:p>
    <w:p w14:paraId="21D7DBA0" w14:textId="77777777" w:rsidR="00192982" w:rsidRPr="00EC250C" w:rsidRDefault="00192982" w:rsidP="006C70B7">
      <w:pPr>
        <w:pStyle w:val="Styl1"/>
        <w:numPr>
          <w:ilvl w:val="0"/>
          <w:numId w:val="14"/>
        </w:numPr>
      </w:pPr>
      <w:r w:rsidRPr="00EC250C">
        <w:t>Adam Ploszka</w:t>
      </w:r>
    </w:p>
    <w:p w14:paraId="71115566" w14:textId="77777777" w:rsidR="00192982" w:rsidRPr="00EC250C" w:rsidRDefault="00192982" w:rsidP="00EC250C">
      <w:pPr>
        <w:pStyle w:val="Styl1"/>
        <w:numPr>
          <w:ilvl w:val="0"/>
          <w:numId w:val="14"/>
        </w:numPr>
        <w:jc w:val="left"/>
      </w:pPr>
      <w:r w:rsidRPr="00EC250C">
        <w:t>Adriana Porowska – współprzewodnicząca</w:t>
      </w:r>
    </w:p>
    <w:p w14:paraId="410626D0" w14:textId="77777777" w:rsidR="00192982" w:rsidRPr="00EC250C" w:rsidRDefault="00192982" w:rsidP="006C70B7">
      <w:pPr>
        <w:pStyle w:val="Styl1"/>
        <w:numPr>
          <w:ilvl w:val="0"/>
          <w:numId w:val="14"/>
        </w:numPr>
      </w:pPr>
      <w:r w:rsidRPr="00EC250C">
        <w:t>Andrzej Ptak</w:t>
      </w:r>
    </w:p>
    <w:p w14:paraId="240BBDAD" w14:textId="77777777" w:rsidR="00192982" w:rsidRPr="00EC250C" w:rsidRDefault="00192982" w:rsidP="006C70B7">
      <w:pPr>
        <w:pStyle w:val="Styl1"/>
        <w:numPr>
          <w:ilvl w:val="0"/>
          <w:numId w:val="14"/>
        </w:numPr>
      </w:pPr>
      <w:r w:rsidRPr="00EC250C">
        <w:t>Magdalena Ruszkowska-Cieślak</w:t>
      </w:r>
    </w:p>
    <w:p w14:paraId="71784D97" w14:textId="77777777" w:rsidR="00192982" w:rsidRPr="00EC250C" w:rsidRDefault="00192982" w:rsidP="006C70B7">
      <w:pPr>
        <w:pStyle w:val="Styl1"/>
        <w:numPr>
          <w:ilvl w:val="0"/>
          <w:numId w:val="14"/>
        </w:numPr>
      </w:pPr>
      <w:r w:rsidRPr="00EC250C">
        <w:t>Janusz Sukiennik</w:t>
      </w:r>
    </w:p>
    <w:p w14:paraId="2F459F74" w14:textId="77777777" w:rsidR="00192982" w:rsidRPr="00EC250C" w:rsidRDefault="00192982" w:rsidP="006C70B7">
      <w:pPr>
        <w:pStyle w:val="Styl1"/>
        <w:numPr>
          <w:ilvl w:val="0"/>
          <w:numId w:val="14"/>
        </w:numPr>
      </w:pPr>
      <w:r w:rsidRPr="00EC250C">
        <w:t>Ryszard Szarfenberg</w:t>
      </w:r>
    </w:p>
    <w:p w14:paraId="1D02F9E3" w14:textId="77777777" w:rsidR="00192982" w:rsidRPr="00EC250C" w:rsidRDefault="00192982" w:rsidP="006C70B7">
      <w:pPr>
        <w:pStyle w:val="Styl1"/>
        <w:numPr>
          <w:ilvl w:val="0"/>
          <w:numId w:val="14"/>
        </w:numPr>
      </w:pPr>
      <w:r w:rsidRPr="00EC250C">
        <w:t>Ks. Stanisław Słowik</w:t>
      </w:r>
    </w:p>
    <w:p w14:paraId="16393DA7" w14:textId="77777777" w:rsidR="00192982" w:rsidRPr="00EC250C" w:rsidRDefault="00192982" w:rsidP="006C70B7">
      <w:pPr>
        <w:pStyle w:val="Styl1"/>
        <w:numPr>
          <w:ilvl w:val="0"/>
          <w:numId w:val="14"/>
        </w:numPr>
      </w:pPr>
      <w:r w:rsidRPr="00EC250C">
        <w:t>Jakub Wilczek</w:t>
      </w:r>
    </w:p>
    <w:p w14:paraId="2CFEEE62" w14:textId="77777777" w:rsidR="00192982" w:rsidRPr="00EC250C" w:rsidRDefault="00192982" w:rsidP="006C70B7">
      <w:pPr>
        <w:pStyle w:val="Styl1"/>
        <w:numPr>
          <w:ilvl w:val="0"/>
          <w:numId w:val="14"/>
        </w:numPr>
      </w:pPr>
      <w:r w:rsidRPr="00EC250C">
        <w:t>Magdalena Wolnik</w:t>
      </w:r>
    </w:p>
    <w:p w14:paraId="4B0C00B7" w14:textId="77777777" w:rsidR="00192982" w:rsidRPr="00EC250C" w:rsidRDefault="00192982" w:rsidP="006C70B7">
      <w:pPr>
        <w:pStyle w:val="Styl1"/>
        <w:numPr>
          <w:ilvl w:val="0"/>
          <w:numId w:val="14"/>
        </w:numPr>
      </w:pPr>
      <w:r w:rsidRPr="00EC250C">
        <w:t>Julia Wygnańska</w:t>
      </w:r>
    </w:p>
    <w:p w14:paraId="26844187" w14:textId="77777777" w:rsidR="00192982" w:rsidRPr="00EC250C" w:rsidRDefault="00192982" w:rsidP="006C70B7">
      <w:pPr>
        <w:pStyle w:val="Styl1"/>
        <w:numPr>
          <w:ilvl w:val="0"/>
          <w:numId w:val="14"/>
        </w:numPr>
      </w:pPr>
      <w:r w:rsidRPr="00EC250C">
        <w:t>Artur Zalewski</w:t>
      </w:r>
    </w:p>
    <w:p w14:paraId="3AD291BD" w14:textId="77777777" w:rsidR="00192982" w:rsidRPr="00EC250C" w:rsidRDefault="00192982" w:rsidP="006C70B7">
      <w:pPr>
        <w:pStyle w:val="Styl1"/>
        <w:numPr>
          <w:ilvl w:val="0"/>
          <w:numId w:val="14"/>
        </w:numPr>
      </w:pPr>
      <w:r w:rsidRPr="00EC250C">
        <w:t>Kinga Dękierowska</w:t>
      </w:r>
    </w:p>
    <w:p w14:paraId="3B2DD441" w14:textId="77777777" w:rsidR="00192982" w:rsidRPr="00EC250C" w:rsidRDefault="00192982" w:rsidP="00EC250C">
      <w:pPr>
        <w:pStyle w:val="Styl1"/>
        <w:numPr>
          <w:ilvl w:val="0"/>
          <w:numId w:val="14"/>
        </w:numPr>
        <w:jc w:val="left"/>
      </w:pPr>
      <w:r w:rsidRPr="00EC250C">
        <w:t>Kamilla Dołowska – współprzewodnicząca</w:t>
      </w:r>
    </w:p>
    <w:p w14:paraId="68349E39" w14:textId="77777777" w:rsidR="00192982" w:rsidRPr="00EC250C" w:rsidRDefault="00192982" w:rsidP="006C70B7">
      <w:pPr>
        <w:pStyle w:val="Styl1"/>
        <w:numPr>
          <w:ilvl w:val="0"/>
          <w:numId w:val="14"/>
        </w:numPr>
      </w:pPr>
      <w:r w:rsidRPr="00EC250C">
        <w:t>Tomasz Schabowski</w:t>
      </w:r>
    </w:p>
    <w:p w14:paraId="45A6DE07" w14:textId="77777777" w:rsidR="00192982" w:rsidRPr="00EC250C" w:rsidRDefault="00192982" w:rsidP="006C70B7">
      <w:pPr>
        <w:pStyle w:val="Styl1"/>
        <w:numPr>
          <w:ilvl w:val="0"/>
          <w:numId w:val="14"/>
        </w:numPr>
      </w:pPr>
      <w:r w:rsidRPr="00EC250C">
        <w:t>Zbigniew Śpiewak – sekretarz</w:t>
      </w:r>
    </w:p>
    <w:p w14:paraId="2DA08CE8" w14:textId="77777777" w:rsidR="00C73FDE" w:rsidRPr="00EC250C" w:rsidRDefault="00C73FDE" w:rsidP="00D131FA">
      <w:pPr>
        <w:pStyle w:val="Srdtytul6"/>
        <w:jc w:val="both"/>
        <w:sectPr w:rsidR="00C73FDE" w:rsidRPr="00EC250C" w:rsidSect="00FC47F2">
          <w:type w:val="continuous"/>
          <w:pgSz w:w="11907" w:h="16840"/>
          <w:pgMar w:top="1418" w:right="1418" w:bottom="1418" w:left="1276" w:header="567" w:footer="567" w:gutter="0"/>
          <w:cols w:num="2" w:space="708"/>
          <w:titlePg/>
          <w:docGrid w:linePitch="354"/>
        </w:sectPr>
      </w:pPr>
    </w:p>
    <w:p w14:paraId="034A7C5F" w14:textId="77777777" w:rsidR="00192982" w:rsidRPr="00EC250C" w:rsidRDefault="00192982" w:rsidP="00D131FA">
      <w:pPr>
        <w:pStyle w:val="Srdtytul6"/>
        <w:jc w:val="both"/>
      </w:pPr>
      <w:r w:rsidRPr="00EC250C">
        <w:t>Działania Komisji</w:t>
      </w:r>
    </w:p>
    <w:p w14:paraId="5B92050D" w14:textId="77777777" w:rsidR="00192982" w:rsidRPr="00EC250C" w:rsidRDefault="00192982" w:rsidP="00D131FA">
      <w:pPr>
        <w:pStyle w:val="Styl1"/>
        <w:numPr>
          <w:ilvl w:val="0"/>
          <w:numId w:val="4"/>
        </w:numPr>
        <w:rPr>
          <w:i/>
        </w:rPr>
      </w:pPr>
      <w:r w:rsidRPr="00EC250C">
        <w:rPr>
          <w:i/>
        </w:rPr>
        <w:t>Posiedzenia Komisji</w:t>
      </w:r>
    </w:p>
    <w:p w14:paraId="0BD8BAF0" w14:textId="77777777" w:rsidR="00C91F6E" w:rsidRPr="00EC250C" w:rsidRDefault="00192982" w:rsidP="00D131FA">
      <w:pPr>
        <w:pStyle w:val="Styl1"/>
      </w:pPr>
      <w:r w:rsidRPr="00EC250C">
        <w:t>W 2018</w:t>
      </w:r>
      <w:r w:rsidR="00C91F6E" w:rsidRPr="00EC250C">
        <w:t> r.</w:t>
      </w:r>
      <w:r w:rsidRPr="00EC250C">
        <w:t xml:space="preserve"> </w:t>
      </w:r>
      <w:r w:rsidR="00536275" w:rsidRPr="00EC250C">
        <w:t>Komisja spotkała się trzy razy</w:t>
      </w:r>
      <w:r w:rsidRPr="00EC250C">
        <w:t xml:space="preserve">. </w:t>
      </w:r>
      <w:r w:rsidR="00536275" w:rsidRPr="00EC250C">
        <w:t xml:space="preserve">Rozmawiała </w:t>
      </w:r>
      <w:r w:rsidRPr="00EC250C">
        <w:t>m.in.</w:t>
      </w:r>
      <w:r w:rsidR="00992FD0" w:rsidRPr="00EC250C">
        <w:t xml:space="preserve"> o </w:t>
      </w:r>
      <w:r w:rsidRPr="00EC250C">
        <w:t>ide</w:t>
      </w:r>
      <w:r w:rsidR="00536275" w:rsidRPr="00EC250C">
        <w:t>i</w:t>
      </w:r>
      <w:r w:rsidRPr="00EC250C">
        <w:t xml:space="preserve"> karty praw osób bezdomnych. Realizowana</w:t>
      </w:r>
      <w:r w:rsidR="00992FD0" w:rsidRPr="00EC250C">
        <w:t xml:space="preserve"> w </w:t>
      </w:r>
      <w:r w:rsidRPr="00EC250C">
        <w:t>miastach europejskich jako miejska karta praw osób doświadczających bezdomności (Homeless Bill of Rights, która jest częścią European Campaign for the Recognition of the Rights of Homeless People) jest dokumentem, który podpisują władze miejskie. Członkowie Komisji zgodzili się, iż jest to inicjatywa warta promowania</w:t>
      </w:r>
      <w:r w:rsidR="00992FD0" w:rsidRPr="00EC250C">
        <w:t xml:space="preserve"> i </w:t>
      </w:r>
      <w:r w:rsidRPr="00EC250C">
        <w:t>wsparcia. Ustalono, że ze strony Komisji wsparcie to polegać może na: pomocy</w:t>
      </w:r>
      <w:r w:rsidR="00992FD0" w:rsidRPr="00EC250C">
        <w:t xml:space="preserve"> w </w:t>
      </w:r>
      <w:r w:rsidRPr="00EC250C">
        <w:t>profesjonalnym tłumaczeniu dokumentu na język polski, propagowaniu idei na konferencjach, seminariach</w:t>
      </w:r>
      <w:r w:rsidR="00992FD0" w:rsidRPr="00EC250C">
        <w:t xml:space="preserve"> i </w:t>
      </w:r>
      <w:r w:rsidRPr="00EC250C">
        <w:t>innych spotkaniach</w:t>
      </w:r>
      <w:r w:rsidR="00992FD0" w:rsidRPr="00EC250C">
        <w:t xml:space="preserve"> z </w:t>
      </w:r>
      <w:r w:rsidRPr="00EC250C">
        <w:t xml:space="preserve">udziałem przedstawicieli samorządów miejskich oraz na przygotowaniu przez </w:t>
      </w:r>
      <w:r w:rsidRPr="00EC250C">
        <w:lastRenderedPageBreak/>
        <w:t>ekspertów Komisji dokumentu, stanowiącego zbiór najczęściej spotykanych pytań dotyczących idei Karty wraz</w:t>
      </w:r>
      <w:r w:rsidR="00992FD0" w:rsidRPr="00EC250C">
        <w:t xml:space="preserve"> z </w:t>
      </w:r>
      <w:r w:rsidRPr="00EC250C">
        <w:t>odpowiedziami, pozwalającymi na rozwianie wątpliwości.</w:t>
      </w:r>
    </w:p>
    <w:p w14:paraId="1488534B" w14:textId="77777777" w:rsidR="00C91F6E" w:rsidRPr="00EC250C" w:rsidRDefault="00192982" w:rsidP="00D131FA">
      <w:pPr>
        <w:pStyle w:val="Styl1"/>
      </w:pPr>
      <w:r w:rsidRPr="00EC250C">
        <w:t>Prace we wszystkich trzech obszarach zostały zrealizowane.</w:t>
      </w:r>
    </w:p>
    <w:p w14:paraId="4CF0305F" w14:textId="77777777" w:rsidR="00192982" w:rsidRPr="00EC250C" w:rsidRDefault="00536275" w:rsidP="00D131FA">
      <w:pPr>
        <w:pStyle w:val="Styl1"/>
      </w:pPr>
      <w:r w:rsidRPr="00EC250C">
        <w:t>Komisja rozmawiała też</w:t>
      </w:r>
      <w:r w:rsidR="00992FD0" w:rsidRPr="00EC250C">
        <w:t xml:space="preserve"> o </w:t>
      </w:r>
      <w:r w:rsidR="00192982" w:rsidRPr="00EC250C">
        <w:t>problem</w:t>
      </w:r>
      <w:r w:rsidRPr="00EC250C">
        <w:t>ach</w:t>
      </w:r>
      <w:r w:rsidR="00192982" w:rsidRPr="00EC250C">
        <w:t xml:space="preserve">, jakie dla osób bezdomnych rodzi brak </w:t>
      </w:r>
      <w:r w:rsidRPr="00EC250C">
        <w:t>meldunku</w:t>
      </w:r>
      <w:r w:rsidR="00192982" w:rsidRPr="00EC250C">
        <w:t xml:space="preserve">. </w:t>
      </w:r>
      <w:r w:rsidRPr="00EC250C">
        <w:t xml:space="preserve">W tym spotkaniu </w:t>
      </w:r>
      <w:r w:rsidR="00192982" w:rsidRPr="00EC250C">
        <w:t xml:space="preserve">wzięli także </w:t>
      </w:r>
      <w:r w:rsidRPr="00EC250C">
        <w:t xml:space="preserve">udział </w:t>
      </w:r>
      <w:r w:rsidR="00192982" w:rsidRPr="00EC250C">
        <w:t>przedstawiciele Ministerstwa Spraw Wewnętrznych</w:t>
      </w:r>
      <w:r w:rsidR="00992FD0" w:rsidRPr="00EC250C">
        <w:t xml:space="preserve"> i </w:t>
      </w:r>
      <w:r w:rsidR="00192982" w:rsidRPr="00EC250C">
        <w:t>Administracji, Ministerstwa Rodziny, Pracy</w:t>
      </w:r>
      <w:r w:rsidR="00992FD0" w:rsidRPr="00EC250C">
        <w:t xml:space="preserve"> i </w:t>
      </w:r>
      <w:r w:rsidR="00192982" w:rsidRPr="00EC250C">
        <w:t>Polityki Społecznej oraz Urzędu Miasta Stołecznego Warszawy</w:t>
      </w:r>
      <w:r w:rsidRPr="00EC250C">
        <w:t>. Wspólnie</w:t>
      </w:r>
      <w:r w:rsidR="00992FD0" w:rsidRPr="00EC250C">
        <w:t xml:space="preserve"> z </w:t>
      </w:r>
      <w:r w:rsidRPr="00EC250C">
        <w:t xml:space="preserve">ekspertami </w:t>
      </w:r>
      <w:r w:rsidR="00192982" w:rsidRPr="00EC250C">
        <w:t>wypracowa</w:t>
      </w:r>
      <w:r w:rsidRPr="00EC250C">
        <w:t xml:space="preserve">li </w:t>
      </w:r>
      <w:r w:rsidR="00192982" w:rsidRPr="00EC250C">
        <w:t>postulaty, które następnie przekazane zostały Minister Rodziny, Pracy</w:t>
      </w:r>
      <w:r w:rsidR="00992FD0" w:rsidRPr="00EC250C">
        <w:t xml:space="preserve"> i </w:t>
      </w:r>
      <w:r w:rsidR="00192982" w:rsidRPr="00EC250C">
        <w:t>Polityki Społecznej.</w:t>
      </w:r>
    </w:p>
    <w:p w14:paraId="357C9B55" w14:textId="77777777" w:rsidR="00192982" w:rsidRPr="00EC250C" w:rsidRDefault="00192982" w:rsidP="00D131FA">
      <w:pPr>
        <w:pStyle w:val="Styl1"/>
        <w:numPr>
          <w:ilvl w:val="0"/>
          <w:numId w:val="4"/>
        </w:numPr>
        <w:rPr>
          <w:i/>
        </w:rPr>
      </w:pPr>
      <w:r w:rsidRPr="00EC250C">
        <w:rPr>
          <w:i/>
        </w:rPr>
        <w:t>Inne aktywności Komisji Ekspertów</w:t>
      </w:r>
    </w:p>
    <w:p w14:paraId="085FD829" w14:textId="77777777" w:rsidR="00192982" w:rsidRPr="00EC250C" w:rsidRDefault="00192982" w:rsidP="00D131FA">
      <w:pPr>
        <w:pStyle w:val="Styl1"/>
        <w:rPr>
          <w:bCs/>
          <w:iCs/>
        </w:rPr>
      </w:pPr>
      <w:r w:rsidRPr="00EC250C">
        <w:rPr>
          <w:bCs/>
          <w:iCs/>
        </w:rPr>
        <w:t>Podczas II Kongresu Praw Obywatelskich członkowie Komisji Ekspertów przygotowali panel dyskusyjny „Bezdomność jako wyzwanie dla samorządów lokalnych”,</w:t>
      </w:r>
      <w:r w:rsidR="00992FD0" w:rsidRPr="00EC250C">
        <w:rPr>
          <w:bCs/>
          <w:iCs/>
        </w:rPr>
        <w:t xml:space="preserve"> w </w:t>
      </w:r>
      <w:r w:rsidRPr="00EC250C">
        <w:rPr>
          <w:bCs/>
          <w:iCs/>
        </w:rPr>
        <w:t xml:space="preserve">którym udział wzięli także przedstawiciele samorządów: </w:t>
      </w:r>
      <w:r w:rsidR="00536275" w:rsidRPr="00EC250C">
        <w:rPr>
          <w:bCs/>
          <w:iCs/>
        </w:rPr>
        <w:t>b</w:t>
      </w:r>
      <w:r w:rsidRPr="00EC250C">
        <w:rPr>
          <w:bCs/>
          <w:iCs/>
        </w:rPr>
        <w:t xml:space="preserve">urmistrz Złocieńca, </w:t>
      </w:r>
      <w:r w:rsidR="00536275" w:rsidRPr="00EC250C">
        <w:rPr>
          <w:bCs/>
          <w:iCs/>
        </w:rPr>
        <w:t>z</w:t>
      </w:r>
      <w:r w:rsidRPr="00EC250C">
        <w:rPr>
          <w:bCs/>
          <w:iCs/>
        </w:rPr>
        <w:t>astępca Prezydenta Warszawy oraz przedstawiciel Urzędu Miejskiego</w:t>
      </w:r>
      <w:r w:rsidR="00992FD0" w:rsidRPr="00EC250C">
        <w:rPr>
          <w:bCs/>
          <w:iCs/>
        </w:rPr>
        <w:t xml:space="preserve"> w </w:t>
      </w:r>
      <w:r w:rsidRPr="00EC250C">
        <w:rPr>
          <w:bCs/>
          <w:iCs/>
        </w:rPr>
        <w:t xml:space="preserve">Częstochowie. </w:t>
      </w:r>
      <w:r w:rsidR="00536275" w:rsidRPr="00EC250C">
        <w:rPr>
          <w:bCs/>
          <w:iCs/>
        </w:rPr>
        <w:t xml:space="preserve">W </w:t>
      </w:r>
      <w:r w:rsidRPr="00EC250C">
        <w:rPr>
          <w:bCs/>
          <w:iCs/>
        </w:rPr>
        <w:t>dyskusji wszyscy przedstawiciele władz miejskich zadeklarowali zainteresowanie samorządów lokalnych podpisaniem Karty Praw Osoby Doświadczającej Bezdomności.</w:t>
      </w:r>
    </w:p>
    <w:p w14:paraId="5FF44CEC" w14:textId="77777777" w:rsidR="00192982" w:rsidRPr="00EC250C" w:rsidRDefault="00192982" w:rsidP="00D131FA">
      <w:pPr>
        <w:pStyle w:val="Styl1"/>
        <w:numPr>
          <w:ilvl w:val="0"/>
          <w:numId w:val="4"/>
        </w:numPr>
        <w:rPr>
          <w:bCs/>
          <w:i/>
          <w:iCs/>
        </w:rPr>
      </w:pPr>
      <w:r w:rsidRPr="00EC250C">
        <w:rPr>
          <w:bCs/>
          <w:i/>
          <w:iCs/>
        </w:rPr>
        <w:t>Wystąpienia generalne Rzecznika Praw Obywatelskich</w:t>
      </w:r>
    </w:p>
    <w:p w14:paraId="3A37E422" w14:textId="77777777" w:rsidR="00C91F6E" w:rsidRPr="00EC250C" w:rsidRDefault="00192982" w:rsidP="00D131FA">
      <w:pPr>
        <w:pStyle w:val="Styl1"/>
        <w:rPr>
          <w:bCs/>
          <w:iCs/>
        </w:rPr>
      </w:pPr>
      <w:r w:rsidRPr="00EC250C">
        <w:rPr>
          <w:bCs/>
          <w:iCs/>
        </w:rPr>
        <w:t>Szczególną rolą Komisji Ekspertów ds. Przeciwdziałania Bezdomności było inspirowanie</w:t>
      </w:r>
      <w:r w:rsidR="00992FD0" w:rsidRPr="00EC250C">
        <w:rPr>
          <w:bCs/>
          <w:iCs/>
        </w:rPr>
        <w:t xml:space="preserve"> i </w:t>
      </w:r>
      <w:r w:rsidRPr="00EC250C">
        <w:rPr>
          <w:bCs/>
          <w:iCs/>
        </w:rPr>
        <w:t>motywowanie Rzecznika do podejmowania –</w:t>
      </w:r>
      <w:r w:rsidR="00992FD0" w:rsidRPr="00EC250C">
        <w:rPr>
          <w:bCs/>
          <w:iCs/>
        </w:rPr>
        <w:t xml:space="preserve"> w </w:t>
      </w:r>
      <w:r w:rsidRPr="00EC250C">
        <w:rPr>
          <w:bCs/>
          <w:iCs/>
        </w:rPr>
        <w:t>ramach posiadanych przez niego kompetencji ustawowych – działań na rzecz zmiany stanu prawnego, tak aby</w:t>
      </w:r>
      <w:r w:rsidR="00992FD0" w:rsidRPr="00EC250C">
        <w:rPr>
          <w:bCs/>
          <w:iCs/>
        </w:rPr>
        <w:t xml:space="preserve"> w </w:t>
      </w:r>
      <w:r w:rsidRPr="00EC250C">
        <w:rPr>
          <w:bCs/>
          <w:iCs/>
        </w:rPr>
        <w:t>bardziej efektywny sposób zapewniał on zarówno zapobieganie</w:t>
      </w:r>
      <w:r w:rsidR="00992FD0" w:rsidRPr="00EC250C">
        <w:rPr>
          <w:bCs/>
          <w:iCs/>
        </w:rPr>
        <w:t xml:space="preserve"> i </w:t>
      </w:r>
      <w:r w:rsidRPr="00EC250C">
        <w:rPr>
          <w:bCs/>
          <w:iCs/>
        </w:rPr>
        <w:t>wychodzenie</w:t>
      </w:r>
      <w:r w:rsidR="00992FD0" w:rsidRPr="00EC250C">
        <w:rPr>
          <w:bCs/>
          <w:iCs/>
        </w:rPr>
        <w:t xml:space="preserve"> z </w:t>
      </w:r>
      <w:r w:rsidRPr="00EC250C">
        <w:rPr>
          <w:bCs/>
          <w:iCs/>
        </w:rPr>
        <w:t>bezdomności, jak</w:t>
      </w:r>
      <w:r w:rsidR="00992FD0" w:rsidRPr="00EC250C">
        <w:rPr>
          <w:bCs/>
          <w:iCs/>
        </w:rPr>
        <w:t xml:space="preserve"> i </w:t>
      </w:r>
      <w:r w:rsidRPr="00EC250C">
        <w:rPr>
          <w:bCs/>
          <w:iCs/>
        </w:rPr>
        <w:t>wieloaspektową pomoc osobom</w:t>
      </w:r>
      <w:r w:rsidR="00992FD0" w:rsidRPr="00EC250C">
        <w:rPr>
          <w:bCs/>
          <w:iCs/>
        </w:rPr>
        <w:t xml:space="preserve"> w </w:t>
      </w:r>
      <w:r w:rsidRPr="00EC250C">
        <w:rPr>
          <w:bCs/>
          <w:iCs/>
        </w:rPr>
        <w:t>kryzysie bezdomności.</w:t>
      </w:r>
    </w:p>
    <w:p w14:paraId="0D37C37F" w14:textId="77777777" w:rsidR="00C91F6E" w:rsidRPr="00EC250C" w:rsidRDefault="00192982" w:rsidP="00D131FA">
      <w:pPr>
        <w:pStyle w:val="Styl1"/>
        <w:rPr>
          <w:bCs/>
          <w:iCs/>
        </w:rPr>
      </w:pPr>
      <w:r w:rsidRPr="00EC250C">
        <w:rPr>
          <w:bCs/>
          <w:iCs/>
        </w:rPr>
        <w:t>Do Ministerstwa Rodziny, Pracy</w:t>
      </w:r>
      <w:r w:rsidR="00992FD0" w:rsidRPr="00EC250C">
        <w:rPr>
          <w:bCs/>
          <w:iCs/>
        </w:rPr>
        <w:t xml:space="preserve"> i </w:t>
      </w:r>
      <w:r w:rsidRPr="00EC250C">
        <w:rPr>
          <w:bCs/>
          <w:iCs/>
        </w:rPr>
        <w:t>Polityki Społecznej zostało skierowane wystąpienie, dotyczące problemów wynikających</w:t>
      </w:r>
      <w:r w:rsidR="00992FD0" w:rsidRPr="00EC250C">
        <w:rPr>
          <w:bCs/>
          <w:iCs/>
        </w:rPr>
        <w:t xml:space="preserve"> z </w:t>
      </w:r>
      <w:r w:rsidRPr="00EC250C">
        <w:rPr>
          <w:bCs/>
          <w:iCs/>
        </w:rPr>
        <w:t>określania</w:t>
      </w:r>
      <w:r w:rsidR="00992FD0" w:rsidRPr="00EC250C">
        <w:rPr>
          <w:bCs/>
          <w:iCs/>
        </w:rPr>
        <w:t xml:space="preserve"> w </w:t>
      </w:r>
      <w:r w:rsidRPr="00EC250C">
        <w:rPr>
          <w:bCs/>
          <w:iCs/>
        </w:rPr>
        <w:t>przepisach właściwości organów administracji publicznej według miejsca ostatniego zameldowania.</w:t>
      </w:r>
    </w:p>
    <w:p w14:paraId="2F539C21" w14:textId="77777777" w:rsidR="00C91F6E" w:rsidRPr="00EC250C" w:rsidRDefault="00192982" w:rsidP="00D131FA">
      <w:pPr>
        <w:pStyle w:val="Styl1"/>
        <w:rPr>
          <w:bCs/>
          <w:iCs/>
        </w:rPr>
      </w:pPr>
      <w:r w:rsidRPr="00EC250C">
        <w:rPr>
          <w:bCs/>
          <w:iCs/>
        </w:rPr>
        <w:t>Przez cały 2018</w:t>
      </w:r>
      <w:r w:rsidR="00C91F6E" w:rsidRPr="00EC250C">
        <w:rPr>
          <w:bCs/>
          <w:iCs/>
        </w:rPr>
        <w:t> r.</w:t>
      </w:r>
      <w:r w:rsidRPr="00EC250C">
        <w:rPr>
          <w:bCs/>
          <w:iCs/>
        </w:rPr>
        <w:t xml:space="preserve"> przedmiotem dalszych działań generalnych była kwestia dokonania zmian</w:t>
      </w:r>
      <w:r w:rsidR="00992FD0" w:rsidRPr="00EC250C">
        <w:rPr>
          <w:bCs/>
          <w:iCs/>
        </w:rPr>
        <w:t xml:space="preserve"> w </w:t>
      </w:r>
      <w:r w:rsidRPr="00EC250C">
        <w:rPr>
          <w:bCs/>
          <w:iCs/>
        </w:rPr>
        <w:t>prawie wyborczym, umożliwiających osobom bezdomnym realny udział</w:t>
      </w:r>
      <w:r w:rsidR="00992FD0" w:rsidRPr="00EC250C">
        <w:rPr>
          <w:bCs/>
          <w:iCs/>
        </w:rPr>
        <w:t xml:space="preserve"> w </w:t>
      </w:r>
      <w:r w:rsidRPr="00EC250C">
        <w:rPr>
          <w:bCs/>
          <w:iCs/>
        </w:rPr>
        <w:t>wyborach.</w:t>
      </w:r>
    </w:p>
    <w:p w14:paraId="35997249" w14:textId="77777777" w:rsidR="00C91F6E" w:rsidRPr="00EC250C" w:rsidRDefault="00192982" w:rsidP="00D131FA">
      <w:pPr>
        <w:pStyle w:val="Styl1"/>
        <w:rPr>
          <w:bCs/>
          <w:iCs/>
        </w:rPr>
      </w:pPr>
      <w:r w:rsidRPr="00EC250C">
        <w:rPr>
          <w:bCs/>
          <w:iCs/>
        </w:rPr>
        <w:t>Po raz kolejny</w:t>
      </w:r>
      <w:r w:rsidR="00992FD0" w:rsidRPr="00EC250C">
        <w:rPr>
          <w:bCs/>
          <w:iCs/>
        </w:rPr>
        <w:t xml:space="preserve"> w </w:t>
      </w:r>
      <w:r w:rsidRPr="00EC250C">
        <w:rPr>
          <w:bCs/>
          <w:iCs/>
        </w:rPr>
        <w:t>wystąpieniach Rzecznika podejmowany był problem nieprecyzyjnych regulacji dotyczących sytuacji osób eksmitowanych wraz</w:t>
      </w:r>
      <w:r w:rsidR="00992FD0" w:rsidRPr="00EC250C">
        <w:rPr>
          <w:bCs/>
          <w:iCs/>
        </w:rPr>
        <w:t xml:space="preserve"> z </w:t>
      </w:r>
      <w:r w:rsidRPr="00EC250C">
        <w:rPr>
          <w:bCs/>
          <w:iCs/>
        </w:rPr>
        <w:t>właścicielem po sprzedaży mieszkania</w:t>
      </w:r>
      <w:r w:rsidR="00992FD0" w:rsidRPr="00EC250C">
        <w:rPr>
          <w:bCs/>
          <w:iCs/>
        </w:rPr>
        <w:t xml:space="preserve"> w </w:t>
      </w:r>
      <w:r w:rsidRPr="00EC250C">
        <w:rPr>
          <w:bCs/>
          <w:iCs/>
        </w:rPr>
        <w:t>trybie licytacji komorniczej.</w:t>
      </w:r>
    </w:p>
    <w:p w14:paraId="5AC21B42" w14:textId="77777777" w:rsidR="00C91F6E" w:rsidRPr="00EC250C" w:rsidRDefault="007A5CCC" w:rsidP="00D131FA">
      <w:pPr>
        <w:pStyle w:val="Styl1"/>
        <w:rPr>
          <w:bCs/>
          <w:iCs/>
        </w:rPr>
      </w:pPr>
      <w:r w:rsidRPr="00EC250C">
        <w:rPr>
          <w:bCs/>
          <w:iCs/>
        </w:rPr>
        <w:t>K</w:t>
      </w:r>
      <w:r w:rsidR="00192982" w:rsidRPr="00EC250C">
        <w:rPr>
          <w:bCs/>
          <w:iCs/>
        </w:rPr>
        <w:t>ontynuowan</w:t>
      </w:r>
      <w:r w:rsidRPr="00EC250C">
        <w:rPr>
          <w:bCs/>
          <w:iCs/>
        </w:rPr>
        <w:t>e były</w:t>
      </w:r>
      <w:r w:rsidR="00192982" w:rsidRPr="00EC250C">
        <w:rPr>
          <w:bCs/>
          <w:iCs/>
        </w:rPr>
        <w:t xml:space="preserve"> działa</w:t>
      </w:r>
      <w:r w:rsidRPr="00EC250C">
        <w:rPr>
          <w:bCs/>
          <w:iCs/>
        </w:rPr>
        <w:t>nia</w:t>
      </w:r>
      <w:r w:rsidR="00192982" w:rsidRPr="00EC250C">
        <w:rPr>
          <w:bCs/>
          <w:iCs/>
        </w:rPr>
        <w:t xml:space="preserve"> generaln</w:t>
      </w:r>
      <w:r w:rsidR="00D4540F" w:rsidRPr="00EC250C">
        <w:rPr>
          <w:bCs/>
          <w:iCs/>
        </w:rPr>
        <w:t xml:space="preserve">e </w:t>
      </w:r>
      <w:r w:rsidR="00192982" w:rsidRPr="00EC250C">
        <w:rPr>
          <w:bCs/>
          <w:iCs/>
        </w:rPr>
        <w:t>dotycząc</w:t>
      </w:r>
      <w:r w:rsidRPr="00EC250C">
        <w:rPr>
          <w:bCs/>
          <w:iCs/>
        </w:rPr>
        <w:t>e</w:t>
      </w:r>
      <w:r w:rsidR="00192982" w:rsidRPr="00EC250C">
        <w:rPr>
          <w:bCs/>
          <w:iCs/>
        </w:rPr>
        <w:t xml:space="preserve"> problematyki dostępu osób bezdomnych do świadczeń opieki zdrowotnej.</w:t>
      </w:r>
    </w:p>
    <w:p w14:paraId="639C8A6B" w14:textId="77777777" w:rsidR="00C91F6E" w:rsidRPr="00EC250C" w:rsidRDefault="00192982" w:rsidP="00D131FA">
      <w:pPr>
        <w:pStyle w:val="Styl1"/>
        <w:rPr>
          <w:bCs/>
          <w:iCs/>
        </w:rPr>
      </w:pPr>
      <w:r w:rsidRPr="00EC250C">
        <w:rPr>
          <w:bCs/>
          <w:iCs/>
        </w:rPr>
        <w:t>W roku 2018 zapadł również ważny wyrok Wojewódzkiego Sądu Administracyjnego</w:t>
      </w:r>
      <w:r w:rsidR="00992FD0" w:rsidRPr="00EC250C">
        <w:rPr>
          <w:bCs/>
          <w:iCs/>
        </w:rPr>
        <w:t xml:space="preserve"> w </w:t>
      </w:r>
      <w:r w:rsidRPr="00EC250C">
        <w:rPr>
          <w:bCs/>
          <w:iCs/>
        </w:rPr>
        <w:t>Warszawie, który uwzględnił skargę Rzecznika na przepisy porządkowe</w:t>
      </w:r>
      <w:r w:rsidR="00992FD0" w:rsidRPr="00EC250C">
        <w:rPr>
          <w:bCs/>
          <w:iCs/>
        </w:rPr>
        <w:t xml:space="preserve"> w </w:t>
      </w:r>
      <w:r w:rsidRPr="00EC250C">
        <w:rPr>
          <w:bCs/>
          <w:iCs/>
        </w:rPr>
        <w:t>transporcie publicznym, dotyczące możliwości usunięcia pasażera</w:t>
      </w:r>
      <w:r w:rsidR="00992FD0" w:rsidRPr="00EC250C">
        <w:rPr>
          <w:bCs/>
          <w:iCs/>
        </w:rPr>
        <w:t xml:space="preserve"> z </w:t>
      </w:r>
      <w:r w:rsidRPr="00EC250C">
        <w:rPr>
          <w:bCs/>
          <w:iCs/>
        </w:rPr>
        <w:t>pojazdu.</w:t>
      </w:r>
    </w:p>
    <w:p w14:paraId="077703BD" w14:textId="77777777" w:rsidR="00192982" w:rsidRPr="00EC250C" w:rsidRDefault="00192982" w:rsidP="00D131FA">
      <w:pPr>
        <w:pStyle w:val="Srdtytul6"/>
        <w:jc w:val="both"/>
      </w:pPr>
      <w:r w:rsidRPr="00EC250C">
        <w:lastRenderedPageBreak/>
        <w:t>Efekty działań</w:t>
      </w:r>
    </w:p>
    <w:p w14:paraId="7BD72D78" w14:textId="77777777" w:rsidR="00192982" w:rsidRPr="00EC250C" w:rsidRDefault="00192982" w:rsidP="00D131FA">
      <w:pPr>
        <w:pStyle w:val="Styl1"/>
        <w:numPr>
          <w:ilvl w:val="0"/>
          <w:numId w:val="3"/>
        </w:numPr>
        <w:rPr>
          <w:bCs/>
          <w:i/>
          <w:iCs/>
        </w:rPr>
      </w:pPr>
      <w:r w:rsidRPr="00EC250C">
        <w:rPr>
          <w:bCs/>
          <w:i/>
          <w:iCs/>
        </w:rPr>
        <w:t>Zmiany</w:t>
      </w:r>
      <w:r w:rsidR="00992FD0" w:rsidRPr="00EC250C">
        <w:rPr>
          <w:bCs/>
          <w:i/>
          <w:iCs/>
        </w:rPr>
        <w:t xml:space="preserve"> w </w:t>
      </w:r>
      <w:r w:rsidRPr="00EC250C">
        <w:rPr>
          <w:bCs/>
          <w:i/>
          <w:iCs/>
        </w:rPr>
        <w:t>zakresie ochrony praw lokatorów.</w:t>
      </w:r>
    </w:p>
    <w:p w14:paraId="08F83D33" w14:textId="77777777" w:rsidR="00192982" w:rsidRPr="00EC250C" w:rsidRDefault="00192982" w:rsidP="00D131FA">
      <w:pPr>
        <w:pStyle w:val="Styl1"/>
      </w:pPr>
      <w:r w:rsidRPr="00EC250C">
        <w:t>Minister Inwestycji</w:t>
      </w:r>
      <w:r w:rsidR="00992FD0" w:rsidRPr="00EC250C">
        <w:t xml:space="preserve"> i </w:t>
      </w:r>
      <w:r w:rsidRPr="00EC250C">
        <w:t>Rozwoju zgodził się</w:t>
      </w:r>
      <w:r w:rsidR="00992FD0" w:rsidRPr="00EC250C">
        <w:t xml:space="preserve"> z </w:t>
      </w:r>
      <w:r w:rsidRPr="00EC250C">
        <w:t>Rzecznikiem, że zagwarantowanie realnej ochrony osobom zamieszkującym wraz</w:t>
      </w:r>
      <w:r w:rsidR="00992FD0" w:rsidRPr="00EC250C">
        <w:t xml:space="preserve"> z </w:t>
      </w:r>
      <w:r w:rsidRPr="00EC250C">
        <w:t>właścicielem mieszkania, które zostało zbyte</w:t>
      </w:r>
      <w:r w:rsidR="00992FD0" w:rsidRPr="00EC250C">
        <w:t xml:space="preserve"> w </w:t>
      </w:r>
      <w:r w:rsidRPr="00EC250C">
        <w:t>toku licytacji</w:t>
      </w:r>
      <w:r w:rsidR="00992FD0" w:rsidRPr="00EC250C">
        <w:t xml:space="preserve"> w </w:t>
      </w:r>
      <w:r w:rsidRPr="00EC250C">
        <w:t>postępowaniu egzekucyjnym, wymaga zmian</w:t>
      </w:r>
      <w:r w:rsidR="00992FD0" w:rsidRPr="00EC250C">
        <w:t xml:space="preserve"> w </w:t>
      </w:r>
      <w:r w:rsidRPr="00EC250C">
        <w:t>ustawie</w:t>
      </w:r>
      <w:r w:rsidR="00992FD0" w:rsidRPr="00EC250C">
        <w:t xml:space="preserve"> o </w:t>
      </w:r>
      <w:r w:rsidRPr="00EC250C">
        <w:t>ochronie praw lokatorów..</w:t>
      </w:r>
    </w:p>
    <w:p w14:paraId="36507085" w14:textId="77777777" w:rsidR="00192982" w:rsidRPr="00EC250C" w:rsidRDefault="00192982" w:rsidP="00D131FA">
      <w:pPr>
        <w:pStyle w:val="Styl1"/>
        <w:numPr>
          <w:ilvl w:val="0"/>
          <w:numId w:val="3"/>
        </w:numPr>
        <w:rPr>
          <w:i/>
        </w:rPr>
      </w:pPr>
      <w:r w:rsidRPr="00EC250C">
        <w:rPr>
          <w:i/>
        </w:rPr>
        <w:t>Ułatwienia</w:t>
      </w:r>
      <w:r w:rsidR="00992FD0" w:rsidRPr="00EC250C">
        <w:rPr>
          <w:i/>
        </w:rPr>
        <w:t xml:space="preserve"> w </w:t>
      </w:r>
      <w:r w:rsidRPr="00EC250C">
        <w:rPr>
          <w:i/>
        </w:rPr>
        <w:t>głosowaniu dla osób bezdomnych.</w:t>
      </w:r>
    </w:p>
    <w:p w14:paraId="46F9717D" w14:textId="77777777" w:rsidR="00C91F6E" w:rsidRPr="00EC250C" w:rsidRDefault="007A5CCC" w:rsidP="00D131FA">
      <w:pPr>
        <w:pStyle w:val="Styl1"/>
      </w:pPr>
      <w:r w:rsidRPr="00EC250C">
        <w:t>Nowelizacja r</w:t>
      </w:r>
      <w:r w:rsidR="00192982" w:rsidRPr="00EC250C">
        <w:t>ozporządzeni</w:t>
      </w:r>
      <w:r w:rsidRPr="00EC250C">
        <w:t>a MSWiA</w:t>
      </w:r>
      <w:r w:rsidR="00992FD0" w:rsidRPr="00EC250C">
        <w:t xml:space="preserve"> z </w:t>
      </w:r>
      <w:r w:rsidR="00192982" w:rsidRPr="00EC250C">
        <w:t>8 listopada 2018</w:t>
      </w:r>
      <w:r w:rsidR="00C91F6E" w:rsidRPr="00EC250C">
        <w:t> r.</w:t>
      </w:r>
      <w:r w:rsidR="00992FD0" w:rsidRPr="00EC250C">
        <w:t xml:space="preserve"> w </w:t>
      </w:r>
      <w:r w:rsidR="00192982" w:rsidRPr="00EC250C">
        <w:t>sprawie rejestru wyborców</w:t>
      </w:r>
      <w:r w:rsidR="00CC4D88" w:rsidRPr="00EC250C">
        <w:t xml:space="preserve"> </w:t>
      </w:r>
      <w:r w:rsidRPr="00EC250C">
        <w:t xml:space="preserve">pozwala osobie </w:t>
      </w:r>
      <w:r w:rsidR="00192982" w:rsidRPr="00EC250C">
        <w:t>nigdzie niezamieszkałe</w:t>
      </w:r>
      <w:r w:rsidRPr="00EC250C">
        <w:t>j</w:t>
      </w:r>
      <w:r w:rsidR="00192982" w:rsidRPr="00EC250C">
        <w:t xml:space="preserve"> </w:t>
      </w:r>
      <w:r w:rsidRPr="00EC250C">
        <w:t>na wpisanie</w:t>
      </w:r>
      <w:r w:rsidR="00992FD0" w:rsidRPr="00EC250C">
        <w:t xml:space="preserve"> w </w:t>
      </w:r>
      <w:r w:rsidRPr="00EC250C">
        <w:t xml:space="preserve">miejsce </w:t>
      </w:r>
      <w:r w:rsidR="00192982" w:rsidRPr="00EC250C">
        <w:t>adres</w:t>
      </w:r>
      <w:r w:rsidRPr="00EC250C">
        <w:t>u</w:t>
      </w:r>
      <w:r w:rsidR="00192982" w:rsidRPr="00EC250C">
        <w:t xml:space="preserve"> </w:t>
      </w:r>
      <w:r w:rsidRPr="00EC250C">
        <w:t xml:space="preserve">danych pozwalających na </w:t>
      </w:r>
      <w:r w:rsidR="00192982" w:rsidRPr="00EC250C">
        <w:t>kontakt</w:t>
      </w:r>
      <w:r w:rsidR="00992FD0" w:rsidRPr="00EC250C">
        <w:t xml:space="preserve"> z </w:t>
      </w:r>
      <w:r w:rsidR="00192982" w:rsidRPr="00EC250C">
        <w:t>tym wyborcą pracownikom organów gminy.</w:t>
      </w:r>
    </w:p>
    <w:p w14:paraId="6A8393B6" w14:textId="77777777" w:rsidR="00192982" w:rsidRPr="00EC250C" w:rsidRDefault="00192982" w:rsidP="00D131FA">
      <w:pPr>
        <w:pStyle w:val="Styl1"/>
        <w:numPr>
          <w:ilvl w:val="0"/>
          <w:numId w:val="3"/>
        </w:numPr>
        <w:rPr>
          <w:i/>
        </w:rPr>
      </w:pPr>
      <w:r w:rsidRPr="00EC250C">
        <w:rPr>
          <w:i/>
        </w:rPr>
        <w:t>Ułatwienie dostępu do nieodpłatnej pomocy prawnej.</w:t>
      </w:r>
    </w:p>
    <w:p w14:paraId="54C69C03" w14:textId="77777777" w:rsidR="00C91F6E" w:rsidRPr="00EC250C" w:rsidRDefault="00192982" w:rsidP="00D131FA">
      <w:pPr>
        <w:pStyle w:val="Styl1"/>
      </w:pPr>
      <w:r w:rsidRPr="00EC250C">
        <w:t>Z dniem 1 stycznia 2019</w:t>
      </w:r>
      <w:r w:rsidR="00C91F6E" w:rsidRPr="00EC250C">
        <w:t> r.</w:t>
      </w:r>
      <w:r w:rsidRPr="00EC250C">
        <w:t xml:space="preserve"> weszły</w:t>
      </w:r>
      <w:r w:rsidR="00992FD0" w:rsidRPr="00EC250C">
        <w:t xml:space="preserve"> w </w:t>
      </w:r>
      <w:r w:rsidRPr="00EC250C">
        <w:t>życie przepisy znowelizowanej ustawy</w:t>
      </w:r>
      <w:r w:rsidR="00992FD0" w:rsidRPr="00EC250C">
        <w:t xml:space="preserve"> o </w:t>
      </w:r>
      <w:r w:rsidRPr="00EC250C">
        <w:t>nieodpłatnej pomocy prawnej</w:t>
      </w:r>
      <w:r w:rsidR="00992FD0" w:rsidRPr="00EC250C">
        <w:t xml:space="preserve"> i </w:t>
      </w:r>
      <w:r w:rsidRPr="00EC250C">
        <w:t>edukacji prawnej</w:t>
      </w:r>
      <w:r w:rsidR="00D4540F" w:rsidRPr="00EC250C">
        <w:t>,</w:t>
      </w:r>
      <w:r w:rsidR="00992FD0" w:rsidRPr="00EC250C">
        <w:t xml:space="preserve"> w </w:t>
      </w:r>
      <w:r w:rsidR="00D4540F" w:rsidRPr="00EC250C">
        <w:t xml:space="preserve">których </w:t>
      </w:r>
      <w:r w:rsidRPr="00EC250C">
        <w:t>przewidziano poszerzenie kręgu osób uprawnionych do uzyskania nieodpłatnej pomocy prawnej</w:t>
      </w:r>
      <w:r w:rsidR="00992FD0" w:rsidRPr="00EC250C">
        <w:t xml:space="preserve"> i </w:t>
      </w:r>
      <w:r w:rsidRPr="00EC250C">
        <w:t>odformalizowanie dostępu do takiej pomocy.</w:t>
      </w:r>
    </w:p>
    <w:p w14:paraId="625BF255" w14:textId="77777777" w:rsidR="00192982" w:rsidRPr="00EC250C" w:rsidRDefault="00192982" w:rsidP="00D131FA">
      <w:pPr>
        <w:pStyle w:val="Styl1"/>
        <w:numPr>
          <w:ilvl w:val="0"/>
          <w:numId w:val="3"/>
        </w:numPr>
        <w:rPr>
          <w:i/>
        </w:rPr>
      </w:pPr>
      <w:r w:rsidRPr="00EC250C">
        <w:rPr>
          <w:i/>
        </w:rPr>
        <w:t>Ogólnopolskie badanie liczby osób bezdomnych.</w:t>
      </w:r>
    </w:p>
    <w:p w14:paraId="7C6C9F83" w14:textId="77777777" w:rsidR="00192982" w:rsidRPr="00EC250C" w:rsidRDefault="00192982" w:rsidP="00D131FA">
      <w:pPr>
        <w:pStyle w:val="Styl1"/>
      </w:pPr>
      <w:r w:rsidRPr="00EC250C">
        <w:t xml:space="preserve">MRPiPS </w:t>
      </w:r>
      <w:r w:rsidR="007A5CCC" w:rsidRPr="00EC250C">
        <w:t xml:space="preserve">uwzględniło </w:t>
      </w:r>
      <w:r w:rsidRPr="00EC250C">
        <w:t>większość postulatów zgłoszonych przez organizację pozarządowe</w:t>
      </w:r>
      <w:r w:rsidR="00992FD0" w:rsidRPr="00EC250C">
        <w:t xml:space="preserve"> i </w:t>
      </w:r>
      <w:r w:rsidRPr="00EC250C">
        <w:t>wspieranych przez Komisję Ekspertów</w:t>
      </w:r>
      <w:r w:rsidR="00992FD0" w:rsidRPr="00EC250C">
        <w:t xml:space="preserve"> w </w:t>
      </w:r>
      <w:r w:rsidRPr="00EC250C">
        <w:t>badani</w:t>
      </w:r>
      <w:r w:rsidR="007A5CCC" w:rsidRPr="00EC250C">
        <w:t>u</w:t>
      </w:r>
      <w:r w:rsidRPr="00EC250C">
        <w:t>, które odb</w:t>
      </w:r>
      <w:r w:rsidR="007A5CCC" w:rsidRPr="00EC250C">
        <w:t>yło</w:t>
      </w:r>
      <w:r w:rsidRPr="00EC250C">
        <w:t xml:space="preserve"> się</w:t>
      </w:r>
      <w:r w:rsidR="00992FD0" w:rsidRPr="00EC250C">
        <w:t xml:space="preserve"> w </w:t>
      </w:r>
      <w:r w:rsidRPr="00EC250C">
        <w:t>nocy</w:t>
      </w:r>
      <w:r w:rsidR="00992FD0" w:rsidRPr="00EC250C">
        <w:t xml:space="preserve"> z </w:t>
      </w:r>
      <w:r w:rsidRPr="00EC250C">
        <w:t>13 na 14 lutego 2019</w:t>
      </w:r>
      <w:r w:rsidR="00C91F6E" w:rsidRPr="00EC250C">
        <w:t> r.</w:t>
      </w:r>
    </w:p>
    <w:p w14:paraId="6E304F5C" w14:textId="77777777" w:rsidR="00192982" w:rsidRPr="00EC250C" w:rsidRDefault="00192982" w:rsidP="00D131FA">
      <w:pPr>
        <w:pStyle w:val="Srdtytul6"/>
        <w:jc w:val="both"/>
      </w:pPr>
      <w:r w:rsidRPr="00EC250C">
        <w:t>Co wymaga dalszej pracy</w:t>
      </w:r>
    </w:p>
    <w:p w14:paraId="4E61767B" w14:textId="77777777" w:rsidR="00C91F6E" w:rsidRPr="00EC250C" w:rsidRDefault="00192982" w:rsidP="00D131FA">
      <w:pPr>
        <w:pStyle w:val="Styl1"/>
      </w:pPr>
      <w:r w:rsidRPr="00EC250C">
        <w:t>Konieczne jest monitorowanie wdrażania ustawy</w:t>
      </w:r>
      <w:r w:rsidR="00992FD0" w:rsidRPr="00EC250C">
        <w:t xml:space="preserve"> o </w:t>
      </w:r>
      <w:r w:rsidRPr="00EC250C">
        <w:t>Krajowym Zasobie Nieruchomości, która stanowi zasadniczy akt prawny dla realizacji programu „Mieszkanie plus”.</w:t>
      </w:r>
      <w:r w:rsidR="007A5CCC" w:rsidRPr="00EC250C">
        <w:t xml:space="preserve"> W 2018</w:t>
      </w:r>
      <w:r w:rsidR="00C91F6E" w:rsidRPr="00EC250C">
        <w:t> r.</w:t>
      </w:r>
      <w:r w:rsidRPr="00EC250C">
        <w:t xml:space="preserve"> program ten</w:t>
      </w:r>
      <w:r w:rsidR="00992FD0" w:rsidRPr="00EC250C">
        <w:t xml:space="preserve"> w </w:t>
      </w:r>
      <w:r w:rsidRPr="00EC250C">
        <w:t>zasadzie nie działa</w:t>
      </w:r>
      <w:r w:rsidR="007A5CCC" w:rsidRPr="00EC250C">
        <w:t>ł</w:t>
      </w:r>
      <w:r w:rsidRPr="00EC250C">
        <w:t>,</w:t>
      </w:r>
      <w:r w:rsidR="00992FD0" w:rsidRPr="00EC250C">
        <w:t xml:space="preserve"> a </w:t>
      </w:r>
      <w:r w:rsidRPr="00EC250C">
        <w:t xml:space="preserve">poważne obawy </w:t>
      </w:r>
      <w:r w:rsidR="007A5CCC" w:rsidRPr="00EC250C">
        <w:t>wiążą się</w:t>
      </w:r>
      <w:r w:rsidR="00992FD0" w:rsidRPr="00EC250C">
        <w:t xml:space="preserve"> z </w:t>
      </w:r>
      <w:r w:rsidR="007A5CCC" w:rsidRPr="00EC250C">
        <w:t>tym</w:t>
      </w:r>
      <w:r w:rsidRPr="00EC250C">
        <w:t>, jak</w:t>
      </w:r>
      <w:r w:rsidR="00992FD0" w:rsidRPr="00EC250C">
        <w:t xml:space="preserve"> w </w:t>
      </w:r>
      <w:r w:rsidRPr="00EC250C">
        <w:t>praktyce będą funkcjonować zmienione przepisy ustawy</w:t>
      </w:r>
      <w:r w:rsidR="00992FD0" w:rsidRPr="00EC250C">
        <w:t xml:space="preserve"> o </w:t>
      </w:r>
      <w:r w:rsidRPr="00EC250C">
        <w:t>ochronie praw lokatorów, które zacz</w:t>
      </w:r>
      <w:r w:rsidR="007A5CCC" w:rsidRPr="00EC250C">
        <w:t xml:space="preserve">ęły </w:t>
      </w:r>
      <w:r w:rsidRPr="00EC250C">
        <w:t>obowiązywać od kwietnia 2019</w:t>
      </w:r>
      <w:r w:rsidR="00C91F6E" w:rsidRPr="00EC250C">
        <w:t> r.</w:t>
      </w:r>
      <w:r w:rsidRPr="00EC250C">
        <w:t xml:space="preserve"> Założeniem do tych zmian był m.in. prognozowany wzrost liczby mieszkań na rynku wskutek realizacji programu „Mieszkanie plus”.</w:t>
      </w:r>
    </w:p>
    <w:p w14:paraId="0C0B227B" w14:textId="77777777" w:rsidR="00192982" w:rsidRPr="00EC250C" w:rsidRDefault="00192982" w:rsidP="00D131FA">
      <w:pPr>
        <w:pStyle w:val="Styl1"/>
      </w:pPr>
      <w:r w:rsidRPr="00EC250C">
        <w:t>Kolejnym problemem pozostaje sytuacja osób bezdomnych, chorych</w:t>
      </w:r>
      <w:r w:rsidR="00992FD0" w:rsidRPr="00EC250C">
        <w:t xml:space="preserve"> i </w:t>
      </w:r>
      <w:r w:rsidRPr="00EC250C">
        <w:t>wymagających stałej opieki leczniczej. W praktyce placówki dla osób bezdomnych</w:t>
      </w:r>
      <w:r w:rsidR="00992FD0" w:rsidRPr="00EC250C">
        <w:t xml:space="preserve"> z </w:t>
      </w:r>
      <w:r w:rsidRPr="00EC250C">
        <w:t>funkcją usług opiekuńczych nie zostały utworzone. Osoby przewlekle chore, po opuszczeniu szpitala trafiają często</w:t>
      </w:r>
      <w:r w:rsidR="00992FD0" w:rsidRPr="00EC250C">
        <w:t xml:space="preserve"> z </w:t>
      </w:r>
      <w:r w:rsidRPr="00EC250C">
        <w:t>powrotem „na ulice”, gdzie nie mają zapewnionej odpowiedniej opieki. W dalszym ciągu Komisja promować będzie ideę miejskiej karty praw osoby doświadczającej bezdomności.</w:t>
      </w:r>
    </w:p>
    <w:p w14:paraId="22367B56" w14:textId="77777777" w:rsidR="00192982" w:rsidRPr="00EC250C" w:rsidRDefault="00192982" w:rsidP="00EC250C">
      <w:pPr>
        <w:pStyle w:val="Nagwek5"/>
      </w:pPr>
      <w:bookmarkStart w:id="857" w:name="_Toc6258055"/>
      <w:r w:rsidRPr="00EC250C">
        <w:t>B. Komisja Ekspertów Krajowego Mechanizmu Prewencji</w:t>
      </w:r>
      <w:bookmarkEnd w:id="857"/>
    </w:p>
    <w:p w14:paraId="1F2663FE" w14:textId="77777777" w:rsidR="00B473F5" w:rsidRPr="00EC250C" w:rsidRDefault="00D005E7" w:rsidP="00D131FA">
      <w:pPr>
        <w:pStyle w:val="Problemczowieka"/>
        <w:jc w:val="both"/>
      </w:pPr>
      <w:r w:rsidRPr="00EC250C">
        <w:t>C</w:t>
      </w:r>
      <w:r w:rsidR="00192982" w:rsidRPr="00EC250C">
        <w:t>elem Komisji jest przede wszystkim budowanie postawy braku akceptacji dla tortur</w:t>
      </w:r>
      <w:r w:rsidR="00992FD0" w:rsidRPr="00EC250C">
        <w:t xml:space="preserve"> i </w:t>
      </w:r>
      <w:r w:rsidR="00192982" w:rsidRPr="00EC250C">
        <w:t>nieludzkiego traktowania lub innych form przemocy wobec osób przebywających</w:t>
      </w:r>
      <w:r w:rsidR="00992FD0" w:rsidRPr="00EC250C">
        <w:t xml:space="preserve"> w </w:t>
      </w:r>
      <w:r w:rsidR="00192982" w:rsidRPr="00EC250C">
        <w:t>detencji</w:t>
      </w:r>
      <w:r w:rsidR="00B473F5" w:rsidRPr="00EC250C">
        <w:t>.</w:t>
      </w:r>
    </w:p>
    <w:p w14:paraId="1ED6C145" w14:textId="77777777" w:rsidR="00192982" w:rsidRPr="00EC250C" w:rsidRDefault="00192982" w:rsidP="00D131FA">
      <w:pPr>
        <w:pStyle w:val="Styl1"/>
      </w:pPr>
      <w:r w:rsidRPr="00EC250C">
        <w:lastRenderedPageBreak/>
        <w:t>Zadaniem Komisji jest zgłaszanie uwag bądź propozycji co do kierunków, metod pracy oraz rekomendacji wydawanych</w:t>
      </w:r>
      <w:r w:rsidR="00992FD0" w:rsidRPr="00EC250C">
        <w:t xml:space="preserve"> w </w:t>
      </w:r>
      <w:r w:rsidRPr="00EC250C">
        <w:t>ramach realizacji mandatu KMPT,</w:t>
      </w:r>
      <w:r w:rsidR="00992FD0" w:rsidRPr="00EC250C">
        <w:t xml:space="preserve"> a </w:t>
      </w:r>
      <w:r w:rsidRPr="00EC250C">
        <w:t>także udział</w:t>
      </w:r>
      <w:r w:rsidR="00992FD0" w:rsidRPr="00EC250C">
        <w:t xml:space="preserve"> w </w:t>
      </w:r>
      <w:r w:rsidRPr="00EC250C">
        <w:t>opracowywaniu strategii KMPT.</w:t>
      </w:r>
    </w:p>
    <w:p w14:paraId="2FC13E2C" w14:textId="77777777" w:rsidR="00C91F6E" w:rsidRPr="00EC250C" w:rsidRDefault="00192982" w:rsidP="00D131FA">
      <w:pPr>
        <w:pStyle w:val="Srdtytul6"/>
        <w:jc w:val="both"/>
      </w:pPr>
      <w:r w:rsidRPr="00EC250C">
        <w:t>Skład Komisji Ekspertów Krajowego Mechanizmu Prewencji Tortur</w:t>
      </w:r>
    </w:p>
    <w:p w14:paraId="237AEA1D" w14:textId="77777777" w:rsidR="00C73FDE" w:rsidRPr="00EC250C" w:rsidRDefault="00C73FDE" w:rsidP="00D131FA">
      <w:pPr>
        <w:pStyle w:val="Styl1"/>
        <w:numPr>
          <w:ilvl w:val="0"/>
          <w:numId w:val="5"/>
        </w:numPr>
        <w:sectPr w:rsidR="00C73FDE" w:rsidRPr="00EC250C" w:rsidSect="00FC47F2">
          <w:type w:val="continuous"/>
          <w:pgSz w:w="11907" w:h="16840"/>
          <w:pgMar w:top="1418" w:right="1418" w:bottom="1418" w:left="1276" w:header="567" w:footer="567" w:gutter="0"/>
          <w:cols w:space="708"/>
          <w:titlePg/>
          <w:docGrid w:linePitch="354"/>
        </w:sectPr>
      </w:pPr>
    </w:p>
    <w:p w14:paraId="3D7422FE" w14:textId="77777777" w:rsidR="00192982" w:rsidRPr="00EC250C" w:rsidRDefault="00192982" w:rsidP="00EC250C">
      <w:pPr>
        <w:pStyle w:val="Styl1"/>
        <w:numPr>
          <w:ilvl w:val="0"/>
          <w:numId w:val="5"/>
        </w:numPr>
        <w:jc w:val="left"/>
        <w:rPr>
          <w:lang w:val="en-US"/>
        </w:rPr>
      </w:pPr>
      <w:r w:rsidRPr="00EC250C">
        <w:rPr>
          <w:lang w:val="en-US"/>
        </w:rPr>
        <w:t>Maria Ejchart-Dubois – współprzewodnicząca</w:t>
      </w:r>
    </w:p>
    <w:p w14:paraId="2B6F368D" w14:textId="77777777" w:rsidR="00192982" w:rsidRPr="00EC250C" w:rsidRDefault="00192982" w:rsidP="00EC250C">
      <w:pPr>
        <w:pStyle w:val="Styl1"/>
        <w:numPr>
          <w:ilvl w:val="0"/>
          <w:numId w:val="5"/>
        </w:numPr>
        <w:jc w:val="left"/>
        <w:rPr>
          <w:lang w:val="en-US"/>
        </w:rPr>
      </w:pPr>
      <w:r w:rsidRPr="00EC250C">
        <w:rPr>
          <w:lang w:val="en-US"/>
        </w:rPr>
        <w:t>Justyna Jóźwiak – współprzewodnicząca</w:t>
      </w:r>
    </w:p>
    <w:p w14:paraId="648C959D" w14:textId="77777777" w:rsidR="00192982" w:rsidRPr="00EC250C" w:rsidRDefault="00192982" w:rsidP="00D131FA">
      <w:pPr>
        <w:pStyle w:val="Styl1"/>
        <w:numPr>
          <w:ilvl w:val="0"/>
          <w:numId w:val="5"/>
        </w:numPr>
        <w:rPr>
          <w:lang w:val="en-US"/>
        </w:rPr>
      </w:pPr>
      <w:r w:rsidRPr="00EC250C">
        <w:rPr>
          <w:lang w:val="en-US"/>
        </w:rPr>
        <w:t>Klaudia Kamińska – sekretarz</w:t>
      </w:r>
    </w:p>
    <w:p w14:paraId="00549270" w14:textId="77777777" w:rsidR="00192982" w:rsidRPr="00EC250C" w:rsidRDefault="00192982" w:rsidP="00EC250C">
      <w:pPr>
        <w:pStyle w:val="Styl1"/>
        <w:numPr>
          <w:ilvl w:val="0"/>
          <w:numId w:val="5"/>
        </w:numPr>
        <w:jc w:val="left"/>
      </w:pPr>
      <w:r w:rsidRPr="00EC250C">
        <w:t>Zbigniew Lasocik (do września 2018</w:t>
      </w:r>
      <w:r w:rsidR="00C91F6E" w:rsidRPr="00EC250C">
        <w:t> r.</w:t>
      </w:r>
      <w:r w:rsidRPr="00EC250C">
        <w:t>)</w:t>
      </w:r>
    </w:p>
    <w:p w14:paraId="47828377" w14:textId="77777777" w:rsidR="00192982" w:rsidRPr="00EC250C" w:rsidRDefault="00192982" w:rsidP="00D131FA">
      <w:pPr>
        <w:pStyle w:val="Styl1"/>
        <w:numPr>
          <w:ilvl w:val="0"/>
          <w:numId w:val="5"/>
        </w:numPr>
        <w:rPr>
          <w:lang w:val="en-US"/>
        </w:rPr>
      </w:pPr>
      <w:r w:rsidRPr="00EC250C">
        <w:rPr>
          <w:lang w:val="en-US"/>
        </w:rPr>
        <w:t>Mirosław Wyrzykowski</w:t>
      </w:r>
    </w:p>
    <w:p w14:paraId="74FA4F95" w14:textId="77777777" w:rsidR="00192982" w:rsidRPr="00EC250C" w:rsidRDefault="00192982" w:rsidP="00D131FA">
      <w:pPr>
        <w:pStyle w:val="Styl1"/>
        <w:numPr>
          <w:ilvl w:val="0"/>
          <w:numId w:val="5"/>
        </w:numPr>
        <w:rPr>
          <w:lang w:val="en-US"/>
        </w:rPr>
      </w:pPr>
      <w:r w:rsidRPr="00EC250C">
        <w:rPr>
          <w:lang w:val="en-US"/>
        </w:rPr>
        <w:t>Piotr Sendecki</w:t>
      </w:r>
    </w:p>
    <w:p w14:paraId="41CC102C" w14:textId="77777777" w:rsidR="00192982" w:rsidRPr="00EC250C" w:rsidRDefault="00192982" w:rsidP="00D131FA">
      <w:pPr>
        <w:pStyle w:val="Styl1"/>
        <w:numPr>
          <w:ilvl w:val="0"/>
          <w:numId w:val="5"/>
        </w:numPr>
        <w:rPr>
          <w:lang w:val="en-US"/>
        </w:rPr>
      </w:pPr>
      <w:r w:rsidRPr="00EC250C">
        <w:rPr>
          <w:lang w:val="en-US"/>
        </w:rPr>
        <w:t>Witold Klaus</w:t>
      </w:r>
    </w:p>
    <w:p w14:paraId="4C954A5D" w14:textId="77777777" w:rsidR="00192982" w:rsidRPr="00EC250C" w:rsidRDefault="00192982" w:rsidP="00D131FA">
      <w:pPr>
        <w:pStyle w:val="Styl1"/>
        <w:numPr>
          <w:ilvl w:val="0"/>
          <w:numId w:val="5"/>
        </w:numPr>
      </w:pPr>
      <w:r w:rsidRPr="00EC250C">
        <w:t>Maria Załuska</w:t>
      </w:r>
    </w:p>
    <w:p w14:paraId="1652BE95" w14:textId="77777777" w:rsidR="00192982" w:rsidRPr="00EC250C" w:rsidRDefault="00192982" w:rsidP="00D131FA">
      <w:pPr>
        <w:pStyle w:val="Styl1"/>
        <w:numPr>
          <w:ilvl w:val="0"/>
          <w:numId w:val="5"/>
        </w:numPr>
      </w:pPr>
      <w:r w:rsidRPr="00EC250C">
        <w:t>Marek Konopczyński</w:t>
      </w:r>
    </w:p>
    <w:p w14:paraId="7F662A13" w14:textId="77777777" w:rsidR="00192982" w:rsidRPr="00EC250C" w:rsidRDefault="00192982" w:rsidP="00D131FA">
      <w:pPr>
        <w:pStyle w:val="Styl1"/>
        <w:numPr>
          <w:ilvl w:val="0"/>
          <w:numId w:val="5"/>
        </w:numPr>
      </w:pPr>
      <w:r w:rsidRPr="00EC250C">
        <w:t>Marzena Ksel</w:t>
      </w:r>
    </w:p>
    <w:p w14:paraId="0D6913D7" w14:textId="77777777" w:rsidR="00192982" w:rsidRPr="00EC250C" w:rsidRDefault="00192982" w:rsidP="00D131FA">
      <w:pPr>
        <w:pStyle w:val="Styl1"/>
        <w:numPr>
          <w:ilvl w:val="0"/>
          <w:numId w:val="5"/>
        </w:numPr>
      </w:pPr>
      <w:r w:rsidRPr="00EC250C">
        <w:t>Grażyna Barbara Szczygieł</w:t>
      </w:r>
    </w:p>
    <w:p w14:paraId="132AD92E" w14:textId="77777777" w:rsidR="00192982" w:rsidRPr="00EC250C" w:rsidRDefault="00192982" w:rsidP="00D131FA">
      <w:pPr>
        <w:pStyle w:val="Styl1"/>
        <w:numPr>
          <w:ilvl w:val="0"/>
          <w:numId w:val="5"/>
        </w:numPr>
      </w:pPr>
      <w:r w:rsidRPr="00EC250C">
        <w:t>Janina Agnieszka Kłosowska</w:t>
      </w:r>
    </w:p>
    <w:p w14:paraId="6DDA646B" w14:textId="77777777" w:rsidR="00192982" w:rsidRPr="00EC250C" w:rsidRDefault="00192982" w:rsidP="00D131FA">
      <w:pPr>
        <w:pStyle w:val="Styl1"/>
        <w:numPr>
          <w:ilvl w:val="0"/>
          <w:numId w:val="5"/>
        </w:numPr>
      </w:pPr>
      <w:r w:rsidRPr="00EC250C">
        <w:t>Lidia Olejnik</w:t>
      </w:r>
    </w:p>
    <w:p w14:paraId="6E4B4B3D" w14:textId="77777777" w:rsidR="00192982" w:rsidRPr="00EC250C" w:rsidRDefault="00192982" w:rsidP="00D131FA">
      <w:pPr>
        <w:pStyle w:val="Styl1"/>
        <w:numPr>
          <w:ilvl w:val="0"/>
          <w:numId w:val="5"/>
        </w:numPr>
      </w:pPr>
      <w:r w:rsidRPr="00EC250C">
        <w:t>Paweł Knut</w:t>
      </w:r>
    </w:p>
    <w:p w14:paraId="5992526D" w14:textId="77777777" w:rsidR="00192982" w:rsidRPr="00EC250C" w:rsidRDefault="00192982" w:rsidP="00D131FA">
      <w:pPr>
        <w:pStyle w:val="Styl1"/>
        <w:numPr>
          <w:ilvl w:val="0"/>
          <w:numId w:val="5"/>
        </w:numPr>
      </w:pPr>
      <w:r w:rsidRPr="00EC250C">
        <w:t>Mikołaj Pietrzak</w:t>
      </w:r>
    </w:p>
    <w:p w14:paraId="5D7115C2" w14:textId="77777777" w:rsidR="00192982" w:rsidRPr="00EC250C" w:rsidRDefault="00192982" w:rsidP="00D131FA">
      <w:pPr>
        <w:pStyle w:val="Styl1"/>
        <w:numPr>
          <w:ilvl w:val="0"/>
          <w:numId w:val="5"/>
        </w:numPr>
        <w:rPr>
          <w:lang w:val="en-US"/>
        </w:rPr>
      </w:pPr>
      <w:r w:rsidRPr="00EC250C">
        <w:rPr>
          <w:lang w:val="en-US"/>
        </w:rPr>
        <w:t>Jerzy Foerster</w:t>
      </w:r>
    </w:p>
    <w:p w14:paraId="565C9E79" w14:textId="77777777" w:rsidR="00192982" w:rsidRPr="00EC250C" w:rsidRDefault="00192982" w:rsidP="00D131FA">
      <w:pPr>
        <w:pStyle w:val="Styl1"/>
        <w:numPr>
          <w:ilvl w:val="0"/>
          <w:numId w:val="5"/>
        </w:numPr>
      </w:pPr>
      <w:r w:rsidRPr="00EC250C">
        <w:t>Bożena Szubińska</w:t>
      </w:r>
    </w:p>
    <w:p w14:paraId="3A38707C" w14:textId="77777777" w:rsidR="00192982" w:rsidRPr="00EC250C" w:rsidRDefault="00192982" w:rsidP="00D131FA">
      <w:pPr>
        <w:pStyle w:val="Styl1"/>
        <w:numPr>
          <w:ilvl w:val="0"/>
          <w:numId w:val="5"/>
        </w:numPr>
      </w:pPr>
      <w:r w:rsidRPr="00EC250C">
        <w:t>Joanna Klara Żuchowska</w:t>
      </w:r>
    </w:p>
    <w:p w14:paraId="2240076F" w14:textId="77777777" w:rsidR="00192982" w:rsidRPr="00EC250C" w:rsidRDefault="00192982" w:rsidP="00D131FA">
      <w:pPr>
        <w:pStyle w:val="Styl1"/>
        <w:numPr>
          <w:ilvl w:val="0"/>
          <w:numId w:val="5"/>
        </w:numPr>
      </w:pPr>
      <w:r w:rsidRPr="00EC250C">
        <w:t>Kama Katarasińska-Pierzgalska</w:t>
      </w:r>
    </w:p>
    <w:p w14:paraId="0D6A049E" w14:textId="77777777" w:rsidR="00192982" w:rsidRPr="00EC250C" w:rsidRDefault="00192982" w:rsidP="00D131FA">
      <w:pPr>
        <w:pStyle w:val="Styl1"/>
        <w:numPr>
          <w:ilvl w:val="0"/>
          <w:numId w:val="5"/>
        </w:numPr>
      </w:pPr>
      <w:r w:rsidRPr="00EC250C">
        <w:t>Agnieszka Aleksandra Sikora</w:t>
      </w:r>
    </w:p>
    <w:p w14:paraId="373FEC54" w14:textId="77777777" w:rsidR="00192982" w:rsidRPr="00EC250C" w:rsidRDefault="00192982" w:rsidP="00D131FA">
      <w:pPr>
        <w:pStyle w:val="Styl1"/>
        <w:numPr>
          <w:ilvl w:val="0"/>
          <w:numId w:val="5"/>
        </w:numPr>
      </w:pPr>
      <w:r w:rsidRPr="00EC250C">
        <w:t>Maria Książak</w:t>
      </w:r>
    </w:p>
    <w:p w14:paraId="2A5A1E92" w14:textId="77777777" w:rsidR="00192982" w:rsidRPr="00EC250C" w:rsidRDefault="00192982" w:rsidP="00D131FA">
      <w:pPr>
        <w:pStyle w:val="Styl1"/>
        <w:numPr>
          <w:ilvl w:val="0"/>
          <w:numId w:val="5"/>
        </w:numPr>
      </w:pPr>
      <w:r w:rsidRPr="00EC250C">
        <w:t>Aleksandra Chrzanowska</w:t>
      </w:r>
    </w:p>
    <w:p w14:paraId="5E538886" w14:textId="77777777" w:rsidR="00192982" w:rsidRPr="00EC250C" w:rsidRDefault="00192982" w:rsidP="00D131FA">
      <w:pPr>
        <w:pStyle w:val="Styl1"/>
        <w:numPr>
          <w:ilvl w:val="0"/>
          <w:numId w:val="5"/>
        </w:numPr>
      </w:pPr>
      <w:r w:rsidRPr="00EC250C">
        <w:t>Katarzyna Wiśniewska</w:t>
      </w:r>
    </w:p>
    <w:p w14:paraId="45A97371" w14:textId="77777777" w:rsidR="00192982" w:rsidRPr="00EC250C" w:rsidRDefault="00192982" w:rsidP="00D131FA">
      <w:pPr>
        <w:pStyle w:val="Styl1"/>
        <w:numPr>
          <w:ilvl w:val="0"/>
          <w:numId w:val="5"/>
        </w:numPr>
      </w:pPr>
      <w:r w:rsidRPr="00EC250C">
        <w:t>Maria Niełaczna</w:t>
      </w:r>
    </w:p>
    <w:p w14:paraId="10BE8C12" w14:textId="77777777" w:rsidR="00192982" w:rsidRPr="00EC250C" w:rsidRDefault="00192982" w:rsidP="00D131FA">
      <w:pPr>
        <w:pStyle w:val="Styl1"/>
        <w:numPr>
          <w:ilvl w:val="0"/>
          <w:numId w:val="5"/>
        </w:numPr>
      </w:pPr>
      <w:r w:rsidRPr="00EC250C">
        <w:t>Janina de Michelis</w:t>
      </w:r>
    </w:p>
    <w:p w14:paraId="79105618" w14:textId="77777777" w:rsidR="00C73FDE" w:rsidRPr="00EC250C" w:rsidRDefault="00C73FDE" w:rsidP="00D131FA">
      <w:pPr>
        <w:pStyle w:val="Srdtytul6"/>
        <w:jc w:val="both"/>
        <w:sectPr w:rsidR="00C73FDE" w:rsidRPr="00EC250C" w:rsidSect="00FC47F2">
          <w:type w:val="continuous"/>
          <w:pgSz w:w="11907" w:h="16840"/>
          <w:pgMar w:top="1418" w:right="1418" w:bottom="1418" w:left="1276" w:header="567" w:footer="567" w:gutter="0"/>
          <w:cols w:num="2" w:space="708"/>
          <w:titlePg/>
          <w:docGrid w:linePitch="354"/>
        </w:sectPr>
      </w:pPr>
    </w:p>
    <w:p w14:paraId="02C3C278" w14:textId="77777777" w:rsidR="00192982" w:rsidRPr="00EC250C" w:rsidRDefault="00192982" w:rsidP="00D131FA">
      <w:pPr>
        <w:pStyle w:val="Srdtytul6"/>
        <w:jc w:val="both"/>
      </w:pPr>
      <w:r w:rsidRPr="00EC250C">
        <w:t>Działania Komisji</w:t>
      </w:r>
    </w:p>
    <w:p w14:paraId="2B0830DD" w14:textId="77777777" w:rsidR="00C91F6E" w:rsidRPr="00EC250C" w:rsidRDefault="00192982" w:rsidP="00D131FA">
      <w:pPr>
        <w:pStyle w:val="Styl1"/>
        <w:rPr>
          <w:bCs/>
        </w:rPr>
      </w:pPr>
      <w:r w:rsidRPr="00EC250C">
        <w:rPr>
          <w:bCs/>
        </w:rPr>
        <w:t>Komisja została powołana pod koniec 2016</w:t>
      </w:r>
      <w:r w:rsidR="00C91F6E" w:rsidRPr="00EC250C">
        <w:rPr>
          <w:bCs/>
        </w:rPr>
        <w:t> r.</w:t>
      </w:r>
      <w:r w:rsidRPr="00EC250C">
        <w:rPr>
          <w:bCs/>
        </w:rPr>
        <w:t xml:space="preserve"> W 2018</w:t>
      </w:r>
      <w:r w:rsidR="00C91F6E" w:rsidRPr="00EC250C">
        <w:rPr>
          <w:bCs/>
        </w:rPr>
        <w:t> r.</w:t>
      </w:r>
      <w:r w:rsidRPr="00EC250C">
        <w:rPr>
          <w:bCs/>
        </w:rPr>
        <w:t xml:space="preserve"> odbyły się </w:t>
      </w:r>
      <w:r w:rsidR="00D005E7" w:rsidRPr="00EC250C">
        <w:rPr>
          <w:bCs/>
        </w:rPr>
        <w:t xml:space="preserve">jej </w:t>
      </w:r>
      <w:r w:rsidRPr="00EC250C">
        <w:rPr>
          <w:bCs/>
        </w:rPr>
        <w:t>dwa posiedzenia. Ponadto eksperci KMPT brali udział</w:t>
      </w:r>
      <w:r w:rsidR="00992FD0" w:rsidRPr="00EC250C">
        <w:rPr>
          <w:bCs/>
        </w:rPr>
        <w:t xml:space="preserve"> w </w:t>
      </w:r>
      <w:r w:rsidRPr="00EC250C">
        <w:rPr>
          <w:bCs/>
        </w:rPr>
        <w:t>wizytacjach, debatach regionalnych, Okrągłym Stole oraz II Kongresie Praw Obywatelskich.</w:t>
      </w:r>
    </w:p>
    <w:p w14:paraId="74475BC3" w14:textId="77777777" w:rsidR="00192982" w:rsidRPr="00EC250C" w:rsidRDefault="00192982" w:rsidP="00D131FA">
      <w:pPr>
        <w:pStyle w:val="Styl1"/>
        <w:numPr>
          <w:ilvl w:val="0"/>
          <w:numId w:val="7"/>
        </w:numPr>
        <w:ind w:left="567" w:hanging="283"/>
        <w:rPr>
          <w:bCs/>
          <w:i/>
        </w:rPr>
      </w:pPr>
      <w:r w:rsidRPr="00EC250C">
        <w:rPr>
          <w:bCs/>
          <w:i/>
        </w:rPr>
        <w:t>Posiedzenia Komisji</w:t>
      </w:r>
    </w:p>
    <w:p w14:paraId="709831A3" w14:textId="77777777" w:rsidR="00C91F6E" w:rsidRPr="00EC250C" w:rsidRDefault="00D005E7" w:rsidP="00D131FA">
      <w:pPr>
        <w:pStyle w:val="Styl1"/>
      </w:pPr>
      <w:r w:rsidRPr="00EC250C">
        <w:t xml:space="preserve">W styczniu </w:t>
      </w:r>
      <w:r w:rsidR="009A04A0" w:rsidRPr="00EC250C">
        <w:t>eksperci zapoznali się z wnioskami z działania KMPT w 2017 r.</w:t>
      </w:r>
      <w:r w:rsidR="00192982" w:rsidRPr="00EC250C">
        <w:t xml:space="preserve"> </w:t>
      </w:r>
      <w:r w:rsidRPr="00EC250C">
        <w:t xml:space="preserve">W dyskusji </w:t>
      </w:r>
      <w:r w:rsidR="00192982" w:rsidRPr="00EC250C">
        <w:t>wskazywano także na: potrzebę wzmocnienia współpracy międzynarodowej, konieczność prowadzenia szerszej działalności edukacyjnej, pozyskanie lekarzy jako ekspertów KMPT, zaangażowanie środowisk artystycznych</w:t>
      </w:r>
      <w:r w:rsidR="00992FD0" w:rsidRPr="00EC250C">
        <w:t xml:space="preserve"> i </w:t>
      </w:r>
      <w:r w:rsidR="00192982" w:rsidRPr="00EC250C">
        <w:t>akademickich</w:t>
      </w:r>
      <w:r w:rsidR="00992FD0" w:rsidRPr="00EC250C">
        <w:t xml:space="preserve"> w </w:t>
      </w:r>
      <w:r w:rsidR="00192982" w:rsidRPr="00EC250C">
        <w:t>szerzeniu idei KMPT.</w:t>
      </w:r>
    </w:p>
    <w:p w14:paraId="19B52657" w14:textId="77777777" w:rsidR="00C91F6E" w:rsidRPr="00EC250C" w:rsidRDefault="00D005E7" w:rsidP="00D131FA">
      <w:pPr>
        <w:pStyle w:val="Styl1"/>
        <w:rPr>
          <w:bCs/>
        </w:rPr>
      </w:pPr>
      <w:r w:rsidRPr="00EC250C">
        <w:t xml:space="preserve">W październiku </w:t>
      </w:r>
      <w:r w:rsidR="00192982" w:rsidRPr="00EC250C">
        <w:t xml:space="preserve">przedstawione zostały założenia kampanii społecznej </w:t>
      </w:r>
      <w:r w:rsidR="00192982" w:rsidRPr="00EC250C">
        <w:rPr>
          <w:i/>
        </w:rPr>
        <w:t>Państwo bez tortur</w:t>
      </w:r>
      <w:r w:rsidR="00192982" w:rsidRPr="00EC250C">
        <w:t>. Przedstawiciele firmy Kantar Millward Brown zaprezentowali wyniki badania opinii społecznej przeprowadzonego na zlecenie Rzecznika Praw Obywatelskich (</w:t>
      </w:r>
      <w:r w:rsidR="00192982" w:rsidRPr="00EC250C">
        <w:rPr>
          <w:i/>
        </w:rPr>
        <w:t>Tortury – opinie Polaków</w:t>
      </w:r>
      <w:r w:rsidR="00192982" w:rsidRPr="00EC250C">
        <w:t xml:space="preserve">). </w:t>
      </w:r>
      <w:r w:rsidR="00192982" w:rsidRPr="00EC250C">
        <w:rPr>
          <w:bCs/>
        </w:rPr>
        <w:t>Przedmiotem dyskusji była także trudna sytuacja cudzoziemców narażonych na tortury</w:t>
      </w:r>
      <w:r w:rsidR="00992FD0" w:rsidRPr="00EC250C">
        <w:rPr>
          <w:bCs/>
        </w:rPr>
        <w:t xml:space="preserve"> i </w:t>
      </w:r>
      <w:r w:rsidR="00192982" w:rsidRPr="00EC250C">
        <w:rPr>
          <w:bCs/>
        </w:rPr>
        <w:t>nieludzkie traktowanie</w:t>
      </w:r>
      <w:r w:rsidR="00992FD0" w:rsidRPr="00EC250C">
        <w:rPr>
          <w:bCs/>
        </w:rPr>
        <w:t xml:space="preserve"> w </w:t>
      </w:r>
      <w:r w:rsidR="00192982" w:rsidRPr="00EC250C">
        <w:rPr>
          <w:bCs/>
        </w:rPr>
        <w:t>efekcie uruchomienia transferu dublińskiego, przedstawiona przez Marię Książak – ekspertkę KMPT</w:t>
      </w:r>
      <w:r w:rsidR="00992FD0" w:rsidRPr="00EC250C">
        <w:rPr>
          <w:bCs/>
        </w:rPr>
        <w:t xml:space="preserve"> z </w:t>
      </w:r>
      <w:r w:rsidR="00192982" w:rsidRPr="00EC250C">
        <w:rPr>
          <w:bCs/>
        </w:rPr>
        <w:t>zakresu psychologii.</w:t>
      </w:r>
    </w:p>
    <w:p w14:paraId="558C8F47" w14:textId="77777777" w:rsidR="00192982" w:rsidRPr="00EC250C" w:rsidRDefault="00192982" w:rsidP="00D131FA">
      <w:pPr>
        <w:pStyle w:val="Styl1"/>
        <w:numPr>
          <w:ilvl w:val="0"/>
          <w:numId w:val="7"/>
        </w:numPr>
        <w:ind w:left="567" w:hanging="283"/>
        <w:rPr>
          <w:bCs/>
          <w:i/>
        </w:rPr>
      </w:pPr>
      <w:r w:rsidRPr="00EC250C">
        <w:rPr>
          <w:bCs/>
          <w:i/>
        </w:rPr>
        <w:t>Udział ekspertów KE KMPT</w:t>
      </w:r>
      <w:r w:rsidR="00992FD0" w:rsidRPr="00EC250C">
        <w:rPr>
          <w:bCs/>
          <w:i/>
        </w:rPr>
        <w:t xml:space="preserve"> w </w:t>
      </w:r>
      <w:r w:rsidRPr="00EC250C">
        <w:rPr>
          <w:bCs/>
          <w:i/>
        </w:rPr>
        <w:t>wizytacjach</w:t>
      </w:r>
    </w:p>
    <w:p w14:paraId="0C616F10" w14:textId="77777777" w:rsidR="00C91F6E" w:rsidRPr="00EC250C" w:rsidRDefault="00192982" w:rsidP="00D131FA">
      <w:pPr>
        <w:pStyle w:val="Styl1"/>
        <w:rPr>
          <w:bCs/>
        </w:rPr>
      </w:pPr>
      <w:r w:rsidRPr="00EC250C">
        <w:rPr>
          <w:bCs/>
        </w:rPr>
        <w:lastRenderedPageBreak/>
        <w:t>W 2018</w:t>
      </w:r>
      <w:r w:rsidR="00C91F6E" w:rsidRPr="00EC250C">
        <w:rPr>
          <w:bCs/>
        </w:rPr>
        <w:t> r.</w:t>
      </w:r>
      <w:r w:rsidRPr="00EC250C">
        <w:rPr>
          <w:bCs/>
        </w:rPr>
        <w:t xml:space="preserve"> eksperci Komisji uczestniczyli</w:t>
      </w:r>
      <w:r w:rsidR="00992FD0" w:rsidRPr="00EC250C">
        <w:rPr>
          <w:bCs/>
        </w:rPr>
        <w:t xml:space="preserve"> w </w:t>
      </w:r>
      <w:r w:rsidRPr="00EC250C">
        <w:rPr>
          <w:bCs/>
        </w:rPr>
        <w:t>11 wizytacjach przeprowadzanych przez KMPT:</w:t>
      </w:r>
    </w:p>
    <w:p w14:paraId="10EE6B3E" w14:textId="77777777" w:rsidR="00C91F6E" w:rsidRPr="00EC250C" w:rsidRDefault="00192982" w:rsidP="00D131FA">
      <w:pPr>
        <w:pStyle w:val="Styl1"/>
        <w:numPr>
          <w:ilvl w:val="0"/>
          <w:numId w:val="6"/>
        </w:numPr>
        <w:rPr>
          <w:bCs/>
        </w:rPr>
      </w:pPr>
      <w:r w:rsidRPr="00EC250C">
        <w:rPr>
          <w:bCs/>
        </w:rPr>
        <w:t>dr n. med.</w:t>
      </w:r>
      <w:r w:rsidR="00EC5EAD" w:rsidRPr="00EC250C">
        <w:rPr>
          <w:bCs/>
        </w:rPr>
        <w:t xml:space="preserve"> </w:t>
      </w:r>
      <w:r w:rsidRPr="00EC250C">
        <w:rPr>
          <w:bCs/>
        </w:rPr>
        <w:t>Joanna Klara Żuchowska (specjalist</w:t>
      </w:r>
      <w:r w:rsidR="00E474C8" w:rsidRPr="00EC250C">
        <w:rPr>
          <w:bCs/>
        </w:rPr>
        <w:t>k</w:t>
      </w:r>
      <w:r w:rsidRPr="00EC250C">
        <w:rPr>
          <w:bCs/>
        </w:rPr>
        <w:t>a chorób wewnętrznych) –</w:t>
      </w:r>
      <w:r w:rsidR="00992FD0" w:rsidRPr="00EC250C">
        <w:rPr>
          <w:bCs/>
        </w:rPr>
        <w:t xml:space="preserve"> w </w:t>
      </w:r>
      <w:r w:rsidRPr="00EC250C">
        <w:rPr>
          <w:bCs/>
        </w:rPr>
        <w:t>9</w:t>
      </w:r>
      <w:r w:rsidR="00D005E7" w:rsidRPr="00EC250C">
        <w:rPr>
          <w:bCs/>
        </w:rPr>
        <w:t> </w:t>
      </w:r>
      <w:r w:rsidRPr="00EC250C">
        <w:rPr>
          <w:bCs/>
        </w:rPr>
        <w:t>wizytacjach m.in. zakładów opiekuńczo-leczniczych, placówkach całodobowej opieki, izb wytrzeźwień;</w:t>
      </w:r>
    </w:p>
    <w:p w14:paraId="2594E65E" w14:textId="77777777" w:rsidR="00192982" w:rsidRPr="00EC250C" w:rsidRDefault="00192982" w:rsidP="00D131FA">
      <w:pPr>
        <w:pStyle w:val="Styl1"/>
        <w:numPr>
          <w:ilvl w:val="0"/>
          <w:numId w:val="6"/>
        </w:numPr>
        <w:rPr>
          <w:bCs/>
        </w:rPr>
      </w:pPr>
      <w:r w:rsidRPr="00EC250C">
        <w:rPr>
          <w:bCs/>
        </w:rPr>
        <w:t>dr Jerzy Foerster (geriatra) –w 2</w:t>
      </w:r>
      <w:r w:rsidR="00D005E7" w:rsidRPr="00EC250C">
        <w:rPr>
          <w:bCs/>
        </w:rPr>
        <w:t> </w:t>
      </w:r>
      <w:r w:rsidRPr="00EC250C">
        <w:rPr>
          <w:bCs/>
        </w:rPr>
        <w:t>wizytacjach placówek całodobowej opieki;</w:t>
      </w:r>
    </w:p>
    <w:p w14:paraId="5C566A81" w14:textId="77777777" w:rsidR="00C91F6E" w:rsidRPr="00EC250C" w:rsidRDefault="00192982" w:rsidP="00D131FA">
      <w:pPr>
        <w:pStyle w:val="Styl1"/>
        <w:numPr>
          <w:ilvl w:val="0"/>
          <w:numId w:val="7"/>
        </w:numPr>
        <w:ind w:left="567" w:hanging="283"/>
        <w:rPr>
          <w:bCs/>
          <w:i/>
        </w:rPr>
      </w:pPr>
      <w:r w:rsidRPr="00EC250C">
        <w:rPr>
          <w:bCs/>
          <w:i/>
        </w:rPr>
        <w:t>Udział ekspertów KE KMPT</w:t>
      </w:r>
      <w:r w:rsidR="00992FD0" w:rsidRPr="00EC250C">
        <w:rPr>
          <w:bCs/>
          <w:i/>
        </w:rPr>
        <w:t xml:space="preserve"> w </w:t>
      </w:r>
      <w:r w:rsidRPr="00EC250C">
        <w:rPr>
          <w:bCs/>
          <w:i/>
        </w:rPr>
        <w:t>debatach regionalnych</w:t>
      </w:r>
    </w:p>
    <w:p w14:paraId="7A40C634" w14:textId="77777777" w:rsidR="00C91F6E" w:rsidRPr="00EC250C" w:rsidRDefault="00192982" w:rsidP="00D131FA">
      <w:pPr>
        <w:pStyle w:val="Styl1"/>
      </w:pPr>
      <w:r w:rsidRPr="00EC250C">
        <w:t>Debaty regionalne odbywają się od 2016 roku</w:t>
      </w:r>
      <w:r w:rsidR="00992FD0" w:rsidRPr="00EC250C">
        <w:t xml:space="preserve"> w </w:t>
      </w:r>
      <w:r w:rsidRPr="00EC250C">
        <w:t>stolicach województw</w:t>
      </w:r>
      <w:r w:rsidR="00D005E7" w:rsidRPr="00EC250C">
        <w:t xml:space="preserve">. Zapraszani są na nie </w:t>
      </w:r>
      <w:r w:rsidRPr="00EC250C">
        <w:t>przedstawiciel</w:t>
      </w:r>
      <w:r w:rsidR="00D005E7" w:rsidRPr="00EC250C">
        <w:t>e</w:t>
      </w:r>
      <w:r w:rsidRPr="00EC250C">
        <w:t xml:space="preserve"> wszystkich typów miejsc pozbawienia wolności, prokuratury, władzy sądowniczej, samorządu wojewódzkiego oraz uczelni. Spotkania stanowi</w:t>
      </w:r>
      <w:r w:rsidR="00AA18F1" w:rsidRPr="00EC250C">
        <w:t>ą</w:t>
      </w:r>
      <w:r w:rsidRPr="00EC250C">
        <w:t xml:space="preserve"> platformę wymiany doświadczeń ze współpracy władz miejsc detencji</w:t>
      </w:r>
      <w:r w:rsidR="00992FD0" w:rsidRPr="00EC250C">
        <w:t xml:space="preserve"> z </w:t>
      </w:r>
      <w:r w:rsidRPr="00EC250C">
        <w:t>KMPT.</w:t>
      </w:r>
    </w:p>
    <w:p w14:paraId="2200B5F3" w14:textId="77777777" w:rsidR="00C91F6E" w:rsidRPr="00EC250C" w:rsidRDefault="00192982" w:rsidP="00D131FA">
      <w:pPr>
        <w:pStyle w:val="Styl1"/>
      </w:pPr>
      <w:r w:rsidRPr="00EC250C">
        <w:t>Do uczestnictwa</w:t>
      </w:r>
      <w:r w:rsidR="00992FD0" w:rsidRPr="00EC250C">
        <w:t xml:space="preserve"> w </w:t>
      </w:r>
      <w:r w:rsidRPr="00EC250C">
        <w:t xml:space="preserve">debatach zapraszani byli także eksperci </w:t>
      </w:r>
      <w:r w:rsidR="00167222" w:rsidRPr="00EC250C">
        <w:t>Komisji</w:t>
      </w:r>
      <w:r w:rsidRPr="00EC250C">
        <w:t>.</w:t>
      </w:r>
      <w:r w:rsidR="00CC4D88" w:rsidRPr="00EC250C">
        <w:t xml:space="preserve"> </w:t>
      </w:r>
      <w:r w:rsidR="00167222" w:rsidRPr="00EC250C">
        <w:t xml:space="preserve">W </w:t>
      </w:r>
      <w:r w:rsidRPr="00EC250C">
        <w:t>deba</w:t>
      </w:r>
      <w:r w:rsidR="00167222" w:rsidRPr="00EC250C">
        <w:t xml:space="preserve">cie </w:t>
      </w:r>
      <w:r w:rsidRPr="00EC250C">
        <w:t xml:space="preserve">we Wrocławiu </w:t>
      </w:r>
      <w:r w:rsidR="00167222" w:rsidRPr="00EC250C">
        <w:t xml:space="preserve">uczestniczyła </w:t>
      </w:r>
      <w:r w:rsidRPr="00EC250C">
        <w:t>Lidi</w:t>
      </w:r>
      <w:r w:rsidR="00167222" w:rsidRPr="00EC250C">
        <w:t>a</w:t>
      </w:r>
      <w:r w:rsidRPr="00EC250C">
        <w:t xml:space="preserve"> Olejnik, która opowiedziała</w:t>
      </w:r>
      <w:r w:rsidR="00992FD0" w:rsidRPr="00EC250C">
        <w:t xml:space="preserve"> o </w:t>
      </w:r>
      <w:r w:rsidRPr="00EC250C">
        <w:t>sytuacji matek przebywających</w:t>
      </w:r>
      <w:r w:rsidR="00992FD0" w:rsidRPr="00EC250C">
        <w:t xml:space="preserve"> w </w:t>
      </w:r>
      <w:r w:rsidRPr="00EC250C">
        <w:t>zakładach karnych</w:t>
      </w:r>
      <w:r w:rsidR="00992FD0" w:rsidRPr="00EC250C">
        <w:t xml:space="preserve"> i </w:t>
      </w:r>
      <w:r w:rsidRPr="00EC250C">
        <w:t>aresztach śledczych (ekspertka przez 26 lat pracowała</w:t>
      </w:r>
      <w:r w:rsidR="00992FD0" w:rsidRPr="00EC250C">
        <w:t xml:space="preserve"> z </w:t>
      </w:r>
      <w:r w:rsidRPr="00EC250C">
        <w:t>kobietami pozbawionymi wolności);</w:t>
      </w:r>
      <w:r w:rsidR="00992FD0" w:rsidRPr="00EC250C">
        <w:t xml:space="preserve"> w </w:t>
      </w:r>
      <w:r w:rsidR="00167222" w:rsidRPr="00EC250C">
        <w:t>debacie</w:t>
      </w:r>
      <w:r w:rsidR="00992FD0" w:rsidRPr="00EC250C">
        <w:t xml:space="preserve"> w </w:t>
      </w:r>
      <w:r w:rsidR="00167222" w:rsidRPr="00EC250C">
        <w:t xml:space="preserve">Poznaniu brał udział </w:t>
      </w:r>
      <w:r w:rsidRPr="00EC250C">
        <w:t>mec. Piotr Sendecki, który</w:t>
      </w:r>
      <w:r w:rsidR="00167222" w:rsidRPr="00EC250C">
        <w:t xml:space="preserve"> mówił</w:t>
      </w:r>
      <w:r w:rsidR="00992FD0" w:rsidRPr="00EC250C">
        <w:t xml:space="preserve"> o </w:t>
      </w:r>
      <w:r w:rsidRPr="00EC250C">
        <w:t>roli adwokata</w:t>
      </w:r>
      <w:r w:rsidR="00992FD0" w:rsidRPr="00EC250C">
        <w:t xml:space="preserve"> w </w:t>
      </w:r>
      <w:r w:rsidRPr="00EC250C">
        <w:t>postępowaniu karnym;</w:t>
      </w:r>
      <w:r w:rsidR="00167222" w:rsidRPr="00EC250C">
        <w:t xml:space="preserve"> </w:t>
      </w:r>
      <w:r w:rsidR="00D4540F" w:rsidRPr="00EC250C">
        <w:t>podczas</w:t>
      </w:r>
      <w:r w:rsidR="00167222" w:rsidRPr="00EC250C">
        <w:t xml:space="preserve"> debaty</w:t>
      </w:r>
      <w:r w:rsidR="00992FD0" w:rsidRPr="00EC250C">
        <w:t xml:space="preserve"> w </w:t>
      </w:r>
      <w:r w:rsidRPr="00EC250C">
        <w:t>Warszawie prof. Zbigniew Lasocik wygłosił referat</w:t>
      </w:r>
      <w:r w:rsidR="00992FD0" w:rsidRPr="00EC250C">
        <w:t xml:space="preserve"> o </w:t>
      </w:r>
      <w:r w:rsidRPr="00EC250C">
        <w:t>budowaniu prewencyjnego systemu zapobiegania torturom.</w:t>
      </w:r>
    </w:p>
    <w:p w14:paraId="1050E4E7" w14:textId="77777777" w:rsidR="00192982" w:rsidRPr="00EC250C" w:rsidRDefault="00192982" w:rsidP="00D131FA">
      <w:pPr>
        <w:pStyle w:val="Styl1"/>
        <w:numPr>
          <w:ilvl w:val="0"/>
          <w:numId w:val="7"/>
        </w:numPr>
        <w:ind w:left="567" w:hanging="425"/>
        <w:rPr>
          <w:bCs/>
          <w:i/>
        </w:rPr>
      </w:pPr>
      <w:r w:rsidRPr="00EC250C">
        <w:rPr>
          <w:bCs/>
          <w:i/>
        </w:rPr>
        <w:t>Inna aktywność ekspertów KE KMPT</w:t>
      </w:r>
    </w:p>
    <w:p w14:paraId="0A6A192F" w14:textId="77777777" w:rsidR="00C91F6E" w:rsidRPr="00EC250C" w:rsidRDefault="00192982" w:rsidP="00D131FA">
      <w:pPr>
        <w:pStyle w:val="Styl1"/>
        <w:rPr>
          <w:bCs/>
        </w:rPr>
      </w:pPr>
      <w:r w:rsidRPr="00EC250C">
        <w:rPr>
          <w:bCs/>
        </w:rPr>
        <w:t>Eksperci KE KMPT wzięli czynny udział</w:t>
      </w:r>
      <w:r w:rsidR="00992FD0" w:rsidRPr="00EC250C">
        <w:rPr>
          <w:bCs/>
        </w:rPr>
        <w:t xml:space="preserve"> w </w:t>
      </w:r>
      <w:r w:rsidRPr="00EC250C">
        <w:rPr>
          <w:bCs/>
        </w:rPr>
        <w:t>II Kongresie Praw Obywatelskich</w:t>
      </w:r>
      <w:r w:rsidRPr="00EC250C">
        <w:rPr>
          <w:bCs/>
          <w:vertAlign w:val="superscript"/>
        </w:rPr>
        <w:footnoteReference w:id="840"/>
      </w:r>
      <w:r w:rsidRPr="00EC250C">
        <w:rPr>
          <w:bCs/>
        </w:rPr>
        <w:t xml:space="preserve">. W panelu </w:t>
      </w:r>
      <w:r w:rsidRPr="00EC250C">
        <w:rPr>
          <w:bCs/>
          <w:i/>
        </w:rPr>
        <w:t>Polska jako państwo wolne od tortur</w:t>
      </w:r>
      <w:r w:rsidRPr="00EC250C">
        <w:rPr>
          <w:bCs/>
        </w:rPr>
        <w:t xml:space="preserve"> uczestni</w:t>
      </w:r>
      <w:r w:rsidR="00167222" w:rsidRPr="00EC250C">
        <w:rPr>
          <w:bCs/>
        </w:rPr>
        <w:t>czyli</w:t>
      </w:r>
      <w:r w:rsidRPr="00EC250C">
        <w:rPr>
          <w:bCs/>
        </w:rPr>
        <w:t>: Maria Książak, mec. Mikołaj Pietrzak, prof. Zbigniew Lasocik. Z kolei</w:t>
      </w:r>
      <w:r w:rsidR="00992FD0" w:rsidRPr="00EC250C">
        <w:rPr>
          <w:bCs/>
        </w:rPr>
        <w:t xml:space="preserve"> w </w:t>
      </w:r>
      <w:r w:rsidRPr="00EC250C">
        <w:rPr>
          <w:bCs/>
        </w:rPr>
        <w:t>konferencji zorganizowanej 22 maja 2018</w:t>
      </w:r>
      <w:r w:rsidR="00C91F6E" w:rsidRPr="00EC250C">
        <w:rPr>
          <w:bCs/>
        </w:rPr>
        <w:t> r.</w:t>
      </w:r>
      <w:r w:rsidR="00992FD0" w:rsidRPr="00EC250C">
        <w:rPr>
          <w:bCs/>
        </w:rPr>
        <w:t xml:space="preserve"> w </w:t>
      </w:r>
      <w:r w:rsidRPr="00EC250C">
        <w:rPr>
          <w:bCs/>
        </w:rPr>
        <w:t>Biurze RPO</w:t>
      </w:r>
      <w:r w:rsidRPr="00EC250C">
        <w:t xml:space="preserve"> </w:t>
      </w:r>
      <w:r w:rsidRPr="00EC250C">
        <w:rPr>
          <w:bCs/>
        </w:rPr>
        <w:t>we współpracy</w:t>
      </w:r>
      <w:r w:rsidR="00992FD0" w:rsidRPr="00EC250C">
        <w:rPr>
          <w:bCs/>
        </w:rPr>
        <w:t xml:space="preserve"> z </w:t>
      </w:r>
      <w:r w:rsidRPr="00EC250C">
        <w:rPr>
          <w:bCs/>
        </w:rPr>
        <w:t>Biurem Instytucji Demokratycznych</w:t>
      </w:r>
      <w:r w:rsidR="00992FD0" w:rsidRPr="00EC250C">
        <w:rPr>
          <w:bCs/>
        </w:rPr>
        <w:t xml:space="preserve"> i </w:t>
      </w:r>
      <w:r w:rsidRPr="00EC250C">
        <w:rPr>
          <w:bCs/>
        </w:rPr>
        <w:t>Praw Człowieka Organizacji Bezpieczeństwa</w:t>
      </w:r>
      <w:r w:rsidR="00992FD0" w:rsidRPr="00EC250C">
        <w:rPr>
          <w:bCs/>
        </w:rPr>
        <w:t xml:space="preserve"> i </w:t>
      </w:r>
      <w:r w:rsidRPr="00EC250C">
        <w:rPr>
          <w:bCs/>
        </w:rPr>
        <w:t>Współpracy</w:t>
      </w:r>
      <w:r w:rsidR="00992FD0" w:rsidRPr="00EC250C">
        <w:rPr>
          <w:bCs/>
        </w:rPr>
        <w:t xml:space="preserve"> w </w:t>
      </w:r>
      <w:r w:rsidRPr="00EC250C">
        <w:rPr>
          <w:bCs/>
        </w:rPr>
        <w:t xml:space="preserve">Europie pt. </w:t>
      </w:r>
      <w:r w:rsidRPr="00EC250C">
        <w:rPr>
          <w:bCs/>
          <w:i/>
        </w:rPr>
        <w:t>Państwo bez tortur</w:t>
      </w:r>
      <w:r w:rsidRPr="00EC250C">
        <w:rPr>
          <w:bCs/>
          <w:i/>
          <w:vertAlign w:val="superscript"/>
        </w:rPr>
        <w:footnoteReference w:id="841"/>
      </w:r>
      <w:r w:rsidRPr="00EC250C">
        <w:rPr>
          <w:bCs/>
          <w:i/>
        </w:rPr>
        <w:t>,</w:t>
      </w:r>
      <w:r w:rsidRPr="00EC250C">
        <w:rPr>
          <w:bCs/>
        </w:rPr>
        <w:t xml:space="preserve"> referaty wygłosili: </w:t>
      </w:r>
      <w:r w:rsidRPr="00EC250C">
        <w:t>mec. Mikołaj Pietrzak</w:t>
      </w:r>
      <w:r w:rsidRPr="00EC250C">
        <w:rPr>
          <w:bCs/>
        </w:rPr>
        <w:t xml:space="preserve"> (</w:t>
      </w:r>
      <w:r w:rsidRPr="00EC250C">
        <w:rPr>
          <w:bCs/>
          <w:i/>
        </w:rPr>
        <w:t>Dlaczego powinniśmy inwestować</w:t>
      </w:r>
      <w:r w:rsidR="00992FD0" w:rsidRPr="00EC250C">
        <w:rPr>
          <w:bCs/>
          <w:i/>
        </w:rPr>
        <w:t xml:space="preserve"> w </w:t>
      </w:r>
      <w:r w:rsidRPr="00EC250C">
        <w:rPr>
          <w:bCs/>
          <w:i/>
        </w:rPr>
        <w:t>rehabilitację ofiar tortur</w:t>
      </w:r>
      <w:r w:rsidRPr="00EC250C">
        <w:rPr>
          <w:bCs/>
        </w:rPr>
        <w:t xml:space="preserve">), </w:t>
      </w:r>
      <w:r w:rsidRPr="00EC250C">
        <w:t>dr Marzena Ksel</w:t>
      </w:r>
      <w:r w:rsidRPr="00EC250C">
        <w:rPr>
          <w:bCs/>
        </w:rPr>
        <w:t xml:space="preserve"> (</w:t>
      </w:r>
      <w:r w:rsidRPr="00EC250C">
        <w:rPr>
          <w:bCs/>
          <w:i/>
        </w:rPr>
        <w:t>Niezależny monitoring miejsc detencji – standardy CPT oraz wyzwania towarzyszące ich implementacji przez Państwa</w:t>
      </w:r>
      <w:r w:rsidRPr="00EC250C">
        <w:rPr>
          <w:bCs/>
        </w:rPr>
        <w:t>), prof. Witold Klaus (</w:t>
      </w:r>
      <w:r w:rsidRPr="00EC250C">
        <w:rPr>
          <w:bCs/>
          <w:i/>
        </w:rPr>
        <w:t>Mechanizmy ochrony cudzoziemców przed torturami</w:t>
      </w:r>
      <w:r w:rsidRPr="00EC250C">
        <w:rPr>
          <w:bCs/>
        </w:rPr>
        <w:t xml:space="preserve">). Maria Ejchart – Dubois moderowała panel </w:t>
      </w:r>
      <w:r w:rsidRPr="00EC250C">
        <w:rPr>
          <w:i/>
        </w:rPr>
        <w:t>Państwo bez tortur – wyzwanie XXI wieku</w:t>
      </w:r>
      <w:r w:rsidRPr="00EC250C">
        <w:t xml:space="preserve">, zaś </w:t>
      </w:r>
      <w:r w:rsidRPr="00EC250C">
        <w:rPr>
          <w:bCs/>
        </w:rPr>
        <w:t xml:space="preserve">prof. Zbigniew Lasocik – </w:t>
      </w:r>
      <w:r w:rsidRPr="00EC250C">
        <w:rPr>
          <w:bCs/>
          <w:i/>
        </w:rPr>
        <w:t>Tortury</w:t>
      </w:r>
      <w:r w:rsidR="00992FD0" w:rsidRPr="00EC250C">
        <w:rPr>
          <w:bCs/>
          <w:i/>
        </w:rPr>
        <w:t xml:space="preserve"> w </w:t>
      </w:r>
      <w:r w:rsidRPr="00EC250C">
        <w:rPr>
          <w:bCs/>
          <w:i/>
        </w:rPr>
        <w:t>Polsce – studium przypadku</w:t>
      </w:r>
      <w:r w:rsidRPr="00EC250C">
        <w:rPr>
          <w:bCs/>
        </w:rPr>
        <w:t>.</w:t>
      </w:r>
    </w:p>
    <w:p w14:paraId="2354DA72" w14:textId="77777777" w:rsidR="00192982" w:rsidRPr="00EC250C" w:rsidRDefault="00192982" w:rsidP="00EC250C">
      <w:pPr>
        <w:pStyle w:val="Nagwek5"/>
      </w:pPr>
      <w:bookmarkStart w:id="858" w:name="_Toc6258056"/>
      <w:r w:rsidRPr="00EC250C">
        <w:t>C. Komisja Ekspertów ds. Osób Starszych</w:t>
      </w:r>
      <w:bookmarkEnd w:id="858"/>
    </w:p>
    <w:p w14:paraId="094D0E00" w14:textId="77777777" w:rsidR="00B473F5" w:rsidRPr="00EC250C" w:rsidRDefault="00192982" w:rsidP="00D131FA">
      <w:pPr>
        <w:pStyle w:val="Problemczowieka"/>
        <w:jc w:val="both"/>
      </w:pPr>
      <w:r w:rsidRPr="00EC250C">
        <w:t>Komisja opracowuje ekspertyzy</w:t>
      </w:r>
      <w:r w:rsidR="00992FD0" w:rsidRPr="00EC250C">
        <w:t xml:space="preserve"> z </w:t>
      </w:r>
      <w:r w:rsidRPr="00EC250C">
        <w:t>zakresu polityki senioralnej państwa, propozycje zmian systemowych, wskazuje ważne kwestie dotyczące osób starszych, naruszające prawa człowieka,</w:t>
      </w:r>
      <w:r w:rsidR="00992FD0" w:rsidRPr="00EC250C">
        <w:t xml:space="preserve"> w </w:t>
      </w:r>
      <w:r w:rsidRPr="00EC250C">
        <w:t>których Rzecznik powinien zająć stanowisko lub podjąć do realizacji</w:t>
      </w:r>
      <w:r w:rsidR="00B473F5" w:rsidRPr="00EC250C">
        <w:t>.</w:t>
      </w:r>
    </w:p>
    <w:p w14:paraId="6BA025C2" w14:textId="043D1EE4" w:rsidR="00C91F6E" w:rsidRPr="00EC250C" w:rsidRDefault="00192982" w:rsidP="00EC250C">
      <w:pPr>
        <w:pStyle w:val="Styl1"/>
      </w:pPr>
      <w:r w:rsidRPr="00EC250C">
        <w:rPr>
          <w:bCs/>
        </w:rPr>
        <w:lastRenderedPageBreak/>
        <w:t>W 2018</w:t>
      </w:r>
      <w:r w:rsidR="00C91F6E" w:rsidRPr="00EC250C">
        <w:rPr>
          <w:bCs/>
        </w:rPr>
        <w:t> r.</w:t>
      </w:r>
      <w:r w:rsidRPr="00EC250C">
        <w:rPr>
          <w:bCs/>
        </w:rPr>
        <w:t xml:space="preserve"> Komisja koncentrowała się na analizach</w:t>
      </w:r>
      <w:r w:rsidR="00992FD0" w:rsidRPr="00EC250C">
        <w:rPr>
          <w:bCs/>
        </w:rPr>
        <w:t xml:space="preserve"> i </w:t>
      </w:r>
      <w:r w:rsidRPr="00EC250C">
        <w:rPr>
          <w:bCs/>
        </w:rPr>
        <w:t>ocenach wydarzeń</w:t>
      </w:r>
      <w:r w:rsidR="00992FD0" w:rsidRPr="00EC250C">
        <w:rPr>
          <w:bCs/>
        </w:rPr>
        <w:t xml:space="preserve"> w </w:t>
      </w:r>
      <w:r w:rsidRPr="00EC250C">
        <w:rPr>
          <w:bCs/>
        </w:rPr>
        <w:t>dziedzinie polityki senioralnej oraz na kontynuacji wcześniej podejmowanych działań.</w:t>
      </w:r>
      <w:r w:rsidR="00EC250C">
        <w:rPr>
          <w:bCs/>
        </w:rPr>
        <w:t xml:space="preserve"> </w:t>
      </w:r>
      <w:r w:rsidR="00D4540F" w:rsidRPr="00EC250C">
        <w:rPr>
          <w:bCs/>
        </w:rPr>
        <w:t>Przy udziale zaproszonych wybitnych ekspertów członkowie Komisji przedyskutowali: społeczne</w:t>
      </w:r>
      <w:r w:rsidR="00992FD0" w:rsidRPr="00EC250C">
        <w:rPr>
          <w:bCs/>
        </w:rPr>
        <w:t xml:space="preserve"> i </w:t>
      </w:r>
      <w:r w:rsidR="00D4540F" w:rsidRPr="00EC250C">
        <w:rPr>
          <w:bCs/>
        </w:rPr>
        <w:t>ekonomiczne konsekwencje powrotu do niższego wieku emerytalnego, skutki wprowadzenia sieci szpitali dla polskiej geriatrii oraz</w:t>
      </w:r>
      <w:r w:rsidR="00392799" w:rsidRPr="00EC250C">
        <w:rPr>
          <w:bCs/>
        </w:rPr>
        <w:t xml:space="preserve"> </w:t>
      </w:r>
      <w:r w:rsidR="00D4540F" w:rsidRPr="00EC250C">
        <w:rPr>
          <w:bCs/>
        </w:rPr>
        <w:t>projekt rządowej strategii polityki społecznej wobec osób starszych.</w:t>
      </w:r>
      <w:r w:rsidR="00EC250C">
        <w:rPr>
          <w:bCs/>
        </w:rPr>
        <w:t xml:space="preserve"> </w:t>
      </w:r>
      <w:r w:rsidR="00D4540F" w:rsidRPr="00EC250C">
        <w:t>Ponadto Komisja zajmowała się monitoringiem prac nad Konwencją</w:t>
      </w:r>
      <w:r w:rsidR="006161F2" w:rsidRPr="00EC250C">
        <w:t xml:space="preserve"> </w:t>
      </w:r>
      <w:r w:rsidR="00D4540F" w:rsidRPr="00EC250C">
        <w:t>ONZ</w:t>
      </w:r>
      <w:r w:rsidR="00992FD0" w:rsidRPr="00EC250C">
        <w:t xml:space="preserve"> o </w:t>
      </w:r>
      <w:r w:rsidR="00D4540F" w:rsidRPr="00EC250C">
        <w:t>prawach osób starszych, kontynuowała inicjatywę wyróżniania dobrych praktyk aktywizujących osoby starsze</w:t>
      </w:r>
      <w:r w:rsidR="00992FD0" w:rsidRPr="00EC250C">
        <w:t xml:space="preserve"> i </w:t>
      </w:r>
      <w:r w:rsidR="00D4540F" w:rsidRPr="00EC250C">
        <w:t>służące włączaniu ich potrzeb do głównego nurtu polityki publicznej,</w:t>
      </w:r>
      <w:r w:rsidR="00992FD0" w:rsidRPr="00EC250C">
        <w:t xml:space="preserve"> a </w:t>
      </w:r>
      <w:r w:rsidR="00D4540F" w:rsidRPr="00EC250C">
        <w:t>także</w:t>
      </w:r>
      <w:r w:rsidR="00992FD0" w:rsidRPr="00EC250C">
        <w:t xml:space="preserve"> w </w:t>
      </w:r>
      <w:r w:rsidR="00D4540F" w:rsidRPr="00EC250C">
        <w:t>dalszym ciągu upowszechniała model wsparcia osób starszych</w:t>
      </w:r>
      <w:r w:rsidR="00992FD0" w:rsidRPr="00EC250C">
        <w:t xml:space="preserve"> w </w:t>
      </w:r>
      <w:r w:rsidR="00D4540F" w:rsidRPr="00EC250C">
        <w:t>miejscu ich zamieszkania</w:t>
      </w:r>
      <w:r w:rsidR="00D4540F" w:rsidRPr="00EC250C">
        <w:rPr>
          <w:rStyle w:val="Odwoanieprzypisudolnego"/>
          <w:bCs/>
        </w:rPr>
        <w:footnoteReference w:id="842"/>
      </w:r>
      <w:r w:rsidR="00D4540F" w:rsidRPr="00EC250C">
        <w:t xml:space="preserve"> oraz zajmowała się problemami osób żyjących</w:t>
      </w:r>
      <w:r w:rsidR="00992FD0" w:rsidRPr="00EC250C">
        <w:t xml:space="preserve"> z </w:t>
      </w:r>
      <w:r w:rsidR="00D4540F" w:rsidRPr="00EC250C">
        <w:t>chorobą Alzheimera</w:t>
      </w:r>
      <w:r w:rsidR="00992FD0" w:rsidRPr="00EC250C">
        <w:t xml:space="preserve"> i </w:t>
      </w:r>
      <w:r w:rsidR="00D4540F" w:rsidRPr="00EC250C">
        <w:t>ich opiekunów, czego efektem była konferencja „Alzheimer</w:t>
      </w:r>
      <w:r w:rsidR="00992FD0" w:rsidRPr="00EC250C">
        <w:t xml:space="preserve"> w </w:t>
      </w:r>
      <w:r w:rsidR="00D4540F" w:rsidRPr="00EC250C">
        <w:t>rodzinie – jak diagnozować, jak pomagać osobom żyjącym</w:t>
      </w:r>
      <w:r w:rsidR="00992FD0" w:rsidRPr="00EC250C">
        <w:t xml:space="preserve"> z </w:t>
      </w:r>
      <w:r w:rsidR="00D4540F" w:rsidRPr="00EC250C">
        <w:t>chorobą</w:t>
      </w:r>
      <w:r w:rsidR="00992FD0" w:rsidRPr="00EC250C">
        <w:t xml:space="preserve"> i </w:t>
      </w:r>
      <w:r w:rsidR="00D4540F" w:rsidRPr="00EC250C">
        <w:t>ich rodzinom.”</w:t>
      </w:r>
    </w:p>
    <w:p w14:paraId="79D56601" w14:textId="77777777" w:rsidR="00192982" w:rsidRPr="00EC250C" w:rsidRDefault="00192982" w:rsidP="00D131FA">
      <w:pPr>
        <w:pStyle w:val="Srdtytul6"/>
        <w:jc w:val="both"/>
      </w:pPr>
      <w:r w:rsidRPr="00EC250C">
        <w:t>Skład Komisji Ekspertów ds. Osób Starszych</w:t>
      </w:r>
    </w:p>
    <w:p w14:paraId="0AB72F2D" w14:textId="77777777" w:rsidR="00C73FDE" w:rsidRPr="00EC250C" w:rsidRDefault="00C73FDE" w:rsidP="00D131FA">
      <w:pPr>
        <w:pStyle w:val="Styl1"/>
        <w:numPr>
          <w:ilvl w:val="0"/>
          <w:numId w:val="8"/>
        </w:numPr>
        <w:sectPr w:rsidR="00C73FDE" w:rsidRPr="00EC250C" w:rsidSect="00FC47F2">
          <w:type w:val="continuous"/>
          <w:pgSz w:w="11907" w:h="16840"/>
          <w:pgMar w:top="1418" w:right="1418" w:bottom="1418" w:left="1276" w:header="567" w:footer="567" w:gutter="0"/>
          <w:cols w:space="708"/>
          <w:titlePg/>
          <w:docGrid w:linePitch="354"/>
        </w:sectPr>
      </w:pPr>
    </w:p>
    <w:p w14:paraId="309979BC" w14:textId="77777777" w:rsidR="00192982" w:rsidRPr="00EC250C" w:rsidRDefault="00192982" w:rsidP="00EC250C">
      <w:pPr>
        <w:pStyle w:val="Styl1"/>
        <w:numPr>
          <w:ilvl w:val="0"/>
          <w:numId w:val="8"/>
        </w:numPr>
        <w:jc w:val="left"/>
      </w:pPr>
      <w:r w:rsidRPr="00EC250C">
        <w:t>Barbara Szatur-Jaworska – współprzewodnicząca</w:t>
      </w:r>
    </w:p>
    <w:p w14:paraId="0ADFF778" w14:textId="77777777" w:rsidR="00192982" w:rsidRPr="00EC250C" w:rsidRDefault="00192982" w:rsidP="00D131FA">
      <w:pPr>
        <w:pStyle w:val="Styl1"/>
        <w:numPr>
          <w:ilvl w:val="0"/>
          <w:numId w:val="8"/>
        </w:numPr>
      </w:pPr>
      <w:r w:rsidRPr="00EC250C">
        <w:t>Barbara Bień</w:t>
      </w:r>
    </w:p>
    <w:p w14:paraId="4D2565B9" w14:textId="77777777" w:rsidR="00192982" w:rsidRPr="00EC250C" w:rsidRDefault="00192982" w:rsidP="00D131FA">
      <w:pPr>
        <w:pStyle w:val="Styl1"/>
        <w:numPr>
          <w:ilvl w:val="0"/>
          <w:numId w:val="8"/>
        </w:numPr>
      </w:pPr>
      <w:r w:rsidRPr="00EC250C">
        <w:t>Rafał Bakalarczyk</w:t>
      </w:r>
    </w:p>
    <w:p w14:paraId="2EBC4DB7" w14:textId="77777777" w:rsidR="00C91F6E" w:rsidRPr="00EC250C" w:rsidRDefault="00192982" w:rsidP="00D131FA">
      <w:pPr>
        <w:pStyle w:val="Styl1"/>
        <w:numPr>
          <w:ilvl w:val="0"/>
          <w:numId w:val="8"/>
        </w:numPr>
      </w:pPr>
      <w:r w:rsidRPr="00EC250C">
        <w:t>Piotr Błędowski</w:t>
      </w:r>
    </w:p>
    <w:p w14:paraId="08FE215A" w14:textId="77777777" w:rsidR="00C91F6E" w:rsidRPr="00EC250C" w:rsidRDefault="00192982" w:rsidP="00D131FA">
      <w:pPr>
        <w:pStyle w:val="Styl1"/>
        <w:numPr>
          <w:ilvl w:val="0"/>
          <w:numId w:val="8"/>
        </w:numPr>
      </w:pPr>
      <w:r w:rsidRPr="00EC250C">
        <w:t>Wiesława Borczyk</w:t>
      </w:r>
    </w:p>
    <w:p w14:paraId="18523232" w14:textId="77777777" w:rsidR="00192982" w:rsidRPr="00EC250C" w:rsidRDefault="00192982" w:rsidP="00D131FA">
      <w:pPr>
        <w:pStyle w:val="Styl1"/>
        <w:numPr>
          <w:ilvl w:val="0"/>
          <w:numId w:val="8"/>
        </w:numPr>
      </w:pPr>
      <w:r w:rsidRPr="00EC250C">
        <w:t>Jarosław Derejczyk</w:t>
      </w:r>
    </w:p>
    <w:p w14:paraId="245C59FE" w14:textId="77777777" w:rsidR="00C91F6E" w:rsidRPr="00EC250C" w:rsidRDefault="00192982" w:rsidP="00D131FA">
      <w:pPr>
        <w:pStyle w:val="Styl1"/>
        <w:numPr>
          <w:ilvl w:val="0"/>
          <w:numId w:val="8"/>
        </w:numPr>
      </w:pPr>
      <w:r w:rsidRPr="00EC250C">
        <w:t>Waldemar Hoff</w:t>
      </w:r>
    </w:p>
    <w:p w14:paraId="05F53719" w14:textId="77777777" w:rsidR="00C91F6E" w:rsidRPr="00EC250C" w:rsidRDefault="00192982" w:rsidP="00D131FA">
      <w:pPr>
        <w:pStyle w:val="Styl1"/>
        <w:numPr>
          <w:ilvl w:val="0"/>
          <w:numId w:val="8"/>
        </w:numPr>
      </w:pPr>
      <w:r w:rsidRPr="00EC250C">
        <w:t>Ewa Kamińska</w:t>
      </w:r>
    </w:p>
    <w:p w14:paraId="2B4F7B0C" w14:textId="77777777" w:rsidR="00C91F6E" w:rsidRPr="00EC250C" w:rsidRDefault="00192982" w:rsidP="00D131FA">
      <w:pPr>
        <w:pStyle w:val="Styl1"/>
        <w:numPr>
          <w:ilvl w:val="0"/>
          <w:numId w:val="8"/>
        </w:numPr>
      </w:pPr>
      <w:r w:rsidRPr="00EC250C">
        <w:t>Ewa Kozdroń</w:t>
      </w:r>
    </w:p>
    <w:p w14:paraId="23304158" w14:textId="77777777" w:rsidR="00C91F6E" w:rsidRPr="00EC250C" w:rsidRDefault="00192982" w:rsidP="00D131FA">
      <w:pPr>
        <w:pStyle w:val="Styl1"/>
        <w:numPr>
          <w:ilvl w:val="0"/>
          <w:numId w:val="8"/>
        </w:numPr>
      </w:pPr>
      <w:r w:rsidRPr="00EC250C">
        <w:t>Dagmara Krzesińska</w:t>
      </w:r>
    </w:p>
    <w:p w14:paraId="0D479979" w14:textId="77777777" w:rsidR="00C91F6E" w:rsidRPr="00EC250C" w:rsidRDefault="00192982" w:rsidP="00D131FA">
      <w:pPr>
        <w:pStyle w:val="Styl1"/>
        <w:numPr>
          <w:ilvl w:val="0"/>
          <w:numId w:val="8"/>
        </w:numPr>
      </w:pPr>
      <w:r w:rsidRPr="00EC250C">
        <w:t>Ewa Kulisz</w:t>
      </w:r>
    </w:p>
    <w:p w14:paraId="0ED77BE5" w14:textId="77777777" w:rsidR="00192982" w:rsidRPr="00EC250C" w:rsidRDefault="00192982" w:rsidP="00D131FA">
      <w:pPr>
        <w:pStyle w:val="Styl1"/>
        <w:numPr>
          <w:ilvl w:val="0"/>
          <w:numId w:val="8"/>
        </w:numPr>
      </w:pPr>
      <w:r w:rsidRPr="00EC250C">
        <w:t>Jacek Kwiatkowski</w:t>
      </w:r>
    </w:p>
    <w:p w14:paraId="7BB8B7DC" w14:textId="77777777" w:rsidR="00C91F6E" w:rsidRPr="00EC250C" w:rsidRDefault="00192982" w:rsidP="00D131FA">
      <w:pPr>
        <w:pStyle w:val="Styl1"/>
        <w:numPr>
          <w:ilvl w:val="0"/>
          <w:numId w:val="8"/>
        </w:numPr>
      </w:pPr>
      <w:r w:rsidRPr="00EC250C">
        <w:t>Joanna Mielczarek</w:t>
      </w:r>
    </w:p>
    <w:p w14:paraId="7872718C" w14:textId="77777777" w:rsidR="00192982" w:rsidRPr="00EC250C" w:rsidRDefault="00192982" w:rsidP="00D131FA">
      <w:pPr>
        <w:pStyle w:val="Styl1"/>
        <w:numPr>
          <w:ilvl w:val="0"/>
          <w:numId w:val="8"/>
        </w:numPr>
      </w:pPr>
      <w:r w:rsidRPr="00EC250C">
        <w:t>Barbara Mikołajczyk</w:t>
      </w:r>
    </w:p>
    <w:p w14:paraId="597B0729" w14:textId="77777777" w:rsidR="00C91F6E" w:rsidRPr="00EC250C" w:rsidRDefault="00192982" w:rsidP="00D131FA">
      <w:pPr>
        <w:pStyle w:val="Styl1"/>
        <w:numPr>
          <w:ilvl w:val="0"/>
          <w:numId w:val="8"/>
        </w:numPr>
      </w:pPr>
      <w:r w:rsidRPr="00EC250C">
        <w:t>Jarosław Mojsiejuk</w:t>
      </w:r>
    </w:p>
    <w:p w14:paraId="5FCEA11C" w14:textId="77777777" w:rsidR="00192982" w:rsidRPr="00EC250C" w:rsidRDefault="00192982" w:rsidP="00D131FA">
      <w:pPr>
        <w:pStyle w:val="Styl1"/>
        <w:numPr>
          <w:ilvl w:val="0"/>
          <w:numId w:val="8"/>
        </w:numPr>
      </w:pPr>
      <w:r w:rsidRPr="00EC250C">
        <w:t>Danuta Parlak.</w:t>
      </w:r>
    </w:p>
    <w:p w14:paraId="15079A9F" w14:textId="77777777" w:rsidR="00C91F6E" w:rsidRPr="00EC250C" w:rsidRDefault="00192982" w:rsidP="00D131FA">
      <w:pPr>
        <w:pStyle w:val="Styl1"/>
        <w:numPr>
          <w:ilvl w:val="0"/>
          <w:numId w:val="8"/>
        </w:numPr>
      </w:pPr>
      <w:r w:rsidRPr="00EC250C">
        <w:t>Jolanta Perek-Białas</w:t>
      </w:r>
    </w:p>
    <w:p w14:paraId="5FC38B5E" w14:textId="77777777" w:rsidR="00C91F6E" w:rsidRPr="00EC250C" w:rsidRDefault="00192982" w:rsidP="00D131FA">
      <w:pPr>
        <w:pStyle w:val="Styl1"/>
        <w:numPr>
          <w:ilvl w:val="0"/>
          <w:numId w:val="8"/>
        </w:numPr>
      </w:pPr>
      <w:r w:rsidRPr="00EC250C">
        <w:t>ks. Norbert G. Pikuła</w:t>
      </w:r>
    </w:p>
    <w:p w14:paraId="6BC68B88" w14:textId="77777777" w:rsidR="00C91F6E" w:rsidRPr="00EC250C" w:rsidRDefault="00192982" w:rsidP="00D131FA">
      <w:pPr>
        <w:pStyle w:val="Styl1"/>
        <w:numPr>
          <w:ilvl w:val="0"/>
          <w:numId w:val="8"/>
        </w:numPr>
      </w:pPr>
      <w:r w:rsidRPr="00EC250C">
        <w:t>Jolanta Piotrowska</w:t>
      </w:r>
    </w:p>
    <w:p w14:paraId="3AE3E04F" w14:textId="77777777" w:rsidR="00C91F6E" w:rsidRPr="00EC250C" w:rsidRDefault="00192982" w:rsidP="00D131FA">
      <w:pPr>
        <w:pStyle w:val="Styl1"/>
        <w:numPr>
          <w:ilvl w:val="0"/>
          <w:numId w:val="8"/>
        </w:numPr>
      </w:pPr>
      <w:r w:rsidRPr="00EC250C">
        <w:t>Krystyna Rawska</w:t>
      </w:r>
    </w:p>
    <w:p w14:paraId="532112EF" w14:textId="77777777" w:rsidR="00C91F6E" w:rsidRPr="00EC250C" w:rsidRDefault="00192982" w:rsidP="00D131FA">
      <w:pPr>
        <w:pStyle w:val="Styl1"/>
        <w:numPr>
          <w:ilvl w:val="0"/>
          <w:numId w:val="8"/>
        </w:numPr>
      </w:pPr>
      <w:r w:rsidRPr="00EC250C">
        <w:t>Magdalena Rosochacka-Gmitrzak</w:t>
      </w:r>
    </w:p>
    <w:p w14:paraId="36E04BAB" w14:textId="77777777" w:rsidR="00C91F6E" w:rsidRPr="00EC250C" w:rsidRDefault="00192982" w:rsidP="00D131FA">
      <w:pPr>
        <w:pStyle w:val="Styl1"/>
        <w:numPr>
          <w:ilvl w:val="0"/>
          <w:numId w:val="8"/>
        </w:numPr>
      </w:pPr>
      <w:r w:rsidRPr="00EC250C">
        <w:t>Barbara Rysz–Kowalczyk</w:t>
      </w:r>
    </w:p>
    <w:p w14:paraId="55C3A7BA" w14:textId="77777777" w:rsidR="00C91F6E" w:rsidRPr="00EC250C" w:rsidRDefault="00192982" w:rsidP="00D131FA">
      <w:pPr>
        <w:pStyle w:val="Styl1"/>
        <w:numPr>
          <w:ilvl w:val="0"/>
          <w:numId w:val="8"/>
        </w:numPr>
      </w:pPr>
      <w:r w:rsidRPr="00EC250C">
        <w:t>Tomasz Schimanek</w:t>
      </w:r>
    </w:p>
    <w:p w14:paraId="4E0664C9" w14:textId="77777777" w:rsidR="00C91F6E" w:rsidRPr="00EC250C" w:rsidRDefault="00192982" w:rsidP="00D131FA">
      <w:pPr>
        <w:pStyle w:val="Styl1"/>
        <w:numPr>
          <w:ilvl w:val="0"/>
          <w:numId w:val="8"/>
        </w:numPr>
      </w:pPr>
      <w:r w:rsidRPr="00EC250C">
        <w:t>Grażyna Staniszewska</w:t>
      </w:r>
    </w:p>
    <w:p w14:paraId="6655412B" w14:textId="77777777" w:rsidR="00C91F6E" w:rsidRPr="00EC250C" w:rsidRDefault="00192982" w:rsidP="00D131FA">
      <w:pPr>
        <w:pStyle w:val="Styl1"/>
        <w:numPr>
          <w:ilvl w:val="0"/>
          <w:numId w:val="8"/>
        </w:numPr>
      </w:pPr>
      <w:r w:rsidRPr="00EC250C">
        <w:t>Małgorzata Stanowska</w:t>
      </w:r>
    </w:p>
    <w:p w14:paraId="6FB1F9C4" w14:textId="77777777" w:rsidR="00C91F6E" w:rsidRPr="00EC250C" w:rsidRDefault="00192982" w:rsidP="00D131FA">
      <w:pPr>
        <w:pStyle w:val="Styl1"/>
        <w:numPr>
          <w:ilvl w:val="0"/>
          <w:numId w:val="8"/>
        </w:numPr>
      </w:pPr>
      <w:r w:rsidRPr="00EC250C">
        <w:t>Hanna Szczeblewska</w:t>
      </w:r>
    </w:p>
    <w:p w14:paraId="19C7CAAB" w14:textId="77777777" w:rsidR="00C91F6E" w:rsidRPr="00EC250C" w:rsidRDefault="00192982" w:rsidP="00D131FA">
      <w:pPr>
        <w:pStyle w:val="Styl1"/>
        <w:numPr>
          <w:ilvl w:val="0"/>
          <w:numId w:val="8"/>
        </w:numPr>
      </w:pPr>
      <w:r w:rsidRPr="00EC250C">
        <w:t>Katarzyna Szczerbińska</w:t>
      </w:r>
    </w:p>
    <w:p w14:paraId="20B6BC58" w14:textId="77777777" w:rsidR="00192982" w:rsidRPr="00EC250C" w:rsidRDefault="00192982" w:rsidP="00D131FA">
      <w:pPr>
        <w:pStyle w:val="Styl1"/>
        <w:numPr>
          <w:ilvl w:val="0"/>
          <w:numId w:val="8"/>
        </w:numPr>
      </w:pPr>
      <w:r w:rsidRPr="00EC250C">
        <w:t>Beata Tokarz-Kamińska</w:t>
      </w:r>
    </w:p>
    <w:p w14:paraId="1D64349E" w14:textId="77777777" w:rsidR="00192982" w:rsidRPr="00EC250C" w:rsidRDefault="00192982" w:rsidP="00D131FA">
      <w:pPr>
        <w:pStyle w:val="Styl1"/>
        <w:numPr>
          <w:ilvl w:val="0"/>
          <w:numId w:val="8"/>
        </w:numPr>
      </w:pPr>
      <w:r w:rsidRPr="00EC250C">
        <w:t>Mirosława Wojciechowska-Szepczyńska</w:t>
      </w:r>
    </w:p>
    <w:p w14:paraId="2843512A" w14:textId="77777777" w:rsidR="00192982" w:rsidRPr="00EC250C" w:rsidRDefault="00192982" w:rsidP="00D131FA">
      <w:pPr>
        <w:pStyle w:val="Styl1"/>
        <w:numPr>
          <w:ilvl w:val="0"/>
          <w:numId w:val="8"/>
        </w:numPr>
      </w:pPr>
      <w:r w:rsidRPr="00EC250C">
        <w:t>Irena Wóycicka</w:t>
      </w:r>
    </w:p>
    <w:p w14:paraId="398D81D7" w14:textId="77777777" w:rsidR="00192982" w:rsidRPr="00EC250C" w:rsidRDefault="00192982" w:rsidP="00D131FA">
      <w:pPr>
        <w:pStyle w:val="Styl1"/>
        <w:numPr>
          <w:ilvl w:val="0"/>
          <w:numId w:val="8"/>
        </w:numPr>
      </w:pPr>
      <w:r w:rsidRPr="00EC250C">
        <w:t>Maria Zrałek</w:t>
      </w:r>
    </w:p>
    <w:p w14:paraId="04BAD6D2" w14:textId="77777777" w:rsidR="00192982" w:rsidRPr="00EC250C" w:rsidRDefault="00192982" w:rsidP="00EC250C">
      <w:pPr>
        <w:pStyle w:val="Styl1"/>
        <w:numPr>
          <w:ilvl w:val="0"/>
          <w:numId w:val="8"/>
        </w:numPr>
        <w:jc w:val="left"/>
      </w:pPr>
      <w:r w:rsidRPr="00EC250C">
        <w:t>Barbara Imiołczyk – współprzewodnicząca</w:t>
      </w:r>
    </w:p>
    <w:p w14:paraId="0ECFF53B" w14:textId="77777777" w:rsidR="00C91F6E" w:rsidRPr="00EC250C" w:rsidRDefault="00192982" w:rsidP="00D131FA">
      <w:pPr>
        <w:pStyle w:val="Styl1"/>
        <w:numPr>
          <w:ilvl w:val="0"/>
          <w:numId w:val="8"/>
        </w:numPr>
      </w:pPr>
      <w:r w:rsidRPr="00EC250C">
        <w:t>Anna Chabiera</w:t>
      </w:r>
    </w:p>
    <w:p w14:paraId="5AFFA216" w14:textId="77777777" w:rsidR="00192982" w:rsidRPr="00EC250C" w:rsidRDefault="00192982" w:rsidP="00D131FA">
      <w:pPr>
        <w:pStyle w:val="Styl1"/>
        <w:numPr>
          <w:ilvl w:val="0"/>
          <w:numId w:val="8"/>
        </w:numPr>
      </w:pPr>
      <w:r w:rsidRPr="00EC250C">
        <w:t>Kinga Dękierowska</w:t>
      </w:r>
    </w:p>
    <w:p w14:paraId="1BFA150A" w14:textId="77777777" w:rsidR="00C91F6E" w:rsidRPr="00EC250C" w:rsidRDefault="00192982" w:rsidP="00D131FA">
      <w:pPr>
        <w:pStyle w:val="Styl1"/>
        <w:numPr>
          <w:ilvl w:val="0"/>
          <w:numId w:val="8"/>
        </w:numPr>
      </w:pPr>
      <w:r w:rsidRPr="00EC250C">
        <w:t>Magdalena Kuruś</w:t>
      </w:r>
    </w:p>
    <w:p w14:paraId="6405DB73" w14:textId="77777777" w:rsidR="00C91F6E" w:rsidRPr="00EC250C" w:rsidRDefault="00192982" w:rsidP="00D131FA">
      <w:pPr>
        <w:pStyle w:val="Styl1"/>
        <w:numPr>
          <w:ilvl w:val="0"/>
          <w:numId w:val="8"/>
        </w:numPr>
      </w:pPr>
      <w:r w:rsidRPr="00EC250C">
        <w:t>Dorota Siwiec</w:t>
      </w:r>
    </w:p>
    <w:p w14:paraId="4FC0BB2B" w14:textId="77777777" w:rsidR="00C91F6E" w:rsidRPr="00EC250C" w:rsidRDefault="00192982" w:rsidP="00D131FA">
      <w:pPr>
        <w:pStyle w:val="Styl1"/>
        <w:numPr>
          <w:ilvl w:val="0"/>
          <w:numId w:val="8"/>
        </w:numPr>
      </w:pPr>
      <w:r w:rsidRPr="00EC250C">
        <w:t>Ewa Tułodziecka-Czapska – sekretarz</w:t>
      </w:r>
    </w:p>
    <w:p w14:paraId="2FD94C25" w14:textId="77777777" w:rsidR="00C73FDE" w:rsidRPr="00EC250C" w:rsidRDefault="00C73FDE" w:rsidP="00EC250C">
      <w:pPr>
        <w:pStyle w:val="Srdtytul6"/>
        <w:sectPr w:rsidR="00C73FDE" w:rsidRPr="00EC250C" w:rsidSect="00FC47F2">
          <w:type w:val="continuous"/>
          <w:pgSz w:w="11907" w:h="16840"/>
          <w:pgMar w:top="1418" w:right="1418" w:bottom="1418" w:left="1276" w:header="567" w:footer="567" w:gutter="0"/>
          <w:cols w:num="2" w:space="708"/>
          <w:titlePg/>
          <w:docGrid w:linePitch="354"/>
        </w:sectPr>
      </w:pPr>
    </w:p>
    <w:p w14:paraId="3E4AF405" w14:textId="77777777" w:rsidR="00C91F6E" w:rsidRPr="00EC250C" w:rsidRDefault="00192982" w:rsidP="00D131FA">
      <w:pPr>
        <w:pStyle w:val="Srdtytul6"/>
        <w:jc w:val="both"/>
      </w:pPr>
      <w:r w:rsidRPr="00EC250C">
        <w:lastRenderedPageBreak/>
        <w:t>Działania Komisji</w:t>
      </w:r>
    </w:p>
    <w:p w14:paraId="5C802FB8" w14:textId="77777777" w:rsidR="00192982" w:rsidRPr="00EC250C" w:rsidRDefault="00192982" w:rsidP="00D131FA">
      <w:pPr>
        <w:pStyle w:val="Styl1"/>
        <w:rPr>
          <w:bCs/>
        </w:rPr>
      </w:pPr>
      <w:r w:rsidRPr="00EC250C">
        <w:rPr>
          <w:bCs/>
        </w:rPr>
        <w:t>W 2018</w:t>
      </w:r>
      <w:r w:rsidR="00C91F6E" w:rsidRPr="00EC250C">
        <w:rPr>
          <w:bCs/>
        </w:rPr>
        <w:t> r.</w:t>
      </w:r>
      <w:r w:rsidRPr="00EC250C">
        <w:rPr>
          <w:bCs/>
        </w:rPr>
        <w:t xml:space="preserve"> odbyły się trzy posiedzenia Komisji</w:t>
      </w:r>
      <w:r w:rsidR="00167222" w:rsidRPr="00EC250C">
        <w:rPr>
          <w:bCs/>
        </w:rPr>
        <w:t xml:space="preserve"> </w:t>
      </w:r>
      <w:r w:rsidRPr="00EC250C">
        <w:rPr>
          <w:bCs/>
        </w:rPr>
        <w:t>.</w:t>
      </w:r>
    </w:p>
    <w:p w14:paraId="3CB37FC2" w14:textId="77777777" w:rsidR="00192982" w:rsidRPr="00EC250C" w:rsidRDefault="00192982" w:rsidP="006C70B7">
      <w:pPr>
        <w:pStyle w:val="Styl1"/>
        <w:numPr>
          <w:ilvl w:val="0"/>
          <w:numId w:val="20"/>
        </w:numPr>
        <w:rPr>
          <w:bCs/>
          <w:i/>
        </w:rPr>
      </w:pPr>
      <w:r w:rsidRPr="00EC250C">
        <w:rPr>
          <w:i/>
        </w:rPr>
        <w:t>Rządowy dokument pt. „Polityka społeczna wobec osób starszych 2030. Bezpieczeństwo. Uczestnictwo. Solidarność”</w:t>
      </w:r>
    </w:p>
    <w:p w14:paraId="4D390E1E" w14:textId="77777777" w:rsidR="00192982" w:rsidRPr="00EC250C" w:rsidRDefault="00192982" w:rsidP="00D131FA">
      <w:pPr>
        <w:pStyle w:val="Styl1"/>
        <w:rPr>
          <w:bCs/>
        </w:rPr>
      </w:pPr>
      <w:r w:rsidRPr="00EC250C">
        <w:rPr>
          <w:bCs/>
        </w:rPr>
        <w:t>Komisja przedyskutowała</w:t>
      </w:r>
      <w:r w:rsidRPr="00EC250C">
        <w:rPr>
          <w:bCs/>
          <w:vertAlign w:val="superscript"/>
        </w:rPr>
        <w:footnoteReference w:id="843"/>
      </w:r>
      <w:r w:rsidRPr="00EC250C">
        <w:rPr>
          <w:bCs/>
        </w:rPr>
        <w:t xml:space="preserve"> zaproponowaną przez rząd nową strategię pod kątem zaspokajania potrzeb seniorów, respektowania ich praw</w:t>
      </w:r>
      <w:r w:rsidR="00992FD0" w:rsidRPr="00EC250C">
        <w:rPr>
          <w:bCs/>
        </w:rPr>
        <w:t xml:space="preserve"> i </w:t>
      </w:r>
      <w:r w:rsidRPr="00EC250C">
        <w:rPr>
          <w:bCs/>
        </w:rPr>
        <w:t>zapewnienia pełnego społecznego uczestnictwa. Eksperci zwrócili uwagę m.in. na brak źródeł finansowania proponowanych rozwiązań, rozbieżność pomiędzy wiekiem określającym osobę jako starszą,</w:t>
      </w:r>
      <w:r w:rsidR="00992FD0" w:rsidRPr="00EC250C">
        <w:rPr>
          <w:bCs/>
        </w:rPr>
        <w:t xml:space="preserve"> a </w:t>
      </w:r>
      <w:r w:rsidRPr="00EC250C">
        <w:rPr>
          <w:bCs/>
        </w:rPr>
        <w:t>wiekiem przejścia na emeryturę, używanie zwrotów</w:t>
      </w:r>
      <w:r w:rsidR="00992FD0" w:rsidRPr="00EC250C">
        <w:rPr>
          <w:bCs/>
        </w:rPr>
        <w:t xml:space="preserve"> i </w:t>
      </w:r>
      <w:r w:rsidRPr="00EC250C">
        <w:rPr>
          <w:bCs/>
        </w:rPr>
        <w:t>sformułowań, które są niezgodne</w:t>
      </w:r>
      <w:r w:rsidR="00992FD0" w:rsidRPr="00EC250C">
        <w:rPr>
          <w:bCs/>
        </w:rPr>
        <w:t xml:space="preserve"> z </w:t>
      </w:r>
      <w:r w:rsidRPr="00EC250C">
        <w:rPr>
          <w:bCs/>
        </w:rPr>
        <w:t>Konwencją ONZ</w:t>
      </w:r>
      <w:r w:rsidR="00992FD0" w:rsidRPr="00EC250C">
        <w:rPr>
          <w:bCs/>
        </w:rPr>
        <w:t xml:space="preserve"> o </w:t>
      </w:r>
      <w:r w:rsidRPr="00EC250C">
        <w:rPr>
          <w:bCs/>
        </w:rPr>
        <w:t>prawach osób</w:t>
      </w:r>
      <w:r w:rsidR="00992FD0" w:rsidRPr="00EC250C">
        <w:rPr>
          <w:bCs/>
        </w:rPr>
        <w:t xml:space="preserve"> z </w:t>
      </w:r>
      <w:r w:rsidRPr="00EC250C">
        <w:rPr>
          <w:bCs/>
        </w:rPr>
        <w:t>niepełnosprawn</w:t>
      </w:r>
      <w:r w:rsidR="00167222" w:rsidRPr="00EC250C">
        <w:rPr>
          <w:bCs/>
        </w:rPr>
        <w:t>ościami</w:t>
      </w:r>
      <w:r w:rsidRPr="00EC250C">
        <w:rPr>
          <w:bCs/>
        </w:rPr>
        <w:t xml:space="preserve"> oraz brak informacji</w:t>
      </w:r>
      <w:r w:rsidR="00992FD0" w:rsidRPr="00EC250C">
        <w:rPr>
          <w:bCs/>
        </w:rPr>
        <w:t xml:space="preserve"> o </w:t>
      </w:r>
      <w:r w:rsidRPr="00EC250C">
        <w:rPr>
          <w:bCs/>
        </w:rPr>
        <w:t>ewaluacji działań</w:t>
      </w:r>
      <w:r w:rsidR="00992FD0" w:rsidRPr="00EC250C">
        <w:rPr>
          <w:bCs/>
        </w:rPr>
        <w:t xml:space="preserve"> z </w:t>
      </w:r>
      <w:r w:rsidRPr="00EC250C">
        <w:rPr>
          <w:bCs/>
        </w:rPr>
        <w:t>lat 2014–2017.</w:t>
      </w:r>
    </w:p>
    <w:p w14:paraId="20DF6A2B" w14:textId="77777777" w:rsidR="00192982" w:rsidRPr="00EC250C" w:rsidRDefault="00192982" w:rsidP="00D131FA">
      <w:pPr>
        <w:pStyle w:val="Styl1"/>
        <w:rPr>
          <w:bCs/>
        </w:rPr>
      </w:pPr>
      <w:r w:rsidRPr="00EC250C">
        <w:rPr>
          <w:i/>
        </w:rPr>
        <w:t>b) Konsekwencje zmian wprowadzonych przepisami</w:t>
      </w:r>
      <w:r w:rsidR="00992FD0" w:rsidRPr="00EC250C">
        <w:rPr>
          <w:i/>
        </w:rPr>
        <w:t xml:space="preserve"> o </w:t>
      </w:r>
      <w:r w:rsidRPr="00EC250C">
        <w:rPr>
          <w:i/>
        </w:rPr>
        <w:t>sieci szpitali dla opieki medycznej osób starszych</w:t>
      </w:r>
      <w:r w:rsidRPr="00EC250C">
        <w:rPr>
          <w:i/>
          <w:vertAlign w:val="superscript"/>
        </w:rPr>
        <w:footnoteReference w:id="844"/>
      </w:r>
    </w:p>
    <w:p w14:paraId="35F8C239" w14:textId="77777777" w:rsidR="00C91F6E" w:rsidRPr="00EC250C" w:rsidRDefault="00167222" w:rsidP="00D131FA">
      <w:pPr>
        <w:pStyle w:val="Styl1"/>
        <w:rPr>
          <w:bCs/>
        </w:rPr>
      </w:pPr>
      <w:r w:rsidRPr="00EC250C">
        <w:rPr>
          <w:bCs/>
        </w:rPr>
        <w:t>W</w:t>
      </w:r>
      <w:r w:rsidR="00192982" w:rsidRPr="00EC250C">
        <w:rPr>
          <w:bCs/>
        </w:rPr>
        <w:t xml:space="preserve"> sieci szpitali nie ma oddziałów geriatrycznych, co niewątpliwie utrudnia osobom starszym dostęp do świadczeń opieki zdrowotnej. W ocenie ekspertów należy: na oddziałach internistycznych kontraktować usługi geriatryczne</w:t>
      </w:r>
      <w:r w:rsidR="00992FD0" w:rsidRPr="00EC250C">
        <w:rPr>
          <w:bCs/>
        </w:rPr>
        <w:t xml:space="preserve"> i </w:t>
      </w:r>
      <w:r w:rsidR="00192982" w:rsidRPr="00EC250C">
        <w:rPr>
          <w:bCs/>
        </w:rPr>
        <w:t>przekształcać oddziały internistyczne na internistyczno-geriatryczne, tworzyć oddziały/pododdziały rehabilitacji geriatrycznej, wprowadzić szpitalną jednodniową opiekę geriatryczną</w:t>
      </w:r>
      <w:r w:rsidR="00992FD0" w:rsidRPr="00EC250C">
        <w:rPr>
          <w:bCs/>
        </w:rPr>
        <w:t xml:space="preserve"> i </w:t>
      </w:r>
      <w:r w:rsidR="00192982" w:rsidRPr="00EC250C">
        <w:rPr>
          <w:bCs/>
        </w:rPr>
        <w:t>hospitalizację domową oraz zapewnić odpowiednio przygotowaną kadrę lekarską</w:t>
      </w:r>
      <w:r w:rsidR="00992FD0" w:rsidRPr="00EC250C">
        <w:rPr>
          <w:bCs/>
        </w:rPr>
        <w:t xml:space="preserve"> i </w:t>
      </w:r>
      <w:r w:rsidR="00192982" w:rsidRPr="00EC250C">
        <w:rPr>
          <w:bCs/>
        </w:rPr>
        <w:t>pielęgniarską do pracy</w:t>
      </w:r>
      <w:r w:rsidR="00992FD0" w:rsidRPr="00EC250C">
        <w:rPr>
          <w:bCs/>
        </w:rPr>
        <w:t xml:space="preserve"> z </w:t>
      </w:r>
      <w:r w:rsidR="00192982" w:rsidRPr="00EC250C">
        <w:rPr>
          <w:bCs/>
        </w:rPr>
        <w:t>pacjentem geriatrycznym na oddziałach internistycznych</w:t>
      </w:r>
      <w:r w:rsidR="00992FD0" w:rsidRPr="00EC250C">
        <w:rPr>
          <w:bCs/>
        </w:rPr>
        <w:t xml:space="preserve"> i </w:t>
      </w:r>
      <w:r w:rsidR="00192982" w:rsidRPr="00EC250C">
        <w:rPr>
          <w:bCs/>
        </w:rPr>
        <w:t>izbach przyjęć.</w:t>
      </w:r>
    </w:p>
    <w:p w14:paraId="233FCCF1" w14:textId="77777777" w:rsidR="00192982" w:rsidRPr="00EC250C" w:rsidRDefault="00192982" w:rsidP="00D131FA">
      <w:pPr>
        <w:pStyle w:val="Styl1"/>
        <w:rPr>
          <w:bCs/>
        </w:rPr>
      </w:pPr>
      <w:r w:rsidRPr="00EC250C">
        <w:rPr>
          <w:bCs/>
        </w:rPr>
        <w:t>Eksperci podkreślili, że geriatria jest dziedziną medycyny skoncentrowaną na najstarszych, najbardziej schorowanych pacjentac</w:t>
      </w:r>
      <w:r w:rsidR="00167222" w:rsidRPr="00EC250C">
        <w:rPr>
          <w:bCs/>
        </w:rPr>
        <w:t>h</w:t>
      </w:r>
      <w:r w:rsidRPr="00EC250C">
        <w:rPr>
          <w:bCs/>
        </w:rPr>
        <w:t>. W dyskusji na powyższy temat, spoza Komisji, uczestniczyli: prof. Tomasz Kostka, Krajowy konsultant</w:t>
      </w:r>
      <w:r w:rsidR="00992FD0" w:rsidRPr="00EC250C">
        <w:rPr>
          <w:bCs/>
        </w:rPr>
        <w:t xml:space="preserve"> w </w:t>
      </w:r>
      <w:r w:rsidRPr="00EC250C">
        <w:rPr>
          <w:bCs/>
        </w:rPr>
        <w:t>dziedzinie geriatrii oraz prof. dr n. med. Ewa Marcinowska-Suchowierska, członek Narodowej Rady Rozwoju przy Prezydencie RP</w:t>
      </w:r>
      <w:r w:rsidR="00992FD0" w:rsidRPr="00EC250C">
        <w:rPr>
          <w:bCs/>
        </w:rPr>
        <w:t xml:space="preserve"> i </w:t>
      </w:r>
      <w:r w:rsidRPr="00EC250C">
        <w:rPr>
          <w:bCs/>
        </w:rPr>
        <w:t>Kierownik Kliniki Geriatrii Centrum Medycznego Kształcenia Podyplomowego</w:t>
      </w:r>
      <w:r w:rsidR="00992FD0" w:rsidRPr="00EC250C">
        <w:rPr>
          <w:bCs/>
        </w:rPr>
        <w:t xml:space="preserve"> w </w:t>
      </w:r>
      <w:r w:rsidRPr="00EC250C">
        <w:rPr>
          <w:bCs/>
        </w:rPr>
        <w:t>Warszawie.</w:t>
      </w:r>
    </w:p>
    <w:p w14:paraId="61A5F0EC" w14:textId="77777777" w:rsidR="00192982" w:rsidRPr="00EC250C" w:rsidRDefault="00192982" w:rsidP="00D131FA">
      <w:pPr>
        <w:pStyle w:val="Styl1"/>
        <w:rPr>
          <w:i/>
        </w:rPr>
      </w:pPr>
      <w:r w:rsidRPr="00EC250C">
        <w:rPr>
          <w:i/>
        </w:rPr>
        <w:t>c) Wpływ obniżenia wieku emerytalnego na sytuację seniorów</w:t>
      </w:r>
      <w:r w:rsidR="00992FD0" w:rsidRPr="00EC250C">
        <w:rPr>
          <w:i/>
        </w:rPr>
        <w:t xml:space="preserve"> w </w:t>
      </w:r>
      <w:r w:rsidRPr="00EC250C">
        <w:rPr>
          <w:i/>
        </w:rPr>
        <w:t>Polsce</w:t>
      </w:r>
    </w:p>
    <w:p w14:paraId="3618707E" w14:textId="77777777" w:rsidR="00192982" w:rsidRPr="00EC250C" w:rsidRDefault="00192982" w:rsidP="00D131FA">
      <w:pPr>
        <w:pStyle w:val="Styl1"/>
        <w:rPr>
          <w:bCs/>
        </w:rPr>
      </w:pPr>
      <w:r w:rsidRPr="00EC250C">
        <w:rPr>
          <w:bCs/>
        </w:rPr>
        <w:t>Podczas seminarium zorganizowanego</w:t>
      </w:r>
      <w:r w:rsidR="00992FD0" w:rsidRPr="00EC250C">
        <w:rPr>
          <w:bCs/>
        </w:rPr>
        <w:t xml:space="preserve"> w </w:t>
      </w:r>
      <w:r w:rsidRPr="00EC250C">
        <w:rPr>
          <w:bCs/>
        </w:rPr>
        <w:t xml:space="preserve">ramach prac Komisji omawiano skutki obniżenia wieku emerytalnego. </w:t>
      </w:r>
      <w:r w:rsidR="0014000D" w:rsidRPr="00EC250C">
        <w:rPr>
          <w:bCs/>
        </w:rPr>
        <w:t>W</w:t>
      </w:r>
      <w:r w:rsidRPr="00EC250C">
        <w:rPr>
          <w:bCs/>
        </w:rPr>
        <w:t xml:space="preserve"> debacie brali udział</w:t>
      </w:r>
      <w:r w:rsidR="0014000D" w:rsidRPr="00EC250C">
        <w:rPr>
          <w:bCs/>
        </w:rPr>
        <w:t xml:space="preserve"> także</w:t>
      </w:r>
      <w:r w:rsidRPr="00EC250C">
        <w:rPr>
          <w:bCs/>
        </w:rPr>
        <w:t xml:space="preserve">: Ewa Bednarczyk, dyrektorka Departamentu Świadczeń Emerytalno-Rentowych </w:t>
      </w:r>
      <w:r w:rsidR="0014000D" w:rsidRPr="00EC250C">
        <w:rPr>
          <w:bCs/>
        </w:rPr>
        <w:t>ZUS</w:t>
      </w:r>
      <w:r w:rsidRPr="00EC250C">
        <w:rPr>
          <w:bCs/>
        </w:rPr>
        <w:t>, dr hab. Agnieszka Chłoń-Domińczak, profesorka nadzwyczajna</w:t>
      </w:r>
      <w:r w:rsidR="00992FD0" w:rsidRPr="00EC250C">
        <w:rPr>
          <w:bCs/>
        </w:rPr>
        <w:t xml:space="preserve"> w </w:t>
      </w:r>
      <w:r w:rsidRPr="00EC250C">
        <w:rPr>
          <w:bCs/>
        </w:rPr>
        <w:t>Instytucie Statystyki</w:t>
      </w:r>
      <w:r w:rsidR="00992FD0" w:rsidRPr="00EC250C">
        <w:rPr>
          <w:bCs/>
        </w:rPr>
        <w:t xml:space="preserve"> i </w:t>
      </w:r>
      <w:r w:rsidRPr="00EC250C">
        <w:rPr>
          <w:bCs/>
        </w:rPr>
        <w:t>Demografii Szkoły Głównej Handlowej</w:t>
      </w:r>
      <w:r w:rsidR="00992FD0" w:rsidRPr="00EC250C">
        <w:rPr>
          <w:bCs/>
        </w:rPr>
        <w:t xml:space="preserve"> w </w:t>
      </w:r>
      <w:r w:rsidRPr="00EC250C">
        <w:rPr>
          <w:bCs/>
        </w:rPr>
        <w:t>Warszawie, dr. Krzysztof Hagemejer, wykładowca Collegium Civitas, Hochschule Bonn-Rhein-Sigg</w:t>
      </w:r>
      <w:r w:rsidR="00992FD0" w:rsidRPr="00EC250C">
        <w:rPr>
          <w:bCs/>
        </w:rPr>
        <w:t xml:space="preserve"> i </w:t>
      </w:r>
      <w:r w:rsidRPr="00EC250C">
        <w:rPr>
          <w:bCs/>
        </w:rPr>
        <w:t>na Uniwersytecie</w:t>
      </w:r>
      <w:r w:rsidR="00992FD0" w:rsidRPr="00EC250C">
        <w:rPr>
          <w:bCs/>
        </w:rPr>
        <w:t xml:space="preserve"> w </w:t>
      </w:r>
      <w:r w:rsidRPr="00EC250C">
        <w:rPr>
          <w:bCs/>
        </w:rPr>
        <w:t xml:space="preserve">Maastricht, prof. Bogusława Urbaniak, </w:t>
      </w:r>
      <w:r w:rsidR="006161F2" w:rsidRPr="00EC250C">
        <w:rPr>
          <w:bCs/>
        </w:rPr>
        <w:t>k</w:t>
      </w:r>
      <w:r w:rsidRPr="00EC250C">
        <w:rPr>
          <w:bCs/>
        </w:rPr>
        <w:t>ierownik Katedry Pracy</w:t>
      </w:r>
      <w:r w:rsidR="00992FD0" w:rsidRPr="00EC250C">
        <w:rPr>
          <w:bCs/>
        </w:rPr>
        <w:t xml:space="preserve"> i </w:t>
      </w:r>
      <w:r w:rsidRPr="00EC250C">
        <w:rPr>
          <w:bCs/>
        </w:rPr>
        <w:t xml:space="preserve">Polityki </w:t>
      </w:r>
      <w:r w:rsidRPr="00EC250C">
        <w:rPr>
          <w:bCs/>
        </w:rPr>
        <w:lastRenderedPageBreak/>
        <w:t>Społecznej Uniwersytetu Łódzkiego, prof. Filip Chybalski</w:t>
      </w:r>
      <w:r w:rsidR="00992FD0" w:rsidRPr="00EC250C">
        <w:rPr>
          <w:bCs/>
        </w:rPr>
        <w:t xml:space="preserve"> z </w:t>
      </w:r>
      <w:r w:rsidRPr="00EC250C">
        <w:rPr>
          <w:bCs/>
        </w:rPr>
        <w:t>Politechniki Łódzkiej, prof. Tadeusz Szumlicz</w:t>
      </w:r>
      <w:r w:rsidR="00992FD0" w:rsidRPr="00EC250C">
        <w:rPr>
          <w:bCs/>
        </w:rPr>
        <w:t xml:space="preserve"> z </w:t>
      </w:r>
      <w:r w:rsidRPr="00EC250C">
        <w:rPr>
          <w:bCs/>
        </w:rPr>
        <w:t>SGH oraz Lesław Nawacki, dyrektor Zespołu Prawa Pracy</w:t>
      </w:r>
      <w:r w:rsidR="00992FD0" w:rsidRPr="00EC250C">
        <w:rPr>
          <w:bCs/>
        </w:rPr>
        <w:t xml:space="preserve"> i </w:t>
      </w:r>
      <w:r w:rsidRPr="00EC250C">
        <w:rPr>
          <w:bCs/>
        </w:rPr>
        <w:t>Zabezpieczenia Społecznego</w:t>
      </w:r>
      <w:r w:rsidR="00992FD0" w:rsidRPr="00EC250C">
        <w:rPr>
          <w:bCs/>
        </w:rPr>
        <w:t xml:space="preserve"> w </w:t>
      </w:r>
      <w:r w:rsidRPr="00EC250C">
        <w:rPr>
          <w:bCs/>
        </w:rPr>
        <w:t>Biurze RPO.</w:t>
      </w:r>
    </w:p>
    <w:p w14:paraId="62A054AF" w14:textId="77777777" w:rsidR="00192982" w:rsidRPr="00EC250C" w:rsidRDefault="00192982" w:rsidP="00D131FA">
      <w:pPr>
        <w:pStyle w:val="Styl1"/>
        <w:rPr>
          <w:bCs/>
        </w:rPr>
      </w:pPr>
      <w:r w:rsidRPr="00EC250C">
        <w:rPr>
          <w:bCs/>
        </w:rPr>
        <w:t>Zdaniem ekspertów</w:t>
      </w:r>
      <w:r w:rsidR="00992FD0" w:rsidRPr="00EC250C">
        <w:rPr>
          <w:bCs/>
        </w:rPr>
        <w:t xml:space="preserve"> w </w:t>
      </w:r>
      <w:r w:rsidRPr="00EC250C">
        <w:rPr>
          <w:bCs/>
        </w:rPr>
        <w:t>ciągu najbliższych lat będziemy obserwowali spadek aktywności zawodowej wśród osób</w:t>
      </w:r>
      <w:r w:rsidR="00992FD0" w:rsidRPr="00EC250C">
        <w:rPr>
          <w:bCs/>
        </w:rPr>
        <w:t xml:space="preserve"> w </w:t>
      </w:r>
      <w:r w:rsidRPr="00EC250C">
        <w:rPr>
          <w:bCs/>
        </w:rPr>
        <w:t>wieku 55</w:t>
      </w:r>
      <w:bookmarkStart w:id="859" w:name="_Hlk432278"/>
      <w:r w:rsidRPr="00EC250C">
        <w:rPr>
          <w:bCs/>
        </w:rPr>
        <w:t>–</w:t>
      </w:r>
      <w:bookmarkEnd w:id="859"/>
      <w:r w:rsidRPr="00EC250C">
        <w:rPr>
          <w:bCs/>
        </w:rPr>
        <w:t>64 lat, rosnące zróżnicowanie emerytur kobiet</w:t>
      </w:r>
      <w:r w:rsidR="00992FD0" w:rsidRPr="00EC250C">
        <w:rPr>
          <w:bCs/>
        </w:rPr>
        <w:t xml:space="preserve"> i </w:t>
      </w:r>
      <w:r w:rsidRPr="00EC250C">
        <w:rPr>
          <w:bCs/>
        </w:rPr>
        <w:t>mężczyzn</w:t>
      </w:r>
      <w:r w:rsidR="00992FD0" w:rsidRPr="00EC250C">
        <w:rPr>
          <w:bCs/>
        </w:rPr>
        <w:t xml:space="preserve"> i </w:t>
      </w:r>
      <w:r w:rsidRPr="00EC250C">
        <w:rPr>
          <w:bCs/>
        </w:rPr>
        <w:t>wyższe ryzyko ubóstwa. Długofalowe zmiany zależą nie tylko od wieku,</w:t>
      </w:r>
      <w:r w:rsidR="00992FD0" w:rsidRPr="00EC250C">
        <w:rPr>
          <w:bCs/>
        </w:rPr>
        <w:t xml:space="preserve"> w </w:t>
      </w:r>
      <w:r w:rsidRPr="00EC250C">
        <w:rPr>
          <w:bCs/>
        </w:rPr>
        <w:t>którym ludzie przechodzą na emeryturę</w:t>
      </w:r>
      <w:r w:rsidR="00992FD0" w:rsidRPr="00EC250C">
        <w:rPr>
          <w:bCs/>
        </w:rPr>
        <w:t xml:space="preserve"> i </w:t>
      </w:r>
      <w:r w:rsidRPr="00EC250C">
        <w:rPr>
          <w:bCs/>
        </w:rPr>
        <w:t>ustawowego wieku emerytalnego, ale przede wszystkim – od całego systemu emerytalnego,</w:t>
      </w:r>
      <w:r w:rsidR="00992FD0" w:rsidRPr="00EC250C">
        <w:rPr>
          <w:bCs/>
        </w:rPr>
        <w:t xml:space="preserve"> a </w:t>
      </w:r>
      <w:r w:rsidRPr="00EC250C">
        <w:rPr>
          <w:bCs/>
        </w:rPr>
        <w:t>zwłaszcza części składkowej, administrowanej przez ZUS. System emerytalny decyduje</w:t>
      </w:r>
      <w:r w:rsidR="00992FD0" w:rsidRPr="00EC250C">
        <w:rPr>
          <w:bCs/>
        </w:rPr>
        <w:t xml:space="preserve"> o </w:t>
      </w:r>
      <w:r w:rsidRPr="00EC250C">
        <w:rPr>
          <w:bCs/>
        </w:rPr>
        <w:t>tym, jaka będzie sytuacja materialna świadczeniobiorców</w:t>
      </w:r>
      <w:r w:rsidR="00992FD0" w:rsidRPr="00EC250C">
        <w:rPr>
          <w:bCs/>
        </w:rPr>
        <w:t xml:space="preserve"> w </w:t>
      </w:r>
      <w:r w:rsidRPr="00EC250C">
        <w:rPr>
          <w:bCs/>
        </w:rPr>
        <w:t>przyszłości. W polskim systemie emerytalnym wysokość emerytury zależy wyłącznie od długości płacenia składek, ilości wpłaconych składek</w:t>
      </w:r>
      <w:r w:rsidR="00992FD0" w:rsidRPr="00EC250C">
        <w:rPr>
          <w:bCs/>
        </w:rPr>
        <w:t xml:space="preserve"> w </w:t>
      </w:r>
      <w:r w:rsidRPr="00EC250C">
        <w:rPr>
          <w:bCs/>
        </w:rPr>
        <w:t>ciągu całego okresu aktywności zawodowej</w:t>
      </w:r>
      <w:r w:rsidR="00992FD0" w:rsidRPr="00EC250C">
        <w:rPr>
          <w:bCs/>
        </w:rPr>
        <w:t xml:space="preserve"> i </w:t>
      </w:r>
      <w:r w:rsidRPr="00EC250C">
        <w:rPr>
          <w:bCs/>
        </w:rPr>
        <w:t>wieku przejścia na emeryturę. Ten sposób naliczania świadczenia powoduje, że przeciętna emerytura dla kobiet jest znacząco niższa niż ta dla mężczyzn. Co istotne, zjawisko to będzie się pogłębiać, zaś utrzymanie różnicy wieku emerytalnego dla kobiet</w:t>
      </w:r>
      <w:r w:rsidR="00992FD0" w:rsidRPr="00EC250C">
        <w:rPr>
          <w:bCs/>
        </w:rPr>
        <w:t xml:space="preserve"> i </w:t>
      </w:r>
      <w:r w:rsidRPr="00EC250C">
        <w:rPr>
          <w:bCs/>
        </w:rPr>
        <w:t>mężczyzn jest dyskryminujące: dla kobiet ze względu na znacząco niższą emeryturę, ale także dla mężczyzn ze względu na późniejszy dostęp do emerytury.</w:t>
      </w:r>
    </w:p>
    <w:p w14:paraId="3BDD9F48" w14:textId="77777777" w:rsidR="00192982" w:rsidRPr="00EC250C" w:rsidRDefault="00192982" w:rsidP="00D131FA">
      <w:pPr>
        <w:pStyle w:val="Styl1"/>
        <w:rPr>
          <w:i/>
        </w:rPr>
      </w:pPr>
      <w:r w:rsidRPr="00EC250C">
        <w:rPr>
          <w:i/>
        </w:rPr>
        <w:t>d) Monitorowanie prac nad Konwencją ONZ</w:t>
      </w:r>
      <w:r w:rsidR="00992FD0" w:rsidRPr="00EC250C">
        <w:rPr>
          <w:i/>
        </w:rPr>
        <w:t xml:space="preserve"> o </w:t>
      </w:r>
      <w:r w:rsidRPr="00EC250C">
        <w:rPr>
          <w:i/>
        </w:rPr>
        <w:t>prawach osób starszych</w:t>
      </w:r>
    </w:p>
    <w:p w14:paraId="4034619A" w14:textId="77777777" w:rsidR="00192982" w:rsidRPr="00EC250C" w:rsidRDefault="00192982" w:rsidP="00D131FA">
      <w:pPr>
        <w:pStyle w:val="Styl1"/>
      </w:pPr>
      <w:r w:rsidRPr="00EC250C">
        <w:t>W 2010</w:t>
      </w:r>
      <w:r w:rsidR="00C91F6E" w:rsidRPr="00EC250C">
        <w:t> r.</w:t>
      </w:r>
      <w:r w:rsidRPr="00EC250C">
        <w:t xml:space="preserve"> powstała cza ONZ do spraw starzenia się OEWG, której powierzono przygotowanie elementów międzynarodowego aktu prawnego – Konwencji</w:t>
      </w:r>
      <w:r w:rsidR="00992FD0" w:rsidRPr="00EC250C">
        <w:t xml:space="preserve"> o </w:t>
      </w:r>
      <w:r w:rsidRPr="00EC250C">
        <w:t>prawach osób starszych. Zdaniem Rzecznika Praw Obywatelskich oraz Komisji Ekspertów ds. Osób Starszych włączenie się Polski</w:t>
      </w:r>
      <w:r w:rsidR="00992FD0" w:rsidRPr="00EC250C">
        <w:t xml:space="preserve"> w </w:t>
      </w:r>
      <w:r w:rsidRPr="00EC250C">
        <w:t>opracowanie tej Konwencji spowoduje podniesienie świadomości praw osób starszych</w:t>
      </w:r>
      <w:r w:rsidR="00992FD0" w:rsidRPr="00EC250C">
        <w:t xml:space="preserve"> w </w:t>
      </w:r>
      <w:r w:rsidRPr="00EC250C">
        <w:t>społeczeństwie</w:t>
      </w:r>
      <w:r w:rsidR="00992FD0" w:rsidRPr="00EC250C">
        <w:t xml:space="preserve"> i </w:t>
      </w:r>
      <w:r w:rsidRPr="00EC250C">
        <w:t>mobilizację organów państwowych do efektywniejszych działań na rzecz starzejącego się społeczeństwa.</w:t>
      </w:r>
    </w:p>
    <w:p w14:paraId="34911F9F" w14:textId="77777777" w:rsidR="00C91F6E" w:rsidRPr="00EC250C" w:rsidRDefault="00192982" w:rsidP="00D131FA">
      <w:pPr>
        <w:pStyle w:val="Styl1"/>
      </w:pPr>
      <w:r w:rsidRPr="00EC250C">
        <w:t>Tematy omawiane</w:t>
      </w:r>
      <w:r w:rsidR="00992FD0" w:rsidRPr="00EC250C">
        <w:t xml:space="preserve"> w </w:t>
      </w:r>
      <w:r w:rsidRPr="00EC250C">
        <w:t>grupie OEWG</w:t>
      </w:r>
      <w:r w:rsidRPr="00EC250C">
        <w:rPr>
          <w:vertAlign w:val="superscript"/>
        </w:rPr>
        <w:footnoteReference w:id="845"/>
      </w:r>
      <w:r w:rsidRPr="00EC250C">
        <w:t xml:space="preserve"> dotyczyły m.in. przeciwdziałania dyskryminacji</w:t>
      </w:r>
      <w:r w:rsidR="00992FD0" w:rsidRPr="00EC250C">
        <w:t xml:space="preserve"> i </w:t>
      </w:r>
      <w:r w:rsidRPr="00EC250C">
        <w:t>przemocy wobec osób starszych, opieki długoterminowej</w:t>
      </w:r>
      <w:r w:rsidR="00992FD0" w:rsidRPr="00EC250C">
        <w:t xml:space="preserve"> i </w:t>
      </w:r>
      <w:r w:rsidRPr="00EC250C">
        <w:t>paliatywnej oraz prawa osób starszych do niezależności</w:t>
      </w:r>
      <w:r w:rsidR="00992FD0" w:rsidRPr="00EC250C">
        <w:t xml:space="preserve"> i </w:t>
      </w:r>
      <w:r w:rsidRPr="00EC250C">
        <w:t>autonomii. Prace na forum OEWG są kontynuowane,</w:t>
      </w:r>
      <w:r w:rsidR="00992FD0" w:rsidRPr="00EC250C">
        <w:t xml:space="preserve"> a </w:t>
      </w:r>
      <w:r w:rsidRPr="00EC250C">
        <w:t>zakres dyskusji objął kolejne dwa obszary tematyczne: edukację,</w:t>
      </w:r>
      <w:r w:rsidR="00992FD0" w:rsidRPr="00EC250C">
        <w:t xml:space="preserve"> w </w:t>
      </w:r>
      <w:r w:rsidRPr="00EC250C">
        <w:t>tym edukację ustawiczną oraz dostęp do pomocy społecznej. Równolegle Państwa członkowskie ONZ oraz narodowe instytucje ochrony praw człowieka mają za zadanie przygotowywanie propozycji elementów normatywnych nowego instrumentu prawa międzynarodowego</w:t>
      </w:r>
      <w:r w:rsidR="00992FD0" w:rsidRPr="00EC250C">
        <w:t xml:space="preserve"> w </w:t>
      </w:r>
      <w:r w:rsidRPr="00EC250C">
        <w:t>tematach, które już zostały omówione</w:t>
      </w:r>
      <w:r w:rsidRPr="00EC250C">
        <w:rPr>
          <w:vertAlign w:val="superscript"/>
        </w:rPr>
        <w:footnoteReference w:id="846"/>
      </w:r>
      <w:r w:rsidRPr="00EC250C">
        <w:t>.</w:t>
      </w:r>
    </w:p>
    <w:p w14:paraId="3E76E5F6" w14:textId="77777777" w:rsidR="00C91F6E" w:rsidRPr="00EC250C" w:rsidRDefault="00192982" w:rsidP="00D131FA">
      <w:pPr>
        <w:pStyle w:val="Styl1"/>
      </w:pPr>
      <w:r w:rsidRPr="00EC250C">
        <w:lastRenderedPageBreak/>
        <w:t>W obliczu zmieniającej się proporcji pokoleń – wzrostu liczby osób starszych</w:t>
      </w:r>
      <w:r w:rsidR="00992FD0" w:rsidRPr="00EC250C">
        <w:t xml:space="preserve"> i </w:t>
      </w:r>
      <w:r w:rsidRPr="00EC250C">
        <w:t>spadającej liczebności młodszych generacji – należy zabiegać</w:t>
      </w:r>
      <w:r w:rsidR="00992FD0" w:rsidRPr="00EC250C">
        <w:t xml:space="preserve"> o </w:t>
      </w:r>
      <w:r w:rsidRPr="00EC250C">
        <w:t>wszelkie możliwe środki, które pomogą przejść trudny czas transformacji demograficznej</w:t>
      </w:r>
      <w:r w:rsidR="00992FD0" w:rsidRPr="00EC250C">
        <w:t xml:space="preserve"> i </w:t>
      </w:r>
      <w:r w:rsidRPr="00EC250C">
        <w:t>wzmocnić stan przestrzegania praw osób starszych</w:t>
      </w:r>
      <w:r w:rsidRPr="00EC250C">
        <w:rPr>
          <w:vertAlign w:val="superscript"/>
        </w:rPr>
        <w:footnoteReference w:id="847"/>
      </w:r>
      <w:r w:rsidRPr="00EC250C">
        <w:t>.</w:t>
      </w:r>
    </w:p>
    <w:p w14:paraId="7260E7FB" w14:textId="77777777" w:rsidR="00192982" w:rsidRPr="00EC250C" w:rsidRDefault="00192982" w:rsidP="00D131FA">
      <w:pPr>
        <w:pStyle w:val="Styl1"/>
        <w:rPr>
          <w:i/>
        </w:rPr>
      </w:pPr>
      <w:r w:rsidRPr="00EC250C">
        <w:rPr>
          <w:i/>
        </w:rPr>
        <w:t>e) Złota Księga Dobrych Praktyk na Rzecz Społecznego Uczestnictwa Osób Starszych</w:t>
      </w:r>
    </w:p>
    <w:p w14:paraId="0AB06B51" w14:textId="77777777" w:rsidR="00192982" w:rsidRPr="00EC250C" w:rsidRDefault="00192982" w:rsidP="00D131FA">
      <w:pPr>
        <w:pStyle w:val="Styl1"/>
      </w:pPr>
      <w:r w:rsidRPr="00EC250C">
        <w:t>11 września 2018</w:t>
      </w:r>
      <w:r w:rsidR="00C91F6E" w:rsidRPr="00EC250C">
        <w:t> r.</w:t>
      </w:r>
      <w:r w:rsidR="00992FD0" w:rsidRPr="00EC250C">
        <w:t xml:space="preserve"> w </w:t>
      </w:r>
      <w:r w:rsidRPr="00EC250C">
        <w:t>Biurze Rzecznika Praw Obywatelskich</w:t>
      </w:r>
      <w:r w:rsidR="00992FD0" w:rsidRPr="00EC250C">
        <w:t xml:space="preserve"> w </w:t>
      </w:r>
      <w:r w:rsidRPr="00EC250C">
        <w:t>Warszawie odbyła się uroczystość wręczenia wyróżnień laureatom III edycji konkursu „Złota Księga Dobrych Praktyk na rzecz Społecznego Uczestnictwa Osób Starszych”. Spotkanie było też okazją do podsumowania wszystkich trzech edycji konkursu.</w:t>
      </w:r>
    </w:p>
    <w:p w14:paraId="2D11C1E4" w14:textId="77777777" w:rsidR="00C91F6E" w:rsidRPr="00EC250C" w:rsidRDefault="00192982" w:rsidP="00D131FA">
      <w:pPr>
        <w:pStyle w:val="Styl1"/>
      </w:pPr>
      <w:r w:rsidRPr="00EC250C">
        <w:t>Na przestrzeni czterech lat zaobserwowano proces upowszechniania dobrych praktyk oraz ich realizację</w:t>
      </w:r>
      <w:r w:rsidR="00992FD0" w:rsidRPr="00EC250C">
        <w:t xml:space="preserve"> w </w:t>
      </w:r>
      <w:r w:rsidRPr="00EC250C">
        <w:t>postaci rozwiązań systemowych, połączonych</w:t>
      </w:r>
      <w:r w:rsidR="00992FD0" w:rsidRPr="00EC250C">
        <w:t xml:space="preserve"> w </w:t>
      </w:r>
      <w:r w:rsidRPr="00EC250C">
        <w:t>sieć oddziaływań oraz zapisanych</w:t>
      </w:r>
      <w:r w:rsidR="00992FD0" w:rsidRPr="00EC250C">
        <w:t xml:space="preserve"> w </w:t>
      </w:r>
      <w:r w:rsidRPr="00EC250C">
        <w:t>strategiach/programach rozwoju gminy.</w:t>
      </w:r>
    </w:p>
    <w:p w14:paraId="1D481BE6" w14:textId="77777777" w:rsidR="00192982" w:rsidRPr="00EC250C" w:rsidRDefault="00192982" w:rsidP="00D131FA">
      <w:pPr>
        <w:pStyle w:val="Styl1"/>
      </w:pPr>
      <w:r w:rsidRPr="00EC250C">
        <w:t>Zdaniem ekspertów Komisji ds. Osób Starszych formuła „Złotej Księgi dobrych praktyk na rzecz społecznego uczestnictwa Osób Starszych” wyczerpała się. Dalej należy zbierać dobre praktyki, ale te, które można wpisać</w:t>
      </w:r>
      <w:r w:rsidR="00992FD0" w:rsidRPr="00EC250C">
        <w:t xml:space="preserve"> w </w:t>
      </w:r>
      <w:r w:rsidRPr="00EC250C">
        <w:t>sieć działań niezbędnych do zaplanowania skoordynowanej realizacji wsparcia na poziomie lokalnym</w:t>
      </w:r>
      <w:r w:rsidR="00992FD0" w:rsidRPr="00EC250C">
        <w:t xml:space="preserve"> w </w:t>
      </w:r>
      <w:r w:rsidRPr="00EC250C">
        <w:t>siedmiu obszarach tematycznych: bezpieczeństwo ekonomiczne, zdrowie, opieka, bezpieczeństwo</w:t>
      </w:r>
      <w:r w:rsidR="00992FD0" w:rsidRPr="00EC250C">
        <w:t xml:space="preserve"> w </w:t>
      </w:r>
      <w:r w:rsidRPr="00EC250C">
        <w:t>środowisku zamieszkania, czas wolny, edukacja, mieszkalnictwo. Są one opisane</w:t>
      </w:r>
      <w:r w:rsidR="00992FD0" w:rsidRPr="00EC250C">
        <w:t xml:space="preserve"> w </w:t>
      </w:r>
      <w:r w:rsidRPr="00EC250C">
        <w:t>„Systemie wsparcia osób starszych</w:t>
      </w:r>
      <w:r w:rsidR="00992FD0" w:rsidRPr="00EC250C">
        <w:t xml:space="preserve"> w </w:t>
      </w:r>
      <w:r w:rsidRPr="00EC250C">
        <w:t>środowisku zamieszkania”.</w:t>
      </w:r>
    </w:p>
    <w:p w14:paraId="726318C0" w14:textId="77777777" w:rsidR="00192982" w:rsidRPr="00EC250C" w:rsidRDefault="00192982" w:rsidP="00D131FA">
      <w:pPr>
        <w:pStyle w:val="Styl1"/>
      </w:pPr>
      <w:r w:rsidRPr="00EC250C">
        <w:t>Szczególnie istotne są działania zapewniające poczucie bezpieczeństwa fizycznego, socjalnego</w:t>
      </w:r>
      <w:r w:rsidR="00992FD0" w:rsidRPr="00EC250C">
        <w:t xml:space="preserve"> i </w:t>
      </w:r>
      <w:r w:rsidRPr="00EC250C">
        <w:t>społecznego, jak najdłuższe utrzymanie aktywności</w:t>
      </w:r>
      <w:r w:rsidR="00992FD0" w:rsidRPr="00EC250C">
        <w:t xml:space="preserve"> i </w:t>
      </w:r>
      <w:r w:rsidRPr="00EC250C">
        <w:t>autonomii seniorów, wzmacnianie nieformalnych więzi społecznych tworzących sieć wsparcia</w:t>
      </w:r>
      <w:r w:rsidR="00992FD0" w:rsidRPr="00EC250C">
        <w:t xml:space="preserve"> i </w:t>
      </w:r>
      <w:r w:rsidRPr="00EC250C">
        <w:t>zastępowanie ich –</w:t>
      </w:r>
      <w:r w:rsidR="00992FD0" w:rsidRPr="00EC250C">
        <w:t xml:space="preserve"> w </w:t>
      </w:r>
      <w:r w:rsidRPr="00EC250C">
        <w:t>miarę potrzeb – wsparciem formalnym, jak najdłuższe pozostawanie osób starszych</w:t>
      </w:r>
      <w:r w:rsidR="00992FD0" w:rsidRPr="00EC250C">
        <w:t xml:space="preserve"> w </w:t>
      </w:r>
      <w:r w:rsidRPr="00EC250C">
        <w:t>ich dotychczasowym środowisku zamieszkania, wszechstronna opieka, możliwość samorealizacji, poczucie godności</w:t>
      </w:r>
      <w:r w:rsidR="00992FD0" w:rsidRPr="00EC250C">
        <w:t xml:space="preserve"> i </w:t>
      </w:r>
      <w:r w:rsidRPr="00EC250C">
        <w:t>szacunku oraz traktowanie podmiotowe</w:t>
      </w:r>
      <w:r w:rsidR="00992FD0" w:rsidRPr="00EC250C">
        <w:t xml:space="preserve"> w </w:t>
      </w:r>
      <w:r w:rsidRPr="00EC250C">
        <w:t>każdej sytuacji</w:t>
      </w:r>
      <w:r w:rsidRPr="00EC250C">
        <w:rPr>
          <w:vertAlign w:val="superscript"/>
        </w:rPr>
        <w:footnoteReference w:id="848"/>
      </w:r>
      <w:r w:rsidRPr="00EC250C">
        <w:t>.</w:t>
      </w:r>
    </w:p>
    <w:p w14:paraId="5EB9618E" w14:textId="77777777" w:rsidR="00C91F6E" w:rsidRPr="00EC250C" w:rsidRDefault="00192982" w:rsidP="00D131FA">
      <w:pPr>
        <w:pStyle w:val="Styl1"/>
        <w:rPr>
          <w:i/>
        </w:rPr>
      </w:pPr>
      <w:r w:rsidRPr="00EC250C">
        <w:rPr>
          <w:i/>
        </w:rPr>
        <w:t>f) Konferencja „Alzheimer</w:t>
      </w:r>
      <w:r w:rsidR="00992FD0" w:rsidRPr="00EC250C">
        <w:rPr>
          <w:i/>
        </w:rPr>
        <w:t xml:space="preserve"> w </w:t>
      </w:r>
      <w:r w:rsidRPr="00EC250C">
        <w:rPr>
          <w:i/>
        </w:rPr>
        <w:t>rodzinie – jak diagnozować, jak pomagać osobom żyjącym</w:t>
      </w:r>
      <w:r w:rsidR="00992FD0" w:rsidRPr="00EC250C">
        <w:rPr>
          <w:i/>
        </w:rPr>
        <w:t xml:space="preserve"> z </w:t>
      </w:r>
      <w:r w:rsidRPr="00EC250C">
        <w:rPr>
          <w:i/>
        </w:rPr>
        <w:t>chorobą</w:t>
      </w:r>
      <w:r w:rsidR="00992FD0" w:rsidRPr="00EC250C">
        <w:rPr>
          <w:i/>
        </w:rPr>
        <w:t xml:space="preserve"> i </w:t>
      </w:r>
      <w:r w:rsidRPr="00EC250C">
        <w:rPr>
          <w:i/>
        </w:rPr>
        <w:t>ich rodzinom”</w:t>
      </w:r>
      <w:r w:rsidRPr="00EC250C">
        <w:rPr>
          <w:i/>
          <w:vertAlign w:val="superscript"/>
        </w:rPr>
        <w:footnoteReference w:id="849"/>
      </w:r>
    </w:p>
    <w:p w14:paraId="08E05C55" w14:textId="77777777" w:rsidR="00192982" w:rsidRPr="00EC250C" w:rsidRDefault="00192982" w:rsidP="00D131FA">
      <w:pPr>
        <w:pStyle w:val="Styl1"/>
      </w:pPr>
      <w:r w:rsidRPr="00EC250C">
        <w:t>27 września 2018</w:t>
      </w:r>
      <w:r w:rsidR="00C91F6E" w:rsidRPr="00EC250C">
        <w:t> r.</w:t>
      </w:r>
      <w:r w:rsidR="00992FD0" w:rsidRPr="00EC250C">
        <w:t xml:space="preserve"> w </w:t>
      </w:r>
      <w:r w:rsidRPr="00EC250C">
        <w:t>Biurze RPO</w:t>
      </w:r>
      <w:r w:rsidR="00992FD0" w:rsidRPr="00EC250C">
        <w:t xml:space="preserve"> w </w:t>
      </w:r>
      <w:r w:rsidRPr="00EC250C">
        <w:t>Warszawie odbyła się kolejna konferencja poświęcona osobom żyjącym</w:t>
      </w:r>
      <w:r w:rsidR="00992FD0" w:rsidRPr="00EC250C">
        <w:t xml:space="preserve"> z </w:t>
      </w:r>
      <w:r w:rsidRPr="00EC250C">
        <w:t>chorobą Alzheimera oraz ich rodzinom</w:t>
      </w:r>
      <w:r w:rsidR="00992FD0" w:rsidRPr="00EC250C">
        <w:t xml:space="preserve"> i </w:t>
      </w:r>
      <w:r w:rsidRPr="00EC250C">
        <w:t>opiekunom</w:t>
      </w:r>
      <w:r w:rsidRPr="00EC250C">
        <w:rPr>
          <w:vertAlign w:val="superscript"/>
        </w:rPr>
        <w:footnoteReference w:id="850"/>
      </w:r>
      <w:r w:rsidRPr="00EC250C">
        <w:t>, zorganizowana przez Rzecznika Praw Obywatelskich</w:t>
      </w:r>
      <w:r w:rsidR="00992FD0" w:rsidRPr="00EC250C">
        <w:t xml:space="preserve"> i </w:t>
      </w:r>
      <w:r w:rsidRPr="00EC250C">
        <w:t xml:space="preserve">Alzheimer Polska przy współpracy Związku Powiatów Polskich. Tematami wiodącymi konferencji były: wczesne diagnozowanie choroby Alzheimera, potrzeba </w:t>
      </w:r>
      <w:r w:rsidRPr="00EC250C">
        <w:lastRenderedPageBreak/>
        <w:t>przeprowadzania badań przesiewowych</w:t>
      </w:r>
      <w:r w:rsidR="00992FD0" w:rsidRPr="00EC250C">
        <w:t xml:space="preserve"> i </w:t>
      </w:r>
      <w:r w:rsidRPr="00EC250C">
        <w:t>zasady komunikowania się</w:t>
      </w:r>
      <w:r w:rsidR="00992FD0" w:rsidRPr="00EC250C">
        <w:t xml:space="preserve"> z </w:t>
      </w:r>
      <w:r w:rsidRPr="00EC250C">
        <w:t>osobami dotkniętymi chorobami otępiennym.</w:t>
      </w:r>
    </w:p>
    <w:p w14:paraId="2242D0E5" w14:textId="77777777" w:rsidR="00192982" w:rsidRPr="00EC250C" w:rsidRDefault="00192982" w:rsidP="00D131FA">
      <w:pPr>
        <w:pStyle w:val="Styl1"/>
      </w:pPr>
      <w:r w:rsidRPr="00EC250C">
        <w:t>Sukcesem konferencji jest rosnący zasięg</w:t>
      </w:r>
      <w:r w:rsidR="00992FD0" w:rsidRPr="00EC250C">
        <w:t xml:space="preserve"> i </w:t>
      </w:r>
      <w:r w:rsidRPr="00EC250C">
        <w:t>coraz większe zainteresowanie społeczne. Szacuje się, że</w:t>
      </w:r>
      <w:r w:rsidR="00992FD0" w:rsidRPr="00EC250C">
        <w:t xml:space="preserve"> w </w:t>
      </w:r>
      <w:r w:rsidRPr="00EC250C">
        <w:t>Polsce jest ok. 500</w:t>
      </w:r>
      <w:r w:rsidR="0014000D" w:rsidRPr="00EC250C">
        <w:t> </w:t>
      </w:r>
      <w:r w:rsidRPr="00EC250C">
        <w:t>000 chorych na choroby otępienne,</w:t>
      </w:r>
      <w:r w:rsidR="00992FD0" w:rsidRPr="00EC250C">
        <w:t xml:space="preserve"> z </w:t>
      </w:r>
      <w:r w:rsidRPr="00EC250C">
        <w:t>czego 300</w:t>
      </w:r>
      <w:r w:rsidR="0014000D" w:rsidRPr="00EC250C">
        <w:t> </w:t>
      </w:r>
      <w:r w:rsidRPr="00EC250C">
        <w:t>000</w:t>
      </w:r>
      <w:r w:rsidR="00992FD0" w:rsidRPr="00EC250C">
        <w:t xml:space="preserve"> z </w:t>
      </w:r>
      <w:r w:rsidRPr="00EC250C">
        <w:t>chorobą Alzheimera,</w:t>
      </w:r>
      <w:r w:rsidR="00992FD0" w:rsidRPr="00EC250C">
        <w:t xml:space="preserve"> a </w:t>
      </w:r>
      <w:r w:rsidRPr="00EC250C">
        <w:t>otępienie jest jedną</w:t>
      </w:r>
      <w:r w:rsidR="00992FD0" w:rsidRPr="00EC250C">
        <w:t xml:space="preserve"> z </w:t>
      </w:r>
      <w:r w:rsidRPr="00EC250C">
        <w:t>głównych przyczyn niepełnosprawności wśród osób</w:t>
      </w:r>
      <w:r w:rsidR="00992FD0" w:rsidRPr="00EC250C">
        <w:t xml:space="preserve"> w </w:t>
      </w:r>
      <w:r w:rsidRPr="00EC250C">
        <w:t>podeszłym wieku</w:t>
      </w:r>
      <w:r w:rsidR="00992FD0" w:rsidRPr="00EC250C">
        <w:t xml:space="preserve"> i </w:t>
      </w:r>
      <w:r w:rsidRPr="00EC250C">
        <w:t>jednym</w:t>
      </w:r>
      <w:r w:rsidR="00992FD0" w:rsidRPr="00EC250C">
        <w:t xml:space="preserve"> z </w:t>
      </w:r>
      <w:r w:rsidRPr="00EC250C">
        <w:t>głównych problemów zdrowia publicznego. Niezwykle istotne jest szerzenie wiedzy</w:t>
      </w:r>
      <w:r w:rsidR="00992FD0" w:rsidRPr="00EC250C">
        <w:t xml:space="preserve"> o </w:t>
      </w:r>
      <w:r w:rsidRPr="00EC250C">
        <w:t>problemach,</w:t>
      </w:r>
      <w:r w:rsidR="00992FD0" w:rsidRPr="00EC250C">
        <w:t xml:space="preserve"> z </w:t>
      </w:r>
      <w:r w:rsidRPr="00EC250C">
        <w:t>jakimi zmagają się na co dzień opiekunowie osób chorujących. Eksperci podkreślili ponadto, że</w:t>
      </w:r>
      <w:r w:rsidR="00992FD0" w:rsidRPr="00EC250C">
        <w:t xml:space="preserve"> w </w:t>
      </w:r>
      <w:r w:rsidRPr="00EC250C">
        <w:t>Polsce choroba ta jest wciąż zbyt późno diagnozowana,</w:t>
      </w:r>
      <w:r w:rsidR="00992FD0" w:rsidRPr="00EC250C">
        <w:t xml:space="preserve"> a </w:t>
      </w:r>
      <w:r w:rsidRPr="00EC250C">
        <w:t>do lekarza specjalisty trafiają osoby już</w:t>
      </w:r>
      <w:r w:rsidR="00992FD0" w:rsidRPr="00EC250C">
        <w:t xml:space="preserve"> w </w:t>
      </w:r>
      <w:r w:rsidRPr="00EC250C">
        <w:t>zaawansowanej fazie. Na przykładzie państw europejskich wskazano korzyści wynikające</w:t>
      </w:r>
      <w:r w:rsidR="00992FD0" w:rsidRPr="00EC250C">
        <w:t xml:space="preserve"> z </w:t>
      </w:r>
      <w:r w:rsidRPr="00EC250C">
        <w:t>przeprowadzenia wczesnej diagnostyki, tj.: oszczędności finansowe dla budżetu, rozpoznanie skali problemu – dokładniejsze dane statystyczne, przedłużenie okresu sprawności psychofizycznej chorego, zmniejszenie lub opóźnienie negatywnych skutków społecznych, ekonomicznych dla chorego</w:t>
      </w:r>
      <w:r w:rsidR="00992FD0" w:rsidRPr="00EC250C">
        <w:t xml:space="preserve"> i </w:t>
      </w:r>
      <w:r w:rsidRPr="00EC250C">
        <w:t>opiekuna, poprawa komfortu życia chorego</w:t>
      </w:r>
      <w:r w:rsidR="00992FD0" w:rsidRPr="00EC250C">
        <w:t xml:space="preserve"> i </w:t>
      </w:r>
      <w:r w:rsidRPr="00EC250C">
        <w:t>opiekuna, możliwość zaplanowania sobie dalszego życia (finanse, rodzina itp.).</w:t>
      </w:r>
    </w:p>
    <w:p w14:paraId="78549484" w14:textId="77777777" w:rsidR="00C91F6E" w:rsidRPr="00EC250C" w:rsidRDefault="00192982" w:rsidP="00D131FA">
      <w:pPr>
        <w:pStyle w:val="Styl1"/>
      </w:pPr>
      <w:r w:rsidRPr="00EC250C">
        <w:t xml:space="preserve">Podczas konferencji została również zaprezentowana internetowa platforma </w:t>
      </w:r>
      <w:hyperlink r:id="rId50" w:history="1">
        <w:r w:rsidRPr="00EC250C">
          <w:rPr>
            <w:rStyle w:val="Hipercze"/>
          </w:rPr>
          <w:t>www.testysenioralne.pl</w:t>
        </w:r>
      </w:hyperlink>
      <w:r w:rsidRPr="00EC250C">
        <w:t>, gdzie każdy sam</w:t>
      </w:r>
      <w:r w:rsidR="006161F2" w:rsidRPr="00EC250C">
        <w:t>odzielnie</w:t>
      </w:r>
      <w:r w:rsidRPr="00EC250C">
        <w:t xml:space="preserve"> lub przy wsparciu innych, może przeprowadzić testy</w:t>
      </w:r>
      <w:r w:rsidR="00992FD0" w:rsidRPr="00EC250C">
        <w:t xml:space="preserve"> w </w:t>
      </w:r>
      <w:r w:rsidRPr="00EC250C">
        <w:t>kierunku oceny sprawności ruchowej</w:t>
      </w:r>
      <w:r w:rsidR="00992FD0" w:rsidRPr="00EC250C">
        <w:t xml:space="preserve"> i </w:t>
      </w:r>
      <w:r w:rsidRPr="00EC250C">
        <w:t>pamięci. Testy te są dedykowane osobom po 55. roku życia.</w:t>
      </w:r>
    </w:p>
    <w:p w14:paraId="5FD2760D" w14:textId="77777777" w:rsidR="00192982" w:rsidRPr="00EC250C" w:rsidRDefault="00192982" w:rsidP="00D131FA">
      <w:pPr>
        <w:pStyle w:val="Styl1"/>
        <w:rPr>
          <w:i/>
        </w:rPr>
      </w:pPr>
      <w:r w:rsidRPr="00EC250C">
        <w:rPr>
          <w:i/>
        </w:rPr>
        <w:t>g) Model wsparcia osób starszych</w:t>
      </w:r>
      <w:r w:rsidR="00992FD0" w:rsidRPr="00EC250C">
        <w:rPr>
          <w:i/>
        </w:rPr>
        <w:t xml:space="preserve"> w </w:t>
      </w:r>
      <w:r w:rsidRPr="00EC250C">
        <w:rPr>
          <w:i/>
        </w:rPr>
        <w:t>środowisku zamieszkania</w:t>
      </w:r>
    </w:p>
    <w:p w14:paraId="2807B25B" w14:textId="77777777" w:rsidR="00C91F6E" w:rsidRPr="00EC250C" w:rsidRDefault="00192982" w:rsidP="00D131FA">
      <w:pPr>
        <w:pStyle w:val="Styl1"/>
      </w:pPr>
      <w:bookmarkStart w:id="860" w:name="_Hlk535417000"/>
      <w:r w:rsidRPr="00EC250C">
        <w:t>W 2018</w:t>
      </w:r>
      <w:r w:rsidR="00C91F6E" w:rsidRPr="00EC250C">
        <w:t> r.</w:t>
      </w:r>
      <w:r w:rsidRPr="00EC250C">
        <w:t xml:space="preserve"> rozpoczęły się działania związane</w:t>
      </w:r>
      <w:r w:rsidR="00992FD0" w:rsidRPr="00EC250C">
        <w:t xml:space="preserve"> z </w:t>
      </w:r>
      <w:r w:rsidRPr="00EC250C">
        <w:t>wdrażaniem systemu wsparcia osób starszych</w:t>
      </w:r>
      <w:r w:rsidR="00992FD0" w:rsidRPr="00EC250C">
        <w:t xml:space="preserve"> w </w:t>
      </w:r>
      <w:r w:rsidRPr="00EC250C">
        <w:t>wybranych gminach</w:t>
      </w:r>
      <w:r w:rsidRPr="00EC250C">
        <w:rPr>
          <w:vertAlign w:val="superscript"/>
        </w:rPr>
        <w:footnoteReference w:id="851"/>
      </w:r>
      <w:r w:rsidRPr="00EC250C">
        <w:t xml:space="preserve">. </w:t>
      </w:r>
      <w:r w:rsidR="0014000D" w:rsidRPr="00EC250C">
        <w:t xml:space="preserve">Członek Komisji </w:t>
      </w:r>
      <w:r w:rsidRPr="00EC250C">
        <w:t>Jacek Kwiatkowski na spotkaniach</w:t>
      </w:r>
      <w:r w:rsidR="00992FD0" w:rsidRPr="00EC250C">
        <w:t xml:space="preserve"> z </w:t>
      </w:r>
      <w:r w:rsidRPr="00EC250C">
        <w:t>przedstawicielami jednostek samorządu terytorialnego</w:t>
      </w:r>
      <w:r w:rsidR="00992FD0" w:rsidRPr="00EC250C">
        <w:t xml:space="preserve"> w </w:t>
      </w:r>
      <w:r w:rsidRPr="00EC250C">
        <w:t>Małopolsce przekazał informacje na temat wypracowanego przez Komisję modelu. Zwracał uwagę na konieczność opracowania metodologii diagnozowania sytuacji osób starszych</w:t>
      </w:r>
      <w:r w:rsidR="00992FD0" w:rsidRPr="00EC250C">
        <w:t xml:space="preserve"> w </w:t>
      </w:r>
      <w:r w:rsidRPr="00EC250C">
        <w:t>środowisku lokalnym. Został też opracowany wstępny, roboczy materiał założeń do metodologii diagnozowania potrzeb osób starszych</w:t>
      </w:r>
      <w:r w:rsidR="00992FD0" w:rsidRPr="00EC250C">
        <w:t xml:space="preserve"> w </w:t>
      </w:r>
      <w:r w:rsidRPr="00EC250C">
        <w:t>środowisku zamieszkania. Materiał ten będzie podstawą pracy zespołu ekspertów.</w:t>
      </w:r>
    </w:p>
    <w:p w14:paraId="4A521A89" w14:textId="77777777" w:rsidR="00192982" w:rsidRPr="00EC250C" w:rsidRDefault="00192982" w:rsidP="00D131FA">
      <w:pPr>
        <w:pStyle w:val="Styl1"/>
      </w:pPr>
      <w:r w:rsidRPr="00EC250C">
        <w:t>Powołanie zespołu ekspertów pracujących nad metodologią zostało odłożone</w:t>
      </w:r>
      <w:r w:rsidR="00992FD0" w:rsidRPr="00EC250C">
        <w:t xml:space="preserve"> w </w:t>
      </w:r>
      <w:r w:rsidRPr="00EC250C">
        <w:t>czasie ze względu na kampanię wyborczą do samorządów. Zainteresowanie uczestnictwem</w:t>
      </w:r>
      <w:r w:rsidR="00992FD0" w:rsidRPr="00EC250C">
        <w:t xml:space="preserve"> w </w:t>
      </w:r>
      <w:r w:rsidRPr="00EC250C">
        <w:t>pracach wyrazili przedstawiciele samorządów: Tarnowa, gminy Wielka Wieś k. Krakowa, gminy Iwanowice k. Krakowa</w:t>
      </w:r>
      <w:r w:rsidR="00992FD0" w:rsidRPr="00EC250C">
        <w:t xml:space="preserve"> i </w:t>
      </w:r>
      <w:r w:rsidRPr="00EC250C">
        <w:t>powiatu krakowskiego. Obecnie trwa ustalanie składu osobowego zespołu</w:t>
      </w:r>
      <w:r w:rsidR="00992FD0" w:rsidRPr="00EC250C">
        <w:t xml:space="preserve"> i </w:t>
      </w:r>
      <w:r w:rsidRPr="00EC250C">
        <w:t>harmonogramu prac.</w:t>
      </w:r>
    </w:p>
    <w:bookmarkEnd w:id="860"/>
    <w:p w14:paraId="4AD0CC91" w14:textId="77777777" w:rsidR="00C91F6E" w:rsidRPr="00EC250C" w:rsidRDefault="00192982" w:rsidP="00D131FA">
      <w:pPr>
        <w:pStyle w:val="Styl1"/>
        <w:rPr>
          <w:i/>
        </w:rPr>
      </w:pPr>
      <w:r w:rsidRPr="00EC250C">
        <w:rPr>
          <w:i/>
        </w:rPr>
        <w:t>h) „Wolontariat osób starszych</w:t>
      </w:r>
      <w:r w:rsidR="00992FD0" w:rsidRPr="00EC250C">
        <w:rPr>
          <w:i/>
        </w:rPr>
        <w:t xml:space="preserve"> w </w:t>
      </w:r>
      <w:r w:rsidRPr="00EC250C">
        <w:rPr>
          <w:i/>
        </w:rPr>
        <w:t>gminach”</w:t>
      </w:r>
    </w:p>
    <w:p w14:paraId="4744A580" w14:textId="77777777" w:rsidR="00192982" w:rsidRPr="00EC250C" w:rsidRDefault="00192982" w:rsidP="00D131FA">
      <w:pPr>
        <w:pStyle w:val="Styl1"/>
      </w:pPr>
      <w:r w:rsidRPr="00EC250C">
        <w:lastRenderedPageBreak/>
        <w:t xml:space="preserve">W ramach projektu </w:t>
      </w:r>
      <w:bookmarkStart w:id="861" w:name="_Hlk535321776"/>
      <w:r w:rsidRPr="00EC250C">
        <w:t>„Wolontariat osób starszych</w:t>
      </w:r>
      <w:r w:rsidR="00992FD0" w:rsidRPr="00EC250C">
        <w:t xml:space="preserve"> w </w:t>
      </w:r>
      <w:r w:rsidRPr="00EC250C">
        <w:t xml:space="preserve">gminach”, </w:t>
      </w:r>
      <w:bookmarkEnd w:id="861"/>
      <w:r w:rsidRPr="00EC250C">
        <w:t>prowadzonego przez członkinię Komisji Ekspertów ds. Osób Starszych, Irenę Wóycicką, 10 grudnia 2018</w:t>
      </w:r>
      <w:r w:rsidR="00C91F6E" w:rsidRPr="00EC250C">
        <w:t> r.</w:t>
      </w:r>
      <w:r w:rsidRPr="00EC250C">
        <w:t xml:space="preserve"> odbyło się seminarium</w:t>
      </w:r>
      <w:r w:rsidR="00992FD0" w:rsidRPr="00EC250C">
        <w:t xml:space="preserve"> z </w:t>
      </w:r>
      <w:r w:rsidRPr="00EC250C">
        <w:t>udziałem ekspertów. Projekt ma na celu wypracowanie praktycznych wzorców rozwoju wolontariatu osób starszych</w:t>
      </w:r>
      <w:r w:rsidR="00992FD0" w:rsidRPr="00EC250C">
        <w:t xml:space="preserve"> w </w:t>
      </w:r>
      <w:r w:rsidRPr="00EC250C">
        <w:t>społecznościach lokalnych,</w:t>
      </w:r>
      <w:r w:rsidR="00992FD0" w:rsidRPr="00EC250C">
        <w:t xml:space="preserve"> w </w:t>
      </w:r>
      <w:r w:rsidRPr="00EC250C">
        <w:t>jednostkach samorządu lokalnego</w:t>
      </w:r>
      <w:r w:rsidR="00992FD0" w:rsidRPr="00EC250C">
        <w:t xml:space="preserve"> i </w:t>
      </w:r>
      <w:r w:rsidRPr="00EC250C">
        <w:t>instytucjach im podległych samodzielnie lub we współpracy</w:t>
      </w:r>
      <w:r w:rsidR="00992FD0" w:rsidRPr="00EC250C">
        <w:t xml:space="preserve"> z </w:t>
      </w:r>
      <w:r w:rsidRPr="00EC250C">
        <w:t>organizacjami pozarządowymi.</w:t>
      </w:r>
    </w:p>
    <w:p w14:paraId="2F8DFCA3" w14:textId="77777777" w:rsidR="00192982" w:rsidRPr="00EC250C" w:rsidRDefault="00192982" w:rsidP="00EC250C">
      <w:pPr>
        <w:pStyle w:val="Nagwek5"/>
      </w:pPr>
      <w:bookmarkStart w:id="862" w:name="_Toc6258057"/>
      <w:r w:rsidRPr="00EC250C">
        <w:t>D. Komisja Ekspertów ds. Zdrowia</w:t>
      </w:r>
      <w:bookmarkEnd w:id="862"/>
    </w:p>
    <w:p w14:paraId="7521CA96" w14:textId="77777777" w:rsidR="00B473F5" w:rsidRPr="00EC250C" w:rsidRDefault="00192982" w:rsidP="00D131FA">
      <w:pPr>
        <w:pStyle w:val="Problemczowieka"/>
        <w:jc w:val="both"/>
      </w:pPr>
      <w:r w:rsidRPr="00EC250C">
        <w:t>Rok 2018 był drugim rokiem funkcjonowania</w:t>
      </w:r>
      <w:r w:rsidR="0014000D" w:rsidRPr="00EC250C">
        <w:t xml:space="preserve"> </w:t>
      </w:r>
      <w:r w:rsidRPr="00EC250C">
        <w:t>Komisji</w:t>
      </w:r>
      <w:r w:rsidR="00B473F5" w:rsidRPr="00EC250C">
        <w:t>.</w:t>
      </w:r>
    </w:p>
    <w:p w14:paraId="2C65C060" w14:textId="77777777" w:rsidR="00192982" w:rsidRPr="00EC250C" w:rsidRDefault="00192982" w:rsidP="00D131FA">
      <w:pPr>
        <w:pStyle w:val="Srdtytul6"/>
        <w:jc w:val="both"/>
      </w:pPr>
      <w:r w:rsidRPr="00EC250C">
        <w:t>Skład Komisji Ekspertów ds. Zdrowia</w:t>
      </w:r>
    </w:p>
    <w:p w14:paraId="5691DB4C" w14:textId="77777777" w:rsidR="00C73FDE" w:rsidRPr="00EC250C" w:rsidRDefault="00C73FDE" w:rsidP="006C70B7">
      <w:pPr>
        <w:pStyle w:val="Styl1"/>
        <w:numPr>
          <w:ilvl w:val="0"/>
          <w:numId w:val="12"/>
        </w:numPr>
        <w:sectPr w:rsidR="00C73FDE" w:rsidRPr="00EC250C" w:rsidSect="00FC47F2">
          <w:type w:val="continuous"/>
          <w:pgSz w:w="11907" w:h="16840"/>
          <w:pgMar w:top="1418" w:right="1418" w:bottom="1418" w:left="1276" w:header="567" w:footer="567" w:gutter="0"/>
          <w:cols w:space="708"/>
          <w:titlePg/>
          <w:docGrid w:linePitch="354"/>
        </w:sectPr>
      </w:pPr>
    </w:p>
    <w:p w14:paraId="3496C3D5" w14:textId="77777777" w:rsidR="00192982" w:rsidRPr="00EC250C" w:rsidRDefault="00192982" w:rsidP="006C70B7">
      <w:pPr>
        <w:pStyle w:val="Styl1"/>
        <w:numPr>
          <w:ilvl w:val="0"/>
          <w:numId w:val="12"/>
        </w:numPr>
      </w:pPr>
      <w:r w:rsidRPr="00EC250C">
        <w:t>Marek Balicki</w:t>
      </w:r>
    </w:p>
    <w:p w14:paraId="16E39853" w14:textId="77777777" w:rsidR="00192982" w:rsidRPr="00EC250C" w:rsidRDefault="00192982" w:rsidP="006C70B7">
      <w:pPr>
        <w:pStyle w:val="Styl1"/>
        <w:numPr>
          <w:ilvl w:val="0"/>
          <w:numId w:val="12"/>
        </w:numPr>
      </w:pPr>
      <w:r w:rsidRPr="00EC250C">
        <w:t>Dorota Karkowska</w:t>
      </w:r>
    </w:p>
    <w:p w14:paraId="345768BE" w14:textId="77777777" w:rsidR="00C91F6E" w:rsidRPr="00EC250C" w:rsidRDefault="00192982" w:rsidP="006C70B7">
      <w:pPr>
        <w:pStyle w:val="Styl1"/>
        <w:numPr>
          <w:ilvl w:val="0"/>
          <w:numId w:val="12"/>
        </w:numPr>
      </w:pPr>
      <w:r w:rsidRPr="00EC250C">
        <w:t>Piotr Jarecki</w:t>
      </w:r>
    </w:p>
    <w:p w14:paraId="185A0A88" w14:textId="77777777" w:rsidR="00192982" w:rsidRPr="00EC250C" w:rsidRDefault="00192982" w:rsidP="006C70B7">
      <w:pPr>
        <w:pStyle w:val="Styl1"/>
        <w:numPr>
          <w:ilvl w:val="0"/>
          <w:numId w:val="12"/>
        </w:numPr>
      </w:pPr>
      <w:r w:rsidRPr="00EC250C">
        <w:t>Wiesław Wiktor Jędrzejczak</w:t>
      </w:r>
    </w:p>
    <w:p w14:paraId="5152BE26" w14:textId="77777777" w:rsidR="00C91F6E" w:rsidRPr="00EC250C" w:rsidRDefault="00192982" w:rsidP="00EC250C">
      <w:pPr>
        <w:pStyle w:val="Styl1"/>
        <w:numPr>
          <w:ilvl w:val="0"/>
          <w:numId w:val="12"/>
        </w:numPr>
        <w:jc w:val="left"/>
      </w:pPr>
      <w:r w:rsidRPr="00EC250C">
        <w:t>Piotr Mierzejewski – współprzewodniczący</w:t>
      </w:r>
    </w:p>
    <w:p w14:paraId="6E55A13A" w14:textId="77777777" w:rsidR="00192982" w:rsidRPr="00EC250C" w:rsidRDefault="00192982" w:rsidP="006C70B7">
      <w:pPr>
        <w:pStyle w:val="Styl1"/>
        <w:numPr>
          <w:ilvl w:val="0"/>
          <w:numId w:val="12"/>
        </w:numPr>
      </w:pPr>
      <w:r w:rsidRPr="00EC250C">
        <w:t>O. Arkadiusz Nowak</w:t>
      </w:r>
    </w:p>
    <w:p w14:paraId="66171DB6" w14:textId="77777777" w:rsidR="00192982" w:rsidRPr="00EC250C" w:rsidRDefault="00192982" w:rsidP="00EC250C">
      <w:pPr>
        <w:pStyle w:val="Styl1"/>
        <w:numPr>
          <w:ilvl w:val="0"/>
          <w:numId w:val="12"/>
        </w:numPr>
        <w:jc w:val="left"/>
      </w:pPr>
      <w:r w:rsidRPr="00EC250C">
        <w:t>Ewa Talma – sekretarz</w:t>
      </w:r>
    </w:p>
    <w:p w14:paraId="1FDBC1D6" w14:textId="77777777" w:rsidR="00192982" w:rsidRPr="00EC250C" w:rsidRDefault="00192982" w:rsidP="006C70B7">
      <w:pPr>
        <w:pStyle w:val="Styl1"/>
        <w:numPr>
          <w:ilvl w:val="0"/>
          <w:numId w:val="12"/>
        </w:numPr>
      </w:pPr>
      <w:r w:rsidRPr="00EC250C">
        <w:t>Rafał Staszewski</w:t>
      </w:r>
    </w:p>
    <w:p w14:paraId="4CA7E5BD" w14:textId="77777777" w:rsidR="00192982" w:rsidRPr="00EC250C" w:rsidRDefault="00192982" w:rsidP="006C70B7">
      <w:pPr>
        <w:pStyle w:val="Styl1"/>
        <w:numPr>
          <w:ilvl w:val="0"/>
          <w:numId w:val="12"/>
        </w:numPr>
      </w:pPr>
      <w:r w:rsidRPr="00EC250C">
        <w:t>Robert Tabaszewski</w:t>
      </w:r>
    </w:p>
    <w:p w14:paraId="602569F0" w14:textId="77777777" w:rsidR="00192982" w:rsidRPr="00EC250C" w:rsidRDefault="00192982" w:rsidP="006C70B7">
      <w:pPr>
        <w:pStyle w:val="Styl1"/>
        <w:numPr>
          <w:ilvl w:val="0"/>
          <w:numId w:val="12"/>
        </w:numPr>
      </w:pPr>
      <w:r w:rsidRPr="00EC250C">
        <w:t>Monika Urbaniak</w:t>
      </w:r>
    </w:p>
    <w:p w14:paraId="165DF3B5" w14:textId="77777777" w:rsidR="00192982" w:rsidRPr="00EC250C" w:rsidRDefault="00192982" w:rsidP="006C70B7">
      <w:pPr>
        <w:pStyle w:val="Styl1"/>
        <w:numPr>
          <w:ilvl w:val="0"/>
          <w:numId w:val="12"/>
        </w:numPr>
      </w:pPr>
      <w:r w:rsidRPr="00EC250C">
        <w:t>Edyta Widawska</w:t>
      </w:r>
    </w:p>
    <w:p w14:paraId="2D5B203A" w14:textId="77777777" w:rsidR="00192982" w:rsidRPr="00EC250C" w:rsidRDefault="00192982" w:rsidP="00EC250C">
      <w:pPr>
        <w:pStyle w:val="Styl1"/>
        <w:numPr>
          <w:ilvl w:val="0"/>
          <w:numId w:val="12"/>
        </w:numPr>
        <w:jc w:val="left"/>
      </w:pPr>
      <w:r w:rsidRPr="00EC250C">
        <w:t>Tomasz Zalasiński – współprzewodniczący</w:t>
      </w:r>
    </w:p>
    <w:p w14:paraId="1BF010C3" w14:textId="77777777" w:rsidR="00C73FDE" w:rsidRPr="00EC250C" w:rsidRDefault="00C73FDE" w:rsidP="00D131FA">
      <w:pPr>
        <w:pStyle w:val="Srdtytul6"/>
        <w:jc w:val="both"/>
        <w:sectPr w:rsidR="00C73FDE" w:rsidRPr="00EC250C" w:rsidSect="00FC47F2">
          <w:type w:val="continuous"/>
          <w:pgSz w:w="11907" w:h="16840"/>
          <w:pgMar w:top="1418" w:right="1418" w:bottom="1418" w:left="1276" w:header="567" w:footer="567" w:gutter="0"/>
          <w:cols w:num="2" w:space="708"/>
          <w:titlePg/>
          <w:docGrid w:linePitch="354"/>
        </w:sectPr>
      </w:pPr>
    </w:p>
    <w:p w14:paraId="63BFCB73" w14:textId="77777777" w:rsidR="00192982" w:rsidRPr="00EC250C" w:rsidRDefault="00192982" w:rsidP="00D131FA">
      <w:pPr>
        <w:pStyle w:val="Srdtytul6"/>
        <w:jc w:val="both"/>
      </w:pPr>
      <w:r w:rsidRPr="00EC250C">
        <w:t>Działania Komisji:</w:t>
      </w:r>
    </w:p>
    <w:p w14:paraId="4FECE6F9" w14:textId="77777777" w:rsidR="00192982" w:rsidRPr="00EC250C" w:rsidRDefault="0014000D" w:rsidP="00D131FA">
      <w:pPr>
        <w:pStyle w:val="Styl1"/>
      </w:pPr>
      <w:r w:rsidRPr="00EC250C">
        <w:t xml:space="preserve">W czerwcu </w:t>
      </w:r>
      <w:r w:rsidR="00192982" w:rsidRPr="00EC250C">
        <w:t>2018</w:t>
      </w:r>
      <w:r w:rsidR="00C91F6E" w:rsidRPr="00EC250C">
        <w:t> r.</w:t>
      </w:r>
      <w:r w:rsidR="00192982" w:rsidRPr="00EC250C">
        <w:t xml:space="preserve"> Komisj</w:t>
      </w:r>
      <w:r w:rsidRPr="00EC250C">
        <w:t xml:space="preserve">a zajęła się </w:t>
      </w:r>
      <w:r w:rsidR="00192982" w:rsidRPr="00EC250C">
        <w:t>problem</w:t>
      </w:r>
      <w:r w:rsidRPr="00EC250C">
        <w:t>ami</w:t>
      </w:r>
      <w:r w:rsidR="00192982" w:rsidRPr="00EC250C">
        <w:t xml:space="preserve"> dotycząc</w:t>
      </w:r>
      <w:r w:rsidR="006161F2" w:rsidRPr="00EC250C">
        <w:t>ymi</w:t>
      </w:r>
      <w:r w:rsidR="00192982" w:rsidRPr="00EC250C">
        <w:t xml:space="preserve"> praw małoletniego pacjenta</w:t>
      </w:r>
      <w:r w:rsidR="00992FD0" w:rsidRPr="00EC250C">
        <w:t xml:space="preserve"> w </w:t>
      </w:r>
      <w:r w:rsidR="00192982" w:rsidRPr="00EC250C">
        <w:t>szpitalu,</w:t>
      </w:r>
      <w:r w:rsidR="00992FD0" w:rsidRPr="00EC250C">
        <w:t xml:space="preserve"> w </w:t>
      </w:r>
      <w:r w:rsidR="00192982" w:rsidRPr="00EC250C">
        <w:t>tym</w:t>
      </w:r>
      <w:r w:rsidR="00992FD0" w:rsidRPr="00EC250C">
        <w:t xml:space="preserve"> w </w:t>
      </w:r>
      <w:r w:rsidR="00192982" w:rsidRPr="00EC250C">
        <w:t>szczególności realizację prawa do dodatkowej opieki pielęgnacyjnej</w:t>
      </w:r>
      <w:r w:rsidR="00992FD0" w:rsidRPr="00EC250C">
        <w:t xml:space="preserve"> w </w:t>
      </w:r>
      <w:r w:rsidR="00192982" w:rsidRPr="00EC250C">
        <w:t>szpitalu. Przy braku odpowiednich regulacji prawnych rodzice napotykają na trudności</w:t>
      </w:r>
      <w:r w:rsidR="00992FD0" w:rsidRPr="00EC250C">
        <w:t xml:space="preserve"> z </w:t>
      </w:r>
      <w:r w:rsidR="00192982" w:rsidRPr="00EC250C">
        <w:t>towarzyszeniem hospitalizowanemu dziecku. Niedostatki infrastrukturalne, niejednorodna praktyka podmiotów leczniczych,</w:t>
      </w:r>
      <w:r w:rsidR="00992FD0" w:rsidRPr="00EC250C">
        <w:t xml:space="preserve"> a </w:t>
      </w:r>
      <w:r w:rsidR="00192982" w:rsidRPr="00EC250C">
        <w:t>także opłaty (w wysokości ustalanej samodzielnie przez każdą placówkę) pobierane od rodziców są głównymi przeszkodami, jakie utrudniają realizację prawa do dodatkowej opieki pielęgnacyjnej.</w:t>
      </w:r>
    </w:p>
    <w:p w14:paraId="4E65C363" w14:textId="77777777" w:rsidR="00192982" w:rsidRPr="00EC250C" w:rsidRDefault="0014000D" w:rsidP="00D131FA">
      <w:pPr>
        <w:pStyle w:val="Styl1"/>
      </w:pPr>
      <w:r w:rsidRPr="00EC250C">
        <w:t>C</w:t>
      </w:r>
      <w:r w:rsidR="00192982" w:rsidRPr="00EC250C">
        <w:t>złonkowie Komisji zwrócili także uwagę na kwestie związane</w:t>
      </w:r>
      <w:r w:rsidR="00992FD0" w:rsidRPr="00EC250C">
        <w:t xml:space="preserve"> z </w:t>
      </w:r>
      <w:r w:rsidR="00192982" w:rsidRPr="00EC250C">
        <w:t>regulacjami dotyczącymi obecności osoby bliskiej</w:t>
      </w:r>
      <w:r w:rsidR="00992FD0" w:rsidRPr="00EC250C">
        <w:t xml:space="preserve"> w </w:t>
      </w:r>
      <w:r w:rsidR="00192982" w:rsidRPr="00EC250C">
        <w:t>trakcie udzielania pacjentowi świadczeń</w:t>
      </w:r>
      <w:r w:rsidR="00992FD0" w:rsidRPr="00EC250C">
        <w:t xml:space="preserve"> w </w:t>
      </w:r>
      <w:r w:rsidR="00192982" w:rsidRPr="00EC250C">
        <w:t>karetce. Poruszono również problemy związane</w:t>
      </w:r>
      <w:r w:rsidR="00992FD0" w:rsidRPr="00EC250C">
        <w:t xml:space="preserve"> z </w:t>
      </w:r>
      <w:r w:rsidR="00192982" w:rsidRPr="00EC250C">
        <w:t>hospitalizacją dziecka pod nieobecność rodziców (opiekunów prawnych).</w:t>
      </w:r>
    </w:p>
    <w:p w14:paraId="31057A24" w14:textId="77777777" w:rsidR="00192982" w:rsidRPr="00EC250C" w:rsidRDefault="006161F2" w:rsidP="00D131FA">
      <w:pPr>
        <w:pStyle w:val="Styl1"/>
      </w:pPr>
      <w:r w:rsidRPr="00EC250C">
        <w:t xml:space="preserve">Do realizacji Komisja podjęła </w:t>
      </w:r>
      <w:r w:rsidR="00192982" w:rsidRPr="00EC250C">
        <w:t>propozycję Rzecznika Praw Obywatelskich wypracowania we współpracy</w:t>
      </w:r>
      <w:r w:rsidR="00992FD0" w:rsidRPr="00EC250C">
        <w:t xml:space="preserve"> z </w:t>
      </w:r>
      <w:r w:rsidR="00192982" w:rsidRPr="00EC250C">
        <w:t>organizacjami pozarządowymi ,,Karty Praw</w:t>
      </w:r>
      <w:r w:rsidR="00992FD0" w:rsidRPr="00EC250C">
        <w:t xml:space="preserve"> i </w:t>
      </w:r>
      <w:r w:rsidR="00192982" w:rsidRPr="00EC250C">
        <w:t>Obowiązków Rodzica podczas pobytu dziecka</w:t>
      </w:r>
      <w:r w:rsidR="00992FD0" w:rsidRPr="00EC250C">
        <w:t xml:space="preserve"> w </w:t>
      </w:r>
      <w:r w:rsidR="00192982" w:rsidRPr="00EC250C">
        <w:t>szpitalu”– formy rekomendacji dotyczących praktyki zapewnienia małoletnim pacjentom szpitali opieki pielęgnacyjnej rodziców (opiekunów prawnych). Komisja uzgodniła, że projekt ten będzie przedmiotem dalszych dyskusji –</w:t>
      </w:r>
      <w:r w:rsidR="00992FD0" w:rsidRPr="00EC250C">
        <w:t xml:space="preserve"> z </w:t>
      </w:r>
      <w:r w:rsidR="00192982" w:rsidRPr="00EC250C">
        <w:t>udziałem zainteresowanych organizacji pozarządowych.</w:t>
      </w:r>
    </w:p>
    <w:p w14:paraId="3A2B945D" w14:textId="77777777" w:rsidR="00C91F6E" w:rsidRPr="00EC250C" w:rsidRDefault="00192982" w:rsidP="00D131FA">
      <w:pPr>
        <w:pStyle w:val="Styl1"/>
      </w:pPr>
      <w:r w:rsidRPr="00EC250C">
        <w:t>Problemy dotyczące leczenia bólu,</w:t>
      </w:r>
      <w:r w:rsidR="00992FD0" w:rsidRPr="00EC250C">
        <w:t xml:space="preserve"> w </w:t>
      </w:r>
      <w:r w:rsidRPr="00EC250C">
        <w:t>tym dostęp do znieczulenia okołoporodowego</w:t>
      </w:r>
      <w:r w:rsidR="00992FD0" w:rsidRPr="00EC250C">
        <w:t xml:space="preserve"> i </w:t>
      </w:r>
      <w:r w:rsidRPr="00EC250C">
        <w:t>marihuany medycznej były tematem posiedzenia Komisji, które odbyło się 10 października 2018</w:t>
      </w:r>
      <w:r w:rsidR="00C91F6E" w:rsidRPr="00EC250C">
        <w:t> r.</w:t>
      </w:r>
      <w:r w:rsidRPr="00EC250C">
        <w:t xml:space="preserve"> </w:t>
      </w:r>
      <w:r w:rsidRPr="00EC250C">
        <w:lastRenderedPageBreak/>
        <w:t>Rzecznik Praw Obywatelskich</w:t>
      </w:r>
      <w:r w:rsidR="00992FD0" w:rsidRPr="00EC250C">
        <w:t xml:space="preserve"> w </w:t>
      </w:r>
      <w:r w:rsidR="006161F2" w:rsidRPr="00EC250C">
        <w:t xml:space="preserve">wystąpieniach do Ministra Zdrowia </w:t>
      </w:r>
      <w:r w:rsidRPr="00EC250C">
        <w:t>wielokrotnie podkreślał, że niezbędne jest zapewnienie jakości</w:t>
      </w:r>
      <w:r w:rsidR="00992FD0" w:rsidRPr="00EC250C">
        <w:t xml:space="preserve"> i </w:t>
      </w:r>
      <w:r w:rsidRPr="00EC250C">
        <w:t>skuteczności łagodzenia bólu pacjentów</w:t>
      </w:r>
      <w:r w:rsidR="00992FD0" w:rsidRPr="00EC250C">
        <w:t xml:space="preserve"> w </w:t>
      </w:r>
      <w:r w:rsidRPr="00EC250C">
        <w:t>polskiej służbie zdrowia. Szczególnym przykładem niedostatków</w:t>
      </w:r>
      <w:r w:rsidR="00992FD0" w:rsidRPr="00EC250C">
        <w:t xml:space="preserve"> w </w:t>
      </w:r>
      <w:r w:rsidRPr="00EC250C">
        <w:t>zakresie łagodzenia bólu jest dostęp kobiet rodzących do znieczulenia zewnątrzoponowego. Z danych statystycznych wynika, iż</w:t>
      </w:r>
      <w:r w:rsidR="00992FD0" w:rsidRPr="00EC250C">
        <w:t xml:space="preserve"> w </w:t>
      </w:r>
      <w:r w:rsidRPr="00EC250C">
        <w:t>różnych regionach kraju występuje znaczna dysproporcja</w:t>
      </w:r>
      <w:r w:rsidR="00992FD0" w:rsidRPr="00EC250C">
        <w:t xml:space="preserve"> w </w:t>
      </w:r>
      <w:r w:rsidRPr="00EC250C">
        <w:t>dostępie do tego świadczenia.</w:t>
      </w:r>
    </w:p>
    <w:p w14:paraId="34E79318" w14:textId="77777777" w:rsidR="00192982" w:rsidRPr="00EC250C" w:rsidRDefault="00192982" w:rsidP="00D131FA">
      <w:pPr>
        <w:pStyle w:val="Styl1"/>
      </w:pPr>
      <w:r w:rsidRPr="00EC250C">
        <w:t>Innym znamiennym przykładem podejścia władz publicznych do tematyki łagodzenia bólu jest dostęp polskich pacjentów do leczenia marihuaną medyczną. Trybunał Konstytucyjny</w:t>
      </w:r>
      <w:r w:rsidR="00992FD0" w:rsidRPr="00EC250C">
        <w:t xml:space="preserve"> w </w:t>
      </w:r>
      <w:r w:rsidRPr="00EC250C">
        <w:t>postanowieniu</w:t>
      </w:r>
      <w:r w:rsidR="00992FD0" w:rsidRPr="00EC250C">
        <w:t xml:space="preserve"> z </w:t>
      </w:r>
      <w:r w:rsidRPr="00EC250C">
        <w:t>17 marca 2015</w:t>
      </w:r>
      <w:r w:rsidR="00C91F6E" w:rsidRPr="00EC250C">
        <w:t> r.</w:t>
      </w:r>
      <w:r w:rsidRPr="00EC250C">
        <w:t>, (sygn. S 3/15) wskazał, że</w:t>
      </w:r>
      <w:r w:rsidR="00992FD0" w:rsidRPr="00EC250C">
        <w:t xml:space="preserve"> w </w:t>
      </w:r>
      <w:r w:rsidRPr="00EC250C">
        <w:t>świetle aktualnych badań naukowych marihuana może być wykorzystywana</w:t>
      </w:r>
      <w:r w:rsidR="00992FD0" w:rsidRPr="00EC250C">
        <w:t xml:space="preserve"> w </w:t>
      </w:r>
      <w:r w:rsidRPr="00EC250C">
        <w:t>celach medycznych, zwłaszcza</w:t>
      </w:r>
      <w:r w:rsidR="00992FD0" w:rsidRPr="00EC250C">
        <w:t xml:space="preserve"> w </w:t>
      </w:r>
      <w:r w:rsidRPr="00EC250C">
        <w:t>przypadku łagodzenia negatywnych objawów chemioterapii stosowanej</w:t>
      </w:r>
      <w:r w:rsidR="00992FD0" w:rsidRPr="00EC250C">
        <w:t xml:space="preserve"> w </w:t>
      </w:r>
      <w:r w:rsidRPr="00EC250C">
        <w:t>chorobach nowotworowych</w:t>
      </w:r>
      <w:r w:rsidR="00992FD0" w:rsidRPr="00EC250C">
        <w:t xml:space="preserve"> i </w:t>
      </w:r>
      <w:r w:rsidRPr="00EC250C">
        <w:t>zwrócił uwagę na potrzebę unormowania „kwestii medycznego wykorzystywania marihuany”. W ostatnich kilku latach doszło do pewnych pozytywnych zmian legislacyjnych</w:t>
      </w:r>
      <w:r w:rsidR="00992FD0" w:rsidRPr="00EC250C">
        <w:t xml:space="preserve"> w </w:t>
      </w:r>
      <w:r w:rsidRPr="00EC250C">
        <w:t>tym zakresie. Dotyczy to</w:t>
      </w:r>
      <w:r w:rsidR="00992FD0" w:rsidRPr="00EC250C">
        <w:t xml:space="preserve"> w </w:t>
      </w:r>
      <w:r w:rsidRPr="00EC250C">
        <w:t>szczególności:</w:t>
      </w:r>
    </w:p>
    <w:p w14:paraId="3302DB5B" w14:textId="77777777" w:rsidR="00192982" w:rsidRPr="00EC250C" w:rsidRDefault="00192982" w:rsidP="006C70B7">
      <w:pPr>
        <w:pStyle w:val="Styl1"/>
        <w:numPr>
          <w:ilvl w:val="0"/>
          <w:numId w:val="120"/>
        </w:numPr>
        <w:ind w:left="360"/>
      </w:pPr>
      <w:r w:rsidRPr="00EC250C">
        <w:t>wprowadzenia (z dniem 11 maja 2017</w:t>
      </w:r>
      <w:r w:rsidR="00C91F6E" w:rsidRPr="00EC250C">
        <w:t> r.</w:t>
      </w:r>
      <w:r w:rsidRPr="00EC250C">
        <w:t>) do ustawy</w:t>
      </w:r>
      <w:r w:rsidR="00992FD0" w:rsidRPr="00EC250C">
        <w:t xml:space="preserve"> o </w:t>
      </w:r>
      <w:r w:rsidRPr="00EC250C">
        <w:t>prawach pacjenta</w:t>
      </w:r>
      <w:r w:rsidR="00992FD0" w:rsidRPr="00EC250C">
        <w:t xml:space="preserve"> i </w:t>
      </w:r>
      <w:r w:rsidRPr="00EC250C">
        <w:t>Rzeczniku Praw Pacjenta nowego art. 20a, który explicite przewiduje prawo pacjenta do leczenia bólu</w:t>
      </w:r>
      <w:r w:rsidR="00992FD0" w:rsidRPr="00EC250C">
        <w:t xml:space="preserve"> i </w:t>
      </w:r>
      <w:r w:rsidRPr="00EC250C">
        <w:t>obowiązek monitorowania natężenia</w:t>
      </w:r>
      <w:r w:rsidR="00992FD0" w:rsidRPr="00EC250C">
        <w:t xml:space="preserve"> i </w:t>
      </w:r>
      <w:r w:rsidRPr="00EC250C">
        <w:t>skuteczności łagodzenia bólu przez podmiot leczniczy;</w:t>
      </w:r>
    </w:p>
    <w:p w14:paraId="0FA61185" w14:textId="77777777" w:rsidR="00192982" w:rsidRPr="00EC250C" w:rsidRDefault="00192982" w:rsidP="006C70B7">
      <w:pPr>
        <w:pStyle w:val="Styl1"/>
        <w:numPr>
          <w:ilvl w:val="0"/>
          <w:numId w:val="47"/>
        </w:numPr>
      </w:pPr>
      <w:r w:rsidRPr="00EC250C">
        <w:t>wprowadzenia (z dniem 31 sierpnia 2016</w:t>
      </w:r>
      <w:r w:rsidR="00C91F6E" w:rsidRPr="00EC250C">
        <w:t> r.</w:t>
      </w:r>
      <w:r w:rsidRPr="00EC250C">
        <w:t>) rozporządzeniem Ministra Zdrowia standardów postępowania medycznego</w:t>
      </w:r>
      <w:r w:rsidR="00992FD0" w:rsidRPr="00EC250C">
        <w:t xml:space="preserve"> w </w:t>
      </w:r>
      <w:r w:rsidRPr="00EC250C">
        <w:t>łagodzeniu bólu porodowego.</w:t>
      </w:r>
    </w:p>
    <w:p w14:paraId="70FADE86" w14:textId="77777777" w:rsidR="00C91F6E" w:rsidRPr="00EC250C" w:rsidRDefault="00192982" w:rsidP="00D131FA">
      <w:pPr>
        <w:pStyle w:val="Styl1"/>
      </w:pPr>
      <w:r w:rsidRPr="00EC250C">
        <w:t>Równocześnie Komisja Ekspertów ds. Zdrowia zwróciła uwagę, że</w:t>
      </w:r>
      <w:r w:rsidR="00992FD0" w:rsidRPr="00EC250C">
        <w:t xml:space="preserve"> z </w:t>
      </w:r>
      <w:r w:rsidRPr="00EC250C">
        <w:t>dniem 1 listopada 2017</w:t>
      </w:r>
      <w:r w:rsidR="00C91F6E" w:rsidRPr="00EC250C">
        <w:t> r.</w:t>
      </w:r>
      <w:r w:rsidRPr="00EC250C">
        <w:t xml:space="preserve"> weszły</w:t>
      </w:r>
      <w:r w:rsidR="00992FD0" w:rsidRPr="00EC250C">
        <w:t xml:space="preserve"> w </w:t>
      </w:r>
      <w:r w:rsidRPr="00EC250C">
        <w:t>życie przepisy, które miały umożliwić szerszy dostęp do marihuany leczniczej. Z powodu restrykcyjnych wymogów dopuszczenia do obrotu surowca farmaceutycznego do sporządzania leków recepturowych</w:t>
      </w:r>
      <w:r w:rsidR="00992FD0" w:rsidRPr="00EC250C">
        <w:t xml:space="preserve"> w </w:t>
      </w:r>
      <w:r w:rsidRPr="00EC250C">
        <w:t>postaci ziela konopi innych niż włókniste, nie został dotychczas złożony żaden wniosek</w:t>
      </w:r>
      <w:r w:rsidR="00992FD0" w:rsidRPr="00EC250C">
        <w:t xml:space="preserve"> o </w:t>
      </w:r>
      <w:r w:rsidRPr="00EC250C">
        <w:t>dopuszczenie surowca do obrotu, przez co surowiec ten jest niedostępny</w:t>
      </w:r>
      <w:r w:rsidR="00992FD0" w:rsidRPr="00EC250C">
        <w:t xml:space="preserve"> w </w:t>
      </w:r>
      <w:r w:rsidRPr="00EC250C">
        <w:t>aptekach</w:t>
      </w:r>
    </w:p>
    <w:p w14:paraId="6337B842" w14:textId="77777777" w:rsidR="00192982" w:rsidRPr="00EC250C" w:rsidRDefault="00192982" w:rsidP="00D131FA">
      <w:pPr>
        <w:pStyle w:val="Styl1"/>
      </w:pPr>
      <w:r w:rsidRPr="00EC250C">
        <w:t>Podstawowe wątpliwości członków Komisji dotyczą tego, czy praktyka pozwala na realizację prawa pacjenta do łagodzenia bólu. Analiza skarg</w:t>
      </w:r>
      <w:r w:rsidR="00992FD0" w:rsidRPr="00EC250C">
        <w:t xml:space="preserve"> i </w:t>
      </w:r>
      <w:r w:rsidRPr="00EC250C">
        <w:t>doniesień medialnych prowadzi do wniosku, że personel medyczny nie zawsze docenia rolę łagodzenia bólu u pacjentów. Ból bywa traktowany jako nieodłączna część choroby</w:t>
      </w:r>
      <w:r w:rsidR="00992FD0" w:rsidRPr="00EC250C">
        <w:t xml:space="preserve"> i </w:t>
      </w:r>
      <w:r w:rsidRPr="00EC250C">
        <w:t>procesu leczenia. Tymczasem monitorowanie</w:t>
      </w:r>
      <w:r w:rsidR="00992FD0" w:rsidRPr="00EC250C">
        <w:t xml:space="preserve"> i </w:t>
      </w:r>
      <w:r w:rsidRPr="00EC250C">
        <w:t>łagodzenie bólu związanego</w:t>
      </w:r>
      <w:r w:rsidR="00992FD0" w:rsidRPr="00EC250C">
        <w:t xml:space="preserve"> z </w:t>
      </w:r>
      <w:r w:rsidRPr="00EC250C">
        <w:t>chorobą powinno być traktowane jako jeden</w:t>
      </w:r>
      <w:r w:rsidR="00992FD0" w:rsidRPr="00EC250C">
        <w:t xml:space="preserve"> z </w:t>
      </w:r>
      <w:r w:rsidRPr="00EC250C">
        <w:t>priorytetów procesu leczniczego.</w:t>
      </w:r>
    </w:p>
    <w:p w14:paraId="6BA4A64C" w14:textId="77777777" w:rsidR="00C91F6E" w:rsidRPr="00EC250C" w:rsidRDefault="00192982" w:rsidP="00D131FA">
      <w:pPr>
        <w:pStyle w:val="Styl1"/>
      </w:pPr>
      <w:r w:rsidRPr="00EC250C">
        <w:t>Praktyka działania organów administracji (w szczególności Ministerstwa Zdrowia) również pozostawia wiele do życzenia, jeżeli chodzi</w:t>
      </w:r>
      <w:r w:rsidR="00992FD0" w:rsidRPr="00EC250C">
        <w:t xml:space="preserve"> o </w:t>
      </w:r>
      <w:r w:rsidRPr="00EC250C">
        <w:t>podejście do zagadnienia łagodzenia bólu. Potwierdza to analiza postępowań administracyjnych/sądowoadministracyjnych dotyczących refundacji marihuany medycznej sprowadzanej</w:t>
      </w:r>
      <w:r w:rsidR="00992FD0" w:rsidRPr="00EC250C">
        <w:t xml:space="preserve"> z </w:t>
      </w:r>
      <w:r w:rsidRPr="00EC250C">
        <w:t>zagranicy,</w:t>
      </w:r>
      <w:r w:rsidR="00992FD0" w:rsidRPr="00EC250C">
        <w:t xml:space="preserve"> w </w:t>
      </w:r>
      <w:r w:rsidRPr="00EC250C">
        <w:t>których Rzecznik brał udział. W toku postępowań często nie uwzględnia się bowiem indywidualnego podejścia do konkretnego pacjenta</w:t>
      </w:r>
      <w:r w:rsidR="00992FD0" w:rsidRPr="00EC250C">
        <w:t xml:space="preserve"> i </w:t>
      </w:r>
      <w:r w:rsidRPr="00EC250C">
        <w:t>selektywnie traktuje poszczególne kryteria refundacyjne.</w:t>
      </w:r>
    </w:p>
    <w:p w14:paraId="268CA826" w14:textId="77777777" w:rsidR="00C91F6E" w:rsidRPr="00EC250C" w:rsidRDefault="00192982" w:rsidP="00D131FA">
      <w:pPr>
        <w:pStyle w:val="Styl1"/>
      </w:pPr>
      <w:r w:rsidRPr="00EC250C">
        <w:lastRenderedPageBreak/>
        <w:t>W opinii Ekspertów Komisji konieczna jest publiczna debata</w:t>
      </w:r>
      <w:r w:rsidR="00992FD0" w:rsidRPr="00EC250C">
        <w:t xml:space="preserve"> w </w:t>
      </w:r>
      <w:r w:rsidRPr="00EC250C">
        <w:t>przedmiotowym zakresie,</w:t>
      </w:r>
      <w:r w:rsidR="00992FD0" w:rsidRPr="00EC250C">
        <w:t xml:space="preserve"> z </w:t>
      </w:r>
      <w:r w:rsidRPr="00EC250C">
        <w:t>udziałem organizacji pozarządowych, przedstawicieli Ministerstwa Zdrowia oraz podmiotów</w:t>
      </w:r>
      <w:r w:rsidR="00992FD0" w:rsidRPr="00EC250C">
        <w:t xml:space="preserve"> z </w:t>
      </w:r>
      <w:r w:rsidRPr="00EC250C">
        <w:t>branży farmaceutycznej. Zasadne jest także kontynuowanie kampanii społecznych oraz szkoleń dla pacjentów oraz personelu medycznego uświadamiające, że pacjent ma prawo do leczenia</w:t>
      </w:r>
      <w:r w:rsidR="00992FD0" w:rsidRPr="00EC250C">
        <w:t xml:space="preserve"> i </w:t>
      </w:r>
      <w:r w:rsidRPr="00EC250C">
        <w:t>życia bez bólu. Należy również walczyć ze stereotypami związanymi ze stosowaniem</w:t>
      </w:r>
      <w:r w:rsidR="00992FD0" w:rsidRPr="00EC250C">
        <w:t xml:space="preserve"> w </w:t>
      </w:r>
      <w:r w:rsidRPr="00EC250C">
        <w:t>procesie leczniczym marihuany medycznej oraz opioidów.</w:t>
      </w:r>
    </w:p>
    <w:p w14:paraId="7D1B7B10" w14:textId="77777777" w:rsidR="00192982" w:rsidRPr="00EC250C" w:rsidRDefault="00192982" w:rsidP="00D131FA">
      <w:pPr>
        <w:pStyle w:val="Styl1"/>
      </w:pPr>
      <w:r w:rsidRPr="00EC250C">
        <w:t>Ponadto członkowie Komisji zasygnalizowali problem związany</w:t>
      </w:r>
      <w:r w:rsidR="00992FD0" w:rsidRPr="00EC250C">
        <w:t xml:space="preserve"> z </w:t>
      </w:r>
      <w:r w:rsidRPr="00EC250C">
        <w:t>obowiązkiem szczepień ochronnych. Zwrócono uwagę na rolę organów władzy państwowej</w:t>
      </w:r>
      <w:r w:rsidR="00992FD0" w:rsidRPr="00EC250C">
        <w:t xml:space="preserve"> w </w:t>
      </w:r>
      <w:r w:rsidRPr="00EC250C">
        <w:t>egzekwowaniu dokonywania szczepień ochronnych. Wskazano przy tym, że duże znaczenie</w:t>
      </w:r>
      <w:r w:rsidR="00992FD0" w:rsidRPr="00EC250C">
        <w:t xml:space="preserve"> w </w:t>
      </w:r>
      <w:r w:rsidRPr="00EC250C">
        <w:t>działaniach mających na celu zwalczanie oraz zapobieganie chorób epidemicznych ma właściwa informacja oraz edukacja.</w:t>
      </w:r>
    </w:p>
    <w:p w14:paraId="224D1D09" w14:textId="77777777" w:rsidR="00192982" w:rsidRPr="00EC250C" w:rsidRDefault="00192982" w:rsidP="00D131FA">
      <w:pPr>
        <w:pStyle w:val="Styl1"/>
      </w:pPr>
      <w:r w:rsidRPr="00EC250C">
        <w:t>O problemie świadomej zgody pacjenta na udzielanie świadczenia zdrowotnego, zgodzie blankietowej oraz dostępie do świadczeń opieki zdrowotnej pacjentów cierpiących na stwardnienie rozsiane (SM),</w:t>
      </w:r>
      <w:r w:rsidR="00992FD0" w:rsidRPr="00EC250C">
        <w:t xml:space="preserve"> w </w:t>
      </w:r>
      <w:r w:rsidRPr="00EC250C">
        <w:t>szczególności do neurorehabilitacji oraz prawie osób chorujących do kontaktu</w:t>
      </w:r>
      <w:r w:rsidR="00992FD0" w:rsidRPr="00EC250C">
        <w:t xml:space="preserve"> z </w:t>
      </w:r>
      <w:r w:rsidRPr="00EC250C">
        <w:t>neuropsychologiem rozmawiano 3 grudnia 2018</w:t>
      </w:r>
      <w:r w:rsidR="00C91F6E" w:rsidRPr="00EC250C">
        <w:t> r.</w:t>
      </w:r>
      <w:r w:rsidRPr="00EC250C">
        <w:t>, podczas VII spotkania Komisji Ekspertów ds. Zdrowia.</w:t>
      </w:r>
    </w:p>
    <w:p w14:paraId="035F9E71" w14:textId="77777777" w:rsidR="00192982" w:rsidRPr="00EC250C" w:rsidRDefault="00192982" w:rsidP="00D131FA">
      <w:pPr>
        <w:pStyle w:val="Styl1"/>
      </w:pPr>
      <w:r w:rsidRPr="00EC250C">
        <w:t>Jednym</w:t>
      </w:r>
      <w:r w:rsidR="00992FD0" w:rsidRPr="00EC250C">
        <w:t xml:space="preserve"> z </w:t>
      </w:r>
      <w:r w:rsidRPr="00EC250C">
        <w:t>podstawowych praw pacjenta</w:t>
      </w:r>
      <w:r w:rsidR="00992FD0" w:rsidRPr="00EC250C">
        <w:t xml:space="preserve"> i </w:t>
      </w:r>
      <w:r w:rsidRPr="00EC250C">
        <w:t>zarazem obowiązków lekarza jest możliwość udzielenia świadczenia zdrowotnego dopiero po uzyskaniu świadomej zgody pacjenta. Stanowi</w:t>
      </w:r>
      <w:r w:rsidR="00992FD0" w:rsidRPr="00EC250C">
        <w:t xml:space="preserve"> o </w:t>
      </w:r>
      <w:r w:rsidRPr="00EC250C">
        <w:t>tym art. 16 ustawy</w:t>
      </w:r>
      <w:r w:rsidR="00992FD0" w:rsidRPr="00EC250C">
        <w:t xml:space="preserve"> o </w:t>
      </w:r>
      <w:r w:rsidRPr="00EC250C">
        <w:t>prawach pacjenta</w:t>
      </w:r>
      <w:r w:rsidR="00992FD0" w:rsidRPr="00EC250C">
        <w:t xml:space="preserve"> i </w:t>
      </w:r>
      <w:r w:rsidRPr="00EC250C">
        <w:t>Rzeczniku Praw Pacjenta oraz art. 32 ust. 1 ustawy</w:t>
      </w:r>
      <w:r w:rsidR="00992FD0" w:rsidRPr="00EC250C">
        <w:t xml:space="preserve"> o </w:t>
      </w:r>
      <w:r w:rsidRPr="00EC250C">
        <w:t>zawodach lekarza</w:t>
      </w:r>
      <w:r w:rsidR="00992FD0" w:rsidRPr="00EC250C">
        <w:t xml:space="preserve"> i </w:t>
      </w:r>
      <w:r w:rsidRPr="00EC250C">
        <w:t>lekarza dentysty. Zgoda pacjenta na udzielenie świadczenia powinna być poprzedzona udzieleniem przez osobę kompetentną informacji</w:t>
      </w:r>
      <w:r w:rsidR="00992FD0" w:rsidRPr="00EC250C">
        <w:t xml:space="preserve"> o </w:t>
      </w:r>
      <w:r w:rsidRPr="00EC250C">
        <w:t>stanie zdrowia pacjenta, rozpoznaniu, proponowanych oraz możliwych metodach diagnostycznych</w:t>
      </w:r>
      <w:r w:rsidR="00992FD0" w:rsidRPr="00EC250C">
        <w:t xml:space="preserve"> i </w:t>
      </w:r>
      <w:r w:rsidRPr="00EC250C">
        <w:t>leczniczych, dających się przewidzieć następstwach ich zastosowania albo zaniechania, wynikach leczenia oraz rokowaniu. Zgoda wyrażona świadomie musi zostać poprzedzona zrozumieniem</w:t>
      </w:r>
      <w:r w:rsidR="00992FD0" w:rsidRPr="00EC250C">
        <w:t xml:space="preserve"> i </w:t>
      </w:r>
      <w:r w:rsidRPr="00EC250C">
        <w:t>akceptacją zabiegu,</w:t>
      </w:r>
      <w:r w:rsidR="00992FD0" w:rsidRPr="00EC250C">
        <w:t xml:space="preserve"> a </w:t>
      </w:r>
      <w:r w:rsidRPr="00EC250C">
        <w:t>także typowych jego następstw. Choć polski system prawny</w:t>
      </w:r>
      <w:r w:rsidR="00992FD0" w:rsidRPr="00EC250C">
        <w:t xml:space="preserve"> w </w:t>
      </w:r>
      <w:r w:rsidRPr="00EC250C">
        <w:t>zakresie wyrażania przez pacjenta zgody na leczenie należy określić jako rozbudowany, nie jest on pozbawiony wad. W szczególności</w:t>
      </w:r>
      <w:r w:rsidR="00992FD0" w:rsidRPr="00EC250C">
        <w:t xml:space="preserve"> z </w:t>
      </w:r>
      <w:r w:rsidRPr="00EC250C">
        <w:t>przepisów prawa nie wynika wprost moc wiążąca oświadczeń</w:t>
      </w:r>
      <w:r w:rsidR="00992FD0" w:rsidRPr="00EC250C">
        <w:t xml:space="preserve"> o </w:t>
      </w:r>
      <w:r w:rsidRPr="00EC250C">
        <w:t>zgodzie blankietowej oraz</w:t>
      </w:r>
      <w:r w:rsidR="00992FD0" w:rsidRPr="00EC250C">
        <w:t xml:space="preserve"> o </w:t>
      </w:r>
      <w:r w:rsidRPr="00EC250C">
        <w:t>zgodzie (braku zgody) na świadczenia udzielan</w:t>
      </w:r>
      <w:r w:rsidR="006161F2" w:rsidRPr="00EC250C">
        <w:t>e</w:t>
      </w:r>
      <w:r w:rsidRPr="00EC250C">
        <w:t xml:space="preserve"> pro futuro (kwestię tę rozstrzyga orzecznictwo). Jako lukę należy </w:t>
      </w:r>
      <w:r w:rsidR="006161F2" w:rsidRPr="00EC250C">
        <w:t>uznać</w:t>
      </w:r>
      <w:r w:rsidRPr="00EC250C">
        <w:t xml:space="preserve"> brak szczególnych regulacji procesowych dotyczących postępowania przed sądem opiekuńczym</w:t>
      </w:r>
      <w:r w:rsidR="00992FD0" w:rsidRPr="00EC250C">
        <w:t xml:space="preserve"> o </w:t>
      </w:r>
      <w:r w:rsidRPr="00EC250C">
        <w:t>wyrażenie zgody na świadczenie</w:t>
      </w:r>
      <w:r w:rsidR="00992FD0" w:rsidRPr="00EC250C">
        <w:t xml:space="preserve"> w </w:t>
      </w:r>
      <w:r w:rsidRPr="00EC250C">
        <w:t xml:space="preserve">przypadku pacjenta nieprzytomnego, który nie ma przedstawiciela ustawowego. </w:t>
      </w:r>
      <w:r w:rsidR="006161F2" w:rsidRPr="00EC250C">
        <w:t xml:space="preserve">Natomiast </w:t>
      </w:r>
      <w:r w:rsidRPr="00EC250C">
        <w:t xml:space="preserve">wskazane </w:t>
      </w:r>
      <w:r w:rsidR="006161F2" w:rsidRPr="00EC250C">
        <w:t>jest</w:t>
      </w:r>
      <w:r w:rsidRPr="00EC250C">
        <w:t xml:space="preserve"> wprowadzenie (analogicznej do art. 48 ustawy</w:t>
      </w:r>
      <w:r w:rsidR="00992FD0" w:rsidRPr="00EC250C">
        <w:t xml:space="preserve"> o </w:t>
      </w:r>
      <w:r w:rsidRPr="00EC250C">
        <w:t>ochronie zdrowia psychicznego) regulacji, umożliwiającej</w:t>
      </w:r>
      <w:r w:rsidR="00992FD0" w:rsidRPr="00EC250C">
        <w:t xml:space="preserve"> w </w:t>
      </w:r>
      <w:r w:rsidRPr="00EC250C">
        <w:t>takich sytuacjach sądowi ustanowienie</w:t>
      </w:r>
      <w:r w:rsidR="00992FD0" w:rsidRPr="00EC250C">
        <w:t xml:space="preserve"> z </w:t>
      </w:r>
      <w:r w:rsidRPr="00EC250C">
        <w:t>urzędu pełnomocnika dla nieprzytomnego</w:t>
      </w:r>
      <w:r w:rsidR="00992FD0" w:rsidRPr="00EC250C">
        <w:t xml:space="preserve"> i </w:t>
      </w:r>
      <w:r w:rsidRPr="00EC250C">
        <w:t>nieposiadającego przedstawiciela ustawowego pacjenta.</w:t>
      </w:r>
    </w:p>
    <w:p w14:paraId="064E0310" w14:textId="77777777" w:rsidR="00192982" w:rsidRPr="00EC250C" w:rsidRDefault="00192982" w:rsidP="00D131FA">
      <w:pPr>
        <w:pStyle w:val="Styl1"/>
      </w:pPr>
      <w:r w:rsidRPr="00EC250C">
        <w:t>Członkowie Komisji dyskutowali również</w:t>
      </w:r>
      <w:r w:rsidR="00992FD0" w:rsidRPr="00EC250C">
        <w:t xml:space="preserve"> o </w:t>
      </w:r>
      <w:r w:rsidRPr="00EC250C">
        <w:t>problemach</w:t>
      </w:r>
      <w:r w:rsidR="00992FD0" w:rsidRPr="00EC250C">
        <w:t xml:space="preserve"> z </w:t>
      </w:r>
      <w:r w:rsidRPr="00EC250C">
        <w:t>dostępem do leczenia stwardnienia rozsianego,</w:t>
      </w:r>
      <w:r w:rsidR="00992FD0" w:rsidRPr="00EC250C">
        <w:t xml:space="preserve"> w </w:t>
      </w:r>
      <w:r w:rsidRPr="00EC250C">
        <w:t xml:space="preserve">szczególności po niepowodzeniu terapii lekami pierwszego rzutu. W trakcie spotkań </w:t>
      </w:r>
      <w:r w:rsidRPr="00EC250C">
        <w:lastRenderedPageBreak/>
        <w:t>regionalnych Rzecznik powziął informację, że</w:t>
      </w:r>
      <w:r w:rsidR="00992FD0" w:rsidRPr="00EC250C">
        <w:t xml:space="preserve"> z </w:t>
      </w:r>
      <w:r w:rsidRPr="00EC250C">
        <w:t>ok. 40 tys. osób chorujących</w:t>
      </w:r>
      <w:r w:rsidR="00992FD0" w:rsidRPr="00EC250C">
        <w:t xml:space="preserve"> w </w:t>
      </w:r>
      <w:r w:rsidRPr="00EC250C">
        <w:t>Polsce na stwardnienie rozsiane jedynie 7% leczonych jest ze środków publicznych. W opinii pacjentów limitowana jest też liczba miejsc</w:t>
      </w:r>
      <w:r w:rsidR="00992FD0" w:rsidRPr="00EC250C">
        <w:t xml:space="preserve"> w </w:t>
      </w:r>
      <w:r w:rsidRPr="00EC250C">
        <w:t>programach lekowych, co powoduje, że pacjenci szukają dostępu do leczenia poza miejscem zamieszkania. Utrudnia to rzeczywisty dostęp do leczenia ze środków publicznych. Brakuje też kompleksowego podejścia do leczenia chorych, szczególnie tych</w:t>
      </w:r>
      <w:r w:rsidR="00992FD0" w:rsidRPr="00EC250C">
        <w:t xml:space="preserve"> w </w:t>
      </w:r>
      <w:r w:rsidRPr="00EC250C">
        <w:t>zaawansowanym stadium choroby.</w:t>
      </w:r>
    </w:p>
    <w:p w14:paraId="79D81E27" w14:textId="77777777" w:rsidR="00C91F6E" w:rsidRPr="00EC250C" w:rsidRDefault="00192982" w:rsidP="00D131FA">
      <w:pPr>
        <w:pStyle w:val="Styl1"/>
      </w:pPr>
      <w:r w:rsidRPr="00EC250C">
        <w:t>Eksperci</w:t>
      </w:r>
      <w:r w:rsidR="00992FD0" w:rsidRPr="00EC250C">
        <w:t xml:space="preserve"> z </w:t>
      </w:r>
      <w:r w:rsidRPr="00EC250C">
        <w:t>Komisji ds. Zdrowia zaproponowali wprowadzenie standardu zgody na najczęstsze zabiegi medyczne,</w:t>
      </w:r>
      <w:r w:rsidR="00992FD0" w:rsidRPr="00EC250C">
        <w:t xml:space="preserve"> z </w:t>
      </w:r>
      <w:r w:rsidRPr="00EC250C">
        <w:t>których będą mogli korzystać zarówno pacjenci, jak</w:t>
      </w:r>
      <w:r w:rsidR="00992FD0" w:rsidRPr="00EC250C">
        <w:t xml:space="preserve"> i </w:t>
      </w:r>
      <w:r w:rsidRPr="00EC250C">
        <w:t>podmioty lecznicze. Członkowie Komisji podnieśli również, że należy zwrócić uwagę lekarzy na edukację</w:t>
      </w:r>
      <w:r w:rsidR="00992FD0" w:rsidRPr="00EC250C">
        <w:t xml:space="preserve"> w </w:t>
      </w:r>
      <w:r w:rsidRPr="00EC250C">
        <w:t>tym zakresie. Natomiast</w:t>
      </w:r>
      <w:r w:rsidR="00992FD0" w:rsidRPr="00EC250C">
        <w:t xml:space="preserve"> w </w:t>
      </w:r>
      <w:r w:rsidRPr="00EC250C">
        <w:t>kontekście dostępu pacjentów cierpiących na SM do świadczeń zdrowotnych, wskazano na potrzebę zwiększenia dostępności pacjentów do leczenia oraz neurorehabilitacji. Powyższe znajduje odzwierciedlenie</w:t>
      </w:r>
      <w:r w:rsidR="00992FD0" w:rsidRPr="00EC250C">
        <w:t xml:space="preserve"> w </w:t>
      </w:r>
      <w:r w:rsidRPr="00EC250C">
        <w:t xml:space="preserve">Petycji skierowanej do </w:t>
      </w:r>
      <w:r w:rsidR="00ED0535" w:rsidRPr="00EC250C">
        <w:t>p</w:t>
      </w:r>
      <w:r w:rsidRPr="00EC250C">
        <w:t>remiera, Ministra Zdrowia</w:t>
      </w:r>
      <w:r w:rsidR="00992FD0" w:rsidRPr="00EC250C">
        <w:t xml:space="preserve"> i </w:t>
      </w:r>
      <w:r w:rsidRPr="00EC250C">
        <w:t>Ministra Rodziny, Pracy</w:t>
      </w:r>
      <w:r w:rsidR="00992FD0" w:rsidRPr="00EC250C">
        <w:t xml:space="preserve"> i </w:t>
      </w:r>
      <w:r w:rsidRPr="00EC250C">
        <w:t>Polityki Społecznej</w:t>
      </w:r>
      <w:r w:rsidR="00992FD0" w:rsidRPr="00EC250C">
        <w:t xml:space="preserve"> w </w:t>
      </w:r>
      <w:r w:rsidRPr="00EC250C">
        <w:t>sprawie poprawy sytuacji pacjentów</w:t>
      </w:r>
      <w:r w:rsidR="00992FD0" w:rsidRPr="00EC250C">
        <w:t xml:space="preserve"> z </w:t>
      </w:r>
      <w:r w:rsidRPr="00EC250C">
        <w:t>SM</w:t>
      </w:r>
      <w:r w:rsidR="00992FD0" w:rsidRPr="00EC250C">
        <w:t xml:space="preserve"> w </w:t>
      </w:r>
      <w:r w:rsidRPr="00EC250C">
        <w:t>Polsce.</w:t>
      </w:r>
    </w:p>
    <w:p w14:paraId="7309B7D9" w14:textId="77777777" w:rsidR="00192982" w:rsidRPr="00EC250C" w:rsidRDefault="00192982" w:rsidP="00D131FA">
      <w:pPr>
        <w:pStyle w:val="Srdtytul6"/>
        <w:jc w:val="both"/>
      </w:pPr>
      <w:r w:rsidRPr="00EC250C">
        <w:t>Efekty podjętych działań:</w:t>
      </w:r>
    </w:p>
    <w:p w14:paraId="56DEFF6F" w14:textId="77777777" w:rsidR="00192982" w:rsidRPr="00EC250C" w:rsidRDefault="00192982" w:rsidP="006C70B7">
      <w:pPr>
        <w:pStyle w:val="Styl1"/>
        <w:numPr>
          <w:ilvl w:val="0"/>
          <w:numId w:val="156"/>
        </w:numPr>
        <w:ind w:left="357" w:hanging="357"/>
      </w:pPr>
      <w:r w:rsidRPr="00EC250C">
        <w:t>Kolejne wystąpienia Rzecznika do Ministra Zdrowia</w:t>
      </w:r>
      <w:r w:rsidR="00992FD0" w:rsidRPr="00EC250C">
        <w:t xml:space="preserve"> w </w:t>
      </w:r>
      <w:r w:rsidRPr="00EC250C">
        <w:t>sprawie problemów grupy zawodowej pielęgniarek</w:t>
      </w:r>
      <w:r w:rsidR="00992FD0" w:rsidRPr="00EC250C">
        <w:t xml:space="preserve"> i </w:t>
      </w:r>
      <w:r w:rsidRPr="00EC250C">
        <w:t>położnych.</w:t>
      </w:r>
    </w:p>
    <w:p w14:paraId="43FA2C0D" w14:textId="77777777" w:rsidR="00192982" w:rsidRPr="00EC250C" w:rsidRDefault="00192982" w:rsidP="006C70B7">
      <w:pPr>
        <w:pStyle w:val="Styl1"/>
        <w:numPr>
          <w:ilvl w:val="0"/>
          <w:numId w:val="156"/>
        </w:numPr>
        <w:ind w:left="357" w:hanging="357"/>
      </w:pPr>
      <w:r w:rsidRPr="00EC250C">
        <w:t>Wystąpienie do Ministra Zdrowia</w:t>
      </w:r>
      <w:r w:rsidR="00992FD0" w:rsidRPr="00EC250C">
        <w:t xml:space="preserve"> w </w:t>
      </w:r>
      <w:r w:rsidRPr="00EC250C">
        <w:t>sprawie problemu rzeczywistego dostępu pacjentów do leków zawierających medyczną marihuanę.</w:t>
      </w:r>
    </w:p>
    <w:p w14:paraId="6F78C9AF" w14:textId="77777777" w:rsidR="00192982" w:rsidRPr="00EC250C" w:rsidRDefault="00192982" w:rsidP="006C70B7">
      <w:pPr>
        <w:pStyle w:val="Styl1"/>
        <w:numPr>
          <w:ilvl w:val="0"/>
          <w:numId w:val="156"/>
        </w:numPr>
        <w:ind w:left="357" w:hanging="357"/>
      </w:pPr>
      <w:r w:rsidRPr="00EC250C">
        <w:t xml:space="preserve">Wystąpienia do Ministra Zdrowia, </w:t>
      </w:r>
      <w:r w:rsidR="0014000D" w:rsidRPr="00EC250C">
        <w:t xml:space="preserve">MEN </w:t>
      </w:r>
      <w:r w:rsidRPr="00EC250C">
        <w:t>oraz Głównego Inspektora Sanitarnego</w:t>
      </w:r>
      <w:r w:rsidR="00992FD0" w:rsidRPr="00EC250C">
        <w:t xml:space="preserve"> w </w:t>
      </w:r>
      <w:r w:rsidRPr="00EC250C">
        <w:t>sprawie obowiązku szczepień ochronnych.</w:t>
      </w:r>
    </w:p>
    <w:p w14:paraId="07DE2C0C" w14:textId="77777777" w:rsidR="00C91F6E" w:rsidRPr="00EC250C" w:rsidRDefault="00192982" w:rsidP="006C70B7">
      <w:pPr>
        <w:pStyle w:val="Styl1"/>
        <w:numPr>
          <w:ilvl w:val="0"/>
          <w:numId w:val="156"/>
        </w:numPr>
        <w:ind w:left="357" w:hanging="357"/>
      </w:pPr>
      <w:r w:rsidRPr="00EC250C">
        <w:t>Wystąpienie do Ministra Zdrowia</w:t>
      </w:r>
      <w:r w:rsidR="00992FD0" w:rsidRPr="00EC250C">
        <w:t xml:space="preserve"> w </w:t>
      </w:r>
      <w:r w:rsidRPr="00EC250C">
        <w:t>sprawie jakości żywienia pacjentów</w:t>
      </w:r>
      <w:r w:rsidR="00992FD0" w:rsidRPr="00EC250C">
        <w:t xml:space="preserve"> w </w:t>
      </w:r>
      <w:r w:rsidRPr="00EC250C">
        <w:t>podmiotach leczniczych.</w:t>
      </w:r>
    </w:p>
    <w:p w14:paraId="714C8A5E" w14:textId="77777777" w:rsidR="00C91F6E" w:rsidRPr="00EC250C" w:rsidRDefault="00192982" w:rsidP="006C70B7">
      <w:pPr>
        <w:pStyle w:val="Styl1"/>
        <w:numPr>
          <w:ilvl w:val="0"/>
          <w:numId w:val="156"/>
        </w:numPr>
        <w:ind w:left="357" w:hanging="357"/>
      </w:pPr>
      <w:r w:rsidRPr="00EC250C">
        <w:t>Wystąpienie do Ministra Zdrowia</w:t>
      </w:r>
      <w:r w:rsidR="00992FD0" w:rsidRPr="00EC250C">
        <w:t xml:space="preserve"> w </w:t>
      </w:r>
      <w:r w:rsidRPr="00EC250C">
        <w:t>sprawie pobierania opłat za postój na przyszpitalnych parkingach.</w:t>
      </w:r>
    </w:p>
    <w:p w14:paraId="20653954" w14:textId="77777777" w:rsidR="00C91F6E" w:rsidRPr="00EC250C" w:rsidRDefault="00192982" w:rsidP="006C70B7">
      <w:pPr>
        <w:pStyle w:val="Styl1"/>
        <w:numPr>
          <w:ilvl w:val="0"/>
          <w:numId w:val="156"/>
        </w:numPr>
        <w:ind w:left="357" w:hanging="357"/>
      </w:pPr>
      <w:r w:rsidRPr="00EC250C">
        <w:t>Wystąpienie do Ministra Zdrowia</w:t>
      </w:r>
      <w:r w:rsidR="00992FD0" w:rsidRPr="00EC250C">
        <w:t xml:space="preserve"> w </w:t>
      </w:r>
      <w:r w:rsidRPr="00EC250C">
        <w:t>sprawie funkcjonowania systemu ratunkowego dostępu do technologii lekowych.</w:t>
      </w:r>
    </w:p>
    <w:p w14:paraId="665504AF" w14:textId="77777777" w:rsidR="00192982" w:rsidRPr="00EC250C" w:rsidRDefault="00192982" w:rsidP="006C70B7">
      <w:pPr>
        <w:pStyle w:val="Styl1"/>
        <w:numPr>
          <w:ilvl w:val="0"/>
          <w:numId w:val="156"/>
        </w:numPr>
        <w:ind w:left="357" w:hanging="357"/>
      </w:pPr>
      <w:r w:rsidRPr="00EC250C">
        <w:t>Wystąpienie do Ministra Zdrowia</w:t>
      </w:r>
      <w:r w:rsidR="00992FD0" w:rsidRPr="00EC250C">
        <w:t xml:space="preserve"> w </w:t>
      </w:r>
      <w:r w:rsidRPr="00EC250C">
        <w:t>sprawie braku miejsc</w:t>
      </w:r>
      <w:r w:rsidR="00992FD0" w:rsidRPr="00EC250C">
        <w:t xml:space="preserve"> w </w:t>
      </w:r>
      <w:r w:rsidRPr="00EC250C">
        <w:t>szpitalach dla dzieci chorujących psychicznie.</w:t>
      </w:r>
    </w:p>
    <w:p w14:paraId="66A19E1D" w14:textId="77777777" w:rsidR="00192982" w:rsidRPr="00EC250C" w:rsidRDefault="00192982" w:rsidP="00D131FA">
      <w:pPr>
        <w:pStyle w:val="Srdtytul6"/>
        <w:jc w:val="both"/>
      </w:pPr>
      <w:bookmarkStart w:id="863" w:name="_Hlk535828093"/>
      <w:r w:rsidRPr="00EC250C">
        <w:t>Co wymaga dalszej pracy</w:t>
      </w:r>
    </w:p>
    <w:bookmarkEnd w:id="863"/>
    <w:p w14:paraId="613BB7FE" w14:textId="77777777" w:rsidR="00192982" w:rsidRPr="00EC250C" w:rsidRDefault="00192982" w:rsidP="00D131FA">
      <w:pPr>
        <w:pStyle w:val="Styl1"/>
      </w:pPr>
      <w:r w:rsidRPr="00EC250C">
        <w:t>Przedmiotem uwagi ze strony Komisji powinny być</w:t>
      </w:r>
      <w:r w:rsidR="00992FD0" w:rsidRPr="00EC250C">
        <w:t xml:space="preserve"> w </w:t>
      </w:r>
      <w:r w:rsidRPr="00EC250C">
        <w:t>dalszym ciągu problemy związane</w:t>
      </w:r>
      <w:r w:rsidR="00992FD0" w:rsidRPr="00EC250C">
        <w:t xml:space="preserve"> z </w:t>
      </w:r>
      <w:r w:rsidRPr="00EC250C">
        <w:t>dostępem pacjentów do leczenia bólu</w:t>
      </w:r>
      <w:r w:rsidR="0014000D" w:rsidRPr="00EC250C">
        <w:t>,</w:t>
      </w:r>
      <w:r w:rsidR="00992FD0" w:rsidRPr="00EC250C">
        <w:t xml:space="preserve"> w </w:t>
      </w:r>
      <w:r w:rsidRPr="00EC250C">
        <w:t xml:space="preserve">tym do rzeczywistego dostępu do leków zawierających medyczną marihuanę. Prace Komisji będą się skupiać na działaniach dotyczących wypracowania </w:t>
      </w:r>
      <w:r w:rsidRPr="00EC250C">
        <w:lastRenderedPageBreak/>
        <w:t>Karty stanowiącej rekomendację praktyk zapewnianiających małoletnim pacjentom szpitali prawo do opieki pielęgnacyjnej rodziców (opiekunów prawnych). Prace Komisji będą również dotyczyły świadomej zgody pacjenta na udzielanie świadczenia zdrowotnego oraz zgody blankietowej,</w:t>
      </w:r>
      <w:r w:rsidR="00992FD0" w:rsidRPr="00EC250C">
        <w:t xml:space="preserve"> w </w:t>
      </w:r>
      <w:r w:rsidRPr="00EC250C">
        <w:t>tym wprowadzenia standardu zgody na najczęstsze zabiegi medyczne,</w:t>
      </w:r>
      <w:r w:rsidR="00992FD0" w:rsidRPr="00EC250C">
        <w:t xml:space="preserve"> z </w:t>
      </w:r>
      <w:r w:rsidRPr="00EC250C">
        <w:t>których będą mogli korzystać zarówno pacjenci, jak</w:t>
      </w:r>
      <w:r w:rsidR="00992FD0" w:rsidRPr="00EC250C">
        <w:t xml:space="preserve"> i </w:t>
      </w:r>
      <w:r w:rsidRPr="00EC250C">
        <w:t>podmioty lecznicze. Dynamika zmian</w:t>
      </w:r>
      <w:r w:rsidR="00992FD0" w:rsidRPr="00EC250C">
        <w:t xml:space="preserve"> w </w:t>
      </w:r>
      <w:r w:rsidRPr="00EC250C">
        <w:t xml:space="preserve">systemie ochrony zdrowia każe przypuszczać, że katalog planowanych przez Komisję </w:t>
      </w:r>
      <w:r w:rsidR="006161F2" w:rsidRPr="00EC250C">
        <w:t xml:space="preserve">prac </w:t>
      </w:r>
      <w:r w:rsidRPr="00EC250C">
        <w:t>ulegnie rozszerzeniu.</w:t>
      </w:r>
    </w:p>
    <w:p w14:paraId="4B0E75F9" w14:textId="77777777" w:rsidR="00192982" w:rsidRPr="00EC250C" w:rsidRDefault="00192982" w:rsidP="00EC250C">
      <w:pPr>
        <w:pStyle w:val="Nagwek5"/>
      </w:pPr>
      <w:bookmarkStart w:id="864" w:name="_Toc6258058"/>
      <w:r w:rsidRPr="00EC250C">
        <w:t>E. Komisja ds. Osób Głuchych</w:t>
      </w:r>
      <w:bookmarkEnd w:id="864"/>
    </w:p>
    <w:p w14:paraId="04D09E1D" w14:textId="77777777" w:rsidR="00B473F5" w:rsidRPr="00EC250C" w:rsidRDefault="0014000D" w:rsidP="00D131FA">
      <w:pPr>
        <w:pStyle w:val="Problemczowieka"/>
        <w:jc w:val="both"/>
      </w:pPr>
      <w:r w:rsidRPr="00EC250C">
        <w:t>Celem pracy Komisji jest wspieranie Rzecznika</w:t>
      </w:r>
      <w:r w:rsidR="00992FD0" w:rsidRPr="00EC250C">
        <w:t xml:space="preserve"> w </w:t>
      </w:r>
      <w:r w:rsidRPr="00EC250C">
        <w:t>pełnieniu jego ustawowych zadań. Komisja zbiera informacje dotyczące bardzo specyficznych problemów</w:t>
      </w:r>
      <w:r w:rsidR="00992FD0" w:rsidRPr="00EC250C">
        <w:t xml:space="preserve"> i </w:t>
      </w:r>
      <w:r w:rsidRPr="00EC250C">
        <w:t>potrzeb osób głuchych,</w:t>
      </w:r>
      <w:r w:rsidR="00992FD0" w:rsidRPr="00EC250C">
        <w:t xml:space="preserve"> a </w:t>
      </w:r>
      <w:r w:rsidRPr="00EC250C">
        <w:t>także wskazuje ważne kwestie naruszające prawa człowieka tej grupy społecznej</w:t>
      </w:r>
      <w:r w:rsidR="00B473F5" w:rsidRPr="00EC250C">
        <w:t>.</w:t>
      </w:r>
    </w:p>
    <w:p w14:paraId="524E6B0B" w14:textId="77777777" w:rsidR="00C91F6E" w:rsidRPr="00EC250C" w:rsidRDefault="00192982" w:rsidP="00D131FA">
      <w:pPr>
        <w:pStyle w:val="Styl1"/>
        <w:rPr>
          <w:bCs/>
        </w:rPr>
      </w:pPr>
      <w:r w:rsidRPr="00EC250C">
        <w:rPr>
          <w:bCs/>
        </w:rPr>
        <w:t>W skład Komisji wchodzą ekspertki</w:t>
      </w:r>
      <w:r w:rsidR="00992FD0" w:rsidRPr="00EC250C">
        <w:rPr>
          <w:bCs/>
        </w:rPr>
        <w:t xml:space="preserve"> i </w:t>
      </w:r>
      <w:r w:rsidRPr="00EC250C">
        <w:rPr>
          <w:bCs/>
        </w:rPr>
        <w:t>eksperci, którzy są osobami głuchymi bądź Głuchymi, implantowanymi lub nie, posługujący się najczęściej Polskim Językiem Migowym oraz osoby słyszące, wychowane</w:t>
      </w:r>
      <w:r w:rsidR="00992FD0" w:rsidRPr="00EC250C">
        <w:rPr>
          <w:bCs/>
        </w:rPr>
        <w:t xml:space="preserve"> w </w:t>
      </w:r>
      <w:r w:rsidRPr="00EC250C">
        <w:rPr>
          <w:bCs/>
        </w:rPr>
        <w:t>rodzinach osób głuchych, znające PJM (</w:t>
      </w:r>
      <w:r w:rsidR="006161F2" w:rsidRPr="00EC250C">
        <w:rPr>
          <w:bCs/>
        </w:rPr>
        <w:t>C</w:t>
      </w:r>
      <w:r w:rsidRPr="00EC250C">
        <w:rPr>
          <w:bCs/>
        </w:rPr>
        <w:t>ODA),</w:t>
      </w:r>
      <w:r w:rsidR="00992FD0" w:rsidRPr="00EC250C">
        <w:rPr>
          <w:bCs/>
        </w:rPr>
        <w:t xml:space="preserve"> a </w:t>
      </w:r>
      <w:r w:rsidRPr="00EC250C">
        <w:rPr>
          <w:bCs/>
        </w:rPr>
        <w:t>także osoby działające społecznie bądź naukowo na rzecz praw osób głuchych.</w:t>
      </w:r>
    </w:p>
    <w:p w14:paraId="256D5ACA" w14:textId="77777777" w:rsidR="00192982" w:rsidRPr="00EC250C" w:rsidRDefault="00192982" w:rsidP="00D131FA">
      <w:pPr>
        <w:pStyle w:val="Styl1"/>
        <w:rPr>
          <w:bCs/>
        </w:rPr>
      </w:pPr>
      <w:r w:rsidRPr="00EC250C">
        <w:rPr>
          <w:bCs/>
        </w:rPr>
        <w:t>W latach 2017–2018 powstało wiele inicjatyw społecznych</w:t>
      </w:r>
      <w:r w:rsidR="00992FD0" w:rsidRPr="00EC250C">
        <w:rPr>
          <w:bCs/>
        </w:rPr>
        <w:t xml:space="preserve"> w </w:t>
      </w:r>
      <w:r w:rsidRPr="00EC250C">
        <w:rPr>
          <w:bCs/>
        </w:rPr>
        <w:t>środowisku osób głuchych. W ramach swoich działań głusi intensywnie podjęli temat popularyzacji języka migowego, tworząc programy edukacyjne, wydając różne publikacje. Wiele stowarzyszeń nadal walczy</w:t>
      </w:r>
      <w:r w:rsidR="00992FD0" w:rsidRPr="00EC250C">
        <w:rPr>
          <w:bCs/>
        </w:rPr>
        <w:t xml:space="preserve"> o </w:t>
      </w:r>
      <w:r w:rsidRPr="00EC250C">
        <w:rPr>
          <w:bCs/>
        </w:rPr>
        <w:t>pełną dostępność dla głuchych</w:t>
      </w:r>
      <w:r w:rsidR="00992FD0" w:rsidRPr="00EC250C">
        <w:rPr>
          <w:bCs/>
        </w:rPr>
        <w:t xml:space="preserve"> w </w:t>
      </w:r>
      <w:r w:rsidRPr="00EC250C">
        <w:rPr>
          <w:bCs/>
        </w:rPr>
        <w:t>szpitalach</w:t>
      </w:r>
      <w:r w:rsidR="00992FD0" w:rsidRPr="00EC250C">
        <w:rPr>
          <w:bCs/>
        </w:rPr>
        <w:t xml:space="preserve"> i </w:t>
      </w:r>
      <w:r w:rsidRPr="00EC250C">
        <w:rPr>
          <w:bCs/>
        </w:rPr>
        <w:t>innych miejscach użyteczności publicznej. Jest coraz więcej działań promujących dostępność do kultury takich jak seanse filmowe filmów</w:t>
      </w:r>
      <w:r w:rsidR="00992FD0" w:rsidRPr="00EC250C">
        <w:rPr>
          <w:bCs/>
        </w:rPr>
        <w:t xml:space="preserve"> z </w:t>
      </w:r>
      <w:r w:rsidRPr="00EC250C">
        <w:rPr>
          <w:bCs/>
        </w:rPr>
        <w:t>napisami. Powstaje też coraz więcej filmów prezentujących społeczność głuchych, jak choćby film dokumentalny „Dwa światy”. Przedstawiciele środowiska uczestniczą</w:t>
      </w:r>
      <w:r w:rsidR="00992FD0" w:rsidRPr="00EC250C">
        <w:rPr>
          <w:bCs/>
        </w:rPr>
        <w:t xml:space="preserve"> w </w:t>
      </w:r>
      <w:r w:rsidRPr="00EC250C">
        <w:rPr>
          <w:bCs/>
        </w:rPr>
        <w:t>różnych spotkaniach</w:t>
      </w:r>
      <w:r w:rsidR="00992FD0" w:rsidRPr="00EC250C">
        <w:rPr>
          <w:bCs/>
        </w:rPr>
        <w:t xml:space="preserve"> i </w:t>
      </w:r>
      <w:r w:rsidRPr="00EC250C">
        <w:rPr>
          <w:bCs/>
        </w:rPr>
        <w:t>działaniach wymagających ich konsultacji eksperckich, takich jak Polska Rada Języka Migowego czy Parlamentarny Zespół ds. Głuchych. Chociaż świadomość społeczna wzrasta, nadal jest dużo do zrobienia</w:t>
      </w:r>
      <w:r w:rsidR="00992FD0" w:rsidRPr="00EC250C">
        <w:rPr>
          <w:bCs/>
        </w:rPr>
        <w:t xml:space="preserve"> w </w:t>
      </w:r>
      <w:r w:rsidRPr="00EC250C">
        <w:rPr>
          <w:bCs/>
        </w:rPr>
        <w:t>sprawie dostępności do tłumaczy PJM. Coraz więcej organizacji społecznych głuchych domaga się wprowadzenia edukacji dwujęzycznej</w:t>
      </w:r>
      <w:r w:rsidR="00992FD0" w:rsidRPr="00EC250C">
        <w:rPr>
          <w:bCs/>
        </w:rPr>
        <w:t xml:space="preserve"> w </w:t>
      </w:r>
      <w:r w:rsidRPr="00EC250C">
        <w:rPr>
          <w:bCs/>
        </w:rPr>
        <w:t>szkołach dla głuchych, zamieszczania napisów</w:t>
      </w:r>
      <w:r w:rsidR="00992FD0" w:rsidRPr="00EC250C">
        <w:rPr>
          <w:bCs/>
        </w:rPr>
        <w:t xml:space="preserve"> w </w:t>
      </w:r>
      <w:r w:rsidRPr="00EC250C">
        <w:rPr>
          <w:bCs/>
        </w:rPr>
        <w:t xml:space="preserve">programach telewizyjnych oraz dostępności osób głuchych </w:t>
      </w:r>
      <w:r w:rsidR="00B769A0" w:rsidRPr="00EC250C">
        <w:rPr>
          <w:bCs/>
        </w:rPr>
        <w:t xml:space="preserve">do </w:t>
      </w:r>
      <w:r w:rsidRPr="00EC250C">
        <w:rPr>
          <w:bCs/>
        </w:rPr>
        <w:t>polskiej służb</w:t>
      </w:r>
      <w:r w:rsidR="00B769A0" w:rsidRPr="00EC250C">
        <w:rPr>
          <w:bCs/>
        </w:rPr>
        <w:t>y</w:t>
      </w:r>
      <w:r w:rsidRPr="00EC250C">
        <w:rPr>
          <w:bCs/>
        </w:rPr>
        <w:t xml:space="preserve"> zdrowia</w:t>
      </w:r>
      <w:r w:rsidR="00992FD0" w:rsidRPr="00EC250C">
        <w:rPr>
          <w:bCs/>
        </w:rPr>
        <w:t xml:space="preserve"> i </w:t>
      </w:r>
      <w:r w:rsidRPr="00EC250C">
        <w:rPr>
          <w:bCs/>
        </w:rPr>
        <w:t xml:space="preserve">pochylenia się nad problemami dzieci </w:t>
      </w:r>
      <w:r w:rsidR="006161F2" w:rsidRPr="00EC250C">
        <w:rPr>
          <w:bCs/>
        </w:rPr>
        <w:t>C</w:t>
      </w:r>
      <w:r w:rsidRPr="00EC250C">
        <w:rPr>
          <w:bCs/>
        </w:rPr>
        <w:t>ODA.</w:t>
      </w:r>
    </w:p>
    <w:p w14:paraId="6F40D065" w14:textId="77777777" w:rsidR="00C91F6E" w:rsidRPr="00EC250C" w:rsidRDefault="00192982" w:rsidP="00D131FA">
      <w:pPr>
        <w:pStyle w:val="Styl1"/>
        <w:rPr>
          <w:bCs/>
        </w:rPr>
      </w:pPr>
      <w:r w:rsidRPr="00EC250C">
        <w:rPr>
          <w:bCs/>
        </w:rPr>
        <w:t>W 2018</w:t>
      </w:r>
      <w:r w:rsidR="00C91F6E" w:rsidRPr="00EC250C">
        <w:rPr>
          <w:bCs/>
        </w:rPr>
        <w:t> r.</w:t>
      </w:r>
      <w:r w:rsidRPr="00EC250C">
        <w:rPr>
          <w:bCs/>
        </w:rPr>
        <w:t xml:space="preserve"> Komisja nadal zajmowała się kwestią certyfikacji tłumaczy języka migowego. W ramach prac Komisji została przygotowana propozycja wymagań certyfikacyjnych dla tłumaczy języka migowego. Eksperci monitorują także działania Polskiej Rady Języka Migowego przy Ministerstwie Rodziny, Pracy</w:t>
      </w:r>
      <w:r w:rsidR="00992FD0" w:rsidRPr="00EC250C">
        <w:rPr>
          <w:bCs/>
        </w:rPr>
        <w:t xml:space="preserve"> i </w:t>
      </w:r>
      <w:r w:rsidRPr="00EC250C">
        <w:rPr>
          <w:bCs/>
        </w:rPr>
        <w:t>Polityki Społecznej, która zajmuje się m.in. zagadnieniem certyfikacji tłumaczy.</w:t>
      </w:r>
    </w:p>
    <w:p w14:paraId="455DF432" w14:textId="77777777" w:rsidR="00EC250C" w:rsidRDefault="00EC250C">
      <w:pPr>
        <w:spacing w:after="200" w:line="24" w:lineRule="auto"/>
        <w:rPr>
          <w:b/>
          <w:bCs/>
          <w:i/>
          <w:sz w:val="24"/>
        </w:rPr>
      </w:pPr>
      <w:r>
        <w:br w:type="page"/>
      </w:r>
    </w:p>
    <w:p w14:paraId="2487AACE" w14:textId="37D6C55B" w:rsidR="00192982" w:rsidRPr="00EC250C" w:rsidRDefault="00192982" w:rsidP="00D131FA">
      <w:pPr>
        <w:pStyle w:val="Srdtytul6"/>
        <w:jc w:val="both"/>
      </w:pPr>
      <w:r w:rsidRPr="00EC250C">
        <w:lastRenderedPageBreak/>
        <w:t>Skład Komisji ds. Osób Głuchych</w:t>
      </w:r>
    </w:p>
    <w:p w14:paraId="03B05AE9" w14:textId="77777777" w:rsidR="00C73FDE" w:rsidRPr="00EC250C" w:rsidRDefault="00C73FDE" w:rsidP="00D131FA">
      <w:pPr>
        <w:pStyle w:val="Styl1"/>
        <w:numPr>
          <w:ilvl w:val="0"/>
          <w:numId w:val="10"/>
        </w:numPr>
        <w:rPr>
          <w:bCs/>
          <w:lang w:val="x-none"/>
        </w:rPr>
        <w:sectPr w:rsidR="00C73FDE" w:rsidRPr="00EC250C" w:rsidSect="00FC47F2">
          <w:type w:val="continuous"/>
          <w:pgSz w:w="11907" w:h="16840"/>
          <w:pgMar w:top="1418" w:right="1418" w:bottom="1418" w:left="1276" w:header="567" w:footer="567" w:gutter="0"/>
          <w:cols w:space="708"/>
          <w:titlePg/>
          <w:docGrid w:linePitch="354"/>
        </w:sectPr>
      </w:pPr>
    </w:p>
    <w:p w14:paraId="1F9C475B" w14:textId="77777777" w:rsidR="00C91F6E" w:rsidRPr="00EC250C" w:rsidRDefault="00192982" w:rsidP="00EC250C">
      <w:pPr>
        <w:pStyle w:val="Styl1"/>
        <w:numPr>
          <w:ilvl w:val="0"/>
          <w:numId w:val="10"/>
        </w:numPr>
        <w:jc w:val="left"/>
        <w:rPr>
          <w:bCs/>
          <w:lang w:val="x-none"/>
        </w:rPr>
      </w:pPr>
      <w:r w:rsidRPr="00EC250C">
        <w:rPr>
          <w:bCs/>
          <w:lang w:val="x-none"/>
        </w:rPr>
        <w:t xml:space="preserve">Małgorzata Czajkowska-Kisil – </w:t>
      </w:r>
      <w:r w:rsidRPr="00EC250C">
        <w:rPr>
          <w:bCs/>
        </w:rPr>
        <w:t>współprzewodnicząca</w:t>
      </w:r>
    </w:p>
    <w:p w14:paraId="496A3610" w14:textId="77777777" w:rsidR="00C91F6E" w:rsidRPr="00EC250C" w:rsidRDefault="00192982" w:rsidP="00D131FA">
      <w:pPr>
        <w:pStyle w:val="Styl1"/>
        <w:numPr>
          <w:ilvl w:val="0"/>
          <w:numId w:val="10"/>
        </w:numPr>
        <w:rPr>
          <w:bCs/>
          <w:lang w:val="x-none"/>
        </w:rPr>
      </w:pPr>
      <w:r w:rsidRPr="00EC250C">
        <w:rPr>
          <w:bCs/>
          <w:lang w:val="x-none"/>
        </w:rPr>
        <w:t>Anna Antos</w:t>
      </w:r>
    </w:p>
    <w:p w14:paraId="0AA8F302" w14:textId="77777777" w:rsidR="00192982" w:rsidRPr="00EC250C" w:rsidRDefault="00192982" w:rsidP="00D131FA">
      <w:pPr>
        <w:pStyle w:val="Styl1"/>
        <w:numPr>
          <w:ilvl w:val="0"/>
          <w:numId w:val="10"/>
        </w:numPr>
        <w:rPr>
          <w:bCs/>
          <w:lang w:val="x-none"/>
        </w:rPr>
      </w:pPr>
      <w:r w:rsidRPr="00EC250C">
        <w:rPr>
          <w:bCs/>
        </w:rPr>
        <w:t>Anna Butkiewicz</w:t>
      </w:r>
    </w:p>
    <w:p w14:paraId="0E7F5C7C" w14:textId="77777777" w:rsidR="00C91F6E" w:rsidRPr="00EC250C" w:rsidRDefault="00192982" w:rsidP="00D131FA">
      <w:pPr>
        <w:pStyle w:val="Styl1"/>
        <w:numPr>
          <w:ilvl w:val="0"/>
          <w:numId w:val="10"/>
        </w:numPr>
        <w:rPr>
          <w:bCs/>
          <w:lang w:val="x-none"/>
        </w:rPr>
      </w:pPr>
      <w:r w:rsidRPr="00EC250C">
        <w:rPr>
          <w:bCs/>
          <w:lang w:val="x-none"/>
        </w:rPr>
        <w:t>Marcin Daszkiewicz</w:t>
      </w:r>
    </w:p>
    <w:p w14:paraId="470BC2D5" w14:textId="77777777" w:rsidR="00C91F6E" w:rsidRPr="00EC250C" w:rsidRDefault="00192982" w:rsidP="00D131FA">
      <w:pPr>
        <w:pStyle w:val="Styl1"/>
        <w:numPr>
          <w:ilvl w:val="0"/>
          <w:numId w:val="10"/>
        </w:numPr>
        <w:rPr>
          <w:bCs/>
          <w:lang w:val="x-none"/>
        </w:rPr>
      </w:pPr>
      <w:r w:rsidRPr="00EC250C">
        <w:rPr>
          <w:bCs/>
          <w:lang w:val="x-none"/>
        </w:rPr>
        <w:t>Grzegorz Galewski</w:t>
      </w:r>
    </w:p>
    <w:p w14:paraId="293E51A7" w14:textId="77777777" w:rsidR="00C91F6E" w:rsidRPr="00EC250C" w:rsidRDefault="00192982" w:rsidP="00D131FA">
      <w:pPr>
        <w:pStyle w:val="Styl1"/>
        <w:numPr>
          <w:ilvl w:val="0"/>
          <w:numId w:val="10"/>
        </w:numPr>
        <w:rPr>
          <w:bCs/>
          <w:lang w:val="x-none"/>
        </w:rPr>
      </w:pPr>
      <w:r w:rsidRPr="00EC250C">
        <w:rPr>
          <w:bCs/>
          <w:lang w:val="x-none"/>
        </w:rPr>
        <w:t>Bartosz Golędzinowski</w:t>
      </w:r>
    </w:p>
    <w:p w14:paraId="56CF3933" w14:textId="77777777" w:rsidR="00C91F6E" w:rsidRPr="00EC250C" w:rsidRDefault="00192982" w:rsidP="00D131FA">
      <w:pPr>
        <w:pStyle w:val="Styl1"/>
        <w:numPr>
          <w:ilvl w:val="0"/>
          <w:numId w:val="10"/>
        </w:numPr>
        <w:rPr>
          <w:bCs/>
          <w:lang w:val="x-none"/>
        </w:rPr>
      </w:pPr>
      <w:r w:rsidRPr="00EC250C">
        <w:rPr>
          <w:bCs/>
          <w:lang w:val="x-none"/>
        </w:rPr>
        <w:t>Piotr Kowalski</w:t>
      </w:r>
    </w:p>
    <w:p w14:paraId="66D248F2" w14:textId="77777777" w:rsidR="00192982" w:rsidRPr="00EC250C" w:rsidRDefault="00192982" w:rsidP="00D131FA">
      <w:pPr>
        <w:pStyle w:val="Styl1"/>
        <w:numPr>
          <w:ilvl w:val="0"/>
          <w:numId w:val="10"/>
        </w:numPr>
        <w:rPr>
          <w:bCs/>
          <w:lang w:val="x-none"/>
        </w:rPr>
      </w:pPr>
      <w:r w:rsidRPr="00EC250C">
        <w:rPr>
          <w:bCs/>
          <w:lang w:val="x-none"/>
        </w:rPr>
        <w:t>Joanna Łacheta</w:t>
      </w:r>
    </w:p>
    <w:p w14:paraId="2C454993" w14:textId="77777777" w:rsidR="00192982" w:rsidRPr="00EC250C" w:rsidRDefault="00192982" w:rsidP="00D131FA">
      <w:pPr>
        <w:pStyle w:val="Styl1"/>
        <w:numPr>
          <w:ilvl w:val="0"/>
          <w:numId w:val="10"/>
        </w:numPr>
        <w:rPr>
          <w:bCs/>
          <w:lang w:val="x-none"/>
        </w:rPr>
      </w:pPr>
      <w:r w:rsidRPr="00EC250C">
        <w:rPr>
          <w:bCs/>
          <w:lang w:val="x-none"/>
        </w:rPr>
        <w:t>Małgorzata Mickiewicz</w:t>
      </w:r>
    </w:p>
    <w:p w14:paraId="79246830" w14:textId="77777777" w:rsidR="00C91F6E" w:rsidRPr="00EC250C" w:rsidRDefault="00192982" w:rsidP="00D131FA">
      <w:pPr>
        <w:pStyle w:val="Styl1"/>
        <w:numPr>
          <w:ilvl w:val="0"/>
          <w:numId w:val="10"/>
        </w:numPr>
        <w:rPr>
          <w:bCs/>
          <w:lang w:val="x-none"/>
        </w:rPr>
      </w:pPr>
      <w:r w:rsidRPr="00EC250C">
        <w:rPr>
          <w:bCs/>
          <w:lang w:val="x-none"/>
        </w:rPr>
        <w:t>Kajetana Maciejska-Roczan</w:t>
      </w:r>
    </w:p>
    <w:p w14:paraId="04BDE6D6" w14:textId="77777777" w:rsidR="00192982" w:rsidRPr="00EC250C" w:rsidRDefault="00192982" w:rsidP="00D131FA">
      <w:pPr>
        <w:pStyle w:val="Styl1"/>
        <w:numPr>
          <w:ilvl w:val="0"/>
          <w:numId w:val="10"/>
        </w:numPr>
        <w:rPr>
          <w:bCs/>
          <w:lang w:val="x-none"/>
        </w:rPr>
      </w:pPr>
      <w:r w:rsidRPr="00EC250C">
        <w:rPr>
          <w:bCs/>
          <w:lang w:val="x-none"/>
        </w:rPr>
        <w:t>Bartosz Marganiec</w:t>
      </w:r>
    </w:p>
    <w:p w14:paraId="044D5AB7" w14:textId="77777777" w:rsidR="00C91F6E" w:rsidRPr="00EC250C" w:rsidRDefault="00192982" w:rsidP="00D131FA">
      <w:pPr>
        <w:pStyle w:val="Styl1"/>
        <w:numPr>
          <w:ilvl w:val="0"/>
          <w:numId w:val="10"/>
        </w:numPr>
        <w:rPr>
          <w:bCs/>
          <w:lang w:val="x-none"/>
        </w:rPr>
      </w:pPr>
      <w:r w:rsidRPr="00EC250C">
        <w:rPr>
          <w:bCs/>
          <w:lang w:val="x-none"/>
        </w:rPr>
        <w:t>Alicja Orłowska</w:t>
      </w:r>
    </w:p>
    <w:p w14:paraId="269DD016" w14:textId="77777777" w:rsidR="00192982" w:rsidRPr="00EC250C" w:rsidRDefault="00192982" w:rsidP="00D131FA">
      <w:pPr>
        <w:pStyle w:val="Styl1"/>
        <w:numPr>
          <w:ilvl w:val="0"/>
          <w:numId w:val="10"/>
        </w:numPr>
        <w:rPr>
          <w:bCs/>
          <w:lang w:val="x-none"/>
        </w:rPr>
      </w:pPr>
      <w:r w:rsidRPr="00EC250C">
        <w:rPr>
          <w:bCs/>
        </w:rPr>
        <w:t>Anna Mikołczyk</w:t>
      </w:r>
    </w:p>
    <w:p w14:paraId="0F4498EA" w14:textId="77777777" w:rsidR="00192982" w:rsidRPr="00EC250C" w:rsidRDefault="00192982" w:rsidP="00D131FA">
      <w:pPr>
        <w:pStyle w:val="Styl1"/>
        <w:numPr>
          <w:ilvl w:val="0"/>
          <w:numId w:val="10"/>
        </w:numPr>
        <w:rPr>
          <w:bCs/>
          <w:lang w:val="x-none"/>
        </w:rPr>
      </w:pPr>
      <w:r w:rsidRPr="00EC250C">
        <w:rPr>
          <w:bCs/>
          <w:lang w:val="x-none"/>
        </w:rPr>
        <w:t>Małgorzata Piątkowska</w:t>
      </w:r>
    </w:p>
    <w:p w14:paraId="55AAEFF8" w14:textId="77777777" w:rsidR="00C91F6E" w:rsidRPr="00EC250C" w:rsidRDefault="00192982" w:rsidP="00D131FA">
      <w:pPr>
        <w:pStyle w:val="Styl1"/>
        <w:numPr>
          <w:ilvl w:val="0"/>
          <w:numId w:val="10"/>
        </w:numPr>
        <w:rPr>
          <w:bCs/>
          <w:lang w:val="x-none"/>
        </w:rPr>
      </w:pPr>
      <w:r w:rsidRPr="00EC250C">
        <w:rPr>
          <w:bCs/>
          <w:lang w:val="x-none"/>
        </w:rPr>
        <w:t>Dorota Podgórska-Jachnik</w:t>
      </w:r>
    </w:p>
    <w:p w14:paraId="19C4E852" w14:textId="77777777" w:rsidR="00192982" w:rsidRPr="00EC250C" w:rsidRDefault="00192982" w:rsidP="00D131FA">
      <w:pPr>
        <w:pStyle w:val="Styl1"/>
        <w:numPr>
          <w:ilvl w:val="0"/>
          <w:numId w:val="10"/>
        </w:numPr>
        <w:rPr>
          <w:bCs/>
          <w:lang w:val="x-none"/>
        </w:rPr>
      </w:pPr>
      <w:r w:rsidRPr="00EC250C">
        <w:rPr>
          <w:bCs/>
          <w:lang w:val="x-none"/>
        </w:rPr>
        <w:t>Anna Sacha</w:t>
      </w:r>
    </w:p>
    <w:p w14:paraId="3211427E" w14:textId="77777777" w:rsidR="00C91F6E" w:rsidRPr="00EC250C" w:rsidRDefault="00192982" w:rsidP="00D131FA">
      <w:pPr>
        <w:pStyle w:val="Styl1"/>
        <w:numPr>
          <w:ilvl w:val="0"/>
          <w:numId w:val="10"/>
        </w:numPr>
        <w:rPr>
          <w:bCs/>
          <w:lang w:val="x-none"/>
        </w:rPr>
      </w:pPr>
      <w:r w:rsidRPr="00EC250C">
        <w:rPr>
          <w:bCs/>
          <w:lang w:val="x-none"/>
        </w:rPr>
        <w:t>Marek Śmietana</w:t>
      </w:r>
    </w:p>
    <w:p w14:paraId="5B30B829" w14:textId="77777777" w:rsidR="00C91F6E" w:rsidRPr="00EC250C" w:rsidRDefault="00192982" w:rsidP="00D131FA">
      <w:pPr>
        <w:pStyle w:val="Styl1"/>
        <w:numPr>
          <w:ilvl w:val="0"/>
          <w:numId w:val="10"/>
        </w:numPr>
        <w:rPr>
          <w:bCs/>
          <w:lang w:val="x-none"/>
        </w:rPr>
      </w:pPr>
      <w:r w:rsidRPr="00EC250C">
        <w:rPr>
          <w:bCs/>
          <w:lang w:val="x-none"/>
        </w:rPr>
        <w:t>Małgorzata Talipska</w:t>
      </w:r>
    </w:p>
    <w:p w14:paraId="7715D54F" w14:textId="77777777" w:rsidR="00192982" w:rsidRPr="00EC250C" w:rsidRDefault="00192982" w:rsidP="00D131FA">
      <w:pPr>
        <w:pStyle w:val="Styl1"/>
        <w:numPr>
          <w:ilvl w:val="0"/>
          <w:numId w:val="10"/>
        </w:numPr>
        <w:rPr>
          <w:bCs/>
          <w:lang w:val="x-none"/>
        </w:rPr>
      </w:pPr>
      <w:r w:rsidRPr="00EC250C">
        <w:rPr>
          <w:bCs/>
          <w:lang w:val="x-none"/>
        </w:rPr>
        <w:t>Dominika Wiśniewska</w:t>
      </w:r>
    </w:p>
    <w:p w14:paraId="1BA51E6E" w14:textId="77777777" w:rsidR="00192982" w:rsidRPr="00EC250C" w:rsidRDefault="00192982" w:rsidP="00D131FA">
      <w:pPr>
        <w:pStyle w:val="Styl1"/>
        <w:numPr>
          <w:ilvl w:val="0"/>
          <w:numId w:val="10"/>
        </w:numPr>
        <w:rPr>
          <w:bCs/>
          <w:lang w:val="x-none"/>
        </w:rPr>
      </w:pPr>
      <w:r w:rsidRPr="00EC250C">
        <w:rPr>
          <w:bCs/>
          <w:lang w:val="x-none"/>
        </w:rPr>
        <w:t>Aleksandra Włodarska vel Głowacka</w:t>
      </w:r>
    </w:p>
    <w:p w14:paraId="288D16A3" w14:textId="77777777" w:rsidR="00C91F6E" w:rsidRPr="00EC250C" w:rsidRDefault="00192982" w:rsidP="00D131FA">
      <w:pPr>
        <w:pStyle w:val="Styl1"/>
        <w:numPr>
          <w:ilvl w:val="0"/>
          <w:numId w:val="10"/>
        </w:numPr>
        <w:rPr>
          <w:bCs/>
          <w:lang w:val="x-none"/>
        </w:rPr>
      </w:pPr>
      <w:r w:rsidRPr="00EC250C">
        <w:rPr>
          <w:bCs/>
          <w:lang w:val="x-none"/>
        </w:rPr>
        <w:t>Paweł Żurawski</w:t>
      </w:r>
    </w:p>
    <w:p w14:paraId="47AA394A" w14:textId="77777777" w:rsidR="00192982" w:rsidRPr="00EC250C" w:rsidRDefault="00192982" w:rsidP="00EC250C">
      <w:pPr>
        <w:pStyle w:val="Styl1"/>
        <w:numPr>
          <w:ilvl w:val="0"/>
          <w:numId w:val="10"/>
        </w:numPr>
        <w:jc w:val="left"/>
        <w:rPr>
          <w:bCs/>
          <w:lang w:val="x-none"/>
        </w:rPr>
      </w:pPr>
      <w:r w:rsidRPr="00EC250C">
        <w:rPr>
          <w:bCs/>
          <w:lang w:val="x-none"/>
        </w:rPr>
        <w:t>Barbara Imiołczyk—</w:t>
      </w:r>
      <w:r w:rsidRPr="00EC250C">
        <w:rPr>
          <w:bCs/>
        </w:rPr>
        <w:t>współprzewodnicząca</w:t>
      </w:r>
    </w:p>
    <w:p w14:paraId="6864B00F" w14:textId="77777777" w:rsidR="00192982" w:rsidRPr="00EC250C" w:rsidRDefault="00192982" w:rsidP="00D131FA">
      <w:pPr>
        <w:pStyle w:val="Styl1"/>
        <w:numPr>
          <w:ilvl w:val="0"/>
          <w:numId w:val="10"/>
        </w:numPr>
        <w:rPr>
          <w:bCs/>
          <w:lang w:val="x-none"/>
        </w:rPr>
      </w:pPr>
      <w:r w:rsidRPr="00EC250C">
        <w:rPr>
          <w:bCs/>
          <w:lang w:val="x-none"/>
        </w:rPr>
        <w:t>Sylwia Górska</w:t>
      </w:r>
      <w:r w:rsidRPr="00EC250C">
        <w:rPr>
          <w:bCs/>
        </w:rPr>
        <w:t xml:space="preserve"> </w:t>
      </w:r>
      <w:r w:rsidRPr="00EC250C">
        <w:rPr>
          <w:bCs/>
          <w:lang w:val="x-none"/>
        </w:rPr>
        <w:t>– sekretarz</w:t>
      </w:r>
    </w:p>
    <w:p w14:paraId="79C32A07" w14:textId="77777777" w:rsidR="00C73FDE" w:rsidRPr="00EC250C" w:rsidRDefault="00C73FDE" w:rsidP="00D131FA">
      <w:pPr>
        <w:pStyle w:val="Srdtytul6"/>
        <w:jc w:val="both"/>
        <w:sectPr w:rsidR="00C73FDE" w:rsidRPr="00EC250C" w:rsidSect="00FC47F2">
          <w:type w:val="continuous"/>
          <w:pgSz w:w="11907" w:h="16840"/>
          <w:pgMar w:top="1418" w:right="1418" w:bottom="1418" w:left="1276" w:header="567" w:footer="567" w:gutter="0"/>
          <w:cols w:num="2" w:space="708"/>
          <w:titlePg/>
          <w:docGrid w:linePitch="354"/>
        </w:sectPr>
      </w:pPr>
    </w:p>
    <w:p w14:paraId="4F30550A" w14:textId="77777777" w:rsidR="00192982" w:rsidRPr="00EC250C" w:rsidRDefault="00192982" w:rsidP="00D131FA">
      <w:pPr>
        <w:pStyle w:val="Srdtytul6"/>
        <w:jc w:val="both"/>
      </w:pPr>
      <w:r w:rsidRPr="00EC250C">
        <w:t>Działania Komisji</w:t>
      </w:r>
    </w:p>
    <w:p w14:paraId="0C3B3C46" w14:textId="77777777" w:rsidR="00192982" w:rsidRPr="00EC250C" w:rsidRDefault="00192982" w:rsidP="006C70B7">
      <w:pPr>
        <w:pStyle w:val="Styl1"/>
        <w:numPr>
          <w:ilvl w:val="0"/>
          <w:numId w:val="17"/>
        </w:numPr>
        <w:rPr>
          <w:i/>
        </w:rPr>
      </w:pPr>
      <w:r w:rsidRPr="00EC250C">
        <w:rPr>
          <w:i/>
        </w:rPr>
        <w:t>Posiedzenia Komisji</w:t>
      </w:r>
    </w:p>
    <w:p w14:paraId="57840286" w14:textId="77777777" w:rsidR="00192982" w:rsidRPr="00EC250C" w:rsidRDefault="00192982" w:rsidP="00D131FA">
      <w:pPr>
        <w:pStyle w:val="Styl1"/>
      </w:pPr>
      <w:r w:rsidRPr="00EC250C">
        <w:t>W 2018</w:t>
      </w:r>
      <w:r w:rsidR="00C91F6E" w:rsidRPr="00EC250C">
        <w:t> r.</w:t>
      </w:r>
      <w:r w:rsidRPr="00EC250C">
        <w:t xml:space="preserve"> odbyły się cztery spotkania Komisji. </w:t>
      </w:r>
      <w:r w:rsidR="0014000D" w:rsidRPr="00EC250C">
        <w:t xml:space="preserve">Dotyczyły </w:t>
      </w:r>
      <w:r w:rsidRPr="00EC250C">
        <w:t>m.in. standardów dla tłumaczy polskiego języka migowego, możliwości korzystania przez głuchych</w:t>
      </w:r>
      <w:r w:rsidR="00992FD0" w:rsidRPr="00EC250C">
        <w:t xml:space="preserve"> z </w:t>
      </w:r>
      <w:r w:rsidRPr="00EC250C">
        <w:t>systemów powiadamiania</w:t>
      </w:r>
      <w:r w:rsidR="00992FD0" w:rsidRPr="00EC250C">
        <w:t xml:space="preserve"> w </w:t>
      </w:r>
      <w:r w:rsidRPr="00EC250C">
        <w:t>sytuacjach kryzysowych, edukacji głuchych</w:t>
      </w:r>
      <w:r w:rsidR="00992FD0" w:rsidRPr="00EC250C">
        <w:t xml:space="preserve"> w </w:t>
      </w:r>
      <w:r w:rsidRPr="00EC250C">
        <w:t>kontekście zatrudniania osób głuchych, problemów</w:t>
      </w:r>
      <w:r w:rsidR="00992FD0" w:rsidRPr="00EC250C">
        <w:t xml:space="preserve"> z </w:t>
      </w:r>
      <w:r w:rsidRPr="00EC250C">
        <w:t>jakimi zmagają się głusi seniorzy</w:t>
      </w:r>
      <w:r w:rsidR="00992FD0" w:rsidRPr="00EC250C">
        <w:t xml:space="preserve"> i </w:t>
      </w:r>
      <w:r w:rsidRPr="00EC250C">
        <w:t>opieki psychiatryczno-psychologicznej osób głuchych</w:t>
      </w:r>
      <w:r w:rsidR="00992FD0" w:rsidRPr="00EC250C">
        <w:t xml:space="preserve"> w </w:t>
      </w:r>
      <w:r w:rsidRPr="00EC250C">
        <w:t>Polsce.</w:t>
      </w:r>
    </w:p>
    <w:p w14:paraId="7E61B840" w14:textId="77777777" w:rsidR="00192982" w:rsidRPr="00EC250C" w:rsidRDefault="00192982" w:rsidP="006C70B7">
      <w:pPr>
        <w:pStyle w:val="Styl1"/>
        <w:numPr>
          <w:ilvl w:val="0"/>
          <w:numId w:val="17"/>
        </w:numPr>
        <w:rPr>
          <w:i/>
        </w:rPr>
      </w:pPr>
      <w:r w:rsidRPr="00EC250C">
        <w:rPr>
          <w:i/>
        </w:rPr>
        <w:t>Certyfikacja tłumaczy języka migowego</w:t>
      </w:r>
    </w:p>
    <w:p w14:paraId="05E66CD5" w14:textId="77777777" w:rsidR="00C91F6E" w:rsidRPr="00EC250C" w:rsidRDefault="00192982" w:rsidP="00D131FA">
      <w:pPr>
        <w:pStyle w:val="Styl1"/>
      </w:pPr>
      <w:r w:rsidRPr="00EC250C">
        <w:t>W 2018</w:t>
      </w:r>
      <w:r w:rsidR="00C91F6E" w:rsidRPr="00EC250C">
        <w:t> r.</w:t>
      </w:r>
      <w:r w:rsidRPr="00EC250C">
        <w:t xml:space="preserve"> Komisja kontynuowała dyskusję dotyczącą </w:t>
      </w:r>
      <w:bookmarkStart w:id="865" w:name="_Hlk535576562"/>
      <w:r w:rsidRPr="00EC250C">
        <w:t xml:space="preserve">certyfikacji tłumaczy języka migowego. </w:t>
      </w:r>
      <w:bookmarkEnd w:id="865"/>
      <w:r w:rsidRPr="00EC250C">
        <w:t>W ramach prac Komisji przygotowano propozycję wymagań certyfikacyjnych dla tłumaczy języka migowego. Ponieważ zagadnieniem certyfikacji tłumaczy zajmowała się jednocześnie Polska Rada Języka Migowego przy Ministerstwie Rodziny, Pracy</w:t>
      </w:r>
      <w:r w:rsidR="00992FD0" w:rsidRPr="00EC250C">
        <w:t xml:space="preserve"> i </w:t>
      </w:r>
      <w:r w:rsidRPr="00EC250C">
        <w:t>Polityki Społecznej, zdecydowano</w:t>
      </w:r>
      <w:r w:rsidR="00992FD0" w:rsidRPr="00EC250C">
        <w:t xml:space="preserve"> o </w:t>
      </w:r>
      <w:r w:rsidRPr="00EC250C">
        <w:t>rezygnacji</w:t>
      </w:r>
      <w:r w:rsidR="00992FD0" w:rsidRPr="00EC250C">
        <w:t xml:space="preserve"> z </w:t>
      </w:r>
      <w:r w:rsidRPr="00EC250C">
        <w:t>dalszych prac</w:t>
      </w:r>
      <w:r w:rsidR="00992FD0" w:rsidRPr="00EC250C">
        <w:t xml:space="preserve"> i </w:t>
      </w:r>
      <w:r w:rsidRPr="00EC250C">
        <w:t>przekazaniu dorobku Komisji Ekspertów do ewentualnego wykorzystania</w:t>
      </w:r>
      <w:r w:rsidR="00992FD0" w:rsidRPr="00EC250C">
        <w:t xml:space="preserve"> w </w:t>
      </w:r>
      <w:r w:rsidRPr="00EC250C">
        <w:t>trakcie dalszych prac Polskiej Rady Języka Migowego.</w:t>
      </w:r>
    </w:p>
    <w:p w14:paraId="73E9EB56" w14:textId="77777777" w:rsidR="00192982" w:rsidRPr="00EC250C" w:rsidRDefault="00192982" w:rsidP="006C70B7">
      <w:pPr>
        <w:pStyle w:val="Styl1"/>
        <w:numPr>
          <w:ilvl w:val="0"/>
          <w:numId w:val="17"/>
        </w:numPr>
        <w:rPr>
          <w:i/>
        </w:rPr>
      </w:pPr>
      <w:r w:rsidRPr="00EC250C">
        <w:rPr>
          <w:i/>
        </w:rPr>
        <w:t>Edukacja głuchych</w:t>
      </w:r>
      <w:r w:rsidR="00992FD0" w:rsidRPr="00EC250C">
        <w:rPr>
          <w:i/>
        </w:rPr>
        <w:t xml:space="preserve"> w </w:t>
      </w:r>
      <w:r w:rsidRPr="00EC250C">
        <w:rPr>
          <w:i/>
        </w:rPr>
        <w:t>kontekście ich zatrudniania</w:t>
      </w:r>
    </w:p>
    <w:p w14:paraId="6FF638C7" w14:textId="77777777" w:rsidR="00C73FDE" w:rsidRPr="00EC250C" w:rsidRDefault="00192982" w:rsidP="006C70B7">
      <w:pPr>
        <w:pStyle w:val="Styl1"/>
        <w:numPr>
          <w:ilvl w:val="0"/>
          <w:numId w:val="18"/>
        </w:numPr>
      </w:pPr>
      <w:r w:rsidRPr="00EC250C">
        <w:t>Kajetana Maciejska-Roczan przedstawiła historię edukacji głuchych oraz dane dotyczące poziomu wykształcenia członków Polskiego Związku Głuchych</w:t>
      </w:r>
      <w:r w:rsidR="00992FD0" w:rsidRPr="00EC250C">
        <w:t xml:space="preserve"> z </w:t>
      </w:r>
      <w:r w:rsidRPr="00EC250C">
        <w:t>2016</w:t>
      </w:r>
      <w:r w:rsidR="00C91F6E" w:rsidRPr="00EC250C">
        <w:t> r.</w:t>
      </w:r>
      <w:r w:rsidRPr="00EC250C">
        <w:t>, reprezentatywnego dla środowiska głuchych</w:t>
      </w:r>
      <w:r w:rsidR="00992FD0" w:rsidRPr="00EC250C">
        <w:t xml:space="preserve"> w </w:t>
      </w:r>
      <w:r w:rsidRPr="00EC250C">
        <w:t>Polsce.</w:t>
      </w:r>
    </w:p>
    <w:p w14:paraId="53ED11EB" w14:textId="77777777" w:rsidR="00C73FDE" w:rsidRPr="00EC250C" w:rsidRDefault="00C73FDE" w:rsidP="00D131FA">
      <w:pPr>
        <w:spacing w:after="200" w:line="24" w:lineRule="auto"/>
        <w:jc w:val="both"/>
        <w:rPr>
          <w:spacing w:val="5"/>
          <w:sz w:val="22"/>
        </w:rPr>
      </w:pPr>
      <w:r w:rsidRPr="00EC250C">
        <w:rPr>
          <w:sz w:val="24"/>
        </w:rPr>
        <w:br w:type="page"/>
      </w:r>
    </w:p>
    <w:p w14:paraId="48D5464D" w14:textId="77777777" w:rsidR="00192982" w:rsidRPr="00EC250C" w:rsidRDefault="00192982" w:rsidP="00D131FA">
      <w:pPr>
        <w:pStyle w:val="Styl1"/>
        <w:ind w:left="709" w:firstLine="0"/>
      </w:pPr>
    </w:p>
    <w:tbl>
      <w:tblPr>
        <w:tblW w:w="8503" w:type="dxa"/>
        <w:tblInd w:w="5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99"/>
        <w:gridCol w:w="2694"/>
        <w:gridCol w:w="3210"/>
      </w:tblGrid>
      <w:tr w:rsidR="00192982" w:rsidRPr="00EC250C" w14:paraId="200EAEA3" w14:textId="77777777" w:rsidTr="00E474C8">
        <w:trPr>
          <w:trHeight w:val="454"/>
        </w:trPr>
        <w:tc>
          <w:tcPr>
            <w:tcW w:w="2599" w:type="dxa"/>
            <w:tcBorders>
              <w:bottom w:val="nil"/>
            </w:tcBorders>
            <w:shd w:val="clear" w:color="auto" w:fill="auto"/>
            <w:vAlign w:val="center"/>
          </w:tcPr>
          <w:p w14:paraId="38F6E153" w14:textId="77777777" w:rsidR="00192982" w:rsidRPr="00EC250C" w:rsidRDefault="00192982" w:rsidP="00D131FA">
            <w:pPr>
              <w:pStyle w:val="Styl1"/>
            </w:pPr>
            <w:r w:rsidRPr="00EC250C">
              <w:t>Członkowie PZG</w:t>
            </w:r>
          </w:p>
        </w:tc>
        <w:tc>
          <w:tcPr>
            <w:tcW w:w="2694" w:type="dxa"/>
            <w:shd w:val="clear" w:color="auto" w:fill="auto"/>
            <w:vAlign w:val="center"/>
          </w:tcPr>
          <w:p w14:paraId="722EEF76" w14:textId="77777777" w:rsidR="00192982" w:rsidRPr="00EC250C" w:rsidRDefault="00192982" w:rsidP="00D131FA">
            <w:pPr>
              <w:pStyle w:val="Styl1"/>
            </w:pPr>
            <w:r w:rsidRPr="00EC250C">
              <w:t>Wykształcenie:</w:t>
            </w:r>
          </w:p>
        </w:tc>
        <w:tc>
          <w:tcPr>
            <w:tcW w:w="3210" w:type="dxa"/>
            <w:shd w:val="clear" w:color="auto" w:fill="auto"/>
            <w:vAlign w:val="center"/>
          </w:tcPr>
          <w:p w14:paraId="0DA5788F" w14:textId="77777777" w:rsidR="00192982" w:rsidRPr="00EC250C" w:rsidRDefault="00192982" w:rsidP="00D131FA">
            <w:pPr>
              <w:pStyle w:val="Styl1"/>
            </w:pPr>
            <w:r w:rsidRPr="00EC250C">
              <w:t>9 750</w:t>
            </w:r>
          </w:p>
        </w:tc>
      </w:tr>
      <w:tr w:rsidR="00192982" w:rsidRPr="00EC250C" w14:paraId="1A9E466D" w14:textId="77777777" w:rsidTr="00E474C8">
        <w:trPr>
          <w:trHeight w:val="454"/>
        </w:trPr>
        <w:tc>
          <w:tcPr>
            <w:tcW w:w="2599" w:type="dxa"/>
            <w:tcBorders>
              <w:top w:val="nil"/>
              <w:bottom w:val="nil"/>
            </w:tcBorders>
            <w:shd w:val="clear" w:color="auto" w:fill="auto"/>
            <w:vAlign w:val="center"/>
          </w:tcPr>
          <w:p w14:paraId="6E4E6EE4" w14:textId="77777777" w:rsidR="00192982" w:rsidRPr="00EC250C" w:rsidRDefault="00192982" w:rsidP="00D131FA">
            <w:pPr>
              <w:pStyle w:val="Styl1"/>
            </w:pPr>
          </w:p>
        </w:tc>
        <w:tc>
          <w:tcPr>
            <w:tcW w:w="2694" w:type="dxa"/>
            <w:shd w:val="clear" w:color="auto" w:fill="auto"/>
            <w:vAlign w:val="center"/>
          </w:tcPr>
          <w:p w14:paraId="52010C33" w14:textId="77777777" w:rsidR="00192982" w:rsidRPr="00EC250C" w:rsidRDefault="00192982" w:rsidP="00D131FA">
            <w:pPr>
              <w:pStyle w:val="Styl1"/>
            </w:pPr>
            <w:r w:rsidRPr="00EC250C">
              <w:t>Bez wykształcenia</w:t>
            </w:r>
          </w:p>
        </w:tc>
        <w:tc>
          <w:tcPr>
            <w:tcW w:w="3210" w:type="dxa"/>
            <w:shd w:val="clear" w:color="auto" w:fill="auto"/>
            <w:vAlign w:val="center"/>
          </w:tcPr>
          <w:p w14:paraId="0D3DE59C" w14:textId="77777777" w:rsidR="00192982" w:rsidRPr="00EC250C" w:rsidRDefault="00192982" w:rsidP="00D131FA">
            <w:pPr>
              <w:pStyle w:val="Styl1"/>
            </w:pPr>
            <w:r w:rsidRPr="00EC250C">
              <w:t>403</w:t>
            </w:r>
          </w:p>
        </w:tc>
      </w:tr>
      <w:tr w:rsidR="00192982" w:rsidRPr="00EC250C" w14:paraId="41CB59FF" w14:textId="77777777" w:rsidTr="00E474C8">
        <w:trPr>
          <w:trHeight w:val="454"/>
        </w:trPr>
        <w:tc>
          <w:tcPr>
            <w:tcW w:w="2599" w:type="dxa"/>
            <w:tcBorders>
              <w:top w:val="nil"/>
              <w:bottom w:val="nil"/>
            </w:tcBorders>
            <w:shd w:val="clear" w:color="auto" w:fill="auto"/>
            <w:vAlign w:val="center"/>
          </w:tcPr>
          <w:p w14:paraId="45007247" w14:textId="77777777" w:rsidR="00192982" w:rsidRPr="00EC250C" w:rsidRDefault="00192982" w:rsidP="00D131FA">
            <w:pPr>
              <w:pStyle w:val="Styl1"/>
            </w:pPr>
          </w:p>
        </w:tc>
        <w:tc>
          <w:tcPr>
            <w:tcW w:w="2694" w:type="dxa"/>
            <w:shd w:val="clear" w:color="auto" w:fill="auto"/>
            <w:vAlign w:val="center"/>
          </w:tcPr>
          <w:p w14:paraId="3D2CEDDA" w14:textId="77777777" w:rsidR="00192982" w:rsidRPr="00EC250C" w:rsidRDefault="00192982" w:rsidP="00D131FA">
            <w:pPr>
              <w:pStyle w:val="Styl1"/>
            </w:pPr>
            <w:r w:rsidRPr="00EC250C">
              <w:t>Podstawowe</w:t>
            </w:r>
          </w:p>
        </w:tc>
        <w:tc>
          <w:tcPr>
            <w:tcW w:w="3210" w:type="dxa"/>
            <w:shd w:val="clear" w:color="auto" w:fill="auto"/>
            <w:vAlign w:val="center"/>
          </w:tcPr>
          <w:p w14:paraId="7FAD98C9" w14:textId="77777777" w:rsidR="00192982" w:rsidRPr="00EC250C" w:rsidRDefault="00192982" w:rsidP="00D131FA">
            <w:pPr>
              <w:pStyle w:val="Styl1"/>
            </w:pPr>
            <w:r w:rsidRPr="00EC250C">
              <w:t>1 933</w:t>
            </w:r>
          </w:p>
        </w:tc>
      </w:tr>
      <w:tr w:rsidR="00192982" w:rsidRPr="00EC250C" w14:paraId="784D93E2" w14:textId="77777777" w:rsidTr="00E474C8">
        <w:trPr>
          <w:trHeight w:val="454"/>
        </w:trPr>
        <w:tc>
          <w:tcPr>
            <w:tcW w:w="2599" w:type="dxa"/>
            <w:tcBorders>
              <w:top w:val="nil"/>
              <w:bottom w:val="nil"/>
            </w:tcBorders>
            <w:shd w:val="clear" w:color="auto" w:fill="auto"/>
            <w:vAlign w:val="center"/>
          </w:tcPr>
          <w:p w14:paraId="31485298" w14:textId="77777777" w:rsidR="00192982" w:rsidRPr="00EC250C" w:rsidRDefault="00192982" w:rsidP="00D131FA">
            <w:pPr>
              <w:pStyle w:val="Styl1"/>
            </w:pPr>
          </w:p>
        </w:tc>
        <w:tc>
          <w:tcPr>
            <w:tcW w:w="2694" w:type="dxa"/>
            <w:shd w:val="clear" w:color="auto" w:fill="auto"/>
            <w:vAlign w:val="center"/>
          </w:tcPr>
          <w:p w14:paraId="3E956B95" w14:textId="77777777" w:rsidR="00192982" w:rsidRPr="00EC250C" w:rsidRDefault="00192982" w:rsidP="00D131FA">
            <w:pPr>
              <w:pStyle w:val="Styl1"/>
            </w:pPr>
            <w:r w:rsidRPr="00EC250C">
              <w:t>Zasadnicze zawodowe</w:t>
            </w:r>
          </w:p>
        </w:tc>
        <w:tc>
          <w:tcPr>
            <w:tcW w:w="3210" w:type="dxa"/>
            <w:shd w:val="clear" w:color="auto" w:fill="auto"/>
            <w:vAlign w:val="center"/>
          </w:tcPr>
          <w:p w14:paraId="054D0F38" w14:textId="77777777" w:rsidR="00192982" w:rsidRPr="00EC250C" w:rsidRDefault="00192982" w:rsidP="00D131FA">
            <w:pPr>
              <w:pStyle w:val="Styl1"/>
            </w:pPr>
            <w:r w:rsidRPr="00EC250C">
              <w:t>5 097</w:t>
            </w:r>
          </w:p>
        </w:tc>
      </w:tr>
      <w:tr w:rsidR="00192982" w:rsidRPr="00EC250C" w14:paraId="0E0957B0" w14:textId="77777777" w:rsidTr="00E474C8">
        <w:trPr>
          <w:trHeight w:val="454"/>
        </w:trPr>
        <w:tc>
          <w:tcPr>
            <w:tcW w:w="2599" w:type="dxa"/>
            <w:tcBorders>
              <w:top w:val="nil"/>
              <w:bottom w:val="nil"/>
            </w:tcBorders>
            <w:shd w:val="clear" w:color="auto" w:fill="auto"/>
            <w:vAlign w:val="center"/>
          </w:tcPr>
          <w:p w14:paraId="532F3C50" w14:textId="77777777" w:rsidR="00192982" w:rsidRPr="00EC250C" w:rsidRDefault="00192982" w:rsidP="00D131FA">
            <w:pPr>
              <w:pStyle w:val="Styl1"/>
            </w:pPr>
          </w:p>
        </w:tc>
        <w:tc>
          <w:tcPr>
            <w:tcW w:w="2694" w:type="dxa"/>
            <w:shd w:val="clear" w:color="auto" w:fill="auto"/>
            <w:vAlign w:val="center"/>
          </w:tcPr>
          <w:p w14:paraId="5629A29A" w14:textId="77777777" w:rsidR="00192982" w:rsidRPr="00EC250C" w:rsidRDefault="00192982" w:rsidP="00D131FA">
            <w:pPr>
              <w:pStyle w:val="Styl1"/>
            </w:pPr>
            <w:r w:rsidRPr="00EC250C">
              <w:t>Średnie</w:t>
            </w:r>
          </w:p>
        </w:tc>
        <w:tc>
          <w:tcPr>
            <w:tcW w:w="3210" w:type="dxa"/>
            <w:shd w:val="clear" w:color="auto" w:fill="auto"/>
            <w:vAlign w:val="center"/>
          </w:tcPr>
          <w:p w14:paraId="164FCA1C" w14:textId="77777777" w:rsidR="00192982" w:rsidRPr="00EC250C" w:rsidRDefault="00192982" w:rsidP="00D131FA">
            <w:pPr>
              <w:pStyle w:val="Styl1"/>
            </w:pPr>
            <w:r w:rsidRPr="00EC250C">
              <w:t>1 706</w:t>
            </w:r>
          </w:p>
        </w:tc>
      </w:tr>
      <w:tr w:rsidR="00192982" w:rsidRPr="00EC250C" w14:paraId="33EFA030" w14:textId="77777777" w:rsidTr="00E474C8">
        <w:trPr>
          <w:trHeight w:val="454"/>
        </w:trPr>
        <w:tc>
          <w:tcPr>
            <w:tcW w:w="2599" w:type="dxa"/>
            <w:tcBorders>
              <w:top w:val="nil"/>
            </w:tcBorders>
            <w:shd w:val="clear" w:color="auto" w:fill="auto"/>
            <w:vAlign w:val="center"/>
          </w:tcPr>
          <w:p w14:paraId="1775A14E" w14:textId="77777777" w:rsidR="00192982" w:rsidRPr="00EC250C" w:rsidRDefault="00192982" w:rsidP="00D131FA">
            <w:pPr>
              <w:pStyle w:val="Styl1"/>
            </w:pPr>
          </w:p>
        </w:tc>
        <w:tc>
          <w:tcPr>
            <w:tcW w:w="2694" w:type="dxa"/>
            <w:shd w:val="clear" w:color="auto" w:fill="auto"/>
            <w:vAlign w:val="center"/>
          </w:tcPr>
          <w:p w14:paraId="16B9E0D1" w14:textId="77777777" w:rsidR="00192982" w:rsidRPr="00EC250C" w:rsidRDefault="00192982" w:rsidP="00D131FA">
            <w:pPr>
              <w:pStyle w:val="Styl1"/>
            </w:pPr>
            <w:r w:rsidRPr="00EC250C">
              <w:t>Wyższe</w:t>
            </w:r>
          </w:p>
        </w:tc>
        <w:tc>
          <w:tcPr>
            <w:tcW w:w="3210" w:type="dxa"/>
            <w:shd w:val="clear" w:color="auto" w:fill="auto"/>
            <w:vAlign w:val="center"/>
          </w:tcPr>
          <w:p w14:paraId="73F25D3B" w14:textId="77777777" w:rsidR="00192982" w:rsidRPr="00EC250C" w:rsidRDefault="00192982" w:rsidP="00D131FA">
            <w:pPr>
              <w:pStyle w:val="Styl1"/>
            </w:pPr>
            <w:r w:rsidRPr="00EC250C">
              <w:t>611</w:t>
            </w:r>
          </w:p>
        </w:tc>
      </w:tr>
    </w:tbl>
    <w:p w14:paraId="0AE11FBE" w14:textId="77777777" w:rsidR="00C91F6E" w:rsidRPr="00EC250C" w:rsidRDefault="00192982" w:rsidP="00D131FA">
      <w:pPr>
        <w:pStyle w:val="Styl1"/>
      </w:pPr>
      <w:r w:rsidRPr="00EC250C">
        <w:t>Z powyższych danych wynika, że najwięcej osób kończy szkołę zawodową, co oznacza, że ten rodzaj edukacji</w:t>
      </w:r>
      <w:r w:rsidR="00992FD0" w:rsidRPr="00EC250C">
        <w:t xml:space="preserve"> i </w:t>
      </w:r>
      <w:r w:rsidRPr="00EC250C">
        <w:t>jego dostosowanie do rynku pracy ma kluczowe znaczenie dla głuchych.</w:t>
      </w:r>
    </w:p>
    <w:p w14:paraId="798B6861" w14:textId="77777777" w:rsidR="00C91F6E" w:rsidRPr="00EC250C" w:rsidRDefault="00192982" w:rsidP="00EC250C">
      <w:pPr>
        <w:pStyle w:val="Styl1"/>
        <w:numPr>
          <w:ilvl w:val="0"/>
          <w:numId w:val="18"/>
        </w:numPr>
        <w:jc w:val="left"/>
      </w:pPr>
      <w:r w:rsidRPr="00EC250C">
        <w:t>Piotr Kowalski</w:t>
      </w:r>
      <w:r w:rsidR="00992FD0" w:rsidRPr="00EC250C">
        <w:t xml:space="preserve"> z </w:t>
      </w:r>
      <w:r w:rsidRPr="00EC250C">
        <w:t>Oddziału Łódzkiego Polskiego Związku Głuchych przedstawił realizację kilku edycji projektu „4 kroki”. Poszczególne kroki to: przystąpienie do projektu – identyfikacja przygotowania do indywidualnego planu działania, szkolenie, staż</w:t>
      </w:r>
      <w:r w:rsidR="00992FD0" w:rsidRPr="00EC250C">
        <w:t xml:space="preserve"> i </w:t>
      </w:r>
      <w:r w:rsidRPr="00EC250C">
        <w:t>podjęcie pracy.</w:t>
      </w:r>
    </w:p>
    <w:p w14:paraId="74303F74" w14:textId="77777777" w:rsidR="00192982" w:rsidRPr="00EC250C" w:rsidRDefault="00192982" w:rsidP="00D131FA">
      <w:pPr>
        <w:pStyle w:val="Styl1"/>
        <w:rPr>
          <w:b/>
        </w:rPr>
      </w:pPr>
      <w:r w:rsidRPr="00EC250C">
        <w:t>Z badań wynika, że system kształcenia zawodowego głuchych</w:t>
      </w:r>
      <w:r w:rsidR="00992FD0" w:rsidRPr="00EC250C">
        <w:t xml:space="preserve"> w </w:t>
      </w:r>
      <w:r w:rsidRPr="00EC250C">
        <w:t>żaden sposób nie odpowiada ani preferencjom</w:t>
      </w:r>
      <w:r w:rsidR="00992FD0" w:rsidRPr="00EC250C">
        <w:t xml:space="preserve"> i </w:t>
      </w:r>
      <w:r w:rsidRPr="00EC250C">
        <w:t>zdolnościom głuchych, ani rynkowi pracy. Największą barierą</w:t>
      </w:r>
      <w:r w:rsidR="00992FD0" w:rsidRPr="00EC250C">
        <w:t xml:space="preserve"> w </w:t>
      </w:r>
      <w:r w:rsidRPr="00EC250C">
        <w:t>kształceniu zawodowym jest bariera językowa/komunikacyjna. Nauczyciele zawodu nie znają</w:t>
      </w:r>
      <w:r w:rsidR="00992FD0" w:rsidRPr="00EC250C">
        <w:t xml:space="preserve"> w </w:t>
      </w:r>
      <w:r w:rsidRPr="00EC250C">
        <w:t>odpowiednim stopniu PJM,</w:t>
      </w:r>
      <w:r w:rsidR="00992FD0" w:rsidRPr="00EC250C">
        <w:t xml:space="preserve"> a </w:t>
      </w:r>
      <w:r w:rsidRPr="00EC250C">
        <w:t>uczniowie nie znają</w:t>
      </w:r>
      <w:r w:rsidR="00992FD0" w:rsidRPr="00EC250C">
        <w:t xml:space="preserve"> w </w:t>
      </w:r>
      <w:r w:rsidRPr="00EC250C">
        <w:t>odpowiednim stopniu języka polskiego. To powoduje, że nieznany procent uczniów zdaje egzaminy zawodowe, zwłaszcza egzaminy pisemne. W rezultacie nieznany procent absolwentów szkół zawodowych legitymuje się certyfikatem, większość natomiast tylko zaświadczeniem</w:t>
      </w:r>
      <w:r w:rsidR="00992FD0" w:rsidRPr="00EC250C">
        <w:t xml:space="preserve"> o </w:t>
      </w:r>
      <w:r w:rsidRPr="00EC250C">
        <w:t>ukończeniu szkoły, co wpływa na mniejsze szanse zatrudnienia oraz eliminuje możliwość dalszego kształcenia.</w:t>
      </w:r>
    </w:p>
    <w:p w14:paraId="79FF4CD5" w14:textId="77777777" w:rsidR="00192982" w:rsidRPr="00EC250C" w:rsidRDefault="00192982" w:rsidP="00D131FA">
      <w:pPr>
        <w:pStyle w:val="Styl1"/>
      </w:pPr>
      <w:r w:rsidRPr="00EC250C">
        <w:t>Wnioski</w:t>
      </w:r>
      <w:r w:rsidR="00992FD0" w:rsidRPr="00EC250C">
        <w:t xml:space="preserve"> i </w:t>
      </w:r>
      <w:r w:rsidRPr="00EC250C">
        <w:t>rekomendacje zaprezentowane</w:t>
      </w:r>
      <w:r w:rsidR="00992FD0" w:rsidRPr="00EC250C">
        <w:t xml:space="preserve"> w </w:t>
      </w:r>
      <w:r w:rsidRPr="00EC250C">
        <w:t>wyniku projektu „4 kroki” nie zostały wykorzystane</w:t>
      </w:r>
      <w:r w:rsidR="00992FD0" w:rsidRPr="00EC250C">
        <w:t xml:space="preserve"> w </w:t>
      </w:r>
      <w:r w:rsidRPr="00EC250C">
        <w:t>pracach MEN. Dotyczy to także rekomendacji, że klasy zawodowe powinny być prowadzone</w:t>
      </w:r>
      <w:r w:rsidR="00992FD0" w:rsidRPr="00EC250C">
        <w:t xml:space="preserve"> w </w:t>
      </w:r>
      <w:r w:rsidRPr="00EC250C">
        <w:t>szkołach zawodowych,</w:t>
      </w:r>
      <w:r w:rsidR="00992FD0" w:rsidRPr="00EC250C">
        <w:t xml:space="preserve"> a </w:t>
      </w:r>
      <w:r w:rsidRPr="00EC250C">
        <w:t>nie</w:t>
      </w:r>
      <w:r w:rsidR="00992FD0" w:rsidRPr="00EC250C">
        <w:t xml:space="preserve"> w </w:t>
      </w:r>
      <w:r w:rsidRPr="00EC250C">
        <w:t>szkołach dla głuchych. Również PFRON nie skorzystał</w:t>
      </w:r>
      <w:r w:rsidR="00992FD0" w:rsidRPr="00EC250C">
        <w:t xml:space="preserve"> z </w:t>
      </w:r>
      <w:r w:rsidRPr="00EC250C">
        <w:t>dorobku projektu (np. ogólnopolskiej sieci doradców zawodowych dla głuchych)</w:t>
      </w:r>
      <w:r w:rsidR="00992FD0" w:rsidRPr="00EC250C">
        <w:t xml:space="preserve"> i </w:t>
      </w:r>
      <w:r w:rsidRPr="00EC250C">
        <w:t>nie podjął żadnych dalszych działań na rzecz aktywizacji zawodowej głuchych.</w:t>
      </w:r>
    </w:p>
    <w:p w14:paraId="523385C8" w14:textId="77777777" w:rsidR="00192982" w:rsidRPr="00EC250C" w:rsidRDefault="00192982" w:rsidP="006C70B7">
      <w:pPr>
        <w:pStyle w:val="Styl1"/>
        <w:numPr>
          <w:ilvl w:val="0"/>
          <w:numId w:val="18"/>
        </w:numPr>
        <w:ind w:left="357" w:hanging="357"/>
        <w:rPr>
          <w:b/>
        </w:rPr>
      </w:pPr>
      <w:r w:rsidRPr="00EC250C">
        <w:t>Elżbieta Dzik</w:t>
      </w:r>
      <w:r w:rsidR="00992FD0" w:rsidRPr="00EC250C">
        <w:t xml:space="preserve"> z </w:t>
      </w:r>
      <w:r w:rsidRPr="00EC250C">
        <w:t>CODA Polska, menadżerka</w:t>
      </w:r>
      <w:r w:rsidR="00992FD0" w:rsidRPr="00EC250C">
        <w:t xml:space="preserve"> w </w:t>
      </w:r>
      <w:r w:rsidRPr="00EC250C">
        <w:t>firmie sprzątającej kierująca pracą kilkudziesięciu osób głuchych, przedstawiła doświadczenia</w:t>
      </w:r>
      <w:r w:rsidR="00992FD0" w:rsidRPr="00EC250C">
        <w:t xml:space="preserve"> w </w:t>
      </w:r>
      <w:r w:rsidRPr="00EC250C">
        <w:t>zatrudnianiu osób głuchych. W jej opinii dwoma najistotniejszymi barierami</w:t>
      </w:r>
      <w:r w:rsidR="00992FD0" w:rsidRPr="00EC250C">
        <w:t xml:space="preserve"> w </w:t>
      </w:r>
      <w:r w:rsidRPr="00EC250C">
        <w:t>powodzeniu głuchych na rynku pracy są: słaba znajomość języka polskiego – brak możliwości komunikacji</w:t>
      </w:r>
      <w:r w:rsidR="00992FD0" w:rsidRPr="00EC250C">
        <w:t xml:space="preserve"> w </w:t>
      </w:r>
      <w:r w:rsidRPr="00EC250C">
        <w:t>języku polskim</w:t>
      </w:r>
      <w:r w:rsidR="00992FD0" w:rsidRPr="00EC250C">
        <w:t xml:space="preserve"> w </w:t>
      </w:r>
      <w:r w:rsidRPr="00EC250C">
        <w:t>jakiejkolwiek formie oraz niskie kompetencje społeczne głuchych (brak podstawowej wiedzy</w:t>
      </w:r>
      <w:r w:rsidR="00992FD0" w:rsidRPr="00EC250C">
        <w:t xml:space="preserve"> o </w:t>
      </w:r>
      <w:r w:rsidRPr="00EC250C">
        <w:t>zasadach współżycia</w:t>
      </w:r>
      <w:r w:rsidR="00992FD0" w:rsidRPr="00EC250C">
        <w:t xml:space="preserve"> i </w:t>
      </w:r>
      <w:r w:rsidRPr="00EC250C">
        <w:t>obowiązkach</w:t>
      </w:r>
      <w:r w:rsidR="00992FD0" w:rsidRPr="00EC250C">
        <w:t xml:space="preserve"> w </w:t>
      </w:r>
      <w:r w:rsidRPr="00EC250C">
        <w:t>miejscu pracy, brak podstawowych umiejętności, np. nieumiejętność samodzielnego wypełnienia kwestionariusza osobowego, wniosku</w:t>
      </w:r>
      <w:r w:rsidR="00992FD0" w:rsidRPr="00EC250C">
        <w:t xml:space="preserve"> o </w:t>
      </w:r>
      <w:r w:rsidRPr="00EC250C">
        <w:t>urlop itp.).</w:t>
      </w:r>
    </w:p>
    <w:p w14:paraId="1DA033FB" w14:textId="77777777" w:rsidR="00C91F6E" w:rsidRPr="00EC250C" w:rsidRDefault="00192982" w:rsidP="00D131FA">
      <w:pPr>
        <w:pStyle w:val="Styl1"/>
      </w:pPr>
      <w:r w:rsidRPr="00EC250C">
        <w:lastRenderedPageBreak/>
        <w:t>Dodatkowe problemy stwarza zatrudnianie</w:t>
      </w:r>
      <w:r w:rsidR="00992FD0" w:rsidRPr="00EC250C">
        <w:t xml:space="preserve"> w </w:t>
      </w:r>
      <w:r w:rsidRPr="00EC250C">
        <w:t>jednym miejscu wielu głuchych. Koordynator/ka spełnia dla głuchych pracowników również wiele innych ról – doradcy osobistego, powiernika. Jest to nadmiernie obciążające. Przy zatrudnianiu osób głuchych konieczne jest przeszkolenie koordynatora oraz przygotowanie całego środowiska słyszących pracowników.</w:t>
      </w:r>
    </w:p>
    <w:p w14:paraId="25F6F45C" w14:textId="77777777" w:rsidR="00192982" w:rsidRPr="00EC250C" w:rsidRDefault="00192982" w:rsidP="00D131FA">
      <w:pPr>
        <w:pStyle w:val="Styl1"/>
      </w:pPr>
      <w:r w:rsidRPr="00EC250C">
        <w:t>W czasie dyskusji zgłaszano różne sugestie rozwiązań, które mogłyby zmienić obecną, niekorzystną sytuację. Rozważano, czy należy upraszczać język testów egzaminacyjnych. Uznano, że należy dążyć do uproszczenia języka dla wszystkich uczniów – nie tylko dla głuchych. Sporo uwagi poświęcono nauczaniu języka polskiego na niższych poziomach edukacji. Uznano, że konieczna jest zmiana sposobu nauczania języka polskiego dla głuchych oraz zwiększenie liczby godzin języka, tak aby przełamać barierę komunikacyjną. Ponadto, zgłoszono postulat wspólnego (w skali Polski) rozszerzania słownictwa</w:t>
      </w:r>
      <w:r w:rsidR="00992FD0" w:rsidRPr="00EC250C">
        <w:t xml:space="preserve"> w </w:t>
      </w:r>
      <w:r w:rsidRPr="00EC250C">
        <w:t>poszczególnych zawodach</w:t>
      </w:r>
      <w:r w:rsidR="00992FD0" w:rsidRPr="00EC250C">
        <w:t xml:space="preserve"> w </w:t>
      </w:r>
      <w:r w:rsidRPr="00EC250C">
        <w:t>PJM. Można</w:t>
      </w:r>
      <w:r w:rsidR="00992FD0" w:rsidRPr="00EC250C">
        <w:t xml:space="preserve"> w </w:t>
      </w:r>
      <w:r w:rsidRPr="00EC250C">
        <w:t>ten sposób kształtować</w:t>
      </w:r>
      <w:r w:rsidR="00992FD0" w:rsidRPr="00EC250C">
        <w:t xml:space="preserve"> i </w:t>
      </w:r>
      <w:r w:rsidRPr="00EC250C">
        <w:t>rozwijać PJM oraz pomagać uczniom, nauczycielom oraz tłumaczom.</w:t>
      </w:r>
    </w:p>
    <w:p w14:paraId="0E092E8A" w14:textId="77777777" w:rsidR="00192982" w:rsidRPr="00EC250C" w:rsidRDefault="00192982" w:rsidP="006C70B7">
      <w:pPr>
        <w:pStyle w:val="Styl1"/>
        <w:numPr>
          <w:ilvl w:val="0"/>
          <w:numId w:val="17"/>
        </w:numPr>
        <w:rPr>
          <w:i/>
        </w:rPr>
      </w:pPr>
      <w:r w:rsidRPr="00EC250C">
        <w:rPr>
          <w:i/>
        </w:rPr>
        <w:t>Wnioski</w:t>
      </w:r>
      <w:r w:rsidR="00992FD0" w:rsidRPr="00EC250C">
        <w:rPr>
          <w:i/>
        </w:rPr>
        <w:t xml:space="preserve"> i </w:t>
      </w:r>
      <w:r w:rsidRPr="00EC250C">
        <w:rPr>
          <w:i/>
        </w:rPr>
        <w:t>propozycje zgłoszone</w:t>
      </w:r>
      <w:r w:rsidR="00992FD0" w:rsidRPr="00EC250C">
        <w:rPr>
          <w:i/>
        </w:rPr>
        <w:t xml:space="preserve"> w </w:t>
      </w:r>
      <w:r w:rsidRPr="00EC250C">
        <w:rPr>
          <w:i/>
        </w:rPr>
        <w:t>trakcie posiedzenia Komisji ds. Osób Głuchych</w:t>
      </w:r>
    </w:p>
    <w:p w14:paraId="114B11B1" w14:textId="77777777" w:rsidR="00192982" w:rsidRPr="00EC250C" w:rsidRDefault="00192982" w:rsidP="006C70B7">
      <w:pPr>
        <w:pStyle w:val="Styl1"/>
        <w:numPr>
          <w:ilvl w:val="0"/>
          <w:numId w:val="15"/>
        </w:numPr>
        <w:ind w:hanging="218"/>
      </w:pPr>
      <w:r w:rsidRPr="00EC250C">
        <w:t>Zorganizowanie spotkania szkół dla osób głuchych</w:t>
      </w:r>
      <w:r w:rsidR="00992FD0" w:rsidRPr="00EC250C">
        <w:t xml:space="preserve"> z </w:t>
      </w:r>
      <w:r w:rsidRPr="00EC250C">
        <w:t>przedstawicielami samorządów nt. problemów</w:t>
      </w:r>
      <w:r w:rsidR="00992FD0" w:rsidRPr="00EC250C">
        <w:t xml:space="preserve"> i </w:t>
      </w:r>
      <w:r w:rsidRPr="00EC250C">
        <w:t>pomysłów ich rozwiązywania.</w:t>
      </w:r>
    </w:p>
    <w:p w14:paraId="07F27790" w14:textId="77777777" w:rsidR="00C91F6E" w:rsidRPr="00EC250C" w:rsidRDefault="00192982" w:rsidP="006C70B7">
      <w:pPr>
        <w:pStyle w:val="Styl1"/>
        <w:numPr>
          <w:ilvl w:val="0"/>
          <w:numId w:val="15"/>
        </w:numPr>
        <w:ind w:hanging="218"/>
      </w:pPr>
      <w:r w:rsidRPr="00EC250C">
        <w:t>Analiza rozporządzenia</w:t>
      </w:r>
      <w:r w:rsidR="00992FD0" w:rsidRPr="00EC250C">
        <w:t xml:space="preserve"> w </w:t>
      </w:r>
      <w:r w:rsidRPr="00EC250C">
        <w:t>sprawie organizowania kształcenia</w:t>
      </w:r>
      <w:r w:rsidR="00992FD0" w:rsidRPr="00EC250C">
        <w:t xml:space="preserve"> i </w:t>
      </w:r>
      <w:r w:rsidRPr="00EC250C">
        <w:t>opieki dla dzieci</w:t>
      </w:r>
      <w:r w:rsidR="00992FD0" w:rsidRPr="00EC250C">
        <w:t xml:space="preserve"> i </w:t>
      </w:r>
      <w:r w:rsidRPr="00EC250C">
        <w:t>młodzieży niepełnosprawnych, niedostosowanych społecznie</w:t>
      </w:r>
      <w:r w:rsidR="00992FD0" w:rsidRPr="00EC250C">
        <w:t xml:space="preserve"> i </w:t>
      </w:r>
      <w:r w:rsidRPr="00EC250C">
        <w:t>zagrożonych niedostosowaniem społecznym.</w:t>
      </w:r>
    </w:p>
    <w:p w14:paraId="7BE194FE" w14:textId="77777777" w:rsidR="00192982" w:rsidRPr="00EC250C" w:rsidRDefault="00192982" w:rsidP="006C70B7">
      <w:pPr>
        <w:pStyle w:val="Styl1"/>
        <w:numPr>
          <w:ilvl w:val="0"/>
          <w:numId w:val="15"/>
        </w:numPr>
        <w:ind w:hanging="218"/>
      </w:pPr>
      <w:r w:rsidRPr="00EC250C">
        <w:t>Zorganizowanie spotkania</w:t>
      </w:r>
      <w:r w:rsidR="00992FD0" w:rsidRPr="00EC250C">
        <w:t xml:space="preserve"> z </w:t>
      </w:r>
      <w:r w:rsidRPr="00EC250C">
        <w:t>przedstawicielami Centralnej Komisji Egzaminacyjnej (postulat uproszczenia języka stosowanego</w:t>
      </w:r>
      <w:r w:rsidR="00992FD0" w:rsidRPr="00EC250C">
        <w:t xml:space="preserve"> w </w:t>
      </w:r>
      <w:r w:rsidRPr="00EC250C">
        <w:t>formularzach egzaminacyjnych, stworzenie osobnych testów</w:t>
      </w:r>
      <w:r w:rsidR="00992FD0" w:rsidRPr="00EC250C">
        <w:t xml:space="preserve"> z </w:t>
      </w:r>
      <w:r w:rsidRPr="00EC250C">
        <w:t>egzaminów zawodowych dla osób</w:t>
      </w:r>
      <w:r w:rsidR="00992FD0" w:rsidRPr="00EC250C">
        <w:t xml:space="preserve"> z </w:t>
      </w:r>
      <w:r w:rsidRPr="00EC250C">
        <w:t>niepełnosprawnościami).</w:t>
      </w:r>
    </w:p>
    <w:p w14:paraId="181DD1A2" w14:textId="77777777" w:rsidR="00192982" w:rsidRPr="00EC250C" w:rsidRDefault="00192982" w:rsidP="006C70B7">
      <w:pPr>
        <w:pStyle w:val="Styl1"/>
        <w:numPr>
          <w:ilvl w:val="0"/>
          <w:numId w:val="15"/>
        </w:numPr>
        <w:ind w:hanging="218"/>
      </w:pPr>
      <w:r w:rsidRPr="00EC250C">
        <w:t>Nauczanie języka polskiego: zmiana metody nauczania języka polskiego</w:t>
      </w:r>
      <w:r w:rsidR="00992FD0" w:rsidRPr="00EC250C">
        <w:t xml:space="preserve"> w </w:t>
      </w:r>
      <w:r w:rsidRPr="00EC250C">
        <w:t>szkole podstawowej (klasy 1-4).</w:t>
      </w:r>
    </w:p>
    <w:p w14:paraId="4AFFE2FB" w14:textId="77777777" w:rsidR="00C91F6E" w:rsidRPr="00EC250C" w:rsidRDefault="00192982" w:rsidP="006C70B7">
      <w:pPr>
        <w:pStyle w:val="Styl1"/>
        <w:numPr>
          <w:ilvl w:val="0"/>
          <w:numId w:val="15"/>
        </w:numPr>
        <w:ind w:hanging="218"/>
      </w:pPr>
      <w:r w:rsidRPr="00EC250C">
        <w:t>Stopniowe wprowadzanie wymogu ukończenia kursu PJM (np. na poziomie B2) dla wszystkich pracowników zatrudnionych</w:t>
      </w:r>
      <w:r w:rsidR="00992FD0" w:rsidRPr="00EC250C">
        <w:t xml:space="preserve"> w </w:t>
      </w:r>
      <w:r w:rsidRPr="00EC250C">
        <w:t>szkołach dla dzieci</w:t>
      </w:r>
      <w:r w:rsidR="00992FD0" w:rsidRPr="00EC250C">
        <w:t xml:space="preserve"> i </w:t>
      </w:r>
      <w:r w:rsidRPr="00EC250C">
        <w:t>młodzieży głuchej. Konieczność uzupełnienia wykształcenia np.</w:t>
      </w:r>
      <w:r w:rsidR="00992FD0" w:rsidRPr="00EC250C">
        <w:t xml:space="preserve"> w </w:t>
      </w:r>
      <w:r w:rsidRPr="00EC250C">
        <w:t>przeciągu 2 lat od rozpoczęcia pracy.</w:t>
      </w:r>
    </w:p>
    <w:p w14:paraId="55B39AB0" w14:textId="77777777" w:rsidR="00C91F6E" w:rsidRPr="00EC250C" w:rsidRDefault="00192982" w:rsidP="006C70B7">
      <w:pPr>
        <w:pStyle w:val="Styl1"/>
        <w:numPr>
          <w:ilvl w:val="0"/>
          <w:numId w:val="17"/>
        </w:numPr>
        <w:rPr>
          <w:i/>
        </w:rPr>
      </w:pPr>
      <w:r w:rsidRPr="00EC250C">
        <w:rPr>
          <w:i/>
        </w:rPr>
        <w:t>System powiadamiania osób głuchych</w:t>
      </w:r>
      <w:r w:rsidR="00992FD0" w:rsidRPr="00EC250C">
        <w:rPr>
          <w:i/>
        </w:rPr>
        <w:t xml:space="preserve"> w </w:t>
      </w:r>
      <w:r w:rsidRPr="00EC250C">
        <w:rPr>
          <w:i/>
        </w:rPr>
        <w:t>sytuacji kryzysowej</w:t>
      </w:r>
      <w:r w:rsidR="00992FD0" w:rsidRPr="00EC250C">
        <w:rPr>
          <w:i/>
        </w:rPr>
        <w:t xml:space="preserve"> w </w:t>
      </w:r>
      <w:r w:rsidRPr="00EC250C">
        <w:rPr>
          <w:i/>
        </w:rPr>
        <w:t>Polsce</w:t>
      </w:r>
    </w:p>
    <w:p w14:paraId="6642342B" w14:textId="77777777" w:rsidR="00C91F6E" w:rsidRPr="00EC250C" w:rsidRDefault="00192982" w:rsidP="00D131FA">
      <w:pPr>
        <w:pStyle w:val="Styl1"/>
      </w:pPr>
      <w:r w:rsidRPr="00EC250C">
        <w:t>W Polsce za zarządzanie kryzysowe odpowiada Szef Obrony Cywilnej Kraju (aktualnie funkcję tę sprawuje Komendant Główny Państwowej Straży Pożarnej). Za nadzór nad Krajowym Systemem Wykrywania Skażeń</w:t>
      </w:r>
      <w:r w:rsidR="00992FD0" w:rsidRPr="00EC250C">
        <w:t xml:space="preserve"> i </w:t>
      </w:r>
      <w:r w:rsidRPr="00EC250C">
        <w:t>Alarmowania (KSWSiA) odpowiada Minister Obrony Narodowej. Natomiast</w:t>
      </w:r>
      <w:r w:rsidR="00992FD0" w:rsidRPr="00EC250C">
        <w:t xml:space="preserve"> w </w:t>
      </w:r>
      <w:r w:rsidRPr="00EC250C">
        <w:t>Ministerstwie Cyfryzacji trwają prace nad rządowym projektem ustawy</w:t>
      </w:r>
      <w:r w:rsidR="00992FD0" w:rsidRPr="00EC250C">
        <w:t xml:space="preserve"> o </w:t>
      </w:r>
      <w:r w:rsidRPr="00EC250C">
        <w:t>zmianie ustawy Prawo telekomunikacyjne oraz niektórych innych ustaw, który</w:t>
      </w:r>
      <w:r w:rsidR="00992FD0" w:rsidRPr="00EC250C">
        <w:t xml:space="preserve"> w </w:t>
      </w:r>
      <w:r w:rsidRPr="00EC250C">
        <w:t>art. 2 przewiduje m.in. wprowadzenie zmian</w:t>
      </w:r>
      <w:r w:rsidR="00992FD0" w:rsidRPr="00EC250C">
        <w:t xml:space="preserve"> w </w:t>
      </w:r>
      <w:r w:rsidRPr="00EC250C">
        <w:t>ustawie</w:t>
      </w:r>
      <w:r w:rsidR="00992FD0" w:rsidRPr="00EC250C">
        <w:t xml:space="preserve"> o </w:t>
      </w:r>
      <w:r w:rsidRPr="00EC250C">
        <w:t>zarządzaniu kryzysowym</w:t>
      </w:r>
      <w:r w:rsidRPr="00EC250C">
        <w:rPr>
          <w:vertAlign w:val="superscript"/>
        </w:rPr>
        <w:footnoteReference w:id="852"/>
      </w:r>
      <w:r w:rsidRPr="00EC250C">
        <w:t>.</w:t>
      </w:r>
    </w:p>
    <w:p w14:paraId="14D8347C" w14:textId="77777777" w:rsidR="00192982" w:rsidRPr="00EC250C" w:rsidRDefault="00192982" w:rsidP="00D131FA">
      <w:pPr>
        <w:pStyle w:val="Styl1"/>
      </w:pPr>
      <w:r w:rsidRPr="00EC250C">
        <w:lastRenderedPageBreak/>
        <w:t>Z przeprowadzonej analizy</w:t>
      </w:r>
      <w:r w:rsidR="00992FD0" w:rsidRPr="00EC250C">
        <w:t xml:space="preserve"> i </w:t>
      </w:r>
      <w:r w:rsidRPr="00EC250C">
        <w:t>doświadczeń użytkowników wynika, że nadal brakuje jednolitego systemu powiadamiania</w:t>
      </w:r>
      <w:r w:rsidR="00992FD0" w:rsidRPr="00EC250C">
        <w:t xml:space="preserve"> o </w:t>
      </w:r>
      <w:r w:rsidRPr="00EC250C">
        <w:t>sytuacjach kryzysowych. Departament Ochrony Ludności</w:t>
      </w:r>
      <w:r w:rsidR="00992FD0" w:rsidRPr="00EC250C">
        <w:t xml:space="preserve"> i </w:t>
      </w:r>
      <w:r w:rsidRPr="00EC250C">
        <w:t>Zarządzania Kryzysowego MSWiA prowadzi prace nad aktualizacją Regionalnego Systemu Ostrzegania (RSO)</w:t>
      </w:r>
      <w:r w:rsidR="00992FD0" w:rsidRPr="00EC250C">
        <w:t xml:space="preserve"> w </w:t>
      </w:r>
      <w:r w:rsidRPr="00EC250C">
        <w:t>postaci m.in. pilotażowej aplikacji mobilnej służącej do wysyłania zgłoszeń alarmowych na numer 112. Celem tej aplikacji jest możliwość przekazania zgłoszenia alarmowego do centrum powiadamiana ratunkowego również przez osoby głuche</w:t>
      </w:r>
      <w:r w:rsidR="00992FD0" w:rsidRPr="00EC250C">
        <w:t xml:space="preserve"> i </w:t>
      </w:r>
      <w:r w:rsidRPr="00EC250C">
        <w:t>niedosłyszące. Aplikacja, nad którą pracuje MSWiA ma być dostępna na wszystkich urządzeniach mobilnych,</w:t>
      </w:r>
      <w:r w:rsidR="00992FD0" w:rsidRPr="00EC250C">
        <w:t xml:space="preserve"> a </w:t>
      </w:r>
      <w:r w:rsidRPr="00EC250C">
        <w:t>jej pilotażowe uruchomienie dla użytkowników planowano na IV kwartał 2018</w:t>
      </w:r>
      <w:r w:rsidR="00C91F6E" w:rsidRPr="00EC250C">
        <w:t> r.</w:t>
      </w:r>
    </w:p>
    <w:p w14:paraId="45622AE0" w14:textId="77777777" w:rsidR="00C91F6E" w:rsidRPr="00EC250C" w:rsidRDefault="00192982" w:rsidP="00D131FA">
      <w:pPr>
        <w:pStyle w:val="Styl1"/>
      </w:pPr>
      <w:r w:rsidRPr="00EC250C">
        <w:t>W trakcie dyskusji zwrócono uwagę na funkcjonujący międzynarodowy system znaków graficznych,</w:t>
      </w:r>
      <w:r w:rsidR="00992FD0" w:rsidRPr="00EC250C">
        <w:t xml:space="preserve"> z </w:t>
      </w:r>
      <w:r w:rsidRPr="00EC250C">
        <w:t>którego korzystają osoby komunikujące się za pomocą systemów alternatywnych. Wykorzystanie tych znaków</w:t>
      </w:r>
      <w:r w:rsidR="00992FD0" w:rsidRPr="00EC250C">
        <w:t xml:space="preserve"> w </w:t>
      </w:r>
      <w:r w:rsidRPr="00EC250C">
        <w:t>aplikacji dałoby możliwość otwarcia jej dla kolejnej grupy beneficjentów.</w:t>
      </w:r>
    </w:p>
    <w:p w14:paraId="6213A532" w14:textId="77777777" w:rsidR="00C91F6E" w:rsidRPr="00EC250C" w:rsidRDefault="00192982" w:rsidP="006C70B7">
      <w:pPr>
        <w:pStyle w:val="Styl1"/>
        <w:numPr>
          <w:ilvl w:val="0"/>
          <w:numId w:val="17"/>
        </w:numPr>
      </w:pPr>
      <w:r w:rsidRPr="00EC250C">
        <w:rPr>
          <w:i/>
        </w:rPr>
        <w:t>Problemy osób starszych, które posługują się językiem migowym</w:t>
      </w:r>
    </w:p>
    <w:p w14:paraId="26B5567E" w14:textId="77777777" w:rsidR="00192982" w:rsidRPr="00EC250C" w:rsidRDefault="00192982" w:rsidP="00D131FA">
      <w:pPr>
        <w:pStyle w:val="Styl1"/>
      </w:pPr>
      <w:r w:rsidRPr="00EC250C">
        <w:t>Osoby starsze posługujące się językiem migowym mają bardzo ograniczony dostęp do usług asystenckich</w:t>
      </w:r>
      <w:r w:rsidR="00992FD0" w:rsidRPr="00EC250C">
        <w:t xml:space="preserve"> i </w:t>
      </w:r>
      <w:r w:rsidRPr="00EC250C">
        <w:t>opiekuńczych. Istotny problem stanowi dostęp do profesjonalnej obsługi, która posługuje się polskim językiem migowym. Programy edukacyjne przygotowujące do zdobycia kwalifikacji</w:t>
      </w:r>
      <w:r w:rsidR="00992FD0" w:rsidRPr="00EC250C">
        <w:t xml:space="preserve"> w </w:t>
      </w:r>
      <w:r w:rsidRPr="00EC250C">
        <w:t>zawodach uprawniających do takiej pracy (np. asystent osoby starszej) ma</w:t>
      </w:r>
      <w:r w:rsidR="00992FD0" w:rsidRPr="00EC250C">
        <w:t xml:space="preserve"> w </w:t>
      </w:r>
      <w:r w:rsidRPr="00EC250C">
        <w:t>programie obligatoryjnie naukę języka migowego</w:t>
      </w:r>
      <w:r w:rsidR="00992FD0" w:rsidRPr="00EC250C">
        <w:t xml:space="preserve"> w </w:t>
      </w:r>
      <w:r w:rsidRPr="00EC250C">
        <w:t>wymiarze 40 godzin. Niestety</w:t>
      </w:r>
      <w:r w:rsidR="00992FD0" w:rsidRPr="00EC250C">
        <w:t xml:space="preserve"> w </w:t>
      </w:r>
      <w:r w:rsidRPr="00EC250C">
        <w:t>rzeczywistości okazuje się, że to jedynie nauka teorii dotyczącej osób niesłyszących, takich jak: dostęp do edukacji, rodzaje uszkodzeń słuchu, historia stowarzyszenia osób głuchych itd. Drugą część kursu stanowi nauka alfabetu palcowego. Większość głuchych nie zna języka polskiego, dlatego komunikacja za pomocą alfabetu jest bezcelowa. Proponowanym</w:t>
      </w:r>
      <w:r w:rsidR="00992FD0" w:rsidRPr="00EC250C">
        <w:t xml:space="preserve"> i </w:t>
      </w:r>
      <w:r w:rsidRPr="00EC250C">
        <w:t>ekonomicznym rozwiązaniem byłoby wykształcenie głuchych specjalistów, którzy są naturalnymi użytkownikami polskiego języka migowego</w:t>
      </w:r>
      <w:r w:rsidR="00992FD0" w:rsidRPr="00EC250C">
        <w:t xml:space="preserve"> i </w:t>
      </w:r>
      <w:r w:rsidRPr="00EC250C">
        <w:t>delegowanie ich do głuchych klientów potrzebujących opieki. Przyczyniłoby się to do poprawy sytuacji osób starszych głuchych, którzy mogliby mieć profesjonalną opiekę</w:t>
      </w:r>
      <w:r w:rsidR="00992FD0" w:rsidRPr="00EC250C">
        <w:t xml:space="preserve"> w </w:t>
      </w:r>
      <w:r w:rsidRPr="00EC250C">
        <w:t>swoim języku. Polepszyłaby się także sytuacja głuchych</w:t>
      </w:r>
      <w:r w:rsidR="00992FD0" w:rsidRPr="00EC250C">
        <w:t xml:space="preserve"> w </w:t>
      </w:r>
      <w:r w:rsidRPr="00EC250C">
        <w:t>młodszym wieku, którzy mają problem</w:t>
      </w:r>
      <w:r w:rsidR="00992FD0" w:rsidRPr="00EC250C">
        <w:t xml:space="preserve"> z </w:t>
      </w:r>
      <w:r w:rsidRPr="00EC250C">
        <w:t xml:space="preserve">odnalezieniem się na rynku pracy, co poprawiłoby ich sytuację socjalną. W odniesieniu do osób starszych głuchych brakuje programów rządowych oraz samorządowych, które gwarantowałyby usługi opiekuńcze dedykowane tej grupie. </w:t>
      </w:r>
      <w:r w:rsidR="00B769A0" w:rsidRPr="00EC250C">
        <w:t xml:space="preserve">Obecnie takie programy jak np. ASOS </w:t>
      </w:r>
      <w:r w:rsidR="00B769A0" w:rsidRPr="00EC250C">
        <w:rPr>
          <w:i/>
          <w:iCs/>
        </w:rPr>
        <w:t>(Rządowy Program na rzecz Aktywności Społecznej Osób Starszych na lata 2014–2020</w:t>
      </w:r>
      <w:r w:rsidR="00B769A0" w:rsidRPr="00EC250C">
        <w:t>) nie są odpowiedzią na potrzeby głuchych wymagających usług pielęgnacyjnych. Samorządy nie widzą obecnie problemu, ponieważ głusi najczęściej nie proszą</w:t>
      </w:r>
      <w:r w:rsidR="00992FD0" w:rsidRPr="00EC250C">
        <w:t xml:space="preserve"> o </w:t>
      </w:r>
      <w:r w:rsidR="00B769A0" w:rsidRPr="00EC250C">
        <w:t>pomoc ze względu na barierę językową oraz problem</w:t>
      </w:r>
      <w:r w:rsidR="00992FD0" w:rsidRPr="00EC250C">
        <w:t xml:space="preserve"> z </w:t>
      </w:r>
      <w:r w:rsidR="00B769A0" w:rsidRPr="00EC250C">
        <w:t>mobilnością</w:t>
      </w:r>
      <w:r w:rsidR="00992FD0" w:rsidRPr="00EC250C">
        <w:t xml:space="preserve"> i </w:t>
      </w:r>
      <w:r w:rsidR="00B769A0" w:rsidRPr="00EC250C">
        <w:t>uczucie niemocy. Głusi mają potrzebę kontaktu</w:t>
      </w:r>
      <w:r w:rsidR="00992FD0" w:rsidRPr="00EC250C">
        <w:t xml:space="preserve"> z </w:t>
      </w:r>
      <w:r w:rsidR="00B769A0" w:rsidRPr="00EC250C">
        <w:t>głuchym asystentem,</w:t>
      </w:r>
      <w:r w:rsidR="00992FD0" w:rsidRPr="00EC250C">
        <w:t xml:space="preserve"> w </w:t>
      </w:r>
      <w:r w:rsidR="00B769A0" w:rsidRPr="00EC250C">
        <w:t>związku</w:t>
      </w:r>
      <w:r w:rsidR="00992FD0" w:rsidRPr="00EC250C">
        <w:t xml:space="preserve"> z </w:t>
      </w:r>
      <w:r w:rsidR="00B769A0" w:rsidRPr="00EC250C">
        <w:t>tym zaleca się utworzenie nie tylko sieci niesłyszących opiekunów – naturalnych użytkowników PJM, ale</w:t>
      </w:r>
      <w:r w:rsidR="00992FD0" w:rsidRPr="00EC250C">
        <w:t xml:space="preserve"> i </w:t>
      </w:r>
      <w:r w:rsidR="00B769A0" w:rsidRPr="00EC250C">
        <w:t>domu głuchego seniora.</w:t>
      </w:r>
      <w:r w:rsidRPr="00EC250C">
        <w:t xml:space="preserve"> Ze względu na </w:t>
      </w:r>
      <w:r w:rsidRPr="00EC250C">
        <w:lastRenderedPageBreak/>
        <w:t>kolektywny wymiar kultury Głuchych może to wpłynąć pozytywnie na osoby starsze. Osobom starszym zaleca się aktywność nie tylko ruchową, ale</w:t>
      </w:r>
      <w:r w:rsidR="00992FD0" w:rsidRPr="00EC250C">
        <w:t xml:space="preserve"> i </w:t>
      </w:r>
      <w:r w:rsidRPr="00EC250C">
        <w:t>umysłową, zaś kontakt (w przypadku głuchych</w:t>
      </w:r>
      <w:r w:rsidR="00992FD0" w:rsidRPr="00EC250C">
        <w:t xml:space="preserve"> w </w:t>
      </w:r>
      <w:r w:rsidRPr="00EC250C">
        <w:t>ich języku)</w:t>
      </w:r>
      <w:r w:rsidR="00992FD0" w:rsidRPr="00EC250C">
        <w:t xml:space="preserve"> z </w:t>
      </w:r>
      <w:r w:rsidRPr="00EC250C">
        <w:t>drugim człowiekiem pozwoli na zachowanie dłużej sprawności. Osoby głuche nie utrzymują relacji</w:t>
      </w:r>
      <w:r w:rsidR="00992FD0" w:rsidRPr="00EC250C">
        <w:t xml:space="preserve"> z </w:t>
      </w:r>
      <w:r w:rsidRPr="00EC250C">
        <w:t>sąsiadami,</w:t>
      </w:r>
      <w:r w:rsidR="00992FD0" w:rsidRPr="00EC250C">
        <w:t xml:space="preserve"> a </w:t>
      </w:r>
      <w:r w:rsidRPr="00EC250C">
        <w:t>gdy stają się już osobami niemobilnymi są osobami samotnymi pozbawionymi pomocy,</w:t>
      </w:r>
      <w:r w:rsidR="00992FD0" w:rsidRPr="00EC250C">
        <w:t xml:space="preserve"> a </w:t>
      </w:r>
      <w:r w:rsidRPr="00EC250C">
        <w:t>przede wszystkim pozbawionymi kontaktu</w:t>
      </w:r>
      <w:r w:rsidR="00992FD0" w:rsidRPr="00EC250C">
        <w:t xml:space="preserve"> z </w:t>
      </w:r>
      <w:r w:rsidRPr="00EC250C">
        <w:t>drugim człowiekiem we własnym języku.</w:t>
      </w:r>
    </w:p>
    <w:p w14:paraId="15C3E5C2" w14:textId="77777777" w:rsidR="00C91F6E" w:rsidRPr="00EC250C" w:rsidRDefault="00192982" w:rsidP="006C70B7">
      <w:pPr>
        <w:pStyle w:val="Styl1"/>
        <w:numPr>
          <w:ilvl w:val="0"/>
          <w:numId w:val="17"/>
        </w:numPr>
      </w:pPr>
      <w:r w:rsidRPr="00EC250C">
        <w:rPr>
          <w:i/>
        </w:rPr>
        <w:t>Problemy psychiczne osób głuchych. Opieka psychiatryczno-psychologiczna</w:t>
      </w:r>
      <w:r w:rsidR="00992FD0" w:rsidRPr="00EC250C">
        <w:rPr>
          <w:i/>
        </w:rPr>
        <w:t xml:space="preserve"> w </w:t>
      </w:r>
      <w:r w:rsidRPr="00EC250C">
        <w:rPr>
          <w:i/>
        </w:rPr>
        <w:t>warunkach polskich</w:t>
      </w:r>
    </w:p>
    <w:p w14:paraId="17520FFB" w14:textId="77777777" w:rsidR="00192982" w:rsidRPr="00EC250C" w:rsidRDefault="00192982" w:rsidP="00D131FA">
      <w:pPr>
        <w:pStyle w:val="Styl1"/>
      </w:pPr>
      <w:r w:rsidRPr="00EC250C">
        <w:t>Sytuacja osób głuchych</w:t>
      </w:r>
      <w:r w:rsidR="00992FD0" w:rsidRPr="00EC250C">
        <w:t xml:space="preserve"> w </w:t>
      </w:r>
      <w:r w:rsidRPr="00EC250C">
        <w:t>szpitalach psychiatrycznych jest dramatyczna. Z powodu bariery komunikacyjnej wobec głuchych pacjentów na oddziale psychiatrycznym nie są podejmowane oddziaływania terapeutyczne. Z tego samego powodu głusi niekomunikujący się</w:t>
      </w:r>
      <w:r w:rsidR="00992FD0" w:rsidRPr="00EC250C">
        <w:t xml:space="preserve"> w </w:t>
      </w:r>
      <w:r w:rsidRPr="00EC250C">
        <w:t>języku polskim są wykluczeni ze świadomej aktywności na oddziale, ale nie są</w:t>
      </w:r>
      <w:r w:rsidR="00992FD0" w:rsidRPr="00EC250C">
        <w:t xml:space="preserve"> z </w:t>
      </w:r>
      <w:r w:rsidRPr="00EC250C">
        <w:t>tych aktywności zwalniani (społeczność, zajęcia dodatkowe). Głusi pacjenci nie mają możliwości porozmawiania</w:t>
      </w:r>
      <w:r w:rsidR="00992FD0" w:rsidRPr="00EC250C">
        <w:t xml:space="preserve"> z </w:t>
      </w:r>
      <w:r w:rsidRPr="00EC250C">
        <w:t>innymi chorymi, dlatego</w:t>
      </w:r>
      <w:r w:rsidR="00992FD0" w:rsidRPr="00EC250C">
        <w:t xml:space="preserve"> w </w:t>
      </w:r>
      <w:r w:rsidRPr="00EC250C">
        <w:t>naturalny sposób nie dowiadują się</w:t>
      </w:r>
      <w:r w:rsidR="00992FD0" w:rsidRPr="00EC250C">
        <w:t xml:space="preserve"> o </w:t>
      </w:r>
      <w:r w:rsidRPr="00EC250C">
        <w:t>zasadach panujących na oddziale. Nie mogą również zwrócić się do Rzecznika Praw Pacjenta. W toku edukacji lekarze nie mają wykładów/szkoleń</w:t>
      </w:r>
      <w:r w:rsidR="00992FD0" w:rsidRPr="00EC250C">
        <w:t xml:space="preserve"> z </w:t>
      </w:r>
      <w:r w:rsidRPr="00EC250C">
        <w:t>zakresu funkcjonowania psychicznego osób głuchych. Zachowania typowe dla kultury Głuchych traktowane są jako objawy kliniczne, co</w:t>
      </w:r>
      <w:r w:rsidR="00992FD0" w:rsidRPr="00EC250C">
        <w:t xml:space="preserve"> z </w:t>
      </w:r>
      <w:r w:rsidRPr="00EC250C">
        <w:t>kolei powoduje, że standardowe procedury medyczne zastosowane wobec osób głuchych dają inne efekty niż wobec osób słyszących.</w:t>
      </w:r>
    </w:p>
    <w:p w14:paraId="423BD51E" w14:textId="77777777" w:rsidR="00192982" w:rsidRPr="00EC250C" w:rsidRDefault="00192982" w:rsidP="00D131FA">
      <w:pPr>
        <w:pStyle w:val="Styl1"/>
      </w:pPr>
      <w:r w:rsidRPr="00EC250C">
        <w:t>W omawianym obszarze istnieją właściwie wyłącznie deficyty:</w:t>
      </w:r>
    </w:p>
    <w:p w14:paraId="0C6BBDF0" w14:textId="77777777" w:rsidR="00192982" w:rsidRPr="00EC250C" w:rsidRDefault="00192982" w:rsidP="006C70B7">
      <w:pPr>
        <w:pStyle w:val="Styl1"/>
        <w:numPr>
          <w:ilvl w:val="0"/>
          <w:numId w:val="16"/>
        </w:numPr>
      </w:pPr>
      <w:r w:rsidRPr="00EC250C">
        <w:t>Brak monitorowania zdrowia psychicznego osób głuchych, tak jak ma to miejsce</w:t>
      </w:r>
      <w:r w:rsidR="00992FD0" w:rsidRPr="00EC250C">
        <w:t xml:space="preserve"> w </w:t>
      </w:r>
      <w:r w:rsidRPr="00EC250C">
        <w:t>populacji ogólnej.</w:t>
      </w:r>
    </w:p>
    <w:p w14:paraId="1C625218" w14:textId="77777777" w:rsidR="00192982" w:rsidRPr="00EC250C" w:rsidRDefault="00192982" w:rsidP="006C70B7">
      <w:pPr>
        <w:pStyle w:val="Styl1"/>
        <w:numPr>
          <w:ilvl w:val="0"/>
          <w:numId w:val="16"/>
        </w:numPr>
      </w:pPr>
      <w:r w:rsidRPr="00EC250C">
        <w:t>Brak standardów opieki medycznej nad głuchymi chorymi psychicznie.</w:t>
      </w:r>
    </w:p>
    <w:p w14:paraId="02F41526" w14:textId="77777777" w:rsidR="00192982" w:rsidRPr="00EC250C" w:rsidRDefault="00192982" w:rsidP="006C70B7">
      <w:pPr>
        <w:pStyle w:val="Styl1"/>
        <w:numPr>
          <w:ilvl w:val="0"/>
          <w:numId w:val="16"/>
        </w:numPr>
      </w:pPr>
      <w:r w:rsidRPr="00EC250C">
        <w:t>Brak jednostek służby zdrowia przeszkolonych</w:t>
      </w:r>
      <w:r w:rsidR="00992FD0" w:rsidRPr="00EC250C">
        <w:t xml:space="preserve"> i </w:t>
      </w:r>
      <w:r w:rsidRPr="00EC250C">
        <w:t>przygotowanych do pomocy głuchym pacjent</w:t>
      </w:r>
      <w:r w:rsidR="00B769A0" w:rsidRPr="00EC250C">
        <w:t>o</w:t>
      </w:r>
      <w:r w:rsidRPr="00EC250C">
        <w:t>m chor</w:t>
      </w:r>
      <w:r w:rsidR="00B769A0" w:rsidRPr="00EC250C">
        <w:t>ującym</w:t>
      </w:r>
      <w:r w:rsidRPr="00EC250C">
        <w:t xml:space="preserve"> psychicznie.</w:t>
      </w:r>
    </w:p>
    <w:p w14:paraId="68DC0FA5" w14:textId="77777777" w:rsidR="00192982" w:rsidRPr="00EC250C" w:rsidRDefault="00192982" w:rsidP="006C70B7">
      <w:pPr>
        <w:pStyle w:val="Styl1"/>
        <w:numPr>
          <w:ilvl w:val="0"/>
          <w:numId w:val="16"/>
        </w:numPr>
      </w:pPr>
      <w:r w:rsidRPr="00EC250C">
        <w:t>Brak środowiskowych form wsparcia dla osób głuchych chorujących psychicznie.</w:t>
      </w:r>
    </w:p>
    <w:p w14:paraId="5D5119AA" w14:textId="77777777" w:rsidR="00C91F6E" w:rsidRPr="00EC250C" w:rsidRDefault="00192982" w:rsidP="006C70B7">
      <w:pPr>
        <w:pStyle w:val="Styl1"/>
        <w:numPr>
          <w:ilvl w:val="0"/>
          <w:numId w:val="16"/>
        </w:numPr>
      </w:pPr>
      <w:r w:rsidRPr="00EC250C">
        <w:t>Brak wymiany doświadczeń</w:t>
      </w:r>
      <w:r w:rsidR="00992FD0" w:rsidRPr="00EC250C">
        <w:t xml:space="preserve"> w </w:t>
      </w:r>
      <w:r w:rsidRPr="00EC250C">
        <w:t>zakresie diagnozy</w:t>
      </w:r>
      <w:r w:rsidR="00992FD0" w:rsidRPr="00EC250C">
        <w:t xml:space="preserve"> i </w:t>
      </w:r>
      <w:r w:rsidRPr="00EC250C">
        <w:t>leczenia.</w:t>
      </w:r>
    </w:p>
    <w:p w14:paraId="0B526EBF" w14:textId="77777777" w:rsidR="00192982" w:rsidRPr="00EC250C" w:rsidRDefault="00192982" w:rsidP="006C70B7">
      <w:pPr>
        <w:pStyle w:val="Styl1"/>
        <w:numPr>
          <w:ilvl w:val="0"/>
          <w:numId w:val="16"/>
        </w:numPr>
      </w:pPr>
      <w:r w:rsidRPr="00EC250C">
        <w:t>Brak obecności problematyki zdrowia psychicznego głuchych</w:t>
      </w:r>
      <w:r w:rsidR="00992FD0" w:rsidRPr="00EC250C">
        <w:t xml:space="preserve"> w </w:t>
      </w:r>
      <w:r w:rsidRPr="00EC250C">
        <w:t>przestrzeni publicznej (profilaktyki, prewencji, terapii).</w:t>
      </w:r>
    </w:p>
    <w:p w14:paraId="746F3CA5" w14:textId="77777777" w:rsidR="00192982" w:rsidRPr="00EC250C" w:rsidRDefault="00192982" w:rsidP="006C70B7">
      <w:pPr>
        <w:pStyle w:val="Styl1"/>
        <w:numPr>
          <w:ilvl w:val="0"/>
          <w:numId w:val="16"/>
        </w:numPr>
      </w:pPr>
      <w:r w:rsidRPr="00EC250C">
        <w:t>Brak obecności problematyki zdrowia psychicznego głuchych</w:t>
      </w:r>
      <w:r w:rsidR="00992FD0" w:rsidRPr="00EC250C">
        <w:t xml:space="preserve"> w </w:t>
      </w:r>
      <w:r w:rsidRPr="00EC250C">
        <w:t>badaniach naukowych.</w:t>
      </w:r>
    </w:p>
    <w:p w14:paraId="6A768D09" w14:textId="77777777" w:rsidR="00C91F6E" w:rsidRPr="00EC250C" w:rsidRDefault="00192982" w:rsidP="006C70B7">
      <w:pPr>
        <w:pStyle w:val="Styl1"/>
        <w:numPr>
          <w:ilvl w:val="0"/>
          <w:numId w:val="16"/>
        </w:numPr>
      </w:pPr>
      <w:r w:rsidRPr="00EC250C">
        <w:t>Brak instytucji stojącej na straży przestrzegania podstawowych praw (praw pacjenta)</w:t>
      </w:r>
      <w:r w:rsidR="00992FD0" w:rsidRPr="00EC250C">
        <w:t xml:space="preserve"> w </w:t>
      </w:r>
      <w:r w:rsidRPr="00EC250C">
        <w:t>stosunku do osób głuchych chorujących psychicznie.</w:t>
      </w:r>
    </w:p>
    <w:p w14:paraId="610D7F4A" w14:textId="77777777" w:rsidR="00192982" w:rsidRPr="00EC250C" w:rsidRDefault="00192982" w:rsidP="006C70B7">
      <w:pPr>
        <w:pStyle w:val="Styl1"/>
        <w:numPr>
          <w:ilvl w:val="0"/>
          <w:numId w:val="16"/>
        </w:numPr>
      </w:pPr>
      <w:r w:rsidRPr="00EC250C">
        <w:t>Brak</w:t>
      </w:r>
      <w:r w:rsidR="00992FD0" w:rsidRPr="00EC250C">
        <w:t xml:space="preserve"> w </w:t>
      </w:r>
      <w:r w:rsidRPr="00EC250C">
        <w:t>toku edukacji podstawowego warsztatu pracy</w:t>
      </w:r>
      <w:r w:rsidR="00992FD0" w:rsidRPr="00EC250C">
        <w:t xml:space="preserve"> z </w:t>
      </w:r>
      <w:r w:rsidRPr="00EC250C">
        <w:t>osobami</w:t>
      </w:r>
      <w:r w:rsidR="00992FD0" w:rsidRPr="00EC250C">
        <w:t xml:space="preserve"> z </w:t>
      </w:r>
      <w:r w:rsidRPr="00EC250C">
        <w:t>wadami słuchu.</w:t>
      </w:r>
    </w:p>
    <w:p w14:paraId="5DD91EBC" w14:textId="77777777" w:rsidR="00192982" w:rsidRPr="00EC250C" w:rsidRDefault="00192982" w:rsidP="006C70B7">
      <w:pPr>
        <w:pStyle w:val="Styl1"/>
        <w:numPr>
          <w:ilvl w:val="0"/>
          <w:numId w:val="16"/>
        </w:numPr>
      </w:pPr>
      <w:r w:rsidRPr="00EC250C">
        <w:t>Brak dostosowania programów profilaktyki/psychoedukacji dla psychologów.</w:t>
      </w:r>
    </w:p>
    <w:p w14:paraId="6D7CFEDE" w14:textId="77777777" w:rsidR="00192982" w:rsidRPr="00EC250C" w:rsidRDefault="00192982" w:rsidP="006C70B7">
      <w:pPr>
        <w:pStyle w:val="Styl1"/>
        <w:numPr>
          <w:ilvl w:val="0"/>
          <w:numId w:val="17"/>
        </w:numPr>
        <w:rPr>
          <w:i/>
        </w:rPr>
      </w:pPr>
      <w:r w:rsidRPr="00EC250C">
        <w:rPr>
          <w:i/>
        </w:rPr>
        <w:t>Warsztaty „Jak zgłaszać sprawę do RPO”</w:t>
      </w:r>
    </w:p>
    <w:p w14:paraId="6F4A6C0D" w14:textId="77777777" w:rsidR="00C91F6E" w:rsidRPr="00EC250C" w:rsidRDefault="00192982" w:rsidP="00D131FA">
      <w:pPr>
        <w:pStyle w:val="Styl1"/>
      </w:pPr>
      <w:r w:rsidRPr="00EC250C">
        <w:lastRenderedPageBreak/>
        <w:t>Członkowie Komisji wzięli również udział</w:t>
      </w:r>
      <w:r w:rsidR="00992FD0" w:rsidRPr="00EC250C">
        <w:t xml:space="preserve"> w </w:t>
      </w:r>
      <w:r w:rsidRPr="00EC250C">
        <w:t>warsztatach przygotowanych</w:t>
      </w:r>
      <w:r w:rsidR="00992FD0" w:rsidRPr="00EC250C">
        <w:t xml:space="preserve"> i </w:t>
      </w:r>
      <w:r w:rsidRPr="00EC250C">
        <w:t>przeprowadzonych przez Biuro Rzecznika Praw Obywatelskich pn. „Jak zgłaszać sprawę do RPO”. Celem warsztatów dla głuchych jest przekazanie wiedzy</w:t>
      </w:r>
      <w:r w:rsidR="00992FD0" w:rsidRPr="00EC250C">
        <w:t xml:space="preserve"> o </w:t>
      </w:r>
      <w:r w:rsidRPr="00EC250C">
        <w:t>urzędzie Rzecznika Praw Obywatelskich oraz zdobycie praktycznej umiejętności zgłoszenia wniosku do RPO</w:t>
      </w:r>
      <w:r w:rsidR="00992FD0" w:rsidRPr="00EC250C">
        <w:t xml:space="preserve"> w </w:t>
      </w:r>
      <w:r w:rsidRPr="00EC250C">
        <w:t>jednej</w:t>
      </w:r>
      <w:r w:rsidR="00992FD0" w:rsidRPr="00EC250C">
        <w:t xml:space="preserve"> z </w:t>
      </w:r>
      <w:r w:rsidRPr="00EC250C">
        <w:t>wybranych form. W zależności od preferencji</w:t>
      </w:r>
      <w:r w:rsidR="00992FD0" w:rsidRPr="00EC250C">
        <w:t xml:space="preserve"> i </w:t>
      </w:r>
      <w:r w:rsidRPr="00EC250C">
        <w:t>poziomu znajomości języka polskiego głusi mają możliwość zgłoszenia wniosku przez formularz elektroniczny (po polsku), poprzez przesłanie filmu</w:t>
      </w:r>
      <w:r w:rsidR="00992FD0" w:rsidRPr="00EC250C">
        <w:t xml:space="preserve"> z </w:t>
      </w:r>
      <w:r w:rsidRPr="00EC250C">
        <w:t>komunikatem</w:t>
      </w:r>
      <w:r w:rsidR="00992FD0" w:rsidRPr="00EC250C">
        <w:t xml:space="preserve"> w </w:t>
      </w:r>
      <w:r w:rsidRPr="00EC250C">
        <w:t>polskim języku migowym, spotkanie</w:t>
      </w:r>
      <w:r w:rsidR="00992FD0" w:rsidRPr="00EC250C">
        <w:t xml:space="preserve"> z </w:t>
      </w:r>
      <w:r w:rsidRPr="00EC250C">
        <w:t>pracownikiem Biura RPO</w:t>
      </w:r>
      <w:r w:rsidR="00992FD0" w:rsidRPr="00EC250C">
        <w:t xml:space="preserve"> z </w:t>
      </w:r>
      <w:r w:rsidRPr="00EC250C">
        <w:t>wykorzystaniem tłumacza PJM (również wideotłumacza). Warsztaty zostały wysoko ocenione przez Komisję, potwierdzono też ich celowość, użyteczność oraz potrzebę ich przeprowadzania</w:t>
      </w:r>
      <w:r w:rsidR="00992FD0" w:rsidRPr="00EC250C">
        <w:t xml:space="preserve"> w </w:t>
      </w:r>
      <w:r w:rsidRPr="00EC250C">
        <w:t>innych miastach (6 grudnia 2018</w:t>
      </w:r>
      <w:r w:rsidR="00C91F6E" w:rsidRPr="00EC250C">
        <w:t> r.</w:t>
      </w:r>
      <w:r w:rsidRPr="00EC250C">
        <w:t>, we współpracy ze Świętokrzyskim Stowarzyszeniem Głuchych „Cisza”, przeprowadzono również warsztaty</w:t>
      </w:r>
      <w:r w:rsidR="00992FD0" w:rsidRPr="00EC250C">
        <w:t xml:space="preserve"> w </w:t>
      </w:r>
      <w:r w:rsidRPr="00EC250C">
        <w:t>Kielcach).</w:t>
      </w:r>
    </w:p>
    <w:p w14:paraId="15203406" w14:textId="77777777" w:rsidR="00192982" w:rsidRPr="00EC250C" w:rsidRDefault="00192982" w:rsidP="00D131FA">
      <w:pPr>
        <w:pStyle w:val="Styl1"/>
      </w:pPr>
      <w:r w:rsidRPr="00EC250C">
        <w:t>W trakcie zajęć omówiono tematy dotyczące braku tłumaczy polskiego języka migowego</w:t>
      </w:r>
      <w:r w:rsidR="00992FD0" w:rsidRPr="00EC250C">
        <w:t xml:space="preserve"> w </w:t>
      </w:r>
      <w:r w:rsidRPr="00EC250C">
        <w:t>wielu instytucjach, urzędach, przychodniach. Zdiagnozowano główne problemy: osoby głuche nie otrzymują pracy ze względu na swoją głuchotę, tłumacze nie są certyfikowani, co prowadzi do tego, że wielu tłumaczy na bardzo niskim poziomie zna polski język migowy;</w:t>
      </w:r>
      <w:r w:rsidR="00992FD0" w:rsidRPr="00EC250C">
        <w:t xml:space="preserve"> w </w:t>
      </w:r>
      <w:r w:rsidRPr="00EC250C">
        <w:t>szkołach dla głuchych dzieci uczone są systemem językowo-migowym co powoduje, że głusi rodzice posługujący się</w:t>
      </w:r>
      <w:r w:rsidR="00992FD0" w:rsidRPr="00EC250C">
        <w:t xml:space="preserve"> w </w:t>
      </w:r>
      <w:r w:rsidRPr="00EC250C">
        <w:t>PJM przestają rozumieć swoje dziecko.</w:t>
      </w:r>
    </w:p>
    <w:p w14:paraId="0F78830E" w14:textId="77777777" w:rsidR="00192982" w:rsidRPr="00EC250C" w:rsidRDefault="00192982" w:rsidP="00EC250C">
      <w:pPr>
        <w:pStyle w:val="Nagwek5"/>
      </w:pPr>
      <w:bookmarkStart w:id="866" w:name="_Toc6258059"/>
      <w:r w:rsidRPr="00EC250C">
        <w:t>F. Komisja Ekspertów ds. Migrantów</w:t>
      </w:r>
      <w:bookmarkEnd w:id="866"/>
    </w:p>
    <w:p w14:paraId="1D485E65" w14:textId="77777777" w:rsidR="00C91F6E" w:rsidRPr="00EC250C" w:rsidRDefault="00192982" w:rsidP="00D131FA">
      <w:pPr>
        <w:pStyle w:val="Styl1"/>
      </w:pPr>
      <w:r w:rsidRPr="00EC250C">
        <w:t>Rzecznik Praw Obywatelskich pełni funkcję niezależnego organu konstytucyjnego, który jest odpowiedzialny również za wykonywanie zadań dotyczących realizacji zasady równego traktowania. Dlatego dla Rzecznika niezwykle ważne jest bieżące monitorowanie sytuacji,</w:t>
      </w:r>
      <w:r w:rsidR="00992FD0" w:rsidRPr="00EC250C">
        <w:t xml:space="preserve"> w </w:t>
      </w:r>
      <w:r w:rsidRPr="00EC250C">
        <w:t>jakiej znajdują się grupy szczególnie narażone na dyskryminację. Taką grupą niewątpliwie są migranci,</w:t>
      </w:r>
      <w:r w:rsidR="00992FD0" w:rsidRPr="00EC250C">
        <w:t xml:space="preserve"> w </w:t>
      </w:r>
      <w:r w:rsidRPr="00EC250C">
        <w:t>tym także mieszkający</w:t>
      </w:r>
      <w:r w:rsidR="00992FD0" w:rsidRPr="00EC250C">
        <w:t xml:space="preserve"> w </w:t>
      </w:r>
      <w:r w:rsidRPr="00EC250C">
        <w:t>Polsce uchodźcy.</w:t>
      </w:r>
    </w:p>
    <w:p w14:paraId="7C5A05E8" w14:textId="77777777" w:rsidR="00C91F6E" w:rsidRPr="00EC250C" w:rsidRDefault="00192982" w:rsidP="00D131FA">
      <w:pPr>
        <w:pStyle w:val="Styl1"/>
      </w:pPr>
      <w:r w:rsidRPr="00EC250C">
        <w:t xml:space="preserve">W ostatnich latach wzrosła liczba badanych przez Rzecznika spraw dotyczących </w:t>
      </w:r>
      <w:r w:rsidRPr="00EC250C">
        <w:rPr>
          <w:bCs/>
          <w:iCs/>
        </w:rPr>
        <w:t>ochrony praw cudzoziemców przebywających</w:t>
      </w:r>
      <w:r w:rsidR="00992FD0" w:rsidRPr="00EC250C">
        <w:rPr>
          <w:bCs/>
          <w:iCs/>
        </w:rPr>
        <w:t xml:space="preserve"> w </w:t>
      </w:r>
      <w:r w:rsidRPr="00EC250C">
        <w:rPr>
          <w:bCs/>
          <w:iCs/>
        </w:rPr>
        <w:t>Polsce lub przybywających dopiero na terytorium RP</w:t>
      </w:r>
      <w:r w:rsidRPr="00EC250C">
        <w:t xml:space="preserve">. </w:t>
      </w:r>
      <w:r w:rsidR="00715E1B" w:rsidRPr="00EC250C">
        <w:t>A</w:t>
      </w:r>
      <w:r w:rsidRPr="00EC250C">
        <w:t>by skutecznie realizować swoje zadania Rzecznik powołał Komisję Ekspertów ds. Migrantów, która pełnić ma funkcje opiniodawczo-doradcze, na bieżąco analizować stan przestrzegania praw</w:t>
      </w:r>
      <w:r w:rsidR="00992FD0" w:rsidRPr="00EC250C">
        <w:t xml:space="preserve"> i </w:t>
      </w:r>
      <w:r w:rsidRPr="00EC250C">
        <w:t>wolności przysługujących cudzoziemcom</w:t>
      </w:r>
      <w:r w:rsidR="00992FD0" w:rsidRPr="00EC250C">
        <w:t xml:space="preserve"> i </w:t>
      </w:r>
      <w:r w:rsidRPr="00EC250C">
        <w:t>przedstawiać Rzecznikowi rekomendacje.</w:t>
      </w:r>
    </w:p>
    <w:p w14:paraId="24A17E7C" w14:textId="77777777" w:rsidR="00192982" w:rsidRPr="00EC250C" w:rsidRDefault="00192982" w:rsidP="00D131FA">
      <w:pPr>
        <w:pStyle w:val="Srdtytul6"/>
        <w:jc w:val="both"/>
      </w:pPr>
      <w:r w:rsidRPr="00EC250C">
        <w:t>Skład Komisji Ekspertów ds. Migrantów</w:t>
      </w:r>
    </w:p>
    <w:p w14:paraId="627E0F6C" w14:textId="77777777" w:rsidR="00C73FDE" w:rsidRPr="00EC250C" w:rsidRDefault="00C73FDE" w:rsidP="006C70B7">
      <w:pPr>
        <w:pStyle w:val="Styl1"/>
        <w:numPr>
          <w:ilvl w:val="0"/>
          <w:numId w:val="18"/>
        </w:numPr>
        <w:sectPr w:rsidR="00C73FDE" w:rsidRPr="00EC250C" w:rsidSect="00FC47F2">
          <w:type w:val="continuous"/>
          <w:pgSz w:w="11907" w:h="16840"/>
          <w:pgMar w:top="1418" w:right="1418" w:bottom="1418" w:left="1276" w:header="567" w:footer="567" w:gutter="0"/>
          <w:cols w:space="708"/>
          <w:titlePg/>
          <w:docGrid w:linePitch="354"/>
        </w:sectPr>
      </w:pPr>
    </w:p>
    <w:p w14:paraId="19227ACD" w14:textId="77777777" w:rsidR="00C91F6E" w:rsidRPr="00EC250C" w:rsidRDefault="00192982" w:rsidP="006C70B7">
      <w:pPr>
        <w:pStyle w:val="Styl1"/>
        <w:numPr>
          <w:ilvl w:val="0"/>
          <w:numId w:val="18"/>
        </w:numPr>
      </w:pPr>
      <w:r w:rsidRPr="00EC250C">
        <w:t>Malika Abdoulvakhabova</w:t>
      </w:r>
    </w:p>
    <w:p w14:paraId="5ACDD8C5" w14:textId="77777777" w:rsidR="00192982" w:rsidRPr="00EC250C" w:rsidRDefault="00192982" w:rsidP="006C70B7">
      <w:pPr>
        <w:pStyle w:val="Styl1"/>
        <w:numPr>
          <w:ilvl w:val="0"/>
          <w:numId w:val="18"/>
        </w:numPr>
      </w:pPr>
      <w:r w:rsidRPr="00EC250C">
        <w:t>Maciej Bohosiewicz</w:t>
      </w:r>
    </w:p>
    <w:p w14:paraId="2601F6A7" w14:textId="77777777" w:rsidR="00192982" w:rsidRPr="00EC250C" w:rsidRDefault="00192982" w:rsidP="006C70B7">
      <w:pPr>
        <w:pStyle w:val="Styl1"/>
        <w:numPr>
          <w:ilvl w:val="0"/>
          <w:numId w:val="18"/>
        </w:numPr>
      </w:pPr>
      <w:r w:rsidRPr="00EC250C">
        <w:t>Ksawery Burski</w:t>
      </w:r>
    </w:p>
    <w:p w14:paraId="34602C86" w14:textId="77777777" w:rsidR="00192982" w:rsidRPr="00EC250C" w:rsidRDefault="00192982" w:rsidP="006C70B7">
      <w:pPr>
        <w:pStyle w:val="Styl1"/>
        <w:numPr>
          <w:ilvl w:val="0"/>
          <w:numId w:val="18"/>
        </w:numPr>
      </w:pPr>
      <w:r w:rsidRPr="00EC250C">
        <w:t>Aleksandra Chrzanowska</w:t>
      </w:r>
    </w:p>
    <w:p w14:paraId="6898F1EF" w14:textId="77777777" w:rsidR="00192982" w:rsidRPr="00EC250C" w:rsidRDefault="00192982" w:rsidP="006C70B7">
      <w:pPr>
        <w:pStyle w:val="Styl1"/>
        <w:numPr>
          <w:ilvl w:val="0"/>
          <w:numId w:val="18"/>
        </w:numPr>
      </w:pPr>
      <w:r w:rsidRPr="00EC250C">
        <w:t>Irena Dawid-Olczyk</w:t>
      </w:r>
    </w:p>
    <w:p w14:paraId="4E86552F" w14:textId="77777777" w:rsidR="00192982" w:rsidRPr="00EC250C" w:rsidRDefault="00192982" w:rsidP="006C70B7">
      <w:pPr>
        <w:pStyle w:val="Styl1"/>
        <w:numPr>
          <w:ilvl w:val="0"/>
          <w:numId w:val="18"/>
        </w:numPr>
      </w:pPr>
      <w:r w:rsidRPr="00EC250C">
        <w:t>Maciej Duszczyk</w:t>
      </w:r>
    </w:p>
    <w:p w14:paraId="127ED37A" w14:textId="77777777" w:rsidR="00192982" w:rsidRPr="00EC250C" w:rsidRDefault="00192982" w:rsidP="006C70B7">
      <w:pPr>
        <w:pStyle w:val="Styl1"/>
        <w:numPr>
          <w:ilvl w:val="0"/>
          <w:numId w:val="18"/>
        </w:numPr>
      </w:pPr>
      <w:r w:rsidRPr="00EC250C">
        <w:t>Grzegorz Dziemidowicz</w:t>
      </w:r>
    </w:p>
    <w:p w14:paraId="2683BC46" w14:textId="77777777" w:rsidR="00192982" w:rsidRPr="00EC250C" w:rsidRDefault="00192982" w:rsidP="006C70B7">
      <w:pPr>
        <w:pStyle w:val="Styl1"/>
        <w:numPr>
          <w:ilvl w:val="0"/>
          <w:numId w:val="18"/>
        </w:numPr>
      </w:pPr>
      <w:r w:rsidRPr="00EC250C">
        <w:t>Justyn Frelak</w:t>
      </w:r>
    </w:p>
    <w:p w14:paraId="26DA91D0" w14:textId="77777777" w:rsidR="00192982" w:rsidRPr="00EC250C" w:rsidRDefault="00192982" w:rsidP="006C70B7">
      <w:pPr>
        <w:pStyle w:val="Styl1"/>
        <w:numPr>
          <w:ilvl w:val="0"/>
          <w:numId w:val="18"/>
        </w:numPr>
      </w:pPr>
      <w:r w:rsidRPr="00EC250C">
        <w:lastRenderedPageBreak/>
        <w:t>Katarzyna Gmaj</w:t>
      </w:r>
    </w:p>
    <w:p w14:paraId="2A189DDF" w14:textId="77777777" w:rsidR="00192982" w:rsidRPr="00EC250C" w:rsidRDefault="00192982" w:rsidP="006C70B7">
      <w:pPr>
        <w:pStyle w:val="Styl1"/>
        <w:numPr>
          <w:ilvl w:val="0"/>
          <w:numId w:val="18"/>
        </w:numPr>
      </w:pPr>
      <w:r w:rsidRPr="00EC250C">
        <w:t>Aleksandra Grzymała-Kazłowska</w:t>
      </w:r>
    </w:p>
    <w:p w14:paraId="0D6D4E87" w14:textId="77777777" w:rsidR="00192982" w:rsidRPr="00EC250C" w:rsidRDefault="00192982" w:rsidP="006C70B7">
      <w:pPr>
        <w:pStyle w:val="Styl1"/>
        <w:numPr>
          <w:ilvl w:val="0"/>
          <w:numId w:val="18"/>
        </w:numPr>
      </w:pPr>
      <w:r w:rsidRPr="00EC250C">
        <w:t>Maria Magdalena Kenig-Witkowska</w:t>
      </w:r>
    </w:p>
    <w:p w14:paraId="356A54B4" w14:textId="77777777" w:rsidR="00192982" w:rsidRPr="00EC250C" w:rsidRDefault="00192982" w:rsidP="006C70B7">
      <w:pPr>
        <w:pStyle w:val="Styl1"/>
        <w:numPr>
          <w:ilvl w:val="0"/>
          <w:numId w:val="18"/>
        </w:numPr>
      </w:pPr>
      <w:r w:rsidRPr="00EC250C">
        <w:t>Miroslava Keryk</w:t>
      </w:r>
    </w:p>
    <w:p w14:paraId="4B40580E" w14:textId="77777777" w:rsidR="00192982" w:rsidRPr="00EC250C" w:rsidRDefault="00192982" w:rsidP="006C70B7">
      <w:pPr>
        <w:pStyle w:val="Styl1"/>
        <w:numPr>
          <w:ilvl w:val="0"/>
          <w:numId w:val="18"/>
        </w:numPr>
      </w:pPr>
      <w:r w:rsidRPr="00EC250C">
        <w:t>Witold Klaus</w:t>
      </w:r>
    </w:p>
    <w:p w14:paraId="7E7EE2AE" w14:textId="77777777" w:rsidR="00192982" w:rsidRPr="00EC250C" w:rsidRDefault="00192982" w:rsidP="006C70B7">
      <w:pPr>
        <w:pStyle w:val="Styl1"/>
        <w:numPr>
          <w:ilvl w:val="0"/>
          <w:numId w:val="18"/>
        </w:numPr>
      </w:pPr>
      <w:r w:rsidRPr="00EC250C">
        <w:t>Tomasz Knothe</w:t>
      </w:r>
    </w:p>
    <w:p w14:paraId="64CB25FE" w14:textId="77777777" w:rsidR="00192982" w:rsidRPr="00EC250C" w:rsidRDefault="00192982" w:rsidP="006C70B7">
      <w:pPr>
        <w:pStyle w:val="Styl1"/>
        <w:numPr>
          <w:ilvl w:val="0"/>
          <w:numId w:val="18"/>
        </w:numPr>
      </w:pPr>
      <w:r w:rsidRPr="00EC250C">
        <w:t>Agnieszka Kosowicz</w:t>
      </w:r>
    </w:p>
    <w:p w14:paraId="607D79FB" w14:textId="77777777" w:rsidR="00192982" w:rsidRPr="00EC250C" w:rsidRDefault="00192982" w:rsidP="006C70B7">
      <w:pPr>
        <w:pStyle w:val="Styl1"/>
        <w:numPr>
          <w:ilvl w:val="0"/>
          <w:numId w:val="18"/>
        </w:numPr>
      </w:pPr>
      <w:r w:rsidRPr="00EC250C">
        <w:t>Agnieszka Kunicka</w:t>
      </w:r>
    </w:p>
    <w:p w14:paraId="48BD83ED" w14:textId="77777777" w:rsidR="00192982" w:rsidRPr="00EC250C" w:rsidRDefault="00192982" w:rsidP="006C70B7">
      <w:pPr>
        <w:pStyle w:val="Styl1"/>
        <w:numPr>
          <w:ilvl w:val="0"/>
          <w:numId w:val="18"/>
        </w:numPr>
      </w:pPr>
      <w:r w:rsidRPr="00EC250C">
        <w:t>Magdalena Lesińska</w:t>
      </w:r>
    </w:p>
    <w:p w14:paraId="297AEA99" w14:textId="77777777" w:rsidR="00192982" w:rsidRPr="00EC250C" w:rsidRDefault="00192982" w:rsidP="006C70B7">
      <w:pPr>
        <w:pStyle w:val="Styl1"/>
        <w:numPr>
          <w:ilvl w:val="0"/>
          <w:numId w:val="18"/>
        </w:numPr>
      </w:pPr>
      <w:r w:rsidRPr="00EC250C">
        <w:t>Maja Łysienia</w:t>
      </w:r>
    </w:p>
    <w:p w14:paraId="6B86BEB4" w14:textId="77777777" w:rsidR="00192982" w:rsidRPr="00EC250C" w:rsidRDefault="00192982" w:rsidP="006C70B7">
      <w:pPr>
        <w:pStyle w:val="Styl1"/>
        <w:numPr>
          <w:ilvl w:val="0"/>
          <w:numId w:val="18"/>
        </w:numPr>
      </w:pPr>
      <w:r w:rsidRPr="00EC250C">
        <w:t>Ewa Pogorzała</w:t>
      </w:r>
    </w:p>
    <w:p w14:paraId="2B4EF867" w14:textId="77777777" w:rsidR="00192982" w:rsidRPr="00EC250C" w:rsidRDefault="00192982" w:rsidP="006C70B7">
      <w:pPr>
        <w:pStyle w:val="Styl1"/>
        <w:numPr>
          <w:ilvl w:val="0"/>
          <w:numId w:val="18"/>
        </w:numPr>
      </w:pPr>
      <w:r w:rsidRPr="00EC250C">
        <w:t>Katarzyna Przybysławska</w:t>
      </w:r>
    </w:p>
    <w:p w14:paraId="0F9C4862" w14:textId="77777777" w:rsidR="00192982" w:rsidRPr="00EC250C" w:rsidRDefault="00192982" w:rsidP="006C70B7">
      <w:pPr>
        <w:pStyle w:val="Styl1"/>
        <w:numPr>
          <w:ilvl w:val="0"/>
          <w:numId w:val="18"/>
        </w:numPr>
      </w:pPr>
      <w:r w:rsidRPr="00EC250C">
        <w:t>Dorota Pudzianowska</w:t>
      </w:r>
    </w:p>
    <w:p w14:paraId="79919D95" w14:textId="77777777" w:rsidR="00192982" w:rsidRPr="00EC250C" w:rsidRDefault="00192982" w:rsidP="006C70B7">
      <w:pPr>
        <w:pStyle w:val="Styl1"/>
        <w:numPr>
          <w:ilvl w:val="0"/>
          <w:numId w:val="18"/>
        </w:numPr>
      </w:pPr>
      <w:r w:rsidRPr="00EC250C">
        <w:t>Irena Rzeplińska</w:t>
      </w:r>
    </w:p>
    <w:p w14:paraId="62574FFE" w14:textId="77777777" w:rsidR="00192982" w:rsidRPr="00EC250C" w:rsidRDefault="00192982" w:rsidP="006C70B7">
      <w:pPr>
        <w:pStyle w:val="Styl1"/>
        <w:numPr>
          <w:ilvl w:val="0"/>
          <w:numId w:val="18"/>
        </w:numPr>
      </w:pPr>
      <w:r w:rsidRPr="00EC250C">
        <w:t>Jacek Schmidt</w:t>
      </w:r>
    </w:p>
    <w:p w14:paraId="4AA4AEA5" w14:textId="77777777" w:rsidR="00192982" w:rsidRPr="00EC250C" w:rsidRDefault="00192982" w:rsidP="006C70B7">
      <w:pPr>
        <w:pStyle w:val="Styl1"/>
        <w:numPr>
          <w:ilvl w:val="0"/>
          <w:numId w:val="18"/>
        </w:numPr>
      </w:pPr>
      <w:r w:rsidRPr="00EC250C">
        <w:t>Tomasz Sieniow</w:t>
      </w:r>
    </w:p>
    <w:p w14:paraId="2ACCD4F2" w14:textId="77777777" w:rsidR="00192982" w:rsidRPr="00EC250C" w:rsidRDefault="00192982" w:rsidP="006C70B7">
      <w:pPr>
        <w:pStyle w:val="Styl1"/>
        <w:numPr>
          <w:ilvl w:val="0"/>
          <w:numId w:val="18"/>
        </w:numPr>
      </w:pPr>
      <w:r w:rsidRPr="00EC250C">
        <w:t>Teresa Sotowska</w:t>
      </w:r>
    </w:p>
    <w:p w14:paraId="0F121C10" w14:textId="77777777" w:rsidR="00192982" w:rsidRPr="00EC250C" w:rsidRDefault="00192982" w:rsidP="006C70B7">
      <w:pPr>
        <w:pStyle w:val="Styl1"/>
        <w:numPr>
          <w:ilvl w:val="0"/>
          <w:numId w:val="18"/>
        </w:numPr>
      </w:pPr>
      <w:r w:rsidRPr="00EC250C">
        <w:t>Sylwia Urbańska</w:t>
      </w:r>
    </w:p>
    <w:p w14:paraId="44CB449D" w14:textId="77777777" w:rsidR="00192982" w:rsidRPr="00EC250C" w:rsidRDefault="00192982" w:rsidP="006C70B7">
      <w:pPr>
        <w:pStyle w:val="Styl1"/>
        <w:numPr>
          <w:ilvl w:val="0"/>
          <w:numId w:val="18"/>
        </w:numPr>
      </w:pPr>
      <w:r w:rsidRPr="00EC250C">
        <w:t>Ton Van Anh</w:t>
      </w:r>
    </w:p>
    <w:p w14:paraId="45141AB8" w14:textId="77777777" w:rsidR="00192982" w:rsidRPr="00EC250C" w:rsidRDefault="00192982" w:rsidP="006C70B7">
      <w:pPr>
        <w:pStyle w:val="Styl1"/>
        <w:numPr>
          <w:ilvl w:val="0"/>
          <w:numId w:val="18"/>
        </w:numPr>
      </w:pPr>
      <w:r w:rsidRPr="00EC250C">
        <w:t>Maciej Ząbek</w:t>
      </w:r>
    </w:p>
    <w:p w14:paraId="2F51DCF6" w14:textId="77777777" w:rsidR="00C91F6E" w:rsidRPr="00EC250C" w:rsidRDefault="00192982" w:rsidP="006C70B7">
      <w:pPr>
        <w:pStyle w:val="Styl1"/>
        <w:numPr>
          <w:ilvl w:val="0"/>
          <w:numId w:val="18"/>
        </w:numPr>
      </w:pPr>
      <w:r w:rsidRPr="00EC250C">
        <w:t>Barbara Imiołczyk</w:t>
      </w:r>
    </w:p>
    <w:p w14:paraId="72969438" w14:textId="77777777" w:rsidR="00192982" w:rsidRPr="00EC250C" w:rsidRDefault="00192982" w:rsidP="006C70B7">
      <w:pPr>
        <w:pStyle w:val="Styl1"/>
        <w:numPr>
          <w:ilvl w:val="0"/>
          <w:numId w:val="18"/>
        </w:numPr>
      </w:pPr>
      <w:r w:rsidRPr="00EC250C">
        <w:t>Marcin Sośniak</w:t>
      </w:r>
    </w:p>
    <w:p w14:paraId="15C113CB" w14:textId="77777777" w:rsidR="00192982" w:rsidRPr="00EC250C" w:rsidRDefault="00192982" w:rsidP="006C70B7">
      <w:pPr>
        <w:pStyle w:val="Styl1"/>
        <w:numPr>
          <w:ilvl w:val="0"/>
          <w:numId w:val="18"/>
        </w:numPr>
      </w:pPr>
      <w:r w:rsidRPr="00EC250C">
        <w:t>Dariusz Supeł</w:t>
      </w:r>
    </w:p>
    <w:p w14:paraId="2B211882" w14:textId="77777777" w:rsidR="00C73FDE" w:rsidRPr="00EC250C" w:rsidRDefault="00C73FDE" w:rsidP="00EC250C">
      <w:pPr>
        <w:pStyle w:val="Nagwek5"/>
        <w:sectPr w:rsidR="00C73FDE" w:rsidRPr="00EC250C" w:rsidSect="00FC47F2">
          <w:type w:val="continuous"/>
          <w:pgSz w:w="11907" w:h="16840"/>
          <w:pgMar w:top="1418" w:right="1418" w:bottom="1418" w:left="1276" w:header="567" w:footer="567" w:gutter="0"/>
          <w:cols w:num="2" w:space="708"/>
          <w:titlePg/>
          <w:docGrid w:linePitch="354"/>
        </w:sectPr>
      </w:pPr>
      <w:bookmarkStart w:id="867" w:name="_Toc6258060"/>
    </w:p>
    <w:p w14:paraId="2FB5EAD3" w14:textId="77777777" w:rsidR="00C91F6E" w:rsidRPr="00EC250C" w:rsidRDefault="00192982" w:rsidP="00EC250C">
      <w:pPr>
        <w:pStyle w:val="Nagwek5"/>
      </w:pPr>
      <w:r w:rsidRPr="00EC250C">
        <w:t>G. Komisja Ekspertów ds. Osób</w:t>
      </w:r>
      <w:r w:rsidR="00992FD0" w:rsidRPr="00EC250C">
        <w:t xml:space="preserve"> z </w:t>
      </w:r>
      <w:r w:rsidRPr="00EC250C">
        <w:t>Niepełnosprawnością</w:t>
      </w:r>
      <w:bookmarkEnd w:id="867"/>
    </w:p>
    <w:p w14:paraId="70FE71F2" w14:textId="77777777" w:rsidR="00B473F5" w:rsidRPr="00EC250C" w:rsidRDefault="00192982" w:rsidP="00D131FA">
      <w:pPr>
        <w:pStyle w:val="Problemczowieka"/>
        <w:jc w:val="both"/>
      </w:pPr>
      <w:r w:rsidRPr="00EC250C">
        <w:t>Pomimo istnienia różnych rozwiązań prawnych,</w:t>
      </w:r>
      <w:r w:rsidR="00992FD0" w:rsidRPr="00EC250C">
        <w:t xml:space="preserve"> a </w:t>
      </w:r>
      <w:r w:rsidRPr="00EC250C">
        <w:t>także licznych przedsięwzięć</w:t>
      </w:r>
      <w:r w:rsidR="00992FD0" w:rsidRPr="00EC250C">
        <w:t xml:space="preserve"> i </w:t>
      </w:r>
      <w:r w:rsidRPr="00EC250C">
        <w:t>inicjatyw społecznych, osoby</w:t>
      </w:r>
      <w:r w:rsidR="00992FD0" w:rsidRPr="00EC250C">
        <w:t xml:space="preserve"> z </w:t>
      </w:r>
      <w:r w:rsidRPr="00EC250C">
        <w:t>niepełnosprawnościami</w:t>
      </w:r>
      <w:r w:rsidR="00992FD0" w:rsidRPr="00EC250C">
        <w:t xml:space="preserve"> w </w:t>
      </w:r>
      <w:r w:rsidRPr="00EC250C">
        <w:t>dalszym ciągu napotykają na bariery</w:t>
      </w:r>
      <w:r w:rsidR="00992FD0" w:rsidRPr="00EC250C">
        <w:t xml:space="preserve"> w </w:t>
      </w:r>
      <w:r w:rsidRPr="00EC250C">
        <w:t>życiu społecznym jako równoprawni członkowie społeczeństwa oraz doświadczają naruszania praw człowieka we wszystkich obszarach życia</w:t>
      </w:r>
      <w:r w:rsidR="00B473F5" w:rsidRPr="00EC250C">
        <w:t>.</w:t>
      </w:r>
    </w:p>
    <w:p w14:paraId="6C665430" w14:textId="77777777" w:rsidR="00C73FDE" w:rsidRPr="00EC250C" w:rsidRDefault="00192982" w:rsidP="00D131FA">
      <w:pPr>
        <w:pStyle w:val="Styl1"/>
      </w:pPr>
      <w:r w:rsidRPr="00EC250C">
        <w:t>W 2012</w:t>
      </w:r>
      <w:r w:rsidR="00C91F6E" w:rsidRPr="00EC250C">
        <w:t> r.</w:t>
      </w:r>
      <w:r w:rsidRPr="00EC250C">
        <w:t xml:space="preserve"> Polska ratyfikowała Konwencję</w:t>
      </w:r>
      <w:r w:rsidR="00992FD0" w:rsidRPr="00EC250C">
        <w:t xml:space="preserve"> o </w:t>
      </w:r>
      <w:r w:rsidRPr="00EC250C">
        <w:t>prawach osób</w:t>
      </w:r>
      <w:r w:rsidR="00992FD0" w:rsidRPr="00EC250C">
        <w:t xml:space="preserve"> z </w:t>
      </w:r>
      <w:r w:rsidRPr="00EC250C">
        <w:t>niepełnosprawn</w:t>
      </w:r>
      <w:r w:rsidR="00715E1B" w:rsidRPr="00EC250C">
        <w:t>ościami</w:t>
      </w:r>
      <w:r w:rsidRPr="00EC250C">
        <w:t>, której głównym celem jest popieranie, ochrona</w:t>
      </w:r>
      <w:r w:rsidR="00992FD0" w:rsidRPr="00EC250C">
        <w:t xml:space="preserve"> i </w:t>
      </w:r>
      <w:r w:rsidRPr="00EC250C">
        <w:t>zapewnienie pełnego</w:t>
      </w:r>
      <w:r w:rsidR="00992FD0" w:rsidRPr="00EC250C">
        <w:t xml:space="preserve"> i </w:t>
      </w:r>
      <w:r w:rsidRPr="00EC250C">
        <w:t>równego korzystania ze wszystkich praw człowieka</w:t>
      </w:r>
      <w:r w:rsidR="00992FD0" w:rsidRPr="00EC250C">
        <w:t xml:space="preserve"> i </w:t>
      </w:r>
      <w:r w:rsidRPr="00EC250C">
        <w:t>podstawowych wolności przez wszystkie osoby</w:t>
      </w:r>
      <w:r w:rsidR="00992FD0" w:rsidRPr="00EC250C">
        <w:t xml:space="preserve"> z </w:t>
      </w:r>
      <w:r w:rsidRPr="00EC250C">
        <w:t>niepełnosprawnościami oraz popieranie poszanowania ich przyrodzonej godności.</w:t>
      </w:r>
      <w:r w:rsidR="001D1FAA" w:rsidRPr="00EC250C">
        <w:t xml:space="preserve"> </w:t>
      </w:r>
      <w:r w:rsidRPr="00EC250C">
        <w:t>Rzecznik Praw Obywatelskich pełni</w:t>
      </w:r>
      <w:r w:rsidR="00992FD0" w:rsidRPr="00EC250C">
        <w:t xml:space="preserve"> w </w:t>
      </w:r>
      <w:r w:rsidRPr="00EC250C">
        <w:t>Polsce funkcję mechanizmu monitorowania wdrażania tej Konwencji. Konwencja zobowiązuje strony do ścisłej współpracy oraz konsultacji</w:t>
      </w:r>
      <w:r w:rsidR="00992FD0" w:rsidRPr="00EC250C">
        <w:t xml:space="preserve"> z </w:t>
      </w:r>
      <w:r w:rsidRPr="00EC250C">
        <w:t>osobami</w:t>
      </w:r>
      <w:r w:rsidR="00992FD0" w:rsidRPr="00EC250C">
        <w:t xml:space="preserve"> z </w:t>
      </w:r>
      <w:r w:rsidRPr="00EC250C">
        <w:t>niepełnosprawnościami</w:t>
      </w:r>
      <w:r w:rsidR="00992FD0" w:rsidRPr="00EC250C">
        <w:t xml:space="preserve"> i </w:t>
      </w:r>
      <w:r w:rsidRPr="00EC250C">
        <w:t>reprezentującymi je organizacjami</w:t>
      </w:r>
      <w:r w:rsidR="00992FD0" w:rsidRPr="00EC250C">
        <w:t xml:space="preserve"> w </w:t>
      </w:r>
      <w:r w:rsidRPr="00EC250C">
        <w:t>toku podejmowania decyzji ich dotyczących,</w:t>
      </w:r>
      <w:r w:rsidR="00992FD0" w:rsidRPr="00EC250C">
        <w:t xml:space="preserve"> a </w:t>
      </w:r>
      <w:r w:rsidRPr="00EC250C">
        <w:t>także przy wdrażaniu</w:t>
      </w:r>
      <w:r w:rsidR="00992FD0" w:rsidRPr="00EC250C">
        <w:t xml:space="preserve"> w </w:t>
      </w:r>
      <w:r w:rsidRPr="00EC250C">
        <w:t>życie postanowień tej Konwencji. Powołana</w:t>
      </w:r>
      <w:r w:rsidR="00992FD0" w:rsidRPr="00EC250C">
        <w:t xml:space="preserve"> w </w:t>
      </w:r>
      <w:r w:rsidR="000D1320" w:rsidRPr="00EC250C">
        <w:t>2011</w:t>
      </w:r>
      <w:r w:rsidR="000D1320" w:rsidRPr="00EC250C">
        <w:rPr>
          <w:vertAlign w:val="superscript"/>
        </w:rPr>
        <w:t xml:space="preserve"> </w:t>
      </w:r>
      <w:r w:rsidRPr="00EC250C">
        <w:t>przy Rzeczniku Komisja Ekspertów ds. Osób</w:t>
      </w:r>
      <w:r w:rsidR="00992FD0" w:rsidRPr="00EC250C">
        <w:t xml:space="preserve"> z </w:t>
      </w:r>
      <w:r w:rsidRPr="00EC250C">
        <w:t>Niepełnosprawnością, jako społeczne ciało opiniodawczo-doradcze ma więc za zadanie stałe monitorowanie sytuacji faktycznej</w:t>
      </w:r>
      <w:r w:rsidR="00992FD0" w:rsidRPr="00EC250C">
        <w:t xml:space="preserve"> i </w:t>
      </w:r>
      <w:r w:rsidRPr="00EC250C">
        <w:t>prawnej osób</w:t>
      </w:r>
      <w:r w:rsidR="00992FD0" w:rsidRPr="00EC250C">
        <w:t xml:space="preserve"> z </w:t>
      </w:r>
      <w:r w:rsidRPr="00EC250C">
        <w:t>niepełnosprawnościami,</w:t>
      </w:r>
      <w:r w:rsidR="00992FD0" w:rsidRPr="00EC250C">
        <w:t xml:space="preserve"> a </w:t>
      </w:r>
      <w:r w:rsidRPr="00EC250C">
        <w:t>także włączanie ich</w:t>
      </w:r>
      <w:r w:rsidR="00992FD0" w:rsidRPr="00EC250C">
        <w:t xml:space="preserve"> w </w:t>
      </w:r>
      <w:r w:rsidRPr="00EC250C">
        <w:t>proces podejmowania decyzji dotyczących rekomendowanych rozwiązań</w:t>
      </w:r>
      <w:r w:rsidR="00992FD0" w:rsidRPr="00EC250C">
        <w:t xml:space="preserve"> w </w:t>
      </w:r>
      <w:r w:rsidRPr="00EC250C">
        <w:t>obszarze ochrony praw osób</w:t>
      </w:r>
      <w:r w:rsidR="00992FD0" w:rsidRPr="00EC250C">
        <w:t xml:space="preserve"> z </w:t>
      </w:r>
      <w:r w:rsidRPr="00EC250C">
        <w:t>niepełnosprawnościami.</w:t>
      </w:r>
    </w:p>
    <w:p w14:paraId="2CB89845" w14:textId="77777777" w:rsidR="00C73FDE" w:rsidRPr="00EC250C" w:rsidRDefault="00C73FDE" w:rsidP="00D131FA">
      <w:pPr>
        <w:spacing w:after="200" w:line="24" w:lineRule="auto"/>
        <w:jc w:val="both"/>
        <w:rPr>
          <w:spacing w:val="5"/>
          <w:sz w:val="22"/>
        </w:rPr>
      </w:pPr>
      <w:r w:rsidRPr="00EC250C">
        <w:rPr>
          <w:sz w:val="24"/>
        </w:rPr>
        <w:br w:type="page"/>
      </w:r>
    </w:p>
    <w:p w14:paraId="40B65905" w14:textId="77777777" w:rsidR="00192982" w:rsidRPr="00EC250C" w:rsidRDefault="00192982" w:rsidP="00D131FA">
      <w:pPr>
        <w:pStyle w:val="Srdtytul6"/>
        <w:jc w:val="both"/>
      </w:pPr>
      <w:r w:rsidRPr="00EC250C">
        <w:lastRenderedPageBreak/>
        <w:t>Skład Komisji Ekspertów ds. Osób</w:t>
      </w:r>
      <w:r w:rsidR="00992FD0" w:rsidRPr="00EC250C">
        <w:t xml:space="preserve"> z </w:t>
      </w:r>
      <w:r w:rsidRPr="00EC250C">
        <w:t>Niepełnosprawnością</w:t>
      </w:r>
    </w:p>
    <w:p w14:paraId="2E81F95F" w14:textId="77777777" w:rsidR="00C73FDE" w:rsidRPr="00EC250C" w:rsidRDefault="00C73FDE" w:rsidP="006C70B7">
      <w:pPr>
        <w:pStyle w:val="Styl1"/>
        <w:numPr>
          <w:ilvl w:val="0"/>
          <w:numId w:val="13"/>
        </w:numPr>
        <w:sectPr w:rsidR="00C73FDE" w:rsidRPr="00EC250C" w:rsidSect="00FC47F2">
          <w:type w:val="continuous"/>
          <w:pgSz w:w="11907" w:h="16840"/>
          <w:pgMar w:top="1418" w:right="1418" w:bottom="1418" w:left="1276" w:header="567" w:footer="567" w:gutter="0"/>
          <w:cols w:space="708"/>
          <w:titlePg/>
          <w:docGrid w:linePitch="354"/>
        </w:sectPr>
      </w:pPr>
    </w:p>
    <w:p w14:paraId="4B488236" w14:textId="77777777" w:rsidR="00192982" w:rsidRPr="00EC250C" w:rsidRDefault="00192982" w:rsidP="00EC250C">
      <w:pPr>
        <w:pStyle w:val="Styl1"/>
        <w:numPr>
          <w:ilvl w:val="0"/>
          <w:numId w:val="13"/>
        </w:numPr>
        <w:jc w:val="left"/>
      </w:pPr>
      <w:r w:rsidRPr="00EC250C">
        <w:t>Monika Zima-Parjaszewska – współprzewodnicząca</w:t>
      </w:r>
    </w:p>
    <w:p w14:paraId="37B81D25" w14:textId="77777777" w:rsidR="00192982" w:rsidRPr="00EC250C" w:rsidRDefault="00192982" w:rsidP="00EC250C">
      <w:pPr>
        <w:pStyle w:val="Styl1"/>
        <w:numPr>
          <w:ilvl w:val="0"/>
          <w:numId w:val="13"/>
        </w:numPr>
        <w:jc w:val="left"/>
      </w:pPr>
      <w:r w:rsidRPr="00EC250C">
        <w:t>Anna Błaszczak-Banasiak – współprzewodnicząca</w:t>
      </w:r>
    </w:p>
    <w:p w14:paraId="2D42F1E1" w14:textId="77777777" w:rsidR="00192982" w:rsidRPr="00EC250C" w:rsidRDefault="00192982" w:rsidP="006C70B7">
      <w:pPr>
        <w:pStyle w:val="Styl1"/>
        <w:numPr>
          <w:ilvl w:val="0"/>
          <w:numId w:val="13"/>
        </w:numPr>
      </w:pPr>
      <w:r w:rsidRPr="00EC250C">
        <w:t>Krzysztof Kurowski – sekretarz</w:t>
      </w:r>
    </w:p>
    <w:p w14:paraId="7C460B9E" w14:textId="77777777" w:rsidR="00C91F6E" w:rsidRPr="00EC250C" w:rsidRDefault="00192982" w:rsidP="006C70B7">
      <w:pPr>
        <w:pStyle w:val="Styl1"/>
        <w:numPr>
          <w:ilvl w:val="0"/>
          <w:numId w:val="13"/>
        </w:numPr>
      </w:pPr>
      <w:r w:rsidRPr="00EC250C">
        <w:t>Barbara Abramowska</w:t>
      </w:r>
    </w:p>
    <w:p w14:paraId="2638A629" w14:textId="77777777" w:rsidR="00C91F6E" w:rsidRPr="00EC250C" w:rsidRDefault="00192982" w:rsidP="006C70B7">
      <w:pPr>
        <w:pStyle w:val="Styl1"/>
        <w:numPr>
          <w:ilvl w:val="0"/>
          <w:numId w:val="13"/>
        </w:numPr>
      </w:pPr>
      <w:r w:rsidRPr="00EC250C">
        <w:t>Sławomir Besowski</w:t>
      </w:r>
    </w:p>
    <w:p w14:paraId="664B2CD0" w14:textId="77777777" w:rsidR="00C91F6E" w:rsidRPr="00EC250C" w:rsidRDefault="00192982" w:rsidP="006C70B7">
      <w:pPr>
        <w:pStyle w:val="Styl1"/>
        <w:numPr>
          <w:ilvl w:val="0"/>
          <w:numId w:val="13"/>
        </w:numPr>
      </w:pPr>
      <w:r w:rsidRPr="00EC250C">
        <w:t>Dominika Buchalska</w:t>
      </w:r>
    </w:p>
    <w:p w14:paraId="6D03110F" w14:textId="77777777" w:rsidR="00C91F6E" w:rsidRPr="00EC250C" w:rsidRDefault="00192982" w:rsidP="006C70B7">
      <w:pPr>
        <w:pStyle w:val="Styl1"/>
        <w:numPr>
          <w:ilvl w:val="0"/>
          <w:numId w:val="13"/>
        </w:numPr>
      </w:pPr>
      <w:r w:rsidRPr="00EC250C">
        <w:t>Kinga Dękierowska</w:t>
      </w:r>
    </w:p>
    <w:p w14:paraId="29B26310" w14:textId="77777777" w:rsidR="00C91F6E" w:rsidRPr="00EC250C" w:rsidRDefault="00192982" w:rsidP="006C70B7">
      <w:pPr>
        <w:pStyle w:val="Styl1"/>
        <w:numPr>
          <w:ilvl w:val="0"/>
          <w:numId w:val="13"/>
        </w:numPr>
      </w:pPr>
      <w:r w:rsidRPr="00EC250C">
        <w:t>Agata Gawska</w:t>
      </w:r>
    </w:p>
    <w:p w14:paraId="3B8F24F8" w14:textId="77777777" w:rsidR="00C91F6E" w:rsidRPr="00EC250C" w:rsidRDefault="00192982" w:rsidP="006C70B7">
      <w:pPr>
        <w:pStyle w:val="Styl1"/>
        <w:numPr>
          <w:ilvl w:val="0"/>
          <w:numId w:val="13"/>
        </w:numPr>
      </w:pPr>
      <w:r w:rsidRPr="00EC250C">
        <w:t>Barbara Imiołczyk</w:t>
      </w:r>
    </w:p>
    <w:p w14:paraId="7D8A14DB" w14:textId="77777777" w:rsidR="00C91F6E" w:rsidRPr="00EC250C" w:rsidRDefault="00192982" w:rsidP="006C70B7">
      <w:pPr>
        <w:pStyle w:val="Styl1"/>
        <w:numPr>
          <w:ilvl w:val="0"/>
          <w:numId w:val="13"/>
        </w:numPr>
      </w:pPr>
      <w:r w:rsidRPr="00EC250C">
        <w:t>Piotr Kowalski</w:t>
      </w:r>
    </w:p>
    <w:p w14:paraId="354F22CD" w14:textId="77777777" w:rsidR="00C91F6E" w:rsidRPr="00EC250C" w:rsidRDefault="00192982" w:rsidP="006C70B7">
      <w:pPr>
        <w:pStyle w:val="Styl1"/>
        <w:numPr>
          <w:ilvl w:val="0"/>
          <w:numId w:val="13"/>
        </w:numPr>
      </w:pPr>
      <w:r w:rsidRPr="00EC250C">
        <w:t>Grzegorz Kozłowski</w:t>
      </w:r>
    </w:p>
    <w:p w14:paraId="37F6D516" w14:textId="77777777" w:rsidR="00C91F6E" w:rsidRPr="00EC250C" w:rsidRDefault="00192982" w:rsidP="006C70B7">
      <w:pPr>
        <w:pStyle w:val="Styl1"/>
        <w:numPr>
          <w:ilvl w:val="0"/>
          <w:numId w:val="13"/>
        </w:numPr>
      </w:pPr>
      <w:r w:rsidRPr="00EC250C">
        <w:t>Paweł Kubicki</w:t>
      </w:r>
    </w:p>
    <w:p w14:paraId="135972D4" w14:textId="77777777" w:rsidR="00C91F6E" w:rsidRPr="00EC250C" w:rsidRDefault="00192982" w:rsidP="006C70B7">
      <w:pPr>
        <w:pStyle w:val="Styl1"/>
        <w:numPr>
          <w:ilvl w:val="0"/>
          <w:numId w:val="13"/>
        </w:numPr>
      </w:pPr>
      <w:r w:rsidRPr="00EC250C">
        <w:t>Dagmara Nowak-Adamczyk</w:t>
      </w:r>
    </w:p>
    <w:p w14:paraId="6996ED94" w14:textId="77777777" w:rsidR="00C91F6E" w:rsidRPr="00EC250C" w:rsidRDefault="00192982" w:rsidP="006C70B7">
      <w:pPr>
        <w:pStyle w:val="Styl1"/>
        <w:numPr>
          <w:ilvl w:val="0"/>
          <w:numId w:val="13"/>
        </w:numPr>
      </w:pPr>
      <w:r w:rsidRPr="00EC250C">
        <w:t>Małgorzata Radziszewska</w:t>
      </w:r>
    </w:p>
    <w:p w14:paraId="5E253A4E" w14:textId="77777777" w:rsidR="00C91F6E" w:rsidRPr="00EC250C" w:rsidRDefault="00192982" w:rsidP="006C70B7">
      <w:pPr>
        <w:pStyle w:val="Styl1"/>
        <w:numPr>
          <w:ilvl w:val="0"/>
          <w:numId w:val="13"/>
        </w:numPr>
      </w:pPr>
      <w:r w:rsidRPr="00EC250C">
        <w:t>Anna Rdest</w:t>
      </w:r>
    </w:p>
    <w:p w14:paraId="553A9F9F" w14:textId="77777777" w:rsidR="00C91F6E" w:rsidRPr="00EC250C" w:rsidRDefault="00192982" w:rsidP="006C70B7">
      <w:pPr>
        <w:pStyle w:val="Styl1"/>
        <w:numPr>
          <w:ilvl w:val="0"/>
          <w:numId w:val="13"/>
        </w:numPr>
      </w:pPr>
      <w:r w:rsidRPr="00EC250C">
        <w:t>Katarzyna Roszewska</w:t>
      </w:r>
    </w:p>
    <w:p w14:paraId="450A7612" w14:textId="77777777" w:rsidR="00C91F6E" w:rsidRPr="00EC250C" w:rsidRDefault="00192982" w:rsidP="006C70B7">
      <w:pPr>
        <w:pStyle w:val="Styl1"/>
        <w:numPr>
          <w:ilvl w:val="0"/>
          <w:numId w:val="13"/>
        </w:numPr>
      </w:pPr>
      <w:r w:rsidRPr="00EC250C">
        <w:t>Anna Rutz</w:t>
      </w:r>
    </w:p>
    <w:p w14:paraId="3D606C2D" w14:textId="77777777" w:rsidR="00C91F6E" w:rsidRPr="00EC250C" w:rsidRDefault="00192982" w:rsidP="006C70B7">
      <w:pPr>
        <w:pStyle w:val="Styl1"/>
        <w:numPr>
          <w:ilvl w:val="0"/>
          <w:numId w:val="13"/>
        </w:numPr>
      </w:pPr>
      <w:r w:rsidRPr="00EC250C">
        <w:t>Dorota Siwiec</w:t>
      </w:r>
    </w:p>
    <w:p w14:paraId="3722D9CF" w14:textId="77777777" w:rsidR="00C91F6E" w:rsidRPr="00EC250C" w:rsidRDefault="00192982" w:rsidP="006C70B7">
      <w:pPr>
        <w:pStyle w:val="Styl1"/>
        <w:numPr>
          <w:ilvl w:val="0"/>
          <w:numId w:val="13"/>
        </w:numPr>
      </w:pPr>
      <w:r w:rsidRPr="00EC250C">
        <w:t>Scholastyka Śniegowska</w:t>
      </w:r>
    </w:p>
    <w:p w14:paraId="4F0A9D69" w14:textId="77777777" w:rsidR="00C91F6E" w:rsidRPr="00EC250C" w:rsidRDefault="00192982" w:rsidP="006C70B7">
      <w:pPr>
        <w:pStyle w:val="Styl1"/>
        <w:numPr>
          <w:ilvl w:val="0"/>
          <w:numId w:val="13"/>
        </w:numPr>
      </w:pPr>
      <w:r w:rsidRPr="00EC250C">
        <w:t>Aleksander Waszkielewicz</w:t>
      </w:r>
    </w:p>
    <w:p w14:paraId="65459C5C" w14:textId="77777777" w:rsidR="00C91F6E" w:rsidRPr="00EC250C" w:rsidRDefault="00192982" w:rsidP="006C70B7">
      <w:pPr>
        <w:pStyle w:val="Styl1"/>
        <w:numPr>
          <w:ilvl w:val="0"/>
          <w:numId w:val="13"/>
        </w:numPr>
      </w:pPr>
      <w:r w:rsidRPr="00EC250C">
        <w:t>Paweł Wdówik</w:t>
      </w:r>
    </w:p>
    <w:p w14:paraId="3A8C5FBF" w14:textId="77777777" w:rsidR="00C91F6E" w:rsidRPr="00EC250C" w:rsidRDefault="00192982" w:rsidP="006C70B7">
      <w:pPr>
        <w:pStyle w:val="Styl1"/>
        <w:numPr>
          <w:ilvl w:val="0"/>
          <w:numId w:val="13"/>
        </w:numPr>
      </w:pPr>
      <w:r w:rsidRPr="00EC250C">
        <w:t>Marek Wysocki</w:t>
      </w:r>
    </w:p>
    <w:p w14:paraId="3641F290" w14:textId="77777777" w:rsidR="00C91F6E" w:rsidRPr="00EC250C" w:rsidRDefault="00192982" w:rsidP="006C70B7">
      <w:pPr>
        <w:pStyle w:val="Styl1"/>
        <w:numPr>
          <w:ilvl w:val="0"/>
          <w:numId w:val="13"/>
        </w:numPr>
      </w:pPr>
      <w:r w:rsidRPr="00EC250C">
        <w:t>Jacek Zadrożny</w:t>
      </w:r>
    </w:p>
    <w:p w14:paraId="1B033F6E" w14:textId="77777777" w:rsidR="00C91F6E" w:rsidRPr="00EC250C" w:rsidRDefault="00192982" w:rsidP="006C70B7">
      <w:pPr>
        <w:pStyle w:val="Styl1"/>
        <w:numPr>
          <w:ilvl w:val="0"/>
          <w:numId w:val="13"/>
        </w:numPr>
      </w:pPr>
      <w:r w:rsidRPr="00EC250C">
        <w:t>Adam Zawisny</w:t>
      </w:r>
    </w:p>
    <w:p w14:paraId="66A50C84" w14:textId="77777777" w:rsidR="00192982" w:rsidRPr="00EC250C" w:rsidRDefault="00192982" w:rsidP="006C70B7">
      <w:pPr>
        <w:pStyle w:val="Styl1"/>
        <w:numPr>
          <w:ilvl w:val="0"/>
          <w:numId w:val="13"/>
        </w:numPr>
      </w:pPr>
      <w:r w:rsidRPr="00EC250C">
        <w:t>Jarosław Zbieranek</w:t>
      </w:r>
    </w:p>
    <w:p w14:paraId="64DE0E93" w14:textId="77777777" w:rsidR="00C73FDE" w:rsidRPr="00EC250C" w:rsidRDefault="00C73FDE" w:rsidP="00D131FA">
      <w:pPr>
        <w:pStyle w:val="Srdtytul6"/>
        <w:jc w:val="both"/>
        <w:sectPr w:rsidR="00C73FDE" w:rsidRPr="00EC250C" w:rsidSect="00FC47F2">
          <w:type w:val="continuous"/>
          <w:pgSz w:w="11907" w:h="16840"/>
          <w:pgMar w:top="1418" w:right="1418" w:bottom="1418" w:left="1276" w:header="567" w:footer="567" w:gutter="0"/>
          <w:cols w:num="2" w:space="708"/>
          <w:titlePg/>
          <w:docGrid w:linePitch="354"/>
        </w:sectPr>
      </w:pPr>
    </w:p>
    <w:p w14:paraId="35E20973" w14:textId="77777777" w:rsidR="00192982" w:rsidRPr="00EC250C" w:rsidRDefault="00192982" w:rsidP="00D131FA">
      <w:pPr>
        <w:pStyle w:val="Srdtytul6"/>
        <w:jc w:val="both"/>
      </w:pPr>
      <w:r w:rsidRPr="00EC250C">
        <w:t>Działania Komisji</w:t>
      </w:r>
    </w:p>
    <w:p w14:paraId="3B9157C5" w14:textId="77777777" w:rsidR="00192982" w:rsidRPr="00EC250C" w:rsidRDefault="00192982" w:rsidP="00D131FA">
      <w:pPr>
        <w:pStyle w:val="Styl1"/>
      </w:pPr>
      <w:r w:rsidRPr="00EC250C">
        <w:t>W roku 2018 Komisja kontynuowała działania związane</w:t>
      </w:r>
      <w:r w:rsidR="00992FD0" w:rsidRPr="00EC250C">
        <w:t xml:space="preserve"> z </w:t>
      </w:r>
      <w:r w:rsidRPr="00EC250C">
        <w:t>monitorowaniem wdrażania Konwencji</w:t>
      </w:r>
      <w:r w:rsidR="00992FD0" w:rsidRPr="00EC250C">
        <w:t xml:space="preserve"> o </w:t>
      </w:r>
      <w:r w:rsidRPr="00EC250C">
        <w:t>prawach osób</w:t>
      </w:r>
      <w:r w:rsidR="00992FD0" w:rsidRPr="00EC250C">
        <w:t xml:space="preserve"> z </w:t>
      </w:r>
      <w:r w:rsidRPr="00EC250C">
        <w:t>niepełnosprawn</w:t>
      </w:r>
      <w:r w:rsidR="001D1FAA" w:rsidRPr="00EC250C">
        <w:t>ościami</w:t>
      </w:r>
      <w:r w:rsidRPr="00EC250C">
        <w:t>, koncentrując się na takich obszarach jak: dostępność, reforma systemu orzekania</w:t>
      </w:r>
      <w:r w:rsidR="00992FD0" w:rsidRPr="00EC250C">
        <w:t xml:space="preserve"> o </w:t>
      </w:r>
      <w:r w:rsidRPr="00EC250C">
        <w:t>niepełnosprawności, deinstytucjonalizacja opieki nad osobami</w:t>
      </w:r>
      <w:r w:rsidR="00992FD0" w:rsidRPr="00EC250C">
        <w:t xml:space="preserve"> z </w:t>
      </w:r>
      <w:r w:rsidRPr="00EC250C">
        <w:t>niepełnosprawnościami</w:t>
      </w:r>
      <w:r w:rsidR="00992FD0" w:rsidRPr="00EC250C">
        <w:t xml:space="preserve"> i </w:t>
      </w:r>
      <w:r w:rsidRPr="00EC250C">
        <w:t>prawo do niezależnego życia oraz włączenia</w:t>
      </w:r>
      <w:r w:rsidR="00992FD0" w:rsidRPr="00EC250C">
        <w:t xml:space="preserve"> w </w:t>
      </w:r>
      <w:r w:rsidRPr="00EC250C">
        <w:t>społeczeństwo. Jednak podstawowa aktywność Komisji skupiła się wokół przypadającego na wrzesień 2018</w:t>
      </w:r>
      <w:r w:rsidR="00C91F6E" w:rsidRPr="00EC250C">
        <w:t> r.</w:t>
      </w:r>
      <w:r w:rsidRPr="00EC250C">
        <w:t xml:space="preserve"> posiedzenia Komitetu ONZ ds. Praw Osób</w:t>
      </w:r>
      <w:r w:rsidR="00992FD0" w:rsidRPr="00EC250C">
        <w:t xml:space="preserve"> z </w:t>
      </w:r>
      <w:r w:rsidRPr="00EC250C">
        <w:t>Niepełnosprawnościami rozpatrującego pierwsze sprawozdanie Polski</w:t>
      </w:r>
      <w:r w:rsidR="00992FD0" w:rsidRPr="00EC250C">
        <w:t xml:space="preserve"> z </w:t>
      </w:r>
      <w:r w:rsidRPr="00EC250C">
        <w:t>realizacji postanowień Konwencji.</w:t>
      </w:r>
    </w:p>
    <w:p w14:paraId="51E0F5FC" w14:textId="77777777" w:rsidR="00192982" w:rsidRPr="00EC250C" w:rsidRDefault="00192982" w:rsidP="00D131FA">
      <w:pPr>
        <w:pStyle w:val="Styl1"/>
        <w:rPr>
          <w:bCs/>
          <w:iCs/>
        </w:rPr>
      </w:pPr>
      <w:r w:rsidRPr="00EC250C">
        <w:rPr>
          <w:bCs/>
          <w:iCs/>
        </w:rPr>
        <w:t>Podczas pierwszego posiedzenia 13 lutego 2018</w:t>
      </w:r>
      <w:r w:rsidR="00C91F6E" w:rsidRPr="00EC250C">
        <w:rPr>
          <w:bCs/>
          <w:iCs/>
        </w:rPr>
        <w:t> r.</w:t>
      </w:r>
      <w:r w:rsidRPr="00EC250C">
        <w:rPr>
          <w:bCs/>
          <w:iCs/>
        </w:rPr>
        <w:t xml:space="preserve"> członkowie Komisji </w:t>
      </w:r>
      <w:r w:rsidR="001D1FAA" w:rsidRPr="00EC250C">
        <w:rPr>
          <w:bCs/>
          <w:iCs/>
        </w:rPr>
        <w:t>za</w:t>
      </w:r>
      <w:r w:rsidRPr="00EC250C">
        <w:rPr>
          <w:bCs/>
          <w:iCs/>
        </w:rPr>
        <w:t>analiz</w:t>
      </w:r>
      <w:r w:rsidR="001D1FAA" w:rsidRPr="00EC250C">
        <w:rPr>
          <w:bCs/>
          <w:iCs/>
        </w:rPr>
        <w:t>owali</w:t>
      </w:r>
      <w:r w:rsidRPr="00EC250C">
        <w:rPr>
          <w:bCs/>
          <w:iCs/>
        </w:rPr>
        <w:t xml:space="preserve"> projekt „Nowego Systemu Wsparcia Osób</w:t>
      </w:r>
      <w:r w:rsidR="00992FD0" w:rsidRPr="00EC250C">
        <w:rPr>
          <w:bCs/>
          <w:iCs/>
        </w:rPr>
        <w:t xml:space="preserve"> z </w:t>
      </w:r>
      <w:r w:rsidRPr="00EC250C">
        <w:rPr>
          <w:bCs/>
          <w:iCs/>
        </w:rPr>
        <w:t>Niepełnosprawnościami” opracowany przez uczestników Kongresu Osób</w:t>
      </w:r>
      <w:r w:rsidR="00992FD0" w:rsidRPr="00EC250C">
        <w:rPr>
          <w:bCs/>
          <w:iCs/>
        </w:rPr>
        <w:t xml:space="preserve"> z </w:t>
      </w:r>
      <w:r w:rsidRPr="00EC250C">
        <w:rPr>
          <w:bCs/>
          <w:iCs/>
        </w:rPr>
        <w:t>Niepełnosprawnościami</w:t>
      </w:r>
      <w:r w:rsidR="00992FD0" w:rsidRPr="00EC250C">
        <w:rPr>
          <w:bCs/>
          <w:iCs/>
        </w:rPr>
        <w:t xml:space="preserve"> w </w:t>
      </w:r>
      <w:r w:rsidRPr="00EC250C">
        <w:rPr>
          <w:bCs/>
          <w:iCs/>
        </w:rPr>
        <w:t>2017</w:t>
      </w:r>
      <w:r w:rsidR="00C91F6E" w:rsidRPr="00EC250C">
        <w:rPr>
          <w:bCs/>
          <w:iCs/>
        </w:rPr>
        <w:t> r.</w:t>
      </w:r>
      <w:r w:rsidRPr="00EC250C">
        <w:rPr>
          <w:bCs/>
          <w:iCs/>
        </w:rPr>
        <w:t xml:space="preserve"> oraz omówili możliwości wdrożenia poszczególnych jego elementów. </w:t>
      </w:r>
      <w:r w:rsidR="001D1FAA" w:rsidRPr="00EC250C">
        <w:rPr>
          <w:bCs/>
          <w:iCs/>
        </w:rPr>
        <w:t>Rozmawiali też</w:t>
      </w:r>
      <w:r w:rsidR="00992FD0" w:rsidRPr="00EC250C">
        <w:rPr>
          <w:bCs/>
          <w:iCs/>
        </w:rPr>
        <w:t xml:space="preserve"> o </w:t>
      </w:r>
      <w:r w:rsidRPr="00EC250C">
        <w:rPr>
          <w:bCs/>
          <w:iCs/>
        </w:rPr>
        <w:t>prakty</w:t>
      </w:r>
      <w:r w:rsidR="001D1FAA" w:rsidRPr="00EC250C">
        <w:rPr>
          <w:bCs/>
          <w:iCs/>
        </w:rPr>
        <w:t>ce</w:t>
      </w:r>
      <w:r w:rsidRPr="00EC250C">
        <w:rPr>
          <w:bCs/>
          <w:iCs/>
        </w:rPr>
        <w:t xml:space="preserve"> funkcjonowania rządowego programu „Dostępność Plus”.</w:t>
      </w:r>
    </w:p>
    <w:p w14:paraId="3E49A115" w14:textId="77777777" w:rsidR="00192982" w:rsidRPr="00EC250C" w:rsidRDefault="00192982" w:rsidP="00D131FA">
      <w:pPr>
        <w:pStyle w:val="Styl1"/>
        <w:rPr>
          <w:bCs/>
          <w:iCs/>
        </w:rPr>
      </w:pPr>
      <w:r w:rsidRPr="00EC250C">
        <w:rPr>
          <w:bCs/>
          <w:iCs/>
        </w:rPr>
        <w:t>Drugie posiedzenie</w:t>
      </w:r>
      <w:r w:rsidR="001D1FAA" w:rsidRPr="00EC250C">
        <w:rPr>
          <w:bCs/>
          <w:iCs/>
        </w:rPr>
        <w:t xml:space="preserve">, </w:t>
      </w:r>
      <w:r w:rsidRPr="00EC250C">
        <w:rPr>
          <w:bCs/>
          <w:iCs/>
        </w:rPr>
        <w:t>24 maja 2018</w:t>
      </w:r>
      <w:r w:rsidR="00C91F6E" w:rsidRPr="00EC250C">
        <w:rPr>
          <w:bCs/>
          <w:iCs/>
        </w:rPr>
        <w:t> r.</w:t>
      </w:r>
      <w:r w:rsidR="001D1FAA" w:rsidRPr="00EC250C">
        <w:rPr>
          <w:bCs/>
          <w:iCs/>
        </w:rPr>
        <w:t>,</w:t>
      </w:r>
      <w:r w:rsidRPr="00EC250C">
        <w:rPr>
          <w:bCs/>
          <w:iCs/>
        </w:rPr>
        <w:t xml:space="preserve"> poświęcone było</w:t>
      </w:r>
      <w:r w:rsidR="00992FD0" w:rsidRPr="00EC250C">
        <w:rPr>
          <w:bCs/>
          <w:iCs/>
        </w:rPr>
        <w:t xml:space="preserve"> w </w:t>
      </w:r>
      <w:r w:rsidRPr="00EC250C">
        <w:rPr>
          <w:bCs/>
          <w:iCs/>
        </w:rPr>
        <w:t>całości trwającemu wówczas</w:t>
      </w:r>
      <w:r w:rsidR="00992FD0" w:rsidRPr="00EC250C">
        <w:rPr>
          <w:bCs/>
          <w:iCs/>
        </w:rPr>
        <w:t xml:space="preserve"> w </w:t>
      </w:r>
      <w:r w:rsidRPr="00EC250C">
        <w:rPr>
          <w:bCs/>
          <w:iCs/>
        </w:rPr>
        <w:t>Sejmie protestowi osób</w:t>
      </w:r>
      <w:r w:rsidR="00992FD0" w:rsidRPr="00EC250C">
        <w:rPr>
          <w:bCs/>
          <w:iCs/>
        </w:rPr>
        <w:t xml:space="preserve"> z </w:t>
      </w:r>
      <w:r w:rsidRPr="00EC250C">
        <w:rPr>
          <w:bCs/>
          <w:iCs/>
        </w:rPr>
        <w:t>niepełnosprawnościami</w:t>
      </w:r>
      <w:r w:rsidR="00992FD0" w:rsidRPr="00EC250C">
        <w:rPr>
          <w:bCs/>
          <w:iCs/>
        </w:rPr>
        <w:t xml:space="preserve"> i </w:t>
      </w:r>
      <w:r w:rsidRPr="00EC250C">
        <w:rPr>
          <w:bCs/>
          <w:iCs/>
        </w:rPr>
        <w:t>ich rodzin. Członkowie Komisji omówili postulaty protestujących,</w:t>
      </w:r>
      <w:r w:rsidR="00992FD0" w:rsidRPr="00EC250C">
        <w:rPr>
          <w:bCs/>
          <w:iCs/>
        </w:rPr>
        <w:t xml:space="preserve"> a </w:t>
      </w:r>
      <w:r w:rsidRPr="00EC250C">
        <w:rPr>
          <w:bCs/>
          <w:iCs/>
        </w:rPr>
        <w:t>także ocenili propozycje rządu przedstawioną protestującym 15</w:t>
      </w:r>
      <w:r w:rsidR="001D1FAA" w:rsidRPr="00EC250C">
        <w:rPr>
          <w:bCs/>
          <w:iCs/>
        </w:rPr>
        <w:t> </w:t>
      </w:r>
      <w:r w:rsidRPr="00EC250C">
        <w:rPr>
          <w:bCs/>
          <w:iCs/>
        </w:rPr>
        <w:t>maja 2018</w:t>
      </w:r>
      <w:r w:rsidR="00C91F6E" w:rsidRPr="00EC250C">
        <w:rPr>
          <w:bCs/>
          <w:iCs/>
        </w:rPr>
        <w:t> r.</w:t>
      </w:r>
      <w:r w:rsidRPr="00EC250C">
        <w:rPr>
          <w:bCs/>
          <w:iCs/>
        </w:rPr>
        <w:t xml:space="preserve"> Komisja częściowo negatywnie zaopiniowała proponowane przez rząd rozwiązania oraz przekazała Rzecznikowi rekomendacje dalszych działań.</w:t>
      </w:r>
    </w:p>
    <w:p w14:paraId="29B588FC" w14:textId="77777777" w:rsidR="00192982" w:rsidRPr="00EC250C" w:rsidRDefault="00192982" w:rsidP="00D131FA">
      <w:pPr>
        <w:pStyle w:val="Styl1"/>
        <w:rPr>
          <w:bCs/>
          <w:iCs/>
        </w:rPr>
      </w:pPr>
      <w:r w:rsidRPr="00EC250C">
        <w:rPr>
          <w:bCs/>
          <w:iCs/>
        </w:rPr>
        <w:lastRenderedPageBreak/>
        <w:t>29 listopada 2018</w:t>
      </w:r>
      <w:r w:rsidR="00C91F6E" w:rsidRPr="00EC250C">
        <w:rPr>
          <w:bCs/>
          <w:iCs/>
        </w:rPr>
        <w:t> r.</w:t>
      </w:r>
      <w:r w:rsidRPr="00EC250C">
        <w:rPr>
          <w:bCs/>
          <w:iCs/>
        </w:rPr>
        <w:t xml:space="preserve"> Komisja podsumowa</w:t>
      </w:r>
      <w:r w:rsidR="001D1FAA" w:rsidRPr="00EC250C">
        <w:rPr>
          <w:bCs/>
          <w:iCs/>
        </w:rPr>
        <w:t>ła</w:t>
      </w:r>
      <w:r w:rsidRPr="00EC250C">
        <w:rPr>
          <w:bCs/>
          <w:iCs/>
        </w:rPr>
        <w:t xml:space="preserve"> posiedzeni</w:t>
      </w:r>
      <w:r w:rsidR="001D1FAA" w:rsidRPr="00EC250C">
        <w:rPr>
          <w:bCs/>
          <w:iCs/>
        </w:rPr>
        <w:t>e</w:t>
      </w:r>
      <w:r w:rsidRPr="00EC250C">
        <w:rPr>
          <w:bCs/>
          <w:iCs/>
        </w:rPr>
        <w:t xml:space="preserve"> Komitetu ONZ ds. Praw Osób</w:t>
      </w:r>
      <w:r w:rsidR="00992FD0" w:rsidRPr="00EC250C">
        <w:rPr>
          <w:bCs/>
          <w:iCs/>
        </w:rPr>
        <w:t xml:space="preserve"> z </w:t>
      </w:r>
      <w:r w:rsidRPr="00EC250C">
        <w:rPr>
          <w:bCs/>
          <w:iCs/>
        </w:rPr>
        <w:t>Niepełnosprawnościami, który ocenił postępy Polski</w:t>
      </w:r>
      <w:r w:rsidR="00992FD0" w:rsidRPr="00EC250C">
        <w:rPr>
          <w:bCs/>
          <w:iCs/>
        </w:rPr>
        <w:t xml:space="preserve"> w </w:t>
      </w:r>
      <w:r w:rsidRPr="00EC250C">
        <w:rPr>
          <w:bCs/>
          <w:iCs/>
        </w:rPr>
        <w:t>zakresie wdrażania postanowień Konwencji</w:t>
      </w:r>
      <w:r w:rsidRPr="00EC250C">
        <w:rPr>
          <w:bCs/>
          <w:iCs/>
          <w:vertAlign w:val="superscript"/>
        </w:rPr>
        <w:footnoteReference w:id="853"/>
      </w:r>
      <w:r w:rsidRPr="00EC250C">
        <w:rPr>
          <w:bCs/>
          <w:iCs/>
        </w:rPr>
        <w:t>. Członkowie Komisji poddali analizie rekomendacje Komitetu</w:t>
      </w:r>
      <w:r w:rsidR="00992FD0" w:rsidRPr="00EC250C">
        <w:rPr>
          <w:bCs/>
          <w:iCs/>
        </w:rPr>
        <w:t xml:space="preserve"> i </w:t>
      </w:r>
      <w:r w:rsidRPr="00EC250C">
        <w:rPr>
          <w:bCs/>
          <w:iCs/>
        </w:rPr>
        <w:t>wskazali priorytetowe</w:t>
      </w:r>
      <w:r w:rsidR="00992FD0" w:rsidRPr="00EC250C">
        <w:rPr>
          <w:bCs/>
          <w:iCs/>
        </w:rPr>
        <w:t xml:space="preserve"> w </w:t>
      </w:r>
      <w:r w:rsidRPr="00EC250C">
        <w:rPr>
          <w:bCs/>
          <w:iCs/>
        </w:rPr>
        <w:t>ich ocenie działania, wymagające natychmiastowej realizacji. Jednocześnie Komisja omówiła Komentarz ogólny Komitetu do art. 4 ust. 3 oraz 33 Konwencji, który stanowi kompleksową interpretację zobowiązań</w:t>
      </w:r>
      <w:r w:rsidR="00992FD0" w:rsidRPr="00EC250C">
        <w:rPr>
          <w:bCs/>
          <w:iCs/>
        </w:rPr>
        <w:t xml:space="preserve"> w </w:t>
      </w:r>
      <w:r w:rsidRPr="00EC250C">
        <w:rPr>
          <w:bCs/>
          <w:iCs/>
        </w:rPr>
        <w:t>obszarze zasad reprezentacji środowiska osób</w:t>
      </w:r>
      <w:r w:rsidR="00992FD0" w:rsidRPr="00EC250C">
        <w:rPr>
          <w:bCs/>
          <w:iCs/>
        </w:rPr>
        <w:t xml:space="preserve"> z </w:t>
      </w:r>
      <w:r w:rsidRPr="00EC250C">
        <w:rPr>
          <w:bCs/>
          <w:iCs/>
        </w:rPr>
        <w:t>niepełnosprawnościami oraz prowadzenia konsultacji. W ocenie Komisji zobowiązania</w:t>
      </w:r>
      <w:r w:rsidR="00992FD0" w:rsidRPr="00EC250C">
        <w:rPr>
          <w:bCs/>
          <w:iCs/>
        </w:rPr>
        <w:t xml:space="preserve"> w </w:t>
      </w:r>
      <w:r w:rsidRPr="00EC250C">
        <w:rPr>
          <w:bCs/>
          <w:iCs/>
        </w:rPr>
        <w:t>tym zakresie nie są realizowane, czego jaskrawym przykładem jest m.in. sposób prac nad rządową strategią na rzecz osób niepełnosprawnych,</w:t>
      </w:r>
      <w:r w:rsidR="00992FD0" w:rsidRPr="00EC250C">
        <w:rPr>
          <w:bCs/>
          <w:iCs/>
        </w:rPr>
        <w:t xml:space="preserve"> w </w:t>
      </w:r>
      <w:r w:rsidRPr="00EC250C">
        <w:rPr>
          <w:bCs/>
          <w:iCs/>
        </w:rPr>
        <w:t>trakcie których niemal całkowicie pominięto głos środowiska osób</w:t>
      </w:r>
      <w:r w:rsidR="00992FD0" w:rsidRPr="00EC250C">
        <w:rPr>
          <w:bCs/>
          <w:iCs/>
        </w:rPr>
        <w:t xml:space="preserve"> z </w:t>
      </w:r>
      <w:r w:rsidRPr="00EC250C">
        <w:rPr>
          <w:bCs/>
          <w:iCs/>
        </w:rPr>
        <w:t>niepełnosprawnościami.</w:t>
      </w:r>
    </w:p>
    <w:p w14:paraId="3454E3AB" w14:textId="77777777" w:rsidR="00192982" w:rsidRPr="00EC250C" w:rsidRDefault="00192982" w:rsidP="00D131FA">
      <w:pPr>
        <w:pStyle w:val="Srdtytul6"/>
        <w:jc w:val="both"/>
      </w:pPr>
      <w:r w:rsidRPr="00EC250C">
        <w:t>Efekty podjętych działań</w:t>
      </w:r>
    </w:p>
    <w:p w14:paraId="37AEF2D6" w14:textId="77777777" w:rsidR="00C91F6E" w:rsidRPr="00EC250C" w:rsidRDefault="001D1FAA" w:rsidP="00D131FA">
      <w:pPr>
        <w:pStyle w:val="Styl1"/>
        <w:rPr>
          <w:bCs/>
          <w:iCs/>
        </w:rPr>
      </w:pPr>
      <w:r w:rsidRPr="00EC250C">
        <w:rPr>
          <w:bCs/>
          <w:iCs/>
        </w:rPr>
        <w:t xml:space="preserve">Dzięki </w:t>
      </w:r>
      <w:r w:rsidR="00192982" w:rsidRPr="00EC250C">
        <w:rPr>
          <w:bCs/>
          <w:iCs/>
        </w:rPr>
        <w:t xml:space="preserve">Komisji Rzecznik Praw Obywatelskich przygotował obszerny raport stanowiący odpowiedź na pytania (tzw. </w:t>
      </w:r>
      <w:r w:rsidR="00192982" w:rsidRPr="00EC250C">
        <w:rPr>
          <w:bCs/>
          <w:i/>
          <w:iCs/>
        </w:rPr>
        <w:t>list of issues</w:t>
      </w:r>
      <w:r w:rsidR="00192982" w:rsidRPr="00EC250C">
        <w:rPr>
          <w:bCs/>
          <w:iCs/>
        </w:rPr>
        <w:t>)</w:t>
      </w:r>
      <w:r w:rsidR="00192982" w:rsidRPr="00EC250C">
        <w:rPr>
          <w:bCs/>
          <w:iCs/>
          <w:vertAlign w:val="superscript"/>
        </w:rPr>
        <w:footnoteReference w:id="854"/>
      </w:r>
      <w:r w:rsidR="00192982" w:rsidRPr="00EC250C">
        <w:rPr>
          <w:bCs/>
          <w:iCs/>
        </w:rPr>
        <w:t xml:space="preserve"> postawione rządowi polskiemu przez Komitet ONZ ds. Praw Osób</w:t>
      </w:r>
      <w:r w:rsidR="00992FD0" w:rsidRPr="00EC250C">
        <w:rPr>
          <w:bCs/>
          <w:iCs/>
        </w:rPr>
        <w:t xml:space="preserve"> z </w:t>
      </w:r>
      <w:r w:rsidR="00192982" w:rsidRPr="00EC250C">
        <w:rPr>
          <w:bCs/>
          <w:iCs/>
        </w:rPr>
        <w:t>Niepełnosprawnościami. Raport Rzecznika stanowił uzupełnienie tzw. raportu alternatywnego przesłanego do Komitetu</w:t>
      </w:r>
      <w:r w:rsidR="00992FD0" w:rsidRPr="00EC250C">
        <w:rPr>
          <w:bCs/>
          <w:iCs/>
        </w:rPr>
        <w:t xml:space="preserve"> w </w:t>
      </w:r>
      <w:r w:rsidR="00192982" w:rsidRPr="00EC250C">
        <w:rPr>
          <w:bCs/>
          <w:iCs/>
        </w:rPr>
        <w:t>2015</w:t>
      </w:r>
      <w:r w:rsidR="00C91F6E" w:rsidRPr="00EC250C">
        <w:rPr>
          <w:bCs/>
          <w:iCs/>
        </w:rPr>
        <w:t> r.</w:t>
      </w:r>
    </w:p>
    <w:p w14:paraId="4DA6BBCE" w14:textId="77777777" w:rsidR="00192982" w:rsidRPr="00EC250C" w:rsidRDefault="00192982" w:rsidP="00D131FA">
      <w:pPr>
        <w:pStyle w:val="Styl1"/>
        <w:rPr>
          <w:bCs/>
          <w:iCs/>
        </w:rPr>
      </w:pPr>
      <w:r w:rsidRPr="00EC250C">
        <w:rPr>
          <w:bCs/>
          <w:iCs/>
        </w:rPr>
        <w:t>W raporcie Rzecznik odniósł się do najważniejszych kwestii</w:t>
      </w:r>
      <w:r w:rsidR="00992FD0" w:rsidRPr="00EC250C">
        <w:rPr>
          <w:bCs/>
          <w:iCs/>
        </w:rPr>
        <w:t xml:space="preserve"> z </w:t>
      </w:r>
      <w:r w:rsidRPr="00EC250C">
        <w:rPr>
          <w:bCs/>
          <w:iCs/>
        </w:rPr>
        <w:t>zakresu ochrony praw osób</w:t>
      </w:r>
      <w:r w:rsidR="00992FD0" w:rsidRPr="00EC250C">
        <w:rPr>
          <w:bCs/>
          <w:iCs/>
        </w:rPr>
        <w:t xml:space="preserve"> z </w:t>
      </w:r>
      <w:r w:rsidRPr="00EC250C">
        <w:rPr>
          <w:bCs/>
          <w:iCs/>
        </w:rPr>
        <w:t>niepełnosprawnościami tj. m.in.: konieczności opracowania strategii wdrożenia postanowień Konwencji, reformy systemu orzekania</w:t>
      </w:r>
      <w:r w:rsidR="00992FD0" w:rsidRPr="00EC250C">
        <w:rPr>
          <w:bCs/>
          <w:iCs/>
        </w:rPr>
        <w:t xml:space="preserve"> o </w:t>
      </w:r>
      <w:r w:rsidRPr="00EC250C">
        <w:rPr>
          <w:bCs/>
          <w:iCs/>
        </w:rPr>
        <w:t>niepełnosprawności, zniesienia instytucji ubezwłasnowolnienia</w:t>
      </w:r>
      <w:r w:rsidR="00992FD0" w:rsidRPr="00EC250C">
        <w:rPr>
          <w:bCs/>
          <w:iCs/>
        </w:rPr>
        <w:t xml:space="preserve"> i </w:t>
      </w:r>
      <w:r w:rsidRPr="00EC250C">
        <w:rPr>
          <w:bCs/>
          <w:iCs/>
        </w:rPr>
        <w:t>zastąpienia jej systemem wspieranego podejmowania decyzji, deinstytucjonalizacji systemu wsparcia,</w:t>
      </w:r>
      <w:r w:rsidR="00992FD0" w:rsidRPr="00EC250C">
        <w:rPr>
          <w:bCs/>
          <w:iCs/>
        </w:rPr>
        <w:t xml:space="preserve"> a </w:t>
      </w:r>
      <w:r w:rsidRPr="00EC250C">
        <w:rPr>
          <w:bCs/>
          <w:iCs/>
        </w:rPr>
        <w:t>także upowszechnienia prawa do edukacji włączającej, zatrudnienia na otwartym rynku pracy, czy też skutecznego przeciwdziałania dyskryminacji ze względu na niepełnosprawność oraz przemocy wobec kobiet</w:t>
      </w:r>
      <w:r w:rsidR="00992FD0" w:rsidRPr="00EC250C">
        <w:rPr>
          <w:bCs/>
          <w:iCs/>
        </w:rPr>
        <w:t xml:space="preserve"> z </w:t>
      </w:r>
      <w:r w:rsidRPr="00EC250C">
        <w:rPr>
          <w:bCs/>
          <w:iCs/>
        </w:rPr>
        <w:t>niepełnosprawnościami. Przedstawiciele Rzecznika oraz Komisji Ekspertów ds. Osób</w:t>
      </w:r>
      <w:r w:rsidR="00992FD0" w:rsidRPr="00EC250C">
        <w:rPr>
          <w:bCs/>
          <w:iCs/>
        </w:rPr>
        <w:t xml:space="preserve"> z </w:t>
      </w:r>
      <w:r w:rsidRPr="00EC250C">
        <w:rPr>
          <w:bCs/>
          <w:iCs/>
        </w:rPr>
        <w:t>Niepełnosprawnością wzięli udział</w:t>
      </w:r>
      <w:r w:rsidR="00992FD0" w:rsidRPr="00EC250C">
        <w:rPr>
          <w:bCs/>
          <w:iCs/>
        </w:rPr>
        <w:t xml:space="preserve"> w </w:t>
      </w:r>
      <w:r w:rsidRPr="00EC250C">
        <w:rPr>
          <w:bCs/>
          <w:iCs/>
        </w:rPr>
        <w:t>posiedzeniu Komitetu, które odbyło się</w:t>
      </w:r>
      <w:r w:rsidR="00992FD0" w:rsidRPr="00EC250C">
        <w:rPr>
          <w:bCs/>
          <w:iCs/>
        </w:rPr>
        <w:t xml:space="preserve"> w </w:t>
      </w:r>
      <w:r w:rsidRPr="00EC250C">
        <w:rPr>
          <w:bCs/>
          <w:iCs/>
        </w:rPr>
        <w:t>dniach 3–5 września 2018</w:t>
      </w:r>
      <w:r w:rsidR="00C91F6E" w:rsidRPr="00EC250C">
        <w:rPr>
          <w:bCs/>
          <w:iCs/>
        </w:rPr>
        <w:t> r.</w:t>
      </w:r>
      <w:r w:rsidR="00992FD0" w:rsidRPr="00EC250C">
        <w:rPr>
          <w:bCs/>
          <w:iCs/>
        </w:rPr>
        <w:t xml:space="preserve"> w </w:t>
      </w:r>
      <w:r w:rsidRPr="00EC250C">
        <w:rPr>
          <w:bCs/>
          <w:iCs/>
        </w:rPr>
        <w:t>Genewie. Spostrzeżenia Rzecznika miały istotny wpływ na ostateczny kształt rekomendacji wydanych przez ten Komitet. Ich realizacja będzie na bieżąco monitorowana przez Rzecznika oraz członków Komisji.</w:t>
      </w:r>
    </w:p>
    <w:p w14:paraId="107FB34B" w14:textId="77777777" w:rsidR="00C91F6E" w:rsidRPr="00EC250C" w:rsidRDefault="00192982" w:rsidP="00D131FA">
      <w:pPr>
        <w:pStyle w:val="Styl1"/>
        <w:rPr>
          <w:bCs/>
          <w:iCs/>
        </w:rPr>
      </w:pPr>
      <w:r w:rsidRPr="00EC250C">
        <w:rPr>
          <w:bCs/>
          <w:iCs/>
        </w:rPr>
        <w:t>Ponadto, dzięki zaleceniom</w:t>
      </w:r>
      <w:r w:rsidR="00992FD0" w:rsidRPr="00EC250C">
        <w:rPr>
          <w:bCs/>
          <w:iCs/>
        </w:rPr>
        <w:t xml:space="preserve"> i </w:t>
      </w:r>
      <w:r w:rsidRPr="00EC250C">
        <w:rPr>
          <w:bCs/>
          <w:iCs/>
        </w:rPr>
        <w:t>rekomendacjom Komisji, Rzecznik</w:t>
      </w:r>
      <w:r w:rsidR="00992FD0" w:rsidRPr="00EC250C">
        <w:rPr>
          <w:bCs/>
          <w:iCs/>
        </w:rPr>
        <w:t xml:space="preserve"> w </w:t>
      </w:r>
      <w:r w:rsidRPr="00EC250C">
        <w:rPr>
          <w:bCs/>
          <w:iCs/>
        </w:rPr>
        <w:t>licznych wystąpieniach do przedstawicieli administracji publicznej zwracał uwagę na bieżące wyzwania</w:t>
      </w:r>
      <w:r w:rsidR="00992FD0" w:rsidRPr="00EC250C">
        <w:rPr>
          <w:bCs/>
          <w:iCs/>
        </w:rPr>
        <w:t xml:space="preserve"> w </w:t>
      </w:r>
      <w:r w:rsidRPr="00EC250C">
        <w:rPr>
          <w:bCs/>
          <w:iCs/>
        </w:rPr>
        <w:t>obszarze ochrony praw osób</w:t>
      </w:r>
      <w:r w:rsidR="00992FD0" w:rsidRPr="00EC250C">
        <w:rPr>
          <w:bCs/>
          <w:iCs/>
        </w:rPr>
        <w:t xml:space="preserve"> z </w:t>
      </w:r>
      <w:r w:rsidRPr="00EC250C">
        <w:rPr>
          <w:bCs/>
          <w:iCs/>
        </w:rPr>
        <w:t>niepełnosprawnościami.</w:t>
      </w:r>
    </w:p>
    <w:p w14:paraId="0E0DF57A" w14:textId="77777777" w:rsidR="00192982" w:rsidRPr="00EC250C" w:rsidRDefault="00192982" w:rsidP="00D131FA">
      <w:pPr>
        <w:pStyle w:val="Styl1"/>
        <w:rPr>
          <w:bCs/>
          <w:iCs/>
        </w:rPr>
      </w:pPr>
      <w:r w:rsidRPr="00EC250C">
        <w:rPr>
          <w:bCs/>
          <w:iCs/>
        </w:rPr>
        <w:t>W roku 2018 Rzecznik wraz</w:t>
      </w:r>
      <w:r w:rsidR="00992FD0" w:rsidRPr="00EC250C">
        <w:rPr>
          <w:bCs/>
          <w:iCs/>
        </w:rPr>
        <w:t xml:space="preserve"> z </w:t>
      </w:r>
      <w:r w:rsidRPr="00EC250C">
        <w:rPr>
          <w:bCs/>
          <w:iCs/>
        </w:rPr>
        <w:t xml:space="preserve">przedstawicielami Komisji konsultował m.in. powstający pod auspicjami Zakładu Ubezpieczeń Społecznych projekt ustawy wprowadzającej reformę systemu </w:t>
      </w:r>
      <w:r w:rsidRPr="00EC250C">
        <w:rPr>
          <w:bCs/>
          <w:iCs/>
        </w:rPr>
        <w:lastRenderedPageBreak/>
        <w:t>orzekania</w:t>
      </w:r>
      <w:r w:rsidR="00992FD0" w:rsidRPr="00EC250C">
        <w:rPr>
          <w:bCs/>
          <w:iCs/>
        </w:rPr>
        <w:t xml:space="preserve"> o </w:t>
      </w:r>
      <w:r w:rsidRPr="00EC250C">
        <w:rPr>
          <w:bCs/>
          <w:iCs/>
        </w:rPr>
        <w:t>niepełnosprawności. Rzecznik zwracał uwagę, że nowy mechanizm nie powinien koncentrować się na dysfunkcjach, ale wsparciu niezbędnym osobie</w:t>
      </w:r>
      <w:r w:rsidR="00992FD0" w:rsidRPr="00EC250C">
        <w:rPr>
          <w:bCs/>
          <w:iCs/>
        </w:rPr>
        <w:t xml:space="preserve"> z </w:t>
      </w:r>
      <w:r w:rsidRPr="00EC250C">
        <w:rPr>
          <w:bCs/>
          <w:iCs/>
        </w:rPr>
        <w:t>niepełnosprawnością dla pełnego wypełniania ról społecznych</w:t>
      </w:r>
      <w:r w:rsidR="00992FD0" w:rsidRPr="00EC250C">
        <w:rPr>
          <w:bCs/>
          <w:iCs/>
        </w:rPr>
        <w:t xml:space="preserve"> i </w:t>
      </w:r>
      <w:r w:rsidRPr="00EC250C">
        <w:rPr>
          <w:bCs/>
          <w:iCs/>
        </w:rPr>
        <w:t>zawodowych. Rzecznik wraz</w:t>
      </w:r>
      <w:r w:rsidR="00992FD0" w:rsidRPr="00EC250C">
        <w:rPr>
          <w:bCs/>
          <w:iCs/>
        </w:rPr>
        <w:t xml:space="preserve"> z </w:t>
      </w:r>
      <w:r w:rsidRPr="00EC250C">
        <w:rPr>
          <w:bCs/>
          <w:iCs/>
        </w:rPr>
        <w:t>przedstawicielami Komisji zaangażował się również</w:t>
      </w:r>
      <w:r w:rsidR="00992FD0" w:rsidRPr="00EC250C">
        <w:rPr>
          <w:bCs/>
          <w:iCs/>
        </w:rPr>
        <w:t xml:space="preserve"> w </w:t>
      </w:r>
      <w:r w:rsidRPr="00EC250C">
        <w:rPr>
          <w:bCs/>
          <w:iCs/>
        </w:rPr>
        <w:t>mediacje</w:t>
      </w:r>
      <w:r w:rsidR="00992FD0" w:rsidRPr="00EC250C">
        <w:rPr>
          <w:bCs/>
          <w:iCs/>
        </w:rPr>
        <w:t xml:space="preserve"> i </w:t>
      </w:r>
      <w:r w:rsidRPr="00EC250C">
        <w:rPr>
          <w:bCs/>
          <w:iCs/>
        </w:rPr>
        <w:t>pomoc osobom</w:t>
      </w:r>
      <w:r w:rsidR="00992FD0" w:rsidRPr="00EC250C">
        <w:rPr>
          <w:bCs/>
          <w:iCs/>
        </w:rPr>
        <w:t xml:space="preserve"> z </w:t>
      </w:r>
      <w:r w:rsidRPr="00EC250C">
        <w:rPr>
          <w:bCs/>
          <w:iCs/>
        </w:rPr>
        <w:t>niepełnosprawnościami</w:t>
      </w:r>
      <w:r w:rsidR="00992FD0" w:rsidRPr="00EC250C">
        <w:rPr>
          <w:bCs/>
          <w:iCs/>
        </w:rPr>
        <w:t xml:space="preserve"> i </w:t>
      </w:r>
      <w:r w:rsidRPr="00EC250C">
        <w:rPr>
          <w:bCs/>
          <w:iCs/>
        </w:rPr>
        <w:t>ich rodzinom protestującym</w:t>
      </w:r>
      <w:r w:rsidR="00992FD0" w:rsidRPr="00EC250C">
        <w:rPr>
          <w:bCs/>
          <w:iCs/>
        </w:rPr>
        <w:t xml:space="preserve"> w </w:t>
      </w:r>
      <w:r w:rsidRPr="00EC250C">
        <w:rPr>
          <w:bCs/>
          <w:iCs/>
        </w:rPr>
        <w:t>Sejmie przeciwko trudnym warunkom życia.</w:t>
      </w:r>
    </w:p>
    <w:p w14:paraId="488F09C2" w14:textId="77777777" w:rsidR="00192982" w:rsidRPr="00EC250C" w:rsidRDefault="00192982" w:rsidP="00D131FA">
      <w:pPr>
        <w:pStyle w:val="Srdtytul6"/>
        <w:jc w:val="both"/>
      </w:pPr>
      <w:r w:rsidRPr="00EC250C">
        <w:t>Co wymaga dalszej pracy</w:t>
      </w:r>
    </w:p>
    <w:p w14:paraId="32763969" w14:textId="77777777" w:rsidR="00C91F6E" w:rsidRPr="00EC250C" w:rsidRDefault="00192982" w:rsidP="00D131FA">
      <w:pPr>
        <w:pStyle w:val="Styl1"/>
      </w:pPr>
      <w:r w:rsidRPr="00EC250C">
        <w:t>Obecnie kluczowe dla zapewnienia właściwej realizacji praw osób</w:t>
      </w:r>
      <w:r w:rsidR="00992FD0" w:rsidRPr="00EC250C">
        <w:t xml:space="preserve"> z </w:t>
      </w:r>
      <w:r w:rsidRPr="00EC250C">
        <w:t>niepełnosprawnościami jest kompleksowe wdrożenie rekomendacji Komitetu ONZ do spraw Praw Osób</w:t>
      </w:r>
      <w:r w:rsidR="00992FD0" w:rsidRPr="00EC250C">
        <w:t xml:space="preserve"> z </w:t>
      </w:r>
      <w:r w:rsidRPr="00EC250C">
        <w:t>Niepełnosprawnościami adresowanych do polskiego rządu. W tym celu należy</w:t>
      </w:r>
      <w:r w:rsidR="00992FD0" w:rsidRPr="00EC250C">
        <w:t xml:space="preserve"> w </w:t>
      </w:r>
      <w:r w:rsidRPr="00EC250C">
        <w:t>pierwszej kolejności zadbać</w:t>
      </w:r>
      <w:r w:rsidR="00992FD0" w:rsidRPr="00EC250C">
        <w:t xml:space="preserve"> o </w:t>
      </w:r>
      <w:r w:rsidRPr="00EC250C">
        <w:t>właściwe upowszechnienie tych rekomendacji wśród przedstawicieli władz centralnych</w:t>
      </w:r>
      <w:r w:rsidR="00992FD0" w:rsidRPr="00EC250C">
        <w:t xml:space="preserve"> i </w:t>
      </w:r>
      <w:r w:rsidRPr="00EC250C">
        <w:t>samorządowych,</w:t>
      </w:r>
      <w:r w:rsidR="00992FD0" w:rsidRPr="00EC250C">
        <w:t xml:space="preserve"> a </w:t>
      </w:r>
      <w:r w:rsidRPr="00EC250C">
        <w:t>także</w:t>
      </w:r>
      <w:r w:rsidR="00992FD0" w:rsidRPr="00EC250C">
        <w:t xml:space="preserve"> w </w:t>
      </w:r>
      <w:r w:rsidRPr="00EC250C">
        <w:t>środowisku osób</w:t>
      </w:r>
      <w:r w:rsidR="00992FD0" w:rsidRPr="00EC250C">
        <w:t xml:space="preserve"> z </w:t>
      </w:r>
      <w:r w:rsidRPr="00EC250C">
        <w:t>niepełnosprawnościami. Rekomendacje powinny być dostępne dla osób</w:t>
      </w:r>
      <w:r w:rsidR="00992FD0" w:rsidRPr="00EC250C">
        <w:t xml:space="preserve"> z </w:t>
      </w:r>
      <w:r w:rsidRPr="00EC250C">
        <w:t>różnymi rodzajami niepełnosprawności,</w:t>
      </w:r>
      <w:r w:rsidR="00992FD0" w:rsidRPr="00EC250C">
        <w:t xml:space="preserve"> w </w:t>
      </w:r>
      <w:r w:rsidRPr="00EC250C">
        <w:t>tym</w:t>
      </w:r>
      <w:r w:rsidR="00992FD0" w:rsidRPr="00EC250C">
        <w:t xml:space="preserve"> w </w:t>
      </w:r>
      <w:r w:rsidRPr="00EC250C">
        <w:t>języku migowym</w:t>
      </w:r>
      <w:r w:rsidR="00992FD0" w:rsidRPr="00EC250C">
        <w:t xml:space="preserve"> i w </w:t>
      </w:r>
      <w:r w:rsidRPr="00EC250C">
        <w:t>tekście łatwym do czytania.</w:t>
      </w:r>
    </w:p>
    <w:p w14:paraId="7C853421" w14:textId="77777777" w:rsidR="00192982" w:rsidRPr="00EC250C" w:rsidRDefault="00192982" w:rsidP="00D131FA">
      <w:pPr>
        <w:pStyle w:val="Styl1"/>
      </w:pPr>
      <w:r w:rsidRPr="00EC250C">
        <w:t>Do najważniejszych rekomendacji wymagających pilnej realizacji należy przygotowanie strategii działań, wraz</w:t>
      </w:r>
      <w:r w:rsidR="00992FD0" w:rsidRPr="00EC250C">
        <w:t xml:space="preserve"> z </w:t>
      </w:r>
      <w:r w:rsidRPr="00EC250C">
        <w:t>harmonogramem oraz odpowiednimi wskaźnikami realizacji, mającej ca celu pełną implementację postanowień Konwencji. Prace nad strategią powinny być prowadzone</w:t>
      </w:r>
      <w:r w:rsidR="00992FD0" w:rsidRPr="00EC250C">
        <w:t xml:space="preserve"> w </w:t>
      </w:r>
      <w:r w:rsidRPr="00EC250C">
        <w:t>sposób dostępny</w:t>
      </w:r>
      <w:r w:rsidR="00992FD0" w:rsidRPr="00EC250C">
        <w:t xml:space="preserve"> i </w:t>
      </w:r>
      <w:r w:rsidRPr="00EC250C">
        <w:t>transparentny, tak żeby na każdym ich etapie możliwe było aktywne zaangażowanie środowiska osób</w:t>
      </w:r>
      <w:r w:rsidR="00992FD0" w:rsidRPr="00EC250C">
        <w:t xml:space="preserve"> z </w:t>
      </w:r>
      <w:r w:rsidRPr="00EC250C">
        <w:t>niepełnosprawnościami. Konieczna jest rzetelna reforma systemu orzekania</w:t>
      </w:r>
      <w:r w:rsidR="00992FD0" w:rsidRPr="00EC250C">
        <w:t xml:space="preserve"> o </w:t>
      </w:r>
      <w:r w:rsidRPr="00EC250C">
        <w:t>niepełnosprawności odzwierciedlająca cele</w:t>
      </w:r>
      <w:r w:rsidR="00992FD0" w:rsidRPr="00EC250C">
        <w:t xml:space="preserve"> i </w:t>
      </w:r>
      <w:r w:rsidRPr="00EC250C">
        <w:t>charakter Konwencji oraz odchodząca od wielości mechanizmów orzekania.</w:t>
      </w:r>
    </w:p>
    <w:p w14:paraId="1D2DBEAA" w14:textId="77777777" w:rsidR="00C91F6E" w:rsidRPr="00EC250C" w:rsidRDefault="00192982" w:rsidP="00D131FA">
      <w:pPr>
        <w:pStyle w:val="Styl1"/>
      </w:pPr>
      <w:r w:rsidRPr="00EC250C">
        <w:t>Niezbędne jest zniesienie instytucji ubezwłasnowolnienia</w:t>
      </w:r>
      <w:r w:rsidR="00992FD0" w:rsidRPr="00EC250C">
        <w:t xml:space="preserve"> i </w:t>
      </w:r>
      <w:r w:rsidRPr="00EC250C">
        <w:t>zastąpienie jest wspomaganym systemem podejmowania decyzji. Reformie ubezwłasnowolnienia powinno towarzyszyć zniesienie ograniczeń</w:t>
      </w:r>
      <w:r w:rsidR="00992FD0" w:rsidRPr="00EC250C">
        <w:t xml:space="preserve"> w </w:t>
      </w:r>
      <w:r w:rsidRPr="00EC250C">
        <w:t>zakresie prawa do zawierania małżeństw, opieki nad dziećmi, praw wyborczych, czy też wolności zrzeszania się</w:t>
      </w:r>
      <w:r w:rsidR="00992FD0" w:rsidRPr="00EC250C">
        <w:t xml:space="preserve"> i </w:t>
      </w:r>
      <w:r w:rsidRPr="00EC250C">
        <w:t>organizowania zgromadzeń.</w:t>
      </w:r>
    </w:p>
    <w:p w14:paraId="7EF85027" w14:textId="77777777" w:rsidR="00192982" w:rsidRPr="00EC250C" w:rsidRDefault="00192982" w:rsidP="00D131FA">
      <w:pPr>
        <w:pStyle w:val="Styl1"/>
      </w:pPr>
      <w:r w:rsidRPr="00EC250C">
        <w:t>Do priorytetowych rekomendacji należy również deinstytucjonalizacja systemu wsparcia osób</w:t>
      </w:r>
      <w:r w:rsidR="00992FD0" w:rsidRPr="00EC250C">
        <w:t xml:space="preserve"> z </w:t>
      </w:r>
      <w:r w:rsidRPr="00EC250C">
        <w:t>niepełnosprawnościami oraz systemowe przeciwdziałanie przemocy wobec kobiet</w:t>
      </w:r>
      <w:r w:rsidR="00992FD0" w:rsidRPr="00EC250C">
        <w:t xml:space="preserve"> z </w:t>
      </w:r>
      <w:r w:rsidRPr="00EC250C">
        <w:t>niepełnosprawnościami.</w:t>
      </w:r>
    </w:p>
    <w:p w14:paraId="1727E48D" w14:textId="77777777" w:rsidR="00192982" w:rsidRPr="00EC250C" w:rsidRDefault="00192982" w:rsidP="00EC250C">
      <w:pPr>
        <w:pStyle w:val="Nagwek5"/>
      </w:pPr>
      <w:bookmarkStart w:id="868" w:name="_Toc6258061"/>
      <w:r w:rsidRPr="00EC250C">
        <w:t>H. Komisja Ekspertów ds. Ochrony Zdrowia Psychicznego</w:t>
      </w:r>
      <w:bookmarkEnd w:id="868"/>
    </w:p>
    <w:p w14:paraId="7077BCC7" w14:textId="77777777" w:rsidR="00B473F5" w:rsidRPr="00EC250C" w:rsidRDefault="00192982" w:rsidP="00D131FA">
      <w:pPr>
        <w:pStyle w:val="Problemczowieka"/>
        <w:jc w:val="both"/>
      </w:pPr>
      <w:r w:rsidRPr="00EC250C">
        <w:t>Mając na uwadze szeroki zakres zadań występujący</w:t>
      </w:r>
      <w:r w:rsidR="00992FD0" w:rsidRPr="00EC250C">
        <w:t xml:space="preserve"> w </w:t>
      </w:r>
      <w:r w:rsidRPr="00EC250C">
        <w:t>obszarze zdrowia psychicznego,</w:t>
      </w:r>
      <w:r w:rsidR="00992FD0" w:rsidRPr="00EC250C">
        <w:t xml:space="preserve"> a </w:t>
      </w:r>
      <w:r w:rsidRPr="00EC250C">
        <w:t>także różnorodność podejmowanej tematyki wymagającej szczegółowej wiedzy</w:t>
      </w:r>
      <w:r w:rsidR="00992FD0" w:rsidRPr="00EC250C">
        <w:t xml:space="preserve"> i </w:t>
      </w:r>
      <w:r w:rsidRPr="00EC250C">
        <w:t>doświadczenia zawodowego, Rzecznik Praw Obywatelskich powołał Komisję Ekspertów do spraw Ochrony Zdrowia Psychicznego</w:t>
      </w:r>
      <w:r w:rsidR="00B473F5" w:rsidRPr="00EC250C">
        <w:t>.</w:t>
      </w:r>
    </w:p>
    <w:p w14:paraId="3C920A0A" w14:textId="77777777" w:rsidR="00192982" w:rsidRPr="00EC250C" w:rsidRDefault="00192982" w:rsidP="00D131FA">
      <w:pPr>
        <w:pStyle w:val="Styl1"/>
      </w:pPr>
      <w:r w:rsidRPr="00EC250C">
        <w:lastRenderedPageBreak/>
        <w:t>W 2018</w:t>
      </w:r>
      <w:r w:rsidR="00C91F6E" w:rsidRPr="00EC250C">
        <w:t> r.</w:t>
      </w:r>
      <w:r w:rsidRPr="00EC250C">
        <w:t xml:space="preserve"> praca Komisji koncentrowała się głównie na monitorowaniu realizacji Narodowego Programu Ochrony Zdrowia Psychicznego,</w:t>
      </w:r>
      <w:r w:rsidR="00992FD0" w:rsidRPr="00EC250C">
        <w:t xml:space="preserve"> a w </w:t>
      </w:r>
      <w:r w:rsidRPr="00EC250C">
        <w:t>szczególności wdrażaniu Programu Pilotażowego Centrów Zdrowia Psychicznego.</w:t>
      </w:r>
    </w:p>
    <w:p w14:paraId="49980344" w14:textId="77777777" w:rsidR="00192982" w:rsidRPr="00EC250C" w:rsidRDefault="00192982" w:rsidP="00D131FA">
      <w:pPr>
        <w:pStyle w:val="Styl1"/>
      </w:pPr>
      <w:r w:rsidRPr="00EC250C">
        <w:t>Przemodelowanie opieki psychiatrycznej</w:t>
      </w:r>
      <w:r w:rsidR="00992FD0" w:rsidRPr="00EC250C">
        <w:t xml:space="preserve"> z </w:t>
      </w:r>
      <w:r w:rsidRPr="00EC250C">
        <w:t>systemu leczenia izolacyjno-azylowego na rzecz środowiskowego czyli blisko domu, otwartego</w:t>
      </w:r>
      <w:r w:rsidR="00992FD0" w:rsidRPr="00EC250C">
        <w:t xml:space="preserve"> i </w:t>
      </w:r>
      <w:r w:rsidRPr="00EC250C">
        <w:t>spersonalizowanego zostało uznane przez Ministra Zdrowia za zadanie strategiczne</w:t>
      </w:r>
      <w:r w:rsidR="00992FD0" w:rsidRPr="00EC250C">
        <w:t xml:space="preserve"> w </w:t>
      </w:r>
      <w:r w:rsidRPr="00EC250C">
        <w:t>2018 roku.</w:t>
      </w:r>
    </w:p>
    <w:p w14:paraId="67C2152D" w14:textId="77777777" w:rsidR="00C91F6E" w:rsidRPr="00EC250C" w:rsidRDefault="00192982" w:rsidP="00D131FA">
      <w:pPr>
        <w:pStyle w:val="Styl1"/>
      </w:pPr>
      <w:r w:rsidRPr="00EC250C">
        <w:t>Celem realizatora programu pilotażowego tj. podmiotu leczniczego odpowiadającego za funkcjonowanie centrum Zdrowia Psychicznego jest zapewnienie kompleksowej opieki psychiatrycznej: doraźnej, ambulatoryjnej, środowiskowej, dziennej</w:t>
      </w:r>
      <w:r w:rsidR="00992FD0" w:rsidRPr="00EC250C">
        <w:t xml:space="preserve"> i </w:t>
      </w:r>
      <w:r w:rsidRPr="00EC250C">
        <w:t>całodobowej dla dorosłej ludności zamieszkałej na obszarze jego działania.</w:t>
      </w:r>
    </w:p>
    <w:p w14:paraId="1BB35882" w14:textId="77777777" w:rsidR="00C91F6E" w:rsidRPr="00EC250C" w:rsidRDefault="00192982" w:rsidP="00D131FA">
      <w:pPr>
        <w:pStyle w:val="Styl1"/>
      </w:pPr>
      <w:r w:rsidRPr="00EC250C">
        <w:t>Instytut Psychiatrii</w:t>
      </w:r>
      <w:r w:rsidR="00992FD0" w:rsidRPr="00EC250C">
        <w:t xml:space="preserve"> i </w:t>
      </w:r>
      <w:r w:rsidRPr="00EC250C">
        <w:t>Neurologii, pełniący rolę Biura do spraw Pilotażu,</w:t>
      </w:r>
      <w:r w:rsidR="00992FD0" w:rsidRPr="00EC250C">
        <w:t xml:space="preserve"> w </w:t>
      </w:r>
      <w:r w:rsidRPr="00EC250C">
        <w:t>oparciu</w:t>
      </w:r>
      <w:r w:rsidR="00992FD0" w:rsidRPr="00EC250C">
        <w:t xml:space="preserve"> o </w:t>
      </w:r>
      <w:r w:rsidRPr="00EC250C">
        <w:t>zestaw szczegółowych kryteriów, sporządził wykaz jednostek rekomendowanych spełniających kryteria Pilotażu. Z uwagi na dużą liczbę podmiotów zainteresowanych realizacją programu pilotażowego, przekraczającą znacznie ilość środków finansowych, które mogą być wykorzystane na ten cel, Ministerstwo Zdrowia ograniczyło liczbę podmiotów do 28 obejmując ich działaniem około 3 mln osób</w:t>
      </w:r>
      <w:r w:rsidR="00992FD0" w:rsidRPr="00EC250C">
        <w:t xml:space="preserve"> z </w:t>
      </w:r>
      <w:r w:rsidRPr="00EC250C">
        <w:t>terenu całej Polski.</w:t>
      </w:r>
    </w:p>
    <w:p w14:paraId="4A57420D" w14:textId="77777777" w:rsidR="00C91F6E" w:rsidRPr="00EC250C" w:rsidRDefault="00192982" w:rsidP="00D131FA">
      <w:pPr>
        <w:pStyle w:val="Styl1"/>
      </w:pPr>
      <w:r w:rsidRPr="00EC250C">
        <w:t>Istotnym elementem nowego modelu jest zmiana finansowania podmiotów,</w:t>
      </w:r>
      <w:r w:rsidR="00992FD0" w:rsidRPr="00EC250C">
        <w:t xml:space="preserve"> a </w:t>
      </w:r>
      <w:r w:rsidRPr="00EC250C">
        <w:t>także zastąpienie dotychczasowego systemu rywalizacji podmiotów leczniczych współpracą.</w:t>
      </w:r>
    </w:p>
    <w:p w14:paraId="108DC9DD" w14:textId="77777777" w:rsidR="00C91F6E" w:rsidRPr="00EC250C" w:rsidRDefault="00192982" w:rsidP="00D131FA">
      <w:pPr>
        <w:pStyle w:val="Styl1"/>
      </w:pPr>
      <w:r w:rsidRPr="00EC250C">
        <w:t>Formalnie Pilotaż został uruchomiony 1 lipca 2018</w:t>
      </w:r>
      <w:r w:rsidR="00C91F6E" w:rsidRPr="00EC250C">
        <w:t> r.</w:t>
      </w:r>
      <w:r w:rsidRPr="00EC250C">
        <w:t xml:space="preserve"> Do końca roku 2018 działalność rozpoczęło 27 Centrów Zdrowia Psychicznego. Ze wstępnych informacji wynika, że na obszarach działania nowo uruchomionych Centrów spada liczba hospitalizacji</w:t>
      </w:r>
      <w:r w:rsidR="00992FD0" w:rsidRPr="00EC250C">
        <w:t xml:space="preserve"> i </w:t>
      </w:r>
      <w:r w:rsidRPr="00EC250C">
        <w:t>samobójstw osób dorosłych.</w:t>
      </w:r>
    </w:p>
    <w:p w14:paraId="2A85CE4C" w14:textId="77777777" w:rsidR="00192982" w:rsidRPr="00EC250C" w:rsidRDefault="00192982" w:rsidP="00D131FA">
      <w:pPr>
        <w:pStyle w:val="Styl1"/>
      </w:pPr>
      <w:r w:rsidRPr="00EC250C">
        <w:t>Niepokojąca jest natomiast informacja, opublikowana</w:t>
      </w:r>
      <w:r w:rsidR="00992FD0" w:rsidRPr="00EC250C">
        <w:t xml:space="preserve"> w </w:t>
      </w:r>
      <w:r w:rsidRPr="00EC250C">
        <w:t>raporcie NIK</w:t>
      </w:r>
      <w:r w:rsidR="00992FD0" w:rsidRPr="00EC250C">
        <w:t xml:space="preserve"> z </w:t>
      </w:r>
      <w:r w:rsidRPr="00EC250C">
        <w:t>sierpnia 2018</w:t>
      </w:r>
      <w:r w:rsidR="00C91F6E" w:rsidRPr="00EC250C">
        <w:t> r.</w:t>
      </w:r>
      <w:r w:rsidRPr="00EC250C">
        <w:t xml:space="preserve"> dotyczącym zapobiegania</w:t>
      </w:r>
      <w:r w:rsidR="00992FD0" w:rsidRPr="00EC250C">
        <w:t xml:space="preserve"> i </w:t>
      </w:r>
      <w:r w:rsidRPr="00EC250C">
        <w:t>leczenia depresji, że żaden</w:t>
      </w:r>
      <w:r w:rsidR="00992FD0" w:rsidRPr="00EC250C">
        <w:t xml:space="preserve"> z </w:t>
      </w:r>
      <w:r w:rsidRPr="00EC250C">
        <w:t>kontrolowanych samorządów do dnia 20 października 2017</w:t>
      </w:r>
      <w:r w:rsidR="00C91F6E" w:rsidRPr="00EC250C">
        <w:t> r.</w:t>
      </w:r>
      <w:r w:rsidRPr="00EC250C">
        <w:t xml:space="preserve"> nie wdrożył założeń Narodowego programu Ochrony Zdrowia Psychicznego</w:t>
      </w:r>
      <w:r w:rsidR="00992FD0" w:rsidRPr="00EC250C">
        <w:t xml:space="preserve"> w </w:t>
      </w:r>
      <w:r w:rsidRPr="00EC250C">
        <w:t>zakresie aktualizacji lub sporządzenia nowego programu na lata 2017–2022. Oparcie reformy systemu ochrony zdrowia psychicznego</w:t>
      </w:r>
      <w:r w:rsidR="00992FD0" w:rsidRPr="00EC250C">
        <w:t xml:space="preserve"> o </w:t>
      </w:r>
      <w:r w:rsidRPr="00EC250C">
        <w:t>aktywność samorządów lokalnych</w:t>
      </w:r>
      <w:r w:rsidR="00992FD0" w:rsidRPr="00EC250C">
        <w:t xml:space="preserve"> w </w:t>
      </w:r>
      <w:r w:rsidRPr="00EC250C">
        <w:t>porozumieniu</w:t>
      </w:r>
      <w:r w:rsidR="00992FD0" w:rsidRPr="00EC250C">
        <w:t xml:space="preserve"> z </w:t>
      </w:r>
      <w:r w:rsidRPr="00EC250C">
        <w:t>niezmiernie wartościowym sektorem organizacji pozarządowych wydaje się być konieczne ze względu na rozeznanie lokalnych zasobów</w:t>
      </w:r>
      <w:r w:rsidR="00992FD0" w:rsidRPr="00EC250C">
        <w:t xml:space="preserve"> i </w:t>
      </w:r>
      <w:r w:rsidRPr="00EC250C">
        <w:t>potrzeb.</w:t>
      </w:r>
    </w:p>
    <w:p w14:paraId="6A47F720" w14:textId="77777777" w:rsidR="00192982" w:rsidRPr="00EC250C" w:rsidRDefault="00192982" w:rsidP="00D131FA">
      <w:pPr>
        <w:pStyle w:val="Srdtytul6"/>
        <w:jc w:val="both"/>
      </w:pPr>
      <w:r w:rsidRPr="00EC250C">
        <w:t>Skład Komisji Ekspertów ds. Ochrony Zdrowia Psychicznego</w:t>
      </w:r>
    </w:p>
    <w:p w14:paraId="65E06555" w14:textId="77777777" w:rsidR="00C73FDE" w:rsidRPr="00EC250C" w:rsidRDefault="00C73FDE" w:rsidP="006C70B7">
      <w:pPr>
        <w:pStyle w:val="Styl1"/>
        <w:numPr>
          <w:ilvl w:val="0"/>
          <w:numId w:val="11"/>
        </w:numPr>
        <w:sectPr w:rsidR="00C73FDE" w:rsidRPr="00EC250C" w:rsidSect="00FC47F2">
          <w:type w:val="continuous"/>
          <w:pgSz w:w="11907" w:h="16840"/>
          <w:pgMar w:top="1418" w:right="1418" w:bottom="1418" w:left="1276" w:header="567" w:footer="567" w:gutter="0"/>
          <w:cols w:space="708"/>
          <w:titlePg/>
          <w:docGrid w:linePitch="354"/>
        </w:sectPr>
      </w:pPr>
    </w:p>
    <w:p w14:paraId="6C9C5E7E" w14:textId="77777777" w:rsidR="00192982" w:rsidRPr="00EC250C" w:rsidRDefault="00192982" w:rsidP="006C70B7">
      <w:pPr>
        <w:pStyle w:val="Styl1"/>
        <w:numPr>
          <w:ilvl w:val="0"/>
          <w:numId w:val="11"/>
        </w:numPr>
      </w:pPr>
      <w:r w:rsidRPr="00EC250C">
        <w:t>Krzysztof Olkowicz – przewodniczący</w:t>
      </w:r>
    </w:p>
    <w:p w14:paraId="45E20833" w14:textId="77777777" w:rsidR="00C91F6E" w:rsidRPr="00EC250C" w:rsidRDefault="00192982" w:rsidP="006C70B7">
      <w:pPr>
        <w:pStyle w:val="Styl1"/>
        <w:numPr>
          <w:ilvl w:val="0"/>
          <w:numId w:val="11"/>
        </w:numPr>
      </w:pPr>
      <w:r w:rsidRPr="00EC250C">
        <w:t>Marek Balicki</w:t>
      </w:r>
    </w:p>
    <w:p w14:paraId="0B617342" w14:textId="77777777" w:rsidR="00C91F6E" w:rsidRPr="00EC250C" w:rsidRDefault="00192982" w:rsidP="006C70B7">
      <w:pPr>
        <w:pStyle w:val="Styl1"/>
        <w:numPr>
          <w:ilvl w:val="0"/>
          <w:numId w:val="11"/>
        </w:numPr>
      </w:pPr>
      <w:r w:rsidRPr="00EC250C">
        <w:t>Regina Bisikiewicz</w:t>
      </w:r>
    </w:p>
    <w:p w14:paraId="348F5F94" w14:textId="77777777" w:rsidR="00C91F6E" w:rsidRPr="00EC250C" w:rsidRDefault="00B769A0" w:rsidP="006C70B7">
      <w:pPr>
        <w:pStyle w:val="Styl1"/>
        <w:numPr>
          <w:ilvl w:val="0"/>
          <w:numId w:val="11"/>
        </w:numPr>
      </w:pPr>
      <w:r w:rsidRPr="00EC250C">
        <w:t>Paweł Bronowski</w:t>
      </w:r>
    </w:p>
    <w:p w14:paraId="7B5277DF" w14:textId="77777777" w:rsidR="00C91F6E" w:rsidRPr="00EC250C" w:rsidRDefault="00192982" w:rsidP="006C70B7">
      <w:pPr>
        <w:pStyle w:val="Styl1"/>
        <w:numPr>
          <w:ilvl w:val="0"/>
          <w:numId w:val="11"/>
        </w:numPr>
      </w:pPr>
      <w:r w:rsidRPr="00EC250C">
        <w:t>Jan Ciechorski</w:t>
      </w:r>
    </w:p>
    <w:p w14:paraId="25CD8E50" w14:textId="77777777" w:rsidR="00192982" w:rsidRPr="00EC250C" w:rsidRDefault="00192982" w:rsidP="006C70B7">
      <w:pPr>
        <w:pStyle w:val="Styl1"/>
        <w:numPr>
          <w:ilvl w:val="0"/>
          <w:numId w:val="11"/>
        </w:numPr>
      </w:pPr>
      <w:r w:rsidRPr="00EC250C">
        <w:t>Krzysztof Eichstaedt</w:t>
      </w:r>
    </w:p>
    <w:p w14:paraId="59D966E8" w14:textId="77777777" w:rsidR="00192982" w:rsidRPr="00EC250C" w:rsidRDefault="00192982" w:rsidP="006C70B7">
      <w:pPr>
        <w:pStyle w:val="Styl1"/>
        <w:numPr>
          <w:ilvl w:val="0"/>
          <w:numId w:val="11"/>
        </w:numPr>
      </w:pPr>
      <w:r w:rsidRPr="00EC250C">
        <w:t>Piotr Gałecki</w:t>
      </w:r>
    </w:p>
    <w:p w14:paraId="044DB5F1" w14:textId="77777777" w:rsidR="00C91F6E" w:rsidRPr="00EC250C" w:rsidRDefault="00192982" w:rsidP="006C70B7">
      <w:pPr>
        <w:pStyle w:val="Styl1"/>
        <w:numPr>
          <w:ilvl w:val="0"/>
          <w:numId w:val="11"/>
        </w:numPr>
      </w:pPr>
      <w:r w:rsidRPr="00EC250C">
        <w:t>Ewa Giza</w:t>
      </w:r>
    </w:p>
    <w:p w14:paraId="344981FE" w14:textId="77777777" w:rsidR="00C91F6E" w:rsidRPr="00EC250C" w:rsidRDefault="00B769A0" w:rsidP="006C70B7">
      <w:pPr>
        <w:pStyle w:val="Styl1"/>
        <w:numPr>
          <w:ilvl w:val="0"/>
          <w:numId w:val="11"/>
        </w:numPr>
      </w:pPr>
      <w:r w:rsidRPr="00EC250C">
        <w:t>Maria Gordon</w:t>
      </w:r>
    </w:p>
    <w:p w14:paraId="030CC3E5" w14:textId="77777777" w:rsidR="00C91F6E" w:rsidRPr="00EC250C" w:rsidRDefault="00192982" w:rsidP="006C70B7">
      <w:pPr>
        <w:pStyle w:val="Styl1"/>
        <w:numPr>
          <w:ilvl w:val="0"/>
          <w:numId w:val="11"/>
        </w:numPr>
      </w:pPr>
      <w:r w:rsidRPr="00EC250C">
        <w:t>Tomasz Goździkiewicz</w:t>
      </w:r>
    </w:p>
    <w:p w14:paraId="1BC3DAC5" w14:textId="77777777" w:rsidR="00192982" w:rsidRPr="00EC250C" w:rsidRDefault="00192982" w:rsidP="006C70B7">
      <w:pPr>
        <w:pStyle w:val="Styl1"/>
        <w:numPr>
          <w:ilvl w:val="0"/>
          <w:numId w:val="11"/>
        </w:numPr>
      </w:pPr>
      <w:r w:rsidRPr="00EC250C">
        <w:lastRenderedPageBreak/>
        <w:t>Piotr Harhaj</w:t>
      </w:r>
    </w:p>
    <w:p w14:paraId="43AC8259" w14:textId="77777777" w:rsidR="00C91F6E" w:rsidRPr="00EC250C" w:rsidRDefault="00192982" w:rsidP="006C70B7">
      <w:pPr>
        <w:pStyle w:val="Styl1"/>
        <w:numPr>
          <w:ilvl w:val="0"/>
          <w:numId w:val="11"/>
        </w:numPr>
        <w:rPr>
          <w:lang w:val="de-DE"/>
        </w:rPr>
      </w:pPr>
      <w:r w:rsidRPr="00EC250C">
        <w:rPr>
          <w:lang w:val="de-DE"/>
        </w:rPr>
        <w:t>Janusz Heitzman</w:t>
      </w:r>
    </w:p>
    <w:p w14:paraId="4C116573" w14:textId="77777777" w:rsidR="00C91F6E" w:rsidRPr="00EC250C" w:rsidRDefault="00192982" w:rsidP="006C70B7">
      <w:pPr>
        <w:pStyle w:val="Styl1"/>
        <w:numPr>
          <w:ilvl w:val="0"/>
          <w:numId w:val="11"/>
        </w:numPr>
      </w:pPr>
      <w:r w:rsidRPr="00EC250C">
        <w:t>Jacek Januszkiewicz</w:t>
      </w:r>
    </w:p>
    <w:p w14:paraId="526DD3CE" w14:textId="77777777" w:rsidR="00192982" w:rsidRPr="00EC250C" w:rsidRDefault="00192982" w:rsidP="006C70B7">
      <w:pPr>
        <w:pStyle w:val="Styl1"/>
        <w:numPr>
          <w:ilvl w:val="0"/>
          <w:numId w:val="11"/>
        </w:numPr>
      </w:pPr>
      <w:r w:rsidRPr="00EC250C">
        <w:t>Anna Morawska-Borowiec</w:t>
      </w:r>
    </w:p>
    <w:p w14:paraId="5A63564F" w14:textId="77777777" w:rsidR="00C91F6E" w:rsidRPr="00EC250C" w:rsidRDefault="00B769A0" w:rsidP="006C70B7">
      <w:pPr>
        <w:pStyle w:val="Styl1"/>
        <w:numPr>
          <w:ilvl w:val="0"/>
          <w:numId w:val="11"/>
        </w:numPr>
      </w:pPr>
      <w:r w:rsidRPr="00EC250C">
        <w:t>Sławomir Murawiec</w:t>
      </w:r>
    </w:p>
    <w:p w14:paraId="2FF2F1B0" w14:textId="77777777" w:rsidR="00C91F6E" w:rsidRPr="00EC250C" w:rsidRDefault="00192982" w:rsidP="006C70B7">
      <w:pPr>
        <w:pStyle w:val="Styl1"/>
        <w:numPr>
          <w:ilvl w:val="0"/>
          <w:numId w:val="11"/>
        </w:numPr>
        <w:rPr>
          <w:lang w:val="en-US"/>
        </w:rPr>
      </w:pPr>
      <w:r w:rsidRPr="00EC250C">
        <w:rPr>
          <w:lang w:val="en-US"/>
        </w:rPr>
        <w:t>Robert Pudlo</w:t>
      </w:r>
    </w:p>
    <w:p w14:paraId="162EB060" w14:textId="77777777" w:rsidR="00C91F6E" w:rsidRPr="00EC250C" w:rsidRDefault="00B769A0" w:rsidP="006C70B7">
      <w:pPr>
        <w:pStyle w:val="Styl1"/>
        <w:numPr>
          <w:ilvl w:val="0"/>
          <w:numId w:val="11"/>
        </w:numPr>
      </w:pPr>
      <w:r w:rsidRPr="00EC250C">
        <w:t>Katarzyna Walewska</w:t>
      </w:r>
    </w:p>
    <w:p w14:paraId="183118A3" w14:textId="77777777" w:rsidR="00C91F6E" w:rsidRPr="00EC250C" w:rsidRDefault="00192982" w:rsidP="006C70B7">
      <w:pPr>
        <w:pStyle w:val="Styl1"/>
        <w:numPr>
          <w:ilvl w:val="0"/>
          <w:numId w:val="11"/>
        </w:numPr>
      </w:pPr>
      <w:r w:rsidRPr="00EC250C">
        <w:t>Jacek Wciórka</w:t>
      </w:r>
    </w:p>
    <w:p w14:paraId="2E8ADCD0" w14:textId="77777777" w:rsidR="00192982" w:rsidRPr="00EC250C" w:rsidRDefault="00192982" w:rsidP="006C70B7">
      <w:pPr>
        <w:pStyle w:val="Styl1"/>
        <w:numPr>
          <w:ilvl w:val="0"/>
          <w:numId w:val="11"/>
        </w:numPr>
      </w:pPr>
      <w:r w:rsidRPr="00EC250C">
        <w:t>Monika Zima-Parjaszewska</w:t>
      </w:r>
    </w:p>
    <w:p w14:paraId="2045E8DD" w14:textId="77777777" w:rsidR="00C91F6E" w:rsidRPr="00EC250C" w:rsidRDefault="00192982" w:rsidP="006C70B7">
      <w:pPr>
        <w:pStyle w:val="Styl1"/>
        <w:numPr>
          <w:ilvl w:val="0"/>
          <w:numId w:val="11"/>
        </w:numPr>
      </w:pPr>
      <w:r w:rsidRPr="00EC250C">
        <w:t>Karolina Goldstrom – sekretarz</w:t>
      </w:r>
    </w:p>
    <w:p w14:paraId="35031CD5" w14:textId="77777777" w:rsidR="00C91F6E" w:rsidRPr="00EC250C" w:rsidRDefault="00192982" w:rsidP="006C70B7">
      <w:pPr>
        <w:pStyle w:val="Styl1"/>
        <w:numPr>
          <w:ilvl w:val="0"/>
          <w:numId w:val="11"/>
        </w:numPr>
      </w:pPr>
      <w:r w:rsidRPr="00EC250C">
        <w:t>Joanna Koczorowska</w:t>
      </w:r>
    </w:p>
    <w:p w14:paraId="5375FA35" w14:textId="77777777" w:rsidR="00C91F6E" w:rsidRPr="00EC250C" w:rsidRDefault="00192982" w:rsidP="006C70B7">
      <w:pPr>
        <w:pStyle w:val="Styl1"/>
        <w:numPr>
          <w:ilvl w:val="0"/>
          <w:numId w:val="11"/>
        </w:numPr>
      </w:pPr>
      <w:r w:rsidRPr="00EC250C">
        <w:t>Krzysztof Kurowski</w:t>
      </w:r>
    </w:p>
    <w:p w14:paraId="700CB37E" w14:textId="77777777" w:rsidR="00C73FDE" w:rsidRPr="00EC250C" w:rsidRDefault="00C73FDE" w:rsidP="00D131FA">
      <w:pPr>
        <w:pStyle w:val="Srdtytul6"/>
        <w:jc w:val="both"/>
        <w:sectPr w:rsidR="00C73FDE" w:rsidRPr="00EC250C" w:rsidSect="00FC47F2">
          <w:type w:val="continuous"/>
          <w:pgSz w:w="11907" w:h="16840"/>
          <w:pgMar w:top="1418" w:right="1418" w:bottom="1418" w:left="1276" w:header="567" w:footer="567" w:gutter="0"/>
          <w:cols w:num="2" w:space="708"/>
          <w:titlePg/>
          <w:docGrid w:linePitch="354"/>
        </w:sectPr>
      </w:pPr>
    </w:p>
    <w:p w14:paraId="324EECB9" w14:textId="77777777" w:rsidR="00192982" w:rsidRPr="00EC250C" w:rsidRDefault="00192982" w:rsidP="00D131FA">
      <w:pPr>
        <w:pStyle w:val="Srdtytul6"/>
        <w:jc w:val="both"/>
      </w:pPr>
      <w:r w:rsidRPr="00EC250C">
        <w:t>Działania Komisji</w:t>
      </w:r>
    </w:p>
    <w:p w14:paraId="18DC4A1A" w14:textId="77777777" w:rsidR="00C91F6E" w:rsidRPr="00EC250C" w:rsidRDefault="00192982" w:rsidP="00D131FA">
      <w:pPr>
        <w:pStyle w:val="Styl1"/>
      </w:pPr>
      <w:r w:rsidRPr="00EC250C">
        <w:t>Podstawowym problemem, jaki został omówiony podczas posiedzenia Komisji Ekspertów 18 lipca 2018</w:t>
      </w:r>
      <w:r w:rsidR="00C91F6E" w:rsidRPr="00EC250C">
        <w:t> r.</w:t>
      </w:r>
      <w:r w:rsidRPr="00EC250C">
        <w:t xml:space="preserve"> była ocena procesu uruchamiania Centrów Zdrowia Psychicznego. Zwrócono uwagę na małą liczbę środków przeznaczonych na opiekę zdrowotną. W opinii członków Komisji wdrażaniu Pilotażu powinna towarzyszyć odpowiednia akcja informacyjna</w:t>
      </w:r>
      <w:r w:rsidR="00992FD0" w:rsidRPr="00EC250C">
        <w:t xml:space="preserve"> i </w:t>
      </w:r>
      <w:r w:rsidRPr="00EC250C">
        <w:t>edukacyjna. Jej brak może powodować niezadowolenie</w:t>
      </w:r>
      <w:r w:rsidR="00992FD0" w:rsidRPr="00EC250C">
        <w:t xml:space="preserve"> i </w:t>
      </w:r>
      <w:r w:rsidRPr="00EC250C">
        <w:t>niepotrzebną frustrację ujawnianą</w:t>
      </w:r>
      <w:r w:rsidR="00992FD0" w:rsidRPr="00EC250C">
        <w:t xml:space="preserve"> w </w:t>
      </w:r>
      <w:r w:rsidRPr="00EC250C">
        <w:t>internecie przez część podmiotów dotychczas realizujących umowy</w:t>
      </w:r>
      <w:r w:rsidR="00992FD0" w:rsidRPr="00EC250C">
        <w:t xml:space="preserve"> z </w:t>
      </w:r>
      <w:r w:rsidRPr="00EC250C">
        <w:t>NFZ. Program nie może robić wrażenia monopolizacji usług na danym terenie. Nie mogą też utracić kontraktu małe poradnie</w:t>
      </w:r>
      <w:r w:rsidR="00992FD0" w:rsidRPr="00EC250C">
        <w:t xml:space="preserve"> z </w:t>
      </w:r>
      <w:r w:rsidRPr="00EC250C">
        <w:t>uwagi na przywiązanie pacjentów psychiatrycznych do lekarzy. Bardzo ważna będzie ocena efektywności programu pilotażowego. Docelowo opieka psychiatryczna powinna zostać poddana kontroli społeczności lokalnej.</w:t>
      </w:r>
    </w:p>
    <w:p w14:paraId="56139991" w14:textId="77777777" w:rsidR="00192982" w:rsidRPr="00EC250C" w:rsidRDefault="00192982" w:rsidP="00D131FA">
      <w:pPr>
        <w:pStyle w:val="Styl1"/>
      </w:pPr>
      <w:r w:rsidRPr="00EC250C">
        <w:t>W opinii Ekspertów pilotaż otwiera drogę do włączenia się samorządów lokalnych</w:t>
      </w:r>
      <w:r w:rsidR="00992FD0" w:rsidRPr="00EC250C">
        <w:t xml:space="preserve"> w </w:t>
      </w:r>
      <w:r w:rsidRPr="00EC250C">
        <w:t>program poprawy całego systemu ochrony zdrowia psychicznego. Pozytywnie ocenić należy nowy element reformy, jakim jest deprofesjonalizacja usług</w:t>
      </w:r>
      <w:r w:rsidR="00992FD0" w:rsidRPr="00EC250C">
        <w:t xml:space="preserve"> i </w:t>
      </w:r>
      <w:r w:rsidRPr="00EC250C">
        <w:t>wprowadzenie asystentów leczenia. Członkowie Komisji zasygnalizowali, że centra rozpoczynają działalność</w:t>
      </w:r>
      <w:r w:rsidR="00992FD0" w:rsidRPr="00EC250C">
        <w:t xml:space="preserve"> w </w:t>
      </w:r>
      <w:r w:rsidRPr="00EC250C">
        <w:t>różnych warunkach, co pociąga za sobą pewne zagrożenia dla powodzenia całego przedsięwzięcia. Dlatego ważne będzie zharmonizowanie usług oraz spowodowanie, by punkty zgłoszeniowo-koordynacyjne nie były zwykłą rejestracją, lecz udzielały wsparcia</w:t>
      </w:r>
      <w:r w:rsidR="00992FD0" w:rsidRPr="00EC250C">
        <w:t xml:space="preserve"> i </w:t>
      </w:r>
      <w:r w:rsidRPr="00EC250C">
        <w:t>doradzały</w:t>
      </w:r>
      <w:r w:rsidR="00992FD0" w:rsidRPr="00EC250C">
        <w:t xml:space="preserve"> w </w:t>
      </w:r>
      <w:r w:rsidRPr="00EC250C">
        <w:t>kwestii leczenia już</w:t>
      </w:r>
      <w:r w:rsidR="00992FD0" w:rsidRPr="00EC250C">
        <w:t xml:space="preserve"> w </w:t>
      </w:r>
      <w:r w:rsidRPr="00EC250C">
        <w:t>czasie pierwszej wizyty. Celem Pilotażu jest przetestowanie</w:t>
      </w:r>
      <w:r w:rsidR="00992FD0" w:rsidRPr="00EC250C">
        <w:t xml:space="preserve"> w </w:t>
      </w:r>
      <w:r w:rsidRPr="00EC250C">
        <w:t>ciągu 3 lat nowych warunków organizacji</w:t>
      </w:r>
      <w:r w:rsidR="00992FD0" w:rsidRPr="00EC250C">
        <w:t xml:space="preserve"> i </w:t>
      </w:r>
      <w:r w:rsidRPr="00EC250C">
        <w:t>sposobu finansowania opieki psychiatrycznej. Następnie sprawdzone rozwiązania mogłyby zostać wprowadzone</w:t>
      </w:r>
      <w:r w:rsidR="00992FD0" w:rsidRPr="00EC250C">
        <w:t xml:space="preserve"> w </w:t>
      </w:r>
      <w:r w:rsidRPr="00EC250C">
        <w:t>całej Polsce. Rzecznik pozytywnie ocenił działania</w:t>
      </w:r>
      <w:r w:rsidR="00992FD0" w:rsidRPr="00EC250C">
        <w:t xml:space="preserve"> w </w:t>
      </w:r>
      <w:r w:rsidRPr="00EC250C">
        <w:t>zakresie wprowadzenia nowego modelu opieki psychiatrycznej</w:t>
      </w:r>
      <w:r w:rsidR="00992FD0" w:rsidRPr="00EC250C">
        <w:t xml:space="preserve"> w </w:t>
      </w:r>
      <w:r w:rsidRPr="00EC250C">
        <w:t>oparciu</w:t>
      </w:r>
      <w:r w:rsidR="00992FD0" w:rsidRPr="00EC250C">
        <w:t xml:space="preserve"> o </w:t>
      </w:r>
      <w:r w:rsidRPr="00EC250C">
        <w:t>Centra Zdrowia Psychicznego.</w:t>
      </w:r>
    </w:p>
    <w:p w14:paraId="48F72C83" w14:textId="77777777" w:rsidR="00192982" w:rsidRPr="00EC250C" w:rsidRDefault="00192982" w:rsidP="00D131FA">
      <w:pPr>
        <w:pStyle w:val="Srdtytul6"/>
        <w:jc w:val="both"/>
      </w:pPr>
      <w:r w:rsidRPr="00EC250C">
        <w:t>Co wymaga dalszej pracy</w:t>
      </w:r>
    </w:p>
    <w:p w14:paraId="4D737974" w14:textId="77777777" w:rsidR="00192982" w:rsidRPr="00EC250C" w:rsidRDefault="00192982" w:rsidP="00D131FA">
      <w:pPr>
        <w:pStyle w:val="Styl1"/>
      </w:pPr>
      <w:r w:rsidRPr="00EC250C">
        <w:t>Prawidłowa opieka zdrowotna</w:t>
      </w:r>
      <w:r w:rsidR="00992FD0" w:rsidRPr="00EC250C">
        <w:t xml:space="preserve"> w </w:t>
      </w:r>
      <w:r w:rsidRPr="00EC250C">
        <w:t>okresie dzieciństwa</w:t>
      </w:r>
      <w:r w:rsidR="00992FD0" w:rsidRPr="00EC250C">
        <w:t xml:space="preserve"> i </w:t>
      </w:r>
      <w:r w:rsidRPr="00EC250C">
        <w:t>młodości stanowi istotny czynnik, decydujący</w:t>
      </w:r>
      <w:r w:rsidR="00992FD0" w:rsidRPr="00EC250C">
        <w:t xml:space="preserve"> o </w:t>
      </w:r>
      <w:r w:rsidRPr="00EC250C">
        <w:t>kondycji zdrowia</w:t>
      </w:r>
      <w:r w:rsidR="00992FD0" w:rsidRPr="00EC250C">
        <w:t xml:space="preserve"> i </w:t>
      </w:r>
      <w:r w:rsidRPr="00EC250C">
        <w:t>jakości życia na jego dalszych etapach. Obszar związany</w:t>
      </w:r>
      <w:r w:rsidR="00992FD0" w:rsidRPr="00EC250C">
        <w:t xml:space="preserve"> z </w:t>
      </w:r>
      <w:r w:rsidRPr="00EC250C">
        <w:t>rozwojem psychospołecznym dzieci jest przedmiotem zainteresowania nie tylko Rzecznika Praw Dziecka, ale także Rzecznika Praw Obywatelskich.</w:t>
      </w:r>
    </w:p>
    <w:p w14:paraId="62072524" w14:textId="77777777" w:rsidR="00C91F6E" w:rsidRPr="00EC250C" w:rsidRDefault="00192982" w:rsidP="00D131FA">
      <w:pPr>
        <w:pStyle w:val="Styl1"/>
      </w:pPr>
      <w:r w:rsidRPr="00EC250C">
        <w:lastRenderedPageBreak/>
        <w:t>W ostatnich latach rośnie liczba dzieci hospitalizowanych</w:t>
      </w:r>
      <w:r w:rsidR="00992FD0" w:rsidRPr="00EC250C">
        <w:t xml:space="preserve"> z </w:t>
      </w:r>
      <w:r w:rsidRPr="00EC250C">
        <w:t>powodu zaburzeń psychicznych. W ocenie specjalistów psychiatra dziecięco-młodzieżowa jest niewydolna. System nie zabezpiecza potrzeb tego środowiska. Wypycha pacjentów</w:t>
      </w:r>
      <w:r w:rsidR="00992FD0" w:rsidRPr="00EC250C">
        <w:t xml:space="preserve"> i </w:t>
      </w:r>
      <w:r w:rsidRPr="00EC250C">
        <w:t>ich rodziny do szpitali,</w:t>
      </w:r>
      <w:r w:rsidR="00992FD0" w:rsidRPr="00EC250C">
        <w:t xml:space="preserve"> w </w:t>
      </w:r>
      <w:r w:rsidRPr="00EC250C">
        <w:t>których brakuje miejsc</w:t>
      </w:r>
      <w:r w:rsidR="00992FD0" w:rsidRPr="00EC250C">
        <w:t xml:space="preserve"> i </w:t>
      </w:r>
      <w:r w:rsidRPr="00EC250C">
        <w:t>personelu. Sytuacja wymaga działań systemowych, długoterminowych, ale też takich, które można podjąć natychmiast, by rozwiązać bieżące problemy. W szczególności należy podjąć skuteczne działania na rzecz profilaktyki</w:t>
      </w:r>
      <w:r w:rsidR="00992FD0" w:rsidRPr="00EC250C">
        <w:t xml:space="preserve"> i </w:t>
      </w:r>
      <w:r w:rsidRPr="00EC250C">
        <w:t>zapobiegania rosnącej liczbie samobójstw wśród dzieci</w:t>
      </w:r>
      <w:r w:rsidR="00992FD0" w:rsidRPr="00EC250C">
        <w:t xml:space="preserve"> i </w:t>
      </w:r>
      <w:r w:rsidRPr="00EC250C">
        <w:t>młodzieży.</w:t>
      </w:r>
    </w:p>
    <w:p w14:paraId="4728B34A" w14:textId="77777777" w:rsidR="00192982" w:rsidRPr="00EC250C" w:rsidRDefault="00192982" w:rsidP="00D131FA">
      <w:pPr>
        <w:pStyle w:val="Styl1"/>
      </w:pPr>
      <w:r w:rsidRPr="00EC250C">
        <w:t>Nadal aktualna pozostaje problematyka wykonywania środków zabezpieczających, wykonywanych</w:t>
      </w:r>
      <w:r w:rsidR="00992FD0" w:rsidRPr="00EC250C">
        <w:t xml:space="preserve"> w </w:t>
      </w:r>
      <w:r w:rsidRPr="00EC250C">
        <w:t>oddziałach psychiatrii sądowej oraz wobec sprawców, skierowanych na leczenie ambulatoryjne lub rehabilitacyjne</w:t>
      </w:r>
      <w:r w:rsidR="00992FD0" w:rsidRPr="00EC250C">
        <w:t xml:space="preserve"> w </w:t>
      </w:r>
      <w:r w:rsidRPr="00EC250C">
        <w:t>odpowiedniej placówce.</w:t>
      </w:r>
    </w:p>
    <w:p w14:paraId="7F72F638" w14:textId="77777777" w:rsidR="00C91F6E" w:rsidRPr="00EC250C" w:rsidRDefault="00192982" w:rsidP="00D131FA">
      <w:pPr>
        <w:pStyle w:val="Styl1"/>
      </w:pPr>
      <w:r w:rsidRPr="00EC250C">
        <w:t>W 2018</w:t>
      </w:r>
      <w:r w:rsidR="00C91F6E" w:rsidRPr="00EC250C">
        <w:t> r.</w:t>
      </w:r>
      <w:r w:rsidRPr="00EC250C">
        <w:t xml:space="preserve"> Rzecznik podjął także tematykę postępowania wobec osób</w:t>
      </w:r>
      <w:r w:rsidR="00992FD0" w:rsidRPr="00EC250C">
        <w:t xml:space="preserve"> z </w:t>
      </w:r>
      <w:r w:rsidRPr="00EC250C">
        <w:t>zaburzeniami psychicznymi stwarzających zagrożenie dla życia, zdrowia,</w:t>
      </w:r>
      <w:r w:rsidR="00992FD0" w:rsidRPr="00EC250C">
        <w:t xml:space="preserve"> i </w:t>
      </w:r>
      <w:r w:rsidRPr="00EC250C">
        <w:t>wolności seksualnej. Mimo wystąpień kierowanych do Ministra Zdrowia</w:t>
      </w:r>
      <w:r w:rsidR="00992FD0" w:rsidRPr="00EC250C">
        <w:t xml:space="preserve"> i </w:t>
      </w:r>
      <w:r w:rsidRPr="00EC250C">
        <w:t>Ministra Sprawiedliwości, problem nadal istnieje,</w:t>
      </w:r>
      <w:r w:rsidR="00992FD0" w:rsidRPr="00EC250C">
        <w:t xml:space="preserve"> a z </w:t>
      </w:r>
      <w:r w:rsidRPr="00EC250C">
        <w:t>uwagi na fakt, że KOZZD Gostynin nie mieści już kierowanych do niego pacjentów, stale się pogłębia. Poważnej refleksji wymaga koncepcja umieszczania pacjentów</w:t>
      </w:r>
      <w:r w:rsidR="00992FD0" w:rsidRPr="00EC250C">
        <w:t xml:space="preserve"> w </w:t>
      </w:r>
      <w:r w:rsidRPr="00EC250C">
        <w:t>Ośrodku, ich leczenia, zapewnienia humanitarnych warunków oraz zagwarantowania ich konstytucyjnych praw</w:t>
      </w:r>
      <w:r w:rsidR="00992FD0" w:rsidRPr="00EC250C">
        <w:t xml:space="preserve"> i </w:t>
      </w:r>
      <w:r w:rsidRPr="00EC250C">
        <w:t>wolności.</w:t>
      </w:r>
    </w:p>
    <w:p w14:paraId="785CC876" w14:textId="77777777" w:rsidR="00C91F6E" w:rsidRPr="00EC250C" w:rsidRDefault="00192982" w:rsidP="00D131FA">
      <w:pPr>
        <w:pStyle w:val="Styl1"/>
      </w:pPr>
      <w:r w:rsidRPr="00EC250C">
        <w:t>W 2019</w:t>
      </w:r>
      <w:r w:rsidR="00C91F6E" w:rsidRPr="00EC250C">
        <w:t> r.</w:t>
      </w:r>
      <w:r w:rsidRPr="00EC250C">
        <w:t xml:space="preserve"> mija 25 lat od przyjęcia przez ustawodawcę Ustawy</w:t>
      </w:r>
      <w:r w:rsidR="00992FD0" w:rsidRPr="00EC250C">
        <w:t xml:space="preserve"> o </w:t>
      </w:r>
      <w:r w:rsidRPr="00EC250C">
        <w:t>Ochronie Zdrowia Psychicznego. W związku</w:t>
      </w:r>
      <w:r w:rsidR="00992FD0" w:rsidRPr="00EC250C">
        <w:t xml:space="preserve"> z </w:t>
      </w:r>
      <w:r w:rsidRPr="00EC250C">
        <w:t>powyższym Komisja Ekspertów planuje przeprowadzenie dyskusji na temat konieczności nowelizacji istniejącej ustawy lub przyjęcia nowej.</w:t>
      </w:r>
    </w:p>
    <w:p w14:paraId="1A835C78" w14:textId="77777777" w:rsidR="00192982" w:rsidRPr="00EC250C" w:rsidRDefault="00192982" w:rsidP="00EC250C">
      <w:pPr>
        <w:pStyle w:val="Nagwek5"/>
      </w:pPr>
      <w:bookmarkStart w:id="869" w:name="_Toc6258062"/>
      <w:r w:rsidRPr="00EC250C">
        <w:t>I. Zespół ds. Alimentów</w:t>
      </w:r>
      <w:bookmarkEnd w:id="869"/>
    </w:p>
    <w:p w14:paraId="3C7F15FA" w14:textId="77777777" w:rsidR="00B473F5" w:rsidRPr="00EC250C" w:rsidRDefault="001D1FAA" w:rsidP="00D131FA">
      <w:pPr>
        <w:pStyle w:val="Problemczowieka"/>
        <w:jc w:val="both"/>
      </w:pPr>
      <w:r w:rsidRPr="00EC250C">
        <w:t xml:space="preserve">Wspólny Zespół </w:t>
      </w:r>
      <w:r w:rsidR="00192982" w:rsidRPr="00EC250C">
        <w:t>Rzecznik</w:t>
      </w:r>
      <w:r w:rsidRPr="00EC250C">
        <w:t>a</w:t>
      </w:r>
      <w:r w:rsidR="00192982" w:rsidRPr="00EC250C">
        <w:t xml:space="preserve"> Praw Obywatelskich</w:t>
      </w:r>
      <w:r w:rsidR="00992FD0" w:rsidRPr="00EC250C">
        <w:t xml:space="preserve"> i </w:t>
      </w:r>
      <w:r w:rsidR="00192982" w:rsidRPr="00EC250C">
        <w:t>Rzecznik</w:t>
      </w:r>
      <w:r w:rsidRPr="00EC250C">
        <w:t>a</w:t>
      </w:r>
      <w:r w:rsidR="00192982" w:rsidRPr="00EC250C">
        <w:t xml:space="preserve"> Praw Dziecka </w:t>
      </w:r>
      <w:r w:rsidRPr="00EC250C">
        <w:t>działa od 9 lutego 2016</w:t>
      </w:r>
      <w:r w:rsidR="00C91F6E" w:rsidRPr="00EC250C">
        <w:t> r.</w:t>
      </w:r>
      <w:r w:rsidR="00192982" w:rsidRPr="00EC250C">
        <w:t xml:space="preserve"> </w:t>
      </w:r>
      <w:r w:rsidRPr="00EC250C">
        <w:t xml:space="preserve">Jego </w:t>
      </w:r>
      <w:r w:rsidR="00192982" w:rsidRPr="00EC250C">
        <w:t>zadaniem jest poszukiwanie skutecznych rozwiązań, które</w:t>
      </w:r>
      <w:r w:rsidR="00992FD0" w:rsidRPr="00EC250C">
        <w:t xml:space="preserve"> z </w:t>
      </w:r>
      <w:r w:rsidR="00192982" w:rsidRPr="00EC250C">
        <w:t>jednej strony poprawiłyby skuteczność egzekucji alimentów,</w:t>
      </w:r>
      <w:r w:rsidR="00992FD0" w:rsidRPr="00EC250C">
        <w:t xml:space="preserve"> a z </w:t>
      </w:r>
      <w:r w:rsidR="00192982" w:rsidRPr="00EC250C">
        <w:t>drugiej upowszechniły zasadę ich regulowania przez osoby zobowiązane</w:t>
      </w:r>
      <w:r w:rsidR="00B473F5" w:rsidRPr="00EC250C">
        <w:t>.</w:t>
      </w:r>
    </w:p>
    <w:p w14:paraId="727ADC01" w14:textId="77777777" w:rsidR="00192982" w:rsidRPr="00EC250C" w:rsidRDefault="00F945CB" w:rsidP="00D131FA">
      <w:pPr>
        <w:pStyle w:val="Styl1"/>
      </w:pPr>
      <w:r w:rsidRPr="00EC250C">
        <w:t xml:space="preserve">W 2018 r. zakończyła się kadencja </w:t>
      </w:r>
      <w:r w:rsidR="001D1FAA" w:rsidRPr="00EC250C">
        <w:t>r</w:t>
      </w:r>
      <w:r w:rsidR="00192982" w:rsidRPr="00EC250C">
        <w:t xml:space="preserve">zecznika </w:t>
      </w:r>
      <w:r w:rsidR="001D1FAA" w:rsidRPr="00EC250C">
        <w:t>p</w:t>
      </w:r>
      <w:r w:rsidR="00192982" w:rsidRPr="00EC250C">
        <w:t xml:space="preserve">raw </w:t>
      </w:r>
      <w:r w:rsidR="001D1FAA" w:rsidRPr="00EC250C">
        <w:t>d</w:t>
      </w:r>
      <w:r w:rsidR="00192982" w:rsidRPr="00EC250C">
        <w:t>ziecka Marka Michalaka</w:t>
      </w:r>
      <w:r w:rsidRPr="00EC250C">
        <w:t xml:space="preserve">. W oczekiwaniu na </w:t>
      </w:r>
      <w:r w:rsidR="001D1FAA" w:rsidRPr="00EC250C">
        <w:t>powołanie nowego rzecznika</w:t>
      </w:r>
      <w:r w:rsidR="001D1FAA" w:rsidRPr="00EC250C">
        <w:rPr>
          <w:vertAlign w:val="superscript"/>
        </w:rPr>
        <w:footnoteReference w:id="855"/>
      </w:r>
      <w:r w:rsidR="006F460F" w:rsidRPr="00EC250C">
        <w:t xml:space="preserve"> zespół zawiesił pracę. Zostały one </w:t>
      </w:r>
      <w:r w:rsidR="00192982" w:rsidRPr="00EC250C">
        <w:t>wznowione</w:t>
      </w:r>
      <w:r w:rsidR="00992FD0" w:rsidRPr="00EC250C">
        <w:t xml:space="preserve"> w </w:t>
      </w:r>
      <w:r w:rsidR="00192982" w:rsidRPr="00EC250C">
        <w:t>2019</w:t>
      </w:r>
      <w:r w:rsidR="00C91F6E" w:rsidRPr="00EC250C">
        <w:t> r.</w:t>
      </w:r>
    </w:p>
    <w:p w14:paraId="6E56F770" w14:textId="77777777" w:rsidR="00192982" w:rsidRPr="00EC250C" w:rsidRDefault="00192982" w:rsidP="00D131FA">
      <w:pPr>
        <w:pStyle w:val="Srdtytul6"/>
        <w:spacing w:after="0"/>
        <w:jc w:val="both"/>
      </w:pPr>
      <w:r w:rsidRPr="00EC250C">
        <w:t>Skład Zespołu ds. Alimentów</w:t>
      </w:r>
    </w:p>
    <w:p w14:paraId="195F853E" w14:textId="77777777" w:rsidR="00C73FDE" w:rsidRPr="00EC250C" w:rsidRDefault="00C73FDE" w:rsidP="00D131FA">
      <w:pPr>
        <w:pStyle w:val="Styl1"/>
        <w:numPr>
          <w:ilvl w:val="0"/>
          <w:numId w:val="9"/>
        </w:numPr>
        <w:sectPr w:rsidR="00C73FDE" w:rsidRPr="00EC250C" w:rsidSect="00FC47F2">
          <w:type w:val="continuous"/>
          <w:pgSz w:w="11907" w:h="16840"/>
          <w:pgMar w:top="1418" w:right="1418" w:bottom="1418" w:left="1276" w:header="567" w:footer="567" w:gutter="0"/>
          <w:cols w:space="708"/>
          <w:titlePg/>
          <w:docGrid w:linePitch="354"/>
        </w:sectPr>
      </w:pPr>
    </w:p>
    <w:p w14:paraId="00875140" w14:textId="77777777" w:rsidR="00C91F6E" w:rsidRPr="00EC250C" w:rsidRDefault="00192982" w:rsidP="00D131FA">
      <w:pPr>
        <w:pStyle w:val="Styl1"/>
        <w:numPr>
          <w:ilvl w:val="0"/>
          <w:numId w:val="9"/>
        </w:numPr>
      </w:pPr>
      <w:r w:rsidRPr="00EC250C">
        <w:t>Grzegorz Baczewski</w:t>
      </w:r>
    </w:p>
    <w:p w14:paraId="6244C0CA" w14:textId="77777777" w:rsidR="00C91F6E" w:rsidRPr="00EC250C" w:rsidRDefault="00192982" w:rsidP="00D131FA">
      <w:pPr>
        <w:pStyle w:val="Styl1"/>
        <w:numPr>
          <w:ilvl w:val="0"/>
          <w:numId w:val="9"/>
        </w:numPr>
      </w:pPr>
      <w:r w:rsidRPr="00EC250C">
        <w:t>Robert Damski</w:t>
      </w:r>
    </w:p>
    <w:p w14:paraId="02A4FC99" w14:textId="77777777" w:rsidR="00C91F6E" w:rsidRPr="00EC250C" w:rsidRDefault="00192982" w:rsidP="00D131FA">
      <w:pPr>
        <w:pStyle w:val="Styl1"/>
        <w:numPr>
          <w:ilvl w:val="0"/>
          <w:numId w:val="9"/>
        </w:numPr>
      </w:pPr>
      <w:r w:rsidRPr="00EC250C">
        <w:t>Małgorzata Druciarek</w:t>
      </w:r>
    </w:p>
    <w:p w14:paraId="0E7B3827" w14:textId="77777777" w:rsidR="00C91F6E" w:rsidRPr="00EC250C" w:rsidRDefault="00192982" w:rsidP="00D131FA">
      <w:pPr>
        <w:pStyle w:val="Styl1"/>
        <w:numPr>
          <w:ilvl w:val="0"/>
          <w:numId w:val="9"/>
        </w:numPr>
      </w:pPr>
      <w:r w:rsidRPr="00EC250C">
        <w:t>Elżbieta Korolczuk</w:t>
      </w:r>
    </w:p>
    <w:p w14:paraId="2825D6FC" w14:textId="77777777" w:rsidR="00C91F6E" w:rsidRPr="00EC250C" w:rsidRDefault="00192982" w:rsidP="00D131FA">
      <w:pPr>
        <w:pStyle w:val="Styl1"/>
        <w:numPr>
          <w:ilvl w:val="0"/>
          <w:numId w:val="9"/>
        </w:numPr>
      </w:pPr>
      <w:r w:rsidRPr="00EC250C">
        <w:t>Jacek Kosonoga</w:t>
      </w:r>
    </w:p>
    <w:p w14:paraId="4EB54F79" w14:textId="77777777" w:rsidR="00C91F6E" w:rsidRPr="00EC250C" w:rsidRDefault="00192982" w:rsidP="00D131FA">
      <w:pPr>
        <w:pStyle w:val="Styl1"/>
        <w:numPr>
          <w:ilvl w:val="0"/>
          <w:numId w:val="9"/>
        </w:numPr>
      </w:pPr>
      <w:r w:rsidRPr="00EC250C">
        <w:t>Paweł Nasiłowski</w:t>
      </w:r>
    </w:p>
    <w:p w14:paraId="1CB6AB34" w14:textId="77777777" w:rsidR="00C91F6E" w:rsidRPr="00EC250C" w:rsidRDefault="00192982" w:rsidP="00D131FA">
      <w:pPr>
        <w:pStyle w:val="Styl1"/>
        <w:numPr>
          <w:ilvl w:val="0"/>
          <w:numId w:val="9"/>
        </w:numPr>
      </w:pPr>
      <w:r w:rsidRPr="00EC250C">
        <w:t>Roman Pomianowski</w:t>
      </w:r>
    </w:p>
    <w:p w14:paraId="26D29FFE" w14:textId="77777777" w:rsidR="00C91F6E" w:rsidRPr="00EC250C" w:rsidRDefault="00192982" w:rsidP="00D131FA">
      <w:pPr>
        <w:pStyle w:val="Styl1"/>
        <w:numPr>
          <w:ilvl w:val="0"/>
          <w:numId w:val="9"/>
        </w:numPr>
      </w:pPr>
      <w:r w:rsidRPr="00EC250C">
        <w:t>Katarzyna Stadnik</w:t>
      </w:r>
    </w:p>
    <w:p w14:paraId="79508C4A" w14:textId="77777777" w:rsidR="00C91F6E" w:rsidRPr="00EC250C" w:rsidRDefault="00192982" w:rsidP="00D131FA">
      <w:pPr>
        <w:pStyle w:val="Styl1"/>
        <w:numPr>
          <w:ilvl w:val="0"/>
          <w:numId w:val="9"/>
        </w:numPr>
      </w:pPr>
      <w:r w:rsidRPr="00EC250C">
        <w:t>Monika Kaczmarek-Śliwińska</w:t>
      </w:r>
    </w:p>
    <w:p w14:paraId="2222FBDB" w14:textId="77777777" w:rsidR="00C91F6E" w:rsidRPr="00EC250C" w:rsidRDefault="00192982" w:rsidP="00D131FA">
      <w:pPr>
        <w:pStyle w:val="Styl1"/>
        <w:numPr>
          <w:ilvl w:val="0"/>
          <w:numId w:val="9"/>
        </w:numPr>
      </w:pPr>
      <w:r w:rsidRPr="00EC250C">
        <w:t>Marta Tomkiewicz</w:t>
      </w:r>
    </w:p>
    <w:p w14:paraId="3324B589" w14:textId="77777777" w:rsidR="00C91F6E" w:rsidRPr="00EC250C" w:rsidRDefault="00192982" w:rsidP="00D131FA">
      <w:pPr>
        <w:pStyle w:val="Styl1"/>
        <w:numPr>
          <w:ilvl w:val="0"/>
          <w:numId w:val="9"/>
        </w:numPr>
      </w:pPr>
      <w:r w:rsidRPr="00EC250C">
        <w:t>Grzegorz Wrona</w:t>
      </w:r>
    </w:p>
    <w:p w14:paraId="22550C5B" w14:textId="77777777" w:rsidR="00C91F6E" w:rsidRPr="00EC250C" w:rsidRDefault="00192982" w:rsidP="00D131FA">
      <w:pPr>
        <w:pStyle w:val="Styl1"/>
        <w:numPr>
          <w:ilvl w:val="0"/>
          <w:numId w:val="9"/>
        </w:numPr>
      </w:pPr>
      <w:r w:rsidRPr="00EC250C">
        <w:t>Iwona Janeczek-Żak</w:t>
      </w:r>
    </w:p>
    <w:p w14:paraId="33C7D2C1" w14:textId="77777777" w:rsidR="00C73FDE" w:rsidRPr="00EC250C" w:rsidRDefault="00C73FDE" w:rsidP="00D131FA">
      <w:pPr>
        <w:pStyle w:val="Styl1"/>
        <w:sectPr w:rsidR="00C73FDE" w:rsidRPr="00EC250C" w:rsidSect="00FC47F2">
          <w:type w:val="continuous"/>
          <w:pgSz w:w="11907" w:h="16840"/>
          <w:pgMar w:top="1418" w:right="1418" w:bottom="1418" w:left="1276" w:header="567" w:footer="567" w:gutter="0"/>
          <w:cols w:num="2" w:space="708"/>
          <w:titlePg/>
          <w:docGrid w:linePitch="354"/>
        </w:sectPr>
      </w:pPr>
    </w:p>
    <w:p w14:paraId="13ED0BD6" w14:textId="77777777" w:rsidR="00C91F6E" w:rsidRPr="00EC250C" w:rsidRDefault="00192982" w:rsidP="00D131FA">
      <w:pPr>
        <w:pStyle w:val="Styl1"/>
      </w:pPr>
      <w:r w:rsidRPr="00EC250C">
        <w:lastRenderedPageBreak/>
        <w:t xml:space="preserve">W posiedzeniach Zespołu uczestniczyły również inne osoby, </w:t>
      </w:r>
      <w:r w:rsidR="006F460F" w:rsidRPr="00EC250C">
        <w:t xml:space="preserve">którym też zawdzięczamy </w:t>
      </w:r>
      <w:r w:rsidRPr="00EC250C">
        <w:t>konstruktyw</w:t>
      </w:r>
      <w:r w:rsidR="006F460F" w:rsidRPr="00EC250C">
        <w:t>ną</w:t>
      </w:r>
      <w:r w:rsidRPr="00EC250C">
        <w:t xml:space="preserve"> dyskusj</w:t>
      </w:r>
      <w:r w:rsidR="006F460F" w:rsidRPr="00EC250C">
        <w:t>ę</w:t>
      </w:r>
      <w:r w:rsidRPr="00EC250C">
        <w:t>. Byli to: Justyna Żukowska-Gołębiewska – psycholog, Mariusz Kotlarczyk, Antoni Nowakowski</w:t>
      </w:r>
      <w:r w:rsidR="00992FD0" w:rsidRPr="00EC250C">
        <w:t xml:space="preserve"> i </w:t>
      </w:r>
      <w:r w:rsidRPr="00EC250C">
        <w:t>Luiza Kajtaniak ze Stowarzyszenia Dzieciakom.org, Marcin Borek</w:t>
      </w:r>
      <w:r w:rsidR="00992FD0" w:rsidRPr="00EC250C">
        <w:t xml:space="preserve"> i </w:t>
      </w:r>
      <w:r w:rsidRPr="00EC250C">
        <w:t>Remigiusz Wasiak</w:t>
      </w:r>
      <w:r w:rsidR="00992FD0" w:rsidRPr="00EC250C">
        <w:t xml:space="preserve"> z </w:t>
      </w:r>
      <w:r w:rsidRPr="00EC250C">
        <w:t>Krajowej Rady Komorniczej oraz Agata Chełstowska</w:t>
      </w:r>
      <w:r w:rsidR="00992FD0" w:rsidRPr="00EC250C">
        <w:t xml:space="preserve"> z </w:t>
      </w:r>
      <w:r w:rsidRPr="00EC250C">
        <w:t>Instytutu Stosowanych Nauk Społecznych UW.</w:t>
      </w:r>
    </w:p>
    <w:p w14:paraId="07EBBC6E" w14:textId="77777777" w:rsidR="00192982" w:rsidRPr="00EC250C" w:rsidRDefault="00192982" w:rsidP="00D131FA">
      <w:pPr>
        <w:pStyle w:val="Srdtytul6"/>
        <w:jc w:val="both"/>
      </w:pPr>
      <w:r w:rsidRPr="00EC250C">
        <w:t>Działania Zespołu</w:t>
      </w:r>
    </w:p>
    <w:p w14:paraId="79A87776" w14:textId="77777777" w:rsidR="00192982" w:rsidRPr="00EC250C" w:rsidRDefault="00192982" w:rsidP="00D131FA">
      <w:pPr>
        <w:pStyle w:val="Styl1"/>
      </w:pPr>
      <w:r w:rsidRPr="00EC250C">
        <w:t>Zespół, mając za sobą trzy lata działalności, zauważa wciąż nierozwiązany problem ogólnopolskiej kampanii społecznej uświadamiającej problem niealimentacji oraz zmieniający stereotypy</w:t>
      </w:r>
      <w:r w:rsidR="00992FD0" w:rsidRPr="00EC250C">
        <w:t xml:space="preserve"> w </w:t>
      </w:r>
      <w:r w:rsidRPr="00EC250C">
        <w:t>tym obszarze. Zespół od początku zwraca uwagę na zaniedbywany dotąd obszar komunikowania społecznego</w:t>
      </w:r>
      <w:r w:rsidR="00992FD0" w:rsidRPr="00EC250C">
        <w:t xml:space="preserve"> w </w:t>
      </w:r>
      <w:r w:rsidRPr="00EC250C">
        <w:t>zakresie niealimentacji. Dotyczy to zarówno komunikowania społecznego</w:t>
      </w:r>
      <w:r w:rsidR="00992FD0" w:rsidRPr="00EC250C">
        <w:t xml:space="preserve"> w </w:t>
      </w:r>
      <w:r w:rsidRPr="00EC250C">
        <w:t>warstwie językowej wykorzystywanej</w:t>
      </w:r>
      <w:r w:rsidR="00992FD0" w:rsidRPr="00EC250C">
        <w:t xml:space="preserve"> w </w:t>
      </w:r>
      <w:r w:rsidRPr="00EC250C">
        <w:t>życiu codziennym</w:t>
      </w:r>
      <w:r w:rsidR="00992FD0" w:rsidRPr="00EC250C">
        <w:t xml:space="preserve"> i </w:t>
      </w:r>
      <w:r w:rsidRPr="00EC250C">
        <w:t>przekazach medialnych, jak</w:t>
      </w:r>
      <w:r w:rsidR="00992FD0" w:rsidRPr="00EC250C">
        <w:t xml:space="preserve"> i w </w:t>
      </w:r>
      <w:r w:rsidRPr="00EC250C">
        <w:t>komunikowaniu masowym poprzez kampanie społeczne.</w:t>
      </w:r>
    </w:p>
    <w:p w14:paraId="4EFBF037" w14:textId="77777777" w:rsidR="00192982" w:rsidRPr="00EC250C" w:rsidRDefault="00192982" w:rsidP="00D131FA">
      <w:pPr>
        <w:pStyle w:val="Styl1"/>
      </w:pPr>
      <w:r w:rsidRPr="00EC250C">
        <w:t>Już</w:t>
      </w:r>
      <w:r w:rsidR="00992FD0" w:rsidRPr="00EC250C">
        <w:t xml:space="preserve"> w </w:t>
      </w:r>
      <w:r w:rsidRPr="00EC250C">
        <w:t>roku 2016</w:t>
      </w:r>
      <w:r w:rsidR="00992FD0" w:rsidRPr="00EC250C">
        <w:t xml:space="preserve"> w </w:t>
      </w:r>
      <w:r w:rsidRPr="00EC250C">
        <w:t xml:space="preserve">ramach prac Zespołu podniesiony został m.in. postulat przeprowadzenia kampanii społecznej, </w:t>
      </w:r>
      <w:r w:rsidR="00F945CB" w:rsidRPr="00EC250C">
        <w:t xml:space="preserve">której celem byłoby </w:t>
      </w:r>
      <w:r w:rsidRPr="00EC250C">
        <w:t>uświadomienie problemu niealimentacji</w:t>
      </w:r>
      <w:r w:rsidR="00992FD0" w:rsidRPr="00EC250C">
        <w:t xml:space="preserve"> i </w:t>
      </w:r>
      <w:r w:rsidRPr="00EC250C">
        <w:t>zmobilizowanie dłużników alimentacyjnych do regulowania zobowiązań wobec własnych dzieci. Z takim też postulatem – przeprowadzenia kampanii społecznej – Rzecznicy zwrócili się do Minister Rodziny Pracy</w:t>
      </w:r>
      <w:r w:rsidR="00992FD0" w:rsidRPr="00EC250C">
        <w:t xml:space="preserve"> i </w:t>
      </w:r>
      <w:r w:rsidRPr="00EC250C">
        <w:t>Polityki Społecznej.</w:t>
      </w:r>
    </w:p>
    <w:p w14:paraId="323B3BAF" w14:textId="77777777" w:rsidR="00192982" w:rsidRPr="00EC250C" w:rsidRDefault="00192982" w:rsidP="00D131FA">
      <w:pPr>
        <w:pStyle w:val="Styl1"/>
      </w:pPr>
      <w:r w:rsidRPr="00EC250C">
        <w:t>W efekcie wystąpienia RPO</w:t>
      </w:r>
      <w:r w:rsidR="00992FD0" w:rsidRPr="00EC250C">
        <w:t xml:space="preserve"> i </w:t>
      </w:r>
      <w:r w:rsidRPr="00EC250C">
        <w:t>RPD oraz Stowarzyszenia „Dla Naszych Dzieci”</w:t>
      </w:r>
      <w:r w:rsidR="00992FD0" w:rsidRPr="00EC250C">
        <w:t xml:space="preserve"> w </w:t>
      </w:r>
      <w:r w:rsidRPr="00EC250C">
        <w:t>maju 2016</w:t>
      </w:r>
      <w:r w:rsidR="00C91F6E" w:rsidRPr="00EC250C">
        <w:t> r.</w:t>
      </w:r>
      <w:r w:rsidRPr="00EC250C">
        <w:t xml:space="preserve"> przedstawiciele Ministerstwa Rodziny, Pracy</w:t>
      </w:r>
      <w:r w:rsidR="00992FD0" w:rsidRPr="00EC250C">
        <w:t xml:space="preserve"> i </w:t>
      </w:r>
      <w:r w:rsidRPr="00EC250C">
        <w:t>Polityki Społecznej zorganizowali spotkanie</w:t>
      </w:r>
      <w:r w:rsidR="00992FD0" w:rsidRPr="00EC250C">
        <w:t xml:space="preserve"> z </w:t>
      </w:r>
      <w:r w:rsidRPr="00EC250C">
        <w:t>przedstawicielkami ww. Stowarzyszenia. Nadzieje wiązały się</w:t>
      </w:r>
      <w:r w:rsidR="00992FD0" w:rsidRPr="00EC250C">
        <w:t xml:space="preserve"> z </w:t>
      </w:r>
      <w:r w:rsidRPr="00EC250C">
        <w:t>faktem wysłuchania, jak również możliwością przekazania uwag mających wpłynąć na jakość tworzonego przekazu. Okazały się one jednak płonne, gdyż większość</w:t>
      </w:r>
      <w:r w:rsidR="00992FD0" w:rsidRPr="00EC250C">
        <w:t xml:space="preserve"> z </w:t>
      </w:r>
      <w:r w:rsidRPr="00EC250C">
        <w:t>nich nie została uwzględniona, zaś spot informacyjny (w ramach akcji informacyjnej „Odpowiedzialny Rodzic Płaci”) –</w:t>
      </w:r>
      <w:r w:rsidR="00992FD0" w:rsidRPr="00EC250C">
        <w:t xml:space="preserve"> w </w:t>
      </w:r>
      <w:r w:rsidRPr="00EC250C">
        <w:t>opinii Zespołu – mógł utrwalać negatywne stereotypy,</w:t>
      </w:r>
      <w:r w:rsidR="00992FD0" w:rsidRPr="00EC250C">
        <w:t xml:space="preserve"> a </w:t>
      </w:r>
      <w:r w:rsidRPr="00EC250C">
        <w:t>jego zawartość informacyjno-edukacyjna niosła ubogie treści, przez co istniało ryzyko trywializacji tematu niealimentacji oraz dzieci</w:t>
      </w:r>
      <w:r w:rsidR="00992FD0" w:rsidRPr="00EC250C">
        <w:t xml:space="preserve"> w </w:t>
      </w:r>
      <w:r w:rsidRPr="00EC250C">
        <w:t>tym procesie.</w:t>
      </w:r>
    </w:p>
    <w:p w14:paraId="256D69EA" w14:textId="77777777" w:rsidR="00C91F6E" w:rsidRPr="00EC250C" w:rsidRDefault="00192982" w:rsidP="00D131FA">
      <w:pPr>
        <w:pStyle w:val="Styl1"/>
      </w:pPr>
      <w:r w:rsidRPr="00EC250C">
        <w:t>Eksperci Zespołu mają świadomość, że realizacja kampanii społecznej</w:t>
      </w:r>
      <w:r w:rsidR="00992FD0" w:rsidRPr="00EC250C">
        <w:t xml:space="preserve"> w </w:t>
      </w:r>
      <w:r w:rsidRPr="00EC250C">
        <w:t>zakresie niealimentacji wiąże się</w:t>
      </w:r>
      <w:r w:rsidR="00992FD0" w:rsidRPr="00EC250C">
        <w:t xml:space="preserve"> z </w:t>
      </w:r>
      <w:r w:rsidRPr="00EC250C">
        <w:t>dwoma podstawowymi wyzwaniami. Pierwszy to dobrze opracowana, skuteczna strategia komunikacyjna uwzględniająca wyżej zaznaczone kwestie, drugi to problem finansowy. Problem niealimentacji jest tematem międzyresortowym</w:t>
      </w:r>
      <w:r w:rsidR="00992FD0" w:rsidRPr="00EC250C">
        <w:t xml:space="preserve"> i </w:t>
      </w:r>
      <w:r w:rsidRPr="00EC250C">
        <w:t>ogólnospołecznym, skomplikowanym, niechętnie komunikowanym. Niestety, jak dotąd nie udało się uzyskać porozumienia</w:t>
      </w:r>
      <w:r w:rsidR="00992FD0" w:rsidRPr="00EC250C">
        <w:t xml:space="preserve"> z </w:t>
      </w:r>
      <w:r w:rsidRPr="00EC250C">
        <w:t>odpowiednimi ministerstwami odnośnie kampanii społecznej uwzględniającej uwagi</w:t>
      </w:r>
      <w:r w:rsidR="00992FD0" w:rsidRPr="00EC250C">
        <w:t xml:space="preserve"> i </w:t>
      </w:r>
      <w:r w:rsidRPr="00EC250C">
        <w:t>sugestie Zespołu.</w:t>
      </w:r>
    </w:p>
    <w:p w14:paraId="7184F877" w14:textId="77777777" w:rsidR="00192982" w:rsidRPr="00EC250C" w:rsidRDefault="00192982" w:rsidP="006C70B7">
      <w:pPr>
        <w:pStyle w:val="Styl1"/>
        <w:numPr>
          <w:ilvl w:val="0"/>
          <w:numId w:val="19"/>
        </w:numPr>
        <w:rPr>
          <w:i/>
        </w:rPr>
      </w:pPr>
      <w:r w:rsidRPr="00EC250C">
        <w:rPr>
          <w:i/>
        </w:rPr>
        <w:t>Posiedzenia Zespołu</w:t>
      </w:r>
    </w:p>
    <w:p w14:paraId="153CF1DB" w14:textId="77777777" w:rsidR="00C91F6E" w:rsidRPr="00EC250C" w:rsidRDefault="00192982" w:rsidP="00D131FA">
      <w:pPr>
        <w:pStyle w:val="Styl1"/>
      </w:pPr>
      <w:r w:rsidRPr="00EC250C">
        <w:lastRenderedPageBreak/>
        <w:t>Dziesięć posiedzeń Zespołu do spraw Alimentów, jakie odbyły się</w:t>
      </w:r>
      <w:r w:rsidR="00992FD0" w:rsidRPr="00EC250C">
        <w:t xml:space="preserve"> w </w:t>
      </w:r>
      <w:r w:rsidRPr="00EC250C">
        <w:t xml:space="preserve">ciągu </w:t>
      </w:r>
      <w:r w:rsidR="001D1FAA" w:rsidRPr="00EC250C">
        <w:t>trzech</w:t>
      </w:r>
      <w:r w:rsidRPr="00EC250C">
        <w:t xml:space="preserve"> lat jego działalności, to czas poświęcony</w:t>
      </w:r>
      <w:r w:rsidR="00992FD0" w:rsidRPr="00EC250C">
        <w:t xml:space="preserve"> w </w:t>
      </w:r>
      <w:r w:rsidRPr="00EC250C">
        <w:t>interdyscyplinarnym gronie na dyskusję merytoryczną nad możliwościami poprawienia problemu systemowego, jakim jest</w:t>
      </w:r>
      <w:r w:rsidR="00992FD0" w:rsidRPr="00EC250C">
        <w:t xml:space="preserve"> w </w:t>
      </w:r>
      <w:r w:rsidRPr="00EC250C">
        <w:t>Polsce niealimentacja. Skala zadłużenia jest ogromna (ponad 11 mld zł), stąd każda propozycja, która doprowadzi do zmiany tego stanu rzeczy jest warta uwagi. Analiza przeprowadzonych badań naukowych na ten temat poszerza wiedzę</w:t>
      </w:r>
      <w:r w:rsidR="00992FD0" w:rsidRPr="00EC250C">
        <w:t xml:space="preserve"> i </w:t>
      </w:r>
      <w:r w:rsidRPr="00EC250C">
        <w:t>stwarza pole do dalszej dyskusji, podobnie jak zestawienie polskiego systemu prawnego</w:t>
      </w:r>
      <w:r w:rsidR="00992FD0" w:rsidRPr="00EC250C">
        <w:t xml:space="preserve"> z </w:t>
      </w:r>
      <w:r w:rsidRPr="00EC250C">
        <w:t>zagranicznymi rozwiązaniami.</w:t>
      </w:r>
    </w:p>
    <w:p w14:paraId="5E172584" w14:textId="77777777" w:rsidR="00C91F6E" w:rsidRPr="00EC250C" w:rsidRDefault="00192982" w:rsidP="00D131FA">
      <w:pPr>
        <w:pStyle w:val="Styl1"/>
      </w:pPr>
      <w:r w:rsidRPr="00EC250C">
        <w:t>6 grudnia 2018</w:t>
      </w:r>
      <w:r w:rsidR="00C91F6E" w:rsidRPr="00EC250C">
        <w:t> r.</w:t>
      </w:r>
      <w:r w:rsidRPr="00EC250C">
        <w:t xml:space="preserve"> Sejm uchwalił ustawę</w:t>
      </w:r>
      <w:r w:rsidR="00992FD0" w:rsidRPr="00EC250C">
        <w:t xml:space="preserve"> o </w:t>
      </w:r>
      <w:r w:rsidRPr="00EC250C">
        <w:t>zmianie niektórych ustaw</w:t>
      </w:r>
      <w:r w:rsidR="00992FD0" w:rsidRPr="00EC250C">
        <w:t xml:space="preserve"> w </w:t>
      </w:r>
      <w:r w:rsidRPr="00EC250C">
        <w:t>celu poprawy skuteczności egzekucji świadczeń alimentacyjnych</w:t>
      </w:r>
      <w:r w:rsidRPr="00EC250C">
        <w:rPr>
          <w:vertAlign w:val="superscript"/>
        </w:rPr>
        <w:footnoteReference w:id="856"/>
      </w:r>
      <w:r w:rsidRPr="00EC250C">
        <w:t xml:space="preserve">. Zespół </w:t>
      </w:r>
      <w:r w:rsidR="001D1FAA" w:rsidRPr="00EC250C">
        <w:t xml:space="preserve">ds. </w:t>
      </w:r>
      <w:r w:rsidRPr="00EC250C">
        <w:t>alimentów będzie analizował nowe regulacje</w:t>
      </w:r>
      <w:r w:rsidR="00992FD0" w:rsidRPr="00EC250C">
        <w:t xml:space="preserve"> i </w:t>
      </w:r>
      <w:r w:rsidRPr="00EC250C">
        <w:t>ich praktyczne wykorzystanie,</w:t>
      </w:r>
      <w:r w:rsidR="00992FD0" w:rsidRPr="00EC250C">
        <w:t xml:space="preserve"> a w </w:t>
      </w:r>
      <w:r w:rsidRPr="00EC250C">
        <w:t>szczególności ich wpływ na poziom ściągalności alimentów.</w:t>
      </w:r>
    </w:p>
    <w:p w14:paraId="39071351" w14:textId="77777777" w:rsidR="00192982" w:rsidRPr="00EC250C" w:rsidRDefault="00192982" w:rsidP="00D131FA">
      <w:pPr>
        <w:pStyle w:val="Styl1"/>
      </w:pPr>
      <w:r w:rsidRPr="00EC250C">
        <w:t>Część nowych regulacji, uchwalonych</w:t>
      </w:r>
      <w:r w:rsidR="00992FD0" w:rsidRPr="00EC250C">
        <w:t xml:space="preserve"> w </w:t>
      </w:r>
      <w:r w:rsidRPr="00EC250C">
        <w:t>ramach tzw. pakietu alimentacyjnego, odpowiada oczekiwaniom Zespołu. Pojawiły się też nowe elementy, jak możliwość prowadzenia egzekucji</w:t>
      </w:r>
      <w:r w:rsidR="00992FD0" w:rsidRPr="00EC250C">
        <w:t xml:space="preserve"> z </w:t>
      </w:r>
      <w:r w:rsidRPr="00EC250C">
        <w:t>części diet przysługujących</w:t>
      </w:r>
      <w:r w:rsidR="00992FD0" w:rsidRPr="00EC250C">
        <w:t xml:space="preserve"> z </w:t>
      </w:r>
      <w:r w:rsidRPr="00EC250C">
        <w:t>tytułu podróży służbowych, czy nałożenia grzywny na pracodawcę za wypłacanie wynagrodzenia wyższego niż wynikającego</w:t>
      </w:r>
      <w:r w:rsidR="00992FD0" w:rsidRPr="00EC250C">
        <w:t xml:space="preserve"> z </w:t>
      </w:r>
      <w:r w:rsidRPr="00EC250C">
        <w:t>zawartej umowy</w:t>
      </w:r>
      <w:r w:rsidR="00992FD0" w:rsidRPr="00EC250C">
        <w:t xml:space="preserve"> o </w:t>
      </w:r>
      <w:r w:rsidRPr="00EC250C">
        <w:t>pracę.</w:t>
      </w:r>
    </w:p>
    <w:p w14:paraId="5F7CE683" w14:textId="77777777" w:rsidR="00192982" w:rsidRPr="00EC250C" w:rsidRDefault="00192982" w:rsidP="00D131FA">
      <w:pPr>
        <w:pStyle w:val="Styl1"/>
      </w:pPr>
      <w:r w:rsidRPr="00EC250C">
        <w:t>W 2018</w:t>
      </w:r>
      <w:r w:rsidR="00C91F6E" w:rsidRPr="00EC250C">
        <w:t> r.</w:t>
      </w:r>
      <w:r w:rsidR="00992FD0" w:rsidRPr="00EC250C">
        <w:t xml:space="preserve"> </w:t>
      </w:r>
      <w:r w:rsidRPr="00EC250C">
        <w:t>Zesp</w:t>
      </w:r>
      <w:r w:rsidR="006F460F" w:rsidRPr="00EC250C">
        <w:t>ó</w:t>
      </w:r>
      <w:r w:rsidRPr="00EC250C">
        <w:t xml:space="preserve">ł </w:t>
      </w:r>
      <w:r w:rsidR="006F460F" w:rsidRPr="00EC250C">
        <w:t>za</w:t>
      </w:r>
      <w:r w:rsidRPr="00EC250C">
        <w:t>nalizowa</w:t>
      </w:r>
      <w:r w:rsidR="006F460F" w:rsidRPr="00EC250C">
        <w:t>ł</w:t>
      </w:r>
      <w:r w:rsidRPr="00EC250C">
        <w:t xml:space="preserve"> raport</w:t>
      </w:r>
      <w:r w:rsidR="00992FD0" w:rsidRPr="00EC250C">
        <w:t xml:space="preserve"> </w:t>
      </w:r>
      <w:r w:rsidR="006F460F" w:rsidRPr="00EC250C">
        <w:t xml:space="preserve">Instytut Wymiaru Sprawiedliwości </w:t>
      </w:r>
      <w:r w:rsidR="00992FD0" w:rsidRPr="00EC250C">
        <w:t>z </w:t>
      </w:r>
      <w:r w:rsidRPr="00EC250C">
        <w:t>badań dotyczących przyczyn niskiej skuteczności egzekucji świadczeń alimentacyjnych</w:t>
      </w:r>
      <w:r w:rsidR="006F460F" w:rsidRPr="00EC250C">
        <w:t>.</w:t>
      </w:r>
      <w:r w:rsidR="00992FD0" w:rsidRPr="00EC250C">
        <w:t xml:space="preserve"> </w:t>
      </w:r>
      <w:r w:rsidRPr="00EC250C">
        <w:t>Można znaleźć</w:t>
      </w:r>
      <w:r w:rsidR="00992FD0" w:rsidRPr="00EC250C">
        <w:t xml:space="preserve"> w </w:t>
      </w:r>
      <w:r w:rsidRPr="00EC250C">
        <w:t>nim liczne propozycje zmian, mających usprawnić ściąganie alimentów</w:t>
      </w:r>
      <w:r w:rsidR="006F460F" w:rsidRPr="00EC250C">
        <w:t xml:space="preserve">: </w:t>
      </w:r>
      <w:r w:rsidRPr="00EC250C">
        <w:t>m.in. na lepszą współpracę komorników</w:t>
      </w:r>
      <w:r w:rsidR="00992FD0" w:rsidRPr="00EC250C">
        <w:t xml:space="preserve"> z </w:t>
      </w:r>
      <w:r w:rsidRPr="00EC250C">
        <w:t>Policją, możliwość zajęcia nieruchomości wierzyciela bez wniosku wierzyciela oraz wystąpienia</w:t>
      </w:r>
      <w:r w:rsidR="00992FD0" w:rsidRPr="00EC250C">
        <w:t xml:space="preserve"> o </w:t>
      </w:r>
      <w:r w:rsidRPr="00EC250C">
        <w:t>hipotekę przymusową,</w:t>
      </w:r>
      <w:r w:rsidR="00992FD0" w:rsidRPr="00EC250C">
        <w:t xml:space="preserve"> a </w:t>
      </w:r>
      <w:r w:rsidRPr="00EC250C">
        <w:t>także rezygnację</w:t>
      </w:r>
      <w:r w:rsidR="00992FD0" w:rsidRPr="00EC250C">
        <w:t xml:space="preserve"> z </w:t>
      </w:r>
      <w:r w:rsidRPr="00EC250C">
        <w:t>prawa wyboru komornika. To, co pojawia się</w:t>
      </w:r>
      <w:r w:rsidR="00992FD0" w:rsidRPr="00EC250C">
        <w:t xml:space="preserve"> w </w:t>
      </w:r>
      <w:r w:rsidRPr="00EC250C">
        <w:t>raporcie</w:t>
      </w:r>
      <w:r w:rsidR="00992FD0" w:rsidRPr="00EC250C">
        <w:t xml:space="preserve"> i </w:t>
      </w:r>
      <w:r w:rsidRPr="00EC250C">
        <w:t>co było również podnoszone przez Zespół do spraw Alimentów, to m.in. zobowiązanie ZUS do przekazywania informacji (z urzędu</w:t>
      </w:r>
      <w:r w:rsidR="00992FD0" w:rsidRPr="00EC250C">
        <w:t xml:space="preserve"> i </w:t>
      </w:r>
      <w:r w:rsidRPr="00EC250C">
        <w:t>automatycznie)</w:t>
      </w:r>
      <w:r w:rsidR="00992FD0" w:rsidRPr="00EC250C">
        <w:t xml:space="preserve"> o </w:t>
      </w:r>
      <w:r w:rsidRPr="00EC250C">
        <w:t>podjęciu zatrudnienia przez dłużnika, jedynie na podstawie informacji komornika</w:t>
      </w:r>
      <w:r w:rsidR="00992FD0" w:rsidRPr="00EC250C">
        <w:t xml:space="preserve"> o </w:t>
      </w:r>
      <w:r w:rsidRPr="00EC250C">
        <w:t xml:space="preserve">wszczęciu egzekucji alimentacyjnych. Ta propozycja </w:t>
      </w:r>
      <w:r w:rsidR="001D1FAA" w:rsidRPr="00EC250C">
        <w:t xml:space="preserve">RPO </w:t>
      </w:r>
      <w:r w:rsidR="006F460F" w:rsidRPr="00EC250C">
        <w:t xml:space="preserve">została przyjęta przez </w:t>
      </w:r>
      <w:r w:rsidR="001D1FAA" w:rsidRPr="00EC250C">
        <w:t>ZUS</w:t>
      </w:r>
      <w:r w:rsidR="006F460F" w:rsidRPr="00EC250C">
        <w:t xml:space="preserve"> i </w:t>
      </w:r>
      <w:r w:rsidRPr="00EC250C">
        <w:t>ustawodawc</w:t>
      </w:r>
      <w:r w:rsidR="006F460F" w:rsidRPr="00EC250C">
        <w:t>ę</w:t>
      </w:r>
      <w:r w:rsidRPr="00EC250C">
        <w:t xml:space="preserve">, który </w:t>
      </w:r>
      <w:r w:rsidR="006F460F" w:rsidRPr="00EC250C">
        <w:t xml:space="preserve">zmienił </w:t>
      </w:r>
      <w:r w:rsidRPr="00EC250C">
        <w:t>ustaw</w:t>
      </w:r>
      <w:r w:rsidR="006F460F" w:rsidRPr="00EC250C">
        <w:t>ę</w:t>
      </w:r>
      <w:r w:rsidR="00992FD0" w:rsidRPr="00EC250C">
        <w:t xml:space="preserve"> z </w:t>
      </w:r>
      <w:r w:rsidRPr="00EC250C">
        <w:t>dnia 13</w:t>
      </w:r>
      <w:r w:rsidR="00FD2966" w:rsidRPr="00EC250C">
        <w:t> </w:t>
      </w:r>
      <w:r w:rsidRPr="00EC250C">
        <w:t>października 1998</w:t>
      </w:r>
      <w:r w:rsidR="00C91F6E" w:rsidRPr="00EC250C">
        <w:t> r.</w:t>
      </w:r>
      <w:r w:rsidR="00992FD0" w:rsidRPr="00EC250C">
        <w:t xml:space="preserve"> o </w:t>
      </w:r>
      <w:r w:rsidRPr="00EC250C">
        <w:t>systemie ubezpieczeń społecznych,</w:t>
      </w:r>
      <w:r w:rsidR="00992FD0" w:rsidRPr="00EC250C">
        <w:t xml:space="preserve"> w </w:t>
      </w:r>
      <w:r w:rsidRPr="00EC250C">
        <w:t>ramach tzw. pakietu alimentacyjnego. Obecnie ZUS,</w:t>
      </w:r>
      <w:r w:rsidR="00992FD0" w:rsidRPr="00EC250C">
        <w:t xml:space="preserve"> w </w:t>
      </w:r>
      <w:r w:rsidRPr="00EC250C">
        <w:t>przypadku zmiany danych dłużnika alimentacyjnego, jest zobowiązany udostępnić dane na jego temat komornikowi sądowemu nie rzadziej niż raz</w:t>
      </w:r>
      <w:r w:rsidR="00992FD0" w:rsidRPr="00EC250C">
        <w:t xml:space="preserve"> w </w:t>
      </w:r>
      <w:r w:rsidRPr="00EC250C">
        <w:t>miesiącu. Uczestnicy posiedzenia dyskutowali</w:t>
      </w:r>
      <w:r w:rsidR="00992FD0" w:rsidRPr="00EC250C">
        <w:t xml:space="preserve"> o </w:t>
      </w:r>
      <w:r w:rsidRPr="00EC250C">
        <w:t>tym, czy zmiany</w:t>
      </w:r>
      <w:r w:rsidR="00992FD0" w:rsidRPr="00EC250C">
        <w:t xml:space="preserve"> w </w:t>
      </w:r>
      <w:r w:rsidRPr="00EC250C">
        <w:t>Kodeksie karnym (art. 209 k.k.) dotyczące przestępstwa niealimentacji,</w:t>
      </w:r>
      <w:r w:rsidR="00992FD0" w:rsidRPr="00EC250C">
        <w:t xml:space="preserve"> a </w:t>
      </w:r>
      <w:r w:rsidRPr="00EC250C">
        <w:t>wprowadzone</w:t>
      </w:r>
      <w:r w:rsidR="00992FD0" w:rsidRPr="00EC250C">
        <w:t xml:space="preserve"> w </w:t>
      </w:r>
      <w:r w:rsidRPr="00EC250C">
        <w:t>2017</w:t>
      </w:r>
      <w:r w:rsidR="00C91F6E" w:rsidRPr="00EC250C">
        <w:t> r.</w:t>
      </w:r>
      <w:r w:rsidRPr="00EC250C">
        <w:t>, wpłynęły na skuteczność egzekucji zadłużeń alimentacyjnych.</w:t>
      </w:r>
    </w:p>
    <w:p w14:paraId="55A4127F" w14:textId="77777777" w:rsidR="00C91F6E" w:rsidRPr="00EC250C" w:rsidRDefault="00192982" w:rsidP="00D131FA">
      <w:pPr>
        <w:pStyle w:val="Styl1"/>
      </w:pPr>
      <w:r w:rsidRPr="00EC250C">
        <w:t xml:space="preserve">W posiedzeniu Zespołu wzięli też udział przedstawiciele Stowarzyszenia Dzieciakom.org. Podkreślali, </w:t>
      </w:r>
      <w:r w:rsidR="00FD2966" w:rsidRPr="00EC250C">
        <w:t xml:space="preserve">jak </w:t>
      </w:r>
      <w:r w:rsidRPr="00EC250C">
        <w:t>ważne jest podejmowanie działań, które angaż</w:t>
      </w:r>
      <w:r w:rsidR="00FD2966" w:rsidRPr="00EC250C">
        <w:t>ują</w:t>
      </w:r>
      <w:r w:rsidRPr="00EC250C">
        <w:t xml:space="preserve"> obojga rodziców</w:t>
      </w:r>
      <w:r w:rsidR="00992FD0" w:rsidRPr="00EC250C">
        <w:t xml:space="preserve"> w </w:t>
      </w:r>
      <w:r w:rsidRPr="00EC250C">
        <w:t>proces wychowania dzieci już po rozstaniu,</w:t>
      </w:r>
      <w:r w:rsidR="00992FD0" w:rsidRPr="00EC250C">
        <w:t xml:space="preserve"> a </w:t>
      </w:r>
      <w:r w:rsidRPr="00EC250C">
        <w:t>nie tylko skupianie się na ściągalności alimentów.</w:t>
      </w:r>
    </w:p>
    <w:p w14:paraId="126662FD" w14:textId="77777777" w:rsidR="00C91F6E" w:rsidRPr="00EC250C" w:rsidRDefault="00192982" w:rsidP="00D131FA">
      <w:pPr>
        <w:pStyle w:val="Styl1"/>
      </w:pPr>
      <w:r w:rsidRPr="00EC250C">
        <w:lastRenderedPageBreak/>
        <w:t>Zasadnicza część drugiego</w:t>
      </w:r>
      <w:r w:rsidR="00992FD0" w:rsidRPr="00EC250C">
        <w:t xml:space="preserve"> </w:t>
      </w:r>
      <w:r w:rsidRPr="00EC250C">
        <w:t>posiedze</w:t>
      </w:r>
      <w:r w:rsidR="00FD2966" w:rsidRPr="00EC250C">
        <w:t>nia</w:t>
      </w:r>
      <w:r w:rsidRPr="00EC250C">
        <w:t xml:space="preserve"> Zespołu</w:t>
      </w:r>
      <w:r w:rsidR="00992FD0" w:rsidRPr="00EC250C">
        <w:t xml:space="preserve"> w </w:t>
      </w:r>
      <w:r w:rsidRPr="00EC250C">
        <w:t>2018</w:t>
      </w:r>
      <w:r w:rsidR="00C91F6E" w:rsidRPr="00EC250C">
        <w:t> r.</w:t>
      </w:r>
      <w:r w:rsidRPr="00EC250C">
        <w:t xml:space="preserve"> była poświęcona przedstawieniu raportu</w:t>
      </w:r>
      <w:r w:rsidR="00992FD0" w:rsidRPr="00EC250C">
        <w:t xml:space="preserve"> z </w:t>
      </w:r>
      <w:r w:rsidRPr="00EC250C">
        <w:t>badania „Postrzeganie osób niewywiązujących się</w:t>
      </w:r>
      <w:r w:rsidR="00992FD0" w:rsidRPr="00EC250C">
        <w:t xml:space="preserve"> z </w:t>
      </w:r>
      <w:r w:rsidRPr="00EC250C">
        <w:t>obowiązku niealimentacji. Przyczyny niealimentacji</w:t>
      </w:r>
      <w:r w:rsidR="00992FD0" w:rsidRPr="00EC250C">
        <w:t xml:space="preserve"> w </w:t>
      </w:r>
      <w:r w:rsidRPr="00EC250C">
        <w:t>modelu psychospołecznym”, przeprowadzonego na zlecenie Stowarzyszenie Poprawy Spraw Alimentacyjnych „Dla Naszych Dzieci”</w:t>
      </w:r>
      <w:r w:rsidRPr="00EC250C">
        <w:rPr>
          <w:vertAlign w:val="superscript"/>
        </w:rPr>
        <w:footnoteReference w:id="857"/>
      </w:r>
      <w:r w:rsidRPr="00EC250C">
        <w:t>. Badanie miało charakter ankietowy, zaś pytania dotyczyły tego, jaki wpływ na dzieci</w:t>
      </w:r>
      <w:r w:rsidR="00992FD0" w:rsidRPr="00EC250C">
        <w:t xml:space="preserve"> i </w:t>
      </w:r>
      <w:r w:rsidRPr="00EC250C">
        <w:t>rodziców zajmujących się dzieckiem (także</w:t>
      </w:r>
      <w:r w:rsidR="00992FD0" w:rsidRPr="00EC250C">
        <w:t xml:space="preserve"> w </w:t>
      </w:r>
      <w:r w:rsidRPr="00EC250C">
        <w:t>opiece naprzemiennej) ma niealimentacja. Odnosiło się również do tematu niealimentacji</w:t>
      </w:r>
      <w:r w:rsidR="00992FD0" w:rsidRPr="00EC250C">
        <w:t xml:space="preserve"> w </w:t>
      </w:r>
      <w:r w:rsidRPr="00EC250C">
        <w:t>kontekście przemocy – obecnie</w:t>
      </w:r>
      <w:r w:rsidR="00992FD0" w:rsidRPr="00EC250C">
        <w:t xml:space="preserve"> w </w:t>
      </w:r>
      <w:r w:rsidRPr="00EC250C">
        <w:t xml:space="preserve">polskim porządku prawnym nie jest uregulowane pojęcie przemocy ekonomicznej. </w:t>
      </w:r>
    </w:p>
    <w:p w14:paraId="7CF03702" w14:textId="77777777" w:rsidR="00192982" w:rsidRPr="00EC250C" w:rsidRDefault="00192982" w:rsidP="006C70B7">
      <w:pPr>
        <w:pStyle w:val="Styl1"/>
        <w:numPr>
          <w:ilvl w:val="0"/>
          <w:numId w:val="19"/>
        </w:numPr>
        <w:rPr>
          <w:i/>
        </w:rPr>
      </w:pPr>
      <w:r w:rsidRPr="00EC250C">
        <w:rPr>
          <w:i/>
        </w:rPr>
        <w:t>Samorządy</w:t>
      </w:r>
      <w:r w:rsidR="00992FD0" w:rsidRPr="00EC250C">
        <w:rPr>
          <w:i/>
        </w:rPr>
        <w:t xml:space="preserve"> a </w:t>
      </w:r>
      <w:r w:rsidRPr="00EC250C">
        <w:rPr>
          <w:i/>
        </w:rPr>
        <w:t>problem niealimentacji</w:t>
      </w:r>
    </w:p>
    <w:p w14:paraId="267B4349" w14:textId="77777777" w:rsidR="00C91F6E" w:rsidRPr="00EC250C" w:rsidRDefault="00192982" w:rsidP="00D131FA">
      <w:pPr>
        <w:pStyle w:val="Styl1"/>
      </w:pPr>
      <w:r w:rsidRPr="00EC250C">
        <w:t xml:space="preserve">W ramach prac Zespołu omówiono także </w:t>
      </w:r>
      <w:r w:rsidR="006F460F" w:rsidRPr="00EC250C">
        <w:t xml:space="preserve">problem, że mimo ciążącego na nich obowiązku samorządy przekazują jedynie 84% </w:t>
      </w:r>
      <w:r w:rsidRPr="00EC250C">
        <w:t>informacji</w:t>
      </w:r>
      <w:r w:rsidR="00992FD0" w:rsidRPr="00EC250C">
        <w:t xml:space="preserve"> o </w:t>
      </w:r>
      <w:r w:rsidRPr="00EC250C">
        <w:t>dłużnikach alimentacyjnych do rejestrów informacji gospodarczej</w:t>
      </w:r>
      <w:r w:rsidR="006F460F" w:rsidRPr="00EC250C">
        <w:t xml:space="preserve"> </w:t>
      </w:r>
      <w:r w:rsidRPr="00EC250C">
        <w:t xml:space="preserve">(dane przekazane przez Biuro Informacji Gospodarczej InfoMonitor SA). Obaj Rzecznicy – </w:t>
      </w:r>
      <w:r w:rsidR="006F460F" w:rsidRPr="00EC250C">
        <w:t xml:space="preserve">RPO </w:t>
      </w:r>
      <w:r w:rsidR="00992FD0" w:rsidRPr="00EC250C">
        <w:t>i </w:t>
      </w:r>
      <w:r w:rsidR="006F460F" w:rsidRPr="00EC250C">
        <w:t xml:space="preserve">RPD </w:t>
      </w:r>
      <w:r w:rsidRPr="00EC250C">
        <w:t>– przekazali te ustalenia wojewodom, jako organom monitorującym realizację świadczeń</w:t>
      </w:r>
      <w:r w:rsidR="00992FD0" w:rsidRPr="00EC250C">
        <w:t xml:space="preserve"> z </w:t>
      </w:r>
      <w:r w:rsidRPr="00EC250C">
        <w:t>funduszu alimentacyjnego</w:t>
      </w:r>
      <w:r w:rsidR="00992FD0" w:rsidRPr="00EC250C">
        <w:t xml:space="preserve"> i </w:t>
      </w:r>
      <w:r w:rsidRPr="00EC250C">
        <w:t>poprosili</w:t>
      </w:r>
      <w:r w:rsidR="00992FD0" w:rsidRPr="00EC250C">
        <w:t xml:space="preserve"> o </w:t>
      </w:r>
      <w:r w:rsidRPr="00EC250C">
        <w:t>wyjaśnienie przyczyn tej sytuacji.</w:t>
      </w:r>
    </w:p>
    <w:p w14:paraId="61D10F39" w14:textId="77777777" w:rsidR="00192982" w:rsidRPr="00EC250C" w:rsidRDefault="00192982" w:rsidP="00D131FA">
      <w:pPr>
        <w:pStyle w:val="Styl1"/>
      </w:pPr>
      <w:r w:rsidRPr="00EC250C">
        <w:t>Z odpowiedzi wojewodów na wystąpienie Rzeczników wynika, że przyczyny skutkujące zaniechaniem lub nieterminową realizacją obowiązku przekazywania danych dłużników do biur informacji gospodarczej wynikają m.in. z:</w:t>
      </w:r>
    </w:p>
    <w:p w14:paraId="2C41F764" w14:textId="77777777" w:rsidR="00192982" w:rsidRPr="00EC250C" w:rsidRDefault="00192982" w:rsidP="006C70B7">
      <w:pPr>
        <w:pStyle w:val="Styl1"/>
        <w:numPr>
          <w:ilvl w:val="0"/>
          <w:numId w:val="121"/>
        </w:numPr>
      </w:pPr>
      <w:r w:rsidRPr="00EC250C">
        <w:t>trudności technicznych, związanych</w:t>
      </w:r>
      <w:r w:rsidR="00992FD0" w:rsidRPr="00EC250C">
        <w:t xml:space="preserve"> z </w:t>
      </w:r>
      <w:r w:rsidRPr="00EC250C">
        <w:t>migracją danych pomiędzy systemami dziedzinowymi do obsługi funduszu alimentacyjnego, konieczności pojedynczego wprowadzania danych, zbyt długiego czasu oczekiwania na dostęp do serwera KRD BIG</w:t>
      </w:r>
      <w:r w:rsidR="003C1FAE" w:rsidRPr="00EC250C">
        <w:t> </w:t>
      </w:r>
      <w:r w:rsidRPr="00EC250C">
        <w:t>SA, niezgodności oprogramowania KBIG SA;</w:t>
      </w:r>
    </w:p>
    <w:p w14:paraId="79BC9091" w14:textId="77777777" w:rsidR="00C91F6E" w:rsidRPr="00EC250C" w:rsidRDefault="00192982" w:rsidP="006C70B7">
      <w:pPr>
        <w:pStyle w:val="Styl1"/>
        <w:numPr>
          <w:ilvl w:val="0"/>
          <w:numId w:val="121"/>
        </w:numPr>
      </w:pPr>
      <w:r w:rsidRPr="00EC250C">
        <w:t>trudności organizacyjno – kadrowych, polegających na zbyt małej liczbie osób odpowiedzialnych za realizację obowiązku, które dodatkowo odpowiedzialne są za wykonanie innych zadań związanych</w:t>
      </w:r>
      <w:r w:rsidR="00992FD0" w:rsidRPr="00EC250C">
        <w:t xml:space="preserve"> z </w:t>
      </w:r>
      <w:r w:rsidRPr="00EC250C">
        <w:t>obsługą świadczeń rodzinnych</w:t>
      </w:r>
      <w:r w:rsidR="00992FD0" w:rsidRPr="00EC250C">
        <w:t xml:space="preserve"> i </w:t>
      </w:r>
      <w:r w:rsidRPr="00EC250C">
        <w:t>wychowawczych oraz funduszu alimentacyjnego np. przyjmowanie wniosków czy wydawanie decyzji, częste zmiany kadrowe;</w:t>
      </w:r>
    </w:p>
    <w:p w14:paraId="5202F154" w14:textId="77777777" w:rsidR="00192982" w:rsidRPr="00EC250C" w:rsidRDefault="00192982" w:rsidP="006C70B7">
      <w:pPr>
        <w:pStyle w:val="Styl1"/>
        <w:numPr>
          <w:ilvl w:val="0"/>
          <w:numId w:val="121"/>
        </w:numPr>
      </w:pPr>
      <w:r w:rsidRPr="00EC250C">
        <w:t>braku możliwości dokonania wpisu dłużnika</w:t>
      </w:r>
      <w:r w:rsidR="00992FD0" w:rsidRPr="00EC250C">
        <w:t xml:space="preserve"> z </w:t>
      </w:r>
      <w:r w:rsidRPr="00EC250C">
        <w:t>uwagi na brak danych PESEL, miejsca pobytu, numeru paszportu</w:t>
      </w:r>
      <w:r w:rsidR="00992FD0" w:rsidRPr="00EC250C">
        <w:t xml:space="preserve"> w </w:t>
      </w:r>
      <w:r w:rsidRPr="00EC250C">
        <w:t>przypadku obcokrajowców.</w:t>
      </w:r>
    </w:p>
    <w:p w14:paraId="55F0F7A9" w14:textId="77777777" w:rsidR="00192982" w:rsidRPr="00EC250C" w:rsidRDefault="00192982" w:rsidP="00D131FA">
      <w:pPr>
        <w:pStyle w:val="Styl1"/>
      </w:pPr>
      <w:r w:rsidRPr="00EC250C">
        <w:t>Wojewodowie poinformowali, że</w:t>
      </w:r>
      <w:r w:rsidR="00992FD0" w:rsidRPr="00EC250C">
        <w:t xml:space="preserve"> w </w:t>
      </w:r>
      <w:r w:rsidRPr="00EC250C">
        <w:t>ramach nadzoru zobowiązali wójtów, burmistrzów</w:t>
      </w:r>
      <w:r w:rsidR="00992FD0" w:rsidRPr="00EC250C">
        <w:t xml:space="preserve"> i </w:t>
      </w:r>
      <w:r w:rsidRPr="00EC250C">
        <w:t>prezydentów miast do realizacji ustawowego obowiązku przekazywania danych dłużników alimentacyjnych do wszystkich istniejących biur informacji gospodarczej</w:t>
      </w:r>
      <w:r w:rsidR="00992FD0" w:rsidRPr="00EC250C">
        <w:t xml:space="preserve"> i </w:t>
      </w:r>
      <w:r w:rsidRPr="00EC250C">
        <w:t>zapewnili, że skontrolują realizację tego zadania</w:t>
      </w:r>
      <w:r w:rsidR="00992FD0" w:rsidRPr="00EC250C">
        <w:t xml:space="preserve"> w </w:t>
      </w:r>
      <w:r w:rsidRPr="00EC250C">
        <w:t>trakcie kontroli zaplanowanych na 2018</w:t>
      </w:r>
      <w:r w:rsidR="00C91F6E" w:rsidRPr="00EC250C">
        <w:t> r.</w:t>
      </w:r>
    </w:p>
    <w:p w14:paraId="1859E790" w14:textId="77777777" w:rsidR="00192982" w:rsidRPr="00EC250C" w:rsidRDefault="00192982" w:rsidP="006C70B7">
      <w:pPr>
        <w:pStyle w:val="Styl1"/>
        <w:numPr>
          <w:ilvl w:val="0"/>
          <w:numId w:val="19"/>
        </w:numPr>
        <w:rPr>
          <w:i/>
        </w:rPr>
      </w:pPr>
      <w:r w:rsidRPr="00EC250C">
        <w:rPr>
          <w:i/>
        </w:rPr>
        <w:t>Kongres Praw Rodzicielskich</w:t>
      </w:r>
    </w:p>
    <w:p w14:paraId="4C1538A2" w14:textId="77777777" w:rsidR="00192982" w:rsidRPr="00EC250C" w:rsidRDefault="00192982" w:rsidP="00D131FA">
      <w:pPr>
        <w:pStyle w:val="Styl1"/>
        <w:rPr>
          <w:b/>
          <w:color w:val="002368"/>
          <w:spacing w:val="0"/>
          <w:sz w:val="32"/>
        </w:rPr>
      </w:pPr>
      <w:r w:rsidRPr="00EC250C">
        <w:lastRenderedPageBreak/>
        <w:t>W dniach 25–26 czerwca 2018</w:t>
      </w:r>
      <w:r w:rsidR="00C91F6E" w:rsidRPr="00EC250C">
        <w:t> r.</w:t>
      </w:r>
      <w:r w:rsidRPr="00EC250C">
        <w:t xml:space="preserve"> odbył się Kongres Praw Rodzicielskich</w:t>
      </w:r>
      <w:r w:rsidRPr="00EC250C">
        <w:rPr>
          <w:vertAlign w:val="superscript"/>
        </w:rPr>
        <w:footnoteReference w:id="858"/>
      </w:r>
      <w:r w:rsidRPr="00EC250C">
        <w:t>, zorganizowany przez Rzecznika Praw Obywatelskich. Dyskutowano m.in.</w:t>
      </w:r>
      <w:r w:rsidR="00992FD0" w:rsidRPr="00EC250C">
        <w:t xml:space="preserve"> o </w:t>
      </w:r>
      <w:r w:rsidRPr="00EC250C">
        <w:t>tym, jakie współczesne zjawiska cywilizacyjne są wyzwaniem dla rodziców,</w:t>
      </w:r>
      <w:r w:rsidR="00992FD0" w:rsidRPr="00EC250C">
        <w:t xml:space="preserve"> o </w:t>
      </w:r>
      <w:r w:rsidRPr="00EC250C">
        <w:t>konfliktach</w:t>
      </w:r>
      <w:r w:rsidR="00992FD0" w:rsidRPr="00EC250C">
        <w:t xml:space="preserve"> w </w:t>
      </w:r>
      <w:r w:rsidRPr="00EC250C">
        <w:t>rodzinie</w:t>
      </w:r>
      <w:r w:rsidR="00992FD0" w:rsidRPr="00EC250C">
        <w:t xml:space="preserve"> i </w:t>
      </w:r>
      <w:r w:rsidRPr="00EC250C">
        <w:t>sposobach podejścia do nich,</w:t>
      </w:r>
      <w:r w:rsidR="00992FD0" w:rsidRPr="00EC250C">
        <w:t xml:space="preserve"> o </w:t>
      </w:r>
      <w:r w:rsidRPr="00EC250C">
        <w:t>władzy rodzicielskiej</w:t>
      </w:r>
      <w:r w:rsidR="00992FD0" w:rsidRPr="00EC250C">
        <w:t xml:space="preserve"> i </w:t>
      </w:r>
      <w:r w:rsidRPr="00EC250C">
        <w:t>zakazie stosowania kar cielesnych. Ponadto rozmawiano</w:t>
      </w:r>
      <w:r w:rsidR="00992FD0" w:rsidRPr="00EC250C">
        <w:t xml:space="preserve"> o </w:t>
      </w:r>
      <w:r w:rsidRPr="00EC250C">
        <w:t>tym, jak zabezpieczyć dobro dziecka</w:t>
      </w:r>
      <w:r w:rsidR="00992FD0" w:rsidRPr="00EC250C">
        <w:t xml:space="preserve"> w </w:t>
      </w:r>
      <w:r w:rsidRPr="00EC250C">
        <w:t>sytuacji rozstania rodziców,</w:t>
      </w:r>
      <w:r w:rsidR="00992FD0" w:rsidRPr="00EC250C">
        <w:t xml:space="preserve"> o </w:t>
      </w:r>
      <w:r w:rsidRPr="00EC250C">
        <w:t>organizacji sądownictwa rodzinnego, efektywności postępowań sądowych</w:t>
      </w:r>
      <w:r w:rsidR="00992FD0" w:rsidRPr="00EC250C">
        <w:t xml:space="preserve"> w </w:t>
      </w:r>
      <w:r w:rsidRPr="00EC250C">
        <w:t>sprawach rodzinnych,</w:t>
      </w:r>
      <w:r w:rsidR="00992FD0" w:rsidRPr="00EC250C">
        <w:t xml:space="preserve"> o </w:t>
      </w:r>
      <w:r w:rsidRPr="00EC250C">
        <w:t>kontaktach</w:t>
      </w:r>
      <w:r w:rsidR="00992FD0" w:rsidRPr="00EC250C">
        <w:t xml:space="preserve"> z </w:t>
      </w:r>
      <w:r w:rsidRPr="00EC250C">
        <w:t>dziećmi po rozwodzie</w:t>
      </w:r>
      <w:r w:rsidR="00992FD0" w:rsidRPr="00EC250C">
        <w:t xml:space="preserve"> i </w:t>
      </w:r>
      <w:r w:rsidRPr="00EC250C">
        <w:t>ich faktycznym egzekwowaniu, opiece naprzemiennej, alienacji rodzicielskiej. Jeden</w:t>
      </w:r>
      <w:r w:rsidR="00992FD0" w:rsidRPr="00EC250C">
        <w:t xml:space="preserve"> z </w:t>
      </w:r>
      <w:r w:rsidRPr="00EC250C">
        <w:t xml:space="preserve">paneli pt. </w:t>
      </w:r>
      <w:r w:rsidRPr="00EC250C">
        <w:rPr>
          <w:b/>
          <w:bCs/>
        </w:rPr>
        <w:t>„</w:t>
      </w:r>
      <w:r w:rsidRPr="00EC250C">
        <w:rPr>
          <w:bCs/>
        </w:rPr>
        <w:t xml:space="preserve">Niepłacenie alimentów – perspektywa socjologiczna (przyczyny, skutki)” stanowił forum dyskusji na temat </w:t>
      </w:r>
      <w:r w:rsidRPr="00EC250C">
        <w:t>problematyki niealimentacji,</w:t>
      </w:r>
      <w:r w:rsidR="00992FD0" w:rsidRPr="00EC250C">
        <w:t xml:space="preserve"> a </w:t>
      </w:r>
      <w:r w:rsidRPr="00EC250C">
        <w:t>panelistami byli członkowie Zespołu do spraw Alimentów:</w:t>
      </w:r>
      <w:r w:rsidRPr="00EC250C">
        <w:rPr>
          <w:bCs/>
        </w:rPr>
        <w:t xml:space="preserve"> dr Elżbieta Korolczuk – socjolożka, Roman Pomianowski – psycholog, Prezes Zarządu Stowarzyszenia Program Wsparcia Zadłużonych oraz Robert Damski – komornik.</w:t>
      </w:r>
    </w:p>
    <w:p w14:paraId="652A76F7" w14:textId="77777777" w:rsidR="00335AF8" w:rsidRPr="00EC250C" w:rsidRDefault="00335AF8" w:rsidP="00EC79EB">
      <w:pPr>
        <w:pStyle w:val="Nagwek4"/>
      </w:pPr>
      <w:bookmarkStart w:id="870" w:name="_Toc11247883"/>
      <w:bookmarkStart w:id="871" w:name="_Toc6258063"/>
      <w:r w:rsidRPr="00EC250C">
        <w:t>Nagroda RAFTO dla polskiego Rzecznika Praw Obywatelskich</w:t>
      </w:r>
      <w:r w:rsidR="00992FD0" w:rsidRPr="00EC250C">
        <w:t xml:space="preserve"> i </w:t>
      </w:r>
      <w:r w:rsidRPr="00EC250C">
        <w:t>jego Biura</w:t>
      </w:r>
      <w:bookmarkEnd w:id="870"/>
    </w:p>
    <w:p w14:paraId="2922D2F3" w14:textId="77777777" w:rsidR="00B473F5" w:rsidRPr="00EC250C" w:rsidRDefault="00335AF8" w:rsidP="00D131FA">
      <w:pPr>
        <w:pStyle w:val="Problemczowieka"/>
        <w:jc w:val="both"/>
      </w:pPr>
      <w:r w:rsidRPr="00EC250C">
        <w:t>Polski rzecznik praw obywatelskich Adam Bodnar</w:t>
      </w:r>
      <w:r w:rsidR="00992FD0" w:rsidRPr="00EC250C">
        <w:t xml:space="preserve"> i </w:t>
      </w:r>
      <w:r w:rsidRPr="00EC250C">
        <w:t>jego Biuro zostali</w:t>
      </w:r>
      <w:r w:rsidR="00992FD0" w:rsidRPr="00EC250C">
        <w:t xml:space="preserve"> w </w:t>
      </w:r>
      <w:r w:rsidRPr="00EC250C">
        <w:t>2018</w:t>
      </w:r>
      <w:r w:rsidR="00C91F6E" w:rsidRPr="00EC250C">
        <w:t> r.</w:t>
      </w:r>
      <w:r w:rsidRPr="00EC250C">
        <w:t xml:space="preserve"> laureatami norweskiej Nagrody Rafto przyznawanej obrońcom praw człowieka na świecie</w:t>
      </w:r>
      <w:r w:rsidR="00B473F5" w:rsidRPr="00EC250C">
        <w:t>.</w:t>
      </w:r>
    </w:p>
    <w:p w14:paraId="3803795D" w14:textId="77777777" w:rsidR="00335AF8" w:rsidRPr="00EC250C" w:rsidRDefault="00335AF8" w:rsidP="00D131FA">
      <w:pPr>
        <w:pStyle w:val="Styl1"/>
      </w:pPr>
      <w:r w:rsidRPr="00EC250C">
        <w:rPr>
          <w:rStyle w:val="Hipercze"/>
          <w:rFonts w:eastAsia="Calibri"/>
          <w:color w:val="auto"/>
          <w:u w:val="none"/>
        </w:rPr>
        <w:t>Nagroda nie jest tylko uhonorowaniem pracy Rzecznika</w:t>
      </w:r>
      <w:r w:rsidR="00992FD0" w:rsidRPr="00EC250C">
        <w:rPr>
          <w:rStyle w:val="Hipercze"/>
          <w:rFonts w:eastAsia="Calibri"/>
          <w:color w:val="auto"/>
          <w:u w:val="none"/>
        </w:rPr>
        <w:t xml:space="preserve"> i </w:t>
      </w:r>
      <w:r w:rsidRPr="00EC250C">
        <w:rPr>
          <w:rStyle w:val="Hipercze"/>
          <w:rFonts w:eastAsia="Calibri"/>
          <w:color w:val="auto"/>
          <w:u w:val="none"/>
        </w:rPr>
        <w:t>całej instytucji, którą kieruje, ale jest przede wszystkim wsparciem dla polskiego społeczeństwa obywatelskiego, sędziów, społeczności akademickiej</w:t>
      </w:r>
      <w:r w:rsidR="00992FD0" w:rsidRPr="00EC250C">
        <w:rPr>
          <w:rStyle w:val="Hipercze"/>
          <w:rFonts w:eastAsia="Calibri"/>
          <w:color w:val="auto"/>
          <w:u w:val="none"/>
        </w:rPr>
        <w:t xml:space="preserve"> i </w:t>
      </w:r>
      <w:r w:rsidRPr="00EC250C">
        <w:rPr>
          <w:rStyle w:val="Hipercze"/>
          <w:rFonts w:eastAsia="Calibri"/>
          <w:color w:val="auto"/>
          <w:u w:val="none"/>
        </w:rPr>
        <w:t>prawników walczących</w:t>
      </w:r>
      <w:r w:rsidR="00992FD0" w:rsidRPr="00EC250C">
        <w:rPr>
          <w:rStyle w:val="Hipercze"/>
          <w:rFonts w:eastAsia="Calibri"/>
          <w:color w:val="auto"/>
          <w:u w:val="none"/>
        </w:rPr>
        <w:t xml:space="preserve"> o </w:t>
      </w:r>
      <w:r w:rsidRPr="00EC250C">
        <w:rPr>
          <w:rStyle w:val="Hipercze"/>
          <w:rFonts w:eastAsia="Calibri"/>
          <w:color w:val="auto"/>
          <w:u w:val="none"/>
        </w:rPr>
        <w:t>poszanowanie prawa, niezależność sędziów, pluralizm</w:t>
      </w:r>
      <w:r w:rsidR="00992FD0" w:rsidRPr="00EC250C">
        <w:rPr>
          <w:rStyle w:val="Hipercze"/>
          <w:rFonts w:eastAsia="Calibri"/>
          <w:color w:val="auto"/>
          <w:u w:val="none"/>
        </w:rPr>
        <w:t xml:space="preserve"> i </w:t>
      </w:r>
      <w:r w:rsidRPr="00EC250C">
        <w:rPr>
          <w:rStyle w:val="Hipercze"/>
          <w:rFonts w:eastAsia="Calibri"/>
          <w:color w:val="auto"/>
          <w:u w:val="none"/>
        </w:rPr>
        <w:t>poszanowanie praw mniejszości</w:t>
      </w:r>
      <w:r w:rsidR="00AB48C8" w:rsidRPr="00EC250C">
        <w:rPr>
          <w:rStyle w:val="Odwoanieprzypisudolnego"/>
          <w:rFonts w:eastAsia="Calibri"/>
        </w:rPr>
        <w:footnoteReference w:id="859"/>
      </w:r>
      <w:r w:rsidRPr="00EC250C">
        <w:t>.</w:t>
      </w:r>
    </w:p>
    <w:p w14:paraId="7853AA64" w14:textId="77777777" w:rsidR="00B473F5" w:rsidRPr="00EC250C" w:rsidRDefault="00335AF8" w:rsidP="00D131FA">
      <w:pPr>
        <w:pStyle w:val="Styl1"/>
        <w:rPr>
          <w:rStyle w:val="Pogrubienie"/>
          <w:b w:val="0"/>
          <w:bCs w:val="0"/>
        </w:rPr>
      </w:pPr>
      <w:r w:rsidRPr="00EC250C">
        <w:rPr>
          <w:rStyle w:val="Pogrubienie"/>
          <w:b w:val="0"/>
          <w:bCs w:val="0"/>
        </w:rPr>
        <w:t>Adam Bodnar, będąc urzędnikiem państwowym, nie przyjął gratyfikacji finansowej przyznawanej wraz</w:t>
      </w:r>
      <w:r w:rsidR="00992FD0" w:rsidRPr="00EC250C">
        <w:rPr>
          <w:rStyle w:val="Pogrubienie"/>
          <w:b w:val="0"/>
          <w:bCs w:val="0"/>
        </w:rPr>
        <w:t xml:space="preserve"> z </w:t>
      </w:r>
      <w:r w:rsidRPr="00EC250C">
        <w:rPr>
          <w:rStyle w:val="Pogrubienie"/>
          <w:b w:val="0"/>
          <w:bCs w:val="0"/>
        </w:rPr>
        <w:t>Nagrodą Rafto. Fundacja Rafto przekazała ją na wniosek RPO Funduszowi Obywatelskiemu, który już</w:t>
      </w:r>
      <w:r w:rsidR="00992FD0" w:rsidRPr="00EC250C">
        <w:rPr>
          <w:rStyle w:val="Pogrubienie"/>
          <w:b w:val="0"/>
          <w:bCs w:val="0"/>
        </w:rPr>
        <w:t xml:space="preserve"> w </w:t>
      </w:r>
      <w:r w:rsidRPr="00EC250C">
        <w:rPr>
          <w:rStyle w:val="Pogrubienie"/>
          <w:b w:val="0"/>
          <w:bCs w:val="0"/>
        </w:rPr>
        <w:t>2019</w:t>
      </w:r>
      <w:r w:rsidR="00C91F6E" w:rsidRPr="00EC250C">
        <w:rPr>
          <w:rStyle w:val="Pogrubienie"/>
          <w:b w:val="0"/>
          <w:bCs w:val="0"/>
        </w:rPr>
        <w:t> r.</w:t>
      </w:r>
      <w:r w:rsidRPr="00EC250C">
        <w:rPr>
          <w:rStyle w:val="Pogrubienie"/>
          <w:b w:val="0"/>
          <w:bCs w:val="0"/>
        </w:rPr>
        <w:t xml:space="preserve"> podzielił te środki</w:t>
      </w:r>
      <w:r w:rsidR="00992FD0" w:rsidRPr="00EC250C">
        <w:rPr>
          <w:rStyle w:val="Pogrubienie"/>
          <w:b w:val="0"/>
          <w:bCs w:val="0"/>
        </w:rPr>
        <w:t xml:space="preserve"> w </w:t>
      </w:r>
      <w:r w:rsidRPr="00EC250C">
        <w:rPr>
          <w:rStyle w:val="Pogrubienie"/>
          <w:b w:val="0"/>
          <w:bCs w:val="0"/>
        </w:rPr>
        <w:t>drodze konkursu na projekty dla organizacji pozarządowych</w:t>
      </w:r>
      <w:r w:rsidR="00992FD0" w:rsidRPr="00EC250C">
        <w:rPr>
          <w:rStyle w:val="Pogrubienie"/>
          <w:b w:val="0"/>
          <w:bCs w:val="0"/>
        </w:rPr>
        <w:t xml:space="preserve"> z </w:t>
      </w:r>
      <w:r w:rsidRPr="00EC250C">
        <w:rPr>
          <w:rStyle w:val="Pogrubienie"/>
          <w:b w:val="0"/>
          <w:bCs w:val="0"/>
        </w:rPr>
        <w:t>małych miejscowości</w:t>
      </w:r>
      <w:r w:rsidR="00992FD0" w:rsidRPr="00EC250C">
        <w:rPr>
          <w:rStyle w:val="Pogrubienie"/>
          <w:b w:val="0"/>
          <w:bCs w:val="0"/>
        </w:rPr>
        <w:t xml:space="preserve"> w </w:t>
      </w:r>
      <w:r w:rsidRPr="00EC250C">
        <w:rPr>
          <w:rStyle w:val="Pogrubienie"/>
          <w:b w:val="0"/>
          <w:bCs w:val="0"/>
        </w:rPr>
        <w:t>Polsce</w:t>
      </w:r>
      <w:r w:rsidR="00AB48C8" w:rsidRPr="00EC250C">
        <w:rPr>
          <w:rStyle w:val="Odwoanieprzypisudolnego"/>
        </w:rPr>
        <w:footnoteReference w:id="860"/>
      </w:r>
      <w:r w:rsidR="00B473F5" w:rsidRPr="00EC250C">
        <w:rPr>
          <w:rStyle w:val="Pogrubienie"/>
          <w:b w:val="0"/>
          <w:bCs w:val="0"/>
        </w:rPr>
        <w:t>.</w:t>
      </w:r>
    </w:p>
    <w:p w14:paraId="3CBCB4B7" w14:textId="77777777" w:rsidR="00335AF8" w:rsidRPr="00EC250C" w:rsidRDefault="00335AF8" w:rsidP="00D131FA">
      <w:pPr>
        <w:spacing w:after="200" w:line="24" w:lineRule="auto"/>
        <w:jc w:val="both"/>
        <w:rPr>
          <w:spacing w:val="5"/>
          <w:sz w:val="22"/>
        </w:rPr>
      </w:pPr>
    </w:p>
    <w:p w14:paraId="2E6DAA05" w14:textId="77777777" w:rsidR="00192982" w:rsidRPr="00EC250C" w:rsidRDefault="00192982" w:rsidP="00EC79EB">
      <w:pPr>
        <w:pStyle w:val="Nagwek4"/>
      </w:pPr>
      <w:bookmarkStart w:id="872" w:name="_Toc11247884"/>
      <w:r w:rsidRPr="00EC250C">
        <w:t>Działalność międzynarodowa</w:t>
      </w:r>
      <w:bookmarkEnd w:id="871"/>
      <w:r w:rsidRPr="00EC250C">
        <w:t xml:space="preserve"> RPO</w:t>
      </w:r>
      <w:bookmarkEnd w:id="872"/>
    </w:p>
    <w:bookmarkEnd w:id="839"/>
    <w:p w14:paraId="40205DFB" w14:textId="77777777" w:rsidR="00C91F6E" w:rsidRPr="00EC250C" w:rsidRDefault="00192982" w:rsidP="00D131FA">
      <w:pPr>
        <w:pStyle w:val="Styl1"/>
        <w:ind w:firstLine="709"/>
        <w:rPr>
          <w:szCs w:val="24"/>
        </w:rPr>
      </w:pPr>
      <w:r w:rsidRPr="00EC250C">
        <w:rPr>
          <w:szCs w:val="24"/>
        </w:rPr>
        <w:t>Rok 2018 był rokiem rocznic uchwalenia międzynarodowych aktów prawnych</w:t>
      </w:r>
      <w:r w:rsidR="00992FD0" w:rsidRPr="00EC250C">
        <w:rPr>
          <w:szCs w:val="24"/>
        </w:rPr>
        <w:t xml:space="preserve"> o </w:t>
      </w:r>
      <w:r w:rsidRPr="00EC250C">
        <w:rPr>
          <w:szCs w:val="24"/>
        </w:rPr>
        <w:t>fundamentalnym znaczeniu dla systemu ochrony praw człowieka</w:t>
      </w:r>
      <w:r w:rsidR="00992FD0" w:rsidRPr="00EC250C">
        <w:rPr>
          <w:szCs w:val="24"/>
        </w:rPr>
        <w:t xml:space="preserve"> i </w:t>
      </w:r>
      <w:r w:rsidRPr="00EC250C">
        <w:rPr>
          <w:szCs w:val="24"/>
        </w:rPr>
        <w:t>podstawowych wolności: 70.</w:t>
      </w:r>
      <w:r w:rsidR="005E38C3" w:rsidRPr="00EC250C">
        <w:rPr>
          <w:szCs w:val="24"/>
        </w:rPr>
        <w:t> </w:t>
      </w:r>
      <w:r w:rsidRPr="00EC250C">
        <w:rPr>
          <w:szCs w:val="24"/>
        </w:rPr>
        <w:t>rocznic</w:t>
      </w:r>
      <w:r w:rsidR="001B79A8" w:rsidRPr="00EC250C">
        <w:rPr>
          <w:szCs w:val="24"/>
        </w:rPr>
        <w:t>y</w:t>
      </w:r>
      <w:r w:rsidRPr="00EC250C">
        <w:rPr>
          <w:szCs w:val="24"/>
        </w:rPr>
        <w:t xml:space="preserve"> uchwalenia przez Zgromadzenie Ogólne </w:t>
      </w:r>
      <w:r w:rsidR="001B79A8" w:rsidRPr="00EC250C">
        <w:rPr>
          <w:szCs w:val="24"/>
        </w:rPr>
        <w:t>NZ</w:t>
      </w:r>
      <w:r w:rsidRPr="00EC250C">
        <w:rPr>
          <w:szCs w:val="24"/>
        </w:rPr>
        <w:t xml:space="preserve"> Powszechnej Deklaracji Praw Człowieka oraz 65. rocznic</w:t>
      </w:r>
      <w:r w:rsidR="001B79A8" w:rsidRPr="00EC250C">
        <w:rPr>
          <w:szCs w:val="24"/>
        </w:rPr>
        <w:t>y</w:t>
      </w:r>
      <w:r w:rsidRPr="00EC250C">
        <w:rPr>
          <w:szCs w:val="24"/>
        </w:rPr>
        <w:t xml:space="preserve"> wejścia</w:t>
      </w:r>
      <w:r w:rsidR="00992FD0" w:rsidRPr="00EC250C">
        <w:rPr>
          <w:szCs w:val="24"/>
        </w:rPr>
        <w:t xml:space="preserve"> w </w:t>
      </w:r>
      <w:r w:rsidRPr="00EC250C">
        <w:rPr>
          <w:szCs w:val="24"/>
        </w:rPr>
        <w:t>życie Konwencji</w:t>
      </w:r>
      <w:r w:rsidR="00992FD0" w:rsidRPr="00EC250C">
        <w:rPr>
          <w:szCs w:val="24"/>
        </w:rPr>
        <w:t xml:space="preserve"> o </w:t>
      </w:r>
      <w:r w:rsidRPr="00EC250C">
        <w:rPr>
          <w:szCs w:val="24"/>
        </w:rPr>
        <w:t>Ochronie Praw Człowieka</w:t>
      </w:r>
      <w:r w:rsidR="00992FD0" w:rsidRPr="00EC250C">
        <w:rPr>
          <w:szCs w:val="24"/>
        </w:rPr>
        <w:t xml:space="preserve"> i </w:t>
      </w:r>
      <w:r w:rsidRPr="00EC250C">
        <w:rPr>
          <w:szCs w:val="24"/>
        </w:rPr>
        <w:t xml:space="preserve">Podstawowych </w:t>
      </w:r>
      <w:r w:rsidRPr="00EC250C">
        <w:rPr>
          <w:szCs w:val="24"/>
        </w:rPr>
        <w:lastRenderedPageBreak/>
        <w:t xml:space="preserve">Wolności. </w:t>
      </w:r>
      <w:r w:rsidR="001B79A8" w:rsidRPr="00EC250C">
        <w:rPr>
          <w:szCs w:val="24"/>
        </w:rPr>
        <w:t xml:space="preserve">Z okazji </w:t>
      </w:r>
      <w:r w:rsidR="005E38C3" w:rsidRPr="00EC250C">
        <w:rPr>
          <w:szCs w:val="24"/>
        </w:rPr>
        <w:t xml:space="preserve">tych </w:t>
      </w:r>
      <w:r w:rsidRPr="00EC250C">
        <w:rPr>
          <w:szCs w:val="24"/>
        </w:rPr>
        <w:t>jubileuszy zorganizowano wiele międzynarodowych konferencji</w:t>
      </w:r>
      <w:r w:rsidR="00992FD0" w:rsidRPr="00EC250C">
        <w:rPr>
          <w:szCs w:val="24"/>
        </w:rPr>
        <w:t xml:space="preserve"> i </w:t>
      </w:r>
      <w:r w:rsidRPr="00EC250C">
        <w:rPr>
          <w:szCs w:val="24"/>
        </w:rPr>
        <w:t>spotkań poświęconych roli instytucji powołanych do ochrony praw człowieka</w:t>
      </w:r>
      <w:r w:rsidR="005E38C3" w:rsidRPr="00EC250C">
        <w:rPr>
          <w:szCs w:val="24"/>
        </w:rPr>
        <w:t>.</w:t>
      </w:r>
    </w:p>
    <w:p w14:paraId="34C229B2" w14:textId="77777777" w:rsidR="00C91F6E" w:rsidRPr="00EC250C" w:rsidRDefault="00973CBF" w:rsidP="00D131FA">
      <w:pPr>
        <w:pStyle w:val="Srdtytul6"/>
        <w:jc w:val="both"/>
      </w:pPr>
      <w:r w:rsidRPr="00EC250C">
        <w:t>30-letnia działalność instytucji Rzecznika Praw Obywatelskich</w:t>
      </w:r>
      <w:r w:rsidR="00992FD0" w:rsidRPr="00EC250C">
        <w:t xml:space="preserve"> w </w:t>
      </w:r>
      <w:r w:rsidRPr="00EC250C">
        <w:t>Polsce wzbudziła zainteresowanie przedstawicieli instytucji</w:t>
      </w:r>
      <w:r w:rsidR="00992FD0" w:rsidRPr="00EC250C">
        <w:t xml:space="preserve"> i </w:t>
      </w:r>
      <w:r w:rsidRPr="00EC250C">
        <w:t>organizacji zajmujących się problematyką ochrony praw człowieka</w:t>
      </w:r>
      <w:r w:rsidR="00992FD0" w:rsidRPr="00EC250C">
        <w:t xml:space="preserve"> z </w:t>
      </w:r>
      <w:r w:rsidRPr="00EC250C">
        <w:t>zagranicy.</w:t>
      </w:r>
    </w:p>
    <w:p w14:paraId="17C65E65" w14:textId="77777777" w:rsidR="00C91F6E" w:rsidRPr="00EC250C" w:rsidRDefault="00973CBF" w:rsidP="00D131FA">
      <w:pPr>
        <w:pStyle w:val="Styl1"/>
        <w:rPr>
          <w:szCs w:val="24"/>
        </w:rPr>
      </w:pPr>
      <w:r w:rsidRPr="00EC250C">
        <w:rPr>
          <w:szCs w:val="24"/>
        </w:rPr>
        <w:t>W Biurze RPO odbyło się wiele spotkań</w:t>
      </w:r>
      <w:r w:rsidR="00992FD0" w:rsidRPr="00EC250C">
        <w:rPr>
          <w:szCs w:val="24"/>
        </w:rPr>
        <w:t xml:space="preserve"> z </w:t>
      </w:r>
      <w:r w:rsidRPr="00EC250C">
        <w:rPr>
          <w:szCs w:val="24"/>
        </w:rPr>
        <w:t xml:space="preserve">przedstawicielami podmiotów zagranicznych, których interesowała aktywność </w:t>
      </w:r>
      <w:r w:rsidR="001B79A8" w:rsidRPr="00EC250C">
        <w:rPr>
          <w:szCs w:val="24"/>
        </w:rPr>
        <w:t>RPO</w:t>
      </w:r>
      <w:r w:rsidRPr="00EC250C">
        <w:rPr>
          <w:szCs w:val="24"/>
        </w:rPr>
        <w:t>.</w:t>
      </w:r>
      <w:r w:rsidR="001B79A8" w:rsidRPr="00EC250C">
        <w:rPr>
          <w:szCs w:val="24"/>
        </w:rPr>
        <w:t xml:space="preserve"> </w:t>
      </w:r>
      <w:r w:rsidRPr="00EC250C">
        <w:rPr>
          <w:szCs w:val="24"/>
        </w:rPr>
        <w:t xml:space="preserve">Niezwykle istotne było spotkanie </w:t>
      </w:r>
      <w:r w:rsidR="001B79A8" w:rsidRPr="00EC250C">
        <w:rPr>
          <w:szCs w:val="24"/>
        </w:rPr>
        <w:t>r</w:t>
      </w:r>
      <w:r w:rsidRPr="00EC250C">
        <w:rPr>
          <w:szCs w:val="24"/>
        </w:rPr>
        <w:t xml:space="preserve">zecznika </w:t>
      </w:r>
      <w:r w:rsidR="001B79A8" w:rsidRPr="00EC250C">
        <w:rPr>
          <w:szCs w:val="24"/>
        </w:rPr>
        <w:t>p</w:t>
      </w:r>
      <w:r w:rsidRPr="00EC250C">
        <w:rPr>
          <w:szCs w:val="24"/>
        </w:rPr>
        <w:t xml:space="preserve">raw </w:t>
      </w:r>
      <w:r w:rsidR="001B79A8" w:rsidRPr="00EC250C">
        <w:rPr>
          <w:szCs w:val="24"/>
        </w:rPr>
        <w:t>o</w:t>
      </w:r>
      <w:r w:rsidRPr="00EC250C">
        <w:rPr>
          <w:szCs w:val="24"/>
        </w:rPr>
        <w:t>bywatelskich</w:t>
      </w:r>
      <w:r w:rsidR="00992FD0" w:rsidRPr="00EC250C">
        <w:rPr>
          <w:szCs w:val="24"/>
        </w:rPr>
        <w:t xml:space="preserve"> z </w:t>
      </w:r>
      <w:r w:rsidRPr="00EC250C">
        <w:rPr>
          <w:szCs w:val="24"/>
        </w:rPr>
        <w:t>delegacją Komisji Europejskiej, której przewodniczył pierwszy wiceprzewodniczący Komisji Europejskiej. Celem wizyty Fransa Timmermansa</w:t>
      </w:r>
      <w:r w:rsidR="00992FD0" w:rsidRPr="00EC250C">
        <w:rPr>
          <w:szCs w:val="24"/>
        </w:rPr>
        <w:t xml:space="preserve"> w </w:t>
      </w:r>
      <w:r w:rsidRPr="00EC250C">
        <w:rPr>
          <w:szCs w:val="24"/>
        </w:rPr>
        <w:t>Polsce był stan przestrzegania zasady praworządności, ze szczególnym uwzględnieniem pakietu ustaw reformujących polskie sądownictwo.</w:t>
      </w:r>
    </w:p>
    <w:p w14:paraId="301FFC2B" w14:textId="77777777" w:rsidR="00C91F6E" w:rsidRPr="00EC250C" w:rsidRDefault="005E38C3" w:rsidP="00D131FA">
      <w:pPr>
        <w:pStyle w:val="Srdtytul6"/>
        <w:jc w:val="both"/>
      </w:pPr>
      <w:r w:rsidRPr="00EC250C">
        <w:t>Najważniejszym wydarzeniem współpracy regionalnej rzeczników praw obywatelskich jest, organizowane corocznie, spotkanie Ombudsmanów</w:t>
      </w:r>
      <w:r w:rsidR="00992FD0" w:rsidRPr="00EC250C">
        <w:t xml:space="preserve"> z </w:t>
      </w:r>
      <w:r w:rsidRPr="00EC250C">
        <w:t>państw Grupy Wyszehradzkiej (V4).</w:t>
      </w:r>
    </w:p>
    <w:p w14:paraId="5619CF4B" w14:textId="77777777" w:rsidR="00C91F6E" w:rsidRPr="00EC250C" w:rsidRDefault="005E38C3" w:rsidP="00D131FA">
      <w:pPr>
        <w:pStyle w:val="Styl1"/>
        <w:ind w:firstLine="709"/>
        <w:rPr>
          <w:szCs w:val="24"/>
        </w:rPr>
      </w:pPr>
      <w:r w:rsidRPr="00EC250C">
        <w:rPr>
          <w:szCs w:val="24"/>
        </w:rPr>
        <w:t>Gospodarzem spotkania</w:t>
      </w:r>
      <w:r w:rsidR="00992FD0" w:rsidRPr="00EC250C">
        <w:rPr>
          <w:szCs w:val="24"/>
        </w:rPr>
        <w:t xml:space="preserve"> w </w:t>
      </w:r>
      <w:r w:rsidRPr="00EC250C">
        <w:rPr>
          <w:szCs w:val="24"/>
        </w:rPr>
        <w:t>2018</w:t>
      </w:r>
      <w:r w:rsidR="00C91F6E" w:rsidRPr="00EC250C">
        <w:rPr>
          <w:szCs w:val="24"/>
        </w:rPr>
        <w:t> r.</w:t>
      </w:r>
      <w:r w:rsidRPr="00EC250C">
        <w:rPr>
          <w:szCs w:val="24"/>
        </w:rPr>
        <w:t xml:space="preserve"> był polski RPO. W Europejskim Centrum Solidarności</w:t>
      </w:r>
      <w:r w:rsidR="00992FD0" w:rsidRPr="00EC250C">
        <w:rPr>
          <w:szCs w:val="24"/>
        </w:rPr>
        <w:t xml:space="preserve"> w </w:t>
      </w:r>
      <w:r w:rsidRPr="00EC250C">
        <w:rPr>
          <w:szCs w:val="24"/>
        </w:rPr>
        <w:t>Gdańsku ombudsmani</w:t>
      </w:r>
      <w:r w:rsidR="00992FD0" w:rsidRPr="00EC250C">
        <w:rPr>
          <w:szCs w:val="24"/>
        </w:rPr>
        <w:t xml:space="preserve"> z </w:t>
      </w:r>
      <w:r w:rsidRPr="00EC250C">
        <w:rPr>
          <w:szCs w:val="24"/>
        </w:rPr>
        <w:t>Czech, Słowacji, Węgier</w:t>
      </w:r>
      <w:r w:rsidR="00992FD0" w:rsidRPr="00EC250C">
        <w:rPr>
          <w:szCs w:val="24"/>
        </w:rPr>
        <w:t xml:space="preserve"> i </w:t>
      </w:r>
      <w:r w:rsidRPr="00EC250C">
        <w:rPr>
          <w:szCs w:val="24"/>
        </w:rPr>
        <w:t>Polski dyskutowali</w:t>
      </w:r>
      <w:r w:rsidR="00992FD0" w:rsidRPr="00EC250C">
        <w:rPr>
          <w:szCs w:val="24"/>
        </w:rPr>
        <w:t xml:space="preserve"> o </w:t>
      </w:r>
      <w:r w:rsidRPr="00EC250C">
        <w:rPr>
          <w:szCs w:val="24"/>
        </w:rPr>
        <w:t>roli międzynarodowych umów</w:t>
      </w:r>
      <w:r w:rsidR="00992FD0" w:rsidRPr="00EC250C">
        <w:rPr>
          <w:szCs w:val="24"/>
        </w:rPr>
        <w:t xml:space="preserve"> w </w:t>
      </w:r>
      <w:r w:rsidRPr="00EC250C">
        <w:rPr>
          <w:szCs w:val="24"/>
        </w:rPr>
        <w:t>pracy ombudsmanów. Poruszono również zagadnienia wolności słowa – szczególnie ważne</w:t>
      </w:r>
      <w:r w:rsidR="00992FD0" w:rsidRPr="00EC250C">
        <w:rPr>
          <w:szCs w:val="24"/>
        </w:rPr>
        <w:t xml:space="preserve"> w </w:t>
      </w:r>
      <w:r w:rsidRPr="00EC250C">
        <w:rPr>
          <w:szCs w:val="24"/>
        </w:rPr>
        <w:t>kontekście zamordowania dziennikarza na Słowacji. Kolejnym tematem omawianym podczas spotkania była edukacja</w:t>
      </w:r>
      <w:r w:rsidR="00992FD0" w:rsidRPr="00EC250C">
        <w:rPr>
          <w:szCs w:val="24"/>
        </w:rPr>
        <w:t xml:space="preserve"> o </w:t>
      </w:r>
      <w:r w:rsidRPr="00EC250C">
        <w:rPr>
          <w:szCs w:val="24"/>
        </w:rPr>
        <w:t>prawach człowieka. Rzecznicy uznali swoją rolę</w:t>
      </w:r>
      <w:r w:rsidR="00992FD0" w:rsidRPr="00EC250C">
        <w:rPr>
          <w:szCs w:val="24"/>
        </w:rPr>
        <w:t xml:space="preserve"> w </w:t>
      </w:r>
      <w:r w:rsidRPr="00EC250C">
        <w:rPr>
          <w:szCs w:val="24"/>
        </w:rPr>
        <w:t>tej dziedzinie oraz wagę kształtowania kultury prawnej wśród młodzieży, nauki tolerancji</w:t>
      </w:r>
      <w:r w:rsidR="00992FD0" w:rsidRPr="00EC250C">
        <w:rPr>
          <w:szCs w:val="24"/>
        </w:rPr>
        <w:t xml:space="preserve"> i </w:t>
      </w:r>
      <w:r w:rsidRPr="00EC250C">
        <w:rPr>
          <w:szCs w:val="24"/>
        </w:rPr>
        <w:t>podnoszenia świadomości prawnej poprzez m.in. spotkania</w:t>
      </w:r>
      <w:r w:rsidR="00992FD0" w:rsidRPr="00EC250C">
        <w:rPr>
          <w:szCs w:val="24"/>
        </w:rPr>
        <w:t xml:space="preserve"> w </w:t>
      </w:r>
      <w:r w:rsidRPr="00EC250C">
        <w:rPr>
          <w:szCs w:val="24"/>
        </w:rPr>
        <w:t>szkołach, obecność na festiwalach adresowanych do ludzi młodych</w:t>
      </w:r>
      <w:r w:rsidR="00992FD0" w:rsidRPr="00EC250C">
        <w:rPr>
          <w:szCs w:val="24"/>
        </w:rPr>
        <w:t xml:space="preserve"> i </w:t>
      </w:r>
      <w:r w:rsidRPr="00EC250C">
        <w:rPr>
          <w:szCs w:val="24"/>
        </w:rPr>
        <w:t>przybliżanie standardów prawnych</w:t>
      </w:r>
      <w:r w:rsidR="00992FD0" w:rsidRPr="00EC250C">
        <w:rPr>
          <w:szCs w:val="24"/>
        </w:rPr>
        <w:t xml:space="preserve"> w </w:t>
      </w:r>
      <w:r w:rsidRPr="00EC250C">
        <w:rPr>
          <w:szCs w:val="24"/>
        </w:rPr>
        <w:t>sposób zrozumiały</w:t>
      </w:r>
      <w:r w:rsidR="00992FD0" w:rsidRPr="00EC250C">
        <w:rPr>
          <w:szCs w:val="24"/>
        </w:rPr>
        <w:t xml:space="preserve"> i </w:t>
      </w:r>
      <w:r w:rsidRPr="00EC250C">
        <w:rPr>
          <w:szCs w:val="24"/>
        </w:rPr>
        <w:t>atrakcyjny dla młodego pokolenia.</w:t>
      </w:r>
    </w:p>
    <w:p w14:paraId="373249A3" w14:textId="77777777" w:rsidR="00C91F6E" w:rsidRPr="00EC250C" w:rsidRDefault="005E38C3" w:rsidP="00D131FA">
      <w:pPr>
        <w:pStyle w:val="Styl1"/>
        <w:ind w:firstLine="709"/>
        <w:rPr>
          <w:szCs w:val="24"/>
        </w:rPr>
      </w:pPr>
      <w:r w:rsidRPr="00EC250C">
        <w:rPr>
          <w:szCs w:val="24"/>
        </w:rPr>
        <w:t>Spotkanie Ombudsmanów</w:t>
      </w:r>
      <w:r w:rsidR="00992FD0" w:rsidRPr="00EC250C">
        <w:rPr>
          <w:szCs w:val="24"/>
        </w:rPr>
        <w:t xml:space="preserve"> z </w:t>
      </w:r>
      <w:r w:rsidRPr="00EC250C">
        <w:rPr>
          <w:szCs w:val="24"/>
        </w:rPr>
        <w:t>Czech, Słowacji, Węgier</w:t>
      </w:r>
      <w:r w:rsidR="00992FD0" w:rsidRPr="00EC250C">
        <w:rPr>
          <w:szCs w:val="24"/>
        </w:rPr>
        <w:t xml:space="preserve"> i </w:t>
      </w:r>
      <w:r w:rsidRPr="00EC250C">
        <w:rPr>
          <w:szCs w:val="24"/>
        </w:rPr>
        <w:t>Polski</w:t>
      </w:r>
      <w:r w:rsidR="00992FD0" w:rsidRPr="00EC250C">
        <w:rPr>
          <w:szCs w:val="24"/>
        </w:rPr>
        <w:t xml:space="preserve"> w </w:t>
      </w:r>
      <w:r w:rsidRPr="00EC250C">
        <w:rPr>
          <w:szCs w:val="24"/>
        </w:rPr>
        <w:t>Gdańsku zakończyło się podpisaniem wspólnej Deklaracji,</w:t>
      </w:r>
      <w:r w:rsidR="00992FD0" w:rsidRPr="00EC250C">
        <w:rPr>
          <w:szCs w:val="24"/>
        </w:rPr>
        <w:t xml:space="preserve"> w </w:t>
      </w:r>
      <w:r w:rsidRPr="00EC250C">
        <w:rPr>
          <w:szCs w:val="24"/>
        </w:rPr>
        <w:t>której wyrazili wolę dalszej ścisłej współpracy</w:t>
      </w:r>
      <w:r w:rsidR="00992FD0" w:rsidRPr="00EC250C">
        <w:rPr>
          <w:szCs w:val="24"/>
        </w:rPr>
        <w:t xml:space="preserve"> w </w:t>
      </w:r>
      <w:r w:rsidRPr="00EC250C">
        <w:rPr>
          <w:szCs w:val="24"/>
        </w:rPr>
        <w:t>dziedzinach stanowiących aktualnie najpilniejsze zadania zagwarantowane</w:t>
      </w:r>
      <w:r w:rsidR="00992FD0" w:rsidRPr="00EC250C">
        <w:rPr>
          <w:szCs w:val="24"/>
        </w:rPr>
        <w:t xml:space="preserve"> w </w:t>
      </w:r>
      <w:r w:rsidRPr="00EC250C">
        <w:rPr>
          <w:szCs w:val="24"/>
        </w:rPr>
        <w:t>unormowaniach ustawowych. Uzgodniono, że następne spotkanie</w:t>
      </w:r>
      <w:r w:rsidR="00992FD0" w:rsidRPr="00EC250C">
        <w:rPr>
          <w:szCs w:val="24"/>
        </w:rPr>
        <w:t xml:space="preserve"> w </w:t>
      </w:r>
      <w:r w:rsidRPr="00EC250C">
        <w:rPr>
          <w:szCs w:val="24"/>
        </w:rPr>
        <w:t>tej formule odbędzie się</w:t>
      </w:r>
      <w:r w:rsidR="00992FD0" w:rsidRPr="00EC250C">
        <w:rPr>
          <w:szCs w:val="24"/>
        </w:rPr>
        <w:t xml:space="preserve"> w </w:t>
      </w:r>
      <w:r w:rsidRPr="00EC250C">
        <w:rPr>
          <w:szCs w:val="24"/>
        </w:rPr>
        <w:t>maju 2019</w:t>
      </w:r>
      <w:r w:rsidR="00C91F6E" w:rsidRPr="00EC250C">
        <w:rPr>
          <w:szCs w:val="24"/>
        </w:rPr>
        <w:t> r.</w:t>
      </w:r>
      <w:r w:rsidR="00992FD0" w:rsidRPr="00EC250C">
        <w:rPr>
          <w:szCs w:val="24"/>
        </w:rPr>
        <w:t xml:space="preserve"> w </w:t>
      </w:r>
      <w:r w:rsidRPr="00EC250C">
        <w:rPr>
          <w:szCs w:val="24"/>
        </w:rPr>
        <w:t>Bratysławie.</w:t>
      </w:r>
    </w:p>
    <w:p w14:paraId="1F3FC071" w14:textId="77777777" w:rsidR="00C91F6E" w:rsidRPr="00EC250C" w:rsidRDefault="00192982" w:rsidP="00D131FA">
      <w:pPr>
        <w:pStyle w:val="Srdtytul6"/>
        <w:jc w:val="both"/>
      </w:pPr>
      <w:r w:rsidRPr="00EC250C">
        <w:t xml:space="preserve">Ważną platformą współpracy </w:t>
      </w:r>
      <w:r w:rsidR="001B79A8" w:rsidRPr="00EC250C">
        <w:t>RPO</w:t>
      </w:r>
      <w:r w:rsidRPr="00EC250C">
        <w:t xml:space="preserve"> na forum międzynarodowym pozostają od wielu lat kontakty dwustronne</w:t>
      </w:r>
      <w:r w:rsidR="00992FD0" w:rsidRPr="00EC250C">
        <w:t xml:space="preserve"> z </w:t>
      </w:r>
      <w:r w:rsidRPr="00EC250C">
        <w:t>instytucjami Rzeczników</w:t>
      </w:r>
      <w:r w:rsidR="00992FD0" w:rsidRPr="00EC250C">
        <w:t xml:space="preserve"> w </w:t>
      </w:r>
      <w:r w:rsidRPr="00EC250C">
        <w:t>innych krajach.</w:t>
      </w:r>
    </w:p>
    <w:p w14:paraId="6BC67ACD" w14:textId="77777777" w:rsidR="00C91F6E" w:rsidRPr="00EC250C" w:rsidRDefault="00192982" w:rsidP="00D131FA">
      <w:pPr>
        <w:pStyle w:val="Styl1"/>
        <w:ind w:firstLine="709"/>
        <w:rPr>
          <w:szCs w:val="24"/>
        </w:rPr>
      </w:pPr>
      <w:r w:rsidRPr="00EC250C">
        <w:rPr>
          <w:szCs w:val="24"/>
        </w:rPr>
        <w:t xml:space="preserve">Rzecznik </w:t>
      </w:r>
      <w:r w:rsidR="001B79A8" w:rsidRPr="00EC250C">
        <w:rPr>
          <w:szCs w:val="24"/>
        </w:rPr>
        <w:t>p</w:t>
      </w:r>
      <w:r w:rsidRPr="00EC250C">
        <w:rPr>
          <w:szCs w:val="24"/>
        </w:rPr>
        <w:t xml:space="preserve">raw </w:t>
      </w:r>
      <w:r w:rsidR="001B79A8" w:rsidRPr="00EC250C">
        <w:rPr>
          <w:szCs w:val="24"/>
        </w:rPr>
        <w:t>o</w:t>
      </w:r>
      <w:r w:rsidRPr="00EC250C">
        <w:rPr>
          <w:szCs w:val="24"/>
        </w:rPr>
        <w:t>bywatelskich złożył wizytę</w:t>
      </w:r>
      <w:r w:rsidR="00992FD0" w:rsidRPr="00EC250C">
        <w:rPr>
          <w:szCs w:val="24"/>
        </w:rPr>
        <w:t xml:space="preserve"> w </w:t>
      </w:r>
      <w:r w:rsidRPr="00EC250C">
        <w:rPr>
          <w:szCs w:val="24"/>
        </w:rPr>
        <w:t>Norwegii na zaproszenie Ombudsmana tego kraju. Doskonała współpraca</w:t>
      </w:r>
      <w:r w:rsidR="00992FD0" w:rsidRPr="00EC250C">
        <w:rPr>
          <w:szCs w:val="24"/>
        </w:rPr>
        <w:t xml:space="preserve"> z </w:t>
      </w:r>
      <w:r w:rsidRPr="00EC250C">
        <w:rPr>
          <w:szCs w:val="24"/>
        </w:rPr>
        <w:t>Publicznym Obrońcą Praw</w:t>
      </w:r>
      <w:r w:rsidR="00992FD0" w:rsidRPr="00EC250C">
        <w:rPr>
          <w:szCs w:val="24"/>
        </w:rPr>
        <w:t xml:space="preserve"> w </w:t>
      </w:r>
      <w:r w:rsidRPr="00EC250C">
        <w:rPr>
          <w:szCs w:val="24"/>
        </w:rPr>
        <w:t xml:space="preserve">Czechach zaowocowała roboczą wizytą dyrektor generalnej </w:t>
      </w:r>
      <w:r w:rsidR="005E38C3" w:rsidRPr="00EC250C">
        <w:rPr>
          <w:szCs w:val="24"/>
        </w:rPr>
        <w:t>BRPO</w:t>
      </w:r>
      <w:r w:rsidR="00992FD0" w:rsidRPr="00EC250C">
        <w:rPr>
          <w:szCs w:val="24"/>
        </w:rPr>
        <w:t xml:space="preserve"> w </w:t>
      </w:r>
      <w:r w:rsidRPr="00EC250C">
        <w:rPr>
          <w:szCs w:val="24"/>
        </w:rPr>
        <w:t>tym biurze.</w:t>
      </w:r>
      <w:r w:rsidR="005E38C3" w:rsidRPr="00EC250C">
        <w:rPr>
          <w:szCs w:val="24"/>
        </w:rPr>
        <w:t xml:space="preserve"> P</w:t>
      </w:r>
      <w:r w:rsidRPr="00EC250C">
        <w:rPr>
          <w:szCs w:val="24"/>
        </w:rPr>
        <w:t xml:space="preserve">rzedstawiciel </w:t>
      </w:r>
      <w:r w:rsidR="005E38C3" w:rsidRPr="00EC250C">
        <w:rPr>
          <w:szCs w:val="24"/>
        </w:rPr>
        <w:t xml:space="preserve">RPO </w:t>
      </w:r>
      <w:r w:rsidRPr="00EC250C">
        <w:rPr>
          <w:szCs w:val="24"/>
        </w:rPr>
        <w:t>wziął udział</w:t>
      </w:r>
      <w:r w:rsidR="00992FD0" w:rsidRPr="00EC250C">
        <w:rPr>
          <w:szCs w:val="24"/>
        </w:rPr>
        <w:t xml:space="preserve"> w </w:t>
      </w:r>
      <w:r w:rsidRPr="00EC250C">
        <w:rPr>
          <w:szCs w:val="24"/>
        </w:rPr>
        <w:t xml:space="preserve">zorganizowanej </w:t>
      </w:r>
      <w:r w:rsidRPr="00EC250C">
        <w:rPr>
          <w:szCs w:val="24"/>
        </w:rPr>
        <w:lastRenderedPageBreak/>
        <w:t>jesienią przez urząd Ombudsmanów Austrii sympozjum „Dobra administracja publiczna</w:t>
      </w:r>
      <w:r w:rsidR="00992FD0" w:rsidRPr="00EC250C">
        <w:rPr>
          <w:szCs w:val="24"/>
        </w:rPr>
        <w:t xml:space="preserve"> i </w:t>
      </w:r>
      <w:r w:rsidRPr="00EC250C">
        <w:rPr>
          <w:szCs w:val="24"/>
        </w:rPr>
        <w:t>korzyści dla obywateli – rola parlamentarnych organów kontrolnych”.</w:t>
      </w:r>
    </w:p>
    <w:p w14:paraId="3861FCD0" w14:textId="77777777" w:rsidR="005E38C3" w:rsidRPr="00EC250C" w:rsidRDefault="00192982" w:rsidP="00D131FA">
      <w:pPr>
        <w:pStyle w:val="Srdtytul6"/>
        <w:jc w:val="both"/>
      </w:pPr>
      <w:r w:rsidRPr="00EC250C">
        <w:t>Jednym</w:t>
      </w:r>
      <w:r w:rsidR="00992FD0" w:rsidRPr="00EC250C">
        <w:t xml:space="preserve"> z </w:t>
      </w:r>
      <w:r w:rsidRPr="00EC250C">
        <w:t xml:space="preserve">ważnych pól aktywności </w:t>
      </w:r>
      <w:r w:rsidR="005E38C3" w:rsidRPr="00EC250C">
        <w:t xml:space="preserve">RPO </w:t>
      </w:r>
      <w:r w:rsidRPr="00EC250C">
        <w:t>jest współpraca</w:t>
      </w:r>
      <w:r w:rsidR="00992FD0" w:rsidRPr="00EC250C">
        <w:t xml:space="preserve"> z </w:t>
      </w:r>
      <w:r w:rsidRPr="00EC250C">
        <w:t>Ombudsmanem Unii Europejskiej.</w:t>
      </w:r>
    </w:p>
    <w:p w14:paraId="222C9899" w14:textId="77777777" w:rsidR="00C91F6E" w:rsidRPr="00EC250C" w:rsidRDefault="00192982" w:rsidP="00D131FA">
      <w:pPr>
        <w:pStyle w:val="Styl1"/>
        <w:ind w:firstLine="709"/>
        <w:rPr>
          <w:szCs w:val="24"/>
        </w:rPr>
      </w:pPr>
      <w:r w:rsidRPr="00EC250C">
        <w:rPr>
          <w:szCs w:val="24"/>
        </w:rPr>
        <w:t>Rzecznik wziął udział</w:t>
      </w:r>
      <w:r w:rsidR="00992FD0" w:rsidRPr="00EC250C">
        <w:rPr>
          <w:szCs w:val="24"/>
        </w:rPr>
        <w:t xml:space="preserve"> w </w:t>
      </w:r>
      <w:r w:rsidRPr="00EC250C">
        <w:rPr>
          <w:szCs w:val="24"/>
        </w:rPr>
        <w:t>Konferencji Europejskiej Sieci Ombudsmanów zorganizowanej</w:t>
      </w:r>
      <w:r w:rsidR="00992FD0" w:rsidRPr="00EC250C">
        <w:rPr>
          <w:szCs w:val="24"/>
        </w:rPr>
        <w:t xml:space="preserve"> w </w:t>
      </w:r>
      <w:r w:rsidRPr="00EC250C">
        <w:rPr>
          <w:szCs w:val="24"/>
        </w:rPr>
        <w:t>Brukseli przez Ombudsmana Unii Europejskiej. Interesującym wydarzeniem było seminarium Europejskiej Sieci Ombudsmanów stworzonej</w:t>
      </w:r>
      <w:r w:rsidR="00992FD0" w:rsidRPr="00EC250C">
        <w:rPr>
          <w:szCs w:val="24"/>
        </w:rPr>
        <w:t xml:space="preserve"> i </w:t>
      </w:r>
      <w:r w:rsidRPr="00EC250C">
        <w:rPr>
          <w:szCs w:val="24"/>
        </w:rPr>
        <w:t>koordynowanej przez Ombudsmana Unii Europejskiej. Podczas konferencji rozmawiano m.in. na temat sposobów pogłębiania współpracy</w:t>
      </w:r>
      <w:r w:rsidR="00992FD0" w:rsidRPr="00EC250C">
        <w:rPr>
          <w:szCs w:val="24"/>
        </w:rPr>
        <w:t xml:space="preserve"> w </w:t>
      </w:r>
      <w:r w:rsidRPr="00EC250C">
        <w:rPr>
          <w:szCs w:val="24"/>
        </w:rPr>
        <w:t>ramach sieci, usprawniania procedur rozpatrywania skarg od obywateli przez poszczególne instytucje, wykorzystania mediów społecznościowych</w:t>
      </w:r>
      <w:r w:rsidR="00992FD0" w:rsidRPr="00EC250C">
        <w:rPr>
          <w:szCs w:val="24"/>
        </w:rPr>
        <w:t xml:space="preserve"> i </w:t>
      </w:r>
      <w:r w:rsidRPr="00EC250C">
        <w:rPr>
          <w:szCs w:val="24"/>
        </w:rPr>
        <w:t>wpływu nowych technik komunikacji na pracę biur ombudsmanów oraz dialog</w:t>
      </w:r>
      <w:r w:rsidR="00992FD0" w:rsidRPr="00EC250C">
        <w:rPr>
          <w:szCs w:val="24"/>
        </w:rPr>
        <w:t xml:space="preserve"> z </w:t>
      </w:r>
      <w:r w:rsidRPr="00EC250C">
        <w:rPr>
          <w:szCs w:val="24"/>
        </w:rPr>
        <w:t>obywatelami.</w:t>
      </w:r>
    </w:p>
    <w:p w14:paraId="23E6E1AD" w14:textId="77777777" w:rsidR="00C91F6E" w:rsidRPr="00EC250C" w:rsidRDefault="001B79A8" w:rsidP="00D131FA">
      <w:pPr>
        <w:pStyle w:val="Styl1"/>
        <w:ind w:firstLine="709"/>
        <w:rPr>
          <w:b/>
          <w:szCs w:val="24"/>
        </w:rPr>
      </w:pPr>
      <w:r w:rsidRPr="00EC250C">
        <w:rPr>
          <w:b/>
          <w:szCs w:val="24"/>
        </w:rPr>
        <w:t>Wdrażanie</w:t>
      </w:r>
      <w:r w:rsidR="00192982" w:rsidRPr="00EC250C">
        <w:rPr>
          <w:b/>
          <w:szCs w:val="24"/>
        </w:rPr>
        <w:t xml:space="preserve"> prawa unijnego oraz przestrzeń społeczna</w:t>
      </w:r>
      <w:r w:rsidR="00992FD0" w:rsidRPr="00EC250C">
        <w:rPr>
          <w:b/>
          <w:szCs w:val="24"/>
        </w:rPr>
        <w:t xml:space="preserve"> w </w:t>
      </w:r>
      <w:r w:rsidR="00192982" w:rsidRPr="00EC250C">
        <w:rPr>
          <w:b/>
          <w:szCs w:val="24"/>
        </w:rPr>
        <w:t>Unii Europejskiej należały do problematyki często poruszanej na konferencjach organizowanych przez Parlament Europejski, Komisję Europejską czy właśnie Ombudsmana Unii Europejskiej.</w:t>
      </w:r>
    </w:p>
    <w:p w14:paraId="6B6C773F" w14:textId="77777777" w:rsidR="00C91F6E" w:rsidRPr="00EC250C" w:rsidRDefault="00192982" w:rsidP="00D131FA">
      <w:pPr>
        <w:pStyle w:val="Styl1"/>
        <w:ind w:firstLine="709"/>
        <w:rPr>
          <w:szCs w:val="24"/>
        </w:rPr>
      </w:pPr>
      <w:r w:rsidRPr="00EC250C">
        <w:rPr>
          <w:szCs w:val="24"/>
        </w:rPr>
        <w:t>Tematyka wspierania idei rządów prawa, demokracji</w:t>
      </w:r>
      <w:r w:rsidR="00992FD0" w:rsidRPr="00EC250C">
        <w:rPr>
          <w:szCs w:val="24"/>
        </w:rPr>
        <w:t xml:space="preserve"> i </w:t>
      </w:r>
      <w:r w:rsidRPr="00EC250C">
        <w:rPr>
          <w:szCs w:val="24"/>
        </w:rPr>
        <w:t>praworządności</w:t>
      </w:r>
      <w:r w:rsidR="00992FD0" w:rsidRPr="00EC250C">
        <w:rPr>
          <w:szCs w:val="24"/>
        </w:rPr>
        <w:t xml:space="preserve"> w </w:t>
      </w:r>
      <w:r w:rsidRPr="00EC250C">
        <w:rPr>
          <w:szCs w:val="24"/>
        </w:rPr>
        <w:t>państwach członkowskich Unii Europejskiej była poruszana podczas konferencji</w:t>
      </w:r>
      <w:r w:rsidR="00992FD0" w:rsidRPr="00EC250C">
        <w:rPr>
          <w:szCs w:val="24"/>
        </w:rPr>
        <w:t xml:space="preserve"> w </w:t>
      </w:r>
      <w:r w:rsidRPr="00EC250C">
        <w:rPr>
          <w:szCs w:val="24"/>
        </w:rPr>
        <w:t>Brukseli inaugurującej 4-letni projekt badawczy „Reconcilling Europe with its Citizens through Democracy and the Rule of Law”, finansowany przez Unię Europejską</w:t>
      </w:r>
      <w:r w:rsidR="00992FD0" w:rsidRPr="00EC250C">
        <w:rPr>
          <w:szCs w:val="24"/>
        </w:rPr>
        <w:t xml:space="preserve"> w </w:t>
      </w:r>
      <w:r w:rsidRPr="00EC250C">
        <w:rPr>
          <w:szCs w:val="24"/>
        </w:rPr>
        <w:t xml:space="preserve">ramach programu </w:t>
      </w:r>
      <w:r w:rsidR="00DA30E7" w:rsidRPr="00EC250C">
        <w:rPr>
          <w:szCs w:val="24"/>
        </w:rPr>
        <w:t xml:space="preserve">Horyzont </w:t>
      </w:r>
      <w:r w:rsidRPr="00EC250C">
        <w:rPr>
          <w:szCs w:val="24"/>
        </w:rPr>
        <w:t>2020. Polski Rzecznik znalazł się</w:t>
      </w:r>
      <w:r w:rsidR="00992FD0" w:rsidRPr="00EC250C">
        <w:rPr>
          <w:szCs w:val="24"/>
        </w:rPr>
        <w:t xml:space="preserve"> w </w:t>
      </w:r>
      <w:r w:rsidRPr="00EC250C">
        <w:rPr>
          <w:szCs w:val="24"/>
        </w:rPr>
        <w:t>gronie głównych panelistów wraz</w:t>
      </w:r>
      <w:r w:rsidR="00992FD0" w:rsidRPr="00EC250C">
        <w:rPr>
          <w:szCs w:val="24"/>
        </w:rPr>
        <w:t xml:space="preserve"> z </w:t>
      </w:r>
      <w:r w:rsidRPr="00EC250C">
        <w:rPr>
          <w:szCs w:val="24"/>
        </w:rPr>
        <w:t>Ombudsmanem Unii Europejskiej</w:t>
      </w:r>
      <w:r w:rsidR="00992FD0" w:rsidRPr="00EC250C">
        <w:rPr>
          <w:szCs w:val="24"/>
        </w:rPr>
        <w:t xml:space="preserve"> i </w:t>
      </w:r>
      <w:r w:rsidRPr="00EC250C">
        <w:rPr>
          <w:szCs w:val="24"/>
        </w:rPr>
        <w:t>przedstawicielką Parlamentu Europejskiego. Spotkanie zgromadziło naukowców</w:t>
      </w:r>
      <w:r w:rsidR="00992FD0" w:rsidRPr="00EC250C">
        <w:rPr>
          <w:szCs w:val="24"/>
        </w:rPr>
        <w:t xml:space="preserve"> z </w:t>
      </w:r>
      <w:r w:rsidRPr="00EC250C">
        <w:rPr>
          <w:szCs w:val="24"/>
        </w:rPr>
        <w:t>różnych ośrodków akademickich</w:t>
      </w:r>
      <w:r w:rsidR="00992FD0" w:rsidRPr="00EC250C">
        <w:rPr>
          <w:szCs w:val="24"/>
        </w:rPr>
        <w:t xml:space="preserve"> w </w:t>
      </w:r>
      <w:r w:rsidRPr="00EC250C">
        <w:rPr>
          <w:szCs w:val="24"/>
        </w:rPr>
        <w:t>Europie, reprezentantów społeczeństwa obywatelskiego oraz instytucji unijnych.</w:t>
      </w:r>
    </w:p>
    <w:p w14:paraId="3B279E14" w14:textId="77777777" w:rsidR="00C91F6E" w:rsidRPr="00EC250C" w:rsidRDefault="00192982" w:rsidP="00D131FA">
      <w:pPr>
        <w:pStyle w:val="Styl1"/>
        <w:ind w:firstLine="709"/>
        <w:rPr>
          <w:szCs w:val="24"/>
        </w:rPr>
      </w:pPr>
      <w:r w:rsidRPr="00EC250C">
        <w:rPr>
          <w:szCs w:val="24"/>
        </w:rPr>
        <w:t>Rzecznik uczestniczył</w:t>
      </w:r>
      <w:r w:rsidR="00CC4D88" w:rsidRPr="00EC250C">
        <w:rPr>
          <w:szCs w:val="24"/>
        </w:rPr>
        <w:t xml:space="preserve"> </w:t>
      </w:r>
      <w:r w:rsidRPr="00EC250C">
        <w:rPr>
          <w:szCs w:val="24"/>
        </w:rPr>
        <w:t>również</w:t>
      </w:r>
      <w:r w:rsidR="00992FD0" w:rsidRPr="00EC250C">
        <w:rPr>
          <w:szCs w:val="24"/>
        </w:rPr>
        <w:t xml:space="preserve"> w </w:t>
      </w:r>
      <w:r w:rsidRPr="00EC250C">
        <w:rPr>
          <w:szCs w:val="24"/>
        </w:rPr>
        <w:t>wysłuchaniu publicznym</w:t>
      </w:r>
      <w:r w:rsidR="00992FD0" w:rsidRPr="00EC250C">
        <w:rPr>
          <w:szCs w:val="24"/>
        </w:rPr>
        <w:t xml:space="preserve"> w </w:t>
      </w:r>
      <w:r w:rsidRPr="00EC250C">
        <w:rPr>
          <w:szCs w:val="24"/>
        </w:rPr>
        <w:t>Parlamencie Europejskim nt. niezależności sądownictwa na zaproszenie Komisji Parlamentu Europejskiego – Committee on Civil Liberties, Justice and Home Affairs (LIBE).</w:t>
      </w:r>
    </w:p>
    <w:p w14:paraId="79E83835" w14:textId="77777777" w:rsidR="00C91F6E" w:rsidRPr="00EC250C" w:rsidRDefault="00192982" w:rsidP="00D131FA">
      <w:pPr>
        <w:pStyle w:val="Styl1"/>
        <w:ind w:firstLine="709"/>
        <w:rPr>
          <w:szCs w:val="24"/>
        </w:rPr>
      </w:pPr>
      <w:r w:rsidRPr="00EC250C">
        <w:rPr>
          <w:szCs w:val="24"/>
        </w:rPr>
        <w:t>Ważnym elementem aktywności instytucji Rzecznika Praw Obywatelskich na forum międzynarodowym</w:t>
      </w:r>
      <w:r w:rsidR="00992FD0" w:rsidRPr="00EC250C">
        <w:rPr>
          <w:szCs w:val="24"/>
        </w:rPr>
        <w:t xml:space="preserve"> w </w:t>
      </w:r>
      <w:r w:rsidRPr="00EC250C">
        <w:rPr>
          <w:szCs w:val="24"/>
        </w:rPr>
        <w:t>2018</w:t>
      </w:r>
      <w:r w:rsidR="00C91F6E" w:rsidRPr="00EC250C">
        <w:rPr>
          <w:szCs w:val="24"/>
        </w:rPr>
        <w:t> r.</w:t>
      </w:r>
      <w:r w:rsidRPr="00EC250C">
        <w:rPr>
          <w:szCs w:val="24"/>
        </w:rPr>
        <w:t xml:space="preserve"> stanowił udział </w:t>
      </w:r>
      <w:r w:rsidR="00DA30E7" w:rsidRPr="00EC250C">
        <w:rPr>
          <w:szCs w:val="24"/>
        </w:rPr>
        <w:t>r</w:t>
      </w:r>
      <w:r w:rsidRPr="00EC250C">
        <w:rPr>
          <w:szCs w:val="24"/>
        </w:rPr>
        <w:t xml:space="preserve">zecznika, </w:t>
      </w:r>
      <w:r w:rsidR="00DA30E7" w:rsidRPr="00EC250C">
        <w:rPr>
          <w:szCs w:val="24"/>
        </w:rPr>
        <w:t>z</w:t>
      </w:r>
      <w:r w:rsidRPr="00EC250C">
        <w:rPr>
          <w:szCs w:val="24"/>
        </w:rPr>
        <w:t>astępców RPO</w:t>
      </w:r>
      <w:r w:rsidR="00992FD0" w:rsidRPr="00EC250C">
        <w:rPr>
          <w:szCs w:val="24"/>
        </w:rPr>
        <w:t xml:space="preserve"> i </w:t>
      </w:r>
      <w:r w:rsidRPr="00EC250C">
        <w:rPr>
          <w:szCs w:val="24"/>
        </w:rPr>
        <w:t>przedstawicieli biura</w:t>
      </w:r>
      <w:r w:rsidR="00992FD0" w:rsidRPr="00EC250C">
        <w:rPr>
          <w:szCs w:val="24"/>
        </w:rPr>
        <w:t xml:space="preserve"> w </w:t>
      </w:r>
      <w:r w:rsidRPr="00EC250C">
        <w:rPr>
          <w:szCs w:val="24"/>
        </w:rPr>
        <w:t>wydarzeniach pod auspicjami organizacji międzynarodowych,</w:t>
      </w:r>
      <w:r w:rsidR="00992FD0" w:rsidRPr="00EC250C">
        <w:rPr>
          <w:szCs w:val="24"/>
        </w:rPr>
        <w:t xml:space="preserve"> a </w:t>
      </w:r>
      <w:r w:rsidRPr="00EC250C">
        <w:rPr>
          <w:szCs w:val="24"/>
        </w:rPr>
        <w:t>przede wszystkim stowarzyszeń Ombudsmanów</w:t>
      </w:r>
      <w:r w:rsidR="00992FD0" w:rsidRPr="00EC250C">
        <w:rPr>
          <w:szCs w:val="24"/>
        </w:rPr>
        <w:t xml:space="preserve"> i </w:t>
      </w:r>
      <w:r w:rsidRPr="00EC250C">
        <w:rPr>
          <w:szCs w:val="24"/>
        </w:rPr>
        <w:t>Krajowych Instytucji Praw Człowieka realizujących zadania promocji</w:t>
      </w:r>
      <w:r w:rsidR="00992FD0" w:rsidRPr="00EC250C">
        <w:rPr>
          <w:szCs w:val="24"/>
        </w:rPr>
        <w:t xml:space="preserve"> i </w:t>
      </w:r>
      <w:r w:rsidRPr="00EC250C">
        <w:rPr>
          <w:szCs w:val="24"/>
        </w:rPr>
        <w:t>ochrony praw człowieka.</w:t>
      </w:r>
    </w:p>
    <w:p w14:paraId="5CC14C61" w14:textId="77777777" w:rsidR="00C91F6E" w:rsidRPr="00EC250C" w:rsidRDefault="00192982" w:rsidP="00D131FA">
      <w:pPr>
        <w:pStyle w:val="Styl1"/>
        <w:rPr>
          <w:szCs w:val="24"/>
        </w:rPr>
      </w:pPr>
      <w:r w:rsidRPr="00EC250C">
        <w:rPr>
          <w:szCs w:val="24"/>
        </w:rPr>
        <w:t>Najważniejszymi partnerami</w:t>
      </w:r>
      <w:r w:rsidR="00992FD0" w:rsidRPr="00EC250C">
        <w:rPr>
          <w:szCs w:val="24"/>
        </w:rPr>
        <w:t xml:space="preserve"> w </w:t>
      </w:r>
      <w:r w:rsidRPr="00EC250C">
        <w:rPr>
          <w:szCs w:val="24"/>
        </w:rPr>
        <w:t xml:space="preserve">popularyzacji dokonań </w:t>
      </w:r>
      <w:r w:rsidR="001B79A8" w:rsidRPr="00EC250C">
        <w:rPr>
          <w:szCs w:val="24"/>
        </w:rPr>
        <w:t>RPO</w:t>
      </w:r>
      <w:r w:rsidRPr="00EC250C">
        <w:rPr>
          <w:szCs w:val="24"/>
        </w:rPr>
        <w:t xml:space="preserve"> na arenie międzynarodowej oraz wymiany doświadczeń</w:t>
      </w:r>
      <w:r w:rsidR="00992FD0" w:rsidRPr="00EC250C">
        <w:rPr>
          <w:szCs w:val="24"/>
        </w:rPr>
        <w:t xml:space="preserve"> z </w:t>
      </w:r>
      <w:r w:rsidRPr="00EC250C">
        <w:rPr>
          <w:szCs w:val="24"/>
        </w:rPr>
        <w:t>partnerami zagranicznymi są: Międzynarodowy Instytut Ombudsmanów (International Ombudsman Institute</w:t>
      </w:r>
      <w:r w:rsidR="00026572" w:rsidRPr="00EC250C">
        <w:rPr>
          <w:szCs w:val="24"/>
        </w:rPr>
        <w:t xml:space="preserve"> – </w:t>
      </w:r>
      <w:r w:rsidRPr="00EC250C">
        <w:rPr>
          <w:szCs w:val="24"/>
        </w:rPr>
        <w:t>IOI), Europejska Sieć Krajowych Instytucji Praw Człowieka (European Network of National Human Rights Institutions</w:t>
      </w:r>
      <w:r w:rsidR="00026572" w:rsidRPr="00EC250C">
        <w:rPr>
          <w:szCs w:val="24"/>
        </w:rPr>
        <w:t xml:space="preserve"> – </w:t>
      </w:r>
      <w:r w:rsidRPr="00EC250C">
        <w:rPr>
          <w:szCs w:val="24"/>
        </w:rPr>
        <w:t xml:space="preserve">ENNHRI), Światowy Związek </w:t>
      </w:r>
      <w:r w:rsidRPr="00EC250C">
        <w:rPr>
          <w:szCs w:val="24"/>
        </w:rPr>
        <w:lastRenderedPageBreak/>
        <w:t>Krajowych Instytucji Praw Człowieka (Global Allians of National Human Rights Institutions – GANHRI) oraz Europejska Sieć Niezależnych Organów Równościowych (European Network of Independent Equality Bodies – EQUINET).</w:t>
      </w:r>
    </w:p>
    <w:p w14:paraId="7E9BFA47" w14:textId="77777777" w:rsidR="00C91F6E" w:rsidRPr="00EC250C" w:rsidRDefault="00192982" w:rsidP="00D131FA">
      <w:pPr>
        <w:pStyle w:val="Styl1"/>
        <w:rPr>
          <w:szCs w:val="24"/>
        </w:rPr>
      </w:pPr>
      <w:r w:rsidRPr="00EC250C">
        <w:rPr>
          <w:szCs w:val="24"/>
        </w:rPr>
        <w:t>Warto podkreślić, że tematyka niezależności sędziów</w:t>
      </w:r>
      <w:r w:rsidR="00992FD0" w:rsidRPr="00EC250C">
        <w:rPr>
          <w:szCs w:val="24"/>
        </w:rPr>
        <w:t xml:space="preserve"> i </w:t>
      </w:r>
      <w:r w:rsidRPr="00EC250C">
        <w:rPr>
          <w:szCs w:val="24"/>
        </w:rPr>
        <w:t>prawników</w:t>
      </w:r>
      <w:r w:rsidR="00992FD0" w:rsidRPr="00EC250C">
        <w:rPr>
          <w:szCs w:val="24"/>
        </w:rPr>
        <w:t xml:space="preserve"> w </w:t>
      </w:r>
      <w:r w:rsidRPr="00EC250C">
        <w:rPr>
          <w:szCs w:val="24"/>
        </w:rPr>
        <w:t>Polsce była znacząca</w:t>
      </w:r>
      <w:r w:rsidR="00992FD0" w:rsidRPr="00EC250C">
        <w:rPr>
          <w:szCs w:val="24"/>
        </w:rPr>
        <w:t xml:space="preserve"> w </w:t>
      </w:r>
      <w:r w:rsidRPr="00EC250C">
        <w:rPr>
          <w:szCs w:val="24"/>
        </w:rPr>
        <w:t>działalności Rzecznika Praw Obywatelskich</w:t>
      </w:r>
      <w:r w:rsidR="00992FD0" w:rsidRPr="00EC250C">
        <w:rPr>
          <w:szCs w:val="24"/>
        </w:rPr>
        <w:t xml:space="preserve"> w </w:t>
      </w:r>
      <w:r w:rsidRPr="00EC250C">
        <w:rPr>
          <w:szCs w:val="24"/>
        </w:rPr>
        <w:t>2018</w:t>
      </w:r>
      <w:r w:rsidR="00C91F6E" w:rsidRPr="00EC250C">
        <w:rPr>
          <w:szCs w:val="24"/>
        </w:rPr>
        <w:t> r.</w:t>
      </w:r>
      <w:r w:rsidRPr="00EC250C">
        <w:rPr>
          <w:szCs w:val="24"/>
        </w:rPr>
        <w:t>,</w:t>
      </w:r>
      <w:r w:rsidR="00992FD0" w:rsidRPr="00EC250C">
        <w:rPr>
          <w:szCs w:val="24"/>
        </w:rPr>
        <w:t xml:space="preserve"> a </w:t>
      </w:r>
      <w:r w:rsidRPr="00EC250C">
        <w:rPr>
          <w:szCs w:val="24"/>
        </w:rPr>
        <w:t>jego rola oraz podejmowane inicjatywy wzbudziły zainteresowanie przedstawicieli instytucji</w:t>
      </w:r>
      <w:r w:rsidR="00992FD0" w:rsidRPr="00EC250C">
        <w:rPr>
          <w:szCs w:val="24"/>
        </w:rPr>
        <w:t xml:space="preserve"> i </w:t>
      </w:r>
      <w:r w:rsidRPr="00EC250C">
        <w:rPr>
          <w:szCs w:val="24"/>
        </w:rPr>
        <w:t>organizacji międzynarodowego systemu ochrony praw człowieka.</w:t>
      </w:r>
    </w:p>
    <w:p w14:paraId="40DD7C37" w14:textId="77777777" w:rsidR="00C91F6E" w:rsidRPr="00EC250C" w:rsidRDefault="00192982" w:rsidP="00D131FA">
      <w:pPr>
        <w:pStyle w:val="Styl1"/>
        <w:rPr>
          <w:szCs w:val="24"/>
        </w:rPr>
      </w:pPr>
      <w:r w:rsidRPr="00EC250C">
        <w:rPr>
          <w:szCs w:val="24"/>
        </w:rPr>
        <w:t>Niezwykle istotny</w:t>
      </w:r>
      <w:r w:rsidR="00992FD0" w:rsidRPr="00EC250C">
        <w:rPr>
          <w:szCs w:val="24"/>
        </w:rPr>
        <w:t xml:space="preserve"> z </w:t>
      </w:r>
      <w:r w:rsidRPr="00EC250C">
        <w:rPr>
          <w:szCs w:val="24"/>
        </w:rPr>
        <w:t xml:space="preserve">punktu widzenia rzecznictwa przed agendami systemu Organizacji Narodów Zjednoczonych był udział zastępczyni RPO ds. Równego Traktowania, Sylwii Spurek oraz </w:t>
      </w:r>
      <w:r w:rsidR="00DA30E7" w:rsidRPr="00EC250C">
        <w:rPr>
          <w:szCs w:val="24"/>
        </w:rPr>
        <w:t>d</w:t>
      </w:r>
      <w:r w:rsidRPr="00EC250C">
        <w:rPr>
          <w:szCs w:val="24"/>
        </w:rPr>
        <w:t>yrektorki Zespołu ds. Równego Traktowania</w:t>
      </w:r>
      <w:r w:rsidR="00992FD0" w:rsidRPr="00EC250C">
        <w:rPr>
          <w:szCs w:val="24"/>
        </w:rPr>
        <w:t xml:space="preserve"> w </w:t>
      </w:r>
      <w:r w:rsidRPr="00EC250C">
        <w:rPr>
          <w:szCs w:val="24"/>
        </w:rPr>
        <w:t>20. Sesji Komitetu Narodów Zjednoczonych ds. Praw Osób</w:t>
      </w:r>
      <w:r w:rsidR="00992FD0" w:rsidRPr="00EC250C">
        <w:rPr>
          <w:szCs w:val="24"/>
        </w:rPr>
        <w:t xml:space="preserve"> z </w:t>
      </w:r>
      <w:r w:rsidRPr="00EC250C">
        <w:rPr>
          <w:szCs w:val="24"/>
        </w:rPr>
        <w:t>Niepełnosprawnościami. Podczas spotkania poświęconego rozpatrywaniu sprawozdania Polski na forum tej agendy ONZ przedstawicielki Rzecznika zaprezentowały krytyczne stanowisko wraz</w:t>
      </w:r>
      <w:r w:rsidR="00992FD0" w:rsidRPr="00EC250C">
        <w:rPr>
          <w:szCs w:val="24"/>
        </w:rPr>
        <w:t xml:space="preserve"> z </w:t>
      </w:r>
      <w:r w:rsidRPr="00EC250C">
        <w:rPr>
          <w:szCs w:val="24"/>
        </w:rPr>
        <w:t>propozycjami rekomendacji przygotowanymi przez Rzecznika Praw Obywatelskich</w:t>
      </w:r>
      <w:r w:rsidR="00992FD0" w:rsidRPr="00EC250C">
        <w:rPr>
          <w:szCs w:val="24"/>
        </w:rPr>
        <w:t xml:space="preserve"> w </w:t>
      </w:r>
      <w:r w:rsidRPr="00EC250C">
        <w:rPr>
          <w:szCs w:val="24"/>
        </w:rPr>
        <w:t>zakresie wykonywania ratyfikowanej przez Polskę Konwencji ONZ</w:t>
      </w:r>
      <w:r w:rsidR="00992FD0" w:rsidRPr="00EC250C">
        <w:rPr>
          <w:szCs w:val="24"/>
        </w:rPr>
        <w:t xml:space="preserve"> o </w:t>
      </w:r>
      <w:r w:rsidRPr="00EC250C">
        <w:rPr>
          <w:szCs w:val="24"/>
        </w:rPr>
        <w:t>prawach osób</w:t>
      </w:r>
      <w:r w:rsidR="00992FD0" w:rsidRPr="00EC250C">
        <w:rPr>
          <w:szCs w:val="24"/>
        </w:rPr>
        <w:t xml:space="preserve"> z </w:t>
      </w:r>
      <w:r w:rsidRPr="00EC250C">
        <w:rPr>
          <w:szCs w:val="24"/>
        </w:rPr>
        <w:t>niepełnosprawnościami.</w:t>
      </w:r>
    </w:p>
    <w:p w14:paraId="0BF31EBA" w14:textId="77777777" w:rsidR="00C91F6E" w:rsidRPr="00EC250C" w:rsidRDefault="00192982" w:rsidP="00D131FA">
      <w:pPr>
        <w:pStyle w:val="Srdtytul6"/>
        <w:jc w:val="both"/>
      </w:pPr>
      <w:r w:rsidRPr="00EC250C">
        <w:t>Najważniejszym wydarzeniem dla członków Europejskiej Sieci Krajowych Instytucji Praw Człowieka (ENNHRI) było zgromadzenie ogólne</w:t>
      </w:r>
      <w:r w:rsidR="00992FD0" w:rsidRPr="00EC250C">
        <w:t xml:space="preserve"> i </w:t>
      </w:r>
      <w:r w:rsidRPr="00EC250C">
        <w:t>doroczna konferencja tej organizacji.</w:t>
      </w:r>
    </w:p>
    <w:p w14:paraId="08EE89C2" w14:textId="77777777" w:rsidR="00C91F6E" w:rsidRPr="00EC250C" w:rsidRDefault="00192982" w:rsidP="00D131FA">
      <w:pPr>
        <w:pStyle w:val="Styl1"/>
        <w:rPr>
          <w:szCs w:val="24"/>
        </w:rPr>
      </w:pPr>
      <w:r w:rsidRPr="00EC250C">
        <w:t>Tematem wiodącym była problematyka praw człowieka</w:t>
      </w:r>
      <w:r w:rsidR="00992FD0" w:rsidRPr="00EC250C">
        <w:t xml:space="preserve"> i </w:t>
      </w:r>
      <w:r w:rsidRPr="00EC250C">
        <w:t>przestrzeni demokratycznej</w:t>
      </w:r>
      <w:r w:rsidR="00992FD0" w:rsidRPr="00EC250C">
        <w:t xml:space="preserve"> w </w:t>
      </w:r>
      <w:r w:rsidRPr="00EC250C">
        <w:t>Europie.</w:t>
      </w:r>
      <w:r w:rsidR="001B79A8" w:rsidRPr="00EC250C">
        <w:t xml:space="preserve"> </w:t>
      </w:r>
      <w:r w:rsidRPr="00EC250C">
        <w:rPr>
          <w:szCs w:val="24"/>
        </w:rPr>
        <w:t>W ramach wykonywania zobowiązań pełnionej przez urząd Rzecznika Praw Obywatelskich roli Niezależnego Organu Równego Traktowania (Independent National Equal Treatment Body) przedstawiciele Biura wzięli udział</w:t>
      </w:r>
      <w:r w:rsidR="00992FD0" w:rsidRPr="00EC250C">
        <w:rPr>
          <w:szCs w:val="24"/>
        </w:rPr>
        <w:t xml:space="preserve"> w </w:t>
      </w:r>
      <w:r w:rsidRPr="00EC250C">
        <w:rPr>
          <w:szCs w:val="24"/>
        </w:rPr>
        <w:t>kilkudziesięciu seminariach, warsztatach</w:t>
      </w:r>
      <w:r w:rsidR="00992FD0" w:rsidRPr="00EC250C">
        <w:rPr>
          <w:szCs w:val="24"/>
        </w:rPr>
        <w:t xml:space="preserve"> i </w:t>
      </w:r>
      <w:r w:rsidRPr="00EC250C">
        <w:rPr>
          <w:szCs w:val="24"/>
        </w:rPr>
        <w:t>spotkaniach zorganizowanych przez sieć Europejskich Organów Równego Traktowania (EQUINET),</w:t>
      </w:r>
      <w:r w:rsidR="00992FD0" w:rsidRPr="00EC250C">
        <w:rPr>
          <w:szCs w:val="24"/>
        </w:rPr>
        <w:t xml:space="preserve"> z </w:t>
      </w:r>
      <w:r w:rsidRPr="00EC250C">
        <w:rPr>
          <w:szCs w:val="24"/>
        </w:rPr>
        <w:t>którą urząd Rzecznika ściśle współpracuje angażując się we wspólne przedsięwzięcia służące przeciwdziałaniu wszelkim formom dyskryminacji.</w:t>
      </w:r>
    </w:p>
    <w:p w14:paraId="42279631" w14:textId="77777777" w:rsidR="00C91F6E" w:rsidRPr="00EC250C" w:rsidRDefault="00192982" w:rsidP="00D131FA">
      <w:pPr>
        <w:pStyle w:val="Srdtytul6"/>
        <w:jc w:val="both"/>
      </w:pPr>
      <w:r w:rsidRPr="00EC250C">
        <w:t>Cenionym partnerem we współpracy międzynarodowej</w:t>
      </w:r>
      <w:r w:rsidR="00992FD0" w:rsidRPr="00EC250C">
        <w:t xml:space="preserve"> w </w:t>
      </w:r>
      <w:r w:rsidRPr="00EC250C">
        <w:t>dziedzinie praw człowieka jest również Agencja Praw Podstawowych Unii Europejskiej (FRA)</w:t>
      </w:r>
      <w:r w:rsidR="00992FD0" w:rsidRPr="00EC250C">
        <w:t xml:space="preserve"> z </w:t>
      </w:r>
      <w:r w:rsidRPr="00EC250C">
        <w:t>siedzibą</w:t>
      </w:r>
      <w:r w:rsidR="00992FD0" w:rsidRPr="00EC250C">
        <w:t xml:space="preserve"> w </w:t>
      </w:r>
      <w:r w:rsidRPr="00EC250C">
        <w:t>Wiedniu.</w:t>
      </w:r>
    </w:p>
    <w:p w14:paraId="03B9B0EB" w14:textId="77777777" w:rsidR="00192982" w:rsidRPr="00EC250C" w:rsidRDefault="00192982" w:rsidP="00D131FA">
      <w:pPr>
        <w:pStyle w:val="Styl1"/>
        <w:rPr>
          <w:szCs w:val="24"/>
        </w:rPr>
      </w:pPr>
      <w:r w:rsidRPr="00EC250C">
        <w:rPr>
          <w:szCs w:val="24"/>
        </w:rPr>
        <w:t>Podobnie, jak</w:t>
      </w:r>
      <w:r w:rsidR="00992FD0" w:rsidRPr="00EC250C">
        <w:rPr>
          <w:szCs w:val="24"/>
        </w:rPr>
        <w:t xml:space="preserve"> w </w:t>
      </w:r>
      <w:r w:rsidRPr="00EC250C">
        <w:rPr>
          <w:szCs w:val="24"/>
        </w:rPr>
        <w:t>latach ubiegłych przedstawiciel Rzecznika uczestniczył</w:t>
      </w:r>
      <w:r w:rsidR="00992FD0" w:rsidRPr="00EC250C">
        <w:rPr>
          <w:szCs w:val="24"/>
        </w:rPr>
        <w:t xml:space="preserve"> w </w:t>
      </w:r>
      <w:r w:rsidRPr="00EC250C">
        <w:rPr>
          <w:szCs w:val="24"/>
        </w:rPr>
        <w:t>Forum Praw Podstawowych, które jest najważniejszym forum dyskusyjnym nad kondycją praw człowieka</w:t>
      </w:r>
      <w:r w:rsidR="00992FD0" w:rsidRPr="00EC250C">
        <w:rPr>
          <w:szCs w:val="24"/>
        </w:rPr>
        <w:t xml:space="preserve"> w </w:t>
      </w:r>
      <w:r w:rsidRPr="00EC250C">
        <w:rPr>
          <w:szCs w:val="24"/>
        </w:rPr>
        <w:t>Europie</w:t>
      </w:r>
      <w:r w:rsidR="00DA30E7" w:rsidRPr="00EC250C">
        <w:rPr>
          <w:szCs w:val="24"/>
        </w:rPr>
        <w:t>.</w:t>
      </w:r>
    </w:p>
    <w:p w14:paraId="05C4D60E" w14:textId="77777777" w:rsidR="00C91F6E" w:rsidRPr="00EC250C" w:rsidRDefault="00192982" w:rsidP="00D131FA">
      <w:pPr>
        <w:pStyle w:val="Srdtytul6"/>
        <w:jc w:val="both"/>
      </w:pPr>
      <w:r w:rsidRPr="00EC250C">
        <w:lastRenderedPageBreak/>
        <w:t>Nie do przecenienia jest także współpraca</w:t>
      </w:r>
      <w:r w:rsidR="00992FD0" w:rsidRPr="00EC250C">
        <w:t xml:space="preserve"> z </w:t>
      </w:r>
      <w:r w:rsidRPr="00EC250C">
        <w:t>biurem OSCE ODIHR</w:t>
      </w:r>
      <w:r w:rsidR="00992FD0" w:rsidRPr="00EC250C">
        <w:t xml:space="preserve"> w </w:t>
      </w:r>
      <w:r w:rsidRPr="00EC250C">
        <w:t>Warszawie.</w:t>
      </w:r>
    </w:p>
    <w:p w14:paraId="6B5490C7" w14:textId="77777777" w:rsidR="00C91F6E" w:rsidRPr="00EC250C" w:rsidRDefault="00192982" w:rsidP="00D131FA">
      <w:pPr>
        <w:pStyle w:val="Styl1"/>
        <w:rPr>
          <w:szCs w:val="24"/>
        </w:rPr>
      </w:pPr>
      <w:r w:rsidRPr="00EC250C">
        <w:rPr>
          <w:szCs w:val="24"/>
        </w:rPr>
        <w:t>Głównym wydarzeniem był organizowany corocznie „Human Dimension Implementation Meeting” (HDIM). W roku 2018 spotkanie gromadzące aktywistów praw człowieka, ale także działaczy różnorodnych organizacji pozarządowych zajmujących się popularyzacją standardów demokratycznych</w:t>
      </w:r>
      <w:r w:rsidR="00992FD0" w:rsidRPr="00EC250C">
        <w:rPr>
          <w:szCs w:val="24"/>
        </w:rPr>
        <w:t xml:space="preserve"> i </w:t>
      </w:r>
      <w:r w:rsidRPr="00EC250C">
        <w:rPr>
          <w:szCs w:val="24"/>
        </w:rPr>
        <w:t>ochroną praw człowieka odbyło się</w:t>
      </w:r>
      <w:r w:rsidR="00992FD0" w:rsidRPr="00EC250C">
        <w:rPr>
          <w:szCs w:val="24"/>
        </w:rPr>
        <w:t xml:space="preserve"> w </w:t>
      </w:r>
      <w:r w:rsidRPr="00EC250C">
        <w:rPr>
          <w:szCs w:val="24"/>
        </w:rPr>
        <w:t>Warszawie. Ze względu na szeroki wachlarz zagadnień poruszanych przez uczestników tego spotkania, przedstawiciele Biura RPO brali aktywny udział</w:t>
      </w:r>
      <w:r w:rsidR="00992FD0" w:rsidRPr="00EC250C">
        <w:rPr>
          <w:szCs w:val="24"/>
        </w:rPr>
        <w:t xml:space="preserve"> w </w:t>
      </w:r>
      <w:r w:rsidRPr="00EC250C">
        <w:rPr>
          <w:szCs w:val="24"/>
        </w:rPr>
        <w:t>toczących się dyskusjach, prezentując działania polskiego Rzecznika Praw Obywatelskich</w:t>
      </w:r>
      <w:r w:rsidR="00992FD0" w:rsidRPr="00EC250C">
        <w:rPr>
          <w:szCs w:val="24"/>
        </w:rPr>
        <w:t xml:space="preserve"> w </w:t>
      </w:r>
      <w:r w:rsidRPr="00EC250C">
        <w:rPr>
          <w:szCs w:val="24"/>
        </w:rPr>
        <w:t>odniesieniu do ustawowych uprawnień oraz aktualnych problemów wynikających</w:t>
      </w:r>
      <w:r w:rsidR="00992FD0" w:rsidRPr="00EC250C">
        <w:rPr>
          <w:szCs w:val="24"/>
        </w:rPr>
        <w:t xml:space="preserve"> z </w:t>
      </w:r>
      <w:r w:rsidRPr="00EC250C">
        <w:rPr>
          <w:szCs w:val="24"/>
        </w:rPr>
        <w:t>zagrożeń standardów demokratycznych sygnalizowanych Rzecznikowi</w:t>
      </w:r>
      <w:r w:rsidR="00992FD0" w:rsidRPr="00EC250C">
        <w:rPr>
          <w:szCs w:val="24"/>
        </w:rPr>
        <w:t xml:space="preserve"> w </w:t>
      </w:r>
      <w:r w:rsidRPr="00EC250C">
        <w:rPr>
          <w:szCs w:val="24"/>
        </w:rPr>
        <w:t>otrzymywanych skargach od obywateli.</w:t>
      </w:r>
    </w:p>
    <w:p w14:paraId="26431D41" w14:textId="77777777" w:rsidR="00973CBF" w:rsidRPr="00EC250C" w:rsidRDefault="00973CBF" w:rsidP="00D131FA">
      <w:pPr>
        <w:pStyle w:val="Srdtytul6"/>
        <w:jc w:val="both"/>
      </w:pPr>
      <w:r w:rsidRPr="00EC250C">
        <w:t>Wykłady zagraniczne RPO</w:t>
      </w:r>
    </w:p>
    <w:p w14:paraId="77C5FCEF" w14:textId="77777777" w:rsidR="00C91F6E" w:rsidRPr="00EC250C" w:rsidRDefault="00192982" w:rsidP="00D131FA">
      <w:pPr>
        <w:pStyle w:val="Styl1"/>
        <w:rPr>
          <w:szCs w:val="24"/>
        </w:rPr>
      </w:pPr>
      <w:r w:rsidRPr="00EC250C">
        <w:rPr>
          <w:szCs w:val="24"/>
        </w:rPr>
        <w:t>Z inicjatywy Instytutu Praw Człowieka Bonavero (Bonavero Institute of Human Rights)</w:t>
      </w:r>
      <w:r w:rsidR="00992FD0" w:rsidRPr="00EC250C">
        <w:rPr>
          <w:i/>
          <w:szCs w:val="24"/>
        </w:rPr>
        <w:t xml:space="preserve"> z </w:t>
      </w:r>
      <w:r w:rsidRPr="00EC250C">
        <w:rPr>
          <w:szCs w:val="24"/>
        </w:rPr>
        <w:t>Uniwersytetu</w:t>
      </w:r>
      <w:r w:rsidR="00992FD0" w:rsidRPr="00EC250C">
        <w:rPr>
          <w:szCs w:val="24"/>
        </w:rPr>
        <w:t xml:space="preserve"> w </w:t>
      </w:r>
      <w:r w:rsidRPr="00EC250C">
        <w:rPr>
          <w:szCs w:val="24"/>
        </w:rPr>
        <w:t>O</w:t>
      </w:r>
      <w:r w:rsidR="00973CBF" w:rsidRPr="00EC250C">
        <w:rPr>
          <w:szCs w:val="24"/>
        </w:rPr>
        <w:t>ks</w:t>
      </w:r>
      <w:r w:rsidRPr="00EC250C">
        <w:rPr>
          <w:szCs w:val="24"/>
        </w:rPr>
        <w:t xml:space="preserve">fordzie </w:t>
      </w:r>
      <w:r w:rsidR="00DA30E7" w:rsidRPr="00EC250C">
        <w:rPr>
          <w:szCs w:val="24"/>
        </w:rPr>
        <w:t xml:space="preserve">RPO </w:t>
      </w:r>
      <w:r w:rsidRPr="00EC250C">
        <w:rPr>
          <w:szCs w:val="24"/>
        </w:rPr>
        <w:t>uczestniczył jako panelista</w:t>
      </w:r>
      <w:r w:rsidR="00992FD0" w:rsidRPr="00EC250C">
        <w:rPr>
          <w:szCs w:val="24"/>
        </w:rPr>
        <w:t xml:space="preserve"> w </w:t>
      </w:r>
      <w:r w:rsidRPr="00EC250C">
        <w:rPr>
          <w:szCs w:val="24"/>
        </w:rPr>
        <w:t>zorganizowanej przez ten ośrodek akademicki konferencji: „Confronting Illiberalism: The Role of the Media and Civil Society and Universities”. Punktem odniesienia dla uczestników dyskusji nad kondycją liberalnej demokracji</w:t>
      </w:r>
      <w:r w:rsidR="00992FD0" w:rsidRPr="00EC250C">
        <w:rPr>
          <w:szCs w:val="24"/>
        </w:rPr>
        <w:t xml:space="preserve"> i </w:t>
      </w:r>
      <w:r w:rsidRPr="00EC250C">
        <w:rPr>
          <w:szCs w:val="24"/>
        </w:rPr>
        <w:t>rolą mediów, społeczeństwa obywatelskiego oraz uniwersytetów</w:t>
      </w:r>
      <w:r w:rsidR="00992FD0" w:rsidRPr="00EC250C">
        <w:rPr>
          <w:szCs w:val="24"/>
        </w:rPr>
        <w:t xml:space="preserve"> w </w:t>
      </w:r>
      <w:r w:rsidRPr="00EC250C">
        <w:rPr>
          <w:szCs w:val="24"/>
        </w:rPr>
        <w:t>strategii społeczeństwa obywatelskiego</w:t>
      </w:r>
      <w:r w:rsidR="00992FD0" w:rsidRPr="00EC250C">
        <w:rPr>
          <w:szCs w:val="24"/>
        </w:rPr>
        <w:t xml:space="preserve"> w </w:t>
      </w:r>
      <w:r w:rsidRPr="00EC250C">
        <w:rPr>
          <w:szCs w:val="24"/>
        </w:rPr>
        <w:t>ochronie</w:t>
      </w:r>
      <w:r w:rsidR="00992FD0" w:rsidRPr="00EC250C">
        <w:rPr>
          <w:szCs w:val="24"/>
        </w:rPr>
        <w:t xml:space="preserve"> i </w:t>
      </w:r>
      <w:r w:rsidRPr="00EC250C">
        <w:rPr>
          <w:szCs w:val="24"/>
        </w:rPr>
        <w:t>promocji praw człowieka</w:t>
      </w:r>
      <w:r w:rsidR="00992FD0" w:rsidRPr="00EC250C">
        <w:rPr>
          <w:szCs w:val="24"/>
        </w:rPr>
        <w:t xml:space="preserve"> w </w:t>
      </w:r>
      <w:r w:rsidRPr="00EC250C">
        <w:rPr>
          <w:szCs w:val="24"/>
        </w:rPr>
        <w:t>aspektach „illiberalnych” była 70. rocznica uchwalenia Powszechnej Deklaracji Praw Człowieka.</w:t>
      </w:r>
    </w:p>
    <w:p w14:paraId="0185511E" w14:textId="77777777" w:rsidR="00C91F6E" w:rsidRPr="00EC250C" w:rsidRDefault="00DA30E7" w:rsidP="00D131FA">
      <w:pPr>
        <w:pStyle w:val="Styl1"/>
        <w:rPr>
          <w:szCs w:val="24"/>
        </w:rPr>
      </w:pPr>
      <w:r w:rsidRPr="00EC250C">
        <w:rPr>
          <w:szCs w:val="24"/>
        </w:rPr>
        <w:t xml:space="preserve">RPO </w:t>
      </w:r>
      <w:r w:rsidR="00192982" w:rsidRPr="00EC250C">
        <w:rPr>
          <w:szCs w:val="24"/>
        </w:rPr>
        <w:t>wygłosił</w:t>
      </w:r>
    </w:p>
    <w:p w14:paraId="72859BC6" w14:textId="77777777" w:rsidR="00C91F6E" w:rsidRPr="00EC250C" w:rsidRDefault="00973CBF" w:rsidP="006C70B7">
      <w:pPr>
        <w:pStyle w:val="Styl1"/>
        <w:numPr>
          <w:ilvl w:val="0"/>
          <w:numId w:val="122"/>
        </w:numPr>
        <w:rPr>
          <w:szCs w:val="24"/>
        </w:rPr>
      </w:pPr>
      <w:r w:rsidRPr="00EC250C">
        <w:rPr>
          <w:szCs w:val="24"/>
        </w:rPr>
        <w:t xml:space="preserve">wykład </w:t>
      </w:r>
      <w:r w:rsidR="00192982" w:rsidRPr="00EC250C">
        <w:rPr>
          <w:szCs w:val="24"/>
        </w:rPr>
        <w:t>„Kryzys wartości europejskich</w:t>
      </w:r>
      <w:r w:rsidR="00992FD0" w:rsidRPr="00EC250C">
        <w:rPr>
          <w:szCs w:val="24"/>
        </w:rPr>
        <w:t xml:space="preserve"> a </w:t>
      </w:r>
      <w:r w:rsidR="00192982" w:rsidRPr="00EC250C">
        <w:rPr>
          <w:szCs w:val="24"/>
        </w:rPr>
        <w:t>Polska” na konferencji zorganizowanej przez ośrodek naukowy „European Inter-University Centre for Human Rights and Democratisation” (EIUC)</w:t>
      </w:r>
      <w:r w:rsidR="00992FD0" w:rsidRPr="00EC250C">
        <w:rPr>
          <w:szCs w:val="24"/>
        </w:rPr>
        <w:t xml:space="preserve"> z </w:t>
      </w:r>
      <w:r w:rsidR="00192982" w:rsidRPr="00EC250C">
        <w:rPr>
          <w:szCs w:val="24"/>
        </w:rPr>
        <w:t>siedzibą</w:t>
      </w:r>
      <w:r w:rsidR="00992FD0" w:rsidRPr="00EC250C">
        <w:rPr>
          <w:szCs w:val="24"/>
        </w:rPr>
        <w:t xml:space="preserve"> w </w:t>
      </w:r>
      <w:r w:rsidR="00192982" w:rsidRPr="00EC250C">
        <w:rPr>
          <w:szCs w:val="24"/>
        </w:rPr>
        <w:t>Wenecji.</w:t>
      </w:r>
    </w:p>
    <w:p w14:paraId="0AB5FDC2" w14:textId="77777777" w:rsidR="00C91F6E" w:rsidRPr="00EC250C" w:rsidRDefault="00192982" w:rsidP="006C70B7">
      <w:pPr>
        <w:pStyle w:val="Styl1"/>
        <w:numPr>
          <w:ilvl w:val="0"/>
          <w:numId w:val="122"/>
        </w:numPr>
        <w:rPr>
          <w:szCs w:val="24"/>
        </w:rPr>
      </w:pPr>
      <w:r w:rsidRPr="00EC250C">
        <w:rPr>
          <w:szCs w:val="24"/>
        </w:rPr>
        <w:t>wykład</w:t>
      </w:r>
      <w:r w:rsidR="00992FD0" w:rsidRPr="00EC250C">
        <w:rPr>
          <w:szCs w:val="24"/>
        </w:rPr>
        <w:t xml:space="preserve"> w </w:t>
      </w:r>
      <w:r w:rsidRPr="00EC250C">
        <w:rPr>
          <w:szCs w:val="24"/>
        </w:rPr>
        <w:t>Centrum Studiów Europejskich (CES) na Uniwersytecie Harvarda</w:t>
      </w:r>
      <w:r w:rsidR="00992FD0" w:rsidRPr="00EC250C">
        <w:rPr>
          <w:szCs w:val="24"/>
        </w:rPr>
        <w:t xml:space="preserve"> w </w:t>
      </w:r>
      <w:r w:rsidRPr="00EC250C">
        <w:rPr>
          <w:szCs w:val="24"/>
        </w:rPr>
        <w:t>Cambridge (USA)</w:t>
      </w:r>
      <w:r w:rsidR="00992FD0" w:rsidRPr="00EC250C">
        <w:rPr>
          <w:szCs w:val="24"/>
        </w:rPr>
        <w:t xml:space="preserve"> w </w:t>
      </w:r>
      <w:r w:rsidRPr="00EC250C">
        <w:rPr>
          <w:szCs w:val="24"/>
        </w:rPr>
        <w:t>ramach serii wykładów pod nazwą „The August Zaleski Memorial Lecture”, organizowanych systematycznie od 1983</w:t>
      </w:r>
      <w:r w:rsidR="00C91F6E" w:rsidRPr="00EC250C">
        <w:rPr>
          <w:szCs w:val="24"/>
        </w:rPr>
        <w:t> r.</w:t>
      </w:r>
    </w:p>
    <w:p w14:paraId="02D4C00A" w14:textId="77777777" w:rsidR="00C91F6E" w:rsidRPr="00EC250C" w:rsidRDefault="00973CBF" w:rsidP="006C70B7">
      <w:pPr>
        <w:pStyle w:val="Styl1"/>
        <w:numPr>
          <w:ilvl w:val="0"/>
          <w:numId w:val="122"/>
        </w:numPr>
        <w:rPr>
          <w:szCs w:val="24"/>
        </w:rPr>
      </w:pPr>
      <w:r w:rsidRPr="00EC250C">
        <w:rPr>
          <w:szCs w:val="24"/>
        </w:rPr>
        <w:t>n</w:t>
      </w:r>
      <w:r w:rsidR="00192982" w:rsidRPr="00EC250C">
        <w:rPr>
          <w:szCs w:val="24"/>
        </w:rPr>
        <w:t>a Uniwersytecie</w:t>
      </w:r>
      <w:r w:rsidR="00992FD0" w:rsidRPr="00EC250C">
        <w:rPr>
          <w:szCs w:val="24"/>
        </w:rPr>
        <w:t xml:space="preserve"> w </w:t>
      </w:r>
      <w:r w:rsidR="00192982" w:rsidRPr="00EC250C">
        <w:rPr>
          <w:szCs w:val="24"/>
        </w:rPr>
        <w:t>Münster</w:t>
      </w:r>
      <w:r w:rsidR="00992FD0" w:rsidRPr="00EC250C">
        <w:rPr>
          <w:szCs w:val="24"/>
        </w:rPr>
        <w:t xml:space="preserve"> w </w:t>
      </w:r>
      <w:r w:rsidR="00192982" w:rsidRPr="00EC250C">
        <w:rPr>
          <w:szCs w:val="24"/>
        </w:rPr>
        <w:t xml:space="preserve">Niemczech </w:t>
      </w:r>
      <w:r w:rsidRPr="00EC250C">
        <w:rPr>
          <w:szCs w:val="24"/>
        </w:rPr>
        <w:t xml:space="preserve">RPO </w:t>
      </w:r>
      <w:r w:rsidR="00192982" w:rsidRPr="00EC250C">
        <w:rPr>
          <w:szCs w:val="24"/>
        </w:rPr>
        <w:t>wygłosił wykład oraz odniósł się do raportu specjalnego sprawozdawcy ONZ</w:t>
      </w:r>
      <w:r w:rsidR="00992FD0" w:rsidRPr="00EC250C">
        <w:rPr>
          <w:szCs w:val="24"/>
        </w:rPr>
        <w:t xml:space="preserve"> o </w:t>
      </w:r>
      <w:r w:rsidR="00192982" w:rsidRPr="00EC250C">
        <w:rPr>
          <w:szCs w:val="24"/>
        </w:rPr>
        <w:t>niezależności sądownictwa</w:t>
      </w:r>
      <w:r w:rsidR="00992FD0" w:rsidRPr="00EC250C">
        <w:rPr>
          <w:szCs w:val="24"/>
        </w:rPr>
        <w:t xml:space="preserve"> w </w:t>
      </w:r>
      <w:r w:rsidR="00192982" w:rsidRPr="00EC250C">
        <w:rPr>
          <w:szCs w:val="24"/>
        </w:rPr>
        <w:t>Polsce podczas spotkania zorganizowanego</w:t>
      </w:r>
      <w:r w:rsidR="00992FD0" w:rsidRPr="00EC250C">
        <w:rPr>
          <w:szCs w:val="24"/>
        </w:rPr>
        <w:t xml:space="preserve"> w </w:t>
      </w:r>
      <w:r w:rsidRPr="00EC250C">
        <w:rPr>
          <w:szCs w:val="24"/>
        </w:rPr>
        <w:t>Berlinie</w:t>
      </w:r>
      <w:r w:rsidR="00192982" w:rsidRPr="00EC250C">
        <w:rPr>
          <w:szCs w:val="24"/>
        </w:rPr>
        <w:t>przez Fundację Konrada Adenauera.</w:t>
      </w:r>
    </w:p>
    <w:p w14:paraId="36D7FAD4" w14:textId="77777777" w:rsidR="00C91F6E" w:rsidRPr="00EC250C" w:rsidRDefault="00192982" w:rsidP="006C70B7">
      <w:pPr>
        <w:pStyle w:val="Styl1"/>
        <w:numPr>
          <w:ilvl w:val="0"/>
          <w:numId w:val="122"/>
        </w:numPr>
        <w:rPr>
          <w:szCs w:val="24"/>
        </w:rPr>
      </w:pPr>
      <w:r w:rsidRPr="00EC250C">
        <w:rPr>
          <w:szCs w:val="24"/>
        </w:rPr>
        <w:t>Dr Adam Bodnar został również zaproszony przez Uniwersytet</w:t>
      </w:r>
      <w:r w:rsidR="00992FD0" w:rsidRPr="00EC250C">
        <w:rPr>
          <w:szCs w:val="24"/>
        </w:rPr>
        <w:t xml:space="preserve"> w </w:t>
      </w:r>
      <w:r w:rsidRPr="00EC250C">
        <w:rPr>
          <w:szCs w:val="24"/>
        </w:rPr>
        <w:t>Le</w:t>
      </w:r>
      <w:r w:rsidR="00973CBF" w:rsidRPr="00EC250C">
        <w:rPr>
          <w:szCs w:val="24"/>
        </w:rPr>
        <w:t>jdzie</w:t>
      </w:r>
      <w:r w:rsidRPr="00EC250C">
        <w:rPr>
          <w:szCs w:val="24"/>
        </w:rPr>
        <w:t xml:space="preserve"> do wygłoszenia wykładu</w:t>
      </w:r>
      <w:r w:rsidR="00992FD0" w:rsidRPr="00EC250C">
        <w:rPr>
          <w:szCs w:val="24"/>
        </w:rPr>
        <w:t xml:space="preserve"> z </w:t>
      </w:r>
      <w:r w:rsidRPr="00EC250C">
        <w:rPr>
          <w:szCs w:val="24"/>
        </w:rPr>
        <w:t>okazji obchodów Międzynarodowego Dnia Praw Człowieka. Wyjazd do Le</w:t>
      </w:r>
      <w:r w:rsidR="00973CBF" w:rsidRPr="00EC250C">
        <w:rPr>
          <w:szCs w:val="24"/>
        </w:rPr>
        <w:t>jdy</w:t>
      </w:r>
      <w:r w:rsidRPr="00EC250C">
        <w:rPr>
          <w:szCs w:val="24"/>
        </w:rPr>
        <w:t xml:space="preserve"> był okazją do złożenia wizyty</w:t>
      </w:r>
      <w:r w:rsidR="00992FD0" w:rsidRPr="00EC250C">
        <w:rPr>
          <w:szCs w:val="24"/>
        </w:rPr>
        <w:t xml:space="preserve"> w </w:t>
      </w:r>
      <w:r w:rsidRPr="00EC250C">
        <w:rPr>
          <w:szCs w:val="24"/>
        </w:rPr>
        <w:t>biurze Ombudsmana Holandii.</w:t>
      </w:r>
    </w:p>
    <w:p w14:paraId="16BE5D87" w14:textId="77777777" w:rsidR="00973CBF" w:rsidRPr="00EC250C" w:rsidRDefault="00973CBF" w:rsidP="00D131FA">
      <w:pPr>
        <w:pStyle w:val="Srdtytul6"/>
        <w:jc w:val="both"/>
      </w:pPr>
      <w:r w:rsidRPr="00EC250C">
        <w:lastRenderedPageBreak/>
        <w:t>Delegacje zagraniczne</w:t>
      </w:r>
      <w:r w:rsidR="00992FD0" w:rsidRPr="00EC250C">
        <w:t xml:space="preserve"> w </w:t>
      </w:r>
      <w:r w:rsidRPr="00EC250C">
        <w:t>Warszawie</w:t>
      </w:r>
    </w:p>
    <w:p w14:paraId="2016CB9A" w14:textId="77777777" w:rsidR="00C91F6E" w:rsidRPr="00EC250C" w:rsidRDefault="00192982" w:rsidP="00D131FA">
      <w:pPr>
        <w:pStyle w:val="Styl1"/>
        <w:rPr>
          <w:szCs w:val="24"/>
        </w:rPr>
      </w:pPr>
      <w:r w:rsidRPr="00EC250C">
        <w:rPr>
          <w:szCs w:val="24"/>
        </w:rPr>
        <w:t>Na uwagę zasługuje</w:t>
      </w:r>
      <w:r w:rsidRPr="00EC250C">
        <w:rPr>
          <w:b/>
          <w:szCs w:val="24"/>
        </w:rPr>
        <w:t xml:space="preserve"> </w:t>
      </w:r>
      <w:r w:rsidRPr="00EC250C">
        <w:rPr>
          <w:szCs w:val="24"/>
        </w:rPr>
        <w:t>wizyta</w:t>
      </w:r>
      <w:r w:rsidR="00992FD0" w:rsidRPr="00EC250C">
        <w:rPr>
          <w:szCs w:val="24"/>
        </w:rPr>
        <w:t xml:space="preserve"> w </w:t>
      </w:r>
      <w:r w:rsidRPr="00EC250C">
        <w:rPr>
          <w:szCs w:val="24"/>
        </w:rPr>
        <w:t>Biurze Rzecznika Praw Obywatelskich przedstawicieli Komitetu Monitoringowego Kongresu Władz Lokalnych</w:t>
      </w:r>
      <w:r w:rsidR="00992FD0" w:rsidRPr="00EC250C">
        <w:rPr>
          <w:szCs w:val="24"/>
        </w:rPr>
        <w:t xml:space="preserve"> i </w:t>
      </w:r>
      <w:r w:rsidRPr="00EC250C">
        <w:rPr>
          <w:szCs w:val="24"/>
        </w:rPr>
        <w:t>Regionalnych Rady Europy oraz spotkaniez delegacją sędziów</w:t>
      </w:r>
      <w:r w:rsidR="00992FD0" w:rsidRPr="00EC250C">
        <w:rPr>
          <w:szCs w:val="24"/>
        </w:rPr>
        <w:t xml:space="preserve"> i </w:t>
      </w:r>
      <w:r w:rsidRPr="00EC250C">
        <w:rPr>
          <w:szCs w:val="24"/>
        </w:rPr>
        <w:t>prokuratorów</w:t>
      </w:r>
      <w:r w:rsidR="00992FD0" w:rsidRPr="00EC250C">
        <w:rPr>
          <w:szCs w:val="24"/>
        </w:rPr>
        <w:t xml:space="preserve"> z </w:t>
      </w:r>
      <w:r w:rsidRPr="00EC250C">
        <w:rPr>
          <w:szCs w:val="24"/>
        </w:rPr>
        <w:t>państw członkowskich UE odbywających wizytę</w:t>
      </w:r>
      <w:r w:rsidR="00992FD0" w:rsidRPr="00EC250C">
        <w:rPr>
          <w:szCs w:val="24"/>
        </w:rPr>
        <w:t xml:space="preserve"> w </w:t>
      </w:r>
      <w:r w:rsidRPr="00EC250C">
        <w:rPr>
          <w:szCs w:val="24"/>
        </w:rPr>
        <w:t>Polsce</w:t>
      </w:r>
      <w:r w:rsidR="00992FD0" w:rsidRPr="00EC250C">
        <w:rPr>
          <w:szCs w:val="24"/>
        </w:rPr>
        <w:t xml:space="preserve"> w </w:t>
      </w:r>
      <w:r w:rsidRPr="00EC250C">
        <w:rPr>
          <w:szCs w:val="24"/>
        </w:rPr>
        <w:t>ramach wymiany stażowej organizowanej przez Krajową Szkołę Sądownictwa</w:t>
      </w:r>
      <w:r w:rsidR="00992FD0" w:rsidRPr="00EC250C">
        <w:rPr>
          <w:szCs w:val="24"/>
        </w:rPr>
        <w:t xml:space="preserve"> i </w:t>
      </w:r>
      <w:r w:rsidRPr="00EC250C">
        <w:rPr>
          <w:szCs w:val="24"/>
        </w:rPr>
        <w:t>Prokuratury</w:t>
      </w:r>
      <w:r w:rsidR="00992FD0" w:rsidRPr="00EC250C">
        <w:rPr>
          <w:szCs w:val="24"/>
        </w:rPr>
        <w:t xml:space="preserve"> w </w:t>
      </w:r>
      <w:r w:rsidRPr="00EC250C">
        <w:rPr>
          <w:szCs w:val="24"/>
        </w:rPr>
        <w:t>programie Europejskiej Sieci Szkolenia Kadr Wymiaru Sprawiedliwości (European Judicial Training Network).</w:t>
      </w:r>
    </w:p>
    <w:p w14:paraId="258D9855" w14:textId="77777777" w:rsidR="00C91F6E" w:rsidRPr="00EC250C" w:rsidRDefault="001B79A8" w:rsidP="00D131FA">
      <w:pPr>
        <w:pStyle w:val="Styl1"/>
        <w:rPr>
          <w:szCs w:val="24"/>
        </w:rPr>
      </w:pPr>
      <w:r w:rsidRPr="00EC250C">
        <w:rPr>
          <w:szCs w:val="24"/>
        </w:rPr>
        <w:t xml:space="preserve">RPO </w:t>
      </w:r>
      <w:r w:rsidR="00192982" w:rsidRPr="00EC250C">
        <w:rPr>
          <w:szCs w:val="24"/>
        </w:rPr>
        <w:t>spotkał się</w:t>
      </w:r>
      <w:r w:rsidR="00992FD0" w:rsidRPr="00EC250C">
        <w:rPr>
          <w:szCs w:val="24"/>
        </w:rPr>
        <w:t xml:space="preserve"> w </w:t>
      </w:r>
      <w:r w:rsidR="00192982" w:rsidRPr="00EC250C">
        <w:rPr>
          <w:szCs w:val="24"/>
        </w:rPr>
        <w:t>siedzibie Przedstawicielstwa Unii Europejskiej</w:t>
      </w:r>
      <w:r w:rsidR="00992FD0" w:rsidRPr="00EC250C">
        <w:rPr>
          <w:szCs w:val="24"/>
        </w:rPr>
        <w:t xml:space="preserve"> w </w:t>
      </w:r>
      <w:r w:rsidR="00192982" w:rsidRPr="00EC250C">
        <w:rPr>
          <w:szCs w:val="24"/>
        </w:rPr>
        <w:t>Warszawie</w:t>
      </w:r>
      <w:r w:rsidR="00992FD0" w:rsidRPr="00EC250C">
        <w:rPr>
          <w:szCs w:val="24"/>
        </w:rPr>
        <w:t xml:space="preserve"> z </w:t>
      </w:r>
      <w:r w:rsidR="00192982" w:rsidRPr="00EC250C">
        <w:rPr>
          <w:szCs w:val="24"/>
        </w:rPr>
        <w:t>delegacją</w:t>
      </w:r>
      <w:r w:rsidR="00992FD0" w:rsidRPr="00EC250C">
        <w:rPr>
          <w:szCs w:val="24"/>
        </w:rPr>
        <w:t xml:space="preserve"> z </w:t>
      </w:r>
      <w:r w:rsidR="00192982" w:rsidRPr="00EC250C">
        <w:rPr>
          <w:szCs w:val="24"/>
        </w:rPr>
        <w:t>komisji Parlamentu Europejskiego – Committee on Civil Liberties, Justice and Home Affairs (LIBE).</w:t>
      </w:r>
      <w:r w:rsidRPr="00EC250C">
        <w:rPr>
          <w:szCs w:val="24"/>
        </w:rPr>
        <w:t xml:space="preserve"> </w:t>
      </w:r>
      <w:r w:rsidR="00192982" w:rsidRPr="00EC250C">
        <w:rPr>
          <w:szCs w:val="24"/>
        </w:rPr>
        <w:t>Natomiast</w:t>
      </w:r>
      <w:r w:rsidR="00992FD0" w:rsidRPr="00EC250C">
        <w:rPr>
          <w:szCs w:val="24"/>
        </w:rPr>
        <w:t xml:space="preserve"> w </w:t>
      </w:r>
      <w:r w:rsidR="00192982" w:rsidRPr="00EC250C">
        <w:rPr>
          <w:szCs w:val="24"/>
        </w:rPr>
        <w:t>Biurze RPO zorganizowano spotkanie ze Specjalną wysłanniczką ONZ</w:t>
      </w:r>
      <w:r w:rsidR="00992FD0" w:rsidRPr="00EC250C">
        <w:rPr>
          <w:szCs w:val="24"/>
        </w:rPr>
        <w:t xml:space="preserve"> w </w:t>
      </w:r>
      <w:r w:rsidR="00192982" w:rsidRPr="00EC250C">
        <w:rPr>
          <w:szCs w:val="24"/>
        </w:rPr>
        <w:t xml:space="preserve">dziedzinie praw kulturalnych, Karimy Bennoune. </w:t>
      </w:r>
      <w:r w:rsidRPr="00EC250C">
        <w:rPr>
          <w:szCs w:val="24"/>
        </w:rPr>
        <w:t>RPO</w:t>
      </w:r>
      <w:r w:rsidR="00192982" w:rsidRPr="00EC250C">
        <w:rPr>
          <w:szCs w:val="24"/>
        </w:rPr>
        <w:t xml:space="preserve"> wraz ze współpracownikami przedstawił najważniejsze działania</w:t>
      </w:r>
      <w:r w:rsidR="00992FD0" w:rsidRPr="00EC250C">
        <w:rPr>
          <w:szCs w:val="24"/>
        </w:rPr>
        <w:t xml:space="preserve"> w </w:t>
      </w:r>
      <w:r w:rsidR="00192982" w:rsidRPr="00EC250C">
        <w:rPr>
          <w:szCs w:val="24"/>
        </w:rPr>
        <w:t>kwestiach obejmujących zagadnienia przewidziane</w:t>
      </w:r>
      <w:r w:rsidR="00992FD0" w:rsidRPr="00EC250C">
        <w:rPr>
          <w:szCs w:val="24"/>
        </w:rPr>
        <w:t xml:space="preserve"> w </w:t>
      </w:r>
      <w:r w:rsidR="00192982" w:rsidRPr="00EC250C">
        <w:rPr>
          <w:szCs w:val="24"/>
        </w:rPr>
        <w:t>ramach mandatu przedstawicielki ONZ.</w:t>
      </w:r>
    </w:p>
    <w:p w14:paraId="4419AFFF" w14:textId="77777777" w:rsidR="00C91F6E" w:rsidRPr="00EC250C" w:rsidRDefault="00192982" w:rsidP="00D131FA">
      <w:pPr>
        <w:pStyle w:val="Styl1"/>
        <w:rPr>
          <w:szCs w:val="24"/>
        </w:rPr>
      </w:pPr>
      <w:r w:rsidRPr="00EC250C">
        <w:rPr>
          <w:szCs w:val="24"/>
        </w:rPr>
        <w:t xml:space="preserve">Dokonaniami instytucji polskiego </w:t>
      </w:r>
      <w:r w:rsidR="001B79A8" w:rsidRPr="00EC250C">
        <w:rPr>
          <w:szCs w:val="24"/>
        </w:rPr>
        <w:t xml:space="preserve">RPO </w:t>
      </w:r>
      <w:r w:rsidRPr="00EC250C">
        <w:rPr>
          <w:szCs w:val="24"/>
        </w:rPr>
        <w:t>byli zainteresowani sędziowie</w:t>
      </w:r>
      <w:r w:rsidR="00992FD0" w:rsidRPr="00EC250C">
        <w:rPr>
          <w:szCs w:val="24"/>
        </w:rPr>
        <w:t xml:space="preserve"> z </w:t>
      </w:r>
      <w:r w:rsidRPr="00EC250C">
        <w:rPr>
          <w:szCs w:val="24"/>
        </w:rPr>
        <w:t>różnych państw przebywający</w:t>
      </w:r>
      <w:r w:rsidR="00992FD0" w:rsidRPr="00EC250C">
        <w:rPr>
          <w:szCs w:val="24"/>
        </w:rPr>
        <w:t xml:space="preserve"> w </w:t>
      </w:r>
      <w:r w:rsidRPr="00EC250C">
        <w:rPr>
          <w:szCs w:val="24"/>
        </w:rPr>
        <w:t>Polsce na zaproszenie Naczelnego Sądu Administracyjnego</w:t>
      </w:r>
      <w:r w:rsidR="00992FD0" w:rsidRPr="00EC250C">
        <w:rPr>
          <w:szCs w:val="24"/>
        </w:rPr>
        <w:t xml:space="preserve"> w </w:t>
      </w:r>
      <w:r w:rsidRPr="00EC250C">
        <w:rPr>
          <w:szCs w:val="24"/>
        </w:rPr>
        <w:t>ramach programu wymiany stażowej Europejskiej Sieci Szkolenia Kadr Wymiaru Sprawiedliwości (EJTN). W Biurze Rzecznika gościł</w:t>
      </w:r>
      <w:r w:rsidR="00973CBF" w:rsidRPr="00EC250C">
        <w:rPr>
          <w:szCs w:val="24"/>
        </w:rPr>
        <w:t xml:space="preserve"> </w:t>
      </w:r>
      <w:r w:rsidRPr="00EC250C">
        <w:rPr>
          <w:szCs w:val="24"/>
        </w:rPr>
        <w:t>sędzia Trybunału Apelacyjnego ds. Ochrony Międzynarodowej</w:t>
      </w:r>
      <w:r w:rsidR="00992FD0" w:rsidRPr="00EC250C">
        <w:rPr>
          <w:szCs w:val="24"/>
        </w:rPr>
        <w:t xml:space="preserve"> z </w:t>
      </w:r>
      <w:r w:rsidRPr="00EC250C">
        <w:rPr>
          <w:szCs w:val="24"/>
        </w:rPr>
        <w:t>Dublina oraz sędzia Rady Stanu Włoch. Odbyło się</w:t>
      </w:r>
      <w:r w:rsidR="00973CBF" w:rsidRPr="00EC250C">
        <w:rPr>
          <w:szCs w:val="24"/>
        </w:rPr>
        <w:t xml:space="preserve"> </w:t>
      </w:r>
      <w:r w:rsidRPr="00EC250C">
        <w:rPr>
          <w:szCs w:val="24"/>
        </w:rPr>
        <w:t>również spotkanie</w:t>
      </w:r>
      <w:r w:rsidR="00992FD0" w:rsidRPr="00EC250C">
        <w:rPr>
          <w:szCs w:val="24"/>
        </w:rPr>
        <w:t xml:space="preserve"> z </w:t>
      </w:r>
      <w:r w:rsidRPr="00EC250C">
        <w:rPr>
          <w:szCs w:val="24"/>
        </w:rPr>
        <w:t>sędzią Apelacyjnego Sądu Administracyjnego</w:t>
      </w:r>
      <w:r w:rsidR="00992FD0" w:rsidRPr="00EC250C">
        <w:rPr>
          <w:szCs w:val="24"/>
        </w:rPr>
        <w:t xml:space="preserve"> z </w:t>
      </w:r>
      <w:r w:rsidRPr="00EC250C">
        <w:rPr>
          <w:szCs w:val="24"/>
        </w:rPr>
        <w:t>Nantes.</w:t>
      </w:r>
    </w:p>
    <w:p w14:paraId="2881AF8A" w14:textId="77777777" w:rsidR="00C91F6E" w:rsidRPr="00EC250C" w:rsidRDefault="00192982" w:rsidP="00D131FA">
      <w:pPr>
        <w:pStyle w:val="Styl1"/>
      </w:pPr>
      <w:r w:rsidRPr="00EC250C">
        <w:t xml:space="preserve">Rzecznik </w:t>
      </w:r>
      <w:r w:rsidR="001B79A8" w:rsidRPr="00EC250C">
        <w:t>p</w:t>
      </w:r>
      <w:r w:rsidRPr="00EC250C">
        <w:t xml:space="preserve">raw </w:t>
      </w:r>
      <w:r w:rsidR="001B79A8" w:rsidRPr="00EC250C">
        <w:t>o</w:t>
      </w:r>
      <w:r w:rsidRPr="00EC250C">
        <w:t>bywatelskich spotkał się także</w:t>
      </w:r>
      <w:r w:rsidR="00992FD0" w:rsidRPr="00EC250C">
        <w:t xml:space="preserve"> z </w:t>
      </w:r>
      <w:r w:rsidRPr="00EC250C">
        <w:t>sędziami</w:t>
      </w:r>
      <w:r w:rsidR="00992FD0" w:rsidRPr="00EC250C">
        <w:t xml:space="preserve"> z </w:t>
      </w:r>
      <w:r w:rsidRPr="00EC250C">
        <w:t>Bułgarii</w:t>
      </w:r>
      <w:r w:rsidR="00992FD0" w:rsidRPr="00EC250C">
        <w:t xml:space="preserve"> w </w:t>
      </w:r>
      <w:r w:rsidRPr="00EC250C">
        <w:t>ramach wizyty studyjnej</w:t>
      </w:r>
      <w:r w:rsidR="00992FD0" w:rsidRPr="00EC250C">
        <w:t xml:space="preserve"> w </w:t>
      </w:r>
      <w:r w:rsidRPr="00EC250C">
        <w:t>Polsce, zorganizowanej</w:t>
      </w:r>
      <w:r w:rsidR="00992FD0" w:rsidRPr="00EC250C">
        <w:t xml:space="preserve"> z </w:t>
      </w:r>
      <w:r w:rsidRPr="00EC250C">
        <w:t>inicjatywy „European Asylum Support Office” (EASO).</w:t>
      </w:r>
    </w:p>
    <w:p w14:paraId="12381C2C" w14:textId="77777777" w:rsidR="00C91F6E" w:rsidRPr="00EC250C" w:rsidRDefault="00192982" w:rsidP="00D131FA">
      <w:pPr>
        <w:pStyle w:val="Styl1"/>
        <w:rPr>
          <w:szCs w:val="24"/>
        </w:rPr>
      </w:pPr>
      <w:r w:rsidRPr="00EC250C">
        <w:rPr>
          <w:szCs w:val="24"/>
        </w:rPr>
        <w:t xml:space="preserve">Ponadto </w:t>
      </w:r>
      <w:r w:rsidR="001B79A8" w:rsidRPr="00EC250C">
        <w:rPr>
          <w:szCs w:val="24"/>
        </w:rPr>
        <w:t xml:space="preserve">RPO </w:t>
      </w:r>
      <w:r w:rsidRPr="00EC250C">
        <w:rPr>
          <w:szCs w:val="24"/>
        </w:rPr>
        <w:t>odbył spotkanie</w:t>
      </w:r>
      <w:r w:rsidR="00992FD0" w:rsidRPr="00EC250C">
        <w:rPr>
          <w:szCs w:val="24"/>
        </w:rPr>
        <w:t xml:space="preserve"> z </w:t>
      </w:r>
      <w:r w:rsidR="00973CBF" w:rsidRPr="00EC250C">
        <w:rPr>
          <w:szCs w:val="24"/>
        </w:rPr>
        <w:t>p</w:t>
      </w:r>
      <w:r w:rsidRPr="00EC250C">
        <w:rPr>
          <w:szCs w:val="24"/>
        </w:rPr>
        <w:t>rzewodniczącym</w:t>
      </w:r>
      <w:r w:rsidR="00992FD0" w:rsidRPr="00EC250C">
        <w:rPr>
          <w:szCs w:val="24"/>
        </w:rPr>
        <w:t xml:space="preserve"> i </w:t>
      </w:r>
      <w:r w:rsidRPr="00EC250C">
        <w:rPr>
          <w:szCs w:val="24"/>
        </w:rPr>
        <w:t>przedstawicielami Europejskiej Sieci Rad Sądownictwa (European Network of Councils for the Judiciary), które było niezwykle istotne</w:t>
      </w:r>
      <w:r w:rsidR="00992FD0" w:rsidRPr="00EC250C">
        <w:rPr>
          <w:szCs w:val="24"/>
        </w:rPr>
        <w:t xml:space="preserve"> w </w:t>
      </w:r>
      <w:r w:rsidRPr="00EC250C">
        <w:rPr>
          <w:szCs w:val="24"/>
        </w:rPr>
        <w:t>odniesieniu do sytuacji władzy sądowniczej</w:t>
      </w:r>
      <w:r w:rsidR="00992FD0" w:rsidRPr="00EC250C">
        <w:rPr>
          <w:szCs w:val="24"/>
        </w:rPr>
        <w:t xml:space="preserve"> i </w:t>
      </w:r>
      <w:r w:rsidRPr="00EC250C">
        <w:rPr>
          <w:szCs w:val="24"/>
        </w:rPr>
        <w:t>zmian</w:t>
      </w:r>
      <w:r w:rsidR="00992FD0" w:rsidRPr="00EC250C">
        <w:rPr>
          <w:szCs w:val="24"/>
        </w:rPr>
        <w:t xml:space="preserve"> w </w:t>
      </w:r>
      <w:r w:rsidRPr="00EC250C">
        <w:rPr>
          <w:szCs w:val="24"/>
        </w:rPr>
        <w:t>polskim wymiarze sprawiedliwości.</w:t>
      </w:r>
    </w:p>
    <w:p w14:paraId="0D9D9210" w14:textId="77777777" w:rsidR="00192982" w:rsidRPr="00EC250C" w:rsidRDefault="00192982" w:rsidP="00D131FA">
      <w:pPr>
        <w:pStyle w:val="Styl1"/>
        <w:rPr>
          <w:b/>
          <w:bCs/>
          <w:color w:val="044892"/>
          <w:sz w:val="28"/>
        </w:rPr>
      </w:pPr>
      <w:r w:rsidRPr="00EC250C">
        <w:rPr>
          <w:szCs w:val="24"/>
        </w:rPr>
        <w:t>W 2018</w:t>
      </w:r>
      <w:r w:rsidR="00C91F6E" w:rsidRPr="00EC250C">
        <w:rPr>
          <w:szCs w:val="24"/>
        </w:rPr>
        <w:t> r.</w:t>
      </w:r>
      <w:r w:rsidRPr="00EC250C">
        <w:rPr>
          <w:szCs w:val="24"/>
        </w:rPr>
        <w:t xml:space="preserve"> </w:t>
      </w:r>
      <w:r w:rsidR="001B79A8" w:rsidRPr="00EC250C">
        <w:rPr>
          <w:szCs w:val="24"/>
        </w:rPr>
        <w:t>RPO</w:t>
      </w:r>
      <w:r w:rsidR="00992FD0" w:rsidRPr="00EC250C">
        <w:rPr>
          <w:szCs w:val="24"/>
        </w:rPr>
        <w:t xml:space="preserve"> z </w:t>
      </w:r>
      <w:r w:rsidRPr="00EC250C">
        <w:rPr>
          <w:szCs w:val="24"/>
        </w:rPr>
        <w:t>wielokrotnie spotykał się</w:t>
      </w:r>
      <w:r w:rsidR="00992FD0" w:rsidRPr="00EC250C">
        <w:rPr>
          <w:szCs w:val="24"/>
        </w:rPr>
        <w:t xml:space="preserve"> z </w:t>
      </w:r>
      <w:r w:rsidRPr="00EC250C">
        <w:rPr>
          <w:szCs w:val="24"/>
        </w:rPr>
        <w:t>członkami korpusu dyplomatycznego akredytowanego</w:t>
      </w:r>
      <w:r w:rsidR="00992FD0" w:rsidRPr="00EC250C">
        <w:rPr>
          <w:szCs w:val="24"/>
        </w:rPr>
        <w:t xml:space="preserve"> w </w:t>
      </w:r>
      <w:r w:rsidRPr="00EC250C">
        <w:rPr>
          <w:szCs w:val="24"/>
        </w:rPr>
        <w:t>Polsce, głównie</w:t>
      </w:r>
      <w:r w:rsidR="00992FD0" w:rsidRPr="00EC250C">
        <w:rPr>
          <w:szCs w:val="24"/>
        </w:rPr>
        <w:t xml:space="preserve"> z </w:t>
      </w:r>
      <w:r w:rsidRPr="00EC250C">
        <w:rPr>
          <w:szCs w:val="24"/>
        </w:rPr>
        <w:t>dyplomatami przedstawicielstw państw Unii Europejskiej,</w:t>
      </w:r>
      <w:r w:rsidR="00992FD0" w:rsidRPr="00EC250C">
        <w:rPr>
          <w:szCs w:val="24"/>
        </w:rPr>
        <w:t xml:space="preserve"> w </w:t>
      </w:r>
      <w:r w:rsidRPr="00EC250C">
        <w:rPr>
          <w:szCs w:val="24"/>
        </w:rPr>
        <w:t>których funkcjonują instytucje Ombudsmanów, jak również placówek dyplomatycznych</w:t>
      </w:r>
      <w:r w:rsidR="00992FD0" w:rsidRPr="00EC250C">
        <w:rPr>
          <w:szCs w:val="24"/>
        </w:rPr>
        <w:t xml:space="preserve"> z </w:t>
      </w:r>
      <w:r w:rsidRPr="00EC250C">
        <w:rPr>
          <w:szCs w:val="24"/>
        </w:rPr>
        <w:t>Europy Wschodniej</w:t>
      </w:r>
      <w:r w:rsidR="00992FD0" w:rsidRPr="00EC250C">
        <w:rPr>
          <w:szCs w:val="24"/>
        </w:rPr>
        <w:t xml:space="preserve"> i </w:t>
      </w:r>
      <w:r w:rsidRPr="00EC250C">
        <w:rPr>
          <w:szCs w:val="24"/>
        </w:rPr>
        <w:t>Stanów Zjednoczonych.</w:t>
      </w:r>
      <w:r w:rsidRPr="00EC250C">
        <w:br w:type="page"/>
      </w:r>
    </w:p>
    <w:p w14:paraId="70F92DA0" w14:textId="77777777" w:rsidR="000E3F27" w:rsidRPr="00EC250C" w:rsidRDefault="000E3F27" w:rsidP="00D131FA">
      <w:pPr>
        <w:pStyle w:val="Nagwek1"/>
        <w:jc w:val="both"/>
      </w:pPr>
      <w:bookmarkStart w:id="873" w:name="_Toc11247885"/>
      <w:r w:rsidRPr="00EC250C">
        <w:lastRenderedPageBreak/>
        <w:t>CZĘŚĆ IV</w:t>
      </w:r>
      <w:bookmarkEnd w:id="810"/>
      <w:r w:rsidRPr="00EC250C">
        <w:t xml:space="preserve"> </w:t>
      </w:r>
      <w:r w:rsidR="00335AF8" w:rsidRPr="00EC250C">
        <w:t>– Załączniki</w:t>
      </w:r>
      <w:bookmarkEnd w:id="873"/>
    </w:p>
    <w:p w14:paraId="22584DB6" w14:textId="77777777" w:rsidR="00250AC8" w:rsidRPr="00EC250C" w:rsidRDefault="00250AC8" w:rsidP="00EC79EB">
      <w:pPr>
        <w:pStyle w:val="Nagwek4"/>
      </w:pPr>
      <w:bookmarkStart w:id="874" w:name="_Toc6258096"/>
      <w:bookmarkStart w:id="875" w:name="_Toc3898982"/>
      <w:bookmarkStart w:id="876" w:name="_Toc11247886"/>
      <w:r w:rsidRPr="00EC250C">
        <w:t>Dane informacyjno</w:t>
      </w:r>
      <w:r w:rsidR="007E515C" w:rsidRPr="00EC250C">
        <w:t>-</w:t>
      </w:r>
      <w:r w:rsidRPr="00EC250C">
        <w:t>statystyczne</w:t>
      </w:r>
      <w:bookmarkEnd w:id="874"/>
      <w:bookmarkEnd w:id="875"/>
      <w:bookmarkEnd w:id="876"/>
    </w:p>
    <w:p w14:paraId="30A9F8E3" w14:textId="77777777" w:rsidR="00250AC8" w:rsidRPr="00EC250C" w:rsidRDefault="00250AC8" w:rsidP="00D131FA">
      <w:pPr>
        <w:pStyle w:val="Standardowy10"/>
        <w:spacing w:after="120" w:line="240" w:lineRule="auto"/>
        <w:rPr>
          <w:b/>
          <w:bCs/>
          <w:sz w:val="24"/>
        </w:rPr>
      </w:pPr>
      <w:r w:rsidRPr="00EC250C">
        <w:rPr>
          <w:b/>
          <w:bCs/>
          <w:sz w:val="24"/>
        </w:rPr>
        <w:t>Wpływ spraw do Rzecznika Praw Obywatelskich</w:t>
      </w:r>
    </w:p>
    <w:tbl>
      <w:tblPr>
        <w:tblW w:w="7200"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5556"/>
        <w:gridCol w:w="1644"/>
      </w:tblGrid>
      <w:tr w:rsidR="00250AC8" w:rsidRPr="00EC250C" w14:paraId="47752FC9" w14:textId="77777777" w:rsidTr="00250AC8">
        <w:trPr>
          <w:tblCellSpacing w:w="20" w:type="dxa"/>
          <w:jc w:val="center"/>
        </w:trPr>
        <w:tc>
          <w:tcPr>
            <w:tcW w:w="5496" w:type="dxa"/>
          </w:tcPr>
          <w:p w14:paraId="03BDF808" w14:textId="77777777" w:rsidR="00250AC8" w:rsidRPr="00EC250C" w:rsidRDefault="00250AC8" w:rsidP="00D131FA">
            <w:pPr>
              <w:pStyle w:val="Tabela"/>
              <w:jc w:val="both"/>
            </w:pPr>
          </w:p>
        </w:tc>
        <w:tc>
          <w:tcPr>
            <w:tcW w:w="1584" w:type="dxa"/>
          </w:tcPr>
          <w:p w14:paraId="29E0FD09" w14:textId="77777777" w:rsidR="00250AC8" w:rsidRPr="00EC250C" w:rsidRDefault="00250AC8" w:rsidP="00D131FA">
            <w:pPr>
              <w:pStyle w:val="Tabela"/>
              <w:jc w:val="both"/>
              <w:rPr>
                <w:b/>
              </w:rPr>
            </w:pPr>
            <w:r w:rsidRPr="00EC250C">
              <w:rPr>
                <w:b/>
              </w:rPr>
              <w:t>2018</w:t>
            </w:r>
          </w:p>
          <w:p w14:paraId="3758099A" w14:textId="77777777" w:rsidR="00250AC8" w:rsidRPr="00EC250C" w:rsidRDefault="00250AC8" w:rsidP="00D131FA">
            <w:pPr>
              <w:pStyle w:val="Tabela"/>
              <w:jc w:val="both"/>
            </w:pPr>
            <w:r w:rsidRPr="00EC250C">
              <w:t>1.01. – 31.12.</w:t>
            </w:r>
          </w:p>
        </w:tc>
      </w:tr>
      <w:tr w:rsidR="00250AC8" w:rsidRPr="00EC250C" w14:paraId="0EE2B97E" w14:textId="77777777" w:rsidTr="00250AC8">
        <w:trPr>
          <w:trHeight w:val="567"/>
          <w:tblCellSpacing w:w="20" w:type="dxa"/>
          <w:jc w:val="center"/>
        </w:trPr>
        <w:tc>
          <w:tcPr>
            <w:tcW w:w="5496" w:type="dxa"/>
            <w:vAlign w:val="center"/>
          </w:tcPr>
          <w:p w14:paraId="75B71FDD" w14:textId="77777777" w:rsidR="00250AC8" w:rsidRPr="00EC250C" w:rsidRDefault="00250AC8" w:rsidP="00D131FA">
            <w:pPr>
              <w:pStyle w:val="Tabela"/>
              <w:jc w:val="both"/>
            </w:pPr>
            <w:r w:rsidRPr="00EC250C">
              <w:t>Wpływ ogółem</w:t>
            </w:r>
          </w:p>
        </w:tc>
        <w:tc>
          <w:tcPr>
            <w:tcW w:w="1584" w:type="dxa"/>
            <w:vAlign w:val="center"/>
          </w:tcPr>
          <w:p w14:paraId="0D4E4611" w14:textId="77777777" w:rsidR="00250AC8" w:rsidRPr="00EC250C" w:rsidRDefault="00250AC8" w:rsidP="00D131FA">
            <w:pPr>
              <w:pStyle w:val="Tabela"/>
              <w:jc w:val="both"/>
            </w:pPr>
            <w:r w:rsidRPr="00EC250C">
              <w:t>57 546</w:t>
            </w:r>
          </w:p>
        </w:tc>
      </w:tr>
      <w:tr w:rsidR="00250AC8" w:rsidRPr="00EC250C" w14:paraId="360397E6" w14:textId="77777777" w:rsidTr="00250AC8">
        <w:trPr>
          <w:trHeight w:val="567"/>
          <w:tblCellSpacing w:w="20" w:type="dxa"/>
          <w:jc w:val="center"/>
        </w:trPr>
        <w:tc>
          <w:tcPr>
            <w:tcW w:w="5496" w:type="dxa"/>
            <w:vAlign w:val="center"/>
          </w:tcPr>
          <w:p w14:paraId="2AF2DCE8" w14:textId="77777777" w:rsidR="00250AC8" w:rsidRPr="00EC250C" w:rsidRDefault="00250AC8" w:rsidP="00D131FA">
            <w:pPr>
              <w:pStyle w:val="Tabela"/>
              <w:jc w:val="both"/>
            </w:pPr>
            <w:r w:rsidRPr="00EC250C">
              <w:t>Sprawy nowe</w:t>
            </w:r>
          </w:p>
        </w:tc>
        <w:tc>
          <w:tcPr>
            <w:tcW w:w="1584" w:type="dxa"/>
            <w:vAlign w:val="center"/>
          </w:tcPr>
          <w:p w14:paraId="42118AB8" w14:textId="77777777" w:rsidR="00250AC8" w:rsidRPr="00EC250C" w:rsidRDefault="00250AC8" w:rsidP="00D131FA">
            <w:pPr>
              <w:pStyle w:val="Tabela"/>
              <w:jc w:val="both"/>
            </w:pPr>
            <w:r w:rsidRPr="00EC250C">
              <w:t>25 266</w:t>
            </w:r>
          </w:p>
        </w:tc>
      </w:tr>
      <w:tr w:rsidR="00250AC8" w:rsidRPr="00EC250C" w14:paraId="0F9F45F6" w14:textId="77777777" w:rsidTr="00250AC8">
        <w:trPr>
          <w:trHeight w:val="567"/>
          <w:tblCellSpacing w:w="20" w:type="dxa"/>
          <w:jc w:val="center"/>
        </w:trPr>
        <w:tc>
          <w:tcPr>
            <w:tcW w:w="5496" w:type="dxa"/>
            <w:vAlign w:val="center"/>
          </w:tcPr>
          <w:p w14:paraId="42E73157" w14:textId="77777777" w:rsidR="00250AC8" w:rsidRPr="00EC250C" w:rsidRDefault="00250AC8" w:rsidP="00D131FA">
            <w:pPr>
              <w:pStyle w:val="Tabela"/>
              <w:jc w:val="both"/>
            </w:pPr>
            <w:r w:rsidRPr="00EC250C">
              <w:t>Odpowiedzi</w:t>
            </w:r>
            <w:r w:rsidR="00992FD0" w:rsidRPr="00EC250C">
              <w:t xml:space="preserve"> w </w:t>
            </w:r>
            <w:r w:rsidRPr="00EC250C">
              <w:t>sprawach podjętych przez</w:t>
            </w:r>
            <w:r w:rsidR="00CC4D88" w:rsidRPr="00EC250C">
              <w:t xml:space="preserve"> </w:t>
            </w:r>
            <w:r w:rsidRPr="00EC250C">
              <w:t>RPO</w:t>
            </w:r>
          </w:p>
        </w:tc>
        <w:tc>
          <w:tcPr>
            <w:tcW w:w="1584" w:type="dxa"/>
            <w:vAlign w:val="center"/>
          </w:tcPr>
          <w:p w14:paraId="3A5CA7D4" w14:textId="77777777" w:rsidR="00250AC8" w:rsidRPr="00EC250C" w:rsidRDefault="00250AC8" w:rsidP="00D131FA">
            <w:pPr>
              <w:pStyle w:val="Tabela"/>
              <w:jc w:val="both"/>
            </w:pPr>
            <w:r w:rsidRPr="00EC250C">
              <w:t>12 811</w:t>
            </w:r>
          </w:p>
        </w:tc>
      </w:tr>
    </w:tbl>
    <w:p w14:paraId="6C4BAEF4" w14:textId="77777777" w:rsidR="00250AC8" w:rsidRPr="00EC250C" w:rsidRDefault="00250AC8" w:rsidP="00D131FA">
      <w:pPr>
        <w:pStyle w:val="Styl1"/>
        <w:spacing w:before="240" w:after="240"/>
      </w:pPr>
      <w:r w:rsidRPr="00EC250C">
        <w:t>W 2018 roku</w:t>
      </w:r>
      <w:r w:rsidR="00992FD0" w:rsidRPr="00EC250C">
        <w:t xml:space="preserve"> w </w:t>
      </w:r>
      <w:r w:rsidRPr="00EC250C">
        <w:t>Biurze RPO przyjęto 4356 interesantów oraz przeprowadzono 31</w:t>
      </w:r>
      <w:r w:rsidR="00F57670" w:rsidRPr="00EC250C">
        <w:t> </w:t>
      </w:r>
      <w:r w:rsidRPr="00EC250C">
        <w:t>973</w:t>
      </w:r>
      <w:r w:rsidR="00CC4D88" w:rsidRPr="00EC250C">
        <w:t xml:space="preserve"> </w:t>
      </w:r>
      <w:r w:rsidRPr="00EC250C">
        <w:t>rozmowy telefoniczne, udzielając wyjaśnień</w:t>
      </w:r>
      <w:r w:rsidR="00992FD0" w:rsidRPr="00EC250C">
        <w:t xml:space="preserve"> i </w:t>
      </w:r>
      <w:r w:rsidRPr="00EC250C">
        <w:t>porad.</w:t>
      </w:r>
    </w:p>
    <w:p w14:paraId="2E83B683" w14:textId="77777777" w:rsidR="00ED567C" w:rsidRPr="00EC250C" w:rsidRDefault="00F57670" w:rsidP="00D131FA">
      <w:pPr>
        <w:spacing w:before="240" w:line="480" w:lineRule="auto"/>
        <w:jc w:val="both"/>
        <w:rPr>
          <w:noProof/>
          <w:sz w:val="24"/>
        </w:rPr>
      </w:pPr>
      <w:r w:rsidRPr="00EC250C">
        <w:rPr>
          <w:noProof/>
          <w:sz w:val="24"/>
        </w:rPr>
        <w:drawing>
          <wp:inline distT="0" distB="0" distL="0" distR="0" wp14:anchorId="4CB4A6F4" wp14:editId="4975B183">
            <wp:extent cx="6532908" cy="4154957"/>
            <wp:effectExtent l="0" t="0" r="1270" b="0"/>
            <wp:docPr id="2"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81738" cy="4186013"/>
                    </a:xfrm>
                    <a:prstGeom prst="rect">
                      <a:avLst/>
                    </a:prstGeom>
                    <a:noFill/>
                  </pic:spPr>
                </pic:pic>
              </a:graphicData>
            </a:graphic>
          </wp:inline>
        </w:drawing>
      </w:r>
    </w:p>
    <w:p w14:paraId="0DFD7A69" w14:textId="77777777" w:rsidR="00ED567C" w:rsidRPr="00EC250C" w:rsidRDefault="00ED567C" w:rsidP="00D131FA">
      <w:pPr>
        <w:spacing w:after="200" w:line="24" w:lineRule="auto"/>
        <w:jc w:val="both"/>
        <w:rPr>
          <w:noProof/>
          <w:sz w:val="24"/>
        </w:rPr>
      </w:pPr>
      <w:r w:rsidRPr="00EC250C">
        <w:rPr>
          <w:noProof/>
          <w:sz w:val="24"/>
        </w:rPr>
        <w:br w:type="page"/>
      </w:r>
    </w:p>
    <w:tbl>
      <w:tblPr>
        <w:tblW w:w="8385"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534"/>
        <w:gridCol w:w="6976"/>
        <w:gridCol w:w="875"/>
      </w:tblGrid>
      <w:tr w:rsidR="00250AC8" w:rsidRPr="00EC250C" w14:paraId="043F76CF" w14:textId="77777777" w:rsidTr="00A016B4">
        <w:trPr>
          <w:tblCellSpacing w:w="20" w:type="dxa"/>
          <w:jc w:val="center"/>
        </w:trPr>
        <w:tc>
          <w:tcPr>
            <w:tcW w:w="7450" w:type="dxa"/>
            <w:gridSpan w:val="2"/>
          </w:tcPr>
          <w:p w14:paraId="504DD82C" w14:textId="77777777" w:rsidR="00250AC8" w:rsidRPr="00EC250C" w:rsidRDefault="00250AC8" w:rsidP="006C70B7">
            <w:pPr>
              <w:pStyle w:val="Tabela"/>
              <w:numPr>
                <w:ilvl w:val="0"/>
                <w:numId w:val="75"/>
              </w:numPr>
              <w:ind w:left="0" w:firstLine="0"/>
              <w:jc w:val="both"/>
            </w:pPr>
            <w:r w:rsidRPr="00EC250C">
              <w:lastRenderedPageBreak/>
              <w:t>Rzecznik Praw Obywatelskich skierował:</w:t>
            </w:r>
          </w:p>
        </w:tc>
        <w:tc>
          <w:tcPr>
            <w:tcW w:w="815" w:type="dxa"/>
          </w:tcPr>
          <w:p w14:paraId="556AFB81" w14:textId="77777777" w:rsidR="00250AC8" w:rsidRPr="00EC250C" w:rsidRDefault="00250AC8" w:rsidP="00D131FA">
            <w:pPr>
              <w:pStyle w:val="Tabela"/>
              <w:jc w:val="both"/>
            </w:pPr>
            <w:r w:rsidRPr="00EC250C">
              <w:t>2018</w:t>
            </w:r>
          </w:p>
        </w:tc>
      </w:tr>
      <w:tr w:rsidR="00250AC8" w:rsidRPr="00EC250C" w14:paraId="40D0E291" w14:textId="77777777" w:rsidTr="00A016B4">
        <w:trPr>
          <w:tblCellSpacing w:w="20" w:type="dxa"/>
          <w:jc w:val="center"/>
        </w:trPr>
        <w:tc>
          <w:tcPr>
            <w:tcW w:w="474" w:type="dxa"/>
          </w:tcPr>
          <w:p w14:paraId="11BD88BE" w14:textId="77777777" w:rsidR="00250AC8" w:rsidRPr="00EC250C" w:rsidRDefault="00250AC8" w:rsidP="006C70B7">
            <w:pPr>
              <w:pStyle w:val="Tabela"/>
              <w:numPr>
                <w:ilvl w:val="0"/>
                <w:numId w:val="75"/>
              </w:numPr>
              <w:ind w:left="0" w:firstLine="0"/>
              <w:jc w:val="both"/>
            </w:pPr>
          </w:p>
        </w:tc>
        <w:tc>
          <w:tcPr>
            <w:tcW w:w="6936" w:type="dxa"/>
          </w:tcPr>
          <w:p w14:paraId="2F339493" w14:textId="77777777" w:rsidR="00250AC8" w:rsidRPr="00EC250C" w:rsidRDefault="00250AC8" w:rsidP="00D131FA">
            <w:pPr>
              <w:pStyle w:val="Tabela"/>
              <w:jc w:val="both"/>
            </w:pPr>
            <w:r w:rsidRPr="00EC250C">
              <w:t>wystąpień problemowych</w:t>
            </w:r>
          </w:p>
          <w:p w14:paraId="68D7A40A" w14:textId="77777777" w:rsidR="00250AC8" w:rsidRPr="00EC250C" w:rsidRDefault="00250AC8" w:rsidP="00D131FA">
            <w:pPr>
              <w:pStyle w:val="Tabela"/>
              <w:jc w:val="both"/>
            </w:pPr>
            <w:r w:rsidRPr="00EC250C">
              <w:t>–</w:t>
            </w:r>
            <w:r w:rsidR="00992FD0" w:rsidRPr="00EC250C">
              <w:t xml:space="preserve"> w </w:t>
            </w:r>
            <w:r w:rsidRPr="00EC250C">
              <w:t>tym</w:t>
            </w:r>
            <w:r w:rsidR="00992FD0" w:rsidRPr="00EC250C">
              <w:t xml:space="preserve"> o </w:t>
            </w:r>
            <w:r w:rsidRPr="00EC250C">
              <w:t>podjęcie inicjatywy prawodawczej</w:t>
            </w:r>
          </w:p>
        </w:tc>
        <w:tc>
          <w:tcPr>
            <w:tcW w:w="815" w:type="dxa"/>
          </w:tcPr>
          <w:p w14:paraId="33BD0F44" w14:textId="77777777" w:rsidR="00250AC8" w:rsidRPr="00EC250C" w:rsidRDefault="00250AC8" w:rsidP="00D131FA">
            <w:pPr>
              <w:pStyle w:val="Tabela"/>
              <w:jc w:val="both"/>
            </w:pPr>
            <w:r w:rsidRPr="00EC250C">
              <w:t>218</w:t>
            </w:r>
          </w:p>
          <w:p w14:paraId="76FF724D" w14:textId="77777777" w:rsidR="00250AC8" w:rsidRPr="00EC250C" w:rsidRDefault="00250AC8" w:rsidP="00D131FA">
            <w:pPr>
              <w:pStyle w:val="Tabela"/>
              <w:jc w:val="both"/>
            </w:pPr>
            <w:r w:rsidRPr="00EC250C">
              <w:t>98</w:t>
            </w:r>
          </w:p>
        </w:tc>
      </w:tr>
      <w:tr w:rsidR="00250AC8" w:rsidRPr="00EC250C" w14:paraId="5BA40EB9" w14:textId="77777777" w:rsidTr="00A016B4">
        <w:trPr>
          <w:tblCellSpacing w:w="20" w:type="dxa"/>
          <w:jc w:val="center"/>
        </w:trPr>
        <w:tc>
          <w:tcPr>
            <w:tcW w:w="474" w:type="dxa"/>
          </w:tcPr>
          <w:p w14:paraId="2890B26A" w14:textId="77777777" w:rsidR="00250AC8" w:rsidRPr="00EC250C" w:rsidRDefault="00250AC8" w:rsidP="006C70B7">
            <w:pPr>
              <w:pStyle w:val="Tabela"/>
              <w:numPr>
                <w:ilvl w:val="0"/>
                <w:numId w:val="75"/>
              </w:numPr>
              <w:ind w:left="0" w:firstLine="0"/>
              <w:jc w:val="both"/>
            </w:pPr>
          </w:p>
        </w:tc>
        <w:tc>
          <w:tcPr>
            <w:tcW w:w="6936" w:type="dxa"/>
          </w:tcPr>
          <w:p w14:paraId="521948E6" w14:textId="77777777" w:rsidR="00250AC8" w:rsidRPr="00EC250C" w:rsidRDefault="00250AC8" w:rsidP="00D131FA">
            <w:pPr>
              <w:pStyle w:val="Tabela"/>
              <w:jc w:val="both"/>
            </w:pPr>
            <w:r w:rsidRPr="00EC250C">
              <w:t>wniosków do Trybunału Konstytucyjnego</w:t>
            </w:r>
            <w:r w:rsidR="00992FD0" w:rsidRPr="00EC250C">
              <w:t xml:space="preserve"> o </w:t>
            </w:r>
            <w:r w:rsidRPr="00EC250C">
              <w:t>stwierdzenie niezgodności przepisów</w:t>
            </w:r>
            <w:r w:rsidR="00992FD0" w:rsidRPr="00EC250C">
              <w:t xml:space="preserve"> z </w:t>
            </w:r>
            <w:r w:rsidRPr="00EC250C">
              <w:t>aktem wyższego rzędu</w:t>
            </w:r>
          </w:p>
        </w:tc>
        <w:tc>
          <w:tcPr>
            <w:tcW w:w="815" w:type="dxa"/>
          </w:tcPr>
          <w:p w14:paraId="2F0E88D5" w14:textId="77777777" w:rsidR="00250AC8" w:rsidRPr="00EC250C" w:rsidRDefault="00250AC8" w:rsidP="00D131FA">
            <w:pPr>
              <w:pStyle w:val="Tabela"/>
              <w:jc w:val="both"/>
            </w:pPr>
            <w:r w:rsidRPr="00EC250C">
              <w:t>2</w:t>
            </w:r>
          </w:p>
        </w:tc>
      </w:tr>
      <w:tr w:rsidR="00250AC8" w:rsidRPr="00EC250C" w14:paraId="78D85A3C" w14:textId="77777777" w:rsidTr="00A016B4">
        <w:trPr>
          <w:tblCellSpacing w:w="20" w:type="dxa"/>
          <w:jc w:val="center"/>
        </w:trPr>
        <w:tc>
          <w:tcPr>
            <w:tcW w:w="474" w:type="dxa"/>
          </w:tcPr>
          <w:p w14:paraId="3FD5A3A7" w14:textId="77777777" w:rsidR="00250AC8" w:rsidRPr="00EC250C" w:rsidRDefault="00250AC8" w:rsidP="006C70B7">
            <w:pPr>
              <w:pStyle w:val="Tabela"/>
              <w:numPr>
                <w:ilvl w:val="0"/>
                <w:numId w:val="75"/>
              </w:numPr>
              <w:ind w:left="0" w:firstLine="0"/>
              <w:jc w:val="both"/>
            </w:pPr>
          </w:p>
        </w:tc>
        <w:tc>
          <w:tcPr>
            <w:tcW w:w="6936" w:type="dxa"/>
          </w:tcPr>
          <w:p w14:paraId="01F40C59" w14:textId="77777777" w:rsidR="00250AC8" w:rsidRPr="00EC250C" w:rsidRDefault="00250AC8" w:rsidP="00D131FA">
            <w:pPr>
              <w:pStyle w:val="Tabela"/>
              <w:jc w:val="both"/>
            </w:pPr>
            <w:r w:rsidRPr="00EC250C">
              <w:t>zawiadomień do Trybunału Konstytucyjnego</w:t>
            </w:r>
            <w:r w:rsidR="00992FD0" w:rsidRPr="00EC250C">
              <w:t xml:space="preserve"> o </w:t>
            </w:r>
            <w:r w:rsidRPr="00EC250C">
              <w:t>przystąpieniu do postępowania ze skargi konstytucyjnej</w:t>
            </w:r>
          </w:p>
        </w:tc>
        <w:tc>
          <w:tcPr>
            <w:tcW w:w="815" w:type="dxa"/>
          </w:tcPr>
          <w:p w14:paraId="0A8A5B2C" w14:textId="77777777" w:rsidR="00250AC8" w:rsidRPr="00EC250C" w:rsidRDefault="00250AC8" w:rsidP="00D131FA">
            <w:pPr>
              <w:pStyle w:val="Tabela"/>
              <w:jc w:val="both"/>
            </w:pPr>
            <w:r w:rsidRPr="00EC250C">
              <w:t>3</w:t>
            </w:r>
          </w:p>
        </w:tc>
      </w:tr>
      <w:tr w:rsidR="00250AC8" w:rsidRPr="00EC250C" w14:paraId="32862D60" w14:textId="77777777" w:rsidTr="00A016B4">
        <w:trPr>
          <w:tblCellSpacing w:w="20" w:type="dxa"/>
          <w:jc w:val="center"/>
        </w:trPr>
        <w:tc>
          <w:tcPr>
            <w:tcW w:w="474" w:type="dxa"/>
          </w:tcPr>
          <w:p w14:paraId="1F0AA9EC" w14:textId="77777777" w:rsidR="00250AC8" w:rsidRPr="00EC250C" w:rsidRDefault="00250AC8" w:rsidP="006C70B7">
            <w:pPr>
              <w:pStyle w:val="Tabela"/>
              <w:numPr>
                <w:ilvl w:val="0"/>
                <w:numId w:val="75"/>
              </w:numPr>
              <w:ind w:left="0" w:firstLine="0"/>
              <w:jc w:val="both"/>
            </w:pPr>
          </w:p>
        </w:tc>
        <w:tc>
          <w:tcPr>
            <w:tcW w:w="6936" w:type="dxa"/>
            <w:vAlign w:val="center"/>
          </w:tcPr>
          <w:p w14:paraId="77259048" w14:textId="77777777" w:rsidR="00250AC8" w:rsidRPr="00EC250C" w:rsidRDefault="00250AC8" w:rsidP="00D131FA">
            <w:pPr>
              <w:pStyle w:val="Tabela"/>
              <w:jc w:val="both"/>
            </w:pPr>
            <w:r w:rsidRPr="00EC250C">
              <w:t>zawiadomień do Trybunału Konstytucyjnego</w:t>
            </w:r>
            <w:r w:rsidR="00992FD0" w:rsidRPr="00EC250C">
              <w:t xml:space="preserve"> o </w:t>
            </w:r>
            <w:r w:rsidRPr="00EC250C">
              <w:t>przystąpieniu do postępowania</w:t>
            </w:r>
            <w:r w:rsidR="00992FD0" w:rsidRPr="00EC250C">
              <w:t xml:space="preserve"> w </w:t>
            </w:r>
            <w:r w:rsidRPr="00EC250C">
              <w:t>sprawie pytań prawnych</w:t>
            </w:r>
          </w:p>
        </w:tc>
        <w:tc>
          <w:tcPr>
            <w:tcW w:w="815" w:type="dxa"/>
          </w:tcPr>
          <w:p w14:paraId="771D1A48" w14:textId="77777777" w:rsidR="00250AC8" w:rsidRPr="00EC250C" w:rsidRDefault="00250AC8" w:rsidP="00D131FA">
            <w:pPr>
              <w:pStyle w:val="Tabela"/>
              <w:jc w:val="both"/>
            </w:pPr>
            <w:r w:rsidRPr="00EC250C">
              <w:t>4</w:t>
            </w:r>
          </w:p>
        </w:tc>
      </w:tr>
      <w:tr w:rsidR="00250AC8" w:rsidRPr="00EC250C" w14:paraId="1158A837" w14:textId="77777777" w:rsidTr="00A016B4">
        <w:trPr>
          <w:tblCellSpacing w:w="20" w:type="dxa"/>
          <w:jc w:val="center"/>
        </w:trPr>
        <w:tc>
          <w:tcPr>
            <w:tcW w:w="474" w:type="dxa"/>
          </w:tcPr>
          <w:p w14:paraId="60878108" w14:textId="77777777" w:rsidR="00250AC8" w:rsidRPr="00EC250C" w:rsidRDefault="00250AC8" w:rsidP="006C70B7">
            <w:pPr>
              <w:pStyle w:val="Tabela"/>
              <w:numPr>
                <w:ilvl w:val="0"/>
                <w:numId w:val="75"/>
              </w:numPr>
              <w:ind w:left="0" w:firstLine="0"/>
              <w:jc w:val="both"/>
            </w:pPr>
          </w:p>
        </w:tc>
        <w:tc>
          <w:tcPr>
            <w:tcW w:w="6936" w:type="dxa"/>
            <w:vAlign w:val="center"/>
          </w:tcPr>
          <w:p w14:paraId="496E02D9" w14:textId="77777777" w:rsidR="00250AC8" w:rsidRPr="00EC250C" w:rsidRDefault="00250AC8" w:rsidP="00D131FA">
            <w:pPr>
              <w:pStyle w:val="Tabela"/>
              <w:jc w:val="both"/>
            </w:pPr>
            <w:r w:rsidRPr="00EC250C">
              <w:t>zawiadomień do Trybunału Konstytucyjnego</w:t>
            </w:r>
            <w:r w:rsidR="00992FD0" w:rsidRPr="00EC250C">
              <w:t xml:space="preserve"> o </w:t>
            </w:r>
            <w:r w:rsidRPr="00EC250C">
              <w:t>przystąpieniu do postępowania</w:t>
            </w:r>
            <w:r w:rsidR="00992FD0" w:rsidRPr="00EC250C">
              <w:t xml:space="preserve"> w </w:t>
            </w:r>
            <w:r w:rsidRPr="00EC250C">
              <w:t>sprawie wniosku</w:t>
            </w:r>
          </w:p>
        </w:tc>
        <w:tc>
          <w:tcPr>
            <w:tcW w:w="815" w:type="dxa"/>
          </w:tcPr>
          <w:p w14:paraId="1C700ABD" w14:textId="77777777" w:rsidR="00250AC8" w:rsidRPr="00EC250C" w:rsidRDefault="00250AC8" w:rsidP="00D131FA">
            <w:pPr>
              <w:pStyle w:val="Tabela"/>
              <w:jc w:val="both"/>
            </w:pPr>
            <w:r w:rsidRPr="00EC250C">
              <w:t>4</w:t>
            </w:r>
          </w:p>
        </w:tc>
      </w:tr>
      <w:tr w:rsidR="00250AC8" w:rsidRPr="00EC250C" w14:paraId="59DC7FB7" w14:textId="77777777" w:rsidTr="00A016B4">
        <w:trPr>
          <w:tblCellSpacing w:w="20" w:type="dxa"/>
          <w:jc w:val="center"/>
        </w:trPr>
        <w:tc>
          <w:tcPr>
            <w:tcW w:w="474" w:type="dxa"/>
          </w:tcPr>
          <w:p w14:paraId="1139F843" w14:textId="77777777" w:rsidR="00250AC8" w:rsidRPr="00EC250C" w:rsidRDefault="00250AC8" w:rsidP="006C70B7">
            <w:pPr>
              <w:pStyle w:val="Tabela"/>
              <w:numPr>
                <w:ilvl w:val="0"/>
                <w:numId w:val="75"/>
              </w:numPr>
              <w:ind w:left="0" w:firstLine="0"/>
              <w:jc w:val="both"/>
            </w:pPr>
          </w:p>
        </w:tc>
        <w:tc>
          <w:tcPr>
            <w:tcW w:w="6936" w:type="dxa"/>
          </w:tcPr>
          <w:p w14:paraId="77F5D13E" w14:textId="77777777" w:rsidR="00250AC8" w:rsidRPr="00EC250C" w:rsidRDefault="00250AC8" w:rsidP="00D131FA">
            <w:pPr>
              <w:pStyle w:val="Tabela"/>
              <w:jc w:val="both"/>
            </w:pPr>
            <w:r w:rsidRPr="00EC250C">
              <w:t>zawiadomień do Sądu Najwyższego</w:t>
            </w:r>
            <w:r w:rsidR="00992FD0" w:rsidRPr="00EC250C">
              <w:t xml:space="preserve"> o </w:t>
            </w:r>
            <w:r w:rsidRPr="00EC250C">
              <w:t>przystąpieniu do postępowania</w:t>
            </w:r>
            <w:r w:rsidR="00992FD0" w:rsidRPr="00EC250C">
              <w:t xml:space="preserve"> w </w:t>
            </w:r>
            <w:r w:rsidRPr="00EC250C">
              <w:t>sprawie pytania prawnego</w:t>
            </w:r>
          </w:p>
        </w:tc>
        <w:tc>
          <w:tcPr>
            <w:tcW w:w="815" w:type="dxa"/>
          </w:tcPr>
          <w:p w14:paraId="2C692C7D" w14:textId="77777777" w:rsidR="00250AC8" w:rsidRPr="00EC250C" w:rsidRDefault="00250AC8" w:rsidP="00D131FA">
            <w:pPr>
              <w:pStyle w:val="Tabela"/>
              <w:jc w:val="both"/>
            </w:pPr>
            <w:r w:rsidRPr="00EC250C">
              <w:t>6</w:t>
            </w:r>
          </w:p>
        </w:tc>
      </w:tr>
      <w:tr w:rsidR="00250AC8" w:rsidRPr="00EC250C" w14:paraId="74D5A778" w14:textId="77777777" w:rsidTr="00A016B4">
        <w:trPr>
          <w:tblCellSpacing w:w="20" w:type="dxa"/>
          <w:jc w:val="center"/>
        </w:trPr>
        <w:tc>
          <w:tcPr>
            <w:tcW w:w="474" w:type="dxa"/>
          </w:tcPr>
          <w:p w14:paraId="7B1C742E" w14:textId="77777777" w:rsidR="00250AC8" w:rsidRPr="00EC250C" w:rsidRDefault="00250AC8" w:rsidP="006C70B7">
            <w:pPr>
              <w:pStyle w:val="Tabela"/>
              <w:numPr>
                <w:ilvl w:val="0"/>
                <w:numId w:val="75"/>
              </w:numPr>
              <w:ind w:left="0" w:firstLine="0"/>
              <w:jc w:val="both"/>
            </w:pPr>
          </w:p>
        </w:tc>
        <w:tc>
          <w:tcPr>
            <w:tcW w:w="6936" w:type="dxa"/>
          </w:tcPr>
          <w:p w14:paraId="0DA20DB6" w14:textId="77777777" w:rsidR="00250AC8" w:rsidRPr="00EC250C" w:rsidRDefault="00250AC8" w:rsidP="00D131FA">
            <w:pPr>
              <w:pStyle w:val="Tabela"/>
              <w:jc w:val="both"/>
            </w:pPr>
            <w:r w:rsidRPr="00EC250C">
              <w:t>skarg nadzwyczajnych</w:t>
            </w:r>
          </w:p>
        </w:tc>
        <w:tc>
          <w:tcPr>
            <w:tcW w:w="815" w:type="dxa"/>
          </w:tcPr>
          <w:p w14:paraId="1CF4C27B" w14:textId="77777777" w:rsidR="00250AC8" w:rsidRPr="00EC250C" w:rsidRDefault="00250AC8" w:rsidP="00D131FA">
            <w:pPr>
              <w:pStyle w:val="Tabela"/>
              <w:jc w:val="both"/>
            </w:pPr>
            <w:r w:rsidRPr="00EC250C">
              <w:t>2</w:t>
            </w:r>
          </w:p>
        </w:tc>
      </w:tr>
      <w:tr w:rsidR="00250AC8" w:rsidRPr="00EC250C" w14:paraId="3D52BDC8" w14:textId="77777777" w:rsidTr="00A016B4">
        <w:trPr>
          <w:tblCellSpacing w:w="20" w:type="dxa"/>
          <w:jc w:val="center"/>
        </w:trPr>
        <w:tc>
          <w:tcPr>
            <w:tcW w:w="474" w:type="dxa"/>
          </w:tcPr>
          <w:p w14:paraId="4386AF0A" w14:textId="77777777" w:rsidR="00250AC8" w:rsidRPr="00EC250C" w:rsidRDefault="00250AC8" w:rsidP="006C70B7">
            <w:pPr>
              <w:pStyle w:val="Tabela"/>
              <w:numPr>
                <w:ilvl w:val="0"/>
                <w:numId w:val="75"/>
              </w:numPr>
              <w:ind w:left="0" w:firstLine="0"/>
              <w:jc w:val="both"/>
            </w:pPr>
          </w:p>
        </w:tc>
        <w:tc>
          <w:tcPr>
            <w:tcW w:w="6936" w:type="dxa"/>
          </w:tcPr>
          <w:p w14:paraId="20F5E3A2" w14:textId="77777777" w:rsidR="00250AC8" w:rsidRPr="00EC250C" w:rsidRDefault="00C73FDE" w:rsidP="00D131FA">
            <w:pPr>
              <w:pStyle w:val="Tabela"/>
              <w:jc w:val="both"/>
            </w:pPr>
            <w:r w:rsidRPr="00EC250C">
              <w:t>K</w:t>
            </w:r>
            <w:r w:rsidR="00250AC8" w:rsidRPr="00EC250C">
              <w:t>asacji</w:t>
            </w:r>
          </w:p>
        </w:tc>
        <w:tc>
          <w:tcPr>
            <w:tcW w:w="815" w:type="dxa"/>
          </w:tcPr>
          <w:p w14:paraId="142A7EE4" w14:textId="77777777" w:rsidR="00250AC8" w:rsidRPr="00EC250C" w:rsidRDefault="00250AC8" w:rsidP="00D131FA">
            <w:pPr>
              <w:pStyle w:val="Tabela"/>
              <w:jc w:val="both"/>
            </w:pPr>
            <w:r w:rsidRPr="00EC250C">
              <w:t>67</w:t>
            </w:r>
          </w:p>
        </w:tc>
      </w:tr>
      <w:tr w:rsidR="00250AC8" w:rsidRPr="00EC250C" w14:paraId="3F45DDD6" w14:textId="77777777" w:rsidTr="00A016B4">
        <w:trPr>
          <w:tblCellSpacing w:w="20" w:type="dxa"/>
          <w:jc w:val="center"/>
        </w:trPr>
        <w:tc>
          <w:tcPr>
            <w:tcW w:w="474" w:type="dxa"/>
          </w:tcPr>
          <w:p w14:paraId="2A476A0A" w14:textId="77777777" w:rsidR="00250AC8" w:rsidRPr="00EC250C" w:rsidRDefault="00250AC8" w:rsidP="006C70B7">
            <w:pPr>
              <w:pStyle w:val="Tabela"/>
              <w:numPr>
                <w:ilvl w:val="0"/>
                <w:numId w:val="75"/>
              </w:numPr>
              <w:ind w:left="0" w:firstLine="0"/>
              <w:jc w:val="both"/>
            </w:pPr>
          </w:p>
        </w:tc>
        <w:tc>
          <w:tcPr>
            <w:tcW w:w="6936" w:type="dxa"/>
          </w:tcPr>
          <w:p w14:paraId="10BBC6F2" w14:textId="77777777" w:rsidR="00250AC8" w:rsidRPr="00EC250C" w:rsidRDefault="00250AC8" w:rsidP="00D131FA">
            <w:pPr>
              <w:pStyle w:val="Tabela"/>
              <w:jc w:val="both"/>
            </w:pPr>
            <w:r w:rsidRPr="00EC250C">
              <w:t>skarg kasacyjnych do Sądu Najwyższego</w:t>
            </w:r>
            <w:r w:rsidR="00992FD0" w:rsidRPr="00EC250C">
              <w:t xml:space="preserve"> w </w:t>
            </w:r>
            <w:r w:rsidRPr="00EC250C">
              <w:t>sprawach cywilnych</w:t>
            </w:r>
          </w:p>
        </w:tc>
        <w:tc>
          <w:tcPr>
            <w:tcW w:w="815" w:type="dxa"/>
          </w:tcPr>
          <w:p w14:paraId="0ECBE611" w14:textId="77777777" w:rsidR="00250AC8" w:rsidRPr="00EC250C" w:rsidRDefault="00250AC8" w:rsidP="00D131FA">
            <w:pPr>
              <w:pStyle w:val="Tabela"/>
              <w:jc w:val="both"/>
            </w:pPr>
            <w:r w:rsidRPr="00EC250C">
              <w:t>1</w:t>
            </w:r>
          </w:p>
        </w:tc>
      </w:tr>
      <w:tr w:rsidR="00250AC8" w:rsidRPr="00EC250C" w14:paraId="2627FC9D" w14:textId="77777777" w:rsidTr="00A016B4">
        <w:trPr>
          <w:tblCellSpacing w:w="20" w:type="dxa"/>
          <w:jc w:val="center"/>
        </w:trPr>
        <w:tc>
          <w:tcPr>
            <w:tcW w:w="474" w:type="dxa"/>
          </w:tcPr>
          <w:p w14:paraId="765C3567" w14:textId="77777777" w:rsidR="00250AC8" w:rsidRPr="00EC250C" w:rsidRDefault="00250AC8" w:rsidP="006C70B7">
            <w:pPr>
              <w:pStyle w:val="Tabela"/>
              <w:numPr>
                <w:ilvl w:val="0"/>
                <w:numId w:val="75"/>
              </w:numPr>
              <w:ind w:left="0" w:firstLine="0"/>
              <w:jc w:val="both"/>
            </w:pPr>
          </w:p>
        </w:tc>
        <w:tc>
          <w:tcPr>
            <w:tcW w:w="6936" w:type="dxa"/>
          </w:tcPr>
          <w:p w14:paraId="4A79A861" w14:textId="77777777" w:rsidR="00250AC8" w:rsidRPr="00EC250C" w:rsidRDefault="00250AC8" w:rsidP="00D131FA">
            <w:pPr>
              <w:pStyle w:val="Tabela"/>
              <w:jc w:val="both"/>
            </w:pPr>
            <w:r w:rsidRPr="00EC250C">
              <w:t>skarg kasacyjnych do Naczelnego Sądu Adminis</w:t>
            </w:r>
            <w:r w:rsidRPr="00EC250C">
              <w:rPr>
                <w:rStyle w:val="Styl1Znak"/>
                <w:sz w:val="22"/>
                <w:szCs w:val="22"/>
              </w:rPr>
              <w:t>tracyj</w:t>
            </w:r>
            <w:r w:rsidRPr="00EC250C">
              <w:t>nego</w:t>
            </w:r>
          </w:p>
        </w:tc>
        <w:tc>
          <w:tcPr>
            <w:tcW w:w="815" w:type="dxa"/>
          </w:tcPr>
          <w:p w14:paraId="383D63BC" w14:textId="77777777" w:rsidR="00250AC8" w:rsidRPr="00EC250C" w:rsidRDefault="00250AC8" w:rsidP="00D131FA">
            <w:pPr>
              <w:pStyle w:val="Tabela"/>
              <w:jc w:val="both"/>
            </w:pPr>
            <w:r w:rsidRPr="00EC250C">
              <w:t>9</w:t>
            </w:r>
          </w:p>
        </w:tc>
      </w:tr>
      <w:tr w:rsidR="00250AC8" w:rsidRPr="00EC250C" w14:paraId="2D4D29B1" w14:textId="77777777" w:rsidTr="00A016B4">
        <w:trPr>
          <w:tblCellSpacing w:w="20" w:type="dxa"/>
          <w:jc w:val="center"/>
        </w:trPr>
        <w:tc>
          <w:tcPr>
            <w:tcW w:w="474" w:type="dxa"/>
          </w:tcPr>
          <w:p w14:paraId="6712DA4A" w14:textId="77777777" w:rsidR="00250AC8" w:rsidRPr="00EC250C" w:rsidRDefault="00250AC8" w:rsidP="006C70B7">
            <w:pPr>
              <w:pStyle w:val="Tabela"/>
              <w:numPr>
                <w:ilvl w:val="0"/>
                <w:numId w:val="75"/>
              </w:numPr>
              <w:ind w:left="0" w:firstLine="0"/>
              <w:jc w:val="both"/>
            </w:pPr>
          </w:p>
        </w:tc>
        <w:tc>
          <w:tcPr>
            <w:tcW w:w="6936" w:type="dxa"/>
          </w:tcPr>
          <w:p w14:paraId="594D3F1E" w14:textId="77777777" w:rsidR="00250AC8" w:rsidRPr="00EC250C" w:rsidRDefault="00250AC8" w:rsidP="00D131FA">
            <w:pPr>
              <w:pStyle w:val="Tabela"/>
              <w:jc w:val="both"/>
            </w:pPr>
            <w:r w:rsidRPr="00EC250C">
              <w:t>wniosków do Naczelnego Sądu Administracyjnego</w:t>
            </w:r>
            <w:r w:rsidR="00992FD0" w:rsidRPr="00EC250C">
              <w:t xml:space="preserve"> o </w:t>
            </w:r>
            <w:r w:rsidRPr="00EC250C">
              <w:t xml:space="preserve">wykładnię przepisów </w:t>
            </w:r>
          </w:p>
        </w:tc>
        <w:tc>
          <w:tcPr>
            <w:tcW w:w="815" w:type="dxa"/>
          </w:tcPr>
          <w:p w14:paraId="037B53DE" w14:textId="77777777" w:rsidR="00250AC8" w:rsidRPr="00EC250C" w:rsidRDefault="00250AC8" w:rsidP="00D131FA">
            <w:pPr>
              <w:pStyle w:val="Tabela"/>
              <w:jc w:val="both"/>
            </w:pPr>
            <w:r w:rsidRPr="00EC250C">
              <w:t>3</w:t>
            </w:r>
          </w:p>
        </w:tc>
      </w:tr>
      <w:tr w:rsidR="00250AC8" w:rsidRPr="00EC250C" w14:paraId="3E6736ED" w14:textId="77777777" w:rsidTr="00A016B4">
        <w:trPr>
          <w:tblCellSpacing w:w="20" w:type="dxa"/>
          <w:jc w:val="center"/>
        </w:trPr>
        <w:tc>
          <w:tcPr>
            <w:tcW w:w="474" w:type="dxa"/>
          </w:tcPr>
          <w:p w14:paraId="04452E11" w14:textId="77777777" w:rsidR="00250AC8" w:rsidRPr="00EC250C" w:rsidRDefault="00250AC8" w:rsidP="006C70B7">
            <w:pPr>
              <w:pStyle w:val="Tabela"/>
              <w:numPr>
                <w:ilvl w:val="0"/>
                <w:numId w:val="75"/>
              </w:numPr>
              <w:ind w:left="0" w:firstLine="0"/>
              <w:jc w:val="both"/>
            </w:pPr>
          </w:p>
        </w:tc>
        <w:tc>
          <w:tcPr>
            <w:tcW w:w="6936" w:type="dxa"/>
          </w:tcPr>
          <w:p w14:paraId="6D04EF94" w14:textId="77777777" w:rsidR="00250AC8" w:rsidRPr="00EC250C" w:rsidRDefault="00250AC8" w:rsidP="00D131FA">
            <w:pPr>
              <w:pStyle w:val="Tabela"/>
              <w:jc w:val="both"/>
            </w:pPr>
            <w:r w:rsidRPr="00EC250C">
              <w:t>zawiadomień do Naczelnego Sądu Administracyjnego</w:t>
            </w:r>
            <w:r w:rsidR="00992FD0" w:rsidRPr="00EC250C">
              <w:t xml:space="preserve"> o </w:t>
            </w:r>
            <w:r w:rsidRPr="00EC250C">
              <w:t>przystąpieniu do postępowania</w:t>
            </w:r>
            <w:r w:rsidR="00992FD0" w:rsidRPr="00EC250C">
              <w:t xml:space="preserve"> w </w:t>
            </w:r>
            <w:r w:rsidRPr="00EC250C">
              <w:t>sprawie pytania prawnego</w:t>
            </w:r>
          </w:p>
        </w:tc>
        <w:tc>
          <w:tcPr>
            <w:tcW w:w="815" w:type="dxa"/>
          </w:tcPr>
          <w:p w14:paraId="716803D0" w14:textId="77777777" w:rsidR="00250AC8" w:rsidRPr="00EC250C" w:rsidRDefault="00250AC8" w:rsidP="00D131FA">
            <w:pPr>
              <w:pStyle w:val="Tabela"/>
              <w:jc w:val="both"/>
            </w:pPr>
            <w:r w:rsidRPr="00EC250C">
              <w:t>2</w:t>
            </w:r>
          </w:p>
        </w:tc>
      </w:tr>
      <w:tr w:rsidR="00250AC8" w:rsidRPr="00EC250C" w14:paraId="2506109E" w14:textId="77777777" w:rsidTr="00A016B4">
        <w:trPr>
          <w:tblCellSpacing w:w="20" w:type="dxa"/>
          <w:jc w:val="center"/>
        </w:trPr>
        <w:tc>
          <w:tcPr>
            <w:tcW w:w="474" w:type="dxa"/>
          </w:tcPr>
          <w:p w14:paraId="18B2FF63" w14:textId="77777777" w:rsidR="00250AC8" w:rsidRPr="00EC250C" w:rsidRDefault="00250AC8" w:rsidP="006C70B7">
            <w:pPr>
              <w:pStyle w:val="Tabela"/>
              <w:numPr>
                <w:ilvl w:val="0"/>
                <w:numId w:val="75"/>
              </w:numPr>
              <w:ind w:left="0" w:firstLine="0"/>
              <w:jc w:val="both"/>
            </w:pPr>
          </w:p>
        </w:tc>
        <w:tc>
          <w:tcPr>
            <w:tcW w:w="6936" w:type="dxa"/>
          </w:tcPr>
          <w:p w14:paraId="25FC31EA" w14:textId="77777777" w:rsidR="00250AC8" w:rsidRPr="00EC250C" w:rsidRDefault="00250AC8" w:rsidP="00D131FA">
            <w:pPr>
              <w:pStyle w:val="Tabela"/>
              <w:jc w:val="both"/>
            </w:pPr>
            <w:r w:rsidRPr="00EC250C">
              <w:t xml:space="preserve">skarg do </w:t>
            </w:r>
            <w:r w:rsidR="00B2626D" w:rsidRPr="00EC250C">
              <w:t>w</w:t>
            </w:r>
            <w:r w:rsidRPr="00EC250C">
              <w:t xml:space="preserve">ojewódzkich </w:t>
            </w:r>
            <w:r w:rsidR="00B2626D" w:rsidRPr="00EC250C">
              <w:t>s</w:t>
            </w:r>
            <w:r w:rsidRPr="00EC250C">
              <w:t xml:space="preserve">ądów </w:t>
            </w:r>
            <w:r w:rsidR="00B2626D" w:rsidRPr="00EC250C">
              <w:t>a</w:t>
            </w:r>
            <w:r w:rsidRPr="00EC250C">
              <w:t>dministracyjnych</w:t>
            </w:r>
          </w:p>
        </w:tc>
        <w:tc>
          <w:tcPr>
            <w:tcW w:w="815" w:type="dxa"/>
          </w:tcPr>
          <w:p w14:paraId="57139348" w14:textId="77777777" w:rsidR="00250AC8" w:rsidRPr="00EC250C" w:rsidRDefault="00250AC8" w:rsidP="00D131FA">
            <w:pPr>
              <w:pStyle w:val="Tabela"/>
              <w:jc w:val="both"/>
            </w:pPr>
            <w:r w:rsidRPr="00EC250C">
              <w:t>14</w:t>
            </w:r>
          </w:p>
        </w:tc>
      </w:tr>
      <w:tr w:rsidR="00250AC8" w:rsidRPr="00EC250C" w14:paraId="012EFA8F" w14:textId="77777777" w:rsidTr="00A016B4">
        <w:trPr>
          <w:tblCellSpacing w:w="20" w:type="dxa"/>
          <w:jc w:val="center"/>
        </w:trPr>
        <w:tc>
          <w:tcPr>
            <w:tcW w:w="474" w:type="dxa"/>
          </w:tcPr>
          <w:p w14:paraId="74B8409B" w14:textId="77777777" w:rsidR="00250AC8" w:rsidRPr="00EC250C" w:rsidRDefault="00250AC8" w:rsidP="006C70B7">
            <w:pPr>
              <w:pStyle w:val="Tabela"/>
              <w:numPr>
                <w:ilvl w:val="0"/>
                <w:numId w:val="75"/>
              </w:numPr>
              <w:ind w:left="0" w:firstLine="0"/>
              <w:jc w:val="both"/>
            </w:pPr>
          </w:p>
        </w:tc>
        <w:tc>
          <w:tcPr>
            <w:tcW w:w="6936" w:type="dxa"/>
          </w:tcPr>
          <w:p w14:paraId="5B9377E3" w14:textId="77777777" w:rsidR="00250AC8" w:rsidRPr="00EC250C" w:rsidRDefault="00250AC8" w:rsidP="00D131FA">
            <w:pPr>
              <w:pStyle w:val="Tabela"/>
              <w:jc w:val="both"/>
            </w:pPr>
            <w:r w:rsidRPr="00EC250C">
              <w:t>przystąpień do postępowania sądowego</w:t>
            </w:r>
          </w:p>
        </w:tc>
        <w:tc>
          <w:tcPr>
            <w:tcW w:w="815" w:type="dxa"/>
          </w:tcPr>
          <w:p w14:paraId="436B29CA" w14:textId="77777777" w:rsidR="00250AC8" w:rsidRPr="00EC250C" w:rsidRDefault="00250AC8" w:rsidP="00D131FA">
            <w:pPr>
              <w:pStyle w:val="Tabela"/>
              <w:jc w:val="both"/>
            </w:pPr>
            <w:r w:rsidRPr="00EC250C">
              <w:t>40</w:t>
            </w:r>
          </w:p>
        </w:tc>
      </w:tr>
      <w:tr w:rsidR="00250AC8" w:rsidRPr="00EC250C" w14:paraId="28B64EC8" w14:textId="77777777" w:rsidTr="00A016B4">
        <w:trPr>
          <w:tblCellSpacing w:w="20" w:type="dxa"/>
          <w:jc w:val="center"/>
        </w:trPr>
        <w:tc>
          <w:tcPr>
            <w:tcW w:w="474" w:type="dxa"/>
          </w:tcPr>
          <w:p w14:paraId="024F0111" w14:textId="77777777" w:rsidR="00250AC8" w:rsidRPr="00EC250C" w:rsidRDefault="00250AC8" w:rsidP="006C70B7">
            <w:pPr>
              <w:pStyle w:val="Tabela"/>
              <w:numPr>
                <w:ilvl w:val="0"/>
                <w:numId w:val="75"/>
              </w:numPr>
              <w:ind w:left="0" w:firstLine="0"/>
              <w:jc w:val="both"/>
            </w:pPr>
          </w:p>
        </w:tc>
        <w:tc>
          <w:tcPr>
            <w:tcW w:w="6936" w:type="dxa"/>
          </w:tcPr>
          <w:p w14:paraId="2BE896BC" w14:textId="77777777" w:rsidR="00250AC8" w:rsidRPr="00EC250C" w:rsidRDefault="00250AC8" w:rsidP="00D131FA">
            <w:pPr>
              <w:pStyle w:val="Tabela"/>
              <w:jc w:val="both"/>
            </w:pPr>
            <w:r w:rsidRPr="00EC250C">
              <w:t>przystąpień do postępowania administracyjnego</w:t>
            </w:r>
          </w:p>
        </w:tc>
        <w:tc>
          <w:tcPr>
            <w:tcW w:w="815" w:type="dxa"/>
          </w:tcPr>
          <w:p w14:paraId="14EB7A0F" w14:textId="77777777" w:rsidR="00250AC8" w:rsidRPr="00EC250C" w:rsidRDefault="00250AC8" w:rsidP="00D131FA">
            <w:pPr>
              <w:pStyle w:val="Tabela"/>
              <w:jc w:val="both"/>
            </w:pPr>
            <w:r w:rsidRPr="00EC250C">
              <w:t>1</w:t>
            </w:r>
          </w:p>
        </w:tc>
      </w:tr>
      <w:tr w:rsidR="00250AC8" w:rsidRPr="00EC250C" w14:paraId="66A0E003" w14:textId="77777777" w:rsidTr="00A016B4">
        <w:trPr>
          <w:tblCellSpacing w:w="20" w:type="dxa"/>
          <w:jc w:val="center"/>
        </w:trPr>
        <w:tc>
          <w:tcPr>
            <w:tcW w:w="474" w:type="dxa"/>
          </w:tcPr>
          <w:p w14:paraId="74F908C3" w14:textId="77777777" w:rsidR="00250AC8" w:rsidRPr="00EC250C" w:rsidRDefault="00250AC8" w:rsidP="006C70B7">
            <w:pPr>
              <w:pStyle w:val="Tabela"/>
              <w:numPr>
                <w:ilvl w:val="0"/>
                <w:numId w:val="75"/>
              </w:numPr>
              <w:ind w:left="0" w:firstLine="0"/>
              <w:jc w:val="both"/>
            </w:pPr>
          </w:p>
        </w:tc>
        <w:tc>
          <w:tcPr>
            <w:tcW w:w="6936" w:type="dxa"/>
          </w:tcPr>
          <w:p w14:paraId="10D20895" w14:textId="77777777" w:rsidR="00250AC8" w:rsidRPr="00EC250C" w:rsidRDefault="00250AC8" w:rsidP="00D131FA">
            <w:pPr>
              <w:pStyle w:val="Tabela"/>
              <w:jc w:val="both"/>
            </w:pPr>
            <w:r w:rsidRPr="00EC250C">
              <w:t>żądań wszczęcia postępowania cywilnego</w:t>
            </w:r>
          </w:p>
        </w:tc>
        <w:tc>
          <w:tcPr>
            <w:tcW w:w="815" w:type="dxa"/>
          </w:tcPr>
          <w:p w14:paraId="649FEF01" w14:textId="77777777" w:rsidR="00250AC8" w:rsidRPr="00EC250C" w:rsidRDefault="00250AC8" w:rsidP="00D131FA">
            <w:pPr>
              <w:pStyle w:val="Tabela"/>
              <w:jc w:val="both"/>
            </w:pPr>
            <w:r w:rsidRPr="00EC250C">
              <w:t>3</w:t>
            </w:r>
          </w:p>
        </w:tc>
      </w:tr>
      <w:tr w:rsidR="00250AC8" w:rsidRPr="00EC250C" w14:paraId="6C8A843F" w14:textId="77777777" w:rsidTr="00A016B4">
        <w:trPr>
          <w:tblCellSpacing w:w="20" w:type="dxa"/>
          <w:jc w:val="center"/>
        </w:trPr>
        <w:tc>
          <w:tcPr>
            <w:tcW w:w="474" w:type="dxa"/>
          </w:tcPr>
          <w:p w14:paraId="44BECD73" w14:textId="77777777" w:rsidR="00250AC8" w:rsidRPr="00EC250C" w:rsidRDefault="00250AC8" w:rsidP="006C70B7">
            <w:pPr>
              <w:pStyle w:val="Tabela"/>
              <w:numPr>
                <w:ilvl w:val="0"/>
                <w:numId w:val="75"/>
              </w:numPr>
              <w:ind w:left="0" w:firstLine="0"/>
              <w:jc w:val="both"/>
            </w:pPr>
          </w:p>
        </w:tc>
        <w:tc>
          <w:tcPr>
            <w:tcW w:w="6936" w:type="dxa"/>
          </w:tcPr>
          <w:p w14:paraId="66DC8001" w14:textId="77777777" w:rsidR="00250AC8" w:rsidRPr="00EC250C" w:rsidRDefault="00250AC8" w:rsidP="00D131FA">
            <w:pPr>
              <w:pStyle w:val="Tabela"/>
              <w:jc w:val="both"/>
            </w:pPr>
            <w:r w:rsidRPr="00EC250C">
              <w:t>żądań wszczęcia postępowania przygotowawczego</w:t>
            </w:r>
          </w:p>
        </w:tc>
        <w:tc>
          <w:tcPr>
            <w:tcW w:w="815" w:type="dxa"/>
          </w:tcPr>
          <w:p w14:paraId="34278E4A" w14:textId="77777777" w:rsidR="00250AC8" w:rsidRPr="00EC250C" w:rsidRDefault="00250AC8" w:rsidP="00D131FA">
            <w:pPr>
              <w:pStyle w:val="Tabela"/>
              <w:jc w:val="both"/>
            </w:pPr>
            <w:r w:rsidRPr="00EC250C">
              <w:t>2</w:t>
            </w:r>
          </w:p>
        </w:tc>
      </w:tr>
      <w:tr w:rsidR="00250AC8" w:rsidRPr="00EC250C" w14:paraId="18CB6173" w14:textId="77777777" w:rsidTr="00A016B4">
        <w:trPr>
          <w:tblCellSpacing w:w="20" w:type="dxa"/>
          <w:jc w:val="center"/>
        </w:trPr>
        <w:tc>
          <w:tcPr>
            <w:tcW w:w="474" w:type="dxa"/>
          </w:tcPr>
          <w:p w14:paraId="19005D26" w14:textId="77777777" w:rsidR="00250AC8" w:rsidRPr="00EC250C" w:rsidRDefault="00250AC8" w:rsidP="006C70B7">
            <w:pPr>
              <w:pStyle w:val="Tabela"/>
              <w:numPr>
                <w:ilvl w:val="0"/>
                <w:numId w:val="75"/>
              </w:numPr>
              <w:ind w:left="0" w:firstLine="0"/>
              <w:jc w:val="both"/>
            </w:pPr>
          </w:p>
        </w:tc>
        <w:tc>
          <w:tcPr>
            <w:tcW w:w="6936" w:type="dxa"/>
          </w:tcPr>
          <w:p w14:paraId="3E0242D0" w14:textId="77777777" w:rsidR="00250AC8" w:rsidRPr="00EC250C" w:rsidRDefault="00250AC8" w:rsidP="00D131FA">
            <w:pPr>
              <w:pStyle w:val="Tabela"/>
              <w:jc w:val="both"/>
            </w:pPr>
            <w:r w:rsidRPr="00EC250C">
              <w:t>żądań wszczęcia postępowania administracyjnego</w:t>
            </w:r>
          </w:p>
        </w:tc>
        <w:tc>
          <w:tcPr>
            <w:tcW w:w="815" w:type="dxa"/>
          </w:tcPr>
          <w:p w14:paraId="77C9EE64" w14:textId="77777777" w:rsidR="00250AC8" w:rsidRPr="00EC250C" w:rsidRDefault="00250AC8" w:rsidP="00D131FA">
            <w:pPr>
              <w:pStyle w:val="Tabela"/>
              <w:jc w:val="both"/>
            </w:pPr>
            <w:r w:rsidRPr="00EC250C">
              <w:t>4</w:t>
            </w:r>
          </w:p>
        </w:tc>
      </w:tr>
    </w:tbl>
    <w:p w14:paraId="4D663AA4" w14:textId="77777777" w:rsidR="00250AC8" w:rsidRPr="00EC250C" w:rsidRDefault="00250AC8" w:rsidP="00D131FA">
      <w:pPr>
        <w:pStyle w:val="Srdtytul6"/>
        <w:jc w:val="both"/>
      </w:pPr>
      <w:r w:rsidRPr="00EC250C">
        <w:t>Spośród 385 wystąpień</w:t>
      </w:r>
      <w:r w:rsidR="00992FD0" w:rsidRPr="00EC250C">
        <w:t xml:space="preserve"> o </w:t>
      </w:r>
      <w:r w:rsidRPr="00EC250C">
        <w:t>charakterze generalnym</w:t>
      </w:r>
      <w:r w:rsidR="00992FD0" w:rsidRPr="00EC250C">
        <w:t xml:space="preserve"> i </w:t>
      </w:r>
      <w:r w:rsidRPr="00EC250C">
        <w:t xml:space="preserve">szczególnych środków zaskarżenia skierowanych przez </w:t>
      </w:r>
      <w:r w:rsidR="00EE1A69" w:rsidRPr="00EC250C">
        <w:t>RPO</w:t>
      </w:r>
      <w:r w:rsidR="00992FD0" w:rsidRPr="00EC250C">
        <w:t xml:space="preserve"> w </w:t>
      </w:r>
      <w:r w:rsidRPr="00EC250C">
        <w:t>2018 roku najwięcej dotyczyło spraw</w:t>
      </w:r>
      <w:r w:rsidR="00992FD0" w:rsidRPr="00EC250C">
        <w:t xml:space="preserve"> z </w:t>
      </w:r>
      <w:r w:rsidRPr="00EC250C">
        <w:t>zakresu:</w:t>
      </w:r>
    </w:p>
    <w:tbl>
      <w:tblPr>
        <w:tblW w:w="8364"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5505"/>
        <w:gridCol w:w="1432"/>
        <w:gridCol w:w="1427"/>
      </w:tblGrid>
      <w:tr w:rsidR="00250AC8" w:rsidRPr="00EC250C" w14:paraId="25CE1D9D" w14:textId="77777777" w:rsidTr="00250AC8">
        <w:trPr>
          <w:tblCellSpacing w:w="20" w:type="dxa"/>
          <w:jc w:val="center"/>
        </w:trPr>
        <w:tc>
          <w:tcPr>
            <w:tcW w:w="5445" w:type="dxa"/>
          </w:tcPr>
          <w:p w14:paraId="65E47274" w14:textId="77777777" w:rsidR="00250AC8" w:rsidRPr="00EC250C" w:rsidRDefault="00250AC8" w:rsidP="00D131FA">
            <w:pPr>
              <w:pStyle w:val="Tabela"/>
              <w:jc w:val="both"/>
            </w:pPr>
            <w:r w:rsidRPr="00EC250C">
              <w:t>Problematyka</w:t>
            </w:r>
          </w:p>
        </w:tc>
        <w:tc>
          <w:tcPr>
            <w:tcW w:w="1392" w:type="dxa"/>
          </w:tcPr>
          <w:p w14:paraId="0807B3EC" w14:textId="77777777" w:rsidR="00250AC8" w:rsidRPr="00EC250C" w:rsidRDefault="00250AC8" w:rsidP="00D131FA">
            <w:pPr>
              <w:pStyle w:val="Tabela"/>
              <w:jc w:val="both"/>
            </w:pPr>
            <w:r w:rsidRPr="00EC250C">
              <w:t>Liczba</w:t>
            </w:r>
          </w:p>
        </w:tc>
        <w:tc>
          <w:tcPr>
            <w:tcW w:w="1367" w:type="dxa"/>
          </w:tcPr>
          <w:p w14:paraId="2A8E07CD" w14:textId="77777777" w:rsidR="00250AC8" w:rsidRPr="00EC250C" w:rsidRDefault="00250AC8" w:rsidP="00D131FA">
            <w:pPr>
              <w:pStyle w:val="Tabela"/>
              <w:jc w:val="both"/>
            </w:pPr>
            <w:r w:rsidRPr="00EC250C">
              <w:t>%</w:t>
            </w:r>
          </w:p>
        </w:tc>
      </w:tr>
      <w:tr w:rsidR="00250AC8" w:rsidRPr="00EC250C" w14:paraId="57EBAA5B" w14:textId="77777777" w:rsidTr="00250AC8">
        <w:trPr>
          <w:tblCellSpacing w:w="20" w:type="dxa"/>
          <w:jc w:val="center"/>
        </w:trPr>
        <w:tc>
          <w:tcPr>
            <w:tcW w:w="5445" w:type="dxa"/>
            <w:vAlign w:val="center"/>
          </w:tcPr>
          <w:p w14:paraId="6F52D737" w14:textId="77777777" w:rsidR="00250AC8" w:rsidRPr="00EC250C" w:rsidRDefault="00250AC8" w:rsidP="00D131FA">
            <w:pPr>
              <w:pStyle w:val="Tabela"/>
              <w:jc w:val="both"/>
            </w:pPr>
            <w:r w:rsidRPr="00EC250C">
              <w:t>prawa karnego</w:t>
            </w:r>
          </w:p>
        </w:tc>
        <w:tc>
          <w:tcPr>
            <w:tcW w:w="1392" w:type="dxa"/>
            <w:vAlign w:val="center"/>
          </w:tcPr>
          <w:p w14:paraId="5817483F" w14:textId="77777777" w:rsidR="00250AC8" w:rsidRPr="00EC250C" w:rsidRDefault="00250AC8" w:rsidP="00D131FA">
            <w:pPr>
              <w:pStyle w:val="Tabela"/>
              <w:jc w:val="both"/>
            </w:pPr>
            <w:r w:rsidRPr="00EC250C">
              <w:t>96</w:t>
            </w:r>
          </w:p>
        </w:tc>
        <w:tc>
          <w:tcPr>
            <w:tcW w:w="1367" w:type="dxa"/>
            <w:vAlign w:val="center"/>
          </w:tcPr>
          <w:p w14:paraId="103B8F0D" w14:textId="77777777" w:rsidR="00250AC8" w:rsidRPr="00EC250C" w:rsidRDefault="00250AC8" w:rsidP="00D131FA">
            <w:pPr>
              <w:pStyle w:val="Tabela"/>
              <w:jc w:val="both"/>
            </w:pPr>
            <w:r w:rsidRPr="00EC250C">
              <w:t>25,0</w:t>
            </w:r>
          </w:p>
        </w:tc>
      </w:tr>
      <w:tr w:rsidR="00250AC8" w:rsidRPr="00EC250C" w14:paraId="28108DD6" w14:textId="77777777" w:rsidTr="00250AC8">
        <w:trPr>
          <w:tblCellSpacing w:w="20" w:type="dxa"/>
          <w:jc w:val="center"/>
        </w:trPr>
        <w:tc>
          <w:tcPr>
            <w:tcW w:w="5445" w:type="dxa"/>
            <w:vAlign w:val="center"/>
          </w:tcPr>
          <w:p w14:paraId="06F34D96" w14:textId="77777777" w:rsidR="00250AC8" w:rsidRPr="00EC250C" w:rsidRDefault="00250AC8" w:rsidP="00D131FA">
            <w:pPr>
              <w:pStyle w:val="Tabela"/>
              <w:jc w:val="both"/>
            </w:pPr>
            <w:r w:rsidRPr="00EC250C">
              <w:t>prawa konstytucyjnego, międzynarodowego</w:t>
            </w:r>
            <w:r w:rsidR="00992FD0" w:rsidRPr="00EC250C">
              <w:t xml:space="preserve"> i </w:t>
            </w:r>
            <w:r w:rsidRPr="00EC250C">
              <w:t>europejskiego</w:t>
            </w:r>
          </w:p>
        </w:tc>
        <w:tc>
          <w:tcPr>
            <w:tcW w:w="1392" w:type="dxa"/>
            <w:vAlign w:val="center"/>
          </w:tcPr>
          <w:p w14:paraId="3EF435E1" w14:textId="77777777" w:rsidR="00250AC8" w:rsidRPr="00EC250C" w:rsidRDefault="00250AC8" w:rsidP="00D131FA">
            <w:pPr>
              <w:pStyle w:val="Tabela"/>
              <w:jc w:val="both"/>
            </w:pPr>
            <w:r w:rsidRPr="00EC250C">
              <w:t>71</w:t>
            </w:r>
          </w:p>
        </w:tc>
        <w:tc>
          <w:tcPr>
            <w:tcW w:w="1367" w:type="dxa"/>
            <w:vAlign w:val="center"/>
          </w:tcPr>
          <w:p w14:paraId="39C3D008" w14:textId="77777777" w:rsidR="00250AC8" w:rsidRPr="00EC250C" w:rsidRDefault="00250AC8" w:rsidP="00D131FA">
            <w:pPr>
              <w:pStyle w:val="Tabela"/>
              <w:jc w:val="both"/>
            </w:pPr>
            <w:r w:rsidRPr="00EC250C">
              <w:t>18,4</w:t>
            </w:r>
          </w:p>
        </w:tc>
      </w:tr>
      <w:tr w:rsidR="00250AC8" w:rsidRPr="00EC250C" w14:paraId="3D4DB534" w14:textId="77777777" w:rsidTr="00FB690C">
        <w:trPr>
          <w:trHeight w:val="377"/>
          <w:tblCellSpacing w:w="20" w:type="dxa"/>
          <w:jc w:val="center"/>
        </w:trPr>
        <w:tc>
          <w:tcPr>
            <w:tcW w:w="5445" w:type="dxa"/>
            <w:vAlign w:val="center"/>
          </w:tcPr>
          <w:p w14:paraId="1E1E16CC" w14:textId="77777777" w:rsidR="00250AC8" w:rsidRPr="00EC250C" w:rsidRDefault="00250AC8" w:rsidP="00D131FA">
            <w:pPr>
              <w:pStyle w:val="Tabela"/>
              <w:jc w:val="both"/>
            </w:pPr>
            <w:r w:rsidRPr="00EC250C">
              <w:t>prawa administracyjnego</w:t>
            </w:r>
            <w:r w:rsidR="00992FD0" w:rsidRPr="00EC250C">
              <w:t xml:space="preserve"> i </w:t>
            </w:r>
            <w:r w:rsidRPr="00EC250C">
              <w:t>gospodarczego</w:t>
            </w:r>
          </w:p>
        </w:tc>
        <w:tc>
          <w:tcPr>
            <w:tcW w:w="1392" w:type="dxa"/>
            <w:vAlign w:val="center"/>
          </w:tcPr>
          <w:p w14:paraId="035D519A" w14:textId="77777777" w:rsidR="00250AC8" w:rsidRPr="00EC250C" w:rsidRDefault="00250AC8" w:rsidP="00D131FA">
            <w:pPr>
              <w:pStyle w:val="Tabela"/>
              <w:jc w:val="both"/>
            </w:pPr>
            <w:r w:rsidRPr="00EC250C">
              <w:t>51</w:t>
            </w:r>
          </w:p>
        </w:tc>
        <w:tc>
          <w:tcPr>
            <w:tcW w:w="1367" w:type="dxa"/>
            <w:vAlign w:val="center"/>
          </w:tcPr>
          <w:p w14:paraId="2E102AFB" w14:textId="77777777" w:rsidR="00250AC8" w:rsidRPr="00EC250C" w:rsidRDefault="00250AC8" w:rsidP="00D131FA">
            <w:pPr>
              <w:pStyle w:val="Tabela"/>
              <w:jc w:val="both"/>
            </w:pPr>
            <w:r w:rsidRPr="00EC250C">
              <w:t>13,2</w:t>
            </w:r>
          </w:p>
        </w:tc>
      </w:tr>
      <w:tr w:rsidR="00250AC8" w:rsidRPr="00EC250C" w14:paraId="53EEDEC7" w14:textId="77777777" w:rsidTr="00FB690C">
        <w:trPr>
          <w:trHeight w:val="241"/>
          <w:tblCellSpacing w:w="20" w:type="dxa"/>
          <w:jc w:val="center"/>
        </w:trPr>
        <w:tc>
          <w:tcPr>
            <w:tcW w:w="5445" w:type="dxa"/>
            <w:vAlign w:val="center"/>
          </w:tcPr>
          <w:p w14:paraId="692D5372" w14:textId="77777777" w:rsidR="00250AC8" w:rsidRPr="00EC250C" w:rsidRDefault="00250AC8" w:rsidP="00D131FA">
            <w:pPr>
              <w:pStyle w:val="Tabela"/>
              <w:jc w:val="both"/>
            </w:pPr>
            <w:r w:rsidRPr="00EC250C">
              <w:t>prawa cywilnego</w:t>
            </w:r>
          </w:p>
        </w:tc>
        <w:tc>
          <w:tcPr>
            <w:tcW w:w="1392" w:type="dxa"/>
            <w:vAlign w:val="center"/>
          </w:tcPr>
          <w:p w14:paraId="0AE7282A" w14:textId="77777777" w:rsidR="00250AC8" w:rsidRPr="00EC250C" w:rsidRDefault="00250AC8" w:rsidP="00D131FA">
            <w:pPr>
              <w:pStyle w:val="Tabela"/>
              <w:jc w:val="both"/>
            </w:pPr>
            <w:r w:rsidRPr="00EC250C">
              <w:t>49</w:t>
            </w:r>
          </w:p>
        </w:tc>
        <w:tc>
          <w:tcPr>
            <w:tcW w:w="1367" w:type="dxa"/>
            <w:vAlign w:val="center"/>
          </w:tcPr>
          <w:p w14:paraId="60FC8E60" w14:textId="77777777" w:rsidR="00250AC8" w:rsidRPr="00EC250C" w:rsidRDefault="00250AC8" w:rsidP="00D131FA">
            <w:pPr>
              <w:pStyle w:val="Tabela"/>
              <w:jc w:val="both"/>
            </w:pPr>
            <w:r w:rsidRPr="00EC250C">
              <w:t>12,7</w:t>
            </w:r>
          </w:p>
        </w:tc>
      </w:tr>
      <w:tr w:rsidR="00250AC8" w:rsidRPr="00EC250C" w14:paraId="429D6982" w14:textId="77777777" w:rsidTr="00FB690C">
        <w:trPr>
          <w:trHeight w:val="375"/>
          <w:tblCellSpacing w:w="20" w:type="dxa"/>
          <w:jc w:val="center"/>
        </w:trPr>
        <w:tc>
          <w:tcPr>
            <w:tcW w:w="5445" w:type="dxa"/>
            <w:vAlign w:val="center"/>
          </w:tcPr>
          <w:p w14:paraId="0DE55356" w14:textId="77777777" w:rsidR="00250AC8" w:rsidRPr="00EC250C" w:rsidRDefault="00250AC8" w:rsidP="00D131FA">
            <w:pPr>
              <w:pStyle w:val="Tabela"/>
              <w:jc w:val="both"/>
            </w:pPr>
            <w:r w:rsidRPr="00EC250C">
              <w:t>prawa pracy</w:t>
            </w:r>
            <w:r w:rsidR="00992FD0" w:rsidRPr="00EC250C">
              <w:t xml:space="preserve"> i </w:t>
            </w:r>
            <w:r w:rsidRPr="00EC250C">
              <w:t>zabezpieczenia społecznego</w:t>
            </w:r>
          </w:p>
        </w:tc>
        <w:tc>
          <w:tcPr>
            <w:tcW w:w="1392" w:type="dxa"/>
            <w:vAlign w:val="center"/>
          </w:tcPr>
          <w:p w14:paraId="31BAB1F5" w14:textId="77777777" w:rsidR="00250AC8" w:rsidRPr="00EC250C" w:rsidRDefault="00250AC8" w:rsidP="00D131FA">
            <w:pPr>
              <w:pStyle w:val="Tabela"/>
              <w:jc w:val="both"/>
            </w:pPr>
            <w:r w:rsidRPr="00EC250C">
              <w:t>44</w:t>
            </w:r>
          </w:p>
        </w:tc>
        <w:tc>
          <w:tcPr>
            <w:tcW w:w="1367" w:type="dxa"/>
            <w:vAlign w:val="center"/>
          </w:tcPr>
          <w:p w14:paraId="6249C1D1" w14:textId="77777777" w:rsidR="00250AC8" w:rsidRPr="00EC250C" w:rsidRDefault="00250AC8" w:rsidP="00D131FA">
            <w:pPr>
              <w:pStyle w:val="Tabela"/>
              <w:jc w:val="both"/>
            </w:pPr>
            <w:r w:rsidRPr="00EC250C">
              <w:t>11,4</w:t>
            </w:r>
          </w:p>
        </w:tc>
      </w:tr>
      <w:tr w:rsidR="00250AC8" w:rsidRPr="00EC250C" w14:paraId="761336F6" w14:textId="77777777" w:rsidTr="00FB690C">
        <w:trPr>
          <w:trHeight w:val="367"/>
          <w:tblCellSpacing w:w="20" w:type="dxa"/>
          <w:jc w:val="center"/>
        </w:trPr>
        <w:tc>
          <w:tcPr>
            <w:tcW w:w="5445" w:type="dxa"/>
            <w:vAlign w:val="center"/>
          </w:tcPr>
          <w:p w14:paraId="2BE5805C" w14:textId="77777777" w:rsidR="00250AC8" w:rsidRPr="00EC250C" w:rsidRDefault="00250AC8" w:rsidP="00D131FA">
            <w:pPr>
              <w:pStyle w:val="Tabela"/>
              <w:jc w:val="both"/>
            </w:pPr>
            <w:r w:rsidRPr="00EC250C">
              <w:t>równego traktowania</w:t>
            </w:r>
          </w:p>
        </w:tc>
        <w:tc>
          <w:tcPr>
            <w:tcW w:w="1392" w:type="dxa"/>
            <w:vAlign w:val="center"/>
          </w:tcPr>
          <w:p w14:paraId="1E7A24FD" w14:textId="77777777" w:rsidR="00250AC8" w:rsidRPr="00EC250C" w:rsidRDefault="00250AC8" w:rsidP="00D131FA">
            <w:pPr>
              <w:pStyle w:val="Tabela"/>
              <w:jc w:val="both"/>
            </w:pPr>
            <w:r w:rsidRPr="00EC250C">
              <w:t>33</w:t>
            </w:r>
          </w:p>
        </w:tc>
        <w:tc>
          <w:tcPr>
            <w:tcW w:w="1367" w:type="dxa"/>
            <w:vAlign w:val="center"/>
          </w:tcPr>
          <w:p w14:paraId="4EE9B009" w14:textId="77777777" w:rsidR="00250AC8" w:rsidRPr="00EC250C" w:rsidRDefault="00250AC8" w:rsidP="00D131FA">
            <w:pPr>
              <w:pStyle w:val="Tabela"/>
              <w:jc w:val="both"/>
            </w:pPr>
            <w:r w:rsidRPr="00EC250C">
              <w:t>8,6</w:t>
            </w:r>
          </w:p>
        </w:tc>
      </w:tr>
      <w:tr w:rsidR="00250AC8" w:rsidRPr="00EC250C" w14:paraId="1559973C" w14:textId="77777777" w:rsidTr="00FB690C">
        <w:trPr>
          <w:trHeight w:val="373"/>
          <w:tblCellSpacing w:w="20" w:type="dxa"/>
          <w:jc w:val="center"/>
        </w:trPr>
        <w:tc>
          <w:tcPr>
            <w:tcW w:w="5445" w:type="dxa"/>
            <w:vAlign w:val="center"/>
          </w:tcPr>
          <w:p w14:paraId="5A307892" w14:textId="77777777" w:rsidR="00250AC8" w:rsidRPr="00EC250C" w:rsidRDefault="00250AC8" w:rsidP="00D131FA">
            <w:pPr>
              <w:pStyle w:val="Tabela"/>
              <w:jc w:val="both"/>
            </w:pPr>
            <w:r w:rsidRPr="00EC250C">
              <w:t>prawa karnego wykonawczego</w:t>
            </w:r>
          </w:p>
        </w:tc>
        <w:tc>
          <w:tcPr>
            <w:tcW w:w="1392" w:type="dxa"/>
            <w:vAlign w:val="center"/>
          </w:tcPr>
          <w:p w14:paraId="108E66F6" w14:textId="77777777" w:rsidR="00250AC8" w:rsidRPr="00EC250C" w:rsidRDefault="00250AC8" w:rsidP="00D131FA">
            <w:pPr>
              <w:pStyle w:val="Tabela"/>
              <w:jc w:val="both"/>
            </w:pPr>
            <w:r w:rsidRPr="00EC250C">
              <w:t>19</w:t>
            </w:r>
          </w:p>
        </w:tc>
        <w:tc>
          <w:tcPr>
            <w:tcW w:w="1367" w:type="dxa"/>
            <w:vAlign w:val="center"/>
          </w:tcPr>
          <w:p w14:paraId="4210B0C0" w14:textId="77777777" w:rsidR="00250AC8" w:rsidRPr="00EC250C" w:rsidRDefault="00250AC8" w:rsidP="00D131FA">
            <w:pPr>
              <w:pStyle w:val="Tabela"/>
              <w:jc w:val="both"/>
            </w:pPr>
            <w:r w:rsidRPr="00EC250C">
              <w:t>5,0</w:t>
            </w:r>
          </w:p>
        </w:tc>
      </w:tr>
    </w:tbl>
    <w:p w14:paraId="290B9856" w14:textId="77777777" w:rsidR="00250AC8" w:rsidRPr="00EC250C" w:rsidRDefault="00A36110" w:rsidP="00D131FA">
      <w:pPr>
        <w:pStyle w:val="Standardowy10"/>
        <w:spacing w:line="240" w:lineRule="auto"/>
        <w:rPr>
          <w:noProof/>
          <w:sz w:val="24"/>
        </w:rPr>
      </w:pPr>
      <w:r w:rsidRPr="00EC250C">
        <w:rPr>
          <w:noProof/>
          <w:sz w:val="24"/>
        </w:rPr>
        <w:lastRenderedPageBreak/>
        <w:drawing>
          <wp:inline distT="0" distB="0" distL="0" distR="0" wp14:anchorId="4327C462" wp14:editId="67A5BC9D">
            <wp:extent cx="5040000" cy="2073600"/>
            <wp:effectExtent l="0" t="0" r="0" b="317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000" cy="2073600"/>
                    </a:xfrm>
                    <a:prstGeom prst="rect">
                      <a:avLst/>
                    </a:prstGeom>
                    <a:noFill/>
                  </pic:spPr>
                </pic:pic>
              </a:graphicData>
            </a:graphic>
          </wp:inline>
        </w:drawing>
      </w:r>
    </w:p>
    <w:p w14:paraId="3CDFF648" w14:textId="77777777" w:rsidR="00E2198D" w:rsidRPr="00EC250C" w:rsidRDefault="00E2198D" w:rsidP="00D131FA">
      <w:pPr>
        <w:pStyle w:val="Standardowy10"/>
        <w:spacing w:line="240" w:lineRule="auto"/>
        <w:rPr>
          <w:noProof/>
          <w:sz w:val="24"/>
        </w:rPr>
      </w:pPr>
    </w:p>
    <w:p w14:paraId="76F7F63A" w14:textId="77777777" w:rsidR="00250AC8" w:rsidRPr="00EC250C" w:rsidRDefault="00A36110" w:rsidP="00D131FA">
      <w:pPr>
        <w:pStyle w:val="Standardowy10"/>
        <w:spacing w:line="240" w:lineRule="auto"/>
        <w:rPr>
          <w:sz w:val="24"/>
        </w:rPr>
      </w:pPr>
      <w:r w:rsidRPr="00EC250C">
        <w:rPr>
          <w:b/>
          <w:noProof/>
          <w:sz w:val="24"/>
        </w:rPr>
        <w:drawing>
          <wp:inline distT="0" distB="0" distL="0" distR="0" wp14:anchorId="5C41CB25" wp14:editId="631B2ACC">
            <wp:extent cx="5040000" cy="1990800"/>
            <wp:effectExtent l="0" t="0" r="0" b="0"/>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000" cy="1990800"/>
                    </a:xfrm>
                    <a:prstGeom prst="rect">
                      <a:avLst/>
                    </a:prstGeom>
                    <a:noFill/>
                  </pic:spPr>
                </pic:pic>
              </a:graphicData>
            </a:graphic>
          </wp:inline>
        </w:drawing>
      </w:r>
      <w:r w:rsidR="00250AC8" w:rsidRPr="00EC250C">
        <w:rPr>
          <w:sz w:val="24"/>
        </w:rPr>
        <w:t>Sprawy rozpatrzone</w:t>
      </w:r>
      <w:r w:rsidR="00992FD0" w:rsidRPr="00EC250C">
        <w:rPr>
          <w:sz w:val="24"/>
        </w:rPr>
        <w:t xml:space="preserve"> w </w:t>
      </w:r>
      <w:r w:rsidR="00250AC8" w:rsidRPr="00EC250C">
        <w:rPr>
          <w:sz w:val="24"/>
        </w:rPr>
        <w:t>2018 roku</w:t>
      </w:r>
    </w:p>
    <w:p w14:paraId="21AE199D" w14:textId="77777777" w:rsidR="00250AC8" w:rsidRPr="00EC250C" w:rsidRDefault="00250AC8" w:rsidP="00D131FA">
      <w:pPr>
        <w:spacing w:line="240" w:lineRule="auto"/>
        <w:jc w:val="both"/>
        <w:rPr>
          <w:sz w:val="24"/>
        </w:rPr>
      </w:pPr>
      <w:r w:rsidRPr="00EC250C">
        <w:rPr>
          <w:i/>
          <w:sz w:val="24"/>
        </w:rPr>
        <w:t xml:space="preserve">W okresie objętym Informacją rozpatrzono </w:t>
      </w:r>
      <w:r w:rsidRPr="00EC250C">
        <w:rPr>
          <w:b/>
          <w:i/>
          <w:sz w:val="24"/>
        </w:rPr>
        <w:t>25 921</w:t>
      </w:r>
      <w:r w:rsidRPr="00EC250C">
        <w:rPr>
          <w:i/>
          <w:sz w:val="24"/>
        </w:rPr>
        <w:t xml:space="preserve"> spraw,</w:t>
      </w:r>
      <w:r w:rsidR="00992FD0" w:rsidRPr="00EC250C">
        <w:rPr>
          <w:i/>
          <w:sz w:val="24"/>
        </w:rPr>
        <w:t xml:space="preserve"> w </w:t>
      </w:r>
      <w:r w:rsidRPr="00EC250C">
        <w:rPr>
          <w:i/>
          <w:sz w:val="24"/>
        </w:rPr>
        <w:t>tym:</w:t>
      </w:r>
    </w:p>
    <w:tbl>
      <w:tblPr>
        <w:tblW w:w="5000" w:type="pct"/>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2130"/>
        <w:gridCol w:w="363"/>
        <w:gridCol w:w="4873"/>
        <w:gridCol w:w="990"/>
        <w:gridCol w:w="851"/>
      </w:tblGrid>
      <w:tr w:rsidR="00250AC8" w:rsidRPr="00EC250C" w14:paraId="140F4924" w14:textId="77777777" w:rsidTr="00ED567C">
        <w:trPr>
          <w:trHeight w:val="390"/>
          <w:tblCellSpacing w:w="20" w:type="dxa"/>
        </w:trPr>
        <w:tc>
          <w:tcPr>
            <w:tcW w:w="1137" w:type="pct"/>
            <w:noWrap/>
            <w:hideMark/>
          </w:tcPr>
          <w:p w14:paraId="2F197055" w14:textId="77777777" w:rsidR="00250AC8" w:rsidRPr="00EC250C" w:rsidRDefault="00250AC8" w:rsidP="00D131FA">
            <w:pPr>
              <w:pStyle w:val="Tabela"/>
              <w:jc w:val="both"/>
            </w:pPr>
            <w:r w:rsidRPr="00EC250C">
              <w:t> </w:t>
            </w:r>
          </w:p>
        </w:tc>
        <w:tc>
          <w:tcPr>
            <w:tcW w:w="2809" w:type="pct"/>
            <w:gridSpan w:val="2"/>
            <w:hideMark/>
          </w:tcPr>
          <w:p w14:paraId="7DF72D9D" w14:textId="77777777" w:rsidR="00250AC8" w:rsidRPr="00EC250C" w:rsidRDefault="00250AC8" w:rsidP="00D131FA">
            <w:pPr>
              <w:pStyle w:val="Tabela"/>
              <w:jc w:val="both"/>
              <w:rPr>
                <w:b/>
                <w:bCs/>
                <w:sz w:val="24"/>
                <w:szCs w:val="24"/>
              </w:rPr>
            </w:pPr>
            <w:r w:rsidRPr="00EC250C">
              <w:rPr>
                <w:b/>
                <w:bCs/>
                <w:sz w:val="24"/>
                <w:szCs w:val="24"/>
              </w:rPr>
              <w:t>Sposób rozpatrzenia sprawy</w:t>
            </w:r>
          </w:p>
        </w:tc>
        <w:tc>
          <w:tcPr>
            <w:tcW w:w="516" w:type="pct"/>
            <w:hideMark/>
          </w:tcPr>
          <w:p w14:paraId="0E9DDDD8" w14:textId="77777777" w:rsidR="00250AC8" w:rsidRPr="00EC250C" w:rsidRDefault="00250AC8" w:rsidP="00D131FA">
            <w:pPr>
              <w:pStyle w:val="Tabela"/>
              <w:jc w:val="both"/>
              <w:rPr>
                <w:b/>
                <w:bCs/>
                <w:sz w:val="24"/>
                <w:szCs w:val="24"/>
              </w:rPr>
            </w:pPr>
            <w:r w:rsidRPr="00EC250C">
              <w:rPr>
                <w:b/>
                <w:bCs/>
                <w:sz w:val="24"/>
                <w:szCs w:val="24"/>
              </w:rPr>
              <w:t>Liczba</w:t>
            </w:r>
          </w:p>
        </w:tc>
        <w:tc>
          <w:tcPr>
            <w:tcW w:w="430" w:type="pct"/>
            <w:hideMark/>
          </w:tcPr>
          <w:p w14:paraId="59545A0B" w14:textId="77777777" w:rsidR="00250AC8" w:rsidRPr="00EC250C" w:rsidRDefault="00250AC8" w:rsidP="00D131FA">
            <w:pPr>
              <w:pStyle w:val="Tabela"/>
              <w:jc w:val="both"/>
              <w:rPr>
                <w:b/>
                <w:bCs/>
                <w:sz w:val="24"/>
                <w:szCs w:val="24"/>
              </w:rPr>
            </w:pPr>
            <w:r w:rsidRPr="00EC250C">
              <w:rPr>
                <w:b/>
                <w:bCs/>
                <w:sz w:val="24"/>
                <w:szCs w:val="24"/>
              </w:rPr>
              <w:t xml:space="preserve">% </w:t>
            </w:r>
          </w:p>
        </w:tc>
      </w:tr>
      <w:tr w:rsidR="00250AC8" w:rsidRPr="00EC250C" w14:paraId="6C30362E" w14:textId="77777777" w:rsidTr="00ED567C">
        <w:trPr>
          <w:trHeight w:val="379"/>
          <w:tblCellSpacing w:w="20" w:type="dxa"/>
        </w:trPr>
        <w:tc>
          <w:tcPr>
            <w:tcW w:w="1137" w:type="pct"/>
            <w:vMerge w:val="restart"/>
            <w:vAlign w:val="center"/>
            <w:hideMark/>
          </w:tcPr>
          <w:p w14:paraId="2975A832" w14:textId="77777777" w:rsidR="00250AC8" w:rsidRPr="00EC250C" w:rsidRDefault="00250AC8" w:rsidP="00D131FA">
            <w:pPr>
              <w:pStyle w:val="Tabela"/>
              <w:jc w:val="both"/>
            </w:pPr>
            <w:r w:rsidRPr="00EC250C">
              <w:t>Podjęto do prowadzenia</w:t>
            </w:r>
          </w:p>
        </w:tc>
        <w:tc>
          <w:tcPr>
            <w:tcW w:w="180" w:type="pct"/>
            <w:vAlign w:val="center"/>
            <w:hideMark/>
          </w:tcPr>
          <w:p w14:paraId="21C24FE5" w14:textId="77777777" w:rsidR="00250AC8" w:rsidRPr="00EC250C" w:rsidRDefault="00250AC8" w:rsidP="00D131FA">
            <w:pPr>
              <w:pStyle w:val="Tabela"/>
              <w:jc w:val="both"/>
              <w:rPr>
                <w:sz w:val="16"/>
              </w:rPr>
            </w:pPr>
            <w:r w:rsidRPr="00EC250C">
              <w:rPr>
                <w:sz w:val="16"/>
              </w:rPr>
              <w:t>1</w:t>
            </w:r>
          </w:p>
        </w:tc>
        <w:tc>
          <w:tcPr>
            <w:tcW w:w="2608" w:type="pct"/>
            <w:vAlign w:val="center"/>
            <w:hideMark/>
          </w:tcPr>
          <w:p w14:paraId="367FD3D7" w14:textId="77777777" w:rsidR="00250AC8" w:rsidRPr="00EC250C" w:rsidRDefault="00250AC8" w:rsidP="00D131FA">
            <w:pPr>
              <w:pStyle w:val="Tabela"/>
              <w:jc w:val="both"/>
            </w:pPr>
            <w:r w:rsidRPr="00EC250C">
              <w:t>Razem</w:t>
            </w:r>
          </w:p>
        </w:tc>
        <w:tc>
          <w:tcPr>
            <w:tcW w:w="516" w:type="pct"/>
            <w:vAlign w:val="center"/>
            <w:hideMark/>
          </w:tcPr>
          <w:p w14:paraId="60EEBC2A" w14:textId="77777777" w:rsidR="00250AC8" w:rsidRPr="00EC250C" w:rsidRDefault="00250AC8" w:rsidP="00D131FA">
            <w:pPr>
              <w:pStyle w:val="Tabela"/>
              <w:jc w:val="both"/>
            </w:pPr>
            <w:r w:rsidRPr="00EC250C">
              <w:t>10</w:t>
            </w:r>
            <w:r w:rsidR="00ED567C" w:rsidRPr="00EC250C">
              <w:t> </w:t>
            </w:r>
            <w:r w:rsidRPr="00EC250C">
              <w:t>673</w:t>
            </w:r>
          </w:p>
        </w:tc>
        <w:tc>
          <w:tcPr>
            <w:tcW w:w="430" w:type="pct"/>
            <w:vAlign w:val="center"/>
            <w:hideMark/>
          </w:tcPr>
          <w:p w14:paraId="41B58806" w14:textId="77777777" w:rsidR="00250AC8" w:rsidRPr="00EC250C" w:rsidRDefault="00250AC8" w:rsidP="00D131FA">
            <w:pPr>
              <w:pStyle w:val="Tabela"/>
              <w:jc w:val="both"/>
            </w:pPr>
            <w:r w:rsidRPr="00EC250C">
              <w:t>41,1</w:t>
            </w:r>
          </w:p>
        </w:tc>
      </w:tr>
      <w:tr w:rsidR="00250AC8" w:rsidRPr="00EC250C" w14:paraId="167F8F84" w14:textId="77777777" w:rsidTr="00ED567C">
        <w:trPr>
          <w:trHeight w:val="512"/>
          <w:tblCellSpacing w:w="20" w:type="dxa"/>
        </w:trPr>
        <w:tc>
          <w:tcPr>
            <w:tcW w:w="1137" w:type="pct"/>
            <w:vMerge/>
            <w:vAlign w:val="center"/>
            <w:hideMark/>
          </w:tcPr>
          <w:p w14:paraId="109B610D" w14:textId="77777777" w:rsidR="00250AC8" w:rsidRPr="00EC250C" w:rsidRDefault="00250AC8" w:rsidP="00D131FA">
            <w:pPr>
              <w:pStyle w:val="Tabela"/>
              <w:jc w:val="both"/>
              <w:rPr>
                <w:sz w:val="24"/>
                <w:szCs w:val="24"/>
              </w:rPr>
            </w:pPr>
          </w:p>
        </w:tc>
        <w:tc>
          <w:tcPr>
            <w:tcW w:w="180" w:type="pct"/>
            <w:vAlign w:val="center"/>
            <w:hideMark/>
          </w:tcPr>
          <w:p w14:paraId="33E6D736" w14:textId="77777777" w:rsidR="00250AC8" w:rsidRPr="00EC250C" w:rsidRDefault="00250AC8" w:rsidP="00D131FA">
            <w:pPr>
              <w:pStyle w:val="Tabela"/>
              <w:jc w:val="both"/>
              <w:rPr>
                <w:sz w:val="16"/>
              </w:rPr>
            </w:pPr>
            <w:r w:rsidRPr="00EC250C">
              <w:rPr>
                <w:sz w:val="16"/>
              </w:rPr>
              <w:t>2</w:t>
            </w:r>
          </w:p>
        </w:tc>
        <w:tc>
          <w:tcPr>
            <w:tcW w:w="2608" w:type="pct"/>
            <w:vAlign w:val="center"/>
            <w:hideMark/>
          </w:tcPr>
          <w:p w14:paraId="39DB01E4" w14:textId="77777777" w:rsidR="00250AC8" w:rsidRPr="00EC250C" w:rsidRDefault="00744B2D" w:rsidP="00D131FA">
            <w:pPr>
              <w:pStyle w:val="Tabela"/>
              <w:jc w:val="both"/>
            </w:pPr>
            <w:hyperlink r:id="rId54" w:anchor="RANGE!_ftn1" w:history="1">
              <w:r w:rsidR="00250AC8" w:rsidRPr="00EC250C">
                <w:t>podjęto do prowadzenia</w:t>
              </w:r>
            </w:hyperlink>
            <w:r w:rsidR="00992FD0" w:rsidRPr="00EC250C">
              <w:t xml:space="preserve"> w </w:t>
            </w:r>
            <w:r w:rsidR="00250AC8" w:rsidRPr="00EC250C">
              <w:t>tym:</w:t>
            </w:r>
            <w:r w:rsidR="00992FD0" w:rsidRPr="00EC250C">
              <w:t xml:space="preserve"> z </w:t>
            </w:r>
            <w:r w:rsidR="00250AC8" w:rsidRPr="00EC250C">
              <w:t>inicjatywy RPO</w:t>
            </w:r>
          </w:p>
        </w:tc>
        <w:tc>
          <w:tcPr>
            <w:tcW w:w="516" w:type="pct"/>
            <w:vAlign w:val="center"/>
            <w:hideMark/>
          </w:tcPr>
          <w:p w14:paraId="21E4686A" w14:textId="77777777" w:rsidR="00250AC8" w:rsidRPr="00EC250C" w:rsidRDefault="00250AC8" w:rsidP="00D131FA">
            <w:pPr>
              <w:pStyle w:val="Tabela"/>
              <w:jc w:val="both"/>
            </w:pPr>
            <w:r w:rsidRPr="00EC250C">
              <w:t>9</w:t>
            </w:r>
            <w:r w:rsidR="00ED567C" w:rsidRPr="00EC250C">
              <w:t> </w:t>
            </w:r>
            <w:r w:rsidRPr="00EC250C">
              <w:t>856</w:t>
            </w:r>
          </w:p>
          <w:p w14:paraId="52866327" w14:textId="77777777" w:rsidR="00250AC8" w:rsidRPr="00EC250C" w:rsidRDefault="00250AC8" w:rsidP="00D131FA">
            <w:pPr>
              <w:pStyle w:val="Tabela"/>
              <w:jc w:val="both"/>
            </w:pPr>
            <w:r w:rsidRPr="00EC250C">
              <w:t>615</w:t>
            </w:r>
          </w:p>
        </w:tc>
        <w:tc>
          <w:tcPr>
            <w:tcW w:w="430" w:type="pct"/>
            <w:noWrap/>
            <w:vAlign w:val="center"/>
            <w:hideMark/>
          </w:tcPr>
          <w:p w14:paraId="0896B54D" w14:textId="77777777" w:rsidR="00250AC8" w:rsidRPr="00EC250C" w:rsidRDefault="00250AC8" w:rsidP="00D131FA">
            <w:pPr>
              <w:pStyle w:val="Tabela"/>
              <w:jc w:val="both"/>
            </w:pPr>
            <w:r w:rsidRPr="00EC250C">
              <w:t>38,0</w:t>
            </w:r>
          </w:p>
          <w:p w14:paraId="18B5EE31" w14:textId="77777777" w:rsidR="00250AC8" w:rsidRPr="00EC250C" w:rsidRDefault="00250AC8" w:rsidP="00D131FA">
            <w:pPr>
              <w:pStyle w:val="Tabela"/>
              <w:jc w:val="both"/>
            </w:pPr>
          </w:p>
        </w:tc>
      </w:tr>
      <w:tr w:rsidR="00250AC8" w:rsidRPr="00EC250C" w14:paraId="0E99F588" w14:textId="77777777" w:rsidTr="00ED567C">
        <w:trPr>
          <w:trHeight w:val="365"/>
          <w:tblCellSpacing w:w="20" w:type="dxa"/>
        </w:trPr>
        <w:tc>
          <w:tcPr>
            <w:tcW w:w="1137" w:type="pct"/>
            <w:vMerge/>
            <w:vAlign w:val="center"/>
            <w:hideMark/>
          </w:tcPr>
          <w:p w14:paraId="36B179E5" w14:textId="77777777" w:rsidR="00250AC8" w:rsidRPr="00EC250C" w:rsidRDefault="00250AC8" w:rsidP="00D131FA">
            <w:pPr>
              <w:pStyle w:val="Tabela"/>
              <w:jc w:val="both"/>
              <w:rPr>
                <w:sz w:val="24"/>
                <w:szCs w:val="24"/>
              </w:rPr>
            </w:pPr>
          </w:p>
        </w:tc>
        <w:tc>
          <w:tcPr>
            <w:tcW w:w="180" w:type="pct"/>
            <w:vAlign w:val="center"/>
            <w:hideMark/>
          </w:tcPr>
          <w:p w14:paraId="519E0FD8" w14:textId="77777777" w:rsidR="00250AC8" w:rsidRPr="00EC250C" w:rsidRDefault="00250AC8" w:rsidP="00D131FA">
            <w:pPr>
              <w:pStyle w:val="Tabela"/>
              <w:jc w:val="both"/>
              <w:rPr>
                <w:sz w:val="16"/>
              </w:rPr>
            </w:pPr>
            <w:r w:rsidRPr="00EC250C">
              <w:rPr>
                <w:sz w:val="16"/>
              </w:rPr>
              <w:t>3</w:t>
            </w:r>
          </w:p>
        </w:tc>
        <w:tc>
          <w:tcPr>
            <w:tcW w:w="2608" w:type="pct"/>
            <w:vAlign w:val="center"/>
            <w:hideMark/>
          </w:tcPr>
          <w:p w14:paraId="37D2C083" w14:textId="77777777" w:rsidR="00250AC8" w:rsidRPr="00EC250C" w:rsidRDefault="00250AC8" w:rsidP="00D131FA">
            <w:pPr>
              <w:pStyle w:val="Tabela"/>
              <w:jc w:val="both"/>
            </w:pPr>
            <w:r w:rsidRPr="00EC250C">
              <w:t>w ramach wystąpienia</w:t>
            </w:r>
            <w:r w:rsidR="00992FD0" w:rsidRPr="00EC250C">
              <w:t xml:space="preserve"> o </w:t>
            </w:r>
            <w:r w:rsidRPr="00EC250C">
              <w:t>charakterze generalnym</w:t>
            </w:r>
          </w:p>
        </w:tc>
        <w:tc>
          <w:tcPr>
            <w:tcW w:w="516" w:type="pct"/>
            <w:vAlign w:val="center"/>
            <w:hideMark/>
          </w:tcPr>
          <w:p w14:paraId="2B3042C6" w14:textId="77777777" w:rsidR="00250AC8" w:rsidRPr="00EC250C" w:rsidRDefault="00250AC8" w:rsidP="00D131FA">
            <w:pPr>
              <w:pStyle w:val="Tabela"/>
              <w:jc w:val="both"/>
            </w:pPr>
            <w:r w:rsidRPr="00EC250C">
              <w:t>817</w:t>
            </w:r>
          </w:p>
        </w:tc>
        <w:tc>
          <w:tcPr>
            <w:tcW w:w="430" w:type="pct"/>
            <w:vAlign w:val="center"/>
            <w:hideMark/>
          </w:tcPr>
          <w:p w14:paraId="757E6FF5" w14:textId="77777777" w:rsidR="00250AC8" w:rsidRPr="00EC250C" w:rsidRDefault="00250AC8" w:rsidP="00D131FA">
            <w:pPr>
              <w:pStyle w:val="Tabela"/>
              <w:jc w:val="both"/>
            </w:pPr>
            <w:r w:rsidRPr="00EC250C">
              <w:t>3,1</w:t>
            </w:r>
          </w:p>
        </w:tc>
      </w:tr>
      <w:tr w:rsidR="00250AC8" w:rsidRPr="00EC250C" w14:paraId="60B92FB2" w14:textId="77777777" w:rsidTr="00ED567C">
        <w:trPr>
          <w:trHeight w:val="316"/>
          <w:tblCellSpacing w:w="20" w:type="dxa"/>
        </w:trPr>
        <w:tc>
          <w:tcPr>
            <w:tcW w:w="1137" w:type="pct"/>
            <w:vMerge w:val="restart"/>
            <w:vAlign w:val="center"/>
            <w:hideMark/>
          </w:tcPr>
          <w:p w14:paraId="436D08B2" w14:textId="77777777" w:rsidR="00250AC8" w:rsidRPr="00EC250C" w:rsidRDefault="00250AC8" w:rsidP="00D131FA">
            <w:pPr>
              <w:pStyle w:val="Tabela"/>
              <w:jc w:val="both"/>
            </w:pPr>
            <w:r w:rsidRPr="00EC250C">
              <w:t>Udzielono wyjaśnień, wskazano wnioskodawcy przysługujące środki działania</w:t>
            </w:r>
          </w:p>
        </w:tc>
        <w:tc>
          <w:tcPr>
            <w:tcW w:w="180" w:type="pct"/>
            <w:vAlign w:val="center"/>
            <w:hideMark/>
          </w:tcPr>
          <w:p w14:paraId="48F36789" w14:textId="77777777" w:rsidR="00250AC8" w:rsidRPr="00EC250C" w:rsidRDefault="00250AC8" w:rsidP="00D131FA">
            <w:pPr>
              <w:pStyle w:val="Tabela"/>
              <w:jc w:val="both"/>
              <w:rPr>
                <w:sz w:val="16"/>
              </w:rPr>
            </w:pPr>
            <w:r w:rsidRPr="00EC250C">
              <w:rPr>
                <w:sz w:val="16"/>
              </w:rPr>
              <w:t>4</w:t>
            </w:r>
          </w:p>
        </w:tc>
        <w:tc>
          <w:tcPr>
            <w:tcW w:w="2608" w:type="pct"/>
            <w:vAlign w:val="center"/>
            <w:hideMark/>
          </w:tcPr>
          <w:p w14:paraId="3CD7C890" w14:textId="77777777" w:rsidR="00250AC8" w:rsidRPr="00EC250C" w:rsidRDefault="00250AC8" w:rsidP="00D131FA">
            <w:pPr>
              <w:pStyle w:val="Tabela"/>
              <w:jc w:val="both"/>
            </w:pPr>
            <w:r w:rsidRPr="00EC250C">
              <w:t>Razem</w:t>
            </w:r>
          </w:p>
        </w:tc>
        <w:tc>
          <w:tcPr>
            <w:tcW w:w="516" w:type="pct"/>
            <w:vAlign w:val="center"/>
            <w:hideMark/>
          </w:tcPr>
          <w:p w14:paraId="3D361554" w14:textId="77777777" w:rsidR="00250AC8" w:rsidRPr="00EC250C" w:rsidRDefault="00250AC8" w:rsidP="00D131FA">
            <w:pPr>
              <w:pStyle w:val="Tabela"/>
              <w:jc w:val="both"/>
            </w:pPr>
            <w:r w:rsidRPr="00EC250C">
              <w:t>11</w:t>
            </w:r>
            <w:r w:rsidR="00ED567C" w:rsidRPr="00EC250C">
              <w:t> </w:t>
            </w:r>
            <w:r w:rsidRPr="00EC250C">
              <w:t xml:space="preserve">944 </w:t>
            </w:r>
          </w:p>
        </w:tc>
        <w:tc>
          <w:tcPr>
            <w:tcW w:w="430" w:type="pct"/>
            <w:vAlign w:val="center"/>
            <w:hideMark/>
          </w:tcPr>
          <w:p w14:paraId="5EDD0943" w14:textId="77777777" w:rsidR="00250AC8" w:rsidRPr="00EC250C" w:rsidRDefault="00250AC8" w:rsidP="00D131FA">
            <w:pPr>
              <w:pStyle w:val="Tabela"/>
              <w:jc w:val="both"/>
            </w:pPr>
            <w:r w:rsidRPr="00EC250C">
              <w:t>46,1</w:t>
            </w:r>
          </w:p>
        </w:tc>
      </w:tr>
      <w:tr w:rsidR="00250AC8" w:rsidRPr="00EC250C" w14:paraId="7050BB2C" w14:textId="77777777" w:rsidTr="00ED567C">
        <w:trPr>
          <w:trHeight w:val="748"/>
          <w:tblCellSpacing w:w="20" w:type="dxa"/>
        </w:trPr>
        <w:tc>
          <w:tcPr>
            <w:tcW w:w="1137" w:type="pct"/>
            <w:vMerge/>
            <w:vAlign w:val="center"/>
            <w:hideMark/>
          </w:tcPr>
          <w:p w14:paraId="3B67B022" w14:textId="77777777" w:rsidR="00250AC8" w:rsidRPr="00EC250C" w:rsidRDefault="00250AC8" w:rsidP="00D131FA">
            <w:pPr>
              <w:pStyle w:val="Tabela"/>
              <w:jc w:val="both"/>
              <w:rPr>
                <w:sz w:val="24"/>
                <w:szCs w:val="24"/>
              </w:rPr>
            </w:pPr>
          </w:p>
        </w:tc>
        <w:tc>
          <w:tcPr>
            <w:tcW w:w="180" w:type="pct"/>
            <w:vAlign w:val="center"/>
            <w:hideMark/>
          </w:tcPr>
          <w:p w14:paraId="13DCD47B" w14:textId="77777777" w:rsidR="00250AC8" w:rsidRPr="00EC250C" w:rsidRDefault="00250AC8" w:rsidP="00D131FA">
            <w:pPr>
              <w:pStyle w:val="Tabela"/>
              <w:jc w:val="both"/>
              <w:rPr>
                <w:sz w:val="16"/>
              </w:rPr>
            </w:pPr>
            <w:r w:rsidRPr="00EC250C">
              <w:rPr>
                <w:sz w:val="16"/>
              </w:rPr>
              <w:t>5</w:t>
            </w:r>
          </w:p>
        </w:tc>
        <w:tc>
          <w:tcPr>
            <w:tcW w:w="2608" w:type="pct"/>
            <w:vAlign w:val="center"/>
            <w:hideMark/>
          </w:tcPr>
          <w:p w14:paraId="19D03B24" w14:textId="77777777" w:rsidR="00250AC8" w:rsidRPr="00EC250C" w:rsidRDefault="00250AC8" w:rsidP="00D131FA">
            <w:pPr>
              <w:pStyle w:val="Tabela"/>
              <w:jc w:val="both"/>
            </w:pPr>
            <w:r w:rsidRPr="00EC250C">
              <w:t>udzielono wyjaśnień, wskazano wnioskodawcy przysługujące środki działania</w:t>
            </w:r>
          </w:p>
        </w:tc>
        <w:tc>
          <w:tcPr>
            <w:tcW w:w="516" w:type="pct"/>
            <w:vAlign w:val="center"/>
            <w:hideMark/>
          </w:tcPr>
          <w:p w14:paraId="6479A05A" w14:textId="77777777" w:rsidR="00250AC8" w:rsidRPr="00EC250C" w:rsidRDefault="00250AC8" w:rsidP="00D131FA">
            <w:pPr>
              <w:pStyle w:val="Tabela"/>
              <w:jc w:val="both"/>
            </w:pPr>
            <w:r w:rsidRPr="00EC250C">
              <w:t>11</w:t>
            </w:r>
            <w:r w:rsidR="00ED567C" w:rsidRPr="00EC250C">
              <w:t> </w:t>
            </w:r>
            <w:r w:rsidRPr="00EC250C">
              <w:t>944</w:t>
            </w:r>
          </w:p>
        </w:tc>
        <w:tc>
          <w:tcPr>
            <w:tcW w:w="430" w:type="pct"/>
            <w:vAlign w:val="center"/>
            <w:hideMark/>
          </w:tcPr>
          <w:p w14:paraId="29099974" w14:textId="77777777" w:rsidR="00250AC8" w:rsidRPr="00EC250C" w:rsidRDefault="00250AC8" w:rsidP="00D131FA">
            <w:pPr>
              <w:pStyle w:val="Tabela"/>
              <w:jc w:val="both"/>
            </w:pPr>
            <w:r w:rsidRPr="00EC250C">
              <w:t>46,1</w:t>
            </w:r>
          </w:p>
        </w:tc>
      </w:tr>
      <w:tr w:rsidR="00250AC8" w:rsidRPr="00EC250C" w14:paraId="01F7AB0E" w14:textId="77777777" w:rsidTr="00ED567C">
        <w:trPr>
          <w:trHeight w:val="208"/>
          <w:tblCellSpacing w:w="20" w:type="dxa"/>
        </w:trPr>
        <w:tc>
          <w:tcPr>
            <w:tcW w:w="1137" w:type="pct"/>
            <w:vMerge w:val="restart"/>
            <w:vAlign w:val="center"/>
            <w:hideMark/>
          </w:tcPr>
          <w:p w14:paraId="6429847D" w14:textId="77777777" w:rsidR="00250AC8" w:rsidRPr="00EC250C" w:rsidRDefault="00250AC8" w:rsidP="00D131FA">
            <w:pPr>
              <w:pStyle w:val="Tabela"/>
              <w:jc w:val="both"/>
              <w:rPr>
                <w:sz w:val="24"/>
                <w:szCs w:val="24"/>
              </w:rPr>
            </w:pPr>
            <w:r w:rsidRPr="00EC250C">
              <w:rPr>
                <w:sz w:val="24"/>
                <w:szCs w:val="24"/>
              </w:rPr>
              <w:t>Inne</w:t>
            </w:r>
          </w:p>
        </w:tc>
        <w:tc>
          <w:tcPr>
            <w:tcW w:w="180" w:type="pct"/>
            <w:vAlign w:val="center"/>
            <w:hideMark/>
          </w:tcPr>
          <w:p w14:paraId="27CC92D8" w14:textId="77777777" w:rsidR="00250AC8" w:rsidRPr="00EC250C" w:rsidRDefault="00250AC8" w:rsidP="00D131FA">
            <w:pPr>
              <w:pStyle w:val="Tabela"/>
              <w:jc w:val="both"/>
              <w:rPr>
                <w:sz w:val="16"/>
              </w:rPr>
            </w:pPr>
            <w:r w:rsidRPr="00EC250C">
              <w:rPr>
                <w:sz w:val="16"/>
              </w:rPr>
              <w:t>6</w:t>
            </w:r>
          </w:p>
        </w:tc>
        <w:tc>
          <w:tcPr>
            <w:tcW w:w="2608" w:type="pct"/>
            <w:vAlign w:val="center"/>
            <w:hideMark/>
          </w:tcPr>
          <w:p w14:paraId="6E2A1D5E" w14:textId="77777777" w:rsidR="00250AC8" w:rsidRPr="00EC250C" w:rsidRDefault="00250AC8" w:rsidP="00D131FA">
            <w:pPr>
              <w:pStyle w:val="Tabela"/>
              <w:jc w:val="both"/>
            </w:pPr>
            <w:r w:rsidRPr="00EC250C">
              <w:t>Razem</w:t>
            </w:r>
          </w:p>
        </w:tc>
        <w:tc>
          <w:tcPr>
            <w:tcW w:w="516" w:type="pct"/>
            <w:vAlign w:val="center"/>
            <w:hideMark/>
          </w:tcPr>
          <w:p w14:paraId="60B58221" w14:textId="77777777" w:rsidR="00250AC8" w:rsidRPr="00EC250C" w:rsidRDefault="00250AC8" w:rsidP="00D131FA">
            <w:pPr>
              <w:pStyle w:val="Tabela"/>
              <w:jc w:val="both"/>
            </w:pPr>
            <w:r w:rsidRPr="00EC250C">
              <w:t>3</w:t>
            </w:r>
            <w:r w:rsidR="00ED567C" w:rsidRPr="00EC250C">
              <w:t> </w:t>
            </w:r>
            <w:r w:rsidRPr="00EC250C">
              <w:t>304</w:t>
            </w:r>
          </w:p>
        </w:tc>
        <w:tc>
          <w:tcPr>
            <w:tcW w:w="430" w:type="pct"/>
            <w:vAlign w:val="center"/>
            <w:hideMark/>
          </w:tcPr>
          <w:p w14:paraId="2E4E03E1" w14:textId="77777777" w:rsidR="00250AC8" w:rsidRPr="00EC250C" w:rsidRDefault="00250AC8" w:rsidP="00D131FA">
            <w:pPr>
              <w:pStyle w:val="Tabela"/>
              <w:jc w:val="both"/>
            </w:pPr>
            <w:r w:rsidRPr="00EC250C">
              <w:t>12,8</w:t>
            </w:r>
          </w:p>
        </w:tc>
      </w:tr>
      <w:tr w:rsidR="00250AC8" w:rsidRPr="00EC250C" w14:paraId="6D0FB231" w14:textId="77777777" w:rsidTr="00ED567C">
        <w:trPr>
          <w:trHeight w:val="321"/>
          <w:tblCellSpacing w:w="20" w:type="dxa"/>
        </w:trPr>
        <w:tc>
          <w:tcPr>
            <w:tcW w:w="1137" w:type="pct"/>
            <w:vMerge/>
            <w:vAlign w:val="center"/>
            <w:hideMark/>
          </w:tcPr>
          <w:p w14:paraId="1569E32C" w14:textId="77777777" w:rsidR="00250AC8" w:rsidRPr="00EC250C" w:rsidRDefault="00250AC8" w:rsidP="00D131FA">
            <w:pPr>
              <w:pStyle w:val="Tabela"/>
              <w:jc w:val="both"/>
              <w:rPr>
                <w:sz w:val="24"/>
                <w:szCs w:val="24"/>
              </w:rPr>
            </w:pPr>
          </w:p>
        </w:tc>
        <w:tc>
          <w:tcPr>
            <w:tcW w:w="180" w:type="pct"/>
            <w:vAlign w:val="center"/>
            <w:hideMark/>
          </w:tcPr>
          <w:p w14:paraId="1A3CD379" w14:textId="77777777" w:rsidR="00250AC8" w:rsidRPr="00EC250C" w:rsidRDefault="00250AC8" w:rsidP="00D131FA">
            <w:pPr>
              <w:pStyle w:val="Tabela"/>
              <w:jc w:val="both"/>
              <w:rPr>
                <w:sz w:val="16"/>
              </w:rPr>
            </w:pPr>
            <w:r w:rsidRPr="00EC250C">
              <w:rPr>
                <w:sz w:val="16"/>
              </w:rPr>
              <w:t>7</w:t>
            </w:r>
          </w:p>
        </w:tc>
        <w:tc>
          <w:tcPr>
            <w:tcW w:w="2608" w:type="pct"/>
            <w:noWrap/>
            <w:vAlign w:val="center"/>
            <w:hideMark/>
          </w:tcPr>
          <w:p w14:paraId="2A899430" w14:textId="77777777" w:rsidR="00250AC8" w:rsidRPr="00EC250C" w:rsidRDefault="00250AC8" w:rsidP="00D131FA">
            <w:pPr>
              <w:pStyle w:val="Tabela"/>
              <w:jc w:val="both"/>
            </w:pPr>
            <w:r w:rsidRPr="00EC250C">
              <w:t>przekazano wniosek wg. właściwości</w:t>
            </w:r>
          </w:p>
        </w:tc>
        <w:tc>
          <w:tcPr>
            <w:tcW w:w="516" w:type="pct"/>
            <w:vAlign w:val="center"/>
            <w:hideMark/>
          </w:tcPr>
          <w:p w14:paraId="7B06B6FF" w14:textId="77777777" w:rsidR="00250AC8" w:rsidRPr="00EC250C" w:rsidRDefault="00250AC8" w:rsidP="00D131FA">
            <w:pPr>
              <w:pStyle w:val="Tabela"/>
              <w:jc w:val="both"/>
            </w:pPr>
            <w:r w:rsidRPr="00EC250C">
              <w:t>665</w:t>
            </w:r>
          </w:p>
        </w:tc>
        <w:tc>
          <w:tcPr>
            <w:tcW w:w="430" w:type="pct"/>
            <w:vAlign w:val="center"/>
            <w:hideMark/>
          </w:tcPr>
          <w:p w14:paraId="4BA7525E" w14:textId="77777777" w:rsidR="00250AC8" w:rsidRPr="00EC250C" w:rsidRDefault="00250AC8" w:rsidP="00D131FA">
            <w:pPr>
              <w:pStyle w:val="Tabela"/>
              <w:jc w:val="both"/>
            </w:pPr>
            <w:r w:rsidRPr="00EC250C">
              <w:t>2,6</w:t>
            </w:r>
          </w:p>
        </w:tc>
      </w:tr>
      <w:tr w:rsidR="00250AC8" w:rsidRPr="00EC250C" w14:paraId="3F4B3469" w14:textId="77777777" w:rsidTr="00ED567C">
        <w:trPr>
          <w:trHeight w:val="385"/>
          <w:tblCellSpacing w:w="20" w:type="dxa"/>
        </w:trPr>
        <w:tc>
          <w:tcPr>
            <w:tcW w:w="1137" w:type="pct"/>
            <w:vMerge/>
            <w:vAlign w:val="center"/>
            <w:hideMark/>
          </w:tcPr>
          <w:p w14:paraId="0E33FE09" w14:textId="77777777" w:rsidR="00250AC8" w:rsidRPr="00EC250C" w:rsidRDefault="00250AC8" w:rsidP="00D131FA">
            <w:pPr>
              <w:pStyle w:val="Tabela"/>
              <w:jc w:val="both"/>
              <w:rPr>
                <w:sz w:val="24"/>
                <w:szCs w:val="24"/>
              </w:rPr>
            </w:pPr>
          </w:p>
        </w:tc>
        <w:tc>
          <w:tcPr>
            <w:tcW w:w="180" w:type="pct"/>
            <w:vAlign w:val="center"/>
            <w:hideMark/>
          </w:tcPr>
          <w:p w14:paraId="7BA55909" w14:textId="77777777" w:rsidR="00250AC8" w:rsidRPr="00EC250C" w:rsidRDefault="00250AC8" w:rsidP="00D131FA">
            <w:pPr>
              <w:pStyle w:val="Tabela"/>
              <w:jc w:val="both"/>
              <w:rPr>
                <w:sz w:val="16"/>
              </w:rPr>
            </w:pPr>
            <w:r w:rsidRPr="00EC250C">
              <w:rPr>
                <w:sz w:val="16"/>
              </w:rPr>
              <w:t>8</w:t>
            </w:r>
          </w:p>
        </w:tc>
        <w:tc>
          <w:tcPr>
            <w:tcW w:w="2608" w:type="pct"/>
            <w:vAlign w:val="center"/>
            <w:hideMark/>
          </w:tcPr>
          <w:p w14:paraId="1155B033" w14:textId="77777777" w:rsidR="00250AC8" w:rsidRPr="00EC250C" w:rsidRDefault="00250AC8" w:rsidP="00D131FA">
            <w:pPr>
              <w:pStyle w:val="Tabela"/>
              <w:jc w:val="both"/>
            </w:pPr>
            <w:r w:rsidRPr="00EC250C">
              <w:t>zwrócono się do wnioskodawcy</w:t>
            </w:r>
            <w:r w:rsidR="00992FD0" w:rsidRPr="00EC250C">
              <w:t xml:space="preserve"> o </w:t>
            </w:r>
            <w:r w:rsidRPr="00EC250C">
              <w:t>uzupełnienie wniosku</w:t>
            </w:r>
          </w:p>
        </w:tc>
        <w:tc>
          <w:tcPr>
            <w:tcW w:w="516" w:type="pct"/>
            <w:vAlign w:val="center"/>
            <w:hideMark/>
          </w:tcPr>
          <w:p w14:paraId="1F5546CE" w14:textId="77777777" w:rsidR="00250AC8" w:rsidRPr="00EC250C" w:rsidRDefault="00250AC8" w:rsidP="00D131FA">
            <w:pPr>
              <w:pStyle w:val="Tabela"/>
              <w:jc w:val="both"/>
            </w:pPr>
            <w:r w:rsidRPr="00EC250C">
              <w:t>1</w:t>
            </w:r>
            <w:r w:rsidR="00ED567C" w:rsidRPr="00EC250C">
              <w:t> </w:t>
            </w:r>
            <w:r w:rsidRPr="00EC250C">
              <w:t>535</w:t>
            </w:r>
          </w:p>
        </w:tc>
        <w:tc>
          <w:tcPr>
            <w:tcW w:w="430" w:type="pct"/>
            <w:vAlign w:val="center"/>
            <w:hideMark/>
          </w:tcPr>
          <w:p w14:paraId="258A221B" w14:textId="77777777" w:rsidR="00250AC8" w:rsidRPr="00EC250C" w:rsidRDefault="00250AC8" w:rsidP="00D131FA">
            <w:pPr>
              <w:pStyle w:val="Tabela"/>
              <w:jc w:val="both"/>
            </w:pPr>
            <w:r w:rsidRPr="00EC250C">
              <w:t>5,9</w:t>
            </w:r>
          </w:p>
        </w:tc>
      </w:tr>
      <w:tr w:rsidR="00250AC8" w:rsidRPr="00EC250C" w14:paraId="38F8884A" w14:textId="77777777" w:rsidTr="00ED567C">
        <w:trPr>
          <w:trHeight w:val="383"/>
          <w:tblCellSpacing w:w="20" w:type="dxa"/>
        </w:trPr>
        <w:tc>
          <w:tcPr>
            <w:tcW w:w="1137" w:type="pct"/>
            <w:vMerge/>
            <w:vAlign w:val="center"/>
            <w:hideMark/>
          </w:tcPr>
          <w:p w14:paraId="43266860" w14:textId="77777777" w:rsidR="00250AC8" w:rsidRPr="00EC250C" w:rsidRDefault="00250AC8" w:rsidP="00D131FA">
            <w:pPr>
              <w:pStyle w:val="Tabela"/>
              <w:jc w:val="both"/>
              <w:rPr>
                <w:sz w:val="24"/>
                <w:szCs w:val="24"/>
              </w:rPr>
            </w:pPr>
          </w:p>
        </w:tc>
        <w:tc>
          <w:tcPr>
            <w:tcW w:w="180" w:type="pct"/>
            <w:vAlign w:val="center"/>
            <w:hideMark/>
          </w:tcPr>
          <w:p w14:paraId="337F089D" w14:textId="77777777" w:rsidR="00250AC8" w:rsidRPr="00EC250C" w:rsidRDefault="00250AC8" w:rsidP="00D131FA">
            <w:pPr>
              <w:pStyle w:val="Tabela"/>
              <w:jc w:val="both"/>
              <w:rPr>
                <w:sz w:val="16"/>
              </w:rPr>
            </w:pPr>
            <w:r w:rsidRPr="00EC250C">
              <w:rPr>
                <w:sz w:val="16"/>
              </w:rPr>
              <w:t>9</w:t>
            </w:r>
          </w:p>
        </w:tc>
        <w:tc>
          <w:tcPr>
            <w:tcW w:w="2608" w:type="pct"/>
            <w:noWrap/>
            <w:vAlign w:val="center"/>
            <w:hideMark/>
          </w:tcPr>
          <w:p w14:paraId="2B7A2B6E" w14:textId="77777777" w:rsidR="00250AC8" w:rsidRPr="00EC250C" w:rsidRDefault="00744B2D" w:rsidP="00D131FA">
            <w:pPr>
              <w:pStyle w:val="Tabela"/>
              <w:jc w:val="both"/>
              <w:rPr>
                <w:sz w:val="24"/>
                <w:szCs w:val="24"/>
              </w:rPr>
            </w:pPr>
            <w:hyperlink r:id="rId55" w:anchor="RANGE!_ftn2" w:history="1">
              <w:r w:rsidR="00250AC8" w:rsidRPr="00EC250C">
                <w:t>nie podjęto</w:t>
              </w:r>
              <w:r w:rsidR="00250AC8" w:rsidRPr="00EC250C">
                <w:rPr>
                  <w:sz w:val="24"/>
                  <w:szCs w:val="24"/>
                </w:rPr>
                <w:t xml:space="preserve"> </w:t>
              </w:r>
            </w:hyperlink>
            <w:r w:rsidR="00250AC8" w:rsidRPr="00EC250C">
              <w:rPr>
                <w:rStyle w:val="Odwoanieprzypisudolnego"/>
                <w:spacing w:val="0"/>
                <w:sz w:val="24"/>
              </w:rPr>
              <w:footnoteReference w:id="861"/>
            </w:r>
          </w:p>
        </w:tc>
        <w:tc>
          <w:tcPr>
            <w:tcW w:w="516" w:type="pct"/>
            <w:vAlign w:val="center"/>
            <w:hideMark/>
          </w:tcPr>
          <w:p w14:paraId="08E0DDE0" w14:textId="77777777" w:rsidR="00250AC8" w:rsidRPr="00EC250C" w:rsidRDefault="00250AC8" w:rsidP="00D131FA">
            <w:pPr>
              <w:pStyle w:val="Tabela"/>
              <w:jc w:val="both"/>
              <w:rPr>
                <w:sz w:val="24"/>
                <w:szCs w:val="24"/>
              </w:rPr>
            </w:pPr>
            <w:r w:rsidRPr="00EC250C">
              <w:rPr>
                <w:sz w:val="24"/>
                <w:szCs w:val="24"/>
              </w:rPr>
              <w:t>1 104</w:t>
            </w:r>
          </w:p>
        </w:tc>
        <w:tc>
          <w:tcPr>
            <w:tcW w:w="430" w:type="pct"/>
            <w:vAlign w:val="center"/>
            <w:hideMark/>
          </w:tcPr>
          <w:p w14:paraId="35AC95B8" w14:textId="77777777" w:rsidR="00250AC8" w:rsidRPr="00EC250C" w:rsidRDefault="00250AC8" w:rsidP="00D131FA">
            <w:pPr>
              <w:pStyle w:val="Tabela"/>
              <w:jc w:val="both"/>
              <w:rPr>
                <w:sz w:val="24"/>
                <w:szCs w:val="24"/>
              </w:rPr>
            </w:pPr>
            <w:r w:rsidRPr="00EC250C">
              <w:rPr>
                <w:sz w:val="24"/>
                <w:szCs w:val="24"/>
              </w:rPr>
              <w:t>4,3</w:t>
            </w:r>
          </w:p>
        </w:tc>
      </w:tr>
      <w:tr w:rsidR="00250AC8" w:rsidRPr="00EC250C" w14:paraId="3C64D100" w14:textId="77777777" w:rsidTr="00A36110">
        <w:trPr>
          <w:trHeight w:val="361"/>
          <w:tblCellSpacing w:w="20" w:type="dxa"/>
        </w:trPr>
        <w:tc>
          <w:tcPr>
            <w:tcW w:w="3968" w:type="pct"/>
            <w:gridSpan w:val="3"/>
            <w:noWrap/>
            <w:vAlign w:val="center"/>
            <w:hideMark/>
          </w:tcPr>
          <w:p w14:paraId="31914D8F" w14:textId="77777777" w:rsidR="00250AC8" w:rsidRPr="00EC250C" w:rsidRDefault="00250AC8" w:rsidP="00D131FA">
            <w:pPr>
              <w:pStyle w:val="Tabela"/>
              <w:jc w:val="both"/>
              <w:rPr>
                <w:b/>
                <w:bCs/>
                <w:sz w:val="24"/>
                <w:szCs w:val="24"/>
              </w:rPr>
            </w:pPr>
            <w:r w:rsidRPr="00EC250C">
              <w:rPr>
                <w:b/>
                <w:bCs/>
                <w:sz w:val="24"/>
                <w:szCs w:val="24"/>
              </w:rPr>
              <w:t>Razem </w:t>
            </w:r>
          </w:p>
        </w:tc>
        <w:tc>
          <w:tcPr>
            <w:tcW w:w="516" w:type="pct"/>
            <w:vAlign w:val="center"/>
            <w:hideMark/>
          </w:tcPr>
          <w:p w14:paraId="2E593626" w14:textId="77777777" w:rsidR="00250AC8" w:rsidRPr="00EC250C" w:rsidRDefault="00250AC8" w:rsidP="00D131FA">
            <w:pPr>
              <w:pStyle w:val="Tabela"/>
              <w:jc w:val="both"/>
              <w:rPr>
                <w:b/>
                <w:bCs/>
                <w:sz w:val="24"/>
                <w:szCs w:val="24"/>
              </w:rPr>
            </w:pPr>
            <w:r w:rsidRPr="00EC250C">
              <w:rPr>
                <w:b/>
                <w:bCs/>
                <w:sz w:val="24"/>
                <w:szCs w:val="24"/>
              </w:rPr>
              <w:t>25 921</w:t>
            </w:r>
          </w:p>
        </w:tc>
        <w:tc>
          <w:tcPr>
            <w:tcW w:w="430" w:type="pct"/>
            <w:vAlign w:val="center"/>
            <w:hideMark/>
          </w:tcPr>
          <w:p w14:paraId="2F7F296C" w14:textId="77777777" w:rsidR="00250AC8" w:rsidRPr="00EC250C" w:rsidRDefault="00250AC8" w:rsidP="00D131FA">
            <w:pPr>
              <w:pStyle w:val="Tabela"/>
              <w:jc w:val="both"/>
              <w:rPr>
                <w:b/>
                <w:bCs/>
                <w:sz w:val="24"/>
                <w:szCs w:val="24"/>
              </w:rPr>
            </w:pPr>
            <w:r w:rsidRPr="00EC250C">
              <w:rPr>
                <w:b/>
                <w:bCs/>
                <w:sz w:val="24"/>
                <w:szCs w:val="24"/>
              </w:rPr>
              <w:t>100,0</w:t>
            </w:r>
          </w:p>
        </w:tc>
      </w:tr>
    </w:tbl>
    <w:p w14:paraId="02B2D2C2" w14:textId="77777777" w:rsidR="00250AC8" w:rsidRPr="00EC250C" w:rsidRDefault="00A36110" w:rsidP="00D131FA">
      <w:pPr>
        <w:pStyle w:val="Standardowy10"/>
        <w:rPr>
          <w:sz w:val="24"/>
        </w:rPr>
      </w:pPr>
      <w:r w:rsidRPr="00EC250C">
        <w:rPr>
          <w:noProof/>
          <w:sz w:val="24"/>
        </w:rPr>
        <w:lastRenderedPageBreak/>
        <w:drawing>
          <wp:inline distT="0" distB="0" distL="0" distR="0" wp14:anchorId="2445C494" wp14:editId="23932DE5">
            <wp:extent cx="5040000" cy="1810800"/>
            <wp:effectExtent l="0" t="0" r="8255" b="0"/>
            <wp:docPr id="5"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0000" cy="1810800"/>
                    </a:xfrm>
                    <a:prstGeom prst="rect">
                      <a:avLst/>
                    </a:prstGeom>
                    <a:noFill/>
                  </pic:spPr>
                </pic:pic>
              </a:graphicData>
            </a:graphic>
          </wp:inline>
        </w:drawing>
      </w:r>
    </w:p>
    <w:p w14:paraId="214C0337" w14:textId="77777777" w:rsidR="00250AC8" w:rsidRPr="00EC250C" w:rsidRDefault="00250AC8" w:rsidP="00D131FA">
      <w:pPr>
        <w:pStyle w:val="Standardowy10"/>
        <w:spacing w:after="120" w:line="240" w:lineRule="auto"/>
        <w:rPr>
          <w:i/>
          <w:sz w:val="24"/>
        </w:rPr>
      </w:pPr>
      <w:r w:rsidRPr="00EC250C">
        <w:rPr>
          <w:i/>
          <w:sz w:val="24"/>
        </w:rPr>
        <w:t xml:space="preserve">Spośród </w:t>
      </w:r>
      <w:r w:rsidRPr="00EC250C">
        <w:rPr>
          <w:b/>
          <w:i/>
          <w:sz w:val="24"/>
        </w:rPr>
        <w:t>25 921</w:t>
      </w:r>
      <w:r w:rsidRPr="00EC250C">
        <w:rPr>
          <w:i/>
          <w:sz w:val="24"/>
        </w:rPr>
        <w:t xml:space="preserve"> spraw rozpatrzonych najwięcej było spraw</w:t>
      </w:r>
      <w:r w:rsidR="00992FD0" w:rsidRPr="00EC250C">
        <w:rPr>
          <w:i/>
          <w:sz w:val="24"/>
        </w:rPr>
        <w:t xml:space="preserve"> z </w:t>
      </w:r>
      <w:r w:rsidRPr="00EC250C">
        <w:rPr>
          <w:i/>
          <w:sz w:val="24"/>
        </w:rPr>
        <w:t>zakresu:</w:t>
      </w:r>
    </w:p>
    <w:tbl>
      <w:tblPr>
        <w:tblW w:w="9073"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5848"/>
        <w:gridCol w:w="1768"/>
        <w:gridCol w:w="1457"/>
      </w:tblGrid>
      <w:tr w:rsidR="00250AC8" w:rsidRPr="00EC250C" w14:paraId="1A003859" w14:textId="77777777" w:rsidTr="00250AC8">
        <w:trPr>
          <w:trHeight w:val="20"/>
          <w:tblCellSpacing w:w="20" w:type="dxa"/>
          <w:jc w:val="center"/>
        </w:trPr>
        <w:tc>
          <w:tcPr>
            <w:tcW w:w="5788" w:type="dxa"/>
          </w:tcPr>
          <w:p w14:paraId="7C242B4C" w14:textId="77777777" w:rsidR="00250AC8" w:rsidRPr="00EC250C" w:rsidRDefault="00250AC8" w:rsidP="00845591">
            <w:pPr>
              <w:pStyle w:val="Tabela"/>
              <w:rPr>
                <w:sz w:val="18"/>
                <w:szCs w:val="20"/>
              </w:rPr>
            </w:pPr>
            <w:r w:rsidRPr="00EC250C">
              <w:rPr>
                <w:sz w:val="18"/>
                <w:szCs w:val="20"/>
              </w:rPr>
              <w:t>Problematyka</w:t>
            </w:r>
          </w:p>
        </w:tc>
        <w:tc>
          <w:tcPr>
            <w:tcW w:w="1728" w:type="dxa"/>
          </w:tcPr>
          <w:p w14:paraId="129DFD0C" w14:textId="77777777" w:rsidR="00250AC8" w:rsidRPr="00EC250C" w:rsidRDefault="00250AC8" w:rsidP="00845591">
            <w:pPr>
              <w:pStyle w:val="Tabela"/>
              <w:rPr>
                <w:sz w:val="18"/>
                <w:szCs w:val="20"/>
              </w:rPr>
            </w:pPr>
            <w:r w:rsidRPr="00EC250C">
              <w:rPr>
                <w:sz w:val="18"/>
                <w:szCs w:val="20"/>
              </w:rPr>
              <w:t>Liczba</w:t>
            </w:r>
          </w:p>
        </w:tc>
        <w:tc>
          <w:tcPr>
            <w:tcW w:w="1397" w:type="dxa"/>
          </w:tcPr>
          <w:p w14:paraId="52016157" w14:textId="77777777" w:rsidR="00250AC8" w:rsidRPr="00EC250C" w:rsidRDefault="00250AC8" w:rsidP="00845591">
            <w:pPr>
              <w:pStyle w:val="Tabela"/>
              <w:rPr>
                <w:sz w:val="18"/>
                <w:szCs w:val="20"/>
              </w:rPr>
            </w:pPr>
            <w:r w:rsidRPr="00EC250C">
              <w:rPr>
                <w:sz w:val="18"/>
                <w:szCs w:val="20"/>
              </w:rPr>
              <w:t>%</w:t>
            </w:r>
          </w:p>
        </w:tc>
      </w:tr>
      <w:tr w:rsidR="00250AC8" w:rsidRPr="00EC250C" w14:paraId="2129087B" w14:textId="77777777" w:rsidTr="00250AC8">
        <w:trPr>
          <w:trHeight w:val="20"/>
          <w:tblCellSpacing w:w="20" w:type="dxa"/>
          <w:jc w:val="center"/>
        </w:trPr>
        <w:tc>
          <w:tcPr>
            <w:tcW w:w="5788" w:type="dxa"/>
            <w:vAlign w:val="center"/>
          </w:tcPr>
          <w:p w14:paraId="157E7DD5" w14:textId="77777777" w:rsidR="00250AC8" w:rsidRPr="00EC250C" w:rsidRDefault="00250AC8" w:rsidP="00845591">
            <w:pPr>
              <w:pStyle w:val="Tabela"/>
              <w:rPr>
                <w:sz w:val="18"/>
                <w:szCs w:val="20"/>
              </w:rPr>
            </w:pPr>
            <w:r w:rsidRPr="00EC250C">
              <w:rPr>
                <w:sz w:val="18"/>
                <w:szCs w:val="20"/>
              </w:rPr>
              <w:t>prawo karne</w:t>
            </w:r>
          </w:p>
        </w:tc>
        <w:tc>
          <w:tcPr>
            <w:tcW w:w="1728" w:type="dxa"/>
            <w:vAlign w:val="center"/>
          </w:tcPr>
          <w:p w14:paraId="30AE2381" w14:textId="77777777" w:rsidR="00250AC8" w:rsidRPr="00EC250C" w:rsidRDefault="00250AC8" w:rsidP="00845591">
            <w:pPr>
              <w:pStyle w:val="Tabela"/>
              <w:rPr>
                <w:sz w:val="18"/>
                <w:szCs w:val="20"/>
              </w:rPr>
            </w:pPr>
            <w:r w:rsidRPr="00EC250C">
              <w:rPr>
                <w:sz w:val="18"/>
                <w:szCs w:val="20"/>
              </w:rPr>
              <w:t>6 139</w:t>
            </w:r>
          </w:p>
        </w:tc>
        <w:tc>
          <w:tcPr>
            <w:tcW w:w="1397" w:type="dxa"/>
            <w:vAlign w:val="center"/>
          </w:tcPr>
          <w:p w14:paraId="2394DE83" w14:textId="77777777" w:rsidR="00250AC8" w:rsidRPr="00EC250C" w:rsidRDefault="00250AC8" w:rsidP="00845591">
            <w:pPr>
              <w:pStyle w:val="Tabela"/>
              <w:rPr>
                <w:sz w:val="18"/>
                <w:szCs w:val="20"/>
              </w:rPr>
            </w:pPr>
            <w:r w:rsidRPr="00EC250C">
              <w:rPr>
                <w:sz w:val="18"/>
                <w:szCs w:val="20"/>
              </w:rPr>
              <w:t>23,7</w:t>
            </w:r>
          </w:p>
        </w:tc>
      </w:tr>
      <w:tr w:rsidR="00250AC8" w:rsidRPr="00EC250C" w14:paraId="54E3B5A0" w14:textId="77777777" w:rsidTr="00250AC8">
        <w:trPr>
          <w:trHeight w:val="20"/>
          <w:tblCellSpacing w:w="20" w:type="dxa"/>
          <w:jc w:val="center"/>
        </w:trPr>
        <w:tc>
          <w:tcPr>
            <w:tcW w:w="5788" w:type="dxa"/>
            <w:vAlign w:val="center"/>
          </w:tcPr>
          <w:p w14:paraId="3E3715B3" w14:textId="77777777" w:rsidR="00250AC8" w:rsidRPr="00EC250C" w:rsidRDefault="00250AC8" w:rsidP="00845591">
            <w:pPr>
              <w:pStyle w:val="Tabela"/>
              <w:rPr>
                <w:sz w:val="18"/>
                <w:szCs w:val="20"/>
              </w:rPr>
            </w:pPr>
            <w:r w:rsidRPr="00EC250C">
              <w:rPr>
                <w:sz w:val="18"/>
                <w:szCs w:val="20"/>
              </w:rPr>
              <w:t>prawo karne wykonawcze</w:t>
            </w:r>
          </w:p>
        </w:tc>
        <w:tc>
          <w:tcPr>
            <w:tcW w:w="1728" w:type="dxa"/>
            <w:vAlign w:val="center"/>
          </w:tcPr>
          <w:p w14:paraId="624844A6" w14:textId="77777777" w:rsidR="00250AC8" w:rsidRPr="00EC250C" w:rsidRDefault="00250AC8" w:rsidP="00845591">
            <w:pPr>
              <w:pStyle w:val="Tabela"/>
              <w:rPr>
                <w:sz w:val="18"/>
                <w:szCs w:val="20"/>
              </w:rPr>
            </w:pPr>
            <w:r w:rsidRPr="00EC250C">
              <w:rPr>
                <w:sz w:val="18"/>
                <w:szCs w:val="20"/>
              </w:rPr>
              <w:t>4 583</w:t>
            </w:r>
          </w:p>
        </w:tc>
        <w:tc>
          <w:tcPr>
            <w:tcW w:w="1397" w:type="dxa"/>
            <w:vAlign w:val="center"/>
          </w:tcPr>
          <w:p w14:paraId="097E7F3B" w14:textId="77777777" w:rsidR="00250AC8" w:rsidRPr="00EC250C" w:rsidRDefault="00250AC8" w:rsidP="00845591">
            <w:pPr>
              <w:pStyle w:val="Tabela"/>
              <w:rPr>
                <w:sz w:val="18"/>
                <w:szCs w:val="20"/>
              </w:rPr>
            </w:pPr>
            <w:r w:rsidRPr="00EC250C">
              <w:rPr>
                <w:sz w:val="18"/>
                <w:szCs w:val="20"/>
              </w:rPr>
              <w:t>17,7</w:t>
            </w:r>
          </w:p>
        </w:tc>
      </w:tr>
      <w:tr w:rsidR="00250AC8" w:rsidRPr="00EC250C" w14:paraId="3D84AFED" w14:textId="77777777" w:rsidTr="00250AC8">
        <w:trPr>
          <w:trHeight w:val="20"/>
          <w:tblCellSpacing w:w="20" w:type="dxa"/>
          <w:jc w:val="center"/>
        </w:trPr>
        <w:tc>
          <w:tcPr>
            <w:tcW w:w="5788" w:type="dxa"/>
            <w:vAlign w:val="center"/>
          </w:tcPr>
          <w:p w14:paraId="3EBBA7FF" w14:textId="77777777" w:rsidR="00250AC8" w:rsidRPr="00EC250C" w:rsidRDefault="00250AC8" w:rsidP="00845591">
            <w:pPr>
              <w:pStyle w:val="Tabela"/>
              <w:rPr>
                <w:sz w:val="18"/>
                <w:szCs w:val="20"/>
              </w:rPr>
            </w:pPr>
            <w:r w:rsidRPr="00EC250C">
              <w:rPr>
                <w:sz w:val="18"/>
                <w:szCs w:val="20"/>
              </w:rPr>
              <w:t>prawo konstytucyjne</w:t>
            </w:r>
            <w:r w:rsidR="00992FD0" w:rsidRPr="00EC250C">
              <w:rPr>
                <w:sz w:val="18"/>
                <w:szCs w:val="20"/>
              </w:rPr>
              <w:t xml:space="preserve"> i </w:t>
            </w:r>
            <w:r w:rsidRPr="00EC250C">
              <w:rPr>
                <w:sz w:val="18"/>
                <w:szCs w:val="20"/>
              </w:rPr>
              <w:t>międzynarodowe</w:t>
            </w:r>
          </w:p>
        </w:tc>
        <w:tc>
          <w:tcPr>
            <w:tcW w:w="1728" w:type="dxa"/>
            <w:vAlign w:val="center"/>
          </w:tcPr>
          <w:p w14:paraId="4028B88E" w14:textId="77777777" w:rsidR="00250AC8" w:rsidRPr="00EC250C" w:rsidRDefault="00250AC8" w:rsidP="00845591">
            <w:pPr>
              <w:pStyle w:val="Tabela"/>
              <w:rPr>
                <w:sz w:val="18"/>
                <w:szCs w:val="20"/>
              </w:rPr>
            </w:pPr>
            <w:r w:rsidRPr="00EC250C">
              <w:rPr>
                <w:sz w:val="18"/>
                <w:szCs w:val="20"/>
              </w:rPr>
              <w:t>4 116</w:t>
            </w:r>
          </w:p>
        </w:tc>
        <w:tc>
          <w:tcPr>
            <w:tcW w:w="1397" w:type="dxa"/>
            <w:vAlign w:val="center"/>
          </w:tcPr>
          <w:p w14:paraId="753CEE08" w14:textId="77777777" w:rsidR="00250AC8" w:rsidRPr="00EC250C" w:rsidRDefault="00250AC8" w:rsidP="00845591">
            <w:pPr>
              <w:pStyle w:val="Tabela"/>
              <w:rPr>
                <w:sz w:val="18"/>
                <w:szCs w:val="20"/>
              </w:rPr>
            </w:pPr>
            <w:r w:rsidRPr="00EC250C">
              <w:rPr>
                <w:sz w:val="18"/>
                <w:szCs w:val="20"/>
              </w:rPr>
              <w:t>15,9</w:t>
            </w:r>
          </w:p>
        </w:tc>
      </w:tr>
      <w:tr w:rsidR="00250AC8" w:rsidRPr="00EC250C" w14:paraId="6CF1D19D" w14:textId="77777777" w:rsidTr="00250AC8">
        <w:trPr>
          <w:trHeight w:val="20"/>
          <w:tblCellSpacing w:w="20" w:type="dxa"/>
          <w:jc w:val="center"/>
        </w:trPr>
        <w:tc>
          <w:tcPr>
            <w:tcW w:w="5788" w:type="dxa"/>
            <w:vAlign w:val="center"/>
          </w:tcPr>
          <w:p w14:paraId="265DFD3A" w14:textId="77777777" w:rsidR="00250AC8" w:rsidRPr="00EC250C" w:rsidRDefault="00250AC8" w:rsidP="00845591">
            <w:pPr>
              <w:pStyle w:val="Tabela"/>
              <w:rPr>
                <w:sz w:val="18"/>
                <w:szCs w:val="20"/>
              </w:rPr>
            </w:pPr>
            <w:r w:rsidRPr="00EC250C">
              <w:rPr>
                <w:sz w:val="18"/>
                <w:szCs w:val="20"/>
              </w:rPr>
              <w:t xml:space="preserve">prawo cywilne </w:t>
            </w:r>
          </w:p>
        </w:tc>
        <w:tc>
          <w:tcPr>
            <w:tcW w:w="1728" w:type="dxa"/>
            <w:vAlign w:val="center"/>
          </w:tcPr>
          <w:p w14:paraId="7EC863A5" w14:textId="77777777" w:rsidR="00250AC8" w:rsidRPr="00EC250C" w:rsidRDefault="00250AC8" w:rsidP="00845591">
            <w:pPr>
              <w:pStyle w:val="Tabela"/>
              <w:rPr>
                <w:sz w:val="18"/>
                <w:szCs w:val="20"/>
              </w:rPr>
            </w:pPr>
            <w:r w:rsidRPr="00EC250C">
              <w:rPr>
                <w:sz w:val="18"/>
                <w:szCs w:val="20"/>
              </w:rPr>
              <w:t>3 933</w:t>
            </w:r>
          </w:p>
        </w:tc>
        <w:tc>
          <w:tcPr>
            <w:tcW w:w="1397" w:type="dxa"/>
            <w:vAlign w:val="center"/>
          </w:tcPr>
          <w:p w14:paraId="68A3BF61" w14:textId="77777777" w:rsidR="00250AC8" w:rsidRPr="00EC250C" w:rsidRDefault="00250AC8" w:rsidP="00845591">
            <w:pPr>
              <w:pStyle w:val="Tabela"/>
              <w:rPr>
                <w:sz w:val="18"/>
                <w:szCs w:val="20"/>
              </w:rPr>
            </w:pPr>
            <w:r w:rsidRPr="00EC250C">
              <w:rPr>
                <w:sz w:val="18"/>
                <w:szCs w:val="20"/>
              </w:rPr>
              <w:t>15,2</w:t>
            </w:r>
          </w:p>
        </w:tc>
      </w:tr>
      <w:tr w:rsidR="00250AC8" w:rsidRPr="00EC250C" w14:paraId="01AA9FDB" w14:textId="77777777" w:rsidTr="00250AC8">
        <w:trPr>
          <w:trHeight w:val="20"/>
          <w:tblCellSpacing w:w="20" w:type="dxa"/>
          <w:jc w:val="center"/>
        </w:trPr>
        <w:tc>
          <w:tcPr>
            <w:tcW w:w="5788" w:type="dxa"/>
            <w:vAlign w:val="center"/>
          </w:tcPr>
          <w:p w14:paraId="14036B06" w14:textId="77777777" w:rsidR="00250AC8" w:rsidRPr="00EC250C" w:rsidRDefault="00250AC8" w:rsidP="00845591">
            <w:pPr>
              <w:pStyle w:val="Tabela"/>
              <w:rPr>
                <w:sz w:val="18"/>
                <w:szCs w:val="20"/>
              </w:rPr>
            </w:pPr>
            <w:r w:rsidRPr="00EC250C">
              <w:rPr>
                <w:sz w:val="18"/>
                <w:szCs w:val="20"/>
              </w:rPr>
              <w:t>prawo administracyjne</w:t>
            </w:r>
            <w:r w:rsidR="00992FD0" w:rsidRPr="00EC250C">
              <w:rPr>
                <w:sz w:val="18"/>
                <w:szCs w:val="20"/>
              </w:rPr>
              <w:t xml:space="preserve"> i </w:t>
            </w:r>
            <w:r w:rsidRPr="00EC250C">
              <w:rPr>
                <w:sz w:val="18"/>
                <w:szCs w:val="20"/>
              </w:rPr>
              <w:t>gospodarcze</w:t>
            </w:r>
          </w:p>
        </w:tc>
        <w:tc>
          <w:tcPr>
            <w:tcW w:w="1728" w:type="dxa"/>
            <w:vAlign w:val="center"/>
          </w:tcPr>
          <w:p w14:paraId="622D89BD" w14:textId="77777777" w:rsidR="00250AC8" w:rsidRPr="00EC250C" w:rsidRDefault="00250AC8" w:rsidP="00845591">
            <w:pPr>
              <w:pStyle w:val="Tabela"/>
              <w:rPr>
                <w:sz w:val="18"/>
                <w:szCs w:val="20"/>
              </w:rPr>
            </w:pPr>
            <w:r w:rsidRPr="00EC250C">
              <w:rPr>
                <w:sz w:val="18"/>
                <w:szCs w:val="20"/>
              </w:rPr>
              <w:t>2 992</w:t>
            </w:r>
          </w:p>
        </w:tc>
        <w:tc>
          <w:tcPr>
            <w:tcW w:w="1397" w:type="dxa"/>
            <w:vAlign w:val="center"/>
          </w:tcPr>
          <w:p w14:paraId="0809F938" w14:textId="77777777" w:rsidR="00250AC8" w:rsidRPr="00EC250C" w:rsidRDefault="00250AC8" w:rsidP="00845591">
            <w:pPr>
              <w:pStyle w:val="Tabela"/>
              <w:rPr>
                <w:sz w:val="18"/>
                <w:szCs w:val="20"/>
              </w:rPr>
            </w:pPr>
            <w:r w:rsidRPr="00EC250C">
              <w:rPr>
                <w:sz w:val="18"/>
                <w:szCs w:val="20"/>
              </w:rPr>
              <w:t>11,5</w:t>
            </w:r>
          </w:p>
        </w:tc>
      </w:tr>
      <w:tr w:rsidR="00250AC8" w:rsidRPr="00EC250C" w14:paraId="65819030" w14:textId="77777777" w:rsidTr="00250AC8">
        <w:trPr>
          <w:trHeight w:val="20"/>
          <w:tblCellSpacing w:w="20" w:type="dxa"/>
          <w:jc w:val="center"/>
        </w:trPr>
        <w:tc>
          <w:tcPr>
            <w:tcW w:w="5788" w:type="dxa"/>
            <w:vAlign w:val="center"/>
          </w:tcPr>
          <w:p w14:paraId="09C3451E" w14:textId="77777777" w:rsidR="00250AC8" w:rsidRPr="00EC250C" w:rsidRDefault="00250AC8" w:rsidP="00845591">
            <w:pPr>
              <w:pStyle w:val="Tabela"/>
              <w:rPr>
                <w:sz w:val="18"/>
                <w:szCs w:val="20"/>
              </w:rPr>
            </w:pPr>
            <w:r w:rsidRPr="00EC250C">
              <w:rPr>
                <w:sz w:val="18"/>
                <w:szCs w:val="20"/>
              </w:rPr>
              <w:t>prawo pracy</w:t>
            </w:r>
            <w:r w:rsidR="00992FD0" w:rsidRPr="00EC250C">
              <w:rPr>
                <w:sz w:val="18"/>
                <w:szCs w:val="20"/>
              </w:rPr>
              <w:t xml:space="preserve"> i </w:t>
            </w:r>
            <w:r w:rsidRPr="00EC250C">
              <w:rPr>
                <w:sz w:val="18"/>
                <w:szCs w:val="20"/>
              </w:rPr>
              <w:t>zabezpieczenie społeczne</w:t>
            </w:r>
          </w:p>
        </w:tc>
        <w:tc>
          <w:tcPr>
            <w:tcW w:w="1728" w:type="dxa"/>
            <w:vAlign w:val="center"/>
          </w:tcPr>
          <w:p w14:paraId="233F37FD" w14:textId="77777777" w:rsidR="00250AC8" w:rsidRPr="00EC250C" w:rsidRDefault="00250AC8" w:rsidP="00845591">
            <w:pPr>
              <w:pStyle w:val="Tabela"/>
              <w:rPr>
                <w:sz w:val="18"/>
                <w:szCs w:val="20"/>
              </w:rPr>
            </w:pPr>
            <w:r w:rsidRPr="00EC250C">
              <w:rPr>
                <w:sz w:val="18"/>
                <w:szCs w:val="20"/>
              </w:rPr>
              <w:t>2 795</w:t>
            </w:r>
          </w:p>
        </w:tc>
        <w:tc>
          <w:tcPr>
            <w:tcW w:w="1397" w:type="dxa"/>
            <w:vAlign w:val="center"/>
          </w:tcPr>
          <w:p w14:paraId="4B53B633" w14:textId="77777777" w:rsidR="00250AC8" w:rsidRPr="00EC250C" w:rsidRDefault="00250AC8" w:rsidP="00845591">
            <w:pPr>
              <w:pStyle w:val="Tabela"/>
              <w:rPr>
                <w:sz w:val="18"/>
                <w:szCs w:val="20"/>
              </w:rPr>
            </w:pPr>
            <w:r w:rsidRPr="00EC250C">
              <w:rPr>
                <w:sz w:val="18"/>
                <w:szCs w:val="20"/>
              </w:rPr>
              <w:t>10,8</w:t>
            </w:r>
          </w:p>
        </w:tc>
      </w:tr>
      <w:tr w:rsidR="00250AC8" w:rsidRPr="00EC250C" w14:paraId="3C5C3C15" w14:textId="77777777" w:rsidTr="00250AC8">
        <w:trPr>
          <w:trHeight w:val="20"/>
          <w:tblCellSpacing w:w="20" w:type="dxa"/>
          <w:jc w:val="center"/>
        </w:trPr>
        <w:tc>
          <w:tcPr>
            <w:tcW w:w="5788" w:type="dxa"/>
            <w:vAlign w:val="center"/>
          </w:tcPr>
          <w:p w14:paraId="368578E0" w14:textId="77777777" w:rsidR="00250AC8" w:rsidRPr="00EC250C" w:rsidRDefault="00250AC8" w:rsidP="00845591">
            <w:pPr>
              <w:pStyle w:val="Tabela"/>
              <w:rPr>
                <w:sz w:val="18"/>
                <w:szCs w:val="20"/>
              </w:rPr>
            </w:pPr>
            <w:r w:rsidRPr="00EC250C">
              <w:rPr>
                <w:sz w:val="18"/>
                <w:szCs w:val="20"/>
              </w:rPr>
              <w:t>inne</w:t>
            </w:r>
          </w:p>
        </w:tc>
        <w:tc>
          <w:tcPr>
            <w:tcW w:w="1728" w:type="dxa"/>
            <w:vAlign w:val="center"/>
          </w:tcPr>
          <w:p w14:paraId="397AF162" w14:textId="77777777" w:rsidR="00250AC8" w:rsidRPr="00EC250C" w:rsidRDefault="00250AC8" w:rsidP="00845591">
            <w:pPr>
              <w:pStyle w:val="Tabela"/>
              <w:rPr>
                <w:sz w:val="18"/>
                <w:szCs w:val="20"/>
              </w:rPr>
            </w:pPr>
            <w:r w:rsidRPr="00EC250C">
              <w:rPr>
                <w:sz w:val="18"/>
                <w:szCs w:val="20"/>
              </w:rPr>
              <w:t>1 363</w:t>
            </w:r>
          </w:p>
        </w:tc>
        <w:tc>
          <w:tcPr>
            <w:tcW w:w="1397" w:type="dxa"/>
            <w:vAlign w:val="center"/>
          </w:tcPr>
          <w:p w14:paraId="3C8B056F" w14:textId="77777777" w:rsidR="00250AC8" w:rsidRPr="00EC250C" w:rsidRDefault="00250AC8" w:rsidP="00845591">
            <w:pPr>
              <w:pStyle w:val="Tabela"/>
              <w:rPr>
                <w:sz w:val="18"/>
                <w:szCs w:val="20"/>
              </w:rPr>
            </w:pPr>
            <w:r w:rsidRPr="00EC250C">
              <w:rPr>
                <w:sz w:val="18"/>
                <w:szCs w:val="20"/>
              </w:rPr>
              <w:t>5,2</w:t>
            </w:r>
          </w:p>
        </w:tc>
      </w:tr>
    </w:tbl>
    <w:p w14:paraId="3979B36B" w14:textId="77777777" w:rsidR="00250AC8" w:rsidRPr="00EC250C" w:rsidRDefault="00250AC8" w:rsidP="00D131FA">
      <w:pPr>
        <w:pStyle w:val="Standardowy10"/>
        <w:rPr>
          <w:sz w:val="24"/>
        </w:rPr>
      </w:pPr>
    </w:p>
    <w:p w14:paraId="0CE4D5C8" w14:textId="77777777" w:rsidR="00250AC8" w:rsidRPr="00EC250C" w:rsidRDefault="00250AC8" w:rsidP="00D131FA">
      <w:pPr>
        <w:pStyle w:val="Standardowy10"/>
        <w:spacing w:after="120" w:line="240" w:lineRule="auto"/>
        <w:ind w:firstLine="708"/>
        <w:rPr>
          <w:i/>
          <w:sz w:val="24"/>
        </w:rPr>
      </w:pPr>
      <w:r w:rsidRPr="00EC250C">
        <w:rPr>
          <w:i/>
          <w:sz w:val="24"/>
        </w:rPr>
        <w:t>Z 25 921 spraw rozpatrzonych</w:t>
      </w:r>
      <w:r w:rsidR="00992FD0" w:rsidRPr="00EC250C">
        <w:rPr>
          <w:i/>
          <w:sz w:val="24"/>
        </w:rPr>
        <w:t xml:space="preserve"> w </w:t>
      </w:r>
      <w:r w:rsidRPr="00EC250C">
        <w:rPr>
          <w:i/>
          <w:sz w:val="24"/>
        </w:rPr>
        <w:t>2018</w:t>
      </w:r>
      <w:r w:rsidR="00C91F6E" w:rsidRPr="00EC250C">
        <w:rPr>
          <w:i/>
          <w:sz w:val="24"/>
        </w:rPr>
        <w:t> r.</w:t>
      </w:r>
      <w:r w:rsidRPr="00EC250C">
        <w:rPr>
          <w:i/>
          <w:sz w:val="24"/>
        </w:rPr>
        <w:t xml:space="preserve"> podjęto do prowadzenia </w:t>
      </w:r>
      <w:r w:rsidRPr="00EC250C">
        <w:rPr>
          <w:b/>
          <w:i/>
          <w:sz w:val="24"/>
        </w:rPr>
        <w:t>10</w:t>
      </w:r>
      <w:r w:rsidR="00B2626D" w:rsidRPr="00EC250C">
        <w:rPr>
          <w:b/>
          <w:i/>
          <w:sz w:val="24"/>
        </w:rPr>
        <w:t> </w:t>
      </w:r>
      <w:r w:rsidRPr="00EC250C">
        <w:rPr>
          <w:b/>
          <w:i/>
          <w:sz w:val="24"/>
        </w:rPr>
        <w:t>673</w:t>
      </w:r>
      <w:r w:rsidRPr="00EC250C">
        <w:rPr>
          <w:i/>
          <w:sz w:val="24"/>
        </w:rPr>
        <w:t>,</w:t>
      </w:r>
      <w:r w:rsidR="00992FD0" w:rsidRPr="00EC250C">
        <w:rPr>
          <w:i/>
          <w:sz w:val="24"/>
        </w:rPr>
        <w:t xml:space="preserve"> w </w:t>
      </w:r>
      <w:r w:rsidRPr="00EC250C">
        <w:rPr>
          <w:i/>
          <w:sz w:val="24"/>
        </w:rPr>
        <w:t>tym najwięcej było spraw</w:t>
      </w:r>
      <w:r w:rsidR="00992FD0" w:rsidRPr="00EC250C">
        <w:rPr>
          <w:i/>
          <w:sz w:val="24"/>
        </w:rPr>
        <w:t xml:space="preserve"> z </w:t>
      </w:r>
      <w:r w:rsidRPr="00EC250C">
        <w:rPr>
          <w:i/>
          <w:sz w:val="24"/>
        </w:rPr>
        <w:t>zakresu:</w:t>
      </w:r>
    </w:p>
    <w:tbl>
      <w:tblPr>
        <w:tblW w:w="9141"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5849"/>
        <w:gridCol w:w="1768"/>
        <w:gridCol w:w="1524"/>
      </w:tblGrid>
      <w:tr w:rsidR="00250AC8" w:rsidRPr="00EC250C" w14:paraId="7FDF8E21" w14:textId="77777777" w:rsidTr="00250AC8">
        <w:trPr>
          <w:trHeight w:val="20"/>
          <w:tblCellSpacing w:w="20" w:type="dxa"/>
          <w:jc w:val="center"/>
        </w:trPr>
        <w:tc>
          <w:tcPr>
            <w:tcW w:w="5789" w:type="dxa"/>
          </w:tcPr>
          <w:p w14:paraId="41EA1F31" w14:textId="77777777" w:rsidR="00250AC8" w:rsidRPr="00EC250C" w:rsidRDefault="00250AC8" w:rsidP="00845591">
            <w:pPr>
              <w:pStyle w:val="Tabela"/>
              <w:rPr>
                <w:sz w:val="18"/>
                <w:szCs w:val="20"/>
              </w:rPr>
            </w:pPr>
            <w:r w:rsidRPr="00EC250C">
              <w:rPr>
                <w:sz w:val="18"/>
                <w:szCs w:val="20"/>
              </w:rPr>
              <w:t>Problematyka</w:t>
            </w:r>
          </w:p>
        </w:tc>
        <w:tc>
          <w:tcPr>
            <w:tcW w:w="1728" w:type="dxa"/>
          </w:tcPr>
          <w:p w14:paraId="4DBB63DB" w14:textId="77777777" w:rsidR="00250AC8" w:rsidRPr="00EC250C" w:rsidRDefault="00250AC8" w:rsidP="00845591">
            <w:pPr>
              <w:pStyle w:val="Tabela"/>
              <w:rPr>
                <w:sz w:val="18"/>
                <w:szCs w:val="20"/>
              </w:rPr>
            </w:pPr>
            <w:r w:rsidRPr="00EC250C">
              <w:rPr>
                <w:sz w:val="18"/>
                <w:szCs w:val="20"/>
              </w:rPr>
              <w:t>Liczba</w:t>
            </w:r>
          </w:p>
        </w:tc>
        <w:tc>
          <w:tcPr>
            <w:tcW w:w="1464" w:type="dxa"/>
          </w:tcPr>
          <w:p w14:paraId="28F2A638" w14:textId="77777777" w:rsidR="00250AC8" w:rsidRPr="00EC250C" w:rsidRDefault="00250AC8" w:rsidP="00845591">
            <w:pPr>
              <w:pStyle w:val="Tabela"/>
              <w:rPr>
                <w:sz w:val="18"/>
                <w:szCs w:val="20"/>
              </w:rPr>
            </w:pPr>
            <w:r w:rsidRPr="00EC250C">
              <w:rPr>
                <w:sz w:val="18"/>
                <w:szCs w:val="20"/>
              </w:rPr>
              <w:t>%</w:t>
            </w:r>
          </w:p>
        </w:tc>
      </w:tr>
      <w:tr w:rsidR="00250AC8" w:rsidRPr="00EC250C" w14:paraId="28F289D0" w14:textId="77777777" w:rsidTr="00250AC8">
        <w:trPr>
          <w:trHeight w:val="20"/>
          <w:tblCellSpacing w:w="20" w:type="dxa"/>
          <w:jc w:val="center"/>
        </w:trPr>
        <w:tc>
          <w:tcPr>
            <w:tcW w:w="5789" w:type="dxa"/>
            <w:vAlign w:val="center"/>
          </w:tcPr>
          <w:p w14:paraId="3E5C7562" w14:textId="77777777" w:rsidR="00250AC8" w:rsidRPr="00EC250C" w:rsidRDefault="00250AC8" w:rsidP="00845591">
            <w:pPr>
              <w:pStyle w:val="Tabela"/>
              <w:rPr>
                <w:sz w:val="18"/>
                <w:szCs w:val="20"/>
              </w:rPr>
            </w:pPr>
            <w:r w:rsidRPr="00EC250C">
              <w:rPr>
                <w:sz w:val="18"/>
                <w:szCs w:val="20"/>
              </w:rPr>
              <w:t>prawo konstytucyjne, międzynarodowe</w:t>
            </w:r>
            <w:r w:rsidR="00992FD0" w:rsidRPr="00EC250C">
              <w:rPr>
                <w:sz w:val="18"/>
                <w:szCs w:val="20"/>
              </w:rPr>
              <w:t xml:space="preserve"> i </w:t>
            </w:r>
            <w:r w:rsidRPr="00EC250C">
              <w:rPr>
                <w:sz w:val="18"/>
                <w:szCs w:val="20"/>
              </w:rPr>
              <w:t>europejskie</w:t>
            </w:r>
          </w:p>
        </w:tc>
        <w:tc>
          <w:tcPr>
            <w:tcW w:w="1728" w:type="dxa"/>
            <w:vAlign w:val="center"/>
          </w:tcPr>
          <w:p w14:paraId="7C1011EE" w14:textId="77777777" w:rsidR="00250AC8" w:rsidRPr="00EC250C" w:rsidRDefault="00250AC8" w:rsidP="00845591">
            <w:pPr>
              <w:pStyle w:val="Tabela"/>
              <w:rPr>
                <w:sz w:val="18"/>
                <w:szCs w:val="20"/>
              </w:rPr>
            </w:pPr>
            <w:r w:rsidRPr="00EC250C">
              <w:rPr>
                <w:sz w:val="18"/>
                <w:szCs w:val="20"/>
              </w:rPr>
              <w:t>3500</w:t>
            </w:r>
          </w:p>
        </w:tc>
        <w:tc>
          <w:tcPr>
            <w:tcW w:w="1464" w:type="dxa"/>
            <w:vAlign w:val="center"/>
          </w:tcPr>
          <w:p w14:paraId="0F8CD5CB" w14:textId="77777777" w:rsidR="00250AC8" w:rsidRPr="00EC250C" w:rsidRDefault="00250AC8" w:rsidP="00845591">
            <w:pPr>
              <w:pStyle w:val="Tabela"/>
              <w:rPr>
                <w:sz w:val="18"/>
                <w:szCs w:val="20"/>
              </w:rPr>
            </w:pPr>
            <w:r w:rsidRPr="00EC250C">
              <w:rPr>
                <w:sz w:val="18"/>
                <w:szCs w:val="20"/>
              </w:rPr>
              <w:t>32,8</w:t>
            </w:r>
          </w:p>
        </w:tc>
      </w:tr>
      <w:tr w:rsidR="00250AC8" w:rsidRPr="00EC250C" w14:paraId="6BF47B68" w14:textId="77777777" w:rsidTr="00250AC8">
        <w:trPr>
          <w:trHeight w:val="20"/>
          <w:tblCellSpacing w:w="20" w:type="dxa"/>
          <w:jc w:val="center"/>
        </w:trPr>
        <w:tc>
          <w:tcPr>
            <w:tcW w:w="5789" w:type="dxa"/>
            <w:vAlign w:val="center"/>
          </w:tcPr>
          <w:p w14:paraId="7B9DCBD2" w14:textId="77777777" w:rsidR="00250AC8" w:rsidRPr="00EC250C" w:rsidRDefault="00250AC8" w:rsidP="00845591">
            <w:pPr>
              <w:pStyle w:val="Tabela"/>
              <w:rPr>
                <w:sz w:val="18"/>
                <w:szCs w:val="20"/>
              </w:rPr>
            </w:pPr>
            <w:r w:rsidRPr="00EC250C">
              <w:rPr>
                <w:sz w:val="18"/>
                <w:szCs w:val="20"/>
              </w:rPr>
              <w:t>prawo karne</w:t>
            </w:r>
          </w:p>
        </w:tc>
        <w:tc>
          <w:tcPr>
            <w:tcW w:w="1728" w:type="dxa"/>
            <w:vAlign w:val="center"/>
          </w:tcPr>
          <w:p w14:paraId="6FA140A1" w14:textId="77777777" w:rsidR="00250AC8" w:rsidRPr="00EC250C" w:rsidRDefault="00250AC8" w:rsidP="00845591">
            <w:pPr>
              <w:pStyle w:val="Tabela"/>
              <w:rPr>
                <w:sz w:val="18"/>
                <w:szCs w:val="20"/>
              </w:rPr>
            </w:pPr>
            <w:r w:rsidRPr="00EC250C">
              <w:rPr>
                <w:sz w:val="18"/>
                <w:szCs w:val="20"/>
              </w:rPr>
              <w:t>1 856</w:t>
            </w:r>
          </w:p>
        </w:tc>
        <w:tc>
          <w:tcPr>
            <w:tcW w:w="1464" w:type="dxa"/>
            <w:vAlign w:val="center"/>
          </w:tcPr>
          <w:p w14:paraId="18395EBF" w14:textId="77777777" w:rsidR="00250AC8" w:rsidRPr="00EC250C" w:rsidRDefault="00250AC8" w:rsidP="00845591">
            <w:pPr>
              <w:pStyle w:val="Tabela"/>
              <w:rPr>
                <w:sz w:val="18"/>
                <w:szCs w:val="20"/>
              </w:rPr>
            </w:pPr>
            <w:r w:rsidRPr="00EC250C">
              <w:rPr>
                <w:sz w:val="18"/>
                <w:szCs w:val="20"/>
              </w:rPr>
              <w:t>17,4</w:t>
            </w:r>
          </w:p>
        </w:tc>
      </w:tr>
      <w:tr w:rsidR="00250AC8" w:rsidRPr="00EC250C" w14:paraId="430880AB" w14:textId="77777777" w:rsidTr="00250AC8">
        <w:trPr>
          <w:trHeight w:val="20"/>
          <w:tblCellSpacing w:w="20" w:type="dxa"/>
          <w:jc w:val="center"/>
        </w:trPr>
        <w:tc>
          <w:tcPr>
            <w:tcW w:w="5789" w:type="dxa"/>
            <w:vAlign w:val="center"/>
          </w:tcPr>
          <w:p w14:paraId="1D2F4390" w14:textId="77777777" w:rsidR="00250AC8" w:rsidRPr="00EC250C" w:rsidRDefault="00250AC8" w:rsidP="00845591">
            <w:pPr>
              <w:pStyle w:val="Tabela"/>
              <w:rPr>
                <w:sz w:val="18"/>
                <w:szCs w:val="20"/>
              </w:rPr>
            </w:pPr>
            <w:r w:rsidRPr="00EC250C">
              <w:rPr>
                <w:sz w:val="18"/>
                <w:szCs w:val="20"/>
              </w:rPr>
              <w:t>prawo karne wykonawcze</w:t>
            </w:r>
          </w:p>
        </w:tc>
        <w:tc>
          <w:tcPr>
            <w:tcW w:w="1728" w:type="dxa"/>
            <w:vAlign w:val="center"/>
          </w:tcPr>
          <w:p w14:paraId="393FABAD" w14:textId="77777777" w:rsidR="00250AC8" w:rsidRPr="00EC250C" w:rsidRDefault="00250AC8" w:rsidP="00845591">
            <w:pPr>
              <w:pStyle w:val="Tabela"/>
              <w:rPr>
                <w:sz w:val="18"/>
                <w:szCs w:val="20"/>
              </w:rPr>
            </w:pPr>
            <w:r w:rsidRPr="00EC250C">
              <w:rPr>
                <w:sz w:val="18"/>
                <w:szCs w:val="20"/>
              </w:rPr>
              <w:t>1 352</w:t>
            </w:r>
          </w:p>
        </w:tc>
        <w:tc>
          <w:tcPr>
            <w:tcW w:w="1464" w:type="dxa"/>
            <w:vAlign w:val="center"/>
          </w:tcPr>
          <w:p w14:paraId="5AA9E6CF" w14:textId="77777777" w:rsidR="00250AC8" w:rsidRPr="00EC250C" w:rsidRDefault="00250AC8" w:rsidP="00845591">
            <w:pPr>
              <w:pStyle w:val="Tabela"/>
              <w:rPr>
                <w:sz w:val="18"/>
                <w:szCs w:val="20"/>
              </w:rPr>
            </w:pPr>
            <w:r w:rsidRPr="00EC250C">
              <w:rPr>
                <w:sz w:val="18"/>
                <w:szCs w:val="20"/>
              </w:rPr>
              <w:t>12,7</w:t>
            </w:r>
          </w:p>
        </w:tc>
      </w:tr>
      <w:tr w:rsidR="00250AC8" w:rsidRPr="00EC250C" w14:paraId="1CF0C48B" w14:textId="77777777" w:rsidTr="00250AC8">
        <w:trPr>
          <w:trHeight w:val="20"/>
          <w:tblCellSpacing w:w="20" w:type="dxa"/>
          <w:jc w:val="center"/>
        </w:trPr>
        <w:tc>
          <w:tcPr>
            <w:tcW w:w="5789" w:type="dxa"/>
            <w:vAlign w:val="center"/>
          </w:tcPr>
          <w:p w14:paraId="383D086C" w14:textId="77777777" w:rsidR="00250AC8" w:rsidRPr="00EC250C" w:rsidRDefault="00250AC8" w:rsidP="00845591">
            <w:pPr>
              <w:pStyle w:val="Tabela"/>
              <w:rPr>
                <w:sz w:val="18"/>
                <w:szCs w:val="20"/>
              </w:rPr>
            </w:pPr>
            <w:r w:rsidRPr="00EC250C">
              <w:rPr>
                <w:sz w:val="18"/>
                <w:szCs w:val="20"/>
              </w:rPr>
              <w:t>prawo cywilne</w:t>
            </w:r>
          </w:p>
        </w:tc>
        <w:tc>
          <w:tcPr>
            <w:tcW w:w="1728" w:type="dxa"/>
            <w:vAlign w:val="center"/>
          </w:tcPr>
          <w:p w14:paraId="1878EB15" w14:textId="77777777" w:rsidR="00250AC8" w:rsidRPr="00EC250C" w:rsidRDefault="00250AC8" w:rsidP="00845591">
            <w:pPr>
              <w:pStyle w:val="Tabela"/>
              <w:rPr>
                <w:sz w:val="18"/>
                <w:szCs w:val="20"/>
              </w:rPr>
            </w:pPr>
            <w:r w:rsidRPr="00EC250C">
              <w:rPr>
                <w:sz w:val="18"/>
                <w:szCs w:val="20"/>
              </w:rPr>
              <w:t>1 343</w:t>
            </w:r>
          </w:p>
        </w:tc>
        <w:tc>
          <w:tcPr>
            <w:tcW w:w="1464" w:type="dxa"/>
            <w:vAlign w:val="center"/>
          </w:tcPr>
          <w:p w14:paraId="71DF41EB" w14:textId="77777777" w:rsidR="00250AC8" w:rsidRPr="00EC250C" w:rsidRDefault="00250AC8" w:rsidP="00845591">
            <w:pPr>
              <w:pStyle w:val="Tabela"/>
              <w:rPr>
                <w:sz w:val="18"/>
                <w:szCs w:val="20"/>
              </w:rPr>
            </w:pPr>
            <w:r w:rsidRPr="00EC250C">
              <w:rPr>
                <w:sz w:val="18"/>
                <w:szCs w:val="20"/>
              </w:rPr>
              <w:t>12,6</w:t>
            </w:r>
          </w:p>
        </w:tc>
      </w:tr>
      <w:tr w:rsidR="00250AC8" w:rsidRPr="00EC250C" w14:paraId="433146F3" w14:textId="77777777" w:rsidTr="00250AC8">
        <w:trPr>
          <w:trHeight w:val="20"/>
          <w:tblCellSpacing w:w="20" w:type="dxa"/>
          <w:jc w:val="center"/>
        </w:trPr>
        <w:tc>
          <w:tcPr>
            <w:tcW w:w="5789" w:type="dxa"/>
            <w:vAlign w:val="center"/>
          </w:tcPr>
          <w:p w14:paraId="5BB0B8D3" w14:textId="77777777" w:rsidR="00250AC8" w:rsidRPr="00EC250C" w:rsidRDefault="00250AC8" w:rsidP="00845591">
            <w:pPr>
              <w:pStyle w:val="Tabela"/>
              <w:rPr>
                <w:sz w:val="18"/>
                <w:szCs w:val="20"/>
              </w:rPr>
            </w:pPr>
            <w:r w:rsidRPr="00EC250C">
              <w:rPr>
                <w:sz w:val="18"/>
                <w:szCs w:val="20"/>
              </w:rPr>
              <w:t>prawo pracy</w:t>
            </w:r>
            <w:r w:rsidR="00992FD0" w:rsidRPr="00EC250C">
              <w:rPr>
                <w:sz w:val="18"/>
                <w:szCs w:val="20"/>
              </w:rPr>
              <w:t xml:space="preserve"> i </w:t>
            </w:r>
            <w:r w:rsidRPr="00EC250C">
              <w:rPr>
                <w:sz w:val="18"/>
                <w:szCs w:val="20"/>
              </w:rPr>
              <w:t>zabezpieczenie społeczne</w:t>
            </w:r>
          </w:p>
        </w:tc>
        <w:tc>
          <w:tcPr>
            <w:tcW w:w="1728" w:type="dxa"/>
            <w:vAlign w:val="center"/>
          </w:tcPr>
          <w:p w14:paraId="25AF5690" w14:textId="77777777" w:rsidR="00250AC8" w:rsidRPr="00EC250C" w:rsidRDefault="00250AC8" w:rsidP="00845591">
            <w:pPr>
              <w:pStyle w:val="Tabela"/>
              <w:rPr>
                <w:sz w:val="18"/>
                <w:szCs w:val="20"/>
              </w:rPr>
            </w:pPr>
            <w:r w:rsidRPr="00EC250C">
              <w:rPr>
                <w:sz w:val="18"/>
                <w:szCs w:val="20"/>
              </w:rPr>
              <w:t>1 152</w:t>
            </w:r>
          </w:p>
        </w:tc>
        <w:tc>
          <w:tcPr>
            <w:tcW w:w="1464" w:type="dxa"/>
            <w:vAlign w:val="center"/>
          </w:tcPr>
          <w:p w14:paraId="529898F8" w14:textId="77777777" w:rsidR="00250AC8" w:rsidRPr="00EC250C" w:rsidRDefault="00250AC8" w:rsidP="00845591">
            <w:pPr>
              <w:pStyle w:val="Tabela"/>
              <w:rPr>
                <w:sz w:val="18"/>
                <w:szCs w:val="20"/>
              </w:rPr>
            </w:pPr>
            <w:r w:rsidRPr="00EC250C">
              <w:rPr>
                <w:sz w:val="18"/>
                <w:szCs w:val="20"/>
              </w:rPr>
              <w:t>10,8</w:t>
            </w:r>
          </w:p>
        </w:tc>
      </w:tr>
      <w:tr w:rsidR="00250AC8" w:rsidRPr="00EC250C" w14:paraId="765F110F" w14:textId="77777777" w:rsidTr="00250AC8">
        <w:trPr>
          <w:trHeight w:val="20"/>
          <w:tblCellSpacing w:w="20" w:type="dxa"/>
          <w:jc w:val="center"/>
        </w:trPr>
        <w:tc>
          <w:tcPr>
            <w:tcW w:w="5789" w:type="dxa"/>
            <w:vAlign w:val="center"/>
          </w:tcPr>
          <w:p w14:paraId="547B9E7C" w14:textId="77777777" w:rsidR="00250AC8" w:rsidRPr="00EC250C" w:rsidRDefault="00250AC8" w:rsidP="00845591">
            <w:pPr>
              <w:pStyle w:val="Tabela"/>
              <w:rPr>
                <w:sz w:val="18"/>
                <w:szCs w:val="20"/>
              </w:rPr>
            </w:pPr>
            <w:r w:rsidRPr="00EC250C">
              <w:rPr>
                <w:sz w:val="18"/>
                <w:szCs w:val="20"/>
              </w:rPr>
              <w:t>prawo administracyjne</w:t>
            </w:r>
            <w:r w:rsidR="00992FD0" w:rsidRPr="00EC250C">
              <w:rPr>
                <w:sz w:val="18"/>
                <w:szCs w:val="20"/>
              </w:rPr>
              <w:t xml:space="preserve"> i </w:t>
            </w:r>
            <w:r w:rsidRPr="00EC250C">
              <w:rPr>
                <w:sz w:val="18"/>
                <w:szCs w:val="20"/>
              </w:rPr>
              <w:t>gospodarcze</w:t>
            </w:r>
          </w:p>
        </w:tc>
        <w:tc>
          <w:tcPr>
            <w:tcW w:w="1728" w:type="dxa"/>
            <w:vAlign w:val="center"/>
          </w:tcPr>
          <w:p w14:paraId="257BDC75" w14:textId="77777777" w:rsidR="00250AC8" w:rsidRPr="00EC250C" w:rsidRDefault="00250AC8" w:rsidP="00845591">
            <w:pPr>
              <w:pStyle w:val="Tabela"/>
              <w:rPr>
                <w:sz w:val="18"/>
                <w:szCs w:val="20"/>
              </w:rPr>
            </w:pPr>
            <w:r w:rsidRPr="00EC250C">
              <w:rPr>
                <w:sz w:val="18"/>
                <w:szCs w:val="20"/>
              </w:rPr>
              <w:t>826</w:t>
            </w:r>
          </w:p>
        </w:tc>
        <w:tc>
          <w:tcPr>
            <w:tcW w:w="1464" w:type="dxa"/>
            <w:vAlign w:val="center"/>
          </w:tcPr>
          <w:p w14:paraId="1BC52D14" w14:textId="77777777" w:rsidR="00250AC8" w:rsidRPr="00EC250C" w:rsidRDefault="00250AC8" w:rsidP="00845591">
            <w:pPr>
              <w:pStyle w:val="Tabela"/>
              <w:rPr>
                <w:sz w:val="18"/>
                <w:szCs w:val="20"/>
              </w:rPr>
            </w:pPr>
            <w:r w:rsidRPr="00EC250C">
              <w:rPr>
                <w:sz w:val="18"/>
                <w:szCs w:val="20"/>
              </w:rPr>
              <w:t>7,7</w:t>
            </w:r>
          </w:p>
        </w:tc>
      </w:tr>
      <w:tr w:rsidR="00250AC8" w:rsidRPr="00EC250C" w14:paraId="6D487BE7" w14:textId="77777777" w:rsidTr="00250AC8">
        <w:trPr>
          <w:trHeight w:val="20"/>
          <w:tblCellSpacing w:w="20" w:type="dxa"/>
          <w:jc w:val="center"/>
        </w:trPr>
        <w:tc>
          <w:tcPr>
            <w:tcW w:w="5789" w:type="dxa"/>
            <w:vAlign w:val="center"/>
          </w:tcPr>
          <w:p w14:paraId="381E6084" w14:textId="77777777" w:rsidR="00250AC8" w:rsidRPr="00EC250C" w:rsidRDefault="00250AC8" w:rsidP="00845591">
            <w:pPr>
              <w:pStyle w:val="Tabela"/>
              <w:rPr>
                <w:sz w:val="18"/>
                <w:szCs w:val="20"/>
              </w:rPr>
            </w:pPr>
            <w:r w:rsidRPr="00EC250C">
              <w:rPr>
                <w:sz w:val="18"/>
                <w:szCs w:val="20"/>
              </w:rPr>
              <w:t>inne</w:t>
            </w:r>
          </w:p>
        </w:tc>
        <w:tc>
          <w:tcPr>
            <w:tcW w:w="1728" w:type="dxa"/>
            <w:vAlign w:val="center"/>
          </w:tcPr>
          <w:p w14:paraId="0069695F" w14:textId="77777777" w:rsidR="00250AC8" w:rsidRPr="00EC250C" w:rsidRDefault="00250AC8" w:rsidP="00845591">
            <w:pPr>
              <w:pStyle w:val="Tabela"/>
              <w:rPr>
                <w:sz w:val="18"/>
                <w:szCs w:val="20"/>
              </w:rPr>
            </w:pPr>
            <w:r w:rsidRPr="00EC250C">
              <w:rPr>
                <w:sz w:val="18"/>
                <w:szCs w:val="20"/>
              </w:rPr>
              <w:t>644</w:t>
            </w:r>
          </w:p>
        </w:tc>
        <w:tc>
          <w:tcPr>
            <w:tcW w:w="1464" w:type="dxa"/>
            <w:vAlign w:val="center"/>
          </w:tcPr>
          <w:p w14:paraId="66FC0493" w14:textId="77777777" w:rsidR="00250AC8" w:rsidRPr="00EC250C" w:rsidRDefault="00250AC8" w:rsidP="00845591">
            <w:pPr>
              <w:pStyle w:val="Tabela"/>
              <w:rPr>
                <w:sz w:val="18"/>
                <w:szCs w:val="20"/>
              </w:rPr>
            </w:pPr>
            <w:r w:rsidRPr="00EC250C">
              <w:rPr>
                <w:sz w:val="18"/>
                <w:szCs w:val="20"/>
              </w:rPr>
              <w:t>6,0</w:t>
            </w:r>
          </w:p>
        </w:tc>
      </w:tr>
    </w:tbl>
    <w:p w14:paraId="10C648DA" w14:textId="77777777" w:rsidR="00250AC8" w:rsidRPr="00EC250C" w:rsidRDefault="00250AC8" w:rsidP="00D131FA">
      <w:pPr>
        <w:pStyle w:val="Standardowy10"/>
        <w:spacing w:line="240" w:lineRule="auto"/>
        <w:rPr>
          <w:sz w:val="24"/>
        </w:rPr>
      </w:pPr>
    </w:p>
    <w:p w14:paraId="21E59775" w14:textId="77777777" w:rsidR="00250AC8" w:rsidRPr="00EC250C" w:rsidRDefault="00ED567C" w:rsidP="00D131FA">
      <w:pPr>
        <w:spacing w:line="240" w:lineRule="auto"/>
        <w:jc w:val="both"/>
        <w:rPr>
          <w:b/>
          <w:sz w:val="24"/>
        </w:rPr>
      </w:pPr>
      <w:r w:rsidRPr="00EC250C">
        <w:rPr>
          <w:b/>
          <w:noProof/>
          <w:sz w:val="24"/>
        </w:rPr>
        <w:drawing>
          <wp:inline distT="0" distB="0" distL="0" distR="0" wp14:anchorId="605472A5" wp14:editId="22BF1695">
            <wp:extent cx="5040000" cy="2307600"/>
            <wp:effectExtent l="0" t="0" r="8255" b="0"/>
            <wp:docPr id="15" name="Obraz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0000" cy="2307600"/>
                    </a:xfrm>
                    <a:prstGeom prst="rect">
                      <a:avLst/>
                    </a:prstGeom>
                    <a:noFill/>
                  </pic:spPr>
                </pic:pic>
              </a:graphicData>
            </a:graphic>
          </wp:inline>
        </w:drawing>
      </w:r>
    </w:p>
    <w:p w14:paraId="7FF0292F" w14:textId="77777777" w:rsidR="00250AC8" w:rsidRPr="00EC250C" w:rsidRDefault="00250AC8" w:rsidP="00D131FA">
      <w:pPr>
        <w:pStyle w:val="Srdtytul6"/>
        <w:jc w:val="both"/>
        <w:rPr>
          <w:spacing w:val="0"/>
          <w:sz w:val="20"/>
        </w:rPr>
      </w:pPr>
      <w:r w:rsidRPr="00EC250C">
        <w:lastRenderedPageBreak/>
        <w:t>Zakończono postępowanie</w:t>
      </w:r>
      <w:r w:rsidR="00992FD0" w:rsidRPr="00EC250C">
        <w:t xml:space="preserve"> w </w:t>
      </w:r>
      <w:r w:rsidRPr="00EC250C">
        <w:t>6667 sprawach podjętych</w:t>
      </w:r>
      <w:r w:rsidR="00992FD0" w:rsidRPr="00EC250C">
        <w:t xml:space="preserve"> w </w:t>
      </w:r>
      <w:r w:rsidRPr="00EC250C">
        <w:t>roku 2018</w:t>
      </w:r>
      <w:r w:rsidR="00992FD0" w:rsidRPr="00EC250C">
        <w:t xml:space="preserve"> i </w:t>
      </w:r>
      <w:r w:rsidRPr="00EC250C">
        <w:t>latach poprzednich.</w:t>
      </w:r>
      <w:r w:rsidRPr="00EC250C">
        <w:fldChar w:fldCharType="begin"/>
      </w:r>
      <w:r w:rsidRPr="00EC250C">
        <w:instrText xml:space="preserve"> LINK Excel.Sheet.8 E:\\cw.xlsx DANE!W1K1:W15K5 \a \f 4 \r  \* MERGEFORMAT </w:instrText>
      </w:r>
      <w:r w:rsidRPr="00EC250C">
        <w:fldChar w:fldCharType="separate"/>
      </w:r>
    </w:p>
    <w:tbl>
      <w:tblPr>
        <w:tblW w:w="8840"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2760"/>
        <w:gridCol w:w="486"/>
        <w:gridCol w:w="3674"/>
        <w:gridCol w:w="980"/>
        <w:gridCol w:w="980"/>
      </w:tblGrid>
      <w:tr w:rsidR="00250AC8" w:rsidRPr="00EC250C" w14:paraId="357961D8" w14:textId="77777777" w:rsidTr="00B2626D">
        <w:trPr>
          <w:trHeight w:val="397"/>
          <w:tblCellSpacing w:w="20" w:type="dxa"/>
          <w:jc w:val="center"/>
        </w:trPr>
        <w:tc>
          <w:tcPr>
            <w:tcW w:w="2690" w:type="dxa"/>
            <w:noWrap/>
            <w:vAlign w:val="center"/>
            <w:hideMark/>
          </w:tcPr>
          <w:p w14:paraId="3B68ED6E" w14:textId="77777777" w:rsidR="00250AC8" w:rsidRPr="00EC250C" w:rsidRDefault="00250AC8" w:rsidP="00845591">
            <w:pPr>
              <w:pStyle w:val="Tabela"/>
              <w:rPr>
                <w:sz w:val="18"/>
                <w:szCs w:val="20"/>
              </w:rPr>
            </w:pPr>
            <w:r w:rsidRPr="00EC250C">
              <w:rPr>
                <w:sz w:val="18"/>
                <w:szCs w:val="20"/>
              </w:rPr>
              <w:t>Efekty</w:t>
            </w:r>
          </w:p>
        </w:tc>
        <w:tc>
          <w:tcPr>
            <w:tcW w:w="4110" w:type="dxa"/>
            <w:gridSpan w:val="2"/>
            <w:noWrap/>
            <w:vAlign w:val="center"/>
            <w:hideMark/>
          </w:tcPr>
          <w:p w14:paraId="43696A74" w14:textId="77777777" w:rsidR="00250AC8" w:rsidRPr="00EC250C" w:rsidRDefault="00250AC8" w:rsidP="00845591">
            <w:pPr>
              <w:pStyle w:val="Tabela"/>
              <w:rPr>
                <w:sz w:val="18"/>
                <w:szCs w:val="20"/>
              </w:rPr>
            </w:pPr>
            <w:r w:rsidRPr="00EC250C">
              <w:rPr>
                <w:sz w:val="18"/>
                <w:szCs w:val="20"/>
              </w:rPr>
              <w:t>Sposób zakończenia postępowania</w:t>
            </w:r>
          </w:p>
        </w:tc>
        <w:tc>
          <w:tcPr>
            <w:tcW w:w="930" w:type="dxa"/>
            <w:noWrap/>
            <w:vAlign w:val="center"/>
            <w:hideMark/>
          </w:tcPr>
          <w:p w14:paraId="3E25C7A5" w14:textId="77777777" w:rsidR="00250AC8" w:rsidRPr="00EC250C" w:rsidRDefault="00250AC8" w:rsidP="00845591">
            <w:pPr>
              <w:pStyle w:val="Tabela"/>
              <w:rPr>
                <w:sz w:val="18"/>
                <w:szCs w:val="20"/>
              </w:rPr>
            </w:pPr>
            <w:r w:rsidRPr="00EC250C">
              <w:rPr>
                <w:sz w:val="18"/>
                <w:szCs w:val="20"/>
              </w:rPr>
              <w:t>Liczba</w:t>
            </w:r>
          </w:p>
        </w:tc>
        <w:tc>
          <w:tcPr>
            <w:tcW w:w="910" w:type="dxa"/>
            <w:noWrap/>
            <w:vAlign w:val="center"/>
            <w:hideMark/>
          </w:tcPr>
          <w:p w14:paraId="4A68E72C" w14:textId="77777777" w:rsidR="00250AC8" w:rsidRPr="00EC250C" w:rsidRDefault="00250AC8" w:rsidP="00845591">
            <w:pPr>
              <w:pStyle w:val="Tabela"/>
              <w:rPr>
                <w:sz w:val="18"/>
                <w:szCs w:val="20"/>
              </w:rPr>
            </w:pPr>
            <w:r w:rsidRPr="00EC250C">
              <w:rPr>
                <w:sz w:val="18"/>
                <w:szCs w:val="20"/>
              </w:rPr>
              <w:t>%</w:t>
            </w:r>
          </w:p>
        </w:tc>
      </w:tr>
      <w:tr w:rsidR="00250AC8" w:rsidRPr="00EC250C" w14:paraId="142B92F2" w14:textId="77777777" w:rsidTr="00B2626D">
        <w:trPr>
          <w:trHeight w:val="570"/>
          <w:tblCellSpacing w:w="20" w:type="dxa"/>
          <w:jc w:val="center"/>
        </w:trPr>
        <w:tc>
          <w:tcPr>
            <w:tcW w:w="2690" w:type="dxa"/>
            <w:vMerge w:val="restart"/>
            <w:vAlign w:val="center"/>
            <w:hideMark/>
          </w:tcPr>
          <w:p w14:paraId="0CAB73AA" w14:textId="77777777" w:rsidR="00250AC8" w:rsidRPr="00EC250C" w:rsidRDefault="00250AC8" w:rsidP="00845591">
            <w:pPr>
              <w:pStyle w:val="Tabela"/>
              <w:rPr>
                <w:sz w:val="18"/>
                <w:szCs w:val="20"/>
              </w:rPr>
            </w:pPr>
            <w:r w:rsidRPr="00EC250C">
              <w:rPr>
                <w:sz w:val="18"/>
                <w:szCs w:val="20"/>
              </w:rPr>
              <w:t>Uzyskano rozwiązanie oczekiwane przez wnioskodawcę</w:t>
            </w:r>
            <w:r w:rsidR="00992FD0" w:rsidRPr="00EC250C">
              <w:rPr>
                <w:sz w:val="18"/>
                <w:szCs w:val="20"/>
              </w:rPr>
              <w:t xml:space="preserve"> i </w:t>
            </w:r>
            <w:r w:rsidRPr="00EC250C">
              <w:rPr>
                <w:sz w:val="18"/>
                <w:szCs w:val="20"/>
              </w:rPr>
              <w:t>Rzecznika Praw Obywatelskich</w:t>
            </w:r>
          </w:p>
        </w:tc>
        <w:tc>
          <w:tcPr>
            <w:tcW w:w="436" w:type="dxa"/>
            <w:noWrap/>
            <w:vAlign w:val="center"/>
            <w:hideMark/>
          </w:tcPr>
          <w:p w14:paraId="2880EC38" w14:textId="77777777" w:rsidR="00250AC8" w:rsidRPr="00EC250C" w:rsidRDefault="00250AC8" w:rsidP="00845591">
            <w:pPr>
              <w:pStyle w:val="Tabela"/>
              <w:rPr>
                <w:sz w:val="18"/>
                <w:szCs w:val="20"/>
              </w:rPr>
            </w:pPr>
            <w:r w:rsidRPr="00EC250C">
              <w:rPr>
                <w:sz w:val="18"/>
                <w:szCs w:val="20"/>
              </w:rPr>
              <w:t>1</w:t>
            </w:r>
          </w:p>
        </w:tc>
        <w:tc>
          <w:tcPr>
            <w:tcW w:w="3634" w:type="dxa"/>
            <w:vAlign w:val="center"/>
            <w:hideMark/>
          </w:tcPr>
          <w:p w14:paraId="74F2E14E" w14:textId="77777777" w:rsidR="00250AC8" w:rsidRPr="00EC250C" w:rsidRDefault="00250AC8" w:rsidP="00845591">
            <w:pPr>
              <w:pStyle w:val="Tabela"/>
              <w:rPr>
                <w:bCs/>
                <w:sz w:val="18"/>
                <w:szCs w:val="20"/>
              </w:rPr>
            </w:pPr>
            <w:r w:rsidRPr="00EC250C">
              <w:rPr>
                <w:bCs/>
                <w:sz w:val="18"/>
                <w:szCs w:val="20"/>
              </w:rPr>
              <w:t xml:space="preserve">Razem </w:t>
            </w:r>
          </w:p>
        </w:tc>
        <w:tc>
          <w:tcPr>
            <w:tcW w:w="930" w:type="dxa"/>
            <w:noWrap/>
            <w:vAlign w:val="center"/>
            <w:hideMark/>
          </w:tcPr>
          <w:p w14:paraId="24BA59AF" w14:textId="77777777" w:rsidR="00250AC8" w:rsidRPr="00EC250C" w:rsidRDefault="00250AC8" w:rsidP="00845591">
            <w:pPr>
              <w:pStyle w:val="Tabela"/>
              <w:rPr>
                <w:bCs/>
                <w:sz w:val="18"/>
                <w:szCs w:val="20"/>
              </w:rPr>
            </w:pPr>
            <w:r w:rsidRPr="00EC250C">
              <w:rPr>
                <w:bCs/>
                <w:sz w:val="18"/>
                <w:szCs w:val="20"/>
              </w:rPr>
              <w:t>1</w:t>
            </w:r>
            <w:r w:rsidR="00B2626D" w:rsidRPr="00EC250C">
              <w:rPr>
                <w:bCs/>
                <w:sz w:val="18"/>
                <w:szCs w:val="20"/>
              </w:rPr>
              <w:t> </w:t>
            </w:r>
            <w:r w:rsidRPr="00EC250C">
              <w:rPr>
                <w:bCs/>
                <w:sz w:val="18"/>
                <w:szCs w:val="20"/>
              </w:rPr>
              <w:t>313</w:t>
            </w:r>
          </w:p>
        </w:tc>
        <w:tc>
          <w:tcPr>
            <w:tcW w:w="910" w:type="dxa"/>
            <w:noWrap/>
            <w:vAlign w:val="center"/>
            <w:hideMark/>
          </w:tcPr>
          <w:p w14:paraId="1C0F5B3A" w14:textId="77777777" w:rsidR="00250AC8" w:rsidRPr="00EC250C" w:rsidRDefault="00250AC8" w:rsidP="00845591">
            <w:pPr>
              <w:pStyle w:val="Tabela"/>
              <w:rPr>
                <w:sz w:val="18"/>
                <w:szCs w:val="20"/>
              </w:rPr>
            </w:pPr>
            <w:r w:rsidRPr="00EC250C">
              <w:rPr>
                <w:sz w:val="18"/>
                <w:szCs w:val="20"/>
              </w:rPr>
              <w:t>19,7</w:t>
            </w:r>
          </w:p>
        </w:tc>
      </w:tr>
      <w:tr w:rsidR="00250AC8" w:rsidRPr="00EC250C" w14:paraId="7CA591A2" w14:textId="77777777" w:rsidTr="00B2626D">
        <w:trPr>
          <w:trHeight w:val="570"/>
          <w:tblCellSpacing w:w="20" w:type="dxa"/>
          <w:jc w:val="center"/>
        </w:trPr>
        <w:tc>
          <w:tcPr>
            <w:tcW w:w="2690" w:type="dxa"/>
            <w:vMerge/>
            <w:vAlign w:val="center"/>
            <w:hideMark/>
          </w:tcPr>
          <w:p w14:paraId="66B0FD57" w14:textId="77777777" w:rsidR="00250AC8" w:rsidRPr="00EC250C" w:rsidRDefault="00250AC8" w:rsidP="00845591">
            <w:pPr>
              <w:pStyle w:val="Tabela"/>
              <w:rPr>
                <w:sz w:val="18"/>
                <w:szCs w:val="20"/>
              </w:rPr>
            </w:pPr>
          </w:p>
        </w:tc>
        <w:tc>
          <w:tcPr>
            <w:tcW w:w="436" w:type="dxa"/>
            <w:noWrap/>
            <w:vAlign w:val="center"/>
            <w:hideMark/>
          </w:tcPr>
          <w:p w14:paraId="2EF3F1FC" w14:textId="77777777" w:rsidR="00250AC8" w:rsidRPr="00EC250C" w:rsidRDefault="00250AC8" w:rsidP="00845591">
            <w:pPr>
              <w:pStyle w:val="Tabela"/>
              <w:rPr>
                <w:sz w:val="18"/>
                <w:szCs w:val="20"/>
              </w:rPr>
            </w:pPr>
            <w:r w:rsidRPr="00EC250C">
              <w:rPr>
                <w:sz w:val="18"/>
                <w:szCs w:val="20"/>
              </w:rPr>
              <w:t>2</w:t>
            </w:r>
          </w:p>
        </w:tc>
        <w:tc>
          <w:tcPr>
            <w:tcW w:w="3634" w:type="dxa"/>
            <w:vAlign w:val="center"/>
            <w:hideMark/>
          </w:tcPr>
          <w:p w14:paraId="5F97224B" w14:textId="77777777" w:rsidR="00250AC8" w:rsidRPr="00EC250C" w:rsidRDefault="00250AC8" w:rsidP="00845591">
            <w:pPr>
              <w:pStyle w:val="Tabela"/>
              <w:rPr>
                <w:sz w:val="18"/>
                <w:szCs w:val="20"/>
              </w:rPr>
            </w:pPr>
            <w:r w:rsidRPr="00EC250C">
              <w:rPr>
                <w:sz w:val="18"/>
                <w:szCs w:val="20"/>
              </w:rPr>
              <w:t>Zasadność zarzutów wnioskodawcy</w:t>
            </w:r>
          </w:p>
        </w:tc>
        <w:tc>
          <w:tcPr>
            <w:tcW w:w="930" w:type="dxa"/>
            <w:noWrap/>
            <w:vAlign w:val="center"/>
            <w:hideMark/>
          </w:tcPr>
          <w:p w14:paraId="440B779B" w14:textId="77777777" w:rsidR="00250AC8" w:rsidRPr="00EC250C" w:rsidRDefault="00250AC8" w:rsidP="00845591">
            <w:pPr>
              <w:pStyle w:val="Tabela"/>
              <w:rPr>
                <w:sz w:val="18"/>
                <w:szCs w:val="20"/>
              </w:rPr>
            </w:pPr>
            <w:r w:rsidRPr="00EC250C">
              <w:rPr>
                <w:sz w:val="18"/>
                <w:szCs w:val="20"/>
              </w:rPr>
              <w:t>791</w:t>
            </w:r>
          </w:p>
        </w:tc>
        <w:tc>
          <w:tcPr>
            <w:tcW w:w="910" w:type="dxa"/>
            <w:noWrap/>
            <w:vAlign w:val="center"/>
            <w:hideMark/>
          </w:tcPr>
          <w:p w14:paraId="06F83F6B" w14:textId="77777777" w:rsidR="00250AC8" w:rsidRPr="00EC250C" w:rsidRDefault="00250AC8" w:rsidP="00845591">
            <w:pPr>
              <w:pStyle w:val="Tabela"/>
              <w:rPr>
                <w:sz w:val="18"/>
                <w:szCs w:val="20"/>
              </w:rPr>
            </w:pPr>
            <w:r w:rsidRPr="00EC250C">
              <w:rPr>
                <w:sz w:val="18"/>
                <w:szCs w:val="20"/>
              </w:rPr>
              <w:t>11,9</w:t>
            </w:r>
          </w:p>
        </w:tc>
      </w:tr>
      <w:tr w:rsidR="00250AC8" w:rsidRPr="00EC250C" w14:paraId="2CCCB33F" w14:textId="77777777" w:rsidTr="00B2626D">
        <w:trPr>
          <w:trHeight w:val="570"/>
          <w:tblCellSpacing w:w="20" w:type="dxa"/>
          <w:jc w:val="center"/>
        </w:trPr>
        <w:tc>
          <w:tcPr>
            <w:tcW w:w="2690" w:type="dxa"/>
            <w:vMerge/>
            <w:vAlign w:val="center"/>
            <w:hideMark/>
          </w:tcPr>
          <w:p w14:paraId="76D0E2AB" w14:textId="77777777" w:rsidR="00250AC8" w:rsidRPr="00EC250C" w:rsidRDefault="00250AC8" w:rsidP="00845591">
            <w:pPr>
              <w:pStyle w:val="Tabela"/>
              <w:rPr>
                <w:sz w:val="18"/>
                <w:szCs w:val="20"/>
              </w:rPr>
            </w:pPr>
          </w:p>
        </w:tc>
        <w:tc>
          <w:tcPr>
            <w:tcW w:w="436" w:type="dxa"/>
            <w:noWrap/>
            <w:vAlign w:val="center"/>
            <w:hideMark/>
          </w:tcPr>
          <w:p w14:paraId="4694ACD6" w14:textId="77777777" w:rsidR="00250AC8" w:rsidRPr="00EC250C" w:rsidRDefault="00250AC8" w:rsidP="00845591">
            <w:pPr>
              <w:pStyle w:val="Tabela"/>
              <w:rPr>
                <w:sz w:val="18"/>
                <w:szCs w:val="20"/>
              </w:rPr>
            </w:pPr>
            <w:r w:rsidRPr="00EC250C">
              <w:rPr>
                <w:sz w:val="18"/>
                <w:szCs w:val="20"/>
              </w:rPr>
              <w:t>3</w:t>
            </w:r>
          </w:p>
        </w:tc>
        <w:tc>
          <w:tcPr>
            <w:tcW w:w="3634" w:type="dxa"/>
            <w:vAlign w:val="center"/>
            <w:hideMark/>
          </w:tcPr>
          <w:p w14:paraId="50B76B2D" w14:textId="77777777" w:rsidR="00250AC8" w:rsidRPr="00EC250C" w:rsidRDefault="00250AC8" w:rsidP="00845591">
            <w:pPr>
              <w:pStyle w:val="Tabela"/>
              <w:rPr>
                <w:sz w:val="18"/>
                <w:szCs w:val="20"/>
              </w:rPr>
            </w:pPr>
            <w:r w:rsidRPr="00EC250C">
              <w:rPr>
                <w:sz w:val="18"/>
                <w:szCs w:val="20"/>
              </w:rPr>
              <w:t>Uwzględnienie wystąpienia generalnego RPO</w:t>
            </w:r>
          </w:p>
        </w:tc>
        <w:tc>
          <w:tcPr>
            <w:tcW w:w="930" w:type="dxa"/>
            <w:noWrap/>
            <w:vAlign w:val="center"/>
            <w:hideMark/>
          </w:tcPr>
          <w:p w14:paraId="27978A98" w14:textId="77777777" w:rsidR="00250AC8" w:rsidRPr="00EC250C" w:rsidRDefault="00250AC8" w:rsidP="00845591">
            <w:pPr>
              <w:pStyle w:val="Tabela"/>
              <w:rPr>
                <w:sz w:val="18"/>
                <w:szCs w:val="20"/>
              </w:rPr>
            </w:pPr>
            <w:r w:rsidRPr="00EC250C">
              <w:rPr>
                <w:sz w:val="18"/>
                <w:szCs w:val="20"/>
              </w:rPr>
              <w:t>522</w:t>
            </w:r>
          </w:p>
        </w:tc>
        <w:tc>
          <w:tcPr>
            <w:tcW w:w="910" w:type="dxa"/>
            <w:noWrap/>
            <w:vAlign w:val="center"/>
            <w:hideMark/>
          </w:tcPr>
          <w:p w14:paraId="7BACBC9C" w14:textId="77777777" w:rsidR="00250AC8" w:rsidRPr="00EC250C" w:rsidRDefault="00250AC8" w:rsidP="00845591">
            <w:pPr>
              <w:pStyle w:val="Tabela"/>
              <w:rPr>
                <w:sz w:val="18"/>
                <w:szCs w:val="20"/>
              </w:rPr>
            </w:pPr>
            <w:r w:rsidRPr="00EC250C">
              <w:rPr>
                <w:sz w:val="18"/>
                <w:szCs w:val="20"/>
              </w:rPr>
              <w:t>7,8</w:t>
            </w:r>
          </w:p>
        </w:tc>
      </w:tr>
      <w:tr w:rsidR="00250AC8" w:rsidRPr="00EC250C" w14:paraId="0689B741" w14:textId="77777777" w:rsidTr="00B2626D">
        <w:trPr>
          <w:trHeight w:val="570"/>
          <w:tblCellSpacing w:w="20" w:type="dxa"/>
          <w:jc w:val="center"/>
        </w:trPr>
        <w:tc>
          <w:tcPr>
            <w:tcW w:w="2690" w:type="dxa"/>
            <w:vMerge w:val="restart"/>
            <w:vAlign w:val="center"/>
            <w:hideMark/>
          </w:tcPr>
          <w:p w14:paraId="4405340E" w14:textId="77777777" w:rsidR="00250AC8" w:rsidRPr="00EC250C" w:rsidRDefault="00250AC8" w:rsidP="00845591">
            <w:pPr>
              <w:pStyle w:val="Tabela"/>
              <w:rPr>
                <w:sz w:val="18"/>
                <w:szCs w:val="20"/>
              </w:rPr>
            </w:pPr>
            <w:r w:rsidRPr="00EC250C">
              <w:rPr>
                <w:sz w:val="18"/>
                <w:szCs w:val="20"/>
              </w:rPr>
              <w:t>Odstąpiono od dalszego prowadzenia sprawy</w:t>
            </w:r>
          </w:p>
        </w:tc>
        <w:tc>
          <w:tcPr>
            <w:tcW w:w="436" w:type="dxa"/>
            <w:noWrap/>
            <w:vAlign w:val="center"/>
            <w:hideMark/>
          </w:tcPr>
          <w:p w14:paraId="16AAD175" w14:textId="77777777" w:rsidR="00250AC8" w:rsidRPr="00EC250C" w:rsidRDefault="00250AC8" w:rsidP="00845591">
            <w:pPr>
              <w:pStyle w:val="Tabela"/>
              <w:rPr>
                <w:sz w:val="18"/>
                <w:szCs w:val="20"/>
              </w:rPr>
            </w:pPr>
            <w:r w:rsidRPr="00EC250C">
              <w:rPr>
                <w:sz w:val="18"/>
                <w:szCs w:val="20"/>
              </w:rPr>
              <w:t>4</w:t>
            </w:r>
          </w:p>
        </w:tc>
        <w:tc>
          <w:tcPr>
            <w:tcW w:w="3634" w:type="dxa"/>
            <w:vAlign w:val="center"/>
            <w:hideMark/>
          </w:tcPr>
          <w:p w14:paraId="32323D36" w14:textId="77777777" w:rsidR="00250AC8" w:rsidRPr="00EC250C" w:rsidRDefault="00250AC8" w:rsidP="00845591">
            <w:pPr>
              <w:pStyle w:val="Tabela"/>
              <w:rPr>
                <w:bCs/>
                <w:sz w:val="18"/>
                <w:szCs w:val="20"/>
              </w:rPr>
            </w:pPr>
            <w:r w:rsidRPr="00EC250C">
              <w:rPr>
                <w:bCs/>
                <w:sz w:val="18"/>
                <w:szCs w:val="20"/>
              </w:rPr>
              <w:t xml:space="preserve">Razem </w:t>
            </w:r>
          </w:p>
        </w:tc>
        <w:tc>
          <w:tcPr>
            <w:tcW w:w="930" w:type="dxa"/>
            <w:noWrap/>
            <w:vAlign w:val="center"/>
            <w:hideMark/>
          </w:tcPr>
          <w:p w14:paraId="4C6313F0" w14:textId="77777777" w:rsidR="00250AC8" w:rsidRPr="00EC250C" w:rsidRDefault="00250AC8" w:rsidP="00845591">
            <w:pPr>
              <w:pStyle w:val="Tabela"/>
              <w:rPr>
                <w:bCs/>
                <w:sz w:val="18"/>
                <w:szCs w:val="20"/>
              </w:rPr>
            </w:pPr>
            <w:r w:rsidRPr="00EC250C">
              <w:rPr>
                <w:bCs/>
                <w:sz w:val="18"/>
                <w:szCs w:val="20"/>
              </w:rPr>
              <w:t>724</w:t>
            </w:r>
          </w:p>
        </w:tc>
        <w:tc>
          <w:tcPr>
            <w:tcW w:w="910" w:type="dxa"/>
            <w:noWrap/>
            <w:vAlign w:val="center"/>
            <w:hideMark/>
          </w:tcPr>
          <w:p w14:paraId="1000B76E" w14:textId="77777777" w:rsidR="00250AC8" w:rsidRPr="00EC250C" w:rsidRDefault="00250AC8" w:rsidP="00845591">
            <w:pPr>
              <w:pStyle w:val="Tabela"/>
              <w:rPr>
                <w:sz w:val="18"/>
                <w:szCs w:val="20"/>
              </w:rPr>
            </w:pPr>
            <w:r w:rsidRPr="00EC250C">
              <w:rPr>
                <w:sz w:val="18"/>
                <w:szCs w:val="20"/>
              </w:rPr>
              <w:t>10,8</w:t>
            </w:r>
          </w:p>
        </w:tc>
      </w:tr>
      <w:tr w:rsidR="00250AC8" w:rsidRPr="00EC250C" w14:paraId="2CD1C757" w14:textId="77777777" w:rsidTr="00B2626D">
        <w:trPr>
          <w:trHeight w:val="570"/>
          <w:tblCellSpacing w:w="20" w:type="dxa"/>
          <w:jc w:val="center"/>
        </w:trPr>
        <w:tc>
          <w:tcPr>
            <w:tcW w:w="2690" w:type="dxa"/>
            <w:vMerge/>
            <w:vAlign w:val="center"/>
            <w:hideMark/>
          </w:tcPr>
          <w:p w14:paraId="6C47E63E" w14:textId="77777777" w:rsidR="00250AC8" w:rsidRPr="00EC250C" w:rsidRDefault="00250AC8" w:rsidP="00845591">
            <w:pPr>
              <w:pStyle w:val="Tabela"/>
              <w:rPr>
                <w:sz w:val="18"/>
                <w:szCs w:val="20"/>
              </w:rPr>
            </w:pPr>
          </w:p>
        </w:tc>
        <w:tc>
          <w:tcPr>
            <w:tcW w:w="436" w:type="dxa"/>
            <w:noWrap/>
            <w:vAlign w:val="center"/>
            <w:hideMark/>
          </w:tcPr>
          <w:p w14:paraId="1D58CA1E" w14:textId="77777777" w:rsidR="00250AC8" w:rsidRPr="00EC250C" w:rsidRDefault="00250AC8" w:rsidP="00845591">
            <w:pPr>
              <w:pStyle w:val="Tabela"/>
              <w:rPr>
                <w:sz w:val="18"/>
                <w:szCs w:val="20"/>
              </w:rPr>
            </w:pPr>
            <w:r w:rsidRPr="00EC250C">
              <w:rPr>
                <w:sz w:val="18"/>
                <w:szCs w:val="20"/>
              </w:rPr>
              <w:t>5</w:t>
            </w:r>
          </w:p>
        </w:tc>
        <w:tc>
          <w:tcPr>
            <w:tcW w:w="3634" w:type="dxa"/>
            <w:vAlign w:val="center"/>
            <w:hideMark/>
          </w:tcPr>
          <w:p w14:paraId="724EA275" w14:textId="77777777" w:rsidR="00250AC8" w:rsidRPr="00EC250C" w:rsidRDefault="00250AC8" w:rsidP="00845591">
            <w:pPr>
              <w:pStyle w:val="Tabela"/>
              <w:rPr>
                <w:sz w:val="18"/>
                <w:szCs w:val="20"/>
              </w:rPr>
            </w:pPr>
            <w:r w:rsidRPr="00EC250C">
              <w:rPr>
                <w:sz w:val="18"/>
                <w:szCs w:val="20"/>
              </w:rPr>
              <w:t>Toczące się postępowanie</w:t>
            </w:r>
            <w:r w:rsidR="00992FD0" w:rsidRPr="00EC250C">
              <w:rPr>
                <w:sz w:val="18"/>
                <w:szCs w:val="20"/>
              </w:rPr>
              <w:t xml:space="preserve"> w </w:t>
            </w:r>
            <w:r w:rsidRPr="00EC250C">
              <w:rPr>
                <w:sz w:val="18"/>
                <w:szCs w:val="20"/>
              </w:rPr>
              <w:t>sprawie (niewyczerpany tryb)</w:t>
            </w:r>
          </w:p>
        </w:tc>
        <w:tc>
          <w:tcPr>
            <w:tcW w:w="930" w:type="dxa"/>
            <w:noWrap/>
            <w:vAlign w:val="center"/>
            <w:hideMark/>
          </w:tcPr>
          <w:p w14:paraId="4DBB603C" w14:textId="77777777" w:rsidR="00250AC8" w:rsidRPr="00EC250C" w:rsidRDefault="00250AC8" w:rsidP="00845591">
            <w:pPr>
              <w:pStyle w:val="Tabela"/>
              <w:rPr>
                <w:sz w:val="18"/>
                <w:szCs w:val="20"/>
              </w:rPr>
            </w:pPr>
            <w:r w:rsidRPr="00EC250C">
              <w:rPr>
                <w:sz w:val="18"/>
                <w:szCs w:val="20"/>
              </w:rPr>
              <w:t>415</w:t>
            </w:r>
          </w:p>
        </w:tc>
        <w:tc>
          <w:tcPr>
            <w:tcW w:w="910" w:type="dxa"/>
            <w:noWrap/>
            <w:vAlign w:val="center"/>
            <w:hideMark/>
          </w:tcPr>
          <w:p w14:paraId="2867AFD8" w14:textId="77777777" w:rsidR="00250AC8" w:rsidRPr="00EC250C" w:rsidRDefault="00250AC8" w:rsidP="00845591">
            <w:pPr>
              <w:pStyle w:val="Tabela"/>
              <w:rPr>
                <w:sz w:val="18"/>
                <w:szCs w:val="20"/>
              </w:rPr>
            </w:pPr>
            <w:r w:rsidRPr="00EC250C">
              <w:rPr>
                <w:sz w:val="18"/>
                <w:szCs w:val="20"/>
              </w:rPr>
              <w:t>6,2</w:t>
            </w:r>
          </w:p>
        </w:tc>
      </w:tr>
      <w:tr w:rsidR="00250AC8" w:rsidRPr="00EC250C" w14:paraId="1A3F4AC7" w14:textId="77777777" w:rsidTr="00B2626D">
        <w:trPr>
          <w:trHeight w:val="855"/>
          <w:tblCellSpacing w:w="20" w:type="dxa"/>
          <w:jc w:val="center"/>
        </w:trPr>
        <w:tc>
          <w:tcPr>
            <w:tcW w:w="2690" w:type="dxa"/>
            <w:vMerge/>
            <w:vAlign w:val="center"/>
            <w:hideMark/>
          </w:tcPr>
          <w:p w14:paraId="06D90E3B" w14:textId="77777777" w:rsidR="00250AC8" w:rsidRPr="00EC250C" w:rsidRDefault="00250AC8" w:rsidP="00845591">
            <w:pPr>
              <w:pStyle w:val="Tabela"/>
              <w:rPr>
                <w:sz w:val="18"/>
                <w:szCs w:val="20"/>
              </w:rPr>
            </w:pPr>
          </w:p>
        </w:tc>
        <w:tc>
          <w:tcPr>
            <w:tcW w:w="436" w:type="dxa"/>
            <w:noWrap/>
            <w:vAlign w:val="center"/>
            <w:hideMark/>
          </w:tcPr>
          <w:p w14:paraId="500394B2" w14:textId="77777777" w:rsidR="00250AC8" w:rsidRPr="00EC250C" w:rsidRDefault="00250AC8" w:rsidP="00845591">
            <w:pPr>
              <w:pStyle w:val="Tabela"/>
              <w:rPr>
                <w:sz w:val="18"/>
                <w:szCs w:val="20"/>
              </w:rPr>
            </w:pPr>
            <w:r w:rsidRPr="00EC250C">
              <w:rPr>
                <w:sz w:val="18"/>
                <w:szCs w:val="20"/>
              </w:rPr>
              <w:t>6</w:t>
            </w:r>
          </w:p>
        </w:tc>
        <w:tc>
          <w:tcPr>
            <w:tcW w:w="3634" w:type="dxa"/>
            <w:vAlign w:val="center"/>
            <w:hideMark/>
          </w:tcPr>
          <w:p w14:paraId="346C5166" w14:textId="77777777" w:rsidR="00250AC8" w:rsidRPr="00EC250C" w:rsidRDefault="00250AC8" w:rsidP="00845591">
            <w:pPr>
              <w:pStyle w:val="Tabela"/>
              <w:rPr>
                <w:sz w:val="18"/>
                <w:szCs w:val="20"/>
              </w:rPr>
            </w:pPr>
            <w:r w:rsidRPr="00EC250C">
              <w:rPr>
                <w:sz w:val="18"/>
                <w:szCs w:val="20"/>
              </w:rPr>
              <w:t>Rezygnacja RPO</w:t>
            </w:r>
            <w:r w:rsidR="00992FD0" w:rsidRPr="00EC250C">
              <w:rPr>
                <w:sz w:val="18"/>
                <w:szCs w:val="20"/>
              </w:rPr>
              <w:t xml:space="preserve"> z </w:t>
            </w:r>
            <w:r w:rsidRPr="00EC250C">
              <w:rPr>
                <w:sz w:val="18"/>
                <w:szCs w:val="20"/>
              </w:rPr>
              <w:t>dalszego prowadzenia sprawy (obiektywne przyczyny)</w:t>
            </w:r>
          </w:p>
        </w:tc>
        <w:tc>
          <w:tcPr>
            <w:tcW w:w="930" w:type="dxa"/>
            <w:noWrap/>
            <w:vAlign w:val="center"/>
            <w:hideMark/>
          </w:tcPr>
          <w:p w14:paraId="3A7B7CA3" w14:textId="77777777" w:rsidR="00250AC8" w:rsidRPr="00EC250C" w:rsidRDefault="00250AC8" w:rsidP="00845591">
            <w:pPr>
              <w:pStyle w:val="Tabela"/>
              <w:rPr>
                <w:sz w:val="18"/>
                <w:szCs w:val="20"/>
              </w:rPr>
            </w:pPr>
            <w:r w:rsidRPr="00EC250C">
              <w:rPr>
                <w:sz w:val="18"/>
                <w:szCs w:val="20"/>
              </w:rPr>
              <w:t>309</w:t>
            </w:r>
          </w:p>
        </w:tc>
        <w:tc>
          <w:tcPr>
            <w:tcW w:w="910" w:type="dxa"/>
            <w:noWrap/>
            <w:vAlign w:val="center"/>
            <w:hideMark/>
          </w:tcPr>
          <w:p w14:paraId="2E69571A" w14:textId="77777777" w:rsidR="00250AC8" w:rsidRPr="00EC250C" w:rsidRDefault="00250AC8" w:rsidP="00845591">
            <w:pPr>
              <w:pStyle w:val="Tabela"/>
              <w:rPr>
                <w:sz w:val="18"/>
                <w:szCs w:val="20"/>
              </w:rPr>
            </w:pPr>
            <w:r w:rsidRPr="00EC250C">
              <w:rPr>
                <w:sz w:val="18"/>
                <w:szCs w:val="20"/>
              </w:rPr>
              <w:t>4,6</w:t>
            </w:r>
          </w:p>
        </w:tc>
      </w:tr>
      <w:tr w:rsidR="00250AC8" w:rsidRPr="00EC250C" w14:paraId="4383C97A" w14:textId="77777777" w:rsidTr="00B2626D">
        <w:trPr>
          <w:trHeight w:val="570"/>
          <w:tblCellSpacing w:w="20" w:type="dxa"/>
          <w:jc w:val="center"/>
        </w:trPr>
        <w:tc>
          <w:tcPr>
            <w:tcW w:w="2690" w:type="dxa"/>
            <w:vMerge w:val="restart"/>
            <w:vAlign w:val="center"/>
            <w:hideMark/>
          </w:tcPr>
          <w:p w14:paraId="09246EF7" w14:textId="77777777" w:rsidR="00250AC8" w:rsidRPr="00EC250C" w:rsidRDefault="00250AC8" w:rsidP="00845591">
            <w:pPr>
              <w:pStyle w:val="Tabela"/>
              <w:rPr>
                <w:sz w:val="18"/>
                <w:szCs w:val="20"/>
              </w:rPr>
            </w:pPr>
            <w:r w:rsidRPr="00EC250C">
              <w:rPr>
                <w:sz w:val="18"/>
                <w:szCs w:val="20"/>
              </w:rPr>
              <w:t>Nie uzyskano rozwiązania oczekiwanego przez wnioskodawcę</w:t>
            </w:r>
          </w:p>
        </w:tc>
        <w:tc>
          <w:tcPr>
            <w:tcW w:w="436" w:type="dxa"/>
            <w:noWrap/>
            <w:vAlign w:val="center"/>
            <w:hideMark/>
          </w:tcPr>
          <w:p w14:paraId="55C1B5D2" w14:textId="77777777" w:rsidR="00250AC8" w:rsidRPr="00EC250C" w:rsidRDefault="00250AC8" w:rsidP="00845591">
            <w:pPr>
              <w:pStyle w:val="Tabela"/>
              <w:rPr>
                <w:sz w:val="18"/>
                <w:szCs w:val="20"/>
              </w:rPr>
            </w:pPr>
            <w:r w:rsidRPr="00EC250C">
              <w:rPr>
                <w:sz w:val="18"/>
                <w:szCs w:val="20"/>
              </w:rPr>
              <w:t>7</w:t>
            </w:r>
          </w:p>
        </w:tc>
        <w:tc>
          <w:tcPr>
            <w:tcW w:w="3634" w:type="dxa"/>
            <w:vAlign w:val="center"/>
            <w:hideMark/>
          </w:tcPr>
          <w:p w14:paraId="03692D0F" w14:textId="77777777" w:rsidR="00250AC8" w:rsidRPr="00EC250C" w:rsidRDefault="00250AC8" w:rsidP="00845591">
            <w:pPr>
              <w:pStyle w:val="Tabela"/>
              <w:rPr>
                <w:bCs/>
                <w:sz w:val="18"/>
                <w:szCs w:val="20"/>
              </w:rPr>
            </w:pPr>
            <w:r w:rsidRPr="00EC250C">
              <w:rPr>
                <w:bCs/>
                <w:sz w:val="18"/>
                <w:szCs w:val="20"/>
              </w:rPr>
              <w:t xml:space="preserve">Razem </w:t>
            </w:r>
          </w:p>
        </w:tc>
        <w:tc>
          <w:tcPr>
            <w:tcW w:w="930" w:type="dxa"/>
            <w:noWrap/>
            <w:vAlign w:val="center"/>
            <w:hideMark/>
          </w:tcPr>
          <w:p w14:paraId="74F23DE9" w14:textId="77777777" w:rsidR="00250AC8" w:rsidRPr="00EC250C" w:rsidRDefault="00250AC8" w:rsidP="00845591">
            <w:pPr>
              <w:pStyle w:val="Tabela"/>
              <w:rPr>
                <w:bCs/>
                <w:sz w:val="18"/>
                <w:szCs w:val="20"/>
              </w:rPr>
            </w:pPr>
            <w:r w:rsidRPr="00EC250C">
              <w:rPr>
                <w:bCs/>
                <w:sz w:val="18"/>
                <w:szCs w:val="20"/>
              </w:rPr>
              <w:t>4</w:t>
            </w:r>
            <w:r w:rsidR="00B2626D" w:rsidRPr="00EC250C">
              <w:rPr>
                <w:bCs/>
                <w:sz w:val="18"/>
                <w:szCs w:val="20"/>
              </w:rPr>
              <w:t> </w:t>
            </w:r>
            <w:r w:rsidRPr="00EC250C">
              <w:rPr>
                <w:bCs/>
                <w:sz w:val="18"/>
                <w:szCs w:val="20"/>
              </w:rPr>
              <w:t>630</w:t>
            </w:r>
          </w:p>
        </w:tc>
        <w:tc>
          <w:tcPr>
            <w:tcW w:w="910" w:type="dxa"/>
            <w:noWrap/>
            <w:vAlign w:val="center"/>
            <w:hideMark/>
          </w:tcPr>
          <w:p w14:paraId="0C3E0CF5" w14:textId="77777777" w:rsidR="00250AC8" w:rsidRPr="00EC250C" w:rsidRDefault="00250AC8" w:rsidP="00845591">
            <w:pPr>
              <w:pStyle w:val="Tabela"/>
              <w:rPr>
                <w:sz w:val="18"/>
                <w:szCs w:val="20"/>
              </w:rPr>
            </w:pPr>
            <w:r w:rsidRPr="00EC250C">
              <w:rPr>
                <w:sz w:val="18"/>
                <w:szCs w:val="20"/>
              </w:rPr>
              <w:t>69,5</w:t>
            </w:r>
          </w:p>
        </w:tc>
      </w:tr>
      <w:tr w:rsidR="00250AC8" w:rsidRPr="00EC250C" w14:paraId="321D404F" w14:textId="77777777" w:rsidTr="00B2626D">
        <w:trPr>
          <w:trHeight w:val="570"/>
          <w:tblCellSpacing w:w="20" w:type="dxa"/>
          <w:jc w:val="center"/>
        </w:trPr>
        <w:tc>
          <w:tcPr>
            <w:tcW w:w="2690" w:type="dxa"/>
            <w:vMerge/>
            <w:hideMark/>
          </w:tcPr>
          <w:p w14:paraId="31D5292F" w14:textId="77777777" w:rsidR="00250AC8" w:rsidRPr="00EC250C" w:rsidRDefault="00250AC8" w:rsidP="00845591">
            <w:pPr>
              <w:pStyle w:val="Tabela"/>
              <w:rPr>
                <w:sz w:val="18"/>
                <w:szCs w:val="20"/>
              </w:rPr>
            </w:pPr>
          </w:p>
        </w:tc>
        <w:tc>
          <w:tcPr>
            <w:tcW w:w="436" w:type="dxa"/>
            <w:noWrap/>
            <w:vAlign w:val="center"/>
            <w:hideMark/>
          </w:tcPr>
          <w:p w14:paraId="5999BE13" w14:textId="77777777" w:rsidR="00250AC8" w:rsidRPr="00EC250C" w:rsidRDefault="00250AC8" w:rsidP="00845591">
            <w:pPr>
              <w:pStyle w:val="Tabela"/>
              <w:rPr>
                <w:sz w:val="18"/>
                <w:szCs w:val="20"/>
              </w:rPr>
            </w:pPr>
            <w:r w:rsidRPr="00EC250C">
              <w:rPr>
                <w:sz w:val="18"/>
                <w:szCs w:val="20"/>
              </w:rPr>
              <w:t>8</w:t>
            </w:r>
          </w:p>
        </w:tc>
        <w:tc>
          <w:tcPr>
            <w:tcW w:w="3634" w:type="dxa"/>
            <w:vAlign w:val="center"/>
            <w:hideMark/>
          </w:tcPr>
          <w:p w14:paraId="7A1DBC1C" w14:textId="77777777" w:rsidR="00250AC8" w:rsidRPr="00EC250C" w:rsidRDefault="00250AC8" w:rsidP="00845591">
            <w:pPr>
              <w:pStyle w:val="Tabela"/>
              <w:rPr>
                <w:sz w:val="18"/>
                <w:szCs w:val="20"/>
              </w:rPr>
            </w:pPr>
            <w:r w:rsidRPr="00EC250C">
              <w:rPr>
                <w:sz w:val="18"/>
                <w:szCs w:val="20"/>
              </w:rPr>
              <w:t>Niepotwierdzenie się zarzutów wnioskodawcy</w:t>
            </w:r>
          </w:p>
        </w:tc>
        <w:tc>
          <w:tcPr>
            <w:tcW w:w="930" w:type="dxa"/>
            <w:noWrap/>
            <w:vAlign w:val="center"/>
            <w:hideMark/>
          </w:tcPr>
          <w:p w14:paraId="61C67CE0" w14:textId="77777777" w:rsidR="00250AC8" w:rsidRPr="00EC250C" w:rsidRDefault="00250AC8" w:rsidP="00845591">
            <w:pPr>
              <w:pStyle w:val="Tabela"/>
              <w:rPr>
                <w:sz w:val="18"/>
                <w:szCs w:val="20"/>
              </w:rPr>
            </w:pPr>
            <w:r w:rsidRPr="00EC250C">
              <w:rPr>
                <w:sz w:val="18"/>
                <w:szCs w:val="20"/>
              </w:rPr>
              <w:t>4</w:t>
            </w:r>
            <w:r w:rsidR="00B2626D" w:rsidRPr="00EC250C">
              <w:rPr>
                <w:sz w:val="18"/>
                <w:szCs w:val="20"/>
              </w:rPr>
              <w:t> </w:t>
            </w:r>
            <w:r w:rsidRPr="00EC250C">
              <w:rPr>
                <w:sz w:val="18"/>
                <w:szCs w:val="20"/>
              </w:rPr>
              <w:t>055</w:t>
            </w:r>
          </w:p>
        </w:tc>
        <w:tc>
          <w:tcPr>
            <w:tcW w:w="910" w:type="dxa"/>
            <w:noWrap/>
            <w:vAlign w:val="center"/>
            <w:hideMark/>
          </w:tcPr>
          <w:p w14:paraId="16B17D36" w14:textId="77777777" w:rsidR="00250AC8" w:rsidRPr="00EC250C" w:rsidRDefault="00250AC8" w:rsidP="00845591">
            <w:pPr>
              <w:pStyle w:val="Tabela"/>
              <w:rPr>
                <w:sz w:val="18"/>
                <w:szCs w:val="20"/>
              </w:rPr>
            </w:pPr>
            <w:r w:rsidRPr="00EC250C">
              <w:rPr>
                <w:sz w:val="18"/>
                <w:szCs w:val="20"/>
              </w:rPr>
              <w:t>60,8</w:t>
            </w:r>
          </w:p>
        </w:tc>
      </w:tr>
      <w:tr w:rsidR="00250AC8" w:rsidRPr="00EC250C" w14:paraId="59AEF7C4" w14:textId="77777777" w:rsidTr="00B2626D">
        <w:trPr>
          <w:trHeight w:val="570"/>
          <w:tblCellSpacing w:w="20" w:type="dxa"/>
          <w:jc w:val="center"/>
        </w:trPr>
        <w:tc>
          <w:tcPr>
            <w:tcW w:w="2690" w:type="dxa"/>
            <w:vMerge/>
            <w:hideMark/>
          </w:tcPr>
          <w:p w14:paraId="2738D950" w14:textId="77777777" w:rsidR="00250AC8" w:rsidRPr="00EC250C" w:rsidRDefault="00250AC8" w:rsidP="00845591">
            <w:pPr>
              <w:pStyle w:val="Tabela"/>
              <w:rPr>
                <w:sz w:val="18"/>
                <w:szCs w:val="20"/>
              </w:rPr>
            </w:pPr>
          </w:p>
        </w:tc>
        <w:tc>
          <w:tcPr>
            <w:tcW w:w="436" w:type="dxa"/>
            <w:noWrap/>
            <w:vAlign w:val="center"/>
            <w:hideMark/>
          </w:tcPr>
          <w:p w14:paraId="4AF597E5" w14:textId="77777777" w:rsidR="00250AC8" w:rsidRPr="00EC250C" w:rsidRDefault="00250AC8" w:rsidP="00845591">
            <w:pPr>
              <w:pStyle w:val="Tabela"/>
              <w:rPr>
                <w:sz w:val="18"/>
                <w:szCs w:val="20"/>
              </w:rPr>
            </w:pPr>
            <w:r w:rsidRPr="00EC250C">
              <w:rPr>
                <w:sz w:val="18"/>
                <w:szCs w:val="20"/>
              </w:rPr>
              <w:t>9</w:t>
            </w:r>
          </w:p>
        </w:tc>
        <w:tc>
          <w:tcPr>
            <w:tcW w:w="3634" w:type="dxa"/>
            <w:vAlign w:val="center"/>
            <w:hideMark/>
          </w:tcPr>
          <w:p w14:paraId="4AD1111F" w14:textId="77777777" w:rsidR="00250AC8" w:rsidRPr="00EC250C" w:rsidRDefault="00250AC8" w:rsidP="00845591">
            <w:pPr>
              <w:pStyle w:val="Tabela"/>
              <w:rPr>
                <w:sz w:val="18"/>
                <w:szCs w:val="20"/>
              </w:rPr>
            </w:pPr>
            <w:r w:rsidRPr="00EC250C">
              <w:rPr>
                <w:sz w:val="18"/>
                <w:szCs w:val="20"/>
              </w:rPr>
              <w:t>Nieuwzględnienie wystąpienia generalnego RPO</w:t>
            </w:r>
          </w:p>
        </w:tc>
        <w:tc>
          <w:tcPr>
            <w:tcW w:w="930" w:type="dxa"/>
            <w:noWrap/>
            <w:vAlign w:val="center"/>
            <w:hideMark/>
          </w:tcPr>
          <w:p w14:paraId="518A9F70" w14:textId="77777777" w:rsidR="00250AC8" w:rsidRPr="00EC250C" w:rsidRDefault="00250AC8" w:rsidP="00845591">
            <w:pPr>
              <w:pStyle w:val="Tabela"/>
              <w:rPr>
                <w:sz w:val="18"/>
                <w:szCs w:val="20"/>
              </w:rPr>
            </w:pPr>
            <w:r w:rsidRPr="00EC250C">
              <w:rPr>
                <w:sz w:val="18"/>
                <w:szCs w:val="20"/>
              </w:rPr>
              <w:t>531</w:t>
            </w:r>
          </w:p>
        </w:tc>
        <w:tc>
          <w:tcPr>
            <w:tcW w:w="910" w:type="dxa"/>
            <w:noWrap/>
            <w:vAlign w:val="center"/>
            <w:hideMark/>
          </w:tcPr>
          <w:p w14:paraId="4E1368F9" w14:textId="77777777" w:rsidR="00250AC8" w:rsidRPr="00EC250C" w:rsidRDefault="00250AC8" w:rsidP="00845591">
            <w:pPr>
              <w:pStyle w:val="Tabela"/>
              <w:rPr>
                <w:sz w:val="18"/>
                <w:szCs w:val="20"/>
              </w:rPr>
            </w:pPr>
            <w:r w:rsidRPr="00EC250C">
              <w:rPr>
                <w:sz w:val="18"/>
                <w:szCs w:val="20"/>
              </w:rPr>
              <w:t>8,0</w:t>
            </w:r>
          </w:p>
        </w:tc>
      </w:tr>
      <w:tr w:rsidR="00250AC8" w:rsidRPr="00EC250C" w14:paraId="1D2D3CF2" w14:textId="77777777" w:rsidTr="00B2626D">
        <w:trPr>
          <w:trHeight w:val="570"/>
          <w:tblCellSpacing w:w="20" w:type="dxa"/>
          <w:jc w:val="center"/>
        </w:trPr>
        <w:tc>
          <w:tcPr>
            <w:tcW w:w="2690" w:type="dxa"/>
            <w:vMerge/>
            <w:hideMark/>
          </w:tcPr>
          <w:p w14:paraId="2863F5D8" w14:textId="77777777" w:rsidR="00250AC8" w:rsidRPr="00EC250C" w:rsidRDefault="00250AC8" w:rsidP="00845591">
            <w:pPr>
              <w:pStyle w:val="Tabela"/>
              <w:rPr>
                <w:sz w:val="18"/>
                <w:szCs w:val="20"/>
              </w:rPr>
            </w:pPr>
          </w:p>
        </w:tc>
        <w:tc>
          <w:tcPr>
            <w:tcW w:w="436" w:type="dxa"/>
            <w:noWrap/>
            <w:vAlign w:val="center"/>
            <w:hideMark/>
          </w:tcPr>
          <w:p w14:paraId="1DDB1891" w14:textId="77777777" w:rsidR="00250AC8" w:rsidRPr="00EC250C" w:rsidRDefault="00250AC8" w:rsidP="00845591">
            <w:pPr>
              <w:pStyle w:val="Tabela"/>
              <w:rPr>
                <w:sz w:val="18"/>
                <w:szCs w:val="20"/>
              </w:rPr>
            </w:pPr>
            <w:r w:rsidRPr="00EC250C">
              <w:rPr>
                <w:sz w:val="18"/>
                <w:szCs w:val="20"/>
              </w:rPr>
              <w:t>10</w:t>
            </w:r>
          </w:p>
        </w:tc>
        <w:tc>
          <w:tcPr>
            <w:tcW w:w="3634" w:type="dxa"/>
            <w:vAlign w:val="center"/>
            <w:hideMark/>
          </w:tcPr>
          <w:p w14:paraId="794A35E2" w14:textId="77777777" w:rsidR="00250AC8" w:rsidRPr="00EC250C" w:rsidRDefault="00250AC8" w:rsidP="00845591">
            <w:pPr>
              <w:pStyle w:val="Tabela"/>
              <w:rPr>
                <w:sz w:val="18"/>
                <w:szCs w:val="20"/>
              </w:rPr>
            </w:pPr>
            <w:r w:rsidRPr="00EC250C">
              <w:rPr>
                <w:sz w:val="18"/>
                <w:szCs w:val="20"/>
              </w:rPr>
              <w:t>Wyczerpanie przez RPO możliwości działania</w:t>
            </w:r>
          </w:p>
        </w:tc>
        <w:tc>
          <w:tcPr>
            <w:tcW w:w="930" w:type="dxa"/>
            <w:noWrap/>
            <w:vAlign w:val="center"/>
            <w:hideMark/>
          </w:tcPr>
          <w:p w14:paraId="2F021CAF" w14:textId="77777777" w:rsidR="00250AC8" w:rsidRPr="00EC250C" w:rsidRDefault="00250AC8" w:rsidP="00845591">
            <w:pPr>
              <w:pStyle w:val="Tabela"/>
              <w:rPr>
                <w:sz w:val="18"/>
                <w:szCs w:val="20"/>
              </w:rPr>
            </w:pPr>
            <w:r w:rsidRPr="00EC250C">
              <w:rPr>
                <w:sz w:val="18"/>
                <w:szCs w:val="20"/>
              </w:rPr>
              <w:t>44</w:t>
            </w:r>
          </w:p>
        </w:tc>
        <w:tc>
          <w:tcPr>
            <w:tcW w:w="910" w:type="dxa"/>
            <w:noWrap/>
            <w:vAlign w:val="center"/>
            <w:hideMark/>
          </w:tcPr>
          <w:p w14:paraId="7F132988" w14:textId="77777777" w:rsidR="00250AC8" w:rsidRPr="00EC250C" w:rsidRDefault="00250AC8" w:rsidP="00845591">
            <w:pPr>
              <w:pStyle w:val="Tabela"/>
              <w:rPr>
                <w:sz w:val="18"/>
                <w:szCs w:val="20"/>
              </w:rPr>
            </w:pPr>
            <w:r w:rsidRPr="00EC250C">
              <w:rPr>
                <w:sz w:val="18"/>
                <w:szCs w:val="20"/>
              </w:rPr>
              <w:t>0,7</w:t>
            </w:r>
          </w:p>
        </w:tc>
      </w:tr>
      <w:tr w:rsidR="00250AC8" w:rsidRPr="00EC250C" w14:paraId="1AC5919B" w14:textId="77777777" w:rsidTr="00B2626D">
        <w:trPr>
          <w:trHeight w:val="397"/>
          <w:tblCellSpacing w:w="20" w:type="dxa"/>
          <w:jc w:val="center"/>
        </w:trPr>
        <w:tc>
          <w:tcPr>
            <w:tcW w:w="6840" w:type="dxa"/>
            <w:gridSpan w:val="3"/>
            <w:noWrap/>
            <w:vAlign w:val="center"/>
            <w:hideMark/>
          </w:tcPr>
          <w:p w14:paraId="6B87D12D" w14:textId="77777777" w:rsidR="00250AC8" w:rsidRPr="00EC250C" w:rsidRDefault="00250AC8" w:rsidP="00845591">
            <w:pPr>
              <w:pStyle w:val="Tabela"/>
              <w:rPr>
                <w:bCs/>
                <w:sz w:val="18"/>
                <w:szCs w:val="20"/>
              </w:rPr>
            </w:pPr>
            <w:r w:rsidRPr="00EC250C">
              <w:rPr>
                <w:bCs/>
                <w:sz w:val="18"/>
                <w:szCs w:val="20"/>
              </w:rPr>
              <w:t>Razem</w:t>
            </w:r>
          </w:p>
        </w:tc>
        <w:tc>
          <w:tcPr>
            <w:tcW w:w="930" w:type="dxa"/>
            <w:noWrap/>
            <w:vAlign w:val="center"/>
            <w:hideMark/>
          </w:tcPr>
          <w:p w14:paraId="54708D34" w14:textId="77777777" w:rsidR="00250AC8" w:rsidRPr="00EC250C" w:rsidRDefault="00250AC8" w:rsidP="00845591">
            <w:pPr>
              <w:pStyle w:val="Tabela"/>
              <w:rPr>
                <w:bCs/>
                <w:sz w:val="18"/>
                <w:szCs w:val="20"/>
              </w:rPr>
            </w:pPr>
            <w:r w:rsidRPr="00EC250C">
              <w:rPr>
                <w:bCs/>
                <w:sz w:val="18"/>
                <w:szCs w:val="20"/>
              </w:rPr>
              <w:t>6</w:t>
            </w:r>
            <w:r w:rsidR="00B2626D" w:rsidRPr="00EC250C">
              <w:rPr>
                <w:bCs/>
                <w:sz w:val="18"/>
                <w:szCs w:val="20"/>
              </w:rPr>
              <w:t> </w:t>
            </w:r>
            <w:r w:rsidRPr="00EC250C">
              <w:rPr>
                <w:bCs/>
                <w:sz w:val="18"/>
                <w:szCs w:val="20"/>
              </w:rPr>
              <w:t>667</w:t>
            </w:r>
          </w:p>
        </w:tc>
        <w:tc>
          <w:tcPr>
            <w:tcW w:w="910" w:type="dxa"/>
            <w:noWrap/>
            <w:vAlign w:val="center"/>
            <w:hideMark/>
          </w:tcPr>
          <w:p w14:paraId="7CE5E66B" w14:textId="77777777" w:rsidR="00250AC8" w:rsidRPr="00EC250C" w:rsidRDefault="00250AC8" w:rsidP="00845591">
            <w:pPr>
              <w:pStyle w:val="Tabela"/>
              <w:rPr>
                <w:bCs/>
                <w:sz w:val="18"/>
                <w:szCs w:val="20"/>
              </w:rPr>
            </w:pPr>
            <w:r w:rsidRPr="00EC250C">
              <w:rPr>
                <w:bCs/>
                <w:sz w:val="18"/>
                <w:szCs w:val="20"/>
              </w:rPr>
              <w:t>100,0</w:t>
            </w:r>
          </w:p>
        </w:tc>
      </w:tr>
    </w:tbl>
    <w:p w14:paraId="286FAF2B" w14:textId="77777777" w:rsidR="00B2626D" w:rsidRPr="00EC250C" w:rsidRDefault="00250AC8" w:rsidP="00D131FA">
      <w:pPr>
        <w:pStyle w:val="Standardowy10"/>
        <w:spacing w:line="240" w:lineRule="auto"/>
        <w:rPr>
          <w:b/>
          <w:sz w:val="24"/>
        </w:rPr>
      </w:pPr>
      <w:r w:rsidRPr="00EC250C">
        <w:rPr>
          <w:b/>
          <w:sz w:val="24"/>
        </w:rPr>
        <w:fldChar w:fldCharType="end"/>
      </w:r>
    </w:p>
    <w:p w14:paraId="5F9FBF83" w14:textId="77777777" w:rsidR="00250AC8" w:rsidRPr="00EC250C" w:rsidRDefault="00ED567C" w:rsidP="00D131FA">
      <w:pPr>
        <w:pStyle w:val="Standardowy10"/>
        <w:spacing w:line="240" w:lineRule="auto"/>
        <w:rPr>
          <w:b/>
          <w:sz w:val="24"/>
        </w:rPr>
      </w:pPr>
      <w:r w:rsidRPr="00EC250C">
        <w:rPr>
          <w:noProof/>
          <w:sz w:val="24"/>
        </w:rPr>
        <w:t xml:space="preserve"> </w:t>
      </w:r>
      <w:r w:rsidRPr="00EC250C">
        <w:rPr>
          <w:noProof/>
          <w:sz w:val="24"/>
        </w:rPr>
        <w:drawing>
          <wp:inline distT="0" distB="0" distL="0" distR="0" wp14:anchorId="17D22886" wp14:editId="746960B6">
            <wp:extent cx="5040000" cy="2682000"/>
            <wp:effectExtent l="0" t="0" r="8255" b="4445"/>
            <wp:docPr id="16" name="Obraz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0000" cy="2682000"/>
                    </a:xfrm>
                    <a:prstGeom prst="rect">
                      <a:avLst/>
                    </a:prstGeom>
                    <a:noFill/>
                  </pic:spPr>
                </pic:pic>
              </a:graphicData>
            </a:graphic>
          </wp:inline>
        </w:drawing>
      </w:r>
    </w:p>
    <w:p w14:paraId="0E82FBF4" w14:textId="77777777" w:rsidR="00250AC8" w:rsidRPr="00EC250C" w:rsidRDefault="00250AC8" w:rsidP="00D131FA">
      <w:pPr>
        <w:pStyle w:val="Srdtytul6"/>
        <w:jc w:val="both"/>
        <w:rPr>
          <w:spacing w:val="0"/>
          <w:sz w:val="20"/>
        </w:rPr>
      </w:pPr>
      <w:r w:rsidRPr="00EC250C">
        <w:lastRenderedPageBreak/>
        <w:t>Przedmiot nowych spraw (wniosków)</w:t>
      </w:r>
      <w:r w:rsidR="00992FD0" w:rsidRPr="00EC250C">
        <w:t xml:space="preserve"> w </w:t>
      </w:r>
      <w:r w:rsidRPr="00EC250C">
        <w:t>2018</w:t>
      </w:r>
      <w:r w:rsidR="00C91F6E" w:rsidRPr="00EC250C">
        <w:t> r.</w:t>
      </w:r>
      <w:r w:rsidRPr="00EC250C">
        <w:t xml:space="preserve"> </w:t>
      </w:r>
      <w:r w:rsidRPr="00EC250C">
        <w:fldChar w:fldCharType="begin"/>
      </w:r>
      <w:r w:rsidRPr="00EC250C">
        <w:instrText xml:space="preserve"> LINK Excel.Sheet.8 "E:\\cw.xlsx" "Arkusz6!W3K1:W14K4" \a \f 4 \r  \* MERGEFORMAT </w:instrText>
      </w:r>
      <w:r w:rsidRPr="00EC250C">
        <w:fldChar w:fldCharType="separate"/>
      </w:r>
    </w:p>
    <w:tbl>
      <w:tblPr>
        <w:tblW w:w="0" w:type="auto"/>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470"/>
        <w:gridCol w:w="5995"/>
        <w:gridCol w:w="1278"/>
        <w:gridCol w:w="1162"/>
      </w:tblGrid>
      <w:tr w:rsidR="00250AC8" w:rsidRPr="00EC250C" w14:paraId="7203A20D" w14:textId="77777777" w:rsidTr="00250AC8">
        <w:trPr>
          <w:trHeight w:val="340"/>
          <w:tblCellSpacing w:w="20" w:type="dxa"/>
          <w:jc w:val="center"/>
        </w:trPr>
        <w:tc>
          <w:tcPr>
            <w:tcW w:w="410" w:type="dxa"/>
            <w:vAlign w:val="center"/>
          </w:tcPr>
          <w:p w14:paraId="520880AD" w14:textId="77777777" w:rsidR="00250AC8" w:rsidRPr="00EC250C" w:rsidRDefault="00250AC8" w:rsidP="00845591">
            <w:pPr>
              <w:pStyle w:val="Tabela"/>
              <w:rPr>
                <w:sz w:val="18"/>
                <w:szCs w:val="20"/>
              </w:rPr>
            </w:pPr>
          </w:p>
        </w:tc>
        <w:tc>
          <w:tcPr>
            <w:tcW w:w="5955" w:type="dxa"/>
            <w:vAlign w:val="center"/>
          </w:tcPr>
          <w:p w14:paraId="2B3D602A" w14:textId="77777777" w:rsidR="00250AC8" w:rsidRPr="00EC250C" w:rsidRDefault="00250AC8" w:rsidP="00845591">
            <w:pPr>
              <w:pStyle w:val="Tabela"/>
              <w:rPr>
                <w:sz w:val="18"/>
                <w:szCs w:val="20"/>
              </w:rPr>
            </w:pPr>
            <w:r w:rsidRPr="00EC250C">
              <w:rPr>
                <w:sz w:val="18"/>
                <w:szCs w:val="20"/>
              </w:rPr>
              <w:t>Problematyka</w:t>
            </w:r>
          </w:p>
        </w:tc>
        <w:tc>
          <w:tcPr>
            <w:tcW w:w="1238" w:type="dxa"/>
            <w:vAlign w:val="center"/>
          </w:tcPr>
          <w:p w14:paraId="6C9EF3A3" w14:textId="77777777" w:rsidR="00250AC8" w:rsidRPr="00EC250C" w:rsidRDefault="00250AC8" w:rsidP="00845591">
            <w:pPr>
              <w:pStyle w:val="Tabela"/>
              <w:rPr>
                <w:sz w:val="18"/>
                <w:szCs w:val="20"/>
              </w:rPr>
            </w:pPr>
            <w:r w:rsidRPr="00EC250C">
              <w:rPr>
                <w:sz w:val="18"/>
                <w:szCs w:val="20"/>
              </w:rPr>
              <w:t>Liczba</w:t>
            </w:r>
          </w:p>
        </w:tc>
        <w:tc>
          <w:tcPr>
            <w:tcW w:w="1102" w:type="dxa"/>
            <w:vAlign w:val="center"/>
          </w:tcPr>
          <w:p w14:paraId="28F59FE3" w14:textId="77777777" w:rsidR="00250AC8" w:rsidRPr="00EC250C" w:rsidRDefault="00250AC8" w:rsidP="00845591">
            <w:pPr>
              <w:pStyle w:val="Tabela"/>
              <w:rPr>
                <w:sz w:val="18"/>
                <w:szCs w:val="20"/>
              </w:rPr>
            </w:pPr>
            <w:r w:rsidRPr="00EC250C">
              <w:rPr>
                <w:sz w:val="18"/>
                <w:szCs w:val="20"/>
              </w:rPr>
              <w:t>%</w:t>
            </w:r>
          </w:p>
        </w:tc>
      </w:tr>
      <w:tr w:rsidR="00250AC8" w:rsidRPr="00EC250C" w14:paraId="5A302F47" w14:textId="77777777" w:rsidTr="00250AC8">
        <w:trPr>
          <w:trHeight w:val="454"/>
          <w:tblCellSpacing w:w="20" w:type="dxa"/>
          <w:jc w:val="center"/>
        </w:trPr>
        <w:tc>
          <w:tcPr>
            <w:tcW w:w="410" w:type="dxa"/>
            <w:vAlign w:val="center"/>
          </w:tcPr>
          <w:p w14:paraId="106CBDB8" w14:textId="77777777" w:rsidR="00250AC8" w:rsidRPr="00EC250C" w:rsidRDefault="00250AC8" w:rsidP="00845591">
            <w:pPr>
              <w:pStyle w:val="Tabela"/>
              <w:rPr>
                <w:sz w:val="18"/>
                <w:szCs w:val="20"/>
              </w:rPr>
            </w:pPr>
            <w:r w:rsidRPr="00EC250C">
              <w:rPr>
                <w:sz w:val="18"/>
                <w:szCs w:val="20"/>
              </w:rPr>
              <w:t>1</w:t>
            </w:r>
          </w:p>
        </w:tc>
        <w:tc>
          <w:tcPr>
            <w:tcW w:w="5955" w:type="dxa"/>
            <w:vAlign w:val="center"/>
          </w:tcPr>
          <w:p w14:paraId="36B6EC06" w14:textId="77777777" w:rsidR="00250AC8" w:rsidRPr="00EC250C" w:rsidRDefault="00250AC8" w:rsidP="00845591">
            <w:pPr>
              <w:pStyle w:val="Tabela"/>
              <w:rPr>
                <w:sz w:val="18"/>
                <w:szCs w:val="20"/>
              </w:rPr>
            </w:pPr>
            <w:r w:rsidRPr="00EC250C">
              <w:rPr>
                <w:sz w:val="18"/>
                <w:szCs w:val="20"/>
              </w:rPr>
              <w:t>prawo konstytucyjne, międzynarodowe</w:t>
            </w:r>
            <w:r w:rsidR="00992FD0" w:rsidRPr="00EC250C">
              <w:rPr>
                <w:sz w:val="18"/>
                <w:szCs w:val="20"/>
              </w:rPr>
              <w:t xml:space="preserve"> i </w:t>
            </w:r>
            <w:r w:rsidRPr="00EC250C">
              <w:rPr>
                <w:sz w:val="18"/>
                <w:szCs w:val="20"/>
              </w:rPr>
              <w:t>europejskie</w:t>
            </w:r>
          </w:p>
        </w:tc>
        <w:tc>
          <w:tcPr>
            <w:tcW w:w="1238" w:type="dxa"/>
            <w:vAlign w:val="center"/>
          </w:tcPr>
          <w:p w14:paraId="22897427" w14:textId="77777777" w:rsidR="00250AC8" w:rsidRPr="00EC250C" w:rsidRDefault="00250AC8" w:rsidP="00845591">
            <w:pPr>
              <w:pStyle w:val="Tabela"/>
              <w:rPr>
                <w:sz w:val="18"/>
                <w:szCs w:val="20"/>
              </w:rPr>
            </w:pPr>
            <w:r w:rsidRPr="00EC250C">
              <w:rPr>
                <w:sz w:val="18"/>
                <w:szCs w:val="20"/>
              </w:rPr>
              <w:t>5</w:t>
            </w:r>
            <w:r w:rsidR="00B2626D" w:rsidRPr="00EC250C">
              <w:rPr>
                <w:sz w:val="18"/>
                <w:szCs w:val="20"/>
              </w:rPr>
              <w:t> </w:t>
            </w:r>
            <w:r w:rsidRPr="00EC250C">
              <w:rPr>
                <w:sz w:val="18"/>
                <w:szCs w:val="20"/>
              </w:rPr>
              <w:t>652</w:t>
            </w:r>
          </w:p>
        </w:tc>
        <w:tc>
          <w:tcPr>
            <w:tcW w:w="1102" w:type="dxa"/>
            <w:vAlign w:val="center"/>
          </w:tcPr>
          <w:p w14:paraId="0E39CB12" w14:textId="77777777" w:rsidR="00250AC8" w:rsidRPr="00EC250C" w:rsidRDefault="00250AC8" w:rsidP="00845591">
            <w:pPr>
              <w:pStyle w:val="Tabela"/>
              <w:rPr>
                <w:sz w:val="18"/>
                <w:szCs w:val="20"/>
              </w:rPr>
            </w:pPr>
            <w:r w:rsidRPr="00EC250C">
              <w:rPr>
                <w:sz w:val="18"/>
                <w:szCs w:val="20"/>
              </w:rPr>
              <w:t>22,4</w:t>
            </w:r>
          </w:p>
        </w:tc>
      </w:tr>
      <w:tr w:rsidR="00250AC8" w:rsidRPr="00EC250C" w14:paraId="228EF7E4" w14:textId="77777777" w:rsidTr="00250AC8">
        <w:trPr>
          <w:trHeight w:val="454"/>
          <w:tblCellSpacing w:w="20" w:type="dxa"/>
          <w:jc w:val="center"/>
        </w:trPr>
        <w:tc>
          <w:tcPr>
            <w:tcW w:w="410" w:type="dxa"/>
            <w:vAlign w:val="center"/>
          </w:tcPr>
          <w:p w14:paraId="0592AA69" w14:textId="77777777" w:rsidR="00250AC8" w:rsidRPr="00EC250C" w:rsidRDefault="00250AC8" w:rsidP="00845591">
            <w:pPr>
              <w:pStyle w:val="Tabela"/>
              <w:rPr>
                <w:sz w:val="18"/>
                <w:szCs w:val="20"/>
              </w:rPr>
            </w:pPr>
            <w:r w:rsidRPr="00EC250C">
              <w:rPr>
                <w:sz w:val="18"/>
                <w:szCs w:val="20"/>
              </w:rPr>
              <w:t>2</w:t>
            </w:r>
          </w:p>
        </w:tc>
        <w:tc>
          <w:tcPr>
            <w:tcW w:w="5955" w:type="dxa"/>
            <w:vAlign w:val="center"/>
          </w:tcPr>
          <w:p w14:paraId="66A03C09" w14:textId="77777777" w:rsidR="00250AC8" w:rsidRPr="00EC250C" w:rsidRDefault="00250AC8" w:rsidP="00845591">
            <w:pPr>
              <w:pStyle w:val="Tabela"/>
              <w:rPr>
                <w:sz w:val="18"/>
                <w:szCs w:val="20"/>
              </w:rPr>
            </w:pPr>
            <w:r w:rsidRPr="00EC250C">
              <w:rPr>
                <w:sz w:val="18"/>
                <w:szCs w:val="20"/>
              </w:rPr>
              <w:t>prawo karne</w:t>
            </w:r>
          </w:p>
        </w:tc>
        <w:tc>
          <w:tcPr>
            <w:tcW w:w="1238" w:type="dxa"/>
            <w:vAlign w:val="center"/>
          </w:tcPr>
          <w:p w14:paraId="2C2C0075" w14:textId="77777777" w:rsidR="00250AC8" w:rsidRPr="00EC250C" w:rsidRDefault="00250AC8" w:rsidP="00845591">
            <w:pPr>
              <w:pStyle w:val="Tabela"/>
              <w:rPr>
                <w:sz w:val="18"/>
                <w:szCs w:val="20"/>
              </w:rPr>
            </w:pPr>
            <w:r w:rsidRPr="00EC250C">
              <w:rPr>
                <w:sz w:val="18"/>
                <w:szCs w:val="20"/>
              </w:rPr>
              <w:t>5</w:t>
            </w:r>
            <w:r w:rsidR="00B2626D" w:rsidRPr="00EC250C">
              <w:rPr>
                <w:sz w:val="18"/>
                <w:szCs w:val="20"/>
              </w:rPr>
              <w:t> </w:t>
            </w:r>
            <w:r w:rsidRPr="00EC250C">
              <w:rPr>
                <w:sz w:val="18"/>
                <w:szCs w:val="20"/>
              </w:rPr>
              <w:t>023</w:t>
            </w:r>
          </w:p>
        </w:tc>
        <w:tc>
          <w:tcPr>
            <w:tcW w:w="1102" w:type="dxa"/>
            <w:vAlign w:val="center"/>
          </w:tcPr>
          <w:p w14:paraId="2F1A6484" w14:textId="77777777" w:rsidR="00250AC8" w:rsidRPr="00EC250C" w:rsidRDefault="00250AC8" w:rsidP="00845591">
            <w:pPr>
              <w:pStyle w:val="Tabela"/>
              <w:rPr>
                <w:sz w:val="18"/>
                <w:szCs w:val="20"/>
              </w:rPr>
            </w:pPr>
            <w:r w:rsidRPr="00EC250C">
              <w:rPr>
                <w:sz w:val="18"/>
                <w:szCs w:val="20"/>
              </w:rPr>
              <w:t>19,9</w:t>
            </w:r>
          </w:p>
        </w:tc>
      </w:tr>
      <w:tr w:rsidR="00250AC8" w:rsidRPr="00EC250C" w14:paraId="5E5FE751" w14:textId="77777777" w:rsidTr="00250AC8">
        <w:trPr>
          <w:trHeight w:val="454"/>
          <w:tblCellSpacing w:w="20" w:type="dxa"/>
          <w:jc w:val="center"/>
        </w:trPr>
        <w:tc>
          <w:tcPr>
            <w:tcW w:w="410" w:type="dxa"/>
            <w:vAlign w:val="center"/>
          </w:tcPr>
          <w:p w14:paraId="61C8BACC" w14:textId="77777777" w:rsidR="00250AC8" w:rsidRPr="00EC250C" w:rsidRDefault="00250AC8" w:rsidP="00845591">
            <w:pPr>
              <w:pStyle w:val="Tabela"/>
              <w:rPr>
                <w:sz w:val="18"/>
                <w:szCs w:val="20"/>
              </w:rPr>
            </w:pPr>
            <w:r w:rsidRPr="00EC250C">
              <w:rPr>
                <w:sz w:val="18"/>
                <w:szCs w:val="20"/>
              </w:rPr>
              <w:t>3</w:t>
            </w:r>
          </w:p>
        </w:tc>
        <w:tc>
          <w:tcPr>
            <w:tcW w:w="5955" w:type="dxa"/>
            <w:vAlign w:val="center"/>
          </w:tcPr>
          <w:p w14:paraId="6CB2FD32" w14:textId="77777777" w:rsidR="00250AC8" w:rsidRPr="00EC250C" w:rsidRDefault="00250AC8" w:rsidP="00845591">
            <w:pPr>
              <w:pStyle w:val="Tabela"/>
              <w:rPr>
                <w:sz w:val="18"/>
                <w:szCs w:val="20"/>
              </w:rPr>
            </w:pPr>
            <w:r w:rsidRPr="00EC250C">
              <w:rPr>
                <w:sz w:val="18"/>
                <w:szCs w:val="20"/>
              </w:rPr>
              <w:t>prawo karne wykonawcze</w:t>
            </w:r>
          </w:p>
        </w:tc>
        <w:tc>
          <w:tcPr>
            <w:tcW w:w="1238" w:type="dxa"/>
            <w:vAlign w:val="center"/>
          </w:tcPr>
          <w:p w14:paraId="29A8663E" w14:textId="77777777" w:rsidR="00250AC8" w:rsidRPr="00EC250C" w:rsidRDefault="00250AC8" w:rsidP="00845591">
            <w:pPr>
              <w:pStyle w:val="Tabela"/>
              <w:rPr>
                <w:sz w:val="18"/>
                <w:szCs w:val="20"/>
              </w:rPr>
            </w:pPr>
            <w:r w:rsidRPr="00EC250C">
              <w:rPr>
                <w:sz w:val="18"/>
                <w:szCs w:val="20"/>
              </w:rPr>
              <w:t>3</w:t>
            </w:r>
            <w:r w:rsidR="00B2626D" w:rsidRPr="00EC250C">
              <w:rPr>
                <w:sz w:val="18"/>
                <w:szCs w:val="20"/>
              </w:rPr>
              <w:t> </w:t>
            </w:r>
            <w:r w:rsidRPr="00EC250C">
              <w:rPr>
                <w:sz w:val="18"/>
                <w:szCs w:val="20"/>
              </w:rPr>
              <w:t>956</w:t>
            </w:r>
          </w:p>
        </w:tc>
        <w:tc>
          <w:tcPr>
            <w:tcW w:w="1102" w:type="dxa"/>
            <w:vAlign w:val="center"/>
          </w:tcPr>
          <w:p w14:paraId="3C6734C3" w14:textId="77777777" w:rsidR="00250AC8" w:rsidRPr="00EC250C" w:rsidRDefault="00250AC8" w:rsidP="00845591">
            <w:pPr>
              <w:pStyle w:val="Tabela"/>
              <w:rPr>
                <w:sz w:val="18"/>
                <w:szCs w:val="20"/>
              </w:rPr>
            </w:pPr>
            <w:r w:rsidRPr="00EC250C">
              <w:rPr>
                <w:sz w:val="18"/>
                <w:szCs w:val="20"/>
              </w:rPr>
              <w:t>15,7</w:t>
            </w:r>
          </w:p>
        </w:tc>
      </w:tr>
      <w:tr w:rsidR="00250AC8" w:rsidRPr="00EC250C" w14:paraId="13BE6838" w14:textId="77777777" w:rsidTr="00250AC8">
        <w:trPr>
          <w:trHeight w:val="454"/>
          <w:tblCellSpacing w:w="20" w:type="dxa"/>
          <w:jc w:val="center"/>
        </w:trPr>
        <w:tc>
          <w:tcPr>
            <w:tcW w:w="410" w:type="dxa"/>
            <w:vAlign w:val="center"/>
          </w:tcPr>
          <w:p w14:paraId="2039FD66" w14:textId="77777777" w:rsidR="00250AC8" w:rsidRPr="00EC250C" w:rsidRDefault="00250AC8" w:rsidP="00845591">
            <w:pPr>
              <w:pStyle w:val="Tabela"/>
              <w:rPr>
                <w:sz w:val="18"/>
                <w:szCs w:val="20"/>
              </w:rPr>
            </w:pPr>
            <w:r w:rsidRPr="00EC250C">
              <w:rPr>
                <w:sz w:val="18"/>
                <w:szCs w:val="20"/>
              </w:rPr>
              <w:t>4</w:t>
            </w:r>
          </w:p>
        </w:tc>
        <w:tc>
          <w:tcPr>
            <w:tcW w:w="5955" w:type="dxa"/>
            <w:vAlign w:val="center"/>
          </w:tcPr>
          <w:p w14:paraId="6BBAE5E7" w14:textId="77777777" w:rsidR="00250AC8" w:rsidRPr="00EC250C" w:rsidRDefault="00250AC8" w:rsidP="00845591">
            <w:pPr>
              <w:pStyle w:val="Tabela"/>
              <w:rPr>
                <w:sz w:val="18"/>
                <w:szCs w:val="20"/>
              </w:rPr>
            </w:pPr>
            <w:r w:rsidRPr="00EC250C">
              <w:rPr>
                <w:sz w:val="18"/>
                <w:szCs w:val="20"/>
              </w:rPr>
              <w:t>prawo pracy</w:t>
            </w:r>
            <w:r w:rsidR="00992FD0" w:rsidRPr="00EC250C">
              <w:rPr>
                <w:sz w:val="18"/>
                <w:szCs w:val="20"/>
              </w:rPr>
              <w:t xml:space="preserve"> i </w:t>
            </w:r>
            <w:r w:rsidRPr="00EC250C">
              <w:rPr>
                <w:sz w:val="18"/>
                <w:szCs w:val="20"/>
              </w:rPr>
              <w:t>zabezpieczenie społeczne</w:t>
            </w:r>
          </w:p>
        </w:tc>
        <w:tc>
          <w:tcPr>
            <w:tcW w:w="1238" w:type="dxa"/>
            <w:vAlign w:val="center"/>
          </w:tcPr>
          <w:p w14:paraId="7C12C36E" w14:textId="77777777" w:rsidR="00250AC8" w:rsidRPr="00EC250C" w:rsidRDefault="00250AC8" w:rsidP="00845591">
            <w:pPr>
              <w:pStyle w:val="Tabela"/>
              <w:rPr>
                <w:sz w:val="18"/>
                <w:szCs w:val="20"/>
              </w:rPr>
            </w:pPr>
            <w:r w:rsidRPr="00EC250C">
              <w:rPr>
                <w:sz w:val="18"/>
                <w:szCs w:val="20"/>
              </w:rPr>
              <w:t>2</w:t>
            </w:r>
            <w:r w:rsidR="00B2626D" w:rsidRPr="00EC250C">
              <w:rPr>
                <w:sz w:val="18"/>
                <w:szCs w:val="20"/>
              </w:rPr>
              <w:t> </w:t>
            </w:r>
            <w:r w:rsidRPr="00EC250C">
              <w:rPr>
                <w:sz w:val="18"/>
                <w:szCs w:val="20"/>
              </w:rPr>
              <w:t>630</w:t>
            </w:r>
          </w:p>
        </w:tc>
        <w:tc>
          <w:tcPr>
            <w:tcW w:w="1102" w:type="dxa"/>
            <w:vAlign w:val="center"/>
          </w:tcPr>
          <w:p w14:paraId="76E03E2E" w14:textId="77777777" w:rsidR="00250AC8" w:rsidRPr="00EC250C" w:rsidRDefault="00250AC8" w:rsidP="00845591">
            <w:pPr>
              <w:pStyle w:val="Tabela"/>
              <w:rPr>
                <w:sz w:val="18"/>
                <w:szCs w:val="20"/>
              </w:rPr>
            </w:pPr>
            <w:r w:rsidRPr="00EC250C">
              <w:rPr>
                <w:sz w:val="18"/>
                <w:szCs w:val="20"/>
              </w:rPr>
              <w:t>10,4</w:t>
            </w:r>
          </w:p>
        </w:tc>
      </w:tr>
      <w:tr w:rsidR="00250AC8" w:rsidRPr="00EC250C" w14:paraId="6874365F" w14:textId="77777777" w:rsidTr="00250AC8">
        <w:trPr>
          <w:trHeight w:val="454"/>
          <w:tblCellSpacing w:w="20" w:type="dxa"/>
          <w:jc w:val="center"/>
        </w:trPr>
        <w:tc>
          <w:tcPr>
            <w:tcW w:w="410" w:type="dxa"/>
            <w:vAlign w:val="center"/>
          </w:tcPr>
          <w:p w14:paraId="0AB0E96A" w14:textId="77777777" w:rsidR="00250AC8" w:rsidRPr="00EC250C" w:rsidRDefault="00250AC8" w:rsidP="00845591">
            <w:pPr>
              <w:pStyle w:val="Tabela"/>
              <w:rPr>
                <w:sz w:val="18"/>
                <w:szCs w:val="20"/>
              </w:rPr>
            </w:pPr>
            <w:r w:rsidRPr="00EC250C">
              <w:rPr>
                <w:sz w:val="18"/>
                <w:szCs w:val="20"/>
              </w:rPr>
              <w:t>5</w:t>
            </w:r>
          </w:p>
        </w:tc>
        <w:tc>
          <w:tcPr>
            <w:tcW w:w="5955" w:type="dxa"/>
            <w:vAlign w:val="center"/>
          </w:tcPr>
          <w:p w14:paraId="3FF73C68" w14:textId="77777777" w:rsidR="00250AC8" w:rsidRPr="00EC250C" w:rsidRDefault="00250AC8" w:rsidP="00845591">
            <w:pPr>
              <w:pStyle w:val="Tabela"/>
              <w:rPr>
                <w:sz w:val="18"/>
                <w:szCs w:val="20"/>
              </w:rPr>
            </w:pPr>
            <w:r w:rsidRPr="00EC250C">
              <w:rPr>
                <w:sz w:val="18"/>
                <w:szCs w:val="20"/>
              </w:rPr>
              <w:t xml:space="preserve">prawo cywilne </w:t>
            </w:r>
          </w:p>
        </w:tc>
        <w:tc>
          <w:tcPr>
            <w:tcW w:w="1238" w:type="dxa"/>
            <w:vAlign w:val="center"/>
          </w:tcPr>
          <w:p w14:paraId="0AD544C4" w14:textId="77777777" w:rsidR="00250AC8" w:rsidRPr="00EC250C" w:rsidRDefault="00250AC8" w:rsidP="00845591">
            <w:pPr>
              <w:pStyle w:val="Tabela"/>
              <w:rPr>
                <w:sz w:val="18"/>
                <w:szCs w:val="20"/>
              </w:rPr>
            </w:pPr>
            <w:r w:rsidRPr="00EC250C">
              <w:rPr>
                <w:sz w:val="18"/>
                <w:szCs w:val="20"/>
              </w:rPr>
              <w:t>3</w:t>
            </w:r>
            <w:r w:rsidR="00B2626D" w:rsidRPr="00EC250C">
              <w:rPr>
                <w:sz w:val="18"/>
                <w:szCs w:val="20"/>
              </w:rPr>
              <w:t> </w:t>
            </w:r>
            <w:r w:rsidRPr="00EC250C">
              <w:rPr>
                <w:sz w:val="18"/>
                <w:szCs w:val="20"/>
              </w:rPr>
              <w:t>775</w:t>
            </w:r>
          </w:p>
        </w:tc>
        <w:tc>
          <w:tcPr>
            <w:tcW w:w="1102" w:type="dxa"/>
            <w:vAlign w:val="center"/>
          </w:tcPr>
          <w:p w14:paraId="32BBC4A8" w14:textId="77777777" w:rsidR="00250AC8" w:rsidRPr="00EC250C" w:rsidRDefault="00250AC8" w:rsidP="00845591">
            <w:pPr>
              <w:pStyle w:val="Tabela"/>
              <w:rPr>
                <w:sz w:val="18"/>
                <w:szCs w:val="20"/>
              </w:rPr>
            </w:pPr>
            <w:r w:rsidRPr="00EC250C">
              <w:rPr>
                <w:sz w:val="18"/>
                <w:szCs w:val="20"/>
              </w:rPr>
              <w:t>14,9</w:t>
            </w:r>
          </w:p>
        </w:tc>
      </w:tr>
      <w:tr w:rsidR="00250AC8" w:rsidRPr="00EC250C" w14:paraId="16CC8B12" w14:textId="77777777" w:rsidTr="00250AC8">
        <w:trPr>
          <w:trHeight w:val="454"/>
          <w:tblCellSpacing w:w="20" w:type="dxa"/>
          <w:jc w:val="center"/>
        </w:trPr>
        <w:tc>
          <w:tcPr>
            <w:tcW w:w="410" w:type="dxa"/>
            <w:vAlign w:val="center"/>
          </w:tcPr>
          <w:p w14:paraId="4D56D671" w14:textId="77777777" w:rsidR="00250AC8" w:rsidRPr="00EC250C" w:rsidRDefault="00250AC8" w:rsidP="00845591">
            <w:pPr>
              <w:pStyle w:val="Tabela"/>
              <w:rPr>
                <w:sz w:val="18"/>
                <w:szCs w:val="20"/>
              </w:rPr>
            </w:pPr>
            <w:r w:rsidRPr="00EC250C">
              <w:rPr>
                <w:sz w:val="18"/>
                <w:szCs w:val="20"/>
              </w:rPr>
              <w:t>6</w:t>
            </w:r>
          </w:p>
        </w:tc>
        <w:tc>
          <w:tcPr>
            <w:tcW w:w="5955" w:type="dxa"/>
            <w:vAlign w:val="center"/>
          </w:tcPr>
          <w:p w14:paraId="176D9787" w14:textId="77777777" w:rsidR="00250AC8" w:rsidRPr="00EC250C" w:rsidRDefault="00250AC8" w:rsidP="00845591">
            <w:pPr>
              <w:pStyle w:val="Tabela"/>
              <w:rPr>
                <w:sz w:val="18"/>
                <w:szCs w:val="20"/>
              </w:rPr>
            </w:pPr>
            <w:r w:rsidRPr="00EC250C">
              <w:rPr>
                <w:sz w:val="18"/>
                <w:szCs w:val="20"/>
              </w:rPr>
              <w:t>prawo administracyjne</w:t>
            </w:r>
            <w:r w:rsidR="00992FD0" w:rsidRPr="00EC250C">
              <w:rPr>
                <w:sz w:val="18"/>
                <w:szCs w:val="20"/>
              </w:rPr>
              <w:t xml:space="preserve"> i </w:t>
            </w:r>
            <w:r w:rsidRPr="00EC250C">
              <w:rPr>
                <w:sz w:val="18"/>
                <w:szCs w:val="20"/>
              </w:rPr>
              <w:t>gospodarcze</w:t>
            </w:r>
          </w:p>
        </w:tc>
        <w:tc>
          <w:tcPr>
            <w:tcW w:w="1238" w:type="dxa"/>
            <w:vAlign w:val="center"/>
          </w:tcPr>
          <w:p w14:paraId="625ACDCA" w14:textId="77777777" w:rsidR="00250AC8" w:rsidRPr="00EC250C" w:rsidRDefault="00250AC8" w:rsidP="00845591">
            <w:pPr>
              <w:pStyle w:val="Tabela"/>
              <w:rPr>
                <w:sz w:val="18"/>
                <w:szCs w:val="20"/>
              </w:rPr>
            </w:pPr>
            <w:r w:rsidRPr="00EC250C">
              <w:rPr>
                <w:sz w:val="18"/>
                <w:szCs w:val="20"/>
              </w:rPr>
              <w:t>2</w:t>
            </w:r>
            <w:r w:rsidR="00126506" w:rsidRPr="00EC250C">
              <w:rPr>
                <w:sz w:val="18"/>
                <w:szCs w:val="20"/>
              </w:rPr>
              <w:t> </w:t>
            </w:r>
            <w:r w:rsidRPr="00EC250C">
              <w:rPr>
                <w:sz w:val="18"/>
                <w:szCs w:val="20"/>
              </w:rPr>
              <w:t>996</w:t>
            </w:r>
          </w:p>
        </w:tc>
        <w:tc>
          <w:tcPr>
            <w:tcW w:w="1102" w:type="dxa"/>
            <w:vAlign w:val="center"/>
          </w:tcPr>
          <w:p w14:paraId="50959D9E" w14:textId="77777777" w:rsidR="00250AC8" w:rsidRPr="00EC250C" w:rsidRDefault="00250AC8" w:rsidP="00845591">
            <w:pPr>
              <w:pStyle w:val="Tabela"/>
              <w:rPr>
                <w:sz w:val="18"/>
                <w:szCs w:val="20"/>
              </w:rPr>
            </w:pPr>
            <w:r w:rsidRPr="00EC250C">
              <w:rPr>
                <w:sz w:val="18"/>
                <w:szCs w:val="20"/>
              </w:rPr>
              <w:t>11,9</w:t>
            </w:r>
          </w:p>
        </w:tc>
      </w:tr>
      <w:tr w:rsidR="00250AC8" w:rsidRPr="00EC250C" w14:paraId="35904115" w14:textId="77777777" w:rsidTr="00250AC8">
        <w:trPr>
          <w:trHeight w:val="454"/>
          <w:tblCellSpacing w:w="20" w:type="dxa"/>
          <w:jc w:val="center"/>
        </w:trPr>
        <w:tc>
          <w:tcPr>
            <w:tcW w:w="410" w:type="dxa"/>
            <w:vAlign w:val="center"/>
          </w:tcPr>
          <w:p w14:paraId="3FFFEEC1" w14:textId="77777777" w:rsidR="00250AC8" w:rsidRPr="00EC250C" w:rsidRDefault="00250AC8" w:rsidP="00845591">
            <w:pPr>
              <w:pStyle w:val="Tabela"/>
              <w:rPr>
                <w:sz w:val="18"/>
                <w:szCs w:val="20"/>
              </w:rPr>
            </w:pPr>
            <w:r w:rsidRPr="00EC250C">
              <w:rPr>
                <w:sz w:val="18"/>
                <w:szCs w:val="20"/>
              </w:rPr>
              <w:t>7</w:t>
            </w:r>
          </w:p>
        </w:tc>
        <w:tc>
          <w:tcPr>
            <w:tcW w:w="5955" w:type="dxa"/>
            <w:vAlign w:val="center"/>
          </w:tcPr>
          <w:p w14:paraId="58774B50" w14:textId="77777777" w:rsidR="00250AC8" w:rsidRPr="00EC250C" w:rsidRDefault="00250AC8" w:rsidP="00845591">
            <w:pPr>
              <w:pStyle w:val="Tabela"/>
              <w:rPr>
                <w:sz w:val="18"/>
                <w:szCs w:val="20"/>
              </w:rPr>
            </w:pPr>
            <w:r w:rsidRPr="00EC250C">
              <w:rPr>
                <w:sz w:val="18"/>
                <w:szCs w:val="20"/>
              </w:rPr>
              <w:t>równe traktowanie</w:t>
            </w:r>
          </w:p>
        </w:tc>
        <w:tc>
          <w:tcPr>
            <w:tcW w:w="1238" w:type="dxa"/>
            <w:vAlign w:val="center"/>
          </w:tcPr>
          <w:p w14:paraId="739116CC" w14:textId="77777777" w:rsidR="00250AC8" w:rsidRPr="00EC250C" w:rsidRDefault="00250AC8" w:rsidP="00845591">
            <w:pPr>
              <w:pStyle w:val="Tabela"/>
              <w:rPr>
                <w:sz w:val="18"/>
                <w:szCs w:val="20"/>
              </w:rPr>
            </w:pPr>
            <w:r w:rsidRPr="00EC250C">
              <w:rPr>
                <w:sz w:val="18"/>
                <w:szCs w:val="20"/>
              </w:rPr>
              <w:t>538</w:t>
            </w:r>
          </w:p>
        </w:tc>
        <w:tc>
          <w:tcPr>
            <w:tcW w:w="1102" w:type="dxa"/>
            <w:vAlign w:val="center"/>
          </w:tcPr>
          <w:p w14:paraId="20248F0A" w14:textId="77777777" w:rsidR="00250AC8" w:rsidRPr="00EC250C" w:rsidRDefault="00250AC8" w:rsidP="00845591">
            <w:pPr>
              <w:pStyle w:val="Tabela"/>
              <w:rPr>
                <w:sz w:val="18"/>
                <w:szCs w:val="20"/>
              </w:rPr>
            </w:pPr>
            <w:r w:rsidRPr="00EC250C">
              <w:rPr>
                <w:sz w:val="18"/>
                <w:szCs w:val="20"/>
              </w:rPr>
              <w:t>2,1</w:t>
            </w:r>
          </w:p>
        </w:tc>
      </w:tr>
      <w:tr w:rsidR="00250AC8" w:rsidRPr="00EC250C" w14:paraId="10E84D24" w14:textId="77777777" w:rsidTr="00250AC8">
        <w:trPr>
          <w:trHeight w:val="454"/>
          <w:tblCellSpacing w:w="20" w:type="dxa"/>
          <w:jc w:val="center"/>
        </w:trPr>
        <w:tc>
          <w:tcPr>
            <w:tcW w:w="410" w:type="dxa"/>
            <w:vAlign w:val="center"/>
          </w:tcPr>
          <w:p w14:paraId="7A1DA348" w14:textId="77777777" w:rsidR="00250AC8" w:rsidRPr="00EC250C" w:rsidRDefault="00250AC8" w:rsidP="00845591">
            <w:pPr>
              <w:pStyle w:val="Tabela"/>
              <w:rPr>
                <w:sz w:val="18"/>
                <w:szCs w:val="20"/>
              </w:rPr>
            </w:pPr>
            <w:r w:rsidRPr="00EC250C">
              <w:rPr>
                <w:sz w:val="18"/>
                <w:szCs w:val="20"/>
              </w:rPr>
              <w:t>8</w:t>
            </w:r>
          </w:p>
        </w:tc>
        <w:tc>
          <w:tcPr>
            <w:tcW w:w="5955" w:type="dxa"/>
            <w:vAlign w:val="center"/>
          </w:tcPr>
          <w:p w14:paraId="5E0E0D7F" w14:textId="77777777" w:rsidR="00250AC8" w:rsidRPr="00EC250C" w:rsidRDefault="00250AC8" w:rsidP="00845591">
            <w:pPr>
              <w:pStyle w:val="Tabela"/>
              <w:rPr>
                <w:sz w:val="18"/>
                <w:szCs w:val="20"/>
              </w:rPr>
            </w:pPr>
            <w:r w:rsidRPr="00EC250C">
              <w:rPr>
                <w:sz w:val="18"/>
                <w:szCs w:val="20"/>
              </w:rPr>
              <w:t>Krajowy Mechanizm Prewencji</w:t>
            </w:r>
          </w:p>
        </w:tc>
        <w:tc>
          <w:tcPr>
            <w:tcW w:w="1238" w:type="dxa"/>
            <w:vAlign w:val="center"/>
          </w:tcPr>
          <w:p w14:paraId="5C28A337" w14:textId="77777777" w:rsidR="00250AC8" w:rsidRPr="00EC250C" w:rsidRDefault="00250AC8" w:rsidP="00845591">
            <w:pPr>
              <w:pStyle w:val="Tabela"/>
              <w:rPr>
                <w:sz w:val="18"/>
                <w:szCs w:val="20"/>
              </w:rPr>
            </w:pPr>
            <w:r w:rsidRPr="00EC250C">
              <w:rPr>
                <w:sz w:val="18"/>
                <w:szCs w:val="20"/>
              </w:rPr>
              <w:t>88</w:t>
            </w:r>
          </w:p>
        </w:tc>
        <w:tc>
          <w:tcPr>
            <w:tcW w:w="1102" w:type="dxa"/>
            <w:vAlign w:val="center"/>
          </w:tcPr>
          <w:p w14:paraId="1E0A6C45" w14:textId="77777777" w:rsidR="00250AC8" w:rsidRPr="00EC250C" w:rsidRDefault="00250AC8" w:rsidP="00845591">
            <w:pPr>
              <w:pStyle w:val="Tabela"/>
              <w:rPr>
                <w:sz w:val="18"/>
                <w:szCs w:val="20"/>
              </w:rPr>
            </w:pPr>
            <w:r w:rsidRPr="00EC250C">
              <w:rPr>
                <w:sz w:val="18"/>
                <w:szCs w:val="20"/>
              </w:rPr>
              <w:t>0,3</w:t>
            </w:r>
          </w:p>
        </w:tc>
      </w:tr>
      <w:tr w:rsidR="00250AC8" w:rsidRPr="00EC250C" w14:paraId="38D45788" w14:textId="77777777" w:rsidTr="00250AC8">
        <w:trPr>
          <w:trHeight w:val="454"/>
          <w:tblCellSpacing w:w="20" w:type="dxa"/>
          <w:jc w:val="center"/>
        </w:trPr>
        <w:tc>
          <w:tcPr>
            <w:tcW w:w="410" w:type="dxa"/>
            <w:vAlign w:val="center"/>
          </w:tcPr>
          <w:p w14:paraId="3AE408CA" w14:textId="77777777" w:rsidR="00250AC8" w:rsidRPr="00EC250C" w:rsidRDefault="00250AC8" w:rsidP="00845591">
            <w:pPr>
              <w:pStyle w:val="Tabela"/>
              <w:rPr>
                <w:sz w:val="18"/>
                <w:szCs w:val="20"/>
              </w:rPr>
            </w:pPr>
            <w:r w:rsidRPr="00EC250C">
              <w:rPr>
                <w:sz w:val="18"/>
                <w:szCs w:val="20"/>
              </w:rPr>
              <w:t>9</w:t>
            </w:r>
          </w:p>
        </w:tc>
        <w:tc>
          <w:tcPr>
            <w:tcW w:w="5955" w:type="dxa"/>
            <w:vAlign w:val="center"/>
          </w:tcPr>
          <w:p w14:paraId="5931F563" w14:textId="77777777" w:rsidR="00250AC8" w:rsidRPr="00EC250C" w:rsidRDefault="00250AC8" w:rsidP="00845591">
            <w:pPr>
              <w:pStyle w:val="Tabela"/>
              <w:rPr>
                <w:sz w:val="18"/>
                <w:szCs w:val="20"/>
              </w:rPr>
            </w:pPr>
            <w:r w:rsidRPr="00EC250C">
              <w:rPr>
                <w:sz w:val="18"/>
                <w:szCs w:val="20"/>
              </w:rPr>
              <w:t>ochrona praw żołnierzy</w:t>
            </w:r>
            <w:r w:rsidR="00992FD0" w:rsidRPr="00EC250C">
              <w:rPr>
                <w:sz w:val="18"/>
                <w:szCs w:val="20"/>
              </w:rPr>
              <w:t xml:space="preserve"> i </w:t>
            </w:r>
            <w:r w:rsidRPr="00EC250C">
              <w:rPr>
                <w:sz w:val="18"/>
                <w:szCs w:val="20"/>
              </w:rPr>
              <w:t>funkcjonariuszy</w:t>
            </w:r>
          </w:p>
        </w:tc>
        <w:tc>
          <w:tcPr>
            <w:tcW w:w="1238" w:type="dxa"/>
            <w:vAlign w:val="center"/>
          </w:tcPr>
          <w:p w14:paraId="6C9FC628" w14:textId="77777777" w:rsidR="00250AC8" w:rsidRPr="00EC250C" w:rsidRDefault="00250AC8" w:rsidP="00845591">
            <w:pPr>
              <w:pStyle w:val="Tabela"/>
              <w:rPr>
                <w:sz w:val="18"/>
                <w:szCs w:val="20"/>
              </w:rPr>
            </w:pPr>
            <w:r w:rsidRPr="00EC250C">
              <w:rPr>
                <w:sz w:val="18"/>
                <w:szCs w:val="20"/>
              </w:rPr>
              <w:t>385</w:t>
            </w:r>
          </w:p>
        </w:tc>
        <w:tc>
          <w:tcPr>
            <w:tcW w:w="1102" w:type="dxa"/>
            <w:vAlign w:val="center"/>
          </w:tcPr>
          <w:p w14:paraId="4881DBA6" w14:textId="77777777" w:rsidR="00250AC8" w:rsidRPr="00EC250C" w:rsidRDefault="00250AC8" w:rsidP="00845591">
            <w:pPr>
              <w:pStyle w:val="Tabela"/>
              <w:rPr>
                <w:sz w:val="18"/>
                <w:szCs w:val="20"/>
              </w:rPr>
            </w:pPr>
            <w:r w:rsidRPr="00EC250C">
              <w:rPr>
                <w:sz w:val="18"/>
                <w:szCs w:val="20"/>
              </w:rPr>
              <w:t>1,5</w:t>
            </w:r>
          </w:p>
        </w:tc>
      </w:tr>
      <w:tr w:rsidR="00250AC8" w:rsidRPr="00EC250C" w14:paraId="4873064C" w14:textId="77777777" w:rsidTr="00250AC8">
        <w:trPr>
          <w:trHeight w:val="454"/>
          <w:tblCellSpacing w:w="20" w:type="dxa"/>
          <w:jc w:val="center"/>
        </w:trPr>
        <w:tc>
          <w:tcPr>
            <w:tcW w:w="410" w:type="dxa"/>
            <w:vAlign w:val="center"/>
          </w:tcPr>
          <w:p w14:paraId="452EC948" w14:textId="77777777" w:rsidR="00250AC8" w:rsidRPr="00EC250C" w:rsidRDefault="00250AC8" w:rsidP="00845591">
            <w:pPr>
              <w:pStyle w:val="Tabela"/>
              <w:rPr>
                <w:sz w:val="18"/>
                <w:szCs w:val="20"/>
              </w:rPr>
            </w:pPr>
            <w:r w:rsidRPr="00EC250C">
              <w:rPr>
                <w:sz w:val="18"/>
                <w:szCs w:val="20"/>
              </w:rPr>
              <w:t>10</w:t>
            </w:r>
          </w:p>
        </w:tc>
        <w:tc>
          <w:tcPr>
            <w:tcW w:w="5955" w:type="dxa"/>
            <w:vAlign w:val="center"/>
          </w:tcPr>
          <w:p w14:paraId="2EECB6EF" w14:textId="77777777" w:rsidR="00250AC8" w:rsidRPr="00EC250C" w:rsidRDefault="00250AC8" w:rsidP="00845591">
            <w:pPr>
              <w:pStyle w:val="Tabela"/>
              <w:rPr>
                <w:sz w:val="18"/>
                <w:szCs w:val="20"/>
              </w:rPr>
            </w:pPr>
            <w:r w:rsidRPr="00EC250C">
              <w:rPr>
                <w:sz w:val="18"/>
                <w:szCs w:val="20"/>
              </w:rPr>
              <w:t>inne</w:t>
            </w:r>
          </w:p>
        </w:tc>
        <w:tc>
          <w:tcPr>
            <w:tcW w:w="1238" w:type="dxa"/>
            <w:vAlign w:val="center"/>
          </w:tcPr>
          <w:p w14:paraId="4A32B841" w14:textId="77777777" w:rsidR="00250AC8" w:rsidRPr="00EC250C" w:rsidRDefault="00250AC8" w:rsidP="00845591">
            <w:pPr>
              <w:pStyle w:val="Tabela"/>
              <w:rPr>
                <w:sz w:val="18"/>
                <w:szCs w:val="20"/>
              </w:rPr>
            </w:pPr>
            <w:r w:rsidRPr="00EC250C">
              <w:rPr>
                <w:sz w:val="18"/>
                <w:szCs w:val="20"/>
              </w:rPr>
              <w:t>223</w:t>
            </w:r>
          </w:p>
        </w:tc>
        <w:tc>
          <w:tcPr>
            <w:tcW w:w="1102" w:type="dxa"/>
            <w:vAlign w:val="center"/>
          </w:tcPr>
          <w:p w14:paraId="16D36FC1" w14:textId="77777777" w:rsidR="00250AC8" w:rsidRPr="00EC250C" w:rsidRDefault="00250AC8" w:rsidP="00845591">
            <w:pPr>
              <w:pStyle w:val="Tabela"/>
              <w:rPr>
                <w:sz w:val="18"/>
                <w:szCs w:val="20"/>
              </w:rPr>
            </w:pPr>
            <w:r w:rsidRPr="00EC250C">
              <w:rPr>
                <w:sz w:val="18"/>
                <w:szCs w:val="20"/>
              </w:rPr>
              <w:t>0,9</w:t>
            </w:r>
          </w:p>
        </w:tc>
      </w:tr>
      <w:tr w:rsidR="00250AC8" w:rsidRPr="00EC250C" w14:paraId="1B645F06" w14:textId="77777777" w:rsidTr="00250AC8">
        <w:trPr>
          <w:trHeight w:val="340"/>
          <w:tblCellSpacing w:w="20" w:type="dxa"/>
          <w:jc w:val="center"/>
        </w:trPr>
        <w:tc>
          <w:tcPr>
            <w:tcW w:w="6405" w:type="dxa"/>
            <w:gridSpan w:val="2"/>
            <w:vAlign w:val="center"/>
          </w:tcPr>
          <w:p w14:paraId="7FC55A83" w14:textId="77777777" w:rsidR="00250AC8" w:rsidRPr="00EC250C" w:rsidRDefault="00250AC8" w:rsidP="00845591">
            <w:pPr>
              <w:pStyle w:val="Tabela"/>
              <w:rPr>
                <w:sz w:val="18"/>
                <w:szCs w:val="20"/>
              </w:rPr>
            </w:pPr>
            <w:r w:rsidRPr="00EC250C">
              <w:rPr>
                <w:sz w:val="18"/>
                <w:szCs w:val="20"/>
              </w:rPr>
              <w:t>Razem</w:t>
            </w:r>
          </w:p>
        </w:tc>
        <w:tc>
          <w:tcPr>
            <w:tcW w:w="1238" w:type="dxa"/>
            <w:vAlign w:val="center"/>
          </w:tcPr>
          <w:p w14:paraId="512E49AD" w14:textId="77777777" w:rsidR="00250AC8" w:rsidRPr="00EC250C" w:rsidRDefault="00250AC8" w:rsidP="00845591">
            <w:pPr>
              <w:pStyle w:val="Tabela"/>
              <w:rPr>
                <w:sz w:val="18"/>
                <w:szCs w:val="20"/>
              </w:rPr>
            </w:pPr>
            <w:r w:rsidRPr="00EC250C">
              <w:rPr>
                <w:sz w:val="18"/>
                <w:szCs w:val="20"/>
              </w:rPr>
              <w:t>25 266</w:t>
            </w:r>
          </w:p>
        </w:tc>
        <w:tc>
          <w:tcPr>
            <w:tcW w:w="1102" w:type="dxa"/>
            <w:vAlign w:val="center"/>
          </w:tcPr>
          <w:p w14:paraId="77CD55E0" w14:textId="77777777" w:rsidR="00250AC8" w:rsidRPr="00EC250C" w:rsidRDefault="00250AC8" w:rsidP="00845591">
            <w:pPr>
              <w:pStyle w:val="Tabela"/>
              <w:rPr>
                <w:sz w:val="18"/>
                <w:szCs w:val="20"/>
              </w:rPr>
            </w:pPr>
            <w:r w:rsidRPr="00EC250C">
              <w:rPr>
                <w:sz w:val="18"/>
                <w:szCs w:val="20"/>
              </w:rPr>
              <w:t>100,0</w:t>
            </w:r>
          </w:p>
        </w:tc>
      </w:tr>
    </w:tbl>
    <w:p w14:paraId="749E2B57" w14:textId="77777777" w:rsidR="00250AC8" w:rsidRPr="00EC250C" w:rsidRDefault="00250AC8" w:rsidP="00D131FA">
      <w:pPr>
        <w:jc w:val="both"/>
        <w:rPr>
          <w:sz w:val="24"/>
        </w:rPr>
      </w:pPr>
      <w:r w:rsidRPr="00EC250C">
        <w:rPr>
          <w:sz w:val="24"/>
        </w:rPr>
        <w:fldChar w:fldCharType="end"/>
      </w:r>
      <w:r w:rsidR="00ED567C" w:rsidRPr="00EC250C">
        <w:rPr>
          <w:noProof/>
          <w:sz w:val="24"/>
        </w:rPr>
        <w:drawing>
          <wp:inline distT="0" distB="0" distL="0" distR="0" wp14:anchorId="09B023A0" wp14:editId="45536E31">
            <wp:extent cx="5040000" cy="2242800"/>
            <wp:effectExtent l="0" t="0" r="0" b="5715"/>
            <wp:docPr id="17" name="Obraz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0000" cy="2242800"/>
                    </a:xfrm>
                    <a:prstGeom prst="rect">
                      <a:avLst/>
                    </a:prstGeom>
                    <a:noFill/>
                  </pic:spPr>
                </pic:pic>
              </a:graphicData>
            </a:graphic>
          </wp:inline>
        </w:drawing>
      </w:r>
    </w:p>
    <w:p w14:paraId="72F1915A" w14:textId="77777777" w:rsidR="00250AC8" w:rsidRPr="00EC250C" w:rsidRDefault="00250AC8" w:rsidP="00D131FA">
      <w:pPr>
        <w:pStyle w:val="Srdtytul6"/>
        <w:jc w:val="both"/>
      </w:pPr>
      <w:r w:rsidRPr="00EC250C">
        <w:t>Przedmiot wniosków dot. skarg nadzwyczajnych skierowanych do Rzecznika Praw Obywatelskich (według właściwości zespołów merytorycznych).</w:t>
      </w:r>
    </w:p>
    <w:tbl>
      <w:tblPr>
        <w:tblW w:w="7977" w:type="dxa"/>
        <w:tblCellSpacing w:w="20" w:type="dxa"/>
        <w:tblInd w:w="455" w:type="dxa"/>
        <w:tblBorders>
          <w:top w:val="inset" w:sz="2" w:space="0" w:color="auto"/>
          <w:left w:val="inset" w:sz="2" w:space="0" w:color="auto"/>
          <w:bottom w:val="single" w:sz="4" w:space="0" w:color="auto"/>
          <w:right w:val="inset" w:sz="2" w:space="0" w:color="auto"/>
          <w:insideH w:val="inset" w:sz="2" w:space="0" w:color="auto"/>
          <w:insideV w:val="inset" w:sz="2" w:space="0" w:color="auto"/>
        </w:tblBorders>
        <w:tblLayout w:type="fixed"/>
        <w:tblCellMar>
          <w:left w:w="70" w:type="dxa"/>
          <w:right w:w="70" w:type="dxa"/>
        </w:tblCellMar>
        <w:tblLook w:val="0000" w:firstRow="0" w:lastRow="0" w:firstColumn="0" w:lastColumn="0" w:noHBand="0" w:noVBand="0"/>
      </w:tblPr>
      <w:tblGrid>
        <w:gridCol w:w="6907"/>
        <w:gridCol w:w="1070"/>
      </w:tblGrid>
      <w:tr w:rsidR="00250AC8" w:rsidRPr="00EC250C" w14:paraId="0BA5E3D5" w14:textId="77777777" w:rsidTr="00ED567C">
        <w:trPr>
          <w:trHeight w:val="222"/>
          <w:tblCellSpacing w:w="20" w:type="dxa"/>
        </w:trPr>
        <w:tc>
          <w:tcPr>
            <w:tcW w:w="6847" w:type="dxa"/>
            <w:vAlign w:val="center"/>
          </w:tcPr>
          <w:p w14:paraId="38622780" w14:textId="77777777" w:rsidR="00250AC8" w:rsidRPr="00EC250C" w:rsidRDefault="00250AC8" w:rsidP="00D131FA">
            <w:pPr>
              <w:pStyle w:val="Tabela"/>
              <w:jc w:val="both"/>
            </w:pPr>
            <w:r w:rsidRPr="00EC250C">
              <w:t>prawo karne</w:t>
            </w:r>
          </w:p>
        </w:tc>
        <w:tc>
          <w:tcPr>
            <w:tcW w:w="1010" w:type="dxa"/>
            <w:vAlign w:val="center"/>
          </w:tcPr>
          <w:p w14:paraId="28923271" w14:textId="77777777" w:rsidR="00250AC8" w:rsidRPr="00EC250C" w:rsidRDefault="00250AC8" w:rsidP="00D131FA">
            <w:pPr>
              <w:pStyle w:val="Tabela"/>
              <w:jc w:val="both"/>
            </w:pPr>
            <w:r w:rsidRPr="00EC250C">
              <w:t>1421</w:t>
            </w:r>
          </w:p>
        </w:tc>
      </w:tr>
      <w:tr w:rsidR="00250AC8" w:rsidRPr="00EC250C" w14:paraId="012E214D" w14:textId="77777777" w:rsidTr="002A5E2D">
        <w:trPr>
          <w:trHeight w:val="397"/>
          <w:tblCellSpacing w:w="20" w:type="dxa"/>
        </w:trPr>
        <w:tc>
          <w:tcPr>
            <w:tcW w:w="6847" w:type="dxa"/>
            <w:vAlign w:val="center"/>
          </w:tcPr>
          <w:p w14:paraId="7622207E" w14:textId="77777777" w:rsidR="00250AC8" w:rsidRPr="00EC250C" w:rsidRDefault="00250AC8" w:rsidP="00D131FA">
            <w:pPr>
              <w:pStyle w:val="Tabela"/>
              <w:jc w:val="both"/>
            </w:pPr>
            <w:r w:rsidRPr="00EC250C">
              <w:t>prawo karne wykonawcze</w:t>
            </w:r>
          </w:p>
        </w:tc>
        <w:tc>
          <w:tcPr>
            <w:tcW w:w="1010" w:type="dxa"/>
            <w:vAlign w:val="center"/>
          </w:tcPr>
          <w:p w14:paraId="164571DE" w14:textId="77777777" w:rsidR="00250AC8" w:rsidRPr="00EC250C" w:rsidRDefault="00250AC8" w:rsidP="00D131FA">
            <w:pPr>
              <w:pStyle w:val="Tabela"/>
              <w:jc w:val="both"/>
            </w:pPr>
            <w:r w:rsidRPr="00EC250C">
              <w:t>8</w:t>
            </w:r>
          </w:p>
        </w:tc>
      </w:tr>
      <w:tr w:rsidR="00250AC8" w:rsidRPr="00EC250C" w14:paraId="618A2CED" w14:textId="77777777" w:rsidTr="002A5E2D">
        <w:trPr>
          <w:trHeight w:val="397"/>
          <w:tblCellSpacing w:w="20" w:type="dxa"/>
        </w:trPr>
        <w:tc>
          <w:tcPr>
            <w:tcW w:w="6847" w:type="dxa"/>
            <w:vAlign w:val="center"/>
          </w:tcPr>
          <w:p w14:paraId="61C03DAB" w14:textId="77777777" w:rsidR="00250AC8" w:rsidRPr="00EC250C" w:rsidRDefault="00250AC8" w:rsidP="00D131FA">
            <w:pPr>
              <w:pStyle w:val="Tabela"/>
              <w:jc w:val="both"/>
            </w:pPr>
            <w:r w:rsidRPr="00EC250C">
              <w:t>prawo pracy</w:t>
            </w:r>
            <w:r w:rsidR="00992FD0" w:rsidRPr="00EC250C">
              <w:t xml:space="preserve"> i </w:t>
            </w:r>
            <w:r w:rsidRPr="00EC250C">
              <w:t>zabezpieczenie społeczne</w:t>
            </w:r>
          </w:p>
        </w:tc>
        <w:tc>
          <w:tcPr>
            <w:tcW w:w="1010" w:type="dxa"/>
            <w:vAlign w:val="center"/>
          </w:tcPr>
          <w:p w14:paraId="270AB9E4" w14:textId="77777777" w:rsidR="00250AC8" w:rsidRPr="00EC250C" w:rsidRDefault="00250AC8" w:rsidP="00D131FA">
            <w:pPr>
              <w:pStyle w:val="Tabela"/>
              <w:jc w:val="both"/>
            </w:pPr>
            <w:r w:rsidRPr="00EC250C">
              <w:t>385</w:t>
            </w:r>
          </w:p>
        </w:tc>
      </w:tr>
      <w:tr w:rsidR="00250AC8" w:rsidRPr="00EC250C" w14:paraId="1631B179" w14:textId="77777777" w:rsidTr="00ED567C">
        <w:trPr>
          <w:trHeight w:val="153"/>
          <w:tblCellSpacing w:w="20" w:type="dxa"/>
        </w:trPr>
        <w:tc>
          <w:tcPr>
            <w:tcW w:w="6847" w:type="dxa"/>
            <w:vAlign w:val="center"/>
          </w:tcPr>
          <w:p w14:paraId="0CEA7CC8" w14:textId="77777777" w:rsidR="00250AC8" w:rsidRPr="00EC250C" w:rsidRDefault="00250AC8" w:rsidP="00D131FA">
            <w:pPr>
              <w:pStyle w:val="Tabela"/>
              <w:jc w:val="both"/>
            </w:pPr>
            <w:r w:rsidRPr="00EC250C">
              <w:t>prawo cywilne</w:t>
            </w:r>
          </w:p>
        </w:tc>
        <w:tc>
          <w:tcPr>
            <w:tcW w:w="1010" w:type="dxa"/>
            <w:vAlign w:val="center"/>
          </w:tcPr>
          <w:p w14:paraId="1AC1C1BA" w14:textId="77777777" w:rsidR="00250AC8" w:rsidRPr="00EC250C" w:rsidRDefault="00250AC8" w:rsidP="00D131FA">
            <w:pPr>
              <w:pStyle w:val="Tabela"/>
              <w:jc w:val="both"/>
            </w:pPr>
            <w:r w:rsidRPr="00EC250C">
              <w:t>847</w:t>
            </w:r>
          </w:p>
        </w:tc>
      </w:tr>
      <w:tr w:rsidR="00250AC8" w:rsidRPr="00EC250C" w14:paraId="7F3CFFAF" w14:textId="77777777" w:rsidTr="002A5E2D">
        <w:trPr>
          <w:trHeight w:val="397"/>
          <w:tblCellSpacing w:w="20" w:type="dxa"/>
        </w:trPr>
        <w:tc>
          <w:tcPr>
            <w:tcW w:w="6847" w:type="dxa"/>
            <w:vAlign w:val="center"/>
          </w:tcPr>
          <w:p w14:paraId="0B722B94" w14:textId="77777777" w:rsidR="00250AC8" w:rsidRPr="00EC250C" w:rsidRDefault="00250AC8" w:rsidP="00D131FA">
            <w:pPr>
              <w:pStyle w:val="Tabela"/>
              <w:jc w:val="both"/>
            </w:pPr>
            <w:r w:rsidRPr="00EC250C">
              <w:t>prawo administracyjne</w:t>
            </w:r>
            <w:r w:rsidR="00992FD0" w:rsidRPr="00EC250C">
              <w:t xml:space="preserve"> i </w:t>
            </w:r>
            <w:r w:rsidRPr="00EC250C">
              <w:t>gospodarcze</w:t>
            </w:r>
          </w:p>
        </w:tc>
        <w:tc>
          <w:tcPr>
            <w:tcW w:w="1010" w:type="dxa"/>
            <w:vAlign w:val="center"/>
          </w:tcPr>
          <w:p w14:paraId="35FE7E38" w14:textId="77777777" w:rsidR="00250AC8" w:rsidRPr="00EC250C" w:rsidRDefault="00250AC8" w:rsidP="00D131FA">
            <w:pPr>
              <w:pStyle w:val="Tabela"/>
              <w:jc w:val="both"/>
            </w:pPr>
            <w:r w:rsidRPr="00EC250C">
              <w:t>271</w:t>
            </w:r>
          </w:p>
        </w:tc>
      </w:tr>
      <w:tr w:rsidR="00250AC8" w:rsidRPr="00EC250C" w14:paraId="5E82FC18" w14:textId="77777777" w:rsidTr="002A5E2D">
        <w:trPr>
          <w:trHeight w:val="397"/>
          <w:tblCellSpacing w:w="20" w:type="dxa"/>
        </w:trPr>
        <w:tc>
          <w:tcPr>
            <w:tcW w:w="6847" w:type="dxa"/>
            <w:vAlign w:val="center"/>
          </w:tcPr>
          <w:p w14:paraId="6229D881" w14:textId="77777777" w:rsidR="00250AC8" w:rsidRPr="00EC250C" w:rsidRDefault="00250AC8" w:rsidP="00D131FA">
            <w:pPr>
              <w:pStyle w:val="Tabela"/>
              <w:jc w:val="both"/>
            </w:pPr>
            <w:r w:rsidRPr="00EC250C">
              <w:t>prawo konstytucyjne, międzynarodowe</w:t>
            </w:r>
            <w:r w:rsidR="00992FD0" w:rsidRPr="00EC250C">
              <w:t xml:space="preserve"> i </w:t>
            </w:r>
            <w:r w:rsidRPr="00EC250C">
              <w:t>europejskie</w:t>
            </w:r>
          </w:p>
        </w:tc>
        <w:tc>
          <w:tcPr>
            <w:tcW w:w="1010" w:type="dxa"/>
            <w:vAlign w:val="center"/>
          </w:tcPr>
          <w:p w14:paraId="7A63B77C" w14:textId="77777777" w:rsidR="00250AC8" w:rsidRPr="00EC250C" w:rsidRDefault="00250AC8" w:rsidP="00D131FA">
            <w:pPr>
              <w:pStyle w:val="Tabela"/>
              <w:jc w:val="both"/>
            </w:pPr>
            <w:r w:rsidRPr="00EC250C">
              <w:t>39</w:t>
            </w:r>
          </w:p>
        </w:tc>
      </w:tr>
      <w:tr w:rsidR="00250AC8" w:rsidRPr="00EC250C" w14:paraId="5D8B1A16" w14:textId="77777777" w:rsidTr="002A5E2D">
        <w:trPr>
          <w:trHeight w:val="397"/>
          <w:tblCellSpacing w:w="20" w:type="dxa"/>
        </w:trPr>
        <w:tc>
          <w:tcPr>
            <w:tcW w:w="6847" w:type="dxa"/>
            <w:vAlign w:val="center"/>
          </w:tcPr>
          <w:p w14:paraId="620DFBDC" w14:textId="77777777" w:rsidR="00250AC8" w:rsidRPr="00EC250C" w:rsidRDefault="00250AC8" w:rsidP="00D131FA">
            <w:pPr>
              <w:pStyle w:val="Tabela"/>
              <w:jc w:val="both"/>
            </w:pPr>
            <w:r w:rsidRPr="00EC250C">
              <w:lastRenderedPageBreak/>
              <w:t>równe traktowanie</w:t>
            </w:r>
          </w:p>
        </w:tc>
        <w:tc>
          <w:tcPr>
            <w:tcW w:w="1010" w:type="dxa"/>
            <w:vAlign w:val="center"/>
          </w:tcPr>
          <w:p w14:paraId="4D840A47" w14:textId="77777777" w:rsidR="00250AC8" w:rsidRPr="00EC250C" w:rsidRDefault="00250AC8" w:rsidP="00D131FA">
            <w:pPr>
              <w:pStyle w:val="Tabela"/>
              <w:jc w:val="both"/>
            </w:pPr>
            <w:r w:rsidRPr="00EC250C">
              <w:t>7</w:t>
            </w:r>
          </w:p>
        </w:tc>
      </w:tr>
      <w:tr w:rsidR="00250AC8" w:rsidRPr="00EC250C" w14:paraId="11123AC3" w14:textId="77777777" w:rsidTr="00ED567C">
        <w:trPr>
          <w:trHeight w:val="210"/>
          <w:tblCellSpacing w:w="20" w:type="dxa"/>
        </w:trPr>
        <w:tc>
          <w:tcPr>
            <w:tcW w:w="6847" w:type="dxa"/>
            <w:vAlign w:val="center"/>
          </w:tcPr>
          <w:p w14:paraId="3C74A518" w14:textId="77777777" w:rsidR="00250AC8" w:rsidRPr="00EC250C" w:rsidRDefault="00250AC8" w:rsidP="00D131FA">
            <w:pPr>
              <w:pStyle w:val="Tabela"/>
              <w:jc w:val="both"/>
            </w:pPr>
            <w:r w:rsidRPr="00EC250C">
              <w:t>ochrona praw żołnierzy</w:t>
            </w:r>
            <w:r w:rsidR="00992FD0" w:rsidRPr="00EC250C">
              <w:t xml:space="preserve"> i </w:t>
            </w:r>
            <w:r w:rsidRPr="00EC250C">
              <w:t>funkcjonariuszy</w:t>
            </w:r>
          </w:p>
        </w:tc>
        <w:tc>
          <w:tcPr>
            <w:tcW w:w="1010" w:type="dxa"/>
            <w:vAlign w:val="center"/>
          </w:tcPr>
          <w:p w14:paraId="61EE6129" w14:textId="77777777" w:rsidR="00250AC8" w:rsidRPr="00EC250C" w:rsidRDefault="00250AC8" w:rsidP="00D131FA">
            <w:pPr>
              <w:pStyle w:val="Tabela"/>
              <w:jc w:val="both"/>
            </w:pPr>
            <w:r w:rsidRPr="00EC250C">
              <w:t>11</w:t>
            </w:r>
          </w:p>
        </w:tc>
      </w:tr>
      <w:tr w:rsidR="00250AC8" w:rsidRPr="00EC250C" w14:paraId="4B4733A3" w14:textId="77777777" w:rsidTr="00ED567C">
        <w:trPr>
          <w:trHeight w:val="214"/>
          <w:tblCellSpacing w:w="20" w:type="dxa"/>
        </w:trPr>
        <w:tc>
          <w:tcPr>
            <w:tcW w:w="6847" w:type="dxa"/>
            <w:vAlign w:val="center"/>
          </w:tcPr>
          <w:p w14:paraId="03650EA7" w14:textId="77777777" w:rsidR="00250AC8" w:rsidRPr="00EC250C" w:rsidRDefault="00E2198D" w:rsidP="00D131FA">
            <w:pPr>
              <w:pStyle w:val="Tabela"/>
              <w:jc w:val="both"/>
            </w:pPr>
            <w:r w:rsidRPr="00EC250C">
              <w:t>I</w:t>
            </w:r>
            <w:r w:rsidR="00250AC8" w:rsidRPr="00EC250C">
              <w:t>nne</w:t>
            </w:r>
          </w:p>
        </w:tc>
        <w:tc>
          <w:tcPr>
            <w:tcW w:w="1010" w:type="dxa"/>
            <w:vAlign w:val="center"/>
          </w:tcPr>
          <w:p w14:paraId="56EFDEE7" w14:textId="77777777" w:rsidR="00250AC8" w:rsidRPr="00EC250C" w:rsidRDefault="00250AC8" w:rsidP="00D131FA">
            <w:pPr>
              <w:pStyle w:val="Tabela"/>
              <w:jc w:val="both"/>
            </w:pPr>
            <w:r w:rsidRPr="00EC250C">
              <w:t>2</w:t>
            </w:r>
          </w:p>
        </w:tc>
      </w:tr>
      <w:tr w:rsidR="00250AC8" w:rsidRPr="00EC250C" w14:paraId="3FC1DB99" w14:textId="77777777" w:rsidTr="002A5E2D">
        <w:trPr>
          <w:trHeight w:val="397"/>
          <w:tblCellSpacing w:w="20" w:type="dxa"/>
        </w:trPr>
        <w:tc>
          <w:tcPr>
            <w:tcW w:w="6847" w:type="dxa"/>
            <w:vAlign w:val="center"/>
          </w:tcPr>
          <w:p w14:paraId="0594C764" w14:textId="77777777" w:rsidR="00250AC8" w:rsidRPr="00EC250C" w:rsidRDefault="00250AC8" w:rsidP="00D131FA">
            <w:pPr>
              <w:pStyle w:val="Tabela"/>
              <w:jc w:val="both"/>
              <w:rPr>
                <w:b/>
              </w:rPr>
            </w:pPr>
            <w:r w:rsidRPr="00EC250C">
              <w:rPr>
                <w:b/>
              </w:rPr>
              <w:t>Razem</w:t>
            </w:r>
          </w:p>
        </w:tc>
        <w:tc>
          <w:tcPr>
            <w:tcW w:w="1010" w:type="dxa"/>
            <w:vAlign w:val="center"/>
          </w:tcPr>
          <w:p w14:paraId="37B1EC45" w14:textId="77777777" w:rsidR="00250AC8" w:rsidRPr="00EC250C" w:rsidRDefault="00250AC8" w:rsidP="00D131FA">
            <w:pPr>
              <w:pStyle w:val="Tabela"/>
              <w:jc w:val="both"/>
              <w:rPr>
                <w:b/>
              </w:rPr>
            </w:pPr>
            <w:r w:rsidRPr="00EC250C">
              <w:rPr>
                <w:b/>
              </w:rPr>
              <w:t>2991</w:t>
            </w:r>
          </w:p>
        </w:tc>
      </w:tr>
    </w:tbl>
    <w:p w14:paraId="0B124FD5" w14:textId="77777777" w:rsidR="00126506" w:rsidRPr="00EC250C" w:rsidRDefault="00126506" w:rsidP="00D131FA">
      <w:pPr>
        <w:pStyle w:val="Standardowy10"/>
        <w:rPr>
          <w:noProof/>
          <w:sz w:val="24"/>
        </w:rPr>
      </w:pPr>
    </w:p>
    <w:p w14:paraId="588D4A49" w14:textId="77777777" w:rsidR="00250AC8" w:rsidRPr="00EC250C" w:rsidRDefault="00ED567C" w:rsidP="00D131FA">
      <w:pPr>
        <w:pStyle w:val="Standardowy10"/>
        <w:rPr>
          <w:noProof/>
          <w:sz w:val="24"/>
        </w:rPr>
      </w:pPr>
      <w:r w:rsidRPr="00EC250C">
        <w:rPr>
          <w:noProof/>
          <w:sz w:val="24"/>
        </w:rPr>
        <w:drawing>
          <wp:inline distT="0" distB="0" distL="0" distR="0" wp14:anchorId="2CB72911" wp14:editId="09AF2DCC">
            <wp:extent cx="5040000" cy="2037600"/>
            <wp:effectExtent l="0" t="0" r="0" b="1270"/>
            <wp:docPr id="18" name="Obraz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0000" cy="2037600"/>
                    </a:xfrm>
                    <a:prstGeom prst="rect">
                      <a:avLst/>
                    </a:prstGeom>
                    <a:noFill/>
                  </pic:spPr>
                </pic:pic>
              </a:graphicData>
            </a:graphic>
          </wp:inline>
        </w:drawing>
      </w:r>
    </w:p>
    <w:p w14:paraId="3F67BD4B" w14:textId="77777777" w:rsidR="00250AC8" w:rsidRPr="00EC250C" w:rsidRDefault="00394BFE" w:rsidP="00D131FA">
      <w:pPr>
        <w:tabs>
          <w:tab w:val="left" w:pos="426"/>
        </w:tabs>
        <w:jc w:val="both"/>
        <w:rPr>
          <w:sz w:val="24"/>
        </w:rPr>
      </w:pPr>
      <w:r w:rsidRPr="00EC250C">
        <w:rPr>
          <w:noProof/>
          <w:sz w:val="24"/>
        </w:rPr>
        <w:drawing>
          <wp:inline distT="0" distB="0" distL="0" distR="0" wp14:anchorId="207C9C90" wp14:editId="678F15A7">
            <wp:extent cx="5040000" cy="2678400"/>
            <wp:effectExtent l="0" t="0" r="0" b="0"/>
            <wp:docPr id="20" name="Obraz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0000" cy="2678400"/>
                    </a:xfrm>
                    <a:prstGeom prst="rect">
                      <a:avLst/>
                    </a:prstGeom>
                    <a:noFill/>
                  </pic:spPr>
                </pic:pic>
              </a:graphicData>
            </a:graphic>
          </wp:inline>
        </w:drawing>
      </w:r>
    </w:p>
    <w:p w14:paraId="09D5B9DF" w14:textId="77777777" w:rsidR="00250AC8" w:rsidRPr="00EC250C" w:rsidRDefault="00394BFE" w:rsidP="00D131FA">
      <w:pPr>
        <w:jc w:val="both"/>
        <w:rPr>
          <w:noProof/>
          <w:sz w:val="24"/>
        </w:rPr>
      </w:pPr>
      <w:r w:rsidRPr="00EC250C">
        <w:rPr>
          <w:noProof/>
          <w:sz w:val="24"/>
        </w:rPr>
        <w:drawing>
          <wp:inline distT="0" distB="0" distL="0" distR="0" wp14:anchorId="773EA399" wp14:editId="39170F0E">
            <wp:extent cx="5040000" cy="2282400"/>
            <wp:effectExtent l="0" t="0" r="8255" b="3810"/>
            <wp:docPr id="21" name="Obraz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0000" cy="2282400"/>
                    </a:xfrm>
                    <a:prstGeom prst="rect">
                      <a:avLst/>
                    </a:prstGeom>
                    <a:noFill/>
                  </pic:spPr>
                </pic:pic>
              </a:graphicData>
            </a:graphic>
          </wp:inline>
        </w:drawing>
      </w:r>
    </w:p>
    <w:p w14:paraId="67484865" w14:textId="77777777" w:rsidR="00250AC8" w:rsidRPr="00EC250C" w:rsidRDefault="00394BFE" w:rsidP="00D131FA">
      <w:pPr>
        <w:jc w:val="both"/>
        <w:rPr>
          <w:sz w:val="20"/>
        </w:rPr>
      </w:pPr>
      <w:r w:rsidRPr="00EC250C">
        <w:rPr>
          <w:noProof/>
          <w:sz w:val="20"/>
        </w:rPr>
        <w:lastRenderedPageBreak/>
        <w:drawing>
          <wp:inline distT="0" distB="0" distL="0" distR="0" wp14:anchorId="44A96A45" wp14:editId="325EBF45">
            <wp:extent cx="5040000" cy="2253600"/>
            <wp:effectExtent l="0" t="0" r="0" b="0"/>
            <wp:docPr id="22" name="Obraz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0000" cy="2253600"/>
                    </a:xfrm>
                    <a:prstGeom prst="rect">
                      <a:avLst/>
                    </a:prstGeom>
                    <a:noFill/>
                  </pic:spPr>
                </pic:pic>
              </a:graphicData>
            </a:graphic>
          </wp:inline>
        </w:drawing>
      </w:r>
    </w:p>
    <w:p w14:paraId="5B0E4739" w14:textId="77777777" w:rsidR="00803D6D" w:rsidRPr="00EC250C" w:rsidRDefault="00803D6D" w:rsidP="00D131FA">
      <w:pPr>
        <w:jc w:val="both"/>
        <w:rPr>
          <w:sz w:val="20"/>
        </w:rPr>
      </w:pPr>
      <w:r w:rsidRPr="00EC250C">
        <w:rPr>
          <w:noProof/>
          <w:sz w:val="20"/>
        </w:rPr>
        <w:drawing>
          <wp:inline distT="0" distB="0" distL="0" distR="0" wp14:anchorId="77DC8A9C" wp14:editId="62BE8CFD">
            <wp:extent cx="6143689" cy="2536466"/>
            <wp:effectExtent l="0" t="0" r="0" b="0"/>
            <wp:docPr id="23" name="Obraz 23" descr="Rozmowy z interesantami - wykres słupkowy pokazujący, jak od roku 1988  rośnie znaczenie rozmów telefon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6240" cy="2541648"/>
                    </a:xfrm>
                    <a:prstGeom prst="rect">
                      <a:avLst/>
                    </a:prstGeom>
                    <a:noFill/>
                  </pic:spPr>
                </pic:pic>
              </a:graphicData>
            </a:graphic>
          </wp:inline>
        </w:drawing>
      </w:r>
    </w:p>
    <w:p w14:paraId="4DCF2B33" w14:textId="77777777" w:rsidR="00AD6326" w:rsidRPr="00EC250C" w:rsidRDefault="00796320" w:rsidP="00D131FA">
      <w:pPr>
        <w:pStyle w:val="Styl1"/>
      </w:pPr>
      <w:r w:rsidRPr="00EC250C">
        <w:t xml:space="preserve">Przyjęcia </w:t>
      </w:r>
      <w:r w:rsidR="005103EF" w:rsidRPr="00EC250C">
        <w:t>osobist</w:t>
      </w:r>
      <w:r w:rsidR="00AD6326" w:rsidRPr="00EC250C">
        <w:t>e polegają na rozmowie</w:t>
      </w:r>
      <w:r w:rsidR="00992FD0" w:rsidRPr="00EC250C">
        <w:t xml:space="preserve"> z </w:t>
      </w:r>
      <w:r w:rsidR="00AD6326" w:rsidRPr="00EC250C">
        <w:t>ludźmi</w:t>
      </w:r>
      <w:r w:rsidR="00992FD0" w:rsidRPr="00EC250C">
        <w:t xml:space="preserve"> o </w:t>
      </w:r>
      <w:r w:rsidR="00AD6326" w:rsidRPr="00EC250C">
        <w:t>ich konkretnych problemach, przeglądaniu przyniesionych przez nich dokumentów, informowaniu, na jaką pomoc</w:t>
      </w:r>
      <w:r w:rsidR="00992FD0" w:rsidRPr="00EC250C">
        <w:t xml:space="preserve"> i </w:t>
      </w:r>
      <w:r w:rsidR="00AD6326" w:rsidRPr="00EC250C">
        <w:t>gdzie mogą liczyć.</w:t>
      </w:r>
    </w:p>
    <w:p w14:paraId="1FB92709" w14:textId="77777777" w:rsidR="00250AC8" w:rsidRPr="00EC250C" w:rsidRDefault="00AD6326" w:rsidP="00D131FA">
      <w:pPr>
        <w:spacing w:after="0" w:line="240" w:lineRule="auto"/>
        <w:jc w:val="both"/>
        <w:rPr>
          <w:sz w:val="24"/>
        </w:rPr>
      </w:pPr>
      <w:r w:rsidRPr="00EC250C">
        <w:rPr>
          <w:noProof/>
          <w:sz w:val="24"/>
        </w:rPr>
        <w:drawing>
          <wp:inline distT="0" distB="0" distL="0" distR="0" wp14:anchorId="4333ABBD" wp14:editId="305045BB">
            <wp:extent cx="5040000" cy="2181600"/>
            <wp:effectExtent l="0" t="0" r="8255" b="9525"/>
            <wp:docPr id="24" name="Obraz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0000" cy="2181600"/>
                    </a:xfrm>
                    <a:prstGeom prst="rect">
                      <a:avLst/>
                    </a:prstGeom>
                    <a:noFill/>
                  </pic:spPr>
                </pic:pic>
              </a:graphicData>
            </a:graphic>
          </wp:inline>
        </w:drawing>
      </w:r>
    </w:p>
    <w:p w14:paraId="1D1B4024" w14:textId="77777777" w:rsidR="00250AC8" w:rsidRPr="00EC250C" w:rsidRDefault="00250AC8" w:rsidP="00D131FA">
      <w:pPr>
        <w:spacing w:after="0" w:line="240" w:lineRule="auto"/>
        <w:jc w:val="both"/>
        <w:rPr>
          <w:noProof/>
          <w:sz w:val="24"/>
        </w:rPr>
      </w:pPr>
    </w:p>
    <w:p w14:paraId="39785D93" w14:textId="77777777" w:rsidR="00250AC8" w:rsidRPr="00EC250C" w:rsidRDefault="00AD6326" w:rsidP="00D131FA">
      <w:pPr>
        <w:tabs>
          <w:tab w:val="left" w:pos="567"/>
        </w:tabs>
        <w:jc w:val="both"/>
        <w:rPr>
          <w:noProof/>
          <w:sz w:val="24"/>
        </w:rPr>
      </w:pPr>
      <w:r w:rsidRPr="00EC250C">
        <w:rPr>
          <w:noProof/>
          <w:sz w:val="24"/>
        </w:rPr>
        <w:lastRenderedPageBreak/>
        <w:drawing>
          <wp:inline distT="0" distB="0" distL="0" distR="0" wp14:anchorId="128FE922" wp14:editId="35EF7ACB">
            <wp:extent cx="5040000" cy="2379600"/>
            <wp:effectExtent l="0" t="0" r="8255" b="1905"/>
            <wp:docPr id="26" name="Obraz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0000" cy="2379600"/>
                    </a:xfrm>
                    <a:prstGeom prst="rect">
                      <a:avLst/>
                    </a:prstGeom>
                    <a:noFill/>
                  </pic:spPr>
                </pic:pic>
              </a:graphicData>
            </a:graphic>
          </wp:inline>
        </w:drawing>
      </w:r>
    </w:p>
    <w:p w14:paraId="59AAA897" w14:textId="77777777" w:rsidR="00250AC8" w:rsidRPr="00EC250C" w:rsidRDefault="00250AC8" w:rsidP="00D131FA">
      <w:pPr>
        <w:tabs>
          <w:tab w:val="left" w:pos="567"/>
        </w:tabs>
        <w:jc w:val="both"/>
        <w:rPr>
          <w:sz w:val="20"/>
        </w:rPr>
      </w:pPr>
    </w:p>
    <w:p w14:paraId="0312A10B" w14:textId="77777777" w:rsidR="00250AC8" w:rsidRPr="00EC250C" w:rsidRDefault="00AD6326" w:rsidP="00D131FA">
      <w:pPr>
        <w:spacing w:line="240" w:lineRule="auto"/>
        <w:jc w:val="both"/>
        <w:rPr>
          <w:b/>
          <w:sz w:val="24"/>
          <w:szCs w:val="24"/>
        </w:rPr>
      </w:pPr>
      <w:r w:rsidRPr="00EC250C">
        <w:rPr>
          <w:b/>
          <w:noProof/>
          <w:sz w:val="24"/>
          <w:szCs w:val="24"/>
        </w:rPr>
        <w:drawing>
          <wp:inline distT="0" distB="0" distL="0" distR="0" wp14:anchorId="3F46957D" wp14:editId="11E1AACA">
            <wp:extent cx="5040000" cy="2916000"/>
            <wp:effectExtent l="0" t="0" r="8255" b="0"/>
            <wp:docPr id="27" name="Obraz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0000" cy="2916000"/>
                    </a:xfrm>
                    <a:prstGeom prst="rect">
                      <a:avLst/>
                    </a:prstGeom>
                    <a:noFill/>
                  </pic:spPr>
                </pic:pic>
              </a:graphicData>
            </a:graphic>
          </wp:inline>
        </w:drawing>
      </w:r>
    </w:p>
    <w:p w14:paraId="7CB8E3F5" w14:textId="77777777" w:rsidR="00250AC8" w:rsidRPr="00EC250C" w:rsidRDefault="00250AC8" w:rsidP="00D131FA">
      <w:pPr>
        <w:spacing w:line="240" w:lineRule="auto"/>
        <w:ind w:left="567" w:right="375"/>
        <w:jc w:val="both"/>
        <w:rPr>
          <w:b/>
          <w:spacing w:val="0"/>
          <w:sz w:val="24"/>
          <w:szCs w:val="24"/>
        </w:rPr>
      </w:pPr>
    </w:p>
    <w:p w14:paraId="5C0E1A5A" w14:textId="77777777" w:rsidR="00250AC8" w:rsidRPr="00EC250C" w:rsidRDefault="00250AC8" w:rsidP="00D131FA">
      <w:pPr>
        <w:spacing w:line="240" w:lineRule="auto"/>
        <w:ind w:left="567" w:right="375"/>
        <w:jc w:val="both"/>
        <w:rPr>
          <w:b/>
          <w:spacing w:val="0"/>
          <w:sz w:val="24"/>
          <w:szCs w:val="24"/>
        </w:rPr>
      </w:pPr>
      <w:r w:rsidRPr="00EC250C">
        <w:rPr>
          <w:b/>
          <w:spacing w:val="0"/>
          <w:sz w:val="24"/>
          <w:szCs w:val="24"/>
        </w:rPr>
        <w:t>Rozpatrzenie przez Trybunał Konstytucyjny wniosków</w:t>
      </w:r>
      <w:r w:rsidR="00992FD0" w:rsidRPr="00EC250C">
        <w:rPr>
          <w:b/>
          <w:spacing w:val="0"/>
          <w:sz w:val="24"/>
          <w:szCs w:val="24"/>
        </w:rPr>
        <w:t xml:space="preserve"> o </w:t>
      </w:r>
      <w:r w:rsidRPr="00EC250C">
        <w:rPr>
          <w:b/>
          <w:spacing w:val="0"/>
          <w:sz w:val="24"/>
          <w:szCs w:val="24"/>
        </w:rPr>
        <w:t>stwierdzenie niezgodności przepisów</w:t>
      </w:r>
      <w:r w:rsidR="00992FD0" w:rsidRPr="00EC250C">
        <w:rPr>
          <w:b/>
          <w:spacing w:val="0"/>
          <w:sz w:val="24"/>
          <w:szCs w:val="24"/>
        </w:rPr>
        <w:t xml:space="preserve"> z </w:t>
      </w:r>
      <w:r w:rsidRPr="00EC250C">
        <w:rPr>
          <w:b/>
          <w:spacing w:val="0"/>
          <w:sz w:val="24"/>
          <w:szCs w:val="24"/>
        </w:rPr>
        <w:t>Konstytucją, skarg konstytucyjnych oraz wniosków</w:t>
      </w:r>
      <w:r w:rsidR="00992FD0" w:rsidRPr="00EC250C">
        <w:rPr>
          <w:b/>
          <w:spacing w:val="0"/>
          <w:sz w:val="24"/>
          <w:szCs w:val="24"/>
        </w:rPr>
        <w:t xml:space="preserve"> i </w:t>
      </w:r>
      <w:r w:rsidRPr="00EC250C">
        <w:rPr>
          <w:b/>
          <w:spacing w:val="0"/>
          <w:sz w:val="24"/>
          <w:szCs w:val="24"/>
        </w:rPr>
        <w:t xml:space="preserve">pytań prawnych do których przystąpił </w:t>
      </w:r>
      <w:r w:rsidR="00EE1A69" w:rsidRPr="00EC250C">
        <w:rPr>
          <w:b/>
          <w:spacing w:val="0"/>
          <w:sz w:val="24"/>
          <w:szCs w:val="24"/>
        </w:rPr>
        <w:t>RPO</w:t>
      </w:r>
      <w:r w:rsidRPr="00EC250C">
        <w:rPr>
          <w:rStyle w:val="Odwoanieprzypisudolnego"/>
          <w:spacing w:val="0"/>
          <w:sz w:val="24"/>
        </w:rPr>
        <w:footnoteReference w:id="862"/>
      </w:r>
    </w:p>
    <w:p w14:paraId="2415D247" w14:textId="77777777" w:rsidR="00250AC8" w:rsidRPr="00EC250C" w:rsidRDefault="00FE1902" w:rsidP="00D131FA">
      <w:pPr>
        <w:pStyle w:val="Przypis"/>
        <w:jc w:val="both"/>
        <w:rPr>
          <w:b/>
          <w:sz w:val="28"/>
          <w:szCs w:val="28"/>
        </w:rPr>
      </w:pPr>
      <w:r w:rsidRPr="00EC250C">
        <w:rPr>
          <w:noProof/>
        </w:rPr>
        <w:lastRenderedPageBreak/>
        <w:drawing>
          <wp:inline distT="0" distB="0" distL="0" distR="0" wp14:anchorId="1961BAB6" wp14:editId="55449BDA">
            <wp:extent cx="5850890" cy="3072130"/>
            <wp:effectExtent l="0" t="0" r="0" b="0"/>
            <wp:docPr id="1" name="Wykres 1">
              <a:extLst xmlns:a="http://schemas.openxmlformats.org/drawingml/2006/main">
                <a:ext uri="{FF2B5EF4-FFF2-40B4-BE49-F238E27FC236}">
                  <a16:creationId xmlns:a16="http://schemas.microsoft.com/office/drawing/2014/main" id="{00000000-0008-0000-1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430B0A0" w14:textId="77777777" w:rsidR="00FE1902" w:rsidRPr="00EC250C" w:rsidRDefault="00FE1902" w:rsidP="00D131FA">
      <w:pPr>
        <w:pStyle w:val="Przypis"/>
        <w:jc w:val="both"/>
        <w:rPr>
          <w:b/>
          <w:sz w:val="28"/>
          <w:szCs w:val="28"/>
        </w:rPr>
      </w:pPr>
    </w:p>
    <w:p w14:paraId="0AF4EB3B" w14:textId="77777777" w:rsidR="00250AC8" w:rsidRPr="00EC250C" w:rsidRDefault="00250AC8" w:rsidP="00D131FA">
      <w:pPr>
        <w:jc w:val="both"/>
        <w:rPr>
          <w:b/>
          <w:sz w:val="28"/>
          <w:szCs w:val="28"/>
        </w:rPr>
      </w:pPr>
      <w:r w:rsidRPr="00EC250C">
        <w:rPr>
          <w:b/>
          <w:sz w:val="28"/>
          <w:szCs w:val="28"/>
        </w:rPr>
        <w:t>Biura Pełnomocników Terenowych</w:t>
      </w:r>
    </w:p>
    <w:p w14:paraId="70F0E8B5" w14:textId="77777777" w:rsidR="00250AC8" w:rsidRPr="00EC250C" w:rsidRDefault="00250AC8" w:rsidP="00D131FA">
      <w:pPr>
        <w:jc w:val="both"/>
        <w:rPr>
          <w:sz w:val="24"/>
        </w:rPr>
      </w:pPr>
      <w:r w:rsidRPr="00EC250C">
        <w:rPr>
          <w:noProof/>
          <w:sz w:val="24"/>
        </w:rPr>
        <w:drawing>
          <wp:inline distT="0" distB="0" distL="0" distR="0" wp14:anchorId="441BDBD4" wp14:editId="7BCD217D">
            <wp:extent cx="4238045" cy="3721210"/>
            <wp:effectExtent l="0" t="0" r="0" b="0"/>
            <wp:docPr id="10" name="Obraz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PA_OST"/>
                    <pic:cNvPicPr>
                      <a:picLocks noChangeAspect="1" noChangeArrowheads="1"/>
                    </pic:cNvPicPr>
                  </pic:nvPicPr>
                  <pic:blipFill>
                    <a:blip r:embed="rId69">
                      <a:extLst>
                        <a:ext uri="{BEBA8EAE-BF5A-486C-A8C5-ECC9F3942E4B}">
                          <a14:imgProps xmlns:a14="http://schemas.microsoft.com/office/drawing/2010/main">
                            <a14:imgLayer r:embed="rId70">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37990" cy="3721162"/>
                    </a:xfrm>
                    <a:prstGeom prst="rect">
                      <a:avLst/>
                    </a:prstGeom>
                    <a:noFill/>
                    <a:ln>
                      <a:noFill/>
                    </a:ln>
                  </pic:spPr>
                </pic:pic>
              </a:graphicData>
            </a:graphic>
          </wp:inline>
        </w:drawing>
      </w:r>
    </w:p>
    <w:tbl>
      <w:tblPr>
        <w:tblW w:w="8438" w:type="dxa"/>
        <w:tblInd w:w="322" w:type="dxa"/>
        <w:tblLook w:val="01E0" w:firstRow="1" w:lastRow="1" w:firstColumn="1" w:lastColumn="1" w:noHBand="0" w:noVBand="0"/>
      </w:tblPr>
      <w:tblGrid>
        <w:gridCol w:w="501"/>
        <w:gridCol w:w="7937"/>
      </w:tblGrid>
      <w:tr w:rsidR="00250AC8" w:rsidRPr="00EC250C" w14:paraId="43EB91A6" w14:textId="77777777" w:rsidTr="00250AC8">
        <w:trPr>
          <w:trHeight w:val="397"/>
        </w:trPr>
        <w:tc>
          <w:tcPr>
            <w:tcW w:w="501" w:type="dxa"/>
            <w:vAlign w:val="center"/>
          </w:tcPr>
          <w:p w14:paraId="651C6362" w14:textId="77777777" w:rsidR="00250AC8" w:rsidRPr="00EC250C" w:rsidRDefault="00250AC8" w:rsidP="00D131FA">
            <w:pPr>
              <w:pStyle w:val="Tabela"/>
              <w:jc w:val="both"/>
            </w:pPr>
            <w:r w:rsidRPr="00EC250C">
              <w:rPr>
                <w:noProof/>
              </w:rPr>
              <mc:AlternateContent>
                <mc:Choice Requires="wpc">
                  <w:drawing>
                    <wp:inline distT="0" distB="0" distL="0" distR="0" wp14:anchorId="078AB193" wp14:editId="6ECAFCF0">
                      <wp:extent cx="179705" cy="179705"/>
                      <wp:effectExtent l="0" t="0" r="0" b="0"/>
                      <wp:docPr id="11" name="Kanwa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Rectangle 64"/>
                              <wps:cNvSpPr>
                                <a:spLocks noChangeArrowheads="1"/>
                              </wps:cNvSpPr>
                              <wps:spPr bwMode="auto">
                                <a:xfrm>
                                  <a:off x="0" y="0"/>
                                  <a:ext cx="179705" cy="179705"/>
                                </a:xfrm>
                                <a:prstGeom prst="rect">
                                  <a:avLst/>
                                </a:prstGeom>
                                <a:solidFill>
                                  <a:schemeClr val="bg1">
                                    <a:lumMod val="65000"/>
                                  </a:schemeClr>
                                </a:solidFill>
                                <a:ln>
                                  <a:noFill/>
                                </a:ln>
                                <a:effectLst/>
                              </wps:spPr>
                              <wps:bodyPr rot="0" vert="horz" wrap="square" lIns="91440" tIns="45720" rIns="91440" bIns="45720" anchor="t" anchorCtr="0" upright="1">
                                <a:noAutofit/>
                              </wps:bodyPr>
                            </wps:wsp>
                          </wpc:wpc>
                        </a:graphicData>
                      </a:graphic>
                    </wp:inline>
                  </w:drawing>
                </mc:Choice>
                <mc:Fallback>
                  <w:pict>
                    <v:group w14:anchorId="0D2E2F0F" id="Kanwa 11" o:spid="_x0000_s1026" editas="canvas" style="width:14.15pt;height:14.15pt;mso-position-horizontal-relative:char;mso-position-vertical-relative:lin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9705;height:179705;visibility:visible;mso-wrap-style:square">
                        <v:fill o:detectmouseclick="t"/>
                        <v:path o:connecttype="none"/>
                      </v:shape>
                      <v:rect id="Rectangle 64" o:spid="_x0000_s1028" style="position:absolute;width:179705;height:17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" fillcolor="#a5a5a5 [2092]" stroked="f"/>
                      <w10:anchorlock/>
                    </v:group>
                  </w:pict>
                </mc:Fallback>
              </mc:AlternateContent>
            </w:r>
          </w:p>
        </w:tc>
        <w:tc>
          <w:tcPr>
            <w:tcW w:w="7937" w:type="dxa"/>
          </w:tcPr>
          <w:p w14:paraId="0D1D9BB8" w14:textId="77777777" w:rsidR="00250AC8" w:rsidRPr="00EC250C" w:rsidRDefault="00250AC8" w:rsidP="00D131FA">
            <w:pPr>
              <w:pStyle w:val="Tabela"/>
              <w:jc w:val="both"/>
              <w:rPr>
                <w:sz w:val="22"/>
              </w:rPr>
            </w:pPr>
            <w:r w:rsidRPr="00EC250C">
              <w:rPr>
                <w:sz w:val="22"/>
              </w:rPr>
              <w:t>Biuro Pełnomocnika Terenowego we Wrocławiu powołane 2 sierpnia 2004</w:t>
            </w:r>
            <w:r w:rsidR="00C91F6E" w:rsidRPr="00EC250C">
              <w:rPr>
                <w:sz w:val="22"/>
              </w:rPr>
              <w:t> r.</w:t>
            </w:r>
          </w:p>
        </w:tc>
      </w:tr>
      <w:tr w:rsidR="00250AC8" w:rsidRPr="00EC250C" w14:paraId="7F69DC43" w14:textId="77777777" w:rsidTr="00250AC8">
        <w:trPr>
          <w:trHeight w:val="397"/>
        </w:trPr>
        <w:tc>
          <w:tcPr>
            <w:tcW w:w="501" w:type="dxa"/>
            <w:vAlign w:val="center"/>
          </w:tcPr>
          <w:p w14:paraId="3F3F62CC" w14:textId="77777777" w:rsidR="00250AC8" w:rsidRPr="00EC250C" w:rsidRDefault="00250AC8" w:rsidP="00D131FA">
            <w:pPr>
              <w:pStyle w:val="Tabela"/>
              <w:jc w:val="both"/>
            </w:pPr>
            <w:r w:rsidRPr="00EC250C">
              <w:rPr>
                <w:noProof/>
              </w:rPr>
              <mc:AlternateContent>
                <mc:Choice Requires="wpc">
                  <w:drawing>
                    <wp:inline distT="0" distB="0" distL="0" distR="0" wp14:anchorId="7C56674A" wp14:editId="19C57580">
                      <wp:extent cx="179705" cy="179705"/>
                      <wp:effectExtent l="0" t="0" r="0" b="0"/>
                      <wp:docPr id="12" name="Kanwa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55"/>
                              <wps:cNvSpPr>
                                <a:spLocks noChangeArrowheads="1"/>
                              </wps:cNvSpPr>
                              <wps:spPr bwMode="auto">
                                <a:xfrm>
                                  <a:off x="0" y="0"/>
                                  <a:ext cx="179705" cy="179705"/>
                                </a:xfrm>
                                <a:prstGeom prst="rect">
                                  <a:avLst/>
                                </a:prstGeom>
                                <a:solidFill>
                                  <a:schemeClr val="bg1">
                                    <a:lumMod val="75000"/>
                                  </a:schemeClr>
                                </a:solidFill>
                                <a:ln>
                                  <a:noFill/>
                                </a:ln>
                                <a:effectLst/>
                              </wps:spPr>
                              <wps:bodyPr rot="0" vert="horz" wrap="square" lIns="91440" tIns="45720" rIns="91440" bIns="45720" anchor="t" anchorCtr="0" upright="1">
                                <a:noAutofit/>
                              </wps:bodyPr>
                            </wps:wsp>
                          </wpc:wpc>
                        </a:graphicData>
                      </a:graphic>
                    </wp:inline>
                  </w:drawing>
                </mc:Choice>
                <mc:Fallback>
                  <w:pict>
                    <v:group w14:anchorId="0C68E49B" id="Kanwa 12" o:spid="_x0000_s1026" editas="canvas" style="width:14.15pt;height:14.15pt;mso-position-horizontal-relative:char;mso-position-vertical-relative:lin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">
                      <v:shape id="_x0000_s1027" type="#_x0000_t75" style="position:absolute;width:179705;height:179705;visibility:visible;mso-wrap-style:square">
                        <v:fill o:detectmouseclick="t"/>
                        <v:path o:connecttype="none"/>
                      </v:shape>
                      <v:rect id="Rectangle 55" o:spid="_x0000_s1028" style="position:absolute;width:179705;height:17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" fillcolor="#bfbfbf [2412]" stroked="f"/>
                      <w10:anchorlock/>
                    </v:group>
                  </w:pict>
                </mc:Fallback>
              </mc:AlternateContent>
            </w:r>
          </w:p>
        </w:tc>
        <w:tc>
          <w:tcPr>
            <w:tcW w:w="7937" w:type="dxa"/>
          </w:tcPr>
          <w:p w14:paraId="7DBE0F9C" w14:textId="77777777" w:rsidR="00250AC8" w:rsidRPr="00EC250C" w:rsidRDefault="00250AC8" w:rsidP="00D131FA">
            <w:pPr>
              <w:pStyle w:val="Tabela"/>
              <w:jc w:val="both"/>
              <w:rPr>
                <w:sz w:val="22"/>
              </w:rPr>
            </w:pPr>
            <w:r w:rsidRPr="00EC250C">
              <w:rPr>
                <w:sz w:val="22"/>
              </w:rPr>
              <w:t>Biuro Pełnomocnika Terenowego</w:t>
            </w:r>
            <w:r w:rsidR="00992FD0" w:rsidRPr="00EC250C">
              <w:rPr>
                <w:sz w:val="22"/>
              </w:rPr>
              <w:t xml:space="preserve"> w </w:t>
            </w:r>
            <w:r w:rsidRPr="00EC250C">
              <w:rPr>
                <w:sz w:val="22"/>
              </w:rPr>
              <w:t>Gdańsku powołane 16 maja 2005</w:t>
            </w:r>
            <w:r w:rsidR="00C91F6E" w:rsidRPr="00EC250C">
              <w:rPr>
                <w:sz w:val="22"/>
              </w:rPr>
              <w:t> r.</w:t>
            </w:r>
          </w:p>
        </w:tc>
      </w:tr>
      <w:tr w:rsidR="00250AC8" w:rsidRPr="00EC250C" w14:paraId="0211BF73" w14:textId="77777777" w:rsidTr="00250AC8">
        <w:trPr>
          <w:trHeight w:val="397"/>
        </w:trPr>
        <w:tc>
          <w:tcPr>
            <w:tcW w:w="501" w:type="dxa"/>
            <w:vAlign w:val="center"/>
          </w:tcPr>
          <w:p w14:paraId="1B33FBA4" w14:textId="77777777" w:rsidR="00250AC8" w:rsidRPr="00EC250C" w:rsidRDefault="00250AC8" w:rsidP="00D131FA">
            <w:pPr>
              <w:pStyle w:val="Tabela"/>
              <w:jc w:val="both"/>
            </w:pPr>
            <w:r w:rsidRPr="00EC250C">
              <w:rPr>
                <w:noProof/>
              </w:rPr>
              <mc:AlternateContent>
                <mc:Choice Requires="wpc">
                  <w:drawing>
                    <wp:inline distT="0" distB="0" distL="0" distR="0" wp14:anchorId="47396D77" wp14:editId="01295064">
                      <wp:extent cx="179705" cy="179705"/>
                      <wp:effectExtent l="0" t="0" r="0" b="0"/>
                      <wp:docPr id="13" name="Kanwa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Rectangle 61"/>
                              <wps:cNvSpPr>
                                <a:spLocks noChangeArrowheads="1"/>
                              </wps:cNvSpPr>
                              <wps:spPr bwMode="auto">
                                <a:xfrm>
                                  <a:off x="0" y="0"/>
                                  <a:ext cx="179705" cy="179705"/>
                                </a:xfrm>
                                <a:prstGeom prst="rect">
                                  <a:avLst/>
                                </a:prstGeom>
                                <a:solidFill>
                                  <a:schemeClr val="bg1">
                                    <a:lumMod val="95000"/>
                                  </a:schemeClr>
                                </a:solidFill>
                                <a:ln>
                                  <a:noFill/>
                                </a:ln>
                                <a:effectLst/>
                              </wps:spPr>
                              <wps:bodyPr rot="0" vert="horz" wrap="square" lIns="91440" tIns="45720" rIns="91440" bIns="45720" anchor="t" anchorCtr="0" upright="1">
                                <a:noAutofit/>
                              </wps:bodyPr>
                            </wps:wsp>
                          </wpc:wpc>
                        </a:graphicData>
                      </a:graphic>
                    </wp:inline>
                  </w:drawing>
                </mc:Choice>
                <mc:Fallback>
                  <w:pict>
                    <v:group w14:anchorId="64B20CAE" id="Kanwa 13" o:spid="_x0000_s1026" editas="canvas" style="width:14.15pt;height:14.15pt;mso-position-horizontal-relative:char;mso-position-vertical-relative:lin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">
                      <v:shape id="_x0000_s1027" type="#_x0000_t75" style="position:absolute;width:179705;height:179705;visibility:visible;mso-wrap-style:square">
                        <v:fill o:detectmouseclick="t"/>
                        <v:path o:connecttype="none"/>
                      </v:shape>
                      <v:rect id="Rectangle 61" o:spid="_x0000_s1028" style="position:absolute;width:179705;height:17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" fillcolor="#f2f2f2 [3052]" stroked="f"/>
                      <w10:anchorlock/>
                    </v:group>
                  </w:pict>
                </mc:Fallback>
              </mc:AlternateContent>
            </w:r>
          </w:p>
        </w:tc>
        <w:tc>
          <w:tcPr>
            <w:tcW w:w="7937" w:type="dxa"/>
          </w:tcPr>
          <w:p w14:paraId="34497B73" w14:textId="77777777" w:rsidR="00250AC8" w:rsidRPr="00EC250C" w:rsidRDefault="00250AC8" w:rsidP="00D131FA">
            <w:pPr>
              <w:pStyle w:val="Tabela"/>
              <w:jc w:val="both"/>
              <w:rPr>
                <w:sz w:val="22"/>
              </w:rPr>
            </w:pPr>
            <w:r w:rsidRPr="00EC250C">
              <w:rPr>
                <w:sz w:val="22"/>
              </w:rPr>
              <w:t>Biuro Pełnomocnika Terenowego</w:t>
            </w:r>
            <w:r w:rsidR="00992FD0" w:rsidRPr="00EC250C">
              <w:rPr>
                <w:sz w:val="22"/>
              </w:rPr>
              <w:t xml:space="preserve"> w </w:t>
            </w:r>
            <w:r w:rsidRPr="00EC250C">
              <w:rPr>
                <w:sz w:val="22"/>
              </w:rPr>
              <w:t>Katowicach powołane 14 września 2007</w:t>
            </w:r>
            <w:r w:rsidR="00C91F6E" w:rsidRPr="00EC250C">
              <w:rPr>
                <w:sz w:val="22"/>
              </w:rPr>
              <w:t> r.</w:t>
            </w:r>
            <w:r w:rsidRPr="00EC250C">
              <w:rPr>
                <w:sz w:val="22"/>
              </w:rPr>
              <w:t>.</w:t>
            </w:r>
          </w:p>
        </w:tc>
      </w:tr>
      <w:tr w:rsidR="00250AC8" w:rsidRPr="00EC250C" w14:paraId="54C9FBC6" w14:textId="77777777" w:rsidTr="00250AC8">
        <w:trPr>
          <w:trHeight w:val="397"/>
        </w:trPr>
        <w:tc>
          <w:tcPr>
            <w:tcW w:w="501" w:type="dxa"/>
            <w:vAlign w:val="center"/>
          </w:tcPr>
          <w:p w14:paraId="7DEA5BFE" w14:textId="77777777" w:rsidR="00250AC8" w:rsidRPr="00EC250C" w:rsidRDefault="00250AC8" w:rsidP="00D131FA">
            <w:pPr>
              <w:pStyle w:val="Tabela"/>
              <w:jc w:val="both"/>
            </w:pPr>
            <w:r w:rsidRPr="00EC250C">
              <w:rPr>
                <w:noProof/>
              </w:rPr>
              <mc:AlternateContent>
                <mc:Choice Requires="wpc">
                  <w:drawing>
                    <wp:inline distT="0" distB="0" distL="0" distR="0" wp14:anchorId="28FDBDDC" wp14:editId="296956E0">
                      <wp:extent cx="179705" cy="179705"/>
                      <wp:effectExtent l="0" t="0" r="0" b="0"/>
                      <wp:docPr id="14" name="Kanwa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58"/>
                              <wps:cNvSpPr>
                                <a:spLocks noChangeArrowheads="1"/>
                              </wps:cNvSpPr>
                              <wps:spPr bwMode="auto">
                                <a:xfrm>
                                  <a:off x="0" y="0"/>
                                  <a:ext cx="179705" cy="179705"/>
                                </a:xfrm>
                                <a:prstGeom prst="rect">
                                  <a:avLst/>
                                </a:prstGeom>
                                <a:solidFill>
                                  <a:schemeClr val="tx1">
                                    <a:lumMod val="50000"/>
                                    <a:lumOff val="50000"/>
                                  </a:schemeClr>
                                </a:solidFill>
                                <a:ln>
                                  <a:noFill/>
                                </a:ln>
                                <a:effectLst/>
                              </wps:spPr>
                              <wps:bodyPr rot="0" vert="horz" wrap="square" lIns="91440" tIns="45720" rIns="91440" bIns="45720" anchor="t" anchorCtr="0" upright="1">
                                <a:noAutofit/>
                              </wps:bodyPr>
                            </wps:wsp>
                          </wpc:wpc>
                        </a:graphicData>
                      </a:graphic>
                    </wp:inline>
                  </w:drawing>
                </mc:Choice>
                <mc:Fallback>
                  <w:pict>
                    <v:group w14:anchorId="3E2489C6" id="Kanwa 14" o:spid="_x0000_s1026" editas="canvas" style="width:14.15pt;height:14.15pt;mso-position-horizontal-relative:char;mso-position-vertical-relative:lin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">
                      <v:shape id="_x0000_s1027" type="#_x0000_t75" style="position:absolute;width:179705;height:179705;visibility:visible;mso-wrap-style:square">
                        <v:fill o:detectmouseclick="t"/>
                        <v:path o:connecttype="none"/>
                      </v:shape>
                      <v:rect id="Rectangle 58" o:spid="_x0000_s1028" style="position:absolute;width:179705;height:17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" fillcolor="gray [1629]" stroked="f"/>
                      <w10:anchorlock/>
                    </v:group>
                  </w:pict>
                </mc:Fallback>
              </mc:AlternateContent>
            </w:r>
          </w:p>
        </w:tc>
        <w:tc>
          <w:tcPr>
            <w:tcW w:w="7937" w:type="dxa"/>
          </w:tcPr>
          <w:p w14:paraId="22D8087A" w14:textId="77777777" w:rsidR="00250AC8" w:rsidRPr="00EC250C" w:rsidRDefault="00250AC8" w:rsidP="00D131FA">
            <w:pPr>
              <w:pStyle w:val="Tabela"/>
              <w:jc w:val="both"/>
              <w:rPr>
                <w:sz w:val="22"/>
              </w:rPr>
            </w:pPr>
            <w:r w:rsidRPr="00EC250C">
              <w:rPr>
                <w:sz w:val="22"/>
              </w:rPr>
              <w:t>Biuro RPO</w:t>
            </w:r>
            <w:r w:rsidR="00992FD0" w:rsidRPr="00EC250C">
              <w:rPr>
                <w:sz w:val="22"/>
              </w:rPr>
              <w:t xml:space="preserve"> w </w:t>
            </w:r>
            <w:r w:rsidRPr="00EC250C">
              <w:rPr>
                <w:sz w:val="22"/>
              </w:rPr>
              <w:t>Warszawie</w:t>
            </w:r>
          </w:p>
        </w:tc>
      </w:tr>
    </w:tbl>
    <w:p w14:paraId="63CCB165" w14:textId="77777777" w:rsidR="00250AC8" w:rsidRPr="00EC250C" w:rsidRDefault="00FE1902" w:rsidP="00D131FA">
      <w:pPr>
        <w:jc w:val="both"/>
        <w:rPr>
          <w:b/>
          <w:sz w:val="24"/>
        </w:rPr>
      </w:pPr>
      <w:r w:rsidRPr="00EC250C">
        <w:rPr>
          <w:b/>
          <w:noProof/>
          <w:sz w:val="24"/>
        </w:rPr>
        <w:lastRenderedPageBreak/>
        <w:drawing>
          <wp:inline distT="0" distB="0" distL="0" distR="0" wp14:anchorId="493685F6" wp14:editId="4BBE0180">
            <wp:extent cx="4761230" cy="2694940"/>
            <wp:effectExtent l="0" t="0" r="0" b="0"/>
            <wp:docPr id="28" name="Obraz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1230" cy="2694940"/>
                    </a:xfrm>
                    <a:prstGeom prst="rect">
                      <a:avLst/>
                    </a:prstGeom>
                    <a:noFill/>
                  </pic:spPr>
                </pic:pic>
              </a:graphicData>
            </a:graphic>
          </wp:inline>
        </w:drawing>
      </w:r>
    </w:p>
    <w:p w14:paraId="3EBE610F" w14:textId="77777777" w:rsidR="00250AC8" w:rsidRPr="00EC250C" w:rsidRDefault="00250AC8" w:rsidP="00D131FA">
      <w:pPr>
        <w:spacing w:line="240" w:lineRule="auto"/>
        <w:jc w:val="both"/>
        <w:rPr>
          <w:b/>
          <w:sz w:val="24"/>
          <w:szCs w:val="24"/>
        </w:rPr>
      </w:pPr>
      <w:r w:rsidRPr="00EC250C">
        <w:rPr>
          <w:b/>
          <w:sz w:val="24"/>
          <w:szCs w:val="24"/>
        </w:rPr>
        <w:t>Największy wpływ nowych wniosków</w:t>
      </w:r>
      <w:r w:rsidR="00992FD0" w:rsidRPr="00EC250C">
        <w:rPr>
          <w:b/>
          <w:sz w:val="24"/>
          <w:szCs w:val="24"/>
        </w:rPr>
        <w:t xml:space="preserve"> w </w:t>
      </w:r>
      <w:r w:rsidRPr="00EC250C">
        <w:rPr>
          <w:b/>
          <w:sz w:val="24"/>
          <w:szCs w:val="24"/>
        </w:rPr>
        <w:t>Biurach Pełnomocników Terenowych dotyczył spraw</w:t>
      </w:r>
      <w:r w:rsidR="00992FD0" w:rsidRPr="00EC250C">
        <w:rPr>
          <w:b/>
          <w:sz w:val="24"/>
          <w:szCs w:val="24"/>
        </w:rPr>
        <w:t xml:space="preserve"> z </w:t>
      </w:r>
      <w:r w:rsidRPr="00EC250C">
        <w:rPr>
          <w:b/>
          <w:sz w:val="24"/>
          <w:szCs w:val="24"/>
        </w:rPr>
        <w:t xml:space="preserve">zakresu: </w:t>
      </w:r>
    </w:p>
    <w:tbl>
      <w:tblPr>
        <w:tblW w:w="9073"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6015"/>
        <w:gridCol w:w="1546"/>
        <w:gridCol w:w="1512"/>
      </w:tblGrid>
      <w:tr w:rsidR="00250AC8" w:rsidRPr="00EC250C" w14:paraId="3F8C3898" w14:textId="77777777" w:rsidTr="00250AC8">
        <w:trPr>
          <w:trHeight w:val="510"/>
          <w:tblCellSpacing w:w="20" w:type="dxa"/>
          <w:jc w:val="center"/>
        </w:trPr>
        <w:tc>
          <w:tcPr>
            <w:tcW w:w="5955" w:type="dxa"/>
            <w:vAlign w:val="center"/>
          </w:tcPr>
          <w:p w14:paraId="289E4F79" w14:textId="77777777" w:rsidR="00250AC8" w:rsidRPr="00EC250C" w:rsidRDefault="00250AC8" w:rsidP="00D131FA">
            <w:pPr>
              <w:pStyle w:val="Tabela"/>
              <w:jc w:val="both"/>
            </w:pPr>
            <w:r w:rsidRPr="00EC250C">
              <w:t>Problematyka</w:t>
            </w:r>
          </w:p>
        </w:tc>
        <w:tc>
          <w:tcPr>
            <w:tcW w:w="1506" w:type="dxa"/>
            <w:vAlign w:val="center"/>
          </w:tcPr>
          <w:p w14:paraId="5C5B9252" w14:textId="77777777" w:rsidR="00250AC8" w:rsidRPr="00EC250C" w:rsidRDefault="00250AC8" w:rsidP="00D131FA">
            <w:pPr>
              <w:pStyle w:val="Tabela"/>
              <w:jc w:val="both"/>
            </w:pPr>
            <w:r w:rsidRPr="00EC250C">
              <w:t>Liczba</w:t>
            </w:r>
          </w:p>
        </w:tc>
        <w:tc>
          <w:tcPr>
            <w:tcW w:w="1452" w:type="dxa"/>
            <w:vAlign w:val="center"/>
          </w:tcPr>
          <w:p w14:paraId="40094AED" w14:textId="77777777" w:rsidR="00250AC8" w:rsidRPr="00EC250C" w:rsidRDefault="00250AC8" w:rsidP="00D131FA">
            <w:pPr>
              <w:pStyle w:val="Tabela"/>
              <w:jc w:val="both"/>
            </w:pPr>
            <w:r w:rsidRPr="00EC250C">
              <w:t>%</w:t>
            </w:r>
          </w:p>
        </w:tc>
      </w:tr>
      <w:tr w:rsidR="00250AC8" w:rsidRPr="00EC250C" w14:paraId="5BFBAB03" w14:textId="77777777" w:rsidTr="00FB690C">
        <w:trPr>
          <w:trHeight w:val="344"/>
          <w:tblCellSpacing w:w="20" w:type="dxa"/>
          <w:jc w:val="center"/>
        </w:trPr>
        <w:tc>
          <w:tcPr>
            <w:tcW w:w="5955" w:type="dxa"/>
            <w:vAlign w:val="center"/>
          </w:tcPr>
          <w:p w14:paraId="0163F88A" w14:textId="77777777" w:rsidR="00250AC8" w:rsidRPr="00EC250C" w:rsidRDefault="00250AC8" w:rsidP="00D131FA">
            <w:pPr>
              <w:pStyle w:val="Tabela"/>
              <w:jc w:val="both"/>
            </w:pPr>
            <w:r w:rsidRPr="00EC250C">
              <w:t xml:space="preserve">prawo cywilne </w:t>
            </w:r>
          </w:p>
        </w:tc>
        <w:tc>
          <w:tcPr>
            <w:tcW w:w="1506" w:type="dxa"/>
            <w:vAlign w:val="center"/>
          </w:tcPr>
          <w:p w14:paraId="73426706" w14:textId="77777777" w:rsidR="00250AC8" w:rsidRPr="00EC250C" w:rsidRDefault="00250AC8" w:rsidP="00D131FA">
            <w:pPr>
              <w:pStyle w:val="Tabela"/>
              <w:jc w:val="both"/>
            </w:pPr>
            <w:r w:rsidRPr="00EC250C">
              <w:t>632</w:t>
            </w:r>
          </w:p>
        </w:tc>
        <w:tc>
          <w:tcPr>
            <w:tcW w:w="1452" w:type="dxa"/>
            <w:vAlign w:val="center"/>
          </w:tcPr>
          <w:p w14:paraId="5577476B" w14:textId="77777777" w:rsidR="00250AC8" w:rsidRPr="00EC250C" w:rsidRDefault="00250AC8" w:rsidP="00D131FA">
            <w:pPr>
              <w:pStyle w:val="Tabela"/>
              <w:jc w:val="both"/>
            </w:pPr>
            <w:r w:rsidRPr="00EC250C">
              <w:t>29,3</w:t>
            </w:r>
          </w:p>
        </w:tc>
      </w:tr>
      <w:tr w:rsidR="00250AC8" w:rsidRPr="00EC250C" w14:paraId="2ED31100" w14:textId="77777777" w:rsidTr="00FB690C">
        <w:trPr>
          <w:trHeight w:val="364"/>
          <w:tblCellSpacing w:w="20" w:type="dxa"/>
          <w:jc w:val="center"/>
        </w:trPr>
        <w:tc>
          <w:tcPr>
            <w:tcW w:w="5955" w:type="dxa"/>
            <w:vAlign w:val="center"/>
          </w:tcPr>
          <w:p w14:paraId="60DC7571" w14:textId="77777777" w:rsidR="00250AC8" w:rsidRPr="00EC250C" w:rsidRDefault="00250AC8" w:rsidP="00D131FA">
            <w:pPr>
              <w:pStyle w:val="Tabela"/>
              <w:jc w:val="both"/>
            </w:pPr>
            <w:r w:rsidRPr="00EC250C">
              <w:t>prawo karne</w:t>
            </w:r>
          </w:p>
        </w:tc>
        <w:tc>
          <w:tcPr>
            <w:tcW w:w="1506" w:type="dxa"/>
            <w:vAlign w:val="center"/>
          </w:tcPr>
          <w:p w14:paraId="04926AB6" w14:textId="77777777" w:rsidR="00250AC8" w:rsidRPr="00EC250C" w:rsidRDefault="00250AC8" w:rsidP="00D131FA">
            <w:pPr>
              <w:pStyle w:val="Tabela"/>
              <w:jc w:val="both"/>
            </w:pPr>
            <w:r w:rsidRPr="00EC250C">
              <w:t>452</w:t>
            </w:r>
          </w:p>
        </w:tc>
        <w:tc>
          <w:tcPr>
            <w:tcW w:w="1452" w:type="dxa"/>
            <w:vAlign w:val="center"/>
          </w:tcPr>
          <w:p w14:paraId="001488DC" w14:textId="77777777" w:rsidR="00250AC8" w:rsidRPr="00EC250C" w:rsidRDefault="00250AC8" w:rsidP="00D131FA">
            <w:pPr>
              <w:pStyle w:val="Tabela"/>
              <w:jc w:val="both"/>
            </w:pPr>
            <w:r w:rsidRPr="00EC250C">
              <w:t>20,9</w:t>
            </w:r>
          </w:p>
        </w:tc>
      </w:tr>
      <w:tr w:rsidR="00250AC8" w:rsidRPr="00EC250C" w14:paraId="092C6B23" w14:textId="77777777" w:rsidTr="00FB690C">
        <w:trPr>
          <w:trHeight w:val="384"/>
          <w:tblCellSpacing w:w="20" w:type="dxa"/>
          <w:jc w:val="center"/>
        </w:trPr>
        <w:tc>
          <w:tcPr>
            <w:tcW w:w="5955" w:type="dxa"/>
            <w:vAlign w:val="center"/>
          </w:tcPr>
          <w:p w14:paraId="724005DD" w14:textId="77777777" w:rsidR="00250AC8" w:rsidRPr="00EC250C" w:rsidRDefault="00250AC8" w:rsidP="00D131FA">
            <w:pPr>
              <w:pStyle w:val="Tabela"/>
              <w:jc w:val="both"/>
            </w:pPr>
            <w:r w:rsidRPr="00EC250C">
              <w:t>prawo pracy</w:t>
            </w:r>
            <w:r w:rsidR="00992FD0" w:rsidRPr="00EC250C">
              <w:t xml:space="preserve"> i </w:t>
            </w:r>
            <w:r w:rsidRPr="00EC250C">
              <w:t>zabezpieczenie społeczne</w:t>
            </w:r>
          </w:p>
        </w:tc>
        <w:tc>
          <w:tcPr>
            <w:tcW w:w="1506" w:type="dxa"/>
            <w:vAlign w:val="center"/>
          </w:tcPr>
          <w:p w14:paraId="1D2DE719" w14:textId="77777777" w:rsidR="00250AC8" w:rsidRPr="00EC250C" w:rsidRDefault="00250AC8" w:rsidP="00D131FA">
            <w:pPr>
              <w:pStyle w:val="Tabela"/>
              <w:jc w:val="both"/>
            </w:pPr>
            <w:r w:rsidRPr="00EC250C">
              <w:t>319</w:t>
            </w:r>
          </w:p>
        </w:tc>
        <w:tc>
          <w:tcPr>
            <w:tcW w:w="1452" w:type="dxa"/>
            <w:vAlign w:val="center"/>
          </w:tcPr>
          <w:p w14:paraId="05076EA5" w14:textId="77777777" w:rsidR="00250AC8" w:rsidRPr="00EC250C" w:rsidRDefault="00250AC8" w:rsidP="00D131FA">
            <w:pPr>
              <w:pStyle w:val="Tabela"/>
              <w:jc w:val="both"/>
            </w:pPr>
            <w:r w:rsidRPr="00EC250C">
              <w:t>14,8</w:t>
            </w:r>
          </w:p>
        </w:tc>
      </w:tr>
      <w:tr w:rsidR="00250AC8" w:rsidRPr="00EC250C" w14:paraId="4F282D22" w14:textId="77777777" w:rsidTr="00FB690C">
        <w:trPr>
          <w:trHeight w:val="219"/>
          <w:tblCellSpacing w:w="20" w:type="dxa"/>
          <w:jc w:val="center"/>
        </w:trPr>
        <w:tc>
          <w:tcPr>
            <w:tcW w:w="5955" w:type="dxa"/>
            <w:vAlign w:val="center"/>
          </w:tcPr>
          <w:p w14:paraId="0816E43A" w14:textId="77777777" w:rsidR="00250AC8" w:rsidRPr="00EC250C" w:rsidRDefault="00250AC8" w:rsidP="00D131FA">
            <w:pPr>
              <w:pStyle w:val="Tabela"/>
              <w:jc w:val="both"/>
            </w:pPr>
            <w:r w:rsidRPr="00EC250C">
              <w:t>prawo karne wykonawcze</w:t>
            </w:r>
          </w:p>
        </w:tc>
        <w:tc>
          <w:tcPr>
            <w:tcW w:w="1506" w:type="dxa"/>
            <w:vAlign w:val="center"/>
          </w:tcPr>
          <w:p w14:paraId="713E359F" w14:textId="77777777" w:rsidR="00250AC8" w:rsidRPr="00EC250C" w:rsidRDefault="00250AC8" w:rsidP="00D131FA">
            <w:pPr>
              <w:pStyle w:val="Tabela"/>
              <w:jc w:val="both"/>
            </w:pPr>
            <w:r w:rsidRPr="00EC250C">
              <w:t>294</w:t>
            </w:r>
          </w:p>
        </w:tc>
        <w:tc>
          <w:tcPr>
            <w:tcW w:w="1452" w:type="dxa"/>
            <w:vAlign w:val="center"/>
          </w:tcPr>
          <w:p w14:paraId="7A9C0992" w14:textId="77777777" w:rsidR="00250AC8" w:rsidRPr="00EC250C" w:rsidRDefault="00250AC8" w:rsidP="00D131FA">
            <w:pPr>
              <w:pStyle w:val="Tabela"/>
              <w:jc w:val="both"/>
            </w:pPr>
            <w:r w:rsidRPr="00EC250C">
              <w:t>13,6</w:t>
            </w:r>
          </w:p>
        </w:tc>
      </w:tr>
      <w:tr w:rsidR="00250AC8" w:rsidRPr="00EC250C" w14:paraId="03582F79" w14:textId="77777777" w:rsidTr="00FB690C">
        <w:trPr>
          <w:trHeight w:val="364"/>
          <w:tblCellSpacing w:w="20" w:type="dxa"/>
          <w:jc w:val="center"/>
        </w:trPr>
        <w:tc>
          <w:tcPr>
            <w:tcW w:w="5955" w:type="dxa"/>
            <w:vAlign w:val="center"/>
          </w:tcPr>
          <w:p w14:paraId="53585E5F" w14:textId="77777777" w:rsidR="00250AC8" w:rsidRPr="00EC250C" w:rsidRDefault="00250AC8" w:rsidP="00D131FA">
            <w:pPr>
              <w:pStyle w:val="Tabela"/>
              <w:jc w:val="both"/>
            </w:pPr>
            <w:r w:rsidRPr="00EC250C">
              <w:t>prawo administracyjne</w:t>
            </w:r>
            <w:r w:rsidR="00992FD0" w:rsidRPr="00EC250C">
              <w:t xml:space="preserve"> i </w:t>
            </w:r>
            <w:r w:rsidRPr="00EC250C">
              <w:t>gospodarcze</w:t>
            </w:r>
          </w:p>
        </w:tc>
        <w:tc>
          <w:tcPr>
            <w:tcW w:w="1506" w:type="dxa"/>
            <w:vAlign w:val="center"/>
          </w:tcPr>
          <w:p w14:paraId="0029475F" w14:textId="77777777" w:rsidR="00250AC8" w:rsidRPr="00EC250C" w:rsidRDefault="00250AC8" w:rsidP="00D131FA">
            <w:pPr>
              <w:pStyle w:val="Tabela"/>
              <w:jc w:val="both"/>
            </w:pPr>
            <w:r w:rsidRPr="00EC250C">
              <w:t>254</w:t>
            </w:r>
          </w:p>
        </w:tc>
        <w:tc>
          <w:tcPr>
            <w:tcW w:w="1452" w:type="dxa"/>
            <w:vAlign w:val="center"/>
          </w:tcPr>
          <w:p w14:paraId="4AA3A75B" w14:textId="77777777" w:rsidR="00250AC8" w:rsidRPr="00EC250C" w:rsidRDefault="00250AC8" w:rsidP="00D131FA">
            <w:pPr>
              <w:pStyle w:val="Tabela"/>
              <w:jc w:val="both"/>
            </w:pPr>
            <w:r w:rsidRPr="00EC250C">
              <w:t>11,8</w:t>
            </w:r>
          </w:p>
        </w:tc>
      </w:tr>
    </w:tbl>
    <w:p w14:paraId="6921D58C" w14:textId="77777777" w:rsidR="00250AC8" w:rsidRPr="00EC250C" w:rsidRDefault="00250AC8" w:rsidP="00D131FA">
      <w:pPr>
        <w:jc w:val="both"/>
        <w:rPr>
          <w:sz w:val="24"/>
        </w:rPr>
      </w:pPr>
    </w:p>
    <w:p w14:paraId="520A5C96" w14:textId="77777777" w:rsidR="00250AC8" w:rsidRPr="00EC250C" w:rsidRDefault="00FE1902" w:rsidP="00D131FA">
      <w:pPr>
        <w:spacing w:line="240" w:lineRule="auto"/>
        <w:jc w:val="both"/>
        <w:rPr>
          <w:b/>
          <w:sz w:val="24"/>
        </w:rPr>
      </w:pPr>
      <w:r w:rsidRPr="00EC250C">
        <w:rPr>
          <w:b/>
          <w:noProof/>
          <w:sz w:val="24"/>
        </w:rPr>
        <w:drawing>
          <wp:inline distT="0" distB="0" distL="0" distR="0" wp14:anchorId="534C6676" wp14:editId="3503AA57">
            <wp:extent cx="5578475" cy="2353310"/>
            <wp:effectExtent l="0" t="0" r="3175" b="8890"/>
            <wp:docPr id="29" name="Obraz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78475" cy="2353310"/>
                    </a:xfrm>
                    <a:prstGeom prst="rect">
                      <a:avLst/>
                    </a:prstGeom>
                    <a:noFill/>
                  </pic:spPr>
                </pic:pic>
              </a:graphicData>
            </a:graphic>
          </wp:inline>
        </w:drawing>
      </w:r>
    </w:p>
    <w:tbl>
      <w:tblPr>
        <w:tblpPr w:leftFromText="141" w:rightFromText="141" w:vertAnchor="text" w:tblpY="229"/>
        <w:tblW w:w="9211" w:type="dxa"/>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306"/>
        <w:gridCol w:w="6779"/>
        <w:gridCol w:w="850"/>
        <w:gridCol w:w="1276"/>
      </w:tblGrid>
      <w:tr w:rsidR="00845591" w:rsidRPr="00EC250C" w14:paraId="390E308F" w14:textId="77777777" w:rsidTr="00902FC6">
        <w:trPr>
          <w:trHeight w:val="510"/>
          <w:tblCellSpacing w:w="20" w:type="dxa"/>
        </w:trPr>
        <w:tc>
          <w:tcPr>
            <w:tcW w:w="7025" w:type="dxa"/>
            <w:gridSpan w:val="2"/>
            <w:vAlign w:val="center"/>
          </w:tcPr>
          <w:p w14:paraId="01704F52" w14:textId="77777777" w:rsidR="00845591" w:rsidRPr="00EC250C" w:rsidRDefault="00845591" w:rsidP="00845591">
            <w:pPr>
              <w:pStyle w:val="Tabela"/>
              <w:rPr>
                <w:sz w:val="18"/>
                <w:szCs w:val="20"/>
              </w:rPr>
            </w:pPr>
            <w:r w:rsidRPr="00EC250C">
              <w:rPr>
                <w:sz w:val="18"/>
                <w:szCs w:val="20"/>
              </w:rPr>
              <w:t>Sposób rozpatrzenia</w:t>
            </w:r>
          </w:p>
        </w:tc>
        <w:tc>
          <w:tcPr>
            <w:tcW w:w="810" w:type="dxa"/>
            <w:vAlign w:val="center"/>
          </w:tcPr>
          <w:p w14:paraId="4C9FB270" w14:textId="77777777" w:rsidR="00845591" w:rsidRPr="00EC250C" w:rsidRDefault="00845591" w:rsidP="00845591">
            <w:pPr>
              <w:pStyle w:val="Tabela"/>
              <w:jc w:val="both"/>
            </w:pPr>
            <w:r w:rsidRPr="00EC250C">
              <w:t>Liczba</w:t>
            </w:r>
          </w:p>
        </w:tc>
        <w:tc>
          <w:tcPr>
            <w:tcW w:w="1216" w:type="dxa"/>
            <w:vAlign w:val="center"/>
          </w:tcPr>
          <w:p w14:paraId="258D4EA1" w14:textId="77777777" w:rsidR="00845591" w:rsidRPr="00EC250C" w:rsidRDefault="00845591" w:rsidP="00845591">
            <w:pPr>
              <w:pStyle w:val="Tabela"/>
              <w:jc w:val="both"/>
            </w:pPr>
            <w:r w:rsidRPr="00EC250C">
              <w:t>%</w:t>
            </w:r>
          </w:p>
        </w:tc>
      </w:tr>
      <w:tr w:rsidR="00845591" w:rsidRPr="00EC250C" w14:paraId="24999C55" w14:textId="77777777" w:rsidTr="00902FC6">
        <w:trPr>
          <w:trHeight w:val="395"/>
          <w:tblCellSpacing w:w="20" w:type="dxa"/>
        </w:trPr>
        <w:tc>
          <w:tcPr>
            <w:tcW w:w="246" w:type="dxa"/>
            <w:vAlign w:val="center"/>
          </w:tcPr>
          <w:p w14:paraId="7069AF05" w14:textId="77777777" w:rsidR="00845591" w:rsidRPr="00EC250C" w:rsidRDefault="00845591" w:rsidP="00845591">
            <w:pPr>
              <w:pStyle w:val="Tabela"/>
              <w:jc w:val="both"/>
            </w:pPr>
            <w:r w:rsidRPr="00EC250C">
              <w:t>–</w:t>
            </w:r>
          </w:p>
        </w:tc>
        <w:tc>
          <w:tcPr>
            <w:tcW w:w="6739" w:type="dxa"/>
            <w:vAlign w:val="center"/>
          </w:tcPr>
          <w:p w14:paraId="216C4130" w14:textId="77777777" w:rsidR="00845591" w:rsidRPr="00EC250C" w:rsidRDefault="00845591" w:rsidP="00845591">
            <w:pPr>
              <w:pStyle w:val="Tabela"/>
              <w:jc w:val="both"/>
            </w:pPr>
            <w:r w:rsidRPr="00EC250C">
              <w:t>podjęto do prowadzenia</w:t>
            </w:r>
          </w:p>
        </w:tc>
        <w:tc>
          <w:tcPr>
            <w:tcW w:w="810" w:type="dxa"/>
            <w:vAlign w:val="center"/>
          </w:tcPr>
          <w:p w14:paraId="510D9758" w14:textId="77777777" w:rsidR="00845591" w:rsidRPr="00EC250C" w:rsidRDefault="00845591" w:rsidP="00845591">
            <w:pPr>
              <w:pStyle w:val="Tabela"/>
              <w:jc w:val="both"/>
            </w:pPr>
            <w:r w:rsidRPr="00EC250C">
              <w:t>871</w:t>
            </w:r>
          </w:p>
        </w:tc>
        <w:tc>
          <w:tcPr>
            <w:tcW w:w="1216" w:type="dxa"/>
            <w:vAlign w:val="center"/>
          </w:tcPr>
          <w:p w14:paraId="1173DAB2" w14:textId="77777777" w:rsidR="00845591" w:rsidRPr="00EC250C" w:rsidRDefault="00845591" w:rsidP="00845591">
            <w:pPr>
              <w:pStyle w:val="Tabela"/>
              <w:jc w:val="both"/>
            </w:pPr>
            <w:r w:rsidRPr="00EC250C">
              <w:t>39,0</w:t>
            </w:r>
          </w:p>
        </w:tc>
      </w:tr>
      <w:tr w:rsidR="00845591" w:rsidRPr="00EC250C" w14:paraId="75A63BAE" w14:textId="77777777" w:rsidTr="00902FC6">
        <w:trPr>
          <w:trHeight w:val="510"/>
          <w:tblCellSpacing w:w="20" w:type="dxa"/>
        </w:trPr>
        <w:tc>
          <w:tcPr>
            <w:tcW w:w="246" w:type="dxa"/>
            <w:vAlign w:val="center"/>
          </w:tcPr>
          <w:p w14:paraId="340F2F2A" w14:textId="77777777" w:rsidR="00845591" w:rsidRPr="00EC250C" w:rsidRDefault="00845591" w:rsidP="00845591">
            <w:pPr>
              <w:pStyle w:val="Tabela"/>
              <w:jc w:val="both"/>
            </w:pPr>
            <w:r w:rsidRPr="00EC250C">
              <w:t>–</w:t>
            </w:r>
          </w:p>
        </w:tc>
        <w:tc>
          <w:tcPr>
            <w:tcW w:w="6739" w:type="dxa"/>
            <w:vAlign w:val="center"/>
          </w:tcPr>
          <w:p w14:paraId="45912045" w14:textId="77777777" w:rsidR="00845591" w:rsidRPr="00EC250C" w:rsidRDefault="00845591" w:rsidP="00845591">
            <w:pPr>
              <w:pStyle w:val="Tabela"/>
              <w:jc w:val="both"/>
            </w:pPr>
            <w:r w:rsidRPr="00EC250C">
              <w:t>udzielono wyjaśnień, wskazano wnioskodawcy przysługujące mu środki działania</w:t>
            </w:r>
          </w:p>
        </w:tc>
        <w:tc>
          <w:tcPr>
            <w:tcW w:w="810" w:type="dxa"/>
            <w:vAlign w:val="center"/>
          </w:tcPr>
          <w:p w14:paraId="6B8FD1E1" w14:textId="77777777" w:rsidR="00845591" w:rsidRPr="00EC250C" w:rsidRDefault="00845591" w:rsidP="00845591">
            <w:pPr>
              <w:pStyle w:val="Tabela"/>
              <w:jc w:val="both"/>
            </w:pPr>
            <w:r w:rsidRPr="00EC250C">
              <w:t>1007</w:t>
            </w:r>
          </w:p>
        </w:tc>
        <w:tc>
          <w:tcPr>
            <w:tcW w:w="1216" w:type="dxa"/>
            <w:vAlign w:val="center"/>
          </w:tcPr>
          <w:p w14:paraId="07738447" w14:textId="77777777" w:rsidR="00845591" w:rsidRPr="00EC250C" w:rsidRDefault="00845591" w:rsidP="00845591">
            <w:pPr>
              <w:pStyle w:val="Tabela"/>
              <w:jc w:val="both"/>
            </w:pPr>
            <w:r w:rsidRPr="00EC250C">
              <w:t>45,1</w:t>
            </w:r>
          </w:p>
        </w:tc>
      </w:tr>
      <w:tr w:rsidR="00845591" w:rsidRPr="00EC250C" w14:paraId="48FE93C0" w14:textId="77777777" w:rsidTr="00902FC6">
        <w:trPr>
          <w:trHeight w:val="411"/>
          <w:tblCellSpacing w:w="20" w:type="dxa"/>
        </w:trPr>
        <w:tc>
          <w:tcPr>
            <w:tcW w:w="246" w:type="dxa"/>
            <w:vAlign w:val="center"/>
          </w:tcPr>
          <w:p w14:paraId="054C82A4" w14:textId="77777777" w:rsidR="00845591" w:rsidRPr="00EC250C" w:rsidRDefault="00845591" w:rsidP="00845591">
            <w:pPr>
              <w:pStyle w:val="Tabela"/>
              <w:jc w:val="both"/>
            </w:pPr>
            <w:r w:rsidRPr="00EC250C">
              <w:lastRenderedPageBreak/>
              <w:t>–</w:t>
            </w:r>
          </w:p>
        </w:tc>
        <w:tc>
          <w:tcPr>
            <w:tcW w:w="6739" w:type="dxa"/>
            <w:vAlign w:val="center"/>
          </w:tcPr>
          <w:p w14:paraId="633C8DF1" w14:textId="77777777" w:rsidR="00845591" w:rsidRPr="00EC250C" w:rsidRDefault="00845591" w:rsidP="00845591">
            <w:pPr>
              <w:pStyle w:val="Tabela"/>
              <w:jc w:val="both"/>
            </w:pPr>
            <w:r w:rsidRPr="00EC250C">
              <w:t>przekazano wniosek wg właściwości</w:t>
            </w:r>
          </w:p>
        </w:tc>
        <w:tc>
          <w:tcPr>
            <w:tcW w:w="810" w:type="dxa"/>
            <w:vAlign w:val="center"/>
          </w:tcPr>
          <w:p w14:paraId="251E3184" w14:textId="77777777" w:rsidR="00845591" w:rsidRPr="00EC250C" w:rsidRDefault="00845591" w:rsidP="00845591">
            <w:pPr>
              <w:pStyle w:val="Tabela"/>
              <w:jc w:val="both"/>
            </w:pPr>
            <w:r w:rsidRPr="00EC250C">
              <w:t>30</w:t>
            </w:r>
          </w:p>
        </w:tc>
        <w:tc>
          <w:tcPr>
            <w:tcW w:w="1216" w:type="dxa"/>
            <w:vAlign w:val="center"/>
          </w:tcPr>
          <w:p w14:paraId="125E5C10" w14:textId="77777777" w:rsidR="00845591" w:rsidRPr="00EC250C" w:rsidRDefault="00845591" w:rsidP="00845591">
            <w:pPr>
              <w:pStyle w:val="Tabela"/>
              <w:jc w:val="both"/>
            </w:pPr>
            <w:r w:rsidRPr="00EC250C">
              <w:t>1,3</w:t>
            </w:r>
          </w:p>
        </w:tc>
      </w:tr>
      <w:tr w:rsidR="00845591" w:rsidRPr="00EC250C" w14:paraId="52442374" w14:textId="77777777" w:rsidTr="00902FC6">
        <w:trPr>
          <w:trHeight w:val="375"/>
          <w:tblCellSpacing w:w="20" w:type="dxa"/>
        </w:trPr>
        <w:tc>
          <w:tcPr>
            <w:tcW w:w="246" w:type="dxa"/>
            <w:vAlign w:val="center"/>
          </w:tcPr>
          <w:p w14:paraId="69770098" w14:textId="77777777" w:rsidR="00845591" w:rsidRPr="00EC250C" w:rsidRDefault="00845591" w:rsidP="00845591">
            <w:pPr>
              <w:pStyle w:val="Tabela"/>
              <w:jc w:val="both"/>
            </w:pPr>
            <w:r w:rsidRPr="00EC250C">
              <w:t>–</w:t>
            </w:r>
          </w:p>
        </w:tc>
        <w:tc>
          <w:tcPr>
            <w:tcW w:w="6739" w:type="dxa"/>
            <w:vAlign w:val="center"/>
          </w:tcPr>
          <w:p w14:paraId="155EAAE0" w14:textId="77777777" w:rsidR="00845591" w:rsidRPr="00EC250C" w:rsidRDefault="00845591" w:rsidP="00845591">
            <w:pPr>
              <w:pStyle w:val="Tabela"/>
              <w:jc w:val="both"/>
            </w:pPr>
            <w:r w:rsidRPr="00EC250C">
              <w:t>zwrócono się o uzupełnienie wniosku</w:t>
            </w:r>
          </w:p>
        </w:tc>
        <w:tc>
          <w:tcPr>
            <w:tcW w:w="810" w:type="dxa"/>
            <w:vAlign w:val="center"/>
          </w:tcPr>
          <w:p w14:paraId="6BCE1D2D" w14:textId="77777777" w:rsidR="00845591" w:rsidRPr="00EC250C" w:rsidRDefault="00845591" w:rsidP="00845591">
            <w:pPr>
              <w:pStyle w:val="Tabela"/>
              <w:jc w:val="both"/>
            </w:pPr>
            <w:r w:rsidRPr="00EC250C">
              <w:t>90</w:t>
            </w:r>
          </w:p>
        </w:tc>
        <w:tc>
          <w:tcPr>
            <w:tcW w:w="1216" w:type="dxa"/>
            <w:vAlign w:val="center"/>
          </w:tcPr>
          <w:p w14:paraId="5D424454" w14:textId="77777777" w:rsidR="00845591" w:rsidRPr="00EC250C" w:rsidRDefault="00845591" w:rsidP="00845591">
            <w:pPr>
              <w:pStyle w:val="Tabela"/>
              <w:jc w:val="both"/>
            </w:pPr>
            <w:r w:rsidRPr="00EC250C">
              <w:t>4,0</w:t>
            </w:r>
          </w:p>
        </w:tc>
      </w:tr>
      <w:tr w:rsidR="00845591" w:rsidRPr="00EC250C" w14:paraId="7D334E5F" w14:textId="77777777" w:rsidTr="00902FC6">
        <w:trPr>
          <w:trHeight w:val="351"/>
          <w:tblCellSpacing w:w="20" w:type="dxa"/>
        </w:trPr>
        <w:tc>
          <w:tcPr>
            <w:tcW w:w="246" w:type="dxa"/>
            <w:vAlign w:val="center"/>
          </w:tcPr>
          <w:p w14:paraId="1B110A49" w14:textId="77777777" w:rsidR="00845591" w:rsidRPr="00EC250C" w:rsidRDefault="00845591" w:rsidP="00845591">
            <w:pPr>
              <w:pStyle w:val="Tabela"/>
              <w:jc w:val="both"/>
            </w:pPr>
            <w:r w:rsidRPr="00EC250C">
              <w:t>–</w:t>
            </w:r>
          </w:p>
        </w:tc>
        <w:tc>
          <w:tcPr>
            <w:tcW w:w="6739" w:type="dxa"/>
            <w:vAlign w:val="center"/>
          </w:tcPr>
          <w:p w14:paraId="77C450A2" w14:textId="77777777" w:rsidR="00845591" w:rsidRPr="00EC250C" w:rsidRDefault="00845591" w:rsidP="00845591">
            <w:pPr>
              <w:pStyle w:val="Tabela"/>
              <w:jc w:val="both"/>
            </w:pPr>
            <w:r w:rsidRPr="00EC250C">
              <w:t>nie podjęto</w:t>
            </w:r>
          </w:p>
        </w:tc>
        <w:tc>
          <w:tcPr>
            <w:tcW w:w="810" w:type="dxa"/>
            <w:vAlign w:val="center"/>
          </w:tcPr>
          <w:p w14:paraId="415646F2" w14:textId="77777777" w:rsidR="00845591" w:rsidRPr="00EC250C" w:rsidRDefault="00845591" w:rsidP="00845591">
            <w:pPr>
              <w:pStyle w:val="Tabela"/>
              <w:jc w:val="both"/>
            </w:pPr>
            <w:r w:rsidRPr="00EC250C">
              <w:t>234</w:t>
            </w:r>
          </w:p>
        </w:tc>
        <w:tc>
          <w:tcPr>
            <w:tcW w:w="1216" w:type="dxa"/>
            <w:vAlign w:val="center"/>
          </w:tcPr>
          <w:p w14:paraId="25EC8191" w14:textId="77777777" w:rsidR="00845591" w:rsidRPr="00EC250C" w:rsidRDefault="00845591" w:rsidP="00845591">
            <w:pPr>
              <w:pStyle w:val="Tabela"/>
              <w:jc w:val="both"/>
            </w:pPr>
            <w:r w:rsidRPr="00EC250C">
              <w:t>10,6</w:t>
            </w:r>
          </w:p>
        </w:tc>
      </w:tr>
    </w:tbl>
    <w:p w14:paraId="728EC294" w14:textId="77777777" w:rsidR="00250AC8" w:rsidRPr="00EC250C" w:rsidRDefault="00250AC8" w:rsidP="00D131FA">
      <w:pPr>
        <w:spacing w:line="240" w:lineRule="auto"/>
        <w:jc w:val="both"/>
        <w:rPr>
          <w:b/>
          <w:sz w:val="24"/>
        </w:rPr>
      </w:pPr>
      <w:r w:rsidRPr="00EC250C">
        <w:rPr>
          <w:b/>
          <w:sz w:val="24"/>
        </w:rPr>
        <w:t>W okresie objętym Informacją</w:t>
      </w:r>
      <w:r w:rsidR="00992FD0" w:rsidRPr="00EC250C">
        <w:rPr>
          <w:b/>
          <w:sz w:val="24"/>
        </w:rPr>
        <w:t xml:space="preserve"> w </w:t>
      </w:r>
      <w:r w:rsidRPr="00EC250C">
        <w:rPr>
          <w:b/>
          <w:sz w:val="24"/>
        </w:rPr>
        <w:t>Biurach Pełnomocników Terenowych rozpatrzono 2 232 sprawy,</w:t>
      </w:r>
      <w:r w:rsidR="00992FD0" w:rsidRPr="00EC250C">
        <w:rPr>
          <w:b/>
          <w:sz w:val="24"/>
        </w:rPr>
        <w:t xml:space="preserve"> w </w:t>
      </w:r>
      <w:r w:rsidRPr="00EC250C">
        <w:rPr>
          <w:b/>
          <w:sz w:val="24"/>
        </w:rPr>
        <w:t>tym:</w:t>
      </w:r>
    </w:p>
    <w:p w14:paraId="67C136C5" w14:textId="77777777" w:rsidR="00250AC8" w:rsidRPr="00EC250C" w:rsidRDefault="00290E37" w:rsidP="00D131FA">
      <w:pPr>
        <w:tabs>
          <w:tab w:val="left" w:pos="-142"/>
        </w:tabs>
        <w:jc w:val="both"/>
        <w:rPr>
          <w:b/>
          <w:sz w:val="24"/>
        </w:rPr>
      </w:pPr>
      <w:r w:rsidRPr="00EC250C">
        <w:rPr>
          <w:noProof/>
          <w:sz w:val="24"/>
        </w:rPr>
        <w:drawing>
          <wp:inline distT="0" distB="0" distL="0" distR="0" wp14:anchorId="68AA8D8A" wp14:editId="7204E157">
            <wp:extent cx="5362575" cy="2098674"/>
            <wp:effectExtent l="0" t="0" r="0" b="0"/>
            <wp:docPr id="30" name="Wykres 30">
              <a:extLst xmlns:a="http://schemas.openxmlformats.org/drawingml/2006/main">
                <a:ext uri="{FF2B5EF4-FFF2-40B4-BE49-F238E27FC236}">
                  <a16:creationId xmlns:a16="http://schemas.microsoft.com/office/drawing/2014/main" id="{00000000-0008-0000-0E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A5F1E5F" w14:textId="77777777" w:rsidR="00250AC8" w:rsidRPr="00EC250C" w:rsidRDefault="00250AC8" w:rsidP="00D131FA">
      <w:pPr>
        <w:spacing w:line="240" w:lineRule="auto"/>
        <w:jc w:val="both"/>
        <w:rPr>
          <w:b/>
          <w:sz w:val="24"/>
        </w:rPr>
      </w:pPr>
    </w:p>
    <w:p w14:paraId="2E1D178D" w14:textId="77777777" w:rsidR="00250AC8" w:rsidRPr="00EC250C" w:rsidRDefault="00250AC8" w:rsidP="00D131FA">
      <w:pPr>
        <w:spacing w:line="240" w:lineRule="auto"/>
        <w:ind w:left="567"/>
        <w:jc w:val="both"/>
        <w:rPr>
          <w:b/>
          <w:sz w:val="24"/>
        </w:rPr>
      </w:pPr>
      <w:r w:rsidRPr="00EC250C">
        <w:rPr>
          <w:b/>
          <w:sz w:val="24"/>
        </w:rPr>
        <w:t>W Biurach Pełnomocników Terenowych RPO zakończono postępowanie</w:t>
      </w:r>
      <w:r w:rsidR="00992FD0" w:rsidRPr="00EC250C">
        <w:rPr>
          <w:b/>
          <w:sz w:val="24"/>
        </w:rPr>
        <w:t xml:space="preserve"> w </w:t>
      </w:r>
      <w:r w:rsidRPr="00EC250C">
        <w:rPr>
          <w:b/>
          <w:sz w:val="24"/>
        </w:rPr>
        <w:t>821 sprawach podjętych</w:t>
      </w:r>
      <w:r w:rsidR="00992FD0" w:rsidRPr="00EC250C">
        <w:rPr>
          <w:b/>
          <w:sz w:val="24"/>
        </w:rPr>
        <w:t xml:space="preserve"> w </w:t>
      </w:r>
      <w:r w:rsidRPr="00EC250C">
        <w:rPr>
          <w:b/>
          <w:sz w:val="24"/>
        </w:rPr>
        <w:t>2018</w:t>
      </w:r>
      <w:r w:rsidR="00C91F6E" w:rsidRPr="00EC250C">
        <w:rPr>
          <w:b/>
          <w:sz w:val="24"/>
        </w:rPr>
        <w:t> r.</w:t>
      </w:r>
      <w:r w:rsidR="00992FD0" w:rsidRPr="00EC250C">
        <w:rPr>
          <w:b/>
          <w:sz w:val="24"/>
        </w:rPr>
        <w:t xml:space="preserve"> i w </w:t>
      </w:r>
      <w:r w:rsidRPr="00EC250C">
        <w:rPr>
          <w:b/>
          <w:sz w:val="24"/>
        </w:rPr>
        <w:t>latach poprzednich.</w:t>
      </w:r>
      <w:r w:rsidRPr="00EC250C">
        <w:rPr>
          <w:sz w:val="24"/>
        </w:rPr>
        <w:fldChar w:fldCharType="begin"/>
      </w:r>
      <w:r w:rsidRPr="00EC250C">
        <w:rPr>
          <w:sz w:val="24"/>
        </w:rPr>
        <w:instrText xml:space="preserve"> LINK Excel.Sheet.8 "E:\\INFORMACJA 2009\\inne rozdziały\\Informacja-dane.xlsx" "Arkusz25!W3K1:W15K5" \a \f 4 \r  \* MERGEFORMAT </w:instrText>
      </w:r>
      <w:r w:rsidRPr="00EC250C">
        <w:rPr>
          <w:sz w:val="24"/>
        </w:rPr>
        <w:fldChar w:fldCharType="separate"/>
      </w:r>
      <w:r w:rsidRPr="00EC250C">
        <w:rPr>
          <w:sz w:val="24"/>
        </w:rPr>
        <w:fldChar w:fldCharType="begin"/>
      </w:r>
      <w:r w:rsidRPr="00EC250C">
        <w:rPr>
          <w:sz w:val="24"/>
        </w:rPr>
        <w:instrText xml:space="preserve"> LINK Excel.Sheet.8 "E:\\INFORMACJA 2009\\inne rozdziały\\Informacja-dane.xlsx" "Arkusz25!W3K1:W15K5" \a \f 4 \r  \* MERGEFORMAT </w:instrText>
      </w:r>
      <w:r w:rsidRPr="00EC250C">
        <w:rPr>
          <w:sz w:val="24"/>
        </w:rPr>
        <w:fldChar w:fldCharType="separate"/>
      </w:r>
    </w:p>
    <w:tbl>
      <w:tblPr>
        <w:tblW w:w="0" w:type="auto"/>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2407"/>
        <w:gridCol w:w="567"/>
        <w:gridCol w:w="4536"/>
        <w:gridCol w:w="851"/>
        <w:gridCol w:w="814"/>
      </w:tblGrid>
      <w:tr w:rsidR="00250AC8" w:rsidRPr="00EC250C" w14:paraId="6CF23A19" w14:textId="77777777" w:rsidTr="00A016B4">
        <w:trPr>
          <w:trHeight w:val="397"/>
          <w:tblCellSpacing w:w="20" w:type="dxa"/>
        </w:trPr>
        <w:tc>
          <w:tcPr>
            <w:tcW w:w="2347" w:type="dxa"/>
            <w:vAlign w:val="center"/>
          </w:tcPr>
          <w:p w14:paraId="2D1D4B93" w14:textId="77777777" w:rsidR="00250AC8" w:rsidRPr="00EC250C" w:rsidRDefault="00250AC8" w:rsidP="00D131FA">
            <w:pPr>
              <w:pStyle w:val="Tabela"/>
              <w:jc w:val="both"/>
            </w:pPr>
            <w:r w:rsidRPr="00EC250C">
              <w:t>Efekty</w:t>
            </w:r>
          </w:p>
        </w:tc>
        <w:tc>
          <w:tcPr>
            <w:tcW w:w="5063" w:type="dxa"/>
            <w:gridSpan w:val="2"/>
            <w:vAlign w:val="center"/>
          </w:tcPr>
          <w:p w14:paraId="57E90797" w14:textId="77777777" w:rsidR="00250AC8" w:rsidRPr="00EC250C" w:rsidRDefault="00250AC8" w:rsidP="00D131FA">
            <w:pPr>
              <w:pStyle w:val="Tabela"/>
              <w:jc w:val="both"/>
            </w:pPr>
            <w:r w:rsidRPr="00EC250C">
              <w:t>Sposób zakończenia postępowania</w:t>
            </w:r>
          </w:p>
        </w:tc>
        <w:tc>
          <w:tcPr>
            <w:tcW w:w="811" w:type="dxa"/>
            <w:vAlign w:val="center"/>
          </w:tcPr>
          <w:p w14:paraId="21D506BF" w14:textId="77777777" w:rsidR="00250AC8" w:rsidRPr="00EC250C" w:rsidRDefault="00250AC8" w:rsidP="00D131FA">
            <w:pPr>
              <w:pStyle w:val="Tabela"/>
              <w:jc w:val="both"/>
            </w:pPr>
            <w:r w:rsidRPr="00EC250C">
              <w:t>Liczba</w:t>
            </w:r>
          </w:p>
        </w:tc>
        <w:tc>
          <w:tcPr>
            <w:tcW w:w="754" w:type="dxa"/>
            <w:vAlign w:val="center"/>
          </w:tcPr>
          <w:p w14:paraId="04708D88" w14:textId="77777777" w:rsidR="00250AC8" w:rsidRPr="00EC250C" w:rsidRDefault="00250AC8" w:rsidP="00D131FA">
            <w:pPr>
              <w:pStyle w:val="Tabela"/>
              <w:jc w:val="both"/>
            </w:pPr>
            <w:r w:rsidRPr="00EC250C">
              <w:t>%</w:t>
            </w:r>
          </w:p>
        </w:tc>
      </w:tr>
      <w:tr w:rsidR="00250AC8" w:rsidRPr="00EC250C" w14:paraId="5D09C947" w14:textId="77777777" w:rsidTr="00A016B4">
        <w:trPr>
          <w:trHeight w:val="461"/>
          <w:tblCellSpacing w:w="20" w:type="dxa"/>
        </w:trPr>
        <w:tc>
          <w:tcPr>
            <w:tcW w:w="2347" w:type="dxa"/>
            <w:vMerge w:val="restart"/>
            <w:vAlign w:val="center"/>
          </w:tcPr>
          <w:p w14:paraId="23ABCAEB" w14:textId="77777777" w:rsidR="00250AC8" w:rsidRPr="00EC250C" w:rsidRDefault="00250AC8" w:rsidP="00D131FA">
            <w:pPr>
              <w:pStyle w:val="Tabela"/>
              <w:jc w:val="both"/>
            </w:pPr>
            <w:r w:rsidRPr="00EC250C">
              <w:t>Uzyskano rozwiązanie oczekiwane przez wnioskodawcę</w:t>
            </w:r>
          </w:p>
        </w:tc>
        <w:tc>
          <w:tcPr>
            <w:tcW w:w="527" w:type="dxa"/>
            <w:vAlign w:val="center"/>
          </w:tcPr>
          <w:p w14:paraId="10945A56" w14:textId="77777777" w:rsidR="00250AC8" w:rsidRPr="00EC250C" w:rsidRDefault="00250AC8" w:rsidP="00D131FA">
            <w:pPr>
              <w:pStyle w:val="Tabela"/>
              <w:jc w:val="both"/>
            </w:pPr>
            <w:r w:rsidRPr="00EC250C">
              <w:t>1</w:t>
            </w:r>
          </w:p>
        </w:tc>
        <w:tc>
          <w:tcPr>
            <w:tcW w:w="4496" w:type="dxa"/>
            <w:vAlign w:val="center"/>
          </w:tcPr>
          <w:p w14:paraId="265A5B3A" w14:textId="77777777" w:rsidR="00250AC8" w:rsidRPr="00EC250C" w:rsidRDefault="00250AC8" w:rsidP="00D131FA">
            <w:pPr>
              <w:pStyle w:val="Tabela"/>
              <w:jc w:val="both"/>
              <w:rPr>
                <w:bCs/>
              </w:rPr>
            </w:pPr>
            <w:r w:rsidRPr="00EC250C">
              <w:rPr>
                <w:bCs/>
              </w:rPr>
              <w:t>Razem (2+3)</w:t>
            </w:r>
          </w:p>
        </w:tc>
        <w:tc>
          <w:tcPr>
            <w:tcW w:w="811" w:type="dxa"/>
            <w:vAlign w:val="center"/>
          </w:tcPr>
          <w:p w14:paraId="736A8C92" w14:textId="77777777" w:rsidR="00250AC8" w:rsidRPr="00EC250C" w:rsidRDefault="00250AC8" w:rsidP="00D131FA">
            <w:pPr>
              <w:pStyle w:val="Tabela"/>
              <w:jc w:val="both"/>
              <w:rPr>
                <w:bCs/>
              </w:rPr>
            </w:pPr>
            <w:r w:rsidRPr="00EC250C">
              <w:rPr>
                <w:bCs/>
              </w:rPr>
              <w:t>142</w:t>
            </w:r>
          </w:p>
        </w:tc>
        <w:tc>
          <w:tcPr>
            <w:tcW w:w="754" w:type="dxa"/>
            <w:vAlign w:val="center"/>
          </w:tcPr>
          <w:p w14:paraId="599FA856" w14:textId="77777777" w:rsidR="00250AC8" w:rsidRPr="00EC250C" w:rsidRDefault="00250AC8" w:rsidP="00D131FA">
            <w:pPr>
              <w:pStyle w:val="Tabela"/>
              <w:jc w:val="both"/>
              <w:rPr>
                <w:bCs/>
              </w:rPr>
            </w:pPr>
            <w:r w:rsidRPr="00EC250C">
              <w:rPr>
                <w:bCs/>
              </w:rPr>
              <w:t>17,3</w:t>
            </w:r>
          </w:p>
        </w:tc>
      </w:tr>
      <w:tr w:rsidR="00250AC8" w:rsidRPr="00EC250C" w14:paraId="3E5E3FD1" w14:textId="77777777" w:rsidTr="00A016B4">
        <w:trPr>
          <w:trHeight w:val="518"/>
          <w:tblCellSpacing w:w="20" w:type="dxa"/>
        </w:trPr>
        <w:tc>
          <w:tcPr>
            <w:tcW w:w="2347" w:type="dxa"/>
            <w:vMerge/>
            <w:vAlign w:val="center"/>
          </w:tcPr>
          <w:p w14:paraId="5B7B810F" w14:textId="77777777" w:rsidR="00250AC8" w:rsidRPr="00EC250C" w:rsidRDefault="00250AC8" w:rsidP="00D131FA">
            <w:pPr>
              <w:pStyle w:val="Tabela"/>
              <w:jc w:val="both"/>
            </w:pPr>
          </w:p>
        </w:tc>
        <w:tc>
          <w:tcPr>
            <w:tcW w:w="527" w:type="dxa"/>
            <w:vAlign w:val="center"/>
          </w:tcPr>
          <w:p w14:paraId="2C12F53E" w14:textId="77777777" w:rsidR="00250AC8" w:rsidRPr="00EC250C" w:rsidRDefault="00250AC8" w:rsidP="00D131FA">
            <w:pPr>
              <w:pStyle w:val="Tabela"/>
              <w:jc w:val="both"/>
            </w:pPr>
            <w:r w:rsidRPr="00EC250C">
              <w:t>2</w:t>
            </w:r>
          </w:p>
        </w:tc>
        <w:tc>
          <w:tcPr>
            <w:tcW w:w="4496" w:type="dxa"/>
            <w:vAlign w:val="center"/>
          </w:tcPr>
          <w:p w14:paraId="6E57085D" w14:textId="77777777" w:rsidR="00250AC8" w:rsidRPr="00EC250C" w:rsidRDefault="00250AC8" w:rsidP="00D131FA">
            <w:pPr>
              <w:pStyle w:val="Tabela"/>
              <w:jc w:val="both"/>
            </w:pPr>
            <w:r w:rsidRPr="00EC250C">
              <w:t>Zasadność zarzutów wnioskodawcy</w:t>
            </w:r>
          </w:p>
        </w:tc>
        <w:tc>
          <w:tcPr>
            <w:tcW w:w="811" w:type="dxa"/>
            <w:vAlign w:val="center"/>
          </w:tcPr>
          <w:p w14:paraId="1BE8C482" w14:textId="77777777" w:rsidR="00250AC8" w:rsidRPr="00EC250C" w:rsidRDefault="00250AC8" w:rsidP="00D131FA">
            <w:pPr>
              <w:pStyle w:val="Tabela"/>
              <w:jc w:val="both"/>
            </w:pPr>
            <w:r w:rsidRPr="00EC250C">
              <w:t>114</w:t>
            </w:r>
          </w:p>
        </w:tc>
        <w:tc>
          <w:tcPr>
            <w:tcW w:w="754" w:type="dxa"/>
            <w:vAlign w:val="center"/>
          </w:tcPr>
          <w:p w14:paraId="4BC77848" w14:textId="77777777" w:rsidR="00250AC8" w:rsidRPr="00EC250C" w:rsidRDefault="00250AC8" w:rsidP="00D131FA">
            <w:pPr>
              <w:pStyle w:val="Tabela"/>
              <w:jc w:val="both"/>
            </w:pPr>
            <w:r w:rsidRPr="00EC250C">
              <w:t>13,9</w:t>
            </w:r>
          </w:p>
        </w:tc>
      </w:tr>
      <w:tr w:rsidR="00250AC8" w:rsidRPr="00EC250C" w14:paraId="38635C07" w14:textId="77777777" w:rsidTr="00FB690C">
        <w:trPr>
          <w:trHeight w:val="327"/>
          <w:tblCellSpacing w:w="20" w:type="dxa"/>
        </w:trPr>
        <w:tc>
          <w:tcPr>
            <w:tcW w:w="2347" w:type="dxa"/>
            <w:vMerge/>
            <w:vAlign w:val="center"/>
          </w:tcPr>
          <w:p w14:paraId="40C310B7" w14:textId="77777777" w:rsidR="00250AC8" w:rsidRPr="00EC250C" w:rsidRDefault="00250AC8" w:rsidP="00D131FA">
            <w:pPr>
              <w:pStyle w:val="Tabela"/>
              <w:jc w:val="both"/>
            </w:pPr>
          </w:p>
        </w:tc>
        <w:tc>
          <w:tcPr>
            <w:tcW w:w="527" w:type="dxa"/>
            <w:vAlign w:val="center"/>
          </w:tcPr>
          <w:p w14:paraId="16650384" w14:textId="77777777" w:rsidR="00250AC8" w:rsidRPr="00EC250C" w:rsidRDefault="00250AC8" w:rsidP="00D131FA">
            <w:pPr>
              <w:pStyle w:val="Tabela"/>
              <w:jc w:val="both"/>
            </w:pPr>
            <w:r w:rsidRPr="00EC250C">
              <w:t>3</w:t>
            </w:r>
          </w:p>
        </w:tc>
        <w:tc>
          <w:tcPr>
            <w:tcW w:w="4496" w:type="dxa"/>
            <w:vAlign w:val="center"/>
          </w:tcPr>
          <w:p w14:paraId="3C4499EC" w14:textId="77777777" w:rsidR="00250AC8" w:rsidRPr="00EC250C" w:rsidRDefault="00250AC8" w:rsidP="00D131FA">
            <w:pPr>
              <w:pStyle w:val="Tabela"/>
              <w:jc w:val="both"/>
            </w:pPr>
            <w:r w:rsidRPr="00EC250C">
              <w:t>Uwzględnienie wystąpienia generalnego RPO</w:t>
            </w:r>
          </w:p>
        </w:tc>
        <w:tc>
          <w:tcPr>
            <w:tcW w:w="811" w:type="dxa"/>
            <w:vAlign w:val="center"/>
          </w:tcPr>
          <w:p w14:paraId="2ED1CAB4" w14:textId="77777777" w:rsidR="00250AC8" w:rsidRPr="00EC250C" w:rsidRDefault="00250AC8" w:rsidP="00D131FA">
            <w:pPr>
              <w:pStyle w:val="Tabela"/>
              <w:jc w:val="both"/>
            </w:pPr>
            <w:r w:rsidRPr="00EC250C">
              <w:t>28</w:t>
            </w:r>
          </w:p>
        </w:tc>
        <w:tc>
          <w:tcPr>
            <w:tcW w:w="754" w:type="dxa"/>
            <w:vAlign w:val="center"/>
          </w:tcPr>
          <w:p w14:paraId="415A184F" w14:textId="77777777" w:rsidR="00250AC8" w:rsidRPr="00EC250C" w:rsidRDefault="00250AC8" w:rsidP="00D131FA">
            <w:pPr>
              <w:pStyle w:val="Tabela"/>
              <w:jc w:val="both"/>
            </w:pPr>
            <w:r w:rsidRPr="00EC250C">
              <w:t>3,4</w:t>
            </w:r>
          </w:p>
        </w:tc>
      </w:tr>
      <w:tr w:rsidR="00250AC8" w:rsidRPr="00EC250C" w14:paraId="6FA103ED" w14:textId="77777777" w:rsidTr="00A016B4">
        <w:trPr>
          <w:trHeight w:val="461"/>
          <w:tblCellSpacing w:w="20" w:type="dxa"/>
        </w:trPr>
        <w:tc>
          <w:tcPr>
            <w:tcW w:w="2347" w:type="dxa"/>
            <w:vMerge w:val="restart"/>
            <w:vAlign w:val="center"/>
          </w:tcPr>
          <w:p w14:paraId="56CE3D67" w14:textId="77777777" w:rsidR="00250AC8" w:rsidRPr="00EC250C" w:rsidRDefault="00250AC8" w:rsidP="00D131FA">
            <w:pPr>
              <w:pStyle w:val="Tabela"/>
              <w:jc w:val="both"/>
            </w:pPr>
            <w:r w:rsidRPr="00EC250C">
              <w:t>Odstąpiono od dalszego prowadzenia sprawy</w:t>
            </w:r>
          </w:p>
        </w:tc>
        <w:tc>
          <w:tcPr>
            <w:tcW w:w="527" w:type="dxa"/>
            <w:vAlign w:val="center"/>
          </w:tcPr>
          <w:p w14:paraId="41166F7C" w14:textId="77777777" w:rsidR="00250AC8" w:rsidRPr="00EC250C" w:rsidRDefault="00250AC8" w:rsidP="00D131FA">
            <w:pPr>
              <w:pStyle w:val="Tabela"/>
              <w:jc w:val="both"/>
            </w:pPr>
            <w:r w:rsidRPr="00EC250C">
              <w:t>4</w:t>
            </w:r>
          </w:p>
        </w:tc>
        <w:tc>
          <w:tcPr>
            <w:tcW w:w="4496" w:type="dxa"/>
            <w:vAlign w:val="center"/>
          </w:tcPr>
          <w:p w14:paraId="14BFC470" w14:textId="77777777" w:rsidR="00250AC8" w:rsidRPr="00EC250C" w:rsidRDefault="00250AC8" w:rsidP="00D131FA">
            <w:pPr>
              <w:pStyle w:val="Tabela"/>
              <w:jc w:val="both"/>
              <w:rPr>
                <w:bCs/>
              </w:rPr>
            </w:pPr>
            <w:r w:rsidRPr="00EC250C">
              <w:rPr>
                <w:bCs/>
              </w:rPr>
              <w:t>Razem (5+6)</w:t>
            </w:r>
          </w:p>
        </w:tc>
        <w:tc>
          <w:tcPr>
            <w:tcW w:w="811" w:type="dxa"/>
            <w:vAlign w:val="center"/>
          </w:tcPr>
          <w:p w14:paraId="1BDFAEBE" w14:textId="77777777" w:rsidR="00250AC8" w:rsidRPr="00EC250C" w:rsidRDefault="00250AC8" w:rsidP="00D131FA">
            <w:pPr>
              <w:pStyle w:val="Tabela"/>
              <w:jc w:val="both"/>
              <w:rPr>
                <w:bCs/>
              </w:rPr>
            </w:pPr>
            <w:r w:rsidRPr="00EC250C">
              <w:rPr>
                <w:bCs/>
              </w:rPr>
              <w:t>49</w:t>
            </w:r>
          </w:p>
        </w:tc>
        <w:tc>
          <w:tcPr>
            <w:tcW w:w="754" w:type="dxa"/>
            <w:vAlign w:val="center"/>
          </w:tcPr>
          <w:p w14:paraId="6F3F6F62" w14:textId="77777777" w:rsidR="00250AC8" w:rsidRPr="00EC250C" w:rsidRDefault="00250AC8" w:rsidP="00D131FA">
            <w:pPr>
              <w:pStyle w:val="Tabela"/>
              <w:jc w:val="both"/>
              <w:rPr>
                <w:bCs/>
              </w:rPr>
            </w:pPr>
            <w:r w:rsidRPr="00EC250C">
              <w:rPr>
                <w:bCs/>
              </w:rPr>
              <w:t>6,0</w:t>
            </w:r>
          </w:p>
        </w:tc>
      </w:tr>
      <w:tr w:rsidR="00250AC8" w:rsidRPr="00EC250C" w14:paraId="2C0B21CB" w14:textId="77777777" w:rsidTr="00A016B4">
        <w:trPr>
          <w:trHeight w:val="518"/>
          <w:tblCellSpacing w:w="20" w:type="dxa"/>
        </w:trPr>
        <w:tc>
          <w:tcPr>
            <w:tcW w:w="2347" w:type="dxa"/>
            <w:vMerge/>
            <w:vAlign w:val="center"/>
          </w:tcPr>
          <w:p w14:paraId="0F2088B9" w14:textId="77777777" w:rsidR="00250AC8" w:rsidRPr="00EC250C" w:rsidRDefault="00250AC8" w:rsidP="00D131FA">
            <w:pPr>
              <w:pStyle w:val="Tabela"/>
              <w:jc w:val="both"/>
            </w:pPr>
          </w:p>
        </w:tc>
        <w:tc>
          <w:tcPr>
            <w:tcW w:w="527" w:type="dxa"/>
            <w:vAlign w:val="center"/>
          </w:tcPr>
          <w:p w14:paraId="6E29CACA" w14:textId="77777777" w:rsidR="00250AC8" w:rsidRPr="00EC250C" w:rsidRDefault="00250AC8" w:rsidP="00D131FA">
            <w:pPr>
              <w:pStyle w:val="Tabela"/>
              <w:jc w:val="both"/>
            </w:pPr>
            <w:r w:rsidRPr="00EC250C">
              <w:t>5</w:t>
            </w:r>
          </w:p>
        </w:tc>
        <w:tc>
          <w:tcPr>
            <w:tcW w:w="4496" w:type="dxa"/>
            <w:vAlign w:val="center"/>
          </w:tcPr>
          <w:p w14:paraId="5455A051" w14:textId="77777777" w:rsidR="00250AC8" w:rsidRPr="00EC250C" w:rsidRDefault="00250AC8" w:rsidP="00D131FA">
            <w:pPr>
              <w:pStyle w:val="Tabela"/>
              <w:jc w:val="both"/>
            </w:pPr>
            <w:r w:rsidRPr="00EC250C">
              <w:t>Toczące się postępowanie</w:t>
            </w:r>
            <w:r w:rsidR="00992FD0" w:rsidRPr="00EC250C">
              <w:t xml:space="preserve"> w </w:t>
            </w:r>
            <w:r w:rsidRPr="00EC250C">
              <w:t>sprawie (niewyczerpany tryb)</w:t>
            </w:r>
          </w:p>
        </w:tc>
        <w:tc>
          <w:tcPr>
            <w:tcW w:w="811" w:type="dxa"/>
            <w:vAlign w:val="center"/>
          </w:tcPr>
          <w:p w14:paraId="73F423DB" w14:textId="77777777" w:rsidR="00250AC8" w:rsidRPr="00EC250C" w:rsidRDefault="00250AC8" w:rsidP="00D131FA">
            <w:pPr>
              <w:pStyle w:val="Tabela"/>
              <w:jc w:val="both"/>
            </w:pPr>
            <w:r w:rsidRPr="00EC250C">
              <w:t>26</w:t>
            </w:r>
          </w:p>
        </w:tc>
        <w:tc>
          <w:tcPr>
            <w:tcW w:w="754" w:type="dxa"/>
            <w:vAlign w:val="center"/>
          </w:tcPr>
          <w:p w14:paraId="78107FFE" w14:textId="77777777" w:rsidR="00250AC8" w:rsidRPr="00EC250C" w:rsidRDefault="00250AC8" w:rsidP="00D131FA">
            <w:pPr>
              <w:pStyle w:val="Tabela"/>
              <w:jc w:val="both"/>
            </w:pPr>
            <w:r w:rsidRPr="00EC250C">
              <w:t>3,2</w:t>
            </w:r>
          </w:p>
        </w:tc>
      </w:tr>
      <w:tr w:rsidR="00250AC8" w:rsidRPr="00EC250C" w14:paraId="7B5F62B6" w14:textId="77777777" w:rsidTr="00FB690C">
        <w:trPr>
          <w:trHeight w:val="418"/>
          <w:tblCellSpacing w:w="20" w:type="dxa"/>
        </w:trPr>
        <w:tc>
          <w:tcPr>
            <w:tcW w:w="2347" w:type="dxa"/>
            <w:vMerge/>
            <w:vAlign w:val="center"/>
          </w:tcPr>
          <w:p w14:paraId="421C3F97" w14:textId="77777777" w:rsidR="00250AC8" w:rsidRPr="00EC250C" w:rsidRDefault="00250AC8" w:rsidP="00D131FA">
            <w:pPr>
              <w:pStyle w:val="Tabela"/>
              <w:jc w:val="both"/>
            </w:pPr>
          </w:p>
        </w:tc>
        <w:tc>
          <w:tcPr>
            <w:tcW w:w="527" w:type="dxa"/>
            <w:vAlign w:val="center"/>
          </w:tcPr>
          <w:p w14:paraId="50C04B56" w14:textId="77777777" w:rsidR="00250AC8" w:rsidRPr="00EC250C" w:rsidRDefault="00250AC8" w:rsidP="00D131FA">
            <w:pPr>
              <w:pStyle w:val="Tabela"/>
              <w:jc w:val="both"/>
            </w:pPr>
            <w:r w:rsidRPr="00EC250C">
              <w:t>6</w:t>
            </w:r>
          </w:p>
        </w:tc>
        <w:tc>
          <w:tcPr>
            <w:tcW w:w="4496" w:type="dxa"/>
            <w:vAlign w:val="center"/>
          </w:tcPr>
          <w:p w14:paraId="7C170704" w14:textId="77777777" w:rsidR="00250AC8" w:rsidRPr="00EC250C" w:rsidRDefault="00250AC8" w:rsidP="00D131FA">
            <w:pPr>
              <w:pStyle w:val="Tabela"/>
              <w:jc w:val="both"/>
            </w:pPr>
            <w:r w:rsidRPr="00EC250C">
              <w:t>Rezygnacja RPO</w:t>
            </w:r>
            <w:r w:rsidR="00992FD0" w:rsidRPr="00EC250C">
              <w:t xml:space="preserve"> z </w:t>
            </w:r>
            <w:r w:rsidRPr="00EC250C">
              <w:t>dalszego prowadzenia sprawy (obiektywne przyczyny)</w:t>
            </w:r>
          </w:p>
        </w:tc>
        <w:tc>
          <w:tcPr>
            <w:tcW w:w="811" w:type="dxa"/>
            <w:vAlign w:val="center"/>
          </w:tcPr>
          <w:p w14:paraId="1A75306C" w14:textId="77777777" w:rsidR="00250AC8" w:rsidRPr="00EC250C" w:rsidRDefault="00250AC8" w:rsidP="00D131FA">
            <w:pPr>
              <w:pStyle w:val="Tabela"/>
              <w:jc w:val="both"/>
            </w:pPr>
            <w:r w:rsidRPr="00EC250C">
              <w:t>23</w:t>
            </w:r>
          </w:p>
          <w:p w14:paraId="1CCF5E67" w14:textId="77777777" w:rsidR="00250AC8" w:rsidRPr="00EC250C" w:rsidRDefault="00250AC8" w:rsidP="00D131FA">
            <w:pPr>
              <w:pStyle w:val="Tabela"/>
              <w:jc w:val="both"/>
            </w:pPr>
          </w:p>
        </w:tc>
        <w:tc>
          <w:tcPr>
            <w:tcW w:w="754" w:type="dxa"/>
            <w:vAlign w:val="center"/>
          </w:tcPr>
          <w:p w14:paraId="5A654D9D" w14:textId="77777777" w:rsidR="00250AC8" w:rsidRPr="00EC250C" w:rsidRDefault="00250AC8" w:rsidP="00D131FA">
            <w:pPr>
              <w:pStyle w:val="Tabela"/>
              <w:jc w:val="both"/>
            </w:pPr>
            <w:r w:rsidRPr="00EC250C">
              <w:t>2,8</w:t>
            </w:r>
          </w:p>
        </w:tc>
      </w:tr>
      <w:tr w:rsidR="00250AC8" w:rsidRPr="00EC250C" w14:paraId="1E196159" w14:textId="77777777" w:rsidTr="00A016B4">
        <w:trPr>
          <w:trHeight w:val="461"/>
          <w:tblCellSpacing w:w="20" w:type="dxa"/>
        </w:trPr>
        <w:tc>
          <w:tcPr>
            <w:tcW w:w="2347" w:type="dxa"/>
            <w:vMerge w:val="restart"/>
            <w:vAlign w:val="center"/>
          </w:tcPr>
          <w:p w14:paraId="155AE8CA" w14:textId="77777777" w:rsidR="00250AC8" w:rsidRPr="00EC250C" w:rsidRDefault="00250AC8" w:rsidP="00D131FA">
            <w:pPr>
              <w:pStyle w:val="Tabela"/>
              <w:jc w:val="both"/>
            </w:pPr>
            <w:r w:rsidRPr="00EC250C">
              <w:t>Nie uzyskano rozwiązania oczekiwanego przez wnioskodawcę</w:t>
            </w:r>
          </w:p>
        </w:tc>
        <w:tc>
          <w:tcPr>
            <w:tcW w:w="527" w:type="dxa"/>
            <w:vAlign w:val="center"/>
          </w:tcPr>
          <w:p w14:paraId="5BA14CD9" w14:textId="77777777" w:rsidR="00250AC8" w:rsidRPr="00EC250C" w:rsidRDefault="00250AC8" w:rsidP="00D131FA">
            <w:pPr>
              <w:pStyle w:val="Tabela"/>
              <w:jc w:val="both"/>
            </w:pPr>
            <w:r w:rsidRPr="00EC250C">
              <w:t>7</w:t>
            </w:r>
          </w:p>
        </w:tc>
        <w:tc>
          <w:tcPr>
            <w:tcW w:w="4496" w:type="dxa"/>
            <w:vAlign w:val="center"/>
          </w:tcPr>
          <w:p w14:paraId="560DF4E7" w14:textId="77777777" w:rsidR="00250AC8" w:rsidRPr="00EC250C" w:rsidRDefault="00250AC8" w:rsidP="00D131FA">
            <w:pPr>
              <w:pStyle w:val="Tabela"/>
              <w:jc w:val="both"/>
              <w:rPr>
                <w:bCs/>
              </w:rPr>
            </w:pPr>
            <w:r w:rsidRPr="00EC250C">
              <w:rPr>
                <w:bCs/>
              </w:rPr>
              <w:t>Razem (8+9+10)</w:t>
            </w:r>
          </w:p>
        </w:tc>
        <w:tc>
          <w:tcPr>
            <w:tcW w:w="811" w:type="dxa"/>
            <w:vAlign w:val="center"/>
          </w:tcPr>
          <w:p w14:paraId="7079141D" w14:textId="77777777" w:rsidR="00250AC8" w:rsidRPr="00EC250C" w:rsidRDefault="00250AC8" w:rsidP="00D131FA">
            <w:pPr>
              <w:pStyle w:val="Tabela"/>
              <w:jc w:val="both"/>
              <w:rPr>
                <w:bCs/>
              </w:rPr>
            </w:pPr>
            <w:r w:rsidRPr="00EC250C">
              <w:rPr>
                <w:bCs/>
              </w:rPr>
              <w:t>630</w:t>
            </w:r>
          </w:p>
        </w:tc>
        <w:tc>
          <w:tcPr>
            <w:tcW w:w="754" w:type="dxa"/>
            <w:vAlign w:val="center"/>
          </w:tcPr>
          <w:p w14:paraId="70058056" w14:textId="77777777" w:rsidR="00250AC8" w:rsidRPr="00EC250C" w:rsidRDefault="00250AC8" w:rsidP="00D131FA">
            <w:pPr>
              <w:pStyle w:val="Tabela"/>
              <w:jc w:val="both"/>
              <w:rPr>
                <w:bCs/>
              </w:rPr>
            </w:pPr>
            <w:r w:rsidRPr="00EC250C">
              <w:rPr>
                <w:bCs/>
              </w:rPr>
              <w:t>76,7</w:t>
            </w:r>
          </w:p>
        </w:tc>
      </w:tr>
      <w:tr w:rsidR="00250AC8" w:rsidRPr="00EC250C" w14:paraId="11759CF7" w14:textId="77777777" w:rsidTr="00A016B4">
        <w:trPr>
          <w:trHeight w:val="518"/>
          <w:tblCellSpacing w:w="20" w:type="dxa"/>
        </w:trPr>
        <w:tc>
          <w:tcPr>
            <w:tcW w:w="2347" w:type="dxa"/>
            <w:vMerge/>
            <w:vAlign w:val="center"/>
          </w:tcPr>
          <w:p w14:paraId="4EB861C8" w14:textId="77777777" w:rsidR="00250AC8" w:rsidRPr="00EC250C" w:rsidRDefault="00250AC8" w:rsidP="00D131FA">
            <w:pPr>
              <w:pStyle w:val="Tabela"/>
              <w:jc w:val="both"/>
            </w:pPr>
          </w:p>
        </w:tc>
        <w:tc>
          <w:tcPr>
            <w:tcW w:w="527" w:type="dxa"/>
            <w:vAlign w:val="center"/>
          </w:tcPr>
          <w:p w14:paraId="128C1651" w14:textId="77777777" w:rsidR="00250AC8" w:rsidRPr="00EC250C" w:rsidRDefault="00250AC8" w:rsidP="00D131FA">
            <w:pPr>
              <w:pStyle w:val="Tabela"/>
              <w:jc w:val="both"/>
            </w:pPr>
            <w:r w:rsidRPr="00EC250C">
              <w:t>8</w:t>
            </w:r>
          </w:p>
        </w:tc>
        <w:tc>
          <w:tcPr>
            <w:tcW w:w="4496" w:type="dxa"/>
            <w:vAlign w:val="center"/>
          </w:tcPr>
          <w:p w14:paraId="2340E10B" w14:textId="77777777" w:rsidR="00250AC8" w:rsidRPr="00EC250C" w:rsidRDefault="00250AC8" w:rsidP="00D131FA">
            <w:pPr>
              <w:pStyle w:val="Tabela"/>
              <w:jc w:val="both"/>
            </w:pPr>
            <w:r w:rsidRPr="00EC250C">
              <w:t>Niepotwierdzenie się zarzutów wnioskodawcy</w:t>
            </w:r>
          </w:p>
        </w:tc>
        <w:tc>
          <w:tcPr>
            <w:tcW w:w="811" w:type="dxa"/>
            <w:vAlign w:val="center"/>
          </w:tcPr>
          <w:p w14:paraId="0B061EA4" w14:textId="77777777" w:rsidR="00250AC8" w:rsidRPr="00EC250C" w:rsidRDefault="00250AC8" w:rsidP="00D131FA">
            <w:pPr>
              <w:pStyle w:val="Tabela"/>
              <w:jc w:val="both"/>
            </w:pPr>
            <w:r w:rsidRPr="00EC250C">
              <w:t>598</w:t>
            </w:r>
          </w:p>
        </w:tc>
        <w:tc>
          <w:tcPr>
            <w:tcW w:w="754" w:type="dxa"/>
            <w:vAlign w:val="center"/>
          </w:tcPr>
          <w:p w14:paraId="04D24389" w14:textId="77777777" w:rsidR="00250AC8" w:rsidRPr="00EC250C" w:rsidRDefault="00250AC8" w:rsidP="00D131FA">
            <w:pPr>
              <w:pStyle w:val="Tabela"/>
              <w:jc w:val="both"/>
            </w:pPr>
            <w:r w:rsidRPr="00EC250C">
              <w:t>72,8</w:t>
            </w:r>
          </w:p>
        </w:tc>
      </w:tr>
      <w:tr w:rsidR="00250AC8" w:rsidRPr="00EC250C" w14:paraId="5673D67C" w14:textId="77777777" w:rsidTr="00A016B4">
        <w:trPr>
          <w:trHeight w:val="518"/>
          <w:tblCellSpacing w:w="20" w:type="dxa"/>
        </w:trPr>
        <w:tc>
          <w:tcPr>
            <w:tcW w:w="2347" w:type="dxa"/>
            <w:vMerge/>
            <w:vAlign w:val="center"/>
          </w:tcPr>
          <w:p w14:paraId="68135A10" w14:textId="77777777" w:rsidR="00250AC8" w:rsidRPr="00EC250C" w:rsidRDefault="00250AC8" w:rsidP="00D131FA">
            <w:pPr>
              <w:pStyle w:val="Tabela"/>
              <w:jc w:val="both"/>
            </w:pPr>
          </w:p>
        </w:tc>
        <w:tc>
          <w:tcPr>
            <w:tcW w:w="527" w:type="dxa"/>
            <w:vAlign w:val="center"/>
          </w:tcPr>
          <w:p w14:paraId="497309B4" w14:textId="77777777" w:rsidR="00250AC8" w:rsidRPr="00EC250C" w:rsidRDefault="00250AC8" w:rsidP="00D131FA">
            <w:pPr>
              <w:pStyle w:val="Tabela"/>
              <w:jc w:val="both"/>
            </w:pPr>
            <w:r w:rsidRPr="00EC250C">
              <w:t>9</w:t>
            </w:r>
          </w:p>
        </w:tc>
        <w:tc>
          <w:tcPr>
            <w:tcW w:w="4496" w:type="dxa"/>
            <w:vAlign w:val="center"/>
          </w:tcPr>
          <w:p w14:paraId="5D481BD3" w14:textId="77777777" w:rsidR="00250AC8" w:rsidRPr="00EC250C" w:rsidRDefault="00250AC8" w:rsidP="00D131FA">
            <w:pPr>
              <w:pStyle w:val="Tabela"/>
              <w:jc w:val="both"/>
            </w:pPr>
            <w:r w:rsidRPr="00EC250C">
              <w:t>Nieuwzględnienie wystąpienia generalnego RPO</w:t>
            </w:r>
          </w:p>
        </w:tc>
        <w:tc>
          <w:tcPr>
            <w:tcW w:w="811" w:type="dxa"/>
            <w:vAlign w:val="center"/>
          </w:tcPr>
          <w:p w14:paraId="32605AE6" w14:textId="77777777" w:rsidR="00250AC8" w:rsidRPr="00EC250C" w:rsidRDefault="00250AC8" w:rsidP="00D131FA">
            <w:pPr>
              <w:pStyle w:val="Tabela"/>
              <w:jc w:val="both"/>
            </w:pPr>
            <w:r w:rsidRPr="00EC250C">
              <w:t>8</w:t>
            </w:r>
          </w:p>
        </w:tc>
        <w:tc>
          <w:tcPr>
            <w:tcW w:w="754" w:type="dxa"/>
            <w:vAlign w:val="center"/>
          </w:tcPr>
          <w:p w14:paraId="358BFCF3" w14:textId="77777777" w:rsidR="00250AC8" w:rsidRPr="00EC250C" w:rsidRDefault="00250AC8" w:rsidP="00D131FA">
            <w:pPr>
              <w:pStyle w:val="Tabela"/>
              <w:jc w:val="both"/>
            </w:pPr>
            <w:r w:rsidRPr="00EC250C">
              <w:t>1,0</w:t>
            </w:r>
          </w:p>
        </w:tc>
      </w:tr>
      <w:tr w:rsidR="00250AC8" w:rsidRPr="00EC250C" w14:paraId="1BB4884F" w14:textId="77777777" w:rsidTr="00FB690C">
        <w:trPr>
          <w:trHeight w:val="265"/>
          <w:tblCellSpacing w:w="20" w:type="dxa"/>
        </w:trPr>
        <w:tc>
          <w:tcPr>
            <w:tcW w:w="2347" w:type="dxa"/>
            <w:vMerge/>
            <w:vAlign w:val="center"/>
          </w:tcPr>
          <w:p w14:paraId="34F83594" w14:textId="77777777" w:rsidR="00250AC8" w:rsidRPr="00EC250C" w:rsidRDefault="00250AC8" w:rsidP="00D131FA">
            <w:pPr>
              <w:pStyle w:val="Tabela"/>
              <w:jc w:val="both"/>
            </w:pPr>
          </w:p>
        </w:tc>
        <w:tc>
          <w:tcPr>
            <w:tcW w:w="527" w:type="dxa"/>
            <w:vAlign w:val="center"/>
          </w:tcPr>
          <w:p w14:paraId="312C4323" w14:textId="77777777" w:rsidR="00250AC8" w:rsidRPr="00EC250C" w:rsidRDefault="00250AC8" w:rsidP="00D131FA">
            <w:pPr>
              <w:pStyle w:val="Tabela"/>
              <w:jc w:val="both"/>
            </w:pPr>
            <w:r w:rsidRPr="00EC250C">
              <w:t>10</w:t>
            </w:r>
          </w:p>
        </w:tc>
        <w:tc>
          <w:tcPr>
            <w:tcW w:w="4496" w:type="dxa"/>
            <w:vAlign w:val="center"/>
          </w:tcPr>
          <w:p w14:paraId="0A185D6D" w14:textId="77777777" w:rsidR="00250AC8" w:rsidRPr="00EC250C" w:rsidRDefault="00250AC8" w:rsidP="00D131FA">
            <w:pPr>
              <w:pStyle w:val="Tabela"/>
              <w:jc w:val="both"/>
            </w:pPr>
            <w:r w:rsidRPr="00EC250C">
              <w:t>Wyczerpanie przez RPO możliwości działania</w:t>
            </w:r>
          </w:p>
        </w:tc>
        <w:tc>
          <w:tcPr>
            <w:tcW w:w="811" w:type="dxa"/>
            <w:vAlign w:val="center"/>
          </w:tcPr>
          <w:p w14:paraId="63C4CB8E" w14:textId="77777777" w:rsidR="00250AC8" w:rsidRPr="00EC250C" w:rsidRDefault="00250AC8" w:rsidP="00D131FA">
            <w:pPr>
              <w:pStyle w:val="Tabela"/>
              <w:jc w:val="both"/>
            </w:pPr>
            <w:r w:rsidRPr="00EC250C">
              <w:t>24</w:t>
            </w:r>
          </w:p>
        </w:tc>
        <w:tc>
          <w:tcPr>
            <w:tcW w:w="754" w:type="dxa"/>
            <w:vAlign w:val="center"/>
          </w:tcPr>
          <w:p w14:paraId="0FC1DFD4" w14:textId="77777777" w:rsidR="00250AC8" w:rsidRPr="00EC250C" w:rsidRDefault="00250AC8" w:rsidP="00D131FA">
            <w:pPr>
              <w:pStyle w:val="Tabela"/>
              <w:jc w:val="both"/>
            </w:pPr>
            <w:r w:rsidRPr="00EC250C">
              <w:t>2,9</w:t>
            </w:r>
          </w:p>
        </w:tc>
      </w:tr>
      <w:tr w:rsidR="00250AC8" w:rsidRPr="00EC250C" w14:paraId="488CAEAA" w14:textId="77777777" w:rsidTr="00A016B4">
        <w:trPr>
          <w:trHeight w:val="461"/>
          <w:tblCellSpacing w:w="20" w:type="dxa"/>
        </w:trPr>
        <w:tc>
          <w:tcPr>
            <w:tcW w:w="7450" w:type="dxa"/>
            <w:gridSpan w:val="3"/>
            <w:vAlign w:val="center"/>
          </w:tcPr>
          <w:p w14:paraId="77DDEC54" w14:textId="77777777" w:rsidR="00250AC8" w:rsidRPr="00EC250C" w:rsidRDefault="00250AC8" w:rsidP="00D131FA">
            <w:pPr>
              <w:pStyle w:val="Tabela"/>
              <w:jc w:val="both"/>
              <w:rPr>
                <w:bCs/>
              </w:rPr>
            </w:pPr>
            <w:r w:rsidRPr="00EC250C">
              <w:rPr>
                <w:bCs/>
              </w:rPr>
              <w:t>Razem</w:t>
            </w:r>
          </w:p>
        </w:tc>
        <w:tc>
          <w:tcPr>
            <w:tcW w:w="811" w:type="dxa"/>
            <w:vAlign w:val="center"/>
          </w:tcPr>
          <w:p w14:paraId="17C0441C" w14:textId="77777777" w:rsidR="00250AC8" w:rsidRPr="00EC250C" w:rsidRDefault="00250AC8" w:rsidP="00D131FA">
            <w:pPr>
              <w:pStyle w:val="Tabela"/>
              <w:jc w:val="both"/>
              <w:rPr>
                <w:bCs/>
              </w:rPr>
            </w:pPr>
            <w:r w:rsidRPr="00EC250C">
              <w:rPr>
                <w:bCs/>
              </w:rPr>
              <w:t>821</w:t>
            </w:r>
          </w:p>
        </w:tc>
        <w:tc>
          <w:tcPr>
            <w:tcW w:w="754" w:type="dxa"/>
            <w:vAlign w:val="center"/>
          </w:tcPr>
          <w:p w14:paraId="4601A7BC" w14:textId="77777777" w:rsidR="00250AC8" w:rsidRPr="00EC250C" w:rsidRDefault="00250AC8" w:rsidP="00D131FA">
            <w:pPr>
              <w:pStyle w:val="Tabela"/>
              <w:jc w:val="both"/>
              <w:rPr>
                <w:bCs/>
              </w:rPr>
            </w:pPr>
            <w:r w:rsidRPr="00EC250C">
              <w:rPr>
                <w:bCs/>
              </w:rPr>
              <w:t>100,0</w:t>
            </w:r>
          </w:p>
        </w:tc>
      </w:tr>
    </w:tbl>
    <w:p w14:paraId="581581A7" w14:textId="77777777" w:rsidR="00250AC8" w:rsidRPr="00EC250C" w:rsidRDefault="00250AC8" w:rsidP="00D131FA">
      <w:pPr>
        <w:tabs>
          <w:tab w:val="left" w:pos="-142"/>
        </w:tabs>
        <w:jc w:val="both"/>
        <w:rPr>
          <w:sz w:val="24"/>
        </w:rPr>
      </w:pPr>
      <w:r w:rsidRPr="00EC250C">
        <w:rPr>
          <w:b/>
          <w:sz w:val="24"/>
        </w:rPr>
        <w:lastRenderedPageBreak/>
        <w:fldChar w:fldCharType="end"/>
      </w:r>
      <w:r w:rsidRPr="00EC250C">
        <w:rPr>
          <w:b/>
          <w:sz w:val="24"/>
        </w:rPr>
        <w:fldChar w:fldCharType="end"/>
      </w:r>
      <w:r w:rsidR="00290E37" w:rsidRPr="00EC250C">
        <w:rPr>
          <w:noProof/>
          <w:sz w:val="24"/>
        </w:rPr>
        <w:t xml:space="preserve"> </w:t>
      </w:r>
      <w:r w:rsidR="00290E37" w:rsidRPr="00EC250C">
        <w:rPr>
          <w:noProof/>
          <w:sz w:val="24"/>
        </w:rPr>
        <w:drawing>
          <wp:inline distT="0" distB="0" distL="0" distR="0" wp14:anchorId="4045AA43" wp14:editId="4BA1964B">
            <wp:extent cx="5321300" cy="2295525"/>
            <wp:effectExtent l="0" t="0" r="0" b="0"/>
            <wp:docPr id="31" name="Wykres 31">
              <a:extLst xmlns:a="http://schemas.openxmlformats.org/drawingml/2006/main">
                <a:ext uri="{FF2B5EF4-FFF2-40B4-BE49-F238E27FC236}">
                  <a16:creationId xmlns:a16="http://schemas.microsoft.com/office/drawing/2014/main" id="{00000000-0008-0000-0F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C1BD1F6" w14:textId="77777777" w:rsidR="00250AC8" w:rsidRPr="00EC250C" w:rsidRDefault="00250AC8" w:rsidP="00D131FA">
      <w:pPr>
        <w:spacing w:after="200" w:line="24" w:lineRule="auto"/>
        <w:jc w:val="both"/>
        <w:rPr>
          <w:b/>
          <w:bCs/>
          <w:color w:val="044892"/>
          <w:sz w:val="28"/>
        </w:rPr>
      </w:pPr>
    </w:p>
    <w:p w14:paraId="6252B297" w14:textId="77777777" w:rsidR="00250AC8" w:rsidRPr="00EC250C" w:rsidRDefault="007E515C" w:rsidP="00EC79EB">
      <w:pPr>
        <w:pStyle w:val="Nagwek4"/>
      </w:pPr>
      <w:bookmarkStart w:id="877" w:name="_Toc6258097"/>
      <w:bookmarkStart w:id="878" w:name="_Toc11247887"/>
      <w:r w:rsidRPr="00EC250C">
        <w:t>Wizyty</w:t>
      </w:r>
      <w:r w:rsidR="00992FD0" w:rsidRPr="00EC250C">
        <w:t xml:space="preserve"> i </w:t>
      </w:r>
      <w:r w:rsidRPr="00EC250C">
        <w:t>spotkania</w:t>
      </w:r>
      <w:r w:rsidR="00992FD0" w:rsidRPr="00EC250C">
        <w:t xml:space="preserve"> w </w:t>
      </w:r>
      <w:r w:rsidRPr="00EC250C">
        <w:t>kraju</w:t>
      </w:r>
      <w:bookmarkEnd w:id="877"/>
      <w:bookmarkEnd w:id="878"/>
    </w:p>
    <w:p w14:paraId="199A3E19" w14:textId="77777777" w:rsidR="00250AC8" w:rsidRPr="00EC250C" w:rsidRDefault="00250AC8" w:rsidP="00EC250C">
      <w:pPr>
        <w:pStyle w:val="Nagwek5"/>
      </w:pPr>
      <w:bookmarkStart w:id="879" w:name="_Toc6258098"/>
      <w:r w:rsidRPr="00EC250C">
        <w:t>Wizytacje prewencyjne</w:t>
      </w:r>
      <w:r w:rsidR="00992FD0" w:rsidRPr="00EC250C">
        <w:t xml:space="preserve"> w </w:t>
      </w:r>
      <w:r w:rsidRPr="00EC250C">
        <w:t>ramach Krajowego Mechanizmu Prewencji</w:t>
      </w:r>
      <w:r w:rsidR="00992FD0" w:rsidRPr="00EC250C">
        <w:t xml:space="preserve"> w </w:t>
      </w:r>
      <w:r w:rsidRPr="00EC250C">
        <w:t>miejscu detencji</w:t>
      </w:r>
      <w:bookmarkEnd w:id="879"/>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435"/>
        <w:gridCol w:w="7654"/>
        <w:gridCol w:w="1747"/>
      </w:tblGrid>
      <w:tr w:rsidR="00250AC8" w:rsidRPr="00EC250C" w14:paraId="722D141B" w14:textId="77777777" w:rsidTr="00B769A0">
        <w:trPr>
          <w:tblCellSpacing w:w="20" w:type="dxa"/>
        </w:trPr>
        <w:tc>
          <w:tcPr>
            <w:tcW w:w="375" w:type="dxa"/>
          </w:tcPr>
          <w:p w14:paraId="4D4D067E" w14:textId="77777777" w:rsidR="00250AC8" w:rsidRPr="00EC250C" w:rsidRDefault="00250AC8" w:rsidP="006C70B7">
            <w:pPr>
              <w:pStyle w:val="Tabela"/>
              <w:numPr>
                <w:ilvl w:val="0"/>
                <w:numId w:val="135"/>
              </w:numPr>
              <w:jc w:val="both"/>
            </w:pPr>
          </w:p>
        </w:tc>
        <w:tc>
          <w:tcPr>
            <w:tcW w:w="7614" w:type="dxa"/>
          </w:tcPr>
          <w:p w14:paraId="1EFEFF92"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Pomieszczenia dla Osób Zatrzymanych przy Komisariacie Policji Poznań-Nowe Miasto – badanie prewencyjne.</w:t>
            </w:r>
          </w:p>
        </w:tc>
        <w:tc>
          <w:tcPr>
            <w:tcW w:w="1687" w:type="dxa"/>
          </w:tcPr>
          <w:p w14:paraId="379F37D1" w14:textId="77777777" w:rsidR="00250AC8" w:rsidRPr="00EC250C" w:rsidRDefault="00250AC8" w:rsidP="00902FC6">
            <w:pPr>
              <w:pStyle w:val="Tabela"/>
              <w:rPr>
                <w:sz w:val="18"/>
                <w:szCs w:val="20"/>
              </w:rPr>
            </w:pPr>
            <w:r w:rsidRPr="00EC250C">
              <w:rPr>
                <w:sz w:val="18"/>
                <w:szCs w:val="20"/>
              </w:rPr>
              <w:t>05.02.2018</w:t>
            </w:r>
            <w:r w:rsidR="00C91F6E" w:rsidRPr="00EC250C">
              <w:rPr>
                <w:sz w:val="18"/>
                <w:szCs w:val="20"/>
              </w:rPr>
              <w:t> r.</w:t>
            </w:r>
          </w:p>
        </w:tc>
      </w:tr>
      <w:tr w:rsidR="00250AC8" w:rsidRPr="00EC250C" w14:paraId="181EBFBA" w14:textId="77777777" w:rsidTr="00B769A0">
        <w:trPr>
          <w:tblCellSpacing w:w="20" w:type="dxa"/>
        </w:trPr>
        <w:tc>
          <w:tcPr>
            <w:tcW w:w="375" w:type="dxa"/>
          </w:tcPr>
          <w:p w14:paraId="46693F14" w14:textId="77777777" w:rsidR="00250AC8" w:rsidRPr="00EC250C" w:rsidRDefault="00250AC8" w:rsidP="006C70B7">
            <w:pPr>
              <w:pStyle w:val="Tabela"/>
              <w:numPr>
                <w:ilvl w:val="0"/>
                <w:numId w:val="135"/>
              </w:numPr>
              <w:ind w:left="0" w:firstLine="0"/>
              <w:jc w:val="both"/>
            </w:pPr>
          </w:p>
        </w:tc>
        <w:tc>
          <w:tcPr>
            <w:tcW w:w="7614" w:type="dxa"/>
          </w:tcPr>
          <w:p w14:paraId="4EA5B210"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Oddział Wewnętrzny Aresztu Śledczego</w:t>
            </w:r>
            <w:r w:rsidR="00992FD0" w:rsidRPr="00EC250C">
              <w:rPr>
                <w:sz w:val="18"/>
                <w:szCs w:val="20"/>
                <w:shd w:val="clear" w:color="auto" w:fill="FFFEFE"/>
              </w:rPr>
              <w:t xml:space="preserve"> w </w:t>
            </w:r>
            <w:r w:rsidRPr="00EC250C">
              <w:rPr>
                <w:sz w:val="18"/>
                <w:szCs w:val="20"/>
                <w:shd w:val="clear" w:color="auto" w:fill="FFFEFE"/>
              </w:rPr>
              <w:t>Rosnowie – badanie prewencyjne.</w:t>
            </w:r>
          </w:p>
        </w:tc>
        <w:tc>
          <w:tcPr>
            <w:tcW w:w="1687" w:type="dxa"/>
          </w:tcPr>
          <w:p w14:paraId="45ACFACF" w14:textId="77777777" w:rsidR="00250AC8" w:rsidRPr="00EC250C" w:rsidRDefault="00250AC8" w:rsidP="00902FC6">
            <w:pPr>
              <w:pStyle w:val="Tabela"/>
              <w:rPr>
                <w:sz w:val="18"/>
                <w:szCs w:val="20"/>
              </w:rPr>
            </w:pPr>
            <w:r w:rsidRPr="00EC250C">
              <w:rPr>
                <w:sz w:val="18"/>
                <w:szCs w:val="20"/>
              </w:rPr>
              <w:t>06-07.02.2018</w:t>
            </w:r>
            <w:r w:rsidR="00C91F6E" w:rsidRPr="00EC250C">
              <w:rPr>
                <w:sz w:val="18"/>
                <w:szCs w:val="20"/>
              </w:rPr>
              <w:t> r.</w:t>
            </w:r>
          </w:p>
        </w:tc>
      </w:tr>
      <w:tr w:rsidR="00250AC8" w:rsidRPr="00EC250C" w14:paraId="5405A20E" w14:textId="77777777" w:rsidTr="00B769A0">
        <w:trPr>
          <w:tblCellSpacing w:w="20" w:type="dxa"/>
        </w:trPr>
        <w:tc>
          <w:tcPr>
            <w:tcW w:w="375" w:type="dxa"/>
          </w:tcPr>
          <w:p w14:paraId="6EAE04F4" w14:textId="77777777" w:rsidR="00250AC8" w:rsidRPr="00EC250C" w:rsidRDefault="00250AC8" w:rsidP="006C70B7">
            <w:pPr>
              <w:pStyle w:val="Tabela"/>
              <w:numPr>
                <w:ilvl w:val="0"/>
                <w:numId w:val="135"/>
              </w:numPr>
              <w:ind w:left="0" w:firstLine="0"/>
              <w:jc w:val="both"/>
            </w:pPr>
          </w:p>
        </w:tc>
        <w:tc>
          <w:tcPr>
            <w:tcW w:w="7614" w:type="dxa"/>
          </w:tcPr>
          <w:p w14:paraId="2501024C"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Izba Wytrzeźwień</w:t>
            </w:r>
            <w:r w:rsidR="00992FD0" w:rsidRPr="00EC250C">
              <w:rPr>
                <w:sz w:val="18"/>
                <w:szCs w:val="20"/>
                <w:shd w:val="clear" w:color="auto" w:fill="FFFEFE"/>
              </w:rPr>
              <w:t xml:space="preserve"> w </w:t>
            </w:r>
            <w:r w:rsidRPr="00EC250C">
              <w:rPr>
                <w:sz w:val="18"/>
                <w:szCs w:val="20"/>
                <w:shd w:val="clear" w:color="auto" w:fill="FFFEFE"/>
              </w:rPr>
              <w:t>Bydgoszczy – badanie prewencyjne.</w:t>
            </w:r>
          </w:p>
        </w:tc>
        <w:tc>
          <w:tcPr>
            <w:tcW w:w="1687" w:type="dxa"/>
          </w:tcPr>
          <w:p w14:paraId="32C1E89D" w14:textId="77777777" w:rsidR="00250AC8" w:rsidRPr="00EC250C" w:rsidRDefault="00250AC8" w:rsidP="00902FC6">
            <w:pPr>
              <w:pStyle w:val="Tabela"/>
              <w:rPr>
                <w:sz w:val="18"/>
                <w:szCs w:val="20"/>
              </w:rPr>
            </w:pPr>
            <w:r w:rsidRPr="00EC250C">
              <w:rPr>
                <w:sz w:val="18"/>
                <w:szCs w:val="20"/>
              </w:rPr>
              <w:t>19.02.2018</w:t>
            </w:r>
            <w:r w:rsidR="00C91F6E" w:rsidRPr="00EC250C">
              <w:rPr>
                <w:sz w:val="18"/>
                <w:szCs w:val="20"/>
              </w:rPr>
              <w:t> r.</w:t>
            </w:r>
          </w:p>
        </w:tc>
      </w:tr>
      <w:tr w:rsidR="00250AC8" w:rsidRPr="00EC250C" w14:paraId="30BE7EBD" w14:textId="77777777" w:rsidTr="00B769A0">
        <w:trPr>
          <w:tblCellSpacing w:w="20" w:type="dxa"/>
        </w:trPr>
        <w:tc>
          <w:tcPr>
            <w:tcW w:w="375" w:type="dxa"/>
          </w:tcPr>
          <w:p w14:paraId="7726D6D0" w14:textId="77777777" w:rsidR="00250AC8" w:rsidRPr="00EC250C" w:rsidRDefault="00250AC8" w:rsidP="006C70B7">
            <w:pPr>
              <w:pStyle w:val="Tabela"/>
              <w:numPr>
                <w:ilvl w:val="0"/>
                <w:numId w:val="135"/>
              </w:numPr>
              <w:ind w:left="0" w:firstLine="0"/>
              <w:jc w:val="both"/>
            </w:pPr>
          </w:p>
        </w:tc>
        <w:tc>
          <w:tcPr>
            <w:tcW w:w="7614" w:type="dxa"/>
          </w:tcPr>
          <w:p w14:paraId="280BE0B3" w14:textId="77777777" w:rsidR="00250AC8" w:rsidRPr="00EC250C" w:rsidRDefault="00250AC8" w:rsidP="00902FC6">
            <w:pPr>
              <w:pStyle w:val="Tabela"/>
              <w:rPr>
                <w:sz w:val="18"/>
                <w:szCs w:val="20"/>
              </w:rPr>
            </w:pPr>
            <w:r w:rsidRPr="00EC250C">
              <w:rPr>
                <w:sz w:val="18"/>
                <w:szCs w:val="20"/>
              </w:rPr>
              <w:t>Zakład Poprawczy</w:t>
            </w:r>
            <w:r w:rsidR="00992FD0" w:rsidRPr="00EC250C">
              <w:rPr>
                <w:sz w:val="18"/>
                <w:szCs w:val="20"/>
              </w:rPr>
              <w:t xml:space="preserve"> w </w:t>
            </w:r>
            <w:r w:rsidRPr="00EC250C">
              <w:rPr>
                <w:sz w:val="18"/>
                <w:szCs w:val="20"/>
              </w:rPr>
              <w:t>Koronowie</w:t>
            </w:r>
            <w:r w:rsidR="00992FD0" w:rsidRPr="00EC250C">
              <w:rPr>
                <w:sz w:val="18"/>
                <w:szCs w:val="20"/>
              </w:rPr>
              <w:t xml:space="preserve"> i </w:t>
            </w:r>
            <w:r w:rsidRPr="00EC250C">
              <w:rPr>
                <w:sz w:val="18"/>
                <w:szCs w:val="20"/>
              </w:rPr>
              <w:t>Schronisko dla Nieletnich</w:t>
            </w:r>
            <w:r w:rsidR="00992FD0" w:rsidRPr="00EC250C">
              <w:rPr>
                <w:sz w:val="18"/>
                <w:szCs w:val="20"/>
              </w:rPr>
              <w:t xml:space="preserve"> w </w:t>
            </w:r>
            <w:r w:rsidRPr="00EC250C">
              <w:rPr>
                <w:sz w:val="18"/>
                <w:szCs w:val="20"/>
              </w:rPr>
              <w:t>Koronowie – badanie prewencyjne.</w:t>
            </w:r>
          </w:p>
        </w:tc>
        <w:tc>
          <w:tcPr>
            <w:tcW w:w="1687" w:type="dxa"/>
          </w:tcPr>
          <w:p w14:paraId="6AB805AC" w14:textId="77777777" w:rsidR="00250AC8" w:rsidRPr="00EC250C" w:rsidRDefault="00250AC8" w:rsidP="00902FC6">
            <w:pPr>
              <w:pStyle w:val="Tabela"/>
              <w:rPr>
                <w:sz w:val="18"/>
                <w:szCs w:val="20"/>
              </w:rPr>
            </w:pPr>
            <w:r w:rsidRPr="00EC250C">
              <w:rPr>
                <w:sz w:val="18"/>
                <w:szCs w:val="20"/>
              </w:rPr>
              <w:t>20-21.02.2018</w:t>
            </w:r>
            <w:r w:rsidR="00C91F6E" w:rsidRPr="00EC250C">
              <w:rPr>
                <w:sz w:val="18"/>
                <w:szCs w:val="20"/>
              </w:rPr>
              <w:t> r.</w:t>
            </w:r>
          </w:p>
        </w:tc>
      </w:tr>
      <w:tr w:rsidR="00250AC8" w:rsidRPr="00EC250C" w14:paraId="49BDCF96" w14:textId="77777777" w:rsidTr="00B769A0">
        <w:trPr>
          <w:tblCellSpacing w:w="20" w:type="dxa"/>
        </w:trPr>
        <w:tc>
          <w:tcPr>
            <w:tcW w:w="375" w:type="dxa"/>
          </w:tcPr>
          <w:p w14:paraId="1710D7AD" w14:textId="77777777" w:rsidR="00250AC8" w:rsidRPr="00EC250C" w:rsidRDefault="00250AC8" w:rsidP="006C70B7">
            <w:pPr>
              <w:pStyle w:val="Tabela"/>
              <w:numPr>
                <w:ilvl w:val="0"/>
                <w:numId w:val="135"/>
              </w:numPr>
              <w:ind w:left="0" w:firstLine="0"/>
              <w:jc w:val="both"/>
            </w:pPr>
          </w:p>
        </w:tc>
        <w:tc>
          <w:tcPr>
            <w:tcW w:w="7614" w:type="dxa"/>
          </w:tcPr>
          <w:p w14:paraId="7C2ED878"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Izba Wytrzeźwień</w:t>
            </w:r>
            <w:r w:rsidR="00992FD0" w:rsidRPr="00EC250C">
              <w:rPr>
                <w:sz w:val="18"/>
                <w:szCs w:val="20"/>
                <w:shd w:val="clear" w:color="auto" w:fill="FFFEFE"/>
              </w:rPr>
              <w:t xml:space="preserve"> w </w:t>
            </w:r>
            <w:r w:rsidRPr="00EC250C">
              <w:rPr>
                <w:sz w:val="18"/>
                <w:szCs w:val="20"/>
                <w:shd w:val="clear" w:color="auto" w:fill="FFFEFE"/>
              </w:rPr>
              <w:t>Pile – badanie prewencyjne.</w:t>
            </w:r>
          </w:p>
        </w:tc>
        <w:tc>
          <w:tcPr>
            <w:tcW w:w="1687" w:type="dxa"/>
          </w:tcPr>
          <w:p w14:paraId="2C335E85" w14:textId="77777777" w:rsidR="00250AC8" w:rsidRPr="00EC250C" w:rsidRDefault="00250AC8" w:rsidP="00902FC6">
            <w:pPr>
              <w:pStyle w:val="Tabela"/>
              <w:rPr>
                <w:sz w:val="18"/>
                <w:szCs w:val="20"/>
              </w:rPr>
            </w:pPr>
            <w:r w:rsidRPr="00EC250C">
              <w:rPr>
                <w:sz w:val="18"/>
                <w:szCs w:val="20"/>
              </w:rPr>
              <w:t>26–27.02.2018</w:t>
            </w:r>
            <w:r w:rsidR="00C91F6E" w:rsidRPr="00EC250C">
              <w:rPr>
                <w:sz w:val="18"/>
                <w:szCs w:val="20"/>
              </w:rPr>
              <w:t> r.</w:t>
            </w:r>
          </w:p>
        </w:tc>
      </w:tr>
      <w:tr w:rsidR="00250AC8" w:rsidRPr="00EC250C" w14:paraId="47DE96CE" w14:textId="77777777" w:rsidTr="00B769A0">
        <w:trPr>
          <w:tblCellSpacing w:w="20" w:type="dxa"/>
        </w:trPr>
        <w:tc>
          <w:tcPr>
            <w:tcW w:w="375" w:type="dxa"/>
          </w:tcPr>
          <w:p w14:paraId="11D17AF9" w14:textId="77777777" w:rsidR="00250AC8" w:rsidRPr="00EC250C" w:rsidRDefault="00250AC8" w:rsidP="006C70B7">
            <w:pPr>
              <w:pStyle w:val="Tabela"/>
              <w:numPr>
                <w:ilvl w:val="0"/>
                <w:numId w:val="135"/>
              </w:numPr>
              <w:ind w:left="0" w:firstLine="0"/>
              <w:jc w:val="both"/>
            </w:pPr>
          </w:p>
        </w:tc>
        <w:tc>
          <w:tcPr>
            <w:tcW w:w="7614" w:type="dxa"/>
          </w:tcPr>
          <w:p w14:paraId="2C674EE4"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Dom Pomocy Społecznej</w:t>
            </w:r>
            <w:r w:rsidR="00992FD0" w:rsidRPr="00EC250C">
              <w:rPr>
                <w:sz w:val="18"/>
                <w:szCs w:val="20"/>
                <w:shd w:val="clear" w:color="auto" w:fill="FFFEFE"/>
              </w:rPr>
              <w:t xml:space="preserve"> w </w:t>
            </w:r>
            <w:r w:rsidRPr="00EC250C">
              <w:rPr>
                <w:sz w:val="18"/>
                <w:szCs w:val="20"/>
                <w:shd w:val="clear" w:color="auto" w:fill="FFFEFE"/>
              </w:rPr>
              <w:t>Pile – badanie prewencyjne.</w:t>
            </w:r>
          </w:p>
        </w:tc>
        <w:tc>
          <w:tcPr>
            <w:tcW w:w="1687" w:type="dxa"/>
          </w:tcPr>
          <w:p w14:paraId="124A4FA8" w14:textId="77777777" w:rsidR="00250AC8" w:rsidRPr="00EC250C" w:rsidRDefault="00250AC8" w:rsidP="00902FC6">
            <w:pPr>
              <w:pStyle w:val="Tabela"/>
              <w:rPr>
                <w:sz w:val="18"/>
                <w:szCs w:val="20"/>
              </w:rPr>
            </w:pPr>
            <w:r w:rsidRPr="00EC250C">
              <w:rPr>
                <w:sz w:val="18"/>
                <w:szCs w:val="20"/>
              </w:rPr>
              <w:t>28.02–01.03.2018</w:t>
            </w:r>
            <w:r w:rsidR="00C91F6E" w:rsidRPr="00EC250C">
              <w:rPr>
                <w:sz w:val="18"/>
                <w:szCs w:val="20"/>
              </w:rPr>
              <w:t> r.</w:t>
            </w:r>
          </w:p>
        </w:tc>
      </w:tr>
      <w:tr w:rsidR="00250AC8" w:rsidRPr="00EC250C" w14:paraId="5F490E11" w14:textId="77777777" w:rsidTr="00B769A0">
        <w:trPr>
          <w:tblCellSpacing w:w="20" w:type="dxa"/>
        </w:trPr>
        <w:tc>
          <w:tcPr>
            <w:tcW w:w="375" w:type="dxa"/>
          </w:tcPr>
          <w:p w14:paraId="414C2E35" w14:textId="77777777" w:rsidR="00250AC8" w:rsidRPr="00EC250C" w:rsidRDefault="00250AC8" w:rsidP="006C70B7">
            <w:pPr>
              <w:pStyle w:val="Tabela"/>
              <w:numPr>
                <w:ilvl w:val="0"/>
                <w:numId w:val="135"/>
              </w:numPr>
              <w:ind w:left="0" w:firstLine="0"/>
              <w:jc w:val="both"/>
            </w:pPr>
          </w:p>
        </w:tc>
        <w:tc>
          <w:tcPr>
            <w:tcW w:w="7614" w:type="dxa"/>
          </w:tcPr>
          <w:p w14:paraId="22958B23"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Policyjna Izba Dziecka</w:t>
            </w:r>
            <w:r w:rsidR="00992FD0" w:rsidRPr="00EC250C">
              <w:rPr>
                <w:sz w:val="18"/>
                <w:szCs w:val="20"/>
                <w:shd w:val="clear" w:color="auto" w:fill="FFFEFE"/>
              </w:rPr>
              <w:t xml:space="preserve"> w </w:t>
            </w:r>
            <w:r w:rsidRPr="00EC250C">
              <w:rPr>
                <w:sz w:val="18"/>
                <w:szCs w:val="20"/>
                <w:shd w:val="clear" w:color="auto" w:fill="FFFEFE"/>
              </w:rPr>
              <w:t>Bydgoszczy badanie prewencyjne.</w:t>
            </w:r>
          </w:p>
        </w:tc>
        <w:tc>
          <w:tcPr>
            <w:tcW w:w="1687" w:type="dxa"/>
          </w:tcPr>
          <w:p w14:paraId="5E07760F" w14:textId="77777777" w:rsidR="00250AC8" w:rsidRPr="00EC250C" w:rsidRDefault="00250AC8" w:rsidP="00902FC6">
            <w:pPr>
              <w:pStyle w:val="Tabela"/>
              <w:rPr>
                <w:sz w:val="18"/>
                <w:szCs w:val="20"/>
              </w:rPr>
            </w:pPr>
            <w:r w:rsidRPr="00EC250C">
              <w:rPr>
                <w:sz w:val="18"/>
                <w:szCs w:val="20"/>
              </w:rPr>
              <w:t>05.03.2018</w:t>
            </w:r>
            <w:r w:rsidR="00C91F6E" w:rsidRPr="00EC250C">
              <w:rPr>
                <w:sz w:val="18"/>
                <w:szCs w:val="20"/>
              </w:rPr>
              <w:t> r.</w:t>
            </w:r>
          </w:p>
        </w:tc>
      </w:tr>
      <w:tr w:rsidR="00250AC8" w:rsidRPr="00EC250C" w14:paraId="23A4B84A" w14:textId="77777777" w:rsidTr="00B769A0">
        <w:trPr>
          <w:tblCellSpacing w:w="20" w:type="dxa"/>
        </w:trPr>
        <w:tc>
          <w:tcPr>
            <w:tcW w:w="375" w:type="dxa"/>
          </w:tcPr>
          <w:p w14:paraId="10AD7C3E" w14:textId="77777777" w:rsidR="00250AC8" w:rsidRPr="00EC250C" w:rsidRDefault="00250AC8" w:rsidP="006C70B7">
            <w:pPr>
              <w:pStyle w:val="Tabela"/>
              <w:numPr>
                <w:ilvl w:val="0"/>
                <w:numId w:val="135"/>
              </w:numPr>
              <w:ind w:left="0" w:firstLine="0"/>
              <w:jc w:val="both"/>
            </w:pPr>
          </w:p>
        </w:tc>
        <w:tc>
          <w:tcPr>
            <w:tcW w:w="7614" w:type="dxa"/>
          </w:tcPr>
          <w:p w14:paraId="6A8416BC"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Dom Pomocy Społecznej</w:t>
            </w:r>
            <w:r w:rsidR="00992FD0" w:rsidRPr="00EC250C">
              <w:rPr>
                <w:sz w:val="18"/>
                <w:szCs w:val="20"/>
                <w:shd w:val="clear" w:color="auto" w:fill="FFFEFE"/>
              </w:rPr>
              <w:t xml:space="preserve"> w </w:t>
            </w:r>
            <w:r w:rsidRPr="00EC250C">
              <w:rPr>
                <w:sz w:val="18"/>
                <w:szCs w:val="20"/>
                <w:shd w:val="clear" w:color="auto" w:fill="FFFEFE"/>
              </w:rPr>
              <w:t>Chełmnie – badanie prewencyjne.</w:t>
            </w:r>
          </w:p>
        </w:tc>
        <w:tc>
          <w:tcPr>
            <w:tcW w:w="1687" w:type="dxa"/>
          </w:tcPr>
          <w:p w14:paraId="68691DAF" w14:textId="77777777" w:rsidR="00250AC8" w:rsidRPr="00EC250C" w:rsidRDefault="00250AC8" w:rsidP="00902FC6">
            <w:pPr>
              <w:pStyle w:val="Tabela"/>
              <w:rPr>
                <w:sz w:val="18"/>
                <w:szCs w:val="20"/>
              </w:rPr>
            </w:pPr>
            <w:r w:rsidRPr="00EC250C">
              <w:rPr>
                <w:sz w:val="18"/>
                <w:szCs w:val="20"/>
              </w:rPr>
              <w:t>06–08.03.2018</w:t>
            </w:r>
            <w:r w:rsidR="00C91F6E" w:rsidRPr="00EC250C">
              <w:rPr>
                <w:sz w:val="18"/>
                <w:szCs w:val="20"/>
              </w:rPr>
              <w:t> r.</w:t>
            </w:r>
          </w:p>
        </w:tc>
      </w:tr>
      <w:tr w:rsidR="00250AC8" w:rsidRPr="00EC250C" w14:paraId="489FA7F8" w14:textId="77777777" w:rsidTr="00B769A0">
        <w:trPr>
          <w:tblCellSpacing w:w="20" w:type="dxa"/>
        </w:trPr>
        <w:tc>
          <w:tcPr>
            <w:tcW w:w="375" w:type="dxa"/>
          </w:tcPr>
          <w:p w14:paraId="013EB013" w14:textId="77777777" w:rsidR="00250AC8" w:rsidRPr="00EC250C" w:rsidRDefault="00250AC8" w:rsidP="006C70B7">
            <w:pPr>
              <w:pStyle w:val="Tabela"/>
              <w:numPr>
                <w:ilvl w:val="0"/>
                <w:numId w:val="135"/>
              </w:numPr>
              <w:ind w:left="0" w:firstLine="0"/>
              <w:jc w:val="both"/>
            </w:pPr>
          </w:p>
        </w:tc>
        <w:tc>
          <w:tcPr>
            <w:tcW w:w="7614" w:type="dxa"/>
          </w:tcPr>
          <w:p w14:paraId="5CF57D6D"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Zakład Karny we Wrocławiu – badanie prewencyjne.</w:t>
            </w:r>
          </w:p>
        </w:tc>
        <w:tc>
          <w:tcPr>
            <w:tcW w:w="1687" w:type="dxa"/>
          </w:tcPr>
          <w:p w14:paraId="50D9A51A" w14:textId="77777777" w:rsidR="00250AC8" w:rsidRPr="00EC250C" w:rsidRDefault="00250AC8" w:rsidP="00902FC6">
            <w:pPr>
              <w:pStyle w:val="Tabela"/>
              <w:rPr>
                <w:sz w:val="18"/>
                <w:szCs w:val="20"/>
              </w:rPr>
            </w:pPr>
            <w:r w:rsidRPr="00EC250C">
              <w:rPr>
                <w:sz w:val="18"/>
                <w:szCs w:val="20"/>
              </w:rPr>
              <w:t>12–15.03.2018</w:t>
            </w:r>
            <w:r w:rsidR="00C91F6E" w:rsidRPr="00EC250C">
              <w:rPr>
                <w:sz w:val="18"/>
                <w:szCs w:val="20"/>
              </w:rPr>
              <w:t> r.</w:t>
            </w:r>
          </w:p>
        </w:tc>
      </w:tr>
      <w:tr w:rsidR="00250AC8" w:rsidRPr="00EC250C" w14:paraId="50833756" w14:textId="77777777" w:rsidTr="00B769A0">
        <w:trPr>
          <w:tblCellSpacing w:w="20" w:type="dxa"/>
        </w:trPr>
        <w:tc>
          <w:tcPr>
            <w:tcW w:w="375" w:type="dxa"/>
          </w:tcPr>
          <w:p w14:paraId="2FFBA08C" w14:textId="77777777" w:rsidR="00250AC8" w:rsidRPr="00EC250C" w:rsidRDefault="00250AC8" w:rsidP="006C70B7">
            <w:pPr>
              <w:pStyle w:val="Tabela"/>
              <w:numPr>
                <w:ilvl w:val="0"/>
                <w:numId w:val="135"/>
              </w:numPr>
              <w:ind w:left="0" w:firstLine="0"/>
              <w:jc w:val="both"/>
            </w:pPr>
          </w:p>
        </w:tc>
        <w:tc>
          <w:tcPr>
            <w:tcW w:w="7614" w:type="dxa"/>
          </w:tcPr>
          <w:p w14:paraId="634AF153"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Policyjna Izba Dziecka</w:t>
            </w:r>
            <w:r w:rsidR="00992FD0" w:rsidRPr="00EC250C">
              <w:rPr>
                <w:sz w:val="18"/>
                <w:szCs w:val="20"/>
                <w:shd w:val="clear" w:color="auto" w:fill="FFFEFE"/>
              </w:rPr>
              <w:t xml:space="preserve"> w </w:t>
            </w:r>
            <w:r w:rsidRPr="00EC250C">
              <w:rPr>
                <w:sz w:val="18"/>
                <w:szCs w:val="20"/>
                <w:shd w:val="clear" w:color="auto" w:fill="FFFEFE"/>
              </w:rPr>
              <w:t>Bielsku Białej – badanie prewencyjne.</w:t>
            </w:r>
          </w:p>
        </w:tc>
        <w:tc>
          <w:tcPr>
            <w:tcW w:w="1687" w:type="dxa"/>
          </w:tcPr>
          <w:p w14:paraId="4D18EE85" w14:textId="77777777" w:rsidR="00250AC8" w:rsidRPr="00EC250C" w:rsidRDefault="00250AC8" w:rsidP="00902FC6">
            <w:pPr>
              <w:pStyle w:val="Tabela"/>
              <w:rPr>
                <w:sz w:val="18"/>
                <w:szCs w:val="20"/>
              </w:rPr>
            </w:pPr>
            <w:r w:rsidRPr="00EC250C">
              <w:rPr>
                <w:sz w:val="18"/>
                <w:szCs w:val="20"/>
              </w:rPr>
              <w:t>19–20.03.2018</w:t>
            </w:r>
            <w:r w:rsidR="00C91F6E" w:rsidRPr="00EC250C">
              <w:rPr>
                <w:sz w:val="18"/>
                <w:szCs w:val="20"/>
              </w:rPr>
              <w:t> r.</w:t>
            </w:r>
          </w:p>
        </w:tc>
      </w:tr>
      <w:tr w:rsidR="00250AC8" w:rsidRPr="00EC250C" w14:paraId="674F96C6" w14:textId="77777777" w:rsidTr="00B769A0">
        <w:trPr>
          <w:tblCellSpacing w:w="20" w:type="dxa"/>
        </w:trPr>
        <w:tc>
          <w:tcPr>
            <w:tcW w:w="375" w:type="dxa"/>
          </w:tcPr>
          <w:p w14:paraId="54EEC1F9" w14:textId="77777777" w:rsidR="00250AC8" w:rsidRPr="00EC250C" w:rsidRDefault="00250AC8" w:rsidP="006C70B7">
            <w:pPr>
              <w:pStyle w:val="Tabela"/>
              <w:numPr>
                <w:ilvl w:val="0"/>
                <w:numId w:val="135"/>
              </w:numPr>
              <w:ind w:left="0" w:firstLine="0"/>
              <w:jc w:val="both"/>
            </w:pPr>
          </w:p>
        </w:tc>
        <w:tc>
          <w:tcPr>
            <w:tcW w:w="7614" w:type="dxa"/>
          </w:tcPr>
          <w:p w14:paraId="66943E3A" w14:textId="77777777" w:rsidR="00250AC8" w:rsidRPr="00EC250C" w:rsidRDefault="00250AC8" w:rsidP="00902FC6">
            <w:pPr>
              <w:pStyle w:val="Tabela"/>
              <w:rPr>
                <w:sz w:val="18"/>
                <w:szCs w:val="20"/>
              </w:rPr>
            </w:pPr>
            <w:r w:rsidRPr="00EC250C">
              <w:rPr>
                <w:sz w:val="18"/>
                <w:szCs w:val="20"/>
              </w:rPr>
              <w:t>Młodzieżowy Ośrodek Wychowawczy</w:t>
            </w:r>
            <w:r w:rsidR="00992FD0" w:rsidRPr="00EC250C">
              <w:rPr>
                <w:sz w:val="18"/>
                <w:szCs w:val="20"/>
              </w:rPr>
              <w:t xml:space="preserve"> w </w:t>
            </w:r>
            <w:r w:rsidRPr="00EC250C">
              <w:rPr>
                <w:sz w:val="18"/>
                <w:szCs w:val="20"/>
              </w:rPr>
              <w:t xml:space="preserve">Jaworzu – badanie </w:t>
            </w:r>
            <w:r w:rsidRPr="00EC250C">
              <w:rPr>
                <w:sz w:val="18"/>
                <w:szCs w:val="20"/>
              </w:rPr>
              <w:br/>
              <w:t>prewencyjne.</w:t>
            </w:r>
          </w:p>
        </w:tc>
        <w:tc>
          <w:tcPr>
            <w:tcW w:w="1687" w:type="dxa"/>
          </w:tcPr>
          <w:p w14:paraId="60242FEE" w14:textId="77777777" w:rsidR="00250AC8" w:rsidRPr="00EC250C" w:rsidRDefault="00250AC8" w:rsidP="00902FC6">
            <w:pPr>
              <w:pStyle w:val="Tabela"/>
              <w:rPr>
                <w:sz w:val="18"/>
                <w:szCs w:val="20"/>
              </w:rPr>
            </w:pPr>
            <w:r w:rsidRPr="00EC250C">
              <w:rPr>
                <w:sz w:val="18"/>
                <w:szCs w:val="20"/>
              </w:rPr>
              <w:t>21–22.03.2018</w:t>
            </w:r>
            <w:r w:rsidR="00C91F6E" w:rsidRPr="00EC250C">
              <w:rPr>
                <w:sz w:val="18"/>
                <w:szCs w:val="20"/>
              </w:rPr>
              <w:t> r.</w:t>
            </w:r>
          </w:p>
        </w:tc>
      </w:tr>
      <w:tr w:rsidR="00250AC8" w:rsidRPr="00EC250C" w14:paraId="17EEABB9" w14:textId="77777777" w:rsidTr="00B769A0">
        <w:trPr>
          <w:tblCellSpacing w:w="20" w:type="dxa"/>
        </w:trPr>
        <w:tc>
          <w:tcPr>
            <w:tcW w:w="375" w:type="dxa"/>
          </w:tcPr>
          <w:p w14:paraId="7358178C" w14:textId="77777777" w:rsidR="00250AC8" w:rsidRPr="00EC250C" w:rsidRDefault="00250AC8" w:rsidP="006C70B7">
            <w:pPr>
              <w:pStyle w:val="Tabela"/>
              <w:numPr>
                <w:ilvl w:val="0"/>
                <w:numId w:val="135"/>
              </w:numPr>
              <w:ind w:left="0" w:firstLine="0"/>
              <w:jc w:val="both"/>
            </w:pPr>
          </w:p>
        </w:tc>
        <w:tc>
          <w:tcPr>
            <w:tcW w:w="7614" w:type="dxa"/>
          </w:tcPr>
          <w:p w14:paraId="158C4C19"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Izba Zatrzymań Żandarmerii Wojskowej</w:t>
            </w:r>
            <w:r w:rsidR="00992FD0" w:rsidRPr="00EC250C">
              <w:rPr>
                <w:sz w:val="18"/>
                <w:szCs w:val="20"/>
                <w:shd w:val="clear" w:color="auto" w:fill="FFFEFE"/>
              </w:rPr>
              <w:t xml:space="preserve"> w </w:t>
            </w:r>
            <w:r w:rsidRPr="00EC250C">
              <w:rPr>
                <w:sz w:val="18"/>
                <w:szCs w:val="20"/>
                <w:shd w:val="clear" w:color="auto" w:fill="FFFEFE"/>
              </w:rPr>
              <w:t>Warszawie – badanie prewencyjne.</w:t>
            </w:r>
          </w:p>
        </w:tc>
        <w:tc>
          <w:tcPr>
            <w:tcW w:w="1687" w:type="dxa"/>
          </w:tcPr>
          <w:p w14:paraId="425026D6" w14:textId="77777777" w:rsidR="00250AC8" w:rsidRPr="00EC250C" w:rsidRDefault="00250AC8" w:rsidP="00902FC6">
            <w:pPr>
              <w:pStyle w:val="Tabela"/>
              <w:rPr>
                <w:sz w:val="18"/>
                <w:szCs w:val="20"/>
              </w:rPr>
            </w:pPr>
            <w:r w:rsidRPr="00EC250C">
              <w:rPr>
                <w:sz w:val="18"/>
                <w:szCs w:val="20"/>
              </w:rPr>
              <w:t>27.03.2018</w:t>
            </w:r>
            <w:r w:rsidR="00C91F6E" w:rsidRPr="00EC250C">
              <w:rPr>
                <w:sz w:val="18"/>
                <w:szCs w:val="20"/>
              </w:rPr>
              <w:t> r.</w:t>
            </w:r>
          </w:p>
        </w:tc>
      </w:tr>
      <w:tr w:rsidR="00250AC8" w:rsidRPr="00EC250C" w14:paraId="61C92114" w14:textId="77777777" w:rsidTr="00B769A0">
        <w:trPr>
          <w:tblCellSpacing w:w="20" w:type="dxa"/>
        </w:trPr>
        <w:tc>
          <w:tcPr>
            <w:tcW w:w="375" w:type="dxa"/>
          </w:tcPr>
          <w:p w14:paraId="3A3E92BA" w14:textId="77777777" w:rsidR="00250AC8" w:rsidRPr="00EC250C" w:rsidRDefault="00250AC8" w:rsidP="006C70B7">
            <w:pPr>
              <w:pStyle w:val="Tabela"/>
              <w:numPr>
                <w:ilvl w:val="0"/>
                <w:numId w:val="135"/>
              </w:numPr>
              <w:ind w:left="0" w:firstLine="0"/>
              <w:jc w:val="both"/>
            </w:pPr>
          </w:p>
        </w:tc>
        <w:tc>
          <w:tcPr>
            <w:tcW w:w="7614" w:type="dxa"/>
          </w:tcPr>
          <w:p w14:paraId="0D8FBE18"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Zakład Opiekuńczo-Leczniczy</w:t>
            </w:r>
            <w:r w:rsidR="00992FD0" w:rsidRPr="00EC250C">
              <w:rPr>
                <w:sz w:val="18"/>
                <w:szCs w:val="20"/>
                <w:shd w:val="clear" w:color="auto" w:fill="FFFEFE"/>
              </w:rPr>
              <w:t xml:space="preserve"> w </w:t>
            </w:r>
            <w:r w:rsidRPr="00EC250C">
              <w:rPr>
                <w:sz w:val="18"/>
                <w:szCs w:val="20"/>
                <w:shd w:val="clear" w:color="auto" w:fill="FFFEFE"/>
              </w:rPr>
              <w:t>Warszawie – badanie prewencyjne.</w:t>
            </w:r>
          </w:p>
        </w:tc>
        <w:tc>
          <w:tcPr>
            <w:tcW w:w="1687" w:type="dxa"/>
          </w:tcPr>
          <w:p w14:paraId="5E7C4DFF" w14:textId="77777777" w:rsidR="00250AC8" w:rsidRPr="00EC250C" w:rsidRDefault="00250AC8" w:rsidP="00902FC6">
            <w:pPr>
              <w:pStyle w:val="Tabela"/>
              <w:rPr>
                <w:sz w:val="18"/>
                <w:szCs w:val="20"/>
              </w:rPr>
            </w:pPr>
            <w:r w:rsidRPr="00EC250C">
              <w:rPr>
                <w:sz w:val="18"/>
                <w:szCs w:val="20"/>
              </w:rPr>
              <w:t>28–29.03.2018</w:t>
            </w:r>
            <w:r w:rsidR="00C91F6E" w:rsidRPr="00EC250C">
              <w:rPr>
                <w:sz w:val="18"/>
                <w:szCs w:val="20"/>
              </w:rPr>
              <w:t> r.</w:t>
            </w:r>
          </w:p>
        </w:tc>
      </w:tr>
      <w:tr w:rsidR="00250AC8" w:rsidRPr="00EC250C" w14:paraId="5C6E2288" w14:textId="77777777" w:rsidTr="00B769A0">
        <w:trPr>
          <w:tblCellSpacing w:w="20" w:type="dxa"/>
        </w:trPr>
        <w:tc>
          <w:tcPr>
            <w:tcW w:w="375" w:type="dxa"/>
          </w:tcPr>
          <w:p w14:paraId="7C06D640" w14:textId="77777777" w:rsidR="00250AC8" w:rsidRPr="00EC250C" w:rsidRDefault="00250AC8" w:rsidP="006C70B7">
            <w:pPr>
              <w:pStyle w:val="Tabela"/>
              <w:numPr>
                <w:ilvl w:val="0"/>
                <w:numId w:val="135"/>
              </w:numPr>
              <w:ind w:left="0" w:firstLine="0"/>
              <w:jc w:val="both"/>
            </w:pPr>
          </w:p>
        </w:tc>
        <w:tc>
          <w:tcPr>
            <w:tcW w:w="7614" w:type="dxa"/>
          </w:tcPr>
          <w:p w14:paraId="2D565B39" w14:textId="77777777" w:rsidR="00250AC8" w:rsidRPr="00EC250C" w:rsidRDefault="00250AC8" w:rsidP="00902FC6">
            <w:pPr>
              <w:pStyle w:val="Tabela"/>
              <w:rPr>
                <w:sz w:val="18"/>
                <w:szCs w:val="20"/>
              </w:rPr>
            </w:pPr>
            <w:r w:rsidRPr="00EC250C">
              <w:rPr>
                <w:sz w:val="18"/>
                <w:szCs w:val="20"/>
              </w:rPr>
              <w:t>Młodzieżowy Ośrodek Wychowawczy</w:t>
            </w:r>
            <w:r w:rsidR="00992FD0" w:rsidRPr="00EC250C">
              <w:rPr>
                <w:sz w:val="18"/>
                <w:szCs w:val="20"/>
              </w:rPr>
              <w:t xml:space="preserve"> w </w:t>
            </w:r>
            <w:r w:rsidRPr="00EC250C">
              <w:rPr>
                <w:sz w:val="18"/>
                <w:szCs w:val="20"/>
              </w:rPr>
              <w:t>Kielcach – badanie prewencyjne.</w:t>
            </w:r>
          </w:p>
        </w:tc>
        <w:tc>
          <w:tcPr>
            <w:tcW w:w="1687" w:type="dxa"/>
          </w:tcPr>
          <w:p w14:paraId="64F66ADA" w14:textId="77777777" w:rsidR="00250AC8" w:rsidRPr="00EC250C" w:rsidRDefault="00250AC8" w:rsidP="00902FC6">
            <w:pPr>
              <w:pStyle w:val="Tabela"/>
              <w:rPr>
                <w:sz w:val="18"/>
                <w:szCs w:val="20"/>
              </w:rPr>
            </w:pPr>
            <w:r w:rsidRPr="00EC250C">
              <w:rPr>
                <w:sz w:val="18"/>
                <w:szCs w:val="20"/>
              </w:rPr>
              <w:t>09–10.04.2018</w:t>
            </w:r>
            <w:r w:rsidR="00C91F6E" w:rsidRPr="00EC250C">
              <w:rPr>
                <w:sz w:val="18"/>
                <w:szCs w:val="20"/>
              </w:rPr>
              <w:t> r.</w:t>
            </w:r>
          </w:p>
        </w:tc>
      </w:tr>
      <w:tr w:rsidR="00250AC8" w:rsidRPr="00EC250C" w14:paraId="19316C78" w14:textId="77777777" w:rsidTr="00B769A0">
        <w:trPr>
          <w:tblCellSpacing w:w="20" w:type="dxa"/>
        </w:trPr>
        <w:tc>
          <w:tcPr>
            <w:tcW w:w="375" w:type="dxa"/>
          </w:tcPr>
          <w:p w14:paraId="082FA67C" w14:textId="77777777" w:rsidR="00250AC8" w:rsidRPr="00EC250C" w:rsidRDefault="00250AC8" w:rsidP="006C70B7">
            <w:pPr>
              <w:pStyle w:val="Tabela"/>
              <w:numPr>
                <w:ilvl w:val="0"/>
                <w:numId w:val="135"/>
              </w:numPr>
              <w:ind w:left="0" w:firstLine="0"/>
              <w:jc w:val="both"/>
            </w:pPr>
          </w:p>
        </w:tc>
        <w:tc>
          <w:tcPr>
            <w:tcW w:w="7614" w:type="dxa"/>
          </w:tcPr>
          <w:p w14:paraId="271285D1"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Młodzieżowy Ośrodek Wychowawczy</w:t>
            </w:r>
            <w:r w:rsidR="00992FD0" w:rsidRPr="00EC250C">
              <w:rPr>
                <w:sz w:val="18"/>
                <w:szCs w:val="20"/>
                <w:shd w:val="clear" w:color="auto" w:fill="FFFEFE"/>
              </w:rPr>
              <w:t xml:space="preserve"> w </w:t>
            </w:r>
            <w:r w:rsidRPr="00EC250C">
              <w:rPr>
                <w:sz w:val="18"/>
                <w:szCs w:val="20"/>
                <w:shd w:val="clear" w:color="auto" w:fill="FFFEFE"/>
              </w:rPr>
              <w:t>Ostrowcu Świętokrzyskim – badanie prewencyjne.</w:t>
            </w:r>
          </w:p>
        </w:tc>
        <w:tc>
          <w:tcPr>
            <w:tcW w:w="1687" w:type="dxa"/>
          </w:tcPr>
          <w:p w14:paraId="0CA46132" w14:textId="77777777" w:rsidR="00250AC8" w:rsidRPr="00EC250C" w:rsidRDefault="00250AC8" w:rsidP="00902FC6">
            <w:pPr>
              <w:pStyle w:val="Tabela"/>
              <w:rPr>
                <w:sz w:val="18"/>
                <w:szCs w:val="20"/>
              </w:rPr>
            </w:pPr>
            <w:r w:rsidRPr="00EC250C">
              <w:rPr>
                <w:sz w:val="18"/>
                <w:szCs w:val="20"/>
              </w:rPr>
              <w:t>11–12.04.2018</w:t>
            </w:r>
            <w:r w:rsidR="00C91F6E" w:rsidRPr="00EC250C">
              <w:rPr>
                <w:sz w:val="18"/>
                <w:szCs w:val="20"/>
              </w:rPr>
              <w:t> r.</w:t>
            </w:r>
          </w:p>
        </w:tc>
      </w:tr>
      <w:tr w:rsidR="00250AC8" w:rsidRPr="00EC250C" w14:paraId="5B7B38E3" w14:textId="77777777" w:rsidTr="00B769A0">
        <w:trPr>
          <w:tblCellSpacing w:w="20" w:type="dxa"/>
        </w:trPr>
        <w:tc>
          <w:tcPr>
            <w:tcW w:w="375" w:type="dxa"/>
          </w:tcPr>
          <w:p w14:paraId="181AFF01" w14:textId="77777777" w:rsidR="00250AC8" w:rsidRPr="00EC250C" w:rsidRDefault="00250AC8" w:rsidP="006C70B7">
            <w:pPr>
              <w:pStyle w:val="Tabela"/>
              <w:numPr>
                <w:ilvl w:val="0"/>
                <w:numId w:val="135"/>
              </w:numPr>
              <w:ind w:left="0" w:firstLine="0"/>
              <w:jc w:val="both"/>
            </w:pPr>
          </w:p>
        </w:tc>
        <w:tc>
          <w:tcPr>
            <w:tcW w:w="7614" w:type="dxa"/>
          </w:tcPr>
          <w:p w14:paraId="5EB580CF" w14:textId="77777777" w:rsidR="00250AC8" w:rsidRPr="00EC250C" w:rsidRDefault="00250AC8" w:rsidP="00902FC6">
            <w:pPr>
              <w:pStyle w:val="Tabela"/>
              <w:rPr>
                <w:sz w:val="18"/>
                <w:szCs w:val="20"/>
              </w:rPr>
            </w:pPr>
            <w:r w:rsidRPr="00EC250C">
              <w:rPr>
                <w:sz w:val="18"/>
                <w:szCs w:val="20"/>
              </w:rPr>
              <w:t xml:space="preserve">Pomieszczenia dla Osób Zatrzymanych Straży Granicznej </w:t>
            </w:r>
            <w:r w:rsidRPr="00EC250C">
              <w:rPr>
                <w:sz w:val="18"/>
                <w:szCs w:val="20"/>
              </w:rPr>
              <w:br/>
              <w:t>w Janowie Podlaskim – badanie prewencyjne.</w:t>
            </w:r>
          </w:p>
        </w:tc>
        <w:tc>
          <w:tcPr>
            <w:tcW w:w="1687" w:type="dxa"/>
          </w:tcPr>
          <w:p w14:paraId="741B6EEC" w14:textId="77777777" w:rsidR="00250AC8" w:rsidRPr="00EC250C" w:rsidRDefault="00250AC8" w:rsidP="00902FC6">
            <w:pPr>
              <w:pStyle w:val="Tabela"/>
              <w:rPr>
                <w:sz w:val="18"/>
                <w:szCs w:val="20"/>
              </w:rPr>
            </w:pPr>
            <w:r w:rsidRPr="00EC250C">
              <w:rPr>
                <w:sz w:val="18"/>
                <w:szCs w:val="20"/>
              </w:rPr>
              <w:t>16.04.2018</w:t>
            </w:r>
            <w:r w:rsidR="00C91F6E" w:rsidRPr="00EC250C">
              <w:rPr>
                <w:sz w:val="18"/>
                <w:szCs w:val="20"/>
              </w:rPr>
              <w:t> r.</w:t>
            </w:r>
          </w:p>
        </w:tc>
      </w:tr>
      <w:tr w:rsidR="00250AC8" w:rsidRPr="00EC250C" w14:paraId="129251D6" w14:textId="77777777" w:rsidTr="00B769A0">
        <w:trPr>
          <w:tblCellSpacing w:w="20" w:type="dxa"/>
        </w:trPr>
        <w:tc>
          <w:tcPr>
            <w:tcW w:w="375" w:type="dxa"/>
          </w:tcPr>
          <w:p w14:paraId="21423EB3" w14:textId="77777777" w:rsidR="00250AC8" w:rsidRPr="00EC250C" w:rsidRDefault="00250AC8" w:rsidP="006C70B7">
            <w:pPr>
              <w:pStyle w:val="Tabela"/>
              <w:numPr>
                <w:ilvl w:val="0"/>
                <w:numId w:val="135"/>
              </w:numPr>
              <w:ind w:left="0" w:firstLine="0"/>
              <w:jc w:val="both"/>
            </w:pPr>
          </w:p>
        </w:tc>
        <w:tc>
          <w:tcPr>
            <w:tcW w:w="7614" w:type="dxa"/>
            <w:vAlign w:val="bottom"/>
          </w:tcPr>
          <w:p w14:paraId="056C1187" w14:textId="77777777" w:rsidR="00250AC8" w:rsidRPr="00EC250C" w:rsidRDefault="00250AC8" w:rsidP="00902FC6">
            <w:pPr>
              <w:pStyle w:val="Tabela"/>
              <w:rPr>
                <w:sz w:val="18"/>
                <w:szCs w:val="20"/>
              </w:rPr>
            </w:pPr>
            <w:r w:rsidRPr="00EC250C">
              <w:rPr>
                <w:sz w:val="18"/>
                <w:szCs w:val="20"/>
              </w:rPr>
              <w:t xml:space="preserve">Pomieszczenia dla Osób Zatrzymanych Straży Granicznej </w:t>
            </w:r>
            <w:r w:rsidRPr="00EC250C">
              <w:rPr>
                <w:sz w:val="18"/>
                <w:szCs w:val="20"/>
              </w:rPr>
              <w:br/>
              <w:t>w Terespolu – badanie prewencyjne.</w:t>
            </w:r>
          </w:p>
        </w:tc>
        <w:tc>
          <w:tcPr>
            <w:tcW w:w="1687" w:type="dxa"/>
          </w:tcPr>
          <w:p w14:paraId="1DE919DF" w14:textId="77777777" w:rsidR="00250AC8" w:rsidRPr="00EC250C" w:rsidRDefault="00250AC8" w:rsidP="00902FC6">
            <w:pPr>
              <w:pStyle w:val="Tabela"/>
              <w:rPr>
                <w:sz w:val="18"/>
                <w:szCs w:val="20"/>
              </w:rPr>
            </w:pPr>
            <w:r w:rsidRPr="00EC250C">
              <w:rPr>
                <w:sz w:val="18"/>
                <w:szCs w:val="20"/>
              </w:rPr>
              <w:t>17.04.2018</w:t>
            </w:r>
            <w:r w:rsidR="00C91F6E" w:rsidRPr="00EC250C">
              <w:rPr>
                <w:sz w:val="18"/>
                <w:szCs w:val="20"/>
              </w:rPr>
              <w:t> r.</w:t>
            </w:r>
          </w:p>
        </w:tc>
      </w:tr>
      <w:tr w:rsidR="00250AC8" w:rsidRPr="00EC250C" w14:paraId="7EFC5B30" w14:textId="77777777" w:rsidTr="00B769A0">
        <w:trPr>
          <w:tblCellSpacing w:w="20" w:type="dxa"/>
        </w:trPr>
        <w:tc>
          <w:tcPr>
            <w:tcW w:w="375" w:type="dxa"/>
          </w:tcPr>
          <w:p w14:paraId="125A3FB5" w14:textId="77777777" w:rsidR="00250AC8" w:rsidRPr="00EC250C" w:rsidRDefault="00250AC8" w:rsidP="006C70B7">
            <w:pPr>
              <w:pStyle w:val="Tabela"/>
              <w:numPr>
                <w:ilvl w:val="0"/>
                <w:numId w:val="135"/>
              </w:numPr>
              <w:ind w:left="0" w:firstLine="0"/>
              <w:jc w:val="both"/>
            </w:pPr>
          </w:p>
        </w:tc>
        <w:tc>
          <w:tcPr>
            <w:tcW w:w="7614" w:type="dxa"/>
            <w:vAlign w:val="bottom"/>
          </w:tcPr>
          <w:p w14:paraId="2B4AC8BD" w14:textId="77777777" w:rsidR="00250AC8" w:rsidRPr="00EC250C" w:rsidRDefault="00250AC8" w:rsidP="00902FC6">
            <w:pPr>
              <w:pStyle w:val="Tabela"/>
              <w:rPr>
                <w:sz w:val="18"/>
                <w:szCs w:val="20"/>
              </w:rPr>
            </w:pPr>
            <w:r w:rsidRPr="00EC250C">
              <w:rPr>
                <w:sz w:val="18"/>
                <w:szCs w:val="20"/>
              </w:rPr>
              <w:t xml:space="preserve">Pomieszczenia dla Osób Zatrzymanych Straży Granicznej </w:t>
            </w:r>
            <w:r w:rsidRPr="00EC250C">
              <w:rPr>
                <w:sz w:val="18"/>
                <w:szCs w:val="20"/>
              </w:rPr>
              <w:br/>
              <w:t>w Bohukałach – badanie prewencyjne.</w:t>
            </w:r>
          </w:p>
        </w:tc>
        <w:tc>
          <w:tcPr>
            <w:tcW w:w="1687" w:type="dxa"/>
          </w:tcPr>
          <w:p w14:paraId="6F03C729" w14:textId="77777777" w:rsidR="00250AC8" w:rsidRPr="00EC250C" w:rsidRDefault="00250AC8" w:rsidP="00902FC6">
            <w:pPr>
              <w:pStyle w:val="Tabela"/>
              <w:rPr>
                <w:sz w:val="18"/>
                <w:szCs w:val="20"/>
              </w:rPr>
            </w:pPr>
            <w:r w:rsidRPr="00EC250C">
              <w:rPr>
                <w:sz w:val="18"/>
                <w:szCs w:val="20"/>
              </w:rPr>
              <w:t>18.04.2018</w:t>
            </w:r>
            <w:r w:rsidR="00C91F6E" w:rsidRPr="00EC250C">
              <w:rPr>
                <w:sz w:val="18"/>
                <w:szCs w:val="20"/>
              </w:rPr>
              <w:t> r.</w:t>
            </w:r>
          </w:p>
        </w:tc>
      </w:tr>
      <w:tr w:rsidR="00250AC8" w:rsidRPr="00EC250C" w14:paraId="7A21940C" w14:textId="77777777" w:rsidTr="00B769A0">
        <w:trPr>
          <w:tblCellSpacing w:w="20" w:type="dxa"/>
        </w:trPr>
        <w:tc>
          <w:tcPr>
            <w:tcW w:w="375" w:type="dxa"/>
          </w:tcPr>
          <w:p w14:paraId="324344D6" w14:textId="77777777" w:rsidR="00250AC8" w:rsidRPr="00EC250C" w:rsidRDefault="00250AC8" w:rsidP="006C70B7">
            <w:pPr>
              <w:pStyle w:val="Tabela"/>
              <w:numPr>
                <w:ilvl w:val="0"/>
                <w:numId w:val="135"/>
              </w:numPr>
              <w:ind w:left="0" w:firstLine="0"/>
              <w:jc w:val="both"/>
            </w:pPr>
          </w:p>
        </w:tc>
        <w:tc>
          <w:tcPr>
            <w:tcW w:w="7614" w:type="dxa"/>
            <w:vAlign w:val="bottom"/>
          </w:tcPr>
          <w:p w14:paraId="59B49E15" w14:textId="77777777" w:rsidR="00250AC8" w:rsidRPr="00EC250C" w:rsidRDefault="00250AC8" w:rsidP="00902FC6">
            <w:pPr>
              <w:pStyle w:val="Tabela"/>
              <w:rPr>
                <w:sz w:val="18"/>
                <w:szCs w:val="20"/>
              </w:rPr>
            </w:pPr>
            <w:r w:rsidRPr="00EC250C">
              <w:rPr>
                <w:sz w:val="18"/>
                <w:szCs w:val="20"/>
              </w:rPr>
              <w:t>Pomieszczenia dla Osób Zatrzymanych przy KPP</w:t>
            </w:r>
            <w:r w:rsidR="00992FD0" w:rsidRPr="00EC250C">
              <w:rPr>
                <w:sz w:val="18"/>
                <w:szCs w:val="20"/>
              </w:rPr>
              <w:t xml:space="preserve"> w </w:t>
            </w:r>
            <w:r w:rsidRPr="00EC250C">
              <w:rPr>
                <w:sz w:val="18"/>
                <w:szCs w:val="20"/>
              </w:rPr>
              <w:t>Radzyniu Podlaskim – badanie prewencyjne.</w:t>
            </w:r>
          </w:p>
        </w:tc>
        <w:tc>
          <w:tcPr>
            <w:tcW w:w="1687" w:type="dxa"/>
          </w:tcPr>
          <w:p w14:paraId="01216B64" w14:textId="77777777" w:rsidR="00250AC8" w:rsidRPr="00EC250C" w:rsidRDefault="00250AC8" w:rsidP="00902FC6">
            <w:pPr>
              <w:pStyle w:val="Tabela"/>
              <w:rPr>
                <w:sz w:val="18"/>
                <w:szCs w:val="20"/>
              </w:rPr>
            </w:pPr>
            <w:r w:rsidRPr="00EC250C">
              <w:rPr>
                <w:sz w:val="18"/>
                <w:szCs w:val="20"/>
              </w:rPr>
              <w:t>19.04.2018</w:t>
            </w:r>
            <w:r w:rsidR="00C91F6E" w:rsidRPr="00EC250C">
              <w:rPr>
                <w:sz w:val="18"/>
                <w:szCs w:val="20"/>
              </w:rPr>
              <w:t> r.</w:t>
            </w:r>
          </w:p>
        </w:tc>
      </w:tr>
      <w:tr w:rsidR="00250AC8" w:rsidRPr="00EC250C" w14:paraId="0D483DBE" w14:textId="77777777" w:rsidTr="00B769A0">
        <w:trPr>
          <w:tblCellSpacing w:w="20" w:type="dxa"/>
        </w:trPr>
        <w:tc>
          <w:tcPr>
            <w:tcW w:w="375" w:type="dxa"/>
          </w:tcPr>
          <w:p w14:paraId="75397D74" w14:textId="77777777" w:rsidR="00250AC8" w:rsidRPr="00EC250C" w:rsidRDefault="00250AC8" w:rsidP="006C70B7">
            <w:pPr>
              <w:pStyle w:val="Tabela"/>
              <w:numPr>
                <w:ilvl w:val="0"/>
                <w:numId w:val="135"/>
              </w:numPr>
              <w:ind w:left="0" w:firstLine="0"/>
              <w:jc w:val="both"/>
            </w:pPr>
          </w:p>
        </w:tc>
        <w:tc>
          <w:tcPr>
            <w:tcW w:w="7614" w:type="dxa"/>
            <w:vAlign w:val="bottom"/>
          </w:tcPr>
          <w:p w14:paraId="398EC281" w14:textId="77777777" w:rsidR="00250AC8" w:rsidRPr="00EC250C" w:rsidRDefault="00250AC8" w:rsidP="00902FC6">
            <w:pPr>
              <w:pStyle w:val="Tabela"/>
              <w:rPr>
                <w:sz w:val="18"/>
                <w:szCs w:val="20"/>
              </w:rPr>
            </w:pPr>
            <w:r w:rsidRPr="00EC250C">
              <w:rPr>
                <w:sz w:val="18"/>
                <w:szCs w:val="20"/>
              </w:rPr>
              <w:t>Pomieszczenia dla Osób Zatrzymanych przy Komendzie Powiatowej Policji</w:t>
            </w:r>
            <w:r w:rsidR="00992FD0" w:rsidRPr="00EC250C">
              <w:rPr>
                <w:sz w:val="18"/>
                <w:szCs w:val="20"/>
              </w:rPr>
              <w:t xml:space="preserve"> w </w:t>
            </w:r>
            <w:r w:rsidRPr="00EC250C">
              <w:rPr>
                <w:sz w:val="18"/>
                <w:szCs w:val="20"/>
              </w:rPr>
              <w:t>Wysokiem Mazowieckim – badanie prewencyjne.</w:t>
            </w:r>
          </w:p>
        </w:tc>
        <w:tc>
          <w:tcPr>
            <w:tcW w:w="1687" w:type="dxa"/>
          </w:tcPr>
          <w:p w14:paraId="34C88FFA" w14:textId="77777777" w:rsidR="00250AC8" w:rsidRPr="00EC250C" w:rsidRDefault="00250AC8" w:rsidP="00902FC6">
            <w:pPr>
              <w:pStyle w:val="Tabela"/>
              <w:rPr>
                <w:sz w:val="18"/>
                <w:szCs w:val="20"/>
              </w:rPr>
            </w:pPr>
            <w:r w:rsidRPr="00EC250C">
              <w:rPr>
                <w:sz w:val="18"/>
                <w:szCs w:val="20"/>
              </w:rPr>
              <w:t>23.04.2018</w:t>
            </w:r>
            <w:r w:rsidR="00C91F6E" w:rsidRPr="00EC250C">
              <w:rPr>
                <w:sz w:val="18"/>
                <w:szCs w:val="20"/>
              </w:rPr>
              <w:t> r.</w:t>
            </w:r>
          </w:p>
        </w:tc>
      </w:tr>
      <w:tr w:rsidR="00250AC8" w:rsidRPr="00EC250C" w14:paraId="218A1486" w14:textId="77777777" w:rsidTr="00B769A0">
        <w:trPr>
          <w:tblCellSpacing w:w="20" w:type="dxa"/>
        </w:trPr>
        <w:tc>
          <w:tcPr>
            <w:tcW w:w="375" w:type="dxa"/>
          </w:tcPr>
          <w:p w14:paraId="27756649" w14:textId="77777777" w:rsidR="00250AC8" w:rsidRPr="00EC250C" w:rsidRDefault="00250AC8" w:rsidP="006C70B7">
            <w:pPr>
              <w:pStyle w:val="Tabela"/>
              <w:numPr>
                <w:ilvl w:val="0"/>
                <w:numId w:val="135"/>
              </w:numPr>
              <w:ind w:left="0" w:firstLine="0"/>
              <w:jc w:val="both"/>
            </w:pPr>
          </w:p>
        </w:tc>
        <w:tc>
          <w:tcPr>
            <w:tcW w:w="7614" w:type="dxa"/>
            <w:vAlign w:val="bottom"/>
          </w:tcPr>
          <w:p w14:paraId="5DE1C434" w14:textId="77777777" w:rsidR="00250AC8" w:rsidRPr="00EC250C" w:rsidRDefault="00250AC8" w:rsidP="00902FC6">
            <w:pPr>
              <w:pStyle w:val="Tabela"/>
              <w:rPr>
                <w:sz w:val="18"/>
                <w:szCs w:val="20"/>
              </w:rPr>
            </w:pPr>
            <w:r w:rsidRPr="00EC250C">
              <w:rPr>
                <w:sz w:val="18"/>
                <w:szCs w:val="20"/>
              </w:rPr>
              <w:t>Policyjna Izba Dziecka</w:t>
            </w:r>
            <w:r w:rsidR="00992FD0" w:rsidRPr="00EC250C">
              <w:rPr>
                <w:sz w:val="18"/>
                <w:szCs w:val="20"/>
              </w:rPr>
              <w:t xml:space="preserve"> w </w:t>
            </w:r>
            <w:r w:rsidRPr="00EC250C">
              <w:rPr>
                <w:sz w:val="18"/>
                <w:szCs w:val="20"/>
              </w:rPr>
              <w:t>Białymstoku – badanie prewencyjne.</w:t>
            </w:r>
          </w:p>
        </w:tc>
        <w:tc>
          <w:tcPr>
            <w:tcW w:w="1687" w:type="dxa"/>
          </w:tcPr>
          <w:p w14:paraId="3930D5E2" w14:textId="77777777" w:rsidR="00250AC8" w:rsidRPr="00EC250C" w:rsidRDefault="00250AC8" w:rsidP="00902FC6">
            <w:pPr>
              <w:pStyle w:val="Tabela"/>
              <w:rPr>
                <w:sz w:val="18"/>
                <w:szCs w:val="20"/>
              </w:rPr>
            </w:pPr>
            <w:r w:rsidRPr="00EC250C">
              <w:rPr>
                <w:sz w:val="18"/>
                <w:szCs w:val="20"/>
              </w:rPr>
              <w:t>24–25.04.2018</w:t>
            </w:r>
            <w:r w:rsidR="00C91F6E" w:rsidRPr="00EC250C">
              <w:rPr>
                <w:sz w:val="18"/>
                <w:szCs w:val="20"/>
              </w:rPr>
              <w:t> r.</w:t>
            </w:r>
          </w:p>
        </w:tc>
      </w:tr>
      <w:tr w:rsidR="00250AC8" w:rsidRPr="00EC250C" w14:paraId="39A9FFAF" w14:textId="77777777" w:rsidTr="00B769A0">
        <w:trPr>
          <w:tblCellSpacing w:w="20" w:type="dxa"/>
        </w:trPr>
        <w:tc>
          <w:tcPr>
            <w:tcW w:w="375" w:type="dxa"/>
          </w:tcPr>
          <w:p w14:paraId="49420EDA" w14:textId="77777777" w:rsidR="00250AC8" w:rsidRPr="00EC250C" w:rsidRDefault="00250AC8" w:rsidP="006C70B7">
            <w:pPr>
              <w:pStyle w:val="Tabela"/>
              <w:numPr>
                <w:ilvl w:val="0"/>
                <w:numId w:val="135"/>
              </w:numPr>
              <w:ind w:left="0" w:firstLine="0"/>
              <w:jc w:val="both"/>
            </w:pPr>
          </w:p>
        </w:tc>
        <w:tc>
          <w:tcPr>
            <w:tcW w:w="7614" w:type="dxa"/>
            <w:vAlign w:val="bottom"/>
          </w:tcPr>
          <w:p w14:paraId="0640A78D" w14:textId="77777777" w:rsidR="00250AC8" w:rsidRPr="00EC250C" w:rsidRDefault="00250AC8" w:rsidP="00902FC6">
            <w:pPr>
              <w:pStyle w:val="Tabela"/>
              <w:rPr>
                <w:sz w:val="18"/>
                <w:szCs w:val="20"/>
              </w:rPr>
            </w:pPr>
            <w:r w:rsidRPr="00EC250C">
              <w:rPr>
                <w:sz w:val="18"/>
                <w:szCs w:val="20"/>
              </w:rPr>
              <w:t>Oddział Zewnętrzny Aresztu Śledczego</w:t>
            </w:r>
            <w:r w:rsidR="00992FD0" w:rsidRPr="00EC250C">
              <w:rPr>
                <w:sz w:val="18"/>
                <w:szCs w:val="20"/>
              </w:rPr>
              <w:t xml:space="preserve"> w </w:t>
            </w:r>
            <w:r w:rsidRPr="00EC250C">
              <w:rPr>
                <w:sz w:val="18"/>
                <w:szCs w:val="20"/>
              </w:rPr>
              <w:t>Piotrkowie Trybunalskim</w:t>
            </w:r>
            <w:r w:rsidR="00992FD0" w:rsidRPr="00EC250C">
              <w:rPr>
                <w:sz w:val="18"/>
                <w:szCs w:val="20"/>
              </w:rPr>
              <w:t xml:space="preserve"> w </w:t>
            </w:r>
            <w:r w:rsidRPr="00EC250C">
              <w:rPr>
                <w:sz w:val="18"/>
                <w:szCs w:val="20"/>
              </w:rPr>
              <w:t>Goleszach Małych – badanie prewencyjne.</w:t>
            </w:r>
          </w:p>
        </w:tc>
        <w:tc>
          <w:tcPr>
            <w:tcW w:w="1687" w:type="dxa"/>
          </w:tcPr>
          <w:p w14:paraId="79688457" w14:textId="77777777" w:rsidR="00250AC8" w:rsidRPr="00EC250C" w:rsidRDefault="00250AC8" w:rsidP="00902FC6">
            <w:pPr>
              <w:pStyle w:val="Tabela"/>
              <w:rPr>
                <w:sz w:val="18"/>
                <w:szCs w:val="20"/>
              </w:rPr>
            </w:pPr>
            <w:r w:rsidRPr="00EC250C">
              <w:rPr>
                <w:sz w:val="18"/>
                <w:szCs w:val="20"/>
              </w:rPr>
              <w:t>08.05.2018</w:t>
            </w:r>
            <w:r w:rsidR="00C91F6E" w:rsidRPr="00EC250C">
              <w:rPr>
                <w:sz w:val="18"/>
                <w:szCs w:val="20"/>
              </w:rPr>
              <w:t> r.</w:t>
            </w:r>
          </w:p>
        </w:tc>
      </w:tr>
      <w:tr w:rsidR="00250AC8" w:rsidRPr="00EC250C" w14:paraId="484FD5EB" w14:textId="77777777" w:rsidTr="00B769A0">
        <w:trPr>
          <w:tblCellSpacing w:w="20" w:type="dxa"/>
        </w:trPr>
        <w:tc>
          <w:tcPr>
            <w:tcW w:w="375" w:type="dxa"/>
          </w:tcPr>
          <w:p w14:paraId="49C29CA3" w14:textId="77777777" w:rsidR="00250AC8" w:rsidRPr="00EC250C" w:rsidRDefault="00250AC8" w:rsidP="006C70B7">
            <w:pPr>
              <w:pStyle w:val="Tabela"/>
              <w:numPr>
                <w:ilvl w:val="0"/>
                <w:numId w:val="135"/>
              </w:numPr>
              <w:ind w:left="0" w:firstLine="0"/>
              <w:jc w:val="both"/>
            </w:pPr>
          </w:p>
        </w:tc>
        <w:tc>
          <w:tcPr>
            <w:tcW w:w="7614" w:type="dxa"/>
            <w:vAlign w:val="bottom"/>
          </w:tcPr>
          <w:p w14:paraId="49FFFEAB" w14:textId="77777777" w:rsidR="00250AC8" w:rsidRPr="00EC250C" w:rsidRDefault="00250AC8" w:rsidP="00902FC6">
            <w:pPr>
              <w:pStyle w:val="Tabela"/>
              <w:rPr>
                <w:sz w:val="18"/>
                <w:szCs w:val="20"/>
              </w:rPr>
            </w:pPr>
            <w:r w:rsidRPr="00EC250C">
              <w:rPr>
                <w:sz w:val="18"/>
                <w:szCs w:val="20"/>
              </w:rPr>
              <w:t>Zakład Opiekuńczo-Leczniczy przy Szpitalu MSWiA</w:t>
            </w:r>
            <w:r w:rsidR="00992FD0" w:rsidRPr="00EC250C">
              <w:rPr>
                <w:sz w:val="18"/>
                <w:szCs w:val="20"/>
              </w:rPr>
              <w:t xml:space="preserve"> w </w:t>
            </w:r>
            <w:r w:rsidRPr="00EC250C">
              <w:rPr>
                <w:sz w:val="18"/>
                <w:szCs w:val="20"/>
              </w:rPr>
              <w:t>Łodzi – badanie prewencyjne.</w:t>
            </w:r>
          </w:p>
        </w:tc>
        <w:tc>
          <w:tcPr>
            <w:tcW w:w="1687" w:type="dxa"/>
          </w:tcPr>
          <w:p w14:paraId="7CD9BDB5" w14:textId="77777777" w:rsidR="00250AC8" w:rsidRPr="00EC250C" w:rsidRDefault="00250AC8" w:rsidP="00902FC6">
            <w:pPr>
              <w:pStyle w:val="Tabela"/>
              <w:rPr>
                <w:sz w:val="18"/>
                <w:szCs w:val="20"/>
              </w:rPr>
            </w:pPr>
            <w:r w:rsidRPr="00EC250C">
              <w:rPr>
                <w:sz w:val="18"/>
                <w:szCs w:val="20"/>
              </w:rPr>
              <w:t>09–10.05.2018</w:t>
            </w:r>
            <w:r w:rsidR="00C91F6E" w:rsidRPr="00EC250C">
              <w:rPr>
                <w:sz w:val="18"/>
                <w:szCs w:val="20"/>
              </w:rPr>
              <w:t> r.</w:t>
            </w:r>
          </w:p>
        </w:tc>
      </w:tr>
      <w:tr w:rsidR="00250AC8" w:rsidRPr="00EC250C" w14:paraId="4F237C8E" w14:textId="77777777" w:rsidTr="00B769A0">
        <w:trPr>
          <w:tblCellSpacing w:w="20" w:type="dxa"/>
        </w:trPr>
        <w:tc>
          <w:tcPr>
            <w:tcW w:w="375" w:type="dxa"/>
          </w:tcPr>
          <w:p w14:paraId="39CE7A4E" w14:textId="77777777" w:rsidR="00250AC8" w:rsidRPr="00EC250C" w:rsidRDefault="00250AC8" w:rsidP="006C70B7">
            <w:pPr>
              <w:pStyle w:val="Tabela"/>
              <w:numPr>
                <w:ilvl w:val="0"/>
                <w:numId w:val="135"/>
              </w:numPr>
              <w:ind w:left="0" w:firstLine="0"/>
              <w:jc w:val="both"/>
            </w:pPr>
          </w:p>
        </w:tc>
        <w:tc>
          <w:tcPr>
            <w:tcW w:w="7614" w:type="dxa"/>
            <w:vAlign w:val="bottom"/>
          </w:tcPr>
          <w:p w14:paraId="4136C552" w14:textId="77777777" w:rsidR="00250AC8" w:rsidRPr="00EC250C" w:rsidRDefault="00250AC8" w:rsidP="00902FC6">
            <w:pPr>
              <w:pStyle w:val="Tabela"/>
              <w:rPr>
                <w:sz w:val="18"/>
                <w:szCs w:val="20"/>
              </w:rPr>
            </w:pPr>
            <w:r w:rsidRPr="00EC250C">
              <w:rPr>
                <w:sz w:val="18"/>
                <w:szCs w:val="20"/>
              </w:rPr>
              <w:t xml:space="preserve">Placówka całodobowej opieki – Pensjonat dla Osób Starszych </w:t>
            </w:r>
            <w:r w:rsidRPr="00EC250C">
              <w:rPr>
                <w:sz w:val="18"/>
                <w:szCs w:val="20"/>
              </w:rPr>
              <w:br/>
              <w:t>w Alwerni – badanie prewencyjne.</w:t>
            </w:r>
          </w:p>
        </w:tc>
        <w:tc>
          <w:tcPr>
            <w:tcW w:w="1687" w:type="dxa"/>
          </w:tcPr>
          <w:p w14:paraId="6D3CC376" w14:textId="77777777" w:rsidR="00250AC8" w:rsidRPr="00EC250C" w:rsidRDefault="00250AC8" w:rsidP="00902FC6">
            <w:pPr>
              <w:pStyle w:val="Tabela"/>
              <w:rPr>
                <w:sz w:val="18"/>
                <w:szCs w:val="20"/>
              </w:rPr>
            </w:pPr>
            <w:r w:rsidRPr="00EC250C">
              <w:rPr>
                <w:sz w:val="18"/>
                <w:szCs w:val="20"/>
              </w:rPr>
              <w:t>14–15.05.2018</w:t>
            </w:r>
            <w:r w:rsidR="00C91F6E" w:rsidRPr="00EC250C">
              <w:rPr>
                <w:sz w:val="18"/>
                <w:szCs w:val="20"/>
              </w:rPr>
              <w:t> r.</w:t>
            </w:r>
          </w:p>
        </w:tc>
      </w:tr>
      <w:tr w:rsidR="00250AC8" w:rsidRPr="00EC250C" w14:paraId="38BB2988" w14:textId="77777777" w:rsidTr="00B769A0">
        <w:trPr>
          <w:tblCellSpacing w:w="20" w:type="dxa"/>
        </w:trPr>
        <w:tc>
          <w:tcPr>
            <w:tcW w:w="375" w:type="dxa"/>
          </w:tcPr>
          <w:p w14:paraId="1F6E22A3" w14:textId="77777777" w:rsidR="00250AC8" w:rsidRPr="00EC250C" w:rsidRDefault="00250AC8" w:rsidP="006C70B7">
            <w:pPr>
              <w:pStyle w:val="Tabela"/>
              <w:numPr>
                <w:ilvl w:val="0"/>
                <w:numId w:val="135"/>
              </w:numPr>
              <w:ind w:left="0" w:firstLine="0"/>
              <w:jc w:val="both"/>
            </w:pPr>
          </w:p>
        </w:tc>
        <w:tc>
          <w:tcPr>
            <w:tcW w:w="7614" w:type="dxa"/>
            <w:vAlign w:val="bottom"/>
          </w:tcPr>
          <w:p w14:paraId="5F3392E4" w14:textId="77777777" w:rsidR="00250AC8" w:rsidRPr="00EC250C" w:rsidRDefault="00250AC8" w:rsidP="00902FC6">
            <w:pPr>
              <w:pStyle w:val="Tabela"/>
              <w:rPr>
                <w:sz w:val="18"/>
                <w:szCs w:val="20"/>
              </w:rPr>
            </w:pPr>
            <w:r w:rsidRPr="00EC250C">
              <w:rPr>
                <w:sz w:val="18"/>
                <w:szCs w:val="20"/>
              </w:rPr>
              <w:t>Placówka całodobowej Opieki Dom Opieki „Senior”</w:t>
            </w:r>
            <w:r w:rsidR="00992FD0" w:rsidRPr="00EC250C">
              <w:rPr>
                <w:sz w:val="18"/>
                <w:szCs w:val="20"/>
              </w:rPr>
              <w:t xml:space="preserve"> w </w:t>
            </w:r>
            <w:r w:rsidRPr="00EC250C">
              <w:rPr>
                <w:sz w:val="18"/>
                <w:szCs w:val="20"/>
              </w:rPr>
              <w:t>Krakowie – badanie prewencyjne.</w:t>
            </w:r>
          </w:p>
        </w:tc>
        <w:tc>
          <w:tcPr>
            <w:tcW w:w="1687" w:type="dxa"/>
          </w:tcPr>
          <w:p w14:paraId="58972033" w14:textId="77777777" w:rsidR="00250AC8" w:rsidRPr="00EC250C" w:rsidRDefault="00250AC8" w:rsidP="00902FC6">
            <w:pPr>
              <w:pStyle w:val="Tabela"/>
              <w:rPr>
                <w:sz w:val="18"/>
                <w:szCs w:val="20"/>
              </w:rPr>
            </w:pPr>
            <w:r w:rsidRPr="00EC250C">
              <w:rPr>
                <w:sz w:val="18"/>
                <w:szCs w:val="20"/>
              </w:rPr>
              <w:t>15–16.05.2018</w:t>
            </w:r>
            <w:r w:rsidR="00C91F6E" w:rsidRPr="00EC250C">
              <w:rPr>
                <w:sz w:val="18"/>
                <w:szCs w:val="20"/>
              </w:rPr>
              <w:t> r.</w:t>
            </w:r>
          </w:p>
        </w:tc>
      </w:tr>
      <w:tr w:rsidR="00250AC8" w:rsidRPr="00EC250C" w14:paraId="60B30529" w14:textId="77777777" w:rsidTr="00B769A0">
        <w:trPr>
          <w:tblCellSpacing w:w="20" w:type="dxa"/>
        </w:trPr>
        <w:tc>
          <w:tcPr>
            <w:tcW w:w="375" w:type="dxa"/>
          </w:tcPr>
          <w:p w14:paraId="7F351A8C" w14:textId="77777777" w:rsidR="00250AC8" w:rsidRPr="00EC250C" w:rsidRDefault="00250AC8" w:rsidP="006C70B7">
            <w:pPr>
              <w:pStyle w:val="Tabela"/>
              <w:numPr>
                <w:ilvl w:val="0"/>
                <w:numId w:val="135"/>
              </w:numPr>
              <w:ind w:left="0" w:firstLine="0"/>
              <w:jc w:val="both"/>
            </w:pPr>
          </w:p>
        </w:tc>
        <w:tc>
          <w:tcPr>
            <w:tcW w:w="7614" w:type="dxa"/>
            <w:vAlign w:val="bottom"/>
          </w:tcPr>
          <w:p w14:paraId="33486C63" w14:textId="77777777" w:rsidR="00250AC8" w:rsidRPr="00EC250C" w:rsidRDefault="00250AC8" w:rsidP="00902FC6">
            <w:pPr>
              <w:pStyle w:val="Tabela"/>
              <w:rPr>
                <w:sz w:val="18"/>
                <w:szCs w:val="20"/>
              </w:rPr>
            </w:pPr>
            <w:r w:rsidRPr="00EC250C">
              <w:rPr>
                <w:sz w:val="18"/>
                <w:szCs w:val="20"/>
              </w:rPr>
              <w:t>Dom Pomocy Społecznej</w:t>
            </w:r>
            <w:r w:rsidR="00992FD0" w:rsidRPr="00EC250C">
              <w:rPr>
                <w:sz w:val="18"/>
                <w:szCs w:val="20"/>
              </w:rPr>
              <w:t xml:space="preserve"> w </w:t>
            </w:r>
            <w:r w:rsidRPr="00EC250C">
              <w:rPr>
                <w:sz w:val="18"/>
                <w:szCs w:val="20"/>
              </w:rPr>
              <w:t>Ciechanowie – badanie prewencyjne.</w:t>
            </w:r>
          </w:p>
        </w:tc>
        <w:tc>
          <w:tcPr>
            <w:tcW w:w="1687" w:type="dxa"/>
          </w:tcPr>
          <w:p w14:paraId="7C72F1CB" w14:textId="77777777" w:rsidR="00250AC8" w:rsidRPr="00EC250C" w:rsidRDefault="00250AC8" w:rsidP="00902FC6">
            <w:pPr>
              <w:pStyle w:val="Tabela"/>
              <w:rPr>
                <w:sz w:val="18"/>
                <w:szCs w:val="20"/>
              </w:rPr>
            </w:pPr>
            <w:r w:rsidRPr="00EC250C">
              <w:rPr>
                <w:sz w:val="18"/>
                <w:szCs w:val="20"/>
              </w:rPr>
              <w:t>24–25.05.2018</w:t>
            </w:r>
            <w:r w:rsidR="00C91F6E" w:rsidRPr="00EC250C">
              <w:rPr>
                <w:sz w:val="18"/>
                <w:szCs w:val="20"/>
              </w:rPr>
              <w:t> r.</w:t>
            </w:r>
          </w:p>
        </w:tc>
      </w:tr>
      <w:tr w:rsidR="00250AC8" w:rsidRPr="00EC250C" w14:paraId="337D13A3" w14:textId="77777777" w:rsidTr="00B769A0">
        <w:trPr>
          <w:tblCellSpacing w:w="20" w:type="dxa"/>
        </w:trPr>
        <w:tc>
          <w:tcPr>
            <w:tcW w:w="375" w:type="dxa"/>
          </w:tcPr>
          <w:p w14:paraId="4ED9DF05" w14:textId="77777777" w:rsidR="00250AC8" w:rsidRPr="00EC250C" w:rsidRDefault="00250AC8" w:rsidP="006C70B7">
            <w:pPr>
              <w:pStyle w:val="Tabela"/>
              <w:numPr>
                <w:ilvl w:val="0"/>
                <w:numId w:val="135"/>
              </w:numPr>
              <w:ind w:left="0" w:firstLine="0"/>
              <w:jc w:val="both"/>
            </w:pPr>
          </w:p>
        </w:tc>
        <w:tc>
          <w:tcPr>
            <w:tcW w:w="7614" w:type="dxa"/>
            <w:vAlign w:val="bottom"/>
          </w:tcPr>
          <w:p w14:paraId="174D9697" w14:textId="77777777" w:rsidR="00250AC8" w:rsidRPr="00EC250C" w:rsidRDefault="00250AC8" w:rsidP="00902FC6">
            <w:pPr>
              <w:pStyle w:val="Tabela"/>
              <w:rPr>
                <w:sz w:val="18"/>
                <w:szCs w:val="20"/>
              </w:rPr>
            </w:pPr>
            <w:r w:rsidRPr="00EC250C">
              <w:rPr>
                <w:sz w:val="18"/>
                <w:szCs w:val="20"/>
              </w:rPr>
              <w:t>Pomieszczenia dla Osób Zatrzymanych przy Komendzie Powiatowej Policji we Włoszczowej – badanie prewencyjne.</w:t>
            </w:r>
          </w:p>
        </w:tc>
        <w:tc>
          <w:tcPr>
            <w:tcW w:w="1687" w:type="dxa"/>
          </w:tcPr>
          <w:p w14:paraId="1696D52E" w14:textId="77777777" w:rsidR="00250AC8" w:rsidRPr="00EC250C" w:rsidRDefault="00250AC8" w:rsidP="00902FC6">
            <w:pPr>
              <w:pStyle w:val="Tabela"/>
              <w:rPr>
                <w:sz w:val="18"/>
                <w:szCs w:val="20"/>
              </w:rPr>
            </w:pPr>
            <w:r w:rsidRPr="00EC250C">
              <w:rPr>
                <w:sz w:val="18"/>
                <w:szCs w:val="20"/>
              </w:rPr>
              <w:t>28.05.2018</w:t>
            </w:r>
            <w:r w:rsidR="00C91F6E" w:rsidRPr="00EC250C">
              <w:rPr>
                <w:sz w:val="18"/>
                <w:szCs w:val="20"/>
              </w:rPr>
              <w:t> r.</w:t>
            </w:r>
          </w:p>
        </w:tc>
      </w:tr>
      <w:tr w:rsidR="00250AC8" w:rsidRPr="00EC250C" w14:paraId="53670837" w14:textId="77777777" w:rsidTr="00B769A0">
        <w:trPr>
          <w:tblCellSpacing w:w="20" w:type="dxa"/>
        </w:trPr>
        <w:tc>
          <w:tcPr>
            <w:tcW w:w="375" w:type="dxa"/>
          </w:tcPr>
          <w:p w14:paraId="60672A75" w14:textId="77777777" w:rsidR="00250AC8" w:rsidRPr="00EC250C" w:rsidRDefault="00250AC8" w:rsidP="006C70B7">
            <w:pPr>
              <w:pStyle w:val="Tabela"/>
              <w:numPr>
                <w:ilvl w:val="0"/>
                <w:numId w:val="135"/>
              </w:numPr>
              <w:ind w:left="0" w:firstLine="0"/>
              <w:jc w:val="both"/>
            </w:pPr>
          </w:p>
        </w:tc>
        <w:tc>
          <w:tcPr>
            <w:tcW w:w="7614" w:type="dxa"/>
            <w:vAlign w:val="bottom"/>
          </w:tcPr>
          <w:p w14:paraId="70D4A6F6" w14:textId="77777777" w:rsidR="00250AC8" w:rsidRPr="00EC250C" w:rsidRDefault="00250AC8" w:rsidP="00902FC6">
            <w:pPr>
              <w:pStyle w:val="Tabela"/>
              <w:rPr>
                <w:sz w:val="18"/>
                <w:szCs w:val="20"/>
              </w:rPr>
            </w:pPr>
            <w:r w:rsidRPr="00EC250C">
              <w:rPr>
                <w:sz w:val="18"/>
                <w:szCs w:val="20"/>
              </w:rPr>
              <w:t>Młodzieżowy Ośrodek Wychowawczy</w:t>
            </w:r>
            <w:r w:rsidR="00992FD0" w:rsidRPr="00EC250C">
              <w:rPr>
                <w:sz w:val="18"/>
                <w:szCs w:val="20"/>
              </w:rPr>
              <w:t xml:space="preserve"> w </w:t>
            </w:r>
            <w:r w:rsidRPr="00EC250C">
              <w:rPr>
                <w:sz w:val="18"/>
                <w:szCs w:val="20"/>
              </w:rPr>
              <w:t>Zawichoście – badanie prewencyjne.</w:t>
            </w:r>
          </w:p>
        </w:tc>
        <w:tc>
          <w:tcPr>
            <w:tcW w:w="1687" w:type="dxa"/>
          </w:tcPr>
          <w:p w14:paraId="2916311E" w14:textId="77777777" w:rsidR="00250AC8" w:rsidRPr="00EC250C" w:rsidRDefault="00250AC8" w:rsidP="00902FC6">
            <w:pPr>
              <w:pStyle w:val="Tabela"/>
              <w:rPr>
                <w:sz w:val="18"/>
                <w:szCs w:val="20"/>
              </w:rPr>
            </w:pPr>
            <w:r w:rsidRPr="00EC250C">
              <w:rPr>
                <w:sz w:val="18"/>
                <w:szCs w:val="20"/>
              </w:rPr>
              <w:t>29–30.05.2018</w:t>
            </w:r>
            <w:r w:rsidR="00C91F6E" w:rsidRPr="00EC250C">
              <w:rPr>
                <w:sz w:val="18"/>
                <w:szCs w:val="20"/>
              </w:rPr>
              <w:t> r.</w:t>
            </w:r>
          </w:p>
        </w:tc>
      </w:tr>
      <w:tr w:rsidR="00250AC8" w:rsidRPr="00EC250C" w14:paraId="524DB19D" w14:textId="77777777" w:rsidTr="00B769A0">
        <w:trPr>
          <w:tblCellSpacing w:w="20" w:type="dxa"/>
        </w:trPr>
        <w:tc>
          <w:tcPr>
            <w:tcW w:w="375" w:type="dxa"/>
          </w:tcPr>
          <w:p w14:paraId="32B3084A" w14:textId="77777777" w:rsidR="00250AC8" w:rsidRPr="00EC250C" w:rsidRDefault="00250AC8" w:rsidP="006C70B7">
            <w:pPr>
              <w:pStyle w:val="Tabela"/>
              <w:numPr>
                <w:ilvl w:val="0"/>
                <w:numId w:val="135"/>
              </w:numPr>
              <w:ind w:left="0" w:firstLine="0"/>
              <w:jc w:val="both"/>
            </w:pPr>
          </w:p>
        </w:tc>
        <w:tc>
          <w:tcPr>
            <w:tcW w:w="7614" w:type="dxa"/>
            <w:vAlign w:val="bottom"/>
          </w:tcPr>
          <w:p w14:paraId="1951BE5A" w14:textId="77777777" w:rsidR="00250AC8" w:rsidRPr="00EC250C" w:rsidRDefault="00250AC8" w:rsidP="00902FC6">
            <w:pPr>
              <w:pStyle w:val="Tabela"/>
              <w:rPr>
                <w:sz w:val="18"/>
                <w:szCs w:val="20"/>
              </w:rPr>
            </w:pPr>
            <w:r w:rsidRPr="00EC250C">
              <w:rPr>
                <w:sz w:val="18"/>
                <w:szCs w:val="20"/>
              </w:rPr>
              <w:t>Pomieszczenia dla Osób Zatrzymanych przy Komendzie Powiatowej Policji</w:t>
            </w:r>
            <w:r w:rsidR="00992FD0" w:rsidRPr="00EC250C">
              <w:rPr>
                <w:sz w:val="18"/>
                <w:szCs w:val="20"/>
              </w:rPr>
              <w:t xml:space="preserve"> w </w:t>
            </w:r>
            <w:r w:rsidRPr="00EC250C">
              <w:rPr>
                <w:sz w:val="18"/>
                <w:szCs w:val="20"/>
              </w:rPr>
              <w:t>Złotoryi – badanie prewencyjne.</w:t>
            </w:r>
          </w:p>
        </w:tc>
        <w:tc>
          <w:tcPr>
            <w:tcW w:w="1687" w:type="dxa"/>
          </w:tcPr>
          <w:p w14:paraId="70003066" w14:textId="77777777" w:rsidR="00250AC8" w:rsidRPr="00EC250C" w:rsidRDefault="00250AC8" w:rsidP="00902FC6">
            <w:pPr>
              <w:pStyle w:val="Tabela"/>
              <w:rPr>
                <w:sz w:val="18"/>
                <w:szCs w:val="20"/>
              </w:rPr>
            </w:pPr>
            <w:r w:rsidRPr="00EC250C">
              <w:rPr>
                <w:sz w:val="18"/>
                <w:szCs w:val="20"/>
              </w:rPr>
              <w:t>04.06.2018</w:t>
            </w:r>
            <w:r w:rsidR="00C91F6E" w:rsidRPr="00EC250C">
              <w:rPr>
                <w:sz w:val="18"/>
                <w:szCs w:val="20"/>
              </w:rPr>
              <w:t> r.</w:t>
            </w:r>
          </w:p>
        </w:tc>
      </w:tr>
      <w:tr w:rsidR="00250AC8" w:rsidRPr="00EC250C" w14:paraId="6FC89C25" w14:textId="77777777" w:rsidTr="00B769A0">
        <w:trPr>
          <w:tblCellSpacing w:w="20" w:type="dxa"/>
        </w:trPr>
        <w:tc>
          <w:tcPr>
            <w:tcW w:w="375" w:type="dxa"/>
          </w:tcPr>
          <w:p w14:paraId="09A3B7EB" w14:textId="77777777" w:rsidR="00250AC8" w:rsidRPr="00EC250C" w:rsidRDefault="00250AC8" w:rsidP="006C70B7">
            <w:pPr>
              <w:pStyle w:val="Tabela"/>
              <w:numPr>
                <w:ilvl w:val="0"/>
                <w:numId w:val="135"/>
              </w:numPr>
              <w:ind w:left="0" w:firstLine="0"/>
              <w:jc w:val="both"/>
            </w:pPr>
          </w:p>
        </w:tc>
        <w:tc>
          <w:tcPr>
            <w:tcW w:w="7614" w:type="dxa"/>
            <w:vAlign w:val="bottom"/>
          </w:tcPr>
          <w:p w14:paraId="68D36AB7" w14:textId="77777777" w:rsidR="00250AC8" w:rsidRPr="00EC250C" w:rsidRDefault="00250AC8" w:rsidP="00902FC6">
            <w:pPr>
              <w:pStyle w:val="Tabela"/>
              <w:rPr>
                <w:sz w:val="18"/>
                <w:szCs w:val="20"/>
              </w:rPr>
            </w:pPr>
            <w:r w:rsidRPr="00EC250C">
              <w:rPr>
                <w:sz w:val="18"/>
                <w:szCs w:val="20"/>
              </w:rPr>
              <w:t>Wojewódzki Szpital Psychiatryczny</w:t>
            </w:r>
            <w:r w:rsidR="00992FD0" w:rsidRPr="00EC250C">
              <w:rPr>
                <w:sz w:val="18"/>
                <w:szCs w:val="20"/>
              </w:rPr>
              <w:t xml:space="preserve"> w </w:t>
            </w:r>
            <w:r w:rsidRPr="00EC250C">
              <w:rPr>
                <w:sz w:val="18"/>
                <w:szCs w:val="20"/>
              </w:rPr>
              <w:t>Złotoryi – badanie prewencyjne.</w:t>
            </w:r>
          </w:p>
        </w:tc>
        <w:tc>
          <w:tcPr>
            <w:tcW w:w="1687" w:type="dxa"/>
          </w:tcPr>
          <w:p w14:paraId="11B1DF1A" w14:textId="77777777" w:rsidR="00250AC8" w:rsidRPr="00EC250C" w:rsidRDefault="00250AC8" w:rsidP="00902FC6">
            <w:pPr>
              <w:pStyle w:val="Tabela"/>
              <w:rPr>
                <w:sz w:val="18"/>
                <w:szCs w:val="20"/>
              </w:rPr>
            </w:pPr>
            <w:r w:rsidRPr="00EC250C">
              <w:rPr>
                <w:sz w:val="18"/>
                <w:szCs w:val="20"/>
              </w:rPr>
              <w:t>05–07.06.2018</w:t>
            </w:r>
            <w:r w:rsidR="00C91F6E" w:rsidRPr="00EC250C">
              <w:rPr>
                <w:sz w:val="18"/>
                <w:szCs w:val="20"/>
              </w:rPr>
              <w:t> r.</w:t>
            </w:r>
          </w:p>
        </w:tc>
      </w:tr>
      <w:tr w:rsidR="00250AC8" w:rsidRPr="00EC250C" w14:paraId="2F835E50" w14:textId="77777777" w:rsidTr="00B769A0">
        <w:trPr>
          <w:tblCellSpacing w:w="20" w:type="dxa"/>
        </w:trPr>
        <w:tc>
          <w:tcPr>
            <w:tcW w:w="375" w:type="dxa"/>
          </w:tcPr>
          <w:p w14:paraId="7E1B1E04" w14:textId="77777777" w:rsidR="00250AC8" w:rsidRPr="00EC250C" w:rsidRDefault="00250AC8" w:rsidP="006C70B7">
            <w:pPr>
              <w:pStyle w:val="Tabela"/>
              <w:numPr>
                <w:ilvl w:val="0"/>
                <w:numId w:val="135"/>
              </w:numPr>
              <w:ind w:left="0" w:firstLine="0"/>
              <w:jc w:val="both"/>
            </w:pPr>
          </w:p>
        </w:tc>
        <w:tc>
          <w:tcPr>
            <w:tcW w:w="7614" w:type="dxa"/>
            <w:vAlign w:val="bottom"/>
          </w:tcPr>
          <w:p w14:paraId="715B72EA" w14:textId="77777777" w:rsidR="00250AC8" w:rsidRPr="00EC250C" w:rsidRDefault="00250AC8" w:rsidP="00902FC6">
            <w:pPr>
              <w:pStyle w:val="Tabela"/>
              <w:rPr>
                <w:sz w:val="18"/>
                <w:szCs w:val="20"/>
              </w:rPr>
            </w:pPr>
            <w:r w:rsidRPr="00EC250C">
              <w:rPr>
                <w:sz w:val="18"/>
                <w:szCs w:val="20"/>
              </w:rPr>
              <w:t>Policyjna Izba Dziecka</w:t>
            </w:r>
            <w:r w:rsidR="00992FD0" w:rsidRPr="00EC250C">
              <w:rPr>
                <w:sz w:val="18"/>
                <w:szCs w:val="20"/>
              </w:rPr>
              <w:t xml:space="preserve"> w </w:t>
            </w:r>
            <w:r w:rsidRPr="00EC250C">
              <w:rPr>
                <w:sz w:val="18"/>
                <w:szCs w:val="20"/>
              </w:rPr>
              <w:t>Gdańsku – badanie prewencyjne.</w:t>
            </w:r>
          </w:p>
        </w:tc>
        <w:tc>
          <w:tcPr>
            <w:tcW w:w="1687" w:type="dxa"/>
          </w:tcPr>
          <w:p w14:paraId="5C5477C3" w14:textId="77777777" w:rsidR="00250AC8" w:rsidRPr="00EC250C" w:rsidRDefault="00250AC8" w:rsidP="00902FC6">
            <w:pPr>
              <w:pStyle w:val="Tabela"/>
              <w:rPr>
                <w:sz w:val="18"/>
                <w:szCs w:val="20"/>
              </w:rPr>
            </w:pPr>
            <w:r w:rsidRPr="00EC250C">
              <w:rPr>
                <w:sz w:val="18"/>
                <w:szCs w:val="20"/>
              </w:rPr>
              <w:t>11.06.2018</w:t>
            </w:r>
            <w:r w:rsidR="00C91F6E" w:rsidRPr="00EC250C">
              <w:rPr>
                <w:sz w:val="18"/>
                <w:szCs w:val="20"/>
              </w:rPr>
              <w:t> r.</w:t>
            </w:r>
          </w:p>
        </w:tc>
      </w:tr>
      <w:tr w:rsidR="00250AC8" w:rsidRPr="00EC250C" w14:paraId="5B027FAB" w14:textId="77777777" w:rsidTr="00B769A0">
        <w:trPr>
          <w:tblCellSpacing w:w="20" w:type="dxa"/>
        </w:trPr>
        <w:tc>
          <w:tcPr>
            <w:tcW w:w="375" w:type="dxa"/>
          </w:tcPr>
          <w:p w14:paraId="5DC6012C" w14:textId="77777777" w:rsidR="00250AC8" w:rsidRPr="00EC250C" w:rsidRDefault="00250AC8" w:rsidP="006C70B7">
            <w:pPr>
              <w:pStyle w:val="Tabela"/>
              <w:numPr>
                <w:ilvl w:val="0"/>
                <w:numId w:val="135"/>
              </w:numPr>
              <w:ind w:left="0" w:firstLine="0"/>
              <w:jc w:val="both"/>
            </w:pPr>
          </w:p>
        </w:tc>
        <w:tc>
          <w:tcPr>
            <w:tcW w:w="7614" w:type="dxa"/>
            <w:vAlign w:val="bottom"/>
          </w:tcPr>
          <w:p w14:paraId="1027D439" w14:textId="77777777" w:rsidR="00250AC8" w:rsidRPr="00EC250C" w:rsidRDefault="00250AC8" w:rsidP="00902FC6">
            <w:pPr>
              <w:pStyle w:val="Tabela"/>
              <w:rPr>
                <w:sz w:val="18"/>
                <w:szCs w:val="20"/>
              </w:rPr>
            </w:pPr>
            <w:r w:rsidRPr="00EC250C">
              <w:rPr>
                <w:sz w:val="18"/>
                <w:szCs w:val="20"/>
              </w:rPr>
              <w:t>Pomieszczenia dla Osób Zatrzymanych przy Komendzie Miejskiej Policji</w:t>
            </w:r>
            <w:r w:rsidR="00992FD0" w:rsidRPr="00EC250C">
              <w:rPr>
                <w:sz w:val="18"/>
                <w:szCs w:val="20"/>
              </w:rPr>
              <w:t xml:space="preserve"> w </w:t>
            </w:r>
            <w:r w:rsidRPr="00EC250C">
              <w:rPr>
                <w:sz w:val="18"/>
                <w:szCs w:val="20"/>
              </w:rPr>
              <w:t>Gdańsku – badanie prewencyjne.</w:t>
            </w:r>
          </w:p>
        </w:tc>
        <w:tc>
          <w:tcPr>
            <w:tcW w:w="1687" w:type="dxa"/>
          </w:tcPr>
          <w:p w14:paraId="63053D03" w14:textId="77777777" w:rsidR="00250AC8" w:rsidRPr="00EC250C" w:rsidRDefault="00250AC8" w:rsidP="00902FC6">
            <w:pPr>
              <w:pStyle w:val="Tabela"/>
              <w:rPr>
                <w:sz w:val="18"/>
                <w:szCs w:val="20"/>
              </w:rPr>
            </w:pPr>
            <w:r w:rsidRPr="00EC250C">
              <w:rPr>
                <w:sz w:val="18"/>
                <w:szCs w:val="20"/>
              </w:rPr>
              <w:t>12.06.2018</w:t>
            </w:r>
            <w:r w:rsidR="00C91F6E" w:rsidRPr="00EC250C">
              <w:rPr>
                <w:sz w:val="18"/>
                <w:szCs w:val="20"/>
              </w:rPr>
              <w:t> r.</w:t>
            </w:r>
          </w:p>
        </w:tc>
      </w:tr>
      <w:tr w:rsidR="00250AC8" w:rsidRPr="00EC250C" w14:paraId="4D36B5F9" w14:textId="77777777" w:rsidTr="00B769A0">
        <w:trPr>
          <w:tblCellSpacing w:w="20" w:type="dxa"/>
        </w:trPr>
        <w:tc>
          <w:tcPr>
            <w:tcW w:w="375" w:type="dxa"/>
          </w:tcPr>
          <w:p w14:paraId="09E8AC53" w14:textId="77777777" w:rsidR="00250AC8" w:rsidRPr="00EC250C" w:rsidRDefault="00250AC8" w:rsidP="006C70B7">
            <w:pPr>
              <w:pStyle w:val="Tabela"/>
              <w:numPr>
                <w:ilvl w:val="0"/>
                <w:numId w:val="135"/>
              </w:numPr>
              <w:ind w:left="0" w:firstLine="0"/>
              <w:jc w:val="both"/>
            </w:pPr>
          </w:p>
        </w:tc>
        <w:tc>
          <w:tcPr>
            <w:tcW w:w="7614" w:type="dxa"/>
            <w:vAlign w:val="bottom"/>
          </w:tcPr>
          <w:p w14:paraId="3E27A087" w14:textId="77777777" w:rsidR="00250AC8" w:rsidRPr="00EC250C" w:rsidRDefault="00250AC8" w:rsidP="00902FC6">
            <w:pPr>
              <w:pStyle w:val="Tabela"/>
              <w:rPr>
                <w:sz w:val="18"/>
                <w:szCs w:val="20"/>
              </w:rPr>
            </w:pPr>
            <w:r w:rsidRPr="00EC250C">
              <w:rPr>
                <w:sz w:val="18"/>
                <w:szCs w:val="20"/>
              </w:rPr>
              <w:t>Pomieszczenia dla Osób Zatrzymanych przy Komendzie Miejskiej Policji</w:t>
            </w:r>
            <w:r w:rsidR="00992FD0" w:rsidRPr="00EC250C">
              <w:rPr>
                <w:sz w:val="18"/>
                <w:szCs w:val="20"/>
              </w:rPr>
              <w:t xml:space="preserve"> w </w:t>
            </w:r>
            <w:r w:rsidRPr="00EC250C">
              <w:rPr>
                <w:sz w:val="18"/>
                <w:szCs w:val="20"/>
              </w:rPr>
              <w:t>Sopocie – badanie prewencyjne.</w:t>
            </w:r>
          </w:p>
        </w:tc>
        <w:tc>
          <w:tcPr>
            <w:tcW w:w="1687" w:type="dxa"/>
          </w:tcPr>
          <w:p w14:paraId="1146339D" w14:textId="77777777" w:rsidR="00250AC8" w:rsidRPr="00EC250C" w:rsidRDefault="00250AC8" w:rsidP="00902FC6">
            <w:pPr>
              <w:pStyle w:val="Tabela"/>
              <w:rPr>
                <w:sz w:val="18"/>
                <w:szCs w:val="20"/>
              </w:rPr>
            </w:pPr>
            <w:r w:rsidRPr="00EC250C">
              <w:rPr>
                <w:sz w:val="18"/>
                <w:szCs w:val="20"/>
              </w:rPr>
              <w:t>13.06.2018</w:t>
            </w:r>
            <w:r w:rsidR="00C91F6E" w:rsidRPr="00EC250C">
              <w:rPr>
                <w:sz w:val="18"/>
                <w:szCs w:val="20"/>
              </w:rPr>
              <w:t> r.</w:t>
            </w:r>
          </w:p>
        </w:tc>
      </w:tr>
      <w:tr w:rsidR="00250AC8" w:rsidRPr="00EC250C" w14:paraId="6F0270F8" w14:textId="77777777" w:rsidTr="00B769A0">
        <w:trPr>
          <w:tblCellSpacing w:w="20" w:type="dxa"/>
        </w:trPr>
        <w:tc>
          <w:tcPr>
            <w:tcW w:w="375" w:type="dxa"/>
          </w:tcPr>
          <w:p w14:paraId="46EFE42E" w14:textId="77777777" w:rsidR="00250AC8" w:rsidRPr="00EC250C" w:rsidRDefault="00250AC8" w:rsidP="006C70B7">
            <w:pPr>
              <w:pStyle w:val="Tabela"/>
              <w:numPr>
                <w:ilvl w:val="0"/>
                <w:numId w:val="135"/>
              </w:numPr>
              <w:ind w:left="0" w:firstLine="0"/>
              <w:jc w:val="both"/>
            </w:pPr>
          </w:p>
        </w:tc>
        <w:tc>
          <w:tcPr>
            <w:tcW w:w="7614" w:type="dxa"/>
            <w:vAlign w:val="bottom"/>
          </w:tcPr>
          <w:p w14:paraId="7C118090" w14:textId="77777777" w:rsidR="00250AC8" w:rsidRPr="00EC250C" w:rsidRDefault="00250AC8" w:rsidP="00902FC6">
            <w:pPr>
              <w:pStyle w:val="Tabela"/>
              <w:rPr>
                <w:sz w:val="18"/>
                <w:szCs w:val="20"/>
              </w:rPr>
            </w:pPr>
            <w:r w:rsidRPr="00EC250C">
              <w:rPr>
                <w:sz w:val="18"/>
                <w:szCs w:val="20"/>
              </w:rPr>
              <w:t>Szpital Psychiatryczny</w:t>
            </w:r>
            <w:r w:rsidR="00992FD0" w:rsidRPr="00EC250C">
              <w:rPr>
                <w:sz w:val="18"/>
                <w:szCs w:val="20"/>
              </w:rPr>
              <w:t xml:space="preserve"> w </w:t>
            </w:r>
            <w:r w:rsidRPr="00EC250C">
              <w:rPr>
                <w:sz w:val="18"/>
                <w:szCs w:val="20"/>
              </w:rPr>
              <w:t>Toszku – badanie prewencyjne.</w:t>
            </w:r>
          </w:p>
        </w:tc>
        <w:tc>
          <w:tcPr>
            <w:tcW w:w="1687" w:type="dxa"/>
          </w:tcPr>
          <w:p w14:paraId="467E1BEF" w14:textId="77777777" w:rsidR="00250AC8" w:rsidRPr="00EC250C" w:rsidRDefault="00250AC8" w:rsidP="00902FC6">
            <w:pPr>
              <w:pStyle w:val="Tabela"/>
              <w:rPr>
                <w:sz w:val="18"/>
                <w:szCs w:val="20"/>
              </w:rPr>
            </w:pPr>
            <w:r w:rsidRPr="00EC250C">
              <w:rPr>
                <w:sz w:val="18"/>
                <w:szCs w:val="20"/>
              </w:rPr>
              <w:t>18–20.06.2018</w:t>
            </w:r>
            <w:r w:rsidR="00C91F6E" w:rsidRPr="00EC250C">
              <w:rPr>
                <w:sz w:val="18"/>
                <w:szCs w:val="20"/>
              </w:rPr>
              <w:t> r.</w:t>
            </w:r>
          </w:p>
        </w:tc>
      </w:tr>
      <w:tr w:rsidR="00250AC8" w:rsidRPr="00EC250C" w14:paraId="1638459E" w14:textId="77777777" w:rsidTr="00B769A0">
        <w:trPr>
          <w:tblCellSpacing w:w="20" w:type="dxa"/>
        </w:trPr>
        <w:tc>
          <w:tcPr>
            <w:tcW w:w="375" w:type="dxa"/>
          </w:tcPr>
          <w:p w14:paraId="4BB4CF6E" w14:textId="77777777" w:rsidR="00250AC8" w:rsidRPr="00EC250C" w:rsidRDefault="00250AC8" w:rsidP="006C70B7">
            <w:pPr>
              <w:pStyle w:val="Tabela"/>
              <w:numPr>
                <w:ilvl w:val="0"/>
                <w:numId w:val="135"/>
              </w:numPr>
              <w:ind w:left="0" w:firstLine="0"/>
              <w:jc w:val="both"/>
            </w:pPr>
          </w:p>
        </w:tc>
        <w:tc>
          <w:tcPr>
            <w:tcW w:w="7614" w:type="dxa"/>
            <w:vAlign w:val="bottom"/>
          </w:tcPr>
          <w:p w14:paraId="72869A2E" w14:textId="77777777" w:rsidR="00250AC8" w:rsidRPr="00EC250C" w:rsidRDefault="00250AC8" w:rsidP="00902FC6">
            <w:pPr>
              <w:pStyle w:val="Tabela"/>
              <w:rPr>
                <w:sz w:val="18"/>
                <w:szCs w:val="20"/>
              </w:rPr>
            </w:pPr>
            <w:r w:rsidRPr="00EC250C">
              <w:rPr>
                <w:sz w:val="18"/>
                <w:szCs w:val="20"/>
              </w:rPr>
              <w:t>Policyjna Izba Dziecka</w:t>
            </w:r>
            <w:r w:rsidR="00992FD0" w:rsidRPr="00EC250C">
              <w:rPr>
                <w:sz w:val="18"/>
                <w:szCs w:val="20"/>
              </w:rPr>
              <w:t xml:space="preserve"> w </w:t>
            </w:r>
            <w:r w:rsidRPr="00EC250C">
              <w:rPr>
                <w:sz w:val="18"/>
                <w:szCs w:val="20"/>
              </w:rPr>
              <w:t>Opolu – badanie</w:t>
            </w:r>
            <w:r w:rsidR="00992FD0" w:rsidRPr="00EC250C">
              <w:rPr>
                <w:sz w:val="18"/>
                <w:szCs w:val="20"/>
              </w:rPr>
              <w:t xml:space="preserve"> w </w:t>
            </w:r>
            <w:r w:rsidRPr="00EC250C">
              <w:rPr>
                <w:sz w:val="18"/>
                <w:szCs w:val="20"/>
              </w:rPr>
              <w:t>ramach Krajowego Mechanizmu Prewencji (z udziałem KMP</w:t>
            </w:r>
            <w:r w:rsidR="00992FD0" w:rsidRPr="00EC250C">
              <w:rPr>
                <w:sz w:val="18"/>
                <w:szCs w:val="20"/>
              </w:rPr>
              <w:t xml:space="preserve"> z </w:t>
            </w:r>
            <w:r w:rsidRPr="00EC250C">
              <w:rPr>
                <w:sz w:val="18"/>
                <w:szCs w:val="20"/>
              </w:rPr>
              <w:t xml:space="preserve">Kosowa) – badanie prewencyjne. </w:t>
            </w:r>
          </w:p>
        </w:tc>
        <w:tc>
          <w:tcPr>
            <w:tcW w:w="1687" w:type="dxa"/>
          </w:tcPr>
          <w:p w14:paraId="30D5D424" w14:textId="77777777" w:rsidR="00250AC8" w:rsidRPr="00EC250C" w:rsidRDefault="00250AC8" w:rsidP="00902FC6">
            <w:pPr>
              <w:pStyle w:val="Tabela"/>
              <w:rPr>
                <w:sz w:val="18"/>
                <w:szCs w:val="20"/>
              </w:rPr>
            </w:pPr>
            <w:r w:rsidRPr="00EC250C">
              <w:rPr>
                <w:sz w:val="18"/>
                <w:szCs w:val="20"/>
              </w:rPr>
              <w:t>21.06.2018</w:t>
            </w:r>
            <w:r w:rsidR="00C91F6E" w:rsidRPr="00EC250C">
              <w:rPr>
                <w:sz w:val="18"/>
                <w:szCs w:val="20"/>
              </w:rPr>
              <w:t> r.</w:t>
            </w:r>
          </w:p>
        </w:tc>
      </w:tr>
      <w:tr w:rsidR="00250AC8" w:rsidRPr="00EC250C" w14:paraId="30ADC6D7" w14:textId="77777777" w:rsidTr="00B769A0">
        <w:trPr>
          <w:tblCellSpacing w:w="20" w:type="dxa"/>
        </w:trPr>
        <w:tc>
          <w:tcPr>
            <w:tcW w:w="375" w:type="dxa"/>
          </w:tcPr>
          <w:p w14:paraId="07D37E64" w14:textId="77777777" w:rsidR="00250AC8" w:rsidRPr="00EC250C" w:rsidRDefault="00250AC8" w:rsidP="006C70B7">
            <w:pPr>
              <w:pStyle w:val="Tabela"/>
              <w:numPr>
                <w:ilvl w:val="0"/>
                <w:numId w:val="135"/>
              </w:numPr>
              <w:ind w:left="0" w:firstLine="0"/>
              <w:jc w:val="both"/>
            </w:pPr>
          </w:p>
        </w:tc>
        <w:tc>
          <w:tcPr>
            <w:tcW w:w="7614" w:type="dxa"/>
            <w:vAlign w:val="bottom"/>
          </w:tcPr>
          <w:p w14:paraId="57A47A73" w14:textId="77777777" w:rsidR="00250AC8" w:rsidRPr="00EC250C" w:rsidRDefault="00250AC8" w:rsidP="00902FC6">
            <w:pPr>
              <w:pStyle w:val="Tabela"/>
              <w:rPr>
                <w:sz w:val="18"/>
                <w:szCs w:val="20"/>
              </w:rPr>
            </w:pPr>
            <w:r w:rsidRPr="00EC250C">
              <w:rPr>
                <w:sz w:val="18"/>
                <w:szCs w:val="20"/>
              </w:rPr>
              <w:t>Oddział Zewnętrzny Aresztu Śledczego</w:t>
            </w:r>
            <w:r w:rsidR="00992FD0" w:rsidRPr="00EC250C">
              <w:rPr>
                <w:sz w:val="18"/>
                <w:szCs w:val="20"/>
              </w:rPr>
              <w:t xml:space="preserve"> w </w:t>
            </w:r>
            <w:r w:rsidRPr="00EC250C">
              <w:rPr>
                <w:sz w:val="18"/>
                <w:szCs w:val="20"/>
              </w:rPr>
              <w:t>Warszawie – Białołęka (z udziałem KMP</w:t>
            </w:r>
            <w:r w:rsidR="00992FD0" w:rsidRPr="00EC250C">
              <w:rPr>
                <w:sz w:val="18"/>
                <w:szCs w:val="20"/>
              </w:rPr>
              <w:t xml:space="preserve"> z </w:t>
            </w:r>
            <w:r w:rsidRPr="00EC250C">
              <w:rPr>
                <w:sz w:val="18"/>
                <w:szCs w:val="20"/>
              </w:rPr>
              <w:t>Kosowa) – badanie prewencyjne.</w:t>
            </w:r>
          </w:p>
        </w:tc>
        <w:tc>
          <w:tcPr>
            <w:tcW w:w="1687" w:type="dxa"/>
          </w:tcPr>
          <w:p w14:paraId="5BFA697D" w14:textId="77777777" w:rsidR="00250AC8" w:rsidRPr="00EC250C" w:rsidRDefault="00250AC8" w:rsidP="00902FC6">
            <w:pPr>
              <w:pStyle w:val="Tabela"/>
              <w:rPr>
                <w:sz w:val="18"/>
                <w:szCs w:val="20"/>
              </w:rPr>
            </w:pPr>
            <w:r w:rsidRPr="00EC250C">
              <w:rPr>
                <w:sz w:val="18"/>
                <w:szCs w:val="20"/>
              </w:rPr>
              <w:t>25.06.2018</w:t>
            </w:r>
            <w:r w:rsidR="00C91F6E" w:rsidRPr="00EC250C">
              <w:rPr>
                <w:sz w:val="18"/>
                <w:szCs w:val="20"/>
              </w:rPr>
              <w:t> r.</w:t>
            </w:r>
          </w:p>
        </w:tc>
      </w:tr>
      <w:tr w:rsidR="00250AC8" w:rsidRPr="00EC250C" w14:paraId="05A672F1" w14:textId="77777777" w:rsidTr="00B769A0">
        <w:trPr>
          <w:tblCellSpacing w:w="20" w:type="dxa"/>
        </w:trPr>
        <w:tc>
          <w:tcPr>
            <w:tcW w:w="375" w:type="dxa"/>
          </w:tcPr>
          <w:p w14:paraId="15B1E533" w14:textId="77777777" w:rsidR="00250AC8" w:rsidRPr="00EC250C" w:rsidRDefault="00250AC8" w:rsidP="006C70B7">
            <w:pPr>
              <w:pStyle w:val="Tabela"/>
              <w:numPr>
                <w:ilvl w:val="0"/>
                <w:numId w:val="135"/>
              </w:numPr>
              <w:ind w:left="0" w:firstLine="0"/>
              <w:jc w:val="both"/>
            </w:pPr>
          </w:p>
        </w:tc>
        <w:tc>
          <w:tcPr>
            <w:tcW w:w="7614" w:type="dxa"/>
            <w:vAlign w:val="bottom"/>
          </w:tcPr>
          <w:p w14:paraId="64B286C1" w14:textId="77777777" w:rsidR="00250AC8" w:rsidRPr="00EC250C" w:rsidRDefault="00250AC8" w:rsidP="00902FC6">
            <w:pPr>
              <w:pStyle w:val="Tabela"/>
              <w:rPr>
                <w:sz w:val="18"/>
                <w:szCs w:val="20"/>
              </w:rPr>
            </w:pPr>
            <w:r w:rsidRPr="00EC250C">
              <w:rPr>
                <w:sz w:val="18"/>
                <w:szCs w:val="20"/>
              </w:rPr>
              <w:t>Szpital Wolski</w:t>
            </w:r>
            <w:r w:rsidR="00992FD0" w:rsidRPr="00EC250C">
              <w:rPr>
                <w:sz w:val="18"/>
                <w:szCs w:val="20"/>
              </w:rPr>
              <w:t xml:space="preserve"> w </w:t>
            </w:r>
            <w:r w:rsidRPr="00EC250C">
              <w:rPr>
                <w:sz w:val="18"/>
                <w:szCs w:val="20"/>
              </w:rPr>
              <w:t>Warszawie – Kliniczny Oddział Psychiatryczny (z udziałem KMP</w:t>
            </w:r>
            <w:r w:rsidR="00992FD0" w:rsidRPr="00EC250C">
              <w:rPr>
                <w:sz w:val="18"/>
                <w:szCs w:val="20"/>
              </w:rPr>
              <w:t xml:space="preserve"> z </w:t>
            </w:r>
            <w:r w:rsidRPr="00EC250C">
              <w:rPr>
                <w:sz w:val="18"/>
                <w:szCs w:val="20"/>
              </w:rPr>
              <w:t>Kosowa) – badanie prewencyjne.</w:t>
            </w:r>
          </w:p>
        </w:tc>
        <w:tc>
          <w:tcPr>
            <w:tcW w:w="1687" w:type="dxa"/>
          </w:tcPr>
          <w:p w14:paraId="2FE880EB" w14:textId="77777777" w:rsidR="00250AC8" w:rsidRPr="00EC250C" w:rsidRDefault="00250AC8" w:rsidP="00902FC6">
            <w:pPr>
              <w:pStyle w:val="Tabela"/>
              <w:rPr>
                <w:sz w:val="18"/>
                <w:szCs w:val="20"/>
              </w:rPr>
            </w:pPr>
            <w:r w:rsidRPr="00EC250C">
              <w:rPr>
                <w:sz w:val="18"/>
                <w:szCs w:val="20"/>
              </w:rPr>
              <w:t>26.06.2018</w:t>
            </w:r>
            <w:r w:rsidR="00C91F6E" w:rsidRPr="00EC250C">
              <w:rPr>
                <w:sz w:val="18"/>
                <w:szCs w:val="20"/>
              </w:rPr>
              <w:t> r.</w:t>
            </w:r>
          </w:p>
        </w:tc>
      </w:tr>
      <w:tr w:rsidR="00250AC8" w:rsidRPr="00EC250C" w14:paraId="1DA9B4B6" w14:textId="77777777" w:rsidTr="00B769A0">
        <w:trPr>
          <w:tblCellSpacing w:w="20" w:type="dxa"/>
        </w:trPr>
        <w:tc>
          <w:tcPr>
            <w:tcW w:w="375" w:type="dxa"/>
          </w:tcPr>
          <w:p w14:paraId="5D944A89" w14:textId="77777777" w:rsidR="00250AC8" w:rsidRPr="00EC250C" w:rsidRDefault="00250AC8" w:rsidP="006C70B7">
            <w:pPr>
              <w:pStyle w:val="Tabela"/>
              <w:numPr>
                <w:ilvl w:val="0"/>
                <w:numId w:val="135"/>
              </w:numPr>
              <w:ind w:left="0" w:firstLine="0"/>
              <w:jc w:val="both"/>
            </w:pPr>
          </w:p>
        </w:tc>
        <w:tc>
          <w:tcPr>
            <w:tcW w:w="7614" w:type="dxa"/>
          </w:tcPr>
          <w:p w14:paraId="1CFC5272" w14:textId="77777777" w:rsidR="00250AC8" w:rsidRPr="00EC250C" w:rsidRDefault="00250AC8" w:rsidP="00902FC6">
            <w:pPr>
              <w:pStyle w:val="Tabela"/>
              <w:rPr>
                <w:sz w:val="18"/>
                <w:szCs w:val="20"/>
              </w:rPr>
            </w:pPr>
            <w:r w:rsidRPr="00EC250C">
              <w:rPr>
                <w:sz w:val="18"/>
                <w:szCs w:val="20"/>
              </w:rPr>
              <w:t>Komisariat Policji Warszawa-Śródmieście (Warszawa I)</w:t>
            </w:r>
            <w:r w:rsidR="00992FD0" w:rsidRPr="00EC250C">
              <w:rPr>
                <w:sz w:val="18"/>
                <w:szCs w:val="20"/>
              </w:rPr>
              <w:t xml:space="preserve"> z </w:t>
            </w:r>
            <w:r w:rsidRPr="00EC250C">
              <w:rPr>
                <w:sz w:val="18"/>
                <w:szCs w:val="20"/>
              </w:rPr>
              <w:t xml:space="preserve">udziałem </w:t>
            </w:r>
            <w:r w:rsidR="003C397F" w:rsidRPr="00EC250C">
              <w:rPr>
                <w:sz w:val="18"/>
                <w:szCs w:val="20"/>
              </w:rPr>
              <w:t>zastępczyni</w:t>
            </w:r>
            <w:r w:rsidRPr="00EC250C">
              <w:rPr>
                <w:sz w:val="18"/>
                <w:szCs w:val="20"/>
              </w:rPr>
              <w:t xml:space="preserve"> RPO Hanny Machińskiej oraz przedstawicieli Podkomitetu ONZ ds. Prewencji Tortur (SPT – badanie prewencyjne).</w:t>
            </w:r>
          </w:p>
        </w:tc>
        <w:tc>
          <w:tcPr>
            <w:tcW w:w="1687" w:type="dxa"/>
          </w:tcPr>
          <w:p w14:paraId="16F3AFBD" w14:textId="77777777" w:rsidR="00250AC8" w:rsidRPr="00EC250C" w:rsidRDefault="00250AC8" w:rsidP="00902FC6">
            <w:pPr>
              <w:pStyle w:val="Tabela"/>
              <w:rPr>
                <w:sz w:val="18"/>
                <w:szCs w:val="20"/>
              </w:rPr>
            </w:pPr>
            <w:r w:rsidRPr="00EC250C">
              <w:rPr>
                <w:sz w:val="18"/>
                <w:szCs w:val="20"/>
              </w:rPr>
              <w:t>10.07.2018</w:t>
            </w:r>
            <w:r w:rsidR="00C91F6E" w:rsidRPr="00EC250C">
              <w:rPr>
                <w:sz w:val="18"/>
                <w:szCs w:val="20"/>
              </w:rPr>
              <w:t> r.</w:t>
            </w:r>
          </w:p>
        </w:tc>
      </w:tr>
      <w:tr w:rsidR="00250AC8" w:rsidRPr="00EC250C" w14:paraId="197D0111" w14:textId="77777777" w:rsidTr="00B769A0">
        <w:trPr>
          <w:tblCellSpacing w:w="20" w:type="dxa"/>
        </w:trPr>
        <w:tc>
          <w:tcPr>
            <w:tcW w:w="375" w:type="dxa"/>
          </w:tcPr>
          <w:p w14:paraId="128675CC" w14:textId="77777777" w:rsidR="00250AC8" w:rsidRPr="00EC250C" w:rsidRDefault="00250AC8" w:rsidP="006C70B7">
            <w:pPr>
              <w:pStyle w:val="Tabela"/>
              <w:numPr>
                <w:ilvl w:val="0"/>
                <w:numId w:val="135"/>
              </w:numPr>
              <w:ind w:left="0" w:firstLine="0"/>
              <w:jc w:val="both"/>
            </w:pPr>
          </w:p>
        </w:tc>
        <w:tc>
          <w:tcPr>
            <w:tcW w:w="7614" w:type="dxa"/>
          </w:tcPr>
          <w:p w14:paraId="4B61D81E"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Komisariat Policji Warszawa-Żoliborz (Warszawa V) – badanie prewencyjne.</w:t>
            </w:r>
          </w:p>
        </w:tc>
        <w:tc>
          <w:tcPr>
            <w:tcW w:w="1687" w:type="dxa"/>
          </w:tcPr>
          <w:p w14:paraId="03ACDBE8" w14:textId="77777777" w:rsidR="00250AC8" w:rsidRPr="00EC250C" w:rsidRDefault="00250AC8" w:rsidP="00902FC6">
            <w:pPr>
              <w:pStyle w:val="Tabela"/>
              <w:rPr>
                <w:sz w:val="18"/>
                <w:szCs w:val="20"/>
              </w:rPr>
            </w:pPr>
            <w:r w:rsidRPr="00EC250C">
              <w:rPr>
                <w:sz w:val="18"/>
                <w:szCs w:val="20"/>
              </w:rPr>
              <w:t>11.07.2018</w:t>
            </w:r>
            <w:r w:rsidR="00C91F6E" w:rsidRPr="00EC250C">
              <w:rPr>
                <w:sz w:val="18"/>
                <w:szCs w:val="20"/>
              </w:rPr>
              <w:t> r.</w:t>
            </w:r>
          </w:p>
        </w:tc>
      </w:tr>
      <w:tr w:rsidR="00250AC8" w:rsidRPr="00EC250C" w14:paraId="2EA1D0E9" w14:textId="77777777" w:rsidTr="00B769A0">
        <w:trPr>
          <w:tblCellSpacing w:w="20" w:type="dxa"/>
        </w:trPr>
        <w:tc>
          <w:tcPr>
            <w:tcW w:w="375" w:type="dxa"/>
          </w:tcPr>
          <w:p w14:paraId="6B9E9BFA" w14:textId="77777777" w:rsidR="00250AC8" w:rsidRPr="00EC250C" w:rsidRDefault="00250AC8" w:rsidP="006C70B7">
            <w:pPr>
              <w:pStyle w:val="Tabela"/>
              <w:numPr>
                <w:ilvl w:val="0"/>
                <w:numId w:val="135"/>
              </w:numPr>
              <w:ind w:left="0" w:firstLine="0"/>
              <w:jc w:val="both"/>
            </w:pPr>
          </w:p>
        </w:tc>
        <w:tc>
          <w:tcPr>
            <w:tcW w:w="7614" w:type="dxa"/>
          </w:tcPr>
          <w:p w14:paraId="3ED2A581" w14:textId="77777777" w:rsidR="00250AC8" w:rsidRPr="00EC250C" w:rsidRDefault="00250AC8" w:rsidP="00902FC6">
            <w:pPr>
              <w:pStyle w:val="Tabela"/>
              <w:rPr>
                <w:sz w:val="18"/>
                <w:szCs w:val="20"/>
              </w:rPr>
            </w:pPr>
            <w:r w:rsidRPr="00EC250C">
              <w:rPr>
                <w:sz w:val="18"/>
                <w:szCs w:val="20"/>
              </w:rPr>
              <w:t>Strzeżony Ośrodek dla Cudzoziemców</w:t>
            </w:r>
            <w:r w:rsidR="00992FD0" w:rsidRPr="00EC250C">
              <w:rPr>
                <w:sz w:val="18"/>
                <w:szCs w:val="20"/>
              </w:rPr>
              <w:t xml:space="preserve"> w </w:t>
            </w:r>
            <w:r w:rsidRPr="00EC250C">
              <w:rPr>
                <w:sz w:val="18"/>
                <w:szCs w:val="20"/>
              </w:rPr>
              <w:t>Lesznowoli – badanie prewencyjne.</w:t>
            </w:r>
          </w:p>
        </w:tc>
        <w:tc>
          <w:tcPr>
            <w:tcW w:w="1687" w:type="dxa"/>
          </w:tcPr>
          <w:p w14:paraId="32241E0E" w14:textId="77777777" w:rsidR="00250AC8" w:rsidRPr="00EC250C" w:rsidRDefault="00250AC8" w:rsidP="00902FC6">
            <w:pPr>
              <w:pStyle w:val="Tabela"/>
              <w:rPr>
                <w:sz w:val="18"/>
                <w:szCs w:val="20"/>
              </w:rPr>
            </w:pPr>
            <w:r w:rsidRPr="00EC250C">
              <w:rPr>
                <w:sz w:val="18"/>
                <w:szCs w:val="20"/>
              </w:rPr>
              <w:t>16–17.07.2018</w:t>
            </w:r>
            <w:r w:rsidR="00C91F6E" w:rsidRPr="00EC250C">
              <w:rPr>
                <w:sz w:val="18"/>
                <w:szCs w:val="20"/>
              </w:rPr>
              <w:t> r.</w:t>
            </w:r>
          </w:p>
        </w:tc>
      </w:tr>
      <w:tr w:rsidR="00250AC8" w:rsidRPr="00EC250C" w14:paraId="57A3BEB4" w14:textId="77777777" w:rsidTr="00B769A0">
        <w:trPr>
          <w:tblCellSpacing w:w="20" w:type="dxa"/>
        </w:trPr>
        <w:tc>
          <w:tcPr>
            <w:tcW w:w="375" w:type="dxa"/>
          </w:tcPr>
          <w:p w14:paraId="10D83B9C" w14:textId="77777777" w:rsidR="00250AC8" w:rsidRPr="00EC250C" w:rsidRDefault="00250AC8" w:rsidP="006C70B7">
            <w:pPr>
              <w:pStyle w:val="Tabela"/>
              <w:numPr>
                <w:ilvl w:val="0"/>
                <w:numId w:val="135"/>
              </w:numPr>
              <w:ind w:left="0" w:firstLine="0"/>
              <w:jc w:val="both"/>
            </w:pPr>
          </w:p>
        </w:tc>
        <w:tc>
          <w:tcPr>
            <w:tcW w:w="7614" w:type="dxa"/>
          </w:tcPr>
          <w:p w14:paraId="527395A7" w14:textId="77777777" w:rsidR="00250AC8" w:rsidRPr="00EC250C" w:rsidRDefault="00250AC8" w:rsidP="00902FC6">
            <w:pPr>
              <w:pStyle w:val="Tabela"/>
              <w:rPr>
                <w:sz w:val="18"/>
                <w:szCs w:val="20"/>
              </w:rPr>
            </w:pPr>
            <w:r w:rsidRPr="00EC250C">
              <w:rPr>
                <w:sz w:val="18"/>
                <w:szCs w:val="20"/>
              </w:rPr>
              <w:t>Strzeżony Ośrodek dla Cudzoziemców</w:t>
            </w:r>
            <w:r w:rsidR="00992FD0" w:rsidRPr="00EC250C">
              <w:rPr>
                <w:sz w:val="18"/>
                <w:szCs w:val="20"/>
              </w:rPr>
              <w:t xml:space="preserve"> w </w:t>
            </w:r>
            <w:r w:rsidRPr="00EC250C">
              <w:rPr>
                <w:sz w:val="18"/>
                <w:szCs w:val="20"/>
              </w:rPr>
              <w:t>Białej Podlaskiej – badanie prewencyjne.</w:t>
            </w:r>
          </w:p>
        </w:tc>
        <w:tc>
          <w:tcPr>
            <w:tcW w:w="1687" w:type="dxa"/>
          </w:tcPr>
          <w:p w14:paraId="37411A89" w14:textId="77777777" w:rsidR="00250AC8" w:rsidRPr="00EC250C" w:rsidRDefault="00250AC8" w:rsidP="00902FC6">
            <w:pPr>
              <w:pStyle w:val="Tabela"/>
              <w:rPr>
                <w:sz w:val="18"/>
                <w:szCs w:val="20"/>
              </w:rPr>
            </w:pPr>
            <w:r w:rsidRPr="00EC250C">
              <w:rPr>
                <w:sz w:val="18"/>
                <w:szCs w:val="20"/>
              </w:rPr>
              <w:t>18–19.07.2018</w:t>
            </w:r>
            <w:r w:rsidR="00C91F6E" w:rsidRPr="00EC250C">
              <w:rPr>
                <w:sz w:val="18"/>
                <w:szCs w:val="20"/>
              </w:rPr>
              <w:t> r.</w:t>
            </w:r>
          </w:p>
        </w:tc>
      </w:tr>
      <w:tr w:rsidR="00250AC8" w:rsidRPr="00EC250C" w14:paraId="3F6D1D1C" w14:textId="77777777" w:rsidTr="00B769A0">
        <w:trPr>
          <w:tblCellSpacing w:w="20" w:type="dxa"/>
        </w:trPr>
        <w:tc>
          <w:tcPr>
            <w:tcW w:w="375" w:type="dxa"/>
          </w:tcPr>
          <w:p w14:paraId="3FD7DD6D" w14:textId="77777777" w:rsidR="00250AC8" w:rsidRPr="00EC250C" w:rsidRDefault="00250AC8" w:rsidP="006C70B7">
            <w:pPr>
              <w:pStyle w:val="Tabela"/>
              <w:numPr>
                <w:ilvl w:val="0"/>
                <w:numId w:val="135"/>
              </w:numPr>
              <w:ind w:left="0" w:firstLine="0"/>
              <w:jc w:val="both"/>
            </w:pPr>
          </w:p>
        </w:tc>
        <w:tc>
          <w:tcPr>
            <w:tcW w:w="7614" w:type="dxa"/>
            <w:vAlign w:val="bottom"/>
          </w:tcPr>
          <w:p w14:paraId="575676DD" w14:textId="77777777" w:rsidR="00250AC8" w:rsidRPr="00EC250C" w:rsidRDefault="00250AC8" w:rsidP="00902FC6">
            <w:pPr>
              <w:pStyle w:val="Tabela"/>
              <w:rPr>
                <w:sz w:val="18"/>
                <w:szCs w:val="20"/>
              </w:rPr>
            </w:pPr>
            <w:r w:rsidRPr="00EC250C">
              <w:rPr>
                <w:sz w:val="18"/>
                <w:szCs w:val="20"/>
              </w:rPr>
              <w:t>Dom Pomocy Społecznej „Kombatant”</w:t>
            </w:r>
            <w:r w:rsidR="00992FD0" w:rsidRPr="00EC250C">
              <w:rPr>
                <w:sz w:val="18"/>
                <w:szCs w:val="20"/>
              </w:rPr>
              <w:t xml:space="preserve"> w </w:t>
            </w:r>
            <w:r w:rsidRPr="00EC250C">
              <w:rPr>
                <w:sz w:val="18"/>
                <w:szCs w:val="20"/>
              </w:rPr>
              <w:t>Legionowie – badanie prewencyjne.</w:t>
            </w:r>
          </w:p>
        </w:tc>
        <w:tc>
          <w:tcPr>
            <w:tcW w:w="1687" w:type="dxa"/>
          </w:tcPr>
          <w:p w14:paraId="2B1AD514" w14:textId="77777777" w:rsidR="00250AC8" w:rsidRPr="00EC250C" w:rsidRDefault="00250AC8" w:rsidP="00902FC6">
            <w:pPr>
              <w:pStyle w:val="Tabela"/>
              <w:rPr>
                <w:sz w:val="18"/>
                <w:szCs w:val="20"/>
              </w:rPr>
            </w:pPr>
            <w:r w:rsidRPr="00EC250C">
              <w:rPr>
                <w:sz w:val="18"/>
                <w:szCs w:val="20"/>
              </w:rPr>
              <w:t>23–24.07.2018</w:t>
            </w:r>
            <w:r w:rsidR="00C91F6E" w:rsidRPr="00EC250C">
              <w:rPr>
                <w:sz w:val="18"/>
                <w:szCs w:val="20"/>
              </w:rPr>
              <w:t> r.</w:t>
            </w:r>
          </w:p>
        </w:tc>
      </w:tr>
      <w:tr w:rsidR="00250AC8" w:rsidRPr="00EC250C" w14:paraId="2E9C0804" w14:textId="77777777" w:rsidTr="00B769A0">
        <w:trPr>
          <w:tblCellSpacing w:w="20" w:type="dxa"/>
        </w:trPr>
        <w:tc>
          <w:tcPr>
            <w:tcW w:w="375" w:type="dxa"/>
          </w:tcPr>
          <w:p w14:paraId="58028187" w14:textId="77777777" w:rsidR="00250AC8" w:rsidRPr="00EC250C" w:rsidRDefault="00250AC8" w:rsidP="006C70B7">
            <w:pPr>
              <w:pStyle w:val="Tabela"/>
              <w:numPr>
                <w:ilvl w:val="0"/>
                <w:numId w:val="135"/>
              </w:numPr>
              <w:ind w:left="0" w:firstLine="0"/>
              <w:jc w:val="both"/>
            </w:pPr>
          </w:p>
        </w:tc>
        <w:tc>
          <w:tcPr>
            <w:tcW w:w="7614" w:type="dxa"/>
            <w:vAlign w:val="bottom"/>
          </w:tcPr>
          <w:p w14:paraId="73300762" w14:textId="77777777" w:rsidR="00250AC8" w:rsidRPr="00EC250C" w:rsidRDefault="00250AC8" w:rsidP="00902FC6">
            <w:pPr>
              <w:pStyle w:val="Tabela"/>
              <w:rPr>
                <w:sz w:val="18"/>
                <w:szCs w:val="20"/>
              </w:rPr>
            </w:pPr>
            <w:r w:rsidRPr="00EC250C">
              <w:rPr>
                <w:sz w:val="18"/>
                <w:szCs w:val="20"/>
              </w:rPr>
              <w:t>Placówka Całodobowej Opieki – Dom Pielęgnacyjno-Opiekuńczy „Dworek”</w:t>
            </w:r>
            <w:r w:rsidR="00992FD0" w:rsidRPr="00EC250C">
              <w:rPr>
                <w:sz w:val="18"/>
                <w:szCs w:val="20"/>
              </w:rPr>
              <w:t xml:space="preserve"> w </w:t>
            </w:r>
            <w:r w:rsidRPr="00EC250C">
              <w:rPr>
                <w:sz w:val="18"/>
                <w:szCs w:val="20"/>
              </w:rPr>
              <w:t>Józefowie k. Legionowa – badanie prewencyjne.</w:t>
            </w:r>
          </w:p>
        </w:tc>
        <w:tc>
          <w:tcPr>
            <w:tcW w:w="1687" w:type="dxa"/>
          </w:tcPr>
          <w:p w14:paraId="149837A9" w14:textId="77777777" w:rsidR="00250AC8" w:rsidRPr="00EC250C" w:rsidRDefault="00250AC8" w:rsidP="00902FC6">
            <w:pPr>
              <w:pStyle w:val="Tabela"/>
              <w:rPr>
                <w:sz w:val="18"/>
                <w:szCs w:val="20"/>
              </w:rPr>
            </w:pPr>
            <w:r w:rsidRPr="00EC250C">
              <w:rPr>
                <w:sz w:val="18"/>
                <w:szCs w:val="20"/>
              </w:rPr>
              <w:t>25–26.07.2018</w:t>
            </w:r>
            <w:r w:rsidR="00C91F6E" w:rsidRPr="00EC250C">
              <w:rPr>
                <w:sz w:val="18"/>
                <w:szCs w:val="20"/>
              </w:rPr>
              <w:t> r.</w:t>
            </w:r>
          </w:p>
        </w:tc>
      </w:tr>
      <w:tr w:rsidR="00250AC8" w:rsidRPr="00EC250C" w14:paraId="25578B04" w14:textId="77777777" w:rsidTr="00B769A0">
        <w:trPr>
          <w:tblCellSpacing w:w="20" w:type="dxa"/>
        </w:trPr>
        <w:tc>
          <w:tcPr>
            <w:tcW w:w="375" w:type="dxa"/>
          </w:tcPr>
          <w:p w14:paraId="32EC4F14" w14:textId="77777777" w:rsidR="00250AC8" w:rsidRPr="00EC250C" w:rsidRDefault="00250AC8" w:rsidP="006C70B7">
            <w:pPr>
              <w:pStyle w:val="Tabela"/>
              <w:numPr>
                <w:ilvl w:val="0"/>
                <w:numId w:val="135"/>
              </w:numPr>
              <w:ind w:left="0" w:firstLine="0"/>
              <w:jc w:val="both"/>
            </w:pPr>
          </w:p>
        </w:tc>
        <w:tc>
          <w:tcPr>
            <w:tcW w:w="7614" w:type="dxa"/>
            <w:vAlign w:val="bottom"/>
          </w:tcPr>
          <w:p w14:paraId="2EA29300" w14:textId="77777777" w:rsidR="00250AC8" w:rsidRPr="00EC250C" w:rsidRDefault="00250AC8" w:rsidP="00902FC6">
            <w:pPr>
              <w:pStyle w:val="Tabela"/>
              <w:rPr>
                <w:sz w:val="18"/>
                <w:szCs w:val="20"/>
              </w:rPr>
            </w:pPr>
            <w:r w:rsidRPr="00EC250C">
              <w:rPr>
                <w:sz w:val="18"/>
                <w:szCs w:val="20"/>
              </w:rPr>
              <w:t>Areszt Śledczy Warszawa-Grochów – badanie prewencyjne.</w:t>
            </w:r>
          </w:p>
        </w:tc>
        <w:tc>
          <w:tcPr>
            <w:tcW w:w="1687" w:type="dxa"/>
          </w:tcPr>
          <w:p w14:paraId="2DEE2D95" w14:textId="77777777" w:rsidR="00250AC8" w:rsidRPr="00EC250C" w:rsidRDefault="00250AC8" w:rsidP="00902FC6">
            <w:pPr>
              <w:pStyle w:val="Tabela"/>
              <w:rPr>
                <w:sz w:val="18"/>
                <w:szCs w:val="20"/>
              </w:rPr>
            </w:pPr>
            <w:r w:rsidRPr="00EC250C">
              <w:rPr>
                <w:sz w:val="18"/>
                <w:szCs w:val="20"/>
              </w:rPr>
              <w:t>30.07–01.08.2018</w:t>
            </w:r>
            <w:r w:rsidR="00C91F6E" w:rsidRPr="00EC250C">
              <w:rPr>
                <w:sz w:val="18"/>
                <w:szCs w:val="20"/>
              </w:rPr>
              <w:t> r.</w:t>
            </w:r>
          </w:p>
        </w:tc>
      </w:tr>
      <w:tr w:rsidR="00250AC8" w:rsidRPr="00EC250C" w14:paraId="5504B517" w14:textId="77777777" w:rsidTr="00B769A0">
        <w:trPr>
          <w:tblCellSpacing w:w="20" w:type="dxa"/>
        </w:trPr>
        <w:tc>
          <w:tcPr>
            <w:tcW w:w="375" w:type="dxa"/>
          </w:tcPr>
          <w:p w14:paraId="2A7CE2C9" w14:textId="77777777" w:rsidR="00250AC8" w:rsidRPr="00EC250C" w:rsidRDefault="00250AC8" w:rsidP="006C70B7">
            <w:pPr>
              <w:pStyle w:val="Tabela"/>
              <w:numPr>
                <w:ilvl w:val="0"/>
                <w:numId w:val="135"/>
              </w:numPr>
              <w:ind w:left="0" w:firstLine="0"/>
              <w:jc w:val="both"/>
            </w:pPr>
          </w:p>
        </w:tc>
        <w:tc>
          <w:tcPr>
            <w:tcW w:w="7614" w:type="dxa"/>
            <w:vAlign w:val="bottom"/>
          </w:tcPr>
          <w:p w14:paraId="1414F3B1" w14:textId="77777777" w:rsidR="00250AC8" w:rsidRPr="00EC250C" w:rsidRDefault="00250AC8" w:rsidP="00902FC6">
            <w:pPr>
              <w:pStyle w:val="Tabela"/>
              <w:rPr>
                <w:sz w:val="18"/>
                <w:szCs w:val="20"/>
              </w:rPr>
            </w:pPr>
            <w:r w:rsidRPr="00EC250C">
              <w:rPr>
                <w:sz w:val="18"/>
                <w:szCs w:val="20"/>
              </w:rPr>
              <w:t>Pomieszczenia dla Osób Zatrzymanych przy Komendzie Powiatowej Policji</w:t>
            </w:r>
            <w:r w:rsidR="00992FD0" w:rsidRPr="00EC250C">
              <w:rPr>
                <w:sz w:val="18"/>
                <w:szCs w:val="20"/>
              </w:rPr>
              <w:t xml:space="preserve"> w </w:t>
            </w:r>
            <w:r w:rsidRPr="00EC250C">
              <w:rPr>
                <w:sz w:val="18"/>
                <w:szCs w:val="20"/>
              </w:rPr>
              <w:t>Poddębicach – badanie prewencyjne.</w:t>
            </w:r>
          </w:p>
        </w:tc>
        <w:tc>
          <w:tcPr>
            <w:tcW w:w="1687" w:type="dxa"/>
          </w:tcPr>
          <w:p w14:paraId="02D58966" w14:textId="77777777" w:rsidR="00250AC8" w:rsidRPr="00EC250C" w:rsidRDefault="00250AC8" w:rsidP="00902FC6">
            <w:pPr>
              <w:pStyle w:val="Tabela"/>
              <w:rPr>
                <w:sz w:val="18"/>
                <w:szCs w:val="20"/>
              </w:rPr>
            </w:pPr>
            <w:r w:rsidRPr="00EC250C">
              <w:rPr>
                <w:sz w:val="18"/>
                <w:szCs w:val="20"/>
              </w:rPr>
              <w:t>06.08.2018</w:t>
            </w:r>
            <w:r w:rsidR="00C91F6E" w:rsidRPr="00EC250C">
              <w:rPr>
                <w:sz w:val="18"/>
                <w:szCs w:val="20"/>
              </w:rPr>
              <w:t> r.</w:t>
            </w:r>
          </w:p>
        </w:tc>
      </w:tr>
      <w:tr w:rsidR="00250AC8" w:rsidRPr="00EC250C" w14:paraId="1A395BE9" w14:textId="77777777" w:rsidTr="00B769A0">
        <w:trPr>
          <w:tblCellSpacing w:w="20" w:type="dxa"/>
        </w:trPr>
        <w:tc>
          <w:tcPr>
            <w:tcW w:w="375" w:type="dxa"/>
          </w:tcPr>
          <w:p w14:paraId="30A4258D" w14:textId="77777777" w:rsidR="00250AC8" w:rsidRPr="00EC250C" w:rsidRDefault="00250AC8" w:rsidP="006C70B7">
            <w:pPr>
              <w:pStyle w:val="Tabela"/>
              <w:numPr>
                <w:ilvl w:val="0"/>
                <w:numId w:val="135"/>
              </w:numPr>
              <w:ind w:left="0" w:firstLine="0"/>
              <w:jc w:val="both"/>
            </w:pPr>
          </w:p>
        </w:tc>
        <w:tc>
          <w:tcPr>
            <w:tcW w:w="7614" w:type="dxa"/>
            <w:vAlign w:val="bottom"/>
          </w:tcPr>
          <w:p w14:paraId="244155CF" w14:textId="77777777" w:rsidR="00250AC8" w:rsidRPr="00EC250C" w:rsidRDefault="00250AC8" w:rsidP="00902FC6">
            <w:pPr>
              <w:pStyle w:val="Tabela"/>
              <w:rPr>
                <w:sz w:val="18"/>
                <w:szCs w:val="20"/>
              </w:rPr>
            </w:pPr>
            <w:r w:rsidRPr="00EC250C">
              <w:rPr>
                <w:sz w:val="18"/>
                <w:szCs w:val="20"/>
              </w:rPr>
              <w:t>Zakład Diagnostyczno-Obserwacyjny Miejskiego Centrum Terapii</w:t>
            </w:r>
            <w:r w:rsidR="00992FD0" w:rsidRPr="00EC250C">
              <w:rPr>
                <w:sz w:val="18"/>
                <w:szCs w:val="20"/>
              </w:rPr>
              <w:t xml:space="preserve"> i </w:t>
            </w:r>
            <w:r w:rsidRPr="00EC250C">
              <w:rPr>
                <w:sz w:val="18"/>
                <w:szCs w:val="20"/>
              </w:rPr>
              <w:t>Profilaktyki Zdrowotnej (Izba Wytrzeźwień)</w:t>
            </w:r>
            <w:r w:rsidR="00992FD0" w:rsidRPr="00EC250C">
              <w:rPr>
                <w:sz w:val="18"/>
                <w:szCs w:val="20"/>
              </w:rPr>
              <w:t xml:space="preserve"> w </w:t>
            </w:r>
            <w:r w:rsidRPr="00EC250C">
              <w:rPr>
                <w:sz w:val="18"/>
                <w:szCs w:val="20"/>
              </w:rPr>
              <w:t>Łodzi – badanie prewencyjne.</w:t>
            </w:r>
          </w:p>
        </w:tc>
        <w:tc>
          <w:tcPr>
            <w:tcW w:w="1687" w:type="dxa"/>
          </w:tcPr>
          <w:p w14:paraId="7985B9E4" w14:textId="77777777" w:rsidR="00250AC8" w:rsidRPr="00EC250C" w:rsidRDefault="00250AC8" w:rsidP="00902FC6">
            <w:pPr>
              <w:pStyle w:val="Tabela"/>
              <w:rPr>
                <w:sz w:val="18"/>
                <w:szCs w:val="20"/>
              </w:rPr>
            </w:pPr>
            <w:r w:rsidRPr="00EC250C">
              <w:rPr>
                <w:sz w:val="18"/>
                <w:szCs w:val="20"/>
              </w:rPr>
              <w:t>07.08.2018</w:t>
            </w:r>
            <w:r w:rsidR="00C91F6E" w:rsidRPr="00EC250C">
              <w:rPr>
                <w:sz w:val="18"/>
                <w:szCs w:val="20"/>
              </w:rPr>
              <w:t> r.</w:t>
            </w:r>
          </w:p>
        </w:tc>
      </w:tr>
      <w:tr w:rsidR="00250AC8" w:rsidRPr="00EC250C" w14:paraId="7740A7EE" w14:textId="77777777" w:rsidTr="00B769A0">
        <w:trPr>
          <w:tblCellSpacing w:w="20" w:type="dxa"/>
        </w:trPr>
        <w:tc>
          <w:tcPr>
            <w:tcW w:w="375" w:type="dxa"/>
          </w:tcPr>
          <w:p w14:paraId="2587CBB1" w14:textId="77777777" w:rsidR="00250AC8" w:rsidRPr="00EC250C" w:rsidRDefault="00250AC8" w:rsidP="006C70B7">
            <w:pPr>
              <w:pStyle w:val="Tabela"/>
              <w:numPr>
                <w:ilvl w:val="0"/>
                <w:numId w:val="135"/>
              </w:numPr>
              <w:ind w:left="0" w:firstLine="0"/>
              <w:jc w:val="both"/>
            </w:pPr>
          </w:p>
        </w:tc>
        <w:tc>
          <w:tcPr>
            <w:tcW w:w="7614" w:type="dxa"/>
            <w:vAlign w:val="bottom"/>
          </w:tcPr>
          <w:p w14:paraId="659E1B2B" w14:textId="77777777" w:rsidR="00250AC8" w:rsidRPr="00EC250C" w:rsidRDefault="00250AC8" w:rsidP="00902FC6">
            <w:pPr>
              <w:pStyle w:val="Tabela"/>
              <w:rPr>
                <w:sz w:val="18"/>
                <w:szCs w:val="20"/>
              </w:rPr>
            </w:pPr>
            <w:r w:rsidRPr="00EC250C">
              <w:rPr>
                <w:sz w:val="18"/>
                <w:szCs w:val="20"/>
              </w:rPr>
              <w:t>Policyjna Izba Dziecka</w:t>
            </w:r>
            <w:r w:rsidR="00992FD0" w:rsidRPr="00EC250C">
              <w:rPr>
                <w:sz w:val="18"/>
                <w:szCs w:val="20"/>
              </w:rPr>
              <w:t xml:space="preserve"> w </w:t>
            </w:r>
            <w:r w:rsidRPr="00EC250C">
              <w:rPr>
                <w:sz w:val="18"/>
                <w:szCs w:val="20"/>
              </w:rPr>
              <w:t>Łodzi – badanie prewencyjne.</w:t>
            </w:r>
          </w:p>
        </w:tc>
        <w:tc>
          <w:tcPr>
            <w:tcW w:w="1687" w:type="dxa"/>
          </w:tcPr>
          <w:p w14:paraId="7D85209A" w14:textId="77777777" w:rsidR="00250AC8" w:rsidRPr="00EC250C" w:rsidRDefault="00250AC8" w:rsidP="00902FC6">
            <w:pPr>
              <w:pStyle w:val="Tabela"/>
              <w:rPr>
                <w:sz w:val="18"/>
                <w:szCs w:val="20"/>
              </w:rPr>
            </w:pPr>
            <w:r w:rsidRPr="00EC250C">
              <w:rPr>
                <w:sz w:val="18"/>
                <w:szCs w:val="20"/>
              </w:rPr>
              <w:t>08.08.2018</w:t>
            </w:r>
            <w:r w:rsidR="00C91F6E" w:rsidRPr="00EC250C">
              <w:rPr>
                <w:sz w:val="18"/>
                <w:szCs w:val="20"/>
              </w:rPr>
              <w:t> r.</w:t>
            </w:r>
          </w:p>
        </w:tc>
      </w:tr>
      <w:tr w:rsidR="00250AC8" w:rsidRPr="00EC250C" w14:paraId="623FF477" w14:textId="77777777" w:rsidTr="00B769A0">
        <w:trPr>
          <w:tblCellSpacing w:w="20" w:type="dxa"/>
        </w:trPr>
        <w:tc>
          <w:tcPr>
            <w:tcW w:w="375" w:type="dxa"/>
          </w:tcPr>
          <w:p w14:paraId="06775C8F" w14:textId="77777777" w:rsidR="00250AC8" w:rsidRPr="00EC250C" w:rsidRDefault="00250AC8" w:rsidP="006C70B7">
            <w:pPr>
              <w:pStyle w:val="Tabela"/>
              <w:numPr>
                <w:ilvl w:val="0"/>
                <w:numId w:val="135"/>
              </w:numPr>
              <w:ind w:left="0" w:firstLine="0"/>
              <w:jc w:val="both"/>
            </w:pPr>
          </w:p>
        </w:tc>
        <w:tc>
          <w:tcPr>
            <w:tcW w:w="7614" w:type="dxa"/>
            <w:vAlign w:val="bottom"/>
          </w:tcPr>
          <w:p w14:paraId="2C26A09C" w14:textId="77777777" w:rsidR="00250AC8" w:rsidRPr="00EC250C" w:rsidRDefault="00250AC8" w:rsidP="00902FC6">
            <w:pPr>
              <w:pStyle w:val="Tabela"/>
              <w:rPr>
                <w:sz w:val="18"/>
                <w:szCs w:val="20"/>
              </w:rPr>
            </w:pPr>
            <w:r w:rsidRPr="00EC250C">
              <w:rPr>
                <w:sz w:val="18"/>
                <w:szCs w:val="20"/>
              </w:rPr>
              <w:t>Areszt Śledczy</w:t>
            </w:r>
            <w:r w:rsidR="00992FD0" w:rsidRPr="00EC250C">
              <w:rPr>
                <w:sz w:val="18"/>
                <w:szCs w:val="20"/>
              </w:rPr>
              <w:t xml:space="preserve"> w </w:t>
            </w:r>
            <w:r w:rsidRPr="00EC250C">
              <w:rPr>
                <w:sz w:val="18"/>
                <w:szCs w:val="20"/>
              </w:rPr>
              <w:t>Lublinie – badanie prewencyjne.</w:t>
            </w:r>
          </w:p>
        </w:tc>
        <w:tc>
          <w:tcPr>
            <w:tcW w:w="1687" w:type="dxa"/>
          </w:tcPr>
          <w:p w14:paraId="60EC3F29" w14:textId="77777777" w:rsidR="00250AC8" w:rsidRPr="00EC250C" w:rsidRDefault="00250AC8" w:rsidP="00902FC6">
            <w:pPr>
              <w:pStyle w:val="Tabela"/>
              <w:rPr>
                <w:sz w:val="18"/>
                <w:szCs w:val="20"/>
              </w:rPr>
            </w:pPr>
            <w:r w:rsidRPr="00EC250C">
              <w:rPr>
                <w:sz w:val="18"/>
                <w:szCs w:val="20"/>
              </w:rPr>
              <w:t>20–22.08.2018</w:t>
            </w:r>
            <w:r w:rsidR="00C91F6E" w:rsidRPr="00EC250C">
              <w:rPr>
                <w:sz w:val="18"/>
                <w:szCs w:val="20"/>
              </w:rPr>
              <w:t> r.</w:t>
            </w:r>
          </w:p>
        </w:tc>
      </w:tr>
      <w:tr w:rsidR="00250AC8" w:rsidRPr="00EC250C" w14:paraId="38E08F95" w14:textId="77777777" w:rsidTr="00B769A0">
        <w:trPr>
          <w:tblCellSpacing w:w="20" w:type="dxa"/>
        </w:trPr>
        <w:tc>
          <w:tcPr>
            <w:tcW w:w="375" w:type="dxa"/>
          </w:tcPr>
          <w:p w14:paraId="4A925AA3" w14:textId="77777777" w:rsidR="00250AC8" w:rsidRPr="00EC250C" w:rsidRDefault="00250AC8" w:rsidP="006C70B7">
            <w:pPr>
              <w:pStyle w:val="Tabela"/>
              <w:numPr>
                <w:ilvl w:val="0"/>
                <w:numId w:val="135"/>
              </w:numPr>
              <w:ind w:left="0" w:firstLine="0"/>
              <w:jc w:val="both"/>
            </w:pPr>
          </w:p>
        </w:tc>
        <w:tc>
          <w:tcPr>
            <w:tcW w:w="7614" w:type="dxa"/>
            <w:vAlign w:val="bottom"/>
          </w:tcPr>
          <w:p w14:paraId="6BABFE26" w14:textId="77777777" w:rsidR="00250AC8" w:rsidRPr="00EC250C" w:rsidRDefault="00250AC8" w:rsidP="00902FC6">
            <w:pPr>
              <w:pStyle w:val="Tabela"/>
              <w:rPr>
                <w:sz w:val="18"/>
                <w:szCs w:val="20"/>
              </w:rPr>
            </w:pPr>
            <w:r w:rsidRPr="00EC250C">
              <w:rPr>
                <w:sz w:val="18"/>
                <w:szCs w:val="20"/>
              </w:rPr>
              <w:t>Pomieszczenia dla Osób Zatrzymanych przy Komendzie Powiatowej Policji</w:t>
            </w:r>
            <w:r w:rsidR="00992FD0" w:rsidRPr="00EC250C">
              <w:rPr>
                <w:sz w:val="18"/>
                <w:szCs w:val="20"/>
              </w:rPr>
              <w:t xml:space="preserve"> w </w:t>
            </w:r>
            <w:r w:rsidRPr="00EC250C">
              <w:rPr>
                <w:sz w:val="18"/>
                <w:szCs w:val="20"/>
              </w:rPr>
              <w:t>Rykach – badanie prewencyjne.</w:t>
            </w:r>
          </w:p>
        </w:tc>
        <w:tc>
          <w:tcPr>
            <w:tcW w:w="1687" w:type="dxa"/>
          </w:tcPr>
          <w:p w14:paraId="4041D6F7" w14:textId="77777777" w:rsidR="00250AC8" w:rsidRPr="00EC250C" w:rsidRDefault="00250AC8" w:rsidP="00902FC6">
            <w:pPr>
              <w:pStyle w:val="Tabela"/>
              <w:rPr>
                <w:sz w:val="18"/>
                <w:szCs w:val="20"/>
              </w:rPr>
            </w:pPr>
            <w:r w:rsidRPr="00EC250C">
              <w:rPr>
                <w:sz w:val="18"/>
                <w:szCs w:val="20"/>
              </w:rPr>
              <w:t>22.08.2018</w:t>
            </w:r>
            <w:r w:rsidR="00C91F6E" w:rsidRPr="00EC250C">
              <w:rPr>
                <w:sz w:val="18"/>
                <w:szCs w:val="20"/>
              </w:rPr>
              <w:t> r.</w:t>
            </w:r>
          </w:p>
        </w:tc>
      </w:tr>
      <w:tr w:rsidR="00250AC8" w:rsidRPr="00EC250C" w14:paraId="350473DB" w14:textId="77777777" w:rsidTr="00B769A0">
        <w:trPr>
          <w:tblCellSpacing w:w="20" w:type="dxa"/>
        </w:trPr>
        <w:tc>
          <w:tcPr>
            <w:tcW w:w="375" w:type="dxa"/>
          </w:tcPr>
          <w:p w14:paraId="19F11668" w14:textId="77777777" w:rsidR="00250AC8" w:rsidRPr="00EC250C" w:rsidRDefault="00250AC8" w:rsidP="006C70B7">
            <w:pPr>
              <w:pStyle w:val="Tabela"/>
              <w:numPr>
                <w:ilvl w:val="0"/>
                <w:numId w:val="135"/>
              </w:numPr>
              <w:ind w:left="0" w:firstLine="0"/>
              <w:jc w:val="both"/>
            </w:pPr>
          </w:p>
        </w:tc>
        <w:tc>
          <w:tcPr>
            <w:tcW w:w="7614" w:type="dxa"/>
            <w:vAlign w:val="bottom"/>
          </w:tcPr>
          <w:p w14:paraId="50F54E00" w14:textId="77777777" w:rsidR="00250AC8" w:rsidRPr="00EC250C" w:rsidRDefault="00250AC8" w:rsidP="00902FC6">
            <w:pPr>
              <w:pStyle w:val="Tabela"/>
              <w:rPr>
                <w:sz w:val="18"/>
                <w:szCs w:val="20"/>
              </w:rPr>
            </w:pPr>
            <w:r w:rsidRPr="00EC250C">
              <w:rPr>
                <w:sz w:val="18"/>
                <w:szCs w:val="20"/>
              </w:rPr>
              <w:t>Pomieszczenia dla Osób Zatrzymanych przy Komendzie Powiatowej Policji</w:t>
            </w:r>
            <w:r w:rsidR="00992FD0" w:rsidRPr="00EC250C">
              <w:rPr>
                <w:sz w:val="18"/>
                <w:szCs w:val="20"/>
              </w:rPr>
              <w:t xml:space="preserve"> w </w:t>
            </w:r>
            <w:r w:rsidRPr="00EC250C">
              <w:rPr>
                <w:sz w:val="18"/>
                <w:szCs w:val="20"/>
              </w:rPr>
              <w:t>Szamotułach – badanie prewencyjne.</w:t>
            </w:r>
          </w:p>
        </w:tc>
        <w:tc>
          <w:tcPr>
            <w:tcW w:w="1687" w:type="dxa"/>
          </w:tcPr>
          <w:p w14:paraId="6DBE3502" w14:textId="77777777" w:rsidR="00250AC8" w:rsidRPr="00EC250C" w:rsidRDefault="00250AC8" w:rsidP="00902FC6">
            <w:pPr>
              <w:pStyle w:val="Tabela"/>
              <w:rPr>
                <w:sz w:val="18"/>
                <w:szCs w:val="20"/>
              </w:rPr>
            </w:pPr>
            <w:r w:rsidRPr="00EC250C">
              <w:rPr>
                <w:sz w:val="18"/>
                <w:szCs w:val="20"/>
              </w:rPr>
              <w:t>27.08.2018</w:t>
            </w:r>
            <w:r w:rsidR="00C91F6E" w:rsidRPr="00EC250C">
              <w:rPr>
                <w:sz w:val="18"/>
                <w:szCs w:val="20"/>
              </w:rPr>
              <w:t> r.</w:t>
            </w:r>
          </w:p>
        </w:tc>
      </w:tr>
      <w:tr w:rsidR="00250AC8" w:rsidRPr="00EC250C" w14:paraId="438E7BDF" w14:textId="77777777" w:rsidTr="00B769A0">
        <w:trPr>
          <w:tblCellSpacing w:w="20" w:type="dxa"/>
        </w:trPr>
        <w:tc>
          <w:tcPr>
            <w:tcW w:w="375" w:type="dxa"/>
          </w:tcPr>
          <w:p w14:paraId="06DD6238" w14:textId="77777777" w:rsidR="00250AC8" w:rsidRPr="00EC250C" w:rsidRDefault="00250AC8" w:rsidP="006C70B7">
            <w:pPr>
              <w:pStyle w:val="Tabela"/>
              <w:numPr>
                <w:ilvl w:val="0"/>
                <w:numId w:val="135"/>
              </w:numPr>
              <w:ind w:left="0" w:firstLine="0"/>
              <w:jc w:val="both"/>
            </w:pPr>
          </w:p>
        </w:tc>
        <w:tc>
          <w:tcPr>
            <w:tcW w:w="7614" w:type="dxa"/>
            <w:vAlign w:val="bottom"/>
          </w:tcPr>
          <w:p w14:paraId="760DA0A8" w14:textId="77777777" w:rsidR="00250AC8" w:rsidRPr="00EC250C" w:rsidRDefault="00250AC8" w:rsidP="00902FC6">
            <w:pPr>
              <w:pStyle w:val="Tabela"/>
              <w:rPr>
                <w:sz w:val="18"/>
                <w:szCs w:val="20"/>
              </w:rPr>
            </w:pPr>
            <w:r w:rsidRPr="00EC250C">
              <w:rPr>
                <w:sz w:val="18"/>
                <w:szCs w:val="20"/>
              </w:rPr>
              <w:t>Zakład Karny we Wronkach – badanie prewencyjne.</w:t>
            </w:r>
          </w:p>
        </w:tc>
        <w:tc>
          <w:tcPr>
            <w:tcW w:w="1687" w:type="dxa"/>
          </w:tcPr>
          <w:p w14:paraId="03D95495" w14:textId="77777777" w:rsidR="00250AC8" w:rsidRPr="00EC250C" w:rsidRDefault="00250AC8" w:rsidP="00902FC6">
            <w:pPr>
              <w:pStyle w:val="Tabela"/>
              <w:rPr>
                <w:sz w:val="18"/>
                <w:szCs w:val="20"/>
              </w:rPr>
            </w:pPr>
            <w:r w:rsidRPr="00EC250C">
              <w:rPr>
                <w:sz w:val="18"/>
                <w:szCs w:val="20"/>
              </w:rPr>
              <w:t>28–30.08.2018</w:t>
            </w:r>
            <w:r w:rsidR="00C91F6E" w:rsidRPr="00EC250C">
              <w:rPr>
                <w:sz w:val="18"/>
                <w:szCs w:val="20"/>
              </w:rPr>
              <w:t> r.</w:t>
            </w:r>
          </w:p>
        </w:tc>
      </w:tr>
      <w:tr w:rsidR="00250AC8" w:rsidRPr="00EC250C" w14:paraId="7ACEF9C0" w14:textId="77777777" w:rsidTr="00B769A0">
        <w:trPr>
          <w:tblCellSpacing w:w="20" w:type="dxa"/>
        </w:trPr>
        <w:tc>
          <w:tcPr>
            <w:tcW w:w="375" w:type="dxa"/>
          </w:tcPr>
          <w:p w14:paraId="4C32E623" w14:textId="77777777" w:rsidR="00250AC8" w:rsidRPr="00EC250C" w:rsidRDefault="00250AC8" w:rsidP="006C70B7">
            <w:pPr>
              <w:pStyle w:val="Tabela"/>
              <w:numPr>
                <w:ilvl w:val="0"/>
                <w:numId w:val="135"/>
              </w:numPr>
              <w:ind w:left="0" w:firstLine="0"/>
              <w:jc w:val="both"/>
            </w:pPr>
          </w:p>
        </w:tc>
        <w:tc>
          <w:tcPr>
            <w:tcW w:w="7614" w:type="dxa"/>
            <w:vAlign w:val="bottom"/>
          </w:tcPr>
          <w:p w14:paraId="57B3BB88" w14:textId="77777777" w:rsidR="00250AC8" w:rsidRPr="00EC250C" w:rsidRDefault="00250AC8" w:rsidP="00902FC6">
            <w:pPr>
              <w:pStyle w:val="Tabela"/>
              <w:rPr>
                <w:sz w:val="18"/>
                <w:szCs w:val="20"/>
              </w:rPr>
            </w:pPr>
            <w:r w:rsidRPr="00EC250C">
              <w:rPr>
                <w:sz w:val="18"/>
                <w:szCs w:val="20"/>
              </w:rPr>
              <w:t>Zakład Opiekuńczo-Leczniczy „Bona-Med”</w:t>
            </w:r>
            <w:r w:rsidR="00992FD0" w:rsidRPr="00EC250C">
              <w:rPr>
                <w:sz w:val="18"/>
                <w:szCs w:val="20"/>
              </w:rPr>
              <w:t xml:space="preserve"> w </w:t>
            </w:r>
            <w:r w:rsidRPr="00EC250C">
              <w:rPr>
                <w:sz w:val="18"/>
                <w:szCs w:val="20"/>
              </w:rPr>
              <w:t>Krakowie – badanie prewencyjne.</w:t>
            </w:r>
          </w:p>
        </w:tc>
        <w:tc>
          <w:tcPr>
            <w:tcW w:w="1687" w:type="dxa"/>
          </w:tcPr>
          <w:p w14:paraId="252E430C" w14:textId="77777777" w:rsidR="00250AC8" w:rsidRPr="00EC250C" w:rsidRDefault="00250AC8" w:rsidP="00902FC6">
            <w:pPr>
              <w:pStyle w:val="Tabela"/>
              <w:rPr>
                <w:sz w:val="18"/>
                <w:szCs w:val="20"/>
              </w:rPr>
            </w:pPr>
            <w:r w:rsidRPr="00EC250C">
              <w:rPr>
                <w:sz w:val="18"/>
                <w:szCs w:val="20"/>
              </w:rPr>
              <w:t>03–04.09.2018</w:t>
            </w:r>
            <w:r w:rsidR="00C91F6E" w:rsidRPr="00EC250C">
              <w:rPr>
                <w:sz w:val="18"/>
                <w:szCs w:val="20"/>
              </w:rPr>
              <w:t> r.</w:t>
            </w:r>
          </w:p>
        </w:tc>
      </w:tr>
      <w:tr w:rsidR="00250AC8" w:rsidRPr="00EC250C" w14:paraId="022CB73C" w14:textId="77777777" w:rsidTr="00B769A0">
        <w:trPr>
          <w:tblCellSpacing w:w="20" w:type="dxa"/>
        </w:trPr>
        <w:tc>
          <w:tcPr>
            <w:tcW w:w="375" w:type="dxa"/>
          </w:tcPr>
          <w:p w14:paraId="71502525" w14:textId="77777777" w:rsidR="00250AC8" w:rsidRPr="00EC250C" w:rsidRDefault="00250AC8" w:rsidP="006C70B7">
            <w:pPr>
              <w:pStyle w:val="Tabela"/>
              <w:numPr>
                <w:ilvl w:val="0"/>
                <w:numId w:val="135"/>
              </w:numPr>
              <w:ind w:left="0" w:firstLine="0"/>
              <w:jc w:val="both"/>
            </w:pPr>
          </w:p>
        </w:tc>
        <w:tc>
          <w:tcPr>
            <w:tcW w:w="7614" w:type="dxa"/>
            <w:vAlign w:val="bottom"/>
          </w:tcPr>
          <w:p w14:paraId="2AADF9F3" w14:textId="77777777" w:rsidR="00250AC8" w:rsidRPr="00EC250C" w:rsidRDefault="00250AC8" w:rsidP="00902FC6">
            <w:pPr>
              <w:pStyle w:val="Tabela"/>
              <w:rPr>
                <w:sz w:val="18"/>
                <w:szCs w:val="20"/>
              </w:rPr>
            </w:pPr>
            <w:r w:rsidRPr="00EC250C">
              <w:rPr>
                <w:sz w:val="18"/>
                <w:szCs w:val="20"/>
              </w:rPr>
              <w:t>Komisariat Policji Kraków-Nowa Huta – badanie prewencyjne.</w:t>
            </w:r>
          </w:p>
        </w:tc>
        <w:tc>
          <w:tcPr>
            <w:tcW w:w="1687" w:type="dxa"/>
          </w:tcPr>
          <w:p w14:paraId="6F5A9C57" w14:textId="77777777" w:rsidR="00250AC8" w:rsidRPr="00EC250C" w:rsidRDefault="00250AC8" w:rsidP="00902FC6">
            <w:pPr>
              <w:pStyle w:val="Tabela"/>
              <w:rPr>
                <w:sz w:val="18"/>
                <w:szCs w:val="20"/>
              </w:rPr>
            </w:pPr>
            <w:r w:rsidRPr="00EC250C">
              <w:rPr>
                <w:sz w:val="18"/>
                <w:szCs w:val="20"/>
              </w:rPr>
              <w:t>05.09.2018</w:t>
            </w:r>
            <w:r w:rsidR="00C91F6E" w:rsidRPr="00EC250C">
              <w:rPr>
                <w:sz w:val="18"/>
                <w:szCs w:val="20"/>
              </w:rPr>
              <w:t> r.</w:t>
            </w:r>
          </w:p>
        </w:tc>
      </w:tr>
      <w:tr w:rsidR="00250AC8" w:rsidRPr="00EC250C" w14:paraId="7555BE8B" w14:textId="77777777" w:rsidTr="00B769A0">
        <w:trPr>
          <w:tblCellSpacing w:w="20" w:type="dxa"/>
        </w:trPr>
        <w:tc>
          <w:tcPr>
            <w:tcW w:w="375" w:type="dxa"/>
          </w:tcPr>
          <w:p w14:paraId="087E3591" w14:textId="77777777" w:rsidR="00250AC8" w:rsidRPr="00EC250C" w:rsidRDefault="00250AC8" w:rsidP="006C70B7">
            <w:pPr>
              <w:pStyle w:val="Tabela"/>
              <w:numPr>
                <w:ilvl w:val="0"/>
                <w:numId w:val="135"/>
              </w:numPr>
              <w:ind w:left="0" w:firstLine="0"/>
              <w:jc w:val="both"/>
            </w:pPr>
          </w:p>
        </w:tc>
        <w:tc>
          <w:tcPr>
            <w:tcW w:w="7614" w:type="dxa"/>
            <w:vAlign w:val="bottom"/>
          </w:tcPr>
          <w:p w14:paraId="6CD9BB11" w14:textId="77777777" w:rsidR="00250AC8" w:rsidRPr="00EC250C" w:rsidRDefault="00250AC8" w:rsidP="00902FC6">
            <w:pPr>
              <w:pStyle w:val="Tabela"/>
              <w:rPr>
                <w:sz w:val="18"/>
                <w:szCs w:val="20"/>
              </w:rPr>
            </w:pPr>
            <w:r w:rsidRPr="00EC250C">
              <w:rPr>
                <w:sz w:val="18"/>
                <w:szCs w:val="20"/>
              </w:rPr>
              <w:t>Pomieszczenia dla Osób Zatrzymanych przy Komendzie Powiatowej Policji</w:t>
            </w:r>
            <w:r w:rsidR="00992FD0" w:rsidRPr="00EC250C">
              <w:rPr>
                <w:sz w:val="18"/>
                <w:szCs w:val="20"/>
              </w:rPr>
              <w:t xml:space="preserve"> w </w:t>
            </w:r>
            <w:r w:rsidRPr="00EC250C">
              <w:rPr>
                <w:sz w:val="18"/>
                <w:szCs w:val="20"/>
              </w:rPr>
              <w:t>Giżycku – badanie prewencyjne.</w:t>
            </w:r>
          </w:p>
        </w:tc>
        <w:tc>
          <w:tcPr>
            <w:tcW w:w="1687" w:type="dxa"/>
          </w:tcPr>
          <w:p w14:paraId="77EA5F44" w14:textId="77777777" w:rsidR="00250AC8" w:rsidRPr="00EC250C" w:rsidRDefault="00250AC8" w:rsidP="00902FC6">
            <w:pPr>
              <w:pStyle w:val="Tabela"/>
              <w:rPr>
                <w:sz w:val="18"/>
                <w:szCs w:val="20"/>
              </w:rPr>
            </w:pPr>
            <w:r w:rsidRPr="00EC250C">
              <w:rPr>
                <w:sz w:val="18"/>
                <w:szCs w:val="20"/>
              </w:rPr>
              <w:t>10.09.2018</w:t>
            </w:r>
            <w:r w:rsidR="00C91F6E" w:rsidRPr="00EC250C">
              <w:rPr>
                <w:sz w:val="18"/>
                <w:szCs w:val="20"/>
              </w:rPr>
              <w:t> r.</w:t>
            </w:r>
          </w:p>
        </w:tc>
      </w:tr>
      <w:tr w:rsidR="00250AC8" w:rsidRPr="00EC250C" w14:paraId="367B9777" w14:textId="77777777" w:rsidTr="00B769A0">
        <w:trPr>
          <w:tblCellSpacing w:w="20" w:type="dxa"/>
        </w:trPr>
        <w:tc>
          <w:tcPr>
            <w:tcW w:w="375" w:type="dxa"/>
          </w:tcPr>
          <w:p w14:paraId="757BCAA9" w14:textId="77777777" w:rsidR="00250AC8" w:rsidRPr="00EC250C" w:rsidRDefault="00250AC8" w:rsidP="006C70B7">
            <w:pPr>
              <w:pStyle w:val="Tabela"/>
              <w:numPr>
                <w:ilvl w:val="0"/>
                <w:numId w:val="135"/>
              </w:numPr>
              <w:ind w:left="0" w:firstLine="0"/>
              <w:jc w:val="both"/>
            </w:pPr>
          </w:p>
        </w:tc>
        <w:tc>
          <w:tcPr>
            <w:tcW w:w="7614" w:type="dxa"/>
            <w:vAlign w:val="bottom"/>
          </w:tcPr>
          <w:p w14:paraId="291AB274" w14:textId="77777777" w:rsidR="00250AC8" w:rsidRPr="00EC250C" w:rsidRDefault="00250AC8" w:rsidP="00902FC6">
            <w:pPr>
              <w:pStyle w:val="Tabela"/>
              <w:rPr>
                <w:sz w:val="18"/>
                <w:szCs w:val="20"/>
              </w:rPr>
            </w:pPr>
            <w:r w:rsidRPr="00EC250C">
              <w:rPr>
                <w:sz w:val="18"/>
                <w:szCs w:val="20"/>
              </w:rPr>
              <w:t>Szpital psychiatryczny</w:t>
            </w:r>
            <w:r w:rsidR="00992FD0" w:rsidRPr="00EC250C">
              <w:rPr>
                <w:sz w:val="18"/>
                <w:szCs w:val="20"/>
              </w:rPr>
              <w:t xml:space="preserve"> w </w:t>
            </w:r>
            <w:r w:rsidRPr="00EC250C">
              <w:rPr>
                <w:sz w:val="18"/>
                <w:szCs w:val="20"/>
              </w:rPr>
              <w:t>Węgorzewie – badanie prewencyjne.</w:t>
            </w:r>
          </w:p>
        </w:tc>
        <w:tc>
          <w:tcPr>
            <w:tcW w:w="1687" w:type="dxa"/>
          </w:tcPr>
          <w:p w14:paraId="003CC5C4" w14:textId="77777777" w:rsidR="00250AC8" w:rsidRPr="00EC250C" w:rsidRDefault="00250AC8" w:rsidP="00902FC6">
            <w:pPr>
              <w:pStyle w:val="Tabela"/>
              <w:rPr>
                <w:sz w:val="18"/>
                <w:szCs w:val="20"/>
              </w:rPr>
            </w:pPr>
            <w:r w:rsidRPr="00EC250C">
              <w:rPr>
                <w:sz w:val="18"/>
                <w:szCs w:val="20"/>
              </w:rPr>
              <w:t>11–12.09.2018</w:t>
            </w:r>
            <w:r w:rsidR="00C91F6E" w:rsidRPr="00EC250C">
              <w:rPr>
                <w:sz w:val="18"/>
                <w:szCs w:val="20"/>
              </w:rPr>
              <w:t> r.</w:t>
            </w:r>
          </w:p>
        </w:tc>
      </w:tr>
      <w:tr w:rsidR="00250AC8" w:rsidRPr="00EC250C" w14:paraId="73463B9C" w14:textId="77777777" w:rsidTr="00B769A0">
        <w:trPr>
          <w:tblCellSpacing w:w="20" w:type="dxa"/>
        </w:trPr>
        <w:tc>
          <w:tcPr>
            <w:tcW w:w="375" w:type="dxa"/>
          </w:tcPr>
          <w:p w14:paraId="3E6E90F7" w14:textId="77777777" w:rsidR="00250AC8" w:rsidRPr="00EC250C" w:rsidRDefault="00250AC8" w:rsidP="006C70B7">
            <w:pPr>
              <w:pStyle w:val="Tabela"/>
              <w:numPr>
                <w:ilvl w:val="0"/>
                <w:numId w:val="135"/>
              </w:numPr>
              <w:ind w:left="0" w:firstLine="0"/>
              <w:jc w:val="both"/>
            </w:pPr>
          </w:p>
        </w:tc>
        <w:tc>
          <w:tcPr>
            <w:tcW w:w="7614" w:type="dxa"/>
            <w:vAlign w:val="bottom"/>
          </w:tcPr>
          <w:p w14:paraId="32BC28B3" w14:textId="77777777" w:rsidR="00250AC8" w:rsidRPr="00EC250C" w:rsidRDefault="00250AC8" w:rsidP="00902FC6">
            <w:pPr>
              <w:pStyle w:val="Tabela"/>
              <w:rPr>
                <w:sz w:val="18"/>
                <w:szCs w:val="20"/>
              </w:rPr>
            </w:pPr>
            <w:r w:rsidRPr="00EC250C">
              <w:rPr>
                <w:sz w:val="18"/>
                <w:szCs w:val="20"/>
              </w:rPr>
              <w:t xml:space="preserve">Placówka Całodobowej Opieki – Dom Seniora „Przystań” </w:t>
            </w:r>
            <w:r w:rsidRPr="00EC250C">
              <w:rPr>
                <w:sz w:val="18"/>
                <w:szCs w:val="20"/>
              </w:rPr>
              <w:br/>
              <w:t>w Ścinawie – badanie prewencyjne.</w:t>
            </w:r>
          </w:p>
        </w:tc>
        <w:tc>
          <w:tcPr>
            <w:tcW w:w="1687" w:type="dxa"/>
          </w:tcPr>
          <w:p w14:paraId="7772341D" w14:textId="77777777" w:rsidR="00250AC8" w:rsidRPr="00EC250C" w:rsidRDefault="00250AC8" w:rsidP="00902FC6">
            <w:pPr>
              <w:pStyle w:val="Tabela"/>
              <w:rPr>
                <w:sz w:val="18"/>
                <w:szCs w:val="20"/>
              </w:rPr>
            </w:pPr>
            <w:r w:rsidRPr="00EC250C">
              <w:rPr>
                <w:sz w:val="18"/>
                <w:szCs w:val="20"/>
              </w:rPr>
              <w:t>17–18.09.2018</w:t>
            </w:r>
            <w:r w:rsidR="00C91F6E" w:rsidRPr="00EC250C">
              <w:rPr>
                <w:sz w:val="18"/>
                <w:szCs w:val="20"/>
              </w:rPr>
              <w:t> r.</w:t>
            </w:r>
          </w:p>
        </w:tc>
      </w:tr>
      <w:tr w:rsidR="00250AC8" w:rsidRPr="00EC250C" w14:paraId="3815BB5B" w14:textId="77777777" w:rsidTr="00B769A0">
        <w:trPr>
          <w:tblCellSpacing w:w="20" w:type="dxa"/>
        </w:trPr>
        <w:tc>
          <w:tcPr>
            <w:tcW w:w="375" w:type="dxa"/>
          </w:tcPr>
          <w:p w14:paraId="6869D245" w14:textId="77777777" w:rsidR="00250AC8" w:rsidRPr="00EC250C" w:rsidRDefault="00250AC8" w:rsidP="006C70B7">
            <w:pPr>
              <w:pStyle w:val="Tabela"/>
              <w:numPr>
                <w:ilvl w:val="0"/>
                <w:numId w:val="135"/>
              </w:numPr>
              <w:ind w:left="0" w:firstLine="0"/>
              <w:jc w:val="both"/>
            </w:pPr>
          </w:p>
        </w:tc>
        <w:tc>
          <w:tcPr>
            <w:tcW w:w="7614" w:type="dxa"/>
            <w:vAlign w:val="bottom"/>
          </w:tcPr>
          <w:p w14:paraId="3EB491FC" w14:textId="77777777" w:rsidR="00250AC8" w:rsidRPr="00EC250C" w:rsidRDefault="00250AC8" w:rsidP="00902FC6">
            <w:pPr>
              <w:pStyle w:val="Tabela"/>
              <w:rPr>
                <w:sz w:val="18"/>
                <w:szCs w:val="20"/>
              </w:rPr>
            </w:pPr>
            <w:r w:rsidRPr="00EC250C">
              <w:rPr>
                <w:sz w:val="18"/>
                <w:szCs w:val="20"/>
              </w:rPr>
              <w:t>Placówka Całodobowej Opieki – Domek</w:t>
            </w:r>
            <w:r w:rsidR="00992FD0" w:rsidRPr="00EC250C">
              <w:rPr>
                <w:sz w:val="18"/>
                <w:szCs w:val="20"/>
              </w:rPr>
              <w:t xml:space="preserve"> z </w:t>
            </w:r>
            <w:r w:rsidRPr="00EC250C">
              <w:rPr>
                <w:sz w:val="18"/>
                <w:szCs w:val="20"/>
              </w:rPr>
              <w:t>Sercem</w:t>
            </w:r>
            <w:r w:rsidR="00992FD0" w:rsidRPr="00EC250C">
              <w:rPr>
                <w:sz w:val="18"/>
                <w:szCs w:val="20"/>
              </w:rPr>
              <w:t xml:space="preserve"> w </w:t>
            </w:r>
            <w:r w:rsidRPr="00EC250C">
              <w:rPr>
                <w:sz w:val="18"/>
                <w:szCs w:val="20"/>
              </w:rPr>
              <w:t>Radwanicach – badanie prewencyjne.</w:t>
            </w:r>
          </w:p>
        </w:tc>
        <w:tc>
          <w:tcPr>
            <w:tcW w:w="1687" w:type="dxa"/>
          </w:tcPr>
          <w:p w14:paraId="3051401F" w14:textId="77777777" w:rsidR="00250AC8" w:rsidRPr="00EC250C" w:rsidRDefault="00250AC8" w:rsidP="00902FC6">
            <w:pPr>
              <w:pStyle w:val="Tabela"/>
              <w:rPr>
                <w:sz w:val="18"/>
                <w:szCs w:val="20"/>
              </w:rPr>
            </w:pPr>
            <w:r w:rsidRPr="00EC250C">
              <w:rPr>
                <w:sz w:val="18"/>
                <w:szCs w:val="20"/>
              </w:rPr>
              <w:t>19–20.09.2018</w:t>
            </w:r>
            <w:r w:rsidR="00C91F6E" w:rsidRPr="00EC250C">
              <w:rPr>
                <w:sz w:val="18"/>
                <w:szCs w:val="20"/>
              </w:rPr>
              <w:t> r.</w:t>
            </w:r>
          </w:p>
        </w:tc>
      </w:tr>
      <w:tr w:rsidR="00250AC8" w:rsidRPr="00EC250C" w14:paraId="3ECEB8A0" w14:textId="77777777" w:rsidTr="00B769A0">
        <w:trPr>
          <w:tblCellSpacing w:w="20" w:type="dxa"/>
        </w:trPr>
        <w:tc>
          <w:tcPr>
            <w:tcW w:w="375" w:type="dxa"/>
          </w:tcPr>
          <w:p w14:paraId="34C16096" w14:textId="77777777" w:rsidR="00250AC8" w:rsidRPr="00EC250C" w:rsidRDefault="00250AC8" w:rsidP="006C70B7">
            <w:pPr>
              <w:pStyle w:val="Tabela"/>
              <w:numPr>
                <w:ilvl w:val="0"/>
                <w:numId w:val="135"/>
              </w:numPr>
              <w:ind w:left="0" w:firstLine="0"/>
              <w:jc w:val="both"/>
            </w:pPr>
          </w:p>
        </w:tc>
        <w:tc>
          <w:tcPr>
            <w:tcW w:w="7614" w:type="dxa"/>
            <w:vAlign w:val="bottom"/>
          </w:tcPr>
          <w:p w14:paraId="79A31BC0" w14:textId="77777777" w:rsidR="00250AC8" w:rsidRPr="00EC250C" w:rsidRDefault="00250AC8" w:rsidP="00902FC6">
            <w:pPr>
              <w:pStyle w:val="Tabela"/>
              <w:rPr>
                <w:sz w:val="18"/>
                <w:szCs w:val="20"/>
              </w:rPr>
            </w:pPr>
            <w:r w:rsidRPr="00EC250C">
              <w:rPr>
                <w:sz w:val="18"/>
                <w:szCs w:val="20"/>
              </w:rPr>
              <w:t>Komisariat Policji Warszawa-Targówek – badanie prewencyjne.</w:t>
            </w:r>
          </w:p>
        </w:tc>
        <w:tc>
          <w:tcPr>
            <w:tcW w:w="1687" w:type="dxa"/>
          </w:tcPr>
          <w:p w14:paraId="016C9CF9" w14:textId="77777777" w:rsidR="00250AC8" w:rsidRPr="00EC250C" w:rsidRDefault="00250AC8" w:rsidP="00902FC6">
            <w:pPr>
              <w:pStyle w:val="Tabela"/>
              <w:rPr>
                <w:sz w:val="18"/>
                <w:szCs w:val="20"/>
              </w:rPr>
            </w:pPr>
            <w:r w:rsidRPr="00EC250C">
              <w:rPr>
                <w:sz w:val="18"/>
                <w:szCs w:val="20"/>
              </w:rPr>
              <w:t>24.09.2018</w:t>
            </w:r>
            <w:r w:rsidR="00C91F6E" w:rsidRPr="00EC250C">
              <w:rPr>
                <w:sz w:val="18"/>
                <w:szCs w:val="20"/>
              </w:rPr>
              <w:t> r.</w:t>
            </w:r>
          </w:p>
        </w:tc>
      </w:tr>
      <w:tr w:rsidR="00250AC8" w:rsidRPr="00EC250C" w14:paraId="5631F9E5" w14:textId="77777777" w:rsidTr="00B769A0">
        <w:trPr>
          <w:tblCellSpacing w:w="20" w:type="dxa"/>
        </w:trPr>
        <w:tc>
          <w:tcPr>
            <w:tcW w:w="375" w:type="dxa"/>
          </w:tcPr>
          <w:p w14:paraId="1B8DA67F" w14:textId="77777777" w:rsidR="00250AC8" w:rsidRPr="00EC250C" w:rsidRDefault="00250AC8" w:rsidP="006C70B7">
            <w:pPr>
              <w:pStyle w:val="Tabela"/>
              <w:numPr>
                <w:ilvl w:val="0"/>
                <w:numId w:val="135"/>
              </w:numPr>
              <w:ind w:left="0" w:firstLine="0"/>
              <w:jc w:val="both"/>
            </w:pPr>
          </w:p>
        </w:tc>
        <w:tc>
          <w:tcPr>
            <w:tcW w:w="7614" w:type="dxa"/>
            <w:vAlign w:val="bottom"/>
          </w:tcPr>
          <w:p w14:paraId="2439294F" w14:textId="77777777" w:rsidR="00250AC8" w:rsidRPr="00EC250C" w:rsidRDefault="00250AC8" w:rsidP="00902FC6">
            <w:pPr>
              <w:pStyle w:val="Tabela"/>
              <w:rPr>
                <w:sz w:val="18"/>
                <w:szCs w:val="20"/>
              </w:rPr>
            </w:pPr>
            <w:r w:rsidRPr="00EC250C">
              <w:rPr>
                <w:sz w:val="18"/>
                <w:szCs w:val="20"/>
              </w:rPr>
              <w:t>Komisariat Policji Warszawa-Wilanów – badanie prewencyjne.</w:t>
            </w:r>
          </w:p>
        </w:tc>
        <w:tc>
          <w:tcPr>
            <w:tcW w:w="1687" w:type="dxa"/>
          </w:tcPr>
          <w:p w14:paraId="3FF28701" w14:textId="77777777" w:rsidR="00250AC8" w:rsidRPr="00EC250C" w:rsidRDefault="00250AC8" w:rsidP="00902FC6">
            <w:pPr>
              <w:pStyle w:val="Tabela"/>
              <w:rPr>
                <w:sz w:val="18"/>
                <w:szCs w:val="20"/>
              </w:rPr>
            </w:pPr>
            <w:r w:rsidRPr="00EC250C">
              <w:rPr>
                <w:sz w:val="18"/>
                <w:szCs w:val="20"/>
              </w:rPr>
              <w:t>25.09.2018</w:t>
            </w:r>
            <w:r w:rsidR="00C91F6E" w:rsidRPr="00EC250C">
              <w:rPr>
                <w:sz w:val="18"/>
                <w:szCs w:val="20"/>
              </w:rPr>
              <w:t> r.</w:t>
            </w:r>
          </w:p>
        </w:tc>
      </w:tr>
      <w:tr w:rsidR="00250AC8" w:rsidRPr="00EC250C" w14:paraId="070F09EB" w14:textId="77777777" w:rsidTr="00B769A0">
        <w:trPr>
          <w:tblCellSpacing w:w="20" w:type="dxa"/>
        </w:trPr>
        <w:tc>
          <w:tcPr>
            <w:tcW w:w="375" w:type="dxa"/>
          </w:tcPr>
          <w:p w14:paraId="564C9970" w14:textId="77777777" w:rsidR="00250AC8" w:rsidRPr="00EC250C" w:rsidRDefault="00250AC8" w:rsidP="006C70B7">
            <w:pPr>
              <w:pStyle w:val="Tabela"/>
              <w:numPr>
                <w:ilvl w:val="0"/>
                <w:numId w:val="135"/>
              </w:numPr>
              <w:ind w:left="0" w:firstLine="0"/>
              <w:jc w:val="both"/>
            </w:pPr>
          </w:p>
        </w:tc>
        <w:tc>
          <w:tcPr>
            <w:tcW w:w="7614" w:type="dxa"/>
          </w:tcPr>
          <w:p w14:paraId="53A72FF5" w14:textId="77777777" w:rsidR="00250AC8" w:rsidRPr="00EC250C" w:rsidRDefault="00250AC8" w:rsidP="00902FC6">
            <w:pPr>
              <w:pStyle w:val="Tabela"/>
              <w:rPr>
                <w:sz w:val="18"/>
                <w:szCs w:val="20"/>
              </w:rPr>
            </w:pPr>
            <w:r w:rsidRPr="00EC250C">
              <w:rPr>
                <w:sz w:val="18"/>
                <w:szCs w:val="20"/>
              </w:rPr>
              <w:t>Pomieszczenia dla Osób Zatrzymanych przy Komendzie Miejskiej Policji</w:t>
            </w:r>
            <w:r w:rsidR="00992FD0" w:rsidRPr="00EC250C">
              <w:rPr>
                <w:sz w:val="18"/>
                <w:szCs w:val="20"/>
              </w:rPr>
              <w:t xml:space="preserve"> w </w:t>
            </w:r>
            <w:r w:rsidRPr="00EC250C">
              <w:rPr>
                <w:sz w:val="18"/>
                <w:szCs w:val="20"/>
              </w:rPr>
              <w:t>Tarnowie – badanie prewencyjne.</w:t>
            </w:r>
          </w:p>
        </w:tc>
        <w:tc>
          <w:tcPr>
            <w:tcW w:w="1687" w:type="dxa"/>
          </w:tcPr>
          <w:p w14:paraId="4FE7B4C7" w14:textId="77777777" w:rsidR="00250AC8" w:rsidRPr="00EC250C" w:rsidRDefault="00250AC8" w:rsidP="00902FC6">
            <w:pPr>
              <w:pStyle w:val="Tabela"/>
              <w:rPr>
                <w:sz w:val="18"/>
                <w:szCs w:val="20"/>
              </w:rPr>
            </w:pPr>
            <w:r w:rsidRPr="00EC250C">
              <w:rPr>
                <w:sz w:val="18"/>
                <w:szCs w:val="20"/>
              </w:rPr>
              <w:t>01.10.2018</w:t>
            </w:r>
            <w:r w:rsidR="00C91F6E" w:rsidRPr="00EC250C">
              <w:rPr>
                <w:sz w:val="18"/>
                <w:szCs w:val="20"/>
              </w:rPr>
              <w:t> r.</w:t>
            </w:r>
          </w:p>
        </w:tc>
      </w:tr>
      <w:tr w:rsidR="00250AC8" w:rsidRPr="00EC250C" w14:paraId="123854E8" w14:textId="77777777" w:rsidTr="00B769A0">
        <w:trPr>
          <w:tblCellSpacing w:w="20" w:type="dxa"/>
        </w:trPr>
        <w:tc>
          <w:tcPr>
            <w:tcW w:w="375" w:type="dxa"/>
          </w:tcPr>
          <w:p w14:paraId="66FC24C1" w14:textId="77777777" w:rsidR="00250AC8" w:rsidRPr="00EC250C" w:rsidRDefault="00250AC8" w:rsidP="006C70B7">
            <w:pPr>
              <w:pStyle w:val="Tabela"/>
              <w:numPr>
                <w:ilvl w:val="0"/>
                <w:numId w:val="135"/>
              </w:numPr>
              <w:ind w:left="0" w:firstLine="0"/>
              <w:jc w:val="both"/>
            </w:pPr>
          </w:p>
        </w:tc>
        <w:tc>
          <w:tcPr>
            <w:tcW w:w="7614" w:type="dxa"/>
          </w:tcPr>
          <w:p w14:paraId="721AFCA4" w14:textId="77777777" w:rsidR="00250AC8" w:rsidRPr="00EC250C" w:rsidRDefault="00250AC8" w:rsidP="00902FC6">
            <w:pPr>
              <w:pStyle w:val="Tabela"/>
              <w:rPr>
                <w:sz w:val="18"/>
                <w:szCs w:val="20"/>
                <w:shd w:val="clear" w:color="auto" w:fill="FFFEFE"/>
              </w:rPr>
            </w:pPr>
            <w:r w:rsidRPr="00EC250C">
              <w:rPr>
                <w:sz w:val="18"/>
                <w:szCs w:val="20"/>
                <w:shd w:val="clear" w:color="auto" w:fill="FFFEFE"/>
              </w:rPr>
              <w:t>Zakład Karny</w:t>
            </w:r>
            <w:r w:rsidR="00992FD0" w:rsidRPr="00EC250C">
              <w:rPr>
                <w:sz w:val="18"/>
                <w:szCs w:val="20"/>
                <w:shd w:val="clear" w:color="auto" w:fill="FFFEFE"/>
              </w:rPr>
              <w:t xml:space="preserve"> w </w:t>
            </w:r>
            <w:r w:rsidRPr="00EC250C">
              <w:rPr>
                <w:sz w:val="18"/>
                <w:szCs w:val="20"/>
                <w:shd w:val="clear" w:color="auto" w:fill="FFFEFE"/>
              </w:rPr>
              <w:t xml:space="preserve">Tarnowie </w:t>
            </w:r>
            <w:r w:rsidRPr="00EC250C">
              <w:rPr>
                <w:sz w:val="18"/>
                <w:szCs w:val="20"/>
              </w:rPr>
              <w:t>– badanie prewencyjne.</w:t>
            </w:r>
          </w:p>
        </w:tc>
        <w:tc>
          <w:tcPr>
            <w:tcW w:w="1687" w:type="dxa"/>
          </w:tcPr>
          <w:p w14:paraId="105B1B70" w14:textId="77777777" w:rsidR="00250AC8" w:rsidRPr="00EC250C" w:rsidRDefault="00250AC8" w:rsidP="00902FC6">
            <w:pPr>
              <w:pStyle w:val="Tabela"/>
              <w:rPr>
                <w:sz w:val="18"/>
                <w:szCs w:val="20"/>
              </w:rPr>
            </w:pPr>
            <w:r w:rsidRPr="00EC250C">
              <w:rPr>
                <w:sz w:val="18"/>
                <w:szCs w:val="20"/>
              </w:rPr>
              <w:t>02–04.10.2018</w:t>
            </w:r>
            <w:r w:rsidR="00C91F6E" w:rsidRPr="00EC250C">
              <w:rPr>
                <w:sz w:val="18"/>
                <w:szCs w:val="20"/>
              </w:rPr>
              <w:t> r.</w:t>
            </w:r>
          </w:p>
        </w:tc>
      </w:tr>
      <w:tr w:rsidR="00250AC8" w:rsidRPr="00EC250C" w14:paraId="6E74EFF4" w14:textId="77777777" w:rsidTr="00B769A0">
        <w:trPr>
          <w:tblCellSpacing w:w="20" w:type="dxa"/>
        </w:trPr>
        <w:tc>
          <w:tcPr>
            <w:tcW w:w="375" w:type="dxa"/>
          </w:tcPr>
          <w:p w14:paraId="161E0B1F" w14:textId="77777777" w:rsidR="00250AC8" w:rsidRPr="00EC250C" w:rsidRDefault="00250AC8" w:rsidP="006C70B7">
            <w:pPr>
              <w:pStyle w:val="Tabela"/>
              <w:numPr>
                <w:ilvl w:val="0"/>
                <w:numId w:val="135"/>
              </w:numPr>
              <w:ind w:left="0" w:firstLine="0"/>
              <w:jc w:val="both"/>
            </w:pPr>
          </w:p>
        </w:tc>
        <w:tc>
          <w:tcPr>
            <w:tcW w:w="7614" w:type="dxa"/>
          </w:tcPr>
          <w:p w14:paraId="199D58A4" w14:textId="77777777" w:rsidR="00250AC8" w:rsidRPr="00EC250C" w:rsidRDefault="00250AC8" w:rsidP="00902FC6">
            <w:pPr>
              <w:pStyle w:val="Tabela"/>
              <w:rPr>
                <w:sz w:val="18"/>
                <w:szCs w:val="20"/>
              </w:rPr>
            </w:pPr>
            <w:r w:rsidRPr="00EC250C">
              <w:rPr>
                <w:sz w:val="18"/>
                <w:szCs w:val="20"/>
              </w:rPr>
              <w:t>Zakład Karny</w:t>
            </w:r>
            <w:r w:rsidR="00992FD0" w:rsidRPr="00EC250C">
              <w:rPr>
                <w:sz w:val="18"/>
                <w:szCs w:val="20"/>
              </w:rPr>
              <w:t xml:space="preserve"> w </w:t>
            </w:r>
            <w:r w:rsidRPr="00EC250C">
              <w:rPr>
                <w:sz w:val="18"/>
                <w:szCs w:val="20"/>
              </w:rPr>
              <w:t>Łupkowie – badanie prewencyjne.</w:t>
            </w:r>
          </w:p>
        </w:tc>
        <w:tc>
          <w:tcPr>
            <w:tcW w:w="1687" w:type="dxa"/>
          </w:tcPr>
          <w:p w14:paraId="445E3DC8" w14:textId="77777777" w:rsidR="00250AC8" w:rsidRPr="00EC250C" w:rsidRDefault="00250AC8" w:rsidP="00902FC6">
            <w:pPr>
              <w:pStyle w:val="Tabela"/>
              <w:rPr>
                <w:sz w:val="18"/>
                <w:szCs w:val="20"/>
              </w:rPr>
            </w:pPr>
            <w:r w:rsidRPr="00EC250C">
              <w:rPr>
                <w:sz w:val="18"/>
                <w:szCs w:val="20"/>
              </w:rPr>
              <w:t>09–11.10.2018</w:t>
            </w:r>
            <w:r w:rsidR="00C91F6E" w:rsidRPr="00EC250C">
              <w:rPr>
                <w:sz w:val="18"/>
                <w:szCs w:val="20"/>
              </w:rPr>
              <w:t> r.</w:t>
            </w:r>
          </w:p>
        </w:tc>
      </w:tr>
      <w:tr w:rsidR="00250AC8" w:rsidRPr="00EC250C" w14:paraId="79A42B8E" w14:textId="77777777" w:rsidTr="00B769A0">
        <w:trPr>
          <w:tblCellSpacing w:w="20" w:type="dxa"/>
        </w:trPr>
        <w:tc>
          <w:tcPr>
            <w:tcW w:w="375" w:type="dxa"/>
          </w:tcPr>
          <w:p w14:paraId="17265CBA" w14:textId="77777777" w:rsidR="00250AC8" w:rsidRPr="00EC250C" w:rsidRDefault="00250AC8" w:rsidP="006C70B7">
            <w:pPr>
              <w:pStyle w:val="Tabela"/>
              <w:numPr>
                <w:ilvl w:val="0"/>
                <w:numId w:val="135"/>
              </w:numPr>
              <w:ind w:left="0" w:firstLine="0"/>
              <w:jc w:val="both"/>
            </w:pPr>
          </w:p>
        </w:tc>
        <w:tc>
          <w:tcPr>
            <w:tcW w:w="7614" w:type="dxa"/>
          </w:tcPr>
          <w:p w14:paraId="35C0136D" w14:textId="77777777" w:rsidR="00250AC8" w:rsidRPr="00EC250C" w:rsidRDefault="00250AC8" w:rsidP="00902FC6">
            <w:pPr>
              <w:pStyle w:val="Tabela"/>
              <w:rPr>
                <w:sz w:val="18"/>
                <w:szCs w:val="20"/>
              </w:rPr>
            </w:pPr>
            <w:r w:rsidRPr="00EC250C">
              <w:rPr>
                <w:sz w:val="18"/>
                <w:szCs w:val="20"/>
              </w:rPr>
              <w:t>Oddział Zewnętrzny (Zakładu Karnego</w:t>
            </w:r>
            <w:r w:rsidR="00992FD0" w:rsidRPr="00EC250C">
              <w:rPr>
                <w:sz w:val="18"/>
                <w:szCs w:val="20"/>
              </w:rPr>
              <w:t xml:space="preserve"> w </w:t>
            </w:r>
            <w:r w:rsidRPr="00EC250C">
              <w:rPr>
                <w:sz w:val="18"/>
                <w:szCs w:val="20"/>
              </w:rPr>
              <w:t>Łupkowie)</w:t>
            </w:r>
            <w:r w:rsidR="00992FD0" w:rsidRPr="00EC250C">
              <w:rPr>
                <w:sz w:val="18"/>
                <w:szCs w:val="20"/>
              </w:rPr>
              <w:t xml:space="preserve"> w </w:t>
            </w:r>
            <w:r w:rsidRPr="00EC250C">
              <w:rPr>
                <w:sz w:val="18"/>
                <w:szCs w:val="20"/>
              </w:rPr>
              <w:t>Komańczy (Moszczańcu) – badanie prewencyjne.</w:t>
            </w:r>
          </w:p>
        </w:tc>
        <w:tc>
          <w:tcPr>
            <w:tcW w:w="1687" w:type="dxa"/>
          </w:tcPr>
          <w:p w14:paraId="24B61DDB" w14:textId="77777777" w:rsidR="00250AC8" w:rsidRPr="00EC250C" w:rsidRDefault="00250AC8" w:rsidP="00902FC6">
            <w:pPr>
              <w:pStyle w:val="Tabela"/>
              <w:rPr>
                <w:sz w:val="18"/>
                <w:szCs w:val="20"/>
              </w:rPr>
            </w:pPr>
            <w:r w:rsidRPr="00EC250C">
              <w:rPr>
                <w:sz w:val="18"/>
                <w:szCs w:val="20"/>
              </w:rPr>
              <w:t>10.10.2018</w:t>
            </w:r>
            <w:r w:rsidR="00C91F6E" w:rsidRPr="00EC250C">
              <w:rPr>
                <w:sz w:val="18"/>
                <w:szCs w:val="20"/>
              </w:rPr>
              <w:t> r.</w:t>
            </w:r>
          </w:p>
        </w:tc>
      </w:tr>
      <w:tr w:rsidR="00250AC8" w:rsidRPr="00EC250C" w14:paraId="4214DA6E" w14:textId="77777777" w:rsidTr="00B769A0">
        <w:trPr>
          <w:tblCellSpacing w:w="20" w:type="dxa"/>
        </w:trPr>
        <w:tc>
          <w:tcPr>
            <w:tcW w:w="375" w:type="dxa"/>
          </w:tcPr>
          <w:p w14:paraId="2A27CDFD" w14:textId="77777777" w:rsidR="00250AC8" w:rsidRPr="00EC250C" w:rsidRDefault="00250AC8" w:rsidP="006C70B7">
            <w:pPr>
              <w:pStyle w:val="Tabela"/>
              <w:numPr>
                <w:ilvl w:val="0"/>
                <w:numId w:val="135"/>
              </w:numPr>
              <w:ind w:left="0" w:firstLine="0"/>
              <w:jc w:val="both"/>
            </w:pPr>
          </w:p>
        </w:tc>
        <w:tc>
          <w:tcPr>
            <w:tcW w:w="7614" w:type="dxa"/>
            <w:vAlign w:val="bottom"/>
          </w:tcPr>
          <w:p w14:paraId="54162FDC" w14:textId="77777777" w:rsidR="00250AC8" w:rsidRPr="00EC250C" w:rsidRDefault="00250AC8" w:rsidP="00902FC6">
            <w:pPr>
              <w:pStyle w:val="Tabela"/>
              <w:rPr>
                <w:sz w:val="18"/>
                <w:szCs w:val="20"/>
              </w:rPr>
            </w:pPr>
            <w:r w:rsidRPr="00EC250C">
              <w:rPr>
                <w:sz w:val="18"/>
                <w:szCs w:val="20"/>
              </w:rPr>
              <w:t>Zakład Opiekuńczo-Leczniczy „Veni Vidi Vici”</w:t>
            </w:r>
            <w:r w:rsidR="00992FD0" w:rsidRPr="00EC250C">
              <w:rPr>
                <w:sz w:val="18"/>
                <w:szCs w:val="20"/>
              </w:rPr>
              <w:t xml:space="preserve"> w </w:t>
            </w:r>
            <w:r w:rsidRPr="00EC250C">
              <w:rPr>
                <w:sz w:val="18"/>
                <w:szCs w:val="20"/>
              </w:rPr>
              <w:t>Grębiszewie – badanie prewencyjne.</w:t>
            </w:r>
          </w:p>
        </w:tc>
        <w:tc>
          <w:tcPr>
            <w:tcW w:w="1687" w:type="dxa"/>
          </w:tcPr>
          <w:p w14:paraId="7236F9AA" w14:textId="77777777" w:rsidR="00250AC8" w:rsidRPr="00EC250C" w:rsidRDefault="00250AC8" w:rsidP="00902FC6">
            <w:pPr>
              <w:pStyle w:val="Tabela"/>
              <w:rPr>
                <w:sz w:val="18"/>
                <w:szCs w:val="20"/>
              </w:rPr>
            </w:pPr>
            <w:r w:rsidRPr="00EC250C">
              <w:rPr>
                <w:sz w:val="18"/>
                <w:szCs w:val="20"/>
              </w:rPr>
              <w:t>15–16.10.2018</w:t>
            </w:r>
            <w:r w:rsidR="00C91F6E" w:rsidRPr="00EC250C">
              <w:rPr>
                <w:sz w:val="18"/>
                <w:szCs w:val="20"/>
              </w:rPr>
              <w:t> r.</w:t>
            </w:r>
          </w:p>
        </w:tc>
      </w:tr>
      <w:tr w:rsidR="00250AC8" w:rsidRPr="00EC250C" w14:paraId="54762CA1" w14:textId="77777777" w:rsidTr="00B769A0">
        <w:trPr>
          <w:tblCellSpacing w:w="20" w:type="dxa"/>
        </w:trPr>
        <w:tc>
          <w:tcPr>
            <w:tcW w:w="375" w:type="dxa"/>
          </w:tcPr>
          <w:p w14:paraId="350C888D" w14:textId="77777777" w:rsidR="00250AC8" w:rsidRPr="00EC250C" w:rsidRDefault="00250AC8" w:rsidP="006C70B7">
            <w:pPr>
              <w:pStyle w:val="Tabela"/>
              <w:numPr>
                <w:ilvl w:val="0"/>
                <w:numId w:val="135"/>
              </w:numPr>
              <w:ind w:left="0" w:firstLine="0"/>
              <w:jc w:val="both"/>
            </w:pPr>
          </w:p>
        </w:tc>
        <w:tc>
          <w:tcPr>
            <w:tcW w:w="7614" w:type="dxa"/>
            <w:vAlign w:val="bottom"/>
          </w:tcPr>
          <w:p w14:paraId="3CDF53DA" w14:textId="77777777" w:rsidR="00250AC8" w:rsidRPr="00EC250C" w:rsidRDefault="00250AC8" w:rsidP="00902FC6">
            <w:pPr>
              <w:pStyle w:val="Tabela"/>
              <w:rPr>
                <w:sz w:val="18"/>
                <w:szCs w:val="20"/>
              </w:rPr>
            </w:pPr>
            <w:r w:rsidRPr="00EC250C">
              <w:rPr>
                <w:sz w:val="18"/>
                <w:szCs w:val="20"/>
              </w:rPr>
              <w:t>Pomieszczenia dla Osób Zatrzymanych przy Komendzie Powiatowej Policji</w:t>
            </w:r>
            <w:r w:rsidR="00992FD0" w:rsidRPr="00EC250C">
              <w:rPr>
                <w:sz w:val="18"/>
                <w:szCs w:val="20"/>
              </w:rPr>
              <w:t xml:space="preserve"> w </w:t>
            </w:r>
            <w:r w:rsidRPr="00EC250C">
              <w:rPr>
                <w:sz w:val="18"/>
                <w:szCs w:val="20"/>
              </w:rPr>
              <w:t>Mińsku Mazowieckim – badanie prewencyjne.</w:t>
            </w:r>
          </w:p>
        </w:tc>
        <w:tc>
          <w:tcPr>
            <w:tcW w:w="1687" w:type="dxa"/>
          </w:tcPr>
          <w:p w14:paraId="5EA0A8BC" w14:textId="77777777" w:rsidR="00250AC8" w:rsidRPr="00EC250C" w:rsidRDefault="00250AC8" w:rsidP="00902FC6">
            <w:pPr>
              <w:pStyle w:val="Tabela"/>
              <w:rPr>
                <w:sz w:val="18"/>
                <w:szCs w:val="20"/>
              </w:rPr>
            </w:pPr>
            <w:r w:rsidRPr="00EC250C">
              <w:rPr>
                <w:sz w:val="18"/>
                <w:szCs w:val="20"/>
              </w:rPr>
              <w:t>17.10.2018</w:t>
            </w:r>
            <w:r w:rsidR="00C91F6E" w:rsidRPr="00EC250C">
              <w:rPr>
                <w:sz w:val="18"/>
                <w:szCs w:val="20"/>
              </w:rPr>
              <w:t> r.</w:t>
            </w:r>
          </w:p>
        </w:tc>
      </w:tr>
      <w:tr w:rsidR="00250AC8" w:rsidRPr="00EC250C" w14:paraId="3BFC5574" w14:textId="77777777" w:rsidTr="00B769A0">
        <w:trPr>
          <w:tblCellSpacing w:w="20" w:type="dxa"/>
        </w:trPr>
        <w:tc>
          <w:tcPr>
            <w:tcW w:w="375" w:type="dxa"/>
          </w:tcPr>
          <w:p w14:paraId="549B11C0" w14:textId="77777777" w:rsidR="00250AC8" w:rsidRPr="00EC250C" w:rsidRDefault="00250AC8" w:rsidP="006C70B7">
            <w:pPr>
              <w:pStyle w:val="Tabela"/>
              <w:numPr>
                <w:ilvl w:val="0"/>
                <w:numId w:val="135"/>
              </w:numPr>
              <w:ind w:left="0" w:firstLine="0"/>
              <w:jc w:val="both"/>
            </w:pPr>
          </w:p>
        </w:tc>
        <w:tc>
          <w:tcPr>
            <w:tcW w:w="7614" w:type="dxa"/>
            <w:vAlign w:val="bottom"/>
          </w:tcPr>
          <w:p w14:paraId="5C04D6DA" w14:textId="77777777" w:rsidR="00250AC8" w:rsidRPr="00EC250C" w:rsidRDefault="00250AC8" w:rsidP="00902FC6">
            <w:pPr>
              <w:pStyle w:val="Tabela"/>
              <w:rPr>
                <w:sz w:val="18"/>
                <w:szCs w:val="20"/>
              </w:rPr>
            </w:pPr>
            <w:r w:rsidRPr="00EC250C">
              <w:rPr>
                <w:sz w:val="18"/>
                <w:szCs w:val="20"/>
              </w:rPr>
              <w:t>Dom Pomocy Społecznej</w:t>
            </w:r>
            <w:r w:rsidR="00992FD0" w:rsidRPr="00EC250C">
              <w:rPr>
                <w:sz w:val="18"/>
                <w:szCs w:val="20"/>
              </w:rPr>
              <w:t xml:space="preserve"> w </w:t>
            </w:r>
            <w:r w:rsidRPr="00EC250C">
              <w:rPr>
                <w:sz w:val="18"/>
                <w:szCs w:val="20"/>
              </w:rPr>
              <w:t>Zochcinku k. Opatowa – badanie prewencyjne.</w:t>
            </w:r>
          </w:p>
        </w:tc>
        <w:tc>
          <w:tcPr>
            <w:tcW w:w="1687" w:type="dxa"/>
          </w:tcPr>
          <w:p w14:paraId="40B35CCF" w14:textId="77777777" w:rsidR="00250AC8" w:rsidRPr="00EC250C" w:rsidRDefault="00250AC8" w:rsidP="00902FC6">
            <w:pPr>
              <w:pStyle w:val="Tabela"/>
              <w:rPr>
                <w:sz w:val="18"/>
                <w:szCs w:val="20"/>
              </w:rPr>
            </w:pPr>
            <w:r w:rsidRPr="00EC250C">
              <w:rPr>
                <w:sz w:val="18"/>
                <w:szCs w:val="20"/>
              </w:rPr>
              <w:t>24–25.10.2018</w:t>
            </w:r>
            <w:r w:rsidR="00C91F6E" w:rsidRPr="00EC250C">
              <w:rPr>
                <w:sz w:val="18"/>
                <w:szCs w:val="20"/>
              </w:rPr>
              <w:t> r.</w:t>
            </w:r>
          </w:p>
        </w:tc>
      </w:tr>
      <w:tr w:rsidR="00250AC8" w:rsidRPr="00EC250C" w14:paraId="0B138828" w14:textId="77777777" w:rsidTr="00B769A0">
        <w:trPr>
          <w:tblCellSpacing w:w="20" w:type="dxa"/>
        </w:trPr>
        <w:tc>
          <w:tcPr>
            <w:tcW w:w="375" w:type="dxa"/>
          </w:tcPr>
          <w:p w14:paraId="5A671E54" w14:textId="77777777" w:rsidR="00250AC8" w:rsidRPr="00EC250C" w:rsidRDefault="00250AC8" w:rsidP="006C70B7">
            <w:pPr>
              <w:pStyle w:val="Tabela"/>
              <w:numPr>
                <w:ilvl w:val="0"/>
                <w:numId w:val="135"/>
              </w:numPr>
              <w:ind w:left="0" w:firstLine="0"/>
              <w:jc w:val="both"/>
            </w:pPr>
          </w:p>
        </w:tc>
        <w:tc>
          <w:tcPr>
            <w:tcW w:w="7614" w:type="dxa"/>
            <w:vAlign w:val="bottom"/>
          </w:tcPr>
          <w:p w14:paraId="41035887" w14:textId="77777777" w:rsidR="00250AC8" w:rsidRPr="00EC250C" w:rsidRDefault="00250AC8" w:rsidP="00902FC6">
            <w:pPr>
              <w:pStyle w:val="Tabela"/>
              <w:rPr>
                <w:sz w:val="18"/>
                <w:szCs w:val="20"/>
              </w:rPr>
            </w:pPr>
            <w:r w:rsidRPr="00EC250C">
              <w:rPr>
                <w:sz w:val="18"/>
                <w:szCs w:val="20"/>
              </w:rPr>
              <w:t>Strzeżony Ośrodek dla Cudzoziemców</w:t>
            </w:r>
            <w:r w:rsidR="00992FD0" w:rsidRPr="00EC250C">
              <w:rPr>
                <w:sz w:val="18"/>
                <w:szCs w:val="20"/>
              </w:rPr>
              <w:t xml:space="preserve"> w </w:t>
            </w:r>
            <w:r w:rsidRPr="00EC250C">
              <w:rPr>
                <w:sz w:val="18"/>
                <w:szCs w:val="20"/>
              </w:rPr>
              <w:t>Białymstoku – badanie prewencyjne.</w:t>
            </w:r>
          </w:p>
        </w:tc>
        <w:tc>
          <w:tcPr>
            <w:tcW w:w="1687" w:type="dxa"/>
          </w:tcPr>
          <w:p w14:paraId="38680EFB" w14:textId="77777777" w:rsidR="00250AC8" w:rsidRPr="00EC250C" w:rsidRDefault="00250AC8" w:rsidP="00902FC6">
            <w:pPr>
              <w:pStyle w:val="Tabela"/>
              <w:rPr>
                <w:sz w:val="18"/>
                <w:szCs w:val="20"/>
              </w:rPr>
            </w:pPr>
            <w:r w:rsidRPr="00EC250C">
              <w:rPr>
                <w:sz w:val="18"/>
                <w:szCs w:val="20"/>
              </w:rPr>
              <w:t>05–07.11.2018</w:t>
            </w:r>
            <w:r w:rsidR="00C91F6E" w:rsidRPr="00EC250C">
              <w:rPr>
                <w:sz w:val="18"/>
                <w:szCs w:val="20"/>
              </w:rPr>
              <w:t> r.</w:t>
            </w:r>
          </w:p>
        </w:tc>
      </w:tr>
      <w:tr w:rsidR="00250AC8" w:rsidRPr="00EC250C" w14:paraId="0DF12B9D" w14:textId="77777777" w:rsidTr="00B769A0">
        <w:trPr>
          <w:tblCellSpacing w:w="20" w:type="dxa"/>
        </w:trPr>
        <w:tc>
          <w:tcPr>
            <w:tcW w:w="375" w:type="dxa"/>
          </w:tcPr>
          <w:p w14:paraId="075B1943" w14:textId="77777777" w:rsidR="00250AC8" w:rsidRPr="00EC250C" w:rsidRDefault="00250AC8" w:rsidP="006C70B7">
            <w:pPr>
              <w:pStyle w:val="Tabela"/>
              <w:numPr>
                <w:ilvl w:val="0"/>
                <w:numId w:val="135"/>
              </w:numPr>
              <w:ind w:left="0" w:firstLine="0"/>
              <w:jc w:val="both"/>
            </w:pPr>
          </w:p>
        </w:tc>
        <w:tc>
          <w:tcPr>
            <w:tcW w:w="7614" w:type="dxa"/>
            <w:vAlign w:val="bottom"/>
          </w:tcPr>
          <w:p w14:paraId="4CE4D1B1" w14:textId="77777777" w:rsidR="00250AC8" w:rsidRPr="00EC250C" w:rsidRDefault="00250AC8" w:rsidP="00902FC6">
            <w:pPr>
              <w:pStyle w:val="Tabela"/>
              <w:rPr>
                <w:sz w:val="18"/>
                <w:szCs w:val="20"/>
              </w:rPr>
            </w:pPr>
            <w:r w:rsidRPr="00EC250C">
              <w:rPr>
                <w:sz w:val="18"/>
                <w:szCs w:val="20"/>
              </w:rPr>
              <w:t>Pomieszczenia dla Osób Zatrzymanych przy Komendzie Miejskiej Policji</w:t>
            </w:r>
            <w:r w:rsidR="00992FD0" w:rsidRPr="00EC250C">
              <w:rPr>
                <w:sz w:val="18"/>
                <w:szCs w:val="20"/>
              </w:rPr>
              <w:t xml:space="preserve"> w </w:t>
            </w:r>
            <w:r w:rsidRPr="00EC250C">
              <w:rPr>
                <w:sz w:val="18"/>
                <w:szCs w:val="20"/>
              </w:rPr>
              <w:t>Białymstoku – badanie prewencyjne.</w:t>
            </w:r>
          </w:p>
        </w:tc>
        <w:tc>
          <w:tcPr>
            <w:tcW w:w="1687" w:type="dxa"/>
          </w:tcPr>
          <w:p w14:paraId="014D4F8B" w14:textId="77777777" w:rsidR="00250AC8" w:rsidRPr="00EC250C" w:rsidRDefault="00250AC8" w:rsidP="00902FC6">
            <w:pPr>
              <w:pStyle w:val="Tabela"/>
              <w:rPr>
                <w:sz w:val="18"/>
                <w:szCs w:val="20"/>
              </w:rPr>
            </w:pPr>
            <w:r w:rsidRPr="00EC250C">
              <w:rPr>
                <w:sz w:val="18"/>
                <w:szCs w:val="20"/>
              </w:rPr>
              <w:t>08.11.2018</w:t>
            </w:r>
            <w:r w:rsidR="00C91F6E" w:rsidRPr="00EC250C">
              <w:rPr>
                <w:sz w:val="18"/>
                <w:szCs w:val="20"/>
              </w:rPr>
              <w:t> r.</w:t>
            </w:r>
          </w:p>
        </w:tc>
      </w:tr>
      <w:tr w:rsidR="00250AC8" w:rsidRPr="00EC250C" w14:paraId="150D1A92" w14:textId="77777777" w:rsidTr="00B769A0">
        <w:trPr>
          <w:tblCellSpacing w:w="20" w:type="dxa"/>
        </w:trPr>
        <w:tc>
          <w:tcPr>
            <w:tcW w:w="375" w:type="dxa"/>
          </w:tcPr>
          <w:p w14:paraId="7822EEA4" w14:textId="77777777" w:rsidR="00250AC8" w:rsidRPr="00EC250C" w:rsidRDefault="00250AC8" w:rsidP="006C70B7">
            <w:pPr>
              <w:pStyle w:val="Tabela"/>
              <w:numPr>
                <w:ilvl w:val="0"/>
                <w:numId w:val="135"/>
              </w:numPr>
              <w:ind w:left="0" w:firstLine="0"/>
              <w:jc w:val="both"/>
            </w:pPr>
          </w:p>
        </w:tc>
        <w:tc>
          <w:tcPr>
            <w:tcW w:w="7614" w:type="dxa"/>
            <w:vAlign w:val="bottom"/>
          </w:tcPr>
          <w:p w14:paraId="6F29EF4A" w14:textId="77777777" w:rsidR="00250AC8" w:rsidRPr="00EC250C" w:rsidRDefault="00250AC8" w:rsidP="00902FC6">
            <w:pPr>
              <w:pStyle w:val="Tabela"/>
              <w:rPr>
                <w:sz w:val="18"/>
                <w:szCs w:val="20"/>
              </w:rPr>
            </w:pPr>
            <w:r w:rsidRPr="00EC250C">
              <w:rPr>
                <w:sz w:val="18"/>
                <w:szCs w:val="20"/>
              </w:rPr>
              <w:t>Zakład Karny</w:t>
            </w:r>
            <w:r w:rsidR="00992FD0" w:rsidRPr="00EC250C">
              <w:rPr>
                <w:sz w:val="18"/>
                <w:szCs w:val="20"/>
              </w:rPr>
              <w:t xml:space="preserve"> w </w:t>
            </w:r>
            <w:r w:rsidRPr="00EC250C">
              <w:rPr>
                <w:sz w:val="18"/>
                <w:szCs w:val="20"/>
              </w:rPr>
              <w:t>Bydgoszczy-Fordonie – badanie prewencyjne.</w:t>
            </w:r>
          </w:p>
        </w:tc>
        <w:tc>
          <w:tcPr>
            <w:tcW w:w="1687" w:type="dxa"/>
          </w:tcPr>
          <w:p w14:paraId="36CDED15" w14:textId="77777777" w:rsidR="00250AC8" w:rsidRPr="00EC250C" w:rsidRDefault="00250AC8" w:rsidP="00902FC6">
            <w:pPr>
              <w:pStyle w:val="Tabela"/>
              <w:rPr>
                <w:sz w:val="18"/>
                <w:szCs w:val="20"/>
              </w:rPr>
            </w:pPr>
            <w:r w:rsidRPr="00EC250C">
              <w:rPr>
                <w:sz w:val="18"/>
                <w:szCs w:val="20"/>
              </w:rPr>
              <w:t>13–15.11.2018</w:t>
            </w:r>
            <w:r w:rsidR="00C91F6E" w:rsidRPr="00EC250C">
              <w:rPr>
                <w:sz w:val="18"/>
                <w:szCs w:val="20"/>
              </w:rPr>
              <w:t> r.</w:t>
            </w:r>
          </w:p>
        </w:tc>
      </w:tr>
      <w:tr w:rsidR="00250AC8" w:rsidRPr="00EC250C" w14:paraId="59751EFF" w14:textId="77777777" w:rsidTr="00B769A0">
        <w:trPr>
          <w:tblCellSpacing w:w="20" w:type="dxa"/>
        </w:trPr>
        <w:tc>
          <w:tcPr>
            <w:tcW w:w="375" w:type="dxa"/>
          </w:tcPr>
          <w:p w14:paraId="32C101A5" w14:textId="77777777" w:rsidR="00250AC8" w:rsidRPr="00EC250C" w:rsidRDefault="00250AC8" w:rsidP="006C70B7">
            <w:pPr>
              <w:pStyle w:val="Tabela"/>
              <w:numPr>
                <w:ilvl w:val="0"/>
                <w:numId w:val="135"/>
              </w:numPr>
              <w:ind w:left="0" w:firstLine="0"/>
              <w:jc w:val="both"/>
            </w:pPr>
          </w:p>
        </w:tc>
        <w:tc>
          <w:tcPr>
            <w:tcW w:w="7614" w:type="dxa"/>
            <w:vAlign w:val="bottom"/>
          </w:tcPr>
          <w:p w14:paraId="3168F008" w14:textId="77777777" w:rsidR="00250AC8" w:rsidRPr="00EC250C" w:rsidRDefault="00250AC8" w:rsidP="00902FC6">
            <w:pPr>
              <w:pStyle w:val="Tabela"/>
              <w:rPr>
                <w:sz w:val="18"/>
                <w:szCs w:val="20"/>
              </w:rPr>
            </w:pPr>
            <w:r w:rsidRPr="00EC250C">
              <w:rPr>
                <w:sz w:val="18"/>
                <w:szCs w:val="20"/>
              </w:rPr>
              <w:t>Zakład Karny we Włocławku – badanie prewencyjne.</w:t>
            </w:r>
          </w:p>
        </w:tc>
        <w:tc>
          <w:tcPr>
            <w:tcW w:w="1687" w:type="dxa"/>
          </w:tcPr>
          <w:p w14:paraId="21CD3BA0" w14:textId="77777777" w:rsidR="00250AC8" w:rsidRPr="00EC250C" w:rsidRDefault="00250AC8" w:rsidP="00902FC6">
            <w:pPr>
              <w:pStyle w:val="Tabela"/>
              <w:rPr>
                <w:sz w:val="18"/>
                <w:szCs w:val="20"/>
              </w:rPr>
            </w:pPr>
            <w:r w:rsidRPr="00EC250C">
              <w:rPr>
                <w:sz w:val="18"/>
                <w:szCs w:val="20"/>
              </w:rPr>
              <w:t>19–21.11.2018</w:t>
            </w:r>
            <w:r w:rsidR="00C91F6E" w:rsidRPr="00EC250C">
              <w:rPr>
                <w:sz w:val="18"/>
                <w:szCs w:val="20"/>
              </w:rPr>
              <w:t> r.</w:t>
            </w:r>
          </w:p>
        </w:tc>
      </w:tr>
      <w:tr w:rsidR="00250AC8" w:rsidRPr="00EC250C" w14:paraId="6BD06A1A" w14:textId="77777777" w:rsidTr="00B769A0">
        <w:trPr>
          <w:tblCellSpacing w:w="20" w:type="dxa"/>
        </w:trPr>
        <w:tc>
          <w:tcPr>
            <w:tcW w:w="375" w:type="dxa"/>
          </w:tcPr>
          <w:p w14:paraId="7D330D7A" w14:textId="77777777" w:rsidR="00250AC8" w:rsidRPr="00EC250C" w:rsidRDefault="00250AC8" w:rsidP="006C70B7">
            <w:pPr>
              <w:pStyle w:val="Tabela"/>
              <w:numPr>
                <w:ilvl w:val="0"/>
                <w:numId w:val="135"/>
              </w:numPr>
              <w:ind w:left="0" w:firstLine="0"/>
              <w:jc w:val="both"/>
            </w:pPr>
          </w:p>
        </w:tc>
        <w:tc>
          <w:tcPr>
            <w:tcW w:w="7614" w:type="dxa"/>
            <w:vAlign w:val="bottom"/>
          </w:tcPr>
          <w:p w14:paraId="2A98F04A" w14:textId="77777777" w:rsidR="00250AC8" w:rsidRPr="00EC250C" w:rsidRDefault="00250AC8" w:rsidP="00902FC6">
            <w:pPr>
              <w:pStyle w:val="Tabela"/>
              <w:rPr>
                <w:sz w:val="18"/>
                <w:szCs w:val="20"/>
              </w:rPr>
            </w:pPr>
            <w:r w:rsidRPr="00EC250C">
              <w:rPr>
                <w:sz w:val="18"/>
                <w:szCs w:val="20"/>
              </w:rPr>
              <w:t>Pomieszczenia dla Osób Zatrzymanych przy Komendzie Miejskiej Policji we Włocławku – badanie prewencyjne.</w:t>
            </w:r>
          </w:p>
        </w:tc>
        <w:tc>
          <w:tcPr>
            <w:tcW w:w="1687" w:type="dxa"/>
          </w:tcPr>
          <w:p w14:paraId="4847212C" w14:textId="77777777" w:rsidR="00250AC8" w:rsidRPr="00EC250C" w:rsidRDefault="00250AC8" w:rsidP="00902FC6">
            <w:pPr>
              <w:pStyle w:val="Tabela"/>
              <w:rPr>
                <w:sz w:val="18"/>
                <w:szCs w:val="20"/>
              </w:rPr>
            </w:pPr>
            <w:r w:rsidRPr="00EC250C">
              <w:rPr>
                <w:sz w:val="18"/>
                <w:szCs w:val="20"/>
              </w:rPr>
              <w:t>22.11.2018</w:t>
            </w:r>
            <w:r w:rsidR="00C91F6E" w:rsidRPr="00EC250C">
              <w:rPr>
                <w:sz w:val="18"/>
                <w:szCs w:val="20"/>
              </w:rPr>
              <w:t> r.</w:t>
            </w:r>
          </w:p>
        </w:tc>
      </w:tr>
      <w:tr w:rsidR="00250AC8" w:rsidRPr="00EC250C" w14:paraId="5AA7179A" w14:textId="77777777" w:rsidTr="00B769A0">
        <w:trPr>
          <w:tblCellSpacing w:w="20" w:type="dxa"/>
        </w:trPr>
        <w:tc>
          <w:tcPr>
            <w:tcW w:w="375" w:type="dxa"/>
          </w:tcPr>
          <w:p w14:paraId="35834E79" w14:textId="77777777" w:rsidR="00250AC8" w:rsidRPr="00EC250C" w:rsidRDefault="00250AC8" w:rsidP="006C70B7">
            <w:pPr>
              <w:pStyle w:val="Tabela"/>
              <w:numPr>
                <w:ilvl w:val="0"/>
                <w:numId w:val="135"/>
              </w:numPr>
              <w:ind w:left="0" w:firstLine="0"/>
              <w:jc w:val="both"/>
            </w:pPr>
          </w:p>
        </w:tc>
        <w:tc>
          <w:tcPr>
            <w:tcW w:w="7614" w:type="dxa"/>
            <w:vAlign w:val="bottom"/>
          </w:tcPr>
          <w:p w14:paraId="09664882" w14:textId="77777777" w:rsidR="00250AC8" w:rsidRPr="00EC250C" w:rsidRDefault="00250AC8" w:rsidP="00902FC6">
            <w:pPr>
              <w:pStyle w:val="Tabela"/>
              <w:rPr>
                <w:sz w:val="18"/>
                <w:szCs w:val="20"/>
              </w:rPr>
            </w:pPr>
            <w:r w:rsidRPr="00EC250C">
              <w:rPr>
                <w:sz w:val="18"/>
                <w:szCs w:val="20"/>
              </w:rPr>
              <w:t>Placówka Całodobowej Opieki „Dom Opieki Florans”</w:t>
            </w:r>
            <w:r w:rsidR="00992FD0" w:rsidRPr="00EC250C">
              <w:rPr>
                <w:sz w:val="18"/>
                <w:szCs w:val="20"/>
              </w:rPr>
              <w:t xml:space="preserve"> w </w:t>
            </w:r>
            <w:r w:rsidRPr="00EC250C">
              <w:rPr>
                <w:sz w:val="18"/>
                <w:szCs w:val="20"/>
              </w:rPr>
              <w:t>Starych Babicach – badanie prewencyjne.</w:t>
            </w:r>
          </w:p>
        </w:tc>
        <w:tc>
          <w:tcPr>
            <w:tcW w:w="1687" w:type="dxa"/>
          </w:tcPr>
          <w:p w14:paraId="33F860D2" w14:textId="77777777" w:rsidR="00250AC8" w:rsidRPr="00EC250C" w:rsidRDefault="00250AC8" w:rsidP="00902FC6">
            <w:pPr>
              <w:pStyle w:val="Tabela"/>
              <w:rPr>
                <w:sz w:val="18"/>
                <w:szCs w:val="20"/>
              </w:rPr>
            </w:pPr>
            <w:r w:rsidRPr="00EC250C">
              <w:rPr>
                <w:sz w:val="18"/>
                <w:szCs w:val="20"/>
              </w:rPr>
              <w:t>03–04.12.2018</w:t>
            </w:r>
            <w:r w:rsidR="00C91F6E" w:rsidRPr="00EC250C">
              <w:rPr>
                <w:sz w:val="18"/>
                <w:szCs w:val="20"/>
              </w:rPr>
              <w:t> r.</w:t>
            </w:r>
          </w:p>
        </w:tc>
      </w:tr>
      <w:tr w:rsidR="00250AC8" w:rsidRPr="00EC250C" w14:paraId="2A35B205" w14:textId="77777777" w:rsidTr="00B769A0">
        <w:trPr>
          <w:tblCellSpacing w:w="20" w:type="dxa"/>
        </w:trPr>
        <w:tc>
          <w:tcPr>
            <w:tcW w:w="375" w:type="dxa"/>
          </w:tcPr>
          <w:p w14:paraId="57415B71" w14:textId="77777777" w:rsidR="00250AC8" w:rsidRPr="00EC250C" w:rsidRDefault="00250AC8" w:rsidP="006C70B7">
            <w:pPr>
              <w:pStyle w:val="Tabela"/>
              <w:numPr>
                <w:ilvl w:val="0"/>
                <w:numId w:val="135"/>
              </w:numPr>
              <w:ind w:left="0" w:firstLine="0"/>
              <w:jc w:val="both"/>
            </w:pPr>
          </w:p>
        </w:tc>
        <w:tc>
          <w:tcPr>
            <w:tcW w:w="7614" w:type="dxa"/>
            <w:vAlign w:val="bottom"/>
          </w:tcPr>
          <w:p w14:paraId="015DD87E" w14:textId="77777777" w:rsidR="00250AC8" w:rsidRPr="00EC250C" w:rsidRDefault="00250AC8" w:rsidP="00902FC6">
            <w:pPr>
              <w:pStyle w:val="Tabela"/>
              <w:rPr>
                <w:sz w:val="18"/>
                <w:szCs w:val="20"/>
              </w:rPr>
            </w:pPr>
            <w:r w:rsidRPr="00EC250C">
              <w:rPr>
                <w:sz w:val="18"/>
                <w:szCs w:val="20"/>
              </w:rPr>
              <w:t>Placówka Całodobowej Opieki „Dom Opieki Pogodna Przystań”</w:t>
            </w:r>
            <w:r w:rsidR="00992FD0" w:rsidRPr="00EC250C">
              <w:rPr>
                <w:sz w:val="18"/>
                <w:szCs w:val="20"/>
              </w:rPr>
              <w:t xml:space="preserve"> w </w:t>
            </w:r>
            <w:r w:rsidRPr="00EC250C">
              <w:rPr>
                <w:sz w:val="18"/>
                <w:szCs w:val="20"/>
              </w:rPr>
              <w:t>Starej Wsi k. Otwocka – badanie prewencyjne.</w:t>
            </w:r>
          </w:p>
        </w:tc>
        <w:tc>
          <w:tcPr>
            <w:tcW w:w="1687" w:type="dxa"/>
          </w:tcPr>
          <w:p w14:paraId="08471678" w14:textId="77777777" w:rsidR="00250AC8" w:rsidRPr="00EC250C" w:rsidRDefault="00250AC8" w:rsidP="00902FC6">
            <w:pPr>
              <w:pStyle w:val="Tabela"/>
              <w:rPr>
                <w:sz w:val="18"/>
                <w:szCs w:val="20"/>
              </w:rPr>
            </w:pPr>
            <w:r w:rsidRPr="00EC250C">
              <w:rPr>
                <w:sz w:val="18"/>
                <w:szCs w:val="20"/>
              </w:rPr>
              <w:t>05.12.2018</w:t>
            </w:r>
            <w:r w:rsidR="00C91F6E" w:rsidRPr="00EC250C">
              <w:rPr>
                <w:sz w:val="18"/>
                <w:szCs w:val="20"/>
              </w:rPr>
              <w:t> r.</w:t>
            </w:r>
          </w:p>
        </w:tc>
      </w:tr>
      <w:tr w:rsidR="00250AC8" w:rsidRPr="00EC250C" w14:paraId="79C3E5CE" w14:textId="77777777" w:rsidTr="00B769A0">
        <w:trPr>
          <w:tblCellSpacing w:w="20" w:type="dxa"/>
        </w:trPr>
        <w:tc>
          <w:tcPr>
            <w:tcW w:w="375" w:type="dxa"/>
          </w:tcPr>
          <w:p w14:paraId="68FB202D" w14:textId="77777777" w:rsidR="00250AC8" w:rsidRPr="00EC250C" w:rsidRDefault="00250AC8" w:rsidP="006C70B7">
            <w:pPr>
              <w:pStyle w:val="Tabela"/>
              <w:numPr>
                <w:ilvl w:val="0"/>
                <w:numId w:val="135"/>
              </w:numPr>
              <w:ind w:left="0" w:firstLine="0"/>
              <w:jc w:val="both"/>
            </w:pPr>
          </w:p>
        </w:tc>
        <w:tc>
          <w:tcPr>
            <w:tcW w:w="7614" w:type="dxa"/>
            <w:vAlign w:val="bottom"/>
          </w:tcPr>
          <w:p w14:paraId="050E42F1" w14:textId="77777777" w:rsidR="00250AC8" w:rsidRPr="00EC250C" w:rsidRDefault="00250AC8" w:rsidP="00902FC6">
            <w:pPr>
              <w:pStyle w:val="Tabela"/>
              <w:rPr>
                <w:sz w:val="18"/>
                <w:szCs w:val="20"/>
              </w:rPr>
            </w:pPr>
            <w:r w:rsidRPr="00EC250C">
              <w:rPr>
                <w:sz w:val="18"/>
                <w:szCs w:val="20"/>
              </w:rPr>
              <w:t>Komisariat Policji Warszawa-Włochy (KRP Warszawa III) – badanie prewencyjne.</w:t>
            </w:r>
          </w:p>
        </w:tc>
        <w:tc>
          <w:tcPr>
            <w:tcW w:w="1687" w:type="dxa"/>
          </w:tcPr>
          <w:p w14:paraId="0F2AD898" w14:textId="77777777" w:rsidR="00250AC8" w:rsidRPr="00EC250C" w:rsidRDefault="00250AC8" w:rsidP="00902FC6">
            <w:pPr>
              <w:pStyle w:val="Tabela"/>
              <w:rPr>
                <w:sz w:val="18"/>
                <w:szCs w:val="20"/>
              </w:rPr>
            </w:pPr>
            <w:r w:rsidRPr="00EC250C">
              <w:rPr>
                <w:sz w:val="18"/>
                <w:szCs w:val="20"/>
              </w:rPr>
              <w:t>10.12.2018</w:t>
            </w:r>
            <w:r w:rsidR="00C91F6E" w:rsidRPr="00EC250C">
              <w:rPr>
                <w:sz w:val="18"/>
                <w:szCs w:val="20"/>
              </w:rPr>
              <w:t> r.</w:t>
            </w:r>
          </w:p>
        </w:tc>
      </w:tr>
      <w:tr w:rsidR="00250AC8" w:rsidRPr="00EC250C" w14:paraId="27B21034" w14:textId="77777777" w:rsidTr="00B769A0">
        <w:trPr>
          <w:tblCellSpacing w:w="20" w:type="dxa"/>
        </w:trPr>
        <w:tc>
          <w:tcPr>
            <w:tcW w:w="375" w:type="dxa"/>
          </w:tcPr>
          <w:p w14:paraId="6B53FE94" w14:textId="77777777" w:rsidR="00250AC8" w:rsidRPr="00EC250C" w:rsidRDefault="00250AC8" w:rsidP="006C70B7">
            <w:pPr>
              <w:pStyle w:val="Tabela"/>
              <w:numPr>
                <w:ilvl w:val="0"/>
                <w:numId w:val="135"/>
              </w:numPr>
              <w:ind w:left="0" w:firstLine="0"/>
              <w:jc w:val="both"/>
            </w:pPr>
          </w:p>
        </w:tc>
        <w:tc>
          <w:tcPr>
            <w:tcW w:w="7614" w:type="dxa"/>
            <w:vAlign w:val="bottom"/>
          </w:tcPr>
          <w:p w14:paraId="105A5F97" w14:textId="77777777" w:rsidR="00250AC8" w:rsidRPr="00EC250C" w:rsidRDefault="00250AC8" w:rsidP="00902FC6">
            <w:pPr>
              <w:pStyle w:val="Tabela"/>
              <w:rPr>
                <w:sz w:val="18"/>
                <w:szCs w:val="20"/>
              </w:rPr>
            </w:pPr>
            <w:r w:rsidRPr="00EC250C">
              <w:rPr>
                <w:sz w:val="18"/>
                <w:szCs w:val="20"/>
              </w:rPr>
              <w:t>Komisariat Policji Warszawa-Ursus (KRP Warszawa III) – badanie prewencyjne.</w:t>
            </w:r>
          </w:p>
        </w:tc>
        <w:tc>
          <w:tcPr>
            <w:tcW w:w="1687" w:type="dxa"/>
          </w:tcPr>
          <w:p w14:paraId="7611E604" w14:textId="77777777" w:rsidR="00250AC8" w:rsidRPr="00EC250C" w:rsidRDefault="00250AC8" w:rsidP="00902FC6">
            <w:pPr>
              <w:pStyle w:val="Tabela"/>
              <w:rPr>
                <w:sz w:val="18"/>
                <w:szCs w:val="20"/>
              </w:rPr>
            </w:pPr>
            <w:r w:rsidRPr="00EC250C">
              <w:rPr>
                <w:sz w:val="18"/>
                <w:szCs w:val="20"/>
              </w:rPr>
              <w:t>11.12.2018</w:t>
            </w:r>
            <w:r w:rsidR="00C91F6E" w:rsidRPr="00EC250C">
              <w:rPr>
                <w:sz w:val="18"/>
                <w:szCs w:val="20"/>
              </w:rPr>
              <w:t> r.</w:t>
            </w:r>
          </w:p>
        </w:tc>
      </w:tr>
      <w:tr w:rsidR="00250AC8" w:rsidRPr="00EC250C" w14:paraId="2BB25482" w14:textId="77777777" w:rsidTr="00B769A0">
        <w:trPr>
          <w:tblCellSpacing w:w="20" w:type="dxa"/>
        </w:trPr>
        <w:tc>
          <w:tcPr>
            <w:tcW w:w="375" w:type="dxa"/>
          </w:tcPr>
          <w:p w14:paraId="75247254" w14:textId="77777777" w:rsidR="00250AC8" w:rsidRPr="00EC250C" w:rsidRDefault="00250AC8" w:rsidP="006C70B7">
            <w:pPr>
              <w:pStyle w:val="Tabela"/>
              <w:numPr>
                <w:ilvl w:val="0"/>
                <w:numId w:val="135"/>
              </w:numPr>
              <w:ind w:left="0" w:firstLine="0"/>
              <w:jc w:val="both"/>
            </w:pPr>
          </w:p>
        </w:tc>
        <w:tc>
          <w:tcPr>
            <w:tcW w:w="7614" w:type="dxa"/>
            <w:vAlign w:val="bottom"/>
          </w:tcPr>
          <w:p w14:paraId="1242FFBF" w14:textId="77777777" w:rsidR="00250AC8" w:rsidRPr="00EC250C" w:rsidRDefault="00250AC8" w:rsidP="00902FC6">
            <w:pPr>
              <w:pStyle w:val="Tabela"/>
              <w:rPr>
                <w:sz w:val="18"/>
                <w:szCs w:val="20"/>
              </w:rPr>
            </w:pPr>
            <w:r w:rsidRPr="00EC250C">
              <w:rPr>
                <w:sz w:val="18"/>
                <w:szCs w:val="20"/>
              </w:rPr>
              <w:t>Komisariat Policji Metra Warszawskiego – badanie prewencyjne.</w:t>
            </w:r>
          </w:p>
        </w:tc>
        <w:tc>
          <w:tcPr>
            <w:tcW w:w="1687" w:type="dxa"/>
          </w:tcPr>
          <w:p w14:paraId="2F5A0659" w14:textId="77777777" w:rsidR="00250AC8" w:rsidRPr="00EC250C" w:rsidRDefault="00250AC8" w:rsidP="00902FC6">
            <w:pPr>
              <w:pStyle w:val="Tabela"/>
              <w:rPr>
                <w:sz w:val="18"/>
                <w:szCs w:val="20"/>
              </w:rPr>
            </w:pPr>
            <w:r w:rsidRPr="00EC250C">
              <w:rPr>
                <w:sz w:val="18"/>
                <w:szCs w:val="20"/>
              </w:rPr>
              <w:t>12.12.2018</w:t>
            </w:r>
            <w:r w:rsidR="00C91F6E" w:rsidRPr="00EC250C">
              <w:rPr>
                <w:sz w:val="18"/>
                <w:szCs w:val="20"/>
              </w:rPr>
              <w:t> r.</w:t>
            </w:r>
          </w:p>
        </w:tc>
      </w:tr>
      <w:tr w:rsidR="00250AC8" w:rsidRPr="00EC250C" w14:paraId="354A5E05" w14:textId="77777777" w:rsidTr="00B769A0">
        <w:trPr>
          <w:tblCellSpacing w:w="20" w:type="dxa"/>
        </w:trPr>
        <w:tc>
          <w:tcPr>
            <w:tcW w:w="375" w:type="dxa"/>
          </w:tcPr>
          <w:p w14:paraId="7360C056" w14:textId="77777777" w:rsidR="00250AC8" w:rsidRPr="00EC250C" w:rsidRDefault="00250AC8" w:rsidP="006C70B7">
            <w:pPr>
              <w:pStyle w:val="Tabela"/>
              <w:numPr>
                <w:ilvl w:val="0"/>
                <w:numId w:val="135"/>
              </w:numPr>
              <w:ind w:left="0" w:firstLine="0"/>
              <w:jc w:val="both"/>
            </w:pPr>
          </w:p>
        </w:tc>
        <w:tc>
          <w:tcPr>
            <w:tcW w:w="7614" w:type="dxa"/>
            <w:vAlign w:val="bottom"/>
          </w:tcPr>
          <w:p w14:paraId="61BF9D86" w14:textId="77777777" w:rsidR="00250AC8" w:rsidRPr="00EC250C" w:rsidRDefault="00250AC8" w:rsidP="00902FC6">
            <w:pPr>
              <w:pStyle w:val="Tabela"/>
              <w:rPr>
                <w:sz w:val="18"/>
                <w:szCs w:val="20"/>
              </w:rPr>
            </w:pPr>
            <w:r w:rsidRPr="00EC250C">
              <w:rPr>
                <w:sz w:val="18"/>
                <w:szCs w:val="20"/>
              </w:rPr>
              <w:t>Komisariat Kolejowy Policji</w:t>
            </w:r>
            <w:r w:rsidR="00992FD0" w:rsidRPr="00EC250C">
              <w:rPr>
                <w:sz w:val="18"/>
                <w:szCs w:val="20"/>
              </w:rPr>
              <w:t xml:space="preserve"> w </w:t>
            </w:r>
            <w:r w:rsidRPr="00EC250C">
              <w:rPr>
                <w:sz w:val="18"/>
                <w:szCs w:val="20"/>
              </w:rPr>
              <w:t>Warszawie – badanie prewencyjne.</w:t>
            </w:r>
          </w:p>
        </w:tc>
        <w:tc>
          <w:tcPr>
            <w:tcW w:w="1687" w:type="dxa"/>
          </w:tcPr>
          <w:p w14:paraId="0F0B084E" w14:textId="77777777" w:rsidR="00250AC8" w:rsidRPr="00EC250C" w:rsidRDefault="00250AC8" w:rsidP="00902FC6">
            <w:pPr>
              <w:pStyle w:val="Tabela"/>
              <w:rPr>
                <w:sz w:val="18"/>
                <w:szCs w:val="20"/>
              </w:rPr>
            </w:pPr>
            <w:r w:rsidRPr="00EC250C">
              <w:rPr>
                <w:sz w:val="18"/>
                <w:szCs w:val="20"/>
              </w:rPr>
              <w:t>13.12.2018</w:t>
            </w:r>
            <w:r w:rsidR="00C91F6E" w:rsidRPr="00EC250C">
              <w:rPr>
                <w:sz w:val="18"/>
                <w:szCs w:val="20"/>
              </w:rPr>
              <w:t> r.</w:t>
            </w:r>
          </w:p>
        </w:tc>
      </w:tr>
      <w:tr w:rsidR="00250AC8" w:rsidRPr="00EC250C" w14:paraId="33295DA4" w14:textId="77777777" w:rsidTr="00B769A0">
        <w:trPr>
          <w:tblCellSpacing w:w="20" w:type="dxa"/>
        </w:trPr>
        <w:tc>
          <w:tcPr>
            <w:tcW w:w="375" w:type="dxa"/>
          </w:tcPr>
          <w:p w14:paraId="0105BCD0" w14:textId="77777777" w:rsidR="00250AC8" w:rsidRPr="00EC250C" w:rsidRDefault="00250AC8" w:rsidP="006C70B7">
            <w:pPr>
              <w:pStyle w:val="Tabela"/>
              <w:numPr>
                <w:ilvl w:val="0"/>
                <w:numId w:val="135"/>
              </w:numPr>
              <w:ind w:left="0" w:firstLine="0"/>
              <w:jc w:val="both"/>
            </w:pPr>
          </w:p>
        </w:tc>
        <w:tc>
          <w:tcPr>
            <w:tcW w:w="7614" w:type="dxa"/>
            <w:vAlign w:val="bottom"/>
          </w:tcPr>
          <w:p w14:paraId="5429269E" w14:textId="77777777" w:rsidR="00250AC8" w:rsidRPr="00EC250C" w:rsidRDefault="00250AC8" w:rsidP="00902FC6">
            <w:pPr>
              <w:pStyle w:val="Tabela"/>
              <w:rPr>
                <w:sz w:val="18"/>
                <w:szCs w:val="20"/>
              </w:rPr>
            </w:pPr>
            <w:r w:rsidRPr="00EC250C">
              <w:rPr>
                <w:sz w:val="18"/>
                <w:szCs w:val="20"/>
              </w:rPr>
              <w:t>Komisariat Policji Warszawa-Bemowo (KRP Warszawa IV) – badanie prewencyjne.</w:t>
            </w:r>
          </w:p>
        </w:tc>
        <w:tc>
          <w:tcPr>
            <w:tcW w:w="1687" w:type="dxa"/>
          </w:tcPr>
          <w:p w14:paraId="49BB57F0" w14:textId="77777777" w:rsidR="00250AC8" w:rsidRPr="00EC250C" w:rsidRDefault="00250AC8" w:rsidP="00902FC6">
            <w:pPr>
              <w:pStyle w:val="Tabela"/>
              <w:rPr>
                <w:sz w:val="18"/>
                <w:szCs w:val="20"/>
              </w:rPr>
            </w:pPr>
            <w:r w:rsidRPr="00EC250C">
              <w:rPr>
                <w:sz w:val="18"/>
                <w:szCs w:val="20"/>
              </w:rPr>
              <w:t>17.12.2018</w:t>
            </w:r>
            <w:r w:rsidR="00C91F6E" w:rsidRPr="00EC250C">
              <w:rPr>
                <w:sz w:val="18"/>
                <w:szCs w:val="20"/>
              </w:rPr>
              <w:t> r.</w:t>
            </w:r>
          </w:p>
        </w:tc>
      </w:tr>
      <w:tr w:rsidR="00250AC8" w:rsidRPr="00EC250C" w14:paraId="435ACA91" w14:textId="77777777" w:rsidTr="00B769A0">
        <w:trPr>
          <w:tblCellSpacing w:w="20" w:type="dxa"/>
        </w:trPr>
        <w:tc>
          <w:tcPr>
            <w:tcW w:w="375" w:type="dxa"/>
          </w:tcPr>
          <w:p w14:paraId="54FA330B" w14:textId="77777777" w:rsidR="00250AC8" w:rsidRPr="00EC250C" w:rsidRDefault="00250AC8" w:rsidP="006C70B7">
            <w:pPr>
              <w:pStyle w:val="Tabela"/>
              <w:numPr>
                <w:ilvl w:val="0"/>
                <w:numId w:val="135"/>
              </w:numPr>
              <w:ind w:left="0" w:firstLine="0"/>
              <w:jc w:val="both"/>
            </w:pPr>
          </w:p>
        </w:tc>
        <w:tc>
          <w:tcPr>
            <w:tcW w:w="7614" w:type="dxa"/>
            <w:vAlign w:val="bottom"/>
          </w:tcPr>
          <w:p w14:paraId="1D851E5D" w14:textId="77777777" w:rsidR="00250AC8" w:rsidRPr="00EC250C" w:rsidRDefault="00250AC8" w:rsidP="00902FC6">
            <w:pPr>
              <w:pStyle w:val="Tabela"/>
              <w:rPr>
                <w:sz w:val="18"/>
                <w:szCs w:val="20"/>
              </w:rPr>
            </w:pPr>
            <w:r w:rsidRPr="00EC250C">
              <w:rPr>
                <w:sz w:val="18"/>
                <w:szCs w:val="20"/>
              </w:rPr>
              <w:t>Komisariat Policji Warszawa-Mokotów (KRP Warszawa II) – badanie prewencyjne.</w:t>
            </w:r>
          </w:p>
        </w:tc>
        <w:tc>
          <w:tcPr>
            <w:tcW w:w="1687" w:type="dxa"/>
          </w:tcPr>
          <w:p w14:paraId="16EAA8CF" w14:textId="77777777" w:rsidR="00250AC8" w:rsidRPr="00EC250C" w:rsidRDefault="00250AC8" w:rsidP="00902FC6">
            <w:pPr>
              <w:pStyle w:val="Tabela"/>
              <w:rPr>
                <w:sz w:val="18"/>
                <w:szCs w:val="20"/>
              </w:rPr>
            </w:pPr>
            <w:r w:rsidRPr="00EC250C">
              <w:rPr>
                <w:sz w:val="18"/>
                <w:szCs w:val="20"/>
              </w:rPr>
              <w:t>18.12.2018 r</w:t>
            </w:r>
          </w:p>
        </w:tc>
      </w:tr>
      <w:tr w:rsidR="00250AC8" w:rsidRPr="00EC250C" w14:paraId="300043A5" w14:textId="77777777" w:rsidTr="00B769A0">
        <w:trPr>
          <w:tblCellSpacing w:w="20" w:type="dxa"/>
        </w:trPr>
        <w:tc>
          <w:tcPr>
            <w:tcW w:w="375" w:type="dxa"/>
          </w:tcPr>
          <w:p w14:paraId="0D19ED74" w14:textId="77777777" w:rsidR="00250AC8" w:rsidRPr="00EC250C" w:rsidRDefault="00250AC8" w:rsidP="006C70B7">
            <w:pPr>
              <w:pStyle w:val="Tabela"/>
              <w:numPr>
                <w:ilvl w:val="0"/>
                <w:numId w:val="135"/>
              </w:numPr>
              <w:ind w:left="0" w:firstLine="0"/>
              <w:jc w:val="both"/>
            </w:pPr>
          </w:p>
        </w:tc>
        <w:tc>
          <w:tcPr>
            <w:tcW w:w="7614" w:type="dxa"/>
            <w:vAlign w:val="bottom"/>
          </w:tcPr>
          <w:p w14:paraId="36B72746" w14:textId="77777777" w:rsidR="00250AC8" w:rsidRPr="00EC250C" w:rsidRDefault="00250AC8" w:rsidP="00902FC6">
            <w:pPr>
              <w:pStyle w:val="Tabela"/>
              <w:rPr>
                <w:sz w:val="18"/>
                <w:szCs w:val="20"/>
              </w:rPr>
            </w:pPr>
            <w:r w:rsidRPr="00EC250C">
              <w:rPr>
                <w:sz w:val="18"/>
                <w:szCs w:val="20"/>
              </w:rPr>
              <w:t>Komisariat Policji Portu Lotniczego Warszawa-Okęcie – badanie prewencyjne.</w:t>
            </w:r>
          </w:p>
        </w:tc>
        <w:tc>
          <w:tcPr>
            <w:tcW w:w="1687" w:type="dxa"/>
          </w:tcPr>
          <w:p w14:paraId="2B6A81BF" w14:textId="77777777" w:rsidR="00250AC8" w:rsidRPr="00EC250C" w:rsidRDefault="00250AC8" w:rsidP="00902FC6">
            <w:pPr>
              <w:pStyle w:val="Tabela"/>
              <w:rPr>
                <w:sz w:val="18"/>
                <w:szCs w:val="20"/>
              </w:rPr>
            </w:pPr>
            <w:r w:rsidRPr="00EC250C">
              <w:rPr>
                <w:sz w:val="18"/>
                <w:szCs w:val="20"/>
              </w:rPr>
              <w:t>19.12.2018</w:t>
            </w:r>
            <w:r w:rsidR="00C91F6E" w:rsidRPr="00EC250C">
              <w:rPr>
                <w:sz w:val="18"/>
                <w:szCs w:val="20"/>
              </w:rPr>
              <w:t> r.</w:t>
            </w:r>
          </w:p>
        </w:tc>
      </w:tr>
      <w:tr w:rsidR="00250AC8" w:rsidRPr="00EC250C" w14:paraId="5BBB6689" w14:textId="77777777" w:rsidTr="00B769A0">
        <w:trPr>
          <w:tblCellSpacing w:w="20" w:type="dxa"/>
        </w:trPr>
        <w:tc>
          <w:tcPr>
            <w:tcW w:w="375" w:type="dxa"/>
          </w:tcPr>
          <w:p w14:paraId="152FE0D1" w14:textId="77777777" w:rsidR="00250AC8" w:rsidRPr="00EC250C" w:rsidRDefault="00250AC8" w:rsidP="006C70B7">
            <w:pPr>
              <w:pStyle w:val="Tabela"/>
              <w:numPr>
                <w:ilvl w:val="0"/>
                <w:numId w:val="135"/>
              </w:numPr>
              <w:ind w:left="0" w:firstLine="0"/>
              <w:jc w:val="both"/>
            </w:pPr>
          </w:p>
        </w:tc>
        <w:tc>
          <w:tcPr>
            <w:tcW w:w="7614" w:type="dxa"/>
            <w:vAlign w:val="bottom"/>
          </w:tcPr>
          <w:p w14:paraId="68D07D87" w14:textId="77777777" w:rsidR="00250AC8" w:rsidRPr="00EC250C" w:rsidRDefault="00250AC8" w:rsidP="00902FC6">
            <w:pPr>
              <w:pStyle w:val="Tabela"/>
              <w:rPr>
                <w:sz w:val="18"/>
                <w:szCs w:val="20"/>
              </w:rPr>
            </w:pPr>
            <w:r w:rsidRPr="00EC250C">
              <w:rPr>
                <w:sz w:val="18"/>
                <w:szCs w:val="20"/>
              </w:rPr>
              <w:t>Komisariat Policji Warszawa-Wesoła (KRP Warszawa VII) – badanie prewencyjne.</w:t>
            </w:r>
          </w:p>
        </w:tc>
        <w:tc>
          <w:tcPr>
            <w:tcW w:w="1687" w:type="dxa"/>
          </w:tcPr>
          <w:p w14:paraId="216C8873" w14:textId="77777777" w:rsidR="00250AC8" w:rsidRPr="00EC250C" w:rsidRDefault="00250AC8" w:rsidP="00902FC6">
            <w:pPr>
              <w:pStyle w:val="Tabela"/>
              <w:rPr>
                <w:sz w:val="18"/>
                <w:szCs w:val="20"/>
              </w:rPr>
            </w:pPr>
            <w:r w:rsidRPr="00EC250C">
              <w:rPr>
                <w:sz w:val="18"/>
                <w:szCs w:val="20"/>
              </w:rPr>
              <w:t>20.12.2018</w:t>
            </w:r>
            <w:r w:rsidR="00C91F6E" w:rsidRPr="00EC250C">
              <w:rPr>
                <w:sz w:val="18"/>
                <w:szCs w:val="20"/>
              </w:rPr>
              <w:t> r.</w:t>
            </w:r>
          </w:p>
        </w:tc>
      </w:tr>
    </w:tbl>
    <w:p w14:paraId="3F598FE7" w14:textId="77777777" w:rsidR="00250AC8" w:rsidRPr="00EC250C" w:rsidRDefault="00250AC8" w:rsidP="00EC250C">
      <w:pPr>
        <w:pStyle w:val="Nagwek5"/>
      </w:pPr>
      <w:bookmarkStart w:id="880" w:name="_Toc6258099"/>
      <w:r w:rsidRPr="00EC250C">
        <w:t>Jednostki wojskowe, Straż Graniczna, Państwowa Straż Pożarna, Izby Celne, Policja oraz Areszty Śledcze</w:t>
      </w:r>
      <w:r w:rsidR="00992FD0" w:rsidRPr="00EC250C">
        <w:t xml:space="preserve"> i </w:t>
      </w:r>
      <w:r w:rsidRPr="00EC250C">
        <w:t>Zakłady Karne – kontrola przestrzegania praw</w:t>
      </w:r>
      <w:r w:rsidR="00992FD0" w:rsidRPr="00EC250C">
        <w:t xml:space="preserve"> i </w:t>
      </w:r>
      <w:r w:rsidRPr="00EC250C">
        <w:t>wolności żołnierzy</w:t>
      </w:r>
      <w:r w:rsidR="00992FD0" w:rsidRPr="00EC250C">
        <w:t xml:space="preserve"> i </w:t>
      </w:r>
      <w:r w:rsidRPr="00EC250C">
        <w:t>funkcjonariuszy</w:t>
      </w:r>
      <w:bookmarkEnd w:id="880"/>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7521"/>
        <w:gridCol w:w="1747"/>
      </w:tblGrid>
      <w:tr w:rsidR="00250AC8" w:rsidRPr="00EC250C" w14:paraId="5E8AC918" w14:textId="77777777" w:rsidTr="00A016B4">
        <w:trPr>
          <w:tblCellSpacing w:w="20" w:type="dxa"/>
        </w:trPr>
        <w:tc>
          <w:tcPr>
            <w:tcW w:w="508" w:type="dxa"/>
          </w:tcPr>
          <w:p w14:paraId="69F26D9A" w14:textId="77777777" w:rsidR="00250AC8" w:rsidRPr="00EC250C" w:rsidRDefault="00250AC8" w:rsidP="006C70B7">
            <w:pPr>
              <w:pStyle w:val="Tabela"/>
              <w:numPr>
                <w:ilvl w:val="0"/>
                <w:numId w:val="76"/>
              </w:numPr>
              <w:ind w:left="0" w:firstLine="0"/>
              <w:jc w:val="both"/>
            </w:pPr>
          </w:p>
        </w:tc>
        <w:tc>
          <w:tcPr>
            <w:tcW w:w="7481" w:type="dxa"/>
          </w:tcPr>
          <w:p w14:paraId="1463A13D" w14:textId="77777777" w:rsidR="00250AC8" w:rsidRPr="00EC250C" w:rsidRDefault="00250AC8" w:rsidP="00902FC6">
            <w:pPr>
              <w:pStyle w:val="Tabela"/>
              <w:rPr>
                <w:sz w:val="18"/>
                <w:szCs w:val="20"/>
              </w:rPr>
            </w:pPr>
            <w:r w:rsidRPr="00EC250C">
              <w:rPr>
                <w:sz w:val="18"/>
                <w:szCs w:val="20"/>
              </w:rPr>
              <w:t xml:space="preserve">Okręgowy Inspektorat Służby Więziennej oraz Areszt Śledczy </w:t>
            </w:r>
            <w:r w:rsidRPr="00EC250C">
              <w:rPr>
                <w:sz w:val="18"/>
                <w:szCs w:val="20"/>
              </w:rPr>
              <w:br/>
              <w:t xml:space="preserve">w Poznaniu – badanie stanu przestrzegania praw obywatelskich funkcjonariuszy Służby Więziennej. </w:t>
            </w:r>
          </w:p>
        </w:tc>
        <w:tc>
          <w:tcPr>
            <w:tcW w:w="1687" w:type="dxa"/>
          </w:tcPr>
          <w:p w14:paraId="4D2D510A" w14:textId="77777777" w:rsidR="00250AC8" w:rsidRPr="00EC250C" w:rsidRDefault="00250AC8" w:rsidP="00902FC6">
            <w:pPr>
              <w:pStyle w:val="Tabela"/>
              <w:rPr>
                <w:sz w:val="18"/>
                <w:szCs w:val="20"/>
              </w:rPr>
            </w:pPr>
            <w:r w:rsidRPr="00EC250C">
              <w:rPr>
                <w:sz w:val="18"/>
                <w:szCs w:val="20"/>
              </w:rPr>
              <w:t>05–07.09.2018</w:t>
            </w:r>
            <w:r w:rsidR="00C91F6E" w:rsidRPr="00EC250C">
              <w:rPr>
                <w:sz w:val="18"/>
                <w:szCs w:val="20"/>
              </w:rPr>
              <w:t> r.</w:t>
            </w:r>
          </w:p>
        </w:tc>
      </w:tr>
      <w:tr w:rsidR="00250AC8" w:rsidRPr="00EC250C" w14:paraId="71187865" w14:textId="77777777" w:rsidTr="00A016B4">
        <w:trPr>
          <w:tblCellSpacing w:w="20" w:type="dxa"/>
        </w:trPr>
        <w:tc>
          <w:tcPr>
            <w:tcW w:w="508" w:type="dxa"/>
          </w:tcPr>
          <w:p w14:paraId="0D517D1B" w14:textId="77777777" w:rsidR="00250AC8" w:rsidRPr="00EC250C" w:rsidRDefault="00250AC8" w:rsidP="006C70B7">
            <w:pPr>
              <w:pStyle w:val="Tabela"/>
              <w:numPr>
                <w:ilvl w:val="0"/>
                <w:numId w:val="76"/>
              </w:numPr>
              <w:ind w:left="0" w:firstLine="0"/>
              <w:jc w:val="both"/>
            </w:pPr>
          </w:p>
        </w:tc>
        <w:tc>
          <w:tcPr>
            <w:tcW w:w="7481" w:type="dxa"/>
          </w:tcPr>
          <w:p w14:paraId="0A39310E" w14:textId="77777777" w:rsidR="00250AC8" w:rsidRPr="00EC250C" w:rsidRDefault="00250AC8" w:rsidP="00902FC6">
            <w:pPr>
              <w:pStyle w:val="Tabela"/>
              <w:rPr>
                <w:sz w:val="18"/>
                <w:szCs w:val="20"/>
              </w:rPr>
            </w:pPr>
            <w:r w:rsidRPr="00EC250C">
              <w:rPr>
                <w:sz w:val="18"/>
                <w:szCs w:val="20"/>
              </w:rPr>
              <w:t>Centrum Przygotowań do Misji Zagranicznych</w:t>
            </w:r>
            <w:r w:rsidR="00992FD0" w:rsidRPr="00EC250C">
              <w:rPr>
                <w:sz w:val="18"/>
                <w:szCs w:val="20"/>
              </w:rPr>
              <w:t xml:space="preserve"> w </w:t>
            </w:r>
            <w:r w:rsidRPr="00EC250C">
              <w:rPr>
                <w:sz w:val="18"/>
                <w:szCs w:val="20"/>
              </w:rPr>
              <w:t xml:space="preserve">Kielcach – badanie stanu przestrzegania praw obywatelskich żołnierzy. </w:t>
            </w:r>
          </w:p>
        </w:tc>
        <w:tc>
          <w:tcPr>
            <w:tcW w:w="1687" w:type="dxa"/>
          </w:tcPr>
          <w:p w14:paraId="4F1B9B0F" w14:textId="77777777" w:rsidR="00250AC8" w:rsidRPr="00EC250C" w:rsidRDefault="00250AC8" w:rsidP="00902FC6">
            <w:pPr>
              <w:pStyle w:val="Tabela"/>
              <w:rPr>
                <w:sz w:val="18"/>
                <w:szCs w:val="20"/>
              </w:rPr>
            </w:pPr>
            <w:r w:rsidRPr="00EC250C">
              <w:rPr>
                <w:sz w:val="18"/>
                <w:szCs w:val="20"/>
              </w:rPr>
              <w:t>27.09.2018</w:t>
            </w:r>
            <w:r w:rsidR="00C91F6E" w:rsidRPr="00EC250C">
              <w:rPr>
                <w:sz w:val="18"/>
                <w:szCs w:val="20"/>
              </w:rPr>
              <w:t> r.</w:t>
            </w:r>
          </w:p>
        </w:tc>
      </w:tr>
      <w:tr w:rsidR="00250AC8" w:rsidRPr="00EC250C" w14:paraId="64D28356" w14:textId="77777777" w:rsidTr="00A016B4">
        <w:trPr>
          <w:tblCellSpacing w:w="20" w:type="dxa"/>
        </w:trPr>
        <w:tc>
          <w:tcPr>
            <w:tcW w:w="508" w:type="dxa"/>
          </w:tcPr>
          <w:p w14:paraId="52CFB4C0" w14:textId="77777777" w:rsidR="00250AC8" w:rsidRPr="00EC250C" w:rsidRDefault="00250AC8" w:rsidP="006C70B7">
            <w:pPr>
              <w:pStyle w:val="Tabela"/>
              <w:numPr>
                <w:ilvl w:val="0"/>
                <w:numId w:val="76"/>
              </w:numPr>
              <w:ind w:left="0" w:firstLine="0"/>
              <w:jc w:val="both"/>
            </w:pPr>
          </w:p>
        </w:tc>
        <w:tc>
          <w:tcPr>
            <w:tcW w:w="7481" w:type="dxa"/>
          </w:tcPr>
          <w:p w14:paraId="0555FF8C" w14:textId="77777777" w:rsidR="00250AC8" w:rsidRPr="00EC250C" w:rsidRDefault="00250AC8" w:rsidP="00902FC6">
            <w:pPr>
              <w:pStyle w:val="Tabela"/>
              <w:rPr>
                <w:sz w:val="18"/>
                <w:szCs w:val="20"/>
              </w:rPr>
            </w:pPr>
            <w:r w:rsidRPr="00EC250C">
              <w:rPr>
                <w:sz w:val="18"/>
                <w:szCs w:val="20"/>
              </w:rPr>
              <w:t xml:space="preserve">Zakład Karny we Włocławku – kontrola stanu przestrzegania praw obywatelskich funkcjonariuszy Służby Więziennej. </w:t>
            </w:r>
          </w:p>
        </w:tc>
        <w:tc>
          <w:tcPr>
            <w:tcW w:w="1687" w:type="dxa"/>
          </w:tcPr>
          <w:p w14:paraId="4F395083" w14:textId="77777777" w:rsidR="00250AC8" w:rsidRPr="00EC250C" w:rsidRDefault="00250AC8" w:rsidP="00902FC6">
            <w:pPr>
              <w:pStyle w:val="Tabela"/>
              <w:rPr>
                <w:sz w:val="18"/>
                <w:szCs w:val="20"/>
              </w:rPr>
            </w:pPr>
            <w:r w:rsidRPr="00EC250C">
              <w:rPr>
                <w:sz w:val="18"/>
                <w:szCs w:val="20"/>
              </w:rPr>
              <w:t>19.11.2018</w:t>
            </w:r>
            <w:r w:rsidR="00C91F6E" w:rsidRPr="00EC250C">
              <w:rPr>
                <w:sz w:val="18"/>
                <w:szCs w:val="20"/>
              </w:rPr>
              <w:t> r.</w:t>
            </w:r>
          </w:p>
        </w:tc>
      </w:tr>
      <w:tr w:rsidR="00250AC8" w:rsidRPr="00EC250C" w14:paraId="4F396985" w14:textId="77777777" w:rsidTr="00A016B4">
        <w:trPr>
          <w:tblCellSpacing w:w="20" w:type="dxa"/>
        </w:trPr>
        <w:tc>
          <w:tcPr>
            <w:tcW w:w="508" w:type="dxa"/>
          </w:tcPr>
          <w:p w14:paraId="7B055A99" w14:textId="77777777" w:rsidR="00250AC8" w:rsidRPr="00EC250C" w:rsidRDefault="00250AC8" w:rsidP="006C70B7">
            <w:pPr>
              <w:pStyle w:val="Tabela"/>
              <w:numPr>
                <w:ilvl w:val="0"/>
                <w:numId w:val="76"/>
              </w:numPr>
              <w:ind w:left="0" w:firstLine="0"/>
              <w:jc w:val="both"/>
            </w:pPr>
          </w:p>
        </w:tc>
        <w:tc>
          <w:tcPr>
            <w:tcW w:w="7481" w:type="dxa"/>
          </w:tcPr>
          <w:p w14:paraId="1771900D" w14:textId="77777777" w:rsidR="00250AC8" w:rsidRPr="00EC250C" w:rsidRDefault="00250AC8" w:rsidP="00902FC6">
            <w:pPr>
              <w:pStyle w:val="Tabela"/>
              <w:rPr>
                <w:sz w:val="18"/>
                <w:szCs w:val="20"/>
              </w:rPr>
            </w:pPr>
            <w:r w:rsidRPr="00EC250C">
              <w:rPr>
                <w:sz w:val="18"/>
                <w:szCs w:val="20"/>
              </w:rPr>
              <w:t>23. Baza Lotnictwa Taktycznego</w:t>
            </w:r>
            <w:r w:rsidR="00992FD0" w:rsidRPr="00EC250C">
              <w:rPr>
                <w:sz w:val="18"/>
                <w:szCs w:val="20"/>
              </w:rPr>
              <w:t xml:space="preserve"> w </w:t>
            </w:r>
            <w:r w:rsidRPr="00EC250C">
              <w:rPr>
                <w:sz w:val="18"/>
                <w:szCs w:val="20"/>
              </w:rPr>
              <w:t xml:space="preserve">Mińsku Mazowieckim – kontrola warunków służby oraz przestrzegania praw żołnierzy. </w:t>
            </w:r>
          </w:p>
        </w:tc>
        <w:tc>
          <w:tcPr>
            <w:tcW w:w="1687" w:type="dxa"/>
          </w:tcPr>
          <w:p w14:paraId="7AB00EEC" w14:textId="77777777" w:rsidR="00250AC8" w:rsidRPr="00EC250C" w:rsidRDefault="00250AC8" w:rsidP="00902FC6">
            <w:pPr>
              <w:pStyle w:val="Tabela"/>
              <w:rPr>
                <w:sz w:val="18"/>
                <w:szCs w:val="20"/>
              </w:rPr>
            </w:pPr>
            <w:r w:rsidRPr="00EC250C">
              <w:rPr>
                <w:sz w:val="18"/>
                <w:szCs w:val="20"/>
              </w:rPr>
              <w:t>23.11.2018</w:t>
            </w:r>
            <w:r w:rsidR="00C91F6E" w:rsidRPr="00EC250C">
              <w:rPr>
                <w:sz w:val="18"/>
                <w:szCs w:val="20"/>
              </w:rPr>
              <w:t> r.</w:t>
            </w:r>
          </w:p>
        </w:tc>
      </w:tr>
    </w:tbl>
    <w:p w14:paraId="689201D5" w14:textId="77777777" w:rsidR="00250AC8" w:rsidRPr="00EC250C" w:rsidRDefault="00250AC8" w:rsidP="00EC250C">
      <w:pPr>
        <w:pStyle w:val="Nagwek5"/>
      </w:pPr>
      <w:bookmarkStart w:id="881" w:name="_Toc6258100"/>
      <w:r w:rsidRPr="00EC250C">
        <w:t>Szpitale – badanie przestrzegania praw pacjentów</w:t>
      </w:r>
      <w:r w:rsidR="00992FD0" w:rsidRPr="00EC250C">
        <w:t xml:space="preserve"> i </w:t>
      </w:r>
      <w:r w:rsidRPr="00EC250C">
        <w:t>personelu medycznego</w:t>
      </w:r>
      <w:bookmarkEnd w:id="881"/>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7521"/>
        <w:gridCol w:w="1747"/>
      </w:tblGrid>
      <w:tr w:rsidR="00250AC8" w:rsidRPr="00EC250C" w14:paraId="544A3632" w14:textId="77777777" w:rsidTr="00A016B4">
        <w:trPr>
          <w:tblCellSpacing w:w="20" w:type="dxa"/>
        </w:trPr>
        <w:tc>
          <w:tcPr>
            <w:tcW w:w="508" w:type="dxa"/>
          </w:tcPr>
          <w:p w14:paraId="445D4582" w14:textId="77777777" w:rsidR="00250AC8" w:rsidRPr="00EC250C" w:rsidRDefault="00250AC8" w:rsidP="006C70B7">
            <w:pPr>
              <w:pStyle w:val="Tabela"/>
              <w:numPr>
                <w:ilvl w:val="0"/>
                <w:numId w:val="77"/>
              </w:numPr>
              <w:ind w:left="0" w:firstLine="0"/>
              <w:jc w:val="both"/>
            </w:pPr>
          </w:p>
        </w:tc>
        <w:tc>
          <w:tcPr>
            <w:tcW w:w="7481" w:type="dxa"/>
          </w:tcPr>
          <w:p w14:paraId="4940731A" w14:textId="77777777" w:rsidR="00250AC8" w:rsidRPr="00EC250C" w:rsidRDefault="00250AC8" w:rsidP="00902FC6">
            <w:pPr>
              <w:pStyle w:val="Tabela"/>
              <w:rPr>
                <w:sz w:val="18"/>
                <w:szCs w:val="20"/>
              </w:rPr>
            </w:pPr>
            <w:r w:rsidRPr="00EC250C">
              <w:rPr>
                <w:sz w:val="18"/>
                <w:szCs w:val="20"/>
              </w:rPr>
              <w:t>Wizytacja</w:t>
            </w:r>
            <w:r w:rsidR="00992FD0" w:rsidRPr="00EC250C">
              <w:rPr>
                <w:sz w:val="18"/>
                <w:szCs w:val="20"/>
              </w:rPr>
              <w:t xml:space="preserve"> w </w:t>
            </w:r>
            <w:r w:rsidRPr="00EC250C">
              <w:rPr>
                <w:sz w:val="18"/>
                <w:szCs w:val="20"/>
              </w:rPr>
              <w:t>Wojewódzkim Szpitalu dla Nerwowo</w:t>
            </w:r>
            <w:r w:rsidR="00992FD0" w:rsidRPr="00EC250C">
              <w:rPr>
                <w:sz w:val="18"/>
                <w:szCs w:val="20"/>
              </w:rPr>
              <w:t xml:space="preserve"> i </w:t>
            </w:r>
            <w:r w:rsidRPr="00EC250C">
              <w:rPr>
                <w:sz w:val="18"/>
                <w:szCs w:val="20"/>
              </w:rPr>
              <w:t>Psychicznie Chorych „Dziekanka”. Gniezno.</w:t>
            </w:r>
          </w:p>
        </w:tc>
        <w:tc>
          <w:tcPr>
            <w:tcW w:w="1687" w:type="dxa"/>
          </w:tcPr>
          <w:p w14:paraId="488C9558" w14:textId="77777777" w:rsidR="00250AC8" w:rsidRPr="00EC250C" w:rsidRDefault="00250AC8" w:rsidP="00902FC6">
            <w:pPr>
              <w:pStyle w:val="Tabela"/>
              <w:rPr>
                <w:sz w:val="18"/>
                <w:szCs w:val="20"/>
              </w:rPr>
            </w:pPr>
            <w:r w:rsidRPr="00EC250C">
              <w:rPr>
                <w:sz w:val="18"/>
                <w:szCs w:val="20"/>
              </w:rPr>
              <w:t>17–19.01.2018</w:t>
            </w:r>
            <w:r w:rsidR="00C91F6E" w:rsidRPr="00EC250C">
              <w:rPr>
                <w:sz w:val="18"/>
                <w:szCs w:val="20"/>
              </w:rPr>
              <w:t> r.</w:t>
            </w:r>
          </w:p>
        </w:tc>
      </w:tr>
      <w:tr w:rsidR="00250AC8" w:rsidRPr="00EC250C" w14:paraId="60FA6AC8" w14:textId="77777777" w:rsidTr="00A016B4">
        <w:trPr>
          <w:tblCellSpacing w:w="20" w:type="dxa"/>
        </w:trPr>
        <w:tc>
          <w:tcPr>
            <w:tcW w:w="508" w:type="dxa"/>
          </w:tcPr>
          <w:p w14:paraId="3E0E0537" w14:textId="77777777" w:rsidR="00250AC8" w:rsidRPr="00EC250C" w:rsidRDefault="00250AC8" w:rsidP="006C70B7">
            <w:pPr>
              <w:pStyle w:val="Tabela"/>
              <w:numPr>
                <w:ilvl w:val="0"/>
                <w:numId w:val="77"/>
              </w:numPr>
              <w:ind w:left="0" w:firstLine="0"/>
              <w:jc w:val="both"/>
            </w:pPr>
          </w:p>
        </w:tc>
        <w:tc>
          <w:tcPr>
            <w:tcW w:w="7481" w:type="dxa"/>
          </w:tcPr>
          <w:p w14:paraId="3AEADBC8" w14:textId="77777777" w:rsidR="00250AC8" w:rsidRPr="00EC250C" w:rsidRDefault="00250AC8" w:rsidP="00902FC6">
            <w:pPr>
              <w:pStyle w:val="Tabela"/>
              <w:rPr>
                <w:sz w:val="18"/>
                <w:szCs w:val="20"/>
              </w:rPr>
            </w:pPr>
            <w:r w:rsidRPr="00EC250C">
              <w:rPr>
                <w:sz w:val="18"/>
                <w:szCs w:val="20"/>
              </w:rPr>
              <w:t>Wizytacja Państwowego Szpitala dla Nerwowo</w:t>
            </w:r>
            <w:r w:rsidR="00992FD0" w:rsidRPr="00EC250C">
              <w:rPr>
                <w:sz w:val="18"/>
                <w:szCs w:val="20"/>
              </w:rPr>
              <w:t xml:space="preserve"> i </w:t>
            </w:r>
            <w:r w:rsidRPr="00EC250C">
              <w:rPr>
                <w:sz w:val="18"/>
                <w:szCs w:val="20"/>
              </w:rPr>
              <w:t>Psychicznie Chorych</w:t>
            </w:r>
            <w:r w:rsidR="00992FD0" w:rsidRPr="00EC250C">
              <w:rPr>
                <w:sz w:val="18"/>
                <w:szCs w:val="20"/>
              </w:rPr>
              <w:t xml:space="preserve"> w </w:t>
            </w:r>
            <w:r w:rsidRPr="00EC250C">
              <w:rPr>
                <w:sz w:val="18"/>
                <w:szCs w:val="20"/>
              </w:rPr>
              <w:t xml:space="preserve">Rybniku. </w:t>
            </w:r>
          </w:p>
        </w:tc>
        <w:tc>
          <w:tcPr>
            <w:tcW w:w="1687" w:type="dxa"/>
          </w:tcPr>
          <w:p w14:paraId="5EFE6876" w14:textId="77777777" w:rsidR="00250AC8" w:rsidRPr="00EC250C" w:rsidRDefault="00250AC8" w:rsidP="00902FC6">
            <w:pPr>
              <w:pStyle w:val="Tabela"/>
              <w:rPr>
                <w:sz w:val="18"/>
                <w:szCs w:val="20"/>
              </w:rPr>
            </w:pPr>
            <w:r w:rsidRPr="00EC250C">
              <w:rPr>
                <w:sz w:val="18"/>
                <w:szCs w:val="20"/>
              </w:rPr>
              <w:t>24.01.2018</w:t>
            </w:r>
            <w:r w:rsidR="00C91F6E" w:rsidRPr="00EC250C">
              <w:rPr>
                <w:sz w:val="18"/>
                <w:szCs w:val="20"/>
              </w:rPr>
              <w:t> r.</w:t>
            </w:r>
          </w:p>
        </w:tc>
      </w:tr>
      <w:tr w:rsidR="00250AC8" w:rsidRPr="00EC250C" w14:paraId="6EEDE0F4" w14:textId="77777777" w:rsidTr="00A016B4">
        <w:trPr>
          <w:tblCellSpacing w:w="20" w:type="dxa"/>
        </w:trPr>
        <w:tc>
          <w:tcPr>
            <w:tcW w:w="508" w:type="dxa"/>
          </w:tcPr>
          <w:p w14:paraId="01DF546D" w14:textId="77777777" w:rsidR="00250AC8" w:rsidRPr="00EC250C" w:rsidRDefault="00250AC8" w:rsidP="006C70B7">
            <w:pPr>
              <w:pStyle w:val="Tabela"/>
              <w:numPr>
                <w:ilvl w:val="0"/>
                <w:numId w:val="77"/>
              </w:numPr>
              <w:ind w:left="0" w:firstLine="0"/>
              <w:jc w:val="both"/>
            </w:pPr>
          </w:p>
        </w:tc>
        <w:tc>
          <w:tcPr>
            <w:tcW w:w="7481" w:type="dxa"/>
          </w:tcPr>
          <w:p w14:paraId="6FB67DEF" w14:textId="77777777" w:rsidR="00250AC8" w:rsidRPr="00EC250C" w:rsidRDefault="00250AC8" w:rsidP="00902FC6">
            <w:pPr>
              <w:pStyle w:val="Tabela"/>
              <w:rPr>
                <w:sz w:val="18"/>
                <w:szCs w:val="20"/>
              </w:rPr>
            </w:pPr>
            <w:r w:rsidRPr="00EC250C">
              <w:rPr>
                <w:sz w:val="18"/>
                <w:szCs w:val="20"/>
              </w:rPr>
              <w:t>Specjalistyczny Szpital</w:t>
            </w:r>
            <w:r w:rsidR="00992FD0" w:rsidRPr="00EC250C">
              <w:rPr>
                <w:sz w:val="18"/>
                <w:szCs w:val="20"/>
              </w:rPr>
              <w:t xml:space="preserve"> w </w:t>
            </w:r>
            <w:r w:rsidRPr="00EC250C">
              <w:rPr>
                <w:sz w:val="18"/>
                <w:szCs w:val="20"/>
              </w:rPr>
              <w:t>Kościerzynie – wizytacja</w:t>
            </w:r>
            <w:r w:rsidR="00992FD0" w:rsidRPr="00EC250C">
              <w:rPr>
                <w:sz w:val="18"/>
                <w:szCs w:val="20"/>
              </w:rPr>
              <w:t xml:space="preserve"> w </w:t>
            </w:r>
            <w:r w:rsidRPr="00EC250C">
              <w:rPr>
                <w:sz w:val="18"/>
                <w:szCs w:val="20"/>
              </w:rPr>
              <w:t>ramach pilotażowego programu Centrów Zdrowia Psychicznego.</w:t>
            </w:r>
          </w:p>
        </w:tc>
        <w:tc>
          <w:tcPr>
            <w:tcW w:w="1687" w:type="dxa"/>
          </w:tcPr>
          <w:p w14:paraId="470A3DB3" w14:textId="77777777" w:rsidR="00250AC8" w:rsidRPr="00EC250C" w:rsidRDefault="00250AC8" w:rsidP="00902FC6">
            <w:pPr>
              <w:pStyle w:val="Tabela"/>
              <w:rPr>
                <w:sz w:val="18"/>
                <w:szCs w:val="20"/>
              </w:rPr>
            </w:pPr>
            <w:r w:rsidRPr="00EC250C">
              <w:rPr>
                <w:sz w:val="18"/>
                <w:szCs w:val="20"/>
              </w:rPr>
              <w:t>22.02.2018</w:t>
            </w:r>
            <w:r w:rsidR="00C91F6E" w:rsidRPr="00EC250C">
              <w:rPr>
                <w:sz w:val="18"/>
                <w:szCs w:val="20"/>
              </w:rPr>
              <w:t> r.</w:t>
            </w:r>
          </w:p>
        </w:tc>
      </w:tr>
      <w:tr w:rsidR="00250AC8" w:rsidRPr="00EC250C" w14:paraId="0DD59156" w14:textId="77777777" w:rsidTr="00A016B4">
        <w:trPr>
          <w:tblCellSpacing w:w="20" w:type="dxa"/>
        </w:trPr>
        <w:tc>
          <w:tcPr>
            <w:tcW w:w="508" w:type="dxa"/>
          </w:tcPr>
          <w:p w14:paraId="36DBE42E" w14:textId="77777777" w:rsidR="00250AC8" w:rsidRPr="00EC250C" w:rsidRDefault="00250AC8" w:rsidP="006C70B7">
            <w:pPr>
              <w:pStyle w:val="Tabela"/>
              <w:numPr>
                <w:ilvl w:val="0"/>
                <w:numId w:val="77"/>
              </w:numPr>
              <w:ind w:left="0" w:firstLine="0"/>
              <w:jc w:val="both"/>
            </w:pPr>
          </w:p>
        </w:tc>
        <w:tc>
          <w:tcPr>
            <w:tcW w:w="7481" w:type="dxa"/>
          </w:tcPr>
          <w:p w14:paraId="2CCD9626" w14:textId="77777777" w:rsidR="00250AC8" w:rsidRPr="00EC250C" w:rsidRDefault="00250AC8" w:rsidP="00902FC6">
            <w:pPr>
              <w:pStyle w:val="Tabela"/>
              <w:rPr>
                <w:sz w:val="18"/>
                <w:szCs w:val="20"/>
              </w:rPr>
            </w:pPr>
            <w:r w:rsidRPr="00EC250C">
              <w:rPr>
                <w:sz w:val="18"/>
                <w:szCs w:val="20"/>
              </w:rPr>
              <w:t>Wizytacja Oddziałów Psychiatrii Sądowej. Choroszcz.</w:t>
            </w:r>
          </w:p>
        </w:tc>
        <w:tc>
          <w:tcPr>
            <w:tcW w:w="1687" w:type="dxa"/>
          </w:tcPr>
          <w:p w14:paraId="6605F6AF" w14:textId="77777777" w:rsidR="00250AC8" w:rsidRPr="00EC250C" w:rsidRDefault="00250AC8" w:rsidP="00902FC6">
            <w:pPr>
              <w:pStyle w:val="Tabela"/>
              <w:rPr>
                <w:sz w:val="18"/>
                <w:szCs w:val="20"/>
              </w:rPr>
            </w:pPr>
            <w:r w:rsidRPr="00EC250C">
              <w:rPr>
                <w:sz w:val="18"/>
                <w:szCs w:val="20"/>
              </w:rPr>
              <w:t>26.02–01.03.2018</w:t>
            </w:r>
            <w:r w:rsidR="00C91F6E" w:rsidRPr="00EC250C">
              <w:rPr>
                <w:sz w:val="18"/>
                <w:szCs w:val="20"/>
              </w:rPr>
              <w:t> r.</w:t>
            </w:r>
          </w:p>
        </w:tc>
      </w:tr>
      <w:tr w:rsidR="00250AC8" w:rsidRPr="00EC250C" w14:paraId="261DEF95" w14:textId="77777777" w:rsidTr="00A016B4">
        <w:trPr>
          <w:tblCellSpacing w:w="20" w:type="dxa"/>
        </w:trPr>
        <w:tc>
          <w:tcPr>
            <w:tcW w:w="508" w:type="dxa"/>
          </w:tcPr>
          <w:p w14:paraId="55354A16" w14:textId="77777777" w:rsidR="00250AC8" w:rsidRPr="00EC250C" w:rsidRDefault="00250AC8" w:rsidP="006C70B7">
            <w:pPr>
              <w:pStyle w:val="Tabela"/>
              <w:numPr>
                <w:ilvl w:val="0"/>
                <w:numId w:val="77"/>
              </w:numPr>
              <w:ind w:left="0" w:firstLine="0"/>
              <w:jc w:val="both"/>
            </w:pPr>
          </w:p>
        </w:tc>
        <w:tc>
          <w:tcPr>
            <w:tcW w:w="7481" w:type="dxa"/>
          </w:tcPr>
          <w:p w14:paraId="78681085" w14:textId="77777777" w:rsidR="00250AC8" w:rsidRPr="00EC250C" w:rsidRDefault="00250AC8" w:rsidP="00902FC6">
            <w:pPr>
              <w:pStyle w:val="Tabela"/>
              <w:rPr>
                <w:sz w:val="18"/>
                <w:szCs w:val="20"/>
              </w:rPr>
            </w:pPr>
            <w:r w:rsidRPr="00EC250C">
              <w:rPr>
                <w:sz w:val="18"/>
                <w:szCs w:val="20"/>
              </w:rPr>
              <w:t>Krajowy Ośrodek Zapobiegania Zachowaniom Dysocjacyjnym</w:t>
            </w:r>
            <w:r w:rsidR="00992FD0" w:rsidRPr="00EC250C">
              <w:rPr>
                <w:sz w:val="18"/>
                <w:szCs w:val="20"/>
              </w:rPr>
              <w:t xml:space="preserve"> w </w:t>
            </w:r>
            <w:r w:rsidRPr="00EC250C">
              <w:rPr>
                <w:sz w:val="18"/>
                <w:szCs w:val="20"/>
              </w:rPr>
              <w:t>Gostyninie – badanie przestrzegania praw pacjentów.</w:t>
            </w:r>
          </w:p>
        </w:tc>
        <w:tc>
          <w:tcPr>
            <w:tcW w:w="1687" w:type="dxa"/>
          </w:tcPr>
          <w:p w14:paraId="4B4EB90C" w14:textId="77777777" w:rsidR="00250AC8" w:rsidRPr="00EC250C" w:rsidRDefault="00250AC8" w:rsidP="00902FC6">
            <w:pPr>
              <w:pStyle w:val="Tabela"/>
              <w:rPr>
                <w:sz w:val="18"/>
                <w:szCs w:val="20"/>
              </w:rPr>
            </w:pPr>
            <w:r w:rsidRPr="00EC250C">
              <w:rPr>
                <w:sz w:val="18"/>
                <w:szCs w:val="20"/>
              </w:rPr>
              <w:t>05–07.03.2018</w:t>
            </w:r>
            <w:r w:rsidR="00C91F6E" w:rsidRPr="00EC250C">
              <w:rPr>
                <w:sz w:val="18"/>
                <w:szCs w:val="20"/>
              </w:rPr>
              <w:t> r.</w:t>
            </w:r>
          </w:p>
        </w:tc>
      </w:tr>
      <w:tr w:rsidR="00250AC8" w:rsidRPr="00EC250C" w14:paraId="14AA9CB5" w14:textId="77777777" w:rsidTr="00A016B4">
        <w:trPr>
          <w:tblCellSpacing w:w="20" w:type="dxa"/>
        </w:trPr>
        <w:tc>
          <w:tcPr>
            <w:tcW w:w="508" w:type="dxa"/>
          </w:tcPr>
          <w:p w14:paraId="657CE205" w14:textId="77777777" w:rsidR="00250AC8" w:rsidRPr="00EC250C" w:rsidRDefault="00250AC8" w:rsidP="006C70B7">
            <w:pPr>
              <w:pStyle w:val="Tabela"/>
              <w:numPr>
                <w:ilvl w:val="0"/>
                <w:numId w:val="77"/>
              </w:numPr>
              <w:ind w:left="0" w:firstLine="0"/>
              <w:jc w:val="both"/>
            </w:pPr>
          </w:p>
        </w:tc>
        <w:tc>
          <w:tcPr>
            <w:tcW w:w="7481" w:type="dxa"/>
          </w:tcPr>
          <w:p w14:paraId="02F7D12E" w14:textId="77777777" w:rsidR="00250AC8" w:rsidRPr="00EC250C" w:rsidRDefault="00250AC8" w:rsidP="00902FC6">
            <w:pPr>
              <w:pStyle w:val="Tabela"/>
              <w:rPr>
                <w:sz w:val="18"/>
                <w:szCs w:val="20"/>
              </w:rPr>
            </w:pPr>
            <w:r w:rsidRPr="00EC250C">
              <w:rPr>
                <w:sz w:val="18"/>
                <w:szCs w:val="20"/>
              </w:rPr>
              <w:t>Mazowiecki Szpital Wojewódzki Drewnica</w:t>
            </w:r>
            <w:r w:rsidR="00992FD0" w:rsidRPr="00EC250C">
              <w:rPr>
                <w:sz w:val="18"/>
                <w:szCs w:val="20"/>
              </w:rPr>
              <w:t xml:space="preserve"> w </w:t>
            </w:r>
            <w:r w:rsidRPr="00EC250C">
              <w:rPr>
                <w:sz w:val="18"/>
                <w:szCs w:val="20"/>
              </w:rPr>
              <w:t>Ząbkach – wizytacja oraz spotkanie</w:t>
            </w:r>
            <w:r w:rsidR="00992FD0" w:rsidRPr="00EC250C">
              <w:rPr>
                <w:sz w:val="18"/>
                <w:szCs w:val="20"/>
              </w:rPr>
              <w:t xml:space="preserve"> z </w:t>
            </w:r>
            <w:r w:rsidRPr="00EC250C">
              <w:rPr>
                <w:sz w:val="18"/>
                <w:szCs w:val="20"/>
              </w:rPr>
              <w:t>Zastępcą Rzecznika Praw Pacjenta. Ząbki.</w:t>
            </w:r>
          </w:p>
        </w:tc>
        <w:tc>
          <w:tcPr>
            <w:tcW w:w="1687" w:type="dxa"/>
          </w:tcPr>
          <w:p w14:paraId="782092BF" w14:textId="77777777" w:rsidR="00250AC8" w:rsidRPr="00EC250C" w:rsidRDefault="00250AC8" w:rsidP="00902FC6">
            <w:pPr>
              <w:pStyle w:val="Tabela"/>
              <w:rPr>
                <w:sz w:val="18"/>
                <w:szCs w:val="20"/>
              </w:rPr>
            </w:pPr>
            <w:r w:rsidRPr="00EC250C">
              <w:rPr>
                <w:sz w:val="18"/>
                <w:szCs w:val="20"/>
              </w:rPr>
              <w:t>12–13.03.2018</w:t>
            </w:r>
            <w:r w:rsidR="00C91F6E" w:rsidRPr="00EC250C">
              <w:rPr>
                <w:sz w:val="18"/>
                <w:szCs w:val="20"/>
              </w:rPr>
              <w:t> r.</w:t>
            </w:r>
            <w:r w:rsidRPr="00EC250C">
              <w:rPr>
                <w:sz w:val="18"/>
                <w:szCs w:val="20"/>
              </w:rPr>
              <w:t xml:space="preserve"> </w:t>
            </w:r>
          </w:p>
        </w:tc>
      </w:tr>
      <w:tr w:rsidR="00250AC8" w:rsidRPr="00EC250C" w14:paraId="50B7FED5" w14:textId="77777777" w:rsidTr="00A016B4">
        <w:trPr>
          <w:tblCellSpacing w:w="20" w:type="dxa"/>
        </w:trPr>
        <w:tc>
          <w:tcPr>
            <w:tcW w:w="508" w:type="dxa"/>
          </w:tcPr>
          <w:p w14:paraId="704A84C6" w14:textId="77777777" w:rsidR="00250AC8" w:rsidRPr="00EC250C" w:rsidRDefault="00250AC8" w:rsidP="006C70B7">
            <w:pPr>
              <w:pStyle w:val="Tabela"/>
              <w:numPr>
                <w:ilvl w:val="0"/>
                <w:numId w:val="77"/>
              </w:numPr>
              <w:ind w:left="0" w:firstLine="0"/>
              <w:jc w:val="both"/>
            </w:pPr>
          </w:p>
        </w:tc>
        <w:tc>
          <w:tcPr>
            <w:tcW w:w="7481" w:type="dxa"/>
          </w:tcPr>
          <w:p w14:paraId="75D48288" w14:textId="77777777" w:rsidR="00250AC8" w:rsidRPr="00EC250C" w:rsidRDefault="00250AC8" w:rsidP="00902FC6">
            <w:pPr>
              <w:pStyle w:val="Tabela"/>
              <w:rPr>
                <w:sz w:val="18"/>
                <w:szCs w:val="20"/>
              </w:rPr>
            </w:pPr>
            <w:r w:rsidRPr="00EC250C">
              <w:rPr>
                <w:sz w:val="18"/>
                <w:szCs w:val="20"/>
              </w:rPr>
              <w:t>Szpital Psychiatryczny</w:t>
            </w:r>
            <w:r w:rsidR="00992FD0" w:rsidRPr="00EC250C">
              <w:rPr>
                <w:sz w:val="18"/>
                <w:szCs w:val="20"/>
              </w:rPr>
              <w:t xml:space="preserve"> w </w:t>
            </w:r>
            <w:r w:rsidRPr="00EC250C">
              <w:rPr>
                <w:sz w:val="18"/>
                <w:szCs w:val="20"/>
              </w:rPr>
              <w:t xml:space="preserve">Starogardzie Gdańskim – badanie stanu przestrzegania praw pacjentów. </w:t>
            </w:r>
          </w:p>
        </w:tc>
        <w:tc>
          <w:tcPr>
            <w:tcW w:w="1687" w:type="dxa"/>
          </w:tcPr>
          <w:p w14:paraId="74A09D1B" w14:textId="77777777" w:rsidR="00250AC8" w:rsidRPr="00EC250C" w:rsidRDefault="00250AC8" w:rsidP="00902FC6">
            <w:pPr>
              <w:pStyle w:val="Tabela"/>
              <w:rPr>
                <w:sz w:val="18"/>
                <w:szCs w:val="20"/>
              </w:rPr>
            </w:pPr>
            <w:r w:rsidRPr="00EC250C">
              <w:rPr>
                <w:sz w:val="18"/>
                <w:szCs w:val="20"/>
              </w:rPr>
              <w:t>20–23.04.2018</w:t>
            </w:r>
            <w:r w:rsidR="00C91F6E" w:rsidRPr="00EC250C">
              <w:rPr>
                <w:sz w:val="18"/>
                <w:szCs w:val="20"/>
              </w:rPr>
              <w:t> r.</w:t>
            </w:r>
          </w:p>
        </w:tc>
      </w:tr>
      <w:tr w:rsidR="00250AC8" w:rsidRPr="00EC250C" w14:paraId="5A44F620" w14:textId="77777777" w:rsidTr="00A016B4">
        <w:trPr>
          <w:tblCellSpacing w:w="20" w:type="dxa"/>
        </w:trPr>
        <w:tc>
          <w:tcPr>
            <w:tcW w:w="508" w:type="dxa"/>
          </w:tcPr>
          <w:p w14:paraId="3DB80C1E" w14:textId="77777777" w:rsidR="00250AC8" w:rsidRPr="00EC250C" w:rsidRDefault="00250AC8" w:rsidP="006C70B7">
            <w:pPr>
              <w:pStyle w:val="Tabela"/>
              <w:numPr>
                <w:ilvl w:val="0"/>
                <w:numId w:val="77"/>
              </w:numPr>
              <w:ind w:left="0" w:firstLine="0"/>
              <w:jc w:val="both"/>
            </w:pPr>
          </w:p>
        </w:tc>
        <w:tc>
          <w:tcPr>
            <w:tcW w:w="7481" w:type="dxa"/>
          </w:tcPr>
          <w:p w14:paraId="58B5B376" w14:textId="77777777" w:rsidR="00250AC8" w:rsidRPr="00EC250C" w:rsidRDefault="00250AC8" w:rsidP="00902FC6">
            <w:pPr>
              <w:pStyle w:val="Tabela"/>
              <w:rPr>
                <w:sz w:val="18"/>
                <w:szCs w:val="20"/>
              </w:rPr>
            </w:pPr>
            <w:r w:rsidRPr="00EC250C">
              <w:rPr>
                <w:sz w:val="18"/>
                <w:szCs w:val="20"/>
              </w:rPr>
              <w:t>Spotkanie</w:t>
            </w:r>
            <w:r w:rsidR="00992FD0" w:rsidRPr="00EC250C">
              <w:rPr>
                <w:sz w:val="18"/>
                <w:szCs w:val="20"/>
              </w:rPr>
              <w:t xml:space="preserve"> z </w:t>
            </w:r>
            <w:r w:rsidRPr="00EC250C">
              <w:rPr>
                <w:sz w:val="18"/>
                <w:szCs w:val="20"/>
              </w:rPr>
              <w:t>Dyrektorem Zakładu Opieki Zdrowotnej</w:t>
            </w:r>
            <w:r w:rsidR="00992FD0" w:rsidRPr="00EC250C">
              <w:rPr>
                <w:sz w:val="18"/>
                <w:szCs w:val="20"/>
              </w:rPr>
              <w:t xml:space="preserve"> w </w:t>
            </w:r>
            <w:r w:rsidRPr="00EC250C">
              <w:rPr>
                <w:sz w:val="18"/>
                <w:szCs w:val="20"/>
              </w:rPr>
              <w:t>Człuchowie</w:t>
            </w:r>
            <w:r w:rsidR="00992FD0" w:rsidRPr="00EC250C">
              <w:rPr>
                <w:sz w:val="18"/>
                <w:szCs w:val="20"/>
              </w:rPr>
              <w:t xml:space="preserve"> w </w:t>
            </w:r>
            <w:r w:rsidRPr="00EC250C">
              <w:rPr>
                <w:sz w:val="18"/>
                <w:szCs w:val="20"/>
              </w:rPr>
              <w:t xml:space="preserve">sprawie funkcjonowania oddziału psychiatrycznego. </w:t>
            </w:r>
          </w:p>
        </w:tc>
        <w:tc>
          <w:tcPr>
            <w:tcW w:w="1687" w:type="dxa"/>
          </w:tcPr>
          <w:p w14:paraId="4DB2AA88" w14:textId="77777777" w:rsidR="00250AC8" w:rsidRPr="00EC250C" w:rsidRDefault="00250AC8" w:rsidP="00902FC6">
            <w:pPr>
              <w:pStyle w:val="Tabela"/>
              <w:rPr>
                <w:sz w:val="18"/>
                <w:szCs w:val="20"/>
              </w:rPr>
            </w:pPr>
            <w:r w:rsidRPr="00EC250C">
              <w:rPr>
                <w:sz w:val="18"/>
                <w:szCs w:val="20"/>
              </w:rPr>
              <w:t>12.06.2018</w:t>
            </w:r>
            <w:r w:rsidR="00C91F6E" w:rsidRPr="00EC250C">
              <w:rPr>
                <w:sz w:val="18"/>
                <w:szCs w:val="20"/>
              </w:rPr>
              <w:t> r.</w:t>
            </w:r>
          </w:p>
        </w:tc>
      </w:tr>
      <w:tr w:rsidR="00250AC8" w:rsidRPr="00EC250C" w14:paraId="4E3B7C14" w14:textId="77777777" w:rsidTr="00A016B4">
        <w:trPr>
          <w:tblCellSpacing w:w="20" w:type="dxa"/>
        </w:trPr>
        <w:tc>
          <w:tcPr>
            <w:tcW w:w="508" w:type="dxa"/>
          </w:tcPr>
          <w:p w14:paraId="22A317D9" w14:textId="77777777" w:rsidR="00250AC8" w:rsidRPr="00EC250C" w:rsidRDefault="00250AC8" w:rsidP="006C70B7">
            <w:pPr>
              <w:pStyle w:val="Tabela"/>
              <w:numPr>
                <w:ilvl w:val="0"/>
                <w:numId w:val="77"/>
              </w:numPr>
              <w:ind w:left="0" w:firstLine="0"/>
              <w:jc w:val="both"/>
            </w:pPr>
          </w:p>
        </w:tc>
        <w:tc>
          <w:tcPr>
            <w:tcW w:w="7481" w:type="dxa"/>
          </w:tcPr>
          <w:p w14:paraId="65D69AB9" w14:textId="77777777" w:rsidR="00250AC8" w:rsidRPr="00EC250C" w:rsidRDefault="00250AC8" w:rsidP="00902FC6">
            <w:pPr>
              <w:pStyle w:val="Tabela"/>
              <w:rPr>
                <w:sz w:val="18"/>
                <w:szCs w:val="20"/>
              </w:rPr>
            </w:pPr>
            <w:r w:rsidRPr="00EC250C">
              <w:rPr>
                <w:sz w:val="18"/>
                <w:szCs w:val="20"/>
              </w:rPr>
              <w:t>Areszt Śledczy</w:t>
            </w:r>
            <w:r w:rsidR="00992FD0" w:rsidRPr="00EC250C">
              <w:rPr>
                <w:sz w:val="18"/>
                <w:szCs w:val="20"/>
              </w:rPr>
              <w:t xml:space="preserve"> w </w:t>
            </w:r>
            <w:r w:rsidRPr="00EC250C">
              <w:rPr>
                <w:sz w:val="18"/>
                <w:szCs w:val="20"/>
              </w:rPr>
              <w:t>P. T. – badanie na miejscu sprawy indywidualnej, Szpital psychiatryczny Aresztu Śledczego</w:t>
            </w:r>
            <w:r w:rsidR="00992FD0" w:rsidRPr="00EC250C">
              <w:rPr>
                <w:sz w:val="18"/>
                <w:szCs w:val="20"/>
              </w:rPr>
              <w:t xml:space="preserve"> w </w:t>
            </w:r>
            <w:r w:rsidRPr="00EC250C">
              <w:rPr>
                <w:sz w:val="18"/>
                <w:szCs w:val="20"/>
              </w:rPr>
              <w:t>Łodzi oraz Szpital</w:t>
            </w:r>
            <w:r w:rsidR="00992FD0" w:rsidRPr="00EC250C">
              <w:rPr>
                <w:sz w:val="18"/>
                <w:szCs w:val="20"/>
              </w:rPr>
              <w:t xml:space="preserve"> w </w:t>
            </w:r>
            <w:r w:rsidRPr="00EC250C">
              <w:rPr>
                <w:sz w:val="18"/>
                <w:szCs w:val="20"/>
              </w:rPr>
              <w:t>Zakładzie Karnym</w:t>
            </w:r>
            <w:r w:rsidR="00992FD0" w:rsidRPr="00EC250C">
              <w:rPr>
                <w:sz w:val="18"/>
                <w:szCs w:val="20"/>
              </w:rPr>
              <w:t xml:space="preserve"> w </w:t>
            </w:r>
            <w:r w:rsidRPr="00EC250C">
              <w:rPr>
                <w:sz w:val="18"/>
                <w:szCs w:val="20"/>
              </w:rPr>
              <w:t xml:space="preserve">Czarnem – badanie stanu przestrzegania praw pacjentów. </w:t>
            </w:r>
          </w:p>
        </w:tc>
        <w:tc>
          <w:tcPr>
            <w:tcW w:w="1687" w:type="dxa"/>
          </w:tcPr>
          <w:p w14:paraId="74FAA291" w14:textId="77777777" w:rsidR="00250AC8" w:rsidRPr="00EC250C" w:rsidRDefault="00250AC8" w:rsidP="00902FC6">
            <w:pPr>
              <w:pStyle w:val="Tabela"/>
              <w:rPr>
                <w:sz w:val="18"/>
                <w:szCs w:val="20"/>
              </w:rPr>
            </w:pPr>
            <w:r w:rsidRPr="00EC250C">
              <w:rPr>
                <w:sz w:val="18"/>
                <w:szCs w:val="20"/>
              </w:rPr>
              <w:t>20–22.06.2018</w:t>
            </w:r>
            <w:r w:rsidR="00C91F6E" w:rsidRPr="00EC250C">
              <w:rPr>
                <w:sz w:val="18"/>
                <w:szCs w:val="20"/>
              </w:rPr>
              <w:t> r.</w:t>
            </w:r>
          </w:p>
        </w:tc>
      </w:tr>
      <w:tr w:rsidR="00250AC8" w:rsidRPr="00EC250C" w14:paraId="0A88EA41" w14:textId="77777777" w:rsidTr="00A016B4">
        <w:trPr>
          <w:tblCellSpacing w:w="20" w:type="dxa"/>
        </w:trPr>
        <w:tc>
          <w:tcPr>
            <w:tcW w:w="508" w:type="dxa"/>
          </w:tcPr>
          <w:p w14:paraId="5B13D837" w14:textId="77777777" w:rsidR="00250AC8" w:rsidRPr="00EC250C" w:rsidRDefault="00250AC8" w:rsidP="006C70B7">
            <w:pPr>
              <w:pStyle w:val="Tabela"/>
              <w:numPr>
                <w:ilvl w:val="0"/>
                <w:numId w:val="77"/>
              </w:numPr>
              <w:ind w:left="0" w:firstLine="0"/>
              <w:jc w:val="both"/>
            </w:pPr>
          </w:p>
        </w:tc>
        <w:tc>
          <w:tcPr>
            <w:tcW w:w="7481" w:type="dxa"/>
          </w:tcPr>
          <w:p w14:paraId="235AA4B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badaniu stanu przestrzegania praw pacjentów</w:t>
            </w:r>
            <w:r w:rsidR="00992FD0" w:rsidRPr="00EC250C">
              <w:rPr>
                <w:sz w:val="18"/>
                <w:szCs w:val="20"/>
              </w:rPr>
              <w:t xml:space="preserve"> w </w:t>
            </w:r>
            <w:r w:rsidRPr="00EC250C">
              <w:rPr>
                <w:sz w:val="18"/>
                <w:szCs w:val="20"/>
              </w:rPr>
              <w:t>Krajowym Ośrodku Zapobiegnia Zachowaniom Dyssocjalnym</w:t>
            </w:r>
            <w:r w:rsidR="00992FD0" w:rsidRPr="00EC250C">
              <w:rPr>
                <w:sz w:val="18"/>
                <w:szCs w:val="20"/>
              </w:rPr>
              <w:t xml:space="preserve"> w </w:t>
            </w:r>
            <w:r w:rsidRPr="00EC250C">
              <w:rPr>
                <w:sz w:val="18"/>
                <w:szCs w:val="20"/>
              </w:rPr>
              <w:t>Gostyninie.</w:t>
            </w:r>
          </w:p>
        </w:tc>
        <w:tc>
          <w:tcPr>
            <w:tcW w:w="1687" w:type="dxa"/>
          </w:tcPr>
          <w:p w14:paraId="676E38E0" w14:textId="77777777" w:rsidR="00250AC8" w:rsidRPr="00EC250C" w:rsidRDefault="00250AC8" w:rsidP="00902FC6">
            <w:pPr>
              <w:pStyle w:val="Tabela"/>
              <w:rPr>
                <w:sz w:val="18"/>
                <w:szCs w:val="20"/>
              </w:rPr>
            </w:pPr>
            <w:r w:rsidRPr="00EC250C">
              <w:rPr>
                <w:sz w:val="18"/>
                <w:szCs w:val="20"/>
              </w:rPr>
              <w:t>02.07.2018</w:t>
            </w:r>
            <w:r w:rsidR="00C91F6E" w:rsidRPr="00EC250C">
              <w:rPr>
                <w:sz w:val="18"/>
                <w:szCs w:val="20"/>
              </w:rPr>
              <w:t> r.</w:t>
            </w:r>
          </w:p>
        </w:tc>
      </w:tr>
      <w:tr w:rsidR="00250AC8" w:rsidRPr="00EC250C" w14:paraId="683D1ED8" w14:textId="77777777" w:rsidTr="00A016B4">
        <w:trPr>
          <w:tblCellSpacing w:w="20" w:type="dxa"/>
        </w:trPr>
        <w:tc>
          <w:tcPr>
            <w:tcW w:w="508" w:type="dxa"/>
          </w:tcPr>
          <w:p w14:paraId="418F8346" w14:textId="77777777" w:rsidR="00250AC8" w:rsidRPr="00EC250C" w:rsidRDefault="00250AC8" w:rsidP="006C70B7">
            <w:pPr>
              <w:pStyle w:val="Tabela"/>
              <w:numPr>
                <w:ilvl w:val="0"/>
                <w:numId w:val="77"/>
              </w:numPr>
              <w:ind w:left="0" w:firstLine="0"/>
              <w:jc w:val="both"/>
            </w:pPr>
          </w:p>
        </w:tc>
        <w:tc>
          <w:tcPr>
            <w:tcW w:w="7481" w:type="dxa"/>
          </w:tcPr>
          <w:p w14:paraId="39ABEF18" w14:textId="77777777" w:rsidR="00250AC8" w:rsidRPr="00EC250C" w:rsidRDefault="00250AC8" w:rsidP="00902FC6">
            <w:pPr>
              <w:pStyle w:val="Tabela"/>
              <w:rPr>
                <w:sz w:val="18"/>
                <w:szCs w:val="20"/>
              </w:rPr>
            </w:pPr>
            <w:r w:rsidRPr="00EC250C">
              <w:rPr>
                <w:sz w:val="18"/>
                <w:szCs w:val="20"/>
              </w:rPr>
              <w:t>Szpital Psychiatryczny</w:t>
            </w:r>
            <w:r w:rsidR="00992FD0" w:rsidRPr="00EC250C">
              <w:rPr>
                <w:sz w:val="18"/>
                <w:szCs w:val="20"/>
              </w:rPr>
              <w:t xml:space="preserve"> w </w:t>
            </w:r>
            <w:r w:rsidRPr="00EC250C">
              <w:rPr>
                <w:sz w:val="18"/>
                <w:szCs w:val="20"/>
              </w:rPr>
              <w:t xml:space="preserve">Ś. – badanie na miejscu sprawy Cz. Ch. oraz wizytacja Oddziałów Psychiatrii Sądowej. </w:t>
            </w:r>
          </w:p>
        </w:tc>
        <w:tc>
          <w:tcPr>
            <w:tcW w:w="1687" w:type="dxa"/>
          </w:tcPr>
          <w:p w14:paraId="14003D52" w14:textId="77777777" w:rsidR="00250AC8" w:rsidRPr="00EC250C" w:rsidRDefault="00250AC8" w:rsidP="00902FC6">
            <w:pPr>
              <w:pStyle w:val="Tabela"/>
              <w:rPr>
                <w:sz w:val="18"/>
                <w:szCs w:val="20"/>
              </w:rPr>
            </w:pPr>
            <w:r w:rsidRPr="00EC250C">
              <w:rPr>
                <w:sz w:val="18"/>
                <w:szCs w:val="20"/>
              </w:rPr>
              <w:t>05.07.2018</w:t>
            </w:r>
            <w:r w:rsidR="00C91F6E" w:rsidRPr="00EC250C">
              <w:rPr>
                <w:sz w:val="18"/>
                <w:szCs w:val="20"/>
              </w:rPr>
              <w:t> r.</w:t>
            </w:r>
          </w:p>
        </w:tc>
      </w:tr>
      <w:tr w:rsidR="00250AC8" w:rsidRPr="00EC250C" w14:paraId="0EF29EB0" w14:textId="77777777" w:rsidTr="00A016B4">
        <w:trPr>
          <w:tblCellSpacing w:w="20" w:type="dxa"/>
        </w:trPr>
        <w:tc>
          <w:tcPr>
            <w:tcW w:w="508" w:type="dxa"/>
          </w:tcPr>
          <w:p w14:paraId="0BD53D2F" w14:textId="77777777" w:rsidR="00250AC8" w:rsidRPr="00EC250C" w:rsidRDefault="00250AC8" w:rsidP="006C70B7">
            <w:pPr>
              <w:pStyle w:val="Tabela"/>
              <w:numPr>
                <w:ilvl w:val="0"/>
                <w:numId w:val="77"/>
              </w:numPr>
              <w:ind w:left="0" w:firstLine="0"/>
              <w:jc w:val="both"/>
            </w:pPr>
          </w:p>
        </w:tc>
        <w:tc>
          <w:tcPr>
            <w:tcW w:w="7481" w:type="dxa"/>
          </w:tcPr>
          <w:p w14:paraId="0E98D918" w14:textId="77777777" w:rsidR="00250AC8" w:rsidRPr="00EC250C" w:rsidRDefault="00250AC8" w:rsidP="00902FC6">
            <w:pPr>
              <w:pStyle w:val="Tabela"/>
              <w:rPr>
                <w:sz w:val="18"/>
                <w:szCs w:val="20"/>
              </w:rPr>
            </w:pPr>
            <w:r w:rsidRPr="00EC250C">
              <w:rPr>
                <w:sz w:val="18"/>
                <w:szCs w:val="20"/>
              </w:rPr>
              <w:t>Szpital Rejonowy</w:t>
            </w:r>
            <w:r w:rsidR="00992FD0" w:rsidRPr="00EC250C">
              <w:rPr>
                <w:sz w:val="18"/>
                <w:szCs w:val="20"/>
              </w:rPr>
              <w:t xml:space="preserve"> w </w:t>
            </w:r>
            <w:r w:rsidRPr="00EC250C">
              <w:rPr>
                <w:sz w:val="18"/>
                <w:szCs w:val="20"/>
              </w:rPr>
              <w:t xml:space="preserve">Kościerzynie, Centrum Zdrowia Psychicznego – badanie stanu przestrzegania praw pacjentów. </w:t>
            </w:r>
          </w:p>
        </w:tc>
        <w:tc>
          <w:tcPr>
            <w:tcW w:w="1687" w:type="dxa"/>
          </w:tcPr>
          <w:p w14:paraId="18CD16DB" w14:textId="77777777" w:rsidR="00250AC8" w:rsidRPr="00EC250C" w:rsidRDefault="00250AC8" w:rsidP="00902FC6">
            <w:pPr>
              <w:pStyle w:val="Tabela"/>
              <w:rPr>
                <w:sz w:val="18"/>
                <w:szCs w:val="20"/>
              </w:rPr>
            </w:pPr>
            <w:r w:rsidRPr="00EC250C">
              <w:rPr>
                <w:sz w:val="18"/>
                <w:szCs w:val="20"/>
              </w:rPr>
              <w:t>15.11.2018</w:t>
            </w:r>
            <w:r w:rsidR="00C91F6E" w:rsidRPr="00EC250C">
              <w:rPr>
                <w:sz w:val="18"/>
                <w:szCs w:val="20"/>
              </w:rPr>
              <w:t> r.</w:t>
            </w:r>
          </w:p>
        </w:tc>
      </w:tr>
      <w:tr w:rsidR="00250AC8" w:rsidRPr="00EC250C" w14:paraId="32805735" w14:textId="77777777" w:rsidTr="00A016B4">
        <w:trPr>
          <w:tblCellSpacing w:w="20" w:type="dxa"/>
        </w:trPr>
        <w:tc>
          <w:tcPr>
            <w:tcW w:w="508" w:type="dxa"/>
          </w:tcPr>
          <w:p w14:paraId="0CBE7239" w14:textId="77777777" w:rsidR="00250AC8" w:rsidRPr="00EC250C" w:rsidRDefault="00250AC8" w:rsidP="006C70B7">
            <w:pPr>
              <w:pStyle w:val="Tabela"/>
              <w:numPr>
                <w:ilvl w:val="0"/>
                <w:numId w:val="77"/>
              </w:numPr>
              <w:ind w:left="0" w:firstLine="0"/>
              <w:jc w:val="both"/>
            </w:pPr>
          </w:p>
        </w:tc>
        <w:tc>
          <w:tcPr>
            <w:tcW w:w="7481" w:type="dxa"/>
          </w:tcPr>
          <w:p w14:paraId="0130B599" w14:textId="77777777" w:rsidR="00250AC8" w:rsidRPr="00EC250C" w:rsidRDefault="00250AC8" w:rsidP="00902FC6">
            <w:pPr>
              <w:pStyle w:val="Tabela"/>
              <w:rPr>
                <w:sz w:val="18"/>
                <w:szCs w:val="20"/>
              </w:rPr>
            </w:pPr>
            <w:r w:rsidRPr="00EC250C">
              <w:rPr>
                <w:sz w:val="18"/>
                <w:szCs w:val="20"/>
              </w:rPr>
              <w:t>Środowiskowy Dom „Feniks”</w:t>
            </w:r>
            <w:r w:rsidR="00992FD0" w:rsidRPr="00EC250C">
              <w:rPr>
                <w:sz w:val="18"/>
                <w:szCs w:val="20"/>
              </w:rPr>
              <w:t xml:space="preserve"> w </w:t>
            </w:r>
            <w:r w:rsidRPr="00EC250C">
              <w:rPr>
                <w:sz w:val="18"/>
                <w:szCs w:val="20"/>
              </w:rPr>
              <w:t xml:space="preserve">Trzyniku – badanie stanu przestrzegania praw pacjentów. </w:t>
            </w:r>
          </w:p>
        </w:tc>
        <w:tc>
          <w:tcPr>
            <w:tcW w:w="1687" w:type="dxa"/>
          </w:tcPr>
          <w:p w14:paraId="44B36D99" w14:textId="77777777" w:rsidR="00250AC8" w:rsidRPr="00EC250C" w:rsidRDefault="00250AC8" w:rsidP="00902FC6">
            <w:pPr>
              <w:pStyle w:val="Tabela"/>
              <w:rPr>
                <w:sz w:val="18"/>
                <w:szCs w:val="20"/>
              </w:rPr>
            </w:pPr>
            <w:r w:rsidRPr="00EC250C">
              <w:rPr>
                <w:sz w:val="18"/>
                <w:szCs w:val="20"/>
              </w:rPr>
              <w:t>17.11.2018</w:t>
            </w:r>
            <w:r w:rsidR="00C91F6E" w:rsidRPr="00EC250C">
              <w:rPr>
                <w:sz w:val="18"/>
                <w:szCs w:val="20"/>
              </w:rPr>
              <w:t> r.</w:t>
            </w:r>
          </w:p>
        </w:tc>
      </w:tr>
      <w:tr w:rsidR="00250AC8" w:rsidRPr="00EC250C" w14:paraId="2EC2FAF9" w14:textId="77777777" w:rsidTr="00A016B4">
        <w:trPr>
          <w:tblCellSpacing w:w="20" w:type="dxa"/>
        </w:trPr>
        <w:tc>
          <w:tcPr>
            <w:tcW w:w="508" w:type="dxa"/>
          </w:tcPr>
          <w:p w14:paraId="009E5C48" w14:textId="77777777" w:rsidR="00250AC8" w:rsidRPr="00EC250C" w:rsidRDefault="00250AC8" w:rsidP="006C70B7">
            <w:pPr>
              <w:pStyle w:val="Tabela"/>
              <w:numPr>
                <w:ilvl w:val="0"/>
                <w:numId w:val="77"/>
              </w:numPr>
              <w:ind w:left="0" w:firstLine="0"/>
              <w:jc w:val="both"/>
            </w:pPr>
          </w:p>
        </w:tc>
        <w:tc>
          <w:tcPr>
            <w:tcW w:w="7481" w:type="dxa"/>
          </w:tcPr>
          <w:p w14:paraId="5646E955" w14:textId="77777777" w:rsidR="00250AC8" w:rsidRPr="00EC250C" w:rsidRDefault="00250AC8" w:rsidP="00902FC6">
            <w:pPr>
              <w:pStyle w:val="Tabela"/>
              <w:rPr>
                <w:sz w:val="18"/>
                <w:szCs w:val="20"/>
              </w:rPr>
            </w:pPr>
            <w:r w:rsidRPr="00EC250C">
              <w:rPr>
                <w:sz w:val="18"/>
                <w:szCs w:val="20"/>
              </w:rPr>
              <w:t>Wizytacja Wojewódzkiego Szpitala dla Nerwowo</w:t>
            </w:r>
            <w:r w:rsidR="00992FD0" w:rsidRPr="00EC250C">
              <w:rPr>
                <w:sz w:val="18"/>
                <w:szCs w:val="20"/>
              </w:rPr>
              <w:t xml:space="preserve"> i </w:t>
            </w:r>
            <w:r w:rsidRPr="00EC250C">
              <w:rPr>
                <w:sz w:val="18"/>
                <w:szCs w:val="20"/>
              </w:rPr>
              <w:t>Psychicznie Chorych</w:t>
            </w:r>
            <w:r w:rsidR="00992FD0" w:rsidRPr="00EC250C">
              <w:rPr>
                <w:sz w:val="18"/>
                <w:szCs w:val="20"/>
              </w:rPr>
              <w:t xml:space="preserve"> w </w:t>
            </w:r>
            <w:r w:rsidRPr="00EC250C">
              <w:rPr>
                <w:sz w:val="18"/>
                <w:szCs w:val="20"/>
              </w:rPr>
              <w:t>G.</w:t>
            </w:r>
            <w:r w:rsidR="00992FD0" w:rsidRPr="00EC250C">
              <w:rPr>
                <w:sz w:val="18"/>
                <w:szCs w:val="20"/>
              </w:rPr>
              <w:t xml:space="preserve"> w </w:t>
            </w:r>
            <w:r w:rsidRPr="00EC250C">
              <w:rPr>
                <w:sz w:val="18"/>
                <w:szCs w:val="20"/>
              </w:rPr>
              <w:t xml:space="preserve">celu zbadania indywidualnej sprawy R.C. </w:t>
            </w:r>
          </w:p>
        </w:tc>
        <w:tc>
          <w:tcPr>
            <w:tcW w:w="1687" w:type="dxa"/>
          </w:tcPr>
          <w:p w14:paraId="79723E0A" w14:textId="77777777" w:rsidR="00250AC8" w:rsidRPr="00EC250C" w:rsidRDefault="00250AC8" w:rsidP="00902FC6">
            <w:pPr>
              <w:pStyle w:val="Tabela"/>
              <w:rPr>
                <w:sz w:val="18"/>
                <w:szCs w:val="20"/>
              </w:rPr>
            </w:pPr>
            <w:r w:rsidRPr="00EC250C">
              <w:rPr>
                <w:sz w:val="18"/>
                <w:szCs w:val="20"/>
              </w:rPr>
              <w:t>08.12.2018</w:t>
            </w:r>
            <w:r w:rsidR="00C91F6E" w:rsidRPr="00EC250C">
              <w:rPr>
                <w:sz w:val="18"/>
                <w:szCs w:val="20"/>
              </w:rPr>
              <w:t> r.</w:t>
            </w:r>
          </w:p>
        </w:tc>
      </w:tr>
    </w:tbl>
    <w:p w14:paraId="0922E752" w14:textId="77777777" w:rsidR="00250AC8" w:rsidRPr="00EC250C" w:rsidRDefault="00250AC8" w:rsidP="00EC250C">
      <w:pPr>
        <w:pStyle w:val="Nagwek5"/>
      </w:pPr>
      <w:bookmarkStart w:id="882" w:name="_Toc6258101"/>
      <w:r w:rsidRPr="00EC250C">
        <w:t>Areszty Śledcze, Policyjne Izby Zatrzymań, Izby Wytrzeźwień</w:t>
      </w:r>
      <w:r w:rsidR="00992FD0" w:rsidRPr="00EC250C">
        <w:t xml:space="preserve"> i </w:t>
      </w:r>
      <w:r w:rsidRPr="00EC250C">
        <w:t>Zakłady Karne – badanie przestrzegania praw osób pozbawionych wolności</w:t>
      </w:r>
      <w:bookmarkEnd w:id="882"/>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7521"/>
        <w:gridCol w:w="1747"/>
      </w:tblGrid>
      <w:tr w:rsidR="00250AC8" w:rsidRPr="00EC250C" w14:paraId="38FB4D6D" w14:textId="77777777" w:rsidTr="00A016B4">
        <w:trPr>
          <w:tblCellSpacing w:w="20" w:type="dxa"/>
        </w:trPr>
        <w:tc>
          <w:tcPr>
            <w:tcW w:w="508" w:type="dxa"/>
          </w:tcPr>
          <w:p w14:paraId="1B10E57F" w14:textId="77777777" w:rsidR="00250AC8" w:rsidRPr="00EC250C" w:rsidRDefault="00250AC8" w:rsidP="006C70B7">
            <w:pPr>
              <w:pStyle w:val="Tabela"/>
              <w:numPr>
                <w:ilvl w:val="0"/>
                <w:numId w:val="78"/>
              </w:numPr>
              <w:ind w:left="0" w:firstLine="0"/>
              <w:jc w:val="both"/>
            </w:pPr>
          </w:p>
        </w:tc>
        <w:tc>
          <w:tcPr>
            <w:tcW w:w="7481" w:type="dxa"/>
          </w:tcPr>
          <w:p w14:paraId="7240EF28" w14:textId="77777777" w:rsidR="00250AC8" w:rsidRPr="00EC250C" w:rsidRDefault="00250AC8" w:rsidP="00902FC6">
            <w:pPr>
              <w:pStyle w:val="Tabela"/>
              <w:rPr>
                <w:sz w:val="18"/>
                <w:szCs w:val="20"/>
              </w:rPr>
            </w:pPr>
            <w:r w:rsidRPr="00EC250C">
              <w:rPr>
                <w:sz w:val="18"/>
                <w:szCs w:val="20"/>
              </w:rPr>
              <w:t xml:space="preserve">Zakład Karny we Włocławku – badanie na miejscu zdarzenia nadzwyczajnego. </w:t>
            </w:r>
          </w:p>
        </w:tc>
        <w:tc>
          <w:tcPr>
            <w:tcW w:w="1687" w:type="dxa"/>
          </w:tcPr>
          <w:p w14:paraId="4023D04F" w14:textId="77777777" w:rsidR="00250AC8" w:rsidRPr="00EC250C" w:rsidRDefault="00250AC8" w:rsidP="00902FC6">
            <w:pPr>
              <w:pStyle w:val="Tabela"/>
              <w:rPr>
                <w:sz w:val="18"/>
                <w:szCs w:val="20"/>
              </w:rPr>
            </w:pPr>
            <w:r w:rsidRPr="00EC250C">
              <w:rPr>
                <w:sz w:val="18"/>
                <w:szCs w:val="20"/>
              </w:rPr>
              <w:t>24–26.01.2018</w:t>
            </w:r>
            <w:r w:rsidR="00C91F6E" w:rsidRPr="00EC250C">
              <w:rPr>
                <w:sz w:val="18"/>
                <w:szCs w:val="20"/>
              </w:rPr>
              <w:t> r.</w:t>
            </w:r>
          </w:p>
        </w:tc>
      </w:tr>
      <w:tr w:rsidR="00250AC8" w:rsidRPr="00EC250C" w14:paraId="76BC38D4" w14:textId="77777777" w:rsidTr="00A016B4">
        <w:trPr>
          <w:tblCellSpacing w:w="20" w:type="dxa"/>
        </w:trPr>
        <w:tc>
          <w:tcPr>
            <w:tcW w:w="508" w:type="dxa"/>
          </w:tcPr>
          <w:p w14:paraId="1BD62990" w14:textId="77777777" w:rsidR="00250AC8" w:rsidRPr="00EC250C" w:rsidRDefault="00250AC8" w:rsidP="006C70B7">
            <w:pPr>
              <w:pStyle w:val="Tabela"/>
              <w:numPr>
                <w:ilvl w:val="0"/>
                <w:numId w:val="78"/>
              </w:numPr>
              <w:ind w:left="0" w:firstLine="0"/>
              <w:jc w:val="both"/>
            </w:pPr>
          </w:p>
        </w:tc>
        <w:tc>
          <w:tcPr>
            <w:tcW w:w="7481" w:type="dxa"/>
          </w:tcPr>
          <w:p w14:paraId="0205406C" w14:textId="77777777" w:rsidR="00250AC8" w:rsidRPr="00EC250C" w:rsidRDefault="00250AC8" w:rsidP="00902FC6">
            <w:pPr>
              <w:pStyle w:val="Tabela"/>
              <w:rPr>
                <w:sz w:val="18"/>
                <w:szCs w:val="20"/>
              </w:rPr>
            </w:pPr>
            <w:r w:rsidRPr="00EC250C">
              <w:rPr>
                <w:sz w:val="18"/>
                <w:szCs w:val="20"/>
              </w:rPr>
              <w:t>Zakład Karny</w:t>
            </w:r>
            <w:r w:rsidR="00992FD0" w:rsidRPr="00EC250C">
              <w:rPr>
                <w:sz w:val="18"/>
                <w:szCs w:val="20"/>
              </w:rPr>
              <w:t xml:space="preserve"> w </w:t>
            </w:r>
            <w:r w:rsidRPr="00EC250C">
              <w:rPr>
                <w:sz w:val="18"/>
                <w:szCs w:val="20"/>
              </w:rPr>
              <w:t xml:space="preserve">Wierzchowie Pomorskim – badanie sprawy na miejscu. </w:t>
            </w:r>
          </w:p>
        </w:tc>
        <w:tc>
          <w:tcPr>
            <w:tcW w:w="1687" w:type="dxa"/>
          </w:tcPr>
          <w:p w14:paraId="1E85312C" w14:textId="77777777" w:rsidR="00250AC8" w:rsidRPr="00EC250C" w:rsidRDefault="00250AC8" w:rsidP="00902FC6">
            <w:pPr>
              <w:pStyle w:val="Tabela"/>
              <w:rPr>
                <w:sz w:val="18"/>
                <w:szCs w:val="20"/>
              </w:rPr>
            </w:pPr>
            <w:r w:rsidRPr="00EC250C">
              <w:rPr>
                <w:sz w:val="18"/>
                <w:szCs w:val="20"/>
              </w:rPr>
              <w:t>29.01.2018</w:t>
            </w:r>
            <w:r w:rsidR="00C91F6E" w:rsidRPr="00EC250C">
              <w:rPr>
                <w:sz w:val="18"/>
                <w:szCs w:val="20"/>
              </w:rPr>
              <w:t> r.</w:t>
            </w:r>
          </w:p>
        </w:tc>
      </w:tr>
      <w:tr w:rsidR="00250AC8" w:rsidRPr="00EC250C" w14:paraId="29B1C895" w14:textId="77777777" w:rsidTr="00A016B4">
        <w:trPr>
          <w:tblCellSpacing w:w="20" w:type="dxa"/>
        </w:trPr>
        <w:tc>
          <w:tcPr>
            <w:tcW w:w="508" w:type="dxa"/>
          </w:tcPr>
          <w:p w14:paraId="2DDD17AD" w14:textId="77777777" w:rsidR="00250AC8" w:rsidRPr="00EC250C" w:rsidRDefault="00250AC8" w:rsidP="006C70B7">
            <w:pPr>
              <w:pStyle w:val="Tabela"/>
              <w:numPr>
                <w:ilvl w:val="0"/>
                <w:numId w:val="78"/>
              </w:numPr>
              <w:ind w:left="0" w:firstLine="0"/>
              <w:jc w:val="both"/>
            </w:pPr>
          </w:p>
        </w:tc>
        <w:tc>
          <w:tcPr>
            <w:tcW w:w="7481" w:type="dxa"/>
          </w:tcPr>
          <w:p w14:paraId="15E208AA" w14:textId="77777777" w:rsidR="00250AC8" w:rsidRPr="00EC250C" w:rsidRDefault="00250AC8" w:rsidP="00902FC6">
            <w:pPr>
              <w:pStyle w:val="Tabela"/>
              <w:rPr>
                <w:sz w:val="18"/>
                <w:szCs w:val="20"/>
              </w:rPr>
            </w:pPr>
            <w:r w:rsidRPr="00EC250C">
              <w:rPr>
                <w:sz w:val="18"/>
                <w:szCs w:val="20"/>
              </w:rPr>
              <w:t>Mazowiecki Szpital Wojewódzki Drewnica</w:t>
            </w:r>
            <w:r w:rsidR="00992FD0" w:rsidRPr="00EC250C">
              <w:rPr>
                <w:sz w:val="18"/>
                <w:szCs w:val="20"/>
              </w:rPr>
              <w:t xml:space="preserve"> w </w:t>
            </w:r>
            <w:r w:rsidRPr="00EC250C">
              <w:rPr>
                <w:sz w:val="18"/>
                <w:szCs w:val="20"/>
              </w:rPr>
              <w:t>Ząbkach – wizytacja oraz spotkanie</w:t>
            </w:r>
            <w:r w:rsidR="00992FD0" w:rsidRPr="00EC250C">
              <w:rPr>
                <w:sz w:val="18"/>
                <w:szCs w:val="20"/>
              </w:rPr>
              <w:t xml:space="preserve"> z </w:t>
            </w:r>
            <w:r w:rsidRPr="00EC250C">
              <w:rPr>
                <w:sz w:val="18"/>
                <w:szCs w:val="20"/>
              </w:rPr>
              <w:t>Zastępcą Rzecznika Praw Pacjenta. Krzysztof Olkowicz Główny Koordynator ds. Ochrony Zdrowia Psychicznego. Ząbki.</w:t>
            </w:r>
          </w:p>
        </w:tc>
        <w:tc>
          <w:tcPr>
            <w:tcW w:w="1687" w:type="dxa"/>
          </w:tcPr>
          <w:p w14:paraId="1B7319CF" w14:textId="77777777" w:rsidR="00250AC8" w:rsidRPr="00EC250C" w:rsidRDefault="00250AC8" w:rsidP="00902FC6">
            <w:pPr>
              <w:pStyle w:val="Tabela"/>
              <w:rPr>
                <w:sz w:val="18"/>
                <w:szCs w:val="20"/>
              </w:rPr>
            </w:pPr>
            <w:r w:rsidRPr="00EC250C">
              <w:rPr>
                <w:sz w:val="18"/>
                <w:szCs w:val="20"/>
              </w:rPr>
              <w:t>12–13.03.2018</w:t>
            </w:r>
            <w:r w:rsidR="00C91F6E" w:rsidRPr="00EC250C">
              <w:rPr>
                <w:sz w:val="18"/>
                <w:szCs w:val="20"/>
              </w:rPr>
              <w:t> r.</w:t>
            </w:r>
            <w:r w:rsidRPr="00EC250C">
              <w:rPr>
                <w:sz w:val="18"/>
                <w:szCs w:val="20"/>
              </w:rPr>
              <w:t xml:space="preserve"> </w:t>
            </w:r>
          </w:p>
        </w:tc>
      </w:tr>
      <w:tr w:rsidR="00250AC8" w:rsidRPr="00EC250C" w14:paraId="35A49ED8" w14:textId="77777777" w:rsidTr="00A016B4">
        <w:trPr>
          <w:tblCellSpacing w:w="20" w:type="dxa"/>
        </w:trPr>
        <w:tc>
          <w:tcPr>
            <w:tcW w:w="508" w:type="dxa"/>
          </w:tcPr>
          <w:p w14:paraId="2468C051" w14:textId="77777777" w:rsidR="00250AC8" w:rsidRPr="00EC250C" w:rsidRDefault="00250AC8" w:rsidP="006C70B7">
            <w:pPr>
              <w:pStyle w:val="Tabela"/>
              <w:numPr>
                <w:ilvl w:val="0"/>
                <w:numId w:val="78"/>
              </w:numPr>
              <w:ind w:left="0" w:firstLine="0"/>
              <w:jc w:val="both"/>
            </w:pPr>
          </w:p>
        </w:tc>
        <w:tc>
          <w:tcPr>
            <w:tcW w:w="7481" w:type="dxa"/>
          </w:tcPr>
          <w:p w14:paraId="61A6A224" w14:textId="77777777" w:rsidR="00250AC8" w:rsidRPr="00EC250C" w:rsidRDefault="00250AC8" w:rsidP="00902FC6">
            <w:pPr>
              <w:pStyle w:val="Tabela"/>
              <w:rPr>
                <w:sz w:val="18"/>
                <w:szCs w:val="20"/>
              </w:rPr>
            </w:pPr>
            <w:r w:rsidRPr="00EC250C">
              <w:rPr>
                <w:sz w:val="18"/>
                <w:szCs w:val="20"/>
              </w:rPr>
              <w:t>Zakład Karny</w:t>
            </w:r>
            <w:r w:rsidR="00992FD0" w:rsidRPr="00EC250C">
              <w:rPr>
                <w:sz w:val="18"/>
                <w:szCs w:val="20"/>
              </w:rPr>
              <w:t xml:space="preserve"> w </w:t>
            </w:r>
            <w:r w:rsidRPr="00EC250C">
              <w:rPr>
                <w:sz w:val="18"/>
                <w:szCs w:val="20"/>
              </w:rPr>
              <w:t xml:space="preserve">R. – badanie na miejscu sprawy indywidualnej osadzonego. </w:t>
            </w:r>
          </w:p>
        </w:tc>
        <w:tc>
          <w:tcPr>
            <w:tcW w:w="1687" w:type="dxa"/>
          </w:tcPr>
          <w:p w14:paraId="50A71A31" w14:textId="77777777" w:rsidR="00250AC8" w:rsidRPr="00EC250C" w:rsidRDefault="00250AC8" w:rsidP="00902FC6">
            <w:pPr>
              <w:pStyle w:val="Tabela"/>
              <w:rPr>
                <w:sz w:val="18"/>
                <w:szCs w:val="20"/>
              </w:rPr>
            </w:pPr>
            <w:r w:rsidRPr="00EC250C">
              <w:rPr>
                <w:sz w:val="18"/>
                <w:szCs w:val="20"/>
              </w:rPr>
              <w:t>14–15.05.2018</w:t>
            </w:r>
            <w:r w:rsidR="00C91F6E" w:rsidRPr="00EC250C">
              <w:rPr>
                <w:sz w:val="18"/>
                <w:szCs w:val="20"/>
              </w:rPr>
              <w:t> r.</w:t>
            </w:r>
          </w:p>
        </w:tc>
      </w:tr>
      <w:tr w:rsidR="00250AC8" w:rsidRPr="00EC250C" w14:paraId="27DF0BF9" w14:textId="77777777" w:rsidTr="00A016B4">
        <w:trPr>
          <w:tblCellSpacing w:w="20" w:type="dxa"/>
        </w:trPr>
        <w:tc>
          <w:tcPr>
            <w:tcW w:w="508" w:type="dxa"/>
          </w:tcPr>
          <w:p w14:paraId="076EA488" w14:textId="77777777" w:rsidR="00250AC8" w:rsidRPr="00EC250C" w:rsidRDefault="00250AC8" w:rsidP="006C70B7">
            <w:pPr>
              <w:pStyle w:val="Tabela"/>
              <w:numPr>
                <w:ilvl w:val="0"/>
                <w:numId w:val="78"/>
              </w:numPr>
              <w:ind w:left="0" w:firstLine="0"/>
              <w:jc w:val="both"/>
            </w:pPr>
          </w:p>
        </w:tc>
        <w:tc>
          <w:tcPr>
            <w:tcW w:w="7481" w:type="dxa"/>
          </w:tcPr>
          <w:p w14:paraId="3AAAA3A3" w14:textId="77777777" w:rsidR="00250AC8" w:rsidRPr="00EC250C" w:rsidRDefault="00250AC8" w:rsidP="00902FC6">
            <w:pPr>
              <w:pStyle w:val="Tabela"/>
              <w:rPr>
                <w:sz w:val="18"/>
                <w:szCs w:val="20"/>
              </w:rPr>
            </w:pPr>
            <w:r w:rsidRPr="00EC250C">
              <w:rPr>
                <w:sz w:val="18"/>
                <w:szCs w:val="20"/>
              </w:rPr>
              <w:t>Zakład Karny</w:t>
            </w:r>
            <w:r w:rsidR="00992FD0" w:rsidRPr="00EC250C">
              <w:rPr>
                <w:sz w:val="18"/>
                <w:szCs w:val="20"/>
              </w:rPr>
              <w:t xml:space="preserve"> w </w:t>
            </w:r>
            <w:r w:rsidRPr="00EC250C">
              <w:rPr>
                <w:sz w:val="18"/>
                <w:szCs w:val="20"/>
              </w:rPr>
              <w:t>W. – badanie na miejscu sprawy indywidualnej osadzonego.</w:t>
            </w:r>
          </w:p>
        </w:tc>
        <w:tc>
          <w:tcPr>
            <w:tcW w:w="1687" w:type="dxa"/>
          </w:tcPr>
          <w:p w14:paraId="3F5480D4" w14:textId="77777777" w:rsidR="00250AC8" w:rsidRPr="00EC250C" w:rsidRDefault="00250AC8" w:rsidP="00902FC6">
            <w:pPr>
              <w:pStyle w:val="Tabela"/>
              <w:rPr>
                <w:sz w:val="18"/>
                <w:szCs w:val="20"/>
              </w:rPr>
            </w:pPr>
            <w:r w:rsidRPr="00EC250C">
              <w:rPr>
                <w:sz w:val="18"/>
                <w:szCs w:val="20"/>
              </w:rPr>
              <w:t>07.06.2018</w:t>
            </w:r>
            <w:r w:rsidR="00C91F6E" w:rsidRPr="00EC250C">
              <w:rPr>
                <w:sz w:val="18"/>
                <w:szCs w:val="20"/>
              </w:rPr>
              <w:t> r.</w:t>
            </w:r>
          </w:p>
        </w:tc>
      </w:tr>
      <w:tr w:rsidR="00250AC8" w:rsidRPr="00EC250C" w14:paraId="3D729B81" w14:textId="77777777" w:rsidTr="00A016B4">
        <w:trPr>
          <w:tblCellSpacing w:w="20" w:type="dxa"/>
        </w:trPr>
        <w:tc>
          <w:tcPr>
            <w:tcW w:w="508" w:type="dxa"/>
          </w:tcPr>
          <w:p w14:paraId="32DB29D2" w14:textId="77777777" w:rsidR="00250AC8" w:rsidRPr="00EC250C" w:rsidRDefault="00250AC8" w:rsidP="006C70B7">
            <w:pPr>
              <w:pStyle w:val="Tabela"/>
              <w:numPr>
                <w:ilvl w:val="0"/>
                <w:numId w:val="78"/>
              </w:numPr>
              <w:ind w:left="0" w:firstLine="0"/>
              <w:jc w:val="both"/>
            </w:pPr>
          </w:p>
        </w:tc>
        <w:tc>
          <w:tcPr>
            <w:tcW w:w="7481" w:type="dxa"/>
          </w:tcPr>
          <w:p w14:paraId="1CE03961" w14:textId="77777777" w:rsidR="00250AC8" w:rsidRPr="00EC250C" w:rsidRDefault="00250AC8" w:rsidP="00902FC6">
            <w:pPr>
              <w:pStyle w:val="Tabela"/>
              <w:rPr>
                <w:sz w:val="18"/>
                <w:szCs w:val="20"/>
              </w:rPr>
            </w:pPr>
            <w:r w:rsidRPr="00EC250C">
              <w:rPr>
                <w:sz w:val="18"/>
                <w:szCs w:val="20"/>
              </w:rPr>
              <w:t>Zakład Karny</w:t>
            </w:r>
            <w:r w:rsidR="00992FD0" w:rsidRPr="00EC250C">
              <w:rPr>
                <w:sz w:val="18"/>
                <w:szCs w:val="20"/>
              </w:rPr>
              <w:t xml:space="preserve"> w </w:t>
            </w:r>
            <w:r w:rsidRPr="00EC250C">
              <w:rPr>
                <w:sz w:val="18"/>
                <w:szCs w:val="20"/>
              </w:rPr>
              <w:t xml:space="preserve">Grudziądzu – badanie na miejscu zdarzenia nadzwyczajnego oraz skarg osób pozbawionych wolności. </w:t>
            </w:r>
          </w:p>
        </w:tc>
        <w:tc>
          <w:tcPr>
            <w:tcW w:w="1687" w:type="dxa"/>
          </w:tcPr>
          <w:p w14:paraId="6105FAC7" w14:textId="77777777" w:rsidR="00250AC8" w:rsidRPr="00EC250C" w:rsidRDefault="00250AC8" w:rsidP="00902FC6">
            <w:pPr>
              <w:pStyle w:val="Tabela"/>
              <w:rPr>
                <w:sz w:val="18"/>
                <w:szCs w:val="20"/>
              </w:rPr>
            </w:pPr>
            <w:r w:rsidRPr="00EC250C">
              <w:rPr>
                <w:sz w:val="18"/>
                <w:szCs w:val="20"/>
              </w:rPr>
              <w:t>02–04.07.2018</w:t>
            </w:r>
            <w:r w:rsidR="00C91F6E" w:rsidRPr="00EC250C">
              <w:rPr>
                <w:sz w:val="18"/>
                <w:szCs w:val="20"/>
              </w:rPr>
              <w:t> r.</w:t>
            </w:r>
          </w:p>
        </w:tc>
      </w:tr>
      <w:tr w:rsidR="00250AC8" w:rsidRPr="00EC250C" w14:paraId="07199EFA" w14:textId="77777777" w:rsidTr="00A016B4">
        <w:trPr>
          <w:tblCellSpacing w:w="20" w:type="dxa"/>
        </w:trPr>
        <w:tc>
          <w:tcPr>
            <w:tcW w:w="508" w:type="dxa"/>
          </w:tcPr>
          <w:p w14:paraId="70C47D53" w14:textId="77777777" w:rsidR="00250AC8" w:rsidRPr="00EC250C" w:rsidRDefault="00250AC8" w:rsidP="006C70B7">
            <w:pPr>
              <w:pStyle w:val="Tabela"/>
              <w:numPr>
                <w:ilvl w:val="0"/>
                <w:numId w:val="78"/>
              </w:numPr>
              <w:ind w:left="0" w:firstLine="0"/>
              <w:jc w:val="both"/>
            </w:pPr>
          </w:p>
        </w:tc>
        <w:tc>
          <w:tcPr>
            <w:tcW w:w="7481" w:type="dxa"/>
          </w:tcPr>
          <w:p w14:paraId="3D08D4B6" w14:textId="77777777" w:rsidR="00250AC8" w:rsidRPr="00EC250C" w:rsidRDefault="00250AC8" w:rsidP="00902FC6">
            <w:pPr>
              <w:pStyle w:val="Tabela"/>
              <w:rPr>
                <w:sz w:val="18"/>
                <w:szCs w:val="20"/>
              </w:rPr>
            </w:pPr>
            <w:r w:rsidRPr="00EC250C">
              <w:rPr>
                <w:sz w:val="18"/>
                <w:szCs w:val="20"/>
              </w:rPr>
              <w:t>Zakład Karny</w:t>
            </w:r>
            <w:r w:rsidR="00992FD0" w:rsidRPr="00EC250C">
              <w:rPr>
                <w:sz w:val="18"/>
                <w:szCs w:val="20"/>
              </w:rPr>
              <w:t xml:space="preserve"> w </w:t>
            </w:r>
            <w:r w:rsidRPr="00EC250C">
              <w:rPr>
                <w:sz w:val="18"/>
                <w:szCs w:val="20"/>
              </w:rPr>
              <w:t xml:space="preserve">K. – badanie na miejscu sprawy P. M. </w:t>
            </w:r>
          </w:p>
        </w:tc>
        <w:tc>
          <w:tcPr>
            <w:tcW w:w="1687" w:type="dxa"/>
          </w:tcPr>
          <w:p w14:paraId="16D511D4" w14:textId="77777777" w:rsidR="00250AC8" w:rsidRPr="00EC250C" w:rsidRDefault="00250AC8" w:rsidP="00902FC6">
            <w:pPr>
              <w:pStyle w:val="Tabela"/>
              <w:rPr>
                <w:sz w:val="18"/>
                <w:szCs w:val="20"/>
              </w:rPr>
            </w:pPr>
            <w:r w:rsidRPr="00EC250C">
              <w:rPr>
                <w:sz w:val="18"/>
                <w:szCs w:val="20"/>
              </w:rPr>
              <w:t>06.07.2018</w:t>
            </w:r>
            <w:r w:rsidR="00C91F6E" w:rsidRPr="00EC250C">
              <w:rPr>
                <w:sz w:val="18"/>
                <w:szCs w:val="20"/>
              </w:rPr>
              <w:t> r.</w:t>
            </w:r>
          </w:p>
        </w:tc>
      </w:tr>
      <w:tr w:rsidR="00250AC8" w:rsidRPr="00EC250C" w14:paraId="3BF6AB34" w14:textId="77777777" w:rsidTr="00A016B4">
        <w:trPr>
          <w:tblCellSpacing w:w="20" w:type="dxa"/>
        </w:trPr>
        <w:tc>
          <w:tcPr>
            <w:tcW w:w="508" w:type="dxa"/>
          </w:tcPr>
          <w:p w14:paraId="7CF48FB1" w14:textId="77777777" w:rsidR="00250AC8" w:rsidRPr="00EC250C" w:rsidRDefault="00250AC8" w:rsidP="006C70B7">
            <w:pPr>
              <w:pStyle w:val="Tabela"/>
              <w:numPr>
                <w:ilvl w:val="0"/>
                <w:numId w:val="78"/>
              </w:numPr>
              <w:ind w:left="0" w:firstLine="0"/>
              <w:jc w:val="both"/>
            </w:pPr>
          </w:p>
        </w:tc>
        <w:tc>
          <w:tcPr>
            <w:tcW w:w="7481" w:type="dxa"/>
          </w:tcPr>
          <w:p w14:paraId="4D398651"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osadzonymi</w:t>
            </w:r>
            <w:r w:rsidR="00992FD0" w:rsidRPr="00EC250C">
              <w:rPr>
                <w:sz w:val="18"/>
                <w:szCs w:val="20"/>
              </w:rPr>
              <w:t xml:space="preserve"> w </w:t>
            </w:r>
            <w:r w:rsidRPr="00EC250C">
              <w:rPr>
                <w:sz w:val="18"/>
                <w:szCs w:val="20"/>
              </w:rPr>
              <w:t>Areszcie Śledczym</w:t>
            </w:r>
            <w:r w:rsidR="00992FD0" w:rsidRPr="00EC250C">
              <w:rPr>
                <w:sz w:val="18"/>
                <w:szCs w:val="20"/>
              </w:rPr>
              <w:t xml:space="preserve"> w </w:t>
            </w:r>
            <w:r w:rsidRPr="00EC250C">
              <w:rPr>
                <w:sz w:val="18"/>
                <w:szCs w:val="20"/>
              </w:rPr>
              <w:t>Białymstoku</w:t>
            </w:r>
            <w:r w:rsidR="00992FD0" w:rsidRPr="00EC250C">
              <w:rPr>
                <w:sz w:val="18"/>
                <w:szCs w:val="20"/>
              </w:rPr>
              <w:t xml:space="preserve"> z </w:t>
            </w:r>
            <w:r w:rsidRPr="00EC250C">
              <w:rPr>
                <w:sz w:val="18"/>
                <w:szCs w:val="20"/>
              </w:rPr>
              <w:t xml:space="preserve">okazji Międzynarodowego Dnia Więźniów 2018 „W stulecie urodzin Nelsona Mandeli”. </w:t>
            </w:r>
          </w:p>
        </w:tc>
        <w:tc>
          <w:tcPr>
            <w:tcW w:w="1687" w:type="dxa"/>
          </w:tcPr>
          <w:p w14:paraId="32E2A592" w14:textId="77777777" w:rsidR="00250AC8" w:rsidRPr="00EC250C" w:rsidRDefault="00250AC8" w:rsidP="00902FC6">
            <w:pPr>
              <w:pStyle w:val="Tabela"/>
              <w:rPr>
                <w:sz w:val="18"/>
                <w:szCs w:val="20"/>
              </w:rPr>
            </w:pPr>
            <w:r w:rsidRPr="00EC250C">
              <w:rPr>
                <w:sz w:val="18"/>
                <w:szCs w:val="20"/>
              </w:rPr>
              <w:t>18.07.2018</w:t>
            </w:r>
            <w:r w:rsidR="00C91F6E" w:rsidRPr="00EC250C">
              <w:rPr>
                <w:sz w:val="18"/>
                <w:szCs w:val="20"/>
              </w:rPr>
              <w:t> r.</w:t>
            </w:r>
          </w:p>
        </w:tc>
      </w:tr>
      <w:tr w:rsidR="00250AC8" w:rsidRPr="00EC250C" w14:paraId="1CD6A189" w14:textId="77777777" w:rsidTr="00A016B4">
        <w:trPr>
          <w:tblCellSpacing w:w="20" w:type="dxa"/>
        </w:trPr>
        <w:tc>
          <w:tcPr>
            <w:tcW w:w="508" w:type="dxa"/>
          </w:tcPr>
          <w:p w14:paraId="0112C994" w14:textId="77777777" w:rsidR="00250AC8" w:rsidRPr="00EC250C" w:rsidRDefault="00250AC8" w:rsidP="006C70B7">
            <w:pPr>
              <w:pStyle w:val="Tabela"/>
              <w:numPr>
                <w:ilvl w:val="0"/>
                <w:numId w:val="78"/>
              </w:numPr>
              <w:ind w:left="0" w:firstLine="0"/>
              <w:jc w:val="both"/>
            </w:pPr>
          </w:p>
        </w:tc>
        <w:tc>
          <w:tcPr>
            <w:tcW w:w="7481" w:type="dxa"/>
          </w:tcPr>
          <w:p w14:paraId="48CBE485" w14:textId="77777777" w:rsidR="00250AC8" w:rsidRPr="00EC250C" w:rsidRDefault="00250AC8" w:rsidP="00902FC6">
            <w:pPr>
              <w:pStyle w:val="Tabela"/>
              <w:rPr>
                <w:sz w:val="18"/>
                <w:szCs w:val="20"/>
              </w:rPr>
            </w:pPr>
            <w:r w:rsidRPr="00EC250C">
              <w:rPr>
                <w:sz w:val="18"/>
                <w:szCs w:val="20"/>
              </w:rPr>
              <w:t>Areszt Śledczy</w:t>
            </w:r>
            <w:r w:rsidR="00992FD0" w:rsidRPr="00EC250C">
              <w:rPr>
                <w:sz w:val="18"/>
                <w:szCs w:val="20"/>
              </w:rPr>
              <w:t xml:space="preserve"> w </w:t>
            </w:r>
            <w:r w:rsidRPr="00EC250C">
              <w:rPr>
                <w:sz w:val="18"/>
                <w:szCs w:val="20"/>
              </w:rPr>
              <w:t xml:space="preserve">Sz. – badanie na miejscu sprawy S. G. </w:t>
            </w:r>
          </w:p>
        </w:tc>
        <w:tc>
          <w:tcPr>
            <w:tcW w:w="1687" w:type="dxa"/>
          </w:tcPr>
          <w:p w14:paraId="510A8D2C" w14:textId="77777777" w:rsidR="00250AC8" w:rsidRPr="00EC250C" w:rsidRDefault="00250AC8" w:rsidP="00902FC6">
            <w:pPr>
              <w:pStyle w:val="Tabela"/>
              <w:rPr>
                <w:sz w:val="18"/>
                <w:szCs w:val="20"/>
              </w:rPr>
            </w:pPr>
            <w:r w:rsidRPr="00EC250C">
              <w:rPr>
                <w:sz w:val="18"/>
                <w:szCs w:val="20"/>
              </w:rPr>
              <w:t>19.07.2018</w:t>
            </w:r>
            <w:r w:rsidR="00C91F6E" w:rsidRPr="00EC250C">
              <w:rPr>
                <w:sz w:val="18"/>
                <w:szCs w:val="20"/>
              </w:rPr>
              <w:t> r.</w:t>
            </w:r>
          </w:p>
        </w:tc>
      </w:tr>
      <w:tr w:rsidR="00250AC8" w:rsidRPr="00EC250C" w14:paraId="604B3813" w14:textId="77777777" w:rsidTr="00A016B4">
        <w:trPr>
          <w:tblCellSpacing w:w="20" w:type="dxa"/>
        </w:trPr>
        <w:tc>
          <w:tcPr>
            <w:tcW w:w="508" w:type="dxa"/>
          </w:tcPr>
          <w:p w14:paraId="70FFC25C" w14:textId="77777777" w:rsidR="00250AC8" w:rsidRPr="00EC250C" w:rsidRDefault="00250AC8" w:rsidP="006C70B7">
            <w:pPr>
              <w:pStyle w:val="Tabela"/>
              <w:numPr>
                <w:ilvl w:val="0"/>
                <w:numId w:val="78"/>
              </w:numPr>
              <w:ind w:left="0" w:firstLine="0"/>
              <w:jc w:val="both"/>
            </w:pPr>
          </w:p>
        </w:tc>
        <w:tc>
          <w:tcPr>
            <w:tcW w:w="7481" w:type="dxa"/>
          </w:tcPr>
          <w:p w14:paraId="1ED0291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badaniu stanu poszanowania praw osadzonych</w:t>
            </w:r>
            <w:r w:rsidR="00992FD0" w:rsidRPr="00EC250C">
              <w:rPr>
                <w:sz w:val="18"/>
                <w:szCs w:val="20"/>
              </w:rPr>
              <w:t xml:space="preserve"> w </w:t>
            </w:r>
            <w:r w:rsidRPr="00EC250C">
              <w:rPr>
                <w:sz w:val="18"/>
                <w:szCs w:val="20"/>
              </w:rPr>
              <w:t>Zakładzie Karnym</w:t>
            </w:r>
            <w:r w:rsidR="00992FD0" w:rsidRPr="00EC250C">
              <w:rPr>
                <w:sz w:val="18"/>
                <w:szCs w:val="20"/>
              </w:rPr>
              <w:t xml:space="preserve"> w </w:t>
            </w:r>
            <w:r w:rsidRPr="00EC250C">
              <w:rPr>
                <w:sz w:val="18"/>
                <w:szCs w:val="20"/>
              </w:rPr>
              <w:t xml:space="preserve">G. </w:t>
            </w:r>
          </w:p>
        </w:tc>
        <w:tc>
          <w:tcPr>
            <w:tcW w:w="1687" w:type="dxa"/>
          </w:tcPr>
          <w:p w14:paraId="32C590A7" w14:textId="77777777" w:rsidR="00250AC8" w:rsidRPr="00EC250C" w:rsidRDefault="00250AC8" w:rsidP="00902FC6">
            <w:pPr>
              <w:pStyle w:val="Tabela"/>
              <w:rPr>
                <w:sz w:val="18"/>
                <w:szCs w:val="20"/>
              </w:rPr>
            </w:pPr>
            <w:r w:rsidRPr="00EC250C">
              <w:rPr>
                <w:sz w:val="18"/>
                <w:szCs w:val="20"/>
              </w:rPr>
              <w:t>09.08.2018</w:t>
            </w:r>
            <w:r w:rsidR="00C91F6E" w:rsidRPr="00EC250C">
              <w:rPr>
                <w:sz w:val="18"/>
                <w:szCs w:val="20"/>
              </w:rPr>
              <w:t> r.</w:t>
            </w:r>
          </w:p>
        </w:tc>
      </w:tr>
      <w:tr w:rsidR="00250AC8" w:rsidRPr="00EC250C" w14:paraId="1CF02F1A" w14:textId="77777777" w:rsidTr="00A016B4">
        <w:trPr>
          <w:tblCellSpacing w:w="20" w:type="dxa"/>
        </w:trPr>
        <w:tc>
          <w:tcPr>
            <w:tcW w:w="508" w:type="dxa"/>
          </w:tcPr>
          <w:p w14:paraId="40B30FD6" w14:textId="77777777" w:rsidR="00250AC8" w:rsidRPr="00EC250C" w:rsidRDefault="00250AC8" w:rsidP="006C70B7">
            <w:pPr>
              <w:pStyle w:val="Tabela"/>
              <w:numPr>
                <w:ilvl w:val="0"/>
                <w:numId w:val="78"/>
              </w:numPr>
              <w:ind w:left="0" w:firstLine="0"/>
              <w:jc w:val="both"/>
            </w:pPr>
          </w:p>
        </w:tc>
        <w:tc>
          <w:tcPr>
            <w:tcW w:w="7481" w:type="dxa"/>
            <w:vAlign w:val="bottom"/>
          </w:tcPr>
          <w:p w14:paraId="307363E7"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badaniu stanu przestrzegania praw osadzonych</w:t>
            </w:r>
            <w:r w:rsidR="00992FD0" w:rsidRPr="00EC250C">
              <w:rPr>
                <w:sz w:val="18"/>
                <w:szCs w:val="20"/>
              </w:rPr>
              <w:t xml:space="preserve"> w </w:t>
            </w:r>
            <w:r w:rsidRPr="00EC250C">
              <w:rPr>
                <w:sz w:val="18"/>
                <w:szCs w:val="20"/>
              </w:rPr>
              <w:t>Zakładzie Karnym</w:t>
            </w:r>
            <w:r w:rsidR="00992FD0" w:rsidRPr="00EC250C">
              <w:rPr>
                <w:sz w:val="18"/>
                <w:szCs w:val="20"/>
              </w:rPr>
              <w:t xml:space="preserve"> w </w:t>
            </w:r>
            <w:r w:rsidRPr="00EC250C">
              <w:rPr>
                <w:sz w:val="18"/>
                <w:szCs w:val="20"/>
              </w:rPr>
              <w:t>Białołęce.</w:t>
            </w:r>
          </w:p>
        </w:tc>
        <w:tc>
          <w:tcPr>
            <w:tcW w:w="1687" w:type="dxa"/>
          </w:tcPr>
          <w:p w14:paraId="55CC629E" w14:textId="77777777" w:rsidR="00250AC8" w:rsidRPr="00EC250C" w:rsidRDefault="00250AC8" w:rsidP="00902FC6">
            <w:pPr>
              <w:pStyle w:val="Tabela"/>
              <w:rPr>
                <w:sz w:val="18"/>
                <w:szCs w:val="20"/>
              </w:rPr>
            </w:pPr>
            <w:r w:rsidRPr="00EC250C">
              <w:rPr>
                <w:sz w:val="18"/>
                <w:szCs w:val="20"/>
              </w:rPr>
              <w:t>16.08.2018</w:t>
            </w:r>
            <w:r w:rsidR="00C91F6E" w:rsidRPr="00EC250C">
              <w:rPr>
                <w:sz w:val="18"/>
                <w:szCs w:val="20"/>
              </w:rPr>
              <w:t> r.</w:t>
            </w:r>
          </w:p>
        </w:tc>
      </w:tr>
      <w:tr w:rsidR="00250AC8" w:rsidRPr="00EC250C" w14:paraId="261A9FC4" w14:textId="77777777" w:rsidTr="00A016B4">
        <w:trPr>
          <w:tblCellSpacing w:w="20" w:type="dxa"/>
        </w:trPr>
        <w:tc>
          <w:tcPr>
            <w:tcW w:w="508" w:type="dxa"/>
          </w:tcPr>
          <w:p w14:paraId="454BBAE8" w14:textId="77777777" w:rsidR="00250AC8" w:rsidRPr="00EC250C" w:rsidRDefault="00250AC8" w:rsidP="006C70B7">
            <w:pPr>
              <w:pStyle w:val="Tabela"/>
              <w:numPr>
                <w:ilvl w:val="0"/>
                <w:numId w:val="78"/>
              </w:numPr>
              <w:ind w:left="0" w:firstLine="0"/>
              <w:jc w:val="both"/>
            </w:pPr>
          </w:p>
        </w:tc>
        <w:tc>
          <w:tcPr>
            <w:tcW w:w="7481" w:type="dxa"/>
            <w:vAlign w:val="bottom"/>
          </w:tcPr>
          <w:p w14:paraId="054E348C" w14:textId="77777777" w:rsidR="00250AC8" w:rsidRPr="00EC250C" w:rsidRDefault="00250AC8" w:rsidP="00902FC6">
            <w:pPr>
              <w:pStyle w:val="Tabela"/>
              <w:rPr>
                <w:sz w:val="18"/>
                <w:szCs w:val="20"/>
              </w:rPr>
            </w:pPr>
            <w:r w:rsidRPr="00EC250C">
              <w:rPr>
                <w:sz w:val="18"/>
                <w:szCs w:val="20"/>
              </w:rPr>
              <w:t>Oddział Zewnętrzny Zakładu Karnego</w:t>
            </w:r>
            <w:r w:rsidR="00992FD0" w:rsidRPr="00EC250C">
              <w:rPr>
                <w:sz w:val="18"/>
                <w:szCs w:val="20"/>
              </w:rPr>
              <w:t xml:space="preserve"> w </w:t>
            </w:r>
            <w:r w:rsidRPr="00EC250C">
              <w:rPr>
                <w:sz w:val="18"/>
                <w:szCs w:val="20"/>
              </w:rPr>
              <w:t xml:space="preserve">Męckiej Woli – badanie na miejscu wypadku nadzwyczajnego. </w:t>
            </w:r>
          </w:p>
        </w:tc>
        <w:tc>
          <w:tcPr>
            <w:tcW w:w="1687" w:type="dxa"/>
          </w:tcPr>
          <w:p w14:paraId="24427F4E" w14:textId="77777777" w:rsidR="00250AC8" w:rsidRPr="00EC250C" w:rsidRDefault="00250AC8" w:rsidP="00902FC6">
            <w:pPr>
              <w:pStyle w:val="Tabela"/>
              <w:rPr>
                <w:sz w:val="18"/>
                <w:szCs w:val="20"/>
              </w:rPr>
            </w:pPr>
            <w:r w:rsidRPr="00EC250C">
              <w:rPr>
                <w:sz w:val="18"/>
                <w:szCs w:val="20"/>
              </w:rPr>
              <w:t>29.08.2018</w:t>
            </w:r>
            <w:r w:rsidR="00C91F6E" w:rsidRPr="00EC250C">
              <w:rPr>
                <w:sz w:val="18"/>
                <w:szCs w:val="20"/>
              </w:rPr>
              <w:t> r.</w:t>
            </w:r>
          </w:p>
        </w:tc>
      </w:tr>
      <w:tr w:rsidR="00250AC8" w:rsidRPr="00EC250C" w14:paraId="49723476" w14:textId="77777777" w:rsidTr="00A016B4">
        <w:trPr>
          <w:tblCellSpacing w:w="20" w:type="dxa"/>
        </w:trPr>
        <w:tc>
          <w:tcPr>
            <w:tcW w:w="508" w:type="dxa"/>
          </w:tcPr>
          <w:p w14:paraId="666FE02B" w14:textId="77777777" w:rsidR="00250AC8" w:rsidRPr="00EC250C" w:rsidRDefault="00250AC8" w:rsidP="006C70B7">
            <w:pPr>
              <w:pStyle w:val="Tabela"/>
              <w:numPr>
                <w:ilvl w:val="0"/>
                <w:numId w:val="78"/>
              </w:numPr>
              <w:ind w:left="0" w:firstLine="0"/>
              <w:jc w:val="both"/>
            </w:pPr>
          </w:p>
        </w:tc>
        <w:tc>
          <w:tcPr>
            <w:tcW w:w="7481" w:type="dxa"/>
          </w:tcPr>
          <w:p w14:paraId="6CF7B3C6" w14:textId="593263F6" w:rsidR="00250AC8" w:rsidRPr="00EC250C" w:rsidRDefault="00250AC8" w:rsidP="00902FC6">
            <w:pPr>
              <w:pStyle w:val="Tabela"/>
              <w:rPr>
                <w:sz w:val="18"/>
                <w:szCs w:val="20"/>
              </w:rPr>
            </w:pPr>
            <w:r w:rsidRPr="00EC250C">
              <w:rPr>
                <w:sz w:val="18"/>
                <w:szCs w:val="20"/>
              </w:rPr>
              <w:t xml:space="preserve">Wizytacja Oddziału Psychiatrii Sadowej Aresztu Śledczego w Szczecinie. </w:t>
            </w:r>
          </w:p>
        </w:tc>
        <w:tc>
          <w:tcPr>
            <w:tcW w:w="1687" w:type="dxa"/>
          </w:tcPr>
          <w:p w14:paraId="75B8B12E" w14:textId="77777777" w:rsidR="00250AC8" w:rsidRPr="00EC250C" w:rsidRDefault="00250AC8" w:rsidP="00902FC6">
            <w:pPr>
              <w:pStyle w:val="Tabela"/>
              <w:rPr>
                <w:sz w:val="18"/>
                <w:szCs w:val="20"/>
              </w:rPr>
            </w:pPr>
            <w:r w:rsidRPr="00EC250C">
              <w:rPr>
                <w:sz w:val="18"/>
                <w:szCs w:val="20"/>
              </w:rPr>
              <w:t>04–07.09.2018</w:t>
            </w:r>
            <w:r w:rsidR="00C91F6E" w:rsidRPr="00EC250C">
              <w:rPr>
                <w:sz w:val="18"/>
                <w:szCs w:val="20"/>
              </w:rPr>
              <w:t> r.</w:t>
            </w:r>
          </w:p>
        </w:tc>
      </w:tr>
      <w:tr w:rsidR="00250AC8" w:rsidRPr="00EC250C" w14:paraId="0F8D1F7D" w14:textId="77777777" w:rsidTr="00A016B4">
        <w:trPr>
          <w:tblCellSpacing w:w="20" w:type="dxa"/>
        </w:trPr>
        <w:tc>
          <w:tcPr>
            <w:tcW w:w="508" w:type="dxa"/>
          </w:tcPr>
          <w:p w14:paraId="3D536B5C" w14:textId="77777777" w:rsidR="00250AC8" w:rsidRPr="00EC250C" w:rsidRDefault="00250AC8" w:rsidP="006C70B7">
            <w:pPr>
              <w:pStyle w:val="Tabela"/>
              <w:numPr>
                <w:ilvl w:val="0"/>
                <w:numId w:val="78"/>
              </w:numPr>
              <w:ind w:left="0" w:firstLine="0"/>
              <w:jc w:val="both"/>
            </w:pPr>
          </w:p>
        </w:tc>
        <w:tc>
          <w:tcPr>
            <w:tcW w:w="7481" w:type="dxa"/>
            <w:vAlign w:val="bottom"/>
          </w:tcPr>
          <w:p w14:paraId="444A6FC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wizytacji Aresztu Śledczego</w:t>
            </w:r>
            <w:r w:rsidR="00992FD0" w:rsidRPr="00EC250C">
              <w:rPr>
                <w:sz w:val="18"/>
                <w:szCs w:val="20"/>
              </w:rPr>
              <w:t xml:space="preserve"> w </w:t>
            </w:r>
            <w:r w:rsidRPr="00EC250C">
              <w:rPr>
                <w:sz w:val="18"/>
                <w:szCs w:val="20"/>
              </w:rPr>
              <w:t xml:space="preserve">Białymstoku. </w:t>
            </w:r>
          </w:p>
        </w:tc>
        <w:tc>
          <w:tcPr>
            <w:tcW w:w="1687" w:type="dxa"/>
          </w:tcPr>
          <w:p w14:paraId="76AE15F4" w14:textId="77777777" w:rsidR="00250AC8" w:rsidRPr="00EC250C" w:rsidRDefault="00250AC8" w:rsidP="00902FC6">
            <w:pPr>
              <w:pStyle w:val="Tabela"/>
              <w:rPr>
                <w:sz w:val="18"/>
                <w:szCs w:val="20"/>
              </w:rPr>
            </w:pPr>
            <w:r w:rsidRPr="00EC250C">
              <w:rPr>
                <w:sz w:val="18"/>
                <w:szCs w:val="20"/>
              </w:rPr>
              <w:t>13.09.2018</w:t>
            </w:r>
            <w:r w:rsidR="00C91F6E" w:rsidRPr="00EC250C">
              <w:rPr>
                <w:sz w:val="18"/>
                <w:szCs w:val="20"/>
              </w:rPr>
              <w:t> r.</w:t>
            </w:r>
          </w:p>
        </w:tc>
      </w:tr>
      <w:tr w:rsidR="00250AC8" w:rsidRPr="00EC250C" w14:paraId="37526B0B" w14:textId="77777777" w:rsidTr="00A016B4">
        <w:trPr>
          <w:tblCellSpacing w:w="20" w:type="dxa"/>
        </w:trPr>
        <w:tc>
          <w:tcPr>
            <w:tcW w:w="508" w:type="dxa"/>
          </w:tcPr>
          <w:p w14:paraId="33FDBCFA" w14:textId="77777777" w:rsidR="00250AC8" w:rsidRPr="00EC250C" w:rsidRDefault="00250AC8" w:rsidP="006C70B7">
            <w:pPr>
              <w:pStyle w:val="Tabela"/>
              <w:numPr>
                <w:ilvl w:val="0"/>
                <w:numId w:val="78"/>
              </w:numPr>
              <w:ind w:left="0" w:firstLine="0"/>
              <w:jc w:val="both"/>
            </w:pPr>
          </w:p>
        </w:tc>
        <w:tc>
          <w:tcPr>
            <w:tcW w:w="7481" w:type="dxa"/>
          </w:tcPr>
          <w:p w14:paraId="28479000"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badaniu na miejscu skargi na działania Policji. Włocławek.</w:t>
            </w:r>
          </w:p>
        </w:tc>
        <w:tc>
          <w:tcPr>
            <w:tcW w:w="1687" w:type="dxa"/>
          </w:tcPr>
          <w:p w14:paraId="5C6C06EC" w14:textId="77777777" w:rsidR="00250AC8" w:rsidRPr="00EC250C" w:rsidRDefault="00250AC8" w:rsidP="00902FC6">
            <w:pPr>
              <w:pStyle w:val="Tabela"/>
              <w:rPr>
                <w:sz w:val="18"/>
                <w:szCs w:val="20"/>
              </w:rPr>
            </w:pPr>
            <w:r w:rsidRPr="00EC250C">
              <w:rPr>
                <w:sz w:val="18"/>
                <w:szCs w:val="20"/>
              </w:rPr>
              <w:t>02.10.2018</w:t>
            </w:r>
            <w:r w:rsidR="00C91F6E" w:rsidRPr="00EC250C">
              <w:rPr>
                <w:sz w:val="18"/>
                <w:szCs w:val="20"/>
              </w:rPr>
              <w:t> r.</w:t>
            </w:r>
          </w:p>
        </w:tc>
      </w:tr>
      <w:tr w:rsidR="00250AC8" w:rsidRPr="00EC250C" w14:paraId="193A8A64" w14:textId="77777777" w:rsidTr="00A016B4">
        <w:trPr>
          <w:tblCellSpacing w:w="20" w:type="dxa"/>
        </w:trPr>
        <w:tc>
          <w:tcPr>
            <w:tcW w:w="508" w:type="dxa"/>
          </w:tcPr>
          <w:p w14:paraId="6FE160A1" w14:textId="77777777" w:rsidR="00250AC8" w:rsidRPr="00EC250C" w:rsidRDefault="00250AC8" w:rsidP="006C70B7">
            <w:pPr>
              <w:pStyle w:val="Tabela"/>
              <w:numPr>
                <w:ilvl w:val="0"/>
                <w:numId w:val="78"/>
              </w:numPr>
              <w:ind w:left="0" w:firstLine="0"/>
              <w:jc w:val="both"/>
            </w:pPr>
          </w:p>
        </w:tc>
        <w:tc>
          <w:tcPr>
            <w:tcW w:w="7481" w:type="dxa"/>
            <w:vAlign w:val="bottom"/>
          </w:tcPr>
          <w:p w14:paraId="34450650" w14:textId="77777777" w:rsidR="00250AC8" w:rsidRPr="00EC250C" w:rsidRDefault="00250AC8" w:rsidP="00902FC6">
            <w:pPr>
              <w:pStyle w:val="Tabela"/>
              <w:rPr>
                <w:sz w:val="18"/>
                <w:szCs w:val="20"/>
              </w:rPr>
            </w:pPr>
            <w:r w:rsidRPr="00EC250C">
              <w:rPr>
                <w:sz w:val="18"/>
                <w:szCs w:val="20"/>
              </w:rPr>
              <w:t>Zakład Karny</w:t>
            </w:r>
            <w:r w:rsidR="00992FD0" w:rsidRPr="00EC250C">
              <w:rPr>
                <w:sz w:val="18"/>
                <w:szCs w:val="20"/>
              </w:rPr>
              <w:t xml:space="preserve"> w </w:t>
            </w:r>
            <w:r w:rsidRPr="00EC250C">
              <w:rPr>
                <w:sz w:val="18"/>
                <w:szCs w:val="20"/>
              </w:rPr>
              <w:t xml:space="preserve">R. – badanie na miejscu sprawy Pana S. K. </w:t>
            </w:r>
          </w:p>
        </w:tc>
        <w:tc>
          <w:tcPr>
            <w:tcW w:w="1687" w:type="dxa"/>
          </w:tcPr>
          <w:p w14:paraId="570FEE6C" w14:textId="77777777" w:rsidR="00250AC8" w:rsidRPr="00EC250C" w:rsidRDefault="00250AC8" w:rsidP="00902FC6">
            <w:pPr>
              <w:pStyle w:val="Tabela"/>
              <w:rPr>
                <w:sz w:val="18"/>
                <w:szCs w:val="20"/>
              </w:rPr>
            </w:pPr>
            <w:r w:rsidRPr="00EC250C">
              <w:rPr>
                <w:sz w:val="18"/>
                <w:szCs w:val="20"/>
              </w:rPr>
              <w:t>09.10.2018</w:t>
            </w:r>
            <w:r w:rsidR="00C91F6E" w:rsidRPr="00EC250C">
              <w:rPr>
                <w:sz w:val="18"/>
                <w:szCs w:val="20"/>
              </w:rPr>
              <w:t> r.</w:t>
            </w:r>
          </w:p>
        </w:tc>
      </w:tr>
      <w:tr w:rsidR="00250AC8" w:rsidRPr="00EC250C" w14:paraId="5EF5BAED" w14:textId="77777777" w:rsidTr="00A016B4">
        <w:trPr>
          <w:tblCellSpacing w:w="20" w:type="dxa"/>
        </w:trPr>
        <w:tc>
          <w:tcPr>
            <w:tcW w:w="508" w:type="dxa"/>
          </w:tcPr>
          <w:p w14:paraId="75DBDA0B" w14:textId="77777777" w:rsidR="00250AC8" w:rsidRPr="00EC250C" w:rsidRDefault="00250AC8" w:rsidP="006C70B7">
            <w:pPr>
              <w:pStyle w:val="Tabela"/>
              <w:numPr>
                <w:ilvl w:val="0"/>
                <w:numId w:val="78"/>
              </w:numPr>
              <w:ind w:left="0" w:firstLine="0"/>
              <w:jc w:val="both"/>
            </w:pPr>
          </w:p>
        </w:tc>
        <w:tc>
          <w:tcPr>
            <w:tcW w:w="7481" w:type="dxa"/>
          </w:tcPr>
          <w:p w14:paraId="0E48CF49" w14:textId="77777777" w:rsidR="00250AC8" w:rsidRPr="00EC250C" w:rsidRDefault="00250AC8" w:rsidP="00902FC6">
            <w:pPr>
              <w:pStyle w:val="Tabela"/>
              <w:rPr>
                <w:sz w:val="18"/>
                <w:szCs w:val="20"/>
              </w:rPr>
            </w:pPr>
            <w:r w:rsidRPr="00EC250C">
              <w:rPr>
                <w:sz w:val="18"/>
                <w:szCs w:val="20"/>
              </w:rPr>
              <w:t>Wizytacja</w:t>
            </w:r>
            <w:r w:rsidR="00992FD0" w:rsidRPr="00EC250C">
              <w:rPr>
                <w:sz w:val="18"/>
                <w:szCs w:val="20"/>
              </w:rPr>
              <w:t xml:space="preserve"> w </w:t>
            </w:r>
            <w:r w:rsidRPr="00EC250C">
              <w:rPr>
                <w:sz w:val="18"/>
                <w:szCs w:val="20"/>
              </w:rPr>
              <w:t>Zakładzie Karnym</w:t>
            </w:r>
            <w:r w:rsidR="00992FD0" w:rsidRPr="00EC250C">
              <w:rPr>
                <w:sz w:val="18"/>
                <w:szCs w:val="20"/>
              </w:rPr>
              <w:t xml:space="preserve"> w </w:t>
            </w:r>
            <w:r w:rsidRPr="00EC250C">
              <w:rPr>
                <w:sz w:val="18"/>
                <w:szCs w:val="20"/>
              </w:rPr>
              <w:t xml:space="preserve">M. – badanie sprawy indywidualnej B. Ł. </w:t>
            </w:r>
          </w:p>
        </w:tc>
        <w:tc>
          <w:tcPr>
            <w:tcW w:w="1687" w:type="dxa"/>
          </w:tcPr>
          <w:p w14:paraId="1A44DD97" w14:textId="77777777" w:rsidR="00250AC8" w:rsidRPr="00EC250C" w:rsidRDefault="00250AC8" w:rsidP="00902FC6">
            <w:pPr>
              <w:pStyle w:val="Tabela"/>
              <w:rPr>
                <w:sz w:val="18"/>
                <w:szCs w:val="20"/>
              </w:rPr>
            </w:pPr>
            <w:r w:rsidRPr="00EC250C">
              <w:rPr>
                <w:sz w:val="18"/>
                <w:szCs w:val="20"/>
              </w:rPr>
              <w:t>22.11.2018</w:t>
            </w:r>
            <w:r w:rsidR="00C91F6E" w:rsidRPr="00EC250C">
              <w:rPr>
                <w:sz w:val="18"/>
                <w:szCs w:val="20"/>
              </w:rPr>
              <w:t> r.</w:t>
            </w:r>
          </w:p>
        </w:tc>
      </w:tr>
      <w:tr w:rsidR="00250AC8" w:rsidRPr="00EC250C" w14:paraId="007342ED" w14:textId="77777777" w:rsidTr="00A016B4">
        <w:trPr>
          <w:tblCellSpacing w:w="20" w:type="dxa"/>
        </w:trPr>
        <w:tc>
          <w:tcPr>
            <w:tcW w:w="508" w:type="dxa"/>
          </w:tcPr>
          <w:p w14:paraId="14110478" w14:textId="77777777" w:rsidR="00250AC8" w:rsidRPr="00EC250C" w:rsidRDefault="00250AC8" w:rsidP="006C70B7">
            <w:pPr>
              <w:pStyle w:val="Tabela"/>
              <w:numPr>
                <w:ilvl w:val="0"/>
                <w:numId w:val="78"/>
              </w:numPr>
              <w:ind w:left="0" w:firstLine="0"/>
              <w:jc w:val="both"/>
            </w:pPr>
          </w:p>
        </w:tc>
        <w:tc>
          <w:tcPr>
            <w:tcW w:w="7481" w:type="dxa"/>
          </w:tcPr>
          <w:p w14:paraId="6BE5386C" w14:textId="77777777" w:rsidR="00250AC8" w:rsidRPr="00EC250C" w:rsidRDefault="00250AC8" w:rsidP="00902FC6">
            <w:pPr>
              <w:pStyle w:val="Tabela"/>
              <w:rPr>
                <w:sz w:val="18"/>
                <w:szCs w:val="20"/>
              </w:rPr>
            </w:pPr>
            <w:r w:rsidRPr="00EC250C">
              <w:rPr>
                <w:sz w:val="18"/>
                <w:szCs w:val="20"/>
              </w:rPr>
              <w:t>Wizytacja</w:t>
            </w:r>
            <w:r w:rsidR="00992FD0" w:rsidRPr="00EC250C">
              <w:rPr>
                <w:sz w:val="18"/>
                <w:szCs w:val="20"/>
              </w:rPr>
              <w:t xml:space="preserve"> w </w:t>
            </w:r>
            <w:r w:rsidRPr="00EC250C">
              <w:rPr>
                <w:sz w:val="18"/>
                <w:szCs w:val="20"/>
              </w:rPr>
              <w:t xml:space="preserve">W. – badanie indywidualnej sprawy P. M. oraz </w:t>
            </w:r>
            <w:r w:rsidRPr="00EC250C">
              <w:rPr>
                <w:sz w:val="18"/>
                <w:szCs w:val="20"/>
              </w:rPr>
              <w:br/>
              <w:t>w Krajowym Ośrodku Zapobiegania Zachowaniom Dysocjalnym</w:t>
            </w:r>
            <w:r w:rsidR="00992FD0" w:rsidRPr="00EC250C">
              <w:rPr>
                <w:sz w:val="18"/>
                <w:szCs w:val="20"/>
              </w:rPr>
              <w:t xml:space="preserve"> w </w:t>
            </w:r>
            <w:r w:rsidRPr="00EC250C">
              <w:rPr>
                <w:sz w:val="18"/>
                <w:szCs w:val="20"/>
              </w:rPr>
              <w:t xml:space="preserve">G. – badanie indywidualnej sprawy P. W. </w:t>
            </w:r>
          </w:p>
        </w:tc>
        <w:tc>
          <w:tcPr>
            <w:tcW w:w="1687" w:type="dxa"/>
          </w:tcPr>
          <w:p w14:paraId="53B2765A" w14:textId="77777777" w:rsidR="00250AC8" w:rsidRPr="00EC250C" w:rsidRDefault="00250AC8" w:rsidP="00902FC6">
            <w:pPr>
              <w:pStyle w:val="Tabela"/>
              <w:rPr>
                <w:sz w:val="18"/>
                <w:szCs w:val="20"/>
              </w:rPr>
            </w:pPr>
            <w:r w:rsidRPr="00EC250C">
              <w:rPr>
                <w:sz w:val="18"/>
                <w:szCs w:val="20"/>
              </w:rPr>
              <w:t>21.12.2018</w:t>
            </w:r>
            <w:r w:rsidR="00C91F6E" w:rsidRPr="00EC250C">
              <w:rPr>
                <w:sz w:val="18"/>
                <w:szCs w:val="20"/>
              </w:rPr>
              <w:t> r.</w:t>
            </w:r>
          </w:p>
        </w:tc>
      </w:tr>
    </w:tbl>
    <w:p w14:paraId="60DB249C" w14:textId="77777777" w:rsidR="00250AC8" w:rsidRPr="00EC250C" w:rsidRDefault="00250AC8" w:rsidP="00EC250C">
      <w:pPr>
        <w:pStyle w:val="Nagwek5"/>
      </w:pPr>
      <w:bookmarkStart w:id="883" w:name="_Toc6258102"/>
      <w:r w:rsidRPr="00EC250C">
        <w:lastRenderedPageBreak/>
        <w:t xml:space="preserve">Ośrodki dla </w:t>
      </w:r>
      <w:r w:rsidR="00D1788D" w:rsidRPr="00EC250C">
        <w:t>cudzoziemców ubiegających się</w:t>
      </w:r>
      <w:r w:rsidR="00992FD0" w:rsidRPr="00EC250C">
        <w:t xml:space="preserve"> o </w:t>
      </w:r>
      <w:r w:rsidR="00D1788D" w:rsidRPr="00EC250C">
        <w:t>status uchodźcy</w:t>
      </w:r>
      <w:r w:rsidRPr="00EC250C">
        <w:t xml:space="preserve"> oraz Areszty Deportacyjne – badanie przestrzegania praw cudzoziemców</w:t>
      </w:r>
      <w:bookmarkEnd w:id="883"/>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76"/>
        <w:gridCol w:w="7513"/>
        <w:gridCol w:w="1747"/>
      </w:tblGrid>
      <w:tr w:rsidR="00250AC8" w:rsidRPr="00EC250C" w14:paraId="157DAB26" w14:textId="77777777" w:rsidTr="00A016B4">
        <w:trPr>
          <w:tblCellSpacing w:w="20" w:type="dxa"/>
        </w:trPr>
        <w:tc>
          <w:tcPr>
            <w:tcW w:w="516" w:type="dxa"/>
          </w:tcPr>
          <w:p w14:paraId="52185C73" w14:textId="77777777" w:rsidR="00250AC8" w:rsidRPr="00EC250C" w:rsidRDefault="00250AC8" w:rsidP="006C70B7">
            <w:pPr>
              <w:pStyle w:val="Tabela"/>
              <w:numPr>
                <w:ilvl w:val="0"/>
                <w:numId w:val="138"/>
              </w:numPr>
              <w:jc w:val="both"/>
            </w:pPr>
          </w:p>
        </w:tc>
        <w:tc>
          <w:tcPr>
            <w:tcW w:w="7473" w:type="dxa"/>
          </w:tcPr>
          <w:p w14:paraId="0B9F7CA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wizytacji przejścia granicznego</w:t>
            </w:r>
            <w:r w:rsidR="00992FD0" w:rsidRPr="00EC250C">
              <w:rPr>
                <w:sz w:val="18"/>
                <w:szCs w:val="20"/>
              </w:rPr>
              <w:t xml:space="preserve"> w </w:t>
            </w:r>
            <w:r w:rsidRPr="00EC250C">
              <w:rPr>
                <w:sz w:val="18"/>
                <w:szCs w:val="20"/>
              </w:rPr>
              <w:t xml:space="preserve">Terespolu. </w:t>
            </w:r>
          </w:p>
        </w:tc>
        <w:tc>
          <w:tcPr>
            <w:tcW w:w="1687" w:type="dxa"/>
          </w:tcPr>
          <w:p w14:paraId="007EA49C" w14:textId="77777777" w:rsidR="00250AC8" w:rsidRPr="00EC250C" w:rsidRDefault="00250AC8" w:rsidP="00902FC6">
            <w:pPr>
              <w:pStyle w:val="Tabela"/>
              <w:rPr>
                <w:sz w:val="18"/>
                <w:szCs w:val="20"/>
              </w:rPr>
            </w:pPr>
            <w:r w:rsidRPr="00EC250C">
              <w:rPr>
                <w:sz w:val="18"/>
                <w:szCs w:val="20"/>
              </w:rPr>
              <w:t>14–15.05.2018</w:t>
            </w:r>
            <w:r w:rsidR="00C91F6E" w:rsidRPr="00EC250C">
              <w:rPr>
                <w:sz w:val="18"/>
                <w:szCs w:val="20"/>
              </w:rPr>
              <w:t> r.</w:t>
            </w:r>
          </w:p>
        </w:tc>
      </w:tr>
      <w:tr w:rsidR="00250AC8" w:rsidRPr="00EC250C" w14:paraId="0AAC04AA" w14:textId="77777777" w:rsidTr="00A016B4">
        <w:trPr>
          <w:tblCellSpacing w:w="20" w:type="dxa"/>
        </w:trPr>
        <w:tc>
          <w:tcPr>
            <w:tcW w:w="516" w:type="dxa"/>
          </w:tcPr>
          <w:p w14:paraId="111B864F" w14:textId="77777777" w:rsidR="00250AC8" w:rsidRPr="00EC250C" w:rsidRDefault="00250AC8" w:rsidP="006C70B7">
            <w:pPr>
              <w:pStyle w:val="Tabela"/>
              <w:numPr>
                <w:ilvl w:val="0"/>
                <w:numId w:val="138"/>
              </w:numPr>
              <w:jc w:val="both"/>
            </w:pPr>
          </w:p>
        </w:tc>
        <w:tc>
          <w:tcPr>
            <w:tcW w:w="7473" w:type="dxa"/>
          </w:tcPr>
          <w:p w14:paraId="67FC37D6" w14:textId="77777777" w:rsidR="00250AC8" w:rsidRPr="00EC250C" w:rsidRDefault="00250AC8" w:rsidP="00902FC6">
            <w:pPr>
              <w:pStyle w:val="Tabela"/>
              <w:rPr>
                <w:sz w:val="18"/>
                <w:szCs w:val="20"/>
              </w:rPr>
            </w:pPr>
            <w:r w:rsidRPr="00EC250C">
              <w:rPr>
                <w:sz w:val="18"/>
                <w:szCs w:val="20"/>
              </w:rPr>
              <w:t>Ośrodek dla Cudzoziemców</w:t>
            </w:r>
            <w:r w:rsidR="00992FD0" w:rsidRPr="00EC250C">
              <w:rPr>
                <w:sz w:val="18"/>
                <w:szCs w:val="20"/>
              </w:rPr>
              <w:t xml:space="preserve"> w </w:t>
            </w:r>
            <w:r w:rsidRPr="00EC250C">
              <w:rPr>
                <w:sz w:val="18"/>
                <w:szCs w:val="20"/>
              </w:rPr>
              <w:t>Podkowie Leśnej-Dębaku – badanie warunków przyjęcia</w:t>
            </w:r>
            <w:r w:rsidR="00992FD0" w:rsidRPr="00EC250C">
              <w:rPr>
                <w:sz w:val="18"/>
                <w:szCs w:val="20"/>
              </w:rPr>
              <w:t xml:space="preserve"> i </w:t>
            </w:r>
            <w:r w:rsidRPr="00EC250C">
              <w:rPr>
                <w:sz w:val="18"/>
                <w:szCs w:val="20"/>
              </w:rPr>
              <w:t xml:space="preserve">pobytu małoletniej cudzoziemki oraz jej rodziny. </w:t>
            </w:r>
          </w:p>
        </w:tc>
        <w:tc>
          <w:tcPr>
            <w:tcW w:w="1687" w:type="dxa"/>
          </w:tcPr>
          <w:p w14:paraId="51F6F89A" w14:textId="77777777" w:rsidR="00250AC8" w:rsidRPr="00EC250C" w:rsidRDefault="00250AC8" w:rsidP="00902FC6">
            <w:pPr>
              <w:pStyle w:val="Tabela"/>
              <w:rPr>
                <w:sz w:val="18"/>
                <w:szCs w:val="20"/>
              </w:rPr>
            </w:pPr>
            <w:r w:rsidRPr="00EC250C">
              <w:rPr>
                <w:sz w:val="18"/>
                <w:szCs w:val="20"/>
              </w:rPr>
              <w:t>09.11.2018</w:t>
            </w:r>
            <w:r w:rsidR="00C91F6E" w:rsidRPr="00EC250C">
              <w:rPr>
                <w:sz w:val="18"/>
                <w:szCs w:val="20"/>
              </w:rPr>
              <w:t> r.</w:t>
            </w:r>
          </w:p>
        </w:tc>
      </w:tr>
    </w:tbl>
    <w:p w14:paraId="043BA3A3" w14:textId="77777777" w:rsidR="00250AC8" w:rsidRPr="00EC250C" w:rsidRDefault="00250AC8" w:rsidP="00EC250C">
      <w:pPr>
        <w:pStyle w:val="Nagwek5"/>
      </w:pPr>
      <w:bookmarkStart w:id="884" w:name="_Toc6258103"/>
      <w:r w:rsidRPr="00EC250C">
        <w:t xml:space="preserve">Wyjazdy terenowe </w:t>
      </w:r>
      <w:r w:rsidR="00EE1A69" w:rsidRPr="00EC250C">
        <w:t>r</w:t>
      </w:r>
      <w:r w:rsidRPr="00EC250C">
        <w:t xml:space="preserve">zecznika </w:t>
      </w:r>
      <w:r w:rsidR="00EE1A69" w:rsidRPr="00EC250C">
        <w:t>p</w:t>
      </w:r>
      <w:r w:rsidRPr="00EC250C">
        <w:t xml:space="preserve">raw </w:t>
      </w:r>
      <w:r w:rsidR="00EE1A69" w:rsidRPr="00EC250C">
        <w:t>o</w:t>
      </w:r>
      <w:r w:rsidRPr="00EC250C">
        <w:t>bywatelskich – przyjmowanie skarg obywateli</w:t>
      </w:r>
      <w:r w:rsidR="00992FD0" w:rsidRPr="00EC250C">
        <w:t xml:space="preserve"> w </w:t>
      </w:r>
      <w:r w:rsidRPr="00EC250C">
        <w:t>terenie</w:t>
      </w:r>
      <w:bookmarkEnd w:id="884"/>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7521"/>
        <w:gridCol w:w="1747"/>
      </w:tblGrid>
      <w:tr w:rsidR="00250AC8" w:rsidRPr="00EC250C" w14:paraId="4C7FE06F" w14:textId="77777777" w:rsidTr="00A016B4">
        <w:trPr>
          <w:tblCellSpacing w:w="20" w:type="dxa"/>
        </w:trPr>
        <w:tc>
          <w:tcPr>
            <w:tcW w:w="508" w:type="dxa"/>
          </w:tcPr>
          <w:p w14:paraId="7F014854" w14:textId="77777777" w:rsidR="00250AC8" w:rsidRPr="00EC250C" w:rsidRDefault="00250AC8" w:rsidP="006C70B7">
            <w:pPr>
              <w:pStyle w:val="Tabela"/>
              <w:numPr>
                <w:ilvl w:val="0"/>
                <w:numId w:val="79"/>
              </w:numPr>
              <w:ind w:left="0" w:firstLine="0"/>
              <w:contextualSpacing/>
              <w:jc w:val="both"/>
            </w:pPr>
          </w:p>
        </w:tc>
        <w:tc>
          <w:tcPr>
            <w:tcW w:w="7481" w:type="dxa"/>
          </w:tcPr>
          <w:p w14:paraId="6F40AD7B"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Łódź przez pracownika Biura RPO</w:t>
            </w:r>
            <w:r w:rsidR="00992FD0" w:rsidRPr="00EC250C">
              <w:rPr>
                <w:sz w:val="18"/>
                <w:szCs w:val="20"/>
              </w:rPr>
              <w:t xml:space="preserve"> w </w:t>
            </w:r>
            <w:r w:rsidRPr="00EC250C">
              <w:rPr>
                <w:sz w:val="18"/>
                <w:szCs w:val="20"/>
              </w:rPr>
              <w:t>Warszawie.</w:t>
            </w:r>
          </w:p>
        </w:tc>
        <w:tc>
          <w:tcPr>
            <w:tcW w:w="1687" w:type="dxa"/>
          </w:tcPr>
          <w:p w14:paraId="1F4C4856" w14:textId="77777777" w:rsidR="00250AC8" w:rsidRPr="00EC250C" w:rsidRDefault="00250AC8" w:rsidP="00902FC6">
            <w:pPr>
              <w:pStyle w:val="Tabela"/>
              <w:rPr>
                <w:sz w:val="18"/>
                <w:szCs w:val="20"/>
              </w:rPr>
            </w:pPr>
            <w:r w:rsidRPr="00EC250C">
              <w:rPr>
                <w:sz w:val="18"/>
                <w:szCs w:val="20"/>
              </w:rPr>
              <w:t>08.01.2018</w:t>
            </w:r>
            <w:r w:rsidR="00C91F6E" w:rsidRPr="00EC250C">
              <w:rPr>
                <w:sz w:val="18"/>
                <w:szCs w:val="20"/>
              </w:rPr>
              <w:t> r.</w:t>
            </w:r>
          </w:p>
        </w:tc>
      </w:tr>
      <w:tr w:rsidR="00250AC8" w:rsidRPr="00EC250C" w14:paraId="14159F1E" w14:textId="77777777" w:rsidTr="00A016B4">
        <w:trPr>
          <w:tblCellSpacing w:w="20" w:type="dxa"/>
        </w:trPr>
        <w:tc>
          <w:tcPr>
            <w:tcW w:w="508" w:type="dxa"/>
          </w:tcPr>
          <w:p w14:paraId="60D1F051" w14:textId="77777777" w:rsidR="00250AC8" w:rsidRPr="00EC250C" w:rsidRDefault="00250AC8" w:rsidP="006C70B7">
            <w:pPr>
              <w:pStyle w:val="Tabela"/>
              <w:numPr>
                <w:ilvl w:val="0"/>
                <w:numId w:val="79"/>
              </w:numPr>
              <w:ind w:left="0" w:firstLine="0"/>
              <w:contextualSpacing/>
              <w:jc w:val="both"/>
            </w:pPr>
          </w:p>
        </w:tc>
        <w:tc>
          <w:tcPr>
            <w:tcW w:w="7481" w:type="dxa"/>
          </w:tcPr>
          <w:p w14:paraId="70FD4623"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Kujawsko-Pomorskim Urzędzie Wojewódzkim</w:t>
            </w:r>
            <w:r w:rsidR="00992FD0" w:rsidRPr="00EC250C">
              <w:rPr>
                <w:sz w:val="18"/>
                <w:szCs w:val="20"/>
              </w:rPr>
              <w:t xml:space="preserve"> w </w:t>
            </w:r>
            <w:r w:rsidRPr="00EC250C">
              <w:rPr>
                <w:sz w:val="18"/>
                <w:szCs w:val="20"/>
              </w:rPr>
              <w:t>Bydgoszczy przez pracowników Biura PT RPO</w:t>
            </w:r>
            <w:r w:rsidR="00992FD0" w:rsidRPr="00EC250C">
              <w:rPr>
                <w:sz w:val="18"/>
                <w:szCs w:val="20"/>
              </w:rPr>
              <w:t xml:space="preserve"> w </w:t>
            </w:r>
            <w:r w:rsidRPr="00EC250C">
              <w:rPr>
                <w:sz w:val="18"/>
                <w:szCs w:val="20"/>
              </w:rPr>
              <w:t>Gdańsku.</w:t>
            </w:r>
          </w:p>
        </w:tc>
        <w:tc>
          <w:tcPr>
            <w:tcW w:w="1687" w:type="dxa"/>
          </w:tcPr>
          <w:p w14:paraId="3F78B070" w14:textId="77777777" w:rsidR="00250AC8" w:rsidRPr="00EC250C" w:rsidRDefault="00250AC8" w:rsidP="00902FC6">
            <w:pPr>
              <w:pStyle w:val="Tabela"/>
              <w:rPr>
                <w:sz w:val="18"/>
                <w:szCs w:val="20"/>
              </w:rPr>
            </w:pPr>
            <w:r w:rsidRPr="00EC250C">
              <w:rPr>
                <w:sz w:val="18"/>
                <w:szCs w:val="20"/>
              </w:rPr>
              <w:t>19.01.2018</w:t>
            </w:r>
            <w:r w:rsidR="00C91F6E" w:rsidRPr="00EC250C">
              <w:rPr>
                <w:sz w:val="18"/>
                <w:szCs w:val="20"/>
              </w:rPr>
              <w:t> r.</w:t>
            </w:r>
          </w:p>
        </w:tc>
      </w:tr>
      <w:tr w:rsidR="00250AC8" w:rsidRPr="00EC250C" w14:paraId="4CB65690" w14:textId="77777777" w:rsidTr="00A016B4">
        <w:trPr>
          <w:tblCellSpacing w:w="20" w:type="dxa"/>
        </w:trPr>
        <w:tc>
          <w:tcPr>
            <w:tcW w:w="508" w:type="dxa"/>
          </w:tcPr>
          <w:p w14:paraId="1C8600FE" w14:textId="77777777" w:rsidR="00250AC8" w:rsidRPr="00EC250C" w:rsidRDefault="00250AC8" w:rsidP="006C70B7">
            <w:pPr>
              <w:pStyle w:val="Tabela"/>
              <w:numPr>
                <w:ilvl w:val="0"/>
                <w:numId w:val="79"/>
              </w:numPr>
              <w:ind w:left="0" w:firstLine="0"/>
              <w:contextualSpacing/>
              <w:jc w:val="both"/>
            </w:pPr>
          </w:p>
        </w:tc>
        <w:tc>
          <w:tcPr>
            <w:tcW w:w="7481" w:type="dxa"/>
          </w:tcPr>
          <w:p w14:paraId="5BE0C180"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ramach spotkań regionalnych:</w:t>
            </w:r>
          </w:p>
          <w:p w14:paraId="586C324D" w14:textId="77777777" w:rsidR="00250AC8" w:rsidRPr="00EC250C" w:rsidRDefault="00250AC8" w:rsidP="00902FC6">
            <w:pPr>
              <w:pStyle w:val="Tabela"/>
              <w:rPr>
                <w:sz w:val="18"/>
                <w:szCs w:val="20"/>
              </w:rPr>
            </w:pPr>
            <w:r w:rsidRPr="00EC250C">
              <w:rPr>
                <w:sz w:val="18"/>
                <w:szCs w:val="20"/>
              </w:rPr>
              <w:t>-z mieszkańcami Starachowic</w:t>
            </w:r>
          </w:p>
          <w:p w14:paraId="49D295E7"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Skarżyska-Kamiennej</w:t>
            </w:r>
          </w:p>
          <w:p w14:paraId="2ECDA845" w14:textId="77777777" w:rsidR="00250AC8" w:rsidRPr="00EC250C" w:rsidRDefault="00250AC8" w:rsidP="00902FC6">
            <w:pPr>
              <w:pStyle w:val="Tabela"/>
              <w:rPr>
                <w:sz w:val="18"/>
                <w:szCs w:val="20"/>
              </w:rPr>
            </w:pPr>
            <w:r w:rsidRPr="00EC250C">
              <w:rPr>
                <w:sz w:val="18"/>
                <w:szCs w:val="20"/>
              </w:rPr>
              <w:t>w Zakładzie Aktywności Zawodowej</w:t>
            </w:r>
            <w:r w:rsidR="00992FD0" w:rsidRPr="00EC250C">
              <w:rPr>
                <w:sz w:val="18"/>
                <w:szCs w:val="20"/>
              </w:rPr>
              <w:t xml:space="preserve"> w </w:t>
            </w:r>
            <w:r w:rsidRPr="00EC250C">
              <w:rPr>
                <w:sz w:val="18"/>
                <w:szCs w:val="20"/>
              </w:rPr>
              <w:t>Stykowie</w:t>
            </w:r>
            <w:r w:rsidR="00992FD0" w:rsidRPr="00EC250C">
              <w:rPr>
                <w:sz w:val="18"/>
                <w:szCs w:val="20"/>
              </w:rPr>
              <w:t xml:space="preserve"> i </w:t>
            </w:r>
            <w:r w:rsidRPr="00EC250C">
              <w:rPr>
                <w:sz w:val="18"/>
                <w:szCs w:val="20"/>
              </w:rPr>
              <w:t>Kałkowie</w:t>
            </w:r>
          </w:p>
        </w:tc>
        <w:tc>
          <w:tcPr>
            <w:tcW w:w="1687" w:type="dxa"/>
          </w:tcPr>
          <w:p w14:paraId="22BD2161" w14:textId="77777777" w:rsidR="00250AC8" w:rsidRPr="00EC250C" w:rsidRDefault="00250AC8" w:rsidP="00902FC6">
            <w:pPr>
              <w:pStyle w:val="Tabela"/>
              <w:rPr>
                <w:sz w:val="18"/>
                <w:szCs w:val="20"/>
              </w:rPr>
            </w:pPr>
            <w:r w:rsidRPr="00EC250C">
              <w:rPr>
                <w:sz w:val="18"/>
                <w:szCs w:val="20"/>
              </w:rPr>
              <w:t>22.01.2018</w:t>
            </w:r>
            <w:r w:rsidR="00C91F6E" w:rsidRPr="00EC250C">
              <w:rPr>
                <w:sz w:val="18"/>
                <w:szCs w:val="20"/>
              </w:rPr>
              <w:t> r.</w:t>
            </w:r>
          </w:p>
        </w:tc>
      </w:tr>
      <w:tr w:rsidR="00250AC8" w:rsidRPr="00EC250C" w14:paraId="22CB5696" w14:textId="77777777" w:rsidTr="00A016B4">
        <w:trPr>
          <w:tblCellSpacing w:w="20" w:type="dxa"/>
        </w:trPr>
        <w:tc>
          <w:tcPr>
            <w:tcW w:w="508" w:type="dxa"/>
          </w:tcPr>
          <w:p w14:paraId="0A23A15E" w14:textId="77777777" w:rsidR="00250AC8" w:rsidRPr="00EC250C" w:rsidRDefault="00250AC8" w:rsidP="006C70B7">
            <w:pPr>
              <w:pStyle w:val="Tabela"/>
              <w:numPr>
                <w:ilvl w:val="0"/>
                <w:numId w:val="79"/>
              </w:numPr>
              <w:ind w:left="0" w:firstLine="0"/>
              <w:contextualSpacing/>
              <w:jc w:val="both"/>
            </w:pPr>
          </w:p>
        </w:tc>
        <w:tc>
          <w:tcPr>
            <w:tcW w:w="7481" w:type="dxa"/>
          </w:tcPr>
          <w:p w14:paraId="13F23877"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organizacjami pozarządowymi</w:t>
            </w:r>
            <w:r w:rsidR="00992FD0" w:rsidRPr="00EC250C">
              <w:rPr>
                <w:sz w:val="18"/>
                <w:szCs w:val="20"/>
              </w:rPr>
              <w:t xml:space="preserve"> w </w:t>
            </w:r>
            <w:r w:rsidRPr="00EC250C">
              <w:rPr>
                <w:sz w:val="18"/>
                <w:szCs w:val="20"/>
              </w:rPr>
              <w:t>Publicznym Gimnazjum nr 1</w:t>
            </w:r>
            <w:r w:rsidR="00026572" w:rsidRPr="00EC250C">
              <w:rPr>
                <w:sz w:val="18"/>
                <w:szCs w:val="20"/>
              </w:rPr>
              <w:t xml:space="preserve"> – </w:t>
            </w:r>
            <w:r w:rsidRPr="00EC250C">
              <w:rPr>
                <w:sz w:val="18"/>
                <w:szCs w:val="20"/>
              </w:rPr>
              <w:t>zwycięzcami konkursu na filmik profilaktyczny prezentację multimedialną „Zdrowo-komfortowo”</w:t>
            </w:r>
            <w:r w:rsidR="00992FD0" w:rsidRPr="00EC250C">
              <w:rPr>
                <w:sz w:val="18"/>
                <w:szCs w:val="20"/>
              </w:rPr>
              <w:t xml:space="preserve"> w </w:t>
            </w:r>
            <w:r w:rsidRPr="00EC250C">
              <w:rPr>
                <w:sz w:val="18"/>
                <w:szCs w:val="20"/>
              </w:rPr>
              <w:t>Starachowicach</w:t>
            </w:r>
          </w:p>
          <w:p w14:paraId="4E6CF23D"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Ostrowca Świętokrzyskiego</w:t>
            </w:r>
          </w:p>
          <w:p w14:paraId="4495F32A" w14:textId="77777777" w:rsidR="00250AC8" w:rsidRPr="00EC250C" w:rsidRDefault="00250AC8" w:rsidP="00902FC6">
            <w:pPr>
              <w:pStyle w:val="Tabela"/>
              <w:rPr>
                <w:sz w:val="18"/>
                <w:szCs w:val="20"/>
              </w:rPr>
            </w:pPr>
            <w:r w:rsidRPr="00EC250C">
              <w:rPr>
                <w:sz w:val="18"/>
                <w:szCs w:val="20"/>
              </w:rPr>
              <w:t>- wizyta na Cmentarzu Żydowskim</w:t>
            </w:r>
            <w:r w:rsidR="00992FD0" w:rsidRPr="00EC250C">
              <w:rPr>
                <w:sz w:val="18"/>
                <w:szCs w:val="20"/>
              </w:rPr>
              <w:t xml:space="preserve"> w </w:t>
            </w:r>
            <w:r w:rsidRPr="00EC250C">
              <w:rPr>
                <w:sz w:val="18"/>
                <w:szCs w:val="20"/>
              </w:rPr>
              <w:t>Skarżysku Kamiennej</w:t>
            </w:r>
          </w:p>
        </w:tc>
        <w:tc>
          <w:tcPr>
            <w:tcW w:w="1687" w:type="dxa"/>
          </w:tcPr>
          <w:p w14:paraId="479E6667" w14:textId="77777777" w:rsidR="00250AC8" w:rsidRPr="00EC250C" w:rsidRDefault="00250AC8" w:rsidP="00902FC6">
            <w:pPr>
              <w:pStyle w:val="Tabela"/>
              <w:rPr>
                <w:sz w:val="18"/>
                <w:szCs w:val="20"/>
              </w:rPr>
            </w:pPr>
            <w:r w:rsidRPr="00EC250C">
              <w:rPr>
                <w:sz w:val="18"/>
                <w:szCs w:val="20"/>
              </w:rPr>
              <w:t>23.01.2018</w:t>
            </w:r>
            <w:r w:rsidR="00C91F6E" w:rsidRPr="00EC250C">
              <w:rPr>
                <w:sz w:val="18"/>
                <w:szCs w:val="20"/>
              </w:rPr>
              <w:t> r.</w:t>
            </w:r>
          </w:p>
        </w:tc>
      </w:tr>
      <w:tr w:rsidR="00250AC8" w:rsidRPr="00EC250C" w14:paraId="6CF3DAF2" w14:textId="77777777" w:rsidTr="00A016B4">
        <w:trPr>
          <w:tblCellSpacing w:w="20" w:type="dxa"/>
        </w:trPr>
        <w:tc>
          <w:tcPr>
            <w:tcW w:w="508" w:type="dxa"/>
          </w:tcPr>
          <w:p w14:paraId="6DC571CF" w14:textId="77777777" w:rsidR="00250AC8" w:rsidRPr="00EC250C" w:rsidRDefault="00250AC8" w:rsidP="006C70B7">
            <w:pPr>
              <w:pStyle w:val="Tabela"/>
              <w:numPr>
                <w:ilvl w:val="0"/>
                <w:numId w:val="79"/>
              </w:numPr>
              <w:ind w:left="0" w:firstLine="0"/>
              <w:contextualSpacing/>
              <w:jc w:val="both"/>
            </w:pPr>
          </w:p>
        </w:tc>
        <w:tc>
          <w:tcPr>
            <w:tcW w:w="7481" w:type="dxa"/>
          </w:tcPr>
          <w:p w14:paraId="4AAC10AE"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Lokalną Grupą Działania „Krzemienny Krąg” Bałtów</w:t>
            </w:r>
          </w:p>
          <w:p w14:paraId="4608AE10" w14:textId="77777777" w:rsidR="00250AC8" w:rsidRPr="00EC250C" w:rsidRDefault="00250AC8" w:rsidP="00902FC6">
            <w:pPr>
              <w:pStyle w:val="Tabela"/>
              <w:rPr>
                <w:sz w:val="18"/>
                <w:szCs w:val="20"/>
              </w:rPr>
            </w:pPr>
            <w:r w:rsidRPr="00EC250C">
              <w:rPr>
                <w:sz w:val="18"/>
                <w:szCs w:val="20"/>
              </w:rPr>
              <w:t>z mieszkańcami Sandomierza</w:t>
            </w:r>
            <w:r w:rsidR="00992FD0" w:rsidRPr="00EC250C">
              <w:rPr>
                <w:sz w:val="18"/>
                <w:szCs w:val="20"/>
              </w:rPr>
              <w:t xml:space="preserve"> i </w:t>
            </w:r>
            <w:r w:rsidRPr="00EC250C">
              <w:rPr>
                <w:sz w:val="18"/>
                <w:szCs w:val="20"/>
              </w:rPr>
              <w:t>Stalowej Woli</w:t>
            </w:r>
          </w:p>
        </w:tc>
        <w:tc>
          <w:tcPr>
            <w:tcW w:w="1687" w:type="dxa"/>
          </w:tcPr>
          <w:p w14:paraId="560A8742" w14:textId="77777777" w:rsidR="00250AC8" w:rsidRPr="00EC250C" w:rsidRDefault="00250AC8" w:rsidP="00902FC6">
            <w:pPr>
              <w:pStyle w:val="Tabela"/>
              <w:rPr>
                <w:sz w:val="18"/>
                <w:szCs w:val="20"/>
              </w:rPr>
            </w:pPr>
            <w:r w:rsidRPr="00EC250C">
              <w:rPr>
                <w:sz w:val="18"/>
                <w:szCs w:val="20"/>
              </w:rPr>
              <w:t>24.01.2018</w:t>
            </w:r>
            <w:r w:rsidR="00C91F6E" w:rsidRPr="00EC250C">
              <w:rPr>
                <w:sz w:val="18"/>
                <w:szCs w:val="20"/>
              </w:rPr>
              <w:t> r.</w:t>
            </w:r>
          </w:p>
        </w:tc>
      </w:tr>
      <w:tr w:rsidR="00250AC8" w:rsidRPr="00EC250C" w14:paraId="1CFE1A09" w14:textId="77777777" w:rsidTr="00A016B4">
        <w:trPr>
          <w:tblCellSpacing w:w="20" w:type="dxa"/>
        </w:trPr>
        <w:tc>
          <w:tcPr>
            <w:tcW w:w="508" w:type="dxa"/>
          </w:tcPr>
          <w:p w14:paraId="62236C4D" w14:textId="77777777" w:rsidR="00250AC8" w:rsidRPr="00EC250C" w:rsidRDefault="00250AC8" w:rsidP="006C70B7">
            <w:pPr>
              <w:pStyle w:val="Tabela"/>
              <w:numPr>
                <w:ilvl w:val="0"/>
                <w:numId w:val="79"/>
              </w:numPr>
              <w:ind w:left="0" w:firstLine="0"/>
              <w:contextualSpacing/>
              <w:jc w:val="both"/>
            </w:pPr>
          </w:p>
        </w:tc>
        <w:tc>
          <w:tcPr>
            <w:tcW w:w="7481" w:type="dxa"/>
          </w:tcPr>
          <w:p w14:paraId="03FE9F84" w14:textId="77777777" w:rsidR="00C91F6E" w:rsidRPr="00EC250C" w:rsidRDefault="00250AC8" w:rsidP="00902FC6">
            <w:pPr>
              <w:pStyle w:val="Tabela"/>
              <w:rPr>
                <w:sz w:val="18"/>
                <w:szCs w:val="20"/>
              </w:rPr>
            </w:pPr>
            <w:r w:rsidRPr="00EC250C">
              <w:rPr>
                <w:sz w:val="18"/>
                <w:szCs w:val="20"/>
              </w:rPr>
              <w:t>z młodzieżą</w:t>
            </w:r>
            <w:r w:rsidR="00992FD0" w:rsidRPr="00EC250C">
              <w:rPr>
                <w:sz w:val="18"/>
                <w:szCs w:val="20"/>
              </w:rPr>
              <w:t xml:space="preserve"> z </w:t>
            </w:r>
            <w:r w:rsidRPr="00EC250C">
              <w:rPr>
                <w:sz w:val="18"/>
                <w:szCs w:val="20"/>
              </w:rPr>
              <w:t>Liceum Ogólnokształcącego im. KEN</w:t>
            </w:r>
          </w:p>
          <w:p w14:paraId="5A3A40C0" w14:textId="77777777" w:rsidR="00C91F6E" w:rsidRPr="00EC250C" w:rsidRDefault="00250AC8" w:rsidP="00902FC6">
            <w:pPr>
              <w:pStyle w:val="Tabela"/>
              <w:rPr>
                <w:sz w:val="18"/>
                <w:szCs w:val="20"/>
              </w:rPr>
            </w:pPr>
            <w:r w:rsidRPr="00EC250C">
              <w:rPr>
                <w:sz w:val="18"/>
                <w:szCs w:val="20"/>
              </w:rPr>
              <w:t>-</w:t>
            </w:r>
            <w:r w:rsidR="00992FD0" w:rsidRPr="00EC250C">
              <w:rPr>
                <w:sz w:val="18"/>
                <w:szCs w:val="20"/>
              </w:rPr>
              <w:t xml:space="preserve"> w </w:t>
            </w:r>
            <w:r w:rsidRPr="00EC250C">
              <w:rPr>
                <w:sz w:val="18"/>
                <w:szCs w:val="20"/>
              </w:rPr>
              <w:t>Ochronce im. św. Brata Alberta</w:t>
            </w:r>
            <w:r w:rsidR="00992FD0" w:rsidRPr="00EC250C">
              <w:rPr>
                <w:sz w:val="18"/>
                <w:szCs w:val="20"/>
              </w:rPr>
              <w:t xml:space="preserve"> w </w:t>
            </w:r>
            <w:r w:rsidRPr="00EC250C">
              <w:rPr>
                <w:sz w:val="18"/>
                <w:szCs w:val="20"/>
              </w:rPr>
              <w:t>Stalowej Woli</w:t>
            </w:r>
          </w:p>
          <w:p w14:paraId="07D2EFA1"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Tarnobrzega</w:t>
            </w:r>
          </w:p>
        </w:tc>
        <w:tc>
          <w:tcPr>
            <w:tcW w:w="1687" w:type="dxa"/>
          </w:tcPr>
          <w:p w14:paraId="423F99DA" w14:textId="77777777" w:rsidR="00250AC8" w:rsidRPr="00EC250C" w:rsidRDefault="00250AC8" w:rsidP="00902FC6">
            <w:pPr>
              <w:pStyle w:val="Tabela"/>
              <w:rPr>
                <w:sz w:val="18"/>
                <w:szCs w:val="20"/>
              </w:rPr>
            </w:pPr>
            <w:r w:rsidRPr="00EC250C">
              <w:rPr>
                <w:sz w:val="18"/>
                <w:szCs w:val="20"/>
              </w:rPr>
              <w:t>25.01.2018</w:t>
            </w:r>
            <w:r w:rsidR="00C91F6E" w:rsidRPr="00EC250C">
              <w:rPr>
                <w:sz w:val="18"/>
                <w:szCs w:val="20"/>
              </w:rPr>
              <w:t> r.</w:t>
            </w:r>
          </w:p>
        </w:tc>
      </w:tr>
      <w:tr w:rsidR="00250AC8" w:rsidRPr="00EC250C" w14:paraId="2877E320" w14:textId="77777777" w:rsidTr="00A016B4">
        <w:trPr>
          <w:tblCellSpacing w:w="20" w:type="dxa"/>
        </w:trPr>
        <w:tc>
          <w:tcPr>
            <w:tcW w:w="508" w:type="dxa"/>
          </w:tcPr>
          <w:p w14:paraId="5B399CF1" w14:textId="77777777" w:rsidR="00250AC8" w:rsidRPr="00EC250C" w:rsidRDefault="00250AC8" w:rsidP="006C70B7">
            <w:pPr>
              <w:pStyle w:val="Tabela"/>
              <w:numPr>
                <w:ilvl w:val="0"/>
                <w:numId w:val="79"/>
              </w:numPr>
              <w:ind w:left="0" w:firstLine="0"/>
              <w:contextualSpacing/>
              <w:jc w:val="both"/>
            </w:pPr>
          </w:p>
        </w:tc>
        <w:tc>
          <w:tcPr>
            <w:tcW w:w="7481" w:type="dxa"/>
          </w:tcPr>
          <w:p w14:paraId="4C46A2F1" w14:textId="77777777" w:rsidR="00C91F6E"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Kielc</w:t>
            </w:r>
          </w:p>
          <w:p w14:paraId="4CE5C5C7"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w </w:t>
            </w:r>
            <w:r w:rsidRPr="00EC250C">
              <w:rPr>
                <w:sz w:val="18"/>
                <w:szCs w:val="20"/>
              </w:rPr>
              <w:t>Teatrze Zbożowym Fundacji Studio TM</w:t>
            </w:r>
            <w:r w:rsidR="00992FD0" w:rsidRPr="00EC250C">
              <w:rPr>
                <w:sz w:val="18"/>
                <w:szCs w:val="20"/>
              </w:rPr>
              <w:t xml:space="preserve"> w </w:t>
            </w:r>
            <w:r w:rsidRPr="00EC250C">
              <w:rPr>
                <w:sz w:val="18"/>
                <w:szCs w:val="20"/>
              </w:rPr>
              <w:t>Kielcach</w:t>
            </w:r>
          </w:p>
          <w:p w14:paraId="25E12F0C"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młodzieżą</w:t>
            </w:r>
            <w:r w:rsidR="00992FD0" w:rsidRPr="00EC250C">
              <w:rPr>
                <w:sz w:val="18"/>
                <w:szCs w:val="20"/>
              </w:rPr>
              <w:t xml:space="preserve"> w </w:t>
            </w:r>
            <w:r w:rsidRPr="00EC250C">
              <w:rPr>
                <w:sz w:val="18"/>
                <w:szCs w:val="20"/>
              </w:rPr>
              <w:t>Centrum Edukacyjnym „Szklany Dom”</w:t>
            </w:r>
            <w:r w:rsidR="00992FD0" w:rsidRPr="00EC250C">
              <w:rPr>
                <w:sz w:val="18"/>
                <w:szCs w:val="20"/>
              </w:rPr>
              <w:t xml:space="preserve"> w </w:t>
            </w:r>
            <w:r w:rsidRPr="00EC250C">
              <w:rPr>
                <w:sz w:val="18"/>
                <w:szCs w:val="20"/>
              </w:rPr>
              <w:t>Ciekotach</w:t>
            </w:r>
          </w:p>
        </w:tc>
        <w:tc>
          <w:tcPr>
            <w:tcW w:w="1687" w:type="dxa"/>
          </w:tcPr>
          <w:p w14:paraId="4AD6AB56" w14:textId="77777777" w:rsidR="00250AC8" w:rsidRPr="00EC250C" w:rsidRDefault="00250AC8" w:rsidP="00902FC6">
            <w:pPr>
              <w:pStyle w:val="Tabela"/>
              <w:rPr>
                <w:sz w:val="18"/>
                <w:szCs w:val="20"/>
              </w:rPr>
            </w:pPr>
            <w:r w:rsidRPr="00EC250C">
              <w:rPr>
                <w:sz w:val="18"/>
                <w:szCs w:val="20"/>
              </w:rPr>
              <w:t>26.01.2018</w:t>
            </w:r>
            <w:r w:rsidR="00C91F6E" w:rsidRPr="00EC250C">
              <w:rPr>
                <w:sz w:val="18"/>
                <w:szCs w:val="20"/>
              </w:rPr>
              <w:t> r.</w:t>
            </w:r>
          </w:p>
        </w:tc>
      </w:tr>
      <w:tr w:rsidR="00250AC8" w:rsidRPr="00EC250C" w14:paraId="57EA8387" w14:textId="77777777" w:rsidTr="00A016B4">
        <w:trPr>
          <w:tblCellSpacing w:w="20" w:type="dxa"/>
        </w:trPr>
        <w:tc>
          <w:tcPr>
            <w:tcW w:w="508" w:type="dxa"/>
          </w:tcPr>
          <w:p w14:paraId="1A511726" w14:textId="77777777" w:rsidR="00250AC8" w:rsidRPr="00EC250C" w:rsidRDefault="00250AC8" w:rsidP="006C70B7">
            <w:pPr>
              <w:pStyle w:val="Tabela"/>
              <w:numPr>
                <w:ilvl w:val="0"/>
                <w:numId w:val="79"/>
              </w:numPr>
              <w:ind w:left="0" w:firstLine="0"/>
              <w:contextualSpacing/>
              <w:jc w:val="both"/>
            </w:pPr>
          </w:p>
        </w:tc>
        <w:tc>
          <w:tcPr>
            <w:tcW w:w="7481" w:type="dxa"/>
          </w:tcPr>
          <w:p w14:paraId="33F1BC16"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Małopolskim Urzędzie Wojewódzkim</w:t>
            </w:r>
            <w:r w:rsidR="00992FD0" w:rsidRPr="00EC250C">
              <w:rPr>
                <w:sz w:val="18"/>
                <w:szCs w:val="20"/>
              </w:rPr>
              <w:t xml:space="preserve"> w </w:t>
            </w:r>
            <w:r w:rsidRPr="00EC250C">
              <w:rPr>
                <w:sz w:val="18"/>
                <w:szCs w:val="20"/>
              </w:rPr>
              <w:t>Krakowie przez pracownika Biura PT RPO</w:t>
            </w:r>
            <w:r w:rsidR="00992FD0" w:rsidRPr="00EC250C">
              <w:rPr>
                <w:sz w:val="18"/>
                <w:szCs w:val="20"/>
              </w:rPr>
              <w:t xml:space="preserve"> w </w:t>
            </w:r>
            <w:r w:rsidRPr="00EC250C">
              <w:rPr>
                <w:sz w:val="18"/>
                <w:szCs w:val="20"/>
              </w:rPr>
              <w:t>Katowicach.</w:t>
            </w:r>
          </w:p>
        </w:tc>
        <w:tc>
          <w:tcPr>
            <w:tcW w:w="1687" w:type="dxa"/>
          </w:tcPr>
          <w:p w14:paraId="5BC96312" w14:textId="77777777" w:rsidR="00250AC8" w:rsidRPr="00EC250C" w:rsidRDefault="00250AC8" w:rsidP="00902FC6">
            <w:pPr>
              <w:pStyle w:val="Tabela"/>
              <w:rPr>
                <w:sz w:val="18"/>
                <w:szCs w:val="20"/>
              </w:rPr>
            </w:pPr>
            <w:r w:rsidRPr="00EC250C">
              <w:rPr>
                <w:sz w:val="18"/>
                <w:szCs w:val="20"/>
              </w:rPr>
              <w:t>25.01.2018</w:t>
            </w:r>
            <w:r w:rsidR="00C91F6E" w:rsidRPr="00EC250C">
              <w:rPr>
                <w:sz w:val="18"/>
                <w:szCs w:val="20"/>
              </w:rPr>
              <w:t> r.</w:t>
            </w:r>
          </w:p>
        </w:tc>
      </w:tr>
      <w:tr w:rsidR="00250AC8" w:rsidRPr="00EC250C" w14:paraId="038746A2" w14:textId="77777777" w:rsidTr="00A016B4">
        <w:trPr>
          <w:tblCellSpacing w:w="20" w:type="dxa"/>
        </w:trPr>
        <w:tc>
          <w:tcPr>
            <w:tcW w:w="508" w:type="dxa"/>
          </w:tcPr>
          <w:p w14:paraId="5AC4B1A6" w14:textId="77777777" w:rsidR="00250AC8" w:rsidRPr="00EC250C" w:rsidRDefault="00250AC8" w:rsidP="006C70B7">
            <w:pPr>
              <w:pStyle w:val="Tabela"/>
              <w:numPr>
                <w:ilvl w:val="0"/>
                <w:numId w:val="79"/>
              </w:numPr>
              <w:ind w:left="0" w:firstLine="0"/>
              <w:contextualSpacing/>
              <w:jc w:val="both"/>
            </w:pPr>
          </w:p>
        </w:tc>
        <w:tc>
          <w:tcPr>
            <w:tcW w:w="7481" w:type="dxa"/>
          </w:tcPr>
          <w:p w14:paraId="46E024D1"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Marszałkowskim Województwa Świętokrzyskiego</w:t>
            </w:r>
            <w:r w:rsidR="00992FD0" w:rsidRPr="00EC250C">
              <w:rPr>
                <w:sz w:val="18"/>
                <w:szCs w:val="20"/>
              </w:rPr>
              <w:t xml:space="preserve"> w </w:t>
            </w:r>
            <w:r w:rsidRPr="00EC250C">
              <w:rPr>
                <w:sz w:val="18"/>
                <w:szCs w:val="20"/>
              </w:rPr>
              <w:t>Kielcach przez pracownika Biura PT RPO</w:t>
            </w:r>
            <w:r w:rsidR="00992FD0" w:rsidRPr="00EC250C">
              <w:rPr>
                <w:sz w:val="18"/>
                <w:szCs w:val="20"/>
              </w:rPr>
              <w:t xml:space="preserve"> w </w:t>
            </w:r>
            <w:r w:rsidRPr="00EC250C">
              <w:rPr>
                <w:sz w:val="18"/>
                <w:szCs w:val="20"/>
              </w:rPr>
              <w:t>Katowicach.</w:t>
            </w:r>
          </w:p>
        </w:tc>
        <w:tc>
          <w:tcPr>
            <w:tcW w:w="1687" w:type="dxa"/>
          </w:tcPr>
          <w:p w14:paraId="1FF134E7" w14:textId="77777777" w:rsidR="00250AC8" w:rsidRPr="00EC250C" w:rsidRDefault="00250AC8" w:rsidP="00902FC6">
            <w:pPr>
              <w:pStyle w:val="Tabela"/>
              <w:rPr>
                <w:sz w:val="18"/>
                <w:szCs w:val="20"/>
              </w:rPr>
            </w:pPr>
            <w:r w:rsidRPr="00EC250C">
              <w:rPr>
                <w:sz w:val="18"/>
                <w:szCs w:val="20"/>
              </w:rPr>
              <w:t>25.01.2018</w:t>
            </w:r>
            <w:r w:rsidR="00C91F6E" w:rsidRPr="00EC250C">
              <w:rPr>
                <w:sz w:val="18"/>
                <w:szCs w:val="20"/>
              </w:rPr>
              <w:t> r.</w:t>
            </w:r>
          </w:p>
        </w:tc>
      </w:tr>
      <w:tr w:rsidR="00250AC8" w:rsidRPr="00EC250C" w14:paraId="33D6E7E5" w14:textId="77777777" w:rsidTr="00A016B4">
        <w:trPr>
          <w:tblCellSpacing w:w="20" w:type="dxa"/>
        </w:trPr>
        <w:tc>
          <w:tcPr>
            <w:tcW w:w="508" w:type="dxa"/>
          </w:tcPr>
          <w:p w14:paraId="77AD579D" w14:textId="77777777" w:rsidR="00250AC8" w:rsidRPr="00EC250C" w:rsidRDefault="00250AC8" w:rsidP="006C70B7">
            <w:pPr>
              <w:pStyle w:val="Tabela"/>
              <w:numPr>
                <w:ilvl w:val="0"/>
                <w:numId w:val="79"/>
              </w:numPr>
              <w:ind w:left="0" w:firstLine="0"/>
              <w:contextualSpacing/>
              <w:jc w:val="both"/>
            </w:pPr>
          </w:p>
        </w:tc>
        <w:tc>
          <w:tcPr>
            <w:tcW w:w="7481" w:type="dxa"/>
          </w:tcPr>
          <w:p w14:paraId="50072D07"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Lublin przez pracownika Biura RPO</w:t>
            </w:r>
            <w:r w:rsidR="00992FD0" w:rsidRPr="00EC250C">
              <w:rPr>
                <w:sz w:val="18"/>
                <w:szCs w:val="20"/>
              </w:rPr>
              <w:t xml:space="preserve"> w </w:t>
            </w:r>
            <w:r w:rsidRPr="00EC250C">
              <w:rPr>
                <w:sz w:val="18"/>
                <w:szCs w:val="20"/>
              </w:rPr>
              <w:t>Warszawie.</w:t>
            </w:r>
          </w:p>
        </w:tc>
        <w:tc>
          <w:tcPr>
            <w:tcW w:w="1687" w:type="dxa"/>
          </w:tcPr>
          <w:p w14:paraId="3E573D49" w14:textId="77777777" w:rsidR="00250AC8" w:rsidRPr="00EC250C" w:rsidRDefault="00250AC8" w:rsidP="00902FC6">
            <w:pPr>
              <w:pStyle w:val="Tabela"/>
              <w:rPr>
                <w:sz w:val="18"/>
                <w:szCs w:val="20"/>
              </w:rPr>
            </w:pPr>
            <w:r w:rsidRPr="00EC250C">
              <w:rPr>
                <w:sz w:val="18"/>
                <w:szCs w:val="20"/>
              </w:rPr>
              <w:t>26.01.2018</w:t>
            </w:r>
            <w:r w:rsidR="00C91F6E" w:rsidRPr="00EC250C">
              <w:rPr>
                <w:sz w:val="18"/>
                <w:szCs w:val="20"/>
              </w:rPr>
              <w:t> r.</w:t>
            </w:r>
          </w:p>
        </w:tc>
      </w:tr>
      <w:tr w:rsidR="00250AC8" w:rsidRPr="00EC250C" w14:paraId="321A495A" w14:textId="77777777" w:rsidTr="00A016B4">
        <w:trPr>
          <w:tblCellSpacing w:w="20" w:type="dxa"/>
        </w:trPr>
        <w:tc>
          <w:tcPr>
            <w:tcW w:w="508" w:type="dxa"/>
          </w:tcPr>
          <w:p w14:paraId="568B15E1" w14:textId="77777777" w:rsidR="00250AC8" w:rsidRPr="00EC250C" w:rsidRDefault="00250AC8" w:rsidP="006C70B7">
            <w:pPr>
              <w:pStyle w:val="Tabela"/>
              <w:numPr>
                <w:ilvl w:val="0"/>
                <w:numId w:val="79"/>
              </w:numPr>
              <w:ind w:left="0" w:firstLine="0"/>
              <w:contextualSpacing/>
              <w:jc w:val="both"/>
            </w:pPr>
          </w:p>
        </w:tc>
        <w:tc>
          <w:tcPr>
            <w:tcW w:w="7481" w:type="dxa"/>
          </w:tcPr>
          <w:p w14:paraId="30D342D7"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Szczecin przez pracowników Biura PT RPO</w:t>
            </w:r>
            <w:r w:rsidR="00992FD0" w:rsidRPr="00EC250C">
              <w:rPr>
                <w:sz w:val="18"/>
                <w:szCs w:val="20"/>
              </w:rPr>
              <w:t xml:space="preserve"> w </w:t>
            </w:r>
            <w:r w:rsidRPr="00EC250C">
              <w:rPr>
                <w:sz w:val="18"/>
                <w:szCs w:val="20"/>
              </w:rPr>
              <w:t>Gdańsku.</w:t>
            </w:r>
          </w:p>
        </w:tc>
        <w:tc>
          <w:tcPr>
            <w:tcW w:w="1687" w:type="dxa"/>
          </w:tcPr>
          <w:p w14:paraId="33B7ED60" w14:textId="77777777" w:rsidR="00250AC8" w:rsidRPr="00EC250C" w:rsidRDefault="00250AC8" w:rsidP="00902FC6">
            <w:pPr>
              <w:pStyle w:val="Tabela"/>
              <w:rPr>
                <w:sz w:val="18"/>
                <w:szCs w:val="20"/>
              </w:rPr>
            </w:pPr>
            <w:r w:rsidRPr="00EC250C">
              <w:rPr>
                <w:sz w:val="18"/>
                <w:szCs w:val="20"/>
              </w:rPr>
              <w:t>29–30.01.2018</w:t>
            </w:r>
            <w:r w:rsidR="00C91F6E" w:rsidRPr="00EC250C">
              <w:rPr>
                <w:sz w:val="18"/>
                <w:szCs w:val="20"/>
              </w:rPr>
              <w:t> r.</w:t>
            </w:r>
          </w:p>
        </w:tc>
      </w:tr>
      <w:tr w:rsidR="00250AC8" w:rsidRPr="00EC250C" w14:paraId="15061A38" w14:textId="77777777" w:rsidTr="00A016B4">
        <w:trPr>
          <w:tblCellSpacing w:w="20" w:type="dxa"/>
        </w:trPr>
        <w:tc>
          <w:tcPr>
            <w:tcW w:w="508" w:type="dxa"/>
          </w:tcPr>
          <w:p w14:paraId="357CD47E" w14:textId="77777777" w:rsidR="00250AC8" w:rsidRPr="00EC250C" w:rsidRDefault="00250AC8" w:rsidP="006C70B7">
            <w:pPr>
              <w:pStyle w:val="Tabela"/>
              <w:numPr>
                <w:ilvl w:val="0"/>
                <w:numId w:val="79"/>
              </w:numPr>
              <w:ind w:left="0" w:firstLine="0"/>
              <w:contextualSpacing/>
              <w:jc w:val="both"/>
            </w:pPr>
          </w:p>
        </w:tc>
        <w:tc>
          <w:tcPr>
            <w:tcW w:w="7481" w:type="dxa"/>
          </w:tcPr>
          <w:p w14:paraId="10F0B49A"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Łódź przez pracownika Biura RPO</w:t>
            </w:r>
            <w:r w:rsidR="00992FD0" w:rsidRPr="00EC250C">
              <w:rPr>
                <w:sz w:val="18"/>
                <w:szCs w:val="20"/>
              </w:rPr>
              <w:t xml:space="preserve"> w </w:t>
            </w:r>
            <w:r w:rsidRPr="00EC250C">
              <w:rPr>
                <w:sz w:val="18"/>
                <w:szCs w:val="20"/>
              </w:rPr>
              <w:t>Warszawie.</w:t>
            </w:r>
          </w:p>
        </w:tc>
        <w:tc>
          <w:tcPr>
            <w:tcW w:w="1687" w:type="dxa"/>
          </w:tcPr>
          <w:p w14:paraId="7D4D2EB7" w14:textId="77777777" w:rsidR="00250AC8" w:rsidRPr="00EC250C" w:rsidRDefault="00250AC8" w:rsidP="00902FC6">
            <w:pPr>
              <w:pStyle w:val="Tabela"/>
              <w:rPr>
                <w:sz w:val="18"/>
                <w:szCs w:val="20"/>
              </w:rPr>
            </w:pPr>
            <w:r w:rsidRPr="00EC250C">
              <w:rPr>
                <w:sz w:val="18"/>
                <w:szCs w:val="20"/>
              </w:rPr>
              <w:t>05.02.2018</w:t>
            </w:r>
            <w:r w:rsidR="00C91F6E" w:rsidRPr="00EC250C">
              <w:rPr>
                <w:sz w:val="18"/>
                <w:szCs w:val="20"/>
              </w:rPr>
              <w:t> r.</w:t>
            </w:r>
          </w:p>
        </w:tc>
      </w:tr>
      <w:tr w:rsidR="00250AC8" w:rsidRPr="00EC250C" w14:paraId="7144985A" w14:textId="77777777" w:rsidTr="00A016B4">
        <w:trPr>
          <w:tblCellSpacing w:w="20" w:type="dxa"/>
        </w:trPr>
        <w:tc>
          <w:tcPr>
            <w:tcW w:w="508" w:type="dxa"/>
          </w:tcPr>
          <w:p w14:paraId="26289403" w14:textId="77777777" w:rsidR="00250AC8" w:rsidRPr="00EC250C" w:rsidRDefault="00250AC8" w:rsidP="006C70B7">
            <w:pPr>
              <w:pStyle w:val="Tabela"/>
              <w:numPr>
                <w:ilvl w:val="0"/>
                <w:numId w:val="79"/>
              </w:numPr>
              <w:ind w:left="0" w:firstLine="0"/>
              <w:contextualSpacing/>
              <w:jc w:val="both"/>
            </w:pPr>
          </w:p>
        </w:tc>
        <w:tc>
          <w:tcPr>
            <w:tcW w:w="7481" w:type="dxa"/>
          </w:tcPr>
          <w:p w14:paraId="7DC2FD5E"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Słupsk przez pracowników Biura PT RPO</w:t>
            </w:r>
            <w:r w:rsidR="00992FD0" w:rsidRPr="00EC250C">
              <w:rPr>
                <w:sz w:val="18"/>
                <w:szCs w:val="20"/>
              </w:rPr>
              <w:t xml:space="preserve"> w </w:t>
            </w:r>
            <w:r w:rsidRPr="00EC250C">
              <w:rPr>
                <w:sz w:val="18"/>
                <w:szCs w:val="20"/>
              </w:rPr>
              <w:t>Gdańsku.</w:t>
            </w:r>
          </w:p>
        </w:tc>
        <w:tc>
          <w:tcPr>
            <w:tcW w:w="1687" w:type="dxa"/>
          </w:tcPr>
          <w:p w14:paraId="3C7F0DE3" w14:textId="77777777" w:rsidR="00250AC8" w:rsidRPr="00EC250C" w:rsidRDefault="00250AC8" w:rsidP="00902FC6">
            <w:pPr>
              <w:pStyle w:val="Tabela"/>
              <w:rPr>
                <w:sz w:val="18"/>
                <w:szCs w:val="20"/>
              </w:rPr>
            </w:pPr>
            <w:r w:rsidRPr="00EC250C">
              <w:rPr>
                <w:sz w:val="18"/>
                <w:szCs w:val="20"/>
              </w:rPr>
              <w:t>08.02.2018</w:t>
            </w:r>
            <w:r w:rsidR="00C91F6E" w:rsidRPr="00EC250C">
              <w:rPr>
                <w:sz w:val="18"/>
                <w:szCs w:val="20"/>
              </w:rPr>
              <w:t> r.</w:t>
            </w:r>
          </w:p>
        </w:tc>
      </w:tr>
      <w:tr w:rsidR="00250AC8" w:rsidRPr="00EC250C" w14:paraId="6FC2DE69" w14:textId="77777777" w:rsidTr="00A016B4">
        <w:trPr>
          <w:tblCellSpacing w:w="20" w:type="dxa"/>
        </w:trPr>
        <w:tc>
          <w:tcPr>
            <w:tcW w:w="508" w:type="dxa"/>
          </w:tcPr>
          <w:p w14:paraId="6F959B32" w14:textId="77777777" w:rsidR="00250AC8" w:rsidRPr="00EC250C" w:rsidRDefault="00250AC8" w:rsidP="006C70B7">
            <w:pPr>
              <w:pStyle w:val="Tabela"/>
              <w:numPr>
                <w:ilvl w:val="0"/>
                <w:numId w:val="79"/>
              </w:numPr>
              <w:ind w:left="0" w:firstLine="0"/>
              <w:contextualSpacing/>
              <w:jc w:val="both"/>
            </w:pPr>
          </w:p>
        </w:tc>
        <w:tc>
          <w:tcPr>
            <w:tcW w:w="7481" w:type="dxa"/>
          </w:tcPr>
          <w:p w14:paraId="596FB996"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Kujawsko-Pomorskim Urzędzie Wojewódzkim</w:t>
            </w:r>
            <w:r w:rsidR="00992FD0" w:rsidRPr="00EC250C">
              <w:rPr>
                <w:sz w:val="18"/>
                <w:szCs w:val="20"/>
              </w:rPr>
              <w:t xml:space="preserve"> w </w:t>
            </w:r>
            <w:r w:rsidRPr="00EC250C">
              <w:rPr>
                <w:sz w:val="18"/>
                <w:szCs w:val="20"/>
              </w:rPr>
              <w:t>Bydgoszczy przez pracowników Biura PT RPO</w:t>
            </w:r>
            <w:r w:rsidR="00992FD0" w:rsidRPr="00EC250C">
              <w:rPr>
                <w:sz w:val="18"/>
                <w:szCs w:val="20"/>
              </w:rPr>
              <w:t xml:space="preserve"> w </w:t>
            </w:r>
            <w:r w:rsidRPr="00EC250C">
              <w:rPr>
                <w:sz w:val="18"/>
                <w:szCs w:val="20"/>
              </w:rPr>
              <w:t>Gdańsku.</w:t>
            </w:r>
          </w:p>
        </w:tc>
        <w:tc>
          <w:tcPr>
            <w:tcW w:w="1687" w:type="dxa"/>
          </w:tcPr>
          <w:p w14:paraId="2E2F830A" w14:textId="77777777" w:rsidR="00250AC8" w:rsidRPr="00EC250C" w:rsidRDefault="00250AC8" w:rsidP="00902FC6">
            <w:pPr>
              <w:pStyle w:val="Tabela"/>
              <w:rPr>
                <w:sz w:val="18"/>
                <w:szCs w:val="20"/>
              </w:rPr>
            </w:pPr>
            <w:r w:rsidRPr="00EC250C">
              <w:rPr>
                <w:sz w:val="18"/>
                <w:szCs w:val="20"/>
              </w:rPr>
              <w:t>16.02.2018</w:t>
            </w:r>
            <w:r w:rsidR="00C91F6E" w:rsidRPr="00EC250C">
              <w:rPr>
                <w:sz w:val="18"/>
                <w:szCs w:val="20"/>
              </w:rPr>
              <w:t> r.</w:t>
            </w:r>
          </w:p>
        </w:tc>
      </w:tr>
      <w:tr w:rsidR="00250AC8" w:rsidRPr="00EC250C" w14:paraId="21B6FA73" w14:textId="77777777" w:rsidTr="00A016B4">
        <w:trPr>
          <w:tblCellSpacing w:w="20" w:type="dxa"/>
        </w:trPr>
        <w:tc>
          <w:tcPr>
            <w:tcW w:w="508" w:type="dxa"/>
          </w:tcPr>
          <w:p w14:paraId="21DB62CC" w14:textId="77777777" w:rsidR="00250AC8" w:rsidRPr="00EC250C" w:rsidRDefault="00250AC8" w:rsidP="006C70B7">
            <w:pPr>
              <w:pStyle w:val="Tabela"/>
              <w:numPr>
                <w:ilvl w:val="0"/>
                <w:numId w:val="79"/>
              </w:numPr>
              <w:ind w:left="0" w:firstLine="0"/>
              <w:contextualSpacing/>
              <w:jc w:val="both"/>
            </w:pPr>
          </w:p>
        </w:tc>
        <w:tc>
          <w:tcPr>
            <w:tcW w:w="7481" w:type="dxa"/>
          </w:tcPr>
          <w:p w14:paraId="786A014D"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Marszałkowskim Województwa Świętokrzyskiego</w:t>
            </w:r>
            <w:r w:rsidR="00992FD0" w:rsidRPr="00EC250C">
              <w:rPr>
                <w:sz w:val="18"/>
                <w:szCs w:val="20"/>
              </w:rPr>
              <w:t xml:space="preserve"> w </w:t>
            </w:r>
            <w:r w:rsidRPr="00EC250C">
              <w:rPr>
                <w:sz w:val="18"/>
                <w:szCs w:val="20"/>
              </w:rPr>
              <w:t>Kielcach przez pracowników Biura PT RPO</w:t>
            </w:r>
            <w:r w:rsidR="00992FD0" w:rsidRPr="00EC250C">
              <w:rPr>
                <w:sz w:val="18"/>
                <w:szCs w:val="20"/>
              </w:rPr>
              <w:t xml:space="preserve"> w </w:t>
            </w:r>
            <w:r w:rsidRPr="00EC250C">
              <w:rPr>
                <w:sz w:val="18"/>
                <w:szCs w:val="20"/>
              </w:rPr>
              <w:t>Katowicach.</w:t>
            </w:r>
          </w:p>
        </w:tc>
        <w:tc>
          <w:tcPr>
            <w:tcW w:w="1687" w:type="dxa"/>
          </w:tcPr>
          <w:p w14:paraId="15C0D4F8" w14:textId="77777777" w:rsidR="00250AC8" w:rsidRPr="00EC250C" w:rsidRDefault="00250AC8" w:rsidP="00902FC6">
            <w:pPr>
              <w:pStyle w:val="Tabela"/>
              <w:rPr>
                <w:sz w:val="18"/>
                <w:szCs w:val="20"/>
              </w:rPr>
            </w:pPr>
            <w:r w:rsidRPr="00EC250C">
              <w:rPr>
                <w:sz w:val="18"/>
                <w:szCs w:val="20"/>
              </w:rPr>
              <w:t>22.02.2018</w:t>
            </w:r>
            <w:r w:rsidR="00C91F6E" w:rsidRPr="00EC250C">
              <w:rPr>
                <w:sz w:val="18"/>
                <w:szCs w:val="20"/>
              </w:rPr>
              <w:t> r.</w:t>
            </w:r>
          </w:p>
        </w:tc>
      </w:tr>
      <w:tr w:rsidR="00250AC8" w:rsidRPr="00EC250C" w14:paraId="7F3B8365" w14:textId="77777777" w:rsidTr="00A016B4">
        <w:trPr>
          <w:tblCellSpacing w:w="20" w:type="dxa"/>
        </w:trPr>
        <w:tc>
          <w:tcPr>
            <w:tcW w:w="508" w:type="dxa"/>
          </w:tcPr>
          <w:p w14:paraId="03B2C4C7" w14:textId="77777777" w:rsidR="00250AC8" w:rsidRPr="00EC250C" w:rsidRDefault="00250AC8" w:rsidP="006C70B7">
            <w:pPr>
              <w:pStyle w:val="Tabela"/>
              <w:numPr>
                <w:ilvl w:val="0"/>
                <w:numId w:val="79"/>
              </w:numPr>
              <w:ind w:left="0" w:firstLine="0"/>
              <w:contextualSpacing/>
              <w:jc w:val="both"/>
            </w:pPr>
          </w:p>
        </w:tc>
        <w:tc>
          <w:tcPr>
            <w:tcW w:w="7481" w:type="dxa"/>
          </w:tcPr>
          <w:p w14:paraId="7C33C634"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Lublin przez pracownika Biura RPO</w:t>
            </w:r>
            <w:r w:rsidR="00992FD0" w:rsidRPr="00EC250C">
              <w:rPr>
                <w:sz w:val="18"/>
                <w:szCs w:val="20"/>
              </w:rPr>
              <w:t xml:space="preserve"> w </w:t>
            </w:r>
            <w:r w:rsidRPr="00EC250C">
              <w:rPr>
                <w:sz w:val="18"/>
                <w:szCs w:val="20"/>
              </w:rPr>
              <w:t>Warszawie.</w:t>
            </w:r>
          </w:p>
        </w:tc>
        <w:tc>
          <w:tcPr>
            <w:tcW w:w="1687" w:type="dxa"/>
          </w:tcPr>
          <w:p w14:paraId="6947B6C5" w14:textId="77777777" w:rsidR="00250AC8" w:rsidRPr="00EC250C" w:rsidRDefault="00250AC8" w:rsidP="00902FC6">
            <w:pPr>
              <w:pStyle w:val="Tabela"/>
              <w:rPr>
                <w:sz w:val="18"/>
                <w:szCs w:val="20"/>
              </w:rPr>
            </w:pPr>
            <w:r w:rsidRPr="00EC250C">
              <w:rPr>
                <w:sz w:val="18"/>
                <w:szCs w:val="20"/>
              </w:rPr>
              <w:t>23.02.2018</w:t>
            </w:r>
            <w:r w:rsidR="00C91F6E" w:rsidRPr="00EC250C">
              <w:rPr>
                <w:sz w:val="18"/>
                <w:szCs w:val="20"/>
              </w:rPr>
              <w:t> r.</w:t>
            </w:r>
          </w:p>
        </w:tc>
      </w:tr>
      <w:tr w:rsidR="00250AC8" w:rsidRPr="00EC250C" w14:paraId="7F2AA9E7" w14:textId="77777777" w:rsidTr="00A016B4">
        <w:trPr>
          <w:tblCellSpacing w:w="20" w:type="dxa"/>
        </w:trPr>
        <w:tc>
          <w:tcPr>
            <w:tcW w:w="508" w:type="dxa"/>
          </w:tcPr>
          <w:p w14:paraId="292CC61C" w14:textId="77777777" w:rsidR="00250AC8" w:rsidRPr="00EC250C" w:rsidRDefault="00250AC8" w:rsidP="006C70B7">
            <w:pPr>
              <w:pStyle w:val="Tabela"/>
              <w:numPr>
                <w:ilvl w:val="0"/>
                <w:numId w:val="79"/>
              </w:numPr>
              <w:ind w:left="0" w:firstLine="0"/>
              <w:contextualSpacing/>
              <w:jc w:val="both"/>
            </w:pPr>
          </w:p>
        </w:tc>
        <w:tc>
          <w:tcPr>
            <w:tcW w:w="7481" w:type="dxa"/>
          </w:tcPr>
          <w:p w14:paraId="35B8E2EF"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Szczecin przez pracownika Biura RPO</w:t>
            </w:r>
            <w:r w:rsidR="00992FD0" w:rsidRPr="00EC250C">
              <w:rPr>
                <w:sz w:val="18"/>
                <w:szCs w:val="20"/>
              </w:rPr>
              <w:t xml:space="preserve"> w </w:t>
            </w:r>
            <w:r w:rsidRPr="00EC250C">
              <w:rPr>
                <w:sz w:val="18"/>
                <w:szCs w:val="20"/>
              </w:rPr>
              <w:t>Warszawie.</w:t>
            </w:r>
          </w:p>
        </w:tc>
        <w:tc>
          <w:tcPr>
            <w:tcW w:w="1687" w:type="dxa"/>
          </w:tcPr>
          <w:p w14:paraId="10E6BE99" w14:textId="77777777" w:rsidR="00250AC8" w:rsidRPr="00EC250C" w:rsidRDefault="00250AC8" w:rsidP="00902FC6">
            <w:pPr>
              <w:pStyle w:val="Tabela"/>
              <w:rPr>
                <w:sz w:val="18"/>
                <w:szCs w:val="20"/>
              </w:rPr>
            </w:pPr>
            <w:r w:rsidRPr="00EC250C">
              <w:rPr>
                <w:sz w:val="18"/>
                <w:szCs w:val="20"/>
              </w:rPr>
              <w:t>26–27.02.2018</w:t>
            </w:r>
            <w:r w:rsidR="00C91F6E" w:rsidRPr="00EC250C">
              <w:rPr>
                <w:sz w:val="18"/>
                <w:szCs w:val="20"/>
              </w:rPr>
              <w:t> r.</w:t>
            </w:r>
          </w:p>
        </w:tc>
      </w:tr>
      <w:tr w:rsidR="00250AC8" w:rsidRPr="00EC250C" w14:paraId="0B69CE20" w14:textId="77777777" w:rsidTr="00A016B4">
        <w:trPr>
          <w:tblCellSpacing w:w="20" w:type="dxa"/>
        </w:trPr>
        <w:tc>
          <w:tcPr>
            <w:tcW w:w="508" w:type="dxa"/>
          </w:tcPr>
          <w:p w14:paraId="22C4F735" w14:textId="77777777" w:rsidR="00250AC8" w:rsidRPr="00EC250C" w:rsidRDefault="00250AC8" w:rsidP="006C70B7">
            <w:pPr>
              <w:pStyle w:val="Tabela"/>
              <w:numPr>
                <w:ilvl w:val="0"/>
                <w:numId w:val="79"/>
              </w:numPr>
              <w:ind w:left="0" w:firstLine="0"/>
              <w:contextualSpacing/>
              <w:jc w:val="both"/>
            </w:pPr>
          </w:p>
        </w:tc>
        <w:tc>
          <w:tcPr>
            <w:tcW w:w="7481" w:type="dxa"/>
          </w:tcPr>
          <w:p w14:paraId="794C827E"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ramach spotkań regionalnych:</w:t>
            </w:r>
          </w:p>
          <w:p w14:paraId="07371E9A"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Radzynia Podlaskiego</w:t>
            </w:r>
          </w:p>
          <w:p w14:paraId="689DB31D" w14:textId="77777777" w:rsidR="00C91F6E"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uczniami liceum ogólnokształcącego</w:t>
            </w:r>
            <w:r w:rsidR="00992FD0" w:rsidRPr="00EC250C">
              <w:rPr>
                <w:sz w:val="18"/>
                <w:szCs w:val="20"/>
              </w:rPr>
              <w:t xml:space="preserve"> z </w:t>
            </w:r>
            <w:r w:rsidRPr="00EC250C">
              <w:rPr>
                <w:sz w:val="18"/>
                <w:szCs w:val="20"/>
              </w:rPr>
              <w:t>Radzynia Podlaskiego</w:t>
            </w:r>
          </w:p>
          <w:p w14:paraId="04ED5015"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Niemców</w:t>
            </w:r>
          </w:p>
        </w:tc>
        <w:tc>
          <w:tcPr>
            <w:tcW w:w="1687" w:type="dxa"/>
          </w:tcPr>
          <w:p w14:paraId="1F25E25D" w14:textId="77777777" w:rsidR="00250AC8" w:rsidRPr="00EC250C" w:rsidRDefault="00250AC8" w:rsidP="00902FC6">
            <w:pPr>
              <w:pStyle w:val="Tabela"/>
              <w:rPr>
                <w:sz w:val="18"/>
                <w:szCs w:val="20"/>
              </w:rPr>
            </w:pPr>
            <w:r w:rsidRPr="00EC250C">
              <w:rPr>
                <w:sz w:val="18"/>
                <w:szCs w:val="20"/>
              </w:rPr>
              <w:t>27.02.2018</w:t>
            </w:r>
            <w:r w:rsidR="00C91F6E" w:rsidRPr="00EC250C">
              <w:rPr>
                <w:sz w:val="18"/>
                <w:szCs w:val="20"/>
              </w:rPr>
              <w:t> r.</w:t>
            </w:r>
          </w:p>
        </w:tc>
      </w:tr>
      <w:tr w:rsidR="00250AC8" w:rsidRPr="00EC250C" w14:paraId="1E9176F3" w14:textId="77777777" w:rsidTr="00A016B4">
        <w:trPr>
          <w:tblCellSpacing w:w="20" w:type="dxa"/>
        </w:trPr>
        <w:tc>
          <w:tcPr>
            <w:tcW w:w="508" w:type="dxa"/>
          </w:tcPr>
          <w:p w14:paraId="751547E9" w14:textId="77777777" w:rsidR="00250AC8" w:rsidRPr="00EC250C" w:rsidRDefault="00250AC8" w:rsidP="006C70B7">
            <w:pPr>
              <w:pStyle w:val="Tabela"/>
              <w:numPr>
                <w:ilvl w:val="0"/>
                <w:numId w:val="79"/>
              </w:numPr>
              <w:ind w:left="0" w:firstLine="0"/>
              <w:contextualSpacing/>
              <w:jc w:val="both"/>
            </w:pPr>
          </w:p>
        </w:tc>
        <w:tc>
          <w:tcPr>
            <w:tcW w:w="7481" w:type="dxa"/>
          </w:tcPr>
          <w:p w14:paraId="4C74AEE1" w14:textId="77777777" w:rsidR="00C91F6E"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Lubartowa</w:t>
            </w:r>
          </w:p>
          <w:p w14:paraId="3365C3AF"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przedstawicielami Stowarzyszenia Pomocy Młodzieży</w:t>
            </w:r>
            <w:r w:rsidR="00992FD0" w:rsidRPr="00EC250C">
              <w:rPr>
                <w:sz w:val="18"/>
                <w:szCs w:val="20"/>
              </w:rPr>
              <w:t xml:space="preserve"> i </w:t>
            </w:r>
            <w:r w:rsidRPr="00EC250C">
              <w:rPr>
                <w:sz w:val="18"/>
                <w:szCs w:val="20"/>
              </w:rPr>
              <w:t>Dzieciom Autystycznym oraz Młodzieży</w:t>
            </w:r>
            <w:r w:rsidR="00992FD0" w:rsidRPr="00EC250C">
              <w:rPr>
                <w:sz w:val="18"/>
                <w:szCs w:val="20"/>
              </w:rPr>
              <w:t xml:space="preserve"> i </w:t>
            </w:r>
            <w:r w:rsidRPr="00EC250C">
              <w:rPr>
                <w:sz w:val="18"/>
                <w:szCs w:val="20"/>
              </w:rPr>
              <w:t>Dzieciom</w:t>
            </w:r>
            <w:r w:rsidR="00992FD0" w:rsidRPr="00EC250C">
              <w:rPr>
                <w:sz w:val="18"/>
                <w:szCs w:val="20"/>
              </w:rPr>
              <w:t xml:space="preserve"> o </w:t>
            </w:r>
            <w:r w:rsidRPr="00EC250C">
              <w:rPr>
                <w:sz w:val="18"/>
                <w:szCs w:val="20"/>
              </w:rPr>
              <w:t>Pokrewnych zaburzeniach „Wspólny świat”</w:t>
            </w:r>
            <w:r w:rsidR="00992FD0" w:rsidRPr="00EC250C">
              <w:rPr>
                <w:sz w:val="18"/>
                <w:szCs w:val="20"/>
              </w:rPr>
              <w:t xml:space="preserve"> w </w:t>
            </w:r>
            <w:r w:rsidRPr="00EC250C">
              <w:rPr>
                <w:sz w:val="18"/>
                <w:szCs w:val="20"/>
              </w:rPr>
              <w:t>Białej Podlaskiej</w:t>
            </w:r>
          </w:p>
          <w:p w14:paraId="6210D129"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Białej Podlaskiej</w:t>
            </w:r>
            <w:r w:rsidRPr="00EC250C">
              <w:rPr>
                <w:sz w:val="18"/>
                <w:szCs w:val="20"/>
              </w:rPr>
              <w:tab/>
            </w:r>
          </w:p>
        </w:tc>
        <w:tc>
          <w:tcPr>
            <w:tcW w:w="1687" w:type="dxa"/>
          </w:tcPr>
          <w:p w14:paraId="3A3501C3" w14:textId="77777777" w:rsidR="00250AC8" w:rsidRPr="00EC250C" w:rsidRDefault="00250AC8" w:rsidP="00902FC6">
            <w:pPr>
              <w:pStyle w:val="Tabela"/>
              <w:rPr>
                <w:sz w:val="18"/>
                <w:szCs w:val="20"/>
              </w:rPr>
            </w:pPr>
            <w:r w:rsidRPr="00EC250C">
              <w:rPr>
                <w:sz w:val="18"/>
                <w:szCs w:val="20"/>
              </w:rPr>
              <w:t>28.02.2018</w:t>
            </w:r>
            <w:r w:rsidR="00C91F6E" w:rsidRPr="00EC250C">
              <w:rPr>
                <w:sz w:val="18"/>
                <w:szCs w:val="20"/>
              </w:rPr>
              <w:t> r.</w:t>
            </w:r>
          </w:p>
        </w:tc>
      </w:tr>
      <w:tr w:rsidR="00250AC8" w:rsidRPr="00EC250C" w14:paraId="2307363A" w14:textId="77777777" w:rsidTr="00A016B4">
        <w:trPr>
          <w:tblCellSpacing w:w="20" w:type="dxa"/>
        </w:trPr>
        <w:tc>
          <w:tcPr>
            <w:tcW w:w="508" w:type="dxa"/>
          </w:tcPr>
          <w:p w14:paraId="4D8D0B56" w14:textId="77777777" w:rsidR="00250AC8" w:rsidRPr="00EC250C" w:rsidRDefault="00250AC8" w:rsidP="006C70B7">
            <w:pPr>
              <w:pStyle w:val="Tabela"/>
              <w:numPr>
                <w:ilvl w:val="0"/>
                <w:numId w:val="79"/>
              </w:numPr>
              <w:ind w:left="0" w:firstLine="0"/>
              <w:contextualSpacing/>
              <w:jc w:val="both"/>
            </w:pPr>
          </w:p>
        </w:tc>
        <w:tc>
          <w:tcPr>
            <w:tcW w:w="7481" w:type="dxa"/>
          </w:tcPr>
          <w:p w14:paraId="36F8D1E3"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pracownikami samorządowymi, nauczycielami, uczniami, bibliotekarzami</w:t>
            </w:r>
            <w:r w:rsidR="00992FD0" w:rsidRPr="00EC250C">
              <w:rPr>
                <w:sz w:val="18"/>
                <w:szCs w:val="20"/>
              </w:rPr>
              <w:t xml:space="preserve"> i </w:t>
            </w:r>
            <w:r w:rsidRPr="00EC250C">
              <w:rPr>
                <w:sz w:val="18"/>
                <w:szCs w:val="20"/>
              </w:rPr>
              <w:t>radnym</w:t>
            </w:r>
            <w:r w:rsidR="00992FD0" w:rsidRPr="00EC250C">
              <w:rPr>
                <w:sz w:val="18"/>
                <w:szCs w:val="20"/>
              </w:rPr>
              <w:t xml:space="preserve"> w </w:t>
            </w:r>
            <w:r w:rsidRPr="00EC250C">
              <w:rPr>
                <w:sz w:val="18"/>
                <w:szCs w:val="20"/>
              </w:rPr>
              <w:t>Hajnówce</w:t>
            </w:r>
          </w:p>
          <w:p w14:paraId="0298BDAC"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przedstawicielami Fundacji Edukacyjnej Jacka Kuronia</w:t>
            </w:r>
          </w:p>
          <w:p w14:paraId="38B1188C"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przedstawicielami „Obozu dla Puszczy”</w:t>
            </w:r>
            <w:r w:rsidR="00992FD0" w:rsidRPr="00EC250C">
              <w:rPr>
                <w:sz w:val="18"/>
                <w:szCs w:val="20"/>
              </w:rPr>
              <w:t xml:space="preserve"> w </w:t>
            </w:r>
            <w:r w:rsidRPr="00EC250C">
              <w:rPr>
                <w:sz w:val="18"/>
                <w:szCs w:val="20"/>
              </w:rPr>
              <w:t>Teremiskach</w:t>
            </w:r>
          </w:p>
        </w:tc>
        <w:tc>
          <w:tcPr>
            <w:tcW w:w="1687" w:type="dxa"/>
          </w:tcPr>
          <w:p w14:paraId="7D077B04" w14:textId="77777777" w:rsidR="00250AC8" w:rsidRPr="00EC250C" w:rsidRDefault="00250AC8" w:rsidP="00902FC6">
            <w:pPr>
              <w:pStyle w:val="Tabela"/>
              <w:rPr>
                <w:sz w:val="18"/>
                <w:szCs w:val="20"/>
              </w:rPr>
            </w:pPr>
            <w:r w:rsidRPr="00EC250C">
              <w:rPr>
                <w:sz w:val="18"/>
                <w:szCs w:val="20"/>
              </w:rPr>
              <w:t>01.03.2018</w:t>
            </w:r>
            <w:r w:rsidR="00C91F6E" w:rsidRPr="00EC250C">
              <w:rPr>
                <w:sz w:val="18"/>
                <w:szCs w:val="20"/>
              </w:rPr>
              <w:t> r.</w:t>
            </w:r>
          </w:p>
        </w:tc>
      </w:tr>
      <w:tr w:rsidR="00250AC8" w:rsidRPr="00EC250C" w14:paraId="230224EC" w14:textId="77777777" w:rsidTr="00A016B4">
        <w:trPr>
          <w:tblCellSpacing w:w="20" w:type="dxa"/>
        </w:trPr>
        <w:tc>
          <w:tcPr>
            <w:tcW w:w="508" w:type="dxa"/>
          </w:tcPr>
          <w:p w14:paraId="66B80697" w14:textId="77777777" w:rsidR="00250AC8" w:rsidRPr="00EC250C" w:rsidRDefault="00250AC8" w:rsidP="006C70B7">
            <w:pPr>
              <w:pStyle w:val="Tabela"/>
              <w:numPr>
                <w:ilvl w:val="0"/>
                <w:numId w:val="79"/>
              </w:numPr>
              <w:ind w:left="0" w:firstLine="0"/>
              <w:contextualSpacing/>
              <w:jc w:val="both"/>
            </w:pPr>
          </w:p>
        </w:tc>
        <w:tc>
          <w:tcPr>
            <w:tcW w:w="7481" w:type="dxa"/>
          </w:tcPr>
          <w:p w14:paraId="3CE1BF8C" w14:textId="77777777" w:rsidR="00C91F6E"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Bielska Podlaskiego</w:t>
            </w:r>
          </w:p>
          <w:p w14:paraId="3B7E3EE4"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Siemiatycz</w:t>
            </w:r>
          </w:p>
        </w:tc>
        <w:tc>
          <w:tcPr>
            <w:tcW w:w="1687" w:type="dxa"/>
          </w:tcPr>
          <w:p w14:paraId="753F9348" w14:textId="77777777" w:rsidR="00250AC8" w:rsidRPr="00EC250C" w:rsidRDefault="00250AC8" w:rsidP="00902FC6">
            <w:pPr>
              <w:pStyle w:val="Tabela"/>
              <w:rPr>
                <w:sz w:val="18"/>
                <w:szCs w:val="20"/>
              </w:rPr>
            </w:pPr>
            <w:r w:rsidRPr="00EC250C">
              <w:rPr>
                <w:sz w:val="18"/>
                <w:szCs w:val="20"/>
              </w:rPr>
              <w:t>02.03.2018</w:t>
            </w:r>
            <w:r w:rsidR="00C91F6E" w:rsidRPr="00EC250C">
              <w:rPr>
                <w:sz w:val="18"/>
                <w:szCs w:val="20"/>
              </w:rPr>
              <w:t> r.</w:t>
            </w:r>
          </w:p>
        </w:tc>
      </w:tr>
      <w:tr w:rsidR="00250AC8" w:rsidRPr="00EC250C" w14:paraId="477B47C2" w14:textId="77777777" w:rsidTr="00A016B4">
        <w:trPr>
          <w:tblCellSpacing w:w="20" w:type="dxa"/>
        </w:trPr>
        <w:tc>
          <w:tcPr>
            <w:tcW w:w="508" w:type="dxa"/>
          </w:tcPr>
          <w:p w14:paraId="244F3DA4" w14:textId="77777777" w:rsidR="00250AC8" w:rsidRPr="00EC250C" w:rsidRDefault="00250AC8" w:rsidP="006C70B7">
            <w:pPr>
              <w:pStyle w:val="Tabela"/>
              <w:numPr>
                <w:ilvl w:val="0"/>
                <w:numId w:val="79"/>
              </w:numPr>
              <w:ind w:left="0" w:firstLine="0"/>
              <w:contextualSpacing/>
              <w:jc w:val="both"/>
            </w:pPr>
          </w:p>
        </w:tc>
        <w:tc>
          <w:tcPr>
            <w:tcW w:w="7481" w:type="dxa"/>
          </w:tcPr>
          <w:p w14:paraId="0EFC7022"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Łódź przez pracownika Biura RPO</w:t>
            </w:r>
            <w:r w:rsidR="00992FD0" w:rsidRPr="00EC250C">
              <w:rPr>
                <w:sz w:val="18"/>
                <w:szCs w:val="20"/>
              </w:rPr>
              <w:t xml:space="preserve"> w </w:t>
            </w:r>
            <w:r w:rsidRPr="00EC250C">
              <w:rPr>
                <w:sz w:val="18"/>
                <w:szCs w:val="20"/>
              </w:rPr>
              <w:t>Warszawie.</w:t>
            </w:r>
          </w:p>
        </w:tc>
        <w:tc>
          <w:tcPr>
            <w:tcW w:w="1687" w:type="dxa"/>
          </w:tcPr>
          <w:p w14:paraId="05667AA2" w14:textId="77777777" w:rsidR="00250AC8" w:rsidRPr="00EC250C" w:rsidRDefault="00250AC8" w:rsidP="00902FC6">
            <w:pPr>
              <w:pStyle w:val="Tabela"/>
              <w:rPr>
                <w:sz w:val="18"/>
                <w:szCs w:val="20"/>
              </w:rPr>
            </w:pPr>
            <w:r w:rsidRPr="00EC250C">
              <w:rPr>
                <w:sz w:val="18"/>
                <w:szCs w:val="20"/>
              </w:rPr>
              <w:t>05.03.2018</w:t>
            </w:r>
            <w:r w:rsidR="00C91F6E" w:rsidRPr="00EC250C">
              <w:rPr>
                <w:sz w:val="18"/>
                <w:szCs w:val="20"/>
              </w:rPr>
              <w:t> r.</w:t>
            </w:r>
          </w:p>
        </w:tc>
      </w:tr>
      <w:tr w:rsidR="00250AC8" w:rsidRPr="00EC250C" w14:paraId="17E019C5" w14:textId="77777777" w:rsidTr="00A016B4">
        <w:trPr>
          <w:tblCellSpacing w:w="20" w:type="dxa"/>
        </w:trPr>
        <w:tc>
          <w:tcPr>
            <w:tcW w:w="508" w:type="dxa"/>
          </w:tcPr>
          <w:p w14:paraId="5F7CAC13" w14:textId="77777777" w:rsidR="00250AC8" w:rsidRPr="00EC250C" w:rsidRDefault="00250AC8" w:rsidP="006C70B7">
            <w:pPr>
              <w:pStyle w:val="Tabela"/>
              <w:numPr>
                <w:ilvl w:val="0"/>
                <w:numId w:val="79"/>
              </w:numPr>
              <w:ind w:left="0" w:firstLine="0"/>
              <w:contextualSpacing/>
              <w:jc w:val="both"/>
            </w:pPr>
          </w:p>
        </w:tc>
        <w:tc>
          <w:tcPr>
            <w:tcW w:w="7481" w:type="dxa"/>
          </w:tcPr>
          <w:p w14:paraId="4CE2437F"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Wałbrzych przez pracowników Biura PT RPO we Wrocławiu.</w:t>
            </w:r>
          </w:p>
        </w:tc>
        <w:tc>
          <w:tcPr>
            <w:tcW w:w="1687" w:type="dxa"/>
          </w:tcPr>
          <w:p w14:paraId="1F443CE0" w14:textId="77777777" w:rsidR="00250AC8" w:rsidRPr="00EC250C" w:rsidRDefault="00250AC8" w:rsidP="00902FC6">
            <w:pPr>
              <w:pStyle w:val="Tabela"/>
              <w:rPr>
                <w:sz w:val="18"/>
                <w:szCs w:val="20"/>
              </w:rPr>
            </w:pPr>
            <w:r w:rsidRPr="00EC250C">
              <w:rPr>
                <w:sz w:val="18"/>
                <w:szCs w:val="20"/>
              </w:rPr>
              <w:t>06.03.2018</w:t>
            </w:r>
            <w:r w:rsidR="00C91F6E" w:rsidRPr="00EC250C">
              <w:rPr>
                <w:sz w:val="18"/>
                <w:szCs w:val="20"/>
              </w:rPr>
              <w:t> r.</w:t>
            </w:r>
          </w:p>
        </w:tc>
      </w:tr>
      <w:tr w:rsidR="00250AC8" w:rsidRPr="00EC250C" w14:paraId="520DE396" w14:textId="77777777" w:rsidTr="00A016B4">
        <w:trPr>
          <w:tblCellSpacing w:w="20" w:type="dxa"/>
        </w:trPr>
        <w:tc>
          <w:tcPr>
            <w:tcW w:w="508" w:type="dxa"/>
          </w:tcPr>
          <w:p w14:paraId="0B495D7B" w14:textId="77777777" w:rsidR="00250AC8" w:rsidRPr="00EC250C" w:rsidRDefault="00250AC8" w:rsidP="006C70B7">
            <w:pPr>
              <w:pStyle w:val="Tabela"/>
              <w:numPr>
                <w:ilvl w:val="0"/>
                <w:numId w:val="79"/>
              </w:numPr>
              <w:ind w:left="0" w:firstLine="0"/>
              <w:contextualSpacing/>
              <w:jc w:val="both"/>
            </w:pPr>
          </w:p>
        </w:tc>
        <w:tc>
          <w:tcPr>
            <w:tcW w:w="7481" w:type="dxa"/>
          </w:tcPr>
          <w:p w14:paraId="1893F308"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Poznań przez pracowników Biura RPO</w:t>
            </w:r>
            <w:r w:rsidR="00992FD0" w:rsidRPr="00EC250C">
              <w:rPr>
                <w:sz w:val="18"/>
                <w:szCs w:val="20"/>
              </w:rPr>
              <w:t xml:space="preserve"> w </w:t>
            </w:r>
            <w:r w:rsidRPr="00EC250C">
              <w:rPr>
                <w:sz w:val="18"/>
                <w:szCs w:val="20"/>
              </w:rPr>
              <w:t>Warszawie.</w:t>
            </w:r>
          </w:p>
        </w:tc>
        <w:tc>
          <w:tcPr>
            <w:tcW w:w="1687" w:type="dxa"/>
          </w:tcPr>
          <w:p w14:paraId="7EDF27FC" w14:textId="77777777" w:rsidR="00250AC8" w:rsidRPr="00EC250C" w:rsidRDefault="00250AC8" w:rsidP="00902FC6">
            <w:pPr>
              <w:pStyle w:val="Tabela"/>
              <w:rPr>
                <w:sz w:val="18"/>
                <w:szCs w:val="20"/>
              </w:rPr>
            </w:pPr>
            <w:r w:rsidRPr="00EC250C">
              <w:rPr>
                <w:sz w:val="18"/>
                <w:szCs w:val="20"/>
              </w:rPr>
              <w:t>14.03.2018</w:t>
            </w:r>
            <w:r w:rsidR="00C91F6E" w:rsidRPr="00EC250C">
              <w:rPr>
                <w:sz w:val="18"/>
                <w:szCs w:val="20"/>
              </w:rPr>
              <w:t> r.</w:t>
            </w:r>
          </w:p>
        </w:tc>
      </w:tr>
      <w:tr w:rsidR="00250AC8" w:rsidRPr="00EC250C" w14:paraId="1BC47F9E" w14:textId="77777777" w:rsidTr="00A016B4">
        <w:trPr>
          <w:tblCellSpacing w:w="20" w:type="dxa"/>
        </w:trPr>
        <w:tc>
          <w:tcPr>
            <w:tcW w:w="508" w:type="dxa"/>
          </w:tcPr>
          <w:p w14:paraId="79E0C0D7" w14:textId="77777777" w:rsidR="00250AC8" w:rsidRPr="00EC250C" w:rsidRDefault="00250AC8" w:rsidP="006C70B7">
            <w:pPr>
              <w:pStyle w:val="Tabela"/>
              <w:numPr>
                <w:ilvl w:val="0"/>
                <w:numId w:val="79"/>
              </w:numPr>
              <w:ind w:left="0" w:firstLine="0"/>
              <w:contextualSpacing/>
              <w:jc w:val="both"/>
            </w:pPr>
          </w:p>
        </w:tc>
        <w:tc>
          <w:tcPr>
            <w:tcW w:w="7481" w:type="dxa"/>
          </w:tcPr>
          <w:p w14:paraId="3E52DFA8"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Kujawsko-Pomorskim Urzędzie Wojewódzkim</w:t>
            </w:r>
            <w:r w:rsidR="00992FD0" w:rsidRPr="00EC250C">
              <w:rPr>
                <w:sz w:val="18"/>
                <w:szCs w:val="20"/>
              </w:rPr>
              <w:t xml:space="preserve"> w </w:t>
            </w:r>
            <w:r w:rsidRPr="00EC250C">
              <w:rPr>
                <w:sz w:val="18"/>
                <w:szCs w:val="20"/>
              </w:rPr>
              <w:t>Bydgoszczy przez pracowników Biura PT RPO</w:t>
            </w:r>
            <w:r w:rsidR="00992FD0" w:rsidRPr="00EC250C">
              <w:rPr>
                <w:sz w:val="18"/>
                <w:szCs w:val="20"/>
              </w:rPr>
              <w:t xml:space="preserve"> w </w:t>
            </w:r>
            <w:r w:rsidRPr="00EC250C">
              <w:rPr>
                <w:sz w:val="18"/>
                <w:szCs w:val="20"/>
              </w:rPr>
              <w:t>Gdańsku.</w:t>
            </w:r>
          </w:p>
        </w:tc>
        <w:tc>
          <w:tcPr>
            <w:tcW w:w="1687" w:type="dxa"/>
          </w:tcPr>
          <w:p w14:paraId="0C5B0B13" w14:textId="77777777" w:rsidR="00250AC8" w:rsidRPr="00EC250C" w:rsidRDefault="00250AC8" w:rsidP="00902FC6">
            <w:pPr>
              <w:pStyle w:val="Tabela"/>
              <w:rPr>
                <w:sz w:val="18"/>
                <w:szCs w:val="20"/>
              </w:rPr>
            </w:pPr>
            <w:r w:rsidRPr="00EC250C">
              <w:rPr>
                <w:sz w:val="18"/>
                <w:szCs w:val="20"/>
              </w:rPr>
              <w:t>16.03.2018</w:t>
            </w:r>
            <w:r w:rsidR="00C91F6E" w:rsidRPr="00EC250C">
              <w:rPr>
                <w:sz w:val="18"/>
                <w:szCs w:val="20"/>
              </w:rPr>
              <w:t> r.</w:t>
            </w:r>
          </w:p>
        </w:tc>
      </w:tr>
      <w:tr w:rsidR="00250AC8" w:rsidRPr="00EC250C" w14:paraId="7C41CEA3" w14:textId="77777777" w:rsidTr="00A016B4">
        <w:trPr>
          <w:tblCellSpacing w:w="20" w:type="dxa"/>
        </w:trPr>
        <w:tc>
          <w:tcPr>
            <w:tcW w:w="508" w:type="dxa"/>
          </w:tcPr>
          <w:p w14:paraId="5C608E36" w14:textId="77777777" w:rsidR="00250AC8" w:rsidRPr="00EC250C" w:rsidRDefault="00250AC8" w:rsidP="006C70B7">
            <w:pPr>
              <w:pStyle w:val="Tabela"/>
              <w:numPr>
                <w:ilvl w:val="0"/>
                <w:numId w:val="79"/>
              </w:numPr>
              <w:ind w:left="0" w:firstLine="0"/>
              <w:contextualSpacing/>
              <w:jc w:val="both"/>
            </w:pPr>
          </w:p>
        </w:tc>
        <w:tc>
          <w:tcPr>
            <w:tcW w:w="7481" w:type="dxa"/>
          </w:tcPr>
          <w:p w14:paraId="7F3CA832"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ramach spotkań regionalnych:</w:t>
            </w:r>
          </w:p>
          <w:p w14:paraId="550D8CA9"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wychowankami Zespołu Placówek Edukacyjno-Wychowawczych</w:t>
            </w:r>
            <w:r w:rsidR="00992FD0" w:rsidRPr="00EC250C">
              <w:rPr>
                <w:sz w:val="18"/>
                <w:szCs w:val="20"/>
              </w:rPr>
              <w:t xml:space="preserve"> i </w:t>
            </w:r>
            <w:r w:rsidRPr="00EC250C">
              <w:rPr>
                <w:sz w:val="18"/>
                <w:szCs w:val="20"/>
              </w:rPr>
              <w:t>Rehabilitacyjnych</w:t>
            </w:r>
            <w:r w:rsidR="00992FD0" w:rsidRPr="00EC250C">
              <w:rPr>
                <w:sz w:val="18"/>
                <w:szCs w:val="20"/>
              </w:rPr>
              <w:t xml:space="preserve"> w </w:t>
            </w:r>
            <w:r w:rsidRPr="00EC250C">
              <w:rPr>
                <w:sz w:val="18"/>
                <w:szCs w:val="20"/>
              </w:rPr>
              <w:t>Stemplewie</w:t>
            </w:r>
          </w:p>
          <w:p w14:paraId="03DA0B09"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Łęczycy</w:t>
            </w:r>
          </w:p>
          <w:p w14:paraId="5EE6115D"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Sieradza</w:t>
            </w:r>
          </w:p>
        </w:tc>
        <w:tc>
          <w:tcPr>
            <w:tcW w:w="1687" w:type="dxa"/>
          </w:tcPr>
          <w:p w14:paraId="3B35065C" w14:textId="77777777" w:rsidR="00250AC8" w:rsidRPr="00EC250C" w:rsidRDefault="00250AC8" w:rsidP="00902FC6">
            <w:pPr>
              <w:pStyle w:val="Tabela"/>
              <w:rPr>
                <w:sz w:val="18"/>
                <w:szCs w:val="20"/>
              </w:rPr>
            </w:pPr>
            <w:r w:rsidRPr="00EC250C">
              <w:rPr>
                <w:sz w:val="18"/>
                <w:szCs w:val="20"/>
              </w:rPr>
              <w:t>20.03.2018</w:t>
            </w:r>
            <w:r w:rsidR="00C91F6E" w:rsidRPr="00EC250C">
              <w:rPr>
                <w:sz w:val="18"/>
                <w:szCs w:val="20"/>
              </w:rPr>
              <w:t> r.</w:t>
            </w:r>
          </w:p>
        </w:tc>
      </w:tr>
      <w:tr w:rsidR="00250AC8" w:rsidRPr="00EC250C" w14:paraId="17D30E83" w14:textId="77777777" w:rsidTr="00A016B4">
        <w:trPr>
          <w:tblCellSpacing w:w="20" w:type="dxa"/>
        </w:trPr>
        <w:tc>
          <w:tcPr>
            <w:tcW w:w="508" w:type="dxa"/>
          </w:tcPr>
          <w:p w14:paraId="03A12D8B" w14:textId="77777777" w:rsidR="00250AC8" w:rsidRPr="00EC250C" w:rsidRDefault="00250AC8" w:rsidP="006C70B7">
            <w:pPr>
              <w:pStyle w:val="Tabela"/>
              <w:numPr>
                <w:ilvl w:val="0"/>
                <w:numId w:val="79"/>
              </w:numPr>
              <w:ind w:left="0" w:firstLine="0"/>
              <w:contextualSpacing/>
              <w:jc w:val="both"/>
            </w:pPr>
          </w:p>
        </w:tc>
        <w:tc>
          <w:tcPr>
            <w:tcW w:w="7481" w:type="dxa"/>
          </w:tcPr>
          <w:p w14:paraId="595CD761"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założycielami Stowarzyszenia „Tacy sami”</w:t>
            </w:r>
            <w:r w:rsidR="00992FD0" w:rsidRPr="00EC250C">
              <w:rPr>
                <w:sz w:val="18"/>
                <w:szCs w:val="20"/>
              </w:rPr>
              <w:t xml:space="preserve"> i </w:t>
            </w:r>
            <w:r w:rsidRPr="00EC250C">
              <w:rPr>
                <w:sz w:val="18"/>
                <w:szCs w:val="20"/>
              </w:rPr>
              <w:t>rodzicami dzieci korzystających</w:t>
            </w:r>
            <w:r w:rsidR="00992FD0" w:rsidRPr="00EC250C">
              <w:rPr>
                <w:sz w:val="18"/>
                <w:szCs w:val="20"/>
              </w:rPr>
              <w:t xml:space="preserve"> z </w:t>
            </w:r>
            <w:r w:rsidRPr="00EC250C">
              <w:rPr>
                <w:sz w:val="18"/>
                <w:szCs w:val="20"/>
              </w:rPr>
              <w:t>jego pomocy</w:t>
            </w:r>
            <w:r w:rsidR="00992FD0" w:rsidRPr="00EC250C">
              <w:rPr>
                <w:sz w:val="18"/>
                <w:szCs w:val="20"/>
              </w:rPr>
              <w:t xml:space="preserve"> w </w:t>
            </w:r>
            <w:r w:rsidRPr="00EC250C">
              <w:rPr>
                <w:sz w:val="18"/>
                <w:szCs w:val="20"/>
              </w:rPr>
              <w:t>Wieluniu</w:t>
            </w:r>
          </w:p>
          <w:p w14:paraId="59BF92AE"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w </w:t>
            </w:r>
            <w:r w:rsidRPr="00EC250C">
              <w:rPr>
                <w:sz w:val="18"/>
                <w:szCs w:val="20"/>
              </w:rPr>
              <w:t>Ośrodku Szkolno-Wychowawczym</w:t>
            </w:r>
            <w:r w:rsidR="00992FD0" w:rsidRPr="00EC250C">
              <w:rPr>
                <w:sz w:val="18"/>
                <w:szCs w:val="20"/>
              </w:rPr>
              <w:t xml:space="preserve"> w </w:t>
            </w:r>
            <w:r w:rsidRPr="00EC250C">
              <w:rPr>
                <w:sz w:val="18"/>
                <w:szCs w:val="20"/>
              </w:rPr>
              <w:t>Gromadzicach</w:t>
            </w:r>
          </w:p>
        </w:tc>
        <w:tc>
          <w:tcPr>
            <w:tcW w:w="1687" w:type="dxa"/>
          </w:tcPr>
          <w:p w14:paraId="256B1360" w14:textId="77777777" w:rsidR="00250AC8" w:rsidRPr="00EC250C" w:rsidRDefault="00250AC8" w:rsidP="00902FC6">
            <w:pPr>
              <w:pStyle w:val="Tabela"/>
              <w:rPr>
                <w:sz w:val="18"/>
                <w:szCs w:val="20"/>
              </w:rPr>
            </w:pPr>
            <w:r w:rsidRPr="00EC250C">
              <w:rPr>
                <w:sz w:val="18"/>
                <w:szCs w:val="20"/>
              </w:rPr>
              <w:t>21.03.2018</w:t>
            </w:r>
            <w:r w:rsidR="00C91F6E" w:rsidRPr="00EC250C">
              <w:rPr>
                <w:sz w:val="18"/>
                <w:szCs w:val="20"/>
              </w:rPr>
              <w:t> r.</w:t>
            </w:r>
          </w:p>
        </w:tc>
      </w:tr>
      <w:tr w:rsidR="00250AC8" w:rsidRPr="00EC250C" w14:paraId="5E98C967" w14:textId="77777777" w:rsidTr="00A016B4">
        <w:trPr>
          <w:tblCellSpacing w:w="20" w:type="dxa"/>
        </w:trPr>
        <w:tc>
          <w:tcPr>
            <w:tcW w:w="508" w:type="dxa"/>
          </w:tcPr>
          <w:p w14:paraId="16E079C1" w14:textId="77777777" w:rsidR="00250AC8" w:rsidRPr="00EC250C" w:rsidRDefault="00250AC8" w:rsidP="006C70B7">
            <w:pPr>
              <w:pStyle w:val="Tabela"/>
              <w:numPr>
                <w:ilvl w:val="0"/>
                <w:numId w:val="79"/>
              </w:numPr>
              <w:ind w:left="0" w:firstLine="0"/>
              <w:contextualSpacing/>
              <w:jc w:val="both"/>
            </w:pPr>
          </w:p>
        </w:tc>
        <w:tc>
          <w:tcPr>
            <w:tcW w:w="7481" w:type="dxa"/>
          </w:tcPr>
          <w:p w14:paraId="3CABA380" w14:textId="77777777" w:rsidR="00C91F6E"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młodzieżą</w:t>
            </w:r>
            <w:r w:rsidR="00992FD0" w:rsidRPr="00EC250C">
              <w:rPr>
                <w:sz w:val="18"/>
                <w:szCs w:val="20"/>
              </w:rPr>
              <w:t xml:space="preserve"> w </w:t>
            </w:r>
            <w:r w:rsidRPr="00EC250C">
              <w:rPr>
                <w:sz w:val="18"/>
                <w:szCs w:val="20"/>
              </w:rPr>
              <w:t>Wieluniu</w:t>
            </w:r>
          </w:p>
          <w:p w14:paraId="1FAC3CCB"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w </w:t>
            </w:r>
            <w:r w:rsidRPr="00EC250C">
              <w:rPr>
                <w:sz w:val="18"/>
                <w:szCs w:val="20"/>
              </w:rPr>
              <w:t>Stowarzyszeniu Integracyjnym „Klub Otwartych Serc”</w:t>
            </w:r>
            <w:r w:rsidR="00992FD0" w:rsidRPr="00EC250C">
              <w:rPr>
                <w:sz w:val="18"/>
                <w:szCs w:val="20"/>
              </w:rPr>
              <w:t xml:space="preserve"> w </w:t>
            </w:r>
            <w:r w:rsidRPr="00EC250C">
              <w:rPr>
                <w:sz w:val="18"/>
                <w:szCs w:val="20"/>
              </w:rPr>
              <w:t>Wieruszowie</w:t>
            </w:r>
          </w:p>
          <w:p w14:paraId="2DA502AD"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Bełchatowa</w:t>
            </w:r>
          </w:p>
        </w:tc>
        <w:tc>
          <w:tcPr>
            <w:tcW w:w="1687" w:type="dxa"/>
          </w:tcPr>
          <w:p w14:paraId="2E6472E7" w14:textId="77777777" w:rsidR="00250AC8" w:rsidRPr="00EC250C" w:rsidRDefault="00250AC8" w:rsidP="00902FC6">
            <w:pPr>
              <w:pStyle w:val="Tabela"/>
              <w:rPr>
                <w:sz w:val="18"/>
                <w:szCs w:val="20"/>
              </w:rPr>
            </w:pPr>
            <w:r w:rsidRPr="00EC250C">
              <w:rPr>
                <w:sz w:val="18"/>
                <w:szCs w:val="20"/>
              </w:rPr>
              <w:t>22.03.2018</w:t>
            </w:r>
            <w:r w:rsidR="00C91F6E" w:rsidRPr="00EC250C">
              <w:rPr>
                <w:sz w:val="18"/>
                <w:szCs w:val="20"/>
              </w:rPr>
              <w:t> r.</w:t>
            </w:r>
          </w:p>
        </w:tc>
      </w:tr>
      <w:tr w:rsidR="00250AC8" w:rsidRPr="00EC250C" w14:paraId="40A0C1FE" w14:textId="77777777" w:rsidTr="00A016B4">
        <w:trPr>
          <w:tblCellSpacing w:w="20" w:type="dxa"/>
        </w:trPr>
        <w:tc>
          <w:tcPr>
            <w:tcW w:w="508" w:type="dxa"/>
          </w:tcPr>
          <w:p w14:paraId="26736B2E" w14:textId="77777777" w:rsidR="00250AC8" w:rsidRPr="00EC250C" w:rsidRDefault="00250AC8" w:rsidP="006C70B7">
            <w:pPr>
              <w:pStyle w:val="Tabela"/>
              <w:numPr>
                <w:ilvl w:val="0"/>
                <w:numId w:val="79"/>
              </w:numPr>
              <w:ind w:left="0" w:firstLine="0"/>
              <w:contextualSpacing/>
              <w:jc w:val="both"/>
            </w:pPr>
          </w:p>
        </w:tc>
        <w:tc>
          <w:tcPr>
            <w:tcW w:w="7481" w:type="dxa"/>
          </w:tcPr>
          <w:p w14:paraId="34E399BB" w14:textId="77777777" w:rsidR="00C91F6E"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Radomska</w:t>
            </w:r>
          </w:p>
          <w:p w14:paraId="1A8D627E"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młodzieżą</w:t>
            </w:r>
            <w:r w:rsidR="00992FD0" w:rsidRPr="00EC250C">
              <w:rPr>
                <w:sz w:val="18"/>
                <w:szCs w:val="20"/>
              </w:rPr>
              <w:t xml:space="preserve"> w </w:t>
            </w:r>
            <w:r w:rsidRPr="00EC250C">
              <w:rPr>
                <w:sz w:val="18"/>
                <w:szCs w:val="20"/>
              </w:rPr>
              <w:t>Radomsku</w:t>
            </w:r>
          </w:p>
          <w:p w14:paraId="3D084128"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Tomaszowa Mazowieckiego</w:t>
            </w:r>
          </w:p>
        </w:tc>
        <w:tc>
          <w:tcPr>
            <w:tcW w:w="1687" w:type="dxa"/>
          </w:tcPr>
          <w:p w14:paraId="00B87D04" w14:textId="77777777" w:rsidR="00250AC8" w:rsidRPr="00EC250C" w:rsidRDefault="00250AC8" w:rsidP="00902FC6">
            <w:pPr>
              <w:pStyle w:val="Tabela"/>
              <w:rPr>
                <w:sz w:val="18"/>
                <w:szCs w:val="20"/>
              </w:rPr>
            </w:pPr>
            <w:r w:rsidRPr="00EC250C">
              <w:rPr>
                <w:sz w:val="18"/>
                <w:szCs w:val="20"/>
              </w:rPr>
              <w:t>23.03.2018</w:t>
            </w:r>
            <w:r w:rsidR="00C91F6E" w:rsidRPr="00EC250C">
              <w:rPr>
                <w:sz w:val="18"/>
                <w:szCs w:val="20"/>
              </w:rPr>
              <w:t> r.</w:t>
            </w:r>
          </w:p>
        </w:tc>
      </w:tr>
      <w:tr w:rsidR="00250AC8" w:rsidRPr="00EC250C" w14:paraId="24BB33A1" w14:textId="77777777" w:rsidTr="00A016B4">
        <w:trPr>
          <w:tblCellSpacing w:w="20" w:type="dxa"/>
        </w:trPr>
        <w:tc>
          <w:tcPr>
            <w:tcW w:w="508" w:type="dxa"/>
          </w:tcPr>
          <w:p w14:paraId="723F084F" w14:textId="77777777" w:rsidR="00250AC8" w:rsidRPr="00EC250C" w:rsidRDefault="00250AC8" w:rsidP="006C70B7">
            <w:pPr>
              <w:pStyle w:val="Tabela"/>
              <w:numPr>
                <w:ilvl w:val="0"/>
                <w:numId w:val="79"/>
              </w:numPr>
              <w:ind w:left="0" w:firstLine="0"/>
              <w:contextualSpacing/>
              <w:jc w:val="both"/>
            </w:pPr>
          </w:p>
        </w:tc>
        <w:tc>
          <w:tcPr>
            <w:tcW w:w="7481" w:type="dxa"/>
          </w:tcPr>
          <w:p w14:paraId="772EBE99"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Szczecin przez pracownika Biura RPO</w:t>
            </w:r>
            <w:r w:rsidR="00992FD0" w:rsidRPr="00EC250C">
              <w:rPr>
                <w:sz w:val="18"/>
                <w:szCs w:val="20"/>
              </w:rPr>
              <w:t xml:space="preserve"> w </w:t>
            </w:r>
            <w:r w:rsidRPr="00EC250C">
              <w:rPr>
                <w:sz w:val="18"/>
                <w:szCs w:val="20"/>
              </w:rPr>
              <w:t>Warszawie.</w:t>
            </w:r>
          </w:p>
        </w:tc>
        <w:tc>
          <w:tcPr>
            <w:tcW w:w="1687" w:type="dxa"/>
          </w:tcPr>
          <w:p w14:paraId="5752F62E" w14:textId="77777777" w:rsidR="00250AC8" w:rsidRPr="00EC250C" w:rsidRDefault="00250AC8" w:rsidP="00902FC6">
            <w:pPr>
              <w:pStyle w:val="Tabela"/>
              <w:rPr>
                <w:sz w:val="18"/>
                <w:szCs w:val="20"/>
              </w:rPr>
            </w:pPr>
            <w:r w:rsidRPr="00EC250C">
              <w:rPr>
                <w:sz w:val="18"/>
                <w:szCs w:val="20"/>
              </w:rPr>
              <w:t>26–27.03.2018</w:t>
            </w:r>
            <w:r w:rsidR="00C91F6E" w:rsidRPr="00EC250C">
              <w:rPr>
                <w:sz w:val="18"/>
                <w:szCs w:val="20"/>
              </w:rPr>
              <w:t> r.</w:t>
            </w:r>
          </w:p>
        </w:tc>
      </w:tr>
      <w:tr w:rsidR="00250AC8" w:rsidRPr="00EC250C" w14:paraId="6F367676" w14:textId="77777777" w:rsidTr="00A016B4">
        <w:trPr>
          <w:tblCellSpacing w:w="20" w:type="dxa"/>
        </w:trPr>
        <w:tc>
          <w:tcPr>
            <w:tcW w:w="508" w:type="dxa"/>
          </w:tcPr>
          <w:p w14:paraId="3CB87710" w14:textId="77777777" w:rsidR="00250AC8" w:rsidRPr="00EC250C" w:rsidRDefault="00250AC8" w:rsidP="006C70B7">
            <w:pPr>
              <w:pStyle w:val="Tabela"/>
              <w:numPr>
                <w:ilvl w:val="0"/>
                <w:numId w:val="79"/>
              </w:numPr>
              <w:ind w:left="0" w:firstLine="0"/>
              <w:contextualSpacing/>
              <w:jc w:val="both"/>
            </w:pPr>
          </w:p>
        </w:tc>
        <w:tc>
          <w:tcPr>
            <w:tcW w:w="7481" w:type="dxa"/>
          </w:tcPr>
          <w:p w14:paraId="0BBC76E9"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Kraków przez pracownika Biura PT RPO</w:t>
            </w:r>
            <w:r w:rsidR="00992FD0" w:rsidRPr="00EC250C">
              <w:rPr>
                <w:sz w:val="18"/>
                <w:szCs w:val="20"/>
              </w:rPr>
              <w:t xml:space="preserve"> w </w:t>
            </w:r>
            <w:r w:rsidRPr="00EC250C">
              <w:rPr>
                <w:sz w:val="18"/>
                <w:szCs w:val="20"/>
              </w:rPr>
              <w:t>Katowicach.</w:t>
            </w:r>
          </w:p>
        </w:tc>
        <w:tc>
          <w:tcPr>
            <w:tcW w:w="1687" w:type="dxa"/>
          </w:tcPr>
          <w:p w14:paraId="582A70CE" w14:textId="77777777" w:rsidR="00250AC8" w:rsidRPr="00EC250C" w:rsidRDefault="00250AC8" w:rsidP="00902FC6">
            <w:pPr>
              <w:pStyle w:val="Tabela"/>
              <w:rPr>
                <w:sz w:val="18"/>
                <w:szCs w:val="20"/>
              </w:rPr>
            </w:pPr>
            <w:r w:rsidRPr="00EC250C">
              <w:rPr>
                <w:sz w:val="18"/>
                <w:szCs w:val="20"/>
              </w:rPr>
              <w:t>29.03.2018</w:t>
            </w:r>
            <w:r w:rsidR="00C91F6E" w:rsidRPr="00EC250C">
              <w:rPr>
                <w:sz w:val="18"/>
                <w:szCs w:val="20"/>
              </w:rPr>
              <w:t> r.</w:t>
            </w:r>
          </w:p>
        </w:tc>
      </w:tr>
      <w:tr w:rsidR="00250AC8" w:rsidRPr="00EC250C" w14:paraId="1424FE9E" w14:textId="77777777" w:rsidTr="00A016B4">
        <w:trPr>
          <w:tblCellSpacing w:w="20" w:type="dxa"/>
        </w:trPr>
        <w:tc>
          <w:tcPr>
            <w:tcW w:w="508" w:type="dxa"/>
          </w:tcPr>
          <w:p w14:paraId="176B6EBA" w14:textId="77777777" w:rsidR="00250AC8" w:rsidRPr="00EC250C" w:rsidRDefault="00250AC8" w:rsidP="006C70B7">
            <w:pPr>
              <w:pStyle w:val="Tabela"/>
              <w:numPr>
                <w:ilvl w:val="0"/>
                <w:numId w:val="79"/>
              </w:numPr>
              <w:ind w:left="0" w:firstLine="0"/>
              <w:contextualSpacing/>
              <w:jc w:val="both"/>
            </w:pPr>
          </w:p>
        </w:tc>
        <w:tc>
          <w:tcPr>
            <w:tcW w:w="7481" w:type="dxa"/>
          </w:tcPr>
          <w:p w14:paraId="0F8391BE"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Częstochowa przez pracownika Biura PT RPO</w:t>
            </w:r>
            <w:r w:rsidR="00992FD0" w:rsidRPr="00EC250C">
              <w:rPr>
                <w:sz w:val="18"/>
                <w:szCs w:val="20"/>
              </w:rPr>
              <w:t xml:space="preserve"> w </w:t>
            </w:r>
            <w:r w:rsidRPr="00EC250C">
              <w:rPr>
                <w:sz w:val="18"/>
                <w:szCs w:val="20"/>
              </w:rPr>
              <w:t>Katowicach.</w:t>
            </w:r>
          </w:p>
        </w:tc>
        <w:tc>
          <w:tcPr>
            <w:tcW w:w="1687" w:type="dxa"/>
          </w:tcPr>
          <w:p w14:paraId="457AD408" w14:textId="77777777" w:rsidR="00250AC8" w:rsidRPr="00EC250C" w:rsidRDefault="00250AC8" w:rsidP="00902FC6">
            <w:pPr>
              <w:pStyle w:val="Tabela"/>
              <w:rPr>
                <w:sz w:val="18"/>
                <w:szCs w:val="20"/>
              </w:rPr>
            </w:pPr>
            <w:r w:rsidRPr="00EC250C">
              <w:rPr>
                <w:sz w:val="18"/>
                <w:szCs w:val="20"/>
              </w:rPr>
              <w:t>29.03.2018</w:t>
            </w:r>
            <w:r w:rsidR="00C91F6E" w:rsidRPr="00EC250C">
              <w:rPr>
                <w:sz w:val="18"/>
                <w:szCs w:val="20"/>
              </w:rPr>
              <w:t> r.</w:t>
            </w:r>
          </w:p>
        </w:tc>
      </w:tr>
      <w:tr w:rsidR="00250AC8" w:rsidRPr="00EC250C" w14:paraId="17A83C7D" w14:textId="77777777" w:rsidTr="00A016B4">
        <w:trPr>
          <w:tblCellSpacing w:w="20" w:type="dxa"/>
        </w:trPr>
        <w:tc>
          <w:tcPr>
            <w:tcW w:w="508" w:type="dxa"/>
          </w:tcPr>
          <w:p w14:paraId="6A48A05A" w14:textId="77777777" w:rsidR="00250AC8" w:rsidRPr="00EC250C" w:rsidRDefault="00250AC8" w:rsidP="006C70B7">
            <w:pPr>
              <w:pStyle w:val="Tabela"/>
              <w:numPr>
                <w:ilvl w:val="0"/>
                <w:numId w:val="79"/>
              </w:numPr>
              <w:ind w:left="0" w:firstLine="0"/>
              <w:contextualSpacing/>
              <w:jc w:val="both"/>
            </w:pPr>
          </w:p>
        </w:tc>
        <w:tc>
          <w:tcPr>
            <w:tcW w:w="7481" w:type="dxa"/>
          </w:tcPr>
          <w:p w14:paraId="7F3C9C4B"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Marszałkowskim Województwa Świętokrzyskiego</w:t>
            </w:r>
            <w:r w:rsidR="00992FD0" w:rsidRPr="00EC250C">
              <w:rPr>
                <w:sz w:val="18"/>
                <w:szCs w:val="20"/>
              </w:rPr>
              <w:t xml:space="preserve"> w </w:t>
            </w:r>
            <w:r w:rsidRPr="00EC250C">
              <w:rPr>
                <w:sz w:val="18"/>
                <w:szCs w:val="20"/>
              </w:rPr>
              <w:t>Kielcach przez pracownika Biura PT RPO</w:t>
            </w:r>
            <w:r w:rsidR="00992FD0" w:rsidRPr="00EC250C">
              <w:rPr>
                <w:sz w:val="18"/>
                <w:szCs w:val="20"/>
              </w:rPr>
              <w:t xml:space="preserve"> w </w:t>
            </w:r>
            <w:r w:rsidRPr="00EC250C">
              <w:rPr>
                <w:sz w:val="18"/>
                <w:szCs w:val="20"/>
              </w:rPr>
              <w:t>Katowicach.</w:t>
            </w:r>
          </w:p>
        </w:tc>
        <w:tc>
          <w:tcPr>
            <w:tcW w:w="1687" w:type="dxa"/>
          </w:tcPr>
          <w:p w14:paraId="5344F643" w14:textId="77777777" w:rsidR="00250AC8" w:rsidRPr="00EC250C" w:rsidRDefault="00250AC8" w:rsidP="00902FC6">
            <w:pPr>
              <w:pStyle w:val="Tabela"/>
              <w:rPr>
                <w:sz w:val="18"/>
                <w:szCs w:val="20"/>
              </w:rPr>
            </w:pPr>
            <w:r w:rsidRPr="00EC250C">
              <w:rPr>
                <w:sz w:val="18"/>
                <w:szCs w:val="20"/>
              </w:rPr>
              <w:t>29.03.2018</w:t>
            </w:r>
            <w:r w:rsidR="00C91F6E" w:rsidRPr="00EC250C">
              <w:rPr>
                <w:sz w:val="18"/>
                <w:szCs w:val="20"/>
              </w:rPr>
              <w:t> r.</w:t>
            </w:r>
          </w:p>
        </w:tc>
      </w:tr>
      <w:tr w:rsidR="00250AC8" w:rsidRPr="00EC250C" w14:paraId="5852E835" w14:textId="77777777" w:rsidTr="00A016B4">
        <w:trPr>
          <w:tblCellSpacing w:w="20" w:type="dxa"/>
        </w:trPr>
        <w:tc>
          <w:tcPr>
            <w:tcW w:w="508" w:type="dxa"/>
          </w:tcPr>
          <w:p w14:paraId="2C253A37" w14:textId="77777777" w:rsidR="00250AC8" w:rsidRPr="00EC250C" w:rsidRDefault="00250AC8" w:rsidP="006C70B7">
            <w:pPr>
              <w:pStyle w:val="Tabela"/>
              <w:numPr>
                <w:ilvl w:val="0"/>
                <w:numId w:val="79"/>
              </w:numPr>
              <w:ind w:left="0" w:firstLine="0"/>
              <w:contextualSpacing/>
              <w:jc w:val="both"/>
            </w:pPr>
          </w:p>
        </w:tc>
        <w:tc>
          <w:tcPr>
            <w:tcW w:w="7481" w:type="dxa"/>
          </w:tcPr>
          <w:p w14:paraId="2B37094D"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Lublin przez pracownika Biura RPO</w:t>
            </w:r>
            <w:r w:rsidR="00992FD0" w:rsidRPr="00EC250C">
              <w:rPr>
                <w:sz w:val="18"/>
                <w:szCs w:val="20"/>
              </w:rPr>
              <w:t xml:space="preserve"> w </w:t>
            </w:r>
            <w:r w:rsidRPr="00EC250C">
              <w:rPr>
                <w:sz w:val="18"/>
                <w:szCs w:val="20"/>
              </w:rPr>
              <w:t>Warszawie.</w:t>
            </w:r>
          </w:p>
        </w:tc>
        <w:tc>
          <w:tcPr>
            <w:tcW w:w="1687" w:type="dxa"/>
          </w:tcPr>
          <w:p w14:paraId="796CA716" w14:textId="77777777" w:rsidR="00250AC8" w:rsidRPr="00EC250C" w:rsidRDefault="00250AC8" w:rsidP="00902FC6">
            <w:pPr>
              <w:pStyle w:val="Tabela"/>
              <w:rPr>
                <w:sz w:val="18"/>
                <w:szCs w:val="20"/>
              </w:rPr>
            </w:pPr>
            <w:r w:rsidRPr="00EC250C">
              <w:rPr>
                <w:sz w:val="18"/>
                <w:szCs w:val="20"/>
              </w:rPr>
              <w:t>30.03.2018</w:t>
            </w:r>
            <w:r w:rsidR="00C91F6E" w:rsidRPr="00EC250C">
              <w:rPr>
                <w:sz w:val="18"/>
                <w:szCs w:val="20"/>
              </w:rPr>
              <w:t> r.</w:t>
            </w:r>
          </w:p>
        </w:tc>
      </w:tr>
      <w:tr w:rsidR="00250AC8" w:rsidRPr="00EC250C" w14:paraId="226F0AAA" w14:textId="77777777" w:rsidTr="00A016B4">
        <w:trPr>
          <w:tblCellSpacing w:w="20" w:type="dxa"/>
        </w:trPr>
        <w:tc>
          <w:tcPr>
            <w:tcW w:w="508" w:type="dxa"/>
          </w:tcPr>
          <w:p w14:paraId="7FA324C6" w14:textId="77777777" w:rsidR="00250AC8" w:rsidRPr="00EC250C" w:rsidRDefault="00250AC8" w:rsidP="006C70B7">
            <w:pPr>
              <w:pStyle w:val="Tabela"/>
              <w:numPr>
                <w:ilvl w:val="0"/>
                <w:numId w:val="79"/>
              </w:numPr>
              <w:ind w:left="0" w:firstLine="0"/>
              <w:contextualSpacing/>
              <w:jc w:val="both"/>
            </w:pPr>
          </w:p>
        </w:tc>
        <w:tc>
          <w:tcPr>
            <w:tcW w:w="7481" w:type="dxa"/>
          </w:tcPr>
          <w:p w14:paraId="30C6B2DF"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Wałbrzych przez pracowników Biura PT RPO we Wrocławiu.</w:t>
            </w:r>
          </w:p>
        </w:tc>
        <w:tc>
          <w:tcPr>
            <w:tcW w:w="1687" w:type="dxa"/>
          </w:tcPr>
          <w:p w14:paraId="51C8E110" w14:textId="77777777" w:rsidR="00250AC8" w:rsidRPr="00EC250C" w:rsidRDefault="00250AC8" w:rsidP="00902FC6">
            <w:pPr>
              <w:pStyle w:val="Tabela"/>
              <w:rPr>
                <w:sz w:val="18"/>
                <w:szCs w:val="20"/>
              </w:rPr>
            </w:pPr>
            <w:r w:rsidRPr="00EC250C">
              <w:rPr>
                <w:sz w:val="18"/>
                <w:szCs w:val="20"/>
              </w:rPr>
              <w:t>09.04.2018</w:t>
            </w:r>
            <w:r w:rsidR="00C91F6E" w:rsidRPr="00EC250C">
              <w:rPr>
                <w:sz w:val="18"/>
                <w:szCs w:val="20"/>
              </w:rPr>
              <w:t> r.</w:t>
            </w:r>
          </w:p>
        </w:tc>
      </w:tr>
      <w:tr w:rsidR="00250AC8" w:rsidRPr="00EC250C" w14:paraId="4C75160A" w14:textId="77777777" w:rsidTr="00A016B4">
        <w:trPr>
          <w:tblCellSpacing w:w="20" w:type="dxa"/>
        </w:trPr>
        <w:tc>
          <w:tcPr>
            <w:tcW w:w="508" w:type="dxa"/>
          </w:tcPr>
          <w:p w14:paraId="18F8EC29" w14:textId="77777777" w:rsidR="00250AC8" w:rsidRPr="00EC250C" w:rsidRDefault="00250AC8" w:rsidP="006C70B7">
            <w:pPr>
              <w:pStyle w:val="Tabela"/>
              <w:numPr>
                <w:ilvl w:val="0"/>
                <w:numId w:val="79"/>
              </w:numPr>
              <w:ind w:left="0" w:firstLine="0"/>
              <w:contextualSpacing/>
              <w:jc w:val="both"/>
            </w:pPr>
          </w:p>
        </w:tc>
        <w:tc>
          <w:tcPr>
            <w:tcW w:w="7481" w:type="dxa"/>
          </w:tcPr>
          <w:p w14:paraId="2088908D"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Łódź przez pracownika Biura RPO</w:t>
            </w:r>
            <w:r w:rsidR="00992FD0" w:rsidRPr="00EC250C">
              <w:rPr>
                <w:sz w:val="18"/>
                <w:szCs w:val="20"/>
              </w:rPr>
              <w:t xml:space="preserve"> w </w:t>
            </w:r>
            <w:r w:rsidRPr="00EC250C">
              <w:rPr>
                <w:sz w:val="18"/>
                <w:szCs w:val="20"/>
              </w:rPr>
              <w:t>Warszawie.</w:t>
            </w:r>
          </w:p>
        </w:tc>
        <w:tc>
          <w:tcPr>
            <w:tcW w:w="1687" w:type="dxa"/>
          </w:tcPr>
          <w:p w14:paraId="321E38C8" w14:textId="77777777" w:rsidR="00250AC8" w:rsidRPr="00EC250C" w:rsidRDefault="00250AC8" w:rsidP="00902FC6">
            <w:pPr>
              <w:pStyle w:val="Tabela"/>
              <w:rPr>
                <w:sz w:val="18"/>
                <w:szCs w:val="20"/>
              </w:rPr>
            </w:pPr>
            <w:r w:rsidRPr="00EC250C">
              <w:rPr>
                <w:sz w:val="18"/>
                <w:szCs w:val="20"/>
              </w:rPr>
              <w:t>09.04.2018</w:t>
            </w:r>
            <w:r w:rsidR="00C91F6E" w:rsidRPr="00EC250C">
              <w:rPr>
                <w:sz w:val="18"/>
                <w:szCs w:val="20"/>
              </w:rPr>
              <w:t> r.</w:t>
            </w:r>
          </w:p>
        </w:tc>
      </w:tr>
      <w:tr w:rsidR="00250AC8" w:rsidRPr="00EC250C" w14:paraId="15EF6DB9" w14:textId="77777777" w:rsidTr="00A016B4">
        <w:trPr>
          <w:tblCellSpacing w:w="20" w:type="dxa"/>
        </w:trPr>
        <w:tc>
          <w:tcPr>
            <w:tcW w:w="508" w:type="dxa"/>
          </w:tcPr>
          <w:p w14:paraId="42DB5F1D" w14:textId="77777777" w:rsidR="00250AC8" w:rsidRPr="00EC250C" w:rsidRDefault="00250AC8" w:rsidP="006C70B7">
            <w:pPr>
              <w:pStyle w:val="Tabela"/>
              <w:numPr>
                <w:ilvl w:val="0"/>
                <w:numId w:val="79"/>
              </w:numPr>
              <w:ind w:left="0" w:firstLine="0"/>
              <w:contextualSpacing/>
              <w:jc w:val="both"/>
            </w:pPr>
          </w:p>
        </w:tc>
        <w:tc>
          <w:tcPr>
            <w:tcW w:w="7481" w:type="dxa"/>
          </w:tcPr>
          <w:p w14:paraId="74DCC16F"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Słupsk przez pracowników Biura PT RPO</w:t>
            </w:r>
            <w:r w:rsidR="00992FD0" w:rsidRPr="00EC250C">
              <w:rPr>
                <w:sz w:val="18"/>
                <w:szCs w:val="20"/>
              </w:rPr>
              <w:t xml:space="preserve"> w </w:t>
            </w:r>
            <w:r w:rsidRPr="00EC250C">
              <w:rPr>
                <w:sz w:val="18"/>
                <w:szCs w:val="20"/>
              </w:rPr>
              <w:t>Gdańsku.</w:t>
            </w:r>
          </w:p>
        </w:tc>
        <w:tc>
          <w:tcPr>
            <w:tcW w:w="1687" w:type="dxa"/>
          </w:tcPr>
          <w:p w14:paraId="53F5C0B9" w14:textId="77777777" w:rsidR="00250AC8" w:rsidRPr="00EC250C" w:rsidRDefault="00250AC8" w:rsidP="00902FC6">
            <w:pPr>
              <w:pStyle w:val="Tabela"/>
              <w:rPr>
                <w:sz w:val="18"/>
                <w:szCs w:val="20"/>
              </w:rPr>
            </w:pPr>
            <w:r w:rsidRPr="00EC250C">
              <w:rPr>
                <w:sz w:val="18"/>
                <w:szCs w:val="20"/>
              </w:rPr>
              <w:t>12.04.2018</w:t>
            </w:r>
            <w:r w:rsidR="00C91F6E" w:rsidRPr="00EC250C">
              <w:rPr>
                <w:sz w:val="18"/>
                <w:szCs w:val="20"/>
              </w:rPr>
              <w:t> r.</w:t>
            </w:r>
          </w:p>
        </w:tc>
      </w:tr>
      <w:tr w:rsidR="00250AC8" w:rsidRPr="00EC250C" w14:paraId="21C31B68" w14:textId="77777777" w:rsidTr="00A016B4">
        <w:trPr>
          <w:tblCellSpacing w:w="20" w:type="dxa"/>
        </w:trPr>
        <w:tc>
          <w:tcPr>
            <w:tcW w:w="508" w:type="dxa"/>
          </w:tcPr>
          <w:p w14:paraId="1D5116FE" w14:textId="77777777" w:rsidR="00250AC8" w:rsidRPr="00EC250C" w:rsidRDefault="00250AC8" w:rsidP="006C70B7">
            <w:pPr>
              <w:pStyle w:val="Tabela"/>
              <w:numPr>
                <w:ilvl w:val="0"/>
                <w:numId w:val="79"/>
              </w:numPr>
              <w:ind w:left="0" w:firstLine="0"/>
              <w:contextualSpacing/>
              <w:jc w:val="both"/>
            </w:pPr>
          </w:p>
        </w:tc>
        <w:tc>
          <w:tcPr>
            <w:tcW w:w="7481" w:type="dxa"/>
          </w:tcPr>
          <w:p w14:paraId="4AEBDE5F"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w:t>
            </w:r>
            <w:r w:rsidRPr="00EC250C">
              <w:rPr>
                <w:sz w:val="18"/>
                <w:szCs w:val="20"/>
              </w:rPr>
              <w:br/>
              <w:t>w ramach spotkań regionalnych:</w:t>
            </w:r>
          </w:p>
          <w:p w14:paraId="55BEC305"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Inowrocławia oraz Nowej Wsi Królewskiej gmina Płużnica</w:t>
            </w:r>
          </w:p>
          <w:p w14:paraId="124C6EDC"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w </w:t>
            </w:r>
            <w:r w:rsidRPr="00EC250C">
              <w:rPr>
                <w:sz w:val="18"/>
                <w:szCs w:val="20"/>
              </w:rPr>
              <w:t>Zakładzie Poprawczym</w:t>
            </w:r>
            <w:r w:rsidR="00992FD0" w:rsidRPr="00EC250C">
              <w:rPr>
                <w:sz w:val="18"/>
                <w:szCs w:val="20"/>
              </w:rPr>
              <w:t xml:space="preserve"> i </w:t>
            </w:r>
            <w:r w:rsidRPr="00EC250C">
              <w:rPr>
                <w:sz w:val="18"/>
                <w:szCs w:val="20"/>
              </w:rPr>
              <w:t xml:space="preserve">Schronisku dla Nieletnich </w:t>
            </w:r>
            <w:r w:rsidRPr="00EC250C">
              <w:rPr>
                <w:sz w:val="18"/>
                <w:szCs w:val="20"/>
              </w:rPr>
              <w:br/>
              <w:t>w Koronowie</w:t>
            </w:r>
          </w:p>
        </w:tc>
        <w:tc>
          <w:tcPr>
            <w:tcW w:w="1687" w:type="dxa"/>
          </w:tcPr>
          <w:p w14:paraId="1945B1CF" w14:textId="77777777" w:rsidR="00250AC8" w:rsidRPr="00EC250C" w:rsidRDefault="00250AC8" w:rsidP="00902FC6">
            <w:pPr>
              <w:pStyle w:val="Tabela"/>
              <w:rPr>
                <w:sz w:val="18"/>
                <w:szCs w:val="20"/>
              </w:rPr>
            </w:pPr>
            <w:r w:rsidRPr="00EC250C">
              <w:rPr>
                <w:sz w:val="18"/>
                <w:szCs w:val="20"/>
              </w:rPr>
              <w:t>16.04.2018</w:t>
            </w:r>
            <w:r w:rsidR="00C91F6E" w:rsidRPr="00EC250C">
              <w:rPr>
                <w:sz w:val="18"/>
                <w:szCs w:val="20"/>
              </w:rPr>
              <w:t> r.</w:t>
            </w:r>
          </w:p>
        </w:tc>
      </w:tr>
      <w:tr w:rsidR="00250AC8" w:rsidRPr="00EC250C" w14:paraId="6E2884F1" w14:textId="77777777" w:rsidTr="00A016B4">
        <w:trPr>
          <w:tblCellSpacing w:w="20" w:type="dxa"/>
        </w:trPr>
        <w:tc>
          <w:tcPr>
            <w:tcW w:w="508" w:type="dxa"/>
          </w:tcPr>
          <w:p w14:paraId="54FF2A04" w14:textId="77777777" w:rsidR="00250AC8" w:rsidRPr="00EC250C" w:rsidRDefault="00250AC8" w:rsidP="006C70B7">
            <w:pPr>
              <w:pStyle w:val="Tabela"/>
              <w:numPr>
                <w:ilvl w:val="0"/>
                <w:numId w:val="79"/>
              </w:numPr>
              <w:ind w:left="0" w:firstLine="0"/>
              <w:contextualSpacing/>
              <w:jc w:val="both"/>
            </w:pPr>
          </w:p>
        </w:tc>
        <w:tc>
          <w:tcPr>
            <w:tcW w:w="7481" w:type="dxa"/>
          </w:tcPr>
          <w:p w14:paraId="5BFBAEFF"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Nakła nad Notecią</w:t>
            </w:r>
            <w:r w:rsidR="00992FD0" w:rsidRPr="00EC250C">
              <w:rPr>
                <w:sz w:val="18"/>
                <w:szCs w:val="20"/>
              </w:rPr>
              <w:t xml:space="preserve"> i </w:t>
            </w:r>
            <w:r w:rsidRPr="00EC250C">
              <w:rPr>
                <w:sz w:val="18"/>
                <w:szCs w:val="20"/>
              </w:rPr>
              <w:t>Tucholi</w:t>
            </w:r>
          </w:p>
        </w:tc>
        <w:tc>
          <w:tcPr>
            <w:tcW w:w="1687" w:type="dxa"/>
          </w:tcPr>
          <w:p w14:paraId="61755AC8" w14:textId="77777777" w:rsidR="00250AC8" w:rsidRPr="00EC250C" w:rsidRDefault="00250AC8" w:rsidP="00902FC6">
            <w:pPr>
              <w:pStyle w:val="Tabela"/>
              <w:rPr>
                <w:sz w:val="18"/>
                <w:szCs w:val="20"/>
              </w:rPr>
            </w:pPr>
            <w:r w:rsidRPr="00EC250C">
              <w:rPr>
                <w:sz w:val="18"/>
                <w:szCs w:val="20"/>
              </w:rPr>
              <w:t>17.04.2018</w:t>
            </w:r>
            <w:r w:rsidR="00C91F6E" w:rsidRPr="00EC250C">
              <w:rPr>
                <w:sz w:val="18"/>
                <w:szCs w:val="20"/>
              </w:rPr>
              <w:t> r.</w:t>
            </w:r>
          </w:p>
        </w:tc>
      </w:tr>
      <w:tr w:rsidR="00250AC8" w:rsidRPr="00EC250C" w14:paraId="19E37405" w14:textId="77777777" w:rsidTr="00A016B4">
        <w:trPr>
          <w:tblCellSpacing w:w="20" w:type="dxa"/>
        </w:trPr>
        <w:tc>
          <w:tcPr>
            <w:tcW w:w="508" w:type="dxa"/>
          </w:tcPr>
          <w:p w14:paraId="23810D09" w14:textId="77777777" w:rsidR="00250AC8" w:rsidRPr="00EC250C" w:rsidRDefault="00250AC8" w:rsidP="006C70B7">
            <w:pPr>
              <w:pStyle w:val="Tabela"/>
              <w:numPr>
                <w:ilvl w:val="0"/>
                <w:numId w:val="79"/>
              </w:numPr>
              <w:ind w:left="0" w:firstLine="0"/>
              <w:contextualSpacing/>
              <w:jc w:val="both"/>
            </w:pPr>
          </w:p>
        </w:tc>
        <w:tc>
          <w:tcPr>
            <w:tcW w:w="7481" w:type="dxa"/>
          </w:tcPr>
          <w:p w14:paraId="28DDD2EF" w14:textId="77777777" w:rsidR="00C91F6E"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Chojnic, Człuchowa</w:t>
            </w:r>
            <w:r w:rsidR="00992FD0" w:rsidRPr="00EC250C">
              <w:rPr>
                <w:sz w:val="18"/>
                <w:szCs w:val="20"/>
              </w:rPr>
              <w:t xml:space="preserve"> i </w:t>
            </w:r>
            <w:r w:rsidRPr="00EC250C">
              <w:rPr>
                <w:sz w:val="18"/>
                <w:szCs w:val="20"/>
              </w:rPr>
              <w:t>Wałcza</w:t>
            </w:r>
          </w:p>
          <w:p w14:paraId="60F1EB4C"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w </w:t>
            </w:r>
            <w:r w:rsidRPr="00EC250C">
              <w:rPr>
                <w:sz w:val="18"/>
                <w:szCs w:val="20"/>
              </w:rPr>
              <w:t xml:space="preserve">Środowiskowym Domu Pomocy Społecznej </w:t>
            </w:r>
          </w:p>
        </w:tc>
        <w:tc>
          <w:tcPr>
            <w:tcW w:w="1687" w:type="dxa"/>
          </w:tcPr>
          <w:p w14:paraId="3BDC9F99" w14:textId="77777777" w:rsidR="00250AC8" w:rsidRPr="00EC250C" w:rsidRDefault="00250AC8" w:rsidP="00902FC6">
            <w:pPr>
              <w:pStyle w:val="Tabela"/>
              <w:rPr>
                <w:sz w:val="18"/>
                <w:szCs w:val="20"/>
              </w:rPr>
            </w:pPr>
            <w:r w:rsidRPr="00EC250C">
              <w:rPr>
                <w:sz w:val="18"/>
                <w:szCs w:val="20"/>
              </w:rPr>
              <w:t>18.04.2018</w:t>
            </w:r>
            <w:r w:rsidR="00C91F6E" w:rsidRPr="00EC250C">
              <w:rPr>
                <w:sz w:val="18"/>
                <w:szCs w:val="20"/>
              </w:rPr>
              <w:t> r.</w:t>
            </w:r>
          </w:p>
        </w:tc>
      </w:tr>
      <w:tr w:rsidR="00250AC8" w:rsidRPr="00EC250C" w14:paraId="356E398A" w14:textId="77777777" w:rsidTr="00A016B4">
        <w:trPr>
          <w:tblCellSpacing w:w="20" w:type="dxa"/>
        </w:trPr>
        <w:tc>
          <w:tcPr>
            <w:tcW w:w="508" w:type="dxa"/>
          </w:tcPr>
          <w:p w14:paraId="45E6A993" w14:textId="77777777" w:rsidR="00250AC8" w:rsidRPr="00EC250C" w:rsidRDefault="00250AC8" w:rsidP="006C70B7">
            <w:pPr>
              <w:pStyle w:val="Tabela"/>
              <w:numPr>
                <w:ilvl w:val="0"/>
                <w:numId w:val="79"/>
              </w:numPr>
              <w:ind w:left="0" w:firstLine="0"/>
              <w:contextualSpacing/>
              <w:jc w:val="both"/>
            </w:pPr>
          </w:p>
        </w:tc>
        <w:tc>
          <w:tcPr>
            <w:tcW w:w="7481" w:type="dxa"/>
          </w:tcPr>
          <w:p w14:paraId="3D044A5D"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 xml:space="preserve">wolontariuszami projektu Starszy Brat, Starsza Siostra </w:t>
            </w:r>
            <w:r w:rsidRPr="00EC250C">
              <w:rPr>
                <w:sz w:val="18"/>
                <w:szCs w:val="20"/>
              </w:rPr>
              <w:br/>
              <w:t xml:space="preserve">w Szczecinku </w:t>
            </w:r>
          </w:p>
        </w:tc>
        <w:tc>
          <w:tcPr>
            <w:tcW w:w="1687" w:type="dxa"/>
          </w:tcPr>
          <w:p w14:paraId="68A5A315" w14:textId="77777777" w:rsidR="00250AC8" w:rsidRPr="00EC250C" w:rsidRDefault="00250AC8" w:rsidP="00902FC6">
            <w:pPr>
              <w:pStyle w:val="Tabela"/>
              <w:rPr>
                <w:sz w:val="18"/>
                <w:szCs w:val="20"/>
              </w:rPr>
            </w:pPr>
            <w:r w:rsidRPr="00EC250C">
              <w:rPr>
                <w:sz w:val="18"/>
                <w:szCs w:val="20"/>
              </w:rPr>
              <w:t>19.04.2018</w:t>
            </w:r>
            <w:r w:rsidR="00C91F6E" w:rsidRPr="00EC250C">
              <w:rPr>
                <w:sz w:val="18"/>
                <w:szCs w:val="20"/>
              </w:rPr>
              <w:t> r.</w:t>
            </w:r>
          </w:p>
        </w:tc>
      </w:tr>
      <w:tr w:rsidR="00250AC8" w:rsidRPr="00EC250C" w14:paraId="71FB8CCB" w14:textId="77777777" w:rsidTr="00A016B4">
        <w:trPr>
          <w:tblCellSpacing w:w="20" w:type="dxa"/>
        </w:trPr>
        <w:tc>
          <w:tcPr>
            <w:tcW w:w="508" w:type="dxa"/>
          </w:tcPr>
          <w:p w14:paraId="60A245F6" w14:textId="77777777" w:rsidR="00250AC8" w:rsidRPr="00EC250C" w:rsidRDefault="00250AC8" w:rsidP="006C70B7">
            <w:pPr>
              <w:pStyle w:val="Tabela"/>
              <w:numPr>
                <w:ilvl w:val="0"/>
                <w:numId w:val="79"/>
              </w:numPr>
              <w:ind w:left="0" w:firstLine="0"/>
              <w:contextualSpacing/>
              <w:jc w:val="both"/>
            </w:pPr>
          </w:p>
        </w:tc>
        <w:tc>
          <w:tcPr>
            <w:tcW w:w="7481" w:type="dxa"/>
          </w:tcPr>
          <w:p w14:paraId="4C62DE9C"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Kujawsko-Pomorskim Urzędzie Wojewódzkim</w:t>
            </w:r>
            <w:r w:rsidR="00992FD0" w:rsidRPr="00EC250C">
              <w:rPr>
                <w:sz w:val="18"/>
                <w:szCs w:val="20"/>
              </w:rPr>
              <w:t xml:space="preserve"> w </w:t>
            </w:r>
            <w:r w:rsidRPr="00EC250C">
              <w:rPr>
                <w:sz w:val="18"/>
                <w:szCs w:val="20"/>
              </w:rPr>
              <w:t>Bydgoszczy przez pracowników Biura PT RPO</w:t>
            </w:r>
            <w:r w:rsidR="00992FD0" w:rsidRPr="00EC250C">
              <w:rPr>
                <w:sz w:val="18"/>
                <w:szCs w:val="20"/>
              </w:rPr>
              <w:t xml:space="preserve"> w </w:t>
            </w:r>
            <w:r w:rsidRPr="00EC250C">
              <w:rPr>
                <w:sz w:val="18"/>
                <w:szCs w:val="20"/>
              </w:rPr>
              <w:t>Gdańsku.</w:t>
            </w:r>
          </w:p>
        </w:tc>
        <w:tc>
          <w:tcPr>
            <w:tcW w:w="1687" w:type="dxa"/>
          </w:tcPr>
          <w:p w14:paraId="0802E443" w14:textId="77777777" w:rsidR="00250AC8" w:rsidRPr="00EC250C" w:rsidRDefault="00250AC8" w:rsidP="00902FC6">
            <w:pPr>
              <w:pStyle w:val="Tabela"/>
              <w:rPr>
                <w:sz w:val="18"/>
                <w:szCs w:val="20"/>
              </w:rPr>
            </w:pPr>
            <w:r w:rsidRPr="00EC250C">
              <w:rPr>
                <w:sz w:val="18"/>
                <w:szCs w:val="20"/>
              </w:rPr>
              <w:t>20.04.2018</w:t>
            </w:r>
            <w:r w:rsidR="00C91F6E" w:rsidRPr="00EC250C">
              <w:rPr>
                <w:sz w:val="18"/>
                <w:szCs w:val="20"/>
              </w:rPr>
              <w:t> r.</w:t>
            </w:r>
          </w:p>
        </w:tc>
      </w:tr>
      <w:tr w:rsidR="00250AC8" w:rsidRPr="00EC250C" w14:paraId="532F7D7E" w14:textId="77777777" w:rsidTr="00A016B4">
        <w:trPr>
          <w:tblCellSpacing w:w="20" w:type="dxa"/>
        </w:trPr>
        <w:tc>
          <w:tcPr>
            <w:tcW w:w="508" w:type="dxa"/>
          </w:tcPr>
          <w:p w14:paraId="5A553943" w14:textId="77777777" w:rsidR="00250AC8" w:rsidRPr="00EC250C" w:rsidRDefault="00250AC8" w:rsidP="006C70B7">
            <w:pPr>
              <w:pStyle w:val="Tabela"/>
              <w:numPr>
                <w:ilvl w:val="0"/>
                <w:numId w:val="79"/>
              </w:numPr>
              <w:ind w:left="0" w:firstLine="0"/>
              <w:contextualSpacing/>
              <w:jc w:val="both"/>
            </w:pPr>
          </w:p>
        </w:tc>
        <w:tc>
          <w:tcPr>
            <w:tcW w:w="7481" w:type="dxa"/>
          </w:tcPr>
          <w:p w14:paraId="1282A060"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Szczecin przez pracownika Biura RPO</w:t>
            </w:r>
            <w:r w:rsidR="00992FD0" w:rsidRPr="00EC250C">
              <w:rPr>
                <w:sz w:val="18"/>
                <w:szCs w:val="20"/>
              </w:rPr>
              <w:t xml:space="preserve"> w </w:t>
            </w:r>
            <w:r w:rsidRPr="00EC250C">
              <w:rPr>
                <w:sz w:val="18"/>
                <w:szCs w:val="20"/>
              </w:rPr>
              <w:t>Warszawie.</w:t>
            </w:r>
          </w:p>
        </w:tc>
        <w:tc>
          <w:tcPr>
            <w:tcW w:w="1687" w:type="dxa"/>
          </w:tcPr>
          <w:p w14:paraId="384F3EF8" w14:textId="77777777" w:rsidR="00250AC8" w:rsidRPr="00EC250C" w:rsidRDefault="00250AC8" w:rsidP="00902FC6">
            <w:pPr>
              <w:pStyle w:val="Tabela"/>
              <w:rPr>
                <w:sz w:val="18"/>
                <w:szCs w:val="20"/>
              </w:rPr>
            </w:pPr>
            <w:r w:rsidRPr="00EC250C">
              <w:rPr>
                <w:sz w:val="18"/>
                <w:szCs w:val="20"/>
              </w:rPr>
              <w:t>24.04.2018</w:t>
            </w:r>
            <w:r w:rsidR="00C91F6E" w:rsidRPr="00EC250C">
              <w:rPr>
                <w:sz w:val="18"/>
                <w:szCs w:val="20"/>
              </w:rPr>
              <w:t> r.</w:t>
            </w:r>
          </w:p>
        </w:tc>
      </w:tr>
      <w:tr w:rsidR="00250AC8" w:rsidRPr="00EC250C" w14:paraId="7BB76C90" w14:textId="77777777" w:rsidTr="00A016B4">
        <w:trPr>
          <w:tblCellSpacing w:w="20" w:type="dxa"/>
        </w:trPr>
        <w:tc>
          <w:tcPr>
            <w:tcW w:w="508" w:type="dxa"/>
          </w:tcPr>
          <w:p w14:paraId="5FEE3CF6" w14:textId="77777777" w:rsidR="00250AC8" w:rsidRPr="00EC250C" w:rsidRDefault="00250AC8" w:rsidP="006C70B7">
            <w:pPr>
              <w:pStyle w:val="Tabela"/>
              <w:numPr>
                <w:ilvl w:val="0"/>
                <w:numId w:val="79"/>
              </w:numPr>
              <w:ind w:left="0" w:firstLine="0"/>
              <w:contextualSpacing/>
              <w:jc w:val="both"/>
            </w:pPr>
          </w:p>
        </w:tc>
        <w:tc>
          <w:tcPr>
            <w:tcW w:w="7481" w:type="dxa"/>
          </w:tcPr>
          <w:p w14:paraId="51A5A2AD"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Marszałkowskim Województwa Świętokrzyskiego</w:t>
            </w:r>
            <w:r w:rsidR="00992FD0" w:rsidRPr="00EC250C">
              <w:rPr>
                <w:sz w:val="18"/>
                <w:szCs w:val="20"/>
              </w:rPr>
              <w:t xml:space="preserve"> w </w:t>
            </w:r>
            <w:r w:rsidRPr="00EC250C">
              <w:rPr>
                <w:sz w:val="18"/>
                <w:szCs w:val="20"/>
              </w:rPr>
              <w:t>Kielcach przez pracownika Biura RPO</w:t>
            </w:r>
            <w:r w:rsidR="00992FD0" w:rsidRPr="00EC250C">
              <w:rPr>
                <w:sz w:val="18"/>
                <w:szCs w:val="20"/>
              </w:rPr>
              <w:t xml:space="preserve"> w </w:t>
            </w:r>
            <w:r w:rsidRPr="00EC250C">
              <w:rPr>
                <w:sz w:val="18"/>
                <w:szCs w:val="20"/>
              </w:rPr>
              <w:t>Warszawie.</w:t>
            </w:r>
          </w:p>
        </w:tc>
        <w:tc>
          <w:tcPr>
            <w:tcW w:w="1687" w:type="dxa"/>
          </w:tcPr>
          <w:p w14:paraId="5A5EA39C" w14:textId="77777777" w:rsidR="00250AC8" w:rsidRPr="00EC250C" w:rsidRDefault="00250AC8" w:rsidP="00902FC6">
            <w:pPr>
              <w:pStyle w:val="Tabela"/>
              <w:rPr>
                <w:sz w:val="18"/>
                <w:szCs w:val="20"/>
              </w:rPr>
            </w:pPr>
            <w:r w:rsidRPr="00EC250C">
              <w:rPr>
                <w:sz w:val="18"/>
                <w:szCs w:val="20"/>
              </w:rPr>
              <w:t>26.04.2018</w:t>
            </w:r>
            <w:r w:rsidR="00C91F6E" w:rsidRPr="00EC250C">
              <w:rPr>
                <w:sz w:val="18"/>
                <w:szCs w:val="20"/>
              </w:rPr>
              <w:t> r.</w:t>
            </w:r>
          </w:p>
        </w:tc>
      </w:tr>
      <w:tr w:rsidR="00250AC8" w:rsidRPr="00EC250C" w14:paraId="742C294A" w14:textId="77777777" w:rsidTr="00A016B4">
        <w:trPr>
          <w:tblCellSpacing w:w="20" w:type="dxa"/>
        </w:trPr>
        <w:tc>
          <w:tcPr>
            <w:tcW w:w="508" w:type="dxa"/>
          </w:tcPr>
          <w:p w14:paraId="46CCC8CC" w14:textId="77777777" w:rsidR="00250AC8" w:rsidRPr="00EC250C" w:rsidRDefault="00250AC8" w:rsidP="006C70B7">
            <w:pPr>
              <w:pStyle w:val="Tabela"/>
              <w:numPr>
                <w:ilvl w:val="0"/>
                <w:numId w:val="79"/>
              </w:numPr>
              <w:ind w:left="0" w:firstLine="0"/>
              <w:contextualSpacing/>
              <w:jc w:val="both"/>
            </w:pPr>
          </w:p>
        </w:tc>
        <w:tc>
          <w:tcPr>
            <w:tcW w:w="7481" w:type="dxa"/>
          </w:tcPr>
          <w:p w14:paraId="394016F2"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Częstochowa przez pracowników Biura PT RPO</w:t>
            </w:r>
            <w:r w:rsidR="00992FD0" w:rsidRPr="00EC250C">
              <w:rPr>
                <w:sz w:val="18"/>
                <w:szCs w:val="20"/>
              </w:rPr>
              <w:t xml:space="preserve"> w </w:t>
            </w:r>
            <w:r w:rsidRPr="00EC250C">
              <w:rPr>
                <w:sz w:val="18"/>
                <w:szCs w:val="20"/>
              </w:rPr>
              <w:t>Katowicach.</w:t>
            </w:r>
          </w:p>
        </w:tc>
        <w:tc>
          <w:tcPr>
            <w:tcW w:w="1687" w:type="dxa"/>
          </w:tcPr>
          <w:p w14:paraId="6ABD1DC6" w14:textId="77777777" w:rsidR="00250AC8" w:rsidRPr="00EC250C" w:rsidRDefault="00250AC8" w:rsidP="00902FC6">
            <w:pPr>
              <w:pStyle w:val="Tabela"/>
              <w:rPr>
                <w:sz w:val="18"/>
                <w:szCs w:val="20"/>
              </w:rPr>
            </w:pPr>
            <w:r w:rsidRPr="00EC250C">
              <w:rPr>
                <w:sz w:val="18"/>
                <w:szCs w:val="20"/>
              </w:rPr>
              <w:t>26.04.2018</w:t>
            </w:r>
            <w:r w:rsidR="00C91F6E" w:rsidRPr="00EC250C">
              <w:rPr>
                <w:sz w:val="18"/>
                <w:szCs w:val="20"/>
              </w:rPr>
              <w:t> r.</w:t>
            </w:r>
          </w:p>
        </w:tc>
      </w:tr>
      <w:tr w:rsidR="00250AC8" w:rsidRPr="00EC250C" w14:paraId="0FC7714F" w14:textId="77777777" w:rsidTr="00A016B4">
        <w:trPr>
          <w:tblCellSpacing w:w="20" w:type="dxa"/>
        </w:trPr>
        <w:tc>
          <w:tcPr>
            <w:tcW w:w="508" w:type="dxa"/>
          </w:tcPr>
          <w:p w14:paraId="5D38FF75" w14:textId="77777777" w:rsidR="00250AC8" w:rsidRPr="00EC250C" w:rsidRDefault="00250AC8" w:rsidP="006C70B7">
            <w:pPr>
              <w:pStyle w:val="Tabela"/>
              <w:numPr>
                <w:ilvl w:val="0"/>
                <w:numId w:val="79"/>
              </w:numPr>
              <w:ind w:left="0" w:firstLine="0"/>
              <w:contextualSpacing/>
              <w:jc w:val="both"/>
            </w:pPr>
          </w:p>
        </w:tc>
        <w:tc>
          <w:tcPr>
            <w:tcW w:w="7481" w:type="dxa"/>
          </w:tcPr>
          <w:p w14:paraId="6EAD03D8"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Lublin przez pracownika Biura RPO</w:t>
            </w:r>
            <w:r w:rsidR="00992FD0" w:rsidRPr="00EC250C">
              <w:rPr>
                <w:sz w:val="18"/>
                <w:szCs w:val="20"/>
              </w:rPr>
              <w:t xml:space="preserve"> w </w:t>
            </w:r>
            <w:r w:rsidRPr="00EC250C">
              <w:rPr>
                <w:sz w:val="18"/>
                <w:szCs w:val="20"/>
              </w:rPr>
              <w:t>Warszawie.</w:t>
            </w:r>
          </w:p>
        </w:tc>
        <w:tc>
          <w:tcPr>
            <w:tcW w:w="1687" w:type="dxa"/>
          </w:tcPr>
          <w:p w14:paraId="7E795539" w14:textId="77777777" w:rsidR="00250AC8" w:rsidRPr="00EC250C" w:rsidRDefault="00250AC8" w:rsidP="00902FC6">
            <w:pPr>
              <w:pStyle w:val="Tabela"/>
              <w:rPr>
                <w:sz w:val="18"/>
                <w:szCs w:val="20"/>
              </w:rPr>
            </w:pPr>
            <w:r w:rsidRPr="00EC250C">
              <w:rPr>
                <w:sz w:val="18"/>
                <w:szCs w:val="20"/>
              </w:rPr>
              <w:t>27.04.2018</w:t>
            </w:r>
            <w:r w:rsidR="00C91F6E" w:rsidRPr="00EC250C">
              <w:rPr>
                <w:sz w:val="18"/>
                <w:szCs w:val="20"/>
              </w:rPr>
              <w:t> r.</w:t>
            </w:r>
          </w:p>
        </w:tc>
      </w:tr>
      <w:tr w:rsidR="00250AC8" w:rsidRPr="00EC250C" w14:paraId="68BCC96E" w14:textId="77777777" w:rsidTr="00A016B4">
        <w:trPr>
          <w:tblCellSpacing w:w="20" w:type="dxa"/>
        </w:trPr>
        <w:tc>
          <w:tcPr>
            <w:tcW w:w="508" w:type="dxa"/>
          </w:tcPr>
          <w:p w14:paraId="71529214" w14:textId="77777777" w:rsidR="00250AC8" w:rsidRPr="00EC250C" w:rsidRDefault="00250AC8" w:rsidP="006C70B7">
            <w:pPr>
              <w:pStyle w:val="Tabela"/>
              <w:numPr>
                <w:ilvl w:val="0"/>
                <w:numId w:val="79"/>
              </w:numPr>
              <w:ind w:left="0" w:firstLine="0"/>
              <w:contextualSpacing/>
              <w:jc w:val="both"/>
            </w:pPr>
          </w:p>
        </w:tc>
        <w:tc>
          <w:tcPr>
            <w:tcW w:w="7481" w:type="dxa"/>
          </w:tcPr>
          <w:p w14:paraId="07BAF3D1"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Łódź przez pracownika Biura RPO</w:t>
            </w:r>
            <w:r w:rsidR="00992FD0" w:rsidRPr="00EC250C">
              <w:rPr>
                <w:sz w:val="18"/>
                <w:szCs w:val="20"/>
              </w:rPr>
              <w:t xml:space="preserve"> w </w:t>
            </w:r>
            <w:r w:rsidRPr="00EC250C">
              <w:rPr>
                <w:sz w:val="18"/>
                <w:szCs w:val="20"/>
              </w:rPr>
              <w:t>Warszawie.</w:t>
            </w:r>
          </w:p>
        </w:tc>
        <w:tc>
          <w:tcPr>
            <w:tcW w:w="1687" w:type="dxa"/>
          </w:tcPr>
          <w:p w14:paraId="2A2857CB" w14:textId="77777777" w:rsidR="00250AC8" w:rsidRPr="00EC250C" w:rsidRDefault="00250AC8" w:rsidP="00902FC6">
            <w:pPr>
              <w:pStyle w:val="Tabela"/>
              <w:rPr>
                <w:sz w:val="18"/>
                <w:szCs w:val="20"/>
              </w:rPr>
            </w:pPr>
            <w:r w:rsidRPr="00EC250C">
              <w:rPr>
                <w:sz w:val="18"/>
                <w:szCs w:val="20"/>
              </w:rPr>
              <w:t>07.05.2018</w:t>
            </w:r>
            <w:r w:rsidR="00C91F6E" w:rsidRPr="00EC250C">
              <w:rPr>
                <w:sz w:val="18"/>
                <w:szCs w:val="20"/>
              </w:rPr>
              <w:t> r.</w:t>
            </w:r>
          </w:p>
        </w:tc>
      </w:tr>
      <w:tr w:rsidR="00250AC8" w:rsidRPr="00EC250C" w14:paraId="0E800E24" w14:textId="77777777" w:rsidTr="00A016B4">
        <w:trPr>
          <w:tblCellSpacing w:w="20" w:type="dxa"/>
        </w:trPr>
        <w:tc>
          <w:tcPr>
            <w:tcW w:w="508" w:type="dxa"/>
          </w:tcPr>
          <w:p w14:paraId="2D887421" w14:textId="77777777" w:rsidR="00250AC8" w:rsidRPr="00EC250C" w:rsidRDefault="00250AC8" w:rsidP="006C70B7">
            <w:pPr>
              <w:pStyle w:val="Tabela"/>
              <w:numPr>
                <w:ilvl w:val="0"/>
                <w:numId w:val="79"/>
              </w:numPr>
              <w:ind w:left="0" w:firstLine="0"/>
              <w:contextualSpacing/>
              <w:jc w:val="both"/>
            </w:pPr>
          </w:p>
        </w:tc>
        <w:tc>
          <w:tcPr>
            <w:tcW w:w="7481" w:type="dxa"/>
          </w:tcPr>
          <w:p w14:paraId="66DBD06E"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Poznań przez pracownika Biura RPO</w:t>
            </w:r>
            <w:r w:rsidR="00992FD0" w:rsidRPr="00EC250C">
              <w:rPr>
                <w:sz w:val="18"/>
                <w:szCs w:val="20"/>
              </w:rPr>
              <w:t xml:space="preserve"> w </w:t>
            </w:r>
            <w:r w:rsidRPr="00EC250C">
              <w:rPr>
                <w:sz w:val="18"/>
                <w:szCs w:val="20"/>
              </w:rPr>
              <w:t>Warszawie.</w:t>
            </w:r>
          </w:p>
        </w:tc>
        <w:tc>
          <w:tcPr>
            <w:tcW w:w="1687" w:type="dxa"/>
          </w:tcPr>
          <w:p w14:paraId="19D7FFE1" w14:textId="77777777" w:rsidR="00250AC8" w:rsidRPr="00EC250C" w:rsidRDefault="00250AC8" w:rsidP="00902FC6">
            <w:pPr>
              <w:pStyle w:val="Tabela"/>
              <w:rPr>
                <w:sz w:val="18"/>
                <w:szCs w:val="20"/>
              </w:rPr>
            </w:pPr>
            <w:r w:rsidRPr="00EC250C">
              <w:rPr>
                <w:sz w:val="18"/>
                <w:szCs w:val="20"/>
              </w:rPr>
              <w:t>09.05.2018</w:t>
            </w:r>
            <w:r w:rsidR="00C91F6E" w:rsidRPr="00EC250C">
              <w:rPr>
                <w:sz w:val="18"/>
                <w:szCs w:val="20"/>
              </w:rPr>
              <w:t> r.</w:t>
            </w:r>
          </w:p>
        </w:tc>
      </w:tr>
      <w:tr w:rsidR="00250AC8" w:rsidRPr="00EC250C" w14:paraId="0057333D" w14:textId="77777777" w:rsidTr="00A016B4">
        <w:trPr>
          <w:tblCellSpacing w:w="20" w:type="dxa"/>
        </w:trPr>
        <w:tc>
          <w:tcPr>
            <w:tcW w:w="508" w:type="dxa"/>
          </w:tcPr>
          <w:p w14:paraId="61AB45C8" w14:textId="77777777" w:rsidR="00250AC8" w:rsidRPr="00EC250C" w:rsidRDefault="00250AC8" w:rsidP="006C70B7">
            <w:pPr>
              <w:pStyle w:val="Tabela"/>
              <w:numPr>
                <w:ilvl w:val="0"/>
                <w:numId w:val="79"/>
              </w:numPr>
              <w:ind w:left="0" w:firstLine="0"/>
              <w:contextualSpacing/>
              <w:jc w:val="both"/>
            </w:pPr>
          </w:p>
        </w:tc>
        <w:tc>
          <w:tcPr>
            <w:tcW w:w="7481" w:type="dxa"/>
          </w:tcPr>
          <w:p w14:paraId="02A0E72C"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Koszalin przez pracowników Biura PT RPO</w:t>
            </w:r>
            <w:r w:rsidR="00992FD0" w:rsidRPr="00EC250C">
              <w:rPr>
                <w:sz w:val="18"/>
                <w:szCs w:val="20"/>
              </w:rPr>
              <w:t xml:space="preserve"> w </w:t>
            </w:r>
            <w:r w:rsidRPr="00EC250C">
              <w:rPr>
                <w:sz w:val="18"/>
                <w:szCs w:val="20"/>
              </w:rPr>
              <w:t>Gdańsku.</w:t>
            </w:r>
          </w:p>
        </w:tc>
        <w:tc>
          <w:tcPr>
            <w:tcW w:w="1687" w:type="dxa"/>
          </w:tcPr>
          <w:p w14:paraId="71D12A78" w14:textId="77777777" w:rsidR="00250AC8" w:rsidRPr="00EC250C" w:rsidRDefault="00250AC8" w:rsidP="00902FC6">
            <w:pPr>
              <w:pStyle w:val="Tabela"/>
              <w:rPr>
                <w:sz w:val="18"/>
                <w:szCs w:val="20"/>
              </w:rPr>
            </w:pPr>
            <w:r w:rsidRPr="00EC250C">
              <w:rPr>
                <w:sz w:val="18"/>
                <w:szCs w:val="20"/>
              </w:rPr>
              <w:t>10.05.2018</w:t>
            </w:r>
            <w:r w:rsidR="00C91F6E" w:rsidRPr="00EC250C">
              <w:rPr>
                <w:sz w:val="18"/>
                <w:szCs w:val="20"/>
              </w:rPr>
              <w:t> r.</w:t>
            </w:r>
          </w:p>
        </w:tc>
      </w:tr>
      <w:tr w:rsidR="00250AC8" w:rsidRPr="00EC250C" w14:paraId="144C9CD7" w14:textId="77777777" w:rsidTr="00A016B4">
        <w:trPr>
          <w:tblCellSpacing w:w="20" w:type="dxa"/>
        </w:trPr>
        <w:tc>
          <w:tcPr>
            <w:tcW w:w="508" w:type="dxa"/>
          </w:tcPr>
          <w:p w14:paraId="2C555618" w14:textId="77777777" w:rsidR="00250AC8" w:rsidRPr="00EC250C" w:rsidRDefault="00250AC8" w:rsidP="006C70B7">
            <w:pPr>
              <w:pStyle w:val="Tabela"/>
              <w:numPr>
                <w:ilvl w:val="0"/>
                <w:numId w:val="79"/>
              </w:numPr>
              <w:ind w:left="0" w:firstLine="0"/>
              <w:contextualSpacing/>
              <w:jc w:val="both"/>
            </w:pPr>
          </w:p>
        </w:tc>
        <w:tc>
          <w:tcPr>
            <w:tcW w:w="7481" w:type="dxa"/>
          </w:tcPr>
          <w:p w14:paraId="60D4B3A1"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Wałbrzych przez pracowników Biura PT RPO</w:t>
            </w:r>
            <w:r w:rsidR="00992FD0" w:rsidRPr="00EC250C">
              <w:rPr>
                <w:sz w:val="18"/>
                <w:szCs w:val="20"/>
              </w:rPr>
              <w:t xml:space="preserve"> w </w:t>
            </w:r>
            <w:r w:rsidRPr="00EC250C">
              <w:rPr>
                <w:sz w:val="18"/>
                <w:szCs w:val="20"/>
              </w:rPr>
              <w:t>Katowicach.</w:t>
            </w:r>
          </w:p>
        </w:tc>
        <w:tc>
          <w:tcPr>
            <w:tcW w:w="1687" w:type="dxa"/>
          </w:tcPr>
          <w:p w14:paraId="5AFC18B4" w14:textId="77777777" w:rsidR="00250AC8" w:rsidRPr="00EC250C" w:rsidRDefault="00250AC8" w:rsidP="00902FC6">
            <w:pPr>
              <w:pStyle w:val="Tabela"/>
              <w:rPr>
                <w:sz w:val="18"/>
                <w:szCs w:val="20"/>
              </w:rPr>
            </w:pPr>
            <w:r w:rsidRPr="00EC250C">
              <w:rPr>
                <w:sz w:val="18"/>
                <w:szCs w:val="20"/>
              </w:rPr>
              <w:t>14.05.2018</w:t>
            </w:r>
            <w:r w:rsidR="00C91F6E" w:rsidRPr="00EC250C">
              <w:rPr>
                <w:sz w:val="18"/>
                <w:szCs w:val="20"/>
              </w:rPr>
              <w:t> r.</w:t>
            </w:r>
          </w:p>
        </w:tc>
      </w:tr>
      <w:tr w:rsidR="00250AC8" w:rsidRPr="00EC250C" w14:paraId="2E1FF54E" w14:textId="77777777" w:rsidTr="00A016B4">
        <w:trPr>
          <w:tblCellSpacing w:w="20" w:type="dxa"/>
        </w:trPr>
        <w:tc>
          <w:tcPr>
            <w:tcW w:w="508" w:type="dxa"/>
          </w:tcPr>
          <w:p w14:paraId="5A29A9B6" w14:textId="77777777" w:rsidR="00250AC8" w:rsidRPr="00EC250C" w:rsidRDefault="00250AC8" w:rsidP="006C70B7">
            <w:pPr>
              <w:pStyle w:val="Tabela"/>
              <w:numPr>
                <w:ilvl w:val="0"/>
                <w:numId w:val="79"/>
              </w:numPr>
              <w:ind w:left="0" w:firstLine="0"/>
              <w:contextualSpacing/>
              <w:jc w:val="both"/>
            </w:pPr>
          </w:p>
        </w:tc>
        <w:tc>
          <w:tcPr>
            <w:tcW w:w="7481" w:type="dxa"/>
          </w:tcPr>
          <w:p w14:paraId="0B60A182" w14:textId="62B2F741"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w ramach spotkań regionalnych:</w:t>
            </w:r>
          </w:p>
          <w:p w14:paraId="1520AB68" w14:textId="77777777" w:rsidR="00250AC8" w:rsidRPr="00EC250C" w:rsidRDefault="00250AC8" w:rsidP="00902FC6">
            <w:pPr>
              <w:pStyle w:val="Tabela"/>
              <w:rPr>
                <w:sz w:val="18"/>
                <w:szCs w:val="20"/>
              </w:rPr>
            </w:pPr>
            <w:r w:rsidRPr="00EC250C">
              <w:rPr>
                <w:sz w:val="18"/>
                <w:szCs w:val="20"/>
              </w:rPr>
              <w:t>- spotkanie</w:t>
            </w:r>
            <w:r w:rsidR="00992FD0" w:rsidRPr="00EC250C">
              <w:rPr>
                <w:sz w:val="18"/>
                <w:szCs w:val="20"/>
              </w:rPr>
              <w:t xml:space="preserve"> z </w:t>
            </w:r>
            <w:r w:rsidRPr="00EC250C">
              <w:rPr>
                <w:sz w:val="18"/>
                <w:szCs w:val="20"/>
              </w:rPr>
              <w:t>mieszkańcami Ełku</w:t>
            </w:r>
          </w:p>
          <w:p w14:paraId="215C6A95" w14:textId="77777777" w:rsidR="00250AC8" w:rsidRPr="00EC250C" w:rsidRDefault="00250AC8" w:rsidP="00902FC6">
            <w:pPr>
              <w:pStyle w:val="Tabela"/>
              <w:rPr>
                <w:sz w:val="18"/>
                <w:szCs w:val="20"/>
              </w:rPr>
            </w:pPr>
            <w:r w:rsidRPr="00EC250C">
              <w:rPr>
                <w:sz w:val="18"/>
                <w:szCs w:val="20"/>
              </w:rPr>
              <w:t>- spotkanie</w:t>
            </w:r>
            <w:r w:rsidR="00992FD0" w:rsidRPr="00EC250C">
              <w:rPr>
                <w:sz w:val="18"/>
                <w:szCs w:val="20"/>
              </w:rPr>
              <w:t xml:space="preserve"> z </w:t>
            </w:r>
            <w:r w:rsidRPr="00EC250C">
              <w:rPr>
                <w:sz w:val="18"/>
                <w:szCs w:val="20"/>
              </w:rPr>
              <w:t xml:space="preserve">mieszkańcami Gołdapi </w:t>
            </w:r>
          </w:p>
        </w:tc>
        <w:tc>
          <w:tcPr>
            <w:tcW w:w="1687" w:type="dxa"/>
          </w:tcPr>
          <w:p w14:paraId="717199A3" w14:textId="77777777" w:rsidR="00250AC8" w:rsidRPr="00EC250C" w:rsidRDefault="00250AC8" w:rsidP="00902FC6">
            <w:pPr>
              <w:pStyle w:val="Tabela"/>
              <w:rPr>
                <w:sz w:val="18"/>
                <w:szCs w:val="20"/>
              </w:rPr>
            </w:pPr>
            <w:r w:rsidRPr="00EC250C">
              <w:rPr>
                <w:sz w:val="18"/>
                <w:szCs w:val="20"/>
              </w:rPr>
              <w:t>15.05.2018</w:t>
            </w:r>
            <w:r w:rsidR="00C91F6E" w:rsidRPr="00EC250C">
              <w:rPr>
                <w:sz w:val="18"/>
                <w:szCs w:val="20"/>
              </w:rPr>
              <w:t> r.</w:t>
            </w:r>
          </w:p>
        </w:tc>
      </w:tr>
      <w:tr w:rsidR="00250AC8" w:rsidRPr="00EC250C" w14:paraId="1151D9AB" w14:textId="77777777" w:rsidTr="00A016B4">
        <w:trPr>
          <w:tblCellSpacing w:w="20" w:type="dxa"/>
        </w:trPr>
        <w:tc>
          <w:tcPr>
            <w:tcW w:w="508" w:type="dxa"/>
          </w:tcPr>
          <w:p w14:paraId="1B128B2D" w14:textId="77777777" w:rsidR="00250AC8" w:rsidRPr="00EC250C" w:rsidRDefault="00250AC8" w:rsidP="006C70B7">
            <w:pPr>
              <w:pStyle w:val="Tabela"/>
              <w:numPr>
                <w:ilvl w:val="0"/>
                <w:numId w:val="79"/>
              </w:numPr>
              <w:ind w:left="0" w:firstLine="0"/>
              <w:contextualSpacing/>
              <w:jc w:val="both"/>
            </w:pPr>
          </w:p>
        </w:tc>
        <w:tc>
          <w:tcPr>
            <w:tcW w:w="7481" w:type="dxa"/>
          </w:tcPr>
          <w:p w14:paraId="31720F05" w14:textId="7D31BB8A" w:rsidR="00250AC8" w:rsidRPr="00EC250C" w:rsidRDefault="00250AC8" w:rsidP="00902FC6">
            <w:pPr>
              <w:pStyle w:val="Tabela"/>
              <w:rPr>
                <w:sz w:val="18"/>
                <w:szCs w:val="20"/>
              </w:rPr>
            </w:pPr>
            <w:r w:rsidRPr="00EC250C">
              <w:rPr>
                <w:sz w:val="18"/>
                <w:szCs w:val="20"/>
              </w:rPr>
              <w:t>- spotkanie</w:t>
            </w:r>
            <w:r w:rsidR="00992FD0" w:rsidRPr="00EC250C">
              <w:rPr>
                <w:sz w:val="18"/>
                <w:szCs w:val="20"/>
              </w:rPr>
              <w:t xml:space="preserve"> w </w:t>
            </w:r>
            <w:r w:rsidRPr="00EC250C">
              <w:rPr>
                <w:sz w:val="18"/>
                <w:szCs w:val="20"/>
              </w:rPr>
              <w:t>Ośrodku Szkolno-Wychowawczym im. Marii Konopnickiej</w:t>
            </w:r>
            <w:r w:rsidR="00992FD0" w:rsidRPr="00EC250C">
              <w:rPr>
                <w:sz w:val="18"/>
                <w:szCs w:val="20"/>
              </w:rPr>
              <w:t xml:space="preserve"> i </w:t>
            </w:r>
            <w:r w:rsidRPr="00EC250C">
              <w:rPr>
                <w:sz w:val="18"/>
                <w:szCs w:val="20"/>
              </w:rPr>
              <w:t>Stowarzyszeniu Wspierania Rozwoju Dzieci i Młodzieży „Jesteś”</w:t>
            </w:r>
            <w:r w:rsidR="00992FD0" w:rsidRPr="00EC250C">
              <w:rPr>
                <w:sz w:val="18"/>
                <w:szCs w:val="20"/>
              </w:rPr>
              <w:t xml:space="preserve"> w </w:t>
            </w:r>
            <w:r w:rsidRPr="00EC250C">
              <w:rPr>
                <w:sz w:val="18"/>
                <w:szCs w:val="20"/>
              </w:rPr>
              <w:t>Węgorzewie</w:t>
            </w:r>
          </w:p>
          <w:p w14:paraId="7FB70C34" w14:textId="77777777" w:rsidR="00C91F6E" w:rsidRPr="00EC250C" w:rsidRDefault="00250AC8" w:rsidP="00902FC6">
            <w:pPr>
              <w:pStyle w:val="Tabela"/>
              <w:rPr>
                <w:sz w:val="18"/>
                <w:szCs w:val="20"/>
              </w:rPr>
            </w:pPr>
            <w:r w:rsidRPr="00EC250C">
              <w:rPr>
                <w:sz w:val="18"/>
                <w:szCs w:val="20"/>
              </w:rPr>
              <w:t>- spotkanie</w:t>
            </w:r>
            <w:r w:rsidR="00992FD0" w:rsidRPr="00EC250C">
              <w:rPr>
                <w:sz w:val="18"/>
                <w:szCs w:val="20"/>
              </w:rPr>
              <w:t xml:space="preserve"> z </w:t>
            </w:r>
            <w:r w:rsidRPr="00EC250C">
              <w:rPr>
                <w:sz w:val="18"/>
                <w:szCs w:val="20"/>
              </w:rPr>
              <w:t>mieszkańcami Kętrzyna oraz uczniami</w:t>
            </w:r>
            <w:r w:rsidR="00992FD0" w:rsidRPr="00EC250C">
              <w:rPr>
                <w:sz w:val="18"/>
                <w:szCs w:val="20"/>
              </w:rPr>
              <w:t xml:space="preserve"> z </w:t>
            </w:r>
            <w:r w:rsidRPr="00EC250C">
              <w:rPr>
                <w:sz w:val="18"/>
                <w:szCs w:val="20"/>
              </w:rPr>
              <w:t>kętrzyńskiego zespołu szkół</w:t>
            </w:r>
          </w:p>
          <w:p w14:paraId="2C5C1B7B" w14:textId="77777777" w:rsidR="00250AC8" w:rsidRPr="00EC250C" w:rsidRDefault="00250AC8" w:rsidP="00902FC6">
            <w:pPr>
              <w:pStyle w:val="Tabela"/>
              <w:rPr>
                <w:sz w:val="18"/>
                <w:szCs w:val="20"/>
              </w:rPr>
            </w:pPr>
            <w:r w:rsidRPr="00EC250C">
              <w:rPr>
                <w:sz w:val="18"/>
                <w:szCs w:val="20"/>
              </w:rPr>
              <w:t>- spotkanie</w:t>
            </w:r>
            <w:r w:rsidR="00992FD0" w:rsidRPr="00EC250C">
              <w:rPr>
                <w:sz w:val="18"/>
                <w:szCs w:val="20"/>
              </w:rPr>
              <w:t xml:space="preserve"> z </w:t>
            </w:r>
            <w:r w:rsidRPr="00EC250C">
              <w:rPr>
                <w:sz w:val="18"/>
                <w:szCs w:val="20"/>
              </w:rPr>
              <w:t>mieszkańcami Giżycka, przedsiębiorcami, osobami zainteresowanymi działaniem prawa wodnego, działaczami pozarządowymi, rodzicami dzieci</w:t>
            </w:r>
            <w:r w:rsidR="00992FD0" w:rsidRPr="00EC250C">
              <w:rPr>
                <w:sz w:val="18"/>
                <w:szCs w:val="20"/>
              </w:rPr>
              <w:t xml:space="preserve"> z </w:t>
            </w:r>
            <w:r w:rsidRPr="00EC250C">
              <w:rPr>
                <w:sz w:val="18"/>
                <w:szCs w:val="20"/>
              </w:rPr>
              <w:t>niepełnosprawnościami,</w:t>
            </w:r>
            <w:r w:rsidR="00992FD0" w:rsidRPr="00EC250C">
              <w:rPr>
                <w:sz w:val="18"/>
                <w:szCs w:val="20"/>
              </w:rPr>
              <w:t xml:space="preserve"> w </w:t>
            </w:r>
            <w:r w:rsidRPr="00EC250C">
              <w:rPr>
                <w:sz w:val="18"/>
                <w:szCs w:val="20"/>
              </w:rPr>
              <w:t>tym dzieci dorosłych, osobami zainteresowanymi nową instytucją skargi nadzwyczajnej</w:t>
            </w:r>
            <w:r w:rsidR="00992FD0" w:rsidRPr="00EC250C">
              <w:rPr>
                <w:sz w:val="18"/>
                <w:szCs w:val="20"/>
              </w:rPr>
              <w:t xml:space="preserve"> i </w:t>
            </w:r>
            <w:r w:rsidRPr="00EC250C">
              <w:rPr>
                <w:sz w:val="18"/>
                <w:szCs w:val="20"/>
              </w:rPr>
              <w:t>skarżącymi się na działania sądów</w:t>
            </w:r>
          </w:p>
        </w:tc>
        <w:tc>
          <w:tcPr>
            <w:tcW w:w="1687" w:type="dxa"/>
          </w:tcPr>
          <w:p w14:paraId="6497096F" w14:textId="77777777" w:rsidR="00250AC8" w:rsidRPr="00EC250C" w:rsidRDefault="00250AC8" w:rsidP="00902FC6">
            <w:pPr>
              <w:pStyle w:val="Tabela"/>
              <w:rPr>
                <w:sz w:val="18"/>
                <w:szCs w:val="20"/>
              </w:rPr>
            </w:pPr>
            <w:r w:rsidRPr="00EC250C">
              <w:rPr>
                <w:sz w:val="18"/>
                <w:szCs w:val="20"/>
              </w:rPr>
              <w:t>16.05.2018</w:t>
            </w:r>
            <w:r w:rsidR="00C91F6E" w:rsidRPr="00EC250C">
              <w:rPr>
                <w:sz w:val="18"/>
                <w:szCs w:val="20"/>
              </w:rPr>
              <w:t> r.</w:t>
            </w:r>
          </w:p>
        </w:tc>
      </w:tr>
      <w:tr w:rsidR="00250AC8" w:rsidRPr="00EC250C" w14:paraId="5F121771" w14:textId="77777777" w:rsidTr="00A016B4">
        <w:trPr>
          <w:tblCellSpacing w:w="20" w:type="dxa"/>
        </w:trPr>
        <w:tc>
          <w:tcPr>
            <w:tcW w:w="508" w:type="dxa"/>
          </w:tcPr>
          <w:p w14:paraId="0C182FA5" w14:textId="77777777" w:rsidR="00250AC8" w:rsidRPr="00EC250C" w:rsidRDefault="00250AC8" w:rsidP="006C70B7">
            <w:pPr>
              <w:pStyle w:val="Tabela"/>
              <w:numPr>
                <w:ilvl w:val="0"/>
                <w:numId w:val="79"/>
              </w:numPr>
              <w:ind w:left="0" w:firstLine="0"/>
              <w:contextualSpacing/>
              <w:jc w:val="both"/>
            </w:pPr>
          </w:p>
        </w:tc>
        <w:tc>
          <w:tcPr>
            <w:tcW w:w="7481" w:type="dxa"/>
          </w:tcPr>
          <w:p w14:paraId="16E87B1A" w14:textId="77777777" w:rsidR="00250AC8" w:rsidRPr="00EC250C" w:rsidRDefault="00250AC8" w:rsidP="00902FC6">
            <w:pPr>
              <w:pStyle w:val="Tabela"/>
              <w:rPr>
                <w:sz w:val="18"/>
                <w:szCs w:val="20"/>
              </w:rPr>
            </w:pPr>
            <w:r w:rsidRPr="00EC250C">
              <w:rPr>
                <w:sz w:val="18"/>
                <w:szCs w:val="20"/>
              </w:rPr>
              <w:t>- udział</w:t>
            </w:r>
            <w:r w:rsidR="00992FD0" w:rsidRPr="00EC250C">
              <w:rPr>
                <w:sz w:val="18"/>
                <w:szCs w:val="20"/>
              </w:rPr>
              <w:t xml:space="preserve"> w </w:t>
            </w:r>
            <w:r w:rsidRPr="00EC250C">
              <w:rPr>
                <w:sz w:val="18"/>
                <w:szCs w:val="20"/>
              </w:rPr>
              <w:t>XVII Spotkaniach Organizacji Działających na Obszarach Wiejskich</w:t>
            </w:r>
            <w:r w:rsidR="00992FD0" w:rsidRPr="00EC250C">
              <w:rPr>
                <w:sz w:val="18"/>
                <w:szCs w:val="20"/>
              </w:rPr>
              <w:t xml:space="preserve"> w </w:t>
            </w:r>
            <w:r w:rsidRPr="00EC250C">
              <w:rPr>
                <w:sz w:val="18"/>
                <w:szCs w:val="20"/>
              </w:rPr>
              <w:t>Marózie</w:t>
            </w:r>
          </w:p>
          <w:p w14:paraId="6FC743B9" w14:textId="77777777" w:rsidR="00250AC8" w:rsidRPr="00EC250C" w:rsidRDefault="00250AC8" w:rsidP="00902FC6">
            <w:pPr>
              <w:pStyle w:val="Tabela"/>
              <w:rPr>
                <w:sz w:val="18"/>
                <w:szCs w:val="20"/>
              </w:rPr>
            </w:pPr>
            <w:r w:rsidRPr="00EC250C">
              <w:rPr>
                <w:sz w:val="18"/>
                <w:szCs w:val="20"/>
              </w:rPr>
              <w:t>- spotkanie</w:t>
            </w:r>
            <w:r w:rsidR="00992FD0" w:rsidRPr="00EC250C">
              <w:rPr>
                <w:sz w:val="18"/>
                <w:szCs w:val="20"/>
              </w:rPr>
              <w:t xml:space="preserve"> z </w:t>
            </w:r>
            <w:r w:rsidRPr="00EC250C">
              <w:rPr>
                <w:sz w:val="18"/>
                <w:szCs w:val="20"/>
              </w:rPr>
              <w:t>mieszkańcami Giżycka.</w:t>
            </w:r>
          </w:p>
        </w:tc>
        <w:tc>
          <w:tcPr>
            <w:tcW w:w="1687" w:type="dxa"/>
          </w:tcPr>
          <w:p w14:paraId="4A7E01A6" w14:textId="77777777" w:rsidR="00250AC8" w:rsidRPr="00EC250C" w:rsidRDefault="00250AC8" w:rsidP="00902FC6">
            <w:pPr>
              <w:pStyle w:val="Tabela"/>
              <w:rPr>
                <w:sz w:val="18"/>
                <w:szCs w:val="20"/>
              </w:rPr>
            </w:pPr>
            <w:r w:rsidRPr="00EC250C">
              <w:rPr>
                <w:sz w:val="18"/>
                <w:szCs w:val="20"/>
              </w:rPr>
              <w:t>17.05.2018</w:t>
            </w:r>
            <w:r w:rsidR="00C91F6E" w:rsidRPr="00EC250C">
              <w:rPr>
                <w:sz w:val="18"/>
                <w:szCs w:val="20"/>
              </w:rPr>
              <w:t> r.</w:t>
            </w:r>
          </w:p>
        </w:tc>
      </w:tr>
      <w:tr w:rsidR="00250AC8" w:rsidRPr="00EC250C" w14:paraId="0F0C7462" w14:textId="77777777" w:rsidTr="00A016B4">
        <w:trPr>
          <w:tblCellSpacing w:w="20" w:type="dxa"/>
        </w:trPr>
        <w:tc>
          <w:tcPr>
            <w:tcW w:w="508" w:type="dxa"/>
          </w:tcPr>
          <w:p w14:paraId="541A3798" w14:textId="77777777" w:rsidR="00250AC8" w:rsidRPr="00EC250C" w:rsidRDefault="00250AC8" w:rsidP="006C70B7">
            <w:pPr>
              <w:pStyle w:val="Tabela"/>
              <w:numPr>
                <w:ilvl w:val="0"/>
                <w:numId w:val="79"/>
              </w:numPr>
              <w:ind w:left="0" w:firstLine="0"/>
              <w:contextualSpacing/>
              <w:jc w:val="both"/>
            </w:pPr>
          </w:p>
        </w:tc>
        <w:tc>
          <w:tcPr>
            <w:tcW w:w="7481" w:type="dxa"/>
          </w:tcPr>
          <w:p w14:paraId="0CD3B17E"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Kujawsko-Pomorskim Urzędzie Wojewódzkim</w:t>
            </w:r>
            <w:r w:rsidR="00992FD0" w:rsidRPr="00EC250C">
              <w:rPr>
                <w:sz w:val="18"/>
                <w:szCs w:val="20"/>
              </w:rPr>
              <w:t xml:space="preserve"> w </w:t>
            </w:r>
            <w:r w:rsidRPr="00EC250C">
              <w:rPr>
                <w:sz w:val="18"/>
                <w:szCs w:val="20"/>
              </w:rPr>
              <w:t>Bydgoszczy przez pracowników Biura PT RPO</w:t>
            </w:r>
            <w:r w:rsidR="00992FD0" w:rsidRPr="00EC250C">
              <w:rPr>
                <w:sz w:val="18"/>
                <w:szCs w:val="20"/>
              </w:rPr>
              <w:t xml:space="preserve"> w </w:t>
            </w:r>
            <w:r w:rsidRPr="00EC250C">
              <w:rPr>
                <w:sz w:val="18"/>
                <w:szCs w:val="20"/>
              </w:rPr>
              <w:t>Gdańsku.</w:t>
            </w:r>
          </w:p>
        </w:tc>
        <w:tc>
          <w:tcPr>
            <w:tcW w:w="1687" w:type="dxa"/>
          </w:tcPr>
          <w:p w14:paraId="304CD823" w14:textId="77777777" w:rsidR="00250AC8" w:rsidRPr="00EC250C" w:rsidRDefault="00250AC8" w:rsidP="00902FC6">
            <w:pPr>
              <w:pStyle w:val="Tabela"/>
              <w:rPr>
                <w:sz w:val="18"/>
                <w:szCs w:val="20"/>
              </w:rPr>
            </w:pPr>
            <w:r w:rsidRPr="00EC250C">
              <w:rPr>
                <w:sz w:val="18"/>
                <w:szCs w:val="20"/>
              </w:rPr>
              <w:t>18.05.2018</w:t>
            </w:r>
            <w:r w:rsidR="00C91F6E" w:rsidRPr="00EC250C">
              <w:rPr>
                <w:sz w:val="18"/>
                <w:szCs w:val="20"/>
              </w:rPr>
              <w:t> r.</w:t>
            </w:r>
          </w:p>
        </w:tc>
      </w:tr>
      <w:tr w:rsidR="00250AC8" w:rsidRPr="00EC250C" w14:paraId="644601C1" w14:textId="77777777" w:rsidTr="00A016B4">
        <w:trPr>
          <w:tblCellSpacing w:w="20" w:type="dxa"/>
        </w:trPr>
        <w:tc>
          <w:tcPr>
            <w:tcW w:w="508" w:type="dxa"/>
          </w:tcPr>
          <w:p w14:paraId="6BD999E2" w14:textId="77777777" w:rsidR="00250AC8" w:rsidRPr="00EC250C" w:rsidRDefault="00250AC8" w:rsidP="006C70B7">
            <w:pPr>
              <w:pStyle w:val="Tabela"/>
              <w:numPr>
                <w:ilvl w:val="0"/>
                <w:numId w:val="79"/>
              </w:numPr>
              <w:ind w:left="0" w:firstLine="0"/>
              <w:contextualSpacing/>
              <w:jc w:val="both"/>
            </w:pPr>
          </w:p>
        </w:tc>
        <w:tc>
          <w:tcPr>
            <w:tcW w:w="7481" w:type="dxa"/>
          </w:tcPr>
          <w:p w14:paraId="15F15B7B"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Lublin przez pracownika Biura RPO</w:t>
            </w:r>
            <w:r w:rsidR="00992FD0" w:rsidRPr="00EC250C">
              <w:rPr>
                <w:sz w:val="18"/>
                <w:szCs w:val="20"/>
              </w:rPr>
              <w:t xml:space="preserve"> w </w:t>
            </w:r>
            <w:r w:rsidRPr="00EC250C">
              <w:rPr>
                <w:sz w:val="18"/>
                <w:szCs w:val="20"/>
              </w:rPr>
              <w:t>Warszawie.</w:t>
            </w:r>
          </w:p>
        </w:tc>
        <w:tc>
          <w:tcPr>
            <w:tcW w:w="1687" w:type="dxa"/>
          </w:tcPr>
          <w:p w14:paraId="674F3235" w14:textId="77777777" w:rsidR="00250AC8" w:rsidRPr="00EC250C" w:rsidRDefault="00250AC8" w:rsidP="00902FC6">
            <w:pPr>
              <w:pStyle w:val="Tabela"/>
              <w:rPr>
                <w:sz w:val="18"/>
                <w:szCs w:val="20"/>
              </w:rPr>
            </w:pPr>
            <w:r w:rsidRPr="00EC250C">
              <w:rPr>
                <w:sz w:val="18"/>
                <w:szCs w:val="20"/>
              </w:rPr>
              <w:t>25.05.2018</w:t>
            </w:r>
            <w:r w:rsidR="00C91F6E" w:rsidRPr="00EC250C">
              <w:rPr>
                <w:sz w:val="18"/>
                <w:szCs w:val="20"/>
              </w:rPr>
              <w:t> r.</w:t>
            </w:r>
          </w:p>
        </w:tc>
      </w:tr>
      <w:tr w:rsidR="00250AC8" w:rsidRPr="00EC250C" w14:paraId="7241FC64" w14:textId="77777777" w:rsidTr="00A016B4">
        <w:trPr>
          <w:tblCellSpacing w:w="20" w:type="dxa"/>
        </w:trPr>
        <w:tc>
          <w:tcPr>
            <w:tcW w:w="508" w:type="dxa"/>
          </w:tcPr>
          <w:p w14:paraId="6CBE3588" w14:textId="77777777" w:rsidR="00250AC8" w:rsidRPr="00EC250C" w:rsidRDefault="00250AC8" w:rsidP="006C70B7">
            <w:pPr>
              <w:pStyle w:val="Tabela"/>
              <w:numPr>
                <w:ilvl w:val="0"/>
                <w:numId w:val="79"/>
              </w:numPr>
              <w:ind w:left="0" w:firstLine="0"/>
              <w:contextualSpacing/>
              <w:jc w:val="both"/>
            </w:pPr>
          </w:p>
        </w:tc>
        <w:tc>
          <w:tcPr>
            <w:tcW w:w="7481" w:type="dxa"/>
          </w:tcPr>
          <w:p w14:paraId="58189C3D"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Szczecin przez pracowników Biura PT RPO</w:t>
            </w:r>
            <w:r w:rsidR="00992FD0" w:rsidRPr="00EC250C">
              <w:rPr>
                <w:sz w:val="18"/>
                <w:szCs w:val="20"/>
              </w:rPr>
              <w:t xml:space="preserve"> w </w:t>
            </w:r>
            <w:r w:rsidRPr="00EC250C">
              <w:rPr>
                <w:sz w:val="18"/>
                <w:szCs w:val="20"/>
              </w:rPr>
              <w:t>Gdańsku.</w:t>
            </w:r>
          </w:p>
        </w:tc>
        <w:tc>
          <w:tcPr>
            <w:tcW w:w="1687" w:type="dxa"/>
          </w:tcPr>
          <w:p w14:paraId="432EB77D" w14:textId="77777777" w:rsidR="00250AC8" w:rsidRPr="00EC250C" w:rsidRDefault="00250AC8" w:rsidP="00902FC6">
            <w:pPr>
              <w:pStyle w:val="Tabela"/>
              <w:rPr>
                <w:sz w:val="18"/>
                <w:szCs w:val="20"/>
              </w:rPr>
            </w:pPr>
            <w:r w:rsidRPr="00EC250C">
              <w:rPr>
                <w:sz w:val="18"/>
                <w:szCs w:val="20"/>
              </w:rPr>
              <w:t>28–29.05.2018</w:t>
            </w:r>
            <w:r w:rsidR="00C91F6E" w:rsidRPr="00EC250C">
              <w:rPr>
                <w:sz w:val="18"/>
                <w:szCs w:val="20"/>
              </w:rPr>
              <w:t> r.</w:t>
            </w:r>
          </w:p>
        </w:tc>
      </w:tr>
      <w:tr w:rsidR="00250AC8" w:rsidRPr="00EC250C" w14:paraId="3694CC0E" w14:textId="77777777" w:rsidTr="00A016B4">
        <w:trPr>
          <w:tblCellSpacing w:w="20" w:type="dxa"/>
        </w:trPr>
        <w:tc>
          <w:tcPr>
            <w:tcW w:w="508" w:type="dxa"/>
          </w:tcPr>
          <w:p w14:paraId="687C7B31" w14:textId="77777777" w:rsidR="00250AC8" w:rsidRPr="00EC250C" w:rsidRDefault="00250AC8" w:rsidP="006C70B7">
            <w:pPr>
              <w:pStyle w:val="Tabela"/>
              <w:numPr>
                <w:ilvl w:val="0"/>
                <w:numId w:val="79"/>
              </w:numPr>
              <w:ind w:left="0" w:firstLine="0"/>
              <w:contextualSpacing/>
              <w:jc w:val="both"/>
            </w:pPr>
          </w:p>
        </w:tc>
        <w:tc>
          <w:tcPr>
            <w:tcW w:w="7481" w:type="dxa"/>
          </w:tcPr>
          <w:p w14:paraId="0A8EF22D"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Małopolskim Urzędzie Wojewódzkim</w:t>
            </w:r>
            <w:r w:rsidR="00992FD0" w:rsidRPr="00EC250C">
              <w:rPr>
                <w:sz w:val="18"/>
                <w:szCs w:val="20"/>
              </w:rPr>
              <w:t xml:space="preserve"> w </w:t>
            </w:r>
            <w:r w:rsidRPr="00EC250C">
              <w:rPr>
                <w:sz w:val="18"/>
                <w:szCs w:val="20"/>
              </w:rPr>
              <w:t>Krakowie przez pracowników Biura PT RPO</w:t>
            </w:r>
            <w:r w:rsidR="00992FD0" w:rsidRPr="00EC250C">
              <w:rPr>
                <w:sz w:val="18"/>
                <w:szCs w:val="20"/>
              </w:rPr>
              <w:t xml:space="preserve"> w </w:t>
            </w:r>
            <w:r w:rsidRPr="00EC250C">
              <w:rPr>
                <w:sz w:val="18"/>
                <w:szCs w:val="20"/>
              </w:rPr>
              <w:t>Katowicach.</w:t>
            </w:r>
          </w:p>
        </w:tc>
        <w:tc>
          <w:tcPr>
            <w:tcW w:w="1687" w:type="dxa"/>
          </w:tcPr>
          <w:p w14:paraId="28ED66FD" w14:textId="77777777" w:rsidR="00250AC8" w:rsidRPr="00EC250C" w:rsidRDefault="00250AC8" w:rsidP="00902FC6">
            <w:pPr>
              <w:pStyle w:val="Tabela"/>
              <w:rPr>
                <w:sz w:val="18"/>
                <w:szCs w:val="20"/>
              </w:rPr>
            </w:pPr>
            <w:r w:rsidRPr="00EC250C">
              <w:rPr>
                <w:sz w:val="18"/>
                <w:szCs w:val="20"/>
              </w:rPr>
              <w:t>31.05.2018</w:t>
            </w:r>
            <w:r w:rsidR="00C91F6E" w:rsidRPr="00EC250C">
              <w:rPr>
                <w:sz w:val="18"/>
                <w:szCs w:val="20"/>
              </w:rPr>
              <w:t> r.</w:t>
            </w:r>
          </w:p>
        </w:tc>
      </w:tr>
      <w:tr w:rsidR="00250AC8" w:rsidRPr="00EC250C" w14:paraId="3077DC68" w14:textId="77777777" w:rsidTr="00A016B4">
        <w:trPr>
          <w:tblCellSpacing w:w="20" w:type="dxa"/>
        </w:trPr>
        <w:tc>
          <w:tcPr>
            <w:tcW w:w="508" w:type="dxa"/>
          </w:tcPr>
          <w:p w14:paraId="05650E41" w14:textId="77777777" w:rsidR="00250AC8" w:rsidRPr="00EC250C" w:rsidRDefault="00250AC8" w:rsidP="006C70B7">
            <w:pPr>
              <w:pStyle w:val="Tabela"/>
              <w:numPr>
                <w:ilvl w:val="0"/>
                <w:numId w:val="79"/>
              </w:numPr>
              <w:ind w:left="0" w:firstLine="0"/>
              <w:contextualSpacing/>
              <w:jc w:val="both"/>
            </w:pPr>
          </w:p>
        </w:tc>
        <w:tc>
          <w:tcPr>
            <w:tcW w:w="7481" w:type="dxa"/>
          </w:tcPr>
          <w:p w14:paraId="10E08CF0"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Łódź przez pracownika Biura RPO</w:t>
            </w:r>
            <w:r w:rsidR="00992FD0" w:rsidRPr="00EC250C">
              <w:rPr>
                <w:sz w:val="18"/>
                <w:szCs w:val="20"/>
              </w:rPr>
              <w:t xml:space="preserve"> w </w:t>
            </w:r>
            <w:r w:rsidRPr="00EC250C">
              <w:rPr>
                <w:sz w:val="18"/>
                <w:szCs w:val="20"/>
              </w:rPr>
              <w:t>Warszawie.</w:t>
            </w:r>
          </w:p>
        </w:tc>
        <w:tc>
          <w:tcPr>
            <w:tcW w:w="1687" w:type="dxa"/>
          </w:tcPr>
          <w:p w14:paraId="118B84F1" w14:textId="77777777" w:rsidR="00250AC8" w:rsidRPr="00EC250C" w:rsidRDefault="00250AC8" w:rsidP="00902FC6">
            <w:pPr>
              <w:pStyle w:val="Tabela"/>
              <w:rPr>
                <w:sz w:val="18"/>
                <w:szCs w:val="20"/>
              </w:rPr>
            </w:pPr>
            <w:r w:rsidRPr="00EC250C">
              <w:rPr>
                <w:sz w:val="18"/>
                <w:szCs w:val="20"/>
              </w:rPr>
              <w:t>04.06.2018</w:t>
            </w:r>
            <w:r w:rsidR="00C91F6E" w:rsidRPr="00EC250C">
              <w:rPr>
                <w:sz w:val="18"/>
                <w:szCs w:val="20"/>
              </w:rPr>
              <w:t> r.</w:t>
            </w:r>
          </w:p>
        </w:tc>
      </w:tr>
      <w:tr w:rsidR="00250AC8" w:rsidRPr="00EC250C" w14:paraId="42C88101" w14:textId="77777777" w:rsidTr="00A016B4">
        <w:trPr>
          <w:tblCellSpacing w:w="20" w:type="dxa"/>
        </w:trPr>
        <w:tc>
          <w:tcPr>
            <w:tcW w:w="508" w:type="dxa"/>
          </w:tcPr>
          <w:p w14:paraId="014F46DF" w14:textId="77777777" w:rsidR="00250AC8" w:rsidRPr="00EC250C" w:rsidRDefault="00250AC8" w:rsidP="006C70B7">
            <w:pPr>
              <w:pStyle w:val="Tabela"/>
              <w:numPr>
                <w:ilvl w:val="0"/>
                <w:numId w:val="79"/>
              </w:numPr>
              <w:ind w:left="0" w:firstLine="0"/>
              <w:contextualSpacing/>
              <w:jc w:val="both"/>
            </w:pPr>
          </w:p>
        </w:tc>
        <w:tc>
          <w:tcPr>
            <w:tcW w:w="7481" w:type="dxa"/>
          </w:tcPr>
          <w:p w14:paraId="595E7841"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Wałbrzych przez pracownika Biura RPO</w:t>
            </w:r>
            <w:r w:rsidR="00992FD0" w:rsidRPr="00EC250C">
              <w:rPr>
                <w:sz w:val="18"/>
                <w:szCs w:val="20"/>
              </w:rPr>
              <w:t xml:space="preserve"> w </w:t>
            </w:r>
            <w:r w:rsidRPr="00EC250C">
              <w:rPr>
                <w:sz w:val="18"/>
                <w:szCs w:val="20"/>
              </w:rPr>
              <w:t>Warszawie.</w:t>
            </w:r>
          </w:p>
        </w:tc>
        <w:tc>
          <w:tcPr>
            <w:tcW w:w="1687" w:type="dxa"/>
          </w:tcPr>
          <w:p w14:paraId="18384C01" w14:textId="77777777" w:rsidR="00250AC8" w:rsidRPr="00EC250C" w:rsidRDefault="00250AC8" w:rsidP="00902FC6">
            <w:pPr>
              <w:pStyle w:val="Tabela"/>
              <w:rPr>
                <w:sz w:val="18"/>
                <w:szCs w:val="20"/>
              </w:rPr>
            </w:pPr>
            <w:r w:rsidRPr="00EC250C">
              <w:rPr>
                <w:sz w:val="18"/>
                <w:szCs w:val="20"/>
              </w:rPr>
              <w:t>11.06.2018</w:t>
            </w:r>
            <w:r w:rsidR="00C91F6E" w:rsidRPr="00EC250C">
              <w:rPr>
                <w:sz w:val="18"/>
                <w:szCs w:val="20"/>
              </w:rPr>
              <w:t> r.</w:t>
            </w:r>
          </w:p>
        </w:tc>
      </w:tr>
      <w:tr w:rsidR="00250AC8" w:rsidRPr="00EC250C" w14:paraId="77635E34" w14:textId="77777777" w:rsidTr="00A016B4">
        <w:trPr>
          <w:tblCellSpacing w:w="20" w:type="dxa"/>
        </w:trPr>
        <w:tc>
          <w:tcPr>
            <w:tcW w:w="508" w:type="dxa"/>
          </w:tcPr>
          <w:p w14:paraId="2109D783" w14:textId="77777777" w:rsidR="00250AC8" w:rsidRPr="00EC250C" w:rsidRDefault="00250AC8" w:rsidP="006C70B7">
            <w:pPr>
              <w:pStyle w:val="Tabela"/>
              <w:numPr>
                <w:ilvl w:val="0"/>
                <w:numId w:val="79"/>
              </w:numPr>
              <w:ind w:left="0" w:firstLine="0"/>
              <w:contextualSpacing/>
              <w:jc w:val="both"/>
            </w:pPr>
          </w:p>
        </w:tc>
        <w:tc>
          <w:tcPr>
            <w:tcW w:w="7481" w:type="dxa"/>
          </w:tcPr>
          <w:p w14:paraId="119D6F65"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Słupsk przez pracowników Biura PT RPO</w:t>
            </w:r>
            <w:r w:rsidR="00992FD0" w:rsidRPr="00EC250C">
              <w:rPr>
                <w:sz w:val="18"/>
                <w:szCs w:val="20"/>
              </w:rPr>
              <w:t xml:space="preserve"> w </w:t>
            </w:r>
            <w:r w:rsidRPr="00EC250C">
              <w:rPr>
                <w:sz w:val="18"/>
                <w:szCs w:val="20"/>
              </w:rPr>
              <w:t>Gdańsku.</w:t>
            </w:r>
          </w:p>
        </w:tc>
        <w:tc>
          <w:tcPr>
            <w:tcW w:w="1687" w:type="dxa"/>
          </w:tcPr>
          <w:p w14:paraId="5FC72F03" w14:textId="77777777" w:rsidR="00250AC8" w:rsidRPr="00EC250C" w:rsidRDefault="00250AC8" w:rsidP="00902FC6">
            <w:pPr>
              <w:pStyle w:val="Tabela"/>
              <w:rPr>
                <w:sz w:val="18"/>
                <w:szCs w:val="20"/>
              </w:rPr>
            </w:pPr>
            <w:r w:rsidRPr="00EC250C">
              <w:rPr>
                <w:sz w:val="18"/>
                <w:szCs w:val="20"/>
              </w:rPr>
              <w:t>14.06.2018</w:t>
            </w:r>
            <w:r w:rsidR="00C91F6E" w:rsidRPr="00EC250C">
              <w:rPr>
                <w:sz w:val="18"/>
                <w:szCs w:val="20"/>
              </w:rPr>
              <w:t> r.</w:t>
            </w:r>
          </w:p>
        </w:tc>
      </w:tr>
      <w:tr w:rsidR="00250AC8" w:rsidRPr="00EC250C" w14:paraId="2EA17268" w14:textId="77777777" w:rsidTr="00A016B4">
        <w:trPr>
          <w:tblCellSpacing w:w="20" w:type="dxa"/>
        </w:trPr>
        <w:tc>
          <w:tcPr>
            <w:tcW w:w="508" w:type="dxa"/>
          </w:tcPr>
          <w:p w14:paraId="3A21E21C" w14:textId="77777777" w:rsidR="00250AC8" w:rsidRPr="00EC250C" w:rsidRDefault="00250AC8" w:rsidP="006C70B7">
            <w:pPr>
              <w:pStyle w:val="Tabela"/>
              <w:numPr>
                <w:ilvl w:val="0"/>
                <w:numId w:val="79"/>
              </w:numPr>
              <w:ind w:left="0" w:firstLine="0"/>
              <w:contextualSpacing/>
              <w:jc w:val="both"/>
            </w:pPr>
          </w:p>
        </w:tc>
        <w:tc>
          <w:tcPr>
            <w:tcW w:w="7481" w:type="dxa"/>
          </w:tcPr>
          <w:p w14:paraId="40EC1155"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Kujawsko-Pomorskim Urzędzie Wojewódzkim</w:t>
            </w:r>
            <w:r w:rsidR="00992FD0" w:rsidRPr="00EC250C">
              <w:rPr>
                <w:sz w:val="18"/>
                <w:szCs w:val="20"/>
              </w:rPr>
              <w:t xml:space="preserve"> w </w:t>
            </w:r>
            <w:r w:rsidRPr="00EC250C">
              <w:rPr>
                <w:sz w:val="18"/>
                <w:szCs w:val="20"/>
              </w:rPr>
              <w:t>Bydgoszczy przez pracowników Biura PT RPO</w:t>
            </w:r>
            <w:r w:rsidR="00992FD0" w:rsidRPr="00EC250C">
              <w:rPr>
                <w:sz w:val="18"/>
                <w:szCs w:val="20"/>
              </w:rPr>
              <w:t xml:space="preserve"> w </w:t>
            </w:r>
            <w:r w:rsidRPr="00EC250C">
              <w:rPr>
                <w:sz w:val="18"/>
                <w:szCs w:val="20"/>
              </w:rPr>
              <w:t>Gdańsku.</w:t>
            </w:r>
          </w:p>
        </w:tc>
        <w:tc>
          <w:tcPr>
            <w:tcW w:w="1687" w:type="dxa"/>
          </w:tcPr>
          <w:p w14:paraId="3B61B675" w14:textId="77777777" w:rsidR="00250AC8" w:rsidRPr="00EC250C" w:rsidRDefault="00250AC8" w:rsidP="00902FC6">
            <w:pPr>
              <w:pStyle w:val="Tabela"/>
              <w:rPr>
                <w:sz w:val="18"/>
                <w:szCs w:val="20"/>
              </w:rPr>
            </w:pPr>
            <w:r w:rsidRPr="00EC250C">
              <w:rPr>
                <w:sz w:val="18"/>
                <w:szCs w:val="20"/>
              </w:rPr>
              <w:t>15.06.2018</w:t>
            </w:r>
            <w:r w:rsidR="00C91F6E" w:rsidRPr="00EC250C">
              <w:rPr>
                <w:sz w:val="18"/>
                <w:szCs w:val="20"/>
              </w:rPr>
              <w:t> r.</w:t>
            </w:r>
          </w:p>
        </w:tc>
      </w:tr>
      <w:tr w:rsidR="00250AC8" w:rsidRPr="00EC250C" w14:paraId="2015E650" w14:textId="77777777" w:rsidTr="00A016B4">
        <w:trPr>
          <w:tblCellSpacing w:w="20" w:type="dxa"/>
        </w:trPr>
        <w:tc>
          <w:tcPr>
            <w:tcW w:w="508" w:type="dxa"/>
          </w:tcPr>
          <w:p w14:paraId="02AED9B3" w14:textId="77777777" w:rsidR="00250AC8" w:rsidRPr="00EC250C" w:rsidRDefault="00250AC8" w:rsidP="006C70B7">
            <w:pPr>
              <w:pStyle w:val="Tabela"/>
              <w:numPr>
                <w:ilvl w:val="0"/>
                <w:numId w:val="79"/>
              </w:numPr>
              <w:ind w:left="0" w:firstLine="0"/>
              <w:contextualSpacing/>
              <w:jc w:val="both"/>
            </w:pPr>
          </w:p>
        </w:tc>
        <w:tc>
          <w:tcPr>
            <w:tcW w:w="7481" w:type="dxa"/>
          </w:tcPr>
          <w:p w14:paraId="08E25A4F"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w:t>
            </w:r>
            <w:r w:rsidRPr="00EC250C">
              <w:rPr>
                <w:sz w:val="18"/>
                <w:szCs w:val="20"/>
              </w:rPr>
              <w:br/>
              <w:t>w ramach spotkań regionalnych:</w:t>
            </w:r>
          </w:p>
          <w:p w14:paraId="6EAF379B"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mieszkańcami Szczytna</w:t>
            </w:r>
          </w:p>
        </w:tc>
        <w:tc>
          <w:tcPr>
            <w:tcW w:w="1687" w:type="dxa"/>
          </w:tcPr>
          <w:p w14:paraId="52F51AE7" w14:textId="77777777" w:rsidR="00250AC8" w:rsidRPr="00EC250C" w:rsidRDefault="00250AC8" w:rsidP="00902FC6">
            <w:pPr>
              <w:pStyle w:val="Tabela"/>
              <w:rPr>
                <w:sz w:val="18"/>
                <w:szCs w:val="20"/>
              </w:rPr>
            </w:pPr>
            <w:r w:rsidRPr="00EC250C">
              <w:rPr>
                <w:sz w:val="18"/>
                <w:szCs w:val="20"/>
              </w:rPr>
              <w:t>19.06.2018</w:t>
            </w:r>
            <w:r w:rsidR="00C91F6E" w:rsidRPr="00EC250C">
              <w:rPr>
                <w:sz w:val="18"/>
                <w:szCs w:val="20"/>
              </w:rPr>
              <w:t> r.</w:t>
            </w:r>
          </w:p>
        </w:tc>
      </w:tr>
      <w:tr w:rsidR="00250AC8" w:rsidRPr="00EC250C" w14:paraId="3B9E981C" w14:textId="77777777" w:rsidTr="00A016B4">
        <w:trPr>
          <w:tblCellSpacing w:w="20" w:type="dxa"/>
        </w:trPr>
        <w:tc>
          <w:tcPr>
            <w:tcW w:w="508" w:type="dxa"/>
          </w:tcPr>
          <w:p w14:paraId="03314F1A" w14:textId="77777777" w:rsidR="00250AC8" w:rsidRPr="00EC250C" w:rsidRDefault="00250AC8" w:rsidP="006C70B7">
            <w:pPr>
              <w:pStyle w:val="Tabela"/>
              <w:numPr>
                <w:ilvl w:val="0"/>
                <w:numId w:val="79"/>
              </w:numPr>
              <w:ind w:left="0" w:firstLine="0"/>
              <w:contextualSpacing/>
              <w:jc w:val="both"/>
            </w:pPr>
          </w:p>
        </w:tc>
        <w:tc>
          <w:tcPr>
            <w:tcW w:w="7481" w:type="dxa"/>
          </w:tcPr>
          <w:p w14:paraId="15B4493A" w14:textId="77777777" w:rsidR="00250AC8" w:rsidRPr="00EC250C" w:rsidRDefault="00250AC8" w:rsidP="00902FC6">
            <w:pPr>
              <w:pStyle w:val="Tabela"/>
              <w:rPr>
                <w:sz w:val="18"/>
                <w:szCs w:val="20"/>
              </w:rPr>
            </w:pPr>
            <w:r w:rsidRPr="00EC250C">
              <w:rPr>
                <w:sz w:val="18"/>
                <w:szCs w:val="20"/>
              </w:rPr>
              <w:t>-</w:t>
            </w:r>
            <w:r w:rsidR="00992FD0" w:rsidRPr="00EC250C">
              <w:rPr>
                <w:sz w:val="18"/>
                <w:szCs w:val="20"/>
              </w:rPr>
              <w:t xml:space="preserve"> z </w:t>
            </w:r>
            <w:r w:rsidRPr="00EC250C">
              <w:rPr>
                <w:sz w:val="18"/>
                <w:szCs w:val="20"/>
              </w:rPr>
              <w:t xml:space="preserve">mieszkańcami Ostrołęki </w:t>
            </w:r>
          </w:p>
        </w:tc>
        <w:tc>
          <w:tcPr>
            <w:tcW w:w="1687" w:type="dxa"/>
          </w:tcPr>
          <w:p w14:paraId="4069F311" w14:textId="77777777" w:rsidR="00250AC8" w:rsidRPr="00EC250C" w:rsidRDefault="00250AC8" w:rsidP="00902FC6">
            <w:pPr>
              <w:pStyle w:val="Tabela"/>
              <w:rPr>
                <w:sz w:val="18"/>
                <w:szCs w:val="20"/>
              </w:rPr>
            </w:pPr>
            <w:r w:rsidRPr="00EC250C">
              <w:rPr>
                <w:sz w:val="18"/>
                <w:szCs w:val="20"/>
              </w:rPr>
              <w:t>19.06.2018</w:t>
            </w:r>
            <w:r w:rsidR="00C91F6E" w:rsidRPr="00EC250C">
              <w:rPr>
                <w:sz w:val="18"/>
                <w:szCs w:val="20"/>
              </w:rPr>
              <w:t> r.</w:t>
            </w:r>
          </w:p>
        </w:tc>
      </w:tr>
      <w:tr w:rsidR="00250AC8" w:rsidRPr="00EC250C" w14:paraId="6DB17303" w14:textId="77777777" w:rsidTr="00A016B4">
        <w:trPr>
          <w:tblCellSpacing w:w="20" w:type="dxa"/>
        </w:trPr>
        <w:tc>
          <w:tcPr>
            <w:tcW w:w="508" w:type="dxa"/>
          </w:tcPr>
          <w:p w14:paraId="4E3E4835" w14:textId="77777777" w:rsidR="00250AC8" w:rsidRPr="00EC250C" w:rsidRDefault="00250AC8" w:rsidP="006C70B7">
            <w:pPr>
              <w:pStyle w:val="Tabela"/>
              <w:numPr>
                <w:ilvl w:val="0"/>
                <w:numId w:val="79"/>
              </w:numPr>
              <w:ind w:left="0" w:firstLine="0"/>
              <w:contextualSpacing/>
              <w:jc w:val="both"/>
            </w:pPr>
          </w:p>
        </w:tc>
        <w:tc>
          <w:tcPr>
            <w:tcW w:w="7481" w:type="dxa"/>
          </w:tcPr>
          <w:p w14:paraId="4664F185"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Szczecin przez pracowników Biura PT RPO</w:t>
            </w:r>
            <w:r w:rsidR="00992FD0" w:rsidRPr="00EC250C">
              <w:rPr>
                <w:sz w:val="18"/>
                <w:szCs w:val="20"/>
              </w:rPr>
              <w:t xml:space="preserve"> w </w:t>
            </w:r>
            <w:r w:rsidRPr="00EC250C">
              <w:rPr>
                <w:sz w:val="18"/>
                <w:szCs w:val="20"/>
              </w:rPr>
              <w:t>Gdańsku.</w:t>
            </w:r>
          </w:p>
        </w:tc>
        <w:tc>
          <w:tcPr>
            <w:tcW w:w="1687" w:type="dxa"/>
          </w:tcPr>
          <w:p w14:paraId="2992541C" w14:textId="77777777" w:rsidR="00250AC8" w:rsidRPr="00EC250C" w:rsidRDefault="00250AC8" w:rsidP="00902FC6">
            <w:pPr>
              <w:pStyle w:val="Tabela"/>
              <w:rPr>
                <w:sz w:val="18"/>
                <w:szCs w:val="20"/>
              </w:rPr>
            </w:pPr>
            <w:r w:rsidRPr="00EC250C">
              <w:rPr>
                <w:sz w:val="18"/>
                <w:szCs w:val="20"/>
              </w:rPr>
              <w:t>25–26.06.2018</w:t>
            </w:r>
            <w:r w:rsidR="00C91F6E" w:rsidRPr="00EC250C">
              <w:rPr>
                <w:sz w:val="18"/>
                <w:szCs w:val="20"/>
              </w:rPr>
              <w:t> r.</w:t>
            </w:r>
          </w:p>
        </w:tc>
      </w:tr>
      <w:tr w:rsidR="00250AC8" w:rsidRPr="00EC250C" w14:paraId="523CEC3C" w14:textId="77777777" w:rsidTr="00A016B4">
        <w:trPr>
          <w:tblCellSpacing w:w="20" w:type="dxa"/>
        </w:trPr>
        <w:tc>
          <w:tcPr>
            <w:tcW w:w="508" w:type="dxa"/>
          </w:tcPr>
          <w:p w14:paraId="4B9626CF" w14:textId="77777777" w:rsidR="00250AC8" w:rsidRPr="00EC250C" w:rsidRDefault="00250AC8" w:rsidP="006C70B7">
            <w:pPr>
              <w:pStyle w:val="Tabela"/>
              <w:numPr>
                <w:ilvl w:val="0"/>
                <w:numId w:val="79"/>
              </w:numPr>
              <w:ind w:left="0" w:firstLine="0"/>
              <w:contextualSpacing/>
              <w:jc w:val="both"/>
            </w:pPr>
          </w:p>
        </w:tc>
        <w:tc>
          <w:tcPr>
            <w:tcW w:w="7481" w:type="dxa"/>
          </w:tcPr>
          <w:p w14:paraId="5A5BC29E"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Częstochowie przez pracowników Biura PT RPO</w:t>
            </w:r>
            <w:r w:rsidR="00992FD0" w:rsidRPr="00EC250C">
              <w:rPr>
                <w:sz w:val="18"/>
                <w:szCs w:val="20"/>
              </w:rPr>
              <w:t xml:space="preserve"> w </w:t>
            </w:r>
            <w:r w:rsidRPr="00EC250C">
              <w:rPr>
                <w:sz w:val="18"/>
                <w:szCs w:val="20"/>
              </w:rPr>
              <w:t>Katowicach.</w:t>
            </w:r>
          </w:p>
        </w:tc>
        <w:tc>
          <w:tcPr>
            <w:tcW w:w="1687" w:type="dxa"/>
          </w:tcPr>
          <w:p w14:paraId="0D460510" w14:textId="77777777" w:rsidR="00250AC8" w:rsidRPr="00EC250C" w:rsidRDefault="00250AC8" w:rsidP="00902FC6">
            <w:pPr>
              <w:pStyle w:val="Tabela"/>
              <w:rPr>
                <w:sz w:val="18"/>
                <w:szCs w:val="20"/>
              </w:rPr>
            </w:pPr>
            <w:r w:rsidRPr="00EC250C">
              <w:rPr>
                <w:sz w:val="18"/>
                <w:szCs w:val="20"/>
              </w:rPr>
              <w:t>28.06.2018</w:t>
            </w:r>
            <w:r w:rsidR="00C91F6E" w:rsidRPr="00EC250C">
              <w:rPr>
                <w:sz w:val="18"/>
                <w:szCs w:val="20"/>
              </w:rPr>
              <w:t> r.</w:t>
            </w:r>
          </w:p>
        </w:tc>
      </w:tr>
      <w:tr w:rsidR="00250AC8" w:rsidRPr="00EC250C" w14:paraId="50E93AB4" w14:textId="77777777" w:rsidTr="00A016B4">
        <w:trPr>
          <w:tblCellSpacing w:w="20" w:type="dxa"/>
        </w:trPr>
        <w:tc>
          <w:tcPr>
            <w:tcW w:w="508" w:type="dxa"/>
          </w:tcPr>
          <w:p w14:paraId="063FA732" w14:textId="77777777" w:rsidR="00250AC8" w:rsidRPr="00EC250C" w:rsidRDefault="00250AC8" w:rsidP="006C70B7">
            <w:pPr>
              <w:pStyle w:val="Tabela"/>
              <w:numPr>
                <w:ilvl w:val="0"/>
                <w:numId w:val="79"/>
              </w:numPr>
              <w:ind w:left="0" w:firstLine="0"/>
              <w:contextualSpacing/>
              <w:jc w:val="both"/>
            </w:pPr>
          </w:p>
        </w:tc>
        <w:tc>
          <w:tcPr>
            <w:tcW w:w="7481" w:type="dxa"/>
          </w:tcPr>
          <w:p w14:paraId="52FDE422"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Marszałkowskim Województwa Świętokrzyskiego</w:t>
            </w:r>
            <w:r w:rsidR="00992FD0" w:rsidRPr="00EC250C">
              <w:rPr>
                <w:sz w:val="18"/>
                <w:szCs w:val="20"/>
              </w:rPr>
              <w:t xml:space="preserve"> w </w:t>
            </w:r>
            <w:r w:rsidRPr="00EC250C">
              <w:rPr>
                <w:sz w:val="18"/>
                <w:szCs w:val="20"/>
              </w:rPr>
              <w:t>Kielcach przez pracowników Biura PT RPO</w:t>
            </w:r>
            <w:r w:rsidR="00992FD0" w:rsidRPr="00EC250C">
              <w:rPr>
                <w:sz w:val="18"/>
                <w:szCs w:val="20"/>
              </w:rPr>
              <w:t xml:space="preserve"> w </w:t>
            </w:r>
            <w:r w:rsidRPr="00EC250C">
              <w:rPr>
                <w:sz w:val="18"/>
                <w:szCs w:val="20"/>
              </w:rPr>
              <w:t>Katowicach.</w:t>
            </w:r>
          </w:p>
        </w:tc>
        <w:tc>
          <w:tcPr>
            <w:tcW w:w="1687" w:type="dxa"/>
          </w:tcPr>
          <w:p w14:paraId="7125C451" w14:textId="77777777" w:rsidR="00250AC8" w:rsidRPr="00EC250C" w:rsidRDefault="00250AC8" w:rsidP="00902FC6">
            <w:pPr>
              <w:pStyle w:val="Tabela"/>
              <w:rPr>
                <w:sz w:val="18"/>
                <w:szCs w:val="20"/>
              </w:rPr>
            </w:pPr>
            <w:r w:rsidRPr="00EC250C">
              <w:rPr>
                <w:sz w:val="18"/>
                <w:szCs w:val="20"/>
              </w:rPr>
              <w:t>28.06.2018</w:t>
            </w:r>
            <w:r w:rsidR="00C91F6E" w:rsidRPr="00EC250C">
              <w:rPr>
                <w:sz w:val="18"/>
                <w:szCs w:val="20"/>
              </w:rPr>
              <w:t> r.</w:t>
            </w:r>
          </w:p>
        </w:tc>
      </w:tr>
      <w:tr w:rsidR="00250AC8" w:rsidRPr="00EC250C" w14:paraId="727E33E8" w14:textId="77777777" w:rsidTr="00A016B4">
        <w:trPr>
          <w:tblCellSpacing w:w="20" w:type="dxa"/>
        </w:trPr>
        <w:tc>
          <w:tcPr>
            <w:tcW w:w="508" w:type="dxa"/>
          </w:tcPr>
          <w:p w14:paraId="1E7DFF28" w14:textId="77777777" w:rsidR="00250AC8" w:rsidRPr="00EC250C" w:rsidRDefault="00250AC8" w:rsidP="006C70B7">
            <w:pPr>
              <w:pStyle w:val="Tabela"/>
              <w:numPr>
                <w:ilvl w:val="0"/>
                <w:numId w:val="79"/>
              </w:numPr>
              <w:ind w:left="0" w:firstLine="0"/>
              <w:contextualSpacing/>
              <w:jc w:val="both"/>
            </w:pPr>
          </w:p>
        </w:tc>
        <w:tc>
          <w:tcPr>
            <w:tcW w:w="7481" w:type="dxa"/>
          </w:tcPr>
          <w:p w14:paraId="62B26D5B"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Lublin przez pracownika Biura RPO</w:t>
            </w:r>
            <w:r w:rsidR="00992FD0" w:rsidRPr="00EC250C">
              <w:rPr>
                <w:sz w:val="18"/>
                <w:szCs w:val="20"/>
              </w:rPr>
              <w:t xml:space="preserve"> w </w:t>
            </w:r>
            <w:r w:rsidRPr="00EC250C">
              <w:rPr>
                <w:sz w:val="18"/>
                <w:szCs w:val="20"/>
              </w:rPr>
              <w:t>Warszawie.</w:t>
            </w:r>
          </w:p>
        </w:tc>
        <w:tc>
          <w:tcPr>
            <w:tcW w:w="1687" w:type="dxa"/>
          </w:tcPr>
          <w:p w14:paraId="721A355D" w14:textId="77777777" w:rsidR="00250AC8" w:rsidRPr="00EC250C" w:rsidRDefault="00250AC8" w:rsidP="00902FC6">
            <w:pPr>
              <w:pStyle w:val="Tabela"/>
              <w:rPr>
                <w:sz w:val="18"/>
                <w:szCs w:val="20"/>
              </w:rPr>
            </w:pPr>
            <w:r w:rsidRPr="00EC250C">
              <w:rPr>
                <w:sz w:val="18"/>
                <w:szCs w:val="20"/>
              </w:rPr>
              <w:t>29.06.2018</w:t>
            </w:r>
            <w:r w:rsidR="00C91F6E" w:rsidRPr="00EC250C">
              <w:rPr>
                <w:sz w:val="18"/>
                <w:szCs w:val="20"/>
              </w:rPr>
              <w:t> r.</w:t>
            </w:r>
          </w:p>
        </w:tc>
      </w:tr>
      <w:tr w:rsidR="00250AC8" w:rsidRPr="00EC250C" w14:paraId="2C92D1CF" w14:textId="77777777" w:rsidTr="00A016B4">
        <w:trPr>
          <w:tblCellSpacing w:w="20" w:type="dxa"/>
        </w:trPr>
        <w:tc>
          <w:tcPr>
            <w:tcW w:w="508" w:type="dxa"/>
          </w:tcPr>
          <w:p w14:paraId="6E9A46B0" w14:textId="77777777" w:rsidR="00250AC8" w:rsidRPr="00EC250C" w:rsidRDefault="00250AC8" w:rsidP="006C70B7">
            <w:pPr>
              <w:pStyle w:val="Tabela"/>
              <w:numPr>
                <w:ilvl w:val="0"/>
                <w:numId w:val="79"/>
              </w:numPr>
              <w:ind w:left="0" w:firstLine="0"/>
              <w:contextualSpacing/>
              <w:jc w:val="both"/>
            </w:pPr>
          </w:p>
        </w:tc>
        <w:tc>
          <w:tcPr>
            <w:tcW w:w="7481" w:type="dxa"/>
          </w:tcPr>
          <w:p w14:paraId="2F96AE12"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Łódź przez pracownika Biura RPO</w:t>
            </w:r>
            <w:r w:rsidR="00992FD0" w:rsidRPr="00EC250C">
              <w:rPr>
                <w:sz w:val="18"/>
                <w:szCs w:val="20"/>
              </w:rPr>
              <w:t xml:space="preserve"> w </w:t>
            </w:r>
            <w:r w:rsidRPr="00EC250C">
              <w:rPr>
                <w:sz w:val="18"/>
                <w:szCs w:val="20"/>
              </w:rPr>
              <w:t>Warszawie.</w:t>
            </w:r>
          </w:p>
        </w:tc>
        <w:tc>
          <w:tcPr>
            <w:tcW w:w="1687" w:type="dxa"/>
          </w:tcPr>
          <w:p w14:paraId="42A0C42D" w14:textId="77777777" w:rsidR="00250AC8" w:rsidRPr="00EC250C" w:rsidRDefault="00250AC8" w:rsidP="00902FC6">
            <w:pPr>
              <w:pStyle w:val="Tabela"/>
              <w:rPr>
                <w:sz w:val="18"/>
                <w:szCs w:val="20"/>
              </w:rPr>
            </w:pPr>
            <w:r w:rsidRPr="00EC250C">
              <w:rPr>
                <w:sz w:val="18"/>
                <w:szCs w:val="20"/>
              </w:rPr>
              <w:t>02.07.2018</w:t>
            </w:r>
            <w:r w:rsidR="00C91F6E" w:rsidRPr="00EC250C">
              <w:rPr>
                <w:sz w:val="18"/>
                <w:szCs w:val="20"/>
              </w:rPr>
              <w:t> r.</w:t>
            </w:r>
          </w:p>
        </w:tc>
      </w:tr>
      <w:tr w:rsidR="00250AC8" w:rsidRPr="00EC250C" w14:paraId="23736A90" w14:textId="77777777" w:rsidTr="00A016B4">
        <w:trPr>
          <w:tblCellSpacing w:w="20" w:type="dxa"/>
        </w:trPr>
        <w:tc>
          <w:tcPr>
            <w:tcW w:w="508" w:type="dxa"/>
          </w:tcPr>
          <w:p w14:paraId="1787B56A" w14:textId="77777777" w:rsidR="00250AC8" w:rsidRPr="00EC250C" w:rsidRDefault="00250AC8" w:rsidP="006C70B7">
            <w:pPr>
              <w:pStyle w:val="Tabela"/>
              <w:numPr>
                <w:ilvl w:val="0"/>
                <w:numId w:val="79"/>
              </w:numPr>
              <w:ind w:left="0" w:firstLine="0"/>
              <w:contextualSpacing/>
              <w:jc w:val="both"/>
            </w:pPr>
          </w:p>
        </w:tc>
        <w:tc>
          <w:tcPr>
            <w:tcW w:w="7481" w:type="dxa"/>
          </w:tcPr>
          <w:p w14:paraId="4C47545C"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Wałbrzych przez pracowników Biura PT RPO</w:t>
            </w:r>
            <w:r w:rsidR="00992FD0" w:rsidRPr="00EC250C">
              <w:rPr>
                <w:sz w:val="18"/>
                <w:szCs w:val="20"/>
              </w:rPr>
              <w:t xml:space="preserve"> w </w:t>
            </w:r>
            <w:r w:rsidRPr="00EC250C">
              <w:rPr>
                <w:sz w:val="18"/>
                <w:szCs w:val="20"/>
              </w:rPr>
              <w:t>Katowicach.</w:t>
            </w:r>
          </w:p>
        </w:tc>
        <w:tc>
          <w:tcPr>
            <w:tcW w:w="1687" w:type="dxa"/>
          </w:tcPr>
          <w:p w14:paraId="677C37BE" w14:textId="77777777" w:rsidR="00250AC8" w:rsidRPr="00EC250C" w:rsidRDefault="00250AC8" w:rsidP="00902FC6">
            <w:pPr>
              <w:pStyle w:val="Tabela"/>
              <w:rPr>
                <w:sz w:val="18"/>
                <w:szCs w:val="20"/>
              </w:rPr>
            </w:pPr>
            <w:r w:rsidRPr="00EC250C">
              <w:rPr>
                <w:sz w:val="18"/>
                <w:szCs w:val="20"/>
              </w:rPr>
              <w:t>09.07.2018</w:t>
            </w:r>
            <w:r w:rsidR="00C91F6E" w:rsidRPr="00EC250C">
              <w:rPr>
                <w:sz w:val="18"/>
                <w:szCs w:val="20"/>
              </w:rPr>
              <w:t> r.</w:t>
            </w:r>
          </w:p>
        </w:tc>
      </w:tr>
      <w:tr w:rsidR="00250AC8" w:rsidRPr="00EC250C" w14:paraId="428D0173" w14:textId="77777777" w:rsidTr="00A016B4">
        <w:trPr>
          <w:tblCellSpacing w:w="20" w:type="dxa"/>
        </w:trPr>
        <w:tc>
          <w:tcPr>
            <w:tcW w:w="508" w:type="dxa"/>
          </w:tcPr>
          <w:p w14:paraId="1DCBD76D" w14:textId="77777777" w:rsidR="00250AC8" w:rsidRPr="00EC250C" w:rsidRDefault="00250AC8" w:rsidP="006C70B7">
            <w:pPr>
              <w:pStyle w:val="Tabela"/>
              <w:numPr>
                <w:ilvl w:val="0"/>
                <w:numId w:val="79"/>
              </w:numPr>
              <w:ind w:left="0" w:firstLine="0"/>
              <w:contextualSpacing/>
              <w:jc w:val="both"/>
            </w:pPr>
          </w:p>
        </w:tc>
        <w:tc>
          <w:tcPr>
            <w:tcW w:w="7481" w:type="dxa"/>
          </w:tcPr>
          <w:p w14:paraId="30144485"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Poznań przez pracownika Biura RPO</w:t>
            </w:r>
            <w:r w:rsidR="00992FD0" w:rsidRPr="00EC250C">
              <w:rPr>
                <w:sz w:val="18"/>
                <w:szCs w:val="20"/>
              </w:rPr>
              <w:t xml:space="preserve"> w </w:t>
            </w:r>
            <w:r w:rsidRPr="00EC250C">
              <w:rPr>
                <w:sz w:val="18"/>
                <w:szCs w:val="20"/>
              </w:rPr>
              <w:t>Warszawie.</w:t>
            </w:r>
          </w:p>
        </w:tc>
        <w:tc>
          <w:tcPr>
            <w:tcW w:w="1687" w:type="dxa"/>
          </w:tcPr>
          <w:p w14:paraId="14956694" w14:textId="77777777" w:rsidR="00250AC8" w:rsidRPr="00EC250C" w:rsidRDefault="00250AC8" w:rsidP="00902FC6">
            <w:pPr>
              <w:pStyle w:val="Tabela"/>
              <w:rPr>
                <w:sz w:val="18"/>
                <w:szCs w:val="20"/>
              </w:rPr>
            </w:pPr>
            <w:r w:rsidRPr="00EC250C">
              <w:rPr>
                <w:sz w:val="18"/>
                <w:szCs w:val="20"/>
              </w:rPr>
              <w:t>11.07.2018</w:t>
            </w:r>
            <w:r w:rsidR="00C91F6E" w:rsidRPr="00EC250C">
              <w:rPr>
                <w:sz w:val="18"/>
                <w:szCs w:val="20"/>
              </w:rPr>
              <w:t> r.</w:t>
            </w:r>
          </w:p>
        </w:tc>
      </w:tr>
      <w:tr w:rsidR="00250AC8" w:rsidRPr="00EC250C" w14:paraId="4B1200FB" w14:textId="77777777" w:rsidTr="00A016B4">
        <w:trPr>
          <w:tblCellSpacing w:w="20" w:type="dxa"/>
        </w:trPr>
        <w:tc>
          <w:tcPr>
            <w:tcW w:w="508" w:type="dxa"/>
          </w:tcPr>
          <w:p w14:paraId="367D6FC5" w14:textId="77777777" w:rsidR="00250AC8" w:rsidRPr="00EC250C" w:rsidRDefault="00250AC8" w:rsidP="006C70B7">
            <w:pPr>
              <w:pStyle w:val="Tabela"/>
              <w:numPr>
                <w:ilvl w:val="0"/>
                <w:numId w:val="79"/>
              </w:numPr>
              <w:ind w:left="0" w:firstLine="0"/>
              <w:contextualSpacing/>
              <w:jc w:val="both"/>
            </w:pPr>
          </w:p>
        </w:tc>
        <w:tc>
          <w:tcPr>
            <w:tcW w:w="7481" w:type="dxa"/>
          </w:tcPr>
          <w:p w14:paraId="0535ADFD"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Koszalin przez pracownika Biura PT RPO</w:t>
            </w:r>
            <w:r w:rsidR="00992FD0" w:rsidRPr="00EC250C">
              <w:rPr>
                <w:sz w:val="18"/>
                <w:szCs w:val="20"/>
              </w:rPr>
              <w:t xml:space="preserve"> w </w:t>
            </w:r>
            <w:r w:rsidRPr="00EC250C">
              <w:rPr>
                <w:sz w:val="18"/>
                <w:szCs w:val="20"/>
              </w:rPr>
              <w:t>Gdańsku.</w:t>
            </w:r>
          </w:p>
        </w:tc>
        <w:tc>
          <w:tcPr>
            <w:tcW w:w="1687" w:type="dxa"/>
          </w:tcPr>
          <w:p w14:paraId="77607915" w14:textId="77777777" w:rsidR="00250AC8" w:rsidRPr="00EC250C" w:rsidRDefault="00250AC8" w:rsidP="00902FC6">
            <w:pPr>
              <w:pStyle w:val="Tabela"/>
              <w:rPr>
                <w:sz w:val="18"/>
                <w:szCs w:val="20"/>
              </w:rPr>
            </w:pPr>
            <w:r w:rsidRPr="00EC250C">
              <w:rPr>
                <w:sz w:val="18"/>
                <w:szCs w:val="20"/>
              </w:rPr>
              <w:t>12.07.2018</w:t>
            </w:r>
            <w:r w:rsidR="00C91F6E" w:rsidRPr="00EC250C">
              <w:rPr>
                <w:sz w:val="18"/>
                <w:szCs w:val="20"/>
              </w:rPr>
              <w:t> r.</w:t>
            </w:r>
          </w:p>
        </w:tc>
      </w:tr>
      <w:tr w:rsidR="00250AC8" w:rsidRPr="00EC250C" w14:paraId="07DE4BB3" w14:textId="77777777" w:rsidTr="00A016B4">
        <w:trPr>
          <w:tblCellSpacing w:w="20" w:type="dxa"/>
        </w:trPr>
        <w:tc>
          <w:tcPr>
            <w:tcW w:w="508" w:type="dxa"/>
          </w:tcPr>
          <w:p w14:paraId="0CBC7BD2" w14:textId="77777777" w:rsidR="00250AC8" w:rsidRPr="00EC250C" w:rsidRDefault="00250AC8" w:rsidP="006C70B7">
            <w:pPr>
              <w:pStyle w:val="Tabela"/>
              <w:numPr>
                <w:ilvl w:val="0"/>
                <w:numId w:val="79"/>
              </w:numPr>
              <w:ind w:left="0" w:firstLine="0"/>
              <w:contextualSpacing/>
              <w:jc w:val="both"/>
            </w:pPr>
          </w:p>
        </w:tc>
        <w:tc>
          <w:tcPr>
            <w:tcW w:w="7481" w:type="dxa"/>
          </w:tcPr>
          <w:p w14:paraId="35E6EA93"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Kujawsko-Pomorskim Urzędzie Wojewódzkim</w:t>
            </w:r>
            <w:r w:rsidR="00992FD0" w:rsidRPr="00EC250C">
              <w:rPr>
                <w:sz w:val="18"/>
                <w:szCs w:val="20"/>
              </w:rPr>
              <w:t xml:space="preserve"> w </w:t>
            </w:r>
            <w:r w:rsidRPr="00EC250C">
              <w:rPr>
                <w:sz w:val="18"/>
                <w:szCs w:val="20"/>
              </w:rPr>
              <w:t>Bydgoszczy przez pracowników Biura PT RPO</w:t>
            </w:r>
            <w:r w:rsidR="00992FD0" w:rsidRPr="00EC250C">
              <w:rPr>
                <w:sz w:val="18"/>
                <w:szCs w:val="20"/>
              </w:rPr>
              <w:t xml:space="preserve"> w </w:t>
            </w:r>
            <w:r w:rsidRPr="00EC250C">
              <w:rPr>
                <w:sz w:val="18"/>
                <w:szCs w:val="20"/>
              </w:rPr>
              <w:t>Gdańsku.</w:t>
            </w:r>
          </w:p>
        </w:tc>
        <w:tc>
          <w:tcPr>
            <w:tcW w:w="1687" w:type="dxa"/>
          </w:tcPr>
          <w:p w14:paraId="76C1E796" w14:textId="77777777" w:rsidR="00250AC8" w:rsidRPr="00EC250C" w:rsidRDefault="00250AC8" w:rsidP="00902FC6">
            <w:pPr>
              <w:pStyle w:val="Tabela"/>
              <w:rPr>
                <w:sz w:val="18"/>
                <w:szCs w:val="20"/>
              </w:rPr>
            </w:pPr>
            <w:r w:rsidRPr="00EC250C">
              <w:rPr>
                <w:sz w:val="18"/>
                <w:szCs w:val="20"/>
              </w:rPr>
              <w:t>20.07.2018</w:t>
            </w:r>
            <w:r w:rsidR="00C91F6E" w:rsidRPr="00EC250C">
              <w:rPr>
                <w:sz w:val="18"/>
                <w:szCs w:val="20"/>
              </w:rPr>
              <w:t> r.</w:t>
            </w:r>
          </w:p>
        </w:tc>
      </w:tr>
      <w:tr w:rsidR="00250AC8" w:rsidRPr="00EC250C" w14:paraId="4B11C5B8" w14:textId="77777777" w:rsidTr="00A016B4">
        <w:trPr>
          <w:tblCellSpacing w:w="20" w:type="dxa"/>
        </w:trPr>
        <w:tc>
          <w:tcPr>
            <w:tcW w:w="508" w:type="dxa"/>
          </w:tcPr>
          <w:p w14:paraId="760ABC36" w14:textId="77777777" w:rsidR="00250AC8" w:rsidRPr="00EC250C" w:rsidRDefault="00250AC8" w:rsidP="006C70B7">
            <w:pPr>
              <w:pStyle w:val="Tabela"/>
              <w:numPr>
                <w:ilvl w:val="0"/>
                <w:numId w:val="79"/>
              </w:numPr>
              <w:ind w:left="0" w:firstLine="0"/>
              <w:contextualSpacing/>
              <w:jc w:val="both"/>
            </w:pPr>
          </w:p>
        </w:tc>
        <w:tc>
          <w:tcPr>
            <w:tcW w:w="7481" w:type="dxa"/>
          </w:tcPr>
          <w:p w14:paraId="14E34793"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Małopolskim Urzędzie Wojewódzkim</w:t>
            </w:r>
            <w:r w:rsidR="00992FD0" w:rsidRPr="00EC250C">
              <w:rPr>
                <w:sz w:val="18"/>
                <w:szCs w:val="20"/>
              </w:rPr>
              <w:t xml:space="preserve"> w </w:t>
            </w:r>
            <w:r w:rsidRPr="00EC250C">
              <w:rPr>
                <w:sz w:val="18"/>
                <w:szCs w:val="20"/>
              </w:rPr>
              <w:t>Krakowie przez pracowników Biura PT RPO</w:t>
            </w:r>
            <w:r w:rsidR="00992FD0" w:rsidRPr="00EC250C">
              <w:rPr>
                <w:sz w:val="18"/>
                <w:szCs w:val="20"/>
              </w:rPr>
              <w:t xml:space="preserve"> w </w:t>
            </w:r>
            <w:r w:rsidRPr="00EC250C">
              <w:rPr>
                <w:sz w:val="18"/>
                <w:szCs w:val="20"/>
              </w:rPr>
              <w:t>Katowicach.</w:t>
            </w:r>
          </w:p>
        </w:tc>
        <w:tc>
          <w:tcPr>
            <w:tcW w:w="1687" w:type="dxa"/>
          </w:tcPr>
          <w:p w14:paraId="6E3D91DD" w14:textId="77777777" w:rsidR="00250AC8" w:rsidRPr="00EC250C" w:rsidRDefault="00250AC8" w:rsidP="00902FC6">
            <w:pPr>
              <w:pStyle w:val="Tabela"/>
              <w:rPr>
                <w:sz w:val="18"/>
                <w:szCs w:val="20"/>
              </w:rPr>
            </w:pPr>
            <w:r w:rsidRPr="00EC250C">
              <w:rPr>
                <w:sz w:val="18"/>
                <w:szCs w:val="20"/>
              </w:rPr>
              <w:t>26.07.2018</w:t>
            </w:r>
            <w:r w:rsidR="00C91F6E" w:rsidRPr="00EC250C">
              <w:rPr>
                <w:sz w:val="18"/>
                <w:szCs w:val="20"/>
              </w:rPr>
              <w:t> r.</w:t>
            </w:r>
          </w:p>
        </w:tc>
      </w:tr>
      <w:tr w:rsidR="00250AC8" w:rsidRPr="00EC250C" w14:paraId="011293BF" w14:textId="77777777" w:rsidTr="00A016B4">
        <w:trPr>
          <w:tblCellSpacing w:w="20" w:type="dxa"/>
        </w:trPr>
        <w:tc>
          <w:tcPr>
            <w:tcW w:w="508" w:type="dxa"/>
          </w:tcPr>
          <w:p w14:paraId="03DAF632" w14:textId="77777777" w:rsidR="00250AC8" w:rsidRPr="00EC250C" w:rsidRDefault="00250AC8" w:rsidP="006C70B7">
            <w:pPr>
              <w:pStyle w:val="Tabela"/>
              <w:numPr>
                <w:ilvl w:val="0"/>
                <w:numId w:val="79"/>
              </w:numPr>
              <w:ind w:left="0" w:firstLine="0"/>
              <w:contextualSpacing/>
              <w:jc w:val="both"/>
            </w:pPr>
          </w:p>
        </w:tc>
        <w:tc>
          <w:tcPr>
            <w:tcW w:w="7481" w:type="dxa"/>
          </w:tcPr>
          <w:p w14:paraId="0223812F"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Marszałkowskim Województwa Świętokrzyskiego</w:t>
            </w:r>
            <w:r w:rsidR="00992FD0" w:rsidRPr="00EC250C">
              <w:rPr>
                <w:sz w:val="18"/>
                <w:szCs w:val="20"/>
              </w:rPr>
              <w:t xml:space="preserve"> w </w:t>
            </w:r>
            <w:r w:rsidRPr="00EC250C">
              <w:rPr>
                <w:sz w:val="18"/>
                <w:szCs w:val="20"/>
              </w:rPr>
              <w:t>Kielcach przez pracowników Biura PT RPO</w:t>
            </w:r>
            <w:r w:rsidR="00992FD0" w:rsidRPr="00EC250C">
              <w:rPr>
                <w:sz w:val="18"/>
                <w:szCs w:val="20"/>
              </w:rPr>
              <w:t xml:space="preserve"> w </w:t>
            </w:r>
            <w:r w:rsidRPr="00EC250C">
              <w:rPr>
                <w:sz w:val="18"/>
                <w:szCs w:val="20"/>
              </w:rPr>
              <w:t>Katowicach.</w:t>
            </w:r>
          </w:p>
        </w:tc>
        <w:tc>
          <w:tcPr>
            <w:tcW w:w="1687" w:type="dxa"/>
          </w:tcPr>
          <w:p w14:paraId="271F9136" w14:textId="77777777" w:rsidR="00250AC8" w:rsidRPr="00EC250C" w:rsidRDefault="00250AC8" w:rsidP="00902FC6">
            <w:pPr>
              <w:pStyle w:val="Tabela"/>
              <w:rPr>
                <w:sz w:val="18"/>
                <w:szCs w:val="20"/>
              </w:rPr>
            </w:pPr>
            <w:r w:rsidRPr="00EC250C">
              <w:rPr>
                <w:sz w:val="18"/>
                <w:szCs w:val="20"/>
              </w:rPr>
              <w:t>26.07.2018</w:t>
            </w:r>
            <w:r w:rsidR="00C91F6E" w:rsidRPr="00EC250C">
              <w:rPr>
                <w:sz w:val="18"/>
                <w:szCs w:val="20"/>
              </w:rPr>
              <w:t> r.</w:t>
            </w:r>
          </w:p>
        </w:tc>
      </w:tr>
      <w:tr w:rsidR="00250AC8" w:rsidRPr="00EC250C" w14:paraId="41CC6BEA" w14:textId="77777777" w:rsidTr="00A016B4">
        <w:trPr>
          <w:tblCellSpacing w:w="20" w:type="dxa"/>
        </w:trPr>
        <w:tc>
          <w:tcPr>
            <w:tcW w:w="508" w:type="dxa"/>
          </w:tcPr>
          <w:p w14:paraId="40BAC9AC" w14:textId="77777777" w:rsidR="00250AC8" w:rsidRPr="00EC250C" w:rsidRDefault="00250AC8" w:rsidP="006C70B7">
            <w:pPr>
              <w:pStyle w:val="Tabela"/>
              <w:numPr>
                <w:ilvl w:val="0"/>
                <w:numId w:val="79"/>
              </w:numPr>
              <w:ind w:left="0" w:firstLine="0"/>
              <w:contextualSpacing/>
              <w:jc w:val="both"/>
            </w:pPr>
          </w:p>
        </w:tc>
        <w:tc>
          <w:tcPr>
            <w:tcW w:w="7481" w:type="dxa"/>
          </w:tcPr>
          <w:p w14:paraId="58D7A9AB"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Lublin przez pracownika Biura RPO</w:t>
            </w:r>
            <w:r w:rsidR="00992FD0" w:rsidRPr="00EC250C">
              <w:rPr>
                <w:sz w:val="18"/>
                <w:szCs w:val="20"/>
              </w:rPr>
              <w:t xml:space="preserve"> w </w:t>
            </w:r>
            <w:r w:rsidRPr="00EC250C">
              <w:rPr>
                <w:sz w:val="18"/>
                <w:szCs w:val="20"/>
              </w:rPr>
              <w:t>Warszawie</w:t>
            </w:r>
          </w:p>
        </w:tc>
        <w:tc>
          <w:tcPr>
            <w:tcW w:w="1687" w:type="dxa"/>
          </w:tcPr>
          <w:p w14:paraId="6494F6C9" w14:textId="77777777" w:rsidR="00250AC8" w:rsidRPr="00EC250C" w:rsidRDefault="00250AC8" w:rsidP="00902FC6">
            <w:pPr>
              <w:pStyle w:val="Tabela"/>
              <w:rPr>
                <w:sz w:val="18"/>
                <w:szCs w:val="20"/>
              </w:rPr>
            </w:pPr>
            <w:r w:rsidRPr="00EC250C">
              <w:rPr>
                <w:sz w:val="18"/>
                <w:szCs w:val="20"/>
              </w:rPr>
              <w:t>27.07.2018</w:t>
            </w:r>
            <w:r w:rsidR="00C91F6E" w:rsidRPr="00EC250C">
              <w:rPr>
                <w:sz w:val="18"/>
                <w:szCs w:val="20"/>
              </w:rPr>
              <w:t> r.</w:t>
            </w:r>
          </w:p>
        </w:tc>
      </w:tr>
      <w:tr w:rsidR="00250AC8" w:rsidRPr="00EC250C" w14:paraId="3F2622FF" w14:textId="77777777" w:rsidTr="00A016B4">
        <w:trPr>
          <w:tblCellSpacing w:w="20" w:type="dxa"/>
        </w:trPr>
        <w:tc>
          <w:tcPr>
            <w:tcW w:w="508" w:type="dxa"/>
          </w:tcPr>
          <w:p w14:paraId="5A54C340" w14:textId="77777777" w:rsidR="00250AC8" w:rsidRPr="00EC250C" w:rsidRDefault="00250AC8" w:rsidP="006C70B7">
            <w:pPr>
              <w:pStyle w:val="Tabela"/>
              <w:numPr>
                <w:ilvl w:val="0"/>
                <w:numId w:val="79"/>
              </w:numPr>
              <w:ind w:left="0" w:firstLine="0"/>
              <w:contextualSpacing/>
              <w:jc w:val="both"/>
            </w:pPr>
          </w:p>
        </w:tc>
        <w:tc>
          <w:tcPr>
            <w:tcW w:w="7481" w:type="dxa"/>
          </w:tcPr>
          <w:p w14:paraId="00D366E4"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Szczecin przez pracowników Biura PT RPO</w:t>
            </w:r>
            <w:r w:rsidR="00992FD0" w:rsidRPr="00EC250C">
              <w:rPr>
                <w:sz w:val="18"/>
                <w:szCs w:val="20"/>
              </w:rPr>
              <w:t xml:space="preserve"> w </w:t>
            </w:r>
            <w:r w:rsidRPr="00EC250C">
              <w:rPr>
                <w:sz w:val="18"/>
                <w:szCs w:val="20"/>
              </w:rPr>
              <w:t>Gdańsku.</w:t>
            </w:r>
          </w:p>
        </w:tc>
        <w:tc>
          <w:tcPr>
            <w:tcW w:w="1687" w:type="dxa"/>
          </w:tcPr>
          <w:p w14:paraId="491ED6E0" w14:textId="77777777" w:rsidR="00250AC8" w:rsidRPr="00EC250C" w:rsidRDefault="00250AC8" w:rsidP="00902FC6">
            <w:pPr>
              <w:pStyle w:val="Tabela"/>
              <w:rPr>
                <w:sz w:val="18"/>
                <w:szCs w:val="20"/>
              </w:rPr>
            </w:pPr>
            <w:r w:rsidRPr="00EC250C">
              <w:rPr>
                <w:sz w:val="18"/>
                <w:szCs w:val="20"/>
              </w:rPr>
              <w:t>30–31.07.2018</w:t>
            </w:r>
            <w:r w:rsidR="00C91F6E" w:rsidRPr="00EC250C">
              <w:rPr>
                <w:sz w:val="18"/>
                <w:szCs w:val="20"/>
              </w:rPr>
              <w:t> r.</w:t>
            </w:r>
          </w:p>
        </w:tc>
      </w:tr>
      <w:tr w:rsidR="00250AC8" w:rsidRPr="00EC250C" w14:paraId="5B587446" w14:textId="77777777" w:rsidTr="00A016B4">
        <w:trPr>
          <w:tblCellSpacing w:w="20" w:type="dxa"/>
        </w:trPr>
        <w:tc>
          <w:tcPr>
            <w:tcW w:w="508" w:type="dxa"/>
          </w:tcPr>
          <w:p w14:paraId="35196ADA" w14:textId="77777777" w:rsidR="00250AC8" w:rsidRPr="00EC250C" w:rsidRDefault="00250AC8" w:rsidP="006C70B7">
            <w:pPr>
              <w:pStyle w:val="Tabela"/>
              <w:numPr>
                <w:ilvl w:val="0"/>
                <w:numId w:val="79"/>
              </w:numPr>
              <w:ind w:left="0" w:firstLine="0"/>
              <w:contextualSpacing/>
              <w:jc w:val="both"/>
            </w:pPr>
          </w:p>
        </w:tc>
        <w:tc>
          <w:tcPr>
            <w:tcW w:w="7481" w:type="dxa"/>
          </w:tcPr>
          <w:p w14:paraId="2B24FB59" w14:textId="06C450E2" w:rsidR="00C91F6E"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 w Festiwalu Pol’and’Rock, gdzie uczestniczył w:</w:t>
            </w:r>
          </w:p>
          <w:p w14:paraId="44CB4A1E" w14:textId="77777777" w:rsidR="00250AC8" w:rsidRPr="00EC250C" w:rsidRDefault="00250AC8" w:rsidP="00902FC6">
            <w:pPr>
              <w:pStyle w:val="Tabela"/>
              <w:rPr>
                <w:sz w:val="18"/>
                <w:szCs w:val="20"/>
              </w:rPr>
            </w:pPr>
            <w:r w:rsidRPr="00EC250C">
              <w:rPr>
                <w:sz w:val="18"/>
                <w:szCs w:val="20"/>
              </w:rPr>
              <w:t>- debacie „Hejt</w:t>
            </w:r>
            <w:r w:rsidR="00992FD0" w:rsidRPr="00EC250C">
              <w:rPr>
                <w:sz w:val="18"/>
                <w:szCs w:val="20"/>
              </w:rPr>
              <w:t xml:space="preserve"> w </w:t>
            </w:r>
            <w:r w:rsidRPr="00EC250C">
              <w:rPr>
                <w:sz w:val="18"/>
                <w:szCs w:val="20"/>
              </w:rPr>
              <w:t>sieci, mowa nienawiści”</w:t>
            </w:r>
          </w:p>
          <w:p w14:paraId="45E730FF" w14:textId="77777777" w:rsidR="00250AC8" w:rsidRPr="00EC250C" w:rsidRDefault="00250AC8" w:rsidP="00902FC6">
            <w:pPr>
              <w:pStyle w:val="Tabela"/>
              <w:rPr>
                <w:sz w:val="18"/>
                <w:szCs w:val="20"/>
              </w:rPr>
            </w:pPr>
            <w:r w:rsidRPr="00EC250C">
              <w:rPr>
                <w:sz w:val="18"/>
                <w:szCs w:val="20"/>
              </w:rPr>
              <w:t>- turnieju piłkarskim „Wykopmy rasizm ze stadionów” Stowarzyszenia „Nigdy więcej”</w:t>
            </w:r>
          </w:p>
          <w:p w14:paraId="514F8725" w14:textId="77777777" w:rsidR="00250AC8" w:rsidRPr="00EC250C" w:rsidRDefault="00250AC8" w:rsidP="00902FC6">
            <w:pPr>
              <w:pStyle w:val="Tabela"/>
              <w:rPr>
                <w:sz w:val="18"/>
                <w:szCs w:val="20"/>
              </w:rPr>
            </w:pPr>
            <w:r w:rsidRPr="00EC250C">
              <w:rPr>
                <w:sz w:val="18"/>
                <w:szCs w:val="20"/>
              </w:rPr>
              <w:t>- debacie „Wolne sądy”</w:t>
            </w:r>
          </w:p>
          <w:p w14:paraId="73006E7B" w14:textId="77777777" w:rsidR="00250AC8" w:rsidRPr="00EC250C" w:rsidRDefault="00250AC8" w:rsidP="00902FC6">
            <w:pPr>
              <w:pStyle w:val="Tabela"/>
              <w:rPr>
                <w:sz w:val="18"/>
                <w:szCs w:val="20"/>
              </w:rPr>
            </w:pPr>
            <w:r w:rsidRPr="00EC250C">
              <w:rPr>
                <w:sz w:val="18"/>
                <w:szCs w:val="20"/>
              </w:rPr>
              <w:t>- warsztatach: Konstytucja RP przydatna każdemu człowiekowi</w:t>
            </w:r>
          </w:p>
          <w:p w14:paraId="729B4EEE" w14:textId="345FA088" w:rsidR="00250AC8" w:rsidRPr="00EC250C" w:rsidRDefault="00250AC8" w:rsidP="00902FC6">
            <w:pPr>
              <w:pStyle w:val="Tabela"/>
              <w:rPr>
                <w:sz w:val="18"/>
                <w:szCs w:val="20"/>
              </w:rPr>
            </w:pPr>
            <w:r w:rsidRPr="00EC250C">
              <w:rPr>
                <w:sz w:val="18"/>
                <w:szCs w:val="20"/>
              </w:rPr>
              <w:t>- debacie #Me too – rok później – na temat molestowania i przemocy wobec kobiet</w:t>
            </w:r>
          </w:p>
          <w:p w14:paraId="4B2FF02E" w14:textId="539E3E3F" w:rsidR="00250AC8" w:rsidRPr="00EC250C" w:rsidRDefault="00250AC8" w:rsidP="00902FC6">
            <w:pPr>
              <w:pStyle w:val="Tabela"/>
              <w:rPr>
                <w:sz w:val="18"/>
                <w:szCs w:val="20"/>
              </w:rPr>
            </w:pPr>
            <w:r w:rsidRPr="00EC250C">
              <w:rPr>
                <w:sz w:val="18"/>
                <w:szCs w:val="20"/>
              </w:rPr>
              <w:t>- debacie „Kolos na glinianych nogach – porozmawiajmy o ochronie przyrody”</w:t>
            </w:r>
          </w:p>
        </w:tc>
        <w:tc>
          <w:tcPr>
            <w:tcW w:w="1687" w:type="dxa"/>
          </w:tcPr>
          <w:p w14:paraId="091DE7F6" w14:textId="77777777" w:rsidR="00250AC8" w:rsidRPr="00EC250C" w:rsidRDefault="00250AC8" w:rsidP="00902FC6">
            <w:pPr>
              <w:pStyle w:val="Tabela"/>
              <w:rPr>
                <w:sz w:val="18"/>
                <w:szCs w:val="20"/>
              </w:rPr>
            </w:pPr>
            <w:r w:rsidRPr="00EC250C">
              <w:rPr>
                <w:sz w:val="18"/>
                <w:szCs w:val="20"/>
              </w:rPr>
              <w:t>01–03.08.2018</w:t>
            </w:r>
            <w:r w:rsidR="00C91F6E" w:rsidRPr="00EC250C">
              <w:rPr>
                <w:sz w:val="18"/>
                <w:szCs w:val="20"/>
              </w:rPr>
              <w:t> r.</w:t>
            </w:r>
          </w:p>
        </w:tc>
      </w:tr>
      <w:tr w:rsidR="00250AC8" w:rsidRPr="00EC250C" w14:paraId="56F059D9" w14:textId="77777777" w:rsidTr="00A016B4">
        <w:trPr>
          <w:tblCellSpacing w:w="20" w:type="dxa"/>
        </w:trPr>
        <w:tc>
          <w:tcPr>
            <w:tcW w:w="508" w:type="dxa"/>
          </w:tcPr>
          <w:p w14:paraId="6B718C33" w14:textId="77777777" w:rsidR="00250AC8" w:rsidRPr="00EC250C" w:rsidRDefault="00250AC8" w:rsidP="006C70B7">
            <w:pPr>
              <w:pStyle w:val="Tabela"/>
              <w:numPr>
                <w:ilvl w:val="0"/>
                <w:numId w:val="79"/>
              </w:numPr>
              <w:ind w:left="0" w:firstLine="0"/>
              <w:contextualSpacing/>
              <w:jc w:val="both"/>
            </w:pPr>
          </w:p>
        </w:tc>
        <w:tc>
          <w:tcPr>
            <w:tcW w:w="7481" w:type="dxa"/>
          </w:tcPr>
          <w:p w14:paraId="7E1C7A82"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Słupsk przez pracowników Biura PT RPO</w:t>
            </w:r>
            <w:r w:rsidR="00992FD0" w:rsidRPr="00EC250C">
              <w:rPr>
                <w:sz w:val="18"/>
                <w:szCs w:val="20"/>
              </w:rPr>
              <w:t xml:space="preserve"> w </w:t>
            </w:r>
            <w:r w:rsidRPr="00EC250C">
              <w:rPr>
                <w:sz w:val="18"/>
                <w:szCs w:val="20"/>
              </w:rPr>
              <w:t>Gdańsku.</w:t>
            </w:r>
          </w:p>
        </w:tc>
        <w:tc>
          <w:tcPr>
            <w:tcW w:w="1687" w:type="dxa"/>
          </w:tcPr>
          <w:p w14:paraId="2594C257" w14:textId="77777777" w:rsidR="00250AC8" w:rsidRPr="00EC250C" w:rsidRDefault="00250AC8" w:rsidP="00902FC6">
            <w:pPr>
              <w:pStyle w:val="Tabela"/>
              <w:rPr>
                <w:sz w:val="18"/>
                <w:szCs w:val="20"/>
              </w:rPr>
            </w:pPr>
            <w:r w:rsidRPr="00EC250C">
              <w:rPr>
                <w:sz w:val="18"/>
                <w:szCs w:val="20"/>
              </w:rPr>
              <w:t>09.08.2018</w:t>
            </w:r>
            <w:r w:rsidR="00C91F6E" w:rsidRPr="00EC250C">
              <w:rPr>
                <w:sz w:val="18"/>
                <w:szCs w:val="20"/>
              </w:rPr>
              <w:t> r.</w:t>
            </w:r>
          </w:p>
        </w:tc>
      </w:tr>
      <w:tr w:rsidR="00250AC8" w:rsidRPr="00EC250C" w14:paraId="2941150F" w14:textId="77777777" w:rsidTr="00A016B4">
        <w:trPr>
          <w:tblCellSpacing w:w="20" w:type="dxa"/>
        </w:trPr>
        <w:tc>
          <w:tcPr>
            <w:tcW w:w="508" w:type="dxa"/>
          </w:tcPr>
          <w:p w14:paraId="5DB3B64B" w14:textId="77777777" w:rsidR="00250AC8" w:rsidRPr="00EC250C" w:rsidRDefault="00250AC8" w:rsidP="006C70B7">
            <w:pPr>
              <w:pStyle w:val="Tabela"/>
              <w:numPr>
                <w:ilvl w:val="0"/>
                <w:numId w:val="79"/>
              </w:numPr>
              <w:ind w:left="0" w:firstLine="0"/>
              <w:contextualSpacing/>
              <w:jc w:val="both"/>
            </w:pPr>
          </w:p>
        </w:tc>
        <w:tc>
          <w:tcPr>
            <w:tcW w:w="7481" w:type="dxa"/>
          </w:tcPr>
          <w:p w14:paraId="52653AA1"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Wałbrzych przez pracowników Biura PT RPO</w:t>
            </w:r>
            <w:r w:rsidR="00992FD0" w:rsidRPr="00EC250C">
              <w:rPr>
                <w:sz w:val="18"/>
                <w:szCs w:val="20"/>
              </w:rPr>
              <w:t xml:space="preserve"> w </w:t>
            </w:r>
            <w:r w:rsidRPr="00EC250C">
              <w:rPr>
                <w:sz w:val="18"/>
                <w:szCs w:val="20"/>
              </w:rPr>
              <w:t>Katowicach.</w:t>
            </w:r>
          </w:p>
        </w:tc>
        <w:tc>
          <w:tcPr>
            <w:tcW w:w="1687" w:type="dxa"/>
          </w:tcPr>
          <w:p w14:paraId="10871519" w14:textId="77777777" w:rsidR="00250AC8" w:rsidRPr="00EC250C" w:rsidRDefault="00250AC8" w:rsidP="00902FC6">
            <w:pPr>
              <w:pStyle w:val="Tabela"/>
              <w:rPr>
                <w:sz w:val="18"/>
                <w:szCs w:val="20"/>
              </w:rPr>
            </w:pPr>
            <w:r w:rsidRPr="00EC250C">
              <w:rPr>
                <w:sz w:val="18"/>
                <w:szCs w:val="20"/>
              </w:rPr>
              <w:t>13.08.2018</w:t>
            </w:r>
            <w:r w:rsidR="00C91F6E" w:rsidRPr="00EC250C">
              <w:rPr>
                <w:sz w:val="18"/>
                <w:szCs w:val="20"/>
              </w:rPr>
              <w:t> r.</w:t>
            </w:r>
          </w:p>
        </w:tc>
      </w:tr>
      <w:tr w:rsidR="00250AC8" w:rsidRPr="00EC250C" w14:paraId="2344A2D3" w14:textId="77777777" w:rsidTr="00A016B4">
        <w:trPr>
          <w:tblCellSpacing w:w="20" w:type="dxa"/>
        </w:trPr>
        <w:tc>
          <w:tcPr>
            <w:tcW w:w="508" w:type="dxa"/>
          </w:tcPr>
          <w:p w14:paraId="40D1A409" w14:textId="77777777" w:rsidR="00250AC8" w:rsidRPr="00EC250C" w:rsidRDefault="00250AC8" w:rsidP="006C70B7">
            <w:pPr>
              <w:pStyle w:val="Tabela"/>
              <w:numPr>
                <w:ilvl w:val="0"/>
                <w:numId w:val="79"/>
              </w:numPr>
              <w:ind w:left="0" w:firstLine="0"/>
              <w:contextualSpacing/>
              <w:jc w:val="both"/>
            </w:pPr>
          </w:p>
        </w:tc>
        <w:tc>
          <w:tcPr>
            <w:tcW w:w="7481" w:type="dxa"/>
          </w:tcPr>
          <w:p w14:paraId="458EC0F7"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Kujawsko-Pomorskim Urzędzie Wojewódzkim</w:t>
            </w:r>
            <w:r w:rsidR="00992FD0" w:rsidRPr="00EC250C">
              <w:rPr>
                <w:sz w:val="18"/>
                <w:szCs w:val="20"/>
              </w:rPr>
              <w:t xml:space="preserve"> w </w:t>
            </w:r>
            <w:r w:rsidRPr="00EC250C">
              <w:rPr>
                <w:sz w:val="18"/>
                <w:szCs w:val="20"/>
              </w:rPr>
              <w:t>Bydgoszczy przez pracowników Biura PT RPO</w:t>
            </w:r>
            <w:r w:rsidR="00992FD0" w:rsidRPr="00EC250C">
              <w:rPr>
                <w:sz w:val="18"/>
                <w:szCs w:val="20"/>
              </w:rPr>
              <w:t xml:space="preserve"> w </w:t>
            </w:r>
            <w:r w:rsidRPr="00EC250C">
              <w:rPr>
                <w:sz w:val="18"/>
                <w:szCs w:val="20"/>
              </w:rPr>
              <w:t>Gdańsku.</w:t>
            </w:r>
          </w:p>
        </w:tc>
        <w:tc>
          <w:tcPr>
            <w:tcW w:w="1687" w:type="dxa"/>
          </w:tcPr>
          <w:p w14:paraId="108D9974" w14:textId="77777777" w:rsidR="00250AC8" w:rsidRPr="00EC250C" w:rsidRDefault="00250AC8" w:rsidP="00902FC6">
            <w:pPr>
              <w:pStyle w:val="Tabela"/>
              <w:rPr>
                <w:sz w:val="18"/>
                <w:szCs w:val="20"/>
              </w:rPr>
            </w:pPr>
            <w:r w:rsidRPr="00EC250C">
              <w:rPr>
                <w:sz w:val="18"/>
                <w:szCs w:val="20"/>
              </w:rPr>
              <w:t>17.08.2018</w:t>
            </w:r>
            <w:r w:rsidR="00C91F6E" w:rsidRPr="00EC250C">
              <w:rPr>
                <w:sz w:val="18"/>
                <w:szCs w:val="20"/>
              </w:rPr>
              <w:t> r.</w:t>
            </w:r>
          </w:p>
        </w:tc>
      </w:tr>
      <w:tr w:rsidR="00250AC8" w:rsidRPr="00EC250C" w14:paraId="4D71AD50" w14:textId="77777777" w:rsidTr="00A016B4">
        <w:trPr>
          <w:tblCellSpacing w:w="20" w:type="dxa"/>
        </w:trPr>
        <w:tc>
          <w:tcPr>
            <w:tcW w:w="508" w:type="dxa"/>
          </w:tcPr>
          <w:p w14:paraId="1B274E86" w14:textId="77777777" w:rsidR="00250AC8" w:rsidRPr="00EC250C" w:rsidRDefault="00250AC8" w:rsidP="006C70B7">
            <w:pPr>
              <w:pStyle w:val="Tabela"/>
              <w:numPr>
                <w:ilvl w:val="0"/>
                <w:numId w:val="79"/>
              </w:numPr>
              <w:ind w:left="0" w:firstLine="0"/>
              <w:contextualSpacing/>
              <w:jc w:val="both"/>
            </w:pPr>
          </w:p>
        </w:tc>
        <w:tc>
          <w:tcPr>
            <w:tcW w:w="7481" w:type="dxa"/>
          </w:tcPr>
          <w:p w14:paraId="4DFC244D"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Szczecin przez pracowników Biura PT RPO</w:t>
            </w:r>
            <w:r w:rsidR="00992FD0" w:rsidRPr="00EC250C">
              <w:rPr>
                <w:sz w:val="18"/>
                <w:szCs w:val="20"/>
              </w:rPr>
              <w:t xml:space="preserve"> w </w:t>
            </w:r>
            <w:r w:rsidRPr="00EC250C">
              <w:rPr>
                <w:sz w:val="18"/>
                <w:szCs w:val="20"/>
              </w:rPr>
              <w:t>Gdańsku.</w:t>
            </w:r>
          </w:p>
        </w:tc>
        <w:tc>
          <w:tcPr>
            <w:tcW w:w="1687" w:type="dxa"/>
          </w:tcPr>
          <w:p w14:paraId="5D096B99" w14:textId="77777777" w:rsidR="00250AC8" w:rsidRPr="00EC250C" w:rsidRDefault="00250AC8" w:rsidP="00902FC6">
            <w:pPr>
              <w:pStyle w:val="Tabela"/>
              <w:rPr>
                <w:sz w:val="18"/>
                <w:szCs w:val="20"/>
              </w:rPr>
            </w:pPr>
            <w:r w:rsidRPr="00EC250C">
              <w:rPr>
                <w:sz w:val="18"/>
                <w:szCs w:val="20"/>
              </w:rPr>
              <w:t>27–28.08.2018</w:t>
            </w:r>
            <w:r w:rsidR="00C91F6E" w:rsidRPr="00EC250C">
              <w:rPr>
                <w:sz w:val="18"/>
                <w:szCs w:val="20"/>
              </w:rPr>
              <w:t> r.</w:t>
            </w:r>
          </w:p>
        </w:tc>
      </w:tr>
      <w:tr w:rsidR="00250AC8" w:rsidRPr="00EC250C" w14:paraId="196006D2" w14:textId="77777777" w:rsidTr="00A016B4">
        <w:trPr>
          <w:tblCellSpacing w:w="20" w:type="dxa"/>
        </w:trPr>
        <w:tc>
          <w:tcPr>
            <w:tcW w:w="508" w:type="dxa"/>
          </w:tcPr>
          <w:p w14:paraId="1D12C303" w14:textId="77777777" w:rsidR="00250AC8" w:rsidRPr="00EC250C" w:rsidRDefault="00250AC8" w:rsidP="006C70B7">
            <w:pPr>
              <w:pStyle w:val="Tabela"/>
              <w:numPr>
                <w:ilvl w:val="0"/>
                <w:numId w:val="79"/>
              </w:numPr>
              <w:ind w:left="0" w:firstLine="0"/>
              <w:contextualSpacing/>
              <w:jc w:val="both"/>
            </w:pPr>
          </w:p>
        </w:tc>
        <w:tc>
          <w:tcPr>
            <w:tcW w:w="7481" w:type="dxa"/>
          </w:tcPr>
          <w:p w14:paraId="73D0019C"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Częstochowa przez pracowników Biura PT RPO</w:t>
            </w:r>
            <w:r w:rsidR="00992FD0" w:rsidRPr="00EC250C">
              <w:rPr>
                <w:sz w:val="18"/>
                <w:szCs w:val="20"/>
              </w:rPr>
              <w:t xml:space="preserve"> w </w:t>
            </w:r>
            <w:r w:rsidRPr="00EC250C">
              <w:rPr>
                <w:sz w:val="18"/>
                <w:szCs w:val="20"/>
              </w:rPr>
              <w:t>Katowicach.</w:t>
            </w:r>
          </w:p>
        </w:tc>
        <w:tc>
          <w:tcPr>
            <w:tcW w:w="1687" w:type="dxa"/>
          </w:tcPr>
          <w:p w14:paraId="0DDAAE5E" w14:textId="77777777" w:rsidR="00250AC8" w:rsidRPr="00EC250C" w:rsidRDefault="00250AC8" w:rsidP="00902FC6">
            <w:pPr>
              <w:pStyle w:val="Tabela"/>
              <w:rPr>
                <w:sz w:val="18"/>
                <w:szCs w:val="20"/>
              </w:rPr>
            </w:pPr>
            <w:r w:rsidRPr="00EC250C">
              <w:rPr>
                <w:sz w:val="18"/>
                <w:szCs w:val="20"/>
              </w:rPr>
              <w:t>30.08.2018</w:t>
            </w:r>
            <w:r w:rsidR="00C91F6E" w:rsidRPr="00EC250C">
              <w:rPr>
                <w:sz w:val="18"/>
                <w:szCs w:val="20"/>
              </w:rPr>
              <w:t> r.</w:t>
            </w:r>
          </w:p>
        </w:tc>
      </w:tr>
      <w:tr w:rsidR="00250AC8" w:rsidRPr="00EC250C" w14:paraId="37DE23BF" w14:textId="77777777" w:rsidTr="00A016B4">
        <w:trPr>
          <w:tblCellSpacing w:w="20" w:type="dxa"/>
        </w:trPr>
        <w:tc>
          <w:tcPr>
            <w:tcW w:w="508" w:type="dxa"/>
          </w:tcPr>
          <w:p w14:paraId="13F26262" w14:textId="77777777" w:rsidR="00250AC8" w:rsidRPr="00EC250C" w:rsidRDefault="00250AC8" w:rsidP="006C70B7">
            <w:pPr>
              <w:pStyle w:val="Tabela"/>
              <w:numPr>
                <w:ilvl w:val="0"/>
                <w:numId w:val="79"/>
              </w:numPr>
              <w:ind w:left="0" w:firstLine="0"/>
              <w:contextualSpacing/>
              <w:jc w:val="both"/>
            </w:pPr>
          </w:p>
        </w:tc>
        <w:tc>
          <w:tcPr>
            <w:tcW w:w="7481" w:type="dxa"/>
          </w:tcPr>
          <w:p w14:paraId="54B51700"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Marszałkowskim Województwa Świętokrzyskiego</w:t>
            </w:r>
            <w:r w:rsidR="00992FD0" w:rsidRPr="00EC250C">
              <w:rPr>
                <w:sz w:val="18"/>
                <w:szCs w:val="20"/>
              </w:rPr>
              <w:t xml:space="preserve"> w </w:t>
            </w:r>
            <w:r w:rsidRPr="00EC250C">
              <w:rPr>
                <w:sz w:val="18"/>
                <w:szCs w:val="20"/>
              </w:rPr>
              <w:t>Kielcach przez pracowników Biura PT RPO</w:t>
            </w:r>
            <w:r w:rsidR="00992FD0" w:rsidRPr="00EC250C">
              <w:rPr>
                <w:sz w:val="18"/>
                <w:szCs w:val="20"/>
              </w:rPr>
              <w:t xml:space="preserve"> w </w:t>
            </w:r>
            <w:r w:rsidRPr="00EC250C">
              <w:rPr>
                <w:sz w:val="18"/>
                <w:szCs w:val="20"/>
              </w:rPr>
              <w:t>Katowicach.</w:t>
            </w:r>
          </w:p>
        </w:tc>
        <w:tc>
          <w:tcPr>
            <w:tcW w:w="1687" w:type="dxa"/>
          </w:tcPr>
          <w:p w14:paraId="42404D31" w14:textId="77777777" w:rsidR="00250AC8" w:rsidRPr="00EC250C" w:rsidRDefault="00250AC8" w:rsidP="00902FC6">
            <w:pPr>
              <w:pStyle w:val="Tabela"/>
              <w:rPr>
                <w:sz w:val="18"/>
                <w:szCs w:val="20"/>
              </w:rPr>
            </w:pPr>
            <w:r w:rsidRPr="00EC250C">
              <w:rPr>
                <w:sz w:val="18"/>
                <w:szCs w:val="20"/>
              </w:rPr>
              <w:t>30.08.2018</w:t>
            </w:r>
            <w:r w:rsidR="00C91F6E" w:rsidRPr="00EC250C">
              <w:rPr>
                <w:sz w:val="18"/>
                <w:szCs w:val="20"/>
              </w:rPr>
              <w:t> r.</w:t>
            </w:r>
          </w:p>
        </w:tc>
      </w:tr>
      <w:tr w:rsidR="00250AC8" w:rsidRPr="00EC250C" w14:paraId="448FB4A4" w14:textId="77777777" w:rsidTr="00A016B4">
        <w:trPr>
          <w:tblCellSpacing w:w="20" w:type="dxa"/>
        </w:trPr>
        <w:tc>
          <w:tcPr>
            <w:tcW w:w="508" w:type="dxa"/>
          </w:tcPr>
          <w:p w14:paraId="600E3325" w14:textId="77777777" w:rsidR="00250AC8" w:rsidRPr="00EC250C" w:rsidRDefault="00250AC8" w:rsidP="006C70B7">
            <w:pPr>
              <w:pStyle w:val="Tabela"/>
              <w:numPr>
                <w:ilvl w:val="0"/>
                <w:numId w:val="79"/>
              </w:numPr>
              <w:ind w:left="0" w:firstLine="0"/>
              <w:contextualSpacing/>
              <w:jc w:val="both"/>
            </w:pPr>
          </w:p>
        </w:tc>
        <w:tc>
          <w:tcPr>
            <w:tcW w:w="7481" w:type="dxa"/>
          </w:tcPr>
          <w:p w14:paraId="1BCD0DB3"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Lublin przez pracownika Biura RPO</w:t>
            </w:r>
            <w:r w:rsidR="00992FD0" w:rsidRPr="00EC250C">
              <w:rPr>
                <w:sz w:val="18"/>
                <w:szCs w:val="20"/>
              </w:rPr>
              <w:t xml:space="preserve"> w </w:t>
            </w:r>
            <w:r w:rsidRPr="00EC250C">
              <w:rPr>
                <w:sz w:val="18"/>
                <w:szCs w:val="20"/>
              </w:rPr>
              <w:t>Warszawie.</w:t>
            </w:r>
          </w:p>
        </w:tc>
        <w:tc>
          <w:tcPr>
            <w:tcW w:w="1687" w:type="dxa"/>
          </w:tcPr>
          <w:p w14:paraId="24935E27" w14:textId="77777777" w:rsidR="00250AC8" w:rsidRPr="00EC250C" w:rsidRDefault="00250AC8" w:rsidP="00902FC6">
            <w:pPr>
              <w:pStyle w:val="Tabela"/>
              <w:rPr>
                <w:sz w:val="18"/>
                <w:szCs w:val="20"/>
              </w:rPr>
            </w:pPr>
            <w:r w:rsidRPr="00EC250C">
              <w:rPr>
                <w:sz w:val="18"/>
                <w:szCs w:val="20"/>
              </w:rPr>
              <w:t>31.08.2018</w:t>
            </w:r>
            <w:r w:rsidR="00C91F6E" w:rsidRPr="00EC250C">
              <w:rPr>
                <w:sz w:val="18"/>
                <w:szCs w:val="20"/>
              </w:rPr>
              <w:t> r.</w:t>
            </w:r>
          </w:p>
        </w:tc>
      </w:tr>
      <w:tr w:rsidR="00250AC8" w:rsidRPr="00EC250C" w14:paraId="725F6029" w14:textId="77777777" w:rsidTr="00A016B4">
        <w:trPr>
          <w:tblCellSpacing w:w="20" w:type="dxa"/>
        </w:trPr>
        <w:tc>
          <w:tcPr>
            <w:tcW w:w="508" w:type="dxa"/>
          </w:tcPr>
          <w:p w14:paraId="5811D370" w14:textId="77777777" w:rsidR="00250AC8" w:rsidRPr="00EC250C" w:rsidRDefault="00250AC8" w:rsidP="006C70B7">
            <w:pPr>
              <w:pStyle w:val="Tabela"/>
              <w:numPr>
                <w:ilvl w:val="0"/>
                <w:numId w:val="79"/>
              </w:numPr>
              <w:ind w:left="0" w:firstLine="0"/>
              <w:contextualSpacing/>
              <w:jc w:val="both"/>
            </w:pPr>
          </w:p>
        </w:tc>
        <w:tc>
          <w:tcPr>
            <w:tcW w:w="7481" w:type="dxa"/>
          </w:tcPr>
          <w:p w14:paraId="3EE9640D"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Łódź przez pracownika Biura RPO</w:t>
            </w:r>
            <w:r w:rsidR="00992FD0" w:rsidRPr="00EC250C">
              <w:rPr>
                <w:sz w:val="18"/>
                <w:szCs w:val="20"/>
              </w:rPr>
              <w:t xml:space="preserve"> w </w:t>
            </w:r>
            <w:r w:rsidRPr="00EC250C">
              <w:rPr>
                <w:sz w:val="18"/>
                <w:szCs w:val="20"/>
              </w:rPr>
              <w:t>Warszawie.</w:t>
            </w:r>
          </w:p>
        </w:tc>
        <w:tc>
          <w:tcPr>
            <w:tcW w:w="1687" w:type="dxa"/>
          </w:tcPr>
          <w:p w14:paraId="1AB023F0" w14:textId="77777777" w:rsidR="00250AC8" w:rsidRPr="00EC250C" w:rsidRDefault="00250AC8" w:rsidP="00902FC6">
            <w:pPr>
              <w:pStyle w:val="Tabela"/>
              <w:rPr>
                <w:sz w:val="18"/>
                <w:szCs w:val="20"/>
              </w:rPr>
            </w:pPr>
            <w:r w:rsidRPr="00EC250C">
              <w:rPr>
                <w:sz w:val="18"/>
                <w:szCs w:val="20"/>
              </w:rPr>
              <w:t>03.09.2018</w:t>
            </w:r>
            <w:r w:rsidR="00C91F6E" w:rsidRPr="00EC250C">
              <w:rPr>
                <w:sz w:val="18"/>
                <w:szCs w:val="20"/>
              </w:rPr>
              <w:t> r.</w:t>
            </w:r>
          </w:p>
        </w:tc>
      </w:tr>
      <w:tr w:rsidR="00250AC8" w:rsidRPr="00EC250C" w14:paraId="32BA70E4" w14:textId="77777777" w:rsidTr="00A016B4">
        <w:trPr>
          <w:tblCellSpacing w:w="20" w:type="dxa"/>
        </w:trPr>
        <w:tc>
          <w:tcPr>
            <w:tcW w:w="508" w:type="dxa"/>
          </w:tcPr>
          <w:p w14:paraId="4FF90B04" w14:textId="77777777" w:rsidR="00250AC8" w:rsidRPr="00EC250C" w:rsidRDefault="00250AC8" w:rsidP="006C70B7">
            <w:pPr>
              <w:pStyle w:val="Tabela"/>
              <w:numPr>
                <w:ilvl w:val="0"/>
                <w:numId w:val="79"/>
              </w:numPr>
              <w:ind w:left="0" w:firstLine="0"/>
              <w:contextualSpacing/>
              <w:jc w:val="both"/>
            </w:pPr>
          </w:p>
        </w:tc>
        <w:tc>
          <w:tcPr>
            <w:tcW w:w="7481" w:type="dxa"/>
          </w:tcPr>
          <w:p w14:paraId="202877B0"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Wałbrzych przez pracowników Biura PT RPO</w:t>
            </w:r>
            <w:r w:rsidR="00992FD0" w:rsidRPr="00EC250C">
              <w:rPr>
                <w:sz w:val="18"/>
                <w:szCs w:val="20"/>
              </w:rPr>
              <w:t xml:space="preserve"> w </w:t>
            </w:r>
            <w:r w:rsidRPr="00EC250C">
              <w:rPr>
                <w:sz w:val="18"/>
                <w:szCs w:val="20"/>
              </w:rPr>
              <w:t>Katowicach.</w:t>
            </w:r>
          </w:p>
        </w:tc>
        <w:tc>
          <w:tcPr>
            <w:tcW w:w="1687" w:type="dxa"/>
          </w:tcPr>
          <w:p w14:paraId="4B846F9B" w14:textId="77777777" w:rsidR="00250AC8" w:rsidRPr="00EC250C" w:rsidRDefault="00250AC8" w:rsidP="00902FC6">
            <w:pPr>
              <w:pStyle w:val="Tabela"/>
              <w:rPr>
                <w:sz w:val="18"/>
                <w:szCs w:val="20"/>
              </w:rPr>
            </w:pPr>
            <w:r w:rsidRPr="00EC250C">
              <w:rPr>
                <w:sz w:val="18"/>
                <w:szCs w:val="20"/>
              </w:rPr>
              <w:t>10.09.2018</w:t>
            </w:r>
            <w:r w:rsidR="00C91F6E" w:rsidRPr="00EC250C">
              <w:rPr>
                <w:sz w:val="18"/>
                <w:szCs w:val="20"/>
              </w:rPr>
              <w:t> r.</w:t>
            </w:r>
          </w:p>
        </w:tc>
      </w:tr>
      <w:tr w:rsidR="00250AC8" w:rsidRPr="00EC250C" w14:paraId="6F702CD7" w14:textId="77777777" w:rsidTr="00A016B4">
        <w:trPr>
          <w:tblCellSpacing w:w="20" w:type="dxa"/>
        </w:trPr>
        <w:tc>
          <w:tcPr>
            <w:tcW w:w="508" w:type="dxa"/>
          </w:tcPr>
          <w:p w14:paraId="35899DAA" w14:textId="77777777" w:rsidR="00250AC8" w:rsidRPr="00EC250C" w:rsidRDefault="00250AC8" w:rsidP="006C70B7">
            <w:pPr>
              <w:pStyle w:val="Tabela"/>
              <w:numPr>
                <w:ilvl w:val="0"/>
                <w:numId w:val="79"/>
              </w:numPr>
              <w:ind w:left="0" w:firstLine="0"/>
              <w:contextualSpacing/>
              <w:jc w:val="both"/>
            </w:pPr>
          </w:p>
        </w:tc>
        <w:tc>
          <w:tcPr>
            <w:tcW w:w="7481" w:type="dxa"/>
          </w:tcPr>
          <w:p w14:paraId="7B725D7E"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Poznań przez pracownika Biura RPO</w:t>
            </w:r>
            <w:r w:rsidR="00992FD0" w:rsidRPr="00EC250C">
              <w:rPr>
                <w:sz w:val="18"/>
                <w:szCs w:val="20"/>
              </w:rPr>
              <w:t xml:space="preserve"> w </w:t>
            </w:r>
            <w:r w:rsidRPr="00EC250C">
              <w:rPr>
                <w:sz w:val="18"/>
                <w:szCs w:val="20"/>
              </w:rPr>
              <w:t>Warszawie.</w:t>
            </w:r>
          </w:p>
        </w:tc>
        <w:tc>
          <w:tcPr>
            <w:tcW w:w="1687" w:type="dxa"/>
          </w:tcPr>
          <w:p w14:paraId="6D79A9B3" w14:textId="77777777" w:rsidR="00250AC8" w:rsidRPr="00EC250C" w:rsidRDefault="00250AC8" w:rsidP="00902FC6">
            <w:pPr>
              <w:pStyle w:val="Tabela"/>
              <w:rPr>
                <w:sz w:val="18"/>
                <w:szCs w:val="20"/>
              </w:rPr>
            </w:pPr>
            <w:r w:rsidRPr="00EC250C">
              <w:rPr>
                <w:sz w:val="18"/>
                <w:szCs w:val="20"/>
              </w:rPr>
              <w:t>12.09.2018</w:t>
            </w:r>
            <w:r w:rsidR="00C91F6E" w:rsidRPr="00EC250C">
              <w:rPr>
                <w:sz w:val="18"/>
                <w:szCs w:val="20"/>
              </w:rPr>
              <w:t> r.</w:t>
            </w:r>
          </w:p>
        </w:tc>
      </w:tr>
      <w:tr w:rsidR="00250AC8" w:rsidRPr="00EC250C" w14:paraId="7084CDDF" w14:textId="77777777" w:rsidTr="00A016B4">
        <w:trPr>
          <w:tblCellSpacing w:w="20" w:type="dxa"/>
        </w:trPr>
        <w:tc>
          <w:tcPr>
            <w:tcW w:w="508" w:type="dxa"/>
          </w:tcPr>
          <w:p w14:paraId="3D7514D7" w14:textId="77777777" w:rsidR="00250AC8" w:rsidRPr="00EC250C" w:rsidRDefault="00250AC8" w:rsidP="006C70B7">
            <w:pPr>
              <w:pStyle w:val="Tabela"/>
              <w:numPr>
                <w:ilvl w:val="0"/>
                <w:numId w:val="79"/>
              </w:numPr>
              <w:ind w:left="0" w:firstLine="0"/>
              <w:contextualSpacing/>
              <w:jc w:val="both"/>
            </w:pPr>
          </w:p>
        </w:tc>
        <w:tc>
          <w:tcPr>
            <w:tcW w:w="7481" w:type="dxa"/>
          </w:tcPr>
          <w:p w14:paraId="4FAD42C3"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Koszalin przez pracowników Biura PT RPO</w:t>
            </w:r>
            <w:r w:rsidR="00992FD0" w:rsidRPr="00EC250C">
              <w:rPr>
                <w:sz w:val="18"/>
                <w:szCs w:val="20"/>
              </w:rPr>
              <w:t xml:space="preserve"> w </w:t>
            </w:r>
            <w:r w:rsidRPr="00EC250C">
              <w:rPr>
                <w:sz w:val="18"/>
                <w:szCs w:val="20"/>
              </w:rPr>
              <w:t>Gdańsku.</w:t>
            </w:r>
          </w:p>
        </w:tc>
        <w:tc>
          <w:tcPr>
            <w:tcW w:w="1687" w:type="dxa"/>
          </w:tcPr>
          <w:p w14:paraId="44E717B1" w14:textId="77777777" w:rsidR="00250AC8" w:rsidRPr="00EC250C" w:rsidRDefault="00250AC8" w:rsidP="00902FC6">
            <w:pPr>
              <w:pStyle w:val="Tabela"/>
              <w:rPr>
                <w:sz w:val="18"/>
                <w:szCs w:val="20"/>
              </w:rPr>
            </w:pPr>
            <w:r w:rsidRPr="00EC250C">
              <w:rPr>
                <w:sz w:val="18"/>
                <w:szCs w:val="20"/>
              </w:rPr>
              <w:t>13.09.2018</w:t>
            </w:r>
            <w:r w:rsidR="00C91F6E" w:rsidRPr="00EC250C">
              <w:rPr>
                <w:sz w:val="18"/>
                <w:szCs w:val="20"/>
              </w:rPr>
              <w:t> r.</w:t>
            </w:r>
          </w:p>
        </w:tc>
      </w:tr>
      <w:tr w:rsidR="00250AC8" w:rsidRPr="00EC250C" w14:paraId="338EE557" w14:textId="77777777" w:rsidTr="00A016B4">
        <w:trPr>
          <w:tblCellSpacing w:w="20" w:type="dxa"/>
        </w:trPr>
        <w:tc>
          <w:tcPr>
            <w:tcW w:w="508" w:type="dxa"/>
          </w:tcPr>
          <w:p w14:paraId="31DAC56B" w14:textId="77777777" w:rsidR="00250AC8" w:rsidRPr="00EC250C" w:rsidRDefault="00250AC8" w:rsidP="006C70B7">
            <w:pPr>
              <w:pStyle w:val="Tabela"/>
              <w:numPr>
                <w:ilvl w:val="0"/>
                <w:numId w:val="79"/>
              </w:numPr>
              <w:ind w:left="0" w:firstLine="0"/>
              <w:contextualSpacing/>
              <w:jc w:val="both"/>
            </w:pPr>
          </w:p>
        </w:tc>
        <w:tc>
          <w:tcPr>
            <w:tcW w:w="7481" w:type="dxa"/>
          </w:tcPr>
          <w:p w14:paraId="30D478CE"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Kujawsko-Pomorskim Urzędzie Wojewódzkim</w:t>
            </w:r>
            <w:r w:rsidR="00992FD0" w:rsidRPr="00EC250C">
              <w:rPr>
                <w:sz w:val="18"/>
                <w:szCs w:val="20"/>
              </w:rPr>
              <w:t xml:space="preserve"> w </w:t>
            </w:r>
            <w:r w:rsidRPr="00EC250C">
              <w:rPr>
                <w:sz w:val="18"/>
                <w:szCs w:val="20"/>
              </w:rPr>
              <w:t>Bydgoszczy przez pracowników Biura PT RPO</w:t>
            </w:r>
            <w:r w:rsidR="00992FD0" w:rsidRPr="00EC250C">
              <w:rPr>
                <w:sz w:val="18"/>
                <w:szCs w:val="20"/>
              </w:rPr>
              <w:t xml:space="preserve"> w </w:t>
            </w:r>
            <w:r w:rsidRPr="00EC250C">
              <w:rPr>
                <w:sz w:val="18"/>
                <w:szCs w:val="20"/>
              </w:rPr>
              <w:t>Gdańsku.</w:t>
            </w:r>
          </w:p>
        </w:tc>
        <w:tc>
          <w:tcPr>
            <w:tcW w:w="1687" w:type="dxa"/>
          </w:tcPr>
          <w:p w14:paraId="622B55FE" w14:textId="77777777" w:rsidR="00250AC8" w:rsidRPr="00EC250C" w:rsidRDefault="00250AC8" w:rsidP="00902FC6">
            <w:pPr>
              <w:pStyle w:val="Tabela"/>
              <w:rPr>
                <w:sz w:val="18"/>
                <w:szCs w:val="20"/>
              </w:rPr>
            </w:pPr>
            <w:r w:rsidRPr="00EC250C">
              <w:rPr>
                <w:sz w:val="18"/>
                <w:szCs w:val="20"/>
              </w:rPr>
              <w:t>21.09.2018</w:t>
            </w:r>
            <w:r w:rsidR="00C91F6E" w:rsidRPr="00EC250C">
              <w:rPr>
                <w:sz w:val="18"/>
                <w:szCs w:val="20"/>
              </w:rPr>
              <w:t> r.</w:t>
            </w:r>
          </w:p>
        </w:tc>
      </w:tr>
      <w:tr w:rsidR="00250AC8" w:rsidRPr="00EC250C" w14:paraId="65A73F85" w14:textId="77777777" w:rsidTr="00A016B4">
        <w:trPr>
          <w:tblCellSpacing w:w="20" w:type="dxa"/>
        </w:trPr>
        <w:tc>
          <w:tcPr>
            <w:tcW w:w="508" w:type="dxa"/>
          </w:tcPr>
          <w:p w14:paraId="0C00FBF2" w14:textId="77777777" w:rsidR="00250AC8" w:rsidRPr="00EC250C" w:rsidRDefault="00250AC8" w:rsidP="006C70B7">
            <w:pPr>
              <w:pStyle w:val="Tabela"/>
              <w:numPr>
                <w:ilvl w:val="0"/>
                <w:numId w:val="79"/>
              </w:numPr>
              <w:ind w:left="0" w:firstLine="0"/>
              <w:contextualSpacing/>
              <w:jc w:val="both"/>
            </w:pPr>
          </w:p>
        </w:tc>
        <w:tc>
          <w:tcPr>
            <w:tcW w:w="7481" w:type="dxa"/>
          </w:tcPr>
          <w:p w14:paraId="1CCE3561"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Szczecin przez pracowników Biura PT RPO</w:t>
            </w:r>
            <w:r w:rsidR="00992FD0" w:rsidRPr="00EC250C">
              <w:rPr>
                <w:sz w:val="18"/>
                <w:szCs w:val="20"/>
              </w:rPr>
              <w:t xml:space="preserve"> w </w:t>
            </w:r>
            <w:r w:rsidRPr="00EC250C">
              <w:rPr>
                <w:sz w:val="18"/>
                <w:szCs w:val="20"/>
              </w:rPr>
              <w:t>Gdańsku.</w:t>
            </w:r>
          </w:p>
        </w:tc>
        <w:tc>
          <w:tcPr>
            <w:tcW w:w="1687" w:type="dxa"/>
          </w:tcPr>
          <w:p w14:paraId="2DE28223" w14:textId="77777777" w:rsidR="00250AC8" w:rsidRPr="00EC250C" w:rsidRDefault="00250AC8" w:rsidP="00902FC6">
            <w:pPr>
              <w:pStyle w:val="Tabela"/>
              <w:rPr>
                <w:sz w:val="18"/>
                <w:szCs w:val="20"/>
              </w:rPr>
            </w:pPr>
            <w:r w:rsidRPr="00EC250C">
              <w:rPr>
                <w:sz w:val="18"/>
                <w:szCs w:val="20"/>
              </w:rPr>
              <w:t>24–25.09.2018</w:t>
            </w:r>
            <w:r w:rsidR="00C91F6E" w:rsidRPr="00EC250C">
              <w:rPr>
                <w:sz w:val="18"/>
                <w:szCs w:val="20"/>
              </w:rPr>
              <w:t> r.</w:t>
            </w:r>
          </w:p>
        </w:tc>
      </w:tr>
      <w:tr w:rsidR="00250AC8" w:rsidRPr="00EC250C" w14:paraId="455026E7" w14:textId="77777777" w:rsidTr="00A016B4">
        <w:trPr>
          <w:tblCellSpacing w:w="20" w:type="dxa"/>
        </w:trPr>
        <w:tc>
          <w:tcPr>
            <w:tcW w:w="508" w:type="dxa"/>
          </w:tcPr>
          <w:p w14:paraId="5C3CC41B" w14:textId="77777777" w:rsidR="00250AC8" w:rsidRPr="00EC250C" w:rsidRDefault="00250AC8" w:rsidP="006C70B7">
            <w:pPr>
              <w:pStyle w:val="Tabela"/>
              <w:numPr>
                <w:ilvl w:val="0"/>
                <w:numId w:val="79"/>
              </w:numPr>
              <w:ind w:left="0" w:firstLine="0"/>
              <w:contextualSpacing/>
              <w:jc w:val="both"/>
            </w:pPr>
          </w:p>
        </w:tc>
        <w:tc>
          <w:tcPr>
            <w:tcW w:w="7481" w:type="dxa"/>
          </w:tcPr>
          <w:p w14:paraId="223C2424"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Kraków przez pracowników Biura PT RPO</w:t>
            </w:r>
            <w:r w:rsidR="00992FD0" w:rsidRPr="00EC250C">
              <w:rPr>
                <w:sz w:val="18"/>
                <w:szCs w:val="20"/>
              </w:rPr>
              <w:t xml:space="preserve"> w </w:t>
            </w:r>
            <w:r w:rsidRPr="00EC250C">
              <w:rPr>
                <w:sz w:val="18"/>
                <w:szCs w:val="20"/>
              </w:rPr>
              <w:t>Katowicach.</w:t>
            </w:r>
          </w:p>
        </w:tc>
        <w:tc>
          <w:tcPr>
            <w:tcW w:w="1687" w:type="dxa"/>
          </w:tcPr>
          <w:p w14:paraId="784334DE" w14:textId="77777777" w:rsidR="00250AC8" w:rsidRPr="00EC250C" w:rsidRDefault="00250AC8" w:rsidP="00902FC6">
            <w:pPr>
              <w:pStyle w:val="Tabela"/>
              <w:rPr>
                <w:sz w:val="18"/>
                <w:szCs w:val="20"/>
              </w:rPr>
            </w:pPr>
            <w:r w:rsidRPr="00EC250C">
              <w:rPr>
                <w:sz w:val="18"/>
                <w:szCs w:val="20"/>
              </w:rPr>
              <w:t>27.09.2018</w:t>
            </w:r>
            <w:r w:rsidR="00C91F6E" w:rsidRPr="00EC250C">
              <w:rPr>
                <w:sz w:val="18"/>
                <w:szCs w:val="20"/>
              </w:rPr>
              <w:t> r.</w:t>
            </w:r>
          </w:p>
        </w:tc>
      </w:tr>
      <w:tr w:rsidR="00250AC8" w:rsidRPr="00EC250C" w14:paraId="466BCF5C" w14:textId="77777777" w:rsidTr="00A016B4">
        <w:trPr>
          <w:tblCellSpacing w:w="20" w:type="dxa"/>
        </w:trPr>
        <w:tc>
          <w:tcPr>
            <w:tcW w:w="508" w:type="dxa"/>
          </w:tcPr>
          <w:p w14:paraId="2EF1484E" w14:textId="77777777" w:rsidR="00250AC8" w:rsidRPr="00EC250C" w:rsidRDefault="00250AC8" w:rsidP="006C70B7">
            <w:pPr>
              <w:pStyle w:val="Tabela"/>
              <w:numPr>
                <w:ilvl w:val="0"/>
                <w:numId w:val="79"/>
              </w:numPr>
              <w:ind w:left="0" w:firstLine="0"/>
              <w:contextualSpacing/>
              <w:jc w:val="both"/>
            </w:pPr>
          </w:p>
        </w:tc>
        <w:tc>
          <w:tcPr>
            <w:tcW w:w="7481" w:type="dxa"/>
          </w:tcPr>
          <w:p w14:paraId="796FB0C0"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Marszałkowskim Województwa Świętokrzyskiego</w:t>
            </w:r>
            <w:r w:rsidR="00992FD0" w:rsidRPr="00EC250C">
              <w:rPr>
                <w:sz w:val="18"/>
                <w:szCs w:val="20"/>
              </w:rPr>
              <w:t xml:space="preserve"> w </w:t>
            </w:r>
            <w:r w:rsidRPr="00EC250C">
              <w:rPr>
                <w:sz w:val="18"/>
                <w:szCs w:val="20"/>
              </w:rPr>
              <w:t>Kielcach przez pracowników Biura PT RPO</w:t>
            </w:r>
            <w:r w:rsidR="00992FD0" w:rsidRPr="00EC250C">
              <w:rPr>
                <w:sz w:val="18"/>
                <w:szCs w:val="20"/>
              </w:rPr>
              <w:t xml:space="preserve"> w </w:t>
            </w:r>
            <w:r w:rsidRPr="00EC250C">
              <w:rPr>
                <w:sz w:val="18"/>
                <w:szCs w:val="20"/>
              </w:rPr>
              <w:t>Katowicach.</w:t>
            </w:r>
          </w:p>
        </w:tc>
        <w:tc>
          <w:tcPr>
            <w:tcW w:w="1687" w:type="dxa"/>
          </w:tcPr>
          <w:p w14:paraId="4CDC9C7A" w14:textId="77777777" w:rsidR="00250AC8" w:rsidRPr="00EC250C" w:rsidRDefault="00250AC8" w:rsidP="00902FC6">
            <w:pPr>
              <w:pStyle w:val="Tabela"/>
              <w:rPr>
                <w:sz w:val="18"/>
                <w:szCs w:val="20"/>
              </w:rPr>
            </w:pPr>
            <w:r w:rsidRPr="00EC250C">
              <w:rPr>
                <w:sz w:val="18"/>
                <w:szCs w:val="20"/>
              </w:rPr>
              <w:t>27.09.2018</w:t>
            </w:r>
            <w:r w:rsidR="00C91F6E" w:rsidRPr="00EC250C">
              <w:rPr>
                <w:sz w:val="18"/>
                <w:szCs w:val="20"/>
              </w:rPr>
              <w:t> r.</w:t>
            </w:r>
          </w:p>
        </w:tc>
      </w:tr>
      <w:tr w:rsidR="00250AC8" w:rsidRPr="00EC250C" w14:paraId="19F79314" w14:textId="77777777" w:rsidTr="00A016B4">
        <w:trPr>
          <w:tblCellSpacing w:w="20" w:type="dxa"/>
        </w:trPr>
        <w:tc>
          <w:tcPr>
            <w:tcW w:w="508" w:type="dxa"/>
          </w:tcPr>
          <w:p w14:paraId="30FECA80" w14:textId="77777777" w:rsidR="00250AC8" w:rsidRPr="00EC250C" w:rsidRDefault="00250AC8" w:rsidP="006C70B7">
            <w:pPr>
              <w:pStyle w:val="Tabela"/>
              <w:numPr>
                <w:ilvl w:val="0"/>
                <w:numId w:val="79"/>
              </w:numPr>
              <w:ind w:left="0" w:firstLine="0"/>
              <w:contextualSpacing/>
              <w:jc w:val="both"/>
            </w:pPr>
          </w:p>
        </w:tc>
        <w:tc>
          <w:tcPr>
            <w:tcW w:w="7481" w:type="dxa"/>
          </w:tcPr>
          <w:p w14:paraId="39AB4E51"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Lublin przez pracownika Biura RPO</w:t>
            </w:r>
            <w:r w:rsidR="00992FD0" w:rsidRPr="00EC250C">
              <w:rPr>
                <w:sz w:val="18"/>
                <w:szCs w:val="20"/>
              </w:rPr>
              <w:t xml:space="preserve"> w </w:t>
            </w:r>
            <w:r w:rsidRPr="00EC250C">
              <w:rPr>
                <w:sz w:val="18"/>
                <w:szCs w:val="20"/>
              </w:rPr>
              <w:t>Warszawie.</w:t>
            </w:r>
          </w:p>
        </w:tc>
        <w:tc>
          <w:tcPr>
            <w:tcW w:w="1687" w:type="dxa"/>
          </w:tcPr>
          <w:p w14:paraId="7BE84DA4" w14:textId="77777777" w:rsidR="00250AC8" w:rsidRPr="00EC250C" w:rsidRDefault="00250AC8" w:rsidP="00902FC6">
            <w:pPr>
              <w:pStyle w:val="Tabela"/>
              <w:rPr>
                <w:sz w:val="18"/>
                <w:szCs w:val="20"/>
              </w:rPr>
            </w:pPr>
            <w:r w:rsidRPr="00EC250C">
              <w:rPr>
                <w:sz w:val="18"/>
                <w:szCs w:val="20"/>
              </w:rPr>
              <w:t>28.09.2018</w:t>
            </w:r>
            <w:r w:rsidR="00C91F6E" w:rsidRPr="00EC250C">
              <w:rPr>
                <w:sz w:val="18"/>
                <w:szCs w:val="20"/>
              </w:rPr>
              <w:t> r.</w:t>
            </w:r>
          </w:p>
        </w:tc>
      </w:tr>
      <w:tr w:rsidR="00250AC8" w:rsidRPr="00EC250C" w14:paraId="5A25B12D" w14:textId="77777777" w:rsidTr="00A016B4">
        <w:trPr>
          <w:tblCellSpacing w:w="20" w:type="dxa"/>
        </w:trPr>
        <w:tc>
          <w:tcPr>
            <w:tcW w:w="508" w:type="dxa"/>
          </w:tcPr>
          <w:p w14:paraId="49D21B8A" w14:textId="77777777" w:rsidR="00250AC8" w:rsidRPr="00EC250C" w:rsidRDefault="00250AC8" w:rsidP="006C70B7">
            <w:pPr>
              <w:pStyle w:val="Tabela"/>
              <w:numPr>
                <w:ilvl w:val="0"/>
                <w:numId w:val="79"/>
              </w:numPr>
              <w:ind w:left="0" w:firstLine="0"/>
              <w:contextualSpacing/>
              <w:jc w:val="both"/>
            </w:pPr>
          </w:p>
        </w:tc>
        <w:tc>
          <w:tcPr>
            <w:tcW w:w="7481" w:type="dxa"/>
          </w:tcPr>
          <w:p w14:paraId="1C775C98"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Łódź przez pracownika Biura RPO</w:t>
            </w:r>
            <w:r w:rsidR="00992FD0" w:rsidRPr="00EC250C">
              <w:rPr>
                <w:sz w:val="18"/>
                <w:szCs w:val="20"/>
              </w:rPr>
              <w:t xml:space="preserve"> w </w:t>
            </w:r>
            <w:r w:rsidRPr="00EC250C">
              <w:rPr>
                <w:sz w:val="18"/>
                <w:szCs w:val="20"/>
              </w:rPr>
              <w:t>Warszawie.</w:t>
            </w:r>
          </w:p>
        </w:tc>
        <w:tc>
          <w:tcPr>
            <w:tcW w:w="1687" w:type="dxa"/>
          </w:tcPr>
          <w:p w14:paraId="2A27F66E" w14:textId="77777777" w:rsidR="00250AC8" w:rsidRPr="00EC250C" w:rsidRDefault="00250AC8" w:rsidP="00902FC6">
            <w:pPr>
              <w:pStyle w:val="Tabela"/>
              <w:rPr>
                <w:sz w:val="18"/>
                <w:szCs w:val="20"/>
              </w:rPr>
            </w:pPr>
            <w:r w:rsidRPr="00EC250C">
              <w:rPr>
                <w:sz w:val="18"/>
                <w:szCs w:val="20"/>
              </w:rPr>
              <w:t>01.10.2018</w:t>
            </w:r>
            <w:r w:rsidR="00C91F6E" w:rsidRPr="00EC250C">
              <w:rPr>
                <w:sz w:val="18"/>
                <w:szCs w:val="20"/>
              </w:rPr>
              <w:t> r.</w:t>
            </w:r>
          </w:p>
        </w:tc>
      </w:tr>
      <w:tr w:rsidR="00250AC8" w:rsidRPr="00EC250C" w14:paraId="149BE1E4" w14:textId="77777777" w:rsidTr="00A016B4">
        <w:trPr>
          <w:tblCellSpacing w:w="20" w:type="dxa"/>
        </w:trPr>
        <w:tc>
          <w:tcPr>
            <w:tcW w:w="508" w:type="dxa"/>
          </w:tcPr>
          <w:p w14:paraId="730AF5AB" w14:textId="77777777" w:rsidR="00250AC8" w:rsidRPr="00EC250C" w:rsidRDefault="00250AC8" w:rsidP="006C70B7">
            <w:pPr>
              <w:pStyle w:val="Tabela"/>
              <w:numPr>
                <w:ilvl w:val="0"/>
                <w:numId w:val="79"/>
              </w:numPr>
              <w:ind w:left="0" w:firstLine="0"/>
              <w:contextualSpacing/>
              <w:jc w:val="both"/>
            </w:pPr>
          </w:p>
        </w:tc>
        <w:tc>
          <w:tcPr>
            <w:tcW w:w="7481" w:type="dxa"/>
          </w:tcPr>
          <w:p w14:paraId="067F97A9"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Wałbrzych przez pracownika Biura PT RPO we Wrocławiu.</w:t>
            </w:r>
          </w:p>
        </w:tc>
        <w:tc>
          <w:tcPr>
            <w:tcW w:w="1687" w:type="dxa"/>
          </w:tcPr>
          <w:p w14:paraId="67E9EFA8" w14:textId="77777777" w:rsidR="00250AC8" w:rsidRPr="00EC250C" w:rsidRDefault="00250AC8" w:rsidP="00902FC6">
            <w:pPr>
              <w:pStyle w:val="Tabela"/>
              <w:rPr>
                <w:sz w:val="18"/>
                <w:szCs w:val="20"/>
              </w:rPr>
            </w:pPr>
            <w:r w:rsidRPr="00EC250C">
              <w:rPr>
                <w:sz w:val="18"/>
                <w:szCs w:val="20"/>
              </w:rPr>
              <w:t>08.10.2018</w:t>
            </w:r>
            <w:r w:rsidR="00C91F6E" w:rsidRPr="00EC250C">
              <w:rPr>
                <w:sz w:val="18"/>
                <w:szCs w:val="20"/>
              </w:rPr>
              <w:t> r.</w:t>
            </w:r>
          </w:p>
        </w:tc>
      </w:tr>
      <w:tr w:rsidR="00250AC8" w:rsidRPr="00EC250C" w14:paraId="00D3EB3E" w14:textId="77777777" w:rsidTr="00A016B4">
        <w:trPr>
          <w:tblCellSpacing w:w="20" w:type="dxa"/>
        </w:trPr>
        <w:tc>
          <w:tcPr>
            <w:tcW w:w="508" w:type="dxa"/>
          </w:tcPr>
          <w:p w14:paraId="3B35A3D9" w14:textId="77777777" w:rsidR="00250AC8" w:rsidRPr="00EC250C" w:rsidRDefault="00250AC8" w:rsidP="006C70B7">
            <w:pPr>
              <w:pStyle w:val="Tabela"/>
              <w:numPr>
                <w:ilvl w:val="0"/>
                <w:numId w:val="79"/>
              </w:numPr>
              <w:ind w:left="0" w:firstLine="0"/>
              <w:contextualSpacing/>
              <w:jc w:val="both"/>
            </w:pPr>
          </w:p>
        </w:tc>
        <w:tc>
          <w:tcPr>
            <w:tcW w:w="7481" w:type="dxa"/>
          </w:tcPr>
          <w:p w14:paraId="13DB8245"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Słupsk przez pracowników Biura PT RPO</w:t>
            </w:r>
            <w:r w:rsidR="00992FD0" w:rsidRPr="00EC250C">
              <w:rPr>
                <w:sz w:val="18"/>
                <w:szCs w:val="20"/>
              </w:rPr>
              <w:t xml:space="preserve"> w </w:t>
            </w:r>
            <w:r w:rsidRPr="00EC250C">
              <w:rPr>
                <w:sz w:val="18"/>
                <w:szCs w:val="20"/>
              </w:rPr>
              <w:t>Gdańsku.</w:t>
            </w:r>
          </w:p>
        </w:tc>
        <w:tc>
          <w:tcPr>
            <w:tcW w:w="1687" w:type="dxa"/>
          </w:tcPr>
          <w:p w14:paraId="67213AA6" w14:textId="77777777" w:rsidR="00250AC8" w:rsidRPr="00EC250C" w:rsidRDefault="00250AC8" w:rsidP="00902FC6">
            <w:pPr>
              <w:pStyle w:val="Tabela"/>
              <w:rPr>
                <w:sz w:val="18"/>
                <w:szCs w:val="20"/>
              </w:rPr>
            </w:pPr>
            <w:r w:rsidRPr="00EC250C">
              <w:rPr>
                <w:sz w:val="18"/>
                <w:szCs w:val="20"/>
              </w:rPr>
              <w:t>11.10.2018</w:t>
            </w:r>
            <w:r w:rsidR="00C91F6E" w:rsidRPr="00EC250C">
              <w:rPr>
                <w:sz w:val="18"/>
                <w:szCs w:val="20"/>
              </w:rPr>
              <w:t> r.</w:t>
            </w:r>
          </w:p>
        </w:tc>
      </w:tr>
      <w:tr w:rsidR="00250AC8" w:rsidRPr="00EC250C" w14:paraId="53F5CA40" w14:textId="77777777" w:rsidTr="00A016B4">
        <w:trPr>
          <w:tblCellSpacing w:w="20" w:type="dxa"/>
        </w:trPr>
        <w:tc>
          <w:tcPr>
            <w:tcW w:w="508" w:type="dxa"/>
          </w:tcPr>
          <w:p w14:paraId="5CF46371" w14:textId="77777777" w:rsidR="00250AC8" w:rsidRPr="00EC250C" w:rsidRDefault="00250AC8" w:rsidP="006C70B7">
            <w:pPr>
              <w:pStyle w:val="Tabela"/>
              <w:numPr>
                <w:ilvl w:val="0"/>
                <w:numId w:val="79"/>
              </w:numPr>
              <w:ind w:left="0" w:firstLine="0"/>
              <w:contextualSpacing/>
              <w:jc w:val="both"/>
            </w:pPr>
          </w:p>
        </w:tc>
        <w:tc>
          <w:tcPr>
            <w:tcW w:w="7481" w:type="dxa"/>
          </w:tcPr>
          <w:p w14:paraId="2697CF8E"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Kujawsko-Pomorskim Urzędzie Wojewódzkim</w:t>
            </w:r>
            <w:r w:rsidR="00992FD0" w:rsidRPr="00EC250C">
              <w:rPr>
                <w:sz w:val="18"/>
                <w:szCs w:val="20"/>
              </w:rPr>
              <w:t xml:space="preserve"> w </w:t>
            </w:r>
            <w:r w:rsidRPr="00EC250C">
              <w:rPr>
                <w:sz w:val="18"/>
                <w:szCs w:val="20"/>
              </w:rPr>
              <w:t>Bydgoszczy przez pracowników Biura PT RPO</w:t>
            </w:r>
            <w:r w:rsidR="00992FD0" w:rsidRPr="00EC250C">
              <w:rPr>
                <w:sz w:val="18"/>
                <w:szCs w:val="20"/>
              </w:rPr>
              <w:t xml:space="preserve"> w </w:t>
            </w:r>
            <w:r w:rsidRPr="00EC250C">
              <w:rPr>
                <w:sz w:val="18"/>
                <w:szCs w:val="20"/>
              </w:rPr>
              <w:t>Gdańsku.</w:t>
            </w:r>
          </w:p>
        </w:tc>
        <w:tc>
          <w:tcPr>
            <w:tcW w:w="1687" w:type="dxa"/>
          </w:tcPr>
          <w:p w14:paraId="29022FF0" w14:textId="77777777" w:rsidR="00250AC8" w:rsidRPr="00EC250C" w:rsidRDefault="00250AC8" w:rsidP="00902FC6">
            <w:pPr>
              <w:pStyle w:val="Tabela"/>
              <w:rPr>
                <w:sz w:val="18"/>
                <w:szCs w:val="20"/>
              </w:rPr>
            </w:pPr>
            <w:r w:rsidRPr="00EC250C">
              <w:rPr>
                <w:sz w:val="18"/>
                <w:szCs w:val="20"/>
              </w:rPr>
              <w:t>19.10.2018</w:t>
            </w:r>
            <w:r w:rsidR="00C91F6E" w:rsidRPr="00EC250C">
              <w:rPr>
                <w:sz w:val="18"/>
                <w:szCs w:val="20"/>
              </w:rPr>
              <w:t> r.</w:t>
            </w:r>
          </w:p>
        </w:tc>
      </w:tr>
      <w:tr w:rsidR="00250AC8" w:rsidRPr="00EC250C" w14:paraId="5F10E27A" w14:textId="77777777" w:rsidTr="00A016B4">
        <w:trPr>
          <w:tblCellSpacing w:w="20" w:type="dxa"/>
        </w:trPr>
        <w:tc>
          <w:tcPr>
            <w:tcW w:w="508" w:type="dxa"/>
          </w:tcPr>
          <w:p w14:paraId="175CDEB5" w14:textId="77777777" w:rsidR="00250AC8" w:rsidRPr="00EC250C" w:rsidRDefault="00250AC8" w:rsidP="006C70B7">
            <w:pPr>
              <w:pStyle w:val="Tabela"/>
              <w:numPr>
                <w:ilvl w:val="0"/>
                <w:numId w:val="79"/>
              </w:numPr>
              <w:ind w:left="0" w:firstLine="0"/>
              <w:contextualSpacing/>
              <w:jc w:val="both"/>
            </w:pPr>
          </w:p>
        </w:tc>
        <w:tc>
          <w:tcPr>
            <w:tcW w:w="7481" w:type="dxa"/>
          </w:tcPr>
          <w:p w14:paraId="60D876FB"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Częstochowa przez pracowników Biura PT RPO</w:t>
            </w:r>
            <w:r w:rsidR="00992FD0" w:rsidRPr="00EC250C">
              <w:rPr>
                <w:sz w:val="18"/>
                <w:szCs w:val="20"/>
              </w:rPr>
              <w:t xml:space="preserve"> w </w:t>
            </w:r>
            <w:r w:rsidRPr="00EC250C">
              <w:rPr>
                <w:sz w:val="18"/>
                <w:szCs w:val="20"/>
              </w:rPr>
              <w:t>Katowicach.</w:t>
            </w:r>
          </w:p>
        </w:tc>
        <w:tc>
          <w:tcPr>
            <w:tcW w:w="1687" w:type="dxa"/>
          </w:tcPr>
          <w:p w14:paraId="6B5961FC" w14:textId="77777777" w:rsidR="00250AC8" w:rsidRPr="00EC250C" w:rsidRDefault="00250AC8" w:rsidP="00902FC6">
            <w:pPr>
              <w:pStyle w:val="Tabela"/>
              <w:rPr>
                <w:sz w:val="18"/>
                <w:szCs w:val="20"/>
              </w:rPr>
            </w:pPr>
            <w:r w:rsidRPr="00EC250C">
              <w:rPr>
                <w:sz w:val="18"/>
                <w:szCs w:val="20"/>
              </w:rPr>
              <w:t>25.10.2018</w:t>
            </w:r>
            <w:r w:rsidR="00C91F6E" w:rsidRPr="00EC250C">
              <w:rPr>
                <w:sz w:val="18"/>
                <w:szCs w:val="20"/>
              </w:rPr>
              <w:t> r.</w:t>
            </w:r>
          </w:p>
        </w:tc>
      </w:tr>
      <w:tr w:rsidR="00250AC8" w:rsidRPr="00EC250C" w14:paraId="19FB9A94" w14:textId="77777777" w:rsidTr="00A016B4">
        <w:trPr>
          <w:tblCellSpacing w:w="20" w:type="dxa"/>
        </w:trPr>
        <w:tc>
          <w:tcPr>
            <w:tcW w:w="508" w:type="dxa"/>
          </w:tcPr>
          <w:p w14:paraId="25CD4BBF" w14:textId="77777777" w:rsidR="00250AC8" w:rsidRPr="00EC250C" w:rsidRDefault="00250AC8" w:rsidP="006C70B7">
            <w:pPr>
              <w:pStyle w:val="Tabela"/>
              <w:numPr>
                <w:ilvl w:val="0"/>
                <w:numId w:val="79"/>
              </w:numPr>
              <w:ind w:left="0" w:firstLine="0"/>
              <w:contextualSpacing/>
              <w:jc w:val="both"/>
            </w:pPr>
          </w:p>
        </w:tc>
        <w:tc>
          <w:tcPr>
            <w:tcW w:w="7481" w:type="dxa"/>
          </w:tcPr>
          <w:p w14:paraId="4FDFA7AA"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Marszałkowskim Województwa Świętokrzyskiego</w:t>
            </w:r>
            <w:r w:rsidR="00992FD0" w:rsidRPr="00EC250C">
              <w:rPr>
                <w:sz w:val="18"/>
                <w:szCs w:val="20"/>
              </w:rPr>
              <w:t xml:space="preserve"> w </w:t>
            </w:r>
            <w:r w:rsidRPr="00EC250C">
              <w:rPr>
                <w:sz w:val="18"/>
                <w:szCs w:val="20"/>
              </w:rPr>
              <w:t>Kielcach przez pracowników Biura PT RPO</w:t>
            </w:r>
            <w:r w:rsidR="00992FD0" w:rsidRPr="00EC250C">
              <w:rPr>
                <w:sz w:val="18"/>
                <w:szCs w:val="20"/>
              </w:rPr>
              <w:t xml:space="preserve"> w </w:t>
            </w:r>
            <w:r w:rsidRPr="00EC250C">
              <w:rPr>
                <w:sz w:val="18"/>
                <w:szCs w:val="20"/>
              </w:rPr>
              <w:t>Katowicach.</w:t>
            </w:r>
          </w:p>
        </w:tc>
        <w:tc>
          <w:tcPr>
            <w:tcW w:w="1687" w:type="dxa"/>
          </w:tcPr>
          <w:p w14:paraId="52301753" w14:textId="77777777" w:rsidR="00250AC8" w:rsidRPr="00EC250C" w:rsidRDefault="00250AC8" w:rsidP="00902FC6">
            <w:pPr>
              <w:pStyle w:val="Tabela"/>
              <w:rPr>
                <w:sz w:val="18"/>
                <w:szCs w:val="20"/>
              </w:rPr>
            </w:pPr>
            <w:r w:rsidRPr="00EC250C">
              <w:rPr>
                <w:sz w:val="18"/>
                <w:szCs w:val="20"/>
              </w:rPr>
              <w:t>25.10.2018</w:t>
            </w:r>
            <w:r w:rsidR="00C91F6E" w:rsidRPr="00EC250C">
              <w:rPr>
                <w:sz w:val="18"/>
                <w:szCs w:val="20"/>
              </w:rPr>
              <w:t> r.</w:t>
            </w:r>
          </w:p>
        </w:tc>
      </w:tr>
      <w:tr w:rsidR="00250AC8" w:rsidRPr="00EC250C" w14:paraId="6B9343C6" w14:textId="77777777" w:rsidTr="00A016B4">
        <w:trPr>
          <w:tblCellSpacing w:w="20" w:type="dxa"/>
        </w:trPr>
        <w:tc>
          <w:tcPr>
            <w:tcW w:w="508" w:type="dxa"/>
          </w:tcPr>
          <w:p w14:paraId="6465E7EB" w14:textId="77777777" w:rsidR="00250AC8" w:rsidRPr="00EC250C" w:rsidRDefault="00250AC8" w:rsidP="006C70B7">
            <w:pPr>
              <w:pStyle w:val="Tabela"/>
              <w:numPr>
                <w:ilvl w:val="0"/>
                <w:numId w:val="79"/>
              </w:numPr>
              <w:ind w:left="0" w:firstLine="0"/>
              <w:contextualSpacing/>
              <w:jc w:val="both"/>
            </w:pPr>
          </w:p>
        </w:tc>
        <w:tc>
          <w:tcPr>
            <w:tcW w:w="7481" w:type="dxa"/>
          </w:tcPr>
          <w:p w14:paraId="347F1F81"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Lublin przez pracownika Biura RPO</w:t>
            </w:r>
            <w:r w:rsidR="00992FD0" w:rsidRPr="00EC250C">
              <w:rPr>
                <w:sz w:val="18"/>
                <w:szCs w:val="20"/>
              </w:rPr>
              <w:t xml:space="preserve"> w </w:t>
            </w:r>
            <w:r w:rsidRPr="00EC250C">
              <w:rPr>
                <w:sz w:val="18"/>
                <w:szCs w:val="20"/>
              </w:rPr>
              <w:t>Warszawie.</w:t>
            </w:r>
          </w:p>
        </w:tc>
        <w:tc>
          <w:tcPr>
            <w:tcW w:w="1687" w:type="dxa"/>
          </w:tcPr>
          <w:p w14:paraId="0BE85861" w14:textId="77777777" w:rsidR="00250AC8" w:rsidRPr="00EC250C" w:rsidRDefault="00250AC8" w:rsidP="00902FC6">
            <w:pPr>
              <w:pStyle w:val="Tabela"/>
              <w:rPr>
                <w:sz w:val="18"/>
                <w:szCs w:val="20"/>
              </w:rPr>
            </w:pPr>
            <w:r w:rsidRPr="00EC250C">
              <w:rPr>
                <w:sz w:val="18"/>
                <w:szCs w:val="20"/>
              </w:rPr>
              <w:t>26.10.2018</w:t>
            </w:r>
            <w:r w:rsidR="00C91F6E" w:rsidRPr="00EC250C">
              <w:rPr>
                <w:sz w:val="18"/>
                <w:szCs w:val="20"/>
              </w:rPr>
              <w:t> r.</w:t>
            </w:r>
          </w:p>
        </w:tc>
      </w:tr>
      <w:tr w:rsidR="00250AC8" w:rsidRPr="00EC250C" w14:paraId="6AA77C4E" w14:textId="77777777" w:rsidTr="00A016B4">
        <w:trPr>
          <w:tblCellSpacing w:w="20" w:type="dxa"/>
        </w:trPr>
        <w:tc>
          <w:tcPr>
            <w:tcW w:w="508" w:type="dxa"/>
          </w:tcPr>
          <w:p w14:paraId="0B9BE829" w14:textId="77777777" w:rsidR="00250AC8" w:rsidRPr="00EC250C" w:rsidRDefault="00250AC8" w:rsidP="006C70B7">
            <w:pPr>
              <w:pStyle w:val="Tabela"/>
              <w:numPr>
                <w:ilvl w:val="0"/>
                <w:numId w:val="79"/>
              </w:numPr>
              <w:ind w:left="0" w:firstLine="0"/>
              <w:contextualSpacing/>
              <w:jc w:val="both"/>
            </w:pPr>
          </w:p>
        </w:tc>
        <w:tc>
          <w:tcPr>
            <w:tcW w:w="7481" w:type="dxa"/>
          </w:tcPr>
          <w:p w14:paraId="77262FA7"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Szczecin przez pracowników Biura PT RPO</w:t>
            </w:r>
            <w:r w:rsidR="00992FD0" w:rsidRPr="00EC250C">
              <w:rPr>
                <w:sz w:val="18"/>
                <w:szCs w:val="20"/>
              </w:rPr>
              <w:t xml:space="preserve"> w </w:t>
            </w:r>
            <w:r w:rsidRPr="00EC250C">
              <w:rPr>
                <w:sz w:val="18"/>
                <w:szCs w:val="20"/>
              </w:rPr>
              <w:t>Gdańsku.</w:t>
            </w:r>
          </w:p>
        </w:tc>
        <w:tc>
          <w:tcPr>
            <w:tcW w:w="1687" w:type="dxa"/>
          </w:tcPr>
          <w:p w14:paraId="0EFF13CE" w14:textId="77777777" w:rsidR="00250AC8" w:rsidRPr="00EC250C" w:rsidRDefault="00250AC8" w:rsidP="00902FC6">
            <w:pPr>
              <w:pStyle w:val="Tabela"/>
              <w:rPr>
                <w:sz w:val="18"/>
                <w:szCs w:val="20"/>
              </w:rPr>
            </w:pPr>
            <w:r w:rsidRPr="00EC250C">
              <w:rPr>
                <w:sz w:val="18"/>
                <w:szCs w:val="20"/>
              </w:rPr>
              <w:t>29–30.10.2018</w:t>
            </w:r>
            <w:r w:rsidR="00C91F6E" w:rsidRPr="00EC250C">
              <w:rPr>
                <w:sz w:val="18"/>
                <w:szCs w:val="20"/>
              </w:rPr>
              <w:t> r.</w:t>
            </w:r>
          </w:p>
        </w:tc>
      </w:tr>
      <w:tr w:rsidR="00250AC8" w:rsidRPr="00EC250C" w14:paraId="6FFF2FC4" w14:textId="77777777" w:rsidTr="00A016B4">
        <w:trPr>
          <w:tblCellSpacing w:w="20" w:type="dxa"/>
        </w:trPr>
        <w:tc>
          <w:tcPr>
            <w:tcW w:w="508" w:type="dxa"/>
          </w:tcPr>
          <w:p w14:paraId="3658BE90" w14:textId="77777777" w:rsidR="00250AC8" w:rsidRPr="00EC250C" w:rsidRDefault="00250AC8" w:rsidP="006C70B7">
            <w:pPr>
              <w:pStyle w:val="Tabela"/>
              <w:numPr>
                <w:ilvl w:val="0"/>
                <w:numId w:val="79"/>
              </w:numPr>
              <w:ind w:left="0" w:firstLine="0"/>
              <w:contextualSpacing/>
              <w:jc w:val="both"/>
            </w:pPr>
          </w:p>
        </w:tc>
        <w:tc>
          <w:tcPr>
            <w:tcW w:w="7481" w:type="dxa"/>
            <w:vAlign w:val="bottom"/>
          </w:tcPr>
          <w:p w14:paraId="05936851"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Łódź przez pracownika Biura RPO</w:t>
            </w:r>
            <w:r w:rsidR="00992FD0" w:rsidRPr="00EC250C">
              <w:rPr>
                <w:sz w:val="18"/>
                <w:szCs w:val="20"/>
              </w:rPr>
              <w:t xml:space="preserve"> w </w:t>
            </w:r>
            <w:r w:rsidRPr="00EC250C">
              <w:rPr>
                <w:sz w:val="18"/>
                <w:szCs w:val="20"/>
              </w:rPr>
              <w:t>Warszawie.</w:t>
            </w:r>
          </w:p>
        </w:tc>
        <w:tc>
          <w:tcPr>
            <w:tcW w:w="1687" w:type="dxa"/>
          </w:tcPr>
          <w:p w14:paraId="0315A247" w14:textId="77777777" w:rsidR="00250AC8" w:rsidRPr="00EC250C" w:rsidRDefault="00250AC8" w:rsidP="00902FC6">
            <w:pPr>
              <w:pStyle w:val="Tabela"/>
              <w:rPr>
                <w:sz w:val="18"/>
                <w:szCs w:val="20"/>
              </w:rPr>
            </w:pPr>
            <w:r w:rsidRPr="00EC250C">
              <w:rPr>
                <w:sz w:val="18"/>
                <w:szCs w:val="20"/>
              </w:rPr>
              <w:t>05.11.2018</w:t>
            </w:r>
            <w:r w:rsidR="00C91F6E" w:rsidRPr="00EC250C">
              <w:rPr>
                <w:sz w:val="18"/>
                <w:szCs w:val="20"/>
              </w:rPr>
              <w:t> r.</w:t>
            </w:r>
          </w:p>
        </w:tc>
      </w:tr>
      <w:tr w:rsidR="00250AC8" w:rsidRPr="00EC250C" w14:paraId="27C4DDFA" w14:textId="77777777" w:rsidTr="00A016B4">
        <w:trPr>
          <w:tblCellSpacing w:w="20" w:type="dxa"/>
        </w:trPr>
        <w:tc>
          <w:tcPr>
            <w:tcW w:w="508" w:type="dxa"/>
          </w:tcPr>
          <w:p w14:paraId="2BD87854" w14:textId="77777777" w:rsidR="00250AC8" w:rsidRPr="00EC250C" w:rsidRDefault="00250AC8" w:rsidP="006C70B7">
            <w:pPr>
              <w:pStyle w:val="Tabela"/>
              <w:numPr>
                <w:ilvl w:val="0"/>
                <w:numId w:val="79"/>
              </w:numPr>
              <w:ind w:left="0" w:firstLine="0"/>
              <w:contextualSpacing/>
              <w:jc w:val="both"/>
            </w:pPr>
          </w:p>
        </w:tc>
        <w:tc>
          <w:tcPr>
            <w:tcW w:w="7481" w:type="dxa"/>
          </w:tcPr>
          <w:p w14:paraId="2A8CFE51"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Koszalin przez pracowników Biura PT RPO</w:t>
            </w:r>
            <w:r w:rsidR="00992FD0" w:rsidRPr="00EC250C">
              <w:rPr>
                <w:sz w:val="18"/>
                <w:szCs w:val="20"/>
              </w:rPr>
              <w:t xml:space="preserve"> w </w:t>
            </w:r>
            <w:r w:rsidRPr="00EC250C">
              <w:rPr>
                <w:sz w:val="18"/>
                <w:szCs w:val="20"/>
              </w:rPr>
              <w:t>Gdańsku.</w:t>
            </w:r>
          </w:p>
        </w:tc>
        <w:tc>
          <w:tcPr>
            <w:tcW w:w="1687" w:type="dxa"/>
          </w:tcPr>
          <w:p w14:paraId="7E052E0E" w14:textId="77777777" w:rsidR="00250AC8" w:rsidRPr="00EC250C" w:rsidRDefault="00250AC8" w:rsidP="00902FC6">
            <w:pPr>
              <w:pStyle w:val="Tabela"/>
              <w:rPr>
                <w:sz w:val="18"/>
                <w:szCs w:val="20"/>
              </w:rPr>
            </w:pPr>
            <w:r w:rsidRPr="00EC250C">
              <w:rPr>
                <w:sz w:val="18"/>
                <w:szCs w:val="20"/>
              </w:rPr>
              <w:t>08.11.2018</w:t>
            </w:r>
            <w:r w:rsidR="00C91F6E" w:rsidRPr="00EC250C">
              <w:rPr>
                <w:sz w:val="18"/>
                <w:szCs w:val="20"/>
              </w:rPr>
              <w:t> r.</w:t>
            </w:r>
          </w:p>
        </w:tc>
      </w:tr>
      <w:tr w:rsidR="00250AC8" w:rsidRPr="00EC250C" w14:paraId="5C1984A3" w14:textId="77777777" w:rsidTr="00A016B4">
        <w:trPr>
          <w:tblCellSpacing w:w="20" w:type="dxa"/>
        </w:trPr>
        <w:tc>
          <w:tcPr>
            <w:tcW w:w="508" w:type="dxa"/>
          </w:tcPr>
          <w:p w14:paraId="46848248" w14:textId="77777777" w:rsidR="00250AC8" w:rsidRPr="00EC250C" w:rsidRDefault="00250AC8" w:rsidP="006C70B7">
            <w:pPr>
              <w:pStyle w:val="Tabela"/>
              <w:numPr>
                <w:ilvl w:val="0"/>
                <w:numId w:val="79"/>
              </w:numPr>
              <w:ind w:left="0" w:firstLine="0"/>
              <w:contextualSpacing/>
              <w:jc w:val="both"/>
            </w:pPr>
          </w:p>
        </w:tc>
        <w:tc>
          <w:tcPr>
            <w:tcW w:w="7481" w:type="dxa"/>
          </w:tcPr>
          <w:p w14:paraId="6486E26A"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Wałbrzych przez pracownika Biura PT RPO</w:t>
            </w:r>
            <w:r w:rsidR="00992FD0" w:rsidRPr="00EC250C">
              <w:rPr>
                <w:sz w:val="18"/>
                <w:szCs w:val="20"/>
              </w:rPr>
              <w:t xml:space="preserve"> w </w:t>
            </w:r>
            <w:r w:rsidRPr="00EC250C">
              <w:rPr>
                <w:sz w:val="18"/>
                <w:szCs w:val="20"/>
              </w:rPr>
              <w:t>Katowicach.</w:t>
            </w:r>
          </w:p>
        </w:tc>
        <w:tc>
          <w:tcPr>
            <w:tcW w:w="1687" w:type="dxa"/>
          </w:tcPr>
          <w:p w14:paraId="25A8E9AE" w14:textId="77777777" w:rsidR="00250AC8" w:rsidRPr="00EC250C" w:rsidRDefault="00250AC8" w:rsidP="00902FC6">
            <w:pPr>
              <w:pStyle w:val="Tabela"/>
              <w:rPr>
                <w:sz w:val="18"/>
                <w:szCs w:val="20"/>
              </w:rPr>
            </w:pPr>
            <w:r w:rsidRPr="00EC250C">
              <w:rPr>
                <w:sz w:val="18"/>
                <w:szCs w:val="20"/>
              </w:rPr>
              <w:t>12.11.2018</w:t>
            </w:r>
            <w:r w:rsidR="00C91F6E" w:rsidRPr="00EC250C">
              <w:rPr>
                <w:sz w:val="18"/>
                <w:szCs w:val="20"/>
              </w:rPr>
              <w:t> r.</w:t>
            </w:r>
          </w:p>
        </w:tc>
      </w:tr>
      <w:tr w:rsidR="00250AC8" w:rsidRPr="00EC250C" w14:paraId="78A12F42" w14:textId="77777777" w:rsidTr="00A016B4">
        <w:trPr>
          <w:tblCellSpacing w:w="20" w:type="dxa"/>
        </w:trPr>
        <w:tc>
          <w:tcPr>
            <w:tcW w:w="508" w:type="dxa"/>
          </w:tcPr>
          <w:p w14:paraId="5A02458B" w14:textId="77777777" w:rsidR="00250AC8" w:rsidRPr="00EC250C" w:rsidRDefault="00250AC8" w:rsidP="006C70B7">
            <w:pPr>
              <w:pStyle w:val="Tabela"/>
              <w:numPr>
                <w:ilvl w:val="0"/>
                <w:numId w:val="79"/>
              </w:numPr>
              <w:ind w:left="0" w:firstLine="0"/>
              <w:contextualSpacing/>
              <w:jc w:val="both"/>
            </w:pPr>
          </w:p>
        </w:tc>
        <w:tc>
          <w:tcPr>
            <w:tcW w:w="7481" w:type="dxa"/>
          </w:tcPr>
          <w:p w14:paraId="2432C7A7"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Poznań przez pracowników Biura RPO</w:t>
            </w:r>
            <w:r w:rsidR="00992FD0" w:rsidRPr="00EC250C">
              <w:rPr>
                <w:sz w:val="18"/>
                <w:szCs w:val="20"/>
              </w:rPr>
              <w:t xml:space="preserve"> w </w:t>
            </w:r>
            <w:r w:rsidRPr="00EC250C">
              <w:rPr>
                <w:sz w:val="18"/>
                <w:szCs w:val="20"/>
              </w:rPr>
              <w:t>Warszawie.</w:t>
            </w:r>
          </w:p>
        </w:tc>
        <w:tc>
          <w:tcPr>
            <w:tcW w:w="1687" w:type="dxa"/>
          </w:tcPr>
          <w:p w14:paraId="4B22298F" w14:textId="77777777" w:rsidR="00250AC8" w:rsidRPr="00EC250C" w:rsidRDefault="00250AC8" w:rsidP="00902FC6">
            <w:pPr>
              <w:pStyle w:val="Tabela"/>
              <w:rPr>
                <w:sz w:val="18"/>
                <w:szCs w:val="20"/>
              </w:rPr>
            </w:pPr>
            <w:r w:rsidRPr="00EC250C">
              <w:rPr>
                <w:sz w:val="18"/>
                <w:szCs w:val="20"/>
              </w:rPr>
              <w:t>14.11.2018</w:t>
            </w:r>
            <w:r w:rsidR="00C91F6E" w:rsidRPr="00EC250C">
              <w:rPr>
                <w:sz w:val="18"/>
                <w:szCs w:val="20"/>
              </w:rPr>
              <w:t> r.</w:t>
            </w:r>
          </w:p>
        </w:tc>
      </w:tr>
      <w:tr w:rsidR="00250AC8" w:rsidRPr="00EC250C" w14:paraId="2C3152AE" w14:textId="77777777" w:rsidTr="00A016B4">
        <w:trPr>
          <w:tblCellSpacing w:w="20" w:type="dxa"/>
        </w:trPr>
        <w:tc>
          <w:tcPr>
            <w:tcW w:w="508" w:type="dxa"/>
          </w:tcPr>
          <w:p w14:paraId="5A9EEEC9" w14:textId="77777777" w:rsidR="00250AC8" w:rsidRPr="00EC250C" w:rsidRDefault="00250AC8" w:rsidP="006C70B7">
            <w:pPr>
              <w:pStyle w:val="Tabela"/>
              <w:numPr>
                <w:ilvl w:val="0"/>
                <w:numId w:val="79"/>
              </w:numPr>
              <w:ind w:left="0" w:firstLine="0"/>
              <w:contextualSpacing/>
              <w:jc w:val="both"/>
            </w:pPr>
          </w:p>
        </w:tc>
        <w:tc>
          <w:tcPr>
            <w:tcW w:w="7481" w:type="dxa"/>
          </w:tcPr>
          <w:p w14:paraId="1E3B7FF2"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Kujawsko-Pomorskim Urzędzie Wojewódzkim</w:t>
            </w:r>
            <w:r w:rsidR="00992FD0" w:rsidRPr="00EC250C">
              <w:rPr>
                <w:sz w:val="18"/>
                <w:szCs w:val="20"/>
              </w:rPr>
              <w:t xml:space="preserve"> w </w:t>
            </w:r>
            <w:r w:rsidRPr="00EC250C">
              <w:rPr>
                <w:sz w:val="18"/>
                <w:szCs w:val="20"/>
              </w:rPr>
              <w:t>Bydgoszczy przez pracowników Biura PT RPO</w:t>
            </w:r>
            <w:r w:rsidR="00992FD0" w:rsidRPr="00EC250C">
              <w:rPr>
                <w:sz w:val="18"/>
                <w:szCs w:val="20"/>
              </w:rPr>
              <w:t xml:space="preserve"> w </w:t>
            </w:r>
            <w:r w:rsidRPr="00EC250C">
              <w:rPr>
                <w:sz w:val="18"/>
                <w:szCs w:val="20"/>
              </w:rPr>
              <w:t>Gdańsku.</w:t>
            </w:r>
          </w:p>
        </w:tc>
        <w:tc>
          <w:tcPr>
            <w:tcW w:w="1687" w:type="dxa"/>
          </w:tcPr>
          <w:p w14:paraId="6BA8221B" w14:textId="77777777" w:rsidR="00250AC8" w:rsidRPr="00EC250C" w:rsidRDefault="00250AC8" w:rsidP="00902FC6">
            <w:pPr>
              <w:pStyle w:val="Tabela"/>
              <w:rPr>
                <w:sz w:val="18"/>
                <w:szCs w:val="20"/>
              </w:rPr>
            </w:pPr>
            <w:r w:rsidRPr="00EC250C">
              <w:rPr>
                <w:sz w:val="18"/>
                <w:szCs w:val="20"/>
              </w:rPr>
              <w:t>16.11.2018</w:t>
            </w:r>
            <w:r w:rsidR="00C91F6E" w:rsidRPr="00EC250C">
              <w:rPr>
                <w:sz w:val="18"/>
                <w:szCs w:val="20"/>
              </w:rPr>
              <w:t> r.</w:t>
            </w:r>
          </w:p>
        </w:tc>
      </w:tr>
      <w:tr w:rsidR="00250AC8" w:rsidRPr="00EC250C" w14:paraId="409409AC" w14:textId="77777777" w:rsidTr="00A016B4">
        <w:trPr>
          <w:tblCellSpacing w:w="20" w:type="dxa"/>
        </w:trPr>
        <w:tc>
          <w:tcPr>
            <w:tcW w:w="508" w:type="dxa"/>
          </w:tcPr>
          <w:p w14:paraId="7B3DB433" w14:textId="77777777" w:rsidR="00250AC8" w:rsidRPr="00EC250C" w:rsidRDefault="00250AC8" w:rsidP="006C70B7">
            <w:pPr>
              <w:pStyle w:val="Tabela"/>
              <w:numPr>
                <w:ilvl w:val="0"/>
                <w:numId w:val="79"/>
              </w:numPr>
              <w:ind w:left="0" w:firstLine="0"/>
              <w:contextualSpacing/>
              <w:jc w:val="both"/>
            </w:pPr>
          </w:p>
        </w:tc>
        <w:tc>
          <w:tcPr>
            <w:tcW w:w="7481" w:type="dxa"/>
          </w:tcPr>
          <w:p w14:paraId="09370450" w14:textId="406E0E96"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w ramach spotkań regionalnych:</w:t>
            </w:r>
          </w:p>
          <w:p w14:paraId="1EAD273D" w14:textId="77777777" w:rsidR="00250AC8" w:rsidRPr="00EC250C" w:rsidRDefault="00250AC8" w:rsidP="00902FC6">
            <w:pPr>
              <w:pStyle w:val="Tabela"/>
              <w:rPr>
                <w:sz w:val="18"/>
                <w:szCs w:val="20"/>
              </w:rPr>
            </w:pPr>
            <w:r w:rsidRPr="00EC250C">
              <w:rPr>
                <w:sz w:val="18"/>
                <w:szCs w:val="20"/>
              </w:rPr>
              <w:t>- spotkanie</w:t>
            </w:r>
            <w:r w:rsidR="00992FD0" w:rsidRPr="00EC250C">
              <w:rPr>
                <w:sz w:val="18"/>
                <w:szCs w:val="20"/>
              </w:rPr>
              <w:t xml:space="preserve"> z </w:t>
            </w:r>
            <w:r w:rsidRPr="00EC250C">
              <w:rPr>
                <w:sz w:val="18"/>
                <w:szCs w:val="20"/>
              </w:rPr>
              <w:t>mieszkańcami Jastrzębia Zdroju</w:t>
            </w:r>
            <w:r w:rsidR="00992FD0" w:rsidRPr="00EC250C">
              <w:rPr>
                <w:sz w:val="18"/>
                <w:szCs w:val="20"/>
              </w:rPr>
              <w:t xml:space="preserve"> w </w:t>
            </w:r>
            <w:r w:rsidRPr="00EC250C">
              <w:rPr>
                <w:sz w:val="18"/>
                <w:szCs w:val="20"/>
              </w:rPr>
              <w:t>Domu Zdrojowym dotyczące praw obywateli zatrzymanych przez policję, praw osób</w:t>
            </w:r>
            <w:r w:rsidR="00992FD0" w:rsidRPr="00EC250C">
              <w:rPr>
                <w:sz w:val="18"/>
                <w:szCs w:val="20"/>
              </w:rPr>
              <w:t xml:space="preserve"> z </w:t>
            </w:r>
            <w:r w:rsidRPr="00EC250C">
              <w:rPr>
                <w:sz w:val="18"/>
                <w:szCs w:val="20"/>
              </w:rPr>
              <w:t>niepełnosprawnościami,</w:t>
            </w:r>
            <w:r w:rsidR="00992FD0" w:rsidRPr="00EC250C">
              <w:rPr>
                <w:sz w:val="18"/>
                <w:szCs w:val="20"/>
              </w:rPr>
              <w:t xml:space="preserve"> w </w:t>
            </w:r>
            <w:r w:rsidRPr="00EC250C">
              <w:rPr>
                <w:sz w:val="18"/>
                <w:szCs w:val="20"/>
              </w:rPr>
              <w:t>tym osób głuchych, dowożenia dzieci do szkół, opłat na autostradach, wysokości świadczeń</w:t>
            </w:r>
            <w:r w:rsidR="00992FD0" w:rsidRPr="00EC250C">
              <w:rPr>
                <w:sz w:val="18"/>
                <w:szCs w:val="20"/>
              </w:rPr>
              <w:t xml:space="preserve"> i </w:t>
            </w:r>
            <w:r w:rsidRPr="00EC250C">
              <w:rPr>
                <w:sz w:val="18"/>
                <w:szCs w:val="20"/>
              </w:rPr>
              <w:t>potrąceń</w:t>
            </w:r>
            <w:r w:rsidR="00992FD0" w:rsidRPr="00EC250C">
              <w:rPr>
                <w:sz w:val="18"/>
                <w:szCs w:val="20"/>
              </w:rPr>
              <w:t xml:space="preserve"> z </w:t>
            </w:r>
            <w:r w:rsidRPr="00EC250C">
              <w:rPr>
                <w:sz w:val="18"/>
                <w:szCs w:val="20"/>
              </w:rPr>
              <w:t>emerytur dokonywanych przez ZUS, niewykonywanych przez Polskę wyroków Trybunału</w:t>
            </w:r>
            <w:r w:rsidR="00992FD0" w:rsidRPr="00EC250C">
              <w:rPr>
                <w:sz w:val="18"/>
                <w:szCs w:val="20"/>
              </w:rPr>
              <w:t xml:space="preserve"> w </w:t>
            </w:r>
            <w:r w:rsidRPr="00EC250C">
              <w:rPr>
                <w:sz w:val="18"/>
                <w:szCs w:val="20"/>
              </w:rPr>
              <w:t>Strasburgu</w:t>
            </w:r>
          </w:p>
          <w:p w14:paraId="73C70F25" w14:textId="77777777" w:rsidR="00250AC8" w:rsidRPr="00EC250C" w:rsidRDefault="00250AC8" w:rsidP="00902FC6">
            <w:pPr>
              <w:pStyle w:val="Tabela"/>
              <w:rPr>
                <w:sz w:val="18"/>
                <w:szCs w:val="20"/>
              </w:rPr>
            </w:pPr>
            <w:r w:rsidRPr="00EC250C">
              <w:rPr>
                <w:sz w:val="18"/>
                <w:szCs w:val="20"/>
              </w:rPr>
              <w:t>- spotkanie</w:t>
            </w:r>
            <w:r w:rsidR="00992FD0" w:rsidRPr="00EC250C">
              <w:rPr>
                <w:sz w:val="18"/>
                <w:szCs w:val="20"/>
              </w:rPr>
              <w:t xml:space="preserve"> z </w:t>
            </w:r>
            <w:r w:rsidRPr="00EC250C">
              <w:rPr>
                <w:sz w:val="18"/>
                <w:szCs w:val="20"/>
              </w:rPr>
              <w:t>mieszkańcami Rybnika</w:t>
            </w:r>
            <w:r w:rsidR="00992FD0" w:rsidRPr="00EC250C">
              <w:rPr>
                <w:sz w:val="18"/>
                <w:szCs w:val="20"/>
              </w:rPr>
              <w:t xml:space="preserve"> w </w:t>
            </w:r>
            <w:r w:rsidRPr="00EC250C">
              <w:rPr>
                <w:sz w:val="18"/>
                <w:szCs w:val="20"/>
              </w:rPr>
              <w:t>Rybnickim Centrum Edukacji Zawodowej dotyczące smogu</w:t>
            </w:r>
          </w:p>
        </w:tc>
        <w:tc>
          <w:tcPr>
            <w:tcW w:w="1687" w:type="dxa"/>
          </w:tcPr>
          <w:p w14:paraId="369D034A" w14:textId="77777777" w:rsidR="00250AC8" w:rsidRPr="00EC250C" w:rsidRDefault="00250AC8" w:rsidP="00902FC6">
            <w:pPr>
              <w:pStyle w:val="Tabela"/>
              <w:rPr>
                <w:sz w:val="18"/>
                <w:szCs w:val="20"/>
              </w:rPr>
            </w:pPr>
            <w:r w:rsidRPr="00EC250C">
              <w:rPr>
                <w:sz w:val="18"/>
                <w:szCs w:val="20"/>
              </w:rPr>
              <w:t>26.11.2018</w:t>
            </w:r>
            <w:r w:rsidR="00C91F6E" w:rsidRPr="00EC250C">
              <w:rPr>
                <w:sz w:val="18"/>
                <w:szCs w:val="20"/>
              </w:rPr>
              <w:t> r.</w:t>
            </w:r>
          </w:p>
        </w:tc>
      </w:tr>
      <w:tr w:rsidR="00250AC8" w:rsidRPr="00EC250C" w14:paraId="2FC69D54" w14:textId="77777777" w:rsidTr="00A016B4">
        <w:trPr>
          <w:tblCellSpacing w:w="20" w:type="dxa"/>
        </w:trPr>
        <w:tc>
          <w:tcPr>
            <w:tcW w:w="508" w:type="dxa"/>
          </w:tcPr>
          <w:p w14:paraId="0A43D285" w14:textId="77777777" w:rsidR="00250AC8" w:rsidRPr="00EC250C" w:rsidRDefault="00250AC8" w:rsidP="006C70B7">
            <w:pPr>
              <w:pStyle w:val="Tabela"/>
              <w:numPr>
                <w:ilvl w:val="0"/>
                <w:numId w:val="79"/>
              </w:numPr>
              <w:ind w:left="0" w:firstLine="0"/>
              <w:contextualSpacing/>
              <w:jc w:val="both"/>
            </w:pPr>
          </w:p>
        </w:tc>
        <w:tc>
          <w:tcPr>
            <w:tcW w:w="7481" w:type="dxa"/>
          </w:tcPr>
          <w:p w14:paraId="66EFF348" w14:textId="77777777" w:rsidR="00250AC8" w:rsidRPr="00EC250C" w:rsidRDefault="00250AC8" w:rsidP="00902FC6">
            <w:pPr>
              <w:pStyle w:val="Tabela"/>
              <w:rPr>
                <w:sz w:val="18"/>
                <w:szCs w:val="20"/>
              </w:rPr>
            </w:pPr>
            <w:r w:rsidRPr="00EC250C">
              <w:rPr>
                <w:sz w:val="18"/>
                <w:szCs w:val="20"/>
              </w:rPr>
              <w:t>- spotkanie</w:t>
            </w:r>
            <w:r w:rsidR="00992FD0" w:rsidRPr="00EC250C">
              <w:rPr>
                <w:sz w:val="18"/>
                <w:szCs w:val="20"/>
              </w:rPr>
              <w:t xml:space="preserve"> z </w:t>
            </w:r>
            <w:r w:rsidRPr="00EC250C">
              <w:rPr>
                <w:sz w:val="18"/>
                <w:szCs w:val="20"/>
              </w:rPr>
              <w:t>mieszkańcami Lublińca</w:t>
            </w:r>
            <w:r w:rsidR="00992FD0" w:rsidRPr="00EC250C">
              <w:rPr>
                <w:sz w:val="18"/>
                <w:szCs w:val="20"/>
              </w:rPr>
              <w:t xml:space="preserve"> w </w:t>
            </w:r>
            <w:r w:rsidRPr="00EC250C">
              <w:rPr>
                <w:sz w:val="18"/>
                <w:szCs w:val="20"/>
              </w:rPr>
              <w:t>Przedszkolu Miejskim nr 2</w:t>
            </w:r>
          </w:p>
          <w:p w14:paraId="1E550F7D" w14:textId="77777777" w:rsidR="00250AC8" w:rsidRPr="00EC250C" w:rsidRDefault="00250AC8" w:rsidP="00902FC6">
            <w:pPr>
              <w:pStyle w:val="Tabela"/>
              <w:rPr>
                <w:sz w:val="18"/>
                <w:szCs w:val="20"/>
              </w:rPr>
            </w:pPr>
            <w:r w:rsidRPr="00EC250C">
              <w:rPr>
                <w:sz w:val="18"/>
                <w:szCs w:val="20"/>
              </w:rPr>
              <w:t>- spotkanie</w:t>
            </w:r>
            <w:r w:rsidR="00992FD0" w:rsidRPr="00EC250C">
              <w:rPr>
                <w:sz w:val="18"/>
                <w:szCs w:val="20"/>
              </w:rPr>
              <w:t xml:space="preserve"> z </w:t>
            </w:r>
            <w:r w:rsidRPr="00EC250C">
              <w:rPr>
                <w:sz w:val="18"/>
                <w:szCs w:val="20"/>
              </w:rPr>
              <w:t>mieszkańcami Tarnowskich Gór</w:t>
            </w:r>
            <w:r w:rsidR="00992FD0" w:rsidRPr="00EC250C">
              <w:rPr>
                <w:sz w:val="18"/>
                <w:szCs w:val="20"/>
              </w:rPr>
              <w:t xml:space="preserve"> w </w:t>
            </w:r>
            <w:r w:rsidRPr="00EC250C">
              <w:rPr>
                <w:sz w:val="18"/>
                <w:szCs w:val="20"/>
              </w:rPr>
              <w:t>Tarnogórskim Centrum Kultury</w:t>
            </w:r>
          </w:p>
          <w:p w14:paraId="403FEB54" w14:textId="77777777" w:rsidR="00250AC8" w:rsidRPr="00EC250C" w:rsidRDefault="00250AC8" w:rsidP="00902FC6">
            <w:pPr>
              <w:pStyle w:val="Tabela"/>
              <w:rPr>
                <w:sz w:val="18"/>
                <w:szCs w:val="20"/>
              </w:rPr>
            </w:pPr>
            <w:r w:rsidRPr="00EC250C">
              <w:rPr>
                <w:sz w:val="18"/>
                <w:szCs w:val="20"/>
              </w:rPr>
              <w:t>- spotkanie</w:t>
            </w:r>
            <w:r w:rsidR="00992FD0" w:rsidRPr="00EC250C">
              <w:rPr>
                <w:sz w:val="18"/>
                <w:szCs w:val="20"/>
              </w:rPr>
              <w:t xml:space="preserve"> z </w:t>
            </w:r>
            <w:r w:rsidRPr="00EC250C">
              <w:rPr>
                <w:sz w:val="18"/>
                <w:szCs w:val="20"/>
              </w:rPr>
              <w:t>mieszkańcami Piekar Śląskich</w:t>
            </w:r>
            <w:r w:rsidR="00992FD0" w:rsidRPr="00EC250C">
              <w:rPr>
                <w:sz w:val="18"/>
                <w:szCs w:val="20"/>
              </w:rPr>
              <w:t xml:space="preserve"> w </w:t>
            </w:r>
            <w:r w:rsidRPr="00EC250C">
              <w:rPr>
                <w:sz w:val="18"/>
                <w:szCs w:val="20"/>
              </w:rPr>
              <w:t>Centrum Usług Społecznych</w:t>
            </w:r>
          </w:p>
        </w:tc>
        <w:tc>
          <w:tcPr>
            <w:tcW w:w="1687" w:type="dxa"/>
          </w:tcPr>
          <w:p w14:paraId="6F33C2D7" w14:textId="77777777" w:rsidR="00250AC8" w:rsidRPr="00EC250C" w:rsidRDefault="00250AC8" w:rsidP="00902FC6">
            <w:pPr>
              <w:pStyle w:val="Tabela"/>
              <w:rPr>
                <w:sz w:val="18"/>
                <w:szCs w:val="20"/>
              </w:rPr>
            </w:pPr>
            <w:r w:rsidRPr="00EC250C">
              <w:rPr>
                <w:sz w:val="18"/>
                <w:szCs w:val="20"/>
              </w:rPr>
              <w:t>27.11.2018</w:t>
            </w:r>
            <w:r w:rsidR="00C91F6E" w:rsidRPr="00EC250C">
              <w:rPr>
                <w:sz w:val="18"/>
                <w:szCs w:val="20"/>
              </w:rPr>
              <w:t> r.</w:t>
            </w:r>
          </w:p>
        </w:tc>
      </w:tr>
      <w:tr w:rsidR="00250AC8" w:rsidRPr="00EC250C" w14:paraId="30102AD2" w14:textId="77777777" w:rsidTr="00A016B4">
        <w:trPr>
          <w:tblCellSpacing w:w="20" w:type="dxa"/>
        </w:trPr>
        <w:tc>
          <w:tcPr>
            <w:tcW w:w="508" w:type="dxa"/>
          </w:tcPr>
          <w:p w14:paraId="718E76A8" w14:textId="77777777" w:rsidR="00250AC8" w:rsidRPr="00EC250C" w:rsidRDefault="00250AC8" w:rsidP="006C70B7">
            <w:pPr>
              <w:pStyle w:val="Tabela"/>
              <w:numPr>
                <w:ilvl w:val="0"/>
                <w:numId w:val="79"/>
              </w:numPr>
              <w:ind w:left="0" w:firstLine="0"/>
              <w:contextualSpacing/>
              <w:jc w:val="both"/>
            </w:pPr>
          </w:p>
        </w:tc>
        <w:tc>
          <w:tcPr>
            <w:tcW w:w="7481" w:type="dxa"/>
          </w:tcPr>
          <w:p w14:paraId="016AEE64"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Małopolskim Urzędzie Wojewódzkim</w:t>
            </w:r>
            <w:r w:rsidR="00992FD0" w:rsidRPr="00EC250C">
              <w:rPr>
                <w:sz w:val="18"/>
                <w:szCs w:val="20"/>
              </w:rPr>
              <w:t xml:space="preserve"> w </w:t>
            </w:r>
            <w:r w:rsidRPr="00EC250C">
              <w:rPr>
                <w:sz w:val="18"/>
                <w:szCs w:val="20"/>
              </w:rPr>
              <w:t>Krakowie przez pracowników Biura PT RPO</w:t>
            </w:r>
            <w:r w:rsidR="00992FD0" w:rsidRPr="00EC250C">
              <w:rPr>
                <w:sz w:val="18"/>
                <w:szCs w:val="20"/>
              </w:rPr>
              <w:t xml:space="preserve"> w </w:t>
            </w:r>
            <w:r w:rsidRPr="00EC250C">
              <w:rPr>
                <w:sz w:val="18"/>
                <w:szCs w:val="20"/>
              </w:rPr>
              <w:t>Katowicach.</w:t>
            </w:r>
          </w:p>
        </w:tc>
        <w:tc>
          <w:tcPr>
            <w:tcW w:w="1687" w:type="dxa"/>
          </w:tcPr>
          <w:p w14:paraId="7E482068" w14:textId="77777777" w:rsidR="00250AC8" w:rsidRPr="00EC250C" w:rsidRDefault="00250AC8" w:rsidP="00902FC6">
            <w:pPr>
              <w:pStyle w:val="Tabela"/>
              <w:rPr>
                <w:sz w:val="18"/>
                <w:szCs w:val="20"/>
              </w:rPr>
            </w:pPr>
            <w:r w:rsidRPr="00EC250C">
              <w:rPr>
                <w:sz w:val="18"/>
                <w:szCs w:val="20"/>
              </w:rPr>
              <w:t>29.11.2018</w:t>
            </w:r>
            <w:r w:rsidR="00C91F6E" w:rsidRPr="00EC250C">
              <w:rPr>
                <w:sz w:val="18"/>
                <w:szCs w:val="20"/>
              </w:rPr>
              <w:t> r.</w:t>
            </w:r>
          </w:p>
        </w:tc>
      </w:tr>
      <w:tr w:rsidR="00250AC8" w:rsidRPr="00EC250C" w14:paraId="61196A6B" w14:textId="77777777" w:rsidTr="00A016B4">
        <w:trPr>
          <w:tblCellSpacing w:w="20" w:type="dxa"/>
        </w:trPr>
        <w:tc>
          <w:tcPr>
            <w:tcW w:w="508" w:type="dxa"/>
          </w:tcPr>
          <w:p w14:paraId="77479506" w14:textId="77777777" w:rsidR="00250AC8" w:rsidRPr="00EC250C" w:rsidRDefault="00250AC8" w:rsidP="006C70B7">
            <w:pPr>
              <w:pStyle w:val="Tabela"/>
              <w:numPr>
                <w:ilvl w:val="0"/>
                <w:numId w:val="79"/>
              </w:numPr>
              <w:ind w:left="0" w:firstLine="0"/>
              <w:contextualSpacing/>
              <w:jc w:val="both"/>
            </w:pPr>
          </w:p>
        </w:tc>
        <w:tc>
          <w:tcPr>
            <w:tcW w:w="7481" w:type="dxa"/>
          </w:tcPr>
          <w:p w14:paraId="102D061D"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Marszałkowskim Województwa Świętokrzyskiego</w:t>
            </w:r>
            <w:r w:rsidR="00992FD0" w:rsidRPr="00EC250C">
              <w:rPr>
                <w:sz w:val="18"/>
                <w:szCs w:val="20"/>
              </w:rPr>
              <w:t xml:space="preserve"> w </w:t>
            </w:r>
            <w:r w:rsidRPr="00EC250C">
              <w:rPr>
                <w:sz w:val="18"/>
                <w:szCs w:val="20"/>
              </w:rPr>
              <w:t>Kielcach przez pracowników Biura PT RPO</w:t>
            </w:r>
            <w:r w:rsidR="00992FD0" w:rsidRPr="00EC250C">
              <w:rPr>
                <w:sz w:val="18"/>
                <w:szCs w:val="20"/>
              </w:rPr>
              <w:t xml:space="preserve"> w </w:t>
            </w:r>
            <w:r w:rsidRPr="00EC250C">
              <w:rPr>
                <w:sz w:val="18"/>
                <w:szCs w:val="20"/>
              </w:rPr>
              <w:t>Katowicach.</w:t>
            </w:r>
          </w:p>
        </w:tc>
        <w:tc>
          <w:tcPr>
            <w:tcW w:w="1687" w:type="dxa"/>
          </w:tcPr>
          <w:p w14:paraId="2A502EA0" w14:textId="77777777" w:rsidR="00250AC8" w:rsidRPr="00EC250C" w:rsidRDefault="00250AC8" w:rsidP="00902FC6">
            <w:pPr>
              <w:pStyle w:val="Tabela"/>
              <w:rPr>
                <w:sz w:val="18"/>
                <w:szCs w:val="20"/>
              </w:rPr>
            </w:pPr>
            <w:r w:rsidRPr="00EC250C">
              <w:rPr>
                <w:sz w:val="18"/>
                <w:szCs w:val="20"/>
              </w:rPr>
              <w:t>29.11.2018</w:t>
            </w:r>
            <w:r w:rsidR="00C91F6E" w:rsidRPr="00EC250C">
              <w:rPr>
                <w:sz w:val="18"/>
                <w:szCs w:val="20"/>
              </w:rPr>
              <w:t> r.</w:t>
            </w:r>
          </w:p>
        </w:tc>
      </w:tr>
      <w:tr w:rsidR="00250AC8" w:rsidRPr="00EC250C" w14:paraId="288E2401" w14:textId="77777777" w:rsidTr="00A016B4">
        <w:trPr>
          <w:tblCellSpacing w:w="20" w:type="dxa"/>
        </w:trPr>
        <w:tc>
          <w:tcPr>
            <w:tcW w:w="508" w:type="dxa"/>
          </w:tcPr>
          <w:p w14:paraId="271470DA" w14:textId="77777777" w:rsidR="00250AC8" w:rsidRPr="00EC250C" w:rsidRDefault="00250AC8" w:rsidP="006C70B7">
            <w:pPr>
              <w:pStyle w:val="Tabela"/>
              <w:numPr>
                <w:ilvl w:val="0"/>
                <w:numId w:val="79"/>
              </w:numPr>
              <w:ind w:left="0" w:firstLine="0"/>
              <w:contextualSpacing/>
              <w:jc w:val="both"/>
            </w:pPr>
          </w:p>
        </w:tc>
        <w:tc>
          <w:tcPr>
            <w:tcW w:w="7481" w:type="dxa"/>
          </w:tcPr>
          <w:p w14:paraId="563A16D6"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Lublin przez pracownika Biura RPO</w:t>
            </w:r>
            <w:r w:rsidR="00992FD0" w:rsidRPr="00EC250C">
              <w:rPr>
                <w:sz w:val="18"/>
                <w:szCs w:val="20"/>
              </w:rPr>
              <w:t xml:space="preserve"> w </w:t>
            </w:r>
            <w:r w:rsidRPr="00EC250C">
              <w:rPr>
                <w:sz w:val="18"/>
                <w:szCs w:val="20"/>
              </w:rPr>
              <w:t>Warszawie.</w:t>
            </w:r>
          </w:p>
        </w:tc>
        <w:tc>
          <w:tcPr>
            <w:tcW w:w="1687" w:type="dxa"/>
          </w:tcPr>
          <w:p w14:paraId="0D8B0010" w14:textId="77777777" w:rsidR="00250AC8" w:rsidRPr="00EC250C" w:rsidRDefault="00250AC8" w:rsidP="00902FC6">
            <w:pPr>
              <w:pStyle w:val="Tabela"/>
              <w:rPr>
                <w:sz w:val="18"/>
                <w:szCs w:val="20"/>
              </w:rPr>
            </w:pPr>
            <w:r w:rsidRPr="00EC250C">
              <w:rPr>
                <w:sz w:val="18"/>
                <w:szCs w:val="20"/>
              </w:rPr>
              <w:t>30.11.2018</w:t>
            </w:r>
            <w:r w:rsidR="00C91F6E" w:rsidRPr="00EC250C">
              <w:rPr>
                <w:sz w:val="18"/>
                <w:szCs w:val="20"/>
              </w:rPr>
              <w:t> r.</w:t>
            </w:r>
          </w:p>
        </w:tc>
      </w:tr>
      <w:tr w:rsidR="00250AC8" w:rsidRPr="00EC250C" w14:paraId="5A9C07F4" w14:textId="77777777" w:rsidTr="00A016B4">
        <w:trPr>
          <w:tblCellSpacing w:w="20" w:type="dxa"/>
        </w:trPr>
        <w:tc>
          <w:tcPr>
            <w:tcW w:w="508" w:type="dxa"/>
          </w:tcPr>
          <w:p w14:paraId="70080B0F" w14:textId="77777777" w:rsidR="00250AC8" w:rsidRPr="00EC250C" w:rsidRDefault="00250AC8" w:rsidP="006C70B7">
            <w:pPr>
              <w:pStyle w:val="Tabela"/>
              <w:numPr>
                <w:ilvl w:val="0"/>
                <w:numId w:val="79"/>
              </w:numPr>
              <w:ind w:left="0" w:firstLine="0"/>
              <w:contextualSpacing/>
              <w:jc w:val="both"/>
            </w:pPr>
          </w:p>
        </w:tc>
        <w:tc>
          <w:tcPr>
            <w:tcW w:w="7481" w:type="dxa"/>
          </w:tcPr>
          <w:p w14:paraId="7F9D3056"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Łódź przez pracownika Biura RPO</w:t>
            </w:r>
            <w:r w:rsidR="00992FD0" w:rsidRPr="00EC250C">
              <w:rPr>
                <w:sz w:val="18"/>
                <w:szCs w:val="20"/>
              </w:rPr>
              <w:t xml:space="preserve"> w </w:t>
            </w:r>
            <w:r w:rsidRPr="00EC250C">
              <w:rPr>
                <w:sz w:val="18"/>
                <w:szCs w:val="20"/>
              </w:rPr>
              <w:t>Warszawie.</w:t>
            </w:r>
          </w:p>
        </w:tc>
        <w:tc>
          <w:tcPr>
            <w:tcW w:w="1687" w:type="dxa"/>
          </w:tcPr>
          <w:p w14:paraId="4C54570A" w14:textId="77777777" w:rsidR="00250AC8" w:rsidRPr="00EC250C" w:rsidRDefault="00250AC8" w:rsidP="00902FC6">
            <w:pPr>
              <w:pStyle w:val="Tabela"/>
              <w:rPr>
                <w:sz w:val="18"/>
                <w:szCs w:val="20"/>
              </w:rPr>
            </w:pPr>
            <w:r w:rsidRPr="00EC250C">
              <w:rPr>
                <w:sz w:val="18"/>
                <w:szCs w:val="20"/>
              </w:rPr>
              <w:t>03.12.2018</w:t>
            </w:r>
            <w:r w:rsidR="00C91F6E" w:rsidRPr="00EC250C">
              <w:rPr>
                <w:sz w:val="18"/>
                <w:szCs w:val="20"/>
              </w:rPr>
              <w:t> r.</w:t>
            </w:r>
          </w:p>
        </w:tc>
      </w:tr>
      <w:tr w:rsidR="00250AC8" w:rsidRPr="00EC250C" w14:paraId="37FE506C" w14:textId="77777777" w:rsidTr="00A016B4">
        <w:trPr>
          <w:tblCellSpacing w:w="20" w:type="dxa"/>
        </w:trPr>
        <w:tc>
          <w:tcPr>
            <w:tcW w:w="508" w:type="dxa"/>
          </w:tcPr>
          <w:p w14:paraId="2EE9F601" w14:textId="77777777" w:rsidR="00250AC8" w:rsidRPr="00EC250C" w:rsidRDefault="00250AC8" w:rsidP="006C70B7">
            <w:pPr>
              <w:pStyle w:val="Tabela"/>
              <w:numPr>
                <w:ilvl w:val="0"/>
                <w:numId w:val="79"/>
              </w:numPr>
              <w:ind w:left="0" w:firstLine="0"/>
              <w:contextualSpacing/>
              <w:jc w:val="both"/>
            </w:pPr>
          </w:p>
        </w:tc>
        <w:tc>
          <w:tcPr>
            <w:tcW w:w="7481" w:type="dxa"/>
          </w:tcPr>
          <w:p w14:paraId="608F6073"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Wałbrzych przez pracowników Biura PT RPO</w:t>
            </w:r>
            <w:r w:rsidR="00992FD0" w:rsidRPr="00EC250C">
              <w:rPr>
                <w:sz w:val="18"/>
                <w:szCs w:val="20"/>
              </w:rPr>
              <w:t xml:space="preserve"> w </w:t>
            </w:r>
            <w:r w:rsidRPr="00EC250C">
              <w:rPr>
                <w:sz w:val="18"/>
                <w:szCs w:val="20"/>
              </w:rPr>
              <w:t>Katowicach.</w:t>
            </w:r>
          </w:p>
        </w:tc>
        <w:tc>
          <w:tcPr>
            <w:tcW w:w="1687" w:type="dxa"/>
          </w:tcPr>
          <w:p w14:paraId="7773FEAE" w14:textId="77777777" w:rsidR="00250AC8" w:rsidRPr="00EC250C" w:rsidRDefault="00250AC8" w:rsidP="00902FC6">
            <w:pPr>
              <w:pStyle w:val="Tabela"/>
              <w:rPr>
                <w:sz w:val="18"/>
                <w:szCs w:val="20"/>
              </w:rPr>
            </w:pPr>
            <w:r w:rsidRPr="00EC250C">
              <w:rPr>
                <w:sz w:val="18"/>
                <w:szCs w:val="20"/>
              </w:rPr>
              <w:t>10.12.2018</w:t>
            </w:r>
            <w:r w:rsidR="00C91F6E" w:rsidRPr="00EC250C">
              <w:rPr>
                <w:sz w:val="18"/>
                <w:szCs w:val="20"/>
              </w:rPr>
              <w:t> r.</w:t>
            </w:r>
          </w:p>
        </w:tc>
      </w:tr>
      <w:tr w:rsidR="00250AC8" w:rsidRPr="00EC250C" w14:paraId="671C5028" w14:textId="77777777" w:rsidTr="00A016B4">
        <w:trPr>
          <w:tblCellSpacing w:w="20" w:type="dxa"/>
        </w:trPr>
        <w:tc>
          <w:tcPr>
            <w:tcW w:w="508" w:type="dxa"/>
          </w:tcPr>
          <w:p w14:paraId="326018C6" w14:textId="77777777" w:rsidR="00250AC8" w:rsidRPr="00EC250C" w:rsidRDefault="00250AC8" w:rsidP="006C70B7">
            <w:pPr>
              <w:pStyle w:val="Tabela"/>
              <w:numPr>
                <w:ilvl w:val="0"/>
                <w:numId w:val="79"/>
              </w:numPr>
              <w:ind w:left="0" w:firstLine="0"/>
              <w:contextualSpacing/>
              <w:jc w:val="both"/>
            </w:pPr>
          </w:p>
        </w:tc>
        <w:tc>
          <w:tcPr>
            <w:tcW w:w="7481" w:type="dxa"/>
          </w:tcPr>
          <w:p w14:paraId="2BA34018"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Słupsk przez pracowników Biura PT RPO</w:t>
            </w:r>
            <w:r w:rsidR="00992FD0" w:rsidRPr="00EC250C">
              <w:rPr>
                <w:sz w:val="18"/>
                <w:szCs w:val="20"/>
              </w:rPr>
              <w:t xml:space="preserve"> w </w:t>
            </w:r>
            <w:r w:rsidRPr="00EC250C">
              <w:rPr>
                <w:sz w:val="18"/>
                <w:szCs w:val="20"/>
              </w:rPr>
              <w:t>Gdańsku.</w:t>
            </w:r>
          </w:p>
        </w:tc>
        <w:tc>
          <w:tcPr>
            <w:tcW w:w="1687" w:type="dxa"/>
          </w:tcPr>
          <w:p w14:paraId="30DE9C3B" w14:textId="77777777" w:rsidR="00250AC8" w:rsidRPr="00EC250C" w:rsidRDefault="00250AC8" w:rsidP="00902FC6">
            <w:pPr>
              <w:pStyle w:val="Tabela"/>
              <w:rPr>
                <w:sz w:val="18"/>
                <w:szCs w:val="20"/>
              </w:rPr>
            </w:pPr>
            <w:r w:rsidRPr="00EC250C">
              <w:rPr>
                <w:sz w:val="18"/>
                <w:szCs w:val="20"/>
              </w:rPr>
              <w:t>13.12.2018</w:t>
            </w:r>
            <w:r w:rsidR="00C91F6E" w:rsidRPr="00EC250C">
              <w:rPr>
                <w:sz w:val="18"/>
                <w:szCs w:val="20"/>
              </w:rPr>
              <w:t> r.</w:t>
            </w:r>
          </w:p>
        </w:tc>
      </w:tr>
      <w:tr w:rsidR="00250AC8" w:rsidRPr="00EC250C" w14:paraId="0BD06547" w14:textId="77777777" w:rsidTr="00A016B4">
        <w:trPr>
          <w:tblCellSpacing w:w="20" w:type="dxa"/>
        </w:trPr>
        <w:tc>
          <w:tcPr>
            <w:tcW w:w="508" w:type="dxa"/>
          </w:tcPr>
          <w:p w14:paraId="443C0EBC" w14:textId="77777777" w:rsidR="00250AC8" w:rsidRPr="00EC250C" w:rsidRDefault="00250AC8" w:rsidP="006C70B7">
            <w:pPr>
              <w:pStyle w:val="Tabela"/>
              <w:numPr>
                <w:ilvl w:val="0"/>
                <w:numId w:val="79"/>
              </w:numPr>
              <w:ind w:left="0" w:firstLine="0"/>
              <w:contextualSpacing/>
              <w:jc w:val="both"/>
            </w:pPr>
          </w:p>
        </w:tc>
        <w:tc>
          <w:tcPr>
            <w:tcW w:w="7481" w:type="dxa"/>
          </w:tcPr>
          <w:p w14:paraId="4F0E13F8"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Szczecin przez pracowników Biura PT RPO</w:t>
            </w:r>
            <w:r w:rsidR="00992FD0" w:rsidRPr="00EC250C">
              <w:rPr>
                <w:sz w:val="18"/>
                <w:szCs w:val="20"/>
              </w:rPr>
              <w:t xml:space="preserve"> w </w:t>
            </w:r>
            <w:r w:rsidRPr="00EC250C">
              <w:rPr>
                <w:sz w:val="18"/>
                <w:szCs w:val="20"/>
              </w:rPr>
              <w:t>Gdańsku.</w:t>
            </w:r>
          </w:p>
        </w:tc>
        <w:tc>
          <w:tcPr>
            <w:tcW w:w="1687" w:type="dxa"/>
          </w:tcPr>
          <w:p w14:paraId="6A20EA7B" w14:textId="77777777" w:rsidR="00250AC8" w:rsidRPr="00EC250C" w:rsidRDefault="00250AC8" w:rsidP="00902FC6">
            <w:pPr>
              <w:pStyle w:val="Tabela"/>
              <w:rPr>
                <w:sz w:val="18"/>
                <w:szCs w:val="20"/>
              </w:rPr>
            </w:pPr>
            <w:r w:rsidRPr="00EC250C">
              <w:rPr>
                <w:sz w:val="18"/>
                <w:szCs w:val="20"/>
              </w:rPr>
              <w:t>17–18.12.2018</w:t>
            </w:r>
            <w:r w:rsidR="00C91F6E" w:rsidRPr="00EC250C">
              <w:rPr>
                <w:sz w:val="18"/>
                <w:szCs w:val="20"/>
              </w:rPr>
              <w:t> r.</w:t>
            </w:r>
          </w:p>
        </w:tc>
      </w:tr>
      <w:tr w:rsidR="00250AC8" w:rsidRPr="00EC250C" w14:paraId="756966D3" w14:textId="77777777" w:rsidTr="00A016B4">
        <w:trPr>
          <w:tblCellSpacing w:w="20" w:type="dxa"/>
        </w:trPr>
        <w:tc>
          <w:tcPr>
            <w:tcW w:w="508" w:type="dxa"/>
          </w:tcPr>
          <w:p w14:paraId="54C9FA2E" w14:textId="77777777" w:rsidR="00250AC8" w:rsidRPr="00EC250C" w:rsidRDefault="00250AC8" w:rsidP="006C70B7">
            <w:pPr>
              <w:pStyle w:val="Tabela"/>
              <w:numPr>
                <w:ilvl w:val="0"/>
                <w:numId w:val="79"/>
              </w:numPr>
              <w:ind w:left="0" w:firstLine="0"/>
              <w:contextualSpacing/>
              <w:jc w:val="both"/>
            </w:pPr>
          </w:p>
        </w:tc>
        <w:tc>
          <w:tcPr>
            <w:tcW w:w="7481" w:type="dxa"/>
          </w:tcPr>
          <w:p w14:paraId="638FA90D"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Kujawsko-Pomorskim Urzędzie Wojewódzkim</w:t>
            </w:r>
            <w:r w:rsidR="00992FD0" w:rsidRPr="00EC250C">
              <w:rPr>
                <w:sz w:val="18"/>
                <w:szCs w:val="20"/>
              </w:rPr>
              <w:t xml:space="preserve"> w </w:t>
            </w:r>
            <w:r w:rsidRPr="00EC250C">
              <w:rPr>
                <w:sz w:val="18"/>
                <w:szCs w:val="20"/>
              </w:rPr>
              <w:t>Bydgoszczy przez pracowników Biura PT RPO</w:t>
            </w:r>
            <w:r w:rsidR="00992FD0" w:rsidRPr="00EC250C">
              <w:rPr>
                <w:sz w:val="18"/>
                <w:szCs w:val="20"/>
              </w:rPr>
              <w:t xml:space="preserve"> w </w:t>
            </w:r>
            <w:r w:rsidRPr="00EC250C">
              <w:rPr>
                <w:sz w:val="18"/>
                <w:szCs w:val="20"/>
              </w:rPr>
              <w:t>Gdańsku.</w:t>
            </w:r>
          </w:p>
        </w:tc>
        <w:tc>
          <w:tcPr>
            <w:tcW w:w="1687" w:type="dxa"/>
          </w:tcPr>
          <w:p w14:paraId="1955389C" w14:textId="77777777" w:rsidR="00250AC8" w:rsidRPr="00EC250C" w:rsidRDefault="00250AC8" w:rsidP="00902FC6">
            <w:pPr>
              <w:pStyle w:val="Tabela"/>
              <w:rPr>
                <w:sz w:val="18"/>
                <w:szCs w:val="20"/>
              </w:rPr>
            </w:pPr>
            <w:r w:rsidRPr="00EC250C">
              <w:rPr>
                <w:sz w:val="18"/>
                <w:szCs w:val="20"/>
              </w:rPr>
              <w:t>21.12.2018</w:t>
            </w:r>
            <w:r w:rsidR="00C91F6E" w:rsidRPr="00EC250C">
              <w:rPr>
                <w:sz w:val="18"/>
                <w:szCs w:val="20"/>
              </w:rPr>
              <w:t> r.</w:t>
            </w:r>
          </w:p>
        </w:tc>
      </w:tr>
      <w:tr w:rsidR="00250AC8" w:rsidRPr="00EC250C" w14:paraId="2553926A" w14:textId="77777777" w:rsidTr="00A016B4">
        <w:trPr>
          <w:tblCellSpacing w:w="20" w:type="dxa"/>
        </w:trPr>
        <w:tc>
          <w:tcPr>
            <w:tcW w:w="508" w:type="dxa"/>
          </w:tcPr>
          <w:p w14:paraId="679AA8A8" w14:textId="77777777" w:rsidR="00250AC8" w:rsidRPr="00EC250C" w:rsidRDefault="00250AC8" w:rsidP="006C70B7">
            <w:pPr>
              <w:pStyle w:val="Tabela"/>
              <w:numPr>
                <w:ilvl w:val="0"/>
                <w:numId w:val="79"/>
              </w:numPr>
              <w:ind w:left="0" w:firstLine="0"/>
              <w:contextualSpacing/>
              <w:jc w:val="both"/>
            </w:pPr>
          </w:p>
        </w:tc>
        <w:tc>
          <w:tcPr>
            <w:tcW w:w="7481" w:type="dxa"/>
          </w:tcPr>
          <w:p w14:paraId="3345268C"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Częstochowa przez pracowników Biura PT RPO</w:t>
            </w:r>
            <w:r w:rsidR="00992FD0" w:rsidRPr="00EC250C">
              <w:rPr>
                <w:sz w:val="18"/>
                <w:szCs w:val="20"/>
              </w:rPr>
              <w:t xml:space="preserve"> w </w:t>
            </w:r>
            <w:r w:rsidRPr="00EC250C">
              <w:rPr>
                <w:sz w:val="18"/>
                <w:szCs w:val="20"/>
              </w:rPr>
              <w:t>Katowicach.</w:t>
            </w:r>
          </w:p>
        </w:tc>
        <w:tc>
          <w:tcPr>
            <w:tcW w:w="1687" w:type="dxa"/>
          </w:tcPr>
          <w:p w14:paraId="7EE4A9D0" w14:textId="77777777" w:rsidR="00250AC8" w:rsidRPr="00EC250C" w:rsidRDefault="00250AC8" w:rsidP="00902FC6">
            <w:pPr>
              <w:pStyle w:val="Tabela"/>
              <w:rPr>
                <w:sz w:val="18"/>
                <w:szCs w:val="20"/>
              </w:rPr>
            </w:pPr>
            <w:r w:rsidRPr="00EC250C">
              <w:rPr>
                <w:sz w:val="18"/>
                <w:szCs w:val="20"/>
              </w:rPr>
              <w:t>27.12.2018</w:t>
            </w:r>
            <w:r w:rsidR="00C91F6E" w:rsidRPr="00EC250C">
              <w:rPr>
                <w:sz w:val="18"/>
                <w:szCs w:val="20"/>
              </w:rPr>
              <w:t> r.</w:t>
            </w:r>
          </w:p>
        </w:tc>
      </w:tr>
      <w:tr w:rsidR="00250AC8" w:rsidRPr="00EC250C" w14:paraId="286B2D09" w14:textId="77777777" w:rsidTr="00A016B4">
        <w:trPr>
          <w:tblCellSpacing w:w="20" w:type="dxa"/>
        </w:trPr>
        <w:tc>
          <w:tcPr>
            <w:tcW w:w="508" w:type="dxa"/>
          </w:tcPr>
          <w:p w14:paraId="1224BE1C" w14:textId="77777777" w:rsidR="00250AC8" w:rsidRPr="00EC250C" w:rsidRDefault="00250AC8" w:rsidP="006C70B7">
            <w:pPr>
              <w:pStyle w:val="Tabela"/>
              <w:numPr>
                <w:ilvl w:val="0"/>
                <w:numId w:val="79"/>
              </w:numPr>
              <w:ind w:left="0" w:firstLine="0"/>
              <w:contextualSpacing/>
              <w:jc w:val="both"/>
            </w:pPr>
          </w:p>
        </w:tc>
        <w:tc>
          <w:tcPr>
            <w:tcW w:w="7481" w:type="dxa"/>
          </w:tcPr>
          <w:p w14:paraId="269DE43B"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Marszałkowskim Województwa Świętokrzyskiego</w:t>
            </w:r>
            <w:r w:rsidR="00992FD0" w:rsidRPr="00EC250C">
              <w:rPr>
                <w:sz w:val="18"/>
                <w:szCs w:val="20"/>
              </w:rPr>
              <w:t xml:space="preserve"> w </w:t>
            </w:r>
            <w:r w:rsidRPr="00EC250C">
              <w:rPr>
                <w:sz w:val="18"/>
                <w:szCs w:val="20"/>
              </w:rPr>
              <w:t>Kielcach przez pracowników Biura PT RPO</w:t>
            </w:r>
            <w:r w:rsidR="00992FD0" w:rsidRPr="00EC250C">
              <w:rPr>
                <w:sz w:val="18"/>
                <w:szCs w:val="20"/>
              </w:rPr>
              <w:t xml:space="preserve"> w </w:t>
            </w:r>
            <w:r w:rsidRPr="00EC250C">
              <w:rPr>
                <w:sz w:val="18"/>
                <w:szCs w:val="20"/>
              </w:rPr>
              <w:t>Katowicach.</w:t>
            </w:r>
          </w:p>
        </w:tc>
        <w:tc>
          <w:tcPr>
            <w:tcW w:w="1687" w:type="dxa"/>
          </w:tcPr>
          <w:p w14:paraId="12497DC8" w14:textId="77777777" w:rsidR="00250AC8" w:rsidRPr="00EC250C" w:rsidRDefault="00250AC8" w:rsidP="00902FC6">
            <w:pPr>
              <w:pStyle w:val="Tabela"/>
              <w:rPr>
                <w:sz w:val="18"/>
                <w:szCs w:val="20"/>
              </w:rPr>
            </w:pPr>
            <w:r w:rsidRPr="00EC250C">
              <w:rPr>
                <w:sz w:val="18"/>
                <w:szCs w:val="20"/>
              </w:rPr>
              <w:t>27.12.2018</w:t>
            </w:r>
            <w:r w:rsidR="00C91F6E" w:rsidRPr="00EC250C">
              <w:rPr>
                <w:sz w:val="18"/>
                <w:szCs w:val="20"/>
              </w:rPr>
              <w:t> r.</w:t>
            </w:r>
          </w:p>
        </w:tc>
      </w:tr>
      <w:tr w:rsidR="00250AC8" w:rsidRPr="00EC250C" w14:paraId="5CED9C3D" w14:textId="77777777" w:rsidTr="00A016B4">
        <w:trPr>
          <w:tblCellSpacing w:w="20" w:type="dxa"/>
        </w:trPr>
        <w:tc>
          <w:tcPr>
            <w:tcW w:w="508" w:type="dxa"/>
          </w:tcPr>
          <w:p w14:paraId="32AB81C5" w14:textId="77777777" w:rsidR="00250AC8" w:rsidRPr="00EC250C" w:rsidRDefault="00250AC8" w:rsidP="006C70B7">
            <w:pPr>
              <w:pStyle w:val="Tabela"/>
              <w:numPr>
                <w:ilvl w:val="0"/>
                <w:numId w:val="79"/>
              </w:numPr>
              <w:ind w:left="0" w:firstLine="0"/>
              <w:contextualSpacing/>
              <w:jc w:val="both"/>
            </w:pPr>
          </w:p>
        </w:tc>
        <w:tc>
          <w:tcPr>
            <w:tcW w:w="7481" w:type="dxa"/>
          </w:tcPr>
          <w:p w14:paraId="789E31B0" w14:textId="77777777" w:rsidR="00250AC8" w:rsidRPr="00EC250C" w:rsidRDefault="00250AC8" w:rsidP="00902FC6">
            <w:pPr>
              <w:pStyle w:val="Tabela"/>
              <w:rPr>
                <w:sz w:val="18"/>
                <w:szCs w:val="20"/>
              </w:rPr>
            </w:pPr>
            <w:r w:rsidRPr="00EC250C">
              <w:rPr>
                <w:sz w:val="18"/>
                <w:szCs w:val="20"/>
              </w:rPr>
              <w:t>Przyjęcia interesantów</w:t>
            </w:r>
            <w:r w:rsidR="00992FD0" w:rsidRPr="00EC250C">
              <w:rPr>
                <w:sz w:val="18"/>
                <w:szCs w:val="20"/>
              </w:rPr>
              <w:t xml:space="preserve"> w </w:t>
            </w:r>
            <w:r w:rsidRPr="00EC250C">
              <w:rPr>
                <w:sz w:val="18"/>
                <w:szCs w:val="20"/>
              </w:rPr>
              <w:t>Urzędzie Miasta Lublin przez pracownika Biura RPO</w:t>
            </w:r>
            <w:r w:rsidR="00992FD0" w:rsidRPr="00EC250C">
              <w:rPr>
                <w:sz w:val="18"/>
                <w:szCs w:val="20"/>
              </w:rPr>
              <w:t xml:space="preserve"> w </w:t>
            </w:r>
            <w:r w:rsidRPr="00EC250C">
              <w:rPr>
                <w:sz w:val="18"/>
                <w:szCs w:val="20"/>
              </w:rPr>
              <w:t>Warszawie.</w:t>
            </w:r>
          </w:p>
        </w:tc>
        <w:tc>
          <w:tcPr>
            <w:tcW w:w="1687" w:type="dxa"/>
          </w:tcPr>
          <w:p w14:paraId="67E525F2" w14:textId="77777777" w:rsidR="00250AC8" w:rsidRPr="00EC250C" w:rsidRDefault="00250AC8" w:rsidP="00902FC6">
            <w:pPr>
              <w:pStyle w:val="Tabela"/>
              <w:rPr>
                <w:sz w:val="18"/>
                <w:szCs w:val="20"/>
              </w:rPr>
            </w:pPr>
            <w:r w:rsidRPr="00EC250C">
              <w:rPr>
                <w:sz w:val="18"/>
                <w:szCs w:val="20"/>
              </w:rPr>
              <w:t>28.12.2018</w:t>
            </w:r>
            <w:r w:rsidR="00C91F6E" w:rsidRPr="00EC250C">
              <w:rPr>
                <w:sz w:val="18"/>
                <w:szCs w:val="20"/>
              </w:rPr>
              <w:t> r.</w:t>
            </w:r>
          </w:p>
        </w:tc>
      </w:tr>
    </w:tbl>
    <w:p w14:paraId="228FBC82" w14:textId="77777777" w:rsidR="00250AC8" w:rsidRPr="00EC250C" w:rsidRDefault="00250AC8" w:rsidP="00EC250C">
      <w:pPr>
        <w:pStyle w:val="Nagwek5"/>
      </w:pPr>
      <w:bookmarkStart w:id="885" w:name="_Toc6258104"/>
      <w:r w:rsidRPr="00EC250C">
        <w:t>Organy samorządu terytorialnego, urzędy administracji terenowej</w:t>
      </w:r>
      <w:bookmarkEnd w:id="885"/>
    </w:p>
    <w:tbl>
      <w:tblPr>
        <w:tblW w:w="10128"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76"/>
        <w:gridCol w:w="7805"/>
        <w:gridCol w:w="1747"/>
      </w:tblGrid>
      <w:tr w:rsidR="00250AC8" w:rsidRPr="00EC250C" w14:paraId="4A33E4D7" w14:textId="77777777" w:rsidTr="006C1F95">
        <w:trPr>
          <w:trHeight w:val="657"/>
          <w:tblCellSpacing w:w="20" w:type="dxa"/>
        </w:trPr>
        <w:tc>
          <w:tcPr>
            <w:tcW w:w="516" w:type="dxa"/>
          </w:tcPr>
          <w:p w14:paraId="7F3F93BA" w14:textId="77777777" w:rsidR="00250AC8" w:rsidRPr="00EC250C" w:rsidRDefault="00250AC8" w:rsidP="006C70B7">
            <w:pPr>
              <w:pStyle w:val="Tabela"/>
              <w:numPr>
                <w:ilvl w:val="0"/>
                <w:numId w:val="136"/>
              </w:numPr>
              <w:jc w:val="both"/>
            </w:pPr>
          </w:p>
        </w:tc>
        <w:tc>
          <w:tcPr>
            <w:tcW w:w="7765" w:type="dxa"/>
          </w:tcPr>
          <w:p w14:paraId="451331DE" w14:textId="77777777" w:rsidR="00250AC8" w:rsidRPr="00EC250C" w:rsidRDefault="00250AC8" w:rsidP="00D131FA">
            <w:pPr>
              <w:pStyle w:val="Tabela"/>
              <w:jc w:val="both"/>
            </w:pPr>
            <w:r w:rsidRPr="00EC250C">
              <w:rPr>
                <w:shd w:val="clear" w:color="auto" w:fill="FFFEFE"/>
              </w:rPr>
              <w:t xml:space="preserve">Udział </w:t>
            </w:r>
            <w:r w:rsidR="003C397F" w:rsidRPr="00EC250C">
              <w:rPr>
                <w:shd w:val="clear" w:color="auto" w:fill="FFFEFE"/>
              </w:rPr>
              <w:t>rzecznika praw obywatelskich</w:t>
            </w:r>
            <w:r w:rsidRPr="00EC250C">
              <w:rPr>
                <w:shd w:val="clear" w:color="auto" w:fill="FFFEFE"/>
              </w:rPr>
              <w:t xml:space="preserve"> Adama Bodnara</w:t>
            </w:r>
            <w:r w:rsidR="00992FD0" w:rsidRPr="00EC250C">
              <w:rPr>
                <w:shd w:val="clear" w:color="auto" w:fill="FFFEFE"/>
              </w:rPr>
              <w:t xml:space="preserve"> w </w:t>
            </w:r>
            <w:r w:rsidRPr="00EC250C">
              <w:rPr>
                <w:shd w:val="clear" w:color="auto" w:fill="FFFEFE"/>
              </w:rPr>
              <w:t>otwarciu punktu przyjęć interesantów</w:t>
            </w:r>
            <w:r w:rsidR="00992FD0" w:rsidRPr="00EC250C">
              <w:rPr>
                <w:shd w:val="clear" w:color="auto" w:fill="FFFEFE"/>
              </w:rPr>
              <w:t xml:space="preserve"> w </w:t>
            </w:r>
            <w:r w:rsidRPr="00EC250C">
              <w:rPr>
                <w:shd w:val="clear" w:color="auto" w:fill="FFFEFE"/>
              </w:rPr>
              <w:t>Urzędzie Miasta Poznań.</w:t>
            </w:r>
          </w:p>
        </w:tc>
        <w:tc>
          <w:tcPr>
            <w:tcW w:w="1687" w:type="dxa"/>
          </w:tcPr>
          <w:p w14:paraId="0C6CEFB0" w14:textId="77777777" w:rsidR="00250AC8" w:rsidRPr="00EC250C" w:rsidRDefault="00250AC8" w:rsidP="00D131FA">
            <w:pPr>
              <w:pStyle w:val="Tabela"/>
              <w:jc w:val="both"/>
            </w:pPr>
            <w:r w:rsidRPr="00EC250C">
              <w:t>10.01.2018</w:t>
            </w:r>
            <w:r w:rsidR="00C91F6E" w:rsidRPr="00EC250C">
              <w:t> r.</w:t>
            </w:r>
          </w:p>
        </w:tc>
      </w:tr>
      <w:tr w:rsidR="00250AC8" w:rsidRPr="00EC250C" w14:paraId="7D76667C" w14:textId="77777777" w:rsidTr="006C1F95">
        <w:trPr>
          <w:trHeight w:val="657"/>
          <w:tblCellSpacing w:w="20" w:type="dxa"/>
        </w:trPr>
        <w:tc>
          <w:tcPr>
            <w:tcW w:w="516" w:type="dxa"/>
          </w:tcPr>
          <w:p w14:paraId="43DEE4E5" w14:textId="77777777" w:rsidR="00250AC8" w:rsidRPr="00EC250C" w:rsidRDefault="00250AC8" w:rsidP="006C70B7">
            <w:pPr>
              <w:pStyle w:val="Tabela"/>
              <w:numPr>
                <w:ilvl w:val="0"/>
                <w:numId w:val="136"/>
              </w:numPr>
              <w:jc w:val="both"/>
            </w:pPr>
          </w:p>
        </w:tc>
        <w:tc>
          <w:tcPr>
            <w:tcW w:w="7765" w:type="dxa"/>
          </w:tcPr>
          <w:p w14:paraId="59000865" w14:textId="77777777" w:rsidR="00250AC8" w:rsidRPr="00EC250C" w:rsidRDefault="00250AC8" w:rsidP="00D131FA">
            <w:pPr>
              <w:pStyle w:val="Tabela"/>
              <w:jc w:val="both"/>
              <w:rPr>
                <w:shd w:val="clear" w:color="auto" w:fill="FFFEFE"/>
              </w:rPr>
            </w:pPr>
            <w:r w:rsidRPr="00EC250C">
              <w:rPr>
                <w:shd w:val="clear" w:color="auto" w:fill="FFFEFE"/>
              </w:rPr>
              <w:t xml:space="preserve">Udział </w:t>
            </w:r>
            <w:r w:rsidR="003C397F" w:rsidRPr="00EC250C">
              <w:rPr>
                <w:shd w:val="clear" w:color="auto" w:fill="FFFEFE"/>
              </w:rPr>
              <w:t>rzecznika praw obywatelskich</w:t>
            </w:r>
            <w:r w:rsidRPr="00EC250C">
              <w:rPr>
                <w:shd w:val="clear" w:color="auto" w:fill="FFFEFE"/>
              </w:rPr>
              <w:t xml:space="preserve"> Adama Bodnara </w:t>
            </w:r>
            <w:r w:rsidRPr="00EC250C">
              <w:rPr>
                <w:shd w:val="clear" w:color="auto" w:fill="FFFEFE"/>
              </w:rPr>
              <w:br/>
              <w:t>i Prezydenta Miasta Wałbrzycha</w:t>
            </w:r>
            <w:r w:rsidR="00992FD0" w:rsidRPr="00EC250C">
              <w:rPr>
                <w:shd w:val="clear" w:color="auto" w:fill="FFFEFE"/>
              </w:rPr>
              <w:t xml:space="preserve"> w </w:t>
            </w:r>
            <w:r w:rsidRPr="00EC250C">
              <w:rPr>
                <w:shd w:val="clear" w:color="auto" w:fill="FFFEFE"/>
              </w:rPr>
              <w:t>otwarciu punktu przyjęć interesantów</w:t>
            </w:r>
            <w:r w:rsidR="00992FD0" w:rsidRPr="00EC250C">
              <w:rPr>
                <w:shd w:val="clear" w:color="auto" w:fill="FFFEFE"/>
              </w:rPr>
              <w:t xml:space="preserve"> w </w:t>
            </w:r>
            <w:r w:rsidRPr="00EC250C">
              <w:rPr>
                <w:shd w:val="clear" w:color="auto" w:fill="FFFEFE"/>
              </w:rPr>
              <w:t>Urzędzie Miasta Wałbrzych oraz przyjęcia interesantów przez pracownika Biura RPO</w:t>
            </w:r>
            <w:r w:rsidR="00992FD0" w:rsidRPr="00EC250C">
              <w:rPr>
                <w:shd w:val="clear" w:color="auto" w:fill="FFFEFE"/>
              </w:rPr>
              <w:t xml:space="preserve"> w </w:t>
            </w:r>
            <w:r w:rsidRPr="00EC250C">
              <w:rPr>
                <w:shd w:val="clear" w:color="auto" w:fill="FFFEFE"/>
              </w:rPr>
              <w:t>Warszawie.</w:t>
            </w:r>
          </w:p>
        </w:tc>
        <w:tc>
          <w:tcPr>
            <w:tcW w:w="1687" w:type="dxa"/>
          </w:tcPr>
          <w:p w14:paraId="714EF769" w14:textId="77777777" w:rsidR="00250AC8" w:rsidRPr="00EC250C" w:rsidRDefault="00250AC8" w:rsidP="00D131FA">
            <w:pPr>
              <w:pStyle w:val="Tabela"/>
              <w:jc w:val="both"/>
            </w:pPr>
            <w:r w:rsidRPr="00EC250C">
              <w:t>16.03.2018</w:t>
            </w:r>
            <w:r w:rsidR="00C91F6E" w:rsidRPr="00EC250C">
              <w:t> r.</w:t>
            </w:r>
          </w:p>
        </w:tc>
      </w:tr>
      <w:tr w:rsidR="00250AC8" w:rsidRPr="00EC250C" w14:paraId="49324DA1" w14:textId="77777777" w:rsidTr="006C1F95">
        <w:trPr>
          <w:tblCellSpacing w:w="20" w:type="dxa"/>
        </w:trPr>
        <w:tc>
          <w:tcPr>
            <w:tcW w:w="516" w:type="dxa"/>
          </w:tcPr>
          <w:p w14:paraId="4246A041" w14:textId="77777777" w:rsidR="00250AC8" w:rsidRPr="00EC250C" w:rsidRDefault="00250AC8" w:rsidP="006C70B7">
            <w:pPr>
              <w:pStyle w:val="Tabela"/>
              <w:numPr>
                <w:ilvl w:val="0"/>
                <w:numId w:val="136"/>
              </w:numPr>
              <w:jc w:val="both"/>
            </w:pPr>
          </w:p>
        </w:tc>
        <w:tc>
          <w:tcPr>
            <w:tcW w:w="7765" w:type="dxa"/>
          </w:tcPr>
          <w:p w14:paraId="2A7EA52C" w14:textId="77777777" w:rsidR="00250AC8" w:rsidRPr="00EC250C" w:rsidRDefault="00250AC8" w:rsidP="00D131FA">
            <w:pPr>
              <w:pStyle w:val="Tabela"/>
              <w:jc w:val="both"/>
              <w:rPr>
                <w:shd w:val="clear" w:color="auto" w:fill="FFFEFE"/>
              </w:rPr>
            </w:pPr>
            <w:r w:rsidRPr="00EC250C">
              <w:rPr>
                <w:shd w:val="clear" w:color="auto" w:fill="FFFEFE"/>
              </w:rPr>
              <w:t xml:space="preserve">Udział </w:t>
            </w:r>
            <w:r w:rsidR="003C397F" w:rsidRPr="00EC250C">
              <w:rPr>
                <w:shd w:val="clear" w:color="auto" w:fill="FFFEFE"/>
              </w:rPr>
              <w:t>rzecznika praw obywatelskich</w:t>
            </w:r>
            <w:r w:rsidRPr="00EC250C">
              <w:rPr>
                <w:shd w:val="clear" w:color="auto" w:fill="FFFEFE"/>
              </w:rPr>
              <w:t xml:space="preserve"> Adama Bodnara</w:t>
            </w:r>
            <w:r w:rsidR="00992FD0" w:rsidRPr="00EC250C">
              <w:rPr>
                <w:shd w:val="clear" w:color="auto" w:fill="FFFEFE"/>
              </w:rPr>
              <w:t xml:space="preserve"> w </w:t>
            </w:r>
            <w:r w:rsidRPr="00EC250C">
              <w:rPr>
                <w:shd w:val="clear" w:color="auto" w:fill="FFFEFE"/>
              </w:rPr>
              <w:t>otwarciu punktu przyjęć interesantów</w:t>
            </w:r>
            <w:r w:rsidR="00992FD0" w:rsidRPr="00EC250C">
              <w:rPr>
                <w:shd w:val="clear" w:color="auto" w:fill="FFFEFE"/>
              </w:rPr>
              <w:t xml:space="preserve"> w </w:t>
            </w:r>
            <w:r w:rsidRPr="00EC250C">
              <w:rPr>
                <w:shd w:val="clear" w:color="auto" w:fill="FFFEFE"/>
              </w:rPr>
              <w:t xml:space="preserve">Urzędzie Miasta Koszalin. </w:t>
            </w:r>
          </w:p>
        </w:tc>
        <w:tc>
          <w:tcPr>
            <w:tcW w:w="1687" w:type="dxa"/>
          </w:tcPr>
          <w:p w14:paraId="57934E5E" w14:textId="77777777" w:rsidR="00250AC8" w:rsidRPr="00EC250C" w:rsidRDefault="00250AC8" w:rsidP="00D131FA">
            <w:pPr>
              <w:pStyle w:val="Tabela"/>
              <w:jc w:val="both"/>
            </w:pPr>
            <w:r w:rsidRPr="00EC250C">
              <w:t>26.03.2018</w:t>
            </w:r>
            <w:r w:rsidR="00C91F6E" w:rsidRPr="00EC250C">
              <w:t> r.</w:t>
            </w:r>
          </w:p>
        </w:tc>
      </w:tr>
      <w:tr w:rsidR="00250AC8" w:rsidRPr="00EC250C" w14:paraId="36BE0CE3" w14:textId="77777777" w:rsidTr="006C1F95">
        <w:trPr>
          <w:tblCellSpacing w:w="20" w:type="dxa"/>
        </w:trPr>
        <w:tc>
          <w:tcPr>
            <w:tcW w:w="516" w:type="dxa"/>
          </w:tcPr>
          <w:p w14:paraId="29D8FF64" w14:textId="77777777" w:rsidR="00250AC8" w:rsidRPr="00EC250C" w:rsidRDefault="00250AC8" w:rsidP="006C70B7">
            <w:pPr>
              <w:pStyle w:val="Tabela"/>
              <w:numPr>
                <w:ilvl w:val="0"/>
                <w:numId w:val="136"/>
              </w:numPr>
              <w:jc w:val="both"/>
            </w:pPr>
          </w:p>
        </w:tc>
        <w:tc>
          <w:tcPr>
            <w:tcW w:w="7765" w:type="dxa"/>
          </w:tcPr>
          <w:p w14:paraId="04CA7A5F" w14:textId="77777777" w:rsidR="00250AC8" w:rsidRPr="00EC250C" w:rsidRDefault="00250AC8" w:rsidP="00D131FA">
            <w:pPr>
              <w:pStyle w:val="Tabela"/>
              <w:jc w:val="both"/>
              <w:rPr>
                <w:shd w:val="clear" w:color="auto" w:fill="FFFEFE"/>
              </w:rPr>
            </w:pPr>
            <w:r w:rsidRPr="00EC250C">
              <w:rPr>
                <w:shd w:val="clear" w:color="auto" w:fill="FFFEFE"/>
              </w:rPr>
              <w:t>Spotkanie</w:t>
            </w:r>
            <w:r w:rsidR="00992FD0" w:rsidRPr="00EC250C">
              <w:rPr>
                <w:shd w:val="clear" w:color="auto" w:fill="FFFEFE"/>
              </w:rPr>
              <w:t xml:space="preserve"> z </w:t>
            </w:r>
            <w:r w:rsidRPr="00EC250C">
              <w:rPr>
                <w:shd w:val="clear" w:color="auto" w:fill="FFFEFE"/>
              </w:rPr>
              <w:t>Prezydentem Miasta Kołobrzeg</w:t>
            </w:r>
            <w:r w:rsidR="00992FD0" w:rsidRPr="00EC250C">
              <w:rPr>
                <w:shd w:val="clear" w:color="auto" w:fill="FFFEFE"/>
              </w:rPr>
              <w:t xml:space="preserve"> w </w:t>
            </w:r>
            <w:r w:rsidRPr="00EC250C">
              <w:rPr>
                <w:shd w:val="clear" w:color="auto" w:fill="FFFEFE"/>
              </w:rPr>
              <w:t>sprawie skierowania do DPS pacjenta leczonego na oddziale psychiatrycznym</w:t>
            </w:r>
            <w:r w:rsidR="00992FD0" w:rsidRPr="00EC250C">
              <w:rPr>
                <w:shd w:val="clear" w:color="auto" w:fill="FFFEFE"/>
              </w:rPr>
              <w:t xml:space="preserve"> w </w:t>
            </w:r>
            <w:r w:rsidRPr="00EC250C">
              <w:rPr>
                <w:shd w:val="clear" w:color="auto" w:fill="FFFEFE"/>
              </w:rPr>
              <w:t>szpitalu</w:t>
            </w:r>
            <w:r w:rsidR="00992FD0" w:rsidRPr="00EC250C">
              <w:rPr>
                <w:shd w:val="clear" w:color="auto" w:fill="FFFEFE"/>
              </w:rPr>
              <w:t xml:space="preserve"> w </w:t>
            </w:r>
            <w:r w:rsidRPr="00EC250C">
              <w:rPr>
                <w:shd w:val="clear" w:color="auto" w:fill="FFFEFE"/>
              </w:rPr>
              <w:t>Kołobrzegu oraz udział</w:t>
            </w:r>
            <w:r w:rsidR="00992FD0" w:rsidRPr="00EC250C">
              <w:rPr>
                <w:shd w:val="clear" w:color="auto" w:fill="FFFEFE"/>
              </w:rPr>
              <w:t xml:space="preserve"> w </w:t>
            </w:r>
            <w:r w:rsidRPr="00EC250C">
              <w:rPr>
                <w:shd w:val="clear" w:color="auto" w:fill="FFFEFE"/>
              </w:rPr>
              <w:t>spotkaniu dotyczącym Programu Pilotażowego</w:t>
            </w:r>
            <w:r w:rsidR="00992FD0" w:rsidRPr="00EC250C">
              <w:rPr>
                <w:shd w:val="clear" w:color="auto" w:fill="FFFEFE"/>
              </w:rPr>
              <w:t xml:space="preserve"> w </w:t>
            </w:r>
            <w:r w:rsidRPr="00EC250C">
              <w:rPr>
                <w:shd w:val="clear" w:color="auto" w:fill="FFFEFE"/>
              </w:rPr>
              <w:t>NZOZ Medison</w:t>
            </w:r>
            <w:r w:rsidR="00992FD0" w:rsidRPr="00EC250C">
              <w:rPr>
                <w:shd w:val="clear" w:color="auto" w:fill="FFFEFE"/>
              </w:rPr>
              <w:t xml:space="preserve"> w </w:t>
            </w:r>
            <w:r w:rsidRPr="00EC250C">
              <w:rPr>
                <w:shd w:val="clear" w:color="auto" w:fill="FFFEFE"/>
              </w:rPr>
              <w:t>Koszalinie. Kołobrzeg, Koszalin, Biały Bór.</w:t>
            </w:r>
          </w:p>
        </w:tc>
        <w:tc>
          <w:tcPr>
            <w:tcW w:w="1687" w:type="dxa"/>
          </w:tcPr>
          <w:p w14:paraId="66C53639" w14:textId="77777777" w:rsidR="00250AC8" w:rsidRPr="00EC250C" w:rsidRDefault="00250AC8" w:rsidP="00D131FA">
            <w:pPr>
              <w:pStyle w:val="Tabela"/>
              <w:jc w:val="both"/>
            </w:pPr>
            <w:r w:rsidRPr="00EC250C">
              <w:t>07–08.06.2018</w:t>
            </w:r>
            <w:r w:rsidR="00C91F6E" w:rsidRPr="00EC250C">
              <w:t> r.</w:t>
            </w:r>
          </w:p>
        </w:tc>
      </w:tr>
    </w:tbl>
    <w:p w14:paraId="340134AF" w14:textId="77777777" w:rsidR="00250AC8" w:rsidRPr="00EC250C" w:rsidRDefault="00250AC8" w:rsidP="00D131FA">
      <w:pPr>
        <w:pStyle w:val="Styl1"/>
        <w:rPr>
          <w:lang w:eastAsia="en-US"/>
        </w:rPr>
      </w:pPr>
    </w:p>
    <w:p w14:paraId="2D4EFDB5" w14:textId="77777777" w:rsidR="00250AC8" w:rsidRPr="00EC250C" w:rsidRDefault="00250AC8" w:rsidP="00EC250C">
      <w:pPr>
        <w:pStyle w:val="Nagwek5"/>
      </w:pPr>
      <w:bookmarkStart w:id="886" w:name="_Toc6258105"/>
      <w:r w:rsidRPr="00EC250C">
        <w:lastRenderedPageBreak/>
        <w:t>Spotkania</w:t>
      </w:r>
      <w:r w:rsidR="00992FD0" w:rsidRPr="00EC250C">
        <w:t xml:space="preserve"> i </w:t>
      </w:r>
      <w:r w:rsidRPr="00EC250C">
        <w:t xml:space="preserve">wizytacje </w:t>
      </w:r>
      <w:r w:rsidR="00EE1A69" w:rsidRPr="00EC250C">
        <w:t>r</w:t>
      </w:r>
      <w:r w:rsidRPr="00EC250C">
        <w:t xml:space="preserve">zecznika </w:t>
      </w:r>
      <w:r w:rsidR="00EE1A69" w:rsidRPr="00EC250C">
        <w:t>p</w:t>
      </w:r>
      <w:r w:rsidRPr="00EC250C">
        <w:t xml:space="preserve">raw </w:t>
      </w:r>
      <w:r w:rsidR="00EE1A69" w:rsidRPr="00EC250C">
        <w:t>o</w:t>
      </w:r>
      <w:r w:rsidRPr="00EC250C">
        <w:t>bywatelskich</w:t>
      </w:r>
      <w:r w:rsidR="00EE1A69" w:rsidRPr="00EC250C">
        <w:t>,</w:t>
      </w:r>
      <w:r w:rsidRPr="00EC250C">
        <w:t xml:space="preserve"> </w:t>
      </w:r>
      <w:r w:rsidR="00C60059" w:rsidRPr="00EC250C">
        <w:t>z</w:t>
      </w:r>
      <w:r w:rsidRPr="00EC250C">
        <w:t xml:space="preserve">astępczyń RPO, </w:t>
      </w:r>
      <w:r w:rsidR="003C397F" w:rsidRPr="00EC250C">
        <w:t>zastępcy</w:t>
      </w:r>
      <w:r w:rsidRPr="00EC250C">
        <w:t xml:space="preserve"> RPO oraz przedstawicieli Biura RPO</w:t>
      </w:r>
      <w:bookmarkEnd w:id="886"/>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7521"/>
        <w:gridCol w:w="1747"/>
      </w:tblGrid>
      <w:tr w:rsidR="00250AC8" w:rsidRPr="00EC250C" w14:paraId="225E9D3C" w14:textId="77777777" w:rsidTr="00A016B4">
        <w:trPr>
          <w:tblCellSpacing w:w="20" w:type="dxa"/>
        </w:trPr>
        <w:tc>
          <w:tcPr>
            <w:tcW w:w="508" w:type="dxa"/>
          </w:tcPr>
          <w:p w14:paraId="4A67E451" w14:textId="77777777" w:rsidR="00250AC8" w:rsidRPr="00EC250C" w:rsidRDefault="00250AC8" w:rsidP="006C70B7">
            <w:pPr>
              <w:pStyle w:val="Tabela"/>
              <w:numPr>
                <w:ilvl w:val="0"/>
                <w:numId w:val="74"/>
              </w:numPr>
              <w:ind w:left="0" w:firstLine="0"/>
              <w:jc w:val="both"/>
            </w:pPr>
          </w:p>
        </w:tc>
        <w:tc>
          <w:tcPr>
            <w:tcW w:w="7481" w:type="dxa"/>
          </w:tcPr>
          <w:p w14:paraId="0EAECFEB"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w:t>
            </w:r>
            <w:r w:rsidRPr="00EC250C">
              <w:rPr>
                <w:sz w:val="18"/>
                <w:szCs w:val="20"/>
              </w:rPr>
              <w:br/>
              <w:t>z uczniami Szkoły Podstawowej Bednarska</w:t>
            </w:r>
            <w:r w:rsidR="00992FD0" w:rsidRPr="00EC250C">
              <w:rPr>
                <w:sz w:val="18"/>
                <w:szCs w:val="20"/>
              </w:rPr>
              <w:t xml:space="preserve"> w </w:t>
            </w:r>
            <w:r w:rsidRPr="00EC250C">
              <w:rPr>
                <w:sz w:val="18"/>
                <w:szCs w:val="20"/>
              </w:rPr>
              <w:t>Warszawie nt. zasad działania</w:t>
            </w:r>
            <w:r w:rsidR="00992FD0" w:rsidRPr="00EC250C">
              <w:rPr>
                <w:sz w:val="18"/>
                <w:szCs w:val="20"/>
              </w:rPr>
              <w:t xml:space="preserve"> i </w:t>
            </w:r>
            <w:r w:rsidRPr="00EC250C">
              <w:rPr>
                <w:sz w:val="18"/>
                <w:szCs w:val="20"/>
              </w:rPr>
              <w:t>kompetencji RPO, praw człowieka</w:t>
            </w:r>
            <w:r w:rsidR="00992FD0" w:rsidRPr="00EC250C">
              <w:rPr>
                <w:sz w:val="18"/>
                <w:szCs w:val="20"/>
              </w:rPr>
              <w:t xml:space="preserve"> i </w:t>
            </w:r>
            <w:r w:rsidRPr="00EC250C">
              <w:rPr>
                <w:sz w:val="18"/>
                <w:szCs w:val="20"/>
              </w:rPr>
              <w:t xml:space="preserve">obywatela oraz Konstytucji. </w:t>
            </w:r>
          </w:p>
        </w:tc>
        <w:tc>
          <w:tcPr>
            <w:tcW w:w="1687" w:type="dxa"/>
          </w:tcPr>
          <w:p w14:paraId="636B31B3" w14:textId="77777777" w:rsidR="00250AC8" w:rsidRPr="00EC250C" w:rsidRDefault="00250AC8" w:rsidP="00902FC6">
            <w:pPr>
              <w:pStyle w:val="Tabela"/>
              <w:rPr>
                <w:sz w:val="18"/>
                <w:szCs w:val="20"/>
              </w:rPr>
            </w:pPr>
            <w:r w:rsidRPr="00EC250C">
              <w:rPr>
                <w:sz w:val="18"/>
                <w:szCs w:val="20"/>
              </w:rPr>
              <w:t>10.01.2018</w:t>
            </w:r>
            <w:r w:rsidR="00C91F6E" w:rsidRPr="00EC250C">
              <w:rPr>
                <w:sz w:val="18"/>
                <w:szCs w:val="20"/>
              </w:rPr>
              <w:t> r.</w:t>
            </w:r>
          </w:p>
        </w:tc>
      </w:tr>
      <w:tr w:rsidR="00250AC8" w:rsidRPr="00EC250C" w14:paraId="65CB351B" w14:textId="77777777" w:rsidTr="00A016B4">
        <w:trPr>
          <w:tblCellSpacing w:w="20" w:type="dxa"/>
        </w:trPr>
        <w:tc>
          <w:tcPr>
            <w:tcW w:w="508" w:type="dxa"/>
          </w:tcPr>
          <w:p w14:paraId="22C2CE48" w14:textId="77777777" w:rsidR="00250AC8" w:rsidRPr="00EC250C" w:rsidRDefault="00250AC8" w:rsidP="006C70B7">
            <w:pPr>
              <w:pStyle w:val="Tabela"/>
              <w:numPr>
                <w:ilvl w:val="0"/>
                <w:numId w:val="74"/>
              </w:numPr>
              <w:ind w:left="0" w:firstLine="0"/>
              <w:jc w:val="both"/>
            </w:pPr>
          </w:p>
        </w:tc>
        <w:tc>
          <w:tcPr>
            <w:tcW w:w="7481" w:type="dxa"/>
          </w:tcPr>
          <w:p w14:paraId="26705E93"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z </w:t>
            </w:r>
            <w:r w:rsidRPr="00EC250C">
              <w:rPr>
                <w:sz w:val="18"/>
                <w:szCs w:val="20"/>
              </w:rPr>
              <w:t>przedstawicielami Stowarzyszenia Iustitia Polska – „Polish Judges” oraz inicjatywy Łańcuch Światła Poznań. Poznań.</w:t>
            </w:r>
          </w:p>
        </w:tc>
        <w:tc>
          <w:tcPr>
            <w:tcW w:w="1687" w:type="dxa"/>
          </w:tcPr>
          <w:p w14:paraId="3FE8ECA4" w14:textId="77777777" w:rsidR="00250AC8" w:rsidRPr="00EC250C" w:rsidRDefault="00250AC8" w:rsidP="00902FC6">
            <w:pPr>
              <w:pStyle w:val="Tabela"/>
              <w:rPr>
                <w:sz w:val="18"/>
                <w:szCs w:val="20"/>
              </w:rPr>
            </w:pPr>
            <w:r w:rsidRPr="00EC250C">
              <w:rPr>
                <w:sz w:val="18"/>
                <w:szCs w:val="20"/>
              </w:rPr>
              <w:t>15.01.2018</w:t>
            </w:r>
            <w:r w:rsidR="00C91F6E" w:rsidRPr="00EC250C">
              <w:rPr>
                <w:sz w:val="18"/>
                <w:szCs w:val="20"/>
              </w:rPr>
              <w:t> r.</w:t>
            </w:r>
          </w:p>
        </w:tc>
      </w:tr>
      <w:tr w:rsidR="00250AC8" w:rsidRPr="00EC250C" w14:paraId="6DBE699D" w14:textId="77777777" w:rsidTr="00A016B4">
        <w:trPr>
          <w:tblCellSpacing w:w="20" w:type="dxa"/>
        </w:trPr>
        <w:tc>
          <w:tcPr>
            <w:tcW w:w="508" w:type="dxa"/>
          </w:tcPr>
          <w:p w14:paraId="3FC12B5E" w14:textId="77777777" w:rsidR="00250AC8" w:rsidRPr="00EC250C" w:rsidRDefault="00250AC8" w:rsidP="006C70B7">
            <w:pPr>
              <w:pStyle w:val="Tabela"/>
              <w:numPr>
                <w:ilvl w:val="0"/>
                <w:numId w:val="74"/>
              </w:numPr>
              <w:ind w:left="0" w:firstLine="0"/>
              <w:jc w:val="both"/>
            </w:pPr>
          </w:p>
        </w:tc>
        <w:tc>
          <w:tcPr>
            <w:tcW w:w="7481" w:type="dxa"/>
          </w:tcPr>
          <w:p w14:paraId="70A997D4"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w:t>
            </w:r>
            <w:r w:rsidRPr="00EC250C">
              <w:rPr>
                <w:sz w:val="18"/>
                <w:szCs w:val="20"/>
              </w:rPr>
              <w:br/>
              <w:t>z uczestnikami „Olimpiady wiedzy</w:t>
            </w:r>
            <w:r w:rsidR="00992FD0" w:rsidRPr="00EC250C">
              <w:rPr>
                <w:sz w:val="18"/>
                <w:szCs w:val="20"/>
              </w:rPr>
              <w:t xml:space="preserve"> o </w:t>
            </w:r>
            <w:r w:rsidRPr="00EC250C">
              <w:rPr>
                <w:sz w:val="18"/>
                <w:szCs w:val="20"/>
              </w:rPr>
              <w:t>Polsce</w:t>
            </w:r>
            <w:r w:rsidR="00992FD0" w:rsidRPr="00EC250C">
              <w:rPr>
                <w:sz w:val="18"/>
                <w:szCs w:val="20"/>
              </w:rPr>
              <w:t xml:space="preserve"> i </w:t>
            </w:r>
            <w:r w:rsidRPr="00EC250C">
              <w:rPr>
                <w:sz w:val="18"/>
                <w:szCs w:val="20"/>
              </w:rPr>
              <w:t>świecie współczesnym” zorganizowane przez Uniwersytet Kardynała Stefana Wyszyńskiego. Warszawa.</w:t>
            </w:r>
          </w:p>
        </w:tc>
        <w:tc>
          <w:tcPr>
            <w:tcW w:w="1687" w:type="dxa"/>
          </w:tcPr>
          <w:p w14:paraId="35328253" w14:textId="77777777" w:rsidR="00250AC8" w:rsidRPr="00EC250C" w:rsidRDefault="00250AC8" w:rsidP="00902FC6">
            <w:pPr>
              <w:pStyle w:val="Tabela"/>
              <w:rPr>
                <w:sz w:val="18"/>
                <w:szCs w:val="20"/>
              </w:rPr>
            </w:pPr>
            <w:r w:rsidRPr="00EC250C">
              <w:rPr>
                <w:sz w:val="18"/>
                <w:szCs w:val="20"/>
              </w:rPr>
              <w:t>20.01.2018</w:t>
            </w:r>
            <w:r w:rsidR="00C91F6E" w:rsidRPr="00EC250C">
              <w:rPr>
                <w:sz w:val="18"/>
                <w:szCs w:val="20"/>
              </w:rPr>
              <w:t> r.</w:t>
            </w:r>
          </w:p>
        </w:tc>
      </w:tr>
      <w:tr w:rsidR="00250AC8" w:rsidRPr="00EC250C" w14:paraId="6E1DF51B" w14:textId="77777777" w:rsidTr="00A016B4">
        <w:trPr>
          <w:tblCellSpacing w:w="20" w:type="dxa"/>
        </w:trPr>
        <w:tc>
          <w:tcPr>
            <w:tcW w:w="508" w:type="dxa"/>
          </w:tcPr>
          <w:p w14:paraId="3CE6A678" w14:textId="77777777" w:rsidR="00250AC8" w:rsidRPr="00EC250C" w:rsidRDefault="00250AC8" w:rsidP="006C70B7">
            <w:pPr>
              <w:pStyle w:val="Tabela"/>
              <w:numPr>
                <w:ilvl w:val="0"/>
                <w:numId w:val="74"/>
              </w:numPr>
              <w:ind w:left="0" w:firstLine="0"/>
              <w:jc w:val="both"/>
            </w:pPr>
          </w:p>
        </w:tc>
        <w:tc>
          <w:tcPr>
            <w:tcW w:w="7481" w:type="dxa"/>
          </w:tcPr>
          <w:p w14:paraId="778D1BF0"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uczniami szkół podstawowych</w:t>
            </w:r>
            <w:r w:rsidR="00992FD0" w:rsidRPr="00EC250C">
              <w:rPr>
                <w:sz w:val="18"/>
                <w:szCs w:val="20"/>
              </w:rPr>
              <w:t xml:space="preserve"> z </w:t>
            </w:r>
            <w:r w:rsidRPr="00EC250C">
              <w:rPr>
                <w:sz w:val="18"/>
                <w:szCs w:val="20"/>
              </w:rPr>
              <w:t>podwarszawskiej gminy Czosnów. Biuro RPO. Warszawa.</w:t>
            </w:r>
          </w:p>
        </w:tc>
        <w:tc>
          <w:tcPr>
            <w:tcW w:w="1687" w:type="dxa"/>
          </w:tcPr>
          <w:p w14:paraId="7B75B7ED" w14:textId="77777777" w:rsidR="00250AC8" w:rsidRPr="00EC250C" w:rsidRDefault="00250AC8" w:rsidP="00902FC6">
            <w:pPr>
              <w:pStyle w:val="Tabela"/>
              <w:rPr>
                <w:sz w:val="18"/>
                <w:szCs w:val="20"/>
              </w:rPr>
            </w:pPr>
            <w:r w:rsidRPr="00EC250C">
              <w:rPr>
                <w:sz w:val="18"/>
                <w:szCs w:val="20"/>
              </w:rPr>
              <w:t>26.01.2018</w:t>
            </w:r>
            <w:r w:rsidR="00C91F6E" w:rsidRPr="00EC250C">
              <w:rPr>
                <w:sz w:val="18"/>
                <w:szCs w:val="20"/>
              </w:rPr>
              <w:t> r.</w:t>
            </w:r>
          </w:p>
        </w:tc>
      </w:tr>
      <w:tr w:rsidR="00250AC8" w:rsidRPr="00EC250C" w14:paraId="4CCA0778" w14:textId="77777777" w:rsidTr="00A016B4">
        <w:trPr>
          <w:tblCellSpacing w:w="20" w:type="dxa"/>
        </w:trPr>
        <w:tc>
          <w:tcPr>
            <w:tcW w:w="508" w:type="dxa"/>
          </w:tcPr>
          <w:p w14:paraId="0E511050" w14:textId="77777777" w:rsidR="00250AC8" w:rsidRPr="00EC250C" w:rsidRDefault="00250AC8" w:rsidP="006C70B7">
            <w:pPr>
              <w:pStyle w:val="Tabela"/>
              <w:numPr>
                <w:ilvl w:val="0"/>
                <w:numId w:val="74"/>
              </w:numPr>
              <w:ind w:left="0" w:firstLine="0"/>
              <w:jc w:val="both"/>
            </w:pPr>
          </w:p>
        </w:tc>
        <w:tc>
          <w:tcPr>
            <w:tcW w:w="7481" w:type="dxa"/>
          </w:tcPr>
          <w:p w14:paraId="56EB7825"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przedstawicielami Komisji Praw Człowieka OIRP Gdańsk. Gdańsk.</w:t>
            </w:r>
          </w:p>
        </w:tc>
        <w:tc>
          <w:tcPr>
            <w:tcW w:w="1687" w:type="dxa"/>
          </w:tcPr>
          <w:p w14:paraId="226D0E4B" w14:textId="77777777" w:rsidR="00250AC8" w:rsidRPr="00EC250C" w:rsidRDefault="00250AC8" w:rsidP="00902FC6">
            <w:pPr>
              <w:pStyle w:val="Tabela"/>
              <w:rPr>
                <w:sz w:val="18"/>
                <w:szCs w:val="20"/>
              </w:rPr>
            </w:pPr>
            <w:r w:rsidRPr="00EC250C">
              <w:rPr>
                <w:sz w:val="18"/>
                <w:szCs w:val="20"/>
              </w:rPr>
              <w:t>31.01.2018</w:t>
            </w:r>
            <w:r w:rsidR="00C91F6E" w:rsidRPr="00EC250C">
              <w:rPr>
                <w:sz w:val="18"/>
                <w:szCs w:val="20"/>
              </w:rPr>
              <w:t> r.</w:t>
            </w:r>
          </w:p>
        </w:tc>
      </w:tr>
      <w:tr w:rsidR="00250AC8" w:rsidRPr="00EC250C" w14:paraId="67E3844B" w14:textId="77777777" w:rsidTr="00A016B4">
        <w:trPr>
          <w:tblCellSpacing w:w="20" w:type="dxa"/>
        </w:trPr>
        <w:tc>
          <w:tcPr>
            <w:tcW w:w="508" w:type="dxa"/>
          </w:tcPr>
          <w:p w14:paraId="7D8D7795" w14:textId="77777777" w:rsidR="00250AC8" w:rsidRPr="00EC250C" w:rsidRDefault="00250AC8" w:rsidP="006C70B7">
            <w:pPr>
              <w:pStyle w:val="Tabela"/>
              <w:numPr>
                <w:ilvl w:val="0"/>
                <w:numId w:val="74"/>
              </w:numPr>
              <w:ind w:left="0" w:firstLine="0"/>
              <w:jc w:val="both"/>
            </w:pPr>
          </w:p>
        </w:tc>
        <w:tc>
          <w:tcPr>
            <w:tcW w:w="7481" w:type="dxa"/>
          </w:tcPr>
          <w:p w14:paraId="37318C09"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 </w:t>
            </w:r>
            <w:r w:rsidRPr="00EC250C">
              <w:rPr>
                <w:sz w:val="18"/>
                <w:szCs w:val="20"/>
              </w:rPr>
              <w:br/>
              <w:t>z przedstawicielami Centralnego Zarządu Służby Więziennej. Biuro RPO. Warszawa.</w:t>
            </w:r>
          </w:p>
        </w:tc>
        <w:tc>
          <w:tcPr>
            <w:tcW w:w="1687" w:type="dxa"/>
          </w:tcPr>
          <w:p w14:paraId="02D60752" w14:textId="77777777" w:rsidR="00250AC8" w:rsidRPr="00EC250C" w:rsidRDefault="00250AC8" w:rsidP="00902FC6">
            <w:pPr>
              <w:pStyle w:val="Tabela"/>
              <w:rPr>
                <w:sz w:val="18"/>
                <w:szCs w:val="20"/>
              </w:rPr>
            </w:pPr>
            <w:r w:rsidRPr="00EC250C">
              <w:rPr>
                <w:sz w:val="18"/>
                <w:szCs w:val="20"/>
              </w:rPr>
              <w:t>14.02.2018</w:t>
            </w:r>
            <w:r w:rsidR="00C91F6E" w:rsidRPr="00EC250C">
              <w:rPr>
                <w:sz w:val="18"/>
                <w:szCs w:val="20"/>
              </w:rPr>
              <w:t> r.</w:t>
            </w:r>
          </w:p>
        </w:tc>
      </w:tr>
      <w:tr w:rsidR="00250AC8" w:rsidRPr="00EC250C" w14:paraId="668E5017" w14:textId="77777777" w:rsidTr="00A016B4">
        <w:trPr>
          <w:tblCellSpacing w:w="20" w:type="dxa"/>
        </w:trPr>
        <w:tc>
          <w:tcPr>
            <w:tcW w:w="508" w:type="dxa"/>
          </w:tcPr>
          <w:p w14:paraId="1E57113C" w14:textId="77777777" w:rsidR="00250AC8" w:rsidRPr="00EC250C" w:rsidRDefault="00250AC8" w:rsidP="006C70B7">
            <w:pPr>
              <w:pStyle w:val="Tabela"/>
              <w:numPr>
                <w:ilvl w:val="0"/>
                <w:numId w:val="74"/>
              </w:numPr>
              <w:ind w:left="0" w:firstLine="0"/>
              <w:jc w:val="both"/>
            </w:pPr>
          </w:p>
        </w:tc>
        <w:tc>
          <w:tcPr>
            <w:tcW w:w="7481" w:type="dxa"/>
          </w:tcPr>
          <w:p w14:paraId="0D3CE911" w14:textId="77777777" w:rsidR="00250AC8" w:rsidRPr="00EC250C" w:rsidRDefault="00250AC8" w:rsidP="00902FC6">
            <w:pPr>
              <w:pStyle w:val="Tabela"/>
              <w:rPr>
                <w:sz w:val="18"/>
                <w:szCs w:val="20"/>
              </w:rPr>
            </w:pPr>
            <w:r w:rsidRPr="00EC250C">
              <w:rPr>
                <w:sz w:val="18"/>
                <w:szCs w:val="20"/>
              </w:rPr>
              <w:t>Spotkanie</w:t>
            </w:r>
            <w:r w:rsidR="00992FD0" w:rsidRPr="00EC250C">
              <w:rPr>
                <w:sz w:val="18"/>
                <w:szCs w:val="20"/>
              </w:rPr>
              <w:t xml:space="preserve"> z </w:t>
            </w:r>
            <w:r w:rsidRPr="00EC250C">
              <w:rPr>
                <w:sz w:val="18"/>
                <w:szCs w:val="20"/>
              </w:rPr>
              <w:t>organizacją pozarządową</w:t>
            </w:r>
            <w:r w:rsidR="00992FD0" w:rsidRPr="00EC250C">
              <w:rPr>
                <w:sz w:val="18"/>
                <w:szCs w:val="20"/>
              </w:rPr>
              <w:t xml:space="preserve"> w </w:t>
            </w:r>
            <w:r w:rsidRPr="00EC250C">
              <w:rPr>
                <w:sz w:val="18"/>
                <w:szCs w:val="20"/>
              </w:rPr>
              <w:t>sprawie składowiska odpadów</w:t>
            </w:r>
            <w:r w:rsidR="00992FD0" w:rsidRPr="00EC250C">
              <w:rPr>
                <w:sz w:val="18"/>
                <w:szCs w:val="20"/>
              </w:rPr>
              <w:t xml:space="preserve"> w </w:t>
            </w:r>
            <w:r w:rsidRPr="00EC250C">
              <w:rPr>
                <w:sz w:val="18"/>
                <w:szCs w:val="20"/>
              </w:rPr>
              <w:t>Katowicach. Leśna, Szprotawa.</w:t>
            </w:r>
          </w:p>
        </w:tc>
        <w:tc>
          <w:tcPr>
            <w:tcW w:w="1687" w:type="dxa"/>
          </w:tcPr>
          <w:p w14:paraId="74C5E27A" w14:textId="77777777" w:rsidR="00250AC8" w:rsidRPr="00EC250C" w:rsidRDefault="00250AC8" w:rsidP="00902FC6">
            <w:pPr>
              <w:pStyle w:val="Tabela"/>
              <w:rPr>
                <w:sz w:val="18"/>
                <w:szCs w:val="20"/>
              </w:rPr>
            </w:pPr>
            <w:r w:rsidRPr="00EC250C">
              <w:rPr>
                <w:sz w:val="18"/>
                <w:szCs w:val="20"/>
              </w:rPr>
              <w:t>18–19.02.2018</w:t>
            </w:r>
            <w:r w:rsidR="00C91F6E" w:rsidRPr="00EC250C">
              <w:rPr>
                <w:sz w:val="18"/>
                <w:szCs w:val="20"/>
              </w:rPr>
              <w:t> r.</w:t>
            </w:r>
          </w:p>
        </w:tc>
      </w:tr>
      <w:tr w:rsidR="00250AC8" w:rsidRPr="00EC250C" w14:paraId="6CB40386" w14:textId="77777777" w:rsidTr="00A016B4">
        <w:trPr>
          <w:tblCellSpacing w:w="20" w:type="dxa"/>
        </w:trPr>
        <w:tc>
          <w:tcPr>
            <w:tcW w:w="508" w:type="dxa"/>
          </w:tcPr>
          <w:p w14:paraId="7CA3603D" w14:textId="77777777" w:rsidR="00250AC8" w:rsidRPr="00EC250C" w:rsidRDefault="00250AC8" w:rsidP="006C70B7">
            <w:pPr>
              <w:pStyle w:val="Tabela"/>
              <w:numPr>
                <w:ilvl w:val="0"/>
                <w:numId w:val="74"/>
              </w:numPr>
              <w:ind w:left="0" w:firstLine="0"/>
              <w:jc w:val="both"/>
            </w:pPr>
          </w:p>
        </w:tc>
        <w:tc>
          <w:tcPr>
            <w:tcW w:w="7481" w:type="dxa"/>
          </w:tcPr>
          <w:p w14:paraId="22AFF4DB" w14:textId="77777777" w:rsidR="00250AC8" w:rsidRPr="00EC250C" w:rsidRDefault="00250AC8" w:rsidP="00902FC6">
            <w:pPr>
              <w:pStyle w:val="Tabela"/>
              <w:rPr>
                <w:sz w:val="18"/>
                <w:szCs w:val="20"/>
              </w:rPr>
            </w:pPr>
            <w:r w:rsidRPr="00EC250C">
              <w:rPr>
                <w:sz w:val="18"/>
                <w:szCs w:val="20"/>
              </w:rPr>
              <w:t>Spotkanie</w:t>
            </w:r>
            <w:r w:rsidR="00992FD0" w:rsidRPr="00EC250C">
              <w:rPr>
                <w:sz w:val="18"/>
                <w:szCs w:val="20"/>
              </w:rPr>
              <w:t xml:space="preserve"> z </w:t>
            </w:r>
            <w:r w:rsidRPr="00EC250C">
              <w:rPr>
                <w:sz w:val="18"/>
                <w:szCs w:val="20"/>
              </w:rPr>
              <w:t>cyklu „Grupa Stonewall Dyskutuje” nt. „Rzecznik Praw Obywatelskich</w:t>
            </w:r>
            <w:r w:rsidR="00992FD0" w:rsidRPr="00EC250C">
              <w:rPr>
                <w:sz w:val="18"/>
                <w:szCs w:val="20"/>
              </w:rPr>
              <w:t xml:space="preserve"> w </w:t>
            </w:r>
            <w:r w:rsidRPr="00EC250C">
              <w:rPr>
                <w:sz w:val="18"/>
                <w:szCs w:val="20"/>
              </w:rPr>
              <w:t>Twojej Sprawie”. Poznań.</w:t>
            </w:r>
          </w:p>
        </w:tc>
        <w:tc>
          <w:tcPr>
            <w:tcW w:w="1687" w:type="dxa"/>
          </w:tcPr>
          <w:p w14:paraId="5351303A" w14:textId="77777777" w:rsidR="00250AC8" w:rsidRPr="00EC250C" w:rsidRDefault="00250AC8" w:rsidP="00902FC6">
            <w:pPr>
              <w:pStyle w:val="Tabela"/>
              <w:rPr>
                <w:sz w:val="18"/>
                <w:szCs w:val="20"/>
              </w:rPr>
            </w:pPr>
            <w:r w:rsidRPr="00EC250C">
              <w:rPr>
                <w:sz w:val="18"/>
                <w:szCs w:val="20"/>
              </w:rPr>
              <w:t>24.02.2018</w:t>
            </w:r>
            <w:r w:rsidR="00C91F6E" w:rsidRPr="00EC250C">
              <w:rPr>
                <w:sz w:val="18"/>
                <w:szCs w:val="20"/>
              </w:rPr>
              <w:t> r.</w:t>
            </w:r>
          </w:p>
        </w:tc>
      </w:tr>
      <w:tr w:rsidR="00250AC8" w:rsidRPr="00EC250C" w14:paraId="5B5F0F3F" w14:textId="77777777" w:rsidTr="00A016B4">
        <w:trPr>
          <w:tblCellSpacing w:w="20" w:type="dxa"/>
        </w:trPr>
        <w:tc>
          <w:tcPr>
            <w:tcW w:w="508" w:type="dxa"/>
          </w:tcPr>
          <w:p w14:paraId="50F81F71" w14:textId="77777777" w:rsidR="00250AC8" w:rsidRPr="00EC250C" w:rsidRDefault="00250AC8" w:rsidP="006C70B7">
            <w:pPr>
              <w:pStyle w:val="Tabela"/>
              <w:numPr>
                <w:ilvl w:val="0"/>
                <w:numId w:val="74"/>
              </w:numPr>
              <w:ind w:left="0" w:firstLine="0"/>
              <w:jc w:val="both"/>
            </w:pPr>
          </w:p>
        </w:tc>
        <w:tc>
          <w:tcPr>
            <w:tcW w:w="7481" w:type="dxa"/>
          </w:tcPr>
          <w:p w14:paraId="59DB2451"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w:t>
            </w:r>
            <w:r w:rsidRPr="00EC250C">
              <w:rPr>
                <w:sz w:val="18"/>
                <w:szCs w:val="20"/>
              </w:rPr>
              <w:br/>
              <w:t xml:space="preserve">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organizacjami LGBT. Biuro RPO. Warszawa.</w:t>
            </w:r>
          </w:p>
        </w:tc>
        <w:tc>
          <w:tcPr>
            <w:tcW w:w="1687" w:type="dxa"/>
          </w:tcPr>
          <w:p w14:paraId="470D1157" w14:textId="77777777" w:rsidR="00250AC8" w:rsidRPr="00EC250C" w:rsidRDefault="00250AC8" w:rsidP="00902FC6">
            <w:pPr>
              <w:pStyle w:val="Tabela"/>
              <w:rPr>
                <w:sz w:val="18"/>
                <w:szCs w:val="20"/>
              </w:rPr>
            </w:pPr>
            <w:r w:rsidRPr="00EC250C">
              <w:rPr>
                <w:sz w:val="18"/>
                <w:szCs w:val="20"/>
              </w:rPr>
              <w:t>05.03.2018</w:t>
            </w:r>
            <w:r w:rsidR="00C91F6E" w:rsidRPr="00EC250C">
              <w:rPr>
                <w:sz w:val="18"/>
                <w:szCs w:val="20"/>
              </w:rPr>
              <w:t> r.</w:t>
            </w:r>
          </w:p>
        </w:tc>
      </w:tr>
      <w:tr w:rsidR="00250AC8" w:rsidRPr="00EC250C" w14:paraId="05C123DE" w14:textId="77777777" w:rsidTr="00A016B4">
        <w:trPr>
          <w:tblCellSpacing w:w="20" w:type="dxa"/>
        </w:trPr>
        <w:tc>
          <w:tcPr>
            <w:tcW w:w="508" w:type="dxa"/>
          </w:tcPr>
          <w:p w14:paraId="68D8B927" w14:textId="77777777" w:rsidR="00250AC8" w:rsidRPr="00EC250C" w:rsidRDefault="00250AC8" w:rsidP="006C70B7">
            <w:pPr>
              <w:pStyle w:val="Tabela"/>
              <w:numPr>
                <w:ilvl w:val="0"/>
                <w:numId w:val="74"/>
              </w:numPr>
              <w:ind w:left="0" w:firstLine="0"/>
              <w:jc w:val="both"/>
            </w:pPr>
          </w:p>
        </w:tc>
        <w:tc>
          <w:tcPr>
            <w:tcW w:w="7481" w:type="dxa"/>
          </w:tcPr>
          <w:p w14:paraId="5D44022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spotkaniu eksperckim poświęconym tematyce przeciwdziałania przemocy</w:t>
            </w:r>
            <w:r w:rsidR="00992FD0" w:rsidRPr="00EC250C">
              <w:rPr>
                <w:sz w:val="18"/>
                <w:szCs w:val="20"/>
              </w:rPr>
              <w:t xml:space="preserve"> i </w:t>
            </w:r>
            <w:r w:rsidRPr="00EC250C">
              <w:rPr>
                <w:sz w:val="18"/>
                <w:szCs w:val="20"/>
              </w:rPr>
              <w:t>dyskryminacji wobec osób starszych, zorganizowanym przez Biuro RPO wraz</w:t>
            </w:r>
            <w:r w:rsidR="00992FD0" w:rsidRPr="00EC250C">
              <w:rPr>
                <w:sz w:val="18"/>
                <w:szCs w:val="20"/>
              </w:rPr>
              <w:t xml:space="preserve"> z </w:t>
            </w:r>
            <w:r w:rsidRPr="00EC250C">
              <w:rPr>
                <w:sz w:val="18"/>
                <w:szCs w:val="20"/>
              </w:rPr>
              <w:t>Niemieckim Instytutem Ochrony Praw Człowieka. Biuro RPO. Warszawa.</w:t>
            </w:r>
          </w:p>
        </w:tc>
        <w:tc>
          <w:tcPr>
            <w:tcW w:w="1687" w:type="dxa"/>
          </w:tcPr>
          <w:p w14:paraId="15129A96" w14:textId="77777777" w:rsidR="00250AC8" w:rsidRPr="00EC250C" w:rsidRDefault="00250AC8" w:rsidP="00902FC6">
            <w:pPr>
              <w:pStyle w:val="Tabela"/>
              <w:rPr>
                <w:sz w:val="18"/>
                <w:szCs w:val="20"/>
              </w:rPr>
            </w:pPr>
            <w:r w:rsidRPr="00EC250C">
              <w:rPr>
                <w:sz w:val="18"/>
                <w:szCs w:val="20"/>
              </w:rPr>
              <w:t>07.03.2018</w:t>
            </w:r>
            <w:r w:rsidR="00C91F6E" w:rsidRPr="00EC250C">
              <w:rPr>
                <w:sz w:val="18"/>
                <w:szCs w:val="20"/>
              </w:rPr>
              <w:t> r.</w:t>
            </w:r>
          </w:p>
        </w:tc>
      </w:tr>
      <w:tr w:rsidR="00250AC8" w:rsidRPr="00EC250C" w14:paraId="1A87EF5B" w14:textId="77777777" w:rsidTr="00A016B4">
        <w:trPr>
          <w:tblCellSpacing w:w="20" w:type="dxa"/>
        </w:trPr>
        <w:tc>
          <w:tcPr>
            <w:tcW w:w="508" w:type="dxa"/>
          </w:tcPr>
          <w:p w14:paraId="5D89B80A" w14:textId="77777777" w:rsidR="00250AC8" w:rsidRPr="00EC250C" w:rsidRDefault="00250AC8" w:rsidP="006C70B7">
            <w:pPr>
              <w:pStyle w:val="Tabela"/>
              <w:numPr>
                <w:ilvl w:val="0"/>
                <w:numId w:val="74"/>
              </w:numPr>
              <w:ind w:left="0" w:firstLine="0"/>
              <w:jc w:val="both"/>
            </w:pPr>
          </w:p>
        </w:tc>
        <w:tc>
          <w:tcPr>
            <w:tcW w:w="7481" w:type="dxa"/>
          </w:tcPr>
          <w:p w14:paraId="076640E9"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 nt. </w:t>
            </w:r>
            <w:r w:rsidRPr="00C3177E">
              <w:rPr>
                <w:sz w:val="18"/>
                <w:szCs w:val="20"/>
                <w:lang w:val="en-US"/>
              </w:rPr>
              <w:t xml:space="preserve">„Ring the Bell for Gender Equality” zorganizowane przez Global Compact Network Poland, GPW. </w:t>
            </w:r>
            <w:r w:rsidRPr="00EC250C">
              <w:rPr>
                <w:sz w:val="18"/>
                <w:szCs w:val="20"/>
              </w:rPr>
              <w:t>Warszawa.</w:t>
            </w:r>
          </w:p>
        </w:tc>
        <w:tc>
          <w:tcPr>
            <w:tcW w:w="1687" w:type="dxa"/>
          </w:tcPr>
          <w:p w14:paraId="78D4E5FC" w14:textId="77777777" w:rsidR="00250AC8" w:rsidRPr="00EC250C" w:rsidRDefault="00250AC8" w:rsidP="00902FC6">
            <w:pPr>
              <w:pStyle w:val="Tabela"/>
              <w:rPr>
                <w:sz w:val="18"/>
                <w:szCs w:val="20"/>
              </w:rPr>
            </w:pPr>
            <w:r w:rsidRPr="00EC250C">
              <w:rPr>
                <w:sz w:val="18"/>
                <w:szCs w:val="20"/>
              </w:rPr>
              <w:t>12.03.2018</w:t>
            </w:r>
            <w:r w:rsidR="00C91F6E" w:rsidRPr="00EC250C">
              <w:rPr>
                <w:sz w:val="18"/>
                <w:szCs w:val="20"/>
              </w:rPr>
              <w:t> r.</w:t>
            </w:r>
          </w:p>
        </w:tc>
      </w:tr>
      <w:tr w:rsidR="00250AC8" w:rsidRPr="00EC250C" w14:paraId="1AE1DCD4" w14:textId="77777777" w:rsidTr="00A016B4">
        <w:trPr>
          <w:tblCellSpacing w:w="20" w:type="dxa"/>
        </w:trPr>
        <w:tc>
          <w:tcPr>
            <w:tcW w:w="508" w:type="dxa"/>
          </w:tcPr>
          <w:p w14:paraId="6BF644CE" w14:textId="77777777" w:rsidR="00250AC8" w:rsidRPr="00EC250C" w:rsidRDefault="00250AC8" w:rsidP="006C70B7">
            <w:pPr>
              <w:pStyle w:val="Tabela"/>
              <w:numPr>
                <w:ilvl w:val="0"/>
                <w:numId w:val="74"/>
              </w:numPr>
              <w:ind w:left="0" w:firstLine="0"/>
              <w:jc w:val="both"/>
            </w:pPr>
          </w:p>
        </w:tc>
        <w:tc>
          <w:tcPr>
            <w:tcW w:w="7481" w:type="dxa"/>
          </w:tcPr>
          <w:p w14:paraId="61BA8F5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otwarciu punktu przyjęć interesantów</w:t>
            </w:r>
            <w:r w:rsidR="00992FD0" w:rsidRPr="00EC250C">
              <w:rPr>
                <w:sz w:val="18"/>
                <w:szCs w:val="20"/>
              </w:rPr>
              <w:t xml:space="preserve"> w </w:t>
            </w:r>
            <w:r w:rsidRPr="00EC250C">
              <w:rPr>
                <w:sz w:val="18"/>
                <w:szCs w:val="20"/>
              </w:rPr>
              <w:t xml:space="preserve">Urzędzie Miasta Koszalin. </w:t>
            </w:r>
          </w:p>
        </w:tc>
        <w:tc>
          <w:tcPr>
            <w:tcW w:w="1687" w:type="dxa"/>
          </w:tcPr>
          <w:p w14:paraId="4D1ADECA" w14:textId="77777777" w:rsidR="00250AC8" w:rsidRPr="00EC250C" w:rsidRDefault="00250AC8" w:rsidP="00902FC6">
            <w:pPr>
              <w:pStyle w:val="Tabela"/>
              <w:rPr>
                <w:sz w:val="18"/>
                <w:szCs w:val="20"/>
              </w:rPr>
            </w:pPr>
            <w:r w:rsidRPr="00EC250C">
              <w:rPr>
                <w:sz w:val="18"/>
                <w:szCs w:val="20"/>
              </w:rPr>
              <w:t>26.03.2018</w:t>
            </w:r>
            <w:r w:rsidR="00C91F6E" w:rsidRPr="00EC250C">
              <w:rPr>
                <w:sz w:val="18"/>
                <w:szCs w:val="20"/>
              </w:rPr>
              <w:t> r.</w:t>
            </w:r>
          </w:p>
        </w:tc>
      </w:tr>
      <w:tr w:rsidR="00250AC8" w:rsidRPr="00EC250C" w14:paraId="2C894278" w14:textId="77777777" w:rsidTr="00A016B4">
        <w:trPr>
          <w:tblCellSpacing w:w="20" w:type="dxa"/>
        </w:trPr>
        <w:tc>
          <w:tcPr>
            <w:tcW w:w="508" w:type="dxa"/>
          </w:tcPr>
          <w:p w14:paraId="65E164A4" w14:textId="77777777" w:rsidR="00250AC8" w:rsidRPr="00EC250C" w:rsidRDefault="00250AC8" w:rsidP="006C70B7">
            <w:pPr>
              <w:pStyle w:val="Tabela"/>
              <w:numPr>
                <w:ilvl w:val="0"/>
                <w:numId w:val="74"/>
              </w:numPr>
              <w:ind w:left="0" w:firstLine="0"/>
              <w:jc w:val="both"/>
            </w:pPr>
          </w:p>
        </w:tc>
        <w:tc>
          <w:tcPr>
            <w:tcW w:w="7481" w:type="dxa"/>
          </w:tcPr>
          <w:p w14:paraId="12DEC731" w14:textId="77777777" w:rsidR="00250AC8" w:rsidRPr="00EC250C" w:rsidRDefault="00250AC8" w:rsidP="00902FC6">
            <w:pPr>
              <w:pStyle w:val="Tabela"/>
              <w:rPr>
                <w:sz w:val="18"/>
                <w:szCs w:val="20"/>
              </w:rPr>
            </w:pPr>
            <w:r w:rsidRPr="00EC250C">
              <w:rPr>
                <w:sz w:val="18"/>
                <w:szCs w:val="20"/>
              </w:rPr>
              <w:t>Spotkanie</w:t>
            </w:r>
            <w:r w:rsidR="00992FD0" w:rsidRPr="00EC250C">
              <w:rPr>
                <w:sz w:val="18"/>
                <w:szCs w:val="20"/>
              </w:rPr>
              <w:t xml:space="preserve"> z </w:t>
            </w:r>
            <w:r w:rsidRPr="00EC250C">
              <w:rPr>
                <w:sz w:val="18"/>
                <w:szCs w:val="20"/>
              </w:rPr>
              <w:t>uczestnikami I Ogólnopolskiej Olimpiady Wiedzy Obywatelskiej „Senior Obywatel”. Gdańsk.</w:t>
            </w:r>
          </w:p>
        </w:tc>
        <w:tc>
          <w:tcPr>
            <w:tcW w:w="1687" w:type="dxa"/>
          </w:tcPr>
          <w:p w14:paraId="078C4D97" w14:textId="77777777" w:rsidR="00250AC8" w:rsidRPr="00EC250C" w:rsidRDefault="00250AC8" w:rsidP="00902FC6">
            <w:pPr>
              <w:pStyle w:val="Tabela"/>
              <w:rPr>
                <w:sz w:val="18"/>
                <w:szCs w:val="20"/>
              </w:rPr>
            </w:pPr>
            <w:r w:rsidRPr="00EC250C">
              <w:rPr>
                <w:sz w:val="18"/>
                <w:szCs w:val="20"/>
              </w:rPr>
              <w:t>05.04.2018</w:t>
            </w:r>
            <w:r w:rsidR="00C91F6E" w:rsidRPr="00EC250C">
              <w:rPr>
                <w:sz w:val="18"/>
                <w:szCs w:val="20"/>
              </w:rPr>
              <w:t> r.</w:t>
            </w:r>
          </w:p>
        </w:tc>
      </w:tr>
      <w:tr w:rsidR="00250AC8" w:rsidRPr="00EC250C" w14:paraId="468FA797" w14:textId="77777777" w:rsidTr="00A016B4">
        <w:trPr>
          <w:tblCellSpacing w:w="20" w:type="dxa"/>
        </w:trPr>
        <w:tc>
          <w:tcPr>
            <w:tcW w:w="508" w:type="dxa"/>
          </w:tcPr>
          <w:p w14:paraId="28C7BA4E" w14:textId="77777777" w:rsidR="00250AC8" w:rsidRPr="00EC250C" w:rsidRDefault="00250AC8" w:rsidP="006C70B7">
            <w:pPr>
              <w:pStyle w:val="Tabela"/>
              <w:numPr>
                <w:ilvl w:val="0"/>
                <w:numId w:val="74"/>
              </w:numPr>
              <w:ind w:left="0" w:firstLine="0"/>
              <w:jc w:val="both"/>
            </w:pPr>
          </w:p>
        </w:tc>
        <w:tc>
          <w:tcPr>
            <w:tcW w:w="7481" w:type="dxa"/>
          </w:tcPr>
          <w:p w14:paraId="11430B7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dniu otwartym nt. „Otwarci na Konstytucję”. Biuro RPO. Warszawa.</w:t>
            </w:r>
          </w:p>
        </w:tc>
        <w:tc>
          <w:tcPr>
            <w:tcW w:w="1687" w:type="dxa"/>
          </w:tcPr>
          <w:p w14:paraId="541BB8DC" w14:textId="77777777" w:rsidR="00250AC8" w:rsidRPr="00EC250C" w:rsidRDefault="00250AC8" w:rsidP="00902FC6">
            <w:pPr>
              <w:pStyle w:val="Tabela"/>
              <w:rPr>
                <w:sz w:val="18"/>
                <w:szCs w:val="20"/>
              </w:rPr>
            </w:pPr>
            <w:r w:rsidRPr="00EC250C">
              <w:rPr>
                <w:sz w:val="18"/>
                <w:szCs w:val="20"/>
              </w:rPr>
              <w:t>07.04.2018</w:t>
            </w:r>
            <w:r w:rsidR="00C91F6E" w:rsidRPr="00EC250C">
              <w:rPr>
                <w:sz w:val="18"/>
                <w:szCs w:val="20"/>
              </w:rPr>
              <w:t> r.</w:t>
            </w:r>
          </w:p>
        </w:tc>
      </w:tr>
      <w:tr w:rsidR="00250AC8" w:rsidRPr="00EC250C" w14:paraId="2A92F633" w14:textId="77777777" w:rsidTr="00A016B4">
        <w:trPr>
          <w:tblCellSpacing w:w="20" w:type="dxa"/>
        </w:trPr>
        <w:tc>
          <w:tcPr>
            <w:tcW w:w="508" w:type="dxa"/>
          </w:tcPr>
          <w:p w14:paraId="101D1344" w14:textId="77777777" w:rsidR="00250AC8" w:rsidRPr="00EC250C" w:rsidRDefault="00250AC8" w:rsidP="006C70B7">
            <w:pPr>
              <w:pStyle w:val="Tabela"/>
              <w:numPr>
                <w:ilvl w:val="0"/>
                <w:numId w:val="74"/>
              </w:numPr>
              <w:ind w:left="0" w:firstLine="0"/>
              <w:jc w:val="both"/>
            </w:pPr>
          </w:p>
        </w:tc>
        <w:tc>
          <w:tcPr>
            <w:tcW w:w="7481" w:type="dxa"/>
          </w:tcPr>
          <w:p w14:paraId="4678CF2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otwarciu Centrum Pomocy Dzieciom</w:t>
            </w:r>
            <w:r w:rsidR="00992FD0" w:rsidRPr="00EC250C">
              <w:rPr>
                <w:sz w:val="18"/>
                <w:szCs w:val="20"/>
              </w:rPr>
              <w:t xml:space="preserve"> w </w:t>
            </w:r>
            <w:r w:rsidRPr="00EC250C">
              <w:rPr>
                <w:sz w:val="18"/>
                <w:szCs w:val="20"/>
              </w:rPr>
              <w:t>Warszawie.</w:t>
            </w:r>
          </w:p>
        </w:tc>
        <w:tc>
          <w:tcPr>
            <w:tcW w:w="1687" w:type="dxa"/>
          </w:tcPr>
          <w:p w14:paraId="23AFCE88" w14:textId="77777777" w:rsidR="00250AC8" w:rsidRPr="00EC250C" w:rsidRDefault="00250AC8" w:rsidP="00902FC6">
            <w:pPr>
              <w:pStyle w:val="Tabela"/>
              <w:rPr>
                <w:sz w:val="18"/>
                <w:szCs w:val="20"/>
              </w:rPr>
            </w:pPr>
            <w:r w:rsidRPr="00EC250C">
              <w:rPr>
                <w:sz w:val="18"/>
                <w:szCs w:val="20"/>
              </w:rPr>
              <w:t>09.04.2018</w:t>
            </w:r>
            <w:r w:rsidR="00C91F6E" w:rsidRPr="00EC250C">
              <w:rPr>
                <w:sz w:val="18"/>
                <w:szCs w:val="20"/>
              </w:rPr>
              <w:t> r.</w:t>
            </w:r>
          </w:p>
        </w:tc>
      </w:tr>
      <w:tr w:rsidR="00250AC8" w:rsidRPr="00EC250C" w14:paraId="64E607FF" w14:textId="77777777" w:rsidTr="00A016B4">
        <w:trPr>
          <w:tblCellSpacing w:w="20" w:type="dxa"/>
        </w:trPr>
        <w:tc>
          <w:tcPr>
            <w:tcW w:w="508" w:type="dxa"/>
          </w:tcPr>
          <w:p w14:paraId="62FBBE3E" w14:textId="77777777" w:rsidR="00250AC8" w:rsidRPr="00EC250C" w:rsidRDefault="00250AC8" w:rsidP="006C70B7">
            <w:pPr>
              <w:pStyle w:val="Tabela"/>
              <w:numPr>
                <w:ilvl w:val="0"/>
                <w:numId w:val="74"/>
              </w:numPr>
              <w:ind w:left="0" w:firstLine="0"/>
              <w:jc w:val="both"/>
            </w:pPr>
          </w:p>
        </w:tc>
        <w:tc>
          <w:tcPr>
            <w:tcW w:w="7481" w:type="dxa"/>
          </w:tcPr>
          <w:p w14:paraId="6EBE47CF" w14:textId="77777777" w:rsidR="00250AC8" w:rsidRPr="00EC250C" w:rsidRDefault="00250AC8" w:rsidP="00902FC6">
            <w:pPr>
              <w:pStyle w:val="Tabela"/>
              <w:rPr>
                <w:sz w:val="18"/>
                <w:szCs w:val="20"/>
              </w:rPr>
            </w:pPr>
            <w:r w:rsidRPr="00EC250C">
              <w:rPr>
                <w:sz w:val="18"/>
                <w:szCs w:val="20"/>
              </w:rPr>
              <w:t>Spotkanie</w:t>
            </w:r>
            <w:r w:rsidR="00992FD0" w:rsidRPr="00EC250C">
              <w:rPr>
                <w:sz w:val="18"/>
                <w:szCs w:val="20"/>
              </w:rPr>
              <w:t xml:space="preserve"> z </w:t>
            </w:r>
            <w:r w:rsidR="00EE1A69" w:rsidRPr="00EC250C">
              <w:rPr>
                <w:sz w:val="18"/>
                <w:szCs w:val="20"/>
              </w:rPr>
              <w:t>r</w:t>
            </w:r>
            <w:r w:rsidRPr="00EC250C">
              <w:rPr>
                <w:sz w:val="18"/>
                <w:szCs w:val="20"/>
              </w:rPr>
              <w:t xml:space="preserve">zecznikiem </w:t>
            </w:r>
            <w:r w:rsidR="00EE1A69" w:rsidRPr="00EC250C">
              <w:rPr>
                <w:sz w:val="18"/>
                <w:szCs w:val="20"/>
              </w:rPr>
              <w:t>p</w:t>
            </w:r>
            <w:r w:rsidRPr="00EC250C">
              <w:rPr>
                <w:sz w:val="18"/>
                <w:szCs w:val="20"/>
              </w:rPr>
              <w:t xml:space="preserve">raw </w:t>
            </w:r>
            <w:r w:rsidR="00EE1A69" w:rsidRPr="00EC250C">
              <w:rPr>
                <w:sz w:val="18"/>
                <w:szCs w:val="20"/>
              </w:rPr>
              <w:t>p</w:t>
            </w:r>
            <w:r w:rsidRPr="00EC250C">
              <w:rPr>
                <w:sz w:val="18"/>
                <w:szCs w:val="20"/>
              </w:rPr>
              <w:t>acjenta oraz posiedzenie Parlamentarnego Zespołu ds. Więziennictwa. Warszawa.</w:t>
            </w:r>
          </w:p>
        </w:tc>
        <w:tc>
          <w:tcPr>
            <w:tcW w:w="1687" w:type="dxa"/>
          </w:tcPr>
          <w:p w14:paraId="14D5B0A3" w14:textId="77777777" w:rsidR="00250AC8" w:rsidRPr="00EC250C" w:rsidRDefault="00250AC8" w:rsidP="00902FC6">
            <w:pPr>
              <w:pStyle w:val="Tabela"/>
              <w:rPr>
                <w:sz w:val="18"/>
                <w:szCs w:val="20"/>
              </w:rPr>
            </w:pPr>
            <w:r w:rsidRPr="00EC250C">
              <w:rPr>
                <w:sz w:val="18"/>
                <w:szCs w:val="20"/>
              </w:rPr>
              <w:t>10–12.04.2018</w:t>
            </w:r>
            <w:r w:rsidR="00C91F6E" w:rsidRPr="00EC250C">
              <w:rPr>
                <w:sz w:val="18"/>
                <w:szCs w:val="20"/>
              </w:rPr>
              <w:t> r.</w:t>
            </w:r>
            <w:r w:rsidRPr="00EC250C">
              <w:rPr>
                <w:sz w:val="18"/>
                <w:szCs w:val="20"/>
              </w:rPr>
              <w:t xml:space="preserve"> </w:t>
            </w:r>
          </w:p>
        </w:tc>
      </w:tr>
      <w:tr w:rsidR="00250AC8" w:rsidRPr="00EC250C" w14:paraId="169D8F67" w14:textId="77777777" w:rsidTr="00A016B4">
        <w:trPr>
          <w:tblCellSpacing w:w="20" w:type="dxa"/>
        </w:trPr>
        <w:tc>
          <w:tcPr>
            <w:tcW w:w="508" w:type="dxa"/>
          </w:tcPr>
          <w:p w14:paraId="67CDB6F9" w14:textId="77777777" w:rsidR="00250AC8" w:rsidRPr="00EC250C" w:rsidRDefault="00250AC8" w:rsidP="006C70B7">
            <w:pPr>
              <w:pStyle w:val="Tabela"/>
              <w:numPr>
                <w:ilvl w:val="0"/>
                <w:numId w:val="74"/>
              </w:numPr>
              <w:ind w:left="0" w:firstLine="0"/>
              <w:jc w:val="both"/>
            </w:pPr>
          </w:p>
        </w:tc>
        <w:tc>
          <w:tcPr>
            <w:tcW w:w="7481" w:type="dxa"/>
          </w:tcPr>
          <w:p w14:paraId="59F15987"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 ze słuchaczami Uniwersytetu Trzeciego Wieku</w:t>
            </w:r>
            <w:r w:rsidR="00992FD0" w:rsidRPr="00EC250C">
              <w:rPr>
                <w:sz w:val="18"/>
                <w:szCs w:val="20"/>
              </w:rPr>
              <w:t xml:space="preserve"> w </w:t>
            </w:r>
            <w:r w:rsidRPr="00EC250C">
              <w:rPr>
                <w:sz w:val="18"/>
                <w:szCs w:val="20"/>
              </w:rPr>
              <w:t xml:space="preserve">Milanówku. </w:t>
            </w:r>
          </w:p>
        </w:tc>
        <w:tc>
          <w:tcPr>
            <w:tcW w:w="1687" w:type="dxa"/>
          </w:tcPr>
          <w:p w14:paraId="1B047F8A" w14:textId="77777777" w:rsidR="00250AC8" w:rsidRPr="00EC250C" w:rsidRDefault="00250AC8" w:rsidP="00902FC6">
            <w:pPr>
              <w:pStyle w:val="Tabela"/>
              <w:rPr>
                <w:sz w:val="18"/>
                <w:szCs w:val="20"/>
              </w:rPr>
            </w:pPr>
            <w:r w:rsidRPr="00EC250C">
              <w:rPr>
                <w:sz w:val="18"/>
                <w:szCs w:val="20"/>
              </w:rPr>
              <w:t>11.04.2018</w:t>
            </w:r>
            <w:r w:rsidR="00C91F6E" w:rsidRPr="00EC250C">
              <w:rPr>
                <w:sz w:val="18"/>
                <w:szCs w:val="20"/>
              </w:rPr>
              <w:t> r.</w:t>
            </w:r>
            <w:r w:rsidRPr="00EC250C">
              <w:rPr>
                <w:sz w:val="18"/>
                <w:szCs w:val="20"/>
              </w:rPr>
              <w:t xml:space="preserve"> </w:t>
            </w:r>
          </w:p>
        </w:tc>
      </w:tr>
      <w:tr w:rsidR="00250AC8" w:rsidRPr="00EC250C" w14:paraId="33417B32" w14:textId="77777777" w:rsidTr="00A016B4">
        <w:trPr>
          <w:tblCellSpacing w:w="20" w:type="dxa"/>
        </w:trPr>
        <w:tc>
          <w:tcPr>
            <w:tcW w:w="508" w:type="dxa"/>
          </w:tcPr>
          <w:p w14:paraId="359313B9" w14:textId="77777777" w:rsidR="00250AC8" w:rsidRPr="00EC250C" w:rsidRDefault="00250AC8" w:rsidP="006C70B7">
            <w:pPr>
              <w:pStyle w:val="Tabela"/>
              <w:numPr>
                <w:ilvl w:val="0"/>
                <w:numId w:val="74"/>
              </w:numPr>
              <w:ind w:left="0" w:firstLine="0"/>
              <w:jc w:val="both"/>
            </w:pPr>
          </w:p>
        </w:tc>
        <w:tc>
          <w:tcPr>
            <w:tcW w:w="7481" w:type="dxa"/>
          </w:tcPr>
          <w:p w14:paraId="6668679D"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 przedstawicielami organizacji mniejszości narodowych i etnicznych działających</w:t>
            </w:r>
            <w:r w:rsidR="00992FD0" w:rsidRPr="00EC250C">
              <w:rPr>
                <w:sz w:val="18"/>
                <w:szCs w:val="20"/>
              </w:rPr>
              <w:t xml:space="preserve"> w </w:t>
            </w:r>
            <w:r w:rsidRPr="00EC250C">
              <w:rPr>
                <w:sz w:val="18"/>
                <w:szCs w:val="20"/>
              </w:rPr>
              <w:t>Polsce. Biuro RPO. Warszawa.</w:t>
            </w:r>
          </w:p>
        </w:tc>
        <w:tc>
          <w:tcPr>
            <w:tcW w:w="1687" w:type="dxa"/>
          </w:tcPr>
          <w:p w14:paraId="4E5BCFD8" w14:textId="77777777" w:rsidR="00250AC8" w:rsidRPr="00EC250C" w:rsidRDefault="00250AC8" w:rsidP="00902FC6">
            <w:pPr>
              <w:pStyle w:val="Tabela"/>
              <w:rPr>
                <w:sz w:val="18"/>
                <w:szCs w:val="20"/>
              </w:rPr>
            </w:pPr>
            <w:r w:rsidRPr="00EC250C">
              <w:rPr>
                <w:sz w:val="18"/>
                <w:szCs w:val="20"/>
              </w:rPr>
              <w:t>11.04.2018</w:t>
            </w:r>
            <w:r w:rsidR="00C91F6E" w:rsidRPr="00EC250C">
              <w:rPr>
                <w:sz w:val="18"/>
                <w:szCs w:val="20"/>
              </w:rPr>
              <w:t> r.</w:t>
            </w:r>
          </w:p>
        </w:tc>
      </w:tr>
      <w:tr w:rsidR="00250AC8" w:rsidRPr="00EC250C" w14:paraId="417EED4B" w14:textId="77777777" w:rsidTr="00A016B4">
        <w:trPr>
          <w:tblCellSpacing w:w="20" w:type="dxa"/>
        </w:trPr>
        <w:tc>
          <w:tcPr>
            <w:tcW w:w="508" w:type="dxa"/>
          </w:tcPr>
          <w:p w14:paraId="721FEBF4" w14:textId="77777777" w:rsidR="00250AC8" w:rsidRPr="00EC250C" w:rsidRDefault="00250AC8" w:rsidP="006C70B7">
            <w:pPr>
              <w:pStyle w:val="Tabela"/>
              <w:numPr>
                <w:ilvl w:val="0"/>
                <w:numId w:val="74"/>
              </w:numPr>
              <w:ind w:left="0" w:firstLine="0"/>
              <w:jc w:val="both"/>
            </w:pPr>
          </w:p>
        </w:tc>
        <w:tc>
          <w:tcPr>
            <w:tcW w:w="7481" w:type="dxa"/>
          </w:tcPr>
          <w:p w14:paraId="4DABD1B9"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 </w:t>
            </w:r>
            <w:r w:rsidR="00B04745" w:rsidRPr="00EC250C">
              <w:rPr>
                <w:sz w:val="18"/>
                <w:szCs w:val="20"/>
              </w:rPr>
              <w:t>p</w:t>
            </w:r>
            <w:r w:rsidRPr="00EC250C">
              <w:rPr>
                <w:sz w:val="18"/>
                <w:szCs w:val="20"/>
              </w:rPr>
              <w:t>rzewodniczącym Krajowej Rady Doradców Podatkowych. Warszawa.</w:t>
            </w:r>
          </w:p>
        </w:tc>
        <w:tc>
          <w:tcPr>
            <w:tcW w:w="1687" w:type="dxa"/>
          </w:tcPr>
          <w:p w14:paraId="53997734" w14:textId="77777777" w:rsidR="00250AC8" w:rsidRPr="00EC250C" w:rsidRDefault="00250AC8" w:rsidP="00902FC6">
            <w:pPr>
              <w:pStyle w:val="Tabela"/>
              <w:rPr>
                <w:sz w:val="18"/>
                <w:szCs w:val="20"/>
              </w:rPr>
            </w:pPr>
            <w:r w:rsidRPr="00EC250C">
              <w:rPr>
                <w:sz w:val="18"/>
                <w:szCs w:val="20"/>
              </w:rPr>
              <w:t>11.04.2018</w:t>
            </w:r>
            <w:r w:rsidR="00C91F6E" w:rsidRPr="00EC250C">
              <w:rPr>
                <w:sz w:val="18"/>
                <w:szCs w:val="20"/>
              </w:rPr>
              <w:t> r.</w:t>
            </w:r>
          </w:p>
        </w:tc>
      </w:tr>
      <w:tr w:rsidR="00250AC8" w:rsidRPr="00EC250C" w14:paraId="3185793B" w14:textId="77777777" w:rsidTr="00A016B4">
        <w:trPr>
          <w:tblCellSpacing w:w="20" w:type="dxa"/>
        </w:trPr>
        <w:tc>
          <w:tcPr>
            <w:tcW w:w="508" w:type="dxa"/>
          </w:tcPr>
          <w:p w14:paraId="3D622333" w14:textId="77777777" w:rsidR="00250AC8" w:rsidRPr="00EC250C" w:rsidRDefault="00250AC8" w:rsidP="006C70B7">
            <w:pPr>
              <w:pStyle w:val="Tabela"/>
              <w:numPr>
                <w:ilvl w:val="0"/>
                <w:numId w:val="74"/>
              </w:numPr>
              <w:ind w:left="0" w:firstLine="0"/>
              <w:jc w:val="both"/>
            </w:pPr>
          </w:p>
        </w:tc>
        <w:tc>
          <w:tcPr>
            <w:tcW w:w="7481" w:type="dxa"/>
          </w:tcPr>
          <w:p w14:paraId="78ED23E8" w14:textId="77777777" w:rsidR="00250AC8" w:rsidRPr="00EC250C" w:rsidRDefault="00250AC8" w:rsidP="00902FC6">
            <w:pPr>
              <w:pStyle w:val="Tabela"/>
              <w:rPr>
                <w:sz w:val="18"/>
                <w:szCs w:val="20"/>
              </w:rPr>
            </w:pPr>
            <w:r w:rsidRPr="00EC250C">
              <w:rPr>
                <w:sz w:val="18"/>
                <w:szCs w:val="20"/>
              </w:rPr>
              <w:t>Olimpiada Języka Migowego</w:t>
            </w:r>
            <w:r w:rsidR="00992FD0" w:rsidRPr="00EC250C">
              <w:rPr>
                <w:sz w:val="18"/>
                <w:szCs w:val="20"/>
              </w:rPr>
              <w:t xml:space="preserve"> i </w:t>
            </w:r>
            <w:r w:rsidRPr="00EC250C">
              <w:rPr>
                <w:sz w:val="18"/>
                <w:szCs w:val="20"/>
              </w:rPr>
              <w:t>miganego Młodzieży Niesłyszącej Szkół Ponadgimnazjalnych</w:t>
            </w:r>
            <w:r w:rsidR="00992FD0" w:rsidRPr="00EC250C">
              <w:rPr>
                <w:sz w:val="18"/>
                <w:szCs w:val="20"/>
              </w:rPr>
              <w:t xml:space="preserve"> w </w:t>
            </w:r>
            <w:r w:rsidRPr="00EC250C">
              <w:rPr>
                <w:sz w:val="18"/>
                <w:szCs w:val="20"/>
              </w:rPr>
              <w:t>Kielcach pod honorowym patronatem RPO. Kielce.</w:t>
            </w:r>
          </w:p>
        </w:tc>
        <w:tc>
          <w:tcPr>
            <w:tcW w:w="1687" w:type="dxa"/>
          </w:tcPr>
          <w:p w14:paraId="3C8766F4" w14:textId="77777777" w:rsidR="00250AC8" w:rsidRPr="00EC250C" w:rsidRDefault="00250AC8" w:rsidP="00902FC6">
            <w:pPr>
              <w:pStyle w:val="Tabela"/>
              <w:rPr>
                <w:sz w:val="18"/>
                <w:szCs w:val="20"/>
              </w:rPr>
            </w:pPr>
            <w:r w:rsidRPr="00EC250C">
              <w:rPr>
                <w:sz w:val="18"/>
                <w:szCs w:val="20"/>
              </w:rPr>
              <w:t>13–14.04.2018</w:t>
            </w:r>
            <w:r w:rsidR="00C91F6E" w:rsidRPr="00EC250C">
              <w:rPr>
                <w:sz w:val="18"/>
                <w:szCs w:val="20"/>
              </w:rPr>
              <w:t> r.</w:t>
            </w:r>
          </w:p>
        </w:tc>
      </w:tr>
      <w:tr w:rsidR="00250AC8" w:rsidRPr="00EC250C" w14:paraId="58ED91CE" w14:textId="77777777" w:rsidTr="00A016B4">
        <w:trPr>
          <w:tblCellSpacing w:w="20" w:type="dxa"/>
        </w:trPr>
        <w:tc>
          <w:tcPr>
            <w:tcW w:w="508" w:type="dxa"/>
          </w:tcPr>
          <w:p w14:paraId="6888970F" w14:textId="77777777" w:rsidR="00250AC8" w:rsidRPr="00EC250C" w:rsidRDefault="00250AC8" w:rsidP="006C70B7">
            <w:pPr>
              <w:pStyle w:val="Tabela"/>
              <w:numPr>
                <w:ilvl w:val="0"/>
                <w:numId w:val="74"/>
              </w:numPr>
              <w:ind w:left="0" w:firstLine="0"/>
              <w:jc w:val="both"/>
            </w:pPr>
          </w:p>
        </w:tc>
        <w:tc>
          <w:tcPr>
            <w:tcW w:w="7481" w:type="dxa"/>
          </w:tcPr>
          <w:p w14:paraId="5B18175A" w14:textId="77777777" w:rsidR="00250AC8" w:rsidRPr="00EC250C" w:rsidRDefault="00250AC8" w:rsidP="00902FC6">
            <w:pPr>
              <w:pStyle w:val="Tabela"/>
              <w:rPr>
                <w:sz w:val="18"/>
                <w:szCs w:val="20"/>
              </w:rPr>
            </w:pPr>
            <w:r w:rsidRPr="00EC250C">
              <w:rPr>
                <w:sz w:val="18"/>
                <w:szCs w:val="20"/>
              </w:rPr>
              <w:t>Spotkanie nt. „ Sprawni teraz, sprawni później, pogodni na starość”. Ustroń-Jaszowiec.</w:t>
            </w:r>
          </w:p>
        </w:tc>
        <w:tc>
          <w:tcPr>
            <w:tcW w:w="1687" w:type="dxa"/>
          </w:tcPr>
          <w:p w14:paraId="4644D008" w14:textId="77777777" w:rsidR="00250AC8" w:rsidRPr="00EC250C" w:rsidRDefault="00250AC8" w:rsidP="00902FC6">
            <w:pPr>
              <w:pStyle w:val="Tabela"/>
              <w:rPr>
                <w:sz w:val="18"/>
                <w:szCs w:val="20"/>
              </w:rPr>
            </w:pPr>
            <w:r w:rsidRPr="00EC250C">
              <w:rPr>
                <w:sz w:val="18"/>
                <w:szCs w:val="20"/>
              </w:rPr>
              <w:t>20.04.2018</w:t>
            </w:r>
            <w:r w:rsidR="00C91F6E" w:rsidRPr="00EC250C">
              <w:rPr>
                <w:sz w:val="18"/>
                <w:szCs w:val="20"/>
              </w:rPr>
              <w:t> r.</w:t>
            </w:r>
          </w:p>
        </w:tc>
      </w:tr>
      <w:tr w:rsidR="00250AC8" w:rsidRPr="00EC250C" w14:paraId="6C074BC1" w14:textId="77777777" w:rsidTr="00A016B4">
        <w:trPr>
          <w:tblCellSpacing w:w="20" w:type="dxa"/>
        </w:trPr>
        <w:tc>
          <w:tcPr>
            <w:tcW w:w="508" w:type="dxa"/>
          </w:tcPr>
          <w:p w14:paraId="2CFF6FF1" w14:textId="77777777" w:rsidR="00250AC8" w:rsidRPr="00EC250C" w:rsidRDefault="00250AC8" w:rsidP="006C70B7">
            <w:pPr>
              <w:pStyle w:val="Tabela"/>
              <w:numPr>
                <w:ilvl w:val="0"/>
                <w:numId w:val="74"/>
              </w:numPr>
              <w:ind w:left="0" w:firstLine="0"/>
              <w:jc w:val="both"/>
            </w:pPr>
          </w:p>
        </w:tc>
        <w:tc>
          <w:tcPr>
            <w:tcW w:w="7481" w:type="dxa"/>
          </w:tcPr>
          <w:p w14:paraId="5E763DCD"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 xml:space="preserve">protestującymi </w:t>
            </w:r>
            <w:r w:rsidRPr="00EC250C">
              <w:rPr>
                <w:sz w:val="18"/>
                <w:szCs w:val="20"/>
              </w:rPr>
              <w:br/>
              <w:t>w Sejmie RP rodzicami dorosłych osób</w:t>
            </w:r>
            <w:r w:rsidR="00992FD0" w:rsidRPr="00EC250C">
              <w:rPr>
                <w:sz w:val="18"/>
                <w:szCs w:val="20"/>
              </w:rPr>
              <w:t xml:space="preserve"> z </w:t>
            </w:r>
            <w:r w:rsidRPr="00EC250C">
              <w:rPr>
                <w:sz w:val="18"/>
                <w:szCs w:val="20"/>
              </w:rPr>
              <w:t>niepełnosprawnościami. Warszawa.</w:t>
            </w:r>
          </w:p>
        </w:tc>
        <w:tc>
          <w:tcPr>
            <w:tcW w:w="1687" w:type="dxa"/>
          </w:tcPr>
          <w:p w14:paraId="792DC5B9" w14:textId="77777777" w:rsidR="00250AC8" w:rsidRPr="00EC250C" w:rsidRDefault="00250AC8" w:rsidP="00902FC6">
            <w:pPr>
              <w:pStyle w:val="Tabela"/>
              <w:rPr>
                <w:sz w:val="18"/>
                <w:szCs w:val="20"/>
              </w:rPr>
            </w:pPr>
            <w:r w:rsidRPr="00EC250C">
              <w:rPr>
                <w:sz w:val="18"/>
                <w:szCs w:val="20"/>
              </w:rPr>
              <w:t>23.04.2018</w:t>
            </w:r>
            <w:r w:rsidR="00C91F6E" w:rsidRPr="00EC250C">
              <w:rPr>
                <w:sz w:val="18"/>
                <w:szCs w:val="20"/>
              </w:rPr>
              <w:t> r.</w:t>
            </w:r>
          </w:p>
        </w:tc>
      </w:tr>
      <w:tr w:rsidR="00250AC8" w:rsidRPr="00EC250C" w14:paraId="03BD0C08" w14:textId="77777777" w:rsidTr="00A016B4">
        <w:trPr>
          <w:tblCellSpacing w:w="20" w:type="dxa"/>
        </w:trPr>
        <w:tc>
          <w:tcPr>
            <w:tcW w:w="508" w:type="dxa"/>
          </w:tcPr>
          <w:p w14:paraId="6EF22D90" w14:textId="77777777" w:rsidR="00250AC8" w:rsidRPr="00EC250C" w:rsidRDefault="00250AC8" w:rsidP="006C70B7">
            <w:pPr>
              <w:pStyle w:val="Tabela"/>
              <w:numPr>
                <w:ilvl w:val="0"/>
                <w:numId w:val="74"/>
              </w:numPr>
              <w:ind w:left="0" w:firstLine="0"/>
              <w:jc w:val="both"/>
            </w:pPr>
          </w:p>
        </w:tc>
        <w:tc>
          <w:tcPr>
            <w:tcW w:w="7481" w:type="dxa"/>
          </w:tcPr>
          <w:p w14:paraId="5BCAD04B"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XXII Ogólnopolskim Konkursie Krasomówczym im. Mec. Joanny Agackiej-Indeckiej oraz spotkanie</w:t>
            </w:r>
            <w:r w:rsidR="00992FD0" w:rsidRPr="00EC250C">
              <w:rPr>
                <w:sz w:val="18"/>
                <w:szCs w:val="20"/>
              </w:rPr>
              <w:t xml:space="preserve"> z </w:t>
            </w:r>
            <w:r w:rsidRPr="00EC250C">
              <w:rPr>
                <w:sz w:val="18"/>
                <w:szCs w:val="20"/>
              </w:rPr>
              <w:t>młodzieżą szkół ponadgimnazjalnych</w:t>
            </w:r>
            <w:r w:rsidR="00992FD0" w:rsidRPr="00EC250C">
              <w:rPr>
                <w:sz w:val="18"/>
                <w:szCs w:val="20"/>
              </w:rPr>
              <w:t xml:space="preserve"> w </w:t>
            </w:r>
            <w:r w:rsidRPr="00EC250C">
              <w:rPr>
                <w:sz w:val="18"/>
                <w:szCs w:val="20"/>
              </w:rPr>
              <w:t>Urzędzie Miasta Poznań. Poznań.</w:t>
            </w:r>
          </w:p>
        </w:tc>
        <w:tc>
          <w:tcPr>
            <w:tcW w:w="1687" w:type="dxa"/>
          </w:tcPr>
          <w:p w14:paraId="0EA5A524" w14:textId="77777777" w:rsidR="00250AC8" w:rsidRPr="00EC250C" w:rsidRDefault="00250AC8" w:rsidP="00902FC6">
            <w:pPr>
              <w:pStyle w:val="Tabela"/>
              <w:rPr>
                <w:sz w:val="18"/>
                <w:szCs w:val="20"/>
              </w:rPr>
            </w:pPr>
            <w:r w:rsidRPr="00EC250C">
              <w:rPr>
                <w:sz w:val="18"/>
                <w:szCs w:val="20"/>
              </w:rPr>
              <w:t>24.04.2018</w:t>
            </w:r>
            <w:r w:rsidR="00C91F6E" w:rsidRPr="00EC250C">
              <w:rPr>
                <w:sz w:val="18"/>
                <w:szCs w:val="20"/>
              </w:rPr>
              <w:t> r.</w:t>
            </w:r>
          </w:p>
        </w:tc>
      </w:tr>
      <w:tr w:rsidR="00250AC8" w:rsidRPr="00EC250C" w14:paraId="5FFD00E1" w14:textId="77777777" w:rsidTr="00A016B4">
        <w:trPr>
          <w:tblCellSpacing w:w="20" w:type="dxa"/>
        </w:trPr>
        <w:tc>
          <w:tcPr>
            <w:tcW w:w="508" w:type="dxa"/>
          </w:tcPr>
          <w:p w14:paraId="068339FE" w14:textId="77777777" w:rsidR="00250AC8" w:rsidRPr="00EC250C" w:rsidRDefault="00250AC8" w:rsidP="006C70B7">
            <w:pPr>
              <w:pStyle w:val="Tabela"/>
              <w:numPr>
                <w:ilvl w:val="0"/>
                <w:numId w:val="74"/>
              </w:numPr>
              <w:ind w:left="0" w:firstLine="0"/>
              <w:jc w:val="both"/>
            </w:pPr>
          </w:p>
        </w:tc>
        <w:tc>
          <w:tcPr>
            <w:tcW w:w="7481" w:type="dxa"/>
          </w:tcPr>
          <w:p w14:paraId="735489C1"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 oraz ekspertów Komisji ds. Osób</w:t>
            </w:r>
            <w:r w:rsidR="00992FD0" w:rsidRPr="00EC250C">
              <w:rPr>
                <w:sz w:val="18"/>
                <w:szCs w:val="20"/>
              </w:rPr>
              <w:t xml:space="preserve"> z </w:t>
            </w:r>
            <w:r w:rsidRPr="00EC250C">
              <w:rPr>
                <w:sz w:val="18"/>
                <w:szCs w:val="20"/>
              </w:rPr>
              <w:t>Niepełnosprawnością</w:t>
            </w:r>
            <w:r w:rsidR="00992FD0" w:rsidRPr="00EC250C">
              <w:rPr>
                <w:sz w:val="18"/>
                <w:szCs w:val="20"/>
              </w:rPr>
              <w:t xml:space="preserve"> z </w:t>
            </w:r>
            <w:r w:rsidRPr="00EC250C">
              <w:rPr>
                <w:sz w:val="18"/>
                <w:szCs w:val="20"/>
              </w:rPr>
              <w:t>przedstawicielką grupy protestujących rodziców dorosłych osób</w:t>
            </w:r>
            <w:r w:rsidR="00992FD0" w:rsidRPr="00EC250C">
              <w:rPr>
                <w:sz w:val="18"/>
                <w:szCs w:val="20"/>
              </w:rPr>
              <w:t xml:space="preserve"> z </w:t>
            </w:r>
            <w:r w:rsidRPr="00EC250C">
              <w:rPr>
                <w:sz w:val="18"/>
                <w:szCs w:val="20"/>
              </w:rPr>
              <w:t>niepełnosprawnościami. Biuro RPO. Warszawa.</w:t>
            </w:r>
          </w:p>
        </w:tc>
        <w:tc>
          <w:tcPr>
            <w:tcW w:w="1687" w:type="dxa"/>
          </w:tcPr>
          <w:p w14:paraId="0D35B211" w14:textId="77777777" w:rsidR="00250AC8" w:rsidRPr="00EC250C" w:rsidRDefault="00250AC8" w:rsidP="00902FC6">
            <w:pPr>
              <w:pStyle w:val="Tabela"/>
              <w:rPr>
                <w:sz w:val="18"/>
                <w:szCs w:val="20"/>
              </w:rPr>
            </w:pPr>
            <w:r w:rsidRPr="00EC250C">
              <w:rPr>
                <w:sz w:val="18"/>
                <w:szCs w:val="20"/>
              </w:rPr>
              <w:t>24.04.2018</w:t>
            </w:r>
            <w:r w:rsidR="00C91F6E" w:rsidRPr="00EC250C">
              <w:rPr>
                <w:sz w:val="18"/>
                <w:szCs w:val="20"/>
              </w:rPr>
              <w:t> r.</w:t>
            </w:r>
          </w:p>
        </w:tc>
      </w:tr>
      <w:tr w:rsidR="00250AC8" w:rsidRPr="00EC250C" w14:paraId="76F60D6C" w14:textId="77777777" w:rsidTr="00A016B4">
        <w:trPr>
          <w:tblCellSpacing w:w="20" w:type="dxa"/>
        </w:trPr>
        <w:tc>
          <w:tcPr>
            <w:tcW w:w="508" w:type="dxa"/>
          </w:tcPr>
          <w:p w14:paraId="08179541" w14:textId="77777777" w:rsidR="00250AC8" w:rsidRPr="00EC250C" w:rsidRDefault="00250AC8" w:rsidP="006C70B7">
            <w:pPr>
              <w:pStyle w:val="Tabela"/>
              <w:numPr>
                <w:ilvl w:val="0"/>
                <w:numId w:val="74"/>
              </w:numPr>
              <w:ind w:left="0" w:firstLine="0"/>
              <w:jc w:val="both"/>
            </w:pPr>
          </w:p>
        </w:tc>
        <w:tc>
          <w:tcPr>
            <w:tcW w:w="7481" w:type="dxa"/>
          </w:tcPr>
          <w:p w14:paraId="0BC5861B"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ze studentami Uniwersytetu Pedagogicznego im. KEN</w:t>
            </w:r>
            <w:r w:rsidR="00992FD0" w:rsidRPr="00EC250C">
              <w:rPr>
                <w:sz w:val="18"/>
                <w:szCs w:val="20"/>
              </w:rPr>
              <w:t xml:space="preserve"> w </w:t>
            </w:r>
            <w:r w:rsidRPr="00EC250C">
              <w:rPr>
                <w:sz w:val="18"/>
                <w:szCs w:val="20"/>
              </w:rPr>
              <w:t>Krakowie oraz spotkanie</w:t>
            </w:r>
            <w:r w:rsidR="00992FD0" w:rsidRPr="00EC250C">
              <w:rPr>
                <w:sz w:val="18"/>
                <w:szCs w:val="20"/>
              </w:rPr>
              <w:t xml:space="preserve"> z </w:t>
            </w:r>
            <w:r w:rsidRPr="00EC250C">
              <w:rPr>
                <w:sz w:val="18"/>
                <w:szCs w:val="20"/>
              </w:rPr>
              <w:t>pracownikami Fundacji „Promyk” Zielony Domek. Kraków.</w:t>
            </w:r>
          </w:p>
        </w:tc>
        <w:tc>
          <w:tcPr>
            <w:tcW w:w="1687" w:type="dxa"/>
          </w:tcPr>
          <w:p w14:paraId="33B662B8" w14:textId="77777777" w:rsidR="00250AC8" w:rsidRPr="00EC250C" w:rsidRDefault="00250AC8" w:rsidP="00902FC6">
            <w:pPr>
              <w:pStyle w:val="Tabela"/>
              <w:rPr>
                <w:sz w:val="18"/>
                <w:szCs w:val="20"/>
              </w:rPr>
            </w:pPr>
            <w:r w:rsidRPr="00EC250C">
              <w:rPr>
                <w:sz w:val="18"/>
                <w:szCs w:val="20"/>
              </w:rPr>
              <w:t>26–27.04.2018</w:t>
            </w:r>
            <w:r w:rsidR="00C91F6E" w:rsidRPr="00EC250C">
              <w:rPr>
                <w:sz w:val="18"/>
                <w:szCs w:val="20"/>
              </w:rPr>
              <w:t> r.</w:t>
            </w:r>
            <w:r w:rsidRPr="00EC250C">
              <w:rPr>
                <w:sz w:val="18"/>
                <w:szCs w:val="20"/>
              </w:rPr>
              <w:t xml:space="preserve"> </w:t>
            </w:r>
          </w:p>
        </w:tc>
      </w:tr>
      <w:tr w:rsidR="00250AC8" w:rsidRPr="00EC250C" w14:paraId="25CBE3C8" w14:textId="77777777" w:rsidTr="00A016B4">
        <w:trPr>
          <w:tblCellSpacing w:w="20" w:type="dxa"/>
        </w:trPr>
        <w:tc>
          <w:tcPr>
            <w:tcW w:w="508" w:type="dxa"/>
          </w:tcPr>
          <w:p w14:paraId="586DED9B" w14:textId="77777777" w:rsidR="00250AC8" w:rsidRPr="00EC250C" w:rsidRDefault="00250AC8" w:rsidP="006C70B7">
            <w:pPr>
              <w:pStyle w:val="Tabela"/>
              <w:numPr>
                <w:ilvl w:val="0"/>
                <w:numId w:val="74"/>
              </w:numPr>
              <w:ind w:left="0" w:firstLine="0"/>
              <w:jc w:val="both"/>
            </w:pPr>
          </w:p>
        </w:tc>
        <w:tc>
          <w:tcPr>
            <w:tcW w:w="7481" w:type="dxa"/>
          </w:tcPr>
          <w:p w14:paraId="0C413970"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protestującymi</w:t>
            </w:r>
            <w:r w:rsidR="00992FD0" w:rsidRPr="00EC250C">
              <w:rPr>
                <w:sz w:val="18"/>
                <w:szCs w:val="20"/>
              </w:rPr>
              <w:t xml:space="preserve"> w </w:t>
            </w:r>
            <w:r w:rsidRPr="00EC250C">
              <w:rPr>
                <w:sz w:val="18"/>
                <w:szCs w:val="20"/>
              </w:rPr>
              <w:t>Sejmie RP rodzicami dorosłych osób</w:t>
            </w:r>
            <w:r w:rsidR="00992FD0" w:rsidRPr="00EC250C">
              <w:rPr>
                <w:sz w:val="18"/>
                <w:szCs w:val="20"/>
              </w:rPr>
              <w:t xml:space="preserve"> z </w:t>
            </w:r>
            <w:r w:rsidRPr="00EC250C">
              <w:rPr>
                <w:sz w:val="18"/>
                <w:szCs w:val="20"/>
              </w:rPr>
              <w:t>niepełnosprawnościami. Warszawa.</w:t>
            </w:r>
          </w:p>
        </w:tc>
        <w:tc>
          <w:tcPr>
            <w:tcW w:w="1687" w:type="dxa"/>
          </w:tcPr>
          <w:p w14:paraId="3D454744" w14:textId="77777777" w:rsidR="00250AC8" w:rsidRPr="00EC250C" w:rsidRDefault="00250AC8" w:rsidP="00902FC6">
            <w:pPr>
              <w:pStyle w:val="Tabela"/>
              <w:rPr>
                <w:sz w:val="18"/>
                <w:szCs w:val="20"/>
              </w:rPr>
            </w:pPr>
            <w:r w:rsidRPr="00EC250C">
              <w:rPr>
                <w:sz w:val="18"/>
                <w:szCs w:val="20"/>
              </w:rPr>
              <w:t>01.05.2018</w:t>
            </w:r>
            <w:r w:rsidR="00C91F6E" w:rsidRPr="00EC250C">
              <w:rPr>
                <w:sz w:val="18"/>
                <w:szCs w:val="20"/>
              </w:rPr>
              <w:t> r.</w:t>
            </w:r>
          </w:p>
        </w:tc>
      </w:tr>
      <w:tr w:rsidR="00250AC8" w:rsidRPr="00EC250C" w14:paraId="68E86A49" w14:textId="77777777" w:rsidTr="00A016B4">
        <w:trPr>
          <w:tblCellSpacing w:w="20" w:type="dxa"/>
        </w:trPr>
        <w:tc>
          <w:tcPr>
            <w:tcW w:w="508" w:type="dxa"/>
          </w:tcPr>
          <w:p w14:paraId="19EE2E99" w14:textId="77777777" w:rsidR="00250AC8" w:rsidRPr="00EC250C" w:rsidRDefault="00250AC8" w:rsidP="006C70B7">
            <w:pPr>
              <w:pStyle w:val="Tabela"/>
              <w:numPr>
                <w:ilvl w:val="0"/>
                <w:numId w:val="74"/>
              </w:numPr>
              <w:ind w:left="0" w:firstLine="0"/>
              <w:jc w:val="both"/>
            </w:pPr>
          </w:p>
        </w:tc>
        <w:tc>
          <w:tcPr>
            <w:tcW w:w="7481" w:type="dxa"/>
          </w:tcPr>
          <w:p w14:paraId="617E6D3C" w14:textId="77777777" w:rsidR="00250AC8" w:rsidRPr="00EC250C" w:rsidRDefault="00250AC8" w:rsidP="00902FC6">
            <w:pPr>
              <w:pStyle w:val="Tabela"/>
              <w:rPr>
                <w:sz w:val="18"/>
                <w:szCs w:val="20"/>
              </w:rPr>
            </w:pPr>
            <w:r w:rsidRPr="00EC250C">
              <w:rPr>
                <w:sz w:val="18"/>
                <w:szCs w:val="20"/>
              </w:rPr>
              <w:t>Warsztaty</w:t>
            </w:r>
            <w:r w:rsidR="00992FD0" w:rsidRPr="00EC250C">
              <w:rPr>
                <w:sz w:val="18"/>
                <w:szCs w:val="20"/>
              </w:rPr>
              <w:t xml:space="preserve"> z </w:t>
            </w:r>
            <w:r w:rsidRPr="00EC250C">
              <w:rPr>
                <w:sz w:val="18"/>
                <w:szCs w:val="20"/>
              </w:rPr>
              <w:t>grupą młodych ludzi</w:t>
            </w:r>
            <w:r w:rsidR="00992FD0" w:rsidRPr="00EC250C">
              <w:rPr>
                <w:sz w:val="18"/>
                <w:szCs w:val="20"/>
              </w:rPr>
              <w:t xml:space="preserve"> z </w:t>
            </w:r>
            <w:r w:rsidRPr="00EC250C">
              <w:rPr>
                <w:sz w:val="18"/>
                <w:szCs w:val="20"/>
              </w:rPr>
              <w:t>Polski, Niemiec, Syrii, spotkanie</w:t>
            </w:r>
            <w:r w:rsidR="00992FD0" w:rsidRPr="00EC250C">
              <w:rPr>
                <w:sz w:val="18"/>
                <w:szCs w:val="20"/>
              </w:rPr>
              <w:t xml:space="preserve"> z </w:t>
            </w:r>
            <w:r w:rsidRPr="00EC250C">
              <w:rPr>
                <w:sz w:val="18"/>
                <w:szCs w:val="20"/>
              </w:rPr>
              <w:t>organizacjami ngoʼs oraz udział</w:t>
            </w:r>
            <w:r w:rsidR="00992FD0" w:rsidRPr="00EC250C">
              <w:rPr>
                <w:sz w:val="18"/>
                <w:szCs w:val="20"/>
              </w:rPr>
              <w:t xml:space="preserve"> w </w:t>
            </w:r>
            <w:r w:rsidRPr="00EC250C">
              <w:rPr>
                <w:sz w:val="18"/>
                <w:szCs w:val="20"/>
              </w:rPr>
              <w:t>Marszu Tolerancji</w:t>
            </w:r>
            <w:r w:rsidR="00992FD0" w:rsidRPr="00EC250C">
              <w:rPr>
                <w:sz w:val="18"/>
                <w:szCs w:val="20"/>
              </w:rPr>
              <w:t xml:space="preserve"> w </w:t>
            </w:r>
            <w:r w:rsidRPr="00EC250C">
              <w:rPr>
                <w:sz w:val="18"/>
                <w:szCs w:val="20"/>
              </w:rPr>
              <w:t>roli obserwatora. Gorzów Wielkopolski, Poznań, Konin, Danków.</w:t>
            </w:r>
          </w:p>
        </w:tc>
        <w:tc>
          <w:tcPr>
            <w:tcW w:w="1687" w:type="dxa"/>
          </w:tcPr>
          <w:p w14:paraId="4A3185D7" w14:textId="77777777" w:rsidR="00250AC8" w:rsidRPr="00EC250C" w:rsidRDefault="00250AC8" w:rsidP="00902FC6">
            <w:pPr>
              <w:pStyle w:val="Tabela"/>
              <w:rPr>
                <w:sz w:val="18"/>
                <w:szCs w:val="20"/>
              </w:rPr>
            </w:pPr>
            <w:r w:rsidRPr="00EC250C">
              <w:rPr>
                <w:sz w:val="18"/>
                <w:szCs w:val="20"/>
              </w:rPr>
              <w:t>16.05.2018</w:t>
            </w:r>
            <w:r w:rsidR="00C91F6E" w:rsidRPr="00EC250C">
              <w:rPr>
                <w:sz w:val="18"/>
                <w:szCs w:val="20"/>
              </w:rPr>
              <w:t> r.</w:t>
            </w:r>
          </w:p>
        </w:tc>
      </w:tr>
      <w:tr w:rsidR="00250AC8" w:rsidRPr="00EC250C" w14:paraId="56AEE66E" w14:textId="77777777" w:rsidTr="00A016B4">
        <w:trPr>
          <w:tblCellSpacing w:w="20" w:type="dxa"/>
        </w:trPr>
        <w:tc>
          <w:tcPr>
            <w:tcW w:w="508" w:type="dxa"/>
          </w:tcPr>
          <w:p w14:paraId="374262EA" w14:textId="77777777" w:rsidR="00250AC8" w:rsidRPr="00EC250C" w:rsidRDefault="00250AC8" w:rsidP="006C70B7">
            <w:pPr>
              <w:pStyle w:val="Tabela"/>
              <w:numPr>
                <w:ilvl w:val="0"/>
                <w:numId w:val="74"/>
              </w:numPr>
              <w:ind w:left="0" w:firstLine="0"/>
              <w:jc w:val="both"/>
            </w:pPr>
          </w:p>
        </w:tc>
        <w:tc>
          <w:tcPr>
            <w:tcW w:w="7481" w:type="dxa"/>
          </w:tcPr>
          <w:p w14:paraId="08D9702C" w14:textId="77777777" w:rsidR="00250AC8" w:rsidRPr="00EC250C" w:rsidRDefault="00250AC8" w:rsidP="00902FC6">
            <w:pPr>
              <w:pStyle w:val="Tabela"/>
              <w:rPr>
                <w:sz w:val="18"/>
                <w:szCs w:val="20"/>
              </w:rPr>
            </w:pPr>
            <w:r w:rsidRPr="00EC250C">
              <w:rPr>
                <w:sz w:val="18"/>
                <w:szCs w:val="20"/>
              </w:rPr>
              <w:t>Parada Osób</w:t>
            </w:r>
            <w:r w:rsidR="00992FD0" w:rsidRPr="00EC250C">
              <w:rPr>
                <w:sz w:val="18"/>
                <w:szCs w:val="20"/>
              </w:rPr>
              <w:t xml:space="preserve"> z </w:t>
            </w:r>
            <w:r w:rsidRPr="00EC250C">
              <w:rPr>
                <w:sz w:val="18"/>
                <w:szCs w:val="20"/>
              </w:rPr>
              <w:t>Niepełnosprawnością Intelektualną</w:t>
            </w:r>
            <w:r w:rsidR="00992FD0" w:rsidRPr="00EC250C">
              <w:rPr>
                <w:sz w:val="18"/>
                <w:szCs w:val="20"/>
              </w:rPr>
              <w:t xml:space="preserve"> z </w:t>
            </w:r>
            <w:r w:rsidRPr="00EC250C">
              <w:rPr>
                <w:sz w:val="18"/>
                <w:szCs w:val="20"/>
              </w:rPr>
              <w:t>okazji Dnia Godności zorganizowana przez Zarząd Polskiego Stowarzyszenia na rzecz Osób</w:t>
            </w:r>
            <w:r w:rsidR="00992FD0" w:rsidRPr="00EC250C">
              <w:rPr>
                <w:sz w:val="18"/>
                <w:szCs w:val="20"/>
              </w:rPr>
              <w:t xml:space="preserve"> z </w:t>
            </w:r>
            <w:r w:rsidRPr="00EC250C">
              <w:rPr>
                <w:sz w:val="18"/>
                <w:szCs w:val="20"/>
              </w:rPr>
              <w:t>Niepełnosprawnością Intelektualną. Koło</w:t>
            </w:r>
            <w:r w:rsidR="00992FD0" w:rsidRPr="00EC250C">
              <w:rPr>
                <w:sz w:val="18"/>
                <w:szCs w:val="20"/>
              </w:rPr>
              <w:t xml:space="preserve"> w </w:t>
            </w:r>
            <w:r w:rsidRPr="00EC250C">
              <w:rPr>
                <w:sz w:val="18"/>
                <w:szCs w:val="20"/>
              </w:rPr>
              <w:t xml:space="preserve">Skarszewach. </w:t>
            </w:r>
          </w:p>
        </w:tc>
        <w:tc>
          <w:tcPr>
            <w:tcW w:w="1687" w:type="dxa"/>
          </w:tcPr>
          <w:p w14:paraId="18B0EE33" w14:textId="77777777" w:rsidR="00250AC8" w:rsidRPr="00EC250C" w:rsidRDefault="00250AC8" w:rsidP="00902FC6">
            <w:pPr>
              <w:pStyle w:val="Tabela"/>
              <w:rPr>
                <w:sz w:val="18"/>
                <w:szCs w:val="20"/>
              </w:rPr>
            </w:pPr>
            <w:r w:rsidRPr="00EC250C">
              <w:rPr>
                <w:sz w:val="18"/>
                <w:szCs w:val="20"/>
              </w:rPr>
              <w:t>17.05.2018</w:t>
            </w:r>
            <w:r w:rsidR="00C91F6E" w:rsidRPr="00EC250C">
              <w:rPr>
                <w:sz w:val="18"/>
                <w:szCs w:val="20"/>
              </w:rPr>
              <w:t> r.</w:t>
            </w:r>
          </w:p>
        </w:tc>
      </w:tr>
      <w:tr w:rsidR="00250AC8" w:rsidRPr="00EC250C" w14:paraId="035F26D0" w14:textId="77777777" w:rsidTr="00A016B4">
        <w:trPr>
          <w:tblCellSpacing w:w="20" w:type="dxa"/>
        </w:trPr>
        <w:tc>
          <w:tcPr>
            <w:tcW w:w="508" w:type="dxa"/>
          </w:tcPr>
          <w:p w14:paraId="0ECAE3E1" w14:textId="77777777" w:rsidR="00250AC8" w:rsidRPr="00EC250C" w:rsidRDefault="00250AC8" w:rsidP="006C70B7">
            <w:pPr>
              <w:pStyle w:val="Tabela"/>
              <w:numPr>
                <w:ilvl w:val="0"/>
                <w:numId w:val="74"/>
              </w:numPr>
              <w:ind w:left="0" w:firstLine="0"/>
              <w:jc w:val="both"/>
            </w:pPr>
          </w:p>
        </w:tc>
        <w:tc>
          <w:tcPr>
            <w:tcW w:w="7481" w:type="dxa"/>
          </w:tcPr>
          <w:p w14:paraId="1894E105" w14:textId="77777777" w:rsidR="00250AC8" w:rsidRPr="00EC250C" w:rsidRDefault="00250AC8" w:rsidP="00902FC6">
            <w:pPr>
              <w:pStyle w:val="Tabela"/>
              <w:rPr>
                <w:sz w:val="18"/>
                <w:szCs w:val="20"/>
              </w:rPr>
            </w:pPr>
            <w:r w:rsidRPr="00EC250C">
              <w:rPr>
                <w:sz w:val="18"/>
                <w:szCs w:val="20"/>
              </w:rPr>
              <w:t>Spotkanie</w:t>
            </w:r>
            <w:r w:rsidR="00992FD0" w:rsidRPr="00EC250C">
              <w:rPr>
                <w:sz w:val="18"/>
                <w:szCs w:val="20"/>
              </w:rPr>
              <w:t xml:space="preserve"> z </w:t>
            </w:r>
            <w:r w:rsidRPr="00EC250C">
              <w:rPr>
                <w:sz w:val="18"/>
                <w:szCs w:val="20"/>
              </w:rPr>
              <w:t>osobami wywłaszczonymi pod budowę drogi S5, sołtysem Rytla oraz debata nt. ubezpieczeń rolniczych. Święte, Rytel, Lipusz.</w:t>
            </w:r>
          </w:p>
        </w:tc>
        <w:tc>
          <w:tcPr>
            <w:tcW w:w="1687" w:type="dxa"/>
          </w:tcPr>
          <w:p w14:paraId="22892BB9" w14:textId="77777777" w:rsidR="00250AC8" w:rsidRPr="00EC250C" w:rsidRDefault="00250AC8" w:rsidP="00902FC6">
            <w:pPr>
              <w:pStyle w:val="Tabela"/>
              <w:rPr>
                <w:sz w:val="18"/>
                <w:szCs w:val="20"/>
              </w:rPr>
            </w:pPr>
            <w:r w:rsidRPr="00EC250C">
              <w:rPr>
                <w:sz w:val="18"/>
                <w:szCs w:val="20"/>
              </w:rPr>
              <w:t>21.05.2018</w:t>
            </w:r>
            <w:r w:rsidR="00C91F6E" w:rsidRPr="00EC250C">
              <w:rPr>
                <w:sz w:val="18"/>
                <w:szCs w:val="20"/>
              </w:rPr>
              <w:t> r.</w:t>
            </w:r>
          </w:p>
        </w:tc>
      </w:tr>
      <w:tr w:rsidR="00250AC8" w:rsidRPr="00EC250C" w14:paraId="3373AD04" w14:textId="77777777" w:rsidTr="00A016B4">
        <w:trPr>
          <w:tblCellSpacing w:w="20" w:type="dxa"/>
        </w:trPr>
        <w:tc>
          <w:tcPr>
            <w:tcW w:w="508" w:type="dxa"/>
          </w:tcPr>
          <w:p w14:paraId="74609B6D" w14:textId="77777777" w:rsidR="00250AC8" w:rsidRPr="00EC250C" w:rsidRDefault="00250AC8" w:rsidP="006C70B7">
            <w:pPr>
              <w:pStyle w:val="Tabela"/>
              <w:numPr>
                <w:ilvl w:val="0"/>
                <w:numId w:val="74"/>
              </w:numPr>
              <w:ind w:left="0" w:firstLine="0"/>
              <w:jc w:val="both"/>
            </w:pPr>
          </w:p>
        </w:tc>
        <w:tc>
          <w:tcPr>
            <w:tcW w:w="7481" w:type="dxa"/>
          </w:tcPr>
          <w:p w14:paraId="3937A8B2" w14:textId="77777777" w:rsidR="00250AC8" w:rsidRPr="00EC250C" w:rsidRDefault="00250AC8" w:rsidP="00902FC6">
            <w:pPr>
              <w:pStyle w:val="Tabela"/>
              <w:rPr>
                <w:sz w:val="18"/>
                <w:szCs w:val="20"/>
              </w:rPr>
            </w:pPr>
            <w:r w:rsidRPr="00EC250C">
              <w:rPr>
                <w:sz w:val="18"/>
                <w:szCs w:val="20"/>
              </w:rPr>
              <w:t>Spotkanie</w:t>
            </w:r>
            <w:r w:rsidR="00992FD0" w:rsidRPr="00EC250C">
              <w:rPr>
                <w:sz w:val="18"/>
                <w:szCs w:val="20"/>
              </w:rPr>
              <w:t xml:space="preserve"> z </w:t>
            </w:r>
            <w:r w:rsidRPr="00EC250C">
              <w:rPr>
                <w:sz w:val="18"/>
                <w:szCs w:val="20"/>
              </w:rPr>
              <w:t>młodzieżą I klasy Liceum</w:t>
            </w:r>
            <w:r w:rsidR="00992FD0" w:rsidRPr="00EC250C">
              <w:rPr>
                <w:sz w:val="18"/>
                <w:szCs w:val="20"/>
              </w:rPr>
              <w:t xml:space="preserve"> w </w:t>
            </w:r>
            <w:r w:rsidRPr="00EC250C">
              <w:rPr>
                <w:sz w:val="18"/>
                <w:szCs w:val="20"/>
              </w:rPr>
              <w:t>Długołęce. Długołęka.</w:t>
            </w:r>
          </w:p>
        </w:tc>
        <w:tc>
          <w:tcPr>
            <w:tcW w:w="1687" w:type="dxa"/>
          </w:tcPr>
          <w:p w14:paraId="274F977F" w14:textId="77777777" w:rsidR="00250AC8" w:rsidRPr="00EC250C" w:rsidRDefault="00250AC8" w:rsidP="00902FC6">
            <w:pPr>
              <w:pStyle w:val="Tabela"/>
              <w:rPr>
                <w:sz w:val="18"/>
                <w:szCs w:val="20"/>
              </w:rPr>
            </w:pPr>
            <w:r w:rsidRPr="00EC250C">
              <w:rPr>
                <w:sz w:val="18"/>
                <w:szCs w:val="20"/>
              </w:rPr>
              <w:t>21.05.2018</w:t>
            </w:r>
            <w:r w:rsidR="00C91F6E" w:rsidRPr="00EC250C">
              <w:rPr>
                <w:sz w:val="18"/>
                <w:szCs w:val="20"/>
              </w:rPr>
              <w:t> r.</w:t>
            </w:r>
          </w:p>
        </w:tc>
      </w:tr>
      <w:tr w:rsidR="00250AC8" w:rsidRPr="00EC250C" w14:paraId="3B46FB34" w14:textId="77777777" w:rsidTr="00A016B4">
        <w:trPr>
          <w:tblCellSpacing w:w="20" w:type="dxa"/>
        </w:trPr>
        <w:tc>
          <w:tcPr>
            <w:tcW w:w="508" w:type="dxa"/>
          </w:tcPr>
          <w:p w14:paraId="77C15009" w14:textId="77777777" w:rsidR="00250AC8" w:rsidRPr="00EC250C" w:rsidRDefault="00250AC8" w:rsidP="006C70B7">
            <w:pPr>
              <w:pStyle w:val="Tabela"/>
              <w:numPr>
                <w:ilvl w:val="0"/>
                <w:numId w:val="74"/>
              </w:numPr>
              <w:ind w:left="0" w:firstLine="0"/>
              <w:jc w:val="both"/>
            </w:pPr>
          </w:p>
        </w:tc>
        <w:tc>
          <w:tcPr>
            <w:tcW w:w="7481" w:type="dxa"/>
          </w:tcPr>
          <w:p w14:paraId="4E286473" w14:textId="5C946D4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 laureatami pierwszej edycji Turnieju Konstytucyjnego</w:t>
            </w:r>
            <w:r w:rsidR="00992FD0" w:rsidRPr="00EC250C">
              <w:rPr>
                <w:sz w:val="18"/>
                <w:szCs w:val="20"/>
              </w:rPr>
              <w:t xml:space="preserve"> w </w:t>
            </w:r>
            <w:r w:rsidRPr="00EC250C">
              <w:rPr>
                <w:sz w:val="18"/>
                <w:szCs w:val="20"/>
              </w:rPr>
              <w:t>ramach projektu naukowo-społecznego zorganizowanego przez Koło Naukowe Prawa Konstytucyjnego „Pro Publico Bono” działające przy Zakładzie Prawa Konstytucyjnego poznańskiego WPiA. Biuro RPO. Warszawa.</w:t>
            </w:r>
          </w:p>
        </w:tc>
        <w:tc>
          <w:tcPr>
            <w:tcW w:w="1687" w:type="dxa"/>
          </w:tcPr>
          <w:p w14:paraId="7EA2814A" w14:textId="77777777" w:rsidR="00250AC8" w:rsidRPr="00EC250C" w:rsidRDefault="00250AC8" w:rsidP="00902FC6">
            <w:pPr>
              <w:pStyle w:val="Tabela"/>
              <w:rPr>
                <w:sz w:val="18"/>
                <w:szCs w:val="20"/>
              </w:rPr>
            </w:pPr>
            <w:r w:rsidRPr="00EC250C">
              <w:rPr>
                <w:sz w:val="18"/>
                <w:szCs w:val="20"/>
              </w:rPr>
              <w:t>23.05.2018</w:t>
            </w:r>
            <w:r w:rsidR="00C91F6E" w:rsidRPr="00EC250C">
              <w:rPr>
                <w:sz w:val="18"/>
                <w:szCs w:val="20"/>
              </w:rPr>
              <w:t> r.</w:t>
            </w:r>
          </w:p>
        </w:tc>
      </w:tr>
      <w:tr w:rsidR="00250AC8" w:rsidRPr="00EC250C" w14:paraId="2B7EFB1F" w14:textId="77777777" w:rsidTr="00A016B4">
        <w:trPr>
          <w:tblCellSpacing w:w="20" w:type="dxa"/>
        </w:trPr>
        <w:tc>
          <w:tcPr>
            <w:tcW w:w="508" w:type="dxa"/>
          </w:tcPr>
          <w:p w14:paraId="2D1FD588" w14:textId="77777777" w:rsidR="00250AC8" w:rsidRPr="00EC250C" w:rsidRDefault="00250AC8" w:rsidP="006C70B7">
            <w:pPr>
              <w:pStyle w:val="Tabela"/>
              <w:numPr>
                <w:ilvl w:val="0"/>
                <w:numId w:val="74"/>
              </w:numPr>
              <w:ind w:left="0" w:firstLine="0"/>
              <w:jc w:val="both"/>
            </w:pPr>
          </w:p>
        </w:tc>
        <w:tc>
          <w:tcPr>
            <w:tcW w:w="7481" w:type="dxa"/>
          </w:tcPr>
          <w:p w14:paraId="394F7B8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Ogólnopolskim Dniu Różnorodności. Warszawa.</w:t>
            </w:r>
          </w:p>
        </w:tc>
        <w:tc>
          <w:tcPr>
            <w:tcW w:w="1687" w:type="dxa"/>
          </w:tcPr>
          <w:p w14:paraId="3941C713" w14:textId="77777777" w:rsidR="00250AC8" w:rsidRPr="00EC250C" w:rsidRDefault="00250AC8" w:rsidP="00902FC6">
            <w:pPr>
              <w:pStyle w:val="Tabela"/>
              <w:rPr>
                <w:sz w:val="18"/>
                <w:szCs w:val="20"/>
              </w:rPr>
            </w:pPr>
            <w:r w:rsidRPr="00EC250C">
              <w:rPr>
                <w:sz w:val="18"/>
                <w:szCs w:val="20"/>
              </w:rPr>
              <w:t>24.05.2018</w:t>
            </w:r>
            <w:r w:rsidR="00C91F6E" w:rsidRPr="00EC250C">
              <w:rPr>
                <w:sz w:val="18"/>
                <w:szCs w:val="20"/>
              </w:rPr>
              <w:t> r.</w:t>
            </w:r>
          </w:p>
        </w:tc>
      </w:tr>
      <w:tr w:rsidR="00250AC8" w:rsidRPr="00EC250C" w14:paraId="39DB76E7" w14:textId="77777777" w:rsidTr="00A016B4">
        <w:trPr>
          <w:tblCellSpacing w:w="20" w:type="dxa"/>
        </w:trPr>
        <w:tc>
          <w:tcPr>
            <w:tcW w:w="508" w:type="dxa"/>
          </w:tcPr>
          <w:p w14:paraId="41749839" w14:textId="77777777" w:rsidR="00250AC8" w:rsidRPr="00EC250C" w:rsidRDefault="00250AC8" w:rsidP="006C70B7">
            <w:pPr>
              <w:pStyle w:val="Tabela"/>
              <w:numPr>
                <w:ilvl w:val="0"/>
                <w:numId w:val="74"/>
              </w:numPr>
              <w:ind w:left="0" w:firstLine="0"/>
              <w:jc w:val="both"/>
            </w:pPr>
          </w:p>
        </w:tc>
        <w:tc>
          <w:tcPr>
            <w:tcW w:w="7481" w:type="dxa"/>
          </w:tcPr>
          <w:p w14:paraId="310092E2" w14:textId="600C8D45"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 młodzieżą</w:t>
            </w:r>
            <w:r w:rsidR="00992FD0" w:rsidRPr="00EC250C">
              <w:rPr>
                <w:sz w:val="18"/>
                <w:szCs w:val="20"/>
              </w:rPr>
              <w:t xml:space="preserve"> z </w:t>
            </w:r>
            <w:r w:rsidRPr="00EC250C">
              <w:rPr>
                <w:sz w:val="18"/>
                <w:szCs w:val="20"/>
              </w:rPr>
              <w:t>Zespołu Szkół Zawodowych</w:t>
            </w:r>
            <w:r w:rsidR="00992FD0" w:rsidRPr="00EC250C">
              <w:rPr>
                <w:sz w:val="18"/>
                <w:szCs w:val="20"/>
              </w:rPr>
              <w:t xml:space="preserve"> w </w:t>
            </w:r>
            <w:r w:rsidRPr="00EC250C">
              <w:rPr>
                <w:sz w:val="18"/>
                <w:szCs w:val="20"/>
              </w:rPr>
              <w:t>Hajnówce. Hajnówka.</w:t>
            </w:r>
          </w:p>
        </w:tc>
        <w:tc>
          <w:tcPr>
            <w:tcW w:w="1687" w:type="dxa"/>
          </w:tcPr>
          <w:p w14:paraId="7E0FA936" w14:textId="77777777" w:rsidR="00250AC8" w:rsidRPr="00EC250C" w:rsidRDefault="00250AC8" w:rsidP="00902FC6">
            <w:pPr>
              <w:pStyle w:val="Tabela"/>
              <w:rPr>
                <w:sz w:val="18"/>
                <w:szCs w:val="20"/>
              </w:rPr>
            </w:pPr>
            <w:r w:rsidRPr="00EC250C">
              <w:rPr>
                <w:sz w:val="18"/>
                <w:szCs w:val="20"/>
              </w:rPr>
              <w:t>04.06.2018</w:t>
            </w:r>
            <w:r w:rsidR="00C91F6E" w:rsidRPr="00EC250C">
              <w:rPr>
                <w:sz w:val="18"/>
                <w:szCs w:val="20"/>
              </w:rPr>
              <w:t> r.</w:t>
            </w:r>
          </w:p>
        </w:tc>
      </w:tr>
      <w:tr w:rsidR="00250AC8" w:rsidRPr="00EC250C" w14:paraId="535B3DFE" w14:textId="77777777" w:rsidTr="00A016B4">
        <w:trPr>
          <w:tblCellSpacing w:w="20" w:type="dxa"/>
        </w:trPr>
        <w:tc>
          <w:tcPr>
            <w:tcW w:w="508" w:type="dxa"/>
          </w:tcPr>
          <w:p w14:paraId="336D402E" w14:textId="77777777" w:rsidR="00250AC8" w:rsidRPr="00EC250C" w:rsidRDefault="00250AC8" w:rsidP="006C70B7">
            <w:pPr>
              <w:pStyle w:val="Tabela"/>
              <w:numPr>
                <w:ilvl w:val="0"/>
                <w:numId w:val="74"/>
              </w:numPr>
              <w:ind w:left="0" w:firstLine="0"/>
              <w:jc w:val="both"/>
            </w:pPr>
          </w:p>
        </w:tc>
        <w:tc>
          <w:tcPr>
            <w:tcW w:w="7481" w:type="dxa"/>
          </w:tcPr>
          <w:p w14:paraId="0143EA66" w14:textId="4B859E09"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 uczniami I Liceum Ogólnokształcącego</w:t>
            </w:r>
            <w:r w:rsidR="00992FD0" w:rsidRPr="00EC250C">
              <w:rPr>
                <w:sz w:val="18"/>
                <w:szCs w:val="20"/>
              </w:rPr>
              <w:t xml:space="preserve"> w </w:t>
            </w:r>
            <w:r w:rsidRPr="00EC250C">
              <w:rPr>
                <w:sz w:val="18"/>
                <w:szCs w:val="20"/>
              </w:rPr>
              <w:t>Radzyniu Podlaskim. Radzyń Podlaski.</w:t>
            </w:r>
          </w:p>
        </w:tc>
        <w:tc>
          <w:tcPr>
            <w:tcW w:w="1687" w:type="dxa"/>
          </w:tcPr>
          <w:p w14:paraId="2583FBAF" w14:textId="77777777" w:rsidR="00250AC8" w:rsidRPr="00EC250C" w:rsidRDefault="00250AC8" w:rsidP="00902FC6">
            <w:pPr>
              <w:pStyle w:val="Tabela"/>
              <w:rPr>
                <w:sz w:val="18"/>
                <w:szCs w:val="20"/>
              </w:rPr>
            </w:pPr>
            <w:r w:rsidRPr="00EC250C">
              <w:rPr>
                <w:sz w:val="18"/>
                <w:szCs w:val="20"/>
              </w:rPr>
              <w:t>06.06.2018</w:t>
            </w:r>
            <w:r w:rsidR="00C91F6E" w:rsidRPr="00EC250C">
              <w:rPr>
                <w:sz w:val="18"/>
                <w:szCs w:val="20"/>
              </w:rPr>
              <w:t> r.</w:t>
            </w:r>
          </w:p>
        </w:tc>
      </w:tr>
      <w:tr w:rsidR="00250AC8" w:rsidRPr="00EC250C" w14:paraId="42279647" w14:textId="77777777" w:rsidTr="00A016B4">
        <w:trPr>
          <w:tblCellSpacing w:w="20" w:type="dxa"/>
        </w:trPr>
        <w:tc>
          <w:tcPr>
            <w:tcW w:w="508" w:type="dxa"/>
          </w:tcPr>
          <w:p w14:paraId="6E66214F" w14:textId="77777777" w:rsidR="00250AC8" w:rsidRPr="00EC250C" w:rsidRDefault="00250AC8" w:rsidP="006C70B7">
            <w:pPr>
              <w:pStyle w:val="Tabela"/>
              <w:numPr>
                <w:ilvl w:val="0"/>
                <w:numId w:val="74"/>
              </w:numPr>
              <w:ind w:left="0" w:firstLine="0"/>
              <w:jc w:val="both"/>
            </w:pPr>
          </w:p>
        </w:tc>
        <w:tc>
          <w:tcPr>
            <w:tcW w:w="7481" w:type="dxa"/>
          </w:tcPr>
          <w:p w14:paraId="5F18C8BC"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klientkami oraz wolontariuszkami</w:t>
            </w:r>
            <w:r w:rsidR="00992FD0" w:rsidRPr="00EC250C">
              <w:rPr>
                <w:sz w:val="18"/>
                <w:szCs w:val="20"/>
              </w:rPr>
              <w:t xml:space="preserve"> i </w:t>
            </w:r>
            <w:r w:rsidRPr="00EC250C">
              <w:rPr>
                <w:sz w:val="18"/>
                <w:szCs w:val="20"/>
              </w:rPr>
              <w:t>wolontariuszami CPK</w:t>
            </w:r>
            <w:r w:rsidR="00992FD0" w:rsidRPr="00EC250C">
              <w:rPr>
                <w:sz w:val="18"/>
                <w:szCs w:val="20"/>
              </w:rPr>
              <w:t xml:space="preserve"> w </w:t>
            </w:r>
            <w:r w:rsidRPr="00EC250C">
              <w:rPr>
                <w:sz w:val="18"/>
                <w:szCs w:val="20"/>
              </w:rPr>
              <w:t>Gdańsku. Gdańsk.</w:t>
            </w:r>
          </w:p>
        </w:tc>
        <w:tc>
          <w:tcPr>
            <w:tcW w:w="1687" w:type="dxa"/>
          </w:tcPr>
          <w:p w14:paraId="54D9CA02" w14:textId="77777777" w:rsidR="00250AC8" w:rsidRPr="00EC250C" w:rsidRDefault="00250AC8" w:rsidP="00902FC6">
            <w:pPr>
              <w:pStyle w:val="Tabela"/>
              <w:rPr>
                <w:sz w:val="18"/>
                <w:szCs w:val="20"/>
              </w:rPr>
            </w:pPr>
            <w:r w:rsidRPr="00EC250C">
              <w:rPr>
                <w:sz w:val="18"/>
                <w:szCs w:val="20"/>
              </w:rPr>
              <w:t>06.06.2018</w:t>
            </w:r>
            <w:r w:rsidR="00C91F6E" w:rsidRPr="00EC250C">
              <w:rPr>
                <w:sz w:val="18"/>
                <w:szCs w:val="20"/>
              </w:rPr>
              <w:t> r.</w:t>
            </w:r>
          </w:p>
        </w:tc>
      </w:tr>
      <w:tr w:rsidR="00250AC8" w:rsidRPr="00EC250C" w14:paraId="3A27189B" w14:textId="77777777" w:rsidTr="00A016B4">
        <w:trPr>
          <w:tblCellSpacing w:w="20" w:type="dxa"/>
        </w:trPr>
        <w:tc>
          <w:tcPr>
            <w:tcW w:w="508" w:type="dxa"/>
          </w:tcPr>
          <w:p w14:paraId="03BCFCAF" w14:textId="77777777" w:rsidR="00250AC8" w:rsidRPr="00EC250C" w:rsidRDefault="00250AC8" w:rsidP="006C70B7">
            <w:pPr>
              <w:pStyle w:val="Tabela"/>
              <w:numPr>
                <w:ilvl w:val="0"/>
                <w:numId w:val="74"/>
              </w:numPr>
              <w:ind w:left="0" w:firstLine="0"/>
              <w:jc w:val="both"/>
            </w:pPr>
          </w:p>
        </w:tc>
        <w:tc>
          <w:tcPr>
            <w:tcW w:w="7481" w:type="dxa"/>
          </w:tcPr>
          <w:p w14:paraId="043685B8" w14:textId="30823FFE"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 przedstawicielami organizacji reprezentujących mniejszości narodowe</w:t>
            </w:r>
            <w:r w:rsidR="00992FD0" w:rsidRPr="00EC250C">
              <w:rPr>
                <w:sz w:val="18"/>
                <w:szCs w:val="20"/>
              </w:rPr>
              <w:t xml:space="preserve"> i </w:t>
            </w:r>
            <w:r w:rsidRPr="00EC250C">
              <w:rPr>
                <w:sz w:val="18"/>
                <w:szCs w:val="20"/>
              </w:rPr>
              <w:t>etniczne. Biuro RPO. Warszawa.</w:t>
            </w:r>
          </w:p>
        </w:tc>
        <w:tc>
          <w:tcPr>
            <w:tcW w:w="1687" w:type="dxa"/>
          </w:tcPr>
          <w:p w14:paraId="3AB4838A" w14:textId="77777777" w:rsidR="00250AC8" w:rsidRPr="00EC250C" w:rsidRDefault="00250AC8" w:rsidP="00902FC6">
            <w:pPr>
              <w:pStyle w:val="Tabela"/>
              <w:rPr>
                <w:sz w:val="18"/>
                <w:szCs w:val="20"/>
              </w:rPr>
            </w:pPr>
            <w:r w:rsidRPr="00EC250C">
              <w:rPr>
                <w:sz w:val="18"/>
                <w:szCs w:val="20"/>
              </w:rPr>
              <w:t>13.06.2018</w:t>
            </w:r>
            <w:r w:rsidR="00C91F6E" w:rsidRPr="00EC250C">
              <w:rPr>
                <w:sz w:val="18"/>
                <w:szCs w:val="20"/>
              </w:rPr>
              <w:t> r.</w:t>
            </w:r>
          </w:p>
        </w:tc>
      </w:tr>
      <w:tr w:rsidR="00250AC8" w:rsidRPr="00EC250C" w14:paraId="57F3449E" w14:textId="77777777" w:rsidTr="00A016B4">
        <w:trPr>
          <w:tblCellSpacing w:w="20" w:type="dxa"/>
        </w:trPr>
        <w:tc>
          <w:tcPr>
            <w:tcW w:w="508" w:type="dxa"/>
          </w:tcPr>
          <w:p w14:paraId="08E7B320" w14:textId="77777777" w:rsidR="00250AC8" w:rsidRPr="00EC250C" w:rsidRDefault="00250AC8" w:rsidP="006C70B7">
            <w:pPr>
              <w:pStyle w:val="Tabela"/>
              <w:numPr>
                <w:ilvl w:val="0"/>
                <w:numId w:val="74"/>
              </w:numPr>
              <w:ind w:left="0" w:firstLine="0"/>
              <w:jc w:val="both"/>
            </w:pPr>
          </w:p>
        </w:tc>
        <w:tc>
          <w:tcPr>
            <w:tcW w:w="7481" w:type="dxa"/>
          </w:tcPr>
          <w:p w14:paraId="3BCF8AAC" w14:textId="0FDDD01D"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ekspertami</w:t>
            </w:r>
            <w:r w:rsidR="00992FD0" w:rsidRPr="00EC250C">
              <w:rPr>
                <w:sz w:val="18"/>
                <w:szCs w:val="20"/>
              </w:rPr>
              <w:t xml:space="preserve"> w </w:t>
            </w:r>
            <w:r w:rsidRPr="00EC250C">
              <w:rPr>
                <w:sz w:val="18"/>
                <w:szCs w:val="20"/>
              </w:rPr>
              <w:t>sprawie projektu nowelizacji prawa upadłościowego. Biuro RPO. Warszawa.</w:t>
            </w:r>
          </w:p>
        </w:tc>
        <w:tc>
          <w:tcPr>
            <w:tcW w:w="1687" w:type="dxa"/>
          </w:tcPr>
          <w:p w14:paraId="2407BD3B" w14:textId="77777777" w:rsidR="00250AC8" w:rsidRPr="00EC250C" w:rsidRDefault="00250AC8" w:rsidP="00902FC6">
            <w:pPr>
              <w:pStyle w:val="Tabela"/>
              <w:rPr>
                <w:sz w:val="18"/>
                <w:szCs w:val="20"/>
              </w:rPr>
            </w:pPr>
            <w:r w:rsidRPr="00EC250C">
              <w:rPr>
                <w:sz w:val="18"/>
                <w:szCs w:val="20"/>
              </w:rPr>
              <w:t>14.06.2018</w:t>
            </w:r>
            <w:r w:rsidR="00C91F6E" w:rsidRPr="00EC250C">
              <w:rPr>
                <w:sz w:val="18"/>
                <w:szCs w:val="20"/>
              </w:rPr>
              <w:t> r.</w:t>
            </w:r>
          </w:p>
        </w:tc>
      </w:tr>
      <w:tr w:rsidR="00250AC8" w:rsidRPr="00EC250C" w14:paraId="57800A35" w14:textId="77777777" w:rsidTr="00A016B4">
        <w:trPr>
          <w:tblCellSpacing w:w="20" w:type="dxa"/>
        </w:trPr>
        <w:tc>
          <w:tcPr>
            <w:tcW w:w="508" w:type="dxa"/>
          </w:tcPr>
          <w:p w14:paraId="2A9C467A" w14:textId="77777777" w:rsidR="00250AC8" w:rsidRPr="00EC250C" w:rsidRDefault="00250AC8" w:rsidP="006C70B7">
            <w:pPr>
              <w:pStyle w:val="Tabela"/>
              <w:numPr>
                <w:ilvl w:val="0"/>
                <w:numId w:val="74"/>
              </w:numPr>
              <w:ind w:left="0" w:firstLine="0"/>
              <w:jc w:val="both"/>
            </w:pPr>
          </w:p>
        </w:tc>
        <w:tc>
          <w:tcPr>
            <w:tcW w:w="7481" w:type="dxa"/>
          </w:tcPr>
          <w:p w14:paraId="4848916F" w14:textId="77777777" w:rsidR="00250AC8" w:rsidRPr="00EC250C" w:rsidRDefault="00250AC8" w:rsidP="00902FC6">
            <w:pPr>
              <w:pStyle w:val="Tabela"/>
              <w:rPr>
                <w:sz w:val="18"/>
                <w:szCs w:val="20"/>
              </w:rPr>
            </w:pPr>
            <w:r w:rsidRPr="00EC250C">
              <w:rPr>
                <w:sz w:val="18"/>
                <w:szCs w:val="20"/>
              </w:rPr>
              <w:t>Uroczysta gala rozdania nagród na poziomie szkolnym konkursu „Sapere Aude, czyli miej odwagę być mądrym”</w:t>
            </w:r>
            <w:r w:rsidR="00992FD0" w:rsidRPr="00EC250C">
              <w:rPr>
                <w:sz w:val="18"/>
                <w:szCs w:val="20"/>
              </w:rPr>
              <w:t xml:space="preserve"> w </w:t>
            </w:r>
            <w:r w:rsidRPr="00EC250C">
              <w:rPr>
                <w:sz w:val="18"/>
                <w:szCs w:val="20"/>
              </w:rPr>
              <w:t>Zespole Szkół Ogólnokształcących im. Obrońców Helu. Hel.</w:t>
            </w:r>
          </w:p>
        </w:tc>
        <w:tc>
          <w:tcPr>
            <w:tcW w:w="1687" w:type="dxa"/>
          </w:tcPr>
          <w:p w14:paraId="2300245F" w14:textId="77777777" w:rsidR="00250AC8" w:rsidRPr="00EC250C" w:rsidRDefault="00250AC8" w:rsidP="00902FC6">
            <w:pPr>
              <w:pStyle w:val="Tabela"/>
              <w:rPr>
                <w:sz w:val="18"/>
                <w:szCs w:val="20"/>
              </w:rPr>
            </w:pPr>
            <w:r w:rsidRPr="00EC250C">
              <w:rPr>
                <w:sz w:val="18"/>
                <w:szCs w:val="20"/>
              </w:rPr>
              <w:t>15.06.2018</w:t>
            </w:r>
            <w:r w:rsidR="00C91F6E" w:rsidRPr="00EC250C">
              <w:rPr>
                <w:sz w:val="18"/>
                <w:szCs w:val="20"/>
              </w:rPr>
              <w:t> r.</w:t>
            </w:r>
          </w:p>
        </w:tc>
      </w:tr>
      <w:tr w:rsidR="00250AC8" w:rsidRPr="00EC250C" w14:paraId="6DB82EDF" w14:textId="77777777" w:rsidTr="00A016B4">
        <w:trPr>
          <w:tblCellSpacing w:w="20" w:type="dxa"/>
        </w:trPr>
        <w:tc>
          <w:tcPr>
            <w:tcW w:w="508" w:type="dxa"/>
          </w:tcPr>
          <w:p w14:paraId="661467D9" w14:textId="77777777" w:rsidR="00250AC8" w:rsidRPr="00EC250C" w:rsidRDefault="00250AC8" w:rsidP="006C70B7">
            <w:pPr>
              <w:pStyle w:val="Tabela"/>
              <w:numPr>
                <w:ilvl w:val="0"/>
                <w:numId w:val="74"/>
              </w:numPr>
              <w:ind w:left="0" w:firstLine="0"/>
              <w:jc w:val="both"/>
            </w:pPr>
          </w:p>
        </w:tc>
        <w:tc>
          <w:tcPr>
            <w:tcW w:w="7481" w:type="dxa"/>
          </w:tcPr>
          <w:p w14:paraId="37E0CC72" w14:textId="77777777" w:rsidR="00250AC8" w:rsidRPr="00EC250C" w:rsidRDefault="00250AC8" w:rsidP="00902FC6">
            <w:pPr>
              <w:pStyle w:val="Tabela"/>
              <w:rPr>
                <w:sz w:val="18"/>
                <w:szCs w:val="20"/>
              </w:rPr>
            </w:pPr>
            <w:r w:rsidRPr="00EC250C">
              <w:rPr>
                <w:sz w:val="18"/>
                <w:szCs w:val="20"/>
              </w:rPr>
              <w:t>Ogólnopolskie Dni Skupienia, czyli Ogólnopolski Zlot Organizacji Pozarządowych. Niepołomice.</w:t>
            </w:r>
          </w:p>
        </w:tc>
        <w:tc>
          <w:tcPr>
            <w:tcW w:w="1687" w:type="dxa"/>
          </w:tcPr>
          <w:p w14:paraId="460FF85F" w14:textId="77777777" w:rsidR="00250AC8" w:rsidRPr="00EC250C" w:rsidRDefault="00250AC8" w:rsidP="00902FC6">
            <w:pPr>
              <w:pStyle w:val="Tabela"/>
              <w:rPr>
                <w:sz w:val="18"/>
                <w:szCs w:val="20"/>
              </w:rPr>
            </w:pPr>
            <w:r w:rsidRPr="00EC250C">
              <w:rPr>
                <w:sz w:val="18"/>
                <w:szCs w:val="20"/>
              </w:rPr>
              <w:t>24–26.06.2018</w:t>
            </w:r>
            <w:r w:rsidR="00C91F6E" w:rsidRPr="00EC250C">
              <w:rPr>
                <w:sz w:val="18"/>
                <w:szCs w:val="20"/>
              </w:rPr>
              <w:t> r.</w:t>
            </w:r>
          </w:p>
        </w:tc>
      </w:tr>
      <w:tr w:rsidR="00250AC8" w:rsidRPr="00EC250C" w14:paraId="5344A9A6" w14:textId="77777777" w:rsidTr="00A016B4">
        <w:trPr>
          <w:tblCellSpacing w:w="20" w:type="dxa"/>
        </w:trPr>
        <w:tc>
          <w:tcPr>
            <w:tcW w:w="508" w:type="dxa"/>
          </w:tcPr>
          <w:p w14:paraId="4DEB2376" w14:textId="77777777" w:rsidR="00250AC8" w:rsidRPr="00EC250C" w:rsidRDefault="00250AC8" w:rsidP="006C70B7">
            <w:pPr>
              <w:pStyle w:val="Tabela"/>
              <w:numPr>
                <w:ilvl w:val="0"/>
                <w:numId w:val="74"/>
              </w:numPr>
              <w:ind w:left="0" w:firstLine="0"/>
              <w:jc w:val="both"/>
            </w:pPr>
          </w:p>
        </w:tc>
        <w:tc>
          <w:tcPr>
            <w:tcW w:w="7481" w:type="dxa"/>
          </w:tcPr>
          <w:p w14:paraId="50BC48D9" w14:textId="78C6E39B"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rodzicami osób LGBT. Biuro RPO. Warszawa.</w:t>
            </w:r>
          </w:p>
        </w:tc>
        <w:tc>
          <w:tcPr>
            <w:tcW w:w="1687" w:type="dxa"/>
          </w:tcPr>
          <w:p w14:paraId="624384A5" w14:textId="77777777" w:rsidR="00250AC8" w:rsidRPr="00EC250C" w:rsidRDefault="00250AC8" w:rsidP="00902FC6">
            <w:pPr>
              <w:pStyle w:val="Tabela"/>
              <w:rPr>
                <w:sz w:val="18"/>
                <w:szCs w:val="20"/>
              </w:rPr>
            </w:pPr>
            <w:r w:rsidRPr="00EC250C">
              <w:rPr>
                <w:sz w:val="18"/>
                <w:szCs w:val="20"/>
              </w:rPr>
              <w:t>04.07.2018</w:t>
            </w:r>
            <w:r w:rsidR="00C91F6E" w:rsidRPr="00EC250C">
              <w:rPr>
                <w:sz w:val="18"/>
                <w:szCs w:val="20"/>
              </w:rPr>
              <w:t> r.</w:t>
            </w:r>
          </w:p>
        </w:tc>
      </w:tr>
      <w:tr w:rsidR="00250AC8" w:rsidRPr="00EC250C" w14:paraId="7EE4E3C3" w14:textId="77777777" w:rsidTr="00A016B4">
        <w:trPr>
          <w:tblCellSpacing w:w="20" w:type="dxa"/>
        </w:trPr>
        <w:tc>
          <w:tcPr>
            <w:tcW w:w="508" w:type="dxa"/>
          </w:tcPr>
          <w:p w14:paraId="0C2D1AE0" w14:textId="77777777" w:rsidR="00250AC8" w:rsidRPr="00EC250C" w:rsidRDefault="00250AC8" w:rsidP="006C70B7">
            <w:pPr>
              <w:pStyle w:val="Tabela"/>
              <w:numPr>
                <w:ilvl w:val="0"/>
                <w:numId w:val="74"/>
              </w:numPr>
              <w:ind w:left="0" w:firstLine="0"/>
              <w:jc w:val="both"/>
            </w:pPr>
          </w:p>
        </w:tc>
        <w:tc>
          <w:tcPr>
            <w:tcW w:w="7481" w:type="dxa"/>
          </w:tcPr>
          <w:p w14:paraId="396CC77C" w14:textId="0116A0A8"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 publicznością festiwalu Open’er</w:t>
            </w:r>
            <w:r w:rsidR="00992FD0" w:rsidRPr="00EC250C">
              <w:rPr>
                <w:sz w:val="18"/>
                <w:szCs w:val="20"/>
              </w:rPr>
              <w:t xml:space="preserve"> i </w:t>
            </w:r>
            <w:r w:rsidRPr="00EC250C">
              <w:rPr>
                <w:sz w:val="18"/>
                <w:szCs w:val="20"/>
              </w:rPr>
              <w:t>udział</w:t>
            </w:r>
            <w:r w:rsidR="00992FD0" w:rsidRPr="00EC250C">
              <w:rPr>
                <w:sz w:val="18"/>
                <w:szCs w:val="20"/>
              </w:rPr>
              <w:t xml:space="preserve"> w </w:t>
            </w:r>
            <w:r w:rsidRPr="00EC250C">
              <w:rPr>
                <w:sz w:val="18"/>
                <w:szCs w:val="20"/>
              </w:rPr>
              <w:t>panelu nt. „My obywatele! Nasze wolności</w:t>
            </w:r>
            <w:r w:rsidR="00992FD0" w:rsidRPr="00EC250C">
              <w:rPr>
                <w:sz w:val="18"/>
                <w:szCs w:val="20"/>
              </w:rPr>
              <w:t xml:space="preserve"> i </w:t>
            </w:r>
            <w:r w:rsidRPr="00EC250C">
              <w:rPr>
                <w:sz w:val="18"/>
                <w:szCs w:val="20"/>
              </w:rPr>
              <w:t>prawa”. Gdynia.</w:t>
            </w:r>
          </w:p>
        </w:tc>
        <w:tc>
          <w:tcPr>
            <w:tcW w:w="1687" w:type="dxa"/>
          </w:tcPr>
          <w:p w14:paraId="1D2DBE29" w14:textId="77777777" w:rsidR="00250AC8" w:rsidRPr="00EC250C" w:rsidRDefault="00250AC8" w:rsidP="00902FC6">
            <w:pPr>
              <w:pStyle w:val="Tabela"/>
              <w:rPr>
                <w:sz w:val="18"/>
                <w:szCs w:val="20"/>
              </w:rPr>
            </w:pPr>
            <w:r w:rsidRPr="00EC250C">
              <w:rPr>
                <w:sz w:val="18"/>
                <w:szCs w:val="20"/>
              </w:rPr>
              <w:t>06.07.2018</w:t>
            </w:r>
            <w:r w:rsidR="00C91F6E" w:rsidRPr="00EC250C">
              <w:rPr>
                <w:sz w:val="18"/>
                <w:szCs w:val="20"/>
              </w:rPr>
              <w:t> r.</w:t>
            </w:r>
          </w:p>
        </w:tc>
      </w:tr>
      <w:tr w:rsidR="00250AC8" w:rsidRPr="00EC250C" w14:paraId="6BCF799A" w14:textId="77777777" w:rsidTr="00A016B4">
        <w:trPr>
          <w:tblCellSpacing w:w="20" w:type="dxa"/>
        </w:trPr>
        <w:tc>
          <w:tcPr>
            <w:tcW w:w="508" w:type="dxa"/>
          </w:tcPr>
          <w:p w14:paraId="2E02AAE0" w14:textId="77777777" w:rsidR="00250AC8" w:rsidRPr="00EC250C" w:rsidRDefault="00250AC8" w:rsidP="006C70B7">
            <w:pPr>
              <w:pStyle w:val="Tabela"/>
              <w:numPr>
                <w:ilvl w:val="0"/>
                <w:numId w:val="74"/>
              </w:numPr>
              <w:ind w:left="0" w:firstLine="0"/>
              <w:jc w:val="both"/>
            </w:pPr>
          </w:p>
        </w:tc>
        <w:tc>
          <w:tcPr>
            <w:tcW w:w="7481" w:type="dxa"/>
          </w:tcPr>
          <w:p w14:paraId="376210BE" w14:textId="5C1DFD82"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Prezeską ZUS nt. prac Międzyresortowego Zespołu ds. Opracowania Systemu Orzekania</w:t>
            </w:r>
            <w:r w:rsidR="00992FD0" w:rsidRPr="00EC250C">
              <w:rPr>
                <w:sz w:val="18"/>
                <w:szCs w:val="20"/>
              </w:rPr>
              <w:t xml:space="preserve"> o </w:t>
            </w:r>
            <w:r w:rsidRPr="00EC250C">
              <w:rPr>
                <w:sz w:val="18"/>
                <w:szCs w:val="20"/>
              </w:rPr>
              <w:t>Niepełnosprawności oraz Niezdolności do Pracy. Biuro RPO. Warszawa.</w:t>
            </w:r>
          </w:p>
        </w:tc>
        <w:tc>
          <w:tcPr>
            <w:tcW w:w="1687" w:type="dxa"/>
          </w:tcPr>
          <w:p w14:paraId="482919CC" w14:textId="77777777" w:rsidR="00250AC8" w:rsidRPr="00EC250C" w:rsidRDefault="00250AC8" w:rsidP="00902FC6">
            <w:pPr>
              <w:pStyle w:val="Tabela"/>
              <w:rPr>
                <w:sz w:val="18"/>
                <w:szCs w:val="20"/>
              </w:rPr>
            </w:pPr>
            <w:r w:rsidRPr="00EC250C">
              <w:rPr>
                <w:sz w:val="18"/>
                <w:szCs w:val="20"/>
              </w:rPr>
              <w:t>26.07.2018</w:t>
            </w:r>
            <w:r w:rsidR="00C91F6E" w:rsidRPr="00EC250C">
              <w:rPr>
                <w:sz w:val="18"/>
                <w:szCs w:val="20"/>
              </w:rPr>
              <w:t> r.</w:t>
            </w:r>
          </w:p>
        </w:tc>
      </w:tr>
      <w:tr w:rsidR="00250AC8" w:rsidRPr="00EC250C" w14:paraId="77EBE812" w14:textId="77777777" w:rsidTr="00A016B4">
        <w:trPr>
          <w:tblCellSpacing w:w="20" w:type="dxa"/>
        </w:trPr>
        <w:tc>
          <w:tcPr>
            <w:tcW w:w="508" w:type="dxa"/>
          </w:tcPr>
          <w:p w14:paraId="117908A0" w14:textId="77777777" w:rsidR="00250AC8" w:rsidRPr="00EC250C" w:rsidRDefault="00250AC8" w:rsidP="006C70B7">
            <w:pPr>
              <w:pStyle w:val="Tabela"/>
              <w:numPr>
                <w:ilvl w:val="0"/>
                <w:numId w:val="74"/>
              </w:numPr>
              <w:ind w:left="0" w:firstLine="0"/>
              <w:jc w:val="both"/>
            </w:pPr>
          </w:p>
        </w:tc>
        <w:tc>
          <w:tcPr>
            <w:tcW w:w="7481" w:type="dxa"/>
          </w:tcPr>
          <w:p w14:paraId="6B4CA961" w14:textId="05935214"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 ze stypendystkami i stypendystami Europejskiej Fundacji im. prof. Romana Czerneckiego. Gdynia.</w:t>
            </w:r>
          </w:p>
        </w:tc>
        <w:tc>
          <w:tcPr>
            <w:tcW w:w="1687" w:type="dxa"/>
          </w:tcPr>
          <w:p w14:paraId="770AE479" w14:textId="77777777" w:rsidR="00250AC8" w:rsidRPr="00EC250C" w:rsidRDefault="00250AC8" w:rsidP="00902FC6">
            <w:pPr>
              <w:pStyle w:val="Tabela"/>
              <w:rPr>
                <w:sz w:val="18"/>
                <w:szCs w:val="20"/>
              </w:rPr>
            </w:pPr>
            <w:r w:rsidRPr="00EC250C">
              <w:rPr>
                <w:sz w:val="18"/>
                <w:szCs w:val="20"/>
              </w:rPr>
              <w:t>29.07.2018</w:t>
            </w:r>
            <w:r w:rsidR="00C91F6E" w:rsidRPr="00EC250C">
              <w:rPr>
                <w:sz w:val="18"/>
                <w:szCs w:val="20"/>
              </w:rPr>
              <w:t> r.</w:t>
            </w:r>
          </w:p>
        </w:tc>
      </w:tr>
      <w:tr w:rsidR="00250AC8" w:rsidRPr="00EC250C" w14:paraId="3D1755E5" w14:textId="77777777" w:rsidTr="00A016B4">
        <w:trPr>
          <w:tblCellSpacing w:w="20" w:type="dxa"/>
        </w:trPr>
        <w:tc>
          <w:tcPr>
            <w:tcW w:w="508" w:type="dxa"/>
          </w:tcPr>
          <w:p w14:paraId="3032ECF5" w14:textId="77777777" w:rsidR="00250AC8" w:rsidRPr="00EC250C" w:rsidRDefault="00250AC8" w:rsidP="006C70B7">
            <w:pPr>
              <w:pStyle w:val="Tabela"/>
              <w:numPr>
                <w:ilvl w:val="0"/>
                <w:numId w:val="74"/>
              </w:numPr>
              <w:ind w:left="0" w:firstLine="0"/>
              <w:jc w:val="both"/>
            </w:pPr>
          </w:p>
        </w:tc>
        <w:tc>
          <w:tcPr>
            <w:tcW w:w="7481" w:type="dxa"/>
          </w:tcPr>
          <w:p w14:paraId="2CB93491" w14:textId="7FC06CC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Prezesem Urzędu Transportu Kolejowego. Biuro RPO. Warszawa.</w:t>
            </w:r>
          </w:p>
        </w:tc>
        <w:tc>
          <w:tcPr>
            <w:tcW w:w="1687" w:type="dxa"/>
          </w:tcPr>
          <w:p w14:paraId="5822760B" w14:textId="77777777" w:rsidR="00250AC8" w:rsidRPr="00EC250C" w:rsidRDefault="00250AC8" w:rsidP="00902FC6">
            <w:pPr>
              <w:pStyle w:val="Tabela"/>
              <w:rPr>
                <w:sz w:val="18"/>
                <w:szCs w:val="20"/>
              </w:rPr>
            </w:pPr>
            <w:r w:rsidRPr="00EC250C">
              <w:rPr>
                <w:sz w:val="18"/>
                <w:szCs w:val="20"/>
              </w:rPr>
              <w:t>08.08.2018</w:t>
            </w:r>
            <w:r w:rsidR="00C91F6E" w:rsidRPr="00EC250C">
              <w:rPr>
                <w:sz w:val="18"/>
                <w:szCs w:val="20"/>
              </w:rPr>
              <w:t> r.</w:t>
            </w:r>
          </w:p>
        </w:tc>
      </w:tr>
      <w:tr w:rsidR="00250AC8" w:rsidRPr="00EC250C" w14:paraId="5E4FD74B" w14:textId="77777777" w:rsidTr="00A016B4">
        <w:trPr>
          <w:tblCellSpacing w:w="20" w:type="dxa"/>
        </w:trPr>
        <w:tc>
          <w:tcPr>
            <w:tcW w:w="508" w:type="dxa"/>
          </w:tcPr>
          <w:p w14:paraId="4346FA1F" w14:textId="77777777" w:rsidR="00250AC8" w:rsidRPr="00EC250C" w:rsidRDefault="00250AC8" w:rsidP="006C70B7">
            <w:pPr>
              <w:pStyle w:val="Tabela"/>
              <w:numPr>
                <w:ilvl w:val="0"/>
                <w:numId w:val="74"/>
              </w:numPr>
              <w:ind w:left="0" w:firstLine="0"/>
              <w:jc w:val="both"/>
            </w:pPr>
          </w:p>
        </w:tc>
        <w:tc>
          <w:tcPr>
            <w:tcW w:w="7481" w:type="dxa"/>
          </w:tcPr>
          <w:p w14:paraId="14F65F7D" w14:textId="77777777" w:rsidR="00250AC8" w:rsidRPr="00EC250C" w:rsidRDefault="00250AC8" w:rsidP="00902FC6">
            <w:pPr>
              <w:pStyle w:val="Tabela"/>
              <w:rPr>
                <w:sz w:val="18"/>
                <w:szCs w:val="20"/>
              </w:rPr>
            </w:pPr>
            <w:r w:rsidRPr="00EC250C">
              <w:rPr>
                <w:sz w:val="18"/>
                <w:szCs w:val="20"/>
              </w:rPr>
              <w:t>Warsztaty Praw Człowieka dla laureatów konkursu</w:t>
            </w:r>
            <w:r w:rsidR="00992FD0" w:rsidRPr="00EC250C">
              <w:rPr>
                <w:sz w:val="18"/>
                <w:szCs w:val="20"/>
              </w:rPr>
              <w:t xml:space="preserve"> z </w:t>
            </w:r>
            <w:r w:rsidRPr="00EC250C">
              <w:rPr>
                <w:sz w:val="18"/>
                <w:szCs w:val="20"/>
              </w:rPr>
              <w:t>Pol’and’Rock Festival 2018 zorganizowane</w:t>
            </w:r>
            <w:r w:rsidR="00992FD0" w:rsidRPr="00EC250C">
              <w:rPr>
                <w:sz w:val="18"/>
                <w:szCs w:val="20"/>
              </w:rPr>
              <w:t xml:space="preserve"> w </w:t>
            </w:r>
            <w:r w:rsidRPr="00EC250C">
              <w:rPr>
                <w:sz w:val="18"/>
                <w:szCs w:val="20"/>
              </w:rPr>
              <w:t>Biurze RPO. Warszawa.</w:t>
            </w:r>
          </w:p>
        </w:tc>
        <w:tc>
          <w:tcPr>
            <w:tcW w:w="1687" w:type="dxa"/>
          </w:tcPr>
          <w:p w14:paraId="4ABA0B49" w14:textId="77777777" w:rsidR="00250AC8" w:rsidRPr="00EC250C" w:rsidRDefault="00250AC8" w:rsidP="00902FC6">
            <w:pPr>
              <w:pStyle w:val="Tabela"/>
              <w:rPr>
                <w:sz w:val="18"/>
                <w:szCs w:val="20"/>
              </w:rPr>
            </w:pPr>
            <w:r w:rsidRPr="00EC250C">
              <w:rPr>
                <w:sz w:val="18"/>
                <w:szCs w:val="20"/>
              </w:rPr>
              <w:t>31.08.2018</w:t>
            </w:r>
            <w:r w:rsidR="00C91F6E" w:rsidRPr="00EC250C">
              <w:rPr>
                <w:sz w:val="18"/>
                <w:szCs w:val="20"/>
              </w:rPr>
              <w:t> r.</w:t>
            </w:r>
          </w:p>
        </w:tc>
      </w:tr>
      <w:tr w:rsidR="00250AC8" w:rsidRPr="00EC250C" w14:paraId="03D83198" w14:textId="77777777" w:rsidTr="00A016B4">
        <w:trPr>
          <w:tblCellSpacing w:w="20" w:type="dxa"/>
        </w:trPr>
        <w:tc>
          <w:tcPr>
            <w:tcW w:w="508" w:type="dxa"/>
          </w:tcPr>
          <w:p w14:paraId="3803480A" w14:textId="77777777" w:rsidR="00250AC8" w:rsidRPr="00EC250C" w:rsidRDefault="00250AC8" w:rsidP="006C70B7">
            <w:pPr>
              <w:pStyle w:val="Tabela"/>
              <w:numPr>
                <w:ilvl w:val="0"/>
                <w:numId w:val="74"/>
              </w:numPr>
              <w:ind w:left="0" w:firstLine="0"/>
              <w:jc w:val="both"/>
            </w:pPr>
          </w:p>
        </w:tc>
        <w:tc>
          <w:tcPr>
            <w:tcW w:w="7481" w:type="dxa"/>
          </w:tcPr>
          <w:p w14:paraId="70EF81C5" w14:textId="141A123F"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 przedstawicielkami Fundacji „Machina Zmian”. Biuro RPO. Warszawa.</w:t>
            </w:r>
          </w:p>
        </w:tc>
        <w:tc>
          <w:tcPr>
            <w:tcW w:w="1687" w:type="dxa"/>
          </w:tcPr>
          <w:p w14:paraId="2F52501D" w14:textId="77777777" w:rsidR="00250AC8" w:rsidRPr="00EC250C" w:rsidRDefault="00250AC8" w:rsidP="00902FC6">
            <w:pPr>
              <w:pStyle w:val="Tabela"/>
              <w:rPr>
                <w:sz w:val="18"/>
                <w:szCs w:val="20"/>
              </w:rPr>
            </w:pPr>
            <w:r w:rsidRPr="00EC250C">
              <w:rPr>
                <w:sz w:val="18"/>
                <w:szCs w:val="20"/>
              </w:rPr>
              <w:t>05.09.2018</w:t>
            </w:r>
            <w:r w:rsidR="00C91F6E" w:rsidRPr="00EC250C">
              <w:rPr>
                <w:sz w:val="18"/>
                <w:szCs w:val="20"/>
              </w:rPr>
              <w:t> r.</w:t>
            </w:r>
          </w:p>
        </w:tc>
      </w:tr>
      <w:tr w:rsidR="00250AC8" w:rsidRPr="00EC250C" w14:paraId="75DAAC6A" w14:textId="77777777" w:rsidTr="00A016B4">
        <w:trPr>
          <w:tblCellSpacing w:w="20" w:type="dxa"/>
        </w:trPr>
        <w:tc>
          <w:tcPr>
            <w:tcW w:w="508" w:type="dxa"/>
          </w:tcPr>
          <w:p w14:paraId="17F34B85" w14:textId="77777777" w:rsidR="00250AC8" w:rsidRPr="00EC250C" w:rsidRDefault="00250AC8" w:rsidP="006C70B7">
            <w:pPr>
              <w:pStyle w:val="Tabela"/>
              <w:numPr>
                <w:ilvl w:val="0"/>
                <w:numId w:val="74"/>
              </w:numPr>
              <w:ind w:left="0" w:firstLine="0"/>
              <w:jc w:val="both"/>
            </w:pPr>
          </w:p>
        </w:tc>
        <w:tc>
          <w:tcPr>
            <w:tcW w:w="7481" w:type="dxa"/>
          </w:tcPr>
          <w:p w14:paraId="6BA4E2BD" w14:textId="473AA96B"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 przedstawicielami Stowarzyszenia Poszkodowanych Obligatariuszy GetBack S.A. Biuro RPO. Warszawa.</w:t>
            </w:r>
          </w:p>
        </w:tc>
        <w:tc>
          <w:tcPr>
            <w:tcW w:w="1687" w:type="dxa"/>
          </w:tcPr>
          <w:p w14:paraId="2F9B5A0F" w14:textId="77777777" w:rsidR="00250AC8" w:rsidRPr="00EC250C" w:rsidRDefault="00250AC8" w:rsidP="00902FC6">
            <w:pPr>
              <w:pStyle w:val="Tabela"/>
              <w:rPr>
                <w:sz w:val="18"/>
                <w:szCs w:val="20"/>
              </w:rPr>
            </w:pPr>
            <w:r w:rsidRPr="00EC250C">
              <w:rPr>
                <w:sz w:val="18"/>
                <w:szCs w:val="20"/>
              </w:rPr>
              <w:t>06.09.2018</w:t>
            </w:r>
            <w:r w:rsidR="00C91F6E" w:rsidRPr="00EC250C">
              <w:rPr>
                <w:sz w:val="18"/>
                <w:szCs w:val="20"/>
              </w:rPr>
              <w:t> r.</w:t>
            </w:r>
          </w:p>
        </w:tc>
      </w:tr>
      <w:tr w:rsidR="00250AC8" w:rsidRPr="00EC250C" w14:paraId="0FB143DF" w14:textId="77777777" w:rsidTr="00A016B4">
        <w:trPr>
          <w:tblCellSpacing w:w="20" w:type="dxa"/>
        </w:trPr>
        <w:tc>
          <w:tcPr>
            <w:tcW w:w="508" w:type="dxa"/>
          </w:tcPr>
          <w:p w14:paraId="61155CD6" w14:textId="77777777" w:rsidR="00250AC8" w:rsidRPr="00EC250C" w:rsidRDefault="00250AC8" w:rsidP="006C70B7">
            <w:pPr>
              <w:pStyle w:val="Tabela"/>
              <w:numPr>
                <w:ilvl w:val="0"/>
                <w:numId w:val="74"/>
              </w:numPr>
              <w:ind w:left="0" w:firstLine="0"/>
              <w:jc w:val="both"/>
            </w:pPr>
          </w:p>
        </w:tc>
        <w:tc>
          <w:tcPr>
            <w:tcW w:w="7481" w:type="dxa"/>
          </w:tcPr>
          <w:p w14:paraId="0B97612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spotkaniu nt. Złotej Księgi Dobrych Praktyk na rzecz Społecznego Uczestnictwa Osób Starszych. Biuro RPO. Warszawa.</w:t>
            </w:r>
          </w:p>
        </w:tc>
        <w:tc>
          <w:tcPr>
            <w:tcW w:w="1687" w:type="dxa"/>
          </w:tcPr>
          <w:p w14:paraId="4977B03F" w14:textId="77777777" w:rsidR="00250AC8" w:rsidRPr="00EC250C" w:rsidRDefault="00250AC8" w:rsidP="00902FC6">
            <w:pPr>
              <w:pStyle w:val="Tabela"/>
              <w:rPr>
                <w:sz w:val="18"/>
                <w:szCs w:val="20"/>
              </w:rPr>
            </w:pPr>
            <w:r w:rsidRPr="00EC250C">
              <w:rPr>
                <w:sz w:val="18"/>
                <w:szCs w:val="20"/>
              </w:rPr>
              <w:t>11.09.2018</w:t>
            </w:r>
            <w:r w:rsidR="00C91F6E" w:rsidRPr="00EC250C">
              <w:rPr>
                <w:sz w:val="18"/>
                <w:szCs w:val="20"/>
              </w:rPr>
              <w:t> r.</w:t>
            </w:r>
          </w:p>
        </w:tc>
      </w:tr>
      <w:tr w:rsidR="00250AC8" w:rsidRPr="00EC250C" w14:paraId="0B8CB992" w14:textId="77777777" w:rsidTr="00A016B4">
        <w:trPr>
          <w:tblCellSpacing w:w="20" w:type="dxa"/>
        </w:trPr>
        <w:tc>
          <w:tcPr>
            <w:tcW w:w="508" w:type="dxa"/>
          </w:tcPr>
          <w:p w14:paraId="1E857377" w14:textId="77777777" w:rsidR="00250AC8" w:rsidRPr="00EC250C" w:rsidRDefault="00250AC8" w:rsidP="006C70B7">
            <w:pPr>
              <w:pStyle w:val="Tabela"/>
              <w:numPr>
                <w:ilvl w:val="0"/>
                <w:numId w:val="74"/>
              </w:numPr>
              <w:ind w:left="0" w:firstLine="0"/>
              <w:jc w:val="both"/>
            </w:pPr>
          </w:p>
        </w:tc>
        <w:tc>
          <w:tcPr>
            <w:tcW w:w="7481" w:type="dxa"/>
          </w:tcPr>
          <w:p w14:paraId="00AB7194"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szkoleniu dla koordynatorów regionalnych, trenerów</w:t>
            </w:r>
            <w:r w:rsidR="00992FD0" w:rsidRPr="00EC250C">
              <w:rPr>
                <w:sz w:val="18"/>
                <w:szCs w:val="20"/>
              </w:rPr>
              <w:t xml:space="preserve"> i </w:t>
            </w:r>
            <w:r w:rsidRPr="00EC250C">
              <w:rPr>
                <w:sz w:val="18"/>
                <w:szCs w:val="20"/>
              </w:rPr>
              <w:t>liderów edukacji obywatelskiej na rzecz praw człowieka (EO/EPC) oraz edukacji globalnej na rzecz zrównoważonego rozwoju nt. „Prawo do poszanowania godności</w:t>
            </w:r>
            <w:r w:rsidR="00992FD0" w:rsidRPr="00EC250C">
              <w:rPr>
                <w:sz w:val="18"/>
                <w:szCs w:val="20"/>
              </w:rPr>
              <w:t xml:space="preserve"> i </w:t>
            </w:r>
            <w:r w:rsidRPr="00EC250C">
              <w:rPr>
                <w:sz w:val="18"/>
                <w:szCs w:val="20"/>
              </w:rPr>
              <w:t>integralności cielesnej dziecka gwarantowanego</w:t>
            </w:r>
            <w:r w:rsidR="00992FD0" w:rsidRPr="00EC250C">
              <w:rPr>
                <w:sz w:val="18"/>
                <w:szCs w:val="20"/>
              </w:rPr>
              <w:t xml:space="preserve"> w </w:t>
            </w:r>
            <w:r w:rsidRPr="00EC250C">
              <w:rPr>
                <w:sz w:val="18"/>
                <w:szCs w:val="20"/>
              </w:rPr>
              <w:t>art. 3 Europejskiej Konwencji Praw Człowieka” zorganizowanym przez ORE</w:t>
            </w:r>
            <w:r w:rsidR="00992FD0" w:rsidRPr="00EC250C">
              <w:rPr>
                <w:sz w:val="18"/>
                <w:szCs w:val="20"/>
              </w:rPr>
              <w:t xml:space="preserve"> i </w:t>
            </w:r>
            <w:r w:rsidRPr="00EC250C">
              <w:rPr>
                <w:sz w:val="18"/>
                <w:szCs w:val="20"/>
              </w:rPr>
              <w:t>MSZ. Sulejówek.</w:t>
            </w:r>
          </w:p>
        </w:tc>
        <w:tc>
          <w:tcPr>
            <w:tcW w:w="1687" w:type="dxa"/>
          </w:tcPr>
          <w:p w14:paraId="4C30E9F8" w14:textId="77777777" w:rsidR="00250AC8" w:rsidRPr="00EC250C" w:rsidRDefault="00250AC8" w:rsidP="00902FC6">
            <w:pPr>
              <w:pStyle w:val="Tabela"/>
              <w:rPr>
                <w:sz w:val="18"/>
                <w:szCs w:val="20"/>
              </w:rPr>
            </w:pPr>
            <w:r w:rsidRPr="00EC250C">
              <w:rPr>
                <w:sz w:val="18"/>
                <w:szCs w:val="20"/>
              </w:rPr>
              <w:t>21.09.2018</w:t>
            </w:r>
            <w:r w:rsidR="00C91F6E" w:rsidRPr="00EC250C">
              <w:rPr>
                <w:sz w:val="18"/>
                <w:szCs w:val="20"/>
              </w:rPr>
              <w:t> r.</w:t>
            </w:r>
          </w:p>
        </w:tc>
      </w:tr>
      <w:tr w:rsidR="00250AC8" w:rsidRPr="00EC250C" w14:paraId="5B9915C2" w14:textId="77777777" w:rsidTr="00A016B4">
        <w:trPr>
          <w:tblCellSpacing w:w="20" w:type="dxa"/>
        </w:trPr>
        <w:tc>
          <w:tcPr>
            <w:tcW w:w="508" w:type="dxa"/>
          </w:tcPr>
          <w:p w14:paraId="30B7D940" w14:textId="77777777" w:rsidR="00250AC8" w:rsidRPr="00EC250C" w:rsidRDefault="00250AC8" w:rsidP="006C70B7">
            <w:pPr>
              <w:pStyle w:val="Tabela"/>
              <w:numPr>
                <w:ilvl w:val="0"/>
                <w:numId w:val="74"/>
              </w:numPr>
              <w:ind w:left="0" w:firstLine="0"/>
              <w:jc w:val="both"/>
            </w:pPr>
          </w:p>
        </w:tc>
        <w:tc>
          <w:tcPr>
            <w:tcW w:w="7481" w:type="dxa"/>
          </w:tcPr>
          <w:p w14:paraId="1816437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spotkaniu nt. „Stosunki polsko-niemieckie</w:t>
            </w:r>
            <w:r w:rsidR="00992FD0" w:rsidRPr="00EC250C">
              <w:rPr>
                <w:sz w:val="18"/>
                <w:szCs w:val="20"/>
              </w:rPr>
              <w:t xml:space="preserve"> z </w:t>
            </w:r>
            <w:r w:rsidRPr="00EC250C">
              <w:rPr>
                <w:sz w:val="18"/>
                <w:szCs w:val="20"/>
              </w:rPr>
              <w:t>niemieckiej perspektywy” zorganizowanym przez Fundację Współpracy Polsko-Niemieckiej. Warszawa.</w:t>
            </w:r>
          </w:p>
        </w:tc>
        <w:tc>
          <w:tcPr>
            <w:tcW w:w="1687" w:type="dxa"/>
          </w:tcPr>
          <w:p w14:paraId="2927168E" w14:textId="77777777" w:rsidR="00250AC8" w:rsidRPr="00EC250C" w:rsidRDefault="00250AC8" w:rsidP="00902FC6">
            <w:pPr>
              <w:pStyle w:val="Tabela"/>
              <w:rPr>
                <w:sz w:val="18"/>
                <w:szCs w:val="20"/>
              </w:rPr>
            </w:pPr>
            <w:r w:rsidRPr="00EC250C">
              <w:rPr>
                <w:sz w:val="18"/>
                <w:szCs w:val="20"/>
              </w:rPr>
              <w:t>02.10.2018</w:t>
            </w:r>
            <w:r w:rsidR="00C91F6E" w:rsidRPr="00EC250C">
              <w:rPr>
                <w:sz w:val="18"/>
                <w:szCs w:val="20"/>
              </w:rPr>
              <w:t> r.</w:t>
            </w:r>
          </w:p>
        </w:tc>
      </w:tr>
      <w:tr w:rsidR="00250AC8" w:rsidRPr="00EC250C" w14:paraId="090F4B17" w14:textId="77777777" w:rsidTr="00A016B4">
        <w:trPr>
          <w:tblCellSpacing w:w="20" w:type="dxa"/>
        </w:trPr>
        <w:tc>
          <w:tcPr>
            <w:tcW w:w="508" w:type="dxa"/>
          </w:tcPr>
          <w:p w14:paraId="1AE49AF5" w14:textId="77777777" w:rsidR="00250AC8" w:rsidRPr="00EC250C" w:rsidRDefault="00250AC8" w:rsidP="006C70B7">
            <w:pPr>
              <w:pStyle w:val="Tabela"/>
              <w:numPr>
                <w:ilvl w:val="0"/>
                <w:numId w:val="74"/>
              </w:numPr>
              <w:ind w:left="0" w:firstLine="0"/>
              <w:jc w:val="both"/>
            </w:pPr>
          </w:p>
        </w:tc>
        <w:tc>
          <w:tcPr>
            <w:tcW w:w="7481" w:type="dxa"/>
          </w:tcPr>
          <w:p w14:paraId="4F19568F" w14:textId="77777777" w:rsidR="00250AC8" w:rsidRPr="00EC250C" w:rsidRDefault="00250AC8" w:rsidP="00902FC6">
            <w:pPr>
              <w:pStyle w:val="Tabela"/>
              <w:rPr>
                <w:sz w:val="18"/>
                <w:szCs w:val="20"/>
              </w:rPr>
            </w:pPr>
            <w:r w:rsidRPr="00EC250C">
              <w:rPr>
                <w:sz w:val="18"/>
                <w:szCs w:val="20"/>
              </w:rPr>
              <w:t>Warsztaty</w:t>
            </w:r>
            <w:r w:rsidR="00992FD0" w:rsidRPr="00EC250C">
              <w:rPr>
                <w:sz w:val="18"/>
                <w:szCs w:val="20"/>
              </w:rPr>
              <w:t xml:space="preserve"> w </w:t>
            </w:r>
            <w:r w:rsidRPr="00EC250C">
              <w:rPr>
                <w:sz w:val="18"/>
                <w:szCs w:val="20"/>
              </w:rPr>
              <w:t>Centrum Aktywności Obywatelskiej nt. kompetencji RPO, praw człowieka</w:t>
            </w:r>
            <w:r w:rsidR="00992FD0" w:rsidRPr="00EC250C">
              <w:rPr>
                <w:sz w:val="18"/>
                <w:szCs w:val="20"/>
              </w:rPr>
              <w:t xml:space="preserve"> i </w:t>
            </w:r>
            <w:r w:rsidRPr="00EC250C">
              <w:rPr>
                <w:sz w:val="18"/>
                <w:szCs w:val="20"/>
              </w:rPr>
              <w:t>obywatela oraz równego traktowania osób starszych. Ostrowiec Świętokrzyski.</w:t>
            </w:r>
          </w:p>
        </w:tc>
        <w:tc>
          <w:tcPr>
            <w:tcW w:w="1687" w:type="dxa"/>
          </w:tcPr>
          <w:p w14:paraId="1A1A9693" w14:textId="77777777" w:rsidR="00250AC8" w:rsidRPr="00EC250C" w:rsidRDefault="00250AC8" w:rsidP="00902FC6">
            <w:pPr>
              <w:pStyle w:val="Tabela"/>
              <w:rPr>
                <w:sz w:val="18"/>
                <w:szCs w:val="20"/>
              </w:rPr>
            </w:pPr>
            <w:r w:rsidRPr="00EC250C">
              <w:rPr>
                <w:sz w:val="18"/>
                <w:szCs w:val="20"/>
              </w:rPr>
              <w:t>08.10.2018</w:t>
            </w:r>
            <w:r w:rsidR="00C91F6E" w:rsidRPr="00EC250C">
              <w:rPr>
                <w:sz w:val="18"/>
                <w:szCs w:val="20"/>
              </w:rPr>
              <w:t> r.</w:t>
            </w:r>
          </w:p>
        </w:tc>
      </w:tr>
      <w:tr w:rsidR="00250AC8" w:rsidRPr="00EC250C" w14:paraId="14F0B40F" w14:textId="77777777" w:rsidTr="00A016B4">
        <w:trPr>
          <w:tblCellSpacing w:w="20" w:type="dxa"/>
        </w:trPr>
        <w:tc>
          <w:tcPr>
            <w:tcW w:w="508" w:type="dxa"/>
          </w:tcPr>
          <w:p w14:paraId="2AC061FC" w14:textId="77777777" w:rsidR="00250AC8" w:rsidRPr="00EC250C" w:rsidRDefault="00250AC8" w:rsidP="006C70B7">
            <w:pPr>
              <w:pStyle w:val="Tabela"/>
              <w:numPr>
                <w:ilvl w:val="0"/>
                <w:numId w:val="74"/>
              </w:numPr>
              <w:ind w:left="0" w:firstLine="0"/>
              <w:jc w:val="both"/>
            </w:pPr>
          </w:p>
        </w:tc>
        <w:tc>
          <w:tcPr>
            <w:tcW w:w="7481" w:type="dxa"/>
          </w:tcPr>
          <w:p w14:paraId="317BD5F7" w14:textId="12B9843C"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 członkami</w:t>
            </w:r>
            <w:r w:rsidR="00992FD0" w:rsidRPr="00EC250C">
              <w:rPr>
                <w:sz w:val="18"/>
                <w:szCs w:val="20"/>
              </w:rPr>
              <w:t xml:space="preserve"> i </w:t>
            </w:r>
            <w:r w:rsidRPr="00EC250C">
              <w:rPr>
                <w:sz w:val="18"/>
                <w:szCs w:val="20"/>
              </w:rPr>
              <w:t>członkiniami prawniczych kół naukowych – Studenckiego Koła Naukowego im. Pauliny Kuczalskiej-Reinschmit oraz Koła Naukowego Studenckie Forum Praw Człowieka działającego przy Wydziale Prawa</w:t>
            </w:r>
            <w:r w:rsidR="00992FD0" w:rsidRPr="00EC250C">
              <w:rPr>
                <w:sz w:val="18"/>
                <w:szCs w:val="20"/>
              </w:rPr>
              <w:t xml:space="preserve"> i </w:t>
            </w:r>
            <w:r w:rsidRPr="00EC250C">
              <w:rPr>
                <w:sz w:val="18"/>
                <w:szCs w:val="20"/>
              </w:rPr>
              <w:t>Administracji UW. Warszawa.</w:t>
            </w:r>
          </w:p>
        </w:tc>
        <w:tc>
          <w:tcPr>
            <w:tcW w:w="1687" w:type="dxa"/>
          </w:tcPr>
          <w:p w14:paraId="76CC4144" w14:textId="77777777" w:rsidR="00250AC8" w:rsidRPr="00EC250C" w:rsidRDefault="00250AC8" w:rsidP="00902FC6">
            <w:pPr>
              <w:pStyle w:val="Tabela"/>
              <w:rPr>
                <w:sz w:val="18"/>
                <w:szCs w:val="20"/>
              </w:rPr>
            </w:pPr>
            <w:r w:rsidRPr="00EC250C">
              <w:rPr>
                <w:sz w:val="18"/>
                <w:szCs w:val="20"/>
              </w:rPr>
              <w:t>22.10.2018</w:t>
            </w:r>
            <w:r w:rsidR="00C91F6E" w:rsidRPr="00EC250C">
              <w:rPr>
                <w:sz w:val="18"/>
                <w:szCs w:val="20"/>
              </w:rPr>
              <w:t> r.</w:t>
            </w:r>
          </w:p>
        </w:tc>
      </w:tr>
      <w:tr w:rsidR="00250AC8" w:rsidRPr="00EC250C" w14:paraId="24A0E2F3" w14:textId="77777777" w:rsidTr="00A016B4">
        <w:trPr>
          <w:tblCellSpacing w:w="20" w:type="dxa"/>
        </w:trPr>
        <w:tc>
          <w:tcPr>
            <w:tcW w:w="508" w:type="dxa"/>
          </w:tcPr>
          <w:p w14:paraId="71385BB8" w14:textId="77777777" w:rsidR="00250AC8" w:rsidRPr="00EC250C" w:rsidRDefault="00250AC8" w:rsidP="006C70B7">
            <w:pPr>
              <w:pStyle w:val="Tabela"/>
              <w:numPr>
                <w:ilvl w:val="0"/>
                <w:numId w:val="74"/>
              </w:numPr>
              <w:ind w:left="0" w:firstLine="0"/>
              <w:jc w:val="both"/>
            </w:pPr>
          </w:p>
        </w:tc>
        <w:tc>
          <w:tcPr>
            <w:tcW w:w="7481" w:type="dxa"/>
          </w:tcPr>
          <w:p w14:paraId="1A238B7F"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spotkaniu</w:t>
            </w:r>
            <w:r w:rsidR="00992FD0" w:rsidRPr="00EC250C">
              <w:rPr>
                <w:sz w:val="18"/>
                <w:szCs w:val="20"/>
              </w:rPr>
              <w:t xml:space="preserve"> z </w:t>
            </w:r>
            <w:r w:rsidRPr="00EC250C">
              <w:rPr>
                <w:sz w:val="18"/>
                <w:szCs w:val="20"/>
              </w:rPr>
              <w:t>prof. Laurentem Pechem, zorganizowanym</w:t>
            </w:r>
            <w:r w:rsidR="00992FD0" w:rsidRPr="00EC250C">
              <w:rPr>
                <w:sz w:val="18"/>
                <w:szCs w:val="20"/>
              </w:rPr>
              <w:t xml:space="preserve"> w </w:t>
            </w:r>
            <w:r w:rsidRPr="00EC250C">
              <w:rPr>
                <w:sz w:val="18"/>
                <w:szCs w:val="20"/>
              </w:rPr>
              <w:t>Biurze RPO. Warszawa.</w:t>
            </w:r>
          </w:p>
        </w:tc>
        <w:tc>
          <w:tcPr>
            <w:tcW w:w="1687" w:type="dxa"/>
          </w:tcPr>
          <w:p w14:paraId="60AB3F1B" w14:textId="77777777" w:rsidR="00250AC8" w:rsidRPr="00EC250C" w:rsidRDefault="00250AC8" w:rsidP="00902FC6">
            <w:pPr>
              <w:pStyle w:val="Tabela"/>
              <w:rPr>
                <w:sz w:val="18"/>
                <w:szCs w:val="20"/>
              </w:rPr>
            </w:pPr>
            <w:r w:rsidRPr="00EC250C">
              <w:rPr>
                <w:sz w:val="18"/>
                <w:szCs w:val="20"/>
              </w:rPr>
              <w:t>07.11.2018</w:t>
            </w:r>
            <w:r w:rsidR="00C91F6E" w:rsidRPr="00EC250C">
              <w:rPr>
                <w:sz w:val="18"/>
                <w:szCs w:val="20"/>
              </w:rPr>
              <w:t> r.</w:t>
            </w:r>
          </w:p>
        </w:tc>
      </w:tr>
      <w:tr w:rsidR="00250AC8" w:rsidRPr="00EC250C" w14:paraId="469A32D0" w14:textId="77777777" w:rsidTr="00A016B4">
        <w:trPr>
          <w:tblCellSpacing w:w="20" w:type="dxa"/>
        </w:trPr>
        <w:tc>
          <w:tcPr>
            <w:tcW w:w="508" w:type="dxa"/>
          </w:tcPr>
          <w:p w14:paraId="4B2F4C95" w14:textId="77777777" w:rsidR="00250AC8" w:rsidRPr="00EC250C" w:rsidRDefault="00250AC8" w:rsidP="006C70B7">
            <w:pPr>
              <w:pStyle w:val="Tabela"/>
              <w:numPr>
                <w:ilvl w:val="0"/>
                <w:numId w:val="74"/>
              </w:numPr>
              <w:ind w:left="0" w:firstLine="0"/>
              <w:jc w:val="both"/>
            </w:pPr>
          </w:p>
        </w:tc>
        <w:tc>
          <w:tcPr>
            <w:tcW w:w="7481" w:type="dxa"/>
          </w:tcPr>
          <w:p w14:paraId="7099D4D4" w14:textId="0C8CDAFB"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 ze studentami i studentkami SWPS we Wrocławiu. Wrocław.</w:t>
            </w:r>
          </w:p>
        </w:tc>
        <w:tc>
          <w:tcPr>
            <w:tcW w:w="1687" w:type="dxa"/>
          </w:tcPr>
          <w:p w14:paraId="5886CE03" w14:textId="77777777" w:rsidR="00250AC8" w:rsidRPr="00EC250C" w:rsidRDefault="00250AC8" w:rsidP="00902FC6">
            <w:pPr>
              <w:pStyle w:val="Tabela"/>
              <w:rPr>
                <w:sz w:val="18"/>
                <w:szCs w:val="20"/>
              </w:rPr>
            </w:pPr>
            <w:r w:rsidRPr="00EC250C">
              <w:rPr>
                <w:sz w:val="18"/>
                <w:szCs w:val="20"/>
              </w:rPr>
              <w:t>09.11.2018</w:t>
            </w:r>
            <w:r w:rsidR="00C91F6E" w:rsidRPr="00EC250C">
              <w:rPr>
                <w:sz w:val="18"/>
                <w:szCs w:val="20"/>
              </w:rPr>
              <w:t> r.</w:t>
            </w:r>
          </w:p>
        </w:tc>
      </w:tr>
      <w:tr w:rsidR="00250AC8" w:rsidRPr="00EC250C" w14:paraId="6A2AEF3A" w14:textId="77777777" w:rsidTr="00A016B4">
        <w:trPr>
          <w:tblCellSpacing w:w="20" w:type="dxa"/>
        </w:trPr>
        <w:tc>
          <w:tcPr>
            <w:tcW w:w="508" w:type="dxa"/>
          </w:tcPr>
          <w:p w14:paraId="249C3AB8" w14:textId="77777777" w:rsidR="00250AC8" w:rsidRPr="00EC250C" w:rsidRDefault="00250AC8" w:rsidP="006C70B7">
            <w:pPr>
              <w:pStyle w:val="Tabela"/>
              <w:numPr>
                <w:ilvl w:val="0"/>
                <w:numId w:val="74"/>
              </w:numPr>
              <w:ind w:left="0" w:firstLine="0"/>
              <w:jc w:val="both"/>
            </w:pPr>
          </w:p>
        </w:tc>
        <w:tc>
          <w:tcPr>
            <w:tcW w:w="7481" w:type="dxa"/>
          </w:tcPr>
          <w:p w14:paraId="18856090" w14:textId="77777777" w:rsidR="00250AC8" w:rsidRPr="00EC250C" w:rsidRDefault="00250AC8" w:rsidP="00902FC6">
            <w:pPr>
              <w:pStyle w:val="Tabela"/>
              <w:rPr>
                <w:sz w:val="18"/>
                <w:szCs w:val="20"/>
              </w:rPr>
            </w:pPr>
            <w:r w:rsidRPr="00EC250C">
              <w:rPr>
                <w:sz w:val="18"/>
                <w:szCs w:val="20"/>
              </w:rPr>
              <w:t xml:space="preserve">Wykład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Złotoryjskim Ośrodku Kultury</w:t>
            </w:r>
            <w:r w:rsidR="00992FD0" w:rsidRPr="00EC250C">
              <w:rPr>
                <w:sz w:val="18"/>
                <w:szCs w:val="20"/>
              </w:rPr>
              <w:t xml:space="preserve"> i </w:t>
            </w:r>
            <w:r w:rsidRPr="00EC250C">
              <w:rPr>
                <w:sz w:val="18"/>
                <w:szCs w:val="20"/>
              </w:rPr>
              <w:t>Rekreacji. Złotoryja.</w:t>
            </w:r>
          </w:p>
        </w:tc>
        <w:tc>
          <w:tcPr>
            <w:tcW w:w="1687" w:type="dxa"/>
          </w:tcPr>
          <w:p w14:paraId="4FD6453C" w14:textId="77777777" w:rsidR="00250AC8" w:rsidRPr="00EC250C" w:rsidRDefault="00250AC8" w:rsidP="00902FC6">
            <w:pPr>
              <w:pStyle w:val="Tabela"/>
              <w:rPr>
                <w:sz w:val="18"/>
                <w:szCs w:val="20"/>
              </w:rPr>
            </w:pPr>
            <w:r w:rsidRPr="00EC250C">
              <w:rPr>
                <w:sz w:val="18"/>
                <w:szCs w:val="20"/>
              </w:rPr>
              <w:t>09.11.2018</w:t>
            </w:r>
            <w:r w:rsidR="00C91F6E" w:rsidRPr="00EC250C">
              <w:rPr>
                <w:sz w:val="18"/>
                <w:szCs w:val="20"/>
              </w:rPr>
              <w:t> r.</w:t>
            </w:r>
          </w:p>
        </w:tc>
      </w:tr>
      <w:tr w:rsidR="00250AC8" w:rsidRPr="00EC250C" w14:paraId="061FD93F" w14:textId="77777777" w:rsidTr="00A016B4">
        <w:trPr>
          <w:tblCellSpacing w:w="20" w:type="dxa"/>
        </w:trPr>
        <w:tc>
          <w:tcPr>
            <w:tcW w:w="508" w:type="dxa"/>
          </w:tcPr>
          <w:p w14:paraId="0C287B82" w14:textId="77777777" w:rsidR="00250AC8" w:rsidRPr="00EC250C" w:rsidRDefault="00250AC8" w:rsidP="006C70B7">
            <w:pPr>
              <w:pStyle w:val="Tabela"/>
              <w:numPr>
                <w:ilvl w:val="0"/>
                <w:numId w:val="74"/>
              </w:numPr>
              <w:ind w:left="0" w:firstLine="0"/>
              <w:jc w:val="both"/>
            </w:pPr>
          </w:p>
        </w:tc>
        <w:tc>
          <w:tcPr>
            <w:tcW w:w="7481" w:type="dxa"/>
          </w:tcPr>
          <w:p w14:paraId="0816F23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„Igrzyskach Wolności” zorganizowanych przez Fundację Liberte. Łódź.</w:t>
            </w:r>
          </w:p>
        </w:tc>
        <w:tc>
          <w:tcPr>
            <w:tcW w:w="1687" w:type="dxa"/>
          </w:tcPr>
          <w:p w14:paraId="7357B0A0" w14:textId="77777777" w:rsidR="00250AC8" w:rsidRPr="00EC250C" w:rsidRDefault="00250AC8" w:rsidP="00902FC6">
            <w:pPr>
              <w:pStyle w:val="Tabela"/>
              <w:rPr>
                <w:sz w:val="18"/>
                <w:szCs w:val="20"/>
              </w:rPr>
            </w:pPr>
            <w:r w:rsidRPr="00EC250C">
              <w:rPr>
                <w:sz w:val="18"/>
                <w:szCs w:val="20"/>
              </w:rPr>
              <w:t>10–11.11.2018</w:t>
            </w:r>
            <w:r w:rsidR="00C91F6E" w:rsidRPr="00EC250C">
              <w:rPr>
                <w:sz w:val="18"/>
                <w:szCs w:val="20"/>
              </w:rPr>
              <w:t> r.</w:t>
            </w:r>
          </w:p>
        </w:tc>
      </w:tr>
      <w:tr w:rsidR="00250AC8" w:rsidRPr="00EC250C" w14:paraId="6836E96C" w14:textId="77777777" w:rsidTr="00A016B4">
        <w:trPr>
          <w:tblCellSpacing w:w="20" w:type="dxa"/>
        </w:trPr>
        <w:tc>
          <w:tcPr>
            <w:tcW w:w="508" w:type="dxa"/>
          </w:tcPr>
          <w:p w14:paraId="0EDE07C1" w14:textId="77777777" w:rsidR="00250AC8" w:rsidRPr="00EC250C" w:rsidRDefault="00250AC8" w:rsidP="006C70B7">
            <w:pPr>
              <w:pStyle w:val="Tabela"/>
              <w:numPr>
                <w:ilvl w:val="0"/>
                <w:numId w:val="74"/>
              </w:numPr>
              <w:ind w:left="0" w:firstLine="0"/>
              <w:jc w:val="both"/>
            </w:pPr>
          </w:p>
        </w:tc>
        <w:tc>
          <w:tcPr>
            <w:tcW w:w="7481" w:type="dxa"/>
          </w:tcPr>
          <w:p w14:paraId="76DC1DA0" w14:textId="45311522"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 ekspertami, prawnikami, przedstawicielami organizacji pozarządowych nt. ochrony starych zapomnianych cmentarzy </w:t>
            </w:r>
            <w:r w:rsidRPr="00EC250C">
              <w:rPr>
                <w:sz w:val="18"/>
                <w:szCs w:val="20"/>
              </w:rPr>
              <w:br/>
              <w:t>i wielokulturowego dziedzictwa historycznego. Biuro RPO. Warszawa.</w:t>
            </w:r>
          </w:p>
        </w:tc>
        <w:tc>
          <w:tcPr>
            <w:tcW w:w="1687" w:type="dxa"/>
          </w:tcPr>
          <w:p w14:paraId="75696AE6" w14:textId="77777777" w:rsidR="00250AC8" w:rsidRPr="00EC250C" w:rsidRDefault="00250AC8" w:rsidP="00902FC6">
            <w:pPr>
              <w:pStyle w:val="Tabela"/>
              <w:rPr>
                <w:sz w:val="18"/>
                <w:szCs w:val="20"/>
              </w:rPr>
            </w:pPr>
            <w:r w:rsidRPr="00EC250C">
              <w:rPr>
                <w:sz w:val="18"/>
                <w:szCs w:val="20"/>
              </w:rPr>
              <w:t>15.11.2018</w:t>
            </w:r>
            <w:r w:rsidR="00C91F6E" w:rsidRPr="00EC250C">
              <w:rPr>
                <w:sz w:val="18"/>
                <w:szCs w:val="20"/>
              </w:rPr>
              <w:t> r.</w:t>
            </w:r>
          </w:p>
        </w:tc>
      </w:tr>
      <w:tr w:rsidR="00250AC8" w:rsidRPr="00EC250C" w14:paraId="7B482DEA" w14:textId="77777777" w:rsidTr="00A016B4">
        <w:trPr>
          <w:tblCellSpacing w:w="20" w:type="dxa"/>
        </w:trPr>
        <w:tc>
          <w:tcPr>
            <w:tcW w:w="508" w:type="dxa"/>
          </w:tcPr>
          <w:p w14:paraId="1DA5B56B" w14:textId="77777777" w:rsidR="00250AC8" w:rsidRPr="00EC250C" w:rsidRDefault="00250AC8" w:rsidP="006C70B7">
            <w:pPr>
              <w:pStyle w:val="Tabela"/>
              <w:numPr>
                <w:ilvl w:val="0"/>
                <w:numId w:val="74"/>
              </w:numPr>
              <w:ind w:left="0" w:firstLine="0"/>
              <w:jc w:val="both"/>
            </w:pPr>
          </w:p>
        </w:tc>
        <w:tc>
          <w:tcPr>
            <w:tcW w:w="7481" w:type="dxa"/>
          </w:tcPr>
          <w:p w14:paraId="792D93E6" w14:textId="0704991D"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 ze studentami i studentkami Akademii Pedagogiki Specjalnej</w:t>
            </w:r>
            <w:r w:rsidR="00992FD0" w:rsidRPr="00EC250C">
              <w:rPr>
                <w:sz w:val="18"/>
                <w:szCs w:val="20"/>
              </w:rPr>
              <w:t xml:space="preserve"> w </w:t>
            </w:r>
            <w:r w:rsidRPr="00EC250C">
              <w:rPr>
                <w:sz w:val="18"/>
                <w:szCs w:val="20"/>
              </w:rPr>
              <w:t>ramach „16 dni przeciw przemocy wobec kobiet”. Warszawa.</w:t>
            </w:r>
          </w:p>
        </w:tc>
        <w:tc>
          <w:tcPr>
            <w:tcW w:w="1687" w:type="dxa"/>
          </w:tcPr>
          <w:p w14:paraId="648FCA13" w14:textId="77777777" w:rsidR="00250AC8" w:rsidRPr="00EC250C" w:rsidRDefault="00250AC8" w:rsidP="00902FC6">
            <w:pPr>
              <w:pStyle w:val="Tabela"/>
              <w:rPr>
                <w:sz w:val="18"/>
                <w:szCs w:val="20"/>
              </w:rPr>
            </w:pPr>
            <w:r w:rsidRPr="00EC250C">
              <w:rPr>
                <w:sz w:val="18"/>
                <w:szCs w:val="20"/>
              </w:rPr>
              <w:t>26.11.2018</w:t>
            </w:r>
            <w:r w:rsidR="00C91F6E" w:rsidRPr="00EC250C">
              <w:rPr>
                <w:sz w:val="18"/>
                <w:szCs w:val="20"/>
              </w:rPr>
              <w:t> r.</w:t>
            </w:r>
          </w:p>
        </w:tc>
      </w:tr>
      <w:tr w:rsidR="00250AC8" w:rsidRPr="00EC250C" w14:paraId="1CED2F95" w14:textId="77777777" w:rsidTr="00A016B4">
        <w:trPr>
          <w:tblCellSpacing w:w="20" w:type="dxa"/>
        </w:trPr>
        <w:tc>
          <w:tcPr>
            <w:tcW w:w="508" w:type="dxa"/>
          </w:tcPr>
          <w:p w14:paraId="1B16633F" w14:textId="77777777" w:rsidR="00250AC8" w:rsidRPr="00EC250C" w:rsidRDefault="00250AC8" w:rsidP="006C70B7">
            <w:pPr>
              <w:pStyle w:val="Tabela"/>
              <w:numPr>
                <w:ilvl w:val="0"/>
                <w:numId w:val="74"/>
              </w:numPr>
              <w:ind w:left="0" w:firstLine="0"/>
              <w:jc w:val="both"/>
            </w:pPr>
          </w:p>
        </w:tc>
        <w:tc>
          <w:tcPr>
            <w:tcW w:w="7481" w:type="dxa"/>
          </w:tcPr>
          <w:p w14:paraId="44EA1777" w14:textId="5672A641"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 ze studentami i studentkami Szkoły Głównej Handlowej</w:t>
            </w:r>
            <w:r w:rsidR="00992FD0" w:rsidRPr="00EC250C">
              <w:rPr>
                <w:sz w:val="18"/>
                <w:szCs w:val="20"/>
              </w:rPr>
              <w:t xml:space="preserve"> w </w:t>
            </w:r>
            <w:r w:rsidRPr="00EC250C">
              <w:rPr>
                <w:sz w:val="18"/>
                <w:szCs w:val="20"/>
              </w:rPr>
              <w:t>Warszawie</w:t>
            </w:r>
            <w:r w:rsidR="00992FD0" w:rsidRPr="00EC250C">
              <w:rPr>
                <w:sz w:val="18"/>
                <w:szCs w:val="20"/>
              </w:rPr>
              <w:t xml:space="preserve"> w </w:t>
            </w:r>
            <w:r w:rsidRPr="00EC250C">
              <w:rPr>
                <w:sz w:val="18"/>
                <w:szCs w:val="20"/>
              </w:rPr>
              <w:t>ramach „16 dni przeciw przemocy wobec kobiet”. Warszawa.</w:t>
            </w:r>
          </w:p>
        </w:tc>
        <w:tc>
          <w:tcPr>
            <w:tcW w:w="1687" w:type="dxa"/>
          </w:tcPr>
          <w:p w14:paraId="6393172E" w14:textId="77777777" w:rsidR="00250AC8" w:rsidRPr="00EC250C" w:rsidRDefault="00250AC8" w:rsidP="00902FC6">
            <w:pPr>
              <w:pStyle w:val="Tabela"/>
              <w:rPr>
                <w:sz w:val="18"/>
                <w:szCs w:val="20"/>
              </w:rPr>
            </w:pPr>
            <w:r w:rsidRPr="00EC250C">
              <w:rPr>
                <w:sz w:val="18"/>
                <w:szCs w:val="20"/>
              </w:rPr>
              <w:t>28.11.2018</w:t>
            </w:r>
            <w:r w:rsidR="00C91F6E" w:rsidRPr="00EC250C">
              <w:rPr>
                <w:sz w:val="18"/>
                <w:szCs w:val="20"/>
              </w:rPr>
              <w:t> r.</w:t>
            </w:r>
          </w:p>
        </w:tc>
      </w:tr>
      <w:tr w:rsidR="00250AC8" w:rsidRPr="00EC250C" w14:paraId="70053C4B" w14:textId="77777777" w:rsidTr="00A016B4">
        <w:trPr>
          <w:tblCellSpacing w:w="20" w:type="dxa"/>
        </w:trPr>
        <w:tc>
          <w:tcPr>
            <w:tcW w:w="508" w:type="dxa"/>
          </w:tcPr>
          <w:p w14:paraId="524721DF" w14:textId="77777777" w:rsidR="00250AC8" w:rsidRPr="00EC250C" w:rsidRDefault="00250AC8" w:rsidP="006C70B7">
            <w:pPr>
              <w:pStyle w:val="Tabela"/>
              <w:numPr>
                <w:ilvl w:val="0"/>
                <w:numId w:val="74"/>
              </w:numPr>
              <w:ind w:left="0" w:firstLine="0"/>
              <w:jc w:val="both"/>
            </w:pPr>
          </w:p>
        </w:tc>
        <w:tc>
          <w:tcPr>
            <w:tcW w:w="7481" w:type="dxa"/>
          </w:tcPr>
          <w:p w14:paraId="0DEB5170" w14:textId="0760F8B6"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pracodawcami i pracodawczyniami zorganizowane przez Forum Odpowiedzialnego Biznesu</w:t>
            </w:r>
            <w:r w:rsidR="00992FD0" w:rsidRPr="00EC250C">
              <w:rPr>
                <w:sz w:val="18"/>
                <w:szCs w:val="20"/>
              </w:rPr>
              <w:t xml:space="preserve"> w </w:t>
            </w:r>
            <w:r w:rsidRPr="00EC250C">
              <w:rPr>
                <w:sz w:val="18"/>
                <w:szCs w:val="20"/>
              </w:rPr>
              <w:t>ramach „16 dni przeciw przemocy wobec kobiet”. Warszawa.</w:t>
            </w:r>
          </w:p>
        </w:tc>
        <w:tc>
          <w:tcPr>
            <w:tcW w:w="1687" w:type="dxa"/>
          </w:tcPr>
          <w:p w14:paraId="179FFEF8" w14:textId="77777777" w:rsidR="00250AC8" w:rsidRPr="00EC250C" w:rsidRDefault="00250AC8" w:rsidP="00902FC6">
            <w:pPr>
              <w:pStyle w:val="Tabela"/>
              <w:rPr>
                <w:sz w:val="18"/>
                <w:szCs w:val="20"/>
              </w:rPr>
            </w:pPr>
            <w:r w:rsidRPr="00EC250C">
              <w:rPr>
                <w:sz w:val="18"/>
                <w:szCs w:val="20"/>
              </w:rPr>
              <w:t>29.11.2018</w:t>
            </w:r>
            <w:r w:rsidR="00C91F6E" w:rsidRPr="00EC250C">
              <w:rPr>
                <w:sz w:val="18"/>
                <w:szCs w:val="20"/>
              </w:rPr>
              <w:t> r.</w:t>
            </w:r>
          </w:p>
        </w:tc>
      </w:tr>
      <w:tr w:rsidR="00250AC8" w:rsidRPr="00EC250C" w14:paraId="1C6BB6AA" w14:textId="77777777" w:rsidTr="00A016B4">
        <w:trPr>
          <w:tblCellSpacing w:w="20" w:type="dxa"/>
        </w:trPr>
        <w:tc>
          <w:tcPr>
            <w:tcW w:w="508" w:type="dxa"/>
          </w:tcPr>
          <w:p w14:paraId="13E6FF09" w14:textId="77777777" w:rsidR="00250AC8" w:rsidRPr="00EC250C" w:rsidRDefault="00250AC8" w:rsidP="006C70B7">
            <w:pPr>
              <w:pStyle w:val="Tabela"/>
              <w:numPr>
                <w:ilvl w:val="0"/>
                <w:numId w:val="74"/>
              </w:numPr>
              <w:ind w:left="0" w:firstLine="0"/>
              <w:jc w:val="both"/>
            </w:pPr>
          </w:p>
        </w:tc>
        <w:tc>
          <w:tcPr>
            <w:tcW w:w="7481" w:type="dxa"/>
          </w:tcPr>
          <w:p w14:paraId="1FD2C46E" w14:textId="77777777" w:rsidR="00250AC8" w:rsidRPr="00EC250C" w:rsidRDefault="00250AC8" w:rsidP="00902FC6">
            <w:pPr>
              <w:pStyle w:val="Tabela"/>
              <w:rPr>
                <w:sz w:val="18"/>
                <w:szCs w:val="20"/>
              </w:rPr>
            </w:pPr>
            <w:r w:rsidRPr="00EC250C">
              <w:rPr>
                <w:sz w:val="18"/>
                <w:szCs w:val="20"/>
              </w:rPr>
              <w:t>Spotkanie</w:t>
            </w:r>
            <w:r w:rsidR="00992FD0" w:rsidRPr="00EC250C">
              <w:rPr>
                <w:sz w:val="18"/>
                <w:szCs w:val="20"/>
              </w:rPr>
              <w:t xml:space="preserve"> z </w:t>
            </w:r>
            <w:r w:rsidRPr="00EC250C">
              <w:rPr>
                <w:sz w:val="18"/>
                <w:szCs w:val="20"/>
              </w:rPr>
              <w:t>licealistami nt. praw człowieka. Biuro RPO. Warszawa.</w:t>
            </w:r>
          </w:p>
        </w:tc>
        <w:tc>
          <w:tcPr>
            <w:tcW w:w="1687" w:type="dxa"/>
          </w:tcPr>
          <w:p w14:paraId="73C6605D" w14:textId="77777777" w:rsidR="00250AC8" w:rsidRPr="00EC250C" w:rsidRDefault="00250AC8" w:rsidP="00902FC6">
            <w:pPr>
              <w:pStyle w:val="Tabela"/>
              <w:rPr>
                <w:sz w:val="18"/>
                <w:szCs w:val="20"/>
              </w:rPr>
            </w:pPr>
            <w:r w:rsidRPr="00EC250C">
              <w:rPr>
                <w:sz w:val="18"/>
                <w:szCs w:val="20"/>
              </w:rPr>
              <w:t>29.11.2018</w:t>
            </w:r>
            <w:r w:rsidR="00C91F6E" w:rsidRPr="00EC250C">
              <w:rPr>
                <w:sz w:val="18"/>
                <w:szCs w:val="20"/>
              </w:rPr>
              <w:t> r.</w:t>
            </w:r>
          </w:p>
        </w:tc>
      </w:tr>
      <w:tr w:rsidR="00250AC8" w:rsidRPr="00EC250C" w14:paraId="2E17DCBB" w14:textId="77777777" w:rsidTr="00A016B4">
        <w:trPr>
          <w:tblCellSpacing w:w="20" w:type="dxa"/>
        </w:trPr>
        <w:tc>
          <w:tcPr>
            <w:tcW w:w="508" w:type="dxa"/>
          </w:tcPr>
          <w:p w14:paraId="6B4B5A5E" w14:textId="77777777" w:rsidR="00250AC8" w:rsidRPr="00EC250C" w:rsidRDefault="00250AC8" w:rsidP="006C70B7">
            <w:pPr>
              <w:pStyle w:val="Tabela"/>
              <w:numPr>
                <w:ilvl w:val="0"/>
                <w:numId w:val="74"/>
              </w:numPr>
              <w:ind w:left="0" w:firstLine="0"/>
              <w:jc w:val="both"/>
            </w:pPr>
          </w:p>
        </w:tc>
        <w:tc>
          <w:tcPr>
            <w:tcW w:w="7481" w:type="dxa"/>
          </w:tcPr>
          <w:p w14:paraId="44D6B458"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Krajową Radą Komorniczą</w:t>
            </w:r>
            <w:r w:rsidR="00992FD0" w:rsidRPr="00EC250C">
              <w:rPr>
                <w:sz w:val="18"/>
                <w:szCs w:val="20"/>
              </w:rPr>
              <w:t xml:space="preserve"> w </w:t>
            </w:r>
            <w:r w:rsidRPr="00EC250C">
              <w:rPr>
                <w:sz w:val="18"/>
                <w:szCs w:val="20"/>
              </w:rPr>
              <w:t>ramach „16 dni przeciw przemocy wobec kobiet”. Warszawa.</w:t>
            </w:r>
          </w:p>
        </w:tc>
        <w:tc>
          <w:tcPr>
            <w:tcW w:w="1687" w:type="dxa"/>
          </w:tcPr>
          <w:p w14:paraId="7BD178E5" w14:textId="77777777" w:rsidR="00250AC8" w:rsidRPr="00EC250C" w:rsidRDefault="00250AC8" w:rsidP="00902FC6">
            <w:pPr>
              <w:pStyle w:val="Tabela"/>
              <w:rPr>
                <w:sz w:val="18"/>
                <w:szCs w:val="20"/>
              </w:rPr>
            </w:pPr>
            <w:r w:rsidRPr="00EC250C">
              <w:rPr>
                <w:sz w:val="18"/>
                <w:szCs w:val="20"/>
              </w:rPr>
              <w:t>30.11.2018</w:t>
            </w:r>
            <w:r w:rsidR="00C91F6E" w:rsidRPr="00EC250C">
              <w:rPr>
                <w:sz w:val="18"/>
                <w:szCs w:val="20"/>
              </w:rPr>
              <w:t> r.</w:t>
            </w:r>
          </w:p>
        </w:tc>
      </w:tr>
      <w:tr w:rsidR="00250AC8" w:rsidRPr="00EC250C" w14:paraId="5E4BF046" w14:textId="77777777" w:rsidTr="00A016B4">
        <w:trPr>
          <w:tblCellSpacing w:w="20" w:type="dxa"/>
        </w:trPr>
        <w:tc>
          <w:tcPr>
            <w:tcW w:w="508" w:type="dxa"/>
          </w:tcPr>
          <w:p w14:paraId="647BCF5E" w14:textId="77777777" w:rsidR="00250AC8" w:rsidRPr="00EC250C" w:rsidRDefault="00250AC8" w:rsidP="006C70B7">
            <w:pPr>
              <w:pStyle w:val="Tabela"/>
              <w:numPr>
                <w:ilvl w:val="0"/>
                <w:numId w:val="74"/>
              </w:numPr>
              <w:ind w:left="0" w:firstLine="0"/>
              <w:jc w:val="both"/>
            </w:pPr>
          </w:p>
        </w:tc>
        <w:tc>
          <w:tcPr>
            <w:tcW w:w="7481" w:type="dxa"/>
          </w:tcPr>
          <w:p w14:paraId="7CCF3664"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Okręgową Radą Adwokacką</w:t>
            </w:r>
            <w:r w:rsidR="00992FD0" w:rsidRPr="00EC250C">
              <w:rPr>
                <w:sz w:val="18"/>
                <w:szCs w:val="20"/>
              </w:rPr>
              <w:t xml:space="preserve"> w </w:t>
            </w:r>
            <w:r w:rsidRPr="00EC250C">
              <w:rPr>
                <w:sz w:val="18"/>
                <w:szCs w:val="20"/>
              </w:rPr>
              <w:t>Warszawie</w:t>
            </w:r>
            <w:r w:rsidR="00992FD0" w:rsidRPr="00EC250C">
              <w:rPr>
                <w:sz w:val="18"/>
                <w:szCs w:val="20"/>
              </w:rPr>
              <w:t xml:space="preserve"> w </w:t>
            </w:r>
            <w:r w:rsidRPr="00EC250C">
              <w:rPr>
                <w:sz w:val="18"/>
                <w:szCs w:val="20"/>
              </w:rPr>
              <w:t>ramach „16 dni przeciw przemocy wobec kobiet”. Warszawa.</w:t>
            </w:r>
          </w:p>
        </w:tc>
        <w:tc>
          <w:tcPr>
            <w:tcW w:w="1687" w:type="dxa"/>
          </w:tcPr>
          <w:p w14:paraId="34669416" w14:textId="77777777" w:rsidR="00250AC8" w:rsidRPr="00EC250C" w:rsidRDefault="00250AC8" w:rsidP="00902FC6">
            <w:pPr>
              <w:pStyle w:val="Tabela"/>
              <w:rPr>
                <w:sz w:val="18"/>
                <w:szCs w:val="20"/>
              </w:rPr>
            </w:pPr>
            <w:r w:rsidRPr="00EC250C">
              <w:rPr>
                <w:sz w:val="18"/>
                <w:szCs w:val="20"/>
              </w:rPr>
              <w:t>30.11.2018</w:t>
            </w:r>
            <w:r w:rsidR="00C91F6E" w:rsidRPr="00EC250C">
              <w:rPr>
                <w:sz w:val="18"/>
                <w:szCs w:val="20"/>
              </w:rPr>
              <w:t> r.</w:t>
            </w:r>
          </w:p>
        </w:tc>
      </w:tr>
      <w:tr w:rsidR="00250AC8" w:rsidRPr="00EC250C" w14:paraId="7E8B4253" w14:textId="77777777" w:rsidTr="00A016B4">
        <w:trPr>
          <w:tblCellSpacing w:w="20" w:type="dxa"/>
        </w:trPr>
        <w:tc>
          <w:tcPr>
            <w:tcW w:w="508" w:type="dxa"/>
          </w:tcPr>
          <w:p w14:paraId="224D96EE" w14:textId="77777777" w:rsidR="00250AC8" w:rsidRPr="00EC250C" w:rsidRDefault="00250AC8" w:rsidP="006C70B7">
            <w:pPr>
              <w:pStyle w:val="Tabela"/>
              <w:numPr>
                <w:ilvl w:val="0"/>
                <w:numId w:val="74"/>
              </w:numPr>
              <w:ind w:left="0" w:firstLine="0"/>
              <w:jc w:val="both"/>
            </w:pPr>
          </w:p>
        </w:tc>
        <w:tc>
          <w:tcPr>
            <w:tcW w:w="7481" w:type="dxa"/>
          </w:tcPr>
          <w:p w14:paraId="15A3F8B6"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self-adwokatami</w:t>
            </w:r>
            <w:r w:rsidR="00992FD0" w:rsidRPr="00EC250C">
              <w:rPr>
                <w:sz w:val="18"/>
                <w:szCs w:val="20"/>
              </w:rPr>
              <w:t xml:space="preserve"> z </w:t>
            </w:r>
            <w:r w:rsidRPr="00EC250C">
              <w:rPr>
                <w:sz w:val="18"/>
                <w:szCs w:val="20"/>
              </w:rPr>
              <w:t>kół Polskiego Stowarzyszenia na rzecz Osób</w:t>
            </w:r>
            <w:r w:rsidR="00992FD0" w:rsidRPr="00EC250C">
              <w:rPr>
                <w:sz w:val="18"/>
                <w:szCs w:val="20"/>
              </w:rPr>
              <w:t xml:space="preserve"> z </w:t>
            </w:r>
            <w:r w:rsidRPr="00EC250C">
              <w:rPr>
                <w:sz w:val="18"/>
                <w:szCs w:val="20"/>
              </w:rPr>
              <w:t>Niepełnosprawnością Intelektualną</w:t>
            </w:r>
            <w:r w:rsidR="00992FD0" w:rsidRPr="00EC250C">
              <w:rPr>
                <w:sz w:val="18"/>
                <w:szCs w:val="20"/>
              </w:rPr>
              <w:t xml:space="preserve"> w </w:t>
            </w:r>
            <w:r w:rsidRPr="00EC250C">
              <w:rPr>
                <w:sz w:val="18"/>
                <w:szCs w:val="20"/>
              </w:rPr>
              <w:t>Jarosławiu, Ostródzie</w:t>
            </w:r>
            <w:r w:rsidR="00992FD0" w:rsidRPr="00EC250C">
              <w:rPr>
                <w:sz w:val="18"/>
                <w:szCs w:val="20"/>
              </w:rPr>
              <w:t xml:space="preserve"> i </w:t>
            </w:r>
            <w:r w:rsidRPr="00EC250C">
              <w:rPr>
                <w:sz w:val="18"/>
                <w:szCs w:val="20"/>
              </w:rPr>
              <w:t>Warszawie. Biuro RPO. Warszawa.</w:t>
            </w:r>
          </w:p>
        </w:tc>
        <w:tc>
          <w:tcPr>
            <w:tcW w:w="1687" w:type="dxa"/>
          </w:tcPr>
          <w:p w14:paraId="4E892633" w14:textId="77777777" w:rsidR="00250AC8" w:rsidRPr="00EC250C" w:rsidRDefault="00250AC8" w:rsidP="00902FC6">
            <w:pPr>
              <w:pStyle w:val="Tabela"/>
              <w:rPr>
                <w:sz w:val="18"/>
                <w:szCs w:val="20"/>
              </w:rPr>
            </w:pPr>
            <w:r w:rsidRPr="00EC250C">
              <w:rPr>
                <w:sz w:val="18"/>
                <w:szCs w:val="20"/>
              </w:rPr>
              <w:t>03.12.2018</w:t>
            </w:r>
            <w:r w:rsidR="00C91F6E" w:rsidRPr="00EC250C">
              <w:rPr>
                <w:sz w:val="18"/>
                <w:szCs w:val="20"/>
              </w:rPr>
              <w:t> r.</w:t>
            </w:r>
          </w:p>
        </w:tc>
      </w:tr>
      <w:tr w:rsidR="00250AC8" w:rsidRPr="00EC250C" w14:paraId="0E56BDFF" w14:textId="77777777" w:rsidTr="00A016B4">
        <w:trPr>
          <w:tblCellSpacing w:w="20" w:type="dxa"/>
        </w:trPr>
        <w:tc>
          <w:tcPr>
            <w:tcW w:w="508" w:type="dxa"/>
          </w:tcPr>
          <w:p w14:paraId="3F7C5526" w14:textId="77777777" w:rsidR="00250AC8" w:rsidRPr="00EC250C" w:rsidRDefault="00250AC8" w:rsidP="006C70B7">
            <w:pPr>
              <w:pStyle w:val="Tabela"/>
              <w:numPr>
                <w:ilvl w:val="0"/>
                <w:numId w:val="74"/>
              </w:numPr>
              <w:ind w:left="0" w:firstLine="0"/>
              <w:jc w:val="both"/>
            </w:pPr>
          </w:p>
        </w:tc>
        <w:tc>
          <w:tcPr>
            <w:tcW w:w="7481" w:type="dxa"/>
          </w:tcPr>
          <w:p w14:paraId="1FDB7B55" w14:textId="2E322394"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 przedstawicielami koalicji „Dość Trucia”</w:t>
            </w:r>
            <w:r w:rsidR="00992FD0" w:rsidRPr="00EC250C">
              <w:rPr>
                <w:sz w:val="18"/>
                <w:szCs w:val="20"/>
              </w:rPr>
              <w:t xml:space="preserve"> w </w:t>
            </w:r>
            <w:r w:rsidRPr="00EC250C">
              <w:rPr>
                <w:sz w:val="18"/>
                <w:szCs w:val="20"/>
              </w:rPr>
              <w:t>ramach imprezy towarzyszącej Szczytowi Klimatycznemu</w:t>
            </w:r>
            <w:r w:rsidR="00992FD0" w:rsidRPr="00EC250C">
              <w:rPr>
                <w:sz w:val="18"/>
                <w:szCs w:val="20"/>
              </w:rPr>
              <w:t xml:space="preserve"> w </w:t>
            </w:r>
            <w:r w:rsidRPr="00EC250C">
              <w:rPr>
                <w:sz w:val="18"/>
                <w:szCs w:val="20"/>
              </w:rPr>
              <w:t>Katowicach. Katowice.</w:t>
            </w:r>
          </w:p>
        </w:tc>
        <w:tc>
          <w:tcPr>
            <w:tcW w:w="1687" w:type="dxa"/>
          </w:tcPr>
          <w:p w14:paraId="42172E44" w14:textId="77777777" w:rsidR="00250AC8" w:rsidRPr="00EC250C" w:rsidRDefault="00250AC8" w:rsidP="00902FC6">
            <w:pPr>
              <w:pStyle w:val="Tabela"/>
              <w:rPr>
                <w:sz w:val="18"/>
                <w:szCs w:val="20"/>
              </w:rPr>
            </w:pPr>
            <w:r w:rsidRPr="00EC250C">
              <w:rPr>
                <w:sz w:val="18"/>
                <w:szCs w:val="20"/>
              </w:rPr>
              <w:t>07.12.2018</w:t>
            </w:r>
            <w:r w:rsidR="00C91F6E" w:rsidRPr="00EC250C">
              <w:rPr>
                <w:sz w:val="18"/>
                <w:szCs w:val="20"/>
              </w:rPr>
              <w:t> r.</w:t>
            </w:r>
          </w:p>
        </w:tc>
      </w:tr>
      <w:tr w:rsidR="00250AC8" w:rsidRPr="00EC250C" w14:paraId="3A22D2A2" w14:textId="77777777" w:rsidTr="00A016B4">
        <w:trPr>
          <w:tblCellSpacing w:w="20" w:type="dxa"/>
        </w:trPr>
        <w:tc>
          <w:tcPr>
            <w:tcW w:w="508" w:type="dxa"/>
          </w:tcPr>
          <w:p w14:paraId="30C3AA91" w14:textId="77777777" w:rsidR="00250AC8" w:rsidRPr="00EC250C" w:rsidRDefault="00250AC8" w:rsidP="006C70B7">
            <w:pPr>
              <w:pStyle w:val="Tabela"/>
              <w:numPr>
                <w:ilvl w:val="0"/>
                <w:numId w:val="74"/>
              </w:numPr>
              <w:ind w:left="0" w:firstLine="0"/>
              <w:jc w:val="both"/>
            </w:pPr>
          </w:p>
        </w:tc>
        <w:tc>
          <w:tcPr>
            <w:tcW w:w="7481" w:type="dxa"/>
          </w:tcPr>
          <w:p w14:paraId="5D7348BA" w14:textId="548BA6DA"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 ze studentami i studentkami Uniwersytetu SWPS</w:t>
            </w:r>
            <w:r w:rsidR="00992FD0" w:rsidRPr="00EC250C">
              <w:rPr>
                <w:sz w:val="18"/>
                <w:szCs w:val="20"/>
              </w:rPr>
              <w:t xml:space="preserve"> w </w:t>
            </w:r>
            <w:r w:rsidRPr="00EC250C">
              <w:rPr>
                <w:sz w:val="18"/>
                <w:szCs w:val="20"/>
              </w:rPr>
              <w:t>Warszawie</w:t>
            </w:r>
            <w:r w:rsidR="00992FD0" w:rsidRPr="00EC250C">
              <w:rPr>
                <w:sz w:val="18"/>
                <w:szCs w:val="20"/>
              </w:rPr>
              <w:t xml:space="preserve"> w </w:t>
            </w:r>
            <w:r w:rsidRPr="00EC250C">
              <w:rPr>
                <w:sz w:val="18"/>
                <w:szCs w:val="20"/>
              </w:rPr>
              <w:t>ramach „16 dni przeciw przemocy wobec kobiet”. Warszawa.</w:t>
            </w:r>
          </w:p>
        </w:tc>
        <w:tc>
          <w:tcPr>
            <w:tcW w:w="1687" w:type="dxa"/>
          </w:tcPr>
          <w:p w14:paraId="2AB9EF6C" w14:textId="77777777" w:rsidR="00250AC8" w:rsidRPr="00EC250C" w:rsidRDefault="00250AC8" w:rsidP="00902FC6">
            <w:pPr>
              <w:pStyle w:val="Tabela"/>
              <w:rPr>
                <w:sz w:val="18"/>
                <w:szCs w:val="20"/>
              </w:rPr>
            </w:pPr>
            <w:r w:rsidRPr="00EC250C">
              <w:rPr>
                <w:sz w:val="18"/>
                <w:szCs w:val="20"/>
              </w:rPr>
              <w:t>10.12.2018</w:t>
            </w:r>
            <w:r w:rsidR="00C91F6E" w:rsidRPr="00EC250C">
              <w:rPr>
                <w:sz w:val="18"/>
                <w:szCs w:val="20"/>
              </w:rPr>
              <w:t> r.</w:t>
            </w:r>
          </w:p>
        </w:tc>
      </w:tr>
      <w:tr w:rsidR="00250AC8" w:rsidRPr="00EC250C" w14:paraId="2E0B9EB8" w14:textId="77777777" w:rsidTr="00A016B4">
        <w:trPr>
          <w:tblCellSpacing w:w="20" w:type="dxa"/>
        </w:trPr>
        <w:tc>
          <w:tcPr>
            <w:tcW w:w="508" w:type="dxa"/>
          </w:tcPr>
          <w:p w14:paraId="64F766DE" w14:textId="77777777" w:rsidR="00250AC8" w:rsidRPr="00EC250C" w:rsidRDefault="00250AC8" w:rsidP="006C70B7">
            <w:pPr>
              <w:pStyle w:val="Tabela"/>
              <w:numPr>
                <w:ilvl w:val="0"/>
                <w:numId w:val="74"/>
              </w:numPr>
              <w:ind w:left="0" w:firstLine="0"/>
              <w:jc w:val="both"/>
            </w:pPr>
          </w:p>
        </w:tc>
        <w:tc>
          <w:tcPr>
            <w:tcW w:w="7481" w:type="dxa"/>
          </w:tcPr>
          <w:p w14:paraId="02324093"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warszawskimi licealistami oraz czeczeńskimi dziećmi</w:t>
            </w:r>
            <w:r w:rsidR="00992FD0" w:rsidRPr="00EC250C">
              <w:rPr>
                <w:sz w:val="18"/>
                <w:szCs w:val="20"/>
              </w:rPr>
              <w:t xml:space="preserve"> i </w:t>
            </w:r>
            <w:r w:rsidRPr="00EC250C">
              <w:rPr>
                <w:sz w:val="18"/>
                <w:szCs w:val="20"/>
              </w:rPr>
              <w:t>ich matkami. Warszawa.</w:t>
            </w:r>
          </w:p>
        </w:tc>
        <w:tc>
          <w:tcPr>
            <w:tcW w:w="1687" w:type="dxa"/>
          </w:tcPr>
          <w:p w14:paraId="5CE3E66C" w14:textId="77777777" w:rsidR="00250AC8" w:rsidRPr="00EC250C" w:rsidRDefault="00250AC8" w:rsidP="00902FC6">
            <w:pPr>
              <w:pStyle w:val="Tabela"/>
              <w:rPr>
                <w:sz w:val="18"/>
                <w:szCs w:val="20"/>
              </w:rPr>
            </w:pPr>
            <w:r w:rsidRPr="00EC250C">
              <w:rPr>
                <w:sz w:val="18"/>
                <w:szCs w:val="20"/>
              </w:rPr>
              <w:t>21.12.2018</w:t>
            </w:r>
            <w:r w:rsidR="00C91F6E" w:rsidRPr="00EC250C">
              <w:rPr>
                <w:sz w:val="18"/>
                <w:szCs w:val="20"/>
              </w:rPr>
              <w:t> r.</w:t>
            </w:r>
          </w:p>
        </w:tc>
      </w:tr>
    </w:tbl>
    <w:p w14:paraId="0ED4CF64" w14:textId="77777777" w:rsidR="00250AC8" w:rsidRPr="00EC250C" w:rsidRDefault="00250AC8" w:rsidP="00EC250C">
      <w:pPr>
        <w:pStyle w:val="Nagwek5"/>
      </w:pPr>
      <w:bookmarkStart w:id="887" w:name="_Toc3898985"/>
      <w:bookmarkStart w:id="888" w:name="_Toc6258106"/>
      <w:r w:rsidRPr="00EC250C">
        <w:t>Ważniejsze konferencje</w:t>
      </w:r>
      <w:r w:rsidR="00992FD0" w:rsidRPr="00EC250C">
        <w:t xml:space="preserve"> i </w:t>
      </w:r>
      <w:r w:rsidRPr="00EC250C">
        <w:t>seminaria</w:t>
      </w:r>
      <w:r w:rsidR="00992FD0" w:rsidRPr="00EC250C">
        <w:t xml:space="preserve"> z </w:t>
      </w:r>
      <w:r w:rsidRPr="00EC250C">
        <w:t xml:space="preserve">udziałem </w:t>
      </w:r>
      <w:r w:rsidR="00B04745" w:rsidRPr="00EC250C">
        <w:t>r</w:t>
      </w:r>
      <w:r w:rsidRPr="00EC250C">
        <w:t xml:space="preserve">zecznika </w:t>
      </w:r>
      <w:r w:rsidR="00B04745" w:rsidRPr="00EC250C">
        <w:t>p</w:t>
      </w:r>
      <w:r w:rsidRPr="00EC250C">
        <w:t xml:space="preserve">raw </w:t>
      </w:r>
      <w:r w:rsidR="00B04745" w:rsidRPr="00EC250C">
        <w:t>o</w:t>
      </w:r>
      <w:r w:rsidRPr="00EC250C">
        <w:t xml:space="preserve">bywatelskich, </w:t>
      </w:r>
      <w:r w:rsidR="00C60059" w:rsidRPr="00EC250C">
        <w:t>z</w:t>
      </w:r>
      <w:r w:rsidRPr="00EC250C">
        <w:t xml:space="preserve">astępczyń RPO, </w:t>
      </w:r>
      <w:r w:rsidR="003C397F" w:rsidRPr="00EC250C">
        <w:t>zastępcy</w:t>
      </w:r>
      <w:r w:rsidRPr="00EC250C">
        <w:t xml:space="preserve"> RPO oraz pracowników Biura</w:t>
      </w:r>
      <w:bookmarkEnd w:id="887"/>
      <w:bookmarkEnd w:id="888"/>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718"/>
        <w:gridCol w:w="7371"/>
        <w:gridCol w:w="1747"/>
      </w:tblGrid>
      <w:tr w:rsidR="00250AC8" w:rsidRPr="00EC250C" w14:paraId="4E93B455" w14:textId="77777777" w:rsidTr="00FC47F2">
        <w:trPr>
          <w:tblCellSpacing w:w="20" w:type="dxa"/>
        </w:trPr>
        <w:tc>
          <w:tcPr>
            <w:tcW w:w="658" w:type="dxa"/>
          </w:tcPr>
          <w:p w14:paraId="1524DAF0" w14:textId="77777777" w:rsidR="00250AC8" w:rsidRPr="00EC250C" w:rsidRDefault="00250AC8" w:rsidP="006C70B7">
            <w:pPr>
              <w:pStyle w:val="Tabela"/>
              <w:numPr>
                <w:ilvl w:val="0"/>
                <w:numId w:val="80"/>
              </w:numPr>
              <w:ind w:left="0" w:firstLine="0"/>
              <w:jc w:val="both"/>
            </w:pPr>
          </w:p>
        </w:tc>
        <w:tc>
          <w:tcPr>
            <w:tcW w:w="7331" w:type="dxa"/>
          </w:tcPr>
          <w:p w14:paraId="41EFF81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uroczystym ślubowaniu aplikantów adwokackich. Warszawa.</w:t>
            </w:r>
          </w:p>
        </w:tc>
        <w:tc>
          <w:tcPr>
            <w:tcW w:w="1687" w:type="dxa"/>
          </w:tcPr>
          <w:p w14:paraId="2E0D4819" w14:textId="77777777" w:rsidR="00250AC8" w:rsidRPr="00EC250C" w:rsidRDefault="00250AC8" w:rsidP="00902FC6">
            <w:pPr>
              <w:pStyle w:val="Tabela"/>
              <w:rPr>
                <w:sz w:val="18"/>
                <w:szCs w:val="20"/>
              </w:rPr>
            </w:pPr>
            <w:r w:rsidRPr="00EC250C">
              <w:rPr>
                <w:sz w:val="18"/>
                <w:szCs w:val="20"/>
              </w:rPr>
              <w:t>04.01.2018</w:t>
            </w:r>
            <w:r w:rsidR="00C91F6E" w:rsidRPr="00EC250C">
              <w:rPr>
                <w:sz w:val="18"/>
                <w:szCs w:val="20"/>
              </w:rPr>
              <w:t> r.</w:t>
            </w:r>
          </w:p>
        </w:tc>
      </w:tr>
      <w:tr w:rsidR="00250AC8" w:rsidRPr="00EC250C" w14:paraId="13866D62" w14:textId="77777777" w:rsidTr="00FC47F2">
        <w:trPr>
          <w:tblCellSpacing w:w="20" w:type="dxa"/>
        </w:trPr>
        <w:tc>
          <w:tcPr>
            <w:tcW w:w="658" w:type="dxa"/>
          </w:tcPr>
          <w:p w14:paraId="137A0523" w14:textId="77777777" w:rsidR="00250AC8" w:rsidRPr="00EC250C" w:rsidRDefault="00250AC8" w:rsidP="006C70B7">
            <w:pPr>
              <w:pStyle w:val="Tabela"/>
              <w:numPr>
                <w:ilvl w:val="0"/>
                <w:numId w:val="80"/>
              </w:numPr>
              <w:ind w:left="0" w:firstLine="0"/>
              <w:jc w:val="both"/>
            </w:pPr>
          </w:p>
        </w:tc>
        <w:tc>
          <w:tcPr>
            <w:tcW w:w="7331" w:type="dxa"/>
          </w:tcPr>
          <w:p w14:paraId="4B23C48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debacie inaugurującej powstanie pierwszego</w:t>
            </w:r>
            <w:r w:rsidR="00992FD0" w:rsidRPr="00EC250C">
              <w:rPr>
                <w:sz w:val="18"/>
                <w:szCs w:val="20"/>
              </w:rPr>
              <w:t xml:space="preserve"> w </w:t>
            </w:r>
            <w:r w:rsidRPr="00EC250C">
              <w:rPr>
                <w:sz w:val="18"/>
                <w:szCs w:val="20"/>
              </w:rPr>
              <w:t>Polsce klubu Male Champions of Change, zorganizowanej przez Fundację „Sukces Pisany Szminką”. Warszawa.</w:t>
            </w:r>
          </w:p>
        </w:tc>
        <w:tc>
          <w:tcPr>
            <w:tcW w:w="1687" w:type="dxa"/>
          </w:tcPr>
          <w:p w14:paraId="3637BE25" w14:textId="77777777" w:rsidR="00250AC8" w:rsidRPr="00EC250C" w:rsidRDefault="00250AC8" w:rsidP="00902FC6">
            <w:pPr>
              <w:pStyle w:val="Tabela"/>
              <w:rPr>
                <w:sz w:val="18"/>
                <w:szCs w:val="20"/>
              </w:rPr>
            </w:pPr>
            <w:r w:rsidRPr="00EC250C">
              <w:rPr>
                <w:sz w:val="18"/>
                <w:szCs w:val="20"/>
              </w:rPr>
              <w:t>09.01.2018</w:t>
            </w:r>
            <w:r w:rsidR="00C91F6E" w:rsidRPr="00EC250C">
              <w:rPr>
                <w:sz w:val="18"/>
                <w:szCs w:val="20"/>
              </w:rPr>
              <w:t> r.</w:t>
            </w:r>
          </w:p>
        </w:tc>
      </w:tr>
      <w:tr w:rsidR="00250AC8" w:rsidRPr="00EC250C" w14:paraId="2CD36AD0" w14:textId="77777777" w:rsidTr="00FC47F2">
        <w:trPr>
          <w:tblCellSpacing w:w="20" w:type="dxa"/>
        </w:trPr>
        <w:tc>
          <w:tcPr>
            <w:tcW w:w="658" w:type="dxa"/>
          </w:tcPr>
          <w:p w14:paraId="271EF735" w14:textId="77777777" w:rsidR="00250AC8" w:rsidRPr="00EC250C" w:rsidRDefault="00250AC8" w:rsidP="006C70B7">
            <w:pPr>
              <w:pStyle w:val="Tabela"/>
              <w:numPr>
                <w:ilvl w:val="0"/>
                <w:numId w:val="80"/>
              </w:numPr>
              <w:ind w:left="0" w:firstLine="0"/>
              <w:jc w:val="both"/>
            </w:pPr>
          </w:p>
        </w:tc>
        <w:tc>
          <w:tcPr>
            <w:tcW w:w="7331" w:type="dxa"/>
          </w:tcPr>
          <w:p w14:paraId="69FE8557"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Gali rozdania nagród „Paszporty Polityki”. Warszawa.</w:t>
            </w:r>
          </w:p>
        </w:tc>
        <w:tc>
          <w:tcPr>
            <w:tcW w:w="1687" w:type="dxa"/>
          </w:tcPr>
          <w:p w14:paraId="644E59AF" w14:textId="77777777" w:rsidR="00250AC8" w:rsidRPr="00EC250C" w:rsidRDefault="00250AC8" w:rsidP="00902FC6">
            <w:pPr>
              <w:pStyle w:val="Tabela"/>
              <w:rPr>
                <w:sz w:val="18"/>
                <w:szCs w:val="20"/>
              </w:rPr>
            </w:pPr>
            <w:r w:rsidRPr="00EC250C">
              <w:rPr>
                <w:sz w:val="18"/>
                <w:szCs w:val="20"/>
              </w:rPr>
              <w:t>09.01.2018</w:t>
            </w:r>
            <w:r w:rsidR="00C91F6E" w:rsidRPr="00EC250C">
              <w:rPr>
                <w:sz w:val="18"/>
                <w:szCs w:val="20"/>
              </w:rPr>
              <w:t> r.</w:t>
            </w:r>
          </w:p>
        </w:tc>
      </w:tr>
      <w:tr w:rsidR="00250AC8" w:rsidRPr="00EC250C" w14:paraId="4E4A1F0B" w14:textId="77777777" w:rsidTr="00FC47F2">
        <w:trPr>
          <w:tblCellSpacing w:w="20" w:type="dxa"/>
        </w:trPr>
        <w:tc>
          <w:tcPr>
            <w:tcW w:w="658" w:type="dxa"/>
          </w:tcPr>
          <w:p w14:paraId="45B5780B" w14:textId="77777777" w:rsidR="00250AC8" w:rsidRPr="00EC250C" w:rsidRDefault="00250AC8" w:rsidP="006C70B7">
            <w:pPr>
              <w:pStyle w:val="Tabela"/>
              <w:numPr>
                <w:ilvl w:val="0"/>
                <w:numId w:val="80"/>
              </w:numPr>
              <w:ind w:left="0" w:firstLine="0"/>
              <w:jc w:val="both"/>
            </w:pPr>
          </w:p>
        </w:tc>
        <w:tc>
          <w:tcPr>
            <w:tcW w:w="7331" w:type="dxa"/>
          </w:tcPr>
          <w:p w14:paraId="5DCB069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konferencji</w:t>
            </w:r>
            <w:r w:rsidR="00992FD0" w:rsidRPr="00EC250C">
              <w:rPr>
                <w:sz w:val="18"/>
                <w:szCs w:val="20"/>
              </w:rPr>
              <w:t xml:space="preserve"> i </w:t>
            </w:r>
            <w:r w:rsidRPr="00EC250C">
              <w:rPr>
                <w:sz w:val="18"/>
                <w:szCs w:val="20"/>
              </w:rPr>
              <w:t>prezentacji „Księgi Dobrych Praktyk działań na rzecz mniejszości narodowych</w:t>
            </w:r>
            <w:r w:rsidR="00992FD0" w:rsidRPr="00EC250C">
              <w:rPr>
                <w:sz w:val="18"/>
                <w:szCs w:val="20"/>
              </w:rPr>
              <w:t xml:space="preserve"> i </w:t>
            </w:r>
            <w:r w:rsidRPr="00EC250C">
              <w:rPr>
                <w:sz w:val="18"/>
                <w:szCs w:val="20"/>
              </w:rPr>
              <w:t>etnicznych oraz obcokrajowców”. Biuro RPO. Warszawa.</w:t>
            </w:r>
          </w:p>
        </w:tc>
        <w:tc>
          <w:tcPr>
            <w:tcW w:w="1687" w:type="dxa"/>
          </w:tcPr>
          <w:p w14:paraId="50C91C29" w14:textId="77777777" w:rsidR="00250AC8" w:rsidRPr="00EC250C" w:rsidRDefault="00250AC8" w:rsidP="00902FC6">
            <w:pPr>
              <w:pStyle w:val="Tabela"/>
              <w:rPr>
                <w:sz w:val="18"/>
                <w:szCs w:val="20"/>
              </w:rPr>
            </w:pPr>
            <w:r w:rsidRPr="00EC250C">
              <w:rPr>
                <w:sz w:val="18"/>
                <w:szCs w:val="20"/>
              </w:rPr>
              <w:t>17.01.2018</w:t>
            </w:r>
            <w:r w:rsidR="00C91F6E" w:rsidRPr="00EC250C">
              <w:rPr>
                <w:sz w:val="18"/>
                <w:szCs w:val="20"/>
              </w:rPr>
              <w:t> r.</w:t>
            </w:r>
          </w:p>
        </w:tc>
      </w:tr>
      <w:tr w:rsidR="00250AC8" w:rsidRPr="00EC250C" w14:paraId="2D8F989F" w14:textId="77777777" w:rsidTr="00FC47F2">
        <w:trPr>
          <w:tblCellSpacing w:w="20" w:type="dxa"/>
        </w:trPr>
        <w:tc>
          <w:tcPr>
            <w:tcW w:w="658" w:type="dxa"/>
          </w:tcPr>
          <w:p w14:paraId="0C95D426" w14:textId="77777777" w:rsidR="00250AC8" w:rsidRPr="00EC250C" w:rsidRDefault="00250AC8" w:rsidP="006C70B7">
            <w:pPr>
              <w:pStyle w:val="Tabela"/>
              <w:numPr>
                <w:ilvl w:val="0"/>
                <w:numId w:val="80"/>
              </w:numPr>
              <w:ind w:left="0" w:firstLine="0"/>
              <w:jc w:val="both"/>
            </w:pPr>
          </w:p>
        </w:tc>
        <w:tc>
          <w:tcPr>
            <w:tcW w:w="7331" w:type="dxa"/>
          </w:tcPr>
          <w:p w14:paraId="6AF85F8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inauguracji roku szkoleniowego na aplikacji radcowskiej 2018. Biuro RPO. Warszawa.</w:t>
            </w:r>
          </w:p>
        </w:tc>
        <w:tc>
          <w:tcPr>
            <w:tcW w:w="1687" w:type="dxa"/>
          </w:tcPr>
          <w:p w14:paraId="557611A4" w14:textId="77777777" w:rsidR="00250AC8" w:rsidRPr="00EC250C" w:rsidRDefault="00250AC8" w:rsidP="00902FC6">
            <w:pPr>
              <w:pStyle w:val="Tabela"/>
              <w:rPr>
                <w:sz w:val="18"/>
                <w:szCs w:val="20"/>
              </w:rPr>
            </w:pPr>
            <w:r w:rsidRPr="00EC250C">
              <w:rPr>
                <w:sz w:val="18"/>
                <w:szCs w:val="20"/>
              </w:rPr>
              <w:t>18.01.2018</w:t>
            </w:r>
            <w:r w:rsidR="00C91F6E" w:rsidRPr="00EC250C">
              <w:rPr>
                <w:sz w:val="18"/>
                <w:szCs w:val="20"/>
              </w:rPr>
              <w:t> r.</w:t>
            </w:r>
          </w:p>
        </w:tc>
      </w:tr>
      <w:tr w:rsidR="00250AC8" w:rsidRPr="00EC250C" w14:paraId="05811C12" w14:textId="77777777" w:rsidTr="00FC47F2">
        <w:trPr>
          <w:tblCellSpacing w:w="20" w:type="dxa"/>
        </w:trPr>
        <w:tc>
          <w:tcPr>
            <w:tcW w:w="658" w:type="dxa"/>
          </w:tcPr>
          <w:p w14:paraId="78DECFA5" w14:textId="77777777" w:rsidR="00250AC8" w:rsidRPr="00EC250C" w:rsidRDefault="00250AC8" w:rsidP="006C70B7">
            <w:pPr>
              <w:pStyle w:val="Tabela"/>
              <w:numPr>
                <w:ilvl w:val="0"/>
                <w:numId w:val="80"/>
              </w:numPr>
              <w:ind w:left="0" w:firstLine="0"/>
              <w:jc w:val="both"/>
            </w:pPr>
          </w:p>
        </w:tc>
        <w:tc>
          <w:tcPr>
            <w:tcW w:w="7331" w:type="dxa"/>
          </w:tcPr>
          <w:p w14:paraId="16D0DC8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 xml:space="preserve">debacie nt. </w:t>
            </w:r>
            <w:r w:rsidRPr="00C3177E">
              <w:rPr>
                <w:sz w:val="18"/>
                <w:szCs w:val="20"/>
                <w:lang w:val="en-US"/>
              </w:rPr>
              <w:t>„Building Transatlantic Consensus for Democracy”</w:t>
            </w:r>
            <w:r w:rsidR="00992FD0" w:rsidRPr="00C3177E">
              <w:rPr>
                <w:sz w:val="18"/>
                <w:szCs w:val="20"/>
                <w:lang w:val="en-US"/>
              </w:rPr>
              <w:t xml:space="preserve"> z </w:t>
            </w:r>
            <w:r w:rsidRPr="00C3177E">
              <w:rPr>
                <w:sz w:val="18"/>
                <w:szCs w:val="20"/>
                <w:lang w:val="en-US"/>
              </w:rPr>
              <w:t xml:space="preserve">byłym gubernatorem Howardem Deanem. </w:t>
            </w:r>
            <w:r w:rsidRPr="00EC250C">
              <w:rPr>
                <w:sz w:val="18"/>
                <w:szCs w:val="20"/>
              </w:rPr>
              <w:t>Warszawa.</w:t>
            </w:r>
          </w:p>
        </w:tc>
        <w:tc>
          <w:tcPr>
            <w:tcW w:w="1687" w:type="dxa"/>
          </w:tcPr>
          <w:p w14:paraId="65A852E6" w14:textId="77777777" w:rsidR="00250AC8" w:rsidRPr="00EC250C" w:rsidRDefault="00250AC8" w:rsidP="00902FC6">
            <w:pPr>
              <w:pStyle w:val="Tabela"/>
              <w:rPr>
                <w:sz w:val="18"/>
                <w:szCs w:val="20"/>
              </w:rPr>
            </w:pPr>
            <w:r w:rsidRPr="00EC250C">
              <w:rPr>
                <w:sz w:val="18"/>
                <w:szCs w:val="20"/>
              </w:rPr>
              <w:t>23.01.2018</w:t>
            </w:r>
            <w:r w:rsidR="00C91F6E" w:rsidRPr="00EC250C">
              <w:rPr>
                <w:sz w:val="18"/>
                <w:szCs w:val="20"/>
              </w:rPr>
              <w:t> r.</w:t>
            </w:r>
          </w:p>
        </w:tc>
      </w:tr>
      <w:tr w:rsidR="00250AC8" w:rsidRPr="00EC250C" w14:paraId="6388E179" w14:textId="77777777" w:rsidTr="00FC47F2">
        <w:trPr>
          <w:tblCellSpacing w:w="20" w:type="dxa"/>
        </w:trPr>
        <w:tc>
          <w:tcPr>
            <w:tcW w:w="658" w:type="dxa"/>
          </w:tcPr>
          <w:p w14:paraId="451EA233" w14:textId="77777777" w:rsidR="00250AC8" w:rsidRPr="00EC250C" w:rsidRDefault="00250AC8" w:rsidP="006C70B7">
            <w:pPr>
              <w:pStyle w:val="Tabela"/>
              <w:numPr>
                <w:ilvl w:val="0"/>
                <w:numId w:val="80"/>
              </w:numPr>
              <w:ind w:left="0" w:firstLine="0"/>
              <w:jc w:val="both"/>
            </w:pPr>
          </w:p>
        </w:tc>
        <w:tc>
          <w:tcPr>
            <w:tcW w:w="7331" w:type="dxa"/>
          </w:tcPr>
          <w:p w14:paraId="4341593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XIII debacie regionalnej Krajowego Mechanizmu Prewencji Tortur</w:t>
            </w:r>
            <w:r w:rsidR="00992FD0" w:rsidRPr="00EC250C">
              <w:rPr>
                <w:sz w:val="18"/>
                <w:szCs w:val="20"/>
              </w:rPr>
              <w:t xml:space="preserve"> w </w:t>
            </w:r>
            <w:r w:rsidRPr="00EC250C">
              <w:rPr>
                <w:sz w:val="18"/>
                <w:szCs w:val="20"/>
              </w:rPr>
              <w:t>Łodzi. Łódź.</w:t>
            </w:r>
          </w:p>
        </w:tc>
        <w:tc>
          <w:tcPr>
            <w:tcW w:w="1687" w:type="dxa"/>
          </w:tcPr>
          <w:p w14:paraId="3D077E66" w14:textId="77777777" w:rsidR="00250AC8" w:rsidRPr="00EC250C" w:rsidRDefault="00250AC8" w:rsidP="00902FC6">
            <w:pPr>
              <w:pStyle w:val="Tabela"/>
              <w:rPr>
                <w:sz w:val="18"/>
                <w:szCs w:val="20"/>
              </w:rPr>
            </w:pPr>
            <w:r w:rsidRPr="00EC250C">
              <w:rPr>
                <w:sz w:val="18"/>
                <w:szCs w:val="20"/>
              </w:rPr>
              <w:t>24.01.2018</w:t>
            </w:r>
            <w:r w:rsidR="00C91F6E" w:rsidRPr="00EC250C">
              <w:rPr>
                <w:sz w:val="18"/>
                <w:szCs w:val="20"/>
              </w:rPr>
              <w:t> r.</w:t>
            </w:r>
          </w:p>
        </w:tc>
      </w:tr>
      <w:tr w:rsidR="00250AC8" w:rsidRPr="00EC250C" w14:paraId="6FBB4B1F" w14:textId="77777777" w:rsidTr="00FC47F2">
        <w:trPr>
          <w:tblCellSpacing w:w="20" w:type="dxa"/>
        </w:trPr>
        <w:tc>
          <w:tcPr>
            <w:tcW w:w="658" w:type="dxa"/>
          </w:tcPr>
          <w:p w14:paraId="153ED7AB" w14:textId="77777777" w:rsidR="00250AC8" w:rsidRPr="00EC250C" w:rsidRDefault="00250AC8" w:rsidP="006C70B7">
            <w:pPr>
              <w:pStyle w:val="Tabela"/>
              <w:numPr>
                <w:ilvl w:val="0"/>
                <w:numId w:val="80"/>
              </w:numPr>
              <w:ind w:left="0" w:firstLine="0"/>
              <w:jc w:val="both"/>
            </w:pPr>
          </w:p>
        </w:tc>
        <w:tc>
          <w:tcPr>
            <w:tcW w:w="7331" w:type="dxa"/>
          </w:tcPr>
          <w:p w14:paraId="26E48680"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uroczystych obchodach Międzynarodowego Dnia Pamięci</w:t>
            </w:r>
            <w:r w:rsidR="00992FD0" w:rsidRPr="00EC250C">
              <w:rPr>
                <w:sz w:val="18"/>
                <w:szCs w:val="20"/>
              </w:rPr>
              <w:t xml:space="preserve"> o </w:t>
            </w:r>
            <w:r w:rsidRPr="00EC250C">
              <w:rPr>
                <w:sz w:val="18"/>
                <w:szCs w:val="20"/>
              </w:rPr>
              <w:t>Ofiarach Holokaustu. Warszawa.</w:t>
            </w:r>
          </w:p>
        </w:tc>
        <w:tc>
          <w:tcPr>
            <w:tcW w:w="1687" w:type="dxa"/>
          </w:tcPr>
          <w:p w14:paraId="2808AC00" w14:textId="77777777" w:rsidR="00250AC8" w:rsidRPr="00EC250C" w:rsidRDefault="00250AC8" w:rsidP="00902FC6">
            <w:pPr>
              <w:pStyle w:val="Tabela"/>
              <w:rPr>
                <w:sz w:val="18"/>
                <w:szCs w:val="20"/>
              </w:rPr>
            </w:pPr>
            <w:r w:rsidRPr="00EC250C">
              <w:rPr>
                <w:sz w:val="18"/>
                <w:szCs w:val="20"/>
              </w:rPr>
              <w:t>29.01.2018</w:t>
            </w:r>
            <w:r w:rsidR="00C91F6E" w:rsidRPr="00EC250C">
              <w:rPr>
                <w:sz w:val="18"/>
                <w:szCs w:val="20"/>
              </w:rPr>
              <w:t> r.</w:t>
            </w:r>
          </w:p>
        </w:tc>
      </w:tr>
      <w:tr w:rsidR="00250AC8" w:rsidRPr="00EC250C" w14:paraId="409FE038" w14:textId="77777777" w:rsidTr="00FC47F2">
        <w:trPr>
          <w:tblCellSpacing w:w="20" w:type="dxa"/>
        </w:trPr>
        <w:tc>
          <w:tcPr>
            <w:tcW w:w="658" w:type="dxa"/>
          </w:tcPr>
          <w:p w14:paraId="7F3DDD44" w14:textId="77777777" w:rsidR="00250AC8" w:rsidRPr="00EC250C" w:rsidRDefault="00250AC8" w:rsidP="006C70B7">
            <w:pPr>
              <w:pStyle w:val="Tabela"/>
              <w:numPr>
                <w:ilvl w:val="0"/>
                <w:numId w:val="80"/>
              </w:numPr>
              <w:ind w:left="0" w:firstLine="0"/>
              <w:jc w:val="both"/>
            </w:pPr>
          </w:p>
        </w:tc>
        <w:tc>
          <w:tcPr>
            <w:tcW w:w="7331" w:type="dxa"/>
          </w:tcPr>
          <w:p w14:paraId="035E8766" w14:textId="77777777" w:rsidR="00250AC8" w:rsidRPr="00EC250C" w:rsidRDefault="00250AC8" w:rsidP="00902FC6">
            <w:pPr>
              <w:pStyle w:val="Tabela"/>
              <w:rPr>
                <w:sz w:val="18"/>
                <w:szCs w:val="20"/>
              </w:rPr>
            </w:pPr>
            <w:r w:rsidRPr="00EC250C">
              <w:rPr>
                <w:sz w:val="18"/>
                <w:szCs w:val="20"/>
              </w:rPr>
              <w:t>Ogólnopolska konferencja naukowa nt. „Administrator danych osobowych</w:t>
            </w:r>
            <w:r w:rsidR="00992FD0" w:rsidRPr="00EC250C">
              <w:rPr>
                <w:sz w:val="18"/>
                <w:szCs w:val="20"/>
              </w:rPr>
              <w:t xml:space="preserve"> w </w:t>
            </w:r>
            <w:r w:rsidRPr="00EC250C">
              <w:rPr>
                <w:sz w:val="18"/>
                <w:szCs w:val="20"/>
              </w:rPr>
              <w:t xml:space="preserve">perspektywie </w:t>
            </w:r>
            <w:r w:rsidR="00C60059" w:rsidRPr="00EC250C">
              <w:rPr>
                <w:sz w:val="18"/>
                <w:szCs w:val="20"/>
              </w:rPr>
              <w:t>RODO</w:t>
            </w:r>
            <w:r w:rsidRPr="00EC250C">
              <w:rPr>
                <w:sz w:val="18"/>
                <w:szCs w:val="20"/>
              </w:rPr>
              <w:t>” zorganizowana przez Centrum Ochrony Danych Osobowych</w:t>
            </w:r>
            <w:r w:rsidR="00992FD0" w:rsidRPr="00EC250C">
              <w:rPr>
                <w:sz w:val="18"/>
                <w:szCs w:val="20"/>
              </w:rPr>
              <w:t xml:space="preserve"> i </w:t>
            </w:r>
            <w:r w:rsidRPr="00EC250C">
              <w:rPr>
                <w:sz w:val="18"/>
                <w:szCs w:val="20"/>
              </w:rPr>
              <w:t>Zarządzania Informacją WPiA UŁ. Łódź.</w:t>
            </w:r>
          </w:p>
        </w:tc>
        <w:tc>
          <w:tcPr>
            <w:tcW w:w="1687" w:type="dxa"/>
          </w:tcPr>
          <w:p w14:paraId="5C7CF3BF" w14:textId="77777777" w:rsidR="00250AC8" w:rsidRPr="00EC250C" w:rsidRDefault="00250AC8" w:rsidP="00902FC6">
            <w:pPr>
              <w:pStyle w:val="Tabela"/>
              <w:rPr>
                <w:sz w:val="18"/>
                <w:szCs w:val="20"/>
              </w:rPr>
            </w:pPr>
            <w:r w:rsidRPr="00EC250C">
              <w:rPr>
                <w:sz w:val="18"/>
                <w:szCs w:val="20"/>
              </w:rPr>
              <w:t>30.01.2018</w:t>
            </w:r>
            <w:r w:rsidR="00C91F6E" w:rsidRPr="00EC250C">
              <w:rPr>
                <w:sz w:val="18"/>
                <w:szCs w:val="20"/>
              </w:rPr>
              <w:t> r.</w:t>
            </w:r>
          </w:p>
        </w:tc>
      </w:tr>
      <w:tr w:rsidR="00250AC8" w:rsidRPr="00EC250C" w14:paraId="4B9ECE9C" w14:textId="77777777" w:rsidTr="00FC47F2">
        <w:trPr>
          <w:tblCellSpacing w:w="20" w:type="dxa"/>
        </w:trPr>
        <w:tc>
          <w:tcPr>
            <w:tcW w:w="658" w:type="dxa"/>
          </w:tcPr>
          <w:p w14:paraId="5069AB85" w14:textId="77777777" w:rsidR="00250AC8" w:rsidRPr="00EC250C" w:rsidRDefault="00250AC8" w:rsidP="006C70B7">
            <w:pPr>
              <w:pStyle w:val="Tabela"/>
              <w:numPr>
                <w:ilvl w:val="0"/>
                <w:numId w:val="80"/>
              </w:numPr>
              <w:ind w:left="0" w:firstLine="0"/>
              <w:jc w:val="both"/>
            </w:pPr>
          </w:p>
        </w:tc>
        <w:tc>
          <w:tcPr>
            <w:tcW w:w="7331" w:type="dxa"/>
          </w:tcPr>
          <w:p w14:paraId="00E5EBBB"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nt. „Pobyt</w:t>
            </w:r>
            <w:r w:rsidR="00992FD0" w:rsidRPr="00EC250C">
              <w:rPr>
                <w:sz w:val="18"/>
                <w:szCs w:val="20"/>
              </w:rPr>
              <w:t xml:space="preserve"> w </w:t>
            </w:r>
            <w:r w:rsidRPr="00EC250C">
              <w:rPr>
                <w:sz w:val="18"/>
                <w:szCs w:val="20"/>
              </w:rPr>
              <w:t>jednostkach penitencjarnych osób</w:t>
            </w:r>
            <w:r w:rsidR="00992FD0" w:rsidRPr="00EC250C">
              <w:rPr>
                <w:sz w:val="18"/>
                <w:szCs w:val="20"/>
              </w:rPr>
              <w:t xml:space="preserve"> z </w:t>
            </w:r>
            <w:r w:rsidRPr="00EC250C">
              <w:rPr>
                <w:sz w:val="18"/>
                <w:szCs w:val="20"/>
              </w:rPr>
              <w:t>niepełnosprawnością intelektualną lub chorych psychicznie – potrzeba zmian”. Warszawa.</w:t>
            </w:r>
          </w:p>
        </w:tc>
        <w:tc>
          <w:tcPr>
            <w:tcW w:w="1687" w:type="dxa"/>
          </w:tcPr>
          <w:p w14:paraId="0F911351" w14:textId="77777777" w:rsidR="00250AC8" w:rsidRPr="00EC250C" w:rsidRDefault="00250AC8" w:rsidP="00902FC6">
            <w:pPr>
              <w:pStyle w:val="Tabela"/>
              <w:rPr>
                <w:sz w:val="18"/>
                <w:szCs w:val="20"/>
              </w:rPr>
            </w:pPr>
            <w:r w:rsidRPr="00EC250C">
              <w:rPr>
                <w:sz w:val="18"/>
                <w:szCs w:val="20"/>
              </w:rPr>
              <w:t>01.02.2018</w:t>
            </w:r>
            <w:r w:rsidR="00C91F6E" w:rsidRPr="00EC250C">
              <w:rPr>
                <w:sz w:val="18"/>
                <w:szCs w:val="20"/>
              </w:rPr>
              <w:t> r.</w:t>
            </w:r>
          </w:p>
        </w:tc>
      </w:tr>
      <w:tr w:rsidR="00250AC8" w:rsidRPr="00EC250C" w14:paraId="4B3630A5" w14:textId="77777777" w:rsidTr="00FC47F2">
        <w:trPr>
          <w:tblCellSpacing w:w="20" w:type="dxa"/>
        </w:trPr>
        <w:tc>
          <w:tcPr>
            <w:tcW w:w="658" w:type="dxa"/>
          </w:tcPr>
          <w:p w14:paraId="26692741" w14:textId="77777777" w:rsidR="00250AC8" w:rsidRPr="00EC250C" w:rsidRDefault="00250AC8" w:rsidP="006C70B7">
            <w:pPr>
              <w:pStyle w:val="Tabela"/>
              <w:numPr>
                <w:ilvl w:val="0"/>
                <w:numId w:val="80"/>
              </w:numPr>
              <w:ind w:left="0" w:firstLine="0"/>
              <w:jc w:val="both"/>
            </w:pPr>
          </w:p>
        </w:tc>
        <w:tc>
          <w:tcPr>
            <w:tcW w:w="7331" w:type="dxa"/>
          </w:tcPr>
          <w:p w14:paraId="2B13AC0D" w14:textId="77777777" w:rsidR="00250AC8" w:rsidRPr="00EC250C" w:rsidRDefault="00250AC8" w:rsidP="00902FC6">
            <w:pPr>
              <w:pStyle w:val="Tabela"/>
              <w:rPr>
                <w:sz w:val="18"/>
                <w:szCs w:val="20"/>
              </w:rPr>
            </w:pPr>
            <w:r w:rsidRPr="00EC250C">
              <w:rPr>
                <w:sz w:val="18"/>
                <w:szCs w:val="20"/>
              </w:rPr>
              <w:t>Konferencja naukowa</w:t>
            </w:r>
            <w:r w:rsidR="00992FD0" w:rsidRPr="00EC250C">
              <w:rPr>
                <w:sz w:val="18"/>
                <w:szCs w:val="20"/>
              </w:rPr>
              <w:t xml:space="preserve"> z </w:t>
            </w:r>
            <w:r w:rsidRPr="00EC250C">
              <w:rPr>
                <w:sz w:val="18"/>
                <w:szCs w:val="20"/>
              </w:rPr>
              <w:t>okazji dziesięciolecia Centrum Studiów Wyborczych UMK</w:t>
            </w:r>
            <w:r w:rsidR="00992FD0" w:rsidRPr="00EC250C">
              <w:rPr>
                <w:sz w:val="18"/>
                <w:szCs w:val="20"/>
              </w:rPr>
              <w:t xml:space="preserve"> w </w:t>
            </w:r>
            <w:r w:rsidRPr="00EC250C">
              <w:rPr>
                <w:sz w:val="18"/>
                <w:szCs w:val="20"/>
              </w:rPr>
              <w:t>Toruniu. Toruń.</w:t>
            </w:r>
          </w:p>
        </w:tc>
        <w:tc>
          <w:tcPr>
            <w:tcW w:w="1687" w:type="dxa"/>
          </w:tcPr>
          <w:p w14:paraId="2CBC347B" w14:textId="77777777" w:rsidR="00250AC8" w:rsidRPr="00EC250C" w:rsidRDefault="00250AC8" w:rsidP="00902FC6">
            <w:pPr>
              <w:pStyle w:val="Tabela"/>
              <w:rPr>
                <w:sz w:val="18"/>
                <w:szCs w:val="20"/>
              </w:rPr>
            </w:pPr>
            <w:r w:rsidRPr="00EC250C">
              <w:rPr>
                <w:sz w:val="18"/>
                <w:szCs w:val="20"/>
              </w:rPr>
              <w:t>01–02.02.2018</w:t>
            </w:r>
            <w:r w:rsidR="00C91F6E" w:rsidRPr="00EC250C">
              <w:rPr>
                <w:sz w:val="18"/>
                <w:szCs w:val="20"/>
              </w:rPr>
              <w:t> r.</w:t>
            </w:r>
          </w:p>
        </w:tc>
      </w:tr>
      <w:tr w:rsidR="00250AC8" w:rsidRPr="00EC250C" w14:paraId="23C6D765" w14:textId="77777777" w:rsidTr="00FC47F2">
        <w:trPr>
          <w:tblCellSpacing w:w="20" w:type="dxa"/>
        </w:trPr>
        <w:tc>
          <w:tcPr>
            <w:tcW w:w="658" w:type="dxa"/>
          </w:tcPr>
          <w:p w14:paraId="78F4FB3C" w14:textId="77777777" w:rsidR="00250AC8" w:rsidRPr="00EC250C" w:rsidRDefault="00250AC8" w:rsidP="006C70B7">
            <w:pPr>
              <w:pStyle w:val="Tabela"/>
              <w:numPr>
                <w:ilvl w:val="0"/>
                <w:numId w:val="80"/>
              </w:numPr>
              <w:ind w:left="0" w:firstLine="0"/>
              <w:jc w:val="both"/>
            </w:pPr>
          </w:p>
        </w:tc>
        <w:tc>
          <w:tcPr>
            <w:tcW w:w="7331" w:type="dxa"/>
          </w:tcPr>
          <w:p w14:paraId="69573012"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uroczystości wręczenia Nagrody im. Pawła Włodkowica prof. Adamowi Strzemboszowi. Warszawa.</w:t>
            </w:r>
          </w:p>
        </w:tc>
        <w:tc>
          <w:tcPr>
            <w:tcW w:w="1687" w:type="dxa"/>
          </w:tcPr>
          <w:p w14:paraId="50DC055E" w14:textId="77777777" w:rsidR="00250AC8" w:rsidRPr="00EC250C" w:rsidRDefault="00250AC8" w:rsidP="00902FC6">
            <w:pPr>
              <w:pStyle w:val="Tabela"/>
              <w:rPr>
                <w:sz w:val="18"/>
                <w:szCs w:val="20"/>
              </w:rPr>
            </w:pPr>
            <w:r w:rsidRPr="00EC250C">
              <w:rPr>
                <w:sz w:val="18"/>
                <w:szCs w:val="20"/>
              </w:rPr>
              <w:t>08.02.2018</w:t>
            </w:r>
            <w:r w:rsidR="00C91F6E" w:rsidRPr="00EC250C">
              <w:rPr>
                <w:sz w:val="18"/>
                <w:szCs w:val="20"/>
              </w:rPr>
              <w:t> r.</w:t>
            </w:r>
          </w:p>
        </w:tc>
      </w:tr>
      <w:tr w:rsidR="00250AC8" w:rsidRPr="00EC250C" w14:paraId="61393394" w14:textId="77777777" w:rsidTr="00FC47F2">
        <w:trPr>
          <w:tblCellSpacing w:w="20" w:type="dxa"/>
        </w:trPr>
        <w:tc>
          <w:tcPr>
            <w:tcW w:w="658" w:type="dxa"/>
          </w:tcPr>
          <w:p w14:paraId="1E41F4EA" w14:textId="77777777" w:rsidR="00250AC8" w:rsidRPr="00EC250C" w:rsidRDefault="00250AC8" w:rsidP="006C70B7">
            <w:pPr>
              <w:pStyle w:val="Tabela"/>
              <w:numPr>
                <w:ilvl w:val="0"/>
                <w:numId w:val="80"/>
              </w:numPr>
              <w:ind w:left="0" w:firstLine="0"/>
              <w:jc w:val="both"/>
            </w:pPr>
          </w:p>
        </w:tc>
        <w:tc>
          <w:tcPr>
            <w:tcW w:w="7331" w:type="dxa"/>
          </w:tcPr>
          <w:p w14:paraId="635D89D3" w14:textId="77777777" w:rsidR="00250AC8" w:rsidRPr="00EC250C" w:rsidRDefault="00250AC8" w:rsidP="00902FC6">
            <w:pPr>
              <w:pStyle w:val="Tabela"/>
              <w:rPr>
                <w:sz w:val="18"/>
                <w:szCs w:val="20"/>
              </w:rPr>
            </w:pPr>
            <w:r w:rsidRPr="00EC250C">
              <w:rPr>
                <w:sz w:val="18"/>
                <w:szCs w:val="20"/>
              </w:rPr>
              <w:t>Konferencja nt. „Połączenie odebrane –</w:t>
            </w:r>
            <w:r w:rsidR="00992FD0" w:rsidRPr="00EC250C">
              <w:rPr>
                <w:sz w:val="18"/>
                <w:szCs w:val="20"/>
              </w:rPr>
              <w:t xml:space="preserve"> w </w:t>
            </w:r>
            <w:r w:rsidRPr="00EC250C">
              <w:rPr>
                <w:sz w:val="18"/>
                <w:szCs w:val="20"/>
              </w:rPr>
              <w:t>poszukiwaniu autorytetów” zorganizowana przez Ośrodek Doskonalenia Nauczycieli. Bytom.</w:t>
            </w:r>
          </w:p>
        </w:tc>
        <w:tc>
          <w:tcPr>
            <w:tcW w:w="1687" w:type="dxa"/>
          </w:tcPr>
          <w:p w14:paraId="167D552C" w14:textId="77777777" w:rsidR="00250AC8" w:rsidRPr="00EC250C" w:rsidRDefault="00250AC8" w:rsidP="00902FC6">
            <w:pPr>
              <w:pStyle w:val="Tabela"/>
              <w:rPr>
                <w:sz w:val="18"/>
                <w:szCs w:val="20"/>
              </w:rPr>
            </w:pPr>
            <w:r w:rsidRPr="00EC250C">
              <w:rPr>
                <w:sz w:val="18"/>
                <w:szCs w:val="20"/>
              </w:rPr>
              <w:t>08.02.2018</w:t>
            </w:r>
            <w:r w:rsidR="00C91F6E" w:rsidRPr="00EC250C">
              <w:rPr>
                <w:sz w:val="18"/>
                <w:szCs w:val="20"/>
              </w:rPr>
              <w:t> r.</w:t>
            </w:r>
          </w:p>
        </w:tc>
      </w:tr>
      <w:tr w:rsidR="00250AC8" w:rsidRPr="00EC250C" w14:paraId="50550116" w14:textId="77777777" w:rsidTr="00FC47F2">
        <w:trPr>
          <w:tblCellSpacing w:w="20" w:type="dxa"/>
        </w:trPr>
        <w:tc>
          <w:tcPr>
            <w:tcW w:w="658" w:type="dxa"/>
          </w:tcPr>
          <w:p w14:paraId="6A7C9040" w14:textId="77777777" w:rsidR="00250AC8" w:rsidRPr="00EC250C" w:rsidRDefault="00250AC8" w:rsidP="006C70B7">
            <w:pPr>
              <w:pStyle w:val="Tabela"/>
              <w:numPr>
                <w:ilvl w:val="0"/>
                <w:numId w:val="80"/>
              </w:numPr>
              <w:ind w:left="0" w:firstLine="0"/>
              <w:jc w:val="both"/>
            </w:pPr>
          </w:p>
        </w:tc>
        <w:tc>
          <w:tcPr>
            <w:tcW w:w="7331" w:type="dxa"/>
          </w:tcPr>
          <w:p w14:paraId="47B6DF2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zebraniu Delegatów Stowarzyszenia Sędziów Polskich. Mszczonów.</w:t>
            </w:r>
          </w:p>
        </w:tc>
        <w:tc>
          <w:tcPr>
            <w:tcW w:w="1687" w:type="dxa"/>
          </w:tcPr>
          <w:p w14:paraId="4D9B0D2B" w14:textId="77777777" w:rsidR="00250AC8" w:rsidRPr="00EC250C" w:rsidRDefault="00250AC8" w:rsidP="00902FC6">
            <w:pPr>
              <w:pStyle w:val="Tabela"/>
              <w:rPr>
                <w:sz w:val="18"/>
                <w:szCs w:val="20"/>
              </w:rPr>
            </w:pPr>
            <w:r w:rsidRPr="00EC250C">
              <w:rPr>
                <w:sz w:val="18"/>
                <w:szCs w:val="20"/>
              </w:rPr>
              <w:t>10.02.2018</w:t>
            </w:r>
            <w:r w:rsidR="00C91F6E" w:rsidRPr="00EC250C">
              <w:rPr>
                <w:sz w:val="18"/>
                <w:szCs w:val="20"/>
              </w:rPr>
              <w:t> r.</w:t>
            </w:r>
          </w:p>
        </w:tc>
      </w:tr>
      <w:tr w:rsidR="00250AC8" w:rsidRPr="00EC250C" w14:paraId="1A029182" w14:textId="77777777" w:rsidTr="00FC47F2">
        <w:trPr>
          <w:tblCellSpacing w:w="20" w:type="dxa"/>
        </w:trPr>
        <w:tc>
          <w:tcPr>
            <w:tcW w:w="658" w:type="dxa"/>
          </w:tcPr>
          <w:p w14:paraId="68179A5B" w14:textId="77777777" w:rsidR="00250AC8" w:rsidRPr="00EC250C" w:rsidRDefault="00250AC8" w:rsidP="006C70B7">
            <w:pPr>
              <w:pStyle w:val="Tabela"/>
              <w:numPr>
                <w:ilvl w:val="0"/>
                <w:numId w:val="80"/>
              </w:numPr>
              <w:ind w:left="0" w:firstLine="0"/>
              <w:jc w:val="both"/>
            </w:pPr>
          </w:p>
        </w:tc>
        <w:tc>
          <w:tcPr>
            <w:tcW w:w="7331" w:type="dxa"/>
          </w:tcPr>
          <w:p w14:paraId="6C898E71" w14:textId="77777777" w:rsidR="00250AC8" w:rsidRPr="00EC250C" w:rsidRDefault="00250AC8" w:rsidP="00902FC6">
            <w:pPr>
              <w:pStyle w:val="Tabela"/>
              <w:rPr>
                <w:sz w:val="18"/>
                <w:szCs w:val="20"/>
              </w:rPr>
            </w:pPr>
            <w:r w:rsidRPr="00EC250C">
              <w:rPr>
                <w:sz w:val="18"/>
                <w:szCs w:val="20"/>
              </w:rPr>
              <w:t>Konferencja nt. „Free European Media” zorganizowana przez Europejską Federację Dziennikarzy. Gdańsk.</w:t>
            </w:r>
          </w:p>
        </w:tc>
        <w:tc>
          <w:tcPr>
            <w:tcW w:w="1687" w:type="dxa"/>
          </w:tcPr>
          <w:p w14:paraId="742A68C7" w14:textId="77777777" w:rsidR="00250AC8" w:rsidRPr="00EC250C" w:rsidRDefault="00250AC8" w:rsidP="00902FC6">
            <w:pPr>
              <w:pStyle w:val="Tabela"/>
              <w:rPr>
                <w:sz w:val="18"/>
                <w:szCs w:val="20"/>
              </w:rPr>
            </w:pPr>
            <w:r w:rsidRPr="00EC250C">
              <w:rPr>
                <w:sz w:val="18"/>
                <w:szCs w:val="20"/>
              </w:rPr>
              <w:t>15–16.02.2018</w:t>
            </w:r>
            <w:r w:rsidR="00C91F6E" w:rsidRPr="00EC250C">
              <w:rPr>
                <w:sz w:val="18"/>
                <w:szCs w:val="20"/>
              </w:rPr>
              <w:t> r.</w:t>
            </w:r>
          </w:p>
        </w:tc>
      </w:tr>
      <w:tr w:rsidR="00250AC8" w:rsidRPr="00EC250C" w14:paraId="47EAA50C" w14:textId="77777777" w:rsidTr="00FC47F2">
        <w:trPr>
          <w:tblCellSpacing w:w="20" w:type="dxa"/>
        </w:trPr>
        <w:tc>
          <w:tcPr>
            <w:tcW w:w="658" w:type="dxa"/>
          </w:tcPr>
          <w:p w14:paraId="6F94DB66" w14:textId="77777777" w:rsidR="00250AC8" w:rsidRPr="00EC250C" w:rsidRDefault="00250AC8" w:rsidP="006C70B7">
            <w:pPr>
              <w:pStyle w:val="Tabela"/>
              <w:numPr>
                <w:ilvl w:val="0"/>
                <w:numId w:val="80"/>
              </w:numPr>
              <w:ind w:left="0" w:firstLine="0"/>
              <w:jc w:val="both"/>
            </w:pPr>
          </w:p>
        </w:tc>
        <w:tc>
          <w:tcPr>
            <w:tcW w:w="7331" w:type="dxa"/>
          </w:tcPr>
          <w:p w14:paraId="3CB1DA95"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uroczystości</w:t>
            </w:r>
            <w:r w:rsidR="00992FD0" w:rsidRPr="00EC250C">
              <w:rPr>
                <w:sz w:val="18"/>
                <w:szCs w:val="20"/>
              </w:rPr>
              <w:t xml:space="preserve"> z </w:t>
            </w:r>
            <w:r w:rsidRPr="00EC250C">
              <w:rPr>
                <w:sz w:val="18"/>
                <w:szCs w:val="20"/>
              </w:rPr>
              <w:t>okazji 60-lecia istnienia katolickiego miesięcznika społeczno-kulturalnego „Więzi”. Warszawa.</w:t>
            </w:r>
          </w:p>
        </w:tc>
        <w:tc>
          <w:tcPr>
            <w:tcW w:w="1687" w:type="dxa"/>
          </w:tcPr>
          <w:p w14:paraId="0E1B49CB" w14:textId="77777777" w:rsidR="00250AC8" w:rsidRPr="00EC250C" w:rsidRDefault="00250AC8" w:rsidP="00902FC6">
            <w:pPr>
              <w:pStyle w:val="Tabela"/>
              <w:rPr>
                <w:sz w:val="18"/>
                <w:szCs w:val="20"/>
              </w:rPr>
            </w:pPr>
            <w:r w:rsidRPr="00EC250C">
              <w:rPr>
                <w:sz w:val="18"/>
                <w:szCs w:val="20"/>
              </w:rPr>
              <w:t>19.02.2018</w:t>
            </w:r>
            <w:r w:rsidR="00C91F6E" w:rsidRPr="00EC250C">
              <w:rPr>
                <w:sz w:val="18"/>
                <w:szCs w:val="20"/>
              </w:rPr>
              <w:t> r.</w:t>
            </w:r>
          </w:p>
        </w:tc>
      </w:tr>
      <w:tr w:rsidR="00250AC8" w:rsidRPr="00EC250C" w14:paraId="0380914C" w14:textId="77777777" w:rsidTr="00FC47F2">
        <w:trPr>
          <w:tblCellSpacing w:w="20" w:type="dxa"/>
        </w:trPr>
        <w:tc>
          <w:tcPr>
            <w:tcW w:w="658" w:type="dxa"/>
          </w:tcPr>
          <w:p w14:paraId="0FCA8EF6" w14:textId="77777777" w:rsidR="00250AC8" w:rsidRPr="00EC250C" w:rsidRDefault="00250AC8" w:rsidP="006C70B7">
            <w:pPr>
              <w:pStyle w:val="Tabela"/>
              <w:numPr>
                <w:ilvl w:val="0"/>
                <w:numId w:val="80"/>
              </w:numPr>
              <w:ind w:left="0" w:firstLine="0"/>
              <w:jc w:val="both"/>
            </w:pPr>
          </w:p>
        </w:tc>
        <w:tc>
          <w:tcPr>
            <w:tcW w:w="7331" w:type="dxa"/>
          </w:tcPr>
          <w:p w14:paraId="68DB1F6C"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obchodach Światowego Dnia Chorego oraz Międzynarodowego Dnia Walki</w:t>
            </w:r>
            <w:r w:rsidR="00992FD0" w:rsidRPr="00EC250C">
              <w:rPr>
                <w:sz w:val="18"/>
                <w:szCs w:val="20"/>
              </w:rPr>
              <w:t xml:space="preserve"> z </w:t>
            </w:r>
            <w:r w:rsidRPr="00EC250C">
              <w:rPr>
                <w:sz w:val="18"/>
                <w:szCs w:val="20"/>
              </w:rPr>
              <w:t>Depresją. Warszawa.</w:t>
            </w:r>
          </w:p>
        </w:tc>
        <w:tc>
          <w:tcPr>
            <w:tcW w:w="1687" w:type="dxa"/>
          </w:tcPr>
          <w:p w14:paraId="39516AF2" w14:textId="77777777" w:rsidR="00250AC8" w:rsidRPr="00EC250C" w:rsidRDefault="00250AC8" w:rsidP="00902FC6">
            <w:pPr>
              <w:pStyle w:val="Tabela"/>
              <w:rPr>
                <w:sz w:val="18"/>
                <w:szCs w:val="20"/>
              </w:rPr>
            </w:pPr>
            <w:r w:rsidRPr="00EC250C">
              <w:rPr>
                <w:sz w:val="18"/>
                <w:szCs w:val="20"/>
              </w:rPr>
              <w:t>19.02.2018</w:t>
            </w:r>
            <w:r w:rsidR="00C91F6E" w:rsidRPr="00EC250C">
              <w:rPr>
                <w:sz w:val="18"/>
                <w:szCs w:val="20"/>
              </w:rPr>
              <w:t> r.</w:t>
            </w:r>
          </w:p>
        </w:tc>
      </w:tr>
      <w:tr w:rsidR="00250AC8" w:rsidRPr="00EC250C" w14:paraId="2DFB040D" w14:textId="77777777" w:rsidTr="00FC47F2">
        <w:trPr>
          <w:tblCellSpacing w:w="20" w:type="dxa"/>
        </w:trPr>
        <w:tc>
          <w:tcPr>
            <w:tcW w:w="658" w:type="dxa"/>
          </w:tcPr>
          <w:p w14:paraId="7652B9BE" w14:textId="77777777" w:rsidR="00250AC8" w:rsidRPr="00EC250C" w:rsidRDefault="00250AC8" w:rsidP="006C70B7">
            <w:pPr>
              <w:pStyle w:val="Tabela"/>
              <w:numPr>
                <w:ilvl w:val="0"/>
                <w:numId w:val="80"/>
              </w:numPr>
              <w:ind w:left="0" w:firstLine="0"/>
              <w:jc w:val="both"/>
            </w:pPr>
          </w:p>
        </w:tc>
        <w:tc>
          <w:tcPr>
            <w:tcW w:w="7331" w:type="dxa"/>
          </w:tcPr>
          <w:p w14:paraId="5EACA382" w14:textId="77777777" w:rsidR="00250AC8" w:rsidRPr="00EC250C" w:rsidRDefault="00250AC8" w:rsidP="00902FC6">
            <w:pPr>
              <w:pStyle w:val="Tabela"/>
              <w:rPr>
                <w:sz w:val="18"/>
                <w:szCs w:val="20"/>
              </w:rPr>
            </w:pPr>
            <w:r w:rsidRPr="00EC250C">
              <w:rPr>
                <w:sz w:val="18"/>
                <w:szCs w:val="20"/>
              </w:rPr>
              <w:t>Konferencja nt. „Problem neonazizmu oraz szerzenia nienawiści rasowej</w:t>
            </w:r>
            <w:r w:rsidR="00992FD0" w:rsidRPr="00EC250C">
              <w:rPr>
                <w:sz w:val="18"/>
                <w:szCs w:val="20"/>
              </w:rPr>
              <w:t xml:space="preserve"> i </w:t>
            </w:r>
            <w:r w:rsidRPr="00EC250C">
              <w:rPr>
                <w:sz w:val="18"/>
                <w:szCs w:val="20"/>
              </w:rPr>
              <w:t>narodowościowej” zorganizowana przez Powiatowy Ośrodek Doskonalenia Nauczycieli. Wodzisław Śląski.</w:t>
            </w:r>
          </w:p>
        </w:tc>
        <w:tc>
          <w:tcPr>
            <w:tcW w:w="1687" w:type="dxa"/>
          </w:tcPr>
          <w:p w14:paraId="2009AB3D" w14:textId="77777777" w:rsidR="00250AC8" w:rsidRPr="00EC250C" w:rsidRDefault="00250AC8" w:rsidP="00902FC6">
            <w:pPr>
              <w:pStyle w:val="Tabela"/>
              <w:rPr>
                <w:sz w:val="18"/>
                <w:szCs w:val="20"/>
              </w:rPr>
            </w:pPr>
            <w:r w:rsidRPr="00EC250C">
              <w:rPr>
                <w:sz w:val="18"/>
                <w:szCs w:val="20"/>
              </w:rPr>
              <w:t>21.02.2018</w:t>
            </w:r>
            <w:r w:rsidR="00C91F6E" w:rsidRPr="00EC250C">
              <w:rPr>
                <w:sz w:val="18"/>
                <w:szCs w:val="20"/>
              </w:rPr>
              <w:t> r.</w:t>
            </w:r>
          </w:p>
        </w:tc>
      </w:tr>
      <w:tr w:rsidR="00250AC8" w:rsidRPr="00EC250C" w14:paraId="33C9D5D3" w14:textId="77777777" w:rsidTr="00FC47F2">
        <w:trPr>
          <w:tblCellSpacing w:w="20" w:type="dxa"/>
        </w:trPr>
        <w:tc>
          <w:tcPr>
            <w:tcW w:w="658" w:type="dxa"/>
          </w:tcPr>
          <w:p w14:paraId="11D725BE" w14:textId="77777777" w:rsidR="00250AC8" w:rsidRPr="00EC250C" w:rsidRDefault="00250AC8" w:rsidP="006C70B7">
            <w:pPr>
              <w:pStyle w:val="Tabela"/>
              <w:numPr>
                <w:ilvl w:val="0"/>
                <w:numId w:val="80"/>
              </w:numPr>
              <w:ind w:left="0" w:firstLine="0"/>
              <w:jc w:val="both"/>
            </w:pPr>
          </w:p>
        </w:tc>
        <w:tc>
          <w:tcPr>
            <w:tcW w:w="7331" w:type="dxa"/>
          </w:tcPr>
          <w:p w14:paraId="05CF9449" w14:textId="77777777" w:rsidR="00250AC8" w:rsidRPr="00EC250C" w:rsidRDefault="00250AC8" w:rsidP="00902FC6">
            <w:pPr>
              <w:pStyle w:val="Tabela"/>
              <w:rPr>
                <w:sz w:val="18"/>
                <w:szCs w:val="20"/>
              </w:rPr>
            </w:pPr>
            <w:r w:rsidRPr="00EC250C">
              <w:rPr>
                <w:sz w:val="18"/>
                <w:szCs w:val="20"/>
              </w:rPr>
              <w:t>Konferencja nt. „Wychowanie młodego człowieka</w:t>
            </w:r>
            <w:r w:rsidR="00992FD0" w:rsidRPr="00EC250C">
              <w:rPr>
                <w:sz w:val="18"/>
                <w:szCs w:val="20"/>
              </w:rPr>
              <w:t xml:space="preserve"> w </w:t>
            </w:r>
            <w:r w:rsidRPr="00EC250C">
              <w:rPr>
                <w:sz w:val="18"/>
                <w:szCs w:val="20"/>
              </w:rPr>
              <w:t>kontekście zagrożeń skrajnymi ideologiami” zorganizowana przez Powiatowy Ośrodek Doskonalenia Nauczycieli. Wodzisław Śląski.</w:t>
            </w:r>
          </w:p>
        </w:tc>
        <w:tc>
          <w:tcPr>
            <w:tcW w:w="1687" w:type="dxa"/>
          </w:tcPr>
          <w:p w14:paraId="07787915" w14:textId="77777777" w:rsidR="00250AC8" w:rsidRPr="00EC250C" w:rsidRDefault="00250AC8" w:rsidP="00902FC6">
            <w:pPr>
              <w:pStyle w:val="Tabela"/>
              <w:rPr>
                <w:sz w:val="18"/>
                <w:szCs w:val="20"/>
              </w:rPr>
            </w:pPr>
            <w:r w:rsidRPr="00EC250C">
              <w:rPr>
                <w:sz w:val="18"/>
                <w:szCs w:val="20"/>
              </w:rPr>
              <w:t>21.02.2018</w:t>
            </w:r>
            <w:r w:rsidR="00C91F6E" w:rsidRPr="00EC250C">
              <w:rPr>
                <w:sz w:val="18"/>
                <w:szCs w:val="20"/>
              </w:rPr>
              <w:t> r.</w:t>
            </w:r>
          </w:p>
        </w:tc>
      </w:tr>
      <w:tr w:rsidR="00250AC8" w:rsidRPr="00EC250C" w14:paraId="1D9916C0" w14:textId="77777777" w:rsidTr="00FC47F2">
        <w:trPr>
          <w:tblCellSpacing w:w="20" w:type="dxa"/>
        </w:trPr>
        <w:tc>
          <w:tcPr>
            <w:tcW w:w="658" w:type="dxa"/>
          </w:tcPr>
          <w:p w14:paraId="611CC628" w14:textId="77777777" w:rsidR="00250AC8" w:rsidRPr="00EC250C" w:rsidRDefault="00250AC8" w:rsidP="006C70B7">
            <w:pPr>
              <w:pStyle w:val="Tabela"/>
              <w:numPr>
                <w:ilvl w:val="0"/>
                <w:numId w:val="80"/>
              </w:numPr>
              <w:ind w:left="0" w:firstLine="0"/>
              <w:jc w:val="both"/>
            </w:pPr>
          </w:p>
        </w:tc>
        <w:tc>
          <w:tcPr>
            <w:tcW w:w="7331" w:type="dxa"/>
          </w:tcPr>
          <w:p w14:paraId="27EAE9D0" w14:textId="77777777" w:rsidR="00250AC8" w:rsidRPr="00EC250C" w:rsidRDefault="00250AC8" w:rsidP="00902FC6">
            <w:pPr>
              <w:pStyle w:val="Tabela"/>
              <w:rPr>
                <w:sz w:val="18"/>
                <w:szCs w:val="20"/>
              </w:rPr>
            </w:pPr>
            <w:r w:rsidRPr="00EC250C">
              <w:rPr>
                <w:sz w:val="18"/>
                <w:szCs w:val="20"/>
              </w:rPr>
              <w:t>XIV Debata Krajowego Mechanizmu Prewencji Tortur. Kielce.</w:t>
            </w:r>
          </w:p>
        </w:tc>
        <w:tc>
          <w:tcPr>
            <w:tcW w:w="1687" w:type="dxa"/>
          </w:tcPr>
          <w:p w14:paraId="7A189F02" w14:textId="77777777" w:rsidR="00250AC8" w:rsidRPr="00EC250C" w:rsidRDefault="00250AC8" w:rsidP="00902FC6">
            <w:pPr>
              <w:pStyle w:val="Tabela"/>
              <w:rPr>
                <w:sz w:val="18"/>
                <w:szCs w:val="20"/>
              </w:rPr>
            </w:pPr>
            <w:r w:rsidRPr="00EC250C">
              <w:rPr>
                <w:sz w:val="18"/>
                <w:szCs w:val="20"/>
              </w:rPr>
              <w:t>23.02.2018</w:t>
            </w:r>
            <w:r w:rsidR="00C91F6E" w:rsidRPr="00EC250C">
              <w:rPr>
                <w:sz w:val="18"/>
                <w:szCs w:val="20"/>
              </w:rPr>
              <w:t> r.</w:t>
            </w:r>
          </w:p>
        </w:tc>
      </w:tr>
      <w:tr w:rsidR="00250AC8" w:rsidRPr="00EC250C" w14:paraId="063840FE" w14:textId="77777777" w:rsidTr="00FC47F2">
        <w:trPr>
          <w:tblCellSpacing w:w="20" w:type="dxa"/>
        </w:trPr>
        <w:tc>
          <w:tcPr>
            <w:tcW w:w="658" w:type="dxa"/>
          </w:tcPr>
          <w:p w14:paraId="150A8384" w14:textId="77777777" w:rsidR="00250AC8" w:rsidRPr="00EC250C" w:rsidRDefault="00250AC8" w:rsidP="006C70B7">
            <w:pPr>
              <w:pStyle w:val="Tabela"/>
              <w:numPr>
                <w:ilvl w:val="0"/>
                <w:numId w:val="80"/>
              </w:numPr>
              <w:ind w:left="0" w:firstLine="0"/>
              <w:jc w:val="both"/>
            </w:pPr>
          </w:p>
        </w:tc>
        <w:tc>
          <w:tcPr>
            <w:tcW w:w="7331" w:type="dxa"/>
          </w:tcPr>
          <w:p w14:paraId="4F642888" w14:textId="77777777" w:rsidR="00250AC8" w:rsidRPr="00EC250C" w:rsidRDefault="00250AC8" w:rsidP="00902FC6">
            <w:pPr>
              <w:pStyle w:val="Tabela"/>
              <w:rPr>
                <w:sz w:val="18"/>
                <w:szCs w:val="20"/>
              </w:rPr>
            </w:pPr>
            <w:r w:rsidRPr="00EC250C">
              <w:rPr>
                <w:sz w:val="18"/>
                <w:szCs w:val="20"/>
              </w:rPr>
              <w:t>Inauguracja VI Ogólnopolskiej Kampanii Społecznej „Twarze Depresji. Nie oceniam. Akceptuję” pod patronatem RPO. Warszawa.</w:t>
            </w:r>
          </w:p>
        </w:tc>
        <w:tc>
          <w:tcPr>
            <w:tcW w:w="1687" w:type="dxa"/>
          </w:tcPr>
          <w:p w14:paraId="5073D17B" w14:textId="77777777" w:rsidR="00250AC8" w:rsidRPr="00EC250C" w:rsidRDefault="00250AC8" w:rsidP="00902FC6">
            <w:pPr>
              <w:pStyle w:val="Tabela"/>
              <w:rPr>
                <w:sz w:val="18"/>
                <w:szCs w:val="20"/>
              </w:rPr>
            </w:pPr>
            <w:r w:rsidRPr="00EC250C">
              <w:rPr>
                <w:sz w:val="18"/>
                <w:szCs w:val="20"/>
              </w:rPr>
              <w:t>23.02.2018</w:t>
            </w:r>
            <w:r w:rsidR="00C91F6E" w:rsidRPr="00EC250C">
              <w:rPr>
                <w:sz w:val="18"/>
                <w:szCs w:val="20"/>
              </w:rPr>
              <w:t> r.</w:t>
            </w:r>
          </w:p>
        </w:tc>
      </w:tr>
      <w:tr w:rsidR="00250AC8" w:rsidRPr="00EC250C" w14:paraId="4BA1A28D" w14:textId="77777777" w:rsidTr="00FC47F2">
        <w:trPr>
          <w:tblCellSpacing w:w="20" w:type="dxa"/>
        </w:trPr>
        <w:tc>
          <w:tcPr>
            <w:tcW w:w="658" w:type="dxa"/>
          </w:tcPr>
          <w:p w14:paraId="3721F391" w14:textId="77777777" w:rsidR="00250AC8" w:rsidRPr="00EC250C" w:rsidRDefault="00250AC8" w:rsidP="006C70B7">
            <w:pPr>
              <w:pStyle w:val="Tabela"/>
              <w:numPr>
                <w:ilvl w:val="0"/>
                <w:numId w:val="80"/>
              </w:numPr>
              <w:ind w:left="0" w:firstLine="0"/>
              <w:jc w:val="both"/>
            </w:pPr>
          </w:p>
        </w:tc>
        <w:tc>
          <w:tcPr>
            <w:tcW w:w="7331" w:type="dxa"/>
          </w:tcPr>
          <w:p w14:paraId="2C89CA5C"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debacie nt. „Psychoterapeuta</w:t>
            </w:r>
            <w:r w:rsidR="00992FD0" w:rsidRPr="00EC250C">
              <w:rPr>
                <w:sz w:val="18"/>
                <w:szCs w:val="20"/>
              </w:rPr>
              <w:t xml:space="preserve"> w </w:t>
            </w:r>
            <w:r w:rsidRPr="00EC250C">
              <w:rPr>
                <w:sz w:val="18"/>
                <w:szCs w:val="20"/>
              </w:rPr>
              <w:t>życiu publicznym. Obserwator czy uczestnik?” zorganizowanej przez Wydział Psychologii Uniwersytetu Warszawskiego. Warszawa.</w:t>
            </w:r>
          </w:p>
        </w:tc>
        <w:tc>
          <w:tcPr>
            <w:tcW w:w="1687" w:type="dxa"/>
          </w:tcPr>
          <w:p w14:paraId="3D24E63E" w14:textId="77777777" w:rsidR="00250AC8" w:rsidRPr="00EC250C" w:rsidRDefault="00250AC8" w:rsidP="00902FC6">
            <w:pPr>
              <w:pStyle w:val="Tabela"/>
              <w:rPr>
                <w:sz w:val="18"/>
                <w:szCs w:val="20"/>
              </w:rPr>
            </w:pPr>
            <w:r w:rsidRPr="00EC250C">
              <w:rPr>
                <w:sz w:val="18"/>
                <w:szCs w:val="20"/>
              </w:rPr>
              <w:t>24.02.2018</w:t>
            </w:r>
            <w:r w:rsidR="00C91F6E" w:rsidRPr="00EC250C">
              <w:rPr>
                <w:sz w:val="18"/>
                <w:szCs w:val="20"/>
              </w:rPr>
              <w:t> r.</w:t>
            </w:r>
          </w:p>
        </w:tc>
      </w:tr>
      <w:tr w:rsidR="00250AC8" w:rsidRPr="00EC250C" w14:paraId="29A8D4C4" w14:textId="77777777" w:rsidTr="00FC47F2">
        <w:trPr>
          <w:tblCellSpacing w:w="20" w:type="dxa"/>
        </w:trPr>
        <w:tc>
          <w:tcPr>
            <w:tcW w:w="658" w:type="dxa"/>
          </w:tcPr>
          <w:p w14:paraId="12E5E6BF" w14:textId="77777777" w:rsidR="00250AC8" w:rsidRPr="00EC250C" w:rsidRDefault="00250AC8" w:rsidP="006C70B7">
            <w:pPr>
              <w:pStyle w:val="Tabela"/>
              <w:numPr>
                <w:ilvl w:val="0"/>
                <w:numId w:val="80"/>
              </w:numPr>
              <w:ind w:left="0" w:firstLine="0"/>
              <w:jc w:val="both"/>
            </w:pPr>
          </w:p>
        </w:tc>
        <w:tc>
          <w:tcPr>
            <w:tcW w:w="7331" w:type="dxa"/>
          </w:tcPr>
          <w:p w14:paraId="18D1F9F7"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uroczystym wręczeniu nagrody podczas gali konkursu „Samorząd Równych Szans 2017”. Kraków.</w:t>
            </w:r>
          </w:p>
        </w:tc>
        <w:tc>
          <w:tcPr>
            <w:tcW w:w="1687" w:type="dxa"/>
          </w:tcPr>
          <w:p w14:paraId="4A6F44A2" w14:textId="77777777" w:rsidR="00250AC8" w:rsidRPr="00EC250C" w:rsidRDefault="00250AC8" w:rsidP="00902FC6">
            <w:pPr>
              <w:pStyle w:val="Tabela"/>
              <w:rPr>
                <w:sz w:val="18"/>
                <w:szCs w:val="20"/>
              </w:rPr>
            </w:pPr>
            <w:r w:rsidRPr="00EC250C">
              <w:rPr>
                <w:sz w:val="18"/>
                <w:szCs w:val="20"/>
              </w:rPr>
              <w:t>26.02.2018</w:t>
            </w:r>
            <w:r w:rsidR="00C91F6E" w:rsidRPr="00EC250C">
              <w:rPr>
                <w:sz w:val="18"/>
                <w:szCs w:val="20"/>
              </w:rPr>
              <w:t> r.</w:t>
            </w:r>
          </w:p>
        </w:tc>
      </w:tr>
      <w:tr w:rsidR="00250AC8" w:rsidRPr="00EC250C" w14:paraId="1DFE0193" w14:textId="77777777" w:rsidTr="00FC47F2">
        <w:trPr>
          <w:tblCellSpacing w:w="20" w:type="dxa"/>
        </w:trPr>
        <w:tc>
          <w:tcPr>
            <w:tcW w:w="658" w:type="dxa"/>
          </w:tcPr>
          <w:p w14:paraId="4CF73BD8" w14:textId="77777777" w:rsidR="00250AC8" w:rsidRPr="00EC250C" w:rsidRDefault="00250AC8" w:rsidP="006C70B7">
            <w:pPr>
              <w:pStyle w:val="Tabela"/>
              <w:numPr>
                <w:ilvl w:val="0"/>
                <w:numId w:val="80"/>
              </w:numPr>
              <w:ind w:left="0" w:firstLine="0"/>
              <w:jc w:val="both"/>
            </w:pPr>
          </w:p>
        </w:tc>
        <w:tc>
          <w:tcPr>
            <w:tcW w:w="7331" w:type="dxa"/>
          </w:tcPr>
          <w:p w14:paraId="43BFA2BD" w14:textId="77777777" w:rsidR="00250AC8" w:rsidRPr="00EC250C" w:rsidRDefault="00250AC8" w:rsidP="00902FC6">
            <w:pPr>
              <w:pStyle w:val="Tabela"/>
              <w:rPr>
                <w:sz w:val="18"/>
                <w:szCs w:val="20"/>
              </w:rPr>
            </w:pPr>
            <w:r w:rsidRPr="00EC250C">
              <w:rPr>
                <w:sz w:val="18"/>
                <w:szCs w:val="20"/>
              </w:rPr>
              <w:t>III konferencja naukowa nt. „Racjonalizacja procesów zapewnienia bezpieczeństwa uczestników zgromadzeń religijnych” zorganizowana przez Katedrę Katolickiej Nauki Społecznej</w:t>
            </w:r>
            <w:r w:rsidR="00992FD0" w:rsidRPr="00EC250C">
              <w:rPr>
                <w:sz w:val="18"/>
                <w:szCs w:val="20"/>
              </w:rPr>
              <w:t xml:space="preserve"> i </w:t>
            </w:r>
            <w:r w:rsidRPr="00EC250C">
              <w:rPr>
                <w:sz w:val="18"/>
                <w:szCs w:val="20"/>
              </w:rPr>
              <w:t>Socjologii Papieskiego Wydziału Teologicznego we Wrocławiu. Wrocław.</w:t>
            </w:r>
          </w:p>
        </w:tc>
        <w:tc>
          <w:tcPr>
            <w:tcW w:w="1687" w:type="dxa"/>
          </w:tcPr>
          <w:p w14:paraId="29D2FB43" w14:textId="77777777" w:rsidR="00250AC8" w:rsidRPr="00EC250C" w:rsidRDefault="00250AC8" w:rsidP="00902FC6">
            <w:pPr>
              <w:pStyle w:val="Tabela"/>
              <w:rPr>
                <w:sz w:val="18"/>
                <w:szCs w:val="20"/>
              </w:rPr>
            </w:pPr>
            <w:r w:rsidRPr="00EC250C">
              <w:rPr>
                <w:sz w:val="18"/>
                <w:szCs w:val="20"/>
              </w:rPr>
              <w:t>26.02.2018</w:t>
            </w:r>
            <w:r w:rsidR="00C91F6E" w:rsidRPr="00EC250C">
              <w:rPr>
                <w:sz w:val="18"/>
                <w:szCs w:val="20"/>
              </w:rPr>
              <w:t> r.</w:t>
            </w:r>
          </w:p>
        </w:tc>
      </w:tr>
      <w:tr w:rsidR="00250AC8" w:rsidRPr="00EC250C" w14:paraId="0D93C59E" w14:textId="77777777" w:rsidTr="00FC47F2">
        <w:trPr>
          <w:tblCellSpacing w:w="20" w:type="dxa"/>
        </w:trPr>
        <w:tc>
          <w:tcPr>
            <w:tcW w:w="658" w:type="dxa"/>
          </w:tcPr>
          <w:p w14:paraId="348F1BC6" w14:textId="77777777" w:rsidR="00250AC8" w:rsidRPr="00EC250C" w:rsidRDefault="00250AC8" w:rsidP="006C70B7">
            <w:pPr>
              <w:pStyle w:val="Tabela"/>
              <w:numPr>
                <w:ilvl w:val="0"/>
                <w:numId w:val="80"/>
              </w:numPr>
              <w:ind w:left="0" w:firstLine="0"/>
              <w:jc w:val="both"/>
            </w:pPr>
          </w:p>
        </w:tc>
        <w:tc>
          <w:tcPr>
            <w:tcW w:w="7331" w:type="dxa"/>
          </w:tcPr>
          <w:p w14:paraId="71295DAF"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konsultacjach</w:t>
            </w:r>
            <w:r w:rsidR="00992FD0" w:rsidRPr="00EC250C">
              <w:rPr>
                <w:sz w:val="18"/>
                <w:szCs w:val="20"/>
              </w:rPr>
              <w:t xml:space="preserve"> z </w:t>
            </w:r>
            <w:r w:rsidRPr="00EC250C">
              <w:rPr>
                <w:sz w:val="18"/>
                <w:szCs w:val="20"/>
              </w:rPr>
              <w:t>interesariuszami</w:t>
            </w:r>
            <w:r w:rsidR="00992FD0" w:rsidRPr="00EC250C">
              <w:rPr>
                <w:sz w:val="18"/>
                <w:szCs w:val="20"/>
              </w:rPr>
              <w:t xml:space="preserve"> w </w:t>
            </w:r>
            <w:r w:rsidRPr="00EC250C">
              <w:rPr>
                <w:sz w:val="18"/>
                <w:szCs w:val="20"/>
              </w:rPr>
              <w:t>sprawie wykorzystania środków funduszy norweskich</w:t>
            </w:r>
            <w:r w:rsidR="00992FD0" w:rsidRPr="00EC250C">
              <w:rPr>
                <w:sz w:val="18"/>
                <w:szCs w:val="20"/>
              </w:rPr>
              <w:t xml:space="preserve"> w </w:t>
            </w:r>
            <w:r w:rsidRPr="00EC250C">
              <w:rPr>
                <w:sz w:val="18"/>
                <w:szCs w:val="20"/>
              </w:rPr>
              <w:t>ramach programu „Sprawiedliwość”, zorganizowanych przez Ministerstwo Sprawiedliwości. Warszawa.</w:t>
            </w:r>
          </w:p>
        </w:tc>
        <w:tc>
          <w:tcPr>
            <w:tcW w:w="1687" w:type="dxa"/>
          </w:tcPr>
          <w:p w14:paraId="5AFBEBD9" w14:textId="77777777" w:rsidR="00250AC8" w:rsidRPr="00EC250C" w:rsidRDefault="00250AC8" w:rsidP="00902FC6">
            <w:pPr>
              <w:pStyle w:val="Tabela"/>
              <w:rPr>
                <w:sz w:val="18"/>
                <w:szCs w:val="20"/>
              </w:rPr>
            </w:pPr>
            <w:r w:rsidRPr="00EC250C">
              <w:rPr>
                <w:sz w:val="18"/>
                <w:szCs w:val="20"/>
              </w:rPr>
              <w:t>27.02.2018</w:t>
            </w:r>
            <w:r w:rsidR="00C91F6E" w:rsidRPr="00EC250C">
              <w:rPr>
                <w:sz w:val="18"/>
                <w:szCs w:val="20"/>
              </w:rPr>
              <w:t> r.</w:t>
            </w:r>
          </w:p>
        </w:tc>
      </w:tr>
      <w:tr w:rsidR="00250AC8" w:rsidRPr="00EC250C" w14:paraId="115E691B" w14:textId="77777777" w:rsidTr="00FC47F2">
        <w:trPr>
          <w:tblCellSpacing w:w="20" w:type="dxa"/>
        </w:trPr>
        <w:tc>
          <w:tcPr>
            <w:tcW w:w="658" w:type="dxa"/>
          </w:tcPr>
          <w:p w14:paraId="7910F372" w14:textId="77777777" w:rsidR="00250AC8" w:rsidRPr="00EC250C" w:rsidRDefault="00250AC8" w:rsidP="006C70B7">
            <w:pPr>
              <w:pStyle w:val="Tabela"/>
              <w:numPr>
                <w:ilvl w:val="0"/>
                <w:numId w:val="80"/>
              </w:numPr>
              <w:ind w:left="0" w:firstLine="0"/>
              <w:jc w:val="both"/>
            </w:pPr>
          </w:p>
        </w:tc>
        <w:tc>
          <w:tcPr>
            <w:tcW w:w="7331" w:type="dxa"/>
          </w:tcPr>
          <w:p w14:paraId="1A584D55"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Gali „Szkoła Dialogu 2017” zorganizowanej przez Forum Dialogu. Warszawa.</w:t>
            </w:r>
          </w:p>
        </w:tc>
        <w:tc>
          <w:tcPr>
            <w:tcW w:w="1687" w:type="dxa"/>
          </w:tcPr>
          <w:p w14:paraId="489B8587" w14:textId="77777777" w:rsidR="00250AC8" w:rsidRPr="00EC250C" w:rsidRDefault="00250AC8" w:rsidP="00902FC6">
            <w:pPr>
              <w:pStyle w:val="Tabela"/>
              <w:rPr>
                <w:sz w:val="18"/>
                <w:szCs w:val="20"/>
              </w:rPr>
            </w:pPr>
            <w:r w:rsidRPr="00EC250C">
              <w:rPr>
                <w:sz w:val="18"/>
                <w:szCs w:val="20"/>
              </w:rPr>
              <w:t>01.03.2018</w:t>
            </w:r>
            <w:r w:rsidR="00C91F6E" w:rsidRPr="00EC250C">
              <w:rPr>
                <w:sz w:val="18"/>
                <w:szCs w:val="20"/>
              </w:rPr>
              <w:t> r.</w:t>
            </w:r>
          </w:p>
        </w:tc>
      </w:tr>
      <w:tr w:rsidR="00250AC8" w:rsidRPr="00EC250C" w14:paraId="43A79713" w14:textId="77777777" w:rsidTr="00FC47F2">
        <w:trPr>
          <w:tblCellSpacing w:w="20" w:type="dxa"/>
        </w:trPr>
        <w:tc>
          <w:tcPr>
            <w:tcW w:w="658" w:type="dxa"/>
          </w:tcPr>
          <w:p w14:paraId="6DF2FB36" w14:textId="77777777" w:rsidR="00250AC8" w:rsidRPr="00EC250C" w:rsidRDefault="00250AC8" w:rsidP="006C70B7">
            <w:pPr>
              <w:pStyle w:val="Tabela"/>
              <w:numPr>
                <w:ilvl w:val="0"/>
                <w:numId w:val="80"/>
              </w:numPr>
              <w:ind w:left="0" w:firstLine="0"/>
              <w:jc w:val="both"/>
            </w:pPr>
          </w:p>
        </w:tc>
        <w:tc>
          <w:tcPr>
            <w:tcW w:w="7331" w:type="dxa"/>
          </w:tcPr>
          <w:p w14:paraId="1D9C2E9F"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Gali Fundacji „Sukces Pisany Szminką”. Warszawa.</w:t>
            </w:r>
          </w:p>
        </w:tc>
        <w:tc>
          <w:tcPr>
            <w:tcW w:w="1687" w:type="dxa"/>
          </w:tcPr>
          <w:p w14:paraId="0BB541BD" w14:textId="77777777" w:rsidR="00250AC8" w:rsidRPr="00EC250C" w:rsidRDefault="00250AC8" w:rsidP="00902FC6">
            <w:pPr>
              <w:pStyle w:val="Tabela"/>
              <w:rPr>
                <w:sz w:val="18"/>
                <w:szCs w:val="20"/>
              </w:rPr>
            </w:pPr>
            <w:r w:rsidRPr="00EC250C">
              <w:rPr>
                <w:sz w:val="18"/>
                <w:szCs w:val="20"/>
              </w:rPr>
              <w:t>01.03.2018</w:t>
            </w:r>
            <w:r w:rsidR="00C91F6E" w:rsidRPr="00EC250C">
              <w:rPr>
                <w:sz w:val="18"/>
                <w:szCs w:val="20"/>
              </w:rPr>
              <w:t> r.</w:t>
            </w:r>
          </w:p>
        </w:tc>
      </w:tr>
      <w:tr w:rsidR="00250AC8" w:rsidRPr="00EC250C" w14:paraId="618C20DD" w14:textId="77777777" w:rsidTr="00FC47F2">
        <w:trPr>
          <w:tblCellSpacing w:w="20" w:type="dxa"/>
        </w:trPr>
        <w:tc>
          <w:tcPr>
            <w:tcW w:w="658" w:type="dxa"/>
          </w:tcPr>
          <w:p w14:paraId="0F5B7C36" w14:textId="77777777" w:rsidR="00250AC8" w:rsidRPr="00EC250C" w:rsidRDefault="00250AC8" w:rsidP="006C70B7">
            <w:pPr>
              <w:pStyle w:val="Tabela"/>
              <w:numPr>
                <w:ilvl w:val="0"/>
                <w:numId w:val="80"/>
              </w:numPr>
              <w:ind w:left="0" w:firstLine="0"/>
              <w:jc w:val="both"/>
            </w:pPr>
          </w:p>
        </w:tc>
        <w:tc>
          <w:tcPr>
            <w:tcW w:w="7331" w:type="dxa"/>
          </w:tcPr>
          <w:p w14:paraId="43B8E1F5"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Gali Sprawiedliwi 2018. POLIN Muzeum Historii Żydów Polskich. Warszawa.</w:t>
            </w:r>
          </w:p>
        </w:tc>
        <w:tc>
          <w:tcPr>
            <w:tcW w:w="1687" w:type="dxa"/>
          </w:tcPr>
          <w:p w14:paraId="26C152A4" w14:textId="77777777" w:rsidR="00250AC8" w:rsidRPr="00EC250C" w:rsidRDefault="00250AC8" w:rsidP="00902FC6">
            <w:pPr>
              <w:pStyle w:val="Tabela"/>
              <w:rPr>
                <w:sz w:val="18"/>
                <w:szCs w:val="20"/>
              </w:rPr>
            </w:pPr>
            <w:r w:rsidRPr="00EC250C">
              <w:rPr>
                <w:sz w:val="18"/>
                <w:szCs w:val="20"/>
              </w:rPr>
              <w:t>04.03.2018</w:t>
            </w:r>
            <w:r w:rsidR="00C91F6E" w:rsidRPr="00EC250C">
              <w:rPr>
                <w:sz w:val="18"/>
                <w:szCs w:val="20"/>
              </w:rPr>
              <w:t> r.</w:t>
            </w:r>
          </w:p>
        </w:tc>
      </w:tr>
      <w:tr w:rsidR="00250AC8" w:rsidRPr="00EC250C" w14:paraId="0DDC5FFD" w14:textId="77777777" w:rsidTr="00FC47F2">
        <w:trPr>
          <w:tblCellSpacing w:w="20" w:type="dxa"/>
        </w:trPr>
        <w:tc>
          <w:tcPr>
            <w:tcW w:w="658" w:type="dxa"/>
          </w:tcPr>
          <w:p w14:paraId="57D59C78" w14:textId="77777777" w:rsidR="00250AC8" w:rsidRPr="00EC250C" w:rsidRDefault="00250AC8" w:rsidP="006C70B7">
            <w:pPr>
              <w:pStyle w:val="Tabela"/>
              <w:numPr>
                <w:ilvl w:val="0"/>
                <w:numId w:val="80"/>
              </w:numPr>
              <w:ind w:left="0" w:firstLine="0"/>
              <w:jc w:val="both"/>
            </w:pPr>
          </w:p>
        </w:tc>
        <w:tc>
          <w:tcPr>
            <w:tcW w:w="7331" w:type="dxa"/>
          </w:tcPr>
          <w:p w14:paraId="38E08DCC"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konferencji nt. „Tajemnica Medyczna. Praktyczne Dylematy Ochrony Danych Pacjentów” zorganizowanej przez Naczelną Izbę Pielęgniarek</w:t>
            </w:r>
            <w:r w:rsidR="00992FD0" w:rsidRPr="00EC250C">
              <w:rPr>
                <w:sz w:val="18"/>
                <w:szCs w:val="20"/>
              </w:rPr>
              <w:t xml:space="preserve"> i </w:t>
            </w:r>
            <w:r w:rsidRPr="00EC250C">
              <w:rPr>
                <w:sz w:val="18"/>
                <w:szCs w:val="20"/>
              </w:rPr>
              <w:t>Położnych, Okręgową Izbę Lekarską</w:t>
            </w:r>
            <w:r w:rsidR="00992FD0" w:rsidRPr="00EC250C">
              <w:rPr>
                <w:sz w:val="18"/>
                <w:szCs w:val="20"/>
              </w:rPr>
              <w:t xml:space="preserve"> w </w:t>
            </w:r>
            <w:r w:rsidRPr="00EC250C">
              <w:rPr>
                <w:sz w:val="18"/>
                <w:szCs w:val="20"/>
              </w:rPr>
              <w:t>Warszawie, Naczelną Izbę Lekarską</w:t>
            </w:r>
            <w:r w:rsidR="00992FD0" w:rsidRPr="00EC250C">
              <w:rPr>
                <w:sz w:val="18"/>
                <w:szCs w:val="20"/>
              </w:rPr>
              <w:t xml:space="preserve"> w </w:t>
            </w:r>
            <w:r w:rsidRPr="00EC250C">
              <w:rPr>
                <w:sz w:val="18"/>
                <w:szCs w:val="20"/>
              </w:rPr>
              <w:t>Warszawie, Okręgową Izbę Pielęgniarek</w:t>
            </w:r>
            <w:r w:rsidR="00992FD0" w:rsidRPr="00EC250C">
              <w:rPr>
                <w:sz w:val="18"/>
                <w:szCs w:val="20"/>
              </w:rPr>
              <w:t xml:space="preserve"> i </w:t>
            </w:r>
            <w:r w:rsidRPr="00EC250C">
              <w:rPr>
                <w:sz w:val="18"/>
                <w:szCs w:val="20"/>
              </w:rPr>
              <w:t>Położnych</w:t>
            </w:r>
            <w:r w:rsidR="00992FD0" w:rsidRPr="00EC250C">
              <w:rPr>
                <w:sz w:val="18"/>
                <w:szCs w:val="20"/>
              </w:rPr>
              <w:t xml:space="preserve"> w </w:t>
            </w:r>
            <w:r w:rsidRPr="00EC250C">
              <w:rPr>
                <w:sz w:val="18"/>
                <w:szCs w:val="20"/>
              </w:rPr>
              <w:t>Warszawie, Okręgową Izbę Pielęgniarek</w:t>
            </w:r>
            <w:r w:rsidR="00992FD0" w:rsidRPr="00EC250C">
              <w:rPr>
                <w:sz w:val="18"/>
                <w:szCs w:val="20"/>
              </w:rPr>
              <w:t xml:space="preserve"> i </w:t>
            </w:r>
            <w:r w:rsidRPr="00EC250C">
              <w:rPr>
                <w:sz w:val="18"/>
                <w:szCs w:val="20"/>
              </w:rPr>
              <w:t>Położnych</w:t>
            </w:r>
            <w:r w:rsidR="00992FD0" w:rsidRPr="00EC250C">
              <w:rPr>
                <w:sz w:val="18"/>
                <w:szCs w:val="20"/>
              </w:rPr>
              <w:t xml:space="preserve"> w </w:t>
            </w:r>
            <w:r w:rsidRPr="00EC250C">
              <w:rPr>
                <w:sz w:val="18"/>
                <w:szCs w:val="20"/>
              </w:rPr>
              <w:t>Radomiu oraz Instytut Praw Pacjenta</w:t>
            </w:r>
            <w:r w:rsidR="00992FD0" w:rsidRPr="00EC250C">
              <w:rPr>
                <w:sz w:val="18"/>
                <w:szCs w:val="20"/>
              </w:rPr>
              <w:t xml:space="preserve"> i </w:t>
            </w:r>
            <w:r w:rsidRPr="00EC250C">
              <w:rPr>
                <w:sz w:val="18"/>
                <w:szCs w:val="20"/>
              </w:rPr>
              <w:t>Edukacji Zdrowotnej. Warszawa.</w:t>
            </w:r>
          </w:p>
        </w:tc>
        <w:tc>
          <w:tcPr>
            <w:tcW w:w="1687" w:type="dxa"/>
          </w:tcPr>
          <w:p w14:paraId="19AC9BA9" w14:textId="77777777" w:rsidR="00250AC8" w:rsidRPr="00EC250C" w:rsidRDefault="00250AC8" w:rsidP="00902FC6">
            <w:pPr>
              <w:pStyle w:val="Tabela"/>
              <w:rPr>
                <w:sz w:val="18"/>
                <w:szCs w:val="20"/>
              </w:rPr>
            </w:pPr>
            <w:r w:rsidRPr="00EC250C">
              <w:rPr>
                <w:sz w:val="18"/>
                <w:szCs w:val="20"/>
              </w:rPr>
              <w:t>05.03.2018</w:t>
            </w:r>
            <w:r w:rsidR="00C91F6E" w:rsidRPr="00EC250C">
              <w:rPr>
                <w:sz w:val="18"/>
                <w:szCs w:val="20"/>
              </w:rPr>
              <w:t> r.</w:t>
            </w:r>
          </w:p>
        </w:tc>
      </w:tr>
      <w:tr w:rsidR="00250AC8" w:rsidRPr="00EC250C" w14:paraId="29F4B5A6" w14:textId="77777777" w:rsidTr="00FC47F2">
        <w:trPr>
          <w:tblCellSpacing w:w="20" w:type="dxa"/>
        </w:trPr>
        <w:tc>
          <w:tcPr>
            <w:tcW w:w="658" w:type="dxa"/>
          </w:tcPr>
          <w:p w14:paraId="5A5B2C39" w14:textId="77777777" w:rsidR="00250AC8" w:rsidRPr="00EC250C" w:rsidRDefault="00250AC8" w:rsidP="006C70B7">
            <w:pPr>
              <w:pStyle w:val="Tabela"/>
              <w:numPr>
                <w:ilvl w:val="0"/>
                <w:numId w:val="80"/>
              </w:numPr>
              <w:ind w:left="0" w:firstLine="0"/>
              <w:jc w:val="both"/>
            </w:pPr>
          </w:p>
        </w:tc>
        <w:tc>
          <w:tcPr>
            <w:tcW w:w="7331" w:type="dxa"/>
          </w:tcPr>
          <w:p w14:paraId="76BC733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nt. „100 lat praw wyborczych kobiet</w:t>
            </w:r>
            <w:r w:rsidR="00992FD0" w:rsidRPr="00EC250C">
              <w:rPr>
                <w:sz w:val="18"/>
                <w:szCs w:val="20"/>
              </w:rPr>
              <w:t xml:space="preserve"> w </w:t>
            </w:r>
            <w:r w:rsidRPr="00EC250C">
              <w:rPr>
                <w:sz w:val="18"/>
                <w:szCs w:val="20"/>
              </w:rPr>
              <w:t>Polsce. Doświadczenia</w:t>
            </w:r>
            <w:r w:rsidR="00992FD0" w:rsidRPr="00EC250C">
              <w:rPr>
                <w:sz w:val="18"/>
                <w:szCs w:val="20"/>
              </w:rPr>
              <w:t xml:space="preserve"> i </w:t>
            </w:r>
            <w:r w:rsidRPr="00EC250C">
              <w:rPr>
                <w:sz w:val="18"/>
                <w:szCs w:val="20"/>
              </w:rPr>
              <w:t xml:space="preserve">osiągnięcia Polski oraz </w:t>
            </w:r>
            <w:r w:rsidRPr="00EC250C">
              <w:rPr>
                <w:sz w:val="18"/>
                <w:szCs w:val="20"/>
              </w:rPr>
              <w:lastRenderedPageBreak/>
              <w:t>krajów nordyckich”, współorganizowanej przez Polsko-Fińską Grupę Parlamentarną we współpracy</w:t>
            </w:r>
            <w:r w:rsidR="00992FD0" w:rsidRPr="00EC250C">
              <w:rPr>
                <w:sz w:val="18"/>
                <w:szCs w:val="20"/>
              </w:rPr>
              <w:t xml:space="preserve"> z </w:t>
            </w:r>
            <w:r w:rsidRPr="00EC250C">
              <w:rPr>
                <w:sz w:val="18"/>
                <w:szCs w:val="20"/>
              </w:rPr>
              <w:t>Ambasadą Finlandii</w:t>
            </w:r>
            <w:r w:rsidR="00992FD0" w:rsidRPr="00EC250C">
              <w:rPr>
                <w:sz w:val="18"/>
                <w:szCs w:val="20"/>
              </w:rPr>
              <w:t xml:space="preserve"> i </w:t>
            </w:r>
            <w:r w:rsidRPr="00EC250C">
              <w:rPr>
                <w:sz w:val="18"/>
                <w:szCs w:val="20"/>
              </w:rPr>
              <w:t>Biurem Instytucji Demokratycznych</w:t>
            </w:r>
            <w:r w:rsidR="00992FD0" w:rsidRPr="00EC250C">
              <w:rPr>
                <w:sz w:val="18"/>
                <w:szCs w:val="20"/>
              </w:rPr>
              <w:t xml:space="preserve"> i </w:t>
            </w:r>
            <w:r w:rsidRPr="00EC250C">
              <w:rPr>
                <w:sz w:val="18"/>
                <w:szCs w:val="20"/>
              </w:rPr>
              <w:t>Praw Człowieka OBWE (ODIHR). Warszawa.</w:t>
            </w:r>
          </w:p>
        </w:tc>
        <w:tc>
          <w:tcPr>
            <w:tcW w:w="1687" w:type="dxa"/>
          </w:tcPr>
          <w:p w14:paraId="369C6C54" w14:textId="77777777" w:rsidR="00250AC8" w:rsidRPr="00EC250C" w:rsidRDefault="00250AC8" w:rsidP="00902FC6">
            <w:pPr>
              <w:pStyle w:val="Tabela"/>
              <w:rPr>
                <w:sz w:val="18"/>
                <w:szCs w:val="20"/>
              </w:rPr>
            </w:pPr>
            <w:r w:rsidRPr="00EC250C">
              <w:rPr>
                <w:sz w:val="18"/>
                <w:szCs w:val="20"/>
              </w:rPr>
              <w:lastRenderedPageBreak/>
              <w:t>06.03.2018</w:t>
            </w:r>
            <w:r w:rsidR="00C91F6E" w:rsidRPr="00EC250C">
              <w:rPr>
                <w:sz w:val="18"/>
                <w:szCs w:val="20"/>
              </w:rPr>
              <w:t> r.</w:t>
            </w:r>
          </w:p>
        </w:tc>
      </w:tr>
      <w:tr w:rsidR="00250AC8" w:rsidRPr="00EC250C" w14:paraId="4935F3BF" w14:textId="77777777" w:rsidTr="00FC47F2">
        <w:trPr>
          <w:tblCellSpacing w:w="20" w:type="dxa"/>
        </w:trPr>
        <w:tc>
          <w:tcPr>
            <w:tcW w:w="658" w:type="dxa"/>
          </w:tcPr>
          <w:p w14:paraId="2BE960B2" w14:textId="77777777" w:rsidR="00250AC8" w:rsidRPr="00EC250C" w:rsidRDefault="00250AC8" w:rsidP="006C70B7">
            <w:pPr>
              <w:pStyle w:val="Tabela"/>
              <w:numPr>
                <w:ilvl w:val="0"/>
                <w:numId w:val="80"/>
              </w:numPr>
              <w:ind w:left="0" w:firstLine="0"/>
              <w:jc w:val="both"/>
            </w:pPr>
          </w:p>
        </w:tc>
        <w:tc>
          <w:tcPr>
            <w:tcW w:w="7331" w:type="dxa"/>
          </w:tcPr>
          <w:p w14:paraId="332F59C4"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 </w:t>
            </w:r>
            <w:r w:rsidR="003C397F" w:rsidRPr="00EC250C">
              <w:rPr>
                <w:sz w:val="18"/>
                <w:szCs w:val="20"/>
              </w:rPr>
              <w:t>zastępczyni</w:t>
            </w:r>
            <w:r w:rsidRPr="00EC250C">
              <w:rPr>
                <w:sz w:val="18"/>
                <w:szCs w:val="20"/>
              </w:rPr>
              <w:t xml:space="preserve"> RPO Hanny Machińskiej oraz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debacie „Rok 1968. Obywatelstwo: Łaska władzy czy prawo?” zorganizowanej przez Biuro RPO. Warszawa.</w:t>
            </w:r>
          </w:p>
        </w:tc>
        <w:tc>
          <w:tcPr>
            <w:tcW w:w="1687" w:type="dxa"/>
          </w:tcPr>
          <w:p w14:paraId="3A938A85" w14:textId="77777777" w:rsidR="00250AC8" w:rsidRPr="00EC250C" w:rsidRDefault="00250AC8" w:rsidP="00902FC6">
            <w:pPr>
              <w:pStyle w:val="Tabela"/>
              <w:rPr>
                <w:sz w:val="18"/>
                <w:szCs w:val="20"/>
              </w:rPr>
            </w:pPr>
            <w:r w:rsidRPr="00EC250C">
              <w:rPr>
                <w:sz w:val="18"/>
                <w:szCs w:val="20"/>
              </w:rPr>
              <w:t>07.03.2018</w:t>
            </w:r>
            <w:r w:rsidR="00C91F6E" w:rsidRPr="00EC250C">
              <w:rPr>
                <w:sz w:val="18"/>
                <w:szCs w:val="20"/>
              </w:rPr>
              <w:t> r.</w:t>
            </w:r>
          </w:p>
        </w:tc>
      </w:tr>
      <w:tr w:rsidR="00250AC8" w:rsidRPr="00EC250C" w14:paraId="7FFA4095" w14:textId="77777777" w:rsidTr="00FC47F2">
        <w:trPr>
          <w:tblCellSpacing w:w="20" w:type="dxa"/>
        </w:trPr>
        <w:tc>
          <w:tcPr>
            <w:tcW w:w="658" w:type="dxa"/>
          </w:tcPr>
          <w:p w14:paraId="35D4C1A6" w14:textId="77777777" w:rsidR="00250AC8" w:rsidRPr="00EC250C" w:rsidRDefault="00250AC8" w:rsidP="006C70B7">
            <w:pPr>
              <w:pStyle w:val="Tabela"/>
              <w:numPr>
                <w:ilvl w:val="0"/>
                <w:numId w:val="80"/>
              </w:numPr>
              <w:ind w:left="0" w:firstLine="0"/>
              <w:jc w:val="both"/>
            </w:pPr>
          </w:p>
        </w:tc>
        <w:tc>
          <w:tcPr>
            <w:tcW w:w="7331" w:type="dxa"/>
          </w:tcPr>
          <w:p w14:paraId="3E15E049"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obchodach 50. rocznicy Marca 1968 – spotkanie pod tablicą pamiątkową na Dworcu Gdańskim. Warszawa.</w:t>
            </w:r>
          </w:p>
        </w:tc>
        <w:tc>
          <w:tcPr>
            <w:tcW w:w="1687" w:type="dxa"/>
          </w:tcPr>
          <w:p w14:paraId="684A2855" w14:textId="77777777" w:rsidR="00250AC8" w:rsidRPr="00EC250C" w:rsidRDefault="00250AC8" w:rsidP="00902FC6">
            <w:pPr>
              <w:pStyle w:val="Tabela"/>
              <w:rPr>
                <w:sz w:val="18"/>
                <w:szCs w:val="20"/>
              </w:rPr>
            </w:pPr>
            <w:r w:rsidRPr="00EC250C">
              <w:rPr>
                <w:sz w:val="18"/>
                <w:szCs w:val="20"/>
              </w:rPr>
              <w:t>08.03.2018</w:t>
            </w:r>
            <w:r w:rsidR="00C91F6E" w:rsidRPr="00EC250C">
              <w:rPr>
                <w:sz w:val="18"/>
                <w:szCs w:val="20"/>
              </w:rPr>
              <w:t> r.</w:t>
            </w:r>
          </w:p>
        </w:tc>
      </w:tr>
      <w:tr w:rsidR="00250AC8" w:rsidRPr="00EC250C" w14:paraId="416C817C" w14:textId="77777777" w:rsidTr="00FC47F2">
        <w:trPr>
          <w:tblCellSpacing w:w="20" w:type="dxa"/>
        </w:trPr>
        <w:tc>
          <w:tcPr>
            <w:tcW w:w="658" w:type="dxa"/>
          </w:tcPr>
          <w:p w14:paraId="3E8C9010" w14:textId="77777777" w:rsidR="00250AC8" w:rsidRPr="00EC250C" w:rsidRDefault="00250AC8" w:rsidP="006C70B7">
            <w:pPr>
              <w:pStyle w:val="Tabela"/>
              <w:numPr>
                <w:ilvl w:val="0"/>
                <w:numId w:val="80"/>
              </w:numPr>
              <w:ind w:left="0" w:firstLine="0"/>
              <w:jc w:val="both"/>
            </w:pPr>
          </w:p>
        </w:tc>
        <w:tc>
          <w:tcPr>
            <w:tcW w:w="7331" w:type="dxa"/>
          </w:tcPr>
          <w:p w14:paraId="317F7A1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seminarium naukowym nt. „Kobiety</w:t>
            </w:r>
            <w:r w:rsidR="00992FD0" w:rsidRPr="00EC250C">
              <w:rPr>
                <w:sz w:val="18"/>
                <w:szCs w:val="20"/>
              </w:rPr>
              <w:t xml:space="preserve"> i </w:t>
            </w:r>
            <w:r w:rsidRPr="00EC250C">
              <w:rPr>
                <w:sz w:val="18"/>
                <w:szCs w:val="20"/>
              </w:rPr>
              <w:t>bezpieczeństwo” zorganizowanym przez Wydział Nauk Politycznych Uniwersytetu Warszawskiego pod honorowym patronatem RPO. Warszawa.</w:t>
            </w:r>
          </w:p>
        </w:tc>
        <w:tc>
          <w:tcPr>
            <w:tcW w:w="1687" w:type="dxa"/>
          </w:tcPr>
          <w:p w14:paraId="027AF097" w14:textId="77777777" w:rsidR="00250AC8" w:rsidRPr="00EC250C" w:rsidRDefault="00250AC8" w:rsidP="00902FC6">
            <w:pPr>
              <w:pStyle w:val="Tabela"/>
              <w:rPr>
                <w:sz w:val="18"/>
                <w:szCs w:val="20"/>
              </w:rPr>
            </w:pPr>
            <w:r w:rsidRPr="00EC250C">
              <w:rPr>
                <w:sz w:val="18"/>
                <w:szCs w:val="20"/>
              </w:rPr>
              <w:t>08.03.2018</w:t>
            </w:r>
            <w:r w:rsidR="00C91F6E" w:rsidRPr="00EC250C">
              <w:rPr>
                <w:sz w:val="18"/>
                <w:szCs w:val="20"/>
              </w:rPr>
              <w:t> r.</w:t>
            </w:r>
          </w:p>
        </w:tc>
      </w:tr>
      <w:tr w:rsidR="00250AC8" w:rsidRPr="00EC250C" w14:paraId="22E14F3F" w14:textId="77777777" w:rsidTr="00FC47F2">
        <w:trPr>
          <w:tblCellSpacing w:w="20" w:type="dxa"/>
        </w:trPr>
        <w:tc>
          <w:tcPr>
            <w:tcW w:w="658" w:type="dxa"/>
          </w:tcPr>
          <w:p w14:paraId="7AB04777" w14:textId="77777777" w:rsidR="00250AC8" w:rsidRPr="00EC250C" w:rsidRDefault="00250AC8" w:rsidP="006C70B7">
            <w:pPr>
              <w:pStyle w:val="Tabela"/>
              <w:numPr>
                <w:ilvl w:val="0"/>
                <w:numId w:val="80"/>
              </w:numPr>
              <w:ind w:left="0" w:firstLine="0"/>
              <w:jc w:val="both"/>
            </w:pPr>
          </w:p>
        </w:tc>
        <w:tc>
          <w:tcPr>
            <w:tcW w:w="7331" w:type="dxa"/>
          </w:tcPr>
          <w:p w14:paraId="57B293C5"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Gali przyznania nagrody „Kobieta Adwokatury 2017”, zorganizowanej przez Naczelną Radę Adwokacką. PAP. Warszawa.</w:t>
            </w:r>
          </w:p>
        </w:tc>
        <w:tc>
          <w:tcPr>
            <w:tcW w:w="1687" w:type="dxa"/>
          </w:tcPr>
          <w:p w14:paraId="78DBCA00" w14:textId="77777777" w:rsidR="00250AC8" w:rsidRPr="00EC250C" w:rsidRDefault="00250AC8" w:rsidP="00902FC6">
            <w:pPr>
              <w:pStyle w:val="Tabela"/>
              <w:rPr>
                <w:sz w:val="18"/>
                <w:szCs w:val="20"/>
              </w:rPr>
            </w:pPr>
            <w:r w:rsidRPr="00EC250C">
              <w:rPr>
                <w:sz w:val="18"/>
                <w:szCs w:val="20"/>
              </w:rPr>
              <w:t>08.03.2018</w:t>
            </w:r>
            <w:r w:rsidR="00C91F6E" w:rsidRPr="00EC250C">
              <w:rPr>
                <w:sz w:val="18"/>
                <w:szCs w:val="20"/>
              </w:rPr>
              <w:t> r.</w:t>
            </w:r>
          </w:p>
        </w:tc>
      </w:tr>
      <w:tr w:rsidR="00250AC8" w:rsidRPr="00EC250C" w14:paraId="02FC2F48" w14:textId="77777777" w:rsidTr="00FC47F2">
        <w:trPr>
          <w:tblCellSpacing w:w="20" w:type="dxa"/>
        </w:trPr>
        <w:tc>
          <w:tcPr>
            <w:tcW w:w="658" w:type="dxa"/>
          </w:tcPr>
          <w:p w14:paraId="38A9F76F" w14:textId="77777777" w:rsidR="00250AC8" w:rsidRPr="00EC250C" w:rsidRDefault="00250AC8" w:rsidP="006C70B7">
            <w:pPr>
              <w:pStyle w:val="Tabela"/>
              <w:numPr>
                <w:ilvl w:val="0"/>
                <w:numId w:val="80"/>
              </w:numPr>
              <w:ind w:left="0" w:firstLine="0"/>
              <w:jc w:val="both"/>
            </w:pPr>
          </w:p>
        </w:tc>
        <w:tc>
          <w:tcPr>
            <w:tcW w:w="7331" w:type="dxa"/>
          </w:tcPr>
          <w:p w14:paraId="6B86251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debacie</w:t>
            </w:r>
            <w:r w:rsidR="00992FD0" w:rsidRPr="00EC250C">
              <w:rPr>
                <w:sz w:val="18"/>
                <w:szCs w:val="20"/>
              </w:rPr>
              <w:t xml:space="preserve"> o </w:t>
            </w:r>
            <w:r w:rsidRPr="00EC250C">
              <w:rPr>
                <w:sz w:val="18"/>
                <w:szCs w:val="20"/>
              </w:rPr>
              <w:t>feminizacji języka nt. „Język odmiany, czy odmiana języka” zorganizowanej</w:t>
            </w:r>
            <w:r w:rsidR="00992FD0" w:rsidRPr="00EC250C">
              <w:rPr>
                <w:sz w:val="18"/>
                <w:szCs w:val="20"/>
              </w:rPr>
              <w:t xml:space="preserve"> w </w:t>
            </w:r>
            <w:r w:rsidRPr="00EC250C">
              <w:rPr>
                <w:sz w:val="18"/>
                <w:szCs w:val="20"/>
              </w:rPr>
              <w:t>ramach Częstochowskiego Roku Kobiet. Częstochowa.</w:t>
            </w:r>
          </w:p>
        </w:tc>
        <w:tc>
          <w:tcPr>
            <w:tcW w:w="1687" w:type="dxa"/>
          </w:tcPr>
          <w:p w14:paraId="144A571A" w14:textId="77777777" w:rsidR="00250AC8" w:rsidRPr="00EC250C" w:rsidRDefault="00250AC8" w:rsidP="00902FC6">
            <w:pPr>
              <w:pStyle w:val="Tabela"/>
              <w:rPr>
                <w:sz w:val="18"/>
                <w:szCs w:val="20"/>
              </w:rPr>
            </w:pPr>
            <w:r w:rsidRPr="00EC250C">
              <w:rPr>
                <w:sz w:val="18"/>
                <w:szCs w:val="20"/>
              </w:rPr>
              <w:t>09.03.2018</w:t>
            </w:r>
            <w:r w:rsidR="00C91F6E" w:rsidRPr="00EC250C">
              <w:rPr>
                <w:sz w:val="18"/>
                <w:szCs w:val="20"/>
              </w:rPr>
              <w:t> r.</w:t>
            </w:r>
          </w:p>
        </w:tc>
      </w:tr>
      <w:tr w:rsidR="00250AC8" w:rsidRPr="00EC250C" w14:paraId="051CF5CB" w14:textId="77777777" w:rsidTr="00FC47F2">
        <w:trPr>
          <w:tblCellSpacing w:w="20" w:type="dxa"/>
        </w:trPr>
        <w:tc>
          <w:tcPr>
            <w:tcW w:w="658" w:type="dxa"/>
          </w:tcPr>
          <w:p w14:paraId="1FAE7E6D" w14:textId="77777777" w:rsidR="00250AC8" w:rsidRPr="00EC250C" w:rsidRDefault="00250AC8" w:rsidP="006C70B7">
            <w:pPr>
              <w:pStyle w:val="Tabela"/>
              <w:numPr>
                <w:ilvl w:val="0"/>
                <w:numId w:val="80"/>
              </w:numPr>
              <w:ind w:left="0" w:firstLine="0"/>
              <w:jc w:val="both"/>
            </w:pPr>
          </w:p>
        </w:tc>
        <w:tc>
          <w:tcPr>
            <w:tcW w:w="7331" w:type="dxa"/>
          </w:tcPr>
          <w:p w14:paraId="0434E7F5"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konferencji naukowej nt. „Prokuratura</w:t>
            </w:r>
            <w:r w:rsidR="00992FD0" w:rsidRPr="00EC250C">
              <w:rPr>
                <w:sz w:val="18"/>
                <w:szCs w:val="20"/>
              </w:rPr>
              <w:t xml:space="preserve"> w </w:t>
            </w:r>
            <w:r w:rsidRPr="00EC250C">
              <w:rPr>
                <w:sz w:val="18"/>
                <w:szCs w:val="20"/>
              </w:rPr>
              <w:t>Polsce</w:t>
            </w:r>
            <w:r w:rsidR="00992FD0" w:rsidRPr="00EC250C">
              <w:rPr>
                <w:sz w:val="18"/>
                <w:szCs w:val="20"/>
              </w:rPr>
              <w:t xml:space="preserve"> w </w:t>
            </w:r>
            <w:r w:rsidRPr="00EC250C">
              <w:rPr>
                <w:sz w:val="18"/>
                <w:szCs w:val="20"/>
              </w:rPr>
              <w:t>XXI wieku – wyzwania ustrojowe</w:t>
            </w:r>
            <w:r w:rsidR="00992FD0" w:rsidRPr="00EC250C">
              <w:rPr>
                <w:sz w:val="18"/>
                <w:szCs w:val="20"/>
              </w:rPr>
              <w:t xml:space="preserve"> i </w:t>
            </w:r>
            <w:r w:rsidRPr="00EC250C">
              <w:rPr>
                <w:sz w:val="18"/>
                <w:szCs w:val="20"/>
              </w:rPr>
              <w:t>procesowe” zorganizowanej przez Stowarzyszenie Prokuratorów „Lex Super Omnia”. Warszawa.</w:t>
            </w:r>
          </w:p>
        </w:tc>
        <w:tc>
          <w:tcPr>
            <w:tcW w:w="1687" w:type="dxa"/>
          </w:tcPr>
          <w:p w14:paraId="7CB349A3" w14:textId="77777777" w:rsidR="00250AC8" w:rsidRPr="00EC250C" w:rsidRDefault="00250AC8" w:rsidP="00902FC6">
            <w:pPr>
              <w:pStyle w:val="Tabela"/>
              <w:rPr>
                <w:sz w:val="18"/>
                <w:szCs w:val="20"/>
              </w:rPr>
            </w:pPr>
            <w:r w:rsidRPr="00EC250C">
              <w:rPr>
                <w:sz w:val="18"/>
                <w:szCs w:val="20"/>
              </w:rPr>
              <w:t>09.03.2018</w:t>
            </w:r>
            <w:r w:rsidR="00C91F6E" w:rsidRPr="00EC250C">
              <w:rPr>
                <w:sz w:val="18"/>
                <w:szCs w:val="20"/>
              </w:rPr>
              <w:t> r.</w:t>
            </w:r>
          </w:p>
        </w:tc>
      </w:tr>
      <w:tr w:rsidR="00250AC8" w:rsidRPr="00EC250C" w14:paraId="27A520A9" w14:textId="77777777" w:rsidTr="00FC47F2">
        <w:trPr>
          <w:tblCellSpacing w:w="20" w:type="dxa"/>
        </w:trPr>
        <w:tc>
          <w:tcPr>
            <w:tcW w:w="658" w:type="dxa"/>
          </w:tcPr>
          <w:p w14:paraId="430E1EB9" w14:textId="77777777" w:rsidR="00250AC8" w:rsidRPr="00EC250C" w:rsidRDefault="00250AC8" w:rsidP="006C70B7">
            <w:pPr>
              <w:pStyle w:val="Tabela"/>
              <w:numPr>
                <w:ilvl w:val="0"/>
                <w:numId w:val="80"/>
              </w:numPr>
              <w:ind w:left="0" w:firstLine="0"/>
              <w:jc w:val="both"/>
            </w:pPr>
          </w:p>
        </w:tc>
        <w:tc>
          <w:tcPr>
            <w:tcW w:w="7331" w:type="dxa"/>
          </w:tcPr>
          <w:p w14:paraId="0FBD7EF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uroczystości przyznania nagrody im. Jana Rodowicza „Anody”. Warszawa.</w:t>
            </w:r>
          </w:p>
        </w:tc>
        <w:tc>
          <w:tcPr>
            <w:tcW w:w="1687" w:type="dxa"/>
          </w:tcPr>
          <w:p w14:paraId="73BCA8D0" w14:textId="77777777" w:rsidR="00250AC8" w:rsidRPr="00EC250C" w:rsidRDefault="00250AC8" w:rsidP="00902FC6">
            <w:pPr>
              <w:pStyle w:val="Tabela"/>
              <w:rPr>
                <w:sz w:val="18"/>
                <w:szCs w:val="20"/>
              </w:rPr>
            </w:pPr>
            <w:r w:rsidRPr="00EC250C">
              <w:rPr>
                <w:sz w:val="18"/>
                <w:szCs w:val="20"/>
              </w:rPr>
              <w:t>11.03.2018</w:t>
            </w:r>
            <w:r w:rsidR="00C91F6E" w:rsidRPr="00EC250C">
              <w:rPr>
                <w:sz w:val="18"/>
                <w:szCs w:val="20"/>
              </w:rPr>
              <w:t> r.</w:t>
            </w:r>
          </w:p>
        </w:tc>
      </w:tr>
      <w:tr w:rsidR="00250AC8" w:rsidRPr="00EC250C" w14:paraId="1650E69F" w14:textId="77777777" w:rsidTr="00FC47F2">
        <w:trPr>
          <w:tblCellSpacing w:w="20" w:type="dxa"/>
        </w:trPr>
        <w:tc>
          <w:tcPr>
            <w:tcW w:w="658" w:type="dxa"/>
          </w:tcPr>
          <w:p w14:paraId="04E2B8DB" w14:textId="77777777" w:rsidR="00250AC8" w:rsidRPr="00EC250C" w:rsidRDefault="00250AC8" w:rsidP="006C70B7">
            <w:pPr>
              <w:pStyle w:val="Tabela"/>
              <w:numPr>
                <w:ilvl w:val="0"/>
                <w:numId w:val="80"/>
              </w:numPr>
              <w:ind w:left="0" w:firstLine="0"/>
              <w:jc w:val="both"/>
            </w:pPr>
          </w:p>
        </w:tc>
        <w:tc>
          <w:tcPr>
            <w:tcW w:w="7331" w:type="dxa"/>
          </w:tcPr>
          <w:p w14:paraId="08DA6BA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dorocznym posiedzeniu Zgromadzenia Ogólnego Sędziów Naczelnego Sądu Administracyjnego. Warszawa.</w:t>
            </w:r>
          </w:p>
        </w:tc>
        <w:tc>
          <w:tcPr>
            <w:tcW w:w="1687" w:type="dxa"/>
          </w:tcPr>
          <w:p w14:paraId="3E607AB9" w14:textId="77777777" w:rsidR="00250AC8" w:rsidRPr="00EC250C" w:rsidRDefault="00250AC8" w:rsidP="00902FC6">
            <w:pPr>
              <w:pStyle w:val="Tabela"/>
              <w:rPr>
                <w:sz w:val="18"/>
                <w:szCs w:val="20"/>
              </w:rPr>
            </w:pPr>
            <w:r w:rsidRPr="00EC250C">
              <w:rPr>
                <w:sz w:val="18"/>
                <w:szCs w:val="20"/>
              </w:rPr>
              <w:t>12.03.2018</w:t>
            </w:r>
            <w:r w:rsidR="00C91F6E" w:rsidRPr="00EC250C">
              <w:rPr>
                <w:sz w:val="18"/>
                <w:szCs w:val="20"/>
              </w:rPr>
              <w:t> r.</w:t>
            </w:r>
          </w:p>
        </w:tc>
      </w:tr>
      <w:tr w:rsidR="00250AC8" w:rsidRPr="00EC250C" w14:paraId="3738CC3F" w14:textId="77777777" w:rsidTr="00FC47F2">
        <w:trPr>
          <w:tblCellSpacing w:w="20" w:type="dxa"/>
        </w:trPr>
        <w:tc>
          <w:tcPr>
            <w:tcW w:w="658" w:type="dxa"/>
          </w:tcPr>
          <w:p w14:paraId="38AC2C51" w14:textId="77777777" w:rsidR="00250AC8" w:rsidRPr="00EC250C" w:rsidRDefault="00250AC8" w:rsidP="006C70B7">
            <w:pPr>
              <w:pStyle w:val="Tabela"/>
              <w:numPr>
                <w:ilvl w:val="0"/>
                <w:numId w:val="80"/>
              </w:numPr>
              <w:ind w:left="0" w:firstLine="0"/>
              <w:jc w:val="both"/>
            </w:pPr>
          </w:p>
        </w:tc>
        <w:tc>
          <w:tcPr>
            <w:tcW w:w="7331" w:type="dxa"/>
          </w:tcPr>
          <w:p w14:paraId="402CEF00"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ELF Expert Forum on EU Security and Defence zorganizowanym przez European Liberal Forum. Warszawa.</w:t>
            </w:r>
          </w:p>
        </w:tc>
        <w:tc>
          <w:tcPr>
            <w:tcW w:w="1687" w:type="dxa"/>
          </w:tcPr>
          <w:p w14:paraId="16D9A918" w14:textId="77777777" w:rsidR="00250AC8" w:rsidRPr="00EC250C" w:rsidRDefault="00250AC8" w:rsidP="00902FC6">
            <w:pPr>
              <w:pStyle w:val="Tabela"/>
              <w:rPr>
                <w:sz w:val="18"/>
                <w:szCs w:val="20"/>
              </w:rPr>
            </w:pPr>
            <w:r w:rsidRPr="00EC250C">
              <w:rPr>
                <w:sz w:val="18"/>
                <w:szCs w:val="20"/>
              </w:rPr>
              <w:t>12.03.2018</w:t>
            </w:r>
            <w:r w:rsidR="00C91F6E" w:rsidRPr="00EC250C">
              <w:rPr>
                <w:sz w:val="18"/>
                <w:szCs w:val="20"/>
              </w:rPr>
              <w:t> r.</w:t>
            </w:r>
          </w:p>
        </w:tc>
      </w:tr>
      <w:tr w:rsidR="00250AC8" w:rsidRPr="00EC250C" w14:paraId="4CF7CABA" w14:textId="77777777" w:rsidTr="00FC47F2">
        <w:trPr>
          <w:tblCellSpacing w:w="20" w:type="dxa"/>
        </w:trPr>
        <w:tc>
          <w:tcPr>
            <w:tcW w:w="658" w:type="dxa"/>
          </w:tcPr>
          <w:p w14:paraId="19004E27" w14:textId="77777777" w:rsidR="00250AC8" w:rsidRPr="00EC250C" w:rsidRDefault="00250AC8" w:rsidP="006C70B7">
            <w:pPr>
              <w:pStyle w:val="Tabela"/>
              <w:numPr>
                <w:ilvl w:val="0"/>
                <w:numId w:val="80"/>
              </w:numPr>
              <w:ind w:left="0" w:firstLine="0"/>
              <w:jc w:val="both"/>
            </w:pPr>
          </w:p>
        </w:tc>
        <w:tc>
          <w:tcPr>
            <w:tcW w:w="7331" w:type="dxa"/>
          </w:tcPr>
          <w:p w14:paraId="3BC2E9A9" w14:textId="77777777" w:rsidR="00250AC8" w:rsidRPr="00EC250C" w:rsidRDefault="00250AC8" w:rsidP="00902FC6">
            <w:pPr>
              <w:pStyle w:val="Tabela"/>
              <w:rPr>
                <w:rFonts w:eastAsiaTheme="majorEastAsia"/>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uroczystości nadania tytułu doktora honoris causa Uniwersytetu Warszawskiego dr Siergiejowi Kowalowowi. Warszawa.</w:t>
            </w:r>
          </w:p>
        </w:tc>
        <w:tc>
          <w:tcPr>
            <w:tcW w:w="1687" w:type="dxa"/>
          </w:tcPr>
          <w:p w14:paraId="3F8ADAC7" w14:textId="77777777" w:rsidR="00250AC8" w:rsidRPr="00EC250C" w:rsidRDefault="00250AC8" w:rsidP="00902FC6">
            <w:pPr>
              <w:pStyle w:val="Tabela"/>
              <w:rPr>
                <w:sz w:val="18"/>
                <w:szCs w:val="20"/>
              </w:rPr>
            </w:pPr>
            <w:r w:rsidRPr="00EC250C">
              <w:rPr>
                <w:sz w:val="18"/>
                <w:szCs w:val="20"/>
              </w:rPr>
              <w:t>14.03.2018</w:t>
            </w:r>
            <w:r w:rsidR="00C91F6E" w:rsidRPr="00EC250C">
              <w:rPr>
                <w:sz w:val="18"/>
                <w:szCs w:val="20"/>
              </w:rPr>
              <w:t> r.</w:t>
            </w:r>
          </w:p>
        </w:tc>
      </w:tr>
      <w:tr w:rsidR="00250AC8" w:rsidRPr="00EC250C" w14:paraId="019671E4" w14:textId="77777777" w:rsidTr="00FC47F2">
        <w:trPr>
          <w:tblCellSpacing w:w="20" w:type="dxa"/>
        </w:trPr>
        <w:tc>
          <w:tcPr>
            <w:tcW w:w="658" w:type="dxa"/>
          </w:tcPr>
          <w:p w14:paraId="59291185" w14:textId="77777777" w:rsidR="00250AC8" w:rsidRPr="00EC250C" w:rsidRDefault="00250AC8" w:rsidP="006C70B7">
            <w:pPr>
              <w:pStyle w:val="Tabela"/>
              <w:numPr>
                <w:ilvl w:val="0"/>
                <w:numId w:val="80"/>
              </w:numPr>
              <w:ind w:left="0" w:firstLine="0"/>
              <w:jc w:val="both"/>
            </w:pPr>
          </w:p>
        </w:tc>
        <w:tc>
          <w:tcPr>
            <w:tcW w:w="7331" w:type="dxa"/>
          </w:tcPr>
          <w:p w14:paraId="1791EDE4"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seminarium eksperckim</w:t>
            </w:r>
            <w:r w:rsidR="00992FD0" w:rsidRPr="00EC250C">
              <w:rPr>
                <w:sz w:val="18"/>
                <w:szCs w:val="20"/>
              </w:rPr>
              <w:t xml:space="preserve"> w </w:t>
            </w:r>
            <w:r w:rsidRPr="00EC250C">
              <w:rPr>
                <w:sz w:val="18"/>
                <w:szCs w:val="20"/>
              </w:rPr>
              <w:t>sprawie praktyki zwolnienia</w:t>
            </w:r>
            <w:r w:rsidR="00992FD0" w:rsidRPr="00EC250C">
              <w:rPr>
                <w:sz w:val="18"/>
                <w:szCs w:val="20"/>
              </w:rPr>
              <w:t xml:space="preserve"> z </w:t>
            </w:r>
            <w:r w:rsidRPr="00EC250C">
              <w:rPr>
                <w:sz w:val="18"/>
                <w:szCs w:val="20"/>
              </w:rPr>
              <w:t>tajemnicy adwokackiej (i radcowskiej) zorganizowanym przez Naczelną Radę Adwokacką, Helsińską Fundację Praw Człowieka</w:t>
            </w:r>
            <w:r w:rsidR="00992FD0" w:rsidRPr="00EC250C">
              <w:rPr>
                <w:sz w:val="18"/>
                <w:szCs w:val="20"/>
              </w:rPr>
              <w:t xml:space="preserve"> i </w:t>
            </w:r>
            <w:r w:rsidRPr="00EC250C">
              <w:rPr>
                <w:sz w:val="18"/>
                <w:szCs w:val="20"/>
              </w:rPr>
              <w:t>Rzecznika Praw Obywatelskich. Biuro RPO. Warszawa.</w:t>
            </w:r>
          </w:p>
        </w:tc>
        <w:tc>
          <w:tcPr>
            <w:tcW w:w="1687" w:type="dxa"/>
          </w:tcPr>
          <w:p w14:paraId="545FFDBF" w14:textId="77777777" w:rsidR="00250AC8" w:rsidRPr="00EC250C" w:rsidRDefault="00250AC8" w:rsidP="00902FC6">
            <w:pPr>
              <w:pStyle w:val="Tabela"/>
              <w:rPr>
                <w:sz w:val="18"/>
                <w:szCs w:val="20"/>
              </w:rPr>
            </w:pPr>
            <w:r w:rsidRPr="00EC250C">
              <w:rPr>
                <w:sz w:val="18"/>
                <w:szCs w:val="20"/>
              </w:rPr>
              <w:t>14.03.2018</w:t>
            </w:r>
            <w:r w:rsidR="00C91F6E" w:rsidRPr="00EC250C">
              <w:rPr>
                <w:sz w:val="18"/>
                <w:szCs w:val="20"/>
              </w:rPr>
              <w:t> r.</w:t>
            </w:r>
          </w:p>
        </w:tc>
      </w:tr>
      <w:tr w:rsidR="00250AC8" w:rsidRPr="00EC250C" w14:paraId="2CE8B855" w14:textId="77777777" w:rsidTr="00FC47F2">
        <w:trPr>
          <w:tblCellSpacing w:w="20" w:type="dxa"/>
        </w:trPr>
        <w:tc>
          <w:tcPr>
            <w:tcW w:w="658" w:type="dxa"/>
          </w:tcPr>
          <w:p w14:paraId="039BE1B8" w14:textId="77777777" w:rsidR="00250AC8" w:rsidRPr="00EC250C" w:rsidRDefault="00250AC8" w:rsidP="006C70B7">
            <w:pPr>
              <w:pStyle w:val="Tabela"/>
              <w:numPr>
                <w:ilvl w:val="0"/>
                <w:numId w:val="80"/>
              </w:numPr>
              <w:ind w:left="0" w:firstLine="0"/>
              <w:jc w:val="both"/>
            </w:pPr>
          </w:p>
        </w:tc>
        <w:tc>
          <w:tcPr>
            <w:tcW w:w="7331" w:type="dxa"/>
          </w:tcPr>
          <w:p w14:paraId="0E2EF19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II Festiwalu Praw Człowieka pod honorowym patronatem RPO. Kędzierzyn-Koźle.</w:t>
            </w:r>
          </w:p>
        </w:tc>
        <w:tc>
          <w:tcPr>
            <w:tcW w:w="1687" w:type="dxa"/>
          </w:tcPr>
          <w:p w14:paraId="39F5FC9C" w14:textId="77777777" w:rsidR="00250AC8" w:rsidRPr="00EC250C" w:rsidRDefault="00250AC8" w:rsidP="00902FC6">
            <w:pPr>
              <w:pStyle w:val="Tabela"/>
              <w:rPr>
                <w:sz w:val="18"/>
                <w:szCs w:val="20"/>
              </w:rPr>
            </w:pPr>
            <w:r w:rsidRPr="00EC250C">
              <w:rPr>
                <w:sz w:val="18"/>
                <w:szCs w:val="20"/>
              </w:rPr>
              <w:t>15.03.2018</w:t>
            </w:r>
            <w:r w:rsidR="00C91F6E" w:rsidRPr="00EC250C">
              <w:rPr>
                <w:sz w:val="18"/>
                <w:szCs w:val="20"/>
              </w:rPr>
              <w:t> r.</w:t>
            </w:r>
          </w:p>
        </w:tc>
      </w:tr>
      <w:tr w:rsidR="00250AC8" w:rsidRPr="00EC250C" w14:paraId="468BD1FC" w14:textId="77777777" w:rsidTr="00FC47F2">
        <w:trPr>
          <w:tblCellSpacing w:w="20" w:type="dxa"/>
        </w:trPr>
        <w:tc>
          <w:tcPr>
            <w:tcW w:w="658" w:type="dxa"/>
          </w:tcPr>
          <w:p w14:paraId="76F461C1" w14:textId="77777777" w:rsidR="00250AC8" w:rsidRPr="00EC250C" w:rsidRDefault="00250AC8" w:rsidP="006C70B7">
            <w:pPr>
              <w:pStyle w:val="Tabela"/>
              <w:numPr>
                <w:ilvl w:val="0"/>
                <w:numId w:val="80"/>
              </w:numPr>
              <w:ind w:left="0" w:firstLine="0"/>
              <w:jc w:val="both"/>
            </w:pPr>
          </w:p>
        </w:tc>
        <w:tc>
          <w:tcPr>
            <w:tcW w:w="7331" w:type="dxa"/>
          </w:tcPr>
          <w:p w14:paraId="185710E4"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sympozjum naukowym nt. „Prawo do prywatności</w:t>
            </w:r>
            <w:r w:rsidR="00992FD0" w:rsidRPr="00EC250C">
              <w:rPr>
                <w:sz w:val="18"/>
                <w:szCs w:val="20"/>
              </w:rPr>
              <w:t xml:space="preserve"> w </w:t>
            </w:r>
            <w:r w:rsidRPr="00EC250C">
              <w:rPr>
                <w:sz w:val="18"/>
                <w:szCs w:val="20"/>
              </w:rPr>
              <w:t>Kościołach</w:t>
            </w:r>
            <w:r w:rsidR="00992FD0" w:rsidRPr="00EC250C">
              <w:rPr>
                <w:sz w:val="18"/>
                <w:szCs w:val="20"/>
              </w:rPr>
              <w:t xml:space="preserve"> i </w:t>
            </w:r>
            <w:r w:rsidRPr="00EC250C">
              <w:rPr>
                <w:sz w:val="18"/>
                <w:szCs w:val="20"/>
              </w:rPr>
              <w:t>innych związkach wyznaniowych: od tajemnicy duszpasterskiej do ochrony danych osobowych” zorganizowanym przez Chrześcijańską Akademię Teologiczną</w:t>
            </w:r>
            <w:r w:rsidR="00992FD0" w:rsidRPr="00EC250C">
              <w:rPr>
                <w:sz w:val="18"/>
                <w:szCs w:val="20"/>
              </w:rPr>
              <w:t xml:space="preserve"> w </w:t>
            </w:r>
            <w:r w:rsidRPr="00EC250C">
              <w:rPr>
                <w:sz w:val="18"/>
                <w:szCs w:val="20"/>
              </w:rPr>
              <w:t>Warszawie wspólnie</w:t>
            </w:r>
            <w:r w:rsidR="00992FD0" w:rsidRPr="00EC250C">
              <w:rPr>
                <w:sz w:val="18"/>
                <w:szCs w:val="20"/>
              </w:rPr>
              <w:t xml:space="preserve"> z </w:t>
            </w:r>
            <w:r w:rsidRPr="00EC250C">
              <w:rPr>
                <w:sz w:val="18"/>
                <w:szCs w:val="20"/>
              </w:rPr>
              <w:t>Polską Radą Ekumeniczną. Warszawa.</w:t>
            </w:r>
          </w:p>
        </w:tc>
        <w:tc>
          <w:tcPr>
            <w:tcW w:w="1687" w:type="dxa"/>
          </w:tcPr>
          <w:p w14:paraId="5F2FC455" w14:textId="77777777" w:rsidR="00250AC8" w:rsidRPr="00EC250C" w:rsidRDefault="00250AC8" w:rsidP="00902FC6">
            <w:pPr>
              <w:pStyle w:val="Tabela"/>
              <w:rPr>
                <w:sz w:val="18"/>
                <w:szCs w:val="20"/>
              </w:rPr>
            </w:pPr>
            <w:r w:rsidRPr="00EC250C">
              <w:rPr>
                <w:sz w:val="18"/>
                <w:szCs w:val="20"/>
              </w:rPr>
              <w:t>15.03.2018</w:t>
            </w:r>
            <w:r w:rsidR="00C91F6E" w:rsidRPr="00EC250C">
              <w:rPr>
                <w:sz w:val="18"/>
                <w:szCs w:val="20"/>
              </w:rPr>
              <w:t> r.</w:t>
            </w:r>
          </w:p>
        </w:tc>
      </w:tr>
      <w:tr w:rsidR="00250AC8" w:rsidRPr="00EC250C" w14:paraId="6CFC3173" w14:textId="77777777" w:rsidTr="00FC47F2">
        <w:trPr>
          <w:tblCellSpacing w:w="20" w:type="dxa"/>
        </w:trPr>
        <w:tc>
          <w:tcPr>
            <w:tcW w:w="658" w:type="dxa"/>
          </w:tcPr>
          <w:p w14:paraId="7D0399F8" w14:textId="77777777" w:rsidR="00250AC8" w:rsidRPr="00EC250C" w:rsidRDefault="00250AC8" w:rsidP="006C70B7">
            <w:pPr>
              <w:pStyle w:val="Tabela"/>
              <w:numPr>
                <w:ilvl w:val="0"/>
                <w:numId w:val="80"/>
              </w:numPr>
              <w:ind w:left="0" w:firstLine="0"/>
              <w:jc w:val="both"/>
            </w:pPr>
          </w:p>
        </w:tc>
        <w:tc>
          <w:tcPr>
            <w:tcW w:w="7331" w:type="dxa"/>
          </w:tcPr>
          <w:p w14:paraId="0E36AEBE" w14:textId="77777777" w:rsidR="00250AC8" w:rsidRPr="00EC250C" w:rsidRDefault="00250AC8" w:rsidP="00902FC6">
            <w:pPr>
              <w:pStyle w:val="Tabela"/>
              <w:rPr>
                <w:sz w:val="18"/>
                <w:szCs w:val="20"/>
              </w:rPr>
            </w:pPr>
            <w:r w:rsidRPr="00EC250C">
              <w:rPr>
                <w:sz w:val="18"/>
                <w:szCs w:val="20"/>
              </w:rPr>
              <w:t>Konferencja nt. „Problemy prawa wyborczego” zorganizowana przez Centrum Studiów Wyborczych Uniwersytetu Mikołaja Kopernika</w:t>
            </w:r>
            <w:r w:rsidR="00992FD0" w:rsidRPr="00EC250C">
              <w:rPr>
                <w:sz w:val="18"/>
                <w:szCs w:val="20"/>
              </w:rPr>
              <w:t xml:space="preserve"> w </w:t>
            </w:r>
            <w:r w:rsidRPr="00EC250C">
              <w:rPr>
                <w:sz w:val="18"/>
                <w:szCs w:val="20"/>
              </w:rPr>
              <w:t>Toruniu. Gdańsk.</w:t>
            </w:r>
          </w:p>
        </w:tc>
        <w:tc>
          <w:tcPr>
            <w:tcW w:w="1687" w:type="dxa"/>
          </w:tcPr>
          <w:p w14:paraId="62DA5503" w14:textId="77777777" w:rsidR="00250AC8" w:rsidRPr="00EC250C" w:rsidRDefault="00250AC8" w:rsidP="00902FC6">
            <w:pPr>
              <w:pStyle w:val="Tabela"/>
              <w:rPr>
                <w:sz w:val="18"/>
                <w:szCs w:val="20"/>
              </w:rPr>
            </w:pPr>
            <w:r w:rsidRPr="00EC250C">
              <w:rPr>
                <w:sz w:val="18"/>
                <w:szCs w:val="20"/>
              </w:rPr>
              <w:t>15–18.03.2018</w:t>
            </w:r>
            <w:r w:rsidR="00C91F6E" w:rsidRPr="00EC250C">
              <w:rPr>
                <w:sz w:val="18"/>
                <w:szCs w:val="20"/>
              </w:rPr>
              <w:t> r.</w:t>
            </w:r>
          </w:p>
        </w:tc>
      </w:tr>
      <w:tr w:rsidR="00250AC8" w:rsidRPr="00EC250C" w14:paraId="3B3E843D" w14:textId="77777777" w:rsidTr="00FC47F2">
        <w:trPr>
          <w:tblCellSpacing w:w="20" w:type="dxa"/>
        </w:trPr>
        <w:tc>
          <w:tcPr>
            <w:tcW w:w="658" w:type="dxa"/>
          </w:tcPr>
          <w:p w14:paraId="2201EF0E" w14:textId="77777777" w:rsidR="00250AC8" w:rsidRPr="00EC250C" w:rsidRDefault="00250AC8" w:rsidP="006C70B7">
            <w:pPr>
              <w:pStyle w:val="Tabela"/>
              <w:numPr>
                <w:ilvl w:val="0"/>
                <w:numId w:val="80"/>
              </w:numPr>
              <w:ind w:left="0" w:firstLine="0"/>
              <w:jc w:val="both"/>
            </w:pPr>
          </w:p>
        </w:tc>
        <w:tc>
          <w:tcPr>
            <w:tcW w:w="7331" w:type="dxa"/>
          </w:tcPr>
          <w:p w14:paraId="3F3CC3A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uroczystej Gali „Kryształowe Serce Radcy Prawnego” zorganizowanej przez Krajową Izbę Radców Prawnych. Warszawa.</w:t>
            </w:r>
          </w:p>
        </w:tc>
        <w:tc>
          <w:tcPr>
            <w:tcW w:w="1687" w:type="dxa"/>
          </w:tcPr>
          <w:p w14:paraId="192BAAA7" w14:textId="77777777" w:rsidR="00250AC8" w:rsidRPr="00EC250C" w:rsidRDefault="00250AC8" w:rsidP="00902FC6">
            <w:pPr>
              <w:pStyle w:val="Tabela"/>
              <w:rPr>
                <w:sz w:val="18"/>
                <w:szCs w:val="20"/>
              </w:rPr>
            </w:pPr>
            <w:r w:rsidRPr="00EC250C">
              <w:rPr>
                <w:sz w:val="18"/>
                <w:szCs w:val="20"/>
              </w:rPr>
              <w:t>16.03.2018</w:t>
            </w:r>
            <w:r w:rsidR="00C91F6E" w:rsidRPr="00EC250C">
              <w:rPr>
                <w:sz w:val="18"/>
                <w:szCs w:val="20"/>
              </w:rPr>
              <w:t> r.</w:t>
            </w:r>
          </w:p>
        </w:tc>
      </w:tr>
      <w:tr w:rsidR="00250AC8" w:rsidRPr="00EC250C" w14:paraId="7D4567C1" w14:textId="77777777" w:rsidTr="00FC47F2">
        <w:trPr>
          <w:tblCellSpacing w:w="20" w:type="dxa"/>
        </w:trPr>
        <w:tc>
          <w:tcPr>
            <w:tcW w:w="658" w:type="dxa"/>
          </w:tcPr>
          <w:p w14:paraId="6863DB25" w14:textId="77777777" w:rsidR="00250AC8" w:rsidRPr="00EC250C" w:rsidRDefault="00250AC8" w:rsidP="006C70B7">
            <w:pPr>
              <w:pStyle w:val="Tabela"/>
              <w:numPr>
                <w:ilvl w:val="0"/>
                <w:numId w:val="80"/>
              </w:numPr>
              <w:ind w:left="0" w:firstLine="0"/>
              <w:jc w:val="both"/>
            </w:pPr>
          </w:p>
        </w:tc>
        <w:tc>
          <w:tcPr>
            <w:tcW w:w="7331" w:type="dxa"/>
          </w:tcPr>
          <w:p w14:paraId="59DB031D" w14:textId="77777777" w:rsidR="00250AC8" w:rsidRPr="00EC250C" w:rsidRDefault="00250AC8" w:rsidP="00902FC6">
            <w:pPr>
              <w:pStyle w:val="Tabela"/>
              <w:rPr>
                <w:sz w:val="18"/>
                <w:szCs w:val="20"/>
              </w:rPr>
            </w:pPr>
            <w:r w:rsidRPr="00EC250C">
              <w:rPr>
                <w:sz w:val="18"/>
                <w:szCs w:val="20"/>
              </w:rPr>
              <w:t xml:space="preserve">Udział oraz wystąpienie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IV Słupskim Kongresie Kobiet. Słupsk.</w:t>
            </w:r>
          </w:p>
        </w:tc>
        <w:tc>
          <w:tcPr>
            <w:tcW w:w="1687" w:type="dxa"/>
          </w:tcPr>
          <w:p w14:paraId="42136639" w14:textId="77777777" w:rsidR="00250AC8" w:rsidRPr="00EC250C" w:rsidRDefault="00250AC8" w:rsidP="00902FC6">
            <w:pPr>
              <w:pStyle w:val="Tabela"/>
              <w:rPr>
                <w:sz w:val="18"/>
                <w:szCs w:val="20"/>
              </w:rPr>
            </w:pPr>
            <w:r w:rsidRPr="00EC250C">
              <w:rPr>
                <w:sz w:val="18"/>
                <w:szCs w:val="20"/>
              </w:rPr>
              <w:t>17.03.2018</w:t>
            </w:r>
            <w:r w:rsidR="00C91F6E" w:rsidRPr="00EC250C">
              <w:rPr>
                <w:sz w:val="18"/>
                <w:szCs w:val="20"/>
              </w:rPr>
              <w:t> r.</w:t>
            </w:r>
          </w:p>
        </w:tc>
      </w:tr>
      <w:tr w:rsidR="00250AC8" w:rsidRPr="00EC250C" w14:paraId="30B0D5A4" w14:textId="77777777" w:rsidTr="00FC47F2">
        <w:trPr>
          <w:tblCellSpacing w:w="20" w:type="dxa"/>
        </w:trPr>
        <w:tc>
          <w:tcPr>
            <w:tcW w:w="658" w:type="dxa"/>
          </w:tcPr>
          <w:p w14:paraId="6AAA4927" w14:textId="77777777" w:rsidR="00250AC8" w:rsidRPr="00EC250C" w:rsidRDefault="00250AC8" w:rsidP="006C70B7">
            <w:pPr>
              <w:pStyle w:val="Tabela"/>
              <w:numPr>
                <w:ilvl w:val="0"/>
                <w:numId w:val="80"/>
              </w:numPr>
              <w:ind w:left="0" w:firstLine="0"/>
              <w:jc w:val="both"/>
            </w:pPr>
          </w:p>
        </w:tc>
        <w:tc>
          <w:tcPr>
            <w:tcW w:w="7331" w:type="dxa"/>
          </w:tcPr>
          <w:p w14:paraId="21C548B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konferencji nt. „Problemy przemocy domowej</w:t>
            </w:r>
            <w:r w:rsidR="00992FD0" w:rsidRPr="00EC250C">
              <w:rPr>
                <w:sz w:val="18"/>
                <w:szCs w:val="20"/>
              </w:rPr>
              <w:t xml:space="preserve"> i </w:t>
            </w:r>
            <w:r w:rsidRPr="00EC250C">
              <w:rPr>
                <w:sz w:val="18"/>
                <w:szCs w:val="20"/>
              </w:rPr>
              <w:t>instytucjonalnej wobec osób dorosłych</w:t>
            </w:r>
            <w:r w:rsidR="00992FD0" w:rsidRPr="00EC250C">
              <w:rPr>
                <w:sz w:val="18"/>
                <w:szCs w:val="20"/>
              </w:rPr>
              <w:t xml:space="preserve"> i </w:t>
            </w:r>
            <w:r w:rsidRPr="00EC250C">
              <w:rPr>
                <w:sz w:val="18"/>
                <w:szCs w:val="20"/>
              </w:rPr>
              <w:t>starszych” zorganizowanej przez Ogólnopolskie Pogotowie dla Ofiar Przemocy</w:t>
            </w:r>
            <w:r w:rsidR="00992FD0" w:rsidRPr="00EC250C">
              <w:rPr>
                <w:sz w:val="18"/>
                <w:szCs w:val="20"/>
              </w:rPr>
              <w:t xml:space="preserve"> w </w:t>
            </w:r>
            <w:r w:rsidRPr="00EC250C">
              <w:rPr>
                <w:sz w:val="18"/>
                <w:szCs w:val="20"/>
              </w:rPr>
              <w:t>Rodzinie „Niebieska Linia” IPZ</w:t>
            </w:r>
            <w:r w:rsidR="00992FD0" w:rsidRPr="00EC250C">
              <w:rPr>
                <w:sz w:val="18"/>
                <w:szCs w:val="20"/>
              </w:rPr>
              <w:t xml:space="preserve"> i </w:t>
            </w:r>
            <w:r w:rsidRPr="00EC250C">
              <w:rPr>
                <w:sz w:val="18"/>
                <w:szCs w:val="20"/>
              </w:rPr>
              <w:t>Warszawski Uniwersytet Medyczny pod honorowym patronatem RPO. Warszawa.</w:t>
            </w:r>
          </w:p>
        </w:tc>
        <w:tc>
          <w:tcPr>
            <w:tcW w:w="1687" w:type="dxa"/>
          </w:tcPr>
          <w:p w14:paraId="28827AE1" w14:textId="77777777" w:rsidR="00250AC8" w:rsidRPr="00EC250C" w:rsidRDefault="00250AC8" w:rsidP="00902FC6">
            <w:pPr>
              <w:pStyle w:val="Tabela"/>
              <w:rPr>
                <w:sz w:val="18"/>
                <w:szCs w:val="20"/>
              </w:rPr>
            </w:pPr>
            <w:r w:rsidRPr="00EC250C">
              <w:rPr>
                <w:sz w:val="18"/>
                <w:szCs w:val="20"/>
              </w:rPr>
              <w:t>20.03.2018</w:t>
            </w:r>
            <w:r w:rsidR="00C91F6E" w:rsidRPr="00EC250C">
              <w:rPr>
                <w:sz w:val="18"/>
                <w:szCs w:val="20"/>
              </w:rPr>
              <w:t> r.</w:t>
            </w:r>
          </w:p>
        </w:tc>
      </w:tr>
      <w:tr w:rsidR="00250AC8" w:rsidRPr="00EC250C" w14:paraId="57F22BE4" w14:textId="77777777" w:rsidTr="00FC47F2">
        <w:trPr>
          <w:tblCellSpacing w:w="20" w:type="dxa"/>
        </w:trPr>
        <w:tc>
          <w:tcPr>
            <w:tcW w:w="658" w:type="dxa"/>
          </w:tcPr>
          <w:p w14:paraId="0B00CE7F" w14:textId="77777777" w:rsidR="00250AC8" w:rsidRPr="00EC250C" w:rsidRDefault="00250AC8" w:rsidP="006C70B7">
            <w:pPr>
              <w:pStyle w:val="Tabela"/>
              <w:numPr>
                <w:ilvl w:val="0"/>
                <w:numId w:val="80"/>
              </w:numPr>
              <w:ind w:left="0" w:firstLine="0"/>
              <w:jc w:val="both"/>
            </w:pPr>
          </w:p>
        </w:tc>
        <w:tc>
          <w:tcPr>
            <w:tcW w:w="7331" w:type="dxa"/>
          </w:tcPr>
          <w:p w14:paraId="38FE906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Zgromadzeniu Ogólnym Sędziów Sądu Najwyższego. Warszawa.</w:t>
            </w:r>
          </w:p>
        </w:tc>
        <w:tc>
          <w:tcPr>
            <w:tcW w:w="1687" w:type="dxa"/>
          </w:tcPr>
          <w:p w14:paraId="18F707C7" w14:textId="77777777" w:rsidR="00250AC8" w:rsidRPr="00EC250C" w:rsidRDefault="00250AC8" w:rsidP="00902FC6">
            <w:pPr>
              <w:pStyle w:val="Tabela"/>
              <w:rPr>
                <w:sz w:val="18"/>
                <w:szCs w:val="20"/>
              </w:rPr>
            </w:pPr>
            <w:r w:rsidRPr="00EC250C">
              <w:rPr>
                <w:sz w:val="18"/>
                <w:szCs w:val="20"/>
              </w:rPr>
              <w:t>21.03.2018</w:t>
            </w:r>
            <w:r w:rsidR="00C91F6E" w:rsidRPr="00EC250C">
              <w:rPr>
                <w:sz w:val="18"/>
                <w:szCs w:val="20"/>
              </w:rPr>
              <w:t> r.</w:t>
            </w:r>
          </w:p>
        </w:tc>
      </w:tr>
      <w:tr w:rsidR="00250AC8" w:rsidRPr="00EC250C" w14:paraId="2443D993" w14:textId="77777777" w:rsidTr="00FC47F2">
        <w:trPr>
          <w:tblCellSpacing w:w="20" w:type="dxa"/>
        </w:trPr>
        <w:tc>
          <w:tcPr>
            <w:tcW w:w="658" w:type="dxa"/>
          </w:tcPr>
          <w:p w14:paraId="008AB86D" w14:textId="77777777" w:rsidR="00250AC8" w:rsidRPr="00EC250C" w:rsidRDefault="00250AC8" w:rsidP="006C70B7">
            <w:pPr>
              <w:pStyle w:val="Tabela"/>
              <w:numPr>
                <w:ilvl w:val="0"/>
                <w:numId w:val="80"/>
              </w:numPr>
              <w:ind w:left="0" w:firstLine="0"/>
              <w:jc w:val="both"/>
            </w:pPr>
          </w:p>
        </w:tc>
        <w:tc>
          <w:tcPr>
            <w:tcW w:w="7331" w:type="dxa"/>
          </w:tcPr>
          <w:p w14:paraId="64D1E4F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warsztatach poświęconych stosowaniu Konwencji</w:t>
            </w:r>
            <w:r w:rsidR="00992FD0" w:rsidRPr="00EC250C">
              <w:rPr>
                <w:sz w:val="18"/>
                <w:szCs w:val="20"/>
              </w:rPr>
              <w:t xml:space="preserve"> z </w:t>
            </w:r>
            <w:r w:rsidRPr="00EC250C">
              <w:rPr>
                <w:sz w:val="18"/>
                <w:szCs w:val="20"/>
              </w:rPr>
              <w:t>Aarhus</w:t>
            </w:r>
            <w:r w:rsidR="00992FD0" w:rsidRPr="00EC250C">
              <w:rPr>
                <w:sz w:val="18"/>
                <w:szCs w:val="20"/>
              </w:rPr>
              <w:t xml:space="preserve"> w </w:t>
            </w:r>
            <w:r w:rsidRPr="00EC250C">
              <w:rPr>
                <w:sz w:val="18"/>
                <w:szCs w:val="20"/>
              </w:rPr>
              <w:t>Polsce</w:t>
            </w:r>
            <w:r w:rsidR="00992FD0" w:rsidRPr="00EC250C">
              <w:rPr>
                <w:sz w:val="18"/>
                <w:szCs w:val="20"/>
              </w:rPr>
              <w:t xml:space="preserve"> i </w:t>
            </w:r>
            <w:r w:rsidRPr="00EC250C">
              <w:rPr>
                <w:sz w:val="18"/>
                <w:szCs w:val="20"/>
              </w:rPr>
              <w:t>partycypacji obywateli</w:t>
            </w:r>
            <w:r w:rsidR="00992FD0" w:rsidRPr="00EC250C">
              <w:rPr>
                <w:sz w:val="18"/>
                <w:szCs w:val="20"/>
              </w:rPr>
              <w:t xml:space="preserve"> w </w:t>
            </w:r>
            <w:r w:rsidRPr="00EC250C">
              <w:rPr>
                <w:sz w:val="18"/>
                <w:szCs w:val="20"/>
              </w:rPr>
              <w:t>procedurach środowiskowych</w:t>
            </w:r>
            <w:r w:rsidR="00992FD0" w:rsidRPr="00EC250C">
              <w:rPr>
                <w:sz w:val="18"/>
                <w:szCs w:val="20"/>
              </w:rPr>
              <w:t xml:space="preserve"> w </w:t>
            </w:r>
            <w:r w:rsidRPr="00EC250C">
              <w:rPr>
                <w:sz w:val="18"/>
                <w:szCs w:val="20"/>
              </w:rPr>
              <w:t>ramach programu „Prawo na rzecz bardziej zielonej Europy”, zorganizowanych przez Fundację ClientEarth Prawnicy dla Ziemi, RPO</w:t>
            </w:r>
            <w:r w:rsidR="00992FD0" w:rsidRPr="00EC250C">
              <w:rPr>
                <w:sz w:val="18"/>
                <w:szCs w:val="20"/>
              </w:rPr>
              <w:t xml:space="preserve"> i </w:t>
            </w:r>
            <w:r w:rsidRPr="00EC250C">
              <w:rPr>
                <w:sz w:val="18"/>
                <w:szCs w:val="20"/>
              </w:rPr>
              <w:t>organizację Justice&amp;Environment.</w:t>
            </w:r>
          </w:p>
        </w:tc>
        <w:tc>
          <w:tcPr>
            <w:tcW w:w="1687" w:type="dxa"/>
          </w:tcPr>
          <w:p w14:paraId="6349E0D9" w14:textId="77777777" w:rsidR="00250AC8" w:rsidRPr="00EC250C" w:rsidRDefault="00250AC8" w:rsidP="00902FC6">
            <w:pPr>
              <w:pStyle w:val="Tabela"/>
              <w:rPr>
                <w:sz w:val="18"/>
                <w:szCs w:val="20"/>
              </w:rPr>
            </w:pPr>
            <w:r w:rsidRPr="00EC250C">
              <w:rPr>
                <w:sz w:val="18"/>
                <w:szCs w:val="20"/>
              </w:rPr>
              <w:t>21.03.2018</w:t>
            </w:r>
            <w:r w:rsidR="00C91F6E" w:rsidRPr="00EC250C">
              <w:rPr>
                <w:sz w:val="18"/>
                <w:szCs w:val="20"/>
              </w:rPr>
              <w:t> r.</w:t>
            </w:r>
          </w:p>
        </w:tc>
      </w:tr>
      <w:tr w:rsidR="00250AC8" w:rsidRPr="00EC250C" w14:paraId="14683298" w14:textId="77777777" w:rsidTr="00FC47F2">
        <w:trPr>
          <w:tblCellSpacing w:w="20" w:type="dxa"/>
        </w:trPr>
        <w:tc>
          <w:tcPr>
            <w:tcW w:w="658" w:type="dxa"/>
          </w:tcPr>
          <w:p w14:paraId="59FE8FBA" w14:textId="77777777" w:rsidR="00250AC8" w:rsidRPr="00EC250C" w:rsidRDefault="00250AC8" w:rsidP="006C70B7">
            <w:pPr>
              <w:pStyle w:val="Tabela"/>
              <w:numPr>
                <w:ilvl w:val="0"/>
                <w:numId w:val="80"/>
              </w:numPr>
              <w:ind w:left="0" w:firstLine="0"/>
              <w:jc w:val="both"/>
            </w:pPr>
          </w:p>
        </w:tc>
        <w:tc>
          <w:tcPr>
            <w:tcW w:w="7331" w:type="dxa"/>
          </w:tcPr>
          <w:p w14:paraId="15DCBCAC" w14:textId="77777777" w:rsidR="00250AC8" w:rsidRPr="00EC250C" w:rsidRDefault="00250AC8" w:rsidP="00902FC6">
            <w:pPr>
              <w:pStyle w:val="Tabela"/>
              <w:rPr>
                <w:sz w:val="18"/>
                <w:szCs w:val="20"/>
              </w:rPr>
            </w:pPr>
            <w:r w:rsidRPr="00EC250C">
              <w:rPr>
                <w:sz w:val="18"/>
                <w:szCs w:val="20"/>
              </w:rPr>
              <w:t>I Kongres Suicydologiczny nt. „Perspektywy zapobiegania samobójstwom</w:t>
            </w:r>
            <w:r w:rsidR="00992FD0" w:rsidRPr="00EC250C">
              <w:rPr>
                <w:sz w:val="18"/>
                <w:szCs w:val="20"/>
              </w:rPr>
              <w:t xml:space="preserve"> i </w:t>
            </w:r>
            <w:r w:rsidRPr="00EC250C">
              <w:rPr>
                <w:sz w:val="18"/>
                <w:szCs w:val="20"/>
              </w:rPr>
              <w:t>depresji</w:t>
            </w:r>
            <w:r w:rsidR="00992FD0" w:rsidRPr="00EC250C">
              <w:rPr>
                <w:sz w:val="18"/>
                <w:szCs w:val="20"/>
              </w:rPr>
              <w:t xml:space="preserve"> w </w:t>
            </w:r>
            <w:r w:rsidRPr="00EC250C">
              <w:rPr>
                <w:sz w:val="18"/>
                <w:szCs w:val="20"/>
              </w:rPr>
              <w:t>Polsce” zorganizowany przez Ministerstwo Zdrowia, Uniwersytet Medyczny</w:t>
            </w:r>
            <w:r w:rsidR="00992FD0" w:rsidRPr="00EC250C">
              <w:rPr>
                <w:sz w:val="18"/>
                <w:szCs w:val="20"/>
              </w:rPr>
              <w:t xml:space="preserve"> w </w:t>
            </w:r>
            <w:r w:rsidRPr="00EC250C">
              <w:rPr>
                <w:sz w:val="18"/>
                <w:szCs w:val="20"/>
              </w:rPr>
              <w:t>Łodzi, Instytut Psychiatrii</w:t>
            </w:r>
            <w:r w:rsidR="00992FD0" w:rsidRPr="00EC250C">
              <w:rPr>
                <w:sz w:val="18"/>
                <w:szCs w:val="20"/>
              </w:rPr>
              <w:t xml:space="preserve"> i </w:t>
            </w:r>
            <w:r w:rsidRPr="00EC250C">
              <w:rPr>
                <w:sz w:val="18"/>
                <w:szCs w:val="20"/>
              </w:rPr>
              <w:t>Neurologii</w:t>
            </w:r>
            <w:r w:rsidR="00992FD0" w:rsidRPr="00EC250C">
              <w:rPr>
                <w:sz w:val="18"/>
                <w:szCs w:val="20"/>
              </w:rPr>
              <w:t xml:space="preserve"> w </w:t>
            </w:r>
            <w:r w:rsidRPr="00EC250C">
              <w:rPr>
                <w:sz w:val="18"/>
                <w:szCs w:val="20"/>
              </w:rPr>
              <w:t>Warszawie, Polskie Towarzystwo Suicydologiczne, Sekcję Naukową Suicydologii Polskiej Polskiego Towarzystwa Psychiatrycznego, Uczelnię Łazarskiego oraz Regionalne Centrum Polityki Społecznej. Łódź, Wrocław.</w:t>
            </w:r>
          </w:p>
        </w:tc>
        <w:tc>
          <w:tcPr>
            <w:tcW w:w="1687" w:type="dxa"/>
          </w:tcPr>
          <w:p w14:paraId="503ECDC1" w14:textId="77777777" w:rsidR="00250AC8" w:rsidRPr="00EC250C" w:rsidRDefault="00250AC8" w:rsidP="00902FC6">
            <w:pPr>
              <w:pStyle w:val="Tabela"/>
              <w:rPr>
                <w:sz w:val="18"/>
                <w:szCs w:val="20"/>
              </w:rPr>
            </w:pPr>
            <w:r w:rsidRPr="00EC250C">
              <w:rPr>
                <w:sz w:val="18"/>
                <w:szCs w:val="20"/>
              </w:rPr>
              <w:t>21–24.03.2018</w:t>
            </w:r>
            <w:r w:rsidR="00C91F6E" w:rsidRPr="00EC250C">
              <w:rPr>
                <w:sz w:val="18"/>
                <w:szCs w:val="20"/>
              </w:rPr>
              <w:t> r.</w:t>
            </w:r>
          </w:p>
        </w:tc>
      </w:tr>
      <w:tr w:rsidR="00250AC8" w:rsidRPr="00EC250C" w14:paraId="2D991018" w14:textId="77777777" w:rsidTr="00FC47F2">
        <w:trPr>
          <w:tblCellSpacing w:w="20" w:type="dxa"/>
        </w:trPr>
        <w:tc>
          <w:tcPr>
            <w:tcW w:w="658" w:type="dxa"/>
          </w:tcPr>
          <w:p w14:paraId="7C699DA6" w14:textId="77777777" w:rsidR="00250AC8" w:rsidRPr="00EC250C" w:rsidRDefault="00250AC8" w:rsidP="006C70B7">
            <w:pPr>
              <w:pStyle w:val="Tabela"/>
              <w:numPr>
                <w:ilvl w:val="0"/>
                <w:numId w:val="80"/>
              </w:numPr>
              <w:ind w:left="0" w:firstLine="0"/>
              <w:jc w:val="both"/>
            </w:pPr>
          </w:p>
        </w:tc>
        <w:tc>
          <w:tcPr>
            <w:tcW w:w="7331" w:type="dxa"/>
          </w:tcPr>
          <w:p w14:paraId="7AD1DE7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ISP nt. „Ochrona przed hejtem czy cenzura? Jak walczyć</w:t>
            </w:r>
            <w:r w:rsidR="00992FD0" w:rsidRPr="00EC250C">
              <w:rPr>
                <w:sz w:val="18"/>
                <w:szCs w:val="20"/>
              </w:rPr>
              <w:t xml:space="preserve"> z </w:t>
            </w:r>
            <w:r w:rsidRPr="00EC250C">
              <w:rPr>
                <w:sz w:val="18"/>
                <w:szCs w:val="20"/>
              </w:rPr>
              <w:t>mową nienawiści</w:t>
            </w:r>
            <w:r w:rsidR="00992FD0" w:rsidRPr="00EC250C">
              <w:rPr>
                <w:sz w:val="18"/>
                <w:szCs w:val="20"/>
              </w:rPr>
              <w:t xml:space="preserve"> w </w:t>
            </w:r>
            <w:r w:rsidRPr="00EC250C">
              <w:rPr>
                <w:sz w:val="18"/>
                <w:szCs w:val="20"/>
              </w:rPr>
              <w:t>internecie?”. Biuro RPO. Warszawa.</w:t>
            </w:r>
          </w:p>
        </w:tc>
        <w:tc>
          <w:tcPr>
            <w:tcW w:w="1687" w:type="dxa"/>
          </w:tcPr>
          <w:p w14:paraId="605164E8" w14:textId="77777777" w:rsidR="00250AC8" w:rsidRPr="00EC250C" w:rsidRDefault="00250AC8" w:rsidP="00902FC6">
            <w:pPr>
              <w:pStyle w:val="Tabela"/>
              <w:rPr>
                <w:sz w:val="18"/>
                <w:szCs w:val="20"/>
              </w:rPr>
            </w:pPr>
            <w:r w:rsidRPr="00EC250C">
              <w:rPr>
                <w:sz w:val="18"/>
                <w:szCs w:val="20"/>
              </w:rPr>
              <w:t>23.03.2018</w:t>
            </w:r>
            <w:r w:rsidR="00C91F6E" w:rsidRPr="00EC250C">
              <w:rPr>
                <w:sz w:val="18"/>
                <w:szCs w:val="20"/>
              </w:rPr>
              <w:t> r.</w:t>
            </w:r>
          </w:p>
        </w:tc>
      </w:tr>
      <w:tr w:rsidR="00250AC8" w:rsidRPr="00EC250C" w14:paraId="7A4CF69A" w14:textId="77777777" w:rsidTr="00FC47F2">
        <w:trPr>
          <w:tblCellSpacing w:w="20" w:type="dxa"/>
        </w:trPr>
        <w:tc>
          <w:tcPr>
            <w:tcW w:w="658" w:type="dxa"/>
          </w:tcPr>
          <w:p w14:paraId="640B2D34" w14:textId="77777777" w:rsidR="00250AC8" w:rsidRPr="00EC250C" w:rsidRDefault="00250AC8" w:rsidP="006C70B7">
            <w:pPr>
              <w:pStyle w:val="Tabela"/>
              <w:numPr>
                <w:ilvl w:val="0"/>
                <w:numId w:val="80"/>
              </w:numPr>
              <w:ind w:left="0" w:firstLine="0"/>
              <w:jc w:val="both"/>
            </w:pPr>
          </w:p>
        </w:tc>
        <w:tc>
          <w:tcPr>
            <w:tcW w:w="7331" w:type="dxa"/>
          </w:tcPr>
          <w:p w14:paraId="1BD1FE7B" w14:textId="77777777" w:rsidR="00250AC8" w:rsidRPr="00EC250C" w:rsidRDefault="00250AC8" w:rsidP="00902FC6">
            <w:pPr>
              <w:pStyle w:val="Tabela"/>
              <w:rPr>
                <w:sz w:val="18"/>
                <w:szCs w:val="20"/>
              </w:rPr>
            </w:pPr>
            <w:r w:rsidRPr="00EC250C">
              <w:rPr>
                <w:sz w:val="18"/>
                <w:szCs w:val="20"/>
              </w:rPr>
              <w:t>Ogólnopolska konferencja naukowa nt. „Ochrona konstytucyjnych praw</w:t>
            </w:r>
            <w:r w:rsidR="00992FD0" w:rsidRPr="00EC250C">
              <w:rPr>
                <w:sz w:val="18"/>
                <w:szCs w:val="20"/>
              </w:rPr>
              <w:t xml:space="preserve"> i </w:t>
            </w:r>
            <w:r w:rsidRPr="00EC250C">
              <w:rPr>
                <w:sz w:val="18"/>
                <w:szCs w:val="20"/>
              </w:rPr>
              <w:t>wolności jednostki,</w:t>
            </w:r>
            <w:r w:rsidR="00992FD0" w:rsidRPr="00EC250C">
              <w:rPr>
                <w:sz w:val="18"/>
                <w:szCs w:val="20"/>
              </w:rPr>
              <w:t xml:space="preserve"> a </w:t>
            </w:r>
            <w:r w:rsidRPr="00EC250C">
              <w:rPr>
                <w:sz w:val="18"/>
                <w:szCs w:val="20"/>
              </w:rPr>
              <w:t>działalność parlamentów narodowych” zorganizowana przez koło naukowe prawa konstytucyjnego towarzystwa biblioteki słuchaczów prawa Uniwersytetu Jagiellońskiego. Kraków.</w:t>
            </w:r>
          </w:p>
        </w:tc>
        <w:tc>
          <w:tcPr>
            <w:tcW w:w="1687" w:type="dxa"/>
          </w:tcPr>
          <w:p w14:paraId="621C7F4F" w14:textId="77777777" w:rsidR="00250AC8" w:rsidRPr="00EC250C" w:rsidRDefault="00250AC8" w:rsidP="00902FC6">
            <w:pPr>
              <w:pStyle w:val="Tabela"/>
              <w:rPr>
                <w:sz w:val="18"/>
                <w:szCs w:val="20"/>
              </w:rPr>
            </w:pPr>
            <w:r w:rsidRPr="00EC250C">
              <w:rPr>
                <w:sz w:val="18"/>
                <w:szCs w:val="20"/>
              </w:rPr>
              <w:t>23.03.2018</w:t>
            </w:r>
            <w:r w:rsidR="00C91F6E" w:rsidRPr="00EC250C">
              <w:rPr>
                <w:sz w:val="18"/>
                <w:szCs w:val="20"/>
              </w:rPr>
              <w:t> r.</w:t>
            </w:r>
          </w:p>
        </w:tc>
      </w:tr>
      <w:tr w:rsidR="00250AC8" w:rsidRPr="00EC250C" w14:paraId="0302F4B5" w14:textId="77777777" w:rsidTr="00FC47F2">
        <w:trPr>
          <w:tblCellSpacing w:w="20" w:type="dxa"/>
        </w:trPr>
        <w:tc>
          <w:tcPr>
            <w:tcW w:w="658" w:type="dxa"/>
          </w:tcPr>
          <w:p w14:paraId="759D6A47" w14:textId="77777777" w:rsidR="00250AC8" w:rsidRPr="00EC250C" w:rsidRDefault="00250AC8" w:rsidP="006C70B7">
            <w:pPr>
              <w:pStyle w:val="Tabela"/>
              <w:numPr>
                <w:ilvl w:val="0"/>
                <w:numId w:val="80"/>
              </w:numPr>
              <w:ind w:left="0" w:firstLine="0"/>
              <w:jc w:val="both"/>
            </w:pPr>
          </w:p>
        </w:tc>
        <w:tc>
          <w:tcPr>
            <w:tcW w:w="7331" w:type="dxa"/>
          </w:tcPr>
          <w:p w14:paraId="33031B35" w14:textId="77777777" w:rsidR="00250AC8" w:rsidRPr="00EC250C" w:rsidRDefault="00250AC8" w:rsidP="00902FC6">
            <w:pPr>
              <w:pStyle w:val="Tabela"/>
              <w:rPr>
                <w:sz w:val="18"/>
                <w:szCs w:val="20"/>
              </w:rPr>
            </w:pPr>
            <w:r w:rsidRPr="00EC250C">
              <w:rPr>
                <w:sz w:val="18"/>
                <w:szCs w:val="20"/>
              </w:rPr>
              <w:t>Konferencja nt. „Możliwy wpływ zmian wprowadzonych do Kodeksu wyborczego ustawą</w:t>
            </w:r>
            <w:r w:rsidR="00992FD0" w:rsidRPr="00EC250C">
              <w:rPr>
                <w:sz w:val="18"/>
                <w:szCs w:val="20"/>
              </w:rPr>
              <w:t xml:space="preserve"> z </w:t>
            </w:r>
            <w:r w:rsidRPr="00EC250C">
              <w:rPr>
                <w:sz w:val="18"/>
                <w:szCs w:val="20"/>
              </w:rPr>
              <w:t>dnia 11 stycznia 2018</w:t>
            </w:r>
            <w:r w:rsidR="00C91F6E" w:rsidRPr="00EC250C">
              <w:rPr>
                <w:sz w:val="18"/>
                <w:szCs w:val="20"/>
              </w:rPr>
              <w:t> r.</w:t>
            </w:r>
            <w:r w:rsidR="00992FD0" w:rsidRPr="00EC250C">
              <w:rPr>
                <w:sz w:val="18"/>
                <w:szCs w:val="20"/>
              </w:rPr>
              <w:t xml:space="preserve"> o </w:t>
            </w:r>
            <w:r w:rsidRPr="00EC250C">
              <w:rPr>
                <w:sz w:val="18"/>
                <w:szCs w:val="20"/>
              </w:rPr>
              <w:t>zmianie niektórych ustaw</w:t>
            </w:r>
            <w:r w:rsidR="00992FD0" w:rsidRPr="00EC250C">
              <w:rPr>
                <w:sz w:val="18"/>
                <w:szCs w:val="20"/>
              </w:rPr>
              <w:t xml:space="preserve"> w </w:t>
            </w:r>
            <w:r w:rsidRPr="00EC250C">
              <w:rPr>
                <w:sz w:val="18"/>
                <w:szCs w:val="20"/>
              </w:rPr>
              <w:t>celu zwiększenia udziału obywateli</w:t>
            </w:r>
            <w:r w:rsidR="00992FD0" w:rsidRPr="00EC250C">
              <w:rPr>
                <w:sz w:val="18"/>
                <w:szCs w:val="20"/>
              </w:rPr>
              <w:t xml:space="preserve"> w </w:t>
            </w:r>
            <w:r w:rsidRPr="00EC250C">
              <w:rPr>
                <w:sz w:val="18"/>
                <w:szCs w:val="20"/>
              </w:rPr>
              <w:t>procesie wybierania, funkcjonowania</w:t>
            </w:r>
            <w:r w:rsidR="00992FD0" w:rsidRPr="00EC250C">
              <w:rPr>
                <w:sz w:val="18"/>
                <w:szCs w:val="20"/>
              </w:rPr>
              <w:t xml:space="preserve"> i </w:t>
            </w:r>
            <w:r w:rsidRPr="00EC250C">
              <w:rPr>
                <w:sz w:val="18"/>
                <w:szCs w:val="20"/>
              </w:rPr>
              <w:t>kontrolowania niektórych organów publicznych” zorganizowana przez Centrum Studiów Wyborczych Uniwersytetu Mikołaja Kopernika</w:t>
            </w:r>
            <w:r w:rsidR="00992FD0" w:rsidRPr="00EC250C">
              <w:rPr>
                <w:sz w:val="18"/>
                <w:szCs w:val="20"/>
              </w:rPr>
              <w:t xml:space="preserve"> w </w:t>
            </w:r>
            <w:r w:rsidRPr="00EC250C">
              <w:rPr>
                <w:sz w:val="18"/>
                <w:szCs w:val="20"/>
              </w:rPr>
              <w:t>Toruniu. Toruń.</w:t>
            </w:r>
          </w:p>
        </w:tc>
        <w:tc>
          <w:tcPr>
            <w:tcW w:w="1687" w:type="dxa"/>
          </w:tcPr>
          <w:p w14:paraId="19378C02" w14:textId="77777777" w:rsidR="00250AC8" w:rsidRPr="00EC250C" w:rsidRDefault="00250AC8" w:rsidP="00902FC6">
            <w:pPr>
              <w:pStyle w:val="Tabela"/>
              <w:rPr>
                <w:sz w:val="18"/>
                <w:szCs w:val="20"/>
              </w:rPr>
            </w:pPr>
            <w:r w:rsidRPr="00EC250C">
              <w:rPr>
                <w:sz w:val="18"/>
                <w:szCs w:val="20"/>
              </w:rPr>
              <w:t>23.03.2018</w:t>
            </w:r>
            <w:r w:rsidR="00C91F6E" w:rsidRPr="00EC250C">
              <w:rPr>
                <w:sz w:val="18"/>
                <w:szCs w:val="20"/>
              </w:rPr>
              <w:t> r.</w:t>
            </w:r>
          </w:p>
        </w:tc>
      </w:tr>
      <w:tr w:rsidR="00250AC8" w:rsidRPr="00EC250C" w14:paraId="37A89343" w14:textId="77777777" w:rsidTr="00FC47F2">
        <w:trPr>
          <w:tblCellSpacing w:w="20" w:type="dxa"/>
        </w:trPr>
        <w:tc>
          <w:tcPr>
            <w:tcW w:w="658" w:type="dxa"/>
          </w:tcPr>
          <w:p w14:paraId="23727E46" w14:textId="77777777" w:rsidR="00250AC8" w:rsidRPr="00EC250C" w:rsidRDefault="00250AC8" w:rsidP="006C70B7">
            <w:pPr>
              <w:pStyle w:val="Tabela"/>
              <w:numPr>
                <w:ilvl w:val="0"/>
                <w:numId w:val="80"/>
              </w:numPr>
              <w:ind w:left="0" w:firstLine="0"/>
              <w:jc w:val="both"/>
            </w:pPr>
          </w:p>
        </w:tc>
        <w:tc>
          <w:tcPr>
            <w:tcW w:w="7331" w:type="dxa"/>
          </w:tcPr>
          <w:p w14:paraId="7A6317F3" w14:textId="77777777" w:rsidR="00250AC8" w:rsidRPr="00EC250C" w:rsidRDefault="00250AC8" w:rsidP="00902FC6">
            <w:pPr>
              <w:pStyle w:val="Tabela"/>
              <w:rPr>
                <w:sz w:val="18"/>
                <w:szCs w:val="20"/>
              </w:rPr>
            </w:pPr>
            <w:r w:rsidRPr="00EC250C">
              <w:rPr>
                <w:sz w:val="18"/>
                <w:szCs w:val="20"/>
              </w:rPr>
              <w:t xml:space="preserve">Konferencja „Citizenship at its Grassroots – European and Polish Perspectives” zorganizowana przez stowarzyszenie Europejskie Forum Studentów AEGEE – Warszawa pod honorowym patronatem RPO. Warszawa. </w:t>
            </w:r>
          </w:p>
        </w:tc>
        <w:tc>
          <w:tcPr>
            <w:tcW w:w="1687" w:type="dxa"/>
          </w:tcPr>
          <w:p w14:paraId="469AB1EC" w14:textId="77777777" w:rsidR="00250AC8" w:rsidRPr="00EC250C" w:rsidRDefault="00250AC8" w:rsidP="00902FC6">
            <w:pPr>
              <w:pStyle w:val="Tabela"/>
              <w:rPr>
                <w:sz w:val="18"/>
                <w:szCs w:val="20"/>
              </w:rPr>
            </w:pPr>
            <w:r w:rsidRPr="00EC250C">
              <w:rPr>
                <w:sz w:val="18"/>
                <w:szCs w:val="20"/>
              </w:rPr>
              <w:t>23–25.03.2018</w:t>
            </w:r>
            <w:r w:rsidR="00C91F6E" w:rsidRPr="00EC250C">
              <w:rPr>
                <w:sz w:val="18"/>
                <w:szCs w:val="20"/>
              </w:rPr>
              <w:t> r.</w:t>
            </w:r>
          </w:p>
        </w:tc>
      </w:tr>
      <w:tr w:rsidR="00250AC8" w:rsidRPr="00EC250C" w14:paraId="15449409" w14:textId="77777777" w:rsidTr="00FC47F2">
        <w:trPr>
          <w:tblCellSpacing w:w="20" w:type="dxa"/>
        </w:trPr>
        <w:tc>
          <w:tcPr>
            <w:tcW w:w="658" w:type="dxa"/>
          </w:tcPr>
          <w:p w14:paraId="592633BA" w14:textId="77777777" w:rsidR="00250AC8" w:rsidRPr="00EC250C" w:rsidRDefault="00250AC8" w:rsidP="006C70B7">
            <w:pPr>
              <w:pStyle w:val="Tabela"/>
              <w:numPr>
                <w:ilvl w:val="0"/>
                <w:numId w:val="80"/>
              </w:numPr>
              <w:ind w:left="0" w:firstLine="0"/>
              <w:jc w:val="both"/>
            </w:pPr>
          </w:p>
        </w:tc>
        <w:tc>
          <w:tcPr>
            <w:tcW w:w="7331" w:type="dxa"/>
          </w:tcPr>
          <w:p w14:paraId="299B3DD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seminarium nt. „(Nie) oczekiwane skutki reformy systemu oświaty” zorganizowanym</w:t>
            </w:r>
            <w:r w:rsidR="00992FD0" w:rsidRPr="00EC250C">
              <w:rPr>
                <w:sz w:val="18"/>
                <w:szCs w:val="20"/>
              </w:rPr>
              <w:t xml:space="preserve"> w </w:t>
            </w:r>
            <w:r w:rsidRPr="00EC250C">
              <w:rPr>
                <w:sz w:val="18"/>
                <w:szCs w:val="20"/>
              </w:rPr>
              <w:t>Biurze RPO. Warszawa.</w:t>
            </w:r>
          </w:p>
        </w:tc>
        <w:tc>
          <w:tcPr>
            <w:tcW w:w="1687" w:type="dxa"/>
          </w:tcPr>
          <w:p w14:paraId="43A11237" w14:textId="77777777" w:rsidR="00250AC8" w:rsidRPr="00EC250C" w:rsidRDefault="00250AC8" w:rsidP="00902FC6">
            <w:pPr>
              <w:pStyle w:val="Tabela"/>
              <w:rPr>
                <w:sz w:val="18"/>
                <w:szCs w:val="20"/>
              </w:rPr>
            </w:pPr>
            <w:r w:rsidRPr="00EC250C">
              <w:rPr>
                <w:sz w:val="18"/>
                <w:szCs w:val="20"/>
              </w:rPr>
              <w:t>27.03.2018</w:t>
            </w:r>
            <w:r w:rsidR="00C91F6E" w:rsidRPr="00EC250C">
              <w:rPr>
                <w:sz w:val="18"/>
                <w:szCs w:val="20"/>
              </w:rPr>
              <w:t> r.</w:t>
            </w:r>
          </w:p>
        </w:tc>
      </w:tr>
      <w:tr w:rsidR="00250AC8" w:rsidRPr="00EC250C" w14:paraId="2A1D3441" w14:textId="77777777" w:rsidTr="00FC47F2">
        <w:trPr>
          <w:tblCellSpacing w:w="20" w:type="dxa"/>
        </w:trPr>
        <w:tc>
          <w:tcPr>
            <w:tcW w:w="658" w:type="dxa"/>
          </w:tcPr>
          <w:p w14:paraId="02EFDEC3" w14:textId="77777777" w:rsidR="00250AC8" w:rsidRPr="00EC250C" w:rsidRDefault="00250AC8" w:rsidP="006C70B7">
            <w:pPr>
              <w:pStyle w:val="Tabela"/>
              <w:numPr>
                <w:ilvl w:val="0"/>
                <w:numId w:val="80"/>
              </w:numPr>
              <w:ind w:left="0" w:firstLine="0"/>
              <w:jc w:val="both"/>
            </w:pPr>
          </w:p>
        </w:tc>
        <w:tc>
          <w:tcPr>
            <w:tcW w:w="7331" w:type="dxa"/>
          </w:tcPr>
          <w:p w14:paraId="474188E0"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XV debacie regionalnej Krajowego Mechanizmu Prewencji Tortur</w:t>
            </w:r>
            <w:r w:rsidR="00992FD0" w:rsidRPr="00EC250C">
              <w:rPr>
                <w:sz w:val="18"/>
                <w:szCs w:val="20"/>
              </w:rPr>
              <w:t xml:space="preserve"> w </w:t>
            </w:r>
            <w:r w:rsidRPr="00EC250C">
              <w:rPr>
                <w:sz w:val="18"/>
                <w:szCs w:val="20"/>
              </w:rPr>
              <w:t xml:space="preserve">Poznaniu. Poznań. </w:t>
            </w:r>
          </w:p>
        </w:tc>
        <w:tc>
          <w:tcPr>
            <w:tcW w:w="1687" w:type="dxa"/>
          </w:tcPr>
          <w:p w14:paraId="382CCF65" w14:textId="77777777" w:rsidR="00250AC8" w:rsidRPr="00EC250C" w:rsidRDefault="00250AC8" w:rsidP="00902FC6">
            <w:pPr>
              <w:pStyle w:val="Tabela"/>
              <w:rPr>
                <w:sz w:val="18"/>
                <w:szCs w:val="20"/>
              </w:rPr>
            </w:pPr>
            <w:r w:rsidRPr="00EC250C">
              <w:rPr>
                <w:sz w:val="18"/>
                <w:szCs w:val="20"/>
              </w:rPr>
              <w:t>28.03.2018</w:t>
            </w:r>
            <w:r w:rsidR="00C91F6E" w:rsidRPr="00EC250C">
              <w:rPr>
                <w:sz w:val="18"/>
                <w:szCs w:val="20"/>
              </w:rPr>
              <w:t> r.</w:t>
            </w:r>
          </w:p>
        </w:tc>
      </w:tr>
      <w:tr w:rsidR="00250AC8" w:rsidRPr="00EC250C" w14:paraId="56DCD4FA" w14:textId="77777777" w:rsidTr="00FC47F2">
        <w:trPr>
          <w:tblCellSpacing w:w="20" w:type="dxa"/>
        </w:trPr>
        <w:tc>
          <w:tcPr>
            <w:tcW w:w="658" w:type="dxa"/>
          </w:tcPr>
          <w:p w14:paraId="3D6A5DEE" w14:textId="77777777" w:rsidR="00250AC8" w:rsidRPr="00EC250C" w:rsidRDefault="00250AC8" w:rsidP="006C70B7">
            <w:pPr>
              <w:pStyle w:val="Tabela"/>
              <w:numPr>
                <w:ilvl w:val="0"/>
                <w:numId w:val="80"/>
              </w:numPr>
              <w:ind w:left="0" w:firstLine="0"/>
              <w:jc w:val="both"/>
            </w:pPr>
          </w:p>
        </w:tc>
        <w:tc>
          <w:tcPr>
            <w:tcW w:w="7331" w:type="dxa"/>
          </w:tcPr>
          <w:p w14:paraId="34A255C5"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konferencji nt. sytuacji mniejszości ukraińskiej</w:t>
            </w:r>
            <w:r w:rsidR="00992FD0" w:rsidRPr="00EC250C">
              <w:rPr>
                <w:sz w:val="18"/>
                <w:szCs w:val="20"/>
              </w:rPr>
              <w:t xml:space="preserve"> i </w:t>
            </w:r>
            <w:r w:rsidRPr="00EC250C">
              <w:rPr>
                <w:sz w:val="18"/>
                <w:szCs w:val="20"/>
              </w:rPr>
              <w:t>migrantów ukraińskich</w:t>
            </w:r>
            <w:r w:rsidR="00992FD0" w:rsidRPr="00EC250C">
              <w:rPr>
                <w:sz w:val="18"/>
                <w:szCs w:val="20"/>
              </w:rPr>
              <w:t xml:space="preserve"> w </w:t>
            </w:r>
            <w:r w:rsidRPr="00EC250C">
              <w:rPr>
                <w:sz w:val="18"/>
                <w:szCs w:val="20"/>
              </w:rPr>
              <w:t>Polsce. Biuro RPO. Warszawa.</w:t>
            </w:r>
          </w:p>
        </w:tc>
        <w:tc>
          <w:tcPr>
            <w:tcW w:w="1687" w:type="dxa"/>
          </w:tcPr>
          <w:p w14:paraId="52C12608" w14:textId="77777777" w:rsidR="00250AC8" w:rsidRPr="00EC250C" w:rsidRDefault="00250AC8" w:rsidP="00902FC6">
            <w:pPr>
              <w:pStyle w:val="Tabela"/>
              <w:rPr>
                <w:sz w:val="18"/>
                <w:szCs w:val="20"/>
              </w:rPr>
            </w:pPr>
            <w:r w:rsidRPr="00EC250C">
              <w:rPr>
                <w:sz w:val="18"/>
                <w:szCs w:val="20"/>
              </w:rPr>
              <w:t>28.03.2018</w:t>
            </w:r>
            <w:r w:rsidR="00C91F6E" w:rsidRPr="00EC250C">
              <w:rPr>
                <w:sz w:val="18"/>
                <w:szCs w:val="20"/>
              </w:rPr>
              <w:t> r.</w:t>
            </w:r>
          </w:p>
        </w:tc>
      </w:tr>
      <w:tr w:rsidR="00250AC8" w:rsidRPr="00EC250C" w14:paraId="07A4F639" w14:textId="77777777" w:rsidTr="00FC47F2">
        <w:trPr>
          <w:tblCellSpacing w:w="20" w:type="dxa"/>
        </w:trPr>
        <w:tc>
          <w:tcPr>
            <w:tcW w:w="658" w:type="dxa"/>
          </w:tcPr>
          <w:p w14:paraId="70E34D04" w14:textId="77777777" w:rsidR="00250AC8" w:rsidRPr="00EC250C" w:rsidRDefault="00250AC8" w:rsidP="006C70B7">
            <w:pPr>
              <w:pStyle w:val="Tabela"/>
              <w:numPr>
                <w:ilvl w:val="0"/>
                <w:numId w:val="80"/>
              </w:numPr>
              <w:ind w:left="0" w:firstLine="0"/>
              <w:jc w:val="both"/>
            </w:pPr>
          </w:p>
        </w:tc>
        <w:tc>
          <w:tcPr>
            <w:tcW w:w="7331" w:type="dxa"/>
          </w:tcPr>
          <w:p w14:paraId="5B0E7642" w14:textId="77777777" w:rsidR="00250AC8" w:rsidRPr="00EC250C" w:rsidRDefault="00250AC8" w:rsidP="00902FC6">
            <w:pPr>
              <w:pStyle w:val="Tabela"/>
              <w:rPr>
                <w:sz w:val="18"/>
                <w:szCs w:val="20"/>
              </w:rPr>
            </w:pPr>
            <w:r w:rsidRPr="00EC250C">
              <w:rPr>
                <w:sz w:val="18"/>
                <w:szCs w:val="20"/>
              </w:rPr>
              <w:t>Konferencja nt. „ Prawa człowieka</w:t>
            </w:r>
            <w:r w:rsidR="00992FD0" w:rsidRPr="00EC250C">
              <w:rPr>
                <w:sz w:val="18"/>
                <w:szCs w:val="20"/>
              </w:rPr>
              <w:t xml:space="preserve"> i </w:t>
            </w:r>
            <w:r w:rsidRPr="00EC250C">
              <w:rPr>
                <w:sz w:val="18"/>
                <w:szCs w:val="20"/>
              </w:rPr>
              <w:t>obywatela wobec wyzwań współczesnego świata” zorganizowana przez Instytut Nauk Politycznych</w:t>
            </w:r>
            <w:r w:rsidR="00992FD0" w:rsidRPr="00EC250C">
              <w:rPr>
                <w:sz w:val="18"/>
                <w:szCs w:val="20"/>
              </w:rPr>
              <w:t xml:space="preserve"> i </w:t>
            </w:r>
            <w:r w:rsidRPr="00EC250C">
              <w:rPr>
                <w:sz w:val="18"/>
                <w:szCs w:val="20"/>
              </w:rPr>
              <w:t>Stosunków Międzynarodowych Uniwersytetu Jagiellońskiego oraz tradycyjne obchody „Święta Wiosny” NAWRUZ zorganizowane przez Stowarzyszenie „Przyjaźń- Dustlik”. Kraków, Chełm.</w:t>
            </w:r>
          </w:p>
        </w:tc>
        <w:tc>
          <w:tcPr>
            <w:tcW w:w="1687" w:type="dxa"/>
          </w:tcPr>
          <w:p w14:paraId="54DB99B7" w14:textId="77777777" w:rsidR="00250AC8" w:rsidRPr="00EC250C" w:rsidRDefault="00250AC8" w:rsidP="00902FC6">
            <w:pPr>
              <w:pStyle w:val="Tabela"/>
              <w:rPr>
                <w:sz w:val="18"/>
                <w:szCs w:val="20"/>
              </w:rPr>
            </w:pPr>
            <w:r w:rsidRPr="00EC250C">
              <w:rPr>
                <w:sz w:val="18"/>
                <w:szCs w:val="20"/>
              </w:rPr>
              <w:t>04–06.04.2018</w:t>
            </w:r>
            <w:r w:rsidR="00C91F6E" w:rsidRPr="00EC250C">
              <w:rPr>
                <w:sz w:val="18"/>
                <w:szCs w:val="20"/>
              </w:rPr>
              <w:t> r.</w:t>
            </w:r>
          </w:p>
        </w:tc>
      </w:tr>
      <w:tr w:rsidR="00250AC8" w:rsidRPr="00EC250C" w14:paraId="40F76030" w14:textId="77777777" w:rsidTr="00FC47F2">
        <w:trPr>
          <w:tblCellSpacing w:w="20" w:type="dxa"/>
        </w:trPr>
        <w:tc>
          <w:tcPr>
            <w:tcW w:w="658" w:type="dxa"/>
          </w:tcPr>
          <w:p w14:paraId="5E869C08" w14:textId="77777777" w:rsidR="00250AC8" w:rsidRPr="00EC250C" w:rsidRDefault="00250AC8" w:rsidP="006C70B7">
            <w:pPr>
              <w:pStyle w:val="Tabela"/>
              <w:numPr>
                <w:ilvl w:val="0"/>
                <w:numId w:val="80"/>
              </w:numPr>
              <w:ind w:left="0" w:firstLine="0"/>
              <w:jc w:val="both"/>
            </w:pPr>
          </w:p>
        </w:tc>
        <w:tc>
          <w:tcPr>
            <w:tcW w:w="7331" w:type="dxa"/>
          </w:tcPr>
          <w:p w14:paraId="6D1CC90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IV Międzynarodowym Kongresie Psychiatrii Sądowej</w:t>
            </w:r>
            <w:r w:rsidR="00992FD0" w:rsidRPr="00EC250C">
              <w:rPr>
                <w:sz w:val="18"/>
                <w:szCs w:val="20"/>
              </w:rPr>
              <w:t xml:space="preserve"> i </w:t>
            </w:r>
            <w:r w:rsidRPr="00EC250C">
              <w:rPr>
                <w:sz w:val="18"/>
                <w:szCs w:val="20"/>
              </w:rPr>
              <w:t>odebranie Nagrody Aureliusza dla Biura Rzecznika Praw Obywatelskich za wieloletnią, systematyczną</w:t>
            </w:r>
            <w:r w:rsidR="00992FD0" w:rsidRPr="00EC250C">
              <w:rPr>
                <w:sz w:val="18"/>
                <w:szCs w:val="20"/>
              </w:rPr>
              <w:t xml:space="preserve"> i </w:t>
            </w:r>
            <w:r w:rsidRPr="00EC250C">
              <w:rPr>
                <w:sz w:val="18"/>
                <w:szCs w:val="20"/>
              </w:rPr>
              <w:t>konsekwentną pracę na rzecz pacjentów,</w:t>
            </w:r>
            <w:r w:rsidR="00992FD0" w:rsidRPr="00EC250C">
              <w:rPr>
                <w:sz w:val="18"/>
                <w:szCs w:val="20"/>
              </w:rPr>
              <w:t xml:space="preserve"> w </w:t>
            </w:r>
            <w:r w:rsidRPr="00EC250C">
              <w:rPr>
                <w:sz w:val="18"/>
                <w:szCs w:val="20"/>
              </w:rPr>
              <w:t>szczególności pacjentów</w:t>
            </w:r>
            <w:r w:rsidR="00992FD0" w:rsidRPr="00EC250C">
              <w:rPr>
                <w:sz w:val="18"/>
                <w:szCs w:val="20"/>
              </w:rPr>
              <w:t xml:space="preserve"> z </w:t>
            </w:r>
            <w:r w:rsidRPr="00EC250C">
              <w:rPr>
                <w:sz w:val="18"/>
                <w:szCs w:val="20"/>
              </w:rPr>
              <w:t>zaburzeniami psychicznymi. Łódź.</w:t>
            </w:r>
          </w:p>
        </w:tc>
        <w:tc>
          <w:tcPr>
            <w:tcW w:w="1687" w:type="dxa"/>
          </w:tcPr>
          <w:p w14:paraId="04580D00" w14:textId="77777777" w:rsidR="00250AC8" w:rsidRPr="00EC250C" w:rsidRDefault="00250AC8" w:rsidP="00902FC6">
            <w:pPr>
              <w:pStyle w:val="Tabela"/>
              <w:rPr>
                <w:sz w:val="18"/>
                <w:szCs w:val="20"/>
              </w:rPr>
            </w:pPr>
            <w:r w:rsidRPr="00EC250C">
              <w:rPr>
                <w:sz w:val="18"/>
                <w:szCs w:val="20"/>
              </w:rPr>
              <w:t>06.04.2018</w:t>
            </w:r>
            <w:r w:rsidR="00C91F6E" w:rsidRPr="00EC250C">
              <w:rPr>
                <w:sz w:val="18"/>
                <w:szCs w:val="20"/>
              </w:rPr>
              <w:t> r.</w:t>
            </w:r>
          </w:p>
        </w:tc>
      </w:tr>
      <w:tr w:rsidR="00250AC8" w:rsidRPr="00EC250C" w14:paraId="3431DBA8" w14:textId="77777777" w:rsidTr="00FC47F2">
        <w:trPr>
          <w:tblCellSpacing w:w="20" w:type="dxa"/>
        </w:trPr>
        <w:tc>
          <w:tcPr>
            <w:tcW w:w="658" w:type="dxa"/>
          </w:tcPr>
          <w:p w14:paraId="6D31EB33" w14:textId="77777777" w:rsidR="00250AC8" w:rsidRPr="00EC250C" w:rsidRDefault="00250AC8" w:rsidP="006C70B7">
            <w:pPr>
              <w:pStyle w:val="Tabela"/>
              <w:numPr>
                <w:ilvl w:val="0"/>
                <w:numId w:val="80"/>
              </w:numPr>
              <w:ind w:left="0" w:firstLine="0"/>
              <w:jc w:val="both"/>
            </w:pPr>
          </w:p>
        </w:tc>
        <w:tc>
          <w:tcPr>
            <w:tcW w:w="7331" w:type="dxa"/>
          </w:tcPr>
          <w:p w14:paraId="2F18F49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wykładzie dla studentów Koła Naukowego Komparatystyki Prawniczej Uniwersytetu Warszawskiego nt. „Instrumenty RPO na rzecz krajowego porządku prawnego”. Warszawa.</w:t>
            </w:r>
          </w:p>
        </w:tc>
        <w:tc>
          <w:tcPr>
            <w:tcW w:w="1687" w:type="dxa"/>
          </w:tcPr>
          <w:p w14:paraId="6B6C48CD" w14:textId="77777777" w:rsidR="00250AC8" w:rsidRPr="00EC250C" w:rsidRDefault="00250AC8" w:rsidP="00902FC6">
            <w:pPr>
              <w:pStyle w:val="Tabela"/>
              <w:rPr>
                <w:sz w:val="18"/>
                <w:szCs w:val="20"/>
              </w:rPr>
            </w:pPr>
            <w:r w:rsidRPr="00EC250C">
              <w:rPr>
                <w:sz w:val="18"/>
                <w:szCs w:val="20"/>
              </w:rPr>
              <w:t>06.04.2018</w:t>
            </w:r>
            <w:r w:rsidR="00C91F6E" w:rsidRPr="00EC250C">
              <w:rPr>
                <w:sz w:val="18"/>
                <w:szCs w:val="20"/>
              </w:rPr>
              <w:t> r.</w:t>
            </w:r>
          </w:p>
        </w:tc>
      </w:tr>
      <w:tr w:rsidR="00250AC8" w:rsidRPr="00EC250C" w14:paraId="367FB8F5" w14:textId="77777777" w:rsidTr="00FC47F2">
        <w:trPr>
          <w:tblCellSpacing w:w="20" w:type="dxa"/>
        </w:trPr>
        <w:tc>
          <w:tcPr>
            <w:tcW w:w="658" w:type="dxa"/>
          </w:tcPr>
          <w:p w14:paraId="77C4872E" w14:textId="77777777" w:rsidR="00250AC8" w:rsidRPr="00EC250C" w:rsidRDefault="00250AC8" w:rsidP="006C70B7">
            <w:pPr>
              <w:pStyle w:val="Tabela"/>
              <w:numPr>
                <w:ilvl w:val="0"/>
                <w:numId w:val="80"/>
              </w:numPr>
              <w:ind w:left="0" w:firstLine="0"/>
              <w:jc w:val="both"/>
            </w:pPr>
          </w:p>
        </w:tc>
        <w:tc>
          <w:tcPr>
            <w:tcW w:w="7331" w:type="dxa"/>
          </w:tcPr>
          <w:p w14:paraId="4982F70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konferencji nt. „Doktryna Salduz</w:t>
            </w:r>
            <w:r w:rsidR="00992FD0" w:rsidRPr="00EC250C">
              <w:rPr>
                <w:sz w:val="18"/>
                <w:szCs w:val="20"/>
              </w:rPr>
              <w:t xml:space="preserve"> i </w:t>
            </w:r>
            <w:r w:rsidRPr="00EC250C">
              <w:rPr>
                <w:sz w:val="18"/>
                <w:szCs w:val="20"/>
              </w:rPr>
              <w:t>Miranda. Gwarancje praw jednostki na wstępnym etapie postępowania karnego” zorganizowanej przez Katedrę Postępowania Karnego Uniwersytetu Wrocławskiego pod honorowym patronatem RPO. Wrocław.</w:t>
            </w:r>
          </w:p>
        </w:tc>
        <w:tc>
          <w:tcPr>
            <w:tcW w:w="1687" w:type="dxa"/>
          </w:tcPr>
          <w:p w14:paraId="404BC98B" w14:textId="77777777" w:rsidR="00250AC8" w:rsidRPr="00EC250C" w:rsidRDefault="00250AC8" w:rsidP="00902FC6">
            <w:pPr>
              <w:pStyle w:val="Tabela"/>
              <w:rPr>
                <w:sz w:val="18"/>
                <w:szCs w:val="20"/>
              </w:rPr>
            </w:pPr>
            <w:r w:rsidRPr="00EC250C">
              <w:rPr>
                <w:sz w:val="18"/>
                <w:szCs w:val="20"/>
              </w:rPr>
              <w:t>09.04.2018</w:t>
            </w:r>
            <w:r w:rsidR="00C91F6E" w:rsidRPr="00EC250C">
              <w:rPr>
                <w:sz w:val="18"/>
                <w:szCs w:val="20"/>
              </w:rPr>
              <w:t> r.</w:t>
            </w:r>
            <w:r w:rsidRPr="00EC250C">
              <w:rPr>
                <w:sz w:val="18"/>
                <w:szCs w:val="20"/>
              </w:rPr>
              <w:t xml:space="preserve"> </w:t>
            </w:r>
          </w:p>
        </w:tc>
      </w:tr>
      <w:tr w:rsidR="00250AC8" w:rsidRPr="00EC250C" w14:paraId="169C6A96" w14:textId="77777777" w:rsidTr="00FC47F2">
        <w:trPr>
          <w:tblCellSpacing w:w="20" w:type="dxa"/>
        </w:trPr>
        <w:tc>
          <w:tcPr>
            <w:tcW w:w="658" w:type="dxa"/>
          </w:tcPr>
          <w:p w14:paraId="5CE75237" w14:textId="77777777" w:rsidR="00250AC8" w:rsidRPr="00EC250C" w:rsidRDefault="00250AC8" w:rsidP="006C70B7">
            <w:pPr>
              <w:pStyle w:val="Tabela"/>
              <w:numPr>
                <w:ilvl w:val="0"/>
                <w:numId w:val="80"/>
              </w:numPr>
              <w:ind w:left="0" w:firstLine="0"/>
              <w:jc w:val="both"/>
            </w:pPr>
          </w:p>
        </w:tc>
        <w:tc>
          <w:tcPr>
            <w:tcW w:w="7331" w:type="dxa"/>
          </w:tcPr>
          <w:p w14:paraId="3149DF3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uroczystości upamiętnienia 96 ofiar katastrofy smoleńskiej na Cmentarzu Powązkowskim</w:t>
            </w:r>
            <w:r w:rsidR="00992FD0" w:rsidRPr="00EC250C">
              <w:rPr>
                <w:sz w:val="18"/>
                <w:szCs w:val="20"/>
              </w:rPr>
              <w:t xml:space="preserve"> w </w:t>
            </w:r>
            <w:r w:rsidRPr="00EC250C">
              <w:rPr>
                <w:sz w:val="18"/>
                <w:szCs w:val="20"/>
              </w:rPr>
              <w:t>Warszawie. Warszawa.</w:t>
            </w:r>
          </w:p>
        </w:tc>
        <w:tc>
          <w:tcPr>
            <w:tcW w:w="1687" w:type="dxa"/>
          </w:tcPr>
          <w:p w14:paraId="7A046B7C" w14:textId="77777777" w:rsidR="00250AC8" w:rsidRPr="00EC250C" w:rsidRDefault="00250AC8" w:rsidP="00902FC6">
            <w:pPr>
              <w:pStyle w:val="Tabela"/>
              <w:rPr>
                <w:sz w:val="18"/>
                <w:szCs w:val="20"/>
              </w:rPr>
            </w:pPr>
            <w:r w:rsidRPr="00EC250C">
              <w:rPr>
                <w:sz w:val="18"/>
                <w:szCs w:val="20"/>
              </w:rPr>
              <w:t>10.04.2018</w:t>
            </w:r>
            <w:r w:rsidR="00C91F6E" w:rsidRPr="00EC250C">
              <w:rPr>
                <w:sz w:val="18"/>
                <w:szCs w:val="20"/>
              </w:rPr>
              <w:t> r.</w:t>
            </w:r>
          </w:p>
        </w:tc>
      </w:tr>
      <w:tr w:rsidR="00250AC8" w:rsidRPr="00EC250C" w14:paraId="606110C1" w14:textId="77777777" w:rsidTr="00FC47F2">
        <w:trPr>
          <w:tblCellSpacing w:w="20" w:type="dxa"/>
        </w:trPr>
        <w:tc>
          <w:tcPr>
            <w:tcW w:w="658" w:type="dxa"/>
          </w:tcPr>
          <w:p w14:paraId="09B1BDC2" w14:textId="77777777" w:rsidR="00250AC8" w:rsidRPr="00EC250C" w:rsidRDefault="00250AC8" w:rsidP="006C70B7">
            <w:pPr>
              <w:pStyle w:val="Tabela"/>
              <w:numPr>
                <w:ilvl w:val="0"/>
                <w:numId w:val="80"/>
              </w:numPr>
              <w:ind w:left="0" w:firstLine="0"/>
              <w:jc w:val="both"/>
            </w:pPr>
          </w:p>
        </w:tc>
        <w:tc>
          <w:tcPr>
            <w:tcW w:w="7331" w:type="dxa"/>
          </w:tcPr>
          <w:p w14:paraId="02C976F9"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XXIII Ogólnym Zgromadzeniu Związku Powiatów Polskich. Warszawa.</w:t>
            </w:r>
          </w:p>
        </w:tc>
        <w:tc>
          <w:tcPr>
            <w:tcW w:w="1687" w:type="dxa"/>
          </w:tcPr>
          <w:p w14:paraId="05E5EA7A" w14:textId="77777777" w:rsidR="00250AC8" w:rsidRPr="00EC250C" w:rsidRDefault="00250AC8" w:rsidP="00902FC6">
            <w:pPr>
              <w:pStyle w:val="Tabela"/>
              <w:rPr>
                <w:sz w:val="18"/>
                <w:szCs w:val="20"/>
              </w:rPr>
            </w:pPr>
            <w:r w:rsidRPr="00EC250C">
              <w:rPr>
                <w:sz w:val="18"/>
                <w:szCs w:val="20"/>
              </w:rPr>
              <w:t>10.04.2018</w:t>
            </w:r>
            <w:r w:rsidR="00C91F6E" w:rsidRPr="00EC250C">
              <w:rPr>
                <w:sz w:val="18"/>
                <w:szCs w:val="20"/>
              </w:rPr>
              <w:t> r.</w:t>
            </w:r>
          </w:p>
        </w:tc>
      </w:tr>
      <w:tr w:rsidR="00250AC8" w:rsidRPr="00EC250C" w14:paraId="1CD5AB1E" w14:textId="77777777" w:rsidTr="00FC47F2">
        <w:trPr>
          <w:tblCellSpacing w:w="20" w:type="dxa"/>
        </w:trPr>
        <w:tc>
          <w:tcPr>
            <w:tcW w:w="658" w:type="dxa"/>
          </w:tcPr>
          <w:p w14:paraId="06CCA30F" w14:textId="77777777" w:rsidR="00250AC8" w:rsidRPr="00EC250C" w:rsidRDefault="00250AC8" w:rsidP="006C70B7">
            <w:pPr>
              <w:pStyle w:val="Tabela"/>
              <w:numPr>
                <w:ilvl w:val="0"/>
                <w:numId w:val="80"/>
              </w:numPr>
              <w:ind w:left="0" w:firstLine="0"/>
              <w:jc w:val="both"/>
            </w:pPr>
          </w:p>
        </w:tc>
        <w:tc>
          <w:tcPr>
            <w:tcW w:w="7331" w:type="dxa"/>
          </w:tcPr>
          <w:p w14:paraId="739830AA" w14:textId="77777777" w:rsidR="00250AC8" w:rsidRPr="00EC250C" w:rsidRDefault="00250AC8" w:rsidP="00902FC6">
            <w:pPr>
              <w:pStyle w:val="Tabela"/>
              <w:rPr>
                <w:sz w:val="18"/>
                <w:szCs w:val="20"/>
              </w:rPr>
            </w:pPr>
            <w:r w:rsidRPr="00EC250C">
              <w:rPr>
                <w:sz w:val="18"/>
                <w:szCs w:val="20"/>
              </w:rPr>
              <w:t>Ogólnopolska konferencja naukowa „4. Forum Prawa Mediów Elektronicznych” zorganizowana przez Wydział Prawa Uniwersytetu Wrocławskiego. Wrocław.</w:t>
            </w:r>
          </w:p>
        </w:tc>
        <w:tc>
          <w:tcPr>
            <w:tcW w:w="1687" w:type="dxa"/>
          </w:tcPr>
          <w:p w14:paraId="308FEF22" w14:textId="77777777" w:rsidR="00250AC8" w:rsidRPr="00EC250C" w:rsidRDefault="00250AC8" w:rsidP="00902FC6">
            <w:pPr>
              <w:pStyle w:val="Tabela"/>
              <w:rPr>
                <w:sz w:val="18"/>
                <w:szCs w:val="20"/>
              </w:rPr>
            </w:pPr>
            <w:r w:rsidRPr="00EC250C">
              <w:rPr>
                <w:sz w:val="18"/>
                <w:szCs w:val="20"/>
              </w:rPr>
              <w:t>10–11.04.2018</w:t>
            </w:r>
            <w:r w:rsidR="00C91F6E" w:rsidRPr="00EC250C">
              <w:rPr>
                <w:sz w:val="18"/>
                <w:szCs w:val="20"/>
              </w:rPr>
              <w:t> r.</w:t>
            </w:r>
          </w:p>
        </w:tc>
      </w:tr>
      <w:tr w:rsidR="00250AC8" w:rsidRPr="00EC250C" w14:paraId="012C3E4C" w14:textId="77777777" w:rsidTr="00FC47F2">
        <w:trPr>
          <w:tblCellSpacing w:w="20" w:type="dxa"/>
        </w:trPr>
        <w:tc>
          <w:tcPr>
            <w:tcW w:w="658" w:type="dxa"/>
          </w:tcPr>
          <w:p w14:paraId="4C12677A" w14:textId="77777777" w:rsidR="00250AC8" w:rsidRPr="00EC250C" w:rsidRDefault="00250AC8" w:rsidP="006C70B7">
            <w:pPr>
              <w:pStyle w:val="Tabela"/>
              <w:numPr>
                <w:ilvl w:val="0"/>
                <w:numId w:val="80"/>
              </w:numPr>
              <w:ind w:left="0" w:firstLine="0"/>
              <w:jc w:val="both"/>
            </w:pPr>
          </w:p>
        </w:tc>
        <w:tc>
          <w:tcPr>
            <w:tcW w:w="7331" w:type="dxa"/>
          </w:tcPr>
          <w:p w14:paraId="79189B64"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uroczystości wręczenia Odznaki Honorowej „Za zasługi dla ochrony praw człowieka” Stowarzyszeniu „Otwarta Rzeczpospolita”. Biuro RPO. Warszawa.</w:t>
            </w:r>
          </w:p>
        </w:tc>
        <w:tc>
          <w:tcPr>
            <w:tcW w:w="1687" w:type="dxa"/>
          </w:tcPr>
          <w:p w14:paraId="400E56FF" w14:textId="77777777" w:rsidR="00250AC8" w:rsidRPr="00EC250C" w:rsidRDefault="00250AC8" w:rsidP="00902FC6">
            <w:pPr>
              <w:pStyle w:val="Tabela"/>
              <w:rPr>
                <w:sz w:val="18"/>
                <w:szCs w:val="20"/>
              </w:rPr>
            </w:pPr>
            <w:r w:rsidRPr="00EC250C">
              <w:rPr>
                <w:sz w:val="18"/>
                <w:szCs w:val="20"/>
              </w:rPr>
              <w:t>11.04.2018</w:t>
            </w:r>
            <w:r w:rsidR="00C91F6E" w:rsidRPr="00EC250C">
              <w:rPr>
                <w:sz w:val="18"/>
                <w:szCs w:val="20"/>
              </w:rPr>
              <w:t> r.</w:t>
            </w:r>
          </w:p>
        </w:tc>
      </w:tr>
      <w:tr w:rsidR="00250AC8" w:rsidRPr="00EC250C" w14:paraId="4F56FAB5" w14:textId="77777777" w:rsidTr="00FC47F2">
        <w:trPr>
          <w:tblCellSpacing w:w="20" w:type="dxa"/>
        </w:trPr>
        <w:tc>
          <w:tcPr>
            <w:tcW w:w="658" w:type="dxa"/>
          </w:tcPr>
          <w:p w14:paraId="195E8BEE" w14:textId="77777777" w:rsidR="00250AC8" w:rsidRPr="00EC250C" w:rsidRDefault="00250AC8" w:rsidP="006C70B7">
            <w:pPr>
              <w:pStyle w:val="Tabela"/>
              <w:numPr>
                <w:ilvl w:val="0"/>
                <w:numId w:val="80"/>
              </w:numPr>
              <w:ind w:left="0" w:firstLine="0"/>
              <w:jc w:val="both"/>
            </w:pPr>
          </w:p>
        </w:tc>
        <w:tc>
          <w:tcPr>
            <w:tcW w:w="7331" w:type="dxa"/>
          </w:tcPr>
          <w:p w14:paraId="5B2AE44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wykładzie dla słuchaczy Uniwersytetu Trzeciego Wieku nt. kompetencji Rzecznika. Milanówek.</w:t>
            </w:r>
          </w:p>
        </w:tc>
        <w:tc>
          <w:tcPr>
            <w:tcW w:w="1687" w:type="dxa"/>
          </w:tcPr>
          <w:p w14:paraId="178473B1" w14:textId="77777777" w:rsidR="00250AC8" w:rsidRPr="00EC250C" w:rsidRDefault="00250AC8" w:rsidP="00902FC6">
            <w:pPr>
              <w:pStyle w:val="Tabela"/>
              <w:rPr>
                <w:sz w:val="18"/>
                <w:szCs w:val="20"/>
              </w:rPr>
            </w:pPr>
            <w:r w:rsidRPr="00EC250C">
              <w:rPr>
                <w:sz w:val="18"/>
                <w:szCs w:val="20"/>
              </w:rPr>
              <w:t>11.04.2018</w:t>
            </w:r>
            <w:r w:rsidR="00C91F6E" w:rsidRPr="00EC250C">
              <w:rPr>
                <w:sz w:val="18"/>
                <w:szCs w:val="20"/>
              </w:rPr>
              <w:t> r.</w:t>
            </w:r>
          </w:p>
        </w:tc>
      </w:tr>
      <w:tr w:rsidR="00250AC8" w:rsidRPr="00EC250C" w14:paraId="7327DD59" w14:textId="77777777" w:rsidTr="00FC47F2">
        <w:trPr>
          <w:tblCellSpacing w:w="20" w:type="dxa"/>
        </w:trPr>
        <w:tc>
          <w:tcPr>
            <w:tcW w:w="658" w:type="dxa"/>
          </w:tcPr>
          <w:p w14:paraId="56DCCE70" w14:textId="77777777" w:rsidR="00250AC8" w:rsidRPr="00EC250C" w:rsidRDefault="00250AC8" w:rsidP="006C70B7">
            <w:pPr>
              <w:pStyle w:val="Tabela"/>
              <w:numPr>
                <w:ilvl w:val="0"/>
                <w:numId w:val="80"/>
              </w:numPr>
              <w:ind w:left="0" w:firstLine="0"/>
              <w:jc w:val="both"/>
            </w:pPr>
          </w:p>
        </w:tc>
        <w:tc>
          <w:tcPr>
            <w:tcW w:w="7331" w:type="dxa"/>
          </w:tcPr>
          <w:p w14:paraId="6FE892F9" w14:textId="77777777" w:rsidR="00250AC8" w:rsidRPr="00EC250C" w:rsidRDefault="00250AC8" w:rsidP="00902FC6">
            <w:pPr>
              <w:pStyle w:val="Tabela"/>
              <w:rPr>
                <w:sz w:val="18"/>
                <w:szCs w:val="20"/>
              </w:rPr>
            </w:pPr>
            <w:r w:rsidRPr="00EC250C">
              <w:rPr>
                <w:sz w:val="18"/>
                <w:szCs w:val="20"/>
              </w:rPr>
              <w:t>Konferencja nt. „Mieszkania wspomagane</w:t>
            </w:r>
            <w:r w:rsidR="00992FD0" w:rsidRPr="00EC250C">
              <w:rPr>
                <w:sz w:val="18"/>
                <w:szCs w:val="20"/>
              </w:rPr>
              <w:t xml:space="preserve"> w </w:t>
            </w:r>
            <w:r w:rsidRPr="00EC250C">
              <w:rPr>
                <w:sz w:val="18"/>
                <w:szCs w:val="20"/>
              </w:rPr>
              <w:t>polityce mieszkaniowej</w:t>
            </w:r>
            <w:r w:rsidR="00992FD0" w:rsidRPr="00EC250C">
              <w:rPr>
                <w:sz w:val="18"/>
                <w:szCs w:val="20"/>
              </w:rPr>
              <w:t xml:space="preserve"> i </w:t>
            </w:r>
            <w:r w:rsidRPr="00EC250C">
              <w:rPr>
                <w:sz w:val="18"/>
                <w:szCs w:val="20"/>
              </w:rPr>
              <w:t>społecznej samorządów” zorganizowana przez Stargardzkie Towarzystwo Budownictwa Społecznego</w:t>
            </w:r>
            <w:r w:rsidR="00992FD0" w:rsidRPr="00EC250C">
              <w:rPr>
                <w:sz w:val="18"/>
                <w:szCs w:val="20"/>
              </w:rPr>
              <w:t xml:space="preserve"> i </w:t>
            </w:r>
            <w:r w:rsidRPr="00EC250C">
              <w:rPr>
                <w:sz w:val="18"/>
                <w:szCs w:val="20"/>
              </w:rPr>
              <w:t>Fundację Habitat Polska. Warszawa.</w:t>
            </w:r>
          </w:p>
        </w:tc>
        <w:tc>
          <w:tcPr>
            <w:tcW w:w="1687" w:type="dxa"/>
          </w:tcPr>
          <w:p w14:paraId="485B5710" w14:textId="77777777" w:rsidR="00250AC8" w:rsidRPr="00EC250C" w:rsidRDefault="00250AC8" w:rsidP="00902FC6">
            <w:pPr>
              <w:pStyle w:val="Tabela"/>
              <w:rPr>
                <w:sz w:val="18"/>
                <w:szCs w:val="20"/>
              </w:rPr>
            </w:pPr>
            <w:r w:rsidRPr="00EC250C">
              <w:rPr>
                <w:sz w:val="18"/>
                <w:szCs w:val="20"/>
              </w:rPr>
              <w:t>11–12.04.2018</w:t>
            </w:r>
            <w:r w:rsidR="00C91F6E" w:rsidRPr="00EC250C">
              <w:rPr>
                <w:sz w:val="18"/>
                <w:szCs w:val="20"/>
              </w:rPr>
              <w:t> r.</w:t>
            </w:r>
          </w:p>
        </w:tc>
      </w:tr>
      <w:tr w:rsidR="00250AC8" w:rsidRPr="00EC250C" w14:paraId="48621F1A" w14:textId="77777777" w:rsidTr="00FC47F2">
        <w:trPr>
          <w:tblCellSpacing w:w="20" w:type="dxa"/>
        </w:trPr>
        <w:tc>
          <w:tcPr>
            <w:tcW w:w="658" w:type="dxa"/>
          </w:tcPr>
          <w:p w14:paraId="5B6385AF" w14:textId="77777777" w:rsidR="00250AC8" w:rsidRPr="00EC250C" w:rsidRDefault="00250AC8" w:rsidP="006C70B7">
            <w:pPr>
              <w:pStyle w:val="Tabela"/>
              <w:numPr>
                <w:ilvl w:val="0"/>
                <w:numId w:val="80"/>
              </w:numPr>
              <w:ind w:left="0" w:firstLine="0"/>
              <w:jc w:val="both"/>
            </w:pPr>
          </w:p>
        </w:tc>
        <w:tc>
          <w:tcPr>
            <w:tcW w:w="7331" w:type="dxa"/>
          </w:tcPr>
          <w:p w14:paraId="140C693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 xml:space="preserve">„Marszu Żywych”. Oświęcim. </w:t>
            </w:r>
          </w:p>
        </w:tc>
        <w:tc>
          <w:tcPr>
            <w:tcW w:w="1687" w:type="dxa"/>
          </w:tcPr>
          <w:p w14:paraId="3B2CFFE7" w14:textId="77777777" w:rsidR="00250AC8" w:rsidRPr="00EC250C" w:rsidRDefault="00250AC8" w:rsidP="00902FC6">
            <w:pPr>
              <w:pStyle w:val="Tabela"/>
              <w:rPr>
                <w:sz w:val="18"/>
                <w:szCs w:val="20"/>
              </w:rPr>
            </w:pPr>
            <w:r w:rsidRPr="00EC250C">
              <w:rPr>
                <w:sz w:val="18"/>
                <w:szCs w:val="20"/>
              </w:rPr>
              <w:t>12.04.2018</w:t>
            </w:r>
            <w:r w:rsidR="00C91F6E" w:rsidRPr="00EC250C">
              <w:rPr>
                <w:sz w:val="18"/>
                <w:szCs w:val="20"/>
              </w:rPr>
              <w:t> r.</w:t>
            </w:r>
          </w:p>
        </w:tc>
      </w:tr>
      <w:tr w:rsidR="00250AC8" w:rsidRPr="00EC250C" w14:paraId="1AE3E05B" w14:textId="77777777" w:rsidTr="00FC47F2">
        <w:trPr>
          <w:tblCellSpacing w:w="20" w:type="dxa"/>
        </w:trPr>
        <w:tc>
          <w:tcPr>
            <w:tcW w:w="658" w:type="dxa"/>
          </w:tcPr>
          <w:p w14:paraId="77500EA5" w14:textId="77777777" w:rsidR="00250AC8" w:rsidRPr="00EC250C" w:rsidRDefault="00250AC8" w:rsidP="006C70B7">
            <w:pPr>
              <w:pStyle w:val="Tabela"/>
              <w:numPr>
                <w:ilvl w:val="0"/>
                <w:numId w:val="80"/>
              </w:numPr>
              <w:ind w:left="0" w:firstLine="0"/>
              <w:jc w:val="both"/>
            </w:pPr>
          </w:p>
        </w:tc>
        <w:tc>
          <w:tcPr>
            <w:tcW w:w="7331" w:type="dxa"/>
          </w:tcPr>
          <w:p w14:paraId="554EC6D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Gali „Okulary równości” Fundacji Izabeli Jarugi-Nowackiej. Warszawa.</w:t>
            </w:r>
          </w:p>
        </w:tc>
        <w:tc>
          <w:tcPr>
            <w:tcW w:w="1687" w:type="dxa"/>
          </w:tcPr>
          <w:p w14:paraId="4A2F7D39" w14:textId="77777777" w:rsidR="00250AC8" w:rsidRPr="00EC250C" w:rsidRDefault="00250AC8" w:rsidP="00902FC6">
            <w:pPr>
              <w:pStyle w:val="Tabela"/>
              <w:rPr>
                <w:sz w:val="18"/>
                <w:szCs w:val="20"/>
              </w:rPr>
            </w:pPr>
            <w:r w:rsidRPr="00EC250C">
              <w:rPr>
                <w:sz w:val="18"/>
                <w:szCs w:val="20"/>
              </w:rPr>
              <w:t>12.04.2018</w:t>
            </w:r>
            <w:r w:rsidR="00C91F6E" w:rsidRPr="00EC250C">
              <w:rPr>
                <w:sz w:val="18"/>
                <w:szCs w:val="20"/>
              </w:rPr>
              <w:t> r.</w:t>
            </w:r>
          </w:p>
        </w:tc>
      </w:tr>
      <w:tr w:rsidR="00250AC8" w:rsidRPr="00EC250C" w14:paraId="53359B9D" w14:textId="77777777" w:rsidTr="00FC47F2">
        <w:trPr>
          <w:tblCellSpacing w:w="20" w:type="dxa"/>
        </w:trPr>
        <w:tc>
          <w:tcPr>
            <w:tcW w:w="658" w:type="dxa"/>
          </w:tcPr>
          <w:p w14:paraId="3322C512" w14:textId="77777777" w:rsidR="00250AC8" w:rsidRPr="00EC250C" w:rsidRDefault="00250AC8" w:rsidP="006C70B7">
            <w:pPr>
              <w:pStyle w:val="Tabela"/>
              <w:numPr>
                <w:ilvl w:val="0"/>
                <w:numId w:val="80"/>
              </w:numPr>
              <w:ind w:left="0" w:firstLine="0"/>
              <w:jc w:val="both"/>
            </w:pPr>
          </w:p>
        </w:tc>
        <w:tc>
          <w:tcPr>
            <w:tcW w:w="7331" w:type="dxa"/>
          </w:tcPr>
          <w:p w14:paraId="57EF1E5A" w14:textId="77777777" w:rsidR="00250AC8" w:rsidRPr="00EC250C" w:rsidRDefault="00250AC8" w:rsidP="00902FC6">
            <w:pPr>
              <w:pStyle w:val="Tabela"/>
              <w:rPr>
                <w:sz w:val="18"/>
                <w:szCs w:val="20"/>
              </w:rPr>
            </w:pPr>
            <w:r w:rsidRPr="00EC250C">
              <w:rPr>
                <w:sz w:val="18"/>
                <w:szCs w:val="20"/>
              </w:rPr>
              <w:t>Konferencja nt. „Jak osiągnąć równość płci</w:t>
            </w:r>
            <w:r w:rsidR="00992FD0" w:rsidRPr="00EC250C">
              <w:rPr>
                <w:sz w:val="18"/>
                <w:szCs w:val="20"/>
              </w:rPr>
              <w:t xml:space="preserve"> w </w:t>
            </w:r>
            <w:r w:rsidRPr="00EC250C">
              <w:rPr>
                <w:sz w:val="18"/>
                <w:szCs w:val="20"/>
              </w:rPr>
              <w:t>politycznym przywództwie? Od aktywizmu społecznego do wielkiej polityki” zorganizowana przez Stowarzyszenie Aktywne Kobiety. Kraków.</w:t>
            </w:r>
          </w:p>
        </w:tc>
        <w:tc>
          <w:tcPr>
            <w:tcW w:w="1687" w:type="dxa"/>
          </w:tcPr>
          <w:p w14:paraId="0B6C423B" w14:textId="77777777" w:rsidR="00250AC8" w:rsidRPr="00EC250C" w:rsidRDefault="00250AC8" w:rsidP="00902FC6">
            <w:pPr>
              <w:pStyle w:val="Tabela"/>
              <w:rPr>
                <w:sz w:val="18"/>
                <w:szCs w:val="20"/>
              </w:rPr>
            </w:pPr>
            <w:r w:rsidRPr="00EC250C">
              <w:rPr>
                <w:sz w:val="18"/>
                <w:szCs w:val="20"/>
              </w:rPr>
              <w:t>12.04.2018</w:t>
            </w:r>
            <w:r w:rsidR="00C91F6E" w:rsidRPr="00EC250C">
              <w:rPr>
                <w:sz w:val="18"/>
                <w:szCs w:val="20"/>
              </w:rPr>
              <w:t> r.</w:t>
            </w:r>
            <w:r w:rsidRPr="00EC250C">
              <w:rPr>
                <w:sz w:val="18"/>
                <w:szCs w:val="20"/>
              </w:rPr>
              <w:t xml:space="preserve"> </w:t>
            </w:r>
          </w:p>
        </w:tc>
      </w:tr>
      <w:tr w:rsidR="00250AC8" w:rsidRPr="00EC250C" w14:paraId="597E78BA" w14:textId="77777777" w:rsidTr="00FC47F2">
        <w:trPr>
          <w:tblCellSpacing w:w="20" w:type="dxa"/>
        </w:trPr>
        <w:tc>
          <w:tcPr>
            <w:tcW w:w="658" w:type="dxa"/>
          </w:tcPr>
          <w:p w14:paraId="4A9FA921" w14:textId="77777777" w:rsidR="00250AC8" w:rsidRPr="00EC250C" w:rsidRDefault="00250AC8" w:rsidP="006C70B7">
            <w:pPr>
              <w:pStyle w:val="Tabela"/>
              <w:numPr>
                <w:ilvl w:val="0"/>
                <w:numId w:val="80"/>
              </w:numPr>
              <w:ind w:left="0" w:firstLine="0"/>
              <w:jc w:val="both"/>
            </w:pPr>
          </w:p>
        </w:tc>
        <w:tc>
          <w:tcPr>
            <w:tcW w:w="7331" w:type="dxa"/>
          </w:tcPr>
          <w:p w14:paraId="6A2841AF"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konferencji nt. „Odpowiedzialne wsparcie</w:t>
            </w:r>
            <w:r w:rsidR="00992FD0" w:rsidRPr="00EC250C">
              <w:rPr>
                <w:sz w:val="18"/>
                <w:szCs w:val="20"/>
              </w:rPr>
              <w:t xml:space="preserve"> a </w:t>
            </w:r>
            <w:r w:rsidRPr="00EC250C">
              <w:rPr>
                <w:sz w:val="18"/>
                <w:szCs w:val="20"/>
              </w:rPr>
              <w:t>zrównoważony rozwój”</w:t>
            </w:r>
            <w:r w:rsidR="00992FD0" w:rsidRPr="00EC250C">
              <w:rPr>
                <w:sz w:val="18"/>
                <w:szCs w:val="20"/>
              </w:rPr>
              <w:t xml:space="preserve"> w </w:t>
            </w:r>
            <w:r w:rsidRPr="00EC250C">
              <w:rPr>
                <w:sz w:val="18"/>
                <w:szCs w:val="20"/>
              </w:rPr>
              <w:t>ramach XI Krakowskich Dni Integracji, zorganizowanej przez Dział ds. Osób Niepełnosprawnych Uniwersytetu Jagiellońskiego we współpracy</w:t>
            </w:r>
            <w:r w:rsidR="00992FD0" w:rsidRPr="00EC250C">
              <w:rPr>
                <w:sz w:val="18"/>
                <w:szCs w:val="20"/>
              </w:rPr>
              <w:t xml:space="preserve"> z </w:t>
            </w:r>
            <w:r w:rsidRPr="00EC250C">
              <w:rPr>
                <w:sz w:val="18"/>
                <w:szCs w:val="20"/>
              </w:rPr>
              <w:t xml:space="preserve">Biurem </w:t>
            </w:r>
            <w:r w:rsidRPr="00EC250C">
              <w:rPr>
                <w:sz w:val="18"/>
                <w:szCs w:val="20"/>
              </w:rPr>
              <w:lastRenderedPageBreak/>
              <w:t>ds. Osób Niepełnosprawnych Akademii Górniczo-Hutniczej oraz Biurem ds. Osób Niepełnosprawnych Uniwersytetu Ekonomicznego</w:t>
            </w:r>
            <w:r w:rsidR="00992FD0" w:rsidRPr="00EC250C">
              <w:rPr>
                <w:sz w:val="18"/>
                <w:szCs w:val="20"/>
              </w:rPr>
              <w:t xml:space="preserve"> w </w:t>
            </w:r>
            <w:r w:rsidRPr="00EC250C">
              <w:rPr>
                <w:sz w:val="18"/>
                <w:szCs w:val="20"/>
              </w:rPr>
              <w:t>Krakowie oraz uroczystość wręczenia nagrody głównej „Integralia 2018” Barbarze Imiołczyk</w:t>
            </w:r>
            <w:r w:rsidR="00992FD0" w:rsidRPr="00EC250C">
              <w:rPr>
                <w:sz w:val="18"/>
                <w:szCs w:val="20"/>
              </w:rPr>
              <w:t xml:space="preserve"> i </w:t>
            </w:r>
            <w:r w:rsidRPr="00EC250C">
              <w:rPr>
                <w:sz w:val="18"/>
                <w:szCs w:val="20"/>
              </w:rPr>
              <w:t>Annie Błaszczak-Banasiak</w:t>
            </w:r>
            <w:r w:rsidR="00992FD0" w:rsidRPr="00EC250C">
              <w:rPr>
                <w:sz w:val="18"/>
                <w:szCs w:val="20"/>
              </w:rPr>
              <w:t xml:space="preserve"> z </w:t>
            </w:r>
            <w:r w:rsidRPr="00EC250C">
              <w:rPr>
                <w:sz w:val="18"/>
                <w:szCs w:val="20"/>
              </w:rPr>
              <w:t>Biura RPO. Kraków.</w:t>
            </w:r>
          </w:p>
        </w:tc>
        <w:tc>
          <w:tcPr>
            <w:tcW w:w="1687" w:type="dxa"/>
          </w:tcPr>
          <w:p w14:paraId="256CC997" w14:textId="77777777" w:rsidR="00250AC8" w:rsidRPr="00EC250C" w:rsidRDefault="00250AC8" w:rsidP="00902FC6">
            <w:pPr>
              <w:pStyle w:val="Tabela"/>
              <w:rPr>
                <w:sz w:val="18"/>
                <w:szCs w:val="20"/>
              </w:rPr>
            </w:pPr>
            <w:r w:rsidRPr="00EC250C">
              <w:rPr>
                <w:sz w:val="18"/>
                <w:szCs w:val="20"/>
              </w:rPr>
              <w:lastRenderedPageBreak/>
              <w:t>16.04.2018</w:t>
            </w:r>
            <w:r w:rsidR="00C91F6E" w:rsidRPr="00EC250C">
              <w:rPr>
                <w:sz w:val="18"/>
                <w:szCs w:val="20"/>
              </w:rPr>
              <w:t> r.</w:t>
            </w:r>
          </w:p>
        </w:tc>
      </w:tr>
      <w:tr w:rsidR="00250AC8" w:rsidRPr="00EC250C" w14:paraId="2CCCEFB4" w14:textId="77777777" w:rsidTr="00FC47F2">
        <w:trPr>
          <w:tblCellSpacing w:w="20" w:type="dxa"/>
        </w:trPr>
        <w:tc>
          <w:tcPr>
            <w:tcW w:w="658" w:type="dxa"/>
          </w:tcPr>
          <w:p w14:paraId="63EA4D5D" w14:textId="77777777" w:rsidR="00250AC8" w:rsidRPr="00EC250C" w:rsidRDefault="00250AC8" w:rsidP="006C70B7">
            <w:pPr>
              <w:pStyle w:val="Tabela"/>
              <w:numPr>
                <w:ilvl w:val="0"/>
                <w:numId w:val="80"/>
              </w:numPr>
              <w:ind w:left="0" w:firstLine="0"/>
              <w:jc w:val="both"/>
            </w:pPr>
          </w:p>
        </w:tc>
        <w:tc>
          <w:tcPr>
            <w:tcW w:w="7331" w:type="dxa"/>
          </w:tcPr>
          <w:p w14:paraId="2EA6C1C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nt. „Zabezpieczenie mieszkańców domów pomocy społecznej</w:t>
            </w:r>
            <w:r w:rsidR="00992FD0" w:rsidRPr="00EC250C">
              <w:rPr>
                <w:sz w:val="18"/>
                <w:szCs w:val="20"/>
              </w:rPr>
              <w:t xml:space="preserve"> w </w:t>
            </w:r>
            <w:r w:rsidRPr="00EC250C">
              <w:rPr>
                <w:sz w:val="18"/>
                <w:szCs w:val="20"/>
              </w:rPr>
              <w:t>świadczenia pielęgniarskie” zorganizowanej przez Naczelną Izbę Pielęgniarek</w:t>
            </w:r>
            <w:r w:rsidR="00992FD0" w:rsidRPr="00EC250C">
              <w:rPr>
                <w:sz w:val="18"/>
                <w:szCs w:val="20"/>
              </w:rPr>
              <w:t xml:space="preserve"> i </w:t>
            </w:r>
            <w:r w:rsidRPr="00EC250C">
              <w:rPr>
                <w:sz w:val="18"/>
                <w:szCs w:val="20"/>
              </w:rPr>
              <w:t>Położnych. Warszawa.</w:t>
            </w:r>
          </w:p>
        </w:tc>
        <w:tc>
          <w:tcPr>
            <w:tcW w:w="1687" w:type="dxa"/>
          </w:tcPr>
          <w:p w14:paraId="4E65A738" w14:textId="77777777" w:rsidR="00250AC8" w:rsidRPr="00EC250C" w:rsidRDefault="00250AC8" w:rsidP="00902FC6">
            <w:pPr>
              <w:pStyle w:val="Tabela"/>
              <w:rPr>
                <w:sz w:val="18"/>
                <w:szCs w:val="20"/>
              </w:rPr>
            </w:pPr>
            <w:r w:rsidRPr="00EC250C">
              <w:rPr>
                <w:sz w:val="18"/>
                <w:szCs w:val="20"/>
              </w:rPr>
              <w:t>18.04.2018</w:t>
            </w:r>
            <w:r w:rsidR="00C91F6E" w:rsidRPr="00EC250C">
              <w:rPr>
                <w:sz w:val="18"/>
                <w:szCs w:val="20"/>
              </w:rPr>
              <w:t> r.</w:t>
            </w:r>
          </w:p>
        </w:tc>
      </w:tr>
      <w:tr w:rsidR="00250AC8" w:rsidRPr="00EC250C" w14:paraId="0B79C82D" w14:textId="77777777" w:rsidTr="00FC47F2">
        <w:trPr>
          <w:tblCellSpacing w:w="20" w:type="dxa"/>
        </w:trPr>
        <w:tc>
          <w:tcPr>
            <w:tcW w:w="658" w:type="dxa"/>
          </w:tcPr>
          <w:p w14:paraId="4D14967F" w14:textId="77777777" w:rsidR="00250AC8" w:rsidRPr="00EC250C" w:rsidRDefault="00250AC8" w:rsidP="006C70B7">
            <w:pPr>
              <w:pStyle w:val="Tabela"/>
              <w:numPr>
                <w:ilvl w:val="0"/>
                <w:numId w:val="80"/>
              </w:numPr>
              <w:ind w:left="0" w:firstLine="0"/>
              <w:jc w:val="both"/>
            </w:pPr>
          </w:p>
        </w:tc>
        <w:tc>
          <w:tcPr>
            <w:tcW w:w="7331" w:type="dxa"/>
          </w:tcPr>
          <w:p w14:paraId="29DE5244" w14:textId="77777777" w:rsidR="00250AC8" w:rsidRPr="00EC250C" w:rsidRDefault="00250AC8" w:rsidP="00902FC6">
            <w:pPr>
              <w:pStyle w:val="Tabela"/>
              <w:rPr>
                <w:sz w:val="18"/>
                <w:szCs w:val="20"/>
              </w:rPr>
            </w:pPr>
            <w:r w:rsidRPr="00EC250C">
              <w:rPr>
                <w:sz w:val="18"/>
                <w:szCs w:val="20"/>
              </w:rPr>
              <w:t>Międzynarodowa konferencja „Integrating international students perspectives from cities, civil society and academia 2.0” zorganizowana przez Uniwersytet Przyrodniczy</w:t>
            </w:r>
            <w:r w:rsidR="00992FD0" w:rsidRPr="00EC250C">
              <w:rPr>
                <w:sz w:val="18"/>
                <w:szCs w:val="20"/>
              </w:rPr>
              <w:t xml:space="preserve"> w </w:t>
            </w:r>
            <w:r w:rsidRPr="00EC250C">
              <w:rPr>
                <w:sz w:val="18"/>
                <w:szCs w:val="20"/>
              </w:rPr>
              <w:t>Lublinie oraz Wydział Strategii</w:t>
            </w:r>
            <w:r w:rsidR="00992FD0" w:rsidRPr="00EC250C">
              <w:rPr>
                <w:sz w:val="18"/>
                <w:szCs w:val="20"/>
              </w:rPr>
              <w:t xml:space="preserve"> i </w:t>
            </w:r>
            <w:r w:rsidRPr="00EC250C">
              <w:rPr>
                <w:sz w:val="18"/>
                <w:szCs w:val="20"/>
              </w:rPr>
              <w:t>Obsługi Inwestorów Miasta Lublin. Lublin.</w:t>
            </w:r>
          </w:p>
        </w:tc>
        <w:tc>
          <w:tcPr>
            <w:tcW w:w="1687" w:type="dxa"/>
          </w:tcPr>
          <w:p w14:paraId="5106C328" w14:textId="77777777" w:rsidR="00250AC8" w:rsidRPr="00EC250C" w:rsidRDefault="00250AC8" w:rsidP="00902FC6">
            <w:pPr>
              <w:pStyle w:val="Tabela"/>
              <w:rPr>
                <w:sz w:val="18"/>
                <w:szCs w:val="20"/>
              </w:rPr>
            </w:pPr>
            <w:r w:rsidRPr="00EC250C">
              <w:rPr>
                <w:sz w:val="18"/>
                <w:szCs w:val="20"/>
              </w:rPr>
              <w:t>18–20.04.2018</w:t>
            </w:r>
            <w:r w:rsidR="00C91F6E" w:rsidRPr="00EC250C">
              <w:rPr>
                <w:sz w:val="18"/>
                <w:szCs w:val="20"/>
              </w:rPr>
              <w:t> r.</w:t>
            </w:r>
          </w:p>
        </w:tc>
      </w:tr>
      <w:tr w:rsidR="00250AC8" w:rsidRPr="00EC250C" w14:paraId="09922B79" w14:textId="77777777" w:rsidTr="00FC47F2">
        <w:trPr>
          <w:tblCellSpacing w:w="20" w:type="dxa"/>
        </w:trPr>
        <w:tc>
          <w:tcPr>
            <w:tcW w:w="658" w:type="dxa"/>
          </w:tcPr>
          <w:p w14:paraId="5A011660" w14:textId="77777777" w:rsidR="00250AC8" w:rsidRPr="00EC250C" w:rsidRDefault="00250AC8" w:rsidP="006C70B7">
            <w:pPr>
              <w:pStyle w:val="Tabela"/>
              <w:numPr>
                <w:ilvl w:val="0"/>
                <w:numId w:val="80"/>
              </w:numPr>
              <w:ind w:left="0" w:firstLine="0"/>
              <w:jc w:val="both"/>
            </w:pPr>
          </w:p>
        </w:tc>
        <w:tc>
          <w:tcPr>
            <w:tcW w:w="7331" w:type="dxa"/>
          </w:tcPr>
          <w:p w14:paraId="76C44B45"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jubileuszu prof. Jana Widackiego połączonym</w:t>
            </w:r>
            <w:r w:rsidR="00992FD0" w:rsidRPr="00EC250C">
              <w:rPr>
                <w:sz w:val="18"/>
                <w:szCs w:val="20"/>
              </w:rPr>
              <w:t xml:space="preserve"> z </w:t>
            </w:r>
            <w:r w:rsidRPr="00EC250C">
              <w:rPr>
                <w:sz w:val="18"/>
                <w:szCs w:val="20"/>
              </w:rPr>
              <w:t>wręczeniem księgi jubileuszowej „W poszukiwaniu prawdy. Rozważania</w:t>
            </w:r>
            <w:r w:rsidR="00992FD0" w:rsidRPr="00EC250C">
              <w:rPr>
                <w:sz w:val="18"/>
                <w:szCs w:val="20"/>
              </w:rPr>
              <w:t xml:space="preserve"> o </w:t>
            </w:r>
            <w:r w:rsidRPr="00EC250C">
              <w:rPr>
                <w:sz w:val="18"/>
                <w:szCs w:val="20"/>
              </w:rPr>
              <w:t>prawie, historii</w:t>
            </w:r>
            <w:r w:rsidR="00992FD0" w:rsidRPr="00EC250C">
              <w:rPr>
                <w:sz w:val="18"/>
                <w:szCs w:val="20"/>
              </w:rPr>
              <w:t xml:space="preserve"> i </w:t>
            </w:r>
            <w:r w:rsidRPr="00EC250C">
              <w:rPr>
                <w:sz w:val="18"/>
                <w:szCs w:val="20"/>
              </w:rPr>
              <w:t>sprawiedliwości”, zorganizowanym przez Rektora Krakowskiej Akademii im. Andrzeja Frycza Modrzewskiego. Kraków.</w:t>
            </w:r>
          </w:p>
        </w:tc>
        <w:tc>
          <w:tcPr>
            <w:tcW w:w="1687" w:type="dxa"/>
          </w:tcPr>
          <w:p w14:paraId="63889392" w14:textId="77777777" w:rsidR="00250AC8" w:rsidRPr="00EC250C" w:rsidRDefault="00250AC8" w:rsidP="00902FC6">
            <w:pPr>
              <w:pStyle w:val="Tabela"/>
              <w:rPr>
                <w:sz w:val="18"/>
                <w:szCs w:val="20"/>
              </w:rPr>
            </w:pPr>
            <w:r w:rsidRPr="00EC250C">
              <w:rPr>
                <w:sz w:val="18"/>
                <w:szCs w:val="20"/>
              </w:rPr>
              <w:t>19.04.2018</w:t>
            </w:r>
            <w:r w:rsidR="00C91F6E" w:rsidRPr="00EC250C">
              <w:rPr>
                <w:sz w:val="18"/>
                <w:szCs w:val="20"/>
              </w:rPr>
              <w:t> r.</w:t>
            </w:r>
          </w:p>
        </w:tc>
      </w:tr>
      <w:tr w:rsidR="00250AC8" w:rsidRPr="00EC250C" w14:paraId="514F2D9F" w14:textId="77777777" w:rsidTr="00FC47F2">
        <w:trPr>
          <w:tblCellSpacing w:w="20" w:type="dxa"/>
        </w:trPr>
        <w:tc>
          <w:tcPr>
            <w:tcW w:w="658" w:type="dxa"/>
          </w:tcPr>
          <w:p w14:paraId="479A75DB" w14:textId="77777777" w:rsidR="00250AC8" w:rsidRPr="00EC250C" w:rsidRDefault="00250AC8" w:rsidP="006C70B7">
            <w:pPr>
              <w:pStyle w:val="Tabela"/>
              <w:numPr>
                <w:ilvl w:val="0"/>
                <w:numId w:val="80"/>
              </w:numPr>
              <w:ind w:left="0" w:firstLine="0"/>
              <w:jc w:val="both"/>
            </w:pPr>
          </w:p>
        </w:tc>
        <w:tc>
          <w:tcPr>
            <w:tcW w:w="7331" w:type="dxa"/>
          </w:tcPr>
          <w:p w14:paraId="0BA8358B"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i </w:t>
            </w:r>
            <w:r w:rsidRPr="00EC250C">
              <w:rPr>
                <w:sz w:val="18"/>
                <w:szCs w:val="20"/>
              </w:rPr>
              <w:t>Dyrektor Generalnej Katarzyny Jakimowicz</w:t>
            </w:r>
            <w:r w:rsidR="00992FD0" w:rsidRPr="00EC250C">
              <w:rPr>
                <w:sz w:val="18"/>
                <w:szCs w:val="20"/>
              </w:rPr>
              <w:t xml:space="preserve"> w </w:t>
            </w:r>
            <w:r w:rsidRPr="00EC250C">
              <w:rPr>
                <w:sz w:val="18"/>
                <w:szCs w:val="20"/>
              </w:rPr>
              <w:t>uroczystych obchodach 75. rocznicy wybuchu powstania</w:t>
            </w:r>
            <w:r w:rsidR="00992FD0" w:rsidRPr="00EC250C">
              <w:rPr>
                <w:sz w:val="18"/>
                <w:szCs w:val="20"/>
              </w:rPr>
              <w:t xml:space="preserve"> w </w:t>
            </w:r>
            <w:r w:rsidRPr="00EC250C">
              <w:rPr>
                <w:sz w:val="18"/>
                <w:szCs w:val="20"/>
              </w:rPr>
              <w:t>getcie warszawskim. Warszawa.</w:t>
            </w:r>
          </w:p>
        </w:tc>
        <w:tc>
          <w:tcPr>
            <w:tcW w:w="1687" w:type="dxa"/>
          </w:tcPr>
          <w:p w14:paraId="4F1AC6F3" w14:textId="77777777" w:rsidR="00250AC8" w:rsidRPr="00EC250C" w:rsidRDefault="00250AC8" w:rsidP="00902FC6">
            <w:pPr>
              <w:pStyle w:val="Tabela"/>
              <w:rPr>
                <w:sz w:val="18"/>
                <w:szCs w:val="20"/>
              </w:rPr>
            </w:pPr>
            <w:r w:rsidRPr="00EC250C">
              <w:rPr>
                <w:sz w:val="18"/>
                <w:szCs w:val="20"/>
              </w:rPr>
              <w:t>19.04.2018</w:t>
            </w:r>
            <w:r w:rsidR="00C91F6E" w:rsidRPr="00EC250C">
              <w:rPr>
                <w:sz w:val="18"/>
                <w:szCs w:val="20"/>
              </w:rPr>
              <w:t> r.</w:t>
            </w:r>
          </w:p>
        </w:tc>
      </w:tr>
      <w:tr w:rsidR="00250AC8" w:rsidRPr="00EC250C" w14:paraId="7433D10C" w14:textId="77777777" w:rsidTr="00FC47F2">
        <w:trPr>
          <w:tblCellSpacing w:w="20" w:type="dxa"/>
        </w:trPr>
        <w:tc>
          <w:tcPr>
            <w:tcW w:w="658" w:type="dxa"/>
          </w:tcPr>
          <w:p w14:paraId="65960254" w14:textId="77777777" w:rsidR="00250AC8" w:rsidRPr="00EC250C" w:rsidRDefault="00250AC8" w:rsidP="006C70B7">
            <w:pPr>
              <w:pStyle w:val="Tabela"/>
              <w:numPr>
                <w:ilvl w:val="0"/>
                <w:numId w:val="80"/>
              </w:numPr>
              <w:ind w:left="0" w:firstLine="0"/>
              <w:jc w:val="both"/>
            </w:pPr>
          </w:p>
        </w:tc>
        <w:tc>
          <w:tcPr>
            <w:tcW w:w="7331" w:type="dxa"/>
          </w:tcPr>
          <w:p w14:paraId="46E43AF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10. Baltic Business Forum</w:t>
            </w:r>
            <w:r w:rsidR="00992FD0" w:rsidRPr="00EC250C">
              <w:rPr>
                <w:sz w:val="18"/>
                <w:szCs w:val="20"/>
              </w:rPr>
              <w:t xml:space="preserve"> i </w:t>
            </w:r>
            <w:r w:rsidRPr="00EC250C">
              <w:rPr>
                <w:sz w:val="18"/>
                <w:szCs w:val="20"/>
              </w:rPr>
              <w:t>wystąpienie nt. „Prawa mieszkańca miasta prawami obywatela”. Świnoujście.</w:t>
            </w:r>
          </w:p>
        </w:tc>
        <w:tc>
          <w:tcPr>
            <w:tcW w:w="1687" w:type="dxa"/>
          </w:tcPr>
          <w:p w14:paraId="3CB7DA05" w14:textId="77777777" w:rsidR="00250AC8" w:rsidRPr="00EC250C" w:rsidRDefault="00250AC8" w:rsidP="00902FC6">
            <w:pPr>
              <w:pStyle w:val="Tabela"/>
              <w:rPr>
                <w:sz w:val="18"/>
                <w:szCs w:val="20"/>
              </w:rPr>
            </w:pPr>
            <w:r w:rsidRPr="00EC250C">
              <w:rPr>
                <w:sz w:val="18"/>
                <w:szCs w:val="20"/>
              </w:rPr>
              <w:t>20.04.2018</w:t>
            </w:r>
            <w:r w:rsidR="00C91F6E" w:rsidRPr="00EC250C">
              <w:rPr>
                <w:sz w:val="18"/>
                <w:szCs w:val="20"/>
              </w:rPr>
              <w:t> r.</w:t>
            </w:r>
          </w:p>
        </w:tc>
      </w:tr>
      <w:tr w:rsidR="00250AC8" w:rsidRPr="00EC250C" w14:paraId="1857A835" w14:textId="77777777" w:rsidTr="00FC47F2">
        <w:trPr>
          <w:tblCellSpacing w:w="20" w:type="dxa"/>
        </w:trPr>
        <w:tc>
          <w:tcPr>
            <w:tcW w:w="658" w:type="dxa"/>
          </w:tcPr>
          <w:p w14:paraId="02E7B465" w14:textId="77777777" w:rsidR="00250AC8" w:rsidRPr="00EC250C" w:rsidRDefault="00250AC8" w:rsidP="006C70B7">
            <w:pPr>
              <w:pStyle w:val="Tabela"/>
              <w:numPr>
                <w:ilvl w:val="0"/>
                <w:numId w:val="80"/>
              </w:numPr>
              <w:ind w:left="0" w:firstLine="0"/>
              <w:jc w:val="both"/>
            </w:pPr>
          </w:p>
        </w:tc>
        <w:tc>
          <w:tcPr>
            <w:tcW w:w="7331" w:type="dxa"/>
          </w:tcPr>
          <w:p w14:paraId="0E004410" w14:textId="77777777" w:rsidR="00250AC8" w:rsidRPr="00EC250C" w:rsidRDefault="00250AC8" w:rsidP="00902FC6">
            <w:pPr>
              <w:pStyle w:val="Tabela"/>
              <w:rPr>
                <w:sz w:val="18"/>
                <w:szCs w:val="20"/>
              </w:rPr>
            </w:pPr>
            <w:r w:rsidRPr="00EC250C">
              <w:rPr>
                <w:sz w:val="18"/>
                <w:szCs w:val="20"/>
              </w:rPr>
              <w:t>Konferencja nt. „Holenderska Szkoła Administracji Publicznej”. Biuro RPO. Warszawa.</w:t>
            </w:r>
          </w:p>
        </w:tc>
        <w:tc>
          <w:tcPr>
            <w:tcW w:w="1687" w:type="dxa"/>
          </w:tcPr>
          <w:p w14:paraId="3B3FC43A" w14:textId="77777777" w:rsidR="00250AC8" w:rsidRPr="00EC250C" w:rsidRDefault="00250AC8" w:rsidP="00902FC6">
            <w:pPr>
              <w:pStyle w:val="Tabela"/>
              <w:rPr>
                <w:sz w:val="18"/>
                <w:szCs w:val="20"/>
              </w:rPr>
            </w:pPr>
            <w:r w:rsidRPr="00EC250C">
              <w:rPr>
                <w:sz w:val="18"/>
                <w:szCs w:val="20"/>
              </w:rPr>
              <w:t>20.04.2018</w:t>
            </w:r>
            <w:r w:rsidR="00C91F6E" w:rsidRPr="00EC250C">
              <w:rPr>
                <w:sz w:val="18"/>
                <w:szCs w:val="20"/>
              </w:rPr>
              <w:t> r.</w:t>
            </w:r>
          </w:p>
        </w:tc>
      </w:tr>
      <w:tr w:rsidR="00250AC8" w:rsidRPr="00EC250C" w14:paraId="1F0DC0DC" w14:textId="77777777" w:rsidTr="00FC47F2">
        <w:trPr>
          <w:tblCellSpacing w:w="20" w:type="dxa"/>
        </w:trPr>
        <w:tc>
          <w:tcPr>
            <w:tcW w:w="658" w:type="dxa"/>
          </w:tcPr>
          <w:p w14:paraId="75DCC980" w14:textId="77777777" w:rsidR="00250AC8" w:rsidRPr="00EC250C" w:rsidRDefault="00250AC8" w:rsidP="006C70B7">
            <w:pPr>
              <w:pStyle w:val="Tabela"/>
              <w:numPr>
                <w:ilvl w:val="0"/>
                <w:numId w:val="80"/>
              </w:numPr>
              <w:ind w:left="0" w:firstLine="0"/>
              <w:jc w:val="both"/>
            </w:pPr>
          </w:p>
        </w:tc>
        <w:tc>
          <w:tcPr>
            <w:tcW w:w="7331" w:type="dxa"/>
          </w:tcPr>
          <w:p w14:paraId="322B21F2"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Zgromadzeniu Izby Adwokackiej. Warszawa.</w:t>
            </w:r>
          </w:p>
        </w:tc>
        <w:tc>
          <w:tcPr>
            <w:tcW w:w="1687" w:type="dxa"/>
          </w:tcPr>
          <w:p w14:paraId="3BC210DD" w14:textId="77777777" w:rsidR="00250AC8" w:rsidRPr="00EC250C" w:rsidRDefault="00250AC8" w:rsidP="00902FC6">
            <w:pPr>
              <w:pStyle w:val="Tabela"/>
              <w:rPr>
                <w:sz w:val="18"/>
                <w:szCs w:val="20"/>
              </w:rPr>
            </w:pPr>
            <w:r w:rsidRPr="00EC250C">
              <w:rPr>
                <w:sz w:val="18"/>
                <w:szCs w:val="20"/>
              </w:rPr>
              <w:t>21.04.2018</w:t>
            </w:r>
            <w:r w:rsidR="00C91F6E" w:rsidRPr="00EC250C">
              <w:rPr>
                <w:sz w:val="18"/>
                <w:szCs w:val="20"/>
              </w:rPr>
              <w:t> r.</w:t>
            </w:r>
          </w:p>
        </w:tc>
      </w:tr>
      <w:tr w:rsidR="00250AC8" w:rsidRPr="00EC250C" w14:paraId="1727F608" w14:textId="77777777" w:rsidTr="00FC47F2">
        <w:trPr>
          <w:tblCellSpacing w:w="20" w:type="dxa"/>
        </w:trPr>
        <w:tc>
          <w:tcPr>
            <w:tcW w:w="658" w:type="dxa"/>
          </w:tcPr>
          <w:p w14:paraId="6DAC71D7" w14:textId="77777777" w:rsidR="00250AC8" w:rsidRPr="00EC250C" w:rsidRDefault="00250AC8" w:rsidP="006C70B7">
            <w:pPr>
              <w:pStyle w:val="Tabela"/>
              <w:numPr>
                <w:ilvl w:val="0"/>
                <w:numId w:val="80"/>
              </w:numPr>
              <w:ind w:left="0" w:firstLine="0"/>
              <w:jc w:val="both"/>
            </w:pPr>
          </w:p>
        </w:tc>
        <w:tc>
          <w:tcPr>
            <w:tcW w:w="7331" w:type="dxa"/>
          </w:tcPr>
          <w:p w14:paraId="0B982E9C" w14:textId="77777777" w:rsidR="00250AC8" w:rsidRPr="00EC250C" w:rsidRDefault="00250AC8" w:rsidP="00902FC6">
            <w:pPr>
              <w:pStyle w:val="Tabela"/>
              <w:rPr>
                <w:sz w:val="18"/>
                <w:szCs w:val="20"/>
              </w:rPr>
            </w:pPr>
            <w:r w:rsidRPr="00EC250C">
              <w:rPr>
                <w:sz w:val="18"/>
                <w:szCs w:val="20"/>
              </w:rPr>
              <w:t>III Kongres Federacji Stowarzyszeń Służb Mundurowych zorganizowany przez Związek Emerytów</w:t>
            </w:r>
            <w:r w:rsidR="00992FD0" w:rsidRPr="00EC250C">
              <w:rPr>
                <w:sz w:val="18"/>
                <w:szCs w:val="20"/>
              </w:rPr>
              <w:t xml:space="preserve"> i </w:t>
            </w:r>
            <w:r w:rsidRPr="00EC250C">
              <w:rPr>
                <w:sz w:val="18"/>
                <w:szCs w:val="20"/>
              </w:rPr>
              <w:t>Rencistów Straży Granicznej. Soczewka k. Płocka.</w:t>
            </w:r>
          </w:p>
        </w:tc>
        <w:tc>
          <w:tcPr>
            <w:tcW w:w="1687" w:type="dxa"/>
          </w:tcPr>
          <w:p w14:paraId="6840C08E" w14:textId="77777777" w:rsidR="00250AC8" w:rsidRPr="00EC250C" w:rsidRDefault="00250AC8" w:rsidP="00902FC6">
            <w:pPr>
              <w:pStyle w:val="Tabela"/>
              <w:rPr>
                <w:sz w:val="18"/>
                <w:szCs w:val="20"/>
              </w:rPr>
            </w:pPr>
            <w:r w:rsidRPr="00EC250C">
              <w:rPr>
                <w:sz w:val="18"/>
                <w:szCs w:val="20"/>
              </w:rPr>
              <w:t>21.04.2018</w:t>
            </w:r>
            <w:r w:rsidR="00C91F6E" w:rsidRPr="00EC250C">
              <w:rPr>
                <w:sz w:val="18"/>
                <w:szCs w:val="20"/>
              </w:rPr>
              <w:t> r.</w:t>
            </w:r>
          </w:p>
        </w:tc>
      </w:tr>
      <w:tr w:rsidR="00250AC8" w:rsidRPr="00EC250C" w14:paraId="4E7D8E29" w14:textId="77777777" w:rsidTr="00FC47F2">
        <w:trPr>
          <w:tblCellSpacing w:w="20" w:type="dxa"/>
        </w:trPr>
        <w:tc>
          <w:tcPr>
            <w:tcW w:w="658" w:type="dxa"/>
          </w:tcPr>
          <w:p w14:paraId="731660B4" w14:textId="77777777" w:rsidR="00250AC8" w:rsidRPr="00EC250C" w:rsidRDefault="00250AC8" w:rsidP="006C70B7">
            <w:pPr>
              <w:pStyle w:val="Tabela"/>
              <w:numPr>
                <w:ilvl w:val="0"/>
                <w:numId w:val="80"/>
              </w:numPr>
              <w:ind w:left="0" w:firstLine="0"/>
              <w:jc w:val="both"/>
            </w:pPr>
          </w:p>
        </w:tc>
        <w:tc>
          <w:tcPr>
            <w:tcW w:w="7331" w:type="dxa"/>
          </w:tcPr>
          <w:p w14:paraId="3C88C464"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konferencji nt. „ Edukacja równościowa. Wyzwania – Potrzeby – Możliwości” zorganizowanej przez Instytut Równowagi Społeczno-Ekonomicznej oraz Instytut Pedagogiki</w:t>
            </w:r>
            <w:r w:rsidR="00992FD0" w:rsidRPr="00EC250C">
              <w:rPr>
                <w:sz w:val="18"/>
                <w:szCs w:val="20"/>
              </w:rPr>
              <w:t xml:space="preserve"> i </w:t>
            </w:r>
            <w:r w:rsidRPr="00EC250C">
              <w:rPr>
                <w:sz w:val="18"/>
                <w:szCs w:val="20"/>
              </w:rPr>
              <w:t>Pracy Socjalnej Akademii Pomorskiej. Lębork.</w:t>
            </w:r>
          </w:p>
        </w:tc>
        <w:tc>
          <w:tcPr>
            <w:tcW w:w="1687" w:type="dxa"/>
          </w:tcPr>
          <w:p w14:paraId="65E2F27D" w14:textId="77777777" w:rsidR="00250AC8" w:rsidRPr="00EC250C" w:rsidRDefault="00250AC8" w:rsidP="00902FC6">
            <w:pPr>
              <w:pStyle w:val="Tabela"/>
              <w:rPr>
                <w:sz w:val="18"/>
                <w:szCs w:val="20"/>
              </w:rPr>
            </w:pPr>
            <w:r w:rsidRPr="00EC250C">
              <w:rPr>
                <w:sz w:val="18"/>
                <w:szCs w:val="20"/>
              </w:rPr>
              <w:t>23.04.2018</w:t>
            </w:r>
            <w:r w:rsidR="00C91F6E" w:rsidRPr="00EC250C">
              <w:rPr>
                <w:sz w:val="18"/>
                <w:szCs w:val="20"/>
              </w:rPr>
              <w:t> r.</w:t>
            </w:r>
          </w:p>
        </w:tc>
      </w:tr>
      <w:tr w:rsidR="00250AC8" w:rsidRPr="00EC250C" w14:paraId="62035C60" w14:textId="77777777" w:rsidTr="00FC47F2">
        <w:trPr>
          <w:tblCellSpacing w:w="20" w:type="dxa"/>
        </w:trPr>
        <w:tc>
          <w:tcPr>
            <w:tcW w:w="658" w:type="dxa"/>
          </w:tcPr>
          <w:p w14:paraId="41C39230" w14:textId="77777777" w:rsidR="00250AC8" w:rsidRPr="00EC250C" w:rsidRDefault="00250AC8" w:rsidP="006C70B7">
            <w:pPr>
              <w:pStyle w:val="Tabela"/>
              <w:numPr>
                <w:ilvl w:val="0"/>
                <w:numId w:val="80"/>
              </w:numPr>
              <w:ind w:left="0" w:firstLine="0"/>
              <w:jc w:val="both"/>
            </w:pPr>
          </w:p>
        </w:tc>
        <w:tc>
          <w:tcPr>
            <w:tcW w:w="7331" w:type="dxa"/>
          </w:tcPr>
          <w:p w14:paraId="06CC065F"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uroczystości rozdania nagród „Prawnik pro bono”. Warszawa.</w:t>
            </w:r>
          </w:p>
        </w:tc>
        <w:tc>
          <w:tcPr>
            <w:tcW w:w="1687" w:type="dxa"/>
          </w:tcPr>
          <w:p w14:paraId="5C1D1033" w14:textId="77777777" w:rsidR="00250AC8" w:rsidRPr="00EC250C" w:rsidRDefault="00250AC8" w:rsidP="00902FC6">
            <w:pPr>
              <w:pStyle w:val="Tabela"/>
              <w:rPr>
                <w:sz w:val="18"/>
                <w:szCs w:val="20"/>
              </w:rPr>
            </w:pPr>
            <w:r w:rsidRPr="00EC250C">
              <w:rPr>
                <w:sz w:val="18"/>
                <w:szCs w:val="20"/>
              </w:rPr>
              <w:t>23.04.2018</w:t>
            </w:r>
            <w:r w:rsidR="00C91F6E" w:rsidRPr="00EC250C">
              <w:rPr>
                <w:sz w:val="18"/>
                <w:szCs w:val="20"/>
              </w:rPr>
              <w:t> r.</w:t>
            </w:r>
          </w:p>
        </w:tc>
      </w:tr>
      <w:tr w:rsidR="00250AC8" w:rsidRPr="00EC250C" w14:paraId="1BCC6D72" w14:textId="77777777" w:rsidTr="00FC47F2">
        <w:trPr>
          <w:tblCellSpacing w:w="20" w:type="dxa"/>
        </w:trPr>
        <w:tc>
          <w:tcPr>
            <w:tcW w:w="658" w:type="dxa"/>
          </w:tcPr>
          <w:p w14:paraId="35FBC5A3" w14:textId="77777777" w:rsidR="00250AC8" w:rsidRPr="00EC250C" w:rsidRDefault="00250AC8" w:rsidP="006C70B7">
            <w:pPr>
              <w:pStyle w:val="Tabela"/>
              <w:numPr>
                <w:ilvl w:val="0"/>
                <w:numId w:val="80"/>
              </w:numPr>
              <w:ind w:left="0" w:firstLine="0"/>
              <w:jc w:val="both"/>
            </w:pPr>
          </w:p>
        </w:tc>
        <w:tc>
          <w:tcPr>
            <w:tcW w:w="7331" w:type="dxa"/>
          </w:tcPr>
          <w:p w14:paraId="16D9D43C"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seminarium eksperckim nt. „Podatności polskiego społeczeństwa na populizm” zorganizowanym przez Instytut Spraw Publicznych. Warszawa.</w:t>
            </w:r>
          </w:p>
        </w:tc>
        <w:tc>
          <w:tcPr>
            <w:tcW w:w="1687" w:type="dxa"/>
          </w:tcPr>
          <w:p w14:paraId="3DAFC95B" w14:textId="77777777" w:rsidR="00250AC8" w:rsidRPr="00EC250C" w:rsidRDefault="00250AC8" w:rsidP="00902FC6">
            <w:pPr>
              <w:pStyle w:val="Tabela"/>
              <w:rPr>
                <w:sz w:val="18"/>
                <w:szCs w:val="20"/>
              </w:rPr>
            </w:pPr>
            <w:r w:rsidRPr="00EC250C">
              <w:rPr>
                <w:sz w:val="18"/>
                <w:szCs w:val="20"/>
              </w:rPr>
              <w:t>24.04.2018</w:t>
            </w:r>
            <w:r w:rsidR="00C91F6E" w:rsidRPr="00EC250C">
              <w:rPr>
                <w:sz w:val="18"/>
                <w:szCs w:val="20"/>
              </w:rPr>
              <w:t> r.</w:t>
            </w:r>
          </w:p>
        </w:tc>
      </w:tr>
      <w:tr w:rsidR="00250AC8" w:rsidRPr="00EC250C" w14:paraId="48C839CF" w14:textId="77777777" w:rsidTr="00FC47F2">
        <w:trPr>
          <w:tblCellSpacing w:w="20" w:type="dxa"/>
        </w:trPr>
        <w:tc>
          <w:tcPr>
            <w:tcW w:w="658" w:type="dxa"/>
          </w:tcPr>
          <w:p w14:paraId="0C8F6989" w14:textId="77777777" w:rsidR="00250AC8" w:rsidRPr="00EC250C" w:rsidRDefault="00250AC8" w:rsidP="006C70B7">
            <w:pPr>
              <w:pStyle w:val="Tabela"/>
              <w:numPr>
                <w:ilvl w:val="0"/>
                <w:numId w:val="80"/>
              </w:numPr>
              <w:ind w:left="0" w:firstLine="0"/>
              <w:jc w:val="both"/>
            </w:pPr>
          </w:p>
        </w:tc>
        <w:tc>
          <w:tcPr>
            <w:tcW w:w="7331" w:type="dxa"/>
          </w:tcPr>
          <w:p w14:paraId="74D06C4E" w14:textId="77777777" w:rsidR="00250AC8" w:rsidRPr="00EC250C" w:rsidRDefault="00250AC8" w:rsidP="00902FC6">
            <w:pPr>
              <w:pStyle w:val="Tabela"/>
              <w:rPr>
                <w:sz w:val="18"/>
                <w:szCs w:val="20"/>
              </w:rPr>
            </w:pPr>
            <w:r w:rsidRPr="00EC250C">
              <w:rPr>
                <w:sz w:val="18"/>
                <w:szCs w:val="20"/>
              </w:rPr>
              <w:t>Konferencja poświęcona kryzysowi bezdomności zorganizowana przez Uniwersytet Jagielloński. Kraków.</w:t>
            </w:r>
          </w:p>
        </w:tc>
        <w:tc>
          <w:tcPr>
            <w:tcW w:w="1687" w:type="dxa"/>
          </w:tcPr>
          <w:p w14:paraId="7AD7EDBC" w14:textId="77777777" w:rsidR="00250AC8" w:rsidRPr="00EC250C" w:rsidRDefault="00250AC8" w:rsidP="00902FC6">
            <w:pPr>
              <w:pStyle w:val="Tabela"/>
              <w:rPr>
                <w:sz w:val="18"/>
                <w:szCs w:val="20"/>
              </w:rPr>
            </w:pPr>
            <w:r w:rsidRPr="00EC250C">
              <w:rPr>
                <w:sz w:val="18"/>
                <w:szCs w:val="20"/>
              </w:rPr>
              <w:t>24–25.04.2018</w:t>
            </w:r>
            <w:r w:rsidR="00C91F6E" w:rsidRPr="00EC250C">
              <w:rPr>
                <w:sz w:val="18"/>
                <w:szCs w:val="20"/>
              </w:rPr>
              <w:t> r.</w:t>
            </w:r>
          </w:p>
        </w:tc>
      </w:tr>
      <w:tr w:rsidR="00250AC8" w:rsidRPr="00EC250C" w14:paraId="09149EEA" w14:textId="77777777" w:rsidTr="00FC47F2">
        <w:trPr>
          <w:tblCellSpacing w:w="20" w:type="dxa"/>
        </w:trPr>
        <w:tc>
          <w:tcPr>
            <w:tcW w:w="658" w:type="dxa"/>
          </w:tcPr>
          <w:p w14:paraId="445EA56C" w14:textId="77777777" w:rsidR="00250AC8" w:rsidRPr="00EC250C" w:rsidRDefault="00250AC8" w:rsidP="006C70B7">
            <w:pPr>
              <w:pStyle w:val="Tabela"/>
              <w:numPr>
                <w:ilvl w:val="0"/>
                <w:numId w:val="80"/>
              </w:numPr>
              <w:ind w:left="0" w:firstLine="0"/>
              <w:jc w:val="both"/>
            </w:pPr>
          </w:p>
        </w:tc>
        <w:tc>
          <w:tcPr>
            <w:tcW w:w="7331" w:type="dxa"/>
          </w:tcPr>
          <w:p w14:paraId="7DFCF74C"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XVI debacie regionalnej Krajowego Mechanizmu Prewencji Tortur. Warszawa.</w:t>
            </w:r>
          </w:p>
        </w:tc>
        <w:tc>
          <w:tcPr>
            <w:tcW w:w="1687" w:type="dxa"/>
          </w:tcPr>
          <w:p w14:paraId="6CA8215B" w14:textId="77777777" w:rsidR="00250AC8" w:rsidRPr="00EC250C" w:rsidRDefault="00250AC8" w:rsidP="00902FC6">
            <w:pPr>
              <w:pStyle w:val="Tabela"/>
              <w:rPr>
                <w:sz w:val="18"/>
                <w:szCs w:val="20"/>
              </w:rPr>
            </w:pPr>
            <w:r w:rsidRPr="00EC250C">
              <w:rPr>
                <w:sz w:val="18"/>
                <w:szCs w:val="20"/>
              </w:rPr>
              <w:t>25.04.2018</w:t>
            </w:r>
            <w:r w:rsidR="00C91F6E" w:rsidRPr="00EC250C">
              <w:rPr>
                <w:sz w:val="18"/>
                <w:szCs w:val="20"/>
              </w:rPr>
              <w:t> r.</w:t>
            </w:r>
          </w:p>
        </w:tc>
      </w:tr>
      <w:tr w:rsidR="00250AC8" w:rsidRPr="00EC250C" w14:paraId="548345F5" w14:textId="77777777" w:rsidTr="00FC47F2">
        <w:trPr>
          <w:tblCellSpacing w:w="20" w:type="dxa"/>
        </w:trPr>
        <w:tc>
          <w:tcPr>
            <w:tcW w:w="658" w:type="dxa"/>
          </w:tcPr>
          <w:p w14:paraId="77213E69" w14:textId="77777777" w:rsidR="00250AC8" w:rsidRPr="00EC250C" w:rsidRDefault="00250AC8" w:rsidP="006C70B7">
            <w:pPr>
              <w:pStyle w:val="Tabela"/>
              <w:numPr>
                <w:ilvl w:val="0"/>
                <w:numId w:val="80"/>
              </w:numPr>
              <w:ind w:left="0" w:firstLine="0"/>
              <w:jc w:val="both"/>
            </w:pPr>
          </w:p>
        </w:tc>
        <w:tc>
          <w:tcPr>
            <w:tcW w:w="7331" w:type="dxa"/>
          </w:tcPr>
          <w:p w14:paraId="5164465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4. Europejskim Kongresie Samorządów</w:t>
            </w:r>
            <w:r w:rsidR="00992FD0" w:rsidRPr="00EC250C">
              <w:rPr>
                <w:sz w:val="18"/>
                <w:szCs w:val="20"/>
              </w:rPr>
              <w:t xml:space="preserve"> w </w:t>
            </w:r>
            <w:r w:rsidRPr="00EC250C">
              <w:rPr>
                <w:sz w:val="18"/>
                <w:szCs w:val="20"/>
              </w:rPr>
              <w:t>Krakowie.</w:t>
            </w:r>
          </w:p>
        </w:tc>
        <w:tc>
          <w:tcPr>
            <w:tcW w:w="1687" w:type="dxa"/>
          </w:tcPr>
          <w:p w14:paraId="0EEA7B27" w14:textId="77777777" w:rsidR="00250AC8" w:rsidRPr="00EC250C" w:rsidRDefault="00250AC8" w:rsidP="00902FC6">
            <w:pPr>
              <w:pStyle w:val="Tabela"/>
              <w:rPr>
                <w:sz w:val="18"/>
                <w:szCs w:val="20"/>
              </w:rPr>
            </w:pPr>
            <w:r w:rsidRPr="00EC250C">
              <w:rPr>
                <w:sz w:val="18"/>
                <w:szCs w:val="20"/>
              </w:rPr>
              <w:t>26.04.2018</w:t>
            </w:r>
            <w:r w:rsidR="00C91F6E" w:rsidRPr="00EC250C">
              <w:rPr>
                <w:sz w:val="18"/>
                <w:szCs w:val="20"/>
              </w:rPr>
              <w:t> r.</w:t>
            </w:r>
          </w:p>
        </w:tc>
      </w:tr>
      <w:tr w:rsidR="00250AC8" w:rsidRPr="00EC250C" w14:paraId="740E9B1F" w14:textId="77777777" w:rsidTr="00FC47F2">
        <w:trPr>
          <w:tblCellSpacing w:w="20" w:type="dxa"/>
        </w:trPr>
        <w:tc>
          <w:tcPr>
            <w:tcW w:w="658" w:type="dxa"/>
          </w:tcPr>
          <w:p w14:paraId="4B1FAA16" w14:textId="77777777" w:rsidR="00250AC8" w:rsidRPr="00EC250C" w:rsidRDefault="00250AC8" w:rsidP="006C70B7">
            <w:pPr>
              <w:pStyle w:val="Tabela"/>
              <w:numPr>
                <w:ilvl w:val="0"/>
                <w:numId w:val="80"/>
              </w:numPr>
              <w:ind w:left="0" w:firstLine="0"/>
              <w:jc w:val="both"/>
            </w:pPr>
          </w:p>
        </w:tc>
        <w:tc>
          <w:tcPr>
            <w:tcW w:w="7331" w:type="dxa"/>
          </w:tcPr>
          <w:p w14:paraId="18CCDEEB"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uroczystości wręczenia nagrody IKAR przyznanej Biuru Rzecznika Praw Obywatelskich przez Związek Nauczycielstwa Polskiego. Brzezinka.</w:t>
            </w:r>
          </w:p>
        </w:tc>
        <w:tc>
          <w:tcPr>
            <w:tcW w:w="1687" w:type="dxa"/>
          </w:tcPr>
          <w:p w14:paraId="06909772" w14:textId="77777777" w:rsidR="00250AC8" w:rsidRPr="00EC250C" w:rsidRDefault="00250AC8" w:rsidP="00902FC6">
            <w:pPr>
              <w:pStyle w:val="Tabela"/>
              <w:rPr>
                <w:sz w:val="18"/>
                <w:szCs w:val="20"/>
              </w:rPr>
            </w:pPr>
            <w:r w:rsidRPr="00EC250C">
              <w:rPr>
                <w:sz w:val="18"/>
                <w:szCs w:val="20"/>
              </w:rPr>
              <w:t>27.04.2018</w:t>
            </w:r>
            <w:r w:rsidR="00C91F6E" w:rsidRPr="00EC250C">
              <w:rPr>
                <w:sz w:val="18"/>
                <w:szCs w:val="20"/>
              </w:rPr>
              <w:t> r.</w:t>
            </w:r>
            <w:r w:rsidRPr="00EC250C">
              <w:rPr>
                <w:sz w:val="18"/>
                <w:szCs w:val="20"/>
              </w:rPr>
              <w:t xml:space="preserve"> </w:t>
            </w:r>
          </w:p>
        </w:tc>
      </w:tr>
      <w:tr w:rsidR="00250AC8" w:rsidRPr="00EC250C" w14:paraId="797FB36D" w14:textId="77777777" w:rsidTr="00FC47F2">
        <w:trPr>
          <w:tblCellSpacing w:w="20" w:type="dxa"/>
        </w:trPr>
        <w:tc>
          <w:tcPr>
            <w:tcW w:w="658" w:type="dxa"/>
          </w:tcPr>
          <w:p w14:paraId="6F61E2A1" w14:textId="77777777" w:rsidR="00250AC8" w:rsidRPr="00EC250C" w:rsidRDefault="00250AC8" w:rsidP="006C70B7">
            <w:pPr>
              <w:pStyle w:val="Tabela"/>
              <w:numPr>
                <w:ilvl w:val="0"/>
                <w:numId w:val="80"/>
              </w:numPr>
              <w:ind w:left="0" w:firstLine="0"/>
              <w:jc w:val="both"/>
            </w:pPr>
          </w:p>
        </w:tc>
        <w:tc>
          <w:tcPr>
            <w:tcW w:w="7331" w:type="dxa"/>
          </w:tcPr>
          <w:p w14:paraId="194029C2" w14:textId="77777777" w:rsidR="00250AC8" w:rsidRPr="00EC250C" w:rsidRDefault="00250AC8" w:rsidP="00902FC6">
            <w:pPr>
              <w:pStyle w:val="Tabela"/>
              <w:rPr>
                <w:sz w:val="18"/>
                <w:szCs w:val="20"/>
              </w:rPr>
            </w:pPr>
            <w:r w:rsidRPr="00EC250C">
              <w:rPr>
                <w:sz w:val="18"/>
                <w:szCs w:val="20"/>
              </w:rPr>
              <w:t>Ogólnopolska konferencja naukowa nt. „Ochrona praw</w:t>
            </w:r>
            <w:r w:rsidR="00992FD0" w:rsidRPr="00EC250C">
              <w:rPr>
                <w:sz w:val="18"/>
                <w:szCs w:val="20"/>
              </w:rPr>
              <w:t xml:space="preserve"> i </w:t>
            </w:r>
            <w:r w:rsidRPr="00EC250C">
              <w:rPr>
                <w:sz w:val="18"/>
                <w:szCs w:val="20"/>
              </w:rPr>
              <w:t>wolności jednostki</w:t>
            </w:r>
            <w:r w:rsidR="00992FD0" w:rsidRPr="00EC250C">
              <w:rPr>
                <w:sz w:val="18"/>
                <w:szCs w:val="20"/>
              </w:rPr>
              <w:t xml:space="preserve"> w </w:t>
            </w:r>
            <w:r w:rsidRPr="00EC250C">
              <w:rPr>
                <w:sz w:val="18"/>
                <w:szCs w:val="20"/>
              </w:rPr>
              <w:t>Polsce na tle standardu EKPC” zorganizowana przez Koło Naukowe Praw</w:t>
            </w:r>
            <w:r w:rsidR="00992FD0" w:rsidRPr="00EC250C">
              <w:rPr>
                <w:sz w:val="18"/>
                <w:szCs w:val="20"/>
              </w:rPr>
              <w:t xml:space="preserve"> i </w:t>
            </w:r>
            <w:r w:rsidRPr="00EC250C">
              <w:rPr>
                <w:sz w:val="18"/>
                <w:szCs w:val="20"/>
              </w:rPr>
              <w:t>Wolności Człowieka</w:t>
            </w:r>
            <w:r w:rsidR="00992FD0" w:rsidRPr="00EC250C">
              <w:rPr>
                <w:sz w:val="18"/>
                <w:szCs w:val="20"/>
              </w:rPr>
              <w:t xml:space="preserve"> i </w:t>
            </w:r>
            <w:r w:rsidRPr="00EC250C">
              <w:rPr>
                <w:sz w:val="18"/>
                <w:szCs w:val="20"/>
              </w:rPr>
              <w:t>Obywatela działającego na WPiA Uniwersytetu Łódzkiego. Łódź.</w:t>
            </w:r>
          </w:p>
        </w:tc>
        <w:tc>
          <w:tcPr>
            <w:tcW w:w="1687" w:type="dxa"/>
          </w:tcPr>
          <w:p w14:paraId="4D8EC746" w14:textId="77777777" w:rsidR="00250AC8" w:rsidRPr="00EC250C" w:rsidRDefault="00250AC8" w:rsidP="00902FC6">
            <w:pPr>
              <w:pStyle w:val="Tabela"/>
              <w:rPr>
                <w:sz w:val="18"/>
                <w:szCs w:val="20"/>
              </w:rPr>
            </w:pPr>
            <w:r w:rsidRPr="00EC250C">
              <w:rPr>
                <w:sz w:val="18"/>
                <w:szCs w:val="20"/>
              </w:rPr>
              <w:t>27.04.2018</w:t>
            </w:r>
            <w:r w:rsidR="00C91F6E" w:rsidRPr="00EC250C">
              <w:rPr>
                <w:sz w:val="18"/>
                <w:szCs w:val="20"/>
              </w:rPr>
              <w:t> r.</w:t>
            </w:r>
          </w:p>
        </w:tc>
      </w:tr>
      <w:tr w:rsidR="00250AC8" w:rsidRPr="00EC250C" w14:paraId="6B189D6B" w14:textId="77777777" w:rsidTr="00FC47F2">
        <w:trPr>
          <w:tblCellSpacing w:w="20" w:type="dxa"/>
        </w:trPr>
        <w:tc>
          <w:tcPr>
            <w:tcW w:w="658" w:type="dxa"/>
          </w:tcPr>
          <w:p w14:paraId="33134520" w14:textId="77777777" w:rsidR="00250AC8" w:rsidRPr="00EC250C" w:rsidRDefault="00250AC8" w:rsidP="006C70B7">
            <w:pPr>
              <w:pStyle w:val="Tabela"/>
              <w:numPr>
                <w:ilvl w:val="0"/>
                <w:numId w:val="80"/>
              </w:numPr>
              <w:ind w:left="0" w:firstLine="0"/>
              <w:jc w:val="both"/>
            </w:pPr>
          </w:p>
        </w:tc>
        <w:tc>
          <w:tcPr>
            <w:tcW w:w="7331" w:type="dxa"/>
          </w:tcPr>
          <w:p w14:paraId="054F9F17"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europejskiej konferencji nt. „Podejście oparte</w:t>
            </w:r>
            <w:r w:rsidR="00992FD0" w:rsidRPr="00EC250C">
              <w:rPr>
                <w:sz w:val="18"/>
                <w:szCs w:val="20"/>
              </w:rPr>
              <w:t xml:space="preserve"> o </w:t>
            </w:r>
            <w:r w:rsidRPr="00EC250C">
              <w:rPr>
                <w:sz w:val="18"/>
                <w:szCs w:val="20"/>
              </w:rPr>
              <w:t>prawa człowieka</w:t>
            </w:r>
            <w:r w:rsidR="00992FD0" w:rsidRPr="00EC250C">
              <w:rPr>
                <w:sz w:val="18"/>
                <w:szCs w:val="20"/>
              </w:rPr>
              <w:t xml:space="preserve"> w </w:t>
            </w:r>
            <w:r w:rsidRPr="00EC250C">
              <w:rPr>
                <w:sz w:val="18"/>
                <w:szCs w:val="20"/>
              </w:rPr>
              <w:t>pracy</w:t>
            </w:r>
            <w:r w:rsidR="00992FD0" w:rsidRPr="00EC250C">
              <w:rPr>
                <w:sz w:val="18"/>
                <w:szCs w:val="20"/>
              </w:rPr>
              <w:t xml:space="preserve"> z </w:t>
            </w:r>
            <w:r w:rsidRPr="00EC250C">
              <w:rPr>
                <w:sz w:val="18"/>
                <w:szCs w:val="20"/>
              </w:rPr>
              <w:t>osobami bezdomnymi ze wsparciem EFS” zorganizowanej przez Ogólnopolską Federację na rzecz Rozwiązywania Problemu Bezdomności, Europejską Federację Organizacji Krajowych Pracujących</w:t>
            </w:r>
            <w:r w:rsidR="00992FD0" w:rsidRPr="00EC250C">
              <w:rPr>
                <w:sz w:val="18"/>
                <w:szCs w:val="20"/>
              </w:rPr>
              <w:t xml:space="preserve"> z </w:t>
            </w:r>
            <w:r w:rsidRPr="00EC250C">
              <w:rPr>
                <w:sz w:val="18"/>
                <w:szCs w:val="20"/>
              </w:rPr>
              <w:t>Osobami Bezdomnymi (FEANTSA), Sieć Tematyczną EFS, Włączenie Społeczne (TNI), Centrum Projektów Europejskich. Warszawa.</w:t>
            </w:r>
          </w:p>
        </w:tc>
        <w:tc>
          <w:tcPr>
            <w:tcW w:w="1687" w:type="dxa"/>
          </w:tcPr>
          <w:p w14:paraId="5A96ED40" w14:textId="77777777" w:rsidR="00250AC8" w:rsidRPr="00EC250C" w:rsidRDefault="00250AC8" w:rsidP="00902FC6">
            <w:pPr>
              <w:pStyle w:val="Tabela"/>
              <w:rPr>
                <w:sz w:val="18"/>
                <w:szCs w:val="20"/>
              </w:rPr>
            </w:pPr>
            <w:r w:rsidRPr="00EC250C">
              <w:rPr>
                <w:sz w:val="18"/>
                <w:szCs w:val="20"/>
              </w:rPr>
              <w:t>08.05.2018</w:t>
            </w:r>
            <w:r w:rsidR="00C91F6E" w:rsidRPr="00EC250C">
              <w:rPr>
                <w:sz w:val="18"/>
                <w:szCs w:val="20"/>
              </w:rPr>
              <w:t> r.</w:t>
            </w:r>
          </w:p>
        </w:tc>
      </w:tr>
      <w:tr w:rsidR="00250AC8" w:rsidRPr="00EC250C" w14:paraId="136559AE" w14:textId="77777777" w:rsidTr="00FC47F2">
        <w:trPr>
          <w:tblCellSpacing w:w="20" w:type="dxa"/>
        </w:trPr>
        <w:tc>
          <w:tcPr>
            <w:tcW w:w="658" w:type="dxa"/>
          </w:tcPr>
          <w:p w14:paraId="2A5C04AA" w14:textId="77777777" w:rsidR="00250AC8" w:rsidRPr="00EC250C" w:rsidRDefault="00250AC8" w:rsidP="006C70B7">
            <w:pPr>
              <w:pStyle w:val="Tabela"/>
              <w:numPr>
                <w:ilvl w:val="0"/>
                <w:numId w:val="80"/>
              </w:numPr>
              <w:ind w:left="0" w:firstLine="0"/>
              <w:jc w:val="both"/>
            </w:pPr>
          </w:p>
        </w:tc>
        <w:tc>
          <w:tcPr>
            <w:tcW w:w="7331" w:type="dxa"/>
          </w:tcPr>
          <w:p w14:paraId="272BABB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panelu nt. „Gdzie leży serce europejskiej demokracji?”</w:t>
            </w:r>
            <w:r w:rsidR="00992FD0" w:rsidRPr="00EC250C">
              <w:rPr>
                <w:sz w:val="18"/>
                <w:szCs w:val="20"/>
              </w:rPr>
              <w:t xml:space="preserve"> w </w:t>
            </w:r>
            <w:r w:rsidRPr="00EC250C">
              <w:rPr>
                <w:sz w:val="18"/>
                <w:szCs w:val="20"/>
              </w:rPr>
              <w:t>ramach konferencji zorganizowanej przez Fundację In.Europa wraz</w:t>
            </w:r>
            <w:r w:rsidR="00992FD0" w:rsidRPr="00EC250C">
              <w:rPr>
                <w:sz w:val="18"/>
                <w:szCs w:val="20"/>
              </w:rPr>
              <w:t xml:space="preserve"> z </w:t>
            </w:r>
            <w:r w:rsidRPr="00EC250C">
              <w:rPr>
                <w:sz w:val="18"/>
                <w:szCs w:val="20"/>
              </w:rPr>
              <w:t>Parlamentem Europejskim, Miastem st. Warszawa, francuską Fondation Robert Schuman</w:t>
            </w:r>
            <w:r w:rsidR="00992FD0" w:rsidRPr="00EC250C">
              <w:rPr>
                <w:sz w:val="18"/>
                <w:szCs w:val="20"/>
              </w:rPr>
              <w:t xml:space="preserve"> i </w:t>
            </w:r>
            <w:r w:rsidRPr="00EC250C">
              <w:rPr>
                <w:sz w:val="18"/>
                <w:szCs w:val="20"/>
              </w:rPr>
              <w:t>Fundacją Konrada Adenauera. Warszawa.</w:t>
            </w:r>
          </w:p>
        </w:tc>
        <w:tc>
          <w:tcPr>
            <w:tcW w:w="1687" w:type="dxa"/>
          </w:tcPr>
          <w:p w14:paraId="5167BA5D" w14:textId="77777777" w:rsidR="00250AC8" w:rsidRPr="00EC250C" w:rsidRDefault="00250AC8" w:rsidP="00902FC6">
            <w:pPr>
              <w:pStyle w:val="Tabela"/>
              <w:rPr>
                <w:sz w:val="18"/>
                <w:szCs w:val="20"/>
              </w:rPr>
            </w:pPr>
            <w:r w:rsidRPr="00EC250C">
              <w:rPr>
                <w:sz w:val="18"/>
                <w:szCs w:val="20"/>
              </w:rPr>
              <w:t>09.05.2018</w:t>
            </w:r>
            <w:r w:rsidR="00C91F6E" w:rsidRPr="00EC250C">
              <w:rPr>
                <w:sz w:val="18"/>
                <w:szCs w:val="20"/>
              </w:rPr>
              <w:t> r.</w:t>
            </w:r>
          </w:p>
        </w:tc>
      </w:tr>
      <w:tr w:rsidR="00250AC8" w:rsidRPr="00EC250C" w14:paraId="559B9CBA" w14:textId="77777777" w:rsidTr="00FC47F2">
        <w:trPr>
          <w:tblCellSpacing w:w="20" w:type="dxa"/>
        </w:trPr>
        <w:tc>
          <w:tcPr>
            <w:tcW w:w="658" w:type="dxa"/>
          </w:tcPr>
          <w:p w14:paraId="322E1E29" w14:textId="77777777" w:rsidR="00250AC8" w:rsidRPr="00EC250C" w:rsidRDefault="00250AC8" w:rsidP="006C70B7">
            <w:pPr>
              <w:pStyle w:val="Tabela"/>
              <w:numPr>
                <w:ilvl w:val="0"/>
                <w:numId w:val="80"/>
              </w:numPr>
              <w:ind w:left="0" w:firstLine="0"/>
              <w:jc w:val="both"/>
            </w:pPr>
          </w:p>
        </w:tc>
        <w:tc>
          <w:tcPr>
            <w:tcW w:w="7331" w:type="dxa"/>
          </w:tcPr>
          <w:p w14:paraId="2E47DC5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konferencji nt. „Klauzule społeczne</w:t>
            </w:r>
            <w:r w:rsidR="00992FD0" w:rsidRPr="00EC250C">
              <w:rPr>
                <w:sz w:val="18"/>
                <w:szCs w:val="20"/>
              </w:rPr>
              <w:t xml:space="preserve"> w </w:t>
            </w:r>
            <w:r w:rsidRPr="00EC250C">
              <w:rPr>
                <w:sz w:val="18"/>
                <w:szCs w:val="20"/>
              </w:rPr>
              <w:t>jednostkach samorządu terytorialnego – praktyka, problemy, wyzwania” zorganizowanej przez Rzecznika Praw Obywatelskich oraz Prezydent</w:t>
            </w:r>
            <w:r w:rsidR="00B04745" w:rsidRPr="00EC250C">
              <w:rPr>
                <w:sz w:val="18"/>
                <w:szCs w:val="20"/>
              </w:rPr>
              <w:t>a</w:t>
            </w:r>
            <w:r w:rsidRPr="00EC250C">
              <w:rPr>
                <w:sz w:val="18"/>
                <w:szCs w:val="20"/>
              </w:rPr>
              <w:t xml:space="preserve"> m.st. Warszawy. Warszawa.</w:t>
            </w:r>
          </w:p>
        </w:tc>
        <w:tc>
          <w:tcPr>
            <w:tcW w:w="1687" w:type="dxa"/>
          </w:tcPr>
          <w:p w14:paraId="15DCE075" w14:textId="77777777" w:rsidR="00250AC8" w:rsidRPr="00EC250C" w:rsidRDefault="00250AC8" w:rsidP="00902FC6">
            <w:pPr>
              <w:pStyle w:val="Tabela"/>
              <w:rPr>
                <w:sz w:val="18"/>
                <w:szCs w:val="20"/>
              </w:rPr>
            </w:pPr>
            <w:r w:rsidRPr="00EC250C">
              <w:rPr>
                <w:sz w:val="18"/>
                <w:szCs w:val="20"/>
              </w:rPr>
              <w:t>10.05.2018</w:t>
            </w:r>
            <w:r w:rsidR="00C91F6E" w:rsidRPr="00EC250C">
              <w:rPr>
                <w:sz w:val="18"/>
                <w:szCs w:val="20"/>
              </w:rPr>
              <w:t> r.</w:t>
            </w:r>
          </w:p>
        </w:tc>
      </w:tr>
      <w:tr w:rsidR="00250AC8" w:rsidRPr="00EC250C" w14:paraId="67490D4E" w14:textId="77777777" w:rsidTr="00FC47F2">
        <w:trPr>
          <w:tblCellSpacing w:w="20" w:type="dxa"/>
        </w:trPr>
        <w:tc>
          <w:tcPr>
            <w:tcW w:w="658" w:type="dxa"/>
          </w:tcPr>
          <w:p w14:paraId="4DD87C90" w14:textId="77777777" w:rsidR="00250AC8" w:rsidRPr="00EC250C" w:rsidRDefault="00250AC8" w:rsidP="006C70B7">
            <w:pPr>
              <w:pStyle w:val="Tabela"/>
              <w:numPr>
                <w:ilvl w:val="0"/>
                <w:numId w:val="80"/>
              </w:numPr>
              <w:ind w:left="0" w:firstLine="0"/>
              <w:jc w:val="both"/>
            </w:pPr>
          </w:p>
        </w:tc>
        <w:tc>
          <w:tcPr>
            <w:tcW w:w="7331" w:type="dxa"/>
          </w:tcPr>
          <w:p w14:paraId="052F76DC"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konferencji nt. „Ochrona konsumenta</w:t>
            </w:r>
            <w:r w:rsidR="00992FD0" w:rsidRPr="00EC250C">
              <w:rPr>
                <w:sz w:val="18"/>
                <w:szCs w:val="20"/>
              </w:rPr>
              <w:t xml:space="preserve"> w </w:t>
            </w:r>
            <w:r w:rsidRPr="00EC250C">
              <w:rPr>
                <w:sz w:val="18"/>
                <w:szCs w:val="20"/>
              </w:rPr>
              <w:t>umowach kredytu denominowanego</w:t>
            </w:r>
            <w:r w:rsidR="00992FD0" w:rsidRPr="00EC250C">
              <w:rPr>
                <w:sz w:val="18"/>
                <w:szCs w:val="20"/>
              </w:rPr>
              <w:t xml:space="preserve"> i </w:t>
            </w:r>
            <w:r w:rsidRPr="00EC250C">
              <w:rPr>
                <w:sz w:val="18"/>
                <w:szCs w:val="20"/>
              </w:rPr>
              <w:t>indeksowanego do waluty obcej” zorganizowanej przez Uniwersytet Warszawski. Warszawa.</w:t>
            </w:r>
          </w:p>
        </w:tc>
        <w:tc>
          <w:tcPr>
            <w:tcW w:w="1687" w:type="dxa"/>
          </w:tcPr>
          <w:p w14:paraId="08EF8189" w14:textId="77777777" w:rsidR="00250AC8" w:rsidRPr="00EC250C" w:rsidRDefault="00250AC8" w:rsidP="00902FC6">
            <w:pPr>
              <w:pStyle w:val="Tabela"/>
              <w:rPr>
                <w:sz w:val="18"/>
                <w:szCs w:val="20"/>
              </w:rPr>
            </w:pPr>
            <w:r w:rsidRPr="00EC250C">
              <w:rPr>
                <w:sz w:val="18"/>
                <w:szCs w:val="20"/>
              </w:rPr>
              <w:t>11.05.2018</w:t>
            </w:r>
            <w:r w:rsidR="00C91F6E" w:rsidRPr="00EC250C">
              <w:rPr>
                <w:sz w:val="18"/>
                <w:szCs w:val="20"/>
              </w:rPr>
              <w:t> r.</w:t>
            </w:r>
          </w:p>
        </w:tc>
      </w:tr>
      <w:tr w:rsidR="00250AC8" w:rsidRPr="00EC250C" w14:paraId="236A7F21" w14:textId="77777777" w:rsidTr="00FC47F2">
        <w:trPr>
          <w:tblCellSpacing w:w="20" w:type="dxa"/>
        </w:trPr>
        <w:tc>
          <w:tcPr>
            <w:tcW w:w="658" w:type="dxa"/>
          </w:tcPr>
          <w:p w14:paraId="78904D70" w14:textId="77777777" w:rsidR="00250AC8" w:rsidRPr="00EC250C" w:rsidRDefault="00250AC8" w:rsidP="006C70B7">
            <w:pPr>
              <w:pStyle w:val="Tabela"/>
              <w:numPr>
                <w:ilvl w:val="0"/>
                <w:numId w:val="80"/>
              </w:numPr>
              <w:ind w:left="0" w:firstLine="0"/>
              <w:jc w:val="both"/>
            </w:pPr>
          </w:p>
        </w:tc>
        <w:tc>
          <w:tcPr>
            <w:tcW w:w="7331" w:type="dxa"/>
          </w:tcPr>
          <w:p w14:paraId="52F7B54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Toruńskim Kongresie Kobiet zorganizowanym przez Stowarzyszenie Kongres Kobiet. Toruń.</w:t>
            </w:r>
          </w:p>
        </w:tc>
        <w:tc>
          <w:tcPr>
            <w:tcW w:w="1687" w:type="dxa"/>
          </w:tcPr>
          <w:p w14:paraId="03F32F4E" w14:textId="77777777" w:rsidR="00250AC8" w:rsidRPr="00EC250C" w:rsidRDefault="00250AC8" w:rsidP="00902FC6">
            <w:pPr>
              <w:pStyle w:val="Tabela"/>
              <w:rPr>
                <w:sz w:val="18"/>
                <w:szCs w:val="20"/>
              </w:rPr>
            </w:pPr>
            <w:r w:rsidRPr="00EC250C">
              <w:rPr>
                <w:sz w:val="18"/>
                <w:szCs w:val="20"/>
              </w:rPr>
              <w:t>12–13.05.2018</w:t>
            </w:r>
            <w:r w:rsidR="00C91F6E" w:rsidRPr="00EC250C">
              <w:rPr>
                <w:sz w:val="18"/>
                <w:szCs w:val="20"/>
              </w:rPr>
              <w:t> r.</w:t>
            </w:r>
          </w:p>
        </w:tc>
      </w:tr>
      <w:tr w:rsidR="00250AC8" w:rsidRPr="00EC250C" w14:paraId="01CA6079" w14:textId="77777777" w:rsidTr="00FC47F2">
        <w:trPr>
          <w:tblCellSpacing w:w="20" w:type="dxa"/>
        </w:trPr>
        <w:tc>
          <w:tcPr>
            <w:tcW w:w="658" w:type="dxa"/>
          </w:tcPr>
          <w:p w14:paraId="479BECE1" w14:textId="77777777" w:rsidR="00250AC8" w:rsidRPr="00EC250C" w:rsidRDefault="00250AC8" w:rsidP="006C70B7">
            <w:pPr>
              <w:pStyle w:val="Tabela"/>
              <w:numPr>
                <w:ilvl w:val="0"/>
                <w:numId w:val="80"/>
              </w:numPr>
              <w:ind w:left="0" w:firstLine="0"/>
              <w:jc w:val="both"/>
            </w:pPr>
          </w:p>
        </w:tc>
        <w:tc>
          <w:tcPr>
            <w:tcW w:w="7331" w:type="dxa"/>
          </w:tcPr>
          <w:p w14:paraId="43DB500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nt. „Nasza sPrawa – Dzień Aktywnego Społeczeństwa” zorganizowanej przez licealistów</w:t>
            </w:r>
            <w:r w:rsidR="00992FD0" w:rsidRPr="00EC250C">
              <w:rPr>
                <w:sz w:val="18"/>
                <w:szCs w:val="20"/>
              </w:rPr>
              <w:t xml:space="preserve"> z </w:t>
            </w:r>
            <w:r w:rsidRPr="00EC250C">
              <w:rPr>
                <w:sz w:val="18"/>
                <w:szCs w:val="20"/>
              </w:rPr>
              <w:t>Liceum im. Tadeusza Czackiego</w:t>
            </w:r>
            <w:r w:rsidR="00992FD0" w:rsidRPr="00EC250C">
              <w:rPr>
                <w:sz w:val="18"/>
                <w:szCs w:val="20"/>
              </w:rPr>
              <w:t xml:space="preserve"> i </w:t>
            </w:r>
            <w:r w:rsidRPr="00EC250C">
              <w:rPr>
                <w:sz w:val="18"/>
                <w:szCs w:val="20"/>
              </w:rPr>
              <w:t>Liceum im. Stefana Batorego. Warszawa.</w:t>
            </w:r>
          </w:p>
        </w:tc>
        <w:tc>
          <w:tcPr>
            <w:tcW w:w="1687" w:type="dxa"/>
          </w:tcPr>
          <w:p w14:paraId="4F9AD42B" w14:textId="77777777" w:rsidR="00250AC8" w:rsidRPr="00EC250C" w:rsidRDefault="00250AC8" w:rsidP="00902FC6">
            <w:pPr>
              <w:pStyle w:val="Tabela"/>
              <w:rPr>
                <w:sz w:val="18"/>
                <w:szCs w:val="20"/>
              </w:rPr>
            </w:pPr>
            <w:r w:rsidRPr="00EC250C">
              <w:rPr>
                <w:sz w:val="18"/>
                <w:szCs w:val="20"/>
              </w:rPr>
              <w:t>13.05.2018</w:t>
            </w:r>
            <w:r w:rsidR="00C91F6E" w:rsidRPr="00EC250C">
              <w:rPr>
                <w:sz w:val="18"/>
                <w:szCs w:val="20"/>
              </w:rPr>
              <w:t> r.</w:t>
            </w:r>
          </w:p>
        </w:tc>
      </w:tr>
      <w:tr w:rsidR="00250AC8" w:rsidRPr="00EC250C" w14:paraId="1A49193F" w14:textId="77777777" w:rsidTr="00FC47F2">
        <w:trPr>
          <w:tblCellSpacing w:w="20" w:type="dxa"/>
        </w:trPr>
        <w:tc>
          <w:tcPr>
            <w:tcW w:w="658" w:type="dxa"/>
          </w:tcPr>
          <w:p w14:paraId="4BE3B62F" w14:textId="77777777" w:rsidR="00250AC8" w:rsidRPr="00EC250C" w:rsidRDefault="00250AC8" w:rsidP="006C70B7">
            <w:pPr>
              <w:pStyle w:val="Tabela"/>
              <w:numPr>
                <w:ilvl w:val="0"/>
                <w:numId w:val="80"/>
              </w:numPr>
              <w:ind w:left="0" w:firstLine="0"/>
              <w:jc w:val="both"/>
            </w:pPr>
          </w:p>
        </w:tc>
        <w:tc>
          <w:tcPr>
            <w:tcW w:w="7331" w:type="dxa"/>
          </w:tcPr>
          <w:p w14:paraId="79D0F3B4" w14:textId="77777777" w:rsidR="00250AC8" w:rsidRPr="00EC250C" w:rsidRDefault="00250AC8" w:rsidP="00902FC6">
            <w:pPr>
              <w:pStyle w:val="Tabela"/>
              <w:rPr>
                <w:sz w:val="18"/>
                <w:szCs w:val="20"/>
              </w:rPr>
            </w:pPr>
            <w:r w:rsidRPr="00EC250C">
              <w:rPr>
                <w:sz w:val="18"/>
                <w:szCs w:val="20"/>
              </w:rPr>
              <w:t>Debata poświęcona potrzebie ochrony zdrowia psychicznego</w:t>
            </w:r>
            <w:r w:rsidR="00992FD0" w:rsidRPr="00EC250C">
              <w:rPr>
                <w:sz w:val="18"/>
                <w:szCs w:val="20"/>
              </w:rPr>
              <w:t xml:space="preserve"> i </w:t>
            </w:r>
            <w:r w:rsidRPr="00EC250C">
              <w:rPr>
                <w:sz w:val="18"/>
                <w:szCs w:val="20"/>
              </w:rPr>
              <w:t>problemom osób chorych psychicznie</w:t>
            </w:r>
            <w:r w:rsidR="00992FD0" w:rsidRPr="00EC250C">
              <w:rPr>
                <w:sz w:val="18"/>
                <w:szCs w:val="20"/>
              </w:rPr>
              <w:t xml:space="preserve"> w </w:t>
            </w:r>
            <w:r w:rsidRPr="00EC250C">
              <w:rPr>
                <w:sz w:val="18"/>
                <w:szCs w:val="20"/>
              </w:rPr>
              <w:t>Krakowskiej Akademii im. Andrzeja Frycza Modrzewskiego. Kraków.</w:t>
            </w:r>
          </w:p>
        </w:tc>
        <w:tc>
          <w:tcPr>
            <w:tcW w:w="1687" w:type="dxa"/>
          </w:tcPr>
          <w:p w14:paraId="60222DEF" w14:textId="77777777" w:rsidR="00250AC8" w:rsidRPr="00EC250C" w:rsidRDefault="00250AC8" w:rsidP="00902FC6">
            <w:pPr>
              <w:pStyle w:val="Tabela"/>
              <w:rPr>
                <w:sz w:val="18"/>
                <w:szCs w:val="20"/>
              </w:rPr>
            </w:pPr>
            <w:r w:rsidRPr="00EC250C">
              <w:rPr>
                <w:sz w:val="18"/>
                <w:szCs w:val="20"/>
              </w:rPr>
              <w:t>13–14.05.2018</w:t>
            </w:r>
            <w:r w:rsidR="00C91F6E" w:rsidRPr="00EC250C">
              <w:rPr>
                <w:sz w:val="18"/>
                <w:szCs w:val="20"/>
              </w:rPr>
              <w:t> r.</w:t>
            </w:r>
          </w:p>
        </w:tc>
      </w:tr>
      <w:tr w:rsidR="00250AC8" w:rsidRPr="00EC250C" w14:paraId="259C084C" w14:textId="77777777" w:rsidTr="00FC47F2">
        <w:trPr>
          <w:tblCellSpacing w:w="20" w:type="dxa"/>
        </w:trPr>
        <w:tc>
          <w:tcPr>
            <w:tcW w:w="658" w:type="dxa"/>
          </w:tcPr>
          <w:p w14:paraId="015A3D30" w14:textId="77777777" w:rsidR="00250AC8" w:rsidRPr="00EC250C" w:rsidRDefault="00250AC8" w:rsidP="006C70B7">
            <w:pPr>
              <w:pStyle w:val="Tabela"/>
              <w:numPr>
                <w:ilvl w:val="0"/>
                <w:numId w:val="80"/>
              </w:numPr>
              <w:ind w:left="0" w:firstLine="0"/>
              <w:jc w:val="both"/>
            </w:pPr>
          </w:p>
        </w:tc>
        <w:tc>
          <w:tcPr>
            <w:tcW w:w="7331" w:type="dxa"/>
          </w:tcPr>
          <w:p w14:paraId="7DEA0FDC"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sesji naukowej nt. „Prawo prywatne międzynarodowe wobec wyzwań XXI wieku” zorganizowanej</w:t>
            </w:r>
            <w:r w:rsidR="00992FD0" w:rsidRPr="00EC250C">
              <w:rPr>
                <w:sz w:val="18"/>
                <w:szCs w:val="20"/>
              </w:rPr>
              <w:t xml:space="preserve"> z </w:t>
            </w:r>
            <w:r w:rsidRPr="00EC250C">
              <w:rPr>
                <w:sz w:val="18"/>
                <w:szCs w:val="20"/>
              </w:rPr>
              <w:t>okazji jubileuszu pięćdziesięciolecia pracy naukowej prof. dr hab. Andrzeja Mączyńskiego przez Wydział Prawa</w:t>
            </w:r>
            <w:r w:rsidR="00992FD0" w:rsidRPr="00EC250C">
              <w:rPr>
                <w:sz w:val="18"/>
                <w:szCs w:val="20"/>
              </w:rPr>
              <w:t xml:space="preserve"> i </w:t>
            </w:r>
            <w:r w:rsidRPr="00EC250C">
              <w:rPr>
                <w:sz w:val="18"/>
                <w:szCs w:val="20"/>
              </w:rPr>
              <w:t>Administracji Uniwersytetu Jagiellońskiego. Kraków.</w:t>
            </w:r>
          </w:p>
        </w:tc>
        <w:tc>
          <w:tcPr>
            <w:tcW w:w="1687" w:type="dxa"/>
          </w:tcPr>
          <w:p w14:paraId="176F5852" w14:textId="77777777" w:rsidR="00250AC8" w:rsidRPr="00EC250C" w:rsidRDefault="00250AC8" w:rsidP="00902FC6">
            <w:pPr>
              <w:pStyle w:val="Tabela"/>
              <w:rPr>
                <w:sz w:val="18"/>
                <w:szCs w:val="20"/>
              </w:rPr>
            </w:pPr>
            <w:r w:rsidRPr="00EC250C">
              <w:rPr>
                <w:sz w:val="18"/>
                <w:szCs w:val="20"/>
              </w:rPr>
              <w:t>14.05.2018</w:t>
            </w:r>
            <w:r w:rsidR="00C91F6E" w:rsidRPr="00EC250C">
              <w:rPr>
                <w:sz w:val="18"/>
                <w:szCs w:val="20"/>
              </w:rPr>
              <w:t> r.</w:t>
            </w:r>
          </w:p>
        </w:tc>
      </w:tr>
      <w:tr w:rsidR="00250AC8" w:rsidRPr="00EC250C" w14:paraId="526E76CF" w14:textId="77777777" w:rsidTr="00FC47F2">
        <w:trPr>
          <w:tblCellSpacing w:w="20" w:type="dxa"/>
        </w:trPr>
        <w:tc>
          <w:tcPr>
            <w:tcW w:w="658" w:type="dxa"/>
          </w:tcPr>
          <w:p w14:paraId="6DF72286" w14:textId="77777777" w:rsidR="00250AC8" w:rsidRPr="00EC250C" w:rsidRDefault="00250AC8" w:rsidP="006C70B7">
            <w:pPr>
              <w:pStyle w:val="Tabela"/>
              <w:numPr>
                <w:ilvl w:val="0"/>
                <w:numId w:val="80"/>
              </w:numPr>
              <w:ind w:left="0" w:firstLine="0"/>
              <w:jc w:val="both"/>
            </w:pPr>
          </w:p>
        </w:tc>
        <w:tc>
          <w:tcPr>
            <w:tcW w:w="7331" w:type="dxa"/>
          </w:tcPr>
          <w:p w14:paraId="3CF4637E"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konferencji naukowej nt. „Karol Marks: 2018”. Pobierowo.</w:t>
            </w:r>
          </w:p>
        </w:tc>
        <w:tc>
          <w:tcPr>
            <w:tcW w:w="1687" w:type="dxa"/>
          </w:tcPr>
          <w:p w14:paraId="0699B982" w14:textId="77777777" w:rsidR="00250AC8" w:rsidRPr="00EC250C" w:rsidRDefault="00250AC8" w:rsidP="00902FC6">
            <w:pPr>
              <w:pStyle w:val="Tabela"/>
              <w:rPr>
                <w:sz w:val="18"/>
                <w:szCs w:val="20"/>
              </w:rPr>
            </w:pPr>
            <w:r w:rsidRPr="00EC250C">
              <w:rPr>
                <w:sz w:val="18"/>
                <w:szCs w:val="20"/>
              </w:rPr>
              <w:t>16.05.2018</w:t>
            </w:r>
            <w:r w:rsidR="00C91F6E" w:rsidRPr="00EC250C">
              <w:rPr>
                <w:sz w:val="18"/>
                <w:szCs w:val="20"/>
              </w:rPr>
              <w:t> r.</w:t>
            </w:r>
          </w:p>
        </w:tc>
      </w:tr>
      <w:tr w:rsidR="00250AC8" w:rsidRPr="00EC250C" w14:paraId="2147A7BF" w14:textId="77777777" w:rsidTr="00FC47F2">
        <w:trPr>
          <w:tblCellSpacing w:w="20" w:type="dxa"/>
        </w:trPr>
        <w:tc>
          <w:tcPr>
            <w:tcW w:w="658" w:type="dxa"/>
          </w:tcPr>
          <w:p w14:paraId="72D0C115" w14:textId="77777777" w:rsidR="00250AC8" w:rsidRPr="00EC250C" w:rsidRDefault="00250AC8" w:rsidP="006C70B7">
            <w:pPr>
              <w:pStyle w:val="Tabela"/>
              <w:numPr>
                <w:ilvl w:val="0"/>
                <w:numId w:val="80"/>
              </w:numPr>
              <w:ind w:left="0" w:firstLine="0"/>
              <w:jc w:val="both"/>
            </w:pPr>
          </w:p>
        </w:tc>
        <w:tc>
          <w:tcPr>
            <w:tcW w:w="7331" w:type="dxa"/>
          </w:tcPr>
          <w:p w14:paraId="4D8C3352"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pierwszej Konferencji im. Wiktora Osiatyńskiego nt. „Populizm</w:t>
            </w:r>
            <w:r w:rsidR="00992FD0" w:rsidRPr="00EC250C">
              <w:rPr>
                <w:sz w:val="18"/>
                <w:szCs w:val="20"/>
              </w:rPr>
              <w:t xml:space="preserve"> a </w:t>
            </w:r>
            <w:r w:rsidRPr="00EC250C">
              <w:rPr>
                <w:sz w:val="18"/>
                <w:szCs w:val="20"/>
              </w:rPr>
              <w:t>rządy prawa”. Warszawa.</w:t>
            </w:r>
          </w:p>
        </w:tc>
        <w:tc>
          <w:tcPr>
            <w:tcW w:w="1687" w:type="dxa"/>
          </w:tcPr>
          <w:p w14:paraId="1699B1D3" w14:textId="77777777" w:rsidR="00250AC8" w:rsidRPr="00EC250C" w:rsidRDefault="00250AC8" w:rsidP="00902FC6">
            <w:pPr>
              <w:pStyle w:val="Tabela"/>
              <w:rPr>
                <w:sz w:val="18"/>
                <w:szCs w:val="20"/>
              </w:rPr>
            </w:pPr>
            <w:r w:rsidRPr="00EC250C">
              <w:rPr>
                <w:sz w:val="18"/>
                <w:szCs w:val="20"/>
              </w:rPr>
              <w:t>16.05.2018</w:t>
            </w:r>
            <w:r w:rsidR="00C91F6E" w:rsidRPr="00EC250C">
              <w:rPr>
                <w:sz w:val="18"/>
                <w:szCs w:val="20"/>
              </w:rPr>
              <w:t> r.</w:t>
            </w:r>
          </w:p>
        </w:tc>
      </w:tr>
      <w:tr w:rsidR="00250AC8" w:rsidRPr="00EC250C" w14:paraId="23B43F13" w14:textId="77777777" w:rsidTr="00FC47F2">
        <w:trPr>
          <w:tblCellSpacing w:w="20" w:type="dxa"/>
        </w:trPr>
        <w:tc>
          <w:tcPr>
            <w:tcW w:w="658" w:type="dxa"/>
          </w:tcPr>
          <w:p w14:paraId="54FB17C9" w14:textId="77777777" w:rsidR="00250AC8" w:rsidRPr="00EC250C" w:rsidRDefault="00250AC8" w:rsidP="006C70B7">
            <w:pPr>
              <w:pStyle w:val="Tabela"/>
              <w:numPr>
                <w:ilvl w:val="0"/>
                <w:numId w:val="80"/>
              </w:numPr>
              <w:ind w:left="0" w:firstLine="0"/>
              <w:jc w:val="both"/>
            </w:pPr>
          </w:p>
        </w:tc>
        <w:tc>
          <w:tcPr>
            <w:tcW w:w="7331" w:type="dxa"/>
          </w:tcPr>
          <w:p w14:paraId="3FCC6C3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debacie nt. bezpieczeństwa kobiet</w:t>
            </w:r>
            <w:r w:rsidR="00992FD0" w:rsidRPr="00EC250C">
              <w:rPr>
                <w:sz w:val="18"/>
                <w:szCs w:val="20"/>
              </w:rPr>
              <w:t xml:space="preserve"> w </w:t>
            </w:r>
            <w:r w:rsidRPr="00EC250C">
              <w:rPr>
                <w:sz w:val="18"/>
                <w:szCs w:val="20"/>
              </w:rPr>
              <w:t>internecie zorganizowanej przez Facebook Polska</w:t>
            </w:r>
            <w:r w:rsidR="00992FD0" w:rsidRPr="00EC250C">
              <w:rPr>
                <w:sz w:val="18"/>
                <w:szCs w:val="20"/>
              </w:rPr>
              <w:t xml:space="preserve"> i </w:t>
            </w:r>
            <w:r w:rsidRPr="00EC250C">
              <w:rPr>
                <w:sz w:val="18"/>
                <w:szCs w:val="20"/>
              </w:rPr>
              <w:t>Helsińską Fundację Praw Człowieka. Warszawa.</w:t>
            </w:r>
          </w:p>
        </w:tc>
        <w:tc>
          <w:tcPr>
            <w:tcW w:w="1687" w:type="dxa"/>
          </w:tcPr>
          <w:p w14:paraId="20602691" w14:textId="77777777" w:rsidR="00250AC8" w:rsidRPr="00EC250C" w:rsidRDefault="00250AC8" w:rsidP="00902FC6">
            <w:pPr>
              <w:pStyle w:val="Tabela"/>
              <w:rPr>
                <w:sz w:val="18"/>
                <w:szCs w:val="20"/>
              </w:rPr>
            </w:pPr>
            <w:r w:rsidRPr="00EC250C">
              <w:rPr>
                <w:sz w:val="18"/>
                <w:szCs w:val="20"/>
              </w:rPr>
              <w:t>16.05.2018</w:t>
            </w:r>
            <w:r w:rsidR="00C91F6E" w:rsidRPr="00EC250C">
              <w:rPr>
                <w:sz w:val="18"/>
                <w:szCs w:val="20"/>
              </w:rPr>
              <w:t> r.</w:t>
            </w:r>
          </w:p>
        </w:tc>
      </w:tr>
      <w:tr w:rsidR="00250AC8" w:rsidRPr="00EC250C" w14:paraId="0D8DEAEF" w14:textId="77777777" w:rsidTr="00FC47F2">
        <w:trPr>
          <w:tblCellSpacing w:w="20" w:type="dxa"/>
        </w:trPr>
        <w:tc>
          <w:tcPr>
            <w:tcW w:w="658" w:type="dxa"/>
          </w:tcPr>
          <w:p w14:paraId="54E490CC" w14:textId="77777777" w:rsidR="00250AC8" w:rsidRPr="00EC250C" w:rsidRDefault="00250AC8" w:rsidP="006C70B7">
            <w:pPr>
              <w:pStyle w:val="Tabela"/>
              <w:numPr>
                <w:ilvl w:val="0"/>
                <w:numId w:val="80"/>
              </w:numPr>
              <w:ind w:left="0" w:firstLine="0"/>
              <w:jc w:val="both"/>
            </w:pPr>
          </w:p>
        </w:tc>
        <w:tc>
          <w:tcPr>
            <w:tcW w:w="7331" w:type="dxa"/>
          </w:tcPr>
          <w:p w14:paraId="5F93B43B" w14:textId="77777777" w:rsidR="00250AC8" w:rsidRPr="00EC250C" w:rsidRDefault="00250AC8" w:rsidP="00902FC6">
            <w:pPr>
              <w:pStyle w:val="Tabela"/>
              <w:rPr>
                <w:sz w:val="18"/>
                <w:szCs w:val="20"/>
              </w:rPr>
            </w:pPr>
            <w:r w:rsidRPr="00EC250C">
              <w:rPr>
                <w:sz w:val="18"/>
                <w:szCs w:val="20"/>
              </w:rPr>
              <w:t>XXV Jubileuszowe Kwidzyńskie Forum Teatralne Placówek Kształcenia Specjalnego pod honorowym patronatem RPO zorganizowane przez Dyrektora Generalnego Młodzieżowego Ośrodka Wychowawczego</w:t>
            </w:r>
            <w:r w:rsidR="00992FD0" w:rsidRPr="00EC250C">
              <w:rPr>
                <w:sz w:val="18"/>
                <w:szCs w:val="20"/>
              </w:rPr>
              <w:t xml:space="preserve"> w </w:t>
            </w:r>
            <w:r w:rsidRPr="00EC250C">
              <w:rPr>
                <w:sz w:val="18"/>
                <w:szCs w:val="20"/>
              </w:rPr>
              <w:t>Kwidzynie. Kwidzyń.</w:t>
            </w:r>
          </w:p>
        </w:tc>
        <w:tc>
          <w:tcPr>
            <w:tcW w:w="1687" w:type="dxa"/>
          </w:tcPr>
          <w:p w14:paraId="40761845" w14:textId="77777777" w:rsidR="00250AC8" w:rsidRPr="00EC250C" w:rsidRDefault="00250AC8" w:rsidP="00902FC6">
            <w:pPr>
              <w:pStyle w:val="Tabela"/>
              <w:rPr>
                <w:sz w:val="18"/>
                <w:szCs w:val="20"/>
              </w:rPr>
            </w:pPr>
            <w:r w:rsidRPr="00EC250C">
              <w:rPr>
                <w:sz w:val="18"/>
                <w:szCs w:val="20"/>
              </w:rPr>
              <w:t>17.05.2018</w:t>
            </w:r>
            <w:r w:rsidR="00C91F6E" w:rsidRPr="00EC250C">
              <w:rPr>
                <w:sz w:val="18"/>
                <w:szCs w:val="20"/>
              </w:rPr>
              <w:t> r.</w:t>
            </w:r>
          </w:p>
        </w:tc>
      </w:tr>
      <w:tr w:rsidR="00250AC8" w:rsidRPr="00EC250C" w14:paraId="4DDB8311" w14:textId="77777777" w:rsidTr="00FC47F2">
        <w:trPr>
          <w:tblCellSpacing w:w="20" w:type="dxa"/>
        </w:trPr>
        <w:tc>
          <w:tcPr>
            <w:tcW w:w="658" w:type="dxa"/>
          </w:tcPr>
          <w:p w14:paraId="187A7A77" w14:textId="77777777" w:rsidR="00250AC8" w:rsidRPr="00EC250C" w:rsidRDefault="00250AC8" w:rsidP="006C70B7">
            <w:pPr>
              <w:pStyle w:val="Tabela"/>
              <w:numPr>
                <w:ilvl w:val="0"/>
                <w:numId w:val="80"/>
              </w:numPr>
              <w:ind w:left="0" w:firstLine="0"/>
              <w:jc w:val="both"/>
            </w:pPr>
          </w:p>
        </w:tc>
        <w:tc>
          <w:tcPr>
            <w:tcW w:w="7331" w:type="dxa"/>
          </w:tcPr>
          <w:p w14:paraId="2DB8DE14"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i </w:t>
            </w:r>
            <w:r w:rsidRPr="00EC250C">
              <w:rPr>
                <w:sz w:val="18"/>
                <w:szCs w:val="20"/>
              </w:rPr>
              <w:t>Dyrektor Generalnej Katarzyny Jakimowicz</w:t>
            </w:r>
            <w:r w:rsidR="00992FD0" w:rsidRPr="00EC250C">
              <w:rPr>
                <w:sz w:val="18"/>
                <w:szCs w:val="20"/>
              </w:rPr>
              <w:t xml:space="preserve"> w </w:t>
            </w:r>
            <w:r w:rsidRPr="00EC250C">
              <w:rPr>
                <w:sz w:val="18"/>
                <w:szCs w:val="20"/>
              </w:rPr>
              <w:t>uroczystych obchodach święta Akademii Pedagogiki Specjalnej im. Marii Grzegorzewskiej. Warszawa.</w:t>
            </w:r>
          </w:p>
        </w:tc>
        <w:tc>
          <w:tcPr>
            <w:tcW w:w="1687" w:type="dxa"/>
          </w:tcPr>
          <w:p w14:paraId="282C7D9C" w14:textId="77777777" w:rsidR="00250AC8" w:rsidRPr="00EC250C" w:rsidRDefault="00250AC8" w:rsidP="00902FC6">
            <w:pPr>
              <w:pStyle w:val="Tabela"/>
              <w:rPr>
                <w:sz w:val="18"/>
                <w:szCs w:val="20"/>
              </w:rPr>
            </w:pPr>
            <w:r w:rsidRPr="00EC250C">
              <w:rPr>
                <w:sz w:val="18"/>
                <w:szCs w:val="20"/>
              </w:rPr>
              <w:t>18.05.2018</w:t>
            </w:r>
            <w:r w:rsidR="00C91F6E" w:rsidRPr="00EC250C">
              <w:rPr>
                <w:sz w:val="18"/>
                <w:szCs w:val="20"/>
              </w:rPr>
              <w:t> r.</w:t>
            </w:r>
          </w:p>
        </w:tc>
      </w:tr>
      <w:tr w:rsidR="00250AC8" w:rsidRPr="00EC250C" w14:paraId="53423ADF" w14:textId="77777777" w:rsidTr="00FC47F2">
        <w:trPr>
          <w:tblCellSpacing w:w="20" w:type="dxa"/>
        </w:trPr>
        <w:tc>
          <w:tcPr>
            <w:tcW w:w="658" w:type="dxa"/>
          </w:tcPr>
          <w:p w14:paraId="79400242" w14:textId="77777777" w:rsidR="00250AC8" w:rsidRPr="00EC250C" w:rsidRDefault="00250AC8" w:rsidP="006C70B7">
            <w:pPr>
              <w:pStyle w:val="Tabela"/>
              <w:numPr>
                <w:ilvl w:val="0"/>
                <w:numId w:val="80"/>
              </w:numPr>
              <w:ind w:left="0" w:firstLine="0"/>
              <w:jc w:val="both"/>
            </w:pPr>
          </w:p>
        </w:tc>
        <w:tc>
          <w:tcPr>
            <w:tcW w:w="7331" w:type="dxa"/>
          </w:tcPr>
          <w:p w14:paraId="27A38B1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Gali</w:t>
            </w:r>
            <w:r w:rsidR="00026572" w:rsidRPr="00EC250C">
              <w:rPr>
                <w:sz w:val="18"/>
                <w:szCs w:val="20"/>
              </w:rPr>
              <w:t xml:space="preserve"> – </w:t>
            </w:r>
            <w:r w:rsidRPr="00EC250C">
              <w:rPr>
                <w:sz w:val="18"/>
                <w:szCs w:val="20"/>
              </w:rPr>
              <w:t>Nagrody Polskiej Rady Biznesu, Ufficio Primo. Warszawa.</w:t>
            </w:r>
          </w:p>
        </w:tc>
        <w:tc>
          <w:tcPr>
            <w:tcW w:w="1687" w:type="dxa"/>
          </w:tcPr>
          <w:p w14:paraId="481B1D5C" w14:textId="77777777" w:rsidR="00250AC8" w:rsidRPr="00EC250C" w:rsidRDefault="00250AC8" w:rsidP="00902FC6">
            <w:pPr>
              <w:pStyle w:val="Tabela"/>
              <w:rPr>
                <w:sz w:val="18"/>
                <w:szCs w:val="20"/>
              </w:rPr>
            </w:pPr>
            <w:r w:rsidRPr="00EC250C">
              <w:rPr>
                <w:sz w:val="18"/>
                <w:szCs w:val="20"/>
              </w:rPr>
              <w:t>21.05.2018</w:t>
            </w:r>
            <w:r w:rsidR="00C91F6E" w:rsidRPr="00EC250C">
              <w:rPr>
                <w:sz w:val="18"/>
                <w:szCs w:val="20"/>
              </w:rPr>
              <w:t> r.</w:t>
            </w:r>
          </w:p>
        </w:tc>
      </w:tr>
      <w:tr w:rsidR="00250AC8" w:rsidRPr="00EC250C" w14:paraId="378D735A" w14:textId="77777777" w:rsidTr="00FC47F2">
        <w:trPr>
          <w:tblCellSpacing w:w="20" w:type="dxa"/>
        </w:trPr>
        <w:tc>
          <w:tcPr>
            <w:tcW w:w="658" w:type="dxa"/>
          </w:tcPr>
          <w:p w14:paraId="2ED95ECB" w14:textId="77777777" w:rsidR="00250AC8" w:rsidRPr="00EC250C" w:rsidRDefault="00250AC8" w:rsidP="006C70B7">
            <w:pPr>
              <w:pStyle w:val="Tabela"/>
              <w:numPr>
                <w:ilvl w:val="0"/>
                <w:numId w:val="80"/>
              </w:numPr>
              <w:ind w:left="0" w:firstLine="0"/>
              <w:jc w:val="both"/>
            </w:pPr>
          </w:p>
        </w:tc>
        <w:tc>
          <w:tcPr>
            <w:tcW w:w="7331" w:type="dxa"/>
          </w:tcPr>
          <w:p w14:paraId="64166D2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konferencji nt. „Mój prawnik, moje prawa – wymiar sprawiedliwości</w:t>
            </w:r>
            <w:r w:rsidR="00992FD0" w:rsidRPr="00EC250C">
              <w:rPr>
                <w:sz w:val="18"/>
                <w:szCs w:val="20"/>
              </w:rPr>
              <w:t xml:space="preserve"> w </w:t>
            </w:r>
            <w:r w:rsidRPr="00EC250C">
              <w:rPr>
                <w:sz w:val="18"/>
                <w:szCs w:val="20"/>
              </w:rPr>
              <w:t xml:space="preserve">sprawach dzieci” zorganizowanej przez </w:t>
            </w:r>
            <w:r w:rsidRPr="00EC250C">
              <w:rPr>
                <w:rStyle w:val="Pogrubienie"/>
                <w:b w:val="0"/>
                <w:bCs w:val="0"/>
                <w:sz w:val="18"/>
                <w:szCs w:val="20"/>
              </w:rPr>
              <w:t>Komisję Praw Człowieka przy NRA oraz Helsińską Fundację Praw Człowieka. Warszawa.</w:t>
            </w:r>
          </w:p>
        </w:tc>
        <w:tc>
          <w:tcPr>
            <w:tcW w:w="1687" w:type="dxa"/>
          </w:tcPr>
          <w:p w14:paraId="4B668873" w14:textId="77777777" w:rsidR="00250AC8" w:rsidRPr="00EC250C" w:rsidRDefault="00250AC8" w:rsidP="00902FC6">
            <w:pPr>
              <w:pStyle w:val="Tabela"/>
              <w:rPr>
                <w:sz w:val="18"/>
                <w:szCs w:val="20"/>
              </w:rPr>
            </w:pPr>
            <w:r w:rsidRPr="00EC250C">
              <w:rPr>
                <w:sz w:val="18"/>
                <w:szCs w:val="20"/>
              </w:rPr>
              <w:t>22.05.2018</w:t>
            </w:r>
            <w:r w:rsidR="00C91F6E" w:rsidRPr="00EC250C">
              <w:rPr>
                <w:sz w:val="18"/>
                <w:szCs w:val="20"/>
              </w:rPr>
              <w:t> r.</w:t>
            </w:r>
          </w:p>
        </w:tc>
      </w:tr>
      <w:tr w:rsidR="00250AC8" w:rsidRPr="00EC250C" w14:paraId="2F0F2D24" w14:textId="77777777" w:rsidTr="00FC47F2">
        <w:trPr>
          <w:tblCellSpacing w:w="20" w:type="dxa"/>
        </w:trPr>
        <w:tc>
          <w:tcPr>
            <w:tcW w:w="658" w:type="dxa"/>
          </w:tcPr>
          <w:p w14:paraId="488F19CA" w14:textId="77777777" w:rsidR="00250AC8" w:rsidRPr="00EC250C" w:rsidRDefault="00250AC8" w:rsidP="006C70B7">
            <w:pPr>
              <w:pStyle w:val="Tabela"/>
              <w:numPr>
                <w:ilvl w:val="0"/>
                <w:numId w:val="80"/>
              </w:numPr>
              <w:ind w:left="0" w:firstLine="0"/>
              <w:jc w:val="both"/>
            </w:pPr>
          </w:p>
        </w:tc>
        <w:tc>
          <w:tcPr>
            <w:tcW w:w="7331" w:type="dxa"/>
          </w:tcPr>
          <w:p w14:paraId="34DD28E9"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nt. „Okrągły Stół: Państwo bez tortur?” zorganizowanej przez RPO we współpracy</w:t>
            </w:r>
            <w:r w:rsidR="00992FD0" w:rsidRPr="00EC250C">
              <w:rPr>
                <w:sz w:val="18"/>
                <w:szCs w:val="20"/>
              </w:rPr>
              <w:t xml:space="preserve"> z </w:t>
            </w:r>
            <w:r w:rsidRPr="00EC250C">
              <w:rPr>
                <w:sz w:val="18"/>
                <w:szCs w:val="20"/>
              </w:rPr>
              <w:t>Biurem Instytucji Demokratycznych</w:t>
            </w:r>
            <w:r w:rsidR="00992FD0" w:rsidRPr="00EC250C">
              <w:rPr>
                <w:sz w:val="18"/>
                <w:szCs w:val="20"/>
              </w:rPr>
              <w:t xml:space="preserve"> i </w:t>
            </w:r>
            <w:r w:rsidRPr="00EC250C">
              <w:rPr>
                <w:sz w:val="18"/>
                <w:szCs w:val="20"/>
              </w:rPr>
              <w:t>Praw Człowieka Organizacji Bezpieczeństwa</w:t>
            </w:r>
            <w:r w:rsidR="00992FD0" w:rsidRPr="00EC250C">
              <w:rPr>
                <w:sz w:val="18"/>
                <w:szCs w:val="20"/>
              </w:rPr>
              <w:t xml:space="preserve"> i </w:t>
            </w:r>
            <w:r w:rsidRPr="00EC250C">
              <w:rPr>
                <w:sz w:val="18"/>
                <w:szCs w:val="20"/>
              </w:rPr>
              <w:t>Współpracy</w:t>
            </w:r>
            <w:r w:rsidR="00992FD0" w:rsidRPr="00EC250C">
              <w:rPr>
                <w:sz w:val="18"/>
                <w:szCs w:val="20"/>
              </w:rPr>
              <w:t xml:space="preserve"> w </w:t>
            </w:r>
            <w:r w:rsidRPr="00EC250C">
              <w:rPr>
                <w:sz w:val="18"/>
                <w:szCs w:val="20"/>
              </w:rPr>
              <w:t>Europie. Biuro RPO. Warszawa.</w:t>
            </w:r>
          </w:p>
        </w:tc>
        <w:tc>
          <w:tcPr>
            <w:tcW w:w="1687" w:type="dxa"/>
          </w:tcPr>
          <w:p w14:paraId="237733E9" w14:textId="77777777" w:rsidR="00250AC8" w:rsidRPr="00EC250C" w:rsidRDefault="00250AC8" w:rsidP="00902FC6">
            <w:pPr>
              <w:pStyle w:val="Tabela"/>
              <w:rPr>
                <w:sz w:val="18"/>
                <w:szCs w:val="20"/>
              </w:rPr>
            </w:pPr>
            <w:r w:rsidRPr="00EC250C">
              <w:rPr>
                <w:sz w:val="18"/>
                <w:szCs w:val="20"/>
              </w:rPr>
              <w:t>22–23.05.2018</w:t>
            </w:r>
            <w:r w:rsidR="00C91F6E" w:rsidRPr="00EC250C">
              <w:rPr>
                <w:sz w:val="18"/>
                <w:szCs w:val="20"/>
              </w:rPr>
              <w:t> r.</w:t>
            </w:r>
          </w:p>
        </w:tc>
      </w:tr>
      <w:tr w:rsidR="00250AC8" w:rsidRPr="00EC250C" w14:paraId="043B1A7E" w14:textId="77777777" w:rsidTr="00FC47F2">
        <w:trPr>
          <w:tblCellSpacing w:w="20" w:type="dxa"/>
        </w:trPr>
        <w:tc>
          <w:tcPr>
            <w:tcW w:w="658" w:type="dxa"/>
          </w:tcPr>
          <w:p w14:paraId="74437A18" w14:textId="77777777" w:rsidR="00250AC8" w:rsidRPr="00EC250C" w:rsidRDefault="00250AC8" w:rsidP="006C70B7">
            <w:pPr>
              <w:pStyle w:val="Tabela"/>
              <w:numPr>
                <w:ilvl w:val="0"/>
                <w:numId w:val="80"/>
              </w:numPr>
              <w:ind w:left="0" w:firstLine="0"/>
              <w:jc w:val="both"/>
            </w:pPr>
          </w:p>
        </w:tc>
        <w:tc>
          <w:tcPr>
            <w:tcW w:w="7331" w:type="dxa"/>
          </w:tcPr>
          <w:p w14:paraId="5BAFD78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konferencji nt. „Prawo pracy</w:t>
            </w:r>
            <w:r w:rsidR="00992FD0" w:rsidRPr="00EC250C">
              <w:rPr>
                <w:sz w:val="18"/>
                <w:szCs w:val="20"/>
              </w:rPr>
              <w:t xml:space="preserve"> w </w:t>
            </w:r>
            <w:r w:rsidRPr="00EC250C">
              <w:rPr>
                <w:sz w:val="18"/>
                <w:szCs w:val="20"/>
              </w:rPr>
              <w:t>obliczu kodyfikacji</w:t>
            </w:r>
            <w:r w:rsidR="00992FD0" w:rsidRPr="00EC250C">
              <w:rPr>
                <w:sz w:val="18"/>
                <w:szCs w:val="20"/>
              </w:rPr>
              <w:t xml:space="preserve"> i </w:t>
            </w:r>
            <w:r w:rsidRPr="00EC250C">
              <w:rPr>
                <w:sz w:val="18"/>
                <w:szCs w:val="20"/>
              </w:rPr>
              <w:t>nowelizacji ustawy</w:t>
            </w:r>
            <w:r w:rsidR="00992FD0" w:rsidRPr="00EC250C">
              <w:rPr>
                <w:sz w:val="18"/>
                <w:szCs w:val="20"/>
              </w:rPr>
              <w:t xml:space="preserve"> o </w:t>
            </w:r>
            <w:r w:rsidRPr="00EC250C">
              <w:rPr>
                <w:sz w:val="18"/>
                <w:szCs w:val="20"/>
              </w:rPr>
              <w:t>związkach zawodowych” zorganizowanej ku czci prof. dr hab. Tadeusza Zielińskiego przez Katedrę Prawa Pracy</w:t>
            </w:r>
            <w:r w:rsidR="00992FD0" w:rsidRPr="00EC250C">
              <w:rPr>
                <w:sz w:val="18"/>
                <w:szCs w:val="20"/>
              </w:rPr>
              <w:t xml:space="preserve"> i </w:t>
            </w:r>
            <w:r w:rsidRPr="00EC250C">
              <w:rPr>
                <w:sz w:val="18"/>
                <w:szCs w:val="20"/>
              </w:rPr>
              <w:t>Polityki Społecznej Uniwersytetu Jagiellońskiego. Kraków.</w:t>
            </w:r>
          </w:p>
        </w:tc>
        <w:tc>
          <w:tcPr>
            <w:tcW w:w="1687" w:type="dxa"/>
          </w:tcPr>
          <w:p w14:paraId="03EBB2E8" w14:textId="77777777" w:rsidR="00250AC8" w:rsidRPr="00EC250C" w:rsidRDefault="00250AC8" w:rsidP="00902FC6">
            <w:pPr>
              <w:pStyle w:val="Tabela"/>
              <w:rPr>
                <w:sz w:val="18"/>
                <w:szCs w:val="20"/>
              </w:rPr>
            </w:pPr>
            <w:r w:rsidRPr="00EC250C">
              <w:rPr>
                <w:sz w:val="18"/>
                <w:szCs w:val="20"/>
              </w:rPr>
              <w:t>24–25.05.2018</w:t>
            </w:r>
            <w:r w:rsidR="00C91F6E" w:rsidRPr="00EC250C">
              <w:rPr>
                <w:sz w:val="18"/>
                <w:szCs w:val="20"/>
              </w:rPr>
              <w:t> r.</w:t>
            </w:r>
          </w:p>
        </w:tc>
      </w:tr>
      <w:tr w:rsidR="00250AC8" w:rsidRPr="00EC250C" w14:paraId="257E514B" w14:textId="77777777" w:rsidTr="00FC47F2">
        <w:trPr>
          <w:tblCellSpacing w:w="20" w:type="dxa"/>
        </w:trPr>
        <w:tc>
          <w:tcPr>
            <w:tcW w:w="658" w:type="dxa"/>
          </w:tcPr>
          <w:p w14:paraId="6A740DB1" w14:textId="77777777" w:rsidR="00250AC8" w:rsidRPr="00EC250C" w:rsidRDefault="00250AC8" w:rsidP="006C70B7">
            <w:pPr>
              <w:pStyle w:val="Tabela"/>
              <w:numPr>
                <w:ilvl w:val="0"/>
                <w:numId w:val="80"/>
              </w:numPr>
              <w:ind w:left="0" w:firstLine="0"/>
              <w:jc w:val="both"/>
            </w:pPr>
          </w:p>
        </w:tc>
        <w:tc>
          <w:tcPr>
            <w:tcW w:w="7331" w:type="dxa"/>
          </w:tcPr>
          <w:p w14:paraId="013E28CE" w14:textId="77777777" w:rsidR="00250AC8" w:rsidRPr="00EC250C" w:rsidRDefault="00250AC8" w:rsidP="00902FC6">
            <w:pPr>
              <w:pStyle w:val="Tabela"/>
              <w:rPr>
                <w:sz w:val="18"/>
                <w:szCs w:val="20"/>
              </w:rPr>
            </w:pPr>
            <w:r w:rsidRPr="00EC250C">
              <w:rPr>
                <w:sz w:val="18"/>
                <w:szCs w:val="20"/>
              </w:rPr>
              <w:t>Konferencja naukowa nt. „RODO</w:t>
            </w:r>
            <w:r w:rsidR="00992FD0" w:rsidRPr="00EC250C">
              <w:rPr>
                <w:sz w:val="18"/>
                <w:szCs w:val="20"/>
              </w:rPr>
              <w:t xml:space="preserve"> w </w:t>
            </w:r>
            <w:r w:rsidRPr="00EC250C">
              <w:rPr>
                <w:sz w:val="18"/>
                <w:szCs w:val="20"/>
              </w:rPr>
              <w:t>kontekście prawa medycznego” zorganizowana przez Wydział Prawa</w:t>
            </w:r>
            <w:r w:rsidR="00992FD0" w:rsidRPr="00EC250C">
              <w:rPr>
                <w:sz w:val="18"/>
                <w:szCs w:val="20"/>
              </w:rPr>
              <w:t xml:space="preserve"> i </w:t>
            </w:r>
            <w:r w:rsidRPr="00EC250C">
              <w:rPr>
                <w:sz w:val="18"/>
                <w:szCs w:val="20"/>
              </w:rPr>
              <w:t>Administracji Uniwersytetu Jagiellońskiego. Kraków.</w:t>
            </w:r>
          </w:p>
        </w:tc>
        <w:tc>
          <w:tcPr>
            <w:tcW w:w="1687" w:type="dxa"/>
          </w:tcPr>
          <w:p w14:paraId="48B010B8" w14:textId="77777777" w:rsidR="00250AC8" w:rsidRPr="00EC250C" w:rsidRDefault="00250AC8" w:rsidP="00902FC6">
            <w:pPr>
              <w:pStyle w:val="Tabela"/>
              <w:rPr>
                <w:sz w:val="18"/>
                <w:szCs w:val="20"/>
              </w:rPr>
            </w:pPr>
            <w:r w:rsidRPr="00EC250C">
              <w:rPr>
                <w:sz w:val="18"/>
                <w:szCs w:val="20"/>
              </w:rPr>
              <w:t>24–26.05.2018</w:t>
            </w:r>
            <w:r w:rsidR="00C91F6E" w:rsidRPr="00EC250C">
              <w:rPr>
                <w:sz w:val="18"/>
                <w:szCs w:val="20"/>
              </w:rPr>
              <w:t> r.</w:t>
            </w:r>
          </w:p>
        </w:tc>
      </w:tr>
      <w:tr w:rsidR="00250AC8" w:rsidRPr="00EC250C" w14:paraId="73946BEF" w14:textId="77777777" w:rsidTr="00FC47F2">
        <w:trPr>
          <w:tblCellSpacing w:w="20" w:type="dxa"/>
        </w:trPr>
        <w:tc>
          <w:tcPr>
            <w:tcW w:w="658" w:type="dxa"/>
          </w:tcPr>
          <w:p w14:paraId="7A015F24" w14:textId="77777777" w:rsidR="00250AC8" w:rsidRPr="00EC250C" w:rsidRDefault="00250AC8" w:rsidP="006C70B7">
            <w:pPr>
              <w:pStyle w:val="Tabela"/>
              <w:numPr>
                <w:ilvl w:val="0"/>
                <w:numId w:val="80"/>
              </w:numPr>
              <w:ind w:left="0" w:firstLine="0"/>
              <w:jc w:val="both"/>
            </w:pPr>
          </w:p>
        </w:tc>
        <w:tc>
          <w:tcPr>
            <w:tcW w:w="7331" w:type="dxa"/>
          </w:tcPr>
          <w:p w14:paraId="21ABF16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V edycji konferencji</w:t>
            </w:r>
            <w:r w:rsidR="00992FD0" w:rsidRPr="00EC250C">
              <w:rPr>
                <w:sz w:val="18"/>
                <w:szCs w:val="20"/>
              </w:rPr>
              <w:t xml:space="preserve"> w </w:t>
            </w:r>
            <w:r w:rsidRPr="00EC250C">
              <w:rPr>
                <w:sz w:val="18"/>
                <w:szCs w:val="20"/>
              </w:rPr>
              <w:t>ramach Oświęcimskiego Instytutu Praw Człowieka</w:t>
            </w:r>
            <w:r w:rsidR="00992FD0" w:rsidRPr="00EC250C">
              <w:rPr>
                <w:sz w:val="18"/>
                <w:szCs w:val="20"/>
              </w:rPr>
              <w:t xml:space="preserve"> w </w:t>
            </w:r>
            <w:r w:rsidRPr="00EC250C">
              <w:rPr>
                <w:sz w:val="18"/>
                <w:szCs w:val="20"/>
              </w:rPr>
              <w:t>panelu II. „Emancypacja 4.0 – co kryje się za #ME TOO?” oraz</w:t>
            </w:r>
            <w:r w:rsidR="00992FD0" w:rsidRPr="00EC250C">
              <w:rPr>
                <w:sz w:val="18"/>
                <w:szCs w:val="20"/>
              </w:rPr>
              <w:t xml:space="preserve"> w </w:t>
            </w:r>
            <w:r w:rsidRPr="00EC250C">
              <w:rPr>
                <w:sz w:val="18"/>
                <w:szCs w:val="20"/>
              </w:rPr>
              <w:t>konferencji nt. „Kalanie własnego gniazda. Kultura, prawo, społeczeństwo. Rola Rzecznika Praw Obywatelskich”. Kraków, Oświęcim.</w:t>
            </w:r>
          </w:p>
        </w:tc>
        <w:tc>
          <w:tcPr>
            <w:tcW w:w="1687" w:type="dxa"/>
          </w:tcPr>
          <w:p w14:paraId="5C599420" w14:textId="77777777" w:rsidR="00250AC8" w:rsidRPr="00EC250C" w:rsidRDefault="00250AC8" w:rsidP="00902FC6">
            <w:pPr>
              <w:pStyle w:val="Tabela"/>
              <w:rPr>
                <w:sz w:val="18"/>
                <w:szCs w:val="20"/>
              </w:rPr>
            </w:pPr>
            <w:r w:rsidRPr="00EC250C">
              <w:rPr>
                <w:sz w:val="18"/>
                <w:szCs w:val="20"/>
              </w:rPr>
              <w:t>25.05.2018</w:t>
            </w:r>
            <w:r w:rsidR="00C91F6E" w:rsidRPr="00EC250C">
              <w:rPr>
                <w:sz w:val="18"/>
                <w:szCs w:val="20"/>
              </w:rPr>
              <w:t> r.</w:t>
            </w:r>
          </w:p>
        </w:tc>
      </w:tr>
      <w:tr w:rsidR="00250AC8" w:rsidRPr="00EC250C" w14:paraId="0E4F76EC" w14:textId="77777777" w:rsidTr="00FC47F2">
        <w:trPr>
          <w:tblCellSpacing w:w="20" w:type="dxa"/>
        </w:trPr>
        <w:tc>
          <w:tcPr>
            <w:tcW w:w="658" w:type="dxa"/>
          </w:tcPr>
          <w:p w14:paraId="1FFDA7A3" w14:textId="77777777" w:rsidR="00250AC8" w:rsidRPr="00EC250C" w:rsidRDefault="00250AC8" w:rsidP="006C70B7">
            <w:pPr>
              <w:pStyle w:val="Tabela"/>
              <w:numPr>
                <w:ilvl w:val="0"/>
                <w:numId w:val="80"/>
              </w:numPr>
              <w:ind w:left="0" w:firstLine="0"/>
              <w:jc w:val="both"/>
            </w:pPr>
          </w:p>
        </w:tc>
        <w:tc>
          <w:tcPr>
            <w:tcW w:w="7331" w:type="dxa"/>
          </w:tcPr>
          <w:p w14:paraId="6114DCC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otwarciu XIV Krajowego Zjazdu Lekarzy. Warszawa.</w:t>
            </w:r>
          </w:p>
        </w:tc>
        <w:tc>
          <w:tcPr>
            <w:tcW w:w="1687" w:type="dxa"/>
          </w:tcPr>
          <w:p w14:paraId="7866797C" w14:textId="77777777" w:rsidR="00250AC8" w:rsidRPr="00EC250C" w:rsidRDefault="00250AC8" w:rsidP="00902FC6">
            <w:pPr>
              <w:pStyle w:val="Tabela"/>
              <w:rPr>
                <w:sz w:val="18"/>
                <w:szCs w:val="20"/>
              </w:rPr>
            </w:pPr>
            <w:r w:rsidRPr="00EC250C">
              <w:rPr>
                <w:sz w:val="18"/>
                <w:szCs w:val="20"/>
              </w:rPr>
              <w:t>25.05.2018</w:t>
            </w:r>
            <w:r w:rsidR="00C91F6E" w:rsidRPr="00EC250C">
              <w:rPr>
                <w:sz w:val="18"/>
                <w:szCs w:val="20"/>
              </w:rPr>
              <w:t> r.</w:t>
            </w:r>
          </w:p>
        </w:tc>
      </w:tr>
      <w:tr w:rsidR="00250AC8" w:rsidRPr="00EC250C" w14:paraId="0D172FF4" w14:textId="77777777" w:rsidTr="00FC47F2">
        <w:trPr>
          <w:tblCellSpacing w:w="20" w:type="dxa"/>
        </w:trPr>
        <w:tc>
          <w:tcPr>
            <w:tcW w:w="658" w:type="dxa"/>
          </w:tcPr>
          <w:p w14:paraId="1991EC5E" w14:textId="77777777" w:rsidR="00250AC8" w:rsidRPr="00EC250C" w:rsidRDefault="00250AC8" w:rsidP="006C70B7">
            <w:pPr>
              <w:pStyle w:val="Tabela"/>
              <w:numPr>
                <w:ilvl w:val="0"/>
                <w:numId w:val="80"/>
              </w:numPr>
              <w:ind w:left="0" w:firstLine="0"/>
              <w:jc w:val="both"/>
            </w:pPr>
          </w:p>
        </w:tc>
        <w:tc>
          <w:tcPr>
            <w:tcW w:w="7331" w:type="dxa"/>
          </w:tcPr>
          <w:p w14:paraId="0E258135" w14:textId="77777777" w:rsidR="00250AC8" w:rsidRPr="00EC250C" w:rsidRDefault="00250AC8" w:rsidP="00902FC6">
            <w:pPr>
              <w:pStyle w:val="Tabela"/>
              <w:rPr>
                <w:sz w:val="18"/>
                <w:szCs w:val="20"/>
              </w:rPr>
            </w:pPr>
            <w:r w:rsidRPr="00EC250C">
              <w:rPr>
                <w:sz w:val="18"/>
                <w:szCs w:val="20"/>
              </w:rPr>
              <w:t>Konferencja naukowa nt. „Wyzwania współczesnego prawa wyborczego –edycja V” zorganizowana przez Studenckie Koło Naukowe Prawa Wyborczego „Elektor” działające na Wydziale Prawa</w:t>
            </w:r>
            <w:r w:rsidR="00992FD0" w:rsidRPr="00EC250C">
              <w:rPr>
                <w:sz w:val="18"/>
                <w:szCs w:val="20"/>
              </w:rPr>
              <w:t xml:space="preserve"> i </w:t>
            </w:r>
            <w:r w:rsidRPr="00EC250C">
              <w:rPr>
                <w:sz w:val="18"/>
                <w:szCs w:val="20"/>
              </w:rPr>
              <w:t>Administracji UMK</w:t>
            </w:r>
            <w:r w:rsidR="00992FD0" w:rsidRPr="00EC250C">
              <w:rPr>
                <w:sz w:val="18"/>
                <w:szCs w:val="20"/>
              </w:rPr>
              <w:t xml:space="preserve"> w </w:t>
            </w:r>
            <w:r w:rsidRPr="00EC250C">
              <w:rPr>
                <w:sz w:val="18"/>
                <w:szCs w:val="20"/>
              </w:rPr>
              <w:t>Toruniu. Toruń.</w:t>
            </w:r>
          </w:p>
        </w:tc>
        <w:tc>
          <w:tcPr>
            <w:tcW w:w="1687" w:type="dxa"/>
          </w:tcPr>
          <w:p w14:paraId="4FDA846D" w14:textId="77777777" w:rsidR="00250AC8" w:rsidRPr="00EC250C" w:rsidRDefault="00250AC8" w:rsidP="00902FC6">
            <w:pPr>
              <w:pStyle w:val="Tabela"/>
              <w:rPr>
                <w:sz w:val="18"/>
                <w:szCs w:val="20"/>
              </w:rPr>
            </w:pPr>
            <w:r w:rsidRPr="00EC250C">
              <w:rPr>
                <w:sz w:val="18"/>
                <w:szCs w:val="20"/>
              </w:rPr>
              <w:t>25–26.05.2018</w:t>
            </w:r>
            <w:r w:rsidR="00C91F6E" w:rsidRPr="00EC250C">
              <w:rPr>
                <w:sz w:val="18"/>
                <w:szCs w:val="20"/>
              </w:rPr>
              <w:t> r.</w:t>
            </w:r>
          </w:p>
        </w:tc>
      </w:tr>
      <w:tr w:rsidR="00250AC8" w:rsidRPr="00EC250C" w14:paraId="1866CBC3" w14:textId="77777777" w:rsidTr="00FC47F2">
        <w:trPr>
          <w:tblCellSpacing w:w="20" w:type="dxa"/>
        </w:trPr>
        <w:tc>
          <w:tcPr>
            <w:tcW w:w="658" w:type="dxa"/>
          </w:tcPr>
          <w:p w14:paraId="4D975BC3" w14:textId="77777777" w:rsidR="00250AC8" w:rsidRPr="00EC250C" w:rsidRDefault="00250AC8" w:rsidP="006C70B7">
            <w:pPr>
              <w:pStyle w:val="Tabela"/>
              <w:numPr>
                <w:ilvl w:val="0"/>
                <w:numId w:val="80"/>
              </w:numPr>
              <w:ind w:left="0" w:firstLine="0"/>
              <w:jc w:val="both"/>
            </w:pPr>
          </w:p>
        </w:tc>
        <w:tc>
          <w:tcPr>
            <w:tcW w:w="7331" w:type="dxa"/>
          </w:tcPr>
          <w:p w14:paraId="42A8238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konferencji nt. „Mowa nienawiści, fake news, propaganda – wspólni wrogowie demokracji” zorganizowanej przez Marszałka województwa zachodniopomorskiego. Szczecin.</w:t>
            </w:r>
          </w:p>
        </w:tc>
        <w:tc>
          <w:tcPr>
            <w:tcW w:w="1687" w:type="dxa"/>
          </w:tcPr>
          <w:p w14:paraId="4768BEA6" w14:textId="77777777" w:rsidR="00250AC8" w:rsidRPr="00EC250C" w:rsidRDefault="00250AC8" w:rsidP="00902FC6">
            <w:pPr>
              <w:pStyle w:val="Tabela"/>
              <w:rPr>
                <w:sz w:val="18"/>
                <w:szCs w:val="20"/>
              </w:rPr>
            </w:pPr>
            <w:r w:rsidRPr="00EC250C">
              <w:rPr>
                <w:sz w:val="18"/>
                <w:szCs w:val="20"/>
              </w:rPr>
              <w:t>27–28.05.2018</w:t>
            </w:r>
            <w:r w:rsidR="00C91F6E" w:rsidRPr="00EC250C">
              <w:rPr>
                <w:sz w:val="18"/>
                <w:szCs w:val="20"/>
              </w:rPr>
              <w:t> r.</w:t>
            </w:r>
          </w:p>
        </w:tc>
      </w:tr>
      <w:tr w:rsidR="00250AC8" w:rsidRPr="00EC250C" w14:paraId="76087619" w14:textId="77777777" w:rsidTr="00FC47F2">
        <w:trPr>
          <w:tblCellSpacing w:w="20" w:type="dxa"/>
        </w:trPr>
        <w:tc>
          <w:tcPr>
            <w:tcW w:w="658" w:type="dxa"/>
          </w:tcPr>
          <w:p w14:paraId="3AA3A912" w14:textId="77777777" w:rsidR="00250AC8" w:rsidRPr="00EC250C" w:rsidRDefault="00250AC8" w:rsidP="006C70B7">
            <w:pPr>
              <w:pStyle w:val="Tabela"/>
              <w:numPr>
                <w:ilvl w:val="0"/>
                <w:numId w:val="80"/>
              </w:numPr>
              <w:ind w:left="0" w:firstLine="0"/>
              <w:jc w:val="both"/>
            </w:pPr>
          </w:p>
        </w:tc>
        <w:tc>
          <w:tcPr>
            <w:tcW w:w="7331" w:type="dxa"/>
          </w:tcPr>
          <w:p w14:paraId="3399D7F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XIII Krajowym zjeździe Komorników oraz Jubileuszu XX-lecia Samorządu Komorniczego. Warszawa.</w:t>
            </w:r>
          </w:p>
        </w:tc>
        <w:tc>
          <w:tcPr>
            <w:tcW w:w="1687" w:type="dxa"/>
          </w:tcPr>
          <w:p w14:paraId="2FFF73C1" w14:textId="77777777" w:rsidR="00250AC8" w:rsidRPr="00EC250C" w:rsidRDefault="00250AC8" w:rsidP="00902FC6">
            <w:pPr>
              <w:pStyle w:val="Tabela"/>
              <w:rPr>
                <w:sz w:val="18"/>
                <w:szCs w:val="20"/>
              </w:rPr>
            </w:pPr>
            <w:r w:rsidRPr="00EC250C">
              <w:rPr>
                <w:sz w:val="18"/>
                <w:szCs w:val="20"/>
              </w:rPr>
              <w:t>28.05.2018</w:t>
            </w:r>
            <w:r w:rsidR="00C91F6E" w:rsidRPr="00EC250C">
              <w:rPr>
                <w:sz w:val="18"/>
                <w:szCs w:val="20"/>
              </w:rPr>
              <w:t> r.</w:t>
            </w:r>
          </w:p>
        </w:tc>
      </w:tr>
      <w:tr w:rsidR="00250AC8" w:rsidRPr="00EC250C" w14:paraId="6F2B603F" w14:textId="77777777" w:rsidTr="00FC47F2">
        <w:trPr>
          <w:tblCellSpacing w:w="20" w:type="dxa"/>
        </w:trPr>
        <w:tc>
          <w:tcPr>
            <w:tcW w:w="658" w:type="dxa"/>
          </w:tcPr>
          <w:p w14:paraId="3DA785C2" w14:textId="77777777" w:rsidR="00250AC8" w:rsidRPr="00EC250C" w:rsidRDefault="00250AC8" w:rsidP="006C70B7">
            <w:pPr>
              <w:pStyle w:val="Tabela"/>
              <w:numPr>
                <w:ilvl w:val="0"/>
                <w:numId w:val="80"/>
              </w:numPr>
              <w:ind w:left="0" w:firstLine="0"/>
              <w:jc w:val="both"/>
            </w:pPr>
          </w:p>
        </w:tc>
        <w:tc>
          <w:tcPr>
            <w:tcW w:w="7331" w:type="dxa"/>
          </w:tcPr>
          <w:p w14:paraId="5EC333E0" w14:textId="77777777" w:rsidR="00250AC8" w:rsidRPr="00EC250C" w:rsidRDefault="00250AC8" w:rsidP="00902FC6">
            <w:pPr>
              <w:pStyle w:val="Tabela"/>
              <w:rPr>
                <w:sz w:val="18"/>
                <w:szCs w:val="20"/>
              </w:rPr>
            </w:pPr>
            <w:r w:rsidRPr="00EC250C">
              <w:rPr>
                <w:sz w:val="18"/>
                <w:szCs w:val="20"/>
              </w:rPr>
              <w:t>III Ogólnopolska konferencja naukowo-szkoleniowa nt. „Osoba</w:t>
            </w:r>
            <w:r w:rsidR="00992FD0" w:rsidRPr="00EC250C">
              <w:rPr>
                <w:sz w:val="18"/>
                <w:szCs w:val="20"/>
              </w:rPr>
              <w:t xml:space="preserve"> z </w:t>
            </w:r>
            <w:r w:rsidRPr="00EC250C">
              <w:rPr>
                <w:sz w:val="18"/>
                <w:szCs w:val="20"/>
              </w:rPr>
              <w:t>zaburzeniami psychicznymi – postępowanie interwencyjne</w:t>
            </w:r>
            <w:r w:rsidR="00992FD0" w:rsidRPr="00EC250C">
              <w:rPr>
                <w:sz w:val="18"/>
                <w:szCs w:val="20"/>
              </w:rPr>
              <w:t xml:space="preserve"> i </w:t>
            </w:r>
            <w:r w:rsidRPr="00EC250C">
              <w:rPr>
                <w:sz w:val="18"/>
                <w:szCs w:val="20"/>
              </w:rPr>
              <w:t>ratunkowe” zorganizowana przez Szkołę Policji</w:t>
            </w:r>
            <w:r w:rsidR="00992FD0" w:rsidRPr="00EC250C">
              <w:rPr>
                <w:sz w:val="18"/>
                <w:szCs w:val="20"/>
              </w:rPr>
              <w:t xml:space="preserve"> w </w:t>
            </w:r>
            <w:r w:rsidRPr="00EC250C">
              <w:rPr>
                <w:sz w:val="18"/>
                <w:szCs w:val="20"/>
              </w:rPr>
              <w:t>Słupsku. Słupsk.</w:t>
            </w:r>
          </w:p>
        </w:tc>
        <w:tc>
          <w:tcPr>
            <w:tcW w:w="1687" w:type="dxa"/>
          </w:tcPr>
          <w:p w14:paraId="01A9EE66" w14:textId="77777777" w:rsidR="00250AC8" w:rsidRPr="00EC250C" w:rsidRDefault="00250AC8" w:rsidP="00902FC6">
            <w:pPr>
              <w:pStyle w:val="Tabela"/>
              <w:rPr>
                <w:sz w:val="18"/>
                <w:szCs w:val="20"/>
              </w:rPr>
            </w:pPr>
            <w:r w:rsidRPr="00EC250C">
              <w:rPr>
                <w:sz w:val="18"/>
                <w:szCs w:val="20"/>
              </w:rPr>
              <w:t>29–30.05.2018</w:t>
            </w:r>
            <w:r w:rsidR="00C91F6E" w:rsidRPr="00EC250C">
              <w:rPr>
                <w:sz w:val="18"/>
                <w:szCs w:val="20"/>
              </w:rPr>
              <w:t> r.</w:t>
            </w:r>
          </w:p>
        </w:tc>
      </w:tr>
      <w:tr w:rsidR="00250AC8" w:rsidRPr="00EC250C" w14:paraId="37F2D4BA" w14:textId="77777777" w:rsidTr="00FC47F2">
        <w:trPr>
          <w:tblCellSpacing w:w="20" w:type="dxa"/>
        </w:trPr>
        <w:tc>
          <w:tcPr>
            <w:tcW w:w="658" w:type="dxa"/>
          </w:tcPr>
          <w:p w14:paraId="6E183CA2" w14:textId="77777777" w:rsidR="00250AC8" w:rsidRPr="00EC250C" w:rsidRDefault="00250AC8" w:rsidP="006C70B7">
            <w:pPr>
              <w:pStyle w:val="Tabela"/>
              <w:numPr>
                <w:ilvl w:val="0"/>
                <w:numId w:val="80"/>
              </w:numPr>
              <w:ind w:left="0" w:firstLine="0"/>
              <w:jc w:val="both"/>
            </w:pPr>
          </w:p>
        </w:tc>
        <w:tc>
          <w:tcPr>
            <w:tcW w:w="7331" w:type="dxa"/>
          </w:tcPr>
          <w:p w14:paraId="32DAFFE0"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debacie nt. „Wolność</w:t>
            </w:r>
            <w:r w:rsidR="00992FD0" w:rsidRPr="00EC250C">
              <w:rPr>
                <w:sz w:val="18"/>
                <w:szCs w:val="20"/>
              </w:rPr>
              <w:t xml:space="preserve"> w </w:t>
            </w:r>
            <w:r w:rsidRPr="00EC250C">
              <w:rPr>
                <w:sz w:val="18"/>
                <w:szCs w:val="20"/>
              </w:rPr>
              <w:t>czasach populizmu”, zorganizowanej przez Fundację Państwo Prawa. Warszawa.</w:t>
            </w:r>
          </w:p>
        </w:tc>
        <w:tc>
          <w:tcPr>
            <w:tcW w:w="1687" w:type="dxa"/>
          </w:tcPr>
          <w:p w14:paraId="1696F2F1" w14:textId="77777777" w:rsidR="00250AC8" w:rsidRPr="00EC250C" w:rsidRDefault="00250AC8" w:rsidP="00902FC6">
            <w:pPr>
              <w:pStyle w:val="Tabela"/>
              <w:rPr>
                <w:sz w:val="18"/>
                <w:szCs w:val="20"/>
              </w:rPr>
            </w:pPr>
            <w:r w:rsidRPr="00EC250C">
              <w:rPr>
                <w:sz w:val="18"/>
                <w:szCs w:val="20"/>
              </w:rPr>
              <w:t>30.05.2018</w:t>
            </w:r>
            <w:r w:rsidR="00C91F6E" w:rsidRPr="00EC250C">
              <w:rPr>
                <w:sz w:val="18"/>
                <w:szCs w:val="20"/>
              </w:rPr>
              <w:t> r.</w:t>
            </w:r>
          </w:p>
        </w:tc>
      </w:tr>
      <w:tr w:rsidR="00250AC8" w:rsidRPr="00EC250C" w14:paraId="649F5FFA" w14:textId="77777777" w:rsidTr="00FC47F2">
        <w:trPr>
          <w:tblCellSpacing w:w="20" w:type="dxa"/>
        </w:trPr>
        <w:tc>
          <w:tcPr>
            <w:tcW w:w="658" w:type="dxa"/>
          </w:tcPr>
          <w:p w14:paraId="79D7C0DA" w14:textId="77777777" w:rsidR="00250AC8" w:rsidRPr="00EC250C" w:rsidRDefault="00250AC8" w:rsidP="006C70B7">
            <w:pPr>
              <w:pStyle w:val="Tabela"/>
              <w:numPr>
                <w:ilvl w:val="0"/>
                <w:numId w:val="80"/>
              </w:numPr>
              <w:ind w:left="0" w:firstLine="0"/>
              <w:jc w:val="both"/>
            </w:pPr>
          </w:p>
        </w:tc>
        <w:tc>
          <w:tcPr>
            <w:tcW w:w="7331" w:type="dxa"/>
          </w:tcPr>
          <w:p w14:paraId="650E70DE"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obradach Parlamentu Dzieci</w:t>
            </w:r>
            <w:r w:rsidR="00992FD0" w:rsidRPr="00EC250C">
              <w:rPr>
                <w:sz w:val="18"/>
                <w:szCs w:val="20"/>
              </w:rPr>
              <w:t xml:space="preserve"> i </w:t>
            </w:r>
            <w:r w:rsidRPr="00EC250C">
              <w:rPr>
                <w:sz w:val="18"/>
                <w:szCs w:val="20"/>
              </w:rPr>
              <w:t>Młodzieży na Uniwersytecie Warszawskim. Warszawa.</w:t>
            </w:r>
          </w:p>
        </w:tc>
        <w:tc>
          <w:tcPr>
            <w:tcW w:w="1687" w:type="dxa"/>
          </w:tcPr>
          <w:p w14:paraId="760CD048" w14:textId="77777777" w:rsidR="00250AC8" w:rsidRPr="00EC250C" w:rsidRDefault="00250AC8" w:rsidP="00902FC6">
            <w:pPr>
              <w:pStyle w:val="Tabela"/>
              <w:rPr>
                <w:sz w:val="18"/>
                <w:szCs w:val="20"/>
              </w:rPr>
            </w:pPr>
            <w:r w:rsidRPr="00EC250C">
              <w:rPr>
                <w:sz w:val="18"/>
                <w:szCs w:val="20"/>
              </w:rPr>
              <w:t>01.06.2018</w:t>
            </w:r>
            <w:r w:rsidR="00C91F6E" w:rsidRPr="00EC250C">
              <w:rPr>
                <w:sz w:val="18"/>
                <w:szCs w:val="20"/>
              </w:rPr>
              <w:t> r.</w:t>
            </w:r>
          </w:p>
        </w:tc>
      </w:tr>
      <w:tr w:rsidR="00250AC8" w:rsidRPr="00EC250C" w14:paraId="74FFD0E3" w14:textId="77777777" w:rsidTr="00FC47F2">
        <w:trPr>
          <w:tblCellSpacing w:w="20" w:type="dxa"/>
        </w:trPr>
        <w:tc>
          <w:tcPr>
            <w:tcW w:w="658" w:type="dxa"/>
          </w:tcPr>
          <w:p w14:paraId="5131E38B" w14:textId="77777777" w:rsidR="00250AC8" w:rsidRPr="00EC250C" w:rsidRDefault="00250AC8" w:rsidP="006C70B7">
            <w:pPr>
              <w:pStyle w:val="Tabela"/>
              <w:numPr>
                <w:ilvl w:val="0"/>
                <w:numId w:val="80"/>
              </w:numPr>
              <w:ind w:left="0" w:firstLine="0"/>
              <w:jc w:val="both"/>
            </w:pPr>
          </w:p>
        </w:tc>
        <w:tc>
          <w:tcPr>
            <w:tcW w:w="7331" w:type="dxa"/>
          </w:tcPr>
          <w:p w14:paraId="01F330A7" w14:textId="77777777" w:rsidR="00250AC8" w:rsidRPr="00EC250C" w:rsidRDefault="00250AC8" w:rsidP="00902FC6">
            <w:pPr>
              <w:pStyle w:val="Tabela"/>
              <w:rPr>
                <w:sz w:val="18"/>
                <w:szCs w:val="20"/>
              </w:rPr>
            </w:pPr>
            <w:r w:rsidRPr="00EC250C">
              <w:rPr>
                <w:sz w:val="18"/>
                <w:szCs w:val="20"/>
              </w:rPr>
              <w:t>Zjazd Organizacji Alzheimerowskich zorganizowany przez Prezydenta Miasta Zielona Góra. Zielona Góra.</w:t>
            </w:r>
          </w:p>
        </w:tc>
        <w:tc>
          <w:tcPr>
            <w:tcW w:w="1687" w:type="dxa"/>
          </w:tcPr>
          <w:p w14:paraId="699E3262" w14:textId="77777777" w:rsidR="00250AC8" w:rsidRPr="00EC250C" w:rsidRDefault="00250AC8" w:rsidP="00902FC6">
            <w:pPr>
              <w:pStyle w:val="Tabela"/>
              <w:rPr>
                <w:sz w:val="18"/>
                <w:szCs w:val="20"/>
              </w:rPr>
            </w:pPr>
            <w:r w:rsidRPr="00EC250C">
              <w:rPr>
                <w:sz w:val="18"/>
                <w:szCs w:val="20"/>
              </w:rPr>
              <w:t>02–03.06.2018</w:t>
            </w:r>
            <w:r w:rsidR="00C91F6E" w:rsidRPr="00EC250C">
              <w:rPr>
                <w:sz w:val="18"/>
                <w:szCs w:val="20"/>
              </w:rPr>
              <w:t> r.</w:t>
            </w:r>
          </w:p>
        </w:tc>
      </w:tr>
      <w:tr w:rsidR="00250AC8" w:rsidRPr="00EC250C" w14:paraId="42E3E6FF" w14:textId="77777777" w:rsidTr="00FC47F2">
        <w:trPr>
          <w:tblCellSpacing w:w="20" w:type="dxa"/>
        </w:trPr>
        <w:tc>
          <w:tcPr>
            <w:tcW w:w="658" w:type="dxa"/>
          </w:tcPr>
          <w:p w14:paraId="14FD8BE7" w14:textId="77777777" w:rsidR="00250AC8" w:rsidRPr="00EC250C" w:rsidRDefault="00250AC8" w:rsidP="006C70B7">
            <w:pPr>
              <w:pStyle w:val="Tabela"/>
              <w:numPr>
                <w:ilvl w:val="0"/>
                <w:numId w:val="80"/>
              </w:numPr>
              <w:ind w:left="0" w:firstLine="0"/>
              <w:jc w:val="both"/>
            </w:pPr>
          </w:p>
        </w:tc>
        <w:tc>
          <w:tcPr>
            <w:tcW w:w="7331" w:type="dxa"/>
          </w:tcPr>
          <w:p w14:paraId="5DECE51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inauguracji kampanii „Kocham. Nie piję”. Warszawa.</w:t>
            </w:r>
          </w:p>
        </w:tc>
        <w:tc>
          <w:tcPr>
            <w:tcW w:w="1687" w:type="dxa"/>
          </w:tcPr>
          <w:p w14:paraId="641CE0AB" w14:textId="77777777" w:rsidR="00250AC8" w:rsidRPr="00EC250C" w:rsidRDefault="00250AC8" w:rsidP="00902FC6">
            <w:pPr>
              <w:pStyle w:val="Tabela"/>
              <w:rPr>
                <w:sz w:val="18"/>
                <w:szCs w:val="20"/>
              </w:rPr>
            </w:pPr>
            <w:r w:rsidRPr="00EC250C">
              <w:rPr>
                <w:sz w:val="18"/>
                <w:szCs w:val="20"/>
              </w:rPr>
              <w:t>04.06.2018</w:t>
            </w:r>
            <w:r w:rsidR="00C91F6E" w:rsidRPr="00EC250C">
              <w:rPr>
                <w:sz w:val="18"/>
                <w:szCs w:val="20"/>
              </w:rPr>
              <w:t> r.</w:t>
            </w:r>
          </w:p>
        </w:tc>
      </w:tr>
      <w:tr w:rsidR="00250AC8" w:rsidRPr="00EC250C" w14:paraId="341D9CE4" w14:textId="77777777" w:rsidTr="00FC47F2">
        <w:trPr>
          <w:tblCellSpacing w:w="20" w:type="dxa"/>
        </w:trPr>
        <w:tc>
          <w:tcPr>
            <w:tcW w:w="658" w:type="dxa"/>
          </w:tcPr>
          <w:p w14:paraId="3C21AD89" w14:textId="77777777" w:rsidR="00250AC8" w:rsidRPr="00EC250C" w:rsidRDefault="00250AC8" w:rsidP="006C70B7">
            <w:pPr>
              <w:pStyle w:val="Tabela"/>
              <w:numPr>
                <w:ilvl w:val="0"/>
                <w:numId w:val="80"/>
              </w:numPr>
              <w:ind w:left="0" w:firstLine="0"/>
              <w:jc w:val="both"/>
            </w:pPr>
          </w:p>
        </w:tc>
        <w:tc>
          <w:tcPr>
            <w:tcW w:w="7331" w:type="dxa"/>
          </w:tcPr>
          <w:p w14:paraId="730B45FF" w14:textId="77777777" w:rsidR="00250AC8" w:rsidRPr="00EC250C" w:rsidRDefault="00250AC8" w:rsidP="00902FC6">
            <w:pPr>
              <w:pStyle w:val="Tabela"/>
              <w:rPr>
                <w:sz w:val="18"/>
                <w:szCs w:val="20"/>
              </w:rPr>
            </w:pPr>
            <w:r w:rsidRPr="00EC250C">
              <w:rPr>
                <w:sz w:val="18"/>
                <w:szCs w:val="20"/>
              </w:rPr>
              <w:t>Konferencja nt. „TworzyMy dla Niepodległej. Oblicza wolności – ujęcie interdyscyplinarne” zorganizowana przez Zakład Karny</w:t>
            </w:r>
            <w:r w:rsidR="00992FD0" w:rsidRPr="00EC250C">
              <w:rPr>
                <w:sz w:val="18"/>
                <w:szCs w:val="20"/>
              </w:rPr>
              <w:t xml:space="preserve"> w </w:t>
            </w:r>
            <w:r w:rsidRPr="00EC250C">
              <w:rPr>
                <w:sz w:val="18"/>
                <w:szCs w:val="20"/>
              </w:rPr>
              <w:t>Zabrzu oraz Muzeum Miejskie</w:t>
            </w:r>
            <w:r w:rsidR="00992FD0" w:rsidRPr="00EC250C">
              <w:rPr>
                <w:sz w:val="18"/>
                <w:szCs w:val="20"/>
              </w:rPr>
              <w:t xml:space="preserve"> w </w:t>
            </w:r>
            <w:r w:rsidRPr="00EC250C">
              <w:rPr>
                <w:sz w:val="18"/>
                <w:szCs w:val="20"/>
              </w:rPr>
              <w:t>Zabrzu. Zabrze.</w:t>
            </w:r>
          </w:p>
        </w:tc>
        <w:tc>
          <w:tcPr>
            <w:tcW w:w="1687" w:type="dxa"/>
          </w:tcPr>
          <w:p w14:paraId="128930B0" w14:textId="77777777" w:rsidR="00250AC8" w:rsidRPr="00EC250C" w:rsidRDefault="00250AC8" w:rsidP="00902FC6">
            <w:pPr>
              <w:pStyle w:val="Tabela"/>
              <w:rPr>
                <w:sz w:val="18"/>
                <w:szCs w:val="20"/>
              </w:rPr>
            </w:pPr>
            <w:r w:rsidRPr="00EC250C">
              <w:rPr>
                <w:sz w:val="18"/>
                <w:szCs w:val="20"/>
              </w:rPr>
              <w:t>04.06.2018</w:t>
            </w:r>
            <w:r w:rsidR="00C91F6E" w:rsidRPr="00EC250C">
              <w:rPr>
                <w:sz w:val="18"/>
                <w:szCs w:val="20"/>
              </w:rPr>
              <w:t> r.</w:t>
            </w:r>
          </w:p>
        </w:tc>
      </w:tr>
      <w:tr w:rsidR="00250AC8" w:rsidRPr="00EC250C" w14:paraId="6C2D2790" w14:textId="77777777" w:rsidTr="00FC47F2">
        <w:trPr>
          <w:tblCellSpacing w:w="20" w:type="dxa"/>
        </w:trPr>
        <w:tc>
          <w:tcPr>
            <w:tcW w:w="658" w:type="dxa"/>
          </w:tcPr>
          <w:p w14:paraId="6F189F35" w14:textId="77777777" w:rsidR="00250AC8" w:rsidRPr="00EC250C" w:rsidRDefault="00250AC8" w:rsidP="006C70B7">
            <w:pPr>
              <w:pStyle w:val="Tabela"/>
              <w:numPr>
                <w:ilvl w:val="0"/>
                <w:numId w:val="80"/>
              </w:numPr>
              <w:ind w:left="0" w:firstLine="0"/>
              <w:jc w:val="both"/>
            </w:pPr>
          </w:p>
        </w:tc>
        <w:tc>
          <w:tcPr>
            <w:tcW w:w="7331" w:type="dxa"/>
          </w:tcPr>
          <w:p w14:paraId="1EA09FEE"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w:t>
            </w:r>
            <w:r w:rsidR="00992FD0" w:rsidRPr="00EC250C">
              <w:rPr>
                <w:sz w:val="18"/>
                <w:szCs w:val="20"/>
              </w:rPr>
              <w:t xml:space="preserve"> z </w:t>
            </w:r>
            <w:r w:rsidRPr="00EC250C">
              <w:rPr>
                <w:sz w:val="18"/>
                <w:szCs w:val="20"/>
              </w:rPr>
              <w:t>okazji 60-lecia uchwalenia Konstytucji V Republiki Francuskiej zorganizowanej przez Senat RP. Warszawa.</w:t>
            </w:r>
          </w:p>
        </w:tc>
        <w:tc>
          <w:tcPr>
            <w:tcW w:w="1687" w:type="dxa"/>
          </w:tcPr>
          <w:p w14:paraId="132421B0" w14:textId="77777777" w:rsidR="00250AC8" w:rsidRPr="00EC250C" w:rsidRDefault="00250AC8" w:rsidP="00902FC6">
            <w:pPr>
              <w:pStyle w:val="Tabela"/>
              <w:rPr>
                <w:sz w:val="18"/>
                <w:szCs w:val="20"/>
              </w:rPr>
            </w:pPr>
            <w:r w:rsidRPr="00EC250C">
              <w:rPr>
                <w:sz w:val="18"/>
                <w:szCs w:val="20"/>
              </w:rPr>
              <w:t>05.06.2018</w:t>
            </w:r>
            <w:r w:rsidR="00C91F6E" w:rsidRPr="00EC250C">
              <w:rPr>
                <w:sz w:val="18"/>
                <w:szCs w:val="20"/>
              </w:rPr>
              <w:t> r.</w:t>
            </w:r>
          </w:p>
        </w:tc>
      </w:tr>
      <w:tr w:rsidR="00250AC8" w:rsidRPr="00EC250C" w14:paraId="3363BA4C" w14:textId="77777777" w:rsidTr="00FC47F2">
        <w:trPr>
          <w:tblCellSpacing w:w="20" w:type="dxa"/>
        </w:trPr>
        <w:tc>
          <w:tcPr>
            <w:tcW w:w="658" w:type="dxa"/>
          </w:tcPr>
          <w:p w14:paraId="1B53BC38" w14:textId="77777777" w:rsidR="00250AC8" w:rsidRPr="00EC250C" w:rsidRDefault="00250AC8" w:rsidP="006C70B7">
            <w:pPr>
              <w:pStyle w:val="Tabela"/>
              <w:numPr>
                <w:ilvl w:val="0"/>
                <w:numId w:val="80"/>
              </w:numPr>
              <w:ind w:left="0" w:firstLine="0"/>
              <w:jc w:val="both"/>
            </w:pPr>
          </w:p>
        </w:tc>
        <w:tc>
          <w:tcPr>
            <w:tcW w:w="7331" w:type="dxa"/>
          </w:tcPr>
          <w:p w14:paraId="7668826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spotkaniu zorganizowanym pod hasłem „Konstytucja</w:t>
            </w:r>
            <w:r w:rsidR="00992FD0" w:rsidRPr="00EC250C">
              <w:rPr>
                <w:sz w:val="18"/>
                <w:szCs w:val="20"/>
              </w:rPr>
              <w:t xml:space="preserve"> w </w:t>
            </w:r>
            <w:r w:rsidRPr="00EC250C">
              <w:rPr>
                <w:sz w:val="18"/>
                <w:szCs w:val="20"/>
              </w:rPr>
              <w:t>sądzie, sąd</w:t>
            </w:r>
            <w:r w:rsidR="00992FD0" w:rsidRPr="00EC250C">
              <w:rPr>
                <w:sz w:val="18"/>
                <w:szCs w:val="20"/>
              </w:rPr>
              <w:t xml:space="preserve"> w </w:t>
            </w:r>
            <w:r w:rsidRPr="00EC250C">
              <w:rPr>
                <w:sz w:val="18"/>
                <w:szCs w:val="20"/>
              </w:rPr>
              <w:t>Konstytucji – refleksje aktualne”</w:t>
            </w:r>
            <w:r w:rsidR="00992FD0" w:rsidRPr="00EC250C">
              <w:rPr>
                <w:sz w:val="18"/>
                <w:szCs w:val="20"/>
              </w:rPr>
              <w:t xml:space="preserve"> z </w:t>
            </w:r>
            <w:r w:rsidRPr="00EC250C">
              <w:rPr>
                <w:sz w:val="18"/>
                <w:szCs w:val="20"/>
              </w:rPr>
              <w:t>udziałem prof. Andrzeja Zolla oraz prof. Marcina Matczaka. Biuro RPO. Warszawa.</w:t>
            </w:r>
          </w:p>
        </w:tc>
        <w:tc>
          <w:tcPr>
            <w:tcW w:w="1687" w:type="dxa"/>
          </w:tcPr>
          <w:p w14:paraId="225F0C33" w14:textId="77777777" w:rsidR="00250AC8" w:rsidRPr="00EC250C" w:rsidRDefault="00250AC8" w:rsidP="00902FC6">
            <w:pPr>
              <w:pStyle w:val="Tabela"/>
              <w:rPr>
                <w:sz w:val="18"/>
                <w:szCs w:val="20"/>
              </w:rPr>
            </w:pPr>
            <w:r w:rsidRPr="00EC250C">
              <w:rPr>
                <w:sz w:val="18"/>
                <w:szCs w:val="20"/>
              </w:rPr>
              <w:t>07.06.2018</w:t>
            </w:r>
            <w:r w:rsidR="00C91F6E" w:rsidRPr="00EC250C">
              <w:rPr>
                <w:sz w:val="18"/>
                <w:szCs w:val="20"/>
              </w:rPr>
              <w:t> r.</w:t>
            </w:r>
          </w:p>
        </w:tc>
      </w:tr>
      <w:tr w:rsidR="00250AC8" w:rsidRPr="00EC250C" w14:paraId="778D5582" w14:textId="77777777" w:rsidTr="00FC47F2">
        <w:trPr>
          <w:tblCellSpacing w:w="20" w:type="dxa"/>
        </w:trPr>
        <w:tc>
          <w:tcPr>
            <w:tcW w:w="658" w:type="dxa"/>
          </w:tcPr>
          <w:p w14:paraId="13EED12D" w14:textId="77777777" w:rsidR="00250AC8" w:rsidRPr="00EC250C" w:rsidRDefault="00250AC8" w:rsidP="006C70B7">
            <w:pPr>
              <w:pStyle w:val="Tabela"/>
              <w:numPr>
                <w:ilvl w:val="0"/>
                <w:numId w:val="80"/>
              </w:numPr>
              <w:ind w:left="0" w:firstLine="0"/>
              <w:jc w:val="both"/>
            </w:pPr>
          </w:p>
        </w:tc>
        <w:tc>
          <w:tcPr>
            <w:tcW w:w="7331" w:type="dxa"/>
          </w:tcPr>
          <w:p w14:paraId="4BDB5D79"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Forum Antydyskryminacyjnym zorganizowanym dla organizacji pozarządowych</w:t>
            </w:r>
            <w:r w:rsidR="00992FD0" w:rsidRPr="00EC250C">
              <w:rPr>
                <w:sz w:val="18"/>
                <w:szCs w:val="20"/>
              </w:rPr>
              <w:t xml:space="preserve"> i </w:t>
            </w:r>
            <w:r w:rsidRPr="00EC250C">
              <w:rPr>
                <w:sz w:val="18"/>
                <w:szCs w:val="20"/>
              </w:rPr>
              <w:t>grup nieformalnych udzielających wsparcia osobom doświadczającym nierównego traktowania. Gdańsk.</w:t>
            </w:r>
          </w:p>
        </w:tc>
        <w:tc>
          <w:tcPr>
            <w:tcW w:w="1687" w:type="dxa"/>
          </w:tcPr>
          <w:p w14:paraId="399DD8A7" w14:textId="77777777" w:rsidR="00250AC8" w:rsidRPr="00EC250C" w:rsidRDefault="00250AC8" w:rsidP="00902FC6">
            <w:pPr>
              <w:pStyle w:val="Tabela"/>
              <w:rPr>
                <w:sz w:val="18"/>
                <w:szCs w:val="20"/>
              </w:rPr>
            </w:pPr>
            <w:r w:rsidRPr="00EC250C">
              <w:rPr>
                <w:sz w:val="18"/>
                <w:szCs w:val="20"/>
              </w:rPr>
              <w:t>07.06.2018</w:t>
            </w:r>
            <w:r w:rsidR="00C91F6E" w:rsidRPr="00EC250C">
              <w:rPr>
                <w:sz w:val="18"/>
                <w:szCs w:val="20"/>
              </w:rPr>
              <w:t> r.</w:t>
            </w:r>
          </w:p>
        </w:tc>
      </w:tr>
      <w:tr w:rsidR="00250AC8" w:rsidRPr="00EC250C" w14:paraId="6E010BDA" w14:textId="77777777" w:rsidTr="00FC47F2">
        <w:trPr>
          <w:tblCellSpacing w:w="20" w:type="dxa"/>
        </w:trPr>
        <w:tc>
          <w:tcPr>
            <w:tcW w:w="658" w:type="dxa"/>
          </w:tcPr>
          <w:p w14:paraId="04164A13" w14:textId="77777777" w:rsidR="00250AC8" w:rsidRPr="00EC250C" w:rsidRDefault="00250AC8" w:rsidP="006C70B7">
            <w:pPr>
              <w:pStyle w:val="Tabela"/>
              <w:numPr>
                <w:ilvl w:val="0"/>
                <w:numId w:val="80"/>
              </w:numPr>
              <w:ind w:left="0" w:firstLine="0"/>
              <w:jc w:val="both"/>
            </w:pPr>
          </w:p>
        </w:tc>
        <w:tc>
          <w:tcPr>
            <w:tcW w:w="7331" w:type="dxa"/>
          </w:tcPr>
          <w:p w14:paraId="66247977"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panelu nt. „Wartości</w:t>
            </w:r>
            <w:r w:rsidR="00992FD0" w:rsidRPr="00EC250C">
              <w:rPr>
                <w:sz w:val="18"/>
                <w:szCs w:val="20"/>
              </w:rPr>
              <w:t xml:space="preserve"> a </w:t>
            </w:r>
            <w:r w:rsidRPr="00EC250C">
              <w:rPr>
                <w:sz w:val="18"/>
                <w:szCs w:val="20"/>
              </w:rPr>
              <w:t>światowa działalność polskich ekspertów” na Kongresie Polskich Ekspertów Międzynarodowych</w:t>
            </w:r>
            <w:r w:rsidR="00992FD0" w:rsidRPr="00EC250C">
              <w:rPr>
                <w:sz w:val="18"/>
                <w:szCs w:val="20"/>
              </w:rPr>
              <w:t xml:space="preserve"> w </w:t>
            </w:r>
            <w:r w:rsidRPr="00EC250C">
              <w:rPr>
                <w:sz w:val="18"/>
                <w:szCs w:val="20"/>
              </w:rPr>
              <w:t>Warszawie. </w:t>
            </w:r>
          </w:p>
        </w:tc>
        <w:tc>
          <w:tcPr>
            <w:tcW w:w="1687" w:type="dxa"/>
          </w:tcPr>
          <w:p w14:paraId="2054BDC6" w14:textId="77777777" w:rsidR="00250AC8" w:rsidRPr="00EC250C" w:rsidRDefault="00250AC8" w:rsidP="00902FC6">
            <w:pPr>
              <w:pStyle w:val="Tabela"/>
              <w:rPr>
                <w:sz w:val="18"/>
                <w:szCs w:val="20"/>
              </w:rPr>
            </w:pPr>
            <w:r w:rsidRPr="00EC250C">
              <w:rPr>
                <w:sz w:val="18"/>
                <w:szCs w:val="20"/>
              </w:rPr>
              <w:t>08.06.2018</w:t>
            </w:r>
            <w:r w:rsidR="00C91F6E" w:rsidRPr="00EC250C">
              <w:rPr>
                <w:sz w:val="18"/>
                <w:szCs w:val="20"/>
              </w:rPr>
              <w:t> r.</w:t>
            </w:r>
          </w:p>
        </w:tc>
      </w:tr>
      <w:tr w:rsidR="00250AC8" w:rsidRPr="00EC250C" w14:paraId="0B74B695" w14:textId="77777777" w:rsidTr="00FC47F2">
        <w:trPr>
          <w:tblCellSpacing w:w="20" w:type="dxa"/>
        </w:trPr>
        <w:tc>
          <w:tcPr>
            <w:tcW w:w="658" w:type="dxa"/>
          </w:tcPr>
          <w:p w14:paraId="39308981" w14:textId="77777777" w:rsidR="00250AC8" w:rsidRPr="00EC250C" w:rsidRDefault="00250AC8" w:rsidP="006C70B7">
            <w:pPr>
              <w:pStyle w:val="Tabela"/>
              <w:numPr>
                <w:ilvl w:val="0"/>
                <w:numId w:val="80"/>
              </w:numPr>
              <w:ind w:left="0" w:firstLine="0"/>
              <w:jc w:val="both"/>
            </w:pPr>
          </w:p>
        </w:tc>
        <w:tc>
          <w:tcPr>
            <w:tcW w:w="7331" w:type="dxa"/>
          </w:tcPr>
          <w:p w14:paraId="1617F58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Gali 20 lat Forum Dialogu. Białobrzegi.</w:t>
            </w:r>
          </w:p>
        </w:tc>
        <w:tc>
          <w:tcPr>
            <w:tcW w:w="1687" w:type="dxa"/>
          </w:tcPr>
          <w:p w14:paraId="30320EF6" w14:textId="77777777" w:rsidR="00250AC8" w:rsidRPr="00EC250C" w:rsidRDefault="00250AC8" w:rsidP="00902FC6">
            <w:pPr>
              <w:pStyle w:val="Tabela"/>
              <w:rPr>
                <w:sz w:val="18"/>
                <w:szCs w:val="20"/>
              </w:rPr>
            </w:pPr>
            <w:r w:rsidRPr="00EC250C">
              <w:rPr>
                <w:sz w:val="18"/>
                <w:szCs w:val="20"/>
              </w:rPr>
              <w:t>09.06.2018</w:t>
            </w:r>
            <w:r w:rsidR="00C91F6E" w:rsidRPr="00EC250C">
              <w:rPr>
                <w:sz w:val="18"/>
                <w:szCs w:val="20"/>
              </w:rPr>
              <w:t> r.</w:t>
            </w:r>
          </w:p>
        </w:tc>
      </w:tr>
      <w:tr w:rsidR="00250AC8" w:rsidRPr="00EC250C" w14:paraId="60A21887" w14:textId="77777777" w:rsidTr="00FC47F2">
        <w:trPr>
          <w:tblCellSpacing w:w="20" w:type="dxa"/>
        </w:trPr>
        <w:tc>
          <w:tcPr>
            <w:tcW w:w="658" w:type="dxa"/>
          </w:tcPr>
          <w:p w14:paraId="178D22FC" w14:textId="77777777" w:rsidR="00250AC8" w:rsidRPr="00EC250C" w:rsidRDefault="00250AC8" w:rsidP="006C70B7">
            <w:pPr>
              <w:pStyle w:val="Tabela"/>
              <w:numPr>
                <w:ilvl w:val="0"/>
                <w:numId w:val="80"/>
              </w:numPr>
              <w:ind w:left="0" w:firstLine="0"/>
              <w:jc w:val="both"/>
            </w:pPr>
          </w:p>
        </w:tc>
        <w:tc>
          <w:tcPr>
            <w:tcW w:w="7331" w:type="dxa"/>
          </w:tcPr>
          <w:p w14:paraId="1C83E182"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Zjeździe Katedr</w:t>
            </w:r>
            <w:r w:rsidR="00992FD0" w:rsidRPr="00EC250C">
              <w:rPr>
                <w:sz w:val="18"/>
                <w:szCs w:val="20"/>
              </w:rPr>
              <w:t xml:space="preserve"> i </w:t>
            </w:r>
            <w:r w:rsidRPr="00EC250C">
              <w:rPr>
                <w:sz w:val="18"/>
                <w:szCs w:val="20"/>
              </w:rPr>
              <w:t>Zakładów Prawa Konstytucyjnego. Kliczków.</w:t>
            </w:r>
          </w:p>
        </w:tc>
        <w:tc>
          <w:tcPr>
            <w:tcW w:w="1687" w:type="dxa"/>
          </w:tcPr>
          <w:p w14:paraId="0A6F0867" w14:textId="77777777" w:rsidR="00250AC8" w:rsidRPr="00EC250C" w:rsidRDefault="00250AC8" w:rsidP="00902FC6">
            <w:pPr>
              <w:pStyle w:val="Tabela"/>
              <w:rPr>
                <w:sz w:val="18"/>
                <w:szCs w:val="20"/>
              </w:rPr>
            </w:pPr>
            <w:r w:rsidRPr="00EC250C">
              <w:rPr>
                <w:sz w:val="18"/>
                <w:szCs w:val="20"/>
              </w:rPr>
              <w:t>11–12.06.2018</w:t>
            </w:r>
            <w:r w:rsidR="00C91F6E" w:rsidRPr="00EC250C">
              <w:rPr>
                <w:sz w:val="18"/>
                <w:szCs w:val="20"/>
              </w:rPr>
              <w:t> r.</w:t>
            </w:r>
          </w:p>
        </w:tc>
      </w:tr>
      <w:tr w:rsidR="00250AC8" w:rsidRPr="00EC250C" w14:paraId="347A73D0" w14:textId="77777777" w:rsidTr="00FC47F2">
        <w:trPr>
          <w:tblCellSpacing w:w="20" w:type="dxa"/>
        </w:trPr>
        <w:tc>
          <w:tcPr>
            <w:tcW w:w="658" w:type="dxa"/>
          </w:tcPr>
          <w:p w14:paraId="4593ED53" w14:textId="77777777" w:rsidR="00250AC8" w:rsidRPr="00EC250C" w:rsidRDefault="00250AC8" w:rsidP="006C70B7">
            <w:pPr>
              <w:pStyle w:val="Tabela"/>
              <w:numPr>
                <w:ilvl w:val="0"/>
                <w:numId w:val="80"/>
              </w:numPr>
              <w:ind w:left="0" w:firstLine="0"/>
              <w:jc w:val="both"/>
            </w:pPr>
          </w:p>
        </w:tc>
        <w:tc>
          <w:tcPr>
            <w:tcW w:w="7331" w:type="dxa"/>
          </w:tcPr>
          <w:p w14:paraId="570473C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konferencji nt. „Prawa człowieka</w:t>
            </w:r>
            <w:r w:rsidR="00992FD0" w:rsidRPr="00EC250C">
              <w:rPr>
                <w:sz w:val="18"/>
                <w:szCs w:val="20"/>
              </w:rPr>
              <w:t xml:space="preserve"> a </w:t>
            </w:r>
            <w:r w:rsidRPr="00EC250C">
              <w:rPr>
                <w:sz w:val="18"/>
                <w:szCs w:val="20"/>
              </w:rPr>
              <w:t>wzajemne uznawanie wyroków</w:t>
            </w:r>
            <w:r w:rsidR="00992FD0" w:rsidRPr="00EC250C">
              <w:rPr>
                <w:sz w:val="18"/>
                <w:szCs w:val="20"/>
              </w:rPr>
              <w:t xml:space="preserve"> w </w:t>
            </w:r>
            <w:r w:rsidRPr="00EC250C">
              <w:rPr>
                <w:sz w:val="18"/>
                <w:szCs w:val="20"/>
              </w:rPr>
              <w:t>Unii Europejskiej – refleksje na kanwie sprawy Celmer” zorganizowanej przez Helsińską Fundację Praw Człowieka. Warszawa.</w:t>
            </w:r>
          </w:p>
        </w:tc>
        <w:tc>
          <w:tcPr>
            <w:tcW w:w="1687" w:type="dxa"/>
          </w:tcPr>
          <w:p w14:paraId="60DA5EF9" w14:textId="77777777" w:rsidR="00250AC8" w:rsidRPr="00EC250C" w:rsidRDefault="00250AC8" w:rsidP="00902FC6">
            <w:pPr>
              <w:pStyle w:val="Tabela"/>
              <w:rPr>
                <w:sz w:val="18"/>
                <w:szCs w:val="20"/>
              </w:rPr>
            </w:pPr>
            <w:r w:rsidRPr="00EC250C">
              <w:rPr>
                <w:sz w:val="18"/>
                <w:szCs w:val="20"/>
              </w:rPr>
              <w:t>13.06.2018</w:t>
            </w:r>
            <w:r w:rsidR="00C91F6E" w:rsidRPr="00EC250C">
              <w:rPr>
                <w:sz w:val="18"/>
                <w:szCs w:val="20"/>
              </w:rPr>
              <w:t> r.</w:t>
            </w:r>
          </w:p>
        </w:tc>
      </w:tr>
      <w:tr w:rsidR="00250AC8" w:rsidRPr="00EC250C" w14:paraId="43CD35A6" w14:textId="77777777" w:rsidTr="00FC47F2">
        <w:trPr>
          <w:tblCellSpacing w:w="20" w:type="dxa"/>
        </w:trPr>
        <w:tc>
          <w:tcPr>
            <w:tcW w:w="658" w:type="dxa"/>
          </w:tcPr>
          <w:p w14:paraId="58B9C7FB" w14:textId="77777777" w:rsidR="00250AC8" w:rsidRPr="00EC250C" w:rsidRDefault="00250AC8" w:rsidP="006C70B7">
            <w:pPr>
              <w:pStyle w:val="Tabela"/>
              <w:numPr>
                <w:ilvl w:val="0"/>
                <w:numId w:val="80"/>
              </w:numPr>
              <w:ind w:left="0" w:firstLine="0"/>
              <w:jc w:val="both"/>
            </w:pPr>
          </w:p>
        </w:tc>
        <w:tc>
          <w:tcPr>
            <w:tcW w:w="7331" w:type="dxa"/>
          </w:tcPr>
          <w:p w14:paraId="6A39C4B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„Śniadaniu Ekspertów – zmiany</w:t>
            </w:r>
            <w:r w:rsidR="00992FD0" w:rsidRPr="00EC250C">
              <w:rPr>
                <w:sz w:val="18"/>
                <w:szCs w:val="20"/>
              </w:rPr>
              <w:t xml:space="preserve"> w </w:t>
            </w:r>
            <w:r w:rsidRPr="00EC250C">
              <w:rPr>
                <w:sz w:val="18"/>
                <w:szCs w:val="20"/>
              </w:rPr>
              <w:t>upadłości konsumenckiej”. Biuro RPO. Warszawa.</w:t>
            </w:r>
          </w:p>
        </w:tc>
        <w:tc>
          <w:tcPr>
            <w:tcW w:w="1687" w:type="dxa"/>
          </w:tcPr>
          <w:p w14:paraId="453CAD32" w14:textId="77777777" w:rsidR="00250AC8" w:rsidRPr="00EC250C" w:rsidRDefault="00250AC8" w:rsidP="00902FC6">
            <w:pPr>
              <w:pStyle w:val="Tabela"/>
              <w:rPr>
                <w:sz w:val="18"/>
                <w:szCs w:val="20"/>
              </w:rPr>
            </w:pPr>
            <w:r w:rsidRPr="00EC250C">
              <w:rPr>
                <w:sz w:val="18"/>
                <w:szCs w:val="20"/>
              </w:rPr>
              <w:t>14.06.2018</w:t>
            </w:r>
            <w:r w:rsidR="00C91F6E" w:rsidRPr="00EC250C">
              <w:rPr>
                <w:sz w:val="18"/>
                <w:szCs w:val="20"/>
              </w:rPr>
              <w:t> r.</w:t>
            </w:r>
          </w:p>
        </w:tc>
      </w:tr>
      <w:tr w:rsidR="00250AC8" w:rsidRPr="00EC250C" w14:paraId="5D24E064" w14:textId="77777777" w:rsidTr="00FC47F2">
        <w:trPr>
          <w:tblCellSpacing w:w="20" w:type="dxa"/>
        </w:trPr>
        <w:tc>
          <w:tcPr>
            <w:tcW w:w="658" w:type="dxa"/>
          </w:tcPr>
          <w:p w14:paraId="328FFD05" w14:textId="77777777" w:rsidR="00250AC8" w:rsidRPr="00EC250C" w:rsidRDefault="00250AC8" w:rsidP="006C70B7">
            <w:pPr>
              <w:pStyle w:val="Tabela"/>
              <w:numPr>
                <w:ilvl w:val="0"/>
                <w:numId w:val="80"/>
              </w:numPr>
              <w:ind w:left="0" w:firstLine="0"/>
              <w:jc w:val="both"/>
            </w:pPr>
          </w:p>
        </w:tc>
        <w:tc>
          <w:tcPr>
            <w:tcW w:w="7331" w:type="dxa"/>
          </w:tcPr>
          <w:p w14:paraId="58EA68E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konferencji podsumowującej wyniki Ankiety konstytucyjnej zorganizowanej przez Wydział Prawa</w:t>
            </w:r>
            <w:r w:rsidR="00992FD0" w:rsidRPr="00EC250C">
              <w:rPr>
                <w:sz w:val="18"/>
                <w:szCs w:val="20"/>
              </w:rPr>
              <w:t xml:space="preserve"> i </w:t>
            </w:r>
            <w:r w:rsidRPr="00EC250C">
              <w:rPr>
                <w:sz w:val="18"/>
                <w:szCs w:val="20"/>
              </w:rPr>
              <w:t>Administracji Uniwersytetu Jagiellońskiego. Kraków.</w:t>
            </w:r>
          </w:p>
        </w:tc>
        <w:tc>
          <w:tcPr>
            <w:tcW w:w="1687" w:type="dxa"/>
          </w:tcPr>
          <w:p w14:paraId="33C66531" w14:textId="77777777" w:rsidR="00250AC8" w:rsidRPr="00EC250C" w:rsidRDefault="00250AC8" w:rsidP="00902FC6">
            <w:pPr>
              <w:pStyle w:val="Tabela"/>
              <w:rPr>
                <w:sz w:val="18"/>
                <w:szCs w:val="20"/>
              </w:rPr>
            </w:pPr>
            <w:r w:rsidRPr="00EC250C">
              <w:rPr>
                <w:sz w:val="18"/>
                <w:szCs w:val="20"/>
              </w:rPr>
              <w:t>16.06.2018</w:t>
            </w:r>
            <w:r w:rsidR="00C91F6E" w:rsidRPr="00EC250C">
              <w:rPr>
                <w:sz w:val="18"/>
                <w:szCs w:val="20"/>
              </w:rPr>
              <w:t> r.</w:t>
            </w:r>
          </w:p>
        </w:tc>
      </w:tr>
      <w:tr w:rsidR="00250AC8" w:rsidRPr="00EC250C" w14:paraId="42481585" w14:textId="77777777" w:rsidTr="00FC47F2">
        <w:trPr>
          <w:tblCellSpacing w:w="20" w:type="dxa"/>
        </w:trPr>
        <w:tc>
          <w:tcPr>
            <w:tcW w:w="658" w:type="dxa"/>
          </w:tcPr>
          <w:p w14:paraId="6AC14321" w14:textId="77777777" w:rsidR="00250AC8" w:rsidRPr="00EC250C" w:rsidRDefault="00250AC8" w:rsidP="006C70B7">
            <w:pPr>
              <w:pStyle w:val="Tabela"/>
              <w:numPr>
                <w:ilvl w:val="0"/>
                <w:numId w:val="80"/>
              </w:numPr>
              <w:ind w:left="0" w:firstLine="0"/>
              <w:jc w:val="both"/>
            </w:pPr>
          </w:p>
        </w:tc>
        <w:tc>
          <w:tcPr>
            <w:tcW w:w="7331" w:type="dxa"/>
          </w:tcPr>
          <w:p w14:paraId="13392AEC"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Kongresie Kobiet. Łódź.</w:t>
            </w:r>
          </w:p>
        </w:tc>
        <w:tc>
          <w:tcPr>
            <w:tcW w:w="1687" w:type="dxa"/>
          </w:tcPr>
          <w:p w14:paraId="133062B9" w14:textId="77777777" w:rsidR="00250AC8" w:rsidRPr="00EC250C" w:rsidRDefault="00250AC8" w:rsidP="00902FC6">
            <w:pPr>
              <w:pStyle w:val="Tabela"/>
              <w:rPr>
                <w:sz w:val="18"/>
                <w:szCs w:val="20"/>
              </w:rPr>
            </w:pPr>
            <w:r w:rsidRPr="00EC250C">
              <w:rPr>
                <w:sz w:val="18"/>
                <w:szCs w:val="20"/>
              </w:rPr>
              <w:t>16–17.06.2018</w:t>
            </w:r>
            <w:r w:rsidR="00C91F6E" w:rsidRPr="00EC250C">
              <w:rPr>
                <w:sz w:val="18"/>
                <w:szCs w:val="20"/>
              </w:rPr>
              <w:t> r.</w:t>
            </w:r>
          </w:p>
        </w:tc>
      </w:tr>
      <w:tr w:rsidR="00250AC8" w:rsidRPr="00EC250C" w14:paraId="6D98BFA1" w14:textId="77777777" w:rsidTr="00FC47F2">
        <w:trPr>
          <w:tblCellSpacing w:w="20" w:type="dxa"/>
        </w:trPr>
        <w:tc>
          <w:tcPr>
            <w:tcW w:w="658" w:type="dxa"/>
          </w:tcPr>
          <w:p w14:paraId="626E5FA3" w14:textId="77777777" w:rsidR="00250AC8" w:rsidRPr="00EC250C" w:rsidRDefault="00250AC8" w:rsidP="006C70B7">
            <w:pPr>
              <w:pStyle w:val="Tabela"/>
              <w:numPr>
                <w:ilvl w:val="0"/>
                <w:numId w:val="80"/>
              </w:numPr>
              <w:ind w:left="0" w:firstLine="0"/>
              <w:jc w:val="both"/>
            </w:pPr>
          </w:p>
        </w:tc>
        <w:tc>
          <w:tcPr>
            <w:tcW w:w="7331" w:type="dxa"/>
          </w:tcPr>
          <w:p w14:paraId="3F57E5A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uroczystości wręczenia nagród laureatom LIII Konkursu na najlepsze prace habilitacyjne</w:t>
            </w:r>
            <w:r w:rsidR="00992FD0" w:rsidRPr="00EC250C">
              <w:rPr>
                <w:sz w:val="18"/>
                <w:szCs w:val="20"/>
              </w:rPr>
              <w:t xml:space="preserve"> i </w:t>
            </w:r>
            <w:r w:rsidRPr="00EC250C">
              <w:rPr>
                <w:sz w:val="18"/>
                <w:szCs w:val="20"/>
              </w:rPr>
              <w:t>doktorskie zorganizowanej przez Redakcję</w:t>
            </w:r>
            <w:r w:rsidR="00992FD0" w:rsidRPr="00EC250C">
              <w:rPr>
                <w:sz w:val="18"/>
                <w:szCs w:val="20"/>
              </w:rPr>
              <w:t xml:space="preserve"> i </w:t>
            </w:r>
            <w:r w:rsidRPr="00EC250C">
              <w:rPr>
                <w:sz w:val="18"/>
                <w:szCs w:val="20"/>
              </w:rPr>
              <w:t>Komitet redakcyjny „ Państwa</w:t>
            </w:r>
            <w:r w:rsidR="00992FD0" w:rsidRPr="00EC250C">
              <w:rPr>
                <w:sz w:val="18"/>
                <w:szCs w:val="20"/>
              </w:rPr>
              <w:t xml:space="preserve"> i </w:t>
            </w:r>
            <w:r w:rsidRPr="00EC250C">
              <w:rPr>
                <w:sz w:val="18"/>
                <w:szCs w:val="20"/>
              </w:rPr>
              <w:t>Prawa” oraz Wydawnictwo „Wolters Kluwer Polska”. Warszawa.</w:t>
            </w:r>
          </w:p>
        </w:tc>
        <w:tc>
          <w:tcPr>
            <w:tcW w:w="1687" w:type="dxa"/>
          </w:tcPr>
          <w:p w14:paraId="2A111D2B" w14:textId="77777777" w:rsidR="00250AC8" w:rsidRPr="00EC250C" w:rsidRDefault="00250AC8" w:rsidP="00902FC6">
            <w:pPr>
              <w:pStyle w:val="Tabela"/>
              <w:rPr>
                <w:sz w:val="18"/>
                <w:szCs w:val="20"/>
              </w:rPr>
            </w:pPr>
            <w:r w:rsidRPr="00EC250C">
              <w:rPr>
                <w:sz w:val="18"/>
                <w:szCs w:val="20"/>
              </w:rPr>
              <w:t>18.06.2018</w:t>
            </w:r>
            <w:r w:rsidR="00C91F6E" w:rsidRPr="00EC250C">
              <w:rPr>
                <w:sz w:val="18"/>
                <w:szCs w:val="20"/>
              </w:rPr>
              <w:t> r.</w:t>
            </w:r>
          </w:p>
        </w:tc>
      </w:tr>
      <w:tr w:rsidR="00250AC8" w:rsidRPr="00EC250C" w14:paraId="3EAB5C74" w14:textId="77777777" w:rsidTr="00FC47F2">
        <w:trPr>
          <w:tblCellSpacing w:w="20" w:type="dxa"/>
        </w:trPr>
        <w:tc>
          <w:tcPr>
            <w:tcW w:w="658" w:type="dxa"/>
          </w:tcPr>
          <w:p w14:paraId="17FC687F" w14:textId="77777777" w:rsidR="00250AC8" w:rsidRPr="00EC250C" w:rsidRDefault="00250AC8" w:rsidP="006C70B7">
            <w:pPr>
              <w:pStyle w:val="Tabela"/>
              <w:numPr>
                <w:ilvl w:val="0"/>
                <w:numId w:val="80"/>
              </w:numPr>
              <w:ind w:left="0" w:firstLine="0"/>
              <w:jc w:val="both"/>
            </w:pPr>
          </w:p>
        </w:tc>
        <w:tc>
          <w:tcPr>
            <w:tcW w:w="7331" w:type="dxa"/>
          </w:tcPr>
          <w:p w14:paraId="49417DEB" w14:textId="77777777" w:rsidR="00250AC8" w:rsidRPr="00EC250C" w:rsidRDefault="00250AC8" w:rsidP="00902FC6">
            <w:pPr>
              <w:pStyle w:val="Tabela"/>
              <w:rPr>
                <w:sz w:val="18"/>
                <w:szCs w:val="20"/>
              </w:rPr>
            </w:pPr>
            <w:r w:rsidRPr="00EC250C">
              <w:rPr>
                <w:sz w:val="18"/>
                <w:szCs w:val="20"/>
              </w:rPr>
              <w:t>Ogólnopolska konferencja naukowa nt. „Zasada pewności</w:t>
            </w:r>
            <w:r w:rsidR="00992FD0" w:rsidRPr="00EC250C">
              <w:rPr>
                <w:sz w:val="18"/>
                <w:szCs w:val="20"/>
              </w:rPr>
              <w:t xml:space="preserve"> w </w:t>
            </w:r>
            <w:r w:rsidRPr="00EC250C">
              <w:rPr>
                <w:sz w:val="18"/>
                <w:szCs w:val="20"/>
              </w:rPr>
              <w:t>prawie podatkowym – de lege lata</w:t>
            </w:r>
            <w:r w:rsidR="00992FD0" w:rsidRPr="00EC250C">
              <w:rPr>
                <w:sz w:val="18"/>
                <w:szCs w:val="20"/>
              </w:rPr>
              <w:t xml:space="preserve"> i </w:t>
            </w:r>
            <w:r w:rsidRPr="00EC250C">
              <w:rPr>
                <w:sz w:val="18"/>
                <w:szCs w:val="20"/>
              </w:rPr>
              <w:t>de lege ferenda” zorganizowana przez Katedrę Prawa Cywilnego</w:t>
            </w:r>
            <w:r w:rsidR="00992FD0" w:rsidRPr="00EC250C">
              <w:rPr>
                <w:sz w:val="18"/>
                <w:szCs w:val="20"/>
              </w:rPr>
              <w:t xml:space="preserve"> i </w:t>
            </w:r>
            <w:r w:rsidRPr="00EC250C">
              <w:rPr>
                <w:sz w:val="18"/>
                <w:szCs w:val="20"/>
              </w:rPr>
              <w:t>Gospodarczego Uniwersytetu Ekonomicznego</w:t>
            </w:r>
            <w:r w:rsidR="00992FD0" w:rsidRPr="00EC250C">
              <w:rPr>
                <w:sz w:val="18"/>
                <w:szCs w:val="20"/>
              </w:rPr>
              <w:t xml:space="preserve"> w </w:t>
            </w:r>
            <w:r w:rsidRPr="00EC250C">
              <w:rPr>
                <w:sz w:val="18"/>
                <w:szCs w:val="20"/>
              </w:rPr>
              <w:t>Krakowie pod honorowym patronatem Rzecznika Praw Obywatelskich. Kraków.</w:t>
            </w:r>
          </w:p>
        </w:tc>
        <w:tc>
          <w:tcPr>
            <w:tcW w:w="1687" w:type="dxa"/>
          </w:tcPr>
          <w:p w14:paraId="70887988" w14:textId="77777777" w:rsidR="00250AC8" w:rsidRPr="00EC250C" w:rsidRDefault="00250AC8" w:rsidP="00902FC6">
            <w:pPr>
              <w:pStyle w:val="Tabela"/>
              <w:rPr>
                <w:sz w:val="18"/>
                <w:szCs w:val="20"/>
              </w:rPr>
            </w:pPr>
            <w:r w:rsidRPr="00EC250C">
              <w:rPr>
                <w:sz w:val="18"/>
                <w:szCs w:val="20"/>
              </w:rPr>
              <w:t>18–19.06.2018</w:t>
            </w:r>
            <w:r w:rsidR="00C91F6E" w:rsidRPr="00EC250C">
              <w:rPr>
                <w:sz w:val="18"/>
                <w:szCs w:val="20"/>
              </w:rPr>
              <w:t> r.</w:t>
            </w:r>
          </w:p>
        </w:tc>
      </w:tr>
      <w:tr w:rsidR="00250AC8" w:rsidRPr="00EC250C" w14:paraId="03DCB70C" w14:textId="77777777" w:rsidTr="00FC47F2">
        <w:trPr>
          <w:tblCellSpacing w:w="20" w:type="dxa"/>
        </w:trPr>
        <w:tc>
          <w:tcPr>
            <w:tcW w:w="658" w:type="dxa"/>
          </w:tcPr>
          <w:p w14:paraId="4F06A655" w14:textId="77777777" w:rsidR="00250AC8" w:rsidRPr="00EC250C" w:rsidRDefault="00250AC8" w:rsidP="006C70B7">
            <w:pPr>
              <w:pStyle w:val="Tabela"/>
              <w:numPr>
                <w:ilvl w:val="0"/>
                <w:numId w:val="80"/>
              </w:numPr>
              <w:ind w:left="0" w:firstLine="0"/>
              <w:jc w:val="both"/>
            </w:pPr>
          </w:p>
        </w:tc>
        <w:tc>
          <w:tcPr>
            <w:tcW w:w="7331" w:type="dxa"/>
          </w:tcPr>
          <w:p w14:paraId="4D27DCB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seminarium eksperckim prof. Josepha Hoffmanna nt. „Habeas corpus, czyli zakaz pozbawiania wolności kogokolwiek bez zgody sądu”. Biuro RPO. Warszawa.</w:t>
            </w:r>
          </w:p>
        </w:tc>
        <w:tc>
          <w:tcPr>
            <w:tcW w:w="1687" w:type="dxa"/>
          </w:tcPr>
          <w:p w14:paraId="0D4AA65B" w14:textId="77777777" w:rsidR="00250AC8" w:rsidRPr="00EC250C" w:rsidRDefault="00250AC8" w:rsidP="00902FC6">
            <w:pPr>
              <w:pStyle w:val="Tabela"/>
              <w:rPr>
                <w:sz w:val="18"/>
                <w:szCs w:val="20"/>
              </w:rPr>
            </w:pPr>
            <w:r w:rsidRPr="00EC250C">
              <w:rPr>
                <w:sz w:val="18"/>
                <w:szCs w:val="20"/>
              </w:rPr>
              <w:t>21.06.2018</w:t>
            </w:r>
            <w:r w:rsidR="00C91F6E" w:rsidRPr="00EC250C">
              <w:rPr>
                <w:sz w:val="18"/>
                <w:szCs w:val="20"/>
              </w:rPr>
              <w:t> r.</w:t>
            </w:r>
          </w:p>
        </w:tc>
      </w:tr>
      <w:tr w:rsidR="00250AC8" w:rsidRPr="00EC250C" w14:paraId="20798DB1" w14:textId="77777777" w:rsidTr="00FC47F2">
        <w:trPr>
          <w:tblCellSpacing w:w="20" w:type="dxa"/>
        </w:trPr>
        <w:tc>
          <w:tcPr>
            <w:tcW w:w="658" w:type="dxa"/>
          </w:tcPr>
          <w:p w14:paraId="4566ED7F" w14:textId="77777777" w:rsidR="00250AC8" w:rsidRPr="00EC250C" w:rsidRDefault="00250AC8" w:rsidP="006C70B7">
            <w:pPr>
              <w:pStyle w:val="Tabela"/>
              <w:numPr>
                <w:ilvl w:val="0"/>
                <w:numId w:val="80"/>
              </w:numPr>
              <w:ind w:left="0" w:firstLine="0"/>
              <w:jc w:val="both"/>
            </w:pPr>
          </w:p>
        </w:tc>
        <w:tc>
          <w:tcPr>
            <w:tcW w:w="7331" w:type="dxa"/>
          </w:tcPr>
          <w:p w14:paraId="18B20C70" w14:textId="77777777" w:rsidR="00250AC8" w:rsidRPr="00EC250C" w:rsidRDefault="00250AC8" w:rsidP="00902FC6">
            <w:pPr>
              <w:pStyle w:val="Tabela"/>
              <w:rPr>
                <w:sz w:val="18"/>
                <w:szCs w:val="20"/>
              </w:rPr>
            </w:pPr>
            <w:r w:rsidRPr="00EC250C">
              <w:rPr>
                <w:sz w:val="18"/>
                <w:szCs w:val="20"/>
              </w:rPr>
              <w:t>Obchody jubileuszu 15-lecia Zakładu Aktywności Zawodowej „U Pana Cogito”. Kraków.</w:t>
            </w:r>
          </w:p>
        </w:tc>
        <w:tc>
          <w:tcPr>
            <w:tcW w:w="1687" w:type="dxa"/>
          </w:tcPr>
          <w:p w14:paraId="0193DC5D" w14:textId="77777777" w:rsidR="00250AC8" w:rsidRPr="00EC250C" w:rsidRDefault="00250AC8" w:rsidP="00902FC6">
            <w:pPr>
              <w:pStyle w:val="Tabela"/>
              <w:rPr>
                <w:sz w:val="18"/>
                <w:szCs w:val="20"/>
              </w:rPr>
            </w:pPr>
            <w:r w:rsidRPr="00EC250C">
              <w:rPr>
                <w:sz w:val="18"/>
                <w:szCs w:val="20"/>
              </w:rPr>
              <w:t>21.06.2018</w:t>
            </w:r>
            <w:r w:rsidR="00C91F6E" w:rsidRPr="00EC250C">
              <w:rPr>
                <w:sz w:val="18"/>
                <w:szCs w:val="20"/>
              </w:rPr>
              <w:t> r.</w:t>
            </w:r>
          </w:p>
        </w:tc>
      </w:tr>
      <w:tr w:rsidR="00250AC8" w:rsidRPr="00EC250C" w14:paraId="721E7CCC" w14:textId="77777777" w:rsidTr="00FC47F2">
        <w:trPr>
          <w:tblCellSpacing w:w="20" w:type="dxa"/>
        </w:trPr>
        <w:tc>
          <w:tcPr>
            <w:tcW w:w="658" w:type="dxa"/>
          </w:tcPr>
          <w:p w14:paraId="723D71BA" w14:textId="77777777" w:rsidR="00250AC8" w:rsidRPr="00EC250C" w:rsidRDefault="00250AC8" w:rsidP="006C70B7">
            <w:pPr>
              <w:pStyle w:val="Tabela"/>
              <w:numPr>
                <w:ilvl w:val="0"/>
                <w:numId w:val="80"/>
              </w:numPr>
              <w:ind w:left="0" w:firstLine="0"/>
              <w:jc w:val="both"/>
            </w:pPr>
          </w:p>
        </w:tc>
        <w:tc>
          <w:tcPr>
            <w:tcW w:w="7331" w:type="dxa"/>
          </w:tcPr>
          <w:p w14:paraId="3A40DB47"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 </w:t>
            </w:r>
            <w:r w:rsidR="003C397F" w:rsidRPr="00EC250C">
              <w:rPr>
                <w:sz w:val="18"/>
                <w:szCs w:val="20"/>
              </w:rPr>
              <w:t>zastępczyni</w:t>
            </w:r>
            <w:r w:rsidRPr="00EC250C">
              <w:rPr>
                <w:sz w:val="18"/>
                <w:szCs w:val="20"/>
              </w:rPr>
              <w:t xml:space="preserve"> RPO Sylwii Spurek oraz Dyrektor Generalnej Katarzyny Jakimowicz</w:t>
            </w:r>
            <w:r w:rsidR="00992FD0" w:rsidRPr="00EC250C">
              <w:rPr>
                <w:sz w:val="18"/>
                <w:szCs w:val="20"/>
              </w:rPr>
              <w:t xml:space="preserve"> w </w:t>
            </w:r>
            <w:r w:rsidRPr="00EC250C">
              <w:rPr>
                <w:sz w:val="18"/>
                <w:szCs w:val="20"/>
              </w:rPr>
              <w:t>Kongresie Praw Rodzicielskich zorganizowanym przez RPO. Warszawa.</w:t>
            </w:r>
          </w:p>
        </w:tc>
        <w:tc>
          <w:tcPr>
            <w:tcW w:w="1687" w:type="dxa"/>
          </w:tcPr>
          <w:p w14:paraId="652907D6" w14:textId="77777777" w:rsidR="00250AC8" w:rsidRPr="00EC250C" w:rsidRDefault="00250AC8" w:rsidP="00902FC6">
            <w:pPr>
              <w:pStyle w:val="Tabela"/>
              <w:rPr>
                <w:sz w:val="18"/>
                <w:szCs w:val="20"/>
              </w:rPr>
            </w:pPr>
            <w:r w:rsidRPr="00EC250C">
              <w:rPr>
                <w:sz w:val="18"/>
                <w:szCs w:val="20"/>
              </w:rPr>
              <w:t>25–26.06.2018</w:t>
            </w:r>
            <w:r w:rsidR="00C91F6E" w:rsidRPr="00EC250C">
              <w:rPr>
                <w:sz w:val="18"/>
                <w:szCs w:val="20"/>
              </w:rPr>
              <w:t> r.</w:t>
            </w:r>
            <w:r w:rsidRPr="00EC250C">
              <w:rPr>
                <w:sz w:val="18"/>
                <w:szCs w:val="20"/>
              </w:rPr>
              <w:t xml:space="preserve"> </w:t>
            </w:r>
          </w:p>
        </w:tc>
      </w:tr>
      <w:tr w:rsidR="00250AC8" w:rsidRPr="00EC250C" w14:paraId="36754EDC" w14:textId="77777777" w:rsidTr="00FC47F2">
        <w:trPr>
          <w:tblCellSpacing w:w="20" w:type="dxa"/>
        </w:trPr>
        <w:tc>
          <w:tcPr>
            <w:tcW w:w="658" w:type="dxa"/>
          </w:tcPr>
          <w:p w14:paraId="16A69912" w14:textId="77777777" w:rsidR="00250AC8" w:rsidRPr="00EC250C" w:rsidRDefault="00250AC8" w:rsidP="006C70B7">
            <w:pPr>
              <w:pStyle w:val="Tabela"/>
              <w:numPr>
                <w:ilvl w:val="0"/>
                <w:numId w:val="80"/>
              </w:numPr>
              <w:ind w:left="0" w:firstLine="0"/>
              <w:jc w:val="both"/>
            </w:pPr>
          </w:p>
        </w:tc>
        <w:tc>
          <w:tcPr>
            <w:tcW w:w="7331" w:type="dxa"/>
          </w:tcPr>
          <w:p w14:paraId="104AFDDE"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XXV Zjeździe Katedr Prawa Administracyjnego</w:t>
            </w:r>
            <w:r w:rsidR="00992FD0" w:rsidRPr="00EC250C">
              <w:rPr>
                <w:sz w:val="18"/>
                <w:szCs w:val="20"/>
              </w:rPr>
              <w:t xml:space="preserve"> i </w:t>
            </w:r>
            <w:r w:rsidRPr="00EC250C">
              <w:rPr>
                <w:sz w:val="18"/>
                <w:szCs w:val="20"/>
              </w:rPr>
              <w:t>Postępowania Administracyjnego</w:t>
            </w:r>
            <w:r w:rsidR="00992FD0" w:rsidRPr="00EC250C">
              <w:rPr>
                <w:sz w:val="18"/>
                <w:szCs w:val="20"/>
              </w:rPr>
              <w:t xml:space="preserve"> i </w:t>
            </w:r>
            <w:r w:rsidRPr="00EC250C">
              <w:rPr>
                <w:sz w:val="18"/>
                <w:szCs w:val="20"/>
              </w:rPr>
              <w:t>wystąpienie nt. „Wady aktów prawa miejscowego na przykładzie skarg wnoszonych przez Rzecznika do sądów administracyjnych”. Warszawa.</w:t>
            </w:r>
          </w:p>
        </w:tc>
        <w:tc>
          <w:tcPr>
            <w:tcW w:w="1687" w:type="dxa"/>
          </w:tcPr>
          <w:p w14:paraId="27F9D536" w14:textId="77777777" w:rsidR="00250AC8" w:rsidRPr="00EC250C" w:rsidRDefault="00250AC8" w:rsidP="00902FC6">
            <w:pPr>
              <w:pStyle w:val="Tabela"/>
              <w:rPr>
                <w:sz w:val="18"/>
                <w:szCs w:val="20"/>
              </w:rPr>
            </w:pPr>
            <w:r w:rsidRPr="00EC250C">
              <w:rPr>
                <w:sz w:val="18"/>
                <w:szCs w:val="20"/>
              </w:rPr>
              <w:t>26.06.2018</w:t>
            </w:r>
            <w:r w:rsidR="00C91F6E" w:rsidRPr="00EC250C">
              <w:rPr>
                <w:sz w:val="18"/>
                <w:szCs w:val="20"/>
              </w:rPr>
              <w:t> r.</w:t>
            </w:r>
          </w:p>
        </w:tc>
      </w:tr>
      <w:tr w:rsidR="00250AC8" w:rsidRPr="00EC250C" w14:paraId="0D415182" w14:textId="77777777" w:rsidTr="00FC47F2">
        <w:trPr>
          <w:tblCellSpacing w:w="20" w:type="dxa"/>
        </w:trPr>
        <w:tc>
          <w:tcPr>
            <w:tcW w:w="658" w:type="dxa"/>
          </w:tcPr>
          <w:p w14:paraId="4D5F2A62" w14:textId="77777777" w:rsidR="00250AC8" w:rsidRPr="00EC250C" w:rsidRDefault="00250AC8" w:rsidP="006C70B7">
            <w:pPr>
              <w:pStyle w:val="Tabela"/>
              <w:numPr>
                <w:ilvl w:val="0"/>
                <w:numId w:val="80"/>
              </w:numPr>
              <w:ind w:left="0" w:firstLine="0"/>
              <w:jc w:val="both"/>
            </w:pPr>
          </w:p>
        </w:tc>
        <w:tc>
          <w:tcPr>
            <w:tcW w:w="7331" w:type="dxa"/>
          </w:tcPr>
          <w:p w14:paraId="56E9D0FC"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debacie nt. „Tortury</w:t>
            </w:r>
            <w:r w:rsidR="00992FD0" w:rsidRPr="00EC250C">
              <w:rPr>
                <w:sz w:val="18"/>
                <w:szCs w:val="20"/>
              </w:rPr>
              <w:t xml:space="preserve"> w </w:t>
            </w:r>
            <w:r w:rsidRPr="00EC250C">
              <w:rPr>
                <w:sz w:val="18"/>
                <w:szCs w:val="20"/>
              </w:rPr>
              <w:t>Polsce, rzeczywistość czy mit”</w:t>
            </w:r>
            <w:r w:rsidR="00992FD0" w:rsidRPr="00EC250C">
              <w:rPr>
                <w:sz w:val="18"/>
                <w:szCs w:val="20"/>
              </w:rPr>
              <w:t xml:space="preserve"> i </w:t>
            </w:r>
            <w:r w:rsidRPr="00EC250C">
              <w:rPr>
                <w:sz w:val="18"/>
                <w:szCs w:val="20"/>
              </w:rPr>
              <w:t>wystąpienie nt. „Czy możliwe jest państwo bez tortur?”, zorganizowane przez ORA</w:t>
            </w:r>
            <w:r w:rsidR="00992FD0" w:rsidRPr="00EC250C">
              <w:rPr>
                <w:sz w:val="18"/>
                <w:szCs w:val="20"/>
              </w:rPr>
              <w:t xml:space="preserve"> i </w:t>
            </w:r>
            <w:r w:rsidRPr="00EC250C">
              <w:rPr>
                <w:sz w:val="18"/>
                <w:szCs w:val="20"/>
              </w:rPr>
              <w:t>Stowarzyszenie im. prof. Zbigniewa Hołdy. Warszawa.</w:t>
            </w:r>
          </w:p>
        </w:tc>
        <w:tc>
          <w:tcPr>
            <w:tcW w:w="1687" w:type="dxa"/>
          </w:tcPr>
          <w:p w14:paraId="63033627" w14:textId="77777777" w:rsidR="00250AC8" w:rsidRPr="00EC250C" w:rsidRDefault="00250AC8" w:rsidP="00902FC6">
            <w:pPr>
              <w:pStyle w:val="Tabela"/>
              <w:rPr>
                <w:sz w:val="18"/>
                <w:szCs w:val="20"/>
              </w:rPr>
            </w:pPr>
            <w:r w:rsidRPr="00EC250C">
              <w:rPr>
                <w:sz w:val="18"/>
                <w:szCs w:val="20"/>
              </w:rPr>
              <w:t>26.06.2018</w:t>
            </w:r>
            <w:r w:rsidR="00C91F6E" w:rsidRPr="00EC250C">
              <w:rPr>
                <w:sz w:val="18"/>
                <w:szCs w:val="20"/>
              </w:rPr>
              <w:t> r.</w:t>
            </w:r>
          </w:p>
        </w:tc>
      </w:tr>
      <w:tr w:rsidR="00250AC8" w:rsidRPr="00EC250C" w14:paraId="6FA841B5" w14:textId="77777777" w:rsidTr="00FC47F2">
        <w:trPr>
          <w:tblCellSpacing w:w="20" w:type="dxa"/>
        </w:trPr>
        <w:tc>
          <w:tcPr>
            <w:tcW w:w="658" w:type="dxa"/>
          </w:tcPr>
          <w:p w14:paraId="1DE0ABD0" w14:textId="77777777" w:rsidR="00250AC8" w:rsidRPr="00EC250C" w:rsidRDefault="00250AC8" w:rsidP="006C70B7">
            <w:pPr>
              <w:pStyle w:val="Tabela"/>
              <w:numPr>
                <w:ilvl w:val="0"/>
                <w:numId w:val="80"/>
              </w:numPr>
              <w:ind w:left="0" w:firstLine="0"/>
              <w:jc w:val="both"/>
            </w:pPr>
          </w:p>
        </w:tc>
        <w:tc>
          <w:tcPr>
            <w:tcW w:w="7331" w:type="dxa"/>
          </w:tcPr>
          <w:p w14:paraId="4F2C1E42"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nt. „Rule of Law” zorganizowanej przez Uniwersytet Warszawski. Warszawa.</w:t>
            </w:r>
          </w:p>
        </w:tc>
        <w:tc>
          <w:tcPr>
            <w:tcW w:w="1687" w:type="dxa"/>
          </w:tcPr>
          <w:p w14:paraId="6A919FB1" w14:textId="77777777" w:rsidR="00250AC8" w:rsidRPr="00EC250C" w:rsidRDefault="00250AC8" w:rsidP="00902FC6">
            <w:pPr>
              <w:pStyle w:val="Tabela"/>
              <w:rPr>
                <w:sz w:val="18"/>
                <w:szCs w:val="20"/>
              </w:rPr>
            </w:pPr>
            <w:r w:rsidRPr="00EC250C">
              <w:rPr>
                <w:sz w:val="18"/>
                <w:szCs w:val="20"/>
              </w:rPr>
              <w:t>26.06.2018</w:t>
            </w:r>
            <w:r w:rsidR="00C91F6E" w:rsidRPr="00EC250C">
              <w:rPr>
                <w:sz w:val="18"/>
                <w:szCs w:val="20"/>
              </w:rPr>
              <w:t> r.</w:t>
            </w:r>
          </w:p>
        </w:tc>
      </w:tr>
      <w:tr w:rsidR="00250AC8" w:rsidRPr="00EC250C" w14:paraId="32208D6C" w14:textId="77777777" w:rsidTr="00FC47F2">
        <w:trPr>
          <w:tblCellSpacing w:w="20" w:type="dxa"/>
        </w:trPr>
        <w:tc>
          <w:tcPr>
            <w:tcW w:w="658" w:type="dxa"/>
          </w:tcPr>
          <w:p w14:paraId="24EDB8FD" w14:textId="77777777" w:rsidR="00250AC8" w:rsidRPr="00EC250C" w:rsidRDefault="00250AC8" w:rsidP="006C70B7">
            <w:pPr>
              <w:pStyle w:val="Tabela"/>
              <w:numPr>
                <w:ilvl w:val="0"/>
                <w:numId w:val="80"/>
              </w:numPr>
              <w:ind w:left="0" w:firstLine="0"/>
              <w:jc w:val="both"/>
            </w:pPr>
          </w:p>
        </w:tc>
        <w:tc>
          <w:tcPr>
            <w:tcW w:w="7331" w:type="dxa"/>
          </w:tcPr>
          <w:p w14:paraId="4EDE7BAE"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seminarium dotyczącym badania natury</w:t>
            </w:r>
            <w:r w:rsidR="00992FD0" w:rsidRPr="00EC250C">
              <w:rPr>
                <w:sz w:val="18"/>
                <w:szCs w:val="20"/>
              </w:rPr>
              <w:t xml:space="preserve"> i </w:t>
            </w:r>
            <w:r w:rsidRPr="00EC250C">
              <w:rPr>
                <w:sz w:val="18"/>
                <w:szCs w:val="20"/>
              </w:rPr>
              <w:t>skali niezgłaszanych przestępstw</w:t>
            </w:r>
            <w:r w:rsidR="00992FD0" w:rsidRPr="00EC250C">
              <w:rPr>
                <w:sz w:val="18"/>
                <w:szCs w:val="20"/>
              </w:rPr>
              <w:t xml:space="preserve"> z </w:t>
            </w:r>
            <w:r w:rsidRPr="00EC250C">
              <w:rPr>
                <w:sz w:val="18"/>
                <w:szCs w:val="20"/>
              </w:rPr>
              <w:t>nienawiści przeciwko członkom wybranych społeczności</w:t>
            </w:r>
            <w:r w:rsidR="00992FD0" w:rsidRPr="00EC250C">
              <w:rPr>
                <w:sz w:val="18"/>
                <w:szCs w:val="20"/>
              </w:rPr>
              <w:t xml:space="preserve"> w </w:t>
            </w:r>
            <w:r w:rsidRPr="00EC250C">
              <w:rPr>
                <w:sz w:val="18"/>
                <w:szCs w:val="20"/>
              </w:rPr>
              <w:t>Polsce. Biuro RPO, ODHIR. Warszawa.</w:t>
            </w:r>
          </w:p>
        </w:tc>
        <w:tc>
          <w:tcPr>
            <w:tcW w:w="1687" w:type="dxa"/>
          </w:tcPr>
          <w:p w14:paraId="483B9DC6" w14:textId="77777777" w:rsidR="00250AC8" w:rsidRPr="00EC250C" w:rsidRDefault="00250AC8" w:rsidP="00902FC6">
            <w:pPr>
              <w:pStyle w:val="Tabela"/>
              <w:rPr>
                <w:sz w:val="18"/>
                <w:szCs w:val="20"/>
              </w:rPr>
            </w:pPr>
            <w:r w:rsidRPr="00EC250C">
              <w:rPr>
                <w:sz w:val="18"/>
                <w:szCs w:val="20"/>
              </w:rPr>
              <w:t>27.06.2018</w:t>
            </w:r>
            <w:r w:rsidR="00C91F6E" w:rsidRPr="00EC250C">
              <w:rPr>
                <w:sz w:val="18"/>
                <w:szCs w:val="20"/>
              </w:rPr>
              <w:t> r.</w:t>
            </w:r>
          </w:p>
        </w:tc>
      </w:tr>
      <w:tr w:rsidR="00250AC8" w:rsidRPr="00EC250C" w14:paraId="622AFBE3" w14:textId="77777777" w:rsidTr="00FC47F2">
        <w:trPr>
          <w:tblCellSpacing w:w="20" w:type="dxa"/>
        </w:trPr>
        <w:tc>
          <w:tcPr>
            <w:tcW w:w="658" w:type="dxa"/>
          </w:tcPr>
          <w:p w14:paraId="25DE2F91" w14:textId="77777777" w:rsidR="00250AC8" w:rsidRPr="00EC250C" w:rsidRDefault="00250AC8" w:rsidP="006C70B7">
            <w:pPr>
              <w:pStyle w:val="Tabela"/>
              <w:numPr>
                <w:ilvl w:val="0"/>
                <w:numId w:val="80"/>
              </w:numPr>
              <w:ind w:left="0" w:firstLine="0"/>
              <w:jc w:val="both"/>
            </w:pPr>
          </w:p>
        </w:tc>
        <w:tc>
          <w:tcPr>
            <w:tcW w:w="7331" w:type="dxa"/>
          </w:tcPr>
          <w:p w14:paraId="57D3A484"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seminarium nt. „Ochrona demokracji</w:t>
            </w:r>
            <w:r w:rsidR="00992FD0" w:rsidRPr="00EC250C">
              <w:rPr>
                <w:sz w:val="18"/>
                <w:szCs w:val="20"/>
              </w:rPr>
              <w:t xml:space="preserve"> w </w:t>
            </w:r>
            <w:r w:rsidRPr="00EC250C">
              <w:rPr>
                <w:sz w:val="18"/>
                <w:szCs w:val="20"/>
              </w:rPr>
              <w:t>Unii Europejskiej”. Biuro RPO. Warszawa.</w:t>
            </w:r>
          </w:p>
        </w:tc>
        <w:tc>
          <w:tcPr>
            <w:tcW w:w="1687" w:type="dxa"/>
          </w:tcPr>
          <w:p w14:paraId="6D5B49CC" w14:textId="77777777" w:rsidR="00250AC8" w:rsidRPr="00EC250C" w:rsidRDefault="00250AC8" w:rsidP="00902FC6">
            <w:pPr>
              <w:pStyle w:val="Tabela"/>
              <w:rPr>
                <w:sz w:val="18"/>
                <w:szCs w:val="20"/>
              </w:rPr>
            </w:pPr>
            <w:r w:rsidRPr="00EC250C">
              <w:rPr>
                <w:sz w:val="18"/>
                <w:szCs w:val="20"/>
              </w:rPr>
              <w:t>28.06.2018</w:t>
            </w:r>
            <w:r w:rsidR="00C91F6E" w:rsidRPr="00EC250C">
              <w:rPr>
                <w:sz w:val="18"/>
                <w:szCs w:val="20"/>
              </w:rPr>
              <w:t> r.</w:t>
            </w:r>
          </w:p>
        </w:tc>
      </w:tr>
      <w:tr w:rsidR="00250AC8" w:rsidRPr="00EC250C" w14:paraId="373BEE29" w14:textId="77777777" w:rsidTr="00FC47F2">
        <w:trPr>
          <w:tblCellSpacing w:w="20" w:type="dxa"/>
        </w:trPr>
        <w:tc>
          <w:tcPr>
            <w:tcW w:w="658" w:type="dxa"/>
          </w:tcPr>
          <w:p w14:paraId="260E1925" w14:textId="77777777" w:rsidR="00250AC8" w:rsidRPr="00EC250C" w:rsidRDefault="00250AC8" w:rsidP="006C70B7">
            <w:pPr>
              <w:pStyle w:val="Tabela"/>
              <w:numPr>
                <w:ilvl w:val="0"/>
                <w:numId w:val="80"/>
              </w:numPr>
              <w:ind w:left="0" w:firstLine="0"/>
              <w:jc w:val="both"/>
            </w:pPr>
          </w:p>
        </w:tc>
        <w:tc>
          <w:tcPr>
            <w:tcW w:w="7331" w:type="dxa"/>
          </w:tcPr>
          <w:p w14:paraId="05E76694"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seminarium nt. „Ochrona demokracji</w:t>
            </w:r>
            <w:r w:rsidR="00992FD0" w:rsidRPr="00EC250C">
              <w:rPr>
                <w:sz w:val="18"/>
                <w:szCs w:val="20"/>
              </w:rPr>
              <w:t xml:space="preserve"> w </w:t>
            </w:r>
            <w:r w:rsidRPr="00EC250C">
              <w:rPr>
                <w:sz w:val="18"/>
                <w:szCs w:val="20"/>
              </w:rPr>
              <w:t>Unii Europejskiej”. Biuro RPO. Warszawa.</w:t>
            </w:r>
          </w:p>
        </w:tc>
        <w:tc>
          <w:tcPr>
            <w:tcW w:w="1687" w:type="dxa"/>
          </w:tcPr>
          <w:p w14:paraId="1956EFD8" w14:textId="77777777" w:rsidR="00250AC8" w:rsidRPr="00EC250C" w:rsidRDefault="00250AC8" w:rsidP="00902FC6">
            <w:pPr>
              <w:pStyle w:val="Tabela"/>
              <w:rPr>
                <w:sz w:val="18"/>
                <w:szCs w:val="20"/>
              </w:rPr>
            </w:pPr>
            <w:r w:rsidRPr="00EC250C">
              <w:rPr>
                <w:sz w:val="18"/>
                <w:szCs w:val="20"/>
              </w:rPr>
              <w:t>28.06.2018</w:t>
            </w:r>
            <w:r w:rsidR="00C91F6E" w:rsidRPr="00EC250C">
              <w:rPr>
                <w:sz w:val="18"/>
                <w:szCs w:val="20"/>
              </w:rPr>
              <w:t> r.</w:t>
            </w:r>
          </w:p>
        </w:tc>
      </w:tr>
      <w:tr w:rsidR="00250AC8" w:rsidRPr="00EC250C" w14:paraId="47DF10BB" w14:textId="77777777" w:rsidTr="00FC47F2">
        <w:trPr>
          <w:tblCellSpacing w:w="20" w:type="dxa"/>
        </w:trPr>
        <w:tc>
          <w:tcPr>
            <w:tcW w:w="658" w:type="dxa"/>
          </w:tcPr>
          <w:p w14:paraId="112C79AF" w14:textId="77777777" w:rsidR="00250AC8" w:rsidRPr="00EC250C" w:rsidRDefault="00250AC8" w:rsidP="006C70B7">
            <w:pPr>
              <w:pStyle w:val="Tabela"/>
              <w:numPr>
                <w:ilvl w:val="0"/>
                <w:numId w:val="80"/>
              </w:numPr>
              <w:ind w:left="0" w:firstLine="0"/>
              <w:jc w:val="both"/>
            </w:pPr>
          </w:p>
        </w:tc>
        <w:tc>
          <w:tcPr>
            <w:tcW w:w="7331" w:type="dxa"/>
          </w:tcPr>
          <w:p w14:paraId="7244D96E"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seminarium PTPA</w:t>
            </w:r>
            <w:r w:rsidR="00992FD0" w:rsidRPr="00EC250C">
              <w:rPr>
                <w:sz w:val="18"/>
                <w:szCs w:val="20"/>
              </w:rPr>
              <w:t xml:space="preserve"> i </w:t>
            </w:r>
            <w:r w:rsidRPr="00EC250C">
              <w:rPr>
                <w:sz w:val="18"/>
                <w:szCs w:val="20"/>
              </w:rPr>
              <w:t>Article 19 nt. „Reagowanie na mowę nienawiści”. Warszawa.</w:t>
            </w:r>
          </w:p>
        </w:tc>
        <w:tc>
          <w:tcPr>
            <w:tcW w:w="1687" w:type="dxa"/>
          </w:tcPr>
          <w:p w14:paraId="56564D44" w14:textId="77777777" w:rsidR="00250AC8" w:rsidRPr="00EC250C" w:rsidRDefault="00250AC8" w:rsidP="00902FC6">
            <w:pPr>
              <w:pStyle w:val="Tabela"/>
              <w:rPr>
                <w:sz w:val="18"/>
                <w:szCs w:val="20"/>
              </w:rPr>
            </w:pPr>
            <w:r w:rsidRPr="00EC250C">
              <w:rPr>
                <w:sz w:val="18"/>
                <w:szCs w:val="20"/>
              </w:rPr>
              <w:t>28.06.2018</w:t>
            </w:r>
            <w:r w:rsidR="00C91F6E" w:rsidRPr="00EC250C">
              <w:rPr>
                <w:sz w:val="18"/>
                <w:szCs w:val="20"/>
              </w:rPr>
              <w:t> r.</w:t>
            </w:r>
          </w:p>
        </w:tc>
      </w:tr>
      <w:tr w:rsidR="00250AC8" w:rsidRPr="00EC250C" w14:paraId="5547311F" w14:textId="77777777" w:rsidTr="00FC47F2">
        <w:trPr>
          <w:tblCellSpacing w:w="20" w:type="dxa"/>
        </w:trPr>
        <w:tc>
          <w:tcPr>
            <w:tcW w:w="658" w:type="dxa"/>
          </w:tcPr>
          <w:p w14:paraId="5391A668" w14:textId="77777777" w:rsidR="00250AC8" w:rsidRPr="00EC250C" w:rsidRDefault="00250AC8" w:rsidP="006C70B7">
            <w:pPr>
              <w:pStyle w:val="Tabela"/>
              <w:numPr>
                <w:ilvl w:val="0"/>
                <w:numId w:val="80"/>
              </w:numPr>
              <w:ind w:left="0" w:firstLine="0"/>
              <w:jc w:val="both"/>
            </w:pPr>
          </w:p>
        </w:tc>
        <w:tc>
          <w:tcPr>
            <w:tcW w:w="7331" w:type="dxa"/>
          </w:tcPr>
          <w:p w14:paraId="15A9C0C5"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Centralnych Obchodach Święta Służby Więziennej na pl. Piłsudskiego. Warszawa.</w:t>
            </w:r>
          </w:p>
        </w:tc>
        <w:tc>
          <w:tcPr>
            <w:tcW w:w="1687" w:type="dxa"/>
          </w:tcPr>
          <w:p w14:paraId="2C550901" w14:textId="77777777" w:rsidR="00250AC8" w:rsidRPr="00EC250C" w:rsidRDefault="00250AC8" w:rsidP="00902FC6">
            <w:pPr>
              <w:pStyle w:val="Tabela"/>
              <w:rPr>
                <w:sz w:val="18"/>
                <w:szCs w:val="20"/>
              </w:rPr>
            </w:pPr>
            <w:r w:rsidRPr="00EC250C">
              <w:rPr>
                <w:sz w:val="18"/>
                <w:szCs w:val="20"/>
              </w:rPr>
              <w:t>29.06.2018</w:t>
            </w:r>
            <w:r w:rsidR="00C91F6E" w:rsidRPr="00EC250C">
              <w:rPr>
                <w:sz w:val="18"/>
                <w:szCs w:val="20"/>
              </w:rPr>
              <w:t> r.</w:t>
            </w:r>
          </w:p>
        </w:tc>
      </w:tr>
      <w:tr w:rsidR="00250AC8" w:rsidRPr="00EC250C" w14:paraId="1C7A4343" w14:textId="77777777" w:rsidTr="00FC47F2">
        <w:trPr>
          <w:tblCellSpacing w:w="20" w:type="dxa"/>
        </w:trPr>
        <w:tc>
          <w:tcPr>
            <w:tcW w:w="658" w:type="dxa"/>
          </w:tcPr>
          <w:p w14:paraId="27345039" w14:textId="77777777" w:rsidR="00250AC8" w:rsidRPr="00EC250C" w:rsidRDefault="00250AC8" w:rsidP="006C70B7">
            <w:pPr>
              <w:pStyle w:val="Tabela"/>
              <w:numPr>
                <w:ilvl w:val="0"/>
                <w:numId w:val="80"/>
              </w:numPr>
              <w:ind w:left="0" w:firstLine="0"/>
              <w:jc w:val="both"/>
            </w:pPr>
          </w:p>
        </w:tc>
        <w:tc>
          <w:tcPr>
            <w:tcW w:w="7331" w:type="dxa"/>
          </w:tcPr>
          <w:p w14:paraId="1CF66C02" w14:textId="77777777" w:rsidR="00250AC8" w:rsidRPr="00EC250C" w:rsidRDefault="00250AC8" w:rsidP="00902FC6">
            <w:pPr>
              <w:pStyle w:val="Tabela"/>
              <w:rPr>
                <w:rFonts w:eastAsiaTheme="majorEastAsia"/>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debacie nt. „Nasze Prawa. Konstytucja RP, Karta Praw Podstawowych UE, Europejska Konwencja Praw Człowieka”. Biuro RPO. Warszawa.</w:t>
            </w:r>
          </w:p>
        </w:tc>
        <w:tc>
          <w:tcPr>
            <w:tcW w:w="1687" w:type="dxa"/>
          </w:tcPr>
          <w:p w14:paraId="349A3F46" w14:textId="77777777" w:rsidR="00250AC8" w:rsidRPr="00EC250C" w:rsidRDefault="00250AC8" w:rsidP="00902FC6">
            <w:pPr>
              <w:pStyle w:val="Tabela"/>
              <w:rPr>
                <w:sz w:val="18"/>
                <w:szCs w:val="20"/>
              </w:rPr>
            </w:pPr>
            <w:r w:rsidRPr="00EC250C">
              <w:rPr>
                <w:sz w:val="18"/>
                <w:szCs w:val="20"/>
              </w:rPr>
              <w:t>02.07.2017</w:t>
            </w:r>
            <w:r w:rsidR="00C91F6E" w:rsidRPr="00EC250C">
              <w:rPr>
                <w:sz w:val="18"/>
                <w:szCs w:val="20"/>
              </w:rPr>
              <w:t> r.</w:t>
            </w:r>
          </w:p>
        </w:tc>
      </w:tr>
      <w:tr w:rsidR="00250AC8" w:rsidRPr="00EC250C" w14:paraId="0C149850" w14:textId="77777777" w:rsidTr="00FC47F2">
        <w:trPr>
          <w:tblCellSpacing w:w="20" w:type="dxa"/>
        </w:trPr>
        <w:tc>
          <w:tcPr>
            <w:tcW w:w="658" w:type="dxa"/>
          </w:tcPr>
          <w:p w14:paraId="19732B39" w14:textId="77777777" w:rsidR="00250AC8" w:rsidRPr="00EC250C" w:rsidRDefault="00250AC8" w:rsidP="006C70B7">
            <w:pPr>
              <w:pStyle w:val="Tabela"/>
              <w:numPr>
                <w:ilvl w:val="0"/>
                <w:numId w:val="80"/>
              </w:numPr>
              <w:ind w:left="0" w:firstLine="0"/>
              <w:jc w:val="both"/>
            </w:pPr>
          </w:p>
        </w:tc>
        <w:tc>
          <w:tcPr>
            <w:tcW w:w="7331" w:type="dxa"/>
          </w:tcPr>
          <w:p w14:paraId="724DE0E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koncercie inauguracyjnym</w:t>
            </w:r>
            <w:r w:rsidR="00992FD0" w:rsidRPr="00EC250C">
              <w:rPr>
                <w:sz w:val="18"/>
                <w:szCs w:val="20"/>
              </w:rPr>
              <w:t xml:space="preserve"> z </w:t>
            </w:r>
            <w:r w:rsidRPr="00EC250C">
              <w:rPr>
                <w:sz w:val="18"/>
                <w:szCs w:val="20"/>
              </w:rPr>
              <w:t>okazji Prezydencji Austrii</w:t>
            </w:r>
            <w:r w:rsidR="00992FD0" w:rsidRPr="00EC250C">
              <w:rPr>
                <w:sz w:val="18"/>
                <w:szCs w:val="20"/>
              </w:rPr>
              <w:t xml:space="preserve"> w </w:t>
            </w:r>
            <w:r w:rsidRPr="00EC250C">
              <w:rPr>
                <w:sz w:val="18"/>
                <w:szCs w:val="20"/>
              </w:rPr>
              <w:t>Radzie Unii Europejskiej zorganizowanym przez ambasadę Austrii. Warszawa.</w:t>
            </w:r>
          </w:p>
        </w:tc>
        <w:tc>
          <w:tcPr>
            <w:tcW w:w="1687" w:type="dxa"/>
          </w:tcPr>
          <w:p w14:paraId="30BADF48" w14:textId="77777777" w:rsidR="00250AC8" w:rsidRPr="00EC250C" w:rsidRDefault="00250AC8" w:rsidP="00902FC6">
            <w:pPr>
              <w:pStyle w:val="Tabela"/>
              <w:rPr>
                <w:sz w:val="18"/>
                <w:szCs w:val="20"/>
              </w:rPr>
            </w:pPr>
            <w:r w:rsidRPr="00EC250C">
              <w:rPr>
                <w:sz w:val="18"/>
                <w:szCs w:val="20"/>
              </w:rPr>
              <w:t>02.07.2018</w:t>
            </w:r>
            <w:r w:rsidR="00C91F6E" w:rsidRPr="00EC250C">
              <w:rPr>
                <w:sz w:val="18"/>
                <w:szCs w:val="20"/>
              </w:rPr>
              <w:t> r.</w:t>
            </w:r>
          </w:p>
        </w:tc>
      </w:tr>
      <w:tr w:rsidR="00250AC8" w:rsidRPr="00EC250C" w14:paraId="009C5990" w14:textId="77777777" w:rsidTr="00FC47F2">
        <w:trPr>
          <w:tblCellSpacing w:w="20" w:type="dxa"/>
        </w:trPr>
        <w:tc>
          <w:tcPr>
            <w:tcW w:w="658" w:type="dxa"/>
          </w:tcPr>
          <w:p w14:paraId="0D23EFA9" w14:textId="77777777" w:rsidR="00250AC8" w:rsidRPr="00EC250C" w:rsidRDefault="00250AC8" w:rsidP="006C70B7">
            <w:pPr>
              <w:pStyle w:val="Tabela"/>
              <w:numPr>
                <w:ilvl w:val="0"/>
                <w:numId w:val="80"/>
              </w:numPr>
              <w:ind w:left="0" w:firstLine="0"/>
              <w:jc w:val="both"/>
            </w:pPr>
          </w:p>
        </w:tc>
        <w:tc>
          <w:tcPr>
            <w:tcW w:w="7331" w:type="dxa"/>
          </w:tcPr>
          <w:p w14:paraId="36ADDB85"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debacie</w:t>
            </w:r>
            <w:r w:rsidR="00992FD0" w:rsidRPr="00EC250C">
              <w:rPr>
                <w:sz w:val="18"/>
                <w:szCs w:val="20"/>
              </w:rPr>
              <w:t xml:space="preserve"> o </w:t>
            </w:r>
            <w:r w:rsidRPr="00EC250C">
              <w:rPr>
                <w:sz w:val="18"/>
                <w:szCs w:val="20"/>
              </w:rPr>
              <w:t>OzN, zorganizowanej przez Helsińską Fundację Praw Człowieka, Austriackie Forum Kultury Próżna 7. Warszawa.</w:t>
            </w:r>
          </w:p>
        </w:tc>
        <w:tc>
          <w:tcPr>
            <w:tcW w:w="1687" w:type="dxa"/>
          </w:tcPr>
          <w:p w14:paraId="46CB4ED7" w14:textId="77777777" w:rsidR="00250AC8" w:rsidRPr="00EC250C" w:rsidRDefault="00250AC8" w:rsidP="00902FC6">
            <w:pPr>
              <w:pStyle w:val="Tabela"/>
              <w:rPr>
                <w:sz w:val="18"/>
                <w:szCs w:val="20"/>
              </w:rPr>
            </w:pPr>
            <w:r w:rsidRPr="00EC250C">
              <w:rPr>
                <w:sz w:val="18"/>
                <w:szCs w:val="20"/>
              </w:rPr>
              <w:t>04.07.2018</w:t>
            </w:r>
            <w:r w:rsidR="00C91F6E" w:rsidRPr="00EC250C">
              <w:rPr>
                <w:sz w:val="18"/>
                <w:szCs w:val="20"/>
              </w:rPr>
              <w:t> r.</w:t>
            </w:r>
          </w:p>
        </w:tc>
      </w:tr>
      <w:tr w:rsidR="00250AC8" w:rsidRPr="00EC250C" w14:paraId="3E2F3E88" w14:textId="77777777" w:rsidTr="00FC47F2">
        <w:trPr>
          <w:tblCellSpacing w:w="20" w:type="dxa"/>
        </w:trPr>
        <w:tc>
          <w:tcPr>
            <w:tcW w:w="658" w:type="dxa"/>
          </w:tcPr>
          <w:p w14:paraId="0924996C" w14:textId="77777777" w:rsidR="00250AC8" w:rsidRPr="00EC250C" w:rsidRDefault="00250AC8" w:rsidP="006C70B7">
            <w:pPr>
              <w:pStyle w:val="Tabela"/>
              <w:numPr>
                <w:ilvl w:val="0"/>
                <w:numId w:val="80"/>
              </w:numPr>
              <w:ind w:left="0" w:firstLine="0"/>
              <w:jc w:val="both"/>
            </w:pPr>
          </w:p>
        </w:tc>
        <w:tc>
          <w:tcPr>
            <w:tcW w:w="7331" w:type="dxa"/>
          </w:tcPr>
          <w:p w14:paraId="5C1E68E0"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 xml:space="preserve">seminarium nt. </w:t>
            </w:r>
            <w:r w:rsidRPr="00C3177E">
              <w:rPr>
                <w:sz w:val="18"/>
                <w:szCs w:val="20"/>
                <w:lang w:val="en-US"/>
              </w:rPr>
              <w:t xml:space="preserve">„Expert round-table on the laws on the judiciary in Poland” zorganizowanym przez ODIHR. </w:t>
            </w:r>
            <w:r w:rsidRPr="00EC250C">
              <w:rPr>
                <w:sz w:val="18"/>
                <w:szCs w:val="20"/>
              </w:rPr>
              <w:t>Warszawa.</w:t>
            </w:r>
          </w:p>
        </w:tc>
        <w:tc>
          <w:tcPr>
            <w:tcW w:w="1687" w:type="dxa"/>
          </w:tcPr>
          <w:p w14:paraId="15AA37E6" w14:textId="77777777" w:rsidR="00250AC8" w:rsidRPr="00EC250C" w:rsidRDefault="00250AC8" w:rsidP="00902FC6">
            <w:pPr>
              <w:pStyle w:val="Tabela"/>
              <w:rPr>
                <w:sz w:val="18"/>
                <w:szCs w:val="20"/>
              </w:rPr>
            </w:pPr>
            <w:r w:rsidRPr="00EC250C">
              <w:rPr>
                <w:sz w:val="18"/>
                <w:szCs w:val="20"/>
              </w:rPr>
              <w:t>09.07.2018</w:t>
            </w:r>
            <w:r w:rsidR="00C91F6E" w:rsidRPr="00EC250C">
              <w:rPr>
                <w:sz w:val="18"/>
                <w:szCs w:val="20"/>
              </w:rPr>
              <w:t> r.</w:t>
            </w:r>
          </w:p>
        </w:tc>
      </w:tr>
      <w:tr w:rsidR="00250AC8" w:rsidRPr="00EC250C" w14:paraId="5992ACE4" w14:textId="77777777" w:rsidTr="00FC47F2">
        <w:trPr>
          <w:tblCellSpacing w:w="20" w:type="dxa"/>
        </w:trPr>
        <w:tc>
          <w:tcPr>
            <w:tcW w:w="658" w:type="dxa"/>
          </w:tcPr>
          <w:p w14:paraId="357EC84A" w14:textId="77777777" w:rsidR="00250AC8" w:rsidRPr="00EC250C" w:rsidRDefault="00250AC8" w:rsidP="006C70B7">
            <w:pPr>
              <w:pStyle w:val="Tabela"/>
              <w:numPr>
                <w:ilvl w:val="0"/>
                <w:numId w:val="80"/>
              </w:numPr>
              <w:ind w:left="0" w:firstLine="0"/>
              <w:jc w:val="both"/>
            </w:pPr>
          </w:p>
        </w:tc>
        <w:tc>
          <w:tcPr>
            <w:tcW w:w="7331" w:type="dxa"/>
          </w:tcPr>
          <w:p w14:paraId="5BD69367"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uroczystych obchodach 550. rocznicy Parlamentaryzmu Rzeczypospolitej. Warszawa.</w:t>
            </w:r>
          </w:p>
        </w:tc>
        <w:tc>
          <w:tcPr>
            <w:tcW w:w="1687" w:type="dxa"/>
          </w:tcPr>
          <w:p w14:paraId="51E1AC0F" w14:textId="77777777" w:rsidR="00250AC8" w:rsidRPr="00EC250C" w:rsidRDefault="00250AC8" w:rsidP="00902FC6">
            <w:pPr>
              <w:pStyle w:val="Tabela"/>
              <w:rPr>
                <w:sz w:val="18"/>
                <w:szCs w:val="20"/>
              </w:rPr>
            </w:pPr>
            <w:r w:rsidRPr="00EC250C">
              <w:rPr>
                <w:sz w:val="18"/>
                <w:szCs w:val="20"/>
              </w:rPr>
              <w:t>13.07.2018</w:t>
            </w:r>
            <w:r w:rsidR="00C91F6E" w:rsidRPr="00EC250C">
              <w:rPr>
                <w:sz w:val="18"/>
                <w:szCs w:val="20"/>
              </w:rPr>
              <w:t> r.</w:t>
            </w:r>
          </w:p>
        </w:tc>
      </w:tr>
      <w:tr w:rsidR="00250AC8" w:rsidRPr="00EC250C" w14:paraId="2139F759" w14:textId="77777777" w:rsidTr="00FC47F2">
        <w:trPr>
          <w:tblCellSpacing w:w="20" w:type="dxa"/>
        </w:trPr>
        <w:tc>
          <w:tcPr>
            <w:tcW w:w="658" w:type="dxa"/>
          </w:tcPr>
          <w:p w14:paraId="6AFF80D1" w14:textId="77777777" w:rsidR="00250AC8" w:rsidRPr="00EC250C" w:rsidRDefault="00250AC8" w:rsidP="006C70B7">
            <w:pPr>
              <w:pStyle w:val="Tabela"/>
              <w:numPr>
                <w:ilvl w:val="0"/>
                <w:numId w:val="80"/>
              </w:numPr>
              <w:ind w:left="0" w:firstLine="0"/>
              <w:jc w:val="both"/>
            </w:pPr>
          </w:p>
        </w:tc>
        <w:tc>
          <w:tcPr>
            <w:tcW w:w="7331" w:type="dxa"/>
          </w:tcPr>
          <w:p w14:paraId="66FDB188" w14:textId="77777777" w:rsidR="00250AC8" w:rsidRPr="00EC250C" w:rsidRDefault="00250AC8" w:rsidP="00902FC6">
            <w:pPr>
              <w:pStyle w:val="Tabela"/>
              <w:rPr>
                <w:sz w:val="18"/>
                <w:szCs w:val="20"/>
              </w:rPr>
            </w:pPr>
            <w:r w:rsidRPr="00EC250C">
              <w:rPr>
                <w:sz w:val="18"/>
                <w:szCs w:val="20"/>
              </w:rPr>
              <w:t>Święto Kultury Łemkowskiej XXXVI „ Łemkowska Watra” zorganizowane przez Zjednoczenie Łemków. Zdynia.</w:t>
            </w:r>
          </w:p>
        </w:tc>
        <w:tc>
          <w:tcPr>
            <w:tcW w:w="1687" w:type="dxa"/>
          </w:tcPr>
          <w:p w14:paraId="2D90A5EB" w14:textId="77777777" w:rsidR="00250AC8" w:rsidRPr="00EC250C" w:rsidRDefault="00250AC8" w:rsidP="00902FC6">
            <w:pPr>
              <w:pStyle w:val="Tabela"/>
              <w:rPr>
                <w:sz w:val="18"/>
                <w:szCs w:val="20"/>
              </w:rPr>
            </w:pPr>
            <w:r w:rsidRPr="00EC250C">
              <w:rPr>
                <w:sz w:val="18"/>
                <w:szCs w:val="20"/>
              </w:rPr>
              <w:t>21–22.07.2018</w:t>
            </w:r>
            <w:r w:rsidR="00C91F6E" w:rsidRPr="00EC250C">
              <w:rPr>
                <w:sz w:val="18"/>
                <w:szCs w:val="20"/>
              </w:rPr>
              <w:t> r.</w:t>
            </w:r>
          </w:p>
        </w:tc>
      </w:tr>
      <w:tr w:rsidR="00250AC8" w:rsidRPr="00EC250C" w14:paraId="4839DA5B" w14:textId="77777777" w:rsidTr="00FC47F2">
        <w:trPr>
          <w:tblCellSpacing w:w="20" w:type="dxa"/>
        </w:trPr>
        <w:tc>
          <w:tcPr>
            <w:tcW w:w="658" w:type="dxa"/>
          </w:tcPr>
          <w:p w14:paraId="47D2D60B" w14:textId="77777777" w:rsidR="00250AC8" w:rsidRPr="00EC250C" w:rsidRDefault="00250AC8" w:rsidP="006C70B7">
            <w:pPr>
              <w:pStyle w:val="Tabela"/>
              <w:numPr>
                <w:ilvl w:val="0"/>
                <w:numId w:val="80"/>
              </w:numPr>
              <w:ind w:left="0" w:firstLine="0"/>
              <w:jc w:val="both"/>
            </w:pPr>
          </w:p>
        </w:tc>
        <w:tc>
          <w:tcPr>
            <w:tcW w:w="7331" w:type="dxa"/>
          </w:tcPr>
          <w:p w14:paraId="7E6A2D1F"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debacie Senatu nad nowelizacją ustaw sądowych. Warszawa.</w:t>
            </w:r>
          </w:p>
        </w:tc>
        <w:tc>
          <w:tcPr>
            <w:tcW w:w="1687" w:type="dxa"/>
          </w:tcPr>
          <w:p w14:paraId="4A520941" w14:textId="77777777" w:rsidR="00250AC8" w:rsidRPr="00EC250C" w:rsidRDefault="00250AC8" w:rsidP="00902FC6">
            <w:pPr>
              <w:pStyle w:val="Tabela"/>
              <w:rPr>
                <w:sz w:val="18"/>
                <w:szCs w:val="20"/>
              </w:rPr>
            </w:pPr>
            <w:r w:rsidRPr="00EC250C">
              <w:rPr>
                <w:sz w:val="18"/>
                <w:szCs w:val="20"/>
              </w:rPr>
              <w:t>24.07.2018</w:t>
            </w:r>
            <w:r w:rsidR="00C91F6E" w:rsidRPr="00EC250C">
              <w:rPr>
                <w:sz w:val="18"/>
                <w:szCs w:val="20"/>
              </w:rPr>
              <w:t> r.</w:t>
            </w:r>
          </w:p>
        </w:tc>
      </w:tr>
      <w:tr w:rsidR="00250AC8" w:rsidRPr="00EC250C" w14:paraId="4E2F4704" w14:textId="77777777" w:rsidTr="00FC47F2">
        <w:trPr>
          <w:tblCellSpacing w:w="20" w:type="dxa"/>
        </w:trPr>
        <w:tc>
          <w:tcPr>
            <w:tcW w:w="658" w:type="dxa"/>
          </w:tcPr>
          <w:p w14:paraId="6E7AA36E" w14:textId="77777777" w:rsidR="00250AC8" w:rsidRPr="00EC250C" w:rsidRDefault="00250AC8" w:rsidP="006C70B7">
            <w:pPr>
              <w:pStyle w:val="Tabela"/>
              <w:numPr>
                <w:ilvl w:val="0"/>
                <w:numId w:val="80"/>
              </w:numPr>
              <w:ind w:left="0" w:firstLine="0"/>
              <w:jc w:val="both"/>
            </w:pPr>
          </w:p>
        </w:tc>
        <w:tc>
          <w:tcPr>
            <w:tcW w:w="7331" w:type="dxa"/>
          </w:tcPr>
          <w:p w14:paraId="71DCB30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uroczystych obchodach 74. rocznicy likwidacji „Zigeunerlager” na terenie Państwowego Muzeum Auschwitz-Birkenau. Oświęcim.</w:t>
            </w:r>
          </w:p>
        </w:tc>
        <w:tc>
          <w:tcPr>
            <w:tcW w:w="1687" w:type="dxa"/>
          </w:tcPr>
          <w:p w14:paraId="3ACC6444" w14:textId="77777777" w:rsidR="00250AC8" w:rsidRPr="00EC250C" w:rsidRDefault="00250AC8" w:rsidP="00902FC6">
            <w:pPr>
              <w:pStyle w:val="Tabela"/>
              <w:rPr>
                <w:sz w:val="18"/>
                <w:szCs w:val="20"/>
              </w:rPr>
            </w:pPr>
            <w:r w:rsidRPr="00EC250C">
              <w:rPr>
                <w:sz w:val="18"/>
                <w:szCs w:val="20"/>
              </w:rPr>
              <w:t>02.08.2018</w:t>
            </w:r>
            <w:r w:rsidR="00C91F6E" w:rsidRPr="00EC250C">
              <w:rPr>
                <w:sz w:val="18"/>
                <w:szCs w:val="20"/>
              </w:rPr>
              <w:t> r.</w:t>
            </w:r>
          </w:p>
        </w:tc>
      </w:tr>
      <w:tr w:rsidR="00250AC8" w:rsidRPr="00EC250C" w14:paraId="01A24151" w14:textId="77777777" w:rsidTr="00FC47F2">
        <w:trPr>
          <w:tblCellSpacing w:w="20" w:type="dxa"/>
        </w:trPr>
        <w:tc>
          <w:tcPr>
            <w:tcW w:w="658" w:type="dxa"/>
          </w:tcPr>
          <w:p w14:paraId="06C434C8" w14:textId="77777777" w:rsidR="00250AC8" w:rsidRPr="00EC250C" w:rsidRDefault="00250AC8" w:rsidP="006C70B7">
            <w:pPr>
              <w:pStyle w:val="Tabela"/>
              <w:numPr>
                <w:ilvl w:val="0"/>
                <w:numId w:val="80"/>
              </w:numPr>
              <w:ind w:left="0" w:firstLine="0"/>
              <w:jc w:val="both"/>
            </w:pPr>
          </w:p>
        </w:tc>
        <w:tc>
          <w:tcPr>
            <w:tcW w:w="7331" w:type="dxa"/>
          </w:tcPr>
          <w:p w14:paraId="30298558" w14:textId="77777777" w:rsidR="00250AC8" w:rsidRPr="00EC250C" w:rsidRDefault="00250AC8" w:rsidP="00902FC6">
            <w:pPr>
              <w:pStyle w:val="Tabela"/>
              <w:rPr>
                <w:sz w:val="18"/>
                <w:szCs w:val="20"/>
              </w:rPr>
            </w:pPr>
            <w:r w:rsidRPr="00EC250C">
              <w:rPr>
                <w:sz w:val="18"/>
                <w:szCs w:val="20"/>
              </w:rPr>
              <w:t>Konferencja nt. „Czy osoby transpłciowe „zasługują” na fundację” zorganizowana przez Fundację Akceptacja</w:t>
            </w:r>
            <w:r w:rsidR="00992FD0" w:rsidRPr="00EC250C">
              <w:rPr>
                <w:sz w:val="18"/>
                <w:szCs w:val="20"/>
              </w:rPr>
              <w:t xml:space="preserve"> i </w:t>
            </w:r>
            <w:r w:rsidRPr="00EC250C">
              <w:rPr>
                <w:sz w:val="18"/>
                <w:szCs w:val="20"/>
              </w:rPr>
              <w:t>Teatr Ósmego Dnia. Poznań.</w:t>
            </w:r>
          </w:p>
        </w:tc>
        <w:tc>
          <w:tcPr>
            <w:tcW w:w="1687" w:type="dxa"/>
          </w:tcPr>
          <w:p w14:paraId="43ED4CA5" w14:textId="77777777" w:rsidR="00250AC8" w:rsidRPr="00EC250C" w:rsidRDefault="00250AC8" w:rsidP="00902FC6">
            <w:pPr>
              <w:pStyle w:val="Tabela"/>
              <w:rPr>
                <w:sz w:val="18"/>
                <w:szCs w:val="20"/>
              </w:rPr>
            </w:pPr>
            <w:r w:rsidRPr="00EC250C">
              <w:rPr>
                <w:sz w:val="18"/>
                <w:szCs w:val="20"/>
              </w:rPr>
              <w:t>02.08.2018</w:t>
            </w:r>
            <w:r w:rsidR="00C91F6E" w:rsidRPr="00EC250C">
              <w:rPr>
                <w:sz w:val="18"/>
                <w:szCs w:val="20"/>
              </w:rPr>
              <w:t> r.</w:t>
            </w:r>
          </w:p>
        </w:tc>
      </w:tr>
      <w:tr w:rsidR="00250AC8" w:rsidRPr="00EC250C" w14:paraId="64B37189" w14:textId="77777777" w:rsidTr="00FC47F2">
        <w:trPr>
          <w:tblCellSpacing w:w="20" w:type="dxa"/>
        </w:trPr>
        <w:tc>
          <w:tcPr>
            <w:tcW w:w="658" w:type="dxa"/>
          </w:tcPr>
          <w:p w14:paraId="48B07F11" w14:textId="77777777" w:rsidR="00250AC8" w:rsidRPr="00EC250C" w:rsidRDefault="00250AC8" w:rsidP="006C70B7">
            <w:pPr>
              <w:pStyle w:val="Tabela"/>
              <w:numPr>
                <w:ilvl w:val="0"/>
                <w:numId w:val="80"/>
              </w:numPr>
              <w:ind w:left="0" w:firstLine="0"/>
              <w:jc w:val="both"/>
            </w:pPr>
          </w:p>
        </w:tc>
        <w:tc>
          <w:tcPr>
            <w:tcW w:w="7331" w:type="dxa"/>
          </w:tcPr>
          <w:p w14:paraId="3607835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konferencji poświęconej mieszkalnictwu społecznemu „Mieszkamy razem”. Nowe, Wyspa Sobieszewska.</w:t>
            </w:r>
          </w:p>
        </w:tc>
        <w:tc>
          <w:tcPr>
            <w:tcW w:w="1687" w:type="dxa"/>
          </w:tcPr>
          <w:p w14:paraId="5945C56B" w14:textId="77777777" w:rsidR="00250AC8" w:rsidRPr="00EC250C" w:rsidRDefault="00250AC8" w:rsidP="00902FC6">
            <w:pPr>
              <w:pStyle w:val="Tabela"/>
              <w:rPr>
                <w:sz w:val="18"/>
                <w:szCs w:val="20"/>
              </w:rPr>
            </w:pPr>
            <w:r w:rsidRPr="00EC250C">
              <w:rPr>
                <w:sz w:val="18"/>
                <w:szCs w:val="20"/>
              </w:rPr>
              <w:t>09.08.2018</w:t>
            </w:r>
            <w:r w:rsidR="00C91F6E" w:rsidRPr="00EC250C">
              <w:rPr>
                <w:sz w:val="18"/>
                <w:szCs w:val="20"/>
              </w:rPr>
              <w:t> r.</w:t>
            </w:r>
          </w:p>
        </w:tc>
      </w:tr>
      <w:tr w:rsidR="00250AC8" w:rsidRPr="00EC250C" w14:paraId="2BEB9A96" w14:textId="77777777" w:rsidTr="00FC47F2">
        <w:trPr>
          <w:tblCellSpacing w:w="20" w:type="dxa"/>
        </w:trPr>
        <w:tc>
          <w:tcPr>
            <w:tcW w:w="658" w:type="dxa"/>
          </w:tcPr>
          <w:p w14:paraId="5317828A" w14:textId="77777777" w:rsidR="00250AC8" w:rsidRPr="00EC250C" w:rsidRDefault="00250AC8" w:rsidP="006C70B7">
            <w:pPr>
              <w:pStyle w:val="Tabela"/>
              <w:numPr>
                <w:ilvl w:val="0"/>
                <w:numId w:val="80"/>
              </w:numPr>
              <w:ind w:left="0" w:firstLine="0"/>
              <w:jc w:val="both"/>
            </w:pPr>
          </w:p>
        </w:tc>
        <w:tc>
          <w:tcPr>
            <w:tcW w:w="7331" w:type="dxa"/>
          </w:tcPr>
          <w:p w14:paraId="47F7C5F1" w14:textId="77777777" w:rsidR="00250AC8" w:rsidRPr="00EC250C" w:rsidRDefault="00250AC8" w:rsidP="00902FC6">
            <w:pPr>
              <w:pStyle w:val="Tabela"/>
              <w:rPr>
                <w:sz w:val="18"/>
                <w:szCs w:val="20"/>
              </w:rPr>
            </w:pPr>
            <w:r w:rsidRPr="00EC250C">
              <w:rPr>
                <w:sz w:val="18"/>
                <w:szCs w:val="20"/>
              </w:rPr>
              <w:t>Konferencja nt. „Jak organy ochrony praw człowieka mogą pomóc</w:t>
            </w:r>
            <w:r w:rsidR="00992FD0" w:rsidRPr="00EC250C">
              <w:rPr>
                <w:sz w:val="18"/>
                <w:szCs w:val="20"/>
              </w:rPr>
              <w:t xml:space="preserve"> w </w:t>
            </w:r>
            <w:r w:rsidRPr="00EC250C">
              <w:rPr>
                <w:sz w:val="18"/>
                <w:szCs w:val="20"/>
              </w:rPr>
              <w:t>walce</w:t>
            </w:r>
            <w:r w:rsidR="00992FD0" w:rsidRPr="00EC250C">
              <w:rPr>
                <w:sz w:val="18"/>
                <w:szCs w:val="20"/>
              </w:rPr>
              <w:t xml:space="preserve"> o </w:t>
            </w:r>
            <w:r w:rsidRPr="00EC250C">
              <w:rPr>
                <w:sz w:val="18"/>
                <w:szCs w:val="20"/>
              </w:rPr>
              <w:t>równe prawa osób LGBT” zorganizowana przez Grupę Stonewall, Kampanię przeciw Homofobii</w:t>
            </w:r>
            <w:r w:rsidR="00992FD0" w:rsidRPr="00EC250C">
              <w:rPr>
                <w:sz w:val="18"/>
                <w:szCs w:val="20"/>
              </w:rPr>
              <w:t xml:space="preserve"> i </w:t>
            </w:r>
            <w:r w:rsidRPr="00EC250C">
              <w:rPr>
                <w:sz w:val="18"/>
                <w:szCs w:val="20"/>
              </w:rPr>
              <w:t>Lambda Warszawa. Poznań.</w:t>
            </w:r>
          </w:p>
        </w:tc>
        <w:tc>
          <w:tcPr>
            <w:tcW w:w="1687" w:type="dxa"/>
          </w:tcPr>
          <w:p w14:paraId="07719847" w14:textId="77777777" w:rsidR="00250AC8" w:rsidRPr="00EC250C" w:rsidRDefault="00250AC8" w:rsidP="00902FC6">
            <w:pPr>
              <w:pStyle w:val="Tabela"/>
              <w:rPr>
                <w:sz w:val="18"/>
                <w:szCs w:val="20"/>
              </w:rPr>
            </w:pPr>
            <w:r w:rsidRPr="00EC250C">
              <w:rPr>
                <w:sz w:val="18"/>
                <w:szCs w:val="20"/>
              </w:rPr>
              <w:t>10–11.08.2018</w:t>
            </w:r>
            <w:r w:rsidR="00C91F6E" w:rsidRPr="00EC250C">
              <w:rPr>
                <w:sz w:val="18"/>
                <w:szCs w:val="20"/>
              </w:rPr>
              <w:t> r.</w:t>
            </w:r>
            <w:r w:rsidRPr="00EC250C">
              <w:rPr>
                <w:sz w:val="18"/>
                <w:szCs w:val="20"/>
              </w:rPr>
              <w:t xml:space="preserve"> </w:t>
            </w:r>
          </w:p>
        </w:tc>
      </w:tr>
      <w:tr w:rsidR="00250AC8" w:rsidRPr="00EC250C" w14:paraId="2E4811C0" w14:textId="77777777" w:rsidTr="00FC47F2">
        <w:trPr>
          <w:tblCellSpacing w:w="20" w:type="dxa"/>
        </w:trPr>
        <w:tc>
          <w:tcPr>
            <w:tcW w:w="658" w:type="dxa"/>
          </w:tcPr>
          <w:p w14:paraId="08962837" w14:textId="77777777" w:rsidR="00250AC8" w:rsidRPr="00EC250C" w:rsidRDefault="00250AC8" w:rsidP="006C70B7">
            <w:pPr>
              <w:pStyle w:val="Tabela"/>
              <w:numPr>
                <w:ilvl w:val="0"/>
                <w:numId w:val="80"/>
              </w:numPr>
              <w:ind w:left="0" w:firstLine="0"/>
              <w:jc w:val="both"/>
            </w:pPr>
          </w:p>
        </w:tc>
        <w:tc>
          <w:tcPr>
            <w:tcW w:w="7331" w:type="dxa"/>
          </w:tcPr>
          <w:p w14:paraId="0391708B" w14:textId="77777777" w:rsidR="00250AC8" w:rsidRPr="00EC250C" w:rsidRDefault="00250AC8" w:rsidP="00902FC6">
            <w:pPr>
              <w:pStyle w:val="Tabela"/>
              <w:rPr>
                <w:sz w:val="18"/>
                <w:szCs w:val="20"/>
              </w:rPr>
            </w:pPr>
            <w:r w:rsidRPr="00EC250C">
              <w:rPr>
                <w:sz w:val="18"/>
                <w:szCs w:val="20"/>
              </w:rPr>
              <w:t xml:space="preserve">Wykład </w:t>
            </w:r>
            <w:r w:rsidR="003C397F" w:rsidRPr="00EC250C">
              <w:rPr>
                <w:sz w:val="18"/>
                <w:szCs w:val="20"/>
              </w:rPr>
              <w:t>rzecznika praw obywatelskich</w:t>
            </w:r>
            <w:r w:rsidRPr="00EC250C">
              <w:rPr>
                <w:sz w:val="18"/>
                <w:szCs w:val="20"/>
              </w:rPr>
              <w:t xml:space="preserve"> Adama Bodnara na letnim kursie praw człowieka zorganizowanym przez Poznańskie Centrum Praw Człowieka INP PAN oraz Wydział Prawa</w:t>
            </w:r>
            <w:r w:rsidR="00992FD0" w:rsidRPr="00EC250C">
              <w:rPr>
                <w:sz w:val="18"/>
                <w:szCs w:val="20"/>
              </w:rPr>
              <w:t xml:space="preserve"> i </w:t>
            </w:r>
            <w:r w:rsidRPr="00EC250C">
              <w:rPr>
                <w:sz w:val="18"/>
                <w:szCs w:val="20"/>
              </w:rPr>
              <w:t>Administracji Uniwersytetu im. Adama Mickiewicza</w:t>
            </w:r>
            <w:r w:rsidR="00992FD0" w:rsidRPr="00EC250C">
              <w:rPr>
                <w:sz w:val="18"/>
                <w:szCs w:val="20"/>
              </w:rPr>
              <w:t xml:space="preserve"> w </w:t>
            </w:r>
            <w:r w:rsidRPr="00EC250C">
              <w:rPr>
                <w:sz w:val="18"/>
                <w:szCs w:val="20"/>
              </w:rPr>
              <w:t>Poznaniu. Poznań.</w:t>
            </w:r>
          </w:p>
        </w:tc>
        <w:tc>
          <w:tcPr>
            <w:tcW w:w="1687" w:type="dxa"/>
          </w:tcPr>
          <w:p w14:paraId="7D973E90" w14:textId="77777777" w:rsidR="00250AC8" w:rsidRPr="00EC250C" w:rsidRDefault="00250AC8" w:rsidP="00902FC6">
            <w:pPr>
              <w:pStyle w:val="Tabela"/>
              <w:rPr>
                <w:sz w:val="18"/>
                <w:szCs w:val="20"/>
              </w:rPr>
            </w:pPr>
            <w:r w:rsidRPr="00EC250C">
              <w:rPr>
                <w:sz w:val="18"/>
                <w:szCs w:val="20"/>
              </w:rPr>
              <w:t>30.08.2018</w:t>
            </w:r>
            <w:r w:rsidR="00C91F6E" w:rsidRPr="00EC250C">
              <w:rPr>
                <w:sz w:val="18"/>
                <w:szCs w:val="20"/>
              </w:rPr>
              <w:t> r.</w:t>
            </w:r>
          </w:p>
        </w:tc>
      </w:tr>
      <w:tr w:rsidR="00250AC8" w:rsidRPr="00EC250C" w14:paraId="5D7342B2" w14:textId="77777777" w:rsidTr="00FC47F2">
        <w:trPr>
          <w:tblCellSpacing w:w="20" w:type="dxa"/>
        </w:trPr>
        <w:tc>
          <w:tcPr>
            <w:tcW w:w="658" w:type="dxa"/>
          </w:tcPr>
          <w:p w14:paraId="1DDDBAE9" w14:textId="77777777" w:rsidR="00250AC8" w:rsidRPr="00EC250C" w:rsidRDefault="00250AC8" w:rsidP="006C70B7">
            <w:pPr>
              <w:pStyle w:val="Tabela"/>
              <w:numPr>
                <w:ilvl w:val="0"/>
                <w:numId w:val="80"/>
              </w:numPr>
              <w:ind w:left="0" w:firstLine="0"/>
              <w:jc w:val="both"/>
            </w:pPr>
          </w:p>
        </w:tc>
        <w:tc>
          <w:tcPr>
            <w:tcW w:w="7331" w:type="dxa"/>
          </w:tcPr>
          <w:p w14:paraId="5E582D0C" w14:textId="77777777" w:rsidR="00250AC8" w:rsidRPr="00EC250C" w:rsidRDefault="00250AC8" w:rsidP="00902FC6">
            <w:pPr>
              <w:pStyle w:val="Tabela"/>
              <w:rPr>
                <w:sz w:val="18"/>
                <w:szCs w:val="20"/>
              </w:rPr>
            </w:pPr>
            <w:r w:rsidRPr="00EC250C">
              <w:rPr>
                <w:sz w:val="18"/>
                <w:szCs w:val="20"/>
              </w:rPr>
              <w:t>Forum ekonomiczne – wystąpienie dotyczące dialogu konsumenckiego. Krynica Zdrój.</w:t>
            </w:r>
          </w:p>
        </w:tc>
        <w:tc>
          <w:tcPr>
            <w:tcW w:w="1687" w:type="dxa"/>
          </w:tcPr>
          <w:p w14:paraId="77C50C3C" w14:textId="77777777" w:rsidR="00250AC8" w:rsidRPr="00EC250C" w:rsidRDefault="00250AC8" w:rsidP="00902FC6">
            <w:pPr>
              <w:pStyle w:val="Tabela"/>
              <w:rPr>
                <w:sz w:val="18"/>
                <w:szCs w:val="20"/>
              </w:rPr>
            </w:pPr>
            <w:r w:rsidRPr="00EC250C">
              <w:rPr>
                <w:sz w:val="18"/>
                <w:szCs w:val="20"/>
              </w:rPr>
              <w:t>04–05.09.2018</w:t>
            </w:r>
            <w:r w:rsidR="00C91F6E" w:rsidRPr="00EC250C">
              <w:rPr>
                <w:sz w:val="18"/>
                <w:szCs w:val="20"/>
              </w:rPr>
              <w:t> r.</w:t>
            </w:r>
          </w:p>
        </w:tc>
      </w:tr>
      <w:tr w:rsidR="00250AC8" w:rsidRPr="00EC250C" w14:paraId="075124F2" w14:textId="77777777" w:rsidTr="00FC47F2">
        <w:trPr>
          <w:tblCellSpacing w:w="20" w:type="dxa"/>
        </w:trPr>
        <w:tc>
          <w:tcPr>
            <w:tcW w:w="658" w:type="dxa"/>
          </w:tcPr>
          <w:p w14:paraId="29D28BE5" w14:textId="77777777" w:rsidR="00250AC8" w:rsidRPr="00EC250C" w:rsidRDefault="00250AC8" w:rsidP="006C70B7">
            <w:pPr>
              <w:pStyle w:val="Tabela"/>
              <w:numPr>
                <w:ilvl w:val="0"/>
                <w:numId w:val="80"/>
              </w:numPr>
              <w:ind w:left="0" w:firstLine="0"/>
              <w:jc w:val="both"/>
            </w:pPr>
          </w:p>
        </w:tc>
        <w:tc>
          <w:tcPr>
            <w:tcW w:w="7331" w:type="dxa"/>
            <w:shd w:val="clear" w:color="auto" w:fill="auto"/>
          </w:tcPr>
          <w:p w14:paraId="0D4D92E2" w14:textId="77777777" w:rsidR="00250AC8" w:rsidRPr="00EC250C" w:rsidRDefault="00250AC8" w:rsidP="00902FC6">
            <w:pPr>
              <w:pStyle w:val="Tabela"/>
              <w:rPr>
                <w:sz w:val="18"/>
                <w:szCs w:val="20"/>
              </w:rPr>
            </w:pPr>
            <w:r w:rsidRPr="00EC250C">
              <w:rPr>
                <w:sz w:val="18"/>
                <w:szCs w:val="20"/>
              </w:rPr>
              <w:t>Międzynarodowa konferencja nt. „Wylogowanie</w:t>
            </w:r>
            <w:r w:rsidR="00992FD0" w:rsidRPr="00EC250C">
              <w:rPr>
                <w:sz w:val="18"/>
                <w:szCs w:val="20"/>
              </w:rPr>
              <w:t xml:space="preserve"> z </w:t>
            </w:r>
            <w:r w:rsidRPr="00EC250C">
              <w:rPr>
                <w:sz w:val="18"/>
                <w:szCs w:val="20"/>
              </w:rPr>
              <w:t>życia jako konsekwencja traumatyzacji” zorganizowana przez Fundację Pomorskie Centrum Psychotraumatologii oraz Instytut Psychoterapii Zintegrowanej</w:t>
            </w:r>
            <w:r w:rsidR="00992FD0" w:rsidRPr="00EC250C">
              <w:rPr>
                <w:sz w:val="18"/>
                <w:szCs w:val="20"/>
              </w:rPr>
              <w:t xml:space="preserve"> w </w:t>
            </w:r>
            <w:r w:rsidRPr="00EC250C">
              <w:rPr>
                <w:sz w:val="18"/>
                <w:szCs w:val="20"/>
              </w:rPr>
              <w:t>Monachium we współpracy</w:t>
            </w:r>
            <w:r w:rsidR="00992FD0" w:rsidRPr="00EC250C">
              <w:rPr>
                <w:sz w:val="18"/>
                <w:szCs w:val="20"/>
              </w:rPr>
              <w:t xml:space="preserve"> z </w:t>
            </w:r>
            <w:r w:rsidRPr="00EC250C">
              <w:rPr>
                <w:sz w:val="18"/>
                <w:szCs w:val="20"/>
              </w:rPr>
              <w:t>Europejskim Centrum Solidarności. Gdańsk.</w:t>
            </w:r>
          </w:p>
        </w:tc>
        <w:tc>
          <w:tcPr>
            <w:tcW w:w="1687" w:type="dxa"/>
          </w:tcPr>
          <w:p w14:paraId="74088E89" w14:textId="77777777" w:rsidR="00250AC8" w:rsidRPr="00EC250C" w:rsidRDefault="00250AC8" w:rsidP="00902FC6">
            <w:pPr>
              <w:pStyle w:val="Tabela"/>
              <w:rPr>
                <w:sz w:val="18"/>
                <w:szCs w:val="20"/>
              </w:rPr>
            </w:pPr>
            <w:r w:rsidRPr="00EC250C">
              <w:rPr>
                <w:sz w:val="18"/>
                <w:szCs w:val="20"/>
              </w:rPr>
              <w:t>06.09.2018</w:t>
            </w:r>
            <w:r w:rsidR="00C91F6E" w:rsidRPr="00EC250C">
              <w:rPr>
                <w:sz w:val="18"/>
                <w:szCs w:val="20"/>
              </w:rPr>
              <w:t> r.</w:t>
            </w:r>
          </w:p>
        </w:tc>
      </w:tr>
      <w:tr w:rsidR="00250AC8" w:rsidRPr="00EC250C" w14:paraId="38AB334D" w14:textId="77777777" w:rsidTr="00FC47F2">
        <w:trPr>
          <w:tblCellSpacing w:w="20" w:type="dxa"/>
        </w:trPr>
        <w:tc>
          <w:tcPr>
            <w:tcW w:w="658" w:type="dxa"/>
          </w:tcPr>
          <w:p w14:paraId="4F02FF1A" w14:textId="77777777" w:rsidR="00250AC8" w:rsidRPr="00EC250C" w:rsidRDefault="00250AC8" w:rsidP="006C70B7">
            <w:pPr>
              <w:pStyle w:val="Tabela"/>
              <w:numPr>
                <w:ilvl w:val="0"/>
                <w:numId w:val="80"/>
              </w:numPr>
              <w:ind w:left="0" w:firstLine="0"/>
              <w:jc w:val="both"/>
            </w:pPr>
          </w:p>
        </w:tc>
        <w:tc>
          <w:tcPr>
            <w:tcW w:w="7331" w:type="dxa"/>
          </w:tcPr>
          <w:p w14:paraId="4101623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konferencji nt. „Zawód zaufania publicznego – przeszłość, teraźniejszość, przyszłość” zorganizowanej przez Mazowieckie Forum Samorządów Zaufania Publicznego. Warszawa.</w:t>
            </w:r>
          </w:p>
        </w:tc>
        <w:tc>
          <w:tcPr>
            <w:tcW w:w="1687" w:type="dxa"/>
          </w:tcPr>
          <w:p w14:paraId="6D217C51" w14:textId="77777777" w:rsidR="00250AC8" w:rsidRPr="00EC250C" w:rsidRDefault="00250AC8" w:rsidP="00902FC6">
            <w:pPr>
              <w:pStyle w:val="Tabela"/>
              <w:rPr>
                <w:sz w:val="18"/>
                <w:szCs w:val="20"/>
              </w:rPr>
            </w:pPr>
            <w:r w:rsidRPr="00EC250C">
              <w:rPr>
                <w:sz w:val="18"/>
                <w:szCs w:val="20"/>
              </w:rPr>
              <w:t>10.09.2018</w:t>
            </w:r>
            <w:r w:rsidR="00C91F6E" w:rsidRPr="00EC250C">
              <w:rPr>
                <w:sz w:val="18"/>
                <w:szCs w:val="20"/>
              </w:rPr>
              <w:t> r.</w:t>
            </w:r>
          </w:p>
        </w:tc>
      </w:tr>
      <w:tr w:rsidR="00250AC8" w:rsidRPr="00EC250C" w14:paraId="65A93138" w14:textId="77777777" w:rsidTr="00FC47F2">
        <w:trPr>
          <w:tblCellSpacing w:w="20" w:type="dxa"/>
        </w:trPr>
        <w:tc>
          <w:tcPr>
            <w:tcW w:w="658" w:type="dxa"/>
          </w:tcPr>
          <w:p w14:paraId="1ADBDED3" w14:textId="77777777" w:rsidR="00250AC8" w:rsidRPr="00EC250C" w:rsidRDefault="00250AC8" w:rsidP="006C70B7">
            <w:pPr>
              <w:pStyle w:val="Tabela"/>
              <w:numPr>
                <w:ilvl w:val="0"/>
                <w:numId w:val="80"/>
              </w:numPr>
              <w:ind w:left="0" w:firstLine="0"/>
              <w:jc w:val="both"/>
            </w:pPr>
          </w:p>
        </w:tc>
        <w:tc>
          <w:tcPr>
            <w:tcW w:w="7331" w:type="dxa"/>
          </w:tcPr>
          <w:p w14:paraId="000013EE"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Zgromadzeniu Jubileuszowym Związku Powiatów Polskich. Warszawa.</w:t>
            </w:r>
          </w:p>
        </w:tc>
        <w:tc>
          <w:tcPr>
            <w:tcW w:w="1687" w:type="dxa"/>
          </w:tcPr>
          <w:p w14:paraId="1E094BAF" w14:textId="77777777" w:rsidR="00250AC8" w:rsidRPr="00EC250C" w:rsidRDefault="00250AC8" w:rsidP="00902FC6">
            <w:pPr>
              <w:pStyle w:val="Tabela"/>
              <w:rPr>
                <w:sz w:val="18"/>
                <w:szCs w:val="20"/>
              </w:rPr>
            </w:pPr>
            <w:r w:rsidRPr="00EC250C">
              <w:rPr>
                <w:sz w:val="18"/>
                <w:szCs w:val="20"/>
              </w:rPr>
              <w:t>11.09.2018</w:t>
            </w:r>
            <w:r w:rsidR="00C91F6E" w:rsidRPr="00EC250C">
              <w:rPr>
                <w:sz w:val="18"/>
                <w:szCs w:val="20"/>
              </w:rPr>
              <w:t> r.</w:t>
            </w:r>
          </w:p>
        </w:tc>
      </w:tr>
      <w:tr w:rsidR="00250AC8" w:rsidRPr="00EC250C" w14:paraId="187E3215" w14:textId="77777777" w:rsidTr="00FC47F2">
        <w:trPr>
          <w:tblCellSpacing w:w="20" w:type="dxa"/>
        </w:trPr>
        <w:tc>
          <w:tcPr>
            <w:tcW w:w="658" w:type="dxa"/>
          </w:tcPr>
          <w:p w14:paraId="26D22542" w14:textId="77777777" w:rsidR="00250AC8" w:rsidRPr="00EC250C" w:rsidRDefault="00250AC8" w:rsidP="006C70B7">
            <w:pPr>
              <w:pStyle w:val="Tabela"/>
              <w:numPr>
                <w:ilvl w:val="0"/>
                <w:numId w:val="80"/>
              </w:numPr>
              <w:ind w:left="0" w:firstLine="0"/>
              <w:jc w:val="both"/>
            </w:pPr>
          </w:p>
        </w:tc>
        <w:tc>
          <w:tcPr>
            <w:tcW w:w="7331" w:type="dxa"/>
          </w:tcPr>
          <w:p w14:paraId="66EC2EBD" w14:textId="77777777" w:rsidR="00250AC8" w:rsidRPr="00EC250C" w:rsidRDefault="00250AC8" w:rsidP="00902FC6">
            <w:pPr>
              <w:pStyle w:val="Tabela"/>
              <w:rPr>
                <w:sz w:val="18"/>
                <w:szCs w:val="20"/>
              </w:rPr>
            </w:pPr>
            <w:r w:rsidRPr="00EC250C">
              <w:rPr>
                <w:sz w:val="18"/>
                <w:szCs w:val="20"/>
              </w:rPr>
              <w:t xml:space="preserve">Wykład </w:t>
            </w:r>
            <w:r w:rsidR="003C397F" w:rsidRPr="00EC250C">
              <w:rPr>
                <w:sz w:val="18"/>
                <w:szCs w:val="20"/>
              </w:rPr>
              <w:t>rzecznika praw obywatelskich</w:t>
            </w:r>
            <w:r w:rsidRPr="00EC250C">
              <w:rPr>
                <w:sz w:val="18"/>
                <w:szCs w:val="20"/>
              </w:rPr>
              <w:t xml:space="preserve"> Adama Bodnara dla Sędziów Sądu Rejonowego</w:t>
            </w:r>
            <w:r w:rsidR="00992FD0" w:rsidRPr="00EC250C">
              <w:rPr>
                <w:sz w:val="18"/>
                <w:szCs w:val="20"/>
              </w:rPr>
              <w:t xml:space="preserve"> w </w:t>
            </w:r>
            <w:r w:rsidRPr="00EC250C">
              <w:rPr>
                <w:sz w:val="18"/>
                <w:szCs w:val="20"/>
              </w:rPr>
              <w:t>Łodzi. Łódź.</w:t>
            </w:r>
          </w:p>
        </w:tc>
        <w:tc>
          <w:tcPr>
            <w:tcW w:w="1687" w:type="dxa"/>
          </w:tcPr>
          <w:p w14:paraId="0DC9F9BB" w14:textId="77777777" w:rsidR="00250AC8" w:rsidRPr="00EC250C" w:rsidRDefault="00250AC8" w:rsidP="00902FC6">
            <w:pPr>
              <w:pStyle w:val="Tabela"/>
              <w:rPr>
                <w:sz w:val="18"/>
                <w:szCs w:val="20"/>
              </w:rPr>
            </w:pPr>
            <w:r w:rsidRPr="00EC250C">
              <w:rPr>
                <w:sz w:val="18"/>
                <w:szCs w:val="20"/>
              </w:rPr>
              <w:t>12.09.2018</w:t>
            </w:r>
            <w:r w:rsidR="00C91F6E" w:rsidRPr="00EC250C">
              <w:rPr>
                <w:sz w:val="18"/>
                <w:szCs w:val="20"/>
              </w:rPr>
              <w:t> r.</w:t>
            </w:r>
          </w:p>
        </w:tc>
      </w:tr>
      <w:tr w:rsidR="00250AC8" w:rsidRPr="00EC250C" w14:paraId="026DAA82" w14:textId="77777777" w:rsidTr="00FC47F2">
        <w:trPr>
          <w:tblCellSpacing w:w="20" w:type="dxa"/>
        </w:trPr>
        <w:tc>
          <w:tcPr>
            <w:tcW w:w="658" w:type="dxa"/>
          </w:tcPr>
          <w:p w14:paraId="3C541D7B" w14:textId="77777777" w:rsidR="00250AC8" w:rsidRPr="00EC250C" w:rsidRDefault="00250AC8" w:rsidP="006C70B7">
            <w:pPr>
              <w:pStyle w:val="Tabela"/>
              <w:numPr>
                <w:ilvl w:val="0"/>
                <w:numId w:val="80"/>
              </w:numPr>
              <w:ind w:left="0" w:firstLine="0"/>
              <w:jc w:val="both"/>
            </w:pPr>
          </w:p>
        </w:tc>
        <w:tc>
          <w:tcPr>
            <w:tcW w:w="7331" w:type="dxa"/>
          </w:tcPr>
          <w:p w14:paraId="01FBC6F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posiedzeniu Kapituły Polskiej Nagrody im. Sergio Vieira de Mello. Kraków.</w:t>
            </w:r>
          </w:p>
        </w:tc>
        <w:tc>
          <w:tcPr>
            <w:tcW w:w="1687" w:type="dxa"/>
          </w:tcPr>
          <w:p w14:paraId="330C8596" w14:textId="77777777" w:rsidR="00250AC8" w:rsidRPr="00EC250C" w:rsidRDefault="00250AC8" w:rsidP="00902FC6">
            <w:pPr>
              <w:pStyle w:val="Tabela"/>
              <w:rPr>
                <w:sz w:val="18"/>
                <w:szCs w:val="20"/>
              </w:rPr>
            </w:pPr>
            <w:r w:rsidRPr="00EC250C">
              <w:rPr>
                <w:sz w:val="18"/>
                <w:szCs w:val="20"/>
              </w:rPr>
              <w:t>12.09.2018</w:t>
            </w:r>
            <w:r w:rsidR="00C91F6E" w:rsidRPr="00EC250C">
              <w:rPr>
                <w:sz w:val="18"/>
                <w:szCs w:val="20"/>
              </w:rPr>
              <w:t> r.</w:t>
            </w:r>
          </w:p>
        </w:tc>
      </w:tr>
      <w:tr w:rsidR="00250AC8" w:rsidRPr="00EC250C" w14:paraId="47CE2F2D" w14:textId="77777777" w:rsidTr="00FC47F2">
        <w:trPr>
          <w:tblCellSpacing w:w="20" w:type="dxa"/>
        </w:trPr>
        <w:tc>
          <w:tcPr>
            <w:tcW w:w="658" w:type="dxa"/>
          </w:tcPr>
          <w:p w14:paraId="4432EDA1" w14:textId="77777777" w:rsidR="00250AC8" w:rsidRPr="00EC250C" w:rsidRDefault="00250AC8" w:rsidP="006C70B7">
            <w:pPr>
              <w:pStyle w:val="Tabela"/>
              <w:numPr>
                <w:ilvl w:val="0"/>
                <w:numId w:val="80"/>
              </w:numPr>
              <w:ind w:left="0" w:firstLine="0"/>
              <w:jc w:val="both"/>
            </w:pPr>
          </w:p>
        </w:tc>
        <w:tc>
          <w:tcPr>
            <w:tcW w:w="7331" w:type="dxa"/>
          </w:tcPr>
          <w:p w14:paraId="70D3205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posiedzeniu Kapituły Konkursu Lodołamacze 2018 zorganizowanej przez Państwowy Fundusz Rehabilitacji Osób Niepełnosprawnych. Warszawa.</w:t>
            </w:r>
          </w:p>
        </w:tc>
        <w:tc>
          <w:tcPr>
            <w:tcW w:w="1687" w:type="dxa"/>
          </w:tcPr>
          <w:p w14:paraId="6E8D8FAF" w14:textId="77777777" w:rsidR="00250AC8" w:rsidRPr="00EC250C" w:rsidRDefault="00250AC8" w:rsidP="00902FC6">
            <w:pPr>
              <w:pStyle w:val="Tabela"/>
              <w:rPr>
                <w:sz w:val="18"/>
                <w:szCs w:val="20"/>
              </w:rPr>
            </w:pPr>
            <w:r w:rsidRPr="00EC250C">
              <w:rPr>
                <w:sz w:val="18"/>
                <w:szCs w:val="20"/>
              </w:rPr>
              <w:t>13.09.2018</w:t>
            </w:r>
            <w:r w:rsidR="00C91F6E" w:rsidRPr="00EC250C">
              <w:rPr>
                <w:sz w:val="18"/>
                <w:szCs w:val="20"/>
              </w:rPr>
              <w:t> r.</w:t>
            </w:r>
          </w:p>
        </w:tc>
      </w:tr>
      <w:tr w:rsidR="00250AC8" w:rsidRPr="00EC250C" w14:paraId="2F722A2D" w14:textId="77777777" w:rsidTr="00FC47F2">
        <w:trPr>
          <w:tblCellSpacing w:w="20" w:type="dxa"/>
        </w:trPr>
        <w:tc>
          <w:tcPr>
            <w:tcW w:w="658" w:type="dxa"/>
          </w:tcPr>
          <w:p w14:paraId="4BF49BE7" w14:textId="77777777" w:rsidR="00250AC8" w:rsidRPr="00EC250C" w:rsidRDefault="00250AC8" w:rsidP="006C70B7">
            <w:pPr>
              <w:pStyle w:val="Tabela"/>
              <w:numPr>
                <w:ilvl w:val="0"/>
                <w:numId w:val="80"/>
              </w:numPr>
              <w:ind w:left="0" w:firstLine="0"/>
              <w:jc w:val="both"/>
            </w:pPr>
          </w:p>
        </w:tc>
        <w:tc>
          <w:tcPr>
            <w:tcW w:w="7331" w:type="dxa"/>
          </w:tcPr>
          <w:p w14:paraId="020DBC7F"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Gali Kampanii Przeciw Homofobii „Ramię</w:t>
            </w:r>
            <w:r w:rsidR="00992FD0" w:rsidRPr="00EC250C">
              <w:rPr>
                <w:sz w:val="18"/>
                <w:szCs w:val="20"/>
              </w:rPr>
              <w:t xml:space="preserve"> w </w:t>
            </w:r>
            <w:r w:rsidRPr="00EC250C">
              <w:rPr>
                <w:sz w:val="18"/>
                <w:szCs w:val="20"/>
              </w:rPr>
              <w:t>ramię po równość”. Warszawa.</w:t>
            </w:r>
          </w:p>
        </w:tc>
        <w:tc>
          <w:tcPr>
            <w:tcW w:w="1687" w:type="dxa"/>
          </w:tcPr>
          <w:p w14:paraId="640503DD" w14:textId="77777777" w:rsidR="00250AC8" w:rsidRPr="00EC250C" w:rsidRDefault="00250AC8" w:rsidP="00902FC6">
            <w:pPr>
              <w:pStyle w:val="Tabela"/>
              <w:rPr>
                <w:sz w:val="18"/>
                <w:szCs w:val="20"/>
              </w:rPr>
            </w:pPr>
            <w:r w:rsidRPr="00EC250C">
              <w:rPr>
                <w:sz w:val="18"/>
                <w:szCs w:val="20"/>
              </w:rPr>
              <w:t>13.09.2018</w:t>
            </w:r>
            <w:r w:rsidR="00C91F6E" w:rsidRPr="00EC250C">
              <w:rPr>
                <w:sz w:val="18"/>
                <w:szCs w:val="20"/>
              </w:rPr>
              <w:t> r.</w:t>
            </w:r>
          </w:p>
        </w:tc>
      </w:tr>
      <w:tr w:rsidR="00250AC8" w:rsidRPr="00EC250C" w14:paraId="01DC6A49" w14:textId="77777777" w:rsidTr="00FC47F2">
        <w:trPr>
          <w:tblCellSpacing w:w="20" w:type="dxa"/>
        </w:trPr>
        <w:tc>
          <w:tcPr>
            <w:tcW w:w="658" w:type="dxa"/>
          </w:tcPr>
          <w:p w14:paraId="49C8D89D" w14:textId="77777777" w:rsidR="00250AC8" w:rsidRPr="00EC250C" w:rsidRDefault="00250AC8" w:rsidP="006C70B7">
            <w:pPr>
              <w:pStyle w:val="Tabela"/>
              <w:numPr>
                <w:ilvl w:val="0"/>
                <w:numId w:val="80"/>
              </w:numPr>
              <w:ind w:left="0" w:firstLine="0"/>
              <w:jc w:val="both"/>
            </w:pPr>
          </w:p>
        </w:tc>
        <w:tc>
          <w:tcPr>
            <w:tcW w:w="7331" w:type="dxa"/>
          </w:tcPr>
          <w:p w14:paraId="392AD7D3" w14:textId="77777777" w:rsidR="00250AC8" w:rsidRPr="00EC250C" w:rsidRDefault="00250AC8" w:rsidP="00902FC6">
            <w:pPr>
              <w:pStyle w:val="Tabela"/>
              <w:rPr>
                <w:sz w:val="18"/>
                <w:szCs w:val="20"/>
              </w:rPr>
            </w:pPr>
            <w:r w:rsidRPr="00EC250C">
              <w:rPr>
                <w:sz w:val="18"/>
                <w:szCs w:val="20"/>
              </w:rPr>
              <w:t>XX Kongres Stowarzyszenia Sędziów Rodzinnych</w:t>
            </w:r>
            <w:r w:rsidR="00992FD0" w:rsidRPr="00EC250C">
              <w:rPr>
                <w:sz w:val="18"/>
                <w:szCs w:val="20"/>
              </w:rPr>
              <w:t xml:space="preserve"> w </w:t>
            </w:r>
            <w:r w:rsidRPr="00EC250C">
              <w:rPr>
                <w:sz w:val="18"/>
                <w:szCs w:val="20"/>
              </w:rPr>
              <w:t>Polsce nt. „Dziecko wobec rozpadu rodziny” zorganizowany przez Stowarzyszenie Sędziów Rodzinnych</w:t>
            </w:r>
            <w:r w:rsidR="00992FD0" w:rsidRPr="00EC250C">
              <w:rPr>
                <w:sz w:val="18"/>
                <w:szCs w:val="20"/>
              </w:rPr>
              <w:t xml:space="preserve"> w </w:t>
            </w:r>
            <w:r w:rsidRPr="00EC250C">
              <w:rPr>
                <w:sz w:val="18"/>
                <w:szCs w:val="20"/>
              </w:rPr>
              <w:t>Polsce. Zakopane.</w:t>
            </w:r>
          </w:p>
        </w:tc>
        <w:tc>
          <w:tcPr>
            <w:tcW w:w="1687" w:type="dxa"/>
          </w:tcPr>
          <w:p w14:paraId="3BA69CDC" w14:textId="77777777" w:rsidR="00250AC8" w:rsidRPr="00EC250C" w:rsidRDefault="00250AC8" w:rsidP="00902FC6">
            <w:pPr>
              <w:pStyle w:val="Tabela"/>
              <w:rPr>
                <w:sz w:val="18"/>
                <w:szCs w:val="20"/>
              </w:rPr>
            </w:pPr>
            <w:r w:rsidRPr="00EC250C">
              <w:rPr>
                <w:sz w:val="18"/>
                <w:szCs w:val="20"/>
              </w:rPr>
              <w:t>16.09.2018</w:t>
            </w:r>
            <w:r w:rsidR="00C91F6E" w:rsidRPr="00EC250C">
              <w:rPr>
                <w:sz w:val="18"/>
                <w:szCs w:val="20"/>
              </w:rPr>
              <w:t> r.</w:t>
            </w:r>
          </w:p>
        </w:tc>
      </w:tr>
      <w:tr w:rsidR="00250AC8" w:rsidRPr="00EC250C" w14:paraId="05E82C42" w14:textId="77777777" w:rsidTr="00FC47F2">
        <w:trPr>
          <w:tblCellSpacing w:w="20" w:type="dxa"/>
        </w:trPr>
        <w:tc>
          <w:tcPr>
            <w:tcW w:w="658" w:type="dxa"/>
          </w:tcPr>
          <w:p w14:paraId="7FE61522" w14:textId="77777777" w:rsidR="00250AC8" w:rsidRPr="00EC250C" w:rsidRDefault="00250AC8" w:rsidP="006C70B7">
            <w:pPr>
              <w:pStyle w:val="Tabela"/>
              <w:numPr>
                <w:ilvl w:val="0"/>
                <w:numId w:val="80"/>
              </w:numPr>
              <w:ind w:left="0" w:firstLine="0"/>
              <w:jc w:val="both"/>
            </w:pPr>
          </w:p>
        </w:tc>
        <w:tc>
          <w:tcPr>
            <w:tcW w:w="7331" w:type="dxa"/>
          </w:tcPr>
          <w:p w14:paraId="38C5B669" w14:textId="77777777" w:rsidR="00250AC8" w:rsidRPr="00EC250C" w:rsidRDefault="00250AC8" w:rsidP="00902FC6">
            <w:pPr>
              <w:pStyle w:val="Tabela"/>
              <w:rPr>
                <w:sz w:val="18"/>
                <w:szCs w:val="20"/>
              </w:rPr>
            </w:pPr>
            <w:r w:rsidRPr="00EC250C">
              <w:rPr>
                <w:sz w:val="18"/>
                <w:szCs w:val="20"/>
              </w:rPr>
              <w:t>Seminarium nt. „Znaczenie zrewidowanej Europejskiej Karty Społecznej</w:t>
            </w:r>
            <w:r w:rsidR="00992FD0" w:rsidRPr="00EC250C">
              <w:rPr>
                <w:sz w:val="18"/>
                <w:szCs w:val="20"/>
              </w:rPr>
              <w:t xml:space="preserve"> i </w:t>
            </w:r>
            <w:r w:rsidRPr="00EC250C">
              <w:rPr>
                <w:sz w:val="18"/>
                <w:szCs w:val="20"/>
              </w:rPr>
              <w:t>możliwości jej ratyfikacji” zorganizowane przez Uniwersytet Jagielloński. Kraków.</w:t>
            </w:r>
          </w:p>
        </w:tc>
        <w:tc>
          <w:tcPr>
            <w:tcW w:w="1687" w:type="dxa"/>
          </w:tcPr>
          <w:p w14:paraId="13F3AAB2" w14:textId="77777777" w:rsidR="00250AC8" w:rsidRPr="00EC250C" w:rsidRDefault="00250AC8" w:rsidP="00902FC6">
            <w:pPr>
              <w:pStyle w:val="Tabela"/>
              <w:rPr>
                <w:sz w:val="18"/>
                <w:szCs w:val="20"/>
              </w:rPr>
            </w:pPr>
            <w:r w:rsidRPr="00EC250C">
              <w:rPr>
                <w:sz w:val="18"/>
                <w:szCs w:val="20"/>
              </w:rPr>
              <w:t>17.09.2018</w:t>
            </w:r>
            <w:r w:rsidR="00C91F6E" w:rsidRPr="00EC250C">
              <w:rPr>
                <w:sz w:val="18"/>
                <w:szCs w:val="20"/>
              </w:rPr>
              <w:t> r.</w:t>
            </w:r>
          </w:p>
        </w:tc>
      </w:tr>
      <w:tr w:rsidR="00250AC8" w:rsidRPr="00EC250C" w14:paraId="0DE63CE8" w14:textId="77777777" w:rsidTr="00FC47F2">
        <w:trPr>
          <w:tblCellSpacing w:w="20" w:type="dxa"/>
        </w:trPr>
        <w:tc>
          <w:tcPr>
            <w:tcW w:w="658" w:type="dxa"/>
          </w:tcPr>
          <w:p w14:paraId="36F69F4B" w14:textId="77777777" w:rsidR="00250AC8" w:rsidRPr="00EC250C" w:rsidRDefault="00250AC8" w:rsidP="006C70B7">
            <w:pPr>
              <w:pStyle w:val="Tabela"/>
              <w:numPr>
                <w:ilvl w:val="0"/>
                <w:numId w:val="80"/>
              </w:numPr>
              <w:ind w:left="0" w:firstLine="0"/>
              <w:jc w:val="both"/>
            </w:pPr>
          </w:p>
        </w:tc>
        <w:tc>
          <w:tcPr>
            <w:tcW w:w="7331" w:type="dxa"/>
          </w:tcPr>
          <w:p w14:paraId="2E49C66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uroczystości pożegnania kończącego kadencję Rzecznika Praw Dziecka Marka Michalaka. Biuro RPO. Warszawa.</w:t>
            </w:r>
          </w:p>
        </w:tc>
        <w:tc>
          <w:tcPr>
            <w:tcW w:w="1687" w:type="dxa"/>
          </w:tcPr>
          <w:p w14:paraId="5F4C51AD" w14:textId="77777777" w:rsidR="00250AC8" w:rsidRPr="00EC250C" w:rsidRDefault="00250AC8" w:rsidP="00902FC6">
            <w:pPr>
              <w:pStyle w:val="Tabela"/>
              <w:rPr>
                <w:sz w:val="18"/>
                <w:szCs w:val="20"/>
              </w:rPr>
            </w:pPr>
            <w:r w:rsidRPr="00EC250C">
              <w:rPr>
                <w:sz w:val="18"/>
                <w:szCs w:val="20"/>
              </w:rPr>
              <w:t>19.09.2018</w:t>
            </w:r>
            <w:r w:rsidR="00C91F6E" w:rsidRPr="00EC250C">
              <w:rPr>
                <w:sz w:val="18"/>
                <w:szCs w:val="20"/>
              </w:rPr>
              <w:t> r.</w:t>
            </w:r>
          </w:p>
        </w:tc>
      </w:tr>
      <w:tr w:rsidR="00250AC8" w:rsidRPr="00EC250C" w14:paraId="1557CBC6" w14:textId="77777777" w:rsidTr="00FC47F2">
        <w:trPr>
          <w:tblCellSpacing w:w="20" w:type="dxa"/>
        </w:trPr>
        <w:tc>
          <w:tcPr>
            <w:tcW w:w="658" w:type="dxa"/>
          </w:tcPr>
          <w:p w14:paraId="54BB48B4" w14:textId="77777777" w:rsidR="00250AC8" w:rsidRPr="00EC250C" w:rsidRDefault="00250AC8" w:rsidP="006C70B7">
            <w:pPr>
              <w:pStyle w:val="Tabela"/>
              <w:numPr>
                <w:ilvl w:val="0"/>
                <w:numId w:val="80"/>
              </w:numPr>
              <w:ind w:left="0" w:firstLine="0"/>
              <w:jc w:val="both"/>
            </w:pPr>
          </w:p>
        </w:tc>
        <w:tc>
          <w:tcPr>
            <w:tcW w:w="7331" w:type="dxa"/>
          </w:tcPr>
          <w:p w14:paraId="2FE0F29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uroczystości</w:t>
            </w:r>
            <w:r w:rsidR="00992FD0" w:rsidRPr="00EC250C">
              <w:rPr>
                <w:sz w:val="18"/>
                <w:szCs w:val="20"/>
              </w:rPr>
              <w:t xml:space="preserve"> z </w:t>
            </w:r>
            <w:r w:rsidRPr="00EC250C">
              <w:rPr>
                <w:sz w:val="18"/>
                <w:szCs w:val="20"/>
              </w:rPr>
              <w:t>okazji jubileuszu 15-lecia Fundacji Instytut Rozwoju Regionalnego. Warszawa.</w:t>
            </w:r>
          </w:p>
        </w:tc>
        <w:tc>
          <w:tcPr>
            <w:tcW w:w="1687" w:type="dxa"/>
          </w:tcPr>
          <w:p w14:paraId="63C846FA" w14:textId="77777777" w:rsidR="00250AC8" w:rsidRPr="00EC250C" w:rsidRDefault="00250AC8" w:rsidP="00902FC6">
            <w:pPr>
              <w:pStyle w:val="Tabela"/>
              <w:rPr>
                <w:sz w:val="18"/>
                <w:szCs w:val="20"/>
              </w:rPr>
            </w:pPr>
            <w:r w:rsidRPr="00EC250C">
              <w:rPr>
                <w:sz w:val="18"/>
                <w:szCs w:val="20"/>
              </w:rPr>
              <w:t>19.09.2018</w:t>
            </w:r>
            <w:r w:rsidR="00C91F6E" w:rsidRPr="00EC250C">
              <w:rPr>
                <w:sz w:val="18"/>
                <w:szCs w:val="20"/>
              </w:rPr>
              <w:t> r.</w:t>
            </w:r>
          </w:p>
        </w:tc>
      </w:tr>
      <w:tr w:rsidR="00250AC8" w:rsidRPr="00EC250C" w14:paraId="64402F3E" w14:textId="77777777" w:rsidTr="00FC47F2">
        <w:trPr>
          <w:tblCellSpacing w:w="20" w:type="dxa"/>
        </w:trPr>
        <w:tc>
          <w:tcPr>
            <w:tcW w:w="658" w:type="dxa"/>
          </w:tcPr>
          <w:p w14:paraId="6431346F" w14:textId="77777777" w:rsidR="00250AC8" w:rsidRPr="00EC250C" w:rsidRDefault="00250AC8" w:rsidP="006C70B7">
            <w:pPr>
              <w:pStyle w:val="Tabela"/>
              <w:numPr>
                <w:ilvl w:val="0"/>
                <w:numId w:val="80"/>
              </w:numPr>
              <w:ind w:left="0" w:firstLine="0"/>
              <w:jc w:val="both"/>
            </w:pPr>
          </w:p>
        </w:tc>
        <w:tc>
          <w:tcPr>
            <w:tcW w:w="7331" w:type="dxa"/>
          </w:tcPr>
          <w:p w14:paraId="4EB5676E" w14:textId="77777777" w:rsidR="00250AC8" w:rsidRPr="00EC250C" w:rsidRDefault="00250AC8" w:rsidP="00902FC6">
            <w:pPr>
              <w:pStyle w:val="Tabela"/>
              <w:rPr>
                <w:sz w:val="18"/>
                <w:szCs w:val="20"/>
              </w:rPr>
            </w:pPr>
            <w:r w:rsidRPr="00EC250C">
              <w:rPr>
                <w:sz w:val="18"/>
                <w:szCs w:val="20"/>
              </w:rPr>
              <w:t>IV Ogólnopolski Kongres Politologii nt. „ Państwo</w:t>
            </w:r>
            <w:r w:rsidR="00992FD0" w:rsidRPr="00EC250C">
              <w:rPr>
                <w:sz w:val="18"/>
                <w:szCs w:val="20"/>
              </w:rPr>
              <w:t xml:space="preserve"> w </w:t>
            </w:r>
            <w:r w:rsidRPr="00EC250C">
              <w:rPr>
                <w:sz w:val="18"/>
                <w:szCs w:val="20"/>
              </w:rPr>
              <w:t>czasie zmian” zorganizowany przez Wydział Politologii UMCS, przy udziale Polskiego Towarzystwa Nauk Politycznych oraz Komitetu Nauk Politycznych PAN. Lublin.</w:t>
            </w:r>
          </w:p>
        </w:tc>
        <w:tc>
          <w:tcPr>
            <w:tcW w:w="1687" w:type="dxa"/>
          </w:tcPr>
          <w:p w14:paraId="204DD063" w14:textId="77777777" w:rsidR="00250AC8" w:rsidRPr="00EC250C" w:rsidRDefault="00250AC8" w:rsidP="00902FC6">
            <w:pPr>
              <w:pStyle w:val="Tabela"/>
              <w:rPr>
                <w:sz w:val="18"/>
                <w:szCs w:val="20"/>
              </w:rPr>
            </w:pPr>
            <w:r w:rsidRPr="00EC250C">
              <w:rPr>
                <w:sz w:val="18"/>
                <w:szCs w:val="20"/>
              </w:rPr>
              <w:t>19.09.2018</w:t>
            </w:r>
            <w:r w:rsidR="00C91F6E" w:rsidRPr="00EC250C">
              <w:rPr>
                <w:sz w:val="18"/>
                <w:szCs w:val="20"/>
              </w:rPr>
              <w:t> r.</w:t>
            </w:r>
          </w:p>
        </w:tc>
      </w:tr>
      <w:tr w:rsidR="00250AC8" w:rsidRPr="00EC250C" w14:paraId="4A5A5B54" w14:textId="77777777" w:rsidTr="00FC47F2">
        <w:trPr>
          <w:tblCellSpacing w:w="20" w:type="dxa"/>
        </w:trPr>
        <w:tc>
          <w:tcPr>
            <w:tcW w:w="658" w:type="dxa"/>
          </w:tcPr>
          <w:p w14:paraId="0D615018" w14:textId="77777777" w:rsidR="00250AC8" w:rsidRPr="00EC250C" w:rsidRDefault="00250AC8" w:rsidP="006C70B7">
            <w:pPr>
              <w:pStyle w:val="Tabela"/>
              <w:numPr>
                <w:ilvl w:val="0"/>
                <w:numId w:val="80"/>
              </w:numPr>
              <w:ind w:left="0" w:firstLine="0"/>
              <w:jc w:val="both"/>
            </w:pPr>
          </w:p>
        </w:tc>
        <w:tc>
          <w:tcPr>
            <w:tcW w:w="7331" w:type="dxa"/>
          </w:tcPr>
          <w:p w14:paraId="694A51C7"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zjeździe katedr postępowania karnego</w:t>
            </w:r>
            <w:r w:rsidR="00992FD0" w:rsidRPr="00EC250C">
              <w:rPr>
                <w:sz w:val="18"/>
                <w:szCs w:val="20"/>
              </w:rPr>
              <w:t xml:space="preserve"> i </w:t>
            </w:r>
            <w:r w:rsidRPr="00EC250C">
              <w:rPr>
                <w:sz w:val="18"/>
                <w:szCs w:val="20"/>
              </w:rPr>
              <w:t>wykład nt. „Ewolucja polskiego wymiaru sprawiedliwości</w:t>
            </w:r>
            <w:r w:rsidR="00992FD0" w:rsidRPr="00EC250C">
              <w:rPr>
                <w:sz w:val="18"/>
                <w:szCs w:val="20"/>
              </w:rPr>
              <w:t xml:space="preserve"> w </w:t>
            </w:r>
            <w:r w:rsidRPr="00EC250C">
              <w:rPr>
                <w:sz w:val="18"/>
                <w:szCs w:val="20"/>
              </w:rPr>
              <w:t>latach 2013–2018</w:t>
            </w:r>
            <w:r w:rsidR="00992FD0" w:rsidRPr="00EC250C">
              <w:rPr>
                <w:sz w:val="18"/>
                <w:szCs w:val="20"/>
              </w:rPr>
              <w:t xml:space="preserve"> w </w:t>
            </w:r>
            <w:r w:rsidRPr="00EC250C">
              <w:rPr>
                <w:sz w:val="18"/>
                <w:szCs w:val="20"/>
              </w:rPr>
              <w:t>świetle standardów rzetelnego procesu”. Białystok.</w:t>
            </w:r>
          </w:p>
        </w:tc>
        <w:tc>
          <w:tcPr>
            <w:tcW w:w="1687" w:type="dxa"/>
          </w:tcPr>
          <w:p w14:paraId="63302DCF" w14:textId="77777777" w:rsidR="00250AC8" w:rsidRPr="00EC250C" w:rsidRDefault="00250AC8" w:rsidP="00902FC6">
            <w:pPr>
              <w:pStyle w:val="Tabela"/>
              <w:rPr>
                <w:sz w:val="18"/>
                <w:szCs w:val="20"/>
              </w:rPr>
            </w:pPr>
            <w:r w:rsidRPr="00EC250C">
              <w:rPr>
                <w:sz w:val="18"/>
                <w:szCs w:val="20"/>
              </w:rPr>
              <w:t>20.09.2018</w:t>
            </w:r>
            <w:r w:rsidR="00C91F6E" w:rsidRPr="00EC250C">
              <w:rPr>
                <w:sz w:val="18"/>
                <w:szCs w:val="20"/>
              </w:rPr>
              <w:t> r.</w:t>
            </w:r>
          </w:p>
        </w:tc>
      </w:tr>
      <w:tr w:rsidR="00250AC8" w:rsidRPr="00EC250C" w14:paraId="48B453A9" w14:textId="77777777" w:rsidTr="00FC47F2">
        <w:trPr>
          <w:tblCellSpacing w:w="20" w:type="dxa"/>
        </w:trPr>
        <w:tc>
          <w:tcPr>
            <w:tcW w:w="658" w:type="dxa"/>
          </w:tcPr>
          <w:p w14:paraId="076E8C65" w14:textId="77777777" w:rsidR="00250AC8" w:rsidRPr="00EC250C" w:rsidRDefault="00250AC8" w:rsidP="006C70B7">
            <w:pPr>
              <w:pStyle w:val="Tabela"/>
              <w:numPr>
                <w:ilvl w:val="0"/>
                <w:numId w:val="80"/>
              </w:numPr>
              <w:ind w:left="0" w:firstLine="0"/>
              <w:jc w:val="both"/>
            </w:pPr>
          </w:p>
        </w:tc>
        <w:tc>
          <w:tcPr>
            <w:tcW w:w="7331" w:type="dxa"/>
          </w:tcPr>
          <w:p w14:paraId="370CC13B"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konferencji nt. „Kobiece utopie</w:t>
            </w:r>
            <w:r w:rsidR="00992FD0" w:rsidRPr="00EC250C">
              <w:rPr>
                <w:sz w:val="18"/>
                <w:szCs w:val="20"/>
              </w:rPr>
              <w:t xml:space="preserve"> w </w:t>
            </w:r>
            <w:r w:rsidRPr="00EC250C">
              <w:rPr>
                <w:sz w:val="18"/>
                <w:szCs w:val="20"/>
              </w:rPr>
              <w:t>działaniu 100 lat praw wyborczych kobiet” zorganizowanej przez Komitet Socjologii PAN</w:t>
            </w:r>
            <w:r w:rsidR="00992FD0" w:rsidRPr="00EC250C">
              <w:rPr>
                <w:sz w:val="18"/>
                <w:szCs w:val="20"/>
              </w:rPr>
              <w:t xml:space="preserve"> i </w:t>
            </w:r>
            <w:r w:rsidRPr="00EC250C">
              <w:rPr>
                <w:sz w:val="18"/>
                <w:szCs w:val="20"/>
              </w:rPr>
              <w:t>Instytut Socjologii Uniwersytetu Jagiellońskiego. Kraków.</w:t>
            </w:r>
          </w:p>
        </w:tc>
        <w:tc>
          <w:tcPr>
            <w:tcW w:w="1687" w:type="dxa"/>
          </w:tcPr>
          <w:p w14:paraId="7F5DB34B" w14:textId="77777777" w:rsidR="00250AC8" w:rsidRPr="00EC250C" w:rsidRDefault="00250AC8" w:rsidP="00902FC6">
            <w:pPr>
              <w:pStyle w:val="Tabela"/>
              <w:rPr>
                <w:sz w:val="18"/>
                <w:szCs w:val="20"/>
              </w:rPr>
            </w:pPr>
            <w:r w:rsidRPr="00EC250C">
              <w:rPr>
                <w:sz w:val="18"/>
                <w:szCs w:val="20"/>
              </w:rPr>
              <w:t>21.09.2018</w:t>
            </w:r>
            <w:r w:rsidR="00C91F6E" w:rsidRPr="00EC250C">
              <w:rPr>
                <w:sz w:val="18"/>
                <w:szCs w:val="20"/>
              </w:rPr>
              <w:t> r.</w:t>
            </w:r>
          </w:p>
        </w:tc>
      </w:tr>
      <w:tr w:rsidR="00250AC8" w:rsidRPr="00EC250C" w14:paraId="5B0DDDE5" w14:textId="77777777" w:rsidTr="00FC47F2">
        <w:trPr>
          <w:tblCellSpacing w:w="20" w:type="dxa"/>
        </w:trPr>
        <w:tc>
          <w:tcPr>
            <w:tcW w:w="658" w:type="dxa"/>
          </w:tcPr>
          <w:p w14:paraId="48FA4758" w14:textId="77777777" w:rsidR="00250AC8" w:rsidRPr="00EC250C" w:rsidRDefault="00250AC8" w:rsidP="006C70B7">
            <w:pPr>
              <w:pStyle w:val="Tabela"/>
              <w:numPr>
                <w:ilvl w:val="0"/>
                <w:numId w:val="80"/>
              </w:numPr>
              <w:ind w:left="0" w:firstLine="0"/>
              <w:jc w:val="both"/>
            </w:pPr>
          </w:p>
        </w:tc>
        <w:tc>
          <w:tcPr>
            <w:tcW w:w="7331" w:type="dxa"/>
          </w:tcPr>
          <w:p w14:paraId="448FE9B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seminarium nt. „Inwigilacja dwa lata później – spotkanie</w:t>
            </w:r>
            <w:r w:rsidR="00992FD0" w:rsidRPr="00EC250C">
              <w:rPr>
                <w:sz w:val="18"/>
                <w:szCs w:val="20"/>
              </w:rPr>
              <w:t xml:space="preserve"> z </w:t>
            </w:r>
            <w:r w:rsidRPr="00EC250C">
              <w:rPr>
                <w:sz w:val="18"/>
                <w:szCs w:val="20"/>
              </w:rPr>
              <w:t>Romanem Sacharowem”. Biuro RPO. Warszawa.</w:t>
            </w:r>
          </w:p>
        </w:tc>
        <w:tc>
          <w:tcPr>
            <w:tcW w:w="1687" w:type="dxa"/>
          </w:tcPr>
          <w:p w14:paraId="6005D6CA" w14:textId="77777777" w:rsidR="00250AC8" w:rsidRPr="00EC250C" w:rsidRDefault="00250AC8" w:rsidP="00902FC6">
            <w:pPr>
              <w:pStyle w:val="Tabela"/>
              <w:rPr>
                <w:sz w:val="18"/>
                <w:szCs w:val="20"/>
              </w:rPr>
            </w:pPr>
            <w:r w:rsidRPr="00EC250C">
              <w:rPr>
                <w:sz w:val="18"/>
                <w:szCs w:val="20"/>
              </w:rPr>
              <w:t>24.09.2018</w:t>
            </w:r>
            <w:r w:rsidR="00C91F6E" w:rsidRPr="00EC250C">
              <w:rPr>
                <w:sz w:val="18"/>
                <w:szCs w:val="20"/>
              </w:rPr>
              <w:t> r.</w:t>
            </w:r>
          </w:p>
        </w:tc>
      </w:tr>
      <w:tr w:rsidR="00250AC8" w:rsidRPr="00EC250C" w14:paraId="61EF6B8D" w14:textId="77777777" w:rsidTr="00FC47F2">
        <w:trPr>
          <w:tblCellSpacing w:w="20" w:type="dxa"/>
        </w:trPr>
        <w:tc>
          <w:tcPr>
            <w:tcW w:w="658" w:type="dxa"/>
          </w:tcPr>
          <w:p w14:paraId="3E068437" w14:textId="77777777" w:rsidR="00250AC8" w:rsidRPr="00EC250C" w:rsidRDefault="00250AC8" w:rsidP="006C70B7">
            <w:pPr>
              <w:pStyle w:val="Tabela"/>
              <w:numPr>
                <w:ilvl w:val="0"/>
                <w:numId w:val="80"/>
              </w:numPr>
              <w:ind w:left="0" w:firstLine="0"/>
              <w:jc w:val="both"/>
            </w:pPr>
          </w:p>
        </w:tc>
        <w:tc>
          <w:tcPr>
            <w:tcW w:w="7331" w:type="dxa"/>
          </w:tcPr>
          <w:p w14:paraId="1B0B0CA5" w14:textId="77777777" w:rsidR="00250AC8" w:rsidRPr="00EC250C" w:rsidRDefault="00250AC8" w:rsidP="00902FC6">
            <w:pPr>
              <w:pStyle w:val="Tabela"/>
              <w:rPr>
                <w:sz w:val="18"/>
                <w:szCs w:val="20"/>
              </w:rPr>
            </w:pPr>
            <w:r w:rsidRPr="00EC250C">
              <w:rPr>
                <w:sz w:val="18"/>
                <w:szCs w:val="20"/>
              </w:rPr>
              <w:t>Konferencja nt. „Zdrowie zaczyna się</w:t>
            </w:r>
            <w:r w:rsidR="00992FD0" w:rsidRPr="00EC250C">
              <w:rPr>
                <w:sz w:val="18"/>
                <w:szCs w:val="20"/>
              </w:rPr>
              <w:t xml:space="preserve"> w </w:t>
            </w:r>
            <w:r w:rsidRPr="00EC250C">
              <w:rPr>
                <w:sz w:val="18"/>
                <w:szCs w:val="20"/>
              </w:rPr>
              <w:t>głowie” zorganizowana przez Fundację Leonardo. Wieliczka.</w:t>
            </w:r>
          </w:p>
        </w:tc>
        <w:tc>
          <w:tcPr>
            <w:tcW w:w="1687" w:type="dxa"/>
          </w:tcPr>
          <w:p w14:paraId="11F0E78B" w14:textId="77777777" w:rsidR="00250AC8" w:rsidRPr="00EC250C" w:rsidRDefault="00250AC8" w:rsidP="00902FC6">
            <w:pPr>
              <w:pStyle w:val="Tabela"/>
              <w:rPr>
                <w:sz w:val="18"/>
                <w:szCs w:val="20"/>
              </w:rPr>
            </w:pPr>
            <w:r w:rsidRPr="00EC250C">
              <w:rPr>
                <w:sz w:val="18"/>
                <w:szCs w:val="20"/>
              </w:rPr>
              <w:t>24–26.09.2018</w:t>
            </w:r>
            <w:r w:rsidR="00C91F6E" w:rsidRPr="00EC250C">
              <w:rPr>
                <w:sz w:val="18"/>
                <w:szCs w:val="20"/>
              </w:rPr>
              <w:t> r.</w:t>
            </w:r>
          </w:p>
        </w:tc>
      </w:tr>
      <w:tr w:rsidR="00250AC8" w:rsidRPr="00EC250C" w14:paraId="0F801175" w14:textId="77777777" w:rsidTr="00FC47F2">
        <w:trPr>
          <w:tblCellSpacing w:w="20" w:type="dxa"/>
        </w:trPr>
        <w:tc>
          <w:tcPr>
            <w:tcW w:w="658" w:type="dxa"/>
          </w:tcPr>
          <w:p w14:paraId="38FDF8EF" w14:textId="77777777" w:rsidR="00250AC8" w:rsidRPr="00EC250C" w:rsidRDefault="00250AC8" w:rsidP="006C70B7">
            <w:pPr>
              <w:pStyle w:val="Tabela"/>
              <w:numPr>
                <w:ilvl w:val="0"/>
                <w:numId w:val="80"/>
              </w:numPr>
              <w:ind w:left="0" w:firstLine="0"/>
              <w:jc w:val="both"/>
            </w:pPr>
          </w:p>
        </w:tc>
        <w:tc>
          <w:tcPr>
            <w:tcW w:w="7331" w:type="dxa"/>
          </w:tcPr>
          <w:p w14:paraId="0243B435" w14:textId="77777777" w:rsidR="00250AC8" w:rsidRPr="00EC250C" w:rsidRDefault="00250AC8" w:rsidP="00902FC6">
            <w:pPr>
              <w:pStyle w:val="Tabela"/>
              <w:rPr>
                <w:sz w:val="18"/>
                <w:szCs w:val="20"/>
              </w:rPr>
            </w:pPr>
            <w:r w:rsidRPr="00EC250C">
              <w:rPr>
                <w:sz w:val="18"/>
                <w:szCs w:val="20"/>
              </w:rPr>
              <w:t>Konferencja nt. „Na czym polega dyskryminacja ze względu na wiek</w:t>
            </w:r>
            <w:r w:rsidR="00992FD0" w:rsidRPr="00EC250C">
              <w:rPr>
                <w:sz w:val="18"/>
                <w:szCs w:val="20"/>
              </w:rPr>
              <w:t xml:space="preserve"> i </w:t>
            </w:r>
            <w:r w:rsidRPr="00EC250C">
              <w:rPr>
                <w:sz w:val="18"/>
                <w:szCs w:val="20"/>
              </w:rPr>
              <w:t>czy Konwencja</w:t>
            </w:r>
            <w:r w:rsidR="00992FD0" w:rsidRPr="00EC250C">
              <w:rPr>
                <w:sz w:val="18"/>
                <w:szCs w:val="20"/>
              </w:rPr>
              <w:t xml:space="preserve"> o </w:t>
            </w:r>
            <w:r w:rsidRPr="00EC250C">
              <w:rPr>
                <w:sz w:val="18"/>
                <w:szCs w:val="20"/>
              </w:rPr>
              <w:t>prawach osób starszych jest nam potrzebna?”. Biuro RPO. Warszawa.</w:t>
            </w:r>
          </w:p>
        </w:tc>
        <w:tc>
          <w:tcPr>
            <w:tcW w:w="1687" w:type="dxa"/>
          </w:tcPr>
          <w:p w14:paraId="7A64FE63" w14:textId="77777777" w:rsidR="00250AC8" w:rsidRPr="00EC250C" w:rsidRDefault="00250AC8" w:rsidP="00902FC6">
            <w:pPr>
              <w:pStyle w:val="Tabela"/>
              <w:rPr>
                <w:sz w:val="18"/>
                <w:szCs w:val="20"/>
              </w:rPr>
            </w:pPr>
            <w:r w:rsidRPr="00EC250C">
              <w:rPr>
                <w:sz w:val="18"/>
                <w:szCs w:val="20"/>
              </w:rPr>
              <w:t>25.09.2018</w:t>
            </w:r>
            <w:r w:rsidR="00C91F6E" w:rsidRPr="00EC250C">
              <w:rPr>
                <w:sz w:val="18"/>
                <w:szCs w:val="20"/>
              </w:rPr>
              <w:t> r.</w:t>
            </w:r>
          </w:p>
        </w:tc>
      </w:tr>
      <w:tr w:rsidR="00250AC8" w:rsidRPr="00EC250C" w14:paraId="3A18CB7D" w14:textId="77777777" w:rsidTr="00FC47F2">
        <w:trPr>
          <w:tblCellSpacing w:w="20" w:type="dxa"/>
        </w:trPr>
        <w:tc>
          <w:tcPr>
            <w:tcW w:w="658" w:type="dxa"/>
          </w:tcPr>
          <w:p w14:paraId="3F2A78DD" w14:textId="77777777" w:rsidR="00250AC8" w:rsidRPr="00EC250C" w:rsidRDefault="00250AC8" w:rsidP="006C70B7">
            <w:pPr>
              <w:pStyle w:val="Tabela"/>
              <w:numPr>
                <w:ilvl w:val="0"/>
                <w:numId w:val="80"/>
              </w:numPr>
              <w:ind w:left="0" w:firstLine="0"/>
              <w:jc w:val="both"/>
            </w:pPr>
          </w:p>
        </w:tc>
        <w:tc>
          <w:tcPr>
            <w:tcW w:w="7331" w:type="dxa"/>
          </w:tcPr>
          <w:p w14:paraId="5B6B9B70"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otwarciu Centrum Aktywności Obywatelskiej</w:t>
            </w:r>
            <w:r w:rsidR="00992FD0" w:rsidRPr="00EC250C">
              <w:rPr>
                <w:sz w:val="18"/>
                <w:szCs w:val="20"/>
              </w:rPr>
              <w:t xml:space="preserve"> w </w:t>
            </w:r>
            <w:r w:rsidRPr="00EC250C">
              <w:rPr>
                <w:sz w:val="18"/>
                <w:szCs w:val="20"/>
              </w:rPr>
              <w:t>Częstochowie.</w:t>
            </w:r>
          </w:p>
        </w:tc>
        <w:tc>
          <w:tcPr>
            <w:tcW w:w="1687" w:type="dxa"/>
          </w:tcPr>
          <w:p w14:paraId="4A36F9C5" w14:textId="77777777" w:rsidR="00250AC8" w:rsidRPr="00EC250C" w:rsidRDefault="00250AC8" w:rsidP="00902FC6">
            <w:pPr>
              <w:pStyle w:val="Tabela"/>
              <w:rPr>
                <w:sz w:val="18"/>
                <w:szCs w:val="20"/>
              </w:rPr>
            </w:pPr>
            <w:r w:rsidRPr="00EC250C">
              <w:rPr>
                <w:sz w:val="18"/>
                <w:szCs w:val="20"/>
              </w:rPr>
              <w:t>26.09.2018</w:t>
            </w:r>
            <w:r w:rsidR="00C91F6E" w:rsidRPr="00EC250C">
              <w:rPr>
                <w:sz w:val="18"/>
                <w:szCs w:val="20"/>
              </w:rPr>
              <w:t> r.</w:t>
            </w:r>
          </w:p>
        </w:tc>
      </w:tr>
      <w:tr w:rsidR="00250AC8" w:rsidRPr="00EC250C" w14:paraId="784B72B1" w14:textId="77777777" w:rsidTr="00FC47F2">
        <w:trPr>
          <w:tblCellSpacing w:w="20" w:type="dxa"/>
        </w:trPr>
        <w:tc>
          <w:tcPr>
            <w:tcW w:w="658" w:type="dxa"/>
          </w:tcPr>
          <w:p w14:paraId="64435AD7" w14:textId="77777777" w:rsidR="00250AC8" w:rsidRPr="00EC250C" w:rsidRDefault="00250AC8" w:rsidP="006C70B7">
            <w:pPr>
              <w:pStyle w:val="Tabela"/>
              <w:numPr>
                <w:ilvl w:val="0"/>
                <w:numId w:val="80"/>
              </w:numPr>
              <w:ind w:left="0" w:firstLine="0"/>
              <w:jc w:val="both"/>
            </w:pPr>
          </w:p>
        </w:tc>
        <w:tc>
          <w:tcPr>
            <w:tcW w:w="7331" w:type="dxa"/>
          </w:tcPr>
          <w:p w14:paraId="0700E18C" w14:textId="77777777" w:rsidR="00250AC8" w:rsidRPr="00EC250C" w:rsidRDefault="00250AC8" w:rsidP="00902FC6">
            <w:pPr>
              <w:pStyle w:val="Tabela"/>
              <w:rPr>
                <w:sz w:val="18"/>
                <w:szCs w:val="20"/>
              </w:rPr>
            </w:pPr>
            <w:r w:rsidRPr="00EC250C">
              <w:rPr>
                <w:sz w:val="18"/>
                <w:szCs w:val="20"/>
              </w:rPr>
              <w:t>Seminarium nt. „Przyszłość polskiej wsi. Wpływ ferm zwierząt futerkowych na lokalne społeczności” zorganizowane przez Koalicję społeczną „Stop fermom przemysłowym”. Marzenin.</w:t>
            </w:r>
          </w:p>
        </w:tc>
        <w:tc>
          <w:tcPr>
            <w:tcW w:w="1687" w:type="dxa"/>
          </w:tcPr>
          <w:p w14:paraId="47D95981" w14:textId="77777777" w:rsidR="00250AC8" w:rsidRPr="00EC250C" w:rsidRDefault="00250AC8" w:rsidP="00902FC6">
            <w:pPr>
              <w:pStyle w:val="Tabela"/>
              <w:rPr>
                <w:sz w:val="18"/>
                <w:szCs w:val="20"/>
              </w:rPr>
            </w:pPr>
            <w:r w:rsidRPr="00EC250C">
              <w:rPr>
                <w:sz w:val="18"/>
                <w:szCs w:val="20"/>
              </w:rPr>
              <w:t>26.09.2018</w:t>
            </w:r>
            <w:r w:rsidR="00C91F6E" w:rsidRPr="00EC250C">
              <w:rPr>
                <w:sz w:val="18"/>
                <w:szCs w:val="20"/>
              </w:rPr>
              <w:t> r.</w:t>
            </w:r>
          </w:p>
        </w:tc>
      </w:tr>
      <w:tr w:rsidR="00250AC8" w:rsidRPr="00EC250C" w14:paraId="761FBD47" w14:textId="77777777" w:rsidTr="00FC47F2">
        <w:trPr>
          <w:tblCellSpacing w:w="20" w:type="dxa"/>
        </w:trPr>
        <w:tc>
          <w:tcPr>
            <w:tcW w:w="658" w:type="dxa"/>
          </w:tcPr>
          <w:p w14:paraId="017BDF6C" w14:textId="77777777" w:rsidR="00250AC8" w:rsidRPr="00EC250C" w:rsidRDefault="00250AC8" w:rsidP="006C70B7">
            <w:pPr>
              <w:pStyle w:val="Tabela"/>
              <w:numPr>
                <w:ilvl w:val="0"/>
                <w:numId w:val="80"/>
              </w:numPr>
              <w:ind w:left="0" w:firstLine="0"/>
              <w:jc w:val="both"/>
            </w:pPr>
          </w:p>
        </w:tc>
        <w:tc>
          <w:tcPr>
            <w:tcW w:w="7331" w:type="dxa"/>
          </w:tcPr>
          <w:p w14:paraId="0836F41A" w14:textId="77777777" w:rsidR="00250AC8" w:rsidRPr="00EC250C" w:rsidRDefault="00250AC8" w:rsidP="00902FC6">
            <w:pPr>
              <w:pStyle w:val="Tabela"/>
              <w:rPr>
                <w:sz w:val="18"/>
                <w:szCs w:val="20"/>
              </w:rPr>
            </w:pPr>
            <w:r w:rsidRPr="00EC250C">
              <w:rPr>
                <w:sz w:val="18"/>
                <w:szCs w:val="20"/>
              </w:rPr>
              <w:t>Konferencja poświęcona wsparciu osób</w:t>
            </w:r>
            <w:r w:rsidR="00992FD0" w:rsidRPr="00EC250C">
              <w:rPr>
                <w:sz w:val="18"/>
                <w:szCs w:val="20"/>
              </w:rPr>
              <w:t xml:space="preserve"> z </w:t>
            </w:r>
            <w:r w:rsidRPr="00EC250C">
              <w:rPr>
                <w:sz w:val="18"/>
                <w:szCs w:val="20"/>
              </w:rPr>
              <w:t>chorobą Alzheimera</w:t>
            </w:r>
            <w:r w:rsidR="00992FD0" w:rsidRPr="00EC250C">
              <w:rPr>
                <w:sz w:val="18"/>
                <w:szCs w:val="20"/>
              </w:rPr>
              <w:t xml:space="preserve"> i </w:t>
            </w:r>
            <w:r w:rsidRPr="00EC250C">
              <w:rPr>
                <w:sz w:val="18"/>
                <w:szCs w:val="20"/>
              </w:rPr>
              <w:t>ich rodzin zorganizowana przez Rzecznika Praw Obywatelskich</w:t>
            </w:r>
            <w:r w:rsidR="00992FD0" w:rsidRPr="00EC250C">
              <w:rPr>
                <w:sz w:val="18"/>
                <w:szCs w:val="20"/>
              </w:rPr>
              <w:t xml:space="preserve"> i </w:t>
            </w:r>
            <w:r w:rsidRPr="00EC250C">
              <w:rPr>
                <w:sz w:val="18"/>
                <w:szCs w:val="20"/>
              </w:rPr>
              <w:t>Alzheimer Polska przy współpracy Związku Powiatów Polskich. Biuro RPO. Warszawa.</w:t>
            </w:r>
          </w:p>
        </w:tc>
        <w:tc>
          <w:tcPr>
            <w:tcW w:w="1687" w:type="dxa"/>
          </w:tcPr>
          <w:p w14:paraId="3F3F2FF6" w14:textId="77777777" w:rsidR="00250AC8" w:rsidRPr="00EC250C" w:rsidRDefault="00250AC8" w:rsidP="00902FC6">
            <w:pPr>
              <w:pStyle w:val="Tabela"/>
              <w:rPr>
                <w:sz w:val="18"/>
                <w:szCs w:val="20"/>
              </w:rPr>
            </w:pPr>
            <w:r w:rsidRPr="00EC250C">
              <w:rPr>
                <w:sz w:val="18"/>
                <w:szCs w:val="20"/>
              </w:rPr>
              <w:t>27.09.2018</w:t>
            </w:r>
            <w:r w:rsidR="00C91F6E" w:rsidRPr="00EC250C">
              <w:rPr>
                <w:sz w:val="18"/>
                <w:szCs w:val="20"/>
              </w:rPr>
              <w:t> r.</w:t>
            </w:r>
          </w:p>
        </w:tc>
      </w:tr>
      <w:tr w:rsidR="00250AC8" w:rsidRPr="00EC250C" w14:paraId="7E08BFEA" w14:textId="77777777" w:rsidTr="00FC47F2">
        <w:trPr>
          <w:tblCellSpacing w:w="20" w:type="dxa"/>
        </w:trPr>
        <w:tc>
          <w:tcPr>
            <w:tcW w:w="658" w:type="dxa"/>
          </w:tcPr>
          <w:p w14:paraId="3AAD4B46" w14:textId="77777777" w:rsidR="00250AC8" w:rsidRPr="00EC250C" w:rsidRDefault="00250AC8" w:rsidP="006C70B7">
            <w:pPr>
              <w:pStyle w:val="Tabela"/>
              <w:numPr>
                <w:ilvl w:val="0"/>
                <w:numId w:val="80"/>
              </w:numPr>
              <w:ind w:left="0" w:firstLine="0"/>
              <w:jc w:val="both"/>
            </w:pPr>
          </w:p>
        </w:tc>
        <w:tc>
          <w:tcPr>
            <w:tcW w:w="7331" w:type="dxa"/>
          </w:tcPr>
          <w:p w14:paraId="252D8749" w14:textId="77777777" w:rsidR="00250AC8" w:rsidRPr="00EC250C" w:rsidRDefault="00250AC8" w:rsidP="00902FC6">
            <w:pPr>
              <w:pStyle w:val="Tabela"/>
              <w:rPr>
                <w:sz w:val="18"/>
                <w:szCs w:val="20"/>
              </w:rPr>
            </w:pPr>
            <w:r w:rsidRPr="00EC250C">
              <w:rPr>
                <w:sz w:val="18"/>
                <w:szCs w:val="20"/>
              </w:rPr>
              <w:t>I Mazowieckie Forum Samopomocy Osób</w:t>
            </w:r>
            <w:r w:rsidR="00992FD0" w:rsidRPr="00EC250C">
              <w:rPr>
                <w:sz w:val="18"/>
                <w:szCs w:val="20"/>
              </w:rPr>
              <w:t xml:space="preserve"> z </w:t>
            </w:r>
            <w:r w:rsidRPr="00EC250C">
              <w:rPr>
                <w:sz w:val="18"/>
                <w:szCs w:val="20"/>
              </w:rPr>
              <w:t>Doświadczeniem Kryzysu Psychicznego zorganizowane przez Mazowieckie Centrum Polityki Społecznej. Pułtusk.</w:t>
            </w:r>
          </w:p>
        </w:tc>
        <w:tc>
          <w:tcPr>
            <w:tcW w:w="1687" w:type="dxa"/>
          </w:tcPr>
          <w:p w14:paraId="5EABC09A" w14:textId="77777777" w:rsidR="00250AC8" w:rsidRPr="00EC250C" w:rsidRDefault="00250AC8" w:rsidP="00902FC6">
            <w:pPr>
              <w:pStyle w:val="Tabela"/>
              <w:rPr>
                <w:sz w:val="18"/>
                <w:szCs w:val="20"/>
              </w:rPr>
            </w:pPr>
            <w:r w:rsidRPr="00EC250C">
              <w:rPr>
                <w:sz w:val="18"/>
                <w:szCs w:val="20"/>
              </w:rPr>
              <w:t>27–28.09.2018</w:t>
            </w:r>
            <w:r w:rsidR="00C91F6E" w:rsidRPr="00EC250C">
              <w:rPr>
                <w:sz w:val="18"/>
                <w:szCs w:val="20"/>
              </w:rPr>
              <w:t> r.</w:t>
            </w:r>
          </w:p>
        </w:tc>
      </w:tr>
      <w:tr w:rsidR="00250AC8" w:rsidRPr="00EC250C" w14:paraId="3D01A618" w14:textId="77777777" w:rsidTr="00FC47F2">
        <w:trPr>
          <w:tblCellSpacing w:w="20" w:type="dxa"/>
        </w:trPr>
        <w:tc>
          <w:tcPr>
            <w:tcW w:w="658" w:type="dxa"/>
          </w:tcPr>
          <w:p w14:paraId="30B76A65" w14:textId="77777777" w:rsidR="00250AC8" w:rsidRPr="00EC250C" w:rsidRDefault="00250AC8" w:rsidP="006C70B7">
            <w:pPr>
              <w:pStyle w:val="Tabela"/>
              <w:numPr>
                <w:ilvl w:val="0"/>
                <w:numId w:val="80"/>
              </w:numPr>
              <w:ind w:left="0" w:firstLine="0"/>
              <w:jc w:val="both"/>
            </w:pPr>
          </w:p>
        </w:tc>
        <w:tc>
          <w:tcPr>
            <w:tcW w:w="7331" w:type="dxa"/>
          </w:tcPr>
          <w:p w14:paraId="07797E3C"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Europejskim Forum Nowych Idei nt. „Wpływ nowych technologii na zagadnienie równości społecznej” zorganizowanym przez Konfederację Lewiatan. Sopot.</w:t>
            </w:r>
          </w:p>
        </w:tc>
        <w:tc>
          <w:tcPr>
            <w:tcW w:w="1687" w:type="dxa"/>
          </w:tcPr>
          <w:p w14:paraId="5AEC7998" w14:textId="77777777" w:rsidR="00250AC8" w:rsidRPr="00EC250C" w:rsidRDefault="00250AC8" w:rsidP="00902FC6">
            <w:pPr>
              <w:pStyle w:val="Tabela"/>
              <w:rPr>
                <w:sz w:val="18"/>
                <w:szCs w:val="20"/>
              </w:rPr>
            </w:pPr>
            <w:r w:rsidRPr="00EC250C">
              <w:rPr>
                <w:sz w:val="18"/>
                <w:szCs w:val="20"/>
              </w:rPr>
              <w:t>28.09.2018</w:t>
            </w:r>
            <w:r w:rsidR="00C91F6E" w:rsidRPr="00EC250C">
              <w:rPr>
                <w:sz w:val="18"/>
                <w:szCs w:val="20"/>
              </w:rPr>
              <w:t> r.</w:t>
            </w:r>
          </w:p>
        </w:tc>
      </w:tr>
      <w:tr w:rsidR="00250AC8" w:rsidRPr="00EC250C" w14:paraId="4DD3F9E9" w14:textId="77777777" w:rsidTr="00FC47F2">
        <w:trPr>
          <w:tblCellSpacing w:w="20" w:type="dxa"/>
        </w:trPr>
        <w:tc>
          <w:tcPr>
            <w:tcW w:w="658" w:type="dxa"/>
          </w:tcPr>
          <w:p w14:paraId="034DB373" w14:textId="77777777" w:rsidR="00250AC8" w:rsidRPr="00EC250C" w:rsidRDefault="00250AC8" w:rsidP="006C70B7">
            <w:pPr>
              <w:pStyle w:val="Tabela"/>
              <w:numPr>
                <w:ilvl w:val="0"/>
                <w:numId w:val="80"/>
              </w:numPr>
              <w:ind w:left="0" w:firstLine="0"/>
              <w:jc w:val="both"/>
            </w:pPr>
          </w:p>
        </w:tc>
        <w:tc>
          <w:tcPr>
            <w:tcW w:w="7331" w:type="dxa"/>
          </w:tcPr>
          <w:p w14:paraId="56E9F641" w14:textId="77777777" w:rsidR="00250AC8" w:rsidRPr="00EC250C" w:rsidRDefault="00250AC8" w:rsidP="00902FC6">
            <w:pPr>
              <w:pStyle w:val="Tabela"/>
              <w:rPr>
                <w:sz w:val="18"/>
                <w:szCs w:val="20"/>
              </w:rPr>
            </w:pPr>
            <w:r w:rsidRPr="00EC250C">
              <w:rPr>
                <w:sz w:val="18"/>
                <w:szCs w:val="20"/>
              </w:rPr>
              <w:t>Ogólnopolska Konferencja naukowa nt. „Pozycja prawna Inspektora Danych Osobowych” zorganizowana przez Centrum Ochrony Danych Osobowych</w:t>
            </w:r>
            <w:r w:rsidR="00992FD0" w:rsidRPr="00EC250C">
              <w:rPr>
                <w:sz w:val="18"/>
                <w:szCs w:val="20"/>
              </w:rPr>
              <w:t xml:space="preserve"> i </w:t>
            </w:r>
            <w:r w:rsidRPr="00EC250C">
              <w:rPr>
                <w:sz w:val="18"/>
                <w:szCs w:val="20"/>
              </w:rPr>
              <w:t>Zarządzania Informacją WPiA Uniwersytetu Łódzkiego. Łódź.</w:t>
            </w:r>
          </w:p>
        </w:tc>
        <w:tc>
          <w:tcPr>
            <w:tcW w:w="1687" w:type="dxa"/>
          </w:tcPr>
          <w:p w14:paraId="6898ED49" w14:textId="77777777" w:rsidR="00250AC8" w:rsidRPr="00EC250C" w:rsidRDefault="00250AC8" w:rsidP="00902FC6">
            <w:pPr>
              <w:pStyle w:val="Tabela"/>
              <w:rPr>
                <w:sz w:val="18"/>
                <w:szCs w:val="20"/>
              </w:rPr>
            </w:pPr>
            <w:r w:rsidRPr="00EC250C">
              <w:rPr>
                <w:sz w:val="18"/>
                <w:szCs w:val="20"/>
              </w:rPr>
              <w:t>28.09.2018</w:t>
            </w:r>
            <w:r w:rsidR="00C91F6E" w:rsidRPr="00EC250C">
              <w:rPr>
                <w:sz w:val="18"/>
                <w:szCs w:val="20"/>
              </w:rPr>
              <w:t> r.</w:t>
            </w:r>
          </w:p>
        </w:tc>
      </w:tr>
      <w:tr w:rsidR="00250AC8" w:rsidRPr="00EC250C" w14:paraId="6F682AF2" w14:textId="77777777" w:rsidTr="00FC47F2">
        <w:trPr>
          <w:tblCellSpacing w:w="20" w:type="dxa"/>
        </w:trPr>
        <w:tc>
          <w:tcPr>
            <w:tcW w:w="658" w:type="dxa"/>
          </w:tcPr>
          <w:p w14:paraId="58274B2A" w14:textId="77777777" w:rsidR="00250AC8" w:rsidRPr="00EC250C" w:rsidRDefault="00250AC8" w:rsidP="006C70B7">
            <w:pPr>
              <w:pStyle w:val="Tabela"/>
              <w:numPr>
                <w:ilvl w:val="0"/>
                <w:numId w:val="80"/>
              </w:numPr>
              <w:ind w:left="0" w:firstLine="0"/>
              <w:jc w:val="both"/>
            </w:pPr>
          </w:p>
        </w:tc>
        <w:tc>
          <w:tcPr>
            <w:tcW w:w="7331" w:type="dxa"/>
          </w:tcPr>
          <w:p w14:paraId="767B7D32"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nt. „Wyzwania dla demokracji 100 lat po uzyskaniu przez Polki praw wyborczych”</w:t>
            </w:r>
            <w:r w:rsidR="00992FD0" w:rsidRPr="00EC250C">
              <w:rPr>
                <w:sz w:val="18"/>
                <w:szCs w:val="20"/>
              </w:rPr>
              <w:t xml:space="preserve"> i </w:t>
            </w:r>
            <w:r w:rsidRPr="00EC250C">
              <w:rPr>
                <w:sz w:val="18"/>
                <w:szCs w:val="20"/>
              </w:rPr>
              <w:t>panelu nt. „Praworządność</w:t>
            </w:r>
            <w:r w:rsidR="00992FD0" w:rsidRPr="00EC250C">
              <w:rPr>
                <w:sz w:val="18"/>
                <w:szCs w:val="20"/>
              </w:rPr>
              <w:t xml:space="preserve"> i </w:t>
            </w:r>
            <w:r w:rsidRPr="00EC250C">
              <w:rPr>
                <w:sz w:val="18"/>
                <w:szCs w:val="20"/>
              </w:rPr>
              <w:t>ochrona praw kobiet</w:t>
            </w:r>
            <w:r w:rsidR="00992FD0" w:rsidRPr="00EC250C">
              <w:rPr>
                <w:sz w:val="18"/>
                <w:szCs w:val="20"/>
              </w:rPr>
              <w:t xml:space="preserve"> w </w:t>
            </w:r>
            <w:r w:rsidRPr="00EC250C">
              <w:rPr>
                <w:sz w:val="18"/>
                <w:szCs w:val="20"/>
              </w:rPr>
              <w:t>UE</w:t>
            </w:r>
            <w:r w:rsidR="00992FD0" w:rsidRPr="00EC250C">
              <w:rPr>
                <w:sz w:val="18"/>
                <w:szCs w:val="20"/>
              </w:rPr>
              <w:t xml:space="preserve"> i </w:t>
            </w:r>
            <w:r w:rsidRPr="00EC250C">
              <w:rPr>
                <w:sz w:val="18"/>
                <w:szCs w:val="20"/>
              </w:rPr>
              <w:t>systemie Rady Europy” zorganizowanym przez Fundację im. Izabeli Jarugi-Nowackiej. Warszawa.</w:t>
            </w:r>
          </w:p>
        </w:tc>
        <w:tc>
          <w:tcPr>
            <w:tcW w:w="1687" w:type="dxa"/>
          </w:tcPr>
          <w:p w14:paraId="7A7ED96D" w14:textId="77777777" w:rsidR="00250AC8" w:rsidRPr="00EC250C" w:rsidRDefault="00250AC8" w:rsidP="00902FC6">
            <w:pPr>
              <w:pStyle w:val="Tabela"/>
              <w:rPr>
                <w:sz w:val="18"/>
                <w:szCs w:val="20"/>
              </w:rPr>
            </w:pPr>
            <w:r w:rsidRPr="00EC250C">
              <w:rPr>
                <w:sz w:val="18"/>
                <w:szCs w:val="20"/>
              </w:rPr>
              <w:t>29.09.2018</w:t>
            </w:r>
            <w:r w:rsidR="00C91F6E" w:rsidRPr="00EC250C">
              <w:rPr>
                <w:sz w:val="18"/>
                <w:szCs w:val="20"/>
              </w:rPr>
              <w:t> r.</w:t>
            </w:r>
          </w:p>
        </w:tc>
      </w:tr>
      <w:tr w:rsidR="00250AC8" w:rsidRPr="00EC250C" w14:paraId="748C23E4" w14:textId="77777777" w:rsidTr="00FC47F2">
        <w:trPr>
          <w:tblCellSpacing w:w="20" w:type="dxa"/>
        </w:trPr>
        <w:tc>
          <w:tcPr>
            <w:tcW w:w="658" w:type="dxa"/>
          </w:tcPr>
          <w:p w14:paraId="0A448BF7" w14:textId="77777777" w:rsidR="00250AC8" w:rsidRPr="00EC250C" w:rsidRDefault="00250AC8" w:rsidP="006C70B7">
            <w:pPr>
              <w:pStyle w:val="Tabela"/>
              <w:numPr>
                <w:ilvl w:val="0"/>
                <w:numId w:val="80"/>
              </w:numPr>
              <w:ind w:left="0" w:firstLine="0"/>
              <w:jc w:val="both"/>
            </w:pPr>
          </w:p>
        </w:tc>
        <w:tc>
          <w:tcPr>
            <w:tcW w:w="7331" w:type="dxa"/>
          </w:tcPr>
          <w:p w14:paraId="02BA3490"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I Regionalnym Kongresie Kobiet. Bydgoszcz.</w:t>
            </w:r>
          </w:p>
        </w:tc>
        <w:tc>
          <w:tcPr>
            <w:tcW w:w="1687" w:type="dxa"/>
          </w:tcPr>
          <w:p w14:paraId="3C7F23C5" w14:textId="77777777" w:rsidR="00250AC8" w:rsidRPr="00EC250C" w:rsidRDefault="00250AC8" w:rsidP="00902FC6">
            <w:pPr>
              <w:pStyle w:val="Tabela"/>
              <w:rPr>
                <w:sz w:val="18"/>
                <w:szCs w:val="20"/>
              </w:rPr>
            </w:pPr>
            <w:r w:rsidRPr="00EC250C">
              <w:rPr>
                <w:sz w:val="18"/>
                <w:szCs w:val="20"/>
              </w:rPr>
              <w:t>29.09.2018</w:t>
            </w:r>
            <w:r w:rsidR="00C91F6E" w:rsidRPr="00EC250C">
              <w:rPr>
                <w:sz w:val="18"/>
                <w:szCs w:val="20"/>
              </w:rPr>
              <w:t> r.</w:t>
            </w:r>
          </w:p>
        </w:tc>
      </w:tr>
      <w:tr w:rsidR="00250AC8" w:rsidRPr="00EC250C" w14:paraId="70987829" w14:textId="77777777" w:rsidTr="00FC47F2">
        <w:trPr>
          <w:tblCellSpacing w:w="20" w:type="dxa"/>
        </w:trPr>
        <w:tc>
          <w:tcPr>
            <w:tcW w:w="658" w:type="dxa"/>
          </w:tcPr>
          <w:p w14:paraId="3F49E52E" w14:textId="77777777" w:rsidR="00250AC8" w:rsidRPr="00EC250C" w:rsidRDefault="00250AC8" w:rsidP="006C70B7">
            <w:pPr>
              <w:pStyle w:val="Tabela"/>
              <w:numPr>
                <w:ilvl w:val="0"/>
                <w:numId w:val="80"/>
              </w:numPr>
              <w:ind w:left="0" w:firstLine="0"/>
              <w:jc w:val="both"/>
            </w:pPr>
          </w:p>
        </w:tc>
        <w:tc>
          <w:tcPr>
            <w:tcW w:w="7331" w:type="dxa"/>
          </w:tcPr>
          <w:p w14:paraId="10E9D939"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posiedzeniu Obywatelskiego Parlamentu Seniorów. Warszawa.</w:t>
            </w:r>
          </w:p>
        </w:tc>
        <w:tc>
          <w:tcPr>
            <w:tcW w:w="1687" w:type="dxa"/>
          </w:tcPr>
          <w:p w14:paraId="763F2C6E" w14:textId="77777777" w:rsidR="00250AC8" w:rsidRPr="00EC250C" w:rsidRDefault="00250AC8" w:rsidP="00902FC6">
            <w:pPr>
              <w:pStyle w:val="Tabela"/>
              <w:rPr>
                <w:sz w:val="18"/>
                <w:szCs w:val="20"/>
              </w:rPr>
            </w:pPr>
            <w:r w:rsidRPr="00EC250C">
              <w:rPr>
                <w:sz w:val="18"/>
                <w:szCs w:val="20"/>
              </w:rPr>
              <w:t>01.10.2018</w:t>
            </w:r>
            <w:r w:rsidR="00C91F6E" w:rsidRPr="00EC250C">
              <w:rPr>
                <w:sz w:val="18"/>
                <w:szCs w:val="20"/>
              </w:rPr>
              <w:t> r.</w:t>
            </w:r>
          </w:p>
        </w:tc>
      </w:tr>
      <w:tr w:rsidR="00250AC8" w:rsidRPr="00EC250C" w14:paraId="60FA0914" w14:textId="77777777" w:rsidTr="00FC47F2">
        <w:trPr>
          <w:tblCellSpacing w:w="20" w:type="dxa"/>
        </w:trPr>
        <w:tc>
          <w:tcPr>
            <w:tcW w:w="658" w:type="dxa"/>
          </w:tcPr>
          <w:p w14:paraId="2446B502" w14:textId="77777777" w:rsidR="00250AC8" w:rsidRPr="00EC250C" w:rsidRDefault="00250AC8" w:rsidP="006C70B7">
            <w:pPr>
              <w:pStyle w:val="Tabela"/>
              <w:numPr>
                <w:ilvl w:val="0"/>
                <w:numId w:val="80"/>
              </w:numPr>
              <w:ind w:left="0" w:firstLine="0"/>
              <w:jc w:val="both"/>
            </w:pPr>
          </w:p>
        </w:tc>
        <w:tc>
          <w:tcPr>
            <w:tcW w:w="7331" w:type="dxa"/>
          </w:tcPr>
          <w:p w14:paraId="479AC7CC"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inauguracji roku akademickiego 2018/2019 na Politechnice Warszawskiej. Warszawa.</w:t>
            </w:r>
          </w:p>
        </w:tc>
        <w:tc>
          <w:tcPr>
            <w:tcW w:w="1687" w:type="dxa"/>
          </w:tcPr>
          <w:p w14:paraId="17EFAE2F" w14:textId="77777777" w:rsidR="00250AC8" w:rsidRPr="00EC250C" w:rsidRDefault="00250AC8" w:rsidP="00902FC6">
            <w:pPr>
              <w:pStyle w:val="Tabela"/>
              <w:rPr>
                <w:sz w:val="18"/>
                <w:szCs w:val="20"/>
              </w:rPr>
            </w:pPr>
            <w:r w:rsidRPr="00EC250C">
              <w:rPr>
                <w:sz w:val="18"/>
                <w:szCs w:val="20"/>
              </w:rPr>
              <w:t>01.10.2018</w:t>
            </w:r>
            <w:r w:rsidR="00C91F6E" w:rsidRPr="00EC250C">
              <w:rPr>
                <w:sz w:val="18"/>
                <w:szCs w:val="20"/>
              </w:rPr>
              <w:t> r.</w:t>
            </w:r>
          </w:p>
        </w:tc>
      </w:tr>
      <w:tr w:rsidR="00250AC8" w:rsidRPr="00EC250C" w14:paraId="061313CA" w14:textId="77777777" w:rsidTr="00FC47F2">
        <w:trPr>
          <w:tblCellSpacing w:w="20" w:type="dxa"/>
        </w:trPr>
        <w:tc>
          <w:tcPr>
            <w:tcW w:w="658" w:type="dxa"/>
          </w:tcPr>
          <w:p w14:paraId="733B3375" w14:textId="77777777" w:rsidR="00250AC8" w:rsidRPr="00EC250C" w:rsidRDefault="00250AC8" w:rsidP="006C70B7">
            <w:pPr>
              <w:pStyle w:val="Tabela"/>
              <w:numPr>
                <w:ilvl w:val="0"/>
                <w:numId w:val="80"/>
              </w:numPr>
              <w:ind w:left="0" w:firstLine="0"/>
              <w:jc w:val="both"/>
            </w:pPr>
          </w:p>
        </w:tc>
        <w:tc>
          <w:tcPr>
            <w:tcW w:w="7331" w:type="dxa"/>
          </w:tcPr>
          <w:p w14:paraId="4131FE9F" w14:textId="77777777" w:rsidR="00250AC8" w:rsidRPr="00EC250C" w:rsidRDefault="00250AC8" w:rsidP="00902FC6">
            <w:pPr>
              <w:pStyle w:val="Tabela"/>
              <w:rPr>
                <w:sz w:val="18"/>
                <w:szCs w:val="20"/>
              </w:rPr>
            </w:pPr>
            <w:r w:rsidRPr="00EC250C">
              <w:rPr>
                <w:sz w:val="18"/>
                <w:szCs w:val="20"/>
              </w:rPr>
              <w:t xml:space="preserve">Konferencja inaugurująca 7. edycję ogólnopolskiej kampanii społecznej „Twarze Depresji. Nie oceniam. Akceptuję” zorganizowana przez Fundację „Twarze depresji”. Warszawa. </w:t>
            </w:r>
          </w:p>
        </w:tc>
        <w:tc>
          <w:tcPr>
            <w:tcW w:w="1687" w:type="dxa"/>
          </w:tcPr>
          <w:p w14:paraId="360201FD" w14:textId="77777777" w:rsidR="00250AC8" w:rsidRPr="00EC250C" w:rsidRDefault="00250AC8" w:rsidP="00902FC6">
            <w:pPr>
              <w:pStyle w:val="Tabela"/>
              <w:rPr>
                <w:sz w:val="18"/>
                <w:szCs w:val="20"/>
              </w:rPr>
            </w:pPr>
            <w:r w:rsidRPr="00EC250C">
              <w:rPr>
                <w:sz w:val="18"/>
                <w:szCs w:val="20"/>
              </w:rPr>
              <w:t>01.10.2018</w:t>
            </w:r>
            <w:r w:rsidR="00C91F6E" w:rsidRPr="00EC250C">
              <w:rPr>
                <w:sz w:val="18"/>
                <w:szCs w:val="20"/>
              </w:rPr>
              <w:t> r.</w:t>
            </w:r>
          </w:p>
        </w:tc>
      </w:tr>
      <w:tr w:rsidR="00250AC8" w:rsidRPr="00EC250C" w14:paraId="456DC09D" w14:textId="77777777" w:rsidTr="00FC47F2">
        <w:trPr>
          <w:tblCellSpacing w:w="20" w:type="dxa"/>
        </w:trPr>
        <w:tc>
          <w:tcPr>
            <w:tcW w:w="658" w:type="dxa"/>
          </w:tcPr>
          <w:p w14:paraId="24EAEDCC" w14:textId="77777777" w:rsidR="00250AC8" w:rsidRPr="00EC250C" w:rsidRDefault="00250AC8" w:rsidP="006C70B7">
            <w:pPr>
              <w:pStyle w:val="Tabela"/>
              <w:numPr>
                <w:ilvl w:val="0"/>
                <w:numId w:val="80"/>
              </w:numPr>
              <w:ind w:left="0" w:firstLine="0"/>
              <w:jc w:val="both"/>
            </w:pPr>
          </w:p>
        </w:tc>
        <w:tc>
          <w:tcPr>
            <w:tcW w:w="7331" w:type="dxa"/>
          </w:tcPr>
          <w:p w14:paraId="63B1748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inauguracji roku akademickiego na Warszawskim Uniwersytecie Medycznym. Warszawa.</w:t>
            </w:r>
          </w:p>
        </w:tc>
        <w:tc>
          <w:tcPr>
            <w:tcW w:w="1687" w:type="dxa"/>
          </w:tcPr>
          <w:p w14:paraId="29D0AC46" w14:textId="77777777" w:rsidR="00250AC8" w:rsidRPr="00EC250C" w:rsidRDefault="00250AC8" w:rsidP="00902FC6">
            <w:pPr>
              <w:pStyle w:val="Tabela"/>
              <w:rPr>
                <w:sz w:val="18"/>
                <w:szCs w:val="20"/>
              </w:rPr>
            </w:pPr>
            <w:r w:rsidRPr="00EC250C">
              <w:rPr>
                <w:sz w:val="18"/>
                <w:szCs w:val="20"/>
              </w:rPr>
              <w:t>02.10.2018</w:t>
            </w:r>
            <w:r w:rsidR="00C91F6E" w:rsidRPr="00EC250C">
              <w:rPr>
                <w:sz w:val="18"/>
                <w:szCs w:val="20"/>
              </w:rPr>
              <w:t> r.</w:t>
            </w:r>
          </w:p>
        </w:tc>
      </w:tr>
      <w:tr w:rsidR="00250AC8" w:rsidRPr="00EC250C" w14:paraId="0FAD1227" w14:textId="77777777" w:rsidTr="00FC47F2">
        <w:trPr>
          <w:tblCellSpacing w:w="20" w:type="dxa"/>
        </w:trPr>
        <w:tc>
          <w:tcPr>
            <w:tcW w:w="658" w:type="dxa"/>
          </w:tcPr>
          <w:p w14:paraId="1E830FF1" w14:textId="77777777" w:rsidR="00250AC8" w:rsidRPr="00EC250C" w:rsidRDefault="00250AC8" w:rsidP="006C70B7">
            <w:pPr>
              <w:pStyle w:val="Tabela"/>
              <w:numPr>
                <w:ilvl w:val="0"/>
                <w:numId w:val="80"/>
              </w:numPr>
              <w:ind w:left="0" w:firstLine="0"/>
              <w:jc w:val="both"/>
            </w:pPr>
          </w:p>
        </w:tc>
        <w:tc>
          <w:tcPr>
            <w:tcW w:w="7331" w:type="dxa"/>
          </w:tcPr>
          <w:p w14:paraId="25076047"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Gali 15-lecia powstania Urzędu Transportu Kolejowego, Politechnika Warszawska. Warszawa.</w:t>
            </w:r>
          </w:p>
        </w:tc>
        <w:tc>
          <w:tcPr>
            <w:tcW w:w="1687" w:type="dxa"/>
          </w:tcPr>
          <w:p w14:paraId="27054176" w14:textId="77777777" w:rsidR="00250AC8" w:rsidRPr="00EC250C" w:rsidRDefault="00250AC8" w:rsidP="00902FC6">
            <w:pPr>
              <w:pStyle w:val="Tabela"/>
              <w:rPr>
                <w:sz w:val="18"/>
                <w:szCs w:val="20"/>
              </w:rPr>
            </w:pPr>
            <w:r w:rsidRPr="00EC250C">
              <w:rPr>
                <w:sz w:val="18"/>
                <w:szCs w:val="20"/>
              </w:rPr>
              <w:t>03.10.2018</w:t>
            </w:r>
            <w:r w:rsidR="00C91F6E" w:rsidRPr="00EC250C">
              <w:rPr>
                <w:sz w:val="18"/>
                <w:szCs w:val="20"/>
              </w:rPr>
              <w:t> r.</w:t>
            </w:r>
          </w:p>
        </w:tc>
      </w:tr>
      <w:tr w:rsidR="00250AC8" w:rsidRPr="00EC250C" w14:paraId="5E005728" w14:textId="77777777" w:rsidTr="00FC47F2">
        <w:trPr>
          <w:tblCellSpacing w:w="20" w:type="dxa"/>
        </w:trPr>
        <w:tc>
          <w:tcPr>
            <w:tcW w:w="658" w:type="dxa"/>
          </w:tcPr>
          <w:p w14:paraId="7D9E242D" w14:textId="77777777" w:rsidR="00250AC8" w:rsidRPr="00EC250C" w:rsidRDefault="00250AC8" w:rsidP="006C70B7">
            <w:pPr>
              <w:pStyle w:val="Tabela"/>
              <w:numPr>
                <w:ilvl w:val="0"/>
                <w:numId w:val="80"/>
              </w:numPr>
              <w:ind w:left="0" w:firstLine="0"/>
              <w:jc w:val="both"/>
            </w:pPr>
          </w:p>
        </w:tc>
        <w:tc>
          <w:tcPr>
            <w:tcW w:w="7331" w:type="dxa"/>
          </w:tcPr>
          <w:p w14:paraId="36DED38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konferencji nt. „Upowszechnianie standardów dostępności oraz aktywizowanie osób</w:t>
            </w:r>
            <w:r w:rsidR="00992FD0" w:rsidRPr="00EC250C">
              <w:rPr>
                <w:sz w:val="18"/>
                <w:szCs w:val="20"/>
              </w:rPr>
              <w:t xml:space="preserve"> z </w:t>
            </w:r>
            <w:r w:rsidRPr="00EC250C">
              <w:rPr>
                <w:sz w:val="18"/>
                <w:szCs w:val="20"/>
              </w:rPr>
              <w:t>niepełnosprawnościami</w:t>
            </w:r>
            <w:r w:rsidR="00992FD0" w:rsidRPr="00EC250C">
              <w:rPr>
                <w:sz w:val="18"/>
                <w:szCs w:val="20"/>
              </w:rPr>
              <w:t xml:space="preserve"> i </w:t>
            </w:r>
            <w:r w:rsidRPr="00EC250C">
              <w:rPr>
                <w:sz w:val="18"/>
                <w:szCs w:val="20"/>
              </w:rPr>
              <w:t xml:space="preserve">seniorów”, mające na celu </w:t>
            </w:r>
            <w:r w:rsidRPr="00EC250C">
              <w:rPr>
                <w:sz w:val="18"/>
                <w:szCs w:val="20"/>
              </w:rPr>
              <w:lastRenderedPageBreak/>
              <w:t>realną możliwość korzystania ze wszystkich Praw Człowieka</w:t>
            </w:r>
            <w:r w:rsidR="00992FD0" w:rsidRPr="00EC250C">
              <w:rPr>
                <w:sz w:val="18"/>
                <w:szCs w:val="20"/>
              </w:rPr>
              <w:t xml:space="preserve"> w </w:t>
            </w:r>
            <w:r w:rsidRPr="00EC250C">
              <w:rPr>
                <w:sz w:val="18"/>
                <w:szCs w:val="20"/>
              </w:rPr>
              <w:t>kontekście realizacji postanowień Konwencji ONZ</w:t>
            </w:r>
            <w:r w:rsidR="00992FD0" w:rsidRPr="00EC250C">
              <w:rPr>
                <w:sz w:val="18"/>
                <w:szCs w:val="20"/>
              </w:rPr>
              <w:t xml:space="preserve"> o </w:t>
            </w:r>
            <w:r w:rsidRPr="00EC250C">
              <w:rPr>
                <w:sz w:val="18"/>
                <w:szCs w:val="20"/>
              </w:rPr>
              <w:t>Prawach Osób Niepełnosprawnych, zorganizowanej przez Urząd Marszałkowski Województwa Pomorskiego. Gdańsk.</w:t>
            </w:r>
          </w:p>
        </w:tc>
        <w:tc>
          <w:tcPr>
            <w:tcW w:w="1687" w:type="dxa"/>
          </w:tcPr>
          <w:p w14:paraId="1D659B37" w14:textId="77777777" w:rsidR="00250AC8" w:rsidRPr="00EC250C" w:rsidRDefault="00250AC8" w:rsidP="00902FC6">
            <w:pPr>
              <w:pStyle w:val="Tabela"/>
              <w:rPr>
                <w:sz w:val="18"/>
                <w:szCs w:val="20"/>
              </w:rPr>
            </w:pPr>
            <w:r w:rsidRPr="00EC250C">
              <w:rPr>
                <w:sz w:val="18"/>
                <w:szCs w:val="20"/>
              </w:rPr>
              <w:lastRenderedPageBreak/>
              <w:t>04.10.2018</w:t>
            </w:r>
            <w:r w:rsidR="00C91F6E" w:rsidRPr="00EC250C">
              <w:rPr>
                <w:sz w:val="18"/>
                <w:szCs w:val="20"/>
              </w:rPr>
              <w:t> r.</w:t>
            </w:r>
          </w:p>
        </w:tc>
      </w:tr>
      <w:tr w:rsidR="00250AC8" w:rsidRPr="00EC250C" w14:paraId="11F6EA07" w14:textId="77777777" w:rsidTr="00FC47F2">
        <w:trPr>
          <w:tblCellSpacing w:w="20" w:type="dxa"/>
        </w:trPr>
        <w:tc>
          <w:tcPr>
            <w:tcW w:w="658" w:type="dxa"/>
          </w:tcPr>
          <w:p w14:paraId="4E1C92FD" w14:textId="77777777" w:rsidR="00250AC8" w:rsidRPr="00EC250C" w:rsidRDefault="00250AC8" w:rsidP="006C70B7">
            <w:pPr>
              <w:pStyle w:val="Tabela"/>
              <w:numPr>
                <w:ilvl w:val="0"/>
                <w:numId w:val="80"/>
              </w:numPr>
              <w:ind w:left="0" w:firstLine="0"/>
              <w:jc w:val="both"/>
            </w:pPr>
          </w:p>
        </w:tc>
        <w:tc>
          <w:tcPr>
            <w:tcW w:w="7331" w:type="dxa"/>
          </w:tcPr>
          <w:p w14:paraId="393FDE9C" w14:textId="77777777" w:rsidR="00250AC8" w:rsidRPr="00EC250C" w:rsidRDefault="00250AC8" w:rsidP="00902FC6">
            <w:pPr>
              <w:pStyle w:val="Tabela"/>
              <w:rPr>
                <w:sz w:val="18"/>
                <w:szCs w:val="20"/>
              </w:rPr>
            </w:pPr>
            <w:r w:rsidRPr="00EC250C">
              <w:rPr>
                <w:sz w:val="18"/>
                <w:szCs w:val="20"/>
              </w:rPr>
              <w:t xml:space="preserve">Wykład </w:t>
            </w:r>
            <w:r w:rsidR="003C397F" w:rsidRPr="00EC250C">
              <w:rPr>
                <w:sz w:val="18"/>
                <w:szCs w:val="20"/>
              </w:rPr>
              <w:t>rzecznika praw obywatelskich</w:t>
            </w:r>
            <w:r w:rsidRPr="00EC250C">
              <w:rPr>
                <w:sz w:val="18"/>
                <w:szCs w:val="20"/>
              </w:rPr>
              <w:t xml:space="preserve"> Adama Bodnara dla sędziów nt. „Standardy niezależności sądów</w:t>
            </w:r>
            <w:r w:rsidR="00992FD0" w:rsidRPr="00EC250C">
              <w:rPr>
                <w:sz w:val="18"/>
                <w:szCs w:val="20"/>
              </w:rPr>
              <w:t xml:space="preserve"> i </w:t>
            </w:r>
            <w:r w:rsidRPr="00EC250C">
              <w:rPr>
                <w:sz w:val="18"/>
                <w:szCs w:val="20"/>
              </w:rPr>
              <w:t>niezawisłości sędziowskiej</w:t>
            </w:r>
            <w:r w:rsidR="00992FD0" w:rsidRPr="00EC250C">
              <w:rPr>
                <w:sz w:val="18"/>
                <w:szCs w:val="20"/>
              </w:rPr>
              <w:t xml:space="preserve"> w </w:t>
            </w:r>
            <w:r w:rsidRPr="00EC250C">
              <w:rPr>
                <w:sz w:val="18"/>
                <w:szCs w:val="20"/>
              </w:rPr>
              <w:t>świetle orzecznictwa ETPCz”. Smardzewice.</w:t>
            </w:r>
          </w:p>
        </w:tc>
        <w:tc>
          <w:tcPr>
            <w:tcW w:w="1687" w:type="dxa"/>
          </w:tcPr>
          <w:p w14:paraId="624BD352" w14:textId="77777777" w:rsidR="00250AC8" w:rsidRPr="00EC250C" w:rsidRDefault="00250AC8" w:rsidP="00902FC6">
            <w:pPr>
              <w:pStyle w:val="Tabela"/>
              <w:rPr>
                <w:sz w:val="18"/>
                <w:szCs w:val="20"/>
              </w:rPr>
            </w:pPr>
            <w:r w:rsidRPr="00EC250C">
              <w:rPr>
                <w:sz w:val="18"/>
                <w:szCs w:val="20"/>
              </w:rPr>
              <w:t>05.10.2018</w:t>
            </w:r>
            <w:r w:rsidR="00C91F6E" w:rsidRPr="00EC250C">
              <w:rPr>
                <w:sz w:val="18"/>
                <w:szCs w:val="20"/>
              </w:rPr>
              <w:t> r.</w:t>
            </w:r>
          </w:p>
        </w:tc>
      </w:tr>
      <w:tr w:rsidR="00250AC8" w:rsidRPr="00EC250C" w14:paraId="2C3702D3" w14:textId="77777777" w:rsidTr="00FC47F2">
        <w:trPr>
          <w:tblCellSpacing w:w="20" w:type="dxa"/>
        </w:trPr>
        <w:tc>
          <w:tcPr>
            <w:tcW w:w="658" w:type="dxa"/>
          </w:tcPr>
          <w:p w14:paraId="487CBDF9" w14:textId="77777777" w:rsidR="00250AC8" w:rsidRPr="00EC250C" w:rsidRDefault="00250AC8" w:rsidP="006C70B7">
            <w:pPr>
              <w:pStyle w:val="Tabela"/>
              <w:numPr>
                <w:ilvl w:val="0"/>
                <w:numId w:val="80"/>
              </w:numPr>
              <w:ind w:left="0" w:firstLine="0"/>
              <w:jc w:val="both"/>
            </w:pPr>
          </w:p>
        </w:tc>
        <w:tc>
          <w:tcPr>
            <w:tcW w:w="7331" w:type="dxa"/>
          </w:tcPr>
          <w:p w14:paraId="7490D27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„Memory Laws in Post-Transitional Democrasies. Case Studies from Post-Communist States” zorganizowanej przez Instytut Nauk Prawnych Polskiej Akademii Nauk. Warszawa.</w:t>
            </w:r>
          </w:p>
        </w:tc>
        <w:tc>
          <w:tcPr>
            <w:tcW w:w="1687" w:type="dxa"/>
          </w:tcPr>
          <w:p w14:paraId="72E73DB3" w14:textId="77777777" w:rsidR="00250AC8" w:rsidRPr="00EC250C" w:rsidRDefault="00250AC8" w:rsidP="00902FC6">
            <w:pPr>
              <w:pStyle w:val="Tabela"/>
              <w:rPr>
                <w:sz w:val="18"/>
                <w:szCs w:val="20"/>
              </w:rPr>
            </w:pPr>
            <w:r w:rsidRPr="00EC250C">
              <w:rPr>
                <w:sz w:val="18"/>
                <w:szCs w:val="20"/>
              </w:rPr>
              <w:t>05.10.2018</w:t>
            </w:r>
            <w:r w:rsidR="00C91F6E" w:rsidRPr="00EC250C">
              <w:rPr>
                <w:sz w:val="18"/>
                <w:szCs w:val="20"/>
              </w:rPr>
              <w:t> r.</w:t>
            </w:r>
          </w:p>
        </w:tc>
      </w:tr>
      <w:tr w:rsidR="00250AC8" w:rsidRPr="00EC250C" w14:paraId="502A508A" w14:textId="77777777" w:rsidTr="00FC47F2">
        <w:trPr>
          <w:tblCellSpacing w:w="20" w:type="dxa"/>
        </w:trPr>
        <w:tc>
          <w:tcPr>
            <w:tcW w:w="658" w:type="dxa"/>
          </w:tcPr>
          <w:p w14:paraId="557429CC" w14:textId="77777777" w:rsidR="00250AC8" w:rsidRPr="00EC250C" w:rsidRDefault="00250AC8" w:rsidP="006C70B7">
            <w:pPr>
              <w:pStyle w:val="Tabela"/>
              <w:numPr>
                <w:ilvl w:val="0"/>
                <w:numId w:val="80"/>
              </w:numPr>
              <w:ind w:left="0" w:firstLine="0"/>
              <w:jc w:val="both"/>
            </w:pPr>
          </w:p>
        </w:tc>
        <w:tc>
          <w:tcPr>
            <w:tcW w:w="7331" w:type="dxa"/>
          </w:tcPr>
          <w:p w14:paraId="64746C72"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Obchodach Upamiętniających Ofiary Getta Ławkowego. Warszawa.</w:t>
            </w:r>
          </w:p>
        </w:tc>
        <w:tc>
          <w:tcPr>
            <w:tcW w:w="1687" w:type="dxa"/>
          </w:tcPr>
          <w:p w14:paraId="61713C7C" w14:textId="77777777" w:rsidR="00250AC8" w:rsidRPr="00EC250C" w:rsidRDefault="00250AC8" w:rsidP="00902FC6">
            <w:pPr>
              <w:pStyle w:val="Tabela"/>
              <w:rPr>
                <w:sz w:val="18"/>
                <w:szCs w:val="20"/>
              </w:rPr>
            </w:pPr>
            <w:r w:rsidRPr="00EC250C">
              <w:rPr>
                <w:sz w:val="18"/>
                <w:szCs w:val="20"/>
              </w:rPr>
              <w:t>05.10.2018</w:t>
            </w:r>
            <w:r w:rsidR="00C91F6E" w:rsidRPr="00EC250C">
              <w:rPr>
                <w:sz w:val="18"/>
                <w:szCs w:val="20"/>
              </w:rPr>
              <w:t> r.</w:t>
            </w:r>
          </w:p>
        </w:tc>
      </w:tr>
      <w:tr w:rsidR="00250AC8" w:rsidRPr="00EC250C" w14:paraId="21F2EFAB" w14:textId="77777777" w:rsidTr="00FC47F2">
        <w:trPr>
          <w:tblCellSpacing w:w="20" w:type="dxa"/>
        </w:trPr>
        <w:tc>
          <w:tcPr>
            <w:tcW w:w="658" w:type="dxa"/>
          </w:tcPr>
          <w:p w14:paraId="0260A2C4" w14:textId="77777777" w:rsidR="00250AC8" w:rsidRPr="00EC250C" w:rsidRDefault="00250AC8" w:rsidP="006C70B7">
            <w:pPr>
              <w:pStyle w:val="Tabela"/>
              <w:numPr>
                <w:ilvl w:val="0"/>
                <w:numId w:val="80"/>
              </w:numPr>
              <w:ind w:left="0" w:firstLine="0"/>
              <w:jc w:val="both"/>
            </w:pPr>
          </w:p>
        </w:tc>
        <w:tc>
          <w:tcPr>
            <w:tcW w:w="7331" w:type="dxa"/>
          </w:tcPr>
          <w:p w14:paraId="5050EA8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inauguracji roku akademickiego 2018/2019 na Akademii Leona Koźmińskiego. Warszawa.</w:t>
            </w:r>
          </w:p>
        </w:tc>
        <w:tc>
          <w:tcPr>
            <w:tcW w:w="1687" w:type="dxa"/>
          </w:tcPr>
          <w:p w14:paraId="4B4144A3" w14:textId="77777777" w:rsidR="00250AC8" w:rsidRPr="00EC250C" w:rsidRDefault="00250AC8" w:rsidP="00902FC6">
            <w:pPr>
              <w:pStyle w:val="Tabela"/>
              <w:rPr>
                <w:sz w:val="18"/>
                <w:szCs w:val="20"/>
              </w:rPr>
            </w:pPr>
            <w:r w:rsidRPr="00EC250C">
              <w:rPr>
                <w:sz w:val="18"/>
                <w:szCs w:val="20"/>
              </w:rPr>
              <w:t>08.10.2018</w:t>
            </w:r>
            <w:r w:rsidR="00C91F6E" w:rsidRPr="00EC250C">
              <w:rPr>
                <w:sz w:val="18"/>
                <w:szCs w:val="20"/>
              </w:rPr>
              <w:t> r.</w:t>
            </w:r>
          </w:p>
        </w:tc>
      </w:tr>
      <w:tr w:rsidR="00250AC8" w:rsidRPr="00EC250C" w14:paraId="63F8E6FC" w14:textId="77777777" w:rsidTr="00FC47F2">
        <w:trPr>
          <w:tblCellSpacing w:w="20" w:type="dxa"/>
        </w:trPr>
        <w:tc>
          <w:tcPr>
            <w:tcW w:w="658" w:type="dxa"/>
          </w:tcPr>
          <w:p w14:paraId="7FE12D69" w14:textId="77777777" w:rsidR="00250AC8" w:rsidRPr="00EC250C" w:rsidRDefault="00250AC8" w:rsidP="006C70B7">
            <w:pPr>
              <w:pStyle w:val="Tabela"/>
              <w:numPr>
                <w:ilvl w:val="0"/>
                <w:numId w:val="80"/>
              </w:numPr>
              <w:ind w:left="0" w:firstLine="0"/>
              <w:jc w:val="both"/>
            </w:pPr>
          </w:p>
        </w:tc>
        <w:tc>
          <w:tcPr>
            <w:tcW w:w="7331" w:type="dxa"/>
          </w:tcPr>
          <w:p w14:paraId="7C98217B"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uroczystej Gali Konkursu Nauczyciel Roku zorganizowanej przez Związek Nauczycielstwa Polskiego. Warszawa.</w:t>
            </w:r>
          </w:p>
        </w:tc>
        <w:tc>
          <w:tcPr>
            <w:tcW w:w="1687" w:type="dxa"/>
          </w:tcPr>
          <w:p w14:paraId="73497420" w14:textId="77777777" w:rsidR="00250AC8" w:rsidRPr="00EC250C" w:rsidRDefault="00250AC8" w:rsidP="00902FC6">
            <w:pPr>
              <w:pStyle w:val="Tabela"/>
              <w:rPr>
                <w:sz w:val="18"/>
                <w:szCs w:val="20"/>
              </w:rPr>
            </w:pPr>
            <w:r w:rsidRPr="00EC250C">
              <w:rPr>
                <w:sz w:val="18"/>
                <w:szCs w:val="20"/>
              </w:rPr>
              <w:t>09.10.2018</w:t>
            </w:r>
            <w:r w:rsidR="00C91F6E" w:rsidRPr="00EC250C">
              <w:rPr>
                <w:sz w:val="18"/>
                <w:szCs w:val="20"/>
              </w:rPr>
              <w:t> r.</w:t>
            </w:r>
          </w:p>
        </w:tc>
      </w:tr>
      <w:tr w:rsidR="00250AC8" w:rsidRPr="00EC250C" w14:paraId="20B77171" w14:textId="77777777" w:rsidTr="00FC47F2">
        <w:trPr>
          <w:tblCellSpacing w:w="20" w:type="dxa"/>
        </w:trPr>
        <w:tc>
          <w:tcPr>
            <w:tcW w:w="658" w:type="dxa"/>
          </w:tcPr>
          <w:p w14:paraId="5EC23905" w14:textId="77777777" w:rsidR="00250AC8" w:rsidRPr="00EC250C" w:rsidRDefault="00250AC8" w:rsidP="006C70B7">
            <w:pPr>
              <w:pStyle w:val="Tabela"/>
              <w:numPr>
                <w:ilvl w:val="0"/>
                <w:numId w:val="80"/>
              </w:numPr>
              <w:ind w:left="0" w:firstLine="0"/>
              <w:jc w:val="both"/>
            </w:pPr>
          </w:p>
        </w:tc>
        <w:tc>
          <w:tcPr>
            <w:tcW w:w="7331" w:type="dxa"/>
          </w:tcPr>
          <w:p w14:paraId="5C126F19"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uroczystości przyznania Odznaki RPO „Za zasługi dla ochrony praw człowieka” dla Lekarek Nadziei – Stanisławy Łukasik, Róży Czempas, Krystyny Stopczyńskiej</w:t>
            </w:r>
            <w:r w:rsidR="00992FD0" w:rsidRPr="00EC250C">
              <w:rPr>
                <w:sz w:val="18"/>
                <w:szCs w:val="20"/>
              </w:rPr>
              <w:t xml:space="preserve"> i </w:t>
            </w:r>
            <w:r w:rsidRPr="00EC250C">
              <w:rPr>
                <w:sz w:val="18"/>
                <w:szCs w:val="20"/>
              </w:rPr>
              <w:t>Janiny Gałwy. Biuro RPO. Warszawa.</w:t>
            </w:r>
          </w:p>
        </w:tc>
        <w:tc>
          <w:tcPr>
            <w:tcW w:w="1687" w:type="dxa"/>
          </w:tcPr>
          <w:p w14:paraId="4A3CFCB4" w14:textId="77777777" w:rsidR="00250AC8" w:rsidRPr="00EC250C" w:rsidRDefault="00250AC8" w:rsidP="00902FC6">
            <w:pPr>
              <w:pStyle w:val="Tabela"/>
              <w:rPr>
                <w:sz w:val="18"/>
                <w:szCs w:val="20"/>
              </w:rPr>
            </w:pPr>
            <w:r w:rsidRPr="00EC250C">
              <w:rPr>
                <w:sz w:val="18"/>
                <w:szCs w:val="20"/>
              </w:rPr>
              <w:t>10.10.2018</w:t>
            </w:r>
            <w:r w:rsidR="00C91F6E" w:rsidRPr="00EC250C">
              <w:rPr>
                <w:sz w:val="18"/>
                <w:szCs w:val="20"/>
              </w:rPr>
              <w:t> r.</w:t>
            </w:r>
          </w:p>
        </w:tc>
      </w:tr>
      <w:tr w:rsidR="00250AC8" w:rsidRPr="00EC250C" w14:paraId="74E63987" w14:textId="77777777" w:rsidTr="00FC47F2">
        <w:trPr>
          <w:tblCellSpacing w:w="20" w:type="dxa"/>
        </w:trPr>
        <w:tc>
          <w:tcPr>
            <w:tcW w:w="658" w:type="dxa"/>
          </w:tcPr>
          <w:p w14:paraId="3887ACAE" w14:textId="77777777" w:rsidR="00250AC8" w:rsidRPr="00EC250C" w:rsidRDefault="00250AC8" w:rsidP="006C70B7">
            <w:pPr>
              <w:pStyle w:val="Tabela"/>
              <w:numPr>
                <w:ilvl w:val="0"/>
                <w:numId w:val="80"/>
              </w:numPr>
              <w:ind w:left="0" w:firstLine="0"/>
              <w:jc w:val="both"/>
            </w:pPr>
          </w:p>
        </w:tc>
        <w:tc>
          <w:tcPr>
            <w:tcW w:w="7331" w:type="dxa"/>
          </w:tcPr>
          <w:p w14:paraId="47F864A1" w14:textId="77777777" w:rsidR="00250AC8" w:rsidRPr="00EC250C" w:rsidRDefault="00250AC8" w:rsidP="00902FC6">
            <w:pPr>
              <w:pStyle w:val="Tabela"/>
              <w:rPr>
                <w:sz w:val="18"/>
                <w:szCs w:val="20"/>
              </w:rPr>
            </w:pPr>
            <w:r w:rsidRPr="00EC250C">
              <w:rPr>
                <w:sz w:val="18"/>
                <w:szCs w:val="20"/>
              </w:rPr>
              <w:t>VII Oławska Konferencja Mediacyjna nt. „Mediacja</w:t>
            </w:r>
            <w:r w:rsidR="00992FD0" w:rsidRPr="00EC250C">
              <w:rPr>
                <w:sz w:val="18"/>
                <w:szCs w:val="20"/>
              </w:rPr>
              <w:t xml:space="preserve"> w </w:t>
            </w:r>
            <w:r w:rsidRPr="00EC250C">
              <w:rPr>
                <w:sz w:val="18"/>
                <w:szCs w:val="20"/>
              </w:rPr>
              <w:t>firmach rodzinnych</w:t>
            </w:r>
            <w:r w:rsidR="00992FD0" w:rsidRPr="00EC250C">
              <w:rPr>
                <w:sz w:val="18"/>
                <w:szCs w:val="20"/>
              </w:rPr>
              <w:t xml:space="preserve"> i w </w:t>
            </w:r>
            <w:r w:rsidRPr="00EC250C">
              <w:rPr>
                <w:sz w:val="18"/>
                <w:szCs w:val="20"/>
              </w:rPr>
              <w:t>rodzinach” zorganizowana przez Urząd Gminy</w:t>
            </w:r>
            <w:r w:rsidR="00992FD0" w:rsidRPr="00EC250C">
              <w:rPr>
                <w:sz w:val="18"/>
                <w:szCs w:val="20"/>
              </w:rPr>
              <w:t xml:space="preserve"> w </w:t>
            </w:r>
            <w:r w:rsidRPr="00EC250C">
              <w:rPr>
                <w:sz w:val="18"/>
                <w:szCs w:val="20"/>
              </w:rPr>
              <w:t>Oławie, Stowarzyszenie Mediatorów Cywilnych. Oława.</w:t>
            </w:r>
          </w:p>
        </w:tc>
        <w:tc>
          <w:tcPr>
            <w:tcW w:w="1687" w:type="dxa"/>
          </w:tcPr>
          <w:p w14:paraId="1F395107" w14:textId="77777777" w:rsidR="00250AC8" w:rsidRPr="00EC250C" w:rsidRDefault="00250AC8" w:rsidP="00902FC6">
            <w:pPr>
              <w:pStyle w:val="Tabela"/>
              <w:rPr>
                <w:sz w:val="18"/>
                <w:szCs w:val="20"/>
              </w:rPr>
            </w:pPr>
            <w:r w:rsidRPr="00EC250C">
              <w:rPr>
                <w:sz w:val="18"/>
                <w:szCs w:val="20"/>
              </w:rPr>
              <w:t>11.10.2018</w:t>
            </w:r>
            <w:r w:rsidR="00C91F6E" w:rsidRPr="00EC250C">
              <w:rPr>
                <w:sz w:val="18"/>
                <w:szCs w:val="20"/>
              </w:rPr>
              <w:t> r.</w:t>
            </w:r>
          </w:p>
        </w:tc>
      </w:tr>
      <w:tr w:rsidR="00250AC8" w:rsidRPr="00EC250C" w14:paraId="08AEFB4C" w14:textId="77777777" w:rsidTr="00FC47F2">
        <w:trPr>
          <w:tblCellSpacing w:w="20" w:type="dxa"/>
        </w:trPr>
        <w:tc>
          <w:tcPr>
            <w:tcW w:w="658" w:type="dxa"/>
          </w:tcPr>
          <w:p w14:paraId="3F39F4E4" w14:textId="77777777" w:rsidR="00250AC8" w:rsidRPr="00EC250C" w:rsidRDefault="00250AC8" w:rsidP="006C70B7">
            <w:pPr>
              <w:pStyle w:val="Tabela"/>
              <w:numPr>
                <w:ilvl w:val="0"/>
                <w:numId w:val="80"/>
              </w:numPr>
              <w:ind w:left="0" w:firstLine="0"/>
              <w:jc w:val="both"/>
            </w:pPr>
          </w:p>
        </w:tc>
        <w:tc>
          <w:tcPr>
            <w:tcW w:w="7331" w:type="dxa"/>
          </w:tcPr>
          <w:p w14:paraId="2D74AA9E" w14:textId="77777777" w:rsidR="00250AC8" w:rsidRPr="00EC250C" w:rsidRDefault="00250AC8" w:rsidP="00902FC6">
            <w:pPr>
              <w:pStyle w:val="Tabela"/>
              <w:rPr>
                <w:sz w:val="18"/>
                <w:szCs w:val="20"/>
              </w:rPr>
            </w:pPr>
            <w:r w:rsidRPr="00EC250C">
              <w:rPr>
                <w:sz w:val="18"/>
                <w:szCs w:val="20"/>
              </w:rPr>
              <w:t>II Krajowa Naukowo-Szkoleniowa konferencja Biobanków Polskich nt. „Próbki, kolekcje, dane</w:t>
            </w:r>
            <w:r w:rsidR="00992FD0" w:rsidRPr="00EC250C">
              <w:rPr>
                <w:sz w:val="18"/>
                <w:szCs w:val="20"/>
              </w:rPr>
              <w:t xml:space="preserve"> w </w:t>
            </w:r>
            <w:r w:rsidRPr="00EC250C">
              <w:rPr>
                <w:sz w:val="18"/>
                <w:szCs w:val="20"/>
              </w:rPr>
              <w:t>biobankowaniu” zorganizowana przez Konsorcjum BBMRI.pl. Wrocław.</w:t>
            </w:r>
          </w:p>
        </w:tc>
        <w:tc>
          <w:tcPr>
            <w:tcW w:w="1687" w:type="dxa"/>
          </w:tcPr>
          <w:p w14:paraId="6FC2366E" w14:textId="77777777" w:rsidR="00250AC8" w:rsidRPr="00EC250C" w:rsidRDefault="00250AC8" w:rsidP="00902FC6">
            <w:pPr>
              <w:pStyle w:val="Tabela"/>
              <w:rPr>
                <w:sz w:val="18"/>
                <w:szCs w:val="20"/>
              </w:rPr>
            </w:pPr>
            <w:r w:rsidRPr="00EC250C">
              <w:rPr>
                <w:sz w:val="18"/>
                <w:szCs w:val="20"/>
              </w:rPr>
              <w:t>11–12.10.2018</w:t>
            </w:r>
            <w:r w:rsidR="00C91F6E" w:rsidRPr="00EC250C">
              <w:rPr>
                <w:sz w:val="18"/>
                <w:szCs w:val="20"/>
              </w:rPr>
              <w:t> r.</w:t>
            </w:r>
          </w:p>
        </w:tc>
      </w:tr>
      <w:tr w:rsidR="00250AC8" w:rsidRPr="00EC250C" w14:paraId="4D81452A" w14:textId="77777777" w:rsidTr="00FC47F2">
        <w:trPr>
          <w:tblCellSpacing w:w="20" w:type="dxa"/>
        </w:trPr>
        <w:tc>
          <w:tcPr>
            <w:tcW w:w="658" w:type="dxa"/>
          </w:tcPr>
          <w:p w14:paraId="3BEB444A" w14:textId="77777777" w:rsidR="00250AC8" w:rsidRPr="00EC250C" w:rsidRDefault="00250AC8" w:rsidP="006C70B7">
            <w:pPr>
              <w:pStyle w:val="Tabela"/>
              <w:numPr>
                <w:ilvl w:val="0"/>
                <w:numId w:val="80"/>
              </w:numPr>
              <w:ind w:left="0" w:firstLine="0"/>
              <w:jc w:val="both"/>
            </w:pPr>
          </w:p>
        </w:tc>
        <w:tc>
          <w:tcPr>
            <w:tcW w:w="7331" w:type="dxa"/>
          </w:tcPr>
          <w:p w14:paraId="4BA78EC4"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nt. „70 lat Powszechnej Deklaracji Praw Człowieka ONZ” zorganizowanej przez Komisję Prawniczą Polskiej Akademii Umiejętności. Kraków.</w:t>
            </w:r>
          </w:p>
        </w:tc>
        <w:tc>
          <w:tcPr>
            <w:tcW w:w="1687" w:type="dxa"/>
          </w:tcPr>
          <w:p w14:paraId="761CE4C5" w14:textId="77777777" w:rsidR="00250AC8" w:rsidRPr="00EC250C" w:rsidRDefault="00250AC8" w:rsidP="00902FC6">
            <w:pPr>
              <w:pStyle w:val="Tabela"/>
              <w:rPr>
                <w:sz w:val="18"/>
                <w:szCs w:val="20"/>
              </w:rPr>
            </w:pPr>
            <w:r w:rsidRPr="00EC250C">
              <w:rPr>
                <w:sz w:val="18"/>
                <w:szCs w:val="20"/>
              </w:rPr>
              <w:t>12.10.2018</w:t>
            </w:r>
            <w:r w:rsidR="00C91F6E" w:rsidRPr="00EC250C">
              <w:rPr>
                <w:sz w:val="18"/>
                <w:szCs w:val="20"/>
              </w:rPr>
              <w:t> r.</w:t>
            </w:r>
          </w:p>
        </w:tc>
      </w:tr>
      <w:tr w:rsidR="00250AC8" w:rsidRPr="00EC250C" w14:paraId="666B40CC" w14:textId="77777777" w:rsidTr="00FC47F2">
        <w:trPr>
          <w:tblCellSpacing w:w="20" w:type="dxa"/>
        </w:trPr>
        <w:tc>
          <w:tcPr>
            <w:tcW w:w="658" w:type="dxa"/>
          </w:tcPr>
          <w:p w14:paraId="73472FCD" w14:textId="77777777" w:rsidR="00250AC8" w:rsidRPr="00EC250C" w:rsidRDefault="00250AC8" w:rsidP="006C70B7">
            <w:pPr>
              <w:pStyle w:val="Tabela"/>
              <w:numPr>
                <w:ilvl w:val="0"/>
                <w:numId w:val="80"/>
              </w:numPr>
              <w:ind w:left="0" w:firstLine="0"/>
              <w:jc w:val="both"/>
            </w:pPr>
          </w:p>
        </w:tc>
        <w:tc>
          <w:tcPr>
            <w:tcW w:w="7331" w:type="dxa"/>
          </w:tcPr>
          <w:p w14:paraId="0D01B99F"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konferencji nt. „Aktywizm sędziowski – obowiązek czy nadużycie” zorganizowanej przez Ogólnopolskie Stowarzyszenie Sędziów Sądów Administracyjnych. Warszawa.</w:t>
            </w:r>
          </w:p>
        </w:tc>
        <w:tc>
          <w:tcPr>
            <w:tcW w:w="1687" w:type="dxa"/>
          </w:tcPr>
          <w:p w14:paraId="163ABCD7" w14:textId="77777777" w:rsidR="00250AC8" w:rsidRPr="00EC250C" w:rsidRDefault="00250AC8" w:rsidP="00902FC6">
            <w:pPr>
              <w:pStyle w:val="Tabela"/>
              <w:rPr>
                <w:sz w:val="18"/>
                <w:szCs w:val="20"/>
              </w:rPr>
            </w:pPr>
            <w:r w:rsidRPr="00EC250C">
              <w:rPr>
                <w:sz w:val="18"/>
                <w:szCs w:val="20"/>
              </w:rPr>
              <w:t>12.10.2018</w:t>
            </w:r>
            <w:r w:rsidR="00C91F6E" w:rsidRPr="00EC250C">
              <w:rPr>
                <w:sz w:val="18"/>
                <w:szCs w:val="20"/>
              </w:rPr>
              <w:t> r.</w:t>
            </w:r>
          </w:p>
        </w:tc>
      </w:tr>
      <w:tr w:rsidR="00250AC8" w:rsidRPr="00EC250C" w14:paraId="45A11CBB" w14:textId="77777777" w:rsidTr="00FC47F2">
        <w:trPr>
          <w:tblCellSpacing w:w="20" w:type="dxa"/>
        </w:trPr>
        <w:tc>
          <w:tcPr>
            <w:tcW w:w="658" w:type="dxa"/>
          </w:tcPr>
          <w:p w14:paraId="3BA1B0E5" w14:textId="77777777" w:rsidR="00250AC8" w:rsidRPr="00EC250C" w:rsidRDefault="00250AC8" w:rsidP="006C70B7">
            <w:pPr>
              <w:pStyle w:val="Tabela"/>
              <w:numPr>
                <w:ilvl w:val="0"/>
                <w:numId w:val="80"/>
              </w:numPr>
              <w:ind w:left="0" w:firstLine="0"/>
              <w:jc w:val="both"/>
            </w:pPr>
          </w:p>
        </w:tc>
        <w:tc>
          <w:tcPr>
            <w:tcW w:w="7331" w:type="dxa"/>
          </w:tcPr>
          <w:p w14:paraId="450C126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Forum Antydyskryminacyjnym zorganizowanym przez Rzecznika Praw Obywatelskich. Lublin.</w:t>
            </w:r>
          </w:p>
        </w:tc>
        <w:tc>
          <w:tcPr>
            <w:tcW w:w="1687" w:type="dxa"/>
          </w:tcPr>
          <w:p w14:paraId="7B2B4273" w14:textId="77777777" w:rsidR="00250AC8" w:rsidRPr="00EC250C" w:rsidRDefault="00250AC8" w:rsidP="00902FC6">
            <w:pPr>
              <w:pStyle w:val="Tabela"/>
              <w:rPr>
                <w:sz w:val="18"/>
                <w:szCs w:val="20"/>
              </w:rPr>
            </w:pPr>
            <w:r w:rsidRPr="00EC250C">
              <w:rPr>
                <w:sz w:val="18"/>
                <w:szCs w:val="20"/>
              </w:rPr>
              <w:t>12.10.2018</w:t>
            </w:r>
            <w:r w:rsidR="00C91F6E" w:rsidRPr="00EC250C">
              <w:rPr>
                <w:sz w:val="18"/>
                <w:szCs w:val="20"/>
              </w:rPr>
              <w:t> r.</w:t>
            </w:r>
          </w:p>
        </w:tc>
      </w:tr>
      <w:tr w:rsidR="00250AC8" w:rsidRPr="00EC250C" w14:paraId="67667AAB" w14:textId="77777777" w:rsidTr="00FC47F2">
        <w:trPr>
          <w:tblCellSpacing w:w="20" w:type="dxa"/>
        </w:trPr>
        <w:tc>
          <w:tcPr>
            <w:tcW w:w="658" w:type="dxa"/>
          </w:tcPr>
          <w:p w14:paraId="50D7FB96" w14:textId="77777777" w:rsidR="00250AC8" w:rsidRPr="00EC250C" w:rsidRDefault="00250AC8" w:rsidP="006C70B7">
            <w:pPr>
              <w:pStyle w:val="Tabela"/>
              <w:numPr>
                <w:ilvl w:val="0"/>
                <w:numId w:val="80"/>
              </w:numPr>
              <w:ind w:left="0" w:firstLine="0"/>
              <w:jc w:val="both"/>
            </w:pPr>
          </w:p>
        </w:tc>
        <w:tc>
          <w:tcPr>
            <w:tcW w:w="7331" w:type="dxa"/>
          </w:tcPr>
          <w:p w14:paraId="08DB988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debacie nt. „Prawa LGBT</w:t>
            </w:r>
            <w:r w:rsidR="00992FD0" w:rsidRPr="00EC250C">
              <w:rPr>
                <w:sz w:val="18"/>
                <w:szCs w:val="20"/>
              </w:rPr>
              <w:t xml:space="preserve"> a </w:t>
            </w:r>
            <w:r w:rsidRPr="00EC250C">
              <w:rPr>
                <w:sz w:val="18"/>
                <w:szCs w:val="20"/>
              </w:rPr>
              <w:t>Konstytucja RP”, zorganizowanej przez Marsz Równości Lublin. Lublin.</w:t>
            </w:r>
          </w:p>
        </w:tc>
        <w:tc>
          <w:tcPr>
            <w:tcW w:w="1687" w:type="dxa"/>
          </w:tcPr>
          <w:p w14:paraId="6B77A0F3" w14:textId="77777777" w:rsidR="00250AC8" w:rsidRPr="00EC250C" w:rsidRDefault="00250AC8" w:rsidP="00902FC6">
            <w:pPr>
              <w:pStyle w:val="Tabela"/>
              <w:rPr>
                <w:sz w:val="18"/>
                <w:szCs w:val="20"/>
              </w:rPr>
            </w:pPr>
            <w:r w:rsidRPr="00EC250C">
              <w:rPr>
                <w:sz w:val="18"/>
                <w:szCs w:val="20"/>
              </w:rPr>
              <w:t>13.10.2018</w:t>
            </w:r>
            <w:r w:rsidR="00C91F6E" w:rsidRPr="00EC250C">
              <w:rPr>
                <w:sz w:val="18"/>
                <w:szCs w:val="20"/>
              </w:rPr>
              <w:t> r.</w:t>
            </w:r>
          </w:p>
        </w:tc>
      </w:tr>
      <w:tr w:rsidR="00250AC8" w:rsidRPr="00EC250C" w14:paraId="6B115741" w14:textId="77777777" w:rsidTr="00FC47F2">
        <w:trPr>
          <w:tblCellSpacing w:w="20" w:type="dxa"/>
        </w:trPr>
        <w:tc>
          <w:tcPr>
            <w:tcW w:w="658" w:type="dxa"/>
          </w:tcPr>
          <w:p w14:paraId="617CDDA4" w14:textId="77777777" w:rsidR="00250AC8" w:rsidRPr="00EC250C" w:rsidRDefault="00250AC8" w:rsidP="006C70B7">
            <w:pPr>
              <w:pStyle w:val="Tabela"/>
              <w:numPr>
                <w:ilvl w:val="0"/>
                <w:numId w:val="80"/>
              </w:numPr>
              <w:ind w:left="0" w:firstLine="0"/>
              <w:jc w:val="both"/>
            </w:pPr>
          </w:p>
        </w:tc>
        <w:tc>
          <w:tcPr>
            <w:tcW w:w="7331" w:type="dxa"/>
          </w:tcPr>
          <w:p w14:paraId="0E4FCF85"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konferencji nt. „Tajemnica adwokacka” zorganizowanej przez Okręgową Radę Adwokacką</w:t>
            </w:r>
            <w:r w:rsidR="00992FD0" w:rsidRPr="00EC250C">
              <w:rPr>
                <w:sz w:val="18"/>
                <w:szCs w:val="20"/>
              </w:rPr>
              <w:t xml:space="preserve"> w </w:t>
            </w:r>
            <w:r w:rsidRPr="00EC250C">
              <w:rPr>
                <w:sz w:val="18"/>
                <w:szCs w:val="20"/>
              </w:rPr>
              <w:t>Szczecinie. Szczecin.</w:t>
            </w:r>
          </w:p>
        </w:tc>
        <w:tc>
          <w:tcPr>
            <w:tcW w:w="1687" w:type="dxa"/>
          </w:tcPr>
          <w:p w14:paraId="26D8ED38" w14:textId="77777777" w:rsidR="00250AC8" w:rsidRPr="00EC250C" w:rsidRDefault="00250AC8" w:rsidP="00902FC6">
            <w:pPr>
              <w:pStyle w:val="Tabela"/>
              <w:rPr>
                <w:sz w:val="18"/>
                <w:szCs w:val="20"/>
              </w:rPr>
            </w:pPr>
            <w:r w:rsidRPr="00EC250C">
              <w:rPr>
                <w:sz w:val="18"/>
                <w:szCs w:val="20"/>
              </w:rPr>
              <w:t>13–14.10.2018</w:t>
            </w:r>
            <w:r w:rsidR="00C91F6E" w:rsidRPr="00EC250C">
              <w:rPr>
                <w:sz w:val="18"/>
                <w:szCs w:val="20"/>
              </w:rPr>
              <w:t> r.</w:t>
            </w:r>
          </w:p>
        </w:tc>
      </w:tr>
      <w:tr w:rsidR="00250AC8" w:rsidRPr="00EC250C" w14:paraId="5DD7A654" w14:textId="77777777" w:rsidTr="00FC47F2">
        <w:trPr>
          <w:tblCellSpacing w:w="20" w:type="dxa"/>
        </w:trPr>
        <w:tc>
          <w:tcPr>
            <w:tcW w:w="658" w:type="dxa"/>
          </w:tcPr>
          <w:p w14:paraId="134D579F" w14:textId="77777777" w:rsidR="00250AC8" w:rsidRPr="00EC250C" w:rsidRDefault="00250AC8" w:rsidP="006C70B7">
            <w:pPr>
              <w:pStyle w:val="Tabela"/>
              <w:numPr>
                <w:ilvl w:val="0"/>
                <w:numId w:val="80"/>
              </w:numPr>
              <w:ind w:left="0" w:firstLine="0"/>
              <w:jc w:val="both"/>
            </w:pPr>
          </w:p>
        </w:tc>
        <w:tc>
          <w:tcPr>
            <w:tcW w:w="7331" w:type="dxa"/>
          </w:tcPr>
          <w:p w14:paraId="19271DBF"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uroczystości wręczenia nagrody Architekt Rozwoju 2018 przyznanej przez UN Global Compact. Warszawa.</w:t>
            </w:r>
          </w:p>
        </w:tc>
        <w:tc>
          <w:tcPr>
            <w:tcW w:w="1687" w:type="dxa"/>
          </w:tcPr>
          <w:p w14:paraId="0CACD798" w14:textId="77777777" w:rsidR="00250AC8" w:rsidRPr="00EC250C" w:rsidRDefault="00250AC8" w:rsidP="00902FC6">
            <w:pPr>
              <w:pStyle w:val="Tabela"/>
              <w:rPr>
                <w:sz w:val="18"/>
                <w:szCs w:val="20"/>
              </w:rPr>
            </w:pPr>
            <w:r w:rsidRPr="00EC250C">
              <w:rPr>
                <w:sz w:val="18"/>
                <w:szCs w:val="20"/>
              </w:rPr>
              <w:t>15.10.2018</w:t>
            </w:r>
            <w:r w:rsidR="00C91F6E" w:rsidRPr="00EC250C">
              <w:rPr>
                <w:sz w:val="18"/>
                <w:szCs w:val="20"/>
              </w:rPr>
              <w:t> r.</w:t>
            </w:r>
          </w:p>
        </w:tc>
      </w:tr>
      <w:tr w:rsidR="00250AC8" w:rsidRPr="00EC250C" w14:paraId="794AE715" w14:textId="77777777" w:rsidTr="00FC47F2">
        <w:trPr>
          <w:tblCellSpacing w:w="20" w:type="dxa"/>
        </w:trPr>
        <w:tc>
          <w:tcPr>
            <w:tcW w:w="658" w:type="dxa"/>
          </w:tcPr>
          <w:p w14:paraId="3514C2A0" w14:textId="77777777" w:rsidR="00250AC8" w:rsidRPr="00EC250C" w:rsidRDefault="00250AC8" w:rsidP="006C70B7">
            <w:pPr>
              <w:pStyle w:val="Tabela"/>
              <w:numPr>
                <w:ilvl w:val="0"/>
                <w:numId w:val="80"/>
              </w:numPr>
              <w:ind w:left="0" w:firstLine="0"/>
              <w:jc w:val="both"/>
            </w:pPr>
          </w:p>
        </w:tc>
        <w:tc>
          <w:tcPr>
            <w:tcW w:w="7331" w:type="dxa"/>
          </w:tcPr>
          <w:p w14:paraId="787B535B"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sympozjum nt. „The Injustice of Gender: Women’s Rights in</w:t>
            </w:r>
            <w:r w:rsidR="00992FD0" w:rsidRPr="00EC250C">
              <w:rPr>
                <w:sz w:val="18"/>
                <w:szCs w:val="20"/>
              </w:rPr>
              <w:t xml:space="preserve"> a </w:t>
            </w:r>
            <w:r w:rsidRPr="00EC250C">
              <w:rPr>
                <w:sz w:val="18"/>
                <w:szCs w:val="20"/>
              </w:rPr>
              <w:t>Just Society” zorganizowanym przez Uniwersytet Mikołaja Kopernika</w:t>
            </w:r>
            <w:r w:rsidR="00992FD0" w:rsidRPr="00EC250C">
              <w:rPr>
                <w:sz w:val="18"/>
                <w:szCs w:val="20"/>
              </w:rPr>
              <w:t xml:space="preserve"> w </w:t>
            </w:r>
            <w:r w:rsidRPr="00EC250C">
              <w:rPr>
                <w:sz w:val="18"/>
                <w:szCs w:val="20"/>
              </w:rPr>
              <w:t xml:space="preserve">Toruniu. Toruń. </w:t>
            </w:r>
          </w:p>
        </w:tc>
        <w:tc>
          <w:tcPr>
            <w:tcW w:w="1687" w:type="dxa"/>
          </w:tcPr>
          <w:p w14:paraId="2E39C518" w14:textId="77777777" w:rsidR="00250AC8" w:rsidRPr="00EC250C" w:rsidRDefault="00250AC8" w:rsidP="00902FC6">
            <w:pPr>
              <w:pStyle w:val="Tabela"/>
              <w:rPr>
                <w:sz w:val="18"/>
                <w:szCs w:val="20"/>
              </w:rPr>
            </w:pPr>
            <w:r w:rsidRPr="00EC250C">
              <w:rPr>
                <w:sz w:val="18"/>
                <w:szCs w:val="20"/>
              </w:rPr>
              <w:t>15.10.2018</w:t>
            </w:r>
            <w:r w:rsidR="00C91F6E" w:rsidRPr="00EC250C">
              <w:rPr>
                <w:sz w:val="18"/>
                <w:szCs w:val="20"/>
              </w:rPr>
              <w:t> r.</w:t>
            </w:r>
          </w:p>
        </w:tc>
      </w:tr>
      <w:tr w:rsidR="00250AC8" w:rsidRPr="00EC250C" w14:paraId="7C2DE301" w14:textId="77777777" w:rsidTr="00FC47F2">
        <w:trPr>
          <w:tblCellSpacing w:w="20" w:type="dxa"/>
        </w:trPr>
        <w:tc>
          <w:tcPr>
            <w:tcW w:w="658" w:type="dxa"/>
          </w:tcPr>
          <w:p w14:paraId="499007C4" w14:textId="77777777" w:rsidR="00250AC8" w:rsidRPr="00EC250C" w:rsidRDefault="00250AC8" w:rsidP="006C70B7">
            <w:pPr>
              <w:pStyle w:val="Tabela"/>
              <w:numPr>
                <w:ilvl w:val="0"/>
                <w:numId w:val="80"/>
              </w:numPr>
              <w:ind w:left="0" w:firstLine="0"/>
              <w:jc w:val="both"/>
            </w:pPr>
          </w:p>
        </w:tc>
        <w:tc>
          <w:tcPr>
            <w:tcW w:w="7331" w:type="dxa"/>
          </w:tcPr>
          <w:p w14:paraId="3586BCDA" w14:textId="77777777" w:rsidR="00250AC8" w:rsidRPr="00EC250C" w:rsidRDefault="00250AC8" w:rsidP="00902FC6">
            <w:pPr>
              <w:pStyle w:val="Tabela"/>
              <w:rPr>
                <w:sz w:val="18"/>
                <w:szCs w:val="20"/>
              </w:rPr>
            </w:pPr>
            <w:r w:rsidRPr="00EC250C">
              <w:rPr>
                <w:sz w:val="18"/>
                <w:szCs w:val="20"/>
              </w:rPr>
              <w:t>Uroczystość nadania tytułu Doktora Honoris Causa profesorowi zwyczajnemu dr hab. Emilowi Walentemu Pływaczewskiemu na Uniwersytecie Warmińsko-Mazurskim. Olsztyn.</w:t>
            </w:r>
          </w:p>
        </w:tc>
        <w:tc>
          <w:tcPr>
            <w:tcW w:w="1687" w:type="dxa"/>
          </w:tcPr>
          <w:p w14:paraId="0D07B816" w14:textId="77777777" w:rsidR="00250AC8" w:rsidRPr="00EC250C" w:rsidRDefault="00250AC8" w:rsidP="00902FC6">
            <w:pPr>
              <w:pStyle w:val="Tabela"/>
              <w:rPr>
                <w:sz w:val="18"/>
                <w:szCs w:val="20"/>
              </w:rPr>
            </w:pPr>
            <w:r w:rsidRPr="00EC250C">
              <w:rPr>
                <w:sz w:val="18"/>
                <w:szCs w:val="20"/>
              </w:rPr>
              <w:t>15.10.2018</w:t>
            </w:r>
            <w:r w:rsidR="00C91F6E" w:rsidRPr="00EC250C">
              <w:rPr>
                <w:sz w:val="18"/>
                <w:szCs w:val="20"/>
              </w:rPr>
              <w:t> r.</w:t>
            </w:r>
          </w:p>
        </w:tc>
      </w:tr>
      <w:tr w:rsidR="00250AC8" w:rsidRPr="00EC250C" w14:paraId="5B340E7E" w14:textId="77777777" w:rsidTr="00FC47F2">
        <w:trPr>
          <w:tblCellSpacing w:w="20" w:type="dxa"/>
        </w:trPr>
        <w:tc>
          <w:tcPr>
            <w:tcW w:w="658" w:type="dxa"/>
          </w:tcPr>
          <w:p w14:paraId="076A945A" w14:textId="77777777" w:rsidR="00250AC8" w:rsidRPr="00EC250C" w:rsidRDefault="00250AC8" w:rsidP="006C70B7">
            <w:pPr>
              <w:pStyle w:val="Tabela"/>
              <w:numPr>
                <w:ilvl w:val="0"/>
                <w:numId w:val="80"/>
              </w:numPr>
              <w:ind w:left="0" w:firstLine="0"/>
              <w:jc w:val="both"/>
            </w:pPr>
          </w:p>
        </w:tc>
        <w:tc>
          <w:tcPr>
            <w:tcW w:w="7331" w:type="dxa"/>
          </w:tcPr>
          <w:p w14:paraId="1ECA0542"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XI seminarium</w:t>
            </w:r>
            <w:r w:rsidR="00992FD0" w:rsidRPr="00EC250C">
              <w:rPr>
                <w:sz w:val="18"/>
                <w:szCs w:val="20"/>
              </w:rPr>
              <w:t xml:space="preserve"> z </w:t>
            </w:r>
            <w:r w:rsidRPr="00EC250C">
              <w:rPr>
                <w:sz w:val="18"/>
                <w:szCs w:val="20"/>
              </w:rPr>
              <w:t>cyklu „Środki zabezpieczające</w:t>
            </w:r>
            <w:r w:rsidR="00992FD0" w:rsidRPr="00EC250C">
              <w:rPr>
                <w:sz w:val="18"/>
                <w:szCs w:val="20"/>
              </w:rPr>
              <w:t xml:space="preserve"> w </w:t>
            </w:r>
            <w:r w:rsidRPr="00EC250C">
              <w:rPr>
                <w:sz w:val="18"/>
                <w:szCs w:val="20"/>
              </w:rPr>
              <w:t>psychiatrii” nt. „Pomiędzy poziomami – ruch</w:t>
            </w:r>
            <w:r w:rsidR="00992FD0" w:rsidRPr="00EC250C">
              <w:rPr>
                <w:sz w:val="18"/>
                <w:szCs w:val="20"/>
              </w:rPr>
              <w:t xml:space="preserve"> w </w:t>
            </w:r>
            <w:r w:rsidRPr="00EC250C">
              <w:rPr>
                <w:sz w:val="18"/>
                <w:szCs w:val="20"/>
              </w:rPr>
              <w:t>systemie</w:t>
            </w:r>
            <w:r w:rsidR="00992FD0" w:rsidRPr="00EC250C">
              <w:rPr>
                <w:sz w:val="18"/>
                <w:szCs w:val="20"/>
              </w:rPr>
              <w:t xml:space="preserve"> w </w:t>
            </w:r>
            <w:r w:rsidRPr="00EC250C">
              <w:rPr>
                <w:sz w:val="18"/>
                <w:szCs w:val="20"/>
              </w:rPr>
              <w:t>trakcie realizacji środka zabezpieczającego” zorganizowanym przez Instytut Psychiatrii</w:t>
            </w:r>
            <w:r w:rsidR="00992FD0" w:rsidRPr="00EC250C">
              <w:rPr>
                <w:sz w:val="18"/>
                <w:szCs w:val="20"/>
              </w:rPr>
              <w:t xml:space="preserve"> i </w:t>
            </w:r>
            <w:r w:rsidRPr="00EC250C">
              <w:rPr>
                <w:sz w:val="18"/>
                <w:szCs w:val="20"/>
              </w:rPr>
              <w:t>Neurologii</w:t>
            </w:r>
            <w:r w:rsidR="00992FD0" w:rsidRPr="00EC250C">
              <w:rPr>
                <w:sz w:val="18"/>
                <w:szCs w:val="20"/>
              </w:rPr>
              <w:t xml:space="preserve"> w </w:t>
            </w:r>
            <w:r w:rsidRPr="00EC250C">
              <w:rPr>
                <w:sz w:val="18"/>
                <w:szCs w:val="20"/>
              </w:rPr>
              <w:t>Warszawie. Warszawa.</w:t>
            </w:r>
          </w:p>
        </w:tc>
        <w:tc>
          <w:tcPr>
            <w:tcW w:w="1687" w:type="dxa"/>
          </w:tcPr>
          <w:p w14:paraId="4738702B" w14:textId="77777777" w:rsidR="00250AC8" w:rsidRPr="00EC250C" w:rsidRDefault="00250AC8" w:rsidP="00902FC6">
            <w:pPr>
              <w:pStyle w:val="Tabela"/>
              <w:rPr>
                <w:sz w:val="18"/>
                <w:szCs w:val="20"/>
              </w:rPr>
            </w:pPr>
            <w:r w:rsidRPr="00EC250C">
              <w:rPr>
                <w:sz w:val="18"/>
                <w:szCs w:val="20"/>
              </w:rPr>
              <w:t>16.10.2018</w:t>
            </w:r>
            <w:r w:rsidR="00C91F6E" w:rsidRPr="00EC250C">
              <w:rPr>
                <w:sz w:val="18"/>
                <w:szCs w:val="20"/>
              </w:rPr>
              <w:t> r.</w:t>
            </w:r>
          </w:p>
        </w:tc>
      </w:tr>
      <w:tr w:rsidR="00250AC8" w:rsidRPr="00EC250C" w14:paraId="4D49A3A1" w14:textId="77777777" w:rsidTr="00FC47F2">
        <w:trPr>
          <w:tblCellSpacing w:w="20" w:type="dxa"/>
        </w:trPr>
        <w:tc>
          <w:tcPr>
            <w:tcW w:w="658" w:type="dxa"/>
          </w:tcPr>
          <w:p w14:paraId="771CCEB0" w14:textId="77777777" w:rsidR="00250AC8" w:rsidRPr="00EC250C" w:rsidRDefault="00250AC8" w:rsidP="006C70B7">
            <w:pPr>
              <w:pStyle w:val="Tabela"/>
              <w:numPr>
                <w:ilvl w:val="0"/>
                <w:numId w:val="80"/>
              </w:numPr>
              <w:ind w:left="0" w:firstLine="0"/>
              <w:jc w:val="both"/>
            </w:pPr>
          </w:p>
        </w:tc>
        <w:tc>
          <w:tcPr>
            <w:tcW w:w="7331" w:type="dxa"/>
          </w:tcPr>
          <w:p w14:paraId="27322AC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nt. „Podzwonne dla rozdziału Kościoła</w:t>
            </w:r>
            <w:r w:rsidR="00992FD0" w:rsidRPr="00EC250C">
              <w:rPr>
                <w:sz w:val="18"/>
                <w:szCs w:val="20"/>
              </w:rPr>
              <w:t xml:space="preserve"> i </w:t>
            </w:r>
            <w:r w:rsidRPr="00EC250C">
              <w:rPr>
                <w:sz w:val="18"/>
                <w:szCs w:val="20"/>
              </w:rPr>
              <w:t>państwa?” zorganizowanej przez Fundację Służby Rzeczypospolitej. Warszawa.</w:t>
            </w:r>
          </w:p>
        </w:tc>
        <w:tc>
          <w:tcPr>
            <w:tcW w:w="1687" w:type="dxa"/>
          </w:tcPr>
          <w:p w14:paraId="4A9EE87B" w14:textId="77777777" w:rsidR="00250AC8" w:rsidRPr="00EC250C" w:rsidRDefault="00250AC8" w:rsidP="00902FC6">
            <w:pPr>
              <w:pStyle w:val="Tabela"/>
              <w:rPr>
                <w:sz w:val="18"/>
                <w:szCs w:val="20"/>
              </w:rPr>
            </w:pPr>
            <w:r w:rsidRPr="00EC250C">
              <w:rPr>
                <w:sz w:val="18"/>
                <w:szCs w:val="20"/>
              </w:rPr>
              <w:t>17.10.2018</w:t>
            </w:r>
            <w:r w:rsidR="00C91F6E" w:rsidRPr="00EC250C">
              <w:rPr>
                <w:sz w:val="18"/>
                <w:szCs w:val="20"/>
              </w:rPr>
              <w:t> r.</w:t>
            </w:r>
          </w:p>
        </w:tc>
      </w:tr>
      <w:tr w:rsidR="00250AC8" w:rsidRPr="00EC250C" w14:paraId="507FBD31" w14:textId="77777777" w:rsidTr="00FC47F2">
        <w:trPr>
          <w:tblCellSpacing w:w="20" w:type="dxa"/>
        </w:trPr>
        <w:tc>
          <w:tcPr>
            <w:tcW w:w="658" w:type="dxa"/>
          </w:tcPr>
          <w:p w14:paraId="1D173560" w14:textId="77777777" w:rsidR="00250AC8" w:rsidRPr="00EC250C" w:rsidRDefault="00250AC8" w:rsidP="006C70B7">
            <w:pPr>
              <w:pStyle w:val="Tabela"/>
              <w:numPr>
                <w:ilvl w:val="0"/>
                <w:numId w:val="80"/>
              </w:numPr>
              <w:ind w:left="0" w:firstLine="0"/>
              <w:jc w:val="both"/>
            </w:pPr>
          </w:p>
        </w:tc>
        <w:tc>
          <w:tcPr>
            <w:tcW w:w="7331" w:type="dxa"/>
          </w:tcPr>
          <w:p w14:paraId="1E676E35"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Gali wręczenia nagrody im. Janiny Paradowskiej</w:t>
            </w:r>
            <w:r w:rsidR="00992FD0" w:rsidRPr="00EC250C">
              <w:rPr>
                <w:sz w:val="18"/>
                <w:szCs w:val="20"/>
              </w:rPr>
              <w:t xml:space="preserve"> i </w:t>
            </w:r>
            <w:r w:rsidRPr="00EC250C">
              <w:rPr>
                <w:sz w:val="18"/>
                <w:szCs w:val="20"/>
              </w:rPr>
              <w:t>Jerzego Zimowskiego. Warszawa.</w:t>
            </w:r>
          </w:p>
        </w:tc>
        <w:tc>
          <w:tcPr>
            <w:tcW w:w="1687" w:type="dxa"/>
          </w:tcPr>
          <w:p w14:paraId="00FBA1ED" w14:textId="77777777" w:rsidR="00250AC8" w:rsidRPr="00EC250C" w:rsidRDefault="00250AC8" w:rsidP="00902FC6">
            <w:pPr>
              <w:pStyle w:val="Tabela"/>
              <w:rPr>
                <w:sz w:val="18"/>
                <w:szCs w:val="20"/>
              </w:rPr>
            </w:pPr>
            <w:r w:rsidRPr="00EC250C">
              <w:rPr>
                <w:sz w:val="18"/>
                <w:szCs w:val="20"/>
              </w:rPr>
              <w:t>17.10.2018</w:t>
            </w:r>
            <w:r w:rsidR="00C91F6E" w:rsidRPr="00EC250C">
              <w:rPr>
                <w:sz w:val="18"/>
                <w:szCs w:val="20"/>
              </w:rPr>
              <w:t> r.</w:t>
            </w:r>
          </w:p>
        </w:tc>
      </w:tr>
      <w:tr w:rsidR="00250AC8" w:rsidRPr="00EC250C" w14:paraId="4073E86A" w14:textId="77777777" w:rsidTr="00FC47F2">
        <w:trPr>
          <w:tblCellSpacing w:w="20" w:type="dxa"/>
        </w:trPr>
        <w:tc>
          <w:tcPr>
            <w:tcW w:w="658" w:type="dxa"/>
          </w:tcPr>
          <w:p w14:paraId="4F89CE34" w14:textId="77777777" w:rsidR="00250AC8" w:rsidRPr="00EC250C" w:rsidRDefault="00250AC8" w:rsidP="006C70B7">
            <w:pPr>
              <w:pStyle w:val="Tabela"/>
              <w:numPr>
                <w:ilvl w:val="0"/>
                <w:numId w:val="80"/>
              </w:numPr>
              <w:ind w:left="0" w:firstLine="0"/>
              <w:jc w:val="both"/>
            </w:pPr>
          </w:p>
        </w:tc>
        <w:tc>
          <w:tcPr>
            <w:tcW w:w="7331" w:type="dxa"/>
          </w:tcPr>
          <w:p w14:paraId="74B8782E"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obchodach 65-lecia Izby Adwokackiej</w:t>
            </w:r>
            <w:r w:rsidR="00992FD0" w:rsidRPr="00EC250C">
              <w:rPr>
                <w:sz w:val="18"/>
                <w:szCs w:val="20"/>
              </w:rPr>
              <w:t xml:space="preserve"> w </w:t>
            </w:r>
            <w:r w:rsidRPr="00EC250C">
              <w:rPr>
                <w:sz w:val="18"/>
                <w:szCs w:val="20"/>
              </w:rPr>
              <w:t>Opolu. Opole.</w:t>
            </w:r>
          </w:p>
        </w:tc>
        <w:tc>
          <w:tcPr>
            <w:tcW w:w="1687" w:type="dxa"/>
          </w:tcPr>
          <w:p w14:paraId="63E76E00" w14:textId="77777777" w:rsidR="00250AC8" w:rsidRPr="00EC250C" w:rsidRDefault="00250AC8" w:rsidP="00902FC6">
            <w:pPr>
              <w:pStyle w:val="Tabela"/>
              <w:rPr>
                <w:sz w:val="18"/>
                <w:szCs w:val="20"/>
              </w:rPr>
            </w:pPr>
            <w:r w:rsidRPr="00EC250C">
              <w:rPr>
                <w:sz w:val="18"/>
                <w:szCs w:val="20"/>
              </w:rPr>
              <w:t>20.10.2018</w:t>
            </w:r>
            <w:r w:rsidR="00C91F6E" w:rsidRPr="00EC250C">
              <w:rPr>
                <w:sz w:val="18"/>
                <w:szCs w:val="20"/>
              </w:rPr>
              <w:t> r.</w:t>
            </w:r>
          </w:p>
        </w:tc>
      </w:tr>
      <w:tr w:rsidR="00250AC8" w:rsidRPr="00EC250C" w14:paraId="63F46F41" w14:textId="77777777" w:rsidTr="00FC47F2">
        <w:trPr>
          <w:tblCellSpacing w:w="20" w:type="dxa"/>
        </w:trPr>
        <w:tc>
          <w:tcPr>
            <w:tcW w:w="658" w:type="dxa"/>
          </w:tcPr>
          <w:p w14:paraId="39A8125C" w14:textId="77777777" w:rsidR="00250AC8" w:rsidRPr="00EC250C" w:rsidRDefault="00250AC8" w:rsidP="006C70B7">
            <w:pPr>
              <w:pStyle w:val="Tabela"/>
              <w:numPr>
                <w:ilvl w:val="0"/>
                <w:numId w:val="80"/>
              </w:numPr>
              <w:ind w:left="0" w:firstLine="0"/>
              <w:jc w:val="both"/>
            </w:pPr>
          </w:p>
        </w:tc>
        <w:tc>
          <w:tcPr>
            <w:tcW w:w="7331" w:type="dxa"/>
          </w:tcPr>
          <w:p w14:paraId="7FD523D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konferencji nt. „Pomoc dzieciom – ofiarom przestępstw” zorganizowanej przez Fundację Dajemy Dzieciom Siłę. Warszawa.</w:t>
            </w:r>
          </w:p>
        </w:tc>
        <w:tc>
          <w:tcPr>
            <w:tcW w:w="1687" w:type="dxa"/>
          </w:tcPr>
          <w:p w14:paraId="2ECC054F" w14:textId="77777777" w:rsidR="00250AC8" w:rsidRPr="00EC250C" w:rsidRDefault="00250AC8" w:rsidP="00902FC6">
            <w:pPr>
              <w:pStyle w:val="Tabela"/>
              <w:rPr>
                <w:sz w:val="18"/>
                <w:szCs w:val="20"/>
              </w:rPr>
            </w:pPr>
            <w:r w:rsidRPr="00EC250C">
              <w:rPr>
                <w:sz w:val="18"/>
                <w:szCs w:val="20"/>
              </w:rPr>
              <w:t>22.10.2018</w:t>
            </w:r>
            <w:r w:rsidR="00C91F6E" w:rsidRPr="00EC250C">
              <w:rPr>
                <w:sz w:val="18"/>
                <w:szCs w:val="20"/>
              </w:rPr>
              <w:t> r.</w:t>
            </w:r>
          </w:p>
        </w:tc>
      </w:tr>
      <w:tr w:rsidR="00250AC8" w:rsidRPr="00EC250C" w14:paraId="30035054" w14:textId="77777777" w:rsidTr="00FC47F2">
        <w:trPr>
          <w:tblCellSpacing w:w="20" w:type="dxa"/>
        </w:trPr>
        <w:tc>
          <w:tcPr>
            <w:tcW w:w="658" w:type="dxa"/>
          </w:tcPr>
          <w:p w14:paraId="335CFC5C" w14:textId="77777777" w:rsidR="00250AC8" w:rsidRPr="00EC250C" w:rsidRDefault="00250AC8" w:rsidP="006C70B7">
            <w:pPr>
              <w:pStyle w:val="Tabela"/>
              <w:numPr>
                <w:ilvl w:val="0"/>
                <w:numId w:val="80"/>
              </w:numPr>
              <w:ind w:left="0" w:firstLine="0"/>
              <w:jc w:val="both"/>
            </w:pPr>
          </w:p>
        </w:tc>
        <w:tc>
          <w:tcPr>
            <w:tcW w:w="7331" w:type="dxa"/>
          </w:tcPr>
          <w:p w14:paraId="114A36E8" w14:textId="77777777" w:rsidR="00250AC8" w:rsidRPr="00EC250C" w:rsidRDefault="00250AC8" w:rsidP="00902FC6">
            <w:pPr>
              <w:pStyle w:val="Tabela"/>
              <w:rPr>
                <w:sz w:val="18"/>
                <w:szCs w:val="20"/>
              </w:rPr>
            </w:pPr>
            <w:r w:rsidRPr="00EC250C">
              <w:rPr>
                <w:sz w:val="18"/>
                <w:szCs w:val="20"/>
              </w:rPr>
              <w:t>Seminarium „Projektowanie dostępności” zorganizowane przez Lubelski Instytut Designu. Lublin.</w:t>
            </w:r>
          </w:p>
        </w:tc>
        <w:tc>
          <w:tcPr>
            <w:tcW w:w="1687" w:type="dxa"/>
          </w:tcPr>
          <w:p w14:paraId="672921D2" w14:textId="77777777" w:rsidR="00250AC8" w:rsidRPr="00EC250C" w:rsidRDefault="00250AC8" w:rsidP="00902FC6">
            <w:pPr>
              <w:pStyle w:val="Tabela"/>
              <w:rPr>
                <w:sz w:val="18"/>
                <w:szCs w:val="20"/>
              </w:rPr>
            </w:pPr>
            <w:r w:rsidRPr="00EC250C">
              <w:rPr>
                <w:sz w:val="18"/>
                <w:szCs w:val="20"/>
              </w:rPr>
              <w:t>23.10.2018</w:t>
            </w:r>
            <w:r w:rsidR="00C91F6E" w:rsidRPr="00EC250C">
              <w:rPr>
                <w:sz w:val="18"/>
                <w:szCs w:val="20"/>
              </w:rPr>
              <w:t> r.</w:t>
            </w:r>
          </w:p>
        </w:tc>
      </w:tr>
      <w:tr w:rsidR="00250AC8" w:rsidRPr="00EC250C" w14:paraId="1E8BA58C" w14:textId="77777777" w:rsidTr="00FC47F2">
        <w:trPr>
          <w:tblCellSpacing w:w="20" w:type="dxa"/>
        </w:trPr>
        <w:tc>
          <w:tcPr>
            <w:tcW w:w="658" w:type="dxa"/>
          </w:tcPr>
          <w:p w14:paraId="0A2D7498" w14:textId="77777777" w:rsidR="00250AC8" w:rsidRPr="00EC250C" w:rsidRDefault="00250AC8" w:rsidP="006C70B7">
            <w:pPr>
              <w:pStyle w:val="Tabela"/>
              <w:numPr>
                <w:ilvl w:val="0"/>
                <w:numId w:val="80"/>
              </w:numPr>
              <w:ind w:left="0" w:firstLine="0"/>
              <w:jc w:val="both"/>
            </w:pPr>
          </w:p>
        </w:tc>
        <w:tc>
          <w:tcPr>
            <w:tcW w:w="7331" w:type="dxa"/>
          </w:tcPr>
          <w:p w14:paraId="0CDEA90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uroczystości wręczenia nagrody PONTIFICI 2018 prof. Adamowi Strzemboszowi. Warszawa.</w:t>
            </w:r>
          </w:p>
        </w:tc>
        <w:tc>
          <w:tcPr>
            <w:tcW w:w="1687" w:type="dxa"/>
          </w:tcPr>
          <w:p w14:paraId="5507927D" w14:textId="77777777" w:rsidR="00250AC8" w:rsidRPr="00EC250C" w:rsidRDefault="00250AC8" w:rsidP="00902FC6">
            <w:pPr>
              <w:pStyle w:val="Tabela"/>
              <w:rPr>
                <w:sz w:val="18"/>
                <w:szCs w:val="20"/>
              </w:rPr>
            </w:pPr>
            <w:r w:rsidRPr="00EC250C">
              <w:rPr>
                <w:sz w:val="18"/>
                <w:szCs w:val="20"/>
              </w:rPr>
              <w:t>24.10.2018</w:t>
            </w:r>
            <w:r w:rsidR="00C91F6E" w:rsidRPr="00EC250C">
              <w:rPr>
                <w:sz w:val="18"/>
                <w:szCs w:val="20"/>
              </w:rPr>
              <w:t> r.</w:t>
            </w:r>
          </w:p>
        </w:tc>
      </w:tr>
      <w:tr w:rsidR="00250AC8" w:rsidRPr="00EC250C" w14:paraId="722D9CD0" w14:textId="77777777" w:rsidTr="00FC47F2">
        <w:trPr>
          <w:tblCellSpacing w:w="20" w:type="dxa"/>
        </w:trPr>
        <w:tc>
          <w:tcPr>
            <w:tcW w:w="658" w:type="dxa"/>
          </w:tcPr>
          <w:p w14:paraId="6E5AA10E" w14:textId="77777777" w:rsidR="00250AC8" w:rsidRPr="00EC250C" w:rsidRDefault="00250AC8" w:rsidP="006C70B7">
            <w:pPr>
              <w:pStyle w:val="Tabela"/>
              <w:numPr>
                <w:ilvl w:val="0"/>
                <w:numId w:val="80"/>
              </w:numPr>
              <w:ind w:left="0" w:firstLine="0"/>
              <w:jc w:val="both"/>
            </w:pPr>
          </w:p>
        </w:tc>
        <w:tc>
          <w:tcPr>
            <w:tcW w:w="7331" w:type="dxa"/>
          </w:tcPr>
          <w:p w14:paraId="25E194F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IV Kongresie Osób</w:t>
            </w:r>
            <w:r w:rsidR="00992FD0" w:rsidRPr="00EC250C">
              <w:rPr>
                <w:sz w:val="18"/>
                <w:szCs w:val="20"/>
              </w:rPr>
              <w:t xml:space="preserve"> z </w:t>
            </w:r>
            <w:r w:rsidRPr="00EC250C">
              <w:rPr>
                <w:sz w:val="18"/>
                <w:szCs w:val="20"/>
              </w:rPr>
              <w:t>Niepełnosprawnościami. Warszawa.</w:t>
            </w:r>
          </w:p>
        </w:tc>
        <w:tc>
          <w:tcPr>
            <w:tcW w:w="1687" w:type="dxa"/>
          </w:tcPr>
          <w:p w14:paraId="5A1BA8F5" w14:textId="77777777" w:rsidR="00250AC8" w:rsidRPr="00EC250C" w:rsidRDefault="00250AC8" w:rsidP="00902FC6">
            <w:pPr>
              <w:pStyle w:val="Tabela"/>
              <w:rPr>
                <w:sz w:val="18"/>
                <w:szCs w:val="20"/>
              </w:rPr>
            </w:pPr>
            <w:r w:rsidRPr="00EC250C">
              <w:rPr>
                <w:sz w:val="18"/>
                <w:szCs w:val="20"/>
              </w:rPr>
              <w:t>25.10.2018</w:t>
            </w:r>
            <w:r w:rsidR="00C91F6E" w:rsidRPr="00EC250C">
              <w:rPr>
                <w:sz w:val="18"/>
                <w:szCs w:val="20"/>
              </w:rPr>
              <w:t> r.</w:t>
            </w:r>
          </w:p>
        </w:tc>
      </w:tr>
      <w:tr w:rsidR="00250AC8" w:rsidRPr="00EC250C" w14:paraId="449FFF7D" w14:textId="77777777" w:rsidTr="00FC47F2">
        <w:trPr>
          <w:tblCellSpacing w:w="20" w:type="dxa"/>
        </w:trPr>
        <w:tc>
          <w:tcPr>
            <w:tcW w:w="658" w:type="dxa"/>
          </w:tcPr>
          <w:p w14:paraId="5AE5C149" w14:textId="77777777" w:rsidR="00250AC8" w:rsidRPr="00EC250C" w:rsidRDefault="00250AC8" w:rsidP="006C70B7">
            <w:pPr>
              <w:pStyle w:val="Tabela"/>
              <w:numPr>
                <w:ilvl w:val="0"/>
                <w:numId w:val="80"/>
              </w:numPr>
              <w:ind w:left="0" w:firstLine="0"/>
              <w:jc w:val="both"/>
            </w:pPr>
          </w:p>
        </w:tc>
        <w:tc>
          <w:tcPr>
            <w:tcW w:w="7331" w:type="dxa"/>
          </w:tcPr>
          <w:p w14:paraId="3B34F2C0"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gali wręczania nagród „Warszawianka Roku 2018” zorganizowanej przez Miasto Stołeczne Warszawa. Warszawa.</w:t>
            </w:r>
          </w:p>
        </w:tc>
        <w:tc>
          <w:tcPr>
            <w:tcW w:w="1687" w:type="dxa"/>
          </w:tcPr>
          <w:p w14:paraId="7951726F" w14:textId="77777777" w:rsidR="00250AC8" w:rsidRPr="00EC250C" w:rsidRDefault="00250AC8" w:rsidP="00902FC6">
            <w:pPr>
              <w:pStyle w:val="Tabela"/>
              <w:rPr>
                <w:sz w:val="18"/>
                <w:szCs w:val="20"/>
              </w:rPr>
            </w:pPr>
            <w:r w:rsidRPr="00EC250C">
              <w:rPr>
                <w:sz w:val="18"/>
                <w:szCs w:val="20"/>
              </w:rPr>
              <w:t>25.10.2018</w:t>
            </w:r>
            <w:r w:rsidR="00C91F6E" w:rsidRPr="00EC250C">
              <w:rPr>
                <w:sz w:val="18"/>
                <w:szCs w:val="20"/>
              </w:rPr>
              <w:t> r.</w:t>
            </w:r>
          </w:p>
        </w:tc>
      </w:tr>
      <w:tr w:rsidR="00250AC8" w:rsidRPr="00EC250C" w14:paraId="0A62C7EA" w14:textId="77777777" w:rsidTr="00FC47F2">
        <w:trPr>
          <w:tblCellSpacing w:w="20" w:type="dxa"/>
        </w:trPr>
        <w:tc>
          <w:tcPr>
            <w:tcW w:w="658" w:type="dxa"/>
          </w:tcPr>
          <w:p w14:paraId="49193F4B" w14:textId="77777777" w:rsidR="00250AC8" w:rsidRPr="00EC250C" w:rsidRDefault="00250AC8" w:rsidP="006C70B7">
            <w:pPr>
              <w:pStyle w:val="Tabela"/>
              <w:numPr>
                <w:ilvl w:val="0"/>
                <w:numId w:val="80"/>
              </w:numPr>
              <w:ind w:left="0" w:firstLine="0"/>
              <w:jc w:val="both"/>
            </w:pPr>
          </w:p>
        </w:tc>
        <w:tc>
          <w:tcPr>
            <w:tcW w:w="7331" w:type="dxa"/>
          </w:tcPr>
          <w:p w14:paraId="689DF4C3"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z </w:t>
            </w:r>
            <w:r w:rsidRPr="00EC250C">
              <w:rPr>
                <w:sz w:val="18"/>
                <w:szCs w:val="20"/>
              </w:rPr>
              <w:t>Sędzią Sądu Najwyższego Stanisławem Zabłockim oraz Prof. Mirosławem Wyrzykowskim zorganizowane przez Rzecznika Praw Obywatelskich, Stowarzyszenie Sędziów Apelacji Warszawskiej „NIKE”, Stowarzyszenie Sędziów Polskich Iustitia – Oddział Warszawski, Stowarzyszenie Sędziów „Themis” oraz Wolne Sądy. Biuro RPO. Warszawa.</w:t>
            </w:r>
          </w:p>
        </w:tc>
        <w:tc>
          <w:tcPr>
            <w:tcW w:w="1687" w:type="dxa"/>
          </w:tcPr>
          <w:p w14:paraId="0EC3D8D9" w14:textId="77777777" w:rsidR="00250AC8" w:rsidRPr="00EC250C" w:rsidRDefault="00250AC8" w:rsidP="00902FC6">
            <w:pPr>
              <w:pStyle w:val="Tabela"/>
              <w:rPr>
                <w:sz w:val="18"/>
                <w:szCs w:val="20"/>
              </w:rPr>
            </w:pPr>
            <w:r w:rsidRPr="00EC250C">
              <w:rPr>
                <w:sz w:val="18"/>
                <w:szCs w:val="20"/>
              </w:rPr>
              <w:t>25.10.2018</w:t>
            </w:r>
            <w:r w:rsidR="00C91F6E" w:rsidRPr="00EC250C">
              <w:rPr>
                <w:sz w:val="18"/>
                <w:szCs w:val="20"/>
              </w:rPr>
              <w:t> r.</w:t>
            </w:r>
          </w:p>
        </w:tc>
      </w:tr>
      <w:tr w:rsidR="00250AC8" w:rsidRPr="00EC250C" w14:paraId="111F096E" w14:textId="77777777" w:rsidTr="00FC47F2">
        <w:trPr>
          <w:tblCellSpacing w:w="20" w:type="dxa"/>
        </w:trPr>
        <w:tc>
          <w:tcPr>
            <w:tcW w:w="658" w:type="dxa"/>
          </w:tcPr>
          <w:p w14:paraId="0A9C0FA3" w14:textId="77777777" w:rsidR="00250AC8" w:rsidRPr="00EC250C" w:rsidRDefault="00250AC8" w:rsidP="006C70B7">
            <w:pPr>
              <w:pStyle w:val="Tabela"/>
              <w:numPr>
                <w:ilvl w:val="0"/>
                <w:numId w:val="80"/>
              </w:numPr>
              <w:ind w:left="0" w:firstLine="0"/>
              <w:jc w:val="both"/>
            </w:pPr>
          </w:p>
        </w:tc>
        <w:tc>
          <w:tcPr>
            <w:tcW w:w="7331" w:type="dxa"/>
          </w:tcPr>
          <w:p w14:paraId="2010997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uroczystej Gali Nagrody im. Sergio de Mello. Kraków.</w:t>
            </w:r>
          </w:p>
        </w:tc>
        <w:tc>
          <w:tcPr>
            <w:tcW w:w="1687" w:type="dxa"/>
          </w:tcPr>
          <w:p w14:paraId="37DC1504" w14:textId="77777777" w:rsidR="00250AC8" w:rsidRPr="00EC250C" w:rsidRDefault="00250AC8" w:rsidP="00902FC6">
            <w:pPr>
              <w:pStyle w:val="Tabela"/>
              <w:rPr>
                <w:sz w:val="18"/>
                <w:szCs w:val="20"/>
              </w:rPr>
            </w:pPr>
            <w:r w:rsidRPr="00EC250C">
              <w:rPr>
                <w:sz w:val="18"/>
                <w:szCs w:val="20"/>
              </w:rPr>
              <w:t>26.10.2018</w:t>
            </w:r>
            <w:r w:rsidR="00C91F6E" w:rsidRPr="00EC250C">
              <w:rPr>
                <w:sz w:val="18"/>
                <w:szCs w:val="20"/>
              </w:rPr>
              <w:t> r.</w:t>
            </w:r>
          </w:p>
        </w:tc>
      </w:tr>
      <w:tr w:rsidR="00250AC8" w:rsidRPr="00EC250C" w14:paraId="11A4106D" w14:textId="77777777" w:rsidTr="00FC47F2">
        <w:trPr>
          <w:tblCellSpacing w:w="20" w:type="dxa"/>
        </w:trPr>
        <w:tc>
          <w:tcPr>
            <w:tcW w:w="658" w:type="dxa"/>
          </w:tcPr>
          <w:p w14:paraId="6EB985AB" w14:textId="77777777" w:rsidR="00250AC8" w:rsidRPr="00EC250C" w:rsidRDefault="00250AC8" w:rsidP="006C70B7">
            <w:pPr>
              <w:pStyle w:val="Tabela"/>
              <w:numPr>
                <w:ilvl w:val="0"/>
                <w:numId w:val="80"/>
              </w:numPr>
              <w:ind w:left="0" w:firstLine="0"/>
              <w:jc w:val="both"/>
            </w:pPr>
          </w:p>
        </w:tc>
        <w:tc>
          <w:tcPr>
            <w:tcW w:w="7331" w:type="dxa"/>
          </w:tcPr>
          <w:p w14:paraId="5E49E09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uroczystości wręczenia nagrody im. Ireny Sendlerowej. Warszawa.</w:t>
            </w:r>
          </w:p>
        </w:tc>
        <w:tc>
          <w:tcPr>
            <w:tcW w:w="1687" w:type="dxa"/>
          </w:tcPr>
          <w:p w14:paraId="533ACBAA" w14:textId="77777777" w:rsidR="00250AC8" w:rsidRPr="00EC250C" w:rsidRDefault="00250AC8" w:rsidP="00902FC6">
            <w:pPr>
              <w:pStyle w:val="Tabela"/>
              <w:rPr>
                <w:sz w:val="18"/>
                <w:szCs w:val="20"/>
              </w:rPr>
            </w:pPr>
            <w:r w:rsidRPr="00EC250C">
              <w:rPr>
                <w:sz w:val="18"/>
                <w:szCs w:val="20"/>
              </w:rPr>
              <w:t>26.10.2018</w:t>
            </w:r>
            <w:r w:rsidR="00C91F6E" w:rsidRPr="00EC250C">
              <w:rPr>
                <w:sz w:val="18"/>
                <w:szCs w:val="20"/>
              </w:rPr>
              <w:t> r.</w:t>
            </w:r>
          </w:p>
        </w:tc>
      </w:tr>
      <w:tr w:rsidR="00250AC8" w:rsidRPr="00EC250C" w14:paraId="422AA6E8" w14:textId="77777777" w:rsidTr="00FC47F2">
        <w:trPr>
          <w:tblCellSpacing w:w="20" w:type="dxa"/>
        </w:trPr>
        <w:tc>
          <w:tcPr>
            <w:tcW w:w="658" w:type="dxa"/>
          </w:tcPr>
          <w:p w14:paraId="5E16ED01" w14:textId="77777777" w:rsidR="00250AC8" w:rsidRPr="00EC250C" w:rsidRDefault="00250AC8" w:rsidP="006C70B7">
            <w:pPr>
              <w:pStyle w:val="Tabela"/>
              <w:numPr>
                <w:ilvl w:val="0"/>
                <w:numId w:val="80"/>
              </w:numPr>
              <w:ind w:left="0" w:firstLine="0"/>
              <w:jc w:val="both"/>
            </w:pPr>
          </w:p>
        </w:tc>
        <w:tc>
          <w:tcPr>
            <w:tcW w:w="7331" w:type="dxa"/>
          </w:tcPr>
          <w:p w14:paraId="308F1D2D" w14:textId="77777777" w:rsidR="00250AC8" w:rsidRPr="00EC250C" w:rsidRDefault="00250AC8" w:rsidP="00902FC6">
            <w:pPr>
              <w:pStyle w:val="Tabela"/>
              <w:rPr>
                <w:sz w:val="18"/>
                <w:szCs w:val="20"/>
              </w:rPr>
            </w:pPr>
            <w:r w:rsidRPr="00EC250C">
              <w:rPr>
                <w:sz w:val="18"/>
                <w:szCs w:val="20"/>
              </w:rPr>
              <w:t xml:space="preserve">Wykład </w:t>
            </w:r>
            <w:r w:rsidR="003C397F" w:rsidRPr="00EC250C">
              <w:rPr>
                <w:sz w:val="18"/>
                <w:szCs w:val="20"/>
              </w:rPr>
              <w:t>rzecznika praw obywatelskich</w:t>
            </w:r>
            <w:r w:rsidRPr="00EC250C">
              <w:rPr>
                <w:sz w:val="18"/>
                <w:szCs w:val="20"/>
              </w:rPr>
              <w:t xml:space="preserve"> Adama Bodnara podczas międzynarodowej konferencji nt. „The Prospect for Social Europe” zorganizowanej przez Katedrę Prawa Europejskiego WPiA UW oraz Centrum Prawa Brytyjskiego. Warszawa.</w:t>
            </w:r>
          </w:p>
        </w:tc>
        <w:tc>
          <w:tcPr>
            <w:tcW w:w="1687" w:type="dxa"/>
          </w:tcPr>
          <w:p w14:paraId="7D5F0AB4" w14:textId="77777777" w:rsidR="00250AC8" w:rsidRPr="00EC250C" w:rsidRDefault="00250AC8" w:rsidP="00902FC6">
            <w:pPr>
              <w:pStyle w:val="Tabela"/>
              <w:rPr>
                <w:sz w:val="18"/>
                <w:szCs w:val="20"/>
              </w:rPr>
            </w:pPr>
            <w:r w:rsidRPr="00EC250C">
              <w:rPr>
                <w:sz w:val="18"/>
                <w:szCs w:val="20"/>
              </w:rPr>
              <w:t>26.10.2018</w:t>
            </w:r>
            <w:r w:rsidR="00C91F6E" w:rsidRPr="00EC250C">
              <w:rPr>
                <w:sz w:val="18"/>
                <w:szCs w:val="20"/>
              </w:rPr>
              <w:t> r.</w:t>
            </w:r>
          </w:p>
        </w:tc>
      </w:tr>
      <w:tr w:rsidR="00250AC8" w:rsidRPr="00EC250C" w14:paraId="3834E6A8" w14:textId="77777777" w:rsidTr="00FC47F2">
        <w:trPr>
          <w:tblCellSpacing w:w="20" w:type="dxa"/>
        </w:trPr>
        <w:tc>
          <w:tcPr>
            <w:tcW w:w="658" w:type="dxa"/>
          </w:tcPr>
          <w:p w14:paraId="7951F482" w14:textId="77777777" w:rsidR="00250AC8" w:rsidRPr="00EC250C" w:rsidRDefault="00250AC8" w:rsidP="006C70B7">
            <w:pPr>
              <w:pStyle w:val="Tabela"/>
              <w:numPr>
                <w:ilvl w:val="0"/>
                <w:numId w:val="80"/>
              </w:numPr>
              <w:ind w:left="0" w:firstLine="0"/>
              <w:jc w:val="both"/>
            </w:pPr>
          </w:p>
        </w:tc>
        <w:tc>
          <w:tcPr>
            <w:tcW w:w="7331" w:type="dxa"/>
          </w:tcPr>
          <w:p w14:paraId="581E2473" w14:textId="77777777" w:rsidR="00250AC8" w:rsidRPr="00EC250C" w:rsidRDefault="00250AC8" w:rsidP="00902FC6">
            <w:pPr>
              <w:pStyle w:val="Tabela"/>
              <w:rPr>
                <w:sz w:val="18"/>
                <w:szCs w:val="20"/>
              </w:rPr>
            </w:pPr>
            <w:r w:rsidRPr="00EC250C">
              <w:rPr>
                <w:sz w:val="18"/>
                <w:szCs w:val="20"/>
              </w:rPr>
              <w:t>Konferencja nt. „Etyka sędziowska – granice, których nie może przekraczać sędzia” zorganizowana przez Stowarzyszenie Sędziów Polskich Iustitia. Opole.</w:t>
            </w:r>
          </w:p>
        </w:tc>
        <w:tc>
          <w:tcPr>
            <w:tcW w:w="1687" w:type="dxa"/>
          </w:tcPr>
          <w:p w14:paraId="1769281F" w14:textId="77777777" w:rsidR="00250AC8" w:rsidRPr="00EC250C" w:rsidRDefault="00250AC8" w:rsidP="00902FC6">
            <w:pPr>
              <w:pStyle w:val="Tabela"/>
              <w:rPr>
                <w:sz w:val="18"/>
                <w:szCs w:val="20"/>
              </w:rPr>
            </w:pPr>
            <w:r w:rsidRPr="00EC250C">
              <w:rPr>
                <w:sz w:val="18"/>
                <w:szCs w:val="20"/>
              </w:rPr>
              <w:t>26.10.2018</w:t>
            </w:r>
            <w:r w:rsidR="00C91F6E" w:rsidRPr="00EC250C">
              <w:rPr>
                <w:sz w:val="18"/>
                <w:szCs w:val="20"/>
              </w:rPr>
              <w:t> r.</w:t>
            </w:r>
          </w:p>
        </w:tc>
      </w:tr>
      <w:tr w:rsidR="00250AC8" w:rsidRPr="00EC250C" w14:paraId="03AE4A27" w14:textId="77777777" w:rsidTr="00FC47F2">
        <w:trPr>
          <w:tblCellSpacing w:w="20" w:type="dxa"/>
        </w:trPr>
        <w:tc>
          <w:tcPr>
            <w:tcW w:w="658" w:type="dxa"/>
          </w:tcPr>
          <w:p w14:paraId="60819A1D" w14:textId="77777777" w:rsidR="00250AC8" w:rsidRPr="00EC250C" w:rsidRDefault="00250AC8" w:rsidP="006C70B7">
            <w:pPr>
              <w:pStyle w:val="Tabela"/>
              <w:numPr>
                <w:ilvl w:val="0"/>
                <w:numId w:val="80"/>
              </w:numPr>
              <w:ind w:left="0" w:firstLine="0"/>
              <w:jc w:val="both"/>
            </w:pPr>
          </w:p>
        </w:tc>
        <w:tc>
          <w:tcPr>
            <w:tcW w:w="7331" w:type="dxa"/>
          </w:tcPr>
          <w:p w14:paraId="670237A1" w14:textId="77777777" w:rsidR="00250AC8" w:rsidRPr="00EC250C" w:rsidRDefault="00250AC8" w:rsidP="00902FC6">
            <w:pPr>
              <w:pStyle w:val="Tabela"/>
              <w:rPr>
                <w:sz w:val="18"/>
                <w:szCs w:val="20"/>
              </w:rPr>
            </w:pPr>
            <w:r w:rsidRPr="00EC250C">
              <w:rPr>
                <w:sz w:val="18"/>
                <w:szCs w:val="20"/>
              </w:rPr>
              <w:t>IV Śląska Konferencja Medyczno-Prawna nt. „Błąd medyczny, czyli jak działać, by nie stał się udziałem pacjenta lub medyka” zorganizowana przez Śląski Uniwersytet Medyczny, Uniwersytet Śląski, Śląską Izbę Lekarską, Okręgową Radę Adwokacką</w:t>
            </w:r>
            <w:r w:rsidR="00992FD0" w:rsidRPr="00EC250C">
              <w:rPr>
                <w:sz w:val="18"/>
                <w:szCs w:val="20"/>
              </w:rPr>
              <w:t xml:space="preserve"> w </w:t>
            </w:r>
            <w:r w:rsidRPr="00EC250C">
              <w:rPr>
                <w:sz w:val="18"/>
                <w:szCs w:val="20"/>
              </w:rPr>
              <w:t>Katowicach. Zabrze-Rokitnica.</w:t>
            </w:r>
          </w:p>
        </w:tc>
        <w:tc>
          <w:tcPr>
            <w:tcW w:w="1687" w:type="dxa"/>
          </w:tcPr>
          <w:p w14:paraId="5B1D074F" w14:textId="77777777" w:rsidR="00250AC8" w:rsidRPr="00EC250C" w:rsidRDefault="00250AC8" w:rsidP="00902FC6">
            <w:pPr>
              <w:pStyle w:val="Tabela"/>
              <w:rPr>
                <w:sz w:val="18"/>
                <w:szCs w:val="20"/>
              </w:rPr>
            </w:pPr>
            <w:r w:rsidRPr="00EC250C">
              <w:rPr>
                <w:sz w:val="18"/>
                <w:szCs w:val="20"/>
              </w:rPr>
              <w:t>26.10.2018</w:t>
            </w:r>
            <w:r w:rsidR="00C91F6E" w:rsidRPr="00EC250C">
              <w:rPr>
                <w:sz w:val="18"/>
                <w:szCs w:val="20"/>
              </w:rPr>
              <w:t> r.</w:t>
            </w:r>
          </w:p>
        </w:tc>
      </w:tr>
      <w:tr w:rsidR="00250AC8" w:rsidRPr="00EC250C" w14:paraId="6E4B7D63" w14:textId="77777777" w:rsidTr="00FC47F2">
        <w:trPr>
          <w:tblCellSpacing w:w="20" w:type="dxa"/>
        </w:trPr>
        <w:tc>
          <w:tcPr>
            <w:tcW w:w="658" w:type="dxa"/>
          </w:tcPr>
          <w:p w14:paraId="505F7596" w14:textId="77777777" w:rsidR="00250AC8" w:rsidRPr="00EC250C" w:rsidRDefault="00250AC8" w:rsidP="006C70B7">
            <w:pPr>
              <w:pStyle w:val="Tabela"/>
              <w:numPr>
                <w:ilvl w:val="0"/>
                <w:numId w:val="80"/>
              </w:numPr>
              <w:ind w:left="0" w:firstLine="0"/>
              <w:jc w:val="both"/>
            </w:pPr>
          </w:p>
        </w:tc>
        <w:tc>
          <w:tcPr>
            <w:tcW w:w="7331" w:type="dxa"/>
          </w:tcPr>
          <w:p w14:paraId="792ED6E7"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seminarium nt. „Kluczem do rozwiązania sprawy kredytów frankowych jest lepsza znajomość prawa europejskiego” zorganizowanym</w:t>
            </w:r>
            <w:r w:rsidR="00992FD0" w:rsidRPr="00EC250C">
              <w:rPr>
                <w:sz w:val="18"/>
                <w:szCs w:val="20"/>
              </w:rPr>
              <w:t xml:space="preserve"> w </w:t>
            </w:r>
            <w:r w:rsidRPr="00EC250C">
              <w:rPr>
                <w:sz w:val="18"/>
                <w:szCs w:val="20"/>
              </w:rPr>
              <w:t>Biurze RPO. Warszawa.</w:t>
            </w:r>
          </w:p>
        </w:tc>
        <w:tc>
          <w:tcPr>
            <w:tcW w:w="1687" w:type="dxa"/>
          </w:tcPr>
          <w:p w14:paraId="14F74CD6" w14:textId="77777777" w:rsidR="00250AC8" w:rsidRPr="00EC250C" w:rsidRDefault="00250AC8" w:rsidP="00902FC6">
            <w:pPr>
              <w:pStyle w:val="Tabela"/>
              <w:rPr>
                <w:sz w:val="18"/>
                <w:szCs w:val="20"/>
              </w:rPr>
            </w:pPr>
            <w:r w:rsidRPr="00EC250C">
              <w:rPr>
                <w:sz w:val="18"/>
                <w:szCs w:val="20"/>
              </w:rPr>
              <w:t>29.10.2018</w:t>
            </w:r>
            <w:r w:rsidR="00C91F6E" w:rsidRPr="00EC250C">
              <w:rPr>
                <w:sz w:val="18"/>
                <w:szCs w:val="20"/>
              </w:rPr>
              <w:t> r.</w:t>
            </w:r>
          </w:p>
        </w:tc>
      </w:tr>
      <w:tr w:rsidR="00250AC8" w:rsidRPr="00EC250C" w14:paraId="1BC55BF1" w14:textId="77777777" w:rsidTr="00FC47F2">
        <w:trPr>
          <w:tblCellSpacing w:w="20" w:type="dxa"/>
        </w:trPr>
        <w:tc>
          <w:tcPr>
            <w:tcW w:w="658" w:type="dxa"/>
          </w:tcPr>
          <w:p w14:paraId="61164263" w14:textId="77777777" w:rsidR="00250AC8" w:rsidRPr="00EC250C" w:rsidRDefault="00250AC8" w:rsidP="006C70B7">
            <w:pPr>
              <w:pStyle w:val="Tabela"/>
              <w:numPr>
                <w:ilvl w:val="0"/>
                <w:numId w:val="80"/>
              </w:numPr>
              <w:ind w:left="0" w:firstLine="0"/>
              <w:jc w:val="both"/>
            </w:pPr>
          </w:p>
        </w:tc>
        <w:tc>
          <w:tcPr>
            <w:tcW w:w="7331" w:type="dxa"/>
          </w:tcPr>
          <w:p w14:paraId="2DFDC0E2"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nt. „Praktyczne problemy stosowania ustawy</w:t>
            </w:r>
            <w:r w:rsidR="00992FD0" w:rsidRPr="00EC250C">
              <w:rPr>
                <w:sz w:val="18"/>
                <w:szCs w:val="20"/>
              </w:rPr>
              <w:t xml:space="preserve"> o </w:t>
            </w:r>
            <w:r w:rsidRPr="00EC250C">
              <w:rPr>
                <w:sz w:val="18"/>
                <w:szCs w:val="20"/>
              </w:rPr>
              <w:t>postępowaniu wobec osób zaburzonych psychicznie stwarzających zagrożenie dla życia, zdrowia lub wolności seksualnej innych osób” zorganizowanej przez Klinikę Psychiatrii Sądowej Instytutu Psychiatrii</w:t>
            </w:r>
            <w:r w:rsidR="00992FD0" w:rsidRPr="00EC250C">
              <w:rPr>
                <w:sz w:val="18"/>
                <w:szCs w:val="20"/>
              </w:rPr>
              <w:t xml:space="preserve"> i </w:t>
            </w:r>
            <w:r w:rsidRPr="00EC250C">
              <w:rPr>
                <w:sz w:val="18"/>
                <w:szCs w:val="20"/>
              </w:rPr>
              <w:t>Neurologii</w:t>
            </w:r>
            <w:r w:rsidR="00992FD0" w:rsidRPr="00EC250C">
              <w:rPr>
                <w:sz w:val="18"/>
                <w:szCs w:val="20"/>
              </w:rPr>
              <w:t xml:space="preserve"> w </w:t>
            </w:r>
            <w:r w:rsidRPr="00EC250C">
              <w:rPr>
                <w:sz w:val="18"/>
                <w:szCs w:val="20"/>
              </w:rPr>
              <w:t>Warszawie. Warszawa.</w:t>
            </w:r>
          </w:p>
        </w:tc>
        <w:tc>
          <w:tcPr>
            <w:tcW w:w="1687" w:type="dxa"/>
          </w:tcPr>
          <w:p w14:paraId="7ADD6DAC" w14:textId="77777777" w:rsidR="00250AC8" w:rsidRPr="00EC250C" w:rsidRDefault="00250AC8" w:rsidP="00902FC6">
            <w:pPr>
              <w:pStyle w:val="Tabela"/>
              <w:rPr>
                <w:sz w:val="18"/>
                <w:szCs w:val="20"/>
              </w:rPr>
            </w:pPr>
            <w:r w:rsidRPr="00EC250C">
              <w:rPr>
                <w:sz w:val="18"/>
                <w:szCs w:val="20"/>
              </w:rPr>
              <w:t>08.11.2018</w:t>
            </w:r>
            <w:r w:rsidR="00C91F6E" w:rsidRPr="00EC250C">
              <w:rPr>
                <w:sz w:val="18"/>
                <w:szCs w:val="20"/>
              </w:rPr>
              <w:t> r.</w:t>
            </w:r>
          </w:p>
        </w:tc>
      </w:tr>
      <w:tr w:rsidR="00250AC8" w:rsidRPr="00EC250C" w14:paraId="3BD97D24" w14:textId="77777777" w:rsidTr="00FC47F2">
        <w:trPr>
          <w:tblCellSpacing w:w="20" w:type="dxa"/>
        </w:trPr>
        <w:tc>
          <w:tcPr>
            <w:tcW w:w="658" w:type="dxa"/>
          </w:tcPr>
          <w:p w14:paraId="7D64FB26" w14:textId="77777777" w:rsidR="00250AC8" w:rsidRPr="00EC250C" w:rsidRDefault="00250AC8" w:rsidP="006C70B7">
            <w:pPr>
              <w:pStyle w:val="Tabela"/>
              <w:numPr>
                <w:ilvl w:val="0"/>
                <w:numId w:val="80"/>
              </w:numPr>
              <w:ind w:left="0" w:firstLine="0"/>
              <w:jc w:val="both"/>
            </w:pPr>
          </w:p>
        </w:tc>
        <w:tc>
          <w:tcPr>
            <w:tcW w:w="7331" w:type="dxa"/>
          </w:tcPr>
          <w:p w14:paraId="2603CF67"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wykładzie nt. „Czy gry wideo mogą promować prawa człowieka?” zorganizowanym</w:t>
            </w:r>
            <w:r w:rsidR="00992FD0" w:rsidRPr="00EC250C">
              <w:rPr>
                <w:sz w:val="18"/>
                <w:szCs w:val="20"/>
              </w:rPr>
              <w:t xml:space="preserve"> w </w:t>
            </w:r>
            <w:r w:rsidRPr="00EC250C">
              <w:rPr>
                <w:sz w:val="18"/>
                <w:szCs w:val="20"/>
              </w:rPr>
              <w:t>Biurze RPO. Warszawa.</w:t>
            </w:r>
          </w:p>
        </w:tc>
        <w:tc>
          <w:tcPr>
            <w:tcW w:w="1687" w:type="dxa"/>
          </w:tcPr>
          <w:p w14:paraId="7B3859C9" w14:textId="77777777" w:rsidR="00250AC8" w:rsidRPr="00EC250C" w:rsidRDefault="00250AC8" w:rsidP="00902FC6">
            <w:pPr>
              <w:pStyle w:val="Tabela"/>
              <w:rPr>
                <w:sz w:val="18"/>
                <w:szCs w:val="20"/>
              </w:rPr>
            </w:pPr>
            <w:r w:rsidRPr="00EC250C">
              <w:rPr>
                <w:sz w:val="18"/>
                <w:szCs w:val="20"/>
              </w:rPr>
              <w:t>13.11.2018</w:t>
            </w:r>
            <w:r w:rsidR="00C91F6E" w:rsidRPr="00EC250C">
              <w:rPr>
                <w:sz w:val="18"/>
                <w:szCs w:val="20"/>
              </w:rPr>
              <w:t> r.</w:t>
            </w:r>
          </w:p>
        </w:tc>
      </w:tr>
      <w:tr w:rsidR="00250AC8" w:rsidRPr="00EC250C" w14:paraId="119BDDA1" w14:textId="77777777" w:rsidTr="00FC47F2">
        <w:trPr>
          <w:tblCellSpacing w:w="20" w:type="dxa"/>
        </w:trPr>
        <w:tc>
          <w:tcPr>
            <w:tcW w:w="658" w:type="dxa"/>
          </w:tcPr>
          <w:p w14:paraId="21A29124" w14:textId="77777777" w:rsidR="00250AC8" w:rsidRPr="00EC250C" w:rsidRDefault="00250AC8" w:rsidP="006C70B7">
            <w:pPr>
              <w:pStyle w:val="Tabela"/>
              <w:numPr>
                <w:ilvl w:val="0"/>
                <w:numId w:val="80"/>
              </w:numPr>
              <w:ind w:left="0" w:firstLine="0"/>
              <w:jc w:val="both"/>
            </w:pPr>
          </w:p>
        </w:tc>
        <w:tc>
          <w:tcPr>
            <w:tcW w:w="7331" w:type="dxa"/>
          </w:tcPr>
          <w:p w14:paraId="74A6DB5B"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Forum Antydyskryminacyjnym zorganizowanym przez Rzecznika Praw Obywatelskich. Kraków.</w:t>
            </w:r>
          </w:p>
        </w:tc>
        <w:tc>
          <w:tcPr>
            <w:tcW w:w="1687" w:type="dxa"/>
          </w:tcPr>
          <w:p w14:paraId="403A24A0" w14:textId="77777777" w:rsidR="00250AC8" w:rsidRPr="00EC250C" w:rsidRDefault="00250AC8" w:rsidP="00902FC6">
            <w:pPr>
              <w:pStyle w:val="Tabela"/>
              <w:rPr>
                <w:sz w:val="18"/>
                <w:szCs w:val="20"/>
              </w:rPr>
            </w:pPr>
            <w:r w:rsidRPr="00EC250C">
              <w:rPr>
                <w:sz w:val="18"/>
                <w:szCs w:val="20"/>
              </w:rPr>
              <w:t>13.11.2018</w:t>
            </w:r>
            <w:r w:rsidR="00C91F6E" w:rsidRPr="00EC250C">
              <w:rPr>
                <w:sz w:val="18"/>
                <w:szCs w:val="20"/>
              </w:rPr>
              <w:t> r.</w:t>
            </w:r>
          </w:p>
        </w:tc>
      </w:tr>
      <w:tr w:rsidR="00250AC8" w:rsidRPr="00EC250C" w14:paraId="4A9CF76E" w14:textId="77777777" w:rsidTr="00FC47F2">
        <w:trPr>
          <w:tblCellSpacing w:w="20" w:type="dxa"/>
        </w:trPr>
        <w:tc>
          <w:tcPr>
            <w:tcW w:w="658" w:type="dxa"/>
          </w:tcPr>
          <w:p w14:paraId="23921240" w14:textId="77777777" w:rsidR="00250AC8" w:rsidRPr="00EC250C" w:rsidRDefault="00250AC8" w:rsidP="006C70B7">
            <w:pPr>
              <w:pStyle w:val="Tabela"/>
              <w:numPr>
                <w:ilvl w:val="0"/>
                <w:numId w:val="80"/>
              </w:numPr>
              <w:ind w:left="0" w:firstLine="0"/>
              <w:jc w:val="both"/>
            </w:pPr>
          </w:p>
        </w:tc>
        <w:tc>
          <w:tcPr>
            <w:tcW w:w="7331" w:type="dxa"/>
          </w:tcPr>
          <w:p w14:paraId="35D2F3E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seminarium nt. „Uczelnie bez dyskryminacji” zorganizowanym przez Uniwersytet Pedagogiczny im. KEN</w:t>
            </w:r>
            <w:r w:rsidR="00992FD0" w:rsidRPr="00EC250C">
              <w:rPr>
                <w:sz w:val="18"/>
                <w:szCs w:val="20"/>
              </w:rPr>
              <w:t xml:space="preserve"> w </w:t>
            </w:r>
            <w:r w:rsidRPr="00EC250C">
              <w:rPr>
                <w:sz w:val="18"/>
                <w:szCs w:val="20"/>
              </w:rPr>
              <w:t>Krakowie. Kraków.</w:t>
            </w:r>
          </w:p>
        </w:tc>
        <w:tc>
          <w:tcPr>
            <w:tcW w:w="1687" w:type="dxa"/>
          </w:tcPr>
          <w:p w14:paraId="78E37F70" w14:textId="77777777" w:rsidR="00250AC8" w:rsidRPr="00EC250C" w:rsidRDefault="00250AC8" w:rsidP="00902FC6">
            <w:pPr>
              <w:pStyle w:val="Tabela"/>
              <w:rPr>
                <w:sz w:val="18"/>
                <w:szCs w:val="20"/>
              </w:rPr>
            </w:pPr>
            <w:r w:rsidRPr="00EC250C">
              <w:rPr>
                <w:sz w:val="18"/>
                <w:szCs w:val="20"/>
              </w:rPr>
              <w:t>13.11.2018</w:t>
            </w:r>
            <w:r w:rsidR="00C91F6E" w:rsidRPr="00EC250C">
              <w:rPr>
                <w:sz w:val="18"/>
                <w:szCs w:val="20"/>
              </w:rPr>
              <w:t> r.</w:t>
            </w:r>
          </w:p>
        </w:tc>
      </w:tr>
      <w:tr w:rsidR="00250AC8" w:rsidRPr="00EC250C" w14:paraId="7BE795DE" w14:textId="77777777" w:rsidTr="00FC47F2">
        <w:trPr>
          <w:tblCellSpacing w:w="20" w:type="dxa"/>
        </w:trPr>
        <w:tc>
          <w:tcPr>
            <w:tcW w:w="658" w:type="dxa"/>
          </w:tcPr>
          <w:p w14:paraId="02CD07AA" w14:textId="77777777" w:rsidR="00250AC8" w:rsidRPr="00EC250C" w:rsidRDefault="00250AC8" w:rsidP="006C70B7">
            <w:pPr>
              <w:pStyle w:val="Tabela"/>
              <w:numPr>
                <w:ilvl w:val="0"/>
                <w:numId w:val="80"/>
              </w:numPr>
              <w:ind w:left="0" w:firstLine="0"/>
              <w:jc w:val="both"/>
            </w:pPr>
          </w:p>
        </w:tc>
        <w:tc>
          <w:tcPr>
            <w:tcW w:w="7331" w:type="dxa"/>
          </w:tcPr>
          <w:p w14:paraId="0EABA9ED" w14:textId="77777777" w:rsidR="00250AC8" w:rsidRPr="00EC250C" w:rsidRDefault="00250AC8" w:rsidP="00902FC6">
            <w:pPr>
              <w:pStyle w:val="Tabela"/>
              <w:rPr>
                <w:sz w:val="18"/>
                <w:szCs w:val="20"/>
              </w:rPr>
            </w:pPr>
            <w:r w:rsidRPr="00EC250C">
              <w:rPr>
                <w:sz w:val="18"/>
                <w:szCs w:val="20"/>
              </w:rPr>
              <w:t>Seminarium naukowe nt. „Sprawa drukarza</w:t>
            </w:r>
            <w:r w:rsidR="00992FD0" w:rsidRPr="00EC250C">
              <w:rPr>
                <w:sz w:val="18"/>
                <w:szCs w:val="20"/>
              </w:rPr>
              <w:t xml:space="preserve"> z </w:t>
            </w:r>
            <w:r w:rsidRPr="00EC250C">
              <w:rPr>
                <w:sz w:val="18"/>
                <w:szCs w:val="20"/>
              </w:rPr>
              <w:t>Łodzi –</w:t>
            </w:r>
            <w:r w:rsidR="00992FD0" w:rsidRPr="00EC250C">
              <w:rPr>
                <w:sz w:val="18"/>
                <w:szCs w:val="20"/>
              </w:rPr>
              <w:t xml:space="preserve"> o </w:t>
            </w:r>
            <w:r w:rsidRPr="00EC250C">
              <w:rPr>
                <w:sz w:val="18"/>
                <w:szCs w:val="20"/>
              </w:rPr>
              <w:t>granicach wolności sumienia</w:t>
            </w:r>
            <w:r w:rsidR="00992FD0" w:rsidRPr="00EC250C">
              <w:rPr>
                <w:sz w:val="18"/>
                <w:szCs w:val="20"/>
              </w:rPr>
              <w:t xml:space="preserve"> i </w:t>
            </w:r>
            <w:r w:rsidRPr="00EC250C">
              <w:rPr>
                <w:sz w:val="18"/>
                <w:szCs w:val="20"/>
              </w:rPr>
              <w:t>swobody działalności gospodarczej” zorganizowane przez Poznańskie Centrum Praw Człowieka INP PAN oraz Zakład Prawa Konstytucyjnego WPiA UAM</w:t>
            </w:r>
            <w:r w:rsidR="00992FD0" w:rsidRPr="00EC250C">
              <w:rPr>
                <w:sz w:val="18"/>
                <w:szCs w:val="20"/>
              </w:rPr>
              <w:t xml:space="preserve"> w </w:t>
            </w:r>
            <w:r w:rsidRPr="00EC250C">
              <w:rPr>
                <w:sz w:val="18"/>
                <w:szCs w:val="20"/>
              </w:rPr>
              <w:t>Poznaniu. Poznań.</w:t>
            </w:r>
          </w:p>
        </w:tc>
        <w:tc>
          <w:tcPr>
            <w:tcW w:w="1687" w:type="dxa"/>
          </w:tcPr>
          <w:p w14:paraId="6AA2A02C" w14:textId="77777777" w:rsidR="00250AC8" w:rsidRPr="00EC250C" w:rsidRDefault="00250AC8" w:rsidP="00902FC6">
            <w:pPr>
              <w:pStyle w:val="Tabela"/>
              <w:rPr>
                <w:sz w:val="18"/>
                <w:szCs w:val="20"/>
              </w:rPr>
            </w:pPr>
            <w:r w:rsidRPr="00EC250C">
              <w:rPr>
                <w:sz w:val="18"/>
                <w:szCs w:val="20"/>
              </w:rPr>
              <w:t>13.11.2018</w:t>
            </w:r>
            <w:r w:rsidR="00C91F6E" w:rsidRPr="00EC250C">
              <w:rPr>
                <w:sz w:val="18"/>
                <w:szCs w:val="20"/>
              </w:rPr>
              <w:t> r.</w:t>
            </w:r>
          </w:p>
        </w:tc>
      </w:tr>
      <w:tr w:rsidR="00250AC8" w:rsidRPr="00EC250C" w14:paraId="45DE8EC2" w14:textId="77777777" w:rsidTr="00FC47F2">
        <w:trPr>
          <w:tblCellSpacing w:w="20" w:type="dxa"/>
        </w:trPr>
        <w:tc>
          <w:tcPr>
            <w:tcW w:w="658" w:type="dxa"/>
          </w:tcPr>
          <w:p w14:paraId="7E6D5656" w14:textId="77777777" w:rsidR="00250AC8" w:rsidRPr="00EC250C" w:rsidRDefault="00250AC8" w:rsidP="006C70B7">
            <w:pPr>
              <w:pStyle w:val="Tabela"/>
              <w:numPr>
                <w:ilvl w:val="0"/>
                <w:numId w:val="80"/>
              </w:numPr>
              <w:ind w:left="0" w:firstLine="0"/>
              <w:jc w:val="both"/>
            </w:pPr>
          </w:p>
        </w:tc>
        <w:tc>
          <w:tcPr>
            <w:tcW w:w="7331" w:type="dxa"/>
          </w:tcPr>
          <w:p w14:paraId="439628A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14. Gali wręczenia Nagrody Radia ZET im. Andrzeja Woyciechowskiego za najlepszy materiał dziennikarski roku. Warszawa.</w:t>
            </w:r>
          </w:p>
        </w:tc>
        <w:tc>
          <w:tcPr>
            <w:tcW w:w="1687" w:type="dxa"/>
          </w:tcPr>
          <w:p w14:paraId="72A1D7BE" w14:textId="77777777" w:rsidR="00250AC8" w:rsidRPr="00EC250C" w:rsidRDefault="00250AC8" w:rsidP="00902FC6">
            <w:pPr>
              <w:pStyle w:val="Tabela"/>
              <w:rPr>
                <w:sz w:val="18"/>
                <w:szCs w:val="20"/>
              </w:rPr>
            </w:pPr>
            <w:r w:rsidRPr="00EC250C">
              <w:rPr>
                <w:sz w:val="18"/>
                <w:szCs w:val="20"/>
              </w:rPr>
              <w:t>14.11.2018</w:t>
            </w:r>
            <w:r w:rsidR="00C91F6E" w:rsidRPr="00EC250C">
              <w:rPr>
                <w:sz w:val="18"/>
                <w:szCs w:val="20"/>
              </w:rPr>
              <w:t> r.</w:t>
            </w:r>
          </w:p>
        </w:tc>
      </w:tr>
      <w:tr w:rsidR="00250AC8" w:rsidRPr="00EC250C" w14:paraId="6FA9DE84" w14:textId="77777777" w:rsidTr="00FC47F2">
        <w:trPr>
          <w:tblCellSpacing w:w="20" w:type="dxa"/>
        </w:trPr>
        <w:tc>
          <w:tcPr>
            <w:tcW w:w="658" w:type="dxa"/>
          </w:tcPr>
          <w:p w14:paraId="06177056" w14:textId="77777777" w:rsidR="00250AC8" w:rsidRPr="00EC250C" w:rsidRDefault="00250AC8" w:rsidP="006C70B7">
            <w:pPr>
              <w:pStyle w:val="Tabela"/>
              <w:numPr>
                <w:ilvl w:val="0"/>
                <w:numId w:val="80"/>
              </w:numPr>
              <w:ind w:left="0" w:firstLine="0"/>
              <w:jc w:val="both"/>
            </w:pPr>
          </w:p>
        </w:tc>
        <w:tc>
          <w:tcPr>
            <w:tcW w:w="7331" w:type="dxa"/>
          </w:tcPr>
          <w:p w14:paraId="4C3D4E23" w14:textId="77777777" w:rsidR="00250AC8" w:rsidRPr="00EC250C" w:rsidRDefault="00250AC8" w:rsidP="00902FC6">
            <w:pPr>
              <w:pStyle w:val="Tabela"/>
              <w:rPr>
                <w:sz w:val="18"/>
                <w:szCs w:val="20"/>
              </w:rPr>
            </w:pPr>
            <w:r w:rsidRPr="00EC250C">
              <w:rPr>
                <w:sz w:val="18"/>
                <w:szCs w:val="20"/>
              </w:rPr>
              <w:t>IV Podlaskie Forum Aktywności Osób Starszych nt. „Wpływamy na zmiany – otwieramy się na świat” zorganizowane przez Stowarzyszenie Szukamy Polski, Zarząd Województwa Podlaskiego</w:t>
            </w:r>
            <w:r w:rsidR="00992FD0" w:rsidRPr="00EC250C">
              <w:rPr>
                <w:sz w:val="18"/>
                <w:szCs w:val="20"/>
              </w:rPr>
              <w:t xml:space="preserve"> i </w:t>
            </w:r>
            <w:r w:rsidRPr="00EC250C">
              <w:rPr>
                <w:sz w:val="18"/>
                <w:szCs w:val="20"/>
              </w:rPr>
              <w:t>Radę Seniora przy Marszałku Województwa Podlaskiego. Białystok.</w:t>
            </w:r>
          </w:p>
        </w:tc>
        <w:tc>
          <w:tcPr>
            <w:tcW w:w="1687" w:type="dxa"/>
          </w:tcPr>
          <w:p w14:paraId="66EB65B6" w14:textId="77777777" w:rsidR="00250AC8" w:rsidRPr="00EC250C" w:rsidRDefault="00250AC8" w:rsidP="00902FC6">
            <w:pPr>
              <w:pStyle w:val="Tabela"/>
              <w:rPr>
                <w:sz w:val="18"/>
                <w:szCs w:val="20"/>
              </w:rPr>
            </w:pPr>
            <w:r w:rsidRPr="00EC250C">
              <w:rPr>
                <w:sz w:val="18"/>
                <w:szCs w:val="20"/>
              </w:rPr>
              <w:t>14.11.2018</w:t>
            </w:r>
            <w:r w:rsidR="00C91F6E" w:rsidRPr="00EC250C">
              <w:rPr>
                <w:sz w:val="18"/>
                <w:szCs w:val="20"/>
              </w:rPr>
              <w:t> r.</w:t>
            </w:r>
          </w:p>
        </w:tc>
      </w:tr>
      <w:tr w:rsidR="00250AC8" w:rsidRPr="00EC250C" w14:paraId="4C292965" w14:textId="77777777" w:rsidTr="00FC47F2">
        <w:trPr>
          <w:tblCellSpacing w:w="20" w:type="dxa"/>
        </w:trPr>
        <w:tc>
          <w:tcPr>
            <w:tcW w:w="658" w:type="dxa"/>
          </w:tcPr>
          <w:p w14:paraId="62CA6144" w14:textId="77777777" w:rsidR="00250AC8" w:rsidRPr="00EC250C" w:rsidRDefault="00250AC8" w:rsidP="006C70B7">
            <w:pPr>
              <w:pStyle w:val="Tabela"/>
              <w:numPr>
                <w:ilvl w:val="0"/>
                <w:numId w:val="80"/>
              </w:numPr>
              <w:ind w:left="0" w:firstLine="0"/>
              <w:jc w:val="both"/>
            </w:pPr>
          </w:p>
        </w:tc>
        <w:tc>
          <w:tcPr>
            <w:tcW w:w="7331" w:type="dxa"/>
          </w:tcPr>
          <w:p w14:paraId="09025C87"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Gali „Rising Stars Prawnicy-liderzy jutra 2018” zorganizowanej przez Gazetę Prawną. Warszawa.</w:t>
            </w:r>
          </w:p>
        </w:tc>
        <w:tc>
          <w:tcPr>
            <w:tcW w:w="1687" w:type="dxa"/>
          </w:tcPr>
          <w:p w14:paraId="3AA44CF5" w14:textId="77777777" w:rsidR="00250AC8" w:rsidRPr="00EC250C" w:rsidRDefault="00250AC8" w:rsidP="00902FC6">
            <w:pPr>
              <w:pStyle w:val="Tabela"/>
              <w:rPr>
                <w:sz w:val="18"/>
                <w:szCs w:val="20"/>
              </w:rPr>
            </w:pPr>
            <w:r w:rsidRPr="00EC250C">
              <w:rPr>
                <w:sz w:val="18"/>
                <w:szCs w:val="20"/>
              </w:rPr>
              <w:t>15.11.2018</w:t>
            </w:r>
            <w:r w:rsidR="00C91F6E" w:rsidRPr="00EC250C">
              <w:rPr>
                <w:sz w:val="18"/>
                <w:szCs w:val="20"/>
              </w:rPr>
              <w:t> r.</w:t>
            </w:r>
          </w:p>
        </w:tc>
      </w:tr>
      <w:tr w:rsidR="00250AC8" w:rsidRPr="00EC250C" w14:paraId="75162011" w14:textId="77777777" w:rsidTr="00FC47F2">
        <w:trPr>
          <w:tblCellSpacing w:w="20" w:type="dxa"/>
        </w:trPr>
        <w:tc>
          <w:tcPr>
            <w:tcW w:w="658" w:type="dxa"/>
          </w:tcPr>
          <w:p w14:paraId="6225F216" w14:textId="77777777" w:rsidR="00250AC8" w:rsidRPr="00EC250C" w:rsidRDefault="00250AC8" w:rsidP="006C70B7">
            <w:pPr>
              <w:pStyle w:val="Tabela"/>
              <w:numPr>
                <w:ilvl w:val="0"/>
                <w:numId w:val="80"/>
              </w:numPr>
              <w:ind w:left="0" w:firstLine="0"/>
              <w:jc w:val="both"/>
            </w:pPr>
          </w:p>
        </w:tc>
        <w:tc>
          <w:tcPr>
            <w:tcW w:w="7331" w:type="dxa"/>
          </w:tcPr>
          <w:p w14:paraId="64C5337F"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nt. „Wolność wyboru kobiet. Jak uczyć</w:t>
            </w:r>
            <w:r w:rsidR="00992FD0" w:rsidRPr="00EC250C">
              <w:rPr>
                <w:sz w:val="18"/>
                <w:szCs w:val="20"/>
              </w:rPr>
              <w:t xml:space="preserve"> o </w:t>
            </w:r>
            <w:r w:rsidRPr="00EC250C">
              <w:rPr>
                <w:sz w:val="18"/>
                <w:szCs w:val="20"/>
              </w:rPr>
              <w:t>równości</w:t>
            </w:r>
            <w:r w:rsidR="00992FD0" w:rsidRPr="00EC250C">
              <w:rPr>
                <w:sz w:val="18"/>
                <w:szCs w:val="20"/>
              </w:rPr>
              <w:t xml:space="preserve"> w </w:t>
            </w:r>
            <w:r w:rsidRPr="00EC250C">
              <w:rPr>
                <w:sz w:val="18"/>
                <w:szCs w:val="20"/>
              </w:rPr>
              <w:t>100 lat po uzyskaniu przez Polki praw wyborczych” zorganizowanej przez Uniwersytet Wrocławski. Wrocław.</w:t>
            </w:r>
          </w:p>
        </w:tc>
        <w:tc>
          <w:tcPr>
            <w:tcW w:w="1687" w:type="dxa"/>
          </w:tcPr>
          <w:p w14:paraId="7C55727D" w14:textId="77777777" w:rsidR="00250AC8" w:rsidRPr="00EC250C" w:rsidRDefault="00250AC8" w:rsidP="00902FC6">
            <w:pPr>
              <w:pStyle w:val="Tabela"/>
              <w:rPr>
                <w:sz w:val="18"/>
                <w:szCs w:val="20"/>
              </w:rPr>
            </w:pPr>
            <w:r w:rsidRPr="00EC250C">
              <w:rPr>
                <w:sz w:val="18"/>
                <w:szCs w:val="20"/>
              </w:rPr>
              <w:t>16.11.2018</w:t>
            </w:r>
            <w:r w:rsidR="00C91F6E" w:rsidRPr="00EC250C">
              <w:rPr>
                <w:sz w:val="18"/>
                <w:szCs w:val="20"/>
              </w:rPr>
              <w:t> r.</w:t>
            </w:r>
          </w:p>
        </w:tc>
      </w:tr>
      <w:tr w:rsidR="00250AC8" w:rsidRPr="00EC250C" w14:paraId="61C28788" w14:textId="77777777" w:rsidTr="00FC47F2">
        <w:trPr>
          <w:tblCellSpacing w:w="20" w:type="dxa"/>
        </w:trPr>
        <w:tc>
          <w:tcPr>
            <w:tcW w:w="658" w:type="dxa"/>
          </w:tcPr>
          <w:p w14:paraId="6CD9135A" w14:textId="77777777" w:rsidR="00250AC8" w:rsidRPr="00EC250C" w:rsidRDefault="00250AC8" w:rsidP="006C70B7">
            <w:pPr>
              <w:pStyle w:val="Tabela"/>
              <w:numPr>
                <w:ilvl w:val="0"/>
                <w:numId w:val="80"/>
              </w:numPr>
              <w:ind w:left="0" w:firstLine="0"/>
              <w:jc w:val="both"/>
            </w:pPr>
          </w:p>
        </w:tc>
        <w:tc>
          <w:tcPr>
            <w:tcW w:w="7331" w:type="dxa"/>
          </w:tcPr>
          <w:p w14:paraId="5EC8422E"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Gali wręczenia nagrody im. Macieja Lisa. Wrocław.</w:t>
            </w:r>
          </w:p>
        </w:tc>
        <w:tc>
          <w:tcPr>
            <w:tcW w:w="1687" w:type="dxa"/>
          </w:tcPr>
          <w:p w14:paraId="439FBA80" w14:textId="77777777" w:rsidR="00250AC8" w:rsidRPr="00EC250C" w:rsidRDefault="00250AC8" w:rsidP="00902FC6">
            <w:pPr>
              <w:pStyle w:val="Tabela"/>
              <w:rPr>
                <w:sz w:val="18"/>
                <w:szCs w:val="20"/>
              </w:rPr>
            </w:pPr>
            <w:r w:rsidRPr="00EC250C">
              <w:rPr>
                <w:sz w:val="18"/>
                <w:szCs w:val="20"/>
              </w:rPr>
              <w:t>16.11.2018</w:t>
            </w:r>
            <w:r w:rsidR="00C91F6E" w:rsidRPr="00EC250C">
              <w:rPr>
                <w:sz w:val="18"/>
                <w:szCs w:val="20"/>
              </w:rPr>
              <w:t> r.</w:t>
            </w:r>
          </w:p>
        </w:tc>
      </w:tr>
      <w:tr w:rsidR="00250AC8" w:rsidRPr="00EC250C" w14:paraId="5AFFE6EC" w14:textId="77777777" w:rsidTr="00FC47F2">
        <w:trPr>
          <w:tblCellSpacing w:w="20" w:type="dxa"/>
        </w:trPr>
        <w:tc>
          <w:tcPr>
            <w:tcW w:w="658" w:type="dxa"/>
          </w:tcPr>
          <w:p w14:paraId="7ED64DBC" w14:textId="77777777" w:rsidR="00250AC8" w:rsidRPr="00EC250C" w:rsidRDefault="00250AC8" w:rsidP="006C70B7">
            <w:pPr>
              <w:pStyle w:val="Tabela"/>
              <w:numPr>
                <w:ilvl w:val="0"/>
                <w:numId w:val="80"/>
              </w:numPr>
              <w:ind w:left="0" w:firstLine="0"/>
              <w:jc w:val="both"/>
            </w:pPr>
          </w:p>
        </w:tc>
        <w:tc>
          <w:tcPr>
            <w:tcW w:w="7331" w:type="dxa"/>
          </w:tcPr>
          <w:p w14:paraId="7E71239F" w14:textId="77777777" w:rsidR="00250AC8" w:rsidRPr="00EC250C" w:rsidRDefault="00250AC8" w:rsidP="00902FC6">
            <w:pPr>
              <w:pStyle w:val="Tabela"/>
              <w:rPr>
                <w:sz w:val="18"/>
                <w:szCs w:val="20"/>
              </w:rPr>
            </w:pPr>
            <w:r w:rsidRPr="00EC250C">
              <w:rPr>
                <w:sz w:val="18"/>
                <w:szCs w:val="20"/>
              </w:rPr>
              <w:t>Seminarium poświęcone upowszechnieniu Karty Praw Osób Bezdomnych zorganizowane przez Spółdzielnię Socjalną im. Karola Marcinkowskiego oraz Miejski Ośrodek Pomocy Społecznej</w:t>
            </w:r>
            <w:r w:rsidR="00992FD0" w:rsidRPr="00EC250C">
              <w:rPr>
                <w:sz w:val="18"/>
                <w:szCs w:val="20"/>
              </w:rPr>
              <w:t xml:space="preserve"> w </w:t>
            </w:r>
            <w:r w:rsidRPr="00EC250C">
              <w:rPr>
                <w:sz w:val="18"/>
                <w:szCs w:val="20"/>
              </w:rPr>
              <w:t>Chojnicach. Chojnice.</w:t>
            </w:r>
          </w:p>
        </w:tc>
        <w:tc>
          <w:tcPr>
            <w:tcW w:w="1687" w:type="dxa"/>
          </w:tcPr>
          <w:p w14:paraId="5570948E" w14:textId="77777777" w:rsidR="00250AC8" w:rsidRPr="00EC250C" w:rsidRDefault="00250AC8" w:rsidP="00902FC6">
            <w:pPr>
              <w:pStyle w:val="Tabela"/>
              <w:rPr>
                <w:sz w:val="18"/>
                <w:szCs w:val="20"/>
              </w:rPr>
            </w:pPr>
            <w:r w:rsidRPr="00EC250C">
              <w:rPr>
                <w:sz w:val="18"/>
                <w:szCs w:val="20"/>
              </w:rPr>
              <w:t>16.11.2018</w:t>
            </w:r>
            <w:r w:rsidR="00C91F6E" w:rsidRPr="00EC250C">
              <w:rPr>
                <w:sz w:val="18"/>
                <w:szCs w:val="20"/>
              </w:rPr>
              <w:t> r.</w:t>
            </w:r>
          </w:p>
        </w:tc>
      </w:tr>
      <w:tr w:rsidR="00250AC8" w:rsidRPr="00EC250C" w14:paraId="013E4B12" w14:textId="77777777" w:rsidTr="00FC47F2">
        <w:trPr>
          <w:tblCellSpacing w:w="20" w:type="dxa"/>
        </w:trPr>
        <w:tc>
          <w:tcPr>
            <w:tcW w:w="658" w:type="dxa"/>
          </w:tcPr>
          <w:p w14:paraId="264AD5AF" w14:textId="77777777" w:rsidR="00250AC8" w:rsidRPr="00EC250C" w:rsidRDefault="00250AC8" w:rsidP="006C70B7">
            <w:pPr>
              <w:pStyle w:val="Tabela"/>
              <w:numPr>
                <w:ilvl w:val="0"/>
                <w:numId w:val="80"/>
              </w:numPr>
              <w:ind w:left="0" w:firstLine="0"/>
              <w:jc w:val="both"/>
            </w:pPr>
          </w:p>
        </w:tc>
        <w:tc>
          <w:tcPr>
            <w:tcW w:w="7331" w:type="dxa"/>
          </w:tcPr>
          <w:p w14:paraId="1FF46E45"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konferencji „Prawa kobiet – perspektywa prawna osób wykonujących zawód radcy prawnego” zorganizowanej przez Warszawską Okręgową Izbę Radców Prawnych. Warszawa.</w:t>
            </w:r>
          </w:p>
        </w:tc>
        <w:tc>
          <w:tcPr>
            <w:tcW w:w="1687" w:type="dxa"/>
          </w:tcPr>
          <w:p w14:paraId="7F3722C8" w14:textId="77777777" w:rsidR="00250AC8" w:rsidRPr="00EC250C" w:rsidRDefault="00250AC8" w:rsidP="00902FC6">
            <w:pPr>
              <w:pStyle w:val="Tabela"/>
              <w:rPr>
                <w:sz w:val="18"/>
                <w:szCs w:val="20"/>
              </w:rPr>
            </w:pPr>
            <w:r w:rsidRPr="00EC250C">
              <w:rPr>
                <w:sz w:val="18"/>
                <w:szCs w:val="20"/>
              </w:rPr>
              <w:t>16.11.2018</w:t>
            </w:r>
            <w:r w:rsidR="00C91F6E" w:rsidRPr="00EC250C">
              <w:rPr>
                <w:sz w:val="18"/>
                <w:szCs w:val="20"/>
              </w:rPr>
              <w:t> r.</w:t>
            </w:r>
          </w:p>
        </w:tc>
      </w:tr>
      <w:tr w:rsidR="00250AC8" w:rsidRPr="00EC250C" w14:paraId="74B91658" w14:textId="77777777" w:rsidTr="00FC47F2">
        <w:trPr>
          <w:tblCellSpacing w:w="20" w:type="dxa"/>
        </w:trPr>
        <w:tc>
          <w:tcPr>
            <w:tcW w:w="658" w:type="dxa"/>
          </w:tcPr>
          <w:p w14:paraId="4DD2A11E" w14:textId="77777777" w:rsidR="00250AC8" w:rsidRPr="00EC250C" w:rsidRDefault="00250AC8" w:rsidP="006C70B7">
            <w:pPr>
              <w:pStyle w:val="Tabela"/>
              <w:numPr>
                <w:ilvl w:val="0"/>
                <w:numId w:val="80"/>
              </w:numPr>
              <w:ind w:left="0" w:firstLine="0"/>
              <w:jc w:val="both"/>
            </w:pPr>
          </w:p>
        </w:tc>
        <w:tc>
          <w:tcPr>
            <w:tcW w:w="7331" w:type="dxa"/>
          </w:tcPr>
          <w:p w14:paraId="247BE2DA" w14:textId="77777777" w:rsidR="00250AC8" w:rsidRPr="00EC250C" w:rsidRDefault="00250AC8" w:rsidP="00902FC6">
            <w:pPr>
              <w:pStyle w:val="Tabela"/>
              <w:rPr>
                <w:sz w:val="18"/>
                <w:szCs w:val="20"/>
              </w:rPr>
            </w:pPr>
            <w:r w:rsidRPr="00EC250C">
              <w:rPr>
                <w:sz w:val="18"/>
                <w:szCs w:val="20"/>
              </w:rPr>
              <w:t>Konferencja nt. „Rola pracy</w:t>
            </w:r>
            <w:r w:rsidR="00992FD0" w:rsidRPr="00EC250C">
              <w:rPr>
                <w:sz w:val="18"/>
                <w:szCs w:val="20"/>
              </w:rPr>
              <w:t xml:space="preserve"> w </w:t>
            </w:r>
            <w:r w:rsidRPr="00EC250C">
              <w:rPr>
                <w:sz w:val="18"/>
                <w:szCs w:val="20"/>
              </w:rPr>
              <w:t>ujęciu psychiatrii środowiskowej” zorganizowana przez Stowarzyszenie Feniks. Kołobrzeg.</w:t>
            </w:r>
          </w:p>
        </w:tc>
        <w:tc>
          <w:tcPr>
            <w:tcW w:w="1687" w:type="dxa"/>
          </w:tcPr>
          <w:p w14:paraId="3FBA9A2A" w14:textId="77777777" w:rsidR="00250AC8" w:rsidRPr="00EC250C" w:rsidRDefault="00250AC8" w:rsidP="00902FC6">
            <w:pPr>
              <w:pStyle w:val="Tabela"/>
              <w:rPr>
                <w:sz w:val="18"/>
                <w:szCs w:val="20"/>
              </w:rPr>
            </w:pPr>
            <w:r w:rsidRPr="00EC250C">
              <w:rPr>
                <w:sz w:val="18"/>
                <w:szCs w:val="20"/>
              </w:rPr>
              <w:t>16.11.2018</w:t>
            </w:r>
            <w:r w:rsidR="00C91F6E" w:rsidRPr="00EC250C">
              <w:rPr>
                <w:sz w:val="18"/>
                <w:szCs w:val="20"/>
              </w:rPr>
              <w:t> r.</w:t>
            </w:r>
          </w:p>
        </w:tc>
      </w:tr>
      <w:tr w:rsidR="00250AC8" w:rsidRPr="00EC250C" w14:paraId="6915AF49" w14:textId="77777777" w:rsidTr="00FC47F2">
        <w:trPr>
          <w:tblCellSpacing w:w="20" w:type="dxa"/>
        </w:trPr>
        <w:tc>
          <w:tcPr>
            <w:tcW w:w="658" w:type="dxa"/>
          </w:tcPr>
          <w:p w14:paraId="7B9B2D0B" w14:textId="77777777" w:rsidR="00250AC8" w:rsidRPr="00EC250C" w:rsidRDefault="00250AC8" w:rsidP="006C70B7">
            <w:pPr>
              <w:pStyle w:val="Tabela"/>
              <w:numPr>
                <w:ilvl w:val="0"/>
                <w:numId w:val="80"/>
              </w:numPr>
              <w:ind w:left="0" w:firstLine="0"/>
              <w:jc w:val="both"/>
            </w:pPr>
          </w:p>
        </w:tc>
        <w:tc>
          <w:tcPr>
            <w:tcW w:w="7331" w:type="dxa"/>
          </w:tcPr>
          <w:p w14:paraId="0B1C019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VII Gali wręczenia nagrody im. Prof. Zbigniewa Hołdy. Lublin.</w:t>
            </w:r>
          </w:p>
        </w:tc>
        <w:tc>
          <w:tcPr>
            <w:tcW w:w="1687" w:type="dxa"/>
          </w:tcPr>
          <w:p w14:paraId="4C761523" w14:textId="77777777" w:rsidR="00250AC8" w:rsidRPr="00EC250C" w:rsidRDefault="00250AC8" w:rsidP="00902FC6">
            <w:pPr>
              <w:pStyle w:val="Tabela"/>
              <w:rPr>
                <w:sz w:val="18"/>
                <w:szCs w:val="20"/>
              </w:rPr>
            </w:pPr>
            <w:r w:rsidRPr="00EC250C">
              <w:rPr>
                <w:sz w:val="18"/>
                <w:szCs w:val="20"/>
              </w:rPr>
              <w:t>17.11.2018</w:t>
            </w:r>
            <w:r w:rsidR="00C91F6E" w:rsidRPr="00EC250C">
              <w:rPr>
                <w:sz w:val="18"/>
                <w:szCs w:val="20"/>
              </w:rPr>
              <w:t> r.</w:t>
            </w:r>
          </w:p>
        </w:tc>
      </w:tr>
      <w:tr w:rsidR="00250AC8" w:rsidRPr="00EC250C" w14:paraId="6565AC13" w14:textId="77777777" w:rsidTr="00FC47F2">
        <w:trPr>
          <w:tblCellSpacing w:w="20" w:type="dxa"/>
        </w:trPr>
        <w:tc>
          <w:tcPr>
            <w:tcW w:w="658" w:type="dxa"/>
          </w:tcPr>
          <w:p w14:paraId="7FF27FF9" w14:textId="77777777" w:rsidR="00250AC8" w:rsidRPr="00EC250C" w:rsidRDefault="00250AC8" w:rsidP="006C70B7">
            <w:pPr>
              <w:pStyle w:val="Tabela"/>
              <w:numPr>
                <w:ilvl w:val="0"/>
                <w:numId w:val="80"/>
              </w:numPr>
              <w:ind w:left="0" w:firstLine="0"/>
              <w:jc w:val="both"/>
            </w:pPr>
          </w:p>
        </w:tc>
        <w:tc>
          <w:tcPr>
            <w:tcW w:w="7331" w:type="dxa"/>
          </w:tcPr>
          <w:p w14:paraId="15246859"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konferencji nt. „100 lat praw wyborczych kobiet</w:t>
            </w:r>
            <w:r w:rsidR="00992FD0" w:rsidRPr="00EC250C">
              <w:rPr>
                <w:sz w:val="18"/>
                <w:szCs w:val="20"/>
              </w:rPr>
              <w:t xml:space="preserve"> w </w:t>
            </w:r>
            <w:r w:rsidRPr="00EC250C">
              <w:rPr>
                <w:sz w:val="18"/>
                <w:szCs w:val="20"/>
              </w:rPr>
              <w:t>Polsce. Praca, rodzina, rozwój – perspektywa równych szans” zorganizowanej przez Kongres Kobiet. Warszawa.</w:t>
            </w:r>
          </w:p>
        </w:tc>
        <w:tc>
          <w:tcPr>
            <w:tcW w:w="1687" w:type="dxa"/>
          </w:tcPr>
          <w:p w14:paraId="30C3DF99" w14:textId="77777777" w:rsidR="00250AC8" w:rsidRPr="00EC250C" w:rsidRDefault="00250AC8" w:rsidP="00902FC6">
            <w:pPr>
              <w:pStyle w:val="Tabela"/>
              <w:rPr>
                <w:sz w:val="18"/>
                <w:szCs w:val="20"/>
              </w:rPr>
            </w:pPr>
            <w:r w:rsidRPr="00EC250C">
              <w:rPr>
                <w:sz w:val="18"/>
                <w:szCs w:val="20"/>
              </w:rPr>
              <w:t>19.11.2018</w:t>
            </w:r>
            <w:r w:rsidR="00C91F6E" w:rsidRPr="00EC250C">
              <w:rPr>
                <w:sz w:val="18"/>
                <w:szCs w:val="20"/>
              </w:rPr>
              <w:t> r.</w:t>
            </w:r>
          </w:p>
        </w:tc>
      </w:tr>
      <w:tr w:rsidR="00250AC8" w:rsidRPr="00EC250C" w14:paraId="03EB4C6E" w14:textId="77777777" w:rsidTr="00FC47F2">
        <w:trPr>
          <w:tblCellSpacing w:w="20" w:type="dxa"/>
        </w:trPr>
        <w:tc>
          <w:tcPr>
            <w:tcW w:w="658" w:type="dxa"/>
          </w:tcPr>
          <w:p w14:paraId="08873749" w14:textId="77777777" w:rsidR="00250AC8" w:rsidRPr="00EC250C" w:rsidRDefault="00250AC8" w:rsidP="006C70B7">
            <w:pPr>
              <w:pStyle w:val="Tabela"/>
              <w:numPr>
                <w:ilvl w:val="0"/>
                <w:numId w:val="80"/>
              </w:numPr>
              <w:ind w:left="0" w:firstLine="0"/>
              <w:jc w:val="both"/>
            </w:pPr>
          </w:p>
        </w:tc>
        <w:tc>
          <w:tcPr>
            <w:tcW w:w="7331" w:type="dxa"/>
          </w:tcPr>
          <w:p w14:paraId="4660B1F4" w14:textId="77777777" w:rsidR="00250AC8" w:rsidRPr="00EC250C" w:rsidRDefault="00250AC8" w:rsidP="00902FC6">
            <w:pPr>
              <w:pStyle w:val="Tabela"/>
              <w:rPr>
                <w:sz w:val="18"/>
                <w:szCs w:val="20"/>
              </w:rPr>
            </w:pPr>
            <w:r w:rsidRPr="00EC250C">
              <w:rPr>
                <w:sz w:val="18"/>
                <w:szCs w:val="20"/>
              </w:rPr>
              <w:t>Konferencja naukowa nt. „Ciemna liczba przestępstw – stare typy przestępstw, nowe możliwości wykrywania” zorganizowana przez Wydział Zamiejscowy Uniwersytetu SWPS</w:t>
            </w:r>
            <w:r w:rsidR="00992FD0" w:rsidRPr="00EC250C">
              <w:rPr>
                <w:sz w:val="18"/>
                <w:szCs w:val="20"/>
              </w:rPr>
              <w:t xml:space="preserve"> w </w:t>
            </w:r>
            <w:r w:rsidRPr="00EC250C">
              <w:rPr>
                <w:sz w:val="18"/>
                <w:szCs w:val="20"/>
              </w:rPr>
              <w:t>Katowicach. Katowice.</w:t>
            </w:r>
          </w:p>
        </w:tc>
        <w:tc>
          <w:tcPr>
            <w:tcW w:w="1687" w:type="dxa"/>
          </w:tcPr>
          <w:p w14:paraId="0697AD98" w14:textId="77777777" w:rsidR="00250AC8" w:rsidRPr="00EC250C" w:rsidRDefault="00250AC8" w:rsidP="00902FC6">
            <w:pPr>
              <w:pStyle w:val="Tabela"/>
              <w:rPr>
                <w:sz w:val="18"/>
                <w:szCs w:val="20"/>
              </w:rPr>
            </w:pPr>
            <w:r w:rsidRPr="00EC250C">
              <w:rPr>
                <w:sz w:val="18"/>
                <w:szCs w:val="20"/>
              </w:rPr>
              <w:t>19.11.2018</w:t>
            </w:r>
            <w:r w:rsidR="00C91F6E" w:rsidRPr="00EC250C">
              <w:rPr>
                <w:sz w:val="18"/>
                <w:szCs w:val="20"/>
              </w:rPr>
              <w:t> r.</w:t>
            </w:r>
          </w:p>
        </w:tc>
      </w:tr>
      <w:tr w:rsidR="00250AC8" w:rsidRPr="00EC250C" w14:paraId="7E6EA639" w14:textId="77777777" w:rsidTr="00FC47F2">
        <w:trPr>
          <w:tblCellSpacing w:w="20" w:type="dxa"/>
        </w:trPr>
        <w:tc>
          <w:tcPr>
            <w:tcW w:w="658" w:type="dxa"/>
          </w:tcPr>
          <w:p w14:paraId="74DFD1E1" w14:textId="77777777" w:rsidR="00250AC8" w:rsidRPr="00EC250C" w:rsidRDefault="00250AC8" w:rsidP="006C70B7">
            <w:pPr>
              <w:pStyle w:val="Tabela"/>
              <w:numPr>
                <w:ilvl w:val="0"/>
                <w:numId w:val="80"/>
              </w:numPr>
              <w:ind w:left="0" w:firstLine="0"/>
              <w:jc w:val="both"/>
            </w:pPr>
          </w:p>
        </w:tc>
        <w:tc>
          <w:tcPr>
            <w:tcW w:w="7331" w:type="dxa"/>
          </w:tcPr>
          <w:p w14:paraId="49838E3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VI edycji Tygodnia Konstytucyjnego zorganizowanego przez Stowarzyszenie im. Prof. Zbigniewa Hołdy. Warszawa.</w:t>
            </w:r>
          </w:p>
        </w:tc>
        <w:tc>
          <w:tcPr>
            <w:tcW w:w="1687" w:type="dxa"/>
          </w:tcPr>
          <w:p w14:paraId="56F48A68" w14:textId="77777777" w:rsidR="00250AC8" w:rsidRPr="00EC250C" w:rsidRDefault="00250AC8" w:rsidP="00902FC6">
            <w:pPr>
              <w:pStyle w:val="Tabela"/>
              <w:rPr>
                <w:sz w:val="18"/>
                <w:szCs w:val="20"/>
              </w:rPr>
            </w:pPr>
            <w:r w:rsidRPr="00EC250C">
              <w:rPr>
                <w:sz w:val="18"/>
                <w:szCs w:val="20"/>
              </w:rPr>
              <w:t>19–25.11.2018</w:t>
            </w:r>
            <w:r w:rsidR="00C91F6E" w:rsidRPr="00EC250C">
              <w:rPr>
                <w:sz w:val="18"/>
                <w:szCs w:val="20"/>
              </w:rPr>
              <w:t> r.</w:t>
            </w:r>
          </w:p>
        </w:tc>
      </w:tr>
      <w:tr w:rsidR="00250AC8" w:rsidRPr="00EC250C" w14:paraId="4DA0CED1" w14:textId="77777777" w:rsidTr="00FC47F2">
        <w:trPr>
          <w:tblCellSpacing w:w="20" w:type="dxa"/>
        </w:trPr>
        <w:tc>
          <w:tcPr>
            <w:tcW w:w="658" w:type="dxa"/>
          </w:tcPr>
          <w:p w14:paraId="75EBCEDE" w14:textId="77777777" w:rsidR="00250AC8" w:rsidRPr="00EC250C" w:rsidRDefault="00250AC8" w:rsidP="006C70B7">
            <w:pPr>
              <w:pStyle w:val="Tabela"/>
              <w:numPr>
                <w:ilvl w:val="0"/>
                <w:numId w:val="80"/>
              </w:numPr>
              <w:ind w:left="0" w:firstLine="0"/>
              <w:jc w:val="both"/>
            </w:pPr>
          </w:p>
        </w:tc>
        <w:tc>
          <w:tcPr>
            <w:tcW w:w="7331" w:type="dxa"/>
          </w:tcPr>
          <w:p w14:paraId="726C05B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Kongresie Open Eyes Economy Summit. Kraków.</w:t>
            </w:r>
          </w:p>
        </w:tc>
        <w:tc>
          <w:tcPr>
            <w:tcW w:w="1687" w:type="dxa"/>
          </w:tcPr>
          <w:p w14:paraId="3524536A" w14:textId="77777777" w:rsidR="00250AC8" w:rsidRPr="00EC250C" w:rsidRDefault="00250AC8" w:rsidP="00902FC6">
            <w:pPr>
              <w:pStyle w:val="Tabela"/>
              <w:rPr>
                <w:sz w:val="18"/>
                <w:szCs w:val="20"/>
              </w:rPr>
            </w:pPr>
            <w:r w:rsidRPr="00EC250C">
              <w:rPr>
                <w:sz w:val="18"/>
                <w:szCs w:val="20"/>
              </w:rPr>
              <w:t>21.11.2018</w:t>
            </w:r>
            <w:r w:rsidR="00C91F6E" w:rsidRPr="00EC250C">
              <w:rPr>
                <w:sz w:val="18"/>
                <w:szCs w:val="20"/>
              </w:rPr>
              <w:t> r.</w:t>
            </w:r>
          </w:p>
        </w:tc>
      </w:tr>
      <w:tr w:rsidR="00250AC8" w:rsidRPr="00EC250C" w14:paraId="13A03642" w14:textId="77777777" w:rsidTr="00FC47F2">
        <w:trPr>
          <w:tblCellSpacing w:w="20" w:type="dxa"/>
        </w:trPr>
        <w:tc>
          <w:tcPr>
            <w:tcW w:w="658" w:type="dxa"/>
          </w:tcPr>
          <w:p w14:paraId="2D2B0271" w14:textId="77777777" w:rsidR="00250AC8" w:rsidRPr="00EC250C" w:rsidRDefault="00250AC8" w:rsidP="006C70B7">
            <w:pPr>
              <w:pStyle w:val="Tabela"/>
              <w:numPr>
                <w:ilvl w:val="0"/>
                <w:numId w:val="80"/>
              </w:numPr>
              <w:ind w:left="0" w:firstLine="0"/>
              <w:jc w:val="both"/>
            </w:pPr>
          </w:p>
        </w:tc>
        <w:tc>
          <w:tcPr>
            <w:tcW w:w="7331" w:type="dxa"/>
          </w:tcPr>
          <w:p w14:paraId="66096CB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nt. „Masowa konsumpcja pornografii przez dzieci jako istotny problem społeczny” zorganizowanej przez Stowarzyszenie Twoja Sprawa. Warszawa.</w:t>
            </w:r>
          </w:p>
        </w:tc>
        <w:tc>
          <w:tcPr>
            <w:tcW w:w="1687" w:type="dxa"/>
          </w:tcPr>
          <w:p w14:paraId="129C5CC9" w14:textId="77777777" w:rsidR="00250AC8" w:rsidRPr="00EC250C" w:rsidRDefault="00250AC8" w:rsidP="00902FC6">
            <w:pPr>
              <w:pStyle w:val="Tabela"/>
              <w:rPr>
                <w:sz w:val="18"/>
                <w:szCs w:val="20"/>
              </w:rPr>
            </w:pPr>
            <w:r w:rsidRPr="00EC250C">
              <w:rPr>
                <w:sz w:val="18"/>
                <w:szCs w:val="20"/>
              </w:rPr>
              <w:t>21.11.2018</w:t>
            </w:r>
            <w:r w:rsidR="00C91F6E" w:rsidRPr="00EC250C">
              <w:rPr>
                <w:sz w:val="18"/>
                <w:szCs w:val="20"/>
              </w:rPr>
              <w:t> r.</w:t>
            </w:r>
          </w:p>
        </w:tc>
      </w:tr>
      <w:tr w:rsidR="00250AC8" w:rsidRPr="00EC250C" w14:paraId="3D8FE2CB" w14:textId="77777777" w:rsidTr="00FC47F2">
        <w:trPr>
          <w:tblCellSpacing w:w="20" w:type="dxa"/>
        </w:trPr>
        <w:tc>
          <w:tcPr>
            <w:tcW w:w="658" w:type="dxa"/>
          </w:tcPr>
          <w:p w14:paraId="044E2E0A" w14:textId="77777777" w:rsidR="00250AC8" w:rsidRPr="00EC250C" w:rsidRDefault="00250AC8" w:rsidP="006C70B7">
            <w:pPr>
              <w:pStyle w:val="Tabela"/>
              <w:numPr>
                <w:ilvl w:val="0"/>
                <w:numId w:val="80"/>
              </w:numPr>
              <w:ind w:left="0" w:firstLine="0"/>
              <w:jc w:val="both"/>
            </w:pPr>
          </w:p>
        </w:tc>
        <w:tc>
          <w:tcPr>
            <w:tcW w:w="7331" w:type="dxa"/>
          </w:tcPr>
          <w:p w14:paraId="4648E19E" w14:textId="77777777" w:rsidR="00250AC8" w:rsidRPr="00EC250C" w:rsidRDefault="00250AC8" w:rsidP="00902FC6">
            <w:pPr>
              <w:pStyle w:val="Tabela"/>
              <w:rPr>
                <w:sz w:val="18"/>
                <w:szCs w:val="20"/>
              </w:rPr>
            </w:pPr>
            <w:r w:rsidRPr="00EC250C">
              <w:rPr>
                <w:sz w:val="18"/>
                <w:szCs w:val="20"/>
              </w:rPr>
              <w:t>Wykład nt. „Sędzią być” prof. Jerzego Zajadły zorganizowany przez Stowarzyszenie Sędziów Apelacji Warszawskiej „NIKE”, Stowarzyszenie Sędziów Polskich Iustitia – Oddział</w:t>
            </w:r>
            <w:r w:rsidR="00992FD0" w:rsidRPr="00EC250C">
              <w:rPr>
                <w:sz w:val="18"/>
                <w:szCs w:val="20"/>
              </w:rPr>
              <w:t xml:space="preserve"> w </w:t>
            </w:r>
            <w:r w:rsidRPr="00EC250C">
              <w:rPr>
                <w:sz w:val="18"/>
                <w:szCs w:val="20"/>
              </w:rPr>
              <w:t>Warszawie, Stowarzyszenie Sędziów Themis, inicjatywę Wolne Sądy oraz Rzecznika Praw Obywatelskich. Biuro RPO. Warszawa.</w:t>
            </w:r>
          </w:p>
        </w:tc>
        <w:tc>
          <w:tcPr>
            <w:tcW w:w="1687" w:type="dxa"/>
          </w:tcPr>
          <w:p w14:paraId="750435C6" w14:textId="77777777" w:rsidR="00250AC8" w:rsidRPr="00EC250C" w:rsidRDefault="00250AC8" w:rsidP="00902FC6">
            <w:pPr>
              <w:pStyle w:val="Tabela"/>
              <w:rPr>
                <w:sz w:val="18"/>
                <w:szCs w:val="20"/>
              </w:rPr>
            </w:pPr>
            <w:r w:rsidRPr="00EC250C">
              <w:rPr>
                <w:sz w:val="18"/>
                <w:szCs w:val="20"/>
              </w:rPr>
              <w:t>22.11.2018</w:t>
            </w:r>
            <w:r w:rsidR="00C91F6E" w:rsidRPr="00EC250C">
              <w:rPr>
                <w:sz w:val="18"/>
                <w:szCs w:val="20"/>
              </w:rPr>
              <w:t> r.</w:t>
            </w:r>
          </w:p>
        </w:tc>
      </w:tr>
      <w:tr w:rsidR="00250AC8" w:rsidRPr="00EC250C" w14:paraId="2115CCBD" w14:textId="77777777" w:rsidTr="00FC47F2">
        <w:trPr>
          <w:tblCellSpacing w:w="20" w:type="dxa"/>
        </w:trPr>
        <w:tc>
          <w:tcPr>
            <w:tcW w:w="658" w:type="dxa"/>
          </w:tcPr>
          <w:p w14:paraId="53FC54F2" w14:textId="77777777" w:rsidR="00250AC8" w:rsidRPr="00EC250C" w:rsidRDefault="00250AC8" w:rsidP="006C70B7">
            <w:pPr>
              <w:pStyle w:val="Tabela"/>
              <w:numPr>
                <w:ilvl w:val="0"/>
                <w:numId w:val="80"/>
              </w:numPr>
              <w:ind w:left="0" w:firstLine="0"/>
              <w:jc w:val="both"/>
            </w:pPr>
          </w:p>
        </w:tc>
        <w:tc>
          <w:tcPr>
            <w:tcW w:w="7331" w:type="dxa"/>
          </w:tcPr>
          <w:p w14:paraId="1253A18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konferencji nt. „Niedokończona emancypacja? 100 lat praw wyborczych kobiet” zorganizowanej przez Rzecznika Praw Obywatelskich</w:t>
            </w:r>
            <w:r w:rsidR="00992FD0" w:rsidRPr="00EC250C">
              <w:rPr>
                <w:sz w:val="18"/>
                <w:szCs w:val="20"/>
              </w:rPr>
              <w:t xml:space="preserve"> i </w:t>
            </w:r>
            <w:r w:rsidRPr="00EC250C">
              <w:rPr>
                <w:sz w:val="18"/>
                <w:szCs w:val="20"/>
              </w:rPr>
              <w:t>SWPS Uniwersytet Humanistycznospołeczny. Warszawa.</w:t>
            </w:r>
          </w:p>
        </w:tc>
        <w:tc>
          <w:tcPr>
            <w:tcW w:w="1687" w:type="dxa"/>
          </w:tcPr>
          <w:p w14:paraId="2D689B2D" w14:textId="77777777" w:rsidR="00250AC8" w:rsidRPr="00EC250C" w:rsidRDefault="00250AC8" w:rsidP="00902FC6">
            <w:pPr>
              <w:pStyle w:val="Tabela"/>
              <w:rPr>
                <w:sz w:val="18"/>
                <w:szCs w:val="20"/>
              </w:rPr>
            </w:pPr>
            <w:r w:rsidRPr="00EC250C">
              <w:rPr>
                <w:sz w:val="18"/>
                <w:szCs w:val="20"/>
              </w:rPr>
              <w:t>22.11.2018</w:t>
            </w:r>
            <w:r w:rsidR="00C91F6E" w:rsidRPr="00EC250C">
              <w:rPr>
                <w:sz w:val="18"/>
                <w:szCs w:val="20"/>
              </w:rPr>
              <w:t> r.</w:t>
            </w:r>
          </w:p>
        </w:tc>
      </w:tr>
      <w:tr w:rsidR="00250AC8" w:rsidRPr="00EC250C" w14:paraId="4D7163A1" w14:textId="77777777" w:rsidTr="00FC47F2">
        <w:trPr>
          <w:tblCellSpacing w:w="20" w:type="dxa"/>
        </w:trPr>
        <w:tc>
          <w:tcPr>
            <w:tcW w:w="658" w:type="dxa"/>
          </w:tcPr>
          <w:p w14:paraId="5C5C3BC3" w14:textId="77777777" w:rsidR="00250AC8" w:rsidRPr="00EC250C" w:rsidRDefault="00250AC8" w:rsidP="006C70B7">
            <w:pPr>
              <w:pStyle w:val="Tabela"/>
              <w:numPr>
                <w:ilvl w:val="0"/>
                <w:numId w:val="80"/>
              </w:numPr>
              <w:ind w:left="0" w:firstLine="0"/>
              <w:jc w:val="both"/>
            </w:pPr>
          </w:p>
        </w:tc>
        <w:tc>
          <w:tcPr>
            <w:tcW w:w="7331" w:type="dxa"/>
          </w:tcPr>
          <w:p w14:paraId="596D7E28" w14:textId="77777777" w:rsidR="00250AC8" w:rsidRPr="00EC250C" w:rsidRDefault="00250AC8" w:rsidP="00902FC6">
            <w:pPr>
              <w:pStyle w:val="Tabela"/>
              <w:rPr>
                <w:sz w:val="18"/>
                <w:szCs w:val="20"/>
              </w:rPr>
            </w:pPr>
            <w:r w:rsidRPr="00EC250C">
              <w:rPr>
                <w:sz w:val="18"/>
                <w:szCs w:val="20"/>
              </w:rPr>
              <w:t xml:space="preserve">Wykład </w:t>
            </w:r>
            <w:r w:rsidR="003C397F" w:rsidRPr="00EC250C">
              <w:rPr>
                <w:sz w:val="18"/>
                <w:szCs w:val="20"/>
              </w:rPr>
              <w:t>rzecznika praw obywatelskich</w:t>
            </w:r>
            <w:r w:rsidRPr="00EC250C">
              <w:rPr>
                <w:sz w:val="18"/>
                <w:szCs w:val="20"/>
              </w:rPr>
              <w:t xml:space="preserve"> Adama Bodnara podczas konferencji nt. „Doktryna praw człowieka wobec różnorodności kulturowej” zorganizowanej przez Polskie Stowarzyszenie Badań Wspólnoty Europejskiej PECSA. Warszawa.</w:t>
            </w:r>
          </w:p>
        </w:tc>
        <w:tc>
          <w:tcPr>
            <w:tcW w:w="1687" w:type="dxa"/>
          </w:tcPr>
          <w:p w14:paraId="588DA7F6" w14:textId="77777777" w:rsidR="00250AC8" w:rsidRPr="00EC250C" w:rsidRDefault="00250AC8" w:rsidP="00902FC6">
            <w:pPr>
              <w:pStyle w:val="Tabela"/>
              <w:rPr>
                <w:sz w:val="18"/>
                <w:szCs w:val="20"/>
              </w:rPr>
            </w:pPr>
            <w:r w:rsidRPr="00EC250C">
              <w:rPr>
                <w:sz w:val="18"/>
                <w:szCs w:val="20"/>
              </w:rPr>
              <w:t>22.11.2018</w:t>
            </w:r>
            <w:r w:rsidR="00C91F6E" w:rsidRPr="00EC250C">
              <w:rPr>
                <w:sz w:val="18"/>
                <w:szCs w:val="20"/>
              </w:rPr>
              <w:t> r.</w:t>
            </w:r>
          </w:p>
        </w:tc>
      </w:tr>
      <w:tr w:rsidR="00250AC8" w:rsidRPr="00EC250C" w14:paraId="4F78CAFA" w14:textId="77777777" w:rsidTr="00FC47F2">
        <w:trPr>
          <w:tblCellSpacing w:w="20" w:type="dxa"/>
        </w:trPr>
        <w:tc>
          <w:tcPr>
            <w:tcW w:w="658" w:type="dxa"/>
          </w:tcPr>
          <w:p w14:paraId="1207FA79" w14:textId="77777777" w:rsidR="00250AC8" w:rsidRPr="00EC250C" w:rsidRDefault="00250AC8" w:rsidP="006C70B7">
            <w:pPr>
              <w:pStyle w:val="Tabela"/>
              <w:numPr>
                <w:ilvl w:val="0"/>
                <w:numId w:val="80"/>
              </w:numPr>
              <w:ind w:left="0" w:firstLine="0"/>
              <w:jc w:val="both"/>
            </w:pPr>
          </w:p>
        </w:tc>
        <w:tc>
          <w:tcPr>
            <w:tcW w:w="7331" w:type="dxa"/>
          </w:tcPr>
          <w:p w14:paraId="5720A569" w14:textId="77777777" w:rsidR="00250AC8" w:rsidRPr="00EC250C" w:rsidRDefault="00250AC8" w:rsidP="00902FC6">
            <w:pPr>
              <w:pStyle w:val="Tabela"/>
              <w:rPr>
                <w:sz w:val="18"/>
                <w:szCs w:val="20"/>
              </w:rPr>
            </w:pPr>
            <w:r w:rsidRPr="00EC250C">
              <w:rPr>
                <w:sz w:val="18"/>
                <w:szCs w:val="20"/>
              </w:rPr>
              <w:t>Konferencja naukowa nt. „Prawa człowieka</w:t>
            </w:r>
            <w:r w:rsidR="00992FD0" w:rsidRPr="00EC250C">
              <w:rPr>
                <w:sz w:val="18"/>
                <w:szCs w:val="20"/>
              </w:rPr>
              <w:t xml:space="preserve"> w </w:t>
            </w:r>
            <w:r w:rsidRPr="00EC250C">
              <w:rPr>
                <w:sz w:val="18"/>
                <w:szCs w:val="20"/>
              </w:rPr>
              <w:t>warunkach izolacji penitencjarnej. 25-lecie ratyfikacji Konwencji Praw Człowieka</w:t>
            </w:r>
            <w:r w:rsidR="00992FD0" w:rsidRPr="00EC250C">
              <w:rPr>
                <w:sz w:val="18"/>
                <w:szCs w:val="20"/>
              </w:rPr>
              <w:t xml:space="preserve"> w </w:t>
            </w:r>
            <w:r w:rsidRPr="00EC250C">
              <w:rPr>
                <w:sz w:val="18"/>
                <w:szCs w:val="20"/>
              </w:rPr>
              <w:t>Polsce” zorganizowana przez Wyższą Szkołę Biznesu</w:t>
            </w:r>
            <w:r w:rsidR="00992FD0" w:rsidRPr="00EC250C">
              <w:rPr>
                <w:sz w:val="18"/>
                <w:szCs w:val="20"/>
              </w:rPr>
              <w:t xml:space="preserve"> i </w:t>
            </w:r>
            <w:r w:rsidRPr="00EC250C">
              <w:rPr>
                <w:sz w:val="18"/>
                <w:szCs w:val="20"/>
              </w:rPr>
              <w:t>Służbę Więzienną – Oddział</w:t>
            </w:r>
            <w:r w:rsidR="00992FD0" w:rsidRPr="00EC250C">
              <w:rPr>
                <w:sz w:val="18"/>
                <w:szCs w:val="20"/>
              </w:rPr>
              <w:t xml:space="preserve"> w </w:t>
            </w:r>
            <w:r w:rsidRPr="00EC250C">
              <w:rPr>
                <w:sz w:val="18"/>
                <w:szCs w:val="20"/>
              </w:rPr>
              <w:t>Katowicach. Dąbrowa Górnicza.</w:t>
            </w:r>
          </w:p>
        </w:tc>
        <w:tc>
          <w:tcPr>
            <w:tcW w:w="1687" w:type="dxa"/>
          </w:tcPr>
          <w:p w14:paraId="1A76827E" w14:textId="77777777" w:rsidR="00250AC8" w:rsidRPr="00EC250C" w:rsidRDefault="00250AC8" w:rsidP="00902FC6">
            <w:pPr>
              <w:pStyle w:val="Tabela"/>
              <w:rPr>
                <w:sz w:val="18"/>
                <w:szCs w:val="20"/>
              </w:rPr>
            </w:pPr>
            <w:r w:rsidRPr="00EC250C">
              <w:rPr>
                <w:sz w:val="18"/>
                <w:szCs w:val="20"/>
              </w:rPr>
              <w:t>22.11.2018</w:t>
            </w:r>
            <w:r w:rsidR="00C91F6E" w:rsidRPr="00EC250C">
              <w:rPr>
                <w:sz w:val="18"/>
                <w:szCs w:val="20"/>
              </w:rPr>
              <w:t> r.</w:t>
            </w:r>
          </w:p>
        </w:tc>
      </w:tr>
      <w:tr w:rsidR="00250AC8" w:rsidRPr="00EC250C" w14:paraId="2B884DEB" w14:textId="77777777" w:rsidTr="00FC47F2">
        <w:trPr>
          <w:tblCellSpacing w:w="20" w:type="dxa"/>
        </w:trPr>
        <w:tc>
          <w:tcPr>
            <w:tcW w:w="658" w:type="dxa"/>
          </w:tcPr>
          <w:p w14:paraId="680FC34B" w14:textId="77777777" w:rsidR="00250AC8" w:rsidRPr="00EC250C" w:rsidRDefault="00250AC8" w:rsidP="006C70B7">
            <w:pPr>
              <w:pStyle w:val="Tabela"/>
              <w:numPr>
                <w:ilvl w:val="0"/>
                <w:numId w:val="80"/>
              </w:numPr>
              <w:ind w:left="0" w:firstLine="0"/>
              <w:jc w:val="both"/>
            </w:pPr>
          </w:p>
        </w:tc>
        <w:tc>
          <w:tcPr>
            <w:tcW w:w="7331" w:type="dxa"/>
          </w:tcPr>
          <w:p w14:paraId="3FC3F25B"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Gali 100-lecia Odrodzonej Adwokatury. Warszawa.</w:t>
            </w:r>
          </w:p>
        </w:tc>
        <w:tc>
          <w:tcPr>
            <w:tcW w:w="1687" w:type="dxa"/>
          </w:tcPr>
          <w:p w14:paraId="5B356C4B" w14:textId="77777777" w:rsidR="00250AC8" w:rsidRPr="00EC250C" w:rsidRDefault="00250AC8" w:rsidP="00902FC6">
            <w:pPr>
              <w:pStyle w:val="Tabela"/>
              <w:rPr>
                <w:sz w:val="18"/>
                <w:szCs w:val="20"/>
              </w:rPr>
            </w:pPr>
            <w:r w:rsidRPr="00EC250C">
              <w:rPr>
                <w:sz w:val="18"/>
                <w:szCs w:val="20"/>
              </w:rPr>
              <w:t>23.11.2018</w:t>
            </w:r>
            <w:r w:rsidR="00C91F6E" w:rsidRPr="00EC250C">
              <w:rPr>
                <w:sz w:val="18"/>
                <w:szCs w:val="20"/>
              </w:rPr>
              <w:t> r.</w:t>
            </w:r>
          </w:p>
        </w:tc>
      </w:tr>
      <w:tr w:rsidR="00250AC8" w:rsidRPr="00EC250C" w14:paraId="3873F133" w14:textId="77777777" w:rsidTr="00FC47F2">
        <w:trPr>
          <w:tblCellSpacing w:w="20" w:type="dxa"/>
        </w:trPr>
        <w:tc>
          <w:tcPr>
            <w:tcW w:w="658" w:type="dxa"/>
          </w:tcPr>
          <w:p w14:paraId="2721ED97" w14:textId="77777777" w:rsidR="00250AC8" w:rsidRPr="00EC250C" w:rsidRDefault="00250AC8" w:rsidP="006C70B7">
            <w:pPr>
              <w:pStyle w:val="Tabela"/>
              <w:numPr>
                <w:ilvl w:val="0"/>
                <w:numId w:val="80"/>
              </w:numPr>
              <w:ind w:left="0" w:firstLine="0"/>
              <w:jc w:val="both"/>
            </w:pPr>
          </w:p>
        </w:tc>
        <w:tc>
          <w:tcPr>
            <w:tcW w:w="7331" w:type="dxa"/>
          </w:tcPr>
          <w:p w14:paraId="5BA47CB1"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konferencji nt. „Kobiety Rządzą x 100” zorganizowanej przez Stowarzyszenie Sto Lat Głosu Kobiet</w:t>
            </w:r>
            <w:r w:rsidR="00992FD0" w:rsidRPr="00EC250C">
              <w:rPr>
                <w:sz w:val="18"/>
                <w:szCs w:val="20"/>
              </w:rPr>
              <w:t xml:space="preserve"> w </w:t>
            </w:r>
            <w:r w:rsidRPr="00EC250C">
              <w:rPr>
                <w:sz w:val="18"/>
                <w:szCs w:val="20"/>
              </w:rPr>
              <w:t>Międzynarodowym Centrum Kultury</w:t>
            </w:r>
            <w:r w:rsidR="00992FD0" w:rsidRPr="00EC250C">
              <w:rPr>
                <w:sz w:val="18"/>
                <w:szCs w:val="20"/>
              </w:rPr>
              <w:t xml:space="preserve"> w </w:t>
            </w:r>
            <w:r w:rsidRPr="00EC250C">
              <w:rPr>
                <w:sz w:val="18"/>
                <w:szCs w:val="20"/>
              </w:rPr>
              <w:t xml:space="preserve">Krakowie. </w:t>
            </w:r>
          </w:p>
        </w:tc>
        <w:tc>
          <w:tcPr>
            <w:tcW w:w="1687" w:type="dxa"/>
          </w:tcPr>
          <w:p w14:paraId="50506D0A" w14:textId="77777777" w:rsidR="00250AC8" w:rsidRPr="00EC250C" w:rsidRDefault="00250AC8" w:rsidP="00902FC6">
            <w:pPr>
              <w:pStyle w:val="Tabela"/>
              <w:rPr>
                <w:sz w:val="18"/>
                <w:szCs w:val="20"/>
              </w:rPr>
            </w:pPr>
            <w:r w:rsidRPr="00EC250C">
              <w:rPr>
                <w:sz w:val="18"/>
                <w:szCs w:val="20"/>
              </w:rPr>
              <w:t>23.11.2018</w:t>
            </w:r>
            <w:r w:rsidR="00C91F6E" w:rsidRPr="00EC250C">
              <w:rPr>
                <w:sz w:val="18"/>
                <w:szCs w:val="20"/>
              </w:rPr>
              <w:t> r.</w:t>
            </w:r>
          </w:p>
        </w:tc>
      </w:tr>
      <w:tr w:rsidR="00250AC8" w:rsidRPr="00EC250C" w14:paraId="507DA536" w14:textId="77777777" w:rsidTr="00FC47F2">
        <w:trPr>
          <w:tblCellSpacing w:w="20" w:type="dxa"/>
        </w:trPr>
        <w:tc>
          <w:tcPr>
            <w:tcW w:w="658" w:type="dxa"/>
          </w:tcPr>
          <w:p w14:paraId="52F8FFD4" w14:textId="77777777" w:rsidR="00250AC8" w:rsidRPr="00EC250C" w:rsidRDefault="00250AC8" w:rsidP="006C70B7">
            <w:pPr>
              <w:pStyle w:val="Tabela"/>
              <w:numPr>
                <w:ilvl w:val="0"/>
                <w:numId w:val="80"/>
              </w:numPr>
              <w:ind w:left="0" w:firstLine="0"/>
              <w:jc w:val="both"/>
            </w:pPr>
          </w:p>
        </w:tc>
        <w:tc>
          <w:tcPr>
            <w:tcW w:w="7331" w:type="dxa"/>
          </w:tcPr>
          <w:p w14:paraId="357B3ABD" w14:textId="77777777" w:rsidR="00250AC8" w:rsidRPr="00EC250C" w:rsidRDefault="00250AC8" w:rsidP="00902FC6">
            <w:pPr>
              <w:pStyle w:val="Tabela"/>
              <w:rPr>
                <w:sz w:val="18"/>
                <w:szCs w:val="20"/>
              </w:rPr>
            </w:pPr>
            <w:r w:rsidRPr="00EC250C">
              <w:rPr>
                <w:sz w:val="18"/>
                <w:szCs w:val="20"/>
              </w:rPr>
              <w:t>Konferencja nt. „Od ośrodka dziennego pobytu po kompleksowe wsparcie osób ze sprzężonymi niepełnosprawnościami” zorganizowana przez Milickie Stowarzyszenie Przyjaciół Dzieci</w:t>
            </w:r>
            <w:r w:rsidR="00992FD0" w:rsidRPr="00EC250C">
              <w:rPr>
                <w:sz w:val="18"/>
                <w:szCs w:val="20"/>
              </w:rPr>
              <w:t xml:space="preserve"> i </w:t>
            </w:r>
            <w:r w:rsidRPr="00EC250C">
              <w:rPr>
                <w:sz w:val="18"/>
                <w:szCs w:val="20"/>
              </w:rPr>
              <w:t>Osób Niepełnosprawnych</w:t>
            </w:r>
            <w:r w:rsidR="00992FD0" w:rsidRPr="00EC250C">
              <w:rPr>
                <w:sz w:val="18"/>
                <w:szCs w:val="20"/>
              </w:rPr>
              <w:t xml:space="preserve"> z </w:t>
            </w:r>
            <w:r w:rsidRPr="00EC250C">
              <w:rPr>
                <w:sz w:val="18"/>
                <w:szCs w:val="20"/>
              </w:rPr>
              <w:t>okazji 25-lecia działalności. Milicz.</w:t>
            </w:r>
          </w:p>
        </w:tc>
        <w:tc>
          <w:tcPr>
            <w:tcW w:w="1687" w:type="dxa"/>
          </w:tcPr>
          <w:p w14:paraId="53892C84" w14:textId="77777777" w:rsidR="00250AC8" w:rsidRPr="00EC250C" w:rsidRDefault="00250AC8" w:rsidP="00902FC6">
            <w:pPr>
              <w:pStyle w:val="Tabela"/>
              <w:rPr>
                <w:sz w:val="18"/>
                <w:szCs w:val="20"/>
              </w:rPr>
            </w:pPr>
            <w:r w:rsidRPr="00EC250C">
              <w:rPr>
                <w:sz w:val="18"/>
                <w:szCs w:val="20"/>
              </w:rPr>
              <w:t>23.11.2018</w:t>
            </w:r>
            <w:r w:rsidR="00C91F6E" w:rsidRPr="00EC250C">
              <w:rPr>
                <w:sz w:val="18"/>
                <w:szCs w:val="20"/>
              </w:rPr>
              <w:t> r.</w:t>
            </w:r>
          </w:p>
        </w:tc>
      </w:tr>
      <w:tr w:rsidR="00250AC8" w:rsidRPr="00EC250C" w14:paraId="187217F6" w14:textId="77777777" w:rsidTr="00FC47F2">
        <w:trPr>
          <w:tblCellSpacing w:w="20" w:type="dxa"/>
        </w:trPr>
        <w:tc>
          <w:tcPr>
            <w:tcW w:w="658" w:type="dxa"/>
          </w:tcPr>
          <w:p w14:paraId="7F37D99C" w14:textId="77777777" w:rsidR="00250AC8" w:rsidRPr="00EC250C" w:rsidRDefault="00250AC8" w:rsidP="006C70B7">
            <w:pPr>
              <w:pStyle w:val="Tabela"/>
              <w:numPr>
                <w:ilvl w:val="0"/>
                <w:numId w:val="80"/>
              </w:numPr>
              <w:ind w:left="0" w:firstLine="0"/>
              <w:jc w:val="both"/>
            </w:pPr>
          </w:p>
        </w:tc>
        <w:tc>
          <w:tcPr>
            <w:tcW w:w="7331" w:type="dxa"/>
          </w:tcPr>
          <w:p w14:paraId="1CA44370" w14:textId="77777777" w:rsidR="00250AC8" w:rsidRPr="00EC250C" w:rsidRDefault="00250AC8" w:rsidP="00902FC6">
            <w:pPr>
              <w:pStyle w:val="Tabela"/>
              <w:rPr>
                <w:sz w:val="18"/>
                <w:szCs w:val="20"/>
              </w:rPr>
            </w:pPr>
            <w:r w:rsidRPr="00EC250C">
              <w:rPr>
                <w:sz w:val="18"/>
                <w:szCs w:val="20"/>
              </w:rPr>
              <w:t>Gala Finałowa Konkursu „Sapere aude – miej odwagę być mądrym” zorganizowana przez Wyższą Szkołę Administracji</w:t>
            </w:r>
            <w:r w:rsidR="00992FD0" w:rsidRPr="00EC250C">
              <w:rPr>
                <w:sz w:val="18"/>
                <w:szCs w:val="20"/>
              </w:rPr>
              <w:t xml:space="preserve"> i </w:t>
            </w:r>
            <w:r w:rsidRPr="00EC250C">
              <w:rPr>
                <w:sz w:val="18"/>
                <w:szCs w:val="20"/>
              </w:rPr>
              <w:t>Biznesu</w:t>
            </w:r>
            <w:r w:rsidR="00992FD0" w:rsidRPr="00EC250C">
              <w:rPr>
                <w:sz w:val="18"/>
                <w:szCs w:val="20"/>
              </w:rPr>
              <w:t xml:space="preserve"> w </w:t>
            </w:r>
            <w:r w:rsidRPr="00EC250C">
              <w:rPr>
                <w:sz w:val="18"/>
                <w:szCs w:val="20"/>
              </w:rPr>
              <w:t>Gdyni. Gdynia.</w:t>
            </w:r>
          </w:p>
        </w:tc>
        <w:tc>
          <w:tcPr>
            <w:tcW w:w="1687" w:type="dxa"/>
          </w:tcPr>
          <w:p w14:paraId="64BBECA3" w14:textId="77777777" w:rsidR="00250AC8" w:rsidRPr="00EC250C" w:rsidRDefault="00250AC8" w:rsidP="00902FC6">
            <w:pPr>
              <w:pStyle w:val="Tabela"/>
              <w:rPr>
                <w:sz w:val="18"/>
                <w:szCs w:val="20"/>
              </w:rPr>
            </w:pPr>
            <w:r w:rsidRPr="00EC250C">
              <w:rPr>
                <w:sz w:val="18"/>
                <w:szCs w:val="20"/>
              </w:rPr>
              <w:t>23.11.2018</w:t>
            </w:r>
            <w:r w:rsidR="00C91F6E" w:rsidRPr="00EC250C">
              <w:rPr>
                <w:sz w:val="18"/>
                <w:szCs w:val="20"/>
              </w:rPr>
              <w:t> r.</w:t>
            </w:r>
          </w:p>
        </w:tc>
      </w:tr>
      <w:tr w:rsidR="00250AC8" w:rsidRPr="00EC250C" w14:paraId="66AE2726" w14:textId="77777777" w:rsidTr="00FC47F2">
        <w:trPr>
          <w:tblCellSpacing w:w="20" w:type="dxa"/>
        </w:trPr>
        <w:tc>
          <w:tcPr>
            <w:tcW w:w="658" w:type="dxa"/>
          </w:tcPr>
          <w:p w14:paraId="6C0DFDAC" w14:textId="77777777" w:rsidR="00250AC8" w:rsidRPr="00EC250C" w:rsidRDefault="00250AC8" w:rsidP="006C70B7">
            <w:pPr>
              <w:pStyle w:val="Tabela"/>
              <w:numPr>
                <w:ilvl w:val="0"/>
                <w:numId w:val="80"/>
              </w:numPr>
              <w:ind w:left="0" w:firstLine="0"/>
              <w:jc w:val="both"/>
            </w:pPr>
          </w:p>
        </w:tc>
        <w:tc>
          <w:tcPr>
            <w:tcW w:w="7331" w:type="dxa"/>
          </w:tcPr>
          <w:p w14:paraId="6FC9B05C" w14:textId="77777777" w:rsidR="00250AC8" w:rsidRPr="00EC250C" w:rsidRDefault="00250AC8" w:rsidP="00902FC6">
            <w:pPr>
              <w:pStyle w:val="Tabela"/>
              <w:rPr>
                <w:sz w:val="18"/>
                <w:szCs w:val="20"/>
              </w:rPr>
            </w:pPr>
            <w:r w:rsidRPr="00EC250C">
              <w:rPr>
                <w:sz w:val="18"/>
                <w:szCs w:val="20"/>
              </w:rPr>
              <w:t>VII Konwent Ochrony Danych</w:t>
            </w:r>
            <w:r w:rsidR="00992FD0" w:rsidRPr="00EC250C">
              <w:rPr>
                <w:sz w:val="18"/>
                <w:szCs w:val="20"/>
              </w:rPr>
              <w:t xml:space="preserve"> i </w:t>
            </w:r>
            <w:r w:rsidRPr="00EC250C">
              <w:rPr>
                <w:sz w:val="18"/>
                <w:szCs w:val="20"/>
              </w:rPr>
              <w:t>Informacji zorganizowany przez portal ODO. Łódź.</w:t>
            </w:r>
          </w:p>
        </w:tc>
        <w:tc>
          <w:tcPr>
            <w:tcW w:w="1687" w:type="dxa"/>
          </w:tcPr>
          <w:p w14:paraId="277FA372" w14:textId="77777777" w:rsidR="00250AC8" w:rsidRPr="00EC250C" w:rsidRDefault="00250AC8" w:rsidP="00902FC6">
            <w:pPr>
              <w:pStyle w:val="Tabela"/>
              <w:rPr>
                <w:sz w:val="18"/>
                <w:szCs w:val="20"/>
              </w:rPr>
            </w:pPr>
            <w:r w:rsidRPr="00EC250C">
              <w:rPr>
                <w:sz w:val="18"/>
                <w:szCs w:val="20"/>
              </w:rPr>
              <w:t>23.11.2018</w:t>
            </w:r>
            <w:r w:rsidR="00C91F6E" w:rsidRPr="00EC250C">
              <w:rPr>
                <w:sz w:val="18"/>
                <w:szCs w:val="20"/>
              </w:rPr>
              <w:t> r.</w:t>
            </w:r>
          </w:p>
        </w:tc>
      </w:tr>
      <w:tr w:rsidR="00250AC8" w:rsidRPr="00EC250C" w14:paraId="560FC931" w14:textId="77777777" w:rsidTr="00FC47F2">
        <w:trPr>
          <w:tblCellSpacing w:w="20" w:type="dxa"/>
        </w:trPr>
        <w:tc>
          <w:tcPr>
            <w:tcW w:w="658" w:type="dxa"/>
          </w:tcPr>
          <w:p w14:paraId="4220DBBC" w14:textId="77777777" w:rsidR="00250AC8" w:rsidRPr="00EC250C" w:rsidRDefault="00250AC8" w:rsidP="006C70B7">
            <w:pPr>
              <w:pStyle w:val="Tabela"/>
              <w:numPr>
                <w:ilvl w:val="0"/>
                <w:numId w:val="80"/>
              </w:numPr>
              <w:ind w:left="0" w:firstLine="0"/>
              <w:jc w:val="both"/>
            </w:pPr>
          </w:p>
        </w:tc>
        <w:tc>
          <w:tcPr>
            <w:tcW w:w="7331" w:type="dxa"/>
          </w:tcPr>
          <w:p w14:paraId="019A899A" w14:textId="77777777" w:rsidR="00250AC8" w:rsidRPr="00EC250C" w:rsidRDefault="00250AC8" w:rsidP="00902FC6">
            <w:pPr>
              <w:pStyle w:val="Tabela"/>
              <w:rPr>
                <w:sz w:val="18"/>
                <w:szCs w:val="20"/>
              </w:rPr>
            </w:pPr>
            <w:r w:rsidRPr="00EC250C">
              <w:rPr>
                <w:sz w:val="18"/>
                <w:szCs w:val="20"/>
              </w:rPr>
              <w:t>Udział Dyrektor Generalnej Biura RPO Katarzyny Jakimowicz</w:t>
            </w:r>
            <w:r w:rsidR="00992FD0" w:rsidRPr="00EC250C">
              <w:rPr>
                <w:sz w:val="18"/>
                <w:szCs w:val="20"/>
              </w:rPr>
              <w:t xml:space="preserve"> w </w:t>
            </w:r>
            <w:r w:rsidRPr="00EC250C">
              <w:rPr>
                <w:sz w:val="18"/>
                <w:szCs w:val="20"/>
              </w:rPr>
              <w:t>uroczystości nadania tytułu Profesora Honorowego Prof. Andrzejowi Zollowi. Kraków.</w:t>
            </w:r>
          </w:p>
        </w:tc>
        <w:tc>
          <w:tcPr>
            <w:tcW w:w="1687" w:type="dxa"/>
          </w:tcPr>
          <w:p w14:paraId="209D854E" w14:textId="77777777" w:rsidR="00250AC8" w:rsidRPr="00EC250C" w:rsidRDefault="00250AC8" w:rsidP="00902FC6">
            <w:pPr>
              <w:pStyle w:val="Tabela"/>
              <w:rPr>
                <w:sz w:val="18"/>
                <w:szCs w:val="20"/>
              </w:rPr>
            </w:pPr>
            <w:r w:rsidRPr="00EC250C">
              <w:rPr>
                <w:sz w:val="18"/>
                <w:szCs w:val="20"/>
              </w:rPr>
              <w:t>27.11.2018</w:t>
            </w:r>
            <w:r w:rsidR="00C91F6E" w:rsidRPr="00EC250C">
              <w:rPr>
                <w:sz w:val="18"/>
                <w:szCs w:val="20"/>
              </w:rPr>
              <w:t> r.</w:t>
            </w:r>
          </w:p>
        </w:tc>
      </w:tr>
      <w:tr w:rsidR="00250AC8" w:rsidRPr="00EC250C" w14:paraId="44EA530E" w14:textId="77777777" w:rsidTr="00FC47F2">
        <w:trPr>
          <w:tblCellSpacing w:w="20" w:type="dxa"/>
        </w:trPr>
        <w:tc>
          <w:tcPr>
            <w:tcW w:w="658" w:type="dxa"/>
          </w:tcPr>
          <w:p w14:paraId="36A6498F" w14:textId="77777777" w:rsidR="00250AC8" w:rsidRPr="00EC250C" w:rsidRDefault="00250AC8" w:rsidP="006C70B7">
            <w:pPr>
              <w:pStyle w:val="Tabela"/>
              <w:numPr>
                <w:ilvl w:val="0"/>
                <w:numId w:val="80"/>
              </w:numPr>
              <w:ind w:left="0" w:firstLine="0"/>
              <w:jc w:val="both"/>
            </w:pPr>
          </w:p>
        </w:tc>
        <w:tc>
          <w:tcPr>
            <w:tcW w:w="7331" w:type="dxa"/>
          </w:tcPr>
          <w:p w14:paraId="2460D28F"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podpisaniu deklaracji Okrągłego Stołu Rzecznika Praw Obywatelskich dotyczącego walki</w:t>
            </w:r>
            <w:r w:rsidR="00992FD0" w:rsidRPr="00EC250C">
              <w:rPr>
                <w:sz w:val="18"/>
                <w:szCs w:val="20"/>
              </w:rPr>
              <w:t xml:space="preserve"> z </w:t>
            </w:r>
            <w:r w:rsidRPr="00EC250C">
              <w:rPr>
                <w:sz w:val="18"/>
                <w:szCs w:val="20"/>
              </w:rPr>
              <w:t>patotreściami</w:t>
            </w:r>
            <w:r w:rsidR="00992FD0" w:rsidRPr="00EC250C">
              <w:rPr>
                <w:sz w:val="18"/>
                <w:szCs w:val="20"/>
              </w:rPr>
              <w:t xml:space="preserve"> w </w:t>
            </w:r>
            <w:r w:rsidRPr="00EC250C">
              <w:rPr>
                <w:sz w:val="18"/>
                <w:szCs w:val="20"/>
              </w:rPr>
              <w:t>internecie. Warszawa.</w:t>
            </w:r>
          </w:p>
        </w:tc>
        <w:tc>
          <w:tcPr>
            <w:tcW w:w="1687" w:type="dxa"/>
          </w:tcPr>
          <w:p w14:paraId="317A8919" w14:textId="77777777" w:rsidR="00250AC8" w:rsidRPr="00EC250C" w:rsidRDefault="00250AC8" w:rsidP="00902FC6">
            <w:pPr>
              <w:pStyle w:val="Tabela"/>
              <w:rPr>
                <w:sz w:val="18"/>
                <w:szCs w:val="20"/>
              </w:rPr>
            </w:pPr>
            <w:r w:rsidRPr="00EC250C">
              <w:rPr>
                <w:sz w:val="18"/>
                <w:szCs w:val="20"/>
              </w:rPr>
              <w:t>28.11.2018</w:t>
            </w:r>
            <w:r w:rsidR="00C91F6E" w:rsidRPr="00EC250C">
              <w:rPr>
                <w:sz w:val="18"/>
                <w:szCs w:val="20"/>
              </w:rPr>
              <w:t> r.</w:t>
            </w:r>
          </w:p>
        </w:tc>
      </w:tr>
      <w:tr w:rsidR="00250AC8" w:rsidRPr="00EC250C" w14:paraId="41DAF3DE" w14:textId="77777777" w:rsidTr="00FC47F2">
        <w:trPr>
          <w:tblCellSpacing w:w="20" w:type="dxa"/>
        </w:trPr>
        <w:tc>
          <w:tcPr>
            <w:tcW w:w="658" w:type="dxa"/>
          </w:tcPr>
          <w:p w14:paraId="6C812B28" w14:textId="77777777" w:rsidR="00250AC8" w:rsidRPr="00EC250C" w:rsidRDefault="00250AC8" w:rsidP="006C70B7">
            <w:pPr>
              <w:pStyle w:val="Tabela"/>
              <w:numPr>
                <w:ilvl w:val="0"/>
                <w:numId w:val="80"/>
              </w:numPr>
              <w:ind w:left="0" w:firstLine="0"/>
              <w:jc w:val="both"/>
            </w:pPr>
          </w:p>
        </w:tc>
        <w:tc>
          <w:tcPr>
            <w:tcW w:w="7331" w:type="dxa"/>
          </w:tcPr>
          <w:p w14:paraId="32618D07" w14:textId="77777777" w:rsidR="00250AC8" w:rsidRPr="00EC250C" w:rsidRDefault="00250AC8" w:rsidP="00902FC6">
            <w:pPr>
              <w:pStyle w:val="Tabela"/>
              <w:rPr>
                <w:sz w:val="18"/>
                <w:szCs w:val="20"/>
              </w:rPr>
            </w:pPr>
            <w:r w:rsidRPr="00EC250C">
              <w:rPr>
                <w:sz w:val="18"/>
                <w:szCs w:val="20"/>
              </w:rPr>
              <w:t>Konferencja naukowa nt. „100-lecie polskiego więziennictwa” zorganizowana przez Dyrektora Okręgowego Służby Więziennej</w:t>
            </w:r>
            <w:r w:rsidR="00992FD0" w:rsidRPr="00EC250C">
              <w:rPr>
                <w:sz w:val="18"/>
                <w:szCs w:val="20"/>
              </w:rPr>
              <w:t xml:space="preserve"> w </w:t>
            </w:r>
            <w:r w:rsidRPr="00EC250C">
              <w:rPr>
                <w:sz w:val="18"/>
                <w:szCs w:val="20"/>
              </w:rPr>
              <w:t>Łodzi oraz Wydział Prawa</w:t>
            </w:r>
            <w:r w:rsidR="00992FD0" w:rsidRPr="00EC250C">
              <w:rPr>
                <w:sz w:val="18"/>
                <w:szCs w:val="20"/>
              </w:rPr>
              <w:t xml:space="preserve"> i </w:t>
            </w:r>
            <w:r w:rsidRPr="00EC250C">
              <w:rPr>
                <w:sz w:val="18"/>
                <w:szCs w:val="20"/>
              </w:rPr>
              <w:t xml:space="preserve">Administracji Uniwersytetu Łódzkiego. Łódź. </w:t>
            </w:r>
          </w:p>
        </w:tc>
        <w:tc>
          <w:tcPr>
            <w:tcW w:w="1687" w:type="dxa"/>
          </w:tcPr>
          <w:p w14:paraId="636C03CE" w14:textId="77777777" w:rsidR="00250AC8" w:rsidRPr="00EC250C" w:rsidRDefault="00250AC8" w:rsidP="00902FC6">
            <w:pPr>
              <w:pStyle w:val="Tabela"/>
              <w:rPr>
                <w:sz w:val="18"/>
                <w:szCs w:val="20"/>
              </w:rPr>
            </w:pPr>
            <w:r w:rsidRPr="00EC250C">
              <w:rPr>
                <w:sz w:val="18"/>
                <w:szCs w:val="20"/>
              </w:rPr>
              <w:t>30.11.2018</w:t>
            </w:r>
            <w:r w:rsidR="00C91F6E" w:rsidRPr="00EC250C">
              <w:rPr>
                <w:sz w:val="18"/>
                <w:szCs w:val="20"/>
              </w:rPr>
              <w:t> r.</w:t>
            </w:r>
          </w:p>
        </w:tc>
      </w:tr>
      <w:tr w:rsidR="00250AC8" w:rsidRPr="00EC250C" w14:paraId="731CCD3C" w14:textId="77777777" w:rsidTr="00FC47F2">
        <w:trPr>
          <w:tblCellSpacing w:w="20" w:type="dxa"/>
        </w:trPr>
        <w:tc>
          <w:tcPr>
            <w:tcW w:w="658" w:type="dxa"/>
          </w:tcPr>
          <w:p w14:paraId="07CA530F" w14:textId="77777777" w:rsidR="00250AC8" w:rsidRPr="00EC250C" w:rsidRDefault="00250AC8" w:rsidP="006C70B7">
            <w:pPr>
              <w:pStyle w:val="Tabela"/>
              <w:numPr>
                <w:ilvl w:val="0"/>
                <w:numId w:val="80"/>
              </w:numPr>
              <w:ind w:left="0" w:firstLine="0"/>
              <w:jc w:val="both"/>
            </w:pPr>
          </w:p>
        </w:tc>
        <w:tc>
          <w:tcPr>
            <w:tcW w:w="7331" w:type="dxa"/>
          </w:tcPr>
          <w:p w14:paraId="77E11DE5"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konferencji „Przejrzystość przemysłu farmaceutycznego ze środowiskiem medycznym” zorganizowanej</w:t>
            </w:r>
            <w:r w:rsidR="00992FD0" w:rsidRPr="00EC250C">
              <w:rPr>
                <w:sz w:val="18"/>
                <w:szCs w:val="20"/>
              </w:rPr>
              <w:t xml:space="preserve"> w </w:t>
            </w:r>
            <w:r w:rsidRPr="00EC250C">
              <w:rPr>
                <w:sz w:val="18"/>
                <w:szCs w:val="20"/>
              </w:rPr>
              <w:t>Biurze RPO. Warszawa.</w:t>
            </w:r>
          </w:p>
        </w:tc>
        <w:tc>
          <w:tcPr>
            <w:tcW w:w="1687" w:type="dxa"/>
          </w:tcPr>
          <w:p w14:paraId="1244C3EB" w14:textId="77777777" w:rsidR="00250AC8" w:rsidRPr="00EC250C" w:rsidRDefault="00250AC8" w:rsidP="00902FC6">
            <w:pPr>
              <w:pStyle w:val="Tabela"/>
              <w:rPr>
                <w:sz w:val="18"/>
                <w:szCs w:val="20"/>
              </w:rPr>
            </w:pPr>
            <w:r w:rsidRPr="00EC250C">
              <w:rPr>
                <w:sz w:val="18"/>
                <w:szCs w:val="20"/>
              </w:rPr>
              <w:t>30.11.2018</w:t>
            </w:r>
            <w:r w:rsidR="00C91F6E" w:rsidRPr="00EC250C">
              <w:rPr>
                <w:sz w:val="18"/>
                <w:szCs w:val="20"/>
              </w:rPr>
              <w:t> r.</w:t>
            </w:r>
          </w:p>
        </w:tc>
      </w:tr>
      <w:tr w:rsidR="00250AC8" w:rsidRPr="00EC250C" w14:paraId="787993B9" w14:textId="77777777" w:rsidTr="00FC47F2">
        <w:trPr>
          <w:tblCellSpacing w:w="20" w:type="dxa"/>
        </w:trPr>
        <w:tc>
          <w:tcPr>
            <w:tcW w:w="658" w:type="dxa"/>
          </w:tcPr>
          <w:p w14:paraId="32FA5FD9" w14:textId="77777777" w:rsidR="00250AC8" w:rsidRPr="00EC250C" w:rsidRDefault="00250AC8" w:rsidP="006C70B7">
            <w:pPr>
              <w:pStyle w:val="Tabela"/>
              <w:numPr>
                <w:ilvl w:val="0"/>
                <w:numId w:val="80"/>
              </w:numPr>
              <w:ind w:left="0" w:firstLine="0"/>
              <w:jc w:val="both"/>
            </w:pPr>
          </w:p>
        </w:tc>
        <w:tc>
          <w:tcPr>
            <w:tcW w:w="7331" w:type="dxa"/>
          </w:tcPr>
          <w:p w14:paraId="4A3BD4C8"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uroczystym wręczeniu nagród 16. Konkursu „Człowiek bez barier” zorganizowanym przez Fundację Integracja. Warszawa.</w:t>
            </w:r>
          </w:p>
        </w:tc>
        <w:tc>
          <w:tcPr>
            <w:tcW w:w="1687" w:type="dxa"/>
          </w:tcPr>
          <w:p w14:paraId="745EEB66" w14:textId="77777777" w:rsidR="00250AC8" w:rsidRPr="00EC250C" w:rsidRDefault="00250AC8" w:rsidP="00902FC6">
            <w:pPr>
              <w:pStyle w:val="Tabela"/>
              <w:rPr>
                <w:sz w:val="18"/>
                <w:szCs w:val="20"/>
              </w:rPr>
            </w:pPr>
            <w:r w:rsidRPr="00EC250C">
              <w:rPr>
                <w:sz w:val="18"/>
                <w:szCs w:val="20"/>
              </w:rPr>
              <w:t>03.12.2018</w:t>
            </w:r>
            <w:r w:rsidR="00C91F6E" w:rsidRPr="00EC250C">
              <w:rPr>
                <w:sz w:val="18"/>
                <w:szCs w:val="20"/>
              </w:rPr>
              <w:t> r.</w:t>
            </w:r>
          </w:p>
        </w:tc>
      </w:tr>
      <w:tr w:rsidR="00250AC8" w:rsidRPr="00EC250C" w14:paraId="21085171" w14:textId="77777777" w:rsidTr="00FC47F2">
        <w:trPr>
          <w:tblCellSpacing w:w="20" w:type="dxa"/>
        </w:trPr>
        <w:tc>
          <w:tcPr>
            <w:tcW w:w="658" w:type="dxa"/>
          </w:tcPr>
          <w:p w14:paraId="6B252128" w14:textId="77777777" w:rsidR="00250AC8" w:rsidRPr="00EC250C" w:rsidRDefault="00250AC8" w:rsidP="006C70B7">
            <w:pPr>
              <w:pStyle w:val="Tabela"/>
              <w:numPr>
                <w:ilvl w:val="0"/>
                <w:numId w:val="80"/>
              </w:numPr>
              <w:ind w:left="0" w:firstLine="0"/>
              <w:jc w:val="both"/>
            </w:pPr>
          </w:p>
        </w:tc>
        <w:tc>
          <w:tcPr>
            <w:tcW w:w="7331" w:type="dxa"/>
          </w:tcPr>
          <w:p w14:paraId="0A75EC9A"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VII Kongresie Prawa Medycznego zorganizowanym przez Uniwersytet Jagielloński. Kraków.</w:t>
            </w:r>
          </w:p>
        </w:tc>
        <w:tc>
          <w:tcPr>
            <w:tcW w:w="1687" w:type="dxa"/>
          </w:tcPr>
          <w:p w14:paraId="6902872A" w14:textId="77777777" w:rsidR="00250AC8" w:rsidRPr="00EC250C" w:rsidRDefault="00250AC8" w:rsidP="00902FC6">
            <w:pPr>
              <w:pStyle w:val="Tabela"/>
              <w:rPr>
                <w:sz w:val="18"/>
                <w:szCs w:val="20"/>
              </w:rPr>
            </w:pPr>
            <w:r w:rsidRPr="00EC250C">
              <w:rPr>
                <w:sz w:val="18"/>
                <w:szCs w:val="20"/>
              </w:rPr>
              <w:t>04.12.2018</w:t>
            </w:r>
            <w:r w:rsidR="00C91F6E" w:rsidRPr="00EC250C">
              <w:rPr>
                <w:sz w:val="18"/>
                <w:szCs w:val="20"/>
              </w:rPr>
              <w:t> r.</w:t>
            </w:r>
          </w:p>
        </w:tc>
      </w:tr>
      <w:tr w:rsidR="00250AC8" w:rsidRPr="00EC250C" w14:paraId="5094014F" w14:textId="77777777" w:rsidTr="00FC47F2">
        <w:trPr>
          <w:tblCellSpacing w:w="20" w:type="dxa"/>
        </w:trPr>
        <w:tc>
          <w:tcPr>
            <w:tcW w:w="658" w:type="dxa"/>
          </w:tcPr>
          <w:p w14:paraId="57292734" w14:textId="77777777" w:rsidR="00250AC8" w:rsidRPr="00EC250C" w:rsidRDefault="00250AC8" w:rsidP="006C70B7">
            <w:pPr>
              <w:pStyle w:val="Tabela"/>
              <w:numPr>
                <w:ilvl w:val="0"/>
                <w:numId w:val="80"/>
              </w:numPr>
              <w:ind w:left="0" w:firstLine="0"/>
              <w:jc w:val="both"/>
            </w:pPr>
          </w:p>
        </w:tc>
        <w:tc>
          <w:tcPr>
            <w:tcW w:w="7331" w:type="dxa"/>
          </w:tcPr>
          <w:p w14:paraId="60D1D6D9" w14:textId="77777777" w:rsidR="00250AC8" w:rsidRPr="00EC250C" w:rsidRDefault="00250AC8" w:rsidP="00902FC6">
            <w:pPr>
              <w:pStyle w:val="Tabela"/>
              <w:rPr>
                <w:sz w:val="18"/>
                <w:szCs w:val="20"/>
              </w:rPr>
            </w:pPr>
            <w:r w:rsidRPr="00EC250C">
              <w:rPr>
                <w:sz w:val="18"/>
                <w:szCs w:val="20"/>
              </w:rPr>
              <w:t>Konferencja naukowa nt. „Instytucja małego świadka koronnego – praktyka, kontrowersje, wyzwania” zorganizowana</w:t>
            </w:r>
            <w:r w:rsidR="00992FD0" w:rsidRPr="00EC250C">
              <w:rPr>
                <w:sz w:val="18"/>
                <w:szCs w:val="20"/>
              </w:rPr>
              <w:t xml:space="preserve"> w </w:t>
            </w:r>
            <w:r w:rsidRPr="00EC250C">
              <w:rPr>
                <w:sz w:val="18"/>
                <w:szCs w:val="20"/>
              </w:rPr>
              <w:t>Biurze RPO. Warszawa.</w:t>
            </w:r>
          </w:p>
        </w:tc>
        <w:tc>
          <w:tcPr>
            <w:tcW w:w="1687" w:type="dxa"/>
          </w:tcPr>
          <w:p w14:paraId="6D2C1E51" w14:textId="77777777" w:rsidR="00250AC8" w:rsidRPr="00EC250C" w:rsidRDefault="00250AC8" w:rsidP="00902FC6">
            <w:pPr>
              <w:pStyle w:val="Tabela"/>
              <w:rPr>
                <w:sz w:val="18"/>
                <w:szCs w:val="20"/>
              </w:rPr>
            </w:pPr>
            <w:r w:rsidRPr="00EC250C">
              <w:rPr>
                <w:sz w:val="18"/>
                <w:szCs w:val="20"/>
              </w:rPr>
              <w:t>06.12.2018</w:t>
            </w:r>
            <w:r w:rsidR="00C91F6E" w:rsidRPr="00EC250C">
              <w:rPr>
                <w:sz w:val="18"/>
                <w:szCs w:val="20"/>
              </w:rPr>
              <w:t> r.</w:t>
            </w:r>
          </w:p>
        </w:tc>
      </w:tr>
      <w:tr w:rsidR="00250AC8" w:rsidRPr="00EC250C" w14:paraId="35F2902F" w14:textId="77777777" w:rsidTr="00FC47F2">
        <w:trPr>
          <w:tblCellSpacing w:w="20" w:type="dxa"/>
        </w:trPr>
        <w:tc>
          <w:tcPr>
            <w:tcW w:w="658" w:type="dxa"/>
          </w:tcPr>
          <w:p w14:paraId="59032584" w14:textId="77777777" w:rsidR="00250AC8" w:rsidRPr="00EC250C" w:rsidRDefault="00250AC8" w:rsidP="006C70B7">
            <w:pPr>
              <w:pStyle w:val="Tabela"/>
              <w:numPr>
                <w:ilvl w:val="0"/>
                <w:numId w:val="80"/>
              </w:numPr>
              <w:ind w:left="0" w:firstLine="0"/>
              <w:jc w:val="both"/>
            </w:pPr>
          </w:p>
        </w:tc>
        <w:tc>
          <w:tcPr>
            <w:tcW w:w="7331" w:type="dxa"/>
          </w:tcPr>
          <w:p w14:paraId="68C30F6B" w14:textId="77777777" w:rsidR="00250AC8" w:rsidRPr="00EC250C" w:rsidRDefault="00250AC8" w:rsidP="00902FC6">
            <w:pPr>
              <w:pStyle w:val="Tabela"/>
              <w:rPr>
                <w:sz w:val="18"/>
                <w:szCs w:val="20"/>
              </w:rPr>
            </w:pPr>
            <w:r w:rsidRPr="00EC250C">
              <w:rPr>
                <w:sz w:val="18"/>
                <w:szCs w:val="20"/>
              </w:rPr>
              <w:t>Konferencja nt. „Diagnoza</w:t>
            </w:r>
            <w:r w:rsidR="00992FD0" w:rsidRPr="00EC250C">
              <w:rPr>
                <w:sz w:val="18"/>
                <w:szCs w:val="20"/>
              </w:rPr>
              <w:t xml:space="preserve"> w </w:t>
            </w:r>
            <w:r w:rsidRPr="00EC250C">
              <w:rPr>
                <w:sz w:val="18"/>
                <w:szCs w:val="20"/>
              </w:rPr>
              <w:t xml:space="preserve">Służbie Wymiaru Sprawiedliwości” zorganizowana przez Zakład Penitencjarystyki. Gniezno. </w:t>
            </w:r>
          </w:p>
        </w:tc>
        <w:tc>
          <w:tcPr>
            <w:tcW w:w="1687" w:type="dxa"/>
          </w:tcPr>
          <w:p w14:paraId="1E336D3D" w14:textId="77777777" w:rsidR="00250AC8" w:rsidRPr="00EC250C" w:rsidRDefault="00250AC8" w:rsidP="00902FC6">
            <w:pPr>
              <w:pStyle w:val="Tabela"/>
              <w:rPr>
                <w:sz w:val="18"/>
                <w:szCs w:val="20"/>
              </w:rPr>
            </w:pPr>
            <w:r w:rsidRPr="00EC250C">
              <w:rPr>
                <w:sz w:val="18"/>
                <w:szCs w:val="20"/>
              </w:rPr>
              <w:t>06.12.2018</w:t>
            </w:r>
            <w:r w:rsidR="00C91F6E" w:rsidRPr="00EC250C">
              <w:rPr>
                <w:sz w:val="18"/>
                <w:szCs w:val="20"/>
              </w:rPr>
              <w:t> r.</w:t>
            </w:r>
          </w:p>
        </w:tc>
      </w:tr>
      <w:tr w:rsidR="00250AC8" w:rsidRPr="00EC250C" w14:paraId="4AF6071E" w14:textId="77777777" w:rsidTr="00FC47F2">
        <w:trPr>
          <w:tblCellSpacing w:w="20" w:type="dxa"/>
        </w:trPr>
        <w:tc>
          <w:tcPr>
            <w:tcW w:w="658" w:type="dxa"/>
          </w:tcPr>
          <w:p w14:paraId="35921871" w14:textId="77777777" w:rsidR="00250AC8" w:rsidRPr="00EC250C" w:rsidRDefault="00250AC8" w:rsidP="006C70B7">
            <w:pPr>
              <w:pStyle w:val="Tabela"/>
              <w:numPr>
                <w:ilvl w:val="0"/>
                <w:numId w:val="80"/>
              </w:numPr>
              <w:ind w:left="0" w:firstLine="0"/>
              <w:jc w:val="both"/>
            </w:pPr>
          </w:p>
        </w:tc>
        <w:tc>
          <w:tcPr>
            <w:tcW w:w="7331" w:type="dxa"/>
          </w:tcPr>
          <w:p w14:paraId="40C077D3"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czasie Szczytu Klimatycznego</w:t>
            </w:r>
            <w:r w:rsidR="00992FD0" w:rsidRPr="00EC250C">
              <w:rPr>
                <w:sz w:val="18"/>
                <w:szCs w:val="20"/>
              </w:rPr>
              <w:t xml:space="preserve"> w </w:t>
            </w:r>
            <w:r w:rsidRPr="00EC250C">
              <w:rPr>
                <w:sz w:val="18"/>
                <w:szCs w:val="20"/>
              </w:rPr>
              <w:t>Katowicach</w:t>
            </w:r>
            <w:r w:rsidR="00992FD0" w:rsidRPr="00EC250C">
              <w:rPr>
                <w:sz w:val="18"/>
                <w:szCs w:val="20"/>
              </w:rPr>
              <w:t xml:space="preserve"> z </w:t>
            </w:r>
            <w:r w:rsidRPr="00EC250C">
              <w:rPr>
                <w:sz w:val="18"/>
                <w:szCs w:val="20"/>
              </w:rPr>
              <w:t>przedstawicielami Koalicji Miast</w:t>
            </w:r>
            <w:r w:rsidR="00992FD0" w:rsidRPr="00EC250C">
              <w:rPr>
                <w:sz w:val="18"/>
                <w:szCs w:val="20"/>
              </w:rPr>
              <w:t xml:space="preserve"> i </w:t>
            </w:r>
            <w:r w:rsidRPr="00EC250C">
              <w:rPr>
                <w:sz w:val="18"/>
                <w:szCs w:val="20"/>
              </w:rPr>
              <w:t>Regionów Przeciw Toksycznym Emisjom Przemysłowym</w:t>
            </w:r>
            <w:r w:rsidR="00992FD0" w:rsidRPr="00EC250C">
              <w:rPr>
                <w:sz w:val="18"/>
                <w:szCs w:val="20"/>
              </w:rPr>
              <w:t xml:space="preserve"> i </w:t>
            </w:r>
            <w:r w:rsidRPr="00EC250C">
              <w:rPr>
                <w:sz w:val="18"/>
                <w:szCs w:val="20"/>
              </w:rPr>
              <w:t>Niebezpiecznym Składowiskom Odpadów „DOŚĆ TRUCIA 2018”. Katowice.</w:t>
            </w:r>
          </w:p>
        </w:tc>
        <w:tc>
          <w:tcPr>
            <w:tcW w:w="1687" w:type="dxa"/>
          </w:tcPr>
          <w:p w14:paraId="32C1AC26" w14:textId="77777777" w:rsidR="00250AC8" w:rsidRPr="00EC250C" w:rsidRDefault="00250AC8" w:rsidP="00902FC6">
            <w:pPr>
              <w:pStyle w:val="Tabela"/>
              <w:rPr>
                <w:sz w:val="18"/>
                <w:szCs w:val="20"/>
              </w:rPr>
            </w:pPr>
            <w:r w:rsidRPr="00EC250C">
              <w:rPr>
                <w:sz w:val="18"/>
                <w:szCs w:val="20"/>
              </w:rPr>
              <w:t>07.12.2018</w:t>
            </w:r>
            <w:r w:rsidR="00C91F6E" w:rsidRPr="00EC250C">
              <w:rPr>
                <w:sz w:val="18"/>
                <w:szCs w:val="20"/>
              </w:rPr>
              <w:t> r.</w:t>
            </w:r>
          </w:p>
        </w:tc>
      </w:tr>
      <w:tr w:rsidR="00250AC8" w:rsidRPr="00EC250C" w14:paraId="60FE0BD2" w14:textId="77777777" w:rsidTr="00FC47F2">
        <w:trPr>
          <w:tblCellSpacing w:w="20" w:type="dxa"/>
        </w:trPr>
        <w:tc>
          <w:tcPr>
            <w:tcW w:w="658" w:type="dxa"/>
          </w:tcPr>
          <w:p w14:paraId="5B7BF784" w14:textId="77777777" w:rsidR="00250AC8" w:rsidRPr="00EC250C" w:rsidRDefault="00250AC8" w:rsidP="006C70B7">
            <w:pPr>
              <w:pStyle w:val="Tabela"/>
              <w:numPr>
                <w:ilvl w:val="0"/>
                <w:numId w:val="80"/>
              </w:numPr>
              <w:ind w:left="0" w:firstLine="0"/>
              <w:jc w:val="both"/>
            </w:pPr>
          </w:p>
        </w:tc>
        <w:tc>
          <w:tcPr>
            <w:tcW w:w="7331" w:type="dxa"/>
          </w:tcPr>
          <w:p w14:paraId="3DD37931" w14:textId="77777777" w:rsidR="00250AC8" w:rsidRPr="00EC250C" w:rsidRDefault="00250AC8" w:rsidP="00902FC6">
            <w:pPr>
              <w:pStyle w:val="Tabela"/>
              <w:rPr>
                <w:sz w:val="18"/>
                <w:szCs w:val="20"/>
              </w:rPr>
            </w:pPr>
            <w:r w:rsidRPr="00EC250C">
              <w:rPr>
                <w:sz w:val="18"/>
                <w:szCs w:val="20"/>
              </w:rPr>
              <w:t>Konferencja nt. „Europejska Konwencja Praw Człowieka</w:t>
            </w:r>
            <w:r w:rsidR="00992FD0" w:rsidRPr="00EC250C">
              <w:rPr>
                <w:sz w:val="18"/>
                <w:szCs w:val="20"/>
              </w:rPr>
              <w:t xml:space="preserve"> w </w:t>
            </w:r>
            <w:r w:rsidRPr="00EC250C">
              <w:rPr>
                <w:sz w:val="18"/>
                <w:szCs w:val="20"/>
              </w:rPr>
              <w:t>praktyce – 25 lat stosowania Konwencji</w:t>
            </w:r>
            <w:r w:rsidR="00992FD0" w:rsidRPr="00EC250C">
              <w:rPr>
                <w:sz w:val="18"/>
                <w:szCs w:val="20"/>
              </w:rPr>
              <w:t xml:space="preserve"> w </w:t>
            </w:r>
            <w:r w:rsidRPr="00EC250C">
              <w:rPr>
                <w:sz w:val="18"/>
                <w:szCs w:val="20"/>
              </w:rPr>
              <w:t>Polsce” zorganizowana przez Katedrę Europejskiego Prawa Konstytucyjnego Uniwersytetu Łódzkiego oraz Okręgową Radę Adwokacką. Łódź.</w:t>
            </w:r>
          </w:p>
        </w:tc>
        <w:tc>
          <w:tcPr>
            <w:tcW w:w="1687" w:type="dxa"/>
          </w:tcPr>
          <w:p w14:paraId="74DD1867" w14:textId="77777777" w:rsidR="00250AC8" w:rsidRPr="00EC250C" w:rsidRDefault="00250AC8" w:rsidP="00902FC6">
            <w:pPr>
              <w:pStyle w:val="Tabela"/>
              <w:rPr>
                <w:sz w:val="18"/>
                <w:szCs w:val="20"/>
              </w:rPr>
            </w:pPr>
            <w:r w:rsidRPr="00EC250C">
              <w:rPr>
                <w:sz w:val="18"/>
                <w:szCs w:val="20"/>
              </w:rPr>
              <w:t>07.12.2018</w:t>
            </w:r>
            <w:r w:rsidR="00C91F6E" w:rsidRPr="00EC250C">
              <w:rPr>
                <w:sz w:val="18"/>
                <w:szCs w:val="20"/>
              </w:rPr>
              <w:t> r.</w:t>
            </w:r>
          </w:p>
        </w:tc>
      </w:tr>
      <w:tr w:rsidR="00250AC8" w:rsidRPr="00EC250C" w14:paraId="220B82B0" w14:textId="77777777" w:rsidTr="00FC47F2">
        <w:trPr>
          <w:tblCellSpacing w:w="20" w:type="dxa"/>
        </w:trPr>
        <w:tc>
          <w:tcPr>
            <w:tcW w:w="658" w:type="dxa"/>
          </w:tcPr>
          <w:p w14:paraId="0D18606B" w14:textId="77777777" w:rsidR="00250AC8" w:rsidRPr="00EC250C" w:rsidRDefault="00250AC8" w:rsidP="006C70B7">
            <w:pPr>
              <w:pStyle w:val="Tabela"/>
              <w:numPr>
                <w:ilvl w:val="0"/>
                <w:numId w:val="80"/>
              </w:numPr>
              <w:ind w:left="0" w:firstLine="0"/>
              <w:jc w:val="both"/>
            </w:pPr>
          </w:p>
        </w:tc>
        <w:tc>
          <w:tcPr>
            <w:tcW w:w="7331" w:type="dxa"/>
          </w:tcPr>
          <w:p w14:paraId="7B379646"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konferencji nt. „Sędziowie</w:t>
            </w:r>
            <w:r w:rsidR="00992FD0" w:rsidRPr="00EC250C">
              <w:rPr>
                <w:sz w:val="18"/>
                <w:szCs w:val="20"/>
              </w:rPr>
              <w:t xml:space="preserve"> i </w:t>
            </w:r>
            <w:r w:rsidRPr="00EC250C">
              <w:rPr>
                <w:sz w:val="18"/>
                <w:szCs w:val="20"/>
              </w:rPr>
              <w:t>adwokaci</w:t>
            </w:r>
            <w:r w:rsidR="00992FD0" w:rsidRPr="00EC250C">
              <w:rPr>
                <w:sz w:val="18"/>
                <w:szCs w:val="20"/>
              </w:rPr>
              <w:t xml:space="preserve"> w </w:t>
            </w:r>
            <w:r w:rsidRPr="00EC250C">
              <w:rPr>
                <w:sz w:val="18"/>
                <w:szCs w:val="20"/>
              </w:rPr>
              <w:t>służbie Niepodległej. Postawy wobec władzy 1918–2018. Czy historia może nas czegoś nauczyć?” zorganizowanej przez Collegium Iuridicum UW. Warszawa.</w:t>
            </w:r>
          </w:p>
        </w:tc>
        <w:tc>
          <w:tcPr>
            <w:tcW w:w="1687" w:type="dxa"/>
          </w:tcPr>
          <w:p w14:paraId="1E8CFE7B" w14:textId="77777777" w:rsidR="00250AC8" w:rsidRPr="00EC250C" w:rsidRDefault="00250AC8" w:rsidP="00902FC6">
            <w:pPr>
              <w:pStyle w:val="Tabela"/>
              <w:rPr>
                <w:sz w:val="18"/>
                <w:szCs w:val="20"/>
              </w:rPr>
            </w:pPr>
            <w:r w:rsidRPr="00EC250C">
              <w:rPr>
                <w:sz w:val="18"/>
                <w:szCs w:val="20"/>
              </w:rPr>
              <w:t>07.12.2018</w:t>
            </w:r>
            <w:r w:rsidR="00C91F6E" w:rsidRPr="00EC250C">
              <w:rPr>
                <w:sz w:val="18"/>
                <w:szCs w:val="20"/>
              </w:rPr>
              <w:t> r.</w:t>
            </w:r>
          </w:p>
        </w:tc>
      </w:tr>
      <w:tr w:rsidR="00250AC8" w:rsidRPr="00EC250C" w14:paraId="1E96A7F2" w14:textId="77777777" w:rsidTr="00FC47F2">
        <w:trPr>
          <w:tblCellSpacing w:w="20" w:type="dxa"/>
        </w:trPr>
        <w:tc>
          <w:tcPr>
            <w:tcW w:w="658" w:type="dxa"/>
          </w:tcPr>
          <w:p w14:paraId="2EA150C9" w14:textId="77777777" w:rsidR="00250AC8" w:rsidRPr="00EC250C" w:rsidRDefault="00250AC8" w:rsidP="006C70B7">
            <w:pPr>
              <w:pStyle w:val="Tabela"/>
              <w:numPr>
                <w:ilvl w:val="0"/>
                <w:numId w:val="80"/>
              </w:numPr>
              <w:ind w:left="0" w:firstLine="0"/>
              <w:jc w:val="both"/>
            </w:pPr>
          </w:p>
        </w:tc>
        <w:tc>
          <w:tcPr>
            <w:tcW w:w="7331" w:type="dxa"/>
          </w:tcPr>
          <w:p w14:paraId="7DA5075B"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debacie nt. „Prawo do cyfrowego wykluczenia. Godność</w:t>
            </w:r>
            <w:r w:rsidR="00992FD0" w:rsidRPr="00EC250C">
              <w:rPr>
                <w:sz w:val="18"/>
                <w:szCs w:val="20"/>
              </w:rPr>
              <w:t xml:space="preserve"> i </w:t>
            </w:r>
            <w:r w:rsidRPr="00EC250C">
              <w:rPr>
                <w:sz w:val="18"/>
                <w:szCs w:val="20"/>
              </w:rPr>
              <w:t>prywatność</w:t>
            </w:r>
            <w:r w:rsidR="00992FD0" w:rsidRPr="00EC250C">
              <w:rPr>
                <w:sz w:val="18"/>
                <w:szCs w:val="20"/>
              </w:rPr>
              <w:t xml:space="preserve"> a </w:t>
            </w:r>
            <w:r w:rsidRPr="00EC250C">
              <w:rPr>
                <w:sz w:val="18"/>
                <w:szCs w:val="20"/>
              </w:rPr>
              <w:t>rozwój nowych technologii”</w:t>
            </w:r>
            <w:r w:rsidR="00992FD0" w:rsidRPr="00EC250C">
              <w:rPr>
                <w:sz w:val="18"/>
                <w:szCs w:val="20"/>
              </w:rPr>
              <w:t xml:space="preserve"> z </w:t>
            </w:r>
            <w:r w:rsidRPr="00EC250C">
              <w:rPr>
                <w:sz w:val="18"/>
                <w:szCs w:val="20"/>
              </w:rPr>
              <w:t>okazji 30-lecia kancelarii Wardyński</w:t>
            </w:r>
            <w:r w:rsidR="00992FD0" w:rsidRPr="00EC250C">
              <w:rPr>
                <w:sz w:val="18"/>
                <w:szCs w:val="20"/>
              </w:rPr>
              <w:t xml:space="preserve"> i </w:t>
            </w:r>
            <w:r w:rsidRPr="00EC250C">
              <w:rPr>
                <w:sz w:val="18"/>
                <w:szCs w:val="20"/>
              </w:rPr>
              <w:t>Wspólnicy. Warszawa.</w:t>
            </w:r>
          </w:p>
        </w:tc>
        <w:tc>
          <w:tcPr>
            <w:tcW w:w="1687" w:type="dxa"/>
          </w:tcPr>
          <w:p w14:paraId="3F18342E" w14:textId="77777777" w:rsidR="00250AC8" w:rsidRPr="00EC250C" w:rsidRDefault="00250AC8" w:rsidP="00902FC6">
            <w:pPr>
              <w:pStyle w:val="Tabela"/>
              <w:rPr>
                <w:sz w:val="18"/>
                <w:szCs w:val="20"/>
              </w:rPr>
            </w:pPr>
            <w:r w:rsidRPr="00EC250C">
              <w:rPr>
                <w:sz w:val="18"/>
                <w:szCs w:val="20"/>
              </w:rPr>
              <w:t>07.12.2018</w:t>
            </w:r>
            <w:r w:rsidR="00C91F6E" w:rsidRPr="00EC250C">
              <w:rPr>
                <w:sz w:val="18"/>
                <w:szCs w:val="20"/>
              </w:rPr>
              <w:t> r.</w:t>
            </w:r>
          </w:p>
        </w:tc>
      </w:tr>
      <w:tr w:rsidR="00250AC8" w:rsidRPr="00EC250C" w14:paraId="62125161" w14:textId="77777777" w:rsidTr="00FC47F2">
        <w:trPr>
          <w:tblCellSpacing w:w="20" w:type="dxa"/>
        </w:trPr>
        <w:tc>
          <w:tcPr>
            <w:tcW w:w="658" w:type="dxa"/>
          </w:tcPr>
          <w:p w14:paraId="14B5C396" w14:textId="77777777" w:rsidR="00250AC8" w:rsidRPr="00EC250C" w:rsidRDefault="00250AC8" w:rsidP="006C70B7">
            <w:pPr>
              <w:pStyle w:val="Tabela"/>
              <w:numPr>
                <w:ilvl w:val="0"/>
                <w:numId w:val="80"/>
              </w:numPr>
              <w:ind w:left="0" w:firstLine="0"/>
              <w:jc w:val="both"/>
            </w:pPr>
          </w:p>
        </w:tc>
        <w:tc>
          <w:tcPr>
            <w:tcW w:w="7331" w:type="dxa"/>
          </w:tcPr>
          <w:p w14:paraId="1C1D0EB6" w14:textId="77777777" w:rsidR="00250AC8" w:rsidRPr="00EC250C" w:rsidRDefault="00250AC8" w:rsidP="00902FC6">
            <w:pPr>
              <w:pStyle w:val="Tabela"/>
              <w:rPr>
                <w:sz w:val="18"/>
                <w:szCs w:val="20"/>
              </w:rPr>
            </w:pPr>
            <w:r w:rsidRPr="00EC250C">
              <w:rPr>
                <w:sz w:val="18"/>
                <w:szCs w:val="20"/>
              </w:rPr>
              <w:t>Konferencja nt. „Choroba</w:t>
            </w:r>
            <w:r w:rsidR="00992FD0" w:rsidRPr="00EC250C">
              <w:rPr>
                <w:sz w:val="18"/>
                <w:szCs w:val="20"/>
              </w:rPr>
              <w:t xml:space="preserve"> i </w:t>
            </w:r>
            <w:r w:rsidRPr="00EC250C">
              <w:rPr>
                <w:sz w:val="18"/>
                <w:szCs w:val="20"/>
              </w:rPr>
              <w:t>odpowiedzialność” zorganizowana przez Polskie Towarzystwo Bioetyczne</w:t>
            </w:r>
            <w:r w:rsidR="00992FD0" w:rsidRPr="00EC250C">
              <w:rPr>
                <w:sz w:val="18"/>
                <w:szCs w:val="20"/>
              </w:rPr>
              <w:t xml:space="preserve"> i </w:t>
            </w:r>
            <w:r w:rsidRPr="00EC250C">
              <w:rPr>
                <w:sz w:val="18"/>
                <w:szCs w:val="20"/>
              </w:rPr>
              <w:t>Uniwersytet Jagielloński. Kraków.</w:t>
            </w:r>
          </w:p>
        </w:tc>
        <w:tc>
          <w:tcPr>
            <w:tcW w:w="1687" w:type="dxa"/>
          </w:tcPr>
          <w:p w14:paraId="21CA1EF5" w14:textId="77777777" w:rsidR="00250AC8" w:rsidRPr="00EC250C" w:rsidRDefault="00250AC8" w:rsidP="00902FC6">
            <w:pPr>
              <w:pStyle w:val="Tabela"/>
              <w:rPr>
                <w:sz w:val="18"/>
                <w:szCs w:val="20"/>
              </w:rPr>
            </w:pPr>
            <w:r w:rsidRPr="00EC250C">
              <w:rPr>
                <w:sz w:val="18"/>
                <w:szCs w:val="20"/>
              </w:rPr>
              <w:t>07–09.12.2018</w:t>
            </w:r>
            <w:r w:rsidR="00C91F6E" w:rsidRPr="00EC250C">
              <w:rPr>
                <w:sz w:val="18"/>
                <w:szCs w:val="20"/>
              </w:rPr>
              <w:t> r.</w:t>
            </w:r>
          </w:p>
        </w:tc>
      </w:tr>
      <w:tr w:rsidR="00250AC8" w:rsidRPr="00EC250C" w14:paraId="3416787E" w14:textId="77777777" w:rsidTr="00FC47F2">
        <w:trPr>
          <w:tblCellSpacing w:w="20" w:type="dxa"/>
        </w:trPr>
        <w:tc>
          <w:tcPr>
            <w:tcW w:w="658" w:type="dxa"/>
          </w:tcPr>
          <w:p w14:paraId="73C8CECD" w14:textId="77777777" w:rsidR="00250AC8" w:rsidRPr="00EC250C" w:rsidRDefault="00250AC8" w:rsidP="006C70B7">
            <w:pPr>
              <w:pStyle w:val="Tabela"/>
              <w:numPr>
                <w:ilvl w:val="0"/>
                <w:numId w:val="80"/>
              </w:numPr>
              <w:ind w:left="0" w:firstLine="0"/>
              <w:jc w:val="both"/>
            </w:pPr>
          </w:p>
        </w:tc>
        <w:tc>
          <w:tcPr>
            <w:tcW w:w="7331" w:type="dxa"/>
          </w:tcPr>
          <w:p w14:paraId="79B28322"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debacie nt. „Mniej przestrzeni dla społeczeństwa obywatelskiego – globalne wyzwanie, globalna odpowiedź?” zorganizowanej przez Helsińską Fundację Praw Człowieka</w:t>
            </w:r>
            <w:r w:rsidR="00992FD0" w:rsidRPr="00EC250C">
              <w:rPr>
                <w:sz w:val="18"/>
                <w:szCs w:val="20"/>
              </w:rPr>
              <w:t xml:space="preserve"> i </w:t>
            </w:r>
            <w:r w:rsidRPr="00EC250C">
              <w:rPr>
                <w:sz w:val="18"/>
                <w:szCs w:val="20"/>
              </w:rPr>
              <w:t>Open Society Justice Initiative</w:t>
            </w:r>
            <w:r w:rsidR="00992FD0" w:rsidRPr="00EC250C">
              <w:rPr>
                <w:sz w:val="18"/>
                <w:szCs w:val="20"/>
              </w:rPr>
              <w:t xml:space="preserve"> w </w:t>
            </w:r>
            <w:r w:rsidRPr="00EC250C">
              <w:rPr>
                <w:sz w:val="18"/>
                <w:szCs w:val="20"/>
              </w:rPr>
              <w:t>ramach 18. Międzynarodowego Festiwalu Filmowego WATCH DOCS. Warszawa.</w:t>
            </w:r>
          </w:p>
        </w:tc>
        <w:tc>
          <w:tcPr>
            <w:tcW w:w="1687" w:type="dxa"/>
          </w:tcPr>
          <w:p w14:paraId="505DA883" w14:textId="77777777" w:rsidR="00250AC8" w:rsidRPr="00EC250C" w:rsidRDefault="00250AC8" w:rsidP="00902FC6">
            <w:pPr>
              <w:pStyle w:val="Tabela"/>
              <w:rPr>
                <w:sz w:val="18"/>
                <w:szCs w:val="20"/>
              </w:rPr>
            </w:pPr>
            <w:r w:rsidRPr="00EC250C">
              <w:rPr>
                <w:sz w:val="18"/>
                <w:szCs w:val="20"/>
              </w:rPr>
              <w:t>08.12.2018</w:t>
            </w:r>
            <w:r w:rsidR="00C91F6E" w:rsidRPr="00EC250C">
              <w:rPr>
                <w:sz w:val="18"/>
                <w:szCs w:val="20"/>
              </w:rPr>
              <w:t> r.</w:t>
            </w:r>
          </w:p>
        </w:tc>
      </w:tr>
      <w:tr w:rsidR="00250AC8" w:rsidRPr="00EC250C" w14:paraId="629C09A1" w14:textId="77777777" w:rsidTr="00FC47F2">
        <w:trPr>
          <w:tblCellSpacing w:w="20" w:type="dxa"/>
        </w:trPr>
        <w:tc>
          <w:tcPr>
            <w:tcW w:w="658" w:type="dxa"/>
          </w:tcPr>
          <w:p w14:paraId="5D193783" w14:textId="77777777" w:rsidR="00250AC8" w:rsidRPr="00EC250C" w:rsidRDefault="00250AC8" w:rsidP="006C70B7">
            <w:pPr>
              <w:pStyle w:val="Tabela"/>
              <w:numPr>
                <w:ilvl w:val="0"/>
                <w:numId w:val="80"/>
              </w:numPr>
              <w:ind w:left="0" w:firstLine="0"/>
              <w:jc w:val="both"/>
            </w:pPr>
          </w:p>
        </w:tc>
        <w:tc>
          <w:tcPr>
            <w:tcW w:w="7331" w:type="dxa"/>
          </w:tcPr>
          <w:p w14:paraId="2B739035" w14:textId="77777777" w:rsidR="00250AC8" w:rsidRPr="00EC250C" w:rsidRDefault="00250AC8" w:rsidP="00902FC6">
            <w:pPr>
              <w:pStyle w:val="Tabela"/>
              <w:rPr>
                <w:sz w:val="18"/>
                <w:szCs w:val="20"/>
              </w:rPr>
            </w:pPr>
            <w:r w:rsidRPr="00EC250C">
              <w:rPr>
                <w:sz w:val="18"/>
                <w:szCs w:val="20"/>
              </w:rPr>
              <w:t>Konferencja nt. „Mediacja</w:t>
            </w:r>
            <w:r w:rsidR="00992FD0" w:rsidRPr="00EC250C">
              <w:rPr>
                <w:sz w:val="18"/>
                <w:szCs w:val="20"/>
              </w:rPr>
              <w:t xml:space="preserve"> w </w:t>
            </w:r>
            <w:r w:rsidRPr="00EC250C">
              <w:rPr>
                <w:sz w:val="18"/>
                <w:szCs w:val="20"/>
              </w:rPr>
              <w:t>centrum” zorganizowana przez Terenowy Komitet Ochrony Praw Dziecka</w:t>
            </w:r>
            <w:r w:rsidR="00992FD0" w:rsidRPr="00EC250C">
              <w:rPr>
                <w:sz w:val="18"/>
                <w:szCs w:val="20"/>
              </w:rPr>
              <w:t xml:space="preserve"> w </w:t>
            </w:r>
            <w:r w:rsidRPr="00EC250C">
              <w:rPr>
                <w:sz w:val="18"/>
                <w:szCs w:val="20"/>
              </w:rPr>
              <w:t>Poznaniu. Poznań.</w:t>
            </w:r>
          </w:p>
        </w:tc>
        <w:tc>
          <w:tcPr>
            <w:tcW w:w="1687" w:type="dxa"/>
          </w:tcPr>
          <w:p w14:paraId="0B6FFF26" w14:textId="77777777" w:rsidR="00250AC8" w:rsidRPr="00EC250C" w:rsidRDefault="00250AC8" w:rsidP="00902FC6">
            <w:pPr>
              <w:pStyle w:val="Tabela"/>
              <w:rPr>
                <w:sz w:val="18"/>
                <w:szCs w:val="20"/>
              </w:rPr>
            </w:pPr>
            <w:r w:rsidRPr="00EC250C">
              <w:rPr>
                <w:sz w:val="18"/>
                <w:szCs w:val="20"/>
              </w:rPr>
              <w:t>09–10.12.2018</w:t>
            </w:r>
            <w:r w:rsidR="00C91F6E" w:rsidRPr="00EC250C">
              <w:rPr>
                <w:sz w:val="18"/>
                <w:szCs w:val="20"/>
              </w:rPr>
              <w:t> r.</w:t>
            </w:r>
          </w:p>
        </w:tc>
      </w:tr>
      <w:tr w:rsidR="00250AC8" w:rsidRPr="00EC250C" w14:paraId="4D5B2E1F" w14:textId="77777777" w:rsidTr="00FC47F2">
        <w:trPr>
          <w:tblCellSpacing w:w="20" w:type="dxa"/>
        </w:trPr>
        <w:tc>
          <w:tcPr>
            <w:tcW w:w="658" w:type="dxa"/>
          </w:tcPr>
          <w:p w14:paraId="172A4181" w14:textId="77777777" w:rsidR="00250AC8" w:rsidRPr="00EC250C" w:rsidRDefault="00250AC8" w:rsidP="006C70B7">
            <w:pPr>
              <w:pStyle w:val="Tabela"/>
              <w:numPr>
                <w:ilvl w:val="0"/>
                <w:numId w:val="80"/>
              </w:numPr>
              <w:ind w:left="0" w:firstLine="0"/>
              <w:jc w:val="both"/>
            </w:pPr>
          </w:p>
        </w:tc>
        <w:tc>
          <w:tcPr>
            <w:tcW w:w="7331" w:type="dxa"/>
          </w:tcPr>
          <w:p w14:paraId="4B1FA770"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zastępcy</w:t>
            </w:r>
            <w:r w:rsidRPr="00EC250C">
              <w:rPr>
                <w:sz w:val="18"/>
                <w:szCs w:val="20"/>
              </w:rPr>
              <w:t xml:space="preserve"> RPO Stanisława Trociuka</w:t>
            </w:r>
            <w:r w:rsidR="00992FD0" w:rsidRPr="00EC250C">
              <w:rPr>
                <w:sz w:val="18"/>
                <w:szCs w:val="20"/>
              </w:rPr>
              <w:t xml:space="preserve"> w </w:t>
            </w:r>
            <w:r w:rsidRPr="00EC250C">
              <w:rPr>
                <w:sz w:val="18"/>
                <w:szCs w:val="20"/>
              </w:rPr>
              <w:t>ogólnopolskiej konferencji nt. „Etyka</w:t>
            </w:r>
            <w:r w:rsidR="00992FD0" w:rsidRPr="00EC250C">
              <w:rPr>
                <w:sz w:val="18"/>
                <w:szCs w:val="20"/>
              </w:rPr>
              <w:t xml:space="preserve"> i </w:t>
            </w:r>
            <w:r w:rsidRPr="00EC250C">
              <w:rPr>
                <w:sz w:val="18"/>
                <w:szCs w:val="20"/>
              </w:rPr>
              <w:t>antykorupcja – wyzwania</w:t>
            </w:r>
            <w:r w:rsidR="00992FD0" w:rsidRPr="00EC250C">
              <w:rPr>
                <w:sz w:val="18"/>
                <w:szCs w:val="20"/>
              </w:rPr>
              <w:t xml:space="preserve"> i </w:t>
            </w:r>
            <w:r w:rsidRPr="00EC250C">
              <w:rPr>
                <w:sz w:val="18"/>
                <w:szCs w:val="20"/>
              </w:rPr>
              <w:t>rekomendacje dla administracji publicznej” zorganizowanej przez Polską Platformę Bezpieczeństwa Wewnętrznego. Warszawa.</w:t>
            </w:r>
          </w:p>
        </w:tc>
        <w:tc>
          <w:tcPr>
            <w:tcW w:w="1687" w:type="dxa"/>
          </w:tcPr>
          <w:p w14:paraId="186748A9" w14:textId="77777777" w:rsidR="00250AC8" w:rsidRPr="00EC250C" w:rsidRDefault="00250AC8" w:rsidP="00902FC6">
            <w:pPr>
              <w:pStyle w:val="Tabela"/>
              <w:rPr>
                <w:sz w:val="18"/>
                <w:szCs w:val="20"/>
              </w:rPr>
            </w:pPr>
            <w:r w:rsidRPr="00EC250C">
              <w:rPr>
                <w:sz w:val="18"/>
                <w:szCs w:val="20"/>
              </w:rPr>
              <w:t>10.12.2018</w:t>
            </w:r>
            <w:r w:rsidR="00C91F6E" w:rsidRPr="00EC250C">
              <w:rPr>
                <w:sz w:val="18"/>
                <w:szCs w:val="20"/>
              </w:rPr>
              <w:t> r.</w:t>
            </w:r>
          </w:p>
        </w:tc>
      </w:tr>
      <w:tr w:rsidR="00250AC8" w:rsidRPr="00EC250C" w14:paraId="68B8E210" w14:textId="77777777" w:rsidTr="00FC47F2">
        <w:trPr>
          <w:tblCellSpacing w:w="20" w:type="dxa"/>
        </w:trPr>
        <w:tc>
          <w:tcPr>
            <w:tcW w:w="658" w:type="dxa"/>
          </w:tcPr>
          <w:p w14:paraId="3E0533FA" w14:textId="77777777" w:rsidR="00250AC8" w:rsidRPr="00EC250C" w:rsidRDefault="00250AC8" w:rsidP="006C70B7">
            <w:pPr>
              <w:pStyle w:val="Tabela"/>
              <w:numPr>
                <w:ilvl w:val="0"/>
                <w:numId w:val="80"/>
              </w:numPr>
              <w:ind w:left="0" w:firstLine="0"/>
              <w:jc w:val="both"/>
            </w:pPr>
          </w:p>
        </w:tc>
        <w:tc>
          <w:tcPr>
            <w:tcW w:w="7331" w:type="dxa"/>
          </w:tcPr>
          <w:p w14:paraId="68A7DA0E" w14:textId="77777777" w:rsidR="00250AC8" w:rsidRPr="00EC250C" w:rsidRDefault="00250AC8" w:rsidP="00902FC6">
            <w:pPr>
              <w:pStyle w:val="Tabela"/>
              <w:rPr>
                <w:sz w:val="18"/>
                <w:szCs w:val="20"/>
              </w:rPr>
            </w:pPr>
            <w:r w:rsidRPr="00EC250C">
              <w:rPr>
                <w:sz w:val="18"/>
                <w:szCs w:val="20"/>
              </w:rPr>
              <w:t>Konferencja nt. „ Pełno(s)prawny Student” zorganizowana przez Urząd Miasta Krakowa. Kraków.</w:t>
            </w:r>
          </w:p>
        </w:tc>
        <w:tc>
          <w:tcPr>
            <w:tcW w:w="1687" w:type="dxa"/>
          </w:tcPr>
          <w:p w14:paraId="0A653BEE" w14:textId="77777777" w:rsidR="00250AC8" w:rsidRPr="00EC250C" w:rsidRDefault="00250AC8" w:rsidP="00902FC6">
            <w:pPr>
              <w:pStyle w:val="Tabela"/>
              <w:rPr>
                <w:sz w:val="18"/>
                <w:szCs w:val="20"/>
              </w:rPr>
            </w:pPr>
            <w:r w:rsidRPr="00EC250C">
              <w:rPr>
                <w:sz w:val="18"/>
                <w:szCs w:val="20"/>
              </w:rPr>
              <w:t>10.12.2018</w:t>
            </w:r>
            <w:r w:rsidR="00C91F6E" w:rsidRPr="00EC250C">
              <w:rPr>
                <w:sz w:val="18"/>
                <w:szCs w:val="20"/>
              </w:rPr>
              <w:t> r.</w:t>
            </w:r>
          </w:p>
        </w:tc>
      </w:tr>
      <w:tr w:rsidR="00250AC8" w:rsidRPr="00EC250C" w14:paraId="5CD56CB1" w14:textId="77777777" w:rsidTr="00FC47F2">
        <w:trPr>
          <w:tblCellSpacing w:w="20" w:type="dxa"/>
        </w:trPr>
        <w:tc>
          <w:tcPr>
            <w:tcW w:w="658" w:type="dxa"/>
          </w:tcPr>
          <w:p w14:paraId="17C58064" w14:textId="77777777" w:rsidR="00250AC8" w:rsidRPr="00EC250C" w:rsidRDefault="00250AC8" w:rsidP="006C70B7">
            <w:pPr>
              <w:pStyle w:val="Tabela"/>
              <w:numPr>
                <w:ilvl w:val="0"/>
                <w:numId w:val="80"/>
              </w:numPr>
              <w:ind w:left="0" w:firstLine="0"/>
              <w:jc w:val="both"/>
            </w:pPr>
          </w:p>
        </w:tc>
        <w:tc>
          <w:tcPr>
            <w:tcW w:w="7331" w:type="dxa"/>
          </w:tcPr>
          <w:p w14:paraId="0EDB4A7B"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gali Grand Press zorganizowanej przez magazyn „Press”. Warszawa.</w:t>
            </w:r>
          </w:p>
        </w:tc>
        <w:tc>
          <w:tcPr>
            <w:tcW w:w="1687" w:type="dxa"/>
          </w:tcPr>
          <w:p w14:paraId="0DC51579" w14:textId="77777777" w:rsidR="00250AC8" w:rsidRPr="00EC250C" w:rsidRDefault="00250AC8" w:rsidP="00902FC6">
            <w:pPr>
              <w:pStyle w:val="Tabela"/>
              <w:rPr>
                <w:sz w:val="18"/>
                <w:szCs w:val="20"/>
              </w:rPr>
            </w:pPr>
            <w:r w:rsidRPr="00EC250C">
              <w:rPr>
                <w:sz w:val="18"/>
                <w:szCs w:val="20"/>
              </w:rPr>
              <w:t>11.12.2018</w:t>
            </w:r>
            <w:r w:rsidR="00C91F6E" w:rsidRPr="00EC250C">
              <w:rPr>
                <w:sz w:val="18"/>
                <w:szCs w:val="20"/>
              </w:rPr>
              <w:t> r.</w:t>
            </w:r>
          </w:p>
        </w:tc>
      </w:tr>
      <w:tr w:rsidR="00250AC8" w:rsidRPr="00EC250C" w14:paraId="5CF3615A" w14:textId="77777777" w:rsidTr="00FC47F2">
        <w:trPr>
          <w:tblCellSpacing w:w="20" w:type="dxa"/>
        </w:trPr>
        <w:tc>
          <w:tcPr>
            <w:tcW w:w="658" w:type="dxa"/>
          </w:tcPr>
          <w:p w14:paraId="02B7A2D0" w14:textId="77777777" w:rsidR="00250AC8" w:rsidRPr="00EC250C" w:rsidRDefault="00250AC8" w:rsidP="006C70B7">
            <w:pPr>
              <w:pStyle w:val="Tabela"/>
              <w:numPr>
                <w:ilvl w:val="0"/>
                <w:numId w:val="80"/>
              </w:numPr>
              <w:ind w:left="0" w:firstLine="0"/>
              <w:jc w:val="both"/>
            </w:pPr>
          </w:p>
        </w:tc>
        <w:tc>
          <w:tcPr>
            <w:tcW w:w="7331" w:type="dxa"/>
          </w:tcPr>
          <w:p w14:paraId="59EDB73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debacie nt. „Kontrofensywa wartości europejskich: Prawa człowieka</w:t>
            </w:r>
            <w:r w:rsidR="00992FD0" w:rsidRPr="00EC250C">
              <w:rPr>
                <w:sz w:val="18"/>
                <w:szCs w:val="20"/>
              </w:rPr>
              <w:t xml:space="preserve"> i </w:t>
            </w:r>
            <w:r w:rsidRPr="00EC250C">
              <w:rPr>
                <w:sz w:val="18"/>
                <w:szCs w:val="20"/>
              </w:rPr>
              <w:t>rządy prawa</w:t>
            </w:r>
            <w:r w:rsidR="00992FD0" w:rsidRPr="00EC250C">
              <w:rPr>
                <w:sz w:val="18"/>
                <w:szCs w:val="20"/>
              </w:rPr>
              <w:t xml:space="preserve"> w </w:t>
            </w:r>
            <w:r w:rsidRPr="00EC250C">
              <w:rPr>
                <w:sz w:val="18"/>
                <w:szCs w:val="20"/>
              </w:rPr>
              <w:t>UE</w:t>
            </w:r>
            <w:r w:rsidR="00992FD0" w:rsidRPr="00EC250C">
              <w:rPr>
                <w:sz w:val="18"/>
                <w:szCs w:val="20"/>
              </w:rPr>
              <w:t xml:space="preserve"> i </w:t>
            </w:r>
            <w:r w:rsidRPr="00EC250C">
              <w:rPr>
                <w:sz w:val="18"/>
                <w:szCs w:val="20"/>
              </w:rPr>
              <w:t>poza nią” zorganizowanej przez Forum Idei Fundacji im. Stefana Batorego, Warszawskie Biuro ECFR</w:t>
            </w:r>
            <w:r w:rsidR="00992FD0" w:rsidRPr="00EC250C">
              <w:rPr>
                <w:sz w:val="18"/>
                <w:szCs w:val="20"/>
              </w:rPr>
              <w:t xml:space="preserve"> i </w:t>
            </w:r>
            <w:r w:rsidRPr="00EC250C">
              <w:rPr>
                <w:sz w:val="18"/>
                <w:szCs w:val="20"/>
              </w:rPr>
              <w:t>Instytut Nauk</w:t>
            </w:r>
            <w:r w:rsidR="00992FD0" w:rsidRPr="00EC250C">
              <w:rPr>
                <w:sz w:val="18"/>
                <w:szCs w:val="20"/>
              </w:rPr>
              <w:t xml:space="preserve"> o </w:t>
            </w:r>
            <w:r w:rsidRPr="00EC250C">
              <w:rPr>
                <w:sz w:val="18"/>
                <w:szCs w:val="20"/>
              </w:rPr>
              <w:t>Człowieku</w:t>
            </w:r>
            <w:r w:rsidR="00992FD0" w:rsidRPr="00EC250C">
              <w:rPr>
                <w:sz w:val="18"/>
                <w:szCs w:val="20"/>
              </w:rPr>
              <w:t xml:space="preserve"> w </w:t>
            </w:r>
            <w:r w:rsidRPr="00EC250C">
              <w:rPr>
                <w:sz w:val="18"/>
                <w:szCs w:val="20"/>
              </w:rPr>
              <w:t>Wiedniu. Warszawa.</w:t>
            </w:r>
          </w:p>
        </w:tc>
        <w:tc>
          <w:tcPr>
            <w:tcW w:w="1687" w:type="dxa"/>
          </w:tcPr>
          <w:p w14:paraId="0F9B896A" w14:textId="77777777" w:rsidR="00250AC8" w:rsidRPr="00EC250C" w:rsidRDefault="00250AC8" w:rsidP="00902FC6">
            <w:pPr>
              <w:pStyle w:val="Tabela"/>
              <w:rPr>
                <w:sz w:val="18"/>
                <w:szCs w:val="20"/>
              </w:rPr>
            </w:pPr>
            <w:r w:rsidRPr="00EC250C">
              <w:rPr>
                <w:sz w:val="18"/>
                <w:szCs w:val="20"/>
              </w:rPr>
              <w:t>12.12.2018</w:t>
            </w:r>
            <w:r w:rsidR="00C91F6E" w:rsidRPr="00EC250C">
              <w:rPr>
                <w:sz w:val="18"/>
                <w:szCs w:val="20"/>
              </w:rPr>
              <w:t> r.</w:t>
            </w:r>
          </w:p>
        </w:tc>
      </w:tr>
      <w:tr w:rsidR="00250AC8" w:rsidRPr="00EC250C" w14:paraId="1D8A3C8A" w14:textId="77777777" w:rsidTr="00FC47F2">
        <w:trPr>
          <w:tblCellSpacing w:w="20" w:type="dxa"/>
        </w:trPr>
        <w:tc>
          <w:tcPr>
            <w:tcW w:w="658" w:type="dxa"/>
          </w:tcPr>
          <w:p w14:paraId="7FEA9C39" w14:textId="77777777" w:rsidR="00250AC8" w:rsidRPr="00EC250C" w:rsidRDefault="00250AC8" w:rsidP="006C70B7">
            <w:pPr>
              <w:pStyle w:val="Tabela"/>
              <w:numPr>
                <w:ilvl w:val="0"/>
                <w:numId w:val="80"/>
              </w:numPr>
              <w:ind w:left="0" w:firstLine="0"/>
              <w:jc w:val="both"/>
            </w:pPr>
          </w:p>
        </w:tc>
        <w:tc>
          <w:tcPr>
            <w:tcW w:w="7331" w:type="dxa"/>
          </w:tcPr>
          <w:p w14:paraId="66783170" w14:textId="77777777" w:rsidR="00250AC8" w:rsidRPr="00EC250C" w:rsidRDefault="00250AC8" w:rsidP="00902FC6">
            <w:pPr>
              <w:pStyle w:val="Tabela"/>
              <w:rPr>
                <w:sz w:val="18"/>
                <w:szCs w:val="20"/>
              </w:rPr>
            </w:pPr>
            <w:r w:rsidRPr="00EC250C">
              <w:rPr>
                <w:sz w:val="18"/>
                <w:szCs w:val="20"/>
              </w:rPr>
              <w:t>IV Zjazd diagnozujących</w:t>
            </w:r>
            <w:r w:rsidR="00992FD0" w:rsidRPr="00EC250C">
              <w:rPr>
                <w:sz w:val="18"/>
                <w:szCs w:val="20"/>
              </w:rPr>
              <w:t xml:space="preserve"> i </w:t>
            </w:r>
            <w:r w:rsidRPr="00EC250C">
              <w:rPr>
                <w:sz w:val="18"/>
                <w:szCs w:val="20"/>
              </w:rPr>
              <w:t>leczących gruźlicę zorganizowany przez Małopolski Szpital Chorób Płuc</w:t>
            </w:r>
            <w:r w:rsidR="00992FD0" w:rsidRPr="00EC250C">
              <w:rPr>
                <w:sz w:val="18"/>
                <w:szCs w:val="20"/>
              </w:rPr>
              <w:t xml:space="preserve"> i </w:t>
            </w:r>
            <w:r w:rsidRPr="00EC250C">
              <w:rPr>
                <w:sz w:val="18"/>
                <w:szCs w:val="20"/>
              </w:rPr>
              <w:t>Rehabilitacji. Kraków.</w:t>
            </w:r>
          </w:p>
        </w:tc>
        <w:tc>
          <w:tcPr>
            <w:tcW w:w="1687" w:type="dxa"/>
          </w:tcPr>
          <w:p w14:paraId="2C0D83E9" w14:textId="77777777" w:rsidR="00250AC8" w:rsidRPr="00EC250C" w:rsidRDefault="00250AC8" w:rsidP="00902FC6">
            <w:pPr>
              <w:pStyle w:val="Tabela"/>
              <w:rPr>
                <w:sz w:val="18"/>
                <w:szCs w:val="20"/>
              </w:rPr>
            </w:pPr>
            <w:r w:rsidRPr="00EC250C">
              <w:rPr>
                <w:sz w:val="18"/>
                <w:szCs w:val="20"/>
              </w:rPr>
              <w:t>12.12.2018</w:t>
            </w:r>
            <w:r w:rsidR="00C91F6E" w:rsidRPr="00EC250C">
              <w:rPr>
                <w:sz w:val="18"/>
                <w:szCs w:val="20"/>
              </w:rPr>
              <w:t> r.</w:t>
            </w:r>
          </w:p>
        </w:tc>
      </w:tr>
      <w:tr w:rsidR="00250AC8" w:rsidRPr="00EC250C" w14:paraId="051C6F9E" w14:textId="77777777" w:rsidTr="00FC47F2">
        <w:trPr>
          <w:tblCellSpacing w:w="20" w:type="dxa"/>
        </w:trPr>
        <w:tc>
          <w:tcPr>
            <w:tcW w:w="658" w:type="dxa"/>
          </w:tcPr>
          <w:p w14:paraId="5B414B21" w14:textId="77777777" w:rsidR="00250AC8" w:rsidRPr="00EC250C" w:rsidRDefault="00250AC8" w:rsidP="006C70B7">
            <w:pPr>
              <w:pStyle w:val="Tabela"/>
              <w:numPr>
                <w:ilvl w:val="0"/>
                <w:numId w:val="80"/>
              </w:numPr>
              <w:ind w:left="0" w:firstLine="0"/>
              <w:jc w:val="both"/>
            </w:pPr>
          </w:p>
        </w:tc>
        <w:tc>
          <w:tcPr>
            <w:tcW w:w="7331" w:type="dxa"/>
          </w:tcPr>
          <w:p w14:paraId="72EC1863"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debacie</w:t>
            </w:r>
            <w:r w:rsidR="00992FD0" w:rsidRPr="00EC250C">
              <w:rPr>
                <w:sz w:val="18"/>
                <w:szCs w:val="20"/>
              </w:rPr>
              <w:t xml:space="preserve"> o </w:t>
            </w:r>
            <w:r w:rsidRPr="00EC250C">
              <w:rPr>
                <w:sz w:val="18"/>
                <w:szCs w:val="20"/>
              </w:rPr>
              <w:t>Deklaracji Praw Człowieka zorganizowanej przez Biuro Instytucji Demokratycznych</w:t>
            </w:r>
            <w:r w:rsidR="00992FD0" w:rsidRPr="00EC250C">
              <w:rPr>
                <w:sz w:val="18"/>
                <w:szCs w:val="20"/>
              </w:rPr>
              <w:t xml:space="preserve"> i </w:t>
            </w:r>
            <w:r w:rsidRPr="00EC250C">
              <w:rPr>
                <w:sz w:val="18"/>
                <w:szCs w:val="20"/>
              </w:rPr>
              <w:t>Praw Człowieka OBWE/ODIHR. Warszawa.</w:t>
            </w:r>
          </w:p>
        </w:tc>
        <w:tc>
          <w:tcPr>
            <w:tcW w:w="1687" w:type="dxa"/>
          </w:tcPr>
          <w:p w14:paraId="66708147" w14:textId="77777777" w:rsidR="00250AC8" w:rsidRPr="00EC250C" w:rsidRDefault="00250AC8" w:rsidP="00902FC6">
            <w:pPr>
              <w:pStyle w:val="Tabela"/>
              <w:rPr>
                <w:sz w:val="18"/>
                <w:szCs w:val="20"/>
              </w:rPr>
            </w:pPr>
            <w:r w:rsidRPr="00EC250C">
              <w:rPr>
                <w:sz w:val="18"/>
                <w:szCs w:val="20"/>
              </w:rPr>
              <w:t>13.12.2018</w:t>
            </w:r>
            <w:r w:rsidR="00C91F6E" w:rsidRPr="00EC250C">
              <w:rPr>
                <w:sz w:val="18"/>
                <w:szCs w:val="20"/>
              </w:rPr>
              <w:t> r.</w:t>
            </w:r>
          </w:p>
        </w:tc>
      </w:tr>
      <w:tr w:rsidR="00250AC8" w:rsidRPr="00EC250C" w14:paraId="4A1D0A46" w14:textId="77777777" w:rsidTr="00FC47F2">
        <w:trPr>
          <w:tblCellSpacing w:w="20" w:type="dxa"/>
        </w:trPr>
        <w:tc>
          <w:tcPr>
            <w:tcW w:w="658" w:type="dxa"/>
          </w:tcPr>
          <w:p w14:paraId="2EF2A650" w14:textId="77777777" w:rsidR="00250AC8" w:rsidRPr="00EC250C" w:rsidRDefault="00250AC8" w:rsidP="006C70B7">
            <w:pPr>
              <w:pStyle w:val="Tabela"/>
              <w:numPr>
                <w:ilvl w:val="0"/>
                <w:numId w:val="80"/>
              </w:numPr>
              <w:ind w:left="0" w:firstLine="0"/>
              <w:jc w:val="both"/>
            </w:pPr>
          </w:p>
        </w:tc>
        <w:tc>
          <w:tcPr>
            <w:tcW w:w="7331" w:type="dxa"/>
          </w:tcPr>
          <w:p w14:paraId="2DE32175" w14:textId="77777777" w:rsidR="00250AC8" w:rsidRPr="00EC250C" w:rsidRDefault="00250AC8" w:rsidP="00902FC6">
            <w:pPr>
              <w:pStyle w:val="Tabela"/>
              <w:rPr>
                <w:sz w:val="18"/>
                <w:szCs w:val="20"/>
              </w:rPr>
            </w:pPr>
            <w:r w:rsidRPr="00EC250C">
              <w:rPr>
                <w:sz w:val="18"/>
                <w:szCs w:val="20"/>
              </w:rPr>
              <w:t>Konferencja nt. „Mediacja prawem obywatelskim” zorganizowana przez Uniwersytet SWPS</w:t>
            </w:r>
            <w:r w:rsidR="00992FD0" w:rsidRPr="00EC250C">
              <w:rPr>
                <w:sz w:val="18"/>
                <w:szCs w:val="20"/>
              </w:rPr>
              <w:t xml:space="preserve"> i </w:t>
            </w:r>
            <w:r w:rsidRPr="00EC250C">
              <w:rPr>
                <w:sz w:val="18"/>
                <w:szCs w:val="20"/>
              </w:rPr>
              <w:t>Poznańskie Centrum Mediacji. Poznań.</w:t>
            </w:r>
          </w:p>
        </w:tc>
        <w:tc>
          <w:tcPr>
            <w:tcW w:w="1687" w:type="dxa"/>
          </w:tcPr>
          <w:p w14:paraId="7D874989" w14:textId="77777777" w:rsidR="00250AC8" w:rsidRPr="00EC250C" w:rsidRDefault="00250AC8" w:rsidP="00902FC6">
            <w:pPr>
              <w:pStyle w:val="Tabela"/>
              <w:rPr>
                <w:sz w:val="18"/>
                <w:szCs w:val="20"/>
              </w:rPr>
            </w:pPr>
            <w:r w:rsidRPr="00EC250C">
              <w:rPr>
                <w:sz w:val="18"/>
                <w:szCs w:val="20"/>
              </w:rPr>
              <w:t>13.12.2018</w:t>
            </w:r>
            <w:r w:rsidR="00C91F6E" w:rsidRPr="00EC250C">
              <w:rPr>
                <w:sz w:val="18"/>
                <w:szCs w:val="20"/>
              </w:rPr>
              <w:t> r.</w:t>
            </w:r>
          </w:p>
        </w:tc>
      </w:tr>
      <w:tr w:rsidR="00250AC8" w:rsidRPr="00EC250C" w14:paraId="5A921BE7" w14:textId="77777777" w:rsidTr="00FC47F2">
        <w:trPr>
          <w:tblCellSpacing w:w="20" w:type="dxa"/>
        </w:trPr>
        <w:tc>
          <w:tcPr>
            <w:tcW w:w="658" w:type="dxa"/>
          </w:tcPr>
          <w:p w14:paraId="572002DC" w14:textId="77777777" w:rsidR="00250AC8" w:rsidRPr="00EC250C" w:rsidRDefault="00250AC8" w:rsidP="006C70B7">
            <w:pPr>
              <w:pStyle w:val="Tabela"/>
              <w:numPr>
                <w:ilvl w:val="0"/>
                <w:numId w:val="80"/>
              </w:numPr>
              <w:ind w:left="0" w:firstLine="0"/>
              <w:jc w:val="both"/>
            </w:pPr>
          </w:p>
        </w:tc>
        <w:tc>
          <w:tcPr>
            <w:tcW w:w="7331" w:type="dxa"/>
          </w:tcPr>
          <w:p w14:paraId="021A8D30"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konferencji „Unijny zakaz dyskryminacji</w:t>
            </w:r>
            <w:r w:rsidR="00992FD0" w:rsidRPr="00EC250C">
              <w:rPr>
                <w:sz w:val="18"/>
                <w:szCs w:val="20"/>
              </w:rPr>
              <w:t xml:space="preserve"> a </w:t>
            </w:r>
            <w:r w:rsidRPr="00EC250C">
              <w:rPr>
                <w:sz w:val="18"/>
                <w:szCs w:val="20"/>
              </w:rPr>
              <w:t>prawo polskie” zorganizowanej przez Polskie Towarzystwo Prawa Antydyskryminacyjnego</w:t>
            </w:r>
            <w:r w:rsidR="00992FD0" w:rsidRPr="00EC250C">
              <w:rPr>
                <w:sz w:val="18"/>
                <w:szCs w:val="20"/>
              </w:rPr>
              <w:t xml:space="preserve"> i </w:t>
            </w:r>
            <w:r w:rsidRPr="00EC250C">
              <w:rPr>
                <w:sz w:val="18"/>
                <w:szCs w:val="20"/>
              </w:rPr>
              <w:t>Przedstawicielstwo Komisji Europejskiej</w:t>
            </w:r>
            <w:r w:rsidR="00992FD0" w:rsidRPr="00EC250C">
              <w:rPr>
                <w:sz w:val="18"/>
                <w:szCs w:val="20"/>
              </w:rPr>
              <w:t xml:space="preserve"> w </w:t>
            </w:r>
            <w:r w:rsidRPr="00EC250C">
              <w:rPr>
                <w:sz w:val="18"/>
                <w:szCs w:val="20"/>
              </w:rPr>
              <w:t>Polsce. Warszawa.</w:t>
            </w:r>
          </w:p>
        </w:tc>
        <w:tc>
          <w:tcPr>
            <w:tcW w:w="1687" w:type="dxa"/>
          </w:tcPr>
          <w:p w14:paraId="4FA7270E" w14:textId="77777777" w:rsidR="00250AC8" w:rsidRPr="00EC250C" w:rsidRDefault="00250AC8" w:rsidP="00902FC6">
            <w:pPr>
              <w:pStyle w:val="Tabela"/>
              <w:rPr>
                <w:sz w:val="18"/>
                <w:szCs w:val="20"/>
              </w:rPr>
            </w:pPr>
            <w:r w:rsidRPr="00EC250C">
              <w:rPr>
                <w:sz w:val="18"/>
                <w:szCs w:val="20"/>
              </w:rPr>
              <w:t>13.12.2018</w:t>
            </w:r>
            <w:r w:rsidR="00C91F6E" w:rsidRPr="00EC250C">
              <w:rPr>
                <w:sz w:val="18"/>
                <w:szCs w:val="20"/>
              </w:rPr>
              <w:t> r.</w:t>
            </w:r>
          </w:p>
        </w:tc>
      </w:tr>
      <w:tr w:rsidR="00250AC8" w:rsidRPr="00EC250C" w14:paraId="09568F7A" w14:textId="77777777" w:rsidTr="00FC47F2">
        <w:trPr>
          <w:tblCellSpacing w:w="20" w:type="dxa"/>
        </w:trPr>
        <w:tc>
          <w:tcPr>
            <w:tcW w:w="658" w:type="dxa"/>
          </w:tcPr>
          <w:p w14:paraId="32455944" w14:textId="77777777" w:rsidR="00250AC8" w:rsidRPr="00EC250C" w:rsidRDefault="00250AC8" w:rsidP="006C70B7">
            <w:pPr>
              <w:pStyle w:val="Tabela"/>
              <w:numPr>
                <w:ilvl w:val="0"/>
                <w:numId w:val="80"/>
              </w:numPr>
              <w:ind w:left="0" w:firstLine="0"/>
              <w:jc w:val="both"/>
            </w:pPr>
          </w:p>
        </w:tc>
        <w:tc>
          <w:tcPr>
            <w:tcW w:w="7331" w:type="dxa"/>
          </w:tcPr>
          <w:p w14:paraId="297E5235" w14:textId="77777777" w:rsidR="00250AC8" w:rsidRPr="00EC250C" w:rsidRDefault="00250AC8" w:rsidP="00902FC6">
            <w:pPr>
              <w:pStyle w:val="Tabela"/>
              <w:rPr>
                <w:sz w:val="18"/>
                <w:szCs w:val="20"/>
              </w:rPr>
            </w:pPr>
            <w:r w:rsidRPr="00EC250C">
              <w:rPr>
                <w:sz w:val="18"/>
                <w:szCs w:val="20"/>
              </w:rPr>
              <w:t>Konferencja nt. „Trybunał Sprawiedliwości Unii Europejskiej – praktyka orzecznicza</w:t>
            </w:r>
            <w:r w:rsidR="00992FD0" w:rsidRPr="00EC250C">
              <w:rPr>
                <w:sz w:val="18"/>
                <w:szCs w:val="20"/>
              </w:rPr>
              <w:t xml:space="preserve"> i </w:t>
            </w:r>
            <w:r w:rsidRPr="00EC250C">
              <w:rPr>
                <w:sz w:val="18"/>
                <w:szCs w:val="20"/>
              </w:rPr>
              <w:t>wpływ na stosowanie prawa krajowego” zorganizowana przez Izbę Adwokacką</w:t>
            </w:r>
            <w:r w:rsidR="00992FD0" w:rsidRPr="00EC250C">
              <w:rPr>
                <w:sz w:val="18"/>
                <w:szCs w:val="20"/>
              </w:rPr>
              <w:t xml:space="preserve"> w </w:t>
            </w:r>
            <w:r w:rsidRPr="00EC250C">
              <w:rPr>
                <w:sz w:val="18"/>
                <w:szCs w:val="20"/>
              </w:rPr>
              <w:t>Białymstoku, Stowarzyszenie Sędziów Polskich Iustitia – Oddział</w:t>
            </w:r>
            <w:r w:rsidR="00992FD0" w:rsidRPr="00EC250C">
              <w:rPr>
                <w:sz w:val="18"/>
                <w:szCs w:val="20"/>
              </w:rPr>
              <w:t xml:space="preserve"> w </w:t>
            </w:r>
            <w:r w:rsidRPr="00EC250C">
              <w:rPr>
                <w:sz w:val="18"/>
                <w:szCs w:val="20"/>
              </w:rPr>
              <w:t>Białymstoku, Okręgową Izbę Radców Prawnych</w:t>
            </w:r>
            <w:r w:rsidR="00992FD0" w:rsidRPr="00EC250C">
              <w:rPr>
                <w:sz w:val="18"/>
                <w:szCs w:val="20"/>
              </w:rPr>
              <w:t xml:space="preserve"> w </w:t>
            </w:r>
            <w:r w:rsidRPr="00EC250C">
              <w:rPr>
                <w:sz w:val="18"/>
                <w:szCs w:val="20"/>
              </w:rPr>
              <w:t>Białymstoku, Podlaski</w:t>
            </w:r>
            <w:r w:rsidR="00992FD0" w:rsidRPr="00EC250C">
              <w:rPr>
                <w:sz w:val="18"/>
                <w:szCs w:val="20"/>
              </w:rPr>
              <w:t xml:space="preserve"> i </w:t>
            </w:r>
            <w:r w:rsidRPr="00EC250C">
              <w:rPr>
                <w:sz w:val="18"/>
                <w:szCs w:val="20"/>
              </w:rPr>
              <w:t>Warmińsko-Mazurski Oddział Krajowej Izby Doradców Podatkowych oraz Wydział Prawa Uniwersytetu</w:t>
            </w:r>
            <w:r w:rsidR="00992FD0" w:rsidRPr="00EC250C">
              <w:rPr>
                <w:sz w:val="18"/>
                <w:szCs w:val="20"/>
              </w:rPr>
              <w:t xml:space="preserve"> w </w:t>
            </w:r>
            <w:r w:rsidRPr="00EC250C">
              <w:rPr>
                <w:sz w:val="18"/>
                <w:szCs w:val="20"/>
              </w:rPr>
              <w:t>Białymstoku. Białystok.</w:t>
            </w:r>
          </w:p>
        </w:tc>
        <w:tc>
          <w:tcPr>
            <w:tcW w:w="1687" w:type="dxa"/>
          </w:tcPr>
          <w:p w14:paraId="6E24802F" w14:textId="77777777" w:rsidR="00250AC8" w:rsidRPr="00EC250C" w:rsidRDefault="00250AC8" w:rsidP="00902FC6">
            <w:pPr>
              <w:pStyle w:val="Tabela"/>
              <w:rPr>
                <w:sz w:val="18"/>
                <w:szCs w:val="20"/>
              </w:rPr>
            </w:pPr>
            <w:r w:rsidRPr="00EC250C">
              <w:rPr>
                <w:sz w:val="18"/>
                <w:szCs w:val="20"/>
              </w:rPr>
              <w:t>14.12.2018</w:t>
            </w:r>
            <w:r w:rsidR="00C91F6E" w:rsidRPr="00EC250C">
              <w:rPr>
                <w:sz w:val="18"/>
                <w:szCs w:val="20"/>
              </w:rPr>
              <w:t> r.</w:t>
            </w:r>
          </w:p>
        </w:tc>
      </w:tr>
      <w:tr w:rsidR="00250AC8" w:rsidRPr="00EC250C" w14:paraId="3CE1019B" w14:textId="77777777" w:rsidTr="00FC47F2">
        <w:trPr>
          <w:tblCellSpacing w:w="20" w:type="dxa"/>
        </w:trPr>
        <w:tc>
          <w:tcPr>
            <w:tcW w:w="658" w:type="dxa"/>
          </w:tcPr>
          <w:p w14:paraId="58CAED4C" w14:textId="77777777" w:rsidR="00250AC8" w:rsidRPr="00EC250C" w:rsidRDefault="00250AC8" w:rsidP="006C70B7">
            <w:pPr>
              <w:pStyle w:val="Tabela"/>
              <w:numPr>
                <w:ilvl w:val="0"/>
                <w:numId w:val="80"/>
              </w:numPr>
              <w:ind w:left="0" w:firstLine="0"/>
              <w:jc w:val="both"/>
            </w:pPr>
          </w:p>
        </w:tc>
        <w:tc>
          <w:tcPr>
            <w:tcW w:w="7331" w:type="dxa"/>
          </w:tcPr>
          <w:p w14:paraId="7BFE5C5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 </w:t>
            </w:r>
            <w:r w:rsidR="003C397F" w:rsidRPr="00EC250C">
              <w:rPr>
                <w:sz w:val="18"/>
                <w:szCs w:val="20"/>
              </w:rPr>
              <w:t>zastępcy</w:t>
            </w:r>
            <w:r w:rsidRPr="00EC250C">
              <w:rPr>
                <w:sz w:val="18"/>
                <w:szCs w:val="20"/>
              </w:rPr>
              <w:t xml:space="preserve"> RPO Stanisława Trociuka, </w:t>
            </w:r>
            <w:r w:rsidR="003C397F" w:rsidRPr="00EC250C">
              <w:rPr>
                <w:sz w:val="18"/>
                <w:szCs w:val="20"/>
              </w:rPr>
              <w:t>zastępczyni</w:t>
            </w:r>
            <w:r w:rsidRPr="00EC250C">
              <w:rPr>
                <w:sz w:val="18"/>
                <w:szCs w:val="20"/>
              </w:rPr>
              <w:t xml:space="preserve"> RPO Hanny Machińskiej,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i </w:t>
            </w:r>
            <w:r w:rsidRPr="00EC250C">
              <w:rPr>
                <w:sz w:val="18"/>
                <w:szCs w:val="20"/>
              </w:rPr>
              <w:t>Dyrektor Generalnej Biura RPO Katarzyny Jakimowicz</w:t>
            </w:r>
            <w:r w:rsidR="00992FD0" w:rsidRPr="00EC250C">
              <w:rPr>
                <w:sz w:val="18"/>
                <w:szCs w:val="20"/>
              </w:rPr>
              <w:t xml:space="preserve"> w </w:t>
            </w:r>
            <w:r w:rsidRPr="00EC250C">
              <w:rPr>
                <w:sz w:val="18"/>
                <w:szCs w:val="20"/>
              </w:rPr>
              <w:t>II Ogólnopolskim Kongresie Praw Obywatelskich zorganizowanym przez Rzecznika Praw Obywatelskich oraz Biuro Instytucji Demokratycznych</w:t>
            </w:r>
            <w:r w:rsidR="00992FD0" w:rsidRPr="00EC250C">
              <w:rPr>
                <w:sz w:val="18"/>
                <w:szCs w:val="20"/>
              </w:rPr>
              <w:t xml:space="preserve"> i </w:t>
            </w:r>
            <w:r w:rsidRPr="00EC250C">
              <w:rPr>
                <w:sz w:val="18"/>
                <w:szCs w:val="20"/>
              </w:rPr>
              <w:t>Praw Człowieka OBWE/ODIHR. Warszawa.</w:t>
            </w:r>
          </w:p>
        </w:tc>
        <w:tc>
          <w:tcPr>
            <w:tcW w:w="1687" w:type="dxa"/>
          </w:tcPr>
          <w:p w14:paraId="682A613B" w14:textId="77777777" w:rsidR="00250AC8" w:rsidRPr="00EC250C" w:rsidRDefault="00250AC8" w:rsidP="00902FC6">
            <w:pPr>
              <w:pStyle w:val="Tabela"/>
              <w:rPr>
                <w:sz w:val="18"/>
                <w:szCs w:val="20"/>
              </w:rPr>
            </w:pPr>
            <w:r w:rsidRPr="00EC250C">
              <w:rPr>
                <w:sz w:val="18"/>
                <w:szCs w:val="20"/>
              </w:rPr>
              <w:t>14–15.12.2018</w:t>
            </w:r>
            <w:r w:rsidR="00C91F6E" w:rsidRPr="00EC250C">
              <w:rPr>
                <w:sz w:val="18"/>
                <w:szCs w:val="20"/>
              </w:rPr>
              <w:t> r.</w:t>
            </w:r>
          </w:p>
        </w:tc>
      </w:tr>
      <w:tr w:rsidR="00250AC8" w:rsidRPr="00EC250C" w14:paraId="7DAE0D32" w14:textId="77777777" w:rsidTr="00FC47F2">
        <w:trPr>
          <w:tblCellSpacing w:w="20" w:type="dxa"/>
        </w:trPr>
        <w:tc>
          <w:tcPr>
            <w:tcW w:w="658" w:type="dxa"/>
          </w:tcPr>
          <w:p w14:paraId="1F0763BD" w14:textId="77777777" w:rsidR="00250AC8" w:rsidRPr="00EC250C" w:rsidRDefault="00250AC8" w:rsidP="006C70B7">
            <w:pPr>
              <w:pStyle w:val="Tabela"/>
              <w:numPr>
                <w:ilvl w:val="0"/>
                <w:numId w:val="80"/>
              </w:numPr>
              <w:ind w:left="0" w:firstLine="0"/>
              <w:jc w:val="both"/>
            </w:pPr>
          </w:p>
        </w:tc>
        <w:tc>
          <w:tcPr>
            <w:tcW w:w="7331" w:type="dxa"/>
          </w:tcPr>
          <w:p w14:paraId="798A079F"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uroczystości wręczenia nagrody „Złoty Wachlarz” Biuru RPO, przyznawanej przez International Organization for Migration (IOM – Agencja ds. Migrantów ONZ) za konsekwentne działania na rzecz praw migrantów. Warszawa.</w:t>
            </w:r>
          </w:p>
        </w:tc>
        <w:tc>
          <w:tcPr>
            <w:tcW w:w="1687" w:type="dxa"/>
          </w:tcPr>
          <w:p w14:paraId="3F536748" w14:textId="77777777" w:rsidR="00250AC8" w:rsidRPr="00EC250C" w:rsidRDefault="00250AC8" w:rsidP="00902FC6">
            <w:pPr>
              <w:pStyle w:val="Tabela"/>
              <w:rPr>
                <w:sz w:val="18"/>
                <w:szCs w:val="20"/>
              </w:rPr>
            </w:pPr>
            <w:r w:rsidRPr="00EC250C">
              <w:rPr>
                <w:sz w:val="18"/>
                <w:szCs w:val="20"/>
              </w:rPr>
              <w:t>17.12.2018</w:t>
            </w:r>
            <w:r w:rsidR="00C91F6E" w:rsidRPr="00EC250C">
              <w:rPr>
                <w:sz w:val="18"/>
                <w:szCs w:val="20"/>
              </w:rPr>
              <w:t> r.</w:t>
            </w:r>
          </w:p>
        </w:tc>
      </w:tr>
    </w:tbl>
    <w:p w14:paraId="193D216A" w14:textId="77777777" w:rsidR="00250AC8" w:rsidRPr="00EC250C" w:rsidRDefault="007E515C" w:rsidP="00EC79EB">
      <w:pPr>
        <w:pStyle w:val="Nagwek4"/>
      </w:pPr>
      <w:bookmarkStart w:id="889" w:name="_Toc3898986"/>
      <w:bookmarkStart w:id="890" w:name="_Toc6258107"/>
      <w:bookmarkStart w:id="891" w:name="_Toc11247888"/>
      <w:r w:rsidRPr="00EC250C">
        <w:lastRenderedPageBreak/>
        <w:t>D</w:t>
      </w:r>
      <w:r w:rsidR="00250AC8" w:rsidRPr="00EC250C">
        <w:t xml:space="preserve">ziałania </w:t>
      </w:r>
      <w:r w:rsidR="00EE1A69" w:rsidRPr="00EC250C">
        <w:t>RPO</w:t>
      </w:r>
      <w:r w:rsidR="00250AC8" w:rsidRPr="00EC250C">
        <w:t xml:space="preserve"> na forum międzynarodowym</w:t>
      </w:r>
      <w:bookmarkEnd w:id="889"/>
      <w:bookmarkEnd w:id="890"/>
      <w:bookmarkEnd w:id="891"/>
    </w:p>
    <w:p w14:paraId="5937A8DD" w14:textId="77777777" w:rsidR="00250AC8" w:rsidRPr="00EC250C" w:rsidRDefault="00250AC8" w:rsidP="00EC250C">
      <w:pPr>
        <w:pStyle w:val="Nagwek5"/>
      </w:pPr>
      <w:bookmarkStart w:id="892" w:name="_Toc6258108"/>
      <w:r w:rsidRPr="00EC250C">
        <w:t xml:space="preserve">Wyjazdy zagraniczne </w:t>
      </w:r>
      <w:r w:rsidR="00EE1A69" w:rsidRPr="00EC250C">
        <w:t>r</w:t>
      </w:r>
      <w:r w:rsidRPr="00EC250C">
        <w:t xml:space="preserve">zecznika </w:t>
      </w:r>
      <w:r w:rsidR="00EE1A69" w:rsidRPr="00EC250C">
        <w:t>p</w:t>
      </w:r>
      <w:r w:rsidRPr="00EC250C">
        <w:t xml:space="preserve">raw </w:t>
      </w:r>
      <w:r w:rsidR="00EE1A69" w:rsidRPr="00EC250C">
        <w:t>o</w:t>
      </w:r>
      <w:r w:rsidRPr="00EC250C">
        <w:t xml:space="preserve">bywatelskich, </w:t>
      </w:r>
      <w:r w:rsidR="00EE1A69" w:rsidRPr="00EC250C">
        <w:t>z</w:t>
      </w:r>
      <w:r w:rsidRPr="00EC250C">
        <w:t xml:space="preserve">astępczyń RPO, </w:t>
      </w:r>
      <w:r w:rsidR="003C397F" w:rsidRPr="00EC250C">
        <w:t>zastępcy</w:t>
      </w:r>
      <w:r w:rsidRPr="00EC250C">
        <w:t xml:space="preserve"> RPO oraz przedstawicieli Biura.</w:t>
      </w:r>
      <w:bookmarkEnd w:id="892"/>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76"/>
        <w:gridCol w:w="7513"/>
        <w:gridCol w:w="1747"/>
      </w:tblGrid>
      <w:tr w:rsidR="00250AC8" w:rsidRPr="00EC250C" w14:paraId="5FCC5A2D" w14:textId="77777777" w:rsidTr="00FC47F2">
        <w:trPr>
          <w:tblCellSpacing w:w="20" w:type="dxa"/>
        </w:trPr>
        <w:tc>
          <w:tcPr>
            <w:tcW w:w="516" w:type="dxa"/>
          </w:tcPr>
          <w:p w14:paraId="4755F975" w14:textId="77777777" w:rsidR="00250AC8" w:rsidRPr="00EC250C" w:rsidRDefault="00250AC8" w:rsidP="006C70B7">
            <w:pPr>
              <w:pStyle w:val="Tabela"/>
              <w:numPr>
                <w:ilvl w:val="0"/>
                <w:numId w:val="81"/>
              </w:numPr>
              <w:ind w:left="357" w:hanging="357"/>
              <w:jc w:val="both"/>
            </w:pPr>
          </w:p>
        </w:tc>
        <w:tc>
          <w:tcPr>
            <w:tcW w:w="7473" w:type="dxa"/>
          </w:tcPr>
          <w:p w14:paraId="484FC8CF" w14:textId="77777777" w:rsidR="00250AC8" w:rsidRPr="00EC250C" w:rsidRDefault="00250AC8" w:rsidP="00D131FA">
            <w:pPr>
              <w:pStyle w:val="Tabela"/>
              <w:jc w:val="both"/>
              <w:rPr>
                <w:rStyle w:val="tytul13"/>
                <w:rFonts w:asciiTheme="minorHAnsi" w:eastAsiaTheme="minorHAnsi" w:hAnsiTheme="minorHAnsi" w:cstheme="minorBidi"/>
                <w:spacing w:val="0"/>
                <w:lang w:eastAsia="en-US"/>
              </w:rPr>
            </w:pPr>
            <w:r w:rsidRPr="00EC250C">
              <w:t>Warsztaty dotyczące praw człowieka</w:t>
            </w:r>
            <w:r w:rsidR="00992FD0" w:rsidRPr="00EC250C">
              <w:t xml:space="preserve"> w </w:t>
            </w:r>
            <w:r w:rsidRPr="00EC250C">
              <w:t>erze cyfrowej nt. „Human Rights in the Digital Age” zorganizowane przez Międzynarodowy Instytut Ombudsmana (IOI). Tallin, Estonia.</w:t>
            </w:r>
          </w:p>
        </w:tc>
        <w:tc>
          <w:tcPr>
            <w:tcW w:w="1687" w:type="dxa"/>
          </w:tcPr>
          <w:p w14:paraId="37D775BB" w14:textId="77777777" w:rsidR="00250AC8" w:rsidRPr="00EC250C" w:rsidRDefault="00250AC8" w:rsidP="00D131FA">
            <w:pPr>
              <w:pStyle w:val="Tabela"/>
              <w:jc w:val="both"/>
            </w:pPr>
            <w:r w:rsidRPr="00EC250C">
              <w:t>22–24.01.2018</w:t>
            </w:r>
            <w:r w:rsidR="00C91F6E" w:rsidRPr="00EC250C">
              <w:t> r.</w:t>
            </w:r>
          </w:p>
        </w:tc>
      </w:tr>
      <w:tr w:rsidR="00250AC8" w:rsidRPr="00EC250C" w14:paraId="5594F1E0" w14:textId="77777777" w:rsidTr="00FC47F2">
        <w:trPr>
          <w:tblCellSpacing w:w="20" w:type="dxa"/>
        </w:trPr>
        <w:tc>
          <w:tcPr>
            <w:tcW w:w="516" w:type="dxa"/>
          </w:tcPr>
          <w:p w14:paraId="3DAC68FC" w14:textId="77777777" w:rsidR="00250AC8" w:rsidRPr="00EC250C" w:rsidRDefault="00250AC8" w:rsidP="006C70B7">
            <w:pPr>
              <w:pStyle w:val="Tabela"/>
              <w:numPr>
                <w:ilvl w:val="0"/>
                <w:numId w:val="81"/>
              </w:numPr>
              <w:ind w:left="0" w:firstLine="0"/>
              <w:jc w:val="both"/>
            </w:pPr>
          </w:p>
        </w:tc>
        <w:tc>
          <w:tcPr>
            <w:tcW w:w="7473" w:type="dxa"/>
          </w:tcPr>
          <w:p w14:paraId="1A444FF6" w14:textId="77777777" w:rsidR="00250AC8" w:rsidRPr="00EC250C" w:rsidRDefault="00250AC8" w:rsidP="00D131FA">
            <w:pPr>
              <w:pStyle w:val="Tabela"/>
              <w:jc w:val="both"/>
              <w:rPr>
                <w:rStyle w:val="tytul13"/>
                <w:rFonts w:eastAsiaTheme="minorHAnsi"/>
                <w:sz w:val="20"/>
                <w:bdr w:val="none" w:sz="0" w:space="0" w:color="auto"/>
              </w:rPr>
            </w:pPr>
            <w:r w:rsidRPr="00EC250C">
              <w:rPr>
                <w:rStyle w:val="tytul13"/>
                <w:sz w:val="20"/>
                <w:bdr w:val="none" w:sz="0" w:space="0" w:color="auto"/>
              </w:rPr>
              <w:t xml:space="preserve">Konferencja naukowa nt. </w:t>
            </w:r>
            <w:r w:rsidRPr="00EC250C">
              <w:t>transgranicznego pozyskiwania informacji</w:t>
            </w:r>
            <w:r w:rsidR="00992FD0" w:rsidRPr="00EC250C">
              <w:t xml:space="preserve"> i </w:t>
            </w:r>
            <w:r w:rsidRPr="00EC250C">
              <w:t>ich wykorzystywania na przykładzie współpracy polskich</w:t>
            </w:r>
            <w:r w:rsidR="00992FD0" w:rsidRPr="00EC250C">
              <w:t xml:space="preserve"> i </w:t>
            </w:r>
            <w:r w:rsidRPr="00EC250C">
              <w:t xml:space="preserve">niemieckich organów ścigania zorganizowana przez Uniwersytet Europejski Viadrina. </w:t>
            </w:r>
            <w:r w:rsidRPr="00EC250C">
              <w:rPr>
                <w:rStyle w:val="tytul13"/>
                <w:sz w:val="20"/>
                <w:bdr w:val="none" w:sz="0" w:space="0" w:color="auto"/>
              </w:rPr>
              <w:t>Frankfurt nad Odrą, Niemcy.</w:t>
            </w:r>
          </w:p>
        </w:tc>
        <w:tc>
          <w:tcPr>
            <w:tcW w:w="1687" w:type="dxa"/>
          </w:tcPr>
          <w:p w14:paraId="49BC3DA0" w14:textId="77777777" w:rsidR="00250AC8" w:rsidRPr="00EC250C" w:rsidRDefault="00250AC8" w:rsidP="00D131FA">
            <w:pPr>
              <w:pStyle w:val="Tabela"/>
              <w:jc w:val="both"/>
            </w:pPr>
            <w:r w:rsidRPr="00EC250C">
              <w:t>26.01.2018</w:t>
            </w:r>
            <w:r w:rsidR="00C91F6E" w:rsidRPr="00EC250C">
              <w:t> r.</w:t>
            </w:r>
          </w:p>
        </w:tc>
      </w:tr>
      <w:tr w:rsidR="00250AC8" w:rsidRPr="00EC250C" w14:paraId="5E21B2BD" w14:textId="77777777" w:rsidTr="00FC47F2">
        <w:trPr>
          <w:tblCellSpacing w:w="20" w:type="dxa"/>
        </w:trPr>
        <w:tc>
          <w:tcPr>
            <w:tcW w:w="516" w:type="dxa"/>
          </w:tcPr>
          <w:p w14:paraId="4E0FF48B" w14:textId="77777777" w:rsidR="00250AC8" w:rsidRPr="00EC250C" w:rsidRDefault="00250AC8" w:rsidP="006C70B7">
            <w:pPr>
              <w:pStyle w:val="Tabela"/>
              <w:numPr>
                <w:ilvl w:val="0"/>
                <w:numId w:val="81"/>
              </w:numPr>
              <w:ind w:left="0" w:firstLine="0"/>
              <w:jc w:val="both"/>
            </w:pPr>
          </w:p>
        </w:tc>
        <w:tc>
          <w:tcPr>
            <w:tcW w:w="7473" w:type="dxa"/>
          </w:tcPr>
          <w:p w14:paraId="55254DFD" w14:textId="77777777" w:rsidR="00250AC8" w:rsidRPr="00EC250C" w:rsidRDefault="00250AC8" w:rsidP="00D131FA">
            <w:pPr>
              <w:pStyle w:val="Tabela"/>
              <w:jc w:val="both"/>
              <w:rPr>
                <w:rStyle w:val="tytul13"/>
              </w:rPr>
            </w:pPr>
            <w:r w:rsidRPr="00EC250C">
              <w:t xml:space="preserve">Udział </w:t>
            </w:r>
            <w:r w:rsidR="003C397F" w:rsidRPr="00EC250C">
              <w:t>zastępczyni</w:t>
            </w:r>
            <w:r w:rsidRPr="00EC250C">
              <w:t xml:space="preserve"> RPO Sylwii Spurek</w:t>
            </w:r>
            <w:r w:rsidR="00992FD0" w:rsidRPr="00EC250C">
              <w:t xml:space="preserve"> w </w:t>
            </w:r>
            <w:r w:rsidRPr="00EC250C">
              <w:t>spotkaniu ekspertów</w:t>
            </w:r>
            <w:r w:rsidR="00992FD0" w:rsidRPr="00EC250C">
              <w:t xml:space="preserve"> z </w:t>
            </w:r>
            <w:r w:rsidRPr="00EC250C">
              <w:t>Państw Członkowskich UE nt. doświadczeń oraz roli niezależnych krajowych organów ds. równości przy implementacji Dyrektywy Praw Ofiar,</w:t>
            </w:r>
            <w:r w:rsidR="00992FD0" w:rsidRPr="00EC250C">
              <w:t xml:space="preserve"> w </w:t>
            </w:r>
            <w:r w:rsidRPr="00EC250C">
              <w:t>szczególności</w:t>
            </w:r>
            <w:r w:rsidR="00992FD0" w:rsidRPr="00EC250C">
              <w:t xml:space="preserve"> w </w:t>
            </w:r>
            <w:r w:rsidRPr="00EC250C">
              <w:t>odniesieniu do ofiar przemocy stosowanej ze względu na płeć, zorganizowanym przez Komisję Europejską. Bruksela, Belgia.</w:t>
            </w:r>
          </w:p>
        </w:tc>
        <w:tc>
          <w:tcPr>
            <w:tcW w:w="1687" w:type="dxa"/>
          </w:tcPr>
          <w:p w14:paraId="132DC66B" w14:textId="77777777" w:rsidR="00250AC8" w:rsidRPr="00EC250C" w:rsidRDefault="00250AC8" w:rsidP="00D131FA">
            <w:pPr>
              <w:pStyle w:val="Tabela"/>
              <w:jc w:val="both"/>
            </w:pPr>
            <w:r w:rsidRPr="00EC250C">
              <w:t>28–29.01.2018</w:t>
            </w:r>
            <w:r w:rsidR="00C91F6E" w:rsidRPr="00EC250C">
              <w:t> r.</w:t>
            </w:r>
          </w:p>
        </w:tc>
      </w:tr>
      <w:tr w:rsidR="00250AC8" w:rsidRPr="00EC250C" w14:paraId="3B5869B0" w14:textId="77777777" w:rsidTr="00FC47F2">
        <w:trPr>
          <w:tblCellSpacing w:w="20" w:type="dxa"/>
        </w:trPr>
        <w:tc>
          <w:tcPr>
            <w:tcW w:w="516" w:type="dxa"/>
          </w:tcPr>
          <w:p w14:paraId="4DD2DB85" w14:textId="77777777" w:rsidR="00250AC8" w:rsidRPr="00EC250C" w:rsidRDefault="00250AC8" w:rsidP="006C70B7">
            <w:pPr>
              <w:pStyle w:val="Tabela"/>
              <w:numPr>
                <w:ilvl w:val="0"/>
                <w:numId w:val="81"/>
              </w:numPr>
              <w:ind w:left="0" w:firstLine="0"/>
              <w:jc w:val="both"/>
            </w:pPr>
          </w:p>
        </w:tc>
        <w:tc>
          <w:tcPr>
            <w:tcW w:w="7473" w:type="dxa"/>
          </w:tcPr>
          <w:p w14:paraId="2D3C5582" w14:textId="77777777" w:rsidR="00250AC8" w:rsidRPr="00EC250C" w:rsidRDefault="00250AC8" w:rsidP="00D131FA">
            <w:pPr>
              <w:pStyle w:val="Tabela"/>
              <w:jc w:val="both"/>
            </w:pPr>
            <w:r w:rsidRPr="00EC250C">
              <w:t>Robocze spotkanie dotyczące funkcjonowania Krajowego Mechanizmu Prewencji oraz zasad współpracy KMP</w:t>
            </w:r>
            <w:r w:rsidR="00992FD0" w:rsidRPr="00EC250C">
              <w:t xml:space="preserve"> w </w:t>
            </w:r>
            <w:r w:rsidRPr="00EC250C">
              <w:t xml:space="preserve">Europie. Genewa, Szwajcaria. </w:t>
            </w:r>
          </w:p>
        </w:tc>
        <w:tc>
          <w:tcPr>
            <w:tcW w:w="1687" w:type="dxa"/>
          </w:tcPr>
          <w:p w14:paraId="7EA92E0B" w14:textId="77777777" w:rsidR="00250AC8" w:rsidRPr="00EC250C" w:rsidRDefault="00250AC8" w:rsidP="00D131FA">
            <w:pPr>
              <w:pStyle w:val="Tabela"/>
              <w:jc w:val="both"/>
            </w:pPr>
            <w:r w:rsidRPr="00EC250C">
              <w:t>20.02.2018</w:t>
            </w:r>
            <w:r w:rsidR="00C91F6E" w:rsidRPr="00EC250C">
              <w:t> r.</w:t>
            </w:r>
          </w:p>
        </w:tc>
      </w:tr>
      <w:tr w:rsidR="00250AC8" w:rsidRPr="00EC250C" w14:paraId="34D3D808" w14:textId="77777777" w:rsidTr="00FC47F2">
        <w:trPr>
          <w:tblCellSpacing w:w="20" w:type="dxa"/>
        </w:trPr>
        <w:tc>
          <w:tcPr>
            <w:tcW w:w="516" w:type="dxa"/>
          </w:tcPr>
          <w:p w14:paraId="49DB4AFF" w14:textId="77777777" w:rsidR="00250AC8" w:rsidRPr="00EC250C" w:rsidRDefault="00250AC8" w:rsidP="006C70B7">
            <w:pPr>
              <w:pStyle w:val="Tabela"/>
              <w:numPr>
                <w:ilvl w:val="0"/>
                <w:numId w:val="81"/>
              </w:numPr>
              <w:ind w:left="0" w:firstLine="0"/>
              <w:jc w:val="both"/>
            </w:pPr>
          </w:p>
        </w:tc>
        <w:tc>
          <w:tcPr>
            <w:tcW w:w="7473" w:type="dxa"/>
          </w:tcPr>
          <w:p w14:paraId="7CD8EC1A" w14:textId="77777777" w:rsidR="00250AC8" w:rsidRPr="00EC250C" w:rsidRDefault="00250AC8" w:rsidP="00D131FA">
            <w:pPr>
              <w:pStyle w:val="Tabela"/>
              <w:jc w:val="both"/>
            </w:pPr>
            <w:r w:rsidRPr="00EC250C">
              <w:t>Spotkanie nt. „Przestrzeń społeczna UE – rola</w:t>
            </w:r>
            <w:r w:rsidR="00992FD0" w:rsidRPr="00EC250C">
              <w:t xml:space="preserve"> i </w:t>
            </w:r>
            <w:r w:rsidRPr="00EC250C">
              <w:t>zadania instytucji Rzecznika Praw Obywatelskich”. Bruksela, Belgia.</w:t>
            </w:r>
          </w:p>
        </w:tc>
        <w:tc>
          <w:tcPr>
            <w:tcW w:w="1687" w:type="dxa"/>
          </w:tcPr>
          <w:p w14:paraId="28E6AEFD" w14:textId="77777777" w:rsidR="00250AC8" w:rsidRPr="00EC250C" w:rsidRDefault="00250AC8" w:rsidP="00D131FA">
            <w:pPr>
              <w:pStyle w:val="Tabela"/>
              <w:jc w:val="both"/>
            </w:pPr>
            <w:r w:rsidRPr="00EC250C">
              <w:t>21.02.2018</w:t>
            </w:r>
            <w:r w:rsidR="00C91F6E" w:rsidRPr="00EC250C">
              <w:t> r.</w:t>
            </w:r>
          </w:p>
        </w:tc>
      </w:tr>
      <w:tr w:rsidR="00250AC8" w:rsidRPr="00EC250C" w14:paraId="7C24E065" w14:textId="77777777" w:rsidTr="00FC47F2">
        <w:trPr>
          <w:tblCellSpacing w:w="20" w:type="dxa"/>
        </w:trPr>
        <w:tc>
          <w:tcPr>
            <w:tcW w:w="516" w:type="dxa"/>
          </w:tcPr>
          <w:p w14:paraId="3E13869E" w14:textId="77777777" w:rsidR="00250AC8" w:rsidRPr="00EC250C" w:rsidRDefault="00250AC8" w:rsidP="006C70B7">
            <w:pPr>
              <w:pStyle w:val="Tabela"/>
              <w:numPr>
                <w:ilvl w:val="0"/>
                <w:numId w:val="81"/>
              </w:numPr>
              <w:ind w:left="0" w:firstLine="0"/>
              <w:jc w:val="both"/>
            </w:pPr>
          </w:p>
        </w:tc>
        <w:tc>
          <w:tcPr>
            <w:tcW w:w="7473" w:type="dxa"/>
          </w:tcPr>
          <w:p w14:paraId="0E2041D4" w14:textId="77777777" w:rsidR="00250AC8" w:rsidRPr="00EC250C" w:rsidRDefault="00250AC8" w:rsidP="00D131FA">
            <w:pPr>
              <w:pStyle w:val="Tabela"/>
              <w:jc w:val="both"/>
            </w:pPr>
            <w:r w:rsidRPr="00EC250C">
              <w:t xml:space="preserve">Udział </w:t>
            </w:r>
            <w:r w:rsidR="003C397F" w:rsidRPr="00EC250C">
              <w:t>zastępczyni</w:t>
            </w:r>
            <w:r w:rsidRPr="00EC250C">
              <w:t xml:space="preserve"> RPO Hanny Machińskiej</w:t>
            </w:r>
            <w:r w:rsidR="00992FD0" w:rsidRPr="00EC250C">
              <w:t xml:space="preserve"> w </w:t>
            </w:r>
            <w:r w:rsidRPr="00EC250C">
              <w:t>zgromadzeniu ogólnym Global Allians of National Human Rights Institutions oraz dorocznej konferencji GANHRI poświęconej prawom osób</w:t>
            </w:r>
            <w:r w:rsidR="00992FD0" w:rsidRPr="00EC250C">
              <w:t xml:space="preserve"> z </w:t>
            </w:r>
            <w:r w:rsidRPr="00EC250C">
              <w:t>niepełnosprawnościami. Genewa, Szwajcaria.</w:t>
            </w:r>
          </w:p>
        </w:tc>
        <w:tc>
          <w:tcPr>
            <w:tcW w:w="1687" w:type="dxa"/>
          </w:tcPr>
          <w:p w14:paraId="068A211C" w14:textId="77777777" w:rsidR="00250AC8" w:rsidRPr="00EC250C" w:rsidRDefault="00250AC8" w:rsidP="00D131FA">
            <w:pPr>
              <w:pStyle w:val="Tabela"/>
              <w:jc w:val="both"/>
            </w:pPr>
            <w:r w:rsidRPr="00EC250C">
              <w:t>21–23.02.2018</w:t>
            </w:r>
            <w:r w:rsidR="00C91F6E" w:rsidRPr="00EC250C">
              <w:t> r.</w:t>
            </w:r>
          </w:p>
        </w:tc>
      </w:tr>
      <w:tr w:rsidR="00250AC8" w:rsidRPr="00EC250C" w14:paraId="4288E54D" w14:textId="77777777" w:rsidTr="00FC47F2">
        <w:trPr>
          <w:tblCellSpacing w:w="20" w:type="dxa"/>
        </w:trPr>
        <w:tc>
          <w:tcPr>
            <w:tcW w:w="516" w:type="dxa"/>
          </w:tcPr>
          <w:p w14:paraId="2DC18FDC" w14:textId="77777777" w:rsidR="00250AC8" w:rsidRPr="00EC250C" w:rsidRDefault="00250AC8" w:rsidP="006C70B7">
            <w:pPr>
              <w:pStyle w:val="Tabela"/>
              <w:numPr>
                <w:ilvl w:val="0"/>
                <w:numId w:val="81"/>
              </w:numPr>
              <w:ind w:left="0" w:firstLine="0"/>
              <w:jc w:val="both"/>
            </w:pPr>
          </w:p>
        </w:tc>
        <w:tc>
          <w:tcPr>
            <w:tcW w:w="7473" w:type="dxa"/>
          </w:tcPr>
          <w:p w14:paraId="75B8A67D" w14:textId="77777777" w:rsidR="00250AC8" w:rsidRPr="00EC250C" w:rsidRDefault="00250AC8" w:rsidP="00D131FA">
            <w:pPr>
              <w:pStyle w:val="Tabela"/>
              <w:jc w:val="both"/>
            </w:pPr>
            <w:r w:rsidRPr="00EC250C">
              <w:t xml:space="preserve">Udział </w:t>
            </w:r>
            <w:r w:rsidR="003C397F" w:rsidRPr="00EC250C">
              <w:t>zastępczyni</w:t>
            </w:r>
            <w:r w:rsidRPr="00EC250C">
              <w:t xml:space="preserve"> RPO Sylwii Spurek</w:t>
            </w:r>
            <w:r w:rsidR="00992FD0" w:rsidRPr="00EC250C">
              <w:t xml:space="preserve"> w </w:t>
            </w:r>
            <w:r w:rsidRPr="00EC250C">
              <w:t>spotkaniu Zarządu stowarzyszenia EQUINET. Bruksela, Belgia.</w:t>
            </w:r>
          </w:p>
        </w:tc>
        <w:tc>
          <w:tcPr>
            <w:tcW w:w="1687" w:type="dxa"/>
          </w:tcPr>
          <w:p w14:paraId="47D7F2C2" w14:textId="77777777" w:rsidR="00250AC8" w:rsidRPr="00EC250C" w:rsidRDefault="00250AC8" w:rsidP="00D131FA">
            <w:pPr>
              <w:pStyle w:val="Tabela"/>
              <w:jc w:val="both"/>
            </w:pPr>
            <w:r w:rsidRPr="00EC250C">
              <w:t>22–23.02.2018</w:t>
            </w:r>
            <w:r w:rsidR="00C91F6E" w:rsidRPr="00EC250C">
              <w:t> r.</w:t>
            </w:r>
          </w:p>
        </w:tc>
      </w:tr>
      <w:tr w:rsidR="00250AC8" w:rsidRPr="00EC250C" w14:paraId="388E1FA0" w14:textId="77777777" w:rsidTr="00FC47F2">
        <w:trPr>
          <w:tblCellSpacing w:w="20" w:type="dxa"/>
        </w:trPr>
        <w:tc>
          <w:tcPr>
            <w:tcW w:w="516" w:type="dxa"/>
          </w:tcPr>
          <w:p w14:paraId="18D1993C" w14:textId="77777777" w:rsidR="00250AC8" w:rsidRPr="00EC250C" w:rsidRDefault="00250AC8" w:rsidP="006C70B7">
            <w:pPr>
              <w:pStyle w:val="Tabela"/>
              <w:numPr>
                <w:ilvl w:val="0"/>
                <w:numId w:val="81"/>
              </w:numPr>
              <w:ind w:left="0" w:firstLine="0"/>
              <w:jc w:val="both"/>
            </w:pPr>
          </w:p>
        </w:tc>
        <w:tc>
          <w:tcPr>
            <w:tcW w:w="7473" w:type="dxa"/>
          </w:tcPr>
          <w:p w14:paraId="3BF0599B" w14:textId="77777777" w:rsidR="00250AC8" w:rsidRPr="00EC250C" w:rsidRDefault="00250AC8" w:rsidP="00D131FA">
            <w:pPr>
              <w:pStyle w:val="Tabela"/>
              <w:jc w:val="both"/>
            </w:pPr>
            <w:r w:rsidRPr="00EC250C">
              <w:t>Konferencja nt. „Represje wobec żołnierzy</w:t>
            </w:r>
            <w:r w:rsidR="00992FD0" w:rsidRPr="00EC250C">
              <w:t xml:space="preserve"> i </w:t>
            </w:r>
            <w:r w:rsidRPr="00EC250C">
              <w:t>funkcjonariuszy Rzeczypospolitej” zorganizowana</w:t>
            </w:r>
            <w:r w:rsidR="00992FD0" w:rsidRPr="00EC250C">
              <w:t xml:space="preserve"> w </w:t>
            </w:r>
            <w:r w:rsidRPr="00EC250C">
              <w:t>Parlamencie Europejskim. Bruksela, Belgia.</w:t>
            </w:r>
          </w:p>
        </w:tc>
        <w:tc>
          <w:tcPr>
            <w:tcW w:w="1687" w:type="dxa"/>
          </w:tcPr>
          <w:p w14:paraId="0EAA5BBD" w14:textId="77777777" w:rsidR="00250AC8" w:rsidRPr="00EC250C" w:rsidRDefault="00250AC8" w:rsidP="00D131FA">
            <w:pPr>
              <w:pStyle w:val="Tabela"/>
              <w:jc w:val="both"/>
            </w:pPr>
            <w:r w:rsidRPr="00EC250C">
              <w:t>27–28.02.2018</w:t>
            </w:r>
            <w:r w:rsidR="00C91F6E" w:rsidRPr="00EC250C">
              <w:t> r.</w:t>
            </w:r>
          </w:p>
        </w:tc>
      </w:tr>
      <w:tr w:rsidR="00250AC8" w:rsidRPr="00EC250C" w14:paraId="14AA6CEF" w14:textId="77777777" w:rsidTr="00FC47F2">
        <w:trPr>
          <w:tblCellSpacing w:w="20" w:type="dxa"/>
        </w:trPr>
        <w:tc>
          <w:tcPr>
            <w:tcW w:w="516" w:type="dxa"/>
          </w:tcPr>
          <w:p w14:paraId="3F601F48" w14:textId="77777777" w:rsidR="00250AC8" w:rsidRPr="00EC250C" w:rsidRDefault="00250AC8" w:rsidP="006C70B7">
            <w:pPr>
              <w:pStyle w:val="Tabela"/>
              <w:numPr>
                <w:ilvl w:val="0"/>
                <w:numId w:val="81"/>
              </w:numPr>
              <w:ind w:left="0" w:firstLine="0"/>
              <w:jc w:val="both"/>
            </w:pPr>
          </w:p>
        </w:tc>
        <w:tc>
          <w:tcPr>
            <w:tcW w:w="7473" w:type="dxa"/>
          </w:tcPr>
          <w:p w14:paraId="659CE50C" w14:textId="77777777" w:rsidR="00250AC8" w:rsidRPr="00EC250C" w:rsidRDefault="00250AC8" w:rsidP="00D131FA">
            <w:pPr>
              <w:pStyle w:val="Tabela"/>
              <w:jc w:val="both"/>
            </w:pPr>
            <w:r w:rsidRPr="00EC250C">
              <w:t>Spotkanie</w:t>
            </w:r>
            <w:r w:rsidR="00992FD0" w:rsidRPr="00EC250C">
              <w:t xml:space="preserve"> z </w:t>
            </w:r>
            <w:r w:rsidRPr="00EC250C">
              <w:t>czeskim Ombudsmanem dotyczące wymiany dobrych praktyk. Brno, Czechy.</w:t>
            </w:r>
          </w:p>
        </w:tc>
        <w:tc>
          <w:tcPr>
            <w:tcW w:w="1687" w:type="dxa"/>
          </w:tcPr>
          <w:p w14:paraId="4F0BD9AC" w14:textId="77777777" w:rsidR="00250AC8" w:rsidRPr="00EC250C" w:rsidRDefault="00250AC8" w:rsidP="00D131FA">
            <w:pPr>
              <w:pStyle w:val="Tabela"/>
              <w:jc w:val="both"/>
            </w:pPr>
            <w:r w:rsidRPr="00EC250C">
              <w:t>01–02.03.2018</w:t>
            </w:r>
            <w:r w:rsidR="00C91F6E" w:rsidRPr="00EC250C">
              <w:t> r.</w:t>
            </w:r>
          </w:p>
        </w:tc>
      </w:tr>
      <w:tr w:rsidR="00250AC8" w:rsidRPr="00EC250C" w14:paraId="4A344322" w14:textId="77777777" w:rsidTr="00FC47F2">
        <w:trPr>
          <w:tblCellSpacing w:w="20" w:type="dxa"/>
        </w:trPr>
        <w:tc>
          <w:tcPr>
            <w:tcW w:w="516" w:type="dxa"/>
          </w:tcPr>
          <w:p w14:paraId="6921D14E" w14:textId="77777777" w:rsidR="00250AC8" w:rsidRPr="00EC250C" w:rsidRDefault="00250AC8" w:rsidP="006C70B7">
            <w:pPr>
              <w:pStyle w:val="Tabela"/>
              <w:numPr>
                <w:ilvl w:val="0"/>
                <w:numId w:val="81"/>
              </w:numPr>
              <w:ind w:left="0" w:firstLine="0"/>
              <w:jc w:val="both"/>
            </w:pPr>
          </w:p>
        </w:tc>
        <w:tc>
          <w:tcPr>
            <w:tcW w:w="7473" w:type="dxa"/>
          </w:tcPr>
          <w:p w14:paraId="51679E49" w14:textId="77777777" w:rsidR="00250AC8" w:rsidRPr="00EC250C" w:rsidRDefault="00250AC8" w:rsidP="00D131FA">
            <w:pPr>
              <w:pStyle w:val="Tabela"/>
              <w:jc w:val="both"/>
            </w:pPr>
            <w:r w:rsidRPr="00EC250C">
              <w:t xml:space="preserve">Udział </w:t>
            </w:r>
            <w:r w:rsidR="003C397F" w:rsidRPr="00EC250C">
              <w:t>rzecznika praw obywatelskich</w:t>
            </w:r>
            <w:r w:rsidRPr="00EC250C">
              <w:t xml:space="preserve"> Adama Bodnara</w:t>
            </w:r>
            <w:r w:rsidR="00992FD0" w:rsidRPr="00EC250C">
              <w:t xml:space="preserve"> w </w:t>
            </w:r>
            <w:r w:rsidRPr="00EC250C">
              <w:rPr>
                <w:shd w:val="clear" w:color="auto" w:fill="FFFEFE"/>
              </w:rPr>
              <w:t>konferencji Europejskiej Sieci Ombudsmanów 2018 nt. „Przyszłość UE – zapewnienie otwartego</w:t>
            </w:r>
            <w:r w:rsidR="00992FD0" w:rsidRPr="00EC250C">
              <w:rPr>
                <w:shd w:val="clear" w:color="auto" w:fill="FFFEFE"/>
              </w:rPr>
              <w:t xml:space="preserve"> i </w:t>
            </w:r>
            <w:r w:rsidRPr="00EC250C">
              <w:rPr>
                <w:shd w:val="clear" w:color="auto" w:fill="FFFEFE"/>
              </w:rPr>
              <w:t>sprawiedliwego społeczeństwa dla obywateli”. Bruksela, Belgia.</w:t>
            </w:r>
          </w:p>
        </w:tc>
        <w:tc>
          <w:tcPr>
            <w:tcW w:w="1687" w:type="dxa"/>
          </w:tcPr>
          <w:p w14:paraId="0F304784" w14:textId="77777777" w:rsidR="00250AC8" w:rsidRPr="00EC250C" w:rsidRDefault="00250AC8" w:rsidP="00D131FA">
            <w:pPr>
              <w:pStyle w:val="Tabela"/>
              <w:jc w:val="both"/>
            </w:pPr>
            <w:r w:rsidRPr="00EC250C">
              <w:t>08.03.2018</w:t>
            </w:r>
            <w:r w:rsidR="00C91F6E" w:rsidRPr="00EC250C">
              <w:t> r.</w:t>
            </w:r>
          </w:p>
        </w:tc>
      </w:tr>
      <w:tr w:rsidR="00250AC8" w:rsidRPr="00EC250C" w14:paraId="6E730C44" w14:textId="77777777" w:rsidTr="00FC47F2">
        <w:trPr>
          <w:tblCellSpacing w:w="20" w:type="dxa"/>
        </w:trPr>
        <w:tc>
          <w:tcPr>
            <w:tcW w:w="516" w:type="dxa"/>
          </w:tcPr>
          <w:p w14:paraId="52004153" w14:textId="77777777" w:rsidR="00250AC8" w:rsidRPr="00EC250C" w:rsidRDefault="00250AC8" w:rsidP="006C70B7">
            <w:pPr>
              <w:pStyle w:val="Tabela"/>
              <w:numPr>
                <w:ilvl w:val="0"/>
                <w:numId w:val="81"/>
              </w:numPr>
              <w:ind w:left="0" w:firstLine="0"/>
              <w:jc w:val="both"/>
            </w:pPr>
          </w:p>
        </w:tc>
        <w:tc>
          <w:tcPr>
            <w:tcW w:w="7473" w:type="dxa"/>
          </w:tcPr>
          <w:p w14:paraId="6ED6DC0D" w14:textId="77777777" w:rsidR="00250AC8" w:rsidRPr="00EC250C" w:rsidRDefault="00250AC8" w:rsidP="00D131FA">
            <w:pPr>
              <w:pStyle w:val="Tabela"/>
              <w:jc w:val="both"/>
            </w:pPr>
            <w:r w:rsidRPr="00EC250C">
              <w:t>Międzynarodowa konferencja nt. „Implementacji dyrektywy</w:t>
            </w:r>
            <w:r w:rsidR="00992FD0" w:rsidRPr="00EC250C">
              <w:t xml:space="preserve"> o </w:t>
            </w:r>
            <w:r w:rsidRPr="00EC250C">
              <w:t>prawie do obrońcy”. Sofia, Bułgaria.</w:t>
            </w:r>
          </w:p>
        </w:tc>
        <w:tc>
          <w:tcPr>
            <w:tcW w:w="1687" w:type="dxa"/>
          </w:tcPr>
          <w:p w14:paraId="43C4C2D4" w14:textId="77777777" w:rsidR="00250AC8" w:rsidRPr="00EC250C" w:rsidRDefault="00250AC8" w:rsidP="00D131FA">
            <w:pPr>
              <w:pStyle w:val="Tabela"/>
              <w:jc w:val="both"/>
            </w:pPr>
            <w:r w:rsidRPr="00EC250C">
              <w:t>08–10.03.2018</w:t>
            </w:r>
            <w:r w:rsidR="00C91F6E" w:rsidRPr="00EC250C">
              <w:t> r.</w:t>
            </w:r>
          </w:p>
        </w:tc>
      </w:tr>
      <w:tr w:rsidR="00250AC8" w:rsidRPr="00EC250C" w14:paraId="2F2B346F" w14:textId="77777777" w:rsidTr="00FC47F2">
        <w:trPr>
          <w:tblCellSpacing w:w="20" w:type="dxa"/>
        </w:trPr>
        <w:tc>
          <w:tcPr>
            <w:tcW w:w="516" w:type="dxa"/>
          </w:tcPr>
          <w:p w14:paraId="4EAA70F5" w14:textId="77777777" w:rsidR="00250AC8" w:rsidRPr="00EC250C" w:rsidRDefault="00250AC8" w:rsidP="006C70B7">
            <w:pPr>
              <w:pStyle w:val="Tabela"/>
              <w:numPr>
                <w:ilvl w:val="0"/>
                <w:numId w:val="81"/>
              </w:numPr>
              <w:ind w:left="0" w:firstLine="0"/>
              <w:jc w:val="both"/>
            </w:pPr>
          </w:p>
        </w:tc>
        <w:tc>
          <w:tcPr>
            <w:tcW w:w="7473" w:type="dxa"/>
          </w:tcPr>
          <w:p w14:paraId="7BBC4257" w14:textId="77777777" w:rsidR="00250AC8" w:rsidRPr="00EC250C" w:rsidRDefault="00250AC8" w:rsidP="00D131FA">
            <w:pPr>
              <w:pStyle w:val="Tabela"/>
              <w:jc w:val="both"/>
            </w:pPr>
            <w:r w:rsidRPr="00EC250C">
              <w:t xml:space="preserve">Udział </w:t>
            </w:r>
            <w:r w:rsidR="003C397F" w:rsidRPr="00EC250C">
              <w:t>rzecznika praw obywatelskich</w:t>
            </w:r>
            <w:r w:rsidRPr="00EC250C">
              <w:t xml:space="preserve"> Adama Bodnara</w:t>
            </w:r>
            <w:r w:rsidR="00992FD0" w:rsidRPr="00EC250C">
              <w:t xml:space="preserve"> w </w:t>
            </w:r>
            <w:r w:rsidRPr="00EC250C">
              <w:t>k</w:t>
            </w:r>
            <w:r w:rsidRPr="00EC250C">
              <w:rPr>
                <w:shd w:val="clear" w:color="auto" w:fill="FFFEFE"/>
              </w:rPr>
              <w:t>onferencji zorganizowanej przez Equality and Human Rights Commission. Liverpool, Anglia.</w:t>
            </w:r>
          </w:p>
        </w:tc>
        <w:tc>
          <w:tcPr>
            <w:tcW w:w="1687" w:type="dxa"/>
          </w:tcPr>
          <w:p w14:paraId="0049ED8F" w14:textId="77777777" w:rsidR="00250AC8" w:rsidRPr="00EC250C" w:rsidRDefault="00250AC8" w:rsidP="00D131FA">
            <w:pPr>
              <w:pStyle w:val="Tabela"/>
              <w:jc w:val="both"/>
            </w:pPr>
            <w:r w:rsidRPr="00EC250C">
              <w:t>12.03.2018</w:t>
            </w:r>
            <w:r w:rsidR="00C91F6E" w:rsidRPr="00EC250C">
              <w:t> r.</w:t>
            </w:r>
          </w:p>
        </w:tc>
      </w:tr>
      <w:tr w:rsidR="00250AC8" w:rsidRPr="00EC250C" w14:paraId="65CCFA2C" w14:textId="77777777" w:rsidTr="00FC47F2">
        <w:trPr>
          <w:tblCellSpacing w:w="20" w:type="dxa"/>
        </w:trPr>
        <w:tc>
          <w:tcPr>
            <w:tcW w:w="516" w:type="dxa"/>
          </w:tcPr>
          <w:p w14:paraId="2787439E" w14:textId="77777777" w:rsidR="00250AC8" w:rsidRPr="00EC250C" w:rsidRDefault="00250AC8" w:rsidP="006C70B7">
            <w:pPr>
              <w:pStyle w:val="Tabela"/>
              <w:numPr>
                <w:ilvl w:val="0"/>
                <w:numId w:val="81"/>
              </w:numPr>
              <w:ind w:left="0" w:firstLine="0"/>
              <w:jc w:val="both"/>
            </w:pPr>
          </w:p>
        </w:tc>
        <w:tc>
          <w:tcPr>
            <w:tcW w:w="7473" w:type="dxa"/>
          </w:tcPr>
          <w:p w14:paraId="0B39DC98" w14:textId="77777777" w:rsidR="00250AC8" w:rsidRPr="00EC250C" w:rsidRDefault="00250AC8" w:rsidP="00D131FA">
            <w:pPr>
              <w:pStyle w:val="Tabela"/>
              <w:jc w:val="both"/>
            </w:pPr>
            <w:r w:rsidRPr="00EC250C">
              <w:t>Spotkanie przedstawicieli Krajowych Mechanizmów Prewencji nt. „Monitoring domów opieki dla osób starszych” zorganizowane przez niemiecki oraz austriacki Krajowy Mechanizm Prewencji wraz</w:t>
            </w:r>
            <w:r w:rsidR="00992FD0" w:rsidRPr="00EC250C">
              <w:t xml:space="preserve"> z </w:t>
            </w:r>
            <w:r w:rsidRPr="00EC250C">
              <w:t>Radą Europy. Trewir, Niemcy.</w:t>
            </w:r>
          </w:p>
        </w:tc>
        <w:tc>
          <w:tcPr>
            <w:tcW w:w="1687" w:type="dxa"/>
          </w:tcPr>
          <w:p w14:paraId="45D05EAD" w14:textId="77777777" w:rsidR="00250AC8" w:rsidRPr="00EC250C" w:rsidRDefault="00250AC8" w:rsidP="00D131FA">
            <w:pPr>
              <w:pStyle w:val="Tabela"/>
              <w:jc w:val="both"/>
            </w:pPr>
            <w:r w:rsidRPr="00EC250C">
              <w:t>12–13.03.2018</w:t>
            </w:r>
            <w:r w:rsidR="00C91F6E" w:rsidRPr="00EC250C">
              <w:t> r.</w:t>
            </w:r>
          </w:p>
        </w:tc>
      </w:tr>
      <w:tr w:rsidR="00250AC8" w:rsidRPr="00EC250C" w14:paraId="46F3C8CE" w14:textId="77777777" w:rsidTr="00FC47F2">
        <w:trPr>
          <w:tblCellSpacing w:w="20" w:type="dxa"/>
        </w:trPr>
        <w:tc>
          <w:tcPr>
            <w:tcW w:w="516" w:type="dxa"/>
          </w:tcPr>
          <w:p w14:paraId="03A65656" w14:textId="77777777" w:rsidR="00250AC8" w:rsidRPr="00EC250C" w:rsidRDefault="00250AC8" w:rsidP="006C70B7">
            <w:pPr>
              <w:pStyle w:val="Tabela"/>
              <w:numPr>
                <w:ilvl w:val="0"/>
                <w:numId w:val="81"/>
              </w:numPr>
              <w:ind w:left="0" w:firstLine="0"/>
              <w:jc w:val="both"/>
            </w:pPr>
          </w:p>
        </w:tc>
        <w:tc>
          <w:tcPr>
            <w:tcW w:w="7473" w:type="dxa"/>
          </w:tcPr>
          <w:p w14:paraId="1F4AC762" w14:textId="77777777" w:rsidR="00250AC8" w:rsidRPr="00EC250C" w:rsidRDefault="00250AC8" w:rsidP="00D131FA">
            <w:pPr>
              <w:pStyle w:val="Tabela"/>
              <w:jc w:val="both"/>
            </w:pPr>
            <w:r w:rsidRPr="00EC250C">
              <w:rPr>
                <w:lang w:val="en-US"/>
              </w:rPr>
              <w:t xml:space="preserve">Konferencja nt. „Social and technological innovations – full participation of persons with disabilities” zorganizowana przez </w:t>
            </w:r>
            <w:r w:rsidRPr="00EC250C">
              <w:rPr>
                <w:shd w:val="clear" w:color="auto" w:fill="FFFFFF"/>
                <w:lang w:val="en-US"/>
              </w:rPr>
              <w:t xml:space="preserve">Ministerstwo Zasobów Ludzkich Węgier. </w:t>
            </w:r>
            <w:r w:rsidRPr="00EC250C">
              <w:rPr>
                <w:shd w:val="clear" w:color="auto" w:fill="FFFFFF"/>
              </w:rPr>
              <w:t>Budapeszt, Węgry.</w:t>
            </w:r>
          </w:p>
        </w:tc>
        <w:tc>
          <w:tcPr>
            <w:tcW w:w="1687" w:type="dxa"/>
          </w:tcPr>
          <w:p w14:paraId="12CFBF8A" w14:textId="77777777" w:rsidR="00250AC8" w:rsidRPr="00EC250C" w:rsidRDefault="00250AC8" w:rsidP="00D131FA">
            <w:pPr>
              <w:pStyle w:val="Tabela"/>
              <w:jc w:val="both"/>
            </w:pPr>
            <w:r w:rsidRPr="00EC250C">
              <w:t>12–14.03.2018</w:t>
            </w:r>
            <w:r w:rsidR="00C91F6E" w:rsidRPr="00EC250C">
              <w:t> r.</w:t>
            </w:r>
          </w:p>
        </w:tc>
      </w:tr>
      <w:tr w:rsidR="00250AC8" w:rsidRPr="00EC250C" w14:paraId="1621B2B9" w14:textId="77777777" w:rsidTr="00FC47F2">
        <w:trPr>
          <w:tblCellSpacing w:w="20" w:type="dxa"/>
        </w:trPr>
        <w:tc>
          <w:tcPr>
            <w:tcW w:w="516" w:type="dxa"/>
          </w:tcPr>
          <w:p w14:paraId="116B5F1B" w14:textId="77777777" w:rsidR="00250AC8" w:rsidRPr="00EC250C" w:rsidRDefault="00250AC8" w:rsidP="006C70B7">
            <w:pPr>
              <w:pStyle w:val="Tabela"/>
              <w:numPr>
                <w:ilvl w:val="0"/>
                <w:numId w:val="81"/>
              </w:numPr>
              <w:ind w:left="0" w:firstLine="0"/>
              <w:jc w:val="both"/>
            </w:pPr>
          </w:p>
        </w:tc>
        <w:tc>
          <w:tcPr>
            <w:tcW w:w="7473" w:type="dxa"/>
          </w:tcPr>
          <w:p w14:paraId="5F2C413C" w14:textId="77777777" w:rsidR="00250AC8" w:rsidRPr="00EC250C" w:rsidRDefault="00250AC8" w:rsidP="00D131FA">
            <w:pPr>
              <w:pStyle w:val="Tabela"/>
              <w:jc w:val="both"/>
            </w:pPr>
            <w:r w:rsidRPr="00EC250C">
              <w:t xml:space="preserve">Udział </w:t>
            </w:r>
            <w:r w:rsidR="003C397F" w:rsidRPr="00EC250C">
              <w:t>zastępczyni</w:t>
            </w:r>
            <w:r w:rsidRPr="00EC250C">
              <w:t xml:space="preserve"> RPO Sylwii Spurek</w:t>
            </w:r>
            <w:r w:rsidR="00992FD0" w:rsidRPr="00EC250C">
              <w:t xml:space="preserve"> w </w:t>
            </w:r>
            <w:r w:rsidRPr="00EC250C">
              <w:t>spotkaniu Zarządu stowarzyszenia EQUINET. Bruksela, Belgia.</w:t>
            </w:r>
          </w:p>
        </w:tc>
        <w:tc>
          <w:tcPr>
            <w:tcW w:w="1687" w:type="dxa"/>
          </w:tcPr>
          <w:p w14:paraId="3FCF7E01" w14:textId="77777777" w:rsidR="00250AC8" w:rsidRPr="00EC250C" w:rsidRDefault="00250AC8" w:rsidP="00D131FA">
            <w:pPr>
              <w:pStyle w:val="Tabela"/>
              <w:jc w:val="both"/>
            </w:pPr>
            <w:r w:rsidRPr="00EC250C">
              <w:t>13–14.03.2018</w:t>
            </w:r>
            <w:r w:rsidR="00C91F6E" w:rsidRPr="00EC250C">
              <w:t> r.</w:t>
            </w:r>
          </w:p>
        </w:tc>
      </w:tr>
      <w:tr w:rsidR="00250AC8" w:rsidRPr="00EC250C" w14:paraId="4DCB4F36" w14:textId="77777777" w:rsidTr="00FC47F2">
        <w:trPr>
          <w:tblCellSpacing w:w="20" w:type="dxa"/>
        </w:trPr>
        <w:tc>
          <w:tcPr>
            <w:tcW w:w="516" w:type="dxa"/>
          </w:tcPr>
          <w:p w14:paraId="25D22C30" w14:textId="77777777" w:rsidR="00250AC8" w:rsidRPr="00EC250C" w:rsidRDefault="00250AC8" w:rsidP="006C70B7">
            <w:pPr>
              <w:pStyle w:val="Tabela"/>
              <w:numPr>
                <w:ilvl w:val="0"/>
                <w:numId w:val="81"/>
              </w:numPr>
              <w:ind w:left="0" w:firstLine="0"/>
              <w:jc w:val="both"/>
            </w:pPr>
          </w:p>
        </w:tc>
        <w:tc>
          <w:tcPr>
            <w:tcW w:w="7473" w:type="dxa"/>
          </w:tcPr>
          <w:p w14:paraId="0AF60422" w14:textId="77777777" w:rsidR="00250AC8" w:rsidRPr="00EC250C" w:rsidRDefault="00250AC8" w:rsidP="00D131FA">
            <w:pPr>
              <w:pStyle w:val="Tabela"/>
              <w:jc w:val="both"/>
            </w:pPr>
            <w:r w:rsidRPr="00EC250C">
              <w:t>Konferencja nt. publikacji „Monitorowanie sytuacji osób LGBTI</w:t>
            </w:r>
            <w:r w:rsidR="00992FD0" w:rsidRPr="00EC250C">
              <w:t xml:space="preserve"> w </w:t>
            </w:r>
            <w:r w:rsidRPr="00EC250C">
              <w:t>miejscach pozbawienia wolności”. Genewa, Szwajcaria.</w:t>
            </w:r>
          </w:p>
        </w:tc>
        <w:tc>
          <w:tcPr>
            <w:tcW w:w="1687" w:type="dxa"/>
          </w:tcPr>
          <w:p w14:paraId="1B0945E6" w14:textId="77777777" w:rsidR="00250AC8" w:rsidRPr="00EC250C" w:rsidRDefault="00250AC8" w:rsidP="00D131FA">
            <w:pPr>
              <w:pStyle w:val="Tabela"/>
              <w:jc w:val="both"/>
            </w:pPr>
            <w:r w:rsidRPr="00EC250C">
              <w:t>15–16.03.2018</w:t>
            </w:r>
            <w:r w:rsidR="00C91F6E" w:rsidRPr="00EC250C">
              <w:t> r.</w:t>
            </w:r>
          </w:p>
        </w:tc>
      </w:tr>
      <w:tr w:rsidR="00250AC8" w:rsidRPr="00EC250C" w14:paraId="4E3EE7B1" w14:textId="77777777" w:rsidTr="00FC47F2">
        <w:trPr>
          <w:tblCellSpacing w:w="20" w:type="dxa"/>
        </w:trPr>
        <w:tc>
          <w:tcPr>
            <w:tcW w:w="516" w:type="dxa"/>
          </w:tcPr>
          <w:p w14:paraId="0BAAAF79" w14:textId="77777777" w:rsidR="00250AC8" w:rsidRPr="00EC250C" w:rsidRDefault="00250AC8" w:rsidP="006C70B7">
            <w:pPr>
              <w:pStyle w:val="Tabela"/>
              <w:numPr>
                <w:ilvl w:val="0"/>
                <w:numId w:val="81"/>
              </w:numPr>
              <w:ind w:left="0" w:firstLine="0"/>
              <w:jc w:val="both"/>
            </w:pPr>
          </w:p>
        </w:tc>
        <w:tc>
          <w:tcPr>
            <w:tcW w:w="7473" w:type="dxa"/>
          </w:tcPr>
          <w:p w14:paraId="2E1A7B2B" w14:textId="77777777" w:rsidR="00250AC8" w:rsidRPr="00EC250C" w:rsidRDefault="00250AC8" w:rsidP="00D131FA">
            <w:pPr>
              <w:pStyle w:val="Tabela"/>
              <w:jc w:val="both"/>
            </w:pPr>
            <w:r w:rsidRPr="00EC250C">
              <w:t>Wizyta studyjna do instytucji europejskich</w:t>
            </w:r>
            <w:r w:rsidR="00992FD0" w:rsidRPr="00EC250C">
              <w:t xml:space="preserve"> w </w:t>
            </w:r>
            <w:r w:rsidRPr="00EC250C">
              <w:t>Brukseli</w:t>
            </w:r>
            <w:r w:rsidR="00992FD0" w:rsidRPr="00EC250C">
              <w:t xml:space="preserve"> i </w:t>
            </w:r>
            <w:r w:rsidRPr="00EC250C">
              <w:t>Luksemburgu. Bruksela, Belgia.</w:t>
            </w:r>
          </w:p>
        </w:tc>
        <w:tc>
          <w:tcPr>
            <w:tcW w:w="1687" w:type="dxa"/>
          </w:tcPr>
          <w:p w14:paraId="48F3DBAA" w14:textId="77777777" w:rsidR="00250AC8" w:rsidRPr="00EC250C" w:rsidRDefault="00250AC8" w:rsidP="00D131FA">
            <w:pPr>
              <w:pStyle w:val="Tabela"/>
              <w:jc w:val="both"/>
            </w:pPr>
            <w:r w:rsidRPr="00EC250C">
              <w:t>20–23.03.2018</w:t>
            </w:r>
            <w:r w:rsidR="00C91F6E" w:rsidRPr="00EC250C">
              <w:t> r.</w:t>
            </w:r>
          </w:p>
        </w:tc>
      </w:tr>
      <w:tr w:rsidR="00250AC8" w:rsidRPr="00EC250C" w14:paraId="093011B4" w14:textId="77777777" w:rsidTr="00FC47F2">
        <w:trPr>
          <w:tblCellSpacing w:w="20" w:type="dxa"/>
        </w:trPr>
        <w:tc>
          <w:tcPr>
            <w:tcW w:w="516" w:type="dxa"/>
          </w:tcPr>
          <w:p w14:paraId="5E4B5075" w14:textId="77777777" w:rsidR="00250AC8" w:rsidRPr="00EC250C" w:rsidRDefault="00250AC8" w:rsidP="006C70B7">
            <w:pPr>
              <w:pStyle w:val="Tabela"/>
              <w:numPr>
                <w:ilvl w:val="0"/>
                <w:numId w:val="81"/>
              </w:numPr>
              <w:ind w:left="0" w:firstLine="0"/>
              <w:jc w:val="both"/>
            </w:pPr>
          </w:p>
        </w:tc>
        <w:tc>
          <w:tcPr>
            <w:tcW w:w="7473" w:type="dxa"/>
          </w:tcPr>
          <w:p w14:paraId="0A5A8C92" w14:textId="77777777" w:rsidR="00250AC8" w:rsidRPr="00EC250C" w:rsidRDefault="00250AC8" w:rsidP="00D131FA">
            <w:pPr>
              <w:pStyle w:val="Tabela"/>
              <w:jc w:val="both"/>
            </w:pPr>
            <w:r w:rsidRPr="00EC250C">
              <w:t>Konferencja nt. „Ubóstwo</w:t>
            </w:r>
            <w:r w:rsidR="00992FD0" w:rsidRPr="00EC250C">
              <w:t xml:space="preserve"> i </w:t>
            </w:r>
            <w:r w:rsidRPr="00EC250C">
              <w:t>dyskryminacja – dwie strony tej samej monety” zorganizowana przez stowarzyszenie EQUINET. Dublin, Irlandia.</w:t>
            </w:r>
          </w:p>
        </w:tc>
        <w:tc>
          <w:tcPr>
            <w:tcW w:w="1687" w:type="dxa"/>
          </w:tcPr>
          <w:p w14:paraId="4ECF7E60" w14:textId="77777777" w:rsidR="00250AC8" w:rsidRPr="00EC250C" w:rsidRDefault="00250AC8" w:rsidP="00D131FA">
            <w:pPr>
              <w:pStyle w:val="Tabela"/>
              <w:jc w:val="both"/>
            </w:pPr>
            <w:r w:rsidRPr="00EC250C">
              <w:t>21–23.03.2018</w:t>
            </w:r>
            <w:r w:rsidR="00C91F6E" w:rsidRPr="00EC250C">
              <w:t> r.</w:t>
            </w:r>
          </w:p>
        </w:tc>
      </w:tr>
      <w:tr w:rsidR="00250AC8" w:rsidRPr="00EC250C" w14:paraId="79A668E5" w14:textId="77777777" w:rsidTr="00FC47F2">
        <w:trPr>
          <w:tblCellSpacing w:w="20" w:type="dxa"/>
        </w:trPr>
        <w:tc>
          <w:tcPr>
            <w:tcW w:w="516" w:type="dxa"/>
          </w:tcPr>
          <w:p w14:paraId="1423DE4A" w14:textId="77777777" w:rsidR="00250AC8" w:rsidRPr="00EC250C" w:rsidRDefault="00250AC8" w:rsidP="006C70B7">
            <w:pPr>
              <w:pStyle w:val="Tabela"/>
              <w:numPr>
                <w:ilvl w:val="0"/>
                <w:numId w:val="81"/>
              </w:numPr>
              <w:ind w:left="0" w:firstLine="0"/>
              <w:jc w:val="both"/>
            </w:pPr>
          </w:p>
        </w:tc>
        <w:tc>
          <w:tcPr>
            <w:tcW w:w="7473" w:type="dxa"/>
          </w:tcPr>
          <w:p w14:paraId="3F1383B1" w14:textId="77777777" w:rsidR="00250AC8" w:rsidRPr="00EC250C" w:rsidRDefault="00250AC8" w:rsidP="00D131FA">
            <w:pPr>
              <w:pStyle w:val="Tabela"/>
              <w:jc w:val="both"/>
            </w:pPr>
            <w:r w:rsidRPr="00EC250C">
              <w:rPr>
                <w:lang w:val="en-US"/>
              </w:rPr>
              <w:t>Spotkanie grupy roboczej Gender Equality Stowarzyszenia EQUINET</w:t>
            </w:r>
            <w:r w:rsidR="00992FD0" w:rsidRPr="00EC250C">
              <w:rPr>
                <w:lang w:val="en-US"/>
              </w:rPr>
              <w:t xml:space="preserve"> w </w:t>
            </w:r>
            <w:r w:rsidRPr="00EC250C">
              <w:rPr>
                <w:lang w:val="en-US"/>
              </w:rPr>
              <w:t xml:space="preserve">ramach projektu „Violence against Women and Gender Based Violence. </w:t>
            </w:r>
            <w:r w:rsidRPr="00EC250C">
              <w:t>Sofia, Bułgaria.</w:t>
            </w:r>
          </w:p>
        </w:tc>
        <w:tc>
          <w:tcPr>
            <w:tcW w:w="1687" w:type="dxa"/>
          </w:tcPr>
          <w:p w14:paraId="6AAFE9BA" w14:textId="77777777" w:rsidR="00250AC8" w:rsidRPr="00EC250C" w:rsidRDefault="00250AC8" w:rsidP="00D131FA">
            <w:pPr>
              <w:pStyle w:val="Tabela"/>
              <w:jc w:val="both"/>
            </w:pPr>
            <w:r w:rsidRPr="00EC250C">
              <w:t>10–12.04.2018</w:t>
            </w:r>
            <w:r w:rsidR="00C91F6E" w:rsidRPr="00EC250C">
              <w:t> r.</w:t>
            </w:r>
          </w:p>
        </w:tc>
      </w:tr>
      <w:tr w:rsidR="00250AC8" w:rsidRPr="00EC250C" w14:paraId="37464AA6" w14:textId="77777777" w:rsidTr="00FC47F2">
        <w:trPr>
          <w:tblCellSpacing w:w="20" w:type="dxa"/>
        </w:trPr>
        <w:tc>
          <w:tcPr>
            <w:tcW w:w="516" w:type="dxa"/>
          </w:tcPr>
          <w:p w14:paraId="001321B7" w14:textId="77777777" w:rsidR="00250AC8" w:rsidRPr="00EC250C" w:rsidRDefault="00250AC8" w:rsidP="006C70B7">
            <w:pPr>
              <w:pStyle w:val="Tabela"/>
              <w:numPr>
                <w:ilvl w:val="0"/>
                <w:numId w:val="81"/>
              </w:numPr>
              <w:ind w:left="0" w:firstLine="0"/>
              <w:jc w:val="both"/>
            </w:pPr>
          </w:p>
        </w:tc>
        <w:tc>
          <w:tcPr>
            <w:tcW w:w="7473" w:type="dxa"/>
          </w:tcPr>
          <w:p w14:paraId="79011B28" w14:textId="77777777" w:rsidR="00250AC8" w:rsidRPr="00EC250C" w:rsidRDefault="00250AC8" w:rsidP="00D131FA">
            <w:pPr>
              <w:pStyle w:val="Tabela"/>
              <w:jc w:val="both"/>
              <w:rPr>
                <w:rStyle w:val="tytul13"/>
                <w:rFonts w:eastAsiaTheme="minorHAnsi"/>
                <w:sz w:val="20"/>
                <w:szCs w:val="22"/>
                <w:bdr w:val="none" w:sz="0" w:space="0" w:color="auto"/>
              </w:rPr>
            </w:pPr>
            <w:r w:rsidRPr="00EC250C">
              <w:rPr>
                <w:rStyle w:val="tytul13"/>
                <w:sz w:val="20"/>
                <w:szCs w:val="22"/>
                <w:bdr w:val="none" w:sz="0" w:space="0" w:color="auto"/>
                <w:lang w:val="en-US"/>
              </w:rPr>
              <w:t xml:space="preserve">Seminarium nt. </w:t>
            </w:r>
            <w:r w:rsidRPr="00EC250C">
              <w:rPr>
                <w:lang w:val="en-US"/>
              </w:rPr>
              <w:t xml:space="preserve">„Human Rights of Older Persons European Expert and Stakeholder Meeting to Provide Inputs for 9th Session of the Open ended Working Group on </w:t>
            </w:r>
            <w:r w:rsidRPr="00EC250C">
              <w:rPr>
                <w:lang w:val="en-US"/>
              </w:rPr>
              <w:lastRenderedPageBreak/>
              <w:t xml:space="preserve">Ageing” zorganizowane przez Age Platform Europe oraz Biuro Wysokiego Komisarza ONZ ds. </w:t>
            </w:r>
            <w:r w:rsidRPr="00EC250C">
              <w:t>Praw Człowieka. Bruksela, Belgia.</w:t>
            </w:r>
          </w:p>
        </w:tc>
        <w:tc>
          <w:tcPr>
            <w:tcW w:w="1687" w:type="dxa"/>
          </w:tcPr>
          <w:p w14:paraId="3A7BB7C8" w14:textId="77777777" w:rsidR="00250AC8" w:rsidRPr="00EC250C" w:rsidRDefault="00250AC8" w:rsidP="00D131FA">
            <w:pPr>
              <w:pStyle w:val="Tabela"/>
              <w:jc w:val="both"/>
            </w:pPr>
            <w:r w:rsidRPr="00EC250C">
              <w:lastRenderedPageBreak/>
              <w:t>11–12.04.2018</w:t>
            </w:r>
            <w:r w:rsidR="00C91F6E" w:rsidRPr="00EC250C">
              <w:t> r.</w:t>
            </w:r>
          </w:p>
        </w:tc>
      </w:tr>
      <w:tr w:rsidR="00250AC8" w:rsidRPr="00EC250C" w14:paraId="6567B45C" w14:textId="77777777" w:rsidTr="00FC47F2">
        <w:trPr>
          <w:tblCellSpacing w:w="20" w:type="dxa"/>
        </w:trPr>
        <w:tc>
          <w:tcPr>
            <w:tcW w:w="516" w:type="dxa"/>
          </w:tcPr>
          <w:p w14:paraId="1EAA97BA" w14:textId="77777777" w:rsidR="00250AC8" w:rsidRPr="00EC250C" w:rsidRDefault="00250AC8" w:rsidP="006C70B7">
            <w:pPr>
              <w:pStyle w:val="Tabela"/>
              <w:numPr>
                <w:ilvl w:val="0"/>
                <w:numId w:val="81"/>
              </w:numPr>
              <w:ind w:left="0" w:firstLine="0"/>
              <w:jc w:val="both"/>
            </w:pPr>
          </w:p>
        </w:tc>
        <w:tc>
          <w:tcPr>
            <w:tcW w:w="7473" w:type="dxa"/>
          </w:tcPr>
          <w:p w14:paraId="118B70BF" w14:textId="77777777" w:rsidR="00250AC8" w:rsidRPr="00EC250C" w:rsidRDefault="00250AC8" w:rsidP="00D131FA">
            <w:pPr>
              <w:pStyle w:val="Tabela"/>
              <w:jc w:val="both"/>
              <w:rPr>
                <w:rStyle w:val="tytul13"/>
                <w:rFonts w:eastAsiaTheme="minorHAnsi"/>
                <w:sz w:val="20"/>
                <w:szCs w:val="22"/>
                <w:bdr w:val="none" w:sz="0" w:space="0" w:color="auto"/>
              </w:rPr>
            </w:pPr>
            <w:r w:rsidRPr="00EC250C">
              <w:rPr>
                <w:rStyle w:val="tytul13"/>
                <w:sz w:val="20"/>
                <w:szCs w:val="22"/>
                <w:bdr w:val="none" w:sz="0" w:space="0" w:color="auto"/>
              </w:rPr>
              <w:t>Konferencja</w:t>
            </w:r>
            <w:r w:rsidR="00992FD0" w:rsidRPr="00EC250C">
              <w:rPr>
                <w:rStyle w:val="tytul13"/>
                <w:sz w:val="20"/>
                <w:szCs w:val="22"/>
                <w:bdr w:val="none" w:sz="0" w:space="0" w:color="auto"/>
              </w:rPr>
              <w:t xml:space="preserve"> w </w:t>
            </w:r>
            <w:r w:rsidRPr="00EC250C">
              <w:rPr>
                <w:rStyle w:val="tytul13"/>
                <w:sz w:val="20"/>
                <w:szCs w:val="22"/>
                <w:bdr w:val="none" w:sz="0" w:space="0" w:color="auto"/>
              </w:rPr>
              <w:t>ramach projektu „NPM Impact assesment” nt. funkcjonowania Krajowego Mechanizmu Prewencji. Lublana, Słowenia.</w:t>
            </w:r>
          </w:p>
        </w:tc>
        <w:tc>
          <w:tcPr>
            <w:tcW w:w="1687" w:type="dxa"/>
          </w:tcPr>
          <w:p w14:paraId="2D710F60" w14:textId="77777777" w:rsidR="00250AC8" w:rsidRPr="00EC250C" w:rsidRDefault="00250AC8" w:rsidP="00D131FA">
            <w:pPr>
              <w:pStyle w:val="Tabela"/>
              <w:jc w:val="both"/>
            </w:pPr>
            <w:r w:rsidRPr="00EC250C">
              <w:t>17–19.04.2018</w:t>
            </w:r>
            <w:r w:rsidR="00C91F6E" w:rsidRPr="00EC250C">
              <w:t> r.</w:t>
            </w:r>
          </w:p>
        </w:tc>
      </w:tr>
      <w:tr w:rsidR="00250AC8" w:rsidRPr="00EC250C" w14:paraId="37018CFB" w14:textId="77777777" w:rsidTr="00FC47F2">
        <w:trPr>
          <w:tblCellSpacing w:w="20" w:type="dxa"/>
        </w:trPr>
        <w:tc>
          <w:tcPr>
            <w:tcW w:w="516" w:type="dxa"/>
          </w:tcPr>
          <w:p w14:paraId="567F0922" w14:textId="77777777" w:rsidR="00250AC8" w:rsidRPr="00EC250C" w:rsidRDefault="00250AC8" w:rsidP="006C70B7">
            <w:pPr>
              <w:pStyle w:val="Tabela"/>
              <w:numPr>
                <w:ilvl w:val="0"/>
                <w:numId w:val="81"/>
              </w:numPr>
              <w:ind w:left="0" w:firstLine="0"/>
              <w:jc w:val="both"/>
            </w:pPr>
          </w:p>
        </w:tc>
        <w:tc>
          <w:tcPr>
            <w:tcW w:w="7473" w:type="dxa"/>
          </w:tcPr>
          <w:p w14:paraId="628E43C7" w14:textId="77777777" w:rsidR="00250AC8" w:rsidRPr="00EC250C" w:rsidRDefault="00250AC8" w:rsidP="00D131FA">
            <w:pPr>
              <w:pStyle w:val="Tabela"/>
              <w:jc w:val="both"/>
              <w:rPr>
                <w:rStyle w:val="tytul13"/>
                <w:rFonts w:eastAsiaTheme="minorHAnsi"/>
                <w:sz w:val="20"/>
                <w:szCs w:val="22"/>
                <w:bdr w:val="none" w:sz="0" w:space="0" w:color="auto"/>
              </w:rPr>
            </w:pPr>
            <w:r w:rsidRPr="00EC250C">
              <w:rPr>
                <w:rStyle w:val="tytul13"/>
                <w:sz w:val="20"/>
                <w:szCs w:val="22"/>
                <w:bdr w:val="none" w:sz="0" w:space="0" w:color="auto"/>
              </w:rPr>
              <w:t>Spotkanie grupy roboczej sieci EQUINET – Policy Formation poświęcone tematyce przeciwdziałania przez organy równościowe mowie nienawiści. Bruksela, Belgia.</w:t>
            </w:r>
          </w:p>
        </w:tc>
        <w:tc>
          <w:tcPr>
            <w:tcW w:w="1687" w:type="dxa"/>
          </w:tcPr>
          <w:p w14:paraId="06CB0EC0" w14:textId="77777777" w:rsidR="00250AC8" w:rsidRPr="00EC250C" w:rsidRDefault="00250AC8" w:rsidP="00D131FA">
            <w:pPr>
              <w:pStyle w:val="Tabela"/>
              <w:jc w:val="both"/>
            </w:pPr>
            <w:r w:rsidRPr="00EC250C">
              <w:t>19–20.04.2018</w:t>
            </w:r>
            <w:r w:rsidR="00C91F6E" w:rsidRPr="00EC250C">
              <w:t> r.</w:t>
            </w:r>
          </w:p>
        </w:tc>
      </w:tr>
      <w:tr w:rsidR="00250AC8" w:rsidRPr="00EC250C" w14:paraId="56A155FA" w14:textId="77777777" w:rsidTr="00FC47F2">
        <w:trPr>
          <w:tblCellSpacing w:w="20" w:type="dxa"/>
        </w:trPr>
        <w:tc>
          <w:tcPr>
            <w:tcW w:w="516" w:type="dxa"/>
          </w:tcPr>
          <w:p w14:paraId="518A399F" w14:textId="77777777" w:rsidR="00250AC8" w:rsidRPr="00EC250C" w:rsidRDefault="00250AC8" w:rsidP="006C70B7">
            <w:pPr>
              <w:pStyle w:val="Tabela"/>
              <w:numPr>
                <w:ilvl w:val="0"/>
                <w:numId w:val="81"/>
              </w:numPr>
              <w:ind w:left="0" w:firstLine="0"/>
              <w:jc w:val="both"/>
            </w:pPr>
          </w:p>
        </w:tc>
        <w:tc>
          <w:tcPr>
            <w:tcW w:w="7473" w:type="dxa"/>
          </w:tcPr>
          <w:p w14:paraId="3ED16AB2" w14:textId="77777777" w:rsidR="00250AC8" w:rsidRPr="00EC250C" w:rsidRDefault="00250AC8" w:rsidP="00D131FA">
            <w:pPr>
              <w:pStyle w:val="Tabela"/>
              <w:jc w:val="both"/>
            </w:pPr>
            <w:r w:rsidRPr="00EC250C">
              <w:t>Konsultacje na temat kształtu Funduszy Norweskich na lata</w:t>
            </w:r>
            <w:r w:rsidR="00CC4D88" w:rsidRPr="00EC250C">
              <w:t xml:space="preserve"> </w:t>
            </w:r>
            <w:r w:rsidRPr="00EC250C">
              <w:t>2014–2021. Trondheim, Norwegia.</w:t>
            </w:r>
          </w:p>
        </w:tc>
        <w:tc>
          <w:tcPr>
            <w:tcW w:w="1687" w:type="dxa"/>
          </w:tcPr>
          <w:p w14:paraId="02F6F1A7" w14:textId="77777777" w:rsidR="00250AC8" w:rsidRPr="00EC250C" w:rsidRDefault="00250AC8" w:rsidP="00D131FA">
            <w:pPr>
              <w:pStyle w:val="Tabela"/>
              <w:jc w:val="both"/>
            </w:pPr>
            <w:r w:rsidRPr="00EC250C">
              <w:t>06–08.05.2018</w:t>
            </w:r>
            <w:r w:rsidR="00C91F6E" w:rsidRPr="00EC250C">
              <w:t> r.</w:t>
            </w:r>
          </w:p>
        </w:tc>
      </w:tr>
      <w:tr w:rsidR="00250AC8" w:rsidRPr="00EC250C" w14:paraId="0B96D667" w14:textId="77777777" w:rsidTr="00FC47F2">
        <w:trPr>
          <w:tblCellSpacing w:w="20" w:type="dxa"/>
        </w:trPr>
        <w:tc>
          <w:tcPr>
            <w:tcW w:w="516" w:type="dxa"/>
          </w:tcPr>
          <w:p w14:paraId="066C4E83" w14:textId="77777777" w:rsidR="00250AC8" w:rsidRPr="00EC250C" w:rsidRDefault="00250AC8" w:rsidP="006C70B7">
            <w:pPr>
              <w:pStyle w:val="Tabela"/>
              <w:numPr>
                <w:ilvl w:val="0"/>
                <w:numId w:val="81"/>
              </w:numPr>
              <w:ind w:left="0" w:firstLine="0"/>
              <w:jc w:val="both"/>
            </w:pPr>
          </w:p>
        </w:tc>
        <w:tc>
          <w:tcPr>
            <w:tcW w:w="7473" w:type="dxa"/>
          </w:tcPr>
          <w:p w14:paraId="040CB748" w14:textId="77777777" w:rsidR="00250AC8" w:rsidRPr="00EC250C" w:rsidRDefault="00250AC8" w:rsidP="00D131FA">
            <w:pPr>
              <w:pStyle w:val="Tabela"/>
              <w:jc w:val="both"/>
            </w:pPr>
            <w:r w:rsidRPr="00EC250C">
              <w:t xml:space="preserve">Spotkanie grupy roboczej stowarzyszenia EQUINET </w:t>
            </w:r>
            <w:r w:rsidRPr="00EC250C">
              <w:rPr>
                <w:rStyle w:val="tytul13"/>
                <w:sz w:val="20"/>
                <w:szCs w:val="22"/>
                <w:bdr w:val="none" w:sz="0" w:space="0" w:color="auto"/>
              </w:rPr>
              <w:t>–</w:t>
            </w:r>
            <w:r w:rsidRPr="00EC250C">
              <w:t xml:space="preserve"> „Equality Law”. Bruksela, Belgia.</w:t>
            </w:r>
          </w:p>
        </w:tc>
        <w:tc>
          <w:tcPr>
            <w:tcW w:w="1687" w:type="dxa"/>
          </w:tcPr>
          <w:p w14:paraId="76E007C4" w14:textId="77777777" w:rsidR="00250AC8" w:rsidRPr="00EC250C" w:rsidRDefault="00250AC8" w:rsidP="00D131FA">
            <w:pPr>
              <w:pStyle w:val="Tabela"/>
              <w:jc w:val="both"/>
            </w:pPr>
            <w:r w:rsidRPr="00EC250C">
              <w:t>07–08.05.2018</w:t>
            </w:r>
            <w:r w:rsidR="00C91F6E" w:rsidRPr="00EC250C">
              <w:t> r.</w:t>
            </w:r>
          </w:p>
        </w:tc>
      </w:tr>
      <w:tr w:rsidR="00250AC8" w:rsidRPr="00EC250C" w14:paraId="2618E616" w14:textId="77777777" w:rsidTr="00FC47F2">
        <w:trPr>
          <w:tblCellSpacing w:w="20" w:type="dxa"/>
        </w:trPr>
        <w:tc>
          <w:tcPr>
            <w:tcW w:w="516" w:type="dxa"/>
          </w:tcPr>
          <w:p w14:paraId="34ABEBFC" w14:textId="77777777" w:rsidR="00250AC8" w:rsidRPr="00EC250C" w:rsidRDefault="00250AC8" w:rsidP="006C70B7">
            <w:pPr>
              <w:pStyle w:val="Tabela"/>
              <w:numPr>
                <w:ilvl w:val="0"/>
                <w:numId w:val="81"/>
              </w:numPr>
              <w:ind w:left="0" w:firstLine="0"/>
              <w:jc w:val="both"/>
            </w:pPr>
          </w:p>
        </w:tc>
        <w:tc>
          <w:tcPr>
            <w:tcW w:w="7473" w:type="dxa"/>
          </w:tcPr>
          <w:p w14:paraId="4288EFB9" w14:textId="77777777" w:rsidR="00250AC8" w:rsidRPr="00EC250C" w:rsidRDefault="00250AC8" w:rsidP="00D131FA">
            <w:pPr>
              <w:pStyle w:val="Tabela"/>
              <w:jc w:val="both"/>
            </w:pPr>
            <w:r w:rsidRPr="00EC250C">
              <w:t>Konferencja naukowa „Prawo międzynarodowe – teoria</w:t>
            </w:r>
            <w:r w:rsidR="00992FD0" w:rsidRPr="00EC250C">
              <w:t xml:space="preserve"> a </w:t>
            </w:r>
            <w:r w:rsidRPr="00EC250C">
              <w:t>praktyka” połączona ze zjazdem Katedr</w:t>
            </w:r>
            <w:r w:rsidR="00992FD0" w:rsidRPr="00EC250C">
              <w:t xml:space="preserve"> i </w:t>
            </w:r>
            <w:r w:rsidRPr="00EC250C">
              <w:t>Zakładów Prawa Międzynarodowego. Wilno, Litwa.</w:t>
            </w:r>
          </w:p>
        </w:tc>
        <w:tc>
          <w:tcPr>
            <w:tcW w:w="1687" w:type="dxa"/>
          </w:tcPr>
          <w:p w14:paraId="1A61697F" w14:textId="77777777" w:rsidR="00250AC8" w:rsidRPr="00EC250C" w:rsidRDefault="00250AC8" w:rsidP="00D131FA">
            <w:pPr>
              <w:pStyle w:val="Tabela"/>
              <w:jc w:val="both"/>
            </w:pPr>
            <w:r w:rsidRPr="00EC250C">
              <w:t>08–11.05.2018</w:t>
            </w:r>
            <w:r w:rsidR="00C91F6E" w:rsidRPr="00EC250C">
              <w:t> r.</w:t>
            </w:r>
          </w:p>
        </w:tc>
      </w:tr>
      <w:tr w:rsidR="00250AC8" w:rsidRPr="00EC250C" w14:paraId="3B0043D0" w14:textId="77777777" w:rsidTr="00FC47F2">
        <w:trPr>
          <w:tblCellSpacing w:w="20" w:type="dxa"/>
        </w:trPr>
        <w:tc>
          <w:tcPr>
            <w:tcW w:w="516" w:type="dxa"/>
          </w:tcPr>
          <w:p w14:paraId="243F8F45" w14:textId="77777777" w:rsidR="00250AC8" w:rsidRPr="00EC250C" w:rsidRDefault="00250AC8" w:rsidP="006C70B7">
            <w:pPr>
              <w:pStyle w:val="Tabela"/>
              <w:numPr>
                <w:ilvl w:val="0"/>
                <w:numId w:val="81"/>
              </w:numPr>
              <w:ind w:left="0" w:firstLine="0"/>
              <w:jc w:val="both"/>
            </w:pPr>
          </w:p>
        </w:tc>
        <w:tc>
          <w:tcPr>
            <w:tcW w:w="7473" w:type="dxa"/>
          </w:tcPr>
          <w:p w14:paraId="3568032A" w14:textId="77777777" w:rsidR="00250AC8" w:rsidRPr="00EC250C" w:rsidRDefault="00250AC8" w:rsidP="00D131FA">
            <w:pPr>
              <w:pStyle w:val="Tabela"/>
              <w:jc w:val="both"/>
            </w:pPr>
            <w:r w:rsidRPr="00EC250C">
              <w:t xml:space="preserve">Spotkanie </w:t>
            </w:r>
            <w:r w:rsidR="003C397F" w:rsidRPr="00EC250C">
              <w:t>rzecznika praw obywatelskich</w:t>
            </w:r>
            <w:r w:rsidRPr="00EC250C">
              <w:t xml:space="preserve"> Adama Bodnara</w:t>
            </w:r>
            <w:r w:rsidR="00992FD0" w:rsidRPr="00EC250C">
              <w:t xml:space="preserve"> z </w:t>
            </w:r>
            <w:r w:rsidRPr="00EC250C">
              <w:t>Wysokim Komisarzem do spraw Praw Człowieka Organizacji Narodów Zjednoczonych. Genewa, Szwajcaria.</w:t>
            </w:r>
          </w:p>
        </w:tc>
        <w:tc>
          <w:tcPr>
            <w:tcW w:w="1687" w:type="dxa"/>
          </w:tcPr>
          <w:p w14:paraId="724E2577" w14:textId="77777777" w:rsidR="00250AC8" w:rsidRPr="00EC250C" w:rsidRDefault="00250AC8" w:rsidP="00D131FA">
            <w:pPr>
              <w:pStyle w:val="Tabela"/>
              <w:jc w:val="both"/>
            </w:pPr>
            <w:r w:rsidRPr="00EC250C">
              <w:t>14.05.2018</w:t>
            </w:r>
            <w:r w:rsidR="00C91F6E" w:rsidRPr="00EC250C">
              <w:t> r.</w:t>
            </w:r>
          </w:p>
        </w:tc>
      </w:tr>
      <w:tr w:rsidR="00250AC8" w:rsidRPr="00EC250C" w14:paraId="6D470667" w14:textId="77777777" w:rsidTr="00FC47F2">
        <w:trPr>
          <w:tblCellSpacing w:w="20" w:type="dxa"/>
        </w:trPr>
        <w:tc>
          <w:tcPr>
            <w:tcW w:w="516" w:type="dxa"/>
          </w:tcPr>
          <w:p w14:paraId="14364687" w14:textId="77777777" w:rsidR="00250AC8" w:rsidRPr="00EC250C" w:rsidRDefault="00250AC8" w:rsidP="006C70B7">
            <w:pPr>
              <w:pStyle w:val="Tabela"/>
              <w:numPr>
                <w:ilvl w:val="0"/>
                <w:numId w:val="81"/>
              </w:numPr>
              <w:ind w:left="0" w:firstLine="0"/>
              <w:jc w:val="both"/>
            </w:pPr>
          </w:p>
        </w:tc>
        <w:tc>
          <w:tcPr>
            <w:tcW w:w="7473" w:type="dxa"/>
          </w:tcPr>
          <w:p w14:paraId="013C52DB" w14:textId="77777777" w:rsidR="00250AC8" w:rsidRPr="00EC250C" w:rsidRDefault="00250AC8" w:rsidP="00D131FA">
            <w:pPr>
              <w:pStyle w:val="Tabela"/>
              <w:jc w:val="both"/>
            </w:pPr>
            <w:r w:rsidRPr="00EC250C">
              <w:t>Posiedzenie Platformy Operacyjnej na rzecz równości Romów zorganizowane przez Radę Europy. Belfast, Irlandia Północna.</w:t>
            </w:r>
          </w:p>
        </w:tc>
        <w:tc>
          <w:tcPr>
            <w:tcW w:w="1687" w:type="dxa"/>
          </w:tcPr>
          <w:p w14:paraId="02435CAD" w14:textId="77777777" w:rsidR="00250AC8" w:rsidRPr="00EC250C" w:rsidRDefault="00250AC8" w:rsidP="00D131FA">
            <w:pPr>
              <w:pStyle w:val="Tabela"/>
              <w:jc w:val="both"/>
            </w:pPr>
            <w:r w:rsidRPr="00EC250C">
              <w:t>14–17.05.2018</w:t>
            </w:r>
            <w:r w:rsidR="00C91F6E" w:rsidRPr="00EC250C">
              <w:t> r.</w:t>
            </w:r>
          </w:p>
        </w:tc>
      </w:tr>
      <w:tr w:rsidR="00250AC8" w:rsidRPr="00EC250C" w14:paraId="107C9CF3" w14:textId="77777777" w:rsidTr="00FC47F2">
        <w:trPr>
          <w:tblCellSpacing w:w="20" w:type="dxa"/>
        </w:trPr>
        <w:tc>
          <w:tcPr>
            <w:tcW w:w="516" w:type="dxa"/>
          </w:tcPr>
          <w:p w14:paraId="58CD938A" w14:textId="77777777" w:rsidR="00250AC8" w:rsidRPr="00EC250C" w:rsidRDefault="00250AC8" w:rsidP="006C70B7">
            <w:pPr>
              <w:pStyle w:val="Tabela"/>
              <w:numPr>
                <w:ilvl w:val="0"/>
                <w:numId w:val="81"/>
              </w:numPr>
              <w:ind w:left="0" w:firstLine="0"/>
              <w:jc w:val="both"/>
            </w:pPr>
          </w:p>
        </w:tc>
        <w:tc>
          <w:tcPr>
            <w:tcW w:w="7473" w:type="dxa"/>
          </w:tcPr>
          <w:p w14:paraId="61A1F8DC" w14:textId="77777777" w:rsidR="00250AC8" w:rsidRPr="00EC250C" w:rsidRDefault="00250AC8" w:rsidP="00D131FA">
            <w:pPr>
              <w:pStyle w:val="Tabela"/>
              <w:jc w:val="both"/>
            </w:pPr>
            <w:r w:rsidRPr="00EC250C">
              <w:t>VI posiedzenie Platformy Praw Społecznych</w:t>
            </w:r>
            <w:r w:rsidR="00992FD0" w:rsidRPr="00EC250C">
              <w:t xml:space="preserve"> i </w:t>
            </w:r>
            <w:r w:rsidRPr="00EC250C">
              <w:t>Ekonomicznych zorganizowane przez Radę Europy. Belfast, Irlandia Północna.</w:t>
            </w:r>
          </w:p>
        </w:tc>
        <w:tc>
          <w:tcPr>
            <w:tcW w:w="1687" w:type="dxa"/>
          </w:tcPr>
          <w:p w14:paraId="1DD5070F" w14:textId="77777777" w:rsidR="00250AC8" w:rsidRPr="00EC250C" w:rsidRDefault="00250AC8" w:rsidP="00D131FA">
            <w:pPr>
              <w:pStyle w:val="Tabela"/>
              <w:jc w:val="both"/>
            </w:pPr>
            <w:r w:rsidRPr="00EC250C">
              <w:t>14–17.05.2018</w:t>
            </w:r>
            <w:r w:rsidR="00C91F6E" w:rsidRPr="00EC250C">
              <w:t> r.</w:t>
            </w:r>
          </w:p>
        </w:tc>
      </w:tr>
      <w:tr w:rsidR="00250AC8" w:rsidRPr="00EC250C" w14:paraId="50DDC2F3" w14:textId="77777777" w:rsidTr="00FC47F2">
        <w:trPr>
          <w:tblCellSpacing w:w="20" w:type="dxa"/>
        </w:trPr>
        <w:tc>
          <w:tcPr>
            <w:tcW w:w="516" w:type="dxa"/>
          </w:tcPr>
          <w:p w14:paraId="179DC93B" w14:textId="77777777" w:rsidR="00250AC8" w:rsidRPr="00EC250C" w:rsidRDefault="00250AC8" w:rsidP="006C70B7">
            <w:pPr>
              <w:pStyle w:val="Tabela"/>
              <w:numPr>
                <w:ilvl w:val="0"/>
                <w:numId w:val="81"/>
              </w:numPr>
              <w:ind w:left="0" w:firstLine="0"/>
              <w:jc w:val="both"/>
            </w:pPr>
          </w:p>
        </w:tc>
        <w:tc>
          <w:tcPr>
            <w:tcW w:w="7473" w:type="dxa"/>
          </w:tcPr>
          <w:p w14:paraId="1B3DA3B1" w14:textId="77777777" w:rsidR="00250AC8" w:rsidRPr="00EC250C" w:rsidRDefault="00250AC8" w:rsidP="00D131FA">
            <w:pPr>
              <w:pStyle w:val="Tabela"/>
              <w:jc w:val="both"/>
            </w:pPr>
            <w:r w:rsidRPr="00EC250C">
              <w:rPr>
                <w:lang w:val="en-US"/>
              </w:rPr>
              <w:t xml:space="preserve">Konferencja nt. „The Media Freedom Conference”. </w:t>
            </w:r>
            <w:r w:rsidRPr="00EC250C">
              <w:t>Sofia, Bułgaria.</w:t>
            </w:r>
          </w:p>
        </w:tc>
        <w:tc>
          <w:tcPr>
            <w:tcW w:w="1687" w:type="dxa"/>
          </w:tcPr>
          <w:p w14:paraId="26BD8D2D" w14:textId="77777777" w:rsidR="00250AC8" w:rsidRPr="00EC250C" w:rsidRDefault="00250AC8" w:rsidP="00D131FA">
            <w:pPr>
              <w:pStyle w:val="Tabela"/>
              <w:jc w:val="both"/>
            </w:pPr>
            <w:r w:rsidRPr="00EC250C">
              <w:t>15–17.05.2018</w:t>
            </w:r>
            <w:r w:rsidR="00C91F6E" w:rsidRPr="00EC250C">
              <w:t> r.</w:t>
            </w:r>
          </w:p>
        </w:tc>
      </w:tr>
      <w:tr w:rsidR="00250AC8" w:rsidRPr="00EC250C" w14:paraId="37368EC7" w14:textId="77777777" w:rsidTr="00FC47F2">
        <w:trPr>
          <w:tblCellSpacing w:w="20" w:type="dxa"/>
        </w:trPr>
        <w:tc>
          <w:tcPr>
            <w:tcW w:w="516" w:type="dxa"/>
          </w:tcPr>
          <w:p w14:paraId="668CC8AE" w14:textId="77777777" w:rsidR="00250AC8" w:rsidRPr="00EC250C" w:rsidRDefault="00250AC8" w:rsidP="006C70B7">
            <w:pPr>
              <w:pStyle w:val="Tabela"/>
              <w:numPr>
                <w:ilvl w:val="0"/>
                <w:numId w:val="81"/>
              </w:numPr>
              <w:ind w:left="0" w:firstLine="0"/>
              <w:jc w:val="both"/>
            </w:pPr>
          </w:p>
        </w:tc>
        <w:tc>
          <w:tcPr>
            <w:tcW w:w="7473" w:type="dxa"/>
          </w:tcPr>
          <w:p w14:paraId="41FBA456" w14:textId="77777777" w:rsidR="00250AC8" w:rsidRPr="00EC250C" w:rsidRDefault="00250AC8" w:rsidP="00D131FA">
            <w:pPr>
              <w:pStyle w:val="Tabela"/>
              <w:jc w:val="both"/>
            </w:pPr>
            <w:r w:rsidRPr="00EC250C">
              <w:t xml:space="preserve">Udział </w:t>
            </w:r>
            <w:r w:rsidR="003C397F" w:rsidRPr="00EC250C">
              <w:t>rzecznika praw obywatelskich</w:t>
            </w:r>
            <w:r w:rsidRPr="00EC250C">
              <w:t xml:space="preserve"> Adama Bodnara</w:t>
            </w:r>
            <w:r w:rsidR="00992FD0" w:rsidRPr="00EC250C">
              <w:t xml:space="preserve"> w </w:t>
            </w:r>
            <w:r w:rsidRPr="00EC250C">
              <w:t>warsztatach praw człowieka zorganizowanych przez Central European University</w:t>
            </w:r>
            <w:r w:rsidR="00992FD0" w:rsidRPr="00EC250C">
              <w:t xml:space="preserve"> w </w:t>
            </w:r>
            <w:r w:rsidRPr="00EC250C">
              <w:t>Budapeszcie – „From Criticism to Scorn: How the Recalibration of Human Rights Diminishes Liberty and What to Do About It ?”. Budapeszt, Węgry.</w:t>
            </w:r>
          </w:p>
        </w:tc>
        <w:tc>
          <w:tcPr>
            <w:tcW w:w="1687" w:type="dxa"/>
          </w:tcPr>
          <w:p w14:paraId="6DDC4B02" w14:textId="77777777" w:rsidR="00250AC8" w:rsidRPr="00EC250C" w:rsidRDefault="00250AC8" w:rsidP="00D131FA">
            <w:pPr>
              <w:pStyle w:val="Tabela"/>
              <w:jc w:val="both"/>
            </w:pPr>
            <w:r w:rsidRPr="00EC250C">
              <w:t>18–19.05.2018</w:t>
            </w:r>
            <w:r w:rsidR="00C91F6E" w:rsidRPr="00EC250C">
              <w:t> r.</w:t>
            </w:r>
          </w:p>
        </w:tc>
      </w:tr>
      <w:tr w:rsidR="00250AC8" w:rsidRPr="00EC250C" w14:paraId="6A15963A" w14:textId="77777777" w:rsidTr="00FC47F2">
        <w:trPr>
          <w:tblCellSpacing w:w="20" w:type="dxa"/>
        </w:trPr>
        <w:tc>
          <w:tcPr>
            <w:tcW w:w="516" w:type="dxa"/>
          </w:tcPr>
          <w:p w14:paraId="4310364B" w14:textId="77777777" w:rsidR="00250AC8" w:rsidRPr="00EC250C" w:rsidRDefault="00250AC8" w:rsidP="006C70B7">
            <w:pPr>
              <w:pStyle w:val="Tabela"/>
              <w:numPr>
                <w:ilvl w:val="0"/>
                <w:numId w:val="81"/>
              </w:numPr>
              <w:ind w:left="0" w:firstLine="0"/>
              <w:jc w:val="both"/>
            </w:pPr>
          </w:p>
        </w:tc>
        <w:tc>
          <w:tcPr>
            <w:tcW w:w="7473" w:type="dxa"/>
          </w:tcPr>
          <w:p w14:paraId="5FFFB875" w14:textId="77777777" w:rsidR="00250AC8" w:rsidRPr="00EC250C" w:rsidRDefault="00250AC8" w:rsidP="00D131FA">
            <w:pPr>
              <w:pStyle w:val="Tabela"/>
              <w:jc w:val="both"/>
            </w:pPr>
            <w:r w:rsidRPr="00EC250C">
              <w:t>Międzynarodowa konferencja naukowa nt. Karty Praw Podstawowych Unii Europejskiej</w:t>
            </w:r>
            <w:r w:rsidR="00992FD0" w:rsidRPr="00EC250C">
              <w:t xml:space="preserve"> w </w:t>
            </w:r>
            <w:r w:rsidRPr="00EC250C">
              <w:t>praktyce sądowej. Rzym, Włochy.</w:t>
            </w:r>
          </w:p>
        </w:tc>
        <w:tc>
          <w:tcPr>
            <w:tcW w:w="1687" w:type="dxa"/>
          </w:tcPr>
          <w:p w14:paraId="705438D7" w14:textId="77777777" w:rsidR="00250AC8" w:rsidRPr="00EC250C" w:rsidRDefault="00250AC8" w:rsidP="00D131FA">
            <w:pPr>
              <w:pStyle w:val="Tabela"/>
              <w:jc w:val="both"/>
            </w:pPr>
            <w:r w:rsidRPr="00EC250C">
              <w:t>21–22.05.2018</w:t>
            </w:r>
            <w:r w:rsidR="00C91F6E" w:rsidRPr="00EC250C">
              <w:t> r.</w:t>
            </w:r>
          </w:p>
        </w:tc>
      </w:tr>
      <w:tr w:rsidR="00250AC8" w:rsidRPr="00EC250C" w14:paraId="1499FEC1" w14:textId="77777777" w:rsidTr="00FC47F2">
        <w:trPr>
          <w:tblCellSpacing w:w="20" w:type="dxa"/>
        </w:trPr>
        <w:tc>
          <w:tcPr>
            <w:tcW w:w="516" w:type="dxa"/>
          </w:tcPr>
          <w:p w14:paraId="59310E4E" w14:textId="77777777" w:rsidR="00250AC8" w:rsidRPr="00EC250C" w:rsidRDefault="00250AC8" w:rsidP="006C70B7">
            <w:pPr>
              <w:pStyle w:val="Tabela"/>
              <w:numPr>
                <w:ilvl w:val="0"/>
                <w:numId w:val="81"/>
              </w:numPr>
              <w:ind w:left="0" w:firstLine="0"/>
              <w:jc w:val="both"/>
            </w:pPr>
          </w:p>
        </w:tc>
        <w:tc>
          <w:tcPr>
            <w:tcW w:w="7473" w:type="dxa"/>
          </w:tcPr>
          <w:p w14:paraId="49FE9B01" w14:textId="77777777" w:rsidR="00250AC8" w:rsidRPr="00EC250C" w:rsidRDefault="00250AC8" w:rsidP="00D131FA">
            <w:pPr>
              <w:pStyle w:val="Tabela"/>
              <w:jc w:val="both"/>
            </w:pPr>
            <w:r w:rsidRPr="00EC250C">
              <w:rPr>
                <w:lang w:val="en-US"/>
              </w:rPr>
              <w:t xml:space="preserve">Konferencja nt. „EU Summit Solidarity in respect of EU’s fundamental values: Rule of Law, Good Governance, Democracy and Human Rights”. </w:t>
            </w:r>
            <w:r w:rsidRPr="00EC250C">
              <w:t>Bruksela, Belgia.</w:t>
            </w:r>
          </w:p>
        </w:tc>
        <w:tc>
          <w:tcPr>
            <w:tcW w:w="1687" w:type="dxa"/>
          </w:tcPr>
          <w:p w14:paraId="478D58F1" w14:textId="77777777" w:rsidR="00250AC8" w:rsidRPr="00EC250C" w:rsidRDefault="00250AC8" w:rsidP="00D131FA">
            <w:pPr>
              <w:pStyle w:val="Tabela"/>
              <w:jc w:val="both"/>
            </w:pPr>
            <w:r w:rsidRPr="00EC250C">
              <w:t>22–23.05.2018</w:t>
            </w:r>
            <w:r w:rsidR="00C91F6E" w:rsidRPr="00EC250C">
              <w:t> r.</w:t>
            </w:r>
          </w:p>
        </w:tc>
      </w:tr>
      <w:tr w:rsidR="00250AC8" w:rsidRPr="00EC250C" w14:paraId="2EA431BA" w14:textId="77777777" w:rsidTr="00FC47F2">
        <w:trPr>
          <w:tblCellSpacing w:w="20" w:type="dxa"/>
        </w:trPr>
        <w:tc>
          <w:tcPr>
            <w:tcW w:w="516" w:type="dxa"/>
          </w:tcPr>
          <w:p w14:paraId="72CEE67C" w14:textId="77777777" w:rsidR="00250AC8" w:rsidRPr="00EC250C" w:rsidRDefault="00250AC8" w:rsidP="006C70B7">
            <w:pPr>
              <w:pStyle w:val="Tabela"/>
              <w:numPr>
                <w:ilvl w:val="0"/>
                <w:numId w:val="81"/>
              </w:numPr>
              <w:ind w:left="0" w:firstLine="0"/>
              <w:jc w:val="both"/>
            </w:pPr>
          </w:p>
        </w:tc>
        <w:tc>
          <w:tcPr>
            <w:tcW w:w="7473" w:type="dxa"/>
          </w:tcPr>
          <w:p w14:paraId="066D21FB" w14:textId="77777777" w:rsidR="00250AC8" w:rsidRPr="00EC250C" w:rsidRDefault="00250AC8" w:rsidP="00D131FA">
            <w:pPr>
              <w:pStyle w:val="Tabela"/>
              <w:jc w:val="both"/>
            </w:pPr>
            <w:r w:rsidRPr="00EC250C">
              <w:t xml:space="preserve">Seminarium współorganizowane przez Age Platform Europe oraz Biuro Wysokiego Komisarza ONZ ds. Praw Człowieka poświęcone tematyce ochrony praw osób starszych – „Human Rights of Older Persons. </w:t>
            </w:r>
            <w:r w:rsidRPr="00EC250C">
              <w:rPr>
                <w:lang w:val="en-US"/>
              </w:rPr>
              <w:t xml:space="preserve">European Expert and Stakeholder Meeting to Provide Inputs for the 9th Session of the Open ended Working Group on Ageing”. </w:t>
            </w:r>
            <w:r w:rsidRPr="00EC250C">
              <w:t>Bruksela, Belgia.</w:t>
            </w:r>
          </w:p>
        </w:tc>
        <w:tc>
          <w:tcPr>
            <w:tcW w:w="1687" w:type="dxa"/>
          </w:tcPr>
          <w:p w14:paraId="23BD4246" w14:textId="77777777" w:rsidR="00250AC8" w:rsidRPr="00EC250C" w:rsidRDefault="00250AC8" w:rsidP="00D131FA">
            <w:pPr>
              <w:pStyle w:val="Tabela"/>
              <w:jc w:val="both"/>
            </w:pPr>
            <w:r w:rsidRPr="00EC250C">
              <w:t>23–24.05.2018</w:t>
            </w:r>
            <w:r w:rsidR="00C91F6E" w:rsidRPr="00EC250C">
              <w:t> r.</w:t>
            </w:r>
          </w:p>
        </w:tc>
      </w:tr>
      <w:tr w:rsidR="00250AC8" w:rsidRPr="00EC250C" w14:paraId="2DCB3CAF" w14:textId="77777777" w:rsidTr="00FC47F2">
        <w:trPr>
          <w:tblCellSpacing w:w="20" w:type="dxa"/>
        </w:trPr>
        <w:tc>
          <w:tcPr>
            <w:tcW w:w="516" w:type="dxa"/>
          </w:tcPr>
          <w:p w14:paraId="6C146C2F" w14:textId="77777777" w:rsidR="00250AC8" w:rsidRPr="00EC250C" w:rsidRDefault="00250AC8" w:rsidP="006C70B7">
            <w:pPr>
              <w:pStyle w:val="Tabela"/>
              <w:numPr>
                <w:ilvl w:val="0"/>
                <w:numId w:val="81"/>
              </w:numPr>
              <w:ind w:left="0" w:firstLine="0"/>
              <w:jc w:val="both"/>
            </w:pPr>
          </w:p>
        </w:tc>
        <w:tc>
          <w:tcPr>
            <w:tcW w:w="7473" w:type="dxa"/>
          </w:tcPr>
          <w:p w14:paraId="66872914" w14:textId="77777777" w:rsidR="00250AC8" w:rsidRPr="00EC250C" w:rsidRDefault="00250AC8" w:rsidP="00D131FA">
            <w:pPr>
              <w:pStyle w:val="Tabela"/>
              <w:jc w:val="both"/>
            </w:pPr>
            <w:r w:rsidRPr="00EC250C">
              <w:t>Seminarium zorganizowane przez Europejską Komisję przeciwko Dyskryminacji</w:t>
            </w:r>
            <w:r w:rsidR="00992FD0" w:rsidRPr="00EC250C">
              <w:t xml:space="preserve"> i </w:t>
            </w:r>
            <w:r w:rsidRPr="00EC250C">
              <w:t>Nietolerancji (ECRI) Rady Europy dla przedstawicieli organów równościowych. Strasburg, Francja.</w:t>
            </w:r>
          </w:p>
        </w:tc>
        <w:tc>
          <w:tcPr>
            <w:tcW w:w="1687" w:type="dxa"/>
          </w:tcPr>
          <w:p w14:paraId="6A3FD495" w14:textId="77777777" w:rsidR="00250AC8" w:rsidRPr="00EC250C" w:rsidRDefault="00250AC8" w:rsidP="00D131FA">
            <w:pPr>
              <w:pStyle w:val="Tabela"/>
              <w:jc w:val="both"/>
            </w:pPr>
            <w:r w:rsidRPr="00EC250C">
              <w:t>23–25.05.2018</w:t>
            </w:r>
            <w:r w:rsidR="00C91F6E" w:rsidRPr="00EC250C">
              <w:t> r.</w:t>
            </w:r>
          </w:p>
        </w:tc>
      </w:tr>
      <w:tr w:rsidR="00250AC8" w:rsidRPr="00EC250C" w14:paraId="732B2FEE" w14:textId="77777777" w:rsidTr="00FC47F2">
        <w:trPr>
          <w:tblCellSpacing w:w="20" w:type="dxa"/>
        </w:trPr>
        <w:tc>
          <w:tcPr>
            <w:tcW w:w="516" w:type="dxa"/>
          </w:tcPr>
          <w:p w14:paraId="68E3D645" w14:textId="77777777" w:rsidR="00250AC8" w:rsidRPr="00EC250C" w:rsidRDefault="00250AC8" w:rsidP="006C70B7">
            <w:pPr>
              <w:pStyle w:val="Tabela"/>
              <w:numPr>
                <w:ilvl w:val="0"/>
                <w:numId w:val="81"/>
              </w:numPr>
              <w:ind w:left="0" w:firstLine="0"/>
              <w:jc w:val="both"/>
            </w:pPr>
          </w:p>
        </w:tc>
        <w:tc>
          <w:tcPr>
            <w:tcW w:w="7473" w:type="dxa"/>
          </w:tcPr>
          <w:p w14:paraId="07A006F6" w14:textId="77777777" w:rsidR="00250AC8" w:rsidRPr="00EC250C" w:rsidRDefault="00250AC8" w:rsidP="00D131FA">
            <w:pPr>
              <w:pStyle w:val="Tabela"/>
              <w:jc w:val="both"/>
            </w:pPr>
            <w:r w:rsidRPr="00EC250C">
              <w:rPr>
                <w:lang w:val="en-US"/>
              </w:rPr>
              <w:t xml:space="preserve">Spotkanie komitetu monitorującego Rady Europy – „The Committee on the Honouring of Obligations and Commitments by Member States of the Council of Europe (Monitoring Committee)”. </w:t>
            </w:r>
            <w:r w:rsidRPr="00EC250C">
              <w:t>Paryż, Francja.</w:t>
            </w:r>
          </w:p>
        </w:tc>
        <w:tc>
          <w:tcPr>
            <w:tcW w:w="1687" w:type="dxa"/>
          </w:tcPr>
          <w:p w14:paraId="2137C271" w14:textId="77777777" w:rsidR="00250AC8" w:rsidRPr="00EC250C" w:rsidRDefault="00250AC8" w:rsidP="00D131FA">
            <w:pPr>
              <w:pStyle w:val="Tabela"/>
              <w:jc w:val="both"/>
            </w:pPr>
            <w:r w:rsidRPr="00EC250C">
              <w:t>28–29.05.2018</w:t>
            </w:r>
            <w:r w:rsidR="00C91F6E" w:rsidRPr="00EC250C">
              <w:t> r.</w:t>
            </w:r>
          </w:p>
        </w:tc>
      </w:tr>
      <w:tr w:rsidR="00250AC8" w:rsidRPr="00EC250C" w14:paraId="1E613860" w14:textId="77777777" w:rsidTr="00FC47F2">
        <w:trPr>
          <w:tblCellSpacing w:w="20" w:type="dxa"/>
        </w:trPr>
        <w:tc>
          <w:tcPr>
            <w:tcW w:w="516" w:type="dxa"/>
          </w:tcPr>
          <w:p w14:paraId="5ADAB738" w14:textId="77777777" w:rsidR="00250AC8" w:rsidRPr="00EC250C" w:rsidRDefault="00250AC8" w:rsidP="006C70B7">
            <w:pPr>
              <w:pStyle w:val="Tabela"/>
              <w:numPr>
                <w:ilvl w:val="0"/>
                <w:numId w:val="81"/>
              </w:numPr>
              <w:ind w:left="0" w:firstLine="0"/>
              <w:jc w:val="both"/>
            </w:pPr>
          </w:p>
        </w:tc>
        <w:tc>
          <w:tcPr>
            <w:tcW w:w="7473" w:type="dxa"/>
          </w:tcPr>
          <w:p w14:paraId="13B3BFA1" w14:textId="77777777" w:rsidR="00250AC8" w:rsidRPr="00EC250C" w:rsidRDefault="00250AC8" w:rsidP="00D131FA">
            <w:pPr>
              <w:pStyle w:val="Tabela"/>
              <w:jc w:val="both"/>
            </w:pPr>
            <w:r w:rsidRPr="00EC250C">
              <w:t>Spotkanie przedstawicieli Niezależnych Organów Równościowych oraz konferencja nt. implementacji Konwencji ONZ Praw Osób</w:t>
            </w:r>
            <w:r w:rsidR="00992FD0" w:rsidRPr="00EC250C">
              <w:t xml:space="preserve"> z </w:t>
            </w:r>
            <w:r w:rsidRPr="00EC250C">
              <w:t>Niepełnosprawnościami zorganizowane przez Komisję Europejską. Bruksela, Belgia.</w:t>
            </w:r>
          </w:p>
        </w:tc>
        <w:tc>
          <w:tcPr>
            <w:tcW w:w="1687" w:type="dxa"/>
          </w:tcPr>
          <w:p w14:paraId="71CB469F" w14:textId="77777777" w:rsidR="00250AC8" w:rsidRPr="00EC250C" w:rsidRDefault="00250AC8" w:rsidP="00D131FA">
            <w:pPr>
              <w:pStyle w:val="Tabela"/>
              <w:jc w:val="both"/>
            </w:pPr>
            <w:r w:rsidRPr="00EC250C">
              <w:t>28–29.05.2018</w:t>
            </w:r>
            <w:r w:rsidR="00C91F6E" w:rsidRPr="00EC250C">
              <w:t> r.</w:t>
            </w:r>
          </w:p>
        </w:tc>
      </w:tr>
      <w:tr w:rsidR="00250AC8" w:rsidRPr="00EC250C" w14:paraId="24862B53" w14:textId="77777777" w:rsidTr="00FC47F2">
        <w:trPr>
          <w:tblCellSpacing w:w="20" w:type="dxa"/>
        </w:trPr>
        <w:tc>
          <w:tcPr>
            <w:tcW w:w="516" w:type="dxa"/>
          </w:tcPr>
          <w:p w14:paraId="12BC8309" w14:textId="77777777" w:rsidR="00250AC8" w:rsidRPr="00EC250C" w:rsidRDefault="00250AC8" w:rsidP="006C70B7">
            <w:pPr>
              <w:pStyle w:val="Tabela"/>
              <w:numPr>
                <w:ilvl w:val="0"/>
                <w:numId w:val="81"/>
              </w:numPr>
              <w:ind w:left="0" w:firstLine="0"/>
              <w:jc w:val="both"/>
            </w:pPr>
          </w:p>
        </w:tc>
        <w:tc>
          <w:tcPr>
            <w:tcW w:w="7473" w:type="dxa"/>
          </w:tcPr>
          <w:p w14:paraId="64FBA0AC" w14:textId="77777777" w:rsidR="00250AC8" w:rsidRPr="00EC250C" w:rsidRDefault="00250AC8" w:rsidP="00D131FA">
            <w:pPr>
              <w:pStyle w:val="Tabela"/>
              <w:jc w:val="both"/>
              <w:rPr>
                <w:shd w:val="clear" w:color="auto" w:fill="FFFEFE"/>
              </w:rPr>
            </w:pPr>
            <w:r w:rsidRPr="00EC250C">
              <w:rPr>
                <w:shd w:val="clear" w:color="auto" w:fill="FFFEFE"/>
              </w:rPr>
              <w:t>Akademia Praw Człowieka dla przedstawicieli Krajowych Instytucji Praw Człowieka (NHRI Academy 2018) zorganizowana przez Biuro Instytucji Demokratycznych</w:t>
            </w:r>
            <w:r w:rsidR="00992FD0" w:rsidRPr="00EC250C">
              <w:rPr>
                <w:shd w:val="clear" w:color="auto" w:fill="FFFEFE"/>
              </w:rPr>
              <w:t xml:space="preserve"> i </w:t>
            </w:r>
            <w:r w:rsidRPr="00EC250C">
              <w:rPr>
                <w:shd w:val="clear" w:color="auto" w:fill="FFFEFE"/>
              </w:rPr>
              <w:t>Praw Człowieka (ODHIR). Helsinki, Finlandia.</w:t>
            </w:r>
          </w:p>
        </w:tc>
        <w:tc>
          <w:tcPr>
            <w:tcW w:w="1687" w:type="dxa"/>
          </w:tcPr>
          <w:p w14:paraId="244FCD5D" w14:textId="77777777" w:rsidR="00250AC8" w:rsidRPr="00EC250C" w:rsidRDefault="00250AC8" w:rsidP="00D131FA">
            <w:pPr>
              <w:pStyle w:val="Tabela"/>
              <w:jc w:val="both"/>
            </w:pPr>
            <w:r w:rsidRPr="00EC250C">
              <w:t>03–08.06.2018</w:t>
            </w:r>
            <w:r w:rsidR="00C91F6E" w:rsidRPr="00EC250C">
              <w:t> r.</w:t>
            </w:r>
          </w:p>
        </w:tc>
      </w:tr>
      <w:tr w:rsidR="00250AC8" w:rsidRPr="00EC250C" w14:paraId="0D596F92" w14:textId="77777777" w:rsidTr="00FC47F2">
        <w:trPr>
          <w:tblCellSpacing w:w="20" w:type="dxa"/>
        </w:trPr>
        <w:tc>
          <w:tcPr>
            <w:tcW w:w="516" w:type="dxa"/>
          </w:tcPr>
          <w:p w14:paraId="4A38CE04" w14:textId="77777777" w:rsidR="00250AC8" w:rsidRPr="00EC250C" w:rsidRDefault="00250AC8" w:rsidP="006C70B7">
            <w:pPr>
              <w:pStyle w:val="Tabela"/>
              <w:numPr>
                <w:ilvl w:val="0"/>
                <w:numId w:val="81"/>
              </w:numPr>
              <w:ind w:left="0" w:firstLine="0"/>
              <w:jc w:val="both"/>
            </w:pPr>
          </w:p>
        </w:tc>
        <w:tc>
          <w:tcPr>
            <w:tcW w:w="7473" w:type="dxa"/>
          </w:tcPr>
          <w:p w14:paraId="00445882" w14:textId="77777777" w:rsidR="00250AC8" w:rsidRPr="00EC250C" w:rsidRDefault="00250AC8" w:rsidP="00D131FA">
            <w:pPr>
              <w:pStyle w:val="Tabela"/>
              <w:jc w:val="both"/>
              <w:rPr>
                <w:shd w:val="clear" w:color="auto" w:fill="FFFEFE"/>
              </w:rPr>
            </w:pPr>
            <w:r w:rsidRPr="00EC250C">
              <w:rPr>
                <w:shd w:val="clear" w:color="auto" w:fill="FFFEFE"/>
              </w:rPr>
              <w:t>Konferencja</w:t>
            </w:r>
            <w:r w:rsidR="00992FD0" w:rsidRPr="00EC250C">
              <w:rPr>
                <w:shd w:val="clear" w:color="auto" w:fill="FFFEFE"/>
              </w:rPr>
              <w:t xml:space="preserve"> z </w:t>
            </w:r>
            <w:r w:rsidRPr="00EC250C">
              <w:rPr>
                <w:shd w:val="clear" w:color="auto" w:fill="FFFEFE"/>
              </w:rPr>
              <w:t>okazji Światowego Dnia Świadomości Znęcania się nad Osobami Starszymi oraz doroczne spotkanie platformy tematycznej „AGE Platform Europe Annual Conference”. Bruksela, Belgia.</w:t>
            </w:r>
          </w:p>
        </w:tc>
        <w:tc>
          <w:tcPr>
            <w:tcW w:w="1687" w:type="dxa"/>
          </w:tcPr>
          <w:p w14:paraId="590419AA" w14:textId="77777777" w:rsidR="00250AC8" w:rsidRPr="00EC250C" w:rsidRDefault="00250AC8" w:rsidP="00D131FA">
            <w:pPr>
              <w:pStyle w:val="Tabela"/>
              <w:jc w:val="both"/>
            </w:pPr>
            <w:r w:rsidRPr="00EC250C">
              <w:t>05–06.2018</w:t>
            </w:r>
            <w:r w:rsidR="00C91F6E" w:rsidRPr="00EC250C">
              <w:t> r.</w:t>
            </w:r>
          </w:p>
        </w:tc>
      </w:tr>
      <w:tr w:rsidR="00250AC8" w:rsidRPr="00EC250C" w14:paraId="18B2A6EF" w14:textId="77777777" w:rsidTr="00FC47F2">
        <w:trPr>
          <w:tblCellSpacing w:w="20" w:type="dxa"/>
        </w:trPr>
        <w:tc>
          <w:tcPr>
            <w:tcW w:w="516" w:type="dxa"/>
          </w:tcPr>
          <w:p w14:paraId="3B19E99D" w14:textId="77777777" w:rsidR="00250AC8" w:rsidRPr="00EC250C" w:rsidRDefault="00250AC8" w:rsidP="006C70B7">
            <w:pPr>
              <w:pStyle w:val="Tabela"/>
              <w:numPr>
                <w:ilvl w:val="0"/>
                <w:numId w:val="81"/>
              </w:numPr>
              <w:ind w:left="0" w:firstLine="0"/>
              <w:jc w:val="both"/>
            </w:pPr>
          </w:p>
        </w:tc>
        <w:tc>
          <w:tcPr>
            <w:tcW w:w="7473" w:type="dxa"/>
          </w:tcPr>
          <w:p w14:paraId="6C240100" w14:textId="77777777" w:rsidR="00250AC8" w:rsidRPr="00EC250C" w:rsidRDefault="00250AC8" w:rsidP="00D131FA">
            <w:pPr>
              <w:pStyle w:val="Tabela"/>
              <w:jc w:val="both"/>
              <w:rPr>
                <w:shd w:val="clear" w:color="auto" w:fill="FFFEFE"/>
              </w:rPr>
            </w:pPr>
            <w:r w:rsidRPr="00EC250C">
              <w:rPr>
                <w:shd w:val="clear" w:color="auto" w:fill="FFFEFE"/>
              </w:rPr>
              <w:t>Seminarium na temat zasady praworządności zorganizowane przez Centre for European Reform, Bingham Centre</w:t>
            </w:r>
            <w:r w:rsidR="00992FD0" w:rsidRPr="00EC250C">
              <w:rPr>
                <w:shd w:val="clear" w:color="auto" w:fill="FFFEFE"/>
              </w:rPr>
              <w:t xml:space="preserve"> i </w:t>
            </w:r>
            <w:r w:rsidRPr="00EC250C">
              <w:rPr>
                <w:shd w:val="clear" w:color="auto" w:fill="FFFEFE"/>
              </w:rPr>
              <w:t>Middlesex University London. Bruksela, Belgia.</w:t>
            </w:r>
          </w:p>
        </w:tc>
        <w:tc>
          <w:tcPr>
            <w:tcW w:w="1687" w:type="dxa"/>
          </w:tcPr>
          <w:p w14:paraId="3C475C74" w14:textId="77777777" w:rsidR="00250AC8" w:rsidRPr="00EC250C" w:rsidRDefault="00250AC8" w:rsidP="00D131FA">
            <w:pPr>
              <w:pStyle w:val="Tabela"/>
              <w:jc w:val="both"/>
            </w:pPr>
            <w:r w:rsidRPr="00EC250C">
              <w:t>06.06.2018</w:t>
            </w:r>
            <w:r w:rsidR="00C91F6E" w:rsidRPr="00EC250C">
              <w:t> r.</w:t>
            </w:r>
          </w:p>
        </w:tc>
      </w:tr>
      <w:tr w:rsidR="00250AC8" w:rsidRPr="00EC250C" w14:paraId="53D9A873" w14:textId="77777777" w:rsidTr="00FC47F2">
        <w:trPr>
          <w:tblCellSpacing w:w="20" w:type="dxa"/>
        </w:trPr>
        <w:tc>
          <w:tcPr>
            <w:tcW w:w="516" w:type="dxa"/>
          </w:tcPr>
          <w:p w14:paraId="18BADBAB" w14:textId="77777777" w:rsidR="00250AC8" w:rsidRPr="00EC250C" w:rsidRDefault="00250AC8" w:rsidP="006C70B7">
            <w:pPr>
              <w:pStyle w:val="Tabela"/>
              <w:numPr>
                <w:ilvl w:val="0"/>
                <w:numId w:val="81"/>
              </w:numPr>
              <w:ind w:left="0" w:firstLine="0"/>
              <w:jc w:val="both"/>
            </w:pPr>
          </w:p>
        </w:tc>
        <w:tc>
          <w:tcPr>
            <w:tcW w:w="7473" w:type="dxa"/>
          </w:tcPr>
          <w:p w14:paraId="5389F57A" w14:textId="77777777" w:rsidR="00250AC8" w:rsidRPr="00EC250C" w:rsidRDefault="00250AC8" w:rsidP="00D131FA">
            <w:pPr>
              <w:pStyle w:val="Tabela"/>
              <w:jc w:val="both"/>
              <w:rPr>
                <w:shd w:val="clear" w:color="auto" w:fill="FFFEFE"/>
              </w:rPr>
            </w:pPr>
            <w:r w:rsidRPr="00EC250C">
              <w:rPr>
                <w:shd w:val="clear" w:color="auto" w:fill="FFFEFE"/>
              </w:rPr>
              <w:t>Uroczystość wręczenia nagrody</w:t>
            </w:r>
            <w:r w:rsidR="00992FD0" w:rsidRPr="00EC250C">
              <w:rPr>
                <w:shd w:val="clear" w:color="auto" w:fill="FFFEFE"/>
              </w:rPr>
              <w:t xml:space="preserve"> w </w:t>
            </w:r>
            <w:r w:rsidRPr="00EC250C">
              <w:rPr>
                <w:shd w:val="clear" w:color="auto" w:fill="FFFEFE"/>
              </w:rPr>
              <w:t>polsko-niemieckim konkursie dziennikarskim im. Tadeusza Mazowieckiego podczas XI Polsko-Niemieckich Dni Mediów. Stralsund, Niemcy.</w:t>
            </w:r>
          </w:p>
        </w:tc>
        <w:tc>
          <w:tcPr>
            <w:tcW w:w="1687" w:type="dxa"/>
          </w:tcPr>
          <w:p w14:paraId="6E9B38A9" w14:textId="77777777" w:rsidR="00250AC8" w:rsidRPr="00EC250C" w:rsidRDefault="00250AC8" w:rsidP="00D131FA">
            <w:pPr>
              <w:pStyle w:val="Tabela"/>
              <w:jc w:val="both"/>
            </w:pPr>
            <w:r w:rsidRPr="00EC250C">
              <w:t>06–07.06.2018</w:t>
            </w:r>
            <w:r w:rsidR="00C91F6E" w:rsidRPr="00EC250C">
              <w:t> r.</w:t>
            </w:r>
          </w:p>
        </w:tc>
      </w:tr>
      <w:tr w:rsidR="00250AC8" w:rsidRPr="00EC250C" w14:paraId="2D9CF050" w14:textId="77777777" w:rsidTr="00FC47F2">
        <w:trPr>
          <w:tblCellSpacing w:w="20" w:type="dxa"/>
        </w:trPr>
        <w:tc>
          <w:tcPr>
            <w:tcW w:w="516" w:type="dxa"/>
          </w:tcPr>
          <w:p w14:paraId="602023C2" w14:textId="77777777" w:rsidR="00250AC8" w:rsidRPr="00EC250C" w:rsidRDefault="00250AC8" w:rsidP="006C70B7">
            <w:pPr>
              <w:pStyle w:val="Tabela"/>
              <w:numPr>
                <w:ilvl w:val="0"/>
                <w:numId w:val="81"/>
              </w:numPr>
              <w:ind w:left="0" w:firstLine="0"/>
              <w:jc w:val="both"/>
            </w:pPr>
          </w:p>
        </w:tc>
        <w:tc>
          <w:tcPr>
            <w:tcW w:w="7473" w:type="dxa"/>
          </w:tcPr>
          <w:p w14:paraId="4C08BD77" w14:textId="77777777" w:rsidR="00250AC8" w:rsidRPr="00EC250C" w:rsidRDefault="00250AC8" w:rsidP="00D131FA">
            <w:pPr>
              <w:pStyle w:val="Tabela"/>
              <w:jc w:val="both"/>
              <w:rPr>
                <w:lang w:val="en-US"/>
              </w:rPr>
            </w:pPr>
            <w:r w:rsidRPr="00EC250C">
              <w:rPr>
                <w:shd w:val="clear" w:color="auto" w:fill="FFFEFE"/>
              </w:rPr>
              <w:t xml:space="preserve">Spotkanie </w:t>
            </w:r>
            <w:r w:rsidR="003C397F" w:rsidRPr="00EC250C">
              <w:rPr>
                <w:shd w:val="clear" w:color="auto" w:fill="FFFEFE"/>
              </w:rPr>
              <w:t>rzecznika praw obywatelskich</w:t>
            </w:r>
            <w:r w:rsidRPr="00EC250C">
              <w:rPr>
                <w:shd w:val="clear" w:color="auto" w:fill="FFFEFE"/>
              </w:rPr>
              <w:t xml:space="preserve"> Adama Bodnara nt. </w:t>
            </w:r>
            <w:r w:rsidRPr="00EC250C">
              <w:rPr>
                <w:shd w:val="clear" w:color="auto" w:fill="FFFEFE"/>
                <w:lang w:val="en-US"/>
              </w:rPr>
              <w:t>„</w:t>
            </w:r>
            <w:r w:rsidRPr="00EC250C">
              <w:rPr>
                <w:lang w:val="en-US"/>
              </w:rPr>
              <w:t xml:space="preserve">The Erosion of Democracy in Europe? Human Rights and Rule of Law Challenges in Poland and </w:t>
            </w:r>
            <w:r w:rsidRPr="00EC250C">
              <w:rPr>
                <w:lang w:val="en-US"/>
              </w:rPr>
              <w:lastRenderedPageBreak/>
              <w:t>Hungary”</w:t>
            </w:r>
            <w:r w:rsidRPr="00EC250C">
              <w:rPr>
                <w:shd w:val="clear" w:color="auto" w:fill="FFFEFE"/>
                <w:lang w:val="en-US"/>
              </w:rPr>
              <w:t xml:space="preserve"> zorganizowane przez Biuro Wysokiego Komisarza Praw Człowieka ONZ. Bruksela, Belgia.</w:t>
            </w:r>
          </w:p>
        </w:tc>
        <w:tc>
          <w:tcPr>
            <w:tcW w:w="1687" w:type="dxa"/>
          </w:tcPr>
          <w:p w14:paraId="06595EF7" w14:textId="77777777" w:rsidR="00250AC8" w:rsidRPr="00EC250C" w:rsidRDefault="00250AC8" w:rsidP="00D131FA">
            <w:pPr>
              <w:pStyle w:val="Tabela"/>
              <w:jc w:val="both"/>
            </w:pPr>
            <w:r w:rsidRPr="00EC250C">
              <w:lastRenderedPageBreak/>
              <w:t>11.06.2018</w:t>
            </w:r>
            <w:r w:rsidR="00C91F6E" w:rsidRPr="00EC250C">
              <w:t> r.</w:t>
            </w:r>
          </w:p>
        </w:tc>
      </w:tr>
      <w:tr w:rsidR="00250AC8" w:rsidRPr="00EC250C" w14:paraId="4DBBC110" w14:textId="77777777" w:rsidTr="00FC47F2">
        <w:trPr>
          <w:tblCellSpacing w:w="20" w:type="dxa"/>
        </w:trPr>
        <w:tc>
          <w:tcPr>
            <w:tcW w:w="516" w:type="dxa"/>
          </w:tcPr>
          <w:p w14:paraId="78BC0AF2" w14:textId="77777777" w:rsidR="00250AC8" w:rsidRPr="00EC250C" w:rsidRDefault="00250AC8" w:rsidP="006C70B7">
            <w:pPr>
              <w:pStyle w:val="Tabela"/>
              <w:numPr>
                <w:ilvl w:val="0"/>
                <w:numId w:val="81"/>
              </w:numPr>
              <w:ind w:left="0" w:firstLine="0"/>
              <w:jc w:val="both"/>
            </w:pPr>
          </w:p>
        </w:tc>
        <w:tc>
          <w:tcPr>
            <w:tcW w:w="7473" w:type="dxa"/>
          </w:tcPr>
          <w:p w14:paraId="60FCD69B" w14:textId="77777777" w:rsidR="00250AC8" w:rsidRPr="00EC250C" w:rsidRDefault="00250AC8" w:rsidP="00D131FA">
            <w:pPr>
              <w:pStyle w:val="Tabela"/>
              <w:jc w:val="both"/>
              <w:rPr>
                <w:shd w:val="clear" w:color="auto" w:fill="FFFEFE"/>
              </w:rPr>
            </w:pPr>
            <w:r w:rsidRPr="00EC250C">
              <w:rPr>
                <w:shd w:val="clear" w:color="auto" w:fill="FFFEFE"/>
              </w:rPr>
              <w:t>Wizyta studyjna zorganizowana przez Przedstawicielstwo Komisji Europejskiej</w:t>
            </w:r>
            <w:r w:rsidR="00992FD0" w:rsidRPr="00EC250C">
              <w:rPr>
                <w:shd w:val="clear" w:color="auto" w:fill="FFFEFE"/>
              </w:rPr>
              <w:t xml:space="preserve"> w </w:t>
            </w:r>
            <w:r w:rsidRPr="00EC250C">
              <w:rPr>
                <w:shd w:val="clear" w:color="auto" w:fill="FFFEFE"/>
              </w:rPr>
              <w:t>Polsce dla przedstawicieli</w:t>
            </w:r>
            <w:r w:rsidR="00992FD0" w:rsidRPr="00EC250C">
              <w:rPr>
                <w:shd w:val="clear" w:color="auto" w:fill="FFFEFE"/>
              </w:rPr>
              <w:t xml:space="preserve"> i </w:t>
            </w:r>
            <w:r w:rsidRPr="00EC250C">
              <w:rPr>
                <w:shd w:val="clear" w:color="auto" w:fill="FFFEFE"/>
              </w:rPr>
              <w:t>przedstawicielek organizacji działających</w:t>
            </w:r>
            <w:r w:rsidR="00992FD0" w:rsidRPr="00EC250C">
              <w:rPr>
                <w:shd w:val="clear" w:color="auto" w:fill="FFFEFE"/>
              </w:rPr>
              <w:t xml:space="preserve"> w </w:t>
            </w:r>
            <w:r w:rsidRPr="00EC250C">
              <w:rPr>
                <w:shd w:val="clear" w:color="auto" w:fill="FFFEFE"/>
              </w:rPr>
              <w:t>obszarze praw człowieka, niedyskryminacji</w:t>
            </w:r>
            <w:r w:rsidR="00992FD0" w:rsidRPr="00EC250C">
              <w:rPr>
                <w:shd w:val="clear" w:color="auto" w:fill="FFFEFE"/>
              </w:rPr>
              <w:t xml:space="preserve"> i </w:t>
            </w:r>
            <w:r w:rsidRPr="00EC250C">
              <w:rPr>
                <w:shd w:val="clear" w:color="auto" w:fill="FFFEFE"/>
              </w:rPr>
              <w:t>migracji. Bruksela, Belgia.</w:t>
            </w:r>
          </w:p>
        </w:tc>
        <w:tc>
          <w:tcPr>
            <w:tcW w:w="1687" w:type="dxa"/>
          </w:tcPr>
          <w:p w14:paraId="5EC1D957" w14:textId="77777777" w:rsidR="00250AC8" w:rsidRPr="00EC250C" w:rsidRDefault="00250AC8" w:rsidP="00D131FA">
            <w:pPr>
              <w:pStyle w:val="Tabela"/>
              <w:jc w:val="both"/>
            </w:pPr>
            <w:r w:rsidRPr="00EC250C">
              <w:t>11–13.06.2018</w:t>
            </w:r>
            <w:r w:rsidR="00C91F6E" w:rsidRPr="00EC250C">
              <w:t> r.</w:t>
            </w:r>
          </w:p>
        </w:tc>
      </w:tr>
      <w:tr w:rsidR="00250AC8" w:rsidRPr="00EC250C" w14:paraId="0F4C8135" w14:textId="77777777" w:rsidTr="00FC47F2">
        <w:trPr>
          <w:tblCellSpacing w:w="20" w:type="dxa"/>
        </w:trPr>
        <w:tc>
          <w:tcPr>
            <w:tcW w:w="516" w:type="dxa"/>
          </w:tcPr>
          <w:p w14:paraId="36EA5037" w14:textId="77777777" w:rsidR="00250AC8" w:rsidRPr="00EC250C" w:rsidRDefault="00250AC8" w:rsidP="006C70B7">
            <w:pPr>
              <w:pStyle w:val="Tabela"/>
              <w:numPr>
                <w:ilvl w:val="0"/>
                <w:numId w:val="81"/>
              </w:numPr>
              <w:ind w:left="0" w:firstLine="0"/>
              <w:jc w:val="both"/>
            </w:pPr>
          </w:p>
        </w:tc>
        <w:tc>
          <w:tcPr>
            <w:tcW w:w="7473" w:type="dxa"/>
          </w:tcPr>
          <w:p w14:paraId="561419CF" w14:textId="77777777" w:rsidR="00250AC8" w:rsidRPr="00EC250C" w:rsidRDefault="00250AC8" w:rsidP="00D131FA">
            <w:pPr>
              <w:pStyle w:val="Tabela"/>
              <w:jc w:val="both"/>
              <w:rPr>
                <w:shd w:val="clear" w:color="auto" w:fill="FFFEFE"/>
              </w:rPr>
            </w:pPr>
            <w:r w:rsidRPr="00EC250C">
              <w:rPr>
                <w:shd w:val="clear" w:color="auto" w:fill="FFFEFE"/>
              </w:rPr>
              <w:t xml:space="preserve">Udział </w:t>
            </w:r>
            <w:r w:rsidR="003C397F" w:rsidRPr="00EC250C">
              <w:rPr>
                <w:shd w:val="clear" w:color="auto" w:fill="FFFEFE"/>
              </w:rPr>
              <w:t>zastępczyni</w:t>
            </w:r>
            <w:r w:rsidRPr="00EC250C">
              <w:rPr>
                <w:shd w:val="clear" w:color="auto" w:fill="FFFEFE"/>
              </w:rPr>
              <w:t xml:space="preserve"> RPO Sylwii Spurek</w:t>
            </w:r>
            <w:r w:rsidR="00992FD0" w:rsidRPr="00EC250C">
              <w:rPr>
                <w:shd w:val="clear" w:color="auto" w:fill="FFFEFE"/>
              </w:rPr>
              <w:t xml:space="preserve"> w </w:t>
            </w:r>
            <w:r w:rsidRPr="00EC250C">
              <w:t>obradach jury Advocate Europe. Oberhausen, Niemcy.</w:t>
            </w:r>
          </w:p>
        </w:tc>
        <w:tc>
          <w:tcPr>
            <w:tcW w:w="1687" w:type="dxa"/>
          </w:tcPr>
          <w:p w14:paraId="5C2EED25" w14:textId="77777777" w:rsidR="00250AC8" w:rsidRPr="00EC250C" w:rsidRDefault="00250AC8" w:rsidP="00D131FA">
            <w:pPr>
              <w:pStyle w:val="Tabela"/>
              <w:jc w:val="both"/>
            </w:pPr>
            <w:r w:rsidRPr="00EC250C">
              <w:t>12.06.2018</w:t>
            </w:r>
            <w:r w:rsidR="00C91F6E" w:rsidRPr="00EC250C">
              <w:t> r.</w:t>
            </w:r>
          </w:p>
        </w:tc>
      </w:tr>
      <w:tr w:rsidR="00250AC8" w:rsidRPr="00EC250C" w14:paraId="14172EDF" w14:textId="77777777" w:rsidTr="00FC47F2">
        <w:trPr>
          <w:tblCellSpacing w:w="20" w:type="dxa"/>
        </w:trPr>
        <w:tc>
          <w:tcPr>
            <w:tcW w:w="516" w:type="dxa"/>
          </w:tcPr>
          <w:p w14:paraId="05057CCA" w14:textId="77777777" w:rsidR="00250AC8" w:rsidRPr="00EC250C" w:rsidRDefault="00250AC8" w:rsidP="006C70B7">
            <w:pPr>
              <w:pStyle w:val="Tabela"/>
              <w:numPr>
                <w:ilvl w:val="0"/>
                <w:numId w:val="81"/>
              </w:numPr>
              <w:ind w:left="0" w:firstLine="0"/>
              <w:jc w:val="both"/>
            </w:pPr>
          </w:p>
        </w:tc>
        <w:tc>
          <w:tcPr>
            <w:tcW w:w="7473" w:type="dxa"/>
          </w:tcPr>
          <w:p w14:paraId="3E90FD24" w14:textId="77777777" w:rsidR="00250AC8" w:rsidRPr="00EC250C" w:rsidRDefault="00250AC8" w:rsidP="00D131FA">
            <w:pPr>
              <w:pStyle w:val="Tabela"/>
              <w:jc w:val="both"/>
              <w:rPr>
                <w:shd w:val="clear" w:color="auto" w:fill="FFFEFE"/>
              </w:rPr>
            </w:pPr>
            <w:r w:rsidRPr="00EC250C">
              <w:rPr>
                <w:shd w:val="clear" w:color="auto" w:fill="FFFEFE"/>
              </w:rPr>
              <w:t xml:space="preserve">Udział </w:t>
            </w:r>
            <w:r w:rsidR="003C397F" w:rsidRPr="00EC250C">
              <w:rPr>
                <w:shd w:val="clear" w:color="auto" w:fill="FFFEFE"/>
              </w:rPr>
              <w:t>zastępczyni</w:t>
            </w:r>
            <w:r w:rsidRPr="00EC250C">
              <w:rPr>
                <w:shd w:val="clear" w:color="auto" w:fill="FFFEFE"/>
              </w:rPr>
              <w:t xml:space="preserve"> RPO Sylwii Spurek</w:t>
            </w:r>
            <w:r w:rsidR="00992FD0" w:rsidRPr="00EC250C">
              <w:rPr>
                <w:shd w:val="clear" w:color="auto" w:fill="FFFEFE"/>
              </w:rPr>
              <w:t xml:space="preserve"> w </w:t>
            </w:r>
            <w:r w:rsidRPr="00EC250C">
              <w:t>posiedzeniu Zarządu EQUINET. Bruksela, Belgia.</w:t>
            </w:r>
          </w:p>
        </w:tc>
        <w:tc>
          <w:tcPr>
            <w:tcW w:w="1687" w:type="dxa"/>
          </w:tcPr>
          <w:p w14:paraId="5B4C2AEA" w14:textId="77777777" w:rsidR="00250AC8" w:rsidRPr="00EC250C" w:rsidRDefault="00250AC8" w:rsidP="00D131FA">
            <w:pPr>
              <w:pStyle w:val="Tabela"/>
              <w:jc w:val="both"/>
            </w:pPr>
            <w:r w:rsidRPr="00EC250C">
              <w:t>13.06.2018</w:t>
            </w:r>
            <w:r w:rsidR="00C91F6E" w:rsidRPr="00EC250C">
              <w:t> r.</w:t>
            </w:r>
          </w:p>
        </w:tc>
      </w:tr>
      <w:tr w:rsidR="00250AC8" w:rsidRPr="00EC250C" w14:paraId="6CE1F1D2" w14:textId="77777777" w:rsidTr="00FC47F2">
        <w:trPr>
          <w:tblCellSpacing w:w="20" w:type="dxa"/>
        </w:trPr>
        <w:tc>
          <w:tcPr>
            <w:tcW w:w="516" w:type="dxa"/>
          </w:tcPr>
          <w:p w14:paraId="586DEF03" w14:textId="77777777" w:rsidR="00250AC8" w:rsidRPr="00EC250C" w:rsidRDefault="00250AC8" w:rsidP="006C70B7">
            <w:pPr>
              <w:pStyle w:val="Tabela"/>
              <w:numPr>
                <w:ilvl w:val="0"/>
                <w:numId w:val="81"/>
              </w:numPr>
              <w:ind w:left="0" w:firstLine="0"/>
              <w:jc w:val="both"/>
            </w:pPr>
          </w:p>
        </w:tc>
        <w:tc>
          <w:tcPr>
            <w:tcW w:w="7473" w:type="dxa"/>
          </w:tcPr>
          <w:p w14:paraId="0C77234E" w14:textId="77777777" w:rsidR="00250AC8" w:rsidRPr="00EC250C" w:rsidRDefault="00250AC8" w:rsidP="00D131FA">
            <w:pPr>
              <w:pStyle w:val="Tabela"/>
              <w:jc w:val="both"/>
              <w:rPr>
                <w:shd w:val="clear" w:color="auto" w:fill="FFFEFE"/>
              </w:rPr>
            </w:pPr>
            <w:r w:rsidRPr="00EC250C">
              <w:rPr>
                <w:shd w:val="clear" w:color="auto" w:fill="FFFEFE"/>
              </w:rPr>
              <w:t>Warsztaty dot. ochrony danych osobowych</w:t>
            </w:r>
            <w:r w:rsidR="00992FD0" w:rsidRPr="00EC250C">
              <w:rPr>
                <w:shd w:val="clear" w:color="auto" w:fill="FFFEFE"/>
              </w:rPr>
              <w:t xml:space="preserve"> w </w:t>
            </w:r>
            <w:r w:rsidRPr="00EC250C">
              <w:rPr>
                <w:shd w:val="clear" w:color="auto" w:fill="FFFEFE"/>
              </w:rPr>
              <w:t>obszarze zwalczania przestępczości, zorganizowane przez Europejską Akademię Prawa (Europäische Rechtsakademie). Ryga, Łotwa.</w:t>
            </w:r>
          </w:p>
        </w:tc>
        <w:tc>
          <w:tcPr>
            <w:tcW w:w="1687" w:type="dxa"/>
          </w:tcPr>
          <w:p w14:paraId="51921950" w14:textId="77777777" w:rsidR="00250AC8" w:rsidRPr="00EC250C" w:rsidRDefault="00250AC8" w:rsidP="00D131FA">
            <w:pPr>
              <w:pStyle w:val="Tabela"/>
              <w:jc w:val="both"/>
            </w:pPr>
            <w:r w:rsidRPr="00EC250C">
              <w:t>13–14.06.2018</w:t>
            </w:r>
            <w:r w:rsidR="00C91F6E" w:rsidRPr="00EC250C">
              <w:t> r.</w:t>
            </w:r>
          </w:p>
        </w:tc>
      </w:tr>
      <w:tr w:rsidR="00250AC8" w:rsidRPr="00EC250C" w14:paraId="7CF8B753" w14:textId="77777777" w:rsidTr="00FC47F2">
        <w:trPr>
          <w:tblCellSpacing w:w="20" w:type="dxa"/>
        </w:trPr>
        <w:tc>
          <w:tcPr>
            <w:tcW w:w="516" w:type="dxa"/>
          </w:tcPr>
          <w:p w14:paraId="3306E460" w14:textId="77777777" w:rsidR="00250AC8" w:rsidRPr="00EC250C" w:rsidRDefault="00250AC8" w:rsidP="006C70B7">
            <w:pPr>
              <w:pStyle w:val="Tabela"/>
              <w:numPr>
                <w:ilvl w:val="0"/>
                <w:numId w:val="81"/>
              </w:numPr>
              <w:ind w:left="0" w:firstLine="0"/>
              <w:jc w:val="both"/>
            </w:pPr>
          </w:p>
        </w:tc>
        <w:tc>
          <w:tcPr>
            <w:tcW w:w="7473" w:type="dxa"/>
          </w:tcPr>
          <w:p w14:paraId="2A73FDAF" w14:textId="77777777" w:rsidR="00250AC8" w:rsidRPr="00EC250C" w:rsidRDefault="00250AC8" w:rsidP="00D131FA">
            <w:pPr>
              <w:pStyle w:val="Tabela"/>
              <w:jc w:val="both"/>
              <w:rPr>
                <w:shd w:val="clear" w:color="auto" w:fill="FFFEFE"/>
              </w:rPr>
            </w:pPr>
            <w:r w:rsidRPr="00EC250C">
              <w:rPr>
                <w:shd w:val="clear" w:color="auto" w:fill="FFFEFE"/>
              </w:rPr>
              <w:t>Spotkanie grupy roboczej EQUINET ds. badań społecznych – „Equinet Cluster on Research &amp; Data Collection”. Bruksela, Belgia.</w:t>
            </w:r>
          </w:p>
        </w:tc>
        <w:tc>
          <w:tcPr>
            <w:tcW w:w="1687" w:type="dxa"/>
          </w:tcPr>
          <w:p w14:paraId="3ED7EF00" w14:textId="77777777" w:rsidR="00250AC8" w:rsidRPr="00EC250C" w:rsidRDefault="00250AC8" w:rsidP="00D131FA">
            <w:pPr>
              <w:pStyle w:val="Tabela"/>
              <w:jc w:val="both"/>
            </w:pPr>
            <w:r w:rsidRPr="00EC250C">
              <w:t>14–15.06.2018</w:t>
            </w:r>
            <w:r w:rsidR="00C91F6E" w:rsidRPr="00EC250C">
              <w:t> r.</w:t>
            </w:r>
          </w:p>
        </w:tc>
      </w:tr>
      <w:tr w:rsidR="00250AC8" w:rsidRPr="00EC250C" w14:paraId="5FC9668A" w14:textId="77777777" w:rsidTr="00FC47F2">
        <w:trPr>
          <w:tblCellSpacing w:w="20" w:type="dxa"/>
        </w:trPr>
        <w:tc>
          <w:tcPr>
            <w:tcW w:w="516" w:type="dxa"/>
          </w:tcPr>
          <w:p w14:paraId="6C9DF3AB" w14:textId="77777777" w:rsidR="00250AC8" w:rsidRPr="00EC250C" w:rsidRDefault="00250AC8" w:rsidP="006C70B7">
            <w:pPr>
              <w:pStyle w:val="Tabela"/>
              <w:numPr>
                <w:ilvl w:val="0"/>
                <w:numId w:val="81"/>
              </w:numPr>
              <w:ind w:left="0" w:firstLine="0"/>
              <w:jc w:val="both"/>
            </w:pPr>
          </w:p>
        </w:tc>
        <w:tc>
          <w:tcPr>
            <w:tcW w:w="7473" w:type="dxa"/>
          </w:tcPr>
          <w:p w14:paraId="0299E587" w14:textId="77777777" w:rsidR="00250AC8" w:rsidRPr="00EC250C" w:rsidRDefault="00250AC8" w:rsidP="00D131FA">
            <w:pPr>
              <w:pStyle w:val="Tabela"/>
              <w:jc w:val="both"/>
            </w:pPr>
            <w:r w:rsidRPr="00EC250C">
              <w:rPr>
                <w:shd w:val="clear" w:color="auto" w:fill="FFFEFE"/>
              </w:rPr>
              <w:t xml:space="preserve">Udział </w:t>
            </w:r>
            <w:r w:rsidR="003C397F" w:rsidRPr="00EC250C">
              <w:rPr>
                <w:shd w:val="clear" w:color="auto" w:fill="FFFEFE"/>
              </w:rPr>
              <w:t>zastępczyni</w:t>
            </w:r>
            <w:r w:rsidRPr="00EC250C">
              <w:rPr>
                <w:shd w:val="clear" w:color="auto" w:fill="FFFEFE"/>
              </w:rPr>
              <w:t xml:space="preserve"> RPO Hanny Machińskiej</w:t>
            </w:r>
            <w:r w:rsidR="00992FD0" w:rsidRPr="00EC250C">
              <w:rPr>
                <w:shd w:val="clear" w:color="auto" w:fill="FFFEFE"/>
              </w:rPr>
              <w:t xml:space="preserve"> w </w:t>
            </w:r>
            <w:r w:rsidRPr="00EC250C">
              <w:t>38. sesji Rady Praw Człowieka ONZ</w:t>
            </w:r>
            <w:r w:rsidR="00992FD0" w:rsidRPr="00EC250C">
              <w:t xml:space="preserve"> i </w:t>
            </w:r>
            <w:r w:rsidRPr="00EC250C">
              <w:t>prezentacja stanowiska do raportu Specjalnego Sprawozdawcy ONZ ds. niezależności sędziów</w:t>
            </w:r>
            <w:r w:rsidR="00992FD0" w:rsidRPr="00EC250C">
              <w:t xml:space="preserve"> i </w:t>
            </w:r>
            <w:r w:rsidRPr="00EC250C">
              <w:t>prawników. Genewa, Szwajcaria.</w:t>
            </w:r>
          </w:p>
        </w:tc>
        <w:tc>
          <w:tcPr>
            <w:tcW w:w="1687" w:type="dxa"/>
          </w:tcPr>
          <w:p w14:paraId="65073000" w14:textId="77777777" w:rsidR="00250AC8" w:rsidRPr="00EC250C" w:rsidRDefault="00250AC8" w:rsidP="00D131FA">
            <w:pPr>
              <w:pStyle w:val="Tabela"/>
              <w:jc w:val="both"/>
            </w:pPr>
            <w:r w:rsidRPr="00EC250C">
              <w:t>25.06.2018</w:t>
            </w:r>
            <w:r w:rsidR="00C91F6E" w:rsidRPr="00EC250C">
              <w:t> r.</w:t>
            </w:r>
          </w:p>
        </w:tc>
      </w:tr>
      <w:tr w:rsidR="00250AC8" w:rsidRPr="00EC250C" w14:paraId="7DE57CF2" w14:textId="77777777" w:rsidTr="00FC47F2">
        <w:trPr>
          <w:tblCellSpacing w:w="20" w:type="dxa"/>
        </w:trPr>
        <w:tc>
          <w:tcPr>
            <w:tcW w:w="516" w:type="dxa"/>
          </w:tcPr>
          <w:p w14:paraId="4C6F9440" w14:textId="77777777" w:rsidR="00250AC8" w:rsidRPr="00EC250C" w:rsidRDefault="00250AC8" w:rsidP="006C70B7">
            <w:pPr>
              <w:pStyle w:val="Tabela"/>
              <w:numPr>
                <w:ilvl w:val="0"/>
                <w:numId w:val="81"/>
              </w:numPr>
              <w:ind w:left="0" w:firstLine="0"/>
              <w:jc w:val="both"/>
            </w:pPr>
          </w:p>
        </w:tc>
        <w:tc>
          <w:tcPr>
            <w:tcW w:w="7473" w:type="dxa"/>
          </w:tcPr>
          <w:p w14:paraId="6F97261A" w14:textId="77777777" w:rsidR="00250AC8" w:rsidRPr="00EC250C" w:rsidRDefault="00250AC8" w:rsidP="00D131FA">
            <w:pPr>
              <w:pStyle w:val="Tabela"/>
              <w:jc w:val="both"/>
            </w:pPr>
            <w:r w:rsidRPr="00EC250C">
              <w:t xml:space="preserve">Udział </w:t>
            </w:r>
            <w:r w:rsidR="003C397F" w:rsidRPr="00EC250C">
              <w:t>rzecznika praw obywatelskich</w:t>
            </w:r>
            <w:r w:rsidRPr="00EC250C">
              <w:t xml:space="preserve"> Adama Bodnara</w:t>
            </w:r>
            <w:r w:rsidR="00992FD0" w:rsidRPr="00EC250C">
              <w:t xml:space="preserve"> w </w:t>
            </w:r>
            <w:r w:rsidRPr="00EC250C">
              <w:t xml:space="preserve">konferencji nt. </w:t>
            </w:r>
            <w:r w:rsidRPr="00EC250C">
              <w:rPr>
                <w:lang w:val="en-US"/>
              </w:rPr>
              <w:t>„Reconciling Europe with its Citizens through Democracy and the Rule of Law” zorganizowanej przez Uniwersytet Leuven</w:t>
            </w:r>
            <w:r w:rsidR="00992FD0" w:rsidRPr="00EC250C">
              <w:rPr>
                <w:lang w:val="en-US"/>
              </w:rPr>
              <w:t xml:space="preserve"> w </w:t>
            </w:r>
            <w:r w:rsidRPr="00EC250C">
              <w:rPr>
                <w:lang w:val="en-US"/>
              </w:rPr>
              <w:t xml:space="preserve">ramach projektu RECONNECT. </w:t>
            </w:r>
            <w:r w:rsidRPr="00EC250C">
              <w:t>Bruksela, Belgia.</w:t>
            </w:r>
          </w:p>
        </w:tc>
        <w:tc>
          <w:tcPr>
            <w:tcW w:w="1687" w:type="dxa"/>
          </w:tcPr>
          <w:p w14:paraId="149D9EE5" w14:textId="77777777" w:rsidR="00250AC8" w:rsidRPr="00EC250C" w:rsidRDefault="00250AC8" w:rsidP="00D131FA">
            <w:pPr>
              <w:pStyle w:val="Tabela"/>
              <w:jc w:val="both"/>
            </w:pPr>
            <w:r w:rsidRPr="00EC250C">
              <w:t>04–06.07.2018</w:t>
            </w:r>
            <w:r w:rsidR="00C91F6E" w:rsidRPr="00EC250C">
              <w:t> r.</w:t>
            </w:r>
          </w:p>
        </w:tc>
      </w:tr>
      <w:tr w:rsidR="00250AC8" w:rsidRPr="00EC250C" w14:paraId="17454B1F" w14:textId="77777777" w:rsidTr="00FC47F2">
        <w:trPr>
          <w:tblCellSpacing w:w="20" w:type="dxa"/>
        </w:trPr>
        <w:tc>
          <w:tcPr>
            <w:tcW w:w="516" w:type="dxa"/>
          </w:tcPr>
          <w:p w14:paraId="67F7543C" w14:textId="77777777" w:rsidR="00250AC8" w:rsidRPr="00EC250C" w:rsidRDefault="00250AC8" w:rsidP="006C70B7">
            <w:pPr>
              <w:pStyle w:val="Tabela"/>
              <w:numPr>
                <w:ilvl w:val="0"/>
                <w:numId w:val="81"/>
              </w:numPr>
              <w:ind w:left="0" w:firstLine="0"/>
              <w:jc w:val="both"/>
            </w:pPr>
          </w:p>
        </w:tc>
        <w:tc>
          <w:tcPr>
            <w:tcW w:w="7473" w:type="dxa"/>
          </w:tcPr>
          <w:p w14:paraId="1667799C" w14:textId="77777777" w:rsidR="00250AC8" w:rsidRPr="00EC250C" w:rsidRDefault="00250AC8" w:rsidP="00D131FA">
            <w:pPr>
              <w:pStyle w:val="Tabela"/>
              <w:jc w:val="both"/>
            </w:pPr>
            <w:r w:rsidRPr="00EC250C">
              <w:t>Dziewiąta sesja grupy roboczej OEWGA (Open-ended Working Group on Ageing) pracującej nad przygotowaniem Konwencji</w:t>
            </w:r>
            <w:r w:rsidR="00992FD0" w:rsidRPr="00EC250C">
              <w:t xml:space="preserve"> o </w:t>
            </w:r>
            <w:r w:rsidRPr="00EC250C">
              <w:t>prawach osób starszych. Nowy Jork, USA.</w:t>
            </w:r>
          </w:p>
        </w:tc>
        <w:tc>
          <w:tcPr>
            <w:tcW w:w="1687" w:type="dxa"/>
          </w:tcPr>
          <w:p w14:paraId="1AB11A29" w14:textId="77777777" w:rsidR="00250AC8" w:rsidRPr="00EC250C" w:rsidRDefault="00250AC8" w:rsidP="00D131FA">
            <w:pPr>
              <w:pStyle w:val="Tabela"/>
              <w:jc w:val="both"/>
            </w:pPr>
            <w:r w:rsidRPr="00EC250C">
              <w:t>21–28.07.2018</w:t>
            </w:r>
            <w:r w:rsidR="00C91F6E" w:rsidRPr="00EC250C">
              <w:t> r.</w:t>
            </w:r>
          </w:p>
        </w:tc>
      </w:tr>
      <w:tr w:rsidR="00250AC8" w:rsidRPr="00EC250C" w14:paraId="267AA8F3" w14:textId="77777777" w:rsidTr="00FC47F2">
        <w:trPr>
          <w:tblCellSpacing w:w="20" w:type="dxa"/>
        </w:trPr>
        <w:tc>
          <w:tcPr>
            <w:tcW w:w="516" w:type="dxa"/>
          </w:tcPr>
          <w:p w14:paraId="585FAEE4" w14:textId="77777777" w:rsidR="00250AC8" w:rsidRPr="00EC250C" w:rsidRDefault="00250AC8" w:rsidP="006C70B7">
            <w:pPr>
              <w:pStyle w:val="Tabela"/>
              <w:numPr>
                <w:ilvl w:val="0"/>
                <w:numId w:val="81"/>
              </w:numPr>
              <w:ind w:left="0" w:firstLine="0"/>
              <w:jc w:val="both"/>
            </w:pPr>
          </w:p>
        </w:tc>
        <w:tc>
          <w:tcPr>
            <w:tcW w:w="7473" w:type="dxa"/>
          </w:tcPr>
          <w:p w14:paraId="69C5375E" w14:textId="77777777" w:rsidR="00250AC8" w:rsidRPr="00EC250C" w:rsidRDefault="00250AC8" w:rsidP="00D131FA">
            <w:pPr>
              <w:pStyle w:val="Tabela"/>
              <w:jc w:val="both"/>
            </w:pPr>
            <w:r w:rsidRPr="00EC250C">
              <w:t xml:space="preserve">Udział </w:t>
            </w:r>
            <w:r w:rsidR="003C397F" w:rsidRPr="00EC250C">
              <w:t>rzecznika praw obywatelskich</w:t>
            </w:r>
            <w:r w:rsidRPr="00EC250C">
              <w:t xml:space="preserve"> Adama Bodnara</w:t>
            </w:r>
            <w:r w:rsidR="00992FD0" w:rsidRPr="00EC250C">
              <w:t xml:space="preserve"> w </w:t>
            </w:r>
            <w:r w:rsidRPr="00EC250C">
              <w:t>spotkaniu okrągłego stołu</w:t>
            </w:r>
            <w:r w:rsidR="00992FD0" w:rsidRPr="00EC250C">
              <w:t xml:space="preserve"> w </w:t>
            </w:r>
            <w:r w:rsidRPr="00EC250C">
              <w:t>ramach projektu naukowego Uniwersytetu</w:t>
            </w:r>
            <w:r w:rsidR="00992FD0" w:rsidRPr="00EC250C">
              <w:t xml:space="preserve"> w </w:t>
            </w:r>
            <w:r w:rsidRPr="00EC250C">
              <w:t>Giessen – „Human Rights Challenges to European Migration Policy (REMAP)”. Giessen, Niemcy.</w:t>
            </w:r>
          </w:p>
        </w:tc>
        <w:tc>
          <w:tcPr>
            <w:tcW w:w="1687" w:type="dxa"/>
          </w:tcPr>
          <w:p w14:paraId="4DEA097C" w14:textId="77777777" w:rsidR="00250AC8" w:rsidRPr="00EC250C" w:rsidRDefault="00250AC8" w:rsidP="00D131FA">
            <w:pPr>
              <w:pStyle w:val="Tabela"/>
              <w:jc w:val="both"/>
            </w:pPr>
            <w:r w:rsidRPr="00EC250C">
              <w:t>01–04.09.2018</w:t>
            </w:r>
            <w:r w:rsidR="00C91F6E" w:rsidRPr="00EC250C">
              <w:t> r.</w:t>
            </w:r>
          </w:p>
        </w:tc>
      </w:tr>
      <w:tr w:rsidR="00250AC8" w:rsidRPr="00EC250C" w14:paraId="5706AC26" w14:textId="77777777" w:rsidTr="00FC47F2">
        <w:trPr>
          <w:tblCellSpacing w:w="20" w:type="dxa"/>
        </w:trPr>
        <w:tc>
          <w:tcPr>
            <w:tcW w:w="516" w:type="dxa"/>
          </w:tcPr>
          <w:p w14:paraId="4AB03005" w14:textId="77777777" w:rsidR="00250AC8" w:rsidRPr="00EC250C" w:rsidRDefault="00250AC8" w:rsidP="006C70B7">
            <w:pPr>
              <w:pStyle w:val="Tabela"/>
              <w:numPr>
                <w:ilvl w:val="0"/>
                <w:numId w:val="81"/>
              </w:numPr>
              <w:ind w:left="0" w:firstLine="0"/>
              <w:jc w:val="both"/>
            </w:pPr>
          </w:p>
        </w:tc>
        <w:tc>
          <w:tcPr>
            <w:tcW w:w="7473" w:type="dxa"/>
          </w:tcPr>
          <w:p w14:paraId="642EFD11" w14:textId="77777777" w:rsidR="00250AC8" w:rsidRPr="00EC250C" w:rsidRDefault="00250AC8" w:rsidP="00D131FA">
            <w:pPr>
              <w:pStyle w:val="Tabela"/>
              <w:jc w:val="both"/>
            </w:pPr>
            <w:r w:rsidRPr="00EC250C">
              <w:t xml:space="preserve">Udział </w:t>
            </w:r>
            <w:r w:rsidR="003C397F" w:rsidRPr="00EC250C">
              <w:t>zastępczyni</w:t>
            </w:r>
            <w:r w:rsidRPr="00EC250C">
              <w:t xml:space="preserve"> RPO Sylwii Spurek</w:t>
            </w:r>
            <w:r w:rsidR="00992FD0" w:rsidRPr="00EC250C">
              <w:t xml:space="preserve"> w </w:t>
            </w:r>
            <w:r w:rsidRPr="00EC250C">
              <w:t>20. Sesji Komitetu ONZ ds. Praw Osób</w:t>
            </w:r>
            <w:r w:rsidR="00992FD0" w:rsidRPr="00EC250C">
              <w:t xml:space="preserve"> z </w:t>
            </w:r>
            <w:r w:rsidRPr="00EC250C">
              <w:t>Niepełnosprawnościami. Genewa, Szwajcaria.</w:t>
            </w:r>
          </w:p>
        </w:tc>
        <w:tc>
          <w:tcPr>
            <w:tcW w:w="1687" w:type="dxa"/>
          </w:tcPr>
          <w:p w14:paraId="79AF596D" w14:textId="77777777" w:rsidR="00250AC8" w:rsidRPr="00EC250C" w:rsidRDefault="00250AC8" w:rsidP="00D131FA">
            <w:pPr>
              <w:pStyle w:val="Tabela"/>
              <w:jc w:val="both"/>
            </w:pPr>
            <w:r w:rsidRPr="00EC250C">
              <w:t>04–05.09.2018</w:t>
            </w:r>
            <w:r w:rsidR="00C91F6E" w:rsidRPr="00EC250C">
              <w:t> r.</w:t>
            </w:r>
          </w:p>
        </w:tc>
      </w:tr>
      <w:tr w:rsidR="00250AC8" w:rsidRPr="00EC250C" w14:paraId="4E39AFE8" w14:textId="77777777" w:rsidTr="00FC47F2">
        <w:trPr>
          <w:tblCellSpacing w:w="20" w:type="dxa"/>
        </w:trPr>
        <w:tc>
          <w:tcPr>
            <w:tcW w:w="516" w:type="dxa"/>
          </w:tcPr>
          <w:p w14:paraId="360709E4" w14:textId="77777777" w:rsidR="00250AC8" w:rsidRPr="00EC250C" w:rsidRDefault="00250AC8" w:rsidP="006C70B7">
            <w:pPr>
              <w:pStyle w:val="Tabela"/>
              <w:numPr>
                <w:ilvl w:val="0"/>
                <w:numId w:val="81"/>
              </w:numPr>
              <w:ind w:left="0" w:firstLine="0"/>
              <w:jc w:val="both"/>
            </w:pPr>
          </w:p>
        </w:tc>
        <w:tc>
          <w:tcPr>
            <w:tcW w:w="7473" w:type="dxa"/>
          </w:tcPr>
          <w:p w14:paraId="471352BC" w14:textId="77777777" w:rsidR="00250AC8" w:rsidRPr="00EC250C" w:rsidRDefault="00250AC8" w:rsidP="00D131FA">
            <w:pPr>
              <w:pStyle w:val="Tabela"/>
              <w:jc w:val="both"/>
            </w:pPr>
            <w:r w:rsidRPr="00EC250C">
              <w:t>Seminarium Europejskiej Sieci Ombudsmanów zorganizowane przez Ombudsmana Unii Europejskiej. Belgia.</w:t>
            </w:r>
          </w:p>
        </w:tc>
        <w:tc>
          <w:tcPr>
            <w:tcW w:w="1687" w:type="dxa"/>
          </w:tcPr>
          <w:p w14:paraId="4B59C725" w14:textId="77777777" w:rsidR="00250AC8" w:rsidRPr="00EC250C" w:rsidRDefault="00250AC8" w:rsidP="00D131FA">
            <w:pPr>
              <w:pStyle w:val="Tabela"/>
              <w:jc w:val="both"/>
            </w:pPr>
            <w:r w:rsidRPr="00EC250C">
              <w:t>05–06.09.2018</w:t>
            </w:r>
            <w:r w:rsidR="00C91F6E" w:rsidRPr="00EC250C">
              <w:t> r.</w:t>
            </w:r>
          </w:p>
        </w:tc>
      </w:tr>
      <w:tr w:rsidR="00250AC8" w:rsidRPr="00EC250C" w14:paraId="7F35FCA1" w14:textId="77777777" w:rsidTr="00FC47F2">
        <w:trPr>
          <w:tblCellSpacing w:w="20" w:type="dxa"/>
        </w:trPr>
        <w:tc>
          <w:tcPr>
            <w:tcW w:w="516" w:type="dxa"/>
          </w:tcPr>
          <w:p w14:paraId="161E2C7A" w14:textId="77777777" w:rsidR="00250AC8" w:rsidRPr="00EC250C" w:rsidRDefault="00250AC8" w:rsidP="006C70B7">
            <w:pPr>
              <w:pStyle w:val="Tabela"/>
              <w:numPr>
                <w:ilvl w:val="0"/>
                <w:numId w:val="81"/>
              </w:numPr>
              <w:ind w:left="0" w:firstLine="0"/>
              <w:jc w:val="both"/>
            </w:pPr>
          </w:p>
        </w:tc>
        <w:tc>
          <w:tcPr>
            <w:tcW w:w="7473" w:type="dxa"/>
          </w:tcPr>
          <w:p w14:paraId="1E9D0BF4" w14:textId="77777777" w:rsidR="00250AC8" w:rsidRPr="00EC250C" w:rsidRDefault="00250AC8" w:rsidP="00D131FA">
            <w:pPr>
              <w:pStyle w:val="Tabela"/>
              <w:jc w:val="both"/>
            </w:pPr>
            <w:r w:rsidRPr="00EC250C">
              <w:t xml:space="preserve">Udział </w:t>
            </w:r>
            <w:r w:rsidR="003C397F" w:rsidRPr="00EC250C">
              <w:t>rzecznika praw obywatelskich</w:t>
            </w:r>
            <w:r w:rsidRPr="00EC250C">
              <w:t xml:space="preserve"> Adama Bodnara</w:t>
            </w:r>
            <w:r w:rsidR="00992FD0" w:rsidRPr="00EC250C">
              <w:t xml:space="preserve"> w </w:t>
            </w:r>
            <w:r w:rsidRPr="00EC250C">
              <w:t>spotkaniu ombudsmanów państw Grupy Wyszehradzkiej. Brno, Czechy.</w:t>
            </w:r>
          </w:p>
        </w:tc>
        <w:tc>
          <w:tcPr>
            <w:tcW w:w="1687" w:type="dxa"/>
          </w:tcPr>
          <w:p w14:paraId="09E05BFF" w14:textId="77777777" w:rsidR="00250AC8" w:rsidRPr="00EC250C" w:rsidRDefault="00250AC8" w:rsidP="00D131FA">
            <w:pPr>
              <w:pStyle w:val="Tabela"/>
              <w:jc w:val="both"/>
            </w:pPr>
            <w:r w:rsidRPr="00EC250C">
              <w:t>06–08.09.2018</w:t>
            </w:r>
            <w:r w:rsidR="00C91F6E" w:rsidRPr="00EC250C">
              <w:t> r.</w:t>
            </w:r>
          </w:p>
        </w:tc>
      </w:tr>
      <w:tr w:rsidR="00250AC8" w:rsidRPr="00EC250C" w14:paraId="428D4E9B" w14:textId="77777777" w:rsidTr="00FC47F2">
        <w:trPr>
          <w:tblCellSpacing w:w="20" w:type="dxa"/>
        </w:trPr>
        <w:tc>
          <w:tcPr>
            <w:tcW w:w="516" w:type="dxa"/>
          </w:tcPr>
          <w:p w14:paraId="5529B921" w14:textId="77777777" w:rsidR="00250AC8" w:rsidRPr="00EC250C" w:rsidRDefault="00250AC8" w:rsidP="006C70B7">
            <w:pPr>
              <w:pStyle w:val="Tabela"/>
              <w:numPr>
                <w:ilvl w:val="0"/>
                <w:numId w:val="81"/>
              </w:numPr>
              <w:ind w:left="0" w:firstLine="0"/>
              <w:jc w:val="both"/>
            </w:pPr>
          </w:p>
        </w:tc>
        <w:tc>
          <w:tcPr>
            <w:tcW w:w="7473" w:type="dxa"/>
          </w:tcPr>
          <w:p w14:paraId="3CAFFE94" w14:textId="77777777" w:rsidR="00250AC8" w:rsidRPr="00EC250C" w:rsidRDefault="00250AC8" w:rsidP="00D131FA">
            <w:pPr>
              <w:pStyle w:val="Tabela"/>
              <w:jc w:val="both"/>
            </w:pPr>
            <w:r w:rsidRPr="00EC250C">
              <w:rPr>
                <w:lang w:val="en-US"/>
              </w:rPr>
              <w:t>Warsztaty „Human rights implications of counter-terrorism measures: The role of NHRI”</w:t>
            </w:r>
            <w:r w:rsidR="001C54CC" w:rsidRPr="00EC250C">
              <w:rPr>
                <w:lang w:val="en-US"/>
              </w:rPr>
              <w:t>,</w:t>
            </w:r>
            <w:r w:rsidRPr="00EC250C">
              <w:rPr>
                <w:lang w:val="en-US"/>
              </w:rPr>
              <w:t xml:space="preserve"> zorganizowane przez sieć ENNHRI. </w:t>
            </w:r>
            <w:r w:rsidRPr="00EC250C">
              <w:t>Belfast, Irlandia Północna.</w:t>
            </w:r>
          </w:p>
        </w:tc>
        <w:tc>
          <w:tcPr>
            <w:tcW w:w="1687" w:type="dxa"/>
          </w:tcPr>
          <w:p w14:paraId="46C65A91" w14:textId="77777777" w:rsidR="00250AC8" w:rsidRPr="00EC250C" w:rsidRDefault="00250AC8" w:rsidP="00D131FA">
            <w:pPr>
              <w:pStyle w:val="Tabela"/>
              <w:jc w:val="both"/>
            </w:pPr>
            <w:r w:rsidRPr="00EC250C">
              <w:t>11–13.09.2018</w:t>
            </w:r>
            <w:r w:rsidR="00C91F6E" w:rsidRPr="00EC250C">
              <w:t> r.</w:t>
            </w:r>
          </w:p>
        </w:tc>
      </w:tr>
      <w:tr w:rsidR="00250AC8" w:rsidRPr="00EC250C" w14:paraId="0B64D852" w14:textId="77777777" w:rsidTr="00FC47F2">
        <w:trPr>
          <w:tblCellSpacing w:w="20" w:type="dxa"/>
        </w:trPr>
        <w:tc>
          <w:tcPr>
            <w:tcW w:w="516" w:type="dxa"/>
          </w:tcPr>
          <w:p w14:paraId="420D79A8" w14:textId="77777777" w:rsidR="00250AC8" w:rsidRPr="00EC250C" w:rsidRDefault="00250AC8" w:rsidP="006C70B7">
            <w:pPr>
              <w:pStyle w:val="Tabela"/>
              <w:numPr>
                <w:ilvl w:val="0"/>
                <w:numId w:val="81"/>
              </w:numPr>
              <w:ind w:left="0" w:firstLine="0"/>
              <w:jc w:val="both"/>
            </w:pPr>
          </w:p>
        </w:tc>
        <w:tc>
          <w:tcPr>
            <w:tcW w:w="7473" w:type="dxa"/>
          </w:tcPr>
          <w:p w14:paraId="1A010AB5" w14:textId="77777777" w:rsidR="00250AC8" w:rsidRPr="00EC250C" w:rsidRDefault="00250AC8" w:rsidP="00D131FA">
            <w:pPr>
              <w:pStyle w:val="Tabela"/>
              <w:jc w:val="both"/>
            </w:pPr>
            <w:r w:rsidRPr="00EC250C">
              <w:t>Kongres nt. „2nd Association Exchange Forum” zorganizowany</w:t>
            </w:r>
            <w:r w:rsidR="00992FD0" w:rsidRPr="00EC250C">
              <w:t xml:space="preserve"> w </w:t>
            </w:r>
            <w:r w:rsidRPr="00EC250C">
              <w:t>ramach projektu Civic Synergy, finansowanego przez UE</w:t>
            </w:r>
            <w:r w:rsidR="00992FD0" w:rsidRPr="00EC250C">
              <w:t xml:space="preserve"> i </w:t>
            </w:r>
            <w:r w:rsidRPr="00EC250C">
              <w:t>wdrażanego przez International Renaissance Foundation, we współpracy</w:t>
            </w:r>
            <w:r w:rsidR="00992FD0" w:rsidRPr="00EC250C">
              <w:t xml:space="preserve"> z </w:t>
            </w:r>
            <w:r w:rsidRPr="00EC250C">
              <w:t>litewskim konsultantem ESTEP oraz we współpracy</w:t>
            </w:r>
            <w:r w:rsidR="00992FD0" w:rsidRPr="00EC250C">
              <w:t xml:space="preserve"> z </w:t>
            </w:r>
            <w:r w:rsidRPr="00EC250C">
              <w:t>Rządowym Biurem ds. Koordynacji Integracji Europejskiej</w:t>
            </w:r>
            <w:r w:rsidR="00992FD0" w:rsidRPr="00EC250C">
              <w:t xml:space="preserve"> i </w:t>
            </w:r>
            <w:r w:rsidRPr="00EC250C">
              <w:t>Euroatlantyckiej Ukrainy</w:t>
            </w:r>
            <w:r w:rsidR="00992FD0" w:rsidRPr="00EC250C">
              <w:t xml:space="preserve"> i </w:t>
            </w:r>
            <w:r w:rsidRPr="00EC250C">
              <w:t>Ministerstwa do Spraw Zagranicznych Republiki Litewskiej. Kijów, Ukraina.</w:t>
            </w:r>
          </w:p>
        </w:tc>
        <w:tc>
          <w:tcPr>
            <w:tcW w:w="1687" w:type="dxa"/>
          </w:tcPr>
          <w:p w14:paraId="35049214" w14:textId="77777777" w:rsidR="00250AC8" w:rsidRPr="00EC250C" w:rsidRDefault="00250AC8" w:rsidP="00D131FA">
            <w:pPr>
              <w:pStyle w:val="Tabela"/>
              <w:jc w:val="both"/>
            </w:pPr>
            <w:r w:rsidRPr="00EC250C">
              <w:t>20–22.09.2018</w:t>
            </w:r>
            <w:r w:rsidR="00C91F6E" w:rsidRPr="00EC250C">
              <w:t> r.</w:t>
            </w:r>
          </w:p>
        </w:tc>
      </w:tr>
      <w:tr w:rsidR="00250AC8" w:rsidRPr="00EC250C" w14:paraId="43786F9B" w14:textId="77777777" w:rsidTr="00FC47F2">
        <w:trPr>
          <w:tblCellSpacing w:w="20" w:type="dxa"/>
        </w:trPr>
        <w:tc>
          <w:tcPr>
            <w:tcW w:w="516" w:type="dxa"/>
          </w:tcPr>
          <w:p w14:paraId="36CB671B" w14:textId="77777777" w:rsidR="00250AC8" w:rsidRPr="00EC250C" w:rsidRDefault="00250AC8" w:rsidP="006C70B7">
            <w:pPr>
              <w:pStyle w:val="Tabela"/>
              <w:numPr>
                <w:ilvl w:val="0"/>
                <w:numId w:val="81"/>
              </w:numPr>
              <w:ind w:left="0" w:firstLine="0"/>
              <w:jc w:val="both"/>
            </w:pPr>
          </w:p>
        </w:tc>
        <w:tc>
          <w:tcPr>
            <w:tcW w:w="7473" w:type="dxa"/>
          </w:tcPr>
          <w:p w14:paraId="343F3BD2" w14:textId="77777777" w:rsidR="00250AC8" w:rsidRPr="00EC250C" w:rsidRDefault="00250AC8" w:rsidP="00D131FA">
            <w:pPr>
              <w:pStyle w:val="Tabela"/>
              <w:jc w:val="both"/>
            </w:pPr>
            <w:r w:rsidRPr="00EC250C">
              <w:t>Międzynarodowe sympozjum nt. „Good public administration and benefis for citizens: The role of parliamentary control bodies” zorganizowane przez Najwyższą Izbę Kontroli oraz Urząd Ombudsmanów Austrii oraz konferencja nt. „Fundamental Right Forum” zorganizowana przez Agencję Praw Podstawowych UE. Wiedeń, Austria.</w:t>
            </w:r>
          </w:p>
        </w:tc>
        <w:tc>
          <w:tcPr>
            <w:tcW w:w="1687" w:type="dxa"/>
          </w:tcPr>
          <w:p w14:paraId="78E6A5ED" w14:textId="77777777" w:rsidR="00250AC8" w:rsidRPr="00EC250C" w:rsidRDefault="00250AC8" w:rsidP="00D131FA">
            <w:pPr>
              <w:pStyle w:val="Tabela"/>
              <w:jc w:val="both"/>
            </w:pPr>
            <w:r w:rsidRPr="00EC250C">
              <w:t>24–26.09.2018</w:t>
            </w:r>
            <w:r w:rsidR="00C91F6E" w:rsidRPr="00EC250C">
              <w:t> r.</w:t>
            </w:r>
          </w:p>
        </w:tc>
      </w:tr>
      <w:tr w:rsidR="00250AC8" w:rsidRPr="00EC250C" w14:paraId="40902D76" w14:textId="77777777" w:rsidTr="00FC47F2">
        <w:trPr>
          <w:tblCellSpacing w:w="20" w:type="dxa"/>
        </w:trPr>
        <w:tc>
          <w:tcPr>
            <w:tcW w:w="516" w:type="dxa"/>
          </w:tcPr>
          <w:p w14:paraId="7E5E668B" w14:textId="77777777" w:rsidR="00250AC8" w:rsidRPr="00EC250C" w:rsidRDefault="00250AC8" w:rsidP="006C70B7">
            <w:pPr>
              <w:pStyle w:val="Tabela"/>
              <w:numPr>
                <w:ilvl w:val="0"/>
                <w:numId w:val="81"/>
              </w:numPr>
              <w:ind w:left="0" w:firstLine="0"/>
              <w:jc w:val="both"/>
            </w:pPr>
          </w:p>
        </w:tc>
        <w:tc>
          <w:tcPr>
            <w:tcW w:w="7473" w:type="dxa"/>
          </w:tcPr>
          <w:p w14:paraId="0690EF84" w14:textId="77777777" w:rsidR="00250AC8" w:rsidRPr="00EC250C" w:rsidRDefault="00250AC8" w:rsidP="00D131FA">
            <w:pPr>
              <w:pStyle w:val="Tabela"/>
              <w:jc w:val="both"/>
            </w:pPr>
            <w:r w:rsidRPr="00EC250C">
              <w:rPr>
                <w:lang w:val="en-US"/>
              </w:rPr>
              <w:t xml:space="preserve">Spotkanie Grup Roboczych Stowarzyszenia EQUINET „Violence against Women and Gender Based Violence”. </w:t>
            </w:r>
            <w:r w:rsidRPr="00EC250C">
              <w:t>Berlin, Niemcy.</w:t>
            </w:r>
          </w:p>
        </w:tc>
        <w:tc>
          <w:tcPr>
            <w:tcW w:w="1687" w:type="dxa"/>
          </w:tcPr>
          <w:p w14:paraId="014148BD" w14:textId="77777777" w:rsidR="00250AC8" w:rsidRPr="00EC250C" w:rsidRDefault="00250AC8" w:rsidP="00D131FA">
            <w:pPr>
              <w:pStyle w:val="Tabela"/>
              <w:jc w:val="both"/>
            </w:pPr>
            <w:r w:rsidRPr="00EC250C">
              <w:t>25–27.09.2018</w:t>
            </w:r>
            <w:r w:rsidR="00C91F6E" w:rsidRPr="00EC250C">
              <w:t> r.</w:t>
            </w:r>
          </w:p>
        </w:tc>
      </w:tr>
      <w:tr w:rsidR="00250AC8" w:rsidRPr="00EC250C" w14:paraId="22EAA518" w14:textId="77777777" w:rsidTr="00FC47F2">
        <w:trPr>
          <w:tblCellSpacing w:w="20" w:type="dxa"/>
        </w:trPr>
        <w:tc>
          <w:tcPr>
            <w:tcW w:w="516" w:type="dxa"/>
          </w:tcPr>
          <w:p w14:paraId="762CE78C" w14:textId="77777777" w:rsidR="00250AC8" w:rsidRPr="00EC250C" w:rsidRDefault="00250AC8" w:rsidP="006C70B7">
            <w:pPr>
              <w:pStyle w:val="Tabela"/>
              <w:numPr>
                <w:ilvl w:val="0"/>
                <w:numId w:val="81"/>
              </w:numPr>
              <w:ind w:left="0" w:firstLine="0"/>
              <w:jc w:val="both"/>
            </w:pPr>
          </w:p>
        </w:tc>
        <w:tc>
          <w:tcPr>
            <w:tcW w:w="7473" w:type="dxa"/>
          </w:tcPr>
          <w:p w14:paraId="33BBEFCE" w14:textId="77777777" w:rsidR="00250AC8" w:rsidRPr="00EC250C" w:rsidRDefault="00250AC8" w:rsidP="00D131FA">
            <w:pPr>
              <w:pStyle w:val="Tabela"/>
              <w:jc w:val="both"/>
            </w:pPr>
            <w:r w:rsidRPr="00EC250C">
              <w:t xml:space="preserve">Spotkanie </w:t>
            </w:r>
            <w:r w:rsidR="003C397F" w:rsidRPr="00EC250C">
              <w:t>rzecznika praw obywatelskich</w:t>
            </w:r>
            <w:r w:rsidRPr="00EC250C">
              <w:t xml:space="preserve"> Adama Bodnara</w:t>
            </w:r>
            <w:r w:rsidR="00992FD0" w:rsidRPr="00EC250C">
              <w:t xml:space="preserve"> i </w:t>
            </w:r>
            <w:r w:rsidRPr="00EC250C">
              <w:t>dziesięciorga młodych liderów</w:t>
            </w:r>
            <w:r w:rsidR="00992FD0" w:rsidRPr="00EC250C">
              <w:t xml:space="preserve"> z </w:t>
            </w:r>
            <w:r w:rsidRPr="00EC250C">
              <w:t>Europy</w:t>
            </w:r>
            <w:r w:rsidR="00992FD0" w:rsidRPr="00EC250C">
              <w:t xml:space="preserve"> z </w:t>
            </w:r>
            <w:r w:rsidRPr="00EC250C">
              <w:t>Barackiem Obamą. Amsterdam, Holandia.</w:t>
            </w:r>
          </w:p>
        </w:tc>
        <w:tc>
          <w:tcPr>
            <w:tcW w:w="1687" w:type="dxa"/>
          </w:tcPr>
          <w:p w14:paraId="4BEB74BF" w14:textId="77777777" w:rsidR="00250AC8" w:rsidRPr="00EC250C" w:rsidRDefault="00250AC8" w:rsidP="00D131FA">
            <w:pPr>
              <w:pStyle w:val="Tabela"/>
              <w:jc w:val="both"/>
            </w:pPr>
            <w:r w:rsidRPr="00EC250C">
              <w:t>30.09.2018</w:t>
            </w:r>
            <w:r w:rsidR="00C91F6E" w:rsidRPr="00EC250C">
              <w:t> r.</w:t>
            </w:r>
          </w:p>
        </w:tc>
      </w:tr>
      <w:tr w:rsidR="00250AC8" w:rsidRPr="00EC250C" w14:paraId="735956CB" w14:textId="77777777" w:rsidTr="00FC47F2">
        <w:trPr>
          <w:tblCellSpacing w:w="20" w:type="dxa"/>
        </w:trPr>
        <w:tc>
          <w:tcPr>
            <w:tcW w:w="516" w:type="dxa"/>
          </w:tcPr>
          <w:p w14:paraId="1ECC5E2A" w14:textId="77777777" w:rsidR="00250AC8" w:rsidRPr="00EC250C" w:rsidRDefault="00250AC8" w:rsidP="006C70B7">
            <w:pPr>
              <w:pStyle w:val="Tabela"/>
              <w:numPr>
                <w:ilvl w:val="0"/>
                <w:numId w:val="81"/>
              </w:numPr>
              <w:ind w:left="0" w:firstLine="0"/>
              <w:jc w:val="both"/>
            </w:pPr>
          </w:p>
        </w:tc>
        <w:tc>
          <w:tcPr>
            <w:tcW w:w="7473" w:type="dxa"/>
          </w:tcPr>
          <w:p w14:paraId="21453FEF" w14:textId="77777777" w:rsidR="00250AC8" w:rsidRPr="00EC250C" w:rsidRDefault="00250AC8" w:rsidP="00D131FA">
            <w:pPr>
              <w:pStyle w:val="Tabela"/>
              <w:jc w:val="both"/>
              <w:rPr>
                <w:rStyle w:val="tytul13"/>
                <w:sz w:val="20"/>
                <w:szCs w:val="22"/>
                <w:bdr w:val="none" w:sz="0" w:space="0" w:color="auto"/>
              </w:rPr>
            </w:pPr>
            <w:r w:rsidRPr="00EC250C">
              <w:rPr>
                <w:rStyle w:val="tytul13"/>
                <w:sz w:val="20"/>
                <w:szCs w:val="22"/>
                <w:bdr w:val="none" w:sz="0" w:space="0" w:color="auto"/>
              </w:rPr>
              <w:t xml:space="preserve">Wykład </w:t>
            </w:r>
            <w:r w:rsidR="003C397F" w:rsidRPr="00EC250C">
              <w:rPr>
                <w:rStyle w:val="tytul13"/>
                <w:sz w:val="20"/>
                <w:szCs w:val="22"/>
                <w:bdr w:val="none" w:sz="0" w:space="0" w:color="auto"/>
              </w:rPr>
              <w:t>rzecznika praw obywatelskich</w:t>
            </w:r>
            <w:r w:rsidRPr="00EC250C">
              <w:rPr>
                <w:rStyle w:val="tytul13"/>
                <w:sz w:val="20"/>
                <w:szCs w:val="22"/>
                <w:bdr w:val="none" w:sz="0" w:space="0" w:color="auto"/>
              </w:rPr>
              <w:t xml:space="preserve"> Adama Bodnara</w:t>
            </w:r>
            <w:r w:rsidR="00992FD0" w:rsidRPr="00EC250C">
              <w:rPr>
                <w:rStyle w:val="tytul13"/>
                <w:sz w:val="20"/>
                <w:szCs w:val="22"/>
                <w:bdr w:val="none" w:sz="0" w:space="0" w:color="auto"/>
              </w:rPr>
              <w:t xml:space="preserve"> w </w:t>
            </w:r>
            <w:r w:rsidRPr="00EC250C">
              <w:rPr>
                <w:rStyle w:val="tytul13"/>
                <w:sz w:val="20"/>
                <w:szCs w:val="22"/>
                <w:bdr w:val="none" w:sz="0" w:space="0" w:color="auto"/>
              </w:rPr>
              <w:t>ramach cyklu wykładów zorganizowanych przez „European inter-University Centre for Human Rights and Democratisation (EIUC)” dla wybitnych ekspertów</w:t>
            </w:r>
            <w:r w:rsidR="00992FD0" w:rsidRPr="00EC250C">
              <w:rPr>
                <w:rStyle w:val="tytul13"/>
                <w:sz w:val="20"/>
                <w:szCs w:val="22"/>
                <w:bdr w:val="none" w:sz="0" w:space="0" w:color="auto"/>
              </w:rPr>
              <w:t xml:space="preserve"> i </w:t>
            </w:r>
            <w:r w:rsidRPr="00EC250C">
              <w:rPr>
                <w:rStyle w:val="tytul13"/>
                <w:sz w:val="20"/>
                <w:szCs w:val="22"/>
                <w:bdr w:val="none" w:sz="0" w:space="0" w:color="auto"/>
              </w:rPr>
              <w:t>obrońców praw człowieka. Wenecja, Włochy.</w:t>
            </w:r>
          </w:p>
        </w:tc>
        <w:tc>
          <w:tcPr>
            <w:tcW w:w="1687" w:type="dxa"/>
          </w:tcPr>
          <w:p w14:paraId="78B28305" w14:textId="77777777" w:rsidR="00250AC8" w:rsidRPr="00EC250C" w:rsidRDefault="00250AC8" w:rsidP="00D131FA">
            <w:pPr>
              <w:pStyle w:val="Tabela"/>
              <w:jc w:val="both"/>
            </w:pPr>
            <w:r w:rsidRPr="00EC250C">
              <w:t>01–03.10.2018</w:t>
            </w:r>
            <w:r w:rsidR="00C91F6E" w:rsidRPr="00EC250C">
              <w:t> r.</w:t>
            </w:r>
          </w:p>
        </w:tc>
      </w:tr>
      <w:tr w:rsidR="00250AC8" w:rsidRPr="00EC250C" w14:paraId="73CB4090" w14:textId="77777777" w:rsidTr="00FC47F2">
        <w:trPr>
          <w:tblCellSpacing w:w="20" w:type="dxa"/>
        </w:trPr>
        <w:tc>
          <w:tcPr>
            <w:tcW w:w="516" w:type="dxa"/>
          </w:tcPr>
          <w:p w14:paraId="45638CE0" w14:textId="77777777" w:rsidR="00250AC8" w:rsidRPr="00EC250C" w:rsidRDefault="00250AC8" w:rsidP="006C70B7">
            <w:pPr>
              <w:pStyle w:val="Tabela"/>
              <w:numPr>
                <w:ilvl w:val="0"/>
                <w:numId w:val="81"/>
              </w:numPr>
              <w:ind w:left="0" w:firstLine="0"/>
              <w:jc w:val="both"/>
            </w:pPr>
          </w:p>
        </w:tc>
        <w:tc>
          <w:tcPr>
            <w:tcW w:w="7473" w:type="dxa"/>
          </w:tcPr>
          <w:p w14:paraId="17205335" w14:textId="77777777" w:rsidR="00250AC8" w:rsidRPr="00EC250C" w:rsidRDefault="00250AC8" w:rsidP="00D131FA">
            <w:pPr>
              <w:pStyle w:val="Tabela"/>
              <w:jc w:val="both"/>
              <w:rPr>
                <w:rStyle w:val="tytul13"/>
                <w:sz w:val="20"/>
                <w:szCs w:val="22"/>
                <w:bdr w:val="none" w:sz="0" w:space="0" w:color="auto"/>
              </w:rPr>
            </w:pPr>
            <w:r w:rsidRPr="00EC250C">
              <w:rPr>
                <w:rStyle w:val="tytul13"/>
                <w:sz w:val="20"/>
                <w:szCs w:val="22"/>
                <w:bdr w:val="none" w:sz="0" w:space="0" w:color="auto"/>
                <w:lang w:val="en-US"/>
              </w:rPr>
              <w:t xml:space="preserve">Spotkanie nt. programu krajowych debat bioetycznych („Hearing on Public Debate in the Biomedical Field). </w:t>
            </w:r>
            <w:r w:rsidRPr="00EC250C">
              <w:rPr>
                <w:rStyle w:val="tytul13"/>
                <w:sz w:val="20"/>
                <w:szCs w:val="22"/>
                <w:bdr w:val="none" w:sz="0" w:space="0" w:color="auto"/>
              </w:rPr>
              <w:t>Paryż, Francja.</w:t>
            </w:r>
          </w:p>
        </w:tc>
        <w:tc>
          <w:tcPr>
            <w:tcW w:w="1687" w:type="dxa"/>
          </w:tcPr>
          <w:p w14:paraId="4E24C5F6" w14:textId="77777777" w:rsidR="00250AC8" w:rsidRPr="00EC250C" w:rsidRDefault="00250AC8" w:rsidP="00D131FA">
            <w:pPr>
              <w:pStyle w:val="Tabela"/>
              <w:jc w:val="both"/>
            </w:pPr>
            <w:r w:rsidRPr="00EC250C">
              <w:t>04.10.2018</w:t>
            </w:r>
            <w:r w:rsidR="00C91F6E" w:rsidRPr="00EC250C">
              <w:t> r.</w:t>
            </w:r>
          </w:p>
        </w:tc>
      </w:tr>
      <w:tr w:rsidR="00250AC8" w:rsidRPr="00EC250C" w14:paraId="6861C554" w14:textId="77777777" w:rsidTr="00FC47F2">
        <w:trPr>
          <w:tblCellSpacing w:w="20" w:type="dxa"/>
        </w:trPr>
        <w:tc>
          <w:tcPr>
            <w:tcW w:w="516" w:type="dxa"/>
          </w:tcPr>
          <w:p w14:paraId="5778B81E" w14:textId="77777777" w:rsidR="00250AC8" w:rsidRPr="00EC250C" w:rsidRDefault="00250AC8" w:rsidP="006C70B7">
            <w:pPr>
              <w:pStyle w:val="Tabela"/>
              <w:numPr>
                <w:ilvl w:val="0"/>
                <w:numId w:val="81"/>
              </w:numPr>
              <w:ind w:left="0" w:firstLine="0"/>
              <w:jc w:val="both"/>
            </w:pPr>
          </w:p>
        </w:tc>
        <w:tc>
          <w:tcPr>
            <w:tcW w:w="7473" w:type="dxa"/>
          </w:tcPr>
          <w:p w14:paraId="4D3C2EA4" w14:textId="77777777" w:rsidR="00250AC8" w:rsidRPr="00EC250C" w:rsidRDefault="00250AC8" w:rsidP="00D131FA">
            <w:pPr>
              <w:pStyle w:val="Tabela"/>
              <w:jc w:val="both"/>
              <w:rPr>
                <w:rStyle w:val="tytul13"/>
                <w:sz w:val="20"/>
                <w:szCs w:val="22"/>
                <w:bdr w:val="none" w:sz="0" w:space="0" w:color="auto"/>
              </w:rPr>
            </w:pPr>
            <w:r w:rsidRPr="00EC250C">
              <w:rPr>
                <w:rStyle w:val="tytul13"/>
                <w:sz w:val="20"/>
                <w:szCs w:val="22"/>
                <w:bdr w:val="none" w:sz="0" w:space="0" w:color="auto"/>
              </w:rPr>
              <w:t xml:space="preserve">Udział </w:t>
            </w:r>
            <w:r w:rsidR="003C397F" w:rsidRPr="00EC250C">
              <w:rPr>
                <w:rStyle w:val="tytul13"/>
                <w:sz w:val="20"/>
                <w:szCs w:val="22"/>
                <w:bdr w:val="none" w:sz="0" w:space="0" w:color="auto"/>
              </w:rPr>
              <w:t>zastępczyni</w:t>
            </w:r>
            <w:r w:rsidRPr="00EC250C">
              <w:rPr>
                <w:rStyle w:val="tytul13"/>
                <w:sz w:val="20"/>
                <w:szCs w:val="22"/>
                <w:bdr w:val="none" w:sz="0" w:space="0" w:color="auto"/>
              </w:rPr>
              <w:t xml:space="preserve"> RPO Hanny Machińskiej</w:t>
            </w:r>
            <w:r w:rsidR="00992FD0" w:rsidRPr="00EC250C">
              <w:rPr>
                <w:rStyle w:val="tytul13"/>
                <w:sz w:val="20"/>
                <w:szCs w:val="22"/>
                <w:bdr w:val="none" w:sz="0" w:space="0" w:color="auto"/>
              </w:rPr>
              <w:t xml:space="preserve"> w </w:t>
            </w:r>
            <w:r w:rsidRPr="00EC250C">
              <w:rPr>
                <w:rStyle w:val="tytul13"/>
                <w:sz w:val="20"/>
                <w:szCs w:val="22"/>
                <w:bdr w:val="none" w:sz="0" w:space="0" w:color="auto"/>
              </w:rPr>
              <w:t>wizycie studyjnej przedstawicieli Biura RPO</w:t>
            </w:r>
            <w:r w:rsidR="00992FD0" w:rsidRPr="00EC250C">
              <w:rPr>
                <w:rStyle w:val="tytul13"/>
                <w:sz w:val="20"/>
                <w:szCs w:val="22"/>
                <w:bdr w:val="none" w:sz="0" w:space="0" w:color="auto"/>
              </w:rPr>
              <w:t xml:space="preserve"> w </w:t>
            </w:r>
            <w:r w:rsidRPr="00EC250C">
              <w:rPr>
                <w:rStyle w:val="tytul13"/>
                <w:sz w:val="20"/>
                <w:szCs w:val="22"/>
                <w:bdr w:val="none" w:sz="0" w:space="0" w:color="auto"/>
              </w:rPr>
              <w:t>Rosdorf – saksońskim odpowiedniku polskiego zakładu</w:t>
            </w:r>
            <w:r w:rsidR="00992FD0" w:rsidRPr="00EC250C">
              <w:rPr>
                <w:rStyle w:val="tytul13"/>
                <w:sz w:val="20"/>
                <w:szCs w:val="22"/>
                <w:bdr w:val="none" w:sz="0" w:space="0" w:color="auto"/>
              </w:rPr>
              <w:t xml:space="preserve"> w </w:t>
            </w:r>
            <w:r w:rsidRPr="00EC250C">
              <w:rPr>
                <w:rStyle w:val="tytul13"/>
                <w:sz w:val="20"/>
                <w:szCs w:val="22"/>
                <w:bdr w:val="none" w:sz="0" w:space="0" w:color="auto"/>
              </w:rPr>
              <w:t>Gostyninie. Rosdorf, Niemcy.</w:t>
            </w:r>
          </w:p>
        </w:tc>
        <w:tc>
          <w:tcPr>
            <w:tcW w:w="1687" w:type="dxa"/>
          </w:tcPr>
          <w:p w14:paraId="18D617F5" w14:textId="77777777" w:rsidR="00250AC8" w:rsidRPr="00EC250C" w:rsidRDefault="00250AC8" w:rsidP="00D131FA">
            <w:pPr>
              <w:pStyle w:val="Tabela"/>
              <w:jc w:val="both"/>
            </w:pPr>
            <w:r w:rsidRPr="00EC250C">
              <w:t>07–08.10.2018</w:t>
            </w:r>
            <w:r w:rsidR="00C91F6E" w:rsidRPr="00EC250C">
              <w:t> r.</w:t>
            </w:r>
          </w:p>
        </w:tc>
      </w:tr>
      <w:tr w:rsidR="00250AC8" w:rsidRPr="00EC250C" w14:paraId="16395661" w14:textId="77777777" w:rsidTr="00FC47F2">
        <w:trPr>
          <w:tblCellSpacing w:w="20" w:type="dxa"/>
        </w:trPr>
        <w:tc>
          <w:tcPr>
            <w:tcW w:w="516" w:type="dxa"/>
          </w:tcPr>
          <w:p w14:paraId="09DC119E" w14:textId="77777777" w:rsidR="00250AC8" w:rsidRPr="00EC250C" w:rsidRDefault="00250AC8" w:rsidP="006C70B7">
            <w:pPr>
              <w:pStyle w:val="Tabela"/>
              <w:numPr>
                <w:ilvl w:val="0"/>
                <w:numId w:val="81"/>
              </w:numPr>
              <w:ind w:left="0" w:firstLine="0"/>
              <w:jc w:val="both"/>
            </w:pPr>
          </w:p>
        </w:tc>
        <w:tc>
          <w:tcPr>
            <w:tcW w:w="7473" w:type="dxa"/>
          </w:tcPr>
          <w:p w14:paraId="5A9C95AA" w14:textId="77777777" w:rsidR="00250AC8" w:rsidRPr="00EC250C" w:rsidRDefault="00250AC8" w:rsidP="00D131FA">
            <w:pPr>
              <w:pStyle w:val="Tabela"/>
              <w:jc w:val="both"/>
              <w:rPr>
                <w:rStyle w:val="tytul13"/>
                <w:sz w:val="20"/>
                <w:szCs w:val="22"/>
                <w:bdr w:val="none" w:sz="0" w:space="0" w:color="auto"/>
              </w:rPr>
            </w:pPr>
            <w:r w:rsidRPr="00EC250C">
              <w:rPr>
                <w:rStyle w:val="tytul13"/>
                <w:sz w:val="20"/>
                <w:szCs w:val="22"/>
                <w:bdr w:val="none" w:sz="0" w:space="0" w:color="auto"/>
              </w:rPr>
              <w:t xml:space="preserve">Udział </w:t>
            </w:r>
            <w:r w:rsidR="003C397F" w:rsidRPr="00EC250C">
              <w:rPr>
                <w:rStyle w:val="tytul13"/>
                <w:sz w:val="20"/>
                <w:szCs w:val="22"/>
                <w:bdr w:val="none" w:sz="0" w:space="0" w:color="auto"/>
              </w:rPr>
              <w:t>rzecznika praw obywatelskich</w:t>
            </w:r>
            <w:r w:rsidRPr="00EC250C">
              <w:rPr>
                <w:rStyle w:val="tytul13"/>
                <w:sz w:val="20"/>
                <w:szCs w:val="22"/>
                <w:bdr w:val="none" w:sz="0" w:space="0" w:color="auto"/>
              </w:rPr>
              <w:t xml:space="preserve"> Adama Bodnara</w:t>
            </w:r>
            <w:r w:rsidR="00992FD0" w:rsidRPr="00EC250C">
              <w:rPr>
                <w:rStyle w:val="tytul13"/>
                <w:sz w:val="20"/>
                <w:szCs w:val="22"/>
                <w:bdr w:val="none" w:sz="0" w:space="0" w:color="auto"/>
              </w:rPr>
              <w:t xml:space="preserve"> w </w:t>
            </w:r>
            <w:r w:rsidRPr="00EC250C">
              <w:rPr>
                <w:rStyle w:val="tytul13"/>
                <w:sz w:val="20"/>
                <w:szCs w:val="22"/>
                <w:bdr w:val="none" w:sz="0" w:space="0" w:color="auto"/>
              </w:rPr>
              <w:t>konferencji nt. .„Confronting Illiberalism: The Role of the Media, Civil Society and Universities” oraz</w:t>
            </w:r>
            <w:r w:rsidR="00992FD0" w:rsidRPr="00EC250C">
              <w:rPr>
                <w:rStyle w:val="tytul13"/>
                <w:sz w:val="20"/>
                <w:szCs w:val="22"/>
                <w:bdr w:val="none" w:sz="0" w:space="0" w:color="auto"/>
              </w:rPr>
              <w:t xml:space="preserve"> w </w:t>
            </w:r>
            <w:r w:rsidRPr="00EC250C">
              <w:rPr>
                <w:rStyle w:val="tytul13"/>
                <w:sz w:val="20"/>
                <w:szCs w:val="22"/>
                <w:bdr w:val="none" w:sz="0" w:space="0" w:color="auto"/>
              </w:rPr>
              <w:t>uroczystości uhonorowania Eleanor Roosevelt zorganizowanej</w:t>
            </w:r>
            <w:r w:rsidR="00992FD0" w:rsidRPr="00EC250C">
              <w:rPr>
                <w:rStyle w:val="tytul13"/>
                <w:sz w:val="20"/>
                <w:szCs w:val="22"/>
                <w:bdr w:val="none" w:sz="0" w:space="0" w:color="auto"/>
              </w:rPr>
              <w:t xml:space="preserve"> z </w:t>
            </w:r>
            <w:r w:rsidRPr="00EC250C">
              <w:rPr>
                <w:rStyle w:val="tytul13"/>
                <w:sz w:val="20"/>
                <w:szCs w:val="22"/>
                <w:bdr w:val="none" w:sz="0" w:space="0" w:color="auto"/>
              </w:rPr>
              <w:t>okazji siedemdziesiątej rocznicy uchwalenia Powszechnej Deklaracji Praw Człowieka przez Bonavero Institute of Human Rights Uniwersytetu Oxfordzkiego. Oxford, Anglia.</w:t>
            </w:r>
          </w:p>
        </w:tc>
        <w:tc>
          <w:tcPr>
            <w:tcW w:w="1687" w:type="dxa"/>
          </w:tcPr>
          <w:p w14:paraId="44268E99" w14:textId="77777777" w:rsidR="00250AC8" w:rsidRPr="00EC250C" w:rsidRDefault="00250AC8" w:rsidP="00D131FA">
            <w:pPr>
              <w:pStyle w:val="Tabela"/>
              <w:jc w:val="both"/>
            </w:pPr>
            <w:r w:rsidRPr="00EC250C">
              <w:t>08–09.10.2018</w:t>
            </w:r>
            <w:r w:rsidR="00C91F6E" w:rsidRPr="00EC250C">
              <w:t> r.</w:t>
            </w:r>
          </w:p>
        </w:tc>
      </w:tr>
      <w:tr w:rsidR="00250AC8" w:rsidRPr="00EC250C" w14:paraId="6E30F355" w14:textId="77777777" w:rsidTr="00FC47F2">
        <w:trPr>
          <w:tblCellSpacing w:w="20" w:type="dxa"/>
        </w:trPr>
        <w:tc>
          <w:tcPr>
            <w:tcW w:w="516" w:type="dxa"/>
          </w:tcPr>
          <w:p w14:paraId="30B39610" w14:textId="77777777" w:rsidR="00250AC8" w:rsidRPr="00EC250C" w:rsidRDefault="00250AC8" w:rsidP="006C70B7">
            <w:pPr>
              <w:pStyle w:val="Tabela"/>
              <w:numPr>
                <w:ilvl w:val="0"/>
                <w:numId w:val="81"/>
              </w:numPr>
              <w:ind w:left="0" w:firstLine="0"/>
              <w:jc w:val="both"/>
            </w:pPr>
          </w:p>
        </w:tc>
        <w:tc>
          <w:tcPr>
            <w:tcW w:w="7473" w:type="dxa"/>
          </w:tcPr>
          <w:p w14:paraId="7490C0F2" w14:textId="77777777" w:rsidR="00250AC8" w:rsidRPr="00EC250C" w:rsidRDefault="00250AC8" w:rsidP="00D131FA">
            <w:pPr>
              <w:pStyle w:val="Tabela"/>
              <w:jc w:val="both"/>
              <w:rPr>
                <w:rStyle w:val="tytul13"/>
                <w:sz w:val="20"/>
                <w:szCs w:val="22"/>
                <w:bdr w:val="none" w:sz="0" w:space="0" w:color="auto"/>
              </w:rPr>
            </w:pPr>
            <w:r w:rsidRPr="00EC250C">
              <w:rPr>
                <w:rStyle w:val="tytul13"/>
                <w:sz w:val="20"/>
                <w:szCs w:val="22"/>
                <w:bdr w:val="none" w:sz="0" w:space="0" w:color="auto"/>
              </w:rPr>
              <w:t xml:space="preserve">Udział </w:t>
            </w:r>
            <w:r w:rsidR="003C397F" w:rsidRPr="00EC250C">
              <w:rPr>
                <w:rStyle w:val="tytul13"/>
                <w:sz w:val="20"/>
                <w:szCs w:val="22"/>
                <w:bdr w:val="none" w:sz="0" w:space="0" w:color="auto"/>
              </w:rPr>
              <w:t>zastępczyni</w:t>
            </w:r>
            <w:r w:rsidRPr="00EC250C">
              <w:rPr>
                <w:rStyle w:val="tytul13"/>
                <w:sz w:val="20"/>
                <w:szCs w:val="22"/>
                <w:bdr w:val="none" w:sz="0" w:space="0" w:color="auto"/>
              </w:rPr>
              <w:t xml:space="preserve"> RPO Sylwii Spurek</w:t>
            </w:r>
            <w:r w:rsidR="00992FD0" w:rsidRPr="00EC250C">
              <w:rPr>
                <w:rStyle w:val="tytul13"/>
                <w:sz w:val="20"/>
                <w:szCs w:val="22"/>
                <w:bdr w:val="none" w:sz="0" w:space="0" w:color="auto"/>
              </w:rPr>
              <w:t xml:space="preserve"> w </w:t>
            </w:r>
            <w:r w:rsidRPr="00EC250C">
              <w:rPr>
                <w:rStyle w:val="tytul13"/>
                <w:sz w:val="20"/>
                <w:szCs w:val="22"/>
                <w:bdr w:val="none" w:sz="0" w:space="0" w:color="auto"/>
              </w:rPr>
              <w:t>posiedzeniu Zarządu EQUINET. Bruksela, Belgia.</w:t>
            </w:r>
          </w:p>
        </w:tc>
        <w:tc>
          <w:tcPr>
            <w:tcW w:w="1687" w:type="dxa"/>
          </w:tcPr>
          <w:p w14:paraId="7046FBA6" w14:textId="77777777" w:rsidR="00250AC8" w:rsidRPr="00EC250C" w:rsidRDefault="00250AC8" w:rsidP="00D131FA">
            <w:pPr>
              <w:pStyle w:val="Tabela"/>
              <w:jc w:val="both"/>
            </w:pPr>
            <w:r w:rsidRPr="00EC250C">
              <w:t>09.10.2018</w:t>
            </w:r>
            <w:r w:rsidR="00C91F6E" w:rsidRPr="00EC250C">
              <w:t> r.</w:t>
            </w:r>
          </w:p>
        </w:tc>
      </w:tr>
      <w:tr w:rsidR="00250AC8" w:rsidRPr="00EC250C" w14:paraId="6A35AD2E" w14:textId="77777777" w:rsidTr="00FC47F2">
        <w:trPr>
          <w:tblCellSpacing w:w="20" w:type="dxa"/>
        </w:trPr>
        <w:tc>
          <w:tcPr>
            <w:tcW w:w="516" w:type="dxa"/>
          </w:tcPr>
          <w:p w14:paraId="66F3F099" w14:textId="77777777" w:rsidR="00250AC8" w:rsidRPr="00EC250C" w:rsidRDefault="00250AC8" w:rsidP="006C70B7">
            <w:pPr>
              <w:pStyle w:val="Tabela"/>
              <w:numPr>
                <w:ilvl w:val="0"/>
                <w:numId w:val="81"/>
              </w:numPr>
              <w:ind w:left="0" w:firstLine="0"/>
              <w:jc w:val="both"/>
            </w:pPr>
          </w:p>
        </w:tc>
        <w:tc>
          <w:tcPr>
            <w:tcW w:w="7473" w:type="dxa"/>
          </w:tcPr>
          <w:p w14:paraId="37620D00" w14:textId="77777777" w:rsidR="00250AC8" w:rsidRPr="00EC250C" w:rsidRDefault="00250AC8" w:rsidP="00D131FA">
            <w:pPr>
              <w:pStyle w:val="Tabela"/>
              <w:jc w:val="both"/>
              <w:rPr>
                <w:rStyle w:val="tytul13"/>
                <w:sz w:val="20"/>
                <w:szCs w:val="22"/>
                <w:bdr w:val="none" w:sz="0" w:space="0" w:color="auto"/>
              </w:rPr>
            </w:pPr>
            <w:r w:rsidRPr="00EC250C">
              <w:rPr>
                <w:rStyle w:val="tytul13"/>
                <w:sz w:val="20"/>
                <w:szCs w:val="22"/>
                <w:bdr w:val="none" w:sz="0" w:space="0" w:color="auto"/>
              </w:rPr>
              <w:t>Konferencja EUROMIL nt. systemu emerytalnego służb mundurowych. Budapeszt, Węgry.</w:t>
            </w:r>
          </w:p>
        </w:tc>
        <w:tc>
          <w:tcPr>
            <w:tcW w:w="1687" w:type="dxa"/>
          </w:tcPr>
          <w:p w14:paraId="479996A9" w14:textId="77777777" w:rsidR="00250AC8" w:rsidRPr="00EC250C" w:rsidRDefault="00250AC8" w:rsidP="00D131FA">
            <w:pPr>
              <w:pStyle w:val="Tabela"/>
              <w:jc w:val="both"/>
            </w:pPr>
            <w:r w:rsidRPr="00EC250C">
              <w:t>10–11.10.2018</w:t>
            </w:r>
            <w:r w:rsidR="00C91F6E" w:rsidRPr="00EC250C">
              <w:t> r.</w:t>
            </w:r>
          </w:p>
        </w:tc>
      </w:tr>
      <w:tr w:rsidR="00250AC8" w:rsidRPr="00EC250C" w14:paraId="3FE01E6D" w14:textId="77777777" w:rsidTr="00FC47F2">
        <w:trPr>
          <w:tblCellSpacing w:w="20" w:type="dxa"/>
        </w:trPr>
        <w:tc>
          <w:tcPr>
            <w:tcW w:w="516" w:type="dxa"/>
          </w:tcPr>
          <w:p w14:paraId="2841AB1C" w14:textId="77777777" w:rsidR="00250AC8" w:rsidRPr="00EC250C" w:rsidRDefault="00250AC8" w:rsidP="006C70B7">
            <w:pPr>
              <w:pStyle w:val="Tabela"/>
              <w:numPr>
                <w:ilvl w:val="0"/>
                <w:numId w:val="81"/>
              </w:numPr>
              <w:ind w:left="0" w:firstLine="0"/>
              <w:jc w:val="both"/>
            </w:pPr>
          </w:p>
        </w:tc>
        <w:tc>
          <w:tcPr>
            <w:tcW w:w="7473" w:type="dxa"/>
          </w:tcPr>
          <w:p w14:paraId="7A4E0C23" w14:textId="77777777" w:rsidR="00250AC8" w:rsidRPr="00EC250C" w:rsidRDefault="00250AC8" w:rsidP="00D131FA">
            <w:pPr>
              <w:pStyle w:val="Tabela"/>
              <w:jc w:val="both"/>
              <w:rPr>
                <w:rStyle w:val="tytul13"/>
                <w:sz w:val="20"/>
                <w:szCs w:val="22"/>
                <w:bdr w:val="none" w:sz="0" w:space="0" w:color="auto"/>
              </w:rPr>
            </w:pPr>
            <w:r w:rsidRPr="00EC250C">
              <w:rPr>
                <w:rStyle w:val="tytul13"/>
                <w:sz w:val="20"/>
                <w:szCs w:val="22"/>
                <w:bdr w:val="none" w:sz="0" w:space="0" w:color="auto"/>
              </w:rPr>
              <w:t xml:space="preserve">Spotkanie grupy roboczej „Equality Law” sieci EQUINET. Malta. </w:t>
            </w:r>
          </w:p>
        </w:tc>
        <w:tc>
          <w:tcPr>
            <w:tcW w:w="1687" w:type="dxa"/>
          </w:tcPr>
          <w:p w14:paraId="1F34990C" w14:textId="77777777" w:rsidR="00250AC8" w:rsidRPr="00EC250C" w:rsidRDefault="00250AC8" w:rsidP="00D131FA">
            <w:pPr>
              <w:pStyle w:val="Tabela"/>
              <w:jc w:val="both"/>
            </w:pPr>
            <w:r w:rsidRPr="00EC250C">
              <w:t>10–11.10.2018</w:t>
            </w:r>
            <w:r w:rsidR="00C91F6E" w:rsidRPr="00EC250C">
              <w:t> r.</w:t>
            </w:r>
          </w:p>
        </w:tc>
      </w:tr>
      <w:tr w:rsidR="00250AC8" w:rsidRPr="00EC250C" w14:paraId="54D31AA4" w14:textId="77777777" w:rsidTr="00FC47F2">
        <w:trPr>
          <w:tblCellSpacing w:w="20" w:type="dxa"/>
        </w:trPr>
        <w:tc>
          <w:tcPr>
            <w:tcW w:w="516" w:type="dxa"/>
          </w:tcPr>
          <w:p w14:paraId="13FC16DD" w14:textId="77777777" w:rsidR="00250AC8" w:rsidRPr="00EC250C" w:rsidRDefault="00250AC8" w:rsidP="006C70B7">
            <w:pPr>
              <w:pStyle w:val="Tabela"/>
              <w:numPr>
                <w:ilvl w:val="0"/>
                <w:numId w:val="81"/>
              </w:numPr>
              <w:ind w:left="0" w:firstLine="0"/>
              <w:jc w:val="both"/>
            </w:pPr>
          </w:p>
        </w:tc>
        <w:tc>
          <w:tcPr>
            <w:tcW w:w="7473" w:type="dxa"/>
          </w:tcPr>
          <w:p w14:paraId="4905D8E7" w14:textId="77777777" w:rsidR="00250AC8" w:rsidRPr="00EC250C" w:rsidRDefault="00250AC8" w:rsidP="00D131FA">
            <w:pPr>
              <w:pStyle w:val="Tabela"/>
              <w:jc w:val="both"/>
              <w:rPr>
                <w:rStyle w:val="tytul13"/>
                <w:sz w:val="20"/>
                <w:szCs w:val="22"/>
                <w:bdr w:val="none" w:sz="0" w:space="0" w:color="auto"/>
              </w:rPr>
            </w:pPr>
            <w:r w:rsidRPr="00EC250C">
              <w:rPr>
                <w:rStyle w:val="tytul13"/>
                <w:sz w:val="20"/>
                <w:szCs w:val="22"/>
                <w:bdr w:val="none" w:sz="0" w:space="0" w:color="auto"/>
              </w:rPr>
              <w:t>Spotkanie konsultacyjne dla przedstawicieli KMPT nt. zarządzania pulą obserwatorów lotów deportacyjnych finansowanych przez Europejską Agencję Straży Granicznej</w:t>
            </w:r>
            <w:r w:rsidR="00992FD0" w:rsidRPr="00EC250C">
              <w:rPr>
                <w:rStyle w:val="tytul13"/>
                <w:sz w:val="20"/>
                <w:szCs w:val="22"/>
                <w:bdr w:val="none" w:sz="0" w:space="0" w:color="auto"/>
              </w:rPr>
              <w:t xml:space="preserve"> i </w:t>
            </w:r>
            <w:r w:rsidRPr="00EC250C">
              <w:rPr>
                <w:rStyle w:val="tytul13"/>
                <w:sz w:val="20"/>
                <w:szCs w:val="22"/>
                <w:bdr w:val="none" w:sz="0" w:space="0" w:color="auto"/>
              </w:rPr>
              <w:t>Przybrzeżnej Frontex zorganizowane przez Radę Europy</w:t>
            </w:r>
            <w:r w:rsidR="00992FD0" w:rsidRPr="00EC250C">
              <w:rPr>
                <w:rStyle w:val="tytul13"/>
                <w:sz w:val="20"/>
                <w:szCs w:val="22"/>
                <w:bdr w:val="none" w:sz="0" w:space="0" w:color="auto"/>
              </w:rPr>
              <w:t xml:space="preserve"> i </w:t>
            </w:r>
            <w:r w:rsidRPr="00EC250C">
              <w:rPr>
                <w:rStyle w:val="tytul13"/>
                <w:sz w:val="20"/>
                <w:szCs w:val="22"/>
                <w:bdr w:val="none" w:sz="0" w:space="0" w:color="auto"/>
              </w:rPr>
              <w:t>Ombudsmana Grecji. Ateny, Grecja.</w:t>
            </w:r>
          </w:p>
        </w:tc>
        <w:tc>
          <w:tcPr>
            <w:tcW w:w="1687" w:type="dxa"/>
          </w:tcPr>
          <w:p w14:paraId="005EEDBD" w14:textId="77777777" w:rsidR="00250AC8" w:rsidRPr="00EC250C" w:rsidRDefault="00250AC8" w:rsidP="00D131FA">
            <w:pPr>
              <w:pStyle w:val="Tabela"/>
              <w:jc w:val="both"/>
            </w:pPr>
            <w:r w:rsidRPr="00EC250C">
              <w:t>14–16.10.2018</w:t>
            </w:r>
            <w:r w:rsidR="00C91F6E" w:rsidRPr="00EC250C">
              <w:t> r.</w:t>
            </w:r>
          </w:p>
        </w:tc>
      </w:tr>
      <w:tr w:rsidR="00250AC8" w:rsidRPr="00EC250C" w14:paraId="3734C024" w14:textId="77777777" w:rsidTr="00FC47F2">
        <w:trPr>
          <w:tblCellSpacing w:w="20" w:type="dxa"/>
        </w:trPr>
        <w:tc>
          <w:tcPr>
            <w:tcW w:w="516" w:type="dxa"/>
          </w:tcPr>
          <w:p w14:paraId="41B1DB26" w14:textId="77777777" w:rsidR="00250AC8" w:rsidRPr="00EC250C" w:rsidRDefault="00250AC8" w:rsidP="006C70B7">
            <w:pPr>
              <w:pStyle w:val="Tabela"/>
              <w:numPr>
                <w:ilvl w:val="0"/>
                <w:numId w:val="81"/>
              </w:numPr>
              <w:ind w:left="0" w:firstLine="0"/>
              <w:jc w:val="both"/>
            </w:pPr>
          </w:p>
        </w:tc>
        <w:tc>
          <w:tcPr>
            <w:tcW w:w="7473" w:type="dxa"/>
          </w:tcPr>
          <w:p w14:paraId="5F31134D" w14:textId="77777777" w:rsidR="00250AC8" w:rsidRPr="00EC250C" w:rsidRDefault="001C54CC" w:rsidP="00D131FA">
            <w:pPr>
              <w:pStyle w:val="Tabela"/>
              <w:jc w:val="both"/>
              <w:rPr>
                <w:rStyle w:val="tytul13"/>
                <w:sz w:val="20"/>
                <w:szCs w:val="22"/>
                <w:bdr w:val="none" w:sz="0" w:space="0" w:color="auto"/>
              </w:rPr>
            </w:pPr>
            <w:r w:rsidRPr="00EC250C">
              <w:rPr>
                <w:rStyle w:val="tytul13"/>
                <w:sz w:val="20"/>
                <w:szCs w:val="22"/>
                <w:bdr w:val="none" w:sz="0" w:space="0" w:color="auto"/>
                <w:lang w:val="en-GB"/>
              </w:rPr>
              <w:t xml:space="preserve">Seminarium nt. „Dismissal Protection for Carers in Europe – Strengthening Links Between Equality Bodies and Labour Inspectorates” zorganizowane przez sieć EQUINET. </w:t>
            </w:r>
            <w:r w:rsidRPr="00EC250C">
              <w:rPr>
                <w:rStyle w:val="tytul13"/>
                <w:sz w:val="20"/>
                <w:szCs w:val="22"/>
                <w:bdr w:val="none" w:sz="0" w:space="0" w:color="auto"/>
              </w:rPr>
              <w:t>Bruksela, Belgia.</w:t>
            </w:r>
          </w:p>
        </w:tc>
        <w:tc>
          <w:tcPr>
            <w:tcW w:w="1687" w:type="dxa"/>
          </w:tcPr>
          <w:p w14:paraId="78BE4A49" w14:textId="77777777" w:rsidR="00250AC8" w:rsidRPr="00EC250C" w:rsidRDefault="00250AC8" w:rsidP="00D131FA">
            <w:pPr>
              <w:pStyle w:val="Tabela"/>
              <w:jc w:val="both"/>
            </w:pPr>
            <w:r w:rsidRPr="00EC250C">
              <w:t>16–18.10.2018</w:t>
            </w:r>
            <w:r w:rsidR="00C91F6E" w:rsidRPr="00EC250C">
              <w:t> r.</w:t>
            </w:r>
          </w:p>
        </w:tc>
      </w:tr>
      <w:tr w:rsidR="00250AC8" w:rsidRPr="00EC250C" w14:paraId="165E332B" w14:textId="77777777" w:rsidTr="00FC47F2">
        <w:trPr>
          <w:tblCellSpacing w:w="20" w:type="dxa"/>
        </w:trPr>
        <w:tc>
          <w:tcPr>
            <w:tcW w:w="516" w:type="dxa"/>
          </w:tcPr>
          <w:p w14:paraId="7DBBF506" w14:textId="77777777" w:rsidR="00250AC8" w:rsidRPr="00EC250C" w:rsidRDefault="00250AC8" w:rsidP="006C70B7">
            <w:pPr>
              <w:pStyle w:val="Tabela"/>
              <w:numPr>
                <w:ilvl w:val="0"/>
                <w:numId w:val="81"/>
              </w:numPr>
              <w:ind w:left="0" w:firstLine="0"/>
              <w:jc w:val="both"/>
            </w:pPr>
          </w:p>
        </w:tc>
        <w:tc>
          <w:tcPr>
            <w:tcW w:w="7473" w:type="dxa"/>
          </w:tcPr>
          <w:p w14:paraId="2EB3E01E" w14:textId="77777777" w:rsidR="00250AC8" w:rsidRPr="00EC250C" w:rsidRDefault="00250AC8" w:rsidP="00D131FA">
            <w:pPr>
              <w:pStyle w:val="Tabela"/>
              <w:jc w:val="both"/>
              <w:rPr>
                <w:rStyle w:val="tytul13"/>
                <w:sz w:val="20"/>
                <w:szCs w:val="22"/>
                <w:bdr w:val="none" w:sz="0" w:space="0" w:color="auto"/>
              </w:rPr>
            </w:pPr>
            <w:r w:rsidRPr="00EC250C">
              <w:rPr>
                <w:rStyle w:val="tytul13"/>
                <w:sz w:val="20"/>
                <w:szCs w:val="22"/>
                <w:bdr w:val="none" w:sz="0" w:space="0" w:color="auto"/>
              </w:rPr>
              <w:t>Seminarium nt. „Wolność religii: aktualne orzecznictwo ETPCz</w:t>
            </w:r>
            <w:r w:rsidR="00992FD0" w:rsidRPr="00EC250C">
              <w:rPr>
                <w:rStyle w:val="tytul13"/>
                <w:sz w:val="20"/>
                <w:szCs w:val="22"/>
                <w:bdr w:val="none" w:sz="0" w:space="0" w:color="auto"/>
              </w:rPr>
              <w:t xml:space="preserve"> i </w:t>
            </w:r>
            <w:r w:rsidRPr="00EC250C">
              <w:rPr>
                <w:rStyle w:val="tytul13"/>
                <w:sz w:val="20"/>
                <w:szCs w:val="22"/>
                <w:bdr w:val="none" w:sz="0" w:space="0" w:color="auto"/>
              </w:rPr>
              <w:t>TSUE” zorganizowane przez Europejską Akademię Prawa (ERA). Strasburg, Francja.</w:t>
            </w:r>
          </w:p>
        </w:tc>
        <w:tc>
          <w:tcPr>
            <w:tcW w:w="1687" w:type="dxa"/>
          </w:tcPr>
          <w:p w14:paraId="45A998F8" w14:textId="77777777" w:rsidR="00250AC8" w:rsidRPr="00EC250C" w:rsidRDefault="00250AC8" w:rsidP="00D131FA">
            <w:pPr>
              <w:pStyle w:val="Tabela"/>
              <w:jc w:val="both"/>
            </w:pPr>
            <w:r w:rsidRPr="00EC250C">
              <w:t>18–19.10.2018</w:t>
            </w:r>
            <w:r w:rsidR="00C91F6E" w:rsidRPr="00EC250C">
              <w:t> r.</w:t>
            </w:r>
          </w:p>
        </w:tc>
      </w:tr>
      <w:tr w:rsidR="00250AC8" w:rsidRPr="00EC250C" w14:paraId="233DF7B9" w14:textId="77777777" w:rsidTr="00FC47F2">
        <w:trPr>
          <w:tblCellSpacing w:w="20" w:type="dxa"/>
        </w:trPr>
        <w:tc>
          <w:tcPr>
            <w:tcW w:w="516" w:type="dxa"/>
          </w:tcPr>
          <w:p w14:paraId="36DDC0A1" w14:textId="77777777" w:rsidR="00250AC8" w:rsidRPr="00EC250C" w:rsidRDefault="00250AC8" w:rsidP="006C70B7">
            <w:pPr>
              <w:pStyle w:val="Tabela"/>
              <w:numPr>
                <w:ilvl w:val="0"/>
                <w:numId w:val="81"/>
              </w:numPr>
              <w:ind w:left="0" w:firstLine="0"/>
              <w:jc w:val="both"/>
            </w:pPr>
          </w:p>
        </w:tc>
        <w:tc>
          <w:tcPr>
            <w:tcW w:w="7473" w:type="dxa"/>
          </w:tcPr>
          <w:p w14:paraId="7433A951" w14:textId="77777777" w:rsidR="00250AC8" w:rsidRPr="00EC250C" w:rsidRDefault="00250AC8" w:rsidP="00D131FA">
            <w:pPr>
              <w:pStyle w:val="Tabela"/>
              <w:jc w:val="both"/>
            </w:pPr>
            <w:r w:rsidRPr="00EC250C">
              <w:t xml:space="preserve">Udział </w:t>
            </w:r>
            <w:r w:rsidR="003C397F" w:rsidRPr="00EC250C">
              <w:t>zastępczyni</w:t>
            </w:r>
            <w:r w:rsidRPr="00EC250C">
              <w:t xml:space="preserve"> RPO Hanny Machińskiej</w:t>
            </w:r>
            <w:r w:rsidR="00992FD0" w:rsidRPr="00EC250C">
              <w:t xml:space="preserve"> w </w:t>
            </w:r>
            <w:r w:rsidRPr="00EC250C">
              <w:t>Walnym Zgromadzeniu Europejskiej Sieci Krajowych Instytucji Praw Człowieka (ENNHRI)</w:t>
            </w:r>
            <w:r w:rsidR="00992FD0" w:rsidRPr="00EC250C">
              <w:t xml:space="preserve"> i </w:t>
            </w:r>
            <w:r w:rsidRPr="00EC250C">
              <w:t>dorocznej konferencji tej organizacji. Ateny, Grecja.</w:t>
            </w:r>
          </w:p>
        </w:tc>
        <w:tc>
          <w:tcPr>
            <w:tcW w:w="1687" w:type="dxa"/>
          </w:tcPr>
          <w:p w14:paraId="7CF3778B" w14:textId="77777777" w:rsidR="00250AC8" w:rsidRPr="00EC250C" w:rsidRDefault="00250AC8" w:rsidP="00D131FA">
            <w:pPr>
              <w:pStyle w:val="Tabela"/>
              <w:jc w:val="both"/>
            </w:pPr>
            <w:r w:rsidRPr="00EC250C">
              <w:t>23–26.10.2018</w:t>
            </w:r>
            <w:r w:rsidR="00C91F6E" w:rsidRPr="00EC250C">
              <w:t> r.</w:t>
            </w:r>
          </w:p>
        </w:tc>
      </w:tr>
      <w:tr w:rsidR="00250AC8" w:rsidRPr="00EC250C" w14:paraId="306F3EF6" w14:textId="77777777" w:rsidTr="00FC47F2">
        <w:trPr>
          <w:tblCellSpacing w:w="20" w:type="dxa"/>
        </w:trPr>
        <w:tc>
          <w:tcPr>
            <w:tcW w:w="516" w:type="dxa"/>
          </w:tcPr>
          <w:p w14:paraId="1B554129" w14:textId="77777777" w:rsidR="00250AC8" w:rsidRPr="00EC250C" w:rsidRDefault="00250AC8" w:rsidP="006C70B7">
            <w:pPr>
              <w:pStyle w:val="Tabela"/>
              <w:numPr>
                <w:ilvl w:val="0"/>
                <w:numId w:val="81"/>
              </w:numPr>
              <w:ind w:left="0" w:firstLine="0"/>
              <w:jc w:val="both"/>
            </w:pPr>
          </w:p>
        </w:tc>
        <w:tc>
          <w:tcPr>
            <w:tcW w:w="7473" w:type="dxa"/>
          </w:tcPr>
          <w:p w14:paraId="30B18A47" w14:textId="77777777" w:rsidR="00250AC8" w:rsidRPr="00EC250C" w:rsidRDefault="00250AC8" w:rsidP="00D131FA">
            <w:pPr>
              <w:pStyle w:val="Tabela"/>
              <w:jc w:val="both"/>
              <w:rPr>
                <w:spacing w:val="0"/>
              </w:rPr>
            </w:pPr>
            <w:r w:rsidRPr="00EC250C">
              <w:rPr>
                <w:spacing w:val="0"/>
              </w:rPr>
              <w:t xml:space="preserve">Szkolenie dla przedstawicieli KMPT nt. </w:t>
            </w:r>
            <w:r w:rsidRPr="00EC250C">
              <w:rPr>
                <w:spacing w:val="0"/>
                <w:lang w:val="en-US"/>
              </w:rPr>
              <w:t xml:space="preserve">„Strenghtening the Follow-up on NPM Recommendations” zorganizowane przez Międzynarodowy Instytut Ombudsmana. </w:t>
            </w:r>
            <w:r w:rsidRPr="00EC250C">
              <w:rPr>
                <w:spacing w:val="0"/>
              </w:rPr>
              <w:t>Kopenhaga, Dania.</w:t>
            </w:r>
          </w:p>
        </w:tc>
        <w:tc>
          <w:tcPr>
            <w:tcW w:w="1687" w:type="dxa"/>
          </w:tcPr>
          <w:p w14:paraId="26128B1B" w14:textId="77777777" w:rsidR="00250AC8" w:rsidRPr="00EC250C" w:rsidRDefault="00250AC8" w:rsidP="00D131FA">
            <w:pPr>
              <w:pStyle w:val="Tabela"/>
              <w:jc w:val="both"/>
            </w:pPr>
            <w:r w:rsidRPr="00EC250C">
              <w:t>06–09.11.2018</w:t>
            </w:r>
            <w:r w:rsidR="00C91F6E" w:rsidRPr="00EC250C">
              <w:t> r.</w:t>
            </w:r>
          </w:p>
        </w:tc>
      </w:tr>
      <w:tr w:rsidR="00250AC8" w:rsidRPr="00EC250C" w14:paraId="6E7D199D" w14:textId="77777777" w:rsidTr="00FC47F2">
        <w:trPr>
          <w:tblCellSpacing w:w="20" w:type="dxa"/>
        </w:trPr>
        <w:tc>
          <w:tcPr>
            <w:tcW w:w="516" w:type="dxa"/>
          </w:tcPr>
          <w:p w14:paraId="36CF2707" w14:textId="77777777" w:rsidR="00250AC8" w:rsidRPr="00EC250C" w:rsidRDefault="00250AC8" w:rsidP="006C70B7">
            <w:pPr>
              <w:pStyle w:val="Tabela"/>
              <w:numPr>
                <w:ilvl w:val="0"/>
                <w:numId w:val="81"/>
              </w:numPr>
              <w:ind w:left="0" w:firstLine="0"/>
              <w:jc w:val="both"/>
            </w:pPr>
          </w:p>
        </w:tc>
        <w:tc>
          <w:tcPr>
            <w:tcW w:w="7473" w:type="dxa"/>
          </w:tcPr>
          <w:p w14:paraId="44191235" w14:textId="77777777" w:rsidR="00250AC8" w:rsidRPr="00EC250C" w:rsidRDefault="00250AC8" w:rsidP="00D131FA">
            <w:pPr>
              <w:pStyle w:val="Tabela"/>
              <w:jc w:val="both"/>
              <w:rPr>
                <w:spacing w:val="0"/>
              </w:rPr>
            </w:pPr>
            <w:r w:rsidRPr="00EC250C">
              <w:rPr>
                <w:spacing w:val="0"/>
              </w:rPr>
              <w:t xml:space="preserve">Udział </w:t>
            </w:r>
            <w:r w:rsidR="003C397F" w:rsidRPr="00EC250C">
              <w:rPr>
                <w:spacing w:val="0"/>
              </w:rPr>
              <w:t>rzecznika praw obywatelskich</w:t>
            </w:r>
            <w:r w:rsidRPr="00EC250C">
              <w:rPr>
                <w:spacing w:val="0"/>
              </w:rPr>
              <w:t xml:space="preserve"> Adama Bodnara</w:t>
            </w:r>
            <w:r w:rsidR="00992FD0" w:rsidRPr="00EC250C">
              <w:rPr>
                <w:spacing w:val="0"/>
              </w:rPr>
              <w:t xml:space="preserve"> w </w:t>
            </w:r>
            <w:r w:rsidRPr="00EC250C">
              <w:rPr>
                <w:spacing w:val="0"/>
              </w:rPr>
              <w:t>konferencji nt. „Lawina bieg od tego zmienia…”; wręczenie nagrody Rafto dla Rzecznika Praw Obywatelskich</w:t>
            </w:r>
            <w:r w:rsidR="00992FD0" w:rsidRPr="00EC250C">
              <w:rPr>
                <w:spacing w:val="0"/>
              </w:rPr>
              <w:t xml:space="preserve"> i </w:t>
            </w:r>
            <w:r w:rsidRPr="00EC250C">
              <w:rPr>
                <w:spacing w:val="0"/>
              </w:rPr>
              <w:t>jego Biura za walkę</w:t>
            </w:r>
            <w:r w:rsidR="00992FD0" w:rsidRPr="00EC250C">
              <w:rPr>
                <w:spacing w:val="0"/>
              </w:rPr>
              <w:t xml:space="preserve"> o </w:t>
            </w:r>
            <w:r w:rsidRPr="00EC250C">
              <w:rPr>
                <w:spacing w:val="0"/>
              </w:rPr>
              <w:t>prawa człowieka. Bergen, Norwegia.</w:t>
            </w:r>
          </w:p>
        </w:tc>
        <w:tc>
          <w:tcPr>
            <w:tcW w:w="1687" w:type="dxa"/>
          </w:tcPr>
          <w:p w14:paraId="10DC4CDB" w14:textId="77777777" w:rsidR="00250AC8" w:rsidRPr="00EC250C" w:rsidRDefault="00250AC8" w:rsidP="00D131FA">
            <w:pPr>
              <w:pStyle w:val="Tabela"/>
              <w:jc w:val="both"/>
            </w:pPr>
            <w:r w:rsidRPr="00EC250C">
              <w:t>07.11.2018</w:t>
            </w:r>
            <w:r w:rsidR="00C91F6E" w:rsidRPr="00EC250C">
              <w:t> r.</w:t>
            </w:r>
          </w:p>
        </w:tc>
      </w:tr>
      <w:tr w:rsidR="00250AC8" w:rsidRPr="00EC250C" w14:paraId="087A0669" w14:textId="77777777" w:rsidTr="00FC47F2">
        <w:trPr>
          <w:tblCellSpacing w:w="20" w:type="dxa"/>
        </w:trPr>
        <w:tc>
          <w:tcPr>
            <w:tcW w:w="516" w:type="dxa"/>
          </w:tcPr>
          <w:p w14:paraId="504C94BE" w14:textId="77777777" w:rsidR="00250AC8" w:rsidRPr="00EC250C" w:rsidRDefault="00250AC8" w:rsidP="006C70B7">
            <w:pPr>
              <w:pStyle w:val="Tabela"/>
              <w:numPr>
                <w:ilvl w:val="0"/>
                <w:numId w:val="81"/>
              </w:numPr>
              <w:ind w:left="0" w:firstLine="0"/>
              <w:jc w:val="both"/>
            </w:pPr>
          </w:p>
        </w:tc>
        <w:tc>
          <w:tcPr>
            <w:tcW w:w="7473" w:type="dxa"/>
          </w:tcPr>
          <w:p w14:paraId="24F32ED7" w14:textId="77777777" w:rsidR="00250AC8" w:rsidRPr="00EC250C" w:rsidRDefault="00250AC8" w:rsidP="00D131FA">
            <w:pPr>
              <w:pStyle w:val="Tabela"/>
              <w:jc w:val="both"/>
            </w:pPr>
            <w:r w:rsidRPr="00EC250C">
              <w:t xml:space="preserve">Udział </w:t>
            </w:r>
            <w:r w:rsidR="003C397F" w:rsidRPr="00EC250C">
              <w:t>zastępczyni</w:t>
            </w:r>
            <w:r w:rsidRPr="00EC250C">
              <w:t xml:space="preserve"> RPO Sylwii Spurek</w:t>
            </w:r>
            <w:r w:rsidR="00992FD0" w:rsidRPr="00EC250C">
              <w:t xml:space="preserve"> w </w:t>
            </w:r>
            <w:r w:rsidRPr="00EC250C">
              <w:t>dorocznym zgromadzeniu Stowarzyszenia Equinet Annual General Meeting. Bruksela, Belgia.</w:t>
            </w:r>
          </w:p>
        </w:tc>
        <w:tc>
          <w:tcPr>
            <w:tcW w:w="1687" w:type="dxa"/>
          </w:tcPr>
          <w:p w14:paraId="2058C493" w14:textId="77777777" w:rsidR="00250AC8" w:rsidRPr="00EC250C" w:rsidRDefault="00250AC8" w:rsidP="00D131FA">
            <w:pPr>
              <w:pStyle w:val="Tabela"/>
              <w:jc w:val="both"/>
            </w:pPr>
            <w:r w:rsidRPr="00EC250C">
              <w:t>07.11.2018</w:t>
            </w:r>
            <w:r w:rsidR="00C91F6E" w:rsidRPr="00EC250C">
              <w:t> r.</w:t>
            </w:r>
          </w:p>
        </w:tc>
      </w:tr>
      <w:tr w:rsidR="00250AC8" w:rsidRPr="00EC250C" w14:paraId="20E50542" w14:textId="77777777" w:rsidTr="00FC47F2">
        <w:trPr>
          <w:tblCellSpacing w:w="20" w:type="dxa"/>
        </w:trPr>
        <w:tc>
          <w:tcPr>
            <w:tcW w:w="516" w:type="dxa"/>
          </w:tcPr>
          <w:p w14:paraId="4C5496CD" w14:textId="77777777" w:rsidR="00250AC8" w:rsidRPr="00EC250C" w:rsidRDefault="00250AC8" w:rsidP="006C70B7">
            <w:pPr>
              <w:pStyle w:val="Tabela"/>
              <w:numPr>
                <w:ilvl w:val="0"/>
                <w:numId w:val="81"/>
              </w:numPr>
              <w:ind w:left="0" w:firstLine="0"/>
              <w:jc w:val="both"/>
            </w:pPr>
          </w:p>
        </w:tc>
        <w:tc>
          <w:tcPr>
            <w:tcW w:w="7473" w:type="dxa"/>
          </w:tcPr>
          <w:p w14:paraId="642A1A33" w14:textId="77777777" w:rsidR="00250AC8" w:rsidRPr="00EC250C" w:rsidRDefault="00250AC8" w:rsidP="00D131FA">
            <w:pPr>
              <w:pStyle w:val="Tabela"/>
              <w:jc w:val="both"/>
            </w:pPr>
            <w:r w:rsidRPr="00EC250C">
              <w:t>Seminarium nt. przeciwdziałania profilowaniu etnicznemu zorganizowane przez EQUINET. Bruksela, Belgia.</w:t>
            </w:r>
          </w:p>
        </w:tc>
        <w:tc>
          <w:tcPr>
            <w:tcW w:w="1687" w:type="dxa"/>
          </w:tcPr>
          <w:p w14:paraId="3E3C0DAA" w14:textId="77777777" w:rsidR="00250AC8" w:rsidRPr="00EC250C" w:rsidRDefault="00250AC8" w:rsidP="00D131FA">
            <w:pPr>
              <w:pStyle w:val="Tabela"/>
              <w:jc w:val="both"/>
            </w:pPr>
            <w:r w:rsidRPr="00EC250C">
              <w:t>07–09.11.2018</w:t>
            </w:r>
            <w:r w:rsidR="00C91F6E" w:rsidRPr="00EC250C">
              <w:t> r.</w:t>
            </w:r>
          </w:p>
        </w:tc>
      </w:tr>
      <w:tr w:rsidR="00250AC8" w:rsidRPr="00EC250C" w14:paraId="5172B498" w14:textId="77777777" w:rsidTr="00FC47F2">
        <w:trPr>
          <w:tblCellSpacing w:w="20" w:type="dxa"/>
        </w:trPr>
        <w:tc>
          <w:tcPr>
            <w:tcW w:w="516" w:type="dxa"/>
          </w:tcPr>
          <w:p w14:paraId="0D0767EE" w14:textId="77777777" w:rsidR="00250AC8" w:rsidRPr="00EC250C" w:rsidRDefault="00250AC8" w:rsidP="006C70B7">
            <w:pPr>
              <w:pStyle w:val="Tabela"/>
              <w:numPr>
                <w:ilvl w:val="0"/>
                <w:numId w:val="81"/>
              </w:numPr>
              <w:ind w:left="0" w:firstLine="0"/>
              <w:jc w:val="both"/>
            </w:pPr>
          </w:p>
        </w:tc>
        <w:tc>
          <w:tcPr>
            <w:tcW w:w="7473" w:type="dxa"/>
          </w:tcPr>
          <w:p w14:paraId="702ADCB7" w14:textId="77777777" w:rsidR="00250AC8" w:rsidRPr="00EC250C" w:rsidRDefault="00250AC8" w:rsidP="00D131FA">
            <w:pPr>
              <w:pStyle w:val="Tabela"/>
              <w:jc w:val="both"/>
            </w:pPr>
            <w:r w:rsidRPr="00EC250C">
              <w:t xml:space="preserve">Wykład </w:t>
            </w:r>
            <w:r w:rsidR="003C397F" w:rsidRPr="00EC250C">
              <w:t>rzecznika praw obywatelskich</w:t>
            </w:r>
            <w:r w:rsidRPr="00EC250C">
              <w:t xml:space="preserve"> Adama Bodnara zorganizowany</w:t>
            </w:r>
            <w:r w:rsidR="00992FD0" w:rsidRPr="00EC250C">
              <w:t xml:space="preserve"> w </w:t>
            </w:r>
            <w:r w:rsidRPr="00EC250C">
              <w:t>ramach „August Zaleski Memorial Series” na zaproszenie prof. Grzegorza Ekier na Uniwersytecie Harvarda. Cambridge, USA.</w:t>
            </w:r>
          </w:p>
        </w:tc>
        <w:tc>
          <w:tcPr>
            <w:tcW w:w="1687" w:type="dxa"/>
          </w:tcPr>
          <w:p w14:paraId="37624EB8" w14:textId="77777777" w:rsidR="00250AC8" w:rsidRPr="00EC250C" w:rsidRDefault="00250AC8" w:rsidP="00D131FA">
            <w:pPr>
              <w:pStyle w:val="Tabela"/>
              <w:jc w:val="both"/>
            </w:pPr>
            <w:r w:rsidRPr="00EC250C">
              <w:t>07–10.11.2018</w:t>
            </w:r>
            <w:r w:rsidR="00C91F6E" w:rsidRPr="00EC250C">
              <w:t> r.</w:t>
            </w:r>
          </w:p>
        </w:tc>
      </w:tr>
      <w:tr w:rsidR="00250AC8" w:rsidRPr="00EC250C" w14:paraId="029B7F34" w14:textId="77777777" w:rsidTr="00FC47F2">
        <w:trPr>
          <w:tblCellSpacing w:w="20" w:type="dxa"/>
        </w:trPr>
        <w:tc>
          <w:tcPr>
            <w:tcW w:w="516" w:type="dxa"/>
          </w:tcPr>
          <w:p w14:paraId="38871D8F" w14:textId="77777777" w:rsidR="00250AC8" w:rsidRPr="00EC250C" w:rsidRDefault="00250AC8" w:rsidP="006C70B7">
            <w:pPr>
              <w:pStyle w:val="Tabela"/>
              <w:numPr>
                <w:ilvl w:val="0"/>
                <w:numId w:val="81"/>
              </w:numPr>
              <w:ind w:left="0" w:firstLine="0"/>
              <w:jc w:val="both"/>
            </w:pPr>
          </w:p>
        </w:tc>
        <w:tc>
          <w:tcPr>
            <w:tcW w:w="7473" w:type="dxa"/>
          </w:tcPr>
          <w:p w14:paraId="3285D7D5" w14:textId="77777777" w:rsidR="00250AC8" w:rsidRPr="00EC250C" w:rsidRDefault="001C54CC" w:rsidP="00D131FA">
            <w:pPr>
              <w:pStyle w:val="Tabela"/>
              <w:jc w:val="both"/>
            </w:pPr>
            <w:r w:rsidRPr="00EC250C">
              <w:rPr>
                <w:lang w:val="en-GB"/>
              </w:rPr>
              <w:t xml:space="preserve">Spotkanie „Institutional Mechanisms for Gender Equality and Gender Mainstreaming” zorganizowane przez Europejski Instytut ds. </w:t>
            </w:r>
            <w:r w:rsidRPr="00EC250C">
              <w:t>Równości Kobiet</w:t>
            </w:r>
            <w:r w:rsidR="00992FD0" w:rsidRPr="00EC250C">
              <w:t xml:space="preserve"> i </w:t>
            </w:r>
            <w:r w:rsidRPr="00EC250C">
              <w:t>Mężczyzn (EIGE). Wilno, Litwa.</w:t>
            </w:r>
          </w:p>
        </w:tc>
        <w:tc>
          <w:tcPr>
            <w:tcW w:w="1687" w:type="dxa"/>
          </w:tcPr>
          <w:p w14:paraId="53B5DAE6" w14:textId="77777777" w:rsidR="00250AC8" w:rsidRPr="00EC250C" w:rsidRDefault="00250AC8" w:rsidP="00D131FA">
            <w:pPr>
              <w:pStyle w:val="Tabela"/>
              <w:jc w:val="both"/>
            </w:pPr>
            <w:r w:rsidRPr="00EC250C">
              <w:t>12–13.11.2018</w:t>
            </w:r>
            <w:r w:rsidR="00C91F6E" w:rsidRPr="00EC250C">
              <w:t> r.</w:t>
            </w:r>
          </w:p>
        </w:tc>
      </w:tr>
      <w:tr w:rsidR="00250AC8" w:rsidRPr="00EC250C" w14:paraId="7A8B92C9" w14:textId="77777777" w:rsidTr="00FC47F2">
        <w:trPr>
          <w:tblCellSpacing w:w="20" w:type="dxa"/>
        </w:trPr>
        <w:tc>
          <w:tcPr>
            <w:tcW w:w="516" w:type="dxa"/>
          </w:tcPr>
          <w:p w14:paraId="226B929C" w14:textId="77777777" w:rsidR="00250AC8" w:rsidRPr="00EC250C" w:rsidRDefault="00250AC8" w:rsidP="006C70B7">
            <w:pPr>
              <w:pStyle w:val="Tabela"/>
              <w:numPr>
                <w:ilvl w:val="0"/>
                <w:numId w:val="81"/>
              </w:numPr>
              <w:ind w:left="0" w:firstLine="0"/>
              <w:jc w:val="both"/>
            </w:pPr>
          </w:p>
        </w:tc>
        <w:tc>
          <w:tcPr>
            <w:tcW w:w="7473" w:type="dxa"/>
          </w:tcPr>
          <w:p w14:paraId="13E41E4E" w14:textId="77777777" w:rsidR="00250AC8" w:rsidRPr="00EC250C" w:rsidRDefault="001C54CC" w:rsidP="00D131FA">
            <w:pPr>
              <w:pStyle w:val="Tabela"/>
              <w:jc w:val="both"/>
            </w:pPr>
            <w:r w:rsidRPr="00EC250C">
              <w:rPr>
                <w:lang w:val="en-GB"/>
              </w:rPr>
              <w:t>Międzynarodowa konferencja nt. praworządności</w:t>
            </w:r>
            <w:r w:rsidR="00992FD0" w:rsidRPr="00EC250C">
              <w:rPr>
                <w:lang w:val="en-GB"/>
              </w:rPr>
              <w:t xml:space="preserve"> i </w:t>
            </w:r>
            <w:r w:rsidRPr="00EC250C">
              <w:rPr>
                <w:lang w:val="en-GB"/>
              </w:rPr>
              <w:t>konstytucjonalizmu „Constitutional Resilience: How Can</w:t>
            </w:r>
            <w:r w:rsidR="00992FD0" w:rsidRPr="00EC250C">
              <w:rPr>
                <w:lang w:val="en-GB"/>
              </w:rPr>
              <w:t xml:space="preserve"> a </w:t>
            </w:r>
            <w:r w:rsidRPr="00EC250C">
              <w:rPr>
                <w:lang w:val="en-GB"/>
              </w:rPr>
              <w:t xml:space="preserve">Democratic Constitution Survive an Autocratic Majority”. </w:t>
            </w:r>
            <w:r w:rsidRPr="00EC250C">
              <w:t>Berlin, Niemcy.</w:t>
            </w:r>
          </w:p>
        </w:tc>
        <w:tc>
          <w:tcPr>
            <w:tcW w:w="1687" w:type="dxa"/>
          </w:tcPr>
          <w:p w14:paraId="316B4039" w14:textId="77777777" w:rsidR="00250AC8" w:rsidRPr="00EC250C" w:rsidRDefault="00250AC8" w:rsidP="00D131FA">
            <w:pPr>
              <w:pStyle w:val="Tabela"/>
              <w:jc w:val="both"/>
            </w:pPr>
            <w:r w:rsidRPr="00EC250C">
              <w:t>12–14.11.2018</w:t>
            </w:r>
            <w:r w:rsidR="00C91F6E" w:rsidRPr="00EC250C">
              <w:t> r.</w:t>
            </w:r>
          </w:p>
        </w:tc>
      </w:tr>
      <w:tr w:rsidR="00250AC8" w:rsidRPr="00EC250C" w14:paraId="1E690070" w14:textId="77777777" w:rsidTr="00FC47F2">
        <w:trPr>
          <w:tblCellSpacing w:w="20" w:type="dxa"/>
        </w:trPr>
        <w:tc>
          <w:tcPr>
            <w:tcW w:w="516" w:type="dxa"/>
          </w:tcPr>
          <w:p w14:paraId="578B1F2E" w14:textId="77777777" w:rsidR="00250AC8" w:rsidRPr="00EC250C" w:rsidRDefault="00250AC8" w:rsidP="006C70B7">
            <w:pPr>
              <w:pStyle w:val="Tabela"/>
              <w:numPr>
                <w:ilvl w:val="0"/>
                <w:numId w:val="81"/>
              </w:numPr>
              <w:ind w:left="0" w:firstLine="0"/>
              <w:jc w:val="both"/>
            </w:pPr>
          </w:p>
        </w:tc>
        <w:tc>
          <w:tcPr>
            <w:tcW w:w="7473" w:type="dxa"/>
          </w:tcPr>
          <w:p w14:paraId="0F3812C9" w14:textId="77777777" w:rsidR="00250AC8" w:rsidRPr="00EC250C" w:rsidRDefault="00250AC8" w:rsidP="00D131FA">
            <w:pPr>
              <w:pStyle w:val="Tabela"/>
              <w:jc w:val="both"/>
            </w:pPr>
            <w:r w:rsidRPr="00EC250C">
              <w:t xml:space="preserve">Udział </w:t>
            </w:r>
            <w:r w:rsidR="003C397F" w:rsidRPr="00EC250C">
              <w:t>rzecznika praw obywatelskich</w:t>
            </w:r>
            <w:r w:rsidRPr="00EC250C">
              <w:t xml:space="preserve"> Adama Bodnara</w:t>
            </w:r>
            <w:r w:rsidR="00992FD0" w:rsidRPr="00EC250C">
              <w:t xml:space="preserve"> w </w:t>
            </w:r>
            <w:r w:rsidRPr="00EC250C">
              <w:t>konferencji kończącej projekt realizowany we współpracy</w:t>
            </w:r>
            <w:r w:rsidR="00992FD0" w:rsidRPr="00EC250C">
              <w:t xml:space="preserve"> z </w:t>
            </w:r>
            <w:r w:rsidRPr="00EC250C">
              <w:t>ODIHR nt. charakterystyki</w:t>
            </w:r>
            <w:r w:rsidR="00992FD0" w:rsidRPr="00EC250C">
              <w:t xml:space="preserve"> i </w:t>
            </w:r>
            <w:r w:rsidRPr="00EC250C">
              <w:t>skali przestępstw</w:t>
            </w:r>
            <w:r w:rsidR="00992FD0" w:rsidRPr="00EC250C">
              <w:t xml:space="preserve"> z </w:t>
            </w:r>
            <w:r w:rsidRPr="00EC250C">
              <w:t>nienawiści. Wiedeń, Austria.</w:t>
            </w:r>
          </w:p>
        </w:tc>
        <w:tc>
          <w:tcPr>
            <w:tcW w:w="1687" w:type="dxa"/>
          </w:tcPr>
          <w:p w14:paraId="75357226" w14:textId="77777777" w:rsidR="00250AC8" w:rsidRPr="00EC250C" w:rsidRDefault="00250AC8" w:rsidP="00D131FA">
            <w:pPr>
              <w:pStyle w:val="Tabela"/>
              <w:jc w:val="both"/>
            </w:pPr>
            <w:r w:rsidRPr="00EC250C">
              <w:t>13–14.11.2018</w:t>
            </w:r>
            <w:r w:rsidR="00C91F6E" w:rsidRPr="00EC250C">
              <w:t> r.</w:t>
            </w:r>
          </w:p>
        </w:tc>
      </w:tr>
      <w:tr w:rsidR="00250AC8" w:rsidRPr="00EC250C" w14:paraId="6BBFB2BE" w14:textId="77777777" w:rsidTr="00FC47F2">
        <w:trPr>
          <w:tblCellSpacing w:w="20" w:type="dxa"/>
        </w:trPr>
        <w:tc>
          <w:tcPr>
            <w:tcW w:w="516" w:type="dxa"/>
          </w:tcPr>
          <w:p w14:paraId="3D427A11" w14:textId="77777777" w:rsidR="00250AC8" w:rsidRPr="00EC250C" w:rsidRDefault="00250AC8" w:rsidP="006C70B7">
            <w:pPr>
              <w:pStyle w:val="Tabela"/>
              <w:numPr>
                <w:ilvl w:val="0"/>
                <w:numId w:val="81"/>
              </w:numPr>
              <w:ind w:left="0" w:firstLine="0"/>
              <w:jc w:val="both"/>
            </w:pPr>
          </w:p>
        </w:tc>
        <w:tc>
          <w:tcPr>
            <w:tcW w:w="7473" w:type="dxa"/>
          </w:tcPr>
          <w:p w14:paraId="3A51AC8D" w14:textId="77777777" w:rsidR="00250AC8" w:rsidRPr="00EC250C" w:rsidRDefault="00250AC8" w:rsidP="00D131FA">
            <w:pPr>
              <w:pStyle w:val="Tabela"/>
              <w:jc w:val="both"/>
            </w:pPr>
            <w:r w:rsidRPr="00EC250C">
              <w:rPr>
                <w:lang w:val="en-US"/>
              </w:rPr>
              <w:t xml:space="preserve">Seminarium nt. „Not on Our Watch! Equality Bodies Fighting Hate Speech” zorganizowane przez EQUINET. </w:t>
            </w:r>
            <w:r w:rsidRPr="00EC250C">
              <w:t>Rzym, Włochy.</w:t>
            </w:r>
          </w:p>
        </w:tc>
        <w:tc>
          <w:tcPr>
            <w:tcW w:w="1687" w:type="dxa"/>
          </w:tcPr>
          <w:p w14:paraId="6A5576E9" w14:textId="77777777" w:rsidR="00250AC8" w:rsidRPr="00EC250C" w:rsidRDefault="00250AC8" w:rsidP="00D131FA">
            <w:pPr>
              <w:pStyle w:val="Tabela"/>
              <w:jc w:val="both"/>
            </w:pPr>
            <w:r w:rsidRPr="00EC250C">
              <w:t>18–21.11.2018</w:t>
            </w:r>
            <w:r w:rsidR="00C91F6E" w:rsidRPr="00EC250C">
              <w:t> r.</w:t>
            </w:r>
          </w:p>
        </w:tc>
      </w:tr>
      <w:tr w:rsidR="00250AC8" w:rsidRPr="00EC250C" w14:paraId="6C44D2E4" w14:textId="77777777" w:rsidTr="00FC47F2">
        <w:trPr>
          <w:tblCellSpacing w:w="20" w:type="dxa"/>
        </w:trPr>
        <w:tc>
          <w:tcPr>
            <w:tcW w:w="516" w:type="dxa"/>
          </w:tcPr>
          <w:p w14:paraId="343904A8" w14:textId="77777777" w:rsidR="00250AC8" w:rsidRPr="00EC250C" w:rsidRDefault="00250AC8" w:rsidP="006C70B7">
            <w:pPr>
              <w:pStyle w:val="Tabela"/>
              <w:numPr>
                <w:ilvl w:val="0"/>
                <w:numId w:val="81"/>
              </w:numPr>
              <w:ind w:left="0" w:firstLine="0"/>
              <w:jc w:val="both"/>
            </w:pPr>
          </w:p>
        </w:tc>
        <w:tc>
          <w:tcPr>
            <w:tcW w:w="7473" w:type="dxa"/>
          </w:tcPr>
          <w:p w14:paraId="0A746E96" w14:textId="77777777" w:rsidR="00250AC8" w:rsidRPr="00EC250C" w:rsidRDefault="00250AC8" w:rsidP="00D131FA">
            <w:pPr>
              <w:pStyle w:val="Tabela"/>
              <w:jc w:val="both"/>
            </w:pPr>
            <w:r w:rsidRPr="00EC250C">
              <w:t xml:space="preserve">Udział </w:t>
            </w:r>
            <w:r w:rsidR="003C397F" w:rsidRPr="00EC250C">
              <w:t>rzecznika praw obywatelskich</w:t>
            </w:r>
            <w:r w:rsidRPr="00EC250C">
              <w:t xml:space="preserve"> Adama Bodnara</w:t>
            </w:r>
            <w:r w:rsidR="00992FD0" w:rsidRPr="00EC250C">
              <w:t xml:space="preserve"> w </w:t>
            </w:r>
            <w:r w:rsidRPr="00EC250C">
              <w:t>wysłuchaniu publicznym</w:t>
            </w:r>
            <w:r w:rsidR="00992FD0" w:rsidRPr="00EC250C">
              <w:t xml:space="preserve"> w </w:t>
            </w:r>
            <w:r w:rsidRPr="00EC250C">
              <w:t>Parlamencie Europejskim nt. niezależności sądownictwa, zorganizowanym przez Komisję LIBE (Committee on Civil Liberties, Justice and Home Affairs). Bruksela, Belgia.</w:t>
            </w:r>
          </w:p>
        </w:tc>
        <w:tc>
          <w:tcPr>
            <w:tcW w:w="1687" w:type="dxa"/>
          </w:tcPr>
          <w:p w14:paraId="2FC323E5" w14:textId="77777777" w:rsidR="00250AC8" w:rsidRPr="00EC250C" w:rsidRDefault="00250AC8" w:rsidP="00D131FA">
            <w:pPr>
              <w:pStyle w:val="Tabela"/>
              <w:jc w:val="both"/>
            </w:pPr>
            <w:r w:rsidRPr="00EC250C">
              <w:t>20.11.2018</w:t>
            </w:r>
            <w:r w:rsidR="00C91F6E" w:rsidRPr="00EC250C">
              <w:t> r.</w:t>
            </w:r>
          </w:p>
        </w:tc>
      </w:tr>
      <w:tr w:rsidR="00250AC8" w:rsidRPr="00EC250C" w14:paraId="05981ED8" w14:textId="77777777" w:rsidTr="00FC47F2">
        <w:trPr>
          <w:tblCellSpacing w:w="20" w:type="dxa"/>
        </w:trPr>
        <w:tc>
          <w:tcPr>
            <w:tcW w:w="516" w:type="dxa"/>
          </w:tcPr>
          <w:p w14:paraId="275B78B4" w14:textId="77777777" w:rsidR="00250AC8" w:rsidRPr="00EC250C" w:rsidRDefault="00250AC8" w:rsidP="006C70B7">
            <w:pPr>
              <w:pStyle w:val="Tabela"/>
              <w:numPr>
                <w:ilvl w:val="0"/>
                <w:numId w:val="81"/>
              </w:numPr>
              <w:ind w:left="0" w:firstLine="0"/>
              <w:jc w:val="both"/>
            </w:pPr>
          </w:p>
        </w:tc>
        <w:tc>
          <w:tcPr>
            <w:tcW w:w="7473" w:type="dxa"/>
          </w:tcPr>
          <w:p w14:paraId="7B325F3D" w14:textId="77777777" w:rsidR="00250AC8" w:rsidRPr="00EC250C" w:rsidRDefault="00250AC8" w:rsidP="00D131FA">
            <w:pPr>
              <w:pStyle w:val="Tabela"/>
              <w:jc w:val="both"/>
            </w:pPr>
            <w:r w:rsidRPr="00EC250C">
              <w:t>Spotkanie zorganizowane przez Open Society Foundations</w:t>
            </w:r>
            <w:r w:rsidR="00992FD0" w:rsidRPr="00EC250C">
              <w:t xml:space="preserve"> w </w:t>
            </w:r>
            <w:r w:rsidRPr="00EC250C">
              <w:t>sprawie postępowań sądowych</w:t>
            </w:r>
            <w:r w:rsidR="00992FD0" w:rsidRPr="00EC250C">
              <w:t xml:space="preserve"> w </w:t>
            </w:r>
            <w:r w:rsidRPr="00EC250C">
              <w:t>zakresie kredytów walutowych. Lizbona, Portugalia.</w:t>
            </w:r>
          </w:p>
        </w:tc>
        <w:tc>
          <w:tcPr>
            <w:tcW w:w="1687" w:type="dxa"/>
          </w:tcPr>
          <w:p w14:paraId="567C9CCC" w14:textId="77777777" w:rsidR="00250AC8" w:rsidRPr="00EC250C" w:rsidRDefault="00250AC8" w:rsidP="00D131FA">
            <w:pPr>
              <w:pStyle w:val="Tabela"/>
              <w:jc w:val="both"/>
            </w:pPr>
            <w:r w:rsidRPr="00EC250C">
              <w:t>21–24.11.2018</w:t>
            </w:r>
            <w:r w:rsidR="00C91F6E" w:rsidRPr="00EC250C">
              <w:t> r.</w:t>
            </w:r>
          </w:p>
        </w:tc>
      </w:tr>
      <w:tr w:rsidR="00250AC8" w:rsidRPr="00EC250C" w14:paraId="04D00709" w14:textId="77777777" w:rsidTr="00FC47F2">
        <w:trPr>
          <w:tblCellSpacing w:w="20" w:type="dxa"/>
        </w:trPr>
        <w:tc>
          <w:tcPr>
            <w:tcW w:w="516" w:type="dxa"/>
          </w:tcPr>
          <w:p w14:paraId="37E40B0D" w14:textId="77777777" w:rsidR="00250AC8" w:rsidRPr="00EC250C" w:rsidRDefault="00250AC8" w:rsidP="006C70B7">
            <w:pPr>
              <w:pStyle w:val="Tabela"/>
              <w:numPr>
                <w:ilvl w:val="0"/>
                <w:numId w:val="81"/>
              </w:numPr>
              <w:ind w:left="0" w:firstLine="0"/>
              <w:jc w:val="both"/>
            </w:pPr>
          </w:p>
        </w:tc>
        <w:tc>
          <w:tcPr>
            <w:tcW w:w="7473" w:type="dxa"/>
          </w:tcPr>
          <w:p w14:paraId="4288CF9C" w14:textId="77777777" w:rsidR="00250AC8" w:rsidRPr="00EC250C" w:rsidRDefault="00250AC8" w:rsidP="00D131FA">
            <w:pPr>
              <w:pStyle w:val="Tabela"/>
              <w:jc w:val="both"/>
            </w:pPr>
            <w:r w:rsidRPr="00EC250C">
              <w:t>Konferencja zorganizowana przez Helsińską Fundację Praw Człowieka, podsumowująca projekt poświęcony systemowi resocjalizacji nieletnich nt. „Children Behind Bars 2.0”. Bruksela, Belgia.</w:t>
            </w:r>
          </w:p>
        </w:tc>
        <w:tc>
          <w:tcPr>
            <w:tcW w:w="1687" w:type="dxa"/>
          </w:tcPr>
          <w:p w14:paraId="15915E01" w14:textId="77777777" w:rsidR="00250AC8" w:rsidRPr="00EC250C" w:rsidRDefault="00250AC8" w:rsidP="00D131FA">
            <w:pPr>
              <w:pStyle w:val="Tabela"/>
              <w:jc w:val="both"/>
            </w:pPr>
            <w:r w:rsidRPr="00EC250C">
              <w:t>25–26.11.2018</w:t>
            </w:r>
            <w:r w:rsidR="00C91F6E" w:rsidRPr="00EC250C">
              <w:t> r.</w:t>
            </w:r>
          </w:p>
        </w:tc>
      </w:tr>
      <w:tr w:rsidR="00250AC8" w:rsidRPr="00EC250C" w14:paraId="48C471A6" w14:textId="77777777" w:rsidTr="00FC47F2">
        <w:trPr>
          <w:tblCellSpacing w:w="20" w:type="dxa"/>
        </w:trPr>
        <w:tc>
          <w:tcPr>
            <w:tcW w:w="516" w:type="dxa"/>
          </w:tcPr>
          <w:p w14:paraId="3BAAA05D" w14:textId="77777777" w:rsidR="00250AC8" w:rsidRPr="00EC250C" w:rsidRDefault="00250AC8" w:rsidP="006C70B7">
            <w:pPr>
              <w:pStyle w:val="Tabela"/>
              <w:numPr>
                <w:ilvl w:val="0"/>
                <w:numId w:val="81"/>
              </w:numPr>
              <w:ind w:left="0" w:firstLine="0"/>
              <w:jc w:val="both"/>
            </w:pPr>
          </w:p>
        </w:tc>
        <w:tc>
          <w:tcPr>
            <w:tcW w:w="7473" w:type="dxa"/>
          </w:tcPr>
          <w:p w14:paraId="1BD6DD30" w14:textId="77777777" w:rsidR="00250AC8" w:rsidRPr="00EC250C" w:rsidRDefault="00250AC8" w:rsidP="00D131FA">
            <w:pPr>
              <w:pStyle w:val="Tabela"/>
              <w:jc w:val="both"/>
            </w:pPr>
            <w:r w:rsidRPr="00EC250C">
              <w:t xml:space="preserve">Udział </w:t>
            </w:r>
            <w:r w:rsidR="003C397F" w:rsidRPr="00EC250C">
              <w:t>zastępczyni</w:t>
            </w:r>
            <w:r w:rsidRPr="00EC250C">
              <w:t xml:space="preserve"> RPO Sylwii Spurek</w:t>
            </w:r>
            <w:r w:rsidR="00992FD0" w:rsidRPr="00EC250C">
              <w:t xml:space="preserve"> w </w:t>
            </w:r>
            <w:r w:rsidRPr="00EC250C">
              <w:t>posiedzeniu „Interparliamentary Committee Meeting in Cooperation With the European Network of Ombudsmen” zorganizowanym przez Parlament Europejski. Bruksela, Belgia.</w:t>
            </w:r>
          </w:p>
        </w:tc>
        <w:tc>
          <w:tcPr>
            <w:tcW w:w="1687" w:type="dxa"/>
          </w:tcPr>
          <w:p w14:paraId="1CF04644" w14:textId="77777777" w:rsidR="00250AC8" w:rsidRPr="00EC250C" w:rsidRDefault="00250AC8" w:rsidP="00D131FA">
            <w:pPr>
              <w:pStyle w:val="Tabela"/>
              <w:jc w:val="both"/>
            </w:pPr>
            <w:r w:rsidRPr="00EC250C">
              <w:t>27.11.2018</w:t>
            </w:r>
            <w:r w:rsidR="00C91F6E" w:rsidRPr="00EC250C">
              <w:t> r.</w:t>
            </w:r>
          </w:p>
        </w:tc>
      </w:tr>
      <w:tr w:rsidR="00250AC8" w:rsidRPr="00EC250C" w14:paraId="124D3F3C" w14:textId="77777777" w:rsidTr="00FC47F2">
        <w:trPr>
          <w:tblCellSpacing w:w="20" w:type="dxa"/>
        </w:trPr>
        <w:tc>
          <w:tcPr>
            <w:tcW w:w="516" w:type="dxa"/>
          </w:tcPr>
          <w:p w14:paraId="3348CA11" w14:textId="77777777" w:rsidR="00250AC8" w:rsidRPr="00EC250C" w:rsidRDefault="00250AC8" w:rsidP="006C70B7">
            <w:pPr>
              <w:pStyle w:val="Tabela"/>
              <w:numPr>
                <w:ilvl w:val="0"/>
                <w:numId w:val="81"/>
              </w:numPr>
              <w:ind w:left="0" w:firstLine="0"/>
              <w:jc w:val="both"/>
            </w:pPr>
          </w:p>
        </w:tc>
        <w:tc>
          <w:tcPr>
            <w:tcW w:w="7473" w:type="dxa"/>
          </w:tcPr>
          <w:p w14:paraId="0A7CC313" w14:textId="77777777" w:rsidR="00250AC8" w:rsidRPr="00EC250C" w:rsidRDefault="00250AC8" w:rsidP="00D131FA">
            <w:pPr>
              <w:pStyle w:val="Tabela"/>
              <w:jc w:val="both"/>
            </w:pPr>
            <w:r w:rsidRPr="00EC250C">
              <w:t xml:space="preserve">Udział </w:t>
            </w:r>
            <w:r w:rsidR="003C397F" w:rsidRPr="00EC250C">
              <w:t>zastępczyni</w:t>
            </w:r>
            <w:r w:rsidRPr="00EC250C">
              <w:t xml:space="preserve"> RPO Hanny Machińskiej</w:t>
            </w:r>
            <w:r w:rsidR="00992FD0" w:rsidRPr="00EC250C">
              <w:t xml:space="preserve"> w </w:t>
            </w:r>
            <w:r w:rsidRPr="00EC250C">
              <w:t xml:space="preserve">konferencji nt. </w:t>
            </w:r>
            <w:r w:rsidRPr="00EC250C">
              <w:rPr>
                <w:lang w:val="en-US"/>
              </w:rPr>
              <w:t xml:space="preserve">„Annual Colloquium on Fundamental Rights 2018 – Democracy in the EU” zorganizowanej przez Komisję Europejską. </w:t>
            </w:r>
            <w:r w:rsidRPr="00EC250C">
              <w:t>Bruksela, Belgia.</w:t>
            </w:r>
          </w:p>
        </w:tc>
        <w:tc>
          <w:tcPr>
            <w:tcW w:w="1687" w:type="dxa"/>
          </w:tcPr>
          <w:p w14:paraId="6F545BA8" w14:textId="77777777" w:rsidR="00250AC8" w:rsidRPr="00EC250C" w:rsidRDefault="00250AC8" w:rsidP="00D131FA">
            <w:pPr>
              <w:pStyle w:val="Tabela"/>
              <w:jc w:val="both"/>
            </w:pPr>
            <w:r w:rsidRPr="00EC250C">
              <w:t>27.11.2018</w:t>
            </w:r>
            <w:r w:rsidR="00C91F6E" w:rsidRPr="00EC250C">
              <w:t> r.</w:t>
            </w:r>
          </w:p>
        </w:tc>
      </w:tr>
      <w:tr w:rsidR="00250AC8" w:rsidRPr="00EC250C" w14:paraId="768C96A4" w14:textId="77777777" w:rsidTr="00FC47F2">
        <w:trPr>
          <w:tblCellSpacing w:w="20" w:type="dxa"/>
        </w:trPr>
        <w:tc>
          <w:tcPr>
            <w:tcW w:w="516" w:type="dxa"/>
          </w:tcPr>
          <w:p w14:paraId="387F965F" w14:textId="77777777" w:rsidR="00250AC8" w:rsidRPr="00EC250C" w:rsidRDefault="00250AC8" w:rsidP="006C70B7">
            <w:pPr>
              <w:pStyle w:val="Tabela"/>
              <w:numPr>
                <w:ilvl w:val="0"/>
                <w:numId w:val="81"/>
              </w:numPr>
              <w:ind w:left="0" w:firstLine="0"/>
              <w:jc w:val="both"/>
            </w:pPr>
          </w:p>
        </w:tc>
        <w:tc>
          <w:tcPr>
            <w:tcW w:w="7473" w:type="dxa"/>
          </w:tcPr>
          <w:p w14:paraId="11B88F7C" w14:textId="77777777" w:rsidR="00250AC8" w:rsidRPr="00EC250C" w:rsidRDefault="00250AC8" w:rsidP="00D131FA">
            <w:pPr>
              <w:pStyle w:val="Tabela"/>
              <w:jc w:val="both"/>
            </w:pPr>
            <w:r w:rsidRPr="00EC250C">
              <w:t>Spotkanie grupy roboczej nt. praw socjalnych</w:t>
            </w:r>
            <w:r w:rsidR="00992FD0" w:rsidRPr="00EC250C">
              <w:t xml:space="preserve"> i </w:t>
            </w:r>
            <w:r w:rsidRPr="00EC250C">
              <w:t>ekonomicznych ENNHRI oraz 7. Spotkanie Wspólnej Platformy Tematycznej nt. Praw Socjalnych</w:t>
            </w:r>
            <w:r w:rsidR="00992FD0" w:rsidRPr="00EC250C">
              <w:t xml:space="preserve"> i </w:t>
            </w:r>
            <w:r w:rsidRPr="00EC250C">
              <w:t>Ekonomicznych Rady Europy, FRA, ENNHRI oraz EQUINET. Strasburg, Francja.</w:t>
            </w:r>
          </w:p>
        </w:tc>
        <w:tc>
          <w:tcPr>
            <w:tcW w:w="1687" w:type="dxa"/>
          </w:tcPr>
          <w:p w14:paraId="70653AC5" w14:textId="77777777" w:rsidR="00250AC8" w:rsidRPr="00EC250C" w:rsidRDefault="00250AC8" w:rsidP="00D131FA">
            <w:pPr>
              <w:pStyle w:val="Tabela"/>
              <w:jc w:val="both"/>
            </w:pPr>
            <w:r w:rsidRPr="00EC250C">
              <w:t>27–29.11.2018</w:t>
            </w:r>
            <w:r w:rsidR="00C91F6E" w:rsidRPr="00EC250C">
              <w:t> r.</w:t>
            </w:r>
          </w:p>
        </w:tc>
      </w:tr>
      <w:tr w:rsidR="00250AC8" w:rsidRPr="00EC250C" w14:paraId="582644E2" w14:textId="77777777" w:rsidTr="00FC47F2">
        <w:trPr>
          <w:tblCellSpacing w:w="20" w:type="dxa"/>
        </w:trPr>
        <w:tc>
          <w:tcPr>
            <w:tcW w:w="516" w:type="dxa"/>
          </w:tcPr>
          <w:p w14:paraId="0A7C142F" w14:textId="77777777" w:rsidR="00250AC8" w:rsidRPr="00EC250C" w:rsidRDefault="00250AC8" w:rsidP="006C70B7">
            <w:pPr>
              <w:pStyle w:val="Tabela"/>
              <w:numPr>
                <w:ilvl w:val="0"/>
                <w:numId w:val="81"/>
              </w:numPr>
              <w:ind w:left="0" w:firstLine="0"/>
              <w:jc w:val="both"/>
            </w:pPr>
          </w:p>
        </w:tc>
        <w:tc>
          <w:tcPr>
            <w:tcW w:w="7473" w:type="dxa"/>
          </w:tcPr>
          <w:p w14:paraId="551EF343" w14:textId="77777777" w:rsidR="00250AC8" w:rsidRPr="00EC250C" w:rsidRDefault="00250AC8" w:rsidP="00D131FA">
            <w:pPr>
              <w:pStyle w:val="Tabela"/>
              <w:jc w:val="both"/>
            </w:pPr>
            <w:r w:rsidRPr="00EC250C">
              <w:t>Międzynarodowa konferencja</w:t>
            </w:r>
            <w:r w:rsidR="00992FD0" w:rsidRPr="00EC250C">
              <w:t xml:space="preserve"> z </w:t>
            </w:r>
            <w:r w:rsidRPr="00EC250C">
              <w:t>okazji 10-lecia działalności Ombudsmana Armenii jako Krajowego Mechanizmu Prewencji. Erywań, Armenia.</w:t>
            </w:r>
          </w:p>
        </w:tc>
        <w:tc>
          <w:tcPr>
            <w:tcW w:w="1687" w:type="dxa"/>
          </w:tcPr>
          <w:p w14:paraId="1F674747" w14:textId="77777777" w:rsidR="00250AC8" w:rsidRPr="00EC250C" w:rsidRDefault="00250AC8" w:rsidP="00D131FA">
            <w:pPr>
              <w:pStyle w:val="Tabela"/>
              <w:jc w:val="both"/>
            </w:pPr>
            <w:r w:rsidRPr="00EC250C">
              <w:t>27–30.11.2018</w:t>
            </w:r>
            <w:r w:rsidR="00C91F6E" w:rsidRPr="00EC250C">
              <w:t> r.</w:t>
            </w:r>
          </w:p>
        </w:tc>
      </w:tr>
      <w:tr w:rsidR="00250AC8" w:rsidRPr="00EC250C" w14:paraId="48A4B881" w14:textId="77777777" w:rsidTr="00FC47F2">
        <w:trPr>
          <w:tblCellSpacing w:w="20" w:type="dxa"/>
        </w:trPr>
        <w:tc>
          <w:tcPr>
            <w:tcW w:w="516" w:type="dxa"/>
          </w:tcPr>
          <w:p w14:paraId="4F2D86FD" w14:textId="77777777" w:rsidR="00250AC8" w:rsidRPr="00EC250C" w:rsidRDefault="00250AC8" w:rsidP="006C70B7">
            <w:pPr>
              <w:pStyle w:val="Tabela"/>
              <w:numPr>
                <w:ilvl w:val="0"/>
                <w:numId w:val="81"/>
              </w:numPr>
              <w:ind w:left="0" w:firstLine="0"/>
              <w:jc w:val="both"/>
            </w:pPr>
          </w:p>
        </w:tc>
        <w:tc>
          <w:tcPr>
            <w:tcW w:w="7473" w:type="dxa"/>
          </w:tcPr>
          <w:p w14:paraId="20A07F8A" w14:textId="77777777" w:rsidR="00250AC8" w:rsidRPr="00EC250C" w:rsidRDefault="00250AC8" w:rsidP="00D131FA">
            <w:pPr>
              <w:pStyle w:val="Tabela"/>
              <w:jc w:val="both"/>
            </w:pPr>
            <w:r w:rsidRPr="00EC250C">
              <w:rPr>
                <w:lang w:val="en-US"/>
              </w:rPr>
              <w:t xml:space="preserve">Spotkanie grupy roboczej „Equinet Working Group on Policy Formation”. </w:t>
            </w:r>
            <w:r w:rsidRPr="00EC250C">
              <w:t>Bruksela, Belgia.</w:t>
            </w:r>
          </w:p>
        </w:tc>
        <w:tc>
          <w:tcPr>
            <w:tcW w:w="1687" w:type="dxa"/>
          </w:tcPr>
          <w:p w14:paraId="48498CA0" w14:textId="77777777" w:rsidR="00250AC8" w:rsidRPr="00EC250C" w:rsidRDefault="00250AC8" w:rsidP="00D131FA">
            <w:pPr>
              <w:pStyle w:val="Tabela"/>
              <w:jc w:val="both"/>
            </w:pPr>
            <w:r w:rsidRPr="00EC250C">
              <w:t>28–29.11.2018</w:t>
            </w:r>
            <w:r w:rsidR="00C91F6E" w:rsidRPr="00EC250C">
              <w:t> r.</w:t>
            </w:r>
          </w:p>
        </w:tc>
      </w:tr>
      <w:tr w:rsidR="00250AC8" w:rsidRPr="00EC250C" w14:paraId="47972049" w14:textId="77777777" w:rsidTr="00FC47F2">
        <w:trPr>
          <w:tblCellSpacing w:w="20" w:type="dxa"/>
        </w:trPr>
        <w:tc>
          <w:tcPr>
            <w:tcW w:w="516" w:type="dxa"/>
          </w:tcPr>
          <w:p w14:paraId="724719A8" w14:textId="77777777" w:rsidR="00250AC8" w:rsidRPr="00EC250C" w:rsidRDefault="00250AC8" w:rsidP="006C70B7">
            <w:pPr>
              <w:pStyle w:val="Tabela"/>
              <w:numPr>
                <w:ilvl w:val="0"/>
                <w:numId w:val="81"/>
              </w:numPr>
              <w:ind w:left="0" w:firstLine="0"/>
              <w:jc w:val="both"/>
            </w:pPr>
          </w:p>
        </w:tc>
        <w:tc>
          <w:tcPr>
            <w:tcW w:w="7473" w:type="dxa"/>
          </w:tcPr>
          <w:p w14:paraId="2CB03858" w14:textId="77777777" w:rsidR="00250AC8" w:rsidRPr="00EC250C" w:rsidRDefault="00250AC8" w:rsidP="00D131FA">
            <w:pPr>
              <w:pStyle w:val="Tabela"/>
              <w:jc w:val="both"/>
            </w:pPr>
            <w:r w:rsidRPr="00EC250C">
              <w:t xml:space="preserve">Udział </w:t>
            </w:r>
            <w:r w:rsidR="003C397F" w:rsidRPr="00EC250C">
              <w:t>zastępczyni</w:t>
            </w:r>
            <w:r w:rsidRPr="00EC250C">
              <w:t xml:space="preserve"> RPO Hanny Machińskiej</w:t>
            </w:r>
            <w:r w:rsidR="00992FD0" w:rsidRPr="00EC250C">
              <w:t xml:space="preserve"> w </w:t>
            </w:r>
            <w:r w:rsidRPr="00EC250C">
              <w:t>warsztatach nt. ochrony</w:t>
            </w:r>
            <w:r w:rsidR="00992FD0" w:rsidRPr="00EC250C">
              <w:t xml:space="preserve"> i </w:t>
            </w:r>
            <w:r w:rsidRPr="00EC250C">
              <w:t>promocji społeczeństwa obywatelskiego</w:t>
            </w:r>
            <w:r w:rsidR="00992FD0" w:rsidRPr="00EC250C">
              <w:t xml:space="preserve"> w </w:t>
            </w:r>
            <w:r w:rsidRPr="00EC250C">
              <w:t>Europie zorganizowanych przez Komitet Sterujący ds. Praw Człowieka</w:t>
            </w:r>
            <w:r w:rsidR="00992FD0" w:rsidRPr="00EC250C">
              <w:t xml:space="preserve"> w </w:t>
            </w:r>
            <w:r w:rsidRPr="00EC250C">
              <w:t>Radzie Europy. Strasburg, Francja.</w:t>
            </w:r>
          </w:p>
        </w:tc>
        <w:tc>
          <w:tcPr>
            <w:tcW w:w="1687" w:type="dxa"/>
          </w:tcPr>
          <w:p w14:paraId="7F6E5A9C" w14:textId="77777777" w:rsidR="00250AC8" w:rsidRPr="00EC250C" w:rsidRDefault="00250AC8" w:rsidP="00D131FA">
            <w:pPr>
              <w:pStyle w:val="Tabela"/>
              <w:jc w:val="both"/>
            </w:pPr>
            <w:r w:rsidRPr="00EC250C">
              <w:t>28–30.11.2018</w:t>
            </w:r>
            <w:r w:rsidR="00C91F6E" w:rsidRPr="00EC250C">
              <w:t> r.</w:t>
            </w:r>
          </w:p>
        </w:tc>
      </w:tr>
      <w:tr w:rsidR="00250AC8" w:rsidRPr="00EC250C" w14:paraId="50520F07" w14:textId="77777777" w:rsidTr="00FC47F2">
        <w:trPr>
          <w:tblCellSpacing w:w="20" w:type="dxa"/>
        </w:trPr>
        <w:tc>
          <w:tcPr>
            <w:tcW w:w="516" w:type="dxa"/>
          </w:tcPr>
          <w:p w14:paraId="0BBE760D" w14:textId="77777777" w:rsidR="00250AC8" w:rsidRPr="00EC250C" w:rsidRDefault="00250AC8" w:rsidP="006C70B7">
            <w:pPr>
              <w:pStyle w:val="Tabela"/>
              <w:numPr>
                <w:ilvl w:val="0"/>
                <w:numId w:val="81"/>
              </w:numPr>
              <w:ind w:left="0" w:firstLine="0"/>
              <w:jc w:val="both"/>
            </w:pPr>
          </w:p>
        </w:tc>
        <w:tc>
          <w:tcPr>
            <w:tcW w:w="7473" w:type="dxa"/>
          </w:tcPr>
          <w:p w14:paraId="24C388EC" w14:textId="77777777" w:rsidR="00250AC8" w:rsidRPr="00EC250C" w:rsidRDefault="00250AC8" w:rsidP="00D131FA">
            <w:pPr>
              <w:pStyle w:val="Tabela"/>
              <w:jc w:val="both"/>
            </w:pPr>
            <w:r w:rsidRPr="00EC250C">
              <w:t>Drugie Regionalne Spotkanie nt. Prewencji Tortur zorganizowane przez OBWE/ODIHR we współpracy</w:t>
            </w:r>
            <w:r w:rsidR="00992FD0" w:rsidRPr="00EC250C">
              <w:t xml:space="preserve"> z </w:t>
            </w:r>
            <w:r w:rsidRPr="00EC250C">
              <w:t>APT (Stowarzyszenie na rzecz Zapobiegania Torturom). Mediolan, Włochy.</w:t>
            </w:r>
          </w:p>
        </w:tc>
        <w:tc>
          <w:tcPr>
            <w:tcW w:w="1687" w:type="dxa"/>
          </w:tcPr>
          <w:p w14:paraId="7C68820C" w14:textId="77777777" w:rsidR="00250AC8" w:rsidRPr="00EC250C" w:rsidRDefault="00250AC8" w:rsidP="00D131FA">
            <w:pPr>
              <w:pStyle w:val="Tabela"/>
              <w:jc w:val="both"/>
            </w:pPr>
            <w:r w:rsidRPr="00EC250C">
              <w:t>02–05.12.2018</w:t>
            </w:r>
            <w:r w:rsidR="00C91F6E" w:rsidRPr="00EC250C">
              <w:t> r.</w:t>
            </w:r>
          </w:p>
        </w:tc>
      </w:tr>
      <w:tr w:rsidR="00250AC8" w:rsidRPr="00EC250C" w14:paraId="3AF46AB3" w14:textId="77777777" w:rsidTr="00FC47F2">
        <w:trPr>
          <w:tblCellSpacing w:w="20" w:type="dxa"/>
        </w:trPr>
        <w:tc>
          <w:tcPr>
            <w:tcW w:w="516" w:type="dxa"/>
          </w:tcPr>
          <w:p w14:paraId="7717655E" w14:textId="77777777" w:rsidR="00250AC8" w:rsidRPr="00EC250C" w:rsidRDefault="00250AC8" w:rsidP="006C70B7">
            <w:pPr>
              <w:pStyle w:val="Tabela"/>
              <w:numPr>
                <w:ilvl w:val="0"/>
                <w:numId w:val="81"/>
              </w:numPr>
              <w:ind w:left="0" w:firstLine="0"/>
              <w:jc w:val="both"/>
            </w:pPr>
          </w:p>
        </w:tc>
        <w:tc>
          <w:tcPr>
            <w:tcW w:w="7473" w:type="dxa"/>
          </w:tcPr>
          <w:p w14:paraId="5798C195" w14:textId="77777777" w:rsidR="00250AC8" w:rsidRPr="00EC250C" w:rsidRDefault="00250AC8" w:rsidP="00D131FA">
            <w:pPr>
              <w:pStyle w:val="Tabela"/>
              <w:jc w:val="both"/>
            </w:pPr>
            <w:r w:rsidRPr="00EC250C">
              <w:t>Warsztaty nt. metod działania Ombudsmana</w:t>
            </w:r>
            <w:r w:rsidR="00992FD0" w:rsidRPr="00EC250C">
              <w:t xml:space="preserve"> w </w:t>
            </w:r>
            <w:r w:rsidRPr="00EC250C">
              <w:t>zakresie postępowań sądowych zorganizowane przez misję OBWE</w:t>
            </w:r>
            <w:r w:rsidR="00992FD0" w:rsidRPr="00EC250C">
              <w:t xml:space="preserve"> i </w:t>
            </w:r>
            <w:r w:rsidRPr="00EC250C">
              <w:t>Ombudsmana Macedonii. Skopje, Macedonia.</w:t>
            </w:r>
          </w:p>
        </w:tc>
        <w:tc>
          <w:tcPr>
            <w:tcW w:w="1687" w:type="dxa"/>
          </w:tcPr>
          <w:p w14:paraId="1A47437A" w14:textId="77777777" w:rsidR="00250AC8" w:rsidRPr="00EC250C" w:rsidRDefault="00250AC8" w:rsidP="00D131FA">
            <w:pPr>
              <w:pStyle w:val="Tabela"/>
              <w:jc w:val="both"/>
            </w:pPr>
            <w:r w:rsidRPr="00EC250C">
              <w:t>02–06.12.2018</w:t>
            </w:r>
            <w:r w:rsidR="00C91F6E" w:rsidRPr="00EC250C">
              <w:t> r.</w:t>
            </w:r>
          </w:p>
        </w:tc>
      </w:tr>
      <w:tr w:rsidR="00250AC8" w:rsidRPr="00EC250C" w14:paraId="310859F5" w14:textId="77777777" w:rsidTr="00FC47F2">
        <w:trPr>
          <w:tblCellSpacing w:w="20" w:type="dxa"/>
        </w:trPr>
        <w:tc>
          <w:tcPr>
            <w:tcW w:w="516" w:type="dxa"/>
          </w:tcPr>
          <w:p w14:paraId="4DAE2487" w14:textId="77777777" w:rsidR="00250AC8" w:rsidRPr="00EC250C" w:rsidRDefault="00250AC8" w:rsidP="006C70B7">
            <w:pPr>
              <w:pStyle w:val="Tabela"/>
              <w:numPr>
                <w:ilvl w:val="0"/>
                <w:numId w:val="81"/>
              </w:numPr>
              <w:ind w:left="0" w:firstLine="0"/>
              <w:jc w:val="both"/>
            </w:pPr>
          </w:p>
        </w:tc>
        <w:tc>
          <w:tcPr>
            <w:tcW w:w="7473" w:type="dxa"/>
          </w:tcPr>
          <w:p w14:paraId="2CBC1E2B" w14:textId="77777777" w:rsidR="00250AC8" w:rsidRPr="00EC250C" w:rsidRDefault="00250AC8" w:rsidP="00D131FA">
            <w:pPr>
              <w:pStyle w:val="Tabela"/>
              <w:jc w:val="both"/>
            </w:pPr>
            <w:r w:rsidRPr="00EC250C">
              <w:t xml:space="preserve">Wykład </w:t>
            </w:r>
            <w:r w:rsidR="003C397F" w:rsidRPr="00EC250C">
              <w:t>rzecznika praw obywatelskich</w:t>
            </w:r>
            <w:r w:rsidRPr="00EC250C">
              <w:t xml:space="preserve"> Adama Bodnara na Uniwersytecie</w:t>
            </w:r>
            <w:r w:rsidR="00992FD0" w:rsidRPr="00EC250C">
              <w:t xml:space="preserve"> w </w:t>
            </w:r>
            <w:r w:rsidRPr="00EC250C">
              <w:t>Münster, udział</w:t>
            </w:r>
            <w:r w:rsidR="00992FD0" w:rsidRPr="00EC250C">
              <w:t xml:space="preserve"> w </w:t>
            </w:r>
            <w:r w:rsidRPr="00EC250C">
              <w:t>spotkaniu Fundacji Konrada Adenauera nt. raportu specjalnego sprawozdawcy ONZ</w:t>
            </w:r>
            <w:r w:rsidR="00992FD0" w:rsidRPr="00EC250C">
              <w:t xml:space="preserve"> o </w:t>
            </w:r>
            <w:r w:rsidRPr="00EC250C">
              <w:t>niezależności sądownictwa</w:t>
            </w:r>
            <w:r w:rsidR="00992FD0" w:rsidRPr="00EC250C">
              <w:t xml:space="preserve"> w </w:t>
            </w:r>
            <w:r w:rsidRPr="00EC250C">
              <w:t>Polsce oraz</w:t>
            </w:r>
            <w:r w:rsidR="00992FD0" w:rsidRPr="00EC250C">
              <w:t xml:space="preserve"> w </w:t>
            </w:r>
            <w:r w:rsidRPr="00EC250C">
              <w:t>dyskusji okrągłego stołu</w:t>
            </w:r>
            <w:r w:rsidR="00992FD0" w:rsidRPr="00EC250C">
              <w:t xml:space="preserve"> w </w:t>
            </w:r>
            <w:r w:rsidRPr="00EC250C">
              <w:t>Poczdamie nt. praw kobiet. Münster. Berlin. Poczdam, Niemcy.</w:t>
            </w:r>
          </w:p>
        </w:tc>
        <w:tc>
          <w:tcPr>
            <w:tcW w:w="1687" w:type="dxa"/>
          </w:tcPr>
          <w:p w14:paraId="47DE2A44" w14:textId="77777777" w:rsidR="00250AC8" w:rsidRPr="00EC250C" w:rsidRDefault="00250AC8" w:rsidP="00D131FA">
            <w:pPr>
              <w:pStyle w:val="Tabela"/>
              <w:jc w:val="both"/>
            </w:pPr>
            <w:r w:rsidRPr="00EC250C">
              <w:t>03–05.12.2018</w:t>
            </w:r>
            <w:r w:rsidR="00C91F6E" w:rsidRPr="00EC250C">
              <w:t> r.</w:t>
            </w:r>
          </w:p>
        </w:tc>
      </w:tr>
      <w:tr w:rsidR="00250AC8" w:rsidRPr="00EC250C" w14:paraId="003D503C" w14:textId="77777777" w:rsidTr="00FC47F2">
        <w:trPr>
          <w:tblCellSpacing w:w="20" w:type="dxa"/>
        </w:trPr>
        <w:tc>
          <w:tcPr>
            <w:tcW w:w="516" w:type="dxa"/>
          </w:tcPr>
          <w:p w14:paraId="286FCB05" w14:textId="77777777" w:rsidR="00250AC8" w:rsidRPr="00EC250C" w:rsidRDefault="00250AC8" w:rsidP="006C70B7">
            <w:pPr>
              <w:pStyle w:val="Tabela"/>
              <w:numPr>
                <w:ilvl w:val="0"/>
                <w:numId w:val="81"/>
              </w:numPr>
              <w:ind w:left="0" w:firstLine="0"/>
              <w:jc w:val="both"/>
            </w:pPr>
          </w:p>
        </w:tc>
        <w:tc>
          <w:tcPr>
            <w:tcW w:w="7473" w:type="dxa"/>
          </w:tcPr>
          <w:p w14:paraId="63CC4F70" w14:textId="77777777" w:rsidR="00250AC8" w:rsidRPr="00EC250C" w:rsidRDefault="00250AC8" w:rsidP="00D131FA">
            <w:pPr>
              <w:pStyle w:val="Tabela"/>
              <w:jc w:val="both"/>
            </w:pPr>
            <w:r w:rsidRPr="00EC250C">
              <w:t>Warsztaty nt. „Trust Across Borders:State Institutions, Families and Child Welfare Services in Poland and Norway” zorganizowane przez Peace Research Institute</w:t>
            </w:r>
            <w:r w:rsidR="00992FD0" w:rsidRPr="00EC250C">
              <w:t xml:space="preserve"> z </w:t>
            </w:r>
            <w:r w:rsidRPr="00EC250C">
              <w:t>Oslo (PRIO) oraz Uniwersytet Gdański finansowane</w:t>
            </w:r>
            <w:r w:rsidR="00992FD0" w:rsidRPr="00EC250C">
              <w:t xml:space="preserve"> w </w:t>
            </w:r>
            <w:r w:rsidRPr="00EC250C">
              <w:t>ramach polsko-norweskiej współpracy przez fundusze bilateralne EOG-Polska. Oslo, Norwegia.</w:t>
            </w:r>
          </w:p>
        </w:tc>
        <w:tc>
          <w:tcPr>
            <w:tcW w:w="1687" w:type="dxa"/>
          </w:tcPr>
          <w:p w14:paraId="3010669D" w14:textId="77777777" w:rsidR="00250AC8" w:rsidRPr="00EC250C" w:rsidRDefault="00250AC8" w:rsidP="00D131FA">
            <w:pPr>
              <w:pStyle w:val="Tabela"/>
              <w:jc w:val="both"/>
            </w:pPr>
            <w:r w:rsidRPr="00EC250C">
              <w:t>04–06.12.2018</w:t>
            </w:r>
            <w:r w:rsidR="00C91F6E" w:rsidRPr="00EC250C">
              <w:t> r.</w:t>
            </w:r>
          </w:p>
        </w:tc>
      </w:tr>
      <w:tr w:rsidR="00250AC8" w:rsidRPr="00EC250C" w14:paraId="4147C4D3" w14:textId="77777777" w:rsidTr="00FC47F2">
        <w:trPr>
          <w:tblCellSpacing w:w="20" w:type="dxa"/>
        </w:trPr>
        <w:tc>
          <w:tcPr>
            <w:tcW w:w="516" w:type="dxa"/>
          </w:tcPr>
          <w:p w14:paraId="4B3BADF1" w14:textId="77777777" w:rsidR="00250AC8" w:rsidRPr="00EC250C" w:rsidRDefault="00250AC8" w:rsidP="006C70B7">
            <w:pPr>
              <w:pStyle w:val="Tabela"/>
              <w:numPr>
                <w:ilvl w:val="0"/>
                <w:numId w:val="81"/>
              </w:numPr>
              <w:ind w:left="0" w:firstLine="0"/>
              <w:jc w:val="both"/>
            </w:pPr>
          </w:p>
        </w:tc>
        <w:tc>
          <w:tcPr>
            <w:tcW w:w="7473" w:type="dxa"/>
          </w:tcPr>
          <w:p w14:paraId="4B8CCD78" w14:textId="77777777" w:rsidR="00250AC8" w:rsidRPr="00EC250C" w:rsidRDefault="00250AC8" w:rsidP="00D131FA">
            <w:pPr>
              <w:pStyle w:val="Tabela"/>
              <w:jc w:val="both"/>
            </w:pPr>
            <w:r w:rsidRPr="00EC250C">
              <w:t xml:space="preserve">Wykład </w:t>
            </w:r>
            <w:r w:rsidR="003C397F" w:rsidRPr="00EC250C">
              <w:t>rzecznika praw obywatelskich</w:t>
            </w:r>
            <w:r w:rsidRPr="00EC250C">
              <w:t xml:space="preserve"> Adama Bodnara na Uniwersytecie</w:t>
            </w:r>
            <w:r w:rsidR="00992FD0" w:rsidRPr="00EC250C">
              <w:t xml:space="preserve"> w </w:t>
            </w:r>
            <w:r w:rsidRPr="00EC250C">
              <w:t>Lejdzie</w:t>
            </w:r>
            <w:r w:rsidR="00992FD0" w:rsidRPr="00EC250C">
              <w:t xml:space="preserve"> z </w:t>
            </w:r>
            <w:r w:rsidRPr="00EC250C">
              <w:t>okazji Międzynarodowego Dnia Praw Człowieka oraz wizyta</w:t>
            </w:r>
            <w:r w:rsidR="00992FD0" w:rsidRPr="00EC250C">
              <w:t xml:space="preserve"> w </w:t>
            </w:r>
            <w:r w:rsidRPr="00EC250C">
              <w:t>biurze Ombudsmana Holandii. Lejda, Holandia.</w:t>
            </w:r>
          </w:p>
        </w:tc>
        <w:tc>
          <w:tcPr>
            <w:tcW w:w="1687" w:type="dxa"/>
          </w:tcPr>
          <w:p w14:paraId="73B3516D" w14:textId="77777777" w:rsidR="00250AC8" w:rsidRPr="00EC250C" w:rsidRDefault="00250AC8" w:rsidP="00D131FA">
            <w:pPr>
              <w:pStyle w:val="Tabela"/>
              <w:jc w:val="both"/>
            </w:pPr>
            <w:r w:rsidRPr="00EC250C">
              <w:t>09–10.12.2018</w:t>
            </w:r>
            <w:r w:rsidR="00C91F6E" w:rsidRPr="00EC250C">
              <w:t> r.</w:t>
            </w:r>
          </w:p>
        </w:tc>
      </w:tr>
      <w:tr w:rsidR="00250AC8" w:rsidRPr="00EC250C" w14:paraId="7CFFEA2B" w14:textId="77777777" w:rsidTr="00FC47F2">
        <w:trPr>
          <w:tblCellSpacing w:w="20" w:type="dxa"/>
        </w:trPr>
        <w:tc>
          <w:tcPr>
            <w:tcW w:w="516" w:type="dxa"/>
          </w:tcPr>
          <w:p w14:paraId="7956A0CD" w14:textId="77777777" w:rsidR="00250AC8" w:rsidRPr="00EC250C" w:rsidRDefault="00250AC8" w:rsidP="006C70B7">
            <w:pPr>
              <w:pStyle w:val="Tabela"/>
              <w:numPr>
                <w:ilvl w:val="0"/>
                <w:numId w:val="81"/>
              </w:numPr>
              <w:ind w:left="0" w:firstLine="0"/>
              <w:jc w:val="both"/>
            </w:pPr>
          </w:p>
        </w:tc>
        <w:tc>
          <w:tcPr>
            <w:tcW w:w="7473" w:type="dxa"/>
          </w:tcPr>
          <w:p w14:paraId="0B63C3A0" w14:textId="77777777" w:rsidR="00250AC8" w:rsidRPr="00EC250C" w:rsidRDefault="00250AC8" w:rsidP="00D131FA">
            <w:pPr>
              <w:pStyle w:val="Tabela"/>
              <w:jc w:val="both"/>
            </w:pPr>
            <w:r w:rsidRPr="00EC250C">
              <w:t>Spotkanie tymczasowej grupy roboczej EQUINET ds. badań</w:t>
            </w:r>
            <w:r w:rsidR="00992FD0" w:rsidRPr="00EC250C">
              <w:t xml:space="preserve"> i </w:t>
            </w:r>
            <w:r w:rsidRPr="00EC250C">
              <w:t>zbierania danych. Bruksela, Belgia.</w:t>
            </w:r>
          </w:p>
        </w:tc>
        <w:tc>
          <w:tcPr>
            <w:tcW w:w="1687" w:type="dxa"/>
          </w:tcPr>
          <w:p w14:paraId="0D547B03" w14:textId="77777777" w:rsidR="00250AC8" w:rsidRPr="00EC250C" w:rsidRDefault="00250AC8" w:rsidP="00D131FA">
            <w:pPr>
              <w:pStyle w:val="Tabela"/>
              <w:jc w:val="both"/>
            </w:pPr>
            <w:r w:rsidRPr="00EC250C">
              <w:t>10–11.12.2018</w:t>
            </w:r>
            <w:r w:rsidR="00C91F6E" w:rsidRPr="00EC250C">
              <w:t> r.</w:t>
            </w:r>
          </w:p>
        </w:tc>
      </w:tr>
      <w:tr w:rsidR="00250AC8" w:rsidRPr="00EC250C" w14:paraId="3BCCD0FB" w14:textId="77777777" w:rsidTr="00FC47F2">
        <w:trPr>
          <w:tblCellSpacing w:w="20" w:type="dxa"/>
        </w:trPr>
        <w:tc>
          <w:tcPr>
            <w:tcW w:w="516" w:type="dxa"/>
          </w:tcPr>
          <w:p w14:paraId="00C769CA" w14:textId="77777777" w:rsidR="00250AC8" w:rsidRPr="00EC250C" w:rsidRDefault="00250AC8" w:rsidP="006C70B7">
            <w:pPr>
              <w:pStyle w:val="Tabela"/>
              <w:numPr>
                <w:ilvl w:val="0"/>
                <w:numId w:val="81"/>
              </w:numPr>
              <w:ind w:left="0" w:firstLine="0"/>
              <w:jc w:val="both"/>
            </w:pPr>
          </w:p>
        </w:tc>
        <w:tc>
          <w:tcPr>
            <w:tcW w:w="7473" w:type="dxa"/>
          </w:tcPr>
          <w:p w14:paraId="7D3208BA" w14:textId="77777777" w:rsidR="00250AC8" w:rsidRPr="00EC250C" w:rsidRDefault="00250AC8" w:rsidP="00D131FA">
            <w:pPr>
              <w:pStyle w:val="Tabela"/>
              <w:jc w:val="both"/>
            </w:pPr>
            <w:r w:rsidRPr="00EC250C">
              <w:rPr>
                <w:lang w:val="en-US"/>
              </w:rPr>
              <w:t>Spotkanie nt. „Effective Alternatives to Immigration Detention: Learning, Sharing, Applying” zorganizowane przez Radę Europy</w:t>
            </w:r>
            <w:r w:rsidR="00992FD0" w:rsidRPr="00EC250C">
              <w:rPr>
                <w:lang w:val="en-US"/>
              </w:rPr>
              <w:t xml:space="preserve"> i </w:t>
            </w:r>
            <w:r w:rsidRPr="00EC250C">
              <w:rPr>
                <w:lang w:val="en-US"/>
              </w:rPr>
              <w:t xml:space="preserve">Ombudsmana Czarnogóry. </w:t>
            </w:r>
            <w:r w:rsidRPr="00EC250C">
              <w:t>Podgorica, Czarnogóra.</w:t>
            </w:r>
          </w:p>
        </w:tc>
        <w:tc>
          <w:tcPr>
            <w:tcW w:w="1687" w:type="dxa"/>
          </w:tcPr>
          <w:p w14:paraId="0385B712" w14:textId="77777777" w:rsidR="00250AC8" w:rsidRPr="00EC250C" w:rsidRDefault="00250AC8" w:rsidP="00D131FA">
            <w:pPr>
              <w:pStyle w:val="Tabela"/>
              <w:jc w:val="both"/>
            </w:pPr>
            <w:r w:rsidRPr="00EC250C">
              <w:t>11–13.12.2018</w:t>
            </w:r>
            <w:r w:rsidR="00C91F6E" w:rsidRPr="00EC250C">
              <w:t> r.</w:t>
            </w:r>
          </w:p>
        </w:tc>
      </w:tr>
      <w:tr w:rsidR="00250AC8" w:rsidRPr="00EC250C" w14:paraId="592C95FF" w14:textId="77777777" w:rsidTr="00FC47F2">
        <w:trPr>
          <w:tblCellSpacing w:w="20" w:type="dxa"/>
        </w:trPr>
        <w:tc>
          <w:tcPr>
            <w:tcW w:w="516" w:type="dxa"/>
          </w:tcPr>
          <w:p w14:paraId="3B7A03CD" w14:textId="77777777" w:rsidR="00250AC8" w:rsidRPr="00EC250C" w:rsidRDefault="00250AC8" w:rsidP="006C70B7">
            <w:pPr>
              <w:pStyle w:val="Tabela"/>
              <w:numPr>
                <w:ilvl w:val="0"/>
                <w:numId w:val="81"/>
              </w:numPr>
              <w:ind w:left="0" w:firstLine="0"/>
              <w:jc w:val="both"/>
            </w:pPr>
          </w:p>
        </w:tc>
        <w:tc>
          <w:tcPr>
            <w:tcW w:w="7473" w:type="dxa"/>
          </w:tcPr>
          <w:p w14:paraId="52F0A869" w14:textId="77777777" w:rsidR="00250AC8" w:rsidRPr="00EC250C" w:rsidRDefault="00250AC8" w:rsidP="00D131FA">
            <w:pPr>
              <w:pStyle w:val="Tabela"/>
              <w:jc w:val="both"/>
            </w:pPr>
            <w:r w:rsidRPr="00EC250C">
              <w:t>Konferencja nt. „The Future of the Rule of Law and Democracy in Europe” kończąca projekt naukowy dotyczący reformy praworządności</w:t>
            </w:r>
            <w:r w:rsidR="00992FD0" w:rsidRPr="00EC250C">
              <w:t xml:space="preserve"> i </w:t>
            </w:r>
            <w:r w:rsidRPr="00EC250C">
              <w:t>demokracji</w:t>
            </w:r>
            <w:r w:rsidR="00992FD0" w:rsidRPr="00EC250C">
              <w:t xml:space="preserve"> w </w:t>
            </w:r>
            <w:r w:rsidRPr="00EC250C">
              <w:t>Słowenii. Lublana, Słowenia.</w:t>
            </w:r>
          </w:p>
        </w:tc>
        <w:tc>
          <w:tcPr>
            <w:tcW w:w="1687" w:type="dxa"/>
          </w:tcPr>
          <w:p w14:paraId="7579B549" w14:textId="77777777" w:rsidR="00250AC8" w:rsidRPr="00EC250C" w:rsidRDefault="00250AC8" w:rsidP="00D131FA">
            <w:pPr>
              <w:pStyle w:val="Tabela"/>
              <w:jc w:val="both"/>
            </w:pPr>
            <w:r w:rsidRPr="00EC250C">
              <w:t>13–14.12.2018</w:t>
            </w:r>
            <w:r w:rsidR="00C91F6E" w:rsidRPr="00EC250C">
              <w:t> r.</w:t>
            </w:r>
          </w:p>
        </w:tc>
      </w:tr>
    </w:tbl>
    <w:p w14:paraId="1E8347CF" w14:textId="77777777" w:rsidR="00250AC8" w:rsidRPr="00EC250C" w:rsidRDefault="00250AC8" w:rsidP="00EC250C">
      <w:pPr>
        <w:pStyle w:val="Nagwek5"/>
      </w:pPr>
      <w:bookmarkStart w:id="893" w:name="_Toc6258109"/>
      <w:r w:rsidRPr="00EC250C">
        <w:t>Spotkania</w:t>
      </w:r>
      <w:r w:rsidR="00992FD0" w:rsidRPr="00EC250C">
        <w:t xml:space="preserve"> i </w:t>
      </w:r>
      <w:r w:rsidRPr="00EC250C">
        <w:t>wizyty gości zagranicznych</w:t>
      </w:r>
      <w:r w:rsidR="00992FD0" w:rsidRPr="00EC250C">
        <w:t xml:space="preserve"> w </w:t>
      </w:r>
      <w:r w:rsidRPr="00EC250C">
        <w:t>Biurze Rzecznika Praw Obywatelskich</w:t>
      </w:r>
      <w:bookmarkEnd w:id="893"/>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76"/>
        <w:gridCol w:w="7655"/>
        <w:gridCol w:w="1605"/>
      </w:tblGrid>
      <w:tr w:rsidR="00250AC8" w:rsidRPr="00EC250C" w14:paraId="65D27D42" w14:textId="77777777" w:rsidTr="00FC47F2">
        <w:trPr>
          <w:tblCellSpacing w:w="20" w:type="dxa"/>
        </w:trPr>
        <w:tc>
          <w:tcPr>
            <w:tcW w:w="516" w:type="dxa"/>
          </w:tcPr>
          <w:p w14:paraId="2D668074" w14:textId="77777777" w:rsidR="00250AC8" w:rsidRPr="00EC250C" w:rsidRDefault="00250AC8" w:rsidP="006C70B7">
            <w:pPr>
              <w:pStyle w:val="Tabela"/>
              <w:numPr>
                <w:ilvl w:val="0"/>
                <w:numId w:val="82"/>
              </w:numPr>
              <w:ind w:left="0" w:firstLine="0"/>
              <w:jc w:val="both"/>
            </w:pPr>
          </w:p>
        </w:tc>
        <w:tc>
          <w:tcPr>
            <w:tcW w:w="7615" w:type="dxa"/>
          </w:tcPr>
          <w:p w14:paraId="505ABB14"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uczestnikami szkolenia dla młodych dyplomatów</w:t>
            </w:r>
            <w:r w:rsidR="00992FD0" w:rsidRPr="00EC250C">
              <w:rPr>
                <w:sz w:val="18"/>
                <w:szCs w:val="20"/>
              </w:rPr>
              <w:t xml:space="preserve"> z </w:t>
            </w:r>
            <w:r w:rsidRPr="00EC250C">
              <w:rPr>
                <w:sz w:val="18"/>
                <w:szCs w:val="20"/>
              </w:rPr>
              <w:t>Niemiec</w:t>
            </w:r>
            <w:r w:rsidR="00992FD0" w:rsidRPr="00EC250C">
              <w:rPr>
                <w:sz w:val="18"/>
                <w:szCs w:val="20"/>
              </w:rPr>
              <w:t xml:space="preserve"> i </w:t>
            </w:r>
            <w:r w:rsidRPr="00EC250C">
              <w:rPr>
                <w:sz w:val="18"/>
                <w:szCs w:val="20"/>
              </w:rPr>
              <w:t>Francji. Biuro RPO. Warszawa.</w:t>
            </w:r>
          </w:p>
        </w:tc>
        <w:tc>
          <w:tcPr>
            <w:tcW w:w="1545" w:type="dxa"/>
          </w:tcPr>
          <w:p w14:paraId="43C7DF68" w14:textId="77777777" w:rsidR="00250AC8" w:rsidRPr="00EC250C" w:rsidRDefault="00250AC8" w:rsidP="00902FC6">
            <w:pPr>
              <w:pStyle w:val="Tabela"/>
              <w:rPr>
                <w:sz w:val="18"/>
                <w:szCs w:val="20"/>
              </w:rPr>
            </w:pPr>
            <w:r w:rsidRPr="00EC250C">
              <w:rPr>
                <w:sz w:val="18"/>
                <w:szCs w:val="20"/>
              </w:rPr>
              <w:t>31.01.2018</w:t>
            </w:r>
            <w:r w:rsidR="00C91F6E" w:rsidRPr="00EC250C">
              <w:rPr>
                <w:sz w:val="18"/>
                <w:szCs w:val="20"/>
              </w:rPr>
              <w:t> r.</w:t>
            </w:r>
          </w:p>
        </w:tc>
      </w:tr>
      <w:tr w:rsidR="00250AC8" w:rsidRPr="00EC250C" w14:paraId="25D9520E" w14:textId="77777777" w:rsidTr="00FC47F2">
        <w:trPr>
          <w:tblCellSpacing w:w="20" w:type="dxa"/>
        </w:trPr>
        <w:tc>
          <w:tcPr>
            <w:tcW w:w="516" w:type="dxa"/>
          </w:tcPr>
          <w:p w14:paraId="571C3D11" w14:textId="77777777" w:rsidR="00250AC8" w:rsidRPr="00EC250C" w:rsidRDefault="00250AC8" w:rsidP="006C70B7">
            <w:pPr>
              <w:pStyle w:val="Tabela"/>
              <w:numPr>
                <w:ilvl w:val="0"/>
                <w:numId w:val="82"/>
              </w:numPr>
              <w:ind w:left="0" w:firstLine="0"/>
              <w:jc w:val="both"/>
            </w:pPr>
          </w:p>
        </w:tc>
        <w:tc>
          <w:tcPr>
            <w:tcW w:w="7615" w:type="dxa"/>
          </w:tcPr>
          <w:p w14:paraId="715FAB2F"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z </w:t>
            </w:r>
            <w:r w:rsidRPr="00EC250C">
              <w:rPr>
                <w:sz w:val="18"/>
                <w:szCs w:val="20"/>
              </w:rPr>
              <w:t>przedstawicielami Republikańskiego Instytutu Kształcenia Zawodowego (RIPO)</w:t>
            </w:r>
            <w:r w:rsidR="00992FD0" w:rsidRPr="00EC250C">
              <w:rPr>
                <w:sz w:val="18"/>
                <w:szCs w:val="20"/>
              </w:rPr>
              <w:t xml:space="preserve"> z </w:t>
            </w:r>
            <w:r w:rsidRPr="00EC250C">
              <w:rPr>
                <w:sz w:val="18"/>
                <w:szCs w:val="20"/>
              </w:rPr>
              <w:t>Białorusi. Biuro RPO. Warszawa.</w:t>
            </w:r>
          </w:p>
        </w:tc>
        <w:tc>
          <w:tcPr>
            <w:tcW w:w="1545" w:type="dxa"/>
          </w:tcPr>
          <w:p w14:paraId="7E372D7F" w14:textId="77777777" w:rsidR="00250AC8" w:rsidRPr="00EC250C" w:rsidRDefault="00250AC8" w:rsidP="00902FC6">
            <w:pPr>
              <w:pStyle w:val="Tabela"/>
              <w:rPr>
                <w:sz w:val="18"/>
                <w:szCs w:val="20"/>
              </w:rPr>
            </w:pPr>
            <w:r w:rsidRPr="00EC250C">
              <w:rPr>
                <w:sz w:val="18"/>
                <w:szCs w:val="20"/>
              </w:rPr>
              <w:t>07.02.2018</w:t>
            </w:r>
            <w:r w:rsidR="00C91F6E" w:rsidRPr="00EC250C">
              <w:rPr>
                <w:sz w:val="18"/>
                <w:szCs w:val="20"/>
              </w:rPr>
              <w:t> r.</w:t>
            </w:r>
          </w:p>
        </w:tc>
      </w:tr>
      <w:tr w:rsidR="00250AC8" w:rsidRPr="00EC250C" w14:paraId="367778BB" w14:textId="77777777" w:rsidTr="00FC47F2">
        <w:trPr>
          <w:tblCellSpacing w:w="20" w:type="dxa"/>
        </w:trPr>
        <w:tc>
          <w:tcPr>
            <w:tcW w:w="516" w:type="dxa"/>
          </w:tcPr>
          <w:p w14:paraId="1D2DB2BD" w14:textId="77777777" w:rsidR="00250AC8" w:rsidRPr="00EC250C" w:rsidRDefault="00250AC8" w:rsidP="006C70B7">
            <w:pPr>
              <w:pStyle w:val="Tabela"/>
              <w:numPr>
                <w:ilvl w:val="0"/>
                <w:numId w:val="82"/>
              </w:numPr>
              <w:ind w:left="0" w:firstLine="0"/>
              <w:jc w:val="both"/>
            </w:pPr>
          </w:p>
        </w:tc>
        <w:tc>
          <w:tcPr>
            <w:tcW w:w="7615" w:type="dxa"/>
          </w:tcPr>
          <w:p w14:paraId="7D2EB35B"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 ze studentami Wydziału Zdrowia Publicznego Uniwersytetu Kopenhaskiego oraz NOHA UW. Biuro RPO. Warszawa.</w:t>
            </w:r>
          </w:p>
        </w:tc>
        <w:tc>
          <w:tcPr>
            <w:tcW w:w="1545" w:type="dxa"/>
          </w:tcPr>
          <w:p w14:paraId="03A39AD4" w14:textId="77777777" w:rsidR="00250AC8" w:rsidRPr="00EC250C" w:rsidRDefault="00250AC8" w:rsidP="00902FC6">
            <w:pPr>
              <w:pStyle w:val="Tabela"/>
              <w:rPr>
                <w:sz w:val="18"/>
                <w:szCs w:val="20"/>
              </w:rPr>
            </w:pPr>
            <w:r w:rsidRPr="00EC250C">
              <w:rPr>
                <w:sz w:val="18"/>
                <w:szCs w:val="20"/>
              </w:rPr>
              <w:t>19.02.2018</w:t>
            </w:r>
            <w:r w:rsidR="00C91F6E" w:rsidRPr="00EC250C">
              <w:rPr>
                <w:sz w:val="18"/>
                <w:szCs w:val="20"/>
              </w:rPr>
              <w:t> r.</w:t>
            </w:r>
          </w:p>
        </w:tc>
      </w:tr>
      <w:tr w:rsidR="00250AC8" w:rsidRPr="00EC250C" w14:paraId="6DCAC9AC" w14:textId="77777777" w:rsidTr="00FC47F2">
        <w:trPr>
          <w:tblCellSpacing w:w="20" w:type="dxa"/>
        </w:trPr>
        <w:tc>
          <w:tcPr>
            <w:tcW w:w="516" w:type="dxa"/>
          </w:tcPr>
          <w:p w14:paraId="205F5CE0" w14:textId="77777777" w:rsidR="00250AC8" w:rsidRPr="00EC250C" w:rsidRDefault="00250AC8" w:rsidP="006C70B7">
            <w:pPr>
              <w:pStyle w:val="Tabela"/>
              <w:numPr>
                <w:ilvl w:val="0"/>
                <w:numId w:val="82"/>
              </w:numPr>
              <w:ind w:left="0" w:firstLine="0"/>
              <w:jc w:val="both"/>
            </w:pPr>
          </w:p>
        </w:tc>
        <w:tc>
          <w:tcPr>
            <w:tcW w:w="7615" w:type="dxa"/>
          </w:tcPr>
          <w:p w14:paraId="057AC709"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z </w:t>
            </w:r>
            <w:r w:rsidRPr="00EC250C">
              <w:rPr>
                <w:sz w:val="18"/>
                <w:szCs w:val="20"/>
              </w:rPr>
              <w:t>delegacją Wysokiego Komisarza Praw Człowieka, Biura Regionalnego na Europę. Biuro RPO. Warszawa.</w:t>
            </w:r>
          </w:p>
        </w:tc>
        <w:tc>
          <w:tcPr>
            <w:tcW w:w="1545" w:type="dxa"/>
          </w:tcPr>
          <w:p w14:paraId="52324696" w14:textId="77777777" w:rsidR="00250AC8" w:rsidRPr="00EC250C" w:rsidRDefault="00250AC8" w:rsidP="00902FC6">
            <w:pPr>
              <w:pStyle w:val="Tabela"/>
              <w:rPr>
                <w:sz w:val="18"/>
                <w:szCs w:val="20"/>
              </w:rPr>
            </w:pPr>
            <w:r w:rsidRPr="00EC250C">
              <w:rPr>
                <w:sz w:val="18"/>
                <w:szCs w:val="20"/>
              </w:rPr>
              <w:t>21.02.2018</w:t>
            </w:r>
            <w:r w:rsidR="00C91F6E" w:rsidRPr="00EC250C">
              <w:rPr>
                <w:sz w:val="18"/>
                <w:szCs w:val="20"/>
              </w:rPr>
              <w:t> r.</w:t>
            </w:r>
          </w:p>
        </w:tc>
      </w:tr>
      <w:tr w:rsidR="00250AC8" w:rsidRPr="00EC250C" w14:paraId="4DBF9B41" w14:textId="77777777" w:rsidTr="00FC47F2">
        <w:trPr>
          <w:tblCellSpacing w:w="20" w:type="dxa"/>
        </w:trPr>
        <w:tc>
          <w:tcPr>
            <w:tcW w:w="516" w:type="dxa"/>
          </w:tcPr>
          <w:p w14:paraId="17A7BBE1" w14:textId="77777777" w:rsidR="00250AC8" w:rsidRPr="00EC250C" w:rsidRDefault="00250AC8" w:rsidP="006C70B7">
            <w:pPr>
              <w:pStyle w:val="Tabela"/>
              <w:numPr>
                <w:ilvl w:val="0"/>
                <w:numId w:val="82"/>
              </w:numPr>
              <w:ind w:left="0" w:firstLine="0"/>
              <w:jc w:val="both"/>
            </w:pPr>
          </w:p>
        </w:tc>
        <w:tc>
          <w:tcPr>
            <w:tcW w:w="7615" w:type="dxa"/>
          </w:tcPr>
          <w:p w14:paraId="18DF6BE6"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ambasadorem Ukrainy Andrijem Deszczicą. Biuro RPO. Warszawa.</w:t>
            </w:r>
          </w:p>
        </w:tc>
        <w:tc>
          <w:tcPr>
            <w:tcW w:w="1545" w:type="dxa"/>
          </w:tcPr>
          <w:p w14:paraId="4E3B2322" w14:textId="77777777" w:rsidR="00250AC8" w:rsidRPr="00EC250C" w:rsidRDefault="00250AC8" w:rsidP="00902FC6">
            <w:pPr>
              <w:pStyle w:val="Tabela"/>
              <w:rPr>
                <w:sz w:val="18"/>
                <w:szCs w:val="20"/>
              </w:rPr>
            </w:pPr>
            <w:r w:rsidRPr="00EC250C">
              <w:rPr>
                <w:sz w:val="18"/>
                <w:szCs w:val="20"/>
              </w:rPr>
              <w:t>07.03.2018</w:t>
            </w:r>
            <w:r w:rsidR="00C91F6E" w:rsidRPr="00EC250C">
              <w:rPr>
                <w:sz w:val="18"/>
                <w:szCs w:val="20"/>
              </w:rPr>
              <w:t> r.</w:t>
            </w:r>
          </w:p>
        </w:tc>
      </w:tr>
      <w:tr w:rsidR="00250AC8" w:rsidRPr="00EC250C" w14:paraId="3CA3AC38" w14:textId="77777777" w:rsidTr="00FC47F2">
        <w:trPr>
          <w:tblCellSpacing w:w="20" w:type="dxa"/>
        </w:trPr>
        <w:tc>
          <w:tcPr>
            <w:tcW w:w="516" w:type="dxa"/>
          </w:tcPr>
          <w:p w14:paraId="4AB3E687" w14:textId="77777777" w:rsidR="00250AC8" w:rsidRPr="00EC250C" w:rsidRDefault="00250AC8" w:rsidP="006C70B7">
            <w:pPr>
              <w:pStyle w:val="Tabela"/>
              <w:numPr>
                <w:ilvl w:val="0"/>
                <w:numId w:val="82"/>
              </w:numPr>
              <w:ind w:left="0" w:firstLine="0"/>
              <w:jc w:val="both"/>
            </w:pPr>
          </w:p>
        </w:tc>
        <w:tc>
          <w:tcPr>
            <w:tcW w:w="7615" w:type="dxa"/>
          </w:tcPr>
          <w:p w14:paraId="729FA1AE"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dziennikarzami</w:t>
            </w:r>
            <w:r w:rsidR="00992FD0" w:rsidRPr="00EC250C">
              <w:rPr>
                <w:sz w:val="18"/>
                <w:szCs w:val="20"/>
              </w:rPr>
              <w:t xml:space="preserve"> z </w:t>
            </w:r>
            <w:r w:rsidRPr="00EC250C">
              <w:rPr>
                <w:sz w:val="18"/>
                <w:szCs w:val="20"/>
              </w:rPr>
              <w:t>Rosji zorganizowane przez Instytut Reportażu nt. sytuacji więźniów</w:t>
            </w:r>
            <w:r w:rsidR="00992FD0" w:rsidRPr="00EC250C">
              <w:rPr>
                <w:sz w:val="18"/>
                <w:szCs w:val="20"/>
              </w:rPr>
              <w:t xml:space="preserve"> w </w:t>
            </w:r>
            <w:r w:rsidRPr="00EC250C">
              <w:rPr>
                <w:sz w:val="18"/>
                <w:szCs w:val="20"/>
              </w:rPr>
              <w:t>Polsce. Biuro RPO. Warszawa.</w:t>
            </w:r>
          </w:p>
        </w:tc>
        <w:tc>
          <w:tcPr>
            <w:tcW w:w="1545" w:type="dxa"/>
          </w:tcPr>
          <w:p w14:paraId="710A8BD7" w14:textId="77777777" w:rsidR="00250AC8" w:rsidRPr="00EC250C" w:rsidRDefault="00250AC8" w:rsidP="00902FC6">
            <w:pPr>
              <w:pStyle w:val="Tabela"/>
              <w:rPr>
                <w:sz w:val="18"/>
                <w:szCs w:val="20"/>
              </w:rPr>
            </w:pPr>
            <w:r w:rsidRPr="00EC250C">
              <w:rPr>
                <w:sz w:val="18"/>
                <w:szCs w:val="20"/>
              </w:rPr>
              <w:t>09.03.2018</w:t>
            </w:r>
            <w:r w:rsidR="00C91F6E" w:rsidRPr="00EC250C">
              <w:rPr>
                <w:sz w:val="18"/>
                <w:szCs w:val="20"/>
              </w:rPr>
              <w:t> r.</w:t>
            </w:r>
          </w:p>
        </w:tc>
      </w:tr>
      <w:tr w:rsidR="00250AC8" w:rsidRPr="00EC250C" w14:paraId="28734C87" w14:textId="77777777" w:rsidTr="00FC47F2">
        <w:trPr>
          <w:tblCellSpacing w:w="20" w:type="dxa"/>
        </w:trPr>
        <w:tc>
          <w:tcPr>
            <w:tcW w:w="516" w:type="dxa"/>
          </w:tcPr>
          <w:p w14:paraId="6E12B695" w14:textId="77777777" w:rsidR="00250AC8" w:rsidRPr="00EC250C" w:rsidRDefault="00250AC8" w:rsidP="006C70B7">
            <w:pPr>
              <w:pStyle w:val="Tabela"/>
              <w:numPr>
                <w:ilvl w:val="0"/>
                <w:numId w:val="82"/>
              </w:numPr>
              <w:ind w:left="0" w:firstLine="0"/>
              <w:jc w:val="both"/>
            </w:pPr>
          </w:p>
        </w:tc>
        <w:tc>
          <w:tcPr>
            <w:tcW w:w="7615" w:type="dxa"/>
          </w:tcPr>
          <w:p w14:paraId="5EF374F4"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ambasador Izraela Anną Azari. Biuro RPO. Warszawa.</w:t>
            </w:r>
          </w:p>
        </w:tc>
        <w:tc>
          <w:tcPr>
            <w:tcW w:w="1545" w:type="dxa"/>
          </w:tcPr>
          <w:p w14:paraId="3CDA942D" w14:textId="77777777" w:rsidR="00250AC8" w:rsidRPr="00EC250C" w:rsidRDefault="00250AC8" w:rsidP="00902FC6">
            <w:pPr>
              <w:pStyle w:val="Tabela"/>
              <w:rPr>
                <w:sz w:val="18"/>
                <w:szCs w:val="20"/>
              </w:rPr>
            </w:pPr>
            <w:r w:rsidRPr="00EC250C">
              <w:rPr>
                <w:sz w:val="18"/>
                <w:szCs w:val="20"/>
              </w:rPr>
              <w:t>19.03.2018</w:t>
            </w:r>
            <w:r w:rsidR="00C91F6E" w:rsidRPr="00EC250C">
              <w:rPr>
                <w:sz w:val="18"/>
                <w:szCs w:val="20"/>
              </w:rPr>
              <w:t> r.</w:t>
            </w:r>
          </w:p>
        </w:tc>
      </w:tr>
      <w:tr w:rsidR="00250AC8" w:rsidRPr="00EC250C" w14:paraId="454A0DD7" w14:textId="77777777" w:rsidTr="00FC47F2">
        <w:trPr>
          <w:tblCellSpacing w:w="20" w:type="dxa"/>
        </w:trPr>
        <w:tc>
          <w:tcPr>
            <w:tcW w:w="516" w:type="dxa"/>
          </w:tcPr>
          <w:p w14:paraId="6A4BAA23" w14:textId="77777777" w:rsidR="00250AC8" w:rsidRPr="00EC250C" w:rsidRDefault="00250AC8" w:rsidP="006C70B7">
            <w:pPr>
              <w:pStyle w:val="Tabela"/>
              <w:numPr>
                <w:ilvl w:val="0"/>
                <w:numId w:val="82"/>
              </w:numPr>
              <w:ind w:left="0" w:firstLine="0"/>
              <w:jc w:val="both"/>
            </w:pPr>
          </w:p>
        </w:tc>
        <w:tc>
          <w:tcPr>
            <w:tcW w:w="7615" w:type="dxa"/>
          </w:tcPr>
          <w:p w14:paraId="73CAEB69"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 xml:space="preserve">wiceszefem Komisji Europejskiej </w:t>
            </w:r>
            <w:r w:rsidRPr="00EC250C">
              <w:rPr>
                <w:rStyle w:val="Pogrubienie"/>
                <w:b w:val="0"/>
                <w:bCs w:val="0"/>
                <w:sz w:val="18"/>
                <w:szCs w:val="20"/>
              </w:rPr>
              <w:t>Fransem Timmermansem. Biuro RPO. Warszawa.</w:t>
            </w:r>
          </w:p>
        </w:tc>
        <w:tc>
          <w:tcPr>
            <w:tcW w:w="1545" w:type="dxa"/>
          </w:tcPr>
          <w:p w14:paraId="4AB60E29" w14:textId="77777777" w:rsidR="00250AC8" w:rsidRPr="00EC250C" w:rsidRDefault="00250AC8" w:rsidP="00902FC6">
            <w:pPr>
              <w:pStyle w:val="Tabela"/>
              <w:rPr>
                <w:sz w:val="18"/>
                <w:szCs w:val="20"/>
              </w:rPr>
            </w:pPr>
            <w:r w:rsidRPr="00EC250C">
              <w:rPr>
                <w:sz w:val="18"/>
                <w:szCs w:val="20"/>
              </w:rPr>
              <w:t>09.04.2018</w:t>
            </w:r>
            <w:r w:rsidR="00C91F6E" w:rsidRPr="00EC250C">
              <w:rPr>
                <w:sz w:val="18"/>
                <w:szCs w:val="20"/>
              </w:rPr>
              <w:t> r.</w:t>
            </w:r>
          </w:p>
        </w:tc>
      </w:tr>
      <w:tr w:rsidR="00250AC8" w:rsidRPr="00EC250C" w14:paraId="33D97A3C" w14:textId="77777777" w:rsidTr="00FC47F2">
        <w:trPr>
          <w:tblCellSpacing w:w="20" w:type="dxa"/>
        </w:trPr>
        <w:tc>
          <w:tcPr>
            <w:tcW w:w="516" w:type="dxa"/>
          </w:tcPr>
          <w:p w14:paraId="4501CDDE" w14:textId="77777777" w:rsidR="00250AC8" w:rsidRPr="00EC250C" w:rsidRDefault="00250AC8" w:rsidP="006C70B7">
            <w:pPr>
              <w:pStyle w:val="Tabela"/>
              <w:numPr>
                <w:ilvl w:val="0"/>
                <w:numId w:val="82"/>
              </w:numPr>
              <w:ind w:left="0" w:firstLine="0"/>
              <w:jc w:val="both"/>
            </w:pPr>
          </w:p>
        </w:tc>
        <w:tc>
          <w:tcPr>
            <w:tcW w:w="7615" w:type="dxa"/>
          </w:tcPr>
          <w:p w14:paraId="7143928A"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Mariną Hulią</w:t>
            </w:r>
            <w:r w:rsidR="00992FD0" w:rsidRPr="00EC250C">
              <w:rPr>
                <w:sz w:val="18"/>
                <w:szCs w:val="20"/>
              </w:rPr>
              <w:t xml:space="preserve"> i </w:t>
            </w:r>
            <w:r w:rsidRPr="00EC250C">
              <w:rPr>
                <w:sz w:val="18"/>
                <w:szCs w:val="20"/>
              </w:rPr>
              <w:t>grupą uchodźców</w:t>
            </w:r>
            <w:r w:rsidR="00992FD0" w:rsidRPr="00EC250C">
              <w:rPr>
                <w:sz w:val="18"/>
                <w:szCs w:val="20"/>
              </w:rPr>
              <w:t xml:space="preserve"> z </w:t>
            </w:r>
            <w:r w:rsidRPr="00EC250C">
              <w:rPr>
                <w:sz w:val="18"/>
                <w:szCs w:val="20"/>
              </w:rPr>
              <w:t>Czeczenii. Biuro RPO. Warszawa.</w:t>
            </w:r>
          </w:p>
        </w:tc>
        <w:tc>
          <w:tcPr>
            <w:tcW w:w="1545" w:type="dxa"/>
          </w:tcPr>
          <w:p w14:paraId="4859B09E" w14:textId="77777777" w:rsidR="00250AC8" w:rsidRPr="00EC250C" w:rsidRDefault="00250AC8" w:rsidP="00902FC6">
            <w:pPr>
              <w:pStyle w:val="Tabela"/>
              <w:rPr>
                <w:sz w:val="18"/>
                <w:szCs w:val="20"/>
              </w:rPr>
            </w:pPr>
            <w:r w:rsidRPr="00EC250C">
              <w:rPr>
                <w:sz w:val="18"/>
                <w:szCs w:val="20"/>
              </w:rPr>
              <w:t>20.04.2018</w:t>
            </w:r>
            <w:r w:rsidR="00C91F6E" w:rsidRPr="00EC250C">
              <w:rPr>
                <w:sz w:val="18"/>
                <w:szCs w:val="20"/>
              </w:rPr>
              <w:t> r.</w:t>
            </w:r>
          </w:p>
        </w:tc>
      </w:tr>
      <w:tr w:rsidR="00250AC8" w:rsidRPr="00EC250C" w14:paraId="3B19D942" w14:textId="77777777" w:rsidTr="00FC47F2">
        <w:trPr>
          <w:tblCellSpacing w:w="20" w:type="dxa"/>
        </w:trPr>
        <w:tc>
          <w:tcPr>
            <w:tcW w:w="516" w:type="dxa"/>
          </w:tcPr>
          <w:p w14:paraId="39332BA9" w14:textId="77777777" w:rsidR="00250AC8" w:rsidRPr="00EC250C" w:rsidRDefault="00250AC8" w:rsidP="006C70B7">
            <w:pPr>
              <w:pStyle w:val="Tabela"/>
              <w:numPr>
                <w:ilvl w:val="0"/>
                <w:numId w:val="82"/>
              </w:numPr>
              <w:ind w:left="0" w:firstLine="0"/>
              <w:jc w:val="both"/>
            </w:pPr>
          </w:p>
        </w:tc>
        <w:tc>
          <w:tcPr>
            <w:tcW w:w="7615" w:type="dxa"/>
          </w:tcPr>
          <w:p w14:paraId="7B1EC064"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delegacją holenderskiej szkoły administracji publicznej (The Netherlands School of Public Administration). Biuro RPO. Warszawa.</w:t>
            </w:r>
          </w:p>
        </w:tc>
        <w:tc>
          <w:tcPr>
            <w:tcW w:w="1545" w:type="dxa"/>
          </w:tcPr>
          <w:p w14:paraId="65C7BFE6" w14:textId="77777777" w:rsidR="00250AC8" w:rsidRPr="00EC250C" w:rsidRDefault="00250AC8" w:rsidP="00902FC6">
            <w:pPr>
              <w:pStyle w:val="Tabela"/>
              <w:rPr>
                <w:sz w:val="18"/>
                <w:szCs w:val="20"/>
              </w:rPr>
            </w:pPr>
            <w:r w:rsidRPr="00EC250C">
              <w:rPr>
                <w:sz w:val="18"/>
                <w:szCs w:val="20"/>
              </w:rPr>
              <w:t>20.04.2018</w:t>
            </w:r>
            <w:r w:rsidR="00C91F6E" w:rsidRPr="00EC250C">
              <w:rPr>
                <w:sz w:val="18"/>
                <w:szCs w:val="20"/>
              </w:rPr>
              <w:t> r.</w:t>
            </w:r>
          </w:p>
        </w:tc>
      </w:tr>
      <w:tr w:rsidR="00250AC8" w:rsidRPr="00EC250C" w14:paraId="2C2321B4" w14:textId="77777777" w:rsidTr="00FC47F2">
        <w:trPr>
          <w:tblCellSpacing w:w="20" w:type="dxa"/>
        </w:trPr>
        <w:tc>
          <w:tcPr>
            <w:tcW w:w="516" w:type="dxa"/>
          </w:tcPr>
          <w:p w14:paraId="69B098BC" w14:textId="77777777" w:rsidR="00250AC8" w:rsidRPr="00EC250C" w:rsidRDefault="00250AC8" w:rsidP="006C70B7">
            <w:pPr>
              <w:pStyle w:val="Tabela"/>
              <w:numPr>
                <w:ilvl w:val="0"/>
                <w:numId w:val="82"/>
              </w:numPr>
              <w:ind w:left="0" w:firstLine="0"/>
              <w:jc w:val="both"/>
            </w:pPr>
          </w:p>
        </w:tc>
        <w:tc>
          <w:tcPr>
            <w:tcW w:w="7615" w:type="dxa"/>
          </w:tcPr>
          <w:p w14:paraId="36E04362"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Ambasador Republiki Finlandii Hanną Lehtinen oraz przedstawicielami urzędu Premiera, Ministerstwa Sprawiedliwości</w:t>
            </w:r>
            <w:r w:rsidR="00992FD0" w:rsidRPr="00EC250C">
              <w:rPr>
                <w:sz w:val="18"/>
                <w:szCs w:val="20"/>
              </w:rPr>
              <w:t xml:space="preserve"> i </w:t>
            </w:r>
            <w:r w:rsidRPr="00EC250C">
              <w:rPr>
                <w:sz w:val="18"/>
                <w:szCs w:val="20"/>
              </w:rPr>
              <w:t>Ministerstwa Spraw Zagranicznych. Biuro RPO. Warszawa.</w:t>
            </w:r>
          </w:p>
        </w:tc>
        <w:tc>
          <w:tcPr>
            <w:tcW w:w="1545" w:type="dxa"/>
          </w:tcPr>
          <w:p w14:paraId="5485CD55" w14:textId="77777777" w:rsidR="00250AC8" w:rsidRPr="00EC250C" w:rsidRDefault="00250AC8" w:rsidP="00902FC6">
            <w:pPr>
              <w:pStyle w:val="Tabela"/>
              <w:rPr>
                <w:sz w:val="18"/>
                <w:szCs w:val="20"/>
              </w:rPr>
            </w:pPr>
            <w:r w:rsidRPr="00EC250C">
              <w:rPr>
                <w:sz w:val="18"/>
                <w:szCs w:val="20"/>
              </w:rPr>
              <w:t>26.04.2018</w:t>
            </w:r>
            <w:r w:rsidR="00C91F6E" w:rsidRPr="00EC250C">
              <w:rPr>
                <w:sz w:val="18"/>
                <w:szCs w:val="20"/>
              </w:rPr>
              <w:t> r.</w:t>
            </w:r>
          </w:p>
        </w:tc>
      </w:tr>
      <w:tr w:rsidR="00250AC8" w:rsidRPr="00EC250C" w14:paraId="0E11147B" w14:textId="77777777" w:rsidTr="00FC47F2">
        <w:trPr>
          <w:tblCellSpacing w:w="20" w:type="dxa"/>
        </w:trPr>
        <w:tc>
          <w:tcPr>
            <w:tcW w:w="516" w:type="dxa"/>
          </w:tcPr>
          <w:p w14:paraId="5AD0B87A" w14:textId="77777777" w:rsidR="00250AC8" w:rsidRPr="00EC250C" w:rsidRDefault="00250AC8" w:rsidP="006C70B7">
            <w:pPr>
              <w:pStyle w:val="Tabela"/>
              <w:numPr>
                <w:ilvl w:val="0"/>
                <w:numId w:val="82"/>
              </w:numPr>
              <w:ind w:left="0" w:firstLine="0"/>
              <w:jc w:val="both"/>
            </w:pPr>
          </w:p>
        </w:tc>
        <w:tc>
          <w:tcPr>
            <w:tcW w:w="7615" w:type="dxa"/>
          </w:tcPr>
          <w:p w14:paraId="1442021B"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szkoleniu dla East European School of Political Studies</w:t>
            </w:r>
            <w:r w:rsidR="00992FD0" w:rsidRPr="00EC250C">
              <w:rPr>
                <w:sz w:val="18"/>
                <w:szCs w:val="20"/>
              </w:rPr>
              <w:t xml:space="preserve"> z </w:t>
            </w:r>
            <w:r w:rsidRPr="00EC250C">
              <w:rPr>
                <w:sz w:val="18"/>
                <w:szCs w:val="20"/>
              </w:rPr>
              <w:t>Białorusi. Biuro RPO. Warszawa.</w:t>
            </w:r>
          </w:p>
        </w:tc>
        <w:tc>
          <w:tcPr>
            <w:tcW w:w="1545" w:type="dxa"/>
          </w:tcPr>
          <w:p w14:paraId="43577ADC" w14:textId="77777777" w:rsidR="00250AC8" w:rsidRPr="00EC250C" w:rsidRDefault="00250AC8" w:rsidP="00902FC6">
            <w:pPr>
              <w:pStyle w:val="Tabela"/>
              <w:rPr>
                <w:sz w:val="18"/>
                <w:szCs w:val="20"/>
              </w:rPr>
            </w:pPr>
            <w:r w:rsidRPr="00EC250C">
              <w:rPr>
                <w:sz w:val="18"/>
                <w:szCs w:val="20"/>
              </w:rPr>
              <w:t>27.04.2018</w:t>
            </w:r>
            <w:r w:rsidR="00C91F6E" w:rsidRPr="00EC250C">
              <w:rPr>
                <w:sz w:val="18"/>
                <w:szCs w:val="20"/>
              </w:rPr>
              <w:t> r.</w:t>
            </w:r>
          </w:p>
        </w:tc>
      </w:tr>
      <w:tr w:rsidR="00250AC8" w:rsidRPr="00EC250C" w14:paraId="5B6A569F" w14:textId="77777777" w:rsidTr="00FC47F2">
        <w:trPr>
          <w:tblCellSpacing w:w="20" w:type="dxa"/>
        </w:trPr>
        <w:tc>
          <w:tcPr>
            <w:tcW w:w="516" w:type="dxa"/>
          </w:tcPr>
          <w:p w14:paraId="404B5BE5" w14:textId="77777777" w:rsidR="00250AC8" w:rsidRPr="00EC250C" w:rsidRDefault="00250AC8" w:rsidP="006C70B7">
            <w:pPr>
              <w:pStyle w:val="Tabela"/>
              <w:numPr>
                <w:ilvl w:val="0"/>
                <w:numId w:val="82"/>
              </w:numPr>
              <w:ind w:left="0" w:firstLine="0"/>
              <w:jc w:val="both"/>
            </w:pPr>
          </w:p>
        </w:tc>
        <w:tc>
          <w:tcPr>
            <w:tcW w:w="7615" w:type="dxa"/>
          </w:tcPr>
          <w:p w14:paraId="26113649"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delegacją instytucji stojących na straży praw człowieka</w:t>
            </w:r>
            <w:r w:rsidR="00992FD0" w:rsidRPr="00EC250C">
              <w:rPr>
                <w:sz w:val="18"/>
                <w:szCs w:val="20"/>
              </w:rPr>
              <w:t xml:space="preserve"> w </w:t>
            </w:r>
            <w:r w:rsidRPr="00EC250C">
              <w:rPr>
                <w:sz w:val="18"/>
                <w:szCs w:val="20"/>
              </w:rPr>
              <w:t>Republice Południowej Afryki. Biuro RPO. Warszawa.</w:t>
            </w:r>
          </w:p>
        </w:tc>
        <w:tc>
          <w:tcPr>
            <w:tcW w:w="1545" w:type="dxa"/>
          </w:tcPr>
          <w:p w14:paraId="7D5C5D0A" w14:textId="77777777" w:rsidR="00250AC8" w:rsidRPr="00EC250C" w:rsidRDefault="00250AC8" w:rsidP="00902FC6">
            <w:pPr>
              <w:pStyle w:val="Tabela"/>
              <w:rPr>
                <w:sz w:val="18"/>
                <w:szCs w:val="20"/>
              </w:rPr>
            </w:pPr>
            <w:r w:rsidRPr="00EC250C">
              <w:rPr>
                <w:sz w:val="18"/>
                <w:szCs w:val="20"/>
              </w:rPr>
              <w:t>07.05.2018</w:t>
            </w:r>
            <w:r w:rsidR="00C91F6E" w:rsidRPr="00EC250C">
              <w:rPr>
                <w:sz w:val="18"/>
                <w:szCs w:val="20"/>
              </w:rPr>
              <w:t> r.</w:t>
            </w:r>
          </w:p>
        </w:tc>
      </w:tr>
      <w:tr w:rsidR="00250AC8" w:rsidRPr="00EC250C" w14:paraId="620EFB81" w14:textId="77777777" w:rsidTr="00FC47F2">
        <w:trPr>
          <w:tblCellSpacing w:w="20" w:type="dxa"/>
        </w:trPr>
        <w:tc>
          <w:tcPr>
            <w:tcW w:w="516" w:type="dxa"/>
          </w:tcPr>
          <w:p w14:paraId="1989F3B2" w14:textId="77777777" w:rsidR="00250AC8" w:rsidRPr="00EC250C" w:rsidRDefault="00250AC8" w:rsidP="006C70B7">
            <w:pPr>
              <w:pStyle w:val="Tabela"/>
              <w:numPr>
                <w:ilvl w:val="0"/>
                <w:numId w:val="82"/>
              </w:numPr>
              <w:ind w:left="0" w:firstLine="0"/>
              <w:jc w:val="both"/>
            </w:pPr>
          </w:p>
        </w:tc>
        <w:tc>
          <w:tcPr>
            <w:tcW w:w="7615" w:type="dxa"/>
          </w:tcPr>
          <w:p w14:paraId="5C56B6A6"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z </w:t>
            </w:r>
            <w:r w:rsidRPr="00EC250C">
              <w:rPr>
                <w:sz w:val="18"/>
                <w:szCs w:val="20"/>
              </w:rPr>
              <w:t>Dietmarem Nietanem, skarbnikiem Socjaldemokratycznej Partii Niemiec, wiceprzewodniczącym polsko-niemieckiej grupy parlamentarnej</w:t>
            </w:r>
            <w:r w:rsidR="00992FD0" w:rsidRPr="00EC250C">
              <w:rPr>
                <w:sz w:val="18"/>
                <w:szCs w:val="20"/>
              </w:rPr>
              <w:t xml:space="preserve"> w </w:t>
            </w:r>
            <w:r w:rsidRPr="00EC250C">
              <w:rPr>
                <w:sz w:val="18"/>
                <w:szCs w:val="20"/>
              </w:rPr>
              <w:t>Niemieckim Bundestagu, przewodniczącym Zarządu Federalnego Związku Towarzystw Niemiecko-Polskich oraz</w:t>
            </w:r>
            <w:r w:rsidR="00992FD0" w:rsidRPr="00EC250C">
              <w:rPr>
                <w:sz w:val="18"/>
                <w:szCs w:val="20"/>
              </w:rPr>
              <w:t xml:space="preserve"> z </w:t>
            </w:r>
            <w:r w:rsidRPr="00EC250C">
              <w:rPr>
                <w:sz w:val="18"/>
                <w:szCs w:val="20"/>
              </w:rPr>
              <w:t>Knutem Dethlefsenem, Dyrektorem Fundacji im. Friedricha Eberta. Biuro RPO. Warszawa.</w:t>
            </w:r>
          </w:p>
        </w:tc>
        <w:tc>
          <w:tcPr>
            <w:tcW w:w="1545" w:type="dxa"/>
          </w:tcPr>
          <w:p w14:paraId="05A9E6FC" w14:textId="77777777" w:rsidR="00250AC8" w:rsidRPr="00EC250C" w:rsidRDefault="00250AC8" w:rsidP="00902FC6">
            <w:pPr>
              <w:pStyle w:val="Tabela"/>
              <w:rPr>
                <w:sz w:val="18"/>
                <w:szCs w:val="20"/>
              </w:rPr>
            </w:pPr>
            <w:r w:rsidRPr="00EC250C">
              <w:rPr>
                <w:sz w:val="18"/>
                <w:szCs w:val="20"/>
              </w:rPr>
              <w:t>07.05.2018</w:t>
            </w:r>
            <w:r w:rsidR="00C91F6E" w:rsidRPr="00EC250C">
              <w:rPr>
                <w:sz w:val="18"/>
                <w:szCs w:val="20"/>
              </w:rPr>
              <w:t> r.</w:t>
            </w:r>
          </w:p>
        </w:tc>
      </w:tr>
      <w:tr w:rsidR="00250AC8" w:rsidRPr="00EC250C" w14:paraId="2397BA7A" w14:textId="77777777" w:rsidTr="00FC47F2">
        <w:trPr>
          <w:tblCellSpacing w:w="20" w:type="dxa"/>
        </w:trPr>
        <w:tc>
          <w:tcPr>
            <w:tcW w:w="516" w:type="dxa"/>
          </w:tcPr>
          <w:p w14:paraId="73D37946" w14:textId="77777777" w:rsidR="00250AC8" w:rsidRPr="00EC250C" w:rsidRDefault="00250AC8" w:rsidP="006C70B7">
            <w:pPr>
              <w:pStyle w:val="Tabela"/>
              <w:numPr>
                <w:ilvl w:val="0"/>
                <w:numId w:val="82"/>
              </w:numPr>
              <w:ind w:left="0" w:firstLine="0"/>
              <w:jc w:val="both"/>
            </w:pPr>
          </w:p>
        </w:tc>
        <w:tc>
          <w:tcPr>
            <w:tcW w:w="7615" w:type="dxa"/>
          </w:tcPr>
          <w:p w14:paraId="12E06479"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debacie</w:t>
            </w:r>
            <w:r w:rsidR="00992FD0" w:rsidRPr="00EC250C">
              <w:rPr>
                <w:sz w:val="18"/>
                <w:szCs w:val="20"/>
              </w:rPr>
              <w:t xml:space="preserve"> w </w:t>
            </w:r>
            <w:r w:rsidRPr="00EC250C">
              <w:rPr>
                <w:sz w:val="18"/>
                <w:szCs w:val="20"/>
              </w:rPr>
              <w:t>formacie salonu politycznego</w:t>
            </w:r>
            <w:r w:rsidR="00992FD0" w:rsidRPr="00EC250C">
              <w:rPr>
                <w:sz w:val="18"/>
                <w:szCs w:val="20"/>
              </w:rPr>
              <w:t xml:space="preserve"> w </w:t>
            </w:r>
            <w:r w:rsidRPr="00EC250C">
              <w:rPr>
                <w:sz w:val="18"/>
                <w:szCs w:val="20"/>
              </w:rPr>
              <w:t>Ambasadzie Niemiec</w:t>
            </w:r>
            <w:r w:rsidR="00992FD0" w:rsidRPr="00EC250C">
              <w:rPr>
                <w:sz w:val="18"/>
                <w:szCs w:val="20"/>
              </w:rPr>
              <w:t xml:space="preserve"> z </w:t>
            </w:r>
            <w:r w:rsidRPr="00EC250C">
              <w:rPr>
                <w:sz w:val="18"/>
                <w:szCs w:val="20"/>
              </w:rPr>
              <w:t>okazji 100-lecia uzyskania przez kobiety praw wyborczych</w:t>
            </w:r>
            <w:r w:rsidR="00992FD0" w:rsidRPr="00EC250C">
              <w:rPr>
                <w:sz w:val="18"/>
                <w:szCs w:val="20"/>
              </w:rPr>
              <w:t xml:space="preserve"> w </w:t>
            </w:r>
            <w:r w:rsidRPr="00EC250C">
              <w:rPr>
                <w:sz w:val="18"/>
                <w:szCs w:val="20"/>
              </w:rPr>
              <w:t>Polsce</w:t>
            </w:r>
            <w:r w:rsidR="00992FD0" w:rsidRPr="00EC250C">
              <w:rPr>
                <w:sz w:val="18"/>
                <w:szCs w:val="20"/>
              </w:rPr>
              <w:t xml:space="preserve"> i </w:t>
            </w:r>
            <w:r w:rsidRPr="00EC250C">
              <w:rPr>
                <w:sz w:val="18"/>
                <w:szCs w:val="20"/>
              </w:rPr>
              <w:t>Niemczech. Warszawa.</w:t>
            </w:r>
          </w:p>
        </w:tc>
        <w:tc>
          <w:tcPr>
            <w:tcW w:w="1545" w:type="dxa"/>
          </w:tcPr>
          <w:p w14:paraId="457B3B1E" w14:textId="77777777" w:rsidR="00250AC8" w:rsidRPr="00EC250C" w:rsidRDefault="00250AC8" w:rsidP="00902FC6">
            <w:pPr>
              <w:pStyle w:val="Tabela"/>
              <w:rPr>
                <w:sz w:val="18"/>
                <w:szCs w:val="20"/>
              </w:rPr>
            </w:pPr>
            <w:r w:rsidRPr="00EC250C">
              <w:rPr>
                <w:sz w:val="18"/>
                <w:szCs w:val="20"/>
              </w:rPr>
              <w:t>08.05.2018</w:t>
            </w:r>
            <w:r w:rsidR="00C91F6E" w:rsidRPr="00EC250C">
              <w:rPr>
                <w:sz w:val="18"/>
                <w:szCs w:val="20"/>
              </w:rPr>
              <w:t> r.</w:t>
            </w:r>
          </w:p>
        </w:tc>
      </w:tr>
      <w:tr w:rsidR="00250AC8" w:rsidRPr="00EC250C" w14:paraId="398682B0" w14:textId="77777777" w:rsidTr="00FC47F2">
        <w:trPr>
          <w:tblCellSpacing w:w="20" w:type="dxa"/>
        </w:trPr>
        <w:tc>
          <w:tcPr>
            <w:tcW w:w="516" w:type="dxa"/>
          </w:tcPr>
          <w:p w14:paraId="0ED9A63A" w14:textId="77777777" w:rsidR="00250AC8" w:rsidRPr="00EC250C" w:rsidRDefault="00250AC8" w:rsidP="006C70B7">
            <w:pPr>
              <w:pStyle w:val="Tabela"/>
              <w:numPr>
                <w:ilvl w:val="0"/>
                <w:numId w:val="82"/>
              </w:numPr>
              <w:ind w:left="0" w:firstLine="0"/>
              <w:jc w:val="both"/>
            </w:pPr>
          </w:p>
        </w:tc>
        <w:tc>
          <w:tcPr>
            <w:tcW w:w="7615" w:type="dxa"/>
          </w:tcPr>
          <w:p w14:paraId="4ECAB29F"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Ciaranem White’em – członkiem Trybunału Apelacyjnego ds. Ochrony Międzynarodowej (International Protection Appeals Tribunal). Biuro RPO. Warszawa.</w:t>
            </w:r>
          </w:p>
        </w:tc>
        <w:tc>
          <w:tcPr>
            <w:tcW w:w="1545" w:type="dxa"/>
          </w:tcPr>
          <w:p w14:paraId="51335667" w14:textId="77777777" w:rsidR="00250AC8" w:rsidRPr="00EC250C" w:rsidRDefault="00250AC8" w:rsidP="00902FC6">
            <w:pPr>
              <w:pStyle w:val="Tabela"/>
              <w:rPr>
                <w:sz w:val="18"/>
                <w:szCs w:val="20"/>
              </w:rPr>
            </w:pPr>
            <w:r w:rsidRPr="00EC250C">
              <w:rPr>
                <w:sz w:val="18"/>
                <w:szCs w:val="20"/>
              </w:rPr>
              <w:t>11.05.2018</w:t>
            </w:r>
            <w:r w:rsidR="00C91F6E" w:rsidRPr="00EC250C">
              <w:rPr>
                <w:sz w:val="18"/>
                <w:szCs w:val="20"/>
              </w:rPr>
              <w:t> r.</w:t>
            </w:r>
          </w:p>
        </w:tc>
      </w:tr>
      <w:tr w:rsidR="00250AC8" w:rsidRPr="00EC250C" w14:paraId="5C80F812" w14:textId="77777777" w:rsidTr="00FC47F2">
        <w:trPr>
          <w:tblCellSpacing w:w="20" w:type="dxa"/>
        </w:trPr>
        <w:tc>
          <w:tcPr>
            <w:tcW w:w="516" w:type="dxa"/>
          </w:tcPr>
          <w:p w14:paraId="78506889" w14:textId="77777777" w:rsidR="00250AC8" w:rsidRPr="00EC250C" w:rsidRDefault="00250AC8" w:rsidP="006C70B7">
            <w:pPr>
              <w:pStyle w:val="Tabela"/>
              <w:numPr>
                <w:ilvl w:val="0"/>
                <w:numId w:val="82"/>
              </w:numPr>
              <w:ind w:left="0" w:firstLine="0"/>
              <w:jc w:val="both"/>
            </w:pPr>
          </w:p>
        </w:tc>
        <w:tc>
          <w:tcPr>
            <w:tcW w:w="7615" w:type="dxa"/>
          </w:tcPr>
          <w:p w14:paraId="3FC73E5D"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uroczystych obchodach Narodowego Święta Norwegii. Warszawa.</w:t>
            </w:r>
          </w:p>
        </w:tc>
        <w:tc>
          <w:tcPr>
            <w:tcW w:w="1545" w:type="dxa"/>
          </w:tcPr>
          <w:p w14:paraId="59B05385" w14:textId="77777777" w:rsidR="00250AC8" w:rsidRPr="00EC250C" w:rsidRDefault="00250AC8" w:rsidP="00902FC6">
            <w:pPr>
              <w:pStyle w:val="Tabela"/>
              <w:rPr>
                <w:sz w:val="18"/>
                <w:szCs w:val="20"/>
              </w:rPr>
            </w:pPr>
            <w:r w:rsidRPr="00EC250C">
              <w:rPr>
                <w:sz w:val="18"/>
                <w:szCs w:val="20"/>
              </w:rPr>
              <w:t>17.05.2018</w:t>
            </w:r>
            <w:r w:rsidR="00C91F6E" w:rsidRPr="00EC250C">
              <w:rPr>
                <w:sz w:val="18"/>
                <w:szCs w:val="20"/>
              </w:rPr>
              <w:t> r.</w:t>
            </w:r>
          </w:p>
        </w:tc>
      </w:tr>
      <w:tr w:rsidR="00250AC8" w:rsidRPr="00EC250C" w14:paraId="5394C344" w14:textId="77777777" w:rsidTr="00FC47F2">
        <w:trPr>
          <w:tblCellSpacing w:w="20" w:type="dxa"/>
        </w:trPr>
        <w:tc>
          <w:tcPr>
            <w:tcW w:w="516" w:type="dxa"/>
          </w:tcPr>
          <w:p w14:paraId="5AB9B3D0" w14:textId="77777777" w:rsidR="00250AC8" w:rsidRPr="00EC250C" w:rsidRDefault="00250AC8" w:rsidP="006C70B7">
            <w:pPr>
              <w:pStyle w:val="Tabela"/>
              <w:numPr>
                <w:ilvl w:val="0"/>
                <w:numId w:val="82"/>
              </w:numPr>
              <w:ind w:left="0" w:firstLine="0"/>
              <w:jc w:val="both"/>
            </w:pPr>
          </w:p>
        </w:tc>
        <w:tc>
          <w:tcPr>
            <w:tcW w:w="7615" w:type="dxa"/>
          </w:tcPr>
          <w:p w14:paraId="21341445"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prezeską American Bar Association Hilarie Bas oraz Heather Goldsmith</w:t>
            </w:r>
            <w:r w:rsidR="00992FD0" w:rsidRPr="00EC250C">
              <w:rPr>
                <w:sz w:val="18"/>
                <w:szCs w:val="20"/>
              </w:rPr>
              <w:t xml:space="preserve"> z </w:t>
            </w:r>
            <w:r w:rsidRPr="00EC250C">
              <w:rPr>
                <w:sz w:val="18"/>
                <w:szCs w:val="20"/>
              </w:rPr>
              <w:t>ABA. Biuro RPO. Warszawa.</w:t>
            </w:r>
          </w:p>
        </w:tc>
        <w:tc>
          <w:tcPr>
            <w:tcW w:w="1545" w:type="dxa"/>
          </w:tcPr>
          <w:p w14:paraId="65FA6F82" w14:textId="77777777" w:rsidR="00250AC8" w:rsidRPr="00EC250C" w:rsidRDefault="00250AC8" w:rsidP="00902FC6">
            <w:pPr>
              <w:pStyle w:val="Tabela"/>
              <w:rPr>
                <w:sz w:val="18"/>
                <w:szCs w:val="20"/>
              </w:rPr>
            </w:pPr>
            <w:r w:rsidRPr="00EC250C">
              <w:rPr>
                <w:sz w:val="18"/>
                <w:szCs w:val="20"/>
              </w:rPr>
              <w:t>29.05.2018</w:t>
            </w:r>
            <w:r w:rsidR="00C91F6E" w:rsidRPr="00EC250C">
              <w:rPr>
                <w:sz w:val="18"/>
                <w:szCs w:val="20"/>
              </w:rPr>
              <w:t> r.</w:t>
            </w:r>
          </w:p>
        </w:tc>
      </w:tr>
      <w:tr w:rsidR="00250AC8" w:rsidRPr="00EC250C" w14:paraId="3501BE86" w14:textId="77777777" w:rsidTr="00FC47F2">
        <w:trPr>
          <w:tblCellSpacing w:w="20" w:type="dxa"/>
        </w:trPr>
        <w:tc>
          <w:tcPr>
            <w:tcW w:w="516" w:type="dxa"/>
          </w:tcPr>
          <w:p w14:paraId="0D13D6E8" w14:textId="77777777" w:rsidR="00250AC8" w:rsidRPr="00EC250C" w:rsidRDefault="00250AC8" w:rsidP="006C70B7">
            <w:pPr>
              <w:pStyle w:val="Tabela"/>
              <w:numPr>
                <w:ilvl w:val="0"/>
                <w:numId w:val="82"/>
              </w:numPr>
              <w:ind w:left="0" w:firstLine="0"/>
              <w:jc w:val="both"/>
            </w:pPr>
          </w:p>
        </w:tc>
        <w:tc>
          <w:tcPr>
            <w:tcW w:w="7615" w:type="dxa"/>
          </w:tcPr>
          <w:p w14:paraId="4D283588"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z </w:t>
            </w:r>
            <w:r w:rsidRPr="00EC250C">
              <w:rPr>
                <w:sz w:val="18"/>
                <w:szCs w:val="20"/>
              </w:rPr>
              <w:t>młodzieżą</w:t>
            </w:r>
            <w:r w:rsidR="00992FD0" w:rsidRPr="00EC250C">
              <w:rPr>
                <w:sz w:val="18"/>
                <w:szCs w:val="20"/>
              </w:rPr>
              <w:t xml:space="preserve"> z </w:t>
            </w:r>
            <w:r w:rsidRPr="00EC250C">
              <w:rPr>
                <w:sz w:val="18"/>
                <w:szCs w:val="20"/>
              </w:rPr>
              <w:t>Polski, Węgier</w:t>
            </w:r>
            <w:r w:rsidR="00992FD0" w:rsidRPr="00EC250C">
              <w:rPr>
                <w:sz w:val="18"/>
                <w:szCs w:val="20"/>
              </w:rPr>
              <w:t xml:space="preserve"> i </w:t>
            </w:r>
            <w:r w:rsidRPr="00EC250C">
              <w:rPr>
                <w:sz w:val="18"/>
                <w:szCs w:val="20"/>
              </w:rPr>
              <w:t>Czech uczestniczącą</w:t>
            </w:r>
            <w:r w:rsidR="00992FD0" w:rsidRPr="00EC250C">
              <w:rPr>
                <w:sz w:val="18"/>
                <w:szCs w:val="20"/>
              </w:rPr>
              <w:t xml:space="preserve"> w </w:t>
            </w:r>
            <w:r w:rsidRPr="00EC250C">
              <w:rPr>
                <w:sz w:val="18"/>
                <w:szCs w:val="20"/>
              </w:rPr>
              <w:t>projekcie edukacyjnym „Informacja vs. Manipulacja”. Warszawa.</w:t>
            </w:r>
          </w:p>
        </w:tc>
        <w:tc>
          <w:tcPr>
            <w:tcW w:w="1545" w:type="dxa"/>
          </w:tcPr>
          <w:p w14:paraId="1A9A858A" w14:textId="77777777" w:rsidR="00250AC8" w:rsidRPr="00EC250C" w:rsidRDefault="00250AC8" w:rsidP="00902FC6">
            <w:pPr>
              <w:pStyle w:val="Tabela"/>
              <w:rPr>
                <w:sz w:val="18"/>
                <w:szCs w:val="20"/>
              </w:rPr>
            </w:pPr>
            <w:r w:rsidRPr="00EC250C">
              <w:rPr>
                <w:sz w:val="18"/>
                <w:szCs w:val="20"/>
              </w:rPr>
              <w:t>30.05.2018</w:t>
            </w:r>
            <w:r w:rsidR="00C91F6E" w:rsidRPr="00EC250C">
              <w:rPr>
                <w:sz w:val="18"/>
                <w:szCs w:val="20"/>
              </w:rPr>
              <w:t> r.</w:t>
            </w:r>
          </w:p>
        </w:tc>
      </w:tr>
      <w:tr w:rsidR="00250AC8" w:rsidRPr="00EC250C" w14:paraId="74F9A7BA" w14:textId="77777777" w:rsidTr="00FC47F2">
        <w:trPr>
          <w:tblCellSpacing w:w="20" w:type="dxa"/>
        </w:trPr>
        <w:tc>
          <w:tcPr>
            <w:tcW w:w="516" w:type="dxa"/>
          </w:tcPr>
          <w:p w14:paraId="1EF6E7C9" w14:textId="77777777" w:rsidR="00250AC8" w:rsidRPr="00EC250C" w:rsidRDefault="00250AC8" w:rsidP="006C70B7">
            <w:pPr>
              <w:pStyle w:val="Tabela"/>
              <w:numPr>
                <w:ilvl w:val="0"/>
                <w:numId w:val="82"/>
              </w:numPr>
              <w:ind w:left="0" w:firstLine="0"/>
              <w:jc w:val="both"/>
            </w:pPr>
          </w:p>
        </w:tc>
        <w:tc>
          <w:tcPr>
            <w:tcW w:w="7615" w:type="dxa"/>
          </w:tcPr>
          <w:p w14:paraId="0126B9FA"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z </w:t>
            </w:r>
            <w:r w:rsidRPr="00EC250C">
              <w:rPr>
                <w:sz w:val="18"/>
                <w:szCs w:val="20"/>
              </w:rPr>
              <w:t>chasydami</w:t>
            </w:r>
            <w:r w:rsidR="00992FD0" w:rsidRPr="00EC250C">
              <w:rPr>
                <w:sz w:val="18"/>
                <w:szCs w:val="20"/>
              </w:rPr>
              <w:t xml:space="preserve"> z </w:t>
            </w:r>
            <w:r w:rsidRPr="00EC250C">
              <w:rPr>
                <w:sz w:val="18"/>
                <w:szCs w:val="20"/>
              </w:rPr>
              <w:t>grupy Chabad-Lubawicz. Biuro RPO. Warszawa.</w:t>
            </w:r>
          </w:p>
        </w:tc>
        <w:tc>
          <w:tcPr>
            <w:tcW w:w="1545" w:type="dxa"/>
          </w:tcPr>
          <w:p w14:paraId="45B968E3" w14:textId="77777777" w:rsidR="00250AC8" w:rsidRPr="00EC250C" w:rsidRDefault="00250AC8" w:rsidP="00902FC6">
            <w:pPr>
              <w:pStyle w:val="Tabela"/>
              <w:rPr>
                <w:sz w:val="18"/>
                <w:szCs w:val="20"/>
              </w:rPr>
            </w:pPr>
            <w:r w:rsidRPr="00EC250C">
              <w:rPr>
                <w:sz w:val="18"/>
                <w:szCs w:val="20"/>
              </w:rPr>
              <w:t>04–05.06.2018</w:t>
            </w:r>
            <w:r w:rsidR="00C91F6E" w:rsidRPr="00EC250C">
              <w:rPr>
                <w:sz w:val="18"/>
                <w:szCs w:val="20"/>
              </w:rPr>
              <w:t> r.</w:t>
            </w:r>
          </w:p>
        </w:tc>
      </w:tr>
      <w:tr w:rsidR="00250AC8" w:rsidRPr="00EC250C" w14:paraId="25E73532" w14:textId="77777777" w:rsidTr="00FC47F2">
        <w:trPr>
          <w:tblCellSpacing w:w="20" w:type="dxa"/>
        </w:trPr>
        <w:tc>
          <w:tcPr>
            <w:tcW w:w="516" w:type="dxa"/>
          </w:tcPr>
          <w:p w14:paraId="28A47904" w14:textId="77777777" w:rsidR="00250AC8" w:rsidRPr="00EC250C" w:rsidRDefault="00250AC8" w:rsidP="006C70B7">
            <w:pPr>
              <w:pStyle w:val="Tabela"/>
              <w:numPr>
                <w:ilvl w:val="0"/>
                <w:numId w:val="82"/>
              </w:numPr>
              <w:ind w:left="0" w:firstLine="0"/>
              <w:jc w:val="both"/>
            </w:pPr>
          </w:p>
        </w:tc>
        <w:tc>
          <w:tcPr>
            <w:tcW w:w="7615" w:type="dxa"/>
          </w:tcPr>
          <w:p w14:paraId="48C35E67"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z </w:t>
            </w:r>
            <w:r w:rsidRPr="00EC250C">
              <w:rPr>
                <w:sz w:val="18"/>
                <w:szCs w:val="20"/>
              </w:rPr>
              <w:t>przedstawicielami Congress Monitoring Delegation. Biuro RPO. Warszawa.</w:t>
            </w:r>
          </w:p>
        </w:tc>
        <w:tc>
          <w:tcPr>
            <w:tcW w:w="1545" w:type="dxa"/>
          </w:tcPr>
          <w:p w14:paraId="0A0967FE" w14:textId="77777777" w:rsidR="00250AC8" w:rsidRPr="00EC250C" w:rsidRDefault="00250AC8" w:rsidP="00902FC6">
            <w:pPr>
              <w:pStyle w:val="Tabela"/>
              <w:rPr>
                <w:sz w:val="18"/>
                <w:szCs w:val="20"/>
              </w:rPr>
            </w:pPr>
            <w:r w:rsidRPr="00EC250C">
              <w:rPr>
                <w:sz w:val="18"/>
                <w:szCs w:val="20"/>
              </w:rPr>
              <w:t>06.06.2018</w:t>
            </w:r>
            <w:r w:rsidR="00C91F6E" w:rsidRPr="00EC250C">
              <w:rPr>
                <w:sz w:val="18"/>
                <w:szCs w:val="20"/>
              </w:rPr>
              <w:t> r.</w:t>
            </w:r>
          </w:p>
        </w:tc>
      </w:tr>
      <w:tr w:rsidR="00250AC8" w:rsidRPr="00EC250C" w14:paraId="07E91356" w14:textId="77777777" w:rsidTr="00FC47F2">
        <w:trPr>
          <w:tblCellSpacing w:w="20" w:type="dxa"/>
        </w:trPr>
        <w:tc>
          <w:tcPr>
            <w:tcW w:w="516" w:type="dxa"/>
          </w:tcPr>
          <w:p w14:paraId="31F0824D" w14:textId="77777777" w:rsidR="00250AC8" w:rsidRPr="00EC250C" w:rsidRDefault="00250AC8" w:rsidP="006C70B7">
            <w:pPr>
              <w:pStyle w:val="Tabela"/>
              <w:numPr>
                <w:ilvl w:val="0"/>
                <w:numId w:val="82"/>
              </w:numPr>
              <w:ind w:left="0" w:firstLine="0"/>
              <w:jc w:val="both"/>
            </w:pPr>
          </w:p>
        </w:tc>
        <w:tc>
          <w:tcPr>
            <w:tcW w:w="7615" w:type="dxa"/>
          </w:tcPr>
          <w:p w14:paraId="72C39438"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ambasadorami państw członkowskich UE</w:t>
            </w:r>
            <w:r w:rsidR="00992FD0" w:rsidRPr="00EC250C">
              <w:rPr>
                <w:sz w:val="18"/>
                <w:szCs w:val="20"/>
              </w:rPr>
              <w:t xml:space="preserve"> w </w:t>
            </w:r>
            <w:r w:rsidRPr="00EC250C">
              <w:rPr>
                <w:sz w:val="18"/>
                <w:szCs w:val="20"/>
              </w:rPr>
              <w:t>ramach prezydencji Bułgarii</w:t>
            </w:r>
            <w:r w:rsidR="00992FD0" w:rsidRPr="00EC250C">
              <w:rPr>
                <w:sz w:val="18"/>
                <w:szCs w:val="20"/>
              </w:rPr>
              <w:t xml:space="preserve"> w </w:t>
            </w:r>
            <w:r w:rsidRPr="00EC250C">
              <w:rPr>
                <w:sz w:val="18"/>
                <w:szCs w:val="20"/>
              </w:rPr>
              <w:t>Radzie Europy. Warszawa.</w:t>
            </w:r>
          </w:p>
        </w:tc>
        <w:tc>
          <w:tcPr>
            <w:tcW w:w="1545" w:type="dxa"/>
          </w:tcPr>
          <w:p w14:paraId="541A16CA" w14:textId="77777777" w:rsidR="00250AC8" w:rsidRPr="00EC250C" w:rsidRDefault="00250AC8" w:rsidP="00902FC6">
            <w:pPr>
              <w:pStyle w:val="Tabela"/>
              <w:rPr>
                <w:sz w:val="18"/>
                <w:szCs w:val="20"/>
              </w:rPr>
            </w:pPr>
            <w:r w:rsidRPr="00EC250C">
              <w:rPr>
                <w:sz w:val="18"/>
                <w:szCs w:val="20"/>
              </w:rPr>
              <w:t>06.06.2018</w:t>
            </w:r>
            <w:r w:rsidR="00C91F6E" w:rsidRPr="00EC250C">
              <w:rPr>
                <w:sz w:val="18"/>
                <w:szCs w:val="20"/>
              </w:rPr>
              <w:t> r.</w:t>
            </w:r>
          </w:p>
        </w:tc>
      </w:tr>
      <w:tr w:rsidR="00250AC8" w:rsidRPr="00EC250C" w14:paraId="11180C87" w14:textId="77777777" w:rsidTr="00FC47F2">
        <w:trPr>
          <w:tblCellSpacing w:w="20" w:type="dxa"/>
        </w:trPr>
        <w:tc>
          <w:tcPr>
            <w:tcW w:w="516" w:type="dxa"/>
          </w:tcPr>
          <w:p w14:paraId="13977674" w14:textId="77777777" w:rsidR="00250AC8" w:rsidRPr="00EC250C" w:rsidRDefault="00250AC8" w:rsidP="006C70B7">
            <w:pPr>
              <w:pStyle w:val="Tabela"/>
              <w:numPr>
                <w:ilvl w:val="0"/>
                <w:numId w:val="82"/>
              </w:numPr>
              <w:ind w:left="0" w:firstLine="0"/>
              <w:jc w:val="both"/>
            </w:pPr>
          </w:p>
        </w:tc>
        <w:tc>
          <w:tcPr>
            <w:tcW w:w="7615" w:type="dxa"/>
          </w:tcPr>
          <w:p w14:paraId="34A7FA10"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Deputowanymi Zgromadzenia Narodowego Republiki Francuskiej – Coralie Dubost</w:t>
            </w:r>
            <w:r w:rsidR="00992FD0" w:rsidRPr="00EC250C">
              <w:rPr>
                <w:sz w:val="18"/>
                <w:szCs w:val="20"/>
              </w:rPr>
              <w:t xml:space="preserve"> i </w:t>
            </w:r>
            <w:r w:rsidRPr="00EC250C">
              <w:rPr>
                <w:sz w:val="18"/>
                <w:szCs w:val="20"/>
              </w:rPr>
              <w:t>Vincentem Bru. Biuro RPO. Warszawa.</w:t>
            </w:r>
          </w:p>
        </w:tc>
        <w:tc>
          <w:tcPr>
            <w:tcW w:w="1545" w:type="dxa"/>
          </w:tcPr>
          <w:p w14:paraId="2B30FAF3" w14:textId="77777777" w:rsidR="00250AC8" w:rsidRPr="00EC250C" w:rsidRDefault="00250AC8" w:rsidP="00902FC6">
            <w:pPr>
              <w:pStyle w:val="Tabela"/>
              <w:rPr>
                <w:sz w:val="18"/>
                <w:szCs w:val="20"/>
              </w:rPr>
            </w:pPr>
            <w:r w:rsidRPr="00EC250C">
              <w:rPr>
                <w:sz w:val="18"/>
                <w:szCs w:val="20"/>
              </w:rPr>
              <w:t>06.06.2018</w:t>
            </w:r>
            <w:r w:rsidR="00C91F6E" w:rsidRPr="00EC250C">
              <w:rPr>
                <w:sz w:val="18"/>
                <w:szCs w:val="20"/>
              </w:rPr>
              <w:t> r.</w:t>
            </w:r>
          </w:p>
        </w:tc>
      </w:tr>
      <w:tr w:rsidR="00250AC8" w:rsidRPr="00EC250C" w14:paraId="1838BFF6" w14:textId="77777777" w:rsidTr="00FC47F2">
        <w:trPr>
          <w:tblCellSpacing w:w="20" w:type="dxa"/>
        </w:trPr>
        <w:tc>
          <w:tcPr>
            <w:tcW w:w="516" w:type="dxa"/>
          </w:tcPr>
          <w:p w14:paraId="62A55F1F" w14:textId="77777777" w:rsidR="00250AC8" w:rsidRPr="00EC250C" w:rsidRDefault="00250AC8" w:rsidP="006C70B7">
            <w:pPr>
              <w:pStyle w:val="Tabela"/>
              <w:numPr>
                <w:ilvl w:val="0"/>
                <w:numId w:val="82"/>
              </w:numPr>
              <w:ind w:left="0" w:firstLine="0"/>
              <w:jc w:val="both"/>
            </w:pPr>
          </w:p>
        </w:tc>
        <w:tc>
          <w:tcPr>
            <w:tcW w:w="7615" w:type="dxa"/>
          </w:tcPr>
          <w:p w14:paraId="7D3F1E6C"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z </w:t>
            </w:r>
            <w:r w:rsidRPr="00EC250C">
              <w:rPr>
                <w:sz w:val="18"/>
                <w:szCs w:val="20"/>
              </w:rPr>
              <w:t>przedstawicielami Komitetu Monitoringowego Kongresu Władz Lokalnych</w:t>
            </w:r>
            <w:r w:rsidR="00992FD0" w:rsidRPr="00EC250C">
              <w:rPr>
                <w:sz w:val="18"/>
                <w:szCs w:val="20"/>
              </w:rPr>
              <w:t xml:space="preserve"> i </w:t>
            </w:r>
            <w:r w:rsidRPr="00EC250C">
              <w:rPr>
                <w:sz w:val="18"/>
                <w:szCs w:val="20"/>
              </w:rPr>
              <w:t>Regionalnych Rady Europy. Biuro RPO. Warszawa.</w:t>
            </w:r>
          </w:p>
        </w:tc>
        <w:tc>
          <w:tcPr>
            <w:tcW w:w="1545" w:type="dxa"/>
          </w:tcPr>
          <w:p w14:paraId="797F003B" w14:textId="77777777" w:rsidR="00250AC8" w:rsidRPr="00EC250C" w:rsidRDefault="00250AC8" w:rsidP="00902FC6">
            <w:pPr>
              <w:pStyle w:val="Tabela"/>
              <w:rPr>
                <w:sz w:val="18"/>
                <w:szCs w:val="20"/>
              </w:rPr>
            </w:pPr>
            <w:r w:rsidRPr="00EC250C">
              <w:rPr>
                <w:sz w:val="18"/>
                <w:szCs w:val="20"/>
              </w:rPr>
              <w:t>06.06.2018</w:t>
            </w:r>
            <w:r w:rsidR="00C91F6E" w:rsidRPr="00EC250C">
              <w:rPr>
                <w:sz w:val="18"/>
                <w:szCs w:val="20"/>
              </w:rPr>
              <w:t> r.</w:t>
            </w:r>
          </w:p>
        </w:tc>
      </w:tr>
      <w:tr w:rsidR="00250AC8" w:rsidRPr="00EC250C" w14:paraId="28216760" w14:textId="77777777" w:rsidTr="00FC47F2">
        <w:trPr>
          <w:tblCellSpacing w:w="20" w:type="dxa"/>
        </w:trPr>
        <w:tc>
          <w:tcPr>
            <w:tcW w:w="516" w:type="dxa"/>
          </w:tcPr>
          <w:p w14:paraId="542902D4" w14:textId="77777777" w:rsidR="00250AC8" w:rsidRPr="00EC250C" w:rsidRDefault="00250AC8" w:rsidP="006C70B7">
            <w:pPr>
              <w:pStyle w:val="Tabela"/>
              <w:numPr>
                <w:ilvl w:val="0"/>
                <w:numId w:val="82"/>
              </w:numPr>
              <w:ind w:left="0" w:firstLine="0"/>
              <w:jc w:val="both"/>
            </w:pPr>
          </w:p>
        </w:tc>
        <w:tc>
          <w:tcPr>
            <w:tcW w:w="7615" w:type="dxa"/>
          </w:tcPr>
          <w:p w14:paraId="445E5D47"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dr Gustafem Lindem, Dyrektorem Departamentu Prawa Międzynarodowego, Praw Człowieka</w:t>
            </w:r>
            <w:r w:rsidR="00992FD0" w:rsidRPr="00EC250C">
              <w:rPr>
                <w:sz w:val="18"/>
                <w:szCs w:val="20"/>
              </w:rPr>
              <w:t xml:space="preserve"> i </w:t>
            </w:r>
            <w:r w:rsidRPr="00EC250C">
              <w:rPr>
                <w:sz w:val="18"/>
                <w:szCs w:val="20"/>
              </w:rPr>
              <w:t>Traktatowego Szwedzkiej Służby Zagranicznej, Ambasadorem Szwecji oraz Drugim Sekretarzem Ambasady Szwecji. Warszawa.</w:t>
            </w:r>
          </w:p>
        </w:tc>
        <w:tc>
          <w:tcPr>
            <w:tcW w:w="1545" w:type="dxa"/>
          </w:tcPr>
          <w:p w14:paraId="732D3399" w14:textId="77777777" w:rsidR="00250AC8" w:rsidRPr="00EC250C" w:rsidRDefault="00250AC8" w:rsidP="00902FC6">
            <w:pPr>
              <w:pStyle w:val="Tabela"/>
              <w:rPr>
                <w:sz w:val="18"/>
                <w:szCs w:val="20"/>
              </w:rPr>
            </w:pPr>
            <w:r w:rsidRPr="00EC250C">
              <w:rPr>
                <w:sz w:val="18"/>
                <w:szCs w:val="20"/>
              </w:rPr>
              <w:t>08.06.2018</w:t>
            </w:r>
            <w:r w:rsidR="00C91F6E" w:rsidRPr="00EC250C">
              <w:rPr>
                <w:sz w:val="18"/>
                <w:szCs w:val="20"/>
              </w:rPr>
              <w:t> r.</w:t>
            </w:r>
          </w:p>
        </w:tc>
      </w:tr>
      <w:tr w:rsidR="00250AC8" w:rsidRPr="00EC250C" w14:paraId="0CCAEED3" w14:textId="77777777" w:rsidTr="00FC47F2">
        <w:trPr>
          <w:tblCellSpacing w:w="20" w:type="dxa"/>
        </w:trPr>
        <w:tc>
          <w:tcPr>
            <w:tcW w:w="516" w:type="dxa"/>
          </w:tcPr>
          <w:p w14:paraId="24878BD8" w14:textId="77777777" w:rsidR="00250AC8" w:rsidRPr="00EC250C" w:rsidRDefault="00250AC8" w:rsidP="006C70B7">
            <w:pPr>
              <w:pStyle w:val="Tabela"/>
              <w:numPr>
                <w:ilvl w:val="0"/>
                <w:numId w:val="82"/>
              </w:numPr>
              <w:ind w:left="0" w:firstLine="0"/>
              <w:jc w:val="both"/>
            </w:pPr>
          </w:p>
        </w:tc>
        <w:tc>
          <w:tcPr>
            <w:tcW w:w="7615" w:type="dxa"/>
          </w:tcPr>
          <w:p w14:paraId="7F0C9942" w14:textId="77777777" w:rsidR="00250AC8" w:rsidRPr="00EC250C" w:rsidRDefault="00250AC8" w:rsidP="00902FC6">
            <w:pPr>
              <w:pStyle w:val="Tabela"/>
              <w:rPr>
                <w:sz w:val="18"/>
                <w:szCs w:val="20"/>
              </w:rPr>
            </w:pPr>
            <w:r w:rsidRPr="00EC250C">
              <w:rPr>
                <w:sz w:val="18"/>
                <w:szCs w:val="20"/>
              </w:rPr>
              <w:t>Spotkanie</w:t>
            </w:r>
            <w:r w:rsidR="00992FD0" w:rsidRPr="00EC250C">
              <w:rPr>
                <w:sz w:val="18"/>
                <w:szCs w:val="20"/>
              </w:rPr>
              <w:t xml:space="preserve"> z </w:t>
            </w:r>
            <w:r w:rsidRPr="00EC250C">
              <w:rPr>
                <w:sz w:val="18"/>
                <w:szCs w:val="20"/>
              </w:rPr>
              <w:t>delegacją sędziów</w:t>
            </w:r>
            <w:r w:rsidR="00992FD0" w:rsidRPr="00EC250C">
              <w:rPr>
                <w:sz w:val="18"/>
                <w:szCs w:val="20"/>
              </w:rPr>
              <w:t xml:space="preserve"> i </w:t>
            </w:r>
            <w:r w:rsidRPr="00EC250C">
              <w:rPr>
                <w:sz w:val="18"/>
                <w:szCs w:val="20"/>
              </w:rPr>
              <w:t>prokuratorów</w:t>
            </w:r>
            <w:r w:rsidR="00992FD0" w:rsidRPr="00EC250C">
              <w:rPr>
                <w:sz w:val="18"/>
                <w:szCs w:val="20"/>
              </w:rPr>
              <w:t xml:space="preserve"> z </w:t>
            </w:r>
            <w:r w:rsidRPr="00EC250C">
              <w:rPr>
                <w:sz w:val="18"/>
                <w:szCs w:val="20"/>
              </w:rPr>
              <w:t>państw członkowskich UE odbywających wizytę</w:t>
            </w:r>
            <w:r w:rsidR="00992FD0" w:rsidRPr="00EC250C">
              <w:rPr>
                <w:sz w:val="18"/>
                <w:szCs w:val="20"/>
              </w:rPr>
              <w:t xml:space="preserve"> w </w:t>
            </w:r>
            <w:r w:rsidRPr="00EC250C">
              <w:rPr>
                <w:sz w:val="18"/>
                <w:szCs w:val="20"/>
              </w:rPr>
              <w:t>Polsce</w:t>
            </w:r>
            <w:r w:rsidR="00992FD0" w:rsidRPr="00EC250C">
              <w:rPr>
                <w:sz w:val="18"/>
                <w:szCs w:val="20"/>
              </w:rPr>
              <w:t xml:space="preserve"> w </w:t>
            </w:r>
            <w:r w:rsidRPr="00EC250C">
              <w:rPr>
                <w:sz w:val="18"/>
                <w:szCs w:val="20"/>
              </w:rPr>
              <w:t>ramach wymiany stażowej organizowanej przez Krajową Szkołę Sądownictwa</w:t>
            </w:r>
            <w:r w:rsidR="00992FD0" w:rsidRPr="00EC250C">
              <w:rPr>
                <w:sz w:val="18"/>
                <w:szCs w:val="20"/>
              </w:rPr>
              <w:t xml:space="preserve"> i </w:t>
            </w:r>
            <w:r w:rsidRPr="00EC250C">
              <w:rPr>
                <w:sz w:val="18"/>
                <w:szCs w:val="20"/>
              </w:rPr>
              <w:t>Prokuratury</w:t>
            </w:r>
            <w:r w:rsidR="00992FD0" w:rsidRPr="00EC250C">
              <w:rPr>
                <w:sz w:val="18"/>
                <w:szCs w:val="20"/>
              </w:rPr>
              <w:t xml:space="preserve"> w </w:t>
            </w:r>
            <w:r w:rsidRPr="00EC250C">
              <w:rPr>
                <w:sz w:val="18"/>
                <w:szCs w:val="20"/>
              </w:rPr>
              <w:t>programie Europejskiej Sieci Szkolenia Kadr Wymiaru Sprawiedliwości (European Judicial Training Network). Biuro RPO. Warszawa.</w:t>
            </w:r>
          </w:p>
        </w:tc>
        <w:tc>
          <w:tcPr>
            <w:tcW w:w="1545" w:type="dxa"/>
          </w:tcPr>
          <w:p w14:paraId="2160773C" w14:textId="77777777" w:rsidR="00250AC8" w:rsidRPr="00EC250C" w:rsidRDefault="00250AC8" w:rsidP="00902FC6">
            <w:pPr>
              <w:pStyle w:val="Tabela"/>
              <w:rPr>
                <w:sz w:val="18"/>
                <w:szCs w:val="20"/>
              </w:rPr>
            </w:pPr>
            <w:r w:rsidRPr="00EC250C">
              <w:rPr>
                <w:sz w:val="18"/>
                <w:szCs w:val="20"/>
              </w:rPr>
              <w:t>13.06.2018</w:t>
            </w:r>
            <w:r w:rsidR="00C91F6E" w:rsidRPr="00EC250C">
              <w:rPr>
                <w:sz w:val="18"/>
                <w:szCs w:val="20"/>
              </w:rPr>
              <w:t> r.</w:t>
            </w:r>
          </w:p>
        </w:tc>
      </w:tr>
      <w:tr w:rsidR="00250AC8" w:rsidRPr="00EC250C" w14:paraId="542BF88B" w14:textId="77777777" w:rsidTr="00FC47F2">
        <w:trPr>
          <w:tblCellSpacing w:w="20" w:type="dxa"/>
        </w:trPr>
        <w:tc>
          <w:tcPr>
            <w:tcW w:w="516" w:type="dxa"/>
          </w:tcPr>
          <w:p w14:paraId="6038C6B4" w14:textId="77777777" w:rsidR="00250AC8" w:rsidRPr="00EC250C" w:rsidRDefault="00250AC8" w:rsidP="006C70B7">
            <w:pPr>
              <w:pStyle w:val="Tabela"/>
              <w:numPr>
                <w:ilvl w:val="0"/>
                <w:numId w:val="82"/>
              </w:numPr>
              <w:ind w:left="0" w:firstLine="0"/>
              <w:jc w:val="both"/>
            </w:pPr>
          </w:p>
        </w:tc>
        <w:tc>
          <w:tcPr>
            <w:tcW w:w="7615" w:type="dxa"/>
          </w:tcPr>
          <w:p w14:paraId="7D2BCE1D"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Hubertem Delesallem, Sędzią Apelacyjnym Sądu Administracyjnego</w:t>
            </w:r>
            <w:r w:rsidR="00992FD0" w:rsidRPr="00EC250C">
              <w:rPr>
                <w:sz w:val="18"/>
                <w:szCs w:val="20"/>
              </w:rPr>
              <w:t xml:space="preserve"> z </w:t>
            </w:r>
            <w:r w:rsidRPr="00EC250C">
              <w:rPr>
                <w:sz w:val="18"/>
                <w:szCs w:val="20"/>
              </w:rPr>
              <w:t>Francji. Biuro RPO. Warszawa.</w:t>
            </w:r>
          </w:p>
        </w:tc>
        <w:tc>
          <w:tcPr>
            <w:tcW w:w="1545" w:type="dxa"/>
          </w:tcPr>
          <w:p w14:paraId="148F2FDD" w14:textId="77777777" w:rsidR="00250AC8" w:rsidRPr="00EC250C" w:rsidRDefault="00250AC8" w:rsidP="00902FC6">
            <w:pPr>
              <w:pStyle w:val="Tabela"/>
              <w:rPr>
                <w:sz w:val="18"/>
                <w:szCs w:val="20"/>
              </w:rPr>
            </w:pPr>
            <w:r w:rsidRPr="00EC250C">
              <w:rPr>
                <w:sz w:val="18"/>
                <w:szCs w:val="20"/>
              </w:rPr>
              <w:t>20.06.2018</w:t>
            </w:r>
            <w:r w:rsidR="00C91F6E" w:rsidRPr="00EC250C">
              <w:rPr>
                <w:sz w:val="18"/>
                <w:szCs w:val="20"/>
              </w:rPr>
              <w:t> r.</w:t>
            </w:r>
          </w:p>
        </w:tc>
      </w:tr>
      <w:tr w:rsidR="00250AC8" w:rsidRPr="00EC250C" w14:paraId="18F2A051" w14:textId="77777777" w:rsidTr="00FC47F2">
        <w:trPr>
          <w:tblCellSpacing w:w="20" w:type="dxa"/>
        </w:trPr>
        <w:tc>
          <w:tcPr>
            <w:tcW w:w="516" w:type="dxa"/>
          </w:tcPr>
          <w:p w14:paraId="35EABC5F" w14:textId="77777777" w:rsidR="00250AC8" w:rsidRPr="00EC250C" w:rsidRDefault="00250AC8" w:rsidP="006C70B7">
            <w:pPr>
              <w:pStyle w:val="Tabela"/>
              <w:numPr>
                <w:ilvl w:val="0"/>
                <w:numId w:val="82"/>
              </w:numPr>
              <w:ind w:left="0" w:firstLine="0"/>
              <w:jc w:val="both"/>
            </w:pPr>
          </w:p>
        </w:tc>
        <w:tc>
          <w:tcPr>
            <w:tcW w:w="7615" w:type="dxa"/>
          </w:tcPr>
          <w:p w14:paraId="0949541E"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oraz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delegacją Europejskiej Sieci Rad Sądownictwa (ENCJ). Biuro RPO. Warszawa.</w:t>
            </w:r>
          </w:p>
        </w:tc>
        <w:tc>
          <w:tcPr>
            <w:tcW w:w="1545" w:type="dxa"/>
          </w:tcPr>
          <w:p w14:paraId="5D2CC0F0" w14:textId="77777777" w:rsidR="00250AC8" w:rsidRPr="00EC250C" w:rsidRDefault="00250AC8" w:rsidP="00902FC6">
            <w:pPr>
              <w:pStyle w:val="Tabela"/>
              <w:rPr>
                <w:sz w:val="18"/>
                <w:szCs w:val="20"/>
              </w:rPr>
            </w:pPr>
            <w:r w:rsidRPr="00EC250C">
              <w:rPr>
                <w:sz w:val="18"/>
                <w:szCs w:val="20"/>
              </w:rPr>
              <w:t>21.06.2018</w:t>
            </w:r>
            <w:r w:rsidR="00C91F6E" w:rsidRPr="00EC250C">
              <w:rPr>
                <w:sz w:val="18"/>
                <w:szCs w:val="20"/>
              </w:rPr>
              <w:t> r.</w:t>
            </w:r>
          </w:p>
        </w:tc>
      </w:tr>
      <w:tr w:rsidR="00250AC8" w:rsidRPr="00EC250C" w14:paraId="2B4225B0" w14:textId="77777777" w:rsidTr="00FC47F2">
        <w:trPr>
          <w:tblCellSpacing w:w="20" w:type="dxa"/>
        </w:trPr>
        <w:tc>
          <w:tcPr>
            <w:tcW w:w="516" w:type="dxa"/>
          </w:tcPr>
          <w:p w14:paraId="2EFCF0D5" w14:textId="77777777" w:rsidR="00250AC8" w:rsidRPr="00EC250C" w:rsidRDefault="00250AC8" w:rsidP="006C70B7">
            <w:pPr>
              <w:pStyle w:val="Tabela"/>
              <w:numPr>
                <w:ilvl w:val="0"/>
                <w:numId w:val="82"/>
              </w:numPr>
              <w:ind w:left="0" w:firstLine="0"/>
              <w:jc w:val="both"/>
            </w:pPr>
          </w:p>
        </w:tc>
        <w:tc>
          <w:tcPr>
            <w:tcW w:w="7615" w:type="dxa"/>
          </w:tcPr>
          <w:p w14:paraId="38AFF811"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z </w:t>
            </w:r>
            <w:r w:rsidRPr="00EC250C">
              <w:rPr>
                <w:sz w:val="18"/>
                <w:szCs w:val="20"/>
              </w:rPr>
              <w:t>uczestnikami wizyty studyjnej</w:t>
            </w:r>
            <w:r w:rsidR="00992FD0" w:rsidRPr="00EC250C">
              <w:rPr>
                <w:sz w:val="18"/>
                <w:szCs w:val="20"/>
              </w:rPr>
              <w:t xml:space="preserve"> z </w:t>
            </w:r>
            <w:r w:rsidRPr="00EC250C">
              <w:rPr>
                <w:sz w:val="18"/>
                <w:szCs w:val="20"/>
              </w:rPr>
              <w:t>USA zorganizowanej przez Ambasadę RP</w:t>
            </w:r>
            <w:r w:rsidR="00992FD0" w:rsidRPr="00EC250C">
              <w:rPr>
                <w:sz w:val="18"/>
                <w:szCs w:val="20"/>
              </w:rPr>
              <w:t xml:space="preserve"> w </w:t>
            </w:r>
            <w:r w:rsidRPr="00EC250C">
              <w:rPr>
                <w:sz w:val="18"/>
                <w:szCs w:val="20"/>
              </w:rPr>
              <w:t>Waszyngtonie. Warszawa.</w:t>
            </w:r>
          </w:p>
        </w:tc>
        <w:tc>
          <w:tcPr>
            <w:tcW w:w="1545" w:type="dxa"/>
          </w:tcPr>
          <w:p w14:paraId="51CC721A" w14:textId="77777777" w:rsidR="00250AC8" w:rsidRPr="00EC250C" w:rsidRDefault="00250AC8" w:rsidP="00902FC6">
            <w:pPr>
              <w:pStyle w:val="Tabela"/>
              <w:rPr>
                <w:sz w:val="18"/>
                <w:szCs w:val="20"/>
              </w:rPr>
            </w:pPr>
            <w:r w:rsidRPr="00EC250C">
              <w:rPr>
                <w:sz w:val="18"/>
                <w:szCs w:val="20"/>
              </w:rPr>
              <w:t>26.06.2018</w:t>
            </w:r>
            <w:r w:rsidR="00C91F6E" w:rsidRPr="00EC250C">
              <w:rPr>
                <w:sz w:val="18"/>
                <w:szCs w:val="20"/>
              </w:rPr>
              <w:t> r.</w:t>
            </w:r>
          </w:p>
        </w:tc>
      </w:tr>
      <w:tr w:rsidR="00250AC8" w:rsidRPr="00EC250C" w14:paraId="776C0095" w14:textId="77777777" w:rsidTr="00FC47F2">
        <w:trPr>
          <w:tblCellSpacing w:w="20" w:type="dxa"/>
        </w:trPr>
        <w:tc>
          <w:tcPr>
            <w:tcW w:w="516" w:type="dxa"/>
          </w:tcPr>
          <w:p w14:paraId="23ACAD67" w14:textId="77777777" w:rsidR="00250AC8" w:rsidRPr="00EC250C" w:rsidRDefault="00250AC8" w:rsidP="006C70B7">
            <w:pPr>
              <w:pStyle w:val="Tabela"/>
              <w:numPr>
                <w:ilvl w:val="0"/>
                <w:numId w:val="82"/>
              </w:numPr>
              <w:ind w:left="0" w:firstLine="0"/>
              <w:jc w:val="both"/>
            </w:pPr>
          </w:p>
        </w:tc>
        <w:tc>
          <w:tcPr>
            <w:tcW w:w="7615" w:type="dxa"/>
          </w:tcPr>
          <w:p w14:paraId="32850171"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ramach rozpoczynającej się wizyty Podkomitetu ONZ ds. Prewencji Tortur (SPT)</w:t>
            </w:r>
            <w:r w:rsidR="00992FD0" w:rsidRPr="00EC250C">
              <w:rPr>
                <w:sz w:val="18"/>
                <w:szCs w:val="20"/>
              </w:rPr>
              <w:t xml:space="preserve"> w </w:t>
            </w:r>
            <w:r w:rsidRPr="00EC250C">
              <w:rPr>
                <w:sz w:val="18"/>
                <w:szCs w:val="20"/>
              </w:rPr>
              <w:t>Polsce. Warszawa.</w:t>
            </w:r>
          </w:p>
        </w:tc>
        <w:tc>
          <w:tcPr>
            <w:tcW w:w="1545" w:type="dxa"/>
          </w:tcPr>
          <w:p w14:paraId="3395084B" w14:textId="77777777" w:rsidR="00250AC8" w:rsidRPr="00EC250C" w:rsidRDefault="00250AC8" w:rsidP="00902FC6">
            <w:pPr>
              <w:pStyle w:val="Tabela"/>
              <w:rPr>
                <w:sz w:val="18"/>
                <w:szCs w:val="20"/>
              </w:rPr>
            </w:pPr>
            <w:r w:rsidRPr="00EC250C">
              <w:rPr>
                <w:sz w:val="18"/>
                <w:szCs w:val="20"/>
              </w:rPr>
              <w:t>09.07.2018</w:t>
            </w:r>
            <w:r w:rsidR="00C91F6E" w:rsidRPr="00EC250C">
              <w:rPr>
                <w:sz w:val="18"/>
                <w:szCs w:val="20"/>
              </w:rPr>
              <w:t> r.</w:t>
            </w:r>
          </w:p>
        </w:tc>
      </w:tr>
      <w:tr w:rsidR="00250AC8" w:rsidRPr="00EC250C" w14:paraId="71FF10D1" w14:textId="77777777" w:rsidTr="00FC47F2">
        <w:trPr>
          <w:tblCellSpacing w:w="20" w:type="dxa"/>
        </w:trPr>
        <w:tc>
          <w:tcPr>
            <w:tcW w:w="516" w:type="dxa"/>
          </w:tcPr>
          <w:p w14:paraId="055F3E15" w14:textId="77777777" w:rsidR="00250AC8" w:rsidRPr="00EC250C" w:rsidRDefault="00250AC8" w:rsidP="006C70B7">
            <w:pPr>
              <w:pStyle w:val="Tabela"/>
              <w:numPr>
                <w:ilvl w:val="0"/>
                <w:numId w:val="82"/>
              </w:numPr>
              <w:ind w:left="0" w:firstLine="0"/>
              <w:jc w:val="both"/>
            </w:pPr>
          </w:p>
        </w:tc>
        <w:tc>
          <w:tcPr>
            <w:tcW w:w="7615" w:type="dxa"/>
          </w:tcPr>
          <w:p w14:paraId="31DD591D" w14:textId="77777777" w:rsidR="00250AC8" w:rsidRPr="00EC250C" w:rsidRDefault="001C54CC" w:rsidP="00902FC6">
            <w:pPr>
              <w:pStyle w:val="Tabela"/>
              <w:rPr>
                <w:rStyle w:val="tytul13"/>
                <w:rFonts w:eastAsiaTheme="minorHAnsi"/>
                <w:sz w:val="18"/>
                <w:szCs w:val="20"/>
                <w:bdr w:val="none" w:sz="0" w:space="0" w:color="auto"/>
              </w:rPr>
            </w:pPr>
            <w:r w:rsidRPr="00EC250C">
              <w:rPr>
                <w:rStyle w:val="tytul13"/>
                <w:sz w:val="18"/>
                <w:szCs w:val="20"/>
                <w:bdr w:val="none" w:sz="0" w:space="0" w:color="auto"/>
              </w:rPr>
              <w:t>Spotkanie zastępczyni RPO Hanny Machińskiej</w:t>
            </w:r>
            <w:r w:rsidR="00992FD0" w:rsidRPr="00EC250C">
              <w:rPr>
                <w:rStyle w:val="tytul13"/>
                <w:sz w:val="18"/>
                <w:szCs w:val="20"/>
                <w:bdr w:val="none" w:sz="0" w:space="0" w:color="auto"/>
              </w:rPr>
              <w:t xml:space="preserve"> z </w:t>
            </w:r>
            <w:r w:rsidRPr="00EC250C">
              <w:rPr>
                <w:rStyle w:val="tytul13"/>
                <w:sz w:val="18"/>
                <w:szCs w:val="20"/>
                <w:bdr w:val="none" w:sz="0" w:space="0" w:color="auto"/>
              </w:rPr>
              <w:t xml:space="preserve">przedstawicielami Podkomitetu ds. </w:t>
            </w:r>
            <w:r w:rsidRPr="00C3177E">
              <w:rPr>
                <w:rStyle w:val="tytul13"/>
                <w:sz w:val="18"/>
                <w:szCs w:val="20"/>
                <w:bdr w:val="none" w:sz="0" w:space="0" w:color="auto"/>
                <w:lang w:val="en-US"/>
              </w:rPr>
              <w:t xml:space="preserve">Prewencji Tortur ONZ (SPT: Subcommittee on Prevention of Torture and other Cruel, Inhuman or Degrading Treatment or Punishment). </w:t>
            </w:r>
            <w:r w:rsidRPr="00EC250C">
              <w:rPr>
                <w:rStyle w:val="tytul13"/>
                <w:sz w:val="18"/>
                <w:szCs w:val="20"/>
                <w:bdr w:val="none" w:sz="0" w:space="0" w:color="auto"/>
              </w:rPr>
              <w:t>Biuro RPO. Warszawa.</w:t>
            </w:r>
          </w:p>
        </w:tc>
        <w:tc>
          <w:tcPr>
            <w:tcW w:w="1545" w:type="dxa"/>
          </w:tcPr>
          <w:p w14:paraId="13B06AD4" w14:textId="77777777" w:rsidR="00250AC8" w:rsidRPr="00EC250C" w:rsidRDefault="00250AC8" w:rsidP="00902FC6">
            <w:pPr>
              <w:pStyle w:val="Tabela"/>
              <w:rPr>
                <w:sz w:val="18"/>
                <w:szCs w:val="20"/>
              </w:rPr>
            </w:pPr>
            <w:r w:rsidRPr="00EC250C">
              <w:rPr>
                <w:sz w:val="18"/>
                <w:szCs w:val="20"/>
              </w:rPr>
              <w:t>11.07.2018</w:t>
            </w:r>
            <w:r w:rsidR="00C91F6E" w:rsidRPr="00EC250C">
              <w:rPr>
                <w:sz w:val="18"/>
                <w:szCs w:val="20"/>
              </w:rPr>
              <w:t> r.</w:t>
            </w:r>
          </w:p>
        </w:tc>
      </w:tr>
      <w:tr w:rsidR="00250AC8" w:rsidRPr="00EC250C" w14:paraId="5E423586" w14:textId="77777777" w:rsidTr="00FC47F2">
        <w:trPr>
          <w:tblCellSpacing w:w="20" w:type="dxa"/>
        </w:trPr>
        <w:tc>
          <w:tcPr>
            <w:tcW w:w="516" w:type="dxa"/>
          </w:tcPr>
          <w:p w14:paraId="61351EE8" w14:textId="77777777" w:rsidR="00250AC8" w:rsidRPr="00EC250C" w:rsidRDefault="00250AC8" w:rsidP="006C70B7">
            <w:pPr>
              <w:pStyle w:val="Tabela"/>
              <w:numPr>
                <w:ilvl w:val="0"/>
                <w:numId w:val="82"/>
              </w:numPr>
              <w:ind w:left="0" w:firstLine="0"/>
              <w:jc w:val="both"/>
            </w:pPr>
          </w:p>
        </w:tc>
        <w:tc>
          <w:tcPr>
            <w:tcW w:w="7615" w:type="dxa"/>
          </w:tcPr>
          <w:p w14:paraId="4DEF8338" w14:textId="77777777" w:rsidR="00250AC8" w:rsidRPr="00EC250C" w:rsidRDefault="00250AC8" w:rsidP="00902FC6">
            <w:pPr>
              <w:pStyle w:val="Tabela"/>
              <w:rPr>
                <w:rStyle w:val="tytul13"/>
                <w:rFonts w:eastAsiaTheme="minorHAnsi"/>
                <w:sz w:val="18"/>
                <w:szCs w:val="20"/>
                <w:bdr w:val="none" w:sz="0" w:space="0" w:color="auto"/>
              </w:rPr>
            </w:pPr>
            <w:r w:rsidRPr="00EC250C">
              <w:rPr>
                <w:rStyle w:val="tytul13"/>
                <w:sz w:val="18"/>
                <w:szCs w:val="20"/>
                <w:bdr w:val="none" w:sz="0" w:space="0" w:color="auto"/>
              </w:rPr>
              <w:t xml:space="preserve">Spotkanie </w:t>
            </w:r>
            <w:r w:rsidR="003C397F" w:rsidRPr="00EC250C">
              <w:rPr>
                <w:rStyle w:val="tytul13"/>
                <w:sz w:val="18"/>
                <w:szCs w:val="20"/>
                <w:bdr w:val="none" w:sz="0" w:space="0" w:color="auto"/>
              </w:rPr>
              <w:t>rzecznika praw obywatelskich</w:t>
            </w:r>
            <w:r w:rsidRPr="00EC250C">
              <w:rPr>
                <w:rStyle w:val="tytul13"/>
                <w:sz w:val="18"/>
                <w:szCs w:val="20"/>
                <w:bdr w:val="none" w:sz="0" w:space="0" w:color="auto"/>
              </w:rPr>
              <w:t xml:space="preserve"> Adama Bodnara</w:t>
            </w:r>
            <w:r w:rsidR="00992FD0" w:rsidRPr="00EC250C">
              <w:rPr>
                <w:rStyle w:val="tytul13"/>
                <w:sz w:val="18"/>
                <w:szCs w:val="20"/>
                <w:bdr w:val="none" w:sz="0" w:space="0" w:color="auto"/>
              </w:rPr>
              <w:t xml:space="preserve"> z </w:t>
            </w:r>
            <w:r w:rsidRPr="00EC250C">
              <w:rPr>
                <w:rStyle w:val="tytul13"/>
                <w:sz w:val="18"/>
                <w:szCs w:val="20"/>
                <w:bdr w:val="none" w:sz="0" w:space="0" w:color="auto"/>
              </w:rPr>
              <w:t>przedstawicielami Podkomitetu ONZ ds. Prewencji Tortur (SPT). Warszawa.</w:t>
            </w:r>
          </w:p>
        </w:tc>
        <w:tc>
          <w:tcPr>
            <w:tcW w:w="1545" w:type="dxa"/>
          </w:tcPr>
          <w:p w14:paraId="7889EC7B" w14:textId="77777777" w:rsidR="00250AC8" w:rsidRPr="00EC250C" w:rsidRDefault="00250AC8" w:rsidP="00902FC6">
            <w:pPr>
              <w:pStyle w:val="Tabela"/>
              <w:rPr>
                <w:sz w:val="18"/>
                <w:szCs w:val="20"/>
              </w:rPr>
            </w:pPr>
            <w:r w:rsidRPr="00EC250C">
              <w:rPr>
                <w:sz w:val="18"/>
                <w:szCs w:val="20"/>
              </w:rPr>
              <w:t>19.07.2018</w:t>
            </w:r>
            <w:r w:rsidR="00C91F6E" w:rsidRPr="00EC250C">
              <w:rPr>
                <w:sz w:val="18"/>
                <w:szCs w:val="20"/>
              </w:rPr>
              <w:t> r.</w:t>
            </w:r>
          </w:p>
        </w:tc>
      </w:tr>
      <w:tr w:rsidR="00250AC8" w:rsidRPr="00EC250C" w14:paraId="79FE6D9E" w14:textId="77777777" w:rsidTr="00FC47F2">
        <w:trPr>
          <w:tblCellSpacing w:w="20" w:type="dxa"/>
        </w:trPr>
        <w:tc>
          <w:tcPr>
            <w:tcW w:w="516" w:type="dxa"/>
          </w:tcPr>
          <w:p w14:paraId="2D0C45D9" w14:textId="77777777" w:rsidR="00250AC8" w:rsidRPr="00EC250C" w:rsidRDefault="00250AC8" w:rsidP="006C70B7">
            <w:pPr>
              <w:pStyle w:val="Tabela"/>
              <w:numPr>
                <w:ilvl w:val="0"/>
                <w:numId w:val="82"/>
              </w:numPr>
              <w:ind w:left="0" w:firstLine="0"/>
              <w:jc w:val="both"/>
            </w:pPr>
          </w:p>
        </w:tc>
        <w:tc>
          <w:tcPr>
            <w:tcW w:w="7615" w:type="dxa"/>
          </w:tcPr>
          <w:p w14:paraId="4AE06C73"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z </w:t>
            </w:r>
            <w:r w:rsidRPr="00EC250C">
              <w:rPr>
                <w:sz w:val="18"/>
                <w:szCs w:val="20"/>
              </w:rPr>
              <w:t>Hillary Margolis, ekspertką Human Rights Watch ds. kobiet. Biuro RPO. Warszawa.</w:t>
            </w:r>
          </w:p>
        </w:tc>
        <w:tc>
          <w:tcPr>
            <w:tcW w:w="1545" w:type="dxa"/>
          </w:tcPr>
          <w:p w14:paraId="1EAD50B8" w14:textId="77777777" w:rsidR="00250AC8" w:rsidRPr="00EC250C" w:rsidRDefault="00250AC8" w:rsidP="00902FC6">
            <w:pPr>
              <w:pStyle w:val="Tabela"/>
              <w:rPr>
                <w:sz w:val="18"/>
                <w:szCs w:val="20"/>
              </w:rPr>
            </w:pPr>
            <w:r w:rsidRPr="00EC250C">
              <w:rPr>
                <w:sz w:val="18"/>
                <w:szCs w:val="20"/>
              </w:rPr>
              <w:t>09.08.2018</w:t>
            </w:r>
            <w:r w:rsidR="00C91F6E" w:rsidRPr="00EC250C">
              <w:rPr>
                <w:sz w:val="18"/>
                <w:szCs w:val="20"/>
              </w:rPr>
              <w:t> r.</w:t>
            </w:r>
          </w:p>
        </w:tc>
      </w:tr>
      <w:tr w:rsidR="00250AC8" w:rsidRPr="00EC250C" w14:paraId="2C9FD34B" w14:textId="77777777" w:rsidTr="00FC47F2">
        <w:trPr>
          <w:tblCellSpacing w:w="20" w:type="dxa"/>
        </w:trPr>
        <w:tc>
          <w:tcPr>
            <w:tcW w:w="516" w:type="dxa"/>
          </w:tcPr>
          <w:p w14:paraId="30C0513E" w14:textId="77777777" w:rsidR="00250AC8" w:rsidRPr="00EC250C" w:rsidRDefault="00250AC8" w:rsidP="006C70B7">
            <w:pPr>
              <w:pStyle w:val="Tabela"/>
              <w:numPr>
                <w:ilvl w:val="0"/>
                <w:numId w:val="82"/>
              </w:numPr>
              <w:ind w:left="0" w:firstLine="0"/>
              <w:jc w:val="both"/>
            </w:pPr>
          </w:p>
        </w:tc>
        <w:tc>
          <w:tcPr>
            <w:tcW w:w="7615" w:type="dxa"/>
          </w:tcPr>
          <w:p w14:paraId="5CF98154"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przedstawicielami Krajowego Centrum Praw Obywatelskich</w:t>
            </w:r>
            <w:r w:rsidR="00992FD0" w:rsidRPr="00EC250C">
              <w:rPr>
                <w:sz w:val="18"/>
                <w:szCs w:val="20"/>
              </w:rPr>
              <w:t xml:space="preserve"> z </w:t>
            </w:r>
            <w:r w:rsidRPr="00EC250C">
              <w:rPr>
                <w:sz w:val="18"/>
                <w:szCs w:val="20"/>
              </w:rPr>
              <w:t>Kazachstanu. Biuro RPO. Warszawa.</w:t>
            </w:r>
          </w:p>
        </w:tc>
        <w:tc>
          <w:tcPr>
            <w:tcW w:w="1545" w:type="dxa"/>
          </w:tcPr>
          <w:p w14:paraId="6AE34A21" w14:textId="77777777" w:rsidR="00250AC8" w:rsidRPr="00EC250C" w:rsidRDefault="00250AC8" w:rsidP="00902FC6">
            <w:pPr>
              <w:pStyle w:val="Tabela"/>
              <w:rPr>
                <w:sz w:val="18"/>
                <w:szCs w:val="20"/>
              </w:rPr>
            </w:pPr>
            <w:r w:rsidRPr="00EC250C">
              <w:rPr>
                <w:sz w:val="18"/>
                <w:szCs w:val="20"/>
              </w:rPr>
              <w:t>10.08.2018</w:t>
            </w:r>
            <w:r w:rsidR="00C91F6E" w:rsidRPr="00EC250C">
              <w:rPr>
                <w:sz w:val="18"/>
                <w:szCs w:val="20"/>
              </w:rPr>
              <w:t> r.</w:t>
            </w:r>
          </w:p>
        </w:tc>
      </w:tr>
      <w:tr w:rsidR="00250AC8" w:rsidRPr="00EC250C" w14:paraId="4792798D" w14:textId="77777777" w:rsidTr="00FC47F2">
        <w:trPr>
          <w:tblCellSpacing w:w="20" w:type="dxa"/>
        </w:trPr>
        <w:tc>
          <w:tcPr>
            <w:tcW w:w="516" w:type="dxa"/>
          </w:tcPr>
          <w:p w14:paraId="0A79AF1A" w14:textId="77777777" w:rsidR="00250AC8" w:rsidRPr="00EC250C" w:rsidRDefault="00250AC8" w:rsidP="006C70B7">
            <w:pPr>
              <w:pStyle w:val="Tabela"/>
              <w:numPr>
                <w:ilvl w:val="0"/>
                <w:numId w:val="82"/>
              </w:numPr>
              <w:ind w:left="0" w:firstLine="0"/>
              <w:jc w:val="both"/>
            </w:pPr>
          </w:p>
        </w:tc>
        <w:tc>
          <w:tcPr>
            <w:tcW w:w="7615" w:type="dxa"/>
          </w:tcPr>
          <w:p w14:paraId="793F3D87"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i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Human Dimension Implementation Meeting 2018 zorganizowanym przez OBWE/OSCE. Warszawa.</w:t>
            </w:r>
          </w:p>
        </w:tc>
        <w:tc>
          <w:tcPr>
            <w:tcW w:w="1545" w:type="dxa"/>
          </w:tcPr>
          <w:p w14:paraId="0A285005" w14:textId="77777777" w:rsidR="00250AC8" w:rsidRPr="00EC250C" w:rsidRDefault="00250AC8" w:rsidP="00902FC6">
            <w:pPr>
              <w:pStyle w:val="Tabela"/>
              <w:rPr>
                <w:sz w:val="18"/>
                <w:szCs w:val="20"/>
              </w:rPr>
            </w:pPr>
            <w:r w:rsidRPr="00EC250C">
              <w:rPr>
                <w:sz w:val="18"/>
                <w:szCs w:val="20"/>
              </w:rPr>
              <w:t>10,11</w:t>
            </w:r>
            <w:r w:rsidR="00992FD0" w:rsidRPr="00EC250C">
              <w:rPr>
                <w:sz w:val="18"/>
                <w:szCs w:val="20"/>
              </w:rPr>
              <w:t xml:space="preserve"> i </w:t>
            </w:r>
            <w:r w:rsidRPr="00EC250C">
              <w:rPr>
                <w:sz w:val="18"/>
                <w:szCs w:val="20"/>
              </w:rPr>
              <w:t>14.09.2018</w:t>
            </w:r>
            <w:r w:rsidR="00C91F6E" w:rsidRPr="00EC250C">
              <w:rPr>
                <w:sz w:val="18"/>
                <w:szCs w:val="20"/>
              </w:rPr>
              <w:t> r.</w:t>
            </w:r>
          </w:p>
        </w:tc>
      </w:tr>
      <w:tr w:rsidR="00250AC8" w:rsidRPr="00EC250C" w14:paraId="3AF74DF6" w14:textId="77777777" w:rsidTr="00FC47F2">
        <w:trPr>
          <w:tblCellSpacing w:w="20" w:type="dxa"/>
        </w:trPr>
        <w:tc>
          <w:tcPr>
            <w:tcW w:w="516" w:type="dxa"/>
          </w:tcPr>
          <w:p w14:paraId="594DF6BB" w14:textId="77777777" w:rsidR="00250AC8" w:rsidRPr="00EC250C" w:rsidRDefault="00250AC8" w:rsidP="006C70B7">
            <w:pPr>
              <w:pStyle w:val="Tabela"/>
              <w:numPr>
                <w:ilvl w:val="0"/>
                <w:numId w:val="82"/>
              </w:numPr>
              <w:ind w:left="0" w:firstLine="0"/>
              <w:jc w:val="both"/>
            </w:pPr>
          </w:p>
        </w:tc>
        <w:tc>
          <w:tcPr>
            <w:tcW w:w="7615" w:type="dxa"/>
          </w:tcPr>
          <w:p w14:paraId="1EFF3BFA"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z </w:t>
            </w:r>
            <w:r w:rsidRPr="00EC250C">
              <w:rPr>
                <w:sz w:val="18"/>
                <w:szCs w:val="20"/>
              </w:rPr>
              <w:t>przedstawicielami organizacji pozarządowych</w:t>
            </w:r>
            <w:r w:rsidR="00992FD0" w:rsidRPr="00EC250C">
              <w:rPr>
                <w:sz w:val="18"/>
                <w:szCs w:val="20"/>
              </w:rPr>
              <w:t xml:space="preserve"> z </w:t>
            </w:r>
            <w:r w:rsidRPr="00EC250C">
              <w:rPr>
                <w:sz w:val="18"/>
                <w:szCs w:val="20"/>
              </w:rPr>
              <w:t>Ukrainy, zaangażowanych</w:t>
            </w:r>
            <w:r w:rsidR="00992FD0" w:rsidRPr="00EC250C">
              <w:rPr>
                <w:sz w:val="18"/>
                <w:szCs w:val="20"/>
              </w:rPr>
              <w:t xml:space="preserve"> w </w:t>
            </w:r>
            <w:r w:rsidRPr="00EC250C">
              <w:rPr>
                <w:sz w:val="18"/>
                <w:szCs w:val="20"/>
              </w:rPr>
              <w:t>obronę praw człowieka zorganizowane za pośrednictwem Amerykańskiej Agencji ds. Rozwoju Międzynarodowego. Biuro RPO. Warszawa.</w:t>
            </w:r>
          </w:p>
        </w:tc>
        <w:tc>
          <w:tcPr>
            <w:tcW w:w="1545" w:type="dxa"/>
          </w:tcPr>
          <w:p w14:paraId="40ACA9B5" w14:textId="77777777" w:rsidR="00250AC8" w:rsidRPr="00EC250C" w:rsidRDefault="00250AC8" w:rsidP="00902FC6">
            <w:pPr>
              <w:pStyle w:val="Tabela"/>
              <w:rPr>
                <w:sz w:val="18"/>
                <w:szCs w:val="20"/>
              </w:rPr>
            </w:pPr>
            <w:r w:rsidRPr="00EC250C">
              <w:rPr>
                <w:sz w:val="18"/>
                <w:szCs w:val="20"/>
              </w:rPr>
              <w:t>11.09.2018</w:t>
            </w:r>
            <w:r w:rsidR="00C91F6E" w:rsidRPr="00EC250C">
              <w:rPr>
                <w:sz w:val="18"/>
                <w:szCs w:val="20"/>
              </w:rPr>
              <w:t> r.</w:t>
            </w:r>
          </w:p>
        </w:tc>
      </w:tr>
      <w:tr w:rsidR="00250AC8" w:rsidRPr="00EC250C" w14:paraId="6ADCECDF" w14:textId="77777777" w:rsidTr="00FC47F2">
        <w:trPr>
          <w:tblCellSpacing w:w="20" w:type="dxa"/>
        </w:trPr>
        <w:tc>
          <w:tcPr>
            <w:tcW w:w="516" w:type="dxa"/>
          </w:tcPr>
          <w:p w14:paraId="3C769B9A" w14:textId="77777777" w:rsidR="00250AC8" w:rsidRPr="00EC250C" w:rsidRDefault="00250AC8" w:rsidP="006C70B7">
            <w:pPr>
              <w:pStyle w:val="Tabela"/>
              <w:numPr>
                <w:ilvl w:val="0"/>
                <w:numId w:val="82"/>
              </w:numPr>
              <w:ind w:left="0" w:firstLine="0"/>
              <w:jc w:val="both"/>
            </w:pPr>
          </w:p>
        </w:tc>
        <w:tc>
          <w:tcPr>
            <w:tcW w:w="7615" w:type="dxa"/>
          </w:tcPr>
          <w:p w14:paraId="2D3C367E"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w </w:t>
            </w:r>
            <w:r w:rsidRPr="00EC250C">
              <w:rPr>
                <w:sz w:val="18"/>
                <w:szCs w:val="20"/>
              </w:rPr>
              <w:t>przyjęciu powitalnym nowej ambasador USA</w:t>
            </w:r>
            <w:r w:rsidR="00992FD0" w:rsidRPr="00EC250C">
              <w:rPr>
                <w:sz w:val="18"/>
                <w:szCs w:val="20"/>
              </w:rPr>
              <w:t xml:space="preserve"> w </w:t>
            </w:r>
            <w:r w:rsidRPr="00EC250C">
              <w:rPr>
                <w:sz w:val="18"/>
                <w:szCs w:val="20"/>
              </w:rPr>
              <w:t>Polsce Georgette Mosbacher. Warszawa.</w:t>
            </w:r>
          </w:p>
        </w:tc>
        <w:tc>
          <w:tcPr>
            <w:tcW w:w="1545" w:type="dxa"/>
          </w:tcPr>
          <w:p w14:paraId="7A03478D" w14:textId="77777777" w:rsidR="00250AC8" w:rsidRPr="00EC250C" w:rsidRDefault="00250AC8" w:rsidP="00902FC6">
            <w:pPr>
              <w:pStyle w:val="Tabela"/>
              <w:rPr>
                <w:sz w:val="18"/>
                <w:szCs w:val="20"/>
              </w:rPr>
            </w:pPr>
            <w:r w:rsidRPr="00EC250C">
              <w:rPr>
                <w:sz w:val="18"/>
                <w:szCs w:val="20"/>
              </w:rPr>
              <w:t>13.09.2018</w:t>
            </w:r>
            <w:r w:rsidR="00C91F6E" w:rsidRPr="00EC250C">
              <w:rPr>
                <w:sz w:val="18"/>
                <w:szCs w:val="20"/>
              </w:rPr>
              <w:t> r.</w:t>
            </w:r>
          </w:p>
        </w:tc>
      </w:tr>
      <w:tr w:rsidR="00250AC8" w:rsidRPr="00EC250C" w14:paraId="5748F4FE" w14:textId="77777777" w:rsidTr="00FC47F2">
        <w:trPr>
          <w:tblCellSpacing w:w="20" w:type="dxa"/>
        </w:trPr>
        <w:tc>
          <w:tcPr>
            <w:tcW w:w="516" w:type="dxa"/>
          </w:tcPr>
          <w:p w14:paraId="38782292" w14:textId="77777777" w:rsidR="00250AC8" w:rsidRPr="00EC250C" w:rsidRDefault="00250AC8" w:rsidP="006C70B7">
            <w:pPr>
              <w:pStyle w:val="Tabela"/>
              <w:numPr>
                <w:ilvl w:val="0"/>
                <w:numId w:val="82"/>
              </w:numPr>
              <w:ind w:left="0" w:firstLine="0"/>
              <w:jc w:val="both"/>
            </w:pPr>
          </w:p>
        </w:tc>
        <w:tc>
          <w:tcPr>
            <w:tcW w:w="7615" w:type="dxa"/>
          </w:tcPr>
          <w:p w14:paraId="73D302BE"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w:t>
            </w:r>
            <w:r w:rsidRPr="00EC250C">
              <w:rPr>
                <w:rFonts w:eastAsiaTheme="minorHAnsi"/>
                <w:sz w:val="18"/>
                <w:szCs w:val="20"/>
              </w:rPr>
              <w:t xml:space="preserve"> </w:t>
            </w:r>
            <w:r w:rsidRPr="00EC250C">
              <w:rPr>
                <w:sz w:val="18"/>
                <w:szCs w:val="20"/>
              </w:rPr>
              <w:t>Hanny Machińskiej</w:t>
            </w:r>
            <w:r w:rsidR="00992FD0" w:rsidRPr="00EC250C">
              <w:rPr>
                <w:sz w:val="18"/>
                <w:szCs w:val="20"/>
              </w:rPr>
              <w:t xml:space="preserve"> z </w:t>
            </w:r>
            <w:r w:rsidRPr="00EC250C">
              <w:rPr>
                <w:sz w:val="18"/>
                <w:szCs w:val="20"/>
              </w:rPr>
              <w:t>Liudmylą Denisową, Rzeczniczką Praw Obywatelskich na Ukrainie oraz ambasadorem Ukrainy</w:t>
            </w:r>
            <w:r w:rsidR="00992FD0" w:rsidRPr="00EC250C">
              <w:rPr>
                <w:sz w:val="18"/>
                <w:szCs w:val="20"/>
              </w:rPr>
              <w:t xml:space="preserve"> w </w:t>
            </w:r>
            <w:r w:rsidRPr="00EC250C">
              <w:rPr>
                <w:sz w:val="18"/>
                <w:szCs w:val="20"/>
              </w:rPr>
              <w:t>Polsce Andrijem Deszczycią. Biuro RPO. Warszawa.</w:t>
            </w:r>
          </w:p>
        </w:tc>
        <w:tc>
          <w:tcPr>
            <w:tcW w:w="1545" w:type="dxa"/>
          </w:tcPr>
          <w:p w14:paraId="011D2CB6" w14:textId="77777777" w:rsidR="00250AC8" w:rsidRPr="00EC250C" w:rsidRDefault="00250AC8" w:rsidP="00902FC6">
            <w:pPr>
              <w:pStyle w:val="Tabela"/>
              <w:rPr>
                <w:sz w:val="18"/>
                <w:szCs w:val="20"/>
              </w:rPr>
            </w:pPr>
            <w:r w:rsidRPr="00EC250C">
              <w:rPr>
                <w:sz w:val="18"/>
                <w:szCs w:val="20"/>
              </w:rPr>
              <w:t>14.09.2018</w:t>
            </w:r>
            <w:r w:rsidR="00C91F6E" w:rsidRPr="00EC250C">
              <w:rPr>
                <w:sz w:val="18"/>
                <w:szCs w:val="20"/>
              </w:rPr>
              <w:t> r.</w:t>
            </w:r>
          </w:p>
        </w:tc>
      </w:tr>
      <w:tr w:rsidR="00250AC8" w:rsidRPr="00EC250C" w14:paraId="2FC38630" w14:textId="77777777" w:rsidTr="00FC47F2">
        <w:trPr>
          <w:tblCellSpacing w:w="20" w:type="dxa"/>
        </w:trPr>
        <w:tc>
          <w:tcPr>
            <w:tcW w:w="516" w:type="dxa"/>
          </w:tcPr>
          <w:p w14:paraId="24EB9AEE" w14:textId="77777777" w:rsidR="00250AC8" w:rsidRPr="00EC250C" w:rsidRDefault="00250AC8" w:rsidP="006C70B7">
            <w:pPr>
              <w:pStyle w:val="Tabela"/>
              <w:numPr>
                <w:ilvl w:val="0"/>
                <w:numId w:val="82"/>
              </w:numPr>
              <w:ind w:left="0" w:firstLine="0"/>
              <w:jc w:val="both"/>
            </w:pPr>
          </w:p>
        </w:tc>
        <w:tc>
          <w:tcPr>
            <w:tcW w:w="7615" w:type="dxa"/>
          </w:tcPr>
          <w:p w14:paraId="7DA3558E" w14:textId="77777777" w:rsidR="00250AC8" w:rsidRPr="00EC250C" w:rsidRDefault="00250AC8" w:rsidP="00902FC6">
            <w:pPr>
              <w:pStyle w:val="Tabela"/>
              <w:rPr>
                <w:sz w:val="18"/>
                <w:szCs w:val="20"/>
              </w:rPr>
            </w:pPr>
            <w:r w:rsidRPr="00EC250C">
              <w:rPr>
                <w:sz w:val="18"/>
                <w:szCs w:val="20"/>
              </w:rPr>
              <w:t xml:space="preserve">Udział </w:t>
            </w:r>
            <w:r w:rsidR="003C397F" w:rsidRPr="00EC250C">
              <w:rPr>
                <w:sz w:val="18"/>
                <w:szCs w:val="20"/>
              </w:rPr>
              <w:t>rzecznika praw obywatelskich</w:t>
            </w:r>
            <w:r w:rsidRPr="00EC250C">
              <w:rPr>
                <w:sz w:val="18"/>
                <w:szCs w:val="20"/>
              </w:rPr>
              <w:t xml:space="preserve"> Adama Bodnara, </w:t>
            </w:r>
            <w:r w:rsidR="003C397F" w:rsidRPr="00EC250C">
              <w:rPr>
                <w:sz w:val="18"/>
                <w:szCs w:val="20"/>
              </w:rPr>
              <w:t>zastępczyni</w:t>
            </w:r>
            <w:r w:rsidRPr="00EC250C">
              <w:rPr>
                <w:sz w:val="18"/>
                <w:szCs w:val="20"/>
              </w:rPr>
              <w:t xml:space="preserve"> RPO</w:t>
            </w:r>
            <w:r w:rsidRPr="00EC250C">
              <w:rPr>
                <w:rFonts w:eastAsiaTheme="minorHAnsi"/>
                <w:sz w:val="18"/>
                <w:szCs w:val="20"/>
              </w:rPr>
              <w:t xml:space="preserve"> </w:t>
            </w:r>
            <w:r w:rsidRPr="00EC250C">
              <w:rPr>
                <w:sz w:val="18"/>
                <w:szCs w:val="20"/>
              </w:rPr>
              <w:t>Hanny Machińskiej</w:t>
            </w:r>
            <w:r w:rsidR="00992FD0" w:rsidRPr="00EC250C">
              <w:rPr>
                <w:sz w:val="18"/>
                <w:szCs w:val="20"/>
              </w:rPr>
              <w:t xml:space="preserve"> i </w:t>
            </w:r>
            <w:r w:rsidRPr="00EC250C">
              <w:rPr>
                <w:sz w:val="18"/>
                <w:szCs w:val="20"/>
              </w:rPr>
              <w:t>Dyrektor Generalnej</w:t>
            </w:r>
            <w:r w:rsidRPr="00EC250C">
              <w:rPr>
                <w:rFonts w:eastAsiaTheme="minorHAnsi"/>
                <w:sz w:val="18"/>
                <w:szCs w:val="20"/>
              </w:rPr>
              <w:t xml:space="preserve"> </w:t>
            </w:r>
            <w:r w:rsidRPr="00EC250C">
              <w:rPr>
                <w:sz w:val="18"/>
                <w:szCs w:val="20"/>
              </w:rPr>
              <w:t>Katarzyny Jakimowicz</w:t>
            </w:r>
            <w:r w:rsidR="00992FD0" w:rsidRPr="00EC250C">
              <w:rPr>
                <w:sz w:val="18"/>
                <w:szCs w:val="20"/>
              </w:rPr>
              <w:t xml:space="preserve"> w </w:t>
            </w:r>
            <w:r w:rsidRPr="00EC250C">
              <w:rPr>
                <w:sz w:val="18"/>
                <w:szCs w:val="20"/>
              </w:rPr>
              <w:t>spotkaniu ombudsmanów Grupy Wyszehradzkiej (V4)</w:t>
            </w:r>
            <w:r w:rsidR="00992FD0" w:rsidRPr="00EC250C">
              <w:rPr>
                <w:sz w:val="18"/>
                <w:szCs w:val="20"/>
              </w:rPr>
              <w:t xml:space="preserve"> w </w:t>
            </w:r>
            <w:r w:rsidRPr="00EC250C">
              <w:rPr>
                <w:sz w:val="18"/>
                <w:szCs w:val="20"/>
              </w:rPr>
              <w:t xml:space="preserve">Gdańsku. </w:t>
            </w:r>
          </w:p>
        </w:tc>
        <w:tc>
          <w:tcPr>
            <w:tcW w:w="1545" w:type="dxa"/>
          </w:tcPr>
          <w:p w14:paraId="7E161228" w14:textId="77777777" w:rsidR="00250AC8" w:rsidRPr="00EC250C" w:rsidRDefault="00250AC8" w:rsidP="00902FC6">
            <w:pPr>
              <w:pStyle w:val="Tabela"/>
              <w:rPr>
                <w:sz w:val="18"/>
                <w:szCs w:val="20"/>
              </w:rPr>
            </w:pPr>
            <w:r w:rsidRPr="00EC250C">
              <w:rPr>
                <w:sz w:val="18"/>
                <w:szCs w:val="20"/>
              </w:rPr>
              <w:t>16.09.2018</w:t>
            </w:r>
            <w:r w:rsidR="00C91F6E" w:rsidRPr="00EC250C">
              <w:rPr>
                <w:sz w:val="18"/>
                <w:szCs w:val="20"/>
              </w:rPr>
              <w:t> r.</w:t>
            </w:r>
          </w:p>
        </w:tc>
      </w:tr>
      <w:tr w:rsidR="00250AC8" w:rsidRPr="00EC250C" w14:paraId="026A49D8" w14:textId="77777777" w:rsidTr="00FC47F2">
        <w:trPr>
          <w:tblCellSpacing w:w="20" w:type="dxa"/>
        </w:trPr>
        <w:tc>
          <w:tcPr>
            <w:tcW w:w="516" w:type="dxa"/>
          </w:tcPr>
          <w:p w14:paraId="7AFFAA70" w14:textId="77777777" w:rsidR="00250AC8" w:rsidRPr="00EC250C" w:rsidRDefault="00250AC8" w:rsidP="006C70B7">
            <w:pPr>
              <w:pStyle w:val="Tabela"/>
              <w:numPr>
                <w:ilvl w:val="0"/>
                <w:numId w:val="82"/>
              </w:numPr>
              <w:ind w:left="0" w:firstLine="0"/>
              <w:jc w:val="both"/>
            </w:pPr>
          </w:p>
        </w:tc>
        <w:tc>
          <w:tcPr>
            <w:tcW w:w="7615" w:type="dxa"/>
          </w:tcPr>
          <w:p w14:paraId="3D3A8412"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z </w:t>
            </w:r>
            <w:r w:rsidRPr="00EC250C">
              <w:rPr>
                <w:sz w:val="18"/>
                <w:szCs w:val="20"/>
              </w:rPr>
              <w:t>posłami Komisji Wolności Obywatelskich (LIBE) Parlamentu Europejskiego. Warszawa.</w:t>
            </w:r>
          </w:p>
        </w:tc>
        <w:tc>
          <w:tcPr>
            <w:tcW w:w="1545" w:type="dxa"/>
          </w:tcPr>
          <w:p w14:paraId="08E98A46" w14:textId="77777777" w:rsidR="00250AC8" w:rsidRPr="00EC250C" w:rsidRDefault="00250AC8" w:rsidP="00902FC6">
            <w:pPr>
              <w:pStyle w:val="Tabela"/>
              <w:rPr>
                <w:sz w:val="18"/>
                <w:szCs w:val="20"/>
              </w:rPr>
            </w:pPr>
            <w:r w:rsidRPr="00EC250C">
              <w:rPr>
                <w:sz w:val="18"/>
                <w:szCs w:val="20"/>
              </w:rPr>
              <w:t>19.09.2018</w:t>
            </w:r>
            <w:r w:rsidR="00C91F6E" w:rsidRPr="00EC250C">
              <w:rPr>
                <w:sz w:val="18"/>
                <w:szCs w:val="20"/>
              </w:rPr>
              <w:t> r.</w:t>
            </w:r>
          </w:p>
        </w:tc>
      </w:tr>
      <w:tr w:rsidR="00250AC8" w:rsidRPr="00EC250C" w14:paraId="52EA02E7" w14:textId="77777777" w:rsidTr="00FC47F2">
        <w:trPr>
          <w:tblCellSpacing w:w="20" w:type="dxa"/>
        </w:trPr>
        <w:tc>
          <w:tcPr>
            <w:tcW w:w="516" w:type="dxa"/>
          </w:tcPr>
          <w:p w14:paraId="429F8F9A" w14:textId="77777777" w:rsidR="00250AC8" w:rsidRPr="00EC250C" w:rsidRDefault="00250AC8" w:rsidP="006C70B7">
            <w:pPr>
              <w:pStyle w:val="Tabela"/>
              <w:numPr>
                <w:ilvl w:val="0"/>
                <w:numId w:val="82"/>
              </w:numPr>
              <w:ind w:left="0" w:firstLine="0"/>
              <w:jc w:val="both"/>
            </w:pPr>
          </w:p>
        </w:tc>
        <w:tc>
          <w:tcPr>
            <w:tcW w:w="7615" w:type="dxa"/>
          </w:tcPr>
          <w:p w14:paraId="7E54E042"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Rolandem Blomeyerem</w:t>
            </w:r>
            <w:r w:rsidR="00992FD0" w:rsidRPr="00EC250C">
              <w:rPr>
                <w:sz w:val="18"/>
                <w:szCs w:val="20"/>
              </w:rPr>
              <w:t xml:space="preserve"> z </w:t>
            </w:r>
            <w:r w:rsidRPr="00EC250C">
              <w:rPr>
                <w:sz w:val="18"/>
                <w:szCs w:val="20"/>
              </w:rPr>
              <w:t>Dyrekcji Nadzoru Wewnętrznego RE. Biuro RPO. Warszawa.</w:t>
            </w:r>
          </w:p>
        </w:tc>
        <w:tc>
          <w:tcPr>
            <w:tcW w:w="1545" w:type="dxa"/>
          </w:tcPr>
          <w:p w14:paraId="192C489A" w14:textId="77777777" w:rsidR="00250AC8" w:rsidRPr="00EC250C" w:rsidRDefault="00250AC8" w:rsidP="00902FC6">
            <w:pPr>
              <w:pStyle w:val="Tabela"/>
              <w:rPr>
                <w:sz w:val="18"/>
                <w:szCs w:val="20"/>
              </w:rPr>
            </w:pPr>
            <w:r w:rsidRPr="00EC250C">
              <w:rPr>
                <w:sz w:val="18"/>
                <w:szCs w:val="20"/>
              </w:rPr>
              <w:t>19.09.2018</w:t>
            </w:r>
            <w:r w:rsidR="00C91F6E" w:rsidRPr="00EC250C">
              <w:rPr>
                <w:sz w:val="18"/>
                <w:szCs w:val="20"/>
              </w:rPr>
              <w:t> r.</w:t>
            </w:r>
          </w:p>
        </w:tc>
      </w:tr>
      <w:tr w:rsidR="00250AC8" w:rsidRPr="00EC250C" w14:paraId="6F82D5AD" w14:textId="77777777" w:rsidTr="00FC47F2">
        <w:trPr>
          <w:tblCellSpacing w:w="20" w:type="dxa"/>
        </w:trPr>
        <w:tc>
          <w:tcPr>
            <w:tcW w:w="516" w:type="dxa"/>
          </w:tcPr>
          <w:p w14:paraId="767E3247" w14:textId="77777777" w:rsidR="00250AC8" w:rsidRPr="00EC250C" w:rsidRDefault="00250AC8" w:rsidP="006C70B7">
            <w:pPr>
              <w:pStyle w:val="Tabela"/>
              <w:numPr>
                <w:ilvl w:val="0"/>
                <w:numId w:val="82"/>
              </w:numPr>
              <w:ind w:left="0" w:firstLine="0"/>
              <w:jc w:val="both"/>
            </w:pPr>
          </w:p>
        </w:tc>
        <w:tc>
          <w:tcPr>
            <w:tcW w:w="7615" w:type="dxa"/>
          </w:tcPr>
          <w:p w14:paraId="625BD03E"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sędzią Stefanem Langerem (Federalny Sąd Administracyjny)</w:t>
            </w:r>
            <w:r w:rsidR="00992FD0" w:rsidRPr="00EC250C">
              <w:rPr>
                <w:sz w:val="18"/>
                <w:szCs w:val="20"/>
              </w:rPr>
              <w:t xml:space="preserve"> i </w:t>
            </w:r>
            <w:r w:rsidRPr="00EC250C">
              <w:rPr>
                <w:sz w:val="18"/>
                <w:szCs w:val="20"/>
              </w:rPr>
              <w:t>Hristiną Yurukovą (Sąd Administracyjny) zorganizowane przez Naczelny Sąd Administracyjny. Warszawa.</w:t>
            </w:r>
          </w:p>
        </w:tc>
        <w:tc>
          <w:tcPr>
            <w:tcW w:w="1545" w:type="dxa"/>
          </w:tcPr>
          <w:p w14:paraId="7750BD80" w14:textId="77777777" w:rsidR="00250AC8" w:rsidRPr="00EC250C" w:rsidRDefault="00250AC8" w:rsidP="00902FC6">
            <w:pPr>
              <w:pStyle w:val="Tabela"/>
              <w:rPr>
                <w:sz w:val="18"/>
                <w:szCs w:val="20"/>
              </w:rPr>
            </w:pPr>
            <w:r w:rsidRPr="00EC250C">
              <w:rPr>
                <w:sz w:val="18"/>
                <w:szCs w:val="20"/>
              </w:rPr>
              <w:t>21.09.2018</w:t>
            </w:r>
            <w:r w:rsidR="00C91F6E" w:rsidRPr="00EC250C">
              <w:rPr>
                <w:sz w:val="18"/>
                <w:szCs w:val="20"/>
              </w:rPr>
              <w:t> r.</w:t>
            </w:r>
          </w:p>
        </w:tc>
      </w:tr>
      <w:tr w:rsidR="00250AC8" w:rsidRPr="00EC250C" w14:paraId="3ABF8794" w14:textId="77777777" w:rsidTr="00FC47F2">
        <w:trPr>
          <w:tblCellSpacing w:w="20" w:type="dxa"/>
        </w:trPr>
        <w:tc>
          <w:tcPr>
            <w:tcW w:w="516" w:type="dxa"/>
          </w:tcPr>
          <w:p w14:paraId="094C498F" w14:textId="77777777" w:rsidR="00250AC8" w:rsidRPr="00EC250C" w:rsidRDefault="00250AC8" w:rsidP="006C70B7">
            <w:pPr>
              <w:pStyle w:val="Tabela"/>
              <w:numPr>
                <w:ilvl w:val="0"/>
                <w:numId w:val="82"/>
              </w:numPr>
              <w:ind w:left="0" w:firstLine="0"/>
              <w:jc w:val="both"/>
            </w:pPr>
          </w:p>
        </w:tc>
        <w:tc>
          <w:tcPr>
            <w:tcW w:w="7615" w:type="dxa"/>
          </w:tcPr>
          <w:p w14:paraId="4EAEA23A"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Sylwii Spurek</w:t>
            </w:r>
            <w:r w:rsidR="00992FD0" w:rsidRPr="00EC250C">
              <w:rPr>
                <w:sz w:val="18"/>
                <w:szCs w:val="20"/>
              </w:rPr>
              <w:t xml:space="preserve"> w </w:t>
            </w:r>
            <w:r w:rsidRPr="00EC250C">
              <w:rPr>
                <w:sz w:val="18"/>
                <w:szCs w:val="20"/>
              </w:rPr>
              <w:t>Ambasadzie Kanady</w:t>
            </w:r>
            <w:r w:rsidR="00992FD0" w:rsidRPr="00EC250C">
              <w:rPr>
                <w:sz w:val="18"/>
                <w:szCs w:val="20"/>
              </w:rPr>
              <w:t xml:space="preserve"> z </w:t>
            </w:r>
            <w:r w:rsidRPr="00EC250C">
              <w:rPr>
                <w:sz w:val="18"/>
                <w:szCs w:val="20"/>
              </w:rPr>
              <w:t>udziałem Pani Stephanie Beck, wiceminister spraw zagranicznych Kanady ds. Europy. Warszawa.</w:t>
            </w:r>
          </w:p>
        </w:tc>
        <w:tc>
          <w:tcPr>
            <w:tcW w:w="1545" w:type="dxa"/>
          </w:tcPr>
          <w:p w14:paraId="1C927C84" w14:textId="77777777" w:rsidR="00250AC8" w:rsidRPr="00EC250C" w:rsidRDefault="00250AC8" w:rsidP="00902FC6">
            <w:pPr>
              <w:pStyle w:val="Tabela"/>
              <w:rPr>
                <w:sz w:val="18"/>
                <w:szCs w:val="20"/>
              </w:rPr>
            </w:pPr>
            <w:r w:rsidRPr="00EC250C">
              <w:rPr>
                <w:sz w:val="18"/>
                <w:szCs w:val="20"/>
              </w:rPr>
              <w:t>24.09.2018</w:t>
            </w:r>
            <w:r w:rsidR="00C91F6E" w:rsidRPr="00EC250C">
              <w:rPr>
                <w:sz w:val="18"/>
                <w:szCs w:val="20"/>
              </w:rPr>
              <w:t> r.</w:t>
            </w:r>
          </w:p>
        </w:tc>
      </w:tr>
      <w:tr w:rsidR="00250AC8" w:rsidRPr="00EC250C" w14:paraId="2830D064" w14:textId="77777777" w:rsidTr="00FC47F2">
        <w:trPr>
          <w:tblCellSpacing w:w="20" w:type="dxa"/>
        </w:trPr>
        <w:tc>
          <w:tcPr>
            <w:tcW w:w="516" w:type="dxa"/>
          </w:tcPr>
          <w:p w14:paraId="60C1185F" w14:textId="77777777" w:rsidR="00250AC8" w:rsidRPr="00EC250C" w:rsidRDefault="00250AC8" w:rsidP="006C70B7">
            <w:pPr>
              <w:pStyle w:val="Tabela"/>
              <w:numPr>
                <w:ilvl w:val="0"/>
                <w:numId w:val="82"/>
              </w:numPr>
              <w:ind w:left="0" w:firstLine="0"/>
              <w:jc w:val="both"/>
            </w:pPr>
          </w:p>
        </w:tc>
        <w:tc>
          <w:tcPr>
            <w:tcW w:w="7615" w:type="dxa"/>
          </w:tcPr>
          <w:p w14:paraId="6AD0EC05"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 ze Specjalną sprawozdawczynią ONZ</w:t>
            </w:r>
            <w:r w:rsidR="00992FD0" w:rsidRPr="00EC250C">
              <w:rPr>
                <w:sz w:val="18"/>
                <w:szCs w:val="20"/>
              </w:rPr>
              <w:t xml:space="preserve"> w </w:t>
            </w:r>
            <w:r w:rsidRPr="00EC250C">
              <w:rPr>
                <w:sz w:val="18"/>
                <w:szCs w:val="20"/>
              </w:rPr>
              <w:t>zakresie praw kulturalnych Karimą Bennoun. Biuro RPO. Warszawa.</w:t>
            </w:r>
          </w:p>
        </w:tc>
        <w:tc>
          <w:tcPr>
            <w:tcW w:w="1545" w:type="dxa"/>
          </w:tcPr>
          <w:p w14:paraId="6BFB7127" w14:textId="77777777" w:rsidR="00250AC8" w:rsidRPr="00EC250C" w:rsidRDefault="00250AC8" w:rsidP="00902FC6">
            <w:pPr>
              <w:pStyle w:val="Tabela"/>
              <w:rPr>
                <w:sz w:val="18"/>
                <w:szCs w:val="20"/>
              </w:rPr>
            </w:pPr>
            <w:r w:rsidRPr="00EC250C">
              <w:rPr>
                <w:sz w:val="18"/>
                <w:szCs w:val="20"/>
              </w:rPr>
              <w:t>25.09.2018</w:t>
            </w:r>
            <w:r w:rsidR="00C91F6E" w:rsidRPr="00EC250C">
              <w:rPr>
                <w:sz w:val="18"/>
                <w:szCs w:val="20"/>
              </w:rPr>
              <w:t> r.</w:t>
            </w:r>
          </w:p>
        </w:tc>
      </w:tr>
      <w:tr w:rsidR="00250AC8" w:rsidRPr="00EC250C" w14:paraId="234F4AE2" w14:textId="77777777" w:rsidTr="00FC47F2">
        <w:trPr>
          <w:tblCellSpacing w:w="20" w:type="dxa"/>
        </w:trPr>
        <w:tc>
          <w:tcPr>
            <w:tcW w:w="516" w:type="dxa"/>
          </w:tcPr>
          <w:p w14:paraId="73B76378" w14:textId="77777777" w:rsidR="00250AC8" w:rsidRPr="00EC250C" w:rsidRDefault="00250AC8" w:rsidP="006C70B7">
            <w:pPr>
              <w:pStyle w:val="Tabela"/>
              <w:numPr>
                <w:ilvl w:val="0"/>
                <w:numId w:val="82"/>
              </w:numPr>
              <w:ind w:left="0" w:firstLine="0"/>
              <w:jc w:val="both"/>
            </w:pPr>
          </w:p>
        </w:tc>
        <w:tc>
          <w:tcPr>
            <w:tcW w:w="7615" w:type="dxa"/>
          </w:tcPr>
          <w:p w14:paraId="5D6FD5F2"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sędzią Evą Wiglinski</w:t>
            </w:r>
            <w:r w:rsidR="00992FD0" w:rsidRPr="00EC250C">
              <w:rPr>
                <w:sz w:val="18"/>
                <w:szCs w:val="20"/>
              </w:rPr>
              <w:t xml:space="preserve"> z </w:t>
            </w:r>
            <w:r w:rsidRPr="00EC250C">
              <w:rPr>
                <w:sz w:val="18"/>
                <w:szCs w:val="20"/>
              </w:rPr>
              <w:t>Sądu Administracyjnego</w:t>
            </w:r>
            <w:r w:rsidR="00992FD0" w:rsidRPr="00EC250C">
              <w:rPr>
                <w:sz w:val="18"/>
                <w:szCs w:val="20"/>
              </w:rPr>
              <w:t xml:space="preserve"> z </w:t>
            </w:r>
            <w:r w:rsidRPr="00EC250C">
              <w:rPr>
                <w:sz w:val="18"/>
                <w:szCs w:val="20"/>
              </w:rPr>
              <w:t>Niemiec</w:t>
            </w:r>
            <w:r w:rsidR="00992FD0" w:rsidRPr="00EC250C">
              <w:rPr>
                <w:sz w:val="18"/>
                <w:szCs w:val="20"/>
              </w:rPr>
              <w:t xml:space="preserve"> i </w:t>
            </w:r>
            <w:r w:rsidRPr="00EC250C">
              <w:rPr>
                <w:sz w:val="18"/>
                <w:szCs w:val="20"/>
              </w:rPr>
              <w:t>M. Sarnowiec-Cisłak</w:t>
            </w:r>
            <w:r w:rsidR="00992FD0" w:rsidRPr="00EC250C">
              <w:rPr>
                <w:sz w:val="18"/>
                <w:szCs w:val="20"/>
              </w:rPr>
              <w:t xml:space="preserve"> z </w:t>
            </w:r>
            <w:r w:rsidRPr="00EC250C">
              <w:rPr>
                <w:sz w:val="18"/>
                <w:szCs w:val="20"/>
              </w:rPr>
              <w:t>NSA. Wojciech Sadownik Specjalista. Biuro RPO. Warszawa.</w:t>
            </w:r>
          </w:p>
        </w:tc>
        <w:tc>
          <w:tcPr>
            <w:tcW w:w="1545" w:type="dxa"/>
          </w:tcPr>
          <w:p w14:paraId="266F9FB9" w14:textId="77777777" w:rsidR="00250AC8" w:rsidRPr="00EC250C" w:rsidRDefault="00250AC8" w:rsidP="00902FC6">
            <w:pPr>
              <w:pStyle w:val="Tabela"/>
              <w:rPr>
                <w:sz w:val="18"/>
                <w:szCs w:val="20"/>
              </w:rPr>
            </w:pPr>
            <w:r w:rsidRPr="00EC250C">
              <w:rPr>
                <w:sz w:val="18"/>
                <w:szCs w:val="20"/>
              </w:rPr>
              <w:t>25.09.2018</w:t>
            </w:r>
            <w:r w:rsidR="00C91F6E" w:rsidRPr="00EC250C">
              <w:rPr>
                <w:sz w:val="18"/>
                <w:szCs w:val="20"/>
              </w:rPr>
              <w:t> r.</w:t>
            </w:r>
          </w:p>
        </w:tc>
      </w:tr>
      <w:tr w:rsidR="00250AC8" w:rsidRPr="00EC250C" w14:paraId="6B9B0883" w14:textId="77777777" w:rsidTr="00FC47F2">
        <w:trPr>
          <w:tblCellSpacing w:w="20" w:type="dxa"/>
        </w:trPr>
        <w:tc>
          <w:tcPr>
            <w:tcW w:w="516" w:type="dxa"/>
          </w:tcPr>
          <w:p w14:paraId="33F88F4D" w14:textId="77777777" w:rsidR="00250AC8" w:rsidRPr="00EC250C" w:rsidRDefault="00250AC8" w:rsidP="006C70B7">
            <w:pPr>
              <w:pStyle w:val="Tabela"/>
              <w:numPr>
                <w:ilvl w:val="0"/>
                <w:numId w:val="82"/>
              </w:numPr>
              <w:ind w:left="0" w:firstLine="0"/>
              <w:jc w:val="both"/>
            </w:pPr>
          </w:p>
        </w:tc>
        <w:tc>
          <w:tcPr>
            <w:tcW w:w="7615" w:type="dxa"/>
          </w:tcPr>
          <w:p w14:paraId="619E5696"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Andreasem Peschke – nowym dyrektorem Departamentu Europy</w:t>
            </w:r>
            <w:r w:rsidR="00992FD0" w:rsidRPr="00EC250C">
              <w:rPr>
                <w:sz w:val="18"/>
                <w:szCs w:val="20"/>
              </w:rPr>
              <w:t xml:space="preserve"> w </w:t>
            </w:r>
            <w:r w:rsidRPr="00EC250C">
              <w:rPr>
                <w:sz w:val="18"/>
                <w:szCs w:val="20"/>
              </w:rPr>
              <w:t>niemieckim MSZ</w:t>
            </w:r>
            <w:r w:rsidR="00992FD0" w:rsidRPr="00EC250C">
              <w:rPr>
                <w:sz w:val="18"/>
                <w:szCs w:val="20"/>
              </w:rPr>
              <w:t xml:space="preserve"> i </w:t>
            </w:r>
            <w:r w:rsidRPr="00EC250C">
              <w:rPr>
                <w:sz w:val="18"/>
                <w:szCs w:val="20"/>
              </w:rPr>
              <w:t>Friederike Steglich</w:t>
            </w:r>
            <w:r w:rsidR="00992FD0" w:rsidRPr="00EC250C">
              <w:rPr>
                <w:sz w:val="18"/>
                <w:szCs w:val="20"/>
              </w:rPr>
              <w:t xml:space="preserve"> z </w:t>
            </w:r>
            <w:r w:rsidRPr="00EC250C">
              <w:rPr>
                <w:sz w:val="18"/>
                <w:szCs w:val="20"/>
              </w:rPr>
              <w:t>ambasady Niemiec. Warszawa.</w:t>
            </w:r>
          </w:p>
        </w:tc>
        <w:tc>
          <w:tcPr>
            <w:tcW w:w="1545" w:type="dxa"/>
          </w:tcPr>
          <w:p w14:paraId="126C9BA0" w14:textId="77777777" w:rsidR="00250AC8" w:rsidRPr="00EC250C" w:rsidRDefault="00250AC8" w:rsidP="00902FC6">
            <w:pPr>
              <w:pStyle w:val="Tabela"/>
              <w:rPr>
                <w:sz w:val="18"/>
                <w:szCs w:val="20"/>
              </w:rPr>
            </w:pPr>
            <w:r w:rsidRPr="00EC250C">
              <w:rPr>
                <w:sz w:val="18"/>
                <w:szCs w:val="20"/>
              </w:rPr>
              <w:t>25.09.2018</w:t>
            </w:r>
            <w:r w:rsidR="00C91F6E" w:rsidRPr="00EC250C">
              <w:rPr>
                <w:sz w:val="18"/>
                <w:szCs w:val="20"/>
              </w:rPr>
              <w:t> r.</w:t>
            </w:r>
          </w:p>
        </w:tc>
      </w:tr>
      <w:tr w:rsidR="00250AC8" w:rsidRPr="00EC250C" w14:paraId="31EAABFD" w14:textId="77777777" w:rsidTr="00FC47F2">
        <w:trPr>
          <w:tblCellSpacing w:w="20" w:type="dxa"/>
        </w:trPr>
        <w:tc>
          <w:tcPr>
            <w:tcW w:w="516" w:type="dxa"/>
          </w:tcPr>
          <w:p w14:paraId="35A27D0E" w14:textId="77777777" w:rsidR="00250AC8" w:rsidRPr="00EC250C" w:rsidRDefault="00250AC8" w:rsidP="006C70B7">
            <w:pPr>
              <w:pStyle w:val="Tabela"/>
              <w:numPr>
                <w:ilvl w:val="0"/>
                <w:numId w:val="82"/>
              </w:numPr>
              <w:ind w:left="0" w:firstLine="0"/>
              <w:jc w:val="both"/>
            </w:pPr>
          </w:p>
        </w:tc>
        <w:tc>
          <w:tcPr>
            <w:tcW w:w="7615" w:type="dxa"/>
          </w:tcPr>
          <w:p w14:paraId="35A4587B" w14:textId="77777777" w:rsidR="00250AC8" w:rsidRPr="00EC250C" w:rsidRDefault="00250AC8" w:rsidP="00902FC6">
            <w:pPr>
              <w:pStyle w:val="Tabela"/>
              <w:rPr>
                <w:rStyle w:val="tytul13"/>
                <w:rFonts w:eastAsiaTheme="minorHAnsi"/>
                <w:sz w:val="18"/>
                <w:szCs w:val="20"/>
                <w:bdr w:val="none" w:sz="0" w:space="0" w:color="auto"/>
              </w:rPr>
            </w:pPr>
            <w:r w:rsidRPr="00EC250C">
              <w:rPr>
                <w:rStyle w:val="tytul13"/>
                <w:sz w:val="18"/>
                <w:szCs w:val="20"/>
                <w:bdr w:val="none" w:sz="0" w:space="0" w:color="auto"/>
              </w:rPr>
              <w:t xml:space="preserve">Udział </w:t>
            </w:r>
            <w:r w:rsidR="003C397F" w:rsidRPr="00EC250C">
              <w:rPr>
                <w:rStyle w:val="tytul13"/>
                <w:sz w:val="18"/>
                <w:szCs w:val="20"/>
                <w:bdr w:val="none" w:sz="0" w:space="0" w:color="auto"/>
              </w:rPr>
              <w:t>zastępczyni</w:t>
            </w:r>
            <w:r w:rsidRPr="00EC250C">
              <w:rPr>
                <w:rStyle w:val="tytul13"/>
                <w:sz w:val="18"/>
                <w:szCs w:val="20"/>
                <w:bdr w:val="none" w:sz="0" w:space="0" w:color="auto"/>
              </w:rPr>
              <w:t xml:space="preserve"> RPO Hanny Machińskiej oraz </w:t>
            </w:r>
            <w:r w:rsidR="003C397F" w:rsidRPr="00EC250C">
              <w:rPr>
                <w:rStyle w:val="tytul13"/>
                <w:sz w:val="18"/>
                <w:szCs w:val="20"/>
                <w:bdr w:val="none" w:sz="0" w:space="0" w:color="auto"/>
              </w:rPr>
              <w:t>zastępczyni</w:t>
            </w:r>
            <w:r w:rsidRPr="00EC250C">
              <w:rPr>
                <w:rStyle w:val="tytul13"/>
                <w:sz w:val="18"/>
                <w:szCs w:val="20"/>
                <w:bdr w:val="none" w:sz="0" w:space="0" w:color="auto"/>
              </w:rPr>
              <w:t xml:space="preserve"> RPO Sylwii Spurek</w:t>
            </w:r>
            <w:r w:rsidR="00992FD0" w:rsidRPr="00EC250C">
              <w:rPr>
                <w:rStyle w:val="tytul13"/>
                <w:sz w:val="18"/>
                <w:szCs w:val="20"/>
                <w:bdr w:val="none" w:sz="0" w:space="0" w:color="auto"/>
              </w:rPr>
              <w:t xml:space="preserve"> w </w:t>
            </w:r>
            <w:r w:rsidRPr="00EC250C">
              <w:rPr>
                <w:rStyle w:val="tytul13"/>
                <w:sz w:val="18"/>
                <w:szCs w:val="20"/>
                <w:bdr w:val="none" w:sz="0" w:space="0" w:color="auto"/>
              </w:rPr>
              <w:t>spotkaniu</w:t>
            </w:r>
            <w:r w:rsidR="00992FD0" w:rsidRPr="00EC250C">
              <w:rPr>
                <w:rStyle w:val="tytul13"/>
                <w:sz w:val="18"/>
                <w:szCs w:val="20"/>
                <w:bdr w:val="none" w:sz="0" w:space="0" w:color="auto"/>
              </w:rPr>
              <w:t xml:space="preserve"> z </w:t>
            </w:r>
            <w:r w:rsidRPr="00EC250C">
              <w:rPr>
                <w:rStyle w:val="tytul13"/>
                <w:sz w:val="18"/>
                <w:szCs w:val="20"/>
                <w:bdr w:val="none" w:sz="0" w:space="0" w:color="auto"/>
              </w:rPr>
              <w:t>okazji Dnia Jedności Niemiec. Warszawa.</w:t>
            </w:r>
          </w:p>
        </w:tc>
        <w:tc>
          <w:tcPr>
            <w:tcW w:w="1545" w:type="dxa"/>
          </w:tcPr>
          <w:p w14:paraId="7CE32AB7" w14:textId="77777777" w:rsidR="00250AC8" w:rsidRPr="00EC250C" w:rsidRDefault="00250AC8" w:rsidP="00902FC6">
            <w:pPr>
              <w:pStyle w:val="Tabela"/>
              <w:rPr>
                <w:sz w:val="18"/>
                <w:szCs w:val="20"/>
              </w:rPr>
            </w:pPr>
            <w:r w:rsidRPr="00EC250C">
              <w:rPr>
                <w:sz w:val="18"/>
                <w:szCs w:val="20"/>
              </w:rPr>
              <w:t>01.10.2018</w:t>
            </w:r>
            <w:r w:rsidR="00C91F6E" w:rsidRPr="00EC250C">
              <w:rPr>
                <w:sz w:val="18"/>
                <w:szCs w:val="20"/>
              </w:rPr>
              <w:t> r.</w:t>
            </w:r>
          </w:p>
        </w:tc>
      </w:tr>
      <w:tr w:rsidR="00250AC8" w:rsidRPr="00EC250C" w14:paraId="77435B7C" w14:textId="77777777" w:rsidTr="00FC47F2">
        <w:trPr>
          <w:tblCellSpacing w:w="20" w:type="dxa"/>
        </w:trPr>
        <w:tc>
          <w:tcPr>
            <w:tcW w:w="516" w:type="dxa"/>
          </w:tcPr>
          <w:p w14:paraId="12D4C5FB" w14:textId="77777777" w:rsidR="00250AC8" w:rsidRPr="00EC250C" w:rsidRDefault="00250AC8" w:rsidP="006C70B7">
            <w:pPr>
              <w:pStyle w:val="Tabela"/>
              <w:numPr>
                <w:ilvl w:val="0"/>
                <w:numId w:val="82"/>
              </w:numPr>
              <w:ind w:left="0" w:firstLine="0"/>
              <w:jc w:val="both"/>
            </w:pPr>
          </w:p>
        </w:tc>
        <w:tc>
          <w:tcPr>
            <w:tcW w:w="7615" w:type="dxa"/>
          </w:tcPr>
          <w:p w14:paraId="07BBE316" w14:textId="77777777" w:rsidR="00250AC8" w:rsidRPr="00EC250C" w:rsidRDefault="00250AC8" w:rsidP="00902FC6">
            <w:pPr>
              <w:pStyle w:val="Tabela"/>
              <w:rPr>
                <w:rStyle w:val="tytul13"/>
                <w:rFonts w:eastAsiaTheme="minorHAnsi"/>
                <w:sz w:val="18"/>
                <w:szCs w:val="20"/>
                <w:bdr w:val="none" w:sz="0" w:space="0" w:color="auto"/>
              </w:rPr>
            </w:pPr>
            <w:r w:rsidRPr="00EC250C">
              <w:rPr>
                <w:rStyle w:val="tytul13"/>
                <w:sz w:val="18"/>
                <w:szCs w:val="20"/>
                <w:bdr w:val="none" w:sz="0" w:space="0" w:color="auto"/>
              </w:rPr>
              <w:t xml:space="preserve">Spotkanie </w:t>
            </w:r>
            <w:r w:rsidR="003C397F" w:rsidRPr="00EC250C">
              <w:rPr>
                <w:rStyle w:val="tytul13"/>
                <w:sz w:val="18"/>
                <w:szCs w:val="20"/>
                <w:bdr w:val="none" w:sz="0" w:space="0" w:color="auto"/>
              </w:rPr>
              <w:t>rzecznika praw obywatelskich</w:t>
            </w:r>
            <w:r w:rsidRPr="00EC250C">
              <w:rPr>
                <w:rStyle w:val="tytul13"/>
                <w:sz w:val="18"/>
                <w:szCs w:val="20"/>
                <w:bdr w:val="none" w:sz="0" w:space="0" w:color="auto"/>
              </w:rPr>
              <w:t xml:space="preserve"> Adama Bodnara</w:t>
            </w:r>
            <w:r w:rsidR="00992FD0" w:rsidRPr="00EC250C">
              <w:rPr>
                <w:rStyle w:val="tytul13"/>
                <w:sz w:val="18"/>
                <w:szCs w:val="20"/>
                <w:bdr w:val="none" w:sz="0" w:space="0" w:color="auto"/>
              </w:rPr>
              <w:t xml:space="preserve"> w </w:t>
            </w:r>
            <w:r w:rsidRPr="00EC250C">
              <w:rPr>
                <w:rStyle w:val="tytul13"/>
                <w:sz w:val="18"/>
                <w:szCs w:val="20"/>
                <w:bdr w:val="none" w:sz="0" w:space="0" w:color="auto"/>
              </w:rPr>
              <w:t>ramach wizyty studyjnej sędziów</w:t>
            </w:r>
            <w:r w:rsidR="00992FD0" w:rsidRPr="00EC250C">
              <w:rPr>
                <w:rStyle w:val="tytul13"/>
                <w:sz w:val="18"/>
                <w:szCs w:val="20"/>
                <w:bdr w:val="none" w:sz="0" w:space="0" w:color="auto"/>
              </w:rPr>
              <w:t xml:space="preserve"> z </w:t>
            </w:r>
            <w:r w:rsidRPr="00EC250C">
              <w:rPr>
                <w:rStyle w:val="tytul13"/>
                <w:sz w:val="18"/>
                <w:szCs w:val="20"/>
                <w:bdr w:val="none" w:sz="0" w:space="0" w:color="auto"/>
              </w:rPr>
              <w:t>Bułgarii, uczestników programu stażowego „European Asylum Support Office”. Biuro RPO. Warszawa.</w:t>
            </w:r>
          </w:p>
        </w:tc>
        <w:tc>
          <w:tcPr>
            <w:tcW w:w="1545" w:type="dxa"/>
          </w:tcPr>
          <w:p w14:paraId="4E037F9C" w14:textId="77777777" w:rsidR="00250AC8" w:rsidRPr="00EC250C" w:rsidRDefault="00250AC8" w:rsidP="00902FC6">
            <w:pPr>
              <w:pStyle w:val="Tabela"/>
              <w:rPr>
                <w:sz w:val="18"/>
                <w:szCs w:val="20"/>
              </w:rPr>
            </w:pPr>
            <w:r w:rsidRPr="00EC250C">
              <w:rPr>
                <w:sz w:val="18"/>
                <w:szCs w:val="20"/>
              </w:rPr>
              <w:t>16.10.2018</w:t>
            </w:r>
            <w:r w:rsidR="00C91F6E" w:rsidRPr="00EC250C">
              <w:rPr>
                <w:sz w:val="18"/>
                <w:szCs w:val="20"/>
              </w:rPr>
              <w:t> r.</w:t>
            </w:r>
          </w:p>
        </w:tc>
      </w:tr>
      <w:tr w:rsidR="00250AC8" w:rsidRPr="00EC250C" w14:paraId="0E25EE73" w14:textId="77777777" w:rsidTr="00FC47F2">
        <w:trPr>
          <w:tblCellSpacing w:w="20" w:type="dxa"/>
        </w:trPr>
        <w:tc>
          <w:tcPr>
            <w:tcW w:w="516" w:type="dxa"/>
          </w:tcPr>
          <w:p w14:paraId="6E199FC0" w14:textId="77777777" w:rsidR="00250AC8" w:rsidRPr="00EC250C" w:rsidRDefault="00250AC8" w:rsidP="006C70B7">
            <w:pPr>
              <w:pStyle w:val="Tabela"/>
              <w:numPr>
                <w:ilvl w:val="0"/>
                <w:numId w:val="82"/>
              </w:numPr>
              <w:ind w:left="0" w:firstLine="0"/>
              <w:jc w:val="both"/>
            </w:pPr>
          </w:p>
        </w:tc>
        <w:tc>
          <w:tcPr>
            <w:tcW w:w="7615" w:type="dxa"/>
          </w:tcPr>
          <w:p w14:paraId="681284C1" w14:textId="77777777" w:rsidR="00250AC8" w:rsidRPr="00EC250C" w:rsidRDefault="00250AC8" w:rsidP="00902FC6">
            <w:pPr>
              <w:pStyle w:val="Tabela"/>
              <w:rPr>
                <w:rStyle w:val="tytul13"/>
                <w:rFonts w:eastAsiaTheme="minorHAnsi"/>
                <w:sz w:val="18"/>
                <w:szCs w:val="20"/>
                <w:bdr w:val="none" w:sz="0" w:space="0" w:color="auto"/>
              </w:rPr>
            </w:pPr>
            <w:r w:rsidRPr="00EC250C">
              <w:rPr>
                <w:sz w:val="18"/>
                <w:szCs w:val="20"/>
              </w:rPr>
              <w:t xml:space="preserve">Udział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w </w:t>
            </w:r>
            <w:r w:rsidRPr="00EC250C">
              <w:rPr>
                <w:sz w:val="18"/>
                <w:szCs w:val="20"/>
              </w:rPr>
              <w:t>spotkaniu RPO</w:t>
            </w:r>
            <w:r w:rsidR="00992FD0" w:rsidRPr="00EC250C">
              <w:rPr>
                <w:sz w:val="18"/>
                <w:szCs w:val="20"/>
              </w:rPr>
              <w:t xml:space="preserve"> z </w:t>
            </w:r>
            <w:r w:rsidRPr="00EC250C">
              <w:rPr>
                <w:sz w:val="18"/>
                <w:szCs w:val="20"/>
              </w:rPr>
              <w:t>misją obserwacyjną</w:t>
            </w:r>
            <w:r w:rsidR="00992FD0" w:rsidRPr="00EC250C">
              <w:rPr>
                <w:sz w:val="18"/>
                <w:szCs w:val="20"/>
              </w:rPr>
              <w:t xml:space="preserve"> z </w:t>
            </w:r>
            <w:r w:rsidRPr="00EC250C">
              <w:rPr>
                <w:sz w:val="18"/>
                <w:szCs w:val="20"/>
              </w:rPr>
              <w:t>Kongresu Władz Lokalnych</w:t>
            </w:r>
            <w:r w:rsidR="00992FD0" w:rsidRPr="00EC250C">
              <w:rPr>
                <w:sz w:val="18"/>
                <w:szCs w:val="20"/>
              </w:rPr>
              <w:t xml:space="preserve"> i </w:t>
            </w:r>
            <w:r w:rsidRPr="00EC250C">
              <w:rPr>
                <w:sz w:val="18"/>
                <w:szCs w:val="20"/>
              </w:rPr>
              <w:t xml:space="preserve">Regionalnych Rady Europy. Biuro RPO. Warszawa. </w:t>
            </w:r>
          </w:p>
        </w:tc>
        <w:tc>
          <w:tcPr>
            <w:tcW w:w="1545" w:type="dxa"/>
          </w:tcPr>
          <w:p w14:paraId="297BD1A2" w14:textId="77777777" w:rsidR="00250AC8" w:rsidRPr="00EC250C" w:rsidRDefault="00250AC8" w:rsidP="00902FC6">
            <w:pPr>
              <w:pStyle w:val="Tabela"/>
              <w:rPr>
                <w:sz w:val="18"/>
                <w:szCs w:val="20"/>
              </w:rPr>
            </w:pPr>
            <w:r w:rsidRPr="00EC250C">
              <w:rPr>
                <w:sz w:val="18"/>
                <w:szCs w:val="20"/>
              </w:rPr>
              <w:t>18.10.2018</w:t>
            </w:r>
            <w:r w:rsidR="00C91F6E" w:rsidRPr="00EC250C">
              <w:rPr>
                <w:sz w:val="18"/>
                <w:szCs w:val="20"/>
              </w:rPr>
              <w:t> r.</w:t>
            </w:r>
          </w:p>
        </w:tc>
      </w:tr>
      <w:tr w:rsidR="00250AC8" w:rsidRPr="00EC250C" w14:paraId="5788E254" w14:textId="77777777" w:rsidTr="00FC47F2">
        <w:trPr>
          <w:tblCellSpacing w:w="20" w:type="dxa"/>
        </w:trPr>
        <w:tc>
          <w:tcPr>
            <w:tcW w:w="516" w:type="dxa"/>
          </w:tcPr>
          <w:p w14:paraId="603966E6" w14:textId="77777777" w:rsidR="00250AC8" w:rsidRPr="00EC250C" w:rsidRDefault="00250AC8" w:rsidP="006C70B7">
            <w:pPr>
              <w:pStyle w:val="Tabela"/>
              <w:numPr>
                <w:ilvl w:val="0"/>
                <w:numId w:val="82"/>
              </w:numPr>
              <w:ind w:left="0" w:firstLine="0"/>
              <w:jc w:val="both"/>
            </w:pPr>
          </w:p>
        </w:tc>
        <w:tc>
          <w:tcPr>
            <w:tcW w:w="7615" w:type="dxa"/>
          </w:tcPr>
          <w:p w14:paraId="152D7D71"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grupą parlamentarzystów</w:t>
            </w:r>
            <w:r w:rsidR="00992FD0" w:rsidRPr="00EC250C">
              <w:rPr>
                <w:sz w:val="18"/>
                <w:szCs w:val="20"/>
              </w:rPr>
              <w:t xml:space="preserve"> z </w:t>
            </w:r>
            <w:r w:rsidRPr="00EC250C">
              <w:rPr>
                <w:sz w:val="18"/>
                <w:szCs w:val="20"/>
              </w:rPr>
              <w:t>Bundestagu. Biuro RPO. Warszawa.</w:t>
            </w:r>
          </w:p>
        </w:tc>
        <w:tc>
          <w:tcPr>
            <w:tcW w:w="1545" w:type="dxa"/>
          </w:tcPr>
          <w:p w14:paraId="0D322382" w14:textId="77777777" w:rsidR="00250AC8" w:rsidRPr="00EC250C" w:rsidRDefault="00250AC8" w:rsidP="00902FC6">
            <w:pPr>
              <w:pStyle w:val="Tabela"/>
              <w:rPr>
                <w:sz w:val="18"/>
                <w:szCs w:val="20"/>
              </w:rPr>
            </w:pPr>
            <w:r w:rsidRPr="00EC250C">
              <w:rPr>
                <w:sz w:val="18"/>
                <w:szCs w:val="20"/>
              </w:rPr>
              <w:t>13.11.2018</w:t>
            </w:r>
            <w:r w:rsidR="00C91F6E" w:rsidRPr="00EC250C">
              <w:rPr>
                <w:sz w:val="18"/>
                <w:szCs w:val="20"/>
              </w:rPr>
              <w:t> r.</w:t>
            </w:r>
          </w:p>
        </w:tc>
      </w:tr>
      <w:tr w:rsidR="00250AC8" w:rsidRPr="00EC250C" w14:paraId="71BD670B" w14:textId="77777777" w:rsidTr="00FC47F2">
        <w:trPr>
          <w:tblCellSpacing w:w="20" w:type="dxa"/>
        </w:trPr>
        <w:tc>
          <w:tcPr>
            <w:tcW w:w="516" w:type="dxa"/>
          </w:tcPr>
          <w:p w14:paraId="395FA1E2" w14:textId="77777777" w:rsidR="00250AC8" w:rsidRPr="00EC250C" w:rsidRDefault="00250AC8" w:rsidP="006C70B7">
            <w:pPr>
              <w:pStyle w:val="Tabela"/>
              <w:numPr>
                <w:ilvl w:val="0"/>
                <w:numId w:val="82"/>
              </w:numPr>
              <w:ind w:left="0" w:firstLine="0"/>
              <w:jc w:val="both"/>
            </w:pPr>
          </w:p>
        </w:tc>
        <w:tc>
          <w:tcPr>
            <w:tcW w:w="7615" w:type="dxa"/>
          </w:tcPr>
          <w:p w14:paraId="24D22E20"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Dunją Mijatović, Komisarz Rady Europy ds. Praw Człowieka. Biuro RPO. Warszawa.</w:t>
            </w:r>
          </w:p>
        </w:tc>
        <w:tc>
          <w:tcPr>
            <w:tcW w:w="1545" w:type="dxa"/>
          </w:tcPr>
          <w:p w14:paraId="2E403EFE" w14:textId="77777777" w:rsidR="00250AC8" w:rsidRPr="00EC250C" w:rsidRDefault="00250AC8" w:rsidP="00902FC6">
            <w:pPr>
              <w:pStyle w:val="Tabela"/>
              <w:rPr>
                <w:sz w:val="18"/>
                <w:szCs w:val="20"/>
              </w:rPr>
            </w:pPr>
            <w:r w:rsidRPr="00EC250C">
              <w:rPr>
                <w:sz w:val="18"/>
                <w:szCs w:val="20"/>
              </w:rPr>
              <w:t>22.11.2018</w:t>
            </w:r>
            <w:r w:rsidR="00C91F6E" w:rsidRPr="00EC250C">
              <w:rPr>
                <w:sz w:val="18"/>
                <w:szCs w:val="20"/>
              </w:rPr>
              <w:t> r.</w:t>
            </w:r>
          </w:p>
        </w:tc>
      </w:tr>
      <w:tr w:rsidR="00250AC8" w:rsidRPr="00EC250C" w14:paraId="4A791F9E" w14:textId="77777777" w:rsidTr="00FC47F2">
        <w:trPr>
          <w:tblCellSpacing w:w="20" w:type="dxa"/>
        </w:trPr>
        <w:tc>
          <w:tcPr>
            <w:tcW w:w="516" w:type="dxa"/>
          </w:tcPr>
          <w:p w14:paraId="0A2709DC" w14:textId="77777777" w:rsidR="00250AC8" w:rsidRPr="00EC250C" w:rsidRDefault="00250AC8" w:rsidP="006C70B7">
            <w:pPr>
              <w:pStyle w:val="Tabela"/>
              <w:numPr>
                <w:ilvl w:val="0"/>
                <w:numId w:val="82"/>
              </w:numPr>
              <w:ind w:left="0" w:firstLine="0"/>
              <w:jc w:val="both"/>
            </w:pPr>
          </w:p>
        </w:tc>
        <w:tc>
          <w:tcPr>
            <w:tcW w:w="7615" w:type="dxa"/>
          </w:tcPr>
          <w:p w14:paraId="16B1EFF3"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i </w:t>
            </w:r>
            <w:r w:rsidR="003C397F" w:rsidRPr="00EC250C">
              <w:rPr>
                <w:sz w:val="18"/>
                <w:szCs w:val="20"/>
              </w:rPr>
              <w:t>zastępczyni</w:t>
            </w:r>
            <w:r w:rsidRPr="00EC250C">
              <w:rPr>
                <w:sz w:val="18"/>
                <w:szCs w:val="20"/>
              </w:rPr>
              <w:t xml:space="preserve"> RPO Hanny Machińskiej</w:t>
            </w:r>
            <w:r w:rsidR="00992FD0" w:rsidRPr="00EC250C">
              <w:rPr>
                <w:sz w:val="18"/>
                <w:szCs w:val="20"/>
              </w:rPr>
              <w:t xml:space="preserve"> z </w:t>
            </w:r>
            <w:r w:rsidRPr="00EC250C">
              <w:rPr>
                <w:sz w:val="18"/>
                <w:szCs w:val="20"/>
              </w:rPr>
              <w:t>członkami Komisji do spraw Unii Europejskiej Bundestagu</w:t>
            </w:r>
            <w:r w:rsidR="00992FD0" w:rsidRPr="00EC250C">
              <w:rPr>
                <w:sz w:val="18"/>
                <w:szCs w:val="20"/>
              </w:rPr>
              <w:t xml:space="preserve"> i </w:t>
            </w:r>
            <w:r w:rsidRPr="00EC250C">
              <w:rPr>
                <w:sz w:val="18"/>
                <w:szCs w:val="20"/>
              </w:rPr>
              <w:t>jej przewodniczącym Guenterem Krichbaumem. Biuro RPO. Warszawa.</w:t>
            </w:r>
          </w:p>
        </w:tc>
        <w:tc>
          <w:tcPr>
            <w:tcW w:w="1545" w:type="dxa"/>
          </w:tcPr>
          <w:p w14:paraId="434F0B81" w14:textId="77777777" w:rsidR="00250AC8" w:rsidRPr="00EC250C" w:rsidRDefault="00250AC8" w:rsidP="00902FC6">
            <w:pPr>
              <w:pStyle w:val="Tabela"/>
              <w:rPr>
                <w:sz w:val="18"/>
                <w:szCs w:val="20"/>
              </w:rPr>
            </w:pPr>
            <w:r w:rsidRPr="00EC250C">
              <w:rPr>
                <w:sz w:val="18"/>
                <w:szCs w:val="20"/>
              </w:rPr>
              <w:t>22.10.2018</w:t>
            </w:r>
            <w:r w:rsidR="00C91F6E" w:rsidRPr="00EC250C">
              <w:rPr>
                <w:sz w:val="18"/>
                <w:szCs w:val="20"/>
              </w:rPr>
              <w:t> r.</w:t>
            </w:r>
          </w:p>
        </w:tc>
      </w:tr>
      <w:tr w:rsidR="00250AC8" w:rsidRPr="00EC250C" w14:paraId="4107E148" w14:textId="77777777" w:rsidTr="00FC47F2">
        <w:trPr>
          <w:tblCellSpacing w:w="20" w:type="dxa"/>
        </w:trPr>
        <w:tc>
          <w:tcPr>
            <w:tcW w:w="516" w:type="dxa"/>
          </w:tcPr>
          <w:p w14:paraId="23BEBC61" w14:textId="77777777" w:rsidR="00250AC8" w:rsidRPr="00EC250C" w:rsidRDefault="00250AC8" w:rsidP="006C70B7">
            <w:pPr>
              <w:pStyle w:val="Tabela"/>
              <w:numPr>
                <w:ilvl w:val="0"/>
                <w:numId w:val="82"/>
              </w:numPr>
              <w:ind w:left="0" w:firstLine="0"/>
              <w:jc w:val="both"/>
            </w:pPr>
          </w:p>
        </w:tc>
        <w:tc>
          <w:tcPr>
            <w:tcW w:w="7615" w:type="dxa"/>
          </w:tcPr>
          <w:p w14:paraId="674D8FC1" w14:textId="77777777" w:rsidR="00250AC8" w:rsidRPr="00EC250C" w:rsidRDefault="00250AC8" w:rsidP="00902FC6">
            <w:pPr>
              <w:pStyle w:val="Tabela"/>
              <w:rPr>
                <w:sz w:val="18"/>
                <w:szCs w:val="20"/>
              </w:rPr>
            </w:pPr>
            <w:r w:rsidRPr="00EC250C">
              <w:rPr>
                <w:sz w:val="18"/>
                <w:szCs w:val="20"/>
              </w:rPr>
              <w:t xml:space="preserve">Spotkanie </w:t>
            </w:r>
            <w:r w:rsidR="003C397F" w:rsidRPr="00EC250C">
              <w:rPr>
                <w:sz w:val="18"/>
                <w:szCs w:val="20"/>
              </w:rPr>
              <w:t>rzecznika praw obywatelskich</w:t>
            </w:r>
            <w:r w:rsidRPr="00EC250C">
              <w:rPr>
                <w:sz w:val="18"/>
                <w:szCs w:val="20"/>
              </w:rPr>
              <w:t xml:space="preserve"> Adama Bodnara</w:t>
            </w:r>
            <w:r w:rsidR="00992FD0" w:rsidRPr="00EC250C">
              <w:rPr>
                <w:sz w:val="18"/>
                <w:szCs w:val="20"/>
              </w:rPr>
              <w:t xml:space="preserve"> z </w:t>
            </w:r>
            <w:r w:rsidRPr="00EC250C">
              <w:rPr>
                <w:sz w:val="18"/>
                <w:szCs w:val="20"/>
              </w:rPr>
              <w:t>prof. Susannah Heschel. Biuro RPO. Warszawa.</w:t>
            </w:r>
          </w:p>
        </w:tc>
        <w:tc>
          <w:tcPr>
            <w:tcW w:w="1545" w:type="dxa"/>
          </w:tcPr>
          <w:p w14:paraId="2590D9FF" w14:textId="77777777" w:rsidR="00250AC8" w:rsidRPr="00EC250C" w:rsidRDefault="00250AC8" w:rsidP="00902FC6">
            <w:pPr>
              <w:pStyle w:val="Tabela"/>
              <w:rPr>
                <w:sz w:val="18"/>
                <w:szCs w:val="20"/>
              </w:rPr>
            </w:pPr>
            <w:r w:rsidRPr="00EC250C">
              <w:rPr>
                <w:sz w:val="18"/>
                <w:szCs w:val="20"/>
              </w:rPr>
              <w:t>27.11.2018</w:t>
            </w:r>
            <w:r w:rsidR="00C91F6E" w:rsidRPr="00EC250C">
              <w:rPr>
                <w:sz w:val="18"/>
                <w:szCs w:val="20"/>
              </w:rPr>
              <w:t> r.</w:t>
            </w:r>
          </w:p>
        </w:tc>
      </w:tr>
      <w:tr w:rsidR="00250AC8" w:rsidRPr="00EC250C" w14:paraId="4E2BA0A3" w14:textId="77777777" w:rsidTr="00FC47F2">
        <w:trPr>
          <w:tblCellSpacing w:w="20" w:type="dxa"/>
        </w:trPr>
        <w:tc>
          <w:tcPr>
            <w:tcW w:w="516" w:type="dxa"/>
          </w:tcPr>
          <w:p w14:paraId="665A523B" w14:textId="77777777" w:rsidR="00250AC8" w:rsidRPr="00EC250C" w:rsidRDefault="00250AC8" w:rsidP="006C70B7">
            <w:pPr>
              <w:pStyle w:val="Tabela"/>
              <w:numPr>
                <w:ilvl w:val="0"/>
                <w:numId w:val="82"/>
              </w:numPr>
              <w:ind w:left="0" w:firstLine="0"/>
              <w:jc w:val="both"/>
            </w:pPr>
          </w:p>
        </w:tc>
        <w:tc>
          <w:tcPr>
            <w:tcW w:w="7615" w:type="dxa"/>
          </w:tcPr>
          <w:p w14:paraId="3211A1C9" w14:textId="77777777" w:rsidR="00250AC8" w:rsidRPr="00EC250C" w:rsidRDefault="00250AC8" w:rsidP="00902FC6">
            <w:pPr>
              <w:pStyle w:val="Tabela"/>
              <w:rPr>
                <w:sz w:val="18"/>
                <w:szCs w:val="20"/>
              </w:rPr>
            </w:pPr>
            <w:r w:rsidRPr="00EC250C">
              <w:rPr>
                <w:sz w:val="18"/>
                <w:szCs w:val="20"/>
              </w:rPr>
              <w:t>Spotkanie</w:t>
            </w:r>
            <w:r w:rsidR="00992FD0" w:rsidRPr="00EC250C">
              <w:rPr>
                <w:sz w:val="18"/>
                <w:szCs w:val="20"/>
              </w:rPr>
              <w:t xml:space="preserve"> z </w:t>
            </w:r>
            <w:r w:rsidRPr="00EC250C">
              <w:rPr>
                <w:sz w:val="18"/>
                <w:szCs w:val="20"/>
              </w:rPr>
              <w:t>dziennikarzami ze Szwecji</w:t>
            </w:r>
            <w:r w:rsidR="00992FD0" w:rsidRPr="00EC250C">
              <w:rPr>
                <w:sz w:val="18"/>
                <w:szCs w:val="20"/>
              </w:rPr>
              <w:t xml:space="preserve"> w </w:t>
            </w:r>
            <w:r w:rsidRPr="00EC250C">
              <w:rPr>
                <w:sz w:val="18"/>
                <w:szCs w:val="20"/>
              </w:rPr>
              <w:t>ramach programu FOJO. Biuro RPO. Warszawa.</w:t>
            </w:r>
          </w:p>
        </w:tc>
        <w:tc>
          <w:tcPr>
            <w:tcW w:w="1545" w:type="dxa"/>
          </w:tcPr>
          <w:p w14:paraId="69787BA0" w14:textId="77777777" w:rsidR="00250AC8" w:rsidRPr="00EC250C" w:rsidRDefault="00250AC8" w:rsidP="00902FC6">
            <w:pPr>
              <w:pStyle w:val="Tabela"/>
              <w:rPr>
                <w:sz w:val="18"/>
                <w:szCs w:val="20"/>
              </w:rPr>
            </w:pPr>
            <w:r w:rsidRPr="00EC250C">
              <w:rPr>
                <w:sz w:val="18"/>
                <w:szCs w:val="20"/>
              </w:rPr>
              <w:t>04.12.2018</w:t>
            </w:r>
            <w:r w:rsidR="00C91F6E" w:rsidRPr="00EC250C">
              <w:rPr>
                <w:sz w:val="18"/>
                <w:szCs w:val="20"/>
              </w:rPr>
              <w:t> r.</w:t>
            </w:r>
          </w:p>
        </w:tc>
      </w:tr>
      <w:tr w:rsidR="00250AC8" w:rsidRPr="00FC47F2" w14:paraId="36BBA16B" w14:textId="77777777" w:rsidTr="00FC47F2">
        <w:trPr>
          <w:tblCellSpacing w:w="20" w:type="dxa"/>
        </w:trPr>
        <w:tc>
          <w:tcPr>
            <w:tcW w:w="516" w:type="dxa"/>
          </w:tcPr>
          <w:p w14:paraId="7ABE5C30" w14:textId="77777777" w:rsidR="00250AC8" w:rsidRPr="00EC250C" w:rsidRDefault="00250AC8" w:rsidP="006C70B7">
            <w:pPr>
              <w:pStyle w:val="Tabela"/>
              <w:numPr>
                <w:ilvl w:val="0"/>
                <w:numId w:val="82"/>
              </w:numPr>
              <w:ind w:left="0" w:firstLine="0"/>
              <w:jc w:val="both"/>
            </w:pPr>
          </w:p>
        </w:tc>
        <w:tc>
          <w:tcPr>
            <w:tcW w:w="7615" w:type="dxa"/>
          </w:tcPr>
          <w:p w14:paraId="73E38882" w14:textId="77777777" w:rsidR="00250AC8" w:rsidRPr="00FC47F2" w:rsidRDefault="00250AC8" w:rsidP="00FC47F2">
            <w:pPr>
              <w:pStyle w:val="Tabela"/>
              <w:numPr>
                <w:ilvl w:val="0"/>
                <w:numId w:val="82"/>
              </w:numPr>
              <w:ind w:left="0" w:firstLine="0"/>
              <w:jc w:val="both"/>
            </w:pPr>
            <w:r w:rsidRPr="00FC47F2">
              <w:t xml:space="preserve">Spotkanie </w:t>
            </w:r>
            <w:r w:rsidR="003C397F" w:rsidRPr="00FC47F2">
              <w:t>zastępczyni</w:t>
            </w:r>
            <w:r w:rsidRPr="00FC47F2">
              <w:t xml:space="preserve"> RPO Hanny Machińskiej</w:t>
            </w:r>
            <w:r w:rsidR="00992FD0" w:rsidRPr="00FC47F2">
              <w:t xml:space="preserve"> z </w:t>
            </w:r>
            <w:r w:rsidRPr="00FC47F2">
              <w:t>młodymi dyplomatami uczestniczącymi</w:t>
            </w:r>
            <w:r w:rsidR="00992FD0" w:rsidRPr="00FC47F2">
              <w:t xml:space="preserve"> w </w:t>
            </w:r>
            <w:r w:rsidRPr="00FC47F2">
              <w:t>programie szkoleniowym Akademii Dyplomatycznej MSZ „European Diplomatic Programme”. Biuro RPO. Warszawa.</w:t>
            </w:r>
          </w:p>
        </w:tc>
        <w:tc>
          <w:tcPr>
            <w:tcW w:w="1545" w:type="dxa"/>
          </w:tcPr>
          <w:p w14:paraId="7AF8D2CB" w14:textId="77777777" w:rsidR="00250AC8" w:rsidRPr="00FC47F2" w:rsidRDefault="00250AC8" w:rsidP="00FC47F2">
            <w:pPr>
              <w:pStyle w:val="Tabela"/>
              <w:numPr>
                <w:ilvl w:val="0"/>
                <w:numId w:val="82"/>
              </w:numPr>
              <w:ind w:left="0" w:firstLine="0"/>
              <w:jc w:val="both"/>
            </w:pPr>
            <w:r w:rsidRPr="00FC47F2">
              <w:t>05.12.2018</w:t>
            </w:r>
            <w:r w:rsidR="00C91F6E" w:rsidRPr="00FC47F2">
              <w:t> r.</w:t>
            </w:r>
          </w:p>
        </w:tc>
      </w:tr>
      <w:tr w:rsidR="00250AC8" w:rsidRPr="00FC47F2" w14:paraId="40CE6C2F" w14:textId="77777777" w:rsidTr="00FC47F2">
        <w:trPr>
          <w:tblCellSpacing w:w="20" w:type="dxa"/>
        </w:trPr>
        <w:tc>
          <w:tcPr>
            <w:tcW w:w="516" w:type="dxa"/>
          </w:tcPr>
          <w:p w14:paraId="572C6075" w14:textId="77777777" w:rsidR="00250AC8" w:rsidRPr="00EC250C" w:rsidRDefault="00250AC8" w:rsidP="006C70B7">
            <w:pPr>
              <w:pStyle w:val="Tabela"/>
              <w:numPr>
                <w:ilvl w:val="0"/>
                <w:numId w:val="82"/>
              </w:numPr>
              <w:ind w:left="0" w:firstLine="0"/>
              <w:jc w:val="both"/>
            </w:pPr>
          </w:p>
        </w:tc>
        <w:tc>
          <w:tcPr>
            <w:tcW w:w="7615" w:type="dxa"/>
          </w:tcPr>
          <w:p w14:paraId="5C7D597F" w14:textId="77777777" w:rsidR="00250AC8" w:rsidRPr="00FC47F2" w:rsidRDefault="00250AC8" w:rsidP="00FC47F2">
            <w:pPr>
              <w:pStyle w:val="Tabela"/>
              <w:numPr>
                <w:ilvl w:val="0"/>
                <w:numId w:val="82"/>
              </w:numPr>
              <w:ind w:left="0" w:firstLine="0"/>
              <w:jc w:val="both"/>
            </w:pPr>
            <w:r w:rsidRPr="00FC47F2">
              <w:t>Spotkanie</w:t>
            </w:r>
            <w:r w:rsidR="00992FD0" w:rsidRPr="00FC47F2">
              <w:t xml:space="preserve"> z </w:t>
            </w:r>
            <w:r w:rsidRPr="00FC47F2">
              <w:t>sędzią</w:t>
            </w:r>
            <w:r w:rsidR="00992FD0" w:rsidRPr="00FC47F2">
              <w:t xml:space="preserve"> z </w:t>
            </w:r>
            <w:r w:rsidRPr="00FC47F2">
              <w:t>Rady Stanu Włoch przebywającym</w:t>
            </w:r>
            <w:r w:rsidR="00992FD0" w:rsidRPr="00FC47F2">
              <w:t xml:space="preserve"> w </w:t>
            </w:r>
            <w:r w:rsidRPr="00FC47F2">
              <w:t>Polsce</w:t>
            </w:r>
            <w:r w:rsidR="00992FD0" w:rsidRPr="00FC47F2">
              <w:t xml:space="preserve"> w </w:t>
            </w:r>
            <w:r w:rsidRPr="00FC47F2">
              <w:t>ramach programu wymiany stażowej Naczelnego Sądu Administracyjnego. Biuro RPO. Warszawa.</w:t>
            </w:r>
          </w:p>
        </w:tc>
        <w:tc>
          <w:tcPr>
            <w:tcW w:w="1545" w:type="dxa"/>
          </w:tcPr>
          <w:p w14:paraId="4FDF33AE" w14:textId="77777777" w:rsidR="00250AC8" w:rsidRPr="00FC47F2" w:rsidRDefault="00250AC8" w:rsidP="00FC47F2">
            <w:pPr>
              <w:pStyle w:val="Tabela"/>
              <w:numPr>
                <w:ilvl w:val="0"/>
                <w:numId w:val="82"/>
              </w:numPr>
              <w:ind w:left="0" w:firstLine="0"/>
              <w:jc w:val="both"/>
            </w:pPr>
            <w:r w:rsidRPr="00FC47F2">
              <w:t>05.12.2018</w:t>
            </w:r>
            <w:r w:rsidR="00C91F6E" w:rsidRPr="00FC47F2">
              <w:t> r.</w:t>
            </w:r>
          </w:p>
        </w:tc>
      </w:tr>
    </w:tbl>
    <w:p w14:paraId="4A1915F9" w14:textId="77777777" w:rsidR="00250AC8" w:rsidRPr="00FC47F2" w:rsidRDefault="00250AC8" w:rsidP="00FC47F2">
      <w:pPr>
        <w:pStyle w:val="Tabela"/>
        <w:jc w:val="both"/>
      </w:pPr>
    </w:p>
    <w:p w14:paraId="3F6CD590" w14:textId="234904FF" w:rsidR="00250AC8" w:rsidRPr="00EC250C" w:rsidRDefault="00250AC8" w:rsidP="00EC79EB">
      <w:pPr>
        <w:pStyle w:val="Nagwek4"/>
      </w:pPr>
      <w:bookmarkStart w:id="894" w:name="_Toc3898988"/>
      <w:bookmarkStart w:id="895" w:name="_Toc6258110"/>
      <w:bookmarkStart w:id="896" w:name="_Toc11247889"/>
      <w:r w:rsidRPr="00EC250C">
        <w:t xml:space="preserve">Honorowe patronaty </w:t>
      </w:r>
      <w:r w:rsidR="00FC47F2">
        <w:t>RPO</w:t>
      </w:r>
      <w:r w:rsidR="00992FD0" w:rsidRPr="00EC250C">
        <w:t xml:space="preserve"> w </w:t>
      </w:r>
      <w:r w:rsidRPr="00EC250C">
        <w:t>2018</w:t>
      </w:r>
      <w:bookmarkEnd w:id="894"/>
      <w:bookmarkEnd w:id="895"/>
      <w:r w:rsidR="00C91F6E" w:rsidRPr="00EC250C">
        <w:t> </w:t>
      </w:r>
      <w:r w:rsidR="00C91F6E" w:rsidRPr="00EC250C">
        <w:rPr>
          <w:rFonts w:hint="eastAsia"/>
        </w:rPr>
        <w:t>r.</w:t>
      </w:r>
      <w:bookmarkEnd w:id="896"/>
    </w:p>
    <w:tbl>
      <w:tblPr>
        <w:tblW w:w="98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7220"/>
        <w:gridCol w:w="2022"/>
      </w:tblGrid>
      <w:tr w:rsidR="007E515C" w:rsidRPr="00FC47F2" w14:paraId="69851D4B" w14:textId="77777777" w:rsidTr="00FC47F2">
        <w:tc>
          <w:tcPr>
            <w:tcW w:w="596" w:type="dxa"/>
            <w:shd w:val="clear" w:color="auto" w:fill="auto"/>
            <w:vAlign w:val="center"/>
          </w:tcPr>
          <w:p w14:paraId="4D49C290" w14:textId="77777777" w:rsidR="007E515C" w:rsidRPr="00FC47F2" w:rsidRDefault="007E515C" w:rsidP="00FC47F2">
            <w:pPr>
              <w:pStyle w:val="Tabela"/>
              <w:jc w:val="both"/>
            </w:pPr>
          </w:p>
        </w:tc>
        <w:tc>
          <w:tcPr>
            <w:tcW w:w="7220" w:type="dxa"/>
            <w:shd w:val="clear" w:color="auto" w:fill="auto"/>
          </w:tcPr>
          <w:p w14:paraId="21B9F292" w14:textId="77777777" w:rsidR="007E515C" w:rsidRPr="00FC47F2" w:rsidRDefault="007E515C" w:rsidP="00FC47F2">
            <w:pPr>
              <w:pStyle w:val="Tabela"/>
              <w:jc w:val="both"/>
            </w:pPr>
            <w:r w:rsidRPr="00FC47F2">
              <w:t>Konferencja</w:t>
            </w:r>
            <w:r w:rsidR="00992FD0" w:rsidRPr="00FC47F2">
              <w:t xml:space="preserve"> o </w:t>
            </w:r>
            <w:r w:rsidRPr="00FC47F2">
              <w:t>70-leciu Powszechnej Deklaracji Praw Człowieka</w:t>
            </w:r>
          </w:p>
        </w:tc>
        <w:tc>
          <w:tcPr>
            <w:tcW w:w="2022" w:type="dxa"/>
            <w:shd w:val="clear" w:color="auto" w:fill="auto"/>
          </w:tcPr>
          <w:p w14:paraId="759B7FDC" w14:textId="77777777" w:rsidR="007E515C" w:rsidRPr="00FC47F2" w:rsidRDefault="007E515C" w:rsidP="00FC47F2">
            <w:pPr>
              <w:pStyle w:val="Tabela"/>
              <w:jc w:val="both"/>
            </w:pPr>
            <w:r w:rsidRPr="00FC47F2">
              <w:t>Kraków</w:t>
            </w:r>
          </w:p>
        </w:tc>
      </w:tr>
      <w:tr w:rsidR="007E515C" w:rsidRPr="00EC250C" w14:paraId="0821B987" w14:textId="77777777" w:rsidTr="00FC47F2">
        <w:tc>
          <w:tcPr>
            <w:tcW w:w="596" w:type="dxa"/>
            <w:shd w:val="clear" w:color="auto" w:fill="auto"/>
            <w:vAlign w:val="center"/>
          </w:tcPr>
          <w:p w14:paraId="32C1C88C"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4F3777D4" w14:textId="77777777" w:rsidR="007E515C" w:rsidRPr="00EC250C" w:rsidRDefault="007E515C" w:rsidP="00D131FA">
            <w:pPr>
              <w:pStyle w:val="Tabela"/>
              <w:jc w:val="both"/>
              <w:rPr>
                <w:rFonts w:eastAsia="Calibri"/>
                <w:lang w:eastAsia="en-US"/>
              </w:rPr>
            </w:pPr>
            <w:r w:rsidRPr="00EC250C">
              <w:rPr>
                <w:rFonts w:eastAsia="Calibri"/>
                <w:lang w:eastAsia="en-US"/>
              </w:rPr>
              <w:t>Konferencja pt. „Prawo do prywatności</w:t>
            </w:r>
            <w:r w:rsidR="00992FD0" w:rsidRPr="00EC250C">
              <w:rPr>
                <w:rFonts w:eastAsia="Calibri"/>
                <w:lang w:eastAsia="en-US"/>
              </w:rPr>
              <w:t xml:space="preserve"> w </w:t>
            </w:r>
            <w:r w:rsidRPr="00EC250C">
              <w:rPr>
                <w:rFonts w:eastAsia="Calibri"/>
                <w:lang w:eastAsia="en-US"/>
              </w:rPr>
              <w:t>Kościołach</w:t>
            </w:r>
            <w:r w:rsidR="00992FD0" w:rsidRPr="00EC250C">
              <w:rPr>
                <w:rFonts w:eastAsia="Calibri"/>
                <w:lang w:eastAsia="en-US"/>
              </w:rPr>
              <w:t xml:space="preserve"> i </w:t>
            </w:r>
            <w:r w:rsidRPr="00EC250C">
              <w:rPr>
                <w:rFonts w:eastAsia="Calibri"/>
                <w:lang w:eastAsia="en-US"/>
              </w:rPr>
              <w:t>innych związkach wyznaniowych: od tajemnicy duszpasterskiej do ochrony danych osobowych”</w:t>
            </w:r>
          </w:p>
        </w:tc>
        <w:tc>
          <w:tcPr>
            <w:tcW w:w="2022" w:type="dxa"/>
            <w:shd w:val="clear" w:color="auto" w:fill="auto"/>
          </w:tcPr>
          <w:p w14:paraId="1DFCD91C"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2A49DBB0" w14:textId="77777777" w:rsidTr="00FC47F2">
        <w:trPr>
          <w:trHeight w:val="366"/>
        </w:trPr>
        <w:tc>
          <w:tcPr>
            <w:tcW w:w="596" w:type="dxa"/>
            <w:shd w:val="clear" w:color="auto" w:fill="auto"/>
            <w:vAlign w:val="center"/>
          </w:tcPr>
          <w:p w14:paraId="10D725EB"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28D672DA" w14:textId="77777777" w:rsidR="007E515C" w:rsidRPr="00EC250C" w:rsidRDefault="007E515C" w:rsidP="00D131FA">
            <w:pPr>
              <w:pStyle w:val="Tabela"/>
              <w:jc w:val="both"/>
              <w:rPr>
                <w:rFonts w:eastAsia="Calibri"/>
                <w:lang w:eastAsia="en-US"/>
              </w:rPr>
            </w:pPr>
            <w:r w:rsidRPr="00EC250C">
              <w:rPr>
                <w:rFonts w:eastAsia="Calibri"/>
                <w:lang w:eastAsia="en-US"/>
              </w:rPr>
              <w:t>Konferencja pt. „Na gruncie Uniwersytetu: Artykuł 56”</w:t>
            </w:r>
          </w:p>
        </w:tc>
        <w:tc>
          <w:tcPr>
            <w:tcW w:w="2022" w:type="dxa"/>
            <w:shd w:val="clear" w:color="auto" w:fill="auto"/>
          </w:tcPr>
          <w:p w14:paraId="4600DDCD"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11077F9A" w14:textId="77777777" w:rsidTr="00FC47F2">
        <w:tc>
          <w:tcPr>
            <w:tcW w:w="596" w:type="dxa"/>
            <w:shd w:val="clear" w:color="auto" w:fill="auto"/>
            <w:vAlign w:val="center"/>
          </w:tcPr>
          <w:p w14:paraId="6E7DBD16" w14:textId="77777777" w:rsidR="007E515C" w:rsidRPr="00EC250C" w:rsidRDefault="007E515C" w:rsidP="006C70B7">
            <w:pPr>
              <w:pStyle w:val="Tabela"/>
              <w:numPr>
                <w:ilvl w:val="0"/>
                <w:numId w:val="73"/>
              </w:numPr>
              <w:ind w:left="0" w:firstLine="0"/>
              <w:jc w:val="both"/>
              <w:rPr>
                <w:rFonts w:eastAsia="Calibri"/>
                <w:b/>
                <w:sz w:val="16"/>
                <w:lang w:eastAsia="en-US"/>
              </w:rPr>
            </w:pPr>
          </w:p>
        </w:tc>
        <w:tc>
          <w:tcPr>
            <w:tcW w:w="7220" w:type="dxa"/>
            <w:shd w:val="clear" w:color="auto" w:fill="auto"/>
          </w:tcPr>
          <w:p w14:paraId="68CBE023" w14:textId="77777777" w:rsidR="007E515C" w:rsidRPr="00EC250C" w:rsidRDefault="007E515C" w:rsidP="00D131FA">
            <w:pPr>
              <w:pStyle w:val="Tabela"/>
              <w:jc w:val="both"/>
              <w:rPr>
                <w:rFonts w:eastAsia="Calibri"/>
                <w:lang w:eastAsia="en-US"/>
              </w:rPr>
            </w:pPr>
            <w:r w:rsidRPr="00EC250C">
              <w:rPr>
                <w:rFonts w:eastAsia="Calibri"/>
                <w:lang w:eastAsia="en-US"/>
              </w:rPr>
              <w:t xml:space="preserve">II Festiwal Praw Człowieka </w:t>
            </w:r>
          </w:p>
        </w:tc>
        <w:tc>
          <w:tcPr>
            <w:tcW w:w="2022" w:type="dxa"/>
            <w:shd w:val="clear" w:color="auto" w:fill="auto"/>
          </w:tcPr>
          <w:p w14:paraId="70629553" w14:textId="77777777" w:rsidR="007E515C" w:rsidRPr="00EC250C" w:rsidRDefault="007E515C" w:rsidP="00D131FA">
            <w:pPr>
              <w:pStyle w:val="Tabela"/>
              <w:jc w:val="both"/>
              <w:rPr>
                <w:rFonts w:eastAsia="Calibri"/>
              </w:rPr>
            </w:pPr>
            <w:r w:rsidRPr="00EC250C">
              <w:rPr>
                <w:rFonts w:eastAsia="Calibri"/>
              </w:rPr>
              <w:t>Kędzierzyn Koźle</w:t>
            </w:r>
          </w:p>
        </w:tc>
      </w:tr>
      <w:tr w:rsidR="007E515C" w:rsidRPr="00EC250C" w14:paraId="578ED505" w14:textId="77777777" w:rsidTr="00FC47F2">
        <w:trPr>
          <w:trHeight w:val="591"/>
        </w:trPr>
        <w:tc>
          <w:tcPr>
            <w:tcW w:w="596" w:type="dxa"/>
            <w:shd w:val="clear" w:color="auto" w:fill="auto"/>
            <w:vAlign w:val="center"/>
          </w:tcPr>
          <w:p w14:paraId="67B6E087"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DD093FA" w14:textId="77777777" w:rsidR="007E515C" w:rsidRPr="00EC250C" w:rsidRDefault="007E515C" w:rsidP="00D131FA">
            <w:pPr>
              <w:pStyle w:val="Tabela"/>
              <w:jc w:val="both"/>
              <w:rPr>
                <w:rFonts w:eastAsia="Calibri"/>
                <w:lang w:val="en-US" w:eastAsia="en-US"/>
              </w:rPr>
            </w:pPr>
            <w:r w:rsidRPr="00EC250C">
              <w:rPr>
                <w:rFonts w:eastAsia="Calibri"/>
                <w:lang w:val="en-US" w:eastAsia="en-US"/>
              </w:rPr>
              <w:t>Konferencja międzynarodowa pt. „Citizenship at its Grassroots</w:t>
            </w:r>
            <w:r w:rsidR="00026572" w:rsidRPr="00EC250C">
              <w:rPr>
                <w:rFonts w:eastAsia="Calibri"/>
                <w:lang w:val="en-US" w:eastAsia="en-US"/>
              </w:rPr>
              <w:t xml:space="preserve"> – </w:t>
            </w:r>
            <w:r w:rsidRPr="00EC250C">
              <w:rPr>
                <w:rFonts w:eastAsia="Calibri"/>
                <w:lang w:val="en-US" w:eastAsia="en-US"/>
              </w:rPr>
              <w:t>European and Polish Perspectives”</w:t>
            </w:r>
          </w:p>
        </w:tc>
        <w:tc>
          <w:tcPr>
            <w:tcW w:w="2022" w:type="dxa"/>
            <w:shd w:val="clear" w:color="auto" w:fill="auto"/>
          </w:tcPr>
          <w:p w14:paraId="75C9BE1A"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2620B9FD" w14:textId="77777777" w:rsidTr="00FC47F2">
        <w:tc>
          <w:tcPr>
            <w:tcW w:w="596" w:type="dxa"/>
            <w:shd w:val="clear" w:color="auto" w:fill="auto"/>
            <w:vAlign w:val="center"/>
          </w:tcPr>
          <w:p w14:paraId="1D8EF81C"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10D1151A" w14:textId="77777777" w:rsidR="007E515C" w:rsidRPr="00EC250C" w:rsidRDefault="007E515C" w:rsidP="00D131FA">
            <w:pPr>
              <w:pStyle w:val="Tabela"/>
              <w:jc w:val="both"/>
              <w:rPr>
                <w:rFonts w:eastAsia="Calibri"/>
                <w:lang w:eastAsia="en-US"/>
              </w:rPr>
            </w:pPr>
            <w:r w:rsidRPr="00EC250C">
              <w:rPr>
                <w:rFonts w:eastAsia="Calibri"/>
                <w:lang w:eastAsia="en-US"/>
              </w:rPr>
              <w:t>XXV Jubileuszowe Kwidzyńskie Forum Teatralne Placówek Kształcenia Specjalnego</w:t>
            </w:r>
          </w:p>
        </w:tc>
        <w:tc>
          <w:tcPr>
            <w:tcW w:w="2022" w:type="dxa"/>
            <w:shd w:val="clear" w:color="auto" w:fill="auto"/>
          </w:tcPr>
          <w:p w14:paraId="4023527F" w14:textId="77777777" w:rsidR="007E515C" w:rsidRPr="00EC250C" w:rsidRDefault="007E515C" w:rsidP="00D131FA">
            <w:pPr>
              <w:pStyle w:val="Tabela"/>
              <w:jc w:val="both"/>
              <w:rPr>
                <w:rFonts w:eastAsia="Calibri"/>
                <w:lang w:eastAsia="en-US"/>
              </w:rPr>
            </w:pPr>
            <w:r w:rsidRPr="00EC250C">
              <w:rPr>
                <w:rFonts w:eastAsia="Calibri"/>
                <w:lang w:eastAsia="en-US"/>
              </w:rPr>
              <w:t>Kwidzyn</w:t>
            </w:r>
          </w:p>
        </w:tc>
      </w:tr>
      <w:tr w:rsidR="007E515C" w:rsidRPr="00EC250C" w14:paraId="29EF9DCE" w14:textId="77777777" w:rsidTr="00FC47F2">
        <w:tc>
          <w:tcPr>
            <w:tcW w:w="596" w:type="dxa"/>
            <w:shd w:val="clear" w:color="auto" w:fill="auto"/>
            <w:vAlign w:val="center"/>
          </w:tcPr>
          <w:p w14:paraId="508BEF4F"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23687FB8" w14:textId="77777777" w:rsidR="007E515C" w:rsidRPr="00EC250C" w:rsidRDefault="007E515C" w:rsidP="00D131FA">
            <w:pPr>
              <w:pStyle w:val="Tabela"/>
              <w:jc w:val="both"/>
              <w:rPr>
                <w:rFonts w:eastAsia="Calibri"/>
                <w:lang w:eastAsia="en-US"/>
              </w:rPr>
            </w:pPr>
            <w:r w:rsidRPr="00EC250C">
              <w:rPr>
                <w:rFonts w:eastAsia="Calibri"/>
                <w:lang w:eastAsia="en-US"/>
              </w:rPr>
              <w:t>Obchody Światowego Dnia SM</w:t>
            </w:r>
            <w:r w:rsidR="00026572" w:rsidRPr="00EC250C">
              <w:rPr>
                <w:rFonts w:eastAsia="Calibri"/>
                <w:lang w:eastAsia="en-US"/>
              </w:rPr>
              <w:t xml:space="preserve"> – </w:t>
            </w:r>
            <w:r w:rsidRPr="00EC250C">
              <w:rPr>
                <w:rFonts w:eastAsia="Calibri"/>
                <w:lang w:eastAsia="en-US"/>
              </w:rPr>
              <w:t>Polskie Towarzystwo Stwardnienia Rozsianego</w:t>
            </w:r>
          </w:p>
        </w:tc>
        <w:tc>
          <w:tcPr>
            <w:tcW w:w="2022" w:type="dxa"/>
            <w:shd w:val="clear" w:color="auto" w:fill="auto"/>
          </w:tcPr>
          <w:p w14:paraId="7AF87D66"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5C105940" w14:textId="77777777" w:rsidTr="00FC47F2">
        <w:tc>
          <w:tcPr>
            <w:tcW w:w="596" w:type="dxa"/>
            <w:shd w:val="clear" w:color="auto" w:fill="auto"/>
            <w:vAlign w:val="center"/>
          </w:tcPr>
          <w:p w14:paraId="6885A31A"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9CF1048" w14:textId="77777777" w:rsidR="007E515C" w:rsidRPr="00EC250C" w:rsidRDefault="007E515C" w:rsidP="00D131FA">
            <w:pPr>
              <w:pStyle w:val="Tabela"/>
              <w:jc w:val="both"/>
              <w:rPr>
                <w:rFonts w:eastAsia="Calibri"/>
                <w:lang w:eastAsia="en-US"/>
              </w:rPr>
            </w:pPr>
            <w:r w:rsidRPr="00EC250C">
              <w:rPr>
                <w:rFonts w:eastAsia="Calibri"/>
                <w:lang w:eastAsia="en-US"/>
              </w:rPr>
              <w:t>Akcja „Głos matek ma moc zmiany- monitoring opieki okołoporodowej”</w:t>
            </w:r>
          </w:p>
        </w:tc>
        <w:tc>
          <w:tcPr>
            <w:tcW w:w="2022" w:type="dxa"/>
            <w:shd w:val="clear" w:color="auto" w:fill="auto"/>
          </w:tcPr>
          <w:p w14:paraId="47B09351"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1E379AB7" w14:textId="77777777" w:rsidTr="00FC47F2">
        <w:tc>
          <w:tcPr>
            <w:tcW w:w="596" w:type="dxa"/>
            <w:shd w:val="clear" w:color="auto" w:fill="auto"/>
            <w:vAlign w:val="center"/>
          </w:tcPr>
          <w:p w14:paraId="7A3CC962"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906AC57" w14:textId="77777777" w:rsidR="007E515C" w:rsidRPr="00EC250C" w:rsidRDefault="007E515C" w:rsidP="00D131FA">
            <w:pPr>
              <w:pStyle w:val="Tabela"/>
              <w:jc w:val="both"/>
              <w:rPr>
                <w:rFonts w:eastAsia="Calibri"/>
                <w:lang w:eastAsia="en-US"/>
              </w:rPr>
            </w:pPr>
            <w:r w:rsidRPr="00EC250C">
              <w:rPr>
                <w:rFonts w:eastAsia="Calibri"/>
                <w:lang w:eastAsia="en-US"/>
              </w:rPr>
              <w:t>VII Kongres Kół Naukowych UAM</w:t>
            </w:r>
          </w:p>
        </w:tc>
        <w:tc>
          <w:tcPr>
            <w:tcW w:w="2022" w:type="dxa"/>
            <w:shd w:val="clear" w:color="auto" w:fill="auto"/>
          </w:tcPr>
          <w:p w14:paraId="600E4345" w14:textId="77777777" w:rsidR="007E515C" w:rsidRPr="00EC250C" w:rsidRDefault="007E515C" w:rsidP="00D131FA">
            <w:pPr>
              <w:pStyle w:val="Tabela"/>
              <w:jc w:val="both"/>
              <w:rPr>
                <w:rFonts w:eastAsia="Calibri"/>
                <w:lang w:eastAsia="en-US"/>
              </w:rPr>
            </w:pPr>
            <w:r w:rsidRPr="00EC250C">
              <w:rPr>
                <w:rFonts w:eastAsia="Calibri"/>
                <w:lang w:eastAsia="en-US"/>
              </w:rPr>
              <w:t>Poznań</w:t>
            </w:r>
          </w:p>
        </w:tc>
      </w:tr>
      <w:tr w:rsidR="007E515C" w:rsidRPr="00EC250C" w14:paraId="540BC4B9" w14:textId="77777777" w:rsidTr="00FC47F2">
        <w:tc>
          <w:tcPr>
            <w:tcW w:w="596" w:type="dxa"/>
            <w:shd w:val="clear" w:color="auto" w:fill="auto"/>
            <w:vAlign w:val="center"/>
          </w:tcPr>
          <w:p w14:paraId="5637207E"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1BE65C97" w14:textId="77777777" w:rsidR="007E515C" w:rsidRPr="00EC250C" w:rsidRDefault="007E515C" w:rsidP="00D131FA">
            <w:pPr>
              <w:pStyle w:val="Tabela"/>
              <w:jc w:val="both"/>
              <w:rPr>
                <w:rFonts w:eastAsia="Calibri"/>
                <w:lang w:eastAsia="en-US"/>
              </w:rPr>
            </w:pPr>
            <w:r w:rsidRPr="00EC250C">
              <w:rPr>
                <w:rFonts w:eastAsia="Calibri"/>
                <w:lang w:eastAsia="en-US"/>
              </w:rPr>
              <w:t xml:space="preserve">Ogólnopolski Konkurs Mediacyjny #mediUJ! </w:t>
            </w:r>
          </w:p>
        </w:tc>
        <w:tc>
          <w:tcPr>
            <w:tcW w:w="2022" w:type="dxa"/>
            <w:shd w:val="clear" w:color="auto" w:fill="auto"/>
          </w:tcPr>
          <w:p w14:paraId="6F7AC606" w14:textId="77777777" w:rsidR="007E515C" w:rsidRPr="00EC250C" w:rsidRDefault="007E515C" w:rsidP="00D131FA">
            <w:pPr>
              <w:pStyle w:val="Tabela"/>
              <w:jc w:val="both"/>
              <w:rPr>
                <w:rFonts w:eastAsia="Calibri"/>
                <w:lang w:eastAsia="en-US"/>
              </w:rPr>
            </w:pPr>
            <w:r w:rsidRPr="00EC250C">
              <w:rPr>
                <w:rFonts w:eastAsia="Calibri"/>
                <w:lang w:eastAsia="en-US"/>
              </w:rPr>
              <w:t>Kraków</w:t>
            </w:r>
          </w:p>
        </w:tc>
      </w:tr>
      <w:tr w:rsidR="007E515C" w:rsidRPr="00EC250C" w14:paraId="0AF8ECFF" w14:textId="77777777" w:rsidTr="00FC47F2">
        <w:tc>
          <w:tcPr>
            <w:tcW w:w="596" w:type="dxa"/>
            <w:shd w:val="clear" w:color="auto" w:fill="auto"/>
            <w:vAlign w:val="center"/>
          </w:tcPr>
          <w:p w14:paraId="6286C073"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691F469" w14:textId="77777777" w:rsidR="007E515C" w:rsidRPr="00EC250C" w:rsidRDefault="007E515C" w:rsidP="00D131FA">
            <w:pPr>
              <w:pStyle w:val="Tabela"/>
              <w:jc w:val="both"/>
              <w:rPr>
                <w:rFonts w:eastAsia="Calibri"/>
                <w:lang w:eastAsia="en-US"/>
              </w:rPr>
            </w:pPr>
            <w:r w:rsidRPr="00EC250C">
              <w:rPr>
                <w:rFonts w:eastAsia="Calibri"/>
                <w:lang w:eastAsia="en-US"/>
              </w:rPr>
              <w:t>V edycja Ogólnopolskiego Konkursu Mistrzowie Mediacji</w:t>
            </w:r>
          </w:p>
        </w:tc>
        <w:tc>
          <w:tcPr>
            <w:tcW w:w="2022" w:type="dxa"/>
            <w:shd w:val="clear" w:color="auto" w:fill="auto"/>
          </w:tcPr>
          <w:p w14:paraId="085A4AEC"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2B07C429" w14:textId="77777777" w:rsidTr="00FC47F2">
        <w:tc>
          <w:tcPr>
            <w:tcW w:w="596" w:type="dxa"/>
            <w:shd w:val="clear" w:color="auto" w:fill="auto"/>
            <w:vAlign w:val="center"/>
          </w:tcPr>
          <w:p w14:paraId="0AA89B07"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1500B5A" w14:textId="77777777" w:rsidR="007E515C" w:rsidRPr="00EC250C" w:rsidRDefault="007E515C" w:rsidP="00D131FA">
            <w:pPr>
              <w:pStyle w:val="Tabela"/>
              <w:jc w:val="both"/>
              <w:rPr>
                <w:rFonts w:eastAsia="Calibri"/>
                <w:lang w:eastAsia="en-US"/>
              </w:rPr>
            </w:pPr>
            <w:r w:rsidRPr="00EC250C">
              <w:rPr>
                <w:rFonts w:eastAsia="Calibri"/>
                <w:lang w:eastAsia="en-US"/>
              </w:rPr>
              <w:t>Konferencja naukowa pt. „Doktryna Salduz</w:t>
            </w:r>
            <w:r w:rsidR="00992FD0" w:rsidRPr="00EC250C">
              <w:rPr>
                <w:rFonts w:eastAsia="Calibri"/>
                <w:lang w:eastAsia="en-US"/>
              </w:rPr>
              <w:t xml:space="preserve"> i </w:t>
            </w:r>
            <w:r w:rsidRPr="00EC250C">
              <w:rPr>
                <w:rFonts w:eastAsia="Calibri"/>
                <w:lang w:eastAsia="en-US"/>
              </w:rPr>
              <w:t>Miranda. Gwarancje praw jednostki na wstępnym etapie postępowania karnego”</w:t>
            </w:r>
          </w:p>
        </w:tc>
        <w:tc>
          <w:tcPr>
            <w:tcW w:w="2022" w:type="dxa"/>
            <w:shd w:val="clear" w:color="auto" w:fill="auto"/>
          </w:tcPr>
          <w:p w14:paraId="76D02AD2" w14:textId="77777777" w:rsidR="007E515C" w:rsidRPr="00EC250C" w:rsidRDefault="007E515C" w:rsidP="00D131FA">
            <w:pPr>
              <w:pStyle w:val="Tabela"/>
              <w:jc w:val="both"/>
              <w:rPr>
                <w:rFonts w:eastAsia="Calibri"/>
                <w:lang w:eastAsia="en-US"/>
              </w:rPr>
            </w:pPr>
            <w:r w:rsidRPr="00EC250C">
              <w:rPr>
                <w:rFonts w:eastAsia="Calibri"/>
                <w:lang w:eastAsia="en-US"/>
              </w:rPr>
              <w:t>Wrocław</w:t>
            </w:r>
          </w:p>
        </w:tc>
      </w:tr>
      <w:tr w:rsidR="007E515C" w:rsidRPr="00EC250C" w14:paraId="0F610765" w14:textId="77777777" w:rsidTr="00FC47F2">
        <w:tc>
          <w:tcPr>
            <w:tcW w:w="596" w:type="dxa"/>
            <w:shd w:val="clear" w:color="auto" w:fill="auto"/>
            <w:vAlign w:val="center"/>
          </w:tcPr>
          <w:p w14:paraId="63FD204D"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0CD07C9" w14:textId="77777777" w:rsidR="007E515C" w:rsidRPr="00EC250C" w:rsidRDefault="007E515C" w:rsidP="00D131FA">
            <w:pPr>
              <w:pStyle w:val="Tabela"/>
              <w:jc w:val="both"/>
              <w:rPr>
                <w:rFonts w:eastAsia="Calibri"/>
                <w:lang w:eastAsia="en-US"/>
              </w:rPr>
            </w:pPr>
            <w:r w:rsidRPr="00EC250C">
              <w:rPr>
                <w:rFonts w:eastAsia="Calibri"/>
                <w:lang w:eastAsia="en-US"/>
              </w:rPr>
              <w:t>Badania „Analiza doświadczeń pacjentów chorych na otyłość</w:t>
            </w:r>
            <w:r w:rsidR="00992FD0" w:rsidRPr="00EC250C">
              <w:rPr>
                <w:rFonts w:eastAsia="Calibri"/>
                <w:lang w:eastAsia="en-US"/>
              </w:rPr>
              <w:t xml:space="preserve"> w </w:t>
            </w:r>
            <w:r w:rsidRPr="00EC250C">
              <w:rPr>
                <w:rFonts w:eastAsia="Calibri"/>
                <w:lang w:eastAsia="en-US"/>
              </w:rPr>
              <w:t>kontaktach</w:t>
            </w:r>
            <w:r w:rsidR="00992FD0" w:rsidRPr="00EC250C">
              <w:rPr>
                <w:rFonts w:eastAsia="Calibri"/>
                <w:lang w:eastAsia="en-US"/>
              </w:rPr>
              <w:t xml:space="preserve"> z </w:t>
            </w:r>
            <w:r w:rsidRPr="00EC250C">
              <w:rPr>
                <w:rFonts w:eastAsia="Calibri"/>
                <w:lang w:eastAsia="en-US"/>
              </w:rPr>
              <w:t>personelem medycznym”</w:t>
            </w:r>
          </w:p>
        </w:tc>
        <w:tc>
          <w:tcPr>
            <w:tcW w:w="2022" w:type="dxa"/>
            <w:shd w:val="clear" w:color="auto" w:fill="auto"/>
          </w:tcPr>
          <w:p w14:paraId="54B06D61"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01E91EC6" w14:textId="77777777" w:rsidTr="00FC47F2">
        <w:tc>
          <w:tcPr>
            <w:tcW w:w="596" w:type="dxa"/>
            <w:shd w:val="clear" w:color="auto" w:fill="auto"/>
            <w:vAlign w:val="center"/>
          </w:tcPr>
          <w:p w14:paraId="186574E0"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7417E49" w14:textId="77777777" w:rsidR="007E515C" w:rsidRPr="00EC250C" w:rsidRDefault="007E515C" w:rsidP="00D131FA">
            <w:pPr>
              <w:pStyle w:val="Tabela"/>
              <w:jc w:val="both"/>
              <w:rPr>
                <w:rFonts w:eastAsia="Calibri"/>
                <w:lang w:eastAsia="en-US"/>
              </w:rPr>
            </w:pPr>
            <w:r w:rsidRPr="00EC250C">
              <w:rPr>
                <w:rFonts w:eastAsia="Calibri"/>
                <w:lang w:eastAsia="en-US"/>
              </w:rPr>
              <w:t>Cykl debat Dziennika Rzeczpospolita „Biznes</w:t>
            </w:r>
            <w:r w:rsidR="00992FD0" w:rsidRPr="00EC250C">
              <w:rPr>
                <w:rFonts w:eastAsia="Calibri"/>
                <w:lang w:eastAsia="en-US"/>
              </w:rPr>
              <w:t xml:space="preserve"> i </w:t>
            </w:r>
            <w:r w:rsidRPr="00EC250C">
              <w:rPr>
                <w:rFonts w:eastAsia="Calibri"/>
                <w:lang w:eastAsia="en-US"/>
              </w:rPr>
              <w:t>prawa człowieka”</w:t>
            </w:r>
          </w:p>
        </w:tc>
        <w:tc>
          <w:tcPr>
            <w:tcW w:w="2022" w:type="dxa"/>
            <w:shd w:val="clear" w:color="auto" w:fill="auto"/>
          </w:tcPr>
          <w:p w14:paraId="76965FE0" w14:textId="77777777" w:rsidR="007E515C" w:rsidRPr="00EC250C" w:rsidRDefault="007E515C" w:rsidP="00D131FA">
            <w:pPr>
              <w:pStyle w:val="Tabela"/>
              <w:jc w:val="both"/>
              <w:rPr>
                <w:rFonts w:eastAsia="Calibri"/>
                <w:lang w:val="en-US" w:eastAsia="en-US"/>
              </w:rPr>
            </w:pPr>
            <w:r w:rsidRPr="00EC250C">
              <w:rPr>
                <w:rFonts w:eastAsia="Calibri"/>
                <w:lang w:eastAsia="en-US"/>
              </w:rPr>
              <w:t>Warszawa</w:t>
            </w:r>
          </w:p>
        </w:tc>
      </w:tr>
      <w:tr w:rsidR="007E515C" w:rsidRPr="00EC250C" w14:paraId="3F96DA36" w14:textId="77777777" w:rsidTr="00FC47F2">
        <w:tc>
          <w:tcPr>
            <w:tcW w:w="596" w:type="dxa"/>
            <w:shd w:val="clear" w:color="auto" w:fill="auto"/>
            <w:vAlign w:val="center"/>
          </w:tcPr>
          <w:p w14:paraId="674E31EC" w14:textId="77777777" w:rsidR="007E515C" w:rsidRPr="00EC250C" w:rsidRDefault="007E515C" w:rsidP="006C70B7">
            <w:pPr>
              <w:pStyle w:val="Tabela"/>
              <w:numPr>
                <w:ilvl w:val="0"/>
                <w:numId w:val="73"/>
              </w:numPr>
              <w:ind w:left="0" w:firstLine="0"/>
              <w:jc w:val="both"/>
              <w:rPr>
                <w:rFonts w:eastAsia="Calibri"/>
                <w:sz w:val="16"/>
                <w:lang w:val="en-US" w:eastAsia="en-US"/>
              </w:rPr>
            </w:pPr>
          </w:p>
        </w:tc>
        <w:tc>
          <w:tcPr>
            <w:tcW w:w="7220" w:type="dxa"/>
            <w:shd w:val="clear" w:color="auto" w:fill="auto"/>
          </w:tcPr>
          <w:p w14:paraId="3DDE1A15" w14:textId="77777777" w:rsidR="007E515C" w:rsidRPr="00EC250C" w:rsidRDefault="007E515C" w:rsidP="00D131FA">
            <w:pPr>
              <w:pStyle w:val="Tabela"/>
              <w:jc w:val="both"/>
              <w:rPr>
                <w:rFonts w:eastAsia="Calibri"/>
                <w:lang w:eastAsia="en-US"/>
              </w:rPr>
            </w:pPr>
            <w:r w:rsidRPr="00EC250C">
              <w:rPr>
                <w:rFonts w:eastAsia="Calibri"/>
                <w:lang w:eastAsia="en-US"/>
              </w:rPr>
              <w:t>Ogólnopolska konferencja naukowa pt. „Komunikowanie</w:t>
            </w:r>
            <w:r w:rsidR="00992FD0" w:rsidRPr="00EC250C">
              <w:rPr>
                <w:rFonts w:eastAsia="Calibri"/>
                <w:lang w:eastAsia="en-US"/>
              </w:rPr>
              <w:t xml:space="preserve"> i </w:t>
            </w:r>
            <w:r w:rsidRPr="00EC250C">
              <w:rPr>
                <w:rFonts w:eastAsia="Calibri"/>
                <w:lang w:eastAsia="en-US"/>
              </w:rPr>
              <w:t>media</w:t>
            </w:r>
            <w:r w:rsidR="00992FD0" w:rsidRPr="00EC250C">
              <w:rPr>
                <w:rFonts w:eastAsia="Calibri"/>
                <w:lang w:eastAsia="en-US"/>
              </w:rPr>
              <w:t xml:space="preserve"> w </w:t>
            </w:r>
            <w:r w:rsidRPr="00EC250C">
              <w:rPr>
                <w:rFonts w:eastAsia="Calibri"/>
                <w:lang w:eastAsia="en-US"/>
              </w:rPr>
              <w:t>dialogu obywatelskim”</w:t>
            </w:r>
          </w:p>
        </w:tc>
        <w:tc>
          <w:tcPr>
            <w:tcW w:w="2022" w:type="dxa"/>
            <w:shd w:val="clear" w:color="auto" w:fill="auto"/>
          </w:tcPr>
          <w:p w14:paraId="0C9B5EF7" w14:textId="77777777" w:rsidR="007E515C" w:rsidRPr="00EC250C" w:rsidRDefault="007E515C" w:rsidP="00D131FA">
            <w:pPr>
              <w:pStyle w:val="Tabela"/>
              <w:jc w:val="both"/>
              <w:rPr>
                <w:rFonts w:eastAsia="Calibri"/>
                <w:lang w:eastAsia="en-US"/>
              </w:rPr>
            </w:pPr>
            <w:r w:rsidRPr="00EC250C">
              <w:rPr>
                <w:rFonts w:eastAsia="Calibri"/>
                <w:lang w:eastAsia="en-US"/>
              </w:rPr>
              <w:t>Kraków</w:t>
            </w:r>
          </w:p>
        </w:tc>
      </w:tr>
      <w:tr w:rsidR="007E515C" w:rsidRPr="00EC250C" w14:paraId="6D7D9334" w14:textId="77777777" w:rsidTr="00FC47F2">
        <w:tc>
          <w:tcPr>
            <w:tcW w:w="596" w:type="dxa"/>
            <w:shd w:val="clear" w:color="auto" w:fill="auto"/>
            <w:vAlign w:val="center"/>
          </w:tcPr>
          <w:p w14:paraId="193E111A"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7D22D0DB" w14:textId="77777777" w:rsidR="007E515C" w:rsidRPr="00EC250C" w:rsidRDefault="007E515C" w:rsidP="00D131FA">
            <w:pPr>
              <w:pStyle w:val="Tabela"/>
              <w:jc w:val="both"/>
              <w:rPr>
                <w:rFonts w:eastAsia="Calibri"/>
                <w:lang w:eastAsia="en-US"/>
              </w:rPr>
            </w:pPr>
            <w:r w:rsidRPr="00EC250C">
              <w:rPr>
                <w:rFonts w:eastAsia="Calibri"/>
                <w:lang w:eastAsia="en-US"/>
              </w:rPr>
              <w:t>Debata</w:t>
            </w:r>
            <w:r w:rsidR="00992FD0" w:rsidRPr="00EC250C">
              <w:rPr>
                <w:rFonts w:eastAsia="Calibri"/>
                <w:lang w:eastAsia="en-US"/>
              </w:rPr>
              <w:t xml:space="preserve"> o </w:t>
            </w:r>
            <w:r w:rsidRPr="00EC250C">
              <w:rPr>
                <w:rFonts w:eastAsia="Calibri"/>
                <w:lang w:eastAsia="en-US"/>
              </w:rPr>
              <w:t xml:space="preserve">prawach kobiet </w:t>
            </w:r>
          </w:p>
        </w:tc>
        <w:tc>
          <w:tcPr>
            <w:tcW w:w="2022" w:type="dxa"/>
            <w:shd w:val="clear" w:color="auto" w:fill="auto"/>
          </w:tcPr>
          <w:p w14:paraId="3BB36D86" w14:textId="77777777" w:rsidR="007E515C" w:rsidRPr="00EC250C" w:rsidRDefault="007E515C" w:rsidP="00D131FA">
            <w:pPr>
              <w:pStyle w:val="Tabela"/>
              <w:jc w:val="both"/>
              <w:rPr>
                <w:rFonts w:eastAsia="Calibri"/>
                <w:lang w:eastAsia="en-US"/>
              </w:rPr>
            </w:pPr>
            <w:r w:rsidRPr="00EC250C">
              <w:rPr>
                <w:rFonts w:eastAsia="Calibri"/>
                <w:lang w:eastAsia="en-US"/>
              </w:rPr>
              <w:t>Złotoryja</w:t>
            </w:r>
          </w:p>
        </w:tc>
      </w:tr>
      <w:tr w:rsidR="007E515C" w:rsidRPr="00EC250C" w14:paraId="170686A1" w14:textId="77777777" w:rsidTr="00FC47F2">
        <w:tc>
          <w:tcPr>
            <w:tcW w:w="596" w:type="dxa"/>
            <w:shd w:val="clear" w:color="auto" w:fill="auto"/>
            <w:vAlign w:val="center"/>
          </w:tcPr>
          <w:p w14:paraId="058536D1"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294AC64" w14:textId="77777777" w:rsidR="007E515C" w:rsidRPr="00EC250C" w:rsidRDefault="007E515C" w:rsidP="00D131FA">
            <w:pPr>
              <w:pStyle w:val="Tabela"/>
              <w:jc w:val="both"/>
              <w:rPr>
                <w:rFonts w:eastAsia="Calibri"/>
                <w:lang w:eastAsia="en-US"/>
              </w:rPr>
            </w:pPr>
            <w:r w:rsidRPr="00EC250C">
              <w:rPr>
                <w:rFonts w:eastAsia="Calibri"/>
                <w:lang w:eastAsia="en-US"/>
              </w:rPr>
              <w:t>Ogólnopolska konferencja naukowa Prawa Podatkowego pt. „Zasada pewności</w:t>
            </w:r>
            <w:r w:rsidR="00992FD0" w:rsidRPr="00EC250C">
              <w:rPr>
                <w:rFonts w:eastAsia="Calibri"/>
                <w:lang w:eastAsia="en-US"/>
              </w:rPr>
              <w:t xml:space="preserve"> w </w:t>
            </w:r>
            <w:r w:rsidRPr="00EC250C">
              <w:rPr>
                <w:rFonts w:eastAsia="Calibri"/>
                <w:lang w:eastAsia="en-US"/>
              </w:rPr>
              <w:t>prawie podatkowym-de lege lata</w:t>
            </w:r>
            <w:r w:rsidR="00992FD0" w:rsidRPr="00EC250C">
              <w:rPr>
                <w:rFonts w:eastAsia="Calibri"/>
                <w:lang w:eastAsia="en-US"/>
              </w:rPr>
              <w:t xml:space="preserve"> i </w:t>
            </w:r>
            <w:r w:rsidRPr="00EC250C">
              <w:rPr>
                <w:rFonts w:eastAsia="Calibri"/>
                <w:lang w:eastAsia="en-US"/>
              </w:rPr>
              <w:t>de lege ferenda”</w:t>
            </w:r>
          </w:p>
        </w:tc>
        <w:tc>
          <w:tcPr>
            <w:tcW w:w="2022" w:type="dxa"/>
            <w:shd w:val="clear" w:color="auto" w:fill="auto"/>
          </w:tcPr>
          <w:p w14:paraId="7CA66891" w14:textId="77777777" w:rsidR="007E515C" w:rsidRPr="00EC250C" w:rsidRDefault="007E515C" w:rsidP="00D131FA">
            <w:pPr>
              <w:pStyle w:val="Tabela"/>
              <w:jc w:val="both"/>
              <w:rPr>
                <w:rFonts w:eastAsia="Calibri"/>
                <w:lang w:eastAsia="en-US"/>
              </w:rPr>
            </w:pPr>
            <w:r w:rsidRPr="00EC250C">
              <w:rPr>
                <w:rFonts w:eastAsia="Calibri"/>
                <w:lang w:eastAsia="en-US"/>
              </w:rPr>
              <w:t>Kraków</w:t>
            </w:r>
          </w:p>
        </w:tc>
      </w:tr>
      <w:tr w:rsidR="007E515C" w:rsidRPr="00EC250C" w14:paraId="3EA4100B" w14:textId="77777777" w:rsidTr="00FC47F2">
        <w:tc>
          <w:tcPr>
            <w:tcW w:w="596" w:type="dxa"/>
            <w:shd w:val="clear" w:color="auto" w:fill="auto"/>
            <w:vAlign w:val="center"/>
          </w:tcPr>
          <w:p w14:paraId="70677D04"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4D33FAF0" w14:textId="77777777" w:rsidR="007E515C" w:rsidRPr="00EC250C" w:rsidRDefault="007E515C" w:rsidP="00D131FA">
            <w:pPr>
              <w:pStyle w:val="Tabela"/>
              <w:jc w:val="both"/>
              <w:rPr>
                <w:rFonts w:eastAsia="Calibri"/>
                <w:lang w:eastAsia="en-US"/>
              </w:rPr>
            </w:pPr>
            <w:r w:rsidRPr="00EC250C">
              <w:rPr>
                <w:rFonts w:eastAsia="Calibri"/>
                <w:lang w:eastAsia="en-US"/>
              </w:rPr>
              <w:t>Seminarium naukowe „Kobiety</w:t>
            </w:r>
            <w:r w:rsidR="00992FD0" w:rsidRPr="00EC250C">
              <w:rPr>
                <w:rFonts w:eastAsia="Calibri"/>
                <w:lang w:eastAsia="en-US"/>
              </w:rPr>
              <w:t xml:space="preserve"> i </w:t>
            </w:r>
            <w:r w:rsidRPr="00EC250C">
              <w:rPr>
                <w:rFonts w:eastAsia="Calibri"/>
                <w:lang w:eastAsia="en-US"/>
              </w:rPr>
              <w:t>Bezpieczeństwo”</w:t>
            </w:r>
          </w:p>
        </w:tc>
        <w:tc>
          <w:tcPr>
            <w:tcW w:w="2022" w:type="dxa"/>
            <w:shd w:val="clear" w:color="auto" w:fill="auto"/>
          </w:tcPr>
          <w:p w14:paraId="5E2EA606"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33FE7ABE" w14:textId="77777777" w:rsidTr="00FC47F2">
        <w:tc>
          <w:tcPr>
            <w:tcW w:w="596" w:type="dxa"/>
            <w:shd w:val="clear" w:color="auto" w:fill="auto"/>
            <w:vAlign w:val="center"/>
          </w:tcPr>
          <w:p w14:paraId="370843FF"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3256AD9" w14:textId="77777777" w:rsidR="007E515C" w:rsidRPr="00EC250C" w:rsidRDefault="007E515C" w:rsidP="00D131FA">
            <w:pPr>
              <w:pStyle w:val="Tabela"/>
              <w:jc w:val="both"/>
              <w:rPr>
                <w:rFonts w:eastAsia="Calibri"/>
                <w:lang w:eastAsia="en-US"/>
              </w:rPr>
            </w:pPr>
            <w:r w:rsidRPr="00EC250C">
              <w:rPr>
                <w:rFonts w:eastAsia="Calibri"/>
                <w:lang w:eastAsia="en-US"/>
              </w:rPr>
              <w:t>Konferencja pt. „Problemy przemocy domowej</w:t>
            </w:r>
            <w:r w:rsidR="00992FD0" w:rsidRPr="00EC250C">
              <w:rPr>
                <w:rFonts w:eastAsia="Calibri"/>
                <w:lang w:eastAsia="en-US"/>
              </w:rPr>
              <w:t xml:space="preserve"> i </w:t>
            </w:r>
            <w:r w:rsidRPr="00EC250C">
              <w:rPr>
                <w:rFonts w:eastAsia="Calibri"/>
                <w:lang w:eastAsia="en-US"/>
              </w:rPr>
              <w:t>instytucjonalnej</w:t>
            </w:r>
            <w:r w:rsidR="00CC4D88" w:rsidRPr="00EC250C">
              <w:rPr>
                <w:rFonts w:eastAsia="Calibri"/>
                <w:lang w:eastAsia="en-US"/>
              </w:rPr>
              <w:t xml:space="preserve"> </w:t>
            </w:r>
            <w:r w:rsidRPr="00EC250C">
              <w:rPr>
                <w:rFonts w:eastAsia="Calibri"/>
                <w:lang w:eastAsia="en-US"/>
              </w:rPr>
              <w:t>wobec osób dorosłych</w:t>
            </w:r>
            <w:r w:rsidR="00992FD0" w:rsidRPr="00EC250C">
              <w:rPr>
                <w:rFonts w:eastAsia="Calibri"/>
                <w:lang w:eastAsia="en-US"/>
              </w:rPr>
              <w:t xml:space="preserve"> i </w:t>
            </w:r>
            <w:r w:rsidRPr="00EC250C">
              <w:rPr>
                <w:rFonts w:eastAsia="Calibri"/>
                <w:lang w:eastAsia="en-US"/>
              </w:rPr>
              <w:t>starszych”</w:t>
            </w:r>
          </w:p>
        </w:tc>
        <w:tc>
          <w:tcPr>
            <w:tcW w:w="2022" w:type="dxa"/>
            <w:shd w:val="clear" w:color="auto" w:fill="auto"/>
          </w:tcPr>
          <w:p w14:paraId="5D80DF2C"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4B950A1C" w14:textId="77777777" w:rsidTr="00FC47F2">
        <w:tc>
          <w:tcPr>
            <w:tcW w:w="596" w:type="dxa"/>
            <w:shd w:val="clear" w:color="auto" w:fill="auto"/>
            <w:vAlign w:val="center"/>
          </w:tcPr>
          <w:p w14:paraId="44B7AA1C"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505BAE7" w14:textId="77777777" w:rsidR="007E515C" w:rsidRPr="00EC250C" w:rsidRDefault="007E515C" w:rsidP="00D131FA">
            <w:pPr>
              <w:pStyle w:val="Tabela"/>
              <w:jc w:val="both"/>
              <w:rPr>
                <w:rFonts w:eastAsia="Calibri"/>
                <w:lang w:eastAsia="en-US"/>
              </w:rPr>
            </w:pPr>
            <w:r w:rsidRPr="00EC250C">
              <w:rPr>
                <w:rFonts w:eastAsia="Calibri"/>
                <w:lang w:eastAsia="en-US"/>
              </w:rPr>
              <w:t>VI edycja Karty Różnorodności „1918-2018 od praw wyborczych do równych szans”</w:t>
            </w:r>
          </w:p>
        </w:tc>
        <w:tc>
          <w:tcPr>
            <w:tcW w:w="2022" w:type="dxa"/>
            <w:shd w:val="clear" w:color="auto" w:fill="auto"/>
          </w:tcPr>
          <w:p w14:paraId="57E01BBD"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02AA2F28" w14:textId="77777777" w:rsidTr="00FC47F2">
        <w:tc>
          <w:tcPr>
            <w:tcW w:w="596" w:type="dxa"/>
            <w:shd w:val="clear" w:color="auto" w:fill="auto"/>
            <w:vAlign w:val="center"/>
          </w:tcPr>
          <w:p w14:paraId="2FB1B5F4"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4F9E2D0D" w14:textId="77777777" w:rsidR="007E515C" w:rsidRPr="00EC250C" w:rsidRDefault="007E515C" w:rsidP="00D131FA">
            <w:pPr>
              <w:pStyle w:val="Tabela"/>
              <w:jc w:val="both"/>
              <w:rPr>
                <w:rFonts w:eastAsia="Calibri"/>
                <w:lang w:eastAsia="en-US"/>
              </w:rPr>
            </w:pPr>
            <w:r w:rsidRPr="00EC250C">
              <w:rPr>
                <w:rFonts w:eastAsia="Calibri"/>
                <w:lang w:eastAsia="en-US"/>
              </w:rPr>
              <w:t>II Dni Antydyskryminacji</w:t>
            </w:r>
          </w:p>
        </w:tc>
        <w:tc>
          <w:tcPr>
            <w:tcW w:w="2022" w:type="dxa"/>
            <w:shd w:val="clear" w:color="auto" w:fill="auto"/>
          </w:tcPr>
          <w:p w14:paraId="02333CA5" w14:textId="77777777" w:rsidR="007E515C" w:rsidRPr="00EC250C" w:rsidRDefault="007E515C" w:rsidP="00D131FA">
            <w:pPr>
              <w:pStyle w:val="Tabela"/>
              <w:jc w:val="both"/>
              <w:rPr>
                <w:rFonts w:eastAsia="Calibri"/>
                <w:lang w:eastAsia="en-US"/>
              </w:rPr>
            </w:pPr>
            <w:r w:rsidRPr="00EC250C">
              <w:rPr>
                <w:rFonts w:eastAsia="Calibri"/>
                <w:lang w:eastAsia="en-US"/>
              </w:rPr>
              <w:t>Poznań</w:t>
            </w:r>
          </w:p>
        </w:tc>
      </w:tr>
      <w:tr w:rsidR="007E515C" w:rsidRPr="00EC250C" w14:paraId="60C00657" w14:textId="77777777" w:rsidTr="00FC47F2">
        <w:tc>
          <w:tcPr>
            <w:tcW w:w="596" w:type="dxa"/>
            <w:shd w:val="clear" w:color="auto" w:fill="auto"/>
            <w:vAlign w:val="center"/>
          </w:tcPr>
          <w:p w14:paraId="55DFC143"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4060CDE" w14:textId="77777777" w:rsidR="007E515C" w:rsidRPr="00EC250C" w:rsidRDefault="007E515C" w:rsidP="00D131FA">
            <w:pPr>
              <w:pStyle w:val="Tabela"/>
              <w:jc w:val="both"/>
              <w:rPr>
                <w:rFonts w:eastAsia="Calibri"/>
                <w:lang w:eastAsia="en-US"/>
              </w:rPr>
            </w:pPr>
            <w:r w:rsidRPr="00EC250C">
              <w:rPr>
                <w:rFonts w:eastAsia="Calibri"/>
                <w:lang w:eastAsia="en-US"/>
              </w:rPr>
              <w:t>V edycja Przeglądu Innowacji</w:t>
            </w:r>
            <w:r w:rsidR="00992FD0" w:rsidRPr="00EC250C">
              <w:rPr>
                <w:rFonts w:eastAsia="Calibri"/>
                <w:lang w:eastAsia="en-US"/>
              </w:rPr>
              <w:t xml:space="preserve"> i </w:t>
            </w:r>
            <w:r w:rsidRPr="00EC250C">
              <w:rPr>
                <w:rFonts w:eastAsia="Calibri"/>
                <w:lang w:eastAsia="en-US"/>
              </w:rPr>
              <w:t>Twórczości</w:t>
            </w:r>
            <w:r w:rsidR="00992FD0" w:rsidRPr="00EC250C">
              <w:rPr>
                <w:rFonts w:eastAsia="Calibri"/>
                <w:lang w:eastAsia="en-US"/>
              </w:rPr>
              <w:t xml:space="preserve"> w </w:t>
            </w:r>
            <w:r w:rsidRPr="00EC250C">
              <w:rPr>
                <w:rFonts w:eastAsia="Calibri"/>
                <w:lang w:eastAsia="en-US"/>
              </w:rPr>
              <w:t>Edukacji</w:t>
            </w:r>
          </w:p>
        </w:tc>
        <w:tc>
          <w:tcPr>
            <w:tcW w:w="2022" w:type="dxa"/>
            <w:shd w:val="clear" w:color="auto" w:fill="auto"/>
          </w:tcPr>
          <w:p w14:paraId="77285133" w14:textId="77777777" w:rsidR="007E515C" w:rsidRPr="00EC250C" w:rsidRDefault="007E515C" w:rsidP="00D131FA">
            <w:pPr>
              <w:pStyle w:val="Tabela"/>
              <w:jc w:val="both"/>
              <w:rPr>
                <w:rFonts w:eastAsia="Calibri"/>
                <w:lang w:eastAsia="en-US"/>
              </w:rPr>
            </w:pPr>
            <w:r w:rsidRPr="00EC250C">
              <w:rPr>
                <w:rFonts w:eastAsia="Calibri"/>
                <w:lang w:eastAsia="en-US"/>
              </w:rPr>
              <w:t>Łódź</w:t>
            </w:r>
          </w:p>
        </w:tc>
      </w:tr>
      <w:tr w:rsidR="007E515C" w:rsidRPr="00EC250C" w14:paraId="14F1757C" w14:textId="77777777" w:rsidTr="00FC47F2">
        <w:tc>
          <w:tcPr>
            <w:tcW w:w="596" w:type="dxa"/>
            <w:shd w:val="clear" w:color="auto" w:fill="auto"/>
            <w:vAlign w:val="center"/>
          </w:tcPr>
          <w:p w14:paraId="41C01857"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1728831" w14:textId="77777777" w:rsidR="007E515C" w:rsidRPr="00EC250C" w:rsidRDefault="007E515C" w:rsidP="00D131FA">
            <w:pPr>
              <w:pStyle w:val="Tabela"/>
              <w:jc w:val="both"/>
              <w:rPr>
                <w:rFonts w:eastAsia="Calibri"/>
                <w:lang w:eastAsia="en-US"/>
              </w:rPr>
            </w:pPr>
            <w:r w:rsidRPr="00EC250C">
              <w:rPr>
                <w:rFonts w:eastAsia="Calibri"/>
                <w:lang w:eastAsia="en-US"/>
              </w:rPr>
              <w:t>Program „Biznes</w:t>
            </w:r>
            <w:r w:rsidR="00992FD0" w:rsidRPr="00EC250C">
              <w:rPr>
                <w:rFonts w:eastAsia="Calibri"/>
                <w:lang w:eastAsia="en-US"/>
              </w:rPr>
              <w:t xml:space="preserve"> i </w:t>
            </w:r>
            <w:r w:rsidRPr="00EC250C">
              <w:rPr>
                <w:rFonts w:eastAsia="Calibri"/>
                <w:lang w:eastAsia="en-US"/>
              </w:rPr>
              <w:t>Prawa Człowieka</w:t>
            </w:r>
            <w:r w:rsidR="00026572" w:rsidRPr="00EC250C">
              <w:rPr>
                <w:rFonts w:eastAsia="Calibri"/>
                <w:lang w:eastAsia="en-US"/>
              </w:rPr>
              <w:t xml:space="preserve"> – </w:t>
            </w:r>
            <w:r w:rsidRPr="00EC250C">
              <w:rPr>
                <w:rFonts w:eastAsia="Calibri"/>
                <w:lang w:eastAsia="en-US"/>
              </w:rPr>
              <w:t>Standard Etyki</w:t>
            </w:r>
            <w:r w:rsidR="00992FD0" w:rsidRPr="00EC250C">
              <w:rPr>
                <w:rFonts w:eastAsia="Calibri"/>
                <w:lang w:eastAsia="en-US"/>
              </w:rPr>
              <w:t xml:space="preserve"> w </w:t>
            </w:r>
            <w:r w:rsidRPr="00EC250C">
              <w:rPr>
                <w:rFonts w:eastAsia="Calibri"/>
                <w:lang w:eastAsia="en-US"/>
              </w:rPr>
              <w:t>Polsce”</w:t>
            </w:r>
          </w:p>
        </w:tc>
        <w:tc>
          <w:tcPr>
            <w:tcW w:w="2022" w:type="dxa"/>
            <w:shd w:val="clear" w:color="auto" w:fill="auto"/>
          </w:tcPr>
          <w:p w14:paraId="21DF7753" w14:textId="77777777" w:rsidR="007E515C" w:rsidRPr="00EC250C" w:rsidRDefault="007E515C" w:rsidP="00D131FA">
            <w:pPr>
              <w:pStyle w:val="Tabela"/>
              <w:jc w:val="both"/>
              <w:rPr>
                <w:rFonts w:eastAsia="Calibri"/>
                <w:lang w:eastAsia="en-US"/>
              </w:rPr>
            </w:pPr>
          </w:p>
        </w:tc>
      </w:tr>
      <w:tr w:rsidR="007E515C" w:rsidRPr="00EC250C" w14:paraId="32F805CF" w14:textId="77777777" w:rsidTr="00FC47F2">
        <w:tc>
          <w:tcPr>
            <w:tcW w:w="596" w:type="dxa"/>
            <w:shd w:val="clear" w:color="auto" w:fill="auto"/>
            <w:vAlign w:val="center"/>
          </w:tcPr>
          <w:p w14:paraId="0E34DC38"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1CF11B16" w14:textId="77777777" w:rsidR="007E515C" w:rsidRPr="00EC250C" w:rsidRDefault="007E515C" w:rsidP="00D131FA">
            <w:pPr>
              <w:pStyle w:val="Tabela"/>
              <w:jc w:val="both"/>
              <w:rPr>
                <w:rFonts w:eastAsia="Calibri"/>
                <w:lang w:eastAsia="en-US"/>
              </w:rPr>
            </w:pPr>
            <w:r w:rsidRPr="00EC250C">
              <w:rPr>
                <w:rFonts w:eastAsia="Calibri"/>
                <w:lang w:eastAsia="en-US"/>
              </w:rPr>
              <w:t>Etnoliga</w:t>
            </w:r>
            <w:r w:rsidR="00992FD0" w:rsidRPr="00EC250C">
              <w:rPr>
                <w:rFonts w:eastAsia="Calibri"/>
                <w:lang w:eastAsia="en-US"/>
              </w:rPr>
              <w:t xml:space="preserve"> w </w:t>
            </w:r>
            <w:r w:rsidRPr="00EC250C">
              <w:rPr>
                <w:rFonts w:eastAsia="Calibri"/>
                <w:lang w:eastAsia="en-US"/>
              </w:rPr>
              <w:t>2018</w:t>
            </w:r>
            <w:r w:rsidR="00C91F6E" w:rsidRPr="00EC250C">
              <w:rPr>
                <w:rFonts w:eastAsia="Calibri"/>
                <w:lang w:eastAsia="en-US"/>
              </w:rPr>
              <w:t> r.</w:t>
            </w:r>
          </w:p>
        </w:tc>
        <w:tc>
          <w:tcPr>
            <w:tcW w:w="2022" w:type="dxa"/>
            <w:shd w:val="clear" w:color="auto" w:fill="auto"/>
          </w:tcPr>
          <w:p w14:paraId="68A8E8CE"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2D98CF7C" w14:textId="77777777" w:rsidTr="00FC47F2">
        <w:tc>
          <w:tcPr>
            <w:tcW w:w="596" w:type="dxa"/>
            <w:shd w:val="clear" w:color="auto" w:fill="auto"/>
            <w:vAlign w:val="center"/>
          </w:tcPr>
          <w:p w14:paraId="7003A59F"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6F5B348" w14:textId="77777777" w:rsidR="007E515C" w:rsidRPr="00EC250C" w:rsidRDefault="007E515C" w:rsidP="00D131FA">
            <w:pPr>
              <w:pStyle w:val="Tabela"/>
              <w:jc w:val="both"/>
              <w:rPr>
                <w:rFonts w:eastAsia="Calibri"/>
                <w:lang w:eastAsia="en-US"/>
              </w:rPr>
            </w:pPr>
            <w:r w:rsidRPr="00EC250C">
              <w:rPr>
                <w:rFonts w:eastAsia="Calibri"/>
                <w:lang w:eastAsia="en-US"/>
              </w:rPr>
              <w:t>Dzień Edukacji Prawnej-Iustitia</w:t>
            </w:r>
          </w:p>
        </w:tc>
        <w:tc>
          <w:tcPr>
            <w:tcW w:w="2022" w:type="dxa"/>
            <w:shd w:val="clear" w:color="auto" w:fill="auto"/>
          </w:tcPr>
          <w:p w14:paraId="2AEBA800"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537412D2" w14:textId="77777777" w:rsidTr="00FC47F2">
        <w:tc>
          <w:tcPr>
            <w:tcW w:w="596" w:type="dxa"/>
            <w:shd w:val="clear" w:color="auto" w:fill="auto"/>
            <w:vAlign w:val="center"/>
          </w:tcPr>
          <w:p w14:paraId="5A5C8676"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2A9F4279" w14:textId="77777777" w:rsidR="007E515C" w:rsidRPr="00EC250C" w:rsidRDefault="007E515C" w:rsidP="00D131FA">
            <w:pPr>
              <w:pStyle w:val="Tabela"/>
              <w:jc w:val="both"/>
              <w:rPr>
                <w:rFonts w:eastAsia="Calibri"/>
                <w:lang w:eastAsia="en-US"/>
              </w:rPr>
            </w:pPr>
            <w:r w:rsidRPr="00EC250C">
              <w:rPr>
                <w:rFonts w:eastAsia="Calibri"/>
                <w:lang w:eastAsia="en-US"/>
              </w:rPr>
              <w:t>I Kongres Suicydologiczny</w:t>
            </w:r>
          </w:p>
        </w:tc>
        <w:tc>
          <w:tcPr>
            <w:tcW w:w="2022" w:type="dxa"/>
            <w:shd w:val="clear" w:color="auto" w:fill="auto"/>
          </w:tcPr>
          <w:p w14:paraId="3AC5DB1F" w14:textId="77777777" w:rsidR="007E515C" w:rsidRPr="00EC250C" w:rsidRDefault="007E515C" w:rsidP="00D131FA">
            <w:pPr>
              <w:pStyle w:val="Tabela"/>
              <w:jc w:val="both"/>
              <w:rPr>
                <w:rFonts w:eastAsia="Calibri"/>
                <w:lang w:eastAsia="en-US"/>
              </w:rPr>
            </w:pPr>
            <w:r w:rsidRPr="00EC250C">
              <w:rPr>
                <w:rFonts w:eastAsia="Calibri"/>
                <w:lang w:eastAsia="en-US"/>
              </w:rPr>
              <w:t>Łódź</w:t>
            </w:r>
          </w:p>
        </w:tc>
      </w:tr>
      <w:tr w:rsidR="007E515C" w:rsidRPr="00EC250C" w14:paraId="5595482C" w14:textId="77777777" w:rsidTr="00FC47F2">
        <w:tc>
          <w:tcPr>
            <w:tcW w:w="596" w:type="dxa"/>
            <w:shd w:val="clear" w:color="auto" w:fill="auto"/>
            <w:vAlign w:val="center"/>
          </w:tcPr>
          <w:p w14:paraId="2702E4F9"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3516E067" w14:textId="77777777" w:rsidR="007E515C" w:rsidRPr="00EC250C" w:rsidRDefault="007E515C" w:rsidP="00D131FA">
            <w:pPr>
              <w:pStyle w:val="Tabela"/>
              <w:jc w:val="both"/>
              <w:rPr>
                <w:rFonts w:eastAsia="Calibri"/>
                <w:lang w:eastAsia="en-US"/>
              </w:rPr>
            </w:pPr>
            <w:r w:rsidRPr="00EC250C">
              <w:rPr>
                <w:rFonts w:eastAsia="Calibri"/>
                <w:lang w:eastAsia="en-US"/>
              </w:rPr>
              <w:t>XXI Ogólnopolska Olimpiada Języka Migowego</w:t>
            </w:r>
            <w:r w:rsidR="00992FD0" w:rsidRPr="00EC250C">
              <w:rPr>
                <w:rFonts w:eastAsia="Calibri"/>
                <w:lang w:eastAsia="en-US"/>
              </w:rPr>
              <w:t xml:space="preserve"> i </w:t>
            </w:r>
            <w:r w:rsidRPr="00EC250C">
              <w:rPr>
                <w:rFonts w:eastAsia="Calibri"/>
                <w:lang w:eastAsia="en-US"/>
              </w:rPr>
              <w:t xml:space="preserve">Miganego Młodzieży Niesłyszącej Szkół Ponadgimnazjalnych </w:t>
            </w:r>
          </w:p>
        </w:tc>
        <w:tc>
          <w:tcPr>
            <w:tcW w:w="2022" w:type="dxa"/>
            <w:shd w:val="clear" w:color="auto" w:fill="auto"/>
          </w:tcPr>
          <w:p w14:paraId="49AB8EE2" w14:textId="77777777" w:rsidR="007E515C" w:rsidRPr="00EC250C" w:rsidRDefault="007E515C" w:rsidP="00D131FA">
            <w:pPr>
              <w:pStyle w:val="Tabela"/>
              <w:jc w:val="both"/>
              <w:rPr>
                <w:rFonts w:eastAsia="Calibri"/>
                <w:lang w:eastAsia="en-US"/>
              </w:rPr>
            </w:pPr>
            <w:r w:rsidRPr="00EC250C">
              <w:rPr>
                <w:rFonts w:eastAsia="Calibri"/>
                <w:lang w:eastAsia="en-US"/>
              </w:rPr>
              <w:t>Kielce</w:t>
            </w:r>
          </w:p>
        </w:tc>
      </w:tr>
      <w:tr w:rsidR="007E515C" w:rsidRPr="00EC250C" w14:paraId="61D4201D" w14:textId="77777777" w:rsidTr="00FC47F2">
        <w:tc>
          <w:tcPr>
            <w:tcW w:w="596" w:type="dxa"/>
            <w:shd w:val="clear" w:color="auto" w:fill="auto"/>
            <w:vAlign w:val="center"/>
          </w:tcPr>
          <w:p w14:paraId="5AFE922E"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733AD283" w14:textId="77777777" w:rsidR="007E515C" w:rsidRPr="00EC250C" w:rsidRDefault="007E515C" w:rsidP="00D131FA">
            <w:pPr>
              <w:pStyle w:val="Tabela"/>
              <w:jc w:val="both"/>
              <w:rPr>
                <w:rFonts w:eastAsia="Calibri"/>
                <w:lang w:eastAsia="en-US"/>
              </w:rPr>
            </w:pPr>
            <w:r w:rsidRPr="00EC250C">
              <w:rPr>
                <w:rFonts w:eastAsia="Calibri"/>
                <w:lang w:eastAsia="en-US"/>
              </w:rPr>
              <w:t>Wydarzenie Miłość na scenie życia-z okazji Światowego Dnia Godności Osób</w:t>
            </w:r>
            <w:r w:rsidR="00992FD0" w:rsidRPr="00EC250C">
              <w:rPr>
                <w:rFonts w:eastAsia="Calibri"/>
                <w:lang w:eastAsia="en-US"/>
              </w:rPr>
              <w:t xml:space="preserve"> z </w:t>
            </w:r>
            <w:r w:rsidRPr="00EC250C">
              <w:rPr>
                <w:rFonts w:eastAsia="Calibri"/>
                <w:lang w:eastAsia="en-US"/>
              </w:rPr>
              <w:t xml:space="preserve">Niepełnosprawnością Intelektualną </w:t>
            </w:r>
          </w:p>
        </w:tc>
        <w:tc>
          <w:tcPr>
            <w:tcW w:w="2022" w:type="dxa"/>
            <w:shd w:val="clear" w:color="auto" w:fill="auto"/>
          </w:tcPr>
          <w:p w14:paraId="32AAE9B2" w14:textId="77777777" w:rsidR="007E515C" w:rsidRPr="00EC250C" w:rsidRDefault="007E515C" w:rsidP="00D131FA">
            <w:pPr>
              <w:pStyle w:val="Tabela"/>
              <w:jc w:val="both"/>
              <w:rPr>
                <w:rFonts w:eastAsia="Calibri"/>
                <w:lang w:eastAsia="en-US"/>
              </w:rPr>
            </w:pPr>
            <w:r w:rsidRPr="00EC250C">
              <w:rPr>
                <w:rFonts w:eastAsia="Calibri"/>
                <w:lang w:eastAsia="en-US"/>
              </w:rPr>
              <w:t>Warszawa/Białołęka</w:t>
            </w:r>
          </w:p>
        </w:tc>
      </w:tr>
      <w:tr w:rsidR="007E515C" w:rsidRPr="00EC250C" w14:paraId="352CD9EE" w14:textId="77777777" w:rsidTr="00FC47F2">
        <w:tc>
          <w:tcPr>
            <w:tcW w:w="596" w:type="dxa"/>
            <w:shd w:val="clear" w:color="auto" w:fill="auto"/>
            <w:vAlign w:val="center"/>
          </w:tcPr>
          <w:p w14:paraId="21E0D932"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49F912C7" w14:textId="77777777" w:rsidR="007E515C" w:rsidRPr="00EC250C" w:rsidRDefault="007E515C" w:rsidP="00D131FA">
            <w:pPr>
              <w:pStyle w:val="Tabela"/>
              <w:jc w:val="both"/>
              <w:rPr>
                <w:rFonts w:eastAsia="Calibri"/>
                <w:lang w:eastAsia="en-US"/>
              </w:rPr>
            </w:pPr>
            <w:r w:rsidRPr="00EC250C">
              <w:rPr>
                <w:rFonts w:eastAsia="Calibri"/>
                <w:lang w:eastAsia="en-US"/>
              </w:rPr>
              <w:t>I Targi Wiedzy</w:t>
            </w:r>
            <w:r w:rsidR="00992FD0" w:rsidRPr="00EC250C">
              <w:rPr>
                <w:rFonts w:eastAsia="Calibri"/>
                <w:lang w:eastAsia="en-US"/>
              </w:rPr>
              <w:t xml:space="preserve"> o </w:t>
            </w:r>
            <w:r w:rsidRPr="00EC250C">
              <w:rPr>
                <w:rFonts w:eastAsia="Calibri"/>
                <w:lang w:eastAsia="en-US"/>
              </w:rPr>
              <w:t>Autyzmie</w:t>
            </w:r>
            <w:r w:rsidR="00992FD0" w:rsidRPr="00EC250C">
              <w:rPr>
                <w:rFonts w:eastAsia="Calibri"/>
                <w:lang w:eastAsia="en-US"/>
              </w:rPr>
              <w:t xml:space="preserve"> i </w:t>
            </w:r>
            <w:r w:rsidRPr="00EC250C">
              <w:rPr>
                <w:rFonts w:eastAsia="Calibri"/>
                <w:lang w:eastAsia="en-US"/>
              </w:rPr>
              <w:t xml:space="preserve">Zespole Aspergera </w:t>
            </w:r>
          </w:p>
        </w:tc>
        <w:tc>
          <w:tcPr>
            <w:tcW w:w="2022" w:type="dxa"/>
            <w:shd w:val="clear" w:color="auto" w:fill="auto"/>
          </w:tcPr>
          <w:p w14:paraId="73523E4C" w14:textId="77777777" w:rsidR="007E515C" w:rsidRPr="00EC250C" w:rsidRDefault="007E515C" w:rsidP="00D131FA">
            <w:pPr>
              <w:pStyle w:val="Tabela"/>
              <w:jc w:val="both"/>
              <w:rPr>
                <w:rFonts w:eastAsia="Calibri"/>
                <w:lang w:eastAsia="en-US"/>
              </w:rPr>
            </w:pPr>
            <w:r w:rsidRPr="00EC250C">
              <w:rPr>
                <w:rFonts w:eastAsia="Calibri"/>
                <w:lang w:eastAsia="en-US"/>
              </w:rPr>
              <w:t>Białystok</w:t>
            </w:r>
          </w:p>
        </w:tc>
      </w:tr>
      <w:tr w:rsidR="007E515C" w:rsidRPr="00EC250C" w14:paraId="442BD790" w14:textId="77777777" w:rsidTr="00FC47F2">
        <w:tc>
          <w:tcPr>
            <w:tcW w:w="596" w:type="dxa"/>
            <w:shd w:val="clear" w:color="auto" w:fill="auto"/>
            <w:vAlign w:val="center"/>
          </w:tcPr>
          <w:p w14:paraId="14B13DBB"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E99E03C" w14:textId="77777777" w:rsidR="007E515C" w:rsidRPr="00EC250C" w:rsidRDefault="007E515C" w:rsidP="00D131FA">
            <w:pPr>
              <w:pStyle w:val="Tabela"/>
              <w:jc w:val="both"/>
              <w:rPr>
                <w:rFonts w:eastAsia="Calibri"/>
                <w:lang w:eastAsia="en-US"/>
              </w:rPr>
            </w:pPr>
            <w:r w:rsidRPr="00EC250C">
              <w:rPr>
                <w:rFonts w:eastAsia="Calibri"/>
                <w:lang w:eastAsia="en-US"/>
              </w:rPr>
              <w:t>VI Międzynarodowa konferencja naukowa pt. „Konstytucje państw nowożytnych</w:t>
            </w:r>
            <w:r w:rsidR="00026572" w:rsidRPr="00EC250C">
              <w:rPr>
                <w:rFonts w:eastAsia="Calibri"/>
                <w:lang w:eastAsia="en-US"/>
              </w:rPr>
              <w:t xml:space="preserve"> – </w:t>
            </w:r>
            <w:r w:rsidRPr="00EC250C">
              <w:rPr>
                <w:rFonts w:eastAsia="Calibri"/>
                <w:lang w:eastAsia="en-US"/>
              </w:rPr>
              <w:t>historia</w:t>
            </w:r>
            <w:r w:rsidR="00992FD0" w:rsidRPr="00EC250C">
              <w:rPr>
                <w:rFonts w:eastAsia="Calibri"/>
                <w:lang w:eastAsia="en-US"/>
              </w:rPr>
              <w:t xml:space="preserve"> i </w:t>
            </w:r>
            <w:r w:rsidRPr="00EC250C">
              <w:rPr>
                <w:rFonts w:eastAsia="Calibri"/>
                <w:lang w:eastAsia="en-US"/>
              </w:rPr>
              <w:t xml:space="preserve">współczesność” </w:t>
            </w:r>
          </w:p>
        </w:tc>
        <w:tc>
          <w:tcPr>
            <w:tcW w:w="2022" w:type="dxa"/>
            <w:shd w:val="clear" w:color="auto" w:fill="auto"/>
          </w:tcPr>
          <w:p w14:paraId="203C4B92" w14:textId="77777777" w:rsidR="007E515C" w:rsidRPr="00EC250C" w:rsidRDefault="007E515C" w:rsidP="00D131FA">
            <w:pPr>
              <w:pStyle w:val="Tabela"/>
              <w:jc w:val="both"/>
              <w:rPr>
                <w:rFonts w:eastAsia="Calibri"/>
                <w:lang w:eastAsia="en-US"/>
              </w:rPr>
            </w:pPr>
            <w:r w:rsidRPr="00EC250C">
              <w:rPr>
                <w:rFonts w:eastAsia="Calibri"/>
                <w:lang w:eastAsia="en-US"/>
              </w:rPr>
              <w:t>Toruń</w:t>
            </w:r>
          </w:p>
        </w:tc>
      </w:tr>
      <w:tr w:rsidR="007E515C" w:rsidRPr="00EC250C" w14:paraId="62A38763" w14:textId="77777777" w:rsidTr="00FC47F2">
        <w:tc>
          <w:tcPr>
            <w:tcW w:w="596" w:type="dxa"/>
            <w:shd w:val="clear" w:color="auto" w:fill="auto"/>
            <w:vAlign w:val="center"/>
          </w:tcPr>
          <w:p w14:paraId="60F979A4"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DBC699C" w14:textId="77777777" w:rsidR="007E515C" w:rsidRPr="00EC250C" w:rsidRDefault="007E515C" w:rsidP="00D131FA">
            <w:pPr>
              <w:pStyle w:val="Tabela"/>
              <w:jc w:val="both"/>
              <w:rPr>
                <w:rFonts w:eastAsia="Calibri"/>
                <w:lang w:eastAsia="en-US"/>
              </w:rPr>
            </w:pPr>
            <w:r w:rsidRPr="00EC250C">
              <w:rPr>
                <w:rFonts w:eastAsia="Calibri"/>
                <w:lang w:eastAsia="en-US"/>
              </w:rPr>
              <w:t>Konferencja naukowo-szkoleniowa pt. „Pacjent</w:t>
            </w:r>
            <w:r w:rsidR="00992FD0" w:rsidRPr="00EC250C">
              <w:rPr>
                <w:rFonts w:eastAsia="Calibri"/>
                <w:lang w:eastAsia="en-US"/>
              </w:rPr>
              <w:t xml:space="preserve"> w </w:t>
            </w:r>
            <w:r w:rsidRPr="00EC250C">
              <w:rPr>
                <w:rFonts w:eastAsia="Calibri"/>
                <w:lang w:eastAsia="en-US"/>
              </w:rPr>
              <w:t>obliczu reform systemu ochrony zdrowia”</w:t>
            </w:r>
          </w:p>
        </w:tc>
        <w:tc>
          <w:tcPr>
            <w:tcW w:w="2022" w:type="dxa"/>
            <w:shd w:val="clear" w:color="auto" w:fill="auto"/>
          </w:tcPr>
          <w:p w14:paraId="202C6821" w14:textId="77777777" w:rsidR="007E515C" w:rsidRPr="00EC250C" w:rsidRDefault="007E515C" w:rsidP="00D131FA">
            <w:pPr>
              <w:pStyle w:val="Tabela"/>
              <w:jc w:val="both"/>
              <w:rPr>
                <w:rFonts w:eastAsia="Calibri"/>
                <w:lang w:eastAsia="en-US"/>
              </w:rPr>
            </w:pPr>
            <w:r w:rsidRPr="00EC250C">
              <w:rPr>
                <w:rFonts w:eastAsia="Calibri"/>
                <w:lang w:eastAsia="en-US"/>
              </w:rPr>
              <w:t>Poznań</w:t>
            </w:r>
          </w:p>
        </w:tc>
      </w:tr>
      <w:tr w:rsidR="007E515C" w:rsidRPr="00EC250C" w14:paraId="708EA3AB" w14:textId="77777777" w:rsidTr="00FC47F2">
        <w:tc>
          <w:tcPr>
            <w:tcW w:w="596" w:type="dxa"/>
            <w:shd w:val="clear" w:color="auto" w:fill="auto"/>
            <w:vAlign w:val="center"/>
          </w:tcPr>
          <w:p w14:paraId="368DD328"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79EA7879" w14:textId="77777777" w:rsidR="007E515C" w:rsidRPr="00EC250C" w:rsidRDefault="007E515C" w:rsidP="00D131FA">
            <w:pPr>
              <w:pStyle w:val="Tabela"/>
              <w:jc w:val="both"/>
              <w:rPr>
                <w:rFonts w:eastAsia="Calibri"/>
                <w:lang w:eastAsia="en-US"/>
              </w:rPr>
            </w:pPr>
            <w:r w:rsidRPr="00EC250C">
              <w:rPr>
                <w:rFonts w:eastAsia="Calibri"/>
                <w:lang w:eastAsia="en-US"/>
              </w:rPr>
              <w:t>V Ogólnopolski Zjazd Karnistów</w:t>
            </w:r>
          </w:p>
        </w:tc>
        <w:tc>
          <w:tcPr>
            <w:tcW w:w="2022" w:type="dxa"/>
            <w:shd w:val="clear" w:color="auto" w:fill="auto"/>
          </w:tcPr>
          <w:p w14:paraId="331CBD15" w14:textId="77777777" w:rsidR="007E515C" w:rsidRPr="00EC250C" w:rsidRDefault="007E515C" w:rsidP="00D131FA">
            <w:pPr>
              <w:pStyle w:val="Tabela"/>
              <w:jc w:val="both"/>
              <w:rPr>
                <w:rFonts w:eastAsia="Calibri"/>
                <w:lang w:eastAsia="en-US"/>
              </w:rPr>
            </w:pPr>
            <w:r w:rsidRPr="00EC250C">
              <w:rPr>
                <w:rFonts w:eastAsia="Calibri"/>
                <w:lang w:eastAsia="en-US"/>
              </w:rPr>
              <w:t>Poznań</w:t>
            </w:r>
          </w:p>
        </w:tc>
      </w:tr>
      <w:tr w:rsidR="007E515C" w:rsidRPr="00EC250C" w14:paraId="29EB1CD6" w14:textId="77777777" w:rsidTr="00FC47F2">
        <w:tc>
          <w:tcPr>
            <w:tcW w:w="596" w:type="dxa"/>
            <w:shd w:val="clear" w:color="auto" w:fill="auto"/>
            <w:vAlign w:val="center"/>
          </w:tcPr>
          <w:p w14:paraId="2B29DD8B"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024F23F" w14:textId="77777777" w:rsidR="007E515C" w:rsidRPr="00EC250C" w:rsidRDefault="007E515C" w:rsidP="00D131FA">
            <w:pPr>
              <w:pStyle w:val="Tabela"/>
              <w:jc w:val="both"/>
              <w:rPr>
                <w:rFonts w:eastAsia="Calibri"/>
                <w:lang w:eastAsia="en-US"/>
              </w:rPr>
            </w:pPr>
            <w:r w:rsidRPr="00EC250C">
              <w:rPr>
                <w:rFonts w:eastAsia="Calibri"/>
                <w:lang w:eastAsia="en-US"/>
              </w:rPr>
              <w:t>Konferencja</w:t>
            </w:r>
            <w:r w:rsidR="00992FD0" w:rsidRPr="00EC250C">
              <w:rPr>
                <w:rFonts w:eastAsia="Calibri"/>
                <w:lang w:eastAsia="en-US"/>
              </w:rPr>
              <w:t xml:space="preserve"> z </w:t>
            </w:r>
            <w:r w:rsidRPr="00EC250C">
              <w:rPr>
                <w:rFonts w:eastAsia="Calibri"/>
                <w:lang w:eastAsia="en-US"/>
              </w:rPr>
              <w:t>okazji 70 rocznicy Konwencji ONZ</w:t>
            </w:r>
            <w:r w:rsidR="00992FD0" w:rsidRPr="00EC250C">
              <w:rPr>
                <w:rFonts w:eastAsia="Calibri"/>
                <w:lang w:eastAsia="en-US"/>
              </w:rPr>
              <w:t xml:space="preserve"> w </w:t>
            </w:r>
            <w:r w:rsidRPr="00EC250C">
              <w:rPr>
                <w:rFonts w:eastAsia="Calibri"/>
                <w:lang w:eastAsia="en-US"/>
              </w:rPr>
              <w:t>sprawie zapobiegania</w:t>
            </w:r>
            <w:r w:rsidR="00992FD0" w:rsidRPr="00EC250C">
              <w:rPr>
                <w:rFonts w:eastAsia="Calibri"/>
                <w:lang w:eastAsia="en-US"/>
              </w:rPr>
              <w:t xml:space="preserve"> i </w:t>
            </w:r>
            <w:r w:rsidRPr="00EC250C">
              <w:rPr>
                <w:rFonts w:eastAsia="Calibri"/>
                <w:lang w:eastAsia="en-US"/>
              </w:rPr>
              <w:t xml:space="preserve">karania zbrodni ludobójstwa </w:t>
            </w:r>
          </w:p>
        </w:tc>
        <w:tc>
          <w:tcPr>
            <w:tcW w:w="2022" w:type="dxa"/>
            <w:shd w:val="clear" w:color="auto" w:fill="auto"/>
          </w:tcPr>
          <w:p w14:paraId="246DF8B6" w14:textId="77777777" w:rsidR="007E515C" w:rsidRPr="00EC250C" w:rsidRDefault="007E515C" w:rsidP="00D131FA">
            <w:pPr>
              <w:pStyle w:val="Tabela"/>
              <w:jc w:val="both"/>
              <w:rPr>
                <w:rFonts w:eastAsia="Calibri"/>
                <w:lang w:eastAsia="en-US"/>
              </w:rPr>
            </w:pPr>
            <w:r w:rsidRPr="00EC250C">
              <w:rPr>
                <w:rFonts w:eastAsia="Calibri"/>
                <w:lang w:eastAsia="en-US"/>
              </w:rPr>
              <w:t>Kraków</w:t>
            </w:r>
          </w:p>
        </w:tc>
      </w:tr>
      <w:tr w:rsidR="007E515C" w:rsidRPr="00EC250C" w14:paraId="07CC2C14" w14:textId="77777777" w:rsidTr="00FC47F2">
        <w:tc>
          <w:tcPr>
            <w:tcW w:w="596" w:type="dxa"/>
            <w:shd w:val="clear" w:color="auto" w:fill="auto"/>
            <w:vAlign w:val="center"/>
          </w:tcPr>
          <w:p w14:paraId="3BBE00E1"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33487FE" w14:textId="77777777" w:rsidR="007E515C" w:rsidRPr="00EC250C" w:rsidRDefault="007E515C" w:rsidP="00D131FA">
            <w:pPr>
              <w:pStyle w:val="Tabela"/>
              <w:jc w:val="both"/>
              <w:rPr>
                <w:rFonts w:eastAsia="Calibri"/>
                <w:lang w:eastAsia="en-US"/>
              </w:rPr>
            </w:pPr>
            <w:r w:rsidRPr="00EC250C">
              <w:rPr>
                <w:rFonts w:eastAsia="Calibri"/>
                <w:lang w:eastAsia="en-US"/>
              </w:rPr>
              <w:t>Ogólnopolska konferencja naukowa pt. „Środki zaskarżenia prawomocnych orzeczeń</w:t>
            </w:r>
            <w:r w:rsidR="00992FD0" w:rsidRPr="00EC250C">
              <w:rPr>
                <w:rFonts w:eastAsia="Calibri"/>
                <w:lang w:eastAsia="en-US"/>
              </w:rPr>
              <w:t xml:space="preserve"> w </w:t>
            </w:r>
            <w:r w:rsidRPr="00EC250C">
              <w:rPr>
                <w:rFonts w:eastAsia="Calibri"/>
                <w:lang w:eastAsia="en-US"/>
              </w:rPr>
              <w:t xml:space="preserve">postępowaniu cywilnym” </w:t>
            </w:r>
          </w:p>
        </w:tc>
        <w:tc>
          <w:tcPr>
            <w:tcW w:w="2022" w:type="dxa"/>
            <w:shd w:val="clear" w:color="auto" w:fill="auto"/>
          </w:tcPr>
          <w:p w14:paraId="1151BCFF" w14:textId="77777777" w:rsidR="007E515C" w:rsidRPr="00EC250C" w:rsidRDefault="007E515C" w:rsidP="00D131FA">
            <w:pPr>
              <w:pStyle w:val="Tabela"/>
              <w:jc w:val="both"/>
              <w:rPr>
                <w:rFonts w:eastAsia="Calibri"/>
                <w:lang w:eastAsia="en-US"/>
              </w:rPr>
            </w:pPr>
            <w:r w:rsidRPr="00EC250C">
              <w:rPr>
                <w:rFonts w:eastAsia="Calibri"/>
                <w:lang w:eastAsia="en-US"/>
              </w:rPr>
              <w:t>Toruń</w:t>
            </w:r>
          </w:p>
        </w:tc>
      </w:tr>
      <w:tr w:rsidR="007E515C" w:rsidRPr="00EC250C" w14:paraId="2E459A41" w14:textId="77777777" w:rsidTr="00FC47F2">
        <w:tc>
          <w:tcPr>
            <w:tcW w:w="596" w:type="dxa"/>
            <w:shd w:val="clear" w:color="auto" w:fill="auto"/>
            <w:vAlign w:val="center"/>
          </w:tcPr>
          <w:p w14:paraId="3EC3B08A"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74587D97" w14:textId="77777777" w:rsidR="007E515C" w:rsidRPr="00EC250C" w:rsidRDefault="007E515C" w:rsidP="00D131FA">
            <w:pPr>
              <w:pStyle w:val="Tabela"/>
              <w:jc w:val="both"/>
              <w:rPr>
                <w:rFonts w:eastAsia="Calibri"/>
                <w:lang w:eastAsia="en-US"/>
              </w:rPr>
            </w:pPr>
            <w:r w:rsidRPr="00EC250C">
              <w:rPr>
                <w:rFonts w:eastAsia="Calibri"/>
                <w:lang w:eastAsia="en-US"/>
              </w:rPr>
              <w:t>VI Festiwal Wielu Kultur „Różni,</w:t>
            </w:r>
            <w:r w:rsidR="00992FD0" w:rsidRPr="00EC250C">
              <w:rPr>
                <w:rFonts w:eastAsia="Calibri"/>
                <w:lang w:eastAsia="en-US"/>
              </w:rPr>
              <w:t xml:space="preserve"> a </w:t>
            </w:r>
            <w:r w:rsidRPr="00EC250C">
              <w:rPr>
                <w:rFonts w:eastAsia="Calibri"/>
                <w:lang w:eastAsia="en-US"/>
              </w:rPr>
              <w:t xml:space="preserve">tacy sami” </w:t>
            </w:r>
          </w:p>
        </w:tc>
        <w:tc>
          <w:tcPr>
            <w:tcW w:w="2022" w:type="dxa"/>
            <w:shd w:val="clear" w:color="auto" w:fill="auto"/>
          </w:tcPr>
          <w:p w14:paraId="01D6F36F"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7E742EF2" w14:textId="77777777" w:rsidTr="00FC47F2">
        <w:tc>
          <w:tcPr>
            <w:tcW w:w="596" w:type="dxa"/>
            <w:shd w:val="clear" w:color="auto" w:fill="auto"/>
            <w:vAlign w:val="center"/>
          </w:tcPr>
          <w:p w14:paraId="3F3B7A8B"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7D9098D" w14:textId="77777777" w:rsidR="007E515C" w:rsidRPr="00EC250C" w:rsidRDefault="007E515C" w:rsidP="00D131FA">
            <w:pPr>
              <w:pStyle w:val="Tabela"/>
              <w:jc w:val="both"/>
              <w:rPr>
                <w:rFonts w:eastAsia="Calibri"/>
                <w:lang w:eastAsia="en-US"/>
              </w:rPr>
            </w:pPr>
            <w:r w:rsidRPr="00EC250C">
              <w:rPr>
                <w:rFonts w:eastAsia="Calibri"/>
                <w:lang w:eastAsia="en-US"/>
              </w:rPr>
              <w:t>VII Ogólnopolska konferencja pt. „Człowiek</w:t>
            </w:r>
            <w:r w:rsidR="00992FD0" w:rsidRPr="00EC250C">
              <w:rPr>
                <w:rFonts w:eastAsia="Calibri"/>
                <w:lang w:eastAsia="en-US"/>
              </w:rPr>
              <w:t xml:space="preserve"> w </w:t>
            </w:r>
            <w:r w:rsidRPr="00EC250C">
              <w:rPr>
                <w:rFonts w:eastAsia="Calibri"/>
                <w:lang w:eastAsia="en-US"/>
              </w:rPr>
              <w:t>środowisku. Kryzys psychiczny jako motywacja</w:t>
            </w:r>
            <w:r w:rsidR="00992FD0" w:rsidRPr="00EC250C">
              <w:rPr>
                <w:rFonts w:eastAsia="Calibri"/>
                <w:lang w:eastAsia="en-US"/>
              </w:rPr>
              <w:t xml:space="preserve"> i </w:t>
            </w:r>
            <w:r w:rsidRPr="00EC250C">
              <w:rPr>
                <w:rFonts w:eastAsia="Calibri"/>
                <w:lang w:eastAsia="en-US"/>
              </w:rPr>
              <w:t>siła</w:t>
            </w:r>
            <w:r w:rsidR="00992FD0" w:rsidRPr="00EC250C">
              <w:rPr>
                <w:rFonts w:eastAsia="Calibri"/>
                <w:lang w:eastAsia="en-US"/>
              </w:rPr>
              <w:t xml:space="preserve"> w </w:t>
            </w:r>
            <w:r w:rsidRPr="00EC250C">
              <w:rPr>
                <w:rFonts w:eastAsia="Calibri"/>
                <w:lang w:eastAsia="en-US"/>
              </w:rPr>
              <w:t>procesie zdrowienia</w:t>
            </w:r>
            <w:r w:rsidR="00026572" w:rsidRPr="00EC250C">
              <w:rPr>
                <w:rFonts w:eastAsia="Calibri"/>
                <w:lang w:eastAsia="en-US"/>
              </w:rPr>
              <w:t xml:space="preserve"> – </w:t>
            </w:r>
            <w:r w:rsidRPr="00EC250C">
              <w:rPr>
                <w:rFonts w:eastAsia="Calibri"/>
                <w:lang w:eastAsia="en-US"/>
              </w:rPr>
              <w:t>perspektywa osób chorujących</w:t>
            </w:r>
            <w:r w:rsidR="00992FD0" w:rsidRPr="00EC250C">
              <w:rPr>
                <w:rFonts w:eastAsia="Calibri"/>
                <w:lang w:eastAsia="en-US"/>
              </w:rPr>
              <w:t xml:space="preserve"> i </w:t>
            </w:r>
            <w:r w:rsidRPr="00EC250C">
              <w:rPr>
                <w:rFonts w:eastAsia="Calibri"/>
                <w:lang w:eastAsia="en-US"/>
              </w:rPr>
              <w:t>rodzin”</w:t>
            </w:r>
          </w:p>
        </w:tc>
        <w:tc>
          <w:tcPr>
            <w:tcW w:w="2022" w:type="dxa"/>
            <w:shd w:val="clear" w:color="auto" w:fill="auto"/>
          </w:tcPr>
          <w:p w14:paraId="0C504503"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6636AD88" w14:textId="77777777" w:rsidTr="00FC47F2">
        <w:tc>
          <w:tcPr>
            <w:tcW w:w="596" w:type="dxa"/>
            <w:shd w:val="clear" w:color="auto" w:fill="auto"/>
            <w:vAlign w:val="center"/>
          </w:tcPr>
          <w:p w14:paraId="4A39F638"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2CA7A95F" w14:textId="77777777" w:rsidR="007E515C" w:rsidRPr="00EC250C" w:rsidRDefault="007E515C" w:rsidP="00D131FA">
            <w:pPr>
              <w:pStyle w:val="Tabela"/>
              <w:jc w:val="both"/>
              <w:rPr>
                <w:rFonts w:eastAsia="Calibri"/>
                <w:lang w:eastAsia="en-US"/>
              </w:rPr>
            </w:pPr>
            <w:r w:rsidRPr="00EC250C">
              <w:rPr>
                <w:rFonts w:eastAsia="Calibri"/>
                <w:lang w:eastAsia="en-US"/>
              </w:rPr>
              <w:t>V ogólnopolska konferencja kryminologiczna pt. „Terroryzm-terror-mafia”</w:t>
            </w:r>
          </w:p>
        </w:tc>
        <w:tc>
          <w:tcPr>
            <w:tcW w:w="2022" w:type="dxa"/>
            <w:shd w:val="clear" w:color="auto" w:fill="auto"/>
          </w:tcPr>
          <w:p w14:paraId="371971FC" w14:textId="77777777" w:rsidR="007E515C" w:rsidRPr="00EC250C" w:rsidRDefault="007E515C" w:rsidP="00D131FA">
            <w:pPr>
              <w:pStyle w:val="Tabela"/>
              <w:jc w:val="both"/>
              <w:rPr>
                <w:rFonts w:eastAsia="Calibri"/>
                <w:lang w:eastAsia="en-US"/>
              </w:rPr>
            </w:pPr>
            <w:r w:rsidRPr="00EC250C">
              <w:rPr>
                <w:rFonts w:eastAsia="Calibri"/>
                <w:lang w:eastAsia="en-US"/>
              </w:rPr>
              <w:t>Kraków</w:t>
            </w:r>
          </w:p>
        </w:tc>
      </w:tr>
      <w:tr w:rsidR="007E515C" w:rsidRPr="00EC250C" w14:paraId="6DC69404" w14:textId="77777777" w:rsidTr="00FC47F2">
        <w:tc>
          <w:tcPr>
            <w:tcW w:w="596" w:type="dxa"/>
            <w:shd w:val="clear" w:color="auto" w:fill="auto"/>
            <w:vAlign w:val="center"/>
          </w:tcPr>
          <w:p w14:paraId="5AAC2434" w14:textId="77777777" w:rsidR="007E515C" w:rsidRPr="00EC250C" w:rsidRDefault="007E515C" w:rsidP="006C70B7">
            <w:pPr>
              <w:pStyle w:val="Tabela"/>
              <w:numPr>
                <w:ilvl w:val="0"/>
                <w:numId w:val="73"/>
              </w:numPr>
              <w:ind w:left="0" w:firstLine="0"/>
              <w:jc w:val="both"/>
              <w:rPr>
                <w:rFonts w:eastAsia="Calibri"/>
                <w:sz w:val="16"/>
                <w:lang w:val="en-US" w:eastAsia="en-US"/>
              </w:rPr>
            </w:pPr>
          </w:p>
        </w:tc>
        <w:tc>
          <w:tcPr>
            <w:tcW w:w="7220" w:type="dxa"/>
            <w:shd w:val="clear" w:color="auto" w:fill="auto"/>
          </w:tcPr>
          <w:p w14:paraId="18F5CB04" w14:textId="77777777" w:rsidR="007E515C" w:rsidRPr="00EC250C" w:rsidRDefault="007E515C" w:rsidP="00D131FA">
            <w:pPr>
              <w:pStyle w:val="Tabela"/>
              <w:jc w:val="both"/>
              <w:rPr>
                <w:rFonts w:eastAsia="Calibri"/>
                <w:lang w:eastAsia="en-US"/>
              </w:rPr>
            </w:pPr>
            <w:r w:rsidRPr="00EC250C">
              <w:rPr>
                <w:rFonts w:eastAsia="Calibri"/>
                <w:lang w:eastAsia="en-US"/>
              </w:rPr>
              <w:t>Ogólnopolska konferencja naukowa pt. ,,Udział obywateli</w:t>
            </w:r>
            <w:r w:rsidR="00992FD0" w:rsidRPr="00EC250C">
              <w:rPr>
                <w:rFonts w:eastAsia="Calibri"/>
                <w:lang w:eastAsia="en-US"/>
              </w:rPr>
              <w:t xml:space="preserve"> w </w:t>
            </w:r>
            <w:r w:rsidRPr="00EC250C">
              <w:rPr>
                <w:rFonts w:eastAsia="Calibri"/>
                <w:lang w:eastAsia="en-US"/>
              </w:rPr>
              <w:t>sprawowaniu wymiaru sprawiedliwości”</w:t>
            </w:r>
          </w:p>
        </w:tc>
        <w:tc>
          <w:tcPr>
            <w:tcW w:w="2022" w:type="dxa"/>
            <w:shd w:val="clear" w:color="auto" w:fill="auto"/>
          </w:tcPr>
          <w:p w14:paraId="287A100D"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0EDB0812" w14:textId="77777777" w:rsidTr="00FC47F2">
        <w:tc>
          <w:tcPr>
            <w:tcW w:w="596" w:type="dxa"/>
            <w:shd w:val="clear" w:color="auto" w:fill="auto"/>
            <w:vAlign w:val="center"/>
          </w:tcPr>
          <w:p w14:paraId="762960B9"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2C70A267" w14:textId="77777777" w:rsidR="007E515C" w:rsidRPr="00EC250C" w:rsidRDefault="007E515C" w:rsidP="00D131FA">
            <w:pPr>
              <w:pStyle w:val="Tabela"/>
              <w:jc w:val="both"/>
              <w:rPr>
                <w:rFonts w:eastAsia="Calibri"/>
                <w:lang w:eastAsia="en-US"/>
              </w:rPr>
            </w:pPr>
            <w:r w:rsidRPr="00EC250C">
              <w:rPr>
                <w:rFonts w:eastAsia="Calibri"/>
                <w:lang w:eastAsia="en-US"/>
              </w:rPr>
              <w:t xml:space="preserve">Dzień otwarty dla społeczności ukraińskiej mieszkającej we Wrocławiu oraz na obszarze przyległych powiatów </w:t>
            </w:r>
          </w:p>
        </w:tc>
        <w:tc>
          <w:tcPr>
            <w:tcW w:w="2022" w:type="dxa"/>
            <w:shd w:val="clear" w:color="auto" w:fill="auto"/>
          </w:tcPr>
          <w:p w14:paraId="7813135E" w14:textId="77777777" w:rsidR="007E515C" w:rsidRPr="00EC250C" w:rsidRDefault="007E515C" w:rsidP="00D131FA">
            <w:pPr>
              <w:pStyle w:val="Tabela"/>
              <w:jc w:val="both"/>
              <w:rPr>
                <w:rFonts w:eastAsia="Calibri"/>
                <w:lang w:eastAsia="en-US"/>
              </w:rPr>
            </w:pPr>
            <w:r w:rsidRPr="00EC250C">
              <w:rPr>
                <w:rFonts w:eastAsia="Calibri"/>
                <w:lang w:eastAsia="en-US"/>
              </w:rPr>
              <w:t>Wrocław</w:t>
            </w:r>
          </w:p>
        </w:tc>
      </w:tr>
      <w:tr w:rsidR="007E515C" w:rsidRPr="00EC250C" w14:paraId="5FBD4958" w14:textId="77777777" w:rsidTr="00FC47F2">
        <w:tc>
          <w:tcPr>
            <w:tcW w:w="596" w:type="dxa"/>
            <w:shd w:val="clear" w:color="auto" w:fill="auto"/>
            <w:vAlign w:val="center"/>
          </w:tcPr>
          <w:p w14:paraId="03D14507"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E51D0A6" w14:textId="77777777" w:rsidR="007E515C" w:rsidRPr="00EC250C" w:rsidRDefault="007E515C" w:rsidP="00D131FA">
            <w:pPr>
              <w:pStyle w:val="Tabela"/>
              <w:jc w:val="both"/>
              <w:rPr>
                <w:rFonts w:eastAsia="Calibri"/>
                <w:lang w:eastAsia="en-US"/>
              </w:rPr>
            </w:pPr>
            <w:r w:rsidRPr="00EC250C">
              <w:rPr>
                <w:rFonts w:eastAsia="Calibri"/>
                <w:lang w:eastAsia="en-US"/>
              </w:rPr>
              <w:t>Konferencja naukowa pt. „W poszukiwaniu prawdy, czyli dowody</w:t>
            </w:r>
            <w:r w:rsidR="00992FD0" w:rsidRPr="00EC250C">
              <w:rPr>
                <w:rFonts w:eastAsia="Calibri"/>
                <w:lang w:eastAsia="en-US"/>
              </w:rPr>
              <w:t xml:space="preserve"> w </w:t>
            </w:r>
            <w:r w:rsidRPr="00EC250C">
              <w:rPr>
                <w:rFonts w:eastAsia="Calibri"/>
                <w:lang w:eastAsia="en-US"/>
              </w:rPr>
              <w:t>postępowaniu cywilnym</w:t>
            </w:r>
            <w:r w:rsidR="00992FD0" w:rsidRPr="00EC250C">
              <w:rPr>
                <w:rFonts w:eastAsia="Calibri"/>
                <w:lang w:eastAsia="en-US"/>
              </w:rPr>
              <w:t xml:space="preserve"> i </w:t>
            </w:r>
            <w:r w:rsidRPr="00EC250C">
              <w:rPr>
                <w:rFonts w:eastAsia="Calibri"/>
                <w:lang w:eastAsia="en-US"/>
              </w:rPr>
              <w:t xml:space="preserve">karnym” </w:t>
            </w:r>
          </w:p>
        </w:tc>
        <w:tc>
          <w:tcPr>
            <w:tcW w:w="2022" w:type="dxa"/>
            <w:shd w:val="clear" w:color="auto" w:fill="auto"/>
          </w:tcPr>
          <w:p w14:paraId="73BE1F22" w14:textId="77777777" w:rsidR="007E515C" w:rsidRPr="00EC250C" w:rsidRDefault="007E515C" w:rsidP="00D131FA">
            <w:pPr>
              <w:pStyle w:val="Tabela"/>
              <w:jc w:val="both"/>
              <w:rPr>
                <w:rFonts w:eastAsia="Calibri"/>
                <w:lang w:eastAsia="en-US"/>
              </w:rPr>
            </w:pPr>
            <w:r w:rsidRPr="00EC250C">
              <w:rPr>
                <w:rFonts w:eastAsia="Calibri"/>
                <w:lang w:eastAsia="en-US"/>
              </w:rPr>
              <w:t>Wrocław</w:t>
            </w:r>
          </w:p>
        </w:tc>
      </w:tr>
      <w:tr w:rsidR="007E515C" w:rsidRPr="00EC250C" w14:paraId="37DB80B4" w14:textId="77777777" w:rsidTr="00FC47F2">
        <w:tc>
          <w:tcPr>
            <w:tcW w:w="596" w:type="dxa"/>
            <w:shd w:val="clear" w:color="auto" w:fill="auto"/>
            <w:vAlign w:val="center"/>
          </w:tcPr>
          <w:p w14:paraId="7BB3A7AE"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3634C1F0" w14:textId="77777777" w:rsidR="007E515C" w:rsidRPr="00EC250C" w:rsidRDefault="007E515C" w:rsidP="00D131FA">
            <w:pPr>
              <w:pStyle w:val="Tabela"/>
              <w:jc w:val="both"/>
              <w:rPr>
                <w:rFonts w:eastAsia="Calibri"/>
                <w:lang w:eastAsia="en-US"/>
              </w:rPr>
            </w:pPr>
            <w:r w:rsidRPr="00EC250C">
              <w:rPr>
                <w:rFonts w:eastAsia="Calibri"/>
                <w:lang w:eastAsia="en-US"/>
              </w:rPr>
              <w:t xml:space="preserve">Centrum „Chcemy całego życia!” na X Kongresie Kobiet </w:t>
            </w:r>
          </w:p>
        </w:tc>
        <w:tc>
          <w:tcPr>
            <w:tcW w:w="2022" w:type="dxa"/>
            <w:shd w:val="clear" w:color="auto" w:fill="auto"/>
          </w:tcPr>
          <w:p w14:paraId="2100D441" w14:textId="77777777" w:rsidR="007E515C" w:rsidRPr="00EC250C" w:rsidRDefault="007E515C" w:rsidP="00D131FA">
            <w:pPr>
              <w:pStyle w:val="Tabela"/>
              <w:jc w:val="both"/>
              <w:rPr>
                <w:rFonts w:eastAsia="Calibri"/>
                <w:lang w:eastAsia="en-US"/>
              </w:rPr>
            </w:pPr>
            <w:r w:rsidRPr="00EC250C">
              <w:rPr>
                <w:rFonts w:eastAsia="Calibri"/>
                <w:lang w:eastAsia="en-US"/>
              </w:rPr>
              <w:t>Łódź</w:t>
            </w:r>
          </w:p>
        </w:tc>
      </w:tr>
      <w:tr w:rsidR="007E515C" w:rsidRPr="00EC250C" w14:paraId="605D8DAB" w14:textId="77777777" w:rsidTr="00FC47F2">
        <w:tc>
          <w:tcPr>
            <w:tcW w:w="596" w:type="dxa"/>
            <w:shd w:val="clear" w:color="auto" w:fill="auto"/>
            <w:vAlign w:val="center"/>
          </w:tcPr>
          <w:p w14:paraId="7AE550FB"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4A6093FC" w14:textId="77777777" w:rsidR="007E515C" w:rsidRPr="00EC250C" w:rsidRDefault="007E515C" w:rsidP="00D131FA">
            <w:pPr>
              <w:pStyle w:val="Tabela"/>
              <w:jc w:val="both"/>
              <w:rPr>
                <w:rFonts w:eastAsia="Calibri"/>
                <w:lang w:eastAsia="en-US"/>
              </w:rPr>
            </w:pPr>
            <w:r w:rsidRPr="00EC250C">
              <w:rPr>
                <w:rFonts w:eastAsia="Calibri"/>
                <w:lang w:eastAsia="en-US"/>
              </w:rPr>
              <w:t>Konkurs VERBA VERITATIS 2018</w:t>
            </w:r>
          </w:p>
        </w:tc>
        <w:tc>
          <w:tcPr>
            <w:tcW w:w="2022" w:type="dxa"/>
            <w:shd w:val="clear" w:color="auto" w:fill="auto"/>
          </w:tcPr>
          <w:p w14:paraId="761A0C7A"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7EB1A097" w14:textId="77777777" w:rsidTr="00FC47F2">
        <w:tc>
          <w:tcPr>
            <w:tcW w:w="596" w:type="dxa"/>
            <w:shd w:val="clear" w:color="auto" w:fill="auto"/>
            <w:vAlign w:val="center"/>
          </w:tcPr>
          <w:p w14:paraId="0010C1F3"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1DED3F2D" w14:textId="77777777" w:rsidR="007E515C" w:rsidRPr="00EC250C" w:rsidRDefault="007E515C" w:rsidP="00D131FA">
            <w:pPr>
              <w:pStyle w:val="Tabela"/>
              <w:jc w:val="both"/>
              <w:rPr>
                <w:rFonts w:eastAsia="Calibri"/>
                <w:lang w:eastAsia="en-US"/>
              </w:rPr>
            </w:pPr>
            <w:r w:rsidRPr="00EC250C">
              <w:rPr>
                <w:rFonts w:eastAsia="Calibri"/>
                <w:lang w:eastAsia="en-US"/>
              </w:rPr>
              <w:t>Mecz gwiazd</w:t>
            </w:r>
            <w:r w:rsidR="00992FD0" w:rsidRPr="00EC250C">
              <w:rPr>
                <w:rFonts w:eastAsia="Calibri"/>
                <w:lang w:eastAsia="en-US"/>
              </w:rPr>
              <w:t xml:space="preserve"> w </w:t>
            </w:r>
            <w:r w:rsidRPr="00EC250C">
              <w:rPr>
                <w:rFonts w:eastAsia="Calibri"/>
                <w:lang w:eastAsia="en-US"/>
              </w:rPr>
              <w:t>Lublinie</w:t>
            </w:r>
          </w:p>
        </w:tc>
        <w:tc>
          <w:tcPr>
            <w:tcW w:w="2022" w:type="dxa"/>
            <w:shd w:val="clear" w:color="auto" w:fill="auto"/>
          </w:tcPr>
          <w:p w14:paraId="319D6828" w14:textId="77777777" w:rsidR="007E515C" w:rsidRPr="00EC250C" w:rsidRDefault="007E515C" w:rsidP="00D131FA">
            <w:pPr>
              <w:pStyle w:val="Tabela"/>
              <w:jc w:val="both"/>
              <w:rPr>
                <w:rFonts w:eastAsia="Calibri"/>
                <w:lang w:eastAsia="en-US"/>
              </w:rPr>
            </w:pPr>
            <w:r w:rsidRPr="00EC250C">
              <w:rPr>
                <w:rFonts w:eastAsia="Calibri"/>
                <w:lang w:eastAsia="en-US"/>
              </w:rPr>
              <w:t>Lublin</w:t>
            </w:r>
          </w:p>
        </w:tc>
      </w:tr>
      <w:tr w:rsidR="007E515C" w:rsidRPr="00EC250C" w14:paraId="2C6A4520" w14:textId="77777777" w:rsidTr="00FC47F2">
        <w:tc>
          <w:tcPr>
            <w:tcW w:w="596" w:type="dxa"/>
            <w:shd w:val="clear" w:color="auto" w:fill="auto"/>
            <w:vAlign w:val="center"/>
          </w:tcPr>
          <w:p w14:paraId="7F6ACDCB"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3F65D836" w14:textId="77777777" w:rsidR="007E515C" w:rsidRPr="00EC250C" w:rsidRDefault="007E515C" w:rsidP="00D131FA">
            <w:pPr>
              <w:pStyle w:val="Tabela"/>
              <w:jc w:val="both"/>
              <w:rPr>
                <w:rFonts w:eastAsia="Calibri"/>
                <w:lang w:eastAsia="en-US"/>
              </w:rPr>
            </w:pPr>
            <w:r w:rsidRPr="00EC250C">
              <w:rPr>
                <w:rFonts w:eastAsia="Calibri"/>
                <w:lang w:eastAsia="en-US"/>
              </w:rPr>
              <w:t>Debata justTRUE. ” Jak ugryźć media, żeby one nie ugryzły nas?”</w:t>
            </w:r>
          </w:p>
        </w:tc>
        <w:tc>
          <w:tcPr>
            <w:tcW w:w="2022" w:type="dxa"/>
            <w:shd w:val="clear" w:color="auto" w:fill="auto"/>
          </w:tcPr>
          <w:p w14:paraId="41246602"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49A97CA0" w14:textId="77777777" w:rsidTr="00FC47F2">
        <w:tc>
          <w:tcPr>
            <w:tcW w:w="596" w:type="dxa"/>
            <w:shd w:val="clear" w:color="auto" w:fill="auto"/>
            <w:vAlign w:val="center"/>
          </w:tcPr>
          <w:p w14:paraId="03EAB3C5"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DFF498E" w14:textId="77777777" w:rsidR="007E515C" w:rsidRPr="00EC250C" w:rsidRDefault="007E515C" w:rsidP="00D131FA">
            <w:pPr>
              <w:pStyle w:val="Tabela"/>
              <w:jc w:val="both"/>
              <w:rPr>
                <w:rFonts w:eastAsia="Calibri"/>
                <w:lang w:eastAsia="en-US"/>
              </w:rPr>
            </w:pPr>
            <w:r w:rsidRPr="00EC250C">
              <w:rPr>
                <w:rFonts w:eastAsia="Calibri"/>
                <w:lang w:eastAsia="en-US"/>
              </w:rPr>
              <w:t>Cykl wydarzeń „Żywe biblioteki”</w:t>
            </w:r>
          </w:p>
        </w:tc>
        <w:tc>
          <w:tcPr>
            <w:tcW w:w="2022" w:type="dxa"/>
            <w:shd w:val="clear" w:color="auto" w:fill="auto"/>
          </w:tcPr>
          <w:p w14:paraId="25B5C73F" w14:textId="77777777" w:rsidR="007E515C" w:rsidRPr="00EC250C" w:rsidRDefault="007E515C" w:rsidP="00D131FA">
            <w:pPr>
              <w:pStyle w:val="Tabela"/>
              <w:jc w:val="both"/>
              <w:rPr>
                <w:rFonts w:eastAsia="Calibri"/>
                <w:lang w:eastAsia="en-US"/>
              </w:rPr>
            </w:pPr>
            <w:r w:rsidRPr="00EC250C">
              <w:rPr>
                <w:rFonts w:eastAsia="Calibri"/>
                <w:lang w:eastAsia="en-US"/>
              </w:rPr>
              <w:t>Wałbrzych</w:t>
            </w:r>
          </w:p>
        </w:tc>
      </w:tr>
      <w:tr w:rsidR="007E515C" w:rsidRPr="00EC250C" w14:paraId="56CB8CEF" w14:textId="77777777" w:rsidTr="00FC47F2">
        <w:tc>
          <w:tcPr>
            <w:tcW w:w="596" w:type="dxa"/>
            <w:shd w:val="clear" w:color="auto" w:fill="auto"/>
            <w:vAlign w:val="center"/>
          </w:tcPr>
          <w:p w14:paraId="061EDD92"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926DC8A" w14:textId="77777777" w:rsidR="007E515C" w:rsidRPr="00EC250C" w:rsidRDefault="007E515C" w:rsidP="00D131FA">
            <w:pPr>
              <w:pStyle w:val="Tabela"/>
              <w:jc w:val="both"/>
              <w:rPr>
                <w:rFonts w:eastAsia="Calibri"/>
                <w:lang w:eastAsia="en-US"/>
              </w:rPr>
            </w:pPr>
            <w:r w:rsidRPr="00EC250C">
              <w:rPr>
                <w:rFonts w:eastAsia="Calibri"/>
                <w:lang w:eastAsia="en-US"/>
              </w:rPr>
              <w:t>Ogólnopolska konferencja naukowa pt. „RODO</w:t>
            </w:r>
            <w:r w:rsidR="00992FD0" w:rsidRPr="00EC250C">
              <w:rPr>
                <w:rFonts w:eastAsia="Calibri"/>
                <w:lang w:eastAsia="en-US"/>
              </w:rPr>
              <w:t xml:space="preserve"> w </w:t>
            </w:r>
            <w:r w:rsidRPr="00EC250C">
              <w:rPr>
                <w:rFonts w:eastAsia="Calibri"/>
                <w:lang w:eastAsia="en-US"/>
              </w:rPr>
              <w:t>kontekście prawa medycznego”</w:t>
            </w:r>
          </w:p>
        </w:tc>
        <w:tc>
          <w:tcPr>
            <w:tcW w:w="2022" w:type="dxa"/>
            <w:shd w:val="clear" w:color="auto" w:fill="auto"/>
          </w:tcPr>
          <w:p w14:paraId="12E7844F" w14:textId="77777777" w:rsidR="007E515C" w:rsidRPr="00EC250C" w:rsidRDefault="007E515C" w:rsidP="00D131FA">
            <w:pPr>
              <w:pStyle w:val="Tabela"/>
              <w:jc w:val="both"/>
              <w:rPr>
                <w:rFonts w:eastAsia="Calibri"/>
                <w:lang w:eastAsia="en-US"/>
              </w:rPr>
            </w:pPr>
            <w:r w:rsidRPr="00EC250C">
              <w:rPr>
                <w:rFonts w:eastAsia="Calibri"/>
                <w:lang w:eastAsia="en-US"/>
              </w:rPr>
              <w:t>Kraków</w:t>
            </w:r>
          </w:p>
        </w:tc>
      </w:tr>
      <w:tr w:rsidR="007E515C" w:rsidRPr="00EC250C" w14:paraId="0A202822" w14:textId="77777777" w:rsidTr="00FC47F2">
        <w:tc>
          <w:tcPr>
            <w:tcW w:w="596" w:type="dxa"/>
            <w:shd w:val="clear" w:color="auto" w:fill="auto"/>
            <w:vAlign w:val="center"/>
          </w:tcPr>
          <w:p w14:paraId="59EA9C8B"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188453AB" w14:textId="77777777" w:rsidR="007E515C" w:rsidRPr="00EC250C" w:rsidRDefault="007E515C" w:rsidP="00D131FA">
            <w:pPr>
              <w:pStyle w:val="Tabela"/>
              <w:jc w:val="both"/>
              <w:rPr>
                <w:rFonts w:eastAsia="Calibri"/>
                <w:lang w:eastAsia="en-US"/>
              </w:rPr>
            </w:pPr>
            <w:r w:rsidRPr="00EC250C">
              <w:rPr>
                <w:rFonts w:eastAsia="Calibri"/>
                <w:lang w:eastAsia="en-US"/>
              </w:rPr>
              <w:t>Przekrocz Granice. Projekt społeczno</w:t>
            </w:r>
            <w:r w:rsidR="00026572" w:rsidRPr="00EC250C">
              <w:rPr>
                <w:rFonts w:eastAsia="Calibri"/>
                <w:lang w:eastAsia="en-US"/>
              </w:rPr>
              <w:t xml:space="preserve"> – </w:t>
            </w:r>
            <w:r w:rsidRPr="00EC250C">
              <w:rPr>
                <w:rFonts w:eastAsia="Calibri"/>
                <w:lang w:eastAsia="en-US"/>
              </w:rPr>
              <w:t>edukacyjny dla dzieci</w:t>
            </w:r>
            <w:r w:rsidR="00992FD0" w:rsidRPr="00EC250C">
              <w:rPr>
                <w:rFonts w:eastAsia="Calibri"/>
                <w:lang w:eastAsia="en-US"/>
              </w:rPr>
              <w:t xml:space="preserve"> i </w:t>
            </w:r>
            <w:r w:rsidRPr="00EC250C">
              <w:rPr>
                <w:rFonts w:eastAsia="Calibri"/>
                <w:lang w:eastAsia="en-US"/>
              </w:rPr>
              <w:t>młodzieży chorującej onkologicznie, ich rodzin</w:t>
            </w:r>
            <w:r w:rsidR="00992FD0" w:rsidRPr="00EC250C">
              <w:rPr>
                <w:rFonts w:eastAsia="Calibri"/>
                <w:lang w:eastAsia="en-US"/>
              </w:rPr>
              <w:t xml:space="preserve"> i </w:t>
            </w:r>
            <w:r w:rsidRPr="00EC250C">
              <w:rPr>
                <w:rFonts w:eastAsia="Calibri"/>
                <w:lang w:eastAsia="en-US"/>
              </w:rPr>
              <w:t>pracowników medycznych</w:t>
            </w:r>
          </w:p>
        </w:tc>
        <w:tc>
          <w:tcPr>
            <w:tcW w:w="2022" w:type="dxa"/>
            <w:shd w:val="clear" w:color="auto" w:fill="auto"/>
          </w:tcPr>
          <w:p w14:paraId="278A926D"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469CECE6" w14:textId="77777777" w:rsidTr="00FC47F2">
        <w:tc>
          <w:tcPr>
            <w:tcW w:w="596" w:type="dxa"/>
            <w:shd w:val="clear" w:color="auto" w:fill="auto"/>
            <w:vAlign w:val="center"/>
          </w:tcPr>
          <w:p w14:paraId="0EB04D3D"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1C8FC912" w14:textId="77777777" w:rsidR="007E515C" w:rsidRPr="00EC250C" w:rsidRDefault="007E515C" w:rsidP="00D131FA">
            <w:pPr>
              <w:pStyle w:val="Tabela"/>
              <w:jc w:val="both"/>
              <w:rPr>
                <w:rFonts w:eastAsia="Calibri"/>
                <w:lang w:eastAsia="en-US"/>
              </w:rPr>
            </w:pPr>
            <w:r w:rsidRPr="00EC250C">
              <w:rPr>
                <w:rFonts w:eastAsia="Calibri"/>
                <w:lang w:eastAsia="en-US"/>
              </w:rPr>
              <w:t>Projekt społeczny „nieświadomi”</w:t>
            </w:r>
          </w:p>
        </w:tc>
        <w:tc>
          <w:tcPr>
            <w:tcW w:w="2022" w:type="dxa"/>
            <w:shd w:val="clear" w:color="auto" w:fill="auto"/>
          </w:tcPr>
          <w:p w14:paraId="53217BF3"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08E20891" w14:textId="77777777" w:rsidTr="00FC47F2">
        <w:tc>
          <w:tcPr>
            <w:tcW w:w="596" w:type="dxa"/>
            <w:shd w:val="clear" w:color="auto" w:fill="auto"/>
            <w:vAlign w:val="center"/>
          </w:tcPr>
          <w:p w14:paraId="0D39024F"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F1A4080" w14:textId="77777777" w:rsidR="007E515C" w:rsidRPr="00EC250C" w:rsidRDefault="007E515C" w:rsidP="00D131FA">
            <w:pPr>
              <w:pStyle w:val="Tabela"/>
              <w:jc w:val="both"/>
              <w:rPr>
                <w:rFonts w:eastAsia="Calibri"/>
                <w:lang w:eastAsia="en-US"/>
              </w:rPr>
            </w:pPr>
            <w:r w:rsidRPr="00EC250C">
              <w:rPr>
                <w:rFonts w:eastAsia="Calibri"/>
                <w:lang w:eastAsia="en-US"/>
              </w:rPr>
              <w:t xml:space="preserve">Konferencja dot. partycypacji młodych „Nasza sPrawa!” </w:t>
            </w:r>
          </w:p>
        </w:tc>
        <w:tc>
          <w:tcPr>
            <w:tcW w:w="2022" w:type="dxa"/>
            <w:shd w:val="clear" w:color="auto" w:fill="auto"/>
          </w:tcPr>
          <w:p w14:paraId="0D296A5C"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05307913" w14:textId="77777777" w:rsidTr="00FC47F2">
        <w:tc>
          <w:tcPr>
            <w:tcW w:w="596" w:type="dxa"/>
            <w:shd w:val="clear" w:color="auto" w:fill="auto"/>
            <w:vAlign w:val="center"/>
          </w:tcPr>
          <w:p w14:paraId="626F5E8B"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58AD95A" w14:textId="77777777" w:rsidR="007E515C" w:rsidRPr="00EC250C" w:rsidRDefault="007E515C" w:rsidP="00D131FA">
            <w:pPr>
              <w:pStyle w:val="Tabela"/>
              <w:jc w:val="both"/>
              <w:rPr>
                <w:rFonts w:eastAsia="Calibri"/>
                <w:lang w:eastAsia="en-US"/>
              </w:rPr>
            </w:pPr>
            <w:r w:rsidRPr="00EC250C">
              <w:rPr>
                <w:rFonts w:eastAsia="Calibri"/>
                <w:lang w:eastAsia="en-US"/>
              </w:rPr>
              <w:t>Targi AtoPsoriaDerm</w:t>
            </w:r>
          </w:p>
        </w:tc>
        <w:tc>
          <w:tcPr>
            <w:tcW w:w="2022" w:type="dxa"/>
            <w:shd w:val="clear" w:color="auto" w:fill="auto"/>
          </w:tcPr>
          <w:p w14:paraId="1AC15040" w14:textId="77777777" w:rsidR="007E515C" w:rsidRPr="00EC250C" w:rsidRDefault="007E515C" w:rsidP="00D131FA">
            <w:pPr>
              <w:pStyle w:val="Tabela"/>
              <w:jc w:val="both"/>
              <w:rPr>
                <w:rFonts w:eastAsia="Calibri"/>
                <w:lang w:eastAsia="en-US"/>
              </w:rPr>
            </w:pPr>
            <w:r w:rsidRPr="00EC250C">
              <w:rPr>
                <w:rFonts w:eastAsia="Calibri"/>
                <w:lang w:eastAsia="en-US"/>
              </w:rPr>
              <w:t>Kielce</w:t>
            </w:r>
          </w:p>
        </w:tc>
      </w:tr>
      <w:tr w:rsidR="007E515C" w:rsidRPr="00EC250C" w14:paraId="7203EEFD" w14:textId="77777777" w:rsidTr="00FC47F2">
        <w:tc>
          <w:tcPr>
            <w:tcW w:w="596" w:type="dxa"/>
            <w:shd w:val="clear" w:color="auto" w:fill="auto"/>
            <w:vAlign w:val="center"/>
          </w:tcPr>
          <w:p w14:paraId="2FA18EDE"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3F2A0A1" w14:textId="77777777" w:rsidR="007E515C" w:rsidRPr="00EC250C" w:rsidRDefault="007E515C" w:rsidP="00D131FA">
            <w:pPr>
              <w:pStyle w:val="Tabela"/>
              <w:jc w:val="both"/>
              <w:rPr>
                <w:rFonts w:eastAsia="Calibri"/>
                <w:lang w:eastAsia="en-US"/>
              </w:rPr>
            </w:pPr>
            <w:r w:rsidRPr="00EC250C">
              <w:rPr>
                <w:rFonts w:eastAsia="Calibri"/>
                <w:lang w:eastAsia="en-US"/>
              </w:rPr>
              <w:t>11. Ogólnopolska konferencja pt. „Ostrożnie</w:t>
            </w:r>
            <w:r w:rsidR="00026572" w:rsidRPr="00EC250C">
              <w:rPr>
                <w:rFonts w:eastAsia="Calibri"/>
                <w:lang w:eastAsia="en-US"/>
              </w:rPr>
              <w:t xml:space="preserve"> – </w:t>
            </w:r>
            <w:r w:rsidRPr="00EC250C">
              <w:rPr>
                <w:rFonts w:eastAsia="Calibri"/>
                <w:lang w:eastAsia="en-US"/>
              </w:rPr>
              <w:t>dziecko! Profilaktyka krzywdzenia małych dzieci”</w:t>
            </w:r>
          </w:p>
        </w:tc>
        <w:tc>
          <w:tcPr>
            <w:tcW w:w="2022" w:type="dxa"/>
            <w:shd w:val="clear" w:color="auto" w:fill="auto"/>
          </w:tcPr>
          <w:p w14:paraId="6E09335A"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07E8B96A" w14:textId="77777777" w:rsidTr="00FC47F2">
        <w:tc>
          <w:tcPr>
            <w:tcW w:w="596" w:type="dxa"/>
            <w:shd w:val="clear" w:color="auto" w:fill="auto"/>
            <w:vAlign w:val="center"/>
          </w:tcPr>
          <w:p w14:paraId="1BF46450"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9B9030B" w14:textId="77777777" w:rsidR="007E515C" w:rsidRPr="00EC250C" w:rsidRDefault="007E515C" w:rsidP="00D131FA">
            <w:pPr>
              <w:pStyle w:val="Tabela"/>
              <w:jc w:val="both"/>
              <w:rPr>
                <w:rFonts w:eastAsia="Calibri"/>
                <w:lang w:eastAsia="en-US"/>
              </w:rPr>
            </w:pPr>
            <w:r w:rsidRPr="00EC250C">
              <w:rPr>
                <w:rFonts w:eastAsia="Calibri"/>
                <w:lang w:eastAsia="en-US"/>
              </w:rPr>
              <w:t>IV Ogólnopolskie Forum Studentów</w:t>
            </w:r>
            <w:r w:rsidR="00992FD0" w:rsidRPr="00EC250C">
              <w:rPr>
                <w:rFonts w:eastAsia="Calibri"/>
                <w:lang w:eastAsia="en-US"/>
              </w:rPr>
              <w:t xml:space="preserve"> z </w:t>
            </w:r>
            <w:r w:rsidRPr="00EC250C">
              <w:rPr>
                <w:rFonts w:eastAsia="Calibri"/>
                <w:lang w:eastAsia="en-US"/>
              </w:rPr>
              <w:t>Niepełnosprawnościami</w:t>
            </w:r>
          </w:p>
        </w:tc>
        <w:tc>
          <w:tcPr>
            <w:tcW w:w="2022" w:type="dxa"/>
            <w:shd w:val="clear" w:color="auto" w:fill="auto"/>
          </w:tcPr>
          <w:p w14:paraId="19B67665" w14:textId="77777777" w:rsidR="007E515C" w:rsidRPr="00EC250C" w:rsidRDefault="007E515C" w:rsidP="00D131FA">
            <w:pPr>
              <w:pStyle w:val="Tabela"/>
              <w:jc w:val="both"/>
              <w:rPr>
                <w:rFonts w:eastAsia="Calibri"/>
                <w:lang w:eastAsia="en-US"/>
              </w:rPr>
            </w:pPr>
            <w:r w:rsidRPr="00EC250C">
              <w:rPr>
                <w:rFonts w:eastAsia="Calibri"/>
                <w:lang w:eastAsia="en-US"/>
              </w:rPr>
              <w:t>Łódź</w:t>
            </w:r>
          </w:p>
        </w:tc>
      </w:tr>
      <w:tr w:rsidR="007E515C" w:rsidRPr="00EC250C" w14:paraId="28A796A2" w14:textId="77777777" w:rsidTr="00FC47F2">
        <w:tc>
          <w:tcPr>
            <w:tcW w:w="596" w:type="dxa"/>
            <w:shd w:val="clear" w:color="auto" w:fill="auto"/>
            <w:vAlign w:val="center"/>
          </w:tcPr>
          <w:p w14:paraId="061DDE3E"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42E3B5FB" w14:textId="77777777" w:rsidR="007E515C" w:rsidRPr="00EC250C" w:rsidRDefault="007E515C" w:rsidP="00D131FA">
            <w:pPr>
              <w:pStyle w:val="Tabela"/>
              <w:jc w:val="both"/>
              <w:rPr>
                <w:rFonts w:eastAsia="Calibri"/>
                <w:lang w:eastAsia="en-US"/>
              </w:rPr>
            </w:pPr>
            <w:r w:rsidRPr="00EC250C">
              <w:rPr>
                <w:rFonts w:eastAsia="Calibri"/>
                <w:lang w:eastAsia="en-US"/>
              </w:rPr>
              <w:t>„Dikh on na Bister” młodzieżowe Warsztaty edukacyjne dotyczące zagłady Romów podczas II Wojny Światowej</w:t>
            </w:r>
          </w:p>
        </w:tc>
        <w:tc>
          <w:tcPr>
            <w:tcW w:w="2022" w:type="dxa"/>
            <w:shd w:val="clear" w:color="auto" w:fill="auto"/>
          </w:tcPr>
          <w:p w14:paraId="34C946A2" w14:textId="77777777" w:rsidR="007E515C" w:rsidRPr="00EC250C" w:rsidRDefault="007E515C" w:rsidP="00D131FA">
            <w:pPr>
              <w:pStyle w:val="Tabela"/>
              <w:jc w:val="both"/>
              <w:rPr>
                <w:rFonts w:eastAsia="Calibri"/>
                <w:lang w:eastAsia="en-US"/>
              </w:rPr>
            </w:pPr>
            <w:r w:rsidRPr="00EC250C">
              <w:rPr>
                <w:rFonts w:eastAsia="Calibri"/>
                <w:lang w:eastAsia="en-US"/>
              </w:rPr>
              <w:t>Kraków/Oświęcim</w:t>
            </w:r>
          </w:p>
        </w:tc>
      </w:tr>
      <w:tr w:rsidR="007E515C" w:rsidRPr="00EC250C" w14:paraId="40C23151" w14:textId="77777777" w:rsidTr="00FC47F2">
        <w:tc>
          <w:tcPr>
            <w:tcW w:w="596" w:type="dxa"/>
            <w:shd w:val="clear" w:color="auto" w:fill="auto"/>
            <w:vAlign w:val="center"/>
          </w:tcPr>
          <w:p w14:paraId="404AA044"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9F31B43" w14:textId="77777777" w:rsidR="007E515C" w:rsidRPr="00EC250C" w:rsidRDefault="007E515C" w:rsidP="00D131FA">
            <w:pPr>
              <w:pStyle w:val="Tabela"/>
              <w:jc w:val="both"/>
              <w:rPr>
                <w:rFonts w:eastAsia="Calibri"/>
                <w:lang w:eastAsia="en-US"/>
              </w:rPr>
            </w:pPr>
            <w:r w:rsidRPr="00EC250C">
              <w:rPr>
                <w:rFonts w:eastAsia="Calibri"/>
                <w:lang w:eastAsia="en-US"/>
              </w:rPr>
              <w:t xml:space="preserve">V edycja Tygodnia Konstytucyjnego </w:t>
            </w:r>
          </w:p>
        </w:tc>
        <w:tc>
          <w:tcPr>
            <w:tcW w:w="2022" w:type="dxa"/>
            <w:shd w:val="clear" w:color="auto" w:fill="auto"/>
          </w:tcPr>
          <w:p w14:paraId="4E69828D"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00D3E043" w14:textId="77777777" w:rsidTr="00FC47F2">
        <w:tc>
          <w:tcPr>
            <w:tcW w:w="596" w:type="dxa"/>
            <w:shd w:val="clear" w:color="auto" w:fill="auto"/>
            <w:vAlign w:val="center"/>
          </w:tcPr>
          <w:p w14:paraId="74EABEF3"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CAC57E7" w14:textId="77777777" w:rsidR="007E515C" w:rsidRPr="00EC250C" w:rsidRDefault="007E515C" w:rsidP="00D131FA">
            <w:pPr>
              <w:pStyle w:val="Tabela"/>
              <w:jc w:val="both"/>
              <w:rPr>
                <w:rFonts w:eastAsia="Calibri"/>
                <w:lang w:eastAsia="en-US"/>
              </w:rPr>
            </w:pPr>
            <w:r w:rsidRPr="00EC250C">
              <w:rPr>
                <w:rFonts w:eastAsia="Calibri"/>
                <w:lang w:eastAsia="en-US"/>
              </w:rPr>
              <w:t>Międzynarodowa konferencja naukowa pt. „Prawo publiczne</w:t>
            </w:r>
            <w:r w:rsidR="00992FD0" w:rsidRPr="00EC250C">
              <w:rPr>
                <w:rFonts w:eastAsia="Calibri"/>
                <w:lang w:eastAsia="en-US"/>
              </w:rPr>
              <w:t xml:space="preserve"> w </w:t>
            </w:r>
            <w:r w:rsidRPr="00EC250C">
              <w:rPr>
                <w:rFonts w:eastAsia="Calibri"/>
                <w:lang w:eastAsia="en-US"/>
              </w:rPr>
              <w:t>krajach Europy Środkowo-Wschodniej: tradycje, dziedzictwo</w:t>
            </w:r>
            <w:r w:rsidR="00992FD0" w:rsidRPr="00EC250C">
              <w:rPr>
                <w:rFonts w:eastAsia="Calibri"/>
                <w:lang w:eastAsia="en-US"/>
              </w:rPr>
              <w:t xml:space="preserve"> i </w:t>
            </w:r>
            <w:r w:rsidRPr="00EC250C">
              <w:rPr>
                <w:rFonts w:eastAsia="Calibri"/>
                <w:lang w:eastAsia="en-US"/>
              </w:rPr>
              <w:t>perspektywy”</w:t>
            </w:r>
          </w:p>
        </w:tc>
        <w:tc>
          <w:tcPr>
            <w:tcW w:w="2022" w:type="dxa"/>
            <w:shd w:val="clear" w:color="auto" w:fill="auto"/>
          </w:tcPr>
          <w:p w14:paraId="2AB51ADA" w14:textId="77777777" w:rsidR="007E515C" w:rsidRPr="00EC250C" w:rsidRDefault="007E515C" w:rsidP="00D131FA">
            <w:pPr>
              <w:pStyle w:val="Tabela"/>
              <w:jc w:val="both"/>
              <w:rPr>
                <w:rFonts w:eastAsia="Calibri"/>
                <w:lang w:eastAsia="en-US"/>
              </w:rPr>
            </w:pPr>
            <w:r w:rsidRPr="00EC250C">
              <w:rPr>
                <w:rFonts w:eastAsia="Calibri"/>
                <w:lang w:eastAsia="en-US"/>
              </w:rPr>
              <w:t>Wrocław</w:t>
            </w:r>
          </w:p>
        </w:tc>
      </w:tr>
      <w:tr w:rsidR="007E515C" w:rsidRPr="00EC250C" w14:paraId="761DA815" w14:textId="77777777" w:rsidTr="00FC47F2">
        <w:tc>
          <w:tcPr>
            <w:tcW w:w="596" w:type="dxa"/>
            <w:shd w:val="clear" w:color="auto" w:fill="auto"/>
            <w:vAlign w:val="center"/>
          </w:tcPr>
          <w:p w14:paraId="5B4F0D41" w14:textId="77777777" w:rsidR="007E515C" w:rsidRPr="00EC250C" w:rsidRDefault="007E515C" w:rsidP="006C70B7">
            <w:pPr>
              <w:pStyle w:val="Tabela"/>
              <w:numPr>
                <w:ilvl w:val="0"/>
                <w:numId w:val="73"/>
              </w:numPr>
              <w:ind w:left="0" w:firstLine="0"/>
              <w:jc w:val="both"/>
              <w:rPr>
                <w:rFonts w:eastAsia="Calibri"/>
                <w:sz w:val="16"/>
                <w:lang w:val="en-US" w:eastAsia="en-US"/>
              </w:rPr>
            </w:pPr>
          </w:p>
        </w:tc>
        <w:tc>
          <w:tcPr>
            <w:tcW w:w="7220" w:type="dxa"/>
            <w:shd w:val="clear" w:color="auto" w:fill="auto"/>
          </w:tcPr>
          <w:p w14:paraId="02BC692F" w14:textId="77777777" w:rsidR="007E515C" w:rsidRPr="00EC250C" w:rsidRDefault="007E515C" w:rsidP="00D131FA">
            <w:pPr>
              <w:pStyle w:val="Tabela"/>
              <w:jc w:val="both"/>
              <w:rPr>
                <w:rFonts w:eastAsia="Calibri"/>
                <w:lang w:eastAsia="en-US"/>
              </w:rPr>
            </w:pPr>
            <w:r w:rsidRPr="00EC250C">
              <w:rPr>
                <w:rFonts w:eastAsia="Calibri"/>
                <w:lang w:eastAsia="en-US"/>
              </w:rPr>
              <w:t xml:space="preserve">Moot Court-turniej sądowy przed ETPC </w:t>
            </w:r>
          </w:p>
        </w:tc>
        <w:tc>
          <w:tcPr>
            <w:tcW w:w="2022" w:type="dxa"/>
            <w:shd w:val="clear" w:color="auto" w:fill="auto"/>
          </w:tcPr>
          <w:p w14:paraId="111BE49A"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6CCAB521" w14:textId="77777777" w:rsidTr="00FC47F2">
        <w:tc>
          <w:tcPr>
            <w:tcW w:w="596" w:type="dxa"/>
            <w:shd w:val="clear" w:color="auto" w:fill="auto"/>
            <w:vAlign w:val="center"/>
          </w:tcPr>
          <w:p w14:paraId="6AC6310D"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054B0A4" w14:textId="77777777" w:rsidR="007E515C" w:rsidRPr="00EC250C" w:rsidRDefault="007E515C" w:rsidP="00D131FA">
            <w:pPr>
              <w:pStyle w:val="Tabela"/>
              <w:jc w:val="both"/>
              <w:rPr>
                <w:rFonts w:eastAsia="Calibri"/>
                <w:lang w:eastAsia="en-US"/>
              </w:rPr>
            </w:pPr>
            <w:r w:rsidRPr="00EC250C">
              <w:rPr>
                <w:rFonts w:eastAsia="Calibri"/>
                <w:lang w:eastAsia="en-US"/>
              </w:rPr>
              <w:t xml:space="preserve">Women on Boards </w:t>
            </w:r>
          </w:p>
        </w:tc>
        <w:tc>
          <w:tcPr>
            <w:tcW w:w="2022" w:type="dxa"/>
            <w:shd w:val="clear" w:color="auto" w:fill="auto"/>
          </w:tcPr>
          <w:p w14:paraId="5C09533A" w14:textId="77777777" w:rsidR="007E515C" w:rsidRPr="00EC250C" w:rsidRDefault="007E515C" w:rsidP="00D131FA">
            <w:pPr>
              <w:pStyle w:val="Tabela"/>
              <w:jc w:val="both"/>
              <w:rPr>
                <w:rFonts w:eastAsia="Calibri"/>
                <w:lang w:eastAsia="en-US"/>
              </w:rPr>
            </w:pPr>
            <w:r w:rsidRPr="00EC250C">
              <w:rPr>
                <w:rFonts w:eastAsia="Calibri"/>
                <w:lang w:eastAsia="en-US"/>
              </w:rPr>
              <w:t>Poznań</w:t>
            </w:r>
          </w:p>
        </w:tc>
      </w:tr>
      <w:tr w:rsidR="007E515C" w:rsidRPr="00EC250C" w14:paraId="144EE3AE" w14:textId="77777777" w:rsidTr="00FC47F2">
        <w:tc>
          <w:tcPr>
            <w:tcW w:w="596" w:type="dxa"/>
            <w:shd w:val="clear" w:color="auto" w:fill="auto"/>
            <w:vAlign w:val="center"/>
          </w:tcPr>
          <w:p w14:paraId="3793A3C2"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35FE0B31" w14:textId="77777777" w:rsidR="007E515C" w:rsidRPr="00EC250C" w:rsidRDefault="007E515C" w:rsidP="00D131FA">
            <w:pPr>
              <w:pStyle w:val="Tabela"/>
              <w:jc w:val="both"/>
              <w:rPr>
                <w:rFonts w:eastAsia="Calibri"/>
                <w:lang w:eastAsia="en-US"/>
              </w:rPr>
            </w:pPr>
            <w:r w:rsidRPr="00EC250C">
              <w:rPr>
                <w:rFonts w:eastAsia="Calibri"/>
                <w:lang w:eastAsia="en-US"/>
              </w:rPr>
              <w:t>Inicjatywa Społeczna 100</w:t>
            </w:r>
            <w:r w:rsidR="00026572" w:rsidRPr="00EC250C">
              <w:rPr>
                <w:rFonts w:eastAsia="Calibri"/>
                <w:lang w:eastAsia="en-US"/>
              </w:rPr>
              <w:t xml:space="preserve"> – </w:t>
            </w:r>
            <w:r w:rsidRPr="00EC250C">
              <w:rPr>
                <w:rFonts w:eastAsia="Calibri"/>
                <w:lang w:eastAsia="en-US"/>
              </w:rPr>
              <w:t>lecie Kobiet</w:t>
            </w:r>
            <w:r w:rsidR="00992FD0" w:rsidRPr="00EC250C">
              <w:rPr>
                <w:rFonts w:eastAsia="Calibri"/>
                <w:lang w:eastAsia="en-US"/>
              </w:rPr>
              <w:t xml:space="preserve"> w </w:t>
            </w:r>
            <w:r w:rsidRPr="00EC250C">
              <w:rPr>
                <w:rFonts w:eastAsia="Calibri"/>
                <w:lang w:eastAsia="en-US"/>
              </w:rPr>
              <w:t>województwie podlaskim</w:t>
            </w:r>
          </w:p>
        </w:tc>
        <w:tc>
          <w:tcPr>
            <w:tcW w:w="2022" w:type="dxa"/>
            <w:shd w:val="clear" w:color="auto" w:fill="auto"/>
          </w:tcPr>
          <w:p w14:paraId="6E0015BD" w14:textId="77777777" w:rsidR="007E515C" w:rsidRPr="00EC250C" w:rsidRDefault="007E515C" w:rsidP="00D131FA">
            <w:pPr>
              <w:pStyle w:val="Tabela"/>
              <w:jc w:val="both"/>
              <w:rPr>
                <w:rFonts w:eastAsia="Calibri"/>
                <w:lang w:eastAsia="en-US"/>
              </w:rPr>
            </w:pPr>
            <w:r w:rsidRPr="00EC250C">
              <w:rPr>
                <w:rFonts w:eastAsia="Calibri"/>
                <w:lang w:eastAsia="en-US"/>
              </w:rPr>
              <w:t>województwo podlaskie</w:t>
            </w:r>
          </w:p>
        </w:tc>
      </w:tr>
      <w:tr w:rsidR="007E515C" w:rsidRPr="00EC250C" w14:paraId="069DE9A1" w14:textId="77777777" w:rsidTr="00FC47F2">
        <w:tc>
          <w:tcPr>
            <w:tcW w:w="596" w:type="dxa"/>
            <w:shd w:val="clear" w:color="auto" w:fill="auto"/>
            <w:vAlign w:val="center"/>
          </w:tcPr>
          <w:p w14:paraId="318152F8"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4958B5E1" w14:textId="77777777" w:rsidR="007E515C" w:rsidRPr="00EC250C" w:rsidRDefault="007E515C" w:rsidP="00D131FA">
            <w:pPr>
              <w:pStyle w:val="Tabela"/>
              <w:jc w:val="both"/>
              <w:rPr>
                <w:rFonts w:eastAsia="Calibri"/>
                <w:lang w:eastAsia="en-US"/>
              </w:rPr>
            </w:pPr>
            <w:r w:rsidRPr="00EC250C">
              <w:rPr>
                <w:rFonts w:eastAsia="Calibri"/>
                <w:lang w:eastAsia="en-US"/>
              </w:rPr>
              <w:t xml:space="preserve">XVI Międzynarodowa Konferencja Chorób Rzadkich „Zrozumieć choroby rzadkie” </w:t>
            </w:r>
          </w:p>
        </w:tc>
        <w:tc>
          <w:tcPr>
            <w:tcW w:w="2022" w:type="dxa"/>
            <w:shd w:val="clear" w:color="auto" w:fill="auto"/>
          </w:tcPr>
          <w:p w14:paraId="6B466502" w14:textId="77777777" w:rsidR="007E515C" w:rsidRPr="00EC250C" w:rsidRDefault="007E515C" w:rsidP="00D131FA">
            <w:pPr>
              <w:pStyle w:val="Tabela"/>
              <w:jc w:val="both"/>
              <w:rPr>
                <w:rFonts w:eastAsia="Calibri"/>
                <w:lang w:eastAsia="en-US"/>
              </w:rPr>
            </w:pPr>
            <w:r w:rsidRPr="00EC250C">
              <w:rPr>
                <w:rFonts w:eastAsia="Calibri"/>
                <w:lang w:eastAsia="en-US"/>
              </w:rPr>
              <w:t>Serock</w:t>
            </w:r>
          </w:p>
        </w:tc>
      </w:tr>
      <w:tr w:rsidR="007E515C" w:rsidRPr="00EC250C" w14:paraId="18FD22C0" w14:textId="77777777" w:rsidTr="00FC47F2">
        <w:tc>
          <w:tcPr>
            <w:tcW w:w="596" w:type="dxa"/>
            <w:shd w:val="clear" w:color="auto" w:fill="auto"/>
            <w:vAlign w:val="center"/>
          </w:tcPr>
          <w:p w14:paraId="7318682D"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A618A60" w14:textId="77777777" w:rsidR="007E515C" w:rsidRPr="00EC250C" w:rsidRDefault="007E515C" w:rsidP="00D131FA">
            <w:pPr>
              <w:pStyle w:val="Tabela"/>
              <w:jc w:val="both"/>
              <w:rPr>
                <w:rFonts w:eastAsia="Calibri"/>
                <w:lang w:eastAsia="en-US"/>
              </w:rPr>
            </w:pPr>
            <w:r w:rsidRPr="00EC250C">
              <w:rPr>
                <w:rFonts w:eastAsia="Calibri"/>
                <w:lang w:eastAsia="en-US"/>
              </w:rPr>
              <w:t>Pokaz mody Dzieci</w:t>
            </w:r>
            <w:r w:rsidR="00992FD0" w:rsidRPr="00EC250C">
              <w:rPr>
                <w:rFonts w:eastAsia="Calibri"/>
                <w:lang w:eastAsia="en-US"/>
              </w:rPr>
              <w:t xml:space="preserve"> z </w:t>
            </w:r>
            <w:r w:rsidRPr="00EC250C">
              <w:rPr>
                <w:rFonts w:eastAsia="Calibri"/>
                <w:lang w:eastAsia="en-US"/>
              </w:rPr>
              <w:t>Dworca Brześć</w:t>
            </w:r>
            <w:r w:rsidR="00CC4D88" w:rsidRPr="00EC250C">
              <w:rPr>
                <w:rFonts w:eastAsia="Calibri"/>
                <w:lang w:eastAsia="en-US"/>
              </w:rPr>
              <w:t xml:space="preserve"> </w:t>
            </w:r>
          </w:p>
        </w:tc>
        <w:tc>
          <w:tcPr>
            <w:tcW w:w="2022" w:type="dxa"/>
            <w:shd w:val="clear" w:color="auto" w:fill="auto"/>
          </w:tcPr>
          <w:p w14:paraId="5B063A73"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45DB89C8" w14:textId="77777777" w:rsidTr="00FC47F2">
        <w:tc>
          <w:tcPr>
            <w:tcW w:w="596" w:type="dxa"/>
            <w:shd w:val="clear" w:color="auto" w:fill="auto"/>
            <w:vAlign w:val="center"/>
          </w:tcPr>
          <w:p w14:paraId="422AD27A"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7FD96B08" w14:textId="77777777" w:rsidR="007E515C" w:rsidRPr="00EC250C" w:rsidRDefault="007E515C" w:rsidP="00D131FA">
            <w:pPr>
              <w:pStyle w:val="Tabela"/>
              <w:jc w:val="both"/>
              <w:rPr>
                <w:rFonts w:eastAsia="Calibri"/>
                <w:lang w:eastAsia="en-US"/>
              </w:rPr>
            </w:pPr>
            <w:r w:rsidRPr="00EC250C">
              <w:rPr>
                <w:rFonts w:eastAsia="Calibri"/>
                <w:lang w:eastAsia="en-US"/>
              </w:rPr>
              <w:t>Wydarzenie „Muzyka spotkania</w:t>
            </w:r>
            <w:r w:rsidR="00026572" w:rsidRPr="00EC250C">
              <w:rPr>
                <w:rFonts w:eastAsia="Calibri"/>
                <w:lang w:eastAsia="en-US"/>
              </w:rPr>
              <w:t xml:space="preserve"> – </w:t>
            </w:r>
            <w:r w:rsidRPr="00EC250C">
              <w:rPr>
                <w:rFonts w:eastAsia="Calibri"/>
                <w:lang w:eastAsia="en-US"/>
              </w:rPr>
              <w:t>muzyka porozumienia”</w:t>
            </w:r>
          </w:p>
        </w:tc>
        <w:tc>
          <w:tcPr>
            <w:tcW w:w="2022" w:type="dxa"/>
            <w:shd w:val="clear" w:color="auto" w:fill="auto"/>
          </w:tcPr>
          <w:p w14:paraId="52EC1481" w14:textId="77777777" w:rsidR="007E515C" w:rsidRPr="00EC250C" w:rsidRDefault="007E515C" w:rsidP="00D131FA">
            <w:pPr>
              <w:pStyle w:val="Tabela"/>
              <w:jc w:val="both"/>
              <w:rPr>
                <w:rFonts w:eastAsia="Calibri"/>
                <w:lang w:eastAsia="en-US"/>
              </w:rPr>
            </w:pPr>
            <w:r w:rsidRPr="00EC250C">
              <w:rPr>
                <w:rFonts w:eastAsia="Calibri"/>
                <w:lang w:eastAsia="en-US"/>
              </w:rPr>
              <w:t>Danków (k. Gorzowa)</w:t>
            </w:r>
          </w:p>
        </w:tc>
      </w:tr>
      <w:tr w:rsidR="007E515C" w:rsidRPr="00EC250C" w14:paraId="7DA67D4C" w14:textId="77777777" w:rsidTr="00FC47F2">
        <w:tc>
          <w:tcPr>
            <w:tcW w:w="596" w:type="dxa"/>
            <w:shd w:val="clear" w:color="auto" w:fill="auto"/>
            <w:vAlign w:val="center"/>
          </w:tcPr>
          <w:p w14:paraId="12418D3C"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77D3E686" w14:textId="77777777" w:rsidR="007E515C" w:rsidRPr="00EC250C" w:rsidRDefault="007E515C" w:rsidP="00D131FA">
            <w:pPr>
              <w:pStyle w:val="Tabela"/>
              <w:jc w:val="both"/>
              <w:rPr>
                <w:rFonts w:eastAsia="Calibri"/>
                <w:lang w:eastAsia="en-US"/>
              </w:rPr>
            </w:pPr>
            <w:r w:rsidRPr="00EC250C">
              <w:rPr>
                <w:rFonts w:eastAsia="Calibri"/>
                <w:lang w:eastAsia="en-US"/>
              </w:rPr>
              <w:t>Debata „Nic</w:t>
            </w:r>
            <w:r w:rsidR="00992FD0" w:rsidRPr="00EC250C">
              <w:rPr>
                <w:rFonts w:eastAsia="Calibri"/>
                <w:lang w:eastAsia="en-US"/>
              </w:rPr>
              <w:t xml:space="preserve"> o </w:t>
            </w:r>
            <w:r w:rsidRPr="00EC250C">
              <w:rPr>
                <w:rFonts w:eastAsia="Calibri"/>
                <w:lang w:eastAsia="en-US"/>
              </w:rPr>
              <w:t>nas bez nas</w:t>
            </w:r>
            <w:r w:rsidR="00026572" w:rsidRPr="00EC250C">
              <w:rPr>
                <w:rFonts w:eastAsia="Calibri"/>
                <w:lang w:eastAsia="en-US"/>
              </w:rPr>
              <w:t xml:space="preserve"> – </w:t>
            </w:r>
            <w:r w:rsidRPr="00EC250C">
              <w:rPr>
                <w:rFonts w:eastAsia="Calibri"/>
                <w:lang w:eastAsia="en-US"/>
              </w:rPr>
              <w:t>partycypacja młodzieży</w:t>
            </w:r>
            <w:r w:rsidR="00992FD0" w:rsidRPr="00EC250C">
              <w:rPr>
                <w:rFonts w:eastAsia="Calibri"/>
                <w:lang w:eastAsia="en-US"/>
              </w:rPr>
              <w:t xml:space="preserve"> w </w:t>
            </w:r>
            <w:r w:rsidRPr="00EC250C">
              <w:rPr>
                <w:rFonts w:eastAsia="Calibri"/>
                <w:lang w:eastAsia="en-US"/>
              </w:rPr>
              <w:t xml:space="preserve">życiu społecznym” </w:t>
            </w:r>
          </w:p>
        </w:tc>
        <w:tc>
          <w:tcPr>
            <w:tcW w:w="2022" w:type="dxa"/>
            <w:shd w:val="clear" w:color="auto" w:fill="auto"/>
          </w:tcPr>
          <w:p w14:paraId="173F9792" w14:textId="77777777" w:rsidR="007E515C" w:rsidRPr="00EC250C" w:rsidRDefault="007E515C" w:rsidP="00D131FA">
            <w:pPr>
              <w:pStyle w:val="Tabela"/>
              <w:jc w:val="both"/>
              <w:rPr>
                <w:rFonts w:eastAsia="Calibri"/>
                <w:lang w:eastAsia="en-US"/>
              </w:rPr>
            </w:pPr>
            <w:r w:rsidRPr="00EC250C">
              <w:rPr>
                <w:rFonts w:eastAsia="Calibri"/>
                <w:lang w:eastAsia="en-US"/>
              </w:rPr>
              <w:t>Katowice</w:t>
            </w:r>
          </w:p>
        </w:tc>
      </w:tr>
      <w:tr w:rsidR="007E515C" w:rsidRPr="00EC250C" w14:paraId="5EBDF502" w14:textId="77777777" w:rsidTr="00FC47F2">
        <w:tc>
          <w:tcPr>
            <w:tcW w:w="596" w:type="dxa"/>
            <w:shd w:val="clear" w:color="auto" w:fill="auto"/>
            <w:vAlign w:val="center"/>
          </w:tcPr>
          <w:p w14:paraId="7721D4D3"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7EEAB8B" w14:textId="77777777" w:rsidR="007E515C" w:rsidRPr="00EC250C" w:rsidRDefault="007E515C" w:rsidP="00D131FA">
            <w:pPr>
              <w:pStyle w:val="Tabela"/>
              <w:jc w:val="both"/>
              <w:rPr>
                <w:rFonts w:eastAsia="Calibri"/>
                <w:lang w:eastAsia="en-US"/>
              </w:rPr>
            </w:pPr>
            <w:r w:rsidRPr="00EC250C">
              <w:rPr>
                <w:rFonts w:eastAsia="Calibri"/>
                <w:lang w:eastAsia="en-US"/>
              </w:rPr>
              <w:t xml:space="preserve">Warszawianka Roku </w:t>
            </w:r>
            <w:r w:rsidR="00917FE1" w:rsidRPr="00EC250C">
              <w:rPr>
                <w:rFonts w:eastAsia="Calibri"/>
                <w:lang w:eastAsia="en-US"/>
              </w:rPr>
              <w:t>–</w:t>
            </w:r>
            <w:r w:rsidRPr="00EC250C">
              <w:rPr>
                <w:rFonts w:eastAsia="Calibri"/>
                <w:lang w:eastAsia="en-US"/>
              </w:rPr>
              <w:t xml:space="preserve"> plebiscyt</w:t>
            </w:r>
          </w:p>
        </w:tc>
        <w:tc>
          <w:tcPr>
            <w:tcW w:w="2022" w:type="dxa"/>
            <w:shd w:val="clear" w:color="auto" w:fill="auto"/>
          </w:tcPr>
          <w:p w14:paraId="4A37EE4E"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64073474" w14:textId="77777777" w:rsidTr="00FC47F2">
        <w:tc>
          <w:tcPr>
            <w:tcW w:w="596" w:type="dxa"/>
            <w:shd w:val="clear" w:color="auto" w:fill="auto"/>
            <w:vAlign w:val="center"/>
          </w:tcPr>
          <w:p w14:paraId="386D434A"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2BB477F" w14:textId="77777777" w:rsidR="007E515C" w:rsidRPr="00EC250C" w:rsidRDefault="007E515C" w:rsidP="00D131FA">
            <w:pPr>
              <w:pStyle w:val="Tabela"/>
              <w:jc w:val="both"/>
              <w:rPr>
                <w:rFonts w:eastAsia="Calibri"/>
                <w:lang w:eastAsia="en-US"/>
              </w:rPr>
            </w:pPr>
            <w:r w:rsidRPr="00EC250C">
              <w:rPr>
                <w:rFonts w:eastAsia="Calibri"/>
                <w:lang w:eastAsia="en-US"/>
              </w:rPr>
              <w:t>Spotkanie „Mój prawnik moje prawa. Wymiar sprawiedliwości dla dzieci”</w:t>
            </w:r>
          </w:p>
        </w:tc>
        <w:tc>
          <w:tcPr>
            <w:tcW w:w="2022" w:type="dxa"/>
            <w:shd w:val="clear" w:color="auto" w:fill="auto"/>
          </w:tcPr>
          <w:p w14:paraId="75B2B644"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2EDAB941" w14:textId="77777777" w:rsidTr="00FC47F2">
        <w:tc>
          <w:tcPr>
            <w:tcW w:w="596" w:type="dxa"/>
            <w:shd w:val="clear" w:color="auto" w:fill="auto"/>
            <w:vAlign w:val="center"/>
          </w:tcPr>
          <w:p w14:paraId="037439C2"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1CD8855F" w14:textId="77777777" w:rsidR="007E515C" w:rsidRPr="00EC250C" w:rsidRDefault="007E515C" w:rsidP="00D131FA">
            <w:pPr>
              <w:pStyle w:val="Tabela"/>
              <w:jc w:val="both"/>
              <w:rPr>
                <w:rFonts w:eastAsia="Calibri"/>
                <w:lang w:eastAsia="en-US"/>
              </w:rPr>
            </w:pPr>
            <w:r w:rsidRPr="00EC250C">
              <w:rPr>
                <w:rFonts w:eastAsia="Calibri"/>
                <w:lang w:eastAsia="en-US"/>
              </w:rPr>
              <w:t>Projekt społeczny Spotkaj SŁOIKa</w:t>
            </w:r>
          </w:p>
        </w:tc>
        <w:tc>
          <w:tcPr>
            <w:tcW w:w="2022" w:type="dxa"/>
            <w:shd w:val="clear" w:color="auto" w:fill="auto"/>
          </w:tcPr>
          <w:p w14:paraId="39814256"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05E59F8C" w14:textId="77777777" w:rsidTr="00FC47F2">
        <w:tc>
          <w:tcPr>
            <w:tcW w:w="596" w:type="dxa"/>
            <w:shd w:val="clear" w:color="auto" w:fill="auto"/>
            <w:vAlign w:val="center"/>
          </w:tcPr>
          <w:p w14:paraId="1801CE8E"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185DCC32" w14:textId="77777777" w:rsidR="007E515C" w:rsidRPr="00EC250C" w:rsidRDefault="007E515C" w:rsidP="00D131FA">
            <w:pPr>
              <w:pStyle w:val="Tabela"/>
              <w:jc w:val="both"/>
              <w:rPr>
                <w:rFonts w:eastAsia="Calibri"/>
                <w:lang w:eastAsia="en-US"/>
              </w:rPr>
            </w:pPr>
            <w:r w:rsidRPr="00EC250C">
              <w:rPr>
                <w:rFonts w:eastAsia="Calibri"/>
                <w:lang w:eastAsia="en-US"/>
              </w:rPr>
              <w:t>Spotkanie „Żywa Biblioteka”</w:t>
            </w:r>
          </w:p>
        </w:tc>
        <w:tc>
          <w:tcPr>
            <w:tcW w:w="2022" w:type="dxa"/>
            <w:shd w:val="clear" w:color="auto" w:fill="auto"/>
          </w:tcPr>
          <w:p w14:paraId="616F4CE4" w14:textId="77777777" w:rsidR="007E515C" w:rsidRPr="00EC250C" w:rsidRDefault="007E515C" w:rsidP="00D131FA">
            <w:pPr>
              <w:pStyle w:val="Tabela"/>
              <w:jc w:val="both"/>
              <w:rPr>
                <w:rFonts w:eastAsia="Calibri"/>
                <w:lang w:eastAsia="en-US"/>
              </w:rPr>
            </w:pPr>
            <w:r w:rsidRPr="00EC250C">
              <w:rPr>
                <w:rFonts w:eastAsia="Calibri"/>
                <w:lang w:eastAsia="en-US"/>
              </w:rPr>
              <w:t>Katowice</w:t>
            </w:r>
          </w:p>
        </w:tc>
      </w:tr>
      <w:tr w:rsidR="007E515C" w:rsidRPr="00EC250C" w14:paraId="63E4A8C4" w14:textId="77777777" w:rsidTr="00FC47F2">
        <w:tc>
          <w:tcPr>
            <w:tcW w:w="596" w:type="dxa"/>
            <w:shd w:val="clear" w:color="auto" w:fill="auto"/>
            <w:vAlign w:val="center"/>
          </w:tcPr>
          <w:p w14:paraId="552673BB"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3F32BDC7" w14:textId="77777777" w:rsidR="007E515C" w:rsidRPr="00EC250C" w:rsidRDefault="007E515C" w:rsidP="00D131FA">
            <w:pPr>
              <w:pStyle w:val="Tabela"/>
              <w:jc w:val="both"/>
              <w:rPr>
                <w:rFonts w:eastAsia="Calibri"/>
                <w:lang w:eastAsia="en-US"/>
              </w:rPr>
            </w:pPr>
            <w:r w:rsidRPr="00EC250C">
              <w:rPr>
                <w:rFonts w:eastAsia="Calibri"/>
                <w:lang w:eastAsia="en-US"/>
              </w:rPr>
              <w:t>Konferencja pt. „Wyzwania współczesnego prawa wyborczego</w:t>
            </w:r>
            <w:r w:rsidR="00026572" w:rsidRPr="00EC250C">
              <w:rPr>
                <w:rFonts w:eastAsia="Calibri"/>
                <w:lang w:eastAsia="en-US"/>
              </w:rPr>
              <w:t xml:space="preserve"> – </w:t>
            </w:r>
            <w:r w:rsidRPr="00EC250C">
              <w:rPr>
                <w:rFonts w:eastAsia="Calibri"/>
                <w:lang w:eastAsia="en-US"/>
              </w:rPr>
              <w:t>edycja V”</w:t>
            </w:r>
          </w:p>
        </w:tc>
        <w:tc>
          <w:tcPr>
            <w:tcW w:w="2022" w:type="dxa"/>
            <w:shd w:val="clear" w:color="auto" w:fill="auto"/>
          </w:tcPr>
          <w:p w14:paraId="18A743E7" w14:textId="77777777" w:rsidR="007E515C" w:rsidRPr="00EC250C" w:rsidRDefault="007E515C" w:rsidP="00D131FA">
            <w:pPr>
              <w:pStyle w:val="Tabela"/>
              <w:jc w:val="both"/>
              <w:rPr>
                <w:rFonts w:eastAsia="Calibri"/>
                <w:lang w:eastAsia="en-US"/>
              </w:rPr>
            </w:pPr>
            <w:r w:rsidRPr="00EC250C">
              <w:rPr>
                <w:rFonts w:eastAsia="Calibri"/>
                <w:lang w:eastAsia="en-US"/>
              </w:rPr>
              <w:t>Toruń</w:t>
            </w:r>
          </w:p>
        </w:tc>
      </w:tr>
      <w:tr w:rsidR="007E515C" w:rsidRPr="00EC250C" w14:paraId="0606A101" w14:textId="77777777" w:rsidTr="00FC47F2">
        <w:tc>
          <w:tcPr>
            <w:tcW w:w="596" w:type="dxa"/>
            <w:shd w:val="clear" w:color="auto" w:fill="auto"/>
            <w:vAlign w:val="center"/>
          </w:tcPr>
          <w:p w14:paraId="562B5BB7"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86A66A0" w14:textId="77777777" w:rsidR="007E515C" w:rsidRPr="00EC250C" w:rsidRDefault="007E515C" w:rsidP="00D131FA">
            <w:pPr>
              <w:pStyle w:val="Tabela"/>
              <w:jc w:val="both"/>
              <w:rPr>
                <w:rFonts w:eastAsia="Calibri"/>
                <w:lang w:eastAsia="en-US"/>
              </w:rPr>
            </w:pPr>
            <w:r w:rsidRPr="00EC250C">
              <w:rPr>
                <w:rFonts w:eastAsia="Calibri"/>
                <w:lang w:eastAsia="en-US"/>
              </w:rPr>
              <w:t>VI Olimpiada Wiedzy</w:t>
            </w:r>
            <w:r w:rsidR="00992FD0" w:rsidRPr="00EC250C">
              <w:rPr>
                <w:rFonts w:eastAsia="Calibri"/>
                <w:lang w:eastAsia="en-US"/>
              </w:rPr>
              <w:t xml:space="preserve"> o </w:t>
            </w:r>
            <w:r w:rsidRPr="00EC250C">
              <w:rPr>
                <w:rFonts w:eastAsia="Calibri"/>
                <w:lang w:eastAsia="en-US"/>
              </w:rPr>
              <w:t>Zdrowiu Psychicznym</w:t>
            </w:r>
          </w:p>
        </w:tc>
        <w:tc>
          <w:tcPr>
            <w:tcW w:w="2022" w:type="dxa"/>
            <w:shd w:val="clear" w:color="auto" w:fill="auto"/>
          </w:tcPr>
          <w:p w14:paraId="04EFFE97" w14:textId="77777777" w:rsidR="007E515C" w:rsidRPr="00EC250C" w:rsidRDefault="007E515C" w:rsidP="00D131FA">
            <w:pPr>
              <w:pStyle w:val="Tabela"/>
              <w:jc w:val="both"/>
              <w:rPr>
                <w:rFonts w:eastAsia="Calibri"/>
                <w:lang w:eastAsia="en-US"/>
              </w:rPr>
            </w:pPr>
            <w:r w:rsidRPr="00EC250C">
              <w:rPr>
                <w:rFonts w:eastAsia="Calibri"/>
                <w:lang w:eastAsia="en-US"/>
              </w:rPr>
              <w:t>Włodawa</w:t>
            </w:r>
          </w:p>
        </w:tc>
      </w:tr>
      <w:tr w:rsidR="007E515C" w:rsidRPr="00EC250C" w14:paraId="6EDB60EE" w14:textId="77777777" w:rsidTr="00FC47F2">
        <w:tc>
          <w:tcPr>
            <w:tcW w:w="596" w:type="dxa"/>
            <w:shd w:val="clear" w:color="auto" w:fill="auto"/>
            <w:vAlign w:val="center"/>
          </w:tcPr>
          <w:p w14:paraId="475B550A"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15DA4AE2" w14:textId="77777777" w:rsidR="007E515C" w:rsidRPr="00EC250C" w:rsidRDefault="007E515C" w:rsidP="00D131FA">
            <w:pPr>
              <w:pStyle w:val="Tabela"/>
              <w:jc w:val="both"/>
              <w:rPr>
                <w:rFonts w:eastAsia="Calibri"/>
                <w:lang w:eastAsia="en-US"/>
              </w:rPr>
            </w:pPr>
            <w:r w:rsidRPr="00EC250C">
              <w:rPr>
                <w:rFonts w:eastAsia="Calibri"/>
                <w:lang w:eastAsia="en-US"/>
              </w:rPr>
              <w:t>Konferencja pt. „Demokracja jest Kobietą”</w:t>
            </w:r>
          </w:p>
        </w:tc>
        <w:tc>
          <w:tcPr>
            <w:tcW w:w="2022" w:type="dxa"/>
            <w:shd w:val="clear" w:color="auto" w:fill="auto"/>
          </w:tcPr>
          <w:p w14:paraId="7277894E"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238BB9A7" w14:textId="77777777" w:rsidTr="00FC47F2">
        <w:tc>
          <w:tcPr>
            <w:tcW w:w="596" w:type="dxa"/>
            <w:shd w:val="clear" w:color="auto" w:fill="auto"/>
            <w:vAlign w:val="center"/>
          </w:tcPr>
          <w:p w14:paraId="7122845E"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43CF85E" w14:textId="77777777" w:rsidR="007E515C" w:rsidRPr="00EC250C" w:rsidRDefault="007E515C" w:rsidP="00D131FA">
            <w:pPr>
              <w:pStyle w:val="Tabela"/>
              <w:jc w:val="both"/>
              <w:rPr>
                <w:rFonts w:eastAsia="Calibri"/>
                <w:lang w:eastAsia="en-US"/>
              </w:rPr>
            </w:pPr>
            <w:r w:rsidRPr="00EC250C">
              <w:rPr>
                <w:rFonts w:eastAsia="Calibri"/>
                <w:lang w:eastAsia="en-US"/>
              </w:rPr>
              <w:t>Kampania społeczna promująca karmienie piersią</w:t>
            </w:r>
            <w:r w:rsidR="00992FD0" w:rsidRPr="00EC250C">
              <w:rPr>
                <w:rFonts w:eastAsia="Calibri"/>
                <w:lang w:eastAsia="en-US"/>
              </w:rPr>
              <w:t xml:space="preserve"> w </w:t>
            </w:r>
            <w:r w:rsidRPr="00EC250C">
              <w:rPr>
                <w:rFonts w:eastAsia="Calibri"/>
                <w:lang w:eastAsia="en-US"/>
              </w:rPr>
              <w:t>miejscach publicznych „Vademecum – kultura zachowań dla mam</w:t>
            </w:r>
            <w:r w:rsidR="00992FD0" w:rsidRPr="00EC250C">
              <w:rPr>
                <w:rFonts w:eastAsia="Calibri"/>
                <w:lang w:eastAsia="en-US"/>
              </w:rPr>
              <w:t xml:space="preserve"> i </w:t>
            </w:r>
            <w:r w:rsidRPr="00EC250C">
              <w:rPr>
                <w:rFonts w:eastAsia="Calibri"/>
                <w:lang w:eastAsia="en-US"/>
              </w:rPr>
              <w:t>otoczenia”</w:t>
            </w:r>
          </w:p>
        </w:tc>
        <w:tc>
          <w:tcPr>
            <w:tcW w:w="2022" w:type="dxa"/>
            <w:shd w:val="clear" w:color="auto" w:fill="auto"/>
          </w:tcPr>
          <w:p w14:paraId="42110F7B"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7BE648DE" w14:textId="77777777" w:rsidTr="00FC47F2">
        <w:tc>
          <w:tcPr>
            <w:tcW w:w="596" w:type="dxa"/>
            <w:shd w:val="clear" w:color="auto" w:fill="auto"/>
            <w:vAlign w:val="center"/>
          </w:tcPr>
          <w:p w14:paraId="425DF896"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2A165FD2" w14:textId="77777777" w:rsidR="007E515C" w:rsidRPr="00EC250C" w:rsidRDefault="007E515C" w:rsidP="00D131FA">
            <w:pPr>
              <w:pStyle w:val="Tabela"/>
              <w:jc w:val="both"/>
              <w:rPr>
                <w:rFonts w:eastAsia="Calibri"/>
                <w:lang w:eastAsia="en-US"/>
              </w:rPr>
            </w:pPr>
            <w:r w:rsidRPr="00EC250C">
              <w:rPr>
                <w:rFonts w:eastAsia="Calibri"/>
                <w:lang w:eastAsia="en-US"/>
              </w:rPr>
              <w:t>XIII edycja Akademii Praw Człowieka</w:t>
            </w:r>
            <w:r w:rsidR="00992FD0" w:rsidRPr="00EC250C">
              <w:rPr>
                <w:rFonts w:eastAsia="Calibri"/>
                <w:lang w:eastAsia="en-US"/>
              </w:rPr>
              <w:t xml:space="preserve"> i </w:t>
            </w:r>
            <w:r w:rsidRPr="00EC250C">
              <w:rPr>
                <w:rFonts w:eastAsia="Calibri"/>
                <w:lang w:eastAsia="en-US"/>
              </w:rPr>
              <w:t>Aktywności Obywatelskiej</w:t>
            </w:r>
          </w:p>
        </w:tc>
        <w:tc>
          <w:tcPr>
            <w:tcW w:w="2022" w:type="dxa"/>
            <w:shd w:val="clear" w:color="auto" w:fill="auto"/>
          </w:tcPr>
          <w:p w14:paraId="3766C026"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27EEBCA5" w14:textId="77777777" w:rsidTr="00FC47F2">
        <w:tc>
          <w:tcPr>
            <w:tcW w:w="596" w:type="dxa"/>
            <w:shd w:val="clear" w:color="auto" w:fill="auto"/>
            <w:vAlign w:val="center"/>
          </w:tcPr>
          <w:p w14:paraId="4C866F66"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C6C748B" w14:textId="77777777" w:rsidR="007E515C" w:rsidRPr="00EC250C" w:rsidRDefault="007E515C" w:rsidP="00D131FA">
            <w:pPr>
              <w:pStyle w:val="Tabela"/>
              <w:jc w:val="both"/>
              <w:rPr>
                <w:rFonts w:eastAsia="Calibri"/>
                <w:lang w:eastAsia="en-US"/>
              </w:rPr>
            </w:pPr>
            <w:r w:rsidRPr="00EC250C">
              <w:rPr>
                <w:rFonts w:eastAsia="Calibri"/>
                <w:lang w:eastAsia="en-US"/>
              </w:rPr>
              <w:t xml:space="preserve">Noc Żywych Bibliotek </w:t>
            </w:r>
          </w:p>
        </w:tc>
        <w:tc>
          <w:tcPr>
            <w:tcW w:w="2022" w:type="dxa"/>
            <w:shd w:val="clear" w:color="auto" w:fill="auto"/>
          </w:tcPr>
          <w:p w14:paraId="47BFE631"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66B818D4" w14:textId="77777777" w:rsidTr="00FC47F2">
        <w:tc>
          <w:tcPr>
            <w:tcW w:w="596" w:type="dxa"/>
            <w:shd w:val="clear" w:color="auto" w:fill="auto"/>
            <w:vAlign w:val="center"/>
          </w:tcPr>
          <w:p w14:paraId="0CC7CD6D"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8208D03" w14:textId="77777777" w:rsidR="007E515C" w:rsidRPr="00EC250C" w:rsidRDefault="007E515C" w:rsidP="00D131FA">
            <w:pPr>
              <w:pStyle w:val="Tabela"/>
              <w:jc w:val="both"/>
              <w:rPr>
                <w:rFonts w:eastAsia="Calibri"/>
                <w:lang w:eastAsia="en-US"/>
              </w:rPr>
            </w:pPr>
            <w:r w:rsidRPr="00EC250C">
              <w:rPr>
                <w:rFonts w:eastAsia="Calibri"/>
                <w:lang w:eastAsia="en-US"/>
              </w:rPr>
              <w:t>Kongres „Prawo dla odpowiedzialności”</w:t>
            </w:r>
          </w:p>
        </w:tc>
        <w:tc>
          <w:tcPr>
            <w:tcW w:w="2022" w:type="dxa"/>
            <w:shd w:val="clear" w:color="auto" w:fill="auto"/>
          </w:tcPr>
          <w:p w14:paraId="43CE91B1"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2A63C2A7" w14:textId="77777777" w:rsidTr="00FC47F2">
        <w:tc>
          <w:tcPr>
            <w:tcW w:w="596" w:type="dxa"/>
            <w:shd w:val="clear" w:color="auto" w:fill="auto"/>
            <w:vAlign w:val="center"/>
          </w:tcPr>
          <w:p w14:paraId="3F9D5B93"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12CEF916" w14:textId="77777777" w:rsidR="007E515C" w:rsidRPr="00EC250C" w:rsidRDefault="007E515C" w:rsidP="00D131FA">
            <w:pPr>
              <w:pStyle w:val="Tabela"/>
              <w:jc w:val="both"/>
              <w:rPr>
                <w:rFonts w:eastAsia="Calibri"/>
                <w:lang w:eastAsia="en-US"/>
              </w:rPr>
            </w:pPr>
            <w:r w:rsidRPr="00EC250C">
              <w:rPr>
                <w:rFonts w:eastAsia="Calibri"/>
                <w:lang w:eastAsia="en-US"/>
              </w:rPr>
              <w:t>36. „Łemkowska Watra”</w:t>
            </w:r>
          </w:p>
        </w:tc>
        <w:tc>
          <w:tcPr>
            <w:tcW w:w="2022" w:type="dxa"/>
            <w:shd w:val="clear" w:color="auto" w:fill="auto"/>
          </w:tcPr>
          <w:p w14:paraId="29367CF0" w14:textId="77777777" w:rsidR="007E515C" w:rsidRPr="00EC250C" w:rsidRDefault="007E515C" w:rsidP="00D131FA">
            <w:pPr>
              <w:pStyle w:val="Tabela"/>
              <w:jc w:val="both"/>
              <w:rPr>
                <w:rFonts w:eastAsia="Calibri"/>
                <w:lang w:eastAsia="en-US"/>
              </w:rPr>
            </w:pPr>
            <w:r w:rsidRPr="00EC250C">
              <w:rPr>
                <w:rFonts w:eastAsia="Calibri"/>
                <w:lang w:eastAsia="en-US"/>
              </w:rPr>
              <w:t>Zdynia</w:t>
            </w:r>
          </w:p>
        </w:tc>
      </w:tr>
      <w:tr w:rsidR="007E515C" w:rsidRPr="00EC250C" w14:paraId="19017087" w14:textId="77777777" w:rsidTr="00FC47F2">
        <w:tc>
          <w:tcPr>
            <w:tcW w:w="596" w:type="dxa"/>
            <w:shd w:val="clear" w:color="auto" w:fill="auto"/>
            <w:vAlign w:val="center"/>
          </w:tcPr>
          <w:p w14:paraId="502F54BD"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42D2A8DB" w14:textId="77777777" w:rsidR="007E515C" w:rsidRPr="00EC250C" w:rsidRDefault="007E515C" w:rsidP="00D131FA">
            <w:pPr>
              <w:pStyle w:val="Tabela"/>
              <w:jc w:val="both"/>
              <w:rPr>
                <w:rFonts w:eastAsia="Calibri"/>
                <w:lang w:eastAsia="en-US"/>
              </w:rPr>
            </w:pPr>
            <w:r w:rsidRPr="00EC250C">
              <w:rPr>
                <w:rFonts w:eastAsia="Calibri"/>
                <w:lang w:eastAsia="en-US"/>
              </w:rPr>
              <w:t>Turniej „Wykopmy Rasizm ze Stadionów”</w:t>
            </w:r>
          </w:p>
        </w:tc>
        <w:tc>
          <w:tcPr>
            <w:tcW w:w="2022" w:type="dxa"/>
            <w:shd w:val="clear" w:color="auto" w:fill="auto"/>
          </w:tcPr>
          <w:p w14:paraId="26A4BD5D" w14:textId="77777777" w:rsidR="007E515C" w:rsidRPr="00EC250C" w:rsidRDefault="007E515C" w:rsidP="00D131FA">
            <w:pPr>
              <w:pStyle w:val="Tabela"/>
              <w:jc w:val="both"/>
              <w:rPr>
                <w:rFonts w:eastAsia="Calibri"/>
                <w:lang w:eastAsia="en-US"/>
              </w:rPr>
            </w:pPr>
            <w:r w:rsidRPr="00EC250C">
              <w:rPr>
                <w:rFonts w:eastAsia="Calibri"/>
                <w:lang w:eastAsia="en-US"/>
              </w:rPr>
              <w:t>Kostrzyn nad Odrą</w:t>
            </w:r>
          </w:p>
        </w:tc>
      </w:tr>
      <w:tr w:rsidR="007E515C" w:rsidRPr="00EC250C" w14:paraId="0A09B4FF" w14:textId="77777777" w:rsidTr="00FC47F2">
        <w:tc>
          <w:tcPr>
            <w:tcW w:w="596" w:type="dxa"/>
            <w:shd w:val="clear" w:color="auto" w:fill="auto"/>
            <w:vAlign w:val="center"/>
          </w:tcPr>
          <w:p w14:paraId="6746B96A"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1F441790" w14:textId="77777777" w:rsidR="007E515C" w:rsidRPr="00EC250C" w:rsidRDefault="007E515C" w:rsidP="00D131FA">
            <w:pPr>
              <w:pStyle w:val="Tabela"/>
              <w:jc w:val="both"/>
              <w:rPr>
                <w:rFonts w:eastAsia="Calibri"/>
                <w:lang w:eastAsia="en-US"/>
              </w:rPr>
            </w:pPr>
            <w:r w:rsidRPr="00EC250C">
              <w:rPr>
                <w:rFonts w:eastAsia="Calibri"/>
                <w:lang w:eastAsia="en-US"/>
              </w:rPr>
              <w:t>Konferencja pt. „Prawa Człowieka</w:t>
            </w:r>
            <w:r w:rsidR="00992FD0" w:rsidRPr="00EC250C">
              <w:rPr>
                <w:rFonts w:eastAsia="Calibri"/>
                <w:lang w:eastAsia="en-US"/>
              </w:rPr>
              <w:t xml:space="preserve"> i </w:t>
            </w:r>
            <w:r w:rsidRPr="00EC250C">
              <w:rPr>
                <w:rFonts w:eastAsia="Calibri"/>
                <w:lang w:eastAsia="en-US"/>
              </w:rPr>
              <w:t>Ludzkie Bezpieczeństwo – Osiągnięcia</w:t>
            </w:r>
            <w:r w:rsidR="00992FD0" w:rsidRPr="00EC250C">
              <w:rPr>
                <w:rFonts w:eastAsia="Calibri"/>
                <w:lang w:eastAsia="en-US"/>
              </w:rPr>
              <w:t xml:space="preserve"> i </w:t>
            </w:r>
            <w:r w:rsidRPr="00EC250C">
              <w:rPr>
                <w:rFonts w:eastAsia="Calibri"/>
                <w:lang w:eastAsia="en-US"/>
              </w:rPr>
              <w:t>Wyzwania”</w:t>
            </w:r>
          </w:p>
        </w:tc>
        <w:tc>
          <w:tcPr>
            <w:tcW w:w="2022" w:type="dxa"/>
            <w:shd w:val="clear" w:color="auto" w:fill="auto"/>
          </w:tcPr>
          <w:p w14:paraId="1248B30D" w14:textId="77777777" w:rsidR="007E515C" w:rsidRPr="00EC250C" w:rsidRDefault="007E515C" w:rsidP="00D131FA">
            <w:pPr>
              <w:pStyle w:val="Tabela"/>
              <w:jc w:val="both"/>
              <w:rPr>
                <w:rFonts w:eastAsia="Calibri"/>
                <w:lang w:eastAsia="en-US"/>
              </w:rPr>
            </w:pPr>
            <w:r w:rsidRPr="00EC250C">
              <w:rPr>
                <w:rFonts w:eastAsia="Calibri"/>
                <w:lang w:eastAsia="en-US"/>
              </w:rPr>
              <w:t>Gdańsk</w:t>
            </w:r>
          </w:p>
        </w:tc>
      </w:tr>
      <w:tr w:rsidR="007E515C" w:rsidRPr="00EC250C" w14:paraId="7021B8B5" w14:textId="77777777" w:rsidTr="00FC47F2">
        <w:tc>
          <w:tcPr>
            <w:tcW w:w="596" w:type="dxa"/>
            <w:shd w:val="clear" w:color="auto" w:fill="auto"/>
            <w:vAlign w:val="center"/>
          </w:tcPr>
          <w:p w14:paraId="317141C0"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0F4358B" w14:textId="77777777" w:rsidR="007E515C" w:rsidRPr="00EC250C" w:rsidRDefault="007E515C" w:rsidP="00D131FA">
            <w:pPr>
              <w:pStyle w:val="Tabela"/>
              <w:jc w:val="both"/>
              <w:rPr>
                <w:rFonts w:eastAsia="Calibri"/>
                <w:lang w:eastAsia="en-US"/>
              </w:rPr>
            </w:pPr>
            <w:r w:rsidRPr="00EC250C">
              <w:rPr>
                <w:rFonts w:eastAsia="Calibri"/>
                <w:lang w:eastAsia="en-US"/>
              </w:rPr>
              <w:t>V Śląski Piknik Rodzinny</w:t>
            </w:r>
          </w:p>
        </w:tc>
        <w:tc>
          <w:tcPr>
            <w:tcW w:w="2022" w:type="dxa"/>
            <w:shd w:val="clear" w:color="auto" w:fill="auto"/>
          </w:tcPr>
          <w:p w14:paraId="13B70AB0" w14:textId="77777777" w:rsidR="007E515C" w:rsidRPr="00EC250C" w:rsidRDefault="007E515C" w:rsidP="00D131FA">
            <w:pPr>
              <w:pStyle w:val="Tabela"/>
              <w:jc w:val="both"/>
              <w:rPr>
                <w:rFonts w:eastAsia="Calibri"/>
                <w:lang w:eastAsia="en-US"/>
              </w:rPr>
            </w:pPr>
            <w:r w:rsidRPr="00EC250C">
              <w:rPr>
                <w:rFonts w:eastAsia="Calibri"/>
                <w:lang w:eastAsia="en-US"/>
              </w:rPr>
              <w:t>Gliwice</w:t>
            </w:r>
          </w:p>
        </w:tc>
      </w:tr>
      <w:tr w:rsidR="007E515C" w:rsidRPr="00EC250C" w14:paraId="0E48E842" w14:textId="77777777" w:rsidTr="00FC47F2">
        <w:tc>
          <w:tcPr>
            <w:tcW w:w="596" w:type="dxa"/>
            <w:shd w:val="clear" w:color="auto" w:fill="auto"/>
            <w:vAlign w:val="center"/>
          </w:tcPr>
          <w:p w14:paraId="58B7EF7D"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236B7271" w14:textId="77777777" w:rsidR="007E515C" w:rsidRPr="00EC250C" w:rsidRDefault="007E515C" w:rsidP="00D131FA">
            <w:pPr>
              <w:pStyle w:val="Tabela"/>
              <w:jc w:val="both"/>
              <w:rPr>
                <w:rFonts w:eastAsia="Calibri"/>
                <w:lang w:eastAsia="en-US"/>
              </w:rPr>
            </w:pPr>
            <w:r w:rsidRPr="00EC250C">
              <w:rPr>
                <w:rFonts w:eastAsia="Calibri"/>
                <w:lang w:eastAsia="en-US"/>
              </w:rPr>
              <w:t>7. edycja Kampanii Twarze Depresji</w:t>
            </w:r>
          </w:p>
        </w:tc>
        <w:tc>
          <w:tcPr>
            <w:tcW w:w="2022" w:type="dxa"/>
            <w:shd w:val="clear" w:color="auto" w:fill="auto"/>
          </w:tcPr>
          <w:p w14:paraId="6C121F55"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75969BC7" w14:textId="77777777" w:rsidTr="00FC47F2">
        <w:tc>
          <w:tcPr>
            <w:tcW w:w="596" w:type="dxa"/>
            <w:shd w:val="clear" w:color="auto" w:fill="auto"/>
            <w:vAlign w:val="center"/>
          </w:tcPr>
          <w:p w14:paraId="1E02E081"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F6B7500" w14:textId="77777777" w:rsidR="007E515C" w:rsidRPr="00EC250C" w:rsidRDefault="007E515C" w:rsidP="00D131FA">
            <w:pPr>
              <w:pStyle w:val="Tabela"/>
              <w:jc w:val="both"/>
              <w:rPr>
                <w:rFonts w:eastAsia="Calibri"/>
                <w:lang w:eastAsia="en-US"/>
              </w:rPr>
            </w:pPr>
            <w:r w:rsidRPr="00EC250C">
              <w:rPr>
                <w:rFonts w:eastAsia="Calibri"/>
                <w:lang w:eastAsia="en-US"/>
              </w:rPr>
              <w:t>XXIV Przegląd Umiejętności Artystycznych Amatorskich Zespołów Seniorów</w:t>
            </w:r>
            <w:r w:rsidR="00992FD0" w:rsidRPr="00EC250C">
              <w:rPr>
                <w:rFonts w:eastAsia="Calibri"/>
                <w:lang w:eastAsia="en-US"/>
              </w:rPr>
              <w:t xml:space="preserve"> i </w:t>
            </w:r>
            <w:r w:rsidRPr="00EC250C">
              <w:rPr>
                <w:rFonts w:eastAsia="Calibri"/>
                <w:lang w:eastAsia="en-US"/>
              </w:rPr>
              <w:t>Osób Niepełnosprawnych PUMA 2018</w:t>
            </w:r>
          </w:p>
        </w:tc>
        <w:tc>
          <w:tcPr>
            <w:tcW w:w="2022" w:type="dxa"/>
            <w:shd w:val="clear" w:color="auto" w:fill="auto"/>
          </w:tcPr>
          <w:p w14:paraId="08746D6D" w14:textId="77777777" w:rsidR="007E515C" w:rsidRPr="00EC250C" w:rsidRDefault="007E515C" w:rsidP="00D131FA">
            <w:pPr>
              <w:pStyle w:val="Tabela"/>
              <w:jc w:val="both"/>
              <w:rPr>
                <w:rFonts w:eastAsia="Calibri"/>
                <w:lang w:eastAsia="en-US"/>
              </w:rPr>
            </w:pPr>
            <w:r w:rsidRPr="00EC250C">
              <w:rPr>
                <w:rFonts w:eastAsia="Calibri"/>
                <w:lang w:eastAsia="en-US"/>
              </w:rPr>
              <w:t>Dąbrowa Górnicza</w:t>
            </w:r>
          </w:p>
        </w:tc>
      </w:tr>
      <w:tr w:rsidR="007E515C" w:rsidRPr="00EC250C" w14:paraId="7F2A6E24" w14:textId="77777777" w:rsidTr="00FC47F2">
        <w:tc>
          <w:tcPr>
            <w:tcW w:w="596" w:type="dxa"/>
            <w:shd w:val="clear" w:color="auto" w:fill="auto"/>
            <w:vAlign w:val="center"/>
          </w:tcPr>
          <w:p w14:paraId="2DE30F70"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7AD4161F" w14:textId="77777777" w:rsidR="007E515C" w:rsidRPr="00EC250C" w:rsidRDefault="007E515C" w:rsidP="00D131FA">
            <w:pPr>
              <w:pStyle w:val="Tabela"/>
              <w:jc w:val="both"/>
              <w:rPr>
                <w:rFonts w:eastAsia="Calibri"/>
                <w:lang w:val="en-US" w:eastAsia="en-US"/>
              </w:rPr>
            </w:pPr>
            <w:r w:rsidRPr="00EC250C">
              <w:rPr>
                <w:rFonts w:eastAsia="Calibri"/>
                <w:lang w:val="en-US" w:eastAsia="en-US"/>
              </w:rPr>
              <w:t>Międzynarodowe sympozjum naukowe pt. „Women's rights – contemporary issues and challenges”</w:t>
            </w:r>
          </w:p>
        </w:tc>
        <w:tc>
          <w:tcPr>
            <w:tcW w:w="2022" w:type="dxa"/>
            <w:shd w:val="clear" w:color="auto" w:fill="auto"/>
          </w:tcPr>
          <w:p w14:paraId="3561ACAE" w14:textId="77777777" w:rsidR="007E515C" w:rsidRPr="00EC250C" w:rsidRDefault="007E515C" w:rsidP="00D131FA">
            <w:pPr>
              <w:pStyle w:val="Tabela"/>
              <w:jc w:val="both"/>
              <w:rPr>
                <w:rFonts w:eastAsia="Calibri"/>
                <w:lang w:eastAsia="en-US"/>
              </w:rPr>
            </w:pPr>
            <w:r w:rsidRPr="00EC250C">
              <w:rPr>
                <w:rFonts w:eastAsia="Calibri"/>
                <w:lang w:eastAsia="en-US"/>
              </w:rPr>
              <w:t>Toruń</w:t>
            </w:r>
          </w:p>
        </w:tc>
      </w:tr>
      <w:tr w:rsidR="007E515C" w:rsidRPr="00EC250C" w14:paraId="019E5630" w14:textId="77777777" w:rsidTr="00FC47F2">
        <w:tc>
          <w:tcPr>
            <w:tcW w:w="596" w:type="dxa"/>
            <w:shd w:val="clear" w:color="auto" w:fill="auto"/>
            <w:vAlign w:val="center"/>
          </w:tcPr>
          <w:p w14:paraId="19D0609A"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A16C1CB" w14:textId="77777777" w:rsidR="007E515C" w:rsidRPr="00EC250C" w:rsidRDefault="007E515C" w:rsidP="00D131FA">
            <w:pPr>
              <w:pStyle w:val="Tabela"/>
              <w:jc w:val="both"/>
              <w:rPr>
                <w:rFonts w:eastAsia="Calibri"/>
                <w:lang w:eastAsia="en-US"/>
              </w:rPr>
            </w:pPr>
            <w:r w:rsidRPr="00EC250C">
              <w:rPr>
                <w:rFonts w:eastAsia="Calibri"/>
                <w:lang w:eastAsia="en-US"/>
              </w:rPr>
              <w:t>Ogólnopolski konkurs dla młodzieży szkolnej „Poznajmy się”</w:t>
            </w:r>
          </w:p>
        </w:tc>
        <w:tc>
          <w:tcPr>
            <w:tcW w:w="2022" w:type="dxa"/>
            <w:shd w:val="clear" w:color="auto" w:fill="auto"/>
          </w:tcPr>
          <w:p w14:paraId="06157E63"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396E9446" w14:textId="77777777" w:rsidTr="00FC47F2">
        <w:tc>
          <w:tcPr>
            <w:tcW w:w="596" w:type="dxa"/>
            <w:shd w:val="clear" w:color="auto" w:fill="auto"/>
            <w:vAlign w:val="center"/>
          </w:tcPr>
          <w:p w14:paraId="325D2816"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3AD793C2" w14:textId="77777777" w:rsidR="007E515C" w:rsidRPr="00EC250C" w:rsidRDefault="007E515C" w:rsidP="00D131FA">
            <w:pPr>
              <w:pStyle w:val="Tabela"/>
              <w:jc w:val="both"/>
              <w:rPr>
                <w:rFonts w:eastAsia="Calibri"/>
                <w:lang w:eastAsia="en-US"/>
              </w:rPr>
            </w:pPr>
            <w:r w:rsidRPr="00EC250C">
              <w:rPr>
                <w:rFonts w:eastAsia="Calibri"/>
                <w:lang w:eastAsia="en-US"/>
              </w:rPr>
              <w:t>Międzynarodowy Dzień Osób Starszych</w:t>
            </w:r>
          </w:p>
        </w:tc>
        <w:tc>
          <w:tcPr>
            <w:tcW w:w="2022" w:type="dxa"/>
            <w:shd w:val="clear" w:color="auto" w:fill="auto"/>
          </w:tcPr>
          <w:p w14:paraId="7B4C4E8E"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49948EC0" w14:textId="77777777" w:rsidTr="00FC47F2">
        <w:tc>
          <w:tcPr>
            <w:tcW w:w="596" w:type="dxa"/>
            <w:shd w:val="clear" w:color="auto" w:fill="auto"/>
            <w:vAlign w:val="center"/>
          </w:tcPr>
          <w:p w14:paraId="623B107A"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EF40A5D" w14:textId="77777777" w:rsidR="007E515C" w:rsidRPr="00EC250C" w:rsidRDefault="007E515C" w:rsidP="00D131FA">
            <w:pPr>
              <w:pStyle w:val="Tabela"/>
              <w:jc w:val="both"/>
              <w:rPr>
                <w:rFonts w:eastAsia="Calibri"/>
                <w:lang w:eastAsia="en-US"/>
              </w:rPr>
            </w:pPr>
            <w:r w:rsidRPr="00EC250C">
              <w:rPr>
                <w:rFonts w:eastAsia="Calibri"/>
                <w:lang w:eastAsia="en-US"/>
              </w:rPr>
              <w:t>15. Ogólnopolska konferencja pt. „Pomoc dzieciom</w:t>
            </w:r>
            <w:r w:rsidR="00026572" w:rsidRPr="00EC250C">
              <w:rPr>
                <w:rFonts w:eastAsia="Calibri"/>
                <w:lang w:eastAsia="en-US"/>
              </w:rPr>
              <w:t xml:space="preserve"> – </w:t>
            </w:r>
            <w:r w:rsidRPr="00EC250C">
              <w:rPr>
                <w:rFonts w:eastAsia="Calibri"/>
                <w:lang w:eastAsia="en-US"/>
              </w:rPr>
              <w:t>ofiarom przestępstw”</w:t>
            </w:r>
          </w:p>
        </w:tc>
        <w:tc>
          <w:tcPr>
            <w:tcW w:w="2022" w:type="dxa"/>
            <w:shd w:val="clear" w:color="auto" w:fill="auto"/>
          </w:tcPr>
          <w:p w14:paraId="433E56CB"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1CE27024" w14:textId="77777777" w:rsidTr="00FC47F2">
        <w:tc>
          <w:tcPr>
            <w:tcW w:w="596" w:type="dxa"/>
            <w:shd w:val="clear" w:color="auto" w:fill="auto"/>
            <w:vAlign w:val="center"/>
          </w:tcPr>
          <w:p w14:paraId="63352FE5"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A7B3D5C" w14:textId="77777777" w:rsidR="007E515C" w:rsidRPr="00EC250C" w:rsidRDefault="007E515C" w:rsidP="00D131FA">
            <w:pPr>
              <w:pStyle w:val="Tabela"/>
              <w:jc w:val="both"/>
              <w:rPr>
                <w:rFonts w:eastAsia="Calibri"/>
                <w:lang w:eastAsia="en-US"/>
              </w:rPr>
            </w:pPr>
            <w:r w:rsidRPr="00EC250C">
              <w:rPr>
                <w:rFonts w:eastAsia="Calibri"/>
                <w:lang w:eastAsia="en-US"/>
              </w:rPr>
              <w:t>Konferencja pt. „XX lat Ordynacji podatkowej. Czas na nową?”</w:t>
            </w:r>
          </w:p>
        </w:tc>
        <w:tc>
          <w:tcPr>
            <w:tcW w:w="2022" w:type="dxa"/>
            <w:shd w:val="clear" w:color="auto" w:fill="auto"/>
          </w:tcPr>
          <w:p w14:paraId="34EDABBE"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1AAFD5A4" w14:textId="77777777" w:rsidTr="00FC47F2">
        <w:tc>
          <w:tcPr>
            <w:tcW w:w="596" w:type="dxa"/>
            <w:shd w:val="clear" w:color="auto" w:fill="auto"/>
            <w:vAlign w:val="center"/>
          </w:tcPr>
          <w:p w14:paraId="35F4DFEF"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E3F98E9" w14:textId="77777777" w:rsidR="007E515C" w:rsidRPr="00EC250C" w:rsidRDefault="007E515C" w:rsidP="00D131FA">
            <w:pPr>
              <w:pStyle w:val="Tabela"/>
              <w:jc w:val="both"/>
              <w:rPr>
                <w:rFonts w:eastAsia="Calibri"/>
                <w:lang w:eastAsia="en-US"/>
              </w:rPr>
            </w:pPr>
            <w:r w:rsidRPr="00EC250C">
              <w:rPr>
                <w:rFonts w:eastAsia="Calibri"/>
                <w:lang w:eastAsia="en-US"/>
              </w:rPr>
              <w:t>III Śląskie Forum Karnoprocesowe</w:t>
            </w:r>
          </w:p>
        </w:tc>
        <w:tc>
          <w:tcPr>
            <w:tcW w:w="2022" w:type="dxa"/>
            <w:shd w:val="clear" w:color="auto" w:fill="auto"/>
          </w:tcPr>
          <w:p w14:paraId="38D9E841" w14:textId="77777777" w:rsidR="007E515C" w:rsidRPr="00EC250C" w:rsidRDefault="007E515C" w:rsidP="00D131FA">
            <w:pPr>
              <w:pStyle w:val="Tabela"/>
              <w:jc w:val="both"/>
              <w:rPr>
                <w:rFonts w:eastAsia="Calibri"/>
                <w:lang w:eastAsia="en-US"/>
              </w:rPr>
            </w:pPr>
            <w:r w:rsidRPr="00EC250C">
              <w:rPr>
                <w:rFonts w:eastAsia="Calibri"/>
                <w:lang w:eastAsia="en-US"/>
              </w:rPr>
              <w:t>Katowice</w:t>
            </w:r>
          </w:p>
        </w:tc>
      </w:tr>
      <w:tr w:rsidR="007E515C" w:rsidRPr="00EC250C" w14:paraId="51033310" w14:textId="77777777" w:rsidTr="00FC47F2">
        <w:tc>
          <w:tcPr>
            <w:tcW w:w="596" w:type="dxa"/>
            <w:shd w:val="clear" w:color="auto" w:fill="auto"/>
            <w:vAlign w:val="center"/>
          </w:tcPr>
          <w:p w14:paraId="66A3A7C1"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2F677347" w14:textId="77777777" w:rsidR="007E515C" w:rsidRPr="00EC250C" w:rsidRDefault="007E515C" w:rsidP="00D131FA">
            <w:pPr>
              <w:pStyle w:val="Tabela"/>
              <w:jc w:val="both"/>
              <w:rPr>
                <w:rFonts w:eastAsia="Calibri"/>
                <w:lang w:eastAsia="en-US"/>
              </w:rPr>
            </w:pPr>
            <w:r w:rsidRPr="00EC250C">
              <w:rPr>
                <w:rFonts w:eastAsia="Calibri"/>
                <w:lang w:eastAsia="en-US"/>
              </w:rPr>
              <w:t>Kampania społecznej na rzecz podniesienia świadomości na temat chorób</w:t>
            </w:r>
            <w:r w:rsidR="00992FD0" w:rsidRPr="00EC250C">
              <w:rPr>
                <w:rFonts w:eastAsia="Calibri"/>
                <w:lang w:eastAsia="en-US"/>
              </w:rPr>
              <w:t xml:space="preserve"> i </w:t>
            </w:r>
            <w:r w:rsidRPr="00EC250C">
              <w:rPr>
                <w:rFonts w:eastAsia="Calibri"/>
                <w:lang w:eastAsia="en-US"/>
              </w:rPr>
              <w:t>zaburzeń psychicznych „Odmień swoją głowę”</w:t>
            </w:r>
          </w:p>
        </w:tc>
        <w:tc>
          <w:tcPr>
            <w:tcW w:w="2022" w:type="dxa"/>
            <w:shd w:val="clear" w:color="auto" w:fill="auto"/>
          </w:tcPr>
          <w:p w14:paraId="2EBE2E4E" w14:textId="77777777" w:rsidR="007E515C" w:rsidRPr="00EC250C" w:rsidRDefault="007E515C" w:rsidP="00D131FA">
            <w:pPr>
              <w:pStyle w:val="Tabela"/>
              <w:jc w:val="both"/>
              <w:rPr>
                <w:rFonts w:eastAsia="Calibri"/>
                <w:lang w:eastAsia="en-US"/>
              </w:rPr>
            </w:pPr>
            <w:r w:rsidRPr="00EC250C">
              <w:rPr>
                <w:rFonts w:eastAsia="Calibri"/>
                <w:lang w:eastAsia="en-US"/>
              </w:rPr>
              <w:t>Trójmiasto</w:t>
            </w:r>
          </w:p>
        </w:tc>
      </w:tr>
      <w:tr w:rsidR="007E515C" w:rsidRPr="00EC250C" w14:paraId="5EFAABDD" w14:textId="77777777" w:rsidTr="00FC47F2">
        <w:tc>
          <w:tcPr>
            <w:tcW w:w="596" w:type="dxa"/>
            <w:shd w:val="clear" w:color="auto" w:fill="auto"/>
            <w:vAlign w:val="center"/>
          </w:tcPr>
          <w:p w14:paraId="02CAC6A8"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3833C657" w14:textId="77777777" w:rsidR="007E515C" w:rsidRPr="00EC250C" w:rsidRDefault="007E515C" w:rsidP="00D131FA">
            <w:pPr>
              <w:pStyle w:val="Tabela"/>
              <w:jc w:val="both"/>
              <w:rPr>
                <w:rFonts w:eastAsia="Calibri"/>
                <w:lang w:eastAsia="en-US"/>
              </w:rPr>
            </w:pPr>
            <w:r w:rsidRPr="00EC250C">
              <w:rPr>
                <w:rFonts w:eastAsia="Calibri"/>
                <w:lang w:eastAsia="en-US"/>
              </w:rPr>
              <w:t>Konkurs OKO.press na dziennik migrantów</w:t>
            </w:r>
            <w:r w:rsidR="00992FD0" w:rsidRPr="00EC250C">
              <w:rPr>
                <w:rFonts w:eastAsia="Calibri"/>
                <w:lang w:eastAsia="en-US"/>
              </w:rPr>
              <w:t xml:space="preserve"> i </w:t>
            </w:r>
            <w:r w:rsidRPr="00EC250C">
              <w:rPr>
                <w:rFonts w:eastAsia="Calibri"/>
                <w:lang w:eastAsia="en-US"/>
              </w:rPr>
              <w:t>migrantek</w:t>
            </w:r>
            <w:r w:rsidR="00992FD0" w:rsidRPr="00EC250C">
              <w:rPr>
                <w:rFonts w:eastAsia="Calibri"/>
                <w:lang w:eastAsia="en-US"/>
              </w:rPr>
              <w:t xml:space="preserve"> w </w:t>
            </w:r>
            <w:r w:rsidRPr="00EC250C">
              <w:rPr>
                <w:rFonts w:eastAsia="Calibri"/>
                <w:lang w:eastAsia="en-US"/>
              </w:rPr>
              <w:t>Polsce</w:t>
            </w:r>
          </w:p>
        </w:tc>
        <w:tc>
          <w:tcPr>
            <w:tcW w:w="2022" w:type="dxa"/>
            <w:shd w:val="clear" w:color="auto" w:fill="auto"/>
          </w:tcPr>
          <w:p w14:paraId="354CD100"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2D424863" w14:textId="77777777" w:rsidTr="00FC47F2">
        <w:tc>
          <w:tcPr>
            <w:tcW w:w="596" w:type="dxa"/>
            <w:shd w:val="clear" w:color="auto" w:fill="auto"/>
            <w:vAlign w:val="center"/>
          </w:tcPr>
          <w:p w14:paraId="51A02655"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7EB7E0C" w14:textId="77777777" w:rsidR="007E515C" w:rsidRPr="00EC250C" w:rsidRDefault="007E515C" w:rsidP="00D131FA">
            <w:pPr>
              <w:pStyle w:val="Tabela"/>
              <w:jc w:val="both"/>
              <w:rPr>
                <w:rFonts w:eastAsia="Calibri"/>
                <w:lang w:eastAsia="en-US"/>
              </w:rPr>
            </w:pPr>
            <w:r w:rsidRPr="00EC250C">
              <w:rPr>
                <w:rFonts w:eastAsia="Calibri"/>
                <w:lang w:eastAsia="en-US"/>
              </w:rPr>
              <w:t>Projekt „Rok leadershipu kobiet”</w:t>
            </w:r>
          </w:p>
        </w:tc>
        <w:tc>
          <w:tcPr>
            <w:tcW w:w="2022" w:type="dxa"/>
            <w:shd w:val="clear" w:color="auto" w:fill="auto"/>
          </w:tcPr>
          <w:p w14:paraId="704F4CCD" w14:textId="77777777" w:rsidR="007E515C" w:rsidRPr="00EC250C" w:rsidRDefault="007E515C" w:rsidP="00D131FA">
            <w:pPr>
              <w:pStyle w:val="Tabela"/>
              <w:jc w:val="both"/>
              <w:rPr>
                <w:rFonts w:eastAsia="Calibri"/>
                <w:lang w:eastAsia="en-US"/>
              </w:rPr>
            </w:pPr>
            <w:r w:rsidRPr="00EC250C">
              <w:rPr>
                <w:rFonts w:eastAsia="Calibri"/>
                <w:lang w:eastAsia="en-US"/>
              </w:rPr>
              <w:t>Kraków</w:t>
            </w:r>
          </w:p>
        </w:tc>
      </w:tr>
      <w:tr w:rsidR="007E515C" w:rsidRPr="00EC250C" w14:paraId="2BEF62A0" w14:textId="77777777" w:rsidTr="00FC47F2">
        <w:tc>
          <w:tcPr>
            <w:tcW w:w="596" w:type="dxa"/>
            <w:shd w:val="clear" w:color="auto" w:fill="auto"/>
            <w:vAlign w:val="center"/>
          </w:tcPr>
          <w:p w14:paraId="62DFD7CD"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4066CB82" w14:textId="77777777" w:rsidR="007E515C" w:rsidRPr="00EC250C" w:rsidRDefault="007E515C" w:rsidP="00D131FA">
            <w:pPr>
              <w:pStyle w:val="Tabela"/>
              <w:jc w:val="both"/>
              <w:rPr>
                <w:rFonts w:eastAsia="Calibri"/>
                <w:lang w:eastAsia="en-US"/>
              </w:rPr>
            </w:pPr>
            <w:r w:rsidRPr="00EC250C">
              <w:rPr>
                <w:rFonts w:eastAsia="Calibri"/>
                <w:lang w:eastAsia="en-US"/>
              </w:rPr>
              <w:t xml:space="preserve">Konferencja pt. „Niepełnosprawni na rynku pracy” </w:t>
            </w:r>
          </w:p>
        </w:tc>
        <w:tc>
          <w:tcPr>
            <w:tcW w:w="2022" w:type="dxa"/>
            <w:shd w:val="clear" w:color="auto" w:fill="auto"/>
          </w:tcPr>
          <w:p w14:paraId="429A139E" w14:textId="77777777" w:rsidR="007E515C" w:rsidRPr="00EC250C" w:rsidRDefault="007E515C" w:rsidP="00D131FA">
            <w:pPr>
              <w:pStyle w:val="Tabela"/>
              <w:jc w:val="both"/>
              <w:rPr>
                <w:rFonts w:eastAsia="Calibri"/>
                <w:lang w:eastAsia="en-US"/>
              </w:rPr>
            </w:pPr>
            <w:r w:rsidRPr="00EC250C">
              <w:rPr>
                <w:rFonts w:eastAsia="Calibri"/>
                <w:lang w:eastAsia="en-US"/>
              </w:rPr>
              <w:t>Łódź</w:t>
            </w:r>
          </w:p>
        </w:tc>
      </w:tr>
      <w:tr w:rsidR="007E515C" w:rsidRPr="00EC250C" w14:paraId="6EE5734D" w14:textId="77777777" w:rsidTr="00FC47F2">
        <w:tc>
          <w:tcPr>
            <w:tcW w:w="596" w:type="dxa"/>
            <w:shd w:val="clear" w:color="auto" w:fill="auto"/>
            <w:vAlign w:val="center"/>
          </w:tcPr>
          <w:p w14:paraId="19A75FE1"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451606B7" w14:textId="77777777" w:rsidR="007E515C" w:rsidRPr="00EC250C" w:rsidRDefault="007E515C" w:rsidP="00D131FA">
            <w:pPr>
              <w:pStyle w:val="Tabela"/>
              <w:jc w:val="both"/>
              <w:rPr>
                <w:rFonts w:eastAsia="Calibri"/>
                <w:lang w:eastAsia="en-US"/>
              </w:rPr>
            </w:pPr>
            <w:r w:rsidRPr="00EC250C">
              <w:rPr>
                <w:rFonts w:eastAsia="Calibri"/>
                <w:lang w:eastAsia="en-US"/>
              </w:rPr>
              <w:t>Ogólnopolska konferencja naukowa pt. „Piecza zastępcza</w:t>
            </w:r>
            <w:r w:rsidR="00992FD0" w:rsidRPr="00EC250C">
              <w:rPr>
                <w:rFonts w:eastAsia="Calibri"/>
                <w:lang w:eastAsia="en-US"/>
              </w:rPr>
              <w:t xml:space="preserve"> i </w:t>
            </w:r>
            <w:r w:rsidRPr="00EC250C">
              <w:rPr>
                <w:rFonts w:eastAsia="Calibri"/>
                <w:lang w:eastAsia="en-US"/>
              </w:rPr>
              <w:t>przysposobienie</w:t>
            </w:r>
            <w:r w:rsidR="00992FD0" w:rsidRPr="00EC250C">
              <w:rPr>
                <w:rFonts w:eastAsia="Calibri"/>
                <w:lang w:eastAsia="en-US"/>
              </w:rPr>
              <w:t xml:space="preserve"> w </w:t>
            </w:r>
            <w:r w:rsidRPr="00EC250C">
              <w:rPr>
                <w:rFonts w:eastAsia="Calibri"/>
                <w:lang w:eastAsia="en-US"/>
              </w:rPr>
              <w:t>polskim systemie prawa”</w:t>
            </w:r>
          </w:p>
        </w:tc>
        <w:tc>
          <w:tcPr>
            <w:tcW w:w="2022" w:type="dxa"/>
            <w:shd w:val="clear" w:color="auto" w:fill="auto"/>
          </w:tcPr>
          <w:p w14:paraId="790C7B5C" w14:textId="77777777" w:rsidR="007E515C" w:rsidRPr="00EC250C" w:rsidRDefault="007E515C" w:rsidP="00D131FA">
            <w:pPr>
              <w:pStyle w:val="Tabela"/>
              <w:jc w:val="both"/>
              <w:rPr>
                <w:rFonts w:eastAsia="Calibri"/>
                <w:lang w:eastAsia="en-US"/>
              </w:rPr>
            </w:pPr>
            <w:r w:rsidRPr="00EC250C">
              <w:rPr>
                <w:rFonts w:eastAsia="Calibri"/>
                <w:lang w:eastAsia="en-US"/>
              </w:rPr>
              <w:t>Rzeszów</w:t>
            </w:r>
          </w:p>
        </w:tc>
      </w:tr>
      <w:tr w:rsidR="007E515C" w:rsidRPr="00EC250C" w14:paraId="78E1B7E2" w14:textId="77777777" w:rsidTr="00FC47F2">
        <w:tc>
          <w:tcPr>
            <w:tcW w:w="596" w:type="dxa"/>
            <w:shd w:val="clear" w:color="auto" w:fill="auto"/>
            <w:vAlign w:val="center"/>
          </w:tcPr>
          <w:p w14:paraId="73854CFA"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BE70456" w14:textId="77777777" w:rsidR="007E515C" w:rsidRPr="00EC250C" w:rsidRDefault="007E515C" w:rsidP="00D131FA">
            <w:pPr>
              <w:pStyle w:val="Tabela"/>
              <w:jc w:val="both"/>
              <w:rPr>
                <w:rFonts w:eastAsia="Calibri"/>
                <w:lang w:eastAsia="en-US"/>
              </w:rPr>
            </w:pPr>
            <w:r w:rsidRPr="00EC250C">
              <w:rPr>
                <w:rFonts w:eastAsia="Calibri"/>
                <w:lang w:eastAsia="en-US"/>
              </w:rPr>
              <w:t>Konkurs „Nauczyciel-Mediator” im. Joanny Kubiak-Stowarzyszenie Interwencji Prawnej</w:t>
            </w:r>
          </w:p>
        </w:tc>
        <w:tc>
          <w:tcPr>
            <w:tcW w:w="2022" w:type="dxa"/>
            <w:shd w:val="clear" w:color="auto" w:fill="auto"/>
          </w:tcPr>
          <w:p w14:paraId="489E3846" w14:textId="77777777" w:rsidR="007E515C" w:rsidRPr="00EC250C" w:rsidRDefault="007E515C" w:rsidP="00D131FA">
            <w:pPr>
              <w:pStyle w:val="Tabela"/>
              <w:jc w:val="both"/>
              <w:rPr>
                <w:rFonts w:eastAsia="Calibri"/>
                <w:b/>
                <w:lang w:eastAsia="en-US"/>
              </w:rPr>
            </w:pPr>
            <w:r w:rsidRPr="00EC250C">
              <w:rPr>
                <w:rFonts w:eastAsia="Calibri"/>
                <w:lang w:eastAsia="en-US"/>
              </w:rPr>
              <w:t>Projekt ogólnopolski</w:t>
            </w:r>
          </w:p>
        </w:tc>
      </w:tr>
      <w:tr w:rsidR="007E515C" w:rsidRPr="00EC250C" w14:paraId="09C0525C" w14:textId="77777777" w:rsidTr="00FC47F2">
        <w:tc>
          <w:tcPr>
            <w:tcW w:w="596" w:type="dxa"/>
            <w:shd w:val="clear" w:color="auto" w:fill="auto"/>
            <w:vAlign w:val="center"/>
          </w:tcPr>
          <w:p w14:paraId="06584CDF"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489AC8E" w14:textId="77777777" w:rsidR="007E515C" w:rsidRPr="00EC250C" w:rsidRDefault="007E515C" w:rsidP="00D131FA">
            <w:pPr>
              <w:pStyle w:val="Tabela"/>
              <w:jc w:val="both"/>
              <w:rPr>
                <w:rFonts w:eastAsia="Calibri"/>
                <w:lang w:eastAsia="en-US"/>
              </w:rPr>
            </w:pPr>
            <w:r w:rsidRPr="00EC250C">
              <w:rPr>
                <w:rFonts w:eastAsia="Calibri"/>
                <w:lang w:eastAsia="en-US"/>
              </w:rPr>
              <w:t>Obchody Dnia Godności</w:t>
            </w:r>
            <w:r w:rsidR="00992FD0" w:rsidRPr="00EC250C">
              <w:rPr>
                <w:rFonts w:eastAsia="Calibri"/>
                <w:lang w:eastAsia="en-US"/>
              </w:rPr>
              <w:t xml:space="preserve"> w </w:t>
            </w:r>
            <w:r w:rsidRPr="00EC250C">
              <w:rPr>
                <w:rFonts w:eastAsia="Calibri"/>
                <w:lang w:eastAsia="en-US"/>
              </w:rPr>
              <w:t xml:space="preserve">roku szkolnym 2018/2019 </w:t>
            </w:r>
          </w:p>
        </w:tc>
        <w:tc>
          <w:tcPr>
            <w:tcW w:w="2022" w:type="dxa"/>
            <w:shd w:val="clear" w:color="auto" w:fill="auto"/>
          </w:tcPr>
          <w:p w14:paraId="30AD7723"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16A931BA" w14:textId="77777777" w:rsidTr="00FC47F2">
        <w:tc>
          <w:tcPr>
            <w:tcW w:w="596" w:type="dxa"/>
            <w:shd w:val="clear" w:color="auto" w:fill="auto"/>
            <w:vAlign w:val="center"/>
          </w:tcPr>
          <w:p w14:paraId="32244254"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34115F1E" w14:textId="77777777" w:rsidR="007E515C" w:rsidRPr="00EC250C" w:rsidRDefault="007E515C" w:rsidP="00D131FA">
            <w:pPr>
              <w:pStyle w:val="Tabela"/>
              <w:jc w:val="both"/>
              <w:rPr>
                <w:rFonts w:eastAsia="Calibri"/>
                <w:lang w:eastAsia="en-US"/>
              </w:rPr>
            </w:pPr>
            <w:r w:rsidRPr="00EC250C">
              <w:rPr>
                <w:rFonts w:eastAsia="Calibri"/>
                <w:lang w:eastAsia="en-US"/>
              </w:rPr>
              <w:t>Kampania społeczna „Opiekun rodzinny</w:t>
            </w:r>
            <w:r w:rsidR="00026572" w:rsidRPr="00EC250C">
              <w:rPr>
                <w:rFonts w:eastAsia="Calibri"/>
                <w:lang w:eastAsia="en-US"/>
              </w:rPr>
              <w:t xml:space="preserve"> – </w:t>
            </w:r>
            <w:r w:rsidRPr="00EC250C">
              <w:rPr>
                <w:rFonts w:eastAsia="Calibri"/>
                <w:lang w:eastAsia="en-US"/>
              </w:rPr>
              <w:t>nie musi być sam”</w:t>
            </w:r>
          </w:p>
        </w:tc>
        <w:tc>
          <w:tcPr>
            <w:tcW w:w="2022" w:type="dxa"/>
            <w:shd w:val="clear" w:color="auto" w:fill="auto"/>
          </w:tcPr>
          <w:p w14:paraId="197ACA22" w14:textId="77777777" w:rsidR="007E515C" w:rsidRPr="00EC250C" w:rsidRDefault="007E515C" w:rsidP="00D131FA">
            <w:pPr>
              <w:pStyle w:val="Tabela"/>
              <w:jc w:val="both"/>
              <w:rPr>
                <w:rFonts w:eastAsia="Calibri"/>
                <w:lang w:eastAsia="en-US"/>
              </w:rPr>
            </w:pPr>
          </w:p>
        </w:tc>
      </w:tr>
      <w:tr w:rsidR="007E515C" w:rsidRPr="00EC250C" w14:paraId="0F11A3D6" w14:textId="77777777" w:rsidTr="00FC47F2">
        <w:tc>
          <w:tcPr>
            <w:tcW w:w="596" w:type="dxa"/>
            <w:shd w:val="clear" w:color="auto" w:fill="auto"/>
            <w:vAlign w:val="center"/>
          </w:tcPr>
          <w:p w14:paraId="73E568F6"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42F88EA4" w14:textId="77777777" w:rsidR="007E515C" w:rsidRPr="00EC250C" w:rsidRDefault="007E515C" w:rsidP="00D131FA">
            <w:pPr>
              <w:pStyle w:val="Tabela"/>
              <w:jc w:val="both"/>
              <w:rPr>
                <w:rFonts w:eastAsia="Calibri"/>
                <w:lang w:eastAsia="en-US"/>
              </w:rPr>
            </w:pPr>
            <w:r w:rsidRPr="00EC250C">
              <w:rPr>
                <w:rFonts w:eastAsia="Calibri"/>
                <w:lang w:eastAsia="en-US"/>
              </w:rPr>
              <w:t>Kampania „Stop manipulacji, nie kupuj na prezentacji”</w:t>
            </w:r>
          </w:p>
        </w:tc>
        <w:tc>
          <w:tcPr>
            <w:tcW w:w="2022" w:type="dxa"/>
            <w:shd w:val="clear" w:color="auto" w:fill="auto"/>
          </w:tcPr>
          <w:p w14:paraId="54850B5C" w14:textId="77777777" w:rsidR="007E515C" w:rsidRPr="00EC250C" w:rsidRDefault="007E515C" w:rsidP="00D131FA">
            <w:pPr>
              <w:pStyle w:val="Tabela"/>
              <w:jc w:val="both"/>
              <w:rPr>
                <w:rFonts w:eastAsia="Calibri"/>
                <w:lang w:eastAsia="en-US"/>
              </w:rPr>
            </w:pPr>
          </w:p>
        </w:tc>
      </w:tr>
      <w:tr w:rsidR="007E515C" w:rsidRPr="00EC250C" w14:paraId="43146725" w14:textId="77777777" w:rsidTr="00FC47F2">
        <w:tc>
          <w:tcPr>
            <w:tcW w:w="596" w:type="dxa"/>
            <w:shd w:val="clear" w:color="auto" w:fill="auto"/>
            <w:vAlign w:val="center"/>
          </w:tcPr>
          <w:p w14:paraId="32C7134C"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1A3C1A30" w14:textId="77777777" w:rsidR="007E515C" w:rsidRPr="00EC250C" w:rsidRDefault="007E515C" w:rsidP="00D131FA">
            <w:pPr>
              <w:pStyle w:val="Tabela"/>
              <w:jc w:val="both"/>
              <w:rPr>
                <w:rFonts w:eastAsia="Calibri"/>
                <w:lang w:eastAsia="en-US"/>
              </w:rPr>
            </w:pPr>
            <w:r w:rsidRPr="00EC250C">
              <w:rPr>
                <w:rFonts w:eastAsia="Calibri"/>
                <w:lang w:eastAsia="en-US"/>
              </w:rPr>
              <w:t xml:space="preserve">Konferencja pt. „Z niepełnosprawnością na Ty” </w:t>
            </w:r>
          </w:p>
        </w:tc>
        <w:tc>
          <w:tcPr>
            <w:tcW w:w="2022" w:type="dxa"/>
            <w:shd w:val="clear" w:color="auto" w:fill="auto"/>
          </w:tcPr>
          <w:p w14:paraId="0EC5532C" w14:textId="77777777" w:rsidR="007E515C" w:rsidRPr="00EC250C" w:rsidRDefault="007E515C" w:rsidP="00D131FA">
            <w:pPr>
              <w:pStyle w:val="Tabela"/>
              <w:jc w:val="both"/>
              <w:rPr>
                <w:rFonts w:eastAsia="Calibri"/>
                <w:lang w:eastAsia="en-US"/>
              </w:rPr>
            </w:pPr>
            <w:r w:rsidRPr="00EC250C">
              <w:rPr>
                <w:rFonts w:eastAsia="Calibri"/>
                <w:lang w:eastAsia="en-US"/>
              </w:rPr>
              <w:t>Nowy Tomyśl</w:t>
            </w:r>
          </w:p>
        </w:tc>
      </w:tr>
      <w:tr w:rsidR="007E515C" w:rsidRPr="00EC250C" w14:paraId="4EF43DC7" w14:textId="77777777" w:rsidTr="00FC47F2">
        <w:tc>
          <w:tcPr>
            <w:tcW w:w="596" w:type="dxa"/>
            <w:shd w:val="clear" w:color="auto" w:fill="auto"/>
            <w:vAlign w:val="center"/>
          </w:tcPr>
          <w:p w14:paraId="00C5DE12"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41E51408" w14:textId="77777777" w:rsidR="007E515C" w:rsidRPr="00EC250C" w:rsidRDefault="007E515C" w:rsidP="00D131FA">
            <w:pPr>
              <w:pStyle w:val="Tabela"/>
              <w:jc w:val="both"/>
              <w:rPr>
                <w:rFonts w:eastAsia="Calibri"/>
                <w:lang w:eastAsia="en-US"/>
              </w:rPr>
            </w:pPr>
            <w:r w:rsidRPr="00EC250C">
              <w:rPr>
                <w:rFonts w:eastAsia="Calibri"/>
                <w:lang w:eastAsia="en-US"/>
              </w:rPr>
              <w:t>Ogólnopolski Program Społeczno-Edukacyjny Kompas. Fundacja Promień Nadziei</w:t>
            </w:r>
          </w:p>
        </w:tc>
        <w:tc>
          <w:tcPr>
            <w:tcW w:w="2022" w:type="dxa"/>
            <w:shd w:val="clear" w:color="auto" w:fill="auto"/>
          </w:tcPr>
          <w:p w14:paraId="0C3E594B" w14:textId="77777777" w:rsidR="007E515C" w:rsidRPr="00EC250C" w:rsidRDefault="007E515C" w:rsidP="00D131FA">
            <w:pPr>
              <w:pStyle w:val="Tabela"/>
              <w:jc w:val="both"/>
              <w:rPr>
                <w:rFonts w:eastAsia="Calibri"/>
                <w:lang w:eastAsia="en-US"/>
              </w:rPr>
            </w:pPr>
          </w:p>
        </w:tc>
      </w:tr>
      <w:tr w:rsidR="007E515C" w:rsidRPr="00EC250C" w14:paraId="0AD57C9F" w14:textId="77777777" w:rsidTr="00FC47F2">
        <w:tc>
          <w:tcPr>
            <w:tcW w:w="596" w:type="dxa"/>
            <w:shd w:val="clear" w:color="auto" w:fill="auto"/>
            <w:vAlign w:val="center"/>
          </w:tcPr>
          <w:p w14:paraId="0AF2E997"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23F807B8" w14:textId="77777777" w:rsidR="007E515C" w:rsidRPr="00EC250C" w:rsidRDefault="007E515C" w:rsidP="00D131FA">
            <w:pPr>
              <w:pStyle w:val="Tabela"/>
              <w:jc w:val="both"/>
              <w:rPr>
                <w:rFonts w:eastAsia="Calibri"/>
                <w:lang w:eastAsia="en-US"/>
              </w:rPr>
            </w:pPr>
            <w:r w:rsidRPr="00EC250C">
              <w:rPr>
                <w:rFonts w:eastAsia="Calibri"/>
                <w:lang w:eastAsia="en-US"/>
              </w:rPr>
              <w:t>IV Kongres Osób</w:t>
            </w:r>
            <w:r w:rsidR="00992FD0" w:rsidRPr="00EC250C">
              <w:rPr>
                <w:rFonts w:eastAsia="Calibri"/>
                <w:lang w:eastAsia="en-US"/>
              </w:rPr>
              <w:t xml:space="preserve"> z </w:t>
            </w:r>
            <w:r w:rsidRPr="00EC250C">
              <w:rPr>
                <w:rFonts w:eastAsia="Calibri"/>
                <w:lang w:eastAsia="en-US"/>
              </w:rPr>
              <w:t>Niepełnosprawnością</w:t>
            </w:r>
            <w:r w:rsidR="00CC4D88" w:rsidRPr="00EC250C">
              <w:rPr>
                <w:rFonts w:eastAsia="Calibri"/>
                <w:lang w:eastAsia="en-US"/>
              </w:rPr>
              <w:t xml:space="preserve"> </w:t>
            </w:r>
          </w:p>
        </w:tc>
        <w:tc>
          <w:tcPr>
            <w:tcW w:w="2022" w:type="dxa"/>
            <w:shd w:val="clear" w:color="auto" w:fill="auto"/>
          </w:tcPr>
          <w:p w14:paraId="7D4CEAB7"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41A4DF68" w14:textId="77777777" w:rsidTr="00FC47F2">
        <w:tc>
          <w:tcPr>
            <w:tcW w:w="596" w:type="dxa"/>
            <w:shd w:val="clear" w:color="auto" w:fill="auto"/>
            <w:vAlign w:val="center"/>
          </w:tcPr>
          <w:p w14:paraId="3B1AA944"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8DC76D0" w14:textId="77777777" w:rsidR="007E515C" w:rsidRPr="00EC250C" w:rsidRDefault="007E515C" w:rsidP="00D131FA">
            <w:pPr>
              <w:pStyle w:val="Tabela"/>
              <w:jc w:val="both"/>
              <w:rPr>
                <w:rFonts w:eastAsia="Calibri"/>
                <w:lang w:eastAsia="en-US"/>
              </w:rPr>
            </w:pPr>
            <w:r w:rsidRPr="00EC250C">
              <w:rPr>
                <w:rFonts w:eastAsia="Calibri"/>
                <w:lang w:eastAsia="en-US"/>
              </w:rPr>
              <w:t>Wydarzenie „Noc Świątyń”</w:t>
            </w:r>
          </w:p>
        </w:tc>
        <w:tc>
          <w:tcPr>
            <w:tcW w:w="2022" w:type="dxa"/>
            <w:shd w:val="clear" w:color="auto" w:fill="auto"/>
          </w:tcPr>
          <w:p w14:paraId="0CC6CCA0" w14:textId="77777777" w:rsidR="007E515C" w:rsidRPr="00EC250C" w:rsidRDefault="007E515C" w:rsidP="00D131FA">
            <w:pPr>
              <w:pStyle w:val="Tabela"/>
              <w:jc w:val="both"/>
              <w:rPr>
                <w:rFonts w:eastAsia="Calibri"/>
                <w:lang w:eastAsia="en-US"/>
              </w:rPr>
            </w:pPr>
            <w:r w:rsidRPr="00EC250C">
              <w:rPr>
                <w:rFonts w:eastAsia="Calibri"/>
                <w:lang w:eastAsia="en-US"/>
              </w:rPr>
              <w:t>Warszawa/Poznań/Kraków/Gdańsk/Łódź</w:t>
            </w:r>
          </w:p>
        </w:tc>
      </w:tr>
      <w:tr w:rsidR="007E515C" w:rsidRPr="00EC250C" w14:paraId="7E0EABCC" w14:textId="77777777" w:rsidTr="00FC47F2">
        <w:tc>
          <w:tcPr>
            <w:tcW w:w="596" w:type="dxa"/>
            <w:shd w:val="clear" w:color="auto" w:fill="auto"/>
            <w:vAlign w:val="center"/>
          </w:tcPr>
          <w:p w14:paraId="6D1B64FB"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4EFDE6F8" w14:textId="77777777" w:rsidR="007E515C" w:rsidRPr="00EC250C" w:rsidRDefault="007E515C" w:rsidP="00D131FA">
            <w:pPr>
              <w:pStyle w:val="Tabela"/>
              <w:jc w:val="both"/>
              <w:rPr>
                <w:rFonts w:eastAsia="Calibri"/>
                <w:lang w:eastAsia="en-US"/>
              </w:rPr>
            </w:pPr>
            <w:r w:rsidRPr="00EC250C">
              <w:rPr>
                <w:rFonts w:eastAsia="Calibri"/>
                <w:lang w:eastAsia="en-US"/>
              </w:rPr>
              <w:t>VIII Zjazd Katedr Postępowania Karnego pt. „Ewolucja polskiego wymiaru sprawiedliwości</w:t>
            </w:r>
            <w:r w:rsidR="00992FD0" w:rsidRPr="00EC250C">
              <w:rPr>
                <w:rFonts w:eastAsia="Calibri"/>
                <w:lang w:eastAsia="en-US"/>
              </w:rPr>
              <w:t xml:space="preserve"> w </w:t>
            </w:r>
            <w:r w:rsidRPr="00EC250C">
              <w:rPr>
                <w:rFonts w:eastAsia="Calibri"/>
                <w:lang w:eastAsia="en-US"/>
              </w:rPr>
              <w:t>latach 2013-2018</w:t>
            </w:r>
            <w:r w:rsidR="00992FD0" w:rsidRPr="00EC250C">
              <w:rPr>
                <w:rFonts w:eastAsia="Calibri"/>
                <w:lang w:eastAsia="en-US"/>
              </w:rPr>
              <w:t xml:space="preserve"> w </w:t>
            </w:r>
            <w:r w:rsidRPr="00EC250C">
              <w:rPr>
                <w:rFonts w:eastAsia="Calibri"/>
                <w:lang w:eastAsia="en-US"/>
              </w:rPr>
              <w:t>świetle standardów rzetelnego procesu”</w:t>
            </w:r>
          </w:p>
        </w:tc>
        <w:tc>
          <w:tcPr>
            <w:tcW w:w="2022" w:type="dxa"/>
            <w:shd w:val="clear" w:color="auto" w:fill="auto"/>
          </w:tcPr>
          <w:p w14:paraId="7D92A69C" w14:textId="77777777" w:rsidR="007E515C" w:rsidRPr="00EC250C" w:rsidRDefault="007E515C" w:rsidP="00D131FA">
            <w:pPr>
              <w:pStyle w:val="Tabela"/>
              <w:jc w:val="both"/>
              <w:rPr>
                <w:rFonts w:eastAsia="Calibri"/>
                <w:lang w:eastAsia="en-US"/>
              </w:rPr>
            </w:pPr>
            <w:r w:rsidRPr="00EC250C">
              <w:rPr>
                <w:rFonts w:eastAsia="Calibri"/>
                <w:lang w:eastAsia="en-US"/>
              </w:rPr>
              <w:t>Białystok</w:t>
            </w:r>
          </w:p>
        </w:tc>
      </w:tr>
      <w:tr w:rsidR="007E515C" w:rsidRPr="00EC250C" w14:paraId="23C9BFBE" w14:textId="77777777" w:rsidTr="00FC47F2">
        <w:tc>
          <w:tcPr>
            <w:tcW w:w="596" w:type="dxa"/>
            <w:shd w:val="clear" w:color="auto" w:fill="auto"/>
            <w:vAlign w:val="center"/>
          </w:tcPr>
          <w:p w14:paraId="13E1BE81"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656050C" w14:textId="77777777" w:rsidR="007E515C" w:rsidRPr="00EC250C" w:rsidRDefault="007E515C" w:rsidP="00D131FA">
            <w:pPr>
              <w:pStyle w:val="Tabela"/>
              <w:jc w:val="both"/>
              <w:rPr>
                <w:rFonts w:eastAsia="Calibri"/>
                <w:lang w:eastAsia="en-US"/>
              </w:rPr>
            </w:pPr>
            <w:r w:rsidRPr="00EC250C">
              <w:rPr>
                <w:rFonts w:eastAsia="Calibri"/>
                <w:lang w:eastAsia="en-US"/>
              </w:rPr>
              <w:t>IV Podlaskie Forum Aktywności Osób Starszych</w:t>
            </w:r>
          </w:p>
        </w:tc>
        <w:tc>
          <w:tcPr>
            <w:tcW w:w="2022" w:type="dxa"/>
            <w:shd w:val="clear" w:color="auto" w:fill="auto"/>
          </w:tcPr>
          <w:p w14:paraId="3D0C8150" w14:textId="77777777" w:rsidR="007E515C" w:rsidRPr="00EC250C" w:rsidRDefault="007E515C" w:rsidP="00D131FA">
            <w:pPr>
              <w:pStyle w:val="Tabela"/>
              <w:jc w:val="both"/>
              <w:rPr>
                <w:rFonts w:eastAsia="Calibri"/>
                <w:lang w:eastAsia="en-US"/>
              </w:rPr>
            </w:pPr>
            <w:r w:rsidRPr="00EC250C">
              <w:rPr>
                <w:rFonts w:eastAsia="Calibri"/>
                <w:lang w:eastAsia="en-US"/>
              </w:rPr>
              <w:t>Białystok</w:t>
            </w:r>
          </w:p>
        </w:tc>
      </w:tr>
      <w:tr w:rsidR="007E515C" w:rsidRPr="00EC250C" w14:paraId="2F070B97" w14:textId="77777777" w:rsidTr="00FC47F2">
        <w:tc>
          <w:tcPr>
            <w:tcW w:w="596" w:type="dxa"/>
            <w:shd w:val="clear" w:color="auto" w:fill="auto"/>
            <w:vAlign w:val="center"/>
          </w:tcPr>
          <w:p w14:paraId="0DCDA229"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24D2B2F9" w14:textId="77777777" w:rsidR="007E515C" w:rsidRPr="00EC250C" w:rsidRDefault="007E515C" w:rsidP="00D131FA">
            <w:pPr>
              <w:pStyle w:val="Tabela"/>
              <w:jc w:val="both"/>
              <w:rPr>
                <w:rFonts w:eastAsia="Calibri"/>
                <w:lang w:eastAsia="en-US"/>
              </w:rPr>
            </w:pPr>
            <w:r w:rsidRPr="00EC250C">
              <w:rPr>
                <w:rFonts w:eastAsia="Calibri"/>
                <w:lang w:eastAsia="en-US"/>
              </w:rPr>
              <w:t xml:space="preserve">VI Warszawski Festiwal Kultury Bez Barier </w:t>
            </w:r>
          </w:p>
        </w:tc>
        <w:tc>
          <w:tcPr>
            <w:tcW w:w="2022" w:type="dxa"/>
            <w:shd w:val="clear" w:color="auto" w:fill="auto"/>
          </w:tcPr>
          <w:p w14:paraId="4228B726"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2D54A4C3" w14:textId="77777777" w:rsidTr="00FC47F2">
        <w:tc>
          <w:tcPr>
            <w:tcW w:w="596" w:type="dxa"/>
            <w:shd w:val="clear" w:color="auto" w:fill="auto"/>
            <w:vAlign w:val="center"/>
          </w:tcPr>
          <w:p w14:paraId="3C547114"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0E82E236" w14:textId="77777777" w:rsidR="007E515C" w:rsidRPr="00EC250C" w:rsidRDefault="007E515C" w:rsidP="00D131FA">
            <w:pPr>
              <w:pStyle w:val="Tabela"/>
              <w:jc w:val="both"/>
              <w:rPr>
                <w:rFonts w:eastAsia="Calibri"/>
                <w:lang w:eastAsia="en-US"/>
              </w:rPr>
            </w:pPr>
            <w:r w:rsidRPr="00EC250C">
              <w:rPr>
                <w:rFonts w:eastAsia="Calibri"/>
                <w:lang w:eastAsia="en-US"/>
              </w:rPr>
              <w:t xml:space="preserve"> Ceremonia wręczenia Nagrody im. Ireny Sendlerowej „Za naprawianie świata”</w:t>
            </w:r>
          </w:p>
        </w:tc>
        <w:tc>
          <w:tcPr>
            <w:tcW w:w="2022" w:type="dxa"/>
            <w:shd w:val="clear" w:color="auto" w:fill="auto"/>
          </w:tcPr>
          <w:p w14:paraId="4E2CF234"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016168DB" w14:textId="77777777" w:rsidTr="00FC47F2">
        <w:tc>
          <w:tcPr>
            <w:tcW w:w="596" w:type="dxa"/>
            <w:shd w:val="clear" w:color="auto" w:fill="auto"/>
            <w:vAlign w:val="center"/>
          </w:tcPr>
          <w:p w14:paraId="23418796"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23FB488E" w14:textId="77777777" w:rsidR="007E515C" w:rsidRPr="00EC250C" w:rsidRDefault="007E515C" w:rsidP="00D131FA">
            <w:pPr>
              <w:pStyle w:val="Tabela"/>
              <w:jc w:val="both"/>
              <w:rPr>
                <w:rFonts w:eastAsia="Calibri"/>
                <w:lang w:eastAsia="en-US"/>
              </w:rPr>
            </w:pPr>
            <w:r w:rsidRPr="00EC250C">
              <w:rPr>
                <w:rFonts w:eastAsia="Calibri"/>
                <w:lang w:eastAsia="en-US"/>
              </w:rPr>
              <w:t>Obchody 25-lecia działalności Stowarzyszenia „OSTOJA” na Rzecz Osób</w:t>
            </w:r>
            <w:r w:rsidR="00992FD0" w:rsidRPr="00EC250C">
              <w:rPr>
                <w:rFonts w:eastAsia="Calibri"/>
                <w:lang w:eastAsia="en-US"/>
              </w:rPr>
              <w:t xml:space="preserve"> z </w:t>
            </w:r>
            <w:r w:rsidRPr="00EC250C">
              <w:rPr>
                <w:rFonts w:eastAsia="Calibri"/>
                <w:lang w:eastAsia="en-US"/>
              </w:rPr>
              <w:t>Niepełnosprawnościami</w:t>
            </w:r>
          </w:p>
        </w:tc>
        <w:tc>
          <w:tcPr>
            <w:tcW w:w="2022" w:type="dxa"/>
            <w:shd w:val="clear" w:color="auto" w:fill="auto"/>
          </w:tcPr>
          <w:p w14:paraId="7A1B38DD" w14:textId="77777777" w:rsidR="007E515C" w:rsidRPr="00EC250C" w:rsidRDefault="007E515C" w:rsidP="00D131FA">
            <w:pPr>
              <w:pStyle w:val="Tabela"/>
              <w:jc w:val="both"/>
              <w:rPr>
                <w:rFonts w:eastAsia="Calibri"/>
                <w:lang w:eastAsia="en-US"/>
              </w:rPr>
            </w:pPr>
            <w:r w:rsidRPr="00EC250C">
              <w:rPr>
                <w:rFonts w:eastAsia="Calibri"/>
                <w:lang w:eastAsia="en-US"/>
              </w:rPr>
              <w:t>Wrocław</w:t>
            </w:r>
          </w:p>
        </w:tc>
      </w:tr>
      <w:tr w:rsidR="007E515C" w:rsidRPr="00EC250C" w14:paraId="0C5EC4FC" w14:textId="77777777" w:rsidTr="00FC47F2">
        <w:tc>
          <w:tcPr>
            <w:tcW w:w="596" w:type="dxa"/>
            <w:shd w:val="clear" w:color="auto" w:fill="auto"/>
            <w:vAlign w:val="center"/>
          </w:tcPr>
          <w:p w14:paraId="110042B3"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520B75CA" w14:textId="77777777" w:rsidR="007E515C" w:rsidRPr="00EC250C" w:rsidRDefault="007E515C" w:rsidP="00D131FA">
            <w:pPr>
              <w:pStyle w:val="Tabela"/>
              <w:jc w:val="both"/>
              <w:rPr>
                <w:rFonts w:eastAsia="Calibri"/>
                <w:lang w:eastAsia="en-US"/>
              </w:rPr>
            </w:pPr>
            <w:r w:rsidRPr="00EC250C">
              <w:rPr>
                <w:rFonts w:eastAsia="Calibri"/>
                <w:lang w:eastAsia="en-US"/>
              </w:rPr>
              <w:t>I Kongres Osób</w:t>
            </w:r>
            <w:r w:rsidR="00992FD0" w:rsidRPr="00EC250C">
              <w:rPr>
                <w:rFonts w:eastAsia="Calibri"/>
                <w:lang w:eastAsia="en-US"/>
              </w:rPr>
              <w:t xml:space="preserve"> z </w:t>
            </w:r>
            <w:r w:rsidRPr="00EC250C">
              <w:rPr>
                <w:rFonts w:eastAsia="Calibri"/>
                <w:lang w:eastAsia="en-US"/>
              </w:rPr>
              <w:t>Niepełnosprawnościami „Aktywni</w:t>
            </w:r>
            <w:r w:rsidR="00992FD0" w:rsidRPr="00EC250C">
              <w:rPr>
                <w:rFonts w:eastAsia="Calibri"/>
                <w:lang w:eastAsia="en-US"/>
              </w:rPr>
              <w:t xml:space="preserve"> w </w:t>
            </w:r>
            <w:r w:rsidRPr="00EC250C">
              <w:rPr>
                <w:rFonts w:eastAsia="Calibri"/>
                <w:lang w:eastAsia="en-US"/>
              </w:rPr>
              <w:t xml:space="preserve">pracy" </w:t>
            </w:r>
          </w:p>
        </w:tc>
        <w:tc>
          <w:tcPr>
            <w:tcW w:w="2022" w:type="dxa"/>
            <w:shd w:val="clear" w:color="auto" w:fill="auto"/>
          </w:tcPr>
          <w:p w14:paraId="1CB2A488" w14:textId="77777777" w:rsidR="007E515C" w:rsidRPr="00EC250C" w:rsidRDefault="007E515C" w:rsidP="00D131FA">
            <w:pPr>
              <w:pStyle w:val="Tabela"/>
              <w:jc w:val="both"/>
              <w:rPr>
                <w:rFonts w:eastAsia="Calibri"/>
                <w:lang w:eastAsia="en-US"/>
              </w:rPr>
            </w:pPr>
            <w:r w:rsidRPr="00EC250C">
              <w:rPr>
                <w:rFonts w:eastAsia="Calibri"/>
                <w:lang w:eastAsia="en-US"/>
              </w:rPr>
              <w:t>Rzeszów</w:t>
            </w:r>
          </w:p>
        </w:tc>
      </w:tr>
      <w:tr w:rsidR="007E515C" w:rsidRPr="00EC250C" w14:paraId="426A9894" w14:textId="77777777" w:rsidTr="00FC47F2">
        <w:tc>
          <w:tcPr>
            <w:tcW w:w="596" w:type="dxa"/>
            <w:shd w:val="clear" w:color="auto" w:fill="auto"/>
            <w:vAlign w:val="center"/>
          </w:tcPr>
          <w:p w14:paraId="2AB7A747"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2991D51" w14:textId="77777777" w:rsidR="007E515C" w:rsidRPr="00EC250C" w:rsidRDefault="007E515C" w:rsidP="00D131FA">
            <w:pPr>
              <w:pStyle w:val="Tabela"/>
              <w:jc w:val="both"/>
              <w:rPr>
                <w:rFonts w:eastAsia="Calibri"/>
                <w:lang w:eastAsia="en-US"/>
              </w:rPr>
            </w:pPr>
            <w:r w:rsidRPr="00EC250C">
              <w:rPr>
                <w:rFonts w:eastAsia="Calibri"/>
                <w:lang w:eastAsia="en-US"/>
              </w:rPr>
              <w:t>Publikacja „Układanka Polska Nieoczywista”</w:t>
            </w:r>
          </w:p>
        </w:tc>
        <w:tc>
          <w:tcPr>
            <w:tcW w:w="2022" w:type="dxa"/>
            <w:shd w:val="clear" w:color="auto" w:fill="auto"/>
          </w:tcPr>
          <w:p w14:paraId="2706940E"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58B848D1" w14:textId="77777777" w:rsidTr="00FC47F2">
        <w:tc>
          <w:tcPr>
            <w:tcW w:w="596" w:type="dxa"/>
            <w:shd w:val="clear" w:color="auto" w:fill="auto"/>
            <w:vAlign w:val="center"/>
          </w:tcPr>
          <w:p w14:paraId="0E6C4826"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B18A03C" w14:textId="77777777" w:rsidR="007E515C" w:rsidRPr="00EC250C" w:rsidRDefault="007E515C" w:rsidP="00D131FA">
            <w:pPr>
              <w:pStyle w:val="Tabela"/>
              <w:jc w:val="both"/>
              <w:rPr>
                <w:rFonts w:eastAsia="Calibri"/>
                <w:lang w:eastAsia="en-US"/>
              </w:rPr>
            </w:pPr>
            <w:r w:rsidRPr="00EC250C">
              <w:rPr>
                <w:rFonts w:eastAsia="Calibri"/>
                <w:lang w:eastAsia="en-US"/>
              </w:rPr>
              <w:t xml:space="preserve">Szkolenia Centrum Praw Kobiet dot. przemocy wobec kobiet </w:t>
            </w:r>
          </w:p>
        </w:tc>
        <w:tc>
          <w:tcPr>
            <w:tcW w:w="2022" w:type="dxa"/>
            <w:shd w:val="clear" w:color="auto" w:fill="auto"/>
          </w:tcPr>
          <w:p w14:paraId="2AC8141C"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048E12BA" w14:textId="77777777" w:rsidTr="00FC47F2">
        <w:tc>
          <w:tcPr>
            <w:tcW w:w="596" w:type="dxa"/>
            <w:shd w:val="clear" w:color="auto" w:fill="auto"/>
            <w:vAlign w:val="center"/>
          </w:tcPr>
          <w:p w14:paraId="30CE612E"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7872E0B9" w14:textId="77777777" w:rsidR="007E515C" w:rsidRPr="00EC250C" w:rsidRDefault="007E515C" w:rsidP="00D131FA">
            <w:pPr>
              <w:pStyle w:val="Tabela"/>
              <w:jc w:val="both"/>
              <w:rPr>
                <w:rFonts w:eastAsia="Calibri"/>
                <w:lang w:eastAsia="en-US"/>
              </w:rPr>
            </w:pPr>
            <w:r w:rsidRPr="00EC250C">
              <w:rPr>
                <w:rFonts w:eastAsia="Calibri"/>
                <w:lang w:eastAsia="en-US"/>
              </w:rPr>
              <w:t>2 debaty towarzyszące I marszowi równości</w:t>
            </w:r>
            <w:r w:rsidR="00992FD0" w:rsidRPr="00EC250C">
              <w:rPr>
                <w:rFonts w:eastAsia="Calibri"/>
                <w:lang w:eastAsia="en-US"/>
              </w:rPr>
              <w:t xml:space="preserve"> w </w:t>
            </w:r>
            <w:r w:rsidRPr="00EC250C">
              <w:rPr>
                <w:rFonts w:eastAsia="Calibri"/>
                <w:lang w:eastAsia="en-US"/>
              </w:rPr>
              <w:t>Lublinie „Religia</w:t>
            </w:r>
            <w:r w:rsidR="00992FD0" w:rsidRPr="00EC250C">
              <w:rPr>
                <w:rFonts w:eastAsia="Calibri"/>
                <w:lang w:eastAsia="en-US"/>
              </w:rPr>
              <w:t xml:space="preserve"> a </w:t>
            </w:r>
            <w:r w:rsidRPr="00EC250C">
              <w:rPr>
                <w:rFonts w:eastAsia="Calibri"/>
                <w:lang w:eastAsia="en-US"/>
              </w:rPr>
              <w:t>osoby LGBT+” oraz „Prawa mniejszości seksualnych</w:t>
            </w:r>
            <w:r w:rsidR="00992FD0" w:rsidRPr="00EC250C">
              <w:rPr>
                <w:rFonts w:eastAsia="Calibri"/>
                <w:lang w:eastAsia="en-US"/>
              </w:rPr>
              <w:t xml:space="preserve"> a </w:t>
            </w:r>
            <w:r w:rsidRPr="00EC250C">
              <w:rPr>
                <w:rFonts w:eastAsia="Calibri"/>
                <w:lang w:eastAsia="en-US"/>
              </w:rPr>
              <w:t>Konstytucja RP”</w:t>
            </w:r>
          </w:p>
        </w:tc>
        <w:tc>
          <w:tcPr>
            <w:tcW w:w="2022" w:type="dxa"/>
            <w:shd w:val="clear" w:color="auto" w:fill="auto"/>
          </w:tcPr>
          <w:p w14:paraId="6A241031" w14:textId="77777777" w:rsidR="007E515C" w:rsidRPr="00EC250C" w:rsidRDefault="007E515C" w:rsidP="00D131FA">
            <w:pPr>
              <w:pStyle w:val="Tabela"/>
              <w:jc w:val="both"/>
              <w:rPr>
                <w:rFonts w:eastAsia="Calibri"/>
                <w:lang w:eastAsia="en-US"/>
              </w:rPr>
            </w:pPr>
            <w:r w:rsidRPr="00EC250C">
              <w:rPr>
                <w:rFonts w:eastAsia="Calibri"/>
                <w:lang w:eastAsia="en-US"/>
              </w:rPr>
              <w:t>Lublin</w:t>
            </w:r>
          </w:p>
        </w:tc>
      </w:tr>
      <w:tr w:rsidR="007E515C" w:rsidRPr="00EC250C" w14:paraId="48AC71B8" w14:textId="77777777" w:rsidTr="00FC47F2">
        <w:tc>
          <w:tcPr>
            <w:tcW w:w="596" w:type="dxa"/>
            <w:shd w:val="clear" w:color="auto" w:fill="auto"/>
            <w:vAlign w:val="center"/>
          </w:tcPr>
          <w:p w14:paraId="597124C3"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649C39B5" w14:textId="77777777" w:rsidR="007E515C" w:rsidRPr="00EC250C" w:rsidRDefault="007E515C" w:rsidP="00D131FA">
            <w:pPr>
              <w:pStyle w:val="Tabela"/>
              <w:jc w:val="both"/>
              <w:rPr>
                <w:rFonts w:eastAsia="Calibri"/>
                <w:lang w:eastAsia="en-US"/>
              </w:rPr>
            </w:pPr>
            <w:r w:rsidRPr="00EC250C">
              <w:rPr>
                <w:rFonts w:eastAsia="Calibri"/>
                <w:lang w:eastAsia="en-US"/>
              </w:rPr>
              <w:t>Wysłuchanie Obywatelskie Projektu Ustawy</w:t>
            </w:r>
            <w:r w:rsidR="00992FD0" w:rsidRPr="00EC250C">
              <w:rPr>
                <w:rFonts w:eastAsia="Calibri"/>
                <w:lang w:eastAsia="en-US"/>
              </w:rPr>
              <w:t xml:space="preserve"> o </w:t>
            </w:r>
            <w:r w:rsidRPr="00EC250C">
              <w:rPr>
                <w:rFonts w:eastAsia="Calibri"/>
                <w:lang w:eastAsia="en-US"/>
              </w:rPr>
              <w:t>Ochronie Sygnalistów</w:t>
            </w:r>
          </w:p>
        </w:tc>
        <w:tc>
          <w:tcPr>
            <w:tcW w:w="2022" w:type="dxa"/>
            <w:shd w:val="clear" w:color="auto" w:fill="auto"/>
          </w:tcPr>
          <w:p w14:paraId="585ED208"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3D7CD678" w14:textId="77777777" w:rsidTr="00FC47F2">
        <w:tc>
          <w:tcPr>
            <w:tcW w:w="596" w:type="dxa"/>
            <w:shd w:val="clear" w:color="auto" w:fill="auto"/>
            <w:vAlign w:val="center"/>
          </w:tcPr>
          <w:p w14:paraId="1A938081"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27B5947B" w14:textId="77777777" w:rsidR="007E515C" w:rsidRPr="00EC250C" w:rsidRDefault="007E515C" w:rsidP="00D131FA">
            <w:pPr>
              <w:pStyle w:val="Tabela"/>
              <w:jc w:val="both"/>
              <w:rPr>
                <w:rFonts w:eastAsia="Calibri"/>
                <w:lang w:eastAsia="en-US"/>
              </w:rPr>
            </w:pPr>
            <w:r w:rsidRPr="00EC250C">
              <w:rPr>
                <w:rFonts w:eastAsia="Calibri"/>
                <w:lang w:eastAsia="en-US"/>
              </w:rPr>
              <w:t xml:space="preserve">Konferencja międzynarodowa POZIMUN 2018 </w:t>
            </w:r>
          </w:p>
        </w:tc>
        <w:tc>
          <w:tcPr>
            <w:tcW w:w="2022" w:type="dxa"/>
            <w:shd w:val="clear" w:color="auto" w:fill="auto"/>
          </w:tcPr>
          <w:p w14:paraId="7C0DEE53" w14:textId="77777777" w:rsidR="007E515C" w:rsidRPr="00EC250C" w:rsidRDefault="007E515C" w:rsidP="00D131FA">
            <w:pPr>
              <w:pStyle w:val="Tabela"/>
              <w:jc w:val="both"/>
              <w:rPr>
                <w:rFonts w:eastAsia="Calibri"/>
                <w:lang w:eastAsia="en-US"/>
              </w:rPr>
            </w:pPr>
            <w:r w:rsidRPr="00EC250C">
              <w:rPr>
                <w:rFonts w:eastAsia="Calibri"/>
                <w:lang w:eastAsia="en-US"/>
              </w:rPr>
              <w:t>Poznań</w:t>
            </w:r>
          </w:p>
        </w:tc>
      </w:tr>
      <w:tr w:rsidR="007E515C" w:rsidRPr="00EC250C" w14:paraId="1AFAB1B6" w14:textId="77777777" w:rsidTr="00FC47F2">
        <w:tc>
          <w:tcPr>
            <w:tcW w:w="596" w:type="dxa"/>
            <w:shd w:val="clear" w:color="auto" w:fill="auto"/>
            <w:vAlign w:val="center"/>
          </w:tcPr>
          <w:p w14:paraId="793C9E38" w14:textId="77777777" w:rsidR="007E515C" w:rsidRPr="00EC250C" w:rsidRDefault="007E515C" w:rsidP="006C70B7">
            <w:pPr>
              <w:pStyle w:val="Tabela"/>
              <w:numPr>
                <w:ilvl w:val="0"/>
                <w:numId w:val="73"/>
              </w:numPr>
              <w:ind w:left="0" w:firstLine="0"/>
              <w:jc w:val="both"/>
              <w:rPr>
                <w:rFonts w:eastAsia="Calibri"/>
                <w:sz w:val="16"/>
                <w:lang w:eastAsia="en-US"/>
              </w:rPr>
            </w:pPr>
          </w:p>
        </w:tc>
        <w:tc>
          <w:tcPr>
            <w:tcW w:w="7220" w:type="dxa"/>
            <w:shd w:val="clear" w:color="auto" w:fill="auto"/>
          </w:tcPr>
          <w:p w14:paraId="258EC860" w14:textId="77777777" w:rsidR="007E515C" w:rsidRPr="00EC250C" w:rsidRDefault="007E515C" w:rsidP="00D131FA">
            <w:pPr>
              <w:pStyle w:val="Tabela"/>
              <w:jc w:val="both"/>
              <w:rPr>
                <w:rFonts w:eastAsia="Calibri"/>
                <w:lang w:eastAsia="en-US"/>
              </w:rPr>
            </w:pPr>
            <w:r w:rsidRPr="00EC250C">
              <w:rPr>
                <w:rFonts w:eastAsia="Calibri"/>
                <w:lang w:eastAsia="en-US"/>
              </w:rPr>
              <w:t>XVII Ogólnopolski Mityng Pływacki Osób Niepełnosprawnych im. Krzysztofa Brzęczka</w:t>
            </w:r>
          </w:p>
        </w:tc>
        <w:tc>
          <w:tcPr>
            <w:tcW w:w="2022" w:type="dxa"/>
            <w:shd w:val="clear" w:color="auto" w:fill="auto"/>
          </w:tcPr>
          <w:p w14:paraId="71A9D26E" w14:textId="77777777" w:rsidR="007E515C" w:rsidRPr="00EC250C" w:rsidRDefault="007E515C" w:rsidP="00D131FA">
            <w:pPr>
              <w:pStyle w:val="Tabela"/>
              <w:jc w:val="both"/>
              <w:rPr>
                <w:rFonts w:eastAsia="Calibri"/>
                <w:lang w:eastAsia="en-US"/>
              </w:rPr>
            </w:pPr>
            <w:r w:rsidRPr="00EC250C">
              <w:rPr>
                <w:rFonts w:eastAsia="Calibri"/>
                <w:lang w:eastAsia="en-US"/>
              </w:rPr>
              <w:t>Chrzanów</w:t>
            </w:r>
          </w:p>
        </w:tc>
      </w:tr>
      <w:tr w:rsidR="007E515C" w:rsidRPr="00EC250C" w14:paraId="4C1DF1A8" w14:textId="77777777" w:rsidTr="00FC47F2">
        <w:tc>
          <w:tcPr>
            <w:tcW w:w="596" w:type="dxa"/>
            <w:shd w:val="clear" w:color="auto" w:fill="auto"/>
            <w:vAlign w:val="center"/>
          </w:tcPr>
          <w:p w14:paraId="1E804E63"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3B4BF971" w14:textId="77777777" w:rsidR="007E515C" w:rsidRPr="00EC250C" w:rsidRDefault="007E515C" w:rsidP="00D131FA">
            <w:pPr>
              <w:pStyle w:val="Tabela"/>
              <w:jc w:val="both"/>
              <w:rPr>
                <w:rFonts w:eastAsia="Calibri"/>
                <w:lang w:eastAsia="en-US"/>
              </w:rPr>
            </w:pPr>
            <w:r w:rsidRPr="00EC250C">
              <w:rPr>
                <w:rFonts w:eastAsia="Calibri"/>
                <w:lang w:eastAsia="en-US"/>
              </w:rPr>
              <w:t>16. Objazdowy Festiwal Filmowy WATCH DOCS Prawa Człowieka</w:t>
            </w:r>
            <w:r w:rsidR="00992FD0" w:rsidRPr="00EC250C">
              <w:rPr>
                <w:rFonts w:eastAsia="Calibri"/>
                <w:lang w:eastAsia="en-US"/>
              </w:rPr>
              <w:t xml:space="preserve"> w </w:t>
            </w:r>
            <w:r w:rsidRPr="00EC250C">
              <w:rPr>
                <w:rFonts w:eastAsia="Calibri"/>
                <w:lang w:eastAsia="en-US"/>
              </w:rPr>
              <w:t xml:space="preserve">Filmie </w:t>
            </w:r>
          </w:p>
        </w:tc>
        <w:tc>
          <w:tcPr>
            <w:tcW w:w="2022" w:type="dxa"/>
            <w:shd w:val="clear" w:color="auto" w:fill="auto"/>
          </w:tcPr>
          <w:p w14:paraId="6CAD36D8" w14:textId="77777777" w:rsidR="007E515C" w:rsidRPr="00EC250C" w:rsidRDefault="007E515C" w:rsidP="00D131FA">
            <w:pPr>
              <w:pStyle w:val="Tabela"/>
              <w:jc w:val="both"/>
              <w:rPr>
                <w:rFonts w:eastAsia="Calibri"/>
                <w:lang w:eastAsia="en-US"/>
              </w:rPr>
            </w:pPr>
            <w:r w:rsidRPr="00EC250C">
              <w:rPr>
                <w:rFonts w:eastAsia="Calibri"/>
                <w:lang w:eastAsia="en-US"/>
              </w:rPr>
              <w:t>Kraków Poronin</w:t>
            </w:r>
          </w:p>
        </w:tc>
      </w:tr>
      <w:tr w:rsidR="007E515C" w:rsidRPr="00EC250C" w14:paraId="129D1FE1" w14:textId="77777777" w:rsidTr="00FC47F2">
        <w:tc>
          <w:tcPr>
            <w:tcW w:w="596" w:type="dxa"/>
            <w:shd w:val="clear" w:color="auto" w:fill="auto"/>
            <w:vAlign w:val="center"/>
          </w:tcPr>
          <w:p w14:paraId="33CC972B"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4AD01DFE" w14:textId="77777777" w:rsidR="007E515C" w:rsidRPr="00EC250C" w:rsidRDefault="007E515C" w:rsidP="00D131FA">
            <w:pPr>
              <w:pStyle w:val="Tabela"/>
              <w:jc w:val="both"/>
              <w:rPr>
                <w:rFonts w:eastAsia="Calibri"/>
                <w:lang w:eastAsia="en-US"/>
              </w:rPr>
            </w:pPr>
            <w:r w:rsidRPr="00EC250C">
              <w:rPr>
                <w:rFonts w:eastAsia="Calibri"/>
                <w:lang w:eastAsia="en-US"/>
              </w:rPr>
              <w:t xml:space="preserve">Seminarium pt. „Projektowanie dostępności” Lubelski Instytut Designu </w:t>
            </w:r>
          </w:p>
        </w:tc>
        <w:tc>
          <w:tcPr>
            <w:tcW w:w="2022" w:type="dxa"/>
            <w:shd w:val="clear" w:color="auto" w:fill="auto"/>
          </w:tcPr>
          <w:p w14:paraId="2D1B7D28" w14:textId="77777777" w:rsidR="007E515C" w:rsidRPr="00EC250C" w:rsidRDefault="007E515C" w:rsidP="00D131FA">
            <w:pPr>
              <w:pStyle w:val="Tabela"/>
              <w:jc w:val="both"/>
              <w:rPr>
                <w:rFonts w:eastAsia="Calibri"/>
                <w:lang w:eastAsia="en-US"/>
              </w:rPr>
            </w:pPr>
            <w:r w:rsidRPr="00EC250C">
              <w:rPr>
                <w:rFonts w:eastAsia="Calibri"/>
                <w:lang w:eastAsia="en-US"/>
              </w:rPr>
              <w:t>Lublin</w:t>
            </w:r>
          </w:p>
        </w:tc>
      </w:tr>
      <w:tr w:rsidR="007E515C" w:rsidRPr="00EC250C" w14:paraId="488BD851" w14:textId="77777777" w:rsidTr="00FC47F2">
        <w:trPr>
          <w:trHeight w:val="70"/>
        </w:trPr>
        <w:tc>
          <w:tcPr>
            <w:tcW w:w="596" w:type="dxa"/>
            <w:shd w:val="clear" w:color="auto" w:fill="auto"/>
            <w:vAlign w:val="center"/>
          </w:tcPr>
          <w:p w14:paraId="30DCC4FE"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207E1E57" w14:textId="77777777" w:rsidR="007E515C" w:rsidRPr="00EC250C" w:rsidRDefault="007E515C" w:rsidP="00D131FA">
            <w:pPr>
              <w:pStyle w:val="Tabela"/>
              <w:jc w:val="both"/>
              <w:rPr>
                <w:rFonts w:eastAsia="Calibri"/>
                <w:lang w:eastAsia="en-US"/>
              </w:rPr>
            </w:pPr>
            <w:r w:rsidRPr="00EC250C">
              <w:rPr>
                <w:rFonts w:eastAsia="Calibri"/>
                <w:lang w:eastAsia="en-US"/>
              </w:rPr>
              <w:t xml:space="preserve">Projekt ELSA DAY </w:t>
            </w:r>
          </w:p>
        </w:tc>
        <w:tc>
          <w:tcPr>
            <w:tcW w:w="2022" w:type="dxa"/>
            <w:shd w:val="clear" w:color="auto" w:fill="auto"/>
          </w:tcPr>
          <w:p w14:paraId="215EAFD2"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02EAC98C" w14:textId="77777777" w:rsidTr="00FC47F2">
        <w:trPr>
          <w:trHeight w:val="70"/>
        </w:trPr>
        <w:tc>
          <w:tcPr>
            <w:tcW w:w="596" w:type="dxa"/>
            <w:shd w:val="clear" w:color="auto" w:fill="auto"/>
            <w:vAlign w:val="center"/>
          </w:tcPr>
          <w:p w14:paraId="37F66AC7"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036B157C" w14:textId="77777777" w:rsidR="007E515C" w:rsidRPr="00EC250C" w:rsidRDefault="007E515C" w:rsidP="00D131FA">
            <w:pPr>
              <w:pStyle w:val="Tabela"/>
              <w:jc w:val="both"/>
              <w:rPr>
                <w:rFonts w:eastAsia="Calibri"/>
                <w:lang w:eastAsia="en-US"/>
              </w:rPr>
            </w:pPr>
            <w:r w:rsidRPr="00EC250C">
              <w:rPr>
                <w:rFonts w:eastAsia="Calibri"/>
                <w:lang w:eastAsia="en-US"/>
              </w:rPr>
              <w:t xml:space="preserve">Konferencja pt. "Masowa konsumpcja pornografii przez dzieci jako istotny problem społeczny" </w:t>
            </w:r>
          </w:p>
        </w:tc>
        <w:tc>
          <w:tcPr>
            <w:tcW w:w="2022" w:type="dxa"/>
            <w:shd w:val="clear" w:color="auto" w:fill="auto"/>
          </w:tcPr>
          <w:p w14:paraId="3E23EA92" w14:textId="77777777" w:rsidR="007E515C" w:rsidRPr="00EC250C" w:rsidRDefault="007E515C" w:rsidP="00D131FA">
            <w:pPr>
              <w:pStyle w:val="Tabela"/>
              <w:jc w:val="both"/>
              <w:rPr>
                <w:rFonts w:eastAsia="Calibri"/>
                <w:lang w:eastAsia="en-US"/>
              </w:rPr>
            </w:pPr>
          </w:p>
        </w:tc>
      </w:tr>
      <w:tr w:rsidR="007E515C" w:rsidRPr="00EC250C" w14:paraId="7C37530F" w14:textId="77777777" w:rsidTr="00FC47F2">
        <w:trPr>
          <w:trHeight w:val="70"/>
        </w:trPr>
        <w:tc>
          <w:tcPr>
            <w:tcW w:w="596" w:type="dxa"/>
            <w:shd w:val="clear" w:color="auto" w:fill="auto"/>
            <w:vAlign w:val="center"/>
          </w:tcPr>
          <w:p w14:paraId="04429F8F"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0AEFDE10" w14:textId="77777777" w:rsidR="007E515C" w:rsidRPr="00EC250C" w:rsidRDefault="007E515C" w:rsidP="00D131FA">
            <w:pPr>
              <w:pStyle w:val="Tabela"/>
              <w:jc w:val="both"/>
              <w:rPr>
                <w:rFonts w:eastAsia="Calibri"/>
                <w:lang w:eastAsia="en-US"/>
              </w:rPr>
            </w:pPr>
            <w:r w:rsidRPr="00EC250C">
              <w:rPr>
                <w:rFonts w:eastAsia="Calibri"/>
                <w:lang w:eastAsia="en-US"/>
              </w:rPr>
              <w:t>Projekt „Kontrpubliczności atakowanych innych. Mowa nienawiści</w:t>
            </w:r>
            <w:r w:rsidR="00992FD0" w:rsidRPr="00EC250C">
              <w:rPr>
                <w:rFonts w:eastAsia="Calibri"/>
                <w:lang w:eastAsia="en-US"/>
              </w:rPr>
              <w:t xml:space="preserve"> i </w:t>
            </w:r>
            <w:r w:rsidRPr="00EC250C">
              <w:rPr>
                <w:rFonts w:eastAsia="Calibri"/>
                <w:lang w:eastAsia="en-US"/>
              </w:rPr>
              <w:t xml:space="preserve">strategie oporu we współczesnej Polsce” </w:t>
            </w:r>
          </w:p>
        </w:tc>
        <w:tc>
          <w:tcPr>
            <w:tcW w:w="2022" w:type="dxa"/>
            <w:shd w:val="clear" w:color="auto" w:fill="auto"/>
          </w:tcPr>
          <w:p w14:paraId="2F26BD42"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39DE618A" w14:textId="77777777" w:rsidTr="00FC47F2">
        <w:trPr>
          <w:trHeight w:val="70"/>
        </w:trPr>
        <w:tc>
          <w:tcPr>
            <w:tcW w:w="596" w:type="dxa"/>
            <w:shd w:val="clear" w:color="auto" w:fill="auto"/>
            <w:vAlign w:val="center"/>
          </w:tcPr>
          <w:p w14:paraId="717A67B3"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7FE9249A" w14:textId="77777777" w:rsidR="007E515C" w:rsidRPr="00EC250C" w:rsidRDefault="007E515C" w:rsidP="00D131FA">
            <w:pPr>
              <w:pStyle w:val="Tabela"/>
              <w:jc w:val="both"/>
              <w:rPr>
                <w:rFonts w:eastAsia="Calibri"/>
                <w:lang w:eastAsia="en-US"/>
              </w:rPr>
            </w:pPr>
            <w:r w:rsidRPr="00EC250C">
              <w:rPr>
                <w:rFonts w:eastAsia="Calibri"/>
                <w:lang w:eastAsia="en-US"/>
              </w:rPr>
              <w:t xml:space="preserve">VI edycja Tygodnia Konstytucyjnego </w:t>
            </w:r>
          </w:p>
        </w:tc>
        <w:tc>
          <w:tcPr>
            <w:tcW w:w="2022" w:type="dxa"/>
            <w:shd w:val="clear" w:color="auto" w:fill="auto"/>
          </w:tcPr>
          <w:p w14:paraId="2E2E1B69"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661F7175" w14:textId="77777777" w:rsidTr="00FC47F2">
        <w:trPr>
          <w:trHeight w:val="70"/>
        </w:trPr>
        <w:tc>
          <w:tcPr>
            <w:tcW w:w="596" w:type="dxa"/>
            <w:shd w:val="clear" w:color="auto" w:fill="auto"/>
            <w:vAlign w:val="center"/>
          </w:tcPr>
          <w:p w14:paraId="2350AF2B"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695CDBC3" w14:textId="77777777" w:rsidR="007E515C" w:rsidRPr="00EC250C" w:rsidRDefault="007E515C" w:rsidP="00D131FA">
            <w:pPr>
              <w:pStyle w:val="Tabela"/>
              <w:jc w:val="both"/>
              <w:rPr>
                <w:rFonts w:eastAsia="Calibri"/>
                <w:lang w:eastAsia="en-US"/>
              </w:rPr>
            </w:pPr>
            <w:r w:rsidRPr="00EC250C">
              <w:rPr>
                <w:rFonts w:eastAsia="Calibri"/>
                <w:lang w:eastAsia="en-US"/>
              </w:rPr>
              <w:t xml:space="preserve">Projekt poświęcony przeciwdziałaniu przemocy wobec kobiet </w:t>
            </w:r>
          </w:p>
        </w:tc>
        <w:tc>
          <w:tcPr>
            <w:tcW w:w="2022" w:type="dxa"/>
            <w:shd w:val="clear" w:color="auto" w:fill="auto"/>
          </w:tcPr>
          <w:p w14:paraId="2A67AB32"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37079C36" w14:textId="77777777" w:rsidTr="00FC47F2">
        <w:trPr>
          <w:trHeight w:val="70"/>
        </w:trPr>
        <w:tc>
          <w:tcPr>
            <w:tcW w:w="596" w:type="dxa"/>
            <w:shd w:val="clear" w:color="auto" w:fill="auto"/>
            <w:vAlign w:val="center"/>
          </w:tcPr>
          <w:p w14:paraId="5F507C9B"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2DC91DC0" w14:textId="77777777" w:rsidR="007E515C" w:rsidRPr="00EC250C" w:rsidRDefault="007E515C" w:rsidP="00D131FA">
            <w:pPr>
              <w:pStyle w:val="Tabela"/>
              <w:jc w:val="both"/>
              <w:rPr>
                <w:rFonts w:eastAsia="Calibri"/>
                <w:lang w:eastAsia="en-US"/>
              </w:rPr>
            </w:pPr>
            <w:r w:rsidRPr="00EC250C">
              <w:rPr>
                <w:rFonts w:eastAsia="Calibri"/>
                <w:lang w:eastAsia="en-US"/>
              </w:rPr>
              <w:t>Kampania edukacyjna dotycząca praw wynikających</w:t>
            </w:r>
            <w:r w:rsidR="00992FD0" w:rsidRPr="00EC250C">
              <w:rPr>
                <w:rFonts w:eastAsia="Calibri"/>
                <w:lang w:eastAsia="en-US"/>
              </w:rPr>
              <w:t xml:space="preserve"> z </w:t>
            </w:r>
            <w:r w:rsidRPr="00EC250C">
              <w:rPr>
                <w:rFonts w:eastAsia="Calibri"/>
                <w:lang w:eastAsia="en-US"/>
              </w:rPr>
              <w:t>RODO, które przysługują Pacjentom względem ich danych osobowych</w:t>
            </w:r>
          </w:p>
        </w:tc>
        <w:tc>
          <w:tcPr>
            <w:tcW w:w="2022" w:type="dxa"/>
            <w:shd w:val="clear" w:color="auto" w:fill="auto"/>
          </w:tcPr>
          <w:p w14:paraId="1787279E"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27BC0704" w14:textId="77777777" w:rsidTr="00FC47F2">
        <w:trPr>
          <w:trHeight w:val="70"/>
        </w:trPr>
        <w:tc>
          <w:tcPr>
            <w:tcW w:w="596" w:type="dxa"/>
            <w:shd w:val="clear" w:color="auto" w:fill="auto"/>
            <w:vAlign w:val="center"/>
          </w:tcPr>
          <w:p w14:paraId="3A0085DB"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411BEBEA" w14:textId="77777777" w:rsidR="007E515C" w:rsidRPr="00EC250C" w:rsidRDefault="007E515C" w:rsidP="00D131FA">
            <w:pPr>
              <w:pStyle w:val="Tabela"/>
              <w:jc w:val="both"/>
              <w:rPr>
                <w:rFonts w:eastAsia="Calibri"/>
                <w:lang w:eastAsia="en-US"/>
              </w:rPr>
            </w:pPr>
            <w:r w:rsidRPr="00EC250C">
              <w:rPr>
                <w:rFonts w:eastAsia="Calibri"/>
                <w:lang w:eastAsia="en-US"/>
              </w:rPr>
              <w:t xml:space="preserve">Dzień Otwarty OIRP dla Kobiet </w:t>
            </w:r>
          </w:p>
        </w:tc>
        <w:tc>
          <w:tcPr>
            <w:tcW w:w="2022" w:type="dxa"/>
            <w:shd w:val="clear" w:color="auto" w:fill="auto"/>
          </w:tcPr>
          <w:p w14:paraId="6736432D" w14:textId="77777777" w:rsidR="007E515C" w:rsidRPr="00EC250C" w:rsidRDefault="007E515C" w:rsidP="00D131FA">
            <w:pPr>
              <w:pStyle w:val="Tabela"/>
              <w:jc w:val="both"/>
              <w:rPr>
                <w:rFonts w:eastAsia="Calibri"/>
                <w:lang w:eastAsia="en-US"/>
              </w:rPr>
            </w:pPr>
            <w:r w:rsidRPr="00EC250C">
              <w:rPr>
                <w:rFonts w:eastAsia="Calibri"/>
                <w:lang w:eastAsia="en-US"/>
              </w:rPr>
              <w:t>Wrocław</w:t>
            </w:r>
          </w:p>
        </w:tc>
      </w:tr>
      <w:tr w:rsidR="007E515C" w:rsidRPr="00EC250C" w14:paraId="67CD4C18" w14:textId="77777777" w:rsidTr="00FC47F2">
        <w:trPr>
          <w:trHeight w:val="70"/>
        </w:trPr>
        <w:tc>
          <w:tcPr>
            <w:tcW w:w="596" w:type="dxa"/>
            <w:shd w:val="clear" w:color="auto" w:fill="auto"/>
            <w:vAlign w:val="center"/>
          </w:tcPr>
          <w:p w14:paraId="7365ECFB"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284152CB" w14:textId="77777777" w:rsidR="007E515C" w:rsidRPr="00EC250C" w:rsidRDefault="007E515C" w:rsidP="00D131FA">
            <w:pPr>
              <w:pStyle w:val="Tabela"/>
              <w:jc w:val="both"/>
              <w:rPr>
                <w:rFonts w:eastAsia="Calibri"/>
                <w:lang w:eastAsia="en-US"/>
              </w:rPr>
            </w:pPr>
            <w:r w:rsidRPr="00EC250C">
              <w:rPr>
                <w:rFonts w:eastAsia="Calibri"/>
                <w:lang w:eastAsia="en-US"/>
              </w:rPr>
              <w:t>VIII Konferencja</w:t>
            </w:r>
            <w:r w:rsidR="00992FD0" w:rsidRPr="00EC250C">
              <w:rPr>
                <w:rFonts w:eastAsia="Calibri"/>
                <w:lang w:eastAsia="en-US"/>
              </w:rPr>
              <w:t xml:space="preserve"> z </w:t>
            </w:r>
            <w:r w:rsidRPr="00EC250C">
              <w:rPr>
                <w:rFonts w:eastAsia="Calibri"/>
                <w:lang w:eastAsia="en-US"/>
              </w:rPr>
              <w:t>cyklu „Dyrektor Liderem” pod hasłem: „Rozwój myślenia społecznego</w:t>
            </w:r>
            <w:r w:rsidR="00992FD0" w:rsidRPr="00EC250C">
              <w:rPr>
                <w:rFonts w:eastAsia="Calibri"/>
                <w:lang w:eastAsia="en-US"/>
              </w:rPr>
              <w:t xml:space="preserve"> i </w:t>
            </w:r>
            <w:r w:rsidRPr="00EC250C">
              <w:rPr>
                <w:rFonts w:eastAsia="Calibri"/>
                <w:lang w:eastAsia="en-US"/>
              </w:rPr>
              <w:t>emocjonalności uczniów ze spektrum autyzmu</w:t>
            </w:r>
            <w:r w:rsidR="00992FD0" w:rsidRPr="00EC250C">
              <w:rPr>
                <w:rFonts w:eastAsia="Calibri"/>
                <w:lang w:eastAsia="en-US"/>
              </w:rPr>
              <w:t xml:space="preserve"> i </w:t>
            </w:r>
            <w:r w:rsidRPr="00EC250C">
              <w:rPr>
                <w:rFonts w:eastAsia="Calibri"/>
                <w:lang w:eastAsia="en-US"/>
              </w:rPr>
              <w:t>zespołem Aspergera</w:t>
            </w:r>
            <w:r w:rsidR="00026572" w:rsidRPr="00EC250C">
              <w:rPr>
                <w:rFonts w:eastAsia="Calibri"/>
                <w:lang w:eastAsia="en-US"/>
              </w:rPr>
              <w:t xml:space="preserve"> – </w:t>
            </w:r>
            <w:r w:rsidRPr="00EC250C">
              <w:rPr>
                <w:rFonts w:eastAsia="Calibri"/>
                <w:lang w:eastAsia="en-US"/>
              </w:rPr>
              <w:t>chcę wiedzieć jak je zapewnić</w:t>
            </w:r>
            <w:r w:rsidR="00992FD0" w:rsidRPr="00EC250C">
              <w:rPr>
                <w:rFonts w:eastAsia="Calibri"/>
                <w:lang w:eastAsia="en-US"/>
              </w:rPr>
              <w:t xml:space="preserve"> w </w:t>
            </w:r>
            <w:r w:rsidRPr="00EC250C">
              <w:rPr>
                <w:rFonts w:eastAsia="Calibri"/>
                <w:lang w:eastAsia="en-US"/>
              </w:rPr>
              <w:t>mojej placówce!”</w:t>
            </w:r>
            <w:r w:rsidR="00026572" w:rsidRPr="00EC250C">
              <w:rPr>
                <w:rFonts w:eastAsia="Calibri"/>
                <w:lang w:eastAsia="en-US"/>
              </w:rPr>
              <w:t xml:space="preserve"> – </w:t>
            </w:r>
            <w:r w:rsidRPr="00EC250C">
              <w:rPr>
                <w:rFonts w:eastAsia="Calibri"/>
                <w:lang w:eastAsia="en-US"/>
              </w:rPr>
              <w:t xml:space="preserve">jesień 2018 </w:t>
            </w:r>
          </w:p>
        </w:tc>
        <w:tc>
          <w:tcPr>
            <w:tcW w:w="2022" w:type="dxa"/>
            <w:shd w:val="clear" w:color="auto" w:fill="auto"/>
          </w:tcPr>
          <w:p w14:paraId="6D120817" w14:textId="77777777" w:rsidR="007E515C" w:rsidRPr="00EC250C" w:rsidRDefault="007E515C" w:rsidP="00D131FA">
            <w:pPr>
              <w:pStyle w:val="Tabela"/>
              <w:jc w:val="both"/>
              <w:rPr>
                <w:rFonts w:eastAsia="Calibri"/>
                <w:lang w:eastAsia="en-US"/>
              </w:rPr>
            </w:pPr>
            <w:r w:rsidRPr="00EC250C">
              <w:rPr>
                <w:rFonts w:eastAsia="Calibri"/>
                <w:lang w:eastAsia="en-US"/>
              </w:rPr>
              <w:t>Sosnowiec</w:t>
            </w:r>
          </w:p>
        </w:tc>
      </w:tr>
      <w:tr w:rsidR="007E515C" w:rsidRPr="00EC250C" w14:paraId="072108A3" w14:textId="77777777" w:rsidTr="00FC47F2">
        <w:trPr>
          <w:trHeight w:val="70"/>
        </w:trPr>
        <w:tc>
          <w:tcPr>
            <w:tcW w:w="596" w:type="dxa"/>
            <w:shd w:val="clear" w:color="auto" w:fill="auto"/>
            <w:vAlign w:val="center"/>
          </w:tcPr>
          <w:p w14:paraId="49ED2ABB"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2A8D24FF" w14:textId="77777777" w:rsidR="007E515C" w:rsidRPr="00EC250C" w:rsidRDefault="007E515C" w:rsidP="00D131FA">
            <w:pPr>
              <w:pStyle w:val="Tabela"/>
              <w:jc w:val="both"/>
              <w:rPr>
                <w:rFonts w:eastAsia="Calibri"/>
                <w:lang w:eastAsia="en-US"/>
              </w:rPr>
            </w:pPr>
            <w:r w:rsidRPr="00EC250C">
              <w:rPr>
                <w:rFonts w:eastAsia="Calibri"/>
                <w:lang w:eastAsia="en-US"/>
              </w:rPr>
              <w:t>10. Bielska edycja Objazdowego Festiwalu WATCH DOCS Prawa Człowieka</w:t>
            </w:r>
            <w:r w:rsidR="00992FD0" w:rsidRPr="00EC250C">
              <w:rPr>
                <w:rFonts w:eastAsia="Calibri"/>
                <w:lang w:eastAsia="en-US"/>
              </w:rPr>
              <w:t xml:space="preserve"> w </w:t>
            </w:r>
            <w:r w:rsidRPr="00EC250C">
              <w:rPr>
                <w:rFonts w:eastAsia="Calibri"/>
                <w:lang w:eastAsia="en-US"/>
              </w:rPr>
              <w:t xml:space="preserve">Filmie </w:t>
            </w:r>
          </w:p>
        </w:tc>
        <w:tc>
          <w:tcPr>
            <w:tcW w:w="2022" w:type="dxa"/>
            <w:shd w:val="clear" w:color="auto" w:fill="auto"/>
          </w:tcPr>
          <w:p w14:paraId="03D1150B" w14:textId="77777777" w:rsidR="007E515C" w:rsidRPr="00EC250C" w:rsidRDefault="007E515C" w:rsidP="00D131FA">
            <w:pPr>
              <w:pStyle w:val="Tabela"/>
              <w:jc w:val="both"/>
              <w:rPr>
                <w:rFonts w:eastAsia="Calibri"/>
                <w:lang w:eastAsia="en-US"/>
              </w:rPr>
            </w:pPr>
            <w:r w:rsidRPr="00EC250C">
              <w:rPr>
                <w:rFonts w:eastAsia="Calibri"/>
                <w:lang w:eastAsia="en-US"/>
              </w:rPr>
              <w:t>Bielsko-Biała</w:t>
            </w:r>
          </w:p>
        </w:tc>
      </w:tr>
      <w:tr w:rsidR="007E515C" w:rsidRPr="00EC250C" w14:paraId="7F667B4B" w14:textId="77777777" w:rsidTr="00FC47F2">
        <w:trPr>
          <w:trHeight w:val="474"/>
        </w:trPr>
        <w:tc>
          <w:tcPr>
            <w:tcW w:w="596" w:type="dxa"/>
            <w:shd w:val="clear" w:color="auto" w:fill="auto"/>
            <w:vAlign w:val="center"/>
          </w:tcPr>
          <w:p w14:paraId="19550D30"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6EE7B836" w14:textId="77777777" w:rsidR="007E515C" w:rsidRPr="00EC250C" w:rsidRDefault="007E515C" w:rsidP="00D131FA">
            <w:pPr>
              <w:pStyle w:val="Tabela"/>
              <w:jc w:val="both"/>
              <w:rPr>
                <w:rFonts w:eastAsia="Calibri"/>
                <w:lang w:eastAsia="en-US"/>
              </w:rPr>
            </w:pPr>
            <w:r w:rsidRPr="00EC250C">
              <w:rPr>
                <w:rFonts w:eastAsia="Calibri"/>
                <w:lang w:eastAsia="en-US"/>
              </w:rPr>
              <w:t>Ogólnopolska konferencja naukowa Studencko-Doktorancka pt. „Status pokrzywdzonego</w:t>
            </w:r>
            <w:r w:rsidR="00992FD0" w:rsidRPr="00EC250C">
              <w:rPr>
                <w:rFonts w:eastAsia="Calibri"/>
                <w:lang w:eastAsia="en-US"/>
              </w:rPr>
              <w:t xml:space="preserve"> w </w:t>
            </w:r>
            <w:r w:rsidRPr="00EC250C">
              <w:rPr>
                <w:rFonts w:eastAsia="Calibri"/>
                <w:lang w:eastAsia="en-US"/>
              </w:rPr>
              <w:t xml:space="preserve">postępowaniu karnym” </w:t>
            </w:r>
          </w:p>
        </w:tc>
        <w:tc>
          <w:tcPr>
            <w:tcW w:w="2022" w:type="dxa"/>
            <w:shd w:val="clear" w:color="auto" w:fill="auto"/>
          </w:tcPr>
          <w:p w14:paraId="4A92DE49" w14:textId="77777777" w:rsidR="007E515C" w:rsidRPr="00EC250C" w:rsidRDefault="007E515C" w:rsidP="00D131FA">
            <w:pPr>
              <w:pStyle w:val="Tabela"/>
              <w:jc w:val="both"/>
              <w:rPr>
                <w:rFonts w:eastAsia="Calibri"/>
                <w:lang w:eastAsia="en-US"/>
              </w:rPr>
            </w:pPr>
            <w:r w:rsidRPr="00EC250C">
              <w:rPr>
                <w:rFonts w:eastAsia="Calibri"/>
                <w:lang w:eastAsia="en-US"/>
              </w:rPr>
              <w:t>Kraków</w:t>
            </w:r>
          </w:p>
        </w:tc>
      </w:tr>
      <w:tr w:rsidR="007E515C" w:rsidRPr="00EC250C" w14:paraId="7B65E1AE" w14:textId="77777777" w:rsidTr="00FC47F2">
        <w:trPr>
          <w:trHeight w:val="70"/>
        </w:trPr>
        <w:tc>
          <w:tcPr>
            <w:tcW w:w="596" w:type="dxa"/>
            <w:shd w:val="clear" w:color="auto" w:fill="auto"/>
            <w:vAlign w:val="center"/>
          </w:tcPr>
          <w:p w14:paraId="1994F837"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03031526" w14:textId="77777777" w:rsidR="007E515C" w:rsidRPr="00EC250C" w:rsidRDefault="007E515C" w:rsidP="00D131FA">
            <w:pPr>
              <w:pStyle w:val="Tabela"/>
              <w:jc w:val="both"/>
              <w:rPr>
                <w:rFonts w:eastAsia="Calibri"/>
                <w:lang w:val="en-US" w:eastAsia="en-US"/>
              </w:rPr>
            </w:pPr>
            <w:r w:rsidRPr="00EC250C">
              <w:rPr>
                <w:rFonts w:eastAsia="Calibri"/>
                <w:lang w:val="en-US" w:eastAsia="en-US"/>
              </w:rPr>
              <w:t xml:space="preserve">Gala „Natwest LGBT+ Business Awards 2018” </w:t>
            </w:r>
          </w:p>
        </w:tc>
        <w:tc>
          <w:tcPr>
            <w:tcW w:w="2022" w:type="dxa"/>
            <w:shd w:val="clear" w:color="auto" w:fill="auto"/>
          </w:tcPr>
          <w:p w14:paraId="284F0B01"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7806B4E7" w14:textId="77777777" w:rsidTr="00FC47F2">
        <w:tc>
          <w:tcPr>
            <w:tcW w:w="596" w:type="dxa"/>
            <w:shd w:val="clear" w:color="auto" w:fill="auto"/>
            <w:vAlign w:val="center"/>
          </w:tcPr>
          <w:p w14:paraId="0E8FC986"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3D32D027" w14:textId="77777777" w:rsidR="007E515C" w:rsidRPr="00EC250C" w:rsidRDefault="007E515C" w:rsidP="00D131FA">
            <w:pPr>
              <w:pStyle w:val="Tabela"/>
              <w:jc w:val="both"/>
              <w:rPr>
                <w:rFonts w:eastAsia="Calibri"/>
                <w:lang w:eastAsia="en-US"/>
              </w:rPr>
            </w:pPr>
            <w:r w:rsidRPr="00EC250C">
              <w:rPr>
                <w:rFonts w:eastAsia="Calibri"/>
                <w:lang w:eastAsia="en-US"/>
              </w:rPr>
              <w:t>Publikacja Mały Obywatel Świata</w:t>
            </w:r>
          </w:p>
        </w:tc>
        <w:tc>
          <w:tcPr>
            <w:tcW w:w="2022" w:type="dxa"/>
            <w:shd w:val="clear" w:color="auto" w:fill="auto"/>
          </w:tcPr>
          <w:p w14:paraId="61684407"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r w:rsidR="007E515C" w:rsidRPr="00EC250C" w14:paraId="1D7F9755" w14:textId="77777777" w:rsidTr="00FC47F2">
        <w:tc>
          <w:tcPr>
            <w:tcW w:w="596" w:type="dxa"/>
            <w:shd w:val="clear" w:color="auto" w:fill="auto"/>
            <w:vAlign w:val="center"/>
          </w:tcPr>
          <w:p w14:paraId="3457057E"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097A8B1E" w14:textId="77777777" w:rsidR="007E515C" w:rsidRPr="00EC250C" w:rsidRDefault="007E515C" w:rsidP="00D131FA">
            <w:pPr>
              <w:pStyle w:val="Tabela"/>
              <w:jc w:val="both"/>
              <w:rPr>
                <w:rFonts w:eastAsia="Calibri"/>
                <w:lang w:eastAsia="en-US"/>
              </w:rPr>
            </w:pPr>
            <w:r w:rsidRPr="00EC250C">
              <w:rPr>
                <w:rFonts w:eastAsia="Calibri"/>
                <w:lang w:eastAsia="en-US"/>
              </w:rPr>
              <w:t xml:space="preserve">I Ogólnopolska konferencja karnoprocesowa „Iustitia nemini neganda” </w:t>
            </w:r>
          </w:p>
        </w:tc>
        <w:tc>
          <w:tcPr>
            <w:tcW w:w="2022" w:type="dxa"/>
            <w:shd w:val="clear" w:color="auto" w:fill="auto"/>
          </w:tcPr>
          <w:p w14:paraId="3D37B74B"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36FC507D" w14:textId="77777777" w:rsidTr="00FC47F2">
        <w:tc>
          <w:tcPr>
            <w:tcW w:w="596" w:type="dxa"/>
            <w:shd w:val="clear" w:color="auto" w:fill="auto"/>
            <w:vAlign w:val="center"/>
          </w:tcPr>
          <w:p w14:paraId="42DD5E9D"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4183727E" w14:textId="77777777" w:rsidR="007E515C" w:rsidRPr="00EC250C" w:rsidRDefault="007E515C" w:rsidP="00D131FA">
            <w:pPr>
              <w:pStyle w:val="Tabela"/>
              <w:jc w:val="both"/>
              <w:rPr>
                <w:rFonts w:eastAsia="Calibri"/>
                <w:lang w:eastAsia="en-US"/>
              </w:rPr>
            </w:pPr>
            <w:r w:rsidRPr="00EC250C">
              <w:rPr>
                <w:rFonts w:eastAsia="Calibri"/>
                <w:lang w:eastAsia="en-US"/>
              </w:rPr>
              <w:t xml:space="preserve">Wystawa „Pod tym samym niebem – Droga do pojednania” </w:t>
            </w:r>
          </w:p>
        </w:tc>
        <w:tc>
          <w:tcPr>
            <w:tcW w:w="2022" w:type="dxa"/>
            <w:shd w:val="clear" w:color="auto" w:fill="auto"/>
          </w:tcPr>
          <w:p w14:paraId="6ACC3439" w14:textId="77777777" w:rsidR="007E515C" w:rsidRPr="00EC250C" w:rsidRDefault="007E515C" w:rsidP="00D131FA">
            <w:pPr>
              <w:pStyle w:val="Tabela"/>
              <w:jc w:val="both"/>
              <w:rPr>
                <w:rFonts w:eastAsia="Calibri"/>
                <w:lang w:eastAsia="en-US"/>
              </w:rPr>
            </w:pPr>
            <w:r w:rsidRPr="00EC250C">
              <w:rPr>
                <w:rFonts w:eastAsia="Calibri"/>
                <w:lang w:eastAsia="en-US"/>
              </w:rPr>
              <w:t>Sopot</w:t>
            </w:r>
          </w:p>
        </w:tc>
      </w:tr>
      <w:tr w:rsidR="007E515C" w:rsidRPr="00EC250C" w14:paraId="3EE15A50" w14:textId="77777777" w:rsidTr="00FC47F2">
        <w:tc>
          <w:tcPr>
            <w:tcW w:w="596" w:type="dxa"/>
            <w:shd w:val="clear" w:color="auto" w:fill="auto"/>
            <w:vAlign w:val="center"/>
          </w:tcPr>
          <w:p w14:paraId="08A8A6E7"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49179714" w14:textId="77777777" w:rsidR="007E515C" w:rsidRPr="00EC250C" w:rsidRDefault="007E515C" w:rsidP="00D131FA">
            <w:pPr>
              <w:pStyle w:val="Tabela"/>
              <w:jc w:val="both"/>
              <w:rPr>
                <w:rFonts w:eastAsia="Calibri"/>
                <w:lang w:eastAsia="en-US"/>
              </w:rPr>
            </w:pPr>
            <w:r w:rsidRPr="00EC250C">
              <w:rPr>
                <w:rFonts w:eastAsia="Calibri"/>
                <w:lang w:eastAsia="en-US"/>
              </w:rPr>
              <w:t>Ogólnopolska konferencja podsumowująca projekt „Małopolska Sieć Rad Seniorów”</w:t>
            </w:r>
            <w:r w:rsidR="00026572" w:rsidRPr="00EC250C">
              <w:rPr>
                <w:rFonts w:eastAsia="Calibri"/>
                <w:lang w:eastAsia="en-US"/>
              </w:rPr>
              <w:t xml:space="preserve"> – </w:t>
            </w:r>
            <w:r w:rsidRPr="00EC250C">
              <w:rPr>
                <w:rFonts w:eastAsia="Calibri"/>
                <w:lang w:eastAsia="en-US"/>
              </w:rPr>
              <w:t xml:space="preserve">29.11.2018 </w:t>
            </w:r>
          </w:p>
        </w:tc>
        <w:tc>
          <w:tcPr>
            <w:tcW w:w="2022" w:type="dxa"/>
            <w:shd w:val="clear" w:color="auto" w:fill="auto"/>
          </w:tcPr>
          <w:p w14:paraId="290BA5B8" w14:textId="77777777" w:rsidR="007E515C" w:rsidRPr="00EC250C" w:rsidRDefault="007E515C" w:rsidP="00D131FA">
            <w:pPr>
              <w:pStyle w:val="Tabela"/>
              <w:jc w:val="both"/>
              <w:rPr>
                <w:rFonts w:eastAsia="Calibri"/>
                <w:lang w:eastAsia="en-US"/>
              </w:rPr>
            </w:pPr>
            <w:r w:rsidRPr="00EC250C">
              <w:rPr>
                <w:rFonts w:eastAsia="Calibri"/>
                <w:lang w:eastAsia="en-US"/>
              </w:rPr>
              <w:t>Tomaszowice</w:t>
            </w:r>
          </w:p>
        </w:tc>
      </w:tr>
      <w:tr w:rsidR="007E515C" w:rsidRPr="00EC250C" w14:paraId="6E1D57F6" w14:textId="77777777" w:rsidTr="00FC47F2">
        <w:tc>
          <w:tcPr>
            <w:tcW w:w="596" w:type="dxa"/>
            <w:shd w:val="clear" w:color="auto" w:fill="auto"/>
            <w:vAlign w:val="center"/>
          </w:tcPr>
          <w:p w14:paraId="66527A10"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0521B133" w14:textId="77777777" w:rsidR="007E515C" w:rsidRPr="00EC250C" w:rsidRDefault="007E515C" w:rsidP="00D131FA">
            <w:pPr>
              <w:pStyle w:val="Tabela"/>
              <w:jc w:val="both"/>
              <w:rPr>
                <w:rFonts w:eastAsia="Calibri"/>
                <w:lang w:eastAsia="en-US"/>
              </w:rPr>
            </w:pPr>
            <w:r w:rsidRPr="00EC250C">
              <w:rPr>
                <w:rFonts w:eastAsia="Calibri"/>
                <w:lang w:eastAsia="en-US"/>
              </w:rPr>
              <w:t xml:space="preserve">VII Kongres Prawa Medycznego </w:t>
            </w:r>
          </w:p>
        </w:tc>
        <w:tc>
          <w:tcPr>
            <w:tcW w:w="2022" w:type="dxa"/>
            <w:shd w:val="clear" w:color="auto" w:fill="auto"/>
          </w:tcPr>
          <w:p w14:paraId="7897AEE4" w14:textId="77777777" w:rsidR="007E515C" w:rsidRPr="00EC250C" w:rsidRDefault="007E515C" w:rsidP="00D131FA">
            <w:pPr>
              <w:pStyle w:val="Tabela"/>
              <w:jc w:val="both"/>
              <w:rPr>
                <w:rFonts w:eastAsia="Calibri"/>
                <w:lang w:eastAsia="en-US"/>
              </w:rPr>
            </w:pPr>
            <w:r w:rsidRPr="00EC250C">
              <w:rPr>
                <w:rFonts w:eastAsia="Calibri"/>
                <w:lang w:eastAsia="en-US"/>
              </w:rPr>
              <w:t>Kraków</w:t>
            </w:r>
          </w:p>
        </w:tc>
      </w:tr>
      <w:tr w:rsidR="007E515C" w:rsidRPr="00EC250C" w14:paraId="1036DCC0" w14:textId="77777777" w:rsidTr="00FC47F2">
        <w:tc>
          <w:tcPr>
            <w:tcW w:w="596" w:type="dxa"/>
            <w:shd w:val="clear" w:color="auto" w:fill="auto"/>
            <w:vAlign w:val="center"/>
          </w:tcPr>
          <w:p w14:paraId="76C47160"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693E5733" w14:textId="77777777" w:rsidR="007E515C" w:rsidRPr="00EC250C" w:rsidRDefault="007E515C" w:rsidP="00D131FA">
            <w:pPr>
              <w:pStyle w:val="Tabela"/>
              <w:jc w:val="both"/>
              <w:rPr>
                <w:rFonts w:eastAsia="Calibri"/>
                <w:lang w:eastAsia="en-US"/>
              </w:rPr>
            </w:pPr>
            <w:r w:rsidRPr="00EC250C">
              <w:rPr>
                <w:rFonts w:eastAsia="Calibri"/>
                <w:lang w:eastAsia="en-US"/>
              </w:rPr>
              <w:t xml:space="preserve">XII edycja konferencji „Pełno(s)prawny Student” </w:t>
            </w:r>
          </w:p>
        </w:tc>
        <w:tc>
          <w:tcPr>
            <w:tcW w:w="2022" w:type="dxa"/>
            <w:shd w:val="clear" w:color="auto" w:fill="auto"/>
          </w:tcPr>
          <w:p w14:paraId="17A42BF4" w14:textId="77777777" w:rsidR="007E515C" w:rsidRPr="00EC250C" w:rsidRDefault="007E515C" w:rsidP="00D131FA">
            <w:pPr>
              <w:pStyle w:val="Tabela"/>
              <w:jc w:val="both"/>
              <w:rPr>
                <w:rFonts w:eastAsia="Calibri"/>
                <w:lang w:eastAsia="en-US"/>
              </w:rPr>
            </w:pPr>
            <w:r w:rsidRPr="00EC250C">
              <w:rPr>
                <w:rFonts w:eastAsia="Calibri"/>
                <w:lang w:eastAsia="en-US"/>
              </w:rPr>
              <w:t>Kraków</w:t>
            </w:r>
          </w:p>
        </w:tc>
      </w:tr>
      <w:tr w:rsidR="007E515C" w:rsidRPr="00EC250C" w14:paraId="01DD49D5" w14:textId="77777777" w:rsidTr="00FC47F2">
        <w:tc>
          <w:tcPr>
            <w:tcW w:w="596" w:type="dxa"/>
            <w:shd w:val="clear" w:color="auto" w:fill="auto"/>
            <w:vAlign w:val="center"/>
          </w:tcPr>
          <w:p w14:paraId="23BF7291"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029ADCBA" w14:textId="77777777" w:rsidR="007E515C" w:rsidRPr="00EC250C" w:rsidRDefault="007E515C" w:rsidP="00D131FA">
            <w:pPr>
              <w:pStyle w:val="Tabela"/>
              <w:jc w:val="both"/>
              <w:rPr>
                <w:rFonts w:eastAsia="Calibri"/>
                <w:lang w:eastAsia="en-US"/>
              </w:rPr>
            </w:pPr>
            <w:r w:rsidRPr="00EC250C">
              <w:rPr>
                <w:rFonts w:eastAsia="Calibri"/>
                <w:lang w:eastAsia="en-US"/>
              </w:rPr>
              <w:t xml:space="preserve">Ogólnopolska konferencja naukowa pt. „Współczesne problemy ochrony praw człowieka II” </w:t>
            </w:r>
          </w:p>
        </w:tc>
        <w:tc>
          <w:tcPr>
            <w:tcW w:w="2022" w:type="dxa"/>
            <w:shd w:val="clear" w:color="auto" w:fill="auto"/>
          </w:tcPr>
          <w:p w14:paraId="0A1279F4" w14:textId="77777777" w:rsidR="007E515C" w:rsidRPr="00EC250C" w:rsidRDefault="007E515C" w:rsidP="00D131FA">
            <w:pPr>
              <w:pStyle w:val="Tabela"/>
              <w:jc w:val="both"/>
              <w:rPr>
                <w:rFonts w:eastAsia="Calibri"/>
                <w:lang w:eastAsia="en-US"/>
              </w:rPr>
            </w:pPr>
            <w:r w:rsidRPr="00EC250C">
              <w:rPr>
                <w:rFonts w:eastAsia="Calibri"/>
                <w:lang w:eastAsia="en-US"/>
              </w:rPr>
              <w:t>Poznań</w:t>
            </w:r>
          </w:p>
        </w:tc>
      </w:tr>
      <w:tr w:rsidR="007E515C" w:rsidRPr="00EC250C" w14:paraId="185415FC" w14:textId="77777777" w:rsidTr="00FC47F2">
        <w:tc>
          <w:tcPr>
            <w:tcW w:w="596" w:type="dxa"/>
            <w:shd w:val="clear" w:color="auto" w:fill="auto"/>
            <w:vAlign w:val="center"/>
          </w:tcPr>
          <w:p w14:paraId="21661FBA"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65DBE55C" w14:textId="77777777" w:rsidR="007E515C" w:rsidRPr="00EC250C" w:rsidRDefault="007E515C" w:rsidP="00D131FA">
            <w:pPr>
              <w:pStyle w:val="Tabela"/>
              <w:jc w:val="both"/>
              <w:rPr>
                <w:rFonts w:eastAsia="Calibri"/>
                <w:lang w:eastAsia="en-US"/>
              </w:rPr>
            </w:pPr>
            <w:r w:rsidRPr="00EC250C">
              <w:rPr>
                <w:rFonts w:eastAsia="Calibri"/>
                <w:lang w:eastAsia="en-US"/>
              </w:rPr>
              <w:t>Ogólnopolska konferencja naukowa „Ochrona praw dziecka oraz ochrona praw rodziny</w:t>
            </w:r>
            <w:r w:rsidR="00992FD0" w:rsidRPr="00EC250C">
              <w:rPr>
                <w:rFonts w:eastAsia="Calibri"/>
                <w:lang w:eastAsia="en-US"/>
              </w:rPr>
              <w:t xml:space="preserve"> w </w:t>
            </w:r>
            <w:r w:rsidRPr="00EC250C">
              <w:rPr>
                <w:rFonts w:eastAsia="Calibri"/>
                <w:lang w:eastAsia="en-US"/>
              </w:rPr>
              <w:t>polskim systemie prawnym”</w:t>
            </w:r>
          </w:p>
        </w:tc>
        <w:tc>
          <w:tcPr>
            <w:tcW w:w="2022" w:type="dxa"/>
            <w:shd w:val="clear" w:color="auto" w:fill="auto"/>
          </w:tcPr>
          <w:p w14:paraId="3FFAEC9D" w14:textId="77777777" w:rsidR="007E515C" w:rsidRPr="00EC250C" w:rsidRDefault="007E515C" w:rsidP="00D131FA">
            <w:pPr>
              <w:pStyle w:val="Tabela"/>
              <w:jc w:val="both"/>
              <w:rPr>
                <w:rFonts w:eastAsia="Calibri"/>
                <w:lang w:eastAsia="en-US"/>
              </w:rPr>
            </w:pPr>
            <w:r w:rsidRPr="00EC250C">
              <w:rPr>
                <w:rFonts w:eastAsia="Calibri"/>
                <w:lang w:eastAsia="en-US"/>
              </w:rPr>
              <w:t>Gdańsk</w:t>
            </w:r>
          </w:p>
        </w:tc>
      </w:tr>
      <w:tr w:rsidR="007E515C" w:rsidRPr="00EC250C" w14:paraId="7ED37B7E" w14:textId="77777777" w:rsidTr="00FC47F2">
        <w:tc>
          <w:tcPr>
            <w:tcW w:w="596" w:type="dxa"/>
            <w:shd w:val="clear" w:color="auto" w:fill="auto"/>
            <w:vAlign w:val="center"/>
          </w:tcPr>
          <w:p w14:paraId="6CDC1AF1"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53028ACF" w14:textId="77777777" w:rsidR="007E515C" w:rsidRPr="00EC250C" w:rsidRDefault="007E515C" w:rsidP="00D131FA">
            <w:pPr>
              <w:pStyle w:val="Tabela"/>
              <w:jc w:val="both"/>
              <w:rPr>
                <w:rFonts w:eastAsia="Calibri"/>
                <w:lang w:eastAsia="en-US"/>
              </w:rPr>
            </w:pPr>
            <w:r w:rsidRPr="00EC250C">
              <w:rPr>
                <w:rFonts w:eastAsia="Calibri"/>
                <w:lang w:eastAsia="en-US"/>
              </w:rPr>
              <w:t>III Ogólnopolski Okrągły Stół „Społeczeństwo, Władza, Media: Mowa Nienawiści</w:t>
            </w:r>
            <w:r w:rsidR="00992FD0" w:rsidRPr="00EC250C">
              <w:rPr>
                <w:rFonts w:eastAsia="Calibri"/>
                <w:lang w:eastAsia="en-US"/>
              </w:rPr>
              <w:t xml:space="preserve"> a </w:t>
            </w:r>
            <w:r w:rsidRPr="00EC250C">
              <w:rPr>
                <w:rFonts w:eastAsia="Calibri"/>
                <w:lang w:eastAsia="en-US"/>
              </w:rPr>
              <w:t>Inkluzja Społeczna”</w:t>
            </w:r>
          </w:p>
        </w:tc>
        <w:tc>
          <w:tcPr>
            <w:tcW w:w="2022" w:type="dxa"/>
            <w:shd w:val="clear" w:color="auto" w:fill="auto"/>
          </w:tcPr>
          <w:p w14:paraId="2393F966" w14:textId="77777777" w:rsidR="007E515C" w:rsidRPr="00EC250C" w:rsidRDefault="007E515C" w:rsidP="00D131FA">
            <w:pPr>
              <w:pStyle w:val="Tabela"/>
              <w:jc w:val="both"/>
              <w:rPr>
                <w:rFonts w:eastAsia="Calibri"/>
                <w:lang w:eastAsia="en-US"/>
              </w:rPr>
            </w:pPr>
            <w:r w:rsidRPr="00EC250C">
              <w:rPr>
                <w:rFonts w:eastAsia="Calibri"/>
                <w:lang w:eastAsia="en-US"/>
              </w:rPr>
              <w:t>Gorzów Wielkopolski</w:t>
            </w:r>
          </w:p>
        </w:tc>
      </w:tr>
      <w:tr w:rsidR="007E515C" w:rsidRPr="00EC250C" w14:paraId="527804B2" w14:textId="77777777" w:rsidTr="00FC47F2">
        <w:tc>
          <w:tcPr>
            <w:tcW w:w="596" w:type="dxa"/>
            <w:shd w:val="clear" w:color="auto" w:fill="auto"/>
            <w:vAlign w:val="center"/>
          </w:tcPr>
          <w:p w14:paraId="12358EE2"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2BB71C31" w14:textId="77777777" w:rsidR="007E515C" w:rsidRPr="00EC250C" w:rsidRDefault="007E515C" w:rsidP="00D131FA">
            <w:pPr>
              <w:pStyle w:val="Tabela"/>
              <w:jc w:val="both"/>
              <w:rPr>
                <w:rFonts w:eastAsia="Calibri"/>
                <w:lang w:eastAsia="en-US"/>
              </w:rPr>
            </w:pPr>
            <w:r w:rsidRPr="00EC250C">
              <w:rPr>
                <w:rFonts w:eastAsia="Calibri"/>
                <w:lang w:eastAsia="en-US"/>
              </w:rPr>
              <w:t>Spotkanie pt. „Godna Starość</w:t>
            </w:r>
            <w:r w:rsidR="00992FD0" w:rsidRPr="00EC250C">
              <w:rPr>
                <w:rFonts w:eastAsia="Calibri"/>
                <w:lang w:eastAsia="en-US"/>
              </w:rPr>
              <w:t xml:space="preserve"> i </w:t>
            </w:r>
            <w:r w:rsidRPr="00EC250C">
              <w:rPr>
                <w:rFonts w:eastAsia="Calibri"/>
                <w:lang w:eastAsia="en-US"/>
              </w:rPr>
              <w:t>Godna Praca – wspólne wyzwania, wspólne rozwiązania”</w:t>
            </w:r>
          </w:p>
        </w:tc>
        <w:tc>
          <w:tcPr>
            <w:tcW w:w="2022" w:type="dxa"/>
            <w:shd w:val="clear" w:color="auto" w:fill="auto"/>
          </w:tcPr>
          <w:p w14:paraId="2AC13E19" w14:textId="77777777" w:rsidR="007E515C" w:rsidRPr="00EC250C" w:rsidRDefault="007E515C" w:rsidP="00D131FA">
            <w:pPr>
              <w:pStyle w:val="Tabela"/>
              <w:jc w:val="both"/>
              <w:rPr>
                <w:rFonts w:eastAsia="Calibri"/>
                <w:lang w:eastAsia="en-US"/>
              </w:rPr>
            </w:pPr>
            <w:r w:rsidRPr="00EC250C">
              <w:rPr>
                <w:rFonts w:eastAsia="Calibri"/>
                <w:lang w:eastAsia="en-US"/>
              </w:rPr>
              <w:t>Warszawa</w:t>
            </w:r>
          </w:p>
        </w:tc>
      </w:tr>
      <w:tr w:rsidR="007E515C" w:rsidRPr="00EC250C" w14:paraId="2C700E39" w14:textId="77777777" w:rsidTr="00FC47F2">
        <w:tc>
          <w:tcPr>
            <w:tcW w:w="596" w:type="dxa"/>
            <w:shd w:val="clear" w:color="auto" w:fill="auto"/>
            <w:vAlign w:val="center"/>
          </w:tcPr>
          <w:p w14:paraId="615902AB"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2EC84A71" w14:textId="77777777" w:rsidR="007E515C" w:rsidRPr="00EC250C" w:rsidRDefault="007E515C" w:rsidP="00D131FA">
            <w:pPr>
              <w:pStyle w:val="Tabela"/>
              <w:jc w:val="both"/>
              <w:rPr>
                <w:rFonts w:eastAsia="Calibri"/>
                <w:lang w:eastAsia="en-US"/>
              </w:rPr>
            </w:pPr>
            <w:r w:rsidRPr="00EC250C">
              <w:rPr>
                <w:rFonts w:eastAsia="Calibri"/>
                <w:lang w:eastAsia="en-US"/>
              </w:rPr>
              <w:t xml:space="preserve">II edycja projekt „Akademia Edukacji Antydyskryminacyjnej” </w:t>
            </w:r>
          </w:p>
        </w:tc>
        <w:tc>
          <w:tcPr>
            <w:tcW w:w="2022" w:type="dxa"/>
            <w:shd w:val="clear" w:color="auto" w:fill="auto"/>
          </w:tcPr>
          <w:p w14:paraId="54DC8F3E" w14:textId="77777777" w:rsidR="007E515C" w:rsidRPr="00EC250C" w:rsidRDefault="007E515C" w:rsidP="00D131FA">
            <w:pPr>
              <w:pStyle w:val="Tabela"/>
              <w:jc w:val="both"/>
              <w:rPr>
                <w:rFonts w:eastAsia="Calibri"/>
                <w:lang w:eastAsia="en-US"/>
              </w:rPr>
            </w:pPr>
            <w:r w:rsidRPr="00EC250C">
              <w:rPr>
                <w:rFonts w:eastAsia="Calibri"/>
                <w:lang w:eastAsia="en-US"/>
              </w:rPr>
              <w:t>Oświęcim, Warszawa</w:t>
            </w:r>
          </w:p>
        </w:tc>
      </w:tr>
      <w:tr w:rsidR="007E515C" w:rsidRPr="00EC250C" w14:paraId="2AB7299C" w14:textId="77777777" w:rsidTr="00FC47F2">
        <w:tc>
          <w:tcPr>
            <w:tcW w:w="596" w:type="dxa"/>
            <w:shd w:val="clear" w:color="auto" w:fill="auto"/>
            <w:vAlign w:val="center"/>
          </w:tcPr>
          <w:p w14:paraId="61DE6C3C"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2CEB173C" w14:textId="77777777" w:rsidR="007E515C" w:rsidRPr="00EC250C" w:rsidRDefault="007E515C" w:rsidP="00D131FA">
            <w:pPr>
              <w:pStyle w:val="Tabela"/>
              <w:jc w:val="both"/>
              <w:rPr>
                <w:rFonts w:eastAsia="Calibri"/>
                <w:lang w:eastAsia="en-US"/>
              </w:rPr>
            </w:pPr>
            <w:r w:rsidRPr="00EC250C">
              <w:rPr>
                <w:rFonts w:eastAsia="Calibri"/>
                <w:lang w:eastAsia="en-US"/>
              </w:rPr>
              <w:t xml:space="preserve">Projekt edukacyjny „Tolerancja. Pomost między kulturami” </w:t>
            </w:r>
          </w:p>
        </w:tc>
        <w:tc>
          <w:tcPr>
            <w:tcW w:w="2022" w:type="dxa"/>
            <w:shd w:val="clear" w:color="auto" w:fill="auto"/>
          </w:tcPr>
          <w:p w14:paraId="51E71FAE" w14:textId="77777777" w:rsidR="007E515C" w:rsidRPr="00EC250C" w:rsidRDefault="007E515C" w:rsidP="00D131FA">
            <w:pPr>
              <w:pStyle w:val="Tabela"/>
              <w:jc w:val="both"/>
              <w:rPr>
                <w:rFonts w:eastAsia="Calibri"/>
                <w:lang w:eastAsia="en-US"/>
              </w:rPr>
            </w:pPr>
            <w:r w:rsidRPr="00EC250C">
              <w:rPr>
                <w:rFonts w:eastAsia="Calibri"/>
                <w:lang w:eastAsia="en-US"/>
              </w:rPr>
              <w:t>Szamotuły</w:t>
            </w:r>
          </w:p>
        </w:tc>
      </w:tr>
      <w:tr w:rsidR="007E515C" w:rsidRPr="00EC250C" w14:paraId="3A4F6A94" w14:textId="77777777" w:rsidTr="00FC47F2">
        <w:tc>
          <w:tcPr>
            <w:tcW w:w="596" w:type="dxa"/>
            <w:shd w:val="clear" w:color="auto" w:fill="auto"/>
            <w:vAlign w:val="center"/>
          </w:tcPr>
          <w:p w14:paraId="4FC3FF84"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2D2E4D7C" w14:textId="77777777" w:rsidR="007E515C" w:rsidRPr="00EC250C" w:rsidRDefault="007E515C" w:rsidP="00D131FA">
            <w:pPr>
              <w:pStyle w:val="Tabela"/>
              <w:jc w:val="both"/>
              <w:rPr>
                <w:rFonts w:eastAsia="Calibri"/>
                <w:lang w:eastAsia="en-US"/>
              </w:rPr>
            </w:pPr>
            <w:r w:rsidRPr="00EC250C">
              <w:rPr>
                <w:rFonts w:eastAsia="Calibri"/>
                <w:lang w:eastAsia="en-US"/>
              </w:rPr>
              <w:t xml:space="preserve">Wystawa prac Byczkowskiego „Prawa Człowieka. Dostrzegam” </w:t>
            </w:r>
          </w:p>
        </w:tc>
        <w:tc>
          <w:tcPr>
            <w:tcW w:w="2022" w:type="dxa"/>
            <w:shd w:val="clear" w:color="auto" w:fill="auto"/>
          </w:tcPr>
          <w:p w14:paraId="645F626A" w14:textId="77777777" w:rsidR="007E515C" w:rsidRPr="00EC250C" w:rsidRDefault="007E515C" w:rsidP="00D131FA">
            <w:pPr>
              <w:pStyle w:val="Tabela"/>
              <w:jc w:val="both"/>
              <w:rPr>
                <w:rFonts w:eastAsia="Calibri"/>
                <w:lang w:eastAsia="en-US"/>
              </w:rPr>
            </w:pPr>
            <w:r w:rsidRPr="00EC250C">
              <w:rPr>
                <w:rFonts w:eastAsia="Calibri"/>
                <w:lang w:eastAsia="en-US"/>
              </w:rPr>
              <w:t>Warszawa (Praga)</w:t>
            </w:r>
          </w:p>
        </w:tc>
      </w:tr>
      <w:tr w:rsidR="007E515C" w:rsidRPr="00EC250C" w14:paraId="741AC1FC" w14:textId="77777777" w:rsidTr="00FC47F2">
        <w:tc>
          <w:tcPr>
            <w:tcW w:w="596" w:type="dxa"/>
            <w:shd w:val="clear" w:color="auto" w:fill="auto"/>
            <w:vAlign w:val="center"/>
          </w:tcPr>
          <w:p w14:paraId="13B88317"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2889BC3C" w14:textId="77777777" w:rsidR="007E515C" w:rsidRPr="00EC250C" w:rsidRDefault="007E515C" w:rsidP="00D131FA">
            <w:pPr>
              <w:pStyle w:val="Tabela"/>
              <w:jc w:val="both"/>
              <w:rPr>
                <w:rFonts w:eastAsia="Calibri"/>
                <w:lang w:eastAsia="en-US"/>
              </w:rPr>
            </w:pPr>
            <w:r w:rsidRPr="00EC250C">
              <w:rPr>
                <w:rFonts w:eastAsia="Calibri"/>
                <w:lang w:eastAsia="en-US"/>
              </w:rPr>
              <w:t>Konferencja naukowa pt. „Europejskie gwarancje prawidłowego wymiaru sprawiedliwości</w:t>
            </w:r>
            <w:r w:rsidR="00992FD0" w:rsidRPr="00EC250C">
              <w:rPr>
                <w:rFonts w:eastAsia="Calibri"/>
                <w:lang w:eastAsia="en-US"/>
              </w:rPr>
              <w:t xml:space="preserve"> w </w:t>
            </w:r>
            <w:r w:rsidRPr="00EC250C">
              <w:rPr>
                <w:rFonts w:eastAsia="Calibri"/>
                <w:lang w:eastAsia="en-US"/>
              </w:rPr>
              <w:t xml:space="preserve">sprawach karnych” </w:t>
            </w:r>
          </w:p>
        </w:tc>
        <w:tc>
          <w:tcPr>
            <w:tcW w:w="2022" w:type="dxa"/>
            <w:shd w:val="clear" w:color="auto" w:fill="auto"/>
          </w:tcPr>
          <w:p w14:paraId="47070A16" w14:textId="77777777" w:rsidR="007E515C" w:rsidRPr="00EC250C" w:rsidRDefault="007E515C" w:rsidP="00D131FA">
            <w:pPr>
              <w:pStyle w:val="Tabela"/>
              <w:jc w:val="both"/>
              <w:rPr>
                <w:rFonts w:eastAsia="Calibri"/>
                <w:lang w:eastAsia="en-US"/>
              </w:rPr>
            </w:pPr>
            <w:r w:rsidRPr="00EC250C">
              <w:rPr>
                <w:rFonts w:eastAsia="Calibri"/>
                <w:lang w:eastAsia="en-US"/>
              </w:rPr>
              <w:t>Wrocław</w:t>
            </w:r>
          </w:p>
        </w:tc>
      </w:tr>
      <w:tr w:rsidR="007E515C" w:rsidRPr="00EC250C" w14:paraId="08B687F7" w14:textId="77777777" w:rsidTr="00FC47F2">
        <w:trPr>
          <w:trHeight w:val="592"/>
        </w:trPr>
        <w:tc>
          <w:tcPr>
            <w:tcW w:w="596" w:type="dxa"/>
            <w:shd w:val="clear" w:color="auto" w:fill="auto"/>
            <w:vAlign w:val="center"/>
          </w:tcPr>
          <w:p w14:paraId="4190D223"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6BDA70A3" w14:textId="77777777" w:rsidR="007E515C" w:rsidRPr="00EC250C" w:rsidRDefault="007E515C" w:rsidP="00D131FA">
            <w:pPr>
              <w:pStyle w:val="Tabela"/>
              <w:jc w:val="both"/>
              <w:rPr>
                <w:rFonts w:eastAsia="Calibri"/>
                <w:lang w:eastAsia="en-US"/>
              </w:rPr>
            </w:pPr>
            <w:r w:rsidRPr="00EC250C">
              <w:rPr>
                <w:rFonts w:eastAsia="Calibri"/>
                <w:lang w:val="en-US" w:eastAsia="en-US"/>
              </w:rPr>
              <w:t xml:space="preserve">Konferencja UJ „Sustainable Development and Human Rights: Legal Perspectives and beyond. </w:t>
            </w:r>
            <w:r w:rsidRPr="00EC250C">
              <w:rPr>
                <w:rFonts w:eastAsia="Calibri"/>
                <w:lang w:eastAsia="en-US"/>
              </w:rPr>
              <w:t xml:space="preserve">V4 Forum for Young Legal Scholars” </w:t>
            </w:r>
          </w:p>
        </w:tc>
        <w:tc>
          <w:tcPr>
            <w:tcW w:w="2022" w:type="dxa"/>
            <w:shd w:val="clear" w:color="auto" w:fill="auto"/>
          </w:tcPr>
          <w:p w14:paraId="36201AF2" w14:textId="77777777" w:rsidR="007E515C" w:rsidRPr="00EC250C" w:rsidRDefault="007E515C" w:rsidP="00D131FA">
            <w:pPr>
              <w:pStyle w:val="Tabela"/>
              <w:jc w:val="both"/>
              <w:rPr>
                <w:rFonts w:eastAsia="Calibri"/>
                <w:lang w:eastAsia="en-US"/>
              </w:rPr>
            </w:pPr>
            <w:r w:rsidRPr="00EC250C">
              <w:rPr>
                <w:rFonts w:eastAsia="Calibri"/>
                <w:lang w:eastAsia="en-US"/>
              </w:rPr>
              <w:t>Kraków</w:t>
            </w:r>
          </w:p>
        </w:tc>
      </w:tr>
      <w:tr w:rsidR="007E515C" w:rsidRPr="00EC250C" w14:paraId="707ED3E3" w14:textId="77777777" w:rsidTr="00FC47F2">
        <w:tc>
          <w:tcPr>
            <w:tcW w:w="596" w:type="dxa"/>
            <w:shd w:val="clear" w:color="auto" w:fill="auto"/>
            <w:vAlign w:val="center"/>
          </w:tcPr>
          <w:p w14:paraId="5D8ABE3C"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2EB0E3C8" w14:textId="77777777" w:rsidR="007E515C" w:rsidRPr="00EC250C" w:rsidRDefault="007E515C" w:rsidP="00D131FA">
            <w:pPr>
              <w:pStyle w:val="Tabela"/>
              <w:jc w:val="both"/>
              <w:rPr>
                <w:rFonts w:eastAsia="Calibri"/>
                <w:lang w:eastAsia="en-US"/>
              </w:rPr>
            </w:pPr>
            <w:r w:rsidRPr="00EC250C">
              <w:rPr>
                <w:rFonts w:eastAsia="Calibri"/>
                <w:lang w:eastAsia="en-US"/>
              </w:rPr>
              <w:t>VIII Konferencja Logopedyczna pt. „Fenomen jąkania</w:t>
            </w:r>
            <w:r w:rsidR="00026572" w:rsidRPr="00EC250C">
              <w:rPr>
                <w:rFonts w:eastAsia="Calibri"/>
                <w:lang w:eastAsia="en-US"/>
              </w:rPr>
              <w:t xml:space="preserve"> – </w:t>
            </w:r>
            <w:r w:rsidRPr="00EC250C">
              <w:rPr>
                <w:rFonts w:eastAsia="Calibri"/>
                <w:lang w:eastAsia="en-US"/>
              </w:rPr>
              <w:t>Terapia, Wspomaganie, Wsparcie</w:t>
            </w:r>
            <w:r w:rsidR="00026572" w:rsidRPr="00EC250C">
              <w:rPr>
                <w:rFonts w:eastAsia="Calibri"/>
                <w:lang w:eastAsia="en-US"/>
              </w:rPr>
              <w:t xml:space="preserve"> – </w:t>
            </w:r>
            <w:r w:rsidRPr="00EC250C">
              <w:rPr>
                <w:rFonts w:eastAsia="Calibri"/>
                <w:lang w:eastAsia="en-US"/>
              </w:rPr>
              <w:t>Różne Drogi, Jeden Cel”</w:t>
            </w:r>
          </w:p>
        </w:tc>
        <w:tc>
          <w:tcPr>
            <w:tcW w:w="2022" w:type="dxa"/>
            <w:shd w:val="clear" w:color="auto" w:fill="auto"/>
          </w:tcPr>
          <w:p w14:paraId="531F3D48" w14:textId="77777777" w:rsidR="007E515C" w:rsidRPr="00EC250C" w:rsidRDefault="007E515C" w:rsidP="00D131FA">
            <w:pPr>
              <w:pStyle w:val="Tabela"/>
              <w:jc w:val="both"/>
              <w:rPr>
                <w:rFonts w:eastAsia="Calibri"/>
                <w:lang w:eastAsia="en-US"/>
              </w:rPr>
            </w:pPr>
            <w:r w:rsidRPr="00EC250C">
              <w:rPr>
                <w:rFonts w:eastAsia="Calibri"/>
                <w:lang w:eastAsia="en-US"/>
              </w:rPr>
              <w:t>Toruń</w:t>
            </w:r>
          </w:p>
        </w:tc>
      </w:tr>
      <w:tr w:rsidR="007E515C" w:rsidRPr="00EC250C" w14:paraId="420E7D9C" w14:textId="77777777" w:rsidTr="00FC47F2">
        <w:tc>
          <w:tcPr>
            <w:tcW w:w="596" w:type="dxa"/>
            <w:shd w:val="clear" w:color="auto" w:fill="auto"/>
            <w:vAlign w:val="center"/>
          </w:tcPr>
          <w:p w14:paraId="4C939869"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554AD22E" w14:textId="77777777" w:rsidR="007E515C" w:rsidRPr="00EC250C" w:rsidRDefault="007E515C" w:rsidP="00D131FA">
            <w:pPr>
              <w:pStyle w:val="Tabela"/>
              <w:jc w:val="both"/>
              <w:rPr>
                <w:rFonts w:eastAsia="Calibri"/>
                <w:lang w:eastAsia="en-US"/>
              </w:rPr>
            </w:pPr>
            <w:r w:rsidRPr="00EC250C">
              <w:rPr>
                <w:rFonts w:eastAsia="Calibri"/>
                <w:lang w:eastAsia="en-US"/>
              </w:rPr>
              <w:t xml:space="preserve">Konferencja pt. „Warto być przyzwoitym: Polityka historyczna czy poprawność polityczna” </w:t>
            </w:r>
          </w:p>
        </w:tc>
        <w:tc>
          <w:tcPr>
            <w:tcW w:w="2022" w:type="dxa"/>
            <w:shd w:val="clear" w:color="auto" w:fill="auto"/>
          </w:tcPr>
          <w:p w14:paraId="326E06FA" w14:textId="77777777" w:rsidR="007E515C" w:rsidRPr="00EC250C" w:rsidRDefault="007E515C" w:rsidP="00D131FA">
            <w:pPr>
              <w:pStyle w:val="Tabela"/>
              <w:jc w:val="both"/>
              <w:rPr>
                <w:rFonts w:eastAsia="Calibri"/>
                <w:lang w:eastAsia="en-US"/>
              </w:rPr>
            </w:pPr>
            <w:r w:rsidRPr="00EC250C">
              <w:rPr>
                <w:rFonts w:eastAsia="Calibri"/>
                <w:lang w:eastAsia="en-US"/>
              </w:rPr>
              <w:t>Szczecin</w:t>
            </w:r>
          </w:p>
        </w:tc>
      </w:tr>
      <w:tr w:rsidR="007E515C" w:rsidRPr="00EC250C" w14:paraId="07F3EE82" w14:textId="77777777" w:rsidTr="00FC47F2">
        <w:tc>
          <w:tcPr>
            <w:tcW w:w="596" w:type="dxa"/>
            <w:shd w:val="clear" w:color="auto" w:fill="auto"/>
            <w:vAlign w:val="center"/>
          </w:tcPr>
          <w:p w14:paraId="40F5ACE1" w14:textId="77777777" w:rsidR="007E515C" w:rsidRPr="00EC250C" w:rsidRDefault="007E515C" w:rsidP="006C70B7">
            <w:pPr>
              <w:pStyle w:val="Tabela"/>
              <w:numPr>
                <w:ilvl w:val="0"/>
                <w:numId w:val="137"/>
              </w:numPr>
              <w:jc w:val="both"/>
              <w:rPr>
                <w:rFonts w:eastAsia="Calibri"/>
                <w:sz w:val="16"/>
                <w:lang w:eastAsia="en-US"/>
              </w:rPr>
            </w:pPr>
          </w:p>
        </w:tc>
        <w:tc>
          <w:tcPr>
            <w:tcW w:w="7220" w:type="dxa"/>
            <w:shd w:val="clear" w:color="auto" w:fill="auto"/>
          </w:tcPr>
          <w:p w14:paraId="2BF5FA19" w14:textId="77777777" w:rsidR="007E515C" w:rsidRPr="00EC250C" w:rsidRDefault="007E515C" w:rsidP="00D131FA">
            <w:pPr>
              <w:pStyle w:val="Tabela"/>
              <w:jc w:val="both"/>
              <w:rPr>
                <w:rFonts w:eastAsia="Calibri"/>
                <w:lang w:eastAsia="en-US"/>
              </w:rPr>
            </w:pPr>
            <w:r w:rsidRPr="00EC250C">
              <w:rPr>
                <w:rFonts w:eastAsia="Calibri"/>
                <w:lang w:eastAsia="en-US"/>
              </w:rPr>
              <w:t>Konkurs grantowy Funduszu Obywatelskiego ze środków Nagrody Rafto</w:t>
            </w:r>
          </w:p>
        </w:tc>
        <w:tc>
          <w:tcPr>
            <w:tcW w:w="2022" w:type="dxa"/>
            <w:shd w:val="clear" w:color="auto" w:fill="auto"/>
          </w:tcPr>
          <w:p w14:paraId="16885A11" w14:textId="77777777" w:rsidR="007E515C" w:rsidRPr="00EC250C" w:rsidRDefault="007E515C" w:rsidP="00D131FA">
            <w:pPr>
              <w:pStyle w:val="Tabela"/>
              <w:jc w:val="both"/>
              <w:rPr>
                <w:rFonts w:eastAsia="Calibri"/>
                <w:lang w:eastAsia="en-US"/>
              </w:rPr>
            </w:pPr>
            <w:r w:rsidRPr="00EC250C">
              <w:rPr>
                <w:rFonts w:eastAsia="Calibri"/>
                <w:lang w:eastAsia="en-US"/>
              </w:rPr>
              <w:t>Projekt ogólnopolski</w:t>
            </w:r>
          </w:p>
        </w:tc>
      </w:tr>
    </w:tbl>
    <w:p w14:paraId="0365BD62" w14:textId="77777777" w:rsidR="00FC47F2" w:rsidRDefault="00FC47F2">
      <w:pPr>
        <w:spacing w:after="200" w:line="24" w:lineRule="auto"/>
        <w:rPr>
          <w:rFonts w:ascii="EB Garamond 08 Regular" w:eastAsiaTheme="majorEastAsia" w:hAnsi="EB Garamond 08 Regular"/>
          <w:b/>
          <w:sz w:val="32"/>
          <w:szCs w:val="24"/>
          <w:lang w:eastAsia="en-US"/>
        </w:rPr>
      </w:pPr>
      <w:bookmarkStart w:id="897" w:name="_Toc6258066"/>
      <w:bookmarkStart w:id="898" w:name="_Toc11247890"/>
      <w:r>
        <w:br w:type="page"/>
      </w:r>
    </w:p>
    <w:p w14:paraId="3411AAC6" w14:textId="11870209" w:rsidR="00335AF8" w:rsidRPr="00EC250C" w:rsidRDefault="00335AF8" w:rsidP="00EC79EB">
      <w:pPr>
        <w:pStyle w:val="Nagwek4"/>
      </w:pPr>
      <w:r w:rsidRPr="00EC250C">
        <w:lastRenderedPageBreak/>
        <w:t>Sprawy polskich obywateli przed Europejskim Trybunałem</w:t>
      </w:r>
      <w:r w:rsidR="00992FD0" w:rsidRPr="00EC250C">
        <w:t xml:space="preserve"> w </w:t>
      </w:r>
      <w:r w:rsidRPr="00EC250C">
        <w:t>Strasburgu</w:t>
      </w:r>
      <w:bookmarkEnd w:id="897"/>
      <w:bookmarkEnd w:id="898"/>
    </w:p>
    <w:p w14:paraId="24D13497" w14:textId="77777777" w:rsidR="00335AF8" w:rsidRPr="00EC250C" w:rsidRDefault="00335AF8" w:rsidP="00EC250C">
      <w:pPr>
        <w:pStyle w:val="Nagwek5"/>
      </w:pPr>
      <w:bookmarkStart w:id="899" w:name="_Toc6258067"/>
      <w:r w:rsidRPr="00EC250C">
        <w:t>1. Walasek v. Polska, 18/10/2018, skarga nr 33946/15</w:t>
      </w:r>
      <w:bookmarkEnd w:id="899"/>
    </w:p>
    <w:p w14:paraId="08DB4359" w14:textId="77777777" w:rsidR="00B473F5" w:rsidRPr="00EC250C" w:rsidRDefault="00335AF8" w:rsidP="00D131FA">
      <w:pPr>
        <w:pStyle w:val="Problemczowieka"/>
        <w:jc w:val="both"/>
      </w:pPr>
      <w:r w:rsidRPr="00EC250C">
        <w:t>Sprawa dotyczyła przeludnienia celi</w:t>
      </w:r>
      <w:r w:rsidR="00B473F5" w:rsidRPr="00EC250C">
        <w:t>.</w:t>
      </w:r>
    </w:p>
    <w:p w14:paraId="5EB3738A" w14:textId="77777777" w:rsidR="00335AF8" w:rsidRPr="00EC250C" w:rsidRDefault="00335AF8" w:rsidP="00902FC6">
      <w:pPr>
        <w:pStyle w:val="Styl1"/>
        <w:rPr>
          <w:sz w:val="20"/>
          <w:szCs w:val="18"/>
        </w:rPr>
      </w:pPr>
      <w:r w:rsidRPr="00EC250C">
        <w:rPr>
          <w:sz w:val="20"/>
          <w:szCs w:val="18"/>
        </w:rPr>
        <w:t>Skarżący przebywał</w:t>
      </w:r>
      <w:r w:rsidR="00992FD0" w:rsidRPr="00EC250C">
        <w:rPr>
          <w:sz w:val="20"/>
          <w:szCs w:val="18"/>
        </w:rPr>
        <w:t xml:space="preserve"> w </w:t>
      </w:r>
      <w:r w:rsidRPr="00EC250C">
        <w:rPr>
          <w:sz w:val="20"/>
          <w:szCs w:val="18"/>
        </w:rPr>
        <w:t>Areszcie Śledczym</w:t>
      </w:r>
      <w:r w:rsidR="00992FD0" w:rsidRPr="00EC250C">
        <w:rPr>
          <w:sz w:val="20"/>
          <w:szCs w:val="18"/>
        </w:rPr>
        <w:t xml:space="preserve"> w </w:t>
      </w:r>
      <w:r w:rsidRPr="00EC250C">
        <w:rPr>
          <w:sz w:val="20"/>
          <w:szCs w:val="18"/>
        </w:rPr>
        <w:t>Kielcach przez 28 dni. Twierdził, że przez cały czas cele,</w:t>
      </w:r>
      <w:r w:rsidR="00992FD0" w:rsidRPr="00EC250C">
        <w:rPr>
          <w:sz w:val="20"/>
          <w:szCs w:val="18"/>
        </w:rPr>
        <w:t xml:space="preserve"> w </w:t>
      </w:r>
      <w:r w:rsidRPr="00EC250C">
        <w:rPr>
          <w:sz w:val="20"/>
          <w:szCs w:val="18"/>
        </w:rPr>
        <w:t>których był osadzony, były przeludnione,</w:t>
      </w:r>
      <w:r w:rsidR="00992FD0" w:rsidRPr="00EC250C">
        <w:rPr>
          <w:sz w:val="20"/>
          <w:szCs w:val="18"/>
        </w:rPr>
        <w:t xml:space="preserve"> a </w:t>
      </w:r>
      <w:r w:rsidRPr="00EC250C">
        <w:rPr>
          <w:sz w:val="20"/>
          <w:szCs w:val="18"/>
        </w:rPr>
        <w:t>na osobę przypadało mniej niż ustawowo wymagane 3 m² powierzchni.</w:t>
      </w:r>
    </w:p>
    <w:p w14:paraId="2564568B" w14:textId="77777777" w:rsidR="00335AF8" w:rsidRPr="00EC250C" w:rsidRDefault="00335AF8" w:rsidP="00902FC6">
      <w:pPr>
        <w:pStyle w:val="Styl1"/>
        <w:rPr>
          <w:sz w:val="20"/>
          <w:szCs w:val="18"/>
        </w:rPr>
      </w:pPr>
      <w:r w:rsidRPr="00EC250C">
        <w:rPr>
          <w:sz w:val="20"/>
          <w:szCs w:val="18"/>
        </w:rPr>
        <w:t>Trybunał stwierdził naruszenie art. 3 Konwencji, jednak</w:t>
      </w:r>
      <w:r w:rsidR="00992FD0" w:rsidRPr="00EC250C">
        <w:rPr>
          <w:sz w:val="20"/>
          <w:szCs w:val="18"/>
        </w:rPr>
        <w:t xml:space="preserve"> z </w:t>
      </w:r>
      <w:r w:rsidRPr="00EC250C">
        <w:rPr>
          <w:sz w:val="20"/>
          <w:szCs w:val="18"/>
        </w:rPr>
        <w:t>uwagi na fakt, że skarżący nie złożył wniosku</w:t>
      </w:r>
      <w:r w:rsidR="00992FD0" w:rsidRPr="00EC250C">
        <w:rPr>
          <w:sz w:val="20"/>
          <w:szCs w:val="18"/>
        </w:rPr>
        <w:t xml:space="preserve"> o </w:t>
      </w:r>
      <w:r w:rsidRPr="00EC250C">
        <w:rPr>
          <w:sz w:val="20"/>
          <w:szCs w:val="18"/>
        </w:rPr>
        <w:t>zadośćuczynienie, Trybunał uznał, że nie ma potrzeby przyznania mu żadnej kwoty</w:t>
      </w:r>
      <w:r w:rsidR="00992FD0" w:rsidRPr="00EC250C">
        <w:rPr>
          <w:sz w:val="20"/>
          <w:szCs w:val="18"/>
        </w:rPr>
        <w:t xml:space="preserve"> z </w:t>
      </w:r>
      <w:r w:rsidRPr="00EC250C">
        <w:rPr>
          <w:sz w:val="20"/>
          <w:szCs w:val="18"/>
        </w:rPr>
        <w:t>tego tytułu.</w:t>
      </w:r>
    </w:p>
    <w:p w14:paraId="1558CB12" w14:textId="77777777" w:rsidR="00335AF8" w:rsidRPr="00EC250C" w:rsidRDefault="00335AF8" w:rsidP="00EC250C">
      <w:pPr>
        <w:pStyle w:val="Nagwek5"/>
      </w:pPr>
      <w:bookmarkStart w:id="900" w:name="_Toc6258068"/>
      <w:r w:rsidRPr="00EC250C">
        <w:t>2. Oleksa v. Polska, 12/07/18, skarga nr 47580/13</w:t>
      </w:r>
      <w:bookmarkEnd w:id="900"/>
    </w:p>
    <w:p w14:paraId="0A732A57" w14:textId="77777777" w:rsidR="00B473F5" w:rsidRPr="00EC250C" w:rsidRDefault="00335AF8" w:rsidP="00D131FA">
      <w:pPr>
        <w:pStyle w:val="Problemczowieka"/>
        <w:jc w:val="both"/>
      </w:pPr>
      <w:r w:rsidRPr="00EC250C">
        <w:t>Sprawa dotyczyła przeludnienia celi</w:t>
      </w:r>
      <w:r w:rsidR="00B473F5" w:rsidRPr="00EC250C">
        <w:t>.</w:t>
      </w:r>
    </w:p>
    <w:p w14:paraId="7F2BF2F0" w14:textId="77777777" w:rsidR="00335AF8" w:rsidRPr="00EC250C" w:rsidRDefault="00335AF8" w:rsidP="00902FC6">
      <w:pPr>
        <w:pStyle w:val="Styl1"/>
        <w:rPr>
          <w:sz w:val="20"/>
          <w:szCs w:val="18"/>
        </w:rPr>
      </w:pPr>
      <w:r w:rsidRPr="00EC250C">
        <w:rPr>
          <w:sz w:val="20"/>
          <w:szCs w:val="18"/>
        </w:rPr>
        <w:t>Skarżący był pozbawiony wolności</w:t>
      </w:r>
      <w:r w:rsidR="00992FD0" w:rsidRPr="00EC250C">
        <w:rPr>
          <w:sz w:val="20"/>
          <w:szCs w:val="18"/>
        </w:rPr>
        <w:t xml:space="preserve"> w </w:t>
      </w:r>
      <w:r w:rsidRPr="00EC250C">
        <w:rPr>
          <w:sz w:val="20"/>
          <w:szCs w:val="18"/>
        </w:rPr>
        <w:t>Areszcie Śledczym</w:t>
      </w:r>
      <w:r w:rsidR="00992FD0" w:rsidRPr="00EC250C">
        <w:rPr>
          <w:sz w:val="20"/>
          <w:szCs w:val="18"/>
        </w:rPr>
        <w:t xml:space="preserve"> w </w:t>
      </w:r>
      <w:r w:rsidRPr="00EC250C">
        <w:rPr>
          <w:sz w:val="20"/>
          <w:szCs w:val="18"/>
        </w:rPr>
        <w:t>Mysłowicach</w:t>
      </w:r>
      <w:r w:rsidR="00992FD0" w:rsidRPr="00EC250C">
        <w:rPr>
          <w:sz w:val="20"/>
          <w:szCs w:val="18"/>
        </w:rPr>
        <w:t xml:space="preserve"> i w </w:t>
      </w:r>
      <w:r w:rsidRPr="00EC250C">
        <w:rPr>
          <w:sz w:val="20"/>
          <w:szCs w:val="18"/>
        </w:rPr>
        <w:t>Zakładzie Karnym</w:t>
      </w:r>
      <w:r w:rsidR="00992FD0" w:rsidRPr="00EC250C">
        <w:rPr>
          <w:sz w:val="20"/>
          <w:szCs w:val="18"/>
        </w:rPr>
        <w:t xml:space="preserve"> w </w:t>
      </w:r>
      <w:r w:rsidRPr="00EC250C">
        <w:rPr>
          <w:sz w:val="20"/>
          <w:szCs w:val="18"/>
        </w:rPr>
        <w:t>Wojkowicach</w:t>
      </w:r>
      <w:r w:rsidR="00992FD0" w:rsidRPr="00EC250C">
        <w:rPr>
          <w:sz w:val="20"/>
          <w:szCs w:val="18"/>
        </w:rPr>
        <w:t xml:space="preserve"> w </w:t>
      </w:r>
      <w:r w:rsidRPr="00EC250C">
        <w:rPr>
          <w:sz w:val="20"/>
          <w:szCs w:val="18"/>
        </w:rPr>
        <w:t>sumie przez rok, 10 miesięcy</w:t>
      </w:r>
      <w:r w:rsidR="00992FD0" w:rsidRPr="00EC250C">
        <w:rPr>
          <w:sz w:val="20"/>
          <w:szCs w:val="18"/>
        </w:rPr>
        <w:t xml:space="preserve"> i </w:t>
      </w:r>
      <w:r w:rsidRPr="00EC250C">
        <w:rPr>
          <w:sz w:val="20"/>
          <w:szCs w:val="18"/>
        </w:rPr>
        <w:t>20 dni</w:t>
      </w:r>
      <w:r w:rsidR="00992FD0" w:rsidRPr="00EC250C">
        <w:rPr>
          <w:sz w:val="20"/>
          <w:szCs w:val="18"/>
        </w:rPr>
        <w:t xml:space="preserve"> w </w:t>
      </w:r>
      <w:r w:rsidRPr="00EC250C">
        <w:rPr>
          <w:sz w:val="20"/>
          <w:szCs w:val="18"/>
        </w:rPr>
        <w:t>warunkach, które uznał za urągające jego godności. W postępowaniu</w:t>
      </w:r>
      <w:r w:rsidR="00992FD0" w:rsidRPr="00EC250C">
        <w:rPr>
          <w:sz w:val="20"/>
          <w:szCs w:val="18"/>
        </w:rPr>
        <w:t xml:space="preserve"> o </w:t>
      </w:r>
      <w:r w:rsidRPr="00EC250C">
        <w:rPr>
          <w:sz w:val="20"/>
          <w:szCs w:val="18"/>
        </w:rPr>
        <w:t>odszkodowanie przed polskim sądem ustalono, iż przez ten czas skarżący przebywał</w:t>
      </w:r>
      <w:r w:rsidR="00992FD0" w:rsidRPr="00EC250C">
        <w:rPr>
          <w:sz w:val="20"/>
          <w:szCs w:val="18"/>
        </w:rPr>
        <w:t xml:space="preserve"> w </w:t>
      </w:r>
      <w:r w:rsidRPr="00EC250C">
        <w:rPr>
          <w:sz w:val="20"/>
          <w:szCs w:val="18"/>
        </w:rPr>
        <w:t>celi,</w:t>
      </w:r>
      <w:r w:rsidR="00992FD0" w:rsidRPr="00EC250C">
        <w:rPr>
          <w:sz w:val="20"/>
          <w:szCs w:val="18"/>
        </w:rPr>
        <w:t xml:space="preserve"> w </w:t>
      </w:r>
      <w:r w:rsidRPr="00EC250C">
        <w:rPr>
          <w:sz w:val="20"/>
          <w:szCs w:val="18"/>
        </w:rPr>
        <w:t>której przypadało na niego mniej niż 3 m2 przestrzeni osobistej. Pozostałe warunki sąd uznał za „dobre”. Ostatecznie Sąd Apelacyjny</w:t>
      </w:r>
      <w:r w:rsidR="00992FD0" w:rsidRPr="00EC250C">
        <w:rPr>
          <w:sz w:val="20"/>
          <w:szCs w:val="18"/>
        </w:rPr>
        <w:t xml:space="preserve"> w </w:t>
      </w:r>
      <w:r w:rsidRPr="00EC250C">
        <w:rPr>
          <w:sz w:val="20"/>
          <w:szCs w:val="18"/>
        </w:rPr>
        <w:t>Katowicach przyznał skarżącemu zadośćuczynienie</w:t>
      </w:r>
      <w:r w:rsidR="00992FD0" w:rsidRPr="00EC250C">
        <w:rPr>
          <w:sz w:val="20"/>
          <w:szCs w:val="18"/>
        </w:rPr>
        <w:t xml:space="preserve"> w </w:t>
      </w:r>
      <w:r w:rsidRPr="00EC250C">
        <w:rPr>
          <w:sz w:val="20"/>
          <w:szCs w:val="18"/>
        </w:rPr>
        <w:t>wysokości 1000 zł</w:t>
      </w:r>
      <w:r w:rsidR="00992FD0" w:rsidRPr="00EC250C">
        <w:rPr>
          <w:sz w:val="20"/>
          <w:szCs w:val="18"/>
        </w:rPr>
        <w:t xml:space="preserve"> z </w:t>
      </w:r>
      <w:r w:rsidRPr="00EC250C">
        <w:rPr>
          <w:sz w:val="20"/>
          <w:szCs w:val="18"/>
        </w:rPr>
        <w:t>tytułu nieodpowiednich warunków osadzenia. Trybunał uznał, iż zadośćuczynienie takie nie zrekompensowało naruszenia praw podstawowych. Trybunał orzekł więc, mimo uprzedniego rozpatrzenia tej sprawy przez sąd polski,</w:t>
      </w:r>
      <w:r w:rsidR="00992FD0" w:rsidRPr="00EC250C">
        <w:rPr>
          <w:sz w:val="20"/>
          <w:szCs w:val="18"/>
        </w:rPr>
        <w:t xml:space="preserve"> o </w:t>
      </w:r>
      <w:r w:rsidRPr="00EC250C">
        <w:rPr>
          <w:sz w:val="20"/>
          <w:szCs w:val="18"/>
        </w:rPr>
        <w:t>naruszeniu </w:t>
      </w:r>
      <w:hyperlink r:id="rId75" w:anchor="/document/16795332?unitId=art(3)&amp;cm=DOCUMENT" w:tgtFrame="_blank" w:history="1">
        <w:r w:rsidRPr="00EC250C">
          <w:rPr>
            <w:rStyle w:val="Hipercze"/>
            <w:color w:val="auto"/>
            <w:sz w:val="20"/>
            <w:szCs w:val="18"/>
            <w:u w:val="none"/>
          </w:rPr>
          <w:t>art. 3</w:t>
        </w:r>
      </w:hyperlink>
      <w:r w:rsidRPr="00EC250C">
        <w:rPr>
          <w:sz w:val="20"/>
          <w:szCs w:val="18"/>
        </w:rPr>
        <w:t> Konwencji.</w:t>
      </w:r>
    </w:p>
    <w:p w14:paraId="5413EF40" w14:textId="77777777" w:rsidR="00335AF8" w:rsidRPr="00EC250C" w:rsidRDefault="00335AF8" w:rsidP="00EC250C">
      <w:pPr>
        <w:pStyle w:val="Nagwek5"/>
      </w:pPr>
      <w:bookmarkStart w:id="901" w:name="_Toc6258069"/>
      <w:r w:rsidRPr="00EC250C">
        <w:t>3. Wołosowicz v. Polska, 12/07/18, skarga nr 11757/15</w:t>
      </w:r>
      <w:bookmarkEnd w:id="901"/>
    </w:p>
    <w:p w14:paraId="1BCE5314" w14:textId="77777777" w:rsidR="00B473F5" w:rsidRPr="00EC250C" w:rsidRDefault="00335AF8" w:rsidP="00D131FA">
      <w:pPr>
        <w:pStyle w:val="Problemczowieka"/>
        <w:jc w:val="both"/>
      </w:pPr>
      <w:r w:rsidRPr="00EC250C">
        <w:t>Sprawa dotyczyła przeludnienia celi</w:t>
      </w:r>
      <w:r w:rsidR="00B473F5" w:rsidRPr="00EC250C">
        <w:t>.</w:t>
      </w:r>
    </w:p>
    <w:p w14:paraId="5555DE29" w14:textId="77777777" w:rsidR="00335AF8" w:rsidRPr="00EC250C" w:rsidRDefault="00335AF8" w:rsidP="00D131FA">
      <w:pPr>
        <w:pStyle w:val="Styl1"/>
        <w:rPr>
          <w:b/>
        </w:rPr>
      </w:pPr>
      <w:r w:rsidRPr="00EC250C">
        <w:t>Skarżący przebywał przez 91 dni</w:t>
      </w:r>
      <w:r w:rsidR="00992FD0" w:rsidRPr="00EC250C">
        <w:t xml:space="preserve"> w </w:t>
      </w:r>
      <w:r w:rsidRPr="00EC250C">
        <w:t>celi wieloosobowej,</w:t>
      </w:r>
      <w:r w:rsidR="00992FD0" w:rsidRPr="00EC250C">
        <w:t xml:space="preserve"> w </w:t>
      </w:r>
      <w:r w:rsidRPr="00EC250C">
        <w:t>której przypadało na niego 2,65 m</w:t>
      </w:r>
      <w:r w:rsidRPr="00EC250C">
        <w:rPr>
          <w:vertAlign w:val="superscript"/>
        </w:rPr>
        <w:t>2</w:t>
      </w:r>
      <w:r w:rsidRPr="00EC250C">
        <w:t xml:space="preserve"> przestrzeni osobistej. Sąd Okręgowy</w:t>
      </w:r>
      <w:r w:rsidR="00992FD0" w:rsidRPr="00EC250C">
        <w:t xml:space="preserve"> w </w:t>
      </w:r>
      <w:r w:rsidRPr="00EC250C">
        <w:t>Siedlcach</w:t>
      </w:r>
      <w:r w:rsidR="00992FD0" w:rsidRPr="00EC250C">
        <w:t xml:space="preserve"> w </w:t>
      </w:r>
      <w:r w:rsidRPr="00EC250C">
        <w:t>ogóle nie uznał jego roszczenia</w:t>
      </w:r>
      <w:r w:rsidR="00992FD0" w:rsidRPr="00EC250C">
        <w:t xml:space="preserve"> o </w:t>
      </w:r>
      <w:r w:rsidRPr="00EC250C">
        <w:t>zadośćuczynienie za warunki osadzenia. Trybunał</w:t>
      </w:r>
      <w:r w:rsidR="00992FD0" w:rsidRPr="00EC250C">
        <w:t xml:space="preserve"> w </w:t>
      </w:r>
      <w:r w:rsidRPr="00EC250C">
        <w:t>Strasburgu uznał kwotę zaproponowaną</w:t>
      </w:r>
      <w:r w:rsidR="00992FD0" w:rsidRPr="00EC250C">
        <w:t xml:space="preserve"> w </w:t>
      </w:r>
      <w:r w:rsidRPr="00EC250C">
        <w:t>deklaracji jednostronnej Rządu za nieadekwatną do okresu, przez jaki skarżący przebywał</w:t>
      </w:r>
      <w:r w:rsidR="00992FD0" w:rsidRPr="00EC250C">
        <w:t xml:space="preserve"> w </w:t>
      </w:r>
      <w:r w:rsidRPr="00EC250C">
        <w:t xml:space="preserve">warunkach przeludnienia, potwierdził naruszenie </w:t>
      </w:r>
      <w:hyperlink r:id="rId76" w:anchor="/document/16795332?unitId=art(3)&amp;cm=DOCUMENT" w:tgtFrame="_blank" w:history="1">
        <w:r w:rsidRPr="00EC250C">
          <w:rPr>
            <w:rStyle w:val="Hipercze"/>
            <w:color w:val="auto"/>
            <w:u w:val="none"/>
          </w:rPr>
          <w:t>art. 3</w:t>
        </w:r>
      </w:hyperlink>
      <w:r w:rsidRPr="00EC250C">
        <w:t xml:space="preserve"> Konwencji</w:t>
      </w:r>
      <w:r w:rsidR="00992FD0" w:rsidRPr="00EC250C">
        <w:t xml:space="preserve"> i </w:t>
      </w:r>
      <w:r w:rsidRPr="00EC250C">
        <w:t>przyznał skarżącemu kwotę</w:t>
      </w:r>
      <w:r w:rsidR="00992FD0" w:rsidRPr="00EC250C">
        <w:t xml:space="preserve"> w </w:t>
      </w:r>
      <w:r w:rsidRPr="00EC250C">
        <w:t>wysokości 1800 euro tytułem słusznego zadośćuczynienia.</w:t>
      </w:r>
    </w:p>
    <w:p w14:paraId="5A38B810" w14:textId="77777777" w:rsidR="00335AF8" w:rsidRPr="00EC250C" w:rsidRDefault="00335AF8" w:rsidP="00EC250C">
      <w:pPr>
        <w:pStyle w:val="Nagwek5"/>
      </w:pPr>
      <w:bookmarkStart w:id="902" w:name="_Toc6258070"/>
      <w:r w:rsidRPr="00EC250C">
        <w:t>4. Bistiewa</w:t>
      </w:r>
      <w:r w:rsidR="00992FD0" w:rsidRPr="00EC250C">
        <w:t xml:space="preserve"> i </w:t>
      </w:r>
      <w:r w:rsidRPr="00EC250C">
        <w:t>inni v. Polska, 10/04/18, skarga nr 75157/14</w:t>
      </w:r>
      <w:bookmarkEnd w:id="902"/>
    </w:p>
    <w:p w14:paraId="4CFA309A" w14:textId="77777777" w:rsidR="00B473F5" w:rsidRPr="00EC250C" w:rsidRDefault="00335AF8" w:rsidP="00D131FA">
      <w:pPr>
        <w:pStyle w:val="Problemczowieka"/>
        <w:jc w:val="both"/>
      </w:pPr>
      <w:r w:rsidRPr="00EC250C">
        <w:t>Przedmiotem rozstrzygnięcia była kwestia zatrzymania skarżącej</w:t>
      </w:r>
      <w:r w:rsidR="00992FD0" w:rsidRPr="00EC250C">
        <w:t xml:space="preserve"> i </w:t>
      </w:r>
      <w:r w:rsidRPr="00EC250C">
        <w:t>jej dzieci</w:t>
      </w:r>
      <w:r w:rsidR="00992FD0" w:rsidRPr="00EC250C">
        <w:t xml:space="preserve"> w </w:t>
      </w:r>
      <w:r w:rsidRPr="00EC250C">
        <w:t xml:space="preserve">ośrodku </w:t>
      </w:r>
      <w:r w:rsidR="00D1788D" w:rsidRPr="00EC250C">
        <w:t xml:space="preserve">strzeżonym </w:t>
      </w:r>
      <w:r w:rsidRPr="00EC250C">
        <w:t>dla cudzoziemców</w:t>
      </w:r>
      <w:r w:rsidR="00992FD0" w:rsidRPr="00EC250C">
        <w:t xml:space="preserve"> w </w:t>
      </w:r>
      <w:r w:rsidRPr="00EC250C">
        <w:t>Polsce</w:t>
      </w:r>
      <w:r w:rsidR="00B473F5" w:rsidRPr="00EC250C">
        <w:t>.</w:t>
      </w:r>
    </w:p>
    <w:p w14:paraId="35276846" w14:textId="77777777" w:rsidR="00335AF8" w:rsidRPr="00EC250C" w:rsidRDefault="00335AF8" w:rsidP="00902FC6">
      <w:pPr>
        <w:pStyle w:val="Styl1"/>
        <w:rPr>
          <w:sz w:val="20"/>
          <w:szCs w:val="18"/>
        </w:rPr>
      </w:pPr>
      <w:r w:rsidRPr="00EC250C">
        <w:rPr>
          <w:sz w:val="20"/>
          <w:szCs w:val="18"/>
        </w:rPr>
        <w:t xml:space="preserve">Trybunał po zapoznaniu się ze sprawą rodziny Bistiewów stwierdził naruszenie ich prawa ochrony do życia rodzinnego (art. 8 Konwencji). Doszło do tego przez nieuwzględnienie dobra trójki dzieci podczas </w:t>
      </w:r>
      <w:r w:rsidRPr="00EC250C">
        <w:rPr>
          <w:sz w:val="20"/>
          <w:szCs w:val="18"/>
        </w:rPr>
        <w:lastRenderedPageBreak/>
        <w:t>decydowaniu</w:t>
      </w:r>
      <w:r w:rsidR="00992FD0" w:rsidRPr="00EC250C">
        <w:rPr>
          <w:sz w:val="20"/>
          <w:szCs w:val="18"/>
        </w:rPr>
        <w:t xml:space="preserve"> o </w:t>
      </w:r>
      <w:r w:rsidRPr="00EC250C">
        <w:rPr>
          <w:sz w:val="20"/>
          <w:szCs w:val="18"/>
        </w:rPr>
        <w:t>pozbawieniu wolności, do czego polskie władze były zobowiązane na podstawie przepisów prawa (m.in. Konwencji praw dziecka ONZ czy Karty praw podstawowych UE).</w:t>
      </w:r>
    </w:p>
    <w:p w14:paraId="43D82796" w14:textId="77777777" w:rsidR="00335AF8" w:rsidRPr="00EC250C" w:rsidRDefault="00335AF8" w:rsidP="00902FC6">
      <w:pPr>
        <w:pStyle w:val="Styl1"/>
        <w:rPr>
          <w:sz w:val="20"/>
          <w:szCs w:val="18"/>
        </w:rPr>
      </w:pPr>
      <w:r w:rsidRPr="00EC250C">
        <w:rPr>
          <w:sz w:val="20"/>
          <w:szCs w:val="18"/>
        </w:rPr>
        <w:t>Sam fakt, że dzieci są umieszczane</w:t>
      </w:r>
      <w:r w:rsidR="00992FD0" w:rsidRPr="00EC250C">
        <w:rPr>
          <w:sz w:val="20"/>
          <w:szCs w:val="18"/>
        </w:rPr>
        <w:t xml:space="preserve"> w </w:t>
      </w:r>
      <w:r w:rsidRPr="00EC250C">
        <w:rPr>
          <w:sz w:val="20"/>
          <w:szCs w:val="18"/>
        </w:rPr>
        <w:t>ośrodku strzeżonym razem</w:t>
      </w:r>
      <w:r w:rsidR="00992FD0" w:rsidRPr="00EC250C">
        <w:rPr>
          <w:sz w:val="20"/>
          <w:szCs w:val="18"/>
        </w:rPr>
        <w:t xml:space="preserve"> z </w:t>
      </w:r>
      <w:r w:rsidRPr="00EC250C">
        <w:rPr>
          <w:sz w:val="20"/>
          <w:szCs w:val="18"/>
        </w:rPr>
        <w:t>rodzicami,</w:t>
      </w:r>
      <w:r w:rsidR="00992FD0" w:rsidRPr="00EC250C">
        <w:rPr>
          <w:sz w:val="20"/>
          <w:szCs w:val="18"/>
        </w:rPr>
        <w:t xml:space="preserve"> w </w:t>
      </w:r>
      <w:r w:rsidRPr="00EC250C">
        <w:rPr>
          <w:sz w:val="20"/>
          <w:szCs w:val="18"/>
        </w:rPr>
        <w:t>opinii Trybunału nie realizuje dostatecznie interesu dziecka. Ponadto Trybunał uznał, że polskie władze powinny rozważyć zastosowanie środków wolnościowych,</w:t>
      </w:r>
      <w:r w:rsidR="00992FD0" w:rsidRPr="00EC250C">
        <w:rPr>
          <w:sz w:val="20"/>
          <w:szCs w:val="18"/>
        </w:rPr>
        <w:t xml:space="preserve"> a </w:t>
      </w:r>
      <w:r w:rsidRPr="00EC250C">
        <w:rPr>
          <w:sz w:val="20"/>
          <w:szCs w:val="18"/>
        </w:rPr>
        <w:t>detencja powinna zawsze być rozwiązaniem, po które sięga się</w:t>
      </w:r>
      <w:r w:rsidR="00992FD0" w:rsidRPr="00EC250C">
        <w:rPr>
          <w:sz w:val="20"/>
          <w:szCs w:val="18"/>
        </w:rPr>
        <w:t xml:space="preserve"> w </w:t>
      </w:r>
      <w:r w:rsidRPr="00EC250C">
        <w:rPr>
          <w:sz w:val="20"/>
          <w:szCs w:val="18"/>
        </w:rPr>
        <w:t>ostateczności. W wyroku stwierdzono również, że okres pozbawienia wolności (5 miesięcy</w:t>
      </w:r>
      <w:r w:rsidR="00992FD0" w:rsidRPr="00EC250C">
        <w:rPr>
          <w:sz w:val="20"/>
          <w:szCs w:val="18"/>
        </w:rPr>
        <w:t xml:space="preserve"> i </w:t>
      </w:r>
      <w:r w:rsidRPr="00EC250C">
        <w:rPr>
          <w:sz w:val="20"/>
          <w:szCs w:val="18"/>
        </w:rPr>
        <w:t>20 dni) był zbyt długi,</w:t>
      </w:r>
      <w:r w:rsidR="00992FD0" w:rsidRPr="00EC250C">
        <w:rPr>
          <w:sz w:val="20"/>
          <w:szCs w:val="18"/>
        </w:rPr>
        <w:t xml:space="preserve"> a </w:t>
      </w:r>
      <w:r w:rsidRPr="00EC250C">
        <w:rPr>
          <w:sz w:val="20"/>
          <w:szCs w:val="18"/>
        </w:rPr>
        <w:t>postępowania administracyjne prowadzone wobec dzieci pozbawionych wolności powinny być prowadzone szybciej</w:t>
      </w:r>
      <w:r w:rsidR="00992FD0" w:rsidRPr="00EC250C">
        <w:rPr>
          <w:sz w:val="20"/>
          <w:szCs w:val="18"/>
        </w:rPr>
        <w:t xml:space="preserve"> i z </w:t>
      </w:r>
      <w:r w:rsidRPr="00EC250C">
        <w:rPr>
          <w:sz w:val="20"/>
          <w:szCs w:val="18"/>
        </w:rPr>
        <w:t>większą starannością.</w:t>
      </w:r>
    </w:p>
    <w:p w14:paraId="56737D62" w14:textId="77777777" w:rsidR="00335AF8" w:rsidRPr="00EC250C" w:rsidRDefault="00335AF8" w:rsidP="00EC250C">
      <w:pPr>
        <w:pStyle w:val="Nagwek5"/>
      </w:pPr>
      <w:bookmarkStart w:id="903" w:name="_Toc6258071"/>
      <w:r w:rsidRPr="00EC250C">
        <w:t>5.</w:t>
      </w:r>
      <w:r w:rsidRPr="00EC250C">
        <w:rPr>
          <w:spacing w:val="0"/>
        </w:rPr>
        <w:t xml:space="preserve"> </w:t>
      </w:r>
      <w:r w:rsidRPr="00EC250C">
        <w:t>Kuchta v. Polska, 23/01/2018, skarga nr 58683/08</w:t>
      </w:r>
      <w:bookmarkEnd w:id="903"/>
    </w:p>
    <w:p w14:paraId="279DF4EA" w14:textId="77777777" w:rsidR="00B473F5" w:rsidRPr="00EC250C" w:rsidRDefault="00335AF8" w:rsidP="00D131FA">
      <w:pPr>
        <w:pStyle w:val="Problemczowieka"/>
        <w:jc w:val="both"/>
      </w:pPr>
      <w:r w:rsidRPr="00EC250C">
        <w:t>Sprawa dotyczyła skazania na podstawie zeznań współoskarżonego bez możliwości jego przesłuchania</w:t>
      </w:r>
      <w:r w:rsidR="00B473F5" w:rsidRPr="00EC250C">
        <w:t>.</w:t>
      </w:r>
    </w:p>
    <w:p w14:paraId="71C98674" w14:textId="77777777" w:rsidR="00C91F6E" w:rsidRPr="00EC250C" w:rsidRDefault="00335AF8" w:rsidP="00D131FA">
      <w:pPr>
        <w:pStyle w:val="Styl1"/>
      </w:pPr>
      <w:r w:rsidRPr="00EC250C">
        <w:t>Skarżący wraz</w:t>
      </w:r>
      <w:r w:rsidR="00992FD0" w:rsidRPr="00EC250C">
        <w:t xml:space="preserve"> z </w:t>
      </w:r>
      <w:r w:rsidRPr="00EC250C">
        <w:t>siedmioma innymi osobami został skazany za oszustwa przy zawieraniu umów abonamentowych</w:t>
      </w:r>
      <w:r w:rsidR="00992FD0" w:rsidRPr="00EC250C">
        <w:t xml:space="preserve"> i </w:t>
      </w:r>
      <w:r w:rsidRPr="00EC250C">
        <w:t>pozyskiwaniu</w:t>
      </w:r>
      <w:r w:rsidR="00992FD0" w:rsidRPr="00EC250C">
        <w:t xml:space="preserve"> w </w:t>
      </w:r>
      <w:r w:rsidRPr="00EC250C">
        <w:t>ten sposób telefonów komórkowych po preferencyjnych stawkach dla parafii katolickich. Wina została ustalona</w:t>
      </w:r>
      <w:r w:rsidR="00992FD0" w:rsidRPr="00EC250C">
        <w:t xml:space="preserve"> w </w:t>
      </w:r>
      <w:r w:rsidRPr="00EC250C">
        <w:t>szczególności na podstawie oświadczenia głównego oskarżonego, który nie został wezwany na rozprawę,</w:t>
      </w:r>
      <w:r w:rsidR="00992FD0" w:rsidRPr="00EC250C">
        <w:t xml:space="preserve"> a </w:t>
      </w:r>
      <w:r w:rsidRPr="00EC250C">
        <w:t>jego wyjaśnienia zostały odczytane. Współoskarżeni nie mieli więc możliwości zadawania mu pytań</w:t>
      </w:r>
      <w:r w:rsidR="00992FD0" w:rsidRPr="00EC250C">
        <w:t xml:space="preserve"> i </w:t>
      </w:r>
      <w:r w:rsidRPr="00EC250C">
        <w:t>skonfrontowania sprzecznych stanowisk.</w:t>
      </w:r>
    </w:p>
    <w:p w14:paraId="5B37FAFD" w14:textId="77777777" w:rsidR="00C91F6E" w:rsidRPr="00EC250C" w:rsidRDefault="00335AF8" w:rsidP="00D131FA">
      <w:pPr>
        <w:pStyle w:val="Styl1"/>
      </w:pPr>
      <w:r w:rsidRPr="00EC250C">
        <w:t>Trybunał przyznał, że, nawet gdyby oskarżony został wezwany na rozprawę, mógłby równie dobrze skorzystać</w:t>
      </w:r>
      <w:r w:rsidR="00992FD0" w:rsidRPr="00EC250C">
        <w:t xml:space="preserve"> z </w:t>
      </w:r>
      <w:r w:rsidRPr="00EC250C">
        <w:t>prawa odmowy składania zeznań. W tych okolicznościach jego pojawienie się na rozprawie nie dawało możliwości uzyskania od niego dodatkowych informacji.</w:t>
      </w:r>
      <w:r w:rsidRPr="00EC250C">
        <w:rPr>
          <w:b/>
        </w:rPr>
        <w:t xml:space="preserve"> </w:t>
      </w:r>
      <w:r w:rsidRPr="00EC250C">
        <w:t>Jednakże uzasadnienia wyroków sądów krajowych nie pozwalają na jednoznaczne ustalenie, czy kwestionowane wyjaśnienia zostały uznane za decydujące. W ocenie ETPC niezaprzeczalne jest, że dowód</w:t>
      </w:r>
      <w:r w:rsidR="00992FD0" w:rsidRPr="00EC250C">
        <w:t xml:space="preserve"> z </w:t>
      </w:r>
      <w:r w:rsidRPr="00EC250C">
        <w:t>wyjaśnień współoskarżonego odegrał decydującą rolę</w:t>
      </w:r>
      <w:r w:rsidR="00992FD0" w:rsidRPr="00EC250C">
        <w:t xml:space="preserve"> w </w:t>
      </w:r>
      <w:r w:rsidRPr="00EC250C">
        <w:t>skazaniu skarżącego, przy czym sąd ani skarżący nie mieli możliwości obserwowania zeznającego podczas jego przesłuchania</w:t>
      </w:r>
      <w:r w:rsidR="00992FD0" w:rsidRPr="00EC250C">
        <w:t xml:space="preserve"> w </w:t>
      </w:r>
      <w:r w:rsidRPr="00EC250C">
        <w:t>celu oceny jego wiarygodności.</w:t>
      </w:r>
      <w:r w:rsidRPr="00EC250C">
        <w:rPr>
          <w:b/>
        </w:rPr>
        <w:t xml:space="preserve"> </w:t>
      </w:r>
      <w:r w:rsidRPr="00EC250C">
        <w:t>Dlatego doszło do naruszenia prawa do rzetelnego procesu sądowego.</w:t>
      </w:r>
    </w:p>
    <w:p w14:paraId="0DA496A7" w14:textId="77777777" w:rsidR="00335AF8" w:rsidRPr="00EC250C" w:rsidRDefault="00335AF8" w:rsidP="00EC250C">
      <w:pPr>
        <w:pStyle w:val="Nagwek5"/>
      </w:pPr>
      <w:bookmarkStart w:id="904" w:name="_Toc6258072"/>
      <w:r w:rsidRPr="00EC250C">
        <w:t>5. Chim</w:t>
      </w:r>
      <w:r w:rsidR="00992FD0" w:rsidRPr="00EC250C">
        <w:t xml:space="preserve"> i </w:t>
      </w:r>
      <w:r w:rsidRPr="00EC250C">
        <w:t>Przywieczerski v. Polska, 12/04/2018, skarga nr 36661/07 oraz 38433/07</w:t>
      </w:r>
      <w:bookmarkEnd w:id="904"/>
    </w:p>
    <w:p w14:paraId="7E3436DE" w14:textId="77777777" w:rsidR="00B473F5" w:rsidRPr="00EC250C" w:rsidRDefault="00335AF8" w:rsidP="00D131FA">
      <w:pPr>
        <w:pStyle w:val="Problemczowieka"/>
        <w:jc w:val="both"/>
      </w:pPr>
      <w:r w:rsidRPr="00EC250C">
        <w:t>Sprawa dotyczyła postępowania karnego</w:t>
      </w:r>
      <w:r w:rsidR="00992FD0" w:rsidRPr="00EC250C">
        <w:t xml:space="preserve"> i </w:t>
      </w:r>
      <w:r w:rsidRPr="00EC250C">
        <w:t>skazania skarżących za różne przestępstwa związane</w:t>
      </w:r>
      <w:r w:rsidR="00992FD0" w:rsidRPr="00EC250C">
        <w:t xml:space="preserve"> z </w:t>
      </w:r>
      <w:r w:rsidRPr="00EC250C">
        <w:t>zarządzanym przez państwo Funduszem Obsługi Zadłużenia Zagranicznego (FOZZ)</w:t>
      </w:r>
      <w:r w:rsidR="00B473F5" w:rsidRPr="00EC250C">
        <w:t>.</w:t>
      </w:r>
    </w:p>
    <w:p w14:paraId="3429D750" w14:textId="77777777" w:rsidR="00335AF8" w:rsidRPr="00EC250C" w:rsidRDefault="00335AF8" w:rsidP="00D131FA">
      <w:pPr>
        <w:pStyle w:val="Styl1"/>
      </w:pPr>
      <w:r w:rsidRPr="00EC250C">
        <w:t>Trybunał stwierdził jednomyślnie naruszenie art. 6 ust. 1 (prawo do rzetelnego procesu sądowego) Konwencji</w:t>
      </w:r>
      <w:r w:rsidR="00992FD0" w:rsidRPr="00EC250C">
        <w:t xml:space="preserve"> w </w:t>
      </w:r>
      <w:r w:rsidRPr="00EC250C">
        <w:t>zakresie przesłanki „sąd ustanowiony ustawą”. W ocenie ETPC przydzielenie sędziego do sprawy skutkowało naruszeniem prawa krajowego, którego sądy krajowe nie usunęły. Z drugiej strony, Trybunał jednomyślnie stwierdził brak naruszenia art. 6 ust. 1</w:t>
      </w:r>
      <w:r w:rsidR="00992FD0" w:rsidRPr="00EC250C">
        <w:t xml:space="preserve"> </w:t>
      </w:r>
      <w:r w:rsidR="00992FD0" w:rsidRPr="00EC250C">
        <w:lastRenderedPageBreak/>
        <w:t>w </w:t>
      </w:r>
      <w:r w:rsidRPr="00EC250C">
        <w:t>zakresie zarzutu rzekomego braku bezstronności sędziego oraz</w:t>
      </w:r>
      <w:r w:rsidR="00992FD0" w:rsidRPr="00EC250C">
        <w:t xml:space="preserve"> w </w:t>
      </w:r>
      <w:r w:rsidRPr="00EC250C">
        <w:t>zakresie ingerencji ustawodawcy</w:t>
      </w:r>
      <w:r w:rsidR="00992FD0" w:rsidRPr="00EC250C">
        <w:t xml:space="preserve"> w </w:t>
      </w:r>
      <w:r w:rsidRPr="00EC250C">
        <w:t>sprawę drugiego skarżącego. Trybunał nie stwierdził, aby zaistniała subiektywna czy obiektywna bezstronność po stronie sędziego</w:t>
      </w:r>
      <w:r w:rsidR="00992FD0" w:rsidRPr="00EC250C">
        <w:t xml:space="preserve"> w </w:t>
      </w:r>
      <w:r w:rsidRPr="00EC250C">
        <w:t>związku</w:t>
      </w:r>
      <w:r w:rsidR="00992FD0" w:rsidRPr="00EC250C">
        <w:t xml:space="preserve"> z </w:t>
      </w:r>
      <w:r w:rsidRPr="00EC250C">
        <w:t>jego wypowiedziami na początku procesu,</w:t>
      </w:r>
      <w:r w:rsidR="00992FD0" w:rsidRPr="00EC250C">
        <w:t xml:space="preserve"> w </w:t>
      </w:r>
      <w:r w:rsidRPr="00EC250C">
        <w:t>uzasadnieniu wyroku czy też</w:t>
      </w:r>
      <w:r w:rsidR="00992FD0" w:rsidRPr="00EC250C">
        <w:t xml:space="preserve"> w </w:t>
      </w:r>
      <w:r w:rsidRPr="00EC250C">
        <w:t>wywiadzie prasowym, na które powoływali się skarżący. Trybunał nie stwierdził również naruszenia praw skarżących przez wydłużenie terminów przedawnienia karalności części przestępstw nowelizacją</w:t>
      </w:r>
      <w:r w:rsidR="00992FD0" w:rsidRPr="00EC250C">
        <w:t xml:space="preserve"> z </w:t>
      </w:r>
      <w:r w:rsidRPr="00EC250C">
        <w:t>2005</w:t>
      </w:r>
      <w:r w:rsidR="00C91F6E" w:rsidRPr="00EC250C">
        <w:t> r.</w:t>
      </w:r>
      <w:r w:rsidR="00992FD0" w:rsidRPr="00EC250C">
        <w:t xml:space="preserve"> w </w:t>
      </w:r>
      <w:r w:rsidRPr="00EC250C">
        <w:t>toku procesu. Trybunał odrzucił wniosek</w:t>
      </w:r>
      <w:r w:rsidR="00992FD0" w:rsidRPr="00EC250C">
        <w:t xml:space="preserve"> o </w:t>
      </w:r>
      <w:r w:rsidRPr="00EC250C">
        <w:t>słuszne zadośćuczynienie</w:t>
      </w:r>
      <w:r w:rsidR="00992FD0" w:rsidRPr="00EC250C">
        <w:t xml:space="preserve"> i </w:t>
      </w:r>
      <w:r w:rsidRPr="00EC250C">
        <w:t>uznał, że stwierdzenie naruszenia było wystarczającym słusznym zadośćuczynieniem.</w:t>
      </w:r>
    </w:p>
    <w:p w14:paraId="4435EADC" w14:textId="77777777" w:rsidR="00335AF8" w:rsidRPr="00EC250C" w:rsidRDefault="00335AF8" w:rsidP="00EC250C">
      <w:pPr>
        <w:pStyle w:val="Nagwek5"/>
      </w:pPr>
      <w:bookmarkStart w:id="905" w:name="_Toc6258073"/>
      <w:r w:rsidRPr="00EC250C">
        <w:t>6. Solska</w:t>
      </w:r>
      <w:r w:rsidR="00992FD0" w:rsidRPr="00EC250C">
        <w:t xml:space="preserve"> i </w:t>
      </w:r>
      <w:r w:rsidRPr="00EC250C">
        <w:t>Rybicka v. Polska,</w:t>
      </w:r>
      <w:r w:rsidR="00992FD0" w:rsidRPr="00EC250C">
        <w:t xml:space="preserve"> z </w:t>
      </w:r>
      <w:r w:rsidRPr="00EC250C">
        <w:t>20/09/2018, skarga nr 30491/17 oraz 31083/17</w:t>
      </w:r>
      <w:bookmarkEnd w:id="905"/>
    </w:p>
    <w:p w14:paraId="637FC8BF" w14:textId="77777777" w:rsidR="00B473F5" w:rsidRPr="00EC250C" w:rsidRDefault="00335AF8" w:rsidP="00D131FA">
      <w:pPr>
        <w:pStyle w:val="Problemczowieka"/>
        <w:jc w:val="both"/>
      </w:pPr>
      <w:r w:rsidRPr="00EC250C">
        <w:t>Sprawa dotyczyła ekshumacji ofiar katastrofy smoleńskiej</w:t>
      </w:r>
      <w:r w:rsidR="00992FD0" w:rsidRPr="00EC250C">
        <w:t xml:space="preserve"> z </w:t>
      </w:r>
      <w:r w:rsidRPr="00EC250C">
        <w:t>2010</w:t>
      </w:r>
      <w:r w:rsidR="00C91F6E" w:rsidRPr="00EC250C">
        <w:t> r</w:t>
      </w:r>
      <w:r w:rsidR="00B473F5" w:rsidRPr="00EC250C">
        <w:t>.</w:t>
      </w:r>
    </w:p>
    <w:p w14:paraId="38452486" w14:textId="77777777" w:rsidR="00335AF8" w:rsidRPr="00EC250C" w:rsidRDefault="00335AF8" w:rsidP="00D131FA">
      <w:pPr>
        <w:pStyle w:val="Styl1"/>
      </w:pPr>
      <w:r w:rsidRPr="00EC250C">
        <w:t>Prokuratura zarządziła</w:t>
      </w:r>
      <w:r w:rsidR="00992FD0" w:rsidRPr="00EC250C">
        <w:t xml:space="preserve"> w </w:t>
      </w:r>
      <w:r w:rsidRPr="00EC250C">
        <w:t>2016</w:t>
      </w:r>
      <w:r w:rsidR="00C91F6E" w:rsidRPr="00EC250C">
        <w:t> r.</w:t>
      </w:r>
      <w:r w:rsidRPr="00EC250C">
        <w:t xml:space="preserve"> ekshumacje ciał ofiar</w:t>
      </w:r>
      <w:r w:rsidR="00992FD0" w:rsidRPr="00EC250C">
        <w:t xml:space="preserve"> w </w:t>
      </w:r>
      <w:r w:rsidRPr="00EC250C">
        <w:t>ramach toczącego się postępowania karnego</w:t>
      </w:r>
      <w:r w:rsidR="00992FD0" w:rsidRPr="00EC250C">
        <w:t xml:space="preserve"> w </w:t>
      </w:r>
      <w:r w:rsidRPr="00EC250C">
        <w:t>sprawie. Władze dokonywały sekcji zwłok</w:t>
      </w:r>
      <w:r w:rsidR="00992FD0" w:rsidRPr="00EC250C">
        <w:t xml:space="preserve"> w </w:t>
      </w:r>
      <w:r w:rsidRPr="00EC250C">
        <w:t>celu ustalenia przyczyn wypadku, sprawdzając wersję ewentualnego wybuchu na pokładzie. Skarżące, wdowy po dwóch ofiarach, sprzeciwiły się ekshumacji zwłok mężów</w:t>
      </w:r>
      <w:r w:rsidR="00026572" w:rsidRPr="00EC250C">
        <w:t xml:space="preserve"> – </w:t>
      </w:r>
      <w:r w:rsidRPr="00EC250C">
        <w:t>jednakże bezskutecznie. Zażalenia skarżących na postanowienia prokuratora</w:t>
      </w:r>
      <w:r w:rsidR="00992FD0" w:rsidRPr="00EC250C">
        <w:t xml:space="preserve"> o </w:t>
      </w:r>
      <w:r w:rsidRPr="00EC250C">
        <w:t>zarządzeniu ekshumacji pozostawiono bez rozpoznania</w:t>
      </w:r>
      <w:r w:rsidR="00992FD0" w:rsidRPr="00EC250C">
        <w:t xml:space="preserve"> z </w:t>
      </w:r>
      <w:r w:rsidRPr="00EC250C">
        <w:t>uwagi na to, że polskie prawo nie przewiduje możliwości odwołania do sądu</w:t>
      </w:r>
      <w:r w:rsidR="00992FD0" w:rsidRPr="00EC250C">
        <w:t xml:space="preserve"> w </w:t>
      </w:r>
      <w:r w:rsidRPr="00EC250C">
        <w:t>tym zakresie.</w:t>
      </w:r>
    </w:p>
    <w:p w14:paraId="4F96FA0D" w14:textId="77777777" w:rsidR="00335AF8" w:rsidRPr="00EC250C" w:rsidRDefault="00335AF8" w:rsidP="00D131FA">
      <w:pPr>
        <w:pStyle w:val="Styl1"/>
      </w:pPr>
      <w:r w:rsidRPr="00EC250C">
        <w:t>Trybunał stwierdził, że wymóg skutecznego śledztwa</w:t>
      </w:r>
      <w:r w:rsidR="00992FD0" w:rsidRPr="00EC250C">
        <w:t xml:space="preserve"> w </w:t>
      </w:r>
      <w:r w:rsidRPr="00EC250C">
        <w:t>sprawie wypadku</w:t>
      </w:r>
      <w:r w:rsidR="00992FD0" w:rsidRPr="00EC250C">
        <w:t xml:space="preserve"> o </w:t>
      </w:r>
      <w:r w:rsidRPr="00EC250C">
        <w:t>bezprecedensowej wadze państwowej musi zostać skonfrontowany</w:t>
      </w:r>
      <w:r w:rsidR="00992FD0" w:rsidRPr="00EC250C">
        <w:t xml:space="preserve"> z </w:t>
      </w:r>
      <w:r w:rsidRPr="00EC250C">
        <w:t>interesem skarżących – poszanowania zwłok ich mężów. Trybunał przyznał, że mogą istnieć okoliczności,</w:t>
      </w:r>
      <w:r w:rsidR="00992FD0" w:rsidRPr="00EC250C">
        <w:t xml:space="preserve"> w </w:t>
      </w:r>
      <w:r w:rsidRPr="00EC250C">
        <w:t>których ekshumacja jest uzasadniona pomimo sprzeciwu rodziny.</w:t>
      </w:r>
    </w:p>
    <w:p w14:paraId="6E03A899" w14:textId="77777777" w:rsidR="00335AF8" w:rsidRPr="00EC250C" w:rsidRDefault="00335AF8" w:rsidP="00D131FA">
      <w:pPr>
        <w:pStyle w:val="Styl1"/>
      </w:pPr>
      <w:r w:rsidRPr="00EC250C">
        <w:t>Tymczasem polskie prawo nie przewiduje mechanizmu dokonania oceny tych dwóch konkurujących interesów. Zarządzając ekshumację prokurator nie był zobowiązany na podstawie Kodeksu postępowania karnego do oceny, czy cele śledztwa mogły zostać osiągnięte przez zastosowanie mniej restrykcyjnych środków oraz oceny możliwych skutków tych środków dla życia prywatnego</w:t>
      </w:r>
      <w:r w:rsidR="00992FD0" w:rsidRPr="00EC250C">
        <w:t xml:space="preserve"> i </w:t>
      </w:r>
      <w:r w:rsidRPr="00EC250C">
        <w:t>rodzinnego skarżących. Dodatkowo, nie przysługuje na to postanowienie zażalenie do sądu. Polskie prawo nie zawiera zatem odpowiednich zabezpieczeń przed arbitralnością postanowień prokuratora</w:t>
      </w:r>
      <w:r w:rsidR="00992FD0" w:rsidRPr="00EC250C">
        <w:t xml:space="preserve"> o </w:t>
      </w:r>
      <w:r w:rsidRPr="00EC250C">
        <w:t>zarządzeniu ekshumacji ani też mechanizmu kontroli proporcjonalności ingerencji</w:t>
      </w:r>
      <w:r w:rsidR="00992FD0" w:rsidRPr="00EC250C">
        <w:t xml:space="preserve"> w </w:t>
      </w:r>
      <w:r w:rsidRPr="00EC250C">
        <w:t>prawa skarżących. Ingerencja nie była więc zgodna</w:t>
      </w:r>
      <w:r w:rsidR="00992FD0" w:rsidRPr="00EC250C">
        <w:t xml:space="preserve"> z </w:t>
      </w:r>
      <w:r w:rsidRPr="00EC250C">
        <w:t>prawem.</w:t>
      </w:r>
    </w:p>
    <w:p w14:paraId="1D67FAA8" w14:textId="77777777" w:rsidR="00C91F6E" w:rsidRPr="00EC250C" w:rsidRDefault="00335AF8" w:rsidP="00D131FA">
      <w:pPr>
        <w:pStyle w:val="Styl1"/>
      </w:pPr>
      <w:r w:rsidRPr="00EC250C">
        <w:t>Dlatego skarżące zostały pozbawione minimalnego stopnia ochrony, do którego były uprawnione</w:t>
      </w:r>
      <w:r w:rsidR="00992FD0" w:rsidRPr="00EC250C">
        <w:t xml:space="preserve"> w </w:t>
      </w:r>
      <w:r w:rsidRPr="00EC250C">
        <w:t>zakresie ich prawa do poszanowania życia prywatnego</w:t>
      </w:r>
      <w:r w:rsidR="00992FD0" w:rsidRPr="00EC250C">
        <w:t xml:space="preserve"> i </w:t>
      </w:r>
      <w:r w:rsidRPr="00EC250C">
        <w:t>rodzinnego (art. 8 Konwencji).</w:t>
      </w:r>
    </w:p>
    <w:p w14:paraId="3907C949" w14:textId="77777777" w:rsidR="00C91F6E" w:rsidRPr="00EC250C" w:rsidRDefault="00335AF8" w:rsidP="00EC250C">
      <w:pPr>
        <w:pStyle w:val="Nagwek5"/>
      </w:pPr>
      <w:bookmarkStart w:id="906" w:name="_Toc6258074"/>
      <w:r w:rsidRPr="00EC250C">
        <w:t>7. Parol v. Polska, 11/10/2018, skarga nr 65379/13</w:t>
      </w:r>
      <w:bookmarkEnd w:id="906"/>
    </w:p>
    <w:p w14:paraId="7AC1CF94" w14:textId="77777777" w:rsidR="00B473F5" w:rsidRPr="00EC250C" w:rsidRDefault="00335AF8" w:rsidP="00D131FA">
      <w:pPr>
        <w:pStyle w:val="Problemczowieka"/>
        <w:jc w:val="both"/>
      </w:pPr>
      <w:r w:rsidRPr="00EC250C">
        <w:t>Sprawa dotycząca złożenia apelacji</w:t>
      </w:r>
      <w:r w:rsidR="00B473F5" w:rsidRPr="00EC250C">
        <w:t>.</w:t>
      </w:r>
    </w:p>
    <w:p w14:paraId="78456DB4" w14:textId="77777777" w:rsidR="00C91F6E" w:rsidRPr="00EC250C" w:rsidRDefault="00335AF8" w:rsidP="00D131FA">
      <w:pPr>
        <w:pStyle w:val="Styl1"/>
      </w:pPr>
      <w:r w:rsidRPr="00EC250C">
        <w:lastRenderedPageBreak/>
        <w:t>Skarżący, osadzony</w:t>
      </w:r>
      <w:r w:rsidR="00992FD0" w:rsidRPr="00EC250C">
        <w:t xml:space="preserve"> w </w:t>
      </w:r>
      <w:r w:rsidRPr="00EC250C">
        <w:t>zakładzie karnym, złożył apelację od wyroku sądu pierwszej instancji. Został wezwany do złożenia odpisu apelacji. Ponieważ przebywał</w:t>
      </w:r>
      <w:r w:rsidR="00992FD0" w:rsidRPr="00EC250C">
        <w:t xml:space="preserve"> w </w:t>
      </w:r>
      <w:r w:rsidRPr="00EC250C">
        <w:t>zakładzie karnym</w:t>
      </w:r>
      <w:r w:rsidR="00992FD0" w:rsidRPr="00EC250C">
        <w:t xml:space="preserve"> i </w:t>
      </w:r>
      <w:r w:rsidRPr="00EC250C">
        <w:t>nie miał dostępu do akt, nie był</w:t>
      </w:r>
      <w:r w:rsidR="00992FD0" w:rsidRPr="00EC250C">
        <w:t xml:space="preserve"> w </w:t>
      </w:r>
      <w:r w:rsidRPr="00EC250C">
        <w:t>stanie przedstawić odpisu. Sporządził więc</w:t>
      </w:r>
      <w:r w:rsidR="00992FD0" w:rsidRPr="00EC250C">
        <w:t xml:space="preserve"> z </w:t>
      </w:r>
      <w:r w:rsidRPr="00EC250C">
        <w:t>pamięci ręcznie kopię apelacji. Jego apelacja została ostatecznie odrzucona</w:t>
      </w:r>
      <w:r w:rsidR="00992FD0" w:rsidRPr="00EC250C">
        <w:t xml:space="preserve"> z </w:t>
      </w:r>
      <w:r w:rsidRPr="00EC250C">
        <w:t>uwagi na nieuzupełnienie braków formalnych</w:t>
      </w:r>
      <w:r w:rsidR="00992FD0" w:rsidRPr="00EC250C">
        <w:t xml:space="preserve"> w </w:t>
      </w:r>
      <w:r w:rsidRPr="00EC250C">
        <w:t>wyznaczonym terminie: kopia apelacji nie była identyczna ze złożoną apelacją.</w:t>
      </w:r>
    </w:p>
    <w:p w14:paraId="1A8E85DC" w14:textId="77777777" w:rsidR="00335AF8" w:rsidRPr="00EC250C" w:rsidRDefault="00335AF8" w:rsidP="00D131FA">
      <w:pPr>
        <w:pStyle w:val="Styl1"/>
      </w:pPr>
      <w:r w:rsidRPr="00EC250C">
        <w:t>Trybunał zauważył, że skarżący, osadzony</w:t>
      </w:r>
      <w:r w:rsidR="00992FD0" w:rsidRPr="00EC250C">
        <w:t xml:space="preserve"> w </w:t>
      </w:r>
      <w:r w:rsidRPr="00EC250C">
        <w:t>zakładzie karnym</w:t>
      </w:r>
      <w:r w:rsidR="00992FD0" w:rsidRPr="00EC250C">
        <w:t xml:space="preserve"> i </w:t>
      </w:r>
      <w:r w:rsidRPr="00EC250C">
        <w:t>niereprezentowany przez adwokata, nie został pouczony przez sąd</w:t>
      </w:r>
      <w:r w:rsidR="00992FD0" w:rsidRPr="00EC250C">
        <w:t xml:space="preserve"> o </w:t>
      </w:r>
      <w:r w:rsidRPr="00EC250C">
        <w:t>obowiązku złożenia apelacji</w:t>
      </w:r>
      <w:r w:rsidR="00992FD0" w:rsidRPr="00EC250C">
        <w:t xml:space="preserve"> w </w:t>
      </w:r>
      <w:r w:rsidRPr="00EC250C">
        <w:t>dwóch kopiach. Dodatkowo, Trybunał stwierdził, że skarżący podjął działania zmierzające do wypełnienia swojego obowiązku zgodnie</w:t>
      </w:r>
      <w:r w:rsidR="00992FD0" w:rsidRPr="00EC250C">
        <w:t xml:space="preserve"> z </w:t>
      </w:r>
      <w:r w:rsidRPr="00EC250C">
        <w:t>wezwaniem sądu. Nie mając kopii apelacji zwrócił się do sądu</w:t>
      </w:r>
      <w:r w:rsidR="00992FD0" w:rsidRPr="00EC250C">
        <w:t xml:space="preserve"> o </w:t>
      </w:r>
      <w:r w:rsidRPr="00EC250C">
        <w:t>sporządzenie kopii na swój koszt</w:t>
      </w:r>
      <w:r w:rsidR="00992FD0" w:rsidRPr="00EC250C">
        <w:t xml:space="preserve"> i </w:t>
      </w:r>
      <w:r w:rsidRPr="00EC250C">
        <w:t>dołączenie jej do akt sprawy. Powyższy wniosek nie został rozpoznany. Dopiero wówczas sporządził kopię apelacji, która nie mogła być identyczna, bowiem skarżący odtwarzał ją</w:t>
      </w:r>
      <w:r w:rsidR="00992FD0" w:rsidRPr="00EC250C">
        <w:t xml:space="preserve"> z </w:t>
      </w:r>
      <w:r w:rsidRPr="00EC250C">
        <w:t>pamięci. W związku</w:t>
      </w:r>
      <w:r w:rsidR="00992FD0" w:rsidRPr="00EC250C">
        <w:t xml:space="preserve"> z </w:t>
      </w:r>
      <w:r w:rsidRPr="00EC250C">
        <w:t>tym Trybunał doszedł do wniosku, że sądy krajowe nie wypełniły swojego obowiązku zapewnienia skarżącemu dostępu do sądu odwoławczego, czym naruszono art. 6 ust. 1 Konwencji.</w:t>
      </w:r>
    </w:p>
    <w:p w14:paraId="68B1F8F3" w14:textId="77777777" w:rsidR="00335AF8" w:rsidRPr="00EC250C" w:rsidRDefault="00335AF8" w:rsidP="00EC250C">
      <w:pPr>
        <w:pStyle w:val="Nagwek5"/>
      </w:pPr>
      <w:bookmarkStart w:id="907" w:name="_Toc6258075"/>
      <w:r w:rsidRPr="00EC250C">
        <w:t>8. Burża v. Polska, 18/10/2018, skarga nr 15333/16</w:t>
      </w:r>
      <w:bookmarkEnd w:id="907"/>
    </w:p>
    <w:p w14:paraId="0EA86CAE" w14:textId="77777777" w:rsidR="00B473F5" w:rsidRPr="00EC250C" w:rsidRDefault="00335AF8" w:rsidP="00D131FA">
      <w:pPr>
        <w:pStyle w:val="Problemczowieka"/>
        <w:jc w:val="both"/>
      </w:pPr>
      <w:r w:rsidRPr="00EC250C">
        <w:t>Sprawa dotyczyła nadmiernie długiego okresu stosowania tymczasowego aresztowania</w:t>
      </w:r>
      <w:r w:rsidR="00CC4D88" w:rsidRPr="00EC250C">
        <w:t xml:space="preserve"> </w:t>
      </w:r>
      <w:r w:rsidRPr="00EC250C">
        <w:t>(okres 3 lat, 2 miesięcy</w:t>
      </w:r>
      <w:r w:rsidR="00992FD0" w:rsidRPr="00EC250C">
        <w:t xml:space="preserve"> i </w:t>
      </w:r>
      <w:r w:rsidRPr="00EC250C">
        <w:t>9 dni) wobec skarżącego, któremu zarzucono m.in. udział</w:t>
      </w:r>
      <w:r w:rsidR="00992FD0" w:rsidRPr="00EC250C">
        <w:t xml:space="preserve"> w </w:t>
      </w:r>
      <w:r w:rsidRPr="00EC250C">
        <w:t>zorganizowanej grupie przestępczej</w:t>
      </w:r>
      <w:r w:rsidR="00992FD0" w:rsidRPr="00EC250C">
        <w:t xml:space="preserve"> o </w:t>
      </w:r>
      <w:r w:rsidRPr="00EC250C">
        <w:t>charakterze zbrojnym</w:t>
      </w:r>
      <w:r w:rsidR="00B473F5" w:rsidRPr="00EC250C">
        <w:t>.</w:t>
      </w:r>
    </w:p>
    <w:p w14:paraId="6E5DFFFD" w14:textId="77777777" w:rsidR="00335AF8" w:rsidRPr="00EC250C" w:rsidRDefault="00335AF8" w:rsidP="00D131FA">
      <w:pPr>
        <w:pStyle w:val="Styl1"/>
      </w:pPr>
      <w:r w:rsidRPr="00EC250C">
        <w:t>W ocenie ETPC nawet jeśli biorąc pod uwagę powagę zarzutów istniała obawa matactwa, to jednocześnie postanowienia sądów były często sformułowane</w:t>
      </w:r>
      <w:r w:rsidR="00992FD0" w:rsidRPr="00EC250C">
        <w:t xml:space="preserve"> w </w:t>
      </w:r>
      <w:r w:rsidRPr="00EC250C">
        <w:t>sposób ogólny</w:t>
      </w:r>
      <w:r w:rsidR="00992FD0" w:rsidRPr="00EC250C">
        <w:t xml:space="preserve"> i </w:t>
      </w:r>
      <w:r w:rsidRPr="00EC250C">
        <w:t>nie wskazujący konkretnie zachowania skarżącego, które uzasadniałoby przedłużenie tymczasowego aresztowania. Dodatkowo, powody stosowania tymczasowego aresztowania były bardzo często identyczne</w:t>
      </w:r>
      <w:r w:rsidR="00992FD0" w:rsidRPr="00EC250C">
        <w:t xml:space="preserve"> w </w:t>
      </w:r>
      <w:r w:rsidRPr="00EC250C">
        <w:t>odniesieniu do wszystkich współoskarżonych</w:t>
      </w:r>
      <w:r w:rsidR="00992FD0" w:rsidRPr="00EC250C">
        <w:t xml:space="preserve"> i </w:t>
      </w:r>
      <w:r w:rsidRPr="00EC250C">
        <w:t>nie zawierały argumentów odnoszących się konkretnie do skarżącego. W związku</w:t>
      </w:r>
      <w:r w:rsidR="00992FD0" w:rsidRPr="00EC250C">
        <w:t xml:space="preserve"> z </w:t>
      </w:r>
      <w:r w:rsidRPr="00EC250C">
        <w:t>tym,</w:t>
      </w:r>
      <w:r w:rsidR="00992FD0" w:rsidRPr="00EC250C">
        <w:t xml:space="preserve"> z </w:t>
      </w:r>
      <w:r w:rsidRPr="00EC250C">
        <w:t>upływem czasu, początkowo użyte argumenty stały się mniej istotne</w:t>
      </w:r>
      <w:r w:rsidR="00992FD0" w:rsidRPr="00EC250C">
        <w:t xml:space="preserve"> i </w:t>
      </w:r>
      <w:r w:rsidRPr="00EC250C">
        <w:t>nie mogły uzasadniać całego okresu ponad trzech lat</w:t>
      </w:r>
      <w:r w:rsidR="00992FD0" w:rsidRPr="00EC250C">
        <w:t xml:space="preserve"> i </w:t>
      </w:r>
      <w:r w:rsidRPr="00EC250C">
        <w:t>dwóch miesięcy, podczas których</w:t>
      </w:r>
      <w:r w:rsidR="00992FD0" w:rsidRPr="00EC250C">
        <w:t xml:space="preserve"> w </w:t>
      </w:r>
      <w:r w:rsidRPr="00EC250C">
        <w:t>stosunku do skarżącego zastosowano najpoważniejszy środek zapobiegawczy.</w:t>
      </w:r>
    </w:p>
    <w:p w14:paraId="27327044" w14:textId="77777777" w:rsidR="00335AF8" w:rsidRPr="00EC250C" w:rsidRDefault="00335AF8" w:rsidP="00D131FA">
      <w:pPr>
        <w:pStyle w:val="Styl1"/>
      </w:pPr>
      <w:r w:rsidRPr="00EC250C">
        <w:t>ETPC stwierdził naruszenie art. 5 ust. 3 Konwencji wskazując, że podstawy podane przez władze krajowe nie mogą uzasadniać całkowitego okresu trwania tymczasowego aresztowania skarżącego.</w:t>
      </w:r>
    </w:p>
    <w:p w14:paraId="5509B525" w14:textId="77777777" w:rsidR="00C91F6E" w:rsidRPr="00EC250C" w:rsidRDefault="00335AF8" w:rsidP="00EC250C">
      <w:pPr>
        <w:pStyle w:val="Nagwek5"/>
      </w:pPr>
      <w:bookmarkStart w:id="908" w:name="_Toc6258076"/>
      <w:r w:rsidRPr="00EC250C">
        <w:t>9. Jurasz v. Polska, 22/11/2018, skarga nr 48327/09</w:t>
      </w:r>
      <w:bookmarkEnd w:id="908"/>
    </w:p>
    <w:p w14:paraId="7077417A" w14:textId="77777777" w:rsidR="00B473F5" w:rsidRPr="00EC250C" w:rsidRDefault="00335AF8" w:rsidP="00D131FA">
      <w:pPr>
        <w:pStyle w:val="Problemczowieka"/>
        <w:jc w:val="both"/>
      </w:pPr>
      <w:r w:rsidRPr="00EC250C">
        <w:t>Sprawa dotyczyła złego traktowania skarżącego przez funkcjonariuszy Straży Miejskiej</w:t>
      </w:r>
      <w:r w:rsidR="00B473F5" w:rsidRPr="00EC250C">
        <w:t>.</w:t>
      </w:r>
    </w:p>
    <w:p w14:paraId="2A17DAE2" w14:textId="77777777" w:rsidR="00C91F6E" w:rsidRPr="00EC250C" w:rsidRDefault="00335AF8" w:rsidP="00D131FA">
      <w:pPr>
        <w:pStyle w:val="Styl1"/>
      </w:pPr>
      <w:r w:rsidRPr="00EC250C">
        <w:t>Skarżący został zabrany do izby wytrzeźwień przez Straż Miejską na skutek interwencji żony po awanturze domowej. Po wyjściu złożył zawiadomienie</w:t>
      </w:r>
      <w:r w:rsidR="00992FD0" w:rsidRPr="00EC250C">
        <w:t xml:space="preserve"> o </w:t>
      </w:r>
      <w:r w:rsidRPr="00EC250C">
        <w:t xml:space="preserve">popełnieniu przez strażników </w:t>
      </w:r>
      <w:r w:rsidRPr="00EC250C">
        <w:lastRenderedPageBreak/>
        <w:t>przestępstwa polegającego na przekroczeniu uprawnień oraz pobiciu. Przedłożył zaświadczenia lekarskie na poparcie swoich zeznań. Ostatecznie, 7 lat od zdarzenia, strażnicy zostali uznani za winnych popełnienia zarzucanych im czynów oraz skazani na karę 1 roku pozbawienia wolności</w:t>
      </w:r>
      <w:r w:rsidR="00992FD0" w:rsidRPr="00EC250C">
        <w:t xml:space="preserve"> z </w:t>
      </w:r>
      <w:r w:rsidRPr="00EC250C">
        <w:t>warunkowym zawieszeniem jej wykonania na okres próby wynoszący 3 lata.</w:t>
      </w:r>
    </w:p>
    <w:p w14:paraId="7034E9CA" w14:textId="77777777" w:rsidR="00C91F6E" w:rsidRPr="00EC250C" w:rsidRDefault="00335AF8" w:rsidP="00D131FA">
      <w:pPr>
        <w:pStyle w:val="Styl1"/>
      </w:pPr>
      <w:r w:rsidRPr="00EC250C">
        <w:t>Trybunał stwierdził naruszenie art. 3 Konwencji</w:t>
      </w:r>
      <w:r w:rsidR="00992FD0" w:rsidRPr="00EC250C">
        <w:t xml:space="preserve"> w </w:t>
      </w:r>
      <w:r w:rsidRPr="00EC250C">
        <w:t>części proceduralnej</w:t>
      </w:r>
      <w:r w:rsidR="00992FD0" w:rsidRPr="00EC250C">
        <w:t xml:space="preserve"> z </w:t>
      </w:r>
      <w:r w:rsidRPr="00EC250C">
        <w:t>uwagi na długotrwałość postępowania karnego, brak należytej staranności władz</w:t>
      </w:r>
      <w:r w:rsidR="00992FD0" w:rsidRPr="00EC250C">
        <w:t xml:space="preserve"> w </w:t>
      </w:r>
      <w:r w:rsidRPr="00EC250C">
        <w:t>początkowej fazie postępowania przygotowawczego oraz błędy popełnione przez sądy I</w:t>
      </w:r>
      <w:r w:rsidR="00992FD0" w:rsidRPr="00EC250C">
        <w:t xml:space="preserve"> i </w:t>
      </w:r>
      <w:r w:rsidRPr="00EC250C">
        <w:t>II instancji.</w:t>
      </w:r>
    </w:p>
    <w:p w14:paraId="38F9D47B" w14:textId="77777777" w:rsidR="00335AF8" w:rsidRPr="00EC250C" w:rsidRDefault="00335AF8" w:rsidP="00EC250C">
      <w:pPr>
        <w:pStyle w:val="Nagwek5"/>
      </w:pPr>
      <w:bookmarkStart w:id="909" w:name="_Toc6258077"/>
      <w:r w:rsidRPr="00EC250C">
        <w:t>10. Słomka v. Polska, 06/12/2018, skarga nr 68924/12</w:t>
      </w:r>
      <w:bookmarkEnd w:id="909"/>
    </w:p>
    <w:p w14:paraId="63595450" w14:textId="77777777" w:rsidR="00B473F5" w:rsidRPr="00EC250C" w:rsidRDefault="00335AF8" w:rsidP="00D131FA">
      <w:pPr>
        <w:pStyle w:val="Problemczowieka"/>
        <w:jc w:val="both"/>
      </w:pPr>
      <w:r w:rsidRPr="00EC250C">
        <w:t>Sprawa dotycząca ograniczenia wolności wypowiedzi</w:t>
      </w:r>
      <w:r w:rsidR="00B473F5" w:rsidRPr="00EC250C">
        <w:t>.</w:t>
      </w:r>
    </w:p>
    <w:p w14:paraId="750474E6" w14:textId="77777777" w:rsidR="00C91F6E" w:rsidRPr="00EC250C" w:rsidRDefault="00335AF8" w:rsidP="00D131FA">
      <w:pPr>
        <w:pStyle w:val="Styl1"/>
      </w:pPr>
      <w:r w:rsidRPr="00EC250C">
        <w:t>Skarżący, który był internowany</w:t>
      </w:r>
      <w:r w:rsidR="00992FD0" w:rsidRPr="00EC250C">
        <w:t xml:space="preserve"> w </w:t>
      </w:r>
      <w:r w:rsidRPr="00EC250C">
        <w:t>czasie stanu wojennego</w:t>
      </w:r>
      <w:r w:rsidR="00992FD0" w:rsidRPr="00EC250C">
        <w:t xml:space="preserve"> w </w:t>
      </w:r>
      <w:r w:rsidRPr="00EC250C">
        <w:t>1981-2</w:t>
      </w:r>
      <w:r w:rsidR="00C91F6E" w:rsidRPr="00EC250C">
        <w:t> r.</w:t>
      </w:r>
      <w:r w:rsidRPr="00EC250C">
        <w:t>, obserwował proces członków Wojskowej Rady Ocalenia Narodowego, którzy zarządzili wprowadzenie stanu wojennego</w:t>
      </w:r>
      <w:r w:rsidR="00992FD0" w:rsidRPr="00EC250C">
        <w:t xml:space="preserve"> w </w:t>
      </w:r>
      <w:r w:rsidRPr="00EC250C">
        <w:t>grudniu 1981</w:t>
      </w:r>
      <w:r w:rsidR="00C91F6E" w:rsidRPr="00EC250C">
        <w:t> r.</w:t>
      </w:r>
      <w:r w:rsidRPr="00EC250C">
        <w:t xml:space="preserve"> W dniu ogłoszenia wyroku skarżący</w:t>
      </w:r>
      <w:r w:rsidR="00992FD0" w:rsidRPr="00EC250C">
        <w:t xml:space="preserve"> w </w:t>
      </w:r>
      <w:r w:rsidRPr="00EC250C">
        <w:t>chwili, gdy sędziowie weszli do sali rozpraw, wskoczył za stół sędziowski krzycząc „Tutaj trwa kpina</w:t>
      </w:r>
      <w:r w:rsidR="00992FD0" w:rsidRPr="00EC250C">
        <w:t xml:space="preserve"> z </w:t>
      </w:r>
      <w:r w:rsidRPr="00EC250C">
        <w:t>wymiaru sprawiedliwości!”. Został za to siłą usunięty</w:t>
      </w:r>
      <w:r w:rsidR="00992FD0" w:rsidRPr="00EC250C">
        <w:t xml:space="preserve"> z </w:t>
      </w:r>
      <w:r w:rsidRPr="00EC250C">
        <w:t>sali rozpraw. Gdy wrócił, wykrzykiwał podobne treści</w:t>
      </w:r>
      <w:r w:rsidR="00992FD0" w:rsidRPr="00EC250C">
        <w:t xml:space="preserve"> w </w:t>
      </w:r>
      <w:r w:rsidRPr="00EC250C">
        <w:t>kierunku sędziów. Sędziowie postanowili ogłosić wyrok</w:t>
      </w:r>
      <w:r w:rsidR="00992FD0" w:rsidRPr="00EC250C">
        <w:t xml:space="preserve"> w </w:t>
      </w:r>
      <w:r w:rsidRPr="00EC250C">
        <w:t>innej sali, gdzie równocześnie nałożyli na skarżącego, pod jego nieobecność, karę porządkową 14 dni aresztu za obrazę sądu. Tydzień później skarżącemu doręczono nakaz zatrzymania</w:t>
      </w:r>
      <w:r w:rsidR="00992FD0" w:rsidRPr="00EC250C">
        <w:t xml:space="preserve"> i </w:t>
      </w:r>
      <w:r w:rsidRPr="00EC250C">
        <w:t>został przetransportowany do aresztu. Sąd odwoławczy rozpoznał jego zażalenie już po odbyciu przez niego kary.</w:t>
      </w:r>
    </w:p>
    <w:p w14:paraId="470594B7" w14:textId="77777777" w:rsidR="00C91F6E" w:rsidRPr="00EC250C" w:rsidRDefault="00335AF8" w:rsidP="00D131FA">
      <w:pPr>
        <w:pStyle w:val="Styl1"/>
      </w:pPr>
      <w:r w:rsidRPr="00EC250C">
        <w:t>Trybunał stwierdził, że działania skarżącego zmierzały do krytykowania sądownictwa oraz domniemanego braku sprawiedliwości,</w:t>
      </w:r>
      <w:r w:rsidR="00992FD0" w:rsidRPr="00EC250C">
        <w:t xml:space="preserve"> a </w:t>
      </w:r>
      <w:r w:rsidRPr="00EC250C">
        <w:t>nie do obrażania sędziów. Ci sami sędziowie wymierzyli mu potem karę porządkową aresztu</w:t>
      </w:r>
      <w:r w:rsidR="00026572" w:rsidRPr="00EC250C">
        <w:t xml:space="preserve"> – </w:t>
      </w:r>
      <w:r w:rsidRPr="00EC250C">
        <w:t>bez możliwości zaprezentowania przez niego swojego stanowiska. Późniejsze odwołanie nie naprawiło błędów proceduralnych. Okoliczności sprawy ujawniły obiektywnie uzasadnioną obawę braku bezstronności – doszło więc do naruszenia art. 6 Konwencji. Naruszono także art. 10 poprzez ingerencję</w:t>
      </w:r>
      <w:r w:rsidR="00992FD0" w:rsidRPr="00EC250C">
        <w:t xml:space="preserve"> w </w:t>
      </w:r>
      <w:r w:rsidRPr="00EC250C">
        <w:t>prawo skarżącego do wolności wypowiedzi, która to ingerencja nie była konieczna</w:t>
      </w:r>
      <w:r w:rsidR="00992FD0" w:rsidRPr="00EC250C">
        <w:t xml:space="preserve"> w </w:t>
      </w:r>
      <w:r w:rsidRPr="00EC250C">
        <w:t>demokratycznym społeczeństwie.</w:t>
      </w:r>
    </w:p>
    <w:p w14:paraId="3C26FF61" w14:textId="77777777" w:rsidR="00C91F6E" w:rsidRPr="00EC250C" w:rsidRDefault="00335AF8" w:rsidP="00EC250C">
      <w:pPr>
        <w:pStyle w:val="Nagwek5"/>
      </w:pPr>
      <w:bookmarkStart w:id="910" w:name="_Toc6258078"/>
      <w:r w:rsidRPr="00EC250C">
        <w:t>11. Witkowski v. Polska, 13/12/2018, skarga nr 21497/14</w:t>
      </w:r>
      <w:bookmarkEnd w:id="910"/>
    </w:p>
    <w:p w14:paraId="3F201058" w14:textId="77777777" w:rsidR="00B473F5" w:rsidRPr="00EC250C" w:rsidRDefault="00335AF8" w:rsidP="00D131FA">
      <w:pPr>
        <w:pStyle w:val="Problemczowieka"/>
        <w:jc w:val="both"/>
      </w:pPr>
      <w:r w:rsidRPr="00EC250C">
        <w:t>Sprawa dotyczyła odmowy uwzględnienia wniosku skarżącego</w:t>
      </w:r>
      <w:r w:rsidR="00992FD0" w:rsidRPr="00EC250C">
        <w:t xml:space="preserve"> o </w:t>
      </w:r>
      <w:r w:rsidRPr="00EC250C">
        <w:t>sporządzenie uzasadnienia wyroku sądu I instancji</w:t>
      </w:r>
      <w:r w:rsidR="00992FD0" w:rsidRPr="00EC250C">
        <w:t xml:space="preserve"> i </w:t>
      </w:r>
      <w:r w:rsidRPr="00EC250C">
        <w:t>jego doręczenie wraz</w:t>
      </w:r>
      <w:r w:rsidR="00992FD0" w:rsidRPr="00EC250C">
        <w:t xml:space="preserve"> z </w:t>
      </w:r>
      <w:r w:rsidRPr="00EC250C">
        <w:t>wyrokiem</w:t>
      </w:r>
      <w:r w:rsidR="00B473F5" w:rsidRPr="00EC250C">
        <w:t>.</w:t>
      </w:r>
    </w:p>
    <w:p w14:paraId="4C1FCD38" w14:textId="77777777" w:rsidR="00335AF8" w:rsidRPr="00EC250C" w:rsidRDefault="00335AF8" w:rsidP="00D131FA">
      <w:pPr>
        <w:pStyle w:val="Styl1"/>
      </w:pPr>
      <w:r w:rsidRPr="00EC250C">
        <w:t>W ocenie polskiego sądu wniosek</w:t>
      </w:r>
      <w:r w:rsidR="00992FD0" w:rsidRPr="00EC250C">
        <w:t xml:space="preserve"> o </w:t>
      </w:r>
      <w:r w:rsidRPr="00EC250C">
        <w:t>uzasadnienie złożony na godzinę przed ogłoszeniem wyroku był bezskuteczny</w:t>
      </w:r>
      <w:r w:rsidR="00026572" w:rsidRPr="00EC250C">
        <w:t xml:space="preserve"> – </w:t>
      </w:r>
      <w:r w:rsidRPr="00EC250C">
        <w:t>dotyczył wyroku nieistniejącego</w:t>
      </w:r>
      <w:r w:rsidR="00992FD0" w:rsidRPr="00EC250C">
        <w:t xml:space="preserve"> w </w:t>
      </w:r>
      <w:r w:rsidRPr="00EC250C">
        <w:t>chwili jego złożenia.</w:t>
      </w:r>
    </w:p>
    <w:p w14:paraId="7B10C198" w14:textId="77777777" w:rsidR="00335AF8" w:rsidRPr="00EC250C" w:rsidRDefault="00335AF8" w:rsidP="00D131FA">
      <w:pPr>
        <w:pStyle w:val="Styl1"/>
      </w:pPr>
      <w:r w:rsidRPr="00EC250C">
        <w:t>Trybunał wskazał, że procedura karna wskazuje tylko na dwie sytuacje, gdy można odmówić rozpoznania wniosku</w:t>
      </w:r>
      <w:r w:rsidR="00992FD0" w:rsidRPr="00EC250C">
        <w:t xml:space="preserve"> o </w:t>
      </w:r>
      <w:r w:rsidRPr="00EC250C">
        <w:t xml:space="preserve">sporządzenie uzasadnienia wyroku: złożenia przez osobę nieuprawnioną albo po upływie terminu siedmiu dni od ogłoszenia wyroku. Procedura ta nie wskazuje na możliwość </w:t>
      </w:r>
      <w:r w:rsidRPr="00EC250C">
        <w:lastRenderedPageBreak/>
        <w:t>odmowy uwzględnienia wniosku</w:t>
      </w:r>
      <w:r w:rsidR="00992FD0" w:rsidRPr="00EC250C">
        <w:t xml:space="preserve"> w </w:t>
      </w:r>
      <w:r w:rsidRPr="00EC250C">
        <w:t>razie jego złożenia przed ogłoszeniem wyroku. Interpretacja polegająca na odmowie uwzględnienia wniosku złożonego przed ogłoszeniem orzeczenia miała, zdaniem Trybunału, na celu zawężenie prawa skarżącego do rozpoznania sprawy przez sąd odwoławczy. W konsekwencji skarżący został pozbawiony możliwości złożenia apelacji, zwłaszcza że odmowa uwzględnienia wniosku została doręczona po terminie,</w:t>
      </w:r>
      <w:r w:rsidR="00992FD0" w:rsidRPr="00EC250C">
        <w:t xml:space="preserve"> w </w:t>
      </w:r>
      <w:r w:rsidRPr="00EC250C">
        <w:t>którym skarżący mógłby ten środek zaskarżenia złożyć. W ocenie Trybunału skarżący postępował starannie składając wniosek</w:t>
      </w:r>
      <w:r w:rsidR="00992FD0" w:rsidRPr="00EC250C">
        <w:t xml:space="preserve"> w </w:t>
      </w:r>
      <w:r w:rsidRPr="00EC250C">
        <w:t>dniu ogłoszenia wyroku. Jednocześnie odmowa przez sąd rozpoznania wniosku</w:t>
      </w:r>
      <w:r w:rsidR="00992FD0" w:rsidRPr="00EC250C">
        <w:t xml:space="preserve"> o </w:t>
      </w:r>
      <w:r w:rsidRPr="00EC250C">
        <w:t>uzasadnienie wydana sześć dni po ogłoszeniu wyroku</w:t>
      </w:r>
      <w:r w:rsidR="00992FD0" w:rsidRPr="00EC250C">
        <w:t xml:space="preserve"> i </w:t>
      </w:r>
      <w:r w:rsidRPr="00EC250C">
        <w:t>jego późniejsze doręczenie pocztą wskazywało na świadomość sądu, że tym samym pozbawia on skarżącego możliwości odwołania się od wyroku. Dodatkowo, sąd odwoławczy nie zwrócił się do oskarżonego jeszcze przed upływem terminu</w:t>
      </w:r>
      <w:r w:rsidR="00992FD0" w:rsidRPr="00EC250C">
        <w:t xml:space="preserve"> z </w:t>
      </w:r>
      <w:r w:rsidRPr="00EC250C">
        <w:t>pytaniem czy podtrzymuje swój wniosek</w:t>
      </w:r>
      <w:r w:rsidR="00992FD0" w:rsidRPr="00EC250C">
        <w:t xml:space="preserve"> o </w:t>
      </w:r>
      <w:r w:rsidRPr="00EC250C">
        <w:t>uzasadnienie. Polski rząd nie wyjaśnił, dlaczego tego zaniechano. Te elementy były wystarczające, aby stwierdzić, że prawo skarżącego dostępu do sądu zostało naruszone.</w:t>
      </w:r>
    </w:p>
    <w:p w14:paraId="4CDFE5C5" w14:textId="77777777" w:rsidR="00335AF8" w:rsidRPr="00EC250C" w:rsidRDefault="00335AF8" w:rsidP="00EC250C">
      <w:pPr>
        <w:pStyle w:val="Nagwek5"/>
      </w:pPr>
      <w:bookmarkStart w:id="911" w:name="_Toc6258079"/>
      <w:r w:rsidRPr="00EC250C">
        <w:t>12. Dobrowolski</w:t>
      </w:r>
      <w:r w:rsidR="00992FD0" w:rsidRPr="00EC250C">
        <w:t xml:space="preserve"> i </w:t>
      </w:r>
      <w:r w:rsidRPr="00EC250C">
        <w:t>inni v. Polska, 13/03/2018, skarga nr 45651/11</w:t>
      </w:r>
      <w:bookmarkEnd w:id="911"/>
    </w:p>
    <w:p w14:paraId="447E92A7" w14:textId="77777777" w:rsidR="00B473F5" w:rsidRPr="00EC250C" w:rsidRDefault="00335AF8" w:rsidP="00D131FA">
      <w:pPr>
        <w:pStyle w:val="Problemczowieka"/>
        <w:jc w:val="both"/>
        <w:rPr>
          <w:lang w:eastAsia="en-US"/>
        </w:rPr>
      </w:pPr>
      <w:r w:rsidRPr="00EC250C">
        <w:rPr>
          <w:lang w:eastAsia="en-US"/>
        </w:rPr>
        <w:t>Sprawa dotyczyła wynagrodzenia za pracę osób pozbawionych wolności, które otrzymywały płacę równą połowie ustawowego wynagrodzenia minimalnego, co</w:t>
      </w:r>
      <w:r w:rsidR="00992FD0" w:rsidRPr="00EC250C">
        <w:rPr>
          <w:lang w:eastAsia="en-US"/>
        </w:rPr>
        <w:t xml:space="preserve"> w </w:t>
      </w:r>
      <w:r w:rsidRPr="00EC250C">
        <w:rPr>
          <w:lang w:eastAsia="en-US"/>
        </w:rPr>
        <w:t>ich ocenie stanowiło przejaw dyskryminacji</w:t>
      </w:r>
      <w:r w:rsidR="00B473F5" w:rsidRPr="00EC250C">
        <w:rPr>
          <w:lang w:eastAsia="en-US"/>
        </w:rPr>
        <w:t>.</w:t>
      </w:r>
    </w:p>
    <w:p w14:paraId="46CCF393" w14:textId="77777777" w:rsidR="00C91F6E" w:rsidRPr="00EC250C" w:rsidRDefault="00335AF8" w:rsidP="00D131FA">
      <w:pPr>
        <w:pStyle w:val="Styl1"/>
        <w:rPr>
          <w:lang w:eastAsia="en-US"/>
        </w:rPr>
      </w:pPr>
      <w:r w:rsidRPr="00EC250C">
        <w:rPr>
          <w:lang w:eastAsia="en-US"/>
        </w:rPr>
        <w:t>Ich okres zatrudnienia przypadał jednak na stan prawny przed 8 marca 2011</w:t>
      </w:r>
      <w:r w:rsidR="00C91F6E" w:rsidRPr="00EC250C">
        <w:rPr>
          <w:lang w:eastAsia="en-US"/>
        </w:rPr>
        <w:t> r.</w:t>
      </w:r>
      <w:r w:rsidRPr="00EC250C">
        <w:rPr>
          <w:lang w:eastAsia="en-US"/>
        </w:rPr>
        <w:t>, kiedy to na mocy wyroku Trybunału Konstytucyjnego (sygn. P 20/09) utracił moc uznany za niezgodny</w:t>
      </w:r>
      <w:r w:rsidR="00992FD0" w:rsidRPr="00EC250C">
        <w:rPr>
          <w:lang w:eastAsia="en-US"/>
        </w:rPr>
        <w:t xml:space="preserve"> z </w:t>
      </w:r>
      <w:r w:rsidRPr="00EC250C">
        <w:rPr>
          <w:lang w:eastAsia="en-US"/>
        </w:rPr>
        <w:t>Konstytucją przepis Kodeksu karnego wykonawczego, przewidujący, iż skazany ma prawo do wynagrodzenia</w:t>
      </w:r>
      <w:r w:rsidR="00992FD0" w:rsidRPr="00EC250C">
        <w:rPr>
          <w:lang w:eastAsia="en-US"/>
        </w:rPr>
        <w:t xml:space="preserve"> w </w:t>
      </w:r>
      <w:r w:rsidRPr="00EC250C">
        <w:rPr>
          <w:lang w:eastAsia="en-US"/>
        </w:rPr>
        <w:t>wysokości co najmniej połowy wynagrodzenia minimalnego.</w:t>
      </w:r>
    </w:p>
    <w:p w14:paraId="3FA91F40" w14:textId="77777777" w:rsidR="00C91F6E" w:rsidRPr="00EC250C" w:rsidRDefault="00335AF8" w:rsidP="00D131FA">
      <w:pPr>
        <w:pStyle w:val="Styl1"/>
        <w:rPr>
          <w:lang w:eastAsia="en-US"/>
        </w:rPr>
      </w:pPr>
      <w:r w:rsidRPr="00EC250C">
        <w:rPr>
          <w:lang w:eastAsia="en-US"/>
        </w:rPr>
        <w:t>Europejski Trybunał Praw Człowieka stwierdził, że przed wspomnianą zmianą prawną skarżący nie mieli podstaw oczekiwać, że ich wynagrodzenie będzie równe minimalnemu wynagrodzeniu ustalonemu przez przepisy ogólne,</w:t>
      </w:r>
      <w:r w:rsidR="00992FD0" w:rsidRPr="00EC250C">
        <w:rPr>
          <w:lang w:eastAsia="en-US"/>
        </w:rPr>
        <w:t xml:space="preserve"> a </w:t>
      </w:r>
      <w:r w:rsidRPr="00EC250C">
        <w:rPr>
          <w:lang w:eastAsia="en-US"/>
        </w:rPr>
        <w:t>zatem nie mogli podnosić, że posiadali „mienie”</w:t>
      </w:r>
      <w:r w:rsidR="00992FD0" w:rsidRPr="00EC250C">
        <w:rPr>
          <w:lang w:eastAsia="en-US"/>
        </w:rPr>
        <w:t xml:space="preserve"> w </w:t>
      </w:r>
      <w:r w:rsidRPr="00EC250C">
        <w:rPr>
          <w:lang w:eastAsia="en-US"/>
        </w:rPr>
        <w:t>rozumieniu art. 1 Protokołu 1 do Konwencji. Ponieważ zakaz dyskryminacji</w:t>
      </w:r>
      <w:r w:rsidR="00992FD0" w:rsidRPr="00EC250C">
        <w:rPr>
          <w:lang w:eastAsia="en-US"/>
        </w:rPr>
        <w:t xml:space="preserve"> z </w:t>
      </w:r>
      <w:r w:rsidRPr="00EC250C">
        <w:rPr>
          <w:lang w:eastAsia="en-US"/>
        </w:rPr>
        <w:t>art. 14 Konwencji nie jest przepisem autonomicznym</w:t>
      </w:r>
      <w:r w:rsidR="00992FD0" w:rsidRPr="00EC250C">
        <w:rPr>
          <w:lang w:eastAsia="en-US"/>
        </w:rPr>
        <w:t xml:space="preserve"> i </w:t>
      </w:r>
      <w:r w:rsidRPr="00EC250C">
        <w:rPr>
          <w:lang w:eastAsia="en-US"/>
        </w:rPr>
        <w:t>jego naruszenie może być rozpatrywane tylko</w:t>
      </w:r>
      <w:r w:rsidR="00992FD0" w:rsidRPr="00EC250C">
        <w:rPr>
          <w:lang w:eastAsia="en-US"/>
        </w:rPr>
        <w:t xml:space="preserve"> w </w:t>
      </w:r>
      <w:r w:rsidRPr="00EC250C">
        <w:rPr>
          <w:lang w:eastAsia="en-US"/>
        </w:rPr>
        <w:t>związku</w:t>
      </w:r>
      <w:r w:rsidR="00992FD0" w:rsidRPr="00EC250C">
        <w:rPr>
          <w:lang w:eastAsia="en-US"/>
        </w:rPr>
        <w:t xml:space="preserve"> z </w:t>
      </w:r>
      <w:r w:rsidRPr="00EC250C">
        <w:rPr>
          <w:lang w:eastAsia="en-US"/>
        </w:rPr>
        <w:t>innym przepisem Konwencji, skarga została uznana za niedopuszczalną.</w:t>
      </w:r>
    </w:p>
    <w:p w14:paraId="5620B3B7" w14:textId="77777777" w:rsidR="00335AF8" w:rsidRPr="00EC250C" w:rsidRDefault="00335AF8" w:rsidP="00EC250C">
      <w:pPr>
        <w:pStyle w:val="Nagwek5"/>
      </w:pPr>
      <w:bookmarkStart w:id="912" w:name="_Toc6258080"/>
      <w:r w:rsidRPr="00EC250C">
        <w:t>13. Szulc v. Polska, 11/09/2018,</w:t>
      </w:r>
      <w:r w:rsidRPr="00EC250C">
        <w:rPr>
          <w:spacing w:val="0"/>
        </w:rPr>
        <w:t xml:space="preserve"> </w:t>
      </w:r>
      <w:r w:rsidRPr="00EC250C">
        <w:t>skarga nr 58042/17</w:t>
      </w:r>
      <w:bookmarkEnd w:id="912"/>
    </w:p>
    <w:p w14:paraId="3F9B48AD" w14:textId="77777777" w:rsidR="00B473F5" w:rsidRPr="00EC250C" w:rsidRDefault="00335AF8" w:rsidP="00D131FA">
      <w:pPr>
        <w:pStyle w:val="Problemczowieka"/>
        <w:jc w:val="both"/>
        <w:rPr>
          <w:lang w:eastAsia="en-US"/>
        </w:rPr>
      </w:pPr>
      <w:r w:rsidRPr="00EC250C">
        <w:rPr>
          <w:lang w:eastAsia="en-US"/>
        </w:rPr>
        <w:t>Sprawa dotyczyła warunków bytowych</w:t>
      </w:r>
      <w:r w:rsidR="00992FD0" w:rsidRPr="00EC250C">
        <w:rPr>
          <w:lang w:eastAsia="en-US"/>
        </w:rPr>
        <w:t xml:space="preserve"> w </w:t>
      </w:r>
      <w:r w:rsidRPr="00EC250C">
        <w:rPr>
          <w:lang w:eastAsia="en-US"/>
        </w:rPr>
        <w:t>jednostce penitencjarnej</w:t>
      </w:r>
      <w:r w:rsidR="00B473F5" w:rsidRPr="00EC250C">
        <w:rPr>
          <w:lang w:eastAsia="en-US"/>
        </w:rPr>
        <w:t>.</w:t>
      </w:r>
    </w:p>
    <w:p w14:paraId="433FDC7B" w14:textId="77777777" w:rsidR="00C91F6E" w:rsidRPr="00EC250C" w:rsidRDefault="00335AF8" w:rsidP="00D131FA">
      <w:pPr>
        <w:pStyle w:val="Styl1"/>
        <w:rPr>
          <w:lang w:eastAsia="en-US"/>
        </w:rPr>
      </w:pPr>
      <w:r w:rsidRPr="00EC250C">
        <w:rPr>
          <w:lang w:eastAsia="en-US"/>
        </w:rPr>
        <w:t>Skarżący zarzucił Polsce naruszenie art. 9 Konwencji (wolność myśli, sumienia</w:t>
      </w:r>
      <w:r w:rsidR="00992FD0" w:rsidRPr="00EC250C">
        <w:rPr>
          <w:lang w:eastAsia="en-US"/>
        </w:rPr>
        <w:t xml:space="preserve"> i </w:t>
      </w:r>
      <w:r w:rsidRPr="00EC250C">
        <w:rPr>
          <w:lang w:eastAsia="en-US"/>
        </w:rPr>
        <w:t>wyznania),</w:t>
      </w:r>
      <w:r w:rsidR="00992FD0" w:rsidRPr="00EC250C">
        <w:rPr>
          <w:lang w:eastAsia="en-US"/>
        </w:rPr>
        <w:t xml:space="preserve"> w </w:t>
      </w:r>
      <w:r w:rsidRPr="00EC250C">
        <w:rPr>
          <w:lang w:eastAsia="en-US"/>
        </w:rPr>
        <w:t>związku</w:t>
      </w:r>
      <w:r w:rsidR="00992FD0" w:rsidRPr="00EC250C">
        <w:rPr>
          <w:lang w:eastAsia="en-US"/>
        </w:rPr>
        <w:t xml:space="preserve"> z </w:t>
      </w:r>
      <w:r w:rsidRPr="00EC250C">
        <w:rPr>
          <w:lang w:eastAsia="en-US"/>
        </w:rPr>
        <w:t>niezapewnieniem mu</w:t>
      </w:r>
      <w:r w:rsidR="00992FD0" w:rsidRPr="00EC250C">
        <w:rPr>
          <w:lang w:eastAsia="en-US"/>
        </w:rPr>
        <w:t xml:space="preserve"> w </w:t>
      </w:r>
      <w:r w:rsidRPr="00EC250C">
        <w:rPr>
          <w:lang w:eastAsia="en-US"/>
        </w:rPr>
        <w:t>czasie pobytu</w:t>
      </w:r>
      <w:r w:rsidR="00992FD0" w:rsidRPr="00EC250C">
        <w:rPr>
          <w:lang w:eastAsia="en-US"/>
        </w:rPr>
        <w:t xml:space="preserve"> w </w:t>
      </w:r>
      <w:r w:rsidRPr="00EC250C">
        <w:rPr>
          <w:lang w:eastAsia="en-US"/>
        </w:rPr>
        <w:t>areszcie śledczym diety zgodnej</w:t>
      </w:r>
      <w:r w:rsidR="00992FD0" w:rsidRPr="00EC250C">
        <w:rPr>
          <w:lang w:eastAsia="en-US"/>
        </w:rPr>
        <w:t xml:space="preserve"> z </w:t>
      </w:r>
      <w:r w:rsidRPr="00EC250C">
        <w:rPr>
          <w:lang w:eastAsia="en-US"/>
        </w:rPr>
        <w:t>wymogami jego religii. Strony zawarły ugodę</w:t>
      </w:r>
      <w:r w:rsidR="00992FD0" w:rsidRPr="00EC250C">
        <w:rPr>
          <w:lang w:eastAsia="en-US"/>
        </w:rPr>
        <w:t xml:space="preserve"> w </w:t>
      </w:r>
      <w:r w:rsidRPr="00EC250C">
        <w:rPr>
          <w:lang w:eastAsia="en-US"/>
        </w:rPr>
        <w:t>sprawie, na mocy której Rząd RP zobowiązał się do wypłaty skarżącemu odszkodowania za poniesione wydatki</w:t>
      </w:r>
      <w:r w:rsidR="00992FD0" w:rsidRPr="00EC250C">
        <w:rPr>
          <w:lang w:eastAsia="en-US"/>
        </w:rPr>
        <w:t xml:space="preserve"> i </w:t>
      </w:r>
      <w:r w:rsidRPr="00EC250C">
        <w:rPr>
          <w:lang w:eastAsia="en-US"/>
        </w:rPr>
        <w:t>zadośćuczynienia za szkody niepieniężne,</w:t>
      </w:r>
      <w:r w:rsidR="00992FD0" w:rsidRPr="00EC250C">
        <w:rPr>
          <w:lang w:eastAsia="en-US"/>
        </w:rPr>
        <w:t xml:space="preserve"> a </w:t>
      </w:r>
      <w:r w:rsidRPr="00EC250C">
        <w:rPr>
          <w:lang w:eastAsia="en-US"/>
        </w:rPr>
        <w:t>skarżący zrzekł się wszelkich roszczeń</w:t>
      </w:r>
      <w:r w:rsidR="00992FD0" w:rsidRPr="00EC250C">
        <w:rPr>
          <w:lang w:eastAsia="en-US"/>
        </w:rPr>
        <w:t xml:space="preserve"> w </w:t>
      </w:r>
      <w:r w:rsidRPr="00EC250C">
        <w:rPr>
          <w:lang w:eastAsia="en-US"/>
        </w:rPr>
        <w:t>sprawie.</w:t>
      </w:r>
    </w:p>
    <w:p w14:paraId="03FA270A" w14:textId="77777777" w:rsidR="00335AF8" w:rsidRPr="00EC250C" w:rsidRDefault="00335AF8" w:rsidP="00EC250C">
      <w:pPr>
        <w:pStyle w:val="Nagwek5"/>
      </w:pPr>
      <w:bookmarkStart w:id="913" w:name="_Toc6258081"/>
      <w:r w:rsidRPr="00EC250C">
        <w:lastRenderedPageBreak/>
        <w:t>14. Dybek v. Polska, 25/09/2018, skarga nr 62279/16</w:t>
      </w:r>
      <w:bookmarkEnd w:id="913"/>
    </w:p>
    <w:p w14:paraId="2EB861A2" w14:textId="77777777" w:rsidR="00B473F5" w:rsidRPr="00EC250C" w:rsidRDefault="00335AF8" w:rsidP="00D131FA">
      <w:pPr>
        <w:pStyle w:val="Problemczowieka"/>
        <w:jc w:val="both"/>
        <w:rPr>
          <w:lang w:eastAsia="en-US"/>
        </w:rPr>
      </w:pPr>
      <w:r w:rsidRPr="00EC250C">
        <w:rPr>
          <w:lang w:eastAsia="en-US"/>
        </w:rPr>
        <w:t>Sprawa dotyczyła zarzutu naruszenia art. 10 Konwencji</w:t>
      </w:r>
      <w:r w:rsidR="00992FD0" w:rsidRPr="00EC250C">
        <w:rPr>
          <w:lang w:eastAsia="en-US"/>
        </w:rPr>
        <w:t xml:space="preserve"> w </w:t>
      </w:r>
      <w:r w:rsidRPr="00EC250C">
        <w:rPr>
          <w:lang w:eastAsia="en-US"/>
        </w:rPr>
        <w:t>związku</w:t>
      </w:r>
      <w:r w:rsidR="00992FD0" w:rsidRPr="00EC250C">
        <w:rPr>
          <w:lang w:eastAsia="en-US"/>
        </w:rPr>
        <w:t xml:space="preserve"> z </w:t>
      </w:r>
      <w:r w:rsidRPr="00EC250C">
        <w:rPr>
          <w:lang w:eastAsia="en-US"/>
        </w:rPr>
        <w:t>wyrokiem sądu nakazującym skarżącemu zapłatę zadośćuczynienia oraz opublikowanie sprostowania wypowiedzi zawartych</w:t>
      </w:r>
      <w:r w:rsidR="00992FD0" w:rsidRPr="00EC250C">
        <w:rPr>
          <w:lang w:eastAsia="en-US"/>
        </w:rPr>
        <w:t xml:space="preserve"> w </w:t>
      </w:r>
      <w:r w:rsidRPr="00EC250C">
        <w:rPr>
          <w:lang w:eastAsia="en-US"/>
        </w:rPr>
        <w:t>artykule prasowym</w:t>
      </w:r>
      <w:r w:rsidR="00B473F5" w:rsidRPr="00EC250C">
        <w:rPr>
          <w:lang w:eastAsia="en-US"/>
        </w:rPr>
        <w:t>.</w:t>
      </w:r>
    </w:p>
    <w:p w14:paraId="728643C3" w14:textId="77777777" w:rsidR="00335AF8" w:rsidRPr="00EC250C" w:rsidRDefault="00335AF8" w:rsidP="00D131FA">
      <w:pPr>
        <w:pStyle w:val="Styl1"/>
        <w:rPr>
          <w:lang w:eastAsia="en-US"/>
        </w:rPr>
      </w:pPr>
      <w:r w:rsidRPr="00EC250C">
        <w:rPr>
          <w:lang w:eastAsia="en-US"/>
        </w:rPr>
        <w:t>Skarżący sformułował</w:t>
      </w:r>
      <w:r w:rsidR="00992FD0" w:rsidRPr="00EC250C">
        <w:rPr>
          <w:lang w:eastAsia="en-US"/>
        </w:rPr>
        <w:t xml:space="preserve"> w </w:t>
      </w:r>
      <w:r w:rsidRPr="00EC250C">
        <w:rPr>
          <w:lang w:eastAsia="en-US"/>
        </w:rPr>
        <w:t>artykule opublikowanym</w:t>
      </w:r>
      <w:r w:rsidR="00992FD0" w:rsidRPr="00EC250C">
        <w:rPr>
          <w:lang w:eastAsia="en-US"/>
        </w:rPr>
        <w:t xml:space="preserve"> w </w:t>
      </w:r>
      <w:r w:rsidRPr="00EC250C">
        <w:rPr>
          <w:lang w:eastAsia="en-US"/>
        </w:rPr>
        <w:t>lokalnej prasie krytyczne wypowiedzi dotyczące spółdzielni mieszkaniowej, oskarżając spółdzielnię m.in.</w:t>
      </w:r>
      <w:r w:rsidR="00992FD0" w:rsidRPr="00EC250C">
        <w:rPr>
          <w:lang w:eastAsia="en-US"/>
        </w:rPr>
        <w:t xml:space="preserve"> o </w:t>
      </w:r>
      <w:r w:rsidRPr="00EC250C">
        <w:rPr>
          <w:lang w:eastAsia="en-US"/>
        </w:rPr>
        <w:t>niegospodarność</w:t>
      </w:r>
      <w:r w:rsidR="00992FD0" w:rsidRPr="00EC250C">
        <w:rPr>
          <w:lang w:eastAsia="en-US"/>
        </w:rPr>
        <w:t xml:space="preserve"> i </w:t>
      </w:r>
      <w:r w:rsidRPr="00EC250C">
        <w:rPr>
          <w:lang w:eastAsia="en-US"/>
        </w:rPr>
        <w:t>działanie na szkodę jej członków. Następnie skarżący zainicjował postępowanie karne przeciwko spółdzielni, które zostało umorzone przez prokuratora</w:t>
      </w:r>
      <w:r w:rsidR="00992FD0" w:rsidRPr="00EC250C">
        <w:rPr>
          <w:lang w:eastAsia="en-US"/>
        </w:rPr>
        <w:t xml:space="preserve"> z </w:t>
      </w:r>
      <w:r w:rsidRPr="00EC250C">
        <w:rPr>
          <w:lang w:eastAsia="en-US"/>
        </w:rPr>
        <w:t>uwagi na brak znamion przestępstwa.</w:t>
      </w:r>
    </w:p>
    <w:p w14:paraId="23E28DB9" w14:textId="77777777" w:rsidR="00C91F6E" w:rsidRPr="00EC250C" w:rsidRDefault="00335AF8" w:rsidP="00D131FA">
      <w:pPr>
        <w:pStyle w:val="Styl1"/>
        <w:rPr>
          <w:lang w:eastAsia="en-US"/>
        </w:rPr>
      </w:pPr>
      <w:r w:rsidRPr="00EC250C">
        <w:rPr>
          <w:lang w:eastAsia="en-US"/>
        </w:rPr>
        <w:t>Spółdzielnia wniosła pozew przeciwko skarżącemu</w:t>
      </w:r>
      <w:r w:rsidR="00992FD0" w:rsidRPr="00EC250C">
        <w:rPr>
          <w:lang w:eastAsia="en-US"/>
        </w:rPr>
        <w:t xml:space="preserve"> o </w:t>
      </w:r>
      <w:r w:rsidRPr="00EC250C">
        <w:rPr>
          <w:lang w:eastAsia="en-US"/>
        </w:rPr>
        <w:t>naruszenie dóbr osobistych. Sąd I instancji zasądził na rzecz powoda kwotę 5000 zł zadośćuczynienia za szkodę niematerialną oraz nakazał skarżącemu opublikować sprostowanie</w:t>
      </w:r>
      <w:r w:rsidR="00992FD0" w:rsidRPr="00EC250C">
        <w:rPr>
          <w:lang w:eastAsia="en-US"/>
        </w:rPr>
        <w:t xml:space="preserve"> w </w:t>
      </w:r>
      <w:r w:rsidRPr="00EC250C">
        <w:rPr>
          <w:lang w:eastAsia="en-US"/>
        </w:rPr>
        <w:t>prasie. Obie strony złożyły apelacje, ale sąd apelacyjny oddalił je uznając, że sąd I instancji poddał materiał dowodowy adekwatnej ocenie</w:t>
      </w:r>
      <w:r w:rsidR="00992FD0" w:rsidRPr="00EC250C">
        <w:rPr>
          <w:lang w:eastAsia="en-US"/>
        </w:rPr>
        <w:t xml:space="preserve"> i </w:t>
      </w:r>
      <w:r w:rsidRPr="00EC250C">
        <w:rPr>
          <w:lang w:eastAsia="en-US"/>
        </w:rPr>
        <w:t>właściwie zinterpretował odpowiednie przepisy. Kasacja skarżącego została przez Sąd Najwyższy odrzucona, wobec czego skarżący zwrócił się ze skargą do ETPCz podnosząc, że wyroki wydane przez sądy krajowe naruszają jego prawo do swobody wypowiedzi obejmujące także manifestowanie krytyki.</w:t>
      </w:r>
    </w:p>
    <w:p w14:paraId="4563ABAD" w14:textId="77777777" w:rsidR="00C91F6E" w:rsidRPr="00EC250C" w:rsidRDefault="00335AF8" w:rsidP="00D131FA">
      <w:pPr>
        <w:pStyle w:val="Styl1"/>
        <w:rPr>
          <w:lang w:eastAsia="en-US"/>
        </w:rPr>
      </w:pPr>
      <w:r w:rsidRPr="00EC250C">
        <w:rPr>
          <w:lang w:eastAsia="en-US"/>
        </w:rPr>
        <w:t>Trybunał zgodził się ze stanowiskiem sądów krajowych, stwierdzając, że zarzuty stawiane przez skarżącego miały wprawdzie charakter oceny, ale sformułowane zostały</w:t>
      </w:r>
      <w:r w:rsidR="00992FD0" w:rsidRPr="00EC250C">
        <w:rPr>
          <w:lang w:eastAsia="en-US"/>
        </w:rPr>
        <w:t xml:space="preserve"> w </w:t>
      </w:r>
      <w:r w:rsidRPr="00EC250C">
        <w:rPr>
          <w:lang w:eastAsia="en-US"/>
        </w:rPr>
        <w:t>oparciu</w:t>
      </w:r>
      <w:r w:rsidR="00992FD0" w:rsidRPr="00EC250C">
        <w:rPr>
          <w:lang w:eastAsia="en-US"/>
        </w:rPr>
        <w:t xml:space="preserve"> o </w:t>
      </w:r>
      <w:r w:rsidRPr="00EC250C">
        <w:rPr>
          <w:lang w:eastAsia="en-US"/>
        </w:rPr>
        <w:t>oświadczenia dotyczące faktów, przytoczonych przez niego</w:t>
      </w:r>
      <w:r w:rsidR="00992FD0" w:rsidRPr="00EC250C">
        <w:rPr>
          <w:lang w:eastAsia="en-US"/>
        </w:rPr>
        <w:t xml:space="preserve"> w </w:t>
      </w:r>
      <w:r w:rsidRPr="00EC250C">
        <w:rPr>
          <w:lang w:eastAsia="en-US"/>
        </w:rPr>
        <w:t>tym samym artykule prasowym. Skarżący nie przedstawił żadnych dowodów na prawdziwość ww. oświadczeń,</w:t>
      </w:r>
      <w:r w:rsidR="00992FD0" w:rsidRPr="00EC250C">
        <w:rPr>
          <w:lang w:eastAsia="en-US"/>
        </w:rPr>
        <w:t xml:space="preserve"> a </w:t>
      </w:r>
      <w:r w:rsidRPr="00EC250C">
        <w:rPr>
          <w:lang w:eastAsia="en-US"/>
        </w:rPr>
        <w:t>sądy krajowe stwierdziły, że</w:t>
      </w:r>
      <w:r w:rsidR="00992FD0" w:rsidRPr="00EC250C">
        <w:rPr>
          <w:lang w:eastAsia="en-US"/>
        </w:rPr>
        <w:t xml:space="preserve"> w </w:t>
      </w:r>
      <w:r w:rsidRPr="00EC250C">
        <w:rPr>
          <w:lang w:eastAsia="en-US"/>
        </w:rPr>
        <w:t>świetle dokumentacji wspólnoty, do której skarżący miał dostęp, niektóre</w:t>
      </w:r>
      <w:r w:rsidR="00992FD0" w:rsidRPr="00EC250C">
        <w:rPr>
          <w:lang w:eastAsia="en-US"/>
        </w:rPr>
        <w:t xml:space="preserve"> z </w:t>
      </w:r>
      <w:r w:rsidRPr="00EC250C">
        <w:rPr>
          <w:lang w:eastAsia="en-US"/>
        </w:rPr>
        <w:t>nich były nieprawdziwe. Trybunał uznał, że nie ma powodu, aby kwestionować ustalenia sądów krajowych</w:t>
      </w:r>
      <w:r w:rsidR="00992FD0" w:rsidRPr="00EC250C">
        <w:rPr>
          <w:lang w:eastAsia="en-US"/>
        </w:rPr>
        <w:t xml:space="preserve"> w </w:t>
      </w:r>
      <w:r w:rsidRPr="00EC250C">
        <w:rPr>
          <w:lang w:eastAsia="en-US"/>
        </w:rPr>
        <w:t>niniejszej sprawie. Skarga, jako oczywiście bezzasadna, została odrzucona.</w:t>
      </w:r>
    </w:p>
    <w:p w14:paraId="1BBDF1E7" w14:textId="77777777" w:rsidR="00335AF8" w:rsidRPr="00EC250C" w:rsidRDefault="00335AF8" w:rsidP="00EC250C">
      <w:pPr>
        <w:pStyle w:val="Nagwek5"/>
      </w:pPr>
      <w:bookmarkStart w:id="914" w:name="_Toc6258082"/>
      <w:r w:rsidRPr="00EC250C">
        <w:t>15. Gęsina-Torres v. Polska, 29/03/2018, skarga nr 11915/15</w:t>
      </w:r>
      <w:bookmarkEnd w:id="914"/>
    </w:p>
    <w:p w14:paraId="60F5ED87" w14:textId="77777777" w:rsidR="00B473F5" w:rsidRPr="00EC250C" w:rsidRDefault="00335AF8" w:rsidP="00D131FA">
      <w:pPr>
        <w:pStyle w:val="Problemczowieka"/>
        <w:jc w:val="both"/>
        <w:rPr>
          <w:lang w:eastAsia="en-US"/>
        </w:rPr>
      </w:pPr>
      <w:r w:rsidRPr="00EC250C">
        <w:rPr>
          <w:lang w:eastAsia="en-US"/>
        </w:rPr>
        <w:t>Sprawa dotyczyła zarzutu naruszenia art. 10 Konwencji,</w:t>
      </w:r>
      <w:r w:rsidR="00992FD0" w:rsidRPr="00EC250C">
        <w:rPr>
          <w:lang w:eastAsia="en-US"/>
        </w:rPr>
        <w:t xml:space="preserve"> z </w:t>
      </w:r>
      <w:r w:rsidRPr="00EC250C">
        <w:rPr>
          <w:lang w:eastAsia="en-US"/>
        </w:rPr>
        <w:t>uwagi na skazanie skarżącego przez sądy krajowe na karę grzywny za przestępstwa przeciwko wiarygodności dokumentów oraz wymiarowi sprawiedliwości popełnione</w:t>
      </w:r>
      <w:r w:rsidR="00992FD0" w:rsidRPr="00EC250C">
        <w:rPr>
          <w:lang w:eastAsia="en-US"/>
        </w:rPr>
        <w:t xml:space="preserve"> w </w:t>
      </w:r>
      <w:r w:rsidRPr="00EC250C">
        <w:rPr>
          <w:lang w:eastAsia="en-US"/>
        </w:rPr>
        <w:t>związku</w:t>
      </w:r>
      <w:r w:rsidR="00992FD0" w:rsidRPr="00EC250C">
        <w:rPr>
          <w:lang w:eastAsia="en-US"/>
        </w:rPr>
        <w:t xml:space="preserve"> z </w:t>
      </w:r>
      <w:r w:rsidRPr="00EC250C">
        <w:rPr>
          <w:lang w:eastAsia="en-US"/>
        </w:rPr>
        <w:t>prowadzonym przez skarżącego śledztwem dziennikarskim</w:t>
      </w:r>
      <w:r w:rsidR="00B473F5" w:rsidRPr="00EC250C">
        <w:rPr>
          <w:lang w:eastAsia="en-US"/>
        </w:rPr>
        <w:t>.</w:t>
      </w:r>
    </w:p>
    <w:p w14:paraId="55A6403D" w14:textId="77777777" w:rsidR="00C91F6E" w:rsidRPr="00EC250C" w:rsidRDefault="00335AF8" w:rsidP="00D131FA">
      <w:pPr>
        <w:pStyle w:val="Styl1"/>
        <w:rPr>
          <w:lang w:eastAsia="en-US"/>
        </w:rPr>
      </w:pPr>
      <w:r w:rsidRPr="00EC250C">
        <w:rPr>
          <w:lang w:eastAsia="en-US"/>
        </w:rPr>
        <w:t>ETPC wydał decyzję</w:t>
      </w:r>
      <w:r w:rsidR="00992FD0" w:rsidRPr="00EC250C">
        <w:rPr>
          <w:lang w:eastAsia="en-US"/>
        </w:rPr>
        <w:t xml:space="preserve"> o </w:t>
      </w:r>
      <w:r w:rsidRPr="00EC250C">
        <w:rPr>
          <w:lang w:eastAsia="en-US"/>
        </w:rPr>
        <w:t>niedopuszczalności skargi</w:t>
      </w:r>
      <w:r w:rsidR="00992FD0" w:rsidRPr="00EC250C">
        <w:rPr>
          <w:lang w:eastAsia="en-US"/>
        </w:rPr>
        <w:t xml:space="preserve"> w </w:t>
      </w:r>
      <w:r w:rsidRPr="00EC250C">
        <w:rPr>
          <w:lang w:eastAsia="en-US"/>
        </w:rPr>
        <w:t xml:space="preserve">sprawie </w:t>
      </w:r>
      <w:r w:rsidRPr="00EC250C">
        <w:rPr>
          <w:bCs/>
          <w:lang w:eastAsia="en-US"/>
        </w:rPr>
        <w:t>Gęsina-Torres</w:t>
      </w:r>
      <w:r w:rsidRPr="00EC250C">
        <w:rPr>
          <w:b/>
          <w:bCs/>
          <w:lang w:eastAsia="en-US"/>
        </w:rPr>
        <w:t xml:space="preserve"> </w:t>
      </w:r>
      <w:r w:rsidRPr="00EC250C">
        <w:rPr>
          <w:lang w:eastAsia="en-US"/>
        </w:rPr>
        <w:t>przeciwko Polsce. Dziennikarz Telewizji Polskiej spędził</w:t>
      </w:r>
      <w:r w:rsidR="00992FD0" w:rsidRPr="00EC250C">
        <w:rPr>
          <w:lang w:eastAsia="en-US"/>
        </w:rPr>
        <w:t xml:space="preserve"> w </w:t>
      </w:r>
      <w:r w:rsidRPr="00EC250C">
        <w:rPr>
          <w:lang w:eastAsia="en-US"/>
        </w:rPr>
        <w:t>2013</w:t>
      </w:r>
      <w:r w:rsidR="00C91F6E" w:rsidRPr="00EC250C">
        <w:rPr>
          <w:lang w:eastAsia="en-US"/>
        </w:rPr>
        <w:t> r.</w:t>
      </w:r>
      <w:r w:rsidRPr="00EC250C">
        <w:rPr>
          <w:lang w:eastAsia="en-US"/>
        </w:rPr>
        <w:t xml:space="preserve"> trzy tygodnie</w:t>
      </w:r>
      <w:r w:rsidR="00992FD0" w:rsidRPr="00EC250C">
        <w:rPr>
          <w:lang w:eastAsia="en-US"/>
        </w:rPr>
        <w:t xml:space="preserve"> w </w:t>
      </w:r>
      <w:r w:rsidRPr="00EC250C">
        <w:rPr>
          <w:lang w:eastAsia="en-US"/>
        </w:rPr>
        <w:t>Strzeżonym Ośrodku dla Cudzoziemców</w:t>
      </w:r>
      <w:r w:rsidR="00992FD0" w:rsidRPr="00EC250C">
        <w:rPr>
          <w:lang w:eastAsia="en-US"/>
        </w:rPr>
        <w:t xml:space="preserve"> w </w:t>
      </w:r>
      <w:r w:rsidRPr="00EC250C">
        <w:rPr>
          <w:lang w:eastAsia="en-US"/>
        </w:rPr>
        <w:t>Białymstoku, by udokumentować fatalną, jego zdaniem, sytuację umieszczanych tam uchodźców. W efekcie tych działań został prawomocnie skazany na karę grzywny</w:t>
      </w:r>
      <w:r w:rsidR="00992FD0" w:rsidRPr="00EC250C">
        <w:rPr>
          <w:lang w:eastAsia="en-US"/>
        </w:rPr>
        <w:t xml:space="preserve"> w </w:t>
      </w:r>
      <w:r w:rsidRPr="00EC250C">
        <w:rPr>
          <w:lang w:eastAsia="en-US"/>
        </w:rPr>
        <w:t>wysokości 2 tysięcy złotych za fałszowanie dokumentów (które podpisał nie swoim nazwiskiem</w:t>
      </w:r>
      <w:r w:rsidR="00992FD0" w:rsidRPr="00EC250C">
        <w:rPr>
          <w:lang w:eastAsia="en-US"/>
        </w:rPr>
        <w:t xml:space="preserve"> w </w:t>
      </w:r>
      <w:r w:rsidRPr="00EC250C">
        <w:rPr>
          <w:lang w:eastAsia="en-US"/>
        </w:rPr>
        <w:t xml:space="preserve">celu </w:t>
      </w:r>
      <w:r w:rsidRPr="00EC250C">
        <w:rPr>
          <w:lang w:eastAsia="en-US"/>
        </w:rPr>
        <w:lastRenderedPageBreak/>
        <w:t>dostania się do ośrodka)</w:t>
      </w:r>
      <w:r w:rsidR="00992FD0" w:rsidRPr="00EC250C">
        <w:rPr>
          <w:lang w:eastAsia="en-US"/>
        </w:rPr>
        <w:t xml:space="preserve"> i </w:t>
      </w:r>
      <w:r w:rsidRPr="00EC250C">
        <w:rPr>
          <w:lang w:eastAsia="en-US"/>
        </w:rPr>
        <w:t>składanie fałszywych zeznań przed sądem, które zadecydowały</w:t>
      </w:r>
      <w:r w:rsidR="00992FD0" w:rsidRPr="00EC250C">
        <w:rPr>
          <w:lang w:eastAsia="en-US"/>
        </w:rPr>
        <w:t xml:space="preserve"> o </w:t>
      </w:r>
      <w:r w:rsidRPr="00EC250C">
        <w:rPr>
          <w:lang w:eastAsia="en-US"/>
        </w:rPr>
        <w:t>umieszczeniu go</w:t>
      </w:r>
      <w:r w:rsidR="00992FD0" w:rsidRPr="00EC250C">
        <w:rPr>
          <w:lang w:eastAsia="en-US"/>
        </w:rPr>
        <w:t xml:space="preserve"> w </w:t>
      </w:r>
      <w:r w:rsidRPr="00EC250C">
        <w:rPr>
          <w:lang w:eastAsia="en-US"/>
        </w:rPr>
        <w:t>ośrodku.</w:t>
      </w:r>
    </w:p>
    <w:p w14:paraId="65FB4916" w14:textId="77777777" w:rsidR="00C91F6E" w:rsidRPr="00EC250C" w:rsidRDefault="00335AF8" w:rsidP="00D131FA">
      <w:pPr>
        <w:pStyle w:val="Styl1"/>
        <w:rPr>
          <w:lang w:eastAsia="en-US"/>
        </w:rPr>
      </w:pPr>
      <w:r w:rsidRPr="00EC250C">
        <w:rPr>
          <w:lang w:eastAsia="en-US"/>
        </w:rPr>
        <w:t>W opinii sądu materiał przygotowany przez dziennikarza nie wniósł nic nowego do debaty publicznej ani nie zmienił sytuacji</w:t>
      </w:r>
      <w:r w:rsidR="00992FD0" w:rsidRPr="00EC250C">
        <w:rPr>
          <w:lang w:eastAsia="en-US"/>
        </w:rPr>
        <w:t xml:space="preserve"> w </w:t>
      </w:r>
      <w:r w:rsidRPr="00EC250C">
        <w:rPr>
          <w:lang w:eastAsia="en-US"/>
        </w:rPr>
        <w:t>samych ośrodkach. W skardze do Trybunału</w:t>
      </w:r>
      <w:r w:rsidR="00992FD0" w:rsidRPr="00EC250C">
        <w:rPr>
          <w:lang w:eastAsia="en-US"/>
        </w:rPr>
        <w:t xml:space="preserve"> w </w:t>
      </w:r>
      <w:r w:rsidRPr="00EC250C">
        <w:rPr>
          <w:lang w:eastAsia="en-US"/>
        </w:rPr>
        <w:t>Strasburgu dziennikarz podkreślił, że sądy krajowe</w:t>
      </w:r>
      <w:r w:rsidR="00992FD0" w:rsidRPr="00EC250C">
        <w:rPr>
          <w:lang w:eastAsia="en-US"/>
        </w:rPr>
        <w:t xml:space="preserve"> w </w:t>
      </w:r>
      <w:r w:rsidRPr="00EC250C">
        <w:rPr>
          <w:lang w:eastAsia="en-US"/>
        </w:rPr>
        <w:t>sposób niewystarczający dostrzegły interes publiczny, jaki przyświecał dziennikarzowi. Twierdził także, że nie uwzględniły faktu, że działał on zgodnie</w:t>
      </w:r>
      <w:r w:rsidR="00992FD0" w:rsidRPr="00EC250C">
        <w:rPr>
          <w:lang w:eastAsia="en-US"/>
        </w:rPr>
        <w:t xml:space="preserve"> z </w:t>
      </w:r>
      <w:r w:rsidRPr="00EC250C">
        <w:rPr>
          <w:lang w:eastAsia="en-US"/>
        </w:rPr>
        <w:t>zasadami etyki dziennikarskiej.</w:t>
      </w:r>
    </w:p>
    <w:p w14:paraId="742FC487" w14:textId="77777777" w:rsidR="00335AF8" w:rsidRPr="00EC250C" w:rsidRDefault="00335AF8" w:rsidP="00D131FA">
      <w:pPr>
        <w:pStyle w:val="Styl1"/>
        <w:rPr>
          <w:lang w:eastAsia="en-US"/>
        </w:rPr>
      </w:pPr>
      <w:r w:rsidRPr="00EC250C">
        <w:rPr>
          <w:lang w:eastAsia="en-US"/>
        </w:rPr>
        <w:t>W decyzji</w:t>
      </w:r>
      <w:r w:rsidR="00992FD0" w:rsidRPr="00EC250C">
        <w:rPr>
          <w:lang w:eastAsia="en-US"/>
        </w:rPr>
        <w:t xml:space="preserve"> o </w:t>
      </w:r>
      <w:r w:rsidRPr="00EC250C">
        <w:rPr>
          <w:lang w:eastAsia="en-US"/>
        </w:rPr>
        <w:t>niedopuszczalności Trybunał stwierdził, że działania dziennikarza nie miały na celu ujawnienia informacji nieznanych dotąd opinii publicznej, ponieważ, zdaniem Trybunału, wszystkie fakty zaprezentowane</w:t>
      </w:r>
      <w:r w:rsidR="00992FD0" w:rsidRPr="00EC250C">
        <w:rPr>
          <w:lang w:eastAsia="en-US"/>
        </w:rPr>
        <w:t xml:space="preserve"> w </w:t>
      </w:r>
      <w:r w:rsidRPr="00EC250C">
        <w:rPr>
          <w:lang w:eastAsia="en-US"/>
        </w:rPr>
        <w:t>materiale były już wcześniej znane</w:t>
      </w:r>
      <w:r w:rsidR="00992FD0" w:rsidRPr="00EC250C">
        <w:rPr>
          <w:lang w:eastAsia="en-US"/>
        </w:rPr>
        <w:t xml:space="preserve"> i </w:t>
      </w:r>
      <w:r w:rsidRPr="00EC250C">
        <w:rPr>
          <w:lang w:eastAsia="en-US"/>
        </w:rPr>
        <w:t>dyskutowane. Sędziowie ETPC zauważyli również, że skarżący został skazany wyłącznie na karę grzywny,</w:t>
      </w:r>
      <w:r w:rsidR="00992FD0" w:rsidRPr="00EC250C">
        <w:rPr>
          <w:lang w:eastAsia="en-US"/>
        </w:rPr>
        <w:t xml:space="preserve"> a </w:t>
      </w:r>
      <w:r w:rsidRPr="00EC250C">
        <w:rPr>
          <w:lang w:eastAsia="en-US"/>
        </w:rPr>
        <w:t>sąd krajowy nie rozpatrywał sankcji pozbawienia wolności. Kara grzywny została uznana przez Trybunał za proporcjonalną</w:t>
      </w:r>
      <w:r w:rsidR="00992FD0" w:rsidRPr="00EC250C">
        <w:rPr>
          <w:lang w:eastAsia="en-US"/>
        </w:rPr>
        <w:t xml:space="preserve"> i </w:t>
      </w:r>
      <w:r w:rsidRPr="00EC250C">
        <w:rPr>
          <w:lang w:eastAsia="en-US"/>
        </w:rPr>
        <w:t>do pogodzenia ze standardami wolności słowa.</w:t>
      </w:r>
    </w:p>
    <w:p w14:paraId="679372B1" w14:textId="77777777" w:rsidR="00C91F6E" w:rsidRPr="00EC250C" w:rsidRDefault="00335AF8" w:rsidP="00D131FA">
      <w:pPr>
        <w:pStyle w:val="Styl1"/>
        <w:rPr>
          <w:b/>
          <w:lang w:eastAsia="en-US"/>
        </w:rPr>
      </w:pPr>
      <w:r w:rsidRPr="00EC250C">
        <w:rPr>
          <w:b/>
          <w:lang w:eastAsia="en-US"/>
        </w:rPr>
        <w:t>Warto</w:t>
      </w:r>
      <w:r w:rsidR="00992FD0" w:rsidRPr="00EC250C">
        <w:rPr>
          <w:b/>
          <w:lang w:eastAsia="en-US"/>
        </w:rPr>
        <w:t xml:space="preserve"> w </w:t>
      </w:r>
      <w:r w:rsidRPr="00EC250C">
        <w:rPr>
          <w:b/>
          <w:lang w:eastAsia="en-US"/>
        </w:rPr>
        <w:t xml:space="preserve">tym miejscu podkreślić, że </w:t>
      </w:r>
      <w:r w:rsidR="00B04745" w:rsidRPr="00EC250C">
        <w:rPr>
          <w:b/>
          <w:lang w:eastAsia="en-US"/>
        </w:rPr>
        <w:t xml:space="preserve">RPO </w:t>
      </w:r>
      <w:r w:rsidRPr="00EC250C">
        <w:rPr>
          <w:b/>
          <w:lang w:eastAsia="en-US"/>
        </w:rPr>
        <w:t>ma świadomość, że dziennikarstwo wcieleniowe, jako szczególna forma prowokacji dziennikarskiej, jest często jedynym sposobem na zebranie przez dziennikarza informacji dotyczących pewnej zamkniętej grupy osób. Jest to uznana metoda pracy dziennikarza śledczego stosowana powszechnie</w:t>
      </w:r>
      <w:r w:rsidR="00992FD0" w:rsidRPr="00EC250C">
        <w:rPr>
          <w:b/>
          <w:lang w:eastAsia="en-US"/>
        </w:rPr>
        <w:t xml:space="preserve"> w </w:t>
      </w:r>
      <w:r w:rsidRPr="00EC250C">
        <w:rPr>
          <w:b/>
          <w:lang w:eastAsia="en-US"/>
        </w:rPr>
        <w:t>Polsce</w:t>
      </w:r>
      <w:r w:rsidR="00992FD0" w:rsidRPr="00EC250C">
        <w:rPr>
          <w:b/>
          <w:lang w:eastAsia="en-US"/>
        </w:rPr>
        <w:t xml:space="preserve"> i </w:t>
      </w:r>
      <w:r w:rsidRPr="00EC250C">
        <w:rPr>
          <w:b/>
          <w:lang w:eastAsia="en-US"/>
        </w:rPr>
        <w:t>na świecie</w:t>
      </w:r>
      <w:r w:rsidR="00992FD0" w:rsidRPr="00EC250C">
        <w:rPr>
          <w:b/>
          <w:lang w:eastAsia="en-US"/>
        </w:rPr>
        <w:t xml:space="preserve"> i </w:t>
      </w:r>
      <w:r w:rsidRPr="00EC250C">
        <w:rPr>
          <w:b/>
          <w:lang w:eastAsia="en-US"/>
        </w:rPr>
        <w:t>jako taka zasługuje na aprobatę</w:t>
      </w:r>
      <w:r w:rsidR="00992FD0" w:rsidRPr="00EC250C">
        <w:rPr>
          <w:b/>
          <w:lang w:eastAsia="en-US"/>
        </w:rPr>
        <w:t xml:space="preserve"> z </w:t>
      </w:r>
      <w:r w:rsidRPr="00EC250C">
        <w:rPr>
          <w:b/>
          <w:lang w:eastAsia="en-US"/>
        </w:rPr>
        <w:t>punktu widzenia ochrony praw człowieka,</w:t>
      </w:r>
      <w:r w:rsidR="00992FD0" w:rsidRPr="00EC250C">
        <w:rPr>
          <w:b/>
          <w:lang w:eastAsia="en-US"/>
        </w:rPr>
        <w:t xml:space="preserve"> a w </w:t>
      </w:r>
      <w:r w:rsidRPr="00EC250C">
        <w:rPr>
          <w:b/>
          <w:lang w:eastAsia="en-US"/>
        </w:rPr>
        <w:t>szczególności wolności słowa</w:t>
      </w:r>
      <w:r w:rsidR="00992FD0" w:rsidRPr="00EC250C">
        <w:rPr>
          <w:b/>
          <w:lang w:eastAsia="en-US"/>
        </w:rPr>
        <w:t xml:space="preserve"> i </w:t>
      </w:r>
      <w:r w:rsidRPr="00EC250C">
        <w:rPr>
          <w:b/>
          <w:lang w:eastAsia="en-US"/>
        </w:rPr>
        <w:t>prawa do informacji. Metoda ta powinna być jednak stosowana</w:t>
      </w:r>
      <w:r w:rsidR="00992FD0" w:rsidRPr="00EC250C">
        <w:rPr>
          <w:b/>
          <w:lang w:eastAsia="en-US"/>
        </w:rPr>
        <w:t xml:space="preserve"> w </w:t>
      </w:r>
      <w:r w:rsidRPr="00EC250C">
        <w:rPr>
          <w:b/>
          <w:lang w:eastAsia="en-US"/>
        </w:rPr>
        <w:t>sytuacjach wyjątkowych, gdy nie jest możliwe osiągnięcie celu za pomocą innych środków.</w:t>
      </w:r>
    </w:p>
    <w:p w14:paraId="1EA3CFB0" w14:textId="77777777" w:rsidR="00335AF8" w:rsidRPr="00EC250C" w:rsidRDefault="00335AF8" w:rsidP="00EC250C">
      <w:pPr>
        <w:pStyle w:val="Nagwek5"/>
      </w:pPr>
      <w:bookmarkStart w:id="915" w:name="_Toc6258083"/>
      <w:r w:rsidRPr="00EC250C">
        <w:t>16. Wrona v. Polska, 12/12/2017, skarga nr 68561/13</w:t>
      </w:r>
      <w:bookmarkEnd w:id="915"/>
    </w:p>
    <w:p w14:paraId="0D634F2F" w14:textId="77777777" w:rsidR="00B473F5" w:rsidRPr="00EC250C" w:rsidRDefault="00335AF8" w:rsidP="00D131FA">
      <w:pPr>
        <w:pStyle w:val="Problemczowieka"/>
        <w:jc w:val="both"/>
        <w:rPr>
          <w:lang w:eastAsia="en-US"/>
        </w:rPr>
      </w:pPr>
      <w:r w:rsidRPr="00EC250C">
        <w:rPr>
          <w:lang w:eastAsia="en-US"/>
        </w:rPr>
        <w:t>Sprawa</w:t>
      </w:r>
      <w:r w:rsidRPr="00EC250C">
        <w:rPr>
          <w:bCs/>
          <w:i/>
          <w:iCs/>
          <w:lang w:eastAsia="en-US"/>
        </w:rPr>
        <w:t xml:space="preserve"> </w:t>
      </w:r>
      <w:r w:rsidRPr="00EC250C">
        <w:rPr>
          <w:lang w:eastAsia="en-US"/>
        </w:rPr>
        <w:t>dotyczyła zarzutu naruszenia art. 10 Konwencji</w:t>
      </w:r>
      <w:r w:rsidR="00992FD0" w:rsidRPr="00EC250C">
        <w:rPr>
          <w:lang w:eastAsia="en-US"/>
        </w:rPr>
        <w:t xml:space="preserve"> w </w:t>
      </w:r>
      <w:r w:rsidRPr="00EC250C">
        <w:rPr>
          <w:lang w:eastAsia="en-US"/>
        </w:rPr>
        <w:t>związku ze skazaniem skarżącej za zniesławienie</w:t>
      </w:r>
      <w:r w:rsidR="00B473F5" w:rsidRPr="00EC250C">
        <w:rPr>
          <w:lang w:eastAsia="en-US"/>
        </w:rPr>
        <w:t>.</w:t>
      </w:r>
    </w:p>
    <w:p w14:paraId="35E1730D" w14:textId="77777777" w:rsidR="00335AF8" w:rsidRPr="00EC250C" w:rsidRDefault="00335AF8" w:rsidP="00D131FA">
      <w:pPr>
        <w:pStyle w:val="Styl1"/>
        <w:rPr>
          <w:b/>
          <w:lang w:eastAsia="en-US"/>
        </w:rPr>
      </w:pPr>
      <w:r w:rsidRPr="00EC250C">
        <w:rPr>
          <w:lang w:eastAsia="en-US"/>
        </w:rPr>
        <w:t>Skarżąca, działając pod pseudonimem, zarzucała na forum internetowym dyrektorowi Polskiego Związku Wędkarskiego, który zastąpił na tym stanowisku jej ojca, nieetyczne zachowanie, posługiwanie się komunistycznymi metodami zwalczania oponentów,</w:t>
      </w:r>
      <w:r w:rsidR="00992FD0" w:rsidRPr="00EC250C">
        <w:rPr>
          <w:lang w:eastAsia="en-US"/>
        </w:rPr>
        <w:t xml:space="preserve"> a </w:t>
      </w:r>
      <w:r w:rsidRPr="00EC250C">
        <w:rPr>
          <w:lang w:eastAsia="en-US"/>
        </w:rPr>
        <w:t>także współpracę</w:t>
      </w:r>
      <w:r w:rsidR="00992FD0" w:rsidRPr="00EC250C">
        <w:rPr>
          <w:lang w:eastAsia="en-US"/>
        </w:rPr>
        <w:t xml:space="preserve"> z </w:t>
      </w:r>
      <w:r w:rsidRPr="00EC250C">
        <w:rPr>
          <w:lang w:eastAsia="en-US"/>
        </w:rPr>
        <w:t>księgową, która została</w:t>
      </w:r>
      <w:r w:rsidR="00992FD0" w:rsidRPr="00EC250C">
        <w:rPr>
          <w:lang w:eastAsia="en-US"/>
        </w:rPr>
        <w:t xml:space="preserve"> w </w:t>
      </w:r>
      <w:r w:rsidRPr="00EC250C">
        <w:rPr>
          <w:lang w:eastAsia="en-US"/>
        </w:rPr>
        <w:t>sprawie karnej oskarżona</w:t>
      </w:r>
      <w:r w:rsidR="00992FD0" w:rsidRPr="00EC250C">
        <w:rPr>
          <w:lang w:eastAsia="en-US"/>
        </w:rPr>
        <w:t xml:space="preserve"> o </w:t>
      </w:r>
      <w:r w:rsidRPr="00EC250C">
        <w:rPr>
          <w:lang w:eastAsia="en-US"/>
        </w:rPr>
        <w:t>oszustwo finansowe na szkodę Związku. Pokrzywdzony wystąpił</w:t>
      </w:r>
      <w:r w:rsidR="00992FD0" w:rsidRPr="00EC250C">
        <w:rPr>
          <w:lang w:eastAsia="en-US"/>
        </w:rPr>
        <w:t xml:space="preserve"> w </w:t>
      </w:r>
      <w:r w:rsidRPr="00EC250C">
        <w:rPr>
          <w:lang w:eastAsia="en-US"/>
        </w:rPr>
        <w:t>tej sprawie</w:t>
      </w:r>
      <w:r w:rsidR="00992FD0" w:rsidRPr="00EC250C">
        <w:rPr>
          <w:lang w:eastAsia="en-US"/>
        </w:rPr>
        <w:t xml:space="preserve"> z </w:t>
      </w:r>
      <w:r w:rsidRPr="00EC250C">
        <w:rPr>
          <w:lang w:eastAsia="en-US"/>
        </w:rPr>
        <w:t>prywatnym aktem oskarżenia,</w:t>
      </w:r>
      <w:r w:rsidR="00992FD0" w:rsidRPr="00EC250C">
        <w:rPr>
          <w:lang w:eastAsia="en-US"/>
        </w:rPr>
        <w:t xml:space="preserve"> w </w:t>
      </w:r>
      <w:r w:rsidRPr="00EC250C">
        <w:rPr>
          <w:lang w:eastAsia="en-US"/>
        </w:rPr>
        <w:t>rezultacie czego skarżącą uznano za winną popełnienia występku</w:t>
      </w:r>
      <w:r w:rsidR="00992FD0" w:rsidRPr="00EC250C">
        <w:rPr>
          <w:lang w:eastAsia="en-US"/>
        </w:rPr>
        <w:t xml:space="preserve"> i </w:t>
      </w:r>
      <w:r w:rsidRPr="00EC250C">
        <w:rPr>
          <w:lang w:eastAsia="en-US"/>
        </w:rPr>
        <w:t>skazano na karę 2 miesięcy ograniczenia wolności polegającą na obowiązku wykonywania nieodpłatnej, kontrolowanej pracy na cele społeczne, grzywnę</w:t>
      </w:r>
      <w:r w:rsidR="00992FD0" w:rsidRPr="00EC250C">
        <w:rPr>
          <w:lang w:eastAsia="en-US"/>
        </w:rPr>
        <w:t xml:space="preserve"> w </w:t>
      </w:r>
      <w:r w:rsidRPr="00EC250C">
        <w:rPr>
          <w:lang w:eastAsia="en-US"/>
        </w:rPr>
        <w:t>wysokości 1000 zł,</w:t>
      </w:r>
      <w:r w:rsidR="00992FD0" w:rsidRPr="00EC250C">
        <w:rPr>
          <w:lang w:eastAsia="en-US"/>
        </w:rPr>
        <w:t xml:space="preserve"> a </w:t>
      </w:r>
      <w:r w:rsidRPr="00EC250C">
        <w:rPr>
          <w:lang w:eastAsia="en-US"/>
        </w:rPr>
        <w:t>także obowiązek publikacji przeprosin. W ocenie orzekających</w:t>
      </w:r>
      <w:r w:rsidR="00992FD0" w:rsidRPr="00EC250C">
        <w:rPr>
          <w:lang w:eastAsia="en-US"/>
        </w:rPr>
        <w:t xml:space="preserve"> w </w:t>
      </w:r>
      <w:r w:rsidRPr="00EC250C">
        <w:rPr>
          <w:lang w:eastAsia="en-US"/>
        </w:rPr>
        <w:t>sprawie sądów publikowane przez skarżącą treści były bądź nieprawdziwe bądź też zawierały jednoznacznie negatywne osądy</w:t>
      </w:r>
      <w:r w:rsidR="00992FD0" w:rsidRPr="00EC250C">
        <w:rPr>
          <w:lang w:eastAsia="en-US"/>
        </w:rPr>
        <w:t xml:space="preserve"> i </w:t>
      </w:r>
      <w:r w:rsidRPr="00EC250C">
        <w:rPr>
          <w:lang w:eastAsia="en-US"/>
        </w:rPr>
        <w:t xml:space="preserve">zmierzały wyłącznie do podważenia reputacji pokrzywdzonego. </w:t>
      </w:r>
      <w:r w:rsidRPr="00EC250C">
        <w:rPr>
          <w:lang w:eastAsia="en-US"/>
        </w:rPr>
        <w:lastRenderedPageBreak/>
        <w:t>W skardze do Trybunału skarżąca zarzuciła, że rozstrzygnięcie</w:t>
      </w:r>
      <w:r w:rsidR="00992FD0" w:rsidRPr="00EC250C">
        <w:rPr>
          <w:lang w:eastAsia="en-US"/>
        </w:rPr>
        <w:t xml:space="preserve"> w </w:t>
      </w:r>
      <w:r w:rsidRPr="00EC250C">
        <w:rPr>
          <w:lang w:eastAsia="en-US"/>
        </w:rPr>
        <w:t>jej sprawie stanowiło sprzeczne</w:t>
      </w:r>
      <w:r w:rsidR="00992FD0" w:rsidRPr="00EC250C">
        <w:rPr>
          <w:lang w:eastAsia="en-US"/>
        </w:rPr>
        <w:t xml:space="preserve"> z </w:t>
      </w:r>
      <w:r w:rsidRPr="00EC250C">
        <w:rPr>
          <w:lang w:eastAsia="en-US"/>
        </w:rPr>
        <w:t>Konwencją naruszenie swobody wypowiedzi.</w:t>
      </w:r>
    </w:p>
    <w:p w14:paraId="25077D4F" w14:textId="77777777" w:rsidR="00335AF8" w:rsidRPr="00EC250C" w:rsidRDefault="00335AF8" w:rsidP="00D131FA">
      <w:pPr>
        <w:pStyle w:val="Styl1"/>
        <w:rPr>
          <w:lang w:eastAsia="en-US"/>
        </w:rPr>
      </w:pPr>
      <w:r w:rsidRPr="00EC250C">
        <w:rPr>
          <w:lang w:eastAsia="en-US"/>
        </w:rPr>
        <w:t>Trybunał nie podzielił tego stanowiska. Ingerencja</w:t>
      </w:r>
      <w:r w:rsidR="00992FD0" w:rsidRPr="00EC250C">
        <w:rPr>
          <w:lang w:eastAsia="en-US"/>
        </w:rPr>
        <w:t xml:space="preserve"> w </w:t>
      </w:r>
      <w:r w:rsidRPr="00EC250C">
        <w:rPr>
          <w:lang w:eastAsia="en-US"/>
        </w:rPr>
        <w:t>swobodę wypowiedzi skarżącej była bowiem przewidziana prawem</w:t>
      </w:r>
      <w:r w:rsidR="00992FD0" w:rsidRPr="00EC250C">
        <w:rPr>
          <w:lang w:eastAsia="en-US"/>
        </w:rPr>
        <w:t xml:space="preserve"> i </w:t>
      </w:r>
      <w:r w:rsidRPr="00EC250C">
        <w:rPr>
          <w:lang w:eastAsia="en-US"/>
        </w:rPr>
        <w:t>służyła prawnie uzasadnionemu celowi. Skarżąca nie występowała również</w:t>
      </w:r>
      <w:r w:rsidR="00992FD0" w:rsidRPr="00EC250C">
        <w:rPr>
          <w:lang w:eastAsia="en-US"/>
        </w:rPr>
        <w:t xml:space="preserve"> w </w:t>
      </w:r>
      <w:r w:rsidRPr="00EC250C">
        <w:rPr>
          <w:lang w:eastAsia="en-US"/>
        </w:rPr>
        <w:t>interesie publicznym, ale prywatnym, zamieszczając zniesławiające treści na dostępnym wyłącznie dla członków Związku forum internetowym. Wypowiedzi skarżącej nie stanowiły także głosu</w:t>
      </w:r>
      <w:r w:rsidR="00992FD0" w:rsidRPr="00EC250C">
        <w:rPr>
          <w:lang w:eastAsia="en-US"/>
        </w:rPr>
        <w:t xml:space="preserve"> w </w:t>
      </w:r>
      <w:r w:rsidRPr="00EC250C">
        <w:rPr>
          <w:lang w:eastAsia="en-US"/>
        </w:rPr>
        <w:t>debacie publicznej,</w:t>
      </w:r>
      <w:r w:rsidR="00992FD0" w:rsidRPr="00EC250C">
        <w:rPr>
          <w:lang w:eastAsia="en-US"/>
        </w:rPr>
        <w:t xml:space="preserve"> a </w:t>
      </w:r>
      <w:r w:rsidRPr="00EC250C">
        <w:rPr>
          <w:lang w:eastAsia="en-US"/>
        </w:rPr>
        <w:t>służyły wyłącznie próbie ochrony ojca. Tym samym brak było podstaw do stwierdzenia, iż ingerencja</w:t>
      </w:r>
      <w:r w:rsidR="00992FD0" w:rsidRPr="00EC250C">
        <w:rPr>
          <w:lang w:eastAsia="en-US"/>
        </w:rPr>
        <w:t xml:space="preserve"> w </w:t>
      </w:r>
      <w:r w:rsidRPr="00EC250C">
        <w:rPr>
          <w:lang w:eastAsia="en-US"/>
        </w:rPr>
        <w:t>swobodę wypowiedzi skarżącej nie była proporcjonalna bądź konieczna</w:t>
      </w:r>
      <w:r w:rsidR="00992FD0" w:rsidRPr="00EC250C">
        <w:rPr>
          <w:lang w:eastAsia="en-US"/>
        </w:rPr>
        <w:t xml:space="preserve"> w </w:t>
      </w:r>
      <w:r w:rsidRPr="00EC250C">
        <w:rPr>
          <w:lang w:eastAsia="en-US"/>
        </w:rPr>
        <w:t>społeczeństwie demokratycznym.</w:t>
      </w:r>
    </w:p>
    <w:p w14:paraId="2B5F1365" w14:textId="77777777" w:rsidR="00C91F6E" w:rsidRPr="00EC250C" w:rsidRDefault="00335AF8" w:rsidP="00D131FA">
      <w:pPr>
        <w:pStyle w:val="Styl1"/>
        <w:rPr>
          <w:lang w:eastAsia="en-US"/>
        </w:rPr>
      </w:pPr>
      <w:r w:rsidRPr="00EC250C">
        <w:rPr>
          <w:lang w:eastAsia="en-US"/>
        </w:rPr>
        <w:t>Z tych powodów skarga podlegała odrzuceniu jako</w:t>
      </w:r>
      <w:r w:rsidR="00992FD0" w:rsidRPr="00EC250C">
        <w:rPr>
          <w:lang w:eastAsia="en-US"/>
        </w:rPr>
        <w:t xml:space="preserve"> w </w:t>
      </w:r>
      <w:r w:rsidRPr="00EC250C">
        <w:rPr>
          <w:lang w:eastAsia="en-US"/>
        </w:rPr>
        <w:t>sposób oczywisty nieuzasadniona</w:t>
      </w:r>
    </w:p>
    <w:p w14:paraId="7977DF68" w14:textId="77777777" w:rsidR="00335AF8" w:rsidRPr="00EC250C" w:rsidRDefault="00335AF8" w:rsidP="00D131FA">
      <w:pPr>
        <w:pStyle w:val="Styl1"/>
        <w:rPr>
          <w:b/>
          <w:lang w:eastAsia="en-US"/>
        </w:rPr>
      </w:pPr>
      <w:r w:rsidRPr="00EC250C">
        <w:rPr>
          <w:b/>
          <w:lang w:eastAsia="en-US"/>
        </w:rPr>
        <w:t xml:space="preserve">Warto przypomnieć, że </w:t>
      </w:r>
      <w:r w:rsidR="00B04745" w:rsidRPr="00EC250C">
        <w:rPr>
          <w:b/>
          <w:lang w:eastAsia="en-US"/>
        </w:rPr>
        <w:t>RPO</w:t>
      </w:r>
      <w:r w:rsidRPr="00EC250C">
        <w:rPr>
          <w:b/>
          <w:lang w:eastAsia="en-US"/>
        </w:rPr>
        <w:t xml:space="preserve"> od lat postuluje ograniczenie stosowania art. 212 Kodeksu karnego szczególnie</w:t>
      </w:r>
      <w:r w:rsidR="00992FD0" w:rsidRPr="00EC250C">
        <w:rPr>
          <w:b/>
          <w:lang w:eastAsia="en-US"/>
        </w:rPr>
        <w:t xml:space="preserve"> w </w:t>
      </w:r>
      <w:r w:rsidRPr="00EC250C">
        <w:rPr>
          <w:b/>
          <w:lang w:eastAsia="en-US"/>
        </w:rPr>
        <w:t xml:space="preserve">przypadku dziennikarzy na rzecz środków cywilnoprawnych. </w:t>
      </w:r>
      <w:r w:rsidR="00B04745" w:rsidRPr="00EC250C">
        <w:rPr>
          <w:b/>
          <w:lang w:eastAsia="en-US"/>
        </w:rPr>
        <w:t xml:space="preserve">RPO </w:t>
      </w:r>
      <w:r w:rsidRPr="00EC250C">
        <w:rPr>
          <w:b/>
          <w:lang w:eastAsia="en-US"/>
        </w:rPr>
        <w:t>stoi na stanowisku, że utrzymywanie sankcji karnych tego typu może mieć „mrożący skutek” (tzw. ang. chilling effect) dla debaty publicznej</w:t>
      </w:r>
      <w:r w:rsidR="00992FD0" w:rsidRPr="00EC250C">
        <w:rPr>
          <w:b/>
          <w:lang w:eastAsia="en-US"/>
        </w:rPr>
        <w:t xml:space="preserve"> i </w:t>
      </w:r>
      <w:r w:rsidRPr="00EC250C">
        <w:rPr>
          <w:b/>
          <w:lang w:eastAsia="en-US"/>
        </w:rPr>
        <w:t>powstrzymywać dziennikarzy przed wykonywaniem ich funkcji społecznej.</w:t>
      </w:r>
    </w:p>
    <w:p w14:paraId="06C29132" w14:textId="77777777" w:rsidR="00C91F6E" w:rsidRPr="00EC250C" w:rsidRDefault="00335AF8" w:rsidP="00EC250C">
      <w:pPr>
        <w:pStyle w:val="Nagwek5"/>
      </w:pPr>
      <w:bookmarkStart w:id="916" w:name="_Toc6258084"/>
      <w:r w:rsidRPr="00EC250C">
        <w:t>17. Wyroki ETPC dotyczące przewlekłości postępowań sądowych</w:t>
      </w:r>
      <w:bookmarkEnd w:id="916"/>
    </w:p>
    <w:p w14:paraId="7148DABE" w14:textId="77777777" w:rsidR="00C91F6E" w:rsidRPr="00EC250C" w:rsidRDefault="00335AF8" w:rsidP="00D131FA">
      <w:pPr>
        <w:pStyle w:val="Styl1"/>
        <w:rPr>
          <w:lang w:eastAsia="en-US"/>
        </w:rPr>
      </w:pPr>
      <w:r w:rsidRPr="00EC250C">
        <w:rPr>
          <w:lang w:eastAsia="en-US"/>
        </w:rPr>
        <w:t>W dniu 6 września 2018</w:t>
      </w:r>
      <w:r w:rsidR="00C91F6E" w:rsidRPr="00EC250C">
        <w:rPr>
          <w:lang w:eastAsia="en-US"/>
        </w:rPr>
        <w:t> r.</w:t>
      </w:r>
      <w:r w:rsidRPr="00EC250C">
        <w:rPr>
          <w:lang w:eastAsia="en-US"/>
        </w:rPr>
        <w:t xml:space="preserve"> Europejski Trybunał Praw Człowieka opublikował dwie decyzje</w:t>
      </w:r>
      <w:r w:rsidR="00992FD0" w:rsidRPr="00EC250C">
        <w:rPr>
          <w:lang w:eastAsia="en-US"/>
        </w:rPr>
        <w:t xml:space="preserve"> z </w:t>
      </w:r>
      <w:r w:rsidRPr="00EC250C">
        <w:rPr>
          <w:lang w:eastAsia="en-US"/>
        </w:rPr>
        <w:t>dnia 10 lipca 2018</w:t>
      </w:r>
      <w:r w:rsidR="00C91F6E" w:rsidRPr="00EC250C">
        <w:rPr>
          <w:lang w:eastAsia="en-US"/>
        </w:rPr>
        <w:t> r.</w:t>
      </w:r>
      <w:r w:rsidR="00992FD0" w:rsidRPr="00EC250C">
        <w:rPr>
          <w:lang w:eastAsia="en-US"/>
        </w:rPr>
        <w:t xml:space="preserve"> w </w:t>
      </w:r>
      <w:r w:rsidRPr="00EC250C">
        <w:rPr>
          <w:lang w:eastAsia="en-US"/>
        </w:rPr>
        <w:t>sprawie Siwińska przeciwko Polsce oraz Dec przeciwko Polsce.</w:t>
      </w:r>
    </w:p>
    <w:p w14:paraId="12FC91FA" w14:textId="77777777" w:rsidR="00C91F6E" w:rsidRPr="00EC250C" w:rsidRDefault="00335AF8" w:rsidP="00D131FA">
      <w:pPr>
        <w:pStyle w:val="Styl1"/>
        <w:rPr>
          <w:lang w:eastAsia="en-US"/>
        </w:rPr>
      </w:pPr>
      <w:r w:rsidRPr="00EC250C">
        <w:rPr>
          <w:lang w:eastAsia="en-US"/>
        </w:rPr>
        <w:t>Wraz</w:t>
      </w:r>
      <w:r w:rsidR="00992FD0" w:rsidRPr="00EC250C">
        <w:rPr>
          <w:lang w:eastAsia="en-US"/>
        </w:rPr>
        <w:t xml:space="preserve"> z </w:t>
      </w:r>
      <w:r w:rsidRPr="00EC250C">
        <w:rPr>
          <w:lang w:eastAsia="en-US"/>
        </w:rPr>
        <w:t>wydaniem tych orzeczeń Trybunał skreślił 59 skarg innych skarżących skierowanych przeciwko Polsce</w:t>
      </w:r>
      <w:r w:rsidR="00992FD0" w:rsidRPr="00EC250C">
        <w:rPr>
          <w:lang w:eastAsia="en-US"/>
        </w:rPr>
        <w:t xml:space="preserve"> z </w:t>
      </w:r>
      <w:r w:rsidRPr="00EC250C">
        <w:rPr>
          <w:lang w:eastAsia="en-US"/>
        </w:rPr>
        <w:t>listy prowadzonych spraw. Wszystkie wymienione</w:t>
      </w:r>
      <w:r w:rsidR="00992FD0" w:rsidRPr="00EC250C">
        <w:rPr>
          <w:lang w:eastAsia="en-US"/>
        </w:rPr>
        <w:t xml:space="preserve"> w </w:t>
      </w:r>
      <w:r w:rsidRPr="00EC250C">
        <w:rPr>
          <w:lang w:eastAsia="en-US"/>
        </w:rPr>
        <w:t>tych decyzjach sprawy zostały zakomunikowane Rządowi RP</w:t>
      </w:r>
      <w:r w:rsidR="00992FD0" w:rsidRPr="00EC250C">
        <w:rPr>
          <w:lang w:eastAsia="en-US"/>
        </w:rPr>
        <w:t xml:space="preserve"> w </w:t>
      </w:r>
      <w:r w:rsidRPr="00EC250C">
        <w:rPr>
          <w:lang w:eastAsia="en-US"/>
        </w:rPr>
        <w:t>wyroku pilotażowym Europejskiego Trybunału Praw Człowieka</w:t>
      </w:r>
      <w:r w:rsidR="00992FD0" w:rsidRPr="00EC250C">
        <w:rPr>
          <w:lang w:eastAsia="en-US"/>
        </w:rPr>
        <w:t xml:space="preserve"> z </w:t>
      </w:r>
      <w:r w:rsidRPr="00EC250C">
        <w:rPr>
          <w:lang w:eastAsia="en-US"/>
        </w:rPr>
        <w:t>dnia 7 lipca 2015</w:t>
      </w:r>
      <w:r w:rsidR="00C91F6E" w:rsidRPr="00EC250C">
        <w:rPr>
          <w:lang w:eastAsia="en-US"/>
        </w:rPr>
        <w:t> r.</w:t>
      </w:r>
      <w:r w:rsidR="00992FD0" w:rsidRPr="00EC250C">
        <w:rPr>
          <w:lang w:eastAsia="en-US"/>
        </w:rPr>
        <w:t xml:space="preserve"> w </w:t>
      </w:r>
      <w:r w:rsidRPr="00EC250C">
        <w:rPr>
          <w:lang w:eastAsia="en-US"/>
        </w:rPr>
        <w:t xml:space="preserve">sprawie </w:t>
      </w:r>
      <w:bookmarkStart w:id="917" w:name="_Hlk536091309"/>
      <w:r w:rsidRPr="00EC250C">
        <w:rPr>
          <w:lang w:eastAsia="en-US"/>
        </w:rPr>
        <w:t>Rutkowski</w:t>
      </w:r>
      <w:r w:rsidR="00992FD0" w:rsidRPr="00EC250C">
        <w:rPr>
          <w:lang w:eastAsia="en-US"/>
        </w:rPr>
        <w:t xml:space="preserve"> i </w:t>
      </w:r>
      <w:r w:rsidRPr="00EC250C">
        <w:rPr>
          <w:lang w:eastAsia="en-US"/>
        </w:rPr>
        <w:t xml:space="preserve">inni przeciwko Polsce </w:t>
      </w:r>
      <w:bookmarkEnd w:id="917"/>
      <w:r w:rsidRPr="00EC250C">
        <w:rPr>
          <w:lang w:eastAsia="en-US"/>
        </w:rPr>
        <w:t>(skargi nr 72287/10, 13927/11, 46187/11).</w:t>
      </w:r>
    </w:p>
    <w:p w14:paraId="7E78ED79" w14:textId="77777777" w:rsidR="00335AF8" w:rsidRPr="00EC250C" w:rsidRDefault="00335AF8" w:rsidP="00D131FA">
      <w:pPr>
        <w:pStyle w:val="Styl1"/>
        <w:rPr>
          <w:lang w:eastAsia="en-US"/>
        </w:rPr>
      </w:pPr>
      <w:r w:rsidRPr="00EC250C">
        <w:rPr>
          <w:lang w:eastAsia="en-US"/>
        </w:rPr>
        <w:t>Trybunał zidentyfikował wówczas istotne problemy strukturalne dotyczące polskiego wymiaru sprawiedliwości. W orzeczeniu Rutkowski</w:t>
      </w:r>
      <w:r w:rsidR="00992FD0" w:rsidRPr="00EC250C">
        <w:rPr>
          <w:lang w:eastAsia="en-US"/>
        </w:rPr>
        <w:t xml:space="preserve"> i </w:t>
      </w:r>
      <w:r w:rsidRPr="00EC250C">
        <w:rPr>
          <w:lang w:eastAsia="en-US"/>
        </w:rPr>
        <w:t>inni przeciwko Polsce Trybunał zwrócił uwagę na nadmierną przewlekłość postępowań sądowych,</w:t>
      </w:r>
      <w:r w:rsidR="00992FD0" w:rsidRPr="00EC250C">
        <w:rPr>
          <w:lang w:eastAsia="en-US"/>
        </w:rPr>
        <w:t xml:space="preserve"> a </w:t>
      </w:r>
      <w:r w:rsidRPr="00EC250C">
        <w:rPr>
          <w:lang w:eastAsia="en-US"/>
        </w:rPr>
        <w:t>także wskazał istotne wady</w:t>
      </w:r>
      <w:r w:rsidR="00992FD0" w:rsidRPr="00EC250C">
        <w:rPr>
          <w:lang w:eastAsia="en-US"/>
        </w:rPr>
        <w:t xml:space="preserve"> w </w:t>
      </w:r>
      <w:r w:rsidRPr="00EC250C">
        <w:rPr>
          <w:lang w:eastAsia="en-US"/>
        </w:rPr>
        <w:t>funkcjonowaniu instytucji skargi na naruszenie prawa strony do rozpoznania sprawy</w:t>
      </w:r>
      <w:r w:rsidR="00992FD0" w:rsidRPr="00EC250C">
        <w:rPr>
          <w:lang w:eastAsia="en-US"/>
        </w:rPr>
        <w:t xml:space="preserve"> w </w:t>
      </w:r>
      <w:r w:rsidRPr="00EC250C">
        <w:rPr>
          <w:lang w:eastAsia="en-US"/>
        </w:rPr>
        <w:t>postępowaniu przygotowawczym prowadzonym lub nadzorowanym przez prokuratora</w:t>
      </w:r>
      <w:r w:rsidR="00992FD0" w:rsidRPr="00EC250C">
        <w:rPr>
          <w:lang w:eastAsia="en-US"/>
        </w:rPr>
        <w:t xml:space="preserve"> i </w:t>
      </w:r>
      <w:r w:rsidRPr="00EC250C">
        <w:rPr>
          <w:lang w:eastAsia="en-US"/>
        </w:rPr>
        <w:t>postępowaniu sądowym bez nieuzasadnionej zwłoki.</w:t>
      </w:r>
    </w:p>
    <w:p w14:paraId="003B2A01" w14:textId="77777777" w:rsidR="00335AF8" w:rsidRPr="00EC250C" w:rsidRDefault="00335AF8" w:rsidP="00D131FA">
      <w:pPr>
        <w:pStyle w:val="Styl1"/>
        <w:rPr>
          <w:lang w:eastAsia="en-US"/>
        </w:rPr>
      </w:pPr>
      <w:r w:rsidRPr="00EC250C">
        <w:rPr>
          <w:lang w:eastAsia="en-US"/>
        </w:rPr>
        <w:t>Pierwszy ze zdefiniowanych problemów dotyczył tego, że przy ocenie przez sądy krajowe, czy postępowanie nie toczy się przewlekle, sądy ograniczały się tylko do etapu postępowania,</w:t>
      </w:r>
      <w:r w:rsidR="00992FD0" w:rsidRPr="00EC250C">
        <w:rPr>
          <w:lang w:eastAsia="en-US"/>
        </w:rPr>
        <w:t xml:space="preserve"> w </w:t>
      </w:r>
      <w:r w:rsidRPr="00EC250C">
        <w:rPr>
          <w:lang w:eastAsia="en-US"/>
        </w:rPr>
        <w:t>którym strona złożyła skargę,</w:t>
      </w:r>
      <w:r w:rsidR="00992FD0" w:rsidRPr="00EC250C">
        <w:rPr>
          <w:lang w:eastAsia="en-US"/>
        </w:rPr>
        <w:t xml:space="preserve"> a </w:t>
      </w:r>
      <w:r w:rsidRPr="00EC250C">
        <w:rPr>
          <w:lang w:eastAsia="en-US"/>
        </w:rPr>
        <w:t>także nie brały pod uwagę okresu sprzed wejścia</w:t>
      </w:r>
      <w:r w:rsidR="00992FD0" w:rsidRPr="00EC250C">
        <w:rPr>
          <w:lang w:eastAsia="en-US"/>
        </w:rPr>
        <w:t xml:space="preserve"> w </w:t>
      </w:r>
      <w:r w:rsidRPr="00EC250C">
        <w:rPr>
          <w:lang w:eastAsia="en-US"/>
        </w:rPr>
        <w:t>życie ustawy. Drugi problem dotyczył przyznawania,</w:t>
      </w:r>
      <w:r w:rsidR="00992FD0" w:rsidRPr="00EC250C">
        <w:rPr>
          <w:lang w:eastAsia="en-US"/>
        </w:rPr>
        <w:t xml:space="preserve"> w </w:t>
      </w:r>
      <w:r w:rsidRPr="00EC250C">
        <w:rPr>
          <w:lang w:eastAsia="en-US"/>
        </w:rPr>
        <w:t>przypadku stwierdzenia przewlekłości postępowania przez sądy krajowe, zbyt niskich sum pieniężnych</w:t>
      </w:r>
      <w:r w:rsidR="00992FD0" w:rsidRPr="00EC250C">
        <w:rPr>
          <w:lang w:eastAsia="en-US"/>
        </w:rPr>
        <w:t xml:space="preserve"> z </w:t>
      </w:r>
      <w:r w:rsidRPr="00EC250C">
        <w:rPr>
          <w:lang w:eastAsia="en-US"/>
        </w:rPr>
        <w:t xml:space="preserve">tego tytułu, nieuwzględniających </w:t>
      </w:r>
      <w:r w:rsidRPr="00EC250C">
        <w:rPr>
          <w:lang w:eastAsia="en-US"/>
        </w:rPr>
        <w:lastRenderedPageBreak/>
        <w:t>wypracowanych</w:t>
      </w:r>
      <w:r w:rsidR="00992FD0" w:rsidRPr="00EC250C">
        <w:rPr>
          <w:lang w:eastAsia="en-US"/>
        </w:rPr>
        <w:t xml:space="preserve"> w </w:t>
      </w:r>
      <w:r w:rsidRPr="00EC250C">
        <w:rPr>
          <w:lang w:eastAsia="en-US"/>
        </w:rPr>
        <w:t xml:space="preserve">tym zakresie standardów ETPCz. </w:t>
      </w:r>
      <w:bookmarkStart w:id="918" w:name="_Hlk536091365"/>
      <w:r w:rsidRPr="00EC250C">
        <w:rPr>
          <w:lang w:eastAsia="en-US"/>
        </w:rPr>
        <w:t xml:space="preserve">Trybunał </w:t>
      </w:r>
      <w:bookmarkEnd w:id="918"/>
      <w:r w:rsidRPr="00EC250C">
        <w:rPr>
          <w:lang w:eastAsia="en-US"/>
        </w:rPr>
        <w:t>stwierdził także, że naruszenie zarzucanych przepisów Konwencji wynika</w:t>
      </w:r>
      <w:r w:rsidR="00992FD0" w:rsidRPr="00EC250C">
        <w:rPr>
          <w:lang w:eastAsia="en-US"/>
        </w:rPr>
        <w:t xml:space="preserve"> z </w:t>
      </w:r>
      <w:r w:rsidRPr="00EC250C">
        <w:rPr>
          <w:lang w:eastAsia="en-US"/>
        </w:rPr>
        <w:t>niewłaściwej praktyki organów krajowych.</w:t>
      </w:r>
    </w:p>
    <w:p w14:paraId="78C72354" w14:textId="77777777" w:rsidR="00C91F6E" w:rsidRPr="00EC250C" w:rsidRDefault="00335AF8" w:rsidP="00D131FA">
      <w:pPr>
        <w:pStyle w:val="Styl1"/>
        <w:rPr>
          <w:lang w:eastAsia="en-US"/>
        </w:rPr>
      </w:pPr>
      <w:r w:rsidRPr="00EC250C">
        <w:rPr>
          <w:lang w:eastAsia="en-US"/>
        </w:rPr>
        <w:t>W sentencji tego orzeczenia Trybunał stwierdził, iż Polska „musi […] zagwarantować stosowanie przez sądy krajowe odpowiednich zasad, które zostały określone</w:t>
      </w:r>
      <w:r w:rsidR="00992FD0" w:rsidRPr="00EC250C">
        <w:rPr>
          <w:lang w:eastAsia="en-US"/>
        </w:rPr>
        <w:t xml:space="preserve"> w </w:t>
      </w:r>
      <w:r w:rsidRPr="00EC250C">
        <w:rPr>
          <w:lang w:eastAsia="en-US"/>
        </w:rPr>
        <w:t>art. 6 oraz art. 13 Konwencji”. Jednocześnie zdecydował się zawiadomić polskie władze</w:t>
      </w:r>
      <w:r w:rsidR="00992FD0" w:rsidRPr="00EC250C">
        <w:rPr>
          <w:lang w:eastAsia="en-US"/>
        </w:rPr>
        <w:t xml:space="preserve"> o </w:t>
      </w:r>
      <w:r w:rsidRPr="00EC250C">
        <w:rPr>
          <w:lang w:eastAsia="en-US"/>
        </w:rPr>
        <w:t>591 skargach,</w:t>
      </w:r>
      <w:r w:rsidR="00992FD0" w:rsidRPr="00EC250C">
        <w:rPr>
          <w:lang w:eastAsia="en-US"/>
        </w:rPr>
        <w:t xml:space="preserve"> w </w:t>
      </w:r>
      <w:r w:rsidRPr="00EC250C">
        <w:rPr>
          <w:lang w:eastAsia="en-US"/>
        </w:rPr>
        <w:t>których podniesiono zarzuty naruszenia tych dwóch przepisów konwencyjnych</w:t>
      </w:r>
      <w:r w:rsidR="00992FD0" w:rsidRPr="00EC250C">
        <w:rPr>
          <w:lang w:eastAsia="en-US"/>
        </w:rPr>
        <w:t xml:space="preserve"> i </w:t>
      </w:r>
      <w:r w:rsidRPr="00EC250C">
        <w:rPr>
          <w:lang w:eastAsia="en-US"/>
        </w:rPr>
        <w:t>zawiesić procedurę skargową</w:t>
      </w:r>
      <w:r w:rsidR="00992FD0" w:rsidRPr="00EC250C">
        <w:rPr>
          <w:lang w:eastAsia="en-US"/>
        </w:rPr>
        <w:t xml:space="preserve"> w </w:t>
      </w:r>
      <w:r w:rsidRPr="00EC250C">
        <w:rPr>
          <w:lang w:eastAsia="en-US"/>
        </w:rPr>
        <w:t>zakomunikowanych sprawach na okres 2 lat, liczony od daty uprawomocnienia się wyroku.</w:t>
      </w:r>
    </w:p>
    <w:p w14:paraId="0AA34BDA" w14:textId="77777777" w:rsidR="00C91F6E" w:rsidRPr="00EC250C" w:rsidRDefault="00335AF8" w:rsidP="00D131FA">
      <w:pPr>
        <w:pStyle w:val="Styl1"/>
        <w:rPr>
          <w:lang w:eastAsia="en-US"/>
        </w:rPr>
      </w:pPr>
      <w:r w:rsidRPr="00EC250C">
        <w:rPr>
          <w:lang w:eastAsia="en-US"/>
        </w:rPr>
        <w:t>Trybunał dokonał oceny dotyczącej wdrożenia przez polskie władze środków generalnych, które powinny zapobiec pojawieniu się</w:t>
      </w:r>
      <w:r w:rsidR="00992FD0" w:rsidRPr="00EC250C">
        <w:rPr>
          <w:lang w:eastAsia="en-US"/>
        </w:rPr>
        <w:t xml:space="preserve"> w </w:t>
      </w:r>
      <w:r w:rsidRPr="00EC250C">
        <w:rPr>
          <w:lang w:eastAsia="en-US"/>
        </w:rPr>
        <w:t>przyszłości zidentyfikowanych naruszeń Konwencji</w:t>
      </w:r>
      <w:r w:rsidR="00992FD0" w:rsidRPr="00EC250C">
        <w:rPr>
          <w:lang w:eastAsia="en-US"/>
        </w:rPr>
        <w:t xml:space="preserve"> i </w:t>
      </w:r>
      <w:r w:rsidRPr="00EC250C">
        <w:rPr>
          <w:lang w:eastAsia="en-US"/>
        </w:rPr>
        <w:t>stwierdził, że władze polskie</w:t>
      </w:r>
      <w:r w:rsidR="00992FD0" w:rsidRPr="00EC250C">
        <w:rPr>
          <w:lang w:eastAsia="en-US"/>
        </w:rPr>
        <w:t xml:space="preserve"> w </w:t>
      </w:r>
      <w:r w:rsidRPr="00EC250C">
        <w:rPr>
          <w:lang w:eastAsia="en-US"/>
        </w:rPr>
        <w:t>sposób dynamiczny</w:t>
      </w:r>
      <w:r w:rsidR="00992FD0" w:rsidRPr="00EC250C">
        <w:rPr>
          <w:lang w:eastAsia="en-US"/>
        </w:rPr>
        <w:t xml:space="preserve"> i </w:t>
      </w:r>
      <w:r w:rsidRPr="00EC250C">
        <w:rPr>
          <w:lang w:eastAsia="en-US"/>
        </w:rPr>
        <w:t>rzetelny przystąpiły do wprowadzania odpowiednich zmian prawnych służących zmianie ustawodawstwa</w:t>
      </w:r>
      <w:r w:rsidR="00992FD0" w:rsidRPr="00EC250C">
        <w:rPr>
          <w:lang w:eastAsia="en-US"/>
        </w:rPr>
        <w:t xml:space="preserve"> i </w:t>
      </w:r>
      <w:r w:rsidRPr="00EC250C">
        <w:rPr>
          <w:lang w:eastAsia="en-US"/>
        </w:rPr>
        <w:t>niewłaściwej praktyki orzeczniczej sądów. Trybunał zwrócił przy tym szczególną uwagę na przyjęte</w:t>
      </w:r>
      <w:r w:rsidR="00992FD0" w:rsidRPr="00EC250C">
        <w:rPr>
          <w:lang w:eastAsia="en-US"/>
        </w:rPr>
        <w:t xml:space="preserve"> w </w:t>
      </w:r>
      <w:r w:rsidRPr="00EC250C">
        <w:rPr>
          <w:lang w:eastAsia="en-US"/>
        </w:rPr>
        <w:t>2016</w:t>
      </w:r>
      <w:r w:rsidR="00C91F6E" w:rsidRPr="00EC250C">
        <w:rPr>
          <w:lang w:eastAsia="en-US"/>
        </w:rPr>
        <w:t> r.</w:t>
      </w:r>
      <w:r w:rsidRPr="00EC250C">
        <w:rPr>
          <w:lang w:eastAsia="en-US"/>
        </w:rPr>
        <w:t xml:space="preserve"> przez polski parlament zmiany</w:t>
      </w:r>
      <w:r w:rsidR="00992FD0" w:rsidRPr="00EC250C">
        <w:rPr>
          <w:lang w:eastAsia="en-US"/>
        </w:rPr>
        <w:t xml:space="preserve"> w </w:t>
      </w:r>
      <w:r w:rsidRPr="00EC250C">
        <w:rPr>
          <w:lang w:eastAsia="en-US"/>
        </w:rPr>
        <w:t>ustawie</w:t>
      </w:r>
      <w:r w:rsidRPr="00EC250C">
        <w:rPr>
          <w:vertAlign w:val="superscript"/>
          <w:lang w:eastAsia="en-US"/>
        </w:rPr>
        <w:footnoteReference w:id="863"/>
      </w:r>
      <w:r w:rsidRPr="00EC250C">
        <w:rPr>
          <w:lang w:eastAsia="en-US"/>
        </w:rPr>
        <w:t xml:space="preserve"> regulującej sposób funkcjonowania „skargi na przewlekłość”, dzięki którym można mieć nadzieję, iż wyeliminowany zostanie problem „fragmentacji” postępowań, zaś wysokość przyznawanych rekompensat będzie odpowiadająca wymogom stawianym przez ETPCz.</w:t>
      </w:r>
    </w:p>
    <w:p w14:paraId="35A18F23" w14:textId="77777777" w:rsidR="00335AF8" w:rsidRPr="00EC250C" w:rsidRDefault="00335AF8" w:rsidP="00EC250C">
      <w:pPr>
        <w:pStyle w:val="Nagwek5"/>
      </w:pPr>
      <w:bookmarkStart w:id="919" w:name="_Toc6258085"/>
      <w:r w:rsidRPr="00EC250C">
        <w:t>18. Olejniczak v. Polska, 06/02/2018, skarga nr 76980/12</w:t>
      </w:r>
      <w:bookmarkEnd w:id="919"/>
    </w:p>
    <w:p w14:paraId="11FCFA40" w14:textId="77777777" w:rsidR="00B473F5" w:rsidRPr="00EC250C" w:rsidRDefault="00335AF8" w:rsidP="00D131FA">
      <w:pPr>
        <w:pStyle w:val="Problemczowieka"/>
        <w:jc w:val="both"/>
        <w:rPr>
          <w:lang w:eastAsia="en-US"/>
        </w:rPr>
      </w:pPr>
      <w:bookmarkStart w:id="920" w:name="_Hlk536088586"/>
      <w:r w:rsidRPr="00EC250C">
        <w:rPr>
          <w:lang w:eastAsia="en-US"/>
        </w:rPr>
        <w:t xml:space="preserve">Sprawa </w:t>
      </w:r>
      <w:bookmarkEnd w:id="920"/>
      <w:r w:rsidRPr="00EC250C">
        <w:rPr>
          <w:lang w:eastAsia="en-US"/>
        </w:rPr>
        <w:t>dotyczyła zarzutu naruszenia art. 6, 13</w:t>
      </w:r>
      <w:r w:rsidR="00992FD0" w:rsidRPr="00EC250C">
        <w:rPr>
          <w:lang w:eastAsia="en-US"/>
        </w:rPr>
        <w:t xml:space="preserve"> i </w:t>
      </w:r>
      <w:r w:rsidRPr="00EC250C">
        <w:rPr>
          <w:lang w:eastAsia="en-US"/>
        </w:rPr>
        <w:t>14 Konwencji</w:t>
      </w:r>
      <w:r w:rsidR="00992FD0" w:rsidRPr="00EC250C">
        <w:rPr>
          <w:lang w:eastAsia="en-US"/>
        </w:rPr>
        <w:t xml:space="preserve"> w </w:t>
      </w:r>
      <w:r w:rsidRPr="00EC250C">
        <w:rPr>
          <w:lang w:eastAsia="en-US"/>
        </w:rPr>
        <w:t>związku</w:t>
      </w:r>
      <w:r w:rsidR="00992FD0" w:rsidRPr="00EC250C">
        <w:rPr>
          <w:lang w:eastAsia="en-US"/>
        </w:rPr>
        <w:t xml:space="preserve"> z </w:t>
      </w:r>
      <w:r w:rsidRPr="00EC250C">
        <w:rPr>
          <w:lang w:eastAsia="en-US"/>
        </w:rPr>
        <w:t>brakiem dostępu do skutecznego środka prawnego</w:t>
      </w:r>
      <w:r w:rsidR="00992FD0" w:rsidRPr="00EC250C">
        <w:rPr>
          <w:lang w:eastAsia="en-US"/>
        </w:rPr>
        <w:t xml:space="preserve"> w </w:t>
      </w:r>
      <w:r w:rsidRPr="00EC250C">
        <w:rPr>
          <w:lang w:eastAsia="en-US"/>
        </w:rPr>
        <w:t>celu odwołania się od decyzji komisji egzaminacyjnej odnośnie niezdanego egzaminu radcowskiego</w:t>
      </w:r>
      <w:r w:rsidR="00B473F5" w:rsidRPr="00EC250C">
        <w:rPr>
          <w:lang w:eastAsia="en-US"/>
        </w:rPr>
        <w:t>.</w:t>
      </w:r>
    </w:p>
    <w:p w14:paraId="31191622" w14:textId="77777777" w:rsidR="00335AF8" w:rsidRPr="00EC250C" w:rsidRDefault="00335AF8" w:rsidP="00D131FA">
      <w:pPr>
        <w:pStyle w:val="Styl1"/>
        <w:rPr>
          <w:lang w:eastAsia="en-US"/>
        </w:rPr>
      </w:pPr>
      <w:r w:rsidRPr="00EC250C">
        <w:rPr>
          <w:lang w:eastAsia="en-US"/>
        </w:rPr>
        <w:t>Skarżący przystąpił do egzaminu radcowskiego zorganizowanego zgodnie</w:t>
      </w:r>
      <w:r w:rsidR="00992FD0" w:rsidRPr="00EC250C">
        <w:rPr>
          <w:lang w:eastAsia="en-US"/>
        </w:rPr>
        <w:t xml:space="preserve"> z </w:t>
      </w:r>
      <w:r w:rsidRPr="00EC250C">
        <w:rPr>
          <w:lang w:eastAsia="en-US"/>
        </w:rPr>
        <w:t>ustawą</w:t>
      </w:r>
      <w:r w:rsidR="00992FD0" w:rsidRPr="00EC250C">
        <w:rPr>
          <w:lang w:eastAsia="en-US"/>
        </w:rPr>
        <w:t xml:space="preserve"> o </w:t>
      </w:r>
      <w:r w:rsidRPr="00EC250C">
        <w:rPr>
          <w:lang w:eastAsia="en-US"/>
        </w:rPr>
        <w:t>radcach prawnych, jednak egzaminu nie zdał. Fakt ten został stwierdzony</w:t>
      </w:r>
      <w:r w:rsidR="00992FD0" w:rsidRPr="00EC250C">
        <w:rPr>
          <w:lang w:eastAsia="en-US"/>
        </w:rPr>
        <w:t xml:space="preserve"> w </w:t>
      </w:r>
      <w:r w:rsidRPr="00EC250C">
        <w:rPr>
          <w:lang w:eastAsia="en-US"/>
        </w:rPr>
        <w:t>drodze uchwały komisji egzaminacyjnej. Skarżący odwołał się od uchwały komisji do Ministra Sprawiedliwości podnosząc, że ta błędnie oceniła jego wyniki,</w:t>
      </w:r>
      <w:r w:rsidR="00992FD0" w:rsidRPr="00EC250C">
        <w:rPr>
          <w:lang w:eastAsia="en-US"/>
        </w:rPr>
        <w:t xml:space="preserve"> a w </w:t>
      </w:r>
      <w:r w:rsidRPr="00EC250C">
        <w:rPr>
          <w:lang w:eastAsia="en-US"/>
        </w:rPr>
        <w:t>konsekwencji także predyspozycje do wykonywania zawodu. Trzykrotnie przeprowadzano postępowanie</w:t>
      </w:r>
      <w:r w:rsidR="00992FD0" w:rsidRPr="00EC250C">
        <w:rPr>
          <w:lang w:eastAsia="en-US"/>
        </w:rPr>
        <w:t xml:space="preserve"> w </w:t>
      </w:r>
      <w:r w:rsidRPr="00EC250C">
        <w:rPr>
          <w:lang w:eastAsia="en-US"/>
        </w:rPr>
        <w:t>związku</w:t>
      </w:r>
      <w:r w:rsidR="00992FD0" w:rsidRPr="00EC250C">
        <w:rPr>
          <w:lang w:eastAsia="en-US"/>
        </w:rPr>
        <w:t xml:space="preserve"> z </w:t>
      </w:r>
      <w:r w:rsidRPr="00EC250C">
        <w:rPr>
          <w:lang w:eastAsia="en-US"/>
        </w:rPr>
        <w:t>powyższym odwołaniem, ostatecznie Naczelny Sąd Administracyjny oddalił skargę kasacyjną skarżącego. Sądy administracyjne dokonały oceny legalności działań</w:t>
      </w:r>
      <w:r w:rsidR="00992FD0" w:rsidRPr="00EC250C">
        <w:rPr>
          <w:lang w:eastAsia="en-US"/>
        </w:rPr>
        <w:t xml:space="preserve"> w </w:t>
      </w:r>
      <w:r w:rsidRPr="00EC250C">
        <w:rPr>
          <w:lang w:eastAsia="en-US"/>
        </w:rPr>
        <w:t>tej sprawie, nie oceniły natomiast merytorycznej przydatności skarżącego do zawodu.</w:t>
      </w:r>
    </w:p>
    <w:p w14:paraId="2A72E8A0" w14:textId="77777777" w:rsidR="00335AF8" w:rsidRPr="00EC250C" w:rsidRDefault="00335AF8" w:rsidP="00D131FA">
      <w:pPr>
        <w:pStyle w:val="Styl1"/>
        <w:rPr>
          <w:lang w:eastAsia="en-US"/>
        </w:rPr>
      </w:pPr>
      <w:r w:rsidRPr="00EC250C">
        <w:rPr>
          <w:lang w:eastAsia="en-US"/>
        </w:rPr>
        <w:t>Trybunał odniósł się do utrwalonego orzecznictwa dotyczącego postępowania</w:t>
      </w:r>
      <w:r w:rsidR="00992FD0" w:rsidRPr="00EC250C">
        <w:rPr>
          <w:lang w:eastAsia="en-US"/>
        </w:rPr>
        <w:t xml:space="preserve"> w </w:t>
      </w:r>
      <w:r w:rsidRPr="00EC250C">
        <w:rPr>
          <w:lang w:eastAsia="en-US"/>
        </w:rPr>
        <w:t>sprawie przyjęcia do wolnego zawodu</w:t>
      </w:r>
      <w:r w:rsidR="00992FD0" w:rsidRPr="00EC250C">
        <w:rPr>
          <w:lang w:eastAsia="en-US"/>
        </w:rPr>
        <w:t xml:space="preserve"> i </w:t>
      </w:r>
      <w:r w:rsidRPr="00EC250C">
        <w:rPr>
          <w:lang w:eastAsia="en-US"/>
        </w:rPr>
        <w:t>uznał, że tego rodzaju ocena jest „zbliżona do egzaminu szkolnego lub uniwersyteckiego</w:t>
      </w:r>
      <w:r w:rsidR="00992FD0" w:rsidRPr="00EC250C">
        <w:rPr>
          <w:lang w:eastAsia="en-US"/>
        </w:rPr>
        <w:t xml:space="preserve"> i </w:t>
      </w:r>
      <w:r w:rsidRPr="00EC250C">
        <w:rPr>
          <w:lang w:eastAsia="en-US"/>
        </w:rPr>
        <w:t>tak dalece oderwana od wykonywania normalnej funkcji sądowej, że wynikające</w:t>
      </w:r>
      <w:r w:rsidR="00992FD0" w:rsidRPr="00EC250C">
        <w:rPr>
          <w:lang w:eastAsia="en-US"/>
        </w:rPr>
        <w:t xml:space="preserve"> z </w:t>
      </w:r>
      <w:r w:rsidRPr="00EC250C">
        <w:rPr>
          <w:lang w:eastAsia="en-US"/>
        </w:rPr>
        <w:t>niej spory nie są objęte ochroną zapewnioną</w:t>
      </w:r>
      <w:r w:rsidR="00992FD0" w:rsidRPr="00EC250C">
        <w:rPr>
          <w:lang w:eastAsia="en-US"/>
        </w:rPr>
        <w:t xml:space="preserve"> w </w:t>
      </w:r>
      <w:r w:rsidRPr="00EC250C">
        <w:rPr>
          <w:lang w:eastAsia="en-US"/>
        </w:rPr>
        <w:t xml:space="preserve">art. 6” (zob. </w:t>
      </w:r>
      <w:r w:rsidRPr="00EC250C">
        <w:rPr>
          <w:i/>
          <w:iCs/>
          <w:lang w:eastAsia="en-US"/>
        </w:rPr>
        <w:t>Van Marle</w:t>
      </w:r>
      <w:r w:rsidR="00992FD0" w:rsidRPr="00EC250C">
        <w:rPr>
          <w:i/>
          <w:iCs/>
          <w:lang w:eastAsia="en-US"/>
        </w:rPr>
        <w:t xml:space="preserve"> i </w:t>
      </w:r>
      <w:r w:rsidRPr="00EC250C">
        <w:rPr>
          <w:i/>
          <w:iCs/>
          <w:lang w:eastAsia="en-US"/>
        </w:rPr>
        <w:t xml:space="preserve">inni przeciwko </w:t>
      </w:r>
      <w:r w:rsidRPr="00EC250C">
        <w:rPr>
          <w:i/>
          <w:iCs/>
          <w:lang w:eastAsia="en-US"/>
        </w:rPr>
        <w:lastRenderedPageBreak/>
        <w:t>Holandii</w:t>
      </w:r>
      <w:r w:rsidRPr="00EC250C">
        <w:rPr>
          <w:lang w:eastAsia="en-US"/>
        </w:rPr>
        <w:t>). Stwierdzono, że art. 6 nie ma zastosowania do tego typu postępowań. W związku</w:t>
      </w:r>
      <w:r w:rsidR="00992FD0" w:rsidRPr="00EC250C">
        <w:rPr>
          <w:lang w:eastAsia="en-US"/>
        </w:rPr>
        <w:t xml:space="preserve"> z </w:t>
      </w:r>
      <w:r w:rsidRPr="00EC250C">
        <w:rPr>
          <w:lang w:eastAsia="en-US"/>
        </w:rPr>
        <w:t>tym</w:t>
      </w:r>
      <w:r w:rsidR="00992FD0" w:rsidRPr="00EC250C">
        <w:rPr>
          <w:lang w:eastAsia="en-US"/>
        </w:rPr>
        <w:t xml:space="preserve"> w </w:t>
      </w:r>
      <w:r w:rsidRPr="00EC250C">
        <w:rPr>
          <w:lang w:eastAsia="en-US"/>
        </w:rPr>
        <w:t>zakresie zarzutu naruszenia art. 6 Konwencji Trybunał odrzucił skargę. Ponadto, nie stwierdził naruszenia art. 13</w:t>
      </w:r>
      <w:r w:rsidR="00992FD0" w:rsidRPr="00EC250C">
        <w:rPr>
          <w:lang w:eastAsia="en-US"/>
        </w:rPr>
        <w:t xml:space="preserve"> i </w:t>
      </w:r>
      <w:r w:rsidRPr="00EC250C">
        <w:rPr>
          <w:lang w:eastAsia="en-US"/>
        </w:rPr>
        <w:t>14 Konwencji</w:t>
      </w:r>
      <w:r w:rsidR="00992FD0" w:rsidRPr="00EC250C">
        <w:rPr>
          <w:lang w:eastAsia="en-US"/>
        </w:rPr>
        <w:t xml:space="preserve"> i </w:t>
      </w:r>
      <w:r w:rsidRPr="00EC250C">
        <w:rPr>
          <w:lang w:eastAsia="en-US"/>
        </w:rPr>
        <w:t>odrzucił skargę.</w:t>
      </w:r>
    </w:p>
    <w:p w14:paraId="1553068A" w14:textId="77777777" w:rsidR="00335AF8" w:rsidRPr="00EC250C" w:rsidRDefault="00335AF8" w:rsidP="00EC250C">
      <w:pPr>
        <w:pStyle w:val="Nagwek5"/>
      </w:pPr>
      <w:bookmarkStart w:id="921" w:name="_Toc6258086"/>
      <w:r w:rsidRPr="00EC250C">
        <w:t>19. Glazer v. Polska, 13/11/2018, skarga nr 36087/15</w:t>
      </w:r>
      <w:bookmarkEnd w:id="921"/>
    </w:p>
    <w:p w14:paraId="2D2E8964" w14:textId="77777777" w:rsidR="00B473F5" w:rsidRPr="00EC250C" w:rsidRDefault="00335AF8" w:rsidP="00D131FA">
      <w:pPr>
        <w:pStyle w:val="Problemczowieka"/>
        <w:jc w:val="both"/>
        <w:rPr>
          <w:lang w:eastAsia="en-US"/>
        </w:rPr>
      </w:pPr>
      <w:r w:rsidRPr="00EC250C">
        <w:rPr>
          <w:lang w:eastAsia="en-US"/>
        </w:rPr>
        <w:t>Sprawa dotyczyła braku możliwości skutecznego zaprzeczenia ojcostwa</w:t>
      </w:r>
      <w:r w:rsidR="00B473F5" w:rsidRPr="00EC250C">
        <w:rPr>
          <w:lang w:eastAsia="en-US"/>
        </w:rPr>
        <w:t>.</w:t>
      </w:r>
    </w:p>
    <w:p w14:paraId="6D599013" w14:textId="77777777" w:rsidR="00335AF8" w:rsidRPr="00EC250C" w:rsidRDefault="00335AF8" w:rsidP="00D131FA">
      <w:pPr>
        <w:pStyle w:val="Styl1"/>
        <w:rPr>
          <w:b/>
          <w:lang w:eastAsia="en-US"/>
        </w:rPr>
      </w:pPr>
      <w:r w:rsidRPr="00EC250C">
        <w:rPr>
          <w:lang w:eastAsia="en-US"/>
        </w:rPr>
        <w:t>Skarżący</w:t>
      </w:r>
      <w:r w:rsidR="00992FD0" w:rsidRPr="00EC250C">
        <w:rPr>
          <w:lang w:eastAsia="en-US"/>
        </w:rPr>
        <w:t xml:space="preserve"> w </w:t>
      </w:r>
      <w:r w:rsidRPr="00EC250C">
        <w:rPr>
          <w:lang w:eastAsia="en-US"/>
        </w:rPr>
        <w:t>1994</w:t>
      </w:r>
      <w:r w:rsidR="00C91F6E" w:rsidRPr="00EC250C">
        <w:rPr>
          <w:lang w:eastAsia="en-US"/>
        </w:rPr>
        <w:t> r.</w:t>
      </w:r>
      <w:r w:rsidRPr="00EC250C">
        <w:rPr>
          <w:lang w:eastAsia="en-US"/>
        </w:rPr>
        <w:t xml:space="preserve"> uznał ojcostwo dziecka na podstawie wyników badania krwi, które nie wykluczyły jego ojcostwa. Trybunał ustalił, że uznanie ojcostwa przez skarżącego było dobrowolne, choć następnie wystąpił on dwukrotnie</w:t>
      </w:r>
      <w:r w:rsidR="00992FD0" w:rsidRPr="00EC250C">
        <w:rPr>
          <w:lang w:eastAsia="en-US"/>
        </w:rPr>
        <w:t xml:space="preserve"> z </w:t>
      </w:r>
      <w:r w:rsidRPr="00EC250C">
        <w:rPr>
          <w:lang w:eastAsia="en-US"/>
        </w:rPr>
        <w:t>powództwem</w:t>
      </w:r>
      <w:r w:rsidR="00992FD0" w:rsidRPr="00EC250C">
        <w:rPr>
          <w:lang w:eastAsia="en-US"/>
        </w:rPr>
        <w:t xml:space="preserve"> o </w:t>
      </w:r>
      <w:r w:rsidRPr="00EC250C">
        <w:rPr>
          <w:lang w:eastAsia="en-US"/>
        </w:rPr>
        <w:t>ustalenie bezskuteczności uznania ojcostwa (jako podstawę skarżący podał zdiagnozowaną astenospermię). Trybunał stwierdził, że –</w:t>
      </w:r>
      <w:r w:rsidR="00992FD0" w:rsidRPr="00EC250C">
        <w:rPr>
          <w:lang w:eastAsia="en-US"/>
        </w:rPr>
        <w:t xml:space="preserve"> z </w:t>
      </w:r>
      <w:r w:rsidRPr="00EC250C">
        <w:rPr>
          <w:lang w:eastAsia="en-US"/>
        </w:rPr>
        <w:t>nieznanych przyczyn – skarżący, pomimo wątpliwości co do ojcostwa, zdecydował się nie kontynuować postępowań. W 2010</w:t>
      </w:r>
      <w:r w:rsidR="00C91F6E" w:rsidRPr="00EC250C">
        <w:rPr>
          <w:lang w:eastAsia="en-US"/>
        </w:rPr>
        <w:t> r.</w:t>
      </w:r>
      <w:r w:rsidRPr="00EC250C">
        <w:rPr>
          <w:lang w:eastAsia="en-US"/>
        </w:rPr>
        <w:t xml:space="preserve"> skarżący wykonał prywatny test DNA, który wykluczył jego ojcostwo</w:t>
      </w:r>
      <w:r w:rsidR="00992FD0" w:rsidRPr="00EC250C">
        <w:rPr>
          <w:lang w:eastAsia="en-US"/>
        </w:rPr>
        <w:t xml:space="preserve"> i </w:t>
      </w:r>
      <w:r w:rsidRPr="00EC250C">
        <w:rPr>
          <w:lang w:eastAsia="en-US"/>
        </w:rPr>
        <w:t>wtedy,</w:t>
      </w:r>
      <w:r w:rsidR="00992FD0" w:rsidRPr="00EC250C">
        <w:rPr>
          <w:lang w:eastAsia="en-US"/>
        </w:rPr>
        <w:t xml:space="preserve"> z </w:t>
      </w:r>
      <w:r w:rsidRPr="00EC250C">
        <w:rPr>
          <w:lang w:eastAsia="en-US"/>
        </w:rPr>
        <w:t>uwagi na upływ terminu do samodzielnego wystąpienia</w:t>
      </w:r>
      <w:r w:rsidR="00992FD0" w:rsidRPr="00EC250C">
        <w:rPr>
          <w:lang w:eastAsia="en-US"/>
        </w:rPr>
        <w:t xml:space="preserve"> z </w:t>
      </w:r>
      <w:r w:rsidRPr="00EC250C">
        <w:rPr>
          <w:lang w:eastAsia="en-US"/>
        </w:rPr>
        <w:t>powództwem, wnioskował, by prokurator wystąpił</w:t>
      </w:r>
      <w:r w:rsidR="00992FD0" w:rsidRPr="00EC250C">
        <w:rPr>
          <w:lang w:eastAsia="en-US"/>
        </w:rPr>
        <w:t xml:space="preserve"> w </w:t>
      </w:r>
      <w:r w:rsidRPr="00EC250C">
        <w:rPr>
          <w:lang w:eastAsia="en-US"/>
        </w:rPr>
        <w:t>tej sprawie po raz kolejny. Sprawa skarżącego została wówczas rozpoznana co do meritum przez sądy dwóch instancji.</w:t>
      </w:r>
    </w:p>
    <w:p w14:paraId="1FF9256F" w14:textId="77777777" w:rsidR="00335AF8" w:rsidRPr="00EC250C" w:rsidRDefault="00335AF8" w:rsidP="00D131FA">
      <w:pPr>
        <w:pStyle w:val="Styl1"/>
        <w:rPr>
          <w:lang w:eastAsia="en-US"/>
        </w:rPr>
      </w:pPr>
      <w:r w:rsidRPr="00EC250C">
        <w:rPr>
          <w:lang w:eastAsia="en-US"/>
        </w:rPr>
        <w:t>Trybunał ustalił, że sąd pierwszej instancji nie dopuścił dowodu</w:t>
      </w:r>
      <w:r w:rsidR="00992FD0" w:rsidRPr="00EC250C">
        <w:rPr>
          <w:lang w:eastAsia="en-US"/>
        </w:rPr>
        <w:t xml:space="preserve"> z </w:t>
      </w:r>
      <w:r w:rsidRPr="00EC250C">
        <w:rPr>
          <w:lang w:eastAsia="en-US"/>
        </w:rPr>
        <w:t>prywatnej opinii</w:t>
      </w:r>
      <w:r w:rsidR="00992FD0" w:rsidRPr="00EC250C">
        <w:rPr>
          <w:lang w:eastAsia="en-US"/>
        </w:rPr>
        <w:t xml:space="preserve"> w </w:t>
      </w:r>
      <w:r w:rsidRPr="00EC250C">
        <w:rPr>
          <w:lang w:eastAsia="en-US"/>
        </w:rPr>
        <w:t>postaci wyników badania DNA,</w:t>
      </w:r>
      <w:r w:rsidR="00992FD0" w:rsidRPr="00EC250C">
        <w:rPr>
          <w:lang w:eastAsia="en-US"/>
        </w:rPr>
        <w:t xml:space="preserve"> z </w:t>
      </w:r>
      <w:r w:rsidRPr="00EC250C">
        <w:rPr>
          <w:lang w:eastAsia="en-US"/>
        </w:rPr>
        <w:t>uwagi na okoliczności pozyskania materiału do badań (uzyskano je przez prywatnego detektywa, co zostało zatajone przed laboratorium), zaś</w:t>
      </w:r>
      <w:r w:rsidR="00992FD0" w:rsidRPr="00EC250C">
        <w:rPr>
          <w:lang w:eastAsia="en-US"/>
        </w:rPr>
        <w:t xml:space="preserve"> w </w:t>
      </w:r>
      <w:r w:rsidRPr="00EC250C">
        <w:rPr>
          <w:lang w:eastAsia="en-US"/>
        </w:rPr>
        <w:t>postępowaniu sądowym zarówno dziecko, jak</w:t>
      </w:r>
      <w:r w:rsidR="00992FD0" w:rsidRPr="00EC250C">
        <w:rPr>
          <w:lang w:eastAsia="en-US"/>
        </w:rPr>
        <w:t xml:space="preserve"> i </w:t>
      </w:r>
      <w:r w:rsidRPr="00EC250C">
        <w:rPr>
          <w:lang w:eastAsia="en-US"/>
        </w:rPr>
        <w:t>matka odmówili poddania się testom DNA. W tym kontekście Trybunał powołał się na swoje orzecznictwo, że podczas gdy osoby</w:t>
      </w:r>
      <w:r w:rsidR="00992FD0" w:rsidRPr="00EC250C">
        <w:rPr>
          <w:lang w:eastAsia="en-US"/>
        </w:rPr>
        <w:t xml:space="preserve"> w </w:t>
      </w:r>
      <w:r w:rsidRPr="00EC250C">
        <w:rPr>
          <w:lang w:eastAsia="en-US"/>
        </w:rPr>
        <w:t>sytuacji skarżącego mają interes</w:t>
      </w:r>
      <w:r w:rsidR="00992FD0" w:rsidRPr="00EC250C">
        <w:rPr>
          <w:lang w:eastAsia="en-US"/>
        </w:rPr>
        <w:t xml:space="preserve"> w </w:t>
      </w:r>
      <w:r w:rsidRPr="00EC250C">
        <w:rPr>
          <w:lang w:eastAsia="en-US"/>
        </w:rPr>
        <w:t>otrzymaniu informacji koniecznych do poznania prawdy odnośnie tak ważnego aspektu swojej osobistej tożsamości, to jednakże wzgląd na ochronę osób trzecich może uniemożliwić zmuszenie kogoś do poddania się jakimkolwiek badaniom,</w:t>
      </w:r>
      <w:r w:rsidR="00992FD0" w:rsidRPr="00EC250C">
        <w:rPr>
          <w:lang w:eastAsia="en-US"/>
        </w:rPr>
        <w:t xml:space="preserve"> w </w:t>
      </w:r>
      <w:r w:rsidRPr="00EC250C">
        <w:rPr>
          <w:lang w:eastAsia="en-US"/>
        </w:rPr>
        <w:t>tym badaniom DNA (sprawa Mikulić p-ko Chorwacji nr 53176/99, sprawa Bagniewski p-ko Polsce nr 28475/14).Ponadto Trybunał zważył, że</w:t>
      </w:r>
      <w:r w:rsidR="00992FD0" w:rsidRPr="00EC250C">
        <w:rPr>
          <w:lang w:eastAsia="en-US"/>
        </w:rPr>
        <w:t xml:space="preserve"> w </w:t>
      </w:r>
      <w:r w:rsidRPr="00EC250C">
        <w:rPr>
          <w:lang w:eastAsia="en-US"/>
        </w:rPr>
        <w:t>przedmiotowej sprawie skarżący nie przedłożył sądom krajowym żadnego przekonywującego dowodu na poparcie swoich wątpliwości odnośnie ojcostwa dziecka,</w:t>
      </w:r>
      <w:r w:rsidR="00992FD0" w:rsidRPr="00EC250C">
        <w:rPr>
          <w:lang w:eastAsia="en-US"/>
        </w:rPr>
        <w:t xml:space="preserve"> w </w:t>
      </w:r>
      <w:r w:rsidRPr="00EC250C">
        <w:rPr>
          <w:lang w:eastAsia="en-US"/>
        </w:rPr>
        <w:t>szczególności nie wykazał, że ojcostwo innego mężczyzny jest bardziej prawdopodobne. Ponadto Trybunał nie stwierdził, aby</w:t>
      </w:r>
      <w:r w:rsidR="00992FD0" w:rsidRPr="00EC250C">
        <w:rPr>
          <w:lang w:eastAsia="en-US"/>
        </w:rPr>
        <w:t xml:space="preserve"> w </w:t>
      </w:r>
      <w:r w:rsidRPr="00EC250C">
        <w:rPr>
          <w:lang w:eastAsia="en-US"/>
        </w:rPr>
        <w:t>niniejszej sprawie były jakiekolwiek wskazania, że działanie władz na szczeblu krajowym było arbitralne lub powierzchowne. Trybunał, biorąc pod uwagę nie budzące wątpliwości stanowisko dziecka</w:t>
      </w:r>
      <w:r w:rsidR="00992FD0" w:rsidRPr="00EC250C">
        <w:rPr>
          <w:lang w:eastAsia="en-US"/>
        </w:rPr>
        <w:t xml:space="preserve"> w </w:t>
      </w:r>
      <w:r w:rsidRPr="00EC250C">
        <w:rPr>
          <w:lang w:eastAsia="en-US"/>
        </w:rPr>
        <w:t>niniejszej sprawie, uznał za uzasadnione, że sądy krajowe przyznały większą wagę ochronie interesu dziecka, niż interesowi skarżącego</w:t>
      </w:r>
      <w:r w:rsidR="00992FD0" w:rsidRPr="00EC250C">
        <w:rPr>
          <w:lang w:eastAsia="en-US"/>
        </w:rPr>
        <w:t xml:space="preserve"> w </w:t>
      </w:r>
      <w:r w:rsidRPr="00EC250C">
        <w:rPr>
          <w:lang w:eastAsia="en-US"/>
        </w:rPr>
        <w:t>stwierdzeniu faktu biologicznego. W tym kontekście Trybunał przywołał swoje orzecznictwo</w:t>
      </w:r>
      <w:r w:rsidR="00992FD0" w:rsidRPr="00EC250C">
        <w:rPr>
          <w:lang w:eastAsia="en-US"/>
        </w:rPr>
        <w:t xml:space="preserve"> w </w:t>
      </w:r>
      <w:r w:rsidRPr="00EC250C">
        <w:rPr>
          <w:lang w:eastAsia="en-US"/>
        </w:rPr>
        <w:t>sprawach Iyilik p-ko Turcji (2899/05) oraz Nylund p-ko Finlandii (27110/95). Z uwagi na powyższe, Trybunał niniejszą decyzją, na podstawie art. 35 ust. 3</w:t>
      </w:r>
      <w:r w:rsidR="00992FD0" w:rsidRPr="00EC250C">
        <w:rPr>
          <w:lang w:eastAsia="en-US"/>
        </w:rPr>
        <w:t xml:space="preserve"> i </w:t>
      </w:r>
      <w:r w:rsidRPr="00EC250C">
        <w:rPr>
          <w:lang w:eastAsia="en-US"/>
        </w:rPr>
        <w:t>4 Konwencji odrzucił skargę uznając ją za oczywiście nieuzasadnioną</w:t>
      </w:r>
      <w:r w:rsidR="00992FD0" w:rsidRPr="00EC250C">
        <w:rPr>
          <w:lang w:eastAsia="en-US"/>
        </w:rPr>
        <w:t xml:space="preserve"> i w </w:t>
      </w:r>
      <w:r w:rsidRPr="00EC250C">
        <w:rPr>
          <w:lang w:eastAsia="en-US"/>
        </w:rPr>
        <w:t>związku</w:t>
      </w:r>
      <w:r w:rsidR="00992FD0" w:rsidRPr="00EC250C">
        <w:rPr>
          <w:lang w:eastAsia="en-US"/>
        </w:rPr>
        <w:t xml:space="preserve"> z </w:t>
      </w:r>
      <w:r w:rsidRPr="00EC250C">
        <w:rPr>
          <w:lang w:eastAsia="en-US"/>
        </w:rPr>
        <w:t>tym niedopuszczalną.</w:t>
      </w:r>
    </w:p>
    <w:p w14:paraId="341DE8F8" w14:textId="77777777" w:rsidR="00C91F6E" w:rsidRPr="00EC250C" w:rsidRDefault="00335AF8" w:rsidP="00EC250C">
      <w:pPr>
        <w:pStyle w:val="Nagwek5"/>
      </w:pPr>
      <w:bookmarkStart w:id="922" w:name="_Toc6258087"/>
      <w:r w:rsidRPr="00EC250C">
        <w:lastRenderedPageBreak/>
        <w:t>20. Kwitowski v. Polska, 23/10/2018, skarga nr 57016/15</w:t>
      </w:r>
      <w:bookmarkEnd w:id="922"/>
    </w:p>
    <w:p w14:paraId="7A7F3D2B" w14:textId="77777777" w:rsidR="00335AF8" w:rsidRPr="00EC250C" w:rsidRDefault="00335AF8" w:rsidP="00D131FA">
      <w:pPr>
        <w:pStyle w:val="Styl1"/>
        <w:rPr>
          <w:lang w:eastAsia="en-US"/>
        </w:rPr>
      </w:pPr>
      <w:r w:rsidRPr="00EC250C">
        <w:rPr>
          <w:lang w:eastAsia="en-US"/>
        </w:rPr>
        <w:t>Decyzja</w:t>
      </w:r>
      <w:r w:rsidR="00992FD0" w:rsidRPr="00EC250C">
        <w:rPr>
          <w:lang w:eastAsia="en-US"/>
        </w:rPr>
        <w:t xml:space="preserve"> w </w:t>
      </w:r>
      <w:r w:rsidRPr="00EC250C">
        <w:rPr>
          <w:lang w:eastAsia="en-US"/>
        </w:rPr>
        <w:t xml:space="preserve">sprawie Kwitowski przeciwko Polsce dotyczyła </w:t>
      </w:r>
      <w:r w:rsidRPr="00EC250C">
        <w:rPr>
          <w:b/>
          <w:lang w:eastAsia="en-US"/>
        </w:rPr>
        <w:t>zarzutu naruszenia art. 6 ust. 1 Konwencji</w:t>
      </w:r>
      <w:r w:rsidR="00992FD0" w:rsidRPr="00EC250C">
        <w:rPr>
          <w:b/>
          <w:lang w:eastAsia="en-US"/>
        </w:rPr>
        <w:t xml:space="preserve"> w </w:t>
      </w:r>
      <w:r w:rsidRPr="00EC250C">
        <w:rPr>
          <w:b/>
          <w:lang w:eastAsia="en-US"/>
        </w:rPr>
        <w:t>związku</w:t>
      </w:r>
      <w:r w:rsidR="00992FD0" w:rsidRPr="00EC250C">
        <w:rPr>
          <w:b/>
          <w:lang w:eastAsia="en-US"/>
        </w:rPr>
        <w:t xml:space="preserve"> z </w:t>
      </w:r>
      <w:r w:rsidRPr="00EC250C">
        <w:rPr>
          <w:b/>
          <w:lang w:eastAsia="en-US"/>
        </w:rPr>
        <w:t>odmową przyjęcia przez sąd wniosku</w:t>
      </w:r>
      <w:r w:rsidR="00992FD0" w:rsidRPr="00EC250C">
        <w:rPr>
          <w:b/>
          <w:lang w:eastAsia="en-US"/>
        </w:rPr>
        <w:t xml:space="preserve"> o </w:t>
      </w:r>
      <w:r w:rsidRPr="00EC250C">
        <w:rPr>
          <w:b/>
          <w:lang w:eastAsia="en-US"/>
        </w:rPr>
        <w:t>sporządzenie</w:t>
      </w:r>
      <w:r w:rsidR="00992FD0" w:rsidRPr="00EC250C">
        <w:rPr>
          <w:b/>
          <w:lang w:eastAsia="en-US"/>
        </w:rPr>
        <w:t xml:space="preserve"> i </w:t>
      </w:r>
      <w:r w:rsidRPr="00EC250C">
        <w:rPr>
          <w:b/>
          <w:lang w:eastAsia="en-US"/>
        </w:rPr>
        <w:t>doręczenie skarżącemu uzasadnienia wyroku, uznając go za złożony po terminie</w:t>
      </w:r>
      <w:r w:rsidRPr="00EC250C">
        <w:rPr>
          <w:lang w:eastAsia="en-US"/>
        </w:rPr>
        <w:t>. Z uwagi na niepowodzenie prób zawarcia ugody między stronami, Rząd RP wyszedł</w:t>
      </w:r>
      <w:r w:rsidR="00992FD0" w:rsidRPr="00EC250C">
        <w:rPr>
          <w:lang w:eastAsia="en-US"/>
        </w:rPr>
        <w:t xml:space="preserve"> z </w:t>
      </w:r>
      <w:r w:rsidRPr="00EC250C">
        <w:rPr>
          <w:lang w:eastAsia="en-US"/>
        </w:rPr>
        <w:t>propozycją deklaracji jednostronnej</w:t>
      </w:r>
      <w:r w:rsidR="00992FD0" w:rsidRPr="00EC250C">
        <w:rPr>
          <w:lang w:eastAsia="en-US"/>
        </w:rPr>
        <w:t xml:space="preserve"> w </w:t>
      </w:r>
      <w:r w:rsidRPr="00EC250C">
        <w:rPr>
          <w:lang w:eastAsia="en-US"/>
        </w:rPr>
        <w:t>kwocie 15 000 zł. Skarżący odrzucił powyższą propozycję, jednakże Trybunał uznał deklarację Rządu. Skarga została skreślona</w:t>
      </w:r>
      <w:r w:rsidR="00992FD0" w:rsidRPr="00EC250C">
        <w:rPr>
          <w:lang w:eastAsia="en-US"/>
        </w:rPr>
        <w:t xml:space="preserve"> z </w:t>
      </w:r>
      <w:r w:rsidRPr="00EC250C">
        <w:rPr>
          <w:lang w:eastAsia="en-US"/>
        </w:rPr>
        <w:t>listy spraw na mocy art. 37 ust. 1 c) Konwencji.</w:t>
      </w:r>
    </w:p>
    <w:p w14:paraId="7E5A9AF8" w14:textId="77777777" w:rsidR="00C91F6E" w:rsidRPr="00EC250C" w:rsidRDefault="00335AF8" w:rsidP="00EC250C">
      <w:pPr>
        <w:pStyle w:val="Nagwek5"/>
      </w:pPr>
      <w:bookmarkStart w:id="923" w:name="_Toc6258088"/>
      <w:r w:rsidRPr="00EC250C">
        <w:t>21. Dawidowski v. Polska, 23/10/2018, skarga nr 30822/12</w:t>
      </w:r>
      <w:bookmarkEnd w:id="923"/>
    </w:p>
    <w:p w14:paraId="74F82223" w14:textId="77777777" w:rsidR="00B473F5" w:rsidRPr="00EC250C" w:rsidRDefault="00335AF8" w:rsidP="00D131FA">
      <w:pPr>
        <w:pStyle w:val="Problemczowieka"/>
        <w:jc w:val="both"/>
        <w:rPr>
          <w:lang w:eastAsia="en-US"/>
        </w:rPr>
      </w:pPr>
      <w:r w:rsidRPr="00EC250C">
        <w:rPr>
          <w:lang w:eastAsia="en-US"/>
        </w:rPr>
        <w:t>Decyzja dotyczyła zarzutu naruszenia art. 6 ust. 1 Konwencji,</w:t>
      </w:r>
      <w:r w:rsidR="00992FD0" w:rsidRPr="00EC250C">
        <w:rPr>
          <w:lang w:eastAsia="en-US"/>
        </w:rPr>
        <w:t xml:space="preserve"> w </w:t>
      </w:r>
      <w:r w:rsidRPr="00EC250C">
        <w:rPr>
          <w:lang w:eastAsia="en-US"/>
        </w:rPr>
        <w:t>związku</w:t>
      </w:r>
      <w:r w:rsidR="00992FD0" w:rsidRPr="00EC250C">
        <w:rPr>
          <w:lang w:eastAsia="en-US"/>
        </w:rPr>
        <w:t xml:space="preserve"> z </w:t>
      </w:r>
      <w:r w:rsidRPr="00EC250C">
        <w:rPr>
          <w:lang w:eastAsia="en-US"/>
        </w:rPr>
        <w:t>arbitralnym</w:t>
      </w:r>
      <w:r w:rsidR="00992FD0" w:rsidRPr="00EC250C">
        <w:rPr>
          <w:lang w:eastAsia="en-US"/>
        </w:rPr>
        <w:t xml:space="preserve"> i </w:t>
      </w:r>
      <w:r w:rsidRPr="00EC250C">
        <w:rPr>
          <w:lang w:eastAsia="en-US"/>
        </w:rPr>
        <w:t>nadmiernie formalnym podejściem sądu drugiej instancji do zagadnienia ciężaru dowodu, co skutkowało pozbawieniem skarżącego prawa do rzetelnego procesu</w:t>
      </w:r>
      <w:r w:rsidR="00B473F5" w:rsidRPr="00EC250C">
        <w:rPr>
          <w:lang w:eastAsia="en-US"/>
        </w:rPr>
        <w:t>.</w:t>
      </w:r>
    </w:p>
    <w:p w14:paraId="6E429744" w14:textId="77777777" w:rsidR="00C91F6E" w:rsidRPr="00EC250C" w:rsidRDefault="00335AF8" w:rsidP="00D131FA">
      <w:pPr>
        <w:pStyle w:val="Styl1"/>
        <w:rPr>
          <w:lang w:eastAsia="en-US"/>
        </w:rPr>
      </w:pPr>
      <w:r w:rsidRPr="00EC250C">
        <w:rPr>
          <w:lang w:eastAsia="en-US"/>
        </w:rPr>
        <w:t>Decyzja odnosiła się także do naruszenia art. 1 Protokołu nr 1 do Konwencji</w:t>
      </w:r>
      <w:r w:rsidR="00992FD0" w:rsidRPr="00EC250C">
        <w:rPr>
          <w:lang w:eastAsia="en-US"/>
        </w:rPr>
        <w:t xml:space="preserve"> w </w:t>
      </w:r>
      <w:r w:rsidRPr="00EC250C">
        <w:rPr>
          <w:lang w:eastAsia="en-US"/>
        </w:rPr>
        <w:t>związku</w:t>
      </w:r>
      <w:r w:rsidR="00992FD0" w:rsidRPr="00EC250C">
        <w:rPr>
          <w:lang w:eastAsia="en-US"/>
        </w:rPr>
        <w:t xml:space="preserve"> z </w:t>
      </w:r>
      <w:r w:rsidRPr="00EC250C">
        <w:rPr>
          <w:lang w:eastAsia="en-US"/>
        </w:rPr>
        <w:t>pozbawieniem skarżącego własności niezgodnie</w:t>
      </w:r>
      <w:r w:rsidR="00992FD0" w:rsidRPr="00EC250C">
        <w:rPr>
          <w:lang w:eastAsia="en-US"/>
        </w:rPr>
        <w:t xml:space="preserve"> z </w:t>
      </w:r>
      <w:r w:rsidRPr="00EC250C">
        <w:rPr>
          <w:lang w:eastAsia="en-US"/>
        </w:rPr>
        <w:t>warunkami przewidzianymi przez prawo. Zawierając ugodę Rząd zobowiązał się do zapłaty na rzecz skarżącego tytułem słusznego zadośćuczynienia kwoty 34 448 zł.</w:t>
      </w:r>
    </w:p>
    <w:p w14:paraId="0BB203F7" w14:textId="77777777" w:rsidR="00335AF8" w:rsidRPr="00EC250C" w:rsidRDefault="00335AF8" w:rsidP="00EC250C">
      <w:pPr>
        <w:pStyle w:val="Nagwek5"/>
      </w:pPr>
      <w:bookmarkStart w:id="924" w:name="_Toc6258089"/>
      <w:r w:rsidRPr="00EC250C">
        <w:t>22. Bryske v. Polska, 15/05/2018, skarga nr 1694/14</w:t>
      </w:r>
      <w:bookmarkEnd w:id="924"/>
    </w:p>
    <w:p w14:paraId="474EE2BD" w14:textId="77777777" w:rsidR="00B473F5" w:rsidRPr="00EC250C" w:rsidRDefault="00335AF8" w:rsidP="00D131FA">
      <w:pPr>
        <w:pStyle w:val="Problemczowieka"/>
        <w:jc w:val="both"/>
        <w:rPr>
          <w:lang w:eastAsia="en-US"/>
        </w:rPr>
      </w:pPr>
      <w:r w:rsidRPr="00EC250C">
        <w:rPr>
          <w:lang w:eastAsia="en-US"/>
        </w:rPr>
        <w:t>Decyzja dotyczyła zarzutu naruszenia art. 8 Konwencji</w:t>
      </w:r>
      <w:r w:rsidR="00992FD0" w:rsidRPr="00EC250C">
        <w:rPr>
          <w:lang w:eastAsia="en-US"/>
        </w:rPr>
        <w:t xml:space="preserve"> w </w:t>
      </w:r>
      <w:r w:rsidRPr="00EC250C">
        <w:rPr>
          <w:lang w:eastAsia="en-US"/>
        </w:rPr>
        <w:t>związku</w:t>
      </w:r>
      <w:r w:rsidR="00992FD0" w:rsidRPr="00EC250C">
        <w:rPr>
          <w:lang w:eastAsia="en-US"/>
        </w:rPr>
        <w:t xml:space="preserve"> z </w:t>
      </w:r>
      <w:r w:rsidRPr="00EC250C">
        <w:rPr>
          <w:lang w:eastAsia="en-US"/>
        </w:rPr>
        <w:t>przewlekłością postępowań odnoszących się do wykonywania kontaktów</w:t>
      </w:r>
      <w:r w:rsidR="00992FD0" w:rsidRPr="00EC250C">
        <w:rPr>
          <w:lang w:eastAsia="en-US"/>
        </w:rPr>
        <w:t xml:space="preserve"> z </w:t>
      </w:r>
      <w:r w:rsidRPr="00EC250C">
        <w:rPr>
          <w:lang w:eastAsia="en-US"/>
        </w:rPr>
        <w:t>dzieckiem</w:t>
      </w:r>
      <w:r w:rsidR="00B473F5" w:rsidRPr="00EC250C">
        <w:rPr>
          <w:lang w:eastAsia="en-US"/>
        </w:rPr>
        <w:t>.</w:t>
      </w:r>
    </w:p>
    <w:p w14:paraId="385D357E" w14:textId="77777777" w:rsidR="00335AF8" w:rsidRPr="00EC250C" w:rsidRDefault="00335AF8" w:rsidP="00D131FA">
      <w:pPr>
        <w:pStyle w:val="Styl1"/>
        <w:rPr>
          <w:lang w:eastAsia="en-US"/>
        </w:rPr>
      </w:pPr>
      <w:r w:rsidRPr="00EC250C">
        <w:rPr>
          <w:lang w:eastAsia="en-US"/>
        </w:rPr>
        <w:t>Zwłoka wynikała m.in.</w:t>
      </w:r>
      <w:r w:rsidR="00992FD0" w:rsidRPr="00EC250C">
        <w:rPr>
          <w:lang w:eastAsia="en-US"/>
        </w:rPr>
        <w:t xml:space="preserve"> z </w:t>
      </w:r>
      <w:r w:rsidRPr="00EC250C">
        <w:rPr>
          <w:lang w:eastAsia="en-US"/>
        </w:rPr>
        <w:t>dopuszczania przez sądy zbędnych wniosków dowodowych na okoliczność stanu oraz woli dziecka, jego przeżyć, stanów emocjonalnych oraz chęci do kontaktów, które to dowody nie były istotne dla postępowań</w:t>
      </w:r>
      <w:r w:rsidR="00992FD0" w:rsidRPr="00EC250C">
        <w:rPr>
          <w:lang w:eastAsia="en-US"/>
        </w:rPr>
        <w:t xml:space="preserve"> w </w:t>
      </w:r>
      <w:r w:rsidRPr="00EC250C">
        <w:rPr>
          <w:lang w:eastAsia="en-US"/>
        </w:rPr>
        <w:t>przedmiocie wykonywania kontaktów, wymagających jedynie ustalenia, czy</w:t>
      </w:r>
      <w:r w:rsidR="00992FD0" w:rsidRPr="00EC250C">
        <w:rPr>
          <w:lang w:eastAsia="en-US"/>
        </w:rPr>
        <w:t xml:space="preserve"> w </w:t>
      </w:r>
      <w:r w:rsidRPr="00EC250C">
        <w:rPr>
          <w:lang w:eastAsia="en-US"/>
        </w:rPr>
        <w:t>sposób zawiniony doszło do naruszenia regulujących te kontakty rozstrzygnięć. Opóźnienie</w:t>
      </w:r>
      <w:r w:rsidR="00992FD0" w:rsidRPr="00EC250C">
        <w:rPr>
          <w:lang w:eastAsia="en-US"/>
        </w:rPr>
        <w:t xml:space="preserve"> w </w:t>
      </w:r>
      <w:r w:rsidRPr="00EC250C">
        <w:rPr>
          <w:lang w:eastAsia="en-US"/>
        </w:rPr>
        <w:t>rozpoznaniu spraw będących przedmiotem skargi wynikało także ze zbyt długich przerw pomiędzy terminami rozprawy, które nierzadko wynosiły kilka miesięcy,</w:t>
      </w:r>
      <w:r w:rsidR="00992FD0" w:rsidRPr="00EC250C">
        <w:rPr>
          <w:lang w:eastAsia="en-US"/>
        </w:rPr>
        <w:t xml:space="preserve"> a </w:t>
      </w:r>
      <w:r w:rsidRPr="00EC250C">
        <w:rPr>
          <w:lang w:eastAsia="en-US"/>
        </w:rPr>
        <w:t>także odraczania rozprawy</w:t>
      </w:r>
      <w:r w:rsidR="00992FD0" w:rsidRPr="00EC250C">
        <w:rPr>
          <w:lang w:eastAsia="en-US"/>
        </w:rPr>
        <w:t xml:space="preserve"> z </w:t>
      </w:r>
      <w:r w:rsidRPr="00EC250C">
        <w:rPr>
          <w:lang w:eastAsia="en-US"/>
        </w:rPr>
        <w:t>przyczyn leżących wyłącznie po stronie sądu. Postępowania będące przedmiotem skargi trwały: jeden rok</w:t>
      </w:r>
      <w:r w:rsidR="00992FD0" w:rsidRPr="00EC250C">
        <w:rPr>
          <w:lang w:eastAsia="en-US"/>
        </w:rPr>
        <w:t xml:space="preserve"> i </w:t>
      </w:r>
      <w:r w:rsidRPr="00EC250C">
        <w:rPr>
          <w:lang w:eastAsia="en-US"/>
        </w:rPr>
        <w:t>dziesięć miesięcy, jeden rok</w:t>
      </w:r>
      <w:r w:rsidR="00992FD0" w:rsidRPr="00EC250C">
        <w:rPr>
          <w:lang w:eastAsia="en-US"/>
        </w:rPr>
        <w:t xml:space="preserve"> i </w:t>
      </w:r>
      <w:r w:rsidRPr="00EC250C">
        <w:rPr>
          <w:lang w:eastAsia="en-US"/>
        </w:rPr>
        <w:t>dwa miesiące oraz dwa lata</w:t>
      </w:r>
      <w:r w:rsidR="00992FD0" w:rsidRPr="00EC250C">
        <w:rPr>
          <w:lang w:eastAsia="en-US"/>
        </w:rPr>
        <w:t xml:space="preserve"> i </w:t>
      </w:r>
      <w:r w:rsidRPr="00EC250C">
        <w:rPr>
          <w:lang w:eastAsia="en-US"/>
        </w:rPr>
        <w:t>trzy miesiące, co niewątpliwie stanowiło zbyt długi okres jak na postępowania wykonawcze, które miały na celu wyegzekwowanie niezbędnych kontaktów skarżącego</w:t>
      </w:r>
      <w:r w:rsidR="00992FD0" w:rsidRPr="00EC250C">
        <w:rPr>
          <w:lang w:eastAsia="en-US"/>
        </w:rPr>
        <w:t xml:space="preserve"> z </w:t>
      </w:r>
      <w:r w:rsidRPr="00EC250C">
        <w:rPr>
          <w:lang w:eastAsia="en-US"/>
        </w:rPr>
        <w:t>córką bez przeprowadzania zbędnego postępowania dowodowego. Jednocześnie środek krajowy</w:t>
      </w:r>
      <w:r w:rsidR="00992FD0" w:rsidRPr="00EC250C">
        <w:rPr>
          <w:lang w:eastAsia="en-US"/>
        </w:rPr>
        <w:t xml:space="preserve"> w </w:t>
      </w:r>
      <w:r w:rsidRPr="00EC250C">
        <w:rPr>
          <w:lang w:eastAsia="en-US"/>
        </w:rPr>
        <w:t xml:space="preserve">postaci skargi na przewlekłość okazał się nieskuteczny, bowiem sąd rozpoznający skargi zastosował niedozwoloną fragmentację ograniczając niezgodnie ze standardami konwencyjnymi analizę kwestionowanego pod względem długości postępowania wyłącznie do okresu, który nastąpił po rozpoznaniu wcześniejszej skargi lub badając ją ograniczył się do zarzutów skarżącego. Efektem powyższego było pozbawienie skarżącego krajowego środka odwoławczego, </w:t>
      </w:r>
      <w:r w:rsidRPr="00EC250C">
        <w:rPr>
          <w:lang w:eastAsia="en-US"/>
        </w:rPr>
        <w:lastRenderedPageBreak/>
        <w:t>za pomocą którego skarżący mógłby zakwestionować czasokres trwania postępowania. Rząd wystosował</w:t>
      </w:r>
      <w:r w:rsidR="00992FD0" w:rsidRPr="00EC250C">
        <w:rPr>
          <w:lang w:eastAsia="en-US"/>
        </w:rPr>
        <w:t xml:space="preserve"> w </w:t>
      </w:r>
      <w:r w:rsidRPr="00EC250C">
        <w:rPr>
          <w:lang w:eastAsia="en-US"/>
        </w:rPr>
        <w:t>tej sprawie deklarację jednostronną, na mocy której zobowiązał się do zapłaty na rzez skarżącego kwoty 15 000 zł.</w:t>
      </w:r>
    </w:p>
    <w:p w14:paraId="6AD9EB87" w14:textId="77777777" w:rsidR="00335AF8" w:rsidRPr="00EC250C" w:rsidRDefault="00335AF8" w:rsidP="00EC250C">
      <w:pPr>
        <w:pStyle w:val="Nagwek5"/>
      </w:pPr>
      <w:bookmarkStart w:id="925" w:name="_Toc6258090"/>
      <w:r w:rsidRPr="00EC250C">
        <w:t>23. Bagniewski v. Polska, 31/05/2018, skarga nr 28475/14</w:t>
      </w:r>
      <w:bookmarkEnd w:id="925"/>
    </w:p>
    <w:p w14:paraId="452D8231" w14:textId="77777777" w:rsidR="00B473F5" w:rsidRPr="00EC250C" w:rsidRDefault="00335AF8" w:rsidP="00D131FA">
      <w:pPr>
        <w:pStyle w:val="Problemczowieka"/>
        <w:jc w:val="both"/>
        <w:rPr>
          <w:lang w:eastAsia="en-US"/>
        </w:rPr>
      </w:pPr>
      <w:r w:rsidRPr="00EC250C">
        <w:rPr>
          <w:lang w:eastAsia="en-US"/>
        </w:rPr>
        <w:t>Sprawa dotyczyła oddalenia powództwa prokuratora</w:t>
      </w:r>
      <w:r w:rsidR="00992FD0" w:rsidRPr="00EC250C">
        <w:rPr>
          <w:lang w:eastAsia="en-US"/>
        </w:rPr>
        <w:t xml:space="preserve"> o </w:t>
      </w:r>
      <w:r w:rsidRPr="00EC250C">
        <w:rPr>
          <w:lang w:eastAsia="en-US"/>
        </w:rPr>
        <w:t>zaprzeczenie ojcostwa wytoczonego na wniosek skarżącego</w:t>
      </w:r>
      <w:r w:rsidR="00B473F5" w:rsidRPr="00EC250C">
        <w:rPr>
          <w:lang w:eastAsia="en-US"/>
        </w:rPr>
        <w:t>.</w:t>
      </w:r>
    </w:p>
    <w:p w14:paraId="7DE87E38" w14:textId="77777777" w:rsidR="00C91F6E" w:rsidRPr="00EC250C" w:rsidRDefault="00335AF8" w:rsidP="00D131FA">
      <w:pPr>
        <w:pStyle w:val="Styl1"/>
        <w:rPr>
          <w:lang w:eastAsia="en-US"/>
        </w:rPr>
      </w:pPr>
      <w:r w:rsidRPr="00EC250C">
        <w:rPr>
          <w:lang w:eastAsia="en-US"/>
        </w:rPr>
        <w:t>Skarżący ożenił się</w:t>
      </w:r>
      <w:r w:rsidR="00992FD0" w:rsidRPr="00EC250C">
        <w:rPr>
          <w:lang w:eastAsia="en-US"/>
        </w:rPr>
        <w:t xml:space="preserve"> w </w:t>
      </w:r>
      <w:r w:rsidRPr="00EC250C">
        <w:rPr>
          <w:lang w:eastAsia="en-US"/>
        </w:rPr>
        <w:t>1995 r, zaś</w:t>
      </w:r>
      <w:r w:rsidR="00992FD0" w:rsidRPr="00EC250C">
        <w:rPr>
          <w:lang w:eastAsia="en-US"/>
        </w:rPr>
        <w:t xml:space="preserve"> w </w:t>
      </w:r>
      <w:r w:rsidRPr="00EC250C">
        <w:rPr>
          <w:lang w:eastAsia="en-US"/>
        </w:rPr>
        <w:t>1997</w:t>
      </w:r>
      <w:r w:rsidR="00C91F6E" w:rsidRPr="00EC250C">
        <w:rPr>
          <w:lang w:eastAsia="en-US"/>
        </w:rPr>
        <w:t> r.</w:t>
      </w:r>
      <w:r w:rsidRPr="00EC250C">
        <w:rPr>
          <w:lang w:eastAsia="en-US"/>
        </w:rPr>
        <w:t xml:space="preserve"> przyszedł na świat chłopiec uznawany przez niego za syna. Po rozpadzie pożycia małżeńskiego kilka lat później skarżący mający wątpliwości co do swojego ojcostwa wykonał prywatne badanie DNA. Badania te wykluczyły pokrewieństwo pomiędzy skarżącym</w:t>
      </w:r>
      <w:r w:rsidR="00992FD0" w:rsidRPr="00EC250C">
        <w:rPr>
          <w:lang w:eastAsia="en-US"/>
        </w:rPr>
        <w:t xml:space="preserve"> i </w:t>
      </w:r>
      <w:r w:rsidRPr="00EC250C">
        <w:rPr>
          <w:lang w:eastAsia="en-US"/>
        </w:rPr>
        <w:t>chłopcem,</w:t>
      </w:r>
      <w:r w:rsidR="00992FD0" w:rsidRPr="00EC250C">
        <w:rPr>
          <w:lang w:eastAsia="en-US"/>
        </w:rPr>
        <w:t xml:space="preserve"> w </w:t>
      </w:r>
      <w:r w:rsidRPr="00EC250C">
        <w:rPr>
          <w:lang w:eastAsia="en-US"/>
        </w:rPr>
        <w:t>związku</w:t>
      </w:r>
      <w:r w:rsidR="00992FD0" w:rsidRPr="00EC250C">
        <w:rPr>
          <w:lang w:eastAsia="en-US"/>
        </w:rPr>
        <w:t xml:space="preserve"> z </w:t>
      </w:r>
      <w:r w:rsidRPr="00EC250C">
        <w:rPr>
          <w:lang w:eastAsia="en-US"/>
        </w:rPr>
        <w:t>czym wystąpił on do prokuratora</w:t>
      </w:r>
      <w:r w:rsidR="00992FD0" w:rsidRPr="00EC250C">
        <w:rPr>
          <w:lang w:eastAsia="en-US"/>
        </w:rPr>
        <w:t xml:space="preserve"> o </w:t>
      </w:r>
      <w:r w:rsidRPr="00EC250C">
        <w:rPr>
          <w:lang w:eastAsia="en-US"/>
        </w:rPr>
        <w:t>wytoczenie powództwa</w:t>
      </w:r>
      <w:r w:rsidR="00992FD0" w:rsidRPr="00EC250C">
        <w:rPr>
          <w:lang w:eastAsia="en-US"/>
        </w:rPr>
        <w:t xml:space="preserve"> o </w:t>
      </w:r>
      <w:r w:rsidRPr="00EC250C">
        <w:rPr>
          <w:lang w:eastAsia="en-US"/>
        </w:rPr>
        <w:t>zaprzeczenie ojcostwa. W ramach toczącego się na skutek tego powództwa postępowania małoletni</w:t>
      </w:r>
      <w:r w:rsidR="00992FD0" w:rsidRPr="00EC250C">
        <w:rPr>
          <w:lang w:eastAsia="en-US"/>
        </w:rPr>
        <w:t xml:space="preserve"> i </w:t>
      </w:r>
      <w:r w:rsidRPr="00EC250C">
        <w:rPr>
          <w:lang w:eastAsia="en-US"/>
        </w:rPr>
        <w:t>jego matka odmówili poddania się badaniu DNA, do których wykonania wezwał ich sąd. W konsekwencji odmowy poddania się tym badaniom sąd I instancji uwzględnił powództwo na podstawie prywatnych badań wykonanych wcześniej przez skarżącego. Natomiast sąd II instancji na skutek apelacji pozwanych – małoletniego</w:t>
      </w:r>
      <w:r w:rsidR="00992FD0" w:rsidRPr="00EC250C">
        <w:rPr>
          <w:lang w:eastAsia="en-US"/>
        </w:rPr>
        <w:t xml:space="preserve"> i </w:t>
      </w:r>
      <w:r w:rsidRPr="00EC250C">
        <w:rPr>
          <w:lang w:eastAsia="en-US"/>
        </w:rPr>
        <w:t>jego matki – zmienił zaskarżony wyrok oddalając powództwo. W ocenie tegoż sądu wykonane przez skarżącego prywatne badanie DNA nie mogło stanowić dowodu przesądzającego</w:t>
      </w:r>
      <w:r w:rsidR="00992FD0" w:rsidRPr="00EC250C">
        <w:rPr>
          <w:lang w:eastAsia="en-US"/>
        </w:rPr>
        <w:t xml:space="preserve"> o </w:t>
      </w:r>
      <w:r w:rsidRPr="00EC250C">
        <w:rPr>
          <w:lang w:eastAsia="en-US"/>
        </w:rPr>
        <w:t>braku pokrewieństwa pomiędzy dzieckiem</w:t>
      </w:r>
      <w:r w:rsidR="00992FD0" w:rsidRPr="00EC250C">
        <w:rPr>
          <w:lang w:eastAsia="en-US"/>
        </w:rPr>
        <w:t xml:space="preserve"> a </w:t>
      </w:r>
      <w:r w:rsidRPr="00EC250C">
        <w:rPr>
          <w:lang w:eastAsia="en-US"/>
        </w:rPr>
        <w:t>skarżącym. Skarżący nie wniósł skargi kasacyjnej.</w:t>
      </w:r>
    </w:p>
    <w:p w14:paraId="5B3F242D" w14:textId="77777777" w:rsidR="00C91F6E" w:rsidRPr="00EC250C" w:rsidRDefault="00335AF8" w:rsidP="00D131FA">
      <w:pPr>
        <w:pStyle w:val="Styl1"/>
        <w:rPr>
          <w:lang w:eastAsia="en-US"/>
        </w:rPr>
      </w:pPr>
      <w:r w:rsidRPr="00EC250C">
        <w:rPr>
          <w:lang w:eastAsia="en-US"/>
        </w:rPr>
        <w:t>W skardze do Trybunału skarżący zarzucił, że oddalenie powództwa stanowiło naruszenie przede wszystkim gwarantowanego mu prawa do poszanowania życia prywatnego</w:t>
      </w:r>
      <w:r w:rsidR="00992FD0" w:rsidRPr="00EC250C">
        <w:rPr>
          <w:lang w:eastAsia="en-US"/>
        </w:rPr>
        <w:t xml:space="preserve"> i </w:t>
      </w:r>
      <w:r w:rsidRPr="00EC250C">
        <w:rPr>
          <w:lang w:eastAsia="en-US"/>
        </w:rPr>
        <w:t>rodzinnego,</w:t>
      </w:r>
      <w:r w:rsidR="00992FD0" w:rsidRPr="00EC250C">
        <w:rPr>
          <w:lang w:eastAsia="en-US"/>
        </w:rPr>
        <w:t xml:space="preserve"> a </w:t>
      </w:r>
      <w:r w:rsidRPr="00EC250C">
        <w:rPr>
          <w:lang w:eastAsia="en-US"/>
        </w:rPr>
        <w:t>także rzetelnego procesu, stanowiąc jednocześnie wyraz dyskryminującego traktowania. Trybunał nie przychylił się do tych zarzutów. Uzasadniając swoje rozstrzygnięcie wskazał, że istotnie małoletni oraz jego matka odmówili poddania się badaniu DNA, zaś</w:t>
      </w:r>
      <w:r w:rsidR="00992FD0" w:rsidRPr="00EC250C">
        <w:rPr>
          <w:lang w:eastAsia="en-US"/>
        </w:rPr>
        <w:t xml:space="preserve"> w </w:t>
      </w:r>
      <w:r w:rsidRPr="00EC250C">
        <w:rPr>
          <w:lang w:eastAsia="en-US"/>
        </w:rPr>
        <w:t>prawie krajowym nie istniały żadne mechanizmy umożliwiające przeprowadzenie tego badania bez ich zgody. W ocenie Trybunału odmowa ta nie uprawniała jednak sądów krajowych do oparcia rozstrzygnięcia na wykonanym prywatnie teście DNA.</w:t>
      </w:r>
    </w:p>
    <w:p w14:paraId="205BB9AD" w14:textId="77777777" w:rsidR="00335AF8" w:rsidRPr="00EC250C" w:rsidRDefault="00335AF8" w:rsidP="00D131FA">
      <w:pPr>
        <w:pStyle w:val="Styl1"/>
        <w:rPr>
          <w:lang w:eastAsia="en-US"/>
        </w:rPr>
      </w:pPr>
      <w:r w:rsidRPr="00EC250C">
        <w:rPr>
          <w:lang w:eastAsia="en-US"/>
        </w:rPr>
        <w:t>Trybunał odwołał się do motywów odmowy poddania się badaniu przez małoletniego związanych</w:t>
      </w:r>
      <w:r w:rsidR="00992FD0" w:rsidRPr="00EC250C">
        <w:rPr>
          <w:lang w:eastAsia="en-US"/>
        </w:rPr>
        <w:t xml:space="preserve"> z </w:t>
      </w:r>
      <w:r w:rsidRPr="00EC250C">
        <w:rPr>
          <w:lang w:eastAsia="en-US"/>
        </w:rPr>
        <w:t>jego obawą</w:t>
      </w:r>
      <w:r w:rsidR="00992FD0" w:rsidRPr="00EC250C">
        <w:rPr>
          <w:lang w:eastAsia="en-US"/>
        </w:rPr>
        <w:t xml:space="preserve"> o </w:t>
      </w:r>
      <w:r w:rsidRPr="00EC250C">
        <w:rPr>
          <w:lang w:eastAsia="en-US"/>
        </w:rPr>
        <w:t>utratę tożsamości. Niezależnie od powyższego</w:t>
      </w:r>
      <w:r w:rsidR="00992FD0" w:rsidRPr="00EC250C">
        <w:rPr>
          <w:lang w:eastAsia="en-US"/>
        </w:rPr>
        <w:t xml:space="preserve"> w </w:t>
      </w:r>
      <w:r w:rsidRPr="00EC250C">
        <w:rPr>
          <w:lang w:eastAsia="en-US"/>
        </w:rPr>
        <w:t>ocenie Trybunału skarżący, reprezentowany</w:t>
      </w:r>
      <w:r w:rsidR="00992FD0" w:rsidRPr="00EC250C">
        <w:rPr>
          <w:lang w:eastAsia="en-US"/>
        </w:rPr>
        <w:t xml:space="preserve"> w </w:t>
      </w:r>
      <w:r w:rsidRPr="00EC250C">
        <w:rPr>
          <w:lang w:eastAsia="en-US"/>
        </w:rPr>
        <w:t>postępowaniu krajowym przez profesjonalnego pełnomocnika, dysponował szeregiem innych środków dowodowych umożliwiających potwierdzenie bądź wykluczenie pokrewieństwa pomiędzy nim oraz małoletnim,</w:t>
      </w:r>
      <w:r w:rsidR="00992FD0" w:rsidRPr="00EC250C">
        <w:rPr>
          <w:lang w:eastAsia="en-US"/>
        </w:rPr>
        <w:t xml:space="preserve"> z </w:t>
      </w:r>
      <w:r w:rsidRPr="00EC250C">
        <w:rPr>
          <w:lang w:eastAsia="en-US"/>
        </w:rPr>
        <w:t>których nie skorzystał. Trybunał podkreślił przy tym, że również</w:t>
      </w:r>
      <w:r w:rsidR="00992FD0" w:rsidRPr="00EC250C">
        <w:rPr>
          <w:lang w:eastAsia="en-US"/>
        </w:rPr>
        <w:t xml:space="preserve"> z </w:t>
      </w:r>
      <w:r w:rsidRPr="00EC250C">
        <w:rPr>
          <w:lang w:eastAsia="en-US"/>
        </w:rPr>
        <w:t>zeznań samego skarżącego nie wynikało, aby ojcostwo innego mężczyzny było bardziej prawdopodobne. W tych okolicznościach wniosek</w:t>
      </w:r>
      <w:r w:rsidR="00992FD0" w:rsidRPr="00EC250C">
        <w:rPr>
          <w:lang w:eastAsia="en-US"/>
        </w:rPr>
        <w:t xml:space="preserve"> o </w:t>
      </w:r>
      <w:r w:rsidRPr="00EC250C">
        <w:rPr>
          <w:lang w:eastAsia="en-US"/>
        </w:rPr>
        <w:t>zaprzeczenie ojcostwa opierał się</w:t>
      </w:r>
      <w:r w:rsidR="00992FD0" w:rsidRPr="00EC250C">
        <w:rPr>
          <w:lang w:eastAsia="en-US"/>
        </w:rPr>
        <w:t xml:space="preserve"> w </w:t>
      </w:r>
      <w:r w:rsidRPr="00EC250C">
        <w:rPr>
          <w:lang w:eastAsia="en-US"/>
        </w:rPr>
        <w:t>ocenie Trybunału nie na rozsądnych</w:t>
      </w:r>
      <w:r w:rsidR="00992FD0" w:rsidRPr="00EC250C">
        <w:rPr>
          <w:lang w:eastAsia="en-US"/>
        </w:rPr>
        <w:t xml:space="preserve"> i </w:t>
      </w:r>
      <w:r w:rsidRPr="00EC250C">
        <w:rPr>
          <w:lang w:eastAsia="en-US"/>
        </w:rPr>
        <w:t xml:space="preserve">przekonujących dowodach, ale na własnych </w:t>
      </w:r>
      <w:r w:rsidRPr="00EC250C">
        <w:rPr>
          <w:lang w:eastAsia="en-US"/>
        </w:rPr>
        <w:lastRenderedPageBreak/>
        <w:t>przypuszczeniach skarżącego, bowiem poza prywatnym, przeprowadzonym</w:t>
      </w:r>
      <w:r w:rsidR="00992FD0" w:rsidRPr="00EC250C">
        <w:rPr>
          <w:lang w:eastAsia="en-US"/>
        </w:rPr>
        <w:t xml:space="preserve"> w </w:t>
      </w:r>
      <w:r w:rsidRPr="00EC250C">
        <w:rPr>
          <w:lang w:eastAsia="en-US"/>
        </w:rPr>
        <w:t>niepewnych warunkach badaniem DNA nie dysponował żadnym dowodem wskazującym na brak pokrewieństwa. W konsekwencji rozstrzygnięcie sądu krajowego, przyznające priorytet osobie małoletniego, nie nosiło</w:t>
      </w:r>
      <w:r w:rsidR="00992FD0" w:rsidRPr="00EC250C">
        <w:rPr>
          <w:lang w:eastAsia="en-US"/>
        </w:rPr>
        <w:t xml:space="preserve"> w </w:t>
      </w:r>
      <w:r w:rsidRPr="00EC250C">
        <w:rPr>
          <w:lang w:eastAsia="en-US"/>
        </w:rPr>
        <w:t>ocenie Trybunału znamion arbitralnego,</w:t>
      </w:r>
      <w:r w:rsidR="00992FD0" w:rsidRPr="00EC250C">
        <w:rPr>
          <w:lang w:eastAsia="en-US"/>
        </w:rPr>
        <w:t xml:space="preserve"> a </w:t>
      </w:r>
      <w:r w:rsidRPr="00EC250C">
        <w:rPr>
          <w:lang w:eastAsia="en-US"/>
        </w:rPr>
        <w:t>zatem nie doszło do naruszenia wymienionych przepisów Konwencji.</w:t>
      </w:r>
    </w:p>
    <w:p w14:paraId="79EEE7D4" w14:textId="77777777" w:rsidR="00C91F6E" w:rsidRPr="00EC250C" w:rsidRDefault="00335AF8" w:rsidP="00EC250C">
      <w:pPr>
        <w:pStyle w:val="Nagwek5"/>
      </w:pPr>
      <w:bookmarkStart w:id="926" w:name="_Toc6258091"/>
      <w:r w:rsidRPr="00EC250C">
        <w:t>24. Oller Kamińska v. Polska, 18/01/2018, skarga nr 28481/12</w:t>
      </w:r>
      <w:bookmarkEnd w:id="926"/>
    </w:p>
    <w:p w14:paraId="5D40A2E1" w14:textId="77777777" w:rsidR="00B473F5" w:rsidRPr="00EC250C" w:rsidRDefault="00335AF8" w:rsidP="00D131FA">
      <w:pPr>
        <w:pStyle w:val="Problemczowieka"/>
        <w:jc w:val="both"/>
        <w:rPr>
          <w:lang w:eastAsia="en-US"/>
        </w:rPr>
      </w:pPr>
      <w:r w:rsidRPr="00EC250C">
        <w:rPr>
          <w:lang w:eastAsia="en-US"/>
        </w:rPr>
        <w:t>Sprawa dotyczyła powrotu dziecka</w:t>
      </w:r>
      <w:r w:rsidR="00B473F5" w:rsidRPr="00EC250C">
        <w:rPr>
          <w:lang w:eastAsia="en-US"/>
        </w:rPr>
        <w:t>.</w:t>
      </w:r>
    </w:p>
    <w:p w14:paraId="13B57D1D" w14:textId="77777777" w:rsidR="00C91F6E" w:rsidRPr="00EC250C" w:rsidRDefault="00335AF8" w:rsidP="00D131FA">
      <w:pPr>
        <w:pStyle w:val="Styl1"/>
        <w:rPr>
          <w:lang w:eastAsia="en-US"/>
        </w:rPr>
      </w:pPr>
      <w:r w:rsidRPr="00EC250C">
        <w:rPr>
          <w:lang w:eastAsia="en-US"/>
        </w:rPr>
        <w:t>Skarżąca jest obywatelką polską, mieszkającą na stałe</w:t>
      </w:r>
      <w:r w:rsidR="00992FD0" w:rsidRPr="00EC250C">
        <w:rPr>
          <w:lang w:eastAsia="en-US"/>
        </w:rPr>
        <w:t xml:space="preserve"> w </w:t>
      </w:r>
      <w:r w:rsidRPr="00EC250C">
        <w:rPr>
          <w:lang w:eastAsia="en-US"/>
        </w:rPr>
        <w:t>Irlandii. W 2009</w:t>
      </w:r>
      <w:r w:rsidR="00C91F6E" w:rsidRPr="00EC250C">
        <w:rPr>
          <w:lang w:eastAsia="en-US"/>
        </w:rPr>
        <w:t> r.</w:t>
      </w:r>
      <w:r w:rsidRPr="00EC250C">
        <w:rPr>
          <w:lang w:eastAsia="en-US"/>
        </w:rPr>
        <w:t xml:space="preserve"> mąż skarżącej zabrał ich dziewięcioletnią wówczas córkę na wakacje do Polski, po zakończeniu których odmówił powrotu. Skarżąca wszczęła postępowanie przed sądami polskimi na podstawie Konwencji haskiej dotyczącej cywilnoprawnych aspektów uprowadzenia dziecka za granicę domagając się powrotu córki do Irlandii. Postępowanie</w:t>
      </w:r>
      <w:r w:rsidR="00992FD0" w:rsidRPr="00EC250C">
        <w:rPr>
          <w:lang w:eastAsia="en-US"/>
        </w:rPr>
        <w:t xml:space="preserve"> w </w:t>
      </w:r>
      <w:r w:rsidRPr="00EC250C">
        <w:rPr>
          <w:lang w:eastAsia="en-US"/>
        </w:rPr>
        <w:t>sprawie trwało 4 miesiące</w:t>
      </w:r>
      <w:r w:rsidR="00992FD0" w:rsidRPr="00EC250C">
        <w:rPr>
          <w:lang w:eastAsia="en-US"/>
        </w:rPr>
        <w:t xml:space="preserve"> i </w:t>
      </w:r>
      <w:r w:rsidRPr="00EC250C">
        <w:rPr>
          <w:lang w:eastAsia="en-US"/>
        </w:rPr>
        <w:t>zakończyło się odmową wydania córki skarżącej. W skardze do Trybunału skarżąca zarzuciła naruszenie przewidzianego</w:t>
      </w:r>
      <w:r w:rsidR="00992FD0" w:rsidRPr="00EC250C">
        <w:rPr>
          <w:lang w:eastAsia="en-US"/>
        </w:rPr>
        <w:t xml:space="preserve"> w </w:t>
      </w:r>
      <w:r w:rsidRPr="00EC250C">
        <w:rPr>
          <w:lang w:eastAsia="en-US"/>
        </w:rPr>
        <w:t>art. 6</w:t>
      </w:r>
      <w:r w:rsidR="00992FD0" w:rsidRPr="00EC250C">
        <w:rPr>
          <w:lang w:eastAsia="en-US"/>
        </w:rPr>
        <w:t xml:space="preserve"> i </w:t>
      </w:r>
      <w:r w:rsidRPr="00EC250C">
        <w:rPr>
          <w:lang w:eastAsia="en-US"/>
        </w:rPr>
        <w:t>8 Konwencji prawa do rzetelnego procesu oraz poszanowania życia rodzinnego podnosząc, iż władze krajowe nie zapewniły jej natychmiastowego powrotu córki, którego konieczność wynikała</w:t>
      </w:r>
      <w:r w:rsidR="00992FD0" w:rsidRPr="00EC250C">
        <w:rPr>
          <w:lang w:eastAsia="en-US"/>
        </w:rPr>
        <w:t xml:space="preserve"> z </w:t>
      </w:r>
      <w:r w:rsidRPr="00EC250C">
        <w:rPr>
          <w:lang w:eastAsia="en-US"/>
        </w:rPr>
        <w:t>orzeczeń sądów irlandzkich.</w:t>
      </w:r>
    </w:p>
    <w:p w14:paraId="348D802D" w14:textId="77777777" w:rsidR="00C91F6E" w:rsidRPr="00EC250C" w:rsidRDefault="00335AF8" w:rsidP="00D131FA">
      <w:pPr>
        <w:pStyle w:val="Styl1"/>
        <w:rPr>
          <w:lang w:eastAsia="en-US"/>
        </w:rPr>
      </w:pPr>
      <w:r w:rsidRPr="00EC250C">
        <w:rPr>
          <w:lang w:eastAsia="en-US"/>
        </w:rPr>
        <w:t>Trybunał przychylił się do zarzutów skargi. Powołując się na swoje wcześniejsze orzecznictwo wskazał, że</w:t>
      </w:r>
      <w:r w:rsidR="00992FD0" w:rsidRPr="00EC250C">
        <w:rPr>
          <w:lang w:eastAsia="en-US"/>
        </w:rPr>
        <w:t xml:space="preserve"> w </w:t>
      </w:r>
      <w:r w:rsidRPr="00EC250C">
        <w:rPr>
          <w:lang w:eastAsia="en-US"/>
        </w:rPr>
        <w:t>sprawach dotyczących opieki nad dziećmi niezwykle istotnym czynnikiem jest czas. Tymczasem,</w:t>
      </w:r>
      <w:r w:rsidR="00992FD0" w:rsidRPr="00EC250C">
        <w:rPr>
          <w:spacing w:val="10"/>
          <w:lang w:eastAsia="en-US"/>
        </w:rPr>
        <w:t xml:space="preserve"> w </w:t>
      </w:r>
      <w:r w:rsidRPr="00EC250C">
        <w:rPr>
          <w:lang w:eastAsia="en-US"/>
        </w:rPr>
        <w:t>ocenie Trybunału, polskie władze krajowe nie procedowały sprawnie. Działania</w:t>
      </w:r>
      <w:r w:rsidR="00992FD0" w:rsidRPr="00EC250C">
        <w:rPr>
          <w:lang w:eastAsia="en-US"/>
        </w:rPr>
        <w:t xml:space="preserve"> w </w:t>
      </w:r>
      <w:r w:rsidRPr="00EC250C">
        <w:rPr>
          <w:lang w:eastAsia="en-US"/>
        </w:rPr>
        <w:t>celu wykonania orzeczenia sądu irlandzkiego</w:t>
      </w:r>
      <w:r w:rsidR="00992FD0" w:rsidRPr="00EC250C">
        <w:rPr>
          <w:lang w:eastAsia="en-US"/>
        </w:rPr>
        <w:t xml:space="preserve"> w </w:t>
      </w:r>
      <w:r w:rsidRPr="00EC250C">
        <w:rPr>
          <w:lang w:eastAsia="en-US"/>
        </w:rPr>
        <w:t>przedmiocie opieki nad małoletnią podjęto po upływie 7 miesięcy od momentu wszczęcia</w:t>
      </w:r>
      <w:r w:rsidR="00992FD0" w:rsidRPr="00EC250C">
        <w:rPr>
          <w:lang w:eastAsia="en-US"/>
        </w:rPr>
        <w:t xml:space="preserve"> w </w:t>
      </w:r>
      <w:r w:rsidRPr="00EC250C">
        <w:rPr>
          <w:lang w:eastAsia="en-US"/>
        </w:rPr>
        <w:t>tym zakresie postępowania przez skarżącą. Jednocześnie ponad rok zajęło władzom krajowym ustalenie, czy to rozstrzygnięcie jest ważne.</w:t>
      </w:r>
    </w:p>
    <w:p w14:paraId="337B127E" w14:textId="77777777" w:rsidR="00335AF8" w:rsidRPr="00EC250C" w:rsidRDefault="00335AF8" w:rsidP="00D131FA">
      <w:pPr>
        <w:pStyle w:val="Styl1"/>
        <w:rPr>
          <w:lang w:eastAsia="en-US"/>
        </w:rPr>
      </w:pPr>
      <w:r w:rsidRPr="00EC250C">
        <w:rPr>
          <w:lang w:eastAsia="en-US"/>
        </w:rPr>
        <w:t>W ocenie Trybunału ani fakt odmiennych wniosków, do jakich dochodziły sądy obu państw</w:t>
      </w:r>
      <w:r w:rsidR="00992FD0" w:rsidRPr="00EC250C">
        <w:rPr>
          <w:lang w:eastAsia="en-US"/>
        </w:rPr>
        <w:t xml:space="preserve"> w </w:t>
      </w:r>
      <w:r w:rsidRPr="00EC250C">
        <w:rPr>
          <w:lang w:eastAsia="en-US"/>
        </w:rPr>
        <w:t>ocenie tego, co leżało</w:t>
      </w:r>
      <w:r w:rsidR="00992FD0" w:rsidRPr="00EC250C">
        <w:rPr>
          <w:lang w:eastAsia="en-US"/>
        </w:rPr>
        <w:t xml:space="preserve"> w </w:t>
      </w:r>
      <w:r w:rsidRPr="00EC250C">
        <w:rPr>
          <w:lang w:eastAsia="en-US"/>
        </w:rPr>
        <w:t>interesie dziecka, ani też trudności</w:t>
      </w:r>
      <w:r w:rsidR="00992FD0" w:rsidRPr="00EC250C">
        <w:rPr>
          <w:lang w:eastAsia="en-US"/>
        </w:rPr>
        <w:t xml:space="preserve"> w </w:t>
      </w:r>
      <w:r w:rsidRPr="00EC250C">
        <w:rPr>
          <w:lang w:eastAsia="en-US"/>
        </w:rPr>
        <w:t>wykonaniu orzeczenia warunkowane konfliktem rodziców, nie mogły tłumaczyć tak długiego czasu procedowania. Trybunał podkreślił także, że dopóki</w:t>
      </w:r>
      <w:r w:rsidR="00992FD0" w:rsidRPr="00EC250C">
        <w:rPr>
          <w:lang w:eastAsia="en-US"/>
        </w:rPr>
        <w:t xml:space="preserve"> w </w:t>
      </w:r>
      <w:r w:rsidRPr="00EC250C">
        <w:rPr>
          <w:lang w:eastAsia="en-US"/>
        </w:rPr>
        <w:t>obrocie prawnym funkcjonuje rozstrzygnięcie nakazujące powrót dziecka, dopóty istnieje domniemanie, że to właśnie orzeczenie uwzględnia jego dobro</w:t>
      </w:r>
      <w:r w:rsidR="00992FD0" w:rsidRPr="00EC250C">
        <w:rPr>
          <w:lang w:eastAsia="en-US"/>
        </w:rPr>
        <w:t xml:space="preserve"> i </w:t>
      </w:r>
      <w:r w:rsidRPr="00EC250C">
        <w:rPr>
          <w:lang w:eastAsia="en-US"/>
        </w:rPr>
        <w:t>leży</w:t>
      </w:r>
      <w:r w:rsidR="00992FD0" w:rsidRPr="00EC250C">
        <w:rPr>
          <w:lang w:eastAsia="en-US"/>
        </w:rPr>
        <w:t xml:space="preserve"> w </w:t>
      </w:r>
      <w:r w:rsidRPr="00EC250C">
        <w:rPr>
          <w:lang w:eastAsia="en-US"/>
        </w:rPr>
        <w:t>jego interesie. W konsekwencji Trybunał stwierdził, że doszło do naruszenia art. 8 Konwencji. Tytułem słusznego zadośćuczynienia zasądził na rzecz skarżącej kwotę 15 000 euro oraz kwotę 10 000 euro tytułem zwrotu kosztów.</w:t>
      </w:r>
    </w:p>
    <w:p w14:paraId="138144F1" w14:textId="77777777" w:rsidR="00335AF8" w:rsidRPr="00EC250C" w:rsidRDefault="00335AF8" w:rsidP="00EC250C">
      <w:pPr>
        <w:pStyle w:val="Nagwek5"/>
      </w:pPr>
      <w:bookmarkStart w:id="927" w:name="_Toc6258092"/>
      <w:r w:rsidRPr="00EC250C">
        <w:lastRenderedPageBreak/>
        <w:t>25. Kościół Chrześcijan Baptystów v. Polska, 05/04/2018, skarga nr 32045/10</w:t>
      </w:r>
      <w:bookmarkEnd w:id="927"/>
    </w:p>
    <w:p w14:paraId="613E8ADF" w14:textId="77777777" w:rsidR="00B473F5" w:rsidRPr="00EC250C" w:rsidRDefault="00335AF8" w:rsidP="00D131FA">
      <w:pPr>
        <w:pStyle w:val="Problemczowieka"/>
        <w:jc w:val="both"/>
        <w:rPr>
          <w:lang w:eastAsia="en-US"/>
        </w:rPr>
      </w:pPr>
      <w:r w:rsidRPr="00EC250C">
        <w:rPr>
          <w:lang w:eastAsia="en-US"/>
        </w:rPr>
        <w:t>Sprawa dotyczyła odmowy zwrotu nieruchomości należącej wcześniej do Kościoła,</w:t>
      </w:r>
      <w:r w:rsidR="00992FD0" w:rsidRPr="00EC250C">
        <w:rPr>
          <w:lang w:eastAsia="en-US"/>
        </w:rPr>
        <w:t xml:space="preserve"> a </w:t>
      </w:r>
      <w:r w:rsidRPr="00EC250C">
        <w:rPr>
          <w:lang w:eastAsia="en-US"/>
        </w:rPr>
        <w:t>przejętej przez Państwo</w:t>
      </w:r>
      <w:r w:rsidR="00992FD0" w:rsidRPr="00EC250C">
        <w:rPr>
          <w:lang w:eastAsia="en-US"/>
        </w:rPr>
        <w:t xml:space="preserve"> w </w:t>
      </w:r>
      <w:r w:rsidRPr="00EC250C">
        <w:rPr>
          <w:lang w:eastAsia="en-US"/>
        </w:rPr>
        <w:t>okresie PRL</w:t>
      </w:r>
      <w:r w:rsidR="00B473F5" w:rsidRPr="00EC250C">
        <w:rPr>
          <w:lang w:eastAsia="en-US"/>
        </w:rPr>
        <w:t>.</w:t>
      </w:r>
    </w:p>
    <w:p w14:paraId="37626521" w14:textId="77777777" w:rsidR="00C91F6E" w:rsidRPr="00EC250C" w:rsidRDefault="00335AF8" w:rsidP="00D131FA">
      <w:pPr>
        <w:pStyle w:val="Styl1"/>
        <w:rPr>
          <w:bCs/>
          <w:lang w:eastAsia="en-US"/>
        </w:rPr>
      </w:pPr>
      <w:r w:rsidRPr="00EC250C">
        <w:rPr>
          <w:lang w:eastAsia="en-US"/>
        </w:rPr>
        <w:t>Regulująca te kwestie ustawa</w:t>
      </w:r>
      <w:r w:rsidR="00992FD0" w:rsidRPr="00EC250C">
        <w:rPr>
          <w:lang w:eastAsia="en-US"/>
        </w:rPr>
        <w:t xml:space="preserve"> z </w:t>
      </w:r>
      <w:r w:rsidRPr="00EC250C">
        <w:rPr>
          <w:lang w:eastAsia="en-US"/>
        </w:rPr>
        <w:t>dnia 30 czerwca 1995 roku</w:t>
      </w:r>
      <w:r w:rsidR="00992FD0" w:rsidRPr="00EC250C">
        <w:rPr>
          <w:lang w:eastAsia="en-US"/>
        </w:rPr>
        <w:t xml:space="preserve"> o </w:t>
      </w:r>
      <w:r w:rsidRPr="00EC250C">
        <w:rPr>
          <w:lang w:eastAsia="en-US"/>
        </w:rPr>
        <w:t>stosunku Państwa Polskiego do Kościoła Chrześcijan Baptystów</w:t>
      </w:r>
      <w:r w:rsidR="00992FD0" w:rsidRPr="00EC250C">
        <w:rPr>
          <w:lang w:eastAsia="en-US"/>
        </w:rPr>
        <w:t xml:space="preserve"> w </w:t>
      </w:r>
      <w:r w:rsidRPr="00EC250C">
        <w:rPr>
          <w:lang w:eastAsia="en-US"/>
        </w:rPr>
        <w:t>Rzeczpospolitej Polskiej, po wyroku TK</w:t>
      </w:r>
      <w:r w:rsidR="00992FD0" w:rsidRPr="00EC250C">
        <w:rPr>
          <w:lang w:eastAsia="en-US"/>
        </w:rPr>
        <w:t xml:space="preserve"> z </w:t>
      </w:r>
      <w:r w:rsidRPr="00EC250C">
        <w:rPr>
          <w:lang w:eastAsia="en-US"/>
        </w:rPr>
        <w:t>8 listopada 2005</w:t>
      </w:r>
      <w:r w:rsidR="00C91F6E" w:rsidRPr="00EC250C">
        <w:rPr>
          <w:lang w:eastAsia="en-US"/>
        </w:rPr>
        <w:t> r.</w:t>
      </w:r>
      <w:r w:rsidRPr="00EC250C">
        <w:rPr>
          <w:lang w:eastAsia="en-US"/>
        </w:rPr>
        <w:t xml:space="preserve">, sygn. SK 25/02, została znowelizowana: </w:t>
      </w:r>
      <w:r w:rsidRPr="00EC250C">
        <w:rPr>
          <w:bCs/>
          <w:lang w:eastAsia="en-US"/>
        </w:rPr>
        <w:t>Kościół Chrześcijan Baptystów</w:t>
      </w:r>
      <w:r w:rsidR="00992FD0" w:rsidRPr="00EC250C">
        <w:rPr>
          <w:bCs/>
          <w:lang w:eastAsia="en-US"/>
        </w:rPr>
        <w:t xml:space="preserve"> i </w:t>
      </w:r>
      <w:r w:rsidRPr="00EC250C">
        <w:rPr>
          <w:bCs/>
          <w:lang w:eastAsia="en-US"/>
        </w:rPr>
        <w:t>jego osoby prawne zostały uznane za następców prawnych jedynie tych zborów, organizacji</w:t>
      </w:r>
      <w:r w:rsidR="00992FD0" w:rsidRPr="00EC250C">
        <w:rPr>
          <w:bCs/>
          <w:lang w:eastAsia="en-US"/>
        </w:rPr>
        <w:t xml:space="preserve"> i </w:t>
      </w:r>
      <w:r w:rsidRPr="00EC250C">
        <w:rPr>
          <w:bCs/>
          <w:lang w:eastAsia="en-US"/>
        </w:rPr>
        <w:t>gmin baptystycznych, które działały na terytorium Rzeczypospolitej Polskiej przed 1 września 1939</w:t>
      </w:r>
      <w:r w:rsidR="00C91F6E" w:rsidRPr="00EC250C">
        <w:rPr>
          <w:bCs/>
          <w:lang w:eastAsia="en-US"/>
        </w:rPr>
        <w:t> r.</w:t>
      </w:r>
      <w:r w:rsidRPr="00EC250C">
        <w:rPr>
          <w:bCs/>
          <w:lang w:eastAsia="en-US"/>
        </w:rPr>
        <w:t xml:space="preserve"> Regulacja ta zmieniła zatem krąg podmiotów, których następcą prawnym jest Kościół Chrześcijan Baptystów</w:t>
      </w:r>
      <w:r w:rsidR="00992FD0" w:rsidRPr="00EC250C">
        <w:rPr>
          <w:bCs/>
          <w:lang w:eastAsia="en-US"/>
        </w:rPr>
        <w:t xml:space="preserve"> i </w:t>
      </w:r>
      <w:r w:rsidRPr="00EC250C">
        <w:rPr>
          <w:bCs/>
          <w:lang w:eastAsia="en-US"/>
        </w:rPr>
        <w:t>jego osoby prawne, wyłączając</w:t>
      </w:r>
      <w:r w:rsidR="00992FD0" w:rsidRPr="00EC250C">
        <w:rPr>
          <w:bCs/>
          <w:lang w:eastAsia="en-US"/>
        </w:rPr>
        <w:t xml:space="preserve"> z </w:t>
      </w:r>
      <w:r w:rsidRPr="00EC250C">
        <w:rPr>
          <w:bCs/>
          <w:lang w:eastAsia="en-US"/>
        </w:rPr>
        <w:t>tego kręgu podmioty, które przed 1 września 1939</w:t>
      </w:r>
      <w:r w:rsidR="00C91F6E" w:rsidRPr="00EC250C">
        <w:rPr>
          <w:bCs/>
          <w:lang w:eastAsia="en-US"/>
        </w:rPr>
        <w:t> r.</w:t>
      </w:r>
      <w:r w:rsidRPr="00EC250C">
        <w:rPr>
          <w:bCs/>
          <w:lang w:eastAsia="en-US"/>
        </w:rPr>
        <w:t xml:space="preserve"> działały na terenach Ziem Zachodnich</w:t>
      </w:r>
      <w:r w:rsidR="00992FD0" w:rsidRPr="00EC250C">
        <w:rPr>
          <w:bCs/>
          <w:lang w:eastAsia="en-US"/>
        </w:rPr>
        <w:t xml:space="preserve"> i </w:t>
      </w:r>
      <w:r w:rsidRPr="00EC250C">
        <w:rPr>
          <w:bCs/>
          <w:lang w:eastAsia="en-US"/>
        </w:rPr>
        <w:t>Północnych, wchodzących wówczas</w:t>
      </w:r>
      <w:r w:rsidR="00992FD0" w:rsidRPr="00EC250C">
        <w:rPr>
          <w:bCs/>
          <w:lang w:eastAsia="en-US"/>
        </w:rPr>
        <w:t xml:space="preserve"> w </w:t>
      </w:r>
      <w:r w:rsidRPr="00EC250C">
        <w:rPr>
          <w:bCs/>
          <w:lang w:eastAsia="en-US"/>
        </w:rPr>
        <w:t>skład terytorium III Rzeszy Niemieckiej.</w:t>
      </w:r>
    </w:p>
    <w:p w14:paraId="54CE6DD7" w14:textId="77777777" w:rsidR="00C91F6E" w:rsidRPr="00EC250C" w:rsidRDefault="00335AF8" w:rsidP="00D131FA">
      <w:pPr>
        <w:pStyle w:val="Styl1"/>
        <w:rPr>
          <w:bCs/>
          <w:lang w:eastAsia="en-US"/>
        </w:rPr>
      </w:pPr>
      <w:r w:rsidRPr="00EC250C">
        <w:rPr>
          <w:bCs/>
          <w:lang w:eastAsia="en-US"/>
        </w:rPr>
        <w:t>W ocenie Trybunału, zmiana ustawy nie pozbawiła skarżącego Kościoła uzasadnionej ekspektatywy prawa majątkowego (w rozumieniu Protokołu), ponieważ nawet przed zmianą prawa skarżący nie miał żadnego uzasadnionego oczekiwania nabycia prawa. Ponieważ nie pozbawiono go zatem żadnego majątku, skargę</w:t>
      </w:r>
      <w:r w:rsidR="00992FD0" w:rsidRPr="00EC250C">
        <w:rPr>
          <w:bCs/>
          <w:lang w:eastAsia="en-US"/>
        </w:rPr>
        <w:t xml:space="preserve"> w </w:t>
      </w:r>
      <w:r w:rsidRPr="00EC250C">
        <w:rPr>
          <w:bCs/>
          <w:lang w:eastAsia="en-US"/>
        </w:rPr>
        <w:t>tej części uznano za niedopuszczalną. Podzielono jednak zarzut przewlekłości postępowania, stwierdzając naruszenie art. 6 ust. 1 Konwencji.</w:t>
      </w:r>
    </w:p>
    <w:p w14:paraId="0E58BC8E" w14:textId="77777777" w:rsidR="00C91F6E" w:rsidRPr="00EC250C" w:rsidRDefault="00335AF8" w:rsidP="00EC250C">
      <w:pPr>
        <w:pStyle w:val="Nagwek5"/>
      </w:pPr>
      <w:bookmarkStart w:id="928" w:name="_Toc6258093"/>
      <w:r w:rsidRPr="00EC250C">
        <w:t>26. Wcisło</w:t>
      </w:r>
      <w:r w:rsidR="00992FD0" w:rsidRPr="00EC250C">
        <w:t xml:space="preserve"> i </w:t>
      </w:r>
      <w:r w:rsidRPr="00EC250C">
        <w:t>Cabaj v. Polska, 08/11/2018, skargi nr 49725/11</w:t>
      </w:r>
      <w:r w:rsidR="00992FD0" w:rsidRPr="00EC250C">
        <w:t xml:space="preserve"> i </w:t>
      </w:r>
      <w:r w:rsidRPr="00EC250C">
        <w:t>79950/13</w:t>
      </w:r>
      <w:bookmarkEnd w:id="928"/>
    </w:p>
    <w:p w14:paraId="7D465931" w14:textId="77777777" w:rsidR="00B473F5" w:rsidRPr="00EC250C" w:rsidRDefault="00335AF8" w:rsidP="00D131FA">
      <w:pPr>
        <w:pStyle w:val="Problemczowieka"/>
        <w:jc w:val="both"/>
        <w:rPr>
          <w:lang w:eastAsia="en-US"/>
        </w:rPr>
      </w:pPr>
      <w:r w:rsidRPr="00EC250C">
        <w:rPr>
          <w:lang w:eastAsia="en-US"/>
        </w:rPr>
        <w:t>Sprawa Wcisło v. Polska dotyczyła przewlekłości postępowania administracyjnego</w:t>
      </w:r>
      <w:r w:rsidR="00992FD0" w:rsidRPr="00EC250C">
        <w:rPr>
          <w:lang w:eastAsia="en-US"/>
        </w:rPr>
        <w:t xml:space="preserve"> w </w:t>
      </w:r>
      <w:r w:rsidRPr="00EC250C">
        <w:rPr>
          <w:lang w:eastAsia="en-US"/>
        </w:rPr>
        <w:t>sprawie samowoli budowlanej, natomiast sprawa Cabaj v. Polska dotyczyła przewlekłości postępowania</w:t>
      </w:r>
      <w:r w:rsidR="00992FD0" w:rsidRPr="00EC250C">
        <w:rPr>
          <w:lang w:eastAsia="en-US"/>
        </w:rPr>
        <w:t xml:space="preserve"> w </w:t>
      </w:r>
      <w:r w:rsidRPr="00EC250C">
        <w:rPr>
          <w:lang w:eastAsia="en-US"/>
        </w:rPr>
        <w:t>sprawie podziału działki pod drogę publiczną (oraz stwierdzenia nieważności tej decyzji)</w:t>
      </w:r>
      <w:r w:rsidR="00992FD0" w:rsidRPr="00EC250C">
        <w:rPr>
          <w:lang w:eastAsia="en-US"/>
        </w:rPr>
        <w:t xml:space="preserve"> i </w:t>
      </w:r>
      <w:r w:rsidRPr="00EC250C">
        <w:rPr>
          <w:lang w:eastAsia="en-US"/>
        </w:rPr>
        <w:t>postępowania</w:t>
      </w:r>
      <w:r w:rsidR="00992FD0" w:rsidRPr="00EC250C">
        <w:rPr>
          <w:lang w:eastAsia="en-US"/>
        </w:rPr>
        <w:t xml:space="preserve"> o </w:t>
      </w:r>
      <w:r w:rsidRPr="00EC250C">
        <w:rPr>
          <w:lang w:eastAsia="en-US"/>
        </w:rPr>
        <w:t>odszkodowanie za przejęcie własności</w:t>
      </w:r>
      <w:r w:rsidR="00B473F5" w:rsidRPr="00EC250C">
        <w:rPr>
          <w:lang w:eastAsia="en-US"/>
        </w:rPr>
        <w:t>.</w:t>
      </w:r>
    </w:p>
    <w:p w14:paraId="0ED8A331" w14:textId="77777777" w:rsidR="00C91F6E" w:rsidRPr="00EC250C" w:rsidRDefault="00335AF8" w:rsidP="00D131FA">
      <w:pPr>
        <w:pStyle w:val="Styl1"/>
        <w:rPr>
          <w:lang w:eastAsia="en-US"/>
        </w:rPr>
      </w:pPr>
      <w:r w:rsidRPr="00EC250C">
        <w:rPr>
          <w:lang w:eastAsia="en-US"/>
        </w:rPr>
        <w:t>W obu przypadkach Trybunał stwierdził naruszenie art. 6 ust. 1 Konwencji (postępowania trwały odpowiednio 16</w:t>
      </w:r>
      <w:r w:rsidR="00992FD0" w:rsidRPr="00EC250C">
        <w:rPr>
          <w:lang w:eastAsia="en-US"/>
        </w:rPr>
        <w:t xml:space="preserve"> i </w:t>
      </w:r>
      <w:r w:rsidRPr="00EC250C">
        <w:rPr>
          <w:lang w:eastAsia="en-US"/>
        </w:rPr>
        <w:t>17 lat),</w:t>
      </w:r>
      <w:r w:rsidR="00992FD0" w:rsidRPr="00EC250C">
        <w:rPr>
          <w:lang w:eastAsia="en-US"/>
        </w:rPr>
        <w:t xml:space="preserve"> a w </w:t>
      </w:r>
      <w:r w:rsidRPr="00EC250C">
        <w:rPr>
          <w:lang w:eastAsia="en-US"/>
        </w:rPr>
        <w:t>sprawie Cabaj – dodatkowo naruszenie art. 1 Protokołu Nr 1, jako że chodziło tu</w:t>
      </w:r>
      <w:r w:rsidR="00992FD0" w:rsidRPr="00EC250C">
        <w:rPr>
          <w:lang w:eastAsia="en-US"/>
        </w:rPr>
        <w:t xml:space="preserve"> o </w:t>
      </w:r>
      <w:r w:rsidRPr="00EC250C">
        <w:rPr>
          <w:lang w:eastAsia="en-US"/>
        </w:rPr>
        <w:t>odszkodowanie za pozbawienie własności (w sprawie p. Wcisło nie było takiej konieczności). Trybunał uznał, że mimo że skarżący dysponowali szeregiem środków prawnych mających zwalczać przewlekłość postępowań administracyjnych, żaden</w:t>
      </w:r>
      <w:r w:rsidR="00992FD0" w:rsidRPr="00EC250C">
        <w:rPr>
          <w:lang w:eastAsia="en-US"/>
        </w:rPr>
        <w:t xml:space="preserve"> z </w:t>
      </w:r>
      <w:r w:rsidRPr="00EC250C">
        <w:rPr>
          <w:lang w:eastAsia="en-US"/>
        </w:rPr>
        <w:t>nich nie okazał się skuteczny,</w:t>
      </w:r>
      <w:r w:rsidR="00992FD0" w:rsidRPr="00EC250C">
        <w:rPr>
          <w:lang w:eastAsia="en-US"/>
        </w:rPr>
        <w:t xml:space="preserve"> w </w:t>
      </w:r>
      <w:r w:rsidRPr="00EC250C">
        <w:rPr>
          <w:lang w:eastAsia="en-US"/>
        </w:rPr>
        <w:t>związku</w:t>
      </w:r>
      <w:r w:rsidR="00992FD0" w:rsidRPr="00EC250C">
        <w:rPr>
          <w:lang w:eastAsia="en-US"/>
        </w:rPr>
        <w:t xml:space="preserve"> z </w:t>
      </w:r>
      <w:r w:rsidRPr="00EC250C">
        <w:rPr>
          <w:lang w:eastAsia="en-US"/>
        </w:rPr>
        <w:t>czym uznał, że pozbawiono ich skutecznego środka odwoławczego (naruszenie art. 13</w:t>
      </w:r>
      <w:r w:rsidR="00992FD0" w:rsidRPr="00EC250C">
        <w:rPr>
          <w:lang w:eastAsia="en-US"/>
        </w:rPr>
        <w:t xml:space="preserve"> w </w:t>
      </w:r>
      <w:r w:rsidRPr="00EC250C">
        <w:rPr>
          <w:lang w:eastAsia="en-US"/>
        </w:rPr>
        <w:t>zw.</w:t>
      </w:r>
      <w:r w:rsidR="00992FD0" w:rsidRPr="00EC250C">
        <w:rPr>
          <w:lang w:eastAsia="en-US"/>
        </w:rPr>
        <w:t xml:space="preserve"> z </w:t>
      </w:r>
      <w:r w:rsidRPr="00EC250C">
        <w:rPr>
          <w:lang w:eastAsia="en-US"/>
        </w:rPr>
        <w:t>art. 6 ust.1 Konwencji).</w:t>
      </w:r>
    </w:p>
    <w:p w14:paraId="27F941FB" w14:textId="77777777" w:rsidR="00335AF8" w:rsidRPr="00EC250C" w:rsidRDefault="00335AF8" w:rsidP="00EC250C">
      <w:pPr>
        <w:pStyle w:val="Nagwek5"/>
      </w:pPr>
      <w:bookmarkStart w:id="929" w:name="_Toc6258094"/>
      <w:r w:rsidRPr="00EC250C">
        <w:t>27. Bukowski</w:t>
      </w:r>
      <w:r w:rsidR="00992FD0" w:rsidRPr="00EC250C">
        <w:t xml:space="preserve"> i </w:t>
      </w:r>
      <w:r w:rsidRPr="00EC250C">
        <w:t>inni v. Polska, 06/12/2018, skarga nr 47395/09</w:t>
      </w:r>
      <w:bookmarkEnd w:id="929"/>
    </w:p>
    <w:p w14:paraId="2064EFFC" w14:textId="77777777" w:rsidR="00B473F5" w:rsidRPr="00EC250C" w:rsidRDefault="00335AF8" w:rsidP="00D131FA">
      <w:pPr>
        <w:pStyle w:val="Problemczowieka"/>
        <w:jc w:val="both"/>
        <w:rPr>
          <w:lang w:eastAsia="en-US"/>
        </w:rPr>
      </w:pPr>
      <w:r w:rsidRPr="00EC250C">
        <w:rPr>
          <w:lang w:eastAsia="en-US"/>
        </w:rPr>
        <w:t>Skarga dotyczyła przewlekłości postępowań dotyczących nieruchomości warszawskiej:</w:t>
      </w:r>
      <w:r w:rsidR="00B473F5" w:rsidRPr="00EC250C">
        <w:rPr>
          <w:lang w:eastAsia="en-US"/>
        </w:rPr>
        <w:t>.</w:t>
      </w:r>
    </w:p>
    <w:p w14:paraId="5B575A0E" w14:textId="77777777" w:rsidR="00C91F6E" w:rsidRPr="00EC250C" w:rsidRDefault="00335AF8" w:rsidP="00D131FA">
      <w:pPr>
        <w:pStyle w:val="Styl1"/>
        <w:rPr>
          <w:lang w:eastAsia="en-US"/>
        </w:rPr>
      </w:pPr>
      <w:r w:rsidRPr="00EC250C">
        <w:rPr>
          <w:lang w:eastAsia="en-US"/>
        </w:rPr>
        <w:lastRenderedPageBreak/>
        <w:t>Postępowania</w:t>
      </w:r>
      <w:r w:rsidR="00992FD0" w:rsidRPr="00EC250C">
        <w:rPr>
          <w:lang w:eastAsia="en-US"/>
        </w:rPr>
        <w:t xml:space="preserve"> o </w:t>
      </w:r>
      <w:r w:rsidRPr="00EC250C">
        <w:rPr>
          <w:lang w:eastAsia="en-US"/>
        </w:rPr>
        <w:t>przywrócenie własności, postępowania dot. wysokości opłat za użytkowanie wieczyste gruntu, postępowania</w:t>
      </w:r>
      <w:r w:rsidR="00992FD0" w:rsidRPr="00EC250C">
        <w:rPr>
          <w:lang w:eastAsia="en-US"/>
        </w:rPr>
        <w:t xml:space="preserve"> o </w:t>
      </w:r>
      <w:r w:rsidRPr="00EC250C">
        <w:rPr>
          <w:lang w:eastAsia="en-US"/>
        </w:rPr>
        <w:t>stwierdzenie nieważności decyzji komunalizacyjnej oraz postępowania</w:t>
      </w:r>
      <w:r w:rsidR="00992FD0" w:rsidRPr="00EC250C">
        <w:rPr>
          <w:lang w:eastAsia="en-US"/>
        </w:rPr>
        <w:t xml:space="preserve"> o </w:t>
      </w:r>
      <w:r w:rsidRPr="00EC250C">
        <w:rPr>
          <w:lang w:eastAsia="en-US"/>
        </w:rPr>
        <w:t>przekształcenie użytkowania wieczystego</w:t>
      </w:r>
      <w:r w:rsidR="00992FD0" w:rsidRPr="00EC250C">
        <w:rPr>
          <w:lang w:eastAsia="en-US"/>
        </w:rPr>
        <w:t xml:space="preserve"> w </w:t>
      </w:r>
      <w:r w:rsidRPr="00EC250C">
        <w:rPr>
          <w:lang w:eastAsia="en-US"/>
        </w:rPr>
        <w:t>prawo własności. Trybunał uznał, że skoro skarżącemu ostatecznie przywrócono prawo własności,</w:t>
      </w:r>
      <w:r w:rsidR="00992FD0" w:rsidRPr="00EC250C">
        <w:rPr>
          <w:lang w:eastAsia="en-US"/>
        </w:rPr>
        <w:t xml:space="preserve"> w </w:t>
      </w:r>
      <w:r w:rsidRPr="00EC250C">
        <w:rPr>
          <w:lang w:eastAsia="en-US"/>
        </w:rPr>
        <w:t>tym zakresie nie jest osobą pokrzywdzoną, zatem skarga podlega odrzuceniu. Jeżeli zaś chodzi</w:t>
      </w:r>
      <w:r w:rsidR="00992FD0" w:rsidRPr="00EC250C">
        <w:rPr>
          <w:lang w:eastAsia="en-US"/>
        </w:rPr>
        <w:t xml:space="preserve"> o </w:t>
      </w:r>
      <w:r w:rsidRPr="00EC250C">
        <w:rPr>
          <w:lang w:eastAsia="en-US"/>
        </w:rPr>
        <w:t>naruszenie prawa do rozpoznania sprawy</w:t>
      </w:r>
      <w:r w:rsidR="00992FD0" w:rsidRPr="00EC250C">
        <w:rPr>
          <w:lang w:eastAsia="en-US"/>
        </w:rPr>
        <w:t xml:space="preserve"> w </w:t>
      </w:r>
      <w:r w:rsidRPr="00EC250C">
        <w:rPr>
          <w:lang w:eastAsia="en-US"/>
        </w:rPr>
        <w:t>rozsądnym czasie, uznał, że doszło do tego jedynie</w:t>
      </w:r>
      <w:r w:rsidR="00992FD0" w:rsidRPr="00EC250C">
        <w:rPr>
          <w:lang w:eastAsia="en-US"/>
        </w:rPr>
        <w:t xml:space="preserve"> w </w:t>
      </w:r>
      <w:r w:rsidRPr="00EC250C">
        <w:rPr>
          <w:lang w:eastAsia="en-US"/>
        </w:rPr>
        <w:t>pierwszym postępowaniu, które trwało 17 lat,</w:t>
      </w:r>
      <w:r w:rsidR="00992FD0" w:rsidRPr="00EC250C">
        <w:rPr>
          <w:lang w:eastAsia="en-US"/>
        </w:rPr>
        <w:t xml:space="preserve"> w </w:t>
      </w:r>
      <w:r w:rsidRPr="00EC250C">
        <w:rPr>
          <w:lang w:eastAsia="en-US"/>
        </w:rPr>
        <w:t>pozostałych zaś – nie.</w:t>
      </w:r>
    </w:p>
    <w:p w14:paraId="4126BE2D" w14:textId="77777777" w:rsidR="00EB1720" w:rsidRPr="00EC250C" w:rsidRDefault="00EB1720" w:rsidP="00EC79EB">
      <w:pPr>
        <w:pStyle w:val="Nagwek4"/>
      </w:pPr>
      <w:bookmarkStart w:id="930" w:name="_Toc11247891"/>
      <w:r w:rsidRPr="00EC250C">
        <w:t>Stanowiska organów międzynarodowych na temat zmian prawnych</w:t>
      </w:r>
      <w:r w:rsidR="00992FD0" w:rsidRPr="00EC250C">
        <w:t xml:space="preserve"> w </w:t>
      </w:r>
      <w:r w:rsidRPr="00EC250C">
        <w:t>Polsce</w:t>
      </w:r>
      <w:bookmarkEnd w:id="930"/>
    </w:p>
    <w:p w14:paraId="065A9E31" w14:textId="77777777" w:rsidR="00EB1720" w:rsidRPr="00EC250C" w:rsidRDefault="00EB1720" w:rsidP="00EC250C">
      <w:pPr>
        <w:pStyle w:val="Nagwek5"/>
      </w:pPr>
      <w:r w:rsidRPr="00EC250C">
        <w:t>I. Opinie Komisji Europejskiej</w:t>
      </w:r>
      <w:r w:rsidR="00992FD0" w:rsidRPr="00EC250C">
        <w:t xml:space="preserve"> w </w:t>
      </w:r>
      <w:r w:rsidRPr="00EC250C">
        <w:t>ramach postępowania</w:t>
      </w:r>
      <w:r w:rsidR="00992FD0" w:rsidRPr="00EC250C">
        <w:t xml:space="preserve"> w </w:t>
      </w:r>
      <w:r w:rsidRPr="00EC250C">
        <w:t>sprawie uchybienia zobowiązaniom państwa członkowskiego (art. 258 TFUE)</w:t>
      </w:r>
    </w:p>
    <w:p w14:paraId="5D73691C" w14:textId="77777777" w:rsidR="00EB1720" w:rsidRPr="00EC250C" w:rsidRDefault="00EB1720" w:rsidP="00D131FA">
      <w:pPr>
        <w:pStyle w:val="Srdtytul6"/>
        <w:jc w:val="both"/>
      </w:pPr>
      <w:r w:rsidRPr="00EC250C">
        <w:t>Wezwanie do usunięcia uchybienia zobowiązaniom państwa członkowskiego</w:t>
      </w:r>
      <w:r w:rsidR="00992FD0" w:rsidRPr="00EC250C">
        <w:t xml:space="preserve"> z </w:t>
      </w:r>
      <w:r w:rsidRPr="00EC250C">
        <w:t>dnia 2 lipca 2018</w:t>
      </w:r>
      <w:r w:rsidR="00C91F6E" w:rsidRPr="00EC250C">
        <w:t> r.</w:t>
      </w:r>
      <w:r w:rsidRPr="00EC250C">
        <w:t xml:space="preserve"> dotyczące ustawy</w:t>
      </w:r>
      <w:r w:rsidR="00992FD0" w:rsidRPr="00EC250C">
        <w:t xml:space="preserve"> o </w:t>
      </w:r>
      <w:r w:rsidRPr="00EC250C">
        <w:t>Sądzie Najwyższym</w:t>
      </w:r>
    </w:p>
    <w:p w14:paraId="2F943090" w14:textId="77777777" w:rsidR="00EB1720" w:rsidRPr="00EC250C" w:rsidRDefault="00EB1720" w:rsidP="00D131FA">
      <w:pPr>
        <w:pStyle w:val="Styl1"/>
      </w:pPr>
      <w:r w:rsidRPr="00EC250C">
        <w:t>2 lipca 2018</w:t>
      </w:r>
      <w:r w:rsidR="00C91F6E" w:rsidRPr="00EC250C">
        <w:t> r.</w:t>
      </w:r>
      <w:r w:rsidRPr="00EC250C">
        <w:t xml:space="preserve"> Komisja Europejska wszczęła postępowanie</w:t>
      </w:r>
      <w:r w:rsidR="00992FD0" w:rsidRPr="00EC250C">
        <w:t xml:space="preserve"> w </w:t>
      </w:r>
      <w:r w:rsidRPr="00EC250C">
        <w:t>sprawie uchybienia zobowiązaniom państwa członkowskiego przeciwko Polsce, przesyłając wezwanie do usunięcia uchybienia, jako skutek przyjęcia nowej ustawy</w:t>
      </w:r>
      <w:r w:rsidR="00992FD0" w:rsidRPr="00EC250C">
        <w:t xml:space="preserve"> o </w:t>
      </w:r>
      <w:r w:rsidRPr="00EC250C">
        <w:t>Sądzie Najwyższym. Zastrzeżenia Komisji</w:t>
      </w:r>
      <w:r w:rsidR="00992FD0" w:rsidRPr="00EC250C">
        <w:t xml:space="preserve"> w </w:t>
      </w:r>
      <w:r w:rsidRPr="00EC250C">
        <w:t>stosunku do ustawy dotyczą wejścia</w:t>
      </w:r>
      <w:r w:rsidR="00992FD0" w:rsidRPr="00EC250C">
        <w:t xml:space="preserve"> w </w:t>
      </w:r>
      <w:r w:rsidRPr="00EC250C">
        <w:t>dniu 3 lipca 2018</w:t>
      </w:r>
      <w:r w:rsidR="00C91F6E" w:rsidRPr="00EC250C">
        <w:t> r.</w:t>
      </w:r>
      <w:r w:rsidRPr="00EC250C">
        <w:t xml:space="preserve"> przepisu na mocy którego 27 sędziom Sądu Najwyższego grozi przymusowe przejście</w:t>
      </w:r>
      <w:r w:rsidR="00992FD0" w:rsidRPr="00EC250C">
        <w:t xml:space="preserve"> w </w:t>
      </w:r>
      <w:r w:rsidRPr="00EC250C">
        <w:t>stan spoczynku ze względu na fakt, że nowa ustawa</w:t>
      </w:r>
      <w:r w:rsidR="00992FD0" w:rsidRPr="00EC250C">
        <w:t xml:space="preserve"> o </w:t>
      </w:r>
      <w:r w:rsidRPr="00EC250C">
        <w:t>Sądzie Najwyższym obniża wiek emerytalny sędziów Sądu Najwyższego</w:t>
      </w:r>
      <w:r w:rsidR="00992FD0" w:rsidRPr="00EC250C">
        <w:t xml:space="preserve"> z </w:t>
      </w:r>
      <w:r w:rsidRPr="00EC250C">
        <w:t>70 do 65 lat. Zgodnie</w:t>
      </w:r>
      <w:r w:rsidR="00992FD0" w:rsidRPr="00EC250C">
        <w:t xml:space="preserve"> z </w:t>
      </w:r>
      <w:r w:rsidRPr="00EC250C">
        <w:t>ustawą obecni sędziowie mogą zadeklarować Prezydentowi RP chęć dalszego zajmowania stanowiska, jak wskazała jednak Komisja brak jest kryteriów, którymi ma się kierować Prezydent, podejmując decyzję</w:t>
      </w:r>
      <w:r w:rsidR="00992FD0" w:rsidRPr="00EC250C">
        <w:t xml:space="preserve"> o </w:t>
      </w:r>
      <w:r w:rsidRPr="00EC250C">
        <w:t>przedłużeniu; nie ma też możliwości przeprowadzenia kontroli sądowej takiej decyzji. Komisja jest zdania, że środki te naruszają zasadę niezależności sądownictwa,</w:t>
      </w:r>
      <w:r w:rsidR="00992FD0" w:rsidRPr="00EC250C">
        <w:t xml:space="preserve"> w </w:t>
      </w:r>
      <w:r w:rsidRPr="00EC250C">
        <w:t>tym zasadę nieusuwalności sędziów,</w:t>
      </w:r>
      <w:r w:rsidR="00992FD0" w:rsidRPr="00EC250C">
        <w:t xml:space="preserve"> a </w:t>
      </w:r>
      <w:r w:rsidRPr="00EC250C">
        <w:t>tym samym Polska nie wypełnia swoich zobowiązań wynikających</w:t>
      </w:r>
      <w:r w:rsidR="00992FD0" w:rsidRPr="00EC250C">
        <w:t xml:space="preserve"> z </w:t>
      </w:r>
      <w:r w:rsidRPr="00EC250C">
        <w:t>art. 19 ust. 1 Traktatu</w:t>
      </w:r>
      <w:r w:rsidR="00992FD0" w:rsidRPr="00EC250C">
        <w:t xml:space="preserve"> o </w:t>
      </w:r>
      <w:r w:rsidRPr="00EC250C">
        <w:t>Unii Europejskiej</w:t>
      </w:r>
      <w:r w:rsidR="00992FD0" w:rsidRPr="00EC250C">
        <w:t xml:space="preserve"> w </w:t>
      </w:r>
      <w:r w:rsidRPr="00EC250C">
        <w:t>związku</w:t>
      </w:r>
      <w:r w:rsidR="00992FD0" w:rsidRPr="00EC250C">
        <w:t xml:space="preserve"> z </w:t>
      </w:r>
      <w:r w:rsidRPr="00EC250C">
        <w:t>art. 47 Karty praw podstawowych Unii Europejskiej.</w:t>
      </w:r>
    </w:p>
    <w:p w14:paraId="6317D289" w14:textId="77777777" w:rsidR="00EB1720" w:rsidRPr="00EC250C" w:rsidRDefault="00EB1720" w:rsidP="00D131FA">
      <w:pPr>
        <w:pStyle w:val="Srdtytul6"/>
        <w:jc w:val="both"/>
        <w:rPr>
          <w:rStyle w:val="Pogrubienie"/>
          <w:b/>
          <w:bCs/>
        </w:rPr>
      </w:pPr>
      <w:r w:rsidRPr="00EC250C">
        <w:rPr>
          <w:rStyle w:val="Pogrubienie"/>
          <w:b/>
          <w:bCs/>
        </w:rPr>
        <w:t>Uzasadniona opinia Komisji Europejskiej</w:t>
      </w:r>
      <w:r w:rsidR="00992FD0" w:rsidRPr="00EC250C">
        <w:rPr>
          <w:rStyle w:val="Pogrubienie"/>
          <w:b/>
          <w:bCs/>
        </w:rPr>
        <w:t xml:space="preserve"> z </w:t>
      </w:r>
      <w:r w:rsidRPr="00EC250C">
        <w:rPr>
          <w:rStyle w:val="Pogrubienie"/>
          <w:b/>
          <w:bCs/>
        </w:rPr>
        <w:t>dnia 14 sierpnia 2018</w:t>
      </w:r>
      <w:r w:rsidR="00C91F6E" w:rsidRPr="00EC250C">
        <w:rPr>
          <w:rStyle w:val="Pogrubienie"/>
          <w:b/>
          <w:bCs/>
        </w:rPr>
        <w:t> r.</w:t>
      </w:r>
      <w:r w:rsidRPr="00EC250C">
        <w:rPr>
          <w:rStyle w:val="Pogrubienie"/>
          <w:b/>
          <w:bCs/>
        </w:rPr>
        <w:t xml:space="preserve"> (drugi etap postępowania</w:t>
      </w:r>
      <w:r w:rsidR="00992FD0" w:rsidRPr="00EC250C">
        <w:rPr>
          <w:rStyle w:val="Pogrubienie"/>
          <w:b/>
          <w:bCs/>
        </w:rPr>
        <w:t xml:space="preserve"> w </w:t>
      </w:r>
      <w:r w:rsidRPr="00EC250C">
        <w:rPr>
          <w:rStyle w:val="Pogrubienie"/>
          <w:b/>
          <w:bCs/>
        </w:rPr>
        <w:t xml:space="preserve">sprawie </w:t>
      </w:r>
      <w:r w:rsidRPr="00EC250C">
        <w:t>uchybienia zobowiązaniom państwa członkowskiego przeciwko Polsce)</w:t>
      </w:r>
    </w:p>
    <w:p w14:paraId="23F4C3E3" w14:textId="77777777" w:rsidR="00C91F6E" w:rsidRPr="00EC250C" w:rsidRDefault="00EB1720" w:rsidP="00D131FA">
      <w:pPr>
        <w:pStyle w:val="Styl1"/>
      </w:pPr>
      <w:r w:rsidRPr="00EC250C">
        <w:t>Przesłanie uzasadnionej opinii stanowiło przejście do drugiego etapu postępowania</w:t>
      </w:r>
      <w:r w:rsidR="00992FD0" w:rsidRPr="00EC250C">
        <w:t xml:space="preserve"> w </w:t>
      </w:r>
      <w:r w:rsidRPr="00EC250C">
        <w:t>sprawie uchybienia zobowiązaniom państwa członkowskiego przeciwko Polsce, wszczętego po wejściu</w:t>
      </w:r>
      <w:r w:rsidR="00992FD0" w:rsidRPr="00EC250C">
        <w:t xml:space="preserve"> </w:t>
      </w:r>
      <w:r w:rsidR="00992FD0" w:rsidRPr="00EC250C">
        <w:lastRenderedPageBreak/>
        <w:t>w </w:t>
      </w:r>
      <w:r w:rsidRPr="00EC250C">
        <w:t>życie nowej ustawy</w:t>
      </w:r>
      <w:r w:rsidR="00992FD0" w:rsidRPr="00EC250C">
        <w:t xml:space="preserve"> o </w:t>
      </w:r>
      <w:r w:rsidRPr="00EC250C">
        <w:t>Sądzie Najwyższym. W uzasadnionej opinii Komisja podtrzymała stanowisko wyrażone</w:t>
      </w:r>
      <w:r w:rsidR="00992FD0" w:rsidRPr="00EC250C">
        <w:t xml:space="preserve"> w </w:t>
      </w:r>
      <w:r w:rsidRPr="00EC250C">
        <w:t>wezwaniu do usunięcia uchybienia</w:t>
      </w:r>
      <w:r w:rsidR="00992FD0" w:rsidRPr="00EC250C">
        <w:t xml:space="preserve"> z </w:t>
      </w:r>
      <w:r w:rsidRPr="00EC250C">
        <w:t>dnia 2 lipca 2018</w:t>
      </w:r>
      <w:r w:rsidR="00C91F6E" w:rsidRPr="00EC250C">
        <w:t> r.</w:t>
      </w:r>
    </w:p>
    <w:p w14:paraId="000BA772" w14:textId="77777777" w:rsidR="00EB1720" w:rsidRPr="00EC250C" w:rsidRDefault="00EB1720" w:rsidP="00D131FA">
      <w:pPr>
        <w:pStyle w:val="Srdtytul6"/>
        <w:jc w:val="both"/>
        <w:rPr>
          <w:rStyle w:val="Pogrubienie"/>
          <w:b/>
          <w:bCs/>
        </w:rPr>
      </w:pPr>
      <w:r w:rsidRPr="00EC250C">
        <w:rPr>
          <w:rStyle w:val="Pogrubienie"/>
          <w:b/>
          <w:bCs/>
        </w:rPr>
        <w:t>Decyzja Komisji Europejskiej</w:t>
      </w:r>
      <w:r w:rsidR="00992FD0" w:rsidRPr="00EC250C">
        <w:rPr>
          <w:rStyle w:val="Pogrubienie"/>
          <w:b/>
          <w:bCs/>
        </w:rPr>
        <w:t xml:space="preserve"> o </w:t>
      </w:r>
      <w:r w:rsidRPr="00EC250C">
        <w:rPr>
          <w:rStyle w:val="Pogrubienie"/>
          <w:b/>
          <w:bCs/>
        </w:rPr>
        <w:t>pozwaniu Polski przed Trybunał Sprawiedliwości UE</w:t>
      </w:r>
      <w:r w:rsidR="00992FD0" w:rsidRPr="00EC250C">
        <w:rPr>
          <w:rStyle w:val="Pogrubienie"/>
          <w:b/>
          <w:bCs/>
        </w:rPr>
        <w:t xml:space="preserve"> z </w:t>
      </w:r>
      <w:r w:rsidRPr="00EC250C">
        <w:rPr>
          <w:rStyle w:val="Pogrubienie"/>
          <w:b/>
          <w:bCs/>
        </w:rPr>
        <w:t>powodu naruszenie zasady niezawisłości sędziowskiej</w:t>
      </w:r>
      <w:r w:rsidR="00992FD0" w:rsidRPr="00EC250C">
        <w:rPr>
          <w:rStyle w:val="Pogrubienie"/>
          <w:b/>
          <w:bCs/>
        </w:rPr>
        <w:t xml:space="preserve"> z </w:t>
      </w:r>
      <w:r w:rsidRPr="00EC250C">
        <w:rPr>
          <w:rStyle w:val="Pogrubienie"/>
          <w:b/>
          <w:bCs/>
        </w:rPr>
        <w:t>dnia 24 września 2018</w:t>
      </w:r>
      <w:r w:rsidR="00C91F6E" w:rsidRPr="00EC250C">
        <w:rPr>
          <w:rStyle w:val="Pogrubienie"/>
          <w:b/>
          <w:bCs/>
        </w:rPr>
        <w:t> r.</w:t>
      </w:r>
    </w:p>
    <w:p w14:paraId="5A237AEF" w14:textId="77777777" w:rsidR="00EB1720" w:rsidRPr="00EC250C" w:rsidRDefault="00EB1720" w:rsidP="00D131FA">
      <w:pPr>
        <w:pStyle w:val="Styl1"/>
      </w:pPr>
      <w:r w:rsidRPr="00EC250C">
        <w:rPr>
          <w:rStyle w:val="Pogrubienie"/>
          <w:rFonts w:ascii="Verdana" w:hAnsi="Verdana"/>
          <w:b w:val="0"/>
          <w:color w:val="000000"/>
          <w:sz w:val="20"/>
          <w:bdr w:val="none" w:sz="0" w:space="0" w:color="auto" w:frame="1"/>
          <w:shd w:val="clear" w:color="auto" w:fill="FFFFFF"/>
        </w:rPr>
        <w:t>W</w:t>
      </w:r>
      <w:r w:rsidRPr="00EC250C">
        <w:t xml:space="preserve"> dniu 24 września 2018</w:t>
      </w:r>
      <w:r w:rsidR="00C91F6E" w:rsidRPr="00EC250C">
        <w:t> r.</w:t>
      </w:r>
      <w:r w:rsidRPr="00EC250C">
        <w:t xml:space="preserve"> Komisja Europejska podjęła decyzję</w:t>
      </w:r>
      <w:r w:rsidR="00992FD0" w:rsidRPr="00EC250C">
        <w:t xml:space="preserve"> o </w:t>
      </w:r>
      <w:r w:rsidRPr="00EC250C">
        <w:t>pozwaniu Polski przed Trybunał Sprawiedliwości UE, podtrzymując argumenty wyrażone</w:t>
      </w:r>
      <w:r w:rsidR="00992FD0" w:rsidRPr="00EC250C">
        <w:t xml:space="preserve"> w </w:t>
      </w:r>
      <w:r w:rsidRPr="00EC250C">
        <w:t>wezwaniu do usunięcia uchybienia</w:t>
      </w:r>
      <w:r w:rsidR="00992FD0" w:rsidRPr="00EC250C">
        <w:t xml:space="preserve"> z </w:t>
      </w:r>
      <w:r w:rsidRPr="00EC250C">
        <w:t>dnia 2 lipca 2018</w:t>
      </w:r>
      <w:r w:rsidR="00C91F6E" w:rsidRPr="00EC250C">
        <w:t> r.</w:t>
      </w:r>
      <w:r w:rsidRPr="00EC250C">
        <w:t xml:space="preserve"> Komisja zwróciła się do Trybunału Sprawiedliwości</w:t>
      </w:r>
      <w:r w:rsidR="00992FD0" w:rsidRPr="00EC250C">
        <w:t xml:space="preserve"> o </w:t>
      </w:r>
      <w:r w:rsidRPr="00EC250C">
        <w:t>zarządzenie środków tymczasowych do chwili wydania orzeczenia</w:t>
      </w:r>
      <w:r w:rsidR="00992FD0" w:rsidRPr="00EC250C">
        <w:t xml:space="preserve"> w </w:t>
      </w:r>
      <w:r w:rsidRPr="00EC250C">
        <w:t>tej sprawie.</w:t>
      </w:r>
    </w:p>
    <w:p w14:paraId="1E2FF759" w14:textId="77777777" w:rsidR="00EB1720" w:rsidRPr="00EC250C" w:rsidRDefault="00EB1720" w:rsidP="00EC250C">
      <w:pPr>
        <w:pStyle w:val="Nagwek5"/>
      </w:pPr>
      <w:r w:rsidRPr="00EC250C">
        <w:t>II. Opinie</w:t>
      </w:r>
      <w:r w:rsidR="00992FD0" w:rsidRPr="00EC250C">
        <w:t xml:space="preserve"> w </w:t>
      </w:r>
      <w:r w:rsidRPr="00EC250C">
        <w:t>ramach Organizacji Narodów Zjednoczonych (ONZ)</w:t>
      </w:r>
    </w:p>
    <w:p w14:paraId="3130CE40" w14:textId="77777777" w:rsidR="00EB1720" w:rsidRPr="00EC250C" w:rsidRDefault="00EB1720" w:rsidP="00D131FA">
      <w:pPr>
        <w:pStyle w:val="Srdtytul6"/>
        <w:jc w:val="both"/>
      </w:pPr>
      <w:r w:rsidRPr="00EC250C">
        <w:t>Oświadczenie</w:t>
      </w:r>
      <w:r w:rsidR="00992FD0" w:rsidRPr="00EC250C">
        <w:t xml:space="preserve"> z </w:t>
      </w:r>
      <w:r w:rsidRPr="00EC250C">
        <w:t>dnia 5 października 2018</w:t>
      </w:r>
      <w:r w:rsidR="00C91F6E" w:rsidRPr="00EC250C">
        <w:t> r.</w:t>
      </w:r>
      <w:r w:rsidRPr="00EC250C">
        <w:t xml:space="preserve"> zamykające wizytę Specjalnej Sprawozdawczyni Narodów Zjednoczonych</w:t>
      </w:r>
      <w:r w:rsidR="00992FD0" w:rsidRPr="00EC250C">
        <w:t xml:space="preserve"> w </w:t>
      </w:r>
      <w:r w:rsidRPr="00EC250C">
        <w:t>dziedzinie praw kulturalnych Karimy Bennoune</w:t>
      </w:r>
    </w:p>
    <w:p w14:paraId="38653A94" w14:textId="77777777" w:rsidR="00C91F6E" w:rsidRPr="00EC250C" w:rsidRDefault="00EB1720" w:rsidP="00D131FA">
      <w:pPr>
        <w:pStyle w:val="Styl1"/>
      </w:pPr>
      <w:r w:rsidRPr="00EC250C">
        <w:t>W dniach 24 września do 5 października 2018</w:t>
      </w:r>
      <w:r w:rsidR="00C91F6E" w:rsidRPr="00EC250C">
        <w:t> r.</w:t>
      </w:r>
      <w:r w:rsidR="00992FD0" w:rsidRPr="00EC250C">
        <w:t xml:space="preserve"> w </w:t>
      </w:r>
      <w:r w:rsidRPr="00EC250C">
        <w:t>Polsce miała miejsce misja Specjalnej Sprawozdawczyni ONZ</w:t>
      </w:r>
      <w:r w:rsidR="00992FD0" w:rsidRPr="00EC250C">
        <w:t xml:space="preserve"> w </w:t>
      </w:r>
      <w:r w:rsidRPr="00EC250C">
        <w:t>dziedzinie praw kulturalnych. W oświadczeniu zamykającym wizytę, Karima Bennoune</w:t>
      </w:r>
      <w:r w:rsidR="00992FD0" w:rsidRPr="00EC250C">
        <w:t xml:space="preserve"> z </w:t>
      </w:r>
      <w:r w:rsidRPr="00EC250C">
        <w:t>zadowoleniem dostrzegła szerokie zaangażowanie obywatelskie po stronie społeczeństwa polskiego</w:t>
      </w:r>
      <w:r w:rsidR="00992FD0" w:rsidRPr="00EC250C">
        <w:t xml:space="preserve"> w </w:t>
      </w:r>
      <w:r w:rsidRPr="00EC250C">
        <w:t>debaty</w:t>
      </w:r>
      <w:r w:rsidR="00992FD0" w:rsidRPr="00EC250C">
        <w:t xml:space="preserve"> w </w:t>
      </w:r>
      <w:r w:rsidRPr="00EC250C">
        <w:t>sprawie reform legislacyjnych</w:t>
      </w:r>
      <w:r w:rsidR="00992FD0" w:rsidRPr="00EC250C">
        <w:t xml:space="preserve"> i </w:t>
      </w:r>
      <w:r w:rsidRPr="00EC250C">
        <w:t>kultury praworządności. Specjalna Sprawozdawczyni wyraziła zaniepokojenie działaniami które zmierzają do wpływania na programy kulturalne</w:t>
      </w:r>
      <w:r w:rsidR="00992FD0" w:rsidRPr="00EC250C">
        <w:t xml:space="preserve"> i </w:t>
      </w:r>
      <w:r w:rsidRPr="00EC250C">
        <w:t>zarządzanie instytucjami kultury np. muzeum II Wojny Światowej, Festiwal Malta. Niepokój Sprawozdawczyni wzbudził wzrost znaczenia</w:t>
      </w:r>
      <w:r w:rsidR="00992FD0" w:rsidRPr="00EC250C">
        <w:t xml:space="preserve"> i </w:t>
      </w:r>
      <w:r w:rsidRPr="00EC250C">
        <w:t>agresywności</w:t>
      </w:r>
      <w:r w:rsidR="00992FD0" w:rsidRPr="00EC250C">
        <w:t xml:space="preserve"> w </w:t>
      </w:r>
      <w:r w:rsidRPr="00EC250C">
        <w:t>Polsce pewnych skrajnie prawicowych ugrupowań nacjonalistycznych,</w:t>
      </w:r>
      <w:r w:rsidR="00992FD0" w:rsidRPr="00EC250C">
        <w:t xml:space="preserve"> a </w:t>
      </w:r>
      <w:r w:rsidRPr="00EC250C">
        <w:t>także grup</w:t>
      </w:r>
      <w:r w:rsidR="00992FD0" w:rsidRPr="00EC250C">
        <w:t xml:space="preserve"> i </w:t>
      </w:r>
      <w:r w:rsidRPr="00EC250C">
        <w:t>mediów fundamentalistów chrześcijańskich.</w:t>
      </w:r>
      <w:r w:rsidRPr="00EC250C">
        <w:rPr>
          <w:vertAlign w:val="superscript"/>
        </w:rPr>
        <w:footnoteReference w:id="864"/>
      </w:r>
    </w:p>
    <w:p w14:paraId="1E8504A1" w14:textId="77777777" w:rsidR="00EB1720" w:rsidRPr="00EC250C" w:rsidRDefault="00EB1720" w:rsidP="00D131FA">
      <w:pPr>
        <w:pStyle w:val="Srdtytul6"/>
        <w:jc w:val="both"/>
        <w:rPr>
          <w:rFonts w:ascii="Arial" w:hAnsi="Arial" w:cs="Arial"/>
          <w:szCs w:val="24"/>
        </w:rPr>
      </w:pPr>
      <w:r w:rsidRPr="00EC250C">
        <w:t>Komitet ONZ ds. Praw Osób</w:t>
      </w:r>
      <w:r w:rsidR="00992FD0" w:rsidRPr="00EC250C">
        <w:t xml:space="preserve"> z </w:t>
      </w:r>
      <w:r w:rsidRPr="00EC250C">
        <w:t>Niepełnosprawnościami</w:t>
      </w:r>
    </w:p>
    <w:p w14:paraId="700F4530" w14:textId="77777777" w:rsidR="00C91F6E" w:rsidRPr="00EC250C" w:rsidRDefault="00EB1720" w:rsidP="00D131FA">
      <w:pPr>
        <w:pStyle w:val="Styl1"/>
      </w:pPr>
      <w:r w:rsidRPr="00EC250C">
        <w:t>W dniach 3-5 września 2018</w:t>
      </w:r>
      <w:r w:rsidR="00C91F6E" w:rsidRPr="00EC250C">
        <w:t> r.</w:t>
      </w:r>
      <w:r w:rsidRPr="00EC250C">
        <w:t xml:space="preserve"> Komitet ONZ ds. Praw Osób</w:t>
      </w:r>
      <w:r w:rsidR="00992FD0" w:rsidRPr="00EC250C">
        <w:t xml:space="preserve"> z </w:t>
      </w:r>
      <w:r w:rsidRPr="00EC250C">
        <w:t>Niepełnosprawnościami rozpatrzył sprawozdanie Polski</w:t>
      </w:r>
      <w:r w:rsidR="00992FD0" w:rsidRPr="00EC250C">
        <w:t xml:space="preserve"> z </w:t>
      </w:r>
      <w:r w:rsidRPr="00EC250C">
        <w:t>wdrażania Konwencji</w:t>
      </w:r>
      <w:r w:rsidR="00992FD0" w:rsidRPr="00EC250C">
        <w:t xml:space="preserve"> o </w:t>
      </w:r>
      <w:r w:rsidRPr="00EC250C">
        <w:t>prawach osób niepełnosprawnych</w:t>
      </w:r>
      <w:r w:rsidR="00992FD0" w:rsidRPr="00EC250C">
        <w:t xml:space="preserve"> i </w:t>
      </w:r>
      <w:r w:rsidRPr="00EC250C">
        <w:t>wydał swoje rekomendacje. Rzecznik Praw Obywatelskich, jako niezależny organ ds. monitorowania wdrażania postanowień Konwencji, przedstawił swoją informację</w:t>
      </w:r>
      <w:r w:rsidR="00992FD0" w:rsidRPr="00EC250C">
        <w:t xml:space="preserve"> w </w:t>
      </w:r>
      <w:r w:rsidRPr="00EC250C">
        <w:t>2015</w:t>
      </w:r>
      <w:r w:rsidR="00C91F6E" w:rsidRPr="00EC250C">
        <w:t> r.</w:t>
      </w:r>
      <w:r w:rsidRPr="00EC250C">
        <w:rPr>
          <w:rStyle w:val="Odwoanieprzypisudolnego"/>
          <w:szCs w:val="24"/>
        </w:rPr>
        <w:footnoteReference w:id="865"/>
      </w:r>
      <w:r w:rsidRPr="00EC250C">
        <w:t xml:space="preserve"> oraz jej aktualizację</w:t>
      </w:r>
      <w:r w:rsidR="00992FD0" w:rsidRPr="00EC250C">
        <w:t xml:space="preserve"> </w:t>
      </w:r>
      <w:r w:rsidR="00992FD0" w:rsidRPr="00EC250C">
        <w:lastRenderedPageBreak/>
        <w:t>w </w:t>
      </w:r>
      <w:r w:rsidRPr="00EC250C">
        <w:t>2018</w:t>
      </w:r>
      <w:r w:rsidR="00C91F6E" w:rsidRPr="00EC250C">
        <w:t> r.</w:t>
      </w:r>
      <w:r w:rsidRPr="00EC250C">
        <w:rPr>
          <w:rStyle w:val="Odwoanieprzypisudolnego"/>
          <w:szCs w:val="24"/>
        </w:rPr>
        <w:footnoteReference w:id="866"/>
      </w:r>
      <w:r w:rsidR="00992FD0" w:rsidRPr="00EC250C">
        <w:t xml:space="preserve"> w </w:t>
      </w:r>
      <w:r w:rsidRPr="00EC250C">
        <w:t>formie tzw. raportów alternatywnych. Najważniejsze obszary,</w:t>
      </w:r>
      <w:r w:rsidR="00992FD0" w:rsidRPr="00EC250C">
        <w:t xml:space="preserve"> w </w:t>
      </w:r>
      <w:r w:rsidRPr="00EC250C">
        <w:t>których</w:t>
      </w:r>
      <w:r w:rsidR="00992FD0" w:rsidRPr="00EC250C">
        <w:t xml:space="preserve"> w </w:t>
      </w:r>
      <w:r w:rsidRPr="00EC250C">
        <w:t xml:space="preserve">ocenie </w:t>
      </w:r>
      <w:r w:rsidR="00B04745" w:rsidRPr="00EC250C">
        <w:t>RPO</w:t>
      </w:r>
      <w:r w:rsidRPr="00EC250C">
        <w:t xml:space="preserve"> niezbędne są zmiany systemowe</w:t>
      </w:r>
      <w:r w:rsidR="00992FD0" w:rsidRPr="00EC250C">
        <w:t>,</w:t>
      </w:r>
      <w:r w:rsidRPr="00EC250C">
        <w:t xml:space="preserve"> to:</w:t>
      </w:r>
    </w:p>
    <w:p w14:paraId="14DE4531" w14:textId="77777777" w:rsidR="00C91F6E" w:rsidRPr="00EC250C" w:rsidRDefault="00EB1720" w:rsidP="006C70B7">
      <w:pPr>
        <w:pStyle w:val="Styl1"/>
        <w:numPr>
          <w:ilvl w:val="0"/>
          <w:numId w:val="147"/>
        </w:numPr>
      </w:pPr>
      <w:r w:rsidRPr="00EC250C">
        <w:t>przyjęcie strategii wdrażania Konwencji;</w:t>
      </w:r>
    </w:p>
    <w:p w14:paraId="2E111AEE" w14:textId="77777777" w:rsidR="00992FD0" w:rsidRPr="00EC250C" w:rsidRDefault="00EB1720" w:rsidP="006C70B7">
      <w:pPr>
        <w:pStyle w:val="Styl1"/>
        <w:numPr>
          <w:ilvl w:val="0"/>
          <w:numId w:val="147"/>
        </w:numPr>
      </w:pPr>
      <w:r w:rsidRPr="00EC250C">
        <w:t>zastąpienie instytucji ubezwłasnowolnienia systemem wspieranego podejmowania decyzji;</w:t>
      </w:r>
    </w:p>
    <w:p w14:paraId="6142E3CA" w14:textId="77777777" w:rsidR="00C91F6E" w:rsidRPr="00EC250C" w:rsidRDefault="00EB1720" w:rsidP="006C70B7">
      <w:pPr>
        <w:pStyle w:val="Styl1"/>
        <w:numPr>
          <w:ilvl w:val="0"/>
          <w:numId w:val="147"/>
        </w:numPr>
      </w:pPr>
      <w:r w:rsidRPr="00EC250C">
        <w:t>wprowadzenie jednolitego systemu orzecznictwa skupiającego się na potrzebnym danej osobie wsparciu,</w:t>
      </w:r>
      <w:r w:rsidR="00992FD0" w:rsidRPr="00EC250C">
        <w:t xml:space="preserve"> a </w:t>
      </w:r>
      <w:r w:rsidRPr="00EC250C">
        <w:t>nie na dysfunkcjach;</w:t>
      </w:r>
    </w:p>
    <w:p w14:paraId="5E29B996" w14:textId="77777777" w:rsidR="00C91F6E" w:rsidRPr="00EC250C" w:rsidRDefault="00EB1720" w:rsidP="006C70B7">
      <w:pPr>
        <w:pStyle w:val="Styl1"/>
        <w:numPr>
          <w:ilvl w:val="0"/>
          <w:numId w:val="147"/>
        </w:numPr>
      </w:pPr>
      <w:r w:rsidRPr="00EC250C">
        <w:t>wzmocnienie ochrony prawnej osób</w:t>
      </w:r>
      <w:r w:rsidR="00992FD0" w:rsidRPr="00EC250C">
        <w:t xml:space="preserve"> z </w:t>
      </w:r>
      <w:r w:rsidRPr="00EC250C">
        <w:t>niepełnosprawnościami przed dyskryminacją; wyeliminowanie przypadków nieludzkiego lub poniżającego traktowania osób</w:t>
      </w:r>
      <w:r w:rsidR="00992FD0" w:rsidRPr="00EC250C">
        <w:t xml:space="preserve"> z </w:t>
      </w:r>
      <w:r w:rsidRPr="00EC250C">
        <w:t>niepełnosprawnościami przebywających</w:t>
      </w:r>
      <w:r w:rsidR="00992FD0" w:rsidRPr="00EC250C">
        <w:t xml:space="preserve"> w </w:t>
      </w:r>
      <w:r w:rsidRPr="00EC250C">
        <w:t>instytucjach;</w:t>
      </w:r>
    </w:p>
    <w:p w14:paraId="01C19D57" w14:textId="77777777" w:rsidR="00C91F6E" w:rsidRPr="00EC250C" w:rsidRDefault="00EB1720" w:rsidP="006C70B7">
      <w:pPr>
        <w:pStyle w:val="Styl1"/>
        <w:numPr>
          <w:ilvl w:val="0"/>
          <w:numId w:val="147"/>
        </w:numPr>
      </w:pPr>
      <w:r w:rsidRPr="00EC250C">
        <w:t>dokonanie przejścia od opieki instytucjonalnej do wsparcia środowiskowego;</w:t>
      </w:r>
    </w:p>
    <w:p w14:paraId="7BBDD104" w14:textId="77777777" w:rsidR="00C91F6E" w:rsidRPr="00EC250C" w:rsidRDefault="00EB1720" w:rsidP="006C70B7">
      <w:pPr>
        <w:pStyle w:val="Styl1"/>
        <w:numPr>
          <w:ilvl w:val="0"/>
          <w:numId w:val="147"/>
        </w:numPr>
      </w:pPr>
      <w:r w:rsidRPr="00EC250C">
        <w:t>wzmocnienie ochrony osób</w:t>
      </w:r>
      <w:r w:rsidR="00992FD0" w:rsidRPr="00EC250C">
        <w:t xml:space="preserve"> z </w:t>
      </w:r>
      <w:r w:rsidRPr="00EC250C">
        <w:t>niepełnosprawnościami przed przemocą,</w:t>
      </w:r>
      <w:r w:rsidR="00992FD0" w:rsidRPr="00EC250C">
        <w:t xml:space="preserve"> w </w:t>
      </w:r>
      <w:r w:rsidRPr="00EC250C">
        <w:t>tym przemocą domową, mową nienawiści</w:t>
      </w:r>
      <w:r w:rsidR="00992FD0" w:rsidRPr="00EC250C">
        <w:t xml:space="preserve"> i </w:t>
      </w:r>
      <w:r w:rsidRPr="00EC250C">
        <w:t>przestępstwami motywowanymi uprzedzeniami;</w:t>
      </w:r>
    </w:p>
    <w:p w14:paraId="3C08926C" w14:textId="77777777" w:rsidR="00C91F6E" w:rsidRPr="00EC250C" w:rsidRDefault="00EB1720" w:rsidP="006C70B7">
      <w:pPr>
        <w:pStyle w:val="Styl1"/>
        <w:numPr>
          <w:ilvl w:val="0"/>
          <w:numId w:val="147"/>
        </w:numPr>
      </w:pPr>
      <w:r w:rsidRPr="00EC250C">
        <w:t>zniesienie zakazu zawierania małżeństw przez osoby</w:t>
      </w:r>
      <w:r w:rsidR="00992FD0" w:rsidRPr="00EC250C">
        <w:t xml:space="preserve"> z </w:t>
      </w:r>
      <w:r w:rsidRPr="00EC250C">
        <w:t>niepełnosprawnością intelektualną lub psychiczną</w:t>
      </w:r>
      <w:r w:rsidR="00992FD0" w:rsidRPr="00EC250C">
        <w:t xml:space="preserve"> i </w:t>
      </w:r>
      <w:r w:rsidRPr="00EC250C">
        <w:t>stworzenie systemu wsparcia dla osób</w:t>
      </w:r>
      <w:r w:rsidR="00992FD0" w:rsidRPr="00EC250C">
        <w:t xml:space="preserve"> z </w:t>
      </w:r>
      <w:r w:rsidRPr="00EC250C">
        <w:t>niepełnosprawnościami</w:t>
      </w:r>
      <w:r w:rsidR="00992FD0" w:rsidRPr="00EC250C">
        <w:t xml:space="preserve"> w </w:t>
      </w:r>
      <w:r w:rsidRPr="00EC250C">
        <w:t>pełnieniu ról rodzicielskich;</w:t>
      </w:r>
    </w:p>
    <w:p w14:paraId="2FE60F7A" w14:textId="77777777" w:rsidR="00C91F6E" w:rsidRPr="00EC250C" w:rsidRDefault="00EB1720" w:rsidP="006C70B7">
      <w:pPr>
        <w:pStyle w:val="Styl1"/>
        <w:numPr>
          <w:ilvl w:val="0"/>
          <w:numId w:val="147"/>
        </w:numPr>
      </w:pPr>
      <w:r w:rsidRPr="00EC250C">
        <w:t>wprowadzenie systemowych rozwiązań</w:t>
      </w:r>
      <w:r w:rsidR="00992FD0" w:rsidRPr="00EC250C">
        <w:t xml:space="preserve"> w </w:t>
      </w:r>
      <w:r w:rsidRPr="00EC250C">
        <w:t>zakresie asystentury osobistej;</w:t>
      </w:r>
    </w:p>
    <w:p w14:paraId="27EC97C9" w14:textId="77777777" w:rsidR="00C91F6E" w:rsidRPr="00EC250C" w:rsidRDefault="00EB1720" w:rsidP="006C70B7">
      <w:pPr>
        <w:pStyle w:val="Styl1"/>
        <w:numPr>
          <w:ilvl w:val="0"/>
          <w:numId w:val="147"/>
        </w:numPr>
      </w:pPr>
      <w:r w:rsidRPr="00EC250C">
        <w:t>zapewnienie projektowania środowiska zabudowanego, produktów, programów</w:t>
      </w:r>
      <w:r w:rsidR="00992FD0" w:rsidRPr="00EC250C">
        <w:t xml:space="preserve"> i </w:t>
      </w:r>
      <w:r w:rsidRPr="00EC250C">
        <w:t>usług zgodnie</w:t>
      </w:r>
      <w:r w:rsidR="00992FD0" w:rsidRPr="00EC250C">
        <w:t xml:space="preserve"> z </w:t>
      </w:r>
      <w:r w:rsidRPr="00EC250C">
        <w:t>zasadami uniwersalnego projektowania;</w:t>
      </w:r>
    </w:p>
    <w:p w14:paraId="3A87B30A" w14:textId="77777777" w:rsidR="00C91F6E" w:rsidRPr="00EC250C" w:rsidRDefault="00EB1720" w:rsidP="006C70B7">
      <w:pPr>
        <w:pStyle w:val="Styl1"/>
        <w:numPr>
          <w:ilvl w:val="0"/>
          <w:numId w:val="147"/>
        </w:numPr>
      </w:pPr>
      <w:r w:rsidRPr="00EC250C">
        <w:t>zapewnienie dostępności stron internetowych instytucji publicznych; rozszerzenie zakresu stosowania regulacji dotyczących języka migowego oraz wprowadzenie rozwiązań prawnych odnoszących się do komunikacji alternatywnej</w:t>
      </w:r>
      <w:r w:rsidR="00992FD0" w:rsidRPr="00EC250C">
        <w:t xml:space="preserve"> i </w:t>
      </w:r>
      <w:r w:rsidRPr="00EC250C">
        <w:t>augmentatywnej;</w:t>
      </w:r>
    </w:p>
    <w:p w14:paraId="02EC693E" w14:textId="77777777" w:rsidR="00C91F6E" w:rsidRPr="00EC250C" w:rsidRDefault="00EB1720" w:rsidP="006C70B7">
      <w:pPr>
        <w:pStyle w:val="Styl1"/>
        <w:numPr>
          <w:ilvl w:val="0"/>
          <w:numId w:val="147"/>
        </w:numPr>
      </w:pPr>
      <w:r w:rsidRPr="00EC250C">
        <w:t>urzeczywistnienie prawa uczniów</w:t>
      </w:r>
      <w:r w:rsidR="00992FD0" w:rsidRPr="00EC250C">
        <w:t xml:space="preserve"> z </w:t>
      </w:r>
      <w:r w:rsidRPr="00EC250C">
        <w:t>niepełnosprawnościami do edukacji włączającej; wprowadzenie gwarantowanego koszyka usług rehabilitacyjnych;</w:t>
      </w:r>
    </w:p>
    <w:p w14:paraId="428E247F" w14:textId="77777777" w:rsidR="00C91F6E" w:rsidRPr="00EC250C" w:rsidRDefault="00EB1720" w:rsidP="006C70B7">
      <w:pPr>
        <w:pStyle w:val="Styl1"/>
        <w:numPr>
          <w:ilvl w:val="0"/>
          <w:numId w:val="147"/>
        </w:numPr>
      </w:pPr>
      <w:r w:rsidRPr="00EC250C">
        <w:t>promowanie zatrudniania osób</w:t>
      </w:r>
      <w:r w:rsidR="00992FD0" w:rsidRPr="00EC250C">
        <w:t xml:space="preserve"> z </w:t>
      </w:r>
      <w:r w:rsidRPr="00EC250C">
        <w:t>niepełnosprawnościami na otwartym rynku pracy; wprowadzenie zmian</w:t>
      </w:r>
      <w:r w:rsidR="00992FD0" w:rsidRPr="00EC250C">
        <w:t xml:space="preserve"> w </w:t>
      </w:r>
      <w:r w:rsidRPr="00EC250C">
        <w:t>systemie zabezpieczenia społecznego</w:t>
      </w:r>
      <w:r w:rsidR="00992FD0" w:rsidRPr="00EC250C">
        <w:t xml:space="preserve"> w </w:t>
      </w:r>
      <w:r w:rsidRPr="00EC250C">
        <w:t>taki sposób, żeby zarówno kompensował wyższe koszty życia osób</w:t>
      </w:r>
      <w:r w:rsidR="00992FD0" w:rsidRPr="00EC250C">
        <w:t xml:space="preserve"> z </w:t>
      </w:r>
      <w:r w:rsidRPr="00EC250C">
        <w:t>niepełnosprawnościami</w:t>
      </w:r>
      <w:r w:rsidR="00992FD0" w:rsidRPr="00EC250C">
        <w:t xml:space="preserve"> i </w:t>
      </w:r>
      <w:r w:rsidRPr="00EC250C">
        <w:t>ich rodzin, jak</w:t>
      </w:r>
      <w:r w:rsidR="00992FD0" w:rsidRPr="00EC250C">
        <w:t xml:space="preserve"> i </w:t>
      </w:r>
      <w:r w:rsidRPr="00EC250C">
        <w:t>promował aktywność;</w:t>
      </w:r>
    </w:p>
    <w:p w14:paraId="621B0616" w14:textId="77777777" w:rsidR="00C91F6E" w:rsidRPr="00EC250C" w:rsidRDefault="00EB1720" w:rsidP="006C70B7">
      <w:pPr>
        <w:pStyle w:val="Styl1"/>
        <w:numPr>
          <w:ilvl w:val="0"/>
          <w:numId w:val="147"/>
        </w:numPr>
      </w:pPr>
      <w:r w:rsidRPr="00EC250C">
        <w:t>zapewnienie wszystkim osobom</w:t>
      </w:r>
      <w:r w:rsidR="00992FD0" w:rsidRPr="00EC250C">
        <w:t xml:space="preserve"> z </w:t>
      </w:r>
      <w:r w:rsidRPr="00EC250C">
        <w:t>niepełnosprawnością intelektualną</w:t>
      </w:r>
      <w:r w:rsidR="00992FD0" w:rsidRPr="00EC250C">
        <w:t xml:space="preserve"> i </w:t>
      </w:r>
      <w:r w:rsidRPr="00EC250C">
        <w:t>psychiczną praw wyborczych oraz do zgromadzania</w:t>
      </w:r>
      <w:r w:rsidR="00992FD0" w:rsidRPr="00EC250C">
        <w:t xml:space="preserve"> i </w:t>
      </w:r>
      <w:r w:rsidRPr="00EC250C">
        <w:t>zrzeszania się; ratyfikacja Protokołu Fakultatywnego do Konwencji.</w:t>
      </w:r>
    </w:p>
    <w:p w14:paraId="41C564B1" w14:textId="77777777" w:rsidR="00EB1720" w:rsidRPr="00EC250C" w:rsidRDefault="00EB1720" w:rsidP="00D131FA">
      <w:pPr>
        <w:pStyle w:val="Styl1"/>
      </w:pPr>
      <w:r w:rsidRPr="00EC250C">
        <w:t>Rekomendacje Komitetu są zbieżne</w:t>
      </w:r>
      <w:r w:rsidR="00992FD0" w:rsidRPr="00EC250C">
        <w:t xml:space="preserve"> z </w:t>
      </w:r>
      <w:r w:rsidRPr="00EC250C">
        <w:t xml:space="preserve">postulatami </w:t>
      </w:r>
      <w:r w:rsidR="00B04745" w:rsidRPr="00EC250C">
        <w:t>RPO</w:t>
      </w:r>
      <w:r w:rsidRPr="00EC250C">
        <w:t>.</w:t>
      </w:r>
    </w:p>
    <w:sectPr w:rsidR="00EB1720" w:rsidRPr="00EC250C" w:rsidSect="00FC47F2">
      <w:type w:val="continuous"/>
      <w:pgSz w:w="11907" w:h="16840"/>
      <w:pgMar w:top="1418" w:right="1418" w:bottom="1418" w:left="1276" w:header="567" w:footer="567" w:gutter="0"/>
      <w:cols w:space="708"/>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134AF" w14:textId="77777777" w:rsidR="00803B7D" w:rsidRDefault="00803B7D" w:rsidP="00E87712">
      <w:pPr>
        <w:spacing w:line="240" w:lineRule="auto"/>
      </w:pPr>
      <w:r>
        <w:separator/>
      </w:r>
    </w:p>
    <w:p w14:paraId="102EFF49" w14:textId="77777777" w:rsidR="00803B7D" w:rsidRDefault="00803B7D"/>
    <w:p w14:paraId="76044199" w14:textId="77777777" w:rsidR="00803B7D" w:rsidRDefault="00803B7D"/>
  </w:endnote>
  <w:endnote w:type="continuationSeparator" w:id="0">
    <w:p w14:paraId="170DC61D" w14:textId="77777777" w:rsidR="00803B7D" w:rsidRDefault="00803B7D" w:rsidP="00E87712">
      <w:pPr>
        <w:spacing w:line="240" w:lineRule="auto"/>
      </w:pPr>
      <w:r>
        <w:continuationSeparator/>
      </w:r>
    </w:p>
    <w:p w14:paraId="067607BA" w14:textId="77777777" w:rsidR="00803B7D" w:rsidRDefault="00803B7D"/>
    <w:p w14:paraId="79131F18" w14:textId="77777777" w:rsidR="00803B7D" w:rsidRDefault="00803B7D"/>
  </w:endnote>
  <w:endnote w:type="continuationNotice" w:id="1">
    <w:p w14:paraId="31D3CAC4" w14:textId="77777777" w:rsidR="00803B7D" w:rsidRDefault="00803B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B Garamond 08 Regular">
    <w:altName w:val="Cambria"/>
    <w:panose1 w:val="00000000000000000000"/>
    <w:charset w:val="00"/>
    <w:family w:val="roman"/>
    <w:notTrueType/>
    <w:pitch w:val="default"/>
  </w:font>
  <w:font w:name="Cambria">
    <w:panose1 w:val="02040503050406030204"/>
    <w:charset w:val="EE"/>
    <w:family w:val="roman"/>
    <w:pitch w:val="variable"/>
    <w:sig w:usb0="A00002EF" w:usb1="4000004B" w:usb2="00000000" w:usb3="00000000" w:csb0="0000019F" w:csb1="00000000"/>
  </w:font>
  <w:font w:name="Arial">
    <w:panose1 w:val="020B0604020202020204"/>
    <w:charset w:val="EE"/>
    <w:family w:val="swiss"/>
    <w:pitch w:val="variable"/>
    <w:sig w:usb0="E0002EFF" w:usb1="C000785B" w:usb2="00000009" w:usb3="00000000" w:csb0="000001FF" w:csb1="00000000"/>
  </w:font>
  <w:font w:name="Times-Roman">
    <w:altName w:val="Times New Roman"/>
    <w:panose1 w:val="00000000000000000000"/>
    <w:charset w:val="EE"/>
    <w:family w:val="roman"/>
    <w:notTrueType/>
    <w:pitch w:val="default"/>
    <w:sig w:usb0="00000005" w:usb1="00000000" w:usb2="00000000" w:usb3="00000000" w:csb0="00000002"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Open Sans Regular">
    <w:altName w:val="Segoe UI"/>
    <w:charset w:val="00"/>
    <w:family w:val="roman"/>
    <w:pitch w:val="default"/>
  </w:font>
  <w:font w:name="inherit">
    <w:altName w:val="Calibri"/>
    <w:panose1 w:val="00000000000000000000"/>
    <w:charset w:val="00"/>
    <w:family w:val="roman"/>
    <w:notTrueType/>
    <w:pitch w:val="default"/>
  </w:font>
  <w:font w:name="ArialMT">
    <w:altName w:val="Arial"/>
    <w:panose1 w:val="00000000000000000000"/>
    <w:charset w:val="EE"/>
    <w:family w:val="swiss"/>
    <w:notTrueType/>
    <w:pitch w:val="default"/>
    <w:sig w:usb0="00000005" w:usb1="00000000" w:usb2="00000000" w:usb3="00000000" w:csb0="00000002" w:csb1="00000000"/>
  </w:font>
  <w:font w:name="TimesNewRomanPSMT">
    <w:altName w:val="Times New Roman"/>
    <w:panose1 w:val="00000000000000000000"/>
    <w:charset w:val="EE"/>
    <w:family w:val="roman"/>
    <w:notTrueType/>
    <w:pitch w:val="default"/>
    <w:sig w:usb0="00000007" w:usb1="00000000" w:usb2="00000000" w:usb3="00000000" w:csb0="00000003"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C2815" w14:textId="77777777" w:rsidR="00803B7D" w:rsidRDefault="00803B7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E30E9" w14:textId="638A7AE9" w:rsidR="00803B7D" w:rsidRPr="00803B7D" w:rsidRDefault="00803B7D">
    <w:pPr>
      <w:pStyle w:val="Stopka"/>
      <w:rPr>
        <w:rFonts w:asciiTheme="majorHAnsi" w:hAnsiTheme="majorHAnsi"/>
      </w:rPr>
    </w:pPr>
    <w:hyperlink w:anchor="SPIS" w:history="1">
      <w:r w:rsidRPr="00803B7D">
        <w:rPr>
          <w:rStyle w:val="Hipercze"/>
          <w:rFonts w:asciiTheme="majorHAnsi" w:hAnsiTheme="majorHAnsi"/>
          <w:sz w:val="18"/>
          <w:szCs w:val="18"/>
        </w:rPr>
        <w:t>Spis treści – s. 10</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02366" w14:textId="77777777" w:rsidR="00803B7D" w:rsidRDefault="00803B7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B623C" w14:textId="77777777" w:rsidR="00803B7D" w:rsidRDefault="00803B7D" w:rsidP="00DF0598">
      <w:pPr>
        <w:spacing w:after="0" w:line="240" w:lineRule="auto"/>
      </w:pPr>
      <w:r>
        <w:separator/>
      </w:r>
    </w:p>
  </w:footnote>
  <w:footnote w:type="continuationSeparator" w:id="0">
    <w:p w14:paraId="29F62476" w14:textId="77777777" w:rsidR="00803B7D" w:rsidRDefault="00803B7D" w:rsidP="008E3A79">
      <w:pPr>
        <w:spacing w:line="240" w:lineRule="auto"/>
      </w:pPr>
      <w:r>
        <w:continuationSeparator/>
      </w:r>
    </w:p>
  </w:footnote>
  <w:footnote w:type="continuationNotice" w:id="1">
    <w:p w14:paraId="00D04543" w14:textId="77777777" w:rsidR="00803B7D" w:rsidRDefault="00803B7D">
      <w:pPr>
        <w:spacing w:after="0" w:line="240" w:lineRule="auto"/>
      </w:pPr>
    </w:p>
  </w:footnote>
  <w:footnote w:id="2">
    <w:p w14:paraId="1715024A" w14:textId="77777777" w:rsidR="00803B7D" w:rsidRPr="007A22DC" w:rsidRDefault="00803B7D" w:rsidP="004C5994">
      <w:pPr>
        <w:pStyle w:val="Przypis"/>
      </w:pPr>
      <w:r w:rsidRPr="007A22DC">
        <w:rPr>
          <w:rStyle w:val="Odwoanieprzypisudolnego"/>
        </w:rPr>
        <w:footnoteRef/>
      </w:r>
      <w:r w:rsidRPr="007A22DC">
        <w:t xml:space="preserve"> Dz.U. z 2018 r., poz. 2179</w:t>
      </w:r>
    </w:p>
  </w:footnote>
  <w:footnote w:id="3">
    <w:p w14:paraId="1C058F9A" w14:textId="77777777" w:rsidR="00803B7D" w:rsidRPr="007A22DC" w:rsidRDefault="00803B7D" w:rsidP="0086657F">
      <w:pPr>
        <w:pStyle w:val="Przypis"/>
      </w:pPr>
      <w:r w:rsidRPr="007A22DC">
        <w:rPr>
          <w:rStyle w:val="Odwoanieprzypisudolnego"/>
        </w:rPr>
        <w:footnoteRef/>
      </w:r>
      <w:r w:rsidRPr="007A22DC">
        <w:t xml:space="preserve"> </w:t>
      </w:r>
      <w:hyperlink r:id="rId1" w:history="1">
        <w:r w:rsidRPr="007A22DC">
          <w:rPr>
            <w:rStyle w:val="Hipercze"/>
            <w:rFonts w:eastAsiaTheme="majorEastAsia"/>
          </w:rPr>
          <w:t>KOALICJA INFOLINII. Informator o infoliniach, telefonach i organizacjach pomocowych</w:t>
        </w:r>
      </w:hyperlink>
    </w:p>
  </w:footnote>
  <w:footnote w:id="4">
    <w:p w14:paraId="1C62BBB3" w14:textId="77777777" w:rsidR="00803B7D" w:rsidRPr="007A22DC" w:rsidRDefault="00803B7D" w:rsidP="0014574C">
      <w:pPr>
        <w:pStyle w:val="Przypis"/>
      </w:pPr>
      <w:r w:rsidRPr="007A22DC">
        <w:rPr>
          <w:rStyle w:val="Odwoanieprzypisudolnego"/>
        </w:rPr>
        <w:footnoteRef/>
      </w:r>
      <w:r w:rsidRPr="007A22DC">
        <w:t xml:space="preserve"> Pismo z 7 lutego 2018 r.; kompleksową argumentację RPO przedstawił na początku 2019 r. </w:t>
      </w:r>
      <w:r w:rsidRPr="007A22DC">
        <w:rPr>
          <w:b/>
        </w:rPr>
        <w:t>we w piśmie procesowym do Trybunału Konstytucyjnego</w:t>
      </w:r>
      <w:r w:rsidRPr="007A22DC">
        <w:t xml:space="preserve">, </w:t>
      </w:r>
      <w:hyperlink r:id="rId2" w:history="1">
        <w:r w:rsidRPr="007A22DC">
          <w:rPr>
            <w:rStyle w:val="Hipercze"/>
          </w:rPr>
          <w:t>https://www.rpo.gov.pl/pl/content/RPO-do-trybunalu-ubezwlasnowolnienie-calkowite-niekonstytucyjne</w:t>
        </w:r>
      </w:hyperlink>
    </w:p>
  </w:footnote>
  <w:footnote w:id="5">
    <w:p w14:paraId="12C770B6" w14:textId="77777777" w:rsidR="00803B7D" w:rsidRPr="007A22DC" w:rsidRDefault="00803B7D" w:rsidP="0014574C">
      <w:pPr>
        <w:pStyle w:val="Przypis"/>
      </w:pPr>
      <w:r w:rsidRPr="007A22DC">
        <w:rPr>
          <w:rStyle w:val="Odwoanieprzypisudolnego"/>
        </w:rPr>
        <w:footnoteRef/>
      </w:r>
      <w:r w:rsidRPr="007A22DC">
        <w:t xml:space="preserve"> </w:t>
      </w:r>
      <w:hyperlink r:id="rId3" w:history="1">
        <w:r w:rsidRPr="007A22DC">
          <w:rPr>
            <w:rStyle w:val="Hipercze"/>
          </w:rPr>
          <w:t>III.7065.232.2018</w:t>
        </w:r>
      </w:hyperlink>
    </w:p>
  </w:footnote>
  <w:footnote w:id="6">
    <w:p w14:paraId="083BAFD1" w14:textId="77777777" w:rsidR="00803B7D" w:rsidRPr="007A22DC" w:rsidRDefault="00803B7D" w:rsidP="0014574C">
      <w:pPr>
        <w:pStyle w:val="Przypis"/>
      </w:pPr>
      <w:r w:rsidRPr="007A22DC">
        <w:rPr>
          <w:rStyle w:val="Odwoanieprzypisudolnego"/>
        </w:rPr>
        <w:footnoteRef/>
      </w:r>
      <w:r w:rsidRPr="007A22DC">
        <w:t xml:space="preserve"> Informacja RPO za 2017 r., str. 241., sprawa </w:t>
      </w:r>
      <w:hyperlink r:id="rId4" w:history="1">
        <w:r w:rsidRPr="007A22DC">
          <w:rPr>
            <w:rStyle w:val="Hipercze"/>
            <w:spacing w:val="0"/>
            <w:sz w:val="20"/>
          </w:rPr>
          <w:t>V.565.74.2017</w:t>
        </w:r>
      </w:hyperlink>
      <w:r w:rsidRPr="007A22DC">
        <w:rPr>
          <w:rStyle w:val="Hipercze"/>
          <w:spacing w:val="0"/>
          <w:sz w:val="20"/>
        </w:rPr>
        <w:t xml:space="preserve">, </w:t>
      </w:r>
      <w:r w:rsidRPr="007A22DC">
        <w:t xml:space="preserve">NSA </w:t>
      </w:r>
      <w:r w:rsidRPr="007A22DC">
        <w:rPr>
          <w:rFonts w:eastAsia="SimSun"/>
        </w:rPr>
        <w:t>sygn. akt II G S K 1675/18</w:t>
      </w:r>
    </w:p>
  </w:footnote>
  <w:footnote w:id="7">
    <w:p w14:paraId="74D49327" w14:textId="77777777" w:rsidR="00803B7D" w:rsidRPr="007A22DC" w:rsidRDefault="00803B7D" w:rsidP="0014574C">
      <w:pPr>
        <w:pStyle w:val="Przypis"/>
        <w:rPr>
          <w:lang w:eastAsia="en-US"/>
        </w:rPr>
      </w:pPr>
      <w:r w:rsidRPr="007A22DC">
        <w:rPr>
          <w:rStyle w:val="Odwoanieprzypisudolnego"/>
        </w:rPr>
        <w:footnoteRef/>
      </w:r>
      <w:r w:rsidRPr="007A22DC">
        <w:t xml:space="preserve"> Wyrok z 23 maja 2018 r., sygn. akt VI SA/Wa 90/18.</w:t>
      </w:r>
    </w:p>
  </w:footnote>
  <w:footnote w:id="8">
    <w:p w14:paraId="1A1E4225" w14:textId="77777777" w:rsidR="00803B7D" w:rsidRPr="007A22DC" w:rsidRDefault="00803B7D" w:rsidP="0014574C">
      <w:pPr>
        <w:pStyle w:val="Przypis"/>
      </w:pPr>
      <w:r w:rsidRPr="007A22DC">
        <w:rPr>
          <w:rStyle w:val="Odwoanieprzypisudolnego"/>
        </w:rPr>
        <w:footnoteRef/>
      </w:r>
      <w:r w:rsidRPr="007A22DC">
        <w:t xml:space="preserve"> </w:t>
      </w:r>
      <w:hyperlink r:id="rId5" w:history="1">
        <w:r w:rsidRPr="007A22DC">
          <w:rPr>
            <w:rStyle w:val="Hipercze"/>
          </w:rPr>
          <w:t>V.7100.2.2018</w:t>
        </w:r>
      </w:hyperlink>
      <w:r w:rsidRPr="007A22DC">
        <w:t xml:space="preserve"> z 9 lipca 2018 r., odpowiedź z 2 października 2018 r. i z 18 kwietnia 2019 r..</w:t>
      </w:r>
    </w:p>
  </w:footnote>
  <w:footnote w:id="9">
    <w:p w14:paraId="15DC4C67" w14:textId="77777777" w:rsidR="00803B7D" w:rsidRPr="007A22DC" w:rsidRDefault="00803B7D" w:rsidP="0014574C">
      <w:pPr>
        <w:pStyle w:val="Przypis"/>
      </w:pPr>
      <w:r w:rsidRPr="007A22DC">
        <w:rPr>
          <w:rStyle w:val="Odwoanieprzypisudolnego"/>
        </w:rPr>
        <w:footnoteRef/>
      </w:r>
      <w:r w:rsidRPr="007A22DC">
        <w:t xml:space="preserve"> </w:t>
      </w:r>
      <w:hyperlink r:id="rId6" w:history="1">
        <w:r w:rsidRPr="007A22DC">
          <w:rPr>
            <w:rStyle w:val="Hipercze"/>
            <w:rFonts w:eastAsiaTheme="majorEastAsia"/>
          </w:rPr>
          <w:t>https://www.rpo.gov.pl/pl/content/raport-kmpt-prawa-mieszkancow-domow-pomocy-spolecznej</w:t>
        </w:r>
      </w:hyperlink>
    </w:p>
  </w:footnote>
  <w:footnote w:id="10">
    <w:p w14:paraId="3F6BBF6B" w14:textId="77777777" w:rsidR="00803B7D" w:rsidRPr="007A22DC" w:rsidRDefault="00803B7D" w:rsidP="0014574C">
      <w:pPr>
        <w:pStyle w:val="Przypis"/>
      </w:pPr>
      <w:r w:rsidRPr="007A22DC">
        <w:rPr>
          <w:rStyle w:val="Odwoanieprzypisudolnego"/>
        </w:rPr>
        <w:footnoteRef/>
      </w:r>
      <w:r w:rsidRPr="007A22DC">
        <w:t xml:space="preserve"> </w:t>
      </w:r>
      <w:bookmarkStart w:id="28" w:name="_Hlk4659798"/>
      <w:r w:rsidRPr="007A22DC">
        <w:fldChar w:fldCharType="begin"/>
      </w:r>
      <w:r w:rsidRPr="007A22DC">
        <w:instrText xml:space="preserve"> HYPERLINK "https://www.rpo.gov.pl/pl/content/o-prawach-mieszka%C5%84c%C3%B3w-dom%C3%B3w-pomocy-spo%C5%82ecznej-do-ministra-rodziny-pracy-i-polityki-spo%C5%82ecznej" </w:instrText>
      </w:r>
      <w:r w:rsidRPr="007A22DC">
        <w:fldChar w:fldCharType="separate"/>
      </w:r>
      <w:r w:rsidRPr="007A22DC">
        <w:rPr>
          <w:rStyle w:val="Hipercze"/>
        </w:rPr>
        <w:t>KMP.575.7.2016 z 30 stycznia 2018 r.</w:t>
      </w:r>
      <w:r w:rsidRPr="007A22DC">
        <w:fldChar w:fldCharType="end"/>
      </w:r>
      <w:r w:rsidRPr="007A22DC">
        <w:t>, odpowiedź z 5 marca 2018</w:t>
      </w:r>
      <w:bookmarkEnd w:id="28"/>
      <w:r w:rsidRPr="007A22DC">
        <w:t> r..</w:t>
      </w:r>
    </w:p>
  </w:footnote>
  <w:footnote w:id="11">
    <w:p w14:paraId="239B47F6" w14:textId="77777777" w:rsidR="00803B7D" w:rsidRPr="007A22DC" w:rsidRDefault="00803B7D" w:rsidP="0014574C">
      <w:pPr>
        <w:pStyle w:val="Przypis"/>
      </w:pPr>
      <w:r w:rsidRPr="007A22DC">
        <w:rPr>
          <w:rStyle w:val="Odwoanieprzypisudolnego"/>
        </w:rPr>
        <w:footnoteRef/>
      </w:r>
      <w:r w:rsidRPr="007A22DC">
        <w:t xml:space="preserve"> Tamże, ta sama odpowiedź z 5 marca 2018 r..</w:t>
      </w:r>
    </w:p>
  </w:footnote>
  <w:footnote w:id="12">
    <w:p w14:paraId="172464E9" w14:textId="77777777" w:rsidR="00803B7D" w:rsidRPr="007A22DC" w:rsidRDefault="00803B7D" w:rsidP="0014574C">
      <w:pPr>
        <w:pStyle w:val="Przypis"/>
      </w:pPr>
      <w:r w:rsidRPr="007A22DC">
        <w:rPr>
          <w:rStyle w:val="Odwoanieprzypisudolnego"/>
        </w:rPr>
        <w:footnoteRef/>
      </w:r>
      <w:r w:rsidRPr="007A22DC">
        <w:t xml:space="preserve"> </w:t>
      </w:r>
      <w:hyperlink r:id="rId7" w:history="1">
        <w:r w:rsidRPr="007A22DC">
          <w:rPr>
            <w:rStyle w:val="Hipercze"/>
          </w:rPr>
          <w:t>II.511.994.2014</w:t>
        </w:r>
      </w:hyperlink>
      <w:r w:rsidRPr="007A22DC">
        <w:t xml:space="preserve">, sprawa w </w:t>
      </w:r>
      <w:hyperlink r:id="rId8" w:history="1">
        <w:r w:rsidRPr="007A22DC">
          <w:rPr>
            <w:rStyle w:val="Hipercze"/>
          </w:rPr>
          <w:t xml:space="preserve">TK </w:t>
        </w:r>
        <w:r w:rsidRPr="007A22DC">
          <w:rPr>
            <w:rStyle w:val="Hipercze"/>
            <w:rFonts w:eastAsiaTheme="majorEastAsia"/>
          </w:rPr>
          <w:t>K 47/14</w:t>
        </w:r>
      </w:hyperlink>
    </w:p>
  </w:footnote>
  <w:footnote w:id="13">
    <w:p w14:paraId="6A400F7D" w14:textId="77777777" w:rsidR="00803B7D" w:rsidRPr="007A22DC" w:rsidRDefault="00803B7D" w:rsidP="00041A7B">
      <w:pPr>
        <w:pStyle w:val="Przypis"/>
      </w:pPr>
      <w:r w:rsidRPr="007A22DC">
        <w:rPr>
          <w:rStyle w:val="Odwoanieprzypisudolnego"/>
        </w:rPr>
        <w:footnoteRef/>
      </w:r>
      <w:r w:rsidRPr="007A22DC">
        <w:t xml:space="preserve"> </w:t>
      </w:r>
      <w:r w:rsidRPr="007A22DC">
        <w:rPr>
          <w:bdr w:val="none" w:sz="0" w:space="0" w:color="auto" w:frame="1"/>
        </w:rPr>
        <w:t xml:space="preserve">sygn. K 38/13, por. skargi przed Europejskim Trybunałem Praw Człowieka </w:t>
      </w:r>
      <w:r w:rsidRPr="007A22DC">
        <w:t>Łuczkiewicz i inni p. Polsce (nr 1464/14, 1752/14, 1855/14, 2000/14, 2027/14, 2057/14, 2062/14, 2172/14, 2180/14, 2403/14, 2598/14, 2738/14, 3140/14, 3539/14, 4329/14, 4435/14, 4944/14, 6730/14, 7211/14, 7353/14, 7967/14, 10274/14).</w:t>
      </w:r>
      <w:r w:rsidRPr="007A22DC">
        <w:rPr>
          <w:rFonts w:ascii="Tahoma" w:hAnsi="Tahoma" w:cs="Tahoma"/>
          <w:color w:val="5C5D5F"/>
          <w:shd w:val="clear" w:color="auto" w:fill="F0F0F0"/>
        </w:rPr>
        <w:t xml:space="preserve"> </w:t>
      </w:r>
      <w:r w:rsidRPr="007A22DC">
        <w:rPr>
          <w:rStyle w:val="PrzypisZnak"/>
        </w:rPr>
        <w:t>Dotyczy grupy opiekunów osób z niepełnosprawnościami, którzy w 2013 r. na skutek zmiany przepisów zostali pozbawieni prawa do świadczenia pielęgnacyjnego. ETPCz  ma możliwość rozwinięcia standardów dotyczących ochrony praw osób z niepełnosprawnościami i ich rodzin, w kontekście dostępu do świadczeń społecznych.</w:t>
      </w:r>
      <w:r w:rsidRPr="007A22DC">
        <w:rPr>
          <w:rFonts w:ascii="Tahoma" w:hAnsi="Tahoma" w:cs="Tahoma"/>
          <w:color w:val="5C5D5F"/>
          <w:sz w:val="20"/>
          <w:shd w:val="clear" w:color="auto" w:fill="F0F0F0"/>
        </w:rPr>
        <w:t xml:space="preserve"> </w:t>
      </w:r>
    </w:p>
  </w:footnote>
  <w:footnote w:id="14">
    <w:p w14:paraId="369F2E3D" w14:textId="77777777" w:rsidR="00803B7D" w:rsidRPr="007A22DC" w:rsidRDefault="00803B7D" w:rsidP="0014574C">
      <w:pPr>
        <w:pStyle w:val="Przypis"/>
      </w:pPr>
      <w:r w:rsidRPr="007A22DC">
        <w:rPr>
          <w:rStyle w:val="Odwoanieprzypisudolnego"/>
        </w:rPr>
        <w:footnoteRef/>
      </w:r>
      <w:r w:rsidRPr="007A22DC">
        <w:t xml:space="preserve"> </w:t>
      </w:r>
      <w:hyperlink r:id="rId9" w:history="1">
        <w:r w:rsidRPr="007A22DC">
          <w:rPr>
            <w:rStyle w:val="Hipercze"/>
          </w:rPr>
          <w:t>III.7064.103.2018</w:t>
        </w:r>
      </w:hyperlink>
      <w:r w:rsidRPr="007A22DC">
        <w:rPr>
          <w:rStyle w:val="Hipercze"/>
        </w:rPr>
        <w:t xml:space="preserve">, </w:t>
      </w:r>
      <w:r w:rsidRPr="007A22DC">
        <w:t>wystąpienie z 22 maja 2018 r., odpowiedź MRPiPS z dnia 28 czerwca 2018 r, kolejne wystąpienia z dnia 21 stycznia 2019 r. i 21 marca 2019 r., odpowiedź MRPiPS z dnia 17 kwietnia 2019 r..</w:t>
      </w:r>
    </w:p>
  </w:footnote>
  <w:footnote w:id="15">
    <w:p w14:paraId="13BDAF5B" w14:textId="77777777" w:rsidR="00803B7D" w:rsidRPr="007A22DC" w:rsidRDefault="00803B7D" w:rsidP="0014574C">
      <w:pPr>
        <w:pStyle w:val="Przypis"/>
      </w:pPr>
      <w:r w:rsidRPr="007A22DC">
        <w:rPr>
          <w:rStyle w:val="Odwoanieprzypisudolnego"/>
        </w:rPr>
        <w:footnoteRef/>
      </w:r>
      <w:r w:rsidRPr="007A22DC">
        <w:t xml:space="preserve"> </w:t>
      </w:r>
      <w:hyperlink r:id="rId10" w:history="1">
        <w:r w:rsidRPr="007A22DC">
          <w:rPr>
            <w:rStyle w:val="Hipercze"/>
          </w:rPr>
          <w:t>III.7064.8.2016</w:t>
        </w:r>
      </w:hyperlink>
      <w:r w:rsidRPr="007A22DC">
        <w:t>, WSA w Poznaniu sygn. akt IV SA/Po 712/18)</w:t>
      </w:r>
      <w:r w:rsidRPr="007A22DC">
        <w:rPr>
          <w:rFonts w:ascii="Open Sans Regular" w:hAnsi="Open Sans Regular"/>
          <w:sz w:val="21"/>
          <w:szCs w:val="21"/>
        </w:rPr>
        <w:t xml:space="preserve"> </w:t>
      </w:r>
    </w:p>
  </w:footnote>
  <w:footnote w:id="16">
    <w:p w14:paraId="62068778" w14:textId="77777777" w:rsidR="00803B7D" w:rsidRPr="007A22DC" w:rsidRDefault="00803B7D" w:rsidP="00414281">
      <w:pPr>
        <w:pStyle w:val="Przypis"/>
      </w:pPr>
      <w:r w:rsidRPr="007A22DC">
        <w:rPr>
          <w:rStyle w:val="Odwoanieprzypisudolnego"/>
        </w:rPr>
        <w:footnoteRef/>
      </w:r>
      <w:r w:rsidRPr="007A22DC">
        <w:t xml:space="preserve"> </w:t>
      </w:r>
      <w:hyperlink r:id="rId11" w:history="1">
        <w:r w:rsidRPr="007A22DC">
          <w:rPr>
            <w:rStyle w:val="Hipercze"/>
          </w:rPr>
          <w:t>III.7064.119.2017</w:t>
        </w:r>
      </w:hyperlink>
      <w:r w:rsidRPr="007A22DC">
        <w:t xml:space="preserve">, WSA I SA/Wa 592/17,  NSA  sygn </w:t>
      </w:r>
      <w:r w:rsidRPr="007A22DC">
        <w:rPr>
          <w:shd w:val="clear" w:color="auto" w:fill="FFFFFF"/>
        </w:rPr>
        <w:t>I OSK 2763/17</w:t>
      </w:r>
    </w:p>
  </w:footnote>
  <w:footnote w:id="17">
    <w:p w14:paraId="6EFCFDB0" w14:textId="77777777" w:rsidR="00803B7D" w:rsidRPr="007A22DC" w:rsidRDefault="00803B7D" w:rsidP="00835440">
      <w:pPr>
        <w:pStyle w:val="Przypis"/>
      </w:pPr>
      <w:r w:rsidRPr="007A22DC">
        <w:rPr>
          <w:rStyle w:val="Odwoanieprzypisudolnego"/>
        </w:rPr>
        <w:footnoteRef/>
      </w:r>
      <w:r w:rsidRPr="007A22DC">
        <w:t xml:space="preserve"> </w:t>
      </w:r>
      <w:hyperlink r:id="rId12" w:history="1">
        <w:r w:rsidRPr="007A22DC">
          <w:rPr>
            <w:rStyle w:val="Hipercze"/>
          </w:rPr>
          <w:t>III.7064.16.2018</w:t>
        </w:r>
      </w:hyperlink>
      <w:r w:rsidRPr="007A22DC">
        <w:t>, WSA w Gorzowie Wlkp.  sygn. II SA/Go 386/18</w:t>
      </w:r>
    </w:p>
  </w:footnote>
  <w:footnote w:id="18">
    <w:p w14:paraId="7D06531A" w14:textId="77777777" w:rsidR="00803B7D" w:rsidRPr="007A22DC" w:rsidRDefault="00803B7D" w:rsidP="0014574C">
      <w:pPr>
        <w:pStyle w:val="Przypis"/>
      </w:pPr>
      <w:r w:rsidRPr="007A22DC">
        <w:rPr>
          <w:rStyle w:val="Odwoanieprzypisudolnego"/>
        </w:rPr>
        <w:footnoteRef/>
      </w:r>
      <w:r w:rsidRPr="007A22DC">
        <w:t xml:space="preserve"> </w:t>
      </w:r>
      <w:hyperlink r:id="rId13" w:history="1">
        <w:r w:rsidRPr="007A22DC">
          <w:rPr>
            <w:rStyle w:val="Hipercze"/>
          </w:rPr>
          <w:t>Druk sejmowy nr 1608</w:t>
        </w:r>
      </w:hyperlink>
    </w:p>
  </w:footnote>
  <w:footnote w:id="19">
    <w:p w14:paraId="76AEF9C3" w14:textId="77777777" w:rsidR="00803B7D" w:rsidRPr="007A22DC" w:rsidRDefault="00803B7D" w:rsidP="0014574C">
      <w:pPr>
        <w:pStyle w:val="Przypis"/>
      </w:pPr>
      <w:r w:rsidRPr="007A22DC">
        <w:rPr>
          <w:rStyle w:val="Odwoanieprzypisudolnego"/>
        </w:rPr>
        <w:footnoteRef/>
      </w:r>
      <w:r w:rsidRPr="007A22DC">
        <w:t xml:space="preserve"> </w:t>
      </w:r>
      <w:hyperlink r:id="rId14" w:history="1">
        <w:r w:rsidRPr="007A22DC">
          <w:rPr>
            <w:rStyle w:val="Hipercze"/>
          </w:rPr>
          <w:t>XI.503.2.2016</w:t>
        </w:r>
      </w:hyperlink>
      <w:r w:rsidRPr="007A22DC">
        <w:t xml:space="preserve"> z 17 lipca 2018 r., odpowiedź MZS z 20 sierpnia 2018 r. oraz MRPiPS z 8 sierpnia 2018 r..</w:t>
      </w:r>
    </w:p>
  </w:footnote>
  <w:footnote w:id="20">
    <w:p w14:paraId="31B0AEA5" w14:textId="77777777" w:rsidR="00803B7D" w:rsidRPr="007A22DC" w:rsidRDefault="00803B7D" w:rsidP="0014574C">
      <w:pPr>
        <w:pStyle w:val="Przypis"/>
      </w:pPr>
      <w:r w:rsidRPr="007A22DC">
        <w:rPr>
          <w:rStyle w:val="Odwoanieprzypisudolnego"/>
        </w:rPr>
        <w:footnoteRef/>
      </w:r>
      <w:r w:rsidRPr="007A22DC">
        <w:t xml:space="preserve"> </w:t>
      </w:r>
      <w:hyperlink r:id="rId15" w:history="1">
        <w:r w:rsidRPr="007A22DC">
          <w:rPr>
            <w:rStyle w:val="Hipercze"/>
          </w:rPr>
          <w:t>II.510.601.2018 z 18 czerwca 2018 r.</w:t>
        </w:r>
      </w:hyperlink>
    </w:p>
  </w:footnote>
  <w:footnote w:id="21">
    <w:p w14:paraId="6228ACB5" w14:textId="77777777" w:rsidR="00803B7D" w:rsidRPr="007A22DC" w:rsidRDefault="00803B7D" w:rsidP="0014574C">
      <w:pPr>
        <w:pStyle w:val="Przypis"/>
      </w:pPr>
      <w:r w:rsidRPr="007A22DC">
        <w:rPr>
          <w:rStyle w:val="Odwoanieprzypisudolnego"/>
        </w:rPr>
        <w:footnoteRef/>
      </w:r>
      <w:r w:rsidRPr="007A22DC">
        <w:t xml:space="preserve">Informacja RPO za 2016 r., str. 25-26, </w:t>
      </w:r>
      <w:hyperlink r:id="rId16" w:history="1">
        <w:r w:rsidRPr="007A22DC">
          <w:rPr>
            <w:rStyle w:val="Hipercze"/>
          </w:rPr>
          <w:t>https://www.rpo.gov.pl/pl/content/wniosek-do-trybunalu-konstytucyjnego-ws-orzekania-kary-lacznej-na-podstawie-przepisow-intertemporalnych</w:t>
        </w:r>
      </w:hyperlink>
    </w:p>
  </w:footnote>
  <w:footnote w:id="22">
    <w:p w14:paraId="4D768182" w14:textId="77777777" w:rsidR="00803B7D" w:rsidRPr="007A22DC" w:rsidRDefault="00803B7D" w:rsidP="0014574C">
      <w:pPr>
        <w:pStyle w:val="Przypis"/>
      </w:pPr>
      <w:r w:rsidRPr="007A22DC">
        <w:rPr>
          <w:rStyle w:val="Odwoanieprzypisudolnego"/>
        </w:rPr>
        <w:footnoteRef/>
      </w:r>
      <w:r w:rsidRPr="007A22DC">
        <w:t xml:space="preserve"> Wyrok TK z 4 lipca 2018 r., sygn. akt K 16/16.</w:t>
      </w:r>
    </w:p>
  </w:footnote>
  <w:footnote w:id="23">
    <w:p w14:paraId="56532554" w14:textId="77777777" w:rsidR="00803B7D" w:rsidRPr="007A22DC" w:rsidRDefault="00803B7D" w:rsidP="0014574C">
      <w:pPr>
        <w:pStyle w:val="Przypis"/>
      </w:pPr>
      <w:r w:rsidRPr="007A22DC">
        <w:rPr>
          <w:rStyle w:val="Odwoanieprzypisudolnego"/>
        </w:rPr>
        <w:footnoteRef/>
      </w:r>
      <w:r w:rsidRPr="007A22DC">
        <w:t xml:space="preserve"> </w:t>
      </w:r>
      <w:hyperlink r:id="rId17" w:history="1">
        <w:r w:rsidRPr="007A22DC">
          <w:rPr>
            <w:rStyle w:val="Hipercze"/>
          </w:rPr>
          <w:t>V.510.31.2018</w:t>
        </w:r>
      </w:hyperlink>
      <w:r w:rsidRPr="007A22DC">
        <w:t xml:space="preserve"> z 30 maja 2018 r. wyrok WSA </w:t>
      </w:r>
      <w:r w:rsidRPr="007A22DC">
        <w:rPr>
          <w:rFonts w:eastAsia="SimSun"/>
        </w:rPr>
        <w:t>sygn. akt II SA/OP 281/18</w:t>
      </w:r>
      <w:r w:rsidRPr="007A22DC">
        <w:rPr>
          <w:rFonts w:ascii="ArialMT" w:eastAsia="SimSun" w:hAnsi="ArialMT" w:cs="ArialMT"/>
          <w:spacing w:val="0"/>
          <w:sz w:val="20"/>
          <w:lang w:eastAsia="en-US"/>
        </w:rPr>
        <w:t xml:space="preserve"> </w:t>
      </w:r>
      <w:r w:rsidRPr="007A22DC">
        <w:t xml:space="preserve">i </w:t>
      </w:r>
      <w:hyperlink r:id="rId18" w:history="1">
        <w:r w:rsidRPr="007A22DC">
          <w:rPr>
            <w:rStyle w:val="Hipercze"/>
          </w:rPr>
          <w:t>V.565.58.2018</w:t>
        </w:r>
      </w:hyperlink>
      <w:r w:rsidRPr="007A22DC">
        <w:t xml:space="preserve"> z 17 lipca 2018 r. wyrok WSA (sygn. akt. III SA/Kr 900/18</w:t>
      </w:r>
    </w:p>
  </w:footnote>
  <w:footnote w:id="24">
    <w:p w14:paraId="4ECBDDD5" w14:textId="77777777" w:rsidR="00803B7D" w:rsidRPr="007A22DC" w:rsidRDefault="00803B7D" w:rsidP="00DC75D8">
      <w:pPr>
        <w:pStyle w:val="Przypis"/>
      </w:pPr>
      <w:r w:rsidRPr="007A22DC">
        <w:rPr>
          <w:rStyle w:val="Odwoanieprzypisudolnego"/>
        </w:rPr>
        <w:footnoteRef/>
      </w:r>
      <w:r w:rsidRPr="007A22DC">
        <w:t xml:space="preserve"> Raport z badania dostępny pod adresem: </w:t>
      </w:r>
      <w:hyperlink r:id="rId19" w:history="1">
        <w:r w:rsidRPr="007A22DC">
          <w:rPr>
            <w:rStyle w:val="Hipercze"/>
            <w:rFonts w:eastAsiaTheme="majorEastAsia"/>
          </w:rPr>
          <w:t>https://www.rpo.gov.pl/pl/content/miedzynarodowy-dzien-bez-dyskryminacji-nie-jestesmy-dyskryminowani-bo-nie-wiemy-co-to</w:t>
        </w:r>
      </w:hyperlink>
    </w:p>
  </w:footnote>
  <w:footnote w:id="25">
    <w:p w14:paraId="7E0A17CE" w14:textId="77777777" w:rsidR="00803B7D" w:rsidRPr="007A22DC" w:rsidRDefault="00803B7D" w:rsidP="0014574C">
      <w:pPr>
        <w:pStyle w:val="Przypis"/>
      </w:pPr>
      <w:r w:rsidRPr="007A22DC">
        <w:rPr>
          <w:rStyle w:val="Odwoanieprzypisudolnego"/>
        </w:rPr>
        <w:footnoteRef/>
      </w:r>
      <w:r w:rsidRPr="007A22DC">
        <w:t xml:space="preserve"> </w:t>
      </w:r>
      <w:hyperlink r:id="rId20" w:history="1">
        <w:r w:rsidRPr="007A22DC">
          <w:rPr>
            <w:rStyle w:val="Hipercze"/>
          </w:rPr>
          <w:t>XI.800.3.2017 z 3 grudnia 2018 r.</w:t>
        </w:r>
      </w:hyperlink>
      <w:r w:rsidRPr="007A22DC">
        <w:rPr>
          <w:rStyle w:val="Hipercze"/>
        </w:rPr>
        <w:t xml:space="preserve">, </w:t>
      </w:r>
      <w:r w:rsidRPr="007A22DC">
        <w:t>odpowiedź MEN z 7 stycznia 2019 r., ponowne wystąpienie RPO z 17 stycznia 2019 r.</w:t>
      </w:r>
    </w:p>
  </w:footnote>
  <w:footnote w:id="26">
    <w:p w14:paraId="64403B76" w14:textId="02DF614B" w:rsidR="00803B7D" w:rsidRPr="007A22DC" w:rsidRDefault="00803B7D">
      <w:pPr>
        <w:pStyle w:val="Tekstprzypisudolnego"/>
      </w:pPr>
      <w:r>
        <w:t>"</w:t>
      </w:r>
      <w:r w:rsidRPr="007A22DC">
        <w:rPr>
          <w:rStyle w:val="Odwoanieprzypisudolnego"/>
        </w:rPr>
        <w:footnoteRef/>
      </w:r>
      <w:r>
        <w:t xml:space="preserve">”Adam Bodnar, „Czego polska szkoła mogłaby uczyć w Tęczowy piątek” „Gazeta Wyborcza” z 28 października 2018 r., </w:t>
      </w:r>
      <w:hyperlink r:id="rId21" w:history="1">
        <w:r w:rsidRPr="007A22DC">
          <w:rPr>
            <w:rStyle w:val="Hipercze"/>
          </w:rPr>
          <w:t>http://wyborcza.pl/7,75968,24102345,czego-polska-szkola-moglaby-uczyc-w-teczowy-piatek.html</w:t>
        </w:r>
      </w:hyperlink>
    </w:p>
  </w:footnote>
  <w:footnote w:id="27">
    <w:p w14:paraId="0F360100" w14:textId="77777777" w:rsidR="00803B7D" w:rsidRPr="007A22DC" w:rsidRDefault="00803B7D" w:rsidP="0014574C">
      <w:pPr>
        <w:pStyle w:val="Przypis"/>
      </w:pPr>
      <w:r w:rsidRPr="007A22DC">
        <w:rPr>
          <w:rStyle w:val="Odwoanieprzypisudolnego"/>
        </w:rPr>
        <w:footnoteRef/>
      </w:r>
      <w:r w:rsidRPr="007A22DC">
        <w:t xml:space="preserve"> </w:t>
      </w:r>
      <w:hyperlink r:id="rId22" w:history="1">
        <w:r w:rsidRPr="007A22DC">
          <w:rPr>
            <w:rStyle w:val="Hipercze"/>
          </w:rPr>
          <w:t>XI.518.50.2017</w:t>
        </w:r>
      </w:hyperlink>
      <w:r w:rsidRPr="007A22DC">
        <w:t xml:space="preserve"> z 11 kwietnia 2018 r., odpowiedź MSWiA z 8 maja 2018 r. i z 10 grudnia 2018 r.</w:t>
      </w:r>
    </w:p>
  </w:footnote>
  <w:footnote w:id="28">
    <w:p w14:paraId="25D11C64" w14:textId="77777777" w:rsidR="00803B7D" w:rsidRPr="007A22DC" w:rsidRDefault="00803B7D" w:rsidP="00546C7B">
      <w:pPr>
        <w:pStyle w:val="Tekstprzypisudolnego"/>
      </w:pPr>
      <w:r w:rsidRPr="007A22DC">
        <w:rPr>
          <w:rStyle w:val="Odwoanieprzypisudolnego"/>
        </w:rPr>
        <w:footnoteRef/>
      </w:r>
      <w:r w:rsidRPr="007A22DC">
        <w:t xml:space="preserve"> XI.815.2.2016 z 22 lutego 2016 r.</w:t>
      </w:r>
    </w:p>
  </w:footnote>
  <w:footnote w:id="29">
    <w:p w14:paraId="623AF56D" w14:textId="77777777" w:rsidR="00803B7D" w:rsidRPr="007A22DC" w:rsidRDefault="00803B7D" w:rsidP="00546C7B">
      <w:pPr>
        <w:autoSpaceDE w:val="0"/>
        <w:autoSpaceDN w:val="0"/>
        <w:adjustRightInd w:val="0"/>
        <w:spacing w:after="0" w:line="240" w:lineRule="auto"/>
        <w:rPr>
          <w:sz w:val="20"/>
        </w:rPr>
      </w:pPr>
      <w:r w:rsidRPr="007A22DC">
        <w:rPr>
          <w:rStyle w:val="Odwoanieprzypisudolnego"/>
          <w:sz w:val="20"/>
        </w:rPr>
        <w:footnoteRef/>
      </w:r>
      <w:r w:rsidRPr="007A22DC">
        <w:rPr>
          <w:sz w:val="20"/>
        </w:rPr>
        <w:t xml:space="preserve"> W</w:t>
      </w:r>
      <w:r w:rsidRPr="007A22DC">
        <w:rPr>
          <w:rFonts w:eastAsia="SimSun"/>
          <w:spacing w:val="0"/>
          <w:sz w:val="20"/>
          <w:lang w:eastAsia="en-US"/>
        </w:rPr>
        <w:t>yrok Sądu Rejonowego dla Łodzi Widzewa w Łodzi z 31 marca 2017 r., sygn. akt VII W 1640/16.</w:t>
      </w:r>
    </w:p>
  </w:footnote>
  <w:footnote w:id="30">
    <w:p w14:paraId="0AE65348" w14:textId="77777777" w:rsidR="00803B7D" w:rsidRPr="007A22DC" w:rsidRDefault="00803B7D" w:rsidP="00546C7B">
      <w:pPr>
        <w:pStyle w:val="Tekstprzypisudolnego"/>
      </w:pPr>
      <w:r w:rsidRPr="007A22DC">
        <w:rPr>
          <w:rStyle w:val="Odwoanieprzypisudolnego"/>
        </w:rPr>
        <w:footnoteRef/>
      </w:r>
      <w:r w:rsidRPr="007A22DC">
        <w:t xml:space="preserve"> Wyrok Sądu Okręgowego </w:t>
      </w:r>
      <w:r w:rsidRPr="007A22DC">
        <w:rPr>
          <w:rFonts w:eastAsia="SimSun"/>
          <w:spacing w:val="0"/>
          <w:lang w:eastAsia="en-US"/>
        </w:rPr>
        <w:t>z 26 maja 2017 r., sygn. akt V Ka 557/17.</w:t>
      </w:r>
    </w:p>
  </w:footnote>
  <w:footnote w:id="31">
    <w:p w14:paraId="4115AE39" w14:textId="77777777" w:rsidR="00803B7D" w:rsidRPr="007A22DC" w:rsidRDefault="00803B7D" w:rsidP="00546C7B">
      <w:pPr>
        <w:pStyle w:val="Tekstprzypisudolnego"/>
      </w:pPr>
      <w:r w:rsidRPr="007A22DC">
        <w:rPr>
          <w:rStyle w:val="Odwoanieprzypisudolnego"/>
        </w:rPr>
        <w:footnoteRef/>
      </w:r>
      <w:r w:rsidRPr="007A22DC">
        <w:t xml:space="preserve"> Postanowienie z 14 czerwca 2018 r., sygn. akt II KK 333/17.</w:t>
      </w:r>
    </w:p>
  </w:footnote>
  <w:footnote w:id="32">
    <w:p w14:paraId="77C99BF7" w14:textId="77777777" w:rsidR="00803B7D" w:rsidRPr="007A22DC" w:rsidRDefault="00803B7D" w:rsidP="00546C7B">
      <w:pPr>
        <w:pStyle w:val="Tekstprzypisudolnego"/>
      </w:pPr>
      <w:r w:rsidRPr="007A22DC">
        <w:rPr>
          <w:rStyle w:val="Odwoanieprzypisudolnego"/>
        </w:rPr>
        <w:footnoteRef/>
      </w:r>
      <w:r w:rsidRPr="007A22DC">
        <w:t xml:space="preserve"> Wniosek z 21 grudnia 2017 r.</w:t>
      </w:r>
    </w:p>
  </w:footnote>
  <w:footnote w:id="33">
    <w:p w14:paraId="0C715C14" w14:textId="77777777" w:rsidR="00803B7D" w:rsidRPr="007A22DC" w:rsidRDefault="00803B7D" w:rsidP="00546C7B">
      <w:pPr>
        <w:pStyle w:val="Tekstprzypisudolnego"/>
      </w:pPr>
      <w:r w:rsidRPr="007A22DC">
        <w:rPr>
          <w:rStyle w:val="Odwoanieprzypisudolnego"/>
        </w:rPr>
        <w:footnoteRef/>
      </w:r>
      <w:r w:rsidRPr="007A22DC">
        <w:t xml:space="preserve"> </w:t>
      </w:r>
      <w:hyperlink r:id="rId23" w:history="1">
        <w:r w:rsidRPr="007A22DC">
          <w:rPr>
            <w:rStyle w:val="Hipercze"/>
          </w:rPr>
          <w:t>XI.815.6.2018</w:t>
        </w:r>
      </w:hyperlink>
      <w:r w:rsidRPr="007A22DC">
        <w:t xml:space="preserve"> z 2 lutego 2018 r., sygn. akt K 16/17.</w:t>
      </w:r>
    </w:p>
  </w:footnote>
  <w:footnote w:id="34">
    <w:p w14:paraId="73E61CCA" w14:textId="77777777" w:rsidR="00803B7D" w:rsidRPr="007A22DC" w:rsidRDefault="00803B7D" w:rsidP="00EA674D">
      <w:pPr>
        <w:pStyle w:val="Przypis"/>
      </w:pPr>
      <w:r w:rsidRPr="007A22DC">
        <w:rPr>
          <w:rStyle w:val="Odwoanieprzypisudolnego"/>
        </w:rPr>
        <w:footnoteRef/>
      </w:r>
      <w:r w:rsidRPr="007A22DC">
        <w:t xml:space="preserve"> Wyrok Sądu Rejonowego w Tarnobrzegu z 8 marca 2013 r., sygn. akt II W 13/13.</w:t>
      </w:r>
    </w:p>
  </w:footnote>
  <w:footnote w:id="35">
    <w:p w14:paraId="5DEB740E" w14:textId="77777777" w:rsidR="00803B7D" w:rsidRPr="007A22DC" w:rsidRDefault="00803B7D" w:rsidP="00EA674D">
      <w:pPr>
        <w:pStyle w:val="Przypis"/>
      </w:pPr>
      <w:r w:rsidRPr="007A22DC">
        <w:rPr>
          <w:rStyle w:val="Odwoanieprzypisudolnego"/>
        </w:rPr>
        <w:footnoteRef/>
      </w:r>
      <w:r w:rsidRPr="007A22DC">
        <w:t xml:space="preserve"> Wyrok Sądu Rejonowego dla Warszawy-Woli w Warszawie z 5 grudnia 2016 r., sygn. akt V W 4937/16.</w:t>
      </w:r>
    </w:p>
  </w:footnote>
  <w:footnote w:id="36">
    <w:p w14:paraId="2CD034E6" w14:textId="77777777" w:rsidR="00803B7D" w:rsidRPr="007A22DC" w:rsidRDefault="00803B7D" w:rsidP="00EA674D">
      <w:pPr>
        <w:pStyle w:val="Przypis"/>
      </w:pPr>
      <w:r w:rsidRPr="007A22DC">
        <w:rPr>
          <w:rStyle w:val="Odwoanieprzypisudolnego"/>
        </w:rPr>
        <w:footnoteRef/>
      </w:r>
      <w:r w:rsidRPr="007A22DC">
        <w:t xml:space="preserve"> Wyrok Sądu Rejonowego Warszawa Śródmieście w Warszawie z 26 lutego 2018 r., sygn. akt XI W 5001/17.</w:t>
      </w:r>
    </w:p>
  </w:footnote>
  <w:footnote w:id="37">
    <w:p w14:paraId="4A8A200A" w14:textId="77777777" w:rsidR="00803B7D" w:rsidRPr="007A22DC" w:rsidRDefault="00803B7D" w:rsidP="00EA674D">
      <w:pPr>
        <w:pStyle w:val="Przypis"/>
      </w:pPr>
      <w:r w:rsidRPr="007A22DC">
        <w:rPr>
          <w:rStyle w:val="Odwoanieprzypisudolnego"/>
        </w:rPr>
        <w:footnoteRef/>
      </w:r>
      <w:r w:rsidRPr="007A22DC">
        <w:t xml:space="preserve"> Wyrok Sądu Rejonowego Poznań - Nowe Miasto i Wilda w Poznaniu z 20 marca 2018 r., sygn. akt VI W 1441/17.</w:t>
      </w:r>
    </w:p>
  </w:footnote>
  <w:footnote w:id="38">
    <w:p w14:paraId="2FFBFA39" w14:textId="77777777" w:rsidR="00803B7D" w:rsidRPr="007A22DC" w:rsidRDefault="00803B7D" w:rsidP="00EA674D">
      <w:pPr>
        <w:pStyle w:val="Przypis"/>
      </w:pPr>
      <w:r w:rsidRPr="007A22DC">
        <w:rPr>
          <w:rStyle w:val="Odwoanieprzypisudolnego"/>
        </w:rPr>
        <w:footnoteRef/>
      </w:r>
      <w:r w:rsidRPr="007A22DC">
        <w:t xml:space="preserve"> Ustawa z 30 kwietnia 2010 r. (Dz.U. z 2016 r. poz. 2045, ze zm.)</w:t>
      </w:r>
    </w:p>
  </w:footnote>
  <w:footnote w:id="39">
    <w:p w14:paraId="70BB2755" w14:textId="77777777" w:rsidR="00803B7D" w:rsidRPr="007A22DC" w:rsidRDefault="00803B7D" w:rsidP="0014574C">
      <w:pPr>
        <w:pStyle w:val="Przypis"/>
      </w:pPr>
      <w:r w:rsidRPr="007A22DC">
        <w:rPr>
          <w:rStyle w:val="Odwoanieprzypisudolnego"/>
        </w:rPr>
        <w:footnoteRef/>
      </w:r>
      <w:r w:rsidRPr="007A22DC">
        <w:t xml:space="preserve"> </w:t>
      </w:r>
      <w:hyperlink r:id="rId24" w:history="1">
        <w:r w:rsidRPr="007A22DC">
          <w:rPr>
            <w:rStyle w:val="Hipercze"/>
          </w:rPr>
          <w:t>XI.801.5.2017</w:t>
        </w:r>
      </w:hyperlink>
      <w:r w:rsidRPr="007A22DC">
        <w:t xml:space="preserve"> z 11 stycznia 2018 r., odpowiedź z 23 stycznia 2018 r..</w:t>
      </w:r>
    </w:p>
  </w:footnote>
  <w:footnote w:id="40">
    <w:p w14:paraId="56E0E4C9" w14:textId="77777777" w:rsidR="00803B7D" w:rsidRPr="007A22DC" w:rsidRDefault="00803B7D" w:rsidP="00EA674D">
      <w:pPr>
        <w:pStyle w:val="Przypis"/>
      </w:pPr>
      <w:r w:rsidRPr="007A22DC">
        <w:rPr>
          <w:rStyle w:val="Odwoanieprzypisudolnego"/>
        </w:rPr>
        <w:footnoteRef/>
      </w:r>
      <w:r w:rsidRPr="007A22DC">
        <w:t xml:space="preserve"> Ustawa z 20 lipca 2018 r. (Dz.U. poz. 1668)</w:t>
      </w:r>
    </w:p>
  </w:footnote>
  <w:footnote w:id="41">
    <w:p w14:paraId="0CB5C512" w14:textId="77777777" w:rsidR="00803B7D" w:rsidRPr="007A22DC" w:rsidRDefault="00803B7D" w:rsidP="0014574C">
      <w:pPr>
        <w:pStyle w:val="Przypis"/>
      </w:pPr>
      <w:r w:rsidRPr="007A22DC">
        <w:rPr>
          <w:rStyle w:val="Odwoanieprzypisudolnego"/>
        </w:rPr>
        <w:footnoteRef/>
      </w:r>
      <w:r w:rsidRPr="007A22DC">
        <w:t xml:space="preserve"> </w:t>
      </w:r>
      <w:hyperlink r:id="rId25" w:history="1">
        <w:r w:rsidRPr="007A22DC">
          <w:rPr>
            <w:rStyle w:val="Hipercze"/>
          </w:rPr>
          <w:t>VII.7033.13.2018</w:t>
        </w:r>
      </w:hyperlink>
      <w:r w:rsidRPr="007A22DC">
        <w:t xml:space="preserve"> z 31 października 2018 r., odpowiedź z 19 grudnia 2018 r..</w:t>
      </w:r>
    </w:p>
  </w:footnote>
  <w:footnote w:id="42">
    <w:p w14:paraId="3455F30B" w14:textId="77777777" w:rsidR="00803B7D" w:rsidRPr="007A22DC" w:rsidRDefault="00803B7D" w:rsidP="0014574C">
      <w:pPr>
        <w:pStyle w:val="Przypis"/>
      </w:pPr>
      <w:r w:rsidRPr="007A22DC">
        <w:rPr>
          <w:rStyle w:val="Odwoanieprzypisudolnego"/>
        </w:rPr>
        <w:footnoteRef/>
      </w:r>
      <w:r w:rsidRPr="007A22DC">
        <w:t xml:space="preserve"> Ustawa z 23 stycznia 2009 r. (Dz.U. z 2018 r., poz. 624, ze zm.).</w:t>
      </w:r>
    </w:p>
  </w:footnote>
  <w:footnote w:id="43">
    <w:p w14:paraId="6059CCFA" w14:textId="77777777" w:rsidR="00803B7D" w:rsidRPr="007A22DC" w:rsidRDefault="00803B7D" w:rsidP="0014574C">
      <w:pPr>
        <w:pStyle w:val="Przypis"/>
      </w:pPr>
      <w:r w:rsidRPr="007A22DC">
        <w:rPr>
          <w:rStyle w:val="Odwoanieprzypisudolnego"/>
        </w:rPr>
        <w:footnoteRef/>
      </w:r>
      <w:r w:rsidRPr="007A22DC">
        <w:t xml:space="preserve"> </w:t>
      </w:r>
      <w:hyperlink r:id="rId26" w:history="1">
        <w:r w:rsidRPr="007A22DC">
          <w:rPr>
            <w:rStyle w:val="Hipercze"/>
          </w:rPr>
          <w:t>VII.561.31.2018</w:t>
        </w:r>
      </w:hyperlink>
      <w:r w:rsidRPr="007A22DC">
        <w:t xml:space="preserve"> z 7 września 2018 r., odpowiedź z 8 grudnia 2018 r..</w:t>
      </w:r>
    </w:p>
  </w:footnote>
  <w:footnote w:id="44">
    <w:p w14:paraId="701986CF" w14:textId="77777777" w:rsidR="00803B7D" w:rsidRPr="007A22DC" w:rsidRDefault="00803B7D" w:rsidP="0014574C">
      <w:pPr>
        <w:pStyle w:val="Przypis"/>
      </w:pPr>
      <w:r w:rsidRPr="007A22DC">
        <w:rPr>
          <w:rStyle w:val="Odwoanieprzypisudolnego"/>
        </w:rPr>
        <w:footnoteRef/>
      </w:r>
      <w:r w:rsidRPr="007A22DC">
        <w:t xml:space="preserve"> Ustawa z 14 czerwca 1991 r. o Krajowej Szkole Administracji Publicznej (Dz.U. z 2015 r., poz. 248).</w:t>
      </w:r>
    </w:p>
  </w:footnote>
  <w:footnote w:id="45">
    <w:p w14:paraId="1E5593EF" w14:textId="77777777" w:rsidR="00803B7D" w:rsidRPr="007A22DC" w:rsidRDefault="00803B7D" w:rsidP="0014574C">
      <w:pPr>
        <w:pStyle w:val="Przypis"/>
      </w:pPr>
      <w:r w:rsidRPr="007A22DC">
        <w:rPr>
          <w:rStyle w:val="Odwoanieprzypisudolnego"/>
        </w:rPr>
        <w:footnoteRef/>
      </w:r>
      <w:r w:rsidRPr="007A22DC">
        <w:t xml:space="preserve"> </w:t>
      </w:r>
      <w:hyperlink r:id="rId27" w:history="1">
        <w:r w:rsidRPr="007A22DC">
          <w:rPr>
            <w:rStyle w:val="Hipercze"/>
          </w:rPr>
          <w:t>XI.800.6.2015</w:t>
        </w:r>
      </w:hyperlink>
      <w:r w:rsidRPr="007A22DC">
        <w:t xml:space="preserve"> z 26 lipca 2016 r., odpowiedź z 7 listopada 2018 r..</w:t>
      </w:r>
    </w:p>
  </w:footnote>
  <w:footnote w:id="46">
    <w:p w14:paraId="5418FE7B" w14:textId="77777777" w:rsidR="00803B7D" w:rsidRPr="007A22DC" w:rsidRDefault="00803B7D" w:rsidP="00546C7B">
      <w:pPr>
        <w:pStyle w:val="Tekstprzypisudolnego"/>
      </w:pPr>
      <w:r w:rsidRPr="007A22DC">
        <w:rPr>
          <w:rStyle w:val="Odwoanieprzypisudolnego"/>
        </w:rPr>
        <w:footnoteRef/>
      </w:r>
      <w:r w:rsidRPr="007A22DC">
        <w:t xml:space="preserve"> Dz. Z 2012 r. poz. 1169.</w:t>
      </w:r>
    </w:p>
  </w:footnote>
  <w:footnote w:id="47">
    <w:p w14:paraId="5DE79989" w14:textId="77777777" w:rsidR="00803B7D" w:rsidRPr="007A22DC" w:rsidRDefault="00803B7D">
      <w:pPr>
        <w:pStyle w:val="Tekstprzypisudolnego"/>
      </w:pPr>
      <w:r w:rsidRPr="007A22DC">
        <w:rPr>
          <w:rStyle w:val="Odwoanieprzypisudolnego"/>
        </w:rPr>
        <w:footnoteRef/>
      </w:r>
      <w:r w:rsidRPr="007A22DC">
        <w:t xml:space="preserve"> Dz.U. z2012 r. poz. 1169</w:t>
      </w:r>
    </w:p>
  </w:footnote>
  <w:footnote w:id="48">
    <w:p w14:paraId="18FA0958" w14:textId="77777777" w:rsidR="00803B7D" w:rsidRPr="007A22DC" w:rsidRDefault="00803B7D" w:rsidP="00B95921">
      <w:pPr>
        <w:pStyle w:val="Przypis"/>
      </w:pPr>
      <w:r w:rsidRPr="007A22DC">
        <w:rPr>
          <w:rStyle w:val="Odwoanieprzypisudolnego"/>
        </w:rPr>
        <w:footnoteRef/>
      </w:r>
      <w:r w:rsidRPr="007A22DC">
        <w:t xml:space="preserve"> </w:t>
      </w:r>
      <w:hyperlink r:id="rId28" w:history="1">
        <w:r w:rsidRPr="007A22DC">
          <w:rPr>
            <w:rStyle w:val="Hipercze"/>
          </w:rPr>
          <w:t>XI.7061.10.2018</w:t>
        </w:r>
      </w:hyperlink>
      <w:r w:rsidRPr="007A22DC">
        <w:t xml:space="preserve"> z 10 maja 2018 r., odpowiedź z 22 maja 2018 r..</w:t>
      </w:r>
    </w:p>
  </w:footnote>
  <w:footnote w:id="49">
    <w:p w14:paraId="4B453003" w14:textId="77777777" w:rsidR="00803B7D" w:rsidRPr="007A22DC" w:rsidRDefault="00803B7D" w:rsidP="00DB1253">
      <w:pPr>
        <w:pStyle w:val="Przypis"/>
      </w:pPr>
      <w:r w:rsidRPr="007A22DC">
        <w:rPr>
          <w:rStyle w:val="Odwoanieprzypisudolnego"/>
        </w:rPr>
        <w:footnoteRef/>
      </w:r>
      <w:r w:rsidRPr="007A22DC">
        <w:t xml:space="preserve"> </w:t>
      </w:r>
      <w:hyperlink r:id="rId29" w:history="1">
        <w:r w:rsidRPr="007A22DC">
          <w:rPr>
            <w:rStyle w:val="Hipercze"/>
          </w:rPr>
          <w:t>XI.7061.10.2018</w:t>
        </w:r>
      </w:hyperlink>
      <w:r w:rsidRPr="007A22DC">
        <w:t xml:space="preserve"> z 21 września 2018 r..</w:t>
      </w:r>
    </w:p>
  </w:footnote>
  <w:footnote w:id="50">
    <w:p w14:paraId="384FC206" w14:textId="77777777" w:rsidR="00803B7D" w:rsidRPr="007A22DC" w:rsidRDefault="00803B7D" w:rsidP="00DB1253">
      <w:pPr>
        <w:pStyle w:val="Przypis"/>
      </w:pPr>
      <w:r w:rsidRPr="007A22DC">
        <w:rPr>
          <w:rStyle w:val="Odwoanieprzypisudolnego"/>
        </w:rPr>
        <w:footnoteRef/>
      </w:r>
      <w:r w:rsidRPr="007A22DC">
        <w:t xml:space="preserve"> Sygn. akt SK 19/17</w:t>
      </w:r>
    </w:p>
  </w:footnote>
  <w:footnote w:id="51">
    <w:p w14:paraId="66D33F56" w14:textId="77777777" w:rsidR="00803B7D" w:rsidRPr="007A22DC" w:rsidRDefault="00803B7D" w:rsidP="00DB1253">
      <w:pPr>
        <w:pStyle w:val="Przypis"/>
      </w:pPr>
      <w:r w:rsidRPr="007A22DC">
        <w:rPr>
          <w:rStyle w:val="Odwoanieprzypisudolnego"/>
        </w:rPr>
        <w:footnoteRef/>
      </w:r>
      <w:r w:rsidRPr="007A22DC">
        <w:t xml:space="preserve"> </w:t>
      </w:r>
      <w:hyperlink r:id="rId30" w:history="1">
        <w:r w:rsidRPr="007A22DC">
          <w:rPr>
            <w:rStyle w:val="Hipercze"/>
          </w:rPr>
          <w:t>VII.520.54.2018</w:t>
        </w:r>
      </w:hyperlink>
      <w:r w:rsidRPr="007A22DC">
        <w:t xml:space="preserve"> z 6 września 2018 r., odpowiedź z 28 września 2018 r..</w:t>
      </w:r>
    </w:p>
  </w:footnote>
  <w:footnote w:id="52">
    <w:p w14:paraId="5131BA4E" w14:textId="77777777" w:rsidR="00803B7D" w:rsidRPr="007A22DC" w:rsidRDefault="00803B7D" w:rsidP="0014574C">
      <w:pPr>
        <w:pStyle w:val="Przypis"/>
      </w:pPr>
      <w:r w:rsidRPr="007A22DC">
        <w:rPr>
          <w:rStyle w:val="Odwoanieprzypisudolnego"/>
        </w:rPr>
        <w:footnoteRef/>
      </w:r>
      <w:r w:rsidRPr="007A22DC">
        <w:t xml:space="preserve"> </w:t>
      </w:r>
      <w:hyperlink r:id="rId31" w:history="1">
        <w:r w:rsidRPr="007A22DC">
          <w:rPr>
            <w:rStyle w:val="Hipercze"/>
          </w:rPr>
          <w:t>XI.812.1.2015</w:t>
        </w:r>
      </w:hyperlink>
      <w:r w:rsidRPr="007A22DC">
        <w:t xml:space="preserve"> z 9 października 2017 r., Wyrok Sądu Okręgowego w Krakowie z 27 marca 2018 r., (sygn. akt II Ca 2471/17)</w:t>
      </w:r>
    </w:p>
  </w:footnote>
  <w:footnote w:id="53">
    <w:p w14:paraId="7BC52A09" w14:textId="77777777" w:rsidR="00803B7D" w:rsidRPr="007A22DC" w:rsidRDefault="00803B7D" w:rsidP="0014574C">
      <w:pPr>
        <w:pStyle w:val="Przypis"/>
      </w:pPr>
      <w:r w:rsidRPr="007A22DC">
        <w:rPr>
          <w:vertAlign w:val="superscript"/>
        </w:rPr>
        <w:footnoteRef/>
      </w:r>
      <w:r w:rsidRPr="007A22DC">
        <w:t xml:space="preserve"> </w:t>
      </w:r>
      <w:hyperlink r:id="rId32" w:history="1">
        <w:r w:rsidRPr="007A22DC">
          <w:rPr>
            <w:rStyle w:val="Hipercze"/>
          </w:rPr>
          <w:t>XI.7010.1.2016</w:t>
        </w:r>
      </w:hyperlink>
      <w:r w:rsidRPr="007A22DC">
        <w:t xml:space="preserve"> z 16 kwietnia 2018 r., odpowiedź z 11 maja 2018 r..</w:t>
      </w:r>
    </w:p>
  </w:footnote>
  <w:footnote w:id="54">
    <w:p w14:paraId="55EA8418" w14:textId="77777777" w:rsidR="00803B7D" w:rsidRPr="007A22DC" w:rsidRDefault="00803B7D" w:rsidP="0014574C">
      <w:pPr>
        <w:pStyle w:val="Przypis"/>
      </w:pPr>
      <w:r w:rsidRPr="007A22DC">
        <w:rPr>
          <w:rStyle w:val="Odwoanieprzypisudolnego"/>
        </w:rPr>
        <w:footnoteRef/>
      </w:r>
      <w:r w:rsidRPr="007A22DC">
        <w:t xml:space="preserve"> XI.600.1.2017 z 21 grudnia 2017 r. oraz 13 września 2018 r., odpowiedzi z 17 stycznia 2018 r. i 17 października 2018 r.</w:t>
      </w:r>
    </w:p>
  </w:footnote>
  <w:footnote w:id="55">
    <w:p w14:paraId="20DA6B0E" w14:textId="2DE1CC8F" w:rsidR="00803B7D" w:rsidRPr="007A22DC" w:rsidRDefault="00803B7D" w:rsidP="0014574C">
      <w:pPr>
        <w:pStyle w:val="Przypis"/>
      </w:pPr>
      <w:r w:rsidRPr="007A22DC">
        <w:rPr>
          <w:rStyle w:val="Odwoanieprzypisudolnego"/>
        </w:rPr>
        <w:footnoteRef/>
      </w:r>
      <w:r w:rsidRPr="007A22DC">
        <w:t xml:space="preserve"> </w:t>
      </w:r>
      <w:r>
        <w:t xml:space="preserve">Badanie charakteru i skali niezgłaszanych przestępstw z nienawiści wobec członków wybranych społeczności w Polsce, grudzień 2018 , </w:t>
      </w:r>
      <w:hyperlink r:id="rId33" w:history="1">
        <w:r w:rsidRPr="001529BF">
          <w:rPr>
            <w:rStyle w:val="Hipercze"/>
          </w:rPr>
          <w:t>https://www.rpo.gov.pl/pl/content/skala-przestepstw-motywowanych-uprzedzeniami-i-nienawiścią-w-Polsce-badania-rpo-i-odhir</w:t>
        </w:r>
      </w:hyperlink>
    </w:p>
  </w:footnote>
  <w:footnote w:id="56">
    <w:p w14:paraId="7649C5DC" w14:textId="77777777" w:rsidR="00803B7D" w:rsidRPr="007A22DC" w:rsidRDefault="00803B7D" w:rsidP="001E66D1">
      <w:pPr>
        <w:pStyle w:val="Przypis"/>
      </w:pPr>
      <w:r w:rsidRPr="007A22DC">
        <w:rPr>
          <w:rStyle w:val="Odwoanieprzypisudolnego"/>
        </w:rPr>
        <w:footnoteRef/>
      </w:r>
      <w:r w:rsidRPr="007A22DC">
        <w:t xml:space="preserve"> </w:t>
      </w:r>
      <w:hyperlink r:id="rId34" w:history="1">
        <w:r w:rsidRPr="007A22DC">
          <w:rPr>
            <w:rStyle w:val="Hipercze"/>
          </w:rPr>
          <w:t>XI.518.5.2018</w:t>
        </w:r>
      </w:hyperlink>
      <w:r w:rsidRPr="007A22DC">
        <w:t xml:space="preserve"> z 15 lutego 2018 r., odpowiedź z 14 maja 2018 r. </w:t>
      </w:r>
    </w:p>
  </w:footnote>
  <w:footnote w:id="57">
    <w:p w14:paraId="07387798" w14:textId="77777777" w:rsidR="00803B7D" w:rsidRPr="007A22DC" w:rsidRDefault="00803B7D" w:rsidP="0014574C">
      <w:pPr>
        <w:pStyle w:val="Przypis"/>
      </w:pPr>
      <w:r w:rsidRPr="007A22DC">
        <w:rPr>
          <w:rStyle w:val="Odwoanieprzypisudolnego"/>
        </w:rPr>
        <w:footnoteRef/>
      </w:r>
      <w:r w:rsidRPr="007A22DC">
        <w:t xml:space="preserve"> </w:t>
      </w:r>
      <w:hyperlink r:id="rId35" w:history="1">
        <w:r w:rsidRPr="007A22DC">
          <w:rPr>
            <w:rStyle w:val="Hipercze"/>
            <w:shd w:val="clear" w:color="auto" w:fill="FFFFFF"/>
          </w:rPr>
          <w:t>XI.518.16.2018</w:t>
        </w:r>
      </w:hyperlink>
      <w:r w:rsidRPr="007A22DC">
        <w:rPr>
          <w:rStyle w:val="Hipercze"/>
          <w:shd w:val="clear" w:color="auto" w:fill="FFFFFF"/>
        </w:rPr>
        <w:t xml:space="preserve">, </w:t>
      </w:r>
      <w:r w:rsidRPr="007A22DC">
        <w:t>odpis postanowienia sądu z 13 grudnia 2018 r.</w:t>
      </w:r>
    </w:p>
  </w:footnote>
  <w:footnote w:id="58">
    <w:p w14:paraId="1C50C0A3" w14:textId="1F53DED4" w:rsidR="00803B7D" w:rsidRPr="007A22DC" w:rsidRDefault="00803B7D" w:rsidP="0014574C">
      <w:pPr>
        <w:pStyle w:val="Przypis"/>
      </w:pPr>
      <w:r w:rsidRPr="007A22DC">
        <w:rPr>
          <w:rStyle w:val="Odwoanieprzypisudolnego"/>
        </w:rPr>
        <w:footnoteRef/>
      </w:r>
      <w:r w:rsidRPr="007A22DC">
        <w:t xml:space="preserve"> </w:t>
      </w:r>
      <w:hyperlink r:id="rId36" w:history="1">
        <w:r w:rsidRPr="007A22DC">
          <w:rPr>
            <w:rStyle w:val="Hipercze"/>
            <w:shd w:val="clear" w:color="auto" w:fill="FFFFFF"/>
          </w:rPr>
          <w:t>XI.518.91.2017</w:t>
        </w:r>
      </w:hyperlink>
      <w:r w:rsidRPr="007A22DC">
        <w:rPr>
          <w:rStyle w:val="Hipercze"/>
          <w:shd w:val="clear" w:color="auto" w:fill="FFFFFF"/>
        </w:rPr>
        <w:t xml:space="preserve"> </w:t>
      </w:r>
      <w:r w:rsidRPr="007A22DC">
        <w:t>z 17 stycznia 2018 r.</w:t>
      </w:r>
      <w:r>
        <w:t xml:space="preserve">, </w:t>
      </w:r>
      <w:hyperlink r:id="rId37" w:history="1">
        <w:r w:rsidRPr="007F75BC">
          <w:rPr>
            <w:rStyle w:val="Hipercze"/>
          </w:rPr>
          <w:t>zażalenie na postanowienie prokuratury z 10 czerwca 2019 r.</w:t>
        </w:r>
      </w:hyperlink>
    </w:p>
  </w:footnote>
  <w:footnote w:id="59">
    <w:p w14:paraId="60FAEC74" w14:textId="77777777" w:rsidR="00803B7D" w:rsidRPr="007A22DC" w:rsidRDefault="00803B7D" w:rsidP="0014574C">
      <w:pPr>
        <w:pStyle w:val="Przypis"/>
      </w:pPr>
      <w:r w:rsidRPr="007A22DC">
        <w:rPr>
          <w:rStyle w:val="Odwoanieprzypisudolnego"/>
        </w:rPr>
        <w:footnoteRef/>
      </w:r>
      <w:r w:rsidRPr="007A22DC">
        <w:t xml:space="preserve"> </w:t>
      </w:r>
      <w:hyperlink r:id="rId38" w:history="1">
        <w:r w:rsidRPr="007A22DC">
          <w:rPr>
            <w:rStyle w:val="Hipercze"/>
          </w:rPr>
          <w:t>https://www.rpo.gov.pl/pl/content/dostepnosc-lekcji-religii-wyznan-mniejszosciowych-i-lekcji-etyki-minister-podziela-czesc-watpliwosci</w:t>
        </w:r>
      </w:hyperlink>
    </w:p>
  </w:footnote>
  <w:footnote w:id="60">
    <w:p w14:paraId="154E03AC" w14:textId="77777777" w:rsidR="00803B7D" w:rsidRPr="007A22DC" w:rsidRDefault="00803B7D" w:rsidP="0014574C">
      <w:pPr>
        <w:pStyle w:val="Przypis"/>
        <w:rPr>
          <w:rStyle w:val="Styl1Znak"/>
        </w:rPr>
      </w:pPr>
      <w:r w:rsidRPr="007A22DC">
        <w:rPr>
          <w:rStyle w:val="Odwoanieprzypisudolnego"/>
        </w:rPr>
        <w:footnoteRef/>
      </w:r>
      <w:r w:rsidRPr="007A22DC">
        <w:t xml:space="preserve"> </w:t>
      </w:r>
      <w:hyperlink r:id="rId39" w:history="1">
        <w:r w:rsidRPr="007A22DC">
          <w:rPr>
            <w:rStyle w:val="Hipercze"/>
          </w:rPr>
          <w:t>XI.5601.4.2016</w:t>
        </w:r>
      </w:hyperlink>
      <w:r w:rsidRPr="007A22DC">
        <w:t xml:space="preserve"> z 20 września 2018 r., odpowiedź z 24 października 2018 r.</w:t>
      </w:r>
    </w:p>
  </w:footnote>
  <w:footnote w:id="61">
    <w:p w14:paraId="6CEF95AE" w14:textId="77777777" w:rsidR="00803B7D" w:rsidRPr="007A22DC" w:rsidRDefault="00803B7D" w:rsidP="0014574C">
      <w:pPr>
        <w:pStyle w:val="Przypis"/>
      </w:pPr>
      <w:r w:rsidRPr="007A22DC">
        <w:rPr>
          <w:rStyle w:val="Odwoanieprzypisudolnego"/>
        </w:rPr>
        <w:footnoteRef/>
      </w:r>
      <w:r w:rsidRPr="007A22DC">
        <w:t xml:space="preserve"> Informacja RPO za 2016 r., str. 271.</w:t>
      </w:r>
    </w:p>
  </w:footnote>
  <w:footnote w:id="62">
    <w:p w14:paraId="3E4E16E4" w14:textId="77777777" w:rsidR="00803B7D" w:rsidRPr="007A22DC" w:rsidRDefault="00803B7D" w:rsidP="0014574C">
      <w:pPr>
        <w:pStyle w:val="Przypis"/>
      </w:pPr>
      <w:r w:rsidRPr="007A22DC">
        <w:rPr>
          <w:rStyle w:val="Odwoanieprzypisudolnego"/>
        </w:rPr>
        <w:footnoteRef/>
      </w:r>
      <w:hyperlink r:id="rId40" w:history="1">
        <w:r w:rsidRPr="007A22DC">
          <w:rPr>
            <w:rStyle w:val="Hipercze"/>
          </w:rPr>
          <w:t>https://www.rpo.gov.pl/pl/content/rowne-traktowanie-w-pracy-ze-wzgledu-na-wyznanie-analiza-i-zalecenia-rpo</w:t>
        </w:r>
      </w:hyperlink>
    </w:p>
  </w:footnote>
  <w:footnote w:id="63">
    <w:p w14:paraId="54D10B35" w14:textId="77777777" w:rsidR="00803B7D" w:rsidRPr="007A22DC" w:rsidRDefault="00803B7D" w:rsidP="0014574C">
      <w:pPr>
        <w:pStyle w:val="Przypis"/>
      </w:pPr>
      <w:r w:rsidRPr="007A22DC">
        <w:rPr>
          <w:rStyle w:val="Odwoanieprzypisudolnego"/>
        </w:rPr>
        <w:footnoteRef/>
      </w:r>
      <w:r w:rsidRPr="007A22DC">
        <w:t xml:space="preserve"> Rzecznik Praw Obywatelskich, we współpracy z Uniwersytetem SWPS, zorganizował w 2018 r. konferencję „Niedokończona emancypacja? 100 lat praw wyborczych kobiet”. </w:t>
      </w:r>
      <w:hyperlink r:id="rId41" w:history="1">
        <w:r w:rsidRPr="007A22DC">
          <w:rPr>
            <w:rStyle w:val="Hipercze"/>
          </w:rPr>
          <w:t>https://www.rpo.gov.pl/pl/content/oswiadczenie-rpo-z-okazji-100-lecia-praw-wyborczych-kobiet-w-polsce</w:t>
        </w:r>
      </w:hyperlink>
    </w:p>
  </w:footnote>
  <w:footnote w:id="64">
    <w:p w14:paraId="72A7DD0C" w14:textId="77777777" w:rsidR="00803B7D" w:rsidRPr="007A22DC" w:rsidRDefault="00803B7D" w:rsidP="0014574C">
      <w:pPr>
        <w:pStyle w:val="Przypis"/>
      </w:pPr>
      <w:r w:rsidRPr="007A22DC">
        <w:rPr>
          <w:rStyle w:val="Odwoanieprzypisudolnego"/>
        </w:rPr>
        <w:footnoteRef/>
      </w:r>
      <w:r w:rsidRPr="007A22DC">
        <w:t xml:space="preserve"> Konferencja, która odbyła się 22 listopada 2018 r., dostępna pod adresem: </w:t>
      </w:r>
      <w:hyperlink r:id="rId42" w:history="1">
        <w:r w:rsidRPr="007A22DC">
          <w:rPr>
            <w:rStyle w:val="Hipercze"/>
          </w:rPr>
          <w:t>https://www.rpo.gov.pl/pl/content/niedoko%C5%84czona-emancypacja-100-lat-praw-wyborczych-kobiet-konferencja-wyniki-bada%C5%84</w:t>
        </w:r>
      </w:hyperlink>
      <w:r w:rsidRPr="007A22DC">
        <w:t>.</w:t>
      </w:r>
    </w:p>
  </w:footnote>
  <w:footnote w:id="65">
    <w:p w14:paraId="3ECFCC59" w14:textId="0BC7B052" w:rsidR="00803B7D" w:rsidRDefault="00803B7D" w:rsidP="00C84CC0">
      <w:pPr>
        <w:pStyle w:val="Przypis"/>
      </w:pPr>
      <w:r>
        <w:rPr>
          <w:rStyle w:val="Odwoanieprzypisudolnego"/>
        </w:rPr>
        <w:footnoteRef/>
      </w:r>
      <w:r>
        <w:t xml:space="preserve"> Relacja i wyniki badań dostępna pod adresem: </w:t>
      </w:r>
      <w:hyperlink r:id="rId43" w:history="1">
        <w:r>
          <w:rPr>
            <w:rStyle w:val="Hipercze"/>
            <w:rFonts w:eastAsiaTheme="majorEastAsia"/>
          </w:rPr>
          <w:t>https://www.rpo.gov.pl/pl/content/niedoko%C5%84czona-emancypacja-100-lat-praw-wyborczych-kobiet-konferencja-wyniki-bada%C5%84</w:t>
        </w:r>
      </w:hyperlink>
    </w:p>
  </w:footnote>
  <w:footnote w:id="66">
    <w:p w14:paraId="2CD80BAC" w14:textId="77777777" w:rsidR="00803B7D" w:rsidRPr="007A22DC" w:rsidRDefault="00803B7D" w:rsidP="0014574C">
      <w:pPr>
        <w:pStyle w:val="Przypis"/>
      </w:pPr>
      <w:r w:rsidRPr="007A22DC">
        <w:rPr>
          <w:rStyle w:val="Odwoanieprzypisudolnego"/>
        </w:rPr>
        <w:footnoteRef/>
      </w:r>
      <w:r w:rsidRPr="007A22DC">
        <w:t xml:space="preserve"> </w:t>
      </w:r>
      <w:hyperlink r:id="rId44" w:history="1">
        <w:r w:rsidRPr="007A22DC">
          <w:rPr>
            <w:rStyle w:val="Hipercze"/>
            <w:shd w:val="clear" w:color="auto" w:fill="FFFFFF"/>
          </w:rPr>
          <w:t>XI.518.1.2019</w:t>
        </w:r>
      </w:hyperlink>
      <w:r w:rsidRPr="007A22DC">
        <w:rPr>
          <w:shd w:val="clear" w:color="auto" w:fill="FFFFFF"/>
        </w:rPr>
        <w:t>, z 28 stycznia 2019 r.</w:t>
      </w:r>
    </w:p>
  </w:footnote>
  <w:footnote w:id="67">
    <w:p w14:paraId="77449821" w14:textId="77777777" w:rsidR="00803B7D" w:rsidRPr="007A22DC" w:rsidRDefault="00803B7D" w:rsidP="0014574C">
      <w:pPr>
        <w:pStyle w:val="Przypis"/>
      </w:pPr>
      <w:r w:rsidRPr="007A22DC">
        <w:rPr>
          <w:rStyle w:val="Odwoanieprzypisudolnego"/>
        </w:rPr>
        <w:footnoteRef/>
      </w:r>
      <w:r w:rsidRPr="007A22DC">
        <w:t xml:space="preserve"> Dz.U. 2015 poz. 961</w:t>
      </w:r>
    </w:p>
  </w:footnote>
  <w:footnote w:id="68">
    <w:p w14:paraId="1D8D113E" w14:textId="77777777" w:rsidR="00803B7D" w:rsidRPr="007A22DC" w:rsidRDefault="00803B7D" w:rsidP="0014574C">
      <w:pPr>
        <w:pStyle w:val="Przypis"/>
      </w:pPr>
      <w:r w:rsidRPr="007A22DC">
        <w:rPr>
          <w:rStyle w:val="Odwoanieprzypisudolnego"/>
        </w:rPr>
        <w:footnoteRef/>
      </w:r>
      <w:r w:rsidRPr="007A22DC">
        <w:t xml:space="preserve"> Dyrektywa Parlamentu Europejskiego i Rady 2012/29/UE z dnia 25 października 2012 r. ustanawiającej normy minimalne w zakresie praw, wsparcia i ochrony ofiar przestępstw</w:t>
      </w:r>
    </w:p>
  </w:footnote>
  <w:footnote w:id="69">
    <w:p w14:paraId="47DB36B0" w14:textId="77777777" w:rsidR="00803B7D" w:rsidRPr="007A22DC" w:rsidRDefault="00803B7D" w:rsidP="0014574C">
      <w:pPr>
        <w:pStyle w:val="Przypis"/>
      </w:pPr>
      <w:r w:rsidRPr="007A22DC">
        <w:rPr>
          <w:rStyle w:val="Odwoanieprzypisudolnego"/>
        </w:rPr>
        <w:footnoteRef/>
      </w:r>
      <w:r w:rsidRPr="007A22DC">
        <w:t xml:space="preserve"> </w:t>
      </w:r>
      <w:hyperlink r:id="rId45" w:history="1">
        <w:r w:rsidRPr="007A22DC">
          <w:rPr>
            <w:rStyle w:val="Hipercze"/>
          </w:rPr>
          <w:t>III.518.21.2018</w:t>
        </w:r>
      </w:hyperlink>
      <w:r w:rsidRPr="007A22DC">
        <w:t xml:space="preserve"> z 22 listopada, odpowiedź MRPiPS z 27 grudnia 2018 r.</w:t>
      </w:r>
    </w:p>
  </w:footnote>
  <w:footnote w:id="70">
    <w:p w14:paraId="3FCDDC7F" w14:textId="77777777" w:rsidR="00803B7D" w:rsidRPr="007A22DC" w:rsidRDefault="00803B7D" w:rsidP="0014574C">
      <w:pPr>
        <w:pStyle w:val="Przypis"/>
      </w:pPr>
      <w:r w:rsidRPr="007A22DC">
        <w:rPr>
          <w:rStyle w:val="Odwoanieprzypisudolnego"/>
        </w:rPr>
        <w:footnoteRef/>
      </w:r>
      <w:r w:rsidRPr="007A22DC">
        <w:t xml:space="preserve"> </w:t>
      </w:r>
      <w:hyperlink r:id="rId46" w:history="1">
        <w:r w:rsidRPr="007A22DC">
          <w:rPr>
            <w:rStyle w:val="Hipercze"/>
          </w:rPr>
          <w:t>Z 27 grudnia 2018 r.</w:t>
        </w:r>
      </w:hyperlink>
    </w:p>
  </w:footnote>
  <w:footnote w:id="71">
    <w:p w14:paraId="5790D6D1" w14:textId="77777777" w:rsidR="00803B7D" w:rsidRPr="007A22DC" w:rsidRDefault="00803B7D" w:rsidP="0014574C">
      <w:pPr>
        <w:pStyle w:val="Przypis"/>
      </w:pPr>
      <w:r w:rsidRPr="007A22DC">
        <w:rPr>
          <w:rStyle w:val="Odwoanieprzypisudolnego"/>
        </w:rPr>
        <w:footnoteRef/>
      </w:r>
      <w:r w:rsidRPr="007A22DC">
        <w:t xml:space="preserve"> </w:t>
      </w:r>
      <w:hyperlink r:id="rId47" w:history="1">
        <w:r w:rsidRPr="007A22DC">
          <w:rPr>
            <w:rStyle w:val="Hipercze"/>
            <w:shd w:val="clear" w:color="auto" w:fill="FFFFFF"/>
          </w:rPr>
          <w:t>XI.518.19.2019</w:t>
        </w:r>
      </w:hyperlink>
      <w:r w:rsidRPr="007A22DC">
        <w:rPr>
          <w:shd w:val="clear" w:color="auto" w:fill="FFFFFF"/>
        </w:rPr>
        <w:t>, z 19 lutego 2019</w:t>
      </w:r>
    </w:p>
  </w:footnote>
  <w:footnote w:id="72">
    <w:p w14:paraId="6A8DF23B" w14:textId="77777777" w:rsidR="00803B7D" w:rsidRPr="007A22DC" w:rsidRDefault="00803B7D" w:rsidP="00EA674D">
      <w:pPr>
        <w:pStyle w:val="Przypis"/>
      </w:pPr>
      <w:r w:rsidRPr="007A22DC">
        <w:rPr>
          <w:rStyle w:val="Odwoanieprzypisudolnego"/>
        </w:rPr>
        <w:footnoteRef/>
      </w:r>
      <w:r w:rsidRPr="007A22DC">
        <w:t xml:space="preserve"> Zobacz: Informacja za rok 2017, s. 214</w:t>
      </w:r>
    </w:p>
  </w:footnote>
  <w:footnote w:id="73">
    <w:p w14:paraId="6292A742" w14:textId="77777777" w:rsidR="00803B7D" w:rsidRPr="007A22DC" w:rsidRDefault="00803B7D" w:rsidP="0014574C">
      <w:pPr>
        <w:pStyle w:val="Przypis"/>
      </w:pPr>
      <w:r w:rsidRPr="007A22DC">
        <w:rPr>
          <w:rStyle w:val="Odwoanieprzypisudolnego"/>
        </w:rPr>
        <w:footnoteRef/>
      </w:r>
      <w:r w:rsidRPr="007A22DC">
        <w:t xml:space="preserve"> Relacja z panelu: </w:t>
      </w:r>
      <w:hyperlink r:id="rId48" w:history="1">
        <w:r w:rsidRPr="007A22DC">
          <w:rPr>
            <w:rStyle w:val="Hipercze"/>
          </w:rPr>
          <w:t>https://www.rpo.gov.pl/pl/content/kongres-praw-rodzicielskich/panel/problemy-w-rodzinie-przemoc-czy-konflikt-spojrzenie-z-punktu-psychologicznego-pedagogicznego</w:t>
        </w:r>
      </w:hyperlink>
    </w:p>
  </w:footnote>
  <w:footnote w:id="74">
    <w:p w14:paraId="2F278969" w14:textId="77777777" w:rsidR="00803B7D" w:rsidRPr="007A22DC" w:rsidRDefault="00803B7D" w:rsidP="0014574C">
      <w:pPr>
        <w:pStyle w:val="Przypis"/>
      </w:pPr>
      <w:r w:rsidRPr="007A22DC">
        <w:rPr>
          <w:rStyle w:val="Odwoanieprzypisudolnego"/>
        </w:rPr>
        <w:footnoteRef/>
      </w:r>
      <w:r w:rsidRPr="007A22DC">
        <w:rPr>
          <w:vertAlign w:val="superscript"/>
        </w:rPr>
        <w:t xml:space="preserve"> </w:t>
      </w:r>
      <w:r w:rsidRPr="007A22DC">
        <w:t>Ustawa z dnia 29 lipca 2005 r. o przeciwdziałaniu przemocy w rodzinie Dz.U. 2005 nr 180 poz. 1493</w:t>
      </w:r>
    </w:p>
  </w:footnote>
  <w:footnote w:id="75">
    <w:p w14:paraId="1ACF5358" w14:textId="77777777" w:rsidR="00803B7D" w:rsidRPr="007A22DC" w:rsidRDefault="00803B7D" w:rsidP="0014574C">
      <w:pPr>
        <w:pStyle w:val="Przypis"/>
      </w:pPr>
      <w:r w:rsidRPr="007A22DC">
        <w:rPr>
          <w:rStyle w:val="Odwoanieprzypisudolnego"/>
        </w:rPr>
        <w:footnoteRef/>
      </w:r>
      <w:r w:rsidRPr="007A22DC">
        <w:t xml:space="preserve"> </w:t>
      </w:r>
      <w:hyperlink r:id="rId49" w:history="1">
        <w:r w:rsidRPr="007A22DC">
          <w:rPr>
            <w:rStyle w:val="Hipercze"/>
          </w:rPr>
          <w:t>IV.7214.110.2018</w:t>
        </w:r>
      </w:hyperlink>
      <w:r w:rsidRPr="007A22DC">
        <w:t xml:space="preserve"> z 19 listopada 2018 r..</w:t>
      </w:r>
    </w:p>
  </w:footnote>
  <w:footnote w:id="76">
    <w:p w14:paraId="1EBD146A" w14:textId="77777777" w:rsidR="00803B7D" w:rsidRPr="007A22DC" w:rsidRDefault="00803B7D" w:rsidP="0014574C">
      <w:pPr>
        <w:pStyle w:val="Przypis"/>
      </w:pPr>
      <w:r w:rsidRPr="007A22DC">
        <w:rPr>
          <w:rStyle w:val="Odwoanieprzypisudolnego"/>
        </w:rPr>
        <w:footnoteRef/>
      </w:r>
      <w:r w:rsidRPr="007A22DC">
        <w:t xml:space="preserve"> </w:t>
      </w:r>
      <w:hyperlink r:id="rId50" w:history="1">
        <w:r w:rsidRPr="007A22DC">
          <w:rPr>
            <w:rStyle w:val="Hipercze"/>
          </w:rPr>
          <w:t>XI.815.2.2018 z 24 stycznia 2018 r.</w:t>
        </w:r>
      </w:hyperlink>
      <w:r w:rsidRPr="007A22DC">
        <w:rPr>
          <w:rStyle w:val="Hipercze"/>
        </w:rPr>
        <w:t xml:space="preserve">, </w:t>
      </w:r>
      <w:r w:rsidRPr="007A22DC">
        <w:t>odpowiedź z 13 lutego 2018 r..</w:t>
      </w:r>
    </w:p>
  </w:footnote>
  <w:footnote w:id="77">
    <w:p w14:paraId="56C4D7E2" w14:textId="77777777" w:rsidR="00803B7D" w:rsidRPr="007A22DC" w:rsidRDefault="00803B7D" w:rsidP="0014574C">
      <w:pPr>
        <w:pStyle w:val="Przypis"/>
      </w:pPr>
      <w:r w:rsidRPr="007A22DC">
        <w:rPr>
          <w:rStyle w:val="Odwoanieprzypisudolnego"/>
        </w:rPr>
        <w:footnoteRef/>
      </w:r>
      <w:r w:rsidRPr="007A22DC">
        <w:t xml:space="preserve"> </w:t>
      </w:r>
      <w:hyperlink r:id="rId51" w:history="1">
        <w:r w:rsidRPr="007A22DC">
          <w:rPr>
            <w:rStyle w:val="Hipercze"/>
          </w:rPr>
          <w:t>https://www.rpo.gov.pl/pl/content/molestowanie-wsrod-studentek-i-studentow-analiza-i-zalecenia-rpo</w:t>
        </w:r>
      </w:hyperlink>
    </w:p>
  </w:footnote>
  <w:footnote w:id="78">
    <w:p w14:paraId="589AEDD7" w14:textId="77777777" w:rsidR="00803B7D" w:rsidRPr="007A22DC" w:rsidRDefault="00803B7D" w:rsidP="0014574C">
      <w:pPr>
        <w:pStyle w:val="Przypis"/>
      </w:pPr>
      <w:r w:rsidRPr="007A22DC">
        <w:rPr>
          <w:rStyle w:val="Odwoanieprzypisudolnego"/>
        </w:rPr>
        <w:footnoteRef/>
      </w:r>
      <w:r w:rsidRPr="007A22DC">
        <w:t xml:space="preserve"> Raport: </w:t>
      </w:r>
      <w:hyperlink r:id="rId52" w:history="1">
        <w:r w:rsidRPr="007A22DC">
          <w:rPr>
            <w:rStyle w:val="Hipercze"/>
            <w:rFonts w:eastAsiaTheme="majorEastAsia"/>
          </w:rPr>
          <w:t>https://www.rpo.gov.pl/pl/content/przeciwdzialanie-mobbingowi-i-dyskryminacji-w-sluzbach-mundurowych</w:t>
        </w:r>
      </w:hyperlink>
    </w:p>
  </w:footnote>
  <w:footnote w:id="79">
    <w:p w14:paraId="4AA32ACB" w14:textId="77777777" w:rsidR="00803B7D" w:rsidRPr="007A22DC" w:rsidRDefault="00803B7D" w:rsidP="0014574C">
      <w:pPr>
        <w:pStyle w:val="Przypis"/>
      </w:pPr>
      <w:r w:rsidRPr="007A22DC">
        <w:rPr>
          <w:rStyle w:val="Odwoanieprzypisudolnego"/>
        </w:rPr>
        <w:footnoteRef/>
      </w:r>
      <w:r w:rsidRPr="007A22DC">
        <w:t xml:space="preserve"> Zobacz: </w:t>
      </w:r>
      <w:hyperlink r:id="rId53" w:history="1">
        <w:r w:rsidRPr="007A22DC">
          <w:rPr>
            <w:rStyle w:val="Hipercze"/>
          </w:rPr>
          <w:t>https://www.rpo.gov.pl/pl/content/adam-bodnar-o-marcu-1968-przemoc-fizyczna-symboliczna-psychiczna-i-ekonomiczna-na-wielka-skale</w:t>
        </w:r>
      </w:hyperlink>
    </w:p>
  </w:footnote>
  <w:footnote w:id="80">
    <w:p w14:paraId="70AD97D8" w14:textId="77777777" w:rsidR="00803B7D" w:rsidRPr="007A22DC" w:rsidRDefault="00803B7D" w:rsidP="0014574C">
      <w:pPr>
        <w:pStyle w:val="Przypis"/>
      </w:pPr>
      <w:r w:rsidRPr="007A22DC">
        <w:rPr>
          <w:rStyle w:val="Odwoanieprzypisudolnego"/>
        </w:rPr>
        <w:footnoteRef/>
      </w:r>
      <w:r w:rsidRPr="007A22DC">
        <w:t xml:space="preserve"> </w:t>
      </w:r>
      <w:hyperlink r:id="rId54" w:history="1">
        <w:r w:rsidRPr="007A22DC">
          <w:rPr>
            <w:rStyle w:val="Hipercze"/>
          </w:rPr>
          <w:t>XI.534.1.2018</w:t>
        </w:r>
      </w:hyperlink>
      <w:r w:rsidRPr="007A22DC">
        <w:t xml:space="preserve"> z 22 października 2018 r., sygn. akt II OSK 1868/16, II OSK 1869/16, II OSK 1870/16, II OSK 1871/16.</w:t>
      </w:r>
    </w:p>
  </w:footnote>
  <w:footnote w:id="81">
    <w:p w14:paraId="4EA71B1A" w14:textId="77777777" w:rsidR="00803B7D" w:rsidRPr="007A22DC" w:rsidRDefault="00803B7D" w:rsidP="0014574C">
      <w:pPr>
        <w:pStyle w:val="Przypis"/>
      </w:pPr>
      <w:r w:rsidRPr="007A22DC">
        <w:rPr>
          <w:rStyle w:val="Odwoanieprzypisudolnego"/>
        </w:rPr>
        <w:footnoteRef/>
      </w:r>
      <w:r w:rsidRPr="007A22DC">
        <w:t xml:space="preserve"> Wyrok NSA z 30 października 2018 r..</w:t>
      </w:r>
    </w:p>
  </w:footnote>
  <w:footnote w:id="82">
    <w:p w14:paraId="7BC781FE" w14:textId="77777777" w:rsidR="00803B7D" w:rsidRPr="007A22DC" w:rsidRDefault="00744B2D" w:rsidP="0014574C">
      <w:pPr>
        <w:pStyle w:val="Przypis"/>
      </w:pPr>
      <w:hyperlink r:id="rId55" w:history="1">
        <w:r w:rsidR="00803B7D" w:rsidRPr="007A22DC">
          <w:rPr>
            <w:rStyle w:val="Hipercze"/>
            <w:vertAlign w:val="superscript"/>
          </w:rPr>
          <w:footnoteRef/>
        </w:r>
        <w:r w:rsidR="00803B7D" w:rsidRPr="007A22DC">
          <w:rPr>
            <w:rStyle w:val="Hipercze"/>
          </w:rPr>
          <w:t xml:space="preserve"> XI.534.1.2016</w:t>
        </w:r>
      </w:hyperlink>
      <w:r w:rsidR="00803B7D" w:rsidRPr="007A22DC">
        <w:t xml:space="preserve"> przystąpienie RPO do postępowania, 9 października 2018 r., wyrok WSA z 10 maja 2016 r., sygn. akt III SA/Kr 1400/15, wyrok NSA z 10 października 2018 r., sygn. akt II OSK 2552/16.</w:t>
      </w:r>
    </w:p>
  </w:footnote>
  <w:footnote w:id="83">
    <w:p w14:paraId="2FD2ED67" w14:textId="77777777" w:rsidR="00803B7D" w:rsidRPr="007A22DC" w:rsidRDefault="00803B7D">
      <w:pPr>
        <w:pStyle w:val="Tekstprzypisudolnego"/>
      </w:pPr>
      <w:r w:rsidRPr="007A22DC">
        <w:rPr>
          <w:rStyle w:val="Odwoanieprzypisudolnego"/>
        </w:rPr>
        <w:footnoteRef/>
      </w:r>
      <w:r w:rsidRPr="007A22DC">
        <w:t xml:space="preserve"> Relacja: </w:t>
      </w:r>
      <w:hyperlink r:id="rId56" w:history="1">
        <w:r w:rsidRPr="007A22DC">
          <w:rPr>
            <w:rStyle w:val="Hipercze"/>
            <w:rFonts w:eastAsiaTheme="majorEastAsia"/>
          </w:rPr>
          <w:t>https://www.rpo.gov.pl/pl/content/adam-bodnar-o-marcu-1968-przemoc-fizyczna-symboliczna-psychiczna-i-ekonomiczna-na-wielka-skale</w:t>
        </w:r>
      </w:hyperlink>
    </w:p>
  </w:footnote>
  <w:footnote w:id="84">
    <w:p w14:paraId="49EA5345" w14:textId="77777777" w:rsidR="00803B7D" w:rsidRPr="007A22DC" w:rsidRDefault="00803B7D" w:rsidP="0014574C">
      <w:pPr>
        <w:pStyle w:val="Przypis"/>
      </w:pPr>
      <w:r w:rsidRPr="007A22DC">
        <w:rPr>
          <w:rStyle w:val="Odwoanieprzypisudolnego"/>
        </w:rPr>
        <w:footnoteRef/>
      </w:r>
      <w:r w:rsidRPr="007A22DC">
        <w:t xml:space="preserve"> Rozporządzenie z 26 kwietnia 2018 r.</w:t>
      </w:r>
      <w:r w:rsidRPr="007A22DC">
        <w:rPr>
          <w:sz w:val="26"/>
        </w:rPr>
        <w:t xml:space="preserve"> </w:t>
      </w:r>
      <w:r w:rsidRPr="007A22DC">
        <w:t>(Dz. U. z 2018 r., poz. 939).</w:t>
      </w:r>
    </w:p>
  </w:footnote>
  <w:footnote w:id="85">
    <w:p w14:paraId="3D896984" w14:textId="77777777" w:rsidR="00803B7D" w:rsidRPr="007A22DC" w:rsidRDefault="00803B7D" w:rsidP="0014574C">
      <w:pPr>
        <w:pStyle w:val="Przypis"/>
      </w:pPr>
      <w:r w:rsidRPr="007A22DC">
        <w:rPr>
          <w:rStyle w:val="Odwoanieprzypisudolnego"/>
        </w:rPr>
        <w:footnoteRef/>
      </w:r>
      <w:r w:rsidRPr="007A22DC">
        <w:t xml:space="preserve"> </w:t>
      </w:r>
      <w:hyperlink r:id="rId57" w:history="1">
        <w:r w:rsidRPr="007A22DC">
          <w:rPr>
            <w:rStyle w:val="Hipercze"/>
          </w:rPr>
          <w:t>XI.813.7.2018</w:t>
        </w:r>
      </w:hyperlink>
      <w:r w:rsidRPr="007A22DC">
        <w:t xml:space="preserve"> z 18 czerwca 2018 r., odpowiedź z 25 czerwca 2018 r..</w:t>
      </w:r>
    </w:p>
  </w:footnote>
  <w:footnote w:id="86">
    <w:p w14:paraId="5BA1B28F" w14:textId="77777777" w:rsidR="00803B7D" w:rsidRPr="007A22DC" w:rsidRDefault="00803B7D" w:rsidP="0014574C">
      <w:pPr>
        <w:pStyle w:val="Przypis"/>
        <w:rPr>
          <w:rFonts w:eastAsia="Calibri"/>
          <w:lang w:eastAsia="en-US"/>
        </w:rPr>
      </w:pPr>
      <w:r w:rsidRPr="007A22DC">
        <w:rPr>
          <w:rStyle w:val="Odwoanieprzypisudolnego"/>
        </w:rPr>
        <w:footnoteRef/>
      </w:r>
      <w:r w:rsidRPr="007A22DC">
        <w:t xml:space="preserve"> </w:t>
      </w:r>
      <w:bookmarkStart w:id="87" w:name="_Hlk534885405"/>
      <w:r w:rsidRPr="007A22DC">
        <w:fldChar w:fldCharType="begin"/>
      </w:r>
      <w:r w:rsidRPr="007A22DC">
        <w:instrText xml:space="preserve"> HYPERLINK "https://www.rpo.gov.pl/pl/content/rpo-broni-romow-z-limanowej-przed-eksmisja" </w:instrText>
      </w:r>
      <w:r w:rsidRPr="007A22DC">
        <w:fldChar w:fldCharType="separate"/>
      </w:r>
      <w:r w:rsidRPr="007A22DC">
        <w:rPr>
          <w:rStyle w:val="Hipercze"/>
        </w:rPr>
        <w:t>XI.816.13.2015</w:t>
      </w:r>
      <w:bookmarkEnd w:id="87"/>
      <w:r w:rsidRPr="007A22DC">
        <w:fldChar w:fldCharType="end"/>
      </w:r>
      <w:r w:rsidRPr="007A22DC">
        <w:t xml:space="preserve"> z 23 grudnia 2016 r., wyrok z 26 marca 2018 r., sygn. akt I C 3/17, apelacja RPO, z 8 maja 2018 r., </w:t>
      </w:r>
      <w:hyperlink r:id="rId58" w:history="1">
        <w:r w:rsidRPr="007A22DC">
          <w:rPr>
            <w:rStyle w:val="Hipercze"/>
          </w:rPr>
          <w:t>wyrok z 14 maja 2019 r.</w:t>
        </w:r>
      </w:hyperlink>
    </w:p>
  </w:footnote>
  <w:footnote w:id="87">
    <w:p w14:paraId="486404B0" w14:textId="77777777" w:rsidR="00803B7D" w:rsidRPr="003F2BF9" w:rsidRDefault="00803B7D" w:rsidP="00AF0F4B">
      <w:pPr>
        <w:pStyle w:val="Przypis"/>
      </w:pPr>
      <w:r w:rsidRPr="003F2BF9">
        <w:rPr>
          <w:rStyle w:val="Odwoanieprzypisudolnego"/>
          <w:rFonts w:eastAsiaTheme="majorEastAsia"/>
        </w:rPr>
        <w:footnoteRef/>
      </w:r>
      <w:r w:rsidRPr="003F2BF9">
        <w:t xml:space="preserve"> Pismo z 15 marca 2018, XI.816.1.2018.</w:t>
      </w:r>
    </w:p>
  </w:footnote>
  <w:footnote w:id="88">
    <w:p w14:paraId="4014BC8A" w14:textId="77777777" w:rsidR="00803B7D" w:rsidRPr="003F2BF9" w:rsidRDefault="00803B7D" w:rsidP="00AF0F4B">
      <w:pPr>
        <w:pStyle w:val="Przypis"/>
      </w:pPr>
      <w:r w:rsidRPr="003F2BF9">
        <w:rPr>
          <w:rStyle w:val="Odwoanieprzypisudolnego"/>
          <w:rFonts w:eastAsiaTheme="majorEastAsia"/>
        </w:rPr>
        <w:footnoteRef/>
      </w:r>
      <w:r w:rsidRPr="003F2BF9">
        <w:t xml:space="preserve"> Pismo z 23 marca 2018 r.</w:t>
      </w:r>
    </w:p>
  </w:footnote>
  <w:footnote w:id="89">
    <w:p w14:paraId="51056594" w14:textId="10149853" w:rsidR="00803B7D" w:rsidRDefault="00803B7D" w:rsidP="00AF0F4B">
      <w:pPr>
        <w:pStyle w:val="Przypis"/>
      </w:pPr>
      <w:r w:rsidRPr="00A64C55">
        <w:rPr>
          <w:rStyle w:val="Odwoanieprzypisudolnego"/>
          <w:rFonts w:eastAsiaTheme="majorEastAsia"/>
          <w:sz w:val="20"/>
        </w:rPr>
        <w:footnoteRef/>
      </w:r>
      <w:r w:rsidRPr="00A64C55">
        <w:rPr>
          <w:sz w:val="20"/>
        </w:rPr>
        <w:t xml:space="preserve"> </w:t>
      </w:r>
      <w:r w:rsidRPr="00A64C55">
        <w:rPr>
          <w:bCs/>
          <w:sz w:val="20"/>
        </w:rPr>
        <w:t xml:space="preserve">Rzecznik Praw Obywatelskich </w:t>
      </w:r>
      <w:r>
        <w:rPr>
          <w:bCs/>
          <w:sz w:val="20"/>
        </w:rPr>
        <w:t>s</w:t>
      </w:r>
      <w:r w:rsidRPr="00A64C55">
        <w:rPr>
          <w:bCs/>
          <w:sz w:val="20"/>
        </w:rPr>
        <w:t>woje stanowisko przedstawił np. w wystąpieniu skierowanym do Wójta Gminy Łącko po wizytacji przedstawicieli RPO w Maszkowicach w dniu 13 lipca 2017 r. (XI.816.17.2017)</w:t>
      </w:r>
      <w:r>
        <w:rPr>
          <w:bCs/>
          <w:sz w:val="20"/>
        </w:rPr>
        <w:t>.</w:t>
      </w:r>
    </w:p>
  </w:footnote>
  <w:footnote w:id="90">
    <w:p w14:paraId="654C0E55" w14:textId="77777777" w:rsidR="00803B7D" w:rsidRPr="007A22DC" w:rsidRDefault="00803B7D" w:rsidP="0014574C">
      <w:pPr>
        <w:pStyle w:val="Przypis"/>
      </w:pPr>
      <w:r w:rsidRPr="007A22DC">
        <w:rPr>
          <w:rStyle w:val="Odwoanieprzypisudolnego"/>
        </w:rPr>
        <w:footnoteRef/>
      </w:r>
      <w:r w:rsidRPr="007A22DC">
        <w:t xml:space="preserve">Relacja: </w:t>
      </w:r>
      <w:hyperlink r:id="rId59" w:history="1">
        <w:r w:rsidRPr="007A22DC">
          <w:rPr>
            <w:rStyle w:val="Hipercze"/>
          </w:rPr>
          <w:t>www.rpo.gov.pl/pl/content/sytuacja-mniejszosci-ukrainskiej-i-migrantow-ukrainskich-w-polsce-konferencja-w-biurze-rpo</w:t>
        </w:r>
      </w:hyperlink>
    </w:p>
  </w:footnote>
  <w:footnote w:id="91">
    <w:p w14:paraId="31CED2C8" w14:textId="77777777" w:rsidR="00803B7D" w:rsidRPr="007A22DC" w:rsidRDefault="00803B7D" w:rsidP="0014574C">
      <w:pPr>
        <w:pStyle w:val="Przypis"/>
      </w:pPr>
      <w:r w:rsidRPr="007A22DC">
        <w:rPr>
          <w:rStyle w:val="Odwoanieprzypisudolnego"/>
        </w:rPr>
        <w:footnoteRef/>
      </w:r>
      <w:r w:rsidRPr="007A22DC">
        <w:t xml:space="preserve"> </w:t>
      </w:r>
      <w:hyperlink r:id="rId60" w:history="1">
        <w:r w:rsidRPr="007A22DC">
          <w:rPr>
            <w:rStyle w:val="Hipercze"/>
            <w:shd w:val="clear" w:color="auto" w:fill="FFFFFF"/>
          </w:rPr>
          <w:t>BPK.540.2.2018</w:t>
        </w:r>
      </w:hyperlink>
      <w:r w:rsidRPr="007A22DC">
        <w:rPr>
          <w:shd w:val="clear" w:color="auto" w:fill="FFFFFF"/>
        </w:rPr>
        <w:t>, z 23 marca 2018 r., odpowiedź z 27 kwietnia 2018 r..</w:t>
      </w:r>
    </w:p>
  </w:footnote>
  <w:footnote w:id="92">
    <w:p w14:paraId="66791ED1" w14:textId="77777777" w:rsidR="00803B7D" w:rsidRPr="007A22DC" w:rsidRDefault="00803B7D" w:rsidP="0014574C">
      <w:pPr>
        <w:pStyle w:val="Przypis"/>
      </w:pPr>
      <w:r w:rsidRPr="007A22DC">
        <w:rPr>
          <w:rStyle w:val="Odwoanieprzypisudolnego"/>
        </w:rPr>
        <w:footnoteRef/>
      </w:r>
      <w:r w:rsidRPr="007A22DC">
        <w:t xml:space="preserve"> </w:t>
      </w:r>
      <w:hyperlink r:id="rId61" w:history="1">
        <w:r w:rsidRPr="007A22DC">
          <w:rPr>
            <w:rStyle w:val="Hipercze"/>
          </w:rPr>
          <w:t>https://www.rpo.gov.pl/pl/content/ksiega-dobrych-praktyk-na-rzecz-mniejszosci-narodowych</w:t>
        </w:r>
      </w:hyperlink>
    </w:p>
  </w:footnote>
  <w:footnote w:id="93">
    <w:p w14:paraId="4FA021CC" w14:textId="77777777" w:rsidR="00803B7D" w:rsidRPr="007A22DC" w:rsidRDefault="00803B7D" w:rsidP="0014574C">
      <w:pPr>
        <w:pStyle w:val="Przypis"/>
      </w:pPr>
      <w:r w:rsidRPr="007A22DC">
        <w:rPr>
          <w:rStyle w:val="Odwoanieprzypisudolnego"/>
        </w:rPr>
        <w:footnoteRef/>
      </w:r>
      <w:r w:rsidRPr="007A22DC">
        <w:t xml:space="preserve"> </w:t>
      </w:r>
      <w:hyperlink r:id="rId62" w:history="1">
        <w:r w:rsidRPr="007A22DC">
          <w:rPr>
            <w:rStyle w:val="Hipercze"/>
          </w:rPr>
          <w:t>VII.071.28.2018</w:t>
        </w:r>
      </w:hyperlink>
      <w:r w:rsidRPr="007A22DC">
        <w:rPr>
          <w:rStyle w:val="Hipercze"/>
        </w:rPr>
        <w:t xml:space="preserve">, odpowiedź </w:t>
      </w:r>
      <w:r w:rsidRPr="007A22DC">
        <w:t>z 21 listopada 2018 r.r</w:t>
      </w:r>
    </w:p>
  </w:footnote>
  <w:footnote w:id="94">
    <w:p w14:paraId="4D3D8233" w14:textId="77777777" w:rsidR="00803B7D" w:rsidRPr="007A22DC" w:rsidRDefault="00803B7D" w:rsidP="00EA674D">
      <w:pPr>
        <w:pStyle w:val="Przypis"/>
      </w:pPr>
      <w:r w:rsidRPr="007A22DC">
        <w:rPr>
          <w:rStyle w:val="Odwoanieprzypisudolnego"/>
        </w:rPr>
        <w:footnoteRef/>
      </w:r>
      <w:r w:rsidRPr="007A22DC">
        <w:t xml:space="preserve"> </w:t>
      </w:r>
      <w:hyperlink r:id="rId63" w:history="1">
        <w:r w:rsidRPr="007A22DC">
          <w:rPr>
            <w:rStyle w:val="Hipercze"/>
          </w:rPr>
          <w:t>IX.517.2883.2018</w:t>
        </w:r>
      </w:hyperlink>
    </w:p>
  </w:footnote>
  <w:footnote w:id="95">
    <w:p w14:paraId="4BB8B85E" w14:textId="77777777" w:rsidR="00803B7D" w:rsidRPr="007A22DC" w:rsidRDefault="00803B7D" w:rsidP="0014574C">
      <w:pPr>
        <w:pStyle w:val="Przypis"/>
      </w:pPr>
      <w:r w:rsidRPr="007A22DC">
        <w:rPr>
          <w:rStyle w:val="Odwoanieprzypisudolnego"/>
        </w:rPr>
        <w:footnoteRef/>
      </w:r>
      <w:r w:rsidRPr="007A22DC">
        <w:t xml:space="preserve"> </w:t>
      </w:r>
      <w:hyperlink r:id="rId64" w:history="1">
        <w:r w:rsidRPr="007A22DC">
          <w:rPr>
            <w:rStyle w:val="Hipercze"/>
          </w:rPr>
          <w:t>VII.510.4.2016</w:t>
        </w:r>
      </w:hyperlink>
      <w:r w:rsidRPr="007A22DC">
        <w:t xml:space="preserve"> z 17 stycznia 2018 r. i 22 maja 2018 r. </w:t>
      </w:r>
    </w:p>
  </w:footnote>
  <w:footnote w:id="96">
    <w:p w14:paraId="0885BFD3" w14:textId="77777777" w:rsidR="00803B7D" w:rsidRPr="007A22DC" w:rsidRDefault="00803B7D" w:rsidP="0014574C">
      <w:pPr>
        <w:pStyle w:val="Przypis"/>
      </w:pPr>
      <w:r w:rsidRPr="007A22DC">
        <w:rPr>
          <w:rStyle w:val="Odwoanieprzypisudolnego"/>
        </w:rPr>
        <w:footnoteRef/>
      </w:r>
      <w:r w:rsidRPr="007A22DC">
        <w:t xml:space="preserve"> Wyrok TSUE z 13 grudnia 2017 r. (C-403/16 El Hassani)</w:t>
      </w:r>
    </w:p>
  </w:footnote>
  <w:footnote w:id="97">
    <w:p w14:paraId="0E1CB4AF" w14:textId="77777777" w:rsidR="00803B7D" w:rsidRPr="007A22DC" w:rsidRDefault="00803B7D" w:rsidP="0014574C">
      <w:pPr>
        <w:pStyle w:val="Przypis"/>
      </w:pPr>
      <w:r w:rsidRPr="007A22DC">
        <w:rPr>
          <w:rStyle w:val="Odwoanieprzypisudolnego"/>
        </w:rPr>
        <w:footnoteRef/>
      </w:r>
      <w:r w:rsidRPr="007A22DC">
        <w:t xml:space="preserve"> Postanowienie NSA z 19 lutego 2018 r., sygn. akt II OSK 1346/16.</w:t>
      </w:r>
    </w:p>
  </w:footnote>
  <w:footnote w:id="98">
    <w:p w14:paraId="7E4C456F" w14:textId="77777777" w:rsidR="00803B7D" w:rsidRPr="007A22DC" w:rsidRDefault="00803B7D" w:rsidP="0014574C">
      <w:pPr>
        <w:pStyle w:val="Przypis"/>
      </w:pPr>
      <w:r w:rsidRPr="007A22DC">
        <w:rPr>
          <w:rStyle w:val="Odwoanieprzypisudolnego"/>
        </w:rPr>
        <w:footnoteRef/>
      </w:r>
      <w:r w:rsidRPr="007A22DC">
        <w:t xml:space="preserve"> Ustawa z 9 listopada 2018 r. o zmianie ustawy – Prawo o postępowaniu przed sądami administracyjnymi (Dz. U. z 2018 r., poz. 11).</w:t>
      </w:r>
    </w:p>
  </w:footnote>
  <w:footnote w:id="99">
    <w:p w14:paraId="4F10A570" w14:textId="77777777" w:rsidR="00803B7D" w:rsidRPr="007A22DC" w:rsidRDefault="00803B7D" w:rsidP="0014574C">
      <w:pPr>
        <w:pStyle w:val="Przypis"/>
      </w:pPr>
      <w:r w:rsidRPr="007A22DC">
        <w:rPr>
          <w:rStyle w:val="Odwoanieprzypisudolnego"/>
        </w:rPr>
        <w:footnoteRef/>
      </w:r>
      <w:r w:rsidRPr="007A22DC">
        <w:t xml:space="preserve"> </w:t>
      </w:r>
      <w:hyperlink r:id="rId65" w:history="1">
        <w:r w:rsidRPr="007A22DC">
          <w:rPr>
            <w:rStyle w:val="Hipercze"/>
            <w:szCs w:val="18"/>
          </w:rPr>
          <w:t>XI.543.13.2018</w:t>
        </w:r>
      </w:hyperlink>
      <w:r w:rsidRPr="007A22DC">
        <w:t xml:space="preserve"> z 11 kwietnia 2018 r. </w:t>
      </w:r>
    </w:p>
  </w:footnote>
  <w:footnote w:id="100">
    <w:p w14:paraId="4CA7AC1A" w14:textId="77777777" w:rsidR="00803B7D" w:rsidRPr="007A22DC" w:rsidRDefault="00803B7D" w:rsidP="0014574C">
      <w:pPr>
        <w:pStyle w:val="Przypis"/>
      </w:pPr>
      <w:r w:rsidRPr="007A22DC">
        <w:rPr>
          <w:rStyle w:val="Odwoanieprzypisudolnego"/>
        </w:rPr>
        <w:footnoteRef/>
      </w:r>
      <w:r w:rsidRPr="007A22DC">
        <w:t xml:space="preserve"> </w:t>
      </w:r>
      <w:hyperlink r:id="rId66" w:history="1">
        <w:r w:rsidRPr="007A22DC">
          <w:rPr>
            <w:rStyle w:val="Hipercze"/>
          </w:rPr>
          <w:t>II.510.125.2018</w:t>
        </w:r>
      </w:hyperlink>
      <w:r w:rsidRPr="007A22DC">
        <w:t xml:space="preserve"> z 3 kwietnia 2018 r., SN sygn. akt IV KK 190/18</w:t>
      </w:r>
    </w:p>
  </w:footnote>
  <w:footnote w:id="101">
    <w:p w14:paraId="5782494B" w14:textId="77777777" w:rsidR="00803B7D" w:rsidRPr="007A22DC" w:rsidRDefault="00803B7D" w:rsidP="0014574C">
      <w:pPr>
        <w:pStyle w:val="Przypis"/>
      </w:pPr>
      <w:r w:rsidRPr="007A22DC">
        <w:rPr>
          <w:rStyle w:val="Odwoanieprzypisudolnego"/>
        </w:rPr>
        <w:footnoteRef/>
      </w:r>
      <w:r w:rsidRPr="007A22DC">
        <w:t xml:space="preserve"> </w:t>
      </w:r>
      <w:hyperlink r:id="rId67" w:history="1">
        <w:r w:rsidRPr="007A22DC">
          <w:rPr>
            <w:rStyle w:val="Hipercze"/>
          </w:rPr>
          <w:t>II.519.656.2018</w:t>
        </w:r>
      </w:hyperlink>
    </w:p>
  </w:footnote>
  <w:footnote w:id="102">
    <w:p w14:paraId="3C42B902" w14:textId="77777777" w:rsidR="00803B7D" w:rsidRPr="007A22DC" w:rsidRDefault="00803B7D" w:rsidP="0014574C">
      <w:pPr>
        <w:pStyle w:val="Przypis"/>
      </w:pPr>
      <w:r w:rsidRPr="007A22DC">
        <w:rPr>
          <w:rStyle w:val="Odwoanieprzypisudolnego"/>
        </w:rPr>
        <w:footnoteRef/>
      </w:r>
      <w:r w:rsidRPr="007A22DC">
        <w:t xml:space="preserve"> </w:t>
      </w:r>
      <w:hyperlink r:id="rId68" w:history="1">
        <w:r w:rsidRPr="007A22DC">
          <w:rPr>
            <w:rStyle w:val="Hipercze"/>
          </w:rPr>
          <w:t>II.519.1166.2015</w:t>
        </w:r>
      </w:hyperlink>
      <w:r w:rsidRPr="007A22DC">
        <w:rPr>
          <w:rStyle w:val="Hipercze"/>
        </w:rPr>
        <w:t xml:space="preserve">, </w:t>
      </w:r>
      <w:r w:rsidRPr="007A22DC">
        <w:t>z 4 lutego 2018 r., odpowiedź z 30 października 2018 r..</w:t>
      </w:r>
    </w:p>
  </w:footnote>
  <w:footnote w:id="103">
    <w:p w14:paraId="66C057BE" w14:textId="77777777" w:rsidR="00803B7D" w:rsidRPr="007A22DC" w:rsidRDefault="00803B7D" w:rsidP="0014574C">
      <w:pPr>
        <w:pStyle w:val="Przypis"/>
      </w:pPr>
      <w:r w:rsidRPr="007A22DC">
        <w:rPr>
          <w:rStyle w:val="Odwoanieprzypisudolnego"/>
        </w:rPr>
        <w:footnoteRef/>
      </w:r>
      <w:hyperlink r:id="rId69" w:history="1">
        <w:r w:rsidRPr="007A22DC">
          <w:rPr>
            <w:rStyle w:val="Hipercze"/>
          </w:rPr>
          <w:t xml:space="preserve"> V.511.354.2018</w:t>
        </w:r>
      </w:hyperlink>
      <w:r w:rsidRPr="007A22DC">
        <w:rPr>
          <w:rStyle w:val="Hipercze"/>
        </w:rPr>
        <w:t xml:space="preserve"> </w:t>
      </w:r>
      <w:r w:rsidRPr="007A22DC">
        <w:t>z 31 lipca 2018 r., odpowiedź MSWiA z 5 września 2018 r. odpowiedź MI z 13 września 2018 r..</w:t>
      </w:r>
    </w:p>
  </w:footnote>
  <w:footnote w:id="104">
    <w:p w14:paraId="7BF301F1" w14:textId="77777777" w:rsidR="00803B7D" w:rsidRPr="007A22DC" w:rsidRDefault="00803B7D" w:rsidP="0014574C">
      <w:pPr>
        <w:pStyle w:val="Przypis"/>
      </w:pPr>
      <w:r w:rsidRPr="007A22DC">
        <w:rPr>
          <w:rStyle w:val="Odwoanieprzypisudolnego"/>
        </w:rPr>
        <w:footnoteRef/>
      </w:r>
      <w:r w:rsidRPr="007A22DC">
        <w:t xml:space="preserve"> </w:t>
      </w:r>
      <w:hyperlink r:id="rId70" w:history="1">
        <w:r w:rsidRPr="007A22DC">
          <w:rPr>
            <w:rStyle w:val="Hipercze"/>
          </w:rPr>
          <w:t>https://www.nik.gov.pl/aktualnosci/nik-o-bezpieczenstwie-na-drogach.html</w:t>
        </w:r>
      </w:hyperlink>
    </w:p>
  </w:footnote>
  <w:footnote w:id="105">
    <w:p w14:paraId="349E664C" w14:textId="77777777" w:rsidR="00803B7D" w:rsidRPr="007A22DC" w:rsidRDefault="00803B7D" w:rsidP="0014574C">
      <w:pPr>
        <w:pStyle w:val="Przypis"/>
      </w:pPr>
      <w:r w:rsidRPr="007A22DC">
        <w:rPr>
          <w:rStyle w:val="Odwoanieprzypisudolnego"/>
        </w:rPr>
        <w:footnoteRef/>
      </w:r>
      <w:r w:rsidRPr="007A22DC">
        <w:t xml:space="preserve"> </w:t>
      </w:r>
      <w:hyperlink r:id="rId71" w:history="1">
        <w:r w:rsidRPr="007A22DC">
          <w:rPr>
            <w:rStyle w:val="Hipercze"/>
          </w:rPr>
          <w:t>VII.5002.1.2014,</w:t>
        </w:r>
      </w:hyperlink>
      <w:r w:rsidRPr="007A22DC">
        <w:rPr>
          <w:rStyle w:val="Hipercze"/>
        </w:rPr>
        <w:t xml:space="preserve"> z </w:t>
      </w:r>
      <w:r w:rsidRPr="007A22DC">
        <w:t>11 kwietnia 2018 r., odpowiedź z 23 maja 2018 r., stanowisko Polskiego Towarzystwa Genetyki Człowieka z 12 września 2018 r..</w:t>
      </w:r>
    </w:p>
  </w:footnote>
  <w:footnote w:id="106">
    <w:p w14:paraId="3BC7533E" w14:textId="77777777" w:rsidR="00803B7D" w:rsidRPr="007A22DC" w:rsidRDefault="00803B7D" w:rsidP="0014574C">
      <w:pPr>
        <w:pStyle w:val="Przypis"/>
      </w:pPr>
      <w:r w:rsidRPr="007A22DC">
        <w:rPr>
          <w:rStyle w:val="Odwoanieprzypisudolnego"/>
        </w:rPr>
        <w:footnoteRef/>
      </w:r>
      <w:r w:rsidRPr="007A22DC">
        <w:t xml:space="preserve"> </w:t>
      </w:r>
      <w:hyperlink r:id="rId72" w:history="1">
        <w:r w:rsidRPr="007A22DC">
          <w:rPr>
            <w:rStyle w:val="Hipercze"/>
          </w:rPr>
          <w:t>VII.5002.13.2017</w:t>
        </w:r>
      </w:hyperlink>
      <w:r w:rsidRPr="007A22DC">
        <w:rPr>
          <w:rStyle w:val="Hipercze"/>
        </w:rPr>
        <w:t xml:space="preserve"> z </w:t>
      </w:r>
      <w:r w:rsidRPr="007A22DC">
        <w:t>5 marca 2018 r.</w:t>
      </w:r>
    </w:p>
  </w:footnote>
  <w:footnote w:id="107">
    <w:p w14:paraId="68D13EFF" w14:textId="77777777" w:rsidR="00803B7D" w:rsidRPr="007A22DC" w:rsidRDefault="00803B7D" w:rsidP="0014574C">
      <w:pPr>
        <w:pStyle w:val="Przypis"/>
      </w:pPr>
      <w:r w:rsidRPr="007A22DC">
        <w:rPr>
          <w:rStyle w:val="Odwoanieprzypisudolnego"/>
        </w:rPr>
        <w:footnoteRef/>
      </w:r>
      <w:r w:rsidRPr="007A22DC">
        <w:t xml:space="preserve"> Sprawy z art. 246 kodeksu karnego</w:t>
      </w:r>
      <w:r w:rsidRPr="007A22DC">
        <w:rPr>
          <w:shd w:val="clear" w:color="auto" w:fill="FFFFFF"/>
        </w:rPr>
        <w:t xml:space="preserve"> „Funkcjonariusz publiczny lub ten, który działając na jego polecenie w celu uzyskania określonych zeznań, wyjaśnień, informacji lub oświadczenia stosuje przemoc, groźbę bezprawną lub w inny sposób znęca się fizycznie lub psychicznie nad inną osobą, podlega karze pozbawienia wolności od roku do lat 10”, patrz: </w:t>
      </w:r>
      <w:hyperlink r:id="rId73" w:history="1">
        <w:r w:rsidRPr="007A22DC">
          <w:rPr>
            <w:rStyle w:val="Hipercze"/>
          </w:rPr>
          <w:t>KMP.570.3.2017</w:t>
        </w:r>
      </w:hyperlink>
      <w:r w:rsidRPr="007A22DC">
        <w:t xml:space="preserve"> z 18 kwietnia 2017 r. a także II.519.656.2018</w:t>
      </w:r>
    </w:p>
  </w:footnote>
  <w:footnote w:id="108">
    <w:p w14:paraId="3E6AB5CC" w14:textId="77777777" w:rsidR="00803B7D" w:rsidRPr="007A22DC" w:rsidRDefault="00803B7D" w:rsidP="00DA68E8">
      <w:pPr>
        <w:pStyle w:val="Przypis"/>
      </w:pPr>
      <w:r w:rsidRPr="007A22DC">
        <w:rPr>
          <w:rStyle w:val="Odwoanieprzypisudolnego"/>
        </w:rPr>
        <w:footnoteRef/>
      </w:r>
      <w:r w:rsidRPr="007A22DC">
        <w:t xml:space="preserve"> </w:t>
      </w:r>
      <w:hyperlink r:id="rId74" w:history="1">
        <w:r w:rsidRPr="007A22DC">
          <w:rPr>
            <w:rStyle w:val="Hipercze"/>
            <w:shd w:val="clear" w:color="auto" w:fill="FFFFFF"/>
          </w:rPr>
          <w:t>II.519.784.2018</w:t>
        </w:r>
      </w:hyperlink>
    </w:p>
  </w:footnote>
  <w:footnote w:id="109">
    <w:p w14:paraId="1ECD21F0" w14:textId="77777777" w:rsidR="00803B7D" w:rsidRPr="007A22DC" w:rsidRDefault="00803B7D" w:rsidP="0014574C">
      <w:pPr>
        <w:pStyle w:val="Przypis"/>
      </w:pPr>
      <w:r w:rsidRPr="007A22DC">
        <w:rPr>
          <w:rStyle w:val="Odwoanieprzypisudolnego"/>
        </w:rPr>
        <w:footnoteRef/>
      </w:r>
      <w:r w:rsidRPr="007A22DC">
        <w:t xml:space="preserve"> Kantar Millward Brown, badanie w październiku 2018 r. z inicjatyw Rzecznika Praw Obywatelskich, 1006-osobowa próba w wieku 18-75 lat metodą wspomaganych komputerowo wywiadów indywidulanych (face).</w:t>
      </w:r>
    </w:p>
  </w:footnote>
  <w:footnote w:id="110">
    <w:p w14:paraId="3E9BAAF6" w14:textId="77777777" w:rsidR="00803B7D" w:rsidRPr="007A22DC" w:rsidRDefault="00803B7D" w:rsidP="0014574C">
      <w:pPr>
        <w:pStyle w:val="Przypis"/>
      </w:pPr>
      <w:r w:rsidRPr="007A22DC">
        <w:rPr>
          <w:rStyle w:val="Odwoanieprzypisudolnego"/>
        </w:rPr>
        <w:footnoteRef/>
      </w:r>
      <w:r w:rsidRPr="007A22DC">
        <w:t xml:space="preserve"> Relacje z debat: </w:t>
      </w:r>
      <w:hyperlink r:id="rId75" w:history="1">
        <w:r w:rsidRPr="007A22DC">
          <w:rPr>
            <w:rStyle w:val="Hipercze"/>
            <w:rFonts w:eastAsiaTheme="majorEastAsia"/>
          </w:rPr>
          <w:t>https://www.rpo.gov.pl/pl/kategoria-prawna-i-organizacyjna/debaty-regionalne-kmpt</w:t>
        </w:r>
      </w:hyperlink>
    </w:p>
  </w:footnote>
  <w:footnote w:id="111">
    <w:p w14:paraId="74FA70BD" w14:textId="77777777" w:rsidR="00803B7D" w:rsidRPr="007A22DC" w:rsidRDefault="00803B7D" w:rsidP="0014574C">
      <w:pPr>
        <w:pStyle w:val="Przypis"/>
      </w:pPr>
      <w:r w:rsidRPr="007A22DC">
        <w:rPr>
          <w:rStyle w:val="Odwoanieprzypisudolnego"/>
        </w:rPr>
        <w:footnoteRef/>
      </w:r>
      <w:r w:rsidRPr="007A22DC">
        <w:t xml:space="preserve"> Opinia OSCE ODHIR z 22 maja 2018 r.: </w:t>
      </w:r>
      <w:hyperlink r:id="rId76" w:history="1">
        <w:r w:rsidRPr="007A22DC">
          <w:rPr>
            <w:rStyle w:val="Hipercze"/>
            <w:rFonts w:eastAsiaTheme="majorEastAsia"/>
          </w:rPr>
          <w:t>https://www.rpo.gov.pl/pl/content/opinia-odihr-dotycząca-definicji-tortur-i-bezwzględnego-zakazu-ich-stosowania-w-polskim</w:t>
        </w:r>
      </w:hyperlink>
    </w:p>
  </w:footnote>
  <w:footnote w:id="112">
    <w:p w14:paraId="46C3E68A" w14:textId="77777777" w:rsidR="00803B7D" w:rsidRPr="007A22DC" w:rsidRDefault="00803B7D" w:rsidP="0014574C">
      <w:pPr>
        <w:pStyle w:val="Przypis"/>
      </w:pPr>
      <w:r w:rsidRPr="007A22DC">
        <w:rPr>
          <w:rStyle w:val="Odwoanieprzypisudolnego"/>
        </w:rPr>
        <w:footnoteRef/>
      </w:r>
      <w:r w:rsidRPr="007A22DC">
        <w:t xml:space="preserve"> </w:t>
      </w:r>
      <w:hyperlink r:id="rId77" w:history="1">
        <w:r w:rsidRPr="007A22DC">
          <w:rPr>
            <w:rStyle w:val="Hipercze"/>
          </w:rPr>
          <w:t>KMP.570.3.2018</w:t>
        </w:r>
      </w:hyperlink>
      <w:r w:rsidRPr="007A22DC">
        <w:rPr>
          <w:rStyle w:val="Hipercze"/>
        </w:rPr>
        <w:t xml:space="preserve"> </w:t>
      </w:r>
      <w:r w:rsidRPr="007A22DC">
        <w:rPr>
          <w:bCs/>
          <w:iCs/>
        </w:rPr>
        <w:t>z 24 października 2018 r..</w:t>
      </w:r>
    </w:p>
  </w:footnote>
  <w:footnote w:id="113">
    <w:p w14:paraId="64701AEA" w14:textId="77777777" w:rsidR="00803B7D" w:rsidRPr="007A22DC" w:rsidRDefault="00803B7D" w:rsidP="00200617">
      <w:pPr>
        <w:pStyle w:val="Przypis"/>
      </w:pPr>
      <w:r w:rsidRPr="007A22DC">
        <w:rPr>
          <w:rStyle w:val="Odwoanieprzypisudolnego"/>
        </w:rPr>
        <w:footnoteRef/>
      </w:r>
      <w:r w:rsidRPr="007A22DC">
        <w:t xml:space="preserve"> </w:t>
      </w:r>
      <w:hyperlink r:id="rId78" w:history="1">
        <w:r w:rsidRPr="007A22DC">
          <w:rPr>
            <w:rStyle w:val="Hipercze"/>
          </w:rPr>
          <w:t>II.519.563.2017</w:t>
        </w:r>
      </w:hyperlink>
      <w:r w:rsidRPr="007A22DC">
        <w:t>, 28 marca 2018 r., odpowiedź KPB z 24 kwietnia 2018 r.</w:t>
      </w:r>
    </w:p>
  </w:footnote>
  <w:footnote w:id="114">
    <w:p w14:paraId="3BC57A98" w14:textId="77777777" w:rsidR="00803B7D" w:rsidRPr="007A22DC" w:rsidRDefault="00803B7D" w:rsidP="001B63F4">
      <w:pPr>
        <w:pStyle w:val="Przypis"/>
      </w:pPr>
      <w:r w:rsidRPr="007A22DC">
        <w:rPr>
          <w:rStyle w:val="Odwoanieprzypisudolnego"/>
        </w:rPr>
        <w:footnoteRef/>
      </w:r>
      <w:r w:rsidRPr="007A22DC">
        <w:t xml:space="preserve"> </w:t>
      </w:r>
      <w:r w:rsidRPr="007A22DC">
        <w:rPr>
          <w:rStyle w:val="Pogrubienie"/>
          <w:b w:val="0"/>
          <w:bCs w:val="0"/>
        </w:rPr>
        <w:t>Dz. U. z 1993 r. Nr 61, poz. 284</w:t>
      </w:r>
    </w:p>
  </w:footnote>
  <w:footnote w:id="115">
    <w:p w14:paraId="21FCEF2A" w14:textId="77777777" w:rsidR="00803B7D" w:rsidRPr="007A22DC" w:rsidRDefault="00803B7D" w:rsidP="0014574C">
      <w:pPr>
        <w:pStyle w:val="Przypis"/>
      </w:pPr>
      <w:r w:rsidRPr="007A22DC">
        <w:rPr>
          <w:rStyle w:val="Odwoanieprzypisudolnego"/>
        </w:rPr>
        <w:footnoteRef/>
      </w:r>
      <w:r w:rsidRPr="007A22DC">
        <w:t xml:space="preserve"> </w:t>
      </w:r>
      <w:hyperlink r:id="rId79" w:history="1">
        <w:r w:rsidRPr="007A22DC">
          <w:rPr>
            <w:rStyle w:val="Hipercze"/>
          </w:rPr>
          <w:t>KMP.570.1.2018</w:t>
        </w:r>
      </w:hyperlink>
      <w:r w:rsidRPr="007A22DC">
        <w:rPr>
          <w:rStyle w:val="Hipercze"/>
        </w:rPr>
        <w:t xml:space="preserve"> </w:t>
      </w:r>
      <w:r w:rsidRPr="007A22DC">
        <w:t xml:space="preserve">z 16 kwietnia 2018 r., odpowiedź z 13 czerwca 2018 r. </w:t>
      </w:r>
    </w:p>
  </w:footnote>
  <w:footnote w:id="116">
    <w:p w14:paraId="7F6FDED8" w14:textId="77777777" w:rsidR="00803B7D" w:rsidRPr="007A22DC" w:rsidRDefault="00803B7D" w:rsidP="00227344">
      <w:pPr>
        <w:pStyle w:val="Przypis"/>
      </w:pPr>
      <w:r w:rsidRPr="007A22DC">
        <w:rPr>
          <w:rStyle w:val="Odwoanieprzypisudolnego"/>
        </w:rPr>
        <w:footnoteRef/>
      </w:r>
      <w:r w:rsidRPr="007A22DC">
        <w:t xml:space="preserve"> Więcej na ten temat: </w:t>
      </w:r>
      <w:hyperlink r:id="rId80" w:history="1">
        <w:r w:rsidRPr="007A22DC">
          <w:rPr>
            <w:rStyle w:val="Hipercze"/>
          </w:rPr>
          <w:t>https://ec.europa.eu/info/law/better-regulation/initiatives/com-2018-218_en</w:t>
        </w:r>
      </w:hyperlink>
    </w:p>
  </w:footnote>
  <w:footnote w:id="117">
    <w:p w14:paraId="01C4F457" w14:textId="77777777" w:rsidR="00803B7D" w:rsidRPr="007A22DC" w:rsidRDefault="00803B7D" w:rsidP="00227344">
      <w:pPr>
        <w:pStyle w:val="Przypis"/>
      </w:pPr>
      <w:r w:rsidRPr="007A22DC">
        <w:rPr>
          <w:rStyle w:val="Odwoanieprzypisudolnego"/>
        </w:rPr>
        <w:footnoteRef/>
      </w:r>
      <w:r w:rsidRPr="007A22DC">
        <w:t xml:space="preserve"> Więcej na ten temat: </w:t>
      </w:r>
      <w:hyperlink r:id="rId81" w:history="1">
        <w:r w:rsidRPr="007A22DC">
          <w:rPr>
            <w:rStyle w:val="Hipercze"/>
          </w:rPr>
          <w:t>http://www.europarl.europa.eu/news/pl/press-room/20190410IPR37529/ochrona-sygnalistow-nowe-zasady-dla-ue-przyjete</w:t>
        </w:r>
      </w:hyperlink>
    </w:p>
  </w:footnote>
  <w:footnote w:id="118">
    <w:p w14:paraId="7BDE686C" w14:textId="77777777" w:rsidR="00803B7D" w:rsidRPr="007A22DC" w:rsidRDefault="00803B7D" w:rsidP="0014574C">
      <w:pPr>
        <w:pStyle w:val="Przypis"/>
      </w:pPr>
      <w:r w:rsidRPr="007A22DC">
        <w:rPr>
          <w:rStyle w:val="Odwoanieprzypisudolnego"/>
        </w:rPr>
        <w:footnoteRef/>
      </w:r>
      <w:r w:rsidRPr="007A22DC">
        <w:t xml:space="preserve"> </w:t>
      </w:r>
      <w:hyperlink r:id="rId82" w:history="1">
        <w:r w:rsidRPr="007A22DC">
          <w:rPr>
            <w:rStyle w:val="Hipercze"/>
          </w:rPr>
          <w:t>III.7065.64.2016</w:t>
        </w:r>
      </w:hyperlink>
      <w:r w:rsidRPr="007A22DC">
        <w:rPr>
          <w:rStyle w:val="Hipercze"/>
        </w:rPr>
        <w:t xml:space="preserve"> </w:t>
      </w:r>
      <w:r w:rsidRPr="007A22DC">
        <w:t>z 5 grudnia 2018 r., odpowiedź z 14 grudnia 2018 r..</w:t>
      </w:r>
    </w:p>
  </w:footnote>
  <w:footnote w:id="119">
    <w:p w14:paraId="1E58E7A2" w14:textId="77777777" w:rsidR="00803B7D" w:rsidRPr="007A22DC" w:rsidRDefault="00803B7D" w:rsidP="0014574C">
      <w:pPr>
        <w:pStyle w:val="Przypis"/>
      </w:pPr>
      <w:r w:rsidRPr="007A22DC">
        <w:rPr>
          <w:rStyle w:val="Odwoanieprzypisudolnego"/>
        </w:rPr>
        <w:footnoteRef/>
      </w:r>
      <w:r w:rsidRPr="007A22DC">
        <w:t xml:space="preserve"> Patrz – wniosek RPO do Trybunału Konstytucyjnego ws. maksymalnego okresu tymczasowego aresztowania, </w:t>
      </w:r>
      <w:hyperlink r:id="rId83" w:history="1">
        <w:r w:rsidRPr="007A22DC">
          <w:rPr>
            <w:rStyle w:val="Hipercze"/>
          </w:rPr>
          <w:t>II.510.1292.2015</w:t>
        </w:r>
      </w:hyperlink>
      <w:r w:rsidRPr="007A22DC">
        <w:t xml:space="preserve"> z 8 stycznia 2016 r..</w:t>
      </w:r>
    </w:p>
  </w:footnote>
  <w:footnote w:id="120">
    <w:p w14:paraId="53BAE7B9" w14:textId="77777777" w:rsidR="00803B7D" w:rsidRPr="007A22DC" w:rsidRDefault="00803B7D" w:rsidP="0014574C">
      <w:pPr>
        <w:pStyle w:val="Przypis"/>
      </w:pPr>
      <w:r w:rsidRPr="007A22DC">
        <w:rPr>
          <w:rStyle w:val="Odwoanieprzypisudolnego"/>
        </w:rPr>
        <w:footnoteRef/>
      </w:r>
      <w:r w:rsidRPr="007A22DC">
        <w:t xml:space="preserve"> </w:t>
      </w:r>
      <w:r w:rsidRPr="007A22DC">
        <w:rPr>
          <w:rStyle w:val="Hipercze"/>
        </w:rPr>
        <w:t xml:space="preserve">II.566.3.2017 z </w:t>
      </w:r>
      <w:r w:rsidRPr="007A22DC">
        <w:t>26 lipca 2018 r., odpowiedź z 21 sierpnia 2018 r.</w:t>
      </w:r>
    </w:p>
  </w:footnote>
  <w:footnote w:id="121">
    <w:p w14:paraId="4458950D" w14:textId="77777777" w:rsidR="00803B7D" w:rsidRPr="007A22DC" w:rsidRDefault="00803B7D" w:rsidP="0014574C">
      <w:pPr>
        <w:pStyle w:val="Przypis"/>
      </w:pPr>
      <w:r w:rsidRPr="007A22DC">
        <w:rPr>
          <w:rStyle w:val="Odwoanieprzypisudolnego"/>
        </w:rPr>
        <w:footnoteRef/>
      </w:r>
      <w:r w:rsidRPr="007A22DC">
        <w:t xml:space="preserve"> </w:t>
      </w:r>
      <w:hyperlink r:id="rId84" w:history="1">
        <w:r w:rsidRPr="007A22DC">
          <w:rPr>
            <w:rStyle w:val="Hipercze"/>
          </w:rPr>
          <w:t>II.519.669.2016 z 14 czerwca 2018 r.</w:t>
        </w:r>
      </w:hyperlink>
      <w:r w:rsidRPr="007A22DC">
        <w:t xml:space="preserve"> odpowiedź z 17 lipca 2018 r..</w:t>
      </w:r>
    </w:p>
  </w:footnote>
  <w:footnote w:id="122">
    <w:p w14:paraId="155ADC55" w14:textId="77777777" w:rsidR="00803B7D" w:rsidRPr="007A22DC" w:rsidRDefault="00803B7D" w:rsidP="0014574C">
      <w:pPr>
        <w:pStyle w:val="Przypis"/>
      </w:pPr>
      <w:r w:rsidRPr="007A22DC">
        <w:rPr>
          <w:rStyle w:val="Odwoanieprzypisudolnego"/>
        </w:rPr>
        <w:footnoteRef/>
      </w:r>
      <w:r w:rsidRPr="007A22DC">
        <w:t xml:space="preserve"> </w:t>
      </w:r>
      <w:r w:rsidRPr="007A22DC">
        <w:rPr>
          <w:rStyle w:val="PrzypisZnak"/>
        </w:rPr>
        <w:t>II.519.809.2016</w:t>
      </w:r>
    </w:p>
  </w:footnote>
  <w:footnote w:id="123">
    <w:p w14:paraId="59C35CBA" w14:textId="77777777" w:rsidR="00803B7D" w:rsidRPr="007A22DC" w:rsidRDefault="00803B7D" w:rsidP="0014574C">
      <w:pPr>
        <w:pStyle w:val="Przypis"/>
      </w:pPr>
      <w:r w:rsidRPr="007A22DC">
        <w:rPr>
          <w:rStyle w:val="Odwoanieprzypisudolnego"/>
        </w:rPr>
        <w:footnoteRef/>
      </w:r>
      <w:r w:rsidRPr="007A22DC">
        <w:t xml:space="preserve"> </w:t>
      </w:r>
      <w:hyperlink r:id="rId85" w:history="1">
        <w:r w:rsidRPr="007A22DC">
          <w:rPr>
            <w:rStyle w:val="Hipercze"/>
            <w:shd w:val="clear" w:color="auto" w:fill="FFFFFF"/>
          </w:rPr>
          <w:t>II.570.1.2018</w:t>
        </w:r>
      </w:hyperlink>
      <w:r w:rsidRPr="007A22DC">
        <w:t xml:space="preserve"> z 10 sierpnia 2018 r., odpowiedź z 4 października 2018 r..</w:t>
      </w:r>
    </w:p>
  </w:footnote>
  <w:footnote w:id="124">
    <w:p w14:paraId="36C94016" w14:textId="77777777" w:rsidR="00803B7D" w:rsidRPr="007A22DC" w:rsidRDefault="00803B7D" w:rsidP="0014574C">
      <w:pPr>
        <w:pStyle w:val="Przypis"/>
      </w:pPr>
      <w:r w:rsidRPr="007A22DC">
        <w:rPr>
          <w:rStyle w:val="Odwoanieprzypisudolnego"/>
        </w:rPr>
        <w:footnoteRef/>
      </w:r>
      <w:r w:rsidRPr="007A22DC">
        <w:t xml:space="preserve"> II.519.1080.2017</w:t>
      </w:r>
    </w:p>
  </w:footnote>
  <w:footnote w:id="125">
    <w:p w14:paraId="61AC50C6" w14:textId="77777777" w:rsidR="00803B7D" w:rsidRPr="007A22DC" w:rsidRDefault="00803B7D" w:rsidP="0014574C">
      <w:pPr>
        <w:pStyle w:val="Przypis"/>
      </w:pPr>
      <w:r w:rsidRPr="007A22DC">
        <w:rPr>
          <w:rStyle w:val="Odwoanieprzypisudolnego"/>
        </w:rPr>
        <w:footnoteRef/>
      </w:r>
      <w:r w:rsidRPr="007A22DC">
        <w:t xml:space="preserve"> Wyrok TK z 14 grudnia 2017 r., sygn. akt K 17/14.</w:t>
      </w:r>
    </w:p>
  </w:footnote>
  <w:footnote w:id="126">
    <w:p w14:paraId="2AA3B265" w14:textId="77777777" w:rsidR="00803B7D" w:rsidRPr="007A22DC" w:rsidRDefault="00803B7D" w:rsidP="0014574C">
      <w:pPr>
        <w:pStyle w:val="Przypis"/>
      </w:pPr>
      <w:r w:rsidRPr="007A22DC">
        <w:rPr>
          <w:rStyle w:val="Odwoanieprzypisudolnego"/>
        </w:rPr>
        <w:footnoteRef/>
      </w:r>
      <w:r w:rsidRPr="007A22DC">
        <w:t xml:space="preserve"> Ustawa z 14 grudnia 2018 r. (Dz. U. z 2018 r., poz. 2399)</w:t>
      </w:r>
    </w:p>
  </w:footnote>
  <w:footnote w:id="127">
    <w:p w14:paraId="64FF86D5" w14:textId="77777777" w:rsidR="00803B7D" w:rsidRPr="007A22DC" w:rsidRDefault="00803B7D" w:rsidP="0014574C">
      <w:pPr>
        <w:pStyle w:val="Przypis"/>
      </w:pPr>
      <w:r w:rsidRPr="007A22DC">
        <w:rPr>
          <w:rStyle w:val="Odwoanieprzypisudolnego"/>
        </w:rPr>
        <w:footnoteRef/>
      </w:r>
      <w:r w:rsidRPr="007A22DC">
        <w:t xml:space="preserve"> </w:t>
      </w:r>
      <w:bookmarkStart w:id="140" w:name="_Hlk7437390"/>
      <w:r w:rsidRPr="007A22DC">
        <w:fldChar w:fldCharType="begin"/>
      </w:r>
      <w:r w:rsidRPr="007A22DC">
        <w:instrText xml:space="preserve"> HYPERLINK "https://www.rpo.gov.pl/pl/content/problemy-z-odszkodowaniami-za-bezprawne-przeszukania-i-kontrole-osobista" </w:instrText>
      </w:r>
      <w:r w:rsidRPr="007A22DC">
        <w:fldChar w:fldCharType="separate"/>
      </w:r>
      <w:r w:rsidRPr="007A22DC">
        <w:rPr>
          <w:rStyle w:val="Hipercze"/>
        </w:rPr>
        <w:t>II.519.344.2014</w:t>
      </w:r>
      <w:r w:rsidRPr="007A22DC">
        <w:fldChar w:fldCharType="end"/>
      </w:r>
      <w:r w:rsidRPr="007A22DC">
        <w:t xml:space="preserve"> </w:t>
      </w:r>
      <w:bookmarkEnd w:id="140"/>
      <w:r w:rsidRPr="007A22DC">
        <w:t>z 13 grudnia 2018 r..</w:t>
      </w:r>
    </w:p>
  </w:footnote>
  <w:footnote w:id="128">
    <w:p w14:paraId="39E497C9" w14:textId="77777777" w:rsidR="00803B7D" w:rsidRPr="007A22DC" w:rsidRDefault="00803B7D" w:rsidP="0014574C">
      <w:pPr>
        <w:pStyle w:val="Przypis"/>
      </w:pPr>
      <w:r w:rsidRPr="007A22DC">
        <w:rPr>
          <w:rStyle w:val="Odwoanieprzypisudolnego"/>
        </w:rPr>
        <w:footnoteRef/>
      </w:r>
      <w:r w:rsidRPr="007A22DC">
        <w:t xml:space="preserve"> </w:t>
      </w:r>
      <w:bookmarkStart w:id="141" w:name="_Hlk11228144"/>
      <w:r>
        <w:fldChar w:fldCharType="begin"/>
      </w:r>
      <w:r>
        <w:instrText xml:space="preserve"> HYPERLINK "https://www.rpo.gov.pl/pl/content/rpo-podja%C5%82-spraw%C4%99-zatrzymania-b-wiceszeda-knf-wojciecha-kwa%C5%9Bniaka" </w:instrText>
      </w:r>
      <w:r>
        <w:fldChar w:fldCharType="separate"/>
      </w:r>
      <w:r w:rsidRPr="007A22DC">
        <w:rPr>
          <w:rStyle w:val="Hipercze"/>
        </w:rPr>
        <w:t>II.519.1144.2018</w:t>
      </w:r>
      <w:r>
        <w:rPr>
          <w:rStyle w:val="Hipercze"/>
        </w:rPr>
        <w:fldChar w:fldCharType="end"/>
      </w:r>
      <w:bookmarkEnd w:id="141"/>
    </w:p>
  </w:footnote>
  <w:footnote w:id="129">
    <w:p w14:paraId="119FBDE8" w14:textId="77777777" w:rsidR="00803B7D" w:rsidRPr="007A22DC" w:rsidRDefault="00803B7D" w:rsidP="0014574C">
      <w:pPr>
        <w:pStyle w:val="Przypis"/>
      </w:pPr>
      <w:r w:rsidRPr="007A22DC">
        <w:rPr>
          <w:rStyle w:val="Odwoanieprzypisudolnego"/>
        </w:rPr>
        <w:footnoteRef/>
      </w:r>
      <w:r w:rsidRPr="007A22DC">
        <w:t xml:space="preserve"> Ustawa z 22 listopada 2013 r. (Dz.U. z 2014 r. poz. 24, ze zm.).</w:t>
      </w:r>
    </w:p>
  </w:footnote>
  <w:footnote w:id="130">
    <w:p w14:paraId="3845367D" w14:textId="77777777" w:rsidR="00803B7D" w:rsidRPr="007A22DC" w:rsidRDefault="00803B7D" w:rsidP="0014574C">
      <w:pPr>
        <w:pStyle w:val="Przypis"/>
      </w:pPr>
      <w:r w:rsidRPr="007A22DC">
        <w:rPr>
          <w:rStyle w:val="Odwoanieprzypisudolnego"/>
        </w:rPr>
        <w:footnoteRef/>
      </w:r>
      <w:r w:rsidRPr="007A22DC">
        <w:t xml:space="preserve"> </w:t>
      </w:r>
      <w:hyperlink r:id="rId86" w:history="1">
        <w:r w:rsidRPr="007A22DC">
          <w:rPr>
            <w:rStyle w:val="Hipercze"/>
          </w:rPr>
          <w:t>IV.567.1.2016</w:t>
        </w:r>
      </w:hyperlink>
      <w:r w:rsidRPr="007A22DC">
        <w:t xml:space="preserve"> z 7 maja 2018 r., zobacz też: Informacja RPO za 2017 r., str. 143.</w:t>
      </w:r>
    </w:p>
  </w:footnote>
  <w:footnote w:id="131">
    <w:p w14:paraId="52481EA5" w14:textId="77777777" w:rsidR="00803B7D" w:rsidRPr="007A22DC" w:rsidRDefault="00803B7D" w:rsidP="0014574C">
      <w:pPr>
        <w:pStyle w:val="Przypis"/>
      </w:pPr>
      <w:r w:rsidRPr="007A22DC">
        <w:rPr>
          <w:rStyle w:val="Odwoanieprzypisudolnego"/>
        </w:rPr>
        <w:footnoteRef/>
      </w:r>
      <w:r w:rsidRPr="007A22DC">
        <w:t xml:space="preserve"> </w:t>
      </w:r>
      <w:hyperlink r:id="rId87" w:history="1">
        <w:r w:rsidRPr="007A22DC">
          <w:rPr>
            <w:rStyle w:val="Hipercze"/>
          </w:rPr>
          <w:t>IV.567.4.2018</w:t>
        </w:r>
      </w:hyperlink>
      <w:r w:rsidRPr="007A22DC">
        <w:t xml:space="preserve"> z 29 listopada 2018 r., uchwała SN z 30 stycznia 2019 r., sygn. akt III CZP 75/18.</w:t>
      </w:r>
    </w:p>
  </w:footnote>
  <w:footnote w:id="132">
    <w:p w14:paraId="33CC737D" w14:textId="77777777" w:rsidR="00803B7D" w:rsidRPr="007A22DC" w:rsidRDefault="00803B7D" w:rsidP="0014574C">
      <w:pPr>
        <w:pStyle w:val="Przypis"/>
      </w:pPr>
      <w:r w:rsidRPr="007A22DC">
        <w:rPr>
          <w:rStyle w:val="Odwoanieprzypisudolnego"/>
        </w:rPr>
        <w:footnoteRef/>
      </w:r>
      <w:r w:rsidRPr="007A22DC">
        <w:t xml:space="preserve"> </w:t>
      </w:r>
      <w:hyperlink r:id="rId88" w:history="1">
        <w:r w:rsidRPr="007A22DC">
          <w:rPr>
            <w:rStyle w:val="Hipercze"/>
          </w:rPr>
          <w:t>IV.510.65.2018 z 28 sierpnia 2018 r.,</w:t>
        </w:r>
      </w:hyperlink>
      <w:r w:rsidRPr="007A22DC">
        <w:t xml:space="preserve"> Uchwała z 19 października 2018 r., sygn. akt III CZP 46/18</w:t>
      </w:r>
    </w:p>
  </w:footnote>
  <w:footnote w:id="133">
    <w:p w14:paraId="45774A31" w14:textId="77777777" w:rsidR="00803B7D" w:rsidRPr="007A22DC" w:rsidRDefault="00803B7D" w:rsidP="0014574C">
      <w:pPr>
        <w:pStyle w:val="Przypis"/>
      </w:pPr>
      <w:r w:rsidRPr="007A22DC">
        <w:rPr>
          <w:rStyle w:val="Odwoanieprzypisudolnego"/>
        </w:rPr>
        <w:footnoteRef/>
      </w:r>
      <w:r w:rsidRPr="007A22DC">
        <w:t xml:space="preserve"> Ustawa z 24 maja 2013 r. (Dz.U. z 2017 r. poz. 1120, ze zm.).</w:t>
      </w:r>
    </w:p>
  </w:footnote>
  <w:footnote w:id="134">
    <w:p w14:paraId="0C661418" w14:textId="77777777" w:rsidR="00803B7D" w:rsidRPr="007A22DC" w:rsidRDefault="00803B7D" w:rsidP="0014574C">
      <w:pPr>
        <w:pStyle w:val="Przypis"/>
      </w:pPr>
      <w:r w:rsidRPr="007A22DC">
        <w:rPr>
          <w:rStyle w:val="Odwoanieprzypisudolnego"/>
        </w:rPr>
        <w:footnoteRef/>
      </w:r>
      <w:r w:rsidRPr="007A22DC">
        <w:t xml:space="preserve"> </w:t>
      </w:r>
      <w:hyperlink r:id="rId89" w:history="1">
        <w:r w:rsidRPr="007A22DC">
          <w:rPr>
            <w:rStyle w:val="Hipercze"/>
          </w:rPr>
          <w:t>IX.517.1564.2017</w:t>
        </w:r>
      </w:hyperlink>
      <w:r w:rsidRPr="007A22DC">
        <w:rPr>
          <w:rStyle w:val="Hipercze"/>
        </w:rPr>
        <w:t xml:space="preserve"> </w:t>
      </w:r>
      <w:r w:rsidRPr="007A22DC">
        <w:t xml:space="preserve">z 10 sierpnia 2018 r., odpowiedź z 21 września 2018 r. </w:t>
      </w:r>
    </w:p>
  </w:footnote>
  <w:footnote w:id="135">
    <w:p w14:paraId="431D8B79" w14:textId="77777777" w:rsidR="00803B7D" w:rsidRPr="007A22DC" w:rsidRDefault="00803B7D" w:rsidP="0014574C">
      <w:pPr>
        <w:pStyle w:val="Przypis"/>
      </w:pPr>
      <w:r w:rsidRPr="007A22DC">
        <w:rPr>
          <w:rStyle w:val="Odwoanieprzypisudolnego"/>
        </w:rPr>
        <w:footnoteRef/>
      </w:r>
      <w:r w:rsidRPr="007A22DC">
        <w:t xml:space="preserve"> Ustawa z 14 sierpnia 1994 r. (Dz.U. z 2018 r. poz. 1878).</w:t>
      </w:r>
    </w:p>
  </w:footnote>
  <w:footnote w:id="136">
    <w:p w14:paraId="5F7C87FB" w14:textId="77777777" w:rsidR="00803B7D" w:rsidRPr="007A22DC" w:rsidRDefault="00803B7D" w:rsidP="0014574C">
      <w:pPr>
        <w:pStyle w:val="Przypis"/>
      </w:pPr>
      <w:r w:rsidRPr="007A22DC">
        <w:rPr>
          <w:rStyle w:val="Odwoanieprzypisudolnego"/>
        </w:rPr>
        <w:footnoteRef/>
      </w:r>
      <w:r w:rsidRPr="007A22DC">
        <w:t xml:space="preserve"> </w:t>
      </w:r>
      <w:hyperlink r:id="rId90" w:history="1">
        <w:r w:rsidRPr="007A22DC">
          <w:rPr>
            <w:rStyle w:val="Hipercze"/>
          </w:rPr>
          <w:t>KMP.573.18.2018</w:t>
        </w:r>
      </w:hyperlink>
      <w:r w:rsidRPr="007A22DC">
        <w:t xml:space="preserve"> z 9 grudnia 2018 r., odpowiedź z 16 stycznia 2019 r..</w:t>
      </w:r>
    </w:p>
  </w:footnote>
  <w:footnote w:id="137">
    <w:p w14:paraId="47799F05" w14:textId="77777777" w:rsidR="00803B7D" w:rsidRPr="007A22DC" w:rsidRDefault="00803B7D" w:rsidP="0014574C">
      <w:pPr>
        <w:pStyle w:val="Przypis"/>
      </w:pPr>
      <w:r w:rsidRPr="007A22DC">
        <w:rPr>
          <w:rStyle w:val="Odwoanieprzypisudolnego"/>
        </w:rPr>
        <w:footnoteRef/>
      </w:r>
      <w:r w:rsidRPr="007A22DC">
        <w:t xml:space="preserve"> </w:t>
      </w:r>
      <w:hyperlink r:id="rId91" w:history="1">
        <w:r w:rsidRPr="007A22DC">
          <w:rPr>
            <w:rStyle w:val="Hipercze"/>
          </w:rPr>
          <w:t>II.519.1231.2017</w:t>
        </w:r>
      </w:hyperlink>
      <w:r w:rsidRPr="007A22DC">
        <w:t xml:space="preserve"> z 25 kwietnia 2018 r., odpowiedź z 25 maja 2018 r..</w:t>
      </w:r>
    </w:p>
  </w:footnote>
  <w:footnote w:id="138">
    <w:p w14:paraId="1FD65FCE" w14:textId="77777777" w:rsidR="00803B7D" w:rsidRPr="007A22DC" w:rsidRDefault="00803B7D" w:rsidP="0014574C">
      <w:pPr>
        <w:pStyle w:val="Przypis"/>
      </w:pPr>
      <w:r w:rsidRPr="007A22DC">
        <w:rPr>
          <w:rStyle w:val="Odwoanieprzypisudolnego"/>
        </w:rPr>
        <w:footnoteRef/>
      </w:r>
      <w:r w:rsidRPr="007A22DC">
        <w:t xml:space="preserve"> </w:t>
      </w:r>
      <w:hyperlink r:id="rId92" w:history="1">
        <w:r w:rsidRPr="007A22DC">
          <w:rPr>
            <w:rStyle w:val="Hipercze"/>
            <w:shd w:val="clear" w:color="auto" w:fill="FFFFFF"/>
          </w:rPr>
          <w:t>KMP.570.3.2017</w:t>
        </w:r>
      </w:hyperlink>
      <w:r w:rsidRPr="007A22DC">
        <w:rPr>
          <w:rStyle w:val="Hipercze"/>
          <w:shd w:val="clear" w:color="auto" w:fill="FFFFFF"/>
        </w:rPr>
        <w:t xml:space="preserve">, z </w:t>
      </w:r>
      <w:r w:rsidRPr="007A22DC">
        <w:t>27 września z 2018 r..</w:t>
      </w:r>
    </w:p>
  </w:footnote>
  <w:footnote w:id="139">
    <w:p w14:paraId="7E262545" w14:textId="77777777" w:rsidR="00803B7D" w:rsidRPr="007A22DC" w:rsidRDefault="00803B7D" w:rsidP="00986E81">
      <w:pPr>
        <w:pStyle w:val="Przypis"/>
      </w:pPr>
      <w:r w:rsidRPr="007A22DC">
        <w:rPr>
          <w:rStyle w:val="Odwoanieprzypisudolnego"/>
        </w:rPr>
        <w:footnoteRef/>
      </w:r>
      <w:r w:rsidRPr="007A22DC">
        <w:t xml:space="preserve"> II.519.1144.2018</w:t>
      </w:r>
    </w:p>
  </w:footnote>
  <w:footnote w:id="140">
    <w:p w14:paraId="1870B431" w14:textId="77777777" w:rsidR="00803B7D" w:rsidRPr="007A22DC" w:rsidRDefault="00803B7D" w:rsidP="00986E81">
      <w:pPr>
        <w:pStyle w:val="Przypis"/>
      </w:pPr>
      <w:r w:rsidRPr="007A22DC">
        <w:rPr>
          <w:rStyle w:val="Odwoanieprzypisudolnego"/>
        </w:rPr>
        <w:footnoteRef/>
      </w:r>
      <w:r w:rsidRPr="007A22DC">
        <w:t xml:space="preserve"> II.519.152.2018</w:t>
      </w:r>
    </w:p>
  </w:footnote>
  <w:footnote w:id="141">
    <w:p w14:paraId="36BD7379" w14:textId="77777777" w:rsidR="00803B7D" w:rsidRPr="007A22DC" w:rsidRDefault="00803B7D" w:rsidP="00986E81">
      <w:pPr>
        <w:pStyle w:val="Przypis"/>
      </w:pPr>
      <w:r w:rsidRPr="007A22DC">
        <w:rPr>
          <w:rStyle w:val="Odwoanieprzypisudolnego"/>
        </w:rPr>
        <w:footnoteRef/>
      </w:r>
      <w:r w:rsidRPr="007A22DC">
        <w:t xml:space="preserve"> II.519.1114.2018 </w:t>
      </w:r>
    </w:p>
  </w:footnote>
  <w:footnote w:id="142">
    <w:p w14:paraId="1D03C13A" w14:textId="77777777" w:rsidR="00803B7D" w:rsidRPr="007A22DC" w:rsidRDefault="00803B7D" w:rsidP="00986E81">
      <w:pPr>
        <w:pStyle w:val="Przypis"/>
      </w:pPr>
      <w:r w:rsidRPr="007A22DC">
        <w:rPr>
          <w:rStyle w:val="Odwoanieprzypisudolnego"/>
        </w:rPr>
        <w:footnoteRef/>
      </w:r>
      <w:r w:rsidRPr="007A22DC">
        <w:t xml:space="preserve"> II.519.682.2018</w:t>
      </w:r>
    </w:p>
  </w:footnote>
  <w:footnote w:id="143">
    <w:p w14:paraId="34188080" w14:textId="77777777" w:rsidR="00803B7D" w:rsidRPr="007A22DC" w:rsidRDefault="00803B7D" w:rsidP="00986E81">
      <w:pPr>
        <w:pStyle w:val="Przypis"/>
      </w:pPr>
      <w:r w:rsidRPr="007A22DC">
        <w:rPr>
          <w:rStyle w:val="Odwoanieprzypisudolnego"/>
        </w:rPr>
        <w:footnoteRef/>
      </w:r>
      <w:r w:rsidRPr="007A22DC">
        <w:t xml:space="preserve"> II.519.199.2018</w:t>
      </w:r>
    </w:p>
  </w:footnote>
  <w:footnote w:id="144">
    <w:p w14:paraId="2B066B58" w14:textId="77777777" w:rsidR="00803B7D" w:rsidRPr="007A22DC" w:rsidRDefault="00803B7D" w:rsidP="0014574C">
      <w:pPr>
        <w:pStyle w:val="Przypis"/>
      </w:pPr>
      <w:r w:rsidRPr="007A22DC">
        <w:rPr>
          <w:rStyle w:val="Odwoanieprzypisudolnego"/>
        </w:rPr>
        <w:footnoteRef/>
      </w:r>
      <w:r w:rsidRPr="007A22DC">
        <w:t xml:space="preserve"> </w:t>
      </w:r>
      <w:hyperlink r:id="rId93" w:history="1">
        <w:r w:rsidRPr="007A22DC">
          <w:rPr>
            <w:rStyle w:val="Hipercze"/>
          </w:rPr>
          <w:t>IX.517.599.2017</w:t>
        </w:r>
      </w:hyperlink>
      <w:r w:rsidRPr="007A22DC">
        <w:rPr>
          <w:rStyle w:val="Hipercze"/>
        </w:rPr>
        <w:t xml:space="preserve">, </w:t>
      </w:r>
      <w:r w:rsidRPr="007A22DC">
        <w:t>pismo z 19 grudnia 2018 r.</w:t>
      </w:r>
    </w:p>
  </w:footnote>
  <w:footnote w:id="145">
    <w:p w14:paraId="3050D554" w14:textId="77777777" w:rsidR="00803B7D" w:rsidRPr="007A22DC" w:rsidRDefault="00803B7D" w:rsidP="0014574C">
      <w:pPr>
        <w:pStyle w:val="Przypis"/>
      </w:pPr>
      <w:r w:rsidRPr="007A22DC">
        <w:rPr>
          <w:rStyle w:val="Odwoanieprzypisudolnego"/>
        </w:rPr>
        <w:footnoteRef/>
      </w:r>
      <w:r w:rsidRPr="007A22DC">
        <w:t xml:space="preserve"> </w:t>
      </w:r>
      <w:hyperlink r:id="rId94" w:history="1">
        <w:r w:rsidRPr="007A22DC">
          <w:rPr>
            <w:rStyle w:val="Hipercze"/>
          </w:rPr>
          <w:t>IX.517.283.2015</w:t>
        </w:r>
      </w:hyperlink>
      <w:r w:rsidRPr="007A22DC">
        <w:t xml:space="preserve"> z 4 lipca 2018 r..</w:t>
      </w:r>
    </w:p>
  </w:footnote>
  <w:footnote w:id="146">
    <w:p w14:paraId="2814C07F" w14:textId="77777777" w:rsidR="00803B7D" w:rsidRPr="007A22DC" w:rsidRDefault="00803B7D" w:rsidP="0014574C">
      <w:pPr>
        <w:pStyle w:val="Przypis"/>
      </w:pPr>
      <w:r w:rsidRPr="007A22DC">
        <w:rPr>
          <w:rStyle w:val="Odwoanieprzypisudolnego"/>
        </w:rPr>
        <w:footnoteRef/>
      </w:r>
      <w:r w:rsidRPr="007A22DC">
        <w:t xml:space="preserve"> </w:t>
      </w:r>
      <w:hyperlink r:id="rId95" w:history="1">
        <w:r w:rsidRPr="007A22DC">
          <w:rPr>
            <w:rStyle w:val="Hipercze"/>
          </w:rPr>
          <w:t>IX.517.2568.2018</w:t>
        </w:r>
      </w:hyperlink>
      <w:r w:rsidRPr="007A22DC">
        <w:t xml:space="preserve"> z 3 grudnia 2018 r..</w:t>
      </w:r>
    </w:p>
  </w:footnote>
  <w:footnote w:id="147">
    <w:p w14:paraId="3F299ED4" w14:textId="77777777" w:rsidR="00803B7D" w:rsidRPr="007A22DC" w:rsidRDefault="00803B7D" w:rsidP="0014574C">
      <w:pPr>
        <w:pStyle w:val="Przypis"/>
      </w:pPr>
      <w:r w:rsidRPr="007A22DC">
        <w:rPr>
          <w:rStyle w:val="Odwoanieprzypisudolnego"/>
        </w:rPr>
        <w:footnoteRef/>
      </w:r>
      <w:r w:rsidRPr="007A22DC">
        <w:t xml:space="preserve"> </w:t>
      </w:r>
      <w:hyperlink r:id="rId96" w:history="1">
        <w:r w:rsidRPr="007A22DC">
          <w:rPr>
            <w:rStyle w:val="Hipercze"/>
          </w:rPr>
          <w:t>IX.517.1702.2017</w:t>
        </w:r>
      </w:hyperlink>
      <w:r w:rsidRPr="007A22DC">
        <w:t xml:space="preserve"> z 31 lipca 2018 r.</w:t>
      </w:r>
    </w:p>
  </w:footnote>
  <w:footnote w:id="148">
    <w:p w14:paraId="3ABF0AED" w14:textId="77777777" w:rsidR="00803B7D" w:rsidRPr="007A22DC" w:rsidRDefault="00803B7D" w:rsidP="0014574C">
      <w:pPr>
        <w:pStyle w:val="Przypis"/>
      </w:pPr>
      <w:r w:rsidRPr="007A22DC">
        <w:rPr>
          <w:rStyle w:val="Odwoanieprzypisudolnego"/>
        </w:rPr>
        <w:footnoteRef/>
      </w:r>
      <w:r w:rsidRPr="007A22DC">
        <w:t xml:space="preserve"> </w:t>
      </w:r>
      <w:hyperlink r:id="rId97" w:history="1">
        <w:r w:rsidRPr="007A22DC">
          <w:rPr>
            <w:rStyle w:val="Hipercze"/>
          </w:rPr>
          <w:t>IX.517.1702.2017</w:t>
        </w:r>
      </w:hyperlink>
      <w:r w:rsidRPr="007A22DC">
        <w:t xml:space="preserve"> z 31 lipca 2018 r., odpowiedź z 14 stycznia 2019 r..</w:t>
      </w:r>
    </w:p>
  </w:footnote>
  <w:footnote w:id="149">
    <w:p w14:paraId="4E12ECC1" w14:textId="77777777" w:rsidR="00803B7D" w:rsidRPr="007A22DC" w:rsidRDefault="00803B7D" w:rsidP="0014574C">
      <w:pPr>
        <w:pStyle w:val="Przypis"/>
      </w:pPr>
      <w:r w:rsidRPr="007A22DC">
        <w:rPr>
          <w:rStyle w:val="Odwoanieprzypisudolnego"/>
        </w:rPr>
        <w:footnoteRef/>
      </w:r>
      <w:r w:rsidRPr="007A22DC">
        <w:t xml:space="preserve"> </w:t>
      </w:r>
      <w:hyperlink r:id="rId98" w:history="1">
        <w:r w:rsidRPr="007A22DC">
          <w:rPr>
            <w:rStyle w:val="Hipercze"/>
          </w:rPr>
          <w:t>IX.517.1702.2017</w:t>
        </w:r>
      </w:hyperlink>
      <w:r w:rsidRPr="007A22DC">
        <w:t xml:space="preserve"> z 27 lutego 2018 r., odpowiedź z 18 maja 2018 r..</w:t>
      </w:r>
    </w:p>
  </w:footnote>
  <w:footnote w:id="150">
    <w:p w14:paraId="47118CF7" w14:textId="77777777" w:rsidR="00803B7D" w:rsidRPr="007A22DC" w:rsidRDefault="00803B7D" w:rsidP="00F16A7D">
      <w:pPr>
        <w:pStyle w:val="Przypis"/>
      </w:pPr>
      <w:r w:rsidRPr="007A22DC">
        <w:rPr>
          <w:rStyle w:val="Odwoanieprzypisudolnego"/>
          <w:rFonts w:eastAsiaTheme="majorEastAsia"/>
        </w:rPr>
        <w:footnoteRef/>
      </w:r>
      <w:r w:rsidRPr="007A22DC">
        <w:t xml:space="preserve"> </w:t>
      </w:r>
      <w:hyperlink r:id="rId99" w:history="1">
        <w:r w:rsidRPr="007A22DC">
          <w:rPr>
            <w:rStyle w:val="Hipercze"/>
          </w:rPr>
          <w:t>IX.517.384.2018</w:t>
        </w:r>
      </w:hyperlink>
      <w:r w:rsidRPr="007A22DC">
        <w:t xml:space="preserve"> 14 grudnia 2018 r., </w:t>
      </w:r>
      <w:hyperlink r:id="rId100" w:history="1">
        <w:r w:rsidRPr="007A22DC">
          <w:rPr>
            <w:rStyle w:val="Hipercze"/>
          </w:rPr>
          <w:t>odpowiedź</w:t>
        </w:r>
      </w:hyperlink>
      <w:r w:rsidRPr="007A22DC">
        <w:t xml:space="preserve"> z 7 lutego 2019 r..</w:t>
      </w:r>
    </w:p>
  </w:footnote>
  <w:footnote w:id="151">
    <w:p w14:paraId="0759CC4E" w14:textId="2C78BEEF" w:rsidR="00803B7D" w:rsidRPr="007A22DC" w:rsidRDefault="00803B7D" w:rsidP="00F16A7D">
      <w:pPr>
        <w:pStyle w:val="Przypis"/>
      </w:pPr>
      <w:r w:rsidRPr="007A22DC">
        <w:rPr>
          <w:rStyle w:val="Odwoanieprzypisudolnego"/>
        </w:rPr>
        <w:footnoteRef/>
      </w:r>
      <w:r w:rsidRPr="007A22DC">
        <w:t xml:space="preserve"> </w:t>
      </w:r>
      <w:hyperlink r:id="rId101" w:history="1">
        <w:r w:rsidRPr="007A22DC">
          <w:rPr>
            <w:rStyle w:val="Hipercze"/>
          </w:rPr>
          <w:t>IX.517.517.3524.2016</w:t>
        </w:r>
      </w:hyperlink>
      <w:r w:rsidRPr="007A22DC">
        <w:t xml:space="preserve"> z 2 grudnia 2016 r., raport RPP z 25 kwietnia 2018 r. i stanowisko RPP z 18 czerwca 2018 r.</w:t>
      </w:r>
    </w:p>
  </w:footnote>
  <w:footnote w:id="152">
    <w:p w14:paraId="1AFF8762" w14:textId="77777777" w:rsidR="00803B7D" w:rsidRPr="007A22DC" w:rsidRDefault="00803B7D" w:rsidP="0014574C">
      <w:pPr>
        <w:pStyle w:val="Przypis"/>
      </w:pPr>
      <w:r w:rsidRPr="007A22DC">
        <w:rPr>
          <w:rStyle w:val="Odwoanieprzypisudolnego"/>
        </w:rPr>
        <w:footnoteRef/>
      </w:r>
      <w:r w:rsidRPr="007A22DC">
        <w:t xml:space="preserve"> </w:t>
      </w:r>
      <w:hyperlink r:id="rId102" w:history="1">
        <w:r w:rsidRPr="007A22DC">
          <w:rPr>
            <w:rStyle w:val="Hipercze"/>
            <w:szCs w:val="18"/>
          </w:rPr>
          <w:t>IX.517.570.2016</w:t>
        </w:r>
      </w:hyperlink>
      <w:r w:rsidRPr="007A22DC">
        <w:t xml:space="preserve"> z 13 lipca 2018 r. i z 17 stycznia 2019 r.</w:t>
      </w:r>
    </w:p>
  </w:footnote>
  <w:footnote w:id="153">
    <w:p w14:paraId="57F9732C" w14:textId="77777777" w:rsidR="00803B7D" w:rsidRPr="007A22DC" w:rsidRDefault="00803B7D" w:rsidP="0014574C">
      <w:pPr>
        <w:pStyle w:val="Przypis"/>
      </w:pPr>
      <w:r w:rsidRPr="007A22DC">
        <w:rPr>
          <w:rStyle w:val="Odwoanieprzypisudolnego"/>
        </w:rPr>
        <w:footnoteRef/>
      </w:r>
      <w:r w:rsidRPr="007A22DC">
        <w:t xml:space="preserve"> </w:t>
      </w:r>
      <w:hyperlink r:id="rId103" w:history="1">
        <w:r w:rsidRPr="007A22DC">
          <w:rPr>
            <w:rStyle w:val="Hipercze"/>
          </w:rPr>
          <w:t>IX.517.2.2015</w:t>
        </w:r>
      </w:hyperlink>
      <w:r w:rsidRPr="007A22DC">
        <w:t xml:space="preserve"> w 2018 r.: pismo z 6 lutego i odpowiedź z 5 marca 2018 r.</w:t>
      </w:r>
    </w:p>
  </w:footnote>
  <w:footnote w:id="154">
    <w:p w14:paraId="17C43E25" w14:textId="77777777" w:rsidR="00803B7D" w:rsidRPr="007A22DC" w:rsidRDefault="00803B7D" w:rsidP="0014574C">
      <w:pPr>
        <w:pStyle w:val="Przypis"/>
      </w:pPr>
      <w:r w:rsidRPr="007A22DC">
        <w:rPr>
          <w:rStyle w:val="Odwoanieprzypisudolnego"/>
        </w:rPr>
        <w:footnoteRef/>
      </w:r>
      <w:r w:rsidRPr="007A22DC">
        <w:t xml:space="preserve"> </w:t>
      </w:r>
      <w:hyperlink r:id="rId104" w:history="1">
        <w:r w:rsidRPr="007A22DC">
          <w:rPr>
            <w:rStyle w:val="Hipercze"/>
          </w:rPr>
          <w:t>IX.517.2.2015</w:t>
        </w:r>
      </w:hyperlink>
      <w:r w:rsidRPr="007A22DC">
        <w:t xml:space="preserve"> z 15 grudnia 2017 r., odpowiedź z 27 kwietnia 2018 r.</w:t>
      </w:r>
    </w:p>
  </w:footnote>
  <w:footnote w:id="155">
    <w:p w14:paraId="5E90DF24" w14:textId="77777777" w:rsidR="00803B7D" w:rsidRPr="007A22DC" w:rsidRDefault="00803B7D" w:rsidP="0014574C">
      <w:pPr>
        <w:pStyle w:val="Przypis"/>
      </w:pPr>
      <w:r w:rsidRPr="007A22DC">
        <w:rPr>
          <w:rStyle w:val="Odwoanieprzypisudolnego"/>
        </w:rPr>
        <w:footnoteRef/>
      </w:r>
      <w:r w:rsidRPr="007A22DC">
        <w:t xml:space="preserve"> </w:t>
      </w:r>
      <w:hyperlink r:id="rId105" w:history="1">
        <w:r w:rsidRPr="007A22DC">
          <w:rPr>
            <w:rStyle w:val="Hipercze"/>
          </w:rPr>
          <w:t>IX.517.2272.2017</w:t>
        </w:r>
      </w:hyperlink>
      <w:r w:rsidRPr="007A22DC">
        <w:t xml:space="preserve"> z 21 lutego 2018 r., odpowiedź z 21 marca 2018 r.</w:t>
      </w:r>
    </w:p>
  </w:footnote>
  <w:footnote w:id="156">
    <w:p w14:paraId="76CD4FC7" w14:textId="77777777" w:rsidR="00803B7D" w:rsidRPr="007A22DC" w:rsidRDefault="00803B7D" w:rsidP="00F16A7D">
      <w:pPr>
        <w:pStyle w:val="Przypis"/>
      </w:pPr>
      <w:r w:rsidRPr="007A22DC">
        <w:rPr>
          <w:rStyle w:val="Odwoanieprzypisudolnego"/>
        </w:rPr>
        <w:footnoteRef/>
      </w:r>
      <w:r w:rsidRPr="007A22DC">
        <w:t xml:space="preserve"> </w:t>
      </w:r>
      <w:hyperlink r:id="rId106" w:history="1">
        <w:r w:rsidRPr="007A22DC">
          <w:rPr>
            <w:rStyle w:val="Hipercze"/>
          </w:rPr>
          <w:t>IX.517.1150.2018</w:t>
        </w:r>
      </w:hyperlink>
      <w:r w:rsidRPr="007A22DC">
        <w:t xml:space="preserve"> z 3 lipca 2018 r., odpowiedź z 31 lipca 2018 r.</w:t>
      </w:r>
    </w:p>
  </w:footnote>
  <w:footnote w:id="157">
    <w:p w14:paraId="3D7A6E1E" w14:textId="77777777" w:rsidR="00803B7D" w:rsidRPr="007A22DC" w:rsidRDefault="00803B7D" w:rsidP="00F16A7D">
      <w:pPr>
        <w:pStyle w:val="Przypis"/>
      </w:pPr>
      <w:r w:rsidRPr="007A22DC">
        <w:rPr>
          <w:rStyle w:val="Odwoanieprzypisudolnego"/>
        </w:rPr>
        <w:footnoteRef/>
      </w:r>
      <w:r w:rsidRPr="007A22DC">
        <w:t xml:space="preserve"> </w:t>
      </w:r>
      <w:hyperlink r:id="rId107" w:history="1">
        <w:r w:rsidRPr="007A22DC">
          <w:rPr>
            <w:rStyle w:val="Hipercze"/>
          </w:rPr>
          <w:t>IX.517.61.2016</w:t>
        </w:r>
      </w:hyperlink>
      <w:r w:rsidRPr="007A22DC">
        <w:t xml:space="preserve"> z 19 listopada 2018 r., odpowiedź z 5 grudnia 2018 r.</w:t>
      </w:r>
    </w:p>
  </w:footnote>
  <w:footnote w:id="158">
    <w:p w14:paraId="1CDF533C" w14:textId="77777777" w:rsidR="00803B7D" w:rsidRPr="007A22DC" w:rsidRDefault="00803B7D" w:rsidP="0014574C">
      <w:pPr>
        <w:pStyle w:val="Przypis"/>
      </w:pPr>
      <w:r w:rsidRPr="007A22DC">
        <w:rPr>
          <w:rStyle w:val="Odwoanieprzypisudolnego"/>
        </w:rPr>
        <w:footnoteRef/>
      </w:r>
      <w:r w:rsidRPr="007A22DC">
        <w:t xml:space="preserve"> </w:t>
      </w:r>
      <w:hyperlink r:id="rId108" w:history="1">
        <w:r w:rsidRPr="007A22DC">
          <w:rPr>
            <w:rStyle w:val="Hipercze"/>
          </w:rPr>
          <w:t>IX.517.1709.2016</w:t>
        </w:r>
      </w:hyperlink>
      <w:r w:rsidRPr="007A22DC">
        <w:t>, pismo z 2018 r. z 26 lipca</w:t>
      </w:r>
    </w:p>
  </w:footnote>
  <w:footnote w:id="159">
    <w:p w14:paraId="3E88F293" w14:textId="77777777" w:rsidR="00803B7D" w:rsidRPr="007A22DC" w:rsidRDefault="00803B7D" w:rsidP="00264232">
      <w:pPr>
        <w:pStyle w:val="Przypis"/>
      </w:pPr>
      <w:r w:rsidRPr="007A22DC">
        <w:rPr>
          <w:rStyle w:val="Odwoanieprzypisudolnego"/>
        </w:rPr>
        <w:footnoteRef/>
      </w:r>
      <w:r w:rsidRPr="007A22DC">
        <w:t xml:space="preserve"> </w:t>
      </w:r>
      <w:hyperlink r:id="rId109" w:history="1">
        <w:r w:rsidRPr="007A22DC">
          <w:rPr>
            <w:rStyle w:val="Hipercze"/>
          </w:rPr>
          <w:t>IX.517.225.2016</w:t>
        </w:r>
      </w:hyperlink>
      <w:r w:rsidRPr="007A22DC">
        <w:t xml:space="preserve"> z 24 września 2018 r., odpowiedź z </w:t>
      </w:r>
      <w:hyperlink r:id="rId110" w:history="1">
        <w:r w:rsidRPr="007A22DC">
          <w:rPr>
            <w:rStyle w:val="Hipercze"/>
          </w:rPr>
          <w:t>18 lutego 2019 r</w:t>
        </w:r>
      </w:hyperlink>
      <w:r w:rsidRPr="007A22DC">
        <w:t>.</w:t>
      </w:r>
    </w:p>
  </w:footnote>
  <w:footnote w:id="160">
    <w:p w14:paraId="26CEB9B6" w14:textId="77777777" w:rsidR="00803B7D" w:rsidRPr="007A22DC" w:rsidRDefault="00803B7D" w:rsidP="0014574C">
      <w:pPr>
        <w:pStyle w:val="Przypis"/>
      </w:pPr>
      <w:r w:rsidRPr="007A22DC">
        <w:rPr>
          <w:rStyle w:val="Odwoanieprzypisudolnego"/>
        </w:rPr>
        <w:footnoteRef/>
      </w:r>
      <w:r w:rsidRPr="007A22DC">
        <w:t xml:space="preserve"> Rozporządzenie </w:t>
      </w:r>
      <w:r w:rsidRPr="007A22DC">
        <w:rPr>
          <w:rStyle w:val="PrzypisZnak"/>
        </w:rPr>
        <w:t>z 28 grudnia 2016 r. , Dz.U poz. 2305</w:t>
      </w:r>
    </w:p>
  </w:footnote>
  <w:footnote w:id="161">
    <w:p w14:paraId="63B73975" w14:textId="77777777" w:rsidR="00803B7D" w:rsidRPr="007A22DC" w:rsidRDefault="00803B7D" w:rsidP="0014574C">
      <w:pPr>
        <w:pStyle w:val="Przypis"/>
      </w:pPr>
      <w:r w:rsidRPr="007A22DC">
        <w:rPr>
          <w:rStyle w:val="Odwoanieprzypisudolnego"/>
        </w:rPr>
        <w:footnoteRef/>
      </w:r>
      <w:r w:rsidRPr="007A22DC">
        <w:t xml:space="preserve"> </w:t>
      </w:r>
      <w:hyperlink r:id="rId111" w:history="1">
        <w:r w:rsidRPr="007A22DC">
          <w:rPr>
            <w:rStyle w:val="Hipercze"/>
          </w:rPr>
          <w:t>IX.517.1143.2018</w:t>
        </w:r>
      </w:hyperlink>
      <w:r w:rsidRPr="007A22DC">
        <w:t xml:space="preserve"> z 29 listopada 2018 r., </w:t>
      </w:r>
      <w:hyperlink r:id="rId112" w:history="1">
        <w:r w:rsidRPr="007A22DC">
          <w:rPr>
            <w:rStyle w:val="Hipercze"/>
          </w:rPr>
          <w:t>odpowiedź z 14 lutego 2019 r</w:t>
        </w:r>
      </w:hyperlink>
      <w:r w:rsidRPr="007A22DC">
        <w:t>.</w:t>
      </w:r>
    </w:p>
  </w:footnote>
  <w:footnote w:id="162">
    <w:p w14:paraId="07241C24" w14:textId="77777777" w:rsidR="00803B7D" w:rsidRPr="007A22DC" w:rsidRDefault="00803B7D" w:rsidP="0014574C">
      <w:pPr>
        <w:pStyle w:val="Przypis"/>
      </w:pPr>
      <w:r w:rsidRPr="007A22DC">
        <w:rPr>
          <w:rStyle w:val="Odwoanieprzypisudolnego"/>
        </w:rPr>
        <w:footnoteRef/>
      </w:r>
      <w:r w:rsidRPr="007A22DC">
        <w:t xml:space="preserve"> </w:t>
      </w:r>
      <w:hyperlink r:id="rId113" w:history="1">
        <w:r w:rsidRPr="007A22DC">
          <w:rPr>
            <w:rStyle w:val="Hipercze"/>
          </w:rPr>
          <w:t>IV.513.1.2018</w:t>
        </w:r>
      </w:hyperlink>
      <w:r w:rsidRPr="007A22DC">
        <w:t xml:space="preserve"> z 4 stycznia 2018 r., uchwała z 11 stycznia 2018 r. sygn. akt III.CZP 92/17.</w:t>
      </w:r>
    </w:p>
  </w:footnote>
  <w:footnote w:id="163">
    <w:p w14:paraId="0F58545E" w14:textId="77777777" w:rsidR="00803B7D" w:rsidRPr="007A22DC" w:rsidRDefault="00803B7D" w:rsidP="0014574C">
      <w:pPr>
        <w:pStyle w:val="Przypis"/>
      </w:pPr>
      <w:r w:rsidRPr="007A22DC">
        <w:rPr>
          <w:rStyle w:val="Odwoanieprzypisudolnego"/>
        </w:rPr>
        <w:footnoteRef/>
      </w:r>
      <w:r w:rsidRPr="007A22DC">
        <w:t xml:space="preserve"> </w:t>
      </w:r>
      <w:hyperlink r:id="rId114" w:history="1">
        <w:r w:rsidRPr="007A22DC">
          <w:rPr>
            <w:rStyle w:val="Hipercze"/>
          </w:rPr>
          <w:t>II.510.455.2017</w:t>
        </w:r>
      </w:hyperlink>
      <w:r w:rsidRPr="007A22DC">
        <w:t xml:space="preserve"> z 5 kwietnia 2018 r., patrz też s. 147 Informacji RPO za rok 2017</w:t>
      </w:r>
    </w:p>
  </w:footnote>
  <w:footnote w:id="164">
    <w:p w14:paraId="4AA951F8" w14:textId="77777777" w:rsidR="00803B7D" w:rsidRPr="007A22DC" w:rsidRDefault="00803B7D" w:rsidP="0014574C">
      <w:pPr>
        <w:pStyle w:val="Przypis"/>
      </w:pPr>
      <w:r w:rsidRPr="007A22DC">
        <w:rPr>
          <w:rStyle w:val="Odwoanieprzypisudolnego"/>
        </w:rPr>
        <w:footnoteRef/>
      </w:r>
      <w:r w:rsidRPr="007A22DC">
        <w:t xml:space="preserve"> </w:t>
      </w:r>
      <w:hyperlink r:id="rId115" w:history="1">
        <w:r w:rsidRPr="007A22DC">
          <w:rPr>
            <w:rStyle w:val="Hipercze"/>
          </w:rPr>
          <w:t>VII.564.9.2018</w:t>
        </w:r>
      </w:hyperlink>
      <w:r w:rsidRPr="007A22DC">
        <w:t xml:space="preserve"> z 14 marca 2018 r., sygn. akt K 1/18.</w:t>
      </w:r>
    </w:p>
  </w:footnote>
  <w:footnote w:id="165">
    <w:p w14:paraId="5CBA7D4B" w14:textId="77777777" w:rsidR="00803B7D" w:rsidRPr="007A22DC" w:rsidRDefault="00803B7D" w:rsidP="0014574C">
      <w:pPr>
        <w:pStyle w:val="Przypis"/>
      </w:pPr>
      <w:r w:rsidRPr="007A22DC">
        <w:rPr>
          <w:rStyle w:val="Odwoanieprzypisudolnego"/>
        </w:rPr>
        <w:footnoteRef/>
      </w:r>
      <w:r w:rsidRPr="007A22DC">
        <w:t xml:space="preserve"> Relacja z panelu: </w:t>
      </w:r>
      <w:hyperlink r:id="rId116" w:history="1">
        <w:r w:rsidRPr="007A22DC">
          <w:rPr>
            <w:rStyle w:val="Hipercze"/>
            <w:rFonts w:eastAsiaTheme="majorEastAsia"/>
          </w:rPr>
          <w:t>https://www.rpo.gov.pl/pl/content/panel/sesja-29-kontrowersje-wokół-ustawy-o-ipn-%E2%80%93-lekcja-na-przyszłość-blok-b</w:t>
        </w:r>
      </w:hyperlink>
    </w:p>
  </w:footnote>
  <w:footnote w:id="166">
    <w:p w14:paraId="79659D27" w14:textId="77777777" w:rsidR="00803B7D" w:rsidRPr="007A22DC" w:rsidRDefault="00803B7D" w:rsidP="0014574C">
      <w:pPr>
        <w:pStyle w:val="Przypis"/>
      </w:pPr>
      <w:r w:rsidRPr="007A22DC">
        <w:rPr>
          <w:rStyle w:val="Odwoanieprzypisudolnego"/>
        </w:rPr>
        <w:footnoteRef/>
      </w:r>
      <w:r w:rsidRPr="007A22DC">
        <w:t xml:space="preserve"> Ustawa z 3 lipca 2002 r. (Dz.U. z 2017 r. poz. 959, ze zm.).</w:t>
      </w:r>
    </w:p>
  </w:footnote>
  <w:footnote w:id="167">
    <w:p w14:paraId="4A4AEB7C" w14:textId="77777777" w:rsidR="00803B7D" w:rsidRPr="007A22DC" w:rsidRDefault="00803B7D" w:rsidP="0014574C">
      <w:pPr>
        <w:pStyle w:val="Przypis"/>
      </w:pPr>
      <w:r w:rsidRPr="007A22DC">
        <w:rPr>
          <w:rStyle w:val="Odwoanieprzypisudolnego"/>
        </w:rPr>
        <w:footnoteRef/>
      </w:r>
      <w:r w:rsidRPr="007A22DC">
        <w:t xml:space="preserve"> Ustawa z 28 marca 2003 r. (Dz.U. z 2017 r. poz. 1727, ze zm.).</w:t>
      </w:r>
    </w:p>
  </w:footnote>
  <w:footnote w:id="168">
    <w:p w14:paraId="3738D9E0" w14:textId="77777777" w:rsidR="00803B7D" w:rsidRPr="007A22DC" w:rsidRDefault="00803B7D" w:rsidP="0014574C">
      <w:pPr>
        <w:pStyle w:val="Przypis"/>
      </w:pPr>
      <w:r w:rsidRPr="007A22DC">
        <w:rPr>
          <w:rStyle w:val="Odwoanieprzypisudolnego"/>
        </w:rPr>
        <w:footnoteRef/>
      </w:r>
      <w:r w:rsidRPr="007A22DC">
        <w:t xml:space="preserve"> </w:t>
      </w:r>
      <w:r w:rsidRPr="007A22DC">
        <w:rPr>
          <w:rStyle w:val="PrzypisZnak"/>
        </w:rPr>
        <w:t>P 33/05</w:t>
      </w:r>
    </w:p>
  </w:footnote>
  <w:footnote w:id="169">
    <w:p w14:paraId="1B0B3A72" w14:textId="77777777" w:rsidR="00803B7D" w:rsidRPr="007A22DC" w:rsidRDefault="00803B7D" w:rsidP="0014574C">
      <w:pPr>
        <w:pStyle w:val="Przypis"/>
      </w:pPr>
      <w:r w:rsidRPr="007A22DC">
        <w:rPr>
          <w:rStyle w:val="Odwoanieprzypisudolnego"/>
        </w:rPr>
        <w:footnoteRef/>
      </w:r>
      <w:r w:rsidRPr="007A22DC">
        <w:t xml:space="preserve"> </w:t>
      </w:r>
      <w:hyperlink r:id="rId117" w:history="1">
        <w:r w:rsidRPr="007A22DC">
          <w:rPr>
            <w:rStyle w:val="Hipercze"/>
          </w:rPr>
          <w:t>VII.564.38.2017</w:t>
        </w:r>
      </w:hyperlink>
      <w:r w:rsidRPr="007A22DC">
        <w:t xml:space="preserve"> z 4 czerwca 2018 r., odpowiedź z 3 sierpnia 2018 r.</w:t>
      </w:r>
    </w:p>
  </w:footnote>
  <w:footnote w:id="170">
    <w:p w14:paraId="18CDF99D" w14:textId="77777777" w:rsidR="00803B7D" w:rsidRPr="007A22DC" w:rsidRDefault="00803B7D" w:rsidP="0014574C">
      <w:pPr>
        <w:pStyle w:val="Przypis"/>
      </w:pPr>
      <w:r w:rsidRPr="007A22DC">
        <w:rPr>
          <w:rStyle w:val="Odwoanieprzypisudolnego"/>
        </w:rPr>
        <w:footnoteRef/>
      </w:r>
      <w:r w:rsidRPr="007A22DC">
        <w:t xml:space="preserve"> </w:t>
      </w:r>
      <w:hyperlink r:id="rId118" w:history="1">
        <w:r w:rsidRPr="007A22DC">
          <w:rPr>
            <w:rStyle w:val="Hipercze"/>
          </w:rPr>
          <w:t>II.5150.9.2014</w:t>
        </w:r>
      </w:hyperlink>
      <w:r w:rsidRPr="007A22DC">
        <w:t xml:space="preserve"> z 4 lipca 2018 r.</w:t>
      </w:r>
    </w:p>
  </w:footnote>
  <w:footnote w:id="171">
    <w:p w14:paraId="30EDB97A" w14:textId="77777777" w:rsidR="00803B7D" w:rsidRPr="007A22DC" w:rsidRDefault="00803B7D" w:rsidP="0014574C">
      <w:pPr>
        <w:pStyle w:val="Przypis"/>
      </w:pPr>
      <w:r w:rsidRPr="007A22DC">
        <w:rPr>
          <w:rStyle w:val="Odwoanieprzypisudolnego"/>
        </w:rPr>
        <w:footnoteRef/>
      </w:r>
      <w:r w:rsidRPr="007A22DC">
        <w:t xml:space="preserve"> </w:t>
      </w:r>
      <w:hyperlink r:id="rId119" w:history="1">
        <w:r w:rsidRPr="007A22DC">
          <w:rPr>
            <w:rStyle w:val="Hipercze"/>
          </w:rPr>
          <w:t>Pismo z 18 października 2018</w:t>
        </w:r>
      </w:hyperlink>
      <w:r w:rsidRPr="007A22DC">
        <w:t> r.</w:t>
      </w:r>
    </w:p>
  </w:footnote>
  <w:footnote w:id="172">
    <w:p w14:paraId="2AF15510" w14:textId="3D50A75F" w:rsidR="00803B7D" w:rsidRPr="007A22DC" w:rsidRDefault="00803B7D" w:rsidP="00023DE2">
      <w:pPr>
        <w:pStyle w:val="Przypis"/>
        <w:rPr>
          <w:rStyle w:val="PrzypisZnak"/>
        </w:rPr>
      </w:pPr>
      <w:r w:rsidRPr="007A22DC">
        <w:rPr>
          <w:rStyle w:val="Odwoanieprzypisudolnego"/>
        </w:rPr>
        <w:footnoteRef/>
      </w:r>
      <w:r w:rsidRPr="007A22DC">
        <w:t xml:space="preserve"> </w:t>
      </w:r>
      <w:r>
        <w:t>Osoby z niepełnosprawnością intelektualną lub psychiczną osadzone w jednostkach penitencjarnych. Z uwzględnieniem wyników badań przeprowadzonych przez pracowników Biura Rzecznika Praw Obywatelskich. Redakcja naukowa: dr Ewa Dawidziuk, dr Marcin Mazur, Warszawa 2017</w:t>
      </w:r>
      <w:hyperlink r:id="rId120" w:history="1">
        <w:r w:rsidRPr="007A22DC">
          <w:rPr>
            <w:rStyle w:val="Hipercze"/>
          </w:rPr>
          <w:t>https://www.rpo.gov.pl/pl/content/osoby-z-niepelnosprawnoscia-intelektualna-lub-psychiczna-osadzone-w-jednostkach-penitencjarnych</w:t>
        </w:r>
      </w:hyperlink>
    </w:p>
  </w:footnote>
  <w:footnote w:id="173">
    <w:p w14:paraId="07591531" w14:textId="77777777" w:rsidR="00803B7D" w:rsidRPr="007A22DC" w:rsidRDefault="00803B7D" w:rsidP="0014574C">
      <w:pPr>
        <w:pStyle w:val="Przypis"/>
      </w:pPr>
      <w:r w:rsidRPr="007A22DC">
        <w:rPr>
          <w:rStyle w:val="Odwoanieprzypisudolnego"/>
        </w:rPr>
        <w:footnoteRef/>
      </w:r>
      <w:r w:rsidRPr="007A22DC">
        <w:t xml:space="preserve"> </w:t>
      </w:r>
      <w:hyperlink r:id="rId121" w:history="1">
        <w:r w:rsidRPr="007A22DC">
          <w:rPr>
            <w:rStyle w:val="Hipercze"/>
          </w:rPr>
          <w:t>IX.517.812.2018</w:t>
        </w:r>
      </w:hyperlink>
      <w:r w:rsidRPr="007A22DC">
        <w:t xml:space="preserve"> z 29 marca 2018 r., ponowienie z 19 lutego 2019 r.</w:t>
      </w:r>
    </w:p>
  </w:footnote>
  <w:footnote w:id="174">
    <w:p w14:paraId="7F8EAC20" w14:textId="77777777" w:rsidR="00803B7D" w:rsidRPr="007A22DC" w:rsidRDefault="00803B7D" w:rsidP="0014574C">
      <w:pPr>
        <w:pStyle w:val="Przypis"/>
      </w:pPr>
      <w:r w:rsidRPr="007A22DC">
        <w:rPr>
          <w:rStyle w:val="Odwoanieprzypisudolnego"/>
        </w:rPr>
        <w:footnoteRef/>
      </w:r>
      <w:r w:rsidRPr="007A22DC">
        <w:t xml:space="preserve"> </w:t>
      </w:r>
      <w:hyperlink r:id="rId122" w:history="1">
        <w:r w:rsidRPr="007A22DC">
          <w:rPr>
            <w:rStyle w:val="Hipercze"/>
          </w:rPr>
          <w:t>II.510.1151.2018</w:t>
        </w:r>
      </w:hyperlink>
      <w:r w:rsidRPr="007A22DC">
        <w:t xml:space="preserve"> z 6 listopada 2018 r.</w:t>
      </w:r>
    </w:p>
  </w:footnote>
  <w:footnote w:id="175">
    <w:p w14:paraId="1F6E31BA" w14:textId="77777777" w:rsidR="00803B7D" w:rsidRPr="007A22DC" w:rsidRDefault="00803B7D" w:rsidP="0014574C">
      <w:pPr>
        <w:pStyle w:val="Przypis"/>
      </w:pPr>
      <w:r w:rsidRPr="007A22DC">
        <w:rPr>
          <w:rStyle w:val="Odwoanieprzypisudolnego"/>
        </w:rPr>
        <w:footnoteRef/>
      </w:r>
      <w:r w:rsidRPr="007A22DC">
        <w:t xml:space="preserve"> </w:t>
      </w:r>
      <w:hyperlink r:id="rId123" w:history="1">
        <w:r w:rsidRPr="007A22DC">
          <w:rPr>
            <w:rStyle w:val="Hipercze"/>
          </w:rPr>
          <w:t>II.510.35.2018</w:t>
        </w:r>
      </w:hyperlink>
      <w:r w:rsidRPr="007A22DC">
        <w:t xml:space="preserve"> z 14 maja 2018 r.</w:t>
      </w:r>
    </w:p>
  </w:footnote>
  <w:footnote w:id="176">
    <w:p w14:paraId="617667D6" w14:textId="77777777" w:rsidR="00803B7D" w:rsidRPr="007A22DC" w:rsidRDefault="00803B7D" w:rsidP="0014574C">
      <w:pPr>
        <w:pStyle w:val="Przypis"/>
      </w:pPr>
      <w:r w:rsidRPr="007A22DC">
        <w:rPr>
          <w:rStyle w:val="Odwoanieprzypisudolnego"/>
        </w:rPr>
        <w:footnoteRef/>
      </w:r>
      <w:r w:rsidRPr="007A22DC">
        <w:t xml:space="preserve"> Relacja: </w:t>
      </w:r>
      <w:hyperlink r:id="rId124" w:history="1">
        <w:r w:rsidRPr="007A22DC">
          <w:rPr>
            <w:rStyle w:val="Hipercze"/>
            <w:rFonts w:eastAsiaTheme="majorEastAsia"/>
          </w:rPr>
          <w:t>https://www.rpo.gov.pl/pl/content/konferencja-instytucja-malego-swiadka-koronnego</w:t>
        </w:r>
      </w:hyperlink>
    </w:p>
  </w:footnote>
  <w:footnote w:id="177">
    <w:p w14:paraId="167A7096" w14:textId="77777777" w:rsidR="00803B7D" w:rsidRPr="007A22DC" w:rsidRDefault="00803B7D" w:rsidP="0014574C">
      <w:pPr>
        <w:pStyle w:val="Przypis"/>
      </w:pPr>
      <w:r w:rsidRPr="007A22DC">
        <w:rPr>
          <w:rStyle w:val="Odwoanieprzypisudolnego"/>
        </w:rPr>
        <w:footnoteRef/>
      </w:r>
      <w:r w:rsidRPr="007A22DC">
        <w:t xml:space="preserve"> </w:t>
      </w:r>
      <w:hyperlink r:id="rId125" w:history="1">
        <w:r w:rsidRPr="007A22DC">
          <w:rPr>
            <w:rStyle w:val="Hipercze"/>
          </w:rPr>
          <w:t>II.5150.7.2015</w:t>
        </w:r>
      </w:hyperlink>
      <w:r w:rsidRPr="007A22DC">
        <w:rPr>
          <w:rStyle w:val="Hipercze"/>
        </w:rPr>
        <w:t xml:space="preserve"> </w:t>
      </w:r>
      <w:r w:rsidRPr="007A22DC">
        <w:t>z 31 lipca 2018 r.</w:t>
      </w:r>
    </w:p>
  </w:footnote>
  <w:footnote w:id="178">
    <w:p w14:paraId="723DD6EC" w14:textId="77777777" w:rsidR="00803B7D" w:rsidRPr="007A22DC" w:rsidRDefault="00803B7D" w:rsidP="0014574C">
      <w:pPr>
        <w:pStyle w:val="Przypis"/>
      </w:pPr>
      <w:r w:rsidRPr="007A22DC">
        <w:rPr>
          <w:rStyle w:val="Odwoanieprzypisudolnego"/>
        </w:rPr>
        <w:footnoteRef/>
      </w:r>
      <w:r w:rsidRPr="007A22DC">
        <w:t xml:space="preserve"> </w:t>
      </w:r>
      <w:hyperlink r:id="rId126" w:history="1">
        <w:r w:rsidRPr="007A22DC">
          <w:rPr>
            <w:rStyle w:val="Hipercze"/>
          </w:rPr>
          <w:t>II.511.573.2018</w:t>
        </w:r>
      </w:hyperlink>
      <w:r w:rsidRPr="007A22DC">
        <w:t xml:space="preserve"> z 22 października 2018 r., sygn. akt K 9/18.</w:t>
      </w:r>
    </w:p>
  </w:footnote>
  <w:footnote w:id="179">
    <w:p w14:paraId="496B10EC" w14:textId="77777777" w:rsidR="00803B7D" w:rsidRPr="007A22DC" w:rsidRDefault="00803B7D" w:rsidP="00A74943">
      <w:pPr>
        <w:pStyle w:val="Przypis"/>
      </w:pPr>
      <w:r w:rsidRPr="007A22DC">
        <w:rPr>
          <w:rStyle w:val="Odwoanieprzypisudolnego"/>
        </w:rPr>
        <w:footnoteRef/>
      </w:r>
      <w:r w:rsidRPr="007A22DC">
        <w:t xml:space="preserve"> </w:t>
      </w:r>
      <w:hyperlink r:id="rId127" w:history="1">
        <w:r w:rsidRPr="007A22DC">
          <w:rPr>
            <w:rStyle w:val="Hipercze"/>
          </w:rPr>
          <w:t>VII.511.8.2017</w:t>
        </w:r>
      </w:hyperlink>
      <w:r w:rsidRPr="007A22DC">
        <w:t xml:space="preserve"> z 23 maja 2018 r., odpowiedź z 23 lipca 2018 r.</w:t>
      </w:r>
    </w:p>
  </w:footnote>
  <w:footnote w:id="180">
    <w:p w14:paraId="2B750ADF" w14:textId="77777777" w:rsidR="00803B7D" w:rsidRPr="007A22DC" w:rsidRDefault="00803B7D" w:rsidP="0014574C">
      <w:pPr>
        <w:pStyle w:val="Przypis"/>
      </w:pPr>
      <w:r w:rsidRPr="007A22DC">
        <w:rPr>
          <w:rStyle w:val="Odwoanieprzypisudolnego"/>
        </w:rPr>
        <w:footnoteRef/>
      </w:r>
      <w:r w:rsidRPr="007A22DC">
        <w:t xml:space="preserve"> </w:t>
      </w:r>
      <w:hyperlink r:id="rId128" w:history="1">
        <w:r w:rsidRPr="007A22DC">
          <w:rPr>
            <w:rStyle w:val="Hipercze"/>
          </w:rPr>
          <w:t>II.511.773.2018</w:t>
        </w:r>
      </w:hyperlink>
      <w:r w:rsidRPr="007A22DC">
        <w:t xml:space="preserve"> z 22 listopada 2018 r.</w:t>
      </w:r>
    </w:p>
  </w:footnote>
  <w:footnote w:id="181">
    <w:p w14:paraId="442EDE62" w14:textId="77777777" w:rsidR="00803B7D" w:rsidRPr="007A22DC" w:rsidRDefault="00803B7D" w:rsidP="0014574C">
      <w:pPr>
        <w:pStyle w:val="Przypis"/>
      </w:pPr>
      <w:r w:rsidRPr="007A22DC">
        <w:rPr>
          <w:rStyle w:val="Odwoanieprzypisudolnego"/>
        </w:rPr>
        <w:footnoteRef/>
      </w:r>
      <w:r w:rsidRPr="007A22DC">
        <w:t xml:space="preserve"> </w:t>
      </w:r>
      <w:hyperlink r:id="rId129" w:history="1">
        <w:r w:rsidRPr="007A22DC">
          <w:rPr>
            <w:rStyle w:val="Hipercze"/>
          </w:rPr>
          <w:t>II.511.1613.2014</w:t>
        </w:r>
      </w:hyperlink>
      <w:r w:rsidRPr="007A22DC">
        <w:t xml:space="preserve"> z 12 października 2018 r.</w:t>
      </w:r>
    </w:p>
  </w:footnote>
  <w:footnote w:id="182">
    <w:p w14:paraId="5516397B" w14:textId="77777777" w:rsidR="00803B7D" w:rsidRPr="007A22DC" w:rsidRDefault="00803B7D" w:rsidP="0014574C">
      <w:pPr>
        <w:pStyle w:val="Przypis"/>
      </w:pPr>
      <w:r w:rsidRPr="007A22DC">
        <w:rPr>
          <w:rStyle w:val="Odwoanieprzypisudolnego"/>
        </w:rPr>
        <w:footnoteRef/>
      </w:r>
      <w:r w:rsidRPr="007A22DC">
        <w:t xml:space="preserve"> Dyrektywa </w:t>
      </w:r>
      <w:r w:rsidRPr="007A22DC">
        <w:rPr>
          <w:rStyle w:val="PrzypisZnak"/>
        </w:rPr>
        <w:t>Parlamentu Europejskiego i Rady (UE) 2016/343 z 9 marca 2016 r. w sprawie wzmocnienia niektórych aspektów domniemania niewinności i prawa do obecności na rozprawie w postępowaniu karnym</w:t>
      </w:r>
    </w:p>
  </w:footnote>
  <w:footnote w:id="183">
    <w:p w14:paraId="50A80264" w14:textId="77777777" w:rsidR="00803B7D" w:rsidRPr="007A22DC" w:rsidRDefault="00803B7D" w:rsidP="0014574C">
      <w:pPr>
        <w:pStyle w:val="Przypis"/>
      </w:pPr>
      <w:r w:rsidRPr="007A22DC">
        <w:rPr>
          <w:rStyle w:val="Odwoanieprzypisudolnego"/>
        </w:rPr>
        <w:footnoteRef/>
      </w:r>
      <w:r w:rsidRPr="007A22DC">
        <w:t xml:space="preserve"> </w:t>
      </w:r>
      <w:hyperlink r:id="rId130" w:history="1">
        <w:r w:rsidRPr="007A22DC">
          <w:rPr>
            <w:rStyle w:val="Hipercze"/>
          </w:rPr>
          <w:t>II.510.619.2018</w:t>
        </w:r>
      </w:hyperlink>
      <w:r w:rsidRPr="007A22DC">
        <w:t xml:space="preserve"> z 26 lipca 2018 r., odpowiedź z 18 października 2018 r.</w:t>
      </w:r>
    </w:p>
  </w:footnote>
  <w:footnote w:id="184">
    <w:p w14:paraId="5870A6F2" w14:textId="77777777" w:rsidR="00803B7D" w:rsidRPr="007A22DC" w:rsidRDefault="00803B7D" w:rsidP="0014574C">
      <w:pPr>
        <w:pStyle w:val="Przypis"/>
      </w:pPr>
      <w:r w:rsidRPr="007A22DC">
        <w:rPr>
          <w:rStyle w:val="Odwoanieprzypisudolnego"/>
        </w:rPr>
        <w:footnoteRef/>
      </w:r>
      <w:r w:rsidRPr="007A22DC">
        <w:t xml:space="preserve"> II.510.1160.2018 z 11 listopada 2018 r.</w:t>
      </w:r>
    </w:p>
  </w:footnote>
  <w:footnote w:id="185">
    <w:p w14:paraId="74C16BFA" w14:textId="77777777" w:rsidR="00803B7D" w:rsidRPr="007A22DC" w:rsidRDefault="00803B7D" w:rsidP="0014574C">
      <w:pPr>
        <w:pStyle w:val="Przypis"/>
      </w:pPr>
      <w:r w:rsidRPr="007A22DC">
        <w:rPr>
          <w:rStyle w:val="Odwoanieprzypisudolnego"/>
        </w:rPr>
        <w:footnoteRef/>
      </w:r>
      <w:r w:rsidRPr="007A22DC">
        <w:t xml:space="preserve"> Informacja RPO za 2016 r., str. 91., Informacja RPO za 2017 – s. 161</w:t>
      </w:r>
    </w:p>
  </w:footnote>
  <w:footnote w:id="186">
    <w:p w14:paraId="3B583C66" w14:textId="77777777" w:rsidR="00803B7D" w:rsidRPr="007A22DC" w:rsidRDefault="00803B7D" w:rsidP="00D86DD2">
      <w:pPr>
        <w:pStyle w:val="Przypis"/>
      </w:pPr>
      <w:r w:rsidRPr="007A22DC">
        <w:rPr>
          <w:rStyle w:val="Odwoanieprzypisudolnego"/>
        </w:rPr>
        <w:footnoteRef/>
      </w:r>
      <w:r w:rsidRPr="007A22DC">
        <w:t xml:space="preserve"> Patrz: </w:t>
      </w:r>
      <w:hyperlink r:id="rId131" w:history="1">
        <w:r w:rsidRPr="007A22DC">
          <w:rPr>
            <w:rStyle w:val="Hipercze"/>
          </w:rPr>
          <w:t>https://www.rpo.gov.pl/pl/kategoria-konstytucyjna/art-45-prawo-do-sadu</w:t>
        </w:r>
      </w:hyperlink>
    </w:p>
  </w:footnote>
  <w:footnote w:id="187">
    <w:p w14:paraId="4311E228" w14:textId="77777777" w:rsidR="00803B7D" w:rsidRPr="007A22DC" w:rsidRDefault="00803B7D" w:rsidP="00D86DD2">
      <w:pPr>
        <w:pStyle w:val="Przypis"/>
      </w:pPr>
      <w:r w:rsidRPr="007A22DC">
        <w:rPr>
          <w:rStyle w:val="Odwoanieprzypisudolnego"/>
        </w:rPr>
        <w:footnoteRef/>
      </w:r>
      <w:r w:rsidRPr="007A22DC">
        <w:t xml:space="preserve"> Patrz: </w:t>
      </w:r>
      <w:hyperlink r:id="rId132" w:history="1">
        <w:r w:rsidRPr="007A22DC">
          <w:rPr>
            <w:rStyle w:val="Hipercze"/>
          </w:rPr>
          <w:t>https://www.rpo.gov.pl/pl/kategoria-prawna/kasacje-karne-do-sn</w:t>
        </w:r>
      </w:hyperlink>
    </w:p>
  </w:footnote>
  <w:footnote w:id="188">
    <w:p w14:paraId="201DEEDA" w14:textId="77777777" w:rsidR="00803B7D" w:rsidRPr="007A22DC" w:rsidRDefault="00803B7D" w:rsidP="00D86DD2">
      <w:pPr>
        <w:pStyle w:val="Przypis"/>
      </w:pPr>
      <w:r w:rsidRPr="007A22DC">
        <w:rPr>
          <w:rStyle w:val="Odwoanieprzypisudolnego"/>
        </w:rPr>
        <w:footnoteRef/>
      </w:r>
      <w:r w:rsidRPr="007A22DC">
        <w:t xml:space="preserve"> Patrz: Informacja roczna za rok 2017, s. 173</w:t>
      </w:r>
    </w:p>
  </w:footnote>
  <w:footnote w:id="189">
    <w:p w14:paraId="3760DE43" w14:textId="77777777" w:rsidR="00803B7D" w:rsidRPr="007A22DC" w:rsidRDefault="00803B7D" w:rsidP="00D86DD2">
      <w:pPr>
        <w:pStyle w:val="Przypis"/>
      </w:pPr>
      <w:r w:rsidRPr="007A22DC">
        <w:rPr>
          <w:rStyle w:val="Odwoanieprzypisudolnego"/>
        </w:rPr>
        <w:footnoteRef/>
      </w:r>
      <w:r w:rsidRPr="007A22DC">
        <w:t xml:space="preserve"> </w:t>
      </w:r>
      <w:hyperlink r:id="rId133" w:history="1">
        <w:r w:rsidRPr="007A22DC">
          <w:rPr>
            <w:rStyle w:val="Hipercze"/>
          </w:rPr>
          <w:t>VII.510.2.2017 z 13 kwietnia 2018 r.</w:t>
        </w:r>
      </w:hyperlink>
      <w:r w:rsidRPr="007A22DC">
        <w:rPr>
          <w:rFonts w:ascii="Open Sans Regular" w:hAnsi="Open Sans Regular"/>
          <w:color w:val="18223E"/>
          <w:sz w:val="21"/>
          <w:szCs w:val="21"/>
          <w:shd w:val="clear" w:color="auto" w:fill="FFFFFF"/>
        </w:rPr>
        <w:t xml:space="preserve"> </w:t>
      </w:r>
    </w:p>
  </w:footnote>
  <w:footnote w:id="190">
    <w:p w14:paraId="1A3B8B9B" w14:textId="77777777" w:rsidR="00803B7D" w:rsidRPr="007A22DC" w:rsidRDefault="00803B7D" w:rsidP="00D86DD2">
      <w:pPr>
        <w:pStyle w:val="Przypis"/>
      </w:pPr>
      <w:r w:rsidRPr="007A22DC">
        <w:rPr>
          <w:rStyle w:val="Odwoanieprzypisudolnego"/>
        </w:rPr>
        <w:footnoteRef/>
      </w:r>
      <w:r w:rsidRPr="007A22DC">
        <w:t xml:space="preserve"> </w:t>
      </w:r>
      <w:hyperlink r:id="rId134" w:history="1">
        <w:r w:rsidRPr="007A22DC">
          <w:rPr>
            <w:rStyle w:val="Hipercze"/>
          </w:rPr>
          <w:t>VII.510.2.2017</w:t>
        </w:r>
      </w:hyperlink>
      <w:r w:rsidRPr="007A22DC">
        <w:rPr>
          <w:rStyle w:val="Hipercze"/>
        </w:rPr>
        <w:t xml:space="preserve"> </w:t>
      </w:r>
      <w:r w:rsidRPr="007A22DC">
        <w:t>z 18 lipca, 23 lipca i z 26 lipca 2018 r.</w:t>
      </w:r>
    </w:p>
  </w:footnote>
  <w:footnote w:id="191">
    <w:p w14:paraId="796775EC" w14:textId="77777777" w:rsidR="00803B7D" w:rsidRPr="007A22DC" w:rsidRDefault="00803B7D" w:rsidP="00647D35">
      <w:pPr>
        <w:pStyle w:val="Przypis"/>
      </w:pPr>
      <w:r w:rsidRPr="007A22DC">
        <w:rPr>
          <w:rStyle w:val="Odwoanieprzypisudolnego"/>
        </w:rPr>
        <w:footnoteRef/>
      </w:r>
      <w:r w:rsidRPr="007A22DC">
        <w:t xml:space="preserve"> Tamże</w:t>
      </w:r>
    </w:p>
  </w:footnote>
  <w:footnote w:id="192">
    <w:p w14:paraId="1123DCEB" w14:textId="77777777" w:rsidR="00803B7D" w:rsidRPr="007A22DC" w:rsidRDefault="00803B7D" w:rsidP="00D86DD2">
      <w:pPr>
        <w:pStyle w:val="Przypis"/>
      </w:pPr>
      <w:r w:rsidRPr="007A22DC">
        <w:rPr>
          <w:rStyle w:val="Odwoanieprzypisudolnego"/>
        </w:rPr>
        <w:footnoteRef/>
      </w:r>
      <w:r w:rsidRPr="007A22DC">
        <w:t xml:space="preserve"> </w:t>
      </w:r>
      <w:hyperlink r:id="rId135" w:history="1">
        <w:r w:rsidRPr="007A22DC">
          <w:rPr>
            <w:rStyle w:val="Hipercze"/>
          </w:rPr>
          <w:t>https://www.rpo.gov.pl/pl/content/rpo-przed-komisja-libe-parlamentu-europejskiego-w-sprawie-publicznego-wysluchania-Polski</w:t>
        </w:r>
      </w:hyperlink>
    </w:p>
  </w:footnote>
  <w:footnote w:id="193">
    <w:p w14:paraId="2EFC9F71" w14:textId="51C01476" w:rsidR="00803B7D" w:rsidRPr="008E69D1" w:rsidRDefault="00803B7D" w:rsidP="008E69D1">
      <w:pPr>
        <w:pStyle w:val="Przypis"/>
      </w:pPr>
      <w:r w:rsidRPr="008E69D1">
        <w:rPr>
          <w:rStyle w:val="Odwoanieprzypisudolnego"/>
        </w:rPr>
        <w:footnoteRef/>
      </w:r>
      <w:r w:rsidRPr="008E69D1">
        <w:t xml:space="preserve"> Ustawa z dnia 21 listopada 2018 r. o zmianie ustawy o Sądzie Najwyższym, Dz.U. 2018 poz. 2507</w:t>
      </w:r>
    </w:p>
  </w:footnote>
  <w:footnote w:id="194">
    <w:p w14:paraId="27DED25A" w14:textId="2876D00F" w:rsidR="00803B7D" w:rsidRPr="007A22DC" w:rsidRDefault="00803B7D" w:rsidP="00711346">
      <w:pPr>
        <w:pStyle w:val="Przypis"/>
      </w:pPr>
      <w:r w:rsidRPr="007A22DC">
        <w:rPr>
          <w:rStyle w:val="Odwoanieprzypisudolnego"/>
        </w:rPr>
        <w:footnoteRef/>
      </w:r>
      <w:r w:rsidRPr="007A22DC">
        <w:t xml:space="preserve"> </w:t>
      </w:r>
      <w:r>
        <w:t xml:space="preserve">Biała Księga Rzecznika Praw Obywatelskich na temat działań dotyczących ochrony praworządności. </w:t>
      </w:r>
      <w:r w:rsidRPr="008E69D1">
        <w:t>Wybór tekstów: Stanisław Trociuk, Miros</w:t>
      </w:r>
      <w:r>
        <w:t>ł</w:t>
      </w:r>
      <w:r w:rsidRPr="008E69D1">
        <w:t>aw Wróblewski, Aleksandra Kistowska, Warszawa 2018</w:t>
      </w:r>
      <w:r>
        <w:t xml:space="preserve">, </w:t>
      </w:r>
      <w:hyperlink r:id="rId136" w:history="1">
        <w:r w:rsidRPr="001529BF">
          <w:rPr>
            <w:rStyle w:val="Hipercze"/>
            <w:rFonts w:eastAsiaTheme="majorEastAsia"/>
          </w:rPr>
          <w:t>https://www.rpo.gov.pl/pl/content/Praworzadnosc-dla-ludzi-biala-ksiega-dotyczaca-dzialan-rpo-na-rzecz-niezaleznosci-sadow</w:t>
        </w:r>
      </w:hyperlink>
    </w:p>
  </w:footnote>
  <w:footnote w:id="195">
    <w:p w14:paraId="2A389C44" w14:textId="77777777" w:rsidR="00803B7D" w:rsidRPr="007A22DC" w:rsidRDefault="00803B7D" w:rsidP="00912BBA">
      <w:pPr>
        <w:pStyle w:val="Przypis"/>
      </w:pPr>
      <w:r w:rsidRPr="007A22DC">
        <w:rPr>
          <w:rStyle w:val="Odwoanieprzypisudolnego"/>
        </w:rPr>
        <w:footnoteRef/>
      </w:r>
      <w:r w:rsidRPr="007A22DC">
        <w:t xml:space="preserve"> </w:t>
      </w:r>
      <w:hyperlink r:id="rId137" w:history="1">
        <w:r w:rsidRPr="007A22DC">
          <w:rPr>
            <w:rStyle w:val="Hipercze"/>
          </w:rPr>
          <w:t>VII.510.2.2017</w:t>
        </w:r>
      </w:hyperlink>
      <w:r w:rsidRPr="007A22DC">
        <w:t xml:space="preserve"> z 23 lutego 2018 r., odpowiedź z 23 marca 2018 r.</w:t>
      </w:r>
    </w:p>
  </w:footnote>
  <w:footnote w:id="196">
    <w:p w14:paraId="58CFA0D0" w14:textId="77777777" w:rsidR="00803B7D" w:rsidRPr="007A22DC" w:rsidRDefault="00803B7D" w:rsidP="00D86DD2">
      <w:pPr>
        <w:pStyle w:val="Tekstprzypisudolnego"/>
      </w:pPr>
      <w:r w:rsidRPr="007A22DC">
        <w:rPr>
          <w:rStyle w:val="Odwoanieprzypisudolnego"/>
        </w:rPr>
        <w:footnoteRef/>
      </w:r>
      <w:r w:rsidRPr="007A22DC">
        <w:t xml:space="preserve"> Patrz</w:t>
      </w:r>
      <w:r w:rsidRPr="007A22DC">
        <w:rPr>
          <w:sz w:val="18"/>
        </w:rPr>
        <w:t xml:space="preserve">: </w:t>
      </w:r>
      <w:hyperlink r:id="rId138" w:history="1">
        <w:r w:rsidRPr="007A22DC">
          <w:rPr>
            <w:rStyle w:val="Hipercze"/>
            <w:sz w:val="18"/>
          </w:rPr>
          <w:t>https://www.rpo.gov.pl/pl/content/resort-sprawiedliwosci-zaczyna-obsadzac-wakaty-sedziowskie</w:t>
        </w:r>
      </w:hyperlink>
    </w:p>
  </w:footnote>
  <w:footnote w:id="197">
    <w:p w14:paraId="305929AC" w14:textId="77777777" w:rsidR="00803B7D" w:rsidRPr="007A22DC" w:rsidRDefault="00803B7D" w:rsidP="00D86DD2">
      <w:pPr>
        <w:pStyle w:val="Przypis"/>
      </w:pPr>
      <w:r w:rsidRPr="007A22DC">
        <w:rPr>
          <w:rStyle w:val="Odwoanieprzypisudolnego"/>
        </w:rPr>
        <w:footnoteRef/>
      </w:r>
      <w:r w:rsidRPr="007A22DC">
        <w:t xml:space="preserve"> </w:t>
      </w:r>
      <w:hyperlink r:id="rId139" w:history="1">
        <w:r w:rsidRPr="007A22DC">
          <w:rPr>
            <w:rStyle w:val="Hipercze"/>
          </w:rPr>
          <w:t>VII.510.23.2016</w:t>
        </w:r>
      </w:hyperlink>
      <w:r w:rsidRPr="007A22DC">
        <w:t xml:space="preserve"> z 4 października 2018 r., odpowiedź z 27 grudnia 2018 r.r</w:t>
      </w:r>
    </w:p>
  </w:footnote>
  <w:footnote w:id="198">
    <w:p w14:paraId="67A08AB7" w14:textId="77777777" w:rsidR="00803B7D" w:rsidRPr="007A22DC" w:rsidRDefault="00803B7D" w:rsidP="00D86DD2">
      <w:pPr>
        <w:pStyle w:val="Przypis"/>
      </w:pPr>
      <w:r w:rsidRPr="007A22DC">
        <w:rPr>
          <w:rStyle w:val="Odwoanieprzypisudolnego"/>
        </w:rPr>
        <w:footnoteRef/>
      </w:r>
      <w:r w:rsidRPr="007A22DC">
        <w:t xml:space="preserve"> Ustawa z 8 grudnia 2017 r. (Dz.U. z 2018 r. poz. 5).</w:t>
      </w:r>
    </w:p>
  </w:footnote>
  <w:footnote w:id="199">
    <w:p w14:paraId="14F68984" w14:textId="77777777" w:rsidR="00803B7D" w:rsidRPr="007A22DC" w:rsidRDefault="00803B7D" w:rsidP="00912BBA">
      <w:pPr>
        <w:pStyle w:val="Przypis"/>
      </w:pPr>
      <w:r w:rsidRPr="007A22DC">
        <w:rPr>
          <w:rStyle w:val="Odwoanieprzypisudolnego"/>
        </w:rPr>
        <w:footnoteRef/>
      </w:r>
      <w:r w:rsidRPr="007A22DC">
        <w:t xml:space="preserve"> </w:t>
      </w:r>
      <w:hyperlink r:id="rId140" w:history="1">
        <w:r w:rsidRPr="007A22DC">
          <w:rPr>
            <w:rStyle w:val="Hipercze"/>
          </w:rPr>
          <w:t>VII.561.8.2017</w:t>
        </w:r>
      </w:hyperlink>
      <w:r w:rsidRPr="007A22DC">
        <w:t xml:space="preserve"> z 15 lutego 2018 r., wystąpienie do premiera </w:t>
      </w:r>
      <w:hyperlink r:id="rId141" w:history="1">
        <w:r w:rsidRPr="007A22DC">
          <w:rPr>
            <w:rStyle w:val="Hipercze"/>
          </w:rPr>
          <w:t>z 23 maja 2018 r.</w:t>
        </w:r>
      </w:hyperlink>
    </w:p>
  </w:footnote>
  <w:footnote w:id="200">
    <w:p w14:paraId="51064A2B" w14:textId="77777777" w:rsidR="00803B7D" w:rsidRPr="007A22DC" w:rsidRDefault="00803B7D" w:rsidP="00912BBA">
      <w:pPr>
        <w:pStyle w:val="Przypis"/>
      </w:pPr>
      <w:r w:rsidRPr="007A22DC">
        <w:rPr>
          <w:rStyle w:val="Odwoanieprzypisudolnego"/>
        </w:rPr>
        <w:footnoteRef/>
      </w:r>
      <w:r w:rsidRPr="007A22DC">
        <w:t xml:space="preserve"> </w:t>
      </w:r>
      <w:hyperlink r:id="rId142" w:history="1">
        <w:r w:rsidRPr="007A22DC">
          <w:rPr>
            <w:rStyle w:val="Hipercze"/>
          </w:rPr>
          <w:t>VII.561.8.2017</w:t>
        </w:r>
      </w:hyperlink>
      <w:r w:rsidRPr="007A22DC">
        <w:t xml:space="preserve"> z 23 maja 2018 r., odpowiedź GIODO z 16 lipca 2018 r., odpowiedź MS z 18 czerwca 2018 r.</w:t>
      </w:r>
    </w:p>
  </w:footnote>
  <w:footnote w:id="201">
    <w:p w14:paraId="79583CD1" w14:textId="77777777" w:rsidR="00803B7D" w:rsidRPr="007A22DC" w:rsidRDefault="00803B7D" w:rsidP="00912BBA">
      <w:pPr>
        <w:pStyle w:val="Przypis"/>
      </w:pPr>
      <w:r w:rsidRPr="007A22DC">
        <w:rPr>
          <w:rStyle w:val="Odwoanieprzypisudolnego"/>
        </w:rPr>
        <w:footnoteRef/>
      </w:r>
      <w:r w:rsidRPr="007A22DC">
        <w:t xml:space="preserve"> </w:t>
      </w:r>
      <w:hyperlink r:id="rId143" w:history="1">
        <w:r w:rsidRPr="007A22DC">
          <w:rPr>
            <w:rStyle w:val="Hipercze"/>
          </w:rPr>
          <w:t>VII.510.18.2018</w:t>
        </w:r>
      </w:hyperlink>
      <w:r w:rsidRPr="007A22DC">
        <w:t xml:space="preserve"> z 4 czerwca 2018 r., odpowiedź z 18 czerwca 2018 r.</w:t>
      </w:r>
    </w:p>
  </w:footnote>
  <w:footnote w:id="202">
    <w:p w14:paraId="49221F07" w14:textId="77777777" w:rsidR="00803B7D" w:rsidRPr="007A22DC" w:rsidRDefault="00803B7D" w:rsidP="00912BBA">
      <w:pPr>
        <w:pStyle w:val="Przypis"/>
      </w:pPr>
      <w:r w:rsidRPr="007A22DC">
        <w:rPr>
          <w:rStyle w:val="Odwoanieprzypisudolnego"/>
        </w:rPr>
        <w:footnoteRef/>
      </w:r>
      <w:r w:rsidRPr="007A22DC">
        <w:t xml:space="preserve"> Wyrok z 20 czerwca 2018 r., sygn. akt V SA/Wa 459/18</w:t>
      </w:r>
    </w:p>
  </w:footnote>
  <w:footnote w:id="203">
    <w:p w14:paraId="3D0D282F" w14:textId="77777777" w:rsidR="00803B7D" w:rsidRPr="007A22DC" w:rsidRDefault="00803B7D" w:rsidP="00912BBA">
      <w:pPr>
        <w:pStyle w:val="Przypis"/>
      </w:pPr>
      <w:r w:rsidRPr="007A22DC">
        <w:rPr>
          <w:rStyle w:val="Odwoanieprzypisudolnego"/>
        </w:rPr>
        <w:footnoteRef/>
      </w:r>
      <w:hyperlink r:id="rId144" w:history="1">
        <w:r w:rsidRPr="007A22DC">
          <w:rPr>
            <w:rStyle w:val="Hipercze"/>
            <w:szCs w:val="18"/>
            <w:shd w:val="clear" w:color="auto" w:fill="FFFFFF"/>
          </w:rPr>
          <w:t>II.501.5.2016</w:t>
        </w:r>
      </w:hyperlink>
      <w:r w:rsidRPr="007A22DC">
        <w:rPr>
          <w:rStyle w:val="Hipercze"/>
          <w:szCs w:val="18"/>
          <w:shd w:val="clear" w:color="auto" w:fill="FFFFFF"/>
        </w:rPr>
        <w:t xml:space="preserve"> </w:t>
      </w:r>
      <w:r w:rsidRPr="007A22DC">
        <w:t>z 17 października 2018 r..</w:t>
      </w:r>
    </w:p>
  </w:footnote>
  <w:footnote w:id="204">
    <w:p w14:paraId="3CCB6858" w14:textId="77777777" w:rsidR="00803B7D" w:rsidRPr="007A22DC" w:rsidRDefault="00803B7D" w:rsidP="00912BBA">
      <w:pPr>
        <w:pStyle w:val="Przypis"/>
      </w:pPr>
      <w:r w:rsidRPr="007A22DC">
        <w:rPr>
          <w:rStyle w:val="Odwoanieprzypisudolnego"/>
        </w:rPr>
        <w:footnoteRef/>
      </w:r>
      <w:r w:rsidRPr="007A22DC">
        <w:t xml:space="preserve"> Zobacz: </w:t>
      </w:r>
      <w:hyperlink r:id="rId145" w:history="1">
        <w:r w:rsidRPr="007A22DC">
          <w:rPr>
            <w:rStyle w:val="Hipercze"/>
          </w:rPr>
          <w:t>https://www.rpo.gov.pl/pl/content/RPO-oswiadczenie-po-slowach-Andrzej-Duda-ws-Trybunal-Konstytucyjny</w:t>
        </w:r>
      </w:hyperlink>
    </w:p>
  </w:footnote>
  <w:footnote w:id="205">
    <w:p w14:paraId="626EC691" w14:textId="77777777" w:rsidR="00803B7D" w:rsidRPr="007A22DC" w:rsidRDefault="00803B7D" w:rsidP="00912BBA">
      <w:pPr>
        <w:pStyle w:val="Przypis"/>
      </w:pPr>
      <w:r w:rsidRPr="007A22DC">
        <w:rPr>
          <w:rStyle w:val="Odwoanieprzypisudolnego"/>
        </w:rPr>
        <w:footnoteRef/>
      </w:r>
      <w:r w:rsidRPr="007A22DC">
        <w:t xml:space="preserve"> </w:t>
      </w:r>
      <w:hyperlink r:id="rId146" w:history="1">
        <w:r w:rsidRPr="007A22DC">
          <w:rPr>
            <w:rStyle w:val="Hipercze"/>
            <w:shd w:val="clear" w:color="auto" w:fill="FFFFFF"/>
          </w:rPr>
          <w:t>II.519.109.2015 z 14 marca 2018 r.</w:t>
        </w:r>
      </w:hyperlink>
    </w:p>
  </w:footnote>
  <w:footnote w:id="206">
    <w:p w14:paraId="4EC49745" w14:textId="77777777" w:rsidR="00803B7D" w:rsidRPr="007A22DC" w:rsidRDefault="00803B7D" w:rsidP="00912BBA">
      <w:pPr>
        <w:pStyle w:val="Tekstprzypisudolnego"/>
      </w:pPr>
      <w:r w:rsidRPr="007A22DC">
        <w:rPr>
          <w:rStyle w:val="Odwoanieprzypisudolnego"/>
        </w:rPr>
        <w:footnoteRef/>
      </w:r>
      <w:r w:rsidRPr="007A22DC">
        <w:t xml:space="preserve"> O problemie powoływania do Trybunału na miejsca już obsadzone – patrz Informacja roczna za 2017 r. s.199</w:t>
      </w:r>
    </w:p>
  </w:footnote>
  <w:footnote w:id="207">
    <w:p w14:paraId="66EC0FCD" w14:textId="77777777" w:rsidR="00803B7D" w:rsidRPr="007A22DC" w:rsidRDefault="00803B7D" w:rsidP="00912BBA">
      <w:pPr>
        <w:pStyle w:val="Przypis"/>
      </w:pPr>
      <w:r w:rsidRPr="007A22DC">
        <w:rPr>
          <w:rStyle w:val="Odwoanieprzypisudolnego"/>
        </w:rPr>
        <w:footnoteRef/>
      </w:r>
      <w:r w:rsidRPr="007A22DC">
        <w:t xml:space="preserve"> </w:t>
      </w:r>
      <w:hyperlink r:id="rId147" w:history="1">
        <w:r w:rsidRPr="007A22DC">
          <w:rPr>
            <w:rStyle w:val="Hipercze"/>
            <w:shd w:val="clear" w:color="auto" w:fill="FFFFFF"/>
          </w:rPr>
          <w:t>II.510.360.2016 z 9 kwietnia 2018</w:t>
        </w:r>
      </w:hyperlink>
      <w:r w:rsidRPr="007A22DC">
        <w:rPr>
          <w:rStyle w:val="Hipercze"/>
          <w:shd w:val="clear" w:color="auto" w:fill="FFFFFF"/>
        </w:rPr>
        <w:t> r.</w:t>
      </w:r>
    </w:p>
  </w:footnote>
  <w:footnote w:id="208">
    <w:p w14:paraId="09270E3B" w14:textId="77777777" w:rsidR="00803B7D" w:rsidRPr="007A22DC" w:rsidRDefault="00803B7D" w:rsidP="00912BBA">
      <w:pPr>
        <w:pStyle w:val="Przypis"/>
      </w:pPr>
      <w:r w:rsidRPr="007A22DC">
        <w:rPr>
          <w:rStyle w:val="Odwoanieprzypisudolnego"/>
        </w:rPr>
        <w:footnoteRef/>
      </w:r>
      <w:r w:rsidRPr="007A22DC">
        <w:t xml:space="preserve"> </w:t>
      </w:r>
      <w:hyperlink r:id="rId148" w:history="1">
        <w:r w:rsidRPr="007A22DC">
          <w:rPr>
            <w:rStyle w:val="Hipercze"/>
          </w:rPr>
          <w:t>VII.520.6.2016 z 30 kwietnia 2018</w:t>
        </w:r>
      </w:hyperlink>
      <w:r w:rsidRPr="007A22DC">
        <w:t> r.</w:t>
      </w:r>
    </w:p>
  </w:footnote>
  <w:footnote w:id="209">
    <w:p w14:paraId="3A59B058" w14:textId="77777777" w:rsidR="00803B7D" w:rsidRPr="007A22DC" w:rsidRDefault="00803B7D" w:rsidP="00912BBA">
      <w:pPr>
        <w:pStyle w:val="Przypis"/>
      </w:pPr>
      <w:r w:rsidRPr="007A22DC">
        <w:rPr>
          <w:rStyle w:val="Odwoanieprzypisudolnego"/>
        </w:rPr>
        <w:footnoteRef/>
      </w:r>
      <w:r w:rsidRPr="007A22DC">
        <w:t xml:space="preserve"> </w:t>
      </w:r>
      <w:hyperlink r:id="rId149" w:history="1">
        <w:r w:rsidRPr="007A22DC">
          <w:rPr>
            <w:rStyle w:val="Hipercze"/>
            <w:shd w:val="clear" w:color="auto" w:fill="FFFFFF"/>
          </w:rPr>
          <w:t>II.520.1.2016 z 11 maja 2018 r.</w:t>
        </w:r>
      </w:hyperlink>
    </w:p>
  </w:footnote>
  <w:footnote w:id="210">
    <w:p w14:paraId="1DCF01AD" w14:textId="77777777" w:rsidR="00803B7D" w:rsidRPr="007A22DC" w:rsidRDefault="00803B7D" w:rsidP="00912BBA">
      <w:pPr>
        <w:pStyle w:val="Przypis"/>
      </w:pPr>
      <w:r w:rsidRPr="007A22DC">
        <w:rPr>
          <w:rStyle w:val="Odwoanieprzypisudolnego"/>
        </w:rPr>
        <w:footnoteRef/>
      </w:r>
      <w:r w:rsidRPr="007A22DC">
        <w:t xml:space="preserve"> Informacja roczna za 2017 r., s. 198</w:t>
      </w:r>
    </w:p>
  </w:footnote>
  <w:footnote w:id="211">
    <w:p w14:paraId="29801E4B" w14:textId="77777777" w:rsidR="00803B7D" w:rsidRPr="007A22DC" w:rsidRDefault="00803B7D" w:rsidP="00D86DD2">
      <w:pPr>
        <w:pStyle w:val="Przypis"/>
      </w:pPr>
      <w:r w:rsidRPr="007A22DC">
        <w:rPr>
          <w:rStyle w:val="Odwoanieprzypisudolnego"/>
        </w:rPr>
        <w:footnoteRef/>
      </w:r>
      <w:r w:rsidRPr="007A22DC">
        <w:t xml:space="preserve"> </w:t>
      </w:r>
      <w:hyperlink r:id="rId150" w:history="1">
        <w:r w:rsidRPr="007A22DC">
          <w:rPr>
            <w:rStyle w:val="Hipercze"/>
          </w:rPr>
          <w:t>VII.510.20.2015</w:t>
        </w:r>
      </w:hyperlink>
      <w:r w:rsidRPr="007A22DC">
        <w:t xml:space="preserve"> z 7 maja 2018 r. i z 6 grudnia 2018 r., odpowiedź DKSSiP </w:t>
      </w:r>
      <w:r w:rsidRPr="007A22DC">
        <w:rPr>
          <w:bCs/>
          <w:iCs/>
        </w:rPr>
        <w:t>z 18 maja.2018 r.</w:t>
      </w:r>
    </w:p>
  </w:footnote>
  <w:footnote w:id="212">
    <w:p w14:paraId="3316F1EC" w14:textId="77777777" w:rsidR="00803B7D" w:rsidRPr="007A22DC" w:rsidRDefault="00803B7D" w:rsidP="00D86DD2">
      <w:pPr>
        <w:pStyle w:val="Przypis"/>
      </w:pPr>
      <w:r w:rsidRPr="007A22DC">
        <w:rPr>
          <w:rStyle w:val="Odwoanieprzypisudolnego"/>
        </w:rPr>
        <w:footnoteRef/>
      </w:r>
      <w:r w:rsidRPr="007A22DC">
        <w:t xml:space="preserve"> </w:t>
      </w:r>
      <w:hyperlink r:id="rId151" w:history="1">
        <w:r w:rsidRPr="007A22DC">
          <w:rPr>
            <w:rStyle w:val="Hipercze"/>
          </w:rPr>
          <w:t>VII.561.5.2016</w:t>
        </w:r>
      </w:hyperlink>
      <w:r w:rsidRPr="007A22DC">
        <w:t xml:space="preserve"> z 22 stycznia 2018 r., odpowiedź z 8 lutego 2018 r.</w:t>
      </w:r>
    </w:p>
  </w:footnote>
  <w:footnote w:id="213">
    <w:p w14:paraId="124BB9F0" w14:textId="77777777" w:rsidR="00803B7D" w:rsidRPr="007A22DC" w:rsidRDefault="00803B7D" w:rsidP="00D86DD2">
      <w:pPr>
        <w:pStyle w:val="Przypis"/>
      </w:pPr>
      <w:r w:rsidRPr="007A22DC">
        <w:rPr>
          <w:rStyle w:val="Odwoanieprzypisudolnego"/>
        </w:rPr>
        <w:footnoteRef/>
      </w:r>
      <w:r w:rsidRPr="007A22DC">
        <w:t xml:space="preserve"> </w:t>
      </w:r>
      <w:hyperlink r:id="rId152" w:history="1">
        <w:r w:rsidRPr="007A22DC">
          <w:rPr>
            <w:rStyle w:val="Hipercze"/>
          </w:rPr>
          <w:t>II.510.312.2018</w:t>
        </w:r>
      </w:hyperlink>
      <w:r w:rsidRPr="007A22DC">
        <w:t xml:space="preserve"> z 16 lipca 2018 r., odpowiedź z 19 września 2018 r.</w:t>
      </w:r>
    </w:p>
  </w:footnote>
  <w:footnote w:id="214">
    <w:p w14:paraId="7E28DF6F" w14:textId="77777777" w:rsidR="00803B7D" w:rsidRPr="007A22DC" w:rsidRDefault="00803B7D" w:rsidP="00D86DD2">
      <w:pPr>
        <w:pStyle w:val="Przypis"/>
      </w:pPr>
      <w:r w:rsidRPr="007A22DC">
        <w:rPr>
          <w:rStyle w:val="Odwoanieprzypisudolnego"/>
        </w:rPr>
        <w:footnoteRef/>
      </w:r>
      <w:r w:rsidRPr="007A22DC">
        <w:t xml:space="preserve"> IV.511.185.2017 z 15 stycznia 2017 r., sygn. akt P 21/17</w:t>
      </w:r>
    </w:p>
  </w:footnote>
  <w:footnote w:id="215">
    <w:p w14:paraId="0110AED2" w14:textId="77777777" w:rsidR="00803B7D" w:rsidRPr="007A22DC" w:rsidRDefault="00803B7D" w:rsidP="00D86DD2">
      <w:pPr>
        <w:pStyle w:val="Przypis"/>
      </w:pPr>
      <w:r w:rsidRPr="007A22DC">
        <w:rPr>
          <w:rStyle w:val="Odwoanieprzypisudolnego"/>
        </w:rPr>
        <w:footnoteRef/>
      </w:r>
      <w:r w:rsidRPr="007A22DC">
        <w:t xml:space="preserve"> Ustawa z 26 stycznia 2018 r. (Dz.U. poz.398, ze zm.).</w:t>
      </w:r>
    </w:p>
  </w:footnote>
  <w:footnote w:id="216">
    <w:p w14:paraId="780F6DC0" w14:textId="77777777" w:rsidR="00803B7D" w:rsidRPr="007A22DC" w:rsidRDefault="00803B7D" w:rsidP="00DD17D6">
      <w:pPr>
        <w:pStyle w:val="Przypis"/>
      </w:pPr>
      <w:r w:rsidRPr="007A22DC">
        <w:rPr>
          <w:rStyle w:val="Odwoanieprzypisudolnego"/>
        </w:rPr>
        <w:footnoteRef/>
      </w:r>
      <w:r w:rsidRPr="007A22DC">
        <w:t xml:space="preserve"> V.511.512.2018 z 30 października 2018 r., sygn. akt P 9/18.</w:t>
      </w:r>
    </w:p>
  </w:footnote>
  <w:footnote w:id="217">
    <w:p w14:paraId="02F25930" w14:textId="77777777" w:rsidR="00803B7D" w:rsidRPr="007A22DC" w:rsidRDefault="00803B7D" w:rsidP="00D86DD2">
      <w:pPr>
        <w:pStyle w:val="Przypis"/>
      </w:pPr>
      <w:r w:rsidRPr="007A22DC">
        <w:rPr>
          <w:rStyle w:val="Odwoanieprzypisudolnego"/>
        </w:rPr>
        <w:footnoteRef/>
      </w:r>
      <w:r w:rsidRPr="007A22DC">
        <w:t xml:space="preserve"> Wyrok z 3 października 2018 r., sygn. akt SK 5/16.</w:t>
      </w:r>
    </w:p>
  </w:footnote>
  <w:footnote w:id="218">
    <w:p w14:paraId="26543DD0" w14:textId="77777777" w:rsidR="00803B7D" w:rsidRPr="007A22DC" w:rsidRDefault="00803B7D" w:rsidP="001F4A0E">
      <w:pPr>
        <w:pStyle w:val="Przypis"/>
      </w:pPr>
      <w:r w:rsidRPr="007A22DC">
        <w:rPr>
          <w:rStyle w:val="Odwoanieprzypisudolnego"/>
        </w:rPr>
        <w:footnoteRef/>
      </w:r>
      <w:r w:rsidRPr="007A22DC">
        <w:t xml:space="preserve"> IV.510.40.2018 z 17 maja 2018 r..</w:t>
      </w:r>
    </w:p>
  </w:footnote>
  <w:footnote w:id="219">
    <w:p w14:paraId="08D410F6" w14:textId="77777777" w:rsidR="00803B7D" w:rsidRPr="007A22DC" w:rsidRDefault="00803B7D" w:rsidP="001F4A0E">
      <w:pPr>
        <w:pStyle w:val="Przypis"/>
      </w:pPr>
      <w:r w:rsidRPr="007A22DC">
        <w:rPr>
          <w:rStyle w:val="Odwoanieprzypisudolnego"/>
        </w:rPr>
        <w:footnoteRef/>
      </w:r>
      <w:r w:rsidRPr="007A22DC">
        <w:t xml:space="preserve"> Uchwała SN z 12 lipca 2018 r., sygn. akt III CZP 3/18.</w:t>
      </w:r>
    </w:p>
  </w:footnote>
  <w:footnote w:id="220">
    <w:p w14:paraId="4A9B60EB" w14:textId="77777777" w:rsidR="00803B7D" w:rsidRPr="007A22DC" w:rsidRDefault="00803B7D" w:rsidP="00D86DD2">
      <w:pPr>
        <w:pStyle w:val="Przypis"/>
      </w:pPr>
      <w:r w:rsidRPr="007A22DC">
        <w:rPr>
          <w:rStyle w:val="Odwoanieprzypisudolnego"/>
        </w:rPr>
        <w:footnoteRef/>
      </w:r>
      <w:r w:rsidRPr="007A22DC">
        <w:t xml:space="preserve"> </w:t>
      </w:r>
      <w:hyperlink r:id="rId153" w:history="1">
        <w:r w:rsidRPr="007A22DC">
          <w:rPr>
            <w:rStyle w:val="Hipercze"/>
          </w:rPr>
          <w:t>II.510.223.2015</w:t>
        </w:r>
      </w:hyperlink>
      <w:r w:rsidRPr="007A22DC">
        <w:t xml:space="preserve"> z 19 stycznia 2018 r., wyrok SN z </w:t>
      </w:r>
      <w:r w:rsidRPr="007A22DC">
        <w:rPr>
          <w:rFonts w:ascii="Open Sans Regular" w:hAnsi="Open Sans Regular"/>
          <w:color w:val="18223E"/>
          <w:sz w:val="21"/>
          <w:szCs w:val="21"/>
          <w:shd w:val="clear" w:color="auto" w:fill="FFFFFF"/>
        </w:rPr>
        <w:t xml:space="preserve">10 </w:t>
      </w:r>
      <w:r w:rsidRPr="007A22DC">
        <w:t>kwietnia</w:t>
      </w:r>
      <w:r w:rsidRPr="007A22DC">
        <w:rPr>
          <w:rFonts w:ascii="Open Sans Regular" w:hAnsi="Open Sans Regular"/>
          <w:color w:val="18223E"/>
          <w:sz w:val="21"/>
          <w:szCs w:val="21"/>
          <w:shd w:val="clear" w:color="auto" w:fill="FFFFFF"/>
        </w:rPr>
        <w:t xml:space="preserve"> </w:t>
      </w:r>
      <w:r w:rsidRPr="007A22DC">
        <w:t>2019 r. sygn. akt II KK 31/18</w:t>
      </w:r>
    </w:p>
  </w:footnote>
  <w:footnote w:id="221">
    <w:p w14:paraId="45E1F003" w14:textId="77777777" w:rsidR="00803B7D" w:rsidRPr="007A22DC" w:rsidRDefault="00803B7D" w:rsidP="00D86DD2">
      <w:pPr>
        <w:pStyle w:val="Przypis"/>
      </w:pPr>
      <w:r w:rsidRPr="007A22DC">
        <w:rPr>
          <w:rStyle w:val="Odwoanieprzypisudolnego"/>
        </w:rPr>
        <w:footnoteRef/>
      </w:r>
      <w:r w:rsidRPr="007A22DC">
        <w:t xml:space="preserve"> </w:t>
      </w:r>
      <w:hyperlink r:id="rId154" w:history="1">
        <w:r w:rsidRPr="007A22DC">
          <w:rPr>
            <w:rStyle w:val="Hipercze"/>
            <w:shd w:val="clear" w:color="auto" w:fill="FFFFFF"/>
          </w:rPr>
          <w:t>II.511.462.2017</w:t>
        </w:r>
      </w:hyperlink>
    </w:p>
  </w:footnote>
  <w:footnote w:id="222">
    <w:p w14:paraId="07C1785D" w14:textId="77777777" w:rsidR="00803B7D" w:rsidRPr="007A22DC" w:rsidRDefault="00803B7D" w:rsidP="00D86DD2">
      <w:pPr>
        <w:pStyle w:val="Przypis"/>
        <w:rPr>
          <w:bCs/>
        </w:rPr>
      </w:pPr>
      <w:r w:rsidRPr="007A22DC">
        <w:rPr>
          <w:rStyle w:val="Odwoanieprzypisudolnego"/>
        </w:rPr>
        <w:footnoteRef/>
      </w:r>
      <w:r w:rsidRPr="007A22DC">
        <w:t xml:space="preserve"> </w:t>
      </w:r>
      <w:hyperlink r:id="rId155" w:history="1">
        <w:r w:rsidRPr="007A22DC">
          <w:rPr>
            <w:rStyle w:val="Hipercze"/>
            <w:shd w:val="clear" w:color="auto" w:fill="FFFFFF"/>
          </w:rPr>
          <w:t>II.510.685.2018</w:t>
        </w:r>
      </w:hyperlink>
    </w:p>
  </w:footnote>
  <w:footnote w:id="223">
    <w:p w14:paraId="24333006" w14:textId="77777777" w:rsidR="00803B7D" w:rsidRPr="007A22DC" w:rsidRDefault="00803B7D" w:rsidP="00D86DD2">
      <w:pPr>
        <w:pStyle w:val="Przypis"/>
      </w:pPr>
      <w:r w:rsidRPr="007A22DC">
        <w:rPr>
          <w:rStyle w:val="Odwoanieprzypisudolnego"/>
        </w:rPr>
        <w:footnoteRef/>
      </w:r>
      <w:r w:rsidRPr="007A22DC">
        <w:t xml:space="preserve"> Ustawa z 5 sierpnia 2015 r. (Dz.U. z 2017 r. poz. 2030, ze zm.).</w:t>
      </w:r>
    </w:p>
  </w:footnote>
  <w:footnote w:id="224">
    <w:p w14:paraId="5AC61E69" w14:textId="77777777" w:rsidR="00803B7D" w:rsidRPr="007A22DC" w:rsidRDefault="00803B7D" w:rsidP="00D86DD2">
      <w:pPr>
        <w:pStyle w:val="Przypis"/>
      </w:pPr>
      <w:r w:rsidRPr="007A22DC">
        <w:rPr>
          <w:rStyle w:val="Odwoanieprzypisudolnego"/>
        </w:rPr>
        <w:footnoteRef/>
      </w:r>
      <w:r w:rsidRPr="007A22DC">
        <w:t xml:space="preserve"> </w:t>
      </w:r>
      <w:hyperlink r:id="rId156" w:history="1">
        <w:r w:rsidRPr="007A22DC">
          <w:rPr>
            <w:rStyle w:val="Hipercze"/>
          </w:rPr>
          <w:t>IV.510.9.2014</w:t>
        </w:r>
      </w:hyperlink>
      <w:r w:rsidRPr="007A22DC">
        <w:t xml:space="preserve"> z 13 listopada 2018 r., odpowiedź z 12 grudnia 2018 r.</w:t>
      </w:r>
    </w:p>
  </w:footnote>
  <w:footnote w:id="225">
    <w:p w14:paraId="7D897FE0" w14:textId="77777777" w:rsidR="00803B7D" w:rsidRPr="007A22DC" w:rsidRDefault="00803B7D" w:rsidP="00D86DD2">
      <w:pPr>
        <w:pStyle w:val="Przypis"/>
      </w:pPr>
      <w:r w:rsidRPr="007A22DC">
        <w:rPr>
          <w:rStyle w:val="Odwoanieprzypisudolnego"/>
        </w:rPr>
        <w:footnoteRef/>
      </w:r>
      <w:r w:rsidRPr="007A22DC">
        <w:t xml:space="preserve"> </w:t>
      </w:r>
      <w:hyperlink r:id="rId157" w:history="1">
        <w:r w:rsidRPr="007A22DC">
          <w:rPr>
            <w:rStyle w:val="Hipercze"/>
          </w:rPr>
          <w:t>II.510.498.2018</w:t>
        </w:r>
      </w:hyperlink>
      <w:r w:rsidRPr="007A22DC">
        <w:t xml:space="preserve"> z 10 sierpnia 2018 r., odpowiedź z 29 października 2018 r..</w:t>
      </w:r>
    </w:p>
  </w:footnote>
  <w:footnote w:id="226">
    <w:p w14:paraId="1EFBBD7F" w14:textId="77777777" w:rsidR="00803B7D" w:rsidRPr="007A22DC" w:rsidRDefault="00803B7D" w:rsidP="00C5372A">
      <w:pPr>
        <w:pStyle w:val="Przypis"/>
      </w:pPr>
      <w:r w:rsidRPr="007A22DC">
        <w:rPr>
          <w:rStyle w:val="Odwoanieprzypisudolnego"/>
        </w:rPr>
        <w:footnoteRef/>
      </w:r>
      <w:r w:rsidRPr="007A22DC">
        <w:t xml:space="preserve"> Wyrok TK z 27 lutego 2018 r., sygn. akt SK 25/15.</w:t>
      </w:r>
    </w:p>
  </w:footnote>
  <w:footnote w:id="227">
    <w:p w14:paraId="3AA17433" w14:textId="77777777" w:rsidR="00803B7D" w:rsidRPr="007A22DC" w:rsidRDefault="00803B7D" w:rsidP="00C5372A">
      <w:pPr>
        <w:pStyle w:val="Przypis"/>
      </w:pPr>
      <w:r w:rsidRPr="007A22DC">
        <w:rPr>
          <w:rStyle w:val="Odwoanieprzypisudolnego"/>
        </w:rPr>
        <w:footnoteRef/>
      </w:r>
      <w:r w:rsidRPr="007A22DC">
        <w:t xml:space="preserve"> Informacja RPO za 2015 r., str. 48</w:t>
      </w:r>
    </w:p>
  </w:footnote>
  <w:footnote w:id="228">
    <w:p w14:paraId="5EF391CE" w14:textId="77777777" w:rsidR="00803B7D" w:rsidRPr="007A22DC" w:rsidRDefault="00803B7D" w:rsidP="00C5372A">
      <w:pPr>
        <w:pStyle w:val="Przypis"/>
      </w:pPr>
      <w:r w:rsidRPr="007A22DC">
        <w:rPr>
          <w:rStyle w:val="Odwoanieprzypisudolnego"/>
        </w:rPr>
        <w:footnoteRef/>
      </w:r>
      <w:r w:rsidRPr="007A22DC">
        <w:t xml:space="preserve"> Wyrok TK z 11 grudnia 2018 r., sygn. akt SK 25/16.</w:t>
      </w:r>
    </w:p>
  </w:footnote>
  <w:footnote w:id="229">
    <w:p w14:paraId="412D7E67" w14:textId="77777777" w:rsidR="00803B7D" w:rsidRPr="007A22DC" w:rsidRDefault="00803B7D" w:rsidP="00C5372A">
      <w:pPr>
        <w:pStyle w:val="Przypis"/>
      </w:pPr>
      <w:r w:rsidRPr="007A22DC">
        <w:rPr>
          <w:rStyle w:val="Odwoanieprzypisudolnego"/>
        </w:rPr>
        <w:footnoteRef/>
      </w:r>
      <w:r w:rsidRPr="007A22DC">
        <w:t xml:space="preserve"> Informacja RPO za 2016 r., str. 62-63 </w:t>
      </w:r>
    </w:p>
  </w:footnote>
  <w:footnote w:id="230">
    <w:p w14:paraId="095704D8" w14:textId="77777777" w:rsidR="00803B7D" w:rsidRPr="007A22DC" w:rsidRDefault="00803B7D" w:rsidP="00D86DD2">
      <w:pPr>
        <w:pStyle w:val="Przypis"/>
      </w:pPr>
      <w:r w:rsidRPr="007A22DC">
        <w:rPr>
          <w:rStyle w:val="Odwoanieprzypisudolnego"/>
        </w:rPr>
        <w:footnoteRef/>
      </w:r>
      <w:r w:rsidRPr="007A22DC">
        <w:t xml:space="preserve"> </w:t>
      </w:r>
      <w:hyperlink r:id="rId158" w:history="1">
        <w:r w:rsidRPr="007A22DC">
          <w:rPr>
            <w:rStyle w:val="Hipercze"/>
          </w:rPr>
          <w:t>VII.501.2.2018</w:t>
        </w:r>
      </w:hyperlink>
      <w:r w:rsidRPr="007A22DC">
        <w:t xml:space="preserve"> z 22 lutego 2018 r., pismo do premiera z 4 czerwca 2018 r..</w:t>
      </w:r>
    </w:p>
  </w:footnote>
  <w:footnote w:id="231">
    <w:p w14:paraId="6A619A9F" w14:textId="77777777" w:rsidR="00803B7D" w:rsidRPr="007A22DC" w:rsidRDefault="00803B7D" w:rsidP="00D86DD2">
      <w:pPr>
        <w:pStyle w:val="Przypis"/>
      </w:pPr>
      <w:r w:rsidRPr="007A22DC">
        <w:rPr>
          <w:rStyle w:val="Odwoanieprzypisudolnego"/>
        </w:rPr>
        <w:footnoteRef/>
      </w:r>
      <w:r w:rsidRPr="007A22DC">
        <w:t xml:space="preserve"> Ustawa z 13 maja 2016 r. (Dz.U. poz. 862, ze zm.).</w:t>
      </w:r>
    </w:p>
  </w:footnote>
  <w:footnote w:id="232">
    <w:p w14:paraId="3D75C2E4" w14:textId="77777777" w:rsidR="00803B7D" w:rsidRPr="007A22DC" w:rsidRDefault="00803B7D" w:rsidP="00D86DD2">
      <w:pPr>
        <w:pStyle w:val="Przypis"/>
      </w:pPr>
      <w:r w:rsidRPr="007A22DC">
        <w:rPr>
          <w:rStyle w:val="Odwoanieprzypisudolnego"/>
        </w:rPr>
        <w:footnoteRef/>
      </w:r>
      <w:r w:rsidRPr="007A22DC">
        <w:t xml:space="preserve"> </w:t>
      </w:r>
      <w:hyperlink r:id="rId159" w:anchor="overlay-context=" w:history="1">
        <w:r w:rsidRPr="007A22DC">
          <w:rPr>
            <w:rStyle w:val="Hipercze"/>
          </w:rPr>
          <w:t>II.510.840.2016</w:t>
        </w:r>
      </w:hyperlink>
      <w:r w:rsidRPr="007A22DC">
        <w:t xml:space="preserve"> z 2 lutego 2018 r.</w:t>
      </w:r>
    </w:p>
  </w:footnote>
  <w:footnote w:id="233">
    <w:p w14:paraId="69C28BB4" w14:textId="77777777" w:rsidR="00803B7D" w:rsidRPr="007A22DC" w:rsidRDefault="00803B7D" w:rsidP="001D4F1C">
      <w:pPr>
        <w:pStyle w:val="Przypis"/>
      </w:pPr>
      <w:r w:rsidRPr="007A22DC">
        <w:rPr>
          <w:rStyle w:val="Odwoanieprzypisudolnego"/>
        </w:rPr>
        <w:footnoteRef/>
      </w:r>
      <w:r w:rsidRPr="007A22DC">
        <w:t xml:space="preserve"> 2012/29/UE</w:t>
      </w:r>
    </w:p>
  </w:footnote>
  <w:footnote w:id="234">
    <w:p w14:paraId="6776614A" w14:textId="77777777" w:rsidR="00803B7D" w:rsidRPr="007A22DC" w:rsidRDefault="00803B7D" w:rsidP="00D86DD2">
      <w:pPr>
        <w:pStyle w:val="Przypis"/>
      </w:pPr>
      <w:r w:rsidRPr="007A22DC">
        <w:rPr>
          <w:rStyle w:val="Odwoanieprzypisudolnego"/>
        </w:rPr>
        <w:footnoteRef/>
      </w:r>
      <w:r w:rsidRPr="007A22DC">
        <w:t xml:space="preserve"> </w:t>
      </w:r>
      <w:hyperlink r:id="rId160" w:history="1">
        <w:r w:rsidRPr="007A22DC">
          <w:rPr>
            <w:rStyle w:val="Hipercze"/>
          </w:rPr>
          <w:t>II.518.1.2018</w:t>
        </w:r>
      </w:hyperlink>
      <w:r w:rsidRPr="007A22DC">
        <w:t xml:space="preserve"> z 16 kwietnia 2018 r.</w:t>
      </w:r>
    </w:p>
  </w:footnote>
  <w:footnote w:id="235">
    <w:p w14:paraId="437F391C" w14:textId="77777777" w:rsidR="00803B7D" w:rsidRPr="007A22DC" w:rsidRDefault="00803B7D" w:rsidP="00D86DD2">
      <w:pPr>
        <w:pStyle w:val="Przypis"/>
      </w:pPr>
      <w:r w:rsidRPr="007A22DC">
        <w:rPr>
          <w:rStyle w:val="Odwoanieprzypisudolnego"/>
        </w:rPr>
        <w:footnoteRef/>
      </w:r>
      <w:r w:rsidRPr="007A22DC">
        <w:t xml:space="preserve"> </w:t>
      </w:r>
      <w:hyperlink r:id="rId161" w:history="1">
        <w:r w:rsidRPr="007A22DC">
          <w:rPr>
            <w:rStyle w:val="Hipercze"/>
          </w:rPr>
          <w:t>II.511.263.2018</w:t>
        </w:r>
      </w:hyperlink>
      <w:r w:rsidRPr="007A22DC">
        <w:t xml:space="preserve"> z 11 czerwca 2018 r.</w:t>
      </w:r>
    </w:p>
  </w:footnote>
  <w:footnote w:id="236">
    <w:p w14:paraId="02BED03A" w14:textId="77777777" w:rsidR="00803B7D" w:rsidRPr="007A22DC" w:rsidRDefault="00803B7D" w:rsidP="00C5372A">
      <w:pPr>
        <w:pStyle w:val="Przypis"/>
      </w:pPr>
      <w:r w:rsidRPr="007A22DC">
        <w:rPr>
          <w:rStyle w:val="Odwoanieprzypisudolnego"/>
        </w:rPr>
        <w:footnoteRef/>
      </w:r>
      <w:r w:rsidRPr="007A22DC">
        <w:t xml:space="preserve"> </w:t>
      </w:r>
      <w:hyperlink r:id="rId162" w:history="1">
        <w:r w:rsidRPr="007A22DC">
          <w:rPr>
            <w:rStyle w:val="Hipercze"/>
          </w:rPr>
          <w:t>II.518.3.2018</w:t>
        </w:r>
      </w:hyperlink>
      <w:r w:rsidRPr="007A22DC">
        <w:t xml:space="preserve"> z 7 maja 2018 r.</w:t>
      </w:r>
    </w:p>
  </w:footnote>
  <w:footnote w:id="237">
    <w:p w14:paraId="6D46E782" w14:textId="77777777" w:rsidR="00803B7D" w:rsidRPr="007A22DC" w:rsidRDefault="00803B7D" w:rsidP="00CC7596">
      <w:pPr>
        <w:pStyle w:val="Przypis"/>
      </w:pPr>
      <w:r w:rsidRPr="007A22DC">
        <w:rPr>
          <w:rStyle w:val="Odwoanieprzypisudolnego"/>
        </w:rPr>
        <w:footnoteRef/>
      </w:r>
      <w:r w:rsidRPr="007A22DC">
        <w:t xml:space="preserve"> Art. 3 ustawy z dnia 12 lipca 2017 r. o zmianie ustawy – Prawo o ustroju sądów powszechnych oraz niektórych innych ustaw (Dz.U. poz. 1452).</w:t>
      </w:r>
    </w:p>
  </w:footnote>
  <w:footnote w:id="238">
    <w:p w14:paraId="542C4709" w14:textId="77777777" w:rsidR="00803B7D" w:rsidRPr="007A22DC" w:rsidRDefault="00803B7D" w:rsidP="00D86DD2">
      <w:pPr>
        <w:pStyle w:val="Przypis"/>
      </w:pPr>
      <w:r w:rsidRPr="007A22DC">
        <w:rPr>
          <w:rStyle w:val="Odwoanieprzypisudolnego"/>
        </w:rPr>
        <w:footnoteRef/>
      </w:r>
      <w:r w:rsidRPr="007A22DC">
        <w:t xml:space="preserve"> Rozporządzenie Ministra Sprawiedliwości z dnia 13 września 2017 r. w sprawie Funduszu Pomocy Pokrzywdzonym oraz Pomocy Postpenitencjarnej – Funduszu Sprawiedliwości (Dz. U. poz. 1760).</w:t>
      </w:r>
    </w:p>
  </w:footnote>
  <w:footnote w:id="239">
    <w:p w14:paraId="41AE08E6" w14:textId="77777777" w:rsidR="00803B7D" w:rsidRPr="007A22DC" w:rsidRDefault="00803B7D" w:rsidP="00D86DD2">
      <w:pPr>
        <w:pStyle w:val="Przypis"/>
      </w:pPr>
      <w:r w:rsidRPr="007A22DC">
        <w:rPr>
          <w:rStyle w:val="Odwoanieprzypisudolnego"/>
        </w:rPr>
        <w:footnoteRef/>
      </w:r>
      <w:r w:rsidRPr="007A22DC">
        <w:t xml:space="preserve"> </w:t>
      </w:r>
      <w:hyperlink r:id="rId163" w:history="1">
        <w:r w:rsidRPr="007A22DC">
          <w:rPr>
            <w:rStyle w:val="Hipercze"/>
          </w:rPr>
          <w:t>V.512.21.2017</w:t>
        </w:r>
      </w:hyperlink>
      <w:r w:rsidRPr="007A22DC">
        <w:t xml:space="preserve"> z 4 lipca 2018 r., odpowiedź z 16 lipca 2018 r..</w:t>
      </w:r>
    </w:p>
  </w:footnote>
  <w:footnote w:id="240">
    <w:p w14:paraId="4C983738" w14:textId="77777777" w:rsidR="00803B7D" w:rsidRPr="007A22DC" w:rsidRDefault="00803B7D" w:rsidP="00D86DD2">
      <w:pPr>
        <w:pStyle w:val="Przypis"/>
      </w:pPr>
      <w:r w:rsidRPr="007A22DC">
        <w:rPr>
          <w:rStyle w:val="Odwoanieprzypisudolnego"/>
        </w:rPr>
        <w:footnoteRef/>
      </w:r>
      <w:r w:rsidRPr="007A22DC">
        <w:t xml:space="preserve"> </w:t>
      </w:r>
      <w:hyperlink r:id="rId164" w:history="1">
        <w:r w:rsidRPr="007A22DC">
          <w:rPr>
            <w:rStyle w:val="Hipercze"/>
          </w:rPr>
          <w:t>III.7060.456.2018</w:t>
        </w:r>
      </w:hyperlink>
      <w:r w:rsidRPr="007A22DC">
        <w:t xml:space="preserve"> z 22 sierpnia 2018 r.</w:t>
      </w:r>
    </w:p>
  </w:footnote>
  <w:footnote w:id="241">
    <w:p w14:paraId="068B4D1E" w14:textId="77777777" w:rsidR="00803B7D" w:rsidRPr="007A22DC" w:rsidRDefault="00803B7D" w:rsidP="00D86DD2">
      <w:pPr>
        <w:pStyle w:val="Przypis"/>
      </w:pPr>
      <w:r w:rsidRPr="007A22DC">
        <w:rPr>
          <w:rStyle w:val="Odwoanieprzypisudolnego"/>
        </w:rPr>
        <w:footnoteRef/>
      </w:r>
      <w:r w:rsidRPr="007A22DC">
        <w:t xml:space="preserve"> </w:t>
      </w:r>
      <w:hyperlink r:id="rId165" w:history="1">
        <w:r w:rsidRPr="007A22DC">
          <w:rPr>
            <w:rStyle w:val="Hipercze"/>
          </w:rPr>
          <w:t>IV.7214.110.2018</w:t>
        </w:r>
      </w:hyperlink>
      <w:r w:rsidRPr="007A22DC">
        <w:t xml:space="preserve"> z 19 listopada 2018 r., odpowiedź z 3 stycznia 2019 r.</w:t>
      </w:r>
    </w:p>
  </w:footnote>
  <w:footnote w:id="242">
    <w:p w14:paraId="291A2F59" w14:textId="77777777" w:rsidR="00803B7D" w:rsidRPr="007A22DC" w:rsidRDefault="00803B7D" w:rsidP="00D86DD2">
      <w:pPr>
        <w:pStyle w:val="Przypis"/>
      </w:pPr>
      <w:r w:rsidRPr="007A22DC">
        <w:rPr>
          <w:rStyle w:val="Odwoanieprzypisudolnego"/>
        </w:rPr>
        <w:footnoteRef/>
      </w:r>
      <w:r w:rsidRPr="007A22DC">
        <w:t xml:space="preserve"> </w:t>
      </w:r>
      <w:hyperlink r:id="rId166" w:history="1">
        <w:r w:rsidRPr="007A22DC">
          <w:rPr>
            <w:rStyle w:val="Hipercze"/>
          </w:rPr>
          <w:t>II.511.768.2018</w:t>
        </w:r>
      </w:hyperlink>
      <w:r w:rsidRPr="007A22DC">
        <w:t xml:space="preserve"> z 13 listopada 2018 r., odpowiedź z 9 stycznia 2018 r.</w:t>
      </w:r>
    </w:p>
  </w:footnote>
  <w:footnote w:id="243">
    <w:p w14:paraId="6C972CB1" w14:textId="77777777" w:rsidR="00803B7D" w:rsidRPr="007A22DC" w:rsidRDefault="00803B7D" w:rsidP="00D86DD2">
      <w:pPr>
        <w:pStyle w:val="Przypis"/>
      </w:pPr>
      <w:r w:rsidRPr="007A22DC">
        <w:rPr>
          <w:rStyle w:val="Odwoanieprzypisudolnego"/>
        </w:rPr>
        <w:footnoteRef/>
      </w:r>
      <w:r w:rsidRPr="007A22DC">
        <w:t xml:space="preserve"> </w:t>
      </w:r>
      <w:hyperlink r:id="rId167" w:history="1">
        <w:r w:rsidRPr="007A22DC">
          <w:rPr>
            <w:rStyle w:val="Hipercze"/>
          </w:rPr>
          <w:t>VII.510.41.2018</w:t>
        </w:r>
      </w:hyperlink>
      <w:r w:rsidRPr="007A22DC">
        <w:t xml:space="preserve"> z 7 września 2018 r., odpowiedź z 6 grudnia 2018 r.</w:t>
      </w:r>
    </w:p>
  </w:footnote>
  <w:footnote w:id="244">
    <w:p w14:paraId="7E9A6773" w14:textId="77777777" w:rsidR="00803B7D" w:rsidRPr="007A22DC" w:rsidRDefault="00803B7D" w:rsidP="00D86DD2">
      <w:pPr>
        <w:pStyle w:val="Przypis"/>
      </w:pPr>
      <w:r w:rsidRPr="007A22DC">
        <w:rPr>
          <w:rStyle w:val="Odwoanieprzypisudolnego"/>
        </w:rPr>
        <w:footnoteRef/>
      </w:r>
      <w:r w:rsidRPr="007A22DC">
        <w:t xml:space="preserve"> Wyrok TK z dnia 22 marca 2017 r., sygn. akt SK 13/14</w:t>
      </w:r>
    </w:p>
  </w:footnote>
  <w:footnote w:id="245">
    <w:p w14:paraId="047FAF60" w14:textId="77777777" w:rsidR="00803B7D" w:rsidRPr="007A22DC" w:rsidRDefault="00803B7D" w:rsidP="00D86DD2">
      <w:pPr>
        <w:pStyle w:val="Przypis"/>
      </w:pPr>
      <w:r w:rsidRPr="007A22DC">
        <w:rPr>
          <w:rStyle w:val="Odwoanieprzypisudolnego"/>
        </w:rPr>
        <w:footnoteRef/>
      </w:r>
      <w:r w:rsidRPr="007A22DC">
        <w:t xml:space="preserve"> </w:t>
      </w:r>
      <w:hyperlink r:id="rId168" w:history="1">
        <w:r w:rsidRPr="007A22DC">
          <w:rPr>
            <w:rStyle w:val="Hipercze"/>
          </w:rPr>
          <w:t>IX.070.1.2018</w:t>
        </w:r>
      </w:hyperlink>
      <w:r w:rsidRPr="007A22DC">
        <w:t xml:space="preserve"> z 13 kwietnia 2018 r., wystąpienie do MSWiA z 27 września 2018 r.</w:t>
      </w:r>
    </w:p>
  </w:footnote>
  <w:footnote w:id="246">
    <w:p w14:paraId="3177AE72" w14:textId="77777777" w:rsidR="00803B7D" w:rsidRPr="007A22DC" w:rsidRDefault="00803B7D" w:rsidP="00D86DD2">
      <w:pPr>
        <w:pStyle w:val="Przypis"/>
      </w:pPr>
      <w:r w:rsidRPr="007A22DC">
        <w:rPr>
          <w:rStyle w:val="Odwoanieprzypisudolnego"/>
        </w:rPr>
        <w:footnoteRef/>
      </w:r>
      <w:r w:rsidRPr="007A22DC">
        <w:t xml:space="preserve"> </w:t>
      </w:r>
      <w:hyperlink r:id="rId169" w:history="1">
        <w:r w:rsidRPr="007A22DC">
          <w:rPr>
            <w:rStyle w:val="Hipercze"/>
          </w:rPr>
          <w:t>V.511.358.2018</w:t>
        </w:r>
      </w:hyperlink>
      <w:r w:rsidRPr="007A22DC">
        <w:t xml:space="preserve"> z 29 listopada 2018 r., sygn. akt I OPS 3/18.</w:t>
      </w:r>
    </w:p>
  </w:footnote>
  <w:footnote w:id="247">
    <w:p w14:paraId="576C2A92" w14:textId="77777777" w:rsidR="00803B7D" w:rsidRPr="007A22DC" w:rsidRDefault="00803B7D" w:rsidP="00D86DD2">
      <w:pPr>
        <w:pStyle w:val="Przypis"/>
      </w:pPr>
      <w:r w:rsidRPr="007A22DC">
        <w:rPr>
          <w:rStyle w:val="Odwoanieprzypisudolnego"/>
        </w:rPr>
        <w:footnoteRef/>
      </w:r>
      <w:r w:rsidRPr="007A22DC">
        <w:t xml:space="preserve"> Informacja RPO za 2011 r., str. 81.</w:t>
      </w:r>
    </w:p>
  </w:footnote>
  <w:footnote w:id="248">
    <w:p w14:paraId="6BAA171A" w14:textId="77777777" w:rsidR="00803B7D" w:rsidRPr="007A22DC" w:rsidRDefault="00803B7D" w:rsidP="00D86DD2">
      <w:pPr>
        <w:pStyle w:val="Przypis"/>
      </w:pPr>
      <w:r w:rsidRPr="007A22DC">
        <w:rPr>
          <w:rStyle w:val="Odwoanieprzypisudolnego"/>
        </w:rPr>
        <w:footnoteRef/>
      </w:r>
      <w:r w:rsidRPr="007A22DC">
        <w:t xml:space="preserve"> Uchwała składu 7 sędziów SN, zasada prawna, z 10 lipca 2012 r., sygn. III CZP 81/11.</w:t>
      </w:r>
    </w:p>
  </w:footnote>
  <w:footnote w:id="249">
    <w:p w14:paraId="77452825" w14:textId="77777777" w:rsidR="00803B7D" w:rsidRPr="007A22DC" w:rsidRDefault="00803B7D" w:rsidP="00D86DD2">
      <w:pPr>
        <w:pStyle w:val="Przypis"/>
      </w:pPr>
      <w:r w:rsidRPr="007A22DC">
        <w:rPr>
          <w:rStyle w:val="Odwoanieprzypisudolnego"/>
        </w:rPr>
        <w:footnoteRef/>
      </w:r>
      <w:r w:rsidRPr="007A22DC">
        <w:t xml:space="preserve"> Informacja RPO za 2012 r., str. 169-170.</w:t>
      </w:r>
    </w:p>
  </w:footnote>
  <w:footnote w:id="250">
    <w:p w14:paraId="3321FC44" w14:textId="77777777" w:rsidR="00803B7D" w:rsidRPr="007A22DC" w:rsidRDefault="00803B7D" w:rsidP="00DD17D6">
      <w:pPr>
        <w:pStyle w:val="Przypis"/>
      </w:pPr>
      <w:r w:rsidRPr="007A22DC">
        <w:rPr>
          <w:rStyle w:val="Odwoanieprzypisudolnego"/>
        </w:rPr>
        <w:footnoteRef/>
      </w:r>
      <w:r w:rsidRPr="007A22DC">
        <w:t xml:space="preserve"> </w:t>
      </w:r>
      <w:hyperlink r:id="rId170" w:history="1">
        <w:r w:rsidRPr="007A22DC">
          <w:rPr>
            <w:rStyle w:val="Hipercze"/>
          </w:rPr>
          <w:t>IV.7000.288.2016</w:t>
        </w:r>
      </w:hyperlink>
      <w:r w:rsidRPr="007A22DC">
        <w:rPr>
          <w:shd w:val="clear" w:color="auto" w:fill="FFFFFF"/>
        </w:rPr>
        <w:t xml:space="preserve"> z 8 października 2018 r. SN,</w:t>
      </w:r>
      <w:r w:rsidRPr="007A22DC">
        <w:t xml:space="preserve"> sygn. akt I NSNc 1/19</w:t>
      </w:r>
    </w:p>
  </w:footnote>
  <w:footnote w:id="251">
    <w:p w14:paraId="39D79B0A" w14:textId="77777777" w:rsidR="00803B7D" w:rsidRPr="007A22DC" w:rsidRDefault="00803B7D" w:rsidP="0014574C">
      <w:pPr>
        <w:pStyle w:val="Przypis"/>
      </w:pPr>
      <w:r w:rsidRPr="007A22DC">
        <w:rPr>
          <w:rStyle w:val="Odwoanieprzypisudolnego"/>
        </w:rPr>
        <w:footnoteRef/>
      </w:r>
      <w:r w:rsidRPr="007A22DC">
        <w:t xml:space="preserve"> </w:t>
      </w:r>
      <w:hyperlink r:id="rId171" w:history="1">
        <w:r w:rsidRPr="007A22DC">
          <w:rPr>
            <w:rStyle w:val="Hipercze"/>
          </w:rPr>
          <w:t>II.510.1126.2018</w:t>
        </w:r>
      </w:hyperlink>
      <w:r w:rsidRPr="007A22DC">
        <w:rPr>
          <w:rStyle w:val="Hipercze"/>
        </w:rPr>
        <w:t xml:space="preserve"> </w:t>
      </w:r>
      <w:r w:rsidRPr="007A22DC">
        <w:t>z 9 października 2018 r.</w:t>
      </w:r>
    </w:p>
  </w:footnote>
  <w:footnote w:id="252">
    <w:p w14:paraId="1F639C69" w14:textId="77777777" w:rsidR="00803B7D" w:rsidRPr="007A22DC" w:rsidRDefault="00803B7D" w:rsidP="00FF1A47">
      <w:pPr>
        <w:pStyle w:val="Przypis"/>
      </w:pPr>
      <w:r w:rsidRPr="007A22DC">
        <w:rPr>
          <w:rStyle w:val="Odwoanieprzypisudolnego"/>
        </w:rPr>
        <w:footnoteRef/>
      </w:r>
      <w:r w:rsidRPr="007A22DC">
        <w:t xml:space="preserve"> Prace w Sejmie nad projektem: </w:t>
      </w:r>
      <w:hyperlink r:id="rId172" w:history="1">
        <w:r w:rsidRPr="007A22DC">
          <w:rPr>
            <w:rStyle w:val="Hipercze"/>
            <w:rFonts w:eastAsiaTheme="majorEastAsia"/>
          </w:rPr>
          <w:t>http://www.sejm.gov.pl/sejm8.nsf/agent.xsp?symbol=RPL&amp;Id=RM-10-190-18</w:t>
        </w:r>
      </w:hyperlink>
    </w:p>
  </w:footnote>
  <w:footnote w:id="253">
    <w:p w14:paraId="4B743073" w14:textId="77777777" w:rsidR="00803B7D" w:rsidRPr="007A22DC" w:rsidRDefault="00803B7D" w:rsidP="002500A8">
      <w:pPr>
        <w:pStyle w:val="Przypis"/>
      </w:pPr>
      <w:r w:rsidRPr="007A22DC">
        <w:rPr>
          <w:rStyle w:val="Odwoanieprzypisudolnego"/>
        </w:rPr>
        <w:footnoteRef/>
      </w:r>
      <w:r w:rsidRPr="007A22DC">
        <w:t xml:space="preserve"> Informacja Roczna za rok 2017 r., s. 207</w:t>
      </w:r>
    </w:p>
  </w:footnote>
  <w:footnote w:id="254">
    <w:p w14:paraId="4373907B" w14:textId="77777777" w:rsidR="00803B7D" w:rsidRPr="007A22DC" w:rsidRDefault="00803B7D" w:rsidP="00783A44">
      <w:pPr>
        <w:pStyle w:val="Przypis"/>
      </w:pPr>
      <w:r w:rsidRPr="007A22DC">
        <w:rPr>
          <w:rStyle w:val="Odwoanieprzypisudolnego"/>
        </w:rPr>
        <w:footnoteRef/>
      </w:r>
      <w:r w:rsidRPr="007A22DC">
        <w:t xml:space="preserve"> Informacja RPO za 2017 r., str. 209-210, przedstawiona pod art. 47 Konstytucji .</w:t>
      </w:r>
    </w:p>
  </w:footnote>
  <w:footnote w:id="255">
    <w:p w14:paraId="437A9D51" w14:textId="77777777" w:rsidR="00803B7D" w:rsidRPr="007A22DC" w:rsidRDefault="00803B7D" w:rsidP="0014574C">
      <w:pPr>
        <w:pStyle w:val="Przypis"/>
      </w:pPr>
      <w:r w:rsidRPr="007A22DC">
        <w:rPr>
          <w:rStyle w:val="Odwoanieprzypisudolnego"/>
        </w:rPr>
        <w:footnoteRef/>
      </w:r>
      <w:r w:rsidRPr="007A22DC">
        <w:t xml:space="preserve"> </w:t>
      </w:r>
      <w:hyperlink r:id="rId173" w:history="1">
        <w:r w:rsidRPr="007A22DC">
          <w:rPr>
            <w:rStyle w:val="Hipercze"/>
            <w:rFonts w:ascii="Open Sans Regular" w:hAnsi="Open Sans Regular"/>
            <w:szCs w:val="18"/>
            <w:shd w:val="clear" w:color="auto" w:fill="FFFFFF"/>
          </w:rPr>
          <w:t>I</w:t>
        </w:r>
        <w:r w:rsidRPr="007A22DC">
          <w:rPr>
            <w:rStyle w:val="Hipercze"/>
          </w:rPr>
          <w:t>V.7020.37.2014</w:t>
        </w:r>
      </w:hyperlink>
      <w:r w:rsidRPr="007A22DC">
        <w:t>, Wyrok z 16 maja 2018 r., sygn. akt SK 18/17</w:t>
      </w:r>
    </w:p>
  </w:footnote>
  <w:footnote w:id="256">
    <w:p w14:paraId="51F21613" w14:textId="77777777" w:rsidR="00803B7D" w:rsidRPr="007A22DC" w:rsidRDefault="00803B7D" w:rsidP="00C5372A">
      <w:pPr>
        <w:pStyle w:val="Przypis"/>
      </w:pPr>
      <w:r w:rsidRPr="007A22DC">
        <w:rPr>
          <w:rStyle w:val="Odwoanieprzypisudolnego"/>
        </w:rPr>
        <w:footnoteRef/>
      </w:r>
      <w:r w:rsidRPr="007A22DC">
        <w:t xml:space="preserve"> Druk senacki nr 1059</w:t>
      </w:r>
    </w:p>
  </w:footnote>
  <w:footnote w:id="257">
    <w:p w14:paraId="4F45B516" w14:textId="77777777" w:rsidR="00803B7D" w:rsidRPr="007A22DC" w:rsidRDefault="00803B7D" w:rsidP="00783A44">
      <w:pPr>
        <w:pStyle w:val="Przypis"/>
      </w:pPr>
      <w:r w:rsidRPr="007A22DC">
        <w:rPr>
          <w:rStyle w:val="Odwoanieprzypisudolnego"/>
        </w:rPr>
        <w:footnoteRef/>
      </w:r>
      <w:r w:rsidRPr="007A22DC">
        <w:t xml:space="preserve"> Więcej o projekcie: </w:t>
      </w:r>
      <w:hyperlink r:id="rId174" w:history="1">
        <w:r w:rsidRPr="007A22DC">
          <w:rPr>
            <w:rStyle w:val="Hipercze"/>
            <w:rFonts w:eastAsiaTheme="majorEastAsia"/>
          </w:rPr>
          <w:t>https://bip.kprm.gov.pl/kpr/form/r4807406824216,Projekt-ustawy-o-zmianie-ustawy-Kodeks-rodzinny-i-opiekunczy.html</w:t>
        </w:r>
      </w:hyperlink>
    </w:p>
  </w:footnote>
  <w:footnote w:id="258">
    <w:p w14:paraId="4040F332" w14:textId="77777777" w:rsidR="00803B7D" w:rsidRPr="007A22DC" w:rsidRDefault="00803B7D" w:rsidP="0014574C">
      <w:pPr>
        <w:pStyle w:val="Przypis"/>
      </w:pPr>
      <w:r w:rsidRPr="007A22DC">
        <w:rPr>
          <w:rStyle w:val="Odwoanieprzypisudolnego"/>
        </w:rPr>
        <w:footnoteRef/>
      </w:r>
      <w:r w:rsidRPr="007A22DC">
        <w:t xml:space="preserve"> </w:t>
      </w:r>
      <w:hyperlink r:id="rId175" w:history="1">
        <w:r w:rsidRPr="007A22DC">
          <w:rPr>
            <w:rStyle w:val="Hipercze"/>
          </w:rPr>
          <w:t>IV.7020.4.2014</w:t>
        </w:r>
      </w:hyperlink>
      <w:r w:rsidRPr="007A22DC">
        <w:rPr>
          <w:rStyle w:val="Hipercze"/>
        </w:rPr>
        <w:t xml:space="preserve">, </w:t>
      </w:r>
      <w:r w:rsidRPr="007A22DC">
        <w:t>z dnia 5 lipca 2018 r., odpowiedź z 23 lipca 2018 r.</w:t>
      </w:r>
    </w:p>
  </w:footnote>
  <w:footnote w:id="259">
    <w:p w14:paraId="16BE95B7" w14:textId="77777777" w:rsidR="00803B7D" w:rsidRPr="007A22DC" w:rsidRDefault="00803B7D" w:rsidP="00DB4459">
      <w:pPr>
        <w:pStyle w:val="Przypis"/>
      </w:pPr>
      <w:r w:rsidRPr="007A22DC">
        <w:rPr>
          <w:rStyle w:val="Odwoanieprzypisudolnego"/>
        </w:rPr>
        <w:footnoteRef/>
      </w:r>
      <w:r w:rsidRPr="007A22DC">
        <w:t xml:space="preserve"> W brzmieniu z 2015 r., tj. Dz. U. poz. 1087.</w:t>
      </w:r>
    </w:p>
  </w:footnote>
  <w:footnote w:id="260">
    <w:p w14:paraId="28824B13" w14:textId="77777777" w:rsidR="00803B7D" w:rsidRPr="007A22DC" w:rsidRDefault="00803B7D" w:rsidP="00DB4459">
      <w:pPr>
        <w:pStyle w:val="Przypis"/>
      </w:pPr>
      <w:r w:rsidRPr="007A22DC">
        <w:rPr>
          <w:rStyle w:val="Odwoanieprzypisudolnego"/>
        </w:rPr>
        <w:footnoteRef/>
      </w:r>
      <w:r w:rsidRPr="007A22DC">
        <w:t xml:space="preserve"> Informacja RPO za 2015 r., str. 122–123., a także </w:t>
      </w:r>
      <w:hyperlink r:id="rId176" w:history="1">
        <w:r w:rsidRPr="007A22DC">
          <w:rPr>
            <w:rStyle w:val="Hipercze"/>
            <w:rFonts w:eastAsiaTheme="majorEastAsia"/>
          </w:rPr>
          <w:t>https://www.rpo.gov.pl/pl/content/wniosek-do-tk-ws-procedury-vitro</w:t>
        </w:r>
      </w:hyperlink>
    </w:p>
  </w:footnote>
  <w:footnote w:id="261">
    <w:p w14:paraId="2986D738" w14:textId="77777777" w:rsidR="00803B7D" w:rsidRPr="007A22DC" w:rsidRDefault="00803B7D" w:rsidP="00DB4459">
      <w:pPr>
        <w:pStyle w:val="Przypis"/>
      </w:pPr>
      <w:r w:rsidRPr="007A22DC">
        <w:rPr>
          <w:rStyle w:val="Odwoanieprzypisudolnego"/>
        </w:rPr>
        <w:footnoteRef/>
      </w:r>
      <w:r w:rsidRPr="007A22DC">
        <w:t xml:space="preserve"> Postanowienie TK z 18 kwietnia 2018 r., sygn. akt K 50/16</w:t>
      </w:r>
    </w:p>
  </w:footnote>
  <w:footnote w:id="262">
    <w:p w14:paraId="34FB457A" w14:textId="77777777" w:rsidR="00803B7D" w:rsidRPr="007A22DC" w:rsidRDefault="00803B7D" w:rsidP="0014574C">
      <w:pPr>
        <w:pStyle w:val="Przypis"/>
      </w:pPr>
      <w:r w:rsidRPr="007A22DC">
        <w:rPr>
          <w:rStyle w:val="Odwoanieprzypisudolnego"/>
        </w:rPr>
        <w:footnoteRef/>
      </w:r>
      <w:r w:rsidRPr="007A22DC">
        <w:t xml:space="preserve"> </w:t>
      </w:r>
      <w:hyperlink r:id="rId177" w:history="1">
        <w:r w:rsidRPr="007A22DC">
          <w:rPr>
            <w:rStyle w:val="Hipercze"/>
          </w:rPr>
          <w:t>https://www.rpo.gov.pl/pl/content/kongres-praw-rodzicielskich</w:t>
        </w:r>
      </w:hyperlink>
      <w:r w:rsidRPr="007A22DC">
        <w:t>.</w:t>
      </w:r>
    </w:p>
  </w:footnote>
  <w:footnote w:id="263">
    <w:p w14:paraId="26A533C3" w14:textId="77777777" w:rsidR="00803B7D" w:rsidRPr="007A22DC" w:rsidRDefault="00803B7D" w:rsidP="0014574C">
      <w:pPr>
        <w:pStyle w:val="Przypis"/>
      </w:pPr>
      <w:r w:rsidRPr="007A22DC">
        <w:rPr>
          <w:rStyle w:val="Odwoanieprzypisudolnego"/>
        </w:rPr>
        <w:footnoteRef/>
      </w:r>
      <w:r w:rsidRPr="007A22DC">
        <w:t xml:space="preserve"> </w:t>
      </w:r>
      <w:hyperlink r:id="rId178" w:history="1">
        <w:r w:rsidRPr="007A22DC">
          <w:rPr>
            <w:rStyle w:val="Hipercze"/>
          </w:rPr>
          <w:t>IV.7024.22.2018</w:t>
        </w:r>
      </w:hyperlink>
      <w:r w:rsidRPr="007A22DC">
        <w:t xml:space="preserve"> z 28 września 2018 r., odpowiedź z 21 listopada 2018 r.</w:t>
      </w:r>
    </w:p>
  </w:footnote>
  <w:footnote w:id="264">
    <w:p w14:paraId="2ABF7C89" w14:textId="77777777" w:rsidR="00803B7D" w:rsidRPr="007A22DC" w:rsidRDefault="00803B7D" w:rsidP="0014574C">
      <w:pPr>
        <w:pStyle w:val="Przypis"/>
      </w:pPr>
      <w:r w:rsidRPr="007A22DC">
        <w:rPr>
          <w:rStyle w:val="Odwoanieprzypisudolnego"/>
        </w:rPr>
        <w:footnoteRef/>
      </w:r>
      <w:r w:rsidRPr="007A22DC">
        <w:t xml:space="preserve"> </w:t>
      </w:r>
      <w:hyperlink r:id="rId179" w:history="1">
        <w:r w:rsidRPr="007A22DC">
          <w:rPr>
            <w:rStyle w:val="Hipercze"/>
          </w:rPr>
          <w:t>IX.517.2686.2017</w:t>
        </w:r>
      </w:hyperlink>
      <w:r w:rsidRPr="007A22DC">
        <w:rPr>
          <w:rStyle w:val="Hipercze"/>
        </w:rPr>
        <w:t xml:space="preserve">, z 31 lipca 2018r , </w:t>
      </w:r>
      <w:r w:rsidRPr="007A22DC">
        <w:t>odpowiedź z 29 sierpnia 2018 r.</w:t>
      </w:r>
    </w:p>
  </w:footnote>
  <w:footnote w:id="265">
    <w:p w14:paraId="0F194C32" w14:textId="77777777" w:rsidR="00803B7D" w:rsidRPr="007A22DC" w:rsidRDefault="00803B7D" w:rsidP="0014574C">
      <w:pPr>
        <w:pStyle w:val="Przypis"/>
      </w:pPr>
      <w:r w:rsidRPr="007A22DC">
        <w:rPr>
          <w:rStyle w:val="Odwoanieprzypisudolnego"/>
        </w:rPr>
        <w:footnoteRef/>
      </w:r>
      <w:r w:rsidRPr="007A22DC">
        <w:t xml:space="preserve"> </w:t>
      </w:r>
      <w:hyperlink r:id="rId180" w:history="1">
        <w:r w:rsidRPr="007A22DC">
          <w:rPr>
            <w:rStyle w:val="Hipercze"/>
          </w:rPr>
          <w:t>IX.517.1603.2017</w:t>
        </w:r>
      </w:hyperlink>
      <w:r w:rsidRPr="007A22DC">
        <w:t xml:space="preserve"> z 9 stycznia 2018 r., odpowiedź z 5 lutego 2018 r.</w:t>
      </w:r>
    </w:p>
  </w:footnote>
  <w:footnote w:id="266">
    <w:p w14:paraId="588CC506" w14:textId="77777777" w:rsidR="00803B7D" w:rsidRPr="007A22DC" w:rsidRDefault="00803B7D" w:rsidP="0014574C">
      <w:pPr>
        <w:pStyle w:val="Przypis"/>
      </w:pPr>
      <w:r w:rsidRPr="007A22DC">
        <w:rPr>
          <w:rStyle w:val="Odwoanieprzypisudolnego"/>
        </w:rPr>
        <w:footnoteRef/>
      </w:r>
      <w:r w:rsidRPr="007A22DC">
        <w:t xml:space="preserve"> </w:t>
      </w:r>
      <w:hyperlink r:id="rId181" w:history="1">
        <w:r w:rsidRPr="007A22DC">
          <w:rPr>
            <w:rStyle w:val="Hipercze"/>
          </w:rPr>
          <w:t>IX.517.1842.2017</w:t>
        </w:r>
      </w:hyperlink>
      <w:r w:rsidRPr="007A22DC">
        <w:t xml:space="preserve"> z 4 lipca 2018 r., odpowiedź z 7 sierpnia 2018 r.</w:t>
      </w:r>
    </w:p>
  </w:footnote>
  <w:footnote w:id="267">
    <w:p w14:paraId="2B6F4D20" w14:textId="77777777" w:rsidR="00803B7D" w:rsidRPr="007A22DC" w:rsidRDefault="00803B7D" w:rsidP="0014574C">
      <w:pPr>
        <w:pStyle w:val="Przypis"/>
      </w:pPr>
      <w:r w:rsidRPr="007A22DC">
        <w:rPr>
          <w:rStyle w:val="Odwoanieprzypisudolnego"/>
        </w:rPr>
        <w:footnoteRef/>
      </w:r>
      <w:r w:rsidRPr="007A22DC">
        <w:t xml:space="preserve"> </w:t>
      </w:r>
      <w:hyperlink r:id="rId182" w:history="1">
        <w:r w:rsidRPr="007A22DC">
          <w:rPr>
            <w:rStyle w:val="Hipercze"/>
          </w:rPr>
          <w:t>IX.517.881.2018</w:t>
        </w:r>
      </w:hyperlink>
      <w:r w:rsidRPr="007A22DC">
        <w:t xml:space="preserve"> z 9 września 2018 r., odpowiedź z 30 listopada 2018 r.</w:t>
      </w:r>
    </w:p>
  </w:footnote>
  <w:footnote w:id="268">
    <w:p w14:paraId="67EE8536" w14:textId="77777777" w:rsidR="00803B7D" w:rsidRPr="007A22DC" w:rsidRDefault="00803B7D" w:rsidP="0014574C">
      <w:pPr>
        <w:pStyle w:val="Przypis"/>
      </w:pPr>
      <w:r w:rsidRPr="007A22DC">
        <w:rPr>
          <w:rStyle w:val="Odwoanieprzypisudolnego"/>
        </w:rPr>
        <w:footnoteRef/>
      </w:r>
      <w:r w:rsidRPr="007A22DC">
        <w:t xml:space="preserve"> </w:t>
      </w:r>
      <w:hyperlink r:id="rId183" w:history="1">
        <w:r w:rsidRPr="007A22DC">
          <w:rPr>
            <w:rStyle w:val="Hipercze"/>
          </w:rPr>
          <w:t>IX.517.3741.2016</w:t>
        </w:r>
      </w:hyperlink>
      <w:r w:rsidRPr="007A22DC">
        <w:t xml:space="preserve"> z 25 września 2018 r., </w:t>
      </w:r>
      <w:hyperlink r:id="rId184" w:history="1">
        <w:r w:rsidRPr="007A22DC">
          <w:rPr>
            <w:rStyle w:val="Hipercze"/>
          </w:rPr>
          <w:t>odpowiedź z 29 października 2018 r</w:t>
        </w:r>
      </w:hyperlink>
      <w:r w:rsidRPr="007A22DC">
        <w:t>.</w:t>
      </w:r>
    </w:p>
  </w:footnote>
  <w:footnote w:id="269">
    <w:p w14:paraId="4479587C" w14:textId="77777777" w:rsidR="00803B7D" w:rsidRPr="007A22DC" w:rsidRDefault="00803B7D" w:rsidP="0074088A">
      <w:pPr>
        <w:pStyle w:val="Przypis"/>
      </w:pPr>
      <w:r w:rsidRPr="007A22DC">
        <w:rPr>
          <w:rStyle w:val="Odwoanieprzypisudolnego"/>
        </w:rPr>
        <w:footnoteRef/>
      </w:r>
      <w:r w:rsidRPr="007A22DC">
        <w:t xml:space="preserve"> </w:t>
      </w:r>
      <w:hyperlink r:id="rId185" w:history="1">
        <w:r w:rsidRPr="007A22DC">
          <w:rPr>
            <w:rStyle w:val="Hipercze"/>
          </w:rPr>
          <w:t>VII.501.316.2014</w:t>
        </w:r>
      </w:hyperlink>
      <w:r w:rsidRPr="007A22DC">
        <w:t xml:space="preserve"> z 7 marca 2018 r., odpowiedź z 13 kwietnia 2018 r..</w:t>
      </w:r>
    </w:p>
  </w:footnote>
  <w:footnote w:id="270">
    <w:p w14:paraId="7E446E27" w14:textId="77777777" w:rsidR="00803B7D" w:rsidRPr="007A22DC" w:rsidRDefault="00803B7D" w:rsidP="0074088A">
      <w:pPr>
        <w:pStyle w:val="Przypis"/>
      </w:pPr>
      <w:r w:rsidRPr="007A22DC">
        <w:rPr>
          <w:rStyle w:val="Odwoanieprzypisudolnego"/>
        </w:rPr>
        <w:footnoteRef/>
      </w:r>
      <w:r w:rsidRPr="007A22DC">
        <w:t xml:space="preserve"> Ustawa z dnia 10 maja 2018 r. o ochronie danych osobowych, </w:t>
      </w:r>
      <w:hyperlink r:id="rId186" w:history="1">
        <w:r w:rsidRPr="007A22DC">
          <w:rPr>
            <w:rFonts w:eastAsiaTheme="majorEastAsia"/>
          </w:rPr>
          <w:t>Dz.U. 2018 poz. 1000</w:t>
        </w:r>
      </w:hyperlink>
    </w:p>
  </w:footnote>
  <w:footnote w:id="271">
    <w:p w14:paraId="2242B798" w14:textId="77777777" w:rsidR="00803B7D" w:rsidRPr="007A22DC" w:rsidRDefault="00803B7D" w:rsidP="0014574C">
      <w:pPr>
        <w:pStyle w:val="Przypis"/>
      </w:pPr>
      <w:r w:rsidRPr="007A22DC">
        <w:rPr>
          <w:rStyle w:val="Odwoanieprzypisudolnego"/>
        </w:rPr>
        <w:footnoteRef/>
      </w:r>
      <w:r w:rsidRPr="007A22DC">
        <w:t xml:space="preserve"> </w:t>
      </w:r>
      <w:hyperlink r:id="rId187" w:history="1">
        <w:r w:rsidRPr="007A22DC">
          <w:rPr>
            <w:rStyle w:val="Hipercze"/>
          </w:rPr>
          <w:t>KMP.575.7.2016 z 30 stycznia 2018 r.</w:t>
        </w:r>
      </w:hyperlink>
      <w:r w:rsidRPr="007A22DC">
        <w:t>, odpowiedź z 5 marca 2018 r.</w:t>
      </w:r>
    </w:p>
  </w:footnote>
  <w:footnote w:id="272">
    <w:p w14:paraId="748A0B92" w14:textId="77777777" w:rsidR="00803B7D" w:rsidRPr="007A22DC" w:rsidRDefault="00803B7D" w:rsidP="00724A06">
      <w:pPr>
        <w:pStyle w:val="Tekstprzypisudolnego"/>
      </w:pPr>
      <w:r w:rsidRPr="007A22DC">
        <w:rPr>
          <w:rStyle w:val="Odwoanieprzypisudolnego"/>
        </w:rPr>
        <w:footnoteRef/>
      </w:r>
      <w:r w:rsidRPr="007A22DC">
        <w:t xml:space="preserve"> art. 18 e pkt 2 ustawy z dnia 19 sierpnia 1994 r. o ochronie zdrowia psychicznego (Dz.U. z 2018 r., poz. 1878 t.j.).</w:t>
      </w:r>
    </w:p>
  </w:footnote>
  <w:footnote w:id="273">
    <w:p w14:paraId="6EEAD992" w14:textId="77777777" w:rsidR="00803B7D" w:rsidRPr="007A22DC" w:rsidRDefault="00803B7D" w:rsidP="0014574C">
      <w:pPr>
        <w:pStyle w:val="Przypis"/>
      </w:pPr>
      <w:r w:rsidRPr="007A22DC">
        <w:rPr>
          <w:rStyle w:val="Odwoanieprzypisudolnego"/>
        </w:rPr>
        <w:footnoteRef/>
      </w:r>
      <w:r w:rsidRPr="007A22DC">
        <w:t xml:space="preserve"> </w:t>
      </w:r>
      <w:hyperlink r:id="rId188" w:history="1">
        <w:r w:rsidRPr="007A22DC">
          <w:rPr>
            <w:rStyle w:val="Hipercze"/>
          </w:rPr>
          <w:t>KMP.574.8.2015</w:t>
        </w:r>
      </w:hyperlink>
      <w:r w:rsidRPr="007A22DC">
        <w:t xml:space="preserve"> z 5 października 2018 r.</w:t>
      </w:r>
    </w:p>
  </w:footnote>
  <w:footnote w:id="274">
    <w:p w14:paraId="42A9A7DB" w14:textId="77777777" w:rsidR="00803B7D" w:rsidRPr="007A22DC" w:rsidRDefault="00803B7D" w:rsidP="0014574C">
      <w:pPr>
        <w:pStyle w:val="Przypis"/>
      </w:pPr>
      <w:r w:rsidRPr="007A22DC">
        <w:rPr>
          <w:rStyle w:val="Odwoanieprzypisudolnego"/>
        </w:rPr>
        <w:footnoteRef/>
      </w:r>
      <w:r w:rsidRPr="007A22DC">
        <w:t xml:space="preserve"> BPW.517.107.2017 z 3 stycznia 2018 r.</w:t>
      </w:r>
    </w:p>
  </w:footnote>
  <w:footnote w:id="275">
    <w:p w14:paraId="0199531B" w14:textId="77777777" w:rsidR="00803B7D" w:rsidRPr="007A22DC" w:rsidRDefault="00803B7D" w:rsidP="0014574C">
      <w:pPr>
        <w:pStyle w:val="Przypis"/>
      </w:pPr>
      <w:r w:rsidRPr="007A22DC">
        <w:rPr>
          <w:rStyle w:val="Odwoanieprzypisudolnego"/>
        </w:rPr>
        <w:footnoteRef/>
      </w:r>
      <w:r w:rsidRPr="007A22DC">
        <w:t xml:space="preserve"> Informacja roczna za rok 2017, s. 220</w:t>
      </w:r>
    </w:p>
  </w:footnote>
  <w:footnote w:id="276">
    <w:p w14:paraId="7215DE6A" w14:textId="77777777" w:rsidR="00803B7D" w:rsidRPr="007A22DC" w:rsidRDefault="00803B7D" w:rsidP="0014574C">
      <w:pPr>
        <w:pStyle w:val="Przypis"/>
      </w:pPr>
      <w:r w:rsidRPr="007A22DC">
        <w:rPr>
          <w:rStyle w:val="Odwoanieprzypisudolnego"/>
        </w:rPr>
        <w:footnoteRef/>
      </w:r>
      <w:r w:rsidRPr="007A22DC">
        <w:t xml:space="preserve"> </w:t>
      </w:r>
      <w:hyperlink r:id="rId189" w:history="1">
        <w:r w:rsidRPr="007A22DC">
          <w:rPr>
            <w:rStyle w:val="Hipercze"/>
          </w:rPr>
          <w:t>II.561.1.2018</w:t>
        </w:r>
      </w:hyperlink>
      <w:r w:rsidRPr="007A22DC">
        <w:t xml:space="preserve"> z 8 października 2018 r., odpowiedź z 8 listopada 2018 r.</w:t>
      </w:r>
    </w:p>
  </w:footnote>
  <w:footnote w:id="277">
    <w:p w14:paraId="4C027DC5" w14:textId="77777777" w:rsidR="00803B7D" w:rsidRPr="007A22DC" w:rsidRDefault="00803B7D" w:rsidP="00120426">
      <w:pPr>
        <w:pStyle w:val="Przypis"/>
      </w:pPr>
      <w:r w:rsidRPr="007A22DC">
        <w:rPr>
          <w:rStyle w:val="Odwoanieprzypisudolnego"/>
        </w:rPr>
        <w:footnoteRef/>
      </w:r>
      <w:r w:rsidRPr="007A22DC">
        <w:t xml:space="preserve"> Relacja z seminarium: </w:t>
      </w:r>
      <w:hyperlink r:id="rId190" w:history="1">
        <w:r w:rsidRPr="007A22DC">
          <w:rPr>
            <w:rStyle w:val="Hipercze"/>
            <w:rFonts w:eastAsiaTheme="majorEastAsia"/>
          </w:rPr>
          <w:t>https://www.rpo.gov.pl/pl/content/seminarium-eksperckie-na-temat-zwolnienia-z-tajemnicy-adwokackiej-i-radcowskiej</w:t>
        </w:r>
      </w:hyperlink>
    </w:p>
  </w:footnote>
  <w:footnote w:id="278">
    <w:p w14:paraId="169FDE4A" w14:textId="77777777" w:rsidR="00803B7D" w:rsidRPr="007A22DC" w:rsidRDefault="00803B7D" w:rsidP="0014574C">
      <w:pPr>
        <w:pStyle w:val="Przypis"/>
      </w:pPr>
      <w:r w:rsidRPr="007A22DC">
        <w:rPr>
          <w:rStyle w:val="Odwoanieprzypisudolnego"/>
        </w:rPr>
        <w:footnoteRef/>
      </w:r>
      <w:r w:rsidRPr="007A22DC">
        <w:t xml:space="preserve"> </w:t>
      </w:r>
      <w:hyperlink r:id="rId191" w:history="1">
        <w:r w:rsidRPr="007A22DC">
          <w:rPr>
            <w:rStyle w:val="Hipercze"/>
          </w:rPr>
          <w:t>II.510.1143.2018</w:t>
        </w:r>
      </w:hyperlink>
      <w:r w:rsidRPr="007A22DC">
        <w:t xml:space="preserve"> z 22 listopada 2018 r.</w:t>
      </w:r>
    </w:p>
  </w:footnote>
  <w:footnote w:id="279">
    <w:p w14:paraId="0E1F69B1" w14:textId="77777777" w:rsidR="00803B7D" w:rsidRPr="007A22DC" w:rsidRDefault="00803B7D" w:rsidP="0014574C">
      <w:pPr>
        <w:pStyle w:val="Przypis"/>
      </w:pPr>
      <w:r w:rsidRPr="007A22DC">
        <w:rPr>
          <w:rStyle w:val="Odwoanieprzypisudolnego"/>
        </w:rPr>
        <w:footnoteRef/>
      </w:r>
      <w:r w:rsidRPr="007A22DC">
        <w:t xml:space="preserve"> Ustawa z 14 grudnia 2018 r. (Dz. U. poz. 2399).</w:t>
      </w:r>
    </w:p>
  </w:footnote>
  <w:footnote w:id="280">
    <w:p w14:paraId="6626769A" w14:textId="77777777" w:rsidR="00803B7D" w:rsidRPr="007A22DC" w:rsidRDefault="00803B7D" w:rsidP="0014574C">
      <w:pPr>
        <w:pStyle w:val="Przypis"/>
      </w:pPr>
      <w:r w:rsidRPr="007A22DC">
        <w:rPr>
          <w:rStyle w:val="Odwoanieprzypisudolnego"/>
        </w:rPr>
        <w:footnoteRef/>
      </w:r>
      <w:r w:rsidRPr="007A22DC">
        <w:t xml:space="preserve"> Wyrok TK z 14 grudnia 2017 r., sygn. K 17/14.</w:t>
      </w:r>
    </w:p>
  </w:footnote>
  <w:footnote w:id="281">
    <w:p w14:paraId="6CA0E0D6" w14:textId="77777777" w:rsidR="00803B7D" w:rsidRPr="007A22DC" w:rsidRDefault="00803B7D" w:rsidP="0074088A">
      <w:pPr>
        <w:pStyle w:val="Przypis"/>
      </w:pPr>
      <w:r w:rsidRPr="007A22DC">
        <w:rPr>
          <w:rStyle w:val="Odwoanieprzypisudolnego"/>
        </w:rPr>
        <w:footnoteRef/>
      </w:r>
      <w:r w:rsidRPr="007A22DC">
        <w:t xml:space="preserve"> </w:t>
      </w:r>
      <w:r w:rsidRPr="007A22DC">
        <w:rPr>
          <w:rFonts w:eastAsiaTheme="majorEastAsia"/>
        </w:rPr>
        <w:t xml:space="preserve">Ustawa </w:t>
      </w:r>
      <w:r w:rsidRPr="007A22DC">
        <w:t xml:space="preserve">z dnia 29 sierpnia </w:t>
      </w:r>
      <w:r w:rsidRPr="007A22DC">
        <w:rPr>
          <w:rFonts w:eastAsiaTheme="majorEastAsia"/>
        </w:rPr>
        <w:t>1997 r.</w:t>
      </w:r>
      <w:r w:rsidRPr="007A22DC">
        <w:t xml:space="preserve"> o ochronie danych osobowych, Dz.U. 1997 nr 133 poz. 883</w:t>
      </w:r>
    </w:p>
  </w:footnote>
  <w:footnote w:id="282">
    <w:p w14:paraId="72DE6B59" w14:textId="77777777" w:rsidR="00803B7D" w:rsidRPr="007A22DC" w:rsidRDefault="00803B7D" w:rsidP="0074088A">
      <w:pPr>
        <w:pStyle w:val="Przypis"/>
      </w:pPr>
      <w:r w:rsidRPr="007A22DC">
        <w:rPr>
          <w:rStyle w:val="Odwoanieprzypisudolnego"/>
        </w:rPr>
        <w:footnoteRef/>
      </w:r>
      <w:r w:rsidRPr="007A22DC">
        <w:t xml:space="preserve"> Ustawa z dnia 10 maja 2018 r. o ochronie danych osobowych, </w:t>
      </w:r>
      <w:hyperlink r:id="rId192" w:history="1">
        <w:r w:rsidRPr="007A22DC">
          <w:rPr>
            <w:rFonts w:eastAsiaTheme="majorEastAsia"/>
          </w:rPr>
          <w:t>Dz.U. 2018 poz. 1000</w:t>
        </w:r>
      </w:hyperlink>
    </w:p>
  </w:footnote>
  <w:footnote w:id="283">
    <w:p w14:paraId="59C92E0A" w14:textId="77777777" w:rsidR="00803B7D" w:rsidRPr="007A22DC" w:rsidRDefault="00803B7D" w:rsidP="0074088A">
      <w:pPr>
        <w:pStyle w:val="Przypis"/>
      </w:pPr>
      <w:r w:rsidRPr="007A22DC">
        <w:rPr>
          <w:rStyle w:val="Odwoanieprzypisudolnego"/>
        </w:rPr>
        <w:footnoteRef/>
      </w:r>
      <w:r w:rsidRPr="007A22DC">
        <w:t xml:space="preserve"> </w:t>
      </w:r>
      <w:hyperlink r:id="rId193" w:anchor="overlay-context=" w:history="1">
        <w:r w:rsidRPr="007A22DC">
          <w:rPr>
            <w:rStyle w:val="Hipercze"/>
          </w:rPr>
          <w:t>VII.501.315.2014</w:t>
        </w:r>
      </w:hyperlink>
      <w:r w:rsidRPr="007A22DC">
        <w:t xml:space="preserve"> z 28 marca 2018 r., pismo z 26 kwietnia 2018 r.</w:t>
      </w:r>
    </w:p>
  </w:footnote>
  <w:footnote w:id="284">
    <w:p w14:paraId="15F82774" w14:textId="77777777" w:rsidR="00803B7D" w:rsidRPr="007A22DC" w:rsidRDefault="00803B7D" w:rsidP="00EC4D8B">
      <w:pPr>
        <w:pStyle w:val="Przypis"/>
      </w:pPr>
      <w:r w:rsidRPr="007A22DC">
        <w:rPr>
          <w:rStyle w:val="Odwoanieprzypisudolnego"/>
        </w:rPr>
        <w:footnoteRef/>
      </w:r>
      <w:r w:rsidRPr="007A22DC">
        <w:t xml:space="preserve"> Dyrektywa Parlamentu Europejskiego i Rady (UE) 2016/680 z dnia 27 kwietnia 2016 r. w sprawie ochrony osób fizycznych w związku z przetwarzaniem danych osobowych przez właściwe organy do celów zapobiegania przestępczości, prowadzenia postępowań przygotowawczych, wykrywania i ścigania czynów zabronionych i wykonywania kar, w sprawie swobodnego przepływu takich danych oraz uchylająca decyzję ramową Rady 2008/977/WSiSW, Dziennik Urzędowy Unii Europejskiej L 119</w:t>
      </w:r>
    </w:p>
  </w:footnote>
  <w:footnote w:id="285">
    <w:p w14:paraId="6C0E3D3E" w14:textId="77777777" w:rsidR="00803B7D" w:rsidRPr="007A22DC" w:rsidRDefault="00803B7D" w:rsidP="00171336">
      <w:pPr>
        <w:pStyle w:val="Przypis"/>
      </w:pPr>
      <w:r w:rsidRPr="007A22DC">
        <w:rPr>
          <w:rStyle w:val="Odwoanieprzypisudolnego"/>
        </w:rPr>
        <w:footnoteRef/>
      </w:r>
      <w:r w:rsidRPr="007A22DC">
        <w:t xml:space="preserve"> Ustawa z dnia 14 grudnia 2018 r. o ochronie danych osobowych przetwarzanych w związku z zapobieganiem i zwalczaniem przestępczości, Dz.U. 2019 poz. 125</w:t>
      </w:r>
    </w:p>
  </w:footnote>
  <w:footnote w:id="286">
    <w:p w14:paraId="795064E3" w14:textId="77777777" w:rsidR="00803B7D" w:rsidRPr="007A22DC" w:rsidRDefault="00803B7D" w:rsidP="0014574C">
      <w:pPr>
        <w:pStyle w:val="Przypis"/>
      </w:pPr>
      <w:r w:rsidRPr="007A22DC">
        <w:rPr>
          <w:rStyle w:val="Odwoanieprzypisudolnego"/>
        </w:rPr>
        <w:footnoteRef/>
      </w:r>
      <w:r w:rsidRPr="007A22DC">
        <w:t xml:space="preserve"> </w:t>
      </w:r>
      <w:hyperlink r:id="rId194" w:anchor="overlay-context=" w:history="1">
        <w:r w:rsidRPr="007A22DC">
          <w:rPr>
            <w:rStyle w:val="Hipercze"/>
          </w:rPr>
          <w:t>VII.501.315.2014</w:t>
        </w:r>
      </w:hyperlink>
      <w:r w:rsidRPr="007A22DC">
        <w:rPr>
          <w:rStyle w:val="Hipercze"/>
        </w:rPr>
        <w:t xml:space="preserve"> </w:t>
      </w:r>
      <w:r w:rsidRPr="007A22DC">
        <w:t>z 22 listopada 2018 r.</w:t>
      </w:r>
    </w:p>
  </w:footnote>
  <w:footnote w:id="287">
    <w:p w14:paraId="1C3B51ED" w14:textId="77777777" w:rsidR="00803B7D" w:rsidRPr="007A22DC" w:rsidRDefault="00803B7D" w:rsidP="0014574C">
      <w:pPr>
        <w:pStyle w:val="Przypis"/>
      </w:pPr>
      <w:r w:rsidRPr="007A22DC">
        <w:rPr>
          <w:rStyle w:val="Odwoanieprzypisudolnego"/>
        </w:rPr>
        <w:footnoteRef/>
      </w:r>
      <w:r w:rsidRPr="007A22DC">
        <w:t xml:space="preserve"> </w:t>
      </w:r>
      <w:hyperlink r:id="rId195" w:history="1">
        <w:r w:rsidRPr="007A22DC">
          <w:rPr>
            <w:rStyle w:val="Hipercze"/>
          </w:rPr>
          <w:t>VII.520.13.2018</w:t>
        </w:r>
      </w:hyperlink>
      <w:r w:rsidRPr="007A22DC">
        <w:t xml:space="preserve"> z 4 kwietnia 2018 r.</w:t>
      </w:r>
    </w:p>
  </w:footnote>
  <w:footnote w:id="288">
    <w:p w14:paraId="2AC2B582" w14:textId="77777777" w:rsidR="00803B7D" w:rsidRPr="007A22DC" w:rsidRDefault="00803B7D" w:rsidP="000A5864">
      <w:pPr>
        <w:pStyle w:val="Przypis"/>
      </w:pPr>
      <w:r w:rsidRPr="007A22DC">
        <w:rPr>
          <w:rStyle w:val="Odwoanieprzypisudolnego"/>
          <w:rFonts w:eastAsiaTheme="majorEastAsia"/>
        </w:rPr>
        <w:footnoteRef/>
      </w:r>
      <w:r w:rsidRPr="007A22DC">
        <w:t xml:space="preserve"> Postanowienie z 21 maja 2018 r., sygn. akt I OPS 6/17.</w:t>
      </w:r>
    </w:p>
  </w:footnote>
  <w:footnote w:id="289">
    <w:p w14:paraId="0ABA0FDA" w14:textId="77777777" w:rsidR="00803B7D" w:rsidRPr="007A22DC" w:rsidRDefault="00803B7D" w:rsidP="00C50EE9">
      <w:pPr>
        <w:pStyle w:val="Przypis"/>
      </w:pPr>
      <w:r w:rsidRPr="007A22DC">
        <w:rPr>
          <w:rStyle w:val="Odwoanieprzypisudolnego"/>
        </w:rPr>
        <w:footnoteRef/>
      </w:r>
      <w:r w:rsidRPr="007A22DC">
        <w:t xml:space="preserve"> </w:t>
      </w:r>
      <w:hyperlink r:id="rId196" w:history="1">
        <w:r w:rsidRPr="007A22DC">
          <w:rPr>
            <w:rStyle w:val="Hipercze"/>
          </w:rPr>
          <w:t>VII.520.54.2018</w:t>
        </w:r>
      </w:hyperlink>
      <w:r w:rsidRPr="007A22DC">
        <w:t xml:space="preserve"> z 6 września 2018 r., odpowiedź UODO z 28 września 2018 r., odpowiedź Biura Służby Prawnej TK, 18 października 2018 r.</w:t>
      </w:r>
    </w:p>
  </w:footnote>
  <w:footnote w:id="290">
    <w:p w14:paraId="1EFEC696" w14:textId="77777777" w:rsidR="00803B7D" w:rsidRPr="007A22DC" w:rsidRDefault="00803B7D" w:rsidP="000A5864">
      <w:pPr>
        <w:pStyle w:val="Przypis"/>
      </w:pPr>
      <w:r w:rsidRPr="007A22DC">
        <w:rPr>
          <w:rStyle w:val="Odwoanieprzypisudolnego"/>
        </w:rPr>
        <w:footnoteRef/>
      </w:r>
      <w:r w:rsidRPr="007A22DC">
        <w:t xml:space="preserve"> Informacja roczna za rok 2017, s. 230</w:t>
      </w:r>
    </w:p>
  </w:footnote>
  <w:footnote w:id="291">
    <w:p w14:paraId="2F15184C" w14:textId="77777777" w:rsidR="00803B7D" w:rsidRPr="007A22DC" w:rsidRDefault="00803B7D" w:rsidP="000A5864">
      <w:pPr>
        <w:pStyle w:val="Przypis"/>
      </w:pPr>
      <w:r w:rsidRPr="007A22DC">
        <w:rPr>
          <w:rStyle w:val="Odwoanieprzypisudolnego"/>
        </w:rPr>
        <w:footnoteRef/>
      </w:r>
      <w:r w:rsidRPr="007A22DC">
        <w:t xml:space="preserve"> </w:t>
      </w:r>
      <w:hyperlink r:id="rId197" w:history="1">
        <w:r w:rsidRPr="007A22DC">
          <w:rPr>
            <w:rStyle w:val="Hipercze"/>
          </w:rPr>
          <w:t>VII.6061.1.2017</w:t>
        </w:r>
      </w:hyperlink>
      <w:r w:rsidRPr="007A22DC">
        <w:t xml:space="preserve"> z 22 stycznia 2018 r. i z 13 lutego 2018 r..</w:t>
      </w:r>
    </w:p>
  </w:footnote>
  <w:footnote w:id="292">
    <w:p w14:paraId="5751F11A" w14:textId="77777777" w:rsidR="00803B7D" w:rsidRPr="007A22DC" w:rsidRDefault="00803B7D" w:rsidP="000A5864">
      <w:pPr>
        <w:pStyle w:val="Przypis"/>
      </w:pPr>
      <w:r w:rsidRPr="007A22DC">
        <w:rPr>
          <w:rStyle w:val="Odwoanieprzypisudolnego"/>
        </w:rPr>
        <w:footnoteRef/>
      </w:r>
      <w:r w:rsidRPr="007A22DC">
        <w:t xml:space="preserve"> Zobacz: </w:t>
      </w:r>
      <w:hyperlink r:id="rId198" w:history="1">
        <w:r w:rsidRPr="007A22DC">
          <w:rPr>
            <w:rStyle w:val="Hipercze"/>
          </w:rPr>
          <w:t>https://www.rpo.gov.pl/pl/content/artykuł-adama-bodnara-dla-magazynu-tvn24-o-konsekwencjach-ustawy-o-jawności-życia-publicznego</w:t>
        </w:r>
      </w:hyperlink>
    </w:p>
  </w:footnote>
  <w:footnote w:id="293">
    <w:p w14:paraId="7D9B55F2" w14:textId="77777777" w:rsidR="00803B7D" w:rsidRPr="007A22DC" w:rsidRDefault="00803B7D" w:rsidP="000A5864">
      <w:pPr>
        <w:pStyle w:val="Przypis"/>
      </w:pPr>
      <w:r w:rsidRPr="007A22DC">
        <w:rPr>
          <w:rStyle w:val="Odwoanieprzypisudolnego"/>
        </w:rPr>
        <w:footnoteRef/>
      </w:r>
      <w:r w:rsidRPr="007A22DC">
        <w:t xml:space="preserve"> Tekst: </w:t>
      </w:r>
      <w:hyperlink r:id="rId199" w:history="1">
        <w:r w:rsidRPr="007A22DC">
          <w:rPr>
            <w:rStyle w:val="Hipercze"/>
            <w:rFonts w:eastAsiaTheme="majorEastAsia"/>
          </w:rPr>
          <w:t>https://www.tvn24.pl/magazyn-tvn24/strazak-bibliotekarka-kierownik-basenu-150-zawodow-ma-pokazac-swoje-majatki,140,2497</w:t>
        </w:r>
      </w:hyperlink>
    </w:p>
  </w:footnote>
  <w:footnote w:id="294">
    <w:p w14:paraId="4B3D2D82" w14:textId="77777777" w:rsidR="00803B7D" w:rsidRPr="007A22DC" w:rsidRDefault="00803B7D" w:rsidP="00F842CC">
      <w:pPr>
        <w:pStyle w:val="Przypis"/>
      </w:pPr>
      <w:r w:rsidRPr="007A22DC">
        <w:rPr>
          <w:rStyle w:val="Odwoanieprzypisudolnego"/>
        </w:rPr>
        <w:footnoteRef/>
      </w:r>
      <w:r w:rsidRPr="007A22DC">
        <w:t xml:space="preserve"> Ustawa z 11 stycznia 2018 r. </w:t>
      </w:r>
      <w:r w:rsidRPr="007A22DC">
        <w:rPr>
          <w:bCs/>
          <w:iCs/>
        </w:rPr>
        <w:t>ustawa o zmianie niektórych ustaw w celu zwiększenia udziału obywateli w procesie wybierania</w:t>
      </w:r>
      <w:r w:rsidRPr="007A22DC">
        <w:t xml:space="preserve"> (Dz.U. z 2018 r. poz. 130)</w:t>
      </w:r>
    </w:p>
  </w:footnote>
  <w:footnote w:id="295">
    <w:p w14:paraId="0507B32A" w14:textId="77777777" w:rsidR="00803B7D" w:rsidRPr="007A22DC" w:rsidRDefault="00803B7D" w:rsidP="001D0A3A">
      <w:pPr>
        <w:pStyle w:val="Przypis"/>
      </w:pPr>
      <w:r w:rsidRPr="007A22DC">
        <w:rPr>
          <w:rStyle w:val="Odwoanieprzypisudolnego"/>
        </w:rPr>
        <w:footnoteRef/>
      </w:r>
      <w:r w:rsidRPr="007A22DC">
        <w:t xml:space="preserve"> </w:t>
      </w:r>
      <w:hyperlink r:id="rId200" w:history="1">
        <w:r w:rsidRPr="007A22DC">
          <w:rPr>
            <w:rStyle w:val="Hipercze"/>
          </w:rPr>
          <w:t>VII.602.6.2014</w:t>
        </w:r>
      </w:hyperlink>
      <w:r w:rsidRPr="007A22DC">
        <w:t xml:space="preserve"> z 11 kwietnia 2018 r., odpowiedź z 20 kwietnia 2018 r..</w:t>
      </w:r>
    </w:p>
  </w:footnote>
  <w:footnote w:id="296">
    <w:p w14:paraId="13710B0E" w14:textId="77777777" w:rsidR="00803B7D" w:rsidRPr="007A22DC" w:rsidRDefault="00803B7D" w:rsidP="001D0A3A">
      <w:pPr>
        <w:pStyle w:val="Przypis"/>
      </w:pPr>
      <w:r w:rsidRPr="007A22DC">
        <w:rPr>
          <w:rStyle w:val="Odwoanieprzypisudolnego"/>
        </w:rPr>
        <w:footnoteRef/>
      </w:r>
      <w:r w:rsidRPr="007A22DC">
        <w:t xml:space="preserve"> Ustawa z 15 czerwca 2018 r. (Dz.U. poz. 1349)</w:t>
      </w:r>
    </w:p>
  </w:footnote>
  <w:footnote w:id="297">
    <w:p w14:paraId="72C1E5C9" w14:textId="77777777" w:rsidR="00803B7D" w:rsidRPr="007A22DC" w:rsidRDefault="00803B7D" w:rsidP="001D0A3A">
      <w:pPr>
        <w:pStyle w:val="Przypis"/>
      </w:pPr>
      <w:r w:rsidRPr="007A22DC">
        <w:rPr>
          <w:rStyle w:val="Odwoanieprzypisudolnego"/>
        </w:rPr>
        <w:footnoteRef/>
      </w:r>
      <w:r w:rsidRPr="007A22DC">
        <w:t xml:space="preserve"> Ustawa z 26 stycznia 2018 r. (Dz.U. poz. 431)</w:t>
      </w:r>
    </w:p>
  </w:footnote>
  <w:footnote w:id="298">
    <w:p w14:paraId="139937B9" w14:textId="77777777" w:rsidR="00803B7D" w:rsidRPr="007A22DC" w:rsidRDefault="00803B7D" w:rsidP="0014574C">
      <w:pPr>
        <w:pStyle w:val="Przypis"/>
      </w:pPr>
      <w:r w:rsidRPr="007A22DC">
        <w:rPr>
          <w:rStyle w:val="Odwoanieprzypisudolnego"/>
        </w:rPr>
        <w:footnoteRef/>
      </w:r>
      <w:r w:rsidRPr="007A22DC">
        <w:t xml:space="preserve"> </w:t>
      </w:r>
      <w:hyperlink r:id="rId201" w:history="1">
        <w:r w:rsidRPr="007A22DC">
          <w:rPr>
            <w:rStyle w:val="Hipercze"/>
          </w:rPr>
          <w:t>VII.501.24.2018</w:t>
        </w:r>
      </w:hyperlink>
      <w:r w:rsidRPr="007A22DC">
        <w:t xml:space="preserve"> z 14 marca 2018 r..</w:t>
      </w:r>
    </w:p>
  </w:footnote>
  <w:footnote w:id="299">
    <w:p w14:paraId="77FB76AA" w14:textId="77777777" w:rsidR="00803B7D" w:rsidRPr="007A22DC" w:rsidRDefault="00803B7D" w:rsidP="006C5471">
      <w:pPr>
        <w:pStyle w:val="Przypis"/>
      </w:pPr>
      <w:r w:rsidRPr="007A22DC">
        <w:rPr>
          <w:rStyle w:val="Odwoanieprzypisudolnego"/>
        </w:rPr>
        <w:footnoteRef/>
      </w:r>
      <w:r w:rsidRPr="007A22DC">
        <w:t xml:space="preserve"> Rozporządzenie z 14 maja 2014 r. (Dz.U., poz. 631).</w:t>
      </w:r>
    </w:p>
  </w:footnote>
  <w:footnote w:id="300">
    <w:p w14:paraId="05045C63" w14:textId="77777777" w:rsidR="00803B7D" w:rsidRPr="007A22DC" w:rsidRDefault="00803B7D" w:rsidP="006C5471">
      <w:pPr>
        <w:pStyle w:val="Przypis"/>
      </w:pPr>
      <w:r w:rsidRPr="007A22DC">
        <w:rPr>
          <w:rStyle w:val="Odwoanieprzypisudolnego"/>
        </w:rPr>
        <w:footnoteRef/>
      </w:r>
      <w:r w:rsidRPr="007A22DC">
        <w:t xml:space="preserve"> Informacja RPO za 2016 r., str. 33-34.</w:t>
      </w:r>
    </w:p>
  </w:footnote>
  <w:footnote w:id="301">
    <w:p w14:paraId="1358E290" w14:textId="77777777" w:rsidR="00803B7D" w:rsidRPr="007A22DC" w:rsidRDefault="00803B7D" w:rsidP="006C5471">
      <w:pPr>
        <w:pStyle w:val="Przypis"/>
      </w:pPr>
      <w:r w:rsidRPr="007A22DC">
        <w:rPr>
          <w:rStyle w:val="Odwoanieprzypisudolnego"/>
        </w:rPr>
        <w:footnoteRef/>
      </w:r>
      <w:r w:rsidRPr="007A22DC">
        <w:t xml:space="preserve"> Ustawa z 20 kwietnia 2004 r. (Dz.U. z 2016 r., poz. 645).</w:t>
      </w:r>
    </w:p>
  </w:footnote>
  <w:footnote w:id="302">
    <w:p w14:paraId="53F86250" w14:textId="77777777" w:rsidR="00803B7D" w:rsidRPr="007A22DC" w:rsidRDefault="00803B7D" w:rsidP="006C5471">
      <w:pPr>
        <w:pStyle w:val="Przypis"/>
      </w:pPr>
      <w:r w:rsidRPr="007A22DC">
        <w:rPr>
          <w:rStyle w:val="Odwoanieprzypisudolnego"/>
        </w:rPr>
        <w:footnoteRef/>
      </w:r>
      <w:r w:rsidRPr="007A22DC">
        <w:t xml:space="preserve"> Wyrok TK z 6 czerwca 2018 r., sygn. akt K 53/16.</w:t>
      </w:r>
    </w:p>
  </w:footnote>
  <w:footnote w:id="303">
    <w:p w14:paraId="7AE07325" w14:textId="77777777" w:rsidR="00803B7D" w:rsidRPr="007A22DC" w:rsidRDefault="00803B7D" w:rsidP="004A15C8">
      <w:pPr>
        <w:pStyle w:val="Przypis"/>
      </w:pPr>
      <w:r w:rsidRPr="007A22DC">
        <w:rPr>
          <w:rStyle w:val="Odwoanieprzypisudolnego"/>
        </w:rPr>
        <w:footnoteRef/>
      </w:r>
      <w:r w:rsidRPr="007A22DC">
        <w:t xml:space="preserve"> </w:t>
      </w:r>
      <w:hyperlink r:id="rId202" w:history="1">
        <w:r w:rsidRPr="007A22DC">
          <w:rPr>
            <w:rStyle w:val="Hipercze"/>
          </w:rPr>
          <w:t>https://www.senat.gov.pl/gfx/senat/userfiles/_public/k9/komisje/2019/ku/inne_pliki/ms315.pdf</w:t>
        </w:r>
      </w:hyperlink>
    </w:p>
  </w:footnote>
  <w:footnote w:id="304">
    <w:p w14:paraId="0FAE5BB7" w14:textId="77777777" w:rsidR="00803B7D" w:rsidRPr="007A22DC" w:rsidRDefault="00803B7D" w:rsidP="00691CE4">
      <w:pPr>
        <w:pStyle w:val="Przypis"/>
      </w:pPr>
      <w:r w:rsidRPr="007A22DC">
        <w:rPr>
          <w:rStyle w:val="Odwoanieprzypisudolnego"/>
        </w:rPr>
        <w:footnoteRef/>
      </w:r>
      <w:r w:rsidRPr="007A22DC">
        <w:t xml:space="preserve"> </w:t>
      </w:r>
      <w:hyperlink r:id="rId203" w:history="1">
        <w:r w:rsidRPr="007A22DC">
          <w:rPr>
            <w:rStyle w:val="Hipercze"/>
          </w:rPr>
          <w:t>VII.520.76.201</w:t>
        </w:r>
      </w:hyperlink>
      <w:r w:rsidRPr="007A22DC">
        <w:t>8 z 9 grudnia 2018 r., odpowiedź z 28 marca 2019 r. zawierająca opinię ze stycznia 2019 r..</w:t>
      </w:r>
    </w:p>
  </w:footnote>
  <w:footnote w:id="305">
    <w:p w14:paraId="2F0125F7" w14:textId="77777777" w:rsidR="00803B7D" w:rsidRPr="007A22DC" w:rsidRDefault="00803B7D" w:rsidP="00021590">
      <w:pPr>
        <w:pStyle w:val="Przypis"/>
      </w:pPr>
      <w:r w:rsidRPr="007A22DC">
        <w:rPr>
          <w:rStyle w:val="Odwoanieprzypisudolnego"/>
        </w:rPr>
        <w:footnoteRef/>
      </w:r>
      <w:r w:rsidRPr="007A22DC">
        <w:t xml:space="preserve"> Dz.U. 2006 nr 208 poz. 1537</w:t>
      </w:r>
    </w:p>
  </w:footnote>
  <w:footnote w:id="306">
    <w:p w14:paraId="5A1A4E32" w14:textId="77777777" w:rsidR="00803B7D" w:rsidRPr="007A22DC" w:rsidRDefault="00803B7D" w:rsidP="0014574C">
      <w:pPr>
        <w:pStyle w:val="Przypis"/>
      </w:pPr>
      <w:r w:rsidRPr="007A22DC">
        <w:rPr>
          <w:rStyle w:val="Odwoanieprzypisudolnego"/>
        </w:rPr>
        <w:footnoteRef/>
      </w:r>
      <w:r w:rsidRPr="007A22DC">
        <w:t xml:space="preserve"> Rozporządzenie z 30 lipca 2009 r. (Dz.U. Nr 129, poz. 1068).</w:t>
      </w:r>
    </w:p>
  </w:footnote>
  <w:footnote w:id="307">
    <w:p w14:paraId="3E36A95C" w14:textId="77777777" w:rsidR="00803B7D" w:rsidRPr="007A22DC" w:rsidRDefault="00803B7D" w:rsidP="0014574C">
      <w:pPr>
        <w:pStyle w:val="Przypis"/>
      </w:pPr>
      <w:r w:rsidRPr="007A22DC">
        <w:rPr>
          <w:rStyle w:val="Odwoanieprzypisudolnego"/>
        </w:rPr>
        <w:footnoteRef/>
      </w:r>
      <w:r w:rsidRPr="007A22DC">
        <w:t xml:space="preserve"> </w:t>
      </w:r>
      <w:hyperlink r:id="rId204" w:history="1">
        <w:r w:rsidRPr="007A22DC">
          <w:rPr>
            <w:rStyle w:val="Hipercze"/>
          </w:rPr>
          <w:t>BPW.520.6.2015</w:t>
        </w:r>
      </w:hyperlink>
      <w:r w:rsidRPr="007A22DC">
        <w:t xml:space="preserve"> z 16 lipca 2018 r., odpowiedź z 22 sierpnia 2018 r..</w:t>
      </w:r>
    </w:p>
  </w:footnote>
  <w:footnote w:id="308">
    <w:p w14:paraId="520BF60D" w14:textId="77777777" w:rsidR="00803B7D" w:rsidRPr="007A22DC" w:rsidRDefault="00803B7D" w:rsidP="0014574C">
      <w:pPr>
        <w:pStyle w:val="Przypis"/>
      </w:pPr>
      <w:r w:rsidRPr="007A22DC">
        <w:rPr>
          <w:rStyle w:val="Odwoanieprzypisudolnego"/>
        </w:rPr>
        <w:footnoteRef/>
      </w:r>
      <w:r w:rsidRPr="007A22DC">
        <w:t xml:space="preserve"> </w:t>
      </w:r>
      <w:hyperlink r:id="rId205" w:history="1">
        <w:r w:rsidRPr="007A22DC">
          <w:rPr>
            <w:rStyle w:val="Hipercze"/>
          </w:rPr>
          <w:t>IV.7006.214.2016</w:t>
        </w:r>
      </w:hyperlink>
      <w:r w:rsidRPr="007A22DC">
        <w:t xml:space="preserve"> z 14 marca 2018 r..</w:t>
      </w:r>
    </w:p>
  </w:footnote>
  <w:footnote w:id="309">
    <w:p w14:paraId="2FEB4370" w14:textId="77777777" w:rsidR="00803B7D" w:rsidRPr="007A22DC" w:rsidRDefault="00803B7D" w:rsidP="0014574C">
      <w:pPr>
        <w:pStyle w:val="Przypis"/>
      </w:pPr>
      <w:r w:rsidRPr="007A22DC">
        <w:rPr>
          <w:rStyle w:val="Odwoanieprzypisudolnego"/>
        </w:rPr>
        <w:footnoteRef/>
      </w:r>
      <w:r w:rsidRPr="007A22DC">
        <w:t xml:space="preserve"> Uchwała z 8 października 2018 r., sygn. akt I OPS 1/18.</w:t>
      </w:r>
    </w:p>
  </w:footnote>
  <w:footnote w:id="310">
    <w:p w14:paraId="6F86FD0C" w14:textId="77777777" w:rsidR="00803B7D" w:rsidRPr="007A22DC" w:rsidRDefault="00803B7D" w:rsidP="0014574C">
      <w:pPr>
        <w:pStyle w:val="Przypis"/>
      </w:pPr>
      <w:r w:rsidRPr="007A22DC">
        <w:rPr>
          <w:rStyle w:val="Odwoanieprzypisudolnego"/>
        </w:rPr>
        <w:footnoteRef/>
      </w:r>
      <w:r w:rsidRPr="007A22DC">
        <w:t xml:space="preserve"> Ustawa z dnia 11 maja 2017 r. o biegłych rewidentach, firmach audytorskich oraz nadzorze publicznym, (Dz.U. z 2017 r. poz. 1089, ze zm.).</w:t>
      </w:r>
    </w:p>
  </w:footnote>
  <w:footnote w:id="311">
    <w:p w14:paraId="28A69BA3" w14:textId="77777777" w:rsidR="00803B7D" w:rsidRPr="007A22DC" w:rsidRDefault="00803B7D" w:rsidP="009B5C58">
      <w:pPr>
        <w:pStyle w:val="Przypis"/>
      </w:pPr>
      <w:r w:rsidRPr="007A22DC">
        <w:rPr>
          <w:rStyle w:val="Odwoanieprzypisudolnego"/>
        </w:rPr>
        <w:footnoteRef/>
      </w:r>
      <w:r w:rsidRPr="007A22DC">
        <w:t xml:space="preserve"> </w:t>
      </w:r>
      <w:hyperlink r:id="rId206" w:history="1">
        <w:r w:rsidRPr="007A22DC">
          <w:rPr>
            <w:rStyle w:val="Hipercze"/>
          </w:rPr>
          <w:t>VII.561.3.2017</w:t>
        </w:r>
      </w:hyperlink>
      <w:r w:rsidRPr="007A22DC">
        <w:t xml:space="preserve"> z 16 stycznia 2018 r., odpowiedź z 16 lutego 2018 r..</w:t>
      </w:r>
    </w:p>
  </w:footnote>
  <w:footnote w:id="312">
    <w:p w14:paraId="1AAD93CF" w14:textId="77777777" w:rsidR="00803B7D" w:rsidRPr="007A22DC" w:rsidRDefault="00803B7D" w:rsidP="006B0346">
      <w:pPr>
        <w:pStyle w:val="Przypis"/>
      </w:pPr>
      <w:r w:rsidRPr="007A22DC">
        <w:rPr>
          <w:rStyle w:val="Odwoanieprzypisudolnego"/>
        </w:rPr>
        <w:footnoteRef/>
      </w:r>
      <w:r w:rsidRPr="007A22DC">
        <w:t xml:space="preserve"> Sprawa C-441/17, zobacz też </w:t>
      </w:r>
      <w:hyperlink r:id="rId207" w:history="1">
        <w:r w:rsidRPr="007A22DC">
          <w:rPr>
            <w:rStyle w:val="Hipercze"/>
            <w:rFonts w:eastAsiaTheme="majorEastAsia"/>
          </w:rPr>
          <w:t>https://www.rpo.gov.pl/pl/content/wyrok-ts-ue-ws-puszczy-bialowieskiej-jej-obrona-byla-uzasadniona</w:t>
        </w:r>
      </w:hyperlink>
    </w:p>
  </w:footnote>
  <w:footnote w:id="313">
    <w:p w14:paraId="100C2CA4" w14:textId="77777777" w:rsidR="00803B7D" w:rsidRPr="007A22DC" w:rsidRDefault="00803B7D" w:rsidP="0014574C">
      <w:pPr>
        <w:pStyle w:val="Przypis"/>
      </w:pPr>
      <w:r w:rsidRPr="007A22DC">
        <w:rPr>
          <w:rStyle w:val="Odwoanieprzypisudolnego"/>
        </w:rPr>
        <w:footnoteRef/>
      </w:r>
      <w:r w:rsidRPr="007A22DC">
        <w:t xml:space="preserve"> </w:t>
      </w:r>
      <w:hyperlink r:id="rId208" w:history="1">
        <w:r w:rsidRPr="007A22DC">
          <w:rPr>
            <w:rStyle w:val="Hipercze"/>
          </w:rPr>
          <w:t>V.7200.6.2018</w:t>
        </w:r>
      </w:hyperlink>
      <w:r w:rsidRPr="007A22DC">
        <w:t xml:space="preserve"> z 23 października 2018 r., odpowiedź z 9 listopada 2018 r.</w:t>
      </w:r>
    </w:p>
  </w:footnote>
  <w:footnote w:id="314">
    <w:p w14:paraId="3E194B26" w14:textId="77777777" w:rsidR="00803B7D" w:rsidRPr="007A22DC" w:rsidRDefault="00803B7D" w:rsidP="0014574C">
      <w:pPr>
        <w:pStyle w:val="Przypis"/>
      </w:pPr>
      <w:r w:rsidRPr="007A22DC">
        <w:rPr>
          <w:rStyle w:val="Odwoanieprzypisudolnego"/>
        </w:rPr>
        <w:footnoteRef/>
      </w:r>
      <w:r w:rsidRPr="007A22DC">
        <w:t xml:space="preserve">Relacja: </w:t>
      </w:r>
      <w:hyperlink r:id="rId209" w:history="1">
        <w:r w:rsidRPr="007A22DC">
          <w:rPr>
            <w:rStyle w:val="Hipercze"/>
          </w:rPr>
          <w:t>https://www.rpo.gov.pl/pl/content/panel/sesja-5-wykluczenie-transportowe-mieszkańcłów-mniejszych-miejscowości-blok-c</w:t>
        </w:r>
      </w:hyperlink>
    </w:p>
  </w:footnote>
  <w:footnote w:id="315">
    <w:p w14:paraId="6B64B3CA" w14:textId="77777777" w:rsidR="00803B7D" w:rsidRPr="007A22DC" w:rsidRDefault="00803B7D" w:rsidP="00043578">
      <w:pPr>
        <w:pStyle w:val="Przypis"/>
      </w:pPr>
      <w:r w:rsidRPr="007A22DC">
        <w:rPr>
          <w:rStyle w:val="Odwoanieprzypisudolnego"/>
        </w:rPr>
        <w:footnoteRef/>
      </w:r>
      <w:r w:rsidRPr="007A22DC">
        <w:t xml:space="preserve"> </w:t>
      </w:r>
      <w:hyperlink r:id="rId210" w:history="1">
        <w:r w:rsidRPr="007A22DC">
          <w:rPr>
            <w:rStyle w:val="Hipercze"/>
          </w:rPr>
          <w:t>VII.5600.3.2018</w:t>
        </w:r>
      </w:hyperlink>
      <w:r w:rsidRPr="007A22DC">
        <w:t xml:space="preserve"> z 7 marca 2018 r., stan prac nad projektem: </w:t>
      </w:r>
      <w:hyperlink r:id="rId211" w:history="1">
        <w:r w:rsidRPr="007A22DC">
          <w:rPr>
            <w:rStyle w:val="Hipercze"/>
            <w:rFonts w:eastAsiaTheme="majorEastAsia"/>
          </w:rPr>
          <w:t>https://legislacja.rcl.gov.pl/projekt/12308603</w:t>
        </w:r>
      </w:hyperlink>
    </w:p>
  </w:footnote>
  <w:footnote w:id="316">
    <w:p w14:paraId="11523510" w14:textId="77777777" w:rsidR="00803B7D" w:rsidRPr="007A22DC" w:rsidRDefault="00803B7D" w:rsidP="0014574C">
      <w:pPr>
        <w:pStyle w:val="Przypis"/>
      </w:pPr>
      <w:r w:rsidRPr="007A22DC">
        <w:rPr>
          <w:rStyle w:val="Odwoanieprzypisudolnego"/>
        </w:rPr>
        <w:footnoteRef/>
      </w:r>
      <w:r w:rsidRPr="007A22DC">
        <w:t xml:space="preserve"> </w:t>
      </w:r>
      <w:hyperlink r:id="rId212" w:history="1">
        <w:r w:rsidRPr="007A22DC">
          <w:rPr>
            <w:rStyle w:val="Hipercze"/>
            <w:shd w:val="clear" w:color="auto" w:fill="FFFFFF"/>
          </w:rPr>
          <w:t>II.510.31.2018</w:t>
        </w:r>
      </w:hyperlink>
    </w:p>
  </w:footnote>
  <w:footnote w:id="317">
    <w:p w14:paraId="19CA50DA" w14:textId="77777777" w:rsidR="00803B7D" w:rsidRPr="007A22DC" w:rsidRDefault="00803B7D" w:rsidP="0014574C">
      <w:pPr>
        <w:pStyle w:val="Przypis"/>
      </w:pPr>
      <w:r w:rsidRPr="007A22DC">
        <w:rPr>
          <w:rStyle w:val="Odwoanieprzypisudolnego"/>
        </w:rPr>
        <w:footnoteRef/>
      </w:r>
      <w:r w:rsidRPr="007A22DC">
        <w:t xml:space="preserve"> Ustawa z 5 grudnia 1996 r. (Dz. U. z 2018 r., poz. 617 ze zm.).</w:t>
      </w:r>
    </w:p>
  </w:footnote>
  <w:footnote w:id="318">
    <w:p w14:paraId="018C6ADB" w14:textId="77777777" w:rsidR="00803B7D" w:rsidRPr="007A22DC" w:rsidRDefault="00803B7D" w:rsidP="00C5372A">
      <w:pPr>
        <w:pStyle w:val="Przypis"/>
      </w:pPr>
      <w:r w:rsidRPr="007A22DC">
        <w:rPr>
          <w:rStyle w:val="Odwoanieprzypisudolnego"/>
        </w:rPr>
        <w:footnoteRef/>
      </w:r>
      <w:r w:rsidRPr="007A22DC">
        <w:t xml:space="preserve"> XI.518.67.2018 z 30 października 2018 r., odpowiedź Policji z 19 listopada 2018 r.</w:t>
      </w:r>
    </w:p>
  </w:footnote>
  <w:footnote w:id="319">
    <w:p w14:paraId="02EBF4C2" w14:textId="77777777" w:rsidR="00803B7D" w:rsidRPr="007A22DC" w:rsidRDefault="00803B7D" w:rsidP="00EC122B">
      <w:pPr>
        <w:pStyle w:val="Przypis"/>
      </w:pPr>
      <w:r w:rsidRPr="007A22DC">
        <w:rPr>
          <w:rStyle w:val="Odwoanieprzypisudolnego"/>
        </w:rPr>
        <w:footnoteRef/>
      </w:r>
      <w:r w:rsidRPr="007A22DC">
        <w:t xml:space="preserve"> </w:t>
      </w:r>
      <w:hyperlink r:id="rId213" w:history="1">
        <w:r w:rsidRPr="007A22DC">
          <w:rPr>
            <w:rStyle w:val="Hipercze"/>
            <w:rFonts w:eastAsiaTheme="majorEastAsia"/>
          </w:rPr>
          <w:t>K 13/16</w:t>
        </w:r>
      </w:hyperlink>
    </w:p>
  </w:footnote>
  <w:footnote w:id="320">
    <w:p w14:paraId="31195580" w14:textId="77777777" w:rsidR="00803B7D" w:rsidRPr="007A22DC" w:rsidRDefault="00803B7D" w:rsidP="0014574C">
      <w:pPr>
        <w:pStyle w:val="Przypis"/>
      </w:pPr>
      <w:r w:rsidRPr="007A22DC">
        <w:rPr>
          <w:rStyle w:val="Odwoanieprzypisudolnego"/>
        </w:rPr>
        <w:footnoteRef/>
      </w:r>
      <w:r w:rsidRPr="007A22DC">
        <w:t xml:space="preserve"> </w:t>
      </w:r>
      <w:hyperlink r:id="rId214" w:history="1">
        <w:r w:rsidRPr="007A22DC">
          <w:rPr>
            <w:rStyle w:val="Hipercze"/>
            <w:szCs w:val="18"/>
          </w:rPr>
          <w:t>VII.603.1.2016</w:t>
        </w:r>
      </w:hyperlink>
      <w:r w:rsidRPr="007A22DC">
        <w:rPr>
          <w:rStyle w:val="Hipercze"/>
          <w:szCs w:val="18"/>
        </w:rPr>
        <w:t xml:space="preserve"> z </w:t>
      </w:r>
      <w:r w:rsidRPr="007A22DC">
        <w:t>16 lipca 2018 r.</w:t>
      </w:r>
    </w:p>
  </w:footnote>
  <w:footnote w:id="321">
    <w:p w14:paraId="33F1D61E" w14:textId="77777777" w:rsidR="00803B7D" w:rsidRPr="007A22DC" w:rsidRDefault="00744B2D" w:rsidP="0014574C">
      <w:pPr>
        <w:pStyle w:val="Przypis"/>
      </w:pPr>
      <w:hyperlink r:id="rId215" w:history="1">
        <w:r w:rsidR="00803B7D" w:rsidRPr="007A22DC">
          <w:rPr>
            <w:rStyle w:val="Hipercze"/>
            <w:vertAlign w:val="superscript"/>
          </w:rPr>
          <w:footnoteRef/>
        </w:r>
        <w:r w:rsidR="00803B7D" w:rsidRPr="007A22DC">
          <w:rPr>
            <w:rStyle w:val="Hipercze"/>
            <w:szCs w:val="18"/>
          </w:rPr>
          <w:t xml:space="preserve"> VII.564.2.2018</w:t>
        </w:r>
      </w:hyperlink>
      <w:r w:rsidR="00803B7D" w:rsidRPr="007A22DC">
        <w:t xml:space="preserve"> z 9 stycznia 2018 r.</w:t>
      </w:r>
    </w:p>
  </w:footnote>
  <w:footnote w:id="322">
    <w:p w14:paraId="5FB01A72" w14:textId="77777777" w:rsidR="00803B7D" w:rsidRPr="007A22DC" w:rsidRDefault="00803B7D" w:rsidP="0014574C">
      <w:pPr>
        <w:pStyle w:val="Przypis"/>
      </w:pPr>
      <w:r w:rsidRPr="007A22DC">
        <w:rPr>
          <w:rStyle w:val="Odwoanieprzypisudolnego"/>
        </w:rPr>
        <w:footnoteRef/>
      </w:r>
      <w:r w:rsidRPr="007A22DC">
        <w:t xml:space="preserve"> </w:t>
      </w:r>
      <w:hyperlink r:id="rId216" w:history="1">
        <w:r w:rsidRPr="007A22DC">
          <w:rPr>
            <w:rStyle w:val="Hipercze"/>
          </w:rPr>
          <w:t>VII.564.8.2015</w:t>
        </w:r>
      </w:hyperlink>
      <w:r w:rsidRPr="007A22DC">
        <w:t xml:space="preserve"> z 25 kwietnia 2018 r., odpowiedź z 19 lipca 2018 r.r</w:t>
      </w:r>
    </w:p>
  </w:footnote>
  <w:footnote w:id="323">
    <w:p w14:paraId="01F36BEF" w14:textId="77777777" w:rsidR="00803B7D" w:rsidRPr="007A22DC" w:rsidRDefault="00803B7D" w:rsidP="00AE3EE6">
      <w:pPr>
        <w:pStyle w:val="Przypis"/>
      </w:pPr>
      <w:r w:rsidRPr="007A22DC">
        <w:rPr>
          <w:rStyle w:val="Odwoanieprzypisudolnego"/>
        </w:rPr>
        <w:footnoteRef/>
      </w:r>
      <w:r w:rsidRPr="007A22DC">
        <w:t xml:space="preserve"> Projekt dostępny pod adresem </w:t>
      </w:r>
      <w:hyperlink r:id="rId217" w:history="1">
        <w:r w:rsidRPr="007A22DC">
          <w:rPr>
            <w:rStyle w:val="Hipercze"/>
          </w:rPr>
          <w:t>http://orka.sejm.gov.pl/Druki8ka.nsf/dok?OpenAgent&amp;8-020-1123-2018</w:t>
        </w:r>
      </w:hyperlink>
      <w:r w:rsidRPr="007A22DC">
        <w:t>, w maju 2019 r. nie miał jeszcze numeru druku</w:t>
      </w:r>
    </w:p>
  </w:footnote>
  <w:footnote w:id="324">
    <w:p w14:paraId="728069D1" w14:textId="77777777" w:rsidR="00803B7D" w:rsidRPr="007A22DC" w:rsidRDefault="00803B7D" w:rsidP="006852AD">
      <w:pPr>
        <w:pStyle w:val="Przypis"/>
        <w:rPr>
          <w:rStyle w:val="Hipercze"/>
          <w:color w:val="auto"/>
          <w:u w:val="none"/>
        </w:rPr>
      </w:pPr>
      <w:r w:rsidRPr="007A22DC">
        <w:rPr>
          <w:rStyle w:val="Odwoanieprzypisudolnego"/>
        </w:rPr>
        <w:footnoteRef/>
      </w:r>
      <w:r w:rsidRPr="007A22DC">
        <w:t xml:space="preserve"> </w:t>
      </w:r>
      <w:hyperlink r:id="rId218" w:history="1">
        <w:r w:rsidRPr="007A22DC">
          <w:rPr>
            <w:rStyle w:val="Hipercze"/>
          </w:rPr>
          <w:t>VII.602.16.2018</w:t>
        </w:r>
      </w:hyperlink>
      <w:r w:rsidRPr="007A22DC">
        <w:t xml:space="preserve"> z 28 sierpnia 2018 r., odpowiedź KRRiT i TVP z 4 października 2018 r..</w:t>
      </w:r>
    </w:p>
  </w:footnote>
  <w:footnote w:id="325">
    <w:p w14:paraId="43686765" w14:textId="77777777" w:rsidR="00803B7D" w:rsidRPr="007A22DC" w:rsidRDefault="00803B7D" w:rsidP="006852AD">
      <w:pPr>
        <w:pStyle w:val="Przypis"/>
        <w:rPr>
          <w:rStyle w:val="PrzypisZnak"/>
        </w:rPr>
      </w:pPr>
      <w:r w:rsidRPr="007A22DC">
        <w:rPr>
          <w:rStyle w:val="Odwoanieprzypisudolnego"/>
          <w:szCs w:val="18"/>
        </w:rPr>
        <w:footnoteRef/>
      </w:r>
      <w:r w:rsidRPr="007A22DC">
        <w:t xml:space="preserve"> </w:t>
      </w:r>
      <w:hyperlink r:id="rId219" w:history="1">
        <w:r w:rsidRPr="007A22DC">
          <w:rPr>
            <w:rStyle w:val="Hipercze"/>
            <w:szCs w:val="18"/>
          </w:rPr>
          <w:t>VII.564.70.2018</w:t>
        </w:r>
      </w:hyperlink>
      <w:r w:rsidRPr="007A22DC">
        <w:rPr>
          <w:rStyle w:val="Hipercze"/>
          <w:szCs w:val="18"/>
        </w:rPr>
        <w:t xml:space="preserve"> z 10</w:t>
      </w:r>
      <w:r w:rsidRPr="007A22DC">
        <w:rPr>
          <w:rStyle w:val="Hipercze"/>
          <w:rFonts w:ascii="Open Sans Regular" w:hAnsi="Open Sans Regular"/>
          <w:szCs w:val="18"/>
        </w:rPr>
        <w:t xml:space="preserve"> </w:t>
      </w:r>
      <w:r w:rsidRPr="007A22DC">
        <w:t>grudnia 2018 r., odpowiedź z 2 stycznia 2019 r.</w:t>
      </w:r>
    </w:p>
  </w:footnote>
  <w:footnote w:id="326">
    <w:p w14:paraId="175370D3" w14:textId="77777777" w:rsidR="00803B7D" w:rsidRPr="007A22DC" w:rsidRDefault="00803B7D" w:rsidP="0014574C">
      <w:pPr>
        <w:pStyle w:val="Przypis"/>
        <w:rPr>
          <w:lang w:val="en-US"/>
        </w:rPr>
      </w:pPr>
      <w:r w:rsidRPr="007A22DC">
        <w:rPr>
          <w:rStyle w:val="Odwoanieprzypisudolnego"/>
        </w:rPr>
        <w:footnoteRef/>
      </w:r>
      <w:r w:rsidRPr="007A22DC">
        <w:rPr>
          <w:lang w:val="en-US"/>
        </w:rPr>
        <w:t xml:space="preserve"> Stenogram: https://www.rpo.gov.pl/pl/content/stenogram-z-debaty-u-RPO-facebook-mowa-nienawisci-wolnosc-slowa-18-11-2016</w:t>
      </w:r>
    </w:p>
  </w:footnote>
  <w:footnote w:id="327">
    <w:p w14:paraId="771C0E0A" w14:textId="77777777" w:rsidR="00803B7D" w:rsidRPr="007A22DC" w:rsidRDefault="00803B7D" w:rsidP="006852AD">
      <w:pPr>
        <w:pStyle w:val="Przypis"/>
      </w:pPr>
      <w:r w:rsidRPr="007A22DC">
        <w:rPr>
          <w:rStyle w:val="Hipercze"/>
          <w:color w:val="auto"/>
          <w:u w:val="none"/>
          <w:vertAlign w:val="superscript"/>
        </w:rPr>
        <w:footnoteRef/>
      </w:r>
      <w:r w:rsidRPr="007A22DC">
        <w:rPr>
          <w:rStyle w:val="Hipercze"/>
          <w:color w:val="auto"/>
          <w:u w:val="none"/>
        </w:rPr>
        <w:t xml:space="preserve"> </w:t>
      </w:r>
      <w:hyperlink r:id="rId220" w:history="1">
        <w:r w:rsidRPr="007A22DC">
          <w:rPr>
            <w:rStyle w:val="Hipercze"/>
          </w:rPr>
          <w:t>VII.562.1.2018</w:t>
        </w:r>
      </w:hyperlink>
      <w:r w:rsidRPr="007A22DC">
        <w:rPr>
          <w:rStyle w:val="Hipercze"/>
          <w:color w:val="auto"/>
          <w:u w:val="none"/>
        </w:rPr>
        <w:t xml:space="preserve"> </w:t>
      </w:r>
      <w:r w:rsidRPr="007A22DC">
        <w:t>z 7 marca 2018 r..</w:t>
      </w:r>
    </w:p>
  </w:footnote>
  <w:footnote w:id="328">
    <w:p w14:paraId="0A53891A" w14:textId="77777777" w:rsidR="00803B7D" w:rsidRPr="007A22DC" w:rsidRDefault="00803B7D" w:rsidP="00A868BC">
      <w:pPr>
        <w:pStyle w:val="Przypis"/>
      </w:pPr>
      <w:r w:rsidRPr="007A22DC">
        <w:rPr>
          <w:rStyle w:val="Odwoanieprzypisudolnego"/>
        </w:rPr>
        <w:footnoteRef/>
      </w:r>
      <w:r w:rsidRPr="007A22DC">
        <w:t xml:space="preserve"> </w:t>
      </w:r>
      <w:hyperlink r:id="rId221" w:history="1">
        <w:r w:rsidRPr="007A22DC">
          <w:rPr>
            <w:rStyle w:val="Hipercze"/>
            <w:rFonts w:eastAsiaTheme="majorEastAsia"/>
          </w:rPr>
          <w:t>https://www.gov.pl/web/cyfryzacja/pierwsze-tego-typu-porozumienie-ministerstwo-cyfryzacji-i-facebook</w:t>
        </w:r>
      </w:hyperlink>
    </w:p>
  </w:footnote>
  <w:footnote w:id="329">
    <w:p w14:paraId="41BF5A79" w14:textId="77777777" w:rsidR="00803B7D" w:rsidRPr="007A22DC" w:rsidRDefault="00803B7D">
      <w:pPr>
        <w:pStyle w:val="Tekstprzypisudolnego"/>
      </w:pPr>
      <w:r w:rsidRPr="007A22DC">
        <w:rPr>
          <w:rStyle w:val="Odwoanieprzypisudolnego"/>
        </w:rPr>
        <w:footnoteRef/>
      </w:r>
      <w:r w:rsidRPr="007A22DC">
        <w:t xml:space="preserve"> </w:t>
      </w:r>
      <w:hyperlink r:id="rId222" w:history="1">
        <w:r w:rsidRPr="007A22DC">
          <w:rPr>
            <w:rStyle w:val="Hipercze"/>
          </w:rPr>
          <w:t>https://www.rpo.gov.pl/pl/content/deklaracja-uczestnikow-okraglego-stolu-rpo-do-walki-z-patotresciami-w-internecie</w:t>
        </w:r>
      </w:hyperlink>
    </w:p>
  </w:footnote>
  <w:footnote w:id="330">
    <w:p w14:paraId="64FEBE5A" w14:textId="77777777" w:rsidR="00803B7D" w:rsidRPr="007A22DC" w:rsidRDefault="00803B7D" w:rsidP="000C6F42">
      <w:pPr>
        <w:pStyle w:val="Przypis"/>
      </w:pPr>
      <w:r w:rsidRPr="007A22DC">
        <w:rPr>
          <w:rStyle w:val="Odwoanieprzypisudolnego"/>
        </w:rPr>
        <w:footnoteRef/>
      </w:r>
      <w:r w:rsidRPr="007A22DC">
        <w:t xml:space="preserve"> Sygn. akt IV KK 296/17, sprawa w BRPO: BPK.511.37.2017</w:t>
      </w:r>
    </w:p>
  </w:footnote>
  <w:footnote w:id="331">
    <w:p w14:paraId="1BD98034" w14:textId="77777777" w:rsidR="00803B7D" w:rsidRPr="007A22DC" w:rsidRDefault="00803B7D" w:rsidP="0014574C">
      <w:pPr>
        <w:pStyle w:val="Przypis"/>
      </w:pPr>
      <w:r w:rsidRPr="007A22DC">
        <w:rPr>
          <w:rStyle w:val="Odwoanieprzypisudolnego"/>
        </w:rPr>
        <w:footnoteRef/>
      </w:r>
      <w:r w:rsidRPr="007A22DC">
        <w:t xml:space="preserve"> </w:t>
      </w:r>
      <w:hyperlink r:id="rId223" w:history="1">
        <w:r w:rsidRPr="007A22DC">
          <w:rPr>
            <w:rStyle w:val="Hipercze"/>
            <w:szCs w:val="18"/>
          </w:rPr>
          <w:t>VII.564.38.2018, VII.564.39.2018</w:t>
        </w:r>
      </w:hyperlink>
    </w:p>
  </w:footnote>
  <w:footnote w:id="332">
    <w:p w14:paraId="021807E3" w14:textId="77777777" w:rsidR="00803B7D" w:rsidRPr="007A22DC" w:rsidRDefault="00803B7D" w:rsidP="008C5286">
      <w:pPr>
        <w:pStyle w:val="Przypis"/>
      </w:pPr>
      <w:r w:rsidRPr="007A22DC">
        <w:rPr>
          <w:rStyle w:val="Odwoanieprzypisudolnego"/>
        </w:rPr>
        <w:footnoteRef/>
      </w:r>
      <w:r w:rsidRPr="007A22DC">
        <w:t xml:space="preserve"> </w:t>
      </w:r>
      <w:hyperlink r:id="rId224" w:history="1">
        <w:r w:rsidRPr="007A22DC">
          <w:rPr>
            <w:rStyle w:val="Hipercze"/>
          </w:rPr>
          <w:t>VII.564.31.2018</w:t>
        </w:r>
      </w:hyperlink>
      <w:r w:rsidRPr="007A22DC">
        <w:t xml:space="preserve"> z 8 maja i 7 września 2018 r., odpowiedź z 25 czerwca i 8 października 2018 r.</w:t>
      </w:r>
    </w:p>
  </w:footnote>
  <w:footnote w:id="333">
    <w:p w14:paraId="6EF33D65" w14:textId="77777777" w:rsidR="00803B7D" w:rsidRPr="007A22DC" w:rsidRDefault="00803B7D" w:rsidP="0014574C">
      <w:pPr>
        <w:pStyle w:val="Przypis"/>
      </w:pPr>
      <w:r w:rsidRPr="007A22DC">
        <w:rPr>
          <w:rStyle w:val="Odwoanieprzypisudolnego"/>
        </w:rPr>
        <w:footnoteRef/>
      </w:r>
      <w:r w:rsidRPr="007A22DC">
        <w:t xml:space="preserve"> </w:t>
      </w:r>
      <w:hyperlink r:id="rId225" w:history="1">
        <w:r w:rsidRPr="007A22DC">
          <w:rPr>
            <w:rStyle w:val="Hipercze"/>
          </w:rPr>
          <w:t>III.7043.59.2016</w:t>
        </w:r>
      </w:hyperlink>
    </w:p>
  </w:footnote>
  <w:footnote w:id="334">
    <w:p w14:paraId="048732CD" w14:textId="77777777" w:rsidR="00803B7D" w:rsidRPr="007A22DC" w:rsidRDefault="00803B7D" w:rsidP="005630F8">
      <w:pPr>
        <w:pStyle w:val="Tekstprzypisudolnego"/>
      </w:pPr>
      <w:r w:rsidRPr="007A22DC">
        <w:rPr>
          <w:rStyle w:val="Odwoanieprzypisudolnego"/>
        </w:rPr>
        <w:footnoteRef/>
      </w:r>
      <w:r w:rsidRPr="007A22DC">
        <w:t xml:space="preserve"> Helsińska Fundacja Praw Człowieka, Amnesty International i Stowarzyszenie Interwencji Prawnej</w:t>
      </w:r>
    </w:p>
  </w:footnote>
  <w:footnote w:id="335">
    <w:p w14:paraId="51B48444" w14:textId="77777777" w:rsidR="00803B7D" w:rsidRPr="007A22DC" w:rsidRDefault="00803B7D" w:rsidP="005630F8">
      <w:pPr>
        <w:pStyle w:val="Tekstprzypisudolnego"/>
      </w:pPr>
      <w:r w:rsidRPr="007A22DC">
        <w:rPr>
          <w:rStyle w:val="Odwoanieprzypisudolnego"/>
        </w:rPr>
        <w:footnoteRef/>
      </w:r>
      <w:r w:rsidRPr="007A22DC">
        <w:t xml:space="preserve"> </w:t>
      </w:r>
      <w:hyperlink r:id="rId226" w:history="1">
        <w:r w:rsidRPr="007A22DC">
          <w:rPr>
            <w:rStyle w:val="Hipercze"/>
          </w:rPr>
          <w:t>XI.543.13.2018</w:t>
        </w:r>
      </w:hyperlink>
      <w:r w:rsidRPr="007A22DC">
        <w:t xml:space="preserve"> z 11 kwietnia 2018 r., odpowiedź z 23 kwietnia 2018 r.</w:t>
      </w:r>
    </w:p>
  </w:footnote>
  <w:footnote w:id="336">
    <w:p w14:paraId="1542FB79" w14:textId="77777777" w:rsidR="00803B7D" w:rsidRPr="007A22DC" w:rsidRDefault="00803B7D" w:rsidP="006E581A">
      <w:pPr>
        <w:pStyle w:val="Przypis"/>
      </w:pPr>
      <w:r w:rsidRPr="007A22DC">
        <w:rPr>
          <w:rStyle w:val="Odwoanieprzypisudolnego"/>
        </w:rPr>
        <w:footnoteRef/>
      </w:r>
      <w:r w:rsidRPr="007A22DC">
        <w:t xml:space="preserve"> </w:t>
      </w:r>
      <w:hyperlink r:id="rId227" w:history="1">
        <w:r w:rsidRPr="007A22DC">
          <w:rPr>
            <w:rStyle w:val="Hipercze"/>
          </w:rPr>
          <w:t>XI.543.13.2018</w:t>
        </w:r>
      </w:hyperlink>
      <w:r w:rsidRPr="007A22DC">
        <w:t xml:space="preserve"> z 24 września 2018 r., odpowiedź z 29 października 2018 r..</w:t>
      </w:r>
    </w:p>
  </w:footnote>
  <w:footnote w:id="337">
    <w:p w14:paraId="45B61178" w14:textId="74D0D910" w:rsidR="00803B7D" w:rsidRPr="007A22DC" w:rsidRDefault="00803B7D" w:rsidP="006632D6">
      <w:pPr>
        <w:pStyle w:val="Przypis"/>
      </w:pPr>
      <w:r w:rsidRPr="007A22DC">
        <w:rPr>
          <w:rStyle w:val="Odwoanieprzypisudolnego"/>
        </w:rPr>
        <w:footnoteRef/>
      </w:r>
      <w:r w:rsidRPr="007A22DC">
        <w:t xml:space="preserve"> Zobacz sprawy toczące się przed Europejskim</w:t>
      </w:r>
      <w:r>
        <w:t xml:space="preserve"> Trybunałem Praw Człowieka</w:t>
      </w:r>
      <w:r w:rsidRPr="007A22DC">
        <w:t xml:space="preserve">: </w:t>
      </w:r>
      <w:hyperlink r:id="rId228" w:tgtFrame="_blank" w:history="1">
        <w:r w:rsidRPr="007A22DC">
          <w:rPr>
            <w:rStyle w:val="Hipercze"/>
          </w:rPr>
          <w:t>M.K. przeciwko Polsce (sprawa nr 40503/17),</w:t>
        </w:r>
      </w:hyperlink>
      <w:r w:rsidRPr="007A22DC">
        <w:rPr>
          <w:rStyle w:val="Hipercze"/>
        </w:rPr>
        <w:t xml:space="preserve"> </w:t>
      </w:r>
      <w:hyperlink r:id="rId229" w:tgtFrame="_blank" w:history="1">
        <w:r w:rsidRPr="007A22DC">
          <w:rPr>
            <w:rStyle w:val="Hipercze"/>
          </w:rPr>
          <w:t>M.K. i Inni przeciwko Polsce (sprawa nr 43643/17)</w:t>
        </w:r>
      </w:hyperlink>
      <w:r w:rsidRPr="007A22DC">
        <w:rPr>
          <w:rStyle w:val="Hipercze"/>
        </w:rPr>
        <w:t xml:space="preserve">, </w:t>
      </w:r>
      <w:hyperlink r:id="rId230" w:tgtFrame="_blank" w:history="1">
        <w:r w:rsidRPr="007A22DC">
          <w:rPr>
            <w:rStyle w:val="Hipercze"/>
          </w:rPr>
          <w:t>M.A. i Inni przeciwko Polsce (sprawa nr42902/17)</w:t>
        </w:r>
      </w:hyperlink>
    </w:p>
  </w:footnote>
  <w:footnote w:id="338">
    <w:p w14:paraId="74C9117E" w14:textId="77777777" w:rsidR="00803B7D" w:rsidRPr="007A22DC" w:rsidRDefault="00803B7D" w:rsidP="008F03F6">
      <w:pPr>
        <w:pStyle w:val="Przypis"/>
      </w:pPr>
      <w:r w:rsidRPr="007A22DC">
        <w:rPr>
          <w:rStyle w:val="Odwoanieprzypisudolnego"/>
        </w:rPr>
        <w:footnoteRef/>
      </w:r>
      <w:r w:rsidRPr="007A22DC">
        <w:t xml:space="preserve"> Raport dostępny pod adresem: </w:t>
      </w:r>
      <w:hyperlink r:id="rId231" w:history="1">
        <w:r w:rsidRPr="007A22DC">
          <w:rPr>
            <w:rStyle w:val="Hipercze"/>
            <w:rFonts w:eastAsiaTheme="majorEastAsia"/>
          </w:rPr>
          <w:t>https://www.hrw.org/news/2017/03/01/poland-asylum-seekers-blocked-border</w:t>
        </w:r>
      </w:hyperlink>
    </w:p>
  </w:footnote>
  <w:footnote w:id="339">
    <w:p w14:paraId="60B0F400" w14:textId="766505B5" w:rsidR="00803B7D" w:rsidRPr="007A22DC" w:rsidRDefault="00803B7D" w:rsidP="0014574C">
      <w:pPr>
        <w:pStyle w:val="Przypis"/>
      </w:pPr>
      <w:r w:rsidRPr="007A22DC">
        <w:rPr>
          <w:rStyle w:val="Odwoanieprzypisudolnego"/>
        </w:rPr>
        <w:footnoteRef/>
      </w:r>
      <w:r w:rsidRPr="007A22DC">
        <w:t xml:space="preserve"> Dyrektywa Parlamentu Europejskiego i Rady 2013/32/UE z dnia 26 czerwca 2013 r. w sprawie wspólnych procedur udzielania i cofania ochrony międzynarodowej (wersja przekształcona, Dz.U.UE.L.2013.180.60)</w:t>
      </w:r>
    </w:p>
  </w:footnote>
  <w:footnote w:id="340">
    <w:p w14:paraId="7862ED30" w14:textId="344C05CB" w:rsidR="00803B7D" w:rsidRDefault="00803B7D" w:rsidP="00E24A02">
      <w:pPr>
        <w:pStyle w:val="Przypis"/>
      </w:pPr>
      <w:r>
        <w:rPr>
          <w:rStyle w:val="Odwoanieprzypisudolnego"/>
        </w:rPr>
        <w:footnoteRef/>
      </w:r>
      <w:r>
        <w:t xml:space="preserve"> XI.542.12.2016</w:t>
      </w:r>
    </w:p>
  </w:footnote>
  <w:footnote w:id="341">
    <w:p w14:paraId="7F8D8D1F" w14:textId="77777777" w:rsidR="00803B7D" w:rsidRPr="007A22DC" w:rsidRDefault="00803B7D" w:rsidP="008F03F6">
      <w:pPr>
        <w:pStyle w:val="Przypis"/>
      </w:pPr>
      <w:r w:rsidRPr="007A22DC">
        <w:rPr>
          <w:rStyle w:val="Odwoanieprzypisudolnego"/>
        </w:rPr>
        <w:footnoteRef/>
      </w:r>
      <w:r w:rsidRPr="007A22DC">
        <w:t xml:space="preserve"> Dz.U.UE.C.2007.303.1</w:t>
      </w:r>
    </w:p>
  </w:footnote>
  <w:footnote w:id="342">
    <w:p w14:paraId="746BD864" w14:textId="77777777" w:rsidR="00803B7D" w:rsidRPr="007A22DC" w:rsidRDefault="00803B7D" w:rsidP="008F03F6">
      <w:pPr>
        <w:pStyle w:val="Przypis"/>
      </w:pPr>
      <w:r w:rsidRPr="007A22DC">
        <w:rPr>
          <w:rStyle w:val="Odwoanieprzypisudolnego"/>
        </w:rPr>
        <w:footnoteRef/>
      </w:r>
      <w:r w:rsidRPr="007A22DC">
        <w:t xml:space="preserve"> por wyroki TS UE:</w:t>
      </w:r>
    </w:p>
    <w:p w14:paraId="68597787" w14:textId="77777777" w:rsidR="00803B7D" w:rsidRPr="007A22DC" w:rsidRDefault="00803B7D" w:rsidP="00DB67D0">
      <w:pPr>
        <w:pStyle w:val="Przypis"/>
        <w:ind w:firstLine="0"/>
      </w:pPr>
      <w:r w:rsidRPr="007A22DC">
        <w:t xml:space="preserve"> wyrok z 4 czerwca 2013 r. w sprawie C-300/11 (</w:t>
      </w:r>
      <w:r w:rsidRPr="007A22DC">
        <w:rPr>
          <w:i/>
        </w:rPr>
        <w:t>ZZ przeciwko Secretary of State for the Home Department</w:t>
      </w:r>
      <w:r w:rsidRPr="007A22DC">
        <w:t>). W tej sprawie brytyjski sąd zadał Trybunałowi pytanie prejudycjalne, czy zasada skutecznego środka ochrony wymaga, aby organ rozpoznający odwołanie od decyzji o wydaleniu obywatela UE z państwa członkowskiego ze względu na porządek i bezpieczeństwo publiczne zapewnił temu obywatelowi dostęp do informacji o zasadniczych względach przemawiających przeciwko niemu, mimo że ujawnienie tych względów byłoby sprzeczne z interesami bezpieczeństwa.</w:t>
      </w:r>
    </w:p>
    <w:p w14:paraId="4B4B51FB" w14:textId="77777777" w:rsidR="00803B7D" w:rsidRPr="007A22DC" w:rsidRDefault="00803B7D" w:rsidP="00DB67D0">
      <w:pPr>
        <w:pStyle w:val="Przypis"/>
        <w:ind w:firstLine="0"/>
      </w:pPr>
      <w:r w:rsidRPr="007A22DC">
        <w:t>wyrok z dnia 17 listopada 2011 r. w sprawie C-430/10 (</w:t>
      </w:r>
      <w:r w:rsidRPr="007A22DC">
        <w:rPr>
          <w:i/>
        </w:rPr>
        <w:t>Gajdarow przeciwko Dyrekcji Generalnej ds. Policji i  Bezpieczeństwa przy Ministerstwie Spraw Wewnętrznych Bułgarii</w:t>
      </w:r>
      <w:r w:rsidRPr="007A22DC">
        <w:t>)</w:t>
      </w:r>
    </w:p>
    <w:p w14:paraId="2394DF28" w14:textId="77777777" w:rsidR="00803B7D" w:rsidRPr="007A22DC" w:rsidRDefault="00803B7D" w:rsidP="00DB67D0">
      <w:pPr>
        <w:pStyle w:val="Przypis"/>
        <w:ind w:firstLine="0"/>
      </w:pPr>
      <w:r w:rsidRPr="007A22DC">
        <w:t>wyrok z 17 marca 2011 r., wydanym w połączonych sprawach C-372/09 i C-373/09 (</w:t>
      </w:r>
      <w:r w:rsidRPr="007A22DC">
        <w:rPr>
          <w:i/>
        </w:rPr>
        <w:t>sprawy z wniosku Josepa Penarrojy Fa</w:t>
      </w:r>
      <w:r w:rsidRPr="007A22DC">
        <w:t>) w odpowiedzi na pytanie prejudycjalne francuskiego sądu kasacyjnego</w:t>
      </w:r>
    </w:p>
  </w:footnote>
  <w:footnote w:id="343">
    <w:p w14:paraId="2141B443" w14:textId="77777777" w:rsidR="00803B7D" w:rsidRPr="007A22DC" w:rsidRDefault="00803B7D" w:rsidP="008F03F6">
      <w:pPr>
        <w:pStyle w:val="Przypis"/>
      </w:pPr>
      <w:r w:rsidRPr="007A22DC">
        <w:rPr>
          <w:rStyle w:val="Odwoanieprzypisudolnego"/>
        </w:rPr>
        <w:footnoteRef/>
      </w:r>
      <w:r w:rsidRPr="007A22DC">
        <w:t xml:space="preserve"> Wyroki w sprawach </w:t>
      </w:r>
      <w:r w:rsidRPr="007A22DC">
        <w:rPr>
          <w:i/>
        </w:rPr>
        <w:t>C.G. i inni przeciwko Bułgarii</w:t>
      </w:r>
      <w:r w:rsidRPr="007A22DC">
        <w:t xml:space="preserve"> (wyrok z 24 kwietnia 2008 r., skarga nr 1365/07) i  </w:t>
      </w:r>
      <w:r w:rsidRPr="007A22DC">
        <w:rPr>
          <w:i/>
        </w:rPr>
        <w:t>Kaushal i inni przeciwko Bułgarii</w:t>
      </w:r>
      <w:r w:rsidRPr="007A22DC">
        <w:t xml:space="preserve"> (wyrok z 2 września 2010 r., skarga nr 1537/08) </w:t>
      </w:r>
    </w:p>
    <w:p w14:paraId="70AD20B0" w14:textId="77777777" w:rsidR="00803B7D" w:rsidRPr="007A22DC" w:rsidRDefault="00803B7D" w:rsidP="008F03F6">
      <w:pPr>
        <w:pStyle w:val="Przypis"/>
      </w:pPr>
      <w:r w:rsidRPr="007A22DC">
        <w:t xml:space="preserve">w sprawie </w:t>
      </w:r>
      <w:r w:rsidRPr="007A22DC">
        <w:rPr>
          <w:i/>
        </w:rPr>
        <w:t>Al – Nashif przeciwko Bułgarii</w:t>
      </w:r>
      <w:r w:rsidRPr="007A22DC">
        <w:t xml:space="preserve"> (wyrok z dnia 20 czerwca 2002 r. ,skarga nr 50963/99)</w:t>
      </w:r>
    </w:p>
    <w:p w14:paraId="3CCC028A" w14:textId="77777777" w:rsidR="00803B7D" w:rsidRPr="007A22DC" w:rsidRDefault="00803B7D" w:rsidP="008F03F6">
      <w:pPr>
        <w:pStyle w:val="Przypis"/>
      </w:pPr>
      <w:r w:rsidRPr="007A22DC">
        <w:t xml:space="preserve">w sprawie </w:t>
      </w:r>
      <w:r w:rsidRPr="007A22DC">
        <w:rPr>
          <w:i/>
        </w:rPr>
        <w:t>Othman (Abu Qatada) przeciwko Wielkiej Brytanii (</w:t>
      </w:r>
      <w:r w:rsidRPr="007A22DC">
        <w:t>wyrok z 17 lipca 2012 r. ,skarga nr 8139/09)</w:t>
      </w:r>
    </w:p>
  </w:footnote>
  <w:footnote w:id="344">
    <w:p w14:paraId="798A32AF" w14:textId="77777777" w:rsidR="00803B7D" w:rsidRPr="007A22DC" w:rsidRDefault="00803B7D" w:rsidP="0014574C">
      <w:pPr>
        <w:pStyle w:val="Przypis"/>
      </w:pPr>
      <w:r w:rsidRPr="007A22DC">
        <w:rPr>
          <w:rStyle w:val="Odwoanieprzypisudolnego"/>
        </w:rPr>
        <w:footnoteRef/>
      </w:r>
      <w:r w:rsidRPr="007A22DC">
        <w:t xml:space="preserve"> XI.542.17.2018 z 8 października 2018 r., odpowiedź z 10 października 2018 r.</w:t>
      </w:r>
    </w:p>
  </w:footnote>
  <w:footnote w:id="345">
    <w:p w14:paraId="45C75983" w14:textId="77777777" w:rsidR="00803B7D" w:rsidRPr="007A22DC" w:rsidRDefault="00803B7D" w:rsidP="00D7759B">
      <w:pPr>
        <w:pStyle w:val="Przypis"/>
      </w:pPr>
      <w:r w:rsidRPr="007A22DC">
        <w:rPr>
          <w:rStyle w:val="Odwoanieprzypisudolnego"/>
        </w:rPr>
        <w:footnoteRef/>
      </w:r>
      <w:r w:rsidRPr="007A22DC">
        <w:t xml:space="preserve"> XI.543.44.2018 z 19 grudnia 2018 r.</w:t>
      </w:r>
    </w:p>
  </w:footnote>
  <w:footnote w:id="346">
    <w:p w14:paraId="0BC1CCD6" w14:textId="77777777" w:rsidR="00803B7D" w:rsidRPr="007A22DC" w:rsidRDefault="00803B7D" w:rsidP="0014574C">
      <w:pPr>
        <w:pStyle w:val="Przypis"/>
      </w:pPr>
      <w:r w:rsidRPr="007A22DC">
        <w:rPr>
          <w:rStyle w:val="Odwoanieprzypisudolnego"/>
        </w:rPr>
        <w:footnoteRef/>
      </w:r>
      <w:r w:rsidRPr="007A22DC">
        <w:t xml:space="preserve"> Rozporządzenie Parlamentu Europejskiego i Rady nr 604/2013 z dnia 26 czerwca 2013 r. (Dz.U.UE.L.2013.180.31).</w:t>
      </w:r>
    </w:p>
  </w:footnote>
  <w:footnote w:id="347">
    <w:p w14:paraId="24DBE3D8" w14:textId="77777777" w:rsidR="00803B7D" w:rsidRPr="007A22DC" w:rsidRDefault="00803B7D" w:rsidP="0014574C">
      <w:pPr>
        <w:pStyle w:val="Przypis"/>
      </w:pPr>
      <w:r w:rsidRPr="007A22DC">
        <w:rPr>
          <w:rStyle w:val="Odwoanieprzypisudolnego"/>
        </w:rPr>
        <w:footnoteRef/>
      </w:r>
      <w:r w:rsidRPr="007A22DC">
        <w:t xml:space="preserve"> XI.543.44.2018 z 9 grudnia 2018 r.</w:t>
      </w:r>
    </w:p>
  </w:footnote>
  <w:footnote w:id="348">
    <w:p w14:paraId="22C08E7E" w14:textId="77777777" w:rsidR="00803B7D" w:rsidRPr="007A22DC" w:rsidRDefault="00803B7D" w:rsidP="0014574C">
      <w:pPr>
        <w:pStyle w:val="Przypis"/>
      </w:pPr>
      <w:r w:rsidRPr="007A22DC">
        <w:rPr>
          <w:rStyle w:val="Odwoanieprzypisudolnego"/>
        </w:rPr>
        <w:footnoteRef/>
      </w:r>
      <w:r w:rsidRPr="007A22DC">
        <w:t xml:space="preserve"> Raport dostępny pod adresem: </w:t>
      </w:r>
      <w:hyperlink r:id="rId232" w:history="1">
        <w:r w:rsidRPr="007A22DC">
          <w:rPr>
            <w:rStyle w:val="Hipercze"/>
          </w:rPr>
          <w:t>https://www.rpo.gov.pl/pl/content/wolnosc-zgromadzen-w-polsce-jest-naruszana-zrenica-wolnosci-raport-rpo</w:t>
        </w:r>
      </w:hyperlink>
    </w:p>
  </w:footnote>
  <w:footnote w:id="349">
    <w:p w14:paraId="50273404" w14:textId="77777777" w:rsidR="00803B7D" w:rsidRPr="007A22DC" w:rsidRDefault="00803B7D" w:rsidP="009D0701">
      <w:pPr>
        <w:pStyle w:val="Przypis"/>
      </w:pPr>
      <w:r w:rsidRPr="007A22DC">
        <w:rPr>
          <w:rStyle w:val="Odwoanieprzypisudolnego"/>
        </w:rPr>
        <w:footnoteRef/>
      </w:r>
      <w:r w:rsidRPr="007A22DC">
        <w:t xml:space="preserve"> </w:t>
      </w:r>
      <w:hyperlink r:id="rId233" w:history="1">
        <w:r w:rsidRPr="007A22DC">
          <w:rPr>
            <w:rStyle w:val="Hipercze"/>
          </w:rPr>
          <w:t>VII.613.4.2018</w:t>
        </w:r>
      </w:hyperlink>
      <w:r w:rsidRPr="007A22DC">
        <w:t xml:space="preserve"> z 19 marca 2018 r., odpowiedź z 24 maja 2018 r.</w:t>
      </w:r>
    </w:p>
  </w:footnote>
  <w:footnote w:id="350">
    <w:p w14:paraId="0B0358CB" w14:textId="77777777" w:rsidR="00803B7D" w:rsidRPr="007A22DC" w:rsidRDefault="00803B7D" w:rsidP="0014574C">
      <w:pPr>
        <w:pStyle w:val="Przypis"/>
      </w:pPr>
      <w:r w:rsidRPr="007A22DC">
        <w:rPr>
          <w:rStyle w:val="Odwoanieprzypisudolnego"/>
        </w:rPr>
        <w:footnoteRef/>
      </w:r>
      <w:r w:rsidRPr="007A22DC">
        <w:t xml:space="preserve"> VII.613.10.2018 z 30 maja 2018 r., zobacz też: </w:t>
      </w:r>
      <w:hyperlink r:id="rId234" w:history="1">
        <w:r w:rsidRPr="007A22DC">
          <w:rPr>
            <w:rStyle w:val="Hipercze"/>
            <w:rFonts w:eastAsiaTheme="majorEastAsia"/>
          </w:rPr>
          <w:t>https://www.rpo.gov.pl/raport_1/863</w:t>
        </w:r>
      </w:hyperlink>
    </w:p>
  </w:footnote>
  <w:footnote w:id="351">
    <w:p w14:paraId="1A722756" w14:textId="77777777" w:rsidR="00803B7D" w:rsidRPr="007A22DC" w:rsidRDefault="00803B7D" w:rsidP="0014574C">
      <w:pPr>
        <w:pStyle w:val="Przypis"/>
      </w:pPr>
      <w:r w:rsidRPr="007A22DC">
        <w:rPr>
          <w:rStyle w:val="Odwoanieprzypisudolnego"/>
        </w:rPr>
        <w:footnoteRef/>
      </w:r>
      <w:r w:rsidRPr="007A22DC">
        <w:t xml:space="preserve"> Druk senacki nr 754</w:t>
      </w:r>
    </w:p>
  </w:footnote>
  <w:footnote w:id="352">
    <w:p w14:paraId="285BBB93" w14:textId="77777777" w:rsidR="00803B7D" w:rsidRPr="007A22DC" w:rsidRDefault="00803B7D" w:rsidP="00C10C44">
      <w:pPr>
        <w:pStyle w:val="Przypis"/>
      </w:pPr>
      <w:r w:rsidRPr="007A22DC">
        <w:rPr>
          <w:rStyle w:val="Odwoanieprzypisudolnego"/>
        </w:rPr>
        <w:footnoteRef/>
      </w:r>
      <w:r w:rsidRPr="007A22DC">
        <w:t xml:space="preserve"> zob. postanowienie z dnia 20 marca 2018 r. XI W 5003/17, wyrok z 7 marca 2018r. XI W 1957/17</w:t>
      </w:r>
    </w:p>
  </w:footnote>
  <w:footnote w:id="353">
    <w:p w14:paraId="6237CC1E" w14:textId="77777777" w:rsidR="00803B7D" w:rsidRPr="007A22DC" w:rsidRDefault="00803B7D" w:rsidP="0014574C">
      <w:pPr>
        <w:pStyle w:val="Przypis"/>
      </w:pPr>
      <w:r w:rsidRPr="007A22DC">
        <w:rPr>
          <w:rStyle w:val="Odwoanieprzypisudolnego"/>
        </w:rPr>
        <w:footnoteRef/>
      </w:r>
      <w:r w:rsidRPr="007A22DC">
        <w:t xml:space="preserve"> </w:t>
      </w:r>
      <w:hyperlink r:id="rId235" w:history="1">
        <w:r w:rsidRPr="007A22DC">
          <w:rPr>
            <w:rStyle w:val="Hipercze"/>
          </w:rPr>
          <w:t>II.519.1232.2017</w:t>
        </w:r>
      </w:hyperlink>
      <w:r w:rsidRPr="007A22DC">
        <w:rPr>
          <w:rStyle w:val="Hipercze"/>
        </w:rPr>
        <w:t xml:space="preserve">, </w:t>
      </w:r>
      <w:r w:rsidRPr="007A22DC">
        <w:t xml:space="preserve">postanowienie sądu </w:t>
      </w:r>
      <w:r w:rsidRPr="007A22DC">
        <w:rPr>
          <w:rFonts w:ascii="TimesNewRomanPSMT" w:eastAsia="SimSun" w:hAnsi="TimesNewRomanPSMT" w:cs="TimesNewRomanPSMT"/>
          <w:spacing w:val="0"/>
          <w:sz w:val="22"/>
          <w:szCs w:val="22"/>
          <w:lang w:eastAsia="en-US"/>
        </w:rPr>
        <w:t>II Kp 3162/18</w:t>
      </w:r>
    </w:p>
  </w:footnote>
  <w:footnote w:id="354">
    <w:p w14:paraId="119E9350" w14:textId="77777777" w:rsidR="00803B7D" w:rsidRPr="007A22DC" w:rsidRDefault="00803B7D" w:rsidP="0014574C">
      <w:pPr>
        <w:pStyle w:val="Przypis"/>
      </w:pPr>
      <w:r w:rsidRPr="007A22DC">
        <w:rPr>
          <w:rStyle w:val="Odwoanieprzypisudolnego"/>
        </w:rPr>
        <w:footnoteRef/>
      </w:r>
      <w:r w:rsidRPr="007A22DC">
        <w:t xml:space="preserve"> </w:t>
      </w:r>
      <w:hyperlink r:id="rId236" w:history="1">
        <w:r w:rsidRPr="007A22DC">
          <w:rPr>
            <w:rStyle w:val="Hipercze"/>
          </w:rPr>
          <w:t>XI.518.27.2018</w:t>
        </w:r>
      </w:hyperlink>
      <w:r w:rsidRPr="007A22DC">
        <w:t xml:space="preserve"> z 6 czerwca 2018 r., odpowiedź z 10 lipca 2018 r.</w:t>
      </w:r>
    </w:p>
  </w:footnote>
  <w:footnote w:id="355">
    <w:p w14:paraId="0B861392" w14:textId="77777777" w:rsidR="00803B7D" w:rsidRPr="007A22DC" w:rsidRDefault="00803B7D" w:rsidP="0031660E">
      <w:pPr>
        <w:pStyle w:val="Przypis"/>
      </w:pPr>
      <w:r w:rsidRPr="007A22DC">
        <w:rPr>
          <w:rStyle w:val="Odwoanieprzypisudolnego"/>
        </w:rPr>
        <w:footnoteRef/>
      </w:r>
      <w:r w:rsidRPr="007A22DC">
        <w:t xml:space="preserve"> </w:t>
      </w:r>
      <w:hyperlink r:id="rId237" w:history="1">
        <w:r w:rsidRPr="007A22DC">
          <w:rPr>
            <w:rStyle w:val="Hipercze"/>
          </w:rPr>
          <w:t>XI.613.8.2018</w:t>
        </w:r>
      </w:hyperlink>
      <w:r w:rsidRPr="007A22DC">
        <w:rPr>
          <w:rStyle w:val="Hipercze"/>
        </w:rPr>
        <w:t xml:space="preserve"> </w:t>
      </w:r>
      <w:r w:rsidRPr="007A22DC">
        <w:t>z 11 października 2018 r.</w:t>
      </w:r>
    </w:p>
  </w:footnote>
  <w:footnote w:id="356">
    <w:p w14:paraId="31A981A9" w14:textId="77777777" w:rsidR="00803B7D" w:rsidRPr="007A22DC" w:rsidRDefault="00803B7D" w:rsidP="0031660E">
      <w:pPr>
        <w:pStyle w:val="Przypis"/>
      </w:pPr>
      <w:r w:rsidRPr="007A22DC">
        <w:rPr>
          <w:rStyle w:val="Odwoanieprzypisudolnego"/>
        </w:rPr>
        <w:footnoteRef/>
      </w:r>
      <w:r w:rsidRPr="007A22DC">
        <w:t xml:space="preserve"> Postanowienie z 12 października 2018 r., sygn. akt I Acz 1145/18</w:t>
      </w:r>
    </w:p>
  </w:footnote>
  <w:footnote w:id="357">
    <w:p w14:paraId="4EDFFE05" w14:textId="77777777" w:rsidR="00803B7D" w:rsidRPr="007A22DC" w:rsidRDefault="00803B7D" w:rsidP="00235A7D">
      <w:pPr>
        <w:pStyle w:val="Przypis"/>
      </w:pPr>
      <w:r w:rsidRPr="007A22DC">
        <w:rPr>
          <w:rStyle w:val="Odwoanieprzypisudolnego"/>
        </w:rPr>
        <w:footnoteRef/>
      </w:r>
      <w:r w:rsidRPr="007A22DC">
        <w:t xml:space="preserve"> </w:t>
      </w:r>
      <w:hyperlink r:id="rId238" w:history="1">
        <w:r w:rsidRPr="007A22DC">
          <w:rPr>
            <w:rStyle w:val="Hipercze"/>
          </w:rPr>
          <w:t>VII.613.19.2018</w:t>
        </w:r>
      </w:hyperlink>
    </w:p>
  </w:footnote>
  <w:footnote w:id="358">
    <w:p w14:paraId="0220E68E" w14:textId="77777777" w:rsidR="00803B7D" w:rsidRPr="007A22DC" w:rsidRDefault="00803B7D" w:rsidP="00235A7D">
      <w:pPr>
        <w:pStyle w:val="Przypis"/>
      </w:pPr>
      <w:r w:rsidRPr="007A22DC">
        <w:rPr>
          <w:rStyle w:val="Odwoanieprzypisudolnego"/>
        </w:rPr>
        <w:footnoteRef/>
      </w:r>
      <w:r w:rsidRPr="007A22DC">
        <w:t xml:space="preserve"> </w:t>
      </w:r>
      <w:hyperlink r:id="rId239" w:history="1">
        <w:r w:rsidRPr="007A22DC">
          <w:rPr>
            <w:rStyle w:val="Hipercze"/>
            <w:shd w:val="clear" w:color="auto" w:fill="FFFFFF"/>
          </w:rPr>
          <w:t>VII.613.11.2018</w:t>
        </w:r>
      </w:hyperlink>
      <w:r w:rsidRPr="007A22DC">
        <w:rPr>
          <w:shd w:val="clear" w:color="auto" w:fill="FFFFFF"/>
        </w:rPr>
        <w:t xml:space="preserve"> z 10 sierpnia, odpowiedź z 14 sierpnia 2018 r.</w:t>
      </w:r>
    </w:p>
  </w:footnote>
  <w:footnote w:id="359">
    <w:p w14:paraId="433975CE" w14:textId="77777777" w:rsidR="00803B7D" w:rsidRPr="007A22DC" w:rsidRDefault="00803B7D" w:rsidP="00235A7D">
      <w:pPr>
        <w:pStyle w:val="Przypis"/>
        <w:rPr>
          <w:rStyle w:val="PrzypisZnak"/>
        </w:rPr>
      </w:pPr>
      <w:r w:rsidRPr="007A22DC">
        <w:rPr>
          <w:rStyle w:val="Odwoanieprzypisudolnego"/>
        </w:rPr>
        <w:footnoteRef/>
      </w:r>
      <w:r w:rsidRPr="007A22DC">
        <w:t xml:space="preserve"> </w:t>
      </w:r>
      <w:hyperlink r:id="rId240" w:history="1">
        <w:r w:rsidRPr="007A22DC">
          <w:rPr>
            <w:rStyle w:val="Hipercze"/>
          </w:rPr>
          <w:t>II.519.682.2018</w:t>
        </w:r>
      </w:hyperlink>
    </w:p>
  </w:footnote>
  <w:footnote w:id="360">
    <w:p w14:paraId="0E693DBA" w14:textId="77777777" w:rsidR="00803B7D" w:rsidRPr="007A22DC" w:rsidRDefault="00803B7D" w:rsidP="00235A7D">
      <w:pPr>
        <w:pStyle w:val="Przypis"/>
      </w:pPr>
      <w:r w:rsidRPr="007A22DC">
        <w:rPr>
          <w:rStyle w:val="Odwoanieprzypisudolnego"/>
        </w:rPr>
        <w:footnoteRef/>
      </w:r>
      <w:r w:rsidRPr="007A22DC">
        <w:t xml:space="preserve"> </w:t>
      </w:r>
      <w:hyperlink r:id="rId241" w:history="1">
        <w:r w:rsidRPr="007A22DC">
          <w:rPr>
            <w:rStyle w:val="Hipercze"/>
          </w:rPr>
          <w:t>II.519.568.2018</w:t>
        </w:r>
      </w:hyperlink>
    </w:p>
  </w:footnote>
  <w:footnote w:id="361">
    <w:p w14:paraId="7671C389" w14:textId="77777777" w:rsidR="00803B7D" w:rsidRPr="007A22DC" w:rsidRDefault="00803B7D" w:rsidP="00235A7D">
      <w:pPr>
        <w:pStyle w:val="Przypis"/>
      </w:pPr>
      <w:r w:rsidRPr="007A22DC">
        <w:rPr>
          <w:rStyle w:val="Odwoanieprzypisudolnego"/>
        </w:rPr>
        <w:footnoteRef/>
      </w:r>
      <w:r w:rsidRPr="007A22DC">
        <w:t xml:space="preserve"> D</w:t>
      </w:r>
      <w:r w:rsidRPr="007A22DC">
        <w:rPr>
          <w:rFonts w:hint="eastAsia"/>
        </w:rPr>
        <w:t>yrektyw</w:t>
      </w:r>
      <w:r w:rsidRPr="007A22DC">
        <w:t>a</w:t>
      </w:r>
      <w:r w:rsidRPr="007A22DC">
        <w:rPr>
          <w:rFonts w:hint="eastAsia"/>
        </w:rPr>
        <w:t xml:space="preserve"> Rady 92/43/EWG</w:t>
      </w:r>
      <w:r w:rsidRPr="007A22DC">
        <w:t>.</w:t>
      </w:r>
    </w:p>
  </w:footnote>
  <w:footnote w:id="362">
    <w:p w14:paraId="05675D1A" w14:textId="77777777" w:rsidR="00803B7D" w:rsidRPr="007A22DC" w:rsidRDefault="00803B7D" w:rsidP="00235A7D">
      <w:pPr>
        <w:pStyle w:val="Przypis"/>
      </w:pPr>
      <w:r w:rsidRPr="007A22DC">
        <w:rPr>
          <w:rStyle w:val="Odwoanieprzypisudolnego"/>
        </w:rPr>
        <w:footnoteRef/>
      </w:r>
      <w:r w:rsidRPr="007A22DC">
        <w:t xml:space="preserve"> D</w:t>
      </w:r>
      <w:r w:rsidRPr="007A22DC">
        <w:rPr>
          <w:rFonts w:hint="eastAsia"/>
        </w:rPr>
        <w:t>yrektyw</w:t>
      </w:r>
      <w:r w:rsidRPr="007A22DC">
        <w:t xml:space="preserve">a </w:t>
      </w:r>
      <w:r w:rsidRPr="007A22DC">
        <w:rPr>
          <w:rFonts w:hint="eastAsia"/>
        </w:rPr>
        <w:t>Parlamentu Europejskiego i Rady 2009/147/WE</w:t>
      </w:r>
    </w:p>
  </w:footnote>
  <w:footnote w:id="363">
    <w:p w14:paraId="696B6B82" w14:textId="77777777" w:rsidR="00803B7D" w:rsidRPr="007A22DC" w:rsidRDefault="00803B7D" w:rsidP="00B606E9">
      <w:pPr>
        <w:pStyle w:val="Przypis"/>
      </w:pPr>
      <w:r w:rsidRPr="007A22DC">
        <w:rPr>
          <w:rStyle w:val="Odwoanieprzypisudolnego"/>
        </w:rPr>
        <w:footnoteRef/>
      </w:r>
      <w:r w:rsidRPr="007A22DC">
        <w:t xml:space="preserve"> sygn. akt III KK 649/18, III KK 648/18, III KK 647/18</w:t>
      </w:r>
    </w:p>
  </w:footnote>
  <w:footnote w:id="364">
    <w:p w14:paraId="59085BDA" w14:textId="77777777" w:rsidR="00803B7D" w:rsidRPr="007A22DC" w:rsidRDefault="00803B7D" w:rsidP="00561F3C">
      <w:pPr>
        <w:pStyle w:val="Przypis"/>
      </w:pPr>
      <w:r w:rsidRPr="007A22DC">
        <w:rPr>
          <w:rStyle w:val="Odwoanieprzypisudolnego"/>
        </w:rPr>
        <w:footnoteRef/>
      </w:r>
      <w:r w:rsidRPr="007A22DC">
        <w:t xml:space="preserve"> </w:t>
      </w:r>
      <w:hyperlink r:id="rId242" w:history="1">
        <w:r w:rsidRPr="007A22DC">
          <w:rPr>
            <w:rStyle w:val="Hipercze"/>
          </w:rPr>
          <w:t>VII.613.4.2017</w:t>
        </w:r>
      </w:hyperlink>
      <w:r w:rsidRPr="007A22DC">
        <w:t xml:space="preserve"> z 27 kwietnia 2018 r., odpowiedź z </w:t>
      </w:r>
      <w:hyperlink r:id="rId243" w:history="1">
        <w:r w:rsidRPr="007A22DC">
          <w:rPr>
            <w:rStyle w:val="Hipercze"/>
          </w:rPr>
          <w:t>4 maja 2018 r</w:t>
        </w:r>
      </w:hyperlink>
      <w:r w:rsidRPr="007A22DC">
        <w:t xml:space="preserve">., </w:t>
      </w:r>
      <w:r w:rsidRPr="007A22DC">
        <w:rPr>
          <w:shd w:val="clear" w:color="auto" w:fill="FFFFFF"/>
        </w:rPr>
        <w:t xml:space="preserve">wystąpienie </w:t>
      </w:r>
      <w:hyperlink r:id="rId244" w:history="1">
        <w:r w:rsidRPr="007A22DC">
          <w:rPr>
            <w:rStyle w:val="Hipercze"/>
            <w:shd w:val="clear" w:color="auto" w:fill="FFFFFF"/>
          </w:rPr>
          <w:t>z 14 stycznia 2019 r.</w:t>
        </w:r>
      </w:hyperlink>
    </w:p>
  </w:footnote>
  <w:footnote w:id="365">
    <w:p w14:paraId="30B89D2D" w14:textId="77777777" w:rsidR="00803B7D" w:rsidRPr="007A22DC" w:rsidRDefault="00803B7D" w:rsidP="0014574C">
      <w:pPr>
        <w:pStyle w:val="Przypis"/>
      </w:pPr>
      <w:r w:rsidRPr="007A22DC">
        <w:rPr>
          <w:rStyle w:val="Odwoanieprzypisudolnego"/>
        </w:rPr>
        <w:footnoteRef/>
      </w:r>
      <w:r w:rsidRPr="007A22DC">
        <w:t xml:space="preserve"> </w:t>
      </w:r>
      <w:hyperlink r:id="rId245" w:history="1">
        <w:r w:rsidRPr="007A22DC">
          <w:rPr>
            <w:rStyle w:val="Hipercze"/>
          </w:rPr>
          <w:t>V.612.1.2018</w:t>
        </w:r>
      </w:hyperlink>
      <w:r w:rsidRPr="007A22DC">
        <w:t xml:space="preserve"> z 13 marca 2018 r., odpowiedź z 30 kwietnia 2018 r.</w:t>
      </w:r>
    </w:p>
  </w:footnote>
  <w:footnote w:id="366">
    <w:p w14:paraId="35729F2A" w14:textId="77777777" w:rsidR="00803B7D" w:rsidRPr="007A22DC" w:rsidRDefault="00803B7D" w:rsidP="0014574C">
      <w:pPr>
        <w:pStyle w:val="Przypis"/>
      </w:pPr>
      <w:r w:rsidRPr="007A22DC">
        <w:rPr>
          <w:rStyle w:val="Odwoanieprzypisudolnego"/>
        </w:rPr>
        <w:footnoteRef/>
      </w:r>
      <w:r w:rsidRPr="007A22DC">
        <w:t xml:space="preserve"> </w:t>
      </w:r>
      <w:hyperlink r:id="rId246" w:history="1">
        <w:r w:rsidRPr="007A22DC">
          <w:rPr>
            <w:rStyle w:val="Hipercze"/>
          </w:rPr>
          <w:t>VII.612.42.2017</w:t>
        </w:r>
      </w:hyperlink>
      <w:r w:rsidRPr="007A22DC">
        <w:t xml:space="preserve"> z 31 sierpnia 2018 r.</w:t>
      </w:r>
    </w:p>
  </w:footnote>
  <w:footnote w:id="367">
    <w:p w14:paraId="0950E39B" w14:textId="77777777" w:rsidR="00803B7D" w:rsidRPr="007A22DC" w:rsidRDefault="00803B7D" w:rsidP="0014574C">
      <w:pPr>
        <w:pStyle w:val="Przypis"/>
      </w:pPr>
      <w:r w:rsidRPr="007A22DC">
        <w:rPr>
          <w:rStyle w:val="Odwoanieprzypisudolnego"/>
        </w:rPr>
        <w:footnoteRef/>
      </w:r>
      <w:r w:rsidRPr="007A22DC">
        <w:t xml:space="preserve"> H. Cioch, w: H. Cioch, A. Kidyba, Ustawa o fundacjach. Komentarz</w:t>
      </w:r>
    </w:p>
  </w:footnote>
  <w:footnote w:id="368">
    <w:p w14:paraId="7F386083" w14:textId="77777777" w:rsidR="00803B7D" w:rsidRPr="007A22DC" w:rsidRDefault="00803B7D" w:rsidP="0014574C">
      <w:pPr>
        <w:pStyle w:val="Przypis"/>
      </w:pPr>
      <w:r w:rsidRPr="007A22DC">
        <w:rPr>
          <w:rStyle w:val="Odwoanieprzypisudolnego"/>
        </w:rPr>
        <w:footnoteRef/>
      </w:r>
      <w:r w:rsidRPr="007A22DC">
        <w:t xml:space="preserve"> Postanowienie z 8 listopada 2018 r., sygn. akt WA XII Ns Rej KRS 70572/18/628.</w:t>
      </w:r>
    </w:p>
  </w:footnote>
  <w:footnote w:id="369">
    <w:p w14:paraId="30DB6C10" w14:textId="77777777" w:rsidR="00803B7D" w:rsidRPr="007A22DC" w:rsidRDefault="00803B7D" w:rsidP="0014574C">
      <w:pPr>
        <w:pStyle w:val="Przypis"/>
      </w:pPr>
      <w:r w:rsidRPr="007A22DC">
        <w:rPr>
          <w:rStyle w:val="Odwoanieprzypisudolnego"/>
        </w:rPr>
        <w:footnoteRef/>
      </w:r>
      <w:r w:rsidRPr="007A22DC">
        <w:t xml:space="preserve"> Ustawa z 4 października 2018 r. (druk sejmowy nr 2954).</w:t>
      </w:r>
    </w:p>
  </w:footnote>
  <w:footnote w:id="370">
    <w:p w14:paraId="6CCD7FFF" w14:textId="77777777" w:rsidR="00803B7D" w:rsidRPr="007A22DC" w:rsidRDefault="00803B7D" w:rsidP="0014574C">
      <w:pPr>
        <w:pStyle w:val="Przypis"/>
      </w:pPr>
      <w:r w:rsidRPr="007A22DC">
        <w:rPr>
          <w:rStyle w:val="Odwoanieprzypisudolnego"/>
        </w:rPr>
        <w:footnoteRef/>
      </w:r>
      <w:r w:rsidRPr="007A22DC">
        <w:t xml:space="preserve"> </w:t>
      </w:r>
      <w:hyperlink r:id="rId247" w:history="1">
        <w:r w:rsidRPr="007A22DC">
          <w:rPr>
            <w:rStyle w:val="Hipercze"/>
          </w:rPr>
          <w:t>VII.612.27.2018</w:t>
        </w:r>
      </w:hyperlink>
      <w:r w:rsidRPr="007A22DC">
        <w:rPr>
          <w:rStyle w:val="Hipercze"/>
        </w:rPr>
        <w:t xml:space="preserve"> </w:t>
      </w:r>
      <w:r w:rsidRPr="007A22DC">
        <w:t>z 5 listopada 2018 r.</w:t>
      </w:r>
    </w:p>
  </w:footnote>
  <w:footnote w:id="371">
    <w:p w14:paraId="22B43FD7" w14:textId="77777777" w:rsidR="00803B7D" w:rsidRPr="007A22DC" w:rsidRDefault="00803B7D" w:rsidP="0014574C">
      <w:pPr>
        <w:pStyle w:val="Przypis"/>
      </w:pPr>
      <w:r w:rsidRPr="007A22DC">
        <w:rPr>
          <w:rStyle w:val="Odwoanieprzypisudolnego"/>
        </w:rPr>
        <w:footnoteRef/>
      </w:r>
      <w:r w:rsidRPr="007A22DC">
        <w:t xml:space="preserve"> </w:t>
      </w:r>
      <w:hyperlink r:id="rId248" w:history="1">
        <w:r w:rsidRPr="007A22DC">
          <w:rPr>
            <w:rStyle w:val="Hipercze"/>
          </w:rPr>
          <w:t>BPW.7200.2.2017</w:t>
        </w:r>
      </w:hyperlink>
    </w:p>
  </w:footnote>
  <w:footnote w:id="372">
    <w:p w14:paraId="7801EBA6" w14:textId="77777777" w:rsidR="00803B7D" w:rsidRPr="007A22DC" w:rsidRDefault="00803B7D" w:rsidP="0014574C">
      <w:pPr>
        <w:pStyle w:val="Przypis"/>
      </w:pPr>
      <w:r w:rsidRPr="007A22DC">
        <w:rPr>
          <w:rStyle w:val="Odwoanieprzypisudolnego"/>
        </w:rPr>
        <w:footnoteRef/>
      </w:r>
      <w:r w:rsidRPr="007A22DC">
        <w:t xml:space="preserve"> </w:t>
      </w:r>
      <w:r w:rsidRPr="007A22DC">
        <w:rPr>
          <w:rStyle w:val="PrzypisZnak"/>
        </w:rPr>
        <w:t>Ustawa z dnia 5 lipca 2018 r. o zmianie ustawy o związkach zawodowych oraz niektórych innych ustaw, Dz.U. 2018 poz. 1608</w:t>
      </w:r>
    </w:p>
  </w:footnote>
  <w:footnote w:id="373">
    <w:p w14:paraId="7CBA499E" w14:textId="77777777" w:rsidR="00803B7D" w:rsidRPr="007A22DC" w:rsidRDefault="00803B7D" w:rsidP="0014574C">
      <w:pPr>
        <w:pStyle w:val="Przypis"/>
      </w:pPr>
      <w:r w:rsidRPr="007A22DC">
        <w:rPr>
          <w:rStyle w:val="Odwoanieprzypisudolnego"/>
        </w:rPr>
        <w:footnoteRef/>
      </w:r>
      <w:r w:rsidRPr="007A22DC">
        <w:t xml:space="preserve"> K 1/13</w:t>
      </w:r>
    </w:p>
  </w:footnote>
  <w:footnote w:id="374">
    <w:p w14:paraId="11A73E98" w14:textId="77777777" w:rsidR="00803B7D" w:rsidRPr="007A22DC" w:rsidRDefault="00803B7D" w:rsidP="00DB4DF1">
      <w:pPr>
        <w:pStyle w:val="Przypis"/>
      </w:pPr>
      <w:r w:rsidRPr="007A22DC">
        <w:rPr>
          <w:rStyle w:val="Odwoanieprzypisudolnego"/>
        </w:rPr>
        <w:footnoteRef/>
      </w:r>
      <w:r w:rsidRPr="007A22DC">
        <w:t xml:space="preserve"> </w:t>
      </w:r>
      <w:hyperlink r:id="rId249" w:history="1">
        <w:r w:rsidRPr="007A22DC">
          <w:rPr>
            <w:rStyle w:val="Hipercze"/>
          </w:rPr>
          <w:t>III.7040.6.2016</w:t>
        </w:r>
      </w:hyperlink>
    </w:p>
  </w:footnote>
  <w:footnote w:id="375">
    <w:p w14:paraId="5818FB00" w14:textId="77777777" w:rsidR="00803B7D" w:rsidRPr="007A22DC" w:rsidRDefault="00803B7D" w:rsidP="00747585">
      <w:pPr>
        <w:pStyle w:val="Przypis"/>
      </w:pPr>
      <w:r w:rsidRPr="007A22DC">
        <w:rPr>
          <w:rStyle w:val="Odwoanieprzypisudolnego"/>
        </w:rPr>
        <w:footnoteRef/>
      </w:r>
      <w:r w:rsidRPr="007A22DC">
        <w:t xml:space="preserve"> </w:t>
      </w:r>
      <w:hyperlink r:id="rId250" w:history="1">
        <w:r w:rsidRPr="007A22DC">
          <w:rPr>
            <w:rStyle w:val="Hipercze"/>
            <w:shd w:val="clear" w:color="auto" w:fill="FFFFFF"/>
          </w:rPr>
          <w:t>VII.611.3.2018</w:t>
        </w:r>
      </w:hyperlink>
      <w:r w:rsidRPr="007A22DC">
        <w:t xml:space="preserve"> z 6 września 2018 r., odpowiedź z 30 października 2018 r., pismo MRPiPS z 15 maja 2019 r.</w:t>
      </w:r>
    </w:p>
  </w:footnote>
  <w:footnote w:id="376">
    <w:p w14:paraId="5162082A" w14:textId="77777777" w:rsidR="00803B7D" w:rsidRPr="007A22DC" w:rsidRDefault="00803B7D" w:rsidP="00187708">
      <w:pPr>
        <w:pStyle w:val="Tekstprzypisudolnego"/>
      </w:pPr>
      <w:r w:rsidRPr="007A22DC">
        <w:rPr>
          <w:rStyle w:val="Odwoanieprzypisudolnego"/>
        </w:rPr>
        <w:footnoteRef/>
      </w:r>
      <w:r w:rsidRPr="007A22DC">
        <w:t xml:space="preserve"> Informacja za rok 2017, s. 276</w:t>
      </w:r>
    </w:p>
  </w:footnote>
  <w:footnote w:id="377">
    <w:p w14:paraId="38E012F1" w14:textId="77777777" w:rsidR="00803B7D" w:rsidRPr="007A22DC" w:rsidRDefault="00803B7D" w:rsidP="00957723">
      <w:pPr>
        <w:pStyle w:val="Przypis"/>
      </w:pPr>
      <w:r w:rsidRPr="007A22DC">
        <w:rPr>
          <w:rStyle w:val="Odwoanieprzypisudolnego"/>
        </w:rPr>
        <w:footnoteRef/>
      </w:r>
      <w:r w:rsidRPr="007A22DC">
        <w:t xml:space="preserve"> </w:t>
      </w:r>
      <w:hyperlink r:id="rId251" w:history="1">
        <w:r w:rsidRPr="007A22DC">
          <w:rPr>
            <w:rStyle w:val="Hipercze"/>
          </w:rPr>
          <w:t>III.7043.17.2018 z 22.02.2018</w:t>
        </w:r>
      </w:hyperlink>
      <w:r w:rsidRPr="007A22DC">
        <w:rPr>
          <w:rStyle w:val="Hipercze"/>
        </w:rPr>
        <w:t xml:space="preserve">, </w:t>
      </w:r>
      <w:r w:rsidRPr="007A22DC">
        <w:t>Ustawa z dnia 7 lipca 2017 r. o Narodowej Agencji Wymiany</w:t>
      </w:r>
      <w:r w:rsidRPr="007A22DC">
        <w:rPr>
          <w:rFonts w:ascii="Helvetica Neue" w:hAnsi="Helvetica Neue"/>
          <w:color w:val="000000"/>
        </w:rPr>
        <w:t xml:space="preserve"> </w:t>
      </w:r>
      <w:r w:rsidRPr="007A22DC">
        <w:t>Akademickiej, Dz.U. 2017 poz. 1530</w:t>
      </w:r>
    </w:p>
  </w:footnote>
  <w:footnote w:id="378">
    <w:p w14:paraId="07437FAC" w14:textId="77777777" w:rsidR="00803B7D" w:rsidRPr="007A22DC" w:rsidRDefault="00803B7D" w:rsidP="00AD5EDA">
      <w:pPr>
        <w:pStyle w:val="Przypis"/>
      </w:pPr>
      <w:r w:rsidRPr="007A22DC">
        <w:rPr>
          <w:rStyle w:val="Odwoanieprzypisudolnego"/>
        </w:rPr>
        <w:footnoteRef/>
      </w:r>
      <w:r w:rsidRPr="007A22DC">
        <w:t xml:space="preserve"> III.7043.65.2017, III.7043.115.2017, III.7043.52.2017, III.7043.71.2017, </w:t>
      </w:r>
      <w:hyperlink r:id="rId252" w:history="1">
        <w:r w:rsidRPr="007A22DC">
          <w:rPr>
            <w:rStyle w:val="Hipercze"/>
            <w:rFonts w:eastAsiaTheme="majorEastAsia"/>
          </w:rPr>
          <w:t>https://www.rpo.gov.pl/pl/content/sprawa-pracowników-byłego-biura-trybunału-konstytucyjnego</w:t>
        </w:r>
      </w:hyperlink>
    </w:p>
  </w:footnote>
  <w:footnote w:id="379">
    <w:p w14:paraId="43858DF9" w14:textId="77777777" w:rsidR="00803B7D" w:rsidRPr="007A22DC" w:rsidRDefault="00803B7D" w:rsidP="000D243D">
      <w:pPr>
        <w:pStyle w:val="Przypis"/>
      </w:pPr>
      <w:r w:rsidRPr="007A22DC">
        <w:rPr>
          <w:rStyle w:val="Odwoanieprzypisudolnego"/>
        </w:rPr>
        <w:footnoteRef/>
      </w:r>
      <w:r w:rsidRPr="007A22DC">
        <w:t xml:space="preserve"> </w:t>
      </w:r>
      <w:hyperlink r:id="rId253" w:history="1">
        <w:r w:rsidRPr="007A22DC">
          <w:rPr>
            <w:rStyle w:val="Hipercze"/>
            <w:rFonts w:eastAsiaTheme="majorEastAsia"/>
          </w:rPr>
          <w:t>https://www.rpo.gov.pl/pl/content/wsa-w-gdansku-w-sprawie-funkcjonariuszek-sluzby-celno-skarbowej</w:t>
        </w:r>
      </w:hyperlink>
      <w:r w:rsidRPr="007A22DC">
        <w:rPr>
          <w:rStyle w:val="Hipercze"/>
          <w:rFonts w:eastAsiaTheme="majorEastAsia"/>
        </w:rPr>
        <w:t xml:space="preserve">, </w:t>
      </w:r>
      <w:r w:rsidRPr="007A22DC">
        <w:t>WZF.7044.207.2017,</w:t>
      </w:r>
      <w:r w:rsidRPr="007A22DC">
        <w:rPr>
          <w:sz w:val="24"/>
          <w:szCs w:val="24"/>
        </w:rPr>
        <w:t xml:space="preserve"> </w:t>
      </w:r>
      <w:r w:rsidRPr="007A22DC">
        <w:t xml:space="preserve">WSA III SAB/Gd 32/17, wyrok prawomocny w sprawie NSA </w:t>
      </w:r>
      <w:r w:rsidRPr="007A22DC">
        <w:rPr>
          <w:rFonts w:eastAsia="SimSun"/>
        </w:rPr>
        <w:t xml:space="preserve">I OSK 1038/18, </w:t>
      </w:r>
      <w:r w:rsidRPr="007A22DC">
        <w:t xml:space="preserve">WZF.7043.187.2017, III SAB/Gd 31/17 </w:t>
      </w:r>
    </w:p>
  </w:footnote>
  <w:footnote w:id="380">
    <w:p w14:paraId="75A474E7" w14:textId="77777777" w:rsidR="00803B7D" w:rsidRPr="007A22DC" w:rsidRDefault="00803B7D" w:rsidP="00BF3E70">
      <w:pPr>
        <w:pStyle w:val="Przypis"/>
      </w:pPr>
      <w:r w:rsidRPr="007A22DC">
        <w:rPr>
          <w:rStyle w:val="Odwoanieprzypisudolnego"/>
        </w:rPr>
        <w:footnoteRef/>
      </w:r>
      <w:r w:rsidRPr="007A22DC">
        <w:t xml:space="preserve"> Raport dostępny w wersji elektronicznej: </w:t>
      </w:r>
      <w:hyperlink r:id="rId254" w:history="1">
        <w:r w:rsidRPr="007A22DC">
          <w:rPr>
            <w:rStyle w:val="Hipercze"/>
            <w:rFonts w:eastAsiaTheme="majorEastAsia"/>
          </w:rPr>
          <w:t>https://www.rpo.gov.pl/pl/content/konsolidacji-sluzb-celno-skarbowych-w-swietle-skarg-do-rzecznika-praw-obywatelskich</w:t>
        </w:r>
      </w:hyperlink>
    </w:p>
  </w:footnote>
  <w:footnote w:id="381">
    <w:p w14:paraId="4125ADE4" w14:textId="77777777" w:rsidR="00803B7D" w:rsidRPr="007A22DC" w:rsidRDefault="00803B7D" w:rsidP="00B42164">
      <w:pPr>
        <w:pStyle w:val="Przypis"/>
      </w:pPr>
      <w:r w:rsidRPr="007A22DC">
        <w:rPr>
          <w:rStyle w:val="Odwoanieprzypisudolnego"/>
        </w:rPr>
        <w:footnoteRef/>
      </w:r>
      <w:r w:rsidRPr="007A22DC">
        <w:t xml:space="preserve"> Ustawa z 8 grudnia 2017 r. (Dz.U. z 2018 r. poz. 138)</w:t>
      </w:r>
    </w:p>
  </w:footnote>
  <w:footnote w:id="382">
    <w:p w14:paraId="5D8CD3ED" w14:textId="77777777" w:rsidR="00803B7D" w:rsidRPr="007A22DC" w:rsidRDefault="00803B7D" w:rsidP="00B42164">
      <w:pPr>
        <w:pStyle w:val="Przypis"/>
      </w:pPr>
      <w:r w:rsidRPr="007A22DC">
        <w:rPr>
          <w:rStyle w:val="Odwoanieprzypisudolnego"/>
        </w:rPr>
        <w:footnoteRef/>
      </w:r>
      <w:r w:rsidRPr="007A22DC">
        <w:t xml:space="preserve"> </w:t>
      </w:r>
      <w:hyperlink r:id="rId255" w:history="1">
        <w:r w:rsidRPr="007A22DC">
          <w:rPr>
            <w:rStyle w:val="Hipercze"/>
          </w:rPr>
          <w:t>WZF.603.1.2018</w:t>
        </w:r>
      </w:hyperlink>
      <w:r w:rsidRPr="007A22DC">
        <w:t xml:space="preserve"> z 7 marca 2018 r., odpowiedź z 12 kwietnia 2018 r..</w:t>
      </w:r>
    </w:p>
  </w:footnote>
  <w:footnote w:id="383">
    <w:p w14:paraId="7EAB0B9A" w14:textId="77777777" w:rsidR="00803B7D" w:rsidRPr="007A22DC" w:rsidRDefault="00803B7D" w:rsidP="00CD70A9">
      <w:pPr>
        <w:pStyle w:val="Przypis"/>
      </w:pPr>
      <w:r w:rsidRPr="007A22DC">
        <w:rPr>
          <w:rStyle w:val="Odwoanieprzypisudolnego"/>
        </w:rPr>
        <w:footnoteRef/>
      </w:r>
      <w:r w:rsidRPr="007A22DC">
        <w:t xml:space="preserve"> </w:t>
      </w:r>
      <w:r w:rsidRPr="007A22DC">
        <w:rPr>
          <w:bCs/>
        </w:rPr>
        <w:t>WZF.7040.32.2016</w:t>
      </w:r>
      <w:r w:rsidRPr="007A22DC">
        <w:t xml:space="preserve"> z 2 października 2018 r., odpowiedź z 26 października 2018 r..</w:t>
      </w:r>
    </w:p>
  </w:footnote>
  <w:footnote w:id="384">
    <w:p w14:paraId="02E9115A" w14:textId="77777777" w:rsidR="00803B7D" w:rsidRPr="007A22DC" w:rsidRDefault="00803B7D" w:rsidP="0014574C">
      <w:pPr>
        <w:pStyle w:val="Przypis"/>
      </w:pPr>
      <w:r w:rsidRPr="007A22DC">
        <w:rPr>
          <w:rStyle w:val="Odwoanieprzypisudolnego"/>
        </w:rPr>
        <w:footnoteRef/>
      </w:r>
      <w:r w:rsidRPr="007A22DC">
        <w:t xml:space="preserve"> </w:t>
      </w:r>
      <w:hyperlink r:id="rId256" w:history="1">
        <w:r w:rsidRPr="007A22DC">
          <w:rPr>
            <w:rStyle w:val="Hipercze"/>
          </w:rPr>
          <w:t>VII.511.1.2018</w:t>
        </w:r>
      </w:hyperlink>
      <w:r w:rsidRPr="007A22DC">
        <w:t xml:space="preserve"> z 13 kwietnia 2018 r., odpowiedź z 17 maja 2018 r..</w:t>
      </w:r>
    </w:p>
  </w:footnote>
  <w:footnote w:id="385">
    <w:p w14:paraId="424B6DA8" w14:textId="77777777" w:rsidR="00803B7D" w:rsidRPr="007A22DC" w:rsidRDefault="00803B7D" w:rsidP="0014574C">
      <w:pPr>
        <w:pStyle w:val="Przypis"/>
      </w:pPr>
      <w:r w:rsidRPr="007A22DC">
        <w:rPr>
          <w:rStyle w:val="Odwoanieprzypisudolnego"/>
        </w:rPr>
        <w:footnoteRef/>
      </w:r>
      <w:r w:rsidRPr="007A22DC">
        <w:t xml:space="preserve"> Ustawa z 23 stycznia 2009 r. (Dz.U. z 2018 r. poz. 624)</w:t>
      </w:r>
    </w:p>
  </w:footnote>
  <w:footnote w:id="386">
    <w:p w14:paraId="62BA9634" w14:textId="77777777" w:rsidR="00803B7D" w:rsidRPr="007A22DC" w:rsidRDefault="00803B7D" w:rsidP="0014574C">
      <w:pPr>
        <w:pStyle w:val="Przypis"/>
      </w:pPr>
      <w:r w:rsidRPr="007A22DC">
        <w:rPr>
          <w:rStyle w:val="Odwoanieprzypisudolnego"/>
        </w:rPr>
        <w:footnoteRef/>
      </w:r>
      <w:r w:rsidRPr="007A22DC">
        <w:t xml:space="preserve"> </w:t>
      </w:r>
      <w:hyperlink r:id="rId257" w:history="1">
        <w:r w:rsidRPr="007A22DC">
          <w:rPr>
            <w:rStyle w:val="Hipercze"/>
          </w:rPr>
          <w:t>VII.511.37.2016</w:t>
        </w:r>
      </w:hyperlink>
      <w:r w:rsidRPr="007A22DC">
        <w:t xml:space="preserve"> z 18 lipca 2018 r., odpowiedź z 21 sierpnia 2018 r..</w:t>
      </w:r>
    </w:p>
  </w:footnote>
  <w:footnote w:id="387">
    <w:p w14:paraId="2B21475F" w14:textId="77777777" w:rsidR="00803B7D" w:rsidRPr="007A22DC" w:rsidRDefault="00803B7D" w:rsidP="0014574C">
      <w:pPr>
        <w:pStyle w:val="Przypis"/>
      </w:pPr>
      <w:r w:rsidRPr="007A22DC">
        <w:rPr>
          <w:rStyle w:val="Odwoanieprzypisudolnego"/>
        </w:rPr>
        <w:footnoteRef/>
      </w:r>
      <w:r w:rsidRPr="007A22DC">
        <w:t xml:space="preserve"> </w:t>
      </w:r>
      <w:hyperlink r:id="rId258" w:anchor="overlay-context=pl/content/prawo-do-zrzeszania-sie-w-zwiazkach-zawodowych-rpo-upomina-sie-o-wykonanie-wyroku-tk" w:history="1">
        <w:r w:rsidRPr="007A22DC">
          <w:rPr>
            <w:rStyle w:val="Hipercze"/>
          </w:rPr>
          <w:t>VII.511.37.2016</w:t>
        </w:r>
      </w:hyperlink>
      <w:r w:rsidRPr="007A22DC">
        <w:t xml:space="preserve"> z 4 października 2018 r., odpowiedź z 5 listopada 2018 r..</w:t>
      </w:r>
    </w:p>
  </w:footnote>
  <w:footnote w:id="388">
    <w:p w14:paraId="36BBD25E" w14:textId="77777777" w:rsidR="00803B7D" w:rsidRPr="007A22DC" w:rsidRDefault="00803B7D" w:rsidP="00F14E5F">
      <w:pPr>
        <w:pStyle w:val="Przypis"/>
      </w:pPr>
      <w:r w:rsidRPr="007A22DC">
        <w:rPr>
          <w:rStyle w:val="Odwoanieprzypisudolnego"/>
        </w:rPr>
        <w:footnoteRef/>
      </w:r>
      <w:r w:rsidRPr="007A22DC">
        <w:t xml:space="preserve"> </w:t>
      </w:r>
      <w:r w:rsidRPr="007A22DC">
        <w:rPr>
          <w:rFonts w:eastAsia="SimSun"/>
          <w:lang w:eastAsia="en-US"/>
        </w:rPr>
        <w:t>ustawa z dnia 11 maja 2017 r. o zmianie ustawy o Krajowej Szkole Sądownictwa i Prokuratury, ustawy – Prawo o ustroju sądów powszechnych oraz niektórych innych ustaw, Dz. U. poz. 1139</w:t>
      </w:r>
    </w:p>
  </w:footnote>
  <w:footnote w:id="389">
    <w:p w14:paraId="5E82253B" w14:textId="77777777" w:rsidR="00803B7D" w:rsidRPr="007A22DC" w:rsidRDefault="00803B7D" w:rsidP="0014574C">
      <w:pPr>
        <w:pStyle w:val="Przypis"/>
      </w:pPr>
      <w:r w:rsidRPr="007A22DC">
        <w:rPr>
          <w:rStyle w:val="Odwoanieprzypisudolnego"/>
        </w:rPr>
        <w:footnoteRef/>
      </w:r>
      <w:r w:rsidRPr="007A22DC">
        <w:t xml:space="preserve"> Ustawa z 11 maja 2017 r. (Dz.U. z 2017 r. poz.1139).</w:t>
      </w:r>
    </w:p>
  </w:footnote>
  <w:footnote w:id="390">
    <w:p w14:paraId="41DB3468" w14:textId="77777777" w:rsidR="00803B7D" w:rsidRPr="007A22DC" w:rsidRDefault="00803B7D" w:rsidP="00F14E5F">
      <w:pPr>
        <w:pStyle w:val="Przypis"/>
      </w:pPr>
      <w:r w:rsidRPr="007A22DC">
        <w:rPr>
          <w:rStyle w:val="Odwoanieprzypisudolnego"/>
        </w:rPr>
        <w:footnoteRef/>
      </w:r>
      <w:r w:rsidRPr="007A22DC">
        <w:t xml:space="preserve"> </w:t>
      </w:r>
      <w:hyperlink r:id="rId259" w:history="1">
        <w:r w:rsidRPr="007A22DC">
          <w:rPr>
            <w:rStyle w:val="Hipercze"/>
          </w:rPr>
          <w:t>VII.561.32.2018</w:t>
        </w:r>
      </w:hyperlink>
      <w:r w:rsidRPr="007A22DC">
        <w:t xml:space="preserve"> z 27 października 2018 r., odpowiedź z 3 grudnia 2018 r.</w:t>
      </w:r>
    </w:p>
  </w:footnote>
  <w:footnote w:id="391">
    <w:p w14:paraId="117649CF" w14:textId="77777777" w:rsidR="00803B7D" w:rsidRPr="007A22DC" w:rsidRDefault="00803B7D" w:rsidP="00920519">
      <w:pPr>
        <w:pStyle w:val="Przypis"/>
      </w:pPr>
      <w:r w:rsidRPr="007A22DC">
        <w:rPr>
          <w:rStyle w:val="Odwoanieprzypisudolnego"/>
        </w:rPr>
        <w:footnoteRef/>
      </w:r>
      <w:r w:rsidRPr="007A22DC">
        <w:t xml:space="preserve"> Projekt ustawy o jawności życia publicznego, </w:t>
      </w:r>
      <w:hyperlink r:id="rId260" w:history="1">
        <w:r w:rsidRPr="007A22DC">
          <w:rPr>
            <w:rStyle w:val="Hipercze"/>
            <w:rFonts w:eastAsiaTheme="majorEastAsia"/>
          </w:rPr>
          <w:t>https://legislacja.rcl.gov.pl/projekt/12304351</w:t>
        </w:r>
      </w:hyperlink>
    </w:p>
  </w:footnote>
  <w:footnote w:id="392">
    <w:p w14:paraId="01FA3D61" w14:textId="77777777" w:rsidR="00803B7D" w:rsidRPr="007A22DC" w:rsidRDefault="00803B7D" w:rsidP="00920519">
      <w:pPr>
        <w:pStyle w:val="Przypis"/>
      </w:pPr>
      <w:r w:rsidRPr="007A22DC">
        <w:rPr>
          <w:rStyle w:val="Odwoanieprzypisudolnego"/>
        </w:rPr>
        <w:footnoteRef/>
      </w:r>
      <w:r w:rsidRPr="007A22DC">
        <w:t xml:space="preserve"> </w:t>
      </w:r>
      <w:hyperlink r:id="rId261" w:history="1">
        <w:r w:rsidRPr="007A22DC">
          <w:rPr>
            <w:rStyle w:val="Hipercze"/>
          </w:rPr>
          <w:t>VII.6061.1.2017</w:t>
        </w:r>
      </w:hyperlink>
      <w:r w:rsidRPr="007A22DC">
        <w:t xml:space="preserve"> z 22 stycznia 2018 r..</w:t>
      </w:r>
    </w:p>
  </w:footnote>
  <w:footnote w:id="393">
    <w:p w14:paraId="78116809" w14:textId="77777777" w:rsidR="00803B7D" w:rsidRPr="007A22DC" w:rsidRDefault="00803B7D" w:rsidP="0014574C">
      <w:pPr>
        <w:pStyle w:val="Przypis"/>
      </w:pPr>
      <w:r w:rsidRPr="007A22DC">
        <w:rPr>
          <w:rStyle w:val="PrzypisZnak"/>
          <w:vertAlign w:val="superscript"/>
        </w:rPr>
        <w:footnoteRef/>
      </w:r>
      <w:r w:rsidRPr="007A22DC">
        <w:t xml:space="preserve"> </w:t>
      </w:r>
      <w:hyperlink r:id="rId262" w:history="1">
        <w:r w:rsidRPr="007A22DC">
          <w:rPr>
            <w:rStyle w:val="Hipercze"/>
          </w:rPr>
          <w:t>VII.6060.2.2014</w:t>
        </w:r>
      </w:hyperlink>
      <w:r w:rsidRPr="007A22DC">
        <w:rPr>
          <w:rStyle w:val="Hipercze"/>
        </w:rPr>
        <w:t xml:space="preserve"> </w:t>
      </w:r>
      <w:r w:rsidRPr="007A22DC">
        <w:rPr>
          <w:rStyle w:val="Pogrubienie"/>
          <w:rFonts w:eastAsiaTheme="majorEastAsia"/>
          <w:b w:val="0"/>
          <w:bCs w:val="0"/>
        </w:rPr>
        <w:t>stanowisko RPO z 16 stycznia 2015 r., wyrok TK z 18 grudnia 2018 r..</w:t>
      </w:r>
    </w:p>
  </w:footnote>
  <w:footnote w:id="394">
    <w:p w14:paraId="4ED10B25" w14:textId="77777777" w:rsidR="00803B7D" w:rsidRPr="007A22DC" w:rsidRDefault="00803B7D" w:rsidP="00861BE8">
      <w:pPr>
        <w:pStyle w:val="Przypis"/>
      </w:pPr>
      <w:r w:rsidRPr="007A22DC">
        <w:rPr>
          <w:rStyle w:val="Odwoanieprzypisudolnego"/>
        </w:rPr>
        <w:footnoteRef/>
      </w:r>
      <w:r w:rsidRPr="007A22DC">
        <w:t xml:space="preserve"> </w:t>
      </w:r>
      <w:hyperlink r:id="rId263" w:history="1">
        <w:r w:rsidRPr="007A22DC">
          <w:rPr>
            <w:rStyle w:val="Hipercze"/>
          </w:rPr>
          <w:t>VII.600.20.2017</w:t>
        </w:r>
      </w:hyperlink>
      <w:r w:rsidRPr="007A22DC">
        <w:t xml:space="preserve"> z 30 marca 2018 r., odpowiedź z 16 maja 2018 r.; kolejne wystąpienie RPO </w:t>
      </w:r>
      <w:hyperlink r:id="rId264" w:history="1">
        <w:r w:rsidRPr="007A22DC">
          <w:rPr>
            <w:rStyle w:val="Hipercze"/>
            <w:shd w:val="clear" w:color="auto" w:fill="FFFFFF"/>
          </w:rPr>
          <w:t>VII.600.58.2018</w:t>
        </w:r>
      </w:hyperlink>
      <w:r w:rsidRPr="007A22DC">
        <w:rPr>
          <w:rStyle w:val="Hipercze"/>
          <w:shd w:val="clear" w:color="auto" w:fill="FFFFFF"/>
        </w:rPr>
        <w:t xml:space="preserve"> </w:t>
      </w:r>
      <w:r w:rsidRPr="007A22DC">
        <w:t>z 10 maja 2018 r.</w:t>
      </w:r>
      <w:r w:rsidRPr="007A22DC">
        <w:rPr>
          <w:rFonts w:ascii="Open Sans Regular" w:hAnsi="Open Sans Regular"/>
          <w:color w:val="18223E"/>
          <w:sz w:val="21"/>
          <w:szCs w:val="21"/>
          <w:shd w:val="clear" w:color="auto" w:fill="FFFFFF"/>
        </w:rPr>
        <w:t xml:space="preserve"> </w:t>
      </w:r>
    </w:p>
  </w:footnote>
  <w:footnote w:id="395">
    <w:p w14:paraId="44A56E2C" w14:textId="77777777" w:rsidR="00803B7D" w:rsidRPr="007A22DC" w:rsidRDefault="00803B7D" w:rsidP="0014574C">
      <w:pPr>
        <w:pStyle w:val="Przypis"/>
      </w:pPr>
      <w:r w:rsidRPr="007A22DC">
        <w:rPr>
          <w:rStyle w:val="Odwoanieprzypisudolnego"/>
        </w:rPr>
        <w:footnoteRef/>
      </w:r>
      <w:r w:rsidRPr="007A22DC">
        <w:t xml:space="preserve"> </w:t>
      </w:r>
      <w:hyperlink r:id="rId265" w:history="1">
        <w:r w:rsidRPr="007A22DC">
          <w:rPr>
            <w:rStyle w:val="Hipercze"/>
          </w:rPr>
          <w:t>VII.564.29.2018</w:t>
        </w:r>
      </w:hyperlink>
      <w:r w:rsidRPr="007A22DC">
        <w:t xml:space="preserve"> z 23 kwietnia 2018 r., odpowiedź MEN z 23 maja 2018 r. </w:t>
      </w:r>
    </w:p>
  </w:footnote>
  <w:footnote w:id="396">
    <w:p w14:paraId="19805EC2" w14:textId="77777777" w:rsidR="00803B7D" w:rsidRPr="007A22DC" w:rsidRDefault="00803B7D" w:rsidP="0014574C">
      <w:pPr>
        <w:pStyle w:val="Przypis"/>
      </w:pPr>
      <w:r w:rsidRPr="007A22DC">
        <w:rPr>
          <w:rStyle w:val="Odwoanieprzypisudolnego"/>
        </w:rPr>
        <w:footnoteRef/>
      </w:r>
      <w:r w:rsidRPr="007A22DC">
        <w:t xml:space="preserve"> </w:t>
      </w:r>
      <w:hyperlink r:id="rId266" w:history="1">
        <w:r w:rsidRPr="007A22DC">
          <w:rPr>
            <w:rStyle w:val="Hipercze"/>
          </w:rPr>
          <w:t>VII.600.62.2018</w:t>
        </w:r>
      </w:hyperlink>
      <w:r w:rsidRPr="007A22DC">
        <w:t xml:space="preserve"> z 20 lipca 2018 r. i ponowienie z braku odpowiedzi 5 października 2018 r., odpowiedź Kancelarii Sejmu nie nadeszła</w:t>
      </w:r>
      <w:r w:rsidRPr="007A22DC">
        <w:rPr>
          <w:rFonts w:ascii="Open Sans Regular" w:hAnsi="Open Sans Regular"/>
          <w:color w:val="18223E"/>
          <w:sz w:val="21"/>
          <w:szCs w:val="21"/>
          <w:shd w:val="clear" w:color="auto" w:fill="FFFFFF"/>
        </w:rPr>
        <w:t xml:space="preserve"> </w:t>
      </w:r>
    </w:p>
  </w:footnote>
  <w:footnote w:id="397">
    <w:p w14:paraId="6CC00AF8" w14:textId="77777777" w:rsidR="00803B7D" w:rsidRPr="007A22DC" w:rsidRDefault="00803B7D" w:rsidP="0014574C">
      <w:pPr>
        <w:pStyle w:val="Przypis"/>
      </w:pPr>
      <w:r w:rsidRPr="007A22DC">
        <w:rPr>
          <w:rStyle w:val="Odwoanieprzypisudolnego"/>
        </w:rPr>
        <w:footnoteRef/>
      </w:r>
      <w:r w:rsidRPr="007A22DC">
        <w:t xml:space="preserve"> </w:t>
      </w:r>
      <w:hyperlink r:id="rId267" w:history="1">
        <w:r w:rsidRPr="007A22DC">
          <w:rPr>
            <w:rStyle w:val="Hipercze"/>
          </w:rPr>
          <w:t>VII.600.62.2018</w:t>
        </w:r>
      </w:hyperlink>
      <w:r w:rsidRPr="007A22DC">
        <w:t xml:space="preserve"> z 10 grudnia 2018 r., odpowiedź z 14 grudnia 2018 r.</w:t>
      </w:r>
    </w:p>
  </w:footnote>
  <w:footnote w:id="398">
    <w:p w14:paraId="1E71CBC6" w14:textId="77777777" w:rsidR="00803B7D" w:rsidRPr="007A22DC" w:rsidRDefault="00803B7D" w:rsidP="00861BE8">
      <w:pPr>
        <w:pStyle w:val="Przypis"/>
      </w:pPr>
      <w:r w:rsidRPr="007A22DC">
        <w:rPr>
          <w:rStyle w:val="Odwoanieprzypisudolnego"/>
        </w:rPr>
        <w:footnoteRef/>
      </w:r>
      <w:r w:rsidRPr="007A22DC">
        <w:t xml:space="preserve"> </w:t>
      </w:r>
      <w:hyperlink r:id="rId268" w:history="1">
        <w:r w:rsidRPr="007A22DC">
          <w:rPr>
            <w:rStyle w:val="Hipercze"/>
          </w:rPr>
          <w:t>VII.6060.30.2018</w:t>
        </w:r>
      </w:hyperlink>
      <w:r w:rsidRPr="007A22DC">
        <w:t xml:space="preserve"> z 8 sierpnia 2018 r., </w:t>
      </w:r>
      <w:hyperlink r:id="rId269" w:history="1">
        <w:r w:rsidRPr="007A22DC">
          <w:rPr>
            <w:rStyle w:val="Hipercze"/>
          </w:rPr>
          <w:t>wyrok WSA z 12 stycznia 2019 r.</w:t>
        </w:r>
      </w:hyperlink>
      <w:r w:rsidRPr="007A22DC">
        <w:rPr>
          <w:rStyle w:val="Hipercze"/>
        </w:rPr>
        <w:t xml:space="preserve"> </w:t>
      </w:r>
      <w:r w:rsidRPr="007A22DC">
        <w:rPr>
          <w:rFonts w:eastAsia="SimSun"/>
        </w:rPr>
        <w:t>IV SA/Wa 2001/18</w:t>
      </w:r>
    </w:p>
  </w:footnote>
  <w:footnote w:id="399">
    <w:p w14:paraId="0EA33231" w14:textId="77777777" w:rsidR="00803B7D" w:rsidRPr="007A22DC" w:rsidRDefault="00803B7D" w:rsidP="0014574C">
      <w:pPr>
        <w:pStyle w:val="Przypis"/>
      </w:pPr>
      <w:r w:rsidRPr="007A22DC">
        <w:rPr>
          <w:rStyle w:val="Odwoanieprzypisudolnego"/>
        </w:rPr>
        <w:footnoteRef/>
      </w:r>
      <w:r w:rsidRPr="007A22DC">
        <w:t xml:space="preserve"> </w:t>
      </w:r>
      <w:hyperlink r:id="rId270" w:history="1">
        <w:r w:rsidRPr="007A22DC">
          <w:rPr>
            <w:rStyle w:val="Hipercze"/>
          </w:rPr>
          <w:t>VII.6060.19.2018</w:t>
        </w:r>
      </w:hyperlink>
      <w:r w:rsidRPr="007A22DC">
        <w:t xml:space="preserve"> z 30 maja 2018 r., II SA/Wa 488/18</w:t>
      </w:r>
    </w:p>
  </w:footnote>
  <w:footnote w:id="400">
    <w:p w14:paraId="25C92B50" w14:textId="77777777" w:rsidR="00803B7D" w:rsidRPr="007A22DC" w:rsidRDefault="00803B7D" w:rsidP="000F34B8">
      <w:pPr>
        <w:pStyle w:val="Przypis"/>
      </w:pPr>
      <w:r w:rsidRPr="007A22DC">
        <w:rPr>
          <w:rStyle w:val="Odwoanieprzypisudolnego"/>
        </w:rPr>
        <w:footnoteRef/>
      </w:r>
      <w:r w:rsidRPr="007A22DC">
        <w:t xml:space="preserve"> Ustawa z dnia 11 stycznia 2018 r. o zmianie niektórych ustaw w celu zwiększenia udziału obywateli w procesie wybierania, funkcjonowania i kontrolowania niektórych organów publicznych, Dz.U. 2018 poz. 130, zobacz Informacja za rok 2017, s. 292-8</w:t>
      </w:r>
    </w:p>
  </w:footnote>
  <w:footnote w:id="401">
    <w:p w14:paraId="318F67AB" w14:textId="77777777" w:rsidR="00803B7D" w:rsidRPr="007A22DC" w:rsidRDefault="00803B7D" w:rsidP="0014574C">
      <w:pPr>
        <w:pStyle w:val="Przypis"/>
      </w:pPr>
      <w:r w:rsidRPr="007A22DC">
        <w:rPr>
          <w:rStyle w:val="Odwoanieprzypisudolnego"/>
        </w:rPr>
        <w:footnoteRef/>
      </w:r>
      <w:r w:rsidRPr="007A22DC">
        <w:t xml:space="preserve"> </w:t>
      </w:r>
      <w:hyperlink r:id="rId271" w:history="1">
        <w:r w:rsidRPr="007A22DC">
          <w:rPr>
            <w:rStyle w:val="Hipercze"/>
          </w:rPr>
          <w:t>VII.602.6.2014</w:t>
        </w:r>
      </w:hyperlink>
      <w:r w:rsidRPr="007A22DC">
        <w:t xml:space="preserve"> z 14 maja 2018 r., odpowiedź z 4 czerwca 2018 r.</w:t>
      </w:r>
    </w:p>
  </w:footnote>
  <w:footnote w:id="402">
    <w:p w14:paraId="6588C929" w14:textId="77777777" w:rsidR="00803B7D" w:rsidRPr="007A22DC" w:rsidRDefault="00803B7D" w:rsidP="0014574C">
      <w:pPr>
        <w:pStyle w:val="Przypis"/>
      </w:pPr>
      <w:r w:rsidRPr="007A22DC">
        <w:rPr>
          <w:rStyle w:val="Odwoanieprzypisudolnego"/>
        </w:rPr>
        <w:footnoteRef/>
      </w:r>
      <w:r w:rsidRPr="007A22DC">
        <w:t xml:space="preserve"> tamże</w:t>
      </w:r>
    </w:p>
  </w:footnote>
  <w:footnote w:id="403">
    <w:p w14:paraId="4B9A1305" w14:textId="77777777" w:rsidR="00803B7D" w:rsidRPr="007A22DC" w:rsidRDefault="00803B7D" w:rsidP="0014574C">
      <w:pPr>
        <w:pStyle w:val="Przypis"/>
      </w:pPr>
      <w:r w:rsidRPr="007A22DC">
        <w:rPr>
          <w:rStyle w:val="Odwoanieprzypisudolnego"/>
        </w:rPr>
        <w:footnoteRef/>
      </w:r>
      <w:r w:rsidRPr="007A22DC">
        <w:t xml:space="preserve"> VII.602.23.2015 z 24 maja 2018 r., odpowiedź </w:t>
      </w:r>
      <w:hyperlink r:id="rId272" w:history="1">
        <w:r w:rsidRPr="007A22DC">
          <w:rPr>
            <w:rStyle w:val="Hipercze"/>
          </w:rPr>
          <w:t>z 29 czerwca 2018 r.</w:t>
        </w:r>
      </w:hyperlink>
    </w:p>
  </w:footnote>
  <w:footnote w:id="404">
    <w:p w14:paraId="70D87A95" w14:textId="77777777" w:rsidR="00803B7D" w:rsidRPr="007A22DC" w:rsidRDefault="00803B7D" w:rsidP="0014574C">
      <w:pPr>
        <w:pStyle w:val="Przypis"/>
      </w:pPr>
      <w:r w:rsidRPr="007A22DC">
        <w:rPr>
          <w:rStyle w:val="Odwoanieprzypisudolnego"/>
        </w:rPr>
        <w:footnoteRef/>
      </w:r>
      <w:r w:rsidRPr="007A22DC">
        <w:t xml:space="preserve"> VII.602.40.2018 z do PKW 31 października 2018 r.,. </w:t>
      </w:r>
      <w:hyperlink r:id="rId273" w:history="1">
        <w:r w:rsidRPr="007A22DC">
          <w:rPr>
            <w:rStyle w:val="Hipercze"/>
          </w:rPr>
          <w:t>do MC z 24 października 2018 r.</w:t>
        </w:r>
      </w:hyperlink>
      <w:r w:rsidRPr="007A22DC">
        <w:t>, odpowiedź PKW z 22 listopada, odpowiedź MC z 22 listopada 2018 r.</w:t>
      </w:r>
    </w:p>
  </w:footnote>
  <w:footnote w:id="405">
    <w:p w14:paraId="3BE3A92E" w14:textId="77777777" w:rsidR="00803B7D" w:rsidRPr="007A22DC" w:rsidRDefault="00803B7D" w:rsidP="0014574C">
      <w:pPr>
        <w:pStyle w:val="Przypis"/>
      </w:pPr>
      <w:r w:rsidRPr="007A22DC">
        <w:rPr>
          <w:rStyle w:val="Odwoanieprzypisudolnego"/>
        </w:rPr>
        <w:footnoteRef/>
      </w:r>
      <w:r w:rsidRPr="007A22DC">
        <w:t xml:space="preserve"> </w:t>
      </w:r>
      <w:hyperlink r:id="rId274" w:history="1">
        <w:r w:rsidRPr="007A22DC">
          <w:rPr>
            <w:rStyle w:val="Hipercze"/>
          </w:rPr>
          <w:t>VII.602.15.2018</w:t>
        </w:r>
      </w:hyperlink>
      <w:r w:rsidRPr="007A22DC">
        <w:t xml:space="preserve"> z 8 sierpnia 2018 r., odpowiedź z 20 sierpnia 2018 r.</w:t>
      </w:r>
    </w:p>
  </w:footnote>
  <w:footnote w:id="406">
    <w:p w14:paraId="27DE17B7" w14:textId="77777777" w:rsidR="00803B7D" w:rsidRPr="007A22DC" w:rsidRDefault="00803B7D" w:rsidP="0014574C">
      <w:pPr>
        <w:pStyle w:val="Przypis"/>
      </w:pPr>
      <w:r w:rsidRPr="007A22DC">
        <w:rPr>
          <w:rStyle w:val="Odwoanieprzypisudolnego"/>
        </w:rPr>
        <w:footnoteRef/>
      </w:r>
      <w:r w:rsidRPr="007A22DC">
        <w:t xml:space="preserve"> </w:t>
      </w:r>
      <w:hyperlink r:id="rId275" w:history="1">
        <w:r w:rsidRPr="007A22DC">
          <w:rPr>
            <w:rStyle w:val="Hipercze"/>
          </w:rPr>
          <w:t>VII.602.93.2015</w:t>
        </w:r>
      </w:hyperlink>
      <w:r w:rsidRPr="007A22DC">
        <w:t xml:space="preserve"> z 22 listopada 2018 r.</w:t>
      </w:r>
    </w:p>
  </w:footnote>
  <w:footnote w:id="407">
    <w:p w14:paraId="0E407E55" w14:textId="77777777" w:rsidR="00803B7D" w:rsidRPr="007A22DC" w:rsidRDefault="00803B7D" w:rsidP="0014574C">
      <w:pPr>
        <w:pStyle w:val="Przypis"/>
      </w:pPr>
      <w:r w:rsidRPr="007A22DC">
        <w:rPr>
          <w:rStyle w:val="Odwoanieprzypisudolnego"/>
        </w:rPr>
        <w:footnoteRef/>
      </w:r>
      <w:r w:rsidRPr="007A22DC">
        <w:t xml:space="preserve"> Rozporządzenie Ministra Spraw Wewnętrznych i Administracji zmieniające rozporządzenie w sprawie rejestru wyborców oraz trybu przekazywania przez Rzeczpospolitą Polską innym państwom członkowskim Unii Europejskiej danych zawartych w tym rejestrze weszło w życie 12 grudnia 2018 r.</w:t>
      </w:r>
    </w:p>
  </w:footnote>
  <w:footnote w:id="408">
    <w:p w14:paraId="5B3B34DB" w14:textId="77777777" w:rsidR="00803B7D" w:rsidRPr="007A22DC" w:rsidRDefault="00803B7D" w:rsidP="00720F4F">
      <w:pPr>
        <w:pStyle w:val="Przypis"/>
      </w:pPr>
      <w:r w:rsidRPr="007A22DC">
        <w:rPr>
          <w:rStyle w:val="Odwoanieprzypisudolnego"/>
        </w:rPr>
        <w:footnoteRef/>
      </w:r>
      <w:r w:rsidRPr="007A22DC">
        <w:t xml:space="preserve"> W przypadku wyborcy nigdzie niezamieszkałego, o którym mowa w art. 19 § 2 ustawy z dnia 5 stycznia 2011 r. – Kodeks wyborczy (Dz. U. z 2018 r. poz. 754, 1000 i 1349), przebywającego stale na obszarze danej gminy, wpisuje się adres, pod którym będzie możliwe skontaktowanie się z nim przez pracowników organów gminy.</w:t>
      </w:r>
    </w:p>
  </w:footnote>
  <w:footnote w:id="409">
    <w:p w14:paraId="09679552" w14:textId="77777777" w:rsidR="00803B7D" w:rsidRPr="007A22DC" w:rsidRDefault="00803B7D" w:rsidP="0072096A">
      <w:pPr>
        <w:pStyle w:val="Przypis"/>
      </w:pPr>
      <w:r w:rsidRPr="007A22DC">
        <w:rPr>
          <w:rStyle w:val="Odwoanieprzypisudolnego"/>
        </w:rPr>
        <w:footnoteRef/>
      </w:r>
      <w:r w:rsidRPr="007A22DC">
        <w:t xml:space="preserve"> Raport: </w:t>
      </w:r>
      <w:hyperlink r:id="rId276" w:history="1">
        <w:r w:rsidRPr="007A22DC">
          <w:rPr>
            <w:rStyle w:val="Hipercze"/>
            <w:rFonts w:eastAsiaTheme="majorEastAsia"/>
          </w:rPr>
          <w:t>https://www.rpo.gov.pl/pl/content/niedostosowani-do-wyborow-raport-rpo</w:t>
        </w:r>
      </w:hyperlink>
    </w:p>
  </w:footnote>
  <w:footnote w:id="410">
    <w:p w14:paraId="65D82382" w14:textId="77777777" w:rsidR="00803B7D" w:rsidRPr="007A22DC" w:rsidRDefault="00803B7D" w:rsidP="0072096A">
      <w:pPr>
        <w:pStyle w:val="Przypis"/>
      </w:pPr>
      <w:r w:rsidRPr="007A22DC">
        <w:rPr>
          <w:rStyle w:val="Odwoanieprzypisudolnego"/>
        </w:rPr>
        <w:footnoteRef/>
      </w:r>
      <w:r w:rsidRPr="007A22DC">
        <w:t xml:space="preserve"> </w:t>
      </w:r>
      <w:hyperlink r:id="rId277" w:history="1">
        <w:r w:rsidRPr="007A22DC">
          <w:rPr>
            <w:rStyle w:val="Hipercze"/>
          </w:rPr>
          <w:t>VII.602.6.2014</w:t>
        </w:r>
      </w:hyperlink>
      <w:r w:rsidRPr="007A22DC">
        <w:t xml:space="preserve"> z 10 października 2018 r., odpowiedź PKW z 19 października 2018 r.</w:t>
      </w:r>
    </w:p>
  </w:footnote>
  <w:footnote w:id="411">
    <w:p w14:paraId="2FD71F53" w14:textId="77777777" w:rsidR="00803B7D" w:rsidRPr="007A22DC" w:rsidRDefault="00803B7D" w:rsidP="002C3DFA">
      <w:pPr>
        <w:pStyle w:val="Przypis"/>
      </w:pPr>
      <w:r w:rsidRPr="007A22DC">
        <w:rPr>
          <w:rStyle w:val="Odwoanieprzypisudolnego"/>
        </w:rPr>
        <w:footnoteRef/>
      </w:r>
      <w:r w:rsidRPr="007A22DC">
        <w:t xml:space="preserve">To główne tezy wykładu rzecznika praw obywatelskich Adama Bodnara, wygłoszonego 26 października 2018 r. podczas międzynarodowej konferencji „The prospect for Social Europe” na Wydziale Prawa i Administracji Uniwersytetu Warszawskiego. Konferencja została zorganizowana przez Katedrę Prawa Europejskiego WPiA UW oraz Centrum Prawa Brytyjskiego, w ramach promocji czasopisma prawniczego Common Market Law ReviewRelacja: </w:t>
      </w:r>
      <w:hyperlink r:id="rId278" w:history="1">
        <w:r w:rsidRPr="007A22DC">
          <w:rPr>
            <w:rStyle w:val="Hipercze"/>
          </w:rPr>
          <w:t>https://www.rpo.gov.pl/pl/content/adam-bodnar-dyskusja-na-temat-praw-socjalnych-wazna-m.in-dla-skutecznej-walki-z-populizmem</w:t>
        </w:r>
      </w:hyperlink>
    </w:p>
  </w:footnote>
  <w:footnote w:id="412">
    <w:p w14:paraId="6AD9789C" w14:textId="77777777" w:rsidR="00803B7D" w:rsidRPr="007A22DC" w:rsidRDefault="00803B7D" w:rsidP="00454E01">
      <w:pPr>
        <w:pStyle w:val="Przypis"/>
      </w:pPr>
      <w:r w:rsidRPr="007A22DC">
        <w:rPr>
          <w:rStyle w:val="Odwoanieprzypisudolnego"/>
        </w:rPr>
        <w:footnoteRef/>
      </w:r>
      <w:r w:rsidRPr="007A22DC">
        <w:t xml:space="preserve"> Informacja roczna za 2017 r., s. 302, </w:t>
      </w:r>
      <w:hyperlink r:id="rId279" w:history="1">
        <w:r w:rsidRPr="007A22DC">
          <w:rPr>
            <w:rStyle w:val="Hipercze"/>
          </w:rPr>
          <w:t>kolejne pismo – z 8 maja 2018 r. do Prezydenta m.st.Warszawy</w:t>
        </w:r>
      </w:hyperlink>
    </w:p>
  </w:footnote>
  <w:footnote w:id="413">
    <w:p w14:paraId="33F4E11F" w14:textId="77777777" w:rsidR="00803B7D" w:rsidRPr="007A22DC" w:rsidRDefault="00803B7D" w:rsidP="003C3974">
      <w:pPr>
        <w:pStyle w:val="Przypis"/>
      </w:pPr>
      <w:r w:rsidRPr="007A22DC">
        <w:rPr>
          <w:rStyle w:val="Odwoanieprzypisudolnego"/>
        </w:rPr>
        <w:footnoteRef/>
      </w:r>
      <w:r w:rsidRPr="007A22DC">
        <w:t xml:space="preserve"> </w:t>
      </w:r>
      <w:hyperlink r:id="rId280" w:history="1">
        <w:r w:rsidRPr="007A22DC">
          <w:rPr>
            <w:rStyle w:val="Hipercze"/>
          </w:rPr>
          <w:t>IV.7004.9.2016</w:t>
        </w:r>
      </w:hyperlink>
      <w:r w:rsidRPr="007A22DC">
        <w:t xml:space="preserve"> z 8 maja 2018 r.; z informacji dostępnych na stronach RCL wynikało w 2019 r., że prace nad projektem rządowym zostały wstrzymane</w:t>
      </w:r>
    </w:p>
  </w:footnote>
  <w:footnote w:id="414">
    <w:p w14:paraId="546D4431" w14:textId="77777777" w:rsidR="00803B7D" w:rsidRPr="007A22DC" w:rsidRDefault="00803B7D" w:rsidP="0014574C">
      <w:pPr>
        <w:pStyle w:val="Przypis"/>
      </w:pPr>
      <w:r w:rsidRPr="007A22DC">
        <w:rPr>
          <w:rStyle w:val="Odwoanieprzypisudolnego"/>
        </w:rPr>
        <w:footnoteRef/>
      </w:r>
      <w:r w:rsidRPr="007A22DC">
        <w:t xml:space="preserve"> Informacja RPO za 2016 r., str. 609.</w:t>
      </w:r>
    </w:p>
  </w:footnote>
  <w:footnote w:id="415">
    <w:p w14:paraId="7EDDF525" w14:textId="77777777" w:rsidR="00803B7D" w:rsidRPr="007A22DC" w:rsidRDefault="00803B7D" w:rsidP="0014574C">
      <w:pPr>
        <w:pStyle w:val="Przypis"/>
      </w:pPr>
      <w:r w:rsidRPr="007A22DC">
        <w:rPr>
          <w:rStyle w:val="Odwoanieprzypisudolnego"/>
        </w:rPr>
        <w:footnoteRef/>
      </w:r>
      <w:r w:rsidRPr="007A22DC">
        <w:t xml:space="preserve"> Wyrok NSA z 22 października 2018 r., sygn. akt I OSK 1279/18.</w:t>
      </w:r>
    </w:p>
  </w:footnote>
  <w:footnote w:id="416">
    <w:p w14:paraId="24129B7B" w14:textId="77777777" w:rsidR="00803B7D" w:rsidRPr="007A22DC" w:rsidRDefault="00803B7D" w:rsidP="0014574C">
      <w:pPr>
        <w:pStyle w:val="Przypis"/>
      </w:pPr>
      <w:r w:rsidRPr="007A22DC">
        <w:rPr>
          <w:rStyle w:val="Odwoanieprzypisudolnego"/>
        </w:rPr>
        <w:footnoteRef/>
      </w:r>
      <w:r w:rsidRPr="007A22DC">
        <w:t xml:space="preserve"> </w:t>
      </w:r>
      <w:hyperlink r:id="rId281" w:history="1">
        <w:r w:rsidRPr="007A22DC">
          <w:rPr>
            <w:rStyle w:val="Hipercze"/>
          </w:rPr>
          <w:t>IV.7004.45.2015</w:t>
        </w:r>
      </w:hyperlink>
    </w:p>
  </w:footnote>
  <w:footnote w:id="417">
    <w:p w14:paraId="78E38E14" w14:textId="77777777" w:rsidR="00803B7D" w:rsidRPr="007A22DC" w:rsidRDefault="00803B7D" w:rsidP="0014574C">
      <w:pPr>
        <w:pStyle w:val="Przypis"/>
      </w:pPr>
      <w:r w:rsidRPr="007A22DC">
        <w:rPr>
          <w:rStyle w:val="Odwoanieprzypisudolnego"/>
        </w:rPr>
        <w:footnoteRef/>
      </w:r>
      <w:r w:rsidRPr="007A22DC">
        <w:t xml:space="preserve"> Wyrok TK z 7 marca 2018 r., sygn. akt K 2/17.</w:t>
      </w:r>
    </w:p>
  </w:footnote>
  <w:footnote w:id="418">
    <w:p w14:paraId="4CCE91A5" w14:textId="77777777" w:rsidR="00803B7D" w:rsidRPr="007A22DC" w:rsidRDefault="00803B7D" w:rsidP="0014574C">
      <w:pPr>
        <w:pStyle w:val="Przypis"/>
      </w:pPr>
      <w:r w:rsidRPr="007A22DC">
        <w:rPr>
          <w:rStyle w:val="Odwoanieprzypisudolnego"/>
        </w:rPr>
        <w:footnoteRef/>
      </w:r>
      <w:r w:rsidRPr="007A22DC">
        <w:t xml:space="preserve"> Chodzi o tzw. termin zawity, po upływie którego dane prawo wygasa</w:t>
      </w:r>
    </w:p>
  </w:footnote>
  <w:footnote w:id="419">
    <w:p w14:paraId="2BB654DD" w14:textId="77777777" w:rsidR="00803B7D" w:rsidRPr="007A22DC" w:rsidRDefault="00803B7D" w:rsidP="0014574C">
      <w:pPr>
        <w:pStyle w:val="Przypis"/>
      </w:pPr>
      <w:r w:rsidRPr="007A22DC">
        <w:rPr>
          <w:vertAlign w:val="superscript"/>
        </w:rPr>
        <w:footnoteRef/>
      </w:r>
      <w:r w:rsidRPr="007A22DC">
        <w:rPr>
          <w:vertAlign w:val="superscript"/>
        </w:rPr>
        <w:t xml:space="preserve"> </w:t>
      </w:r>
      <w:r w:rsidRPr="007A22DC">
        <w:t xml:space="preserve">Ustawa z dnia 22 lutego 2019 r. o zmianie ustawy – Prawo ochrony </w:t>
      </w:r>
      <w:r w:rsidRPr="007A22DC">
        <w:rPr>
          <w:rFonts w:hint="eastAsia"/>
        </w:rPr>
        <w:t>ś</w:t>
      </w:r>
      <w:r w:rsidRPr="007A22DC">
        <w:t>rodowiska, Dz.U. 2019 poz. 452</w:t>
      </w:r>
    </w:p>
  </w:footnote>
  <w:footnote w:id="420">
    <w:p w14:paraId="0CE267AC" w14:textId="77777777" w:rsidR="00803B7D" w:rsidRPr="007A22DC" w:rsidRDefault="00803B7D" w:rsidP="007E4A67">
      <w:pPr>
        <w:pStyle w:val="Przypis"/>
      </w:pPr>
      <w:r w:rsidRPr="007A22DC">
        <w:rPr>
          <w:rStyle w:val="Odwoanieprzypisudolnego"/>
        </w:rPr>
        <w:footnoteRef/>
      </w:r>
      <w:r w:rsidRPr="007A22DC">
        <w:t xml:space="preserve"> Patrz – Informacja roczna za 2017 r., s. 330</w:t>
      </w:r>
    </w:p>
  </w:footnote>
  <w:footnote w:id="421">
    <w:p w14:paraId="64AFEC9A" w14:textId="77777777" w:rsidR="00803B7D" w:rsidRPr="007A22DC" w:rsidRDefault="00803B7D" w:rsidP="007E4A67">
      <w:pPr>
        <w:pStyle w:val="Przypis"/>
      </w:pPr>
      <w:r w:rsidRPr="007A22DC">
        <w:rPr>
          <w:rStyle w:val="Odwoanieprzypisudolnego"/>
        </w:rPr>
        <w:footnoteRef/>
      </w:r>
      <w:r w:rsidRPr="007A22DC">
        <w:t xml:space="preserve"> </w:t>
      </w:r>
      <w:hyperlink r:id="rId282" w:history="1">
        <w:r w:rsidRPr="007A22DC">
          <w:rPr>
            <w:rStyle w:val="Hipercze"/>
          </w:rPr>
          <w:t>IV.7000.159.2018</w:t>
        </w:r>
      </w:hyperlink>
      <w:r w:rsidRPr="007A22DC">
        <w:t xml:space="preserve"> z 7 czerwca 2018 r., sygn. akt III CZP 21/18.</w:t>
      </w:r>
    </w:p>
  </w:footnote>
  <w:footnote w:id="422">
    <w:p w14:paraId="4C14B5D9" w14:textId="77777777" w:rsidR="00803B7D" w:rsidRPr="007A22DC" w:rsidRDefault="00803B7D" w:rsidP="0014574C">
      <w:pPr>
        <w:pStyle w:val="Przypis"/>
      </w:pPr>
      <w:r w:rsidRPr="007A22DC">
        <w:rPr>
          <w:rStyle w:val="Odwoanieprzypisudolnego"/>
        </w:rPr>
        <w:footnoteRef/>
      </w:r>
      <w:r w:rsidRPr="007A22DC">
        <w:t xml:space="preserve"> Ustawa z 14 lutego 1991 r. (Dz.U. 2017 r. poz. 2291 ze zm.)</w:t>
      </w:r>
    </w:p>
  </w:footnote>
  <w:footnote w:id="423">
    <w:p w14:paraId="519120DF" w14:textId="77777777" w:rsidR="00803B7D" w:rsidRPr="007A22DC" w:rsidRDefault="00803B7D" w:rsidP="0014574C">
      <w:pPr>
        <w:pStyle w:val="Przypis"/>
      </w:pPr>
      <w:r w:rsidRPr="007A22DC">
        <w:rPr>
          <w:rStyle w:val="Odwoanieprzypisudolnego"/>
        </w:rPr>
        <w:footnoteRef/>
      </w:r>
      <w:r w:rsidRPr="007A22DC">
        <w:t xml:space="preserve"> </w:t>
      </w:r>
      <w:hyperlink r:id="rId283" w:history="1">
        <w:r w:rsidRPr="007A22DC">
          <w:rPr>
            <w:rStyle w:val="Hipercze"/>
          </w:rPr>
          <w:t>IV.7000.301.2017</w:t>
        </w:r>
      </w:hyperlink>
      <w:r w:rsidRPr="007A22DC">
        <w:t xml:space="preserve"> z 8 lutego 2018 r., odpowiedź z 6 marca 2018 r., kolejne pismo z 21 grudnia 2018 r.</w:t>
      </w:r>
    </w:p>
  </w:footnote>
  <w:footnote w:id="424">
    <w:p w14:paraId="47A6D916" w14:textId="77777777" w:rsidR="00803B7D" w:rsidRPr="007A22DC" w:rsidRDefault="00803B7D" w:rsidP="0014574C">
      <w:pPr>
        <w:pStyle w:val="Przypis"/>
      </w:pPr>
      <w:r w:rsidRPr="007A22DC">
        <w:rPr>
          <w:rStyle w:val="Odwoanieprzypisudolnego"/>
        </w:rPr>
        <w:footnoteRef/>
      </w:r>
      <w:r w:rsidRPr="007A22DC">
        <w:t xml:space="preserve"> </w:t>
      </w:r>
      <w:hyperlink r:id="rId284" w:history="1">
        <w:r w:rsidRPr="007A22DC">
          <w:rPr>
            <w:rStyle w:val="Hipercze"/>
          </w:rPr>
          <w:t>IV.7000.507.2015</w:t>
        </w:r>
      </w:hyperlink>
      <w:r w:rsidRPr="007A22DC">
        <w:rPr>
          <w:rStyle w:val="Hipercze"/>
        </w:rPr>
        <w:t xml:space="preserve">, </w:t>
      </w:r>
      <w:r w:rsidRPr="007A22DC">
        <w:t>z 1 grudnia 2017 r., odpowiedź MS z 19 kwietnia 2018 r., wystąpienie do KRN z 25 lipca 2018 r., odpowiedź KRN z 24 sierpnia 2018 r.</w:t>
      </w:r>
    </w:p>
  </w:footnote>
  <w:footnote w:id="425">
    <w:p w14:paraId="66E3052B" w14:textId="77777777" w:rsidR="00803B7D" w:rsidRPr="007A22DC" w:rsidRDefault="00803B7D" w:rsidP="0014574C">
      <w:pPr>
        <w:pStyle w:val="Przypis"/>
      </w:pPr>
      <w:r w:rsidRPr="007A22DC">
        <w:rPr>
          <w:rStyle w:val="Odwoanieprzypisudolnego"/>
        </w:rPr>
        <w:footnoteRef/>
      </w:r>
      <w:r w:rsidRPr="007A22DC">
        <w:t xml:space="preserve"> IV.7000.295.2017 z 7 grudnia 2017 r.</w:t>
      </w:r>
    </w:p>
  </w:footnote>
  <w:footnote w:id="426">
    <w:p w14:paraId="2E4A3D35" w14:textId="77777777" w:rsidR="00803B7D" w:rsidRPr="007A22DC" w:rsidRDefault="00803B7D" w:rsidP="0014574C">
      <w:pPr>
        <w:pStyle w:val="Przypis"/>
      </w:pPr>
      <w:r w:rsidRPr="007A22DC">
        <w:rPr>
          <w:rStyle w:val="Odwoanieprzypisudolnego"/>
        </w:rPr>
        <w:footnoteRef/>
      </w:r>
      <w:r w:rsidRPr="007A22DC">
        <w:t xml:space="preserve"> </w:t>
      </w:r>
      <w:hyperlink r:id="rId285" w:history="1">
        <w:r w:rsidRPr="007A22DC">
          <w:rPr>
            <w:rStyle w:val="Hipercze"/>
            <w:bCs/>
            <w:iCs/>
          </w:rPr>
          <w:t>IV.511.153.2018</w:t>
        </w:r>
      </w:hyperlink>
      <w:r w:rsidRPr="007A22DC">
        <w:t xml:space="preserve"> z 20 września 2018 r.</w:t>
      </w:r>
    </w:p>
  </w:footnote>
  <w:footnote w:id="427">
    <w:p w14:paraId="711AD405" w14:textId="77777777" w:rsidR="00803B7D" w:rsidRPr="007A22DC" w:rsidRDefault="00803B7D" w:rsidP="000E1610">
      <w:pPr>
        <w:pStyle w:val="Przypis"/>
      </w:pPr>
      <w:r w:rsidRPr="007A22DC">
        <w:rPr>
          <w:rStyle w:val="Odwoanieprzypisudolnego"/>
        </w:rPr>
        <w:footnoteRef/>
      </w:r>
      <w:r w:rsidRPr="007A22DC">
        <w:t xml:space="preserve"> Wyrok TK z 3 czerwca 1998 r., sygn. K 34/97.</w:t>
      </w:r>
    </w:p>
  </w:footnote>
  <w:footnote w:id="428">
    <w:p w14:paraId="2D44C5BE" w14:textId="77777777" w:rsidR="00803B7D" w:rsidRPr="007A22DC" w:rsidRDefault="00803B7D" w:rsidP="000E1610">
      <w:pPr>
        <w:pStyle w:val="Przypis"/>
      </w:pPr>
      <w:r w:rsidRPr="007A22DC">
        <w:rPr>
          <w:rStyle w:val="Odwoanieprzypisudolnego"/>
        </w:rPr>
        <w:footnoteRef/>
      </w:r>
      <w:r w:rsidRPr="007A22DC">
        <w:t xml:space="preserve"> Ustawa z 11 września 2015 r. (Dz.U. poz. 1824).</w:t>
      </w:r>
    </w:p>
  </w:footnote>
  <w:footnote w:id="429">
    <w:p w14:paraId="4262E2AA" w14:textId="77777777" w:rsidR="00803B7D" w:rsidRPr="007A22DC" w:rsidRDefault="00803B7D" w:rsidP="0014574C">
      <w:pPr>
        <w:pStyle w:val="Przypis"/>
      </w:pPr>
      <w:r w:rsidRPr="007A22DC">
        <w:rPr>
          <w:rStyle w:val="Odwoanieprzypisudolnego"/>
        </w:rPr>
        <w:footnoteRef/>
      </w:r>
      <w:r w:rsidRPr="007A22DC">
        <w:t xml:space="preserve"> </w:t>
      </w:r>
      <w:hyperlink r:id="rId286" w:history="1">
        <w:r w:rsidRPr="007A22DC">
          <w:rPr>
            <w:rStyle w:val="Hipercze"/>
          </w:rPr>
          <w:t>IV.7000.99.2018</w:t>
        </w:r>
      </w:hyperlink>
      <w:r w:rsidRPr="007A22DC">
        <w:t xml:space="preserve"> z 4 czerwca i z 20 września 2018 r., odpowiedź KPRM z 10 października 2018 r.</w:t>
      </w:r>
    </w:p>
  </w:footnote>
  <w:footnote w:id="430">
    <w:p w14:paraId="669E6906" w14:textId="77777777" w:rsidR="00803B7D" w:rsidRPr="007A22DC" w:rsidRDefault="00803B7D" w:rsidP="0014574C">
      <w:pPr>
        <w:pStyle w:val="Przypis"/>
      </w:pPr>
      <w:r w:rsidRPr="007A22DC">
        <w:rPr>
          <w:rStyle w:val="Odwoanieprzypisudolnego"/>
        </w:rPr>
        <w:footnoteRef/>
      </w:r>
      <w:r w:rsidRPr="007A22DC">
        <w:t xml:space="preserve"> </w:t>
      </w:r>
      <w:hyperlink r:id="rId287" w:history="1">
        <w:r w:rsidRPr="007A22DC">
          <w:rPr>
            <w:rStyle w:val="Hipercze"/>
          </w:rPr>
          <w:t>IV.7002.21.2014</w:t>
        </w:r>
      </w:hyperlink>
      <w:r w:rsidRPr="007A22DC">
        <w:t xml:space="preserve"> z 21 czerwca 2018 r., </w:t>
      </w:r>
      <w:hyperlink r:id="rId288" w:history="1">
        <w:r w:rsidRPr="007A22DC">
          <w:rPr>
            <w:rStyle w:val="Hipercze"/>
          </w:rPr>
          <w:t>odpowiedź z 20 sierpnia 2018 r.</w:t>
        </w:r>
      </w:hyperlink>
    </w:p>
  </w:footnote>
  <w:footnote w:id="431">
    <w:p w14:paraId="66300024" w14:textId="77777777" w:rsidR="00803B7D" w:rsidRPr="007A22DC" w:rsidRDefault="00803B7D" w:rsidP="00693334">
      <w:pPr>
        <w:pStyle w:val="Przypis"/>
      </w:pPr>
      <w:r w:rsidRPr="007A22DC">
        <w:rPr>
          <w:rStyle w:val="Odwoanieprzypisudolnego"/>
        </w:rPr>
        <w:footnoteRef/>
      </w:r>
      <w:r w:rsidRPr="007A22DC">
        <w:t xml:space="preserve"> Rozporządzenie rozporządzenia Ministra Kultury i Dziedzictwa Narodowego z 26 maja 2011 r. , Dz.U..nr 113 poz. 661</w:t>
      </w:r>
    </w:p>
  </w:footnote>
  <w:footnote w:id="432">
    <w:p w14:paraId="5A8253AC" w14:textId="77777777" w:rsidR="00803B7D" w:rsidRPr="007A22DC" w:rsidRDefault="00803B7D" w:rsidP="0014574C">
      <w:pPr>
        <w:pStyle w:val="Przypis"/>
      </w:pPr>
      <w:r w:rsidRPr="007A22DC">
        <w:rPr>
          <w:rStyle w:val="Odwoanieprzypisudolnego"/>
        </w:rPr>
        <w:footnoteRef/>
      </w:r>
      <w:r w:rsidRPr="007A22DC">
        <w:t xml:space="preserve"> </w:t>
      </w:r>
      <w:hyperlink r:id="rId289" w:history="1">
        <w:r w:rsidRPr="007A22DC">
          <w:rPr>
            <w:rStyle w:val="Hipercze"/>
          </w:rPr>
          <w:t>IV.7002.8.2018</w:t>
        </w:r>
      </w:hyperlink>
      <w:r w:rsidRPr="007A22DC">
        <w:t>, patrz niżej, zobacz też: Informacja roczna za rok 2017, s. 320.</w:t>
      </w:r>
    </w:p>
  </w:footnote>
  <w:footnote w:id="433">
    <w:p w14:paraId="54D0CB38" w14:textId="77777777" w:rsidR="00803B7D" w:rsidRPr="007A22DC" w:rsidRDefault="00803B7D" w:rsidP="006E38D7">
      <w:pPr>
        <w:pStyle w:val="Przypis"/>
      </w:pPr>
      <w:r w:rsidRPr="007A22DC">
        <w:rPr>
          <w:rStyle w:val="Odwoanieprzypisudolnego"/>
        </w:rPr>
        <w:footnoteRef/>
      </w:r>
      <w:r w:rsidRPr="007A22DC">
        <w:t xml:space="preserve"> </w:t>
      </w:r>
      <w:hyperlink r:id="rId290" w:history="1">
        <w:r w:rsidRPr="007A22DC">
          <w:rPr>
            <w:rStyle w:val="Hipercze"/>
          </w:rPr>
          <w:t>IV.7002.8.</w:t>
        </w:r>
      </w:hyperlink>
      <w:r w:rsidRPr="007A22DC">
        <w:t>2018 z 30 października 2018 r., sygn. akt P 12/18.</w:t>
      </w:r>
    </w:p>
  </w:footnote>
  <w:footnote w:id="434">
    <w:p w14:paraId="69110619" w14:textId="77777777" w:rsidR="00803B7D" w:rsidRPr="007A22DC" w:rsidRDefault="00803B7D" w:rsidP="00693334">
      <w:pPr>
        <w:pStyle w:val="Przypis"/>
      </w:pPr>
      <w:r w:rsidRPr="007A22DC">
        <w:rPr>
          <w:rStyle w:val="Odwoanieprzypisudolnego"/>
        </w:rPr>
        <w:footnoteRef/>
      </w:r>
      <w:r w:rsidRPr="007A22DC">
        <w:t xml:space="preserve"> Ustawa z 26 października 1971 r. o uregulowaniu własności gospodarstw rolnych, Dz.U. Nr 27, poz. 250, ze zm.</w:t>
      </w:r>
    </w:p>
  </w:footnote>
  <w:footnote w:id="435">
    <w:p w14:paraId="4D23D65B" w14:textId="77777777" w:rsidR="00803B7D" w:rsidRPr="007A22DC" w:rsidRDefault="00803B7D" w:rsidP="0014574C">
      <w:pPr>
        <w:pStyle w:val="Przypis"/>
      </w:pPr>
      <w:r w:rsidRPr="007A22DC">
        <w:rPr>
          <w:rStyle w:val="Odwoanieprzypisudolnego"/>
        </w:rPr>
        <w:footnoteRef/>
      </w:r>
      <w:r w:rsidRPr="007A22DC">
        <w:t xml:space="preserve"> Ustawa z 19 października 1991 r. (Dz.U. z 2018 r. poz. 91, ze zm.).</w:t>
      </w:r>
    </w:p>
  </w:footnote>
  <w:footnote w:id="436">
    <w:p w14:paraId="72E342C3" w14:textId="77777777" w:rsidR="00803B7D" w:rsidRPr="007A22DC" w:rsidRDefault="00803B7D" w:rsidP="0014574C">
      <w:pPr>
        <w:pStyle w:val="Przypis"/>
      </w:pPr>
      <w:r w:rsidRPr="007A22DC">
        <w:rPr>
          <w:rStyle w:val="Odwoanieprzypisudolnego"/>
        </w:rPr>
        <w:footnoteRef/>
      </w:r>
      <w:r w:rsidRPr="007A22DC">
        <w:t xml:space="preserve"> </w:t>
      </w:r>
      <w:hyperlink r:id="rId291" w:history="1">
        <w:r w:rsidRPr="007A22DC">
          <w:rPr>
            <w:rStyle w:val="Hipercze"/>
          </w:rPr>
          <w:t>IV.7005.1.2018 z 26 listopada 2018 r.</w:t>
        </w:r>
      </w:hyperlink>
      <w:r w:rsidRPr="007A22DC">
        <w:t>, sygn. akt K 11/18.</w:t>
      </w:r>
    </w:p>
  </w:footnote>
  <w:footnote w:id="437">
    <w:p w14:paraId="13852DA6" w14:textId="77777777" w:rsidR="00803B7D" w:rsidRPr="007A22DC" w:rsidRDefault="00744B2D" w:rsidP="0014574C">
      <w:pPr>
        <w:pStyle w:val="Przypis"/>
      </w:pPr>
      <w:hyperlink r:id="rId292" w:history="1">
        <w:r w:rsidR="00803B7D" w:rsidRPr="007A22DC">
          <w:rPr>
            <w:rStyle w:val="Hipercze"/>
            <w:vertAlign w:val="superscript"/>
          </w:rPr>
          <w:footnoteRef/>
        </w:r>
        <w:r w:rsidR="00803B7D" w:rsidRPr="007A22DC">
          <w:rPr>
            <w:rStyle w:val="Hipercze"/>
          </w:rPr>
          <w:t xml:space="preserve"> IV.7005.5.2018</w:t>
        </w:r>
      </w:hyperlink>
      <w:r w:rsidR="00803B7D" w:rsidRPr="007A22DC">
        <w:t>. pismo RPO z 11 lipca 2018 r., sprawa pod sygn. akt III CZP 32/18</w:t>
      </w:r>
    </w:p>
  </w:footnote>
  <w:footnote w:id="438">
    <w:p w14:paraId="7735080D" w14:textId="77777777" w:rsidR="00803B7D" w:rsidRPr="007A22DC" w:rsidRDefault="00803B7D" w:rsidP="0014574C">
      <w:pPr>
        <w:pStyle w:val="Przypis"/>
        <w:rPr>
          <w:rStyle w:val="PrzypisZnak"/>
        </w:rPr>
      </w:pPr>
      <w:r w:rsidRPr="007A22DC">
        <w:rPr>
          <w:rStyle w:val="Odwoanieprzypisudolnego"/>
        </w:rPr>
        <w:footnoteRef/>
      </w:r>
      <w:r w:rsidRPr="007A22DC">
        <w:t xml:space="preserve"> Ustawa z 11 kwietnia 2003 r. (Dz.U. z 2017 r. poz. 2196, ze zm</w:t>
      </w:r>
      <w:r w:rsidRPr="007A22DC">
        <w:rPr>
          <w:rStyle w:val="PrzypisZnak"/>
        </w:rPr>
        <w:t>.)</w:t>
      </w:r>
    </w:p>
  </w:footnote>
  <w:footnote w:id="439">
    <w:p w14:paraId="4882D741" w14:textId="77777777" w:rsidR="00803B7D" w:rsidRPr="007A22DC" w:rsidRDefault="00803B7D" w:rsidP="00B558AC">
      <w:pPr>
        <w:pStyle w:val="Przypis"/>
      </w:pPr>
      <w:r w:rsidRPr="007A22DC">
        <w:rPr>
          <w:rStyle w:val="Odwoanieprzypisudolnego"/>
        </w:rPr>
        <w:footnoteRef/>
      </w:r>
      <w:r w:rsidRPr="007A22DC">
        <w:t xml:space="preserve"> Ustawa z dnia 14 kwietnia 2016 r. </w:t>
      </w:r>
      <w:r w:rsidRPr="007A22DC">
        <w:rPr>
          <w:rFonts w:eastAsiaTheme="majorEastAsia"/>
        </w:rPr>
        <w:t>o wstrzymaniu sprzedaży nieruchomości Zasobu Własności Rolnej Skarbu Państwa oraz o zmianie niektórych ustaw, (Dz.U. 2016 poz 585).</w:t>
      </w:r>
    </w:p>
  </w:footnote>
  <w:footnote w:id="440">
    <w:p w14:paraId="5E88AE41" w14:textId="77777777" w:rsidR="00803B7D" w:rsidRPr="007A22DC" w:rsidRDefault="00803B7D" w:rsidP="0014574C">
      <w:pPr>
        <w:pStyle w:val="Przypis"/>
      </w:pPr>
      <w:r w:rsidRPr="007A22DC">
        <w:rPr>
          <w:rStyle w:val="Odwoanieprzypisudolnego"/>
        </w:rPr>
        <w:footnoteRef/>
      </w:r>
      <w:r w:rsidRPr="007A22DC">
        <w:t xml:space="preserve"> IV.7005.17.2017 z 12 lutego 2018 r., odpowiedź z 19 marca 2018 r..</w:t>
      </w:r>
    </w:p>
  </w:footnote>
  <w:footnote w:id="441">
    <w:p w14:paraId="3C91E50E" w14:textId="77777777" w:rsidR="00803B7D" w:rsidRPr="007A22DC" w:rsidRDefault="00803B7D" w:rsidP="006C2091">
      <w:pPr>
        <w:pStyle w:val="Przypis"/>
      </w:pPr>
      <w:r w:rsidRPr="007A22DC">
        <w:rPr>
          <w:rStyle w:val="Odwoanieprzypisudolnego"/>
        </w:rPr>
        <w:footnoteRef/>
      </w:r>
      <w:r w:rsidRPr="007A22DC">
        <w:t xml:space="preserve"> </w:t>
      </w:r>
      <w:r w:rsidRPr="007A22DC">
        <w:rPr>
          <w:rFonts w:eastAsia="SimSun"/>
          <w:lang w:eastAsia="en-US"/>
        </w:rPr>
        <w:t>sygn. akt III CZP 79/02</w:t>
      </w:r>
    </w:p>
  </w:footnote>
  <w:footnote w:id="442">
    <w:p w14:paraId="440D2413" w14:textId="77777777" w:rsidR="00803B7D" w:rsidRPr="007A22DC" w:rsidRDefault="00803B7D" w:rsidP="00B558AC">
      <w:pPr>
        <w:pStyle w:val="Przypis"/>
      </w:pPr>
      <w:r w:rsidRPr="007A22DC">
        <w:rPr>
          <w:rStyle w:val="Odwoanieprzypisudolnego"/>
        </w:rPr>
        <w:footnoteRef/>
      </w:r>
      <w:r w:rsidRPr="007A22DC">
        <w:t xml:space="preserve"> IV.7000.299.2018 z 8 sierpnia 2018 r., sygn. akt SK 18/18.</w:t>
      </w:r>
    </w:p>
  </w:footnote>
  <w:footnote w:id="443">
    <w:p w14:paraId="472DCC83" w14:textId="77777777" w:rsidR="00803B7D" w:rsidRPr="007A22DC" w:rsidRDefault="00803B7D" w:rsidP="00B558AC">
      <w:pPr>
        <w:pStyle w:val="Przypis"/>
      </w:pPr>
      <w:r w:rsidRPr="007A22DC">
        <w:rPr>
          <w:rStyle w:val="Odwoanieprzypisudolnego"/>
        </w:rPr>
        <w:footnoteRef/>
      </w:r>
      <w:r w:rsidRPr="007A22DC">
        <w:t xml:space="preserve"> Informacja RPO za 2016 r., str. 306-307.</w:t>
      </w:r>
    </w:p>
  </w:footnote>
  <w:footnote w:id="444">
    <w:p w14:paraId="430B8EBD" w14:textId="77777777" w:rsidR="00803B7D" w:rsidRPr="007A22DC" w:rsidRDefault="00803B7D" w:rsidP="00B558AC">
      <w:pPr>
        <w:pStyle w:val="Przypis"/>
      </w:pPr>
      <w:r w:rsidRPr="007A22DC">
        <w:rPr>
          <w:rStyle w:val="Odwoanieprzypisudolnego"/>
        </w:rPr>
        <w:footnoteRef/>
      </w:r>
      <w:r w:rsidRPr="007A22DC">
        <w:t xml:space="preserve"> Postanowienie TK z 17 października 2018 r., sygn. akt P 7/17.</w:t>
      </w:r>
    </w:p>
  </w:footnote>
  <w:footnote w:id="445">
    <w:p w14:paraId="2D6FB7A3" w14:textId="77777777" w:rsidR="00803B7D" w:rsidRPr="007A22DC" w:rsidRDefault="00803B7D" w:rsidP="0014574C">
      <w:pPr>
        <w:pStyle w:val="Przypis"/>
      </w:pPr>
      <w:r w:rsidRPr="007A22DC">
        <w:rPr>
          <w:rStyle w:val="Odwoanieprzypisudolnego"/>
        </w:rPr>
        <w:footnoteRef/>
      </w:r>
      <w:r w:rsidRPr="007A22DC">
        <w:t xml:space="preserve"> </w:t>
      </w:r>
      <w:hyperlink r:id="rId293" w:history="1">
        <w:r w:rsidRPr="007A22DC">
          <w:rPr>
            <w:rStyle w:val="Hipercze"/>
          </w:rPr>
          <w:t>IV.7000.522.2018</w:t>
        </w:r>
      </w:hyperlink>
      <w:r w:rsidRPr="007A22DC">
        <w:t xml:space="preserve"> z 11 grudnia 2018 r., </w:t>
      </w:r>
      <w:r w:rsidRPr="007A22DC">
        <w:rPr>
          <w:rStyle w:val="PrzypisZnak"/>
        </w:rPr>
        <w:t xml:space="preserve">Ustawa z dnia 9 listopada 2018 r. o zmianie ustawy – Prawo energetyczne oraz niektórych innych ustaw, </w:t>
      </w:r>
      <w:r w:rsidRPr="007A22DC">
        <w:t>Dz.U. 2018 poz. 2348</w:t>
      </w:r>
    </w:p>
  </w:footnote>
  <w:footnote w:id="446">
    <w:p w14:paraId="31E4ACED" w14:textId="77777777" w:rsidR="00803B7D" w:rsidRPr="007A22DC" w:rsidRDefault="00803B7D" w:rsidP="00187708">
      <w:pPr>
        <w:pStyle w:val="Tekstprzypisudolnego"/>
      </w:pPr>
      <w:r w:rsidRPr="007A22DC">
        <w:rPr>
          <w:rStyle w:val="Odwoanieprzypisudolnego"/>
        </w:rPr>
        <w:footnoteRef/>
      </w:r>
      <w:r w:rsidRPr="007A22DC">
        <w:t xml:space="preserve"> Ustawa z 4 lutego 1994 r. (Dz.U. z 2017 r., poz. 880).</w:t>
      </w:r>
    </w:p>
  </w:footnote>
  <w:footnote w:id="447">
    <w:p w14:paraId="2CCAC93B" w14:textId="77777777" w:rsidR="00803B7D" w:rsidRPr="007A22DC" w:rsidRDefault="00803B7D" w:rsidP="0014574C">
      <w:pPr>
        <w:pStyle w:val="Przypis"/>
      </w:pPr>
      <w:r w:rsidRPr="007A22DC">
        <w:rPr>
          <w:rStyle w:val="Odwoanieprzypisudolnego"/>
        </w:rPr>
        <w:footnoteRef/>
      </w:r>
      <w:r w:rsidRPr="007A22DC">
        <w:t xml:space="preserve"> </w:t>
      </w:r>
      <w:hyperlink r:id="rId294" w:history="1">
        <w:r w:rsidRPr="007A22DC">
          <w:rPr>
            <w:rStyle w:val="Hipercze"/>
          </w:rPr>
          <w:t>IV.715.1.2016</w:t>
        </w:r>
      </w:hyperlink>
      <w:r w:rsidRPr="007A22DC">
        <w:t xml:space="preserve"> z 7 marca 2018 r., odpowiedź MKiDN z 20 marca 2018 r., Zobacz też – Informacja za rok 2017, s. 324</w:t>
      </w:r>
    </w:p>
  </w:footnote>
  <w:footnote w:id="448">
    <w:p w14:paraId="7A969AB2" w14:textId="77777777" w:rsidR="00803B7D" w:rsidRPr="007A22DC" w:rsidRDefault="00803B7D" w:rsidP="0014574C">
      <w:pPr>
        <w:pStyle w:val="Przypis"/>
      </w:pPr>
      <w:r w:rsidRPr="007A22DC">
        <w:rPr>
          <w:rStyle w:val="Odwoanieprzypisudolnego"/>
        </w:rPr>
        <w:footnoteRef/>
      </w:r>
      <w:r w:rsidRPr="007A22DC">
        <w:t xml:space="preserve"> II.801.1.2017 z 10 kwietnia 2017 r., sygn. akt SK 4/17</w:t>
      </w:r>
    </w:p>
  </w:footnote>
  <w:footnote w:id="449">
    <w:p w14:paraId="7EB99CB1" w14:textId="77777777" w:rsidR="00803B7D" w:rsidRPr="007A22DC" w:rsidRDefault="00803B7D" w:rsidP="0014574C">
      <w:pPr>
        <w:pStyle w:val="Przypis"/>
      </w:pPr>
      <w:r w:rsidRPr="007A22DC">
        <w:rPr>
          <w:rStyle w:val="Odwoanieprzypisudolnego"/>
        </w:rPr>
        <w:footnoteRef/>
      </w:r>
      <w:r w:rsidRPr="007A22DC">
        <w:t xml:space="preserve"> Informacja RPO za 2017 r., str. 172.</w:t>
      </w:r>
    </w:p>
  </w:footnote>
  <w:footnote w:id="450">
    <w:p w14:paraId="31BD2039" w14:textId="77777777" w:rsidR="00803B7D" w:rsidRPr="007A22DC" w:rsidRDefault="00803B7D" w:rsidP="0014574C">
      <w:pPr>
        <w:pStyle w:val="Przypis"/>
      </w:pPr>
      <w:r w:rsidRPr="007A22DC">
        <w:rPr>
          <w:rStyle w:val="Odwoanieprzypisudolnego"/>
        </w:rPr>
        <w:footnoteRef/>
      </w:r>
      <w:r w:rsidRPr="007A22DC">
        <w:t xml:space="preserve"> Wyrok z 28 czerwca 2018 r., sygn. akt SK 4/17.</w:t>
      </w:r>
    </w:p>
  </w:footnote>
  <w:footnote w:id="451">
    <w:p w14:paraId="3F89F02A" w14:textId="77777777" w:rsidR="00803B7D" w:rsidRPr="007A22DC" w:rsidRDefault="00803B7D" w:rsidP="0014574C">
      <w:pPr>
        <w:pStyle w:val="Przypis"/>
      </w:pPr>
      <w:r w:rsidRPr="007A22DC">
        <w:rPr>
          <w:rStyle w:val="Odwoanieprzypisudolnego"/>
        </w:rPr>
        <w:footnoteRef/>
      </w:r>
      <w:r w:rsidRPr="007A22DC">
        <w:t xml:space="preserve"> Informacja RPO za 2017 r., str. 330.</w:t>
      </w:r>
    </w:p>
  </w:footnote>
  <w:footnote w:id="452">
    <w:p w14:paraId="29CF63B6" w14:textId="77777777" w:rsidR="00803B7D" w:rsidRPr="007A22DC" w:rsidRDefault="00803B7D" w:rsidP="0014574C">
      <w:pPr>
        <w:pStyle w:val="Przypis"/>
      </w:pPr>
      <w:r w:rsidRPr="007A22DC">
        <w:rPr>
          <w:rStyle w:val="Odwoanieprzypisudolnego"/>
        </w:rPr>
        <w:footnoteRef/>
      </w:r>
      <w:r w:rsidRPr="007A22DC">
        <w:t xml:space="preserve"> Wyrok TK z 5 grudnia 2018 r., sygn. akt K 6/17.</w:t>
      </w:r>
    </w:p>
  </w:footnote>
  <w:footnote w:id="453">
    <w:p w14:paraId="1430F88A" w14:textId="77777777" w:rsidR="00803B7D" w:rsidRPr="007A22DC" w:rsidRDefault="00803B7D" w:rsidP="0014574C">
      <w:pPr>
        <w:pStyle w:val="Przypis"/>
      </w:pPr>
      <w:r w:rsidRPr="007A22DC">
        <w:rPr>
          <w:rStyle w:val="Odwoanieprzypisudolnego"/>
        </w:rPr>
        <w:footnoteRef/>
      </w:r>
      <w:r w:rsidRPr="007A22DC">
        <w:t xml:space="preserve"> IV.512.179.2017 z 19 stycznia 2018 r., odpowiedź KRK z 13 lutego 2018 r.</w:t>
      </w:r>
    </w:p>
  </w:footnote>
  <w:footnote w:id="454">
    <w:p w14:paraId="35BB7B2F" w14:textId="77777777" w:rsidR="00803B7D" w:rsidRPr="007A22DC" w:rsidRDefault="00803B7D" w:rsidP="00D612F8">
      <w:pPr>
        <w:pStyle w:val="Tekstprzypisudolnego"/>
      </w:pPr>
      <w:r w:rsidRPr="007A22DC">
        <w:rPr>
          <w:rStyle w:val="Odwoanieprzypisudolnego"/>
        </w:rPr>
        <w:footnoteRef/>
      </w:r>
      <w:r w:rsidRPr="007A22DC">
        <w:t xml:space="preserve"> </w:t>
      </w:r>
      <w:r w:rsidRPr="007A22DC">
        <w:rPr>
          <w:rFonts w:ascii="TimesNewRomanPSMT" w:eastAsia="SimSun" w:hAnsi="TimesNewRomanPSMT" w:cs="TimesNewRomanPSMT"/>
          <w:spacing w:val="0"/>
          <w:szCs w:val="26"/>
          <w:lang w:eastAsia="en-US"/>
        </w:rPr>
        <w:t>sygn. akt: III CZP 97/16</w:t>
      </w:r>
    </w:p>
  </w:footnote>
  <w:footnote w:id="455">
    <w:p w14:paraId="747184A0" w14:textId="77777777" w:rsidR="00803B7D" w:rsidRPr="007A22DC" w:rsidRDefault="00803B7D" w:rsidP="00187708">
      <w:pPr>
        <w:pStyle w:val="Tekstprzypisudolnego"/>
      </w:pPr>
      <w:r w:rsidRPr="007A22DC">
        <w:rPr>
          <w:rStyle w:val="Odwoanieprzypisudolnego"/>
        </w:rPr>
        <w:footnoteRef/>
      </w:r>
      <w:r w:rsidRPr="007A22DC">
        <w:t xml:space="preserve"> K 39/15 i U 7/15 z 7 lutego 2018 r., zobacz też: Informacja RPO za 2015 r., str. 379. </w:t>
      </w:r>
    </w:p>
  </w:footnote>
  <w:footnote w:id="456">
    <w:p w14:paraId="41F9E410" w14:textId="77777777" w:rsidR="00803B7D" w:rsidRPr="007A22DC" w:rsidRDefault="00803B7D" w:rsidP="0014574C">
      <w:pPr>
        <w:pStyle w:val="Przypis"/>
        <w:rPr>
          <w:rStyle w:val="PrzypisZnak"/>
        </w:rPr>
      </w:pPr>
      <w:r w:rsidRPr="007A22DC">
        <w:rPr>
          <w:rStyle w:val="Odwoanieprzypisudolnego"/>
        </w:rPr>
        <w:footnoteRef/>
      </w:r>
      <w:r w:rsidRPr="007A22DC">
        <w:t xml:space="preserve"> </w:t>
      </w:r>
      <w:hyperlink r:id="rId295" w:history="1">
        <w:r w:rsidRPr="007A22DC">
          <w:rPr>
            <w:rStyle w:val="Hipercze"/>
          </w:rPr>
          <w:t>IV.7007.50.2014</w:t>
        </w:r>
      </w:hyperlink>
      <w:r w:rsidRPr="007A22DC">
        <w:t xml:space="preserve"> z 21 czerwca 2018 r., odpowiedź z 31 lipca 2018 r., kolejne wystąpienie z 16 stycznia 2019 r.</w:t>
      </w:r>
    </w:p>
  </w:footnote>
  <w:footnote w:id="457">
    <w:p w14:paraId="2AAF100E" w14:textId="77777777" w:rsidR="00803B7D" w:rsidRPr="007A22DC" w:rsidRDefault="00803B7D" w:rsidP="004658C8">
      <w:pPr>
        <w:pStyle w:val="Przypis"/>
      </w:pPr>
      <w:r w:rsidRPr="007A22DC">
        <w:rPr>
          <w:rStyle w:val="Odwoanieprzypisudolnego"/>
        </w:rPr>
        <w:footnoteRef/>
      </w:r>
      <w:r w:rsidRPr="007A22DC">
        <w:t xml:space="preserve"> </w:t>
      </w:r>
      <w:hyperlink r:id="rId296" w:history="1">
        <w:r w:rsidRPr="007A22DC">
          <w:rPr>
            <w:rStyle w:val="Hipercze"/>
            <w:shd w:val="clear" w:color="auto" w:fill="FFFFFF"/>
          </w:rPr>
          <w:t>VII.561.18.2018,</w:t>
        </w:r>
      </w:hyperlink>
      <w:r w:rsidRPr="007A22DC">
        <w:rPr>
          <w:shd w:val="clear" w:color="auto" w:fill="FFFFFF"/>
        </w:rPr>
        <w:t xml:space="preserve"> </w:t>
      </w:r>
      <w:r w:rsidRPr="007A22DC">
        <w:t>WSA z 6 czerwca 2018 r., sygn. akt VI Sa/Wa 400/18 a także WSA z 18 kwietnia 2018 r., sygn. akt VI SA/Wa 150/18; podobna sprawa - VII.561.27.2018</w:t>
      </w:r>
    </w:p>
  </w:footnote>
  <w:footnote w:id="458">
    <w:p w14:paraId="1907C58D" w14:textId="77777777" w:rsidR="00803B7D" w:rsidRPr="007A22DC" w:rsidRDefault="00803B7D" w:rsidP="00187708">
      <w:pPr>
        <w:pStyle w:val="Tekstprzypisudolnego"/>
      </w:pPr>
      <w:r w:rsidRPr="007A22DC">
        <w:rPr>
          <w:rStyle w:val="Odwoanieprzypisudolnego"/>
        </w:rPr>
        <w:footnoteRef/>
      </w:r>
      <w:r w:rsidRPr="007A22DC">
        <w:t xml:space="preserve"> Informacja roczna za rok 2017, s. 333</w:t>
      </w:r>
    </w:p>
  </w:footnote>
  <w:footnote w:id="459">
    <w:p w14:paraId="5A326B3E" w14:textId="77777777" w:rsidR="00803B7D" w:rsidRPr="007A22DC" w:rsidRDefault="00803B7D" w:rsidP="00187708">
      <w:pPr>
        <w:pStyle w:val="Tekstprzypisudolnego"/>
        <w:ind w:left="0" w:firstLine="0"/>
      </w:pPr>
      <w:r w:rsidRPr="007A22DC">
        <w:rPr>
          <w:rStyle w:val="Odwoanieprzypisudolnego"/>
        </w:rPr>
        <w:footnoteRef/>
      </w:r>
      <w:r w:rsidRPr="007A22DC">
        <w:t xml:space="preserve"> Relacja: </w:t>
      </w:r>
      <w:hyperlink r:id="rId297" w:history="1">
        <w:r w:rsidRPr="007A22DC">
          <w:rPr>
            <w:rStyle w:val="Hipercze"/>
            <w:rFonts w:eastAsiaTheme="majorEastAsia"/>
          </w:rPr>
          <w:t>https://www.rpo.gov.pl/pl/content/spotkanie-rpo-z-ogolnopolskim-zwiazkiem-zawodowym-psychologow</w:t>
        </w:r>
      </w:hyperlink>
    </w:p>
  </w:footnote>
  <w:footnote w:id="460">
    <w:p w14:paraId="5B490C21" w14:textId="77777777" w:rsidR="00803B7D" w:rsidRPr="007A22DC" w:rsidRDefault="00803B7D" w:rsidP="0014574C">
      <w:pPr>
        <w:pStyle w:val="Przypis"/>
      </w:pPr>
      <w:r w:rsidRPr="007A22DC">
        <w:rPr>
          <w:rStyle w:val="Odwoanieprzypisudolnego"/>
        </w:rPr>
        <w:footnoteRef/>
      </w:r>
      <w:r w:rsidRPr="007A22DC">
        <w:t xml:space="preserve"> Informacja roczna za rok 2018 – s. 385-389</w:t>
      </w:r>
    </w:p>
  </w:footnote>
  <w:footnote w:id="461">
    <w:p w14:paraId="1C632954" w14:textId="77777777" w:rsidR="00803B7D" w:rsidRPr="007A22DC" w:rsidRDefault="00803B7D" w:rsidP="0014574C">
      <w:pPr>
        <w:pStyle w:val="Przypis"/>
      </w:pPr>
      <w:r w:rsidRPr="007A22DC">
        <w:rPr>
          <w:rStyle w:val="Odwoanieprzypisudolnego"/>
        </w:rPr>
        <w:footnoteRef/>
      </w:r>
      <w:r w:rsidRPr="007A22DC">
        <w:t xml:space="preserve"> </w:t>
      </w:r>
      <w:hyperlink r:id="rId298" w:history="1">
        <w:r w:rsidRPr="007A22DC">
          <w:rPr>
            <w:rStyle w:val="Hipercze"/>
          </w:rPr>
          <w:t>VII.7040.1.2018</w:t>
        </w:r>
      </w:hyperlink>
      <w:r w:rsidRPr="007A22DC">
        <w:rPr>
          <w:rStyle w:val="PrzypisZnak"/>
        </w:rPr>
        <w:t>, 4 marca 2018 r., odpowiedź z 9 maja 2018 r.</w:t>
      </w:r>
    </w:p>
  </w:footnote>
  <w:footnote w:id="462">
    <w:p w14:paraId="23353F1A" w14:textId="77777777" w:rsidR="00803B7D" w:rsidRPr="007A22DC" w:rsidRDefault="00803B7D" w:rsidP="0014574C">
      <w:pPr>
        <w:pStyle w:val="Przypis"/>
        <w:rPr>
          <w:rStyle w:val="PrzypisZnak"/>
        </w:rPr>
      </w:pPr>
      <w:r w:rsidRPr="007A22DC">
        <w:rPr>
          <w:rStyle w:val="Odwoanieprzypisudolnego"/>
        </w:rPr>
        <w:footnoteRef/>
      </w:r>
      <w:r w:rsidRPr="007A22DC">
        <w:t xml:space="preserve"> </w:t>
      </w:r>
      <w:hyperlink r:id="rId299" w:history="1">
        <w:r w:rsidRPr="007A22DC">
          <w:rPr>
            <w:rStyle w:val="Hipercze"/>
          </w:rPr>
          <w:t>VII.7037.110.2017</w:t>
        </w:r>
      </w:hyperlink>
      <w:r w:rsidRPr="007A22DC">
        <w:rPr>
          <w:rStyle w:val="PrzypisZnak"/>
        </w:rPr>
        <w:t xml:space="preserve"> z 7 maja 2018 r. , odpowiedź z 4 czerwca 2018 r.</w:t>
      </w:r>
    </w:p>
  </w:footnote>
  <w:footnote w:id="463">
    <w:p w14:paraId="4CC29C24" w14:textId="77777777" w:rsidR="00803B7D" w:rsidRPr="007A22DC" w:rsidRDefault="00803B7D" w:rsidP="0014574C">
      <w:pPr>
        <w:pStyle w:val="Przypis"/>
      </w:pPr>
      <w:r w:rsidRPr="007A22DC">
        <w:rPr>
          <w:rStyle w:val="Odwoanieprzypisudolnego"/>
        </w:rPr>
        <w:footnoteRef/>
      </w:r>
      <w:r w:rsidRPr="007A22DC">
        <w:t xml:space="preserve"> </w:t>
      </w:r>
      <w:hyperlink r:id="rId300" w:history="1">
        <w:r w:rsidRPr="007A22DC">
          <w:rPr>
            <w:rStyle w:val="Hipercze"/>
          </w:rPr>
          <w:t>III.7060.117.2018</w:t>
        </w:r>
      </w:hyperlink>
      <w:r w:rsidRPr="007A22DC">
        <w:t xml:space="preserve"> z 7 marca 2018 r., odpowiedź z 12 kwietnia 2018 r.</w:t>
      </w:r>
    </w:p>
  </w:footnote>
  <w:footnote w:id="464">
    <w:p w14:paraId="60ECE6CB" w14:textId="77777777" w:rsidR="00803B7D" w:rsidRPr="007A22DC" w:rsidRDefault="00803B7D">
      <w:pPr>
        <w:pStyle w:val="Tekstprzypisudolnego"/>
      </w:pPr>
      <w:r w:rsidRPr="007A22DC">
        <w:rPr>
          <w:rStyle w:val="Odwoanieprzypisudolnego"/>
        </w:rPr>
        <w:footnoteRef/>
      </w:r>
      <w:r w:rsidRPr="007A22DC">
        <w:t xml:space="preserve"> </w:t>
      </w:r>
      <w:hyperlink r:id="rId301" w:history="1">
        <w:r w:rsidRPr="007A22DC">
          <w:rPr>
            <w:rStyle w:val="Hipercze"/>
            <w:rFonts w:eastAsiaTheme="majorEastAsia"/>
          </w:rPr>
          <w:t>https://www.rpo.gov.pl/pl/content/spotkanie-regionalne-adama-bodnara-w-ostrowcu</w:t>
        </w:r>
      </w:hyperlink>
    </w:p>
  </w:footnote>
  <w:footnote w:id="465">
    <w:p w14:paraId="7B5EF227" w14:textId="77777777" w:rsidR="00803B7D" w:rsidRPr="007A22DC" w:rsidRDefault="00803B7D" w:rsidP="0082403E">
      <w:pPr>
        <w:pStyle w:val="Przypis"/>
      </w:pPr>
      <w:r w:rsidRPr="007A22DC">
        <w:rPr>
          <w:rStyle w:val="Odwoanieprzypisudolnego"/>
        </w:rPr>
        <w:footnoteRef/>
      </w:r>
      <w:r w:rsidRPr="007A22DC">
        <w:t xml:space="preserve"> Dz.U. 2017 poz. 664</w:t>
      </w:r>
    </w:p>
  </w:footnote>
  <w:footnote w:id="466">
    <w:p w14:paraId="047CBE67" w14:textId="77777777" w:rsidR="00803B7D" w:rsidRPr="007A22DC" w:rsidRDefault="00803B7D" w:rsidP="0082403E">
      <w:pPr>
        <w:pStyle w:val="Przypis"/>
      </w:pPr>
      <w:r w:rsidRPr="007A22DC">
        <w:rPr>
          <w:rStyle w:val="Odwoanieprzypisudolnego"/>
        </w:rPr>
        <w:footnoteRef/>
      </w:r>
      <w:r w:rsidRPr="007A22DC">
        <w:t xml:space="preserve"> Dz.U. z 2017 poz. 1769 ze zm.</w:t>
      </w:r>
    </w:p>
  </w:footnote>
  <w:footnote w:id="467">
    <w:p w14:paraId="40A12F30" w14:textId="77777777" w:rsidR="00803B7D" w:rsidRPr="007A22DC" w:rsidRDefault="00803B7D" w:rsidP="0082403E">
      <w:pPr>
        <w:pStyle w:val="Przypis"/>
      </w:pPr>
      <w:r w:rsidRPr="007A22DC">
        <w:rPr>
          <w:rStyle w:val="Odwoanieprzypisudolnego"/>
        </w:rPr>
        <w:footnoteRef/>
      </w:r>
      <w:r w:rsidRPr="007A22DC">
        <w:t xml:space="preserve"> Dz.U. z 2005 nr 189 poz. 1598</w:t>
      </w:r>
    </w:p>
  </w:footnote>
  <w:footnote w:id="468">
    <w:p w14:paraId="029C2001" w14:textId="77777777" w:rsidR="00803B7D" w:rsidRPr="007A22DC" w:rsidRDefault="00803B7D" w:rsidP="0014574C">
      <w:pPr>
        <w:pStyle w:val="Przypis"/>
      </w:pPr>
      <w:r w:rsidRPr="007A22DC">
        <w:rPr>
          <w:rStyle w:val="Odwoanieprzypisudolnego"/>
        </w:rPr>
        <w:footnoteRef/>
      </w:r>
      <w:r w:rsidRPr="007A22DC">
        <w:t xml:space="preserve"> </w:t>
      </w:r>
      <w:hyperlink r:id="rId302" w:history="1">
        <w:r w:rsidRPr="007A22DC">
          <w:rPr>
            <w:rStyle w:val="Hipercze"/>
          </w:rPr>
          <w:t>V.7014.24.2018</w:t>
        </w:r>
      </w:hyperlink>
      <w:r w:rsidRPr="007A22DC">
        <w:rPr>
          <w:rStyle w:val="Hipercze"/>
        </w:rPr>
        <w:t xml:space="preserve"> </w:t>
      </w:r>
      <w:r w:rsidRPr="007A22DC">
        <w:t>z 26 lipca 2018 r., odpowiedź z 13 sierpnia 2018</w:t>
      </w:r>
    </w:p>
  </w:footnote>
  <w:footnote w:id="469">
    <w:p w14:paraId="3A84787E" w14:textId="77777777" w:rsidR="00803B7D" w:rsidRPr="007A22DC" w:rsidRDefault="00744B2D" w:rsidP="0014574C">
      <w:pPr>
        <w:pStyle w:val="Przypis"/>
      </w:pPr>
      <w:hyperlink r:id="rId303" w:history="1">
        <w:r w:rsidR="00803B7D" w:rsidRPr="007A22DC">
          <w:rPr>
            <w:rStyle w:val="Hipercze"/>
            <w:vertAlign w:val="superscript"/>
          </w:rPr>
          <w:footnoteRef/>
        </w:r>
        <w:r w:rsidR="00803B7D" w:rsidRPr="007A22DC">
          <w:rPr>
            <w:rStyle w:val="Hipercze"/>
          </w:rPr>
          <w:t xml:space="preserve"> III.7044.44.2018</w:t>
        </w:r>
      </w:hyperlink>
      <w:r w:rsidR="00803B7D" w:rsidRPr="007A22DC">
        <w:t xml:space="preserve"> z 4 lipca 2018 r., odpowiedź z 10 września 2018 r.</w:t>
      </w:r>
    </w:p>
  </w:footnote>
  <w:footnote w:id="470">
    <w:p w14:paraId="070F411C" w14:textId="77777777" w:rsidR="00803B7D" w:rsidRPr="007A22DC" w:rsidRDefault="00803B7D" w:rsidP="0014574C">
      <w:pPr>
        <w:pStyle w:val="Przypis"/>
      </w:pPr>
      <w:r w:rsidRPr="007A22DC">
        <w:rPr>
          <w:rStyle w:val="Odwoanieprzypisudolnego"/>
        </w:rPr>
        <w:footnoteRef/>
      </w:r>
      <w:r w:rsidRPr="007A22DC">
        <w:t xml:space="preserve"> </w:t>
      </w:r>
      <w:hyperlink r:id="rId304" w:history="1">
        <w:r w:rsidRPr="007A22DC">
          <w:rPr>
            <w:rStyle w:val="Hipercze"/>
          </w:rPr>
          <w:t>III.7043.50.2018</w:t>
        </w:r>
      </w:hyperlink>
      <w:r w:rsidRPr="007A22DC">
        <w:rPr>
          <w:rStyle w:val="Hipercze"/>
        </w:rPr>
        <w:t xml:space="preserve"> </w:t>
      </w:r>
      <w:r w:rsidRPr="007A22DC">
        <w:rPr>
          <w:rStyle w:val="Hipercze"/>
          <w:color w:val="auto"/>
          <w:u w:val="none"/>
        </w:rPr>
        <w:t>, odpowiedź GIP z 13 listopada 2018 r., odpowiedź Prokuratora z 23 listopada 2018 r.</w:t>
      </w:r>
    </w:p>
  </w:footnote>
  <w:footnote w:id="471">
    <w:p w14:paraId="6F4196A7" w14:textId="77777777" w:rsidR="00803B7D" w:rsidRPr="007A22DC" w:rsidRDefault="00803B7D" w:rsidP="0014574C">
      <w:pPr>
        <w:pStyle w:val="Przypis"/>
        <w:rPr>
          <w:rFonts w:eastAsiaTheme="majorEastAsia"/>
        </w:rPr>
      </w:pPr>
      <w:r w:rsidRPr="007A22DC">
        <w:rPr>
          <w:rStyle w:val="Odwoanieprzypisudolnego"/>
        </w:rPr>
        <w:footnoteRef/>
      </w:r>
      <w:r w:rsidRPr="007A22DC">
        <w:t xml:space="preserve"> </w:t>
      </w:r>
      <w:hyperlink r:id="rId305" w:history="1">
        <w:r w:rsidRPr="007A22DC">
          <w:rPr>
            <w:rStyle w:val="Hipercze"/>
          </w:rPr>
          <w:t>III.7041.11.2018</w:t>
        </w:r>
      </w:hyperlink>
      <w:r w:rsidRPr="007A22DC">
        <w:rPr>
          <w:rStyle w:val="Hipercze"/>
        </w:rPr>
        <w:t xml:space="preserve">, </w:t>
      </w:r>
      <w:r w:rsidRPr="007A22DC">
        <w:t>.</w:t>
      </w:r>
      <w:r w:rsidRPr="007A22DC">
        <w:rPr>
          <w:color w:val="0000FF"/>
          <w:u w:val="single"/>
        </w:rPr>
        <w:t xml:space="preserve"> </w:t>
      </w:r>
      <w:r w:rsidRPr="007A22DC">
        <w:rPr>
          <w:rFonts w:eastAsiaTheme="majorEastAsia"/>
        </w:rPr>
        <w:t>z 20 września 2018 r., odpowiedź z 31 stycznia 2019 r.</w:t>
      </w:r>
    </w:p>
  </w:footnote>
  <w:footnote w:id="472">
    <w:p w14:paraId="423D6972" w14:textId="77777777" w:rsidR="00803B7D" w:rsidRPr="007A22DC" w:rsidRDefault="00803B7D" w:rsidP="0014574C">
      <w:pPr>
        <w:pStyle w:val="Przypis"/>
      </w:pPr>
      <w:r w:rsidRPr="007A22DC">
        <w:rPr>
          <w:rStyle w:val="Odwoanieprzypisudolnego"/>
        </w:rPr>
        <w:footnoteRef/>
      </w:r>
      <w:r w:rsidRPr="007A22DC">
        <w:t xml:space="preserve"> Dz.U. z 2018 r. poz. 858.</w:t>
      </w:r>
    </w:p>
  </w:footnote>
  <w:footnote w:id="473">
    <w:p w14:paraId="49032017" w14:textId="77777777" w:rsidR="00803B7D" w:rsidRPr="007A22DC" w:rsidRDefault="00803B7D" w:rsidP="0014574C">
      <w:pPr>
        <w:pStyle w:val="Przypis"/>
      </w:pPr>
      <w:r w:rsidRPr="007A22DC">
        <w:rPr>
          <w:rStyle w:val="Odwoanieprzypisudolnego"/>
        </w:rPr>
        <w:footnoteRef/>
      </w:r>
      <w:r w:rsidRPr="007A22DC">
        <w:t xml:space="preserve"> </w:t>
      </w:r>
      <w:hyperlink r:id="rId306" w:history="1">
        <w:r w:rsidRPr="007A22DC">
          <w:rPr>
            <w:rStyle w:val="Hipercze"/>
          </w:rPr>
          <w:t>III.7042.26.2016</w:t>
        </w:r>
      </w:hyperlink>
      <w:r w:rsidRPr="007A22DC">
        <w:t xml:space="preserve"> z 4 czerwca 2018 r., odpowiedź z 5 lipca 2018 r.</w:t>
      </w:r>
    </w:p>
  </w:footnote>
  <w:footnote w:id="474">
    <w:p w14:paraId="17F2FEDB" w14:textId="77777777" w:rsidR="00803B7D" w:rsidRPr="007A22DC" w:rsidRDefault="00803B7D" w:rsidP="0014574C">
      <w:pPr>
        <w:pStyle w:val="Przypis"/>
      </w:pPr>
      <w:r w:rsidRPr="007A22DC">
        <w:rPr>
          <w:rStyle w:val="Odwoanieprzypisudolnego"/>
        </w:rPr>
        <w:footnoteRef/>
      </w:r>
      <w:r w:rsidRPr="007A22DC">
        <w:t xml:space="preserve"> </w:t>
      </w:r>
      <w:hyperlink r:id="rId307" w:history="1">
        <w:r w:rsidRPr="007A22DC">
          <w:rPr>
            <w:rStyle w:val="Hipercze"/>
          </w:rPr>
          <w:t>III.7045.14.2018</w:t>
        </w:r>
      </w:hyperlink>
      <w:r w:rsidRPr="007A22DC">
        <w:t xml:space="preserve"> z 21 maja 2018 r., odpowiedź z 7 czerwca 2018 r.</w:t>
      </w:r>
    </w:p>
  </w:footnote>
  <w:footnote w:id="475">
    <w:p w14:paraId="6027CBA2" w14:textId="77777777" w:rsidR="00803B7D" w:rsidRPr="007A22DC" w:rsidRDefault="00803B7D" w:rsidP="00D92D28">
      <w:pPr>
        <w:pStyle w:val="Przypis"/>
      </w:pPr>
      <w:r w:rsidRPr="007A22DC">
        <w:rPr>
          <w:rStyle w:val="Odwoanieprzypisudolnego"/>
        </w:rPr>
        <w:footnoteRef/>
      </w:r>
      <w:r w:rsidRPr="007A22DC">
        <w:t xml:space="preserve">Relacja: </w:t>
      </w:r>
      <w:hyperlink r:id="rId308" w:history="1">
        <w:r w:rsidRPr="007A22DC">
          <w:rPr>
            <w:rStyle w:val="Hipercze"/>
          </w:rPr>
          <w:t>https://www.rpo.gov.pl/pl/content/sytuacja-mniejszosci-ukrainskiej-i-migrantow-ukrainskich-w-polsce-konferencja-w-biurze-rpo</w:t>
        </w:r>
      </w:hyperlink>
    </w:p>
  </w:footnote>
  <w:footnote w:id="476">
    <w:p w14:paraId="71BBE8E7" w14:textId="77777777" w:rsidR="00803B7D" w:rsidRPr="007A22DC" w:rsidRDefault="00803B7D" w:rsidP="00882B7A">
      <w:pPr>
        <w:pStyle w:val="Przypis"/>
      </w:pPr>
      <w:r w:rsidRPr="007A22DC">
        <w:rPr>
          <w:rStyle w:val="Odwoanieprzypisudolnego"/>
        </w:rPr>
        <w:footnoteRef/>
      </w:r>
      <w:r w:rsidRPr="007A22DC">
        <w:t xml:space="preserve"> </w:t>
      </w:r>
      <w:r w:rsidRPr="007A22DC">
        <w:rPr>
          <w:shd w:val="clear" w:color="auto" w:fill="FFFFFF"/>
        </w:rPr>
        <w:t>Dz. U. 2001 Nr 98 poz. 1070</w:t>
      </w:r>
    </w:p>
  </w:footnote>
  <w:footnote w:id="477">
    <w:p w14:paraId="50E2EB11" w14:textId="77777777" w:rsidR="00803B7D" w:rsidRPr="007A22DC" w:rsidRDefault="00803B7D" w:rsidP="0014574C">
      <w:pPr>
        <w:pStyle w:val="Przypis"/>
      </w:pPr>
      <w:r w:rsidRPr="007A22DC">
        <w:rPr>
          <w:rStyle w:val="Odwoanieprzypisudolnego"/>
        </w:rPr>
        <w:footnoteRef/>
      </w:r>
      <w:r w:rsidRPr="007A22DC">
        <w:t xml:space="preserve"> </w:t>
      </w:r>
      <w:hyperlink r:id="rId309" w:history="1">
        <w:r w:rsidRPr="007A22DC">
          <w:rPr>
            <w:rStyle w:val="Hipercze"/>
          </w:rPr>
          <w:t>III.7044.28.2018</w:t>
        </w:r>
      </w:hyperlink>
      <w:r w:rsidRPr="007A22DC">
        <w:t xml:space="preserve"> z 4 lipca 2018 r., odpowiedź z 25 lipca 2018 r.</w:t>
      </w:r>
    </w:p>
  </w:footnote>
  <w:footnote w:id="478">
    <w:p w14:paraId="2C60BC79" w14:textId="77777777" w:rsidR="00803B7D" w:rsidRPr="007A22DC" w:rsidRDefault="00803B7D" w:rsidP="00882B7A">
      <w:pPr>
        <w:pStyle w:val="Przypis"/>
      </w:pPr>
      <w:r w:rsidRPr="007A22DC">
        <w:rPr>
          <w:rStyle w:val="Odwoanieprzypisudolnego"/>
        </w:rPr>
        <w:footnoteRef/>
      </w:r>
      <w:r w:rsidRPr="007A22DC">
        <w:t xml:space="preserve"> </w:t>
      </w:r>
      <w:r w:rsidRPr="007A22DC">
        <w:rPr>
          <w:shd w:val="clear" w:color="auto" w:fill="FFFFFF"/>
        </w:rPr>
        <w:t>Dz.U.2012.0.1155</w:t>
      </w:r>
    </w:p>
  </w:footnote>
  <w:footnote w:id="479">
    <w:p w14:paraId="162B4ADF" w14:textId="77777777" w:rsidR="00803B7D" w:rsidRPr="007A22DC" w:rsidRDefault="00803B7D" w:rsidP="0014574C">
      <w:pPr>
        <w:pStyle w:val="Przypis"/>
      </w:pPr>
      <w:r w:rsidRPr="007A22DC">
        <w:rPr>
          <w:rStyle w:val="Odwoanieprzypisudolnego"/>
        </w:rPr>
        <w:footnoteRef/>
      </w:r>
      <w:r w:rsidRPr="007A22DC">
        <w:t xml:space="preserve"> </w:t>
      </w:r>
      <w:hyperlink r:id="rId310" w:history="1">
        <w:r w:rsidRPr="007A22DC">
          <w:rPr>
            <w:rStyle w:val="Hipercze"/>
          </w:rPr>
          <w:t>III.7044.45.2018</w:t>
        </w:r>
      </w:hyperlink>
      <w:r w:rsidRPr="007A22DC">
        <w:t xml:space="preserve"> z 22 listopada 2018 r., odpowiedź z 15 lutego 2019 r..</w:t>
      </w:r>
    </w:p>
  </w:footnote>
  <w:footnote w:id="480">
    <w:p w14:paraId="15E4097B" w14:textId="77777777" w:rsidR="00803B7D" w:rsidRPr="007A22DC" w:rsidRDefault="00803B7D" w:rsidP="0014574C">
      <w:pPr>
        <w:pStyle w:val="Przypis"/>
      </w:pPr>
      <w:r w:rsidRPr="007A22DC">
        <w:rPr>
          <w:rStyle w:val="Odwoanieprzypisudolnego"/>
        </w:rPr>
        <w:footnoteRef/>
      </w:r>
      <w:r w:rsidRPr="007A22DC">
        <w:t xml:space="preserve"> Ustawa z 16 kwietnia 2004 r. (Dz.U. z 2012 r. poz. 1155, ze zm.).</w:t>
      </w:r>
    </w:p>
  </w:footnote>
  <w:footnote w:id="481">
    <w:p w14:paraId="684C7D90" w14:textId="77777777" w:rsidR="00803B7D" w:rsidRPr="007A22DC" w:rsidRDefault="00803B7D" w:rsidP="0014574C">
      <w:pPr>
        <w:pStyle w:val="Przypis"/>
        <w:rPr>
          <w:rStyle w:val="PrzypisZnak"/>
        </w:rPr>
      </w:pPr>
      <w:r w:rsidRPr="007A22DC">
        <w:rPr>
          <w:rStyle w:val="PrzypisZnak"/>
          <w:vertAlign w:val="superscript"/>
        </w:rPr>
        <w:footnoteRef/>
      </w:r>
      <w:r w:rsidRPr="007A22DC">
        <w:rPr>
          <w:rStyle w:val="PrzypisZnak"/>
          <w:vertAlign w:val="superscript"/>
        </w:rPr>
        <w:t xml:space="preserve"> </w:t>
      </w:r>
      <w:hyperlink r:id="rId311" w:history="1">
        <w:r w:rsidRPr="007A22DC">
          <w:rPr>
            <w:rStyle w:val="Hipercze"/>
          </w:rPr>
          <w:t>III.7050.2.2016</w:t>
        </w:r>
      </w:hyperlink>
      <w:r w:rsidRPr="007A22DC">
        <w:rPr>
          <w:rStyle w:val="PrzypisZnak"/>
        </w:rPr>
        <w:t xml:space="preserve">, </w:t>
      </w:r>
      <w:r w:rsidRPr="007A22DC">
        <w:t>korespondencja z lat 2016-2017</w:t>
      </w:r>
      <w:r w:rsidRPr="007A22DC">
        <w:rPr>
          <w:rFonts w:ascii="Open Sans Regular" w:hAnsi="Open Sans Regular"/>
          <w:color w:val="18223E"/>
          <w:sz w:val="21"/>
          <w:szCs w:val="21"/>
        </w:rPr>
        <w:t xml:space="preserve"> </w:t>
      </w:r>
      <w:r w:rsidRPr="007A22DC">
        <w:rPr>
          <w:rStyle w:val="PrzypisZnak"/>
        </w:rPr>
        <w:t xml:space="preserve">zobacz też: </w:t>
      </w:r>
      <w:r w:rsidRPr="007A22DC">
        <w:t>Informacja roczna za rok 2017, s. 344. W dniu 16 lutego 2019r. weszły w życie przepisy rozporządzenia Ministra Przedsiębiorczości i Technologii z dnia 22 października 2018 r. w sprawie bezpieczeństwa i higieny pracy przy obsłudze żurawi wieżowych i szybkomontujących (Dz.U. z 2018r., poz.2147), tym samych zakończył się okres, w którym wobec braku powyższej regulacji występowało istotne zagrożenie dla życia i zdrowia pracowników.</w:t>
      </w:r>
    </w:p>
  </w:footnote>
  <w:footnote w:id="482">
    <w:p w14:paraId="5979DAE6" w14:textId="77777777" w:rsidR="00803B7D" w:rsidRPr="007A22DC" w:rsidRDefault="00803B7D" w:rsidP="0014574C">
      <w:pPr>
        <w:pStyle w:val="Przypis"/>
      </w:pPr>
      <w:r w:rsidRPr="007A22DC">
        <w:rPr>
          <w:rStyle w:val="Odwoanieprzypisudolnego"/>
        </w:rPr>
        <w:footnoteRef/>
      </w:r>
      <w:r w:rsidRPr="007A22DC">
        <w:t xml:space="preserve"> </w:t>
      </w:r>
      <w:hyperlink r:id="rId312" w:history="1">
        <w:r w:rsidRPr="007A22DC">
          <w:rPr>
            <w:rStyle w:val="Hipercze"/>
          </w:rPr>
          <w:t>III.7044.69.2017</w:t>
        </w:r>
      </w:hyperlink>
      <w:r w:rsidRPr="007A22DC">
        <w:rPr>
          <w:rStyle w:val="Hipercze"/>
        </w:rPr>
        <w:t xml:space="preserve">, </w:t>
      </w:r>
      <w:r w:rsidRPr="007A22DC">
        <w:t>odpowiedź MSWiA z 29 stycznia 2018 r.</w:t>
      </w:r>
    </w:p>
  </w:footnote>
  <w:footnote w:id="483">
    <w:p w14:paraId="32CF7E60" w14:textId="77777777" w:rsidR="00803B7D" w:rsidRPr="007A22DC" w:rsidRDefault="00803B7D" w:rsidP="00E24C6B">
      <w:pPr>
        <w:pStyle w:val="Przypis"/>
      </w:pPr>
      <w:r w:rsidRPr="007A22DC">
        <w:rPr>
          <w:rStyle w:val="Odwoanieprzypisudolnego"/>
        </w:rPr>
        <w:footnoteRef/>
      </w:r>
      <w:r w:rsidRPr="007A22DC">
        <w:t xml:space="preserve"> </w:t>
      </w:r>
      <w:hyperlink r:id="rId313" w:history="1">
        <w:r w:rsidRPr="007A22DC">
          <w:rPr>
            <w:rStyle w:val="Hipercze"/>
          </w:rPr>
          <w:t>WZF.7043.79.2017</w:t>
        </w:r>
      </w:hyperlink>
      <w:r w:rsidRPr="007A22DC">
        <w:t xml:space="preserve"> z 13 kwietnia 2018 r., odpowiedź z 8 maja 2018 r., pismo do MSWiA z 4 lipca 2018 r., odpowiedź z 12 września 2018 r..</w:t>
      </w:r>
    </w:p>
  </w:footnote>
  <w:footnote w:id="484">
    <w:p w14:paraId="5D2FF407" w14:textId="77777777" w:rsidR="00803B7D" w:rsidRPr="007A22DC" w:rsidRDefault="00803B7D" w:rsidP="00F632F8">
      <w:pPr>
        <w:pStyle w:val="Przypis"/>
      </w:pPr>
      <w:r w:rsidRPr="007A22DC">
        <w:rPr>
          <w:rStyle w:val="Odwoanieprzypisudolnego"/>
        </w:rPr>
        <w:footnoteRef/>
      </w:r>
      <w:r w:rsidRPr="007A22DC">
        <w:t xml:space="preserve"> </w:t>
      </w:r>
      <w:hyperlink r:id="rId314" w:history="1">
        <w:r w:rsidRPr="007A22DC">
          <w:rPr>
            <w:rStyle w:val="Hipercze"/>
          </w:rPr>
          <w:t>WZF.7040.6.2018</w:t>
        </w:r>
      </w:hyperlink>
      <w:r w:rsidRPr="007A22DC">
        <w:t xml:space="preserve"> z 9 kwietnia 2018 r., odpowiedź z 7 maja 2018 r.</w:t>
      </w:r>
    </w:p>
  </w:footnote>
  <w:footnote w:id="485">
    <w:p w14:paraId="13B19181" w14:textId="77777777" w:rsidR="00803B7D" w:rsidRPr="007A22DC" w:rsidRDefault="00803B7D" w:rsidP="001108EF">
      <w:pPr>
        <w:pStyle w:val="Przypis"/>
      </w:pPr>
      <w:r w:rsidRPr="007A22DC">
        <w:rPr>
          <w:rStyle w:val="Odwoanieprzypisudolnego"/>
        </w:rPr>
        <w:footnoteRef/>
      </w:r>
      <w:r w:rsidRPr="007A22DC">
        <w:t xml:space="preserve"> </w:t>
      </w:r>
      <w:hyperlink r:id="rId315" w:history="1">
        <w:r w:rsidRPr="007A22DC">
          <w:rPr>
            <w:rStyle w:val="Hipercze"/>
          </w:rPr>
          <w:t>WZF.7050.3.2018</w:t>
        </w:r>
      </w:hyperlink>
      <w:r w:rsidRPr="007A22DC">
        <w:t xml:space="preserve"> z 14 grudnia 2018 r., z 28 stycznia 2019 r..</w:t>
      </w:r>
    </w:p>
  </w:footnote>
  <w:footnote w:id="486">
    <w:p w14:paraId="1E27B6FD" w14:textId="77777777" w:rsidR="00803B7D" w:rsidRPr="007A22DC" w:rsidRDefault="00803B7D" w:rsidP="0014574C">
      <w:pPr>
        <w:pStyle w:val="Przypis"/>
      </w:pPr>
      <w:r w:rsidRPr="007A22DC">
        <w:rPr>
          <w:rStyle w:val="Odwoanieprzypisudolnego"/>
        </w:rPr>
        <w:footnoteRef/>
      </w:r>
      <w:r w:rsidRPr="007A22DC">
        <w:t xml:space="preserve"> Ustawa z 11 maja 2012 r. (Dz.U. z 2012 r. poz. 637).</w:t>
      </w:r>
    </w:p>
  </w:footnote>
  <w:footnote w:id="487">
    <w:p w14:paraId="74A3D96E" w14:textId="77777777" w:rsidR="00803B7D" w:rsidRPr="007A22DC" w:rsidRDefault="00803B7D" w:rsidP="0014574C">
      <w:pPr>
        <w:pStyle w:val="Przypis"/>
      </w:pPr>
      <w:r w:rsidRPr="007A22DC">
        <w:rPr>
          <w:rStyle w:val="Odwoanieprzypisudolnego"/>
        </w:rPr>
        <w:footnoteRef/>
      </w:r>
      <w:r w:rsidRPr="007A22DC">
        <w:t xml:space="preserve"> </w:t>
      </w:r>
      <w:hyperlink r:id="rId316" w:history="1">
        <w:r w:rsidRPr="007A22DC">
          <w:rPr>
            <w:rStyle w:val="Hipercze"/>
          </w:rPr>
          <w:t>III.7060.370.2014</w:t>
        </w:r>
      </w:hyperlink>
      <w:r w:rsidRPr="007A22DC">
        <w:t xml:space="preserve"> z 7 lutego 2018 r..</w:t>
      </w:r>
    </w:p>
  </w:footnote>
  <w:footnote w:id="488">
    <w:p w14:paraId="4CD942C7" w14:textId="77777777" w:rsidR="00803B7D" w:rsidRPr="007A22DC" w:rsidRDefault="00803B7D" w:rsidP="0014574C">
      <w:pPr>
        <w:pStyle w:val="Przypis"/>
      </w:pPr>
      <w:r w:rsidRPr="007A22DC">
        <w:rPr>
          <w:rStyle w:val="Odwoanieprzypisudolnego"/>
        </w:rPr>
        <w:footnoteRef/>
      </w:r>
      <w:r w:rsidRPr="007A22DC">
        <w:t xml:space="preserve"> </w:t>
      </w:r>
      <w:hyperlink r:id="rId317" w:history="1">
        <w:r w:rsidRPr="007A22DC">
          <w:rPr>
            <w:rStyle w:val="Hipercze"/>
          </w:rPr>
          <w:t>III.7060.796.2016</w:t>
        </w:r>
      </w:hyperlink>
      <w:r w:rsidRPr="007A22DC">
        <w:t xml:space="preserve"> z 1 kwietnia 2019 r..</w:t>
      </w:r>
    </w:p>
  </w:footnote>
  <w:footnote w:id="489">
    <w:p w14:paraId="45E3A2D6" w14:textId="77777777" w:rsidR="00803B7D" w:rsidRPr="007A22DC" w:rsidRDefault="00803B7D" w:rsidP="0014574C">
      <w:pPr>
        <w:pStyle w:val="Przypis"/>
      </w:pPr>
      <w:r w:rsidRPr="007A22DC">
        <w:rPr>
          <w:rStyle w:val="Odwoanieprzypisudolnego"/>
        </w:rPr>
        <w:footnoteRef/>
      </w:r>
      <w:r w:rsidRPr="007A22DC">
        <w:t xml:space="preserve"> </w:t>
      </w:r>
      <w:hyperlink r:id="rId318" w:history="1">
        <w:r w:rsidRPr="007A22DC">
          <w:rPr>
            <w:rStyle w:val="Hipercze"/>
          </w:rPr>
          <w:t>III.7060.122.2016</w:t>
        </w:r>
      </w:hyperlink>
      <w:r w:rsidRPr="007A22DC">
        <w:t xml:space="preserve"> z 8 listopada 2018 r., z odpowiedzi z 18 kwietnia 2019 r., że sposobu rozwiązania problemu jeszcze nie obmyślono.</w:t>
      </w:r>
    </w:p>
  </w:footnote>
  <w:footnote w:id="490">
    <w:p w14:paraId="48EABDB7" w14:textId="77777777" w:rsidR="00803B7D" w:rsidRPr="007A22DC" w:rsidRDefault="00803B7D" w:rsidP="0014574C">
      <w:pPr>
        <w:pStyle w:val="Przypis"/>
      </w:pPr>
      <w:r w:rsidRPr="007A22DC">
        <w:rPr>
          <w:rStyle w:val="Odwoanieprzypisudolnego"/>
        </w:rPr>
        <w:footnoteRef/>
      </w:r>
      <w:r w:rsidRPr="007A22DC">
        <w:t xml:space="preserve"> </w:t>
      </w:r>
      <w:hyperlink r:id="rId319" w:history="1">
        <w:r w:rsidRPr="007A22DC">
          <w:rPr>
            <w:rStyle w:val="Hipercze"/>
            <w:rFonts w:eastAsiaTheme="majorEastAsia"/>
          </w:rPr>
          <w:t>BPW.7064.2.2018</w:t>
        </w:r>
      </w:hyperlink>
    </w:p>
  </w:footnote>
  <w:footnote w:id="491">
    <w:p w14:paraId="707CE461" w14:textId="77777777" w:rsidR="00803B7D" w:rsidRPr="007A22DC" w:rsidRDefault="00803B7D" w:rsidP="00E1331E">
      <w:pPr>
        <w:pStyle w:val="Przypis"/>
      </w:pPr>
      <w:r w:rsidRPr="007A22DC">
        <w:rPr>
          <w:rStyle w:val="PrzypisZnak"/>
          <w:vertAlign w:val="superscript"/>
        </w:rPr>
        <w:footnoteRef/>
      </w:r>
      <w:r w:rsidRPr="007A22DC">
        <w:rPr>
          <w:vertAlign w:val="superscript"/>
        </w:rPr>
        <w:t xml:space="preserve"> </w:t>
      </w:r>
      <w:hyperlink r:id="rId320" w:history="1">
        <w:r w:rsidRPr="007A22DC">
          <w:rPr>
            <w:rStyle w:val="Hipercze"/>
            <w:bdr w:val="none" w:sz="0" w:space="0" w:color="auto" w:frame="1"/>
          </w:rPr>
          <w:t>III.7060.130.2018</w:t>
        </w:r>
      </w:hyperlink>
      <w:r w:rsidRPr="007A22DC">
        <w:rPr>
          <w:rStyle w:val="Hipercze"/>
          <w:sz w:val="16"/>
        </w:rPr>
        <w:t xml:space="preserve"> </w:t>
      </w:r>
      <w:r w:rsidRPr="007A22DC">
        <w:t>z 30 marca 2018 r., odpowiedź MKiDN z 11 maja 2018 r.</w:t>
      </w:r>
    </w:p>
  </w:footnote>
  <w:footnote w:id="492">
    <w:p w14:paraId="02524159" w14:textId="77777777" w:rsidR="00803B7D" w:rsidRPr="007A22DC" w:rsidRDefault="00803B7D" w:rsidP="00E1331E">
      <w:pPr>
        <w:pStyle w:val="Przypis"/>
      </w:pPr>
      <w:r w:rsidRPr="007A22DC">
        <w:rPr>
          <w:rStyle w:val="Odwoanieprzypisudolnego"/>
        </w:rPr>
        <w:footnoteRef/>
      </w:r>
      <w:r w:rsidRPr="007A22DC">
        <w:t xml:space="preserve"> </w:t>
      </w:r>
      <w:hyperlink r:id="rId321" w:history="1">
        <w:r w:rsidRPr="007A22DC">
          <w:rPr>
            <w:rStyle w:val="Hipercze"/>
          </w:rPr>
          <w:t>V.510.38.2018</w:t>
        </w:r>
      </w:hyperlink>
      <w:r w:rsidRPr="007A22DC">
        <w:t xml:space="preserve"> z 9 września 2018 r., odpowiedź z 9 października 2018 r.</w:t>
      </w:r>
    </w:p>
  </w:footnote>
  <w:footnote w:id="493">
    <w:p w14:paraId="28A19A39" w14:textId="77777777" w:rsidR="00803B7D" w:rsidRPr="007A22DC" w:rsidRDefault="00803B7D" w:rsidP="00E1331E">
      <w:pPr>
        <w:pStyle w:val="Tekstprzypisudolnego"/>
      </w:pPr>
      <w:r w:rsidRPr="007A22DC">
        <w:rPr>
          <w:rStyle w:val="Odwoanieprzypisudolnego"/>
        </w:rPr>
        <w:footnoteRef/>
      </w:r>
      <w:r w:rsidRPr="007A22DC">
        <w:t xml:space="preserve"> Relacja: </w:t>
      </w:r>
      <w:hyperlink r:id="rId322" w:history="1">
        <w:r w:rsidRPr="007A22DC">
          <w:rPr>
            <w:rStyle w:val="Hipercze"/>
          </w:rPr>
          <w:t>https://www.rpo.gov.pl/pl/content/obnizenie-wieku-emerytalnego-sytuacja-seniorow-w-polsce-komisja-ekspertow-ds-osob-starszych</w:t>
        </w:r>
      </w:hyperlink>
    </w:p>
  </w:footnote>
  <w:footnote w:id="494">
    <w:p w14:paraId="5AA63A99" w14:textId="77777777" w:rsidR="00803B7D" w:rsidRPr="007A22DC" w:rsidRDefault="00803B7D" w:rsidP="00B42164">
      <w:pPr>
        <w:pStyle w:val="Przypis"/>
      </w:pPr>
      <w:r w:rsidRPr="007A22DC">
        <w:rPr>
          <w:rStyle w:val="Odwoanieprzypisudolnego"/>
        </w:rPr>
        <w:footnoteRef/>
      </w:r>
      <w:r w:rsidRPr="007A22DC">
        <w:t xml:space="preserve"> Ustawa z 29 sierpnia 1997 r. (Dz.U. z 2016 r. poz. 706, ze zm.)</w:t>
      </w:r>
    </w:p>
  </w:footnote>
  <w:footnote w:id="495">
    <w:p w14:paraId="3622F1C6" w14:textId="77777777" w:rsidR="00803B7D" w:rsidRPr="007A22DC" w:rsidRDefault="00803B7D" w:rsidP="00B42164">
      <w:pPr>
        <w:pStyle w:val="Przypis"/>
      </w:pPr>
      <w:r w:rsidRPr="007A22DC">
        <w:rPr>
          <w:rStyle w:val="Odwoanieprzypisudolnego"/>
        </w:rPr>
        <w:footnoteRef/>
      </w:r>
      <w:r w:rsidRPr="007A22DC">
        <w:t xml:space="preserve"> </w:t>
      </w:r>
      <w:hyperlink r:id="rId323" w:history="1">
        <w:r w:rsidRPr="007A22DC">
          <w:rPr>
            <w:rStyle w:val="Hipercze"/>
          </w:rPr>
          <w:t>III.7060.727.2016</w:t>
        </w:r>
      </w:hyperlink>
      <w:r w:rsidRPr="007A22DC">
        <w:t xml:space="preserve"> z 2 lutego 2018 r.</w:t>
      </w:r>
    </w:p>
  </w:footnote>
  <w:footnote w:id="496">
    <w:p w14:paraId="75A20BDF" w14:textId="77777777" w:rsidR="00803B7D" w:rsidRPr="007A22DC" w:rsidRDefault="00803B7D" w:rsidP="00B42164">
      <w:pPr>
        <w:pStyle w:val="Przypis"/>
      </w:pPr>
      <w:r w:rsidRPr="007A22DC">
        <w:rPr>
          <w:rStyle w:val="Odwoanieprzypisudolnego"/>
        </w:rPr>
        <w:footnoteRef/>
      </w:r>
      <w:r w:rsidRPr="007A22DC">
        <w:t xml:space="preserve"> </w:t>
      </w:r>
      <w:hyperlink r:id="rId324" w:history="1">
        <w:r w:rsidRPr="007A22DC">
          <w:rPr>
            <w:rStyle w:val="Hipercze"/>
          </w:rPr>
          <w:t>WZF.7066.1.2017</w:t>
        </w:r>
      </w:hyperlink>
      <w:r w:rsidRPr="007A22DC">
        <w:t xml:space="preserve"> z 6 czerwca 2018 r. do ZUS, odpowiedź z 25 czerwca 2018 r.</w:t>
      </w:r>
    </w:p>
  </w:footnote>
  <w:footnote w:id="497">
    <w:p w14:paraId="64AE6D22" w14:textId="77777777" w:rsidR="00803B7D" w:rsidRPr="007A22DC" w:rsidRDefault="00803B7D" w:rsidP="006241AD">
      <w:pPr>
        <w:pStyle w:val="Przypis"/>
      </w:pPr>
      <w:r w:rsidRPr="007A22DC">
        <w:rPr>
          <w:rStyle w:val="Odwoanieprzypisudolnego"/>
        </w:rPr>
        <w:footnoteRef/>
      </w:r>
      <w:r w:rsidRPr="007A22DC">
        <w:t>Informacja RPO za 2014 r., str. 268 (III.7051.13.2014)</w:t>
      </w:r>
    </w:p>
  </w:footnote>
  <w:footnote w:id="498">
    <w:p w14:paraId="129DACC3" w14:textId="77777777" w:rsidR="00803B7D" w:rsidRPr="007A22DC" w:rsidRDefault="00803B7D" w:rsidP="006241AD">
      <w:pPr>
        <w:pStyle w:val="Przypis"/>
      </w:pPr>
      <w:r w:rsidRPr="007A22DC">
        <w:rPr>
          <w:rStyle w:val="Odwoanieprzypisudolnego"/>
        </w:rPr>
        <w:footnoteRef/>
      </w:r>
      <w:hyperlink r:id="rId325" w:history="1">
        <w:r w:rsidRPr="007A22DC">
          <w:rPr>
            <w:rStyle w:val="Hipercze"/>
          </w:rPr>
          <w:t>WZF.7043.193.2017</w:t>
        </w:r>
      </w:hyperlink>
      <w:r w:rsidRPr="007A22DC">
        <w:t xml:space="preserve"> do MSWiA z 30 stycznia 2018 r., odpowiedź z 8 marca 2018 r.</w:t>
      </w:r>
    </w:p>
  </w:footnote>
  <w:footnote w:id="499">
    <w:p w14:paraId="45F96E89" w14:textId="77777777" w:rsidR="00803B7D" w:rsidRPr="007A22DC" w:rsidRDefault="00803B7D" w:rsidP="006241AD">
      <w:pPr>
        <w:pStyle w:val="Przypis"/>
      </w:pPr>
      <w:r w:rsidRPr="007A22DC">
        <w:rPr>
          <w:rStyle w:val="Odwoanieprzypisudolnego"/>
        </w:rPr>
        <w:footnoteRef/>
      </w:r>
      <w:r w:rsidRPr="007A22DC">
        <w:rPr>
          <w:vertAlign w:val="superscript"/>
        </w:rPr>
        <w:t xml:space="preserve"> </w:t>
      </w:r>
      <w:r w:rsidRPr="007A22DC">
        <w:rPr>
          <w:rStyle w:val="PrzypisZnak"/>
        </w:rPr>
        <w:t xml:space="preserve">Ustawa z dnia 26 stycznia 2018 r. - Przepisy wprowadzające ustawę o Straży Marszałkowskiej, </w:t>
      </w:r>
      <w:r w:rsidRPr="007A22DC">
        <w:t>Dz.U. 2018 poz. 730</w:t>
      </w:r>
    </w:p>
  </w:footnote>
  <w:footnote w:id="500">
    <w:p w14:paraId="0D12525E" w14:textId="77777777" w:rsidR="00803B7D" w:rsidRPr="007A22DC" w:rsidRDefault="00803B7D" w:rsidP="00E1331E">
      <w:pPr>
        <w:pStyle w:val="Przypis"/>
      </w:pPr>
      <w:r w:rsidRPr="007A22DC">
        <w:rPr>
          <w:rStyle w:val="Odwoanieprzypisudolnego"/>
        </w:rPr>
        <w:footnoteRef/>
      </w:r>
      <w:r w:rsidRPr="007A22DC">
        <w:t xml:space="preserve"> Ustawa z 16 grudnia 2016 r. (Dz.U. poz. 2270)</w:t>
      </w:r>
    </w:p>
  </w:footnote>
  <w:footnote w:id="501">
    <w:p w14:paraId="12EE9666" w14:textId="77777777" w:rsidR="00803B7D" w:rsidRPr="007A22DC" w:rsidRDefault="00803B7D" w:rsidP="00E1331E">
      <w:pPr>
        <w:pStyle w:val="Przypis"/>
      </w:pPr>
      <w:r w:rsidRPr="007A22DC">
        <w:rPr>
          <w:rStyle w:val="Odwoanieprzypisudolnego"/>
        </w:rPr>
        <w:footnoteRef/>
      </w:r>
      <w:r w:rsidRPr="007A22DC">
        <w:t xml:space="preserve"> </w:t>
      </w:r>
      <w:hyperlink r:id="rId326" w:history="1">
        <w:r w:rsidRPr="007A22DC">
          <w:rPr>
            <w:rStyle w:val="Hipercze"/>
          </w:rPr>
          <w:t>WZF.7060.1204.2017</w:t>
        </w:r>
      </w:hyperlink>
      <w:r w:rsidRPr="007A22DC">
        <w:t xml:space="preserve"> z 2 lutego 2018 r., odpowiedź z 5 kwietnia 2018 r.,</w:t>
      </w:r>
    </w:p>
    <w:p w14:paraId="660C8E03" w14:textId="77777777" w:rsidR="00803B7D" w:rsidRPr="007A22DC" w:rsidRDefault="00803B7D" w:rsidP="00E1331E">
      <w:pPr>
        <w:pStyle w:val="Przypis"/>
      </w:pPr>
      <w:r w:rsidRPr="007A22DC">
        <w:t xml:space="preserve">zobacz też: </w:t>
      </w:r>
      <w:hyperlink r:id="rId327" w:history="1">
        <w:r w:rsidRPr="007A22DC">
          <w:rPr>
            <w:rStyle w:val="Hipercze"/>
            <w:rFonts w:eastAsiaTheme="majorEastAsia"/>
          </w:rPr>
          <w:t>https://www.rpo.gov.pl/pl/kategoria-tematyczna/dezubekizacja</w:t>
        </w:r>
      </w:hyperlink>
    </w:p>
  </w:footnote>
  <w:footnote w:id="502">
    <w:p w14:paraId="0AB0E375" w14:textId="77777777" w:rsidR="00803B7D" w:rsidRPr="007A22DC" w:rsidRDefault="00803B7D" w:rsidP="00E1331E">
      <w:pPr>
        <w:pStyle w:val="Przypis"/>
      </w:pPr>
      <w:r w:rsidRPr="007A22DC">
        <w:rPr>
          <w:rStyle w:val="Odwoanieprzypisudolnego"/>
        </w:rPr>
        <w:footnoteRef/>
      </w:r>
      <w:r w:rsidRPr="007A22DC">
        <w:t xml:space="preserve"> w odpowiedzi na interpelację nr 14750</w:t>
      </w:r>
    </w:p>
  </w:footnote>
  <w:footnote w:id="503">
    <w:p w14:paraId="3F12B53A" w14:textId="77777777" w:rsidR="00803B7D" w:rsidRPr="007A22DC" w:rsidRDefault="00803B7D" w:rsidP="00E1331E">
      <w:pPr>
        <w:pStyle w:val="Przypis"/>
      </w:pPr>
      <w:r w:rsidRPr="007A22DC">
        <w:rPr>
          <w:rStyle w:val="Odwoanieprzypisudolnego"/>
          <w:rFonts w:eastAsiaTheme="minorHAnsi"/>
        </w:rPr>
        <w:footnoteRef/>
      </w:r>
      <w:r w:rsidRPr="007A22DC">
        <w:t xml:space="preserve"> </w:t>
      </w:r>
      <w:hyperlink r:id="rId328" w:history="1">
        <w:r w:rsidRPr="007A22DC">
          <w:rPr>
            <w:rStyle w:val="Hipercze"/>
          </w:rPr>
          <w:t>WZF.7060.134.2018</w:t>
        </w:r>
      </w:hyperlink>
      <w:r w:rsidRPr="007A22DC">
        <w:t xml:space="preserve"> z 8 maja 2018 r., odpowiedź z 30 sierpnia 2018 r.</w:t>
      </w:r>
    </w:p>
  </w:footnote>
  <w:footnote w:id="504">
    <w:p w14:paraId="4BBF54FA" w14:textId="77777777" w:rsidR="00803B7D" w:rsidRPr="007A22DC" w:rsidRDefault="00803B7D" w:rsidP="00E1331E">
      <w:pPr>
        <w:pStyle w:val="Przypis"/>
      </w:pPr>
      <w:r w:rsidRPr="007A22DC">
        <w:rPr>
          <w:rStyle w:val="Odwoanieprzypisudolnego"/>
        </w:rPr>
        <w:footnoteRef/>
      </w:r>
      <w:r w:rsidRPr="007A22DC">
        <w:t xml:space="preserve"> </w:t>
      </w:r>
      <w:r w:rsidRPr="007A22DC">
        <w:rPr>
          <w:iCs/>
          <w:lang w:eastAsia="en-US"/>
        </w:rPr>
        <w:t>Pismem z 21 grudnia 2018 r.</w:t>
      </w:r>
    </w:p>
  </w:footnote>
  <w:footnote w:id="505">
    <w:p w14:paraId="062BCBAC" w14:textId="77777777" w:rsidR="00803B7D" w:rsidRPr="007A22DC" w:rsidRDefault="00803B7D" w:rsidP="0014574C">
      <w:pPr>
        <w:pStyle w:val="Przypis"/>
      </w:pPr>
      <w:r w:rsidRPr="007A22DC">
        <w:rPr>
          <w:rStyle w:val="Odwoanieprzypisudolnego"/>
        </w:rPr>
        <w:footnoteRef/>
      </w:r>
      <w:r w:rsidRPr="007A22DC">
        <w:t xml:space="preserve"> </w:t>
      </w:r>
      <w:hyperlink r:id="rId329" w:history="1">
        <w:r w:rsidRPr="007A22DC">
          <w:rPr>
            <w:rStyle w:val="Hipercze"/>
          </w:rPr>
          <w:t>III.7065.71.2017</w:t>
        </w:r>
      </w:hyperlink>
      <w:r w:rsidRPr="007A22DC">
        <w:t xml:space="preserve"> z 23 lutego 2018 r., odpowiedź z 16 marca 2018 r. oraz z 13 grudnia 2018 r.</w:t>
      </w:r>
    </w:p>
  </w:footnote>
  <w:footnote w:id="506">
    <w:p w14:paraId="59313896" w14:textId="77777777" w:rsidR="00803B7D" w:rsidRPr="007A22DC" w:rsidRDefault="00803B7D" w:rsidP="0014574C">
      <w:pPr>
        <w:pStyle w:val="Przypis"/>
      </w:pPr>
      <w:r w:rsidRPr="007A22DC">
        <w:rPr>
          <w:rStyle w:val="Odwoanieprzypisudolnego"/>
        </w:rPr>
        <w:footnoteRef/>
      </w:r>
      <w:r w:rsidRPr="007A22DC">
        <w:t xml:space="preserve"> Ustawa z 12 marca 2004 r. (Dz.U. z 2017 r. poz. 1769, ze zm.).</w:t>
      </w:r>
    </w:p>
  </w:footnote>
  <w:footnote w:id="507">
    <w:p w14:paraId="5054A7AF" w14:textId="77777777" w:rsidR="00803B7D" w:rsidRPr="007A22DC" w:rsidRDefault="00803B7D" w:rsidP="0014574C">
      <w:pPr>
        <w:pStyle w:val="Przypis"/>
      </w:pPr>
      <w:r w:rsidRPr="007A22DC">
        <w:rPr>
          <w:rStyle w:val="Odwoanieprzypisudolnego"/>
        </w:rPr>
        <w:footnoteRef/>
      </w:r>
      <w:r w:rsidRPr="007A22DC">
        <w:t xml:space="preserve"> </w:t>
      </w:r>
      <w:hyperlink r:id="rId330" w:history="1">
        <w:r w:rsidRPr="007A22DC">
          <w:rPr>
            <w:rStyle w:val="Hipercze"/>
          </w:rPr>
          <w:t>III.7065.193.2018</w:t>
        </w:r>
      </w:hyperlink>
      <w:r w:rsidRPr="007A22DC">
        <w:t xml:space="preserve"> z 11 października 2018 r., odpowiedź z 20 grudnia 2018 r.</w:t>
      </w:r>
    </w:p>
  </w:footnote>
  <w:footnote w:id="508">
    <w:p w14:paraId="5AB1D291" w14:textId="77777777" w:rsidR="00803B7D" w:rsidRPr="007A22DC" w:rsidRDefault="00803B7D" w:rsidP="00960CB6">
      <w:pPr>
        <w:pStyle w:val="Przypis"/>
      </w:pPr>
      <w:r w:rsidRPr="007A22DC">
        <w:rPr>
          <w:rStyle w:val="PrzypisZnak"/>
          <w:vertAlign w:val="superscript"/>
        </w:rPr>
        <w:footnoteRef/>
      </w:r>
      <w:r w:rsidRPr="007A22DC">
        <w:t xml:space="preserve"> </w:t>
      </w:r>
      <w:hyperlink r:id="rId331" w:history="1">
        <w:r w:rsidRPr="007A22DC">
          <w:rPr>
            <w:rStyle w:val="Hipercze"/>
          </w:rPr>
          <w:t>III.7064.33.2018</w:t>
        </w:r>
      </w:hyperlink>
      <w:r w:rsidRPr="007A22DC">
        <w:rPr>
          <w:rStyle w:val="Hipercze"/>
        </w:rPr>
        <w:t xml:space="preserve"> </w:t>
      </w:r>
      <w:r w:rsidRPr="007A22DC">
        <w:rPr>
          <w:rStyle w:val="PrzypisZnak"/>
        </w:rPr>
        <w:t>z 19 marca 2018 r., odpowiedź z 19 kwietnia 2018 r., ponowne wystąpienie z 15 stycznia 2019 r.</w:t>
      </w:r>
    </w:p>
  </w:footnote>
  <w:footnote w:id="509">
    <w:p w14:paraId="72E7F763" w14:textId="77777777" w:rsidR="00803B7D" w:rsidRPr="007A22DC" w:rsidRDefault="00803B7D" w:rsidP="00960CB6">
      <w:pPr>
        <w:pStyle w:val="Przypis"/>
      </w:pPr>
      <w:r w:rsidRPr="007A22DC">
        <w:rPr>
          <w:rStyle w:val="Odwoanieprzypisudolnego"/>
        </w:rPr>
        <w:footnoteRef/>
      </w:r>
      <w:r w:rsidRPr="007A22DC">
        <w:t xml:space="preserve"> </w:t>
      </w:r>
      <w:hyperlink r:id="rId332" w:history="1">
        <w:r w:rsidRPr="007A22DC">
          <w:rPr>
            <w:rStyle w:val="Hipercze"/>
            <w:szCs w:val="18"/>
            <w:bdr w:val="none" w:sz="0" w:space="0" w:color="auto" w:frame="1"/>
          </w:rPr>
          <w:t>III.7064.206.2018</w:t>
        </w:r>
      </w:hyperlink>
    </w:p>
  </w:footnote>
  <w:footnote w:id="510">
    <w:p w14:paraId="480A94B0"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333" w:history="1">
        <w:r w:rsidRPr="007A22DC">
          <w:rPr>
            <w:rStyle w:val="Hipercze"/>
            <w:rFonts w:eastAsiaTheme="majorEastAsia"/>
          </w:rPr>
          <w:t>V.7014.24.2018</w:t>
        </w:r>
      </w:hyperlink>
      <w:r w:rsidRPr="007A22DC">
        <w:rPr>
          <w:rStyle w:val="Hipercze"/>
          <w:rFonts w:eastAsiaTheme="majorEastAsia"/>
        </w:rPr>
        <w:t xml:space="preserve"> </w:t>
      </w:r>
      <w:r w:rsidRPr="007A22DC">
        <w:t>z 26 lipca 2018 r., odpowiedź z 13 sierpnia 2018 r..</w:t>
      </w:r>
    </w:p>
  </w:footnote>
  <w:footnote w:id="511">
    <w:p w14:paraId="58F70A5D" w14:textId="77777777" w:rsidR="00803B7D" w:rsidRPr="007A22DC" w:rsidRDefault="00803B7D" w:rsidP="00DF16F8">
      <w:pPr>
        <w:pStyle w:val="Przypis"/>
      </w:pPr>
      <w:r w:rsidRPr="007A22DC">
        <w:rPr>
          <w:rStyle w:val="Odwoanieprzypisudolnego"/>
        </w:rPr>
        <w:footnoteRef/>
      </w:r>
      <w:r w:rsidRPr="007A22DC">
        <w:t xml:space="preserve"> </w:t>
      </w:r>
      <w:r w:rsidRPr="007A22DC">
        <w:rPr>
          <w:shd w:val="clear" w:color="auto" w:fill="FFFFFF"/>
        </w:rPr>
        <w:t>Wyrok z 7 października 2015 r., sygn. akt K 12/14</w:t>
      </w:r>
    </w:p>
  </w:footnote>
  <w:footnote w:id="512">
    <w:p w14:paraId="1855773E" w14:textId="77777777" w:rsidR="00803B7D" w:rsidRPr="007A22DC" w:rsidRDefault="00803B7D" w:rsidP="00DF16F8">
      <w:pPr>
        <w:pStyle w:val="Przypis"/>
      </w:pPr>
      <w:r w:rsidRPr="007A22DC">
        <w:rPr>
          <w:rStyle w:val="Odwoanieprzypisudolnego"/>
          <w:rFonts w:eastAsiaTheme="majorEastAsia"/>
        </w:rPr>
        <w:footnoteRef/>
      </w:r>
      <w:r w:rsidRPr="007A22DC">
        <w:t xml:space="preserve"> </w:t>
      </w:r>
      <w:hyperlink r:id="rId334" w:anchor="overlay-context=" w:history="1">
        <w:r w:rsidRPr="007A22DC">
          <w:rPr>
            <w:rStyle w:val="Hipercze"/>
            <w:rFonts w:eastAsiaTheme="majorEastAsia"/>
          </w:rPr>
          <w:t>VII.812.5.2014</w:t>
        </w:r>
      </w:hyperlink>
      <w:r w:rsidRPr="007A22DC">
        <w:t xml:space="preserve"> z 23 października 2018 r., odpowiedź z 28 listopada 2018 r., stanowisko RPP z 15 listopada 2018 r., </w:t>
      </w:r>
      <w:hyperlink r:id="rId335" w:history="1">
        <w:r w:rsidRPr="007A22DC">
          <w:rPr>
            <w:rStyle w:val="Hipercze"/>
          </w:rPr>
          <w:t>VII.5600.13.2018</w:t>
        </w:r>
      </w:hyperlink>
      <w:r w:rsidRPr="007A22DC">
        <w:t xml:space="preserve"> z 27 grudnia 2018 r..</w:t>
      </w:r>
    </w:p>
  </w:footnote>
  <w:footnote w:id="513">
    <w:p w14:paraId="21CC36C1" w14:textId="77777777" w:rsidR="00803B7D" w:rsidRPr="007A22DC" w:rsidRDefault="00803B7D" w:rsidP="0014574C">
      <w:pPr>
        <w:pStyle w:val="Przypis"/>
      </w:pPr>
      <w:r w:rsidRPr="007A22DC">
        <w:rPr>
          <w:rStyle w:val="Odwoanieprzypisudolnego"/>
        </w:rPr>
        <w:footnoteRef/>
      </w:r>
      <w:r w:rsidRPr="007A22DC">
        <w:t xml:space="preserve"> </w:t>
      </w:r>
      <w:hyperlink r:id="rId336" w:history="1">
        <w:r w:rsidRPr="007A22DC">
          <w:rPr>
            <w:rStyle w:val="Hipercze"/>
            <w:shd w:val="clear" w:color="auto" w:fill="FFFFFF"/>
          </w:rPr>
          <w:t>VII.5600.13.2018</w:t>
        </w:r>
      </w:hyperlink>
      <w:r w:rsidRPr="007A22DC">
        <w:rPr>
          <w:shd w:val="clear" w:color="auto" w:fill="FFFFFF"/>
        </w:rPr>
        <w:t xml:space="preserve"> z 27 grudnia 2018 r..</w:t>
      </w:r>
    </w:p>
  </w:footnote>
  <w:footnote w:id="514">
    <w:p w14:paraId="325D4A8E"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337" w:history="1">
        <w:r w:rsidRPr="007A22DC">
          <w:rPr>
            <w:rStyle w:val="Hipercze"/>
            <w:rFonts w:eastAsiaTheme="majorEastAsia"/>
          </w:rPr>
          <w:t>VII.5001.2.2016</w:t>
        </w:r>
      </w:hyperlink>
      <w:r w:rsidRPr="007A22DC">
        <w:t xml:space="preserve"> z 21 marca 2018 r. </w:t>
      </w:r>
    </w:p>
  </w:footnote>
  <w:footnote w:id="515">
    <w:p w14:paraId="4001E527" w14:textId="77777777" w:rsidR="00803B7D" w:rsidRPr="007A22DC" w:rsidRDefault="00803B7D" w:rsidP="0014574C">
      <w:pPr>
        <w:pStyle w:val="Przypis"/>
      </w:pPr>
      <w:r w:rsidRPr="007A22DC">
        <w:rPr>
          <w:rStyle w:val="Odwoanieprzypisudolnego"/>
          <w:rFonts w:eastAsiaTheme="majorEastAsia"/>
        </w:rPr>
        <w:footnoteRef/>
      </w:r>
      <w:r w:rsidRPr="007A22DC">
        <w:t xml:space="preserve"> Ustawa z 7 stycznia 1993 r. (Dz.U. Nr 17, poz. 78, ze zm.).</w:t>
      </w:r>
    </w:p>
  </w:footnote>
  <w:footnote w:id="516">
    <w:p w14:paraId="23C0F285" w14:textId="77777777" w:rsidR="00803B7D" w:rsidRPr="007A22DC" w:rsidRDefault="00803B7D" w:rsidP="0014574C">
      <w:pPr>
        <w:pStyle w:val="Przypis"/>
      </w:pPr>
      <w:r w:rsidRPr="007A22DC">
        <w:rPr>
          <w:rStyle w:val="Odwoanieprzypisudolnego"/>
          <w:rFonts w:eastAsiaTheme="majorEastAsia"/>
        </w:rPr>
        <w:footnoteRef/>
      </w:r>
      <w:r w:rsidRPr="007A22DC">
        <w:t xml:space="preserve"> Ustawa z 7 lipca 2017 r. (Dz.U. z 2017 r. poz. 1458).</w:t>
      </w:r>
    </w:p>
  </w:footnote>
  <w:footnote w:id="517">
    <w:p w14:paraId="3C249AA1"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338" w:history="1">
        <w:r w:rsidRPr="007A22DC">
          <w:rPr>
            <w:rStyle w:val="Hipercze"/>
            <w:rFonts w:eastAsiaTheme="majorEastAsia"/>
          </w:rPr>
          <w:t>V.7010.80.2015</w:t>
        </w:r>
      </w:hyperlink>
      <w:r w:rsidRPr="007A22DC">
        <w:t xml:space="preserve"> z 6 września 2018 r., odpowiedź z 16 października 2018 r..</w:t>
      </w:r>
    </w:p>
  </w:footnote>
  <w:footnote w:id="518">
    <w:p w14:paraId="634CE2CF" w14:textId="77777777" w:rsidR="00803B7D" w:rsidRPr="007A22DC" w:rsidRDefault="00803B7D" w:rsidP="00825D00">
      <w:pPr>
        <w:pStyle w:val="Przypis"/>
      </w:pPr>
      <w:r w:rsidRPr="007A22DC">
        <w:rPr>
          <w:rStyle w:val="Odwoanieprzypisudolnego"/>
          <w:rFonts w:eastAsiaTheme="majorEastAsia"/>
        </w:rPr>
        <w:footnoteRef/>
      </w:r>
      <w:r w:rsidRPr="007A22DC">
        <w:t xml:space="preserve"> V.7010.15.2018, </w:t>
      </w:r>
      <w:hyperlink r:id="rId339" w:history="1">
        <w:r w:rsidRPr="007A22DC">
          <w:rPr>
            <w:rStyle w:val="Hipercze"/>
            <w:rFonts w:eastAsiaTheme="majorEastAsia"/>
          </w:rPr>
          <w:t>w tym pismo procesowe RPO</w:t>
        </w:r>
      </w:hyperlink>
      <w:r w:rsidRPr="007A22DC">
        <w:rPr>
          <w:rStyle w:val="Hipercze"/>
          <w:rFonts w:eastAsiaTheme="majorEastAsia"/>
        </w:rPr>
        <w:t xml:space="preserve">, </w:t>
      </w:r>
      <w:r w:rsidRPr="007A22DC">
        <w:t>wyrok WSA w Warszawie (VI SA/Wa 2114/17), wyrok NSA  sygn. akt II GSK 844/18</w:t>
      </w:r>
    </w:p>
  </w:footnote>
  <w:footnote w:id="519">
    <w:p w14:paraId="17A6149D" w14:textId="77777777" w:rsidR="00803B7D" w:rsidRPr="007A22DC" w:rsidRDefault="00803B7D" w:rsidP="00243BA0">
      <w:pPr>
        <w:pStyle w:val="Przypis"/>
      </w:pPr>
      <w:r w:rsidRPr="007A22DC">
        <w:rPr>
          <w:rStyle w:val="Odwoanieprzypisudolnego"/>
        </w:rPr>
        <w:footnoteRef/>
      </w:r>
      <w:r w:rsidRPr="007A22DC">
        <w:t xml:space="preserve"> </w:t>
      </w:r>
      <w:hyperlink r:id="rId340" w:history="1">
        <w:r w:rsidRPr="007A22DC">
          <w:rPr>
            <w:rStyle w:val="Hipercze"/>
            <w:rFonts w:eastAsiaTheme="majorEastAsia"/>
          </w:rPr>
          <w:t>https://www.rpo.gov.pl/pl/content/kobieta-otrzyma-lek-po-wyroku-sadu-minister-zdrowia-uwzglednil-poglad-rpo</w:t>
        </w:r>
      </w:hyperlink>
    </w:p>
  </w:footnote>
  <w:footnote w:id="520">
    <w:p w14:paraId="597196B6" w14:textId="77777777" w:rsidR="00803B7D" w:rsidRPr="007A22DC" w:rsidRDefault="00803B7D" w:rsidP="003B7156">
      <w:pPr>
        <w:pStyle w:val="Przypis"/>
      </w:pPr>
      <w:r w:rsidRPr="007A22DC">
        <w:rPr>
          <w:rStyle w:val="Odwoanieprzypisudolnego"/>
        </w:rPr>
        <w:footnoteRef/>
      </w:r>
      <w:r w:rsidRPr="007A22DC">
        <w:t xml:space="preserve"> WZF.7061.4.2017 z 9 sierpnia 2017 r., odpowiedź z 14 lutego 2018 r.</w:t>
      </w:r>
    </w:p>
  </w:footnote>
  <w:footnote w:id="521">
    <w:p w14:paraId="75AFAF7D"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341" w:history="1">
        <w:r w:rsidRPr="007A22DC">
          <w:rPr>
            <w:rStyle w:val="Hipercze"/>
            <w:rFonts w:eastAsiaTheme="majorEastAsia"/>
          </w:rPr>
          <w:t>V.7010.17.2016</w:t>
        </w:r>
      </w:hyperlink>
      <w:r w:rsidRPr="007A22DC">
        <w:t xml:space="preserve"> z 5 marca 2018 r., odpowiedź z 5 kwietnia 2018 r..</w:t>
      </w:r>
    </w:p>
  </w:footnote>
  <w:footnote w:id="522">
    <w:p w14:paraId="6FEC3369" w14:textId="77777777" w:rsidR="00803B7D" w:rsidRPr="007A22DC" w:rsidRDefault="00803B7D" w:rsidP="0014574C">
      <w:pPr>
        <w:pStyle w:val="Przypis"/>
      </w:pPr>
      <w:r w:rsidRPr="007A22DC">
        <w:rPr>
          <w:rStyle w:val="Odwoanieprzypisudolnego"/>
          <w:rFonts w:eastAsiaTheme="majorEastAsia"/>
        </w:rPr>
        <w:footnoteRef/>
      </w:r>
      <w:r w:rsidRPr="007A22DC">
        <w:t xml:space="preserve"> Ustawa z 27 sierpnia 2004 r. (Dz.U. z 2017 r. poz. 1938, ze zm.)</w:t>
      </w:r>
    </w:p>
  </w:footnote>
  <w:footnote w:id="523">
    <w:p w14:paraId="537D3DA7" w14:textId="77777777" w:rsidR="00803B7D" w:rsidRPr="007A22DC" w:rsidRDefault="00803B7D" w:rsidP="00825D00">
      <w:pPr>
        <w:pStyle w:val="Przypis"/>
      </w:pPr>
      <w:r w:rsidRPr="007A22DC">
        <w:rPr>
          <w:rStyle w:val="Odwoanieprzypisudolnego"/>
          <w:rFonts w:eastAsiaTheme="majorEastAsia"/>
        </w:rPr>
        <w:footnoteRef/>
      </w:r>
      <w:r w:rsidRPr="007A22DC">
        <w:t xml:space="preserve"> Rozporządzenie Ministra Zdrowia z 5 stycznia 2012 r. w sprawie sposobu kierowania i kwalifikowania pacjentów do zakładów lecznictwa uzdrowiskowego</w:t>
      </w:r>
    </w:p>
  </w:footnote>
  <w:footnote w:id="524">
    <w:p w14:paraId="06B308E9" w14:textId="77777777" w:rsidR="00803B7D" w:rsidRPr="007A22DC" w:rsidRDefault="00803B7D" w:rsidP="00825D00">
      <w:pPr>
        <w:pStyle w:val="Przypis"/>
      </w:pPr>
      <w:r w:rsidRPr="007A22DC">
        <w:rPr>
          <w:rStyle w:val="Odwoanieprzypisudolnego"/>
          <w:rFonts w:eastAsiaTheme="majorEastAsia"/>
        </w:rPr>
        <w:footnoteRef/>
      </w:r>
      <w:r w:rsidRPr="007A22DC">
        <w:t xml:space="preserve"> </w:t>
      </w:r>
      <w:hyperlink r:id="rId342" w:history="1">
        <w:r w:rsidRPr="007A22DC">
          <w:rPr>
            <w:rStyle w:val="Hipercze"/>
            <w:rFonts w:eastAsiaTheme="majorEastAsia"/>
          </w:rPr>
          <w:t>V.7011.58.2016</w:t>
        </w:r>
      </w:hyperlink>
      <w:r w:rsidRPr="007A22DC">
        <w:t xml:space="preserve"> z 5 marca 2018 r., odpowiedź </w:t>
      </w:r>
      <w:hyperlink r:id="rId343" w:history="1">
        <w:r w:rsidRPr="007A22DC">
          <w:rPr>
            <w:rStyle w:val="Hipercze"/>
            <w:rFonts w:eastAsiaTheme="majorEastAsia"/>
          </w:rPr>
          <w:t>z 21 czerwca 2018 r.</w:t>
        </w:r>
      </w:hyperlink>
    </w:p>
  </w:footnote>
  <w:footnote w:id="525">
    <w:p w14:paraId="1D6992EF"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344" w:history="1">
        <w:r w:rsidRPr="007A22DC">
          <w:rPr>
            <w:rStyle w:val="Hipercze"/>
            <w:rFonts w:eastAsiaTheme="majorEastAsia"/>
          </w:rPr>
          <w:t>V.7013.40.2018</w:t>
        </w:r>
      </w:hyperlink>
      <w:r w:rsidRPr="007A22DC">
        <w:t xml:space="preserve"> z 10 sierpnia 2018 r., odpowiedź z 21 grudnia 2018 r..</w:t>
      </w:r>
    </w:p>
  </w:footnote>
  <w:footnote w:id="526">
    <w:p w14:paraId="7636AED1" w14:textId="77777777" w:rsidR="00803B7D" w:rsidRPr="007A22DC" w:rsidRDefault="00803B7D" w:rsidP="000B38CF">
      <w:pPr>
        <w:pStyle w:val="Przypis"/>
      </w:pPr>
      <w:r w:rsidRPr="007A22DC">
        <w:rPr>
          <w:rStyle w:val="Odwoanieprzypisudolnego"/>
          <w:rFonts w:eastAsiaTheme="majorEastAsia"/>
        </w:rPr>
        <w:footnoteRef/>
      </w:r>
      <w:r w:rsidRPr="007A22DC">
        <w:t xml:space="preserve"> Postanowienie z 17 października 2018 r., sygn. akt U 2/17</w:t>
      </w:r>
    </w:p>
  </w:footnote>
  <w:footnote w:id="527">
    <w:p w14:paraId="2ADD7985"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345" w:history="1">
        <w:r w:rsidRPr="007A22DC">
          <w:rPr>
            <w:rStyle w:val="Hipercze"/>
            <w:rFonts w:eastAsiaTheme="majorEastAsia"/>
          </w:rPr>
          <w:t>III.502.4.2018</w:t>
        </w:r>
      </w:hyperlink>
      <w:r w:rsidRPr="007A22DC">
        <w:t xml:space="preserve"> z 6 listopada 2018 r., odpowiedź z 10 grudnia 2018 r., kolejne wystąpienie do Ministra Zdrowia z dnia 31 stycznia 2019 r., odpowiedź z dnia 18 lutego 2019 r..</w:t>
      </w:r>
    </w:p>
  </w:footnote>
  <w:footnote w:id="528">
    <w:p w14:paraId="0D8BA4E2" w14:textId="77777777" w:rsidR="00803B7D" w:rsidRPr="007A22DC" w:rsidRDefault="00803B7D" w:rsidP="008923D0">
      <w:pPr>
        <w:pStyle w:val="Przypis"/>
      </w:pPr>
      <w:r w:rsidRPr="007A22DC">
        <w:rPr>
          <w:rStyle w:val="Odwoanieprzypisudolnego"/>
        </w:rPr>
        <w:footnoteRef/>
      </w:r>
      <w:r w:rsidRPr="007A22DC">
        <w:t xml:space="preserve"> Ustawa z dnia 15 kwietnia 2011 r. o działalności leczniczej, Dz.U. 2011 Nr 112 poz. 654</w:t>
      </w:r>
    </w:p>
  </w:footnote>
  <w:footnote w:id="529">
    <w:p w14:paraId="4141231B"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346" w:history="1">
        <w:r w:rsidRPr="007A22DC">
          <w:rPr>
            <w:rStyle w:val="Hipercze"/>
            <w:rFonts w:eastAsiaTheme="majorEastAsia"/>
          </w:rPr>
          <w:t>V.7010.68.2016 z 8 maja 2018</w:t>
        </w:r>
      </w:hyperlink>
      <w:r w:rsidRPr="007A22DC">
        <w:t xml:space="preserve"> r., odpowiedź 1 sierpnia 2018 r. , kolejne wystąpienie z </w:t>
      </w:r>
      <w:hyperlink r:id="rId347" w:history="1">
        <w:r w:rsidRPr="007A22DC">
          <w:rPr>
            <w:rStyle w:val="Hipercze"/>
            <w:rFonts w:eastAsiaTheme="majorEastAsia"/>
          </w:rPr>
          <w:t>6 września 2018 r.</w:t>
        </w:r>
      </w:hyperlink>
      <w:r w:rsidRPr="007A22DC">
        <w:rPr>
          <w:rStyle w:val="Hipercze"/>
          <w:rFonts w:eastAsiaTheme="majorEastAsia"/>
        </w:rPr>
        <w:t xml:space="preserve">, </w:t>
      </w:r>
      <w:r w:rsidRPr="007A22DC">
        <w:t>odpowiedź 28 grudnia 2018 r..</w:t>
      </w:r>
    </w:p>
  </w:footnote>
  <w:footnote w:id="530">
    <w:p w14:paraId="7AEC94B4"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348" w:history="1">
        <w:r w:rsidRPr="007A22DC">
          <w:rPr>
            <w:rStyle w:val="Hipercze"/>
            <w:rFonts w:eastAsiaTheme="majorEastAsia"/>
          </w:rPr>
          <w:t>V.7016.84.2018</w:t>
        </w:r>
      </w:hyperlink>
      <w:r w:rsidRPr="007A22DC">
        <w:t xml:space="preserve"> z 21 grudnia 2018 r.</w:t>
      </w:r>
    </w:p>
  </w:footnote>
  <w:footnote w:id="531">
    <w:p w14:paraId="6111ABAF" w14:textId="77777777" w:rsidR="00803B7D" w:rsidRPr="007A22DC" w:rsidRDefault="00803B7D" w:rsidP="00960CB6">
      <w:pPr>
        <w:pStyle w:val="Przypis"/>
      </w:pPr>
      <w:r w:rsidRPr="007A22DC">
        <w:rPr>
          <w:rStyle w:val="Odwoanieprzypisudolnego"/>
          <w:rFonts w:eastAsiaTheme="majorEastAsia"/>
        </w:rPr>
        <w:footnoteRef/>
      </w:r>
      <w:r w:rsidRPr="007A22DC">
        <w:t xml:space="preserve"> </w:t>
      </w:r>
      <w:hyperlink r:id="rId349" w:history="1">
        <w:r w:rsidRPr="007A22DC">
          <w:rPr>
            <w:rStyle w:val="Hipercze"/>
            <w:rFonts w:eastAsiaTheme="majorEastAsia"/>
          </w:rPr>
          <w:t>BPW.574.3.2014</w:t>
        </w:r>
      </w:hyperlink>
      <w:r w:rsidRPr="007A22DC">
        <w:t xml:space="preserve"> z 5 listopada 2018 r., odpowiedź z 27 listopada 2018 r.</w:t>
      </w:r>
    </w:p>
  </w:footnote>
  <w:footnote w:id="532">
    <w:p w14:paraId="7DF440CC" w14:textId="77777777" w:rsidR="00803B7D" w:rsidRPr="007A22DC" w:rsidRDefault="00803B7D" w:rsidP="0014574C">
      <w:pPr>
        <w:pStyle w:val="Przypis"/>
      </w:pPr>
      <w:r w:rsidRPr="007A22DC">
        <w:rPr>
          <w:rStyle w:val="Odwoanieprzypisudolnego"/>
          <w:rFonts w:eastAsiaTheme="majorEastAsia"/>
        </w:rPr>
        <w:footnoteRef/>
      </w:r>
      <w:r w:rsidRPr="007A22DC">
        <w:t xml:space="preserve"> Rozporządzenie z 20 kwietnia 2005 r. (Dz.U. z 2018 r. poz. 1928)</w:t>
      </w:r>
    </w:p>
  </w:footnote>
  <w:footnote w:id="533">
    <w:p w14:paraId="1E66C55A" w14:textId="77777777" w:rsidR="00803B7D" w:rsidRPr="007A22DC" w:rsidRDefault="00803B7D" w:rsidP="00A437CC">
      <w:pPr>
        <w:pStyle w:val="Przypis"/>
      </w:pPr>
      <w:r w:rsidRPr="007A22DC">
        <w:rPr>
          <w:rStyle w:val="Odwoanieprzypisudolnego"/>
        </w:rPr>
        <w:footnoteRef/>
      </w:r>
      <w:r w:rsidRPr="007A22DC">
        <w:t xml:space="preserve"> </w:t>
      </w:r>
      <w:hyperlink r:id="rId350" w:history="1">
        <w:r w:rsidRPr="007A22DC">
          <w:rPr>
            <w:rStyle w:val="Hipercze"/>
            <w:rFonts w:eastAsiaTheme="majorEastAsia"/>
          </w:rPr>
          <w:t>https://bip.kprm.gov.pl/kpr/form/r10976102924,Zalozenia-projektu-ustawy-o-zdrowiu-dzieci-i-mlodziezy-w-wieku-szkolnym.html</w:t>
        </w:r>
      </w:hyperlink>
    </w:p>
  </w:footnote>
  <w:footnote w:id="534">
    <w:p w14:paraId="67ADCF41" w14:textId="77777777" w:rsidR="00803B7D" w:rsidRPr="007A22DC" w:rsidRDefault="00803B7D" w:rsidP="00A437CC">
      <w:pPr>
        <w:pStyle w:val="Przypis"/>
      </w:pPr>
      <w:r w:rsidRPr="007A22DC">
        <w:rPr>
          <w:rStyle w:val="Odwoanieprzypisudolnego"/>
          <w:rFonts w:eastAsiaTheme="majorEastAsia"/>
        </w:rPr>
        <w:footnoteRef/>
      </w:r>
      <w:r w:rsidRPr="007A22DC">
        <w:t xml:space="preserve"> </w:t>
      </w:r>
      <w:hyperlink r:id="rId351" w:history="1">
        <w:r w:rsidRPr="007A22DC">
          <w:rPr>
            <w:rStyle w:val="Hipercze"/>
            <w:rFonts w:eastAsiaTheme="majorEastAsia"/>
          </w:rPr>
          <w:t>VII.7037.118.2017</w:t>
        </w:r>
      </w:hyperlink>
      <w:r w:rsidRPr="007A22DC">
        <w:t xml:space="preserve"> z 29 stycznia 2018 r., odpowiedź z 19 lutego 2018 r., kolejna odpowiedź z 17 kwietnia 2019 r. zapowiada podjęcie prac przez rząd</w:t>
      </w:r>
    </w:p>
  </w:footnote>
  <w:footnote w:id="535">
    <w:p w14:paraId="11F4EE59"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352" w:history="1">
        <w:r w:rsidRPr="007A22DC">
          <w:rPr>
            <w:rStyle w:val="Hipercze"/>
            <w:rFonts w:eastAsiaTheme="majorEastAsia"/>
          </w:rPr>
          <w:t>V.7012.7.2018</w:t>
        </w:r>
      </w:hyperlink>
      <w:r w:rsidRPr="007A22DC">
        <w:t xml:space="preserve"> z 29 marca 2018 r., odpowiedź z 17 kwietnia 2018 r..</w:t>
      </w:r>
    </w:p>
  </w:footnote>
  <w:footnote w:id="536">
    <w:p w14:paraId="7C6877DD"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353" w:history="1">
        <w:r w:rsidRPr="007A22DC">
          <w:rPr>
            <w:rStyle w:val="Hipercze"/>
            <w:rFonts w:eastAsiaTheme="majorEastAsia"/>
          </w:rPr>
          <w:t>VII.5001.2.2016</w:t>
        </w:r>
      </w:hyperlink>
      <w:r w:rsidRPr="007A22DC">
        <w:t xml:space="preserve"> z 21 marca 2018 r..</w:t>
      </w:r>
    </w:p>
  </w:footnote>
  <w:footnote w:id="537">
    <w:p w14:paraId="4ECB4794" w14:textId="77777777" w:rsidR="00803B7D" w:rsidRPr="007A22DC" w:rsidRDefault="00803B7D">
      <w:pPr>
        <w:pStyle w:val="Tekstprzypisudolnego"/>
      </w:pPr>
      <w:r w:rsidRPr="007A22DC">
        <w:rPr>
          <w:rStyle w:val="Odwoanieprzypisudolnego"/>
        </w:rPr>
        <w:footnoteRef/>
      </w:r>
      <w:r w:rsidRPr="007A22DC">
        <w:t xml:space="preserve"> </w:t>
      </w:r>
      <w:r w:rsidRPr="007A22DC">
        <w:rPr>
          <w:rStyle w:val="PrzypisZnak"/>
        </w:rPr>
        <w:t>O problemie tzw. tabletki „dzień po” – patrz Informacja rocznej za 2017, s. 358</w:t>
      </w:r>
    </w:p>
  </w:footnote>
  <w:footnote w:id="538">
    <w:p w14:paraId="6785E0FD" w14:textId="77777777" w:rsidR="00803B7D" w:rsidRPr="007A22DC" w:rsidRDefault="00803B7D" w:rsidP="00001642">
      <w:pPr>
        <w:pStyle w:val="Przypis"/>
      </w:pPr>
      <w:r w:rsidRPr="007A22DC">
        <w:rPr>
          <w:rStyle w:val="Odwoanieprzypisudolnego"/>
        </w:rPr>
        <w:footnoteRef/>
      </w:r>
      <w:r w:rsidRPr="007A22DC">
        <w:t xml:space="preserve"> skarga 57375/08 </w:t>
      </w:r>
      <w:r w:rsidRPr="007A22DC">
        <w:rPr>
          <w:rStyle w:val="Uwydatnienie"/>
          <w:i w:val="0"/>
          <w:iCs w:val="0"/>
        </w:rPr>
        <w:t xml:space="preserve">P. i S. przeciwko Polsce </w:t>
      </w:r>
      <w:r w:rsidRPr="007A22DC">
        <w:t xml:space="preserve">oraz skarga 27617/04 </w:t>
      </w:r>
      <w:r w:rsidRPr="007A22DC">
        <w:rPr>
          <w:rStyle w:val="Uwydatnienie"/>
          <w:i w:val="0"/>
          <w:iCs w:val="0"/>
        </w:rPr>
        <w:t xml:space="preserve">R.R. przeciwko Polsce </w:t>
      </w:r>
    </w:p>
  </w:footnote>
  <w:footnote w:id="539">
    <w:p w14:paraId="16153D27" w14:textId="77777777" w:rsidR="00803B7D" w:rsidRPr="007A22DC" w:rsidRDefault="00803B7D" w:rsidP="0014574C">
      <w:pPr>
        <w:pStyle w:val="Przypis"/>
      </w:pPr>
      <w:r w:rsidRPr="007A22DC">
        <w:rPr>
          <w:rStyle w:val="Odwoanieprzypisudolnego"/>
        </w:rPr>
        <w:footnoteRef/>
      </w:r>
      <w:r w:rsidRPr="007A22DC">
        <w:t xml:space="preserve"> </w:t>
      </w:r>
      <w:hyperlink r:id="rId354" w:history="1">
        <w:r w:rsidRPr="007A22DC">
          <w:rPr>
            <w:rStyle w:val="Hipercze"/>
          </w:rPr>
          <w:t>VII.812.5.2014</w:t>
        </w:r>
      </w:hyperlink>
      <w:r w:rsidRPr="007A22DC">
        <w:t>11 października 2018, odp. MZ z 28 listopada 2018 r., odp. RPP z 15 listopada 2018 r.</w:t>
      </w:r>
    </w:p>
  </w:footnote>
  <w:footnote w:id="540">
    <w:p w14:paraId="47D7C295" w14:textId="77777777" w:rsidR="00803B7D" w:rsidRPr="007A22DC" w:rsidRDefault="00803B7D" w:rsidP="000F4429">
      <w:pPr>
        <w:pStyle w:val="Tekstprzypisudolnego"/>
        <w:ind w:left="0" w:firstLine="0"/>
      </w:pPr>
      <w:r w:rsidRPr="007A22DC">
        <w:rPr>
          <w:rStyle w:val="Odwoanieprzypisudolnego"/>
        </w:rPr>
        <w:footnoteRef/>
      </w:r>
      <w:hyperlink r:id="rId355" w:history="1">
        <w:r w:rsidRPr="007A22DC">
          <w:rPr>
            <w:rStyle w:val="Hipercze"/>
            <w:rFonts w:eastAsiaTheme="majorEastAsia"/>
          </w:rPr>
          <w:t>https://www.rpo.gov.pl/pl/content/konferencja-Alzheimer-w-rodzinie</w:t>
        </w:r>
      </w:hyperlink>
    </w:p>
  </w:footnote>
  <w:footnote w:id="541">
    <w:p w14:paraId="3B50978F" w14:textId="77777777" w:rsidR="00803B7D" w:rsidRPr="007A22DC" w:rsidRDefault="00803B7D" w:rsidP="0014574C">
      <w:pPr>
        <w:pStyle w:val="Przypis"/>
      </w:pPr>
      <w:r w:rsidRPr="007A22DC">
        <w:rPr>
          <w:rStyle w:val="Odwoanieprzypisudolnego"/>
          <w:rFonts w:eastAsiaTheme="majorEastAsia"/>
        </w:rPr>
        <w:footnoteRef/>
      </w:r>
      <w:r w:rsidRPr="007A22DC">
        <w:t xml:space="preserve"> Relacja: </w:t>
      </w:r>
      <w:hyperlink r:id="rId356" w:history="1">
        <w:r w:rsidRPr="007A22DC">
          <w:rPr>
            <w:rStyle w:val="Hipercze"/>
            <w:rFonts w:eastAsiaTheme="majorEastAsia"/>
          </w:rPr>
          <w:t>https://www.rpo.gov.pl/pl/content/komisja-ekspertów-ds-osób-starszych-apeluje-o-zmianę-podejścia-do-geriatrii-w-polsce</w:t>
        </w:r>
      </w:hyperlink>
    </w:p>
  </w:footnote>
  <w:footnote w:id="542">
    <w:p w14:paraId="1DD32317"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357" w:history="1">
        <w:r w:rsidRPr="007A22DC">
          <w:rPr>
            <w:rStyle w:val="Hipercze"/>
            <w:rFonts w:eastAsiaTheme="majorEastAsia"/>
            <w:shd w:val="clear" w:color="auto" w:fill="FFFFFF"/>
          </w:rPr>
          <w:t>V.7010.86.2018</w:t>
        </w:r>
      </w:hyperlink>
      <w:r w:rsidRPr="007A22DC">
        <w:rPr>
          <w:shd w:val="clear" w:color="auto" w:fill="FFFFFF"/>
        </w:rPr>
        <w:t xml:space="preserve"> z 14 grudnia 2018 r., </w:t>
      </w:r>
      <w:r w:rsidRPr="007A22DC">
        <w:t>odpowiedź GIS z 9 stycznia 2019 r., odpowiedź MEN z 10 stycznia 2019 r..</w:t>
      </w:r>
    </w:p>
  </w:footnote>
  <w:footnote w:id="543">
    <w:p w14:paraId="47F5F08A" w14:textId="77777777" w:rsidR="00803B7D" w:rsidRPr="007A22DC" w:rsidRDefault="00803B7D" w:rsidP="0014574C">
      <w:pPr>
        <w:pStyle w:val="Przypis"/>
      </w:pPr>
      <w:r w:rsidRPr="007A22DC">
        <w:rPr>
          <w:rStyle w:val="Odwoanieprzypisudolnego"/>
          <w:rFonts w:eastAsiaTheme="majorEastAsia"/>
        </w:rPr>
        <w:footnoteRef/>
      </w:r>
      <w:r w:rsidRPr="007A22DC">
        <w:t xml:space="preserve"> Ustawa z 7 czerwca 2001 r. (Dz.U. z 2017 r. poz. 2294).</w:t>
      </w:r>
    </w:p>
  </w:footnote>
  <w:footnote w:id="544">
    <w:p w14:paraId="4119A70A" w14:textId="77777777" w:rsidR="00803B7D" w:rsidRPr="007A22DC" w:rsidRDefault="00803B7D">
      <w:pPr>
        <w:pStyle w:val="Tekstprzypisudolnego"/>
      </w:pPr>
      <w:r w:rsidRPr="007A22DC">
        <w:rPr>
          <w:rStyle w:val="Odwoanieprzypisudolnego"/>
          <w:sz w:val="18"/>
        </w:rPr>
        <w:footnoteRef/>
      </w:r>
      <w:r w:rsidRPr="007A22DC">
        <w:rPr>
          <w:sz w:val="18"/>
        </w:rPr>
        <w:t xml:space="preserve"> </w:t>
      </w:r>
      <w:hyperlink r:id="rId358" w:history="1">
        <w:r w:rsidRPr="007A22DC">
          <w:rPr>
            <w:rStyle w:val="Hipercze"/>
            <w:rFonts w:eastAsiaTheme="majorEastAsia"/>
            <w:sz w:val="18"/>
          </w:rPr>
          <w:t>https://www.nik.gov.pl/aktualnosci/nik-o-utrzymaniu-i-eksploatacji-sieci-wodociagowych-w-miastach.html</w:t>
        </w:r>
      </w:hyperlink>
    </w:p>
  </w:footnote>
  <w:footnote w:id="545">
    <w:p w14:paraId="1029FA5C"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359" w:history="1">
        <w:r w:rsidRPr="007A22DC">
          <w:rPr>
            <w:rStyle w:val="Hipercze"/>
            <w:rFonts w:eastAsiaTheme="majorEastAsia"/>
          </w:rPr>
          <w:t>IV.7215.91.2018</w:t>
        </w:r>
      </w:hyperlink>
      <w:r w:rsidRPr="007A22DC">
        <w:t xml:space="preserve"> z 10 października 2018 r., </w:t>
      </w:r>
      <w:hyperlink r:id="rId360" w:history="1">
        <w:r w:rsidRPr="007A22DC">
          <w:rPr>
            <w:rStyle w:val="Hipercze"/>
            <w:rFonts w:eastAsiaTheme="majorEastAsia"/>
          </w:rPr>
          <w:t>odpowiedź z 24 października 2018 r.</w:t>
        </w:r>
      </w:hyperlink>
    </w:p>
  </w:footnote>
  <w:footnote w:id="546">
    <w:p w14:paraId="35765917" w14:textId="77777777" w:rsidR="00803B7D" w:rsidRPr="007A22DC" w:rsidRDefault="00803B7D" w:rsidP="00041A7B">
      <w:pPr>
        <w:pStyle w:val="Przypis"/>
      </w:pPr>
      <w:r w:rsidRPr="007A22DC">
        <w:rPr>
          <w:rStyle w:val="Odwoanieprzypisudolnego"/>
        </w:rPr>
        <w:footnoteRef/>
      </w:r>
      <w:r w:rsidRPr="007A22DC">
        <w:t xml:space="preserve"> </w:t>
      </w:r>
      <w:hyperlink r:id="rId361" w:history="1">
        <w:r w:rsidRPr="007A22DC">
          <w:rPr>
            <w:rStyle w:val="Hipercze"/>
            <w:rFonts w:eastAsiaTheme="majorEastAsia"/>
          </w:rPr>
          <w:t>https://www.rpo.gov.pl/pl/content/21-postulatow-Ozn-rok-po</w:t>
        </w:r>
      </w:hyperlink>
    </w:p>
  </w:footnote>
  <w:footnote w:id="547">
    <w:p w14:paraId="18448DA4" w14:textId="77777777" w:rsidR="00803B7D" w:rsidRPr="007A22DC" w:rsidRDefault="00803B7D" w:rsidP="00F2096D">
      <w:pPr>
        <w:pStyle w:val="Przypis"/>
      </w:pPr>
      <w:r w:rsidRPr="007A22DC">
        <w:rPr>
          <w:rStyle w:val="Odwoanieprzypisudolnego"/>
        </w:rPr>
        <w:footnoteRef/>
      </w:r>
      <w:r w:rsidRPr="007A22DC">
        <w:t xml:space="preserve"> </w:t>
      </w:r>
      <w:r w:rsidRPr="007A22DC">
        <w:rPr>
          <w:bdr w:val="none" w:sz="0" w:space="0" w:color="auto" w:frame="1"/>
        </w:rPr>
        <w:t xml:space="preserve">sygn. K 38/13, por. skargi przed Europejskim Trybunałem Praw Człowieka </w:t>
      </w:r>
      <w:r w:rsidRPr="007A22DC">
        <w:t>Łuczkiewicz i inni p. Polsce (nr 1464/14, 1752/14, 1855/14, 2000/14, 2027/14, 2057/14, 2062/14, 2172/14, 2180/14, 2403/14, 2598/14, 2738/14, 3140/14, 3539/14, 4329/14, 4435/14, 4944/14, 6730/14, 7211/14, 7353/14, 7967/14, 10274/14).</w:t>
      </w:r>
      <w:r w:rsidRPr="007A22DC">
        <w:rPr>
          <w:rFonts w:ascii="Tahoma" w:hAnsi="Tahoma" w:cs="Tahoma"/>
          <w:color w:val="5C5D5F"/>
          <w:shd w:val="clear" w:color="auto" w:fill="F0F0F0"/>
        </w:rPr>
        <w:t xml:space="preserve"> </w:t>
      </w:r>
      <w:r w:rsidRPr="007A22DC">
        <w:rPr>
          <w:rStyle w:val="PrzypisZnak"/>
        </w:rPr>
        <w:t>Dotyczy grupy opiekunów osób z niepełnosprawnościami, którzy w 2013 r. na skutek zmiany przepisów zostali pozbawieni prawa do świadczenia pielęgnacyjnego. ETPCz  ma możliwość rozwinięcia standardów dotyczących ochrony praw osób z niepełnosprawnościami i ich rodzin, w kontekście dostępu do świadczeń społecznych.</w:t>
      </w:r>
      <w:r w:rsidRPr="007A22DC">
        <w:rPr>
          <w:rFonts w:ascii="Tahoma" w:hAnsi="Tahoma" w:cs="Tahoma"/>
          <w:color w:val="5C5D5F"/>
          <w:sz w:val="20"/>
          <w:shd w:val="clear" w:color="auto" w:fill="F0F0F0"/>
        </w:rPr>
        <w:t xml:space="preserve"> </w:t>
      </w:r>
    </w:p>
  </w:footnote>
  <w:footnote w:id="548">
    <w:p w14:paraId="18FA8E98" w14:textId="77777777" w:rsidR="00803B7D" w:rsidRPr="007A22DC" w:rsidRDefault="00803B7D" w:rsidP="00F2096D">
      <w:pPr>
        <w:pStyle w:val="Przypis"/>
      </w:pPr>
      <w:r w:rsidRPr="007A22DC">
        <w:rPr>
          <w:rStyle w:val="Odwoanieprzypisudolnego"/>
        </w:rPr>
        <w:footnoteRef/>
      </w:r>
      <w:r w:rsidRPr="007A22DC">
        <w:t xml:space="preserve"> Już w 2019 r. Wojewoda Pomorski zażądał od władz Sopotu, które zastosowały Konstytucję bezpośrednio, zwrotu ponad 800 tys. zł z odsetkami świadczeń wypłaconych opiekunom zgodnie ze stanowiskiem TK, a wbrew niekonstytucyjnej ustawie. Więcej o tym przy art. 32 ust 1 Konstytucji.</w:t>
      </w:r>
    </w:p>
  </w:footnote>
  <w:footnote w:id="549">
    <w:p w14:paraId="5F3D11AB" w14:textId="77777777" w:rsidR="00803B7D" w:rsidRPr="007A22DC" w:rsidRDefault="00803B7D" w:rsidP="0014574C">
      <w:pPr>
        <w:pStyle w:val="Przypis"/>
      </w:pPr>
      <w:r w:rsidRPr="007A22DC">
        <w:rPr>
          <w:rStyle w:val="Odwoanieprzypisudolnego"/>
        </w:rPr>
        <w:footnoteRef/>
      </w:r>
      <w:r w:rsidRPr="007A22DC">
        <w:t xml:space="preserve">Tekst wystąpienia </w:t>
      </w:r>
      <w:hyperlink r:id="rId362" w:history="1">
        <w:r w:rsidRPr="007A22DC">
          <w:rPr>
            <w:rStyle w:val="Hipercze"/>
            <w:rFonts w:eastAsiaTheme="majorEastAsia"/>
          </w:rPr>
          <w:t>https://www.rpo.gov.pl/pl/content/iv-kongres-osob-z-niepelnosprawnosciami-RPO-sprawy-OZN-musza-trafic-do-debaty-publicznej</w:t>
        </w:r>
      </w:hyperlink>
    </w:p>
  </w:footnote>
  <w:footnote w:id="550">
    <w:p w14:paraId="44DBACA8" w14:textId="77777777" w:rsidR="00803B7D" w:rsidRPr="007A22DC" w:rsidRDefault="00803B7D" w:rsidP="00830F49">
      <w:pPr>
        <w:pStyle w:val="Przypis"/>
      </w:pPr>
      <w:r w:rsidRPr="007A22DC">
        <w:rPr>
          <w:rStyle w:val="Odwoanieprzypisudolnego"/>
        </w:rPr>
        <w:footnoteRef/>
      </w:r>
      <w:r w:rsidRPr="007A22DC">
        <w:t xml:space="preserve"> </w:t>
      </w:r>
      <w:hyperlink r:id="rId363" w:history="1">
        <w:r w:rsidRPr="007A22DC">
          <w:rPr>
            <w:rStyle w:val="Hipercze"/>
          </w:rPr>
          <w:t>XI.811.2.2018, z 30 maja 2018 r.</w:t>
        </w:r>
      </w:hyperlink>
    </w:p>
  </w:footnote>
  <w:footnote w:id="551">
    <w:p w14:paraId="3A7B7336" w14:textId="77777777" w:rsidR="00803B7D" w:rsidRPr="007A22DC" w:rsidRDefault="00803B7D" w:rsidP="0014574C">
      <w:pPr>
        <w:pStyle w:val="Przypis"/>
      </w:pPr>
      <w:r w:rsidRPr="007A22DC">
        <w:rPr>
          <w:rStyle w:val="Odwoanieprzypisudolnego"/>
        </w:rPr>
        <w:footnoteRef/>
      </w:r>
      <w:r w:rsidRPr="007A22DC">
        <w:t xml:space="preserve">Tekst oświadczenia </w:t>
      </w:r>
      <w:hyperlink r:id="rId364" w:history="1">
        <w:r w:rsidRPr="007A22DC">
          <w:rPr>
            <w:rStyle w:val="Hipercze"/>
            <w:rFonts w:eastAsiaTheme="majorEastAsia"/>
          </w:rPr>
          <w:t>https://www.rpo.gov.pl/pl/content/oswiadczenie-rpo-w-zwiazku-z-zawieszeniem-protestu-osob-z-niepelnosprawnosciami</w:t>
        </w:r>
      </w:hyperlink>
    </w:p>
  </w:footnote>
  <w:footnote w:id="552">
    <w:p w14:paraId="2CFFB1B7" w14:textId="77777777" w:rsidR="00803B7D" w:rsidRPr="007A22DC" w:rsidRDefault="00803B7D" w:rsidP="00732AD3">
      <w:pPr>
        <w:pStyle w:val="Przypis"/>
      </w:pPr>
      <w:r w:rsidRPr="007A22DC">
        <w:rPr>
          <w:rStyle w:val="PrzypisZnak"/>
          <w:vertAlign w:val="superscript"/>
        </w:rPr>
        <w:footnoteRef/>
      </w:r>
      <w:r w:rsidRPr="007A22DC">
        <w:rPr>
          <w:rStyle w:val="PrzypisZnak"/>
          <w:vertAlign w:val="superscript"/>
        </w:rPr>
        <w:t xml:space="preserve"> </w:t>
      </w:r>
      <w:r w:rsidRPr="007A22DC">
        <w:rPr>
          <w:color w:val="18223E"/>
          <w:szCs w:val="18"/>
        </w:rPr>
        <w:t>Nagranie z sesji jest dost</w:t>
      </w:r>
      <w:r w:rsidRPr="007A22DC">
        <w:rPr>
          <w:rFonts w:hint="eastAsia"/>
          <w:color w:val="18223E"/>
          <w:szCs w:val="18"/>
        </w:rPr>
        <w:t>ę</w:t>
      </w:r>
      <w:r w:rsidRPr="007A22DC">
        <w:rPr>
          <w:color w:val="18223E"/>
          <w:szCs w:val="18"/>
        </w:rPr>
        <w:t>pne pod adresem:</w:t>
      </w:r>
      <w:r w:rsidRPr="007A22DC">
        <w:rPr>
          <w:rFonts w:hint="eastAsia"/>
          <w:color w:val="18223E"/>
          <w:szCs w:val="18"/>
        </w:rPr>
        <w:t> </w:t>
      </w:r>
      <w:hyperlink r:id="rId365" w:history="1">
        <w:r w:rsidRPr="007A22DC">
          <w:rPr>
            <w:rStyle w:val="Hipercze"/>
            <w:rFonts w:eastAsiaTheme="minorHAnsi"/>
            <w:szCs w:val="18"/>
            <w:bdr w:val="none" w:sz="0" w:space="0" w:color="auto" w:frame="1"/>
          </w:rPr>
          <w:t>http://webtv.un.org/meetings-events/</w:t>
        </w:r>
      </w:hyperlink>
    </w:p>
  </w:footnote>
  <w:footnote w:id="553">
    <w:p w14:paraId="68517DD0" w14:textId="77777777" w:rsidR="00803B7D" w:rsidRPr="007A22DC" w:rsidRDefault="00803B7D" w:rsidP="00041A7B">
      <w:pPr>
        <w:pStyle w:val="Przypis"/>
      </w:pPr>
      <w:r w:rsidRPr="007A22DC">
        <w:rPr>
          <w:rStyle w:val="Odwoanieprzypisudolnego"/>
        </w:rPr>
        <w:footnoteRef/>
      </w:r>
      <w:r w:rsidRPr="007A22DC">
        <w:t xml:space="preserve"> Konwencja o prawach osób niepełnosprawnych, sporządzona w Nowym Jorku dnia 13 grudnia 2006 r., Dz.U. z 2012 r. poz. 1169</w:t>
      </w:r>
    </w:p>
  </w:footnote>
  <w:footnote w:id="554">
    <w:p w14:paraId="19548795" w14:textId="77777777" w:rsidR="00803B7D" w:rsidRPr="007A22DC" w:rsidRDefault="00803B7D" w:rsidP="00732AD3">
      <w:pPr>
        <w:pStyle w:val="Przypis"/>
      </w:pPr>
      <w:r w:rsidRPr="007A22DC">
        <w:rPr>
          <w:rStyle w:val="Odwoanieprzypisudolnego"/>
        </w:rPr>
        <w:footnoteRef/>
      </w:r>
      <w:r w:rsidRPr="007A22DC">
        <w:t xml:space="preserve">Więcej na </w:t>
      </w:r>
      <w:hyperlink r:id="rId366" w:history="1">
        <w:r w:rsidRPr="007A22DC">
          <w:rPr>
            <w:rStyle w:val="Hipercze"/>
            <w:rFonts w:eastAsiaTheme="majorEastAsia"/>
          </w:rPr>
          <w:t>https://www.rpo.gov.pl/pl/content/komitet-onz-zakonczyl-ocene-wykonania-przez-polske-konwencji-praw-osob-z-niepelnosprawnosciami</w:t>
        </w:r>
      </w:hyperlink>
    </w:p>
  </w:footnote>
  <w:footnote w:id="555">
    <w:p w14:paraId="5AE20BA3" w14:textId="77777777" w:rsidR="00803B7D" w:rsidRPr="007A22DC" w:rsidRDefault="00803B7D" w:rsidP="0014574C">
      <w:pPr>
        <w:pStyle w:val="Przypis"/>
      </w:pPr>
      <w:r w:rsidRPr="007A22DC">
        <w:rPr>
          <w:rStyle w:val="Odwoanieprzypisudolnego"/>
        </w:rPr>
        <w:footnoteRef/>
      </w:r>
      <w:r w:rsidRPr="007A22DC">
        <w:t xml:space="preserve"> Cały dokument na </w:t>
      </w:r>
      <w:hyperlink r:id="rId367" w:history="1">
        <w:r w:rsidRPr="007A22DC">
          <w:rPr>
            <w:rStyle w:val="Hipercze"/>
            <w:rFonts w:eastAsiaTheme="majorEastAsia"/>
          </w:rPr>
          <w:t>www.rpo.gov.pl/pl/content/rekomendacje-rpo-dla-komitetu-onz-ktory-oceni-wykonanie-przez-polske-konwencji-o-prawach-osob-z-niepelnosprawnosciami</w:t>
        </w:r>
      </w:hyperlink>
    </w:p>
  </w:footnote>
  <w:footnote w:id="556">
    <w:p w14:paraId="2CE54202" w14:textId="77777777" w:rsidR="00803B7D" w:rsidRPr="007A22DC" w:rsidRDefault="00803B7D" w:rsidP="0014574C">
      <w:pPr>
        <w:pStyle w:val="Przypis"/>
      </w:pPr>
      <w:r w:rsidRPr="007A22DC">
        <w:rPr>
          <w:rStyle w:val="Odwoanieprzypisudolnego"/>
        </w:rPr>
        <w:footnoteRef/>
      </w:r>
      <w:r w:rsidRPr="007A22DC">
        <w:t xml:space="preserve"> Patrz też – </w:t>
      </w:r>
      <w:hyperlink r:id="rId368" w:history="1">
        <w:r w:rsidRPr="007A22DC">
          <w:rPr>
            <w:rStyle w:val="Hipercze"/>
          </w:rPr>
          <w:t>wystąpienia RPO dotyczące reformy orzecznictwa o niepełnosprawności, XI.7061.10.2018</w:t>
        </w:r>
      </w:hyperlink>
    </w:p>
  </w:footnote>
  <w:footnote w:id="557">
    <w:p w14:paraId="72221FBD" w14:textId="77777777" w:rsidR="00803B7D" w:rsidRPr="007A22DC" w:rsidRDefault="00803B7D" w:rsidP="003D6077">
      <w:pPr>
        <w:pStyle w:val="Przypis"/>
      </w:pPr>
      <w:r w:rsidRPr="007A22DC">
        <w:rPr>
          <w:rStyle w:val="Odwoanieprzypisudolnego"/>
        </w:rPr>
        <w:footnoteRef/>
      </w:r>
      <w:r w:rsidRPr="007A22DC">
        <w:t xml:space="preserve"> </w:t>
      </w:r>
      <w:hyperlink r:id="rId369" w:history="1">
        <w:r w:rsidRPr="007A22DC">
          <w:rPr>
            <w:rStyle w:val="Hipercze"/>
          </w:rPr>
          <w:t>XI.516.1.2018</w:t>
        </w:r>
      </w:hyperlink>
      <w:r w:rsidRPr="007A22DC">
        <w:t xml:space="preserve"> z 3 grudnia 2018 r., odpowiedź z 18.01.2019 r.</w:t>
      </w:r>
    </w:p>
  </w:footnote>
  <w:footnote w:id="558">
    <w:p w14:paraId="22288DC6" w14:textId="77777777" w:rsidR="00803B7D" w:rsidRPr="007A22DC" w:rsidRDefault="00803B7D" w:rsidP="008916B3">
      <w:pPr>
        <w:pStyle w:val="Przypis"/>
      </w:pPr>
      <w:r w:rsidRPr="007A22DC">
        <w:rPr>
          <w:rStyle w:val="Odwoanieprzypisudolnego"/>
        </w:rPr>
        <w:footnoteRef/>
      </w:r>
      <w:r w:rsidRPr="007A22DC">
        <w:t xml:space="preserve">Zobacz też: wystąpienie RPO do komisji senackiej </w:t>
      </w:r>
      <w:hyperlink r:id="rId370" w:history="1">
        <w:r w:rsidRPr="007A22DC">
          <w:rPr>
            <w:rStyle w:val="Hipercze"/>
          </w:rPr>
          <w:t>IV.7024.26.2014</w:t>
        </w:r>
      </w:hyperlink>
      <w:r w:rsidRPr="007A22DC">
        <w:rPr>
          <w:rStyle w:val="PrzypisZnak"/>
        </w:rPr>
        <w:t xml:space="preserve"> z 20 lipca 2018 r. do Ministra Sprawiedliwości</w:t>
      </w:r>
      <w:r w:rsidRPr="007A22DC">
        <w:t xml:space="preserve">, </w:t>
      </w:r>
      <w:hyperlink r:id="rId371" w:history="1">
        <w:r w:rsidRPr="007A22DC">
          <w:rPr>
            <w:rStyle w:val="Hipercze"/>
          </w:rPr>
          <w:t>XI.411.1.2017</w:t>
        </w:r>
      </w:hyperlink>
      <w:r w:rsidRPr="007A22DC">
        <w:rPr>
          <w:rStyle w:val="PrzypisZnak"/>
        </w:rPr>
        <w:t xml:space="preserve"> z 13 kwietnia 2017 r , odpowiedź MS z 13 lutego 2018 r.</w:t>
      </w:r>
    </w:p>
  </w:footnote>
  <w:footnote w:id="559">
    <w:p w14:paraId="08D39F01" w14:textId="77777777" w:rsidR="00803B7D" w:rsidRPr="007A22DC" w:rsidRDefault="00803B7D" w:rsidP="008916B3">
      <w:pPr>
        <w:pStyle w:val="Przypis"/>
      </w:pPr>
      <w:r w:rsidRPr="007A22DC">
        <w:rPr>
          <w:rStyle w:val="PrzypisZnak"/>
          <w:vertAlign w:val="superscript"/>
        </w:rPr>
        <w:footnoteRef/>
      </w:r>
      <w:r w:rsidRPr="007A22DC">
        <w:rPr>
          <w:vertAlign w:val="superscript"/>
        </w:rPr>
        <w:t xml:space="preserve"> </w:t>
      </w:r>
      <w:r w:rsidRPr="007A22DC">
        <w:t xml:space="preserve">Zobacz też: </w:t>
      </w:r>
      <w:hyperlink r:id="rId372" w:history="1">
        <w:r w:rsidRPr="007A22DC">
          <w:rPr>
            <w:rStyle w:val="Hipercze"/>
          </w:rPr>
          <w:t>wystąpienie do Ministra Rodziny, Pracy i Polityki Społecznej, z 10 sierpnia 2018 r.,</w:t>
        </w:r>
      </w:hyperlink>
      <w:r w:rsidRPr="007A22DC">
        <w:rPr>
          <w:rStyle w:val="PrzypisZnak"/>
        </w:rPr>
        <w:t xml:space="preserve"> XI.503.4.2016</w:t>
      </w:r>
    </w:p>
  </w:footnote>
  <w:footnote w:id="560">
    <w:p w14:paraId="39879413" w14:textId="77777777" w:rsidR="00803B7D" w:rsidRPr="007A22DC" w:rsidRDefault="00803B7D" w:rsidP="0014574C">
      <w:pPr>
        <w:pStyle w:val="Przypis"/>
        <w:rPr>
          <w:rStyle w:val="PrzypisZnak"/>
        </w:rPr>
      </w:pPr>
      <w:r w:rsidRPr="007A22DC">
        <w:rPr>
          <w:rStyle w:val="PrzypisZnak"/>
          <w:vertAlign w:val="superscript"/>
        </w:rPr>
        <w:footnoteRef/>
      </w:r>
      <w:r w:rsidRPr="007A22DC">
        <w:rPr>
          <w:vertAlign w:val="superscript"/>
        </w:rPr>
        <w:t xml:space="preserve"> </w:t>
      </w:r>
      <w:r w:rsidRPr="007A22DC">
        <w:rPr>
          <w:rStyle w:val="PrzypisZnak"/>
        </w:rPr>
        <w:t xml:space="preserve">Zobacz też: Wystąpienie do Ministra Inwestycji i Rozwoju, </w:t>
      </w:r>
      <w:hyperlink r:id="rId373" w:history="1">
        <w:r w:rsidRPr="007A22DC">
          <w:rPr>
            <w:rStyle w:val="Hipercze"/>
          </w:rPr>
          <w:t>BPK.7215.11.2017 z 7 maja 2018 r</w:t>
        </w:r>
      </w:hyperlink>
      <w:r w:rsidRPr="007A22DC">
        <w:rPr>
          <w:rStyle w:val="PrzypisZnak"/>
        </w:rPr>
        <w:t>.</w:t>
      </w:r>
    </w:p>
    <w:p w14:paraId="214864E9" w14:textId="77777777" w:rsidR="00803B7D" w:rsidRPr="007A22DC" w:rsidRDefault="00803B7D" w:rsidP="0014574C">
      <w:pPr>
        <w:pStyle w:val="Przypis"/>
      </w:pPr>
      <w:r w:rsidRPr="007A22DC">
        <w:rPr>
          <w:rStyle w:val="PrzypisZnak"/>
        </w:rPr>
        <w:t>W odpowiedzi z 29 czerwca 2018 r. Minister podkreślił, że zadania te realizuje rządowy kompleksowy program Dostępność Plus. Zakłada liczne działania zmierzające do poprawy dostępności przestrzeni publicznej – w tym mieszkań, instytucji publicznych i otaczającej nas przestrzeni. Wszystkie nowe inwestycje budowlane będą spełniać warunki dostępności i będą projektowane tak, aby każdy mógł z łatwością z nich korzystać. Natomiast dla istniejących budynków pojawią się nowe możliwości ich modernizacji. Jednym z działań planowanych w programie jest przygotowanie standardów dostępności.</w:t>
      </w:r>
    </w:p>
  </w:footnote>
  <w:footnote w:id="561">
    <w:p w14:paraId="71540779" w14:textId="77777777" w:rsidR="00803B7D" w:rsidRPr="007A22DC" w:rsidRDefault="00803B7D" w:rsidP="0014574C">
      <w:pPr>
        <w:pStyle w:val="Przypis"/>
      </w:pPr>
      <w:r w:rsidRPr="007A22DC">
        <w:rPr>
          <w:rStyle w:val="Odwoanieprzypisudolnego"/>
        </w:rPr>
        <w:footnoteRef/>
      </w:r>
      <w:r w:rsidRPr="007A22DC">
        <w:t xml:space="preserve"> </w:t>
      </w:r>
      <w:hyperlink r:id="rId374" w:history="1">
        <w:r w:rsidRPr="007A22DC">
          <w:rPr>
            <w:rStyle w:val="Hipercze"/>
          </w:rPr>
          <w:t>BPK.815.8.2017</w:t>
        </w:r>
      </w:hyperlink>
    </w:p>
  </w:footnote>
  <w:footnote w:id="562">
    <w:p w14:paraId="3FAF9C13" w14:textId="77777777" w:rsidR="00803B7D" w:rsidRPr="007A22DC" w:rsidRDefault="00803B7D">
      <w:pPr>
        <w:pStyle w:val="Tekstprzypisudolnego"/>
        <w:rPr>
          <w:rStyle w:val="PrzypisZnak"/>
        </w:rPr>
      </w:pPr>
      <w:r w:rsidRPr="007A22DC">
        <w:rPr>
          <w:rStyle w:val="Odwoanieprzypisudolnego"/>
        </w:rPr>
        <w:footnoteRef/>
      </w:r>
      <w:r w:rsidRPr="007A22DC">
        <w:t xml:space="preserve"> </w:t>
      </w:r>
      <w:r w:rsidRPr="007A22DC">
        <w:rPr>
          <w:rStyle w:val="PrzypisZnak"/>
        </w:rPr>
        <w:t xml:space="preserve">Zobacz: </w:t>
      </w:r>
      <w:hyperlink r:id="rId375" w:history="1">
        <w:r w:rsidRPr="007A22DC">
          <w:rPr>
            <w:rStyle w:val="Hipercze"/>
            <w:rFonts w:eastAsiaTheme="majorEastAsia"/>
            <w:sz w:val="18"/>
          </w:rPr>
          <w:t>https://www.rpo.gov.pl/pl/content/zmiany-w-ustawie-o-ochronie-zdrowia-psychicznego</w:t>
        </w:r>
      </w:hyperlink>
    </w:p>
  </w:footnote>
  <w:footnote w:id="563">
    <w:p w14:paraId="4F036D21" w14:textId="77777777" w:rsidR="00803B7D" w:rsidRPr="007A22DC" w:rsidRDefault="00803B7D" w:rsidP="008916B3">
      <w:pPr>
        <w:pStyle w:val="Przypis"/>
        <w:rPr>
          <w:rStyle w:val="PrzypisZnak"/>
        </w:rPr>
      </w:pPr>
      <w:r w:rsidRPr="007A22DC">
        <w:rPr>
          <w:rStyle w:val="Odwoanieprzypisudolnego"/>
        </w:rPr>
        <w:footnoteRef/>
      </w:r>
      <w:r w:rsidRPr="007A22DC">
        <w:t xml:space="preserve"> </w:t>
      </w:r>
      <w:r w:rsidRPr="007A22DC">
        <w:rPr>
          <w:rStyle w:val="PrzypisZnak"/>
        </w:rPr>
        <w:t>Ustawa z 19 sierpnia 2011 r. (Dz.U. z 2017 r. poz. 1824).</w:t>
      </w:r>
    </w:p>
  </w:footnote>
  <w:footnote w:id="564">
    <w:p w14:paraId="517E57DD" w14:textId="77777777" w:rsidR="00803B7D" w:rsidRPr="007A22DC" w:rsidRDefault="00803B7D" w:rsidP="008916B3">
      <w:pPr>
        <w:pStyle w:val="Przypis"/>
      </w:pPr>
      <w:r w:rsidRPr="007A22DC">
        <w:rPr>
          <w:rStyle w:val="Odwoanieprzypisudolnego"/>
        </w:rPr>
        <w:footnoteRef/>
      </w:r>
      <w:r w:rsidRPr="007A22DC">
        <w:t xml:space="preserve"> Wystąpienie do prezesa ZUS, </w:t>
      </w:r>
      <w:hyperlink r:id="rId376" w:history="1">
        <w:r w:rsidRPr="007A22DC">
          <w:rPr>
            <w:rStyle w:val="Hipercze"/>
          </w:rPr>
          <w:t>XI.815.25.2018 z 22 października 2018 r.</w:t>
        </w:r>
      </w:hyperlink>
    </w:p>
    <w:p w14:paraId="76FDA10F" w14:textId="77777777" w:rsidR="00803B7D" w:rsidRPr="007A22DC" w:rsidRDefault="00803B7D" w:rsidP="00732AD3">
      <w:pPr>
        <w:pStyle w:val="Przypis"/>
      </w:pPr>
      <w:r w:rsidRPr="007A22DC">
        <w:t>W odpowiedzi 19 listopada 2018 r. Prezes wskazał, że w salach obsługi klientów osoby niesłyszące mogą skorzystać z tłumaczenia (on-line) na polski język migowy (PJM). Tłumaczą konsultanci Centrum Obsługi Telefonicznej, którzy posługują się PJM w stopniu zaawansowanym i są jednocześnie wyspecjalizowani w obsłudze spraw poszczególnych grup klientów. Obecnie usługa ta jest dostępna w 43 oddziałach ZUS.</w:t>
      </w:r>
    </w:p>
  </w:footnote>
  <w:footnote w:id="565">
    <w:p w14:paraId="7B18AC3D" w14:textId="77777777" w:rsidR="00803B7D" w:rsidRPr="007A22DC" w:rsidRDefault="00803B7D" w:rsidP="004E28AA">
      <w:pPr>
        <w:pStyle w:val="Przypis"/>
        <w:rPr>
          <w:rStyle w:val="PrzypisZnak"/>
          <w:rFonts w:eastAsiaTheme="majorEastAsia"/>
        </w:rPr>
      </w:pPr>
      <w:r w:rsidRPr="007A22DC">
        <w:rPr>
          <w:rStyle w:val="Odwoanieprzypisudolnego"/>
        </w:rPr>
        <w:footnoteRef/>
      </w:r>
      <w:r w:rsidRPr="007A22DC">
        <w:t xml:space="preserve"> </w:t>
      </w:r>
      <w:bookmarkStart w:id="574" w:name="_Hlk10544215"/>
      <w:r w:rsidRPr="007A22DC">
        <w:rPr>
          <w:rStyle w:val="PrzypisZnak"/>
          <w:rFonts w:eastAsiaTheme="majorEastAsia"/>
        </w:rPr>
        <w:t>K 13/15</w:t>
      </w:r>
      <w:bookmarkEnd w:id="574"/>
      <w:r w:rsidRPr="007A22DC">
        <w:rPr>
          <w:rStyle w:val="PrzypisZnak"/>
          <w:rFonts w:eastAsiaTheme="majorEastAsia"/>
        </w:rPr>
        <w:t xml:space="preserve">; także </w:t>
      </w:r>
      <w:r w:rsidRPr="007A22DC">
        <w:t>Sąd Najwyższy w grudniu 2017 uznał, że małżonek częściowo ubezwłasnowolniony po tym, jak zawarł małżeństwo, nie ma zdolności procesowej w postępowaniu rozwodowym, sygn. akt III CZP 66/17</w:t>
      </w:r>
    </w:p>
    <w:p w14:paraId="7C94A0A9" w14:textId="77777777" w:rsidR="00803B7D" w:rsidRPr="007A22DC" w:rsidRDefault="00803B7D" w:rsidP="00051900">
      <w:pPr>
        <w:pStyle w:val="Przypis"/>
      </w:pPr>
      <w:r w:rsidRPr="007A22DC">
        <w:t>Rząd polski przy ratyfikacji Konwencji złożył zastrzeżenie –stwierdził, że do czasu zmiany przepisów prawa polskiego  Polska nie będzie stosować art. 23 ust. 1 lit. a Konwencji dotyczącego prawa do życia rodzinnego osób z niepełnosprawnością psychiczną.</w:t>
      </w:r>
    </w:p>
  </w:footnote>
  <w:footnote w:id="566">
    <w:p w14:paraId="6CE46103" w14:textId="77777777" w:rsidR="00803B7D" w:rsidRPr="007A22DC" w:rsidRDefault="00803B7D" w:rsidP="0014574C">
      <w:pPr>
        <w:pStyle w:val="Przypis"/>
      </w:pPr>
      <w:r w:rsidRPr="007A22DC">
        <w:rPr>
          <w:rStyle w:val="Odwoanieprzypisudolnego"/>
        </w:rPr>
        <w:footnoteRef/>
      </w:r>
      <w:r w:rsidRPr="007A22DC">
        <w:t xml:space="preserve"> Relacja: </w:t>
      </w:r>
      <w:hyperlink r:id="rId377" w:history="1">
        <w:r w:rsidRPr="007A22DC">
          <w:rPr>
            <w:rStyle w:val="Hipercze"/>
            <w:rFonts w:eastAsiaTheme="majorEastAsia"/>
          </w:rPr>
          <w:t>https://www.rpo.gov.pl/pl/content/kongres-praw-rodzicielskich/panel/prawo-do-zycia-rodzinnego-dylematy-rodzicow-niepelnosprawnych</w:t>
        </w:r>
      </w:hyperlink>
    </w:p>
  </w:footnote>
  <w:footnote w:id="567">
    <w:p w14:paraId="106AA668" w14:textId="77777777" w:rsidR="00803B7D" w:rsidRPr="007A22DC" w:rsidRDefault="00803B7D" w:rsidP="00732AD3">
      <w:pPr>
        <w:pStyle w:val="Przypis"/>
      </w:pPr>
      <w:r w:rsidRPr="007A22DC">
        <w:rPr>
          <w:rStyle w:val="Odwoanieprzypisudolnego"/>
        </w:rPr>
        <w:footnoteRef/>
      </w:r>
      <w:r w:rsidRPr="007A22DC">
        <w:t xml:space="preserve"> </w:t>
      </w:r>
      <w:hyperlink r:id="rId378" w:history="1">
        <w:r w:rsidRPr="007A22DC">
          <w:rPr>
            <w:rStyle w:val="Hipercze"/>
          </w:rPr>
          <w:t>Zobacz też relację z panelu II Kongresu Praw Obywatelskich Osoby z niepełnosprawnościami w sądach i administracji publicznej </w:t>
        </w:r>
      </w:hyperlink>
    </w:p>
  </w:footnote>
  <w:footnote w:id="568">
    <w:p w14:paraId="667E9010" w14:textId="77777777" w:rsidR="00803B7D" w:rsidRPr="007A22DC" w:rsidRDefault="00803B7D" w:rsidP="0014574C">
      <w:pPr>
        <w:pStyle w:val="Przypis"/>
        <w:rPr>
          <w:rStyle w:val="Hipercze"/>
        </w:rPr>
      </w:pPr>
      <w:r w:rsidRPr="007A22DC">
        <w:rPr>
          <w:rStyle w:val="Odwoanieprzypisudolnego"/>
        </w:rPr>
        <w:footnoteRef/>
      </w:r>
      <w:r w:rsidRPr="007A22DC">
        <w:t xml:space="preserve"> Relacja z panelu: </w:t>
      </w:r>
      <w:hyperlink r:id="rId379" w:history="1">
        <w:r w:rsidRPr="007A22DC">
          <w:rPr>
            <w:rStyle w:val="Hipercze"/>
          </w:rPr>
          <w:t>https://www.rpo.gov.pl/pl/content/panel/sesja-41-rekomendacje-komitetu-onz-o-prawach-osób-z-niepełnosprawnościami-–-co-dalej-blok-b</w:t>
        </w:r>
      </w:hyperlink>
    </w:p>
    <w:p w14:paraId="20699D11" w14:textId="77777777" w:rsidR="00803B7D" w:rsidRPr="007A22DC" w:rsidRDefault="00803B7D" w:rsidP="0014574C">
      <w:pPr>
        <w:pStyle w:val="Przypis"/>
      </w:pPr>
      <w:r w:rsidRPr="007A22DC">
        <w:t>Warto wiedzieć, że w 2016 r. RPO wydał podręcznik „</w:t>
      </w:r>
      <w:hyperlink r:id="rId380" w:history="1">
        <w:r w:rsidRPr="007A22DC">
          <w:rPr>
            <w:rStyle w:val="Hipercze"/>
          </w:rPr>
          <w:t>Równe traktowanie uczestników postępowań. Przewodnik dla sędziów i prokuratorów</w:t>
        </w:r>
      </w:hyperlink>
      <w:r w:rsidRPr="007A22DC">
        <w:t>” pod redakcją Doroty Pudzianowskiej i Jarosława Jagury</w:t>
      </w:r>
    </w:p>
  </w:footnote>
  <w:footnote w:id="569">
    <w:p w14:paraId="0EBB5432" w14:textId="77777777" w:rsidR="00803B7D" w:rsidRPr="007A22DC" w:rsidRDefault="00803B7D">
      <w:pPr>
        <w:pStyle w:val="Tekstprzypisudolnego"/>
      </w:pPr>
      <w:r w:rsidRPr="007A22DC">
        <w:rPr>
          <w:rStyle w:val="Odwoanieprzypisudolnego"/>
        </w:rPr>
        <w:footnoteRef/>
      </w:r>
      <w:r w:rsidRPr="007A22DC">
        <w:t xml:space="preserve"> </w:t>
      </w:r>
      <w:hyperlink r:id="rId381" w:history="1">
        <w:r w:rsidRPr="007A22DC">
          <w:rPr>
            <w:rStyle w:val="Hipercze"/>
          </w:rPr>
          <w:t>https://www.rpo.gov.pl/pl/content/kongres-praw-rodzicielskich/panel/rodzic-dziecka-z-niepelnosprawnoscia</w:t>
        </w:r>
      </w:hyperlink>
    </w:p>
  </w:footnote>
  <w:footnote w:id="570">
    <w:p w14:paraId="4399AC6C" w14:textId="77777777" w:rsidR="00803B7D" w:rsidRPr="007A22DC" w:rsidRDefault="00803B7D" w:rsidP="0014574C">
      <w:pPr>
        <w:pStyle w:val="Przypis"/>
      </w:pPr>
      <w:r w:rsidRPr="007A22DC">
        <w:rPr>
          <w:rStyle w:val="Odwoanieprzypisudolnego"/>
        </w:rPr>
        <w:footnoteRef/>
      </w:r>
      <w:r w:rsidRPr="007A22DC">
        <w:t xml:space="preserve"> Informacja roczna za rok 2017, s, 385-388</w:t>
      </w:r>
    </w:p>
  </w:footnote>
  <w:footnote w:id="571">
    <w:p w14:paraId="79789627" w14:textId="77777777" w:rsidR="00803B7D" w:rsidRPr="007A22DC" w:rsidRDefault="00803B7D" w:rsidP="0014574C">
      <w:pPr>
        <w:pStyle w:val="Przypis"/>
      </w:pPr>
      <w:r w:rsidRPr="007A22DC">
        <w:rPr>
          <w:rStyle w:val="Odwoanieprzypisudolnego"/>
        </w:rPr>
        <w:footnoteRef/>
      </w:r>
      <w:r w:rsidRPr="007A22DC">
        <w:t xml:space="preserve"> </w:t>
      </w:r>
      <w:hyperlink r:id="rId382" w:history="1">
        <w:r w:rsidRPr="007A22DC">
          <w:rPr>
            <w:rStyle w:val="Hipercze"/>
          </w:rPr>
          <w:t>VII.7037.110.2017</w:t>
        </w:r>
      </w:hyperlink>
      <w:r w:rsidRPr="007A22DC">
        <w:t xml:space="preserve"> z 7 maja 2018 r. </w:t>
      </w:r>
    </w:p>
  </w:footnote>
  <w:footnote w:id="572">
    <w:p w14:paraId="22255E17" w14:textId="77777777" w:rsidR="00803B7D" w:rsidRPr="007A22DC" w:rsidRDefault="00803B7D" w:rsidP="0014574C">
      <w:pPr>
        <w:pStyle w:val="Przypis"/>
      </w:pPr>
      <w:r w:rsidRPr="007A22DC">
        <w:rPr>
          <w:rStyle w:val="Odwoanieprzypisudolnego"/>
        </w:rPr>
        <w:footnoteRef/>
      </w:r>
      <w:r w:rsidRPr="007A22DC">
        <w:t xml:space="preserve"> Relacja: </w:t>
      </w:r>
      <w:hyperlink r:id="rId383" w:history="1">
        <w:r w:rsidRPr="007A22DC">
          <w:rPr>
            <w:rStyle w:val="Hipercze"/>
            <w:rFonts w:eastAsiaTheme="majorEastAsia"/>
          </w:rPr>
          <w:t>https://www.rpo.gov.pl/pl/content/seminarium-w-biurze-rpo-%E2%80%9Enie-oczekiwane-skutki-reformy-systemu-oswiaty</w:t>
        </w:r>
      </w:hyperlink>
    </w:p>
  </w:footnote>
  <w:footnote w:id="573">
    <w:p w14:paraId="0E975F04" w14:textId="77777777" w:rsidR="00803B7D" w:rsidRPr="007A22DC" w:rsidRDefault="00803B7D" w:rsidP="00F70CE5">
      <w:pPr>
        <w:pStyle w:val="Przypis"/>
      </w:pPr>
      <w:r w:rsidRPr="007A22DC">
        <w:rPr>
          <w:rStyle w:val="Odwoanieprzypisudolnego"/>
        </w:rPr>
        <w:footnoteRef/>
      </w:r>
      <w:r w:rsidRPr="007A22DC">
        <w:t xml:space="preserve"> </w:t>
      </w:r>
      <w:hyperlink r:id="rId384" w:history="1">
        <w:r w:rsidRPr="007A22DC">
          <w:rPr>
            <w:rStyle w:val="Hipercze"/>
          </w:rPr>
          <w:t>VII.7037.110.2017</w:t>
        </w:r>
      </w:hyperlink>
      <w:r w:rsidRPr="007A22DC">
        <w:t xml:space="preserve"> odpowiedź MEN z 4 czerwca 2018 r. </w:t>
      </w:r>
    </w:p>
  </w:footnote>
  <w:footnote w:id="574">
    <w:p w14:paraId="6024DAF1" w14:textId="77777777" w:rsidR="00803B7D" w:rsidRPr="007A22DC" w:rsidRDefault="00803B7D" w:rsidP="0014574C">
      <w:pPr>
        <w:pStyle w:val="Przypis"/>
      </w:pPr>
      <w:r w:rsidRPr="007A22DC">
        <w:rPr>
          <w:rStyle w:val="Odwoanieprzypisudolnego"/>
        </w:rPr>
        <w:footnoteRef/>
      </w:r>
      <w:r w:rsidRPr="007A22DC">
        <w:t xml:space="preserve"> Informacja RPO za 2017 r., str. 386., pismo </w:t>
      </w:r>
      <w:hyperlink r:id="rId385" w:history="1">
        <w:r w:rsidRPr="007A22DC">
          <w:rPr>
            <w:rStyle w:val="Hipercze"/>
            <w:shd w:val="clear" w:color="auto" w:fill="FFFFFF"/>
          </w:rPr>
          <w:t>VII.7030.5.2017</w:t>
        </w:r>
      </w:hyperlink>
      <w:r w:rsidRPr="007A22DC">
        <w:rPr>
          <w:rStyle w:val="Hipercze"/>
          <w:shd w:val="clear" w:color="auto" w:fill="FFFFFF"/>
        </w:rPr>
        <w:t xml:space="preserve"> </w:t>
      </w:r>
      <w:r w:rsidRPr="007A22DC">
        <w:t>z 7 grudnia 2017 r., odpowiedź z 16 stycznia 2018 r.</w:t>
      </w:r>
    </w:p>
  </w:footnote>
  <w:footnote w:id="575">
    <w:p w14:paraId="00F03C20" w14:textId="77777777" w:rsidR="00803B7D" w:rsidRPr="007A22DC" w:rsidRDefault="00803B7D" w:rsidP="00B57A04">
      <w:pPr>
        <w:pStyle w:val="Przypis"/>
      </w:pPr>
      <w:r w:rsidRPr="007A22DC">
        <w:rPr>
          <w:rStyle w:val="Odwoanieprzypisudolnego"/>
        </w:rPr>
        <w:footnoteRef/>
      </w:r>
      <w:r w:rsidRPr="007A22DC">
        <w:t xml:space="preserve"> </w:t>
      </w:r>
      <w:hyperlink r:id="rId386" w:history="1">
        <w:r w:rsidRPr="007A22DC">
          <w:rPr>
            <w:rStyle w:val="Hipercze"/>
            <w:shd w:val="clear" w:color="auto" w:fill="FFFFFF"/>
          </w:rPr>
          <w:t>VII.7037.14.2019</w:t>
        </w:r>
      </w:hyperlink>
      <w:r w:rsidRPr="007A22DC">
        <w:rPr>
          <w:shd w:val="clear" w:color="auto" w:fill="FFFFFF"/>
        </w:rPr>
        <w:t xml:space="preserve"> z 27 maja 2019 r.</w:t>
      </w:r>
    </w:p>
  </w:footnote>
  <w:footnote w:id="576">
    <w:p w14:paraId="1B3F52AC" w14:textId="77777777" w:rsidR="00803B7D" w:rsidRPr="007A22DC" w:rsidRDefault="00803B7D" w:rsidP="0014574C">
      <w:pPr>
        <w:pStyle w:val="Przypis"/>
      </w:pPr>
      <w:r w:rsidRPr="007A22DC">
        <w:rPr>
          <w:rStyle w:val="Odwoanieprzypisudolnego"/>
        </w:rPr>
        <w:footnoteRef/>
      </w:r>
      <w:r w:rsidRPr="007A22DC">
        <w:t xml:space="preserve"> </w:t>
      </w:r>
      <w:hyperlink r:id="rId387" w:history="1">
        <w:r w:rsidRPr="007A22DC">
          <w:rPr>
            <w:rStyle w:val="Hipercze"/>
          </w:rPr>
          <w:t>VII.552.1.2018</w:t>
        </w:r>
      </w:hyperlink>
      <w:r w:rsidRPr="007A22DC">
        <w:t xml:space="preserve"> z 20 lipca 2018 r., odpowiedź z 2 sierpnia 2018 r.</w:t>
      </w:r>
    </w:p>
  </w:footnote>
  <w:footnote w:id="577">
    <w:p w14:paraId="4E308823" w14:textId="77777777" w:rsidR="00803B7D" w:rsidRPr="007A22DC" w:rsidRDefault="00803B7D" w:rsidP="00845591">
      <w:pPr>
        <w:pStyle w:val="Przypis"/>
      </w:pPr>
      <w:r w:rsidRPr="007A22DC">
        <w:rPr>
          <w:rStyle w:val="Odwoanieprzypisudolnego"/>
        </w:rPr>
        <w:footnoteRef/>
      </w:r>
      <w:r w:rsidRPr="007A22DC">
        <w:t xml:space="preserve"> VII.7030.13.2018 z 22 października 2018 r. i 2 listopada 2018 r.</w:t>
      </w:r>
    </w:p>
  </w:footnote>
  <w:footnote w:id="578">
    <w:p w14:paraId="36E38247" w14:textId="77777777" w:rsidR="00803B7D" w:rsidRPr="007A22DC" w:rsidRDefault="00803B7D" w:rsidP="00845591">
      <w:pPr>
        <w:pStyle w:val="Przypis"/>
      </w:pPr>
      <w:r w:rsidRPr="007A22DC">
        <w:rPr>
          <w:rStyle w:val="Odwoanieprzypisudolnego"/>
        </w:rPr>
        <w:footnoteRef/>
      </w:r>
      <w:r w:rsidRPr="007A22DC">
        <w:t xml:space="preserve"> Relacja ze spotkania: </w:t>
      </w:r>
      <w:hyperlink r:id="rId388" w:history="1">
        <w:r w:rsidRPr="007A22DC">
          <w:rPr>
            <w:rStyle w:val="Hipercze"/>
            <w:rFonts w:eastAsiaTheme="majorEastAsia"/>
          </w:rPr>
          <w:t>https://www.rpo.gov.pl/pl/content/spotkanie-regionalone-rpo-w-czluchowie</w:t>
        </w:r>
      </w:hyperlink>
    </w:p>
  </w:footnote>
  <w:footnote w:id="579">
    <w:p w14:paraId="6753490E" w14:textId="77777777" w:rsidR="00803B7D" w:rsidRPr="007A22DC" w:rsidRDefault="00803B7D" w:rsidP="0014574C">
      <w:pPr>
        <w:pStyle w:val="Przypis"/>
      </w:pPr>
      <w:r w:rsidRPr="007A22DC">
        <w:rPr>
          <w:rStyle w:val="Odwoanieprzypisudolnego"/>
        </w:rPr>
        <w:footnoteRef/>
      </w:r>
      <w:r w:rsidRPr="007A22DC">
        <w:t xml:space="preserve"> </w:t>
      </w:r>
      <w:hyperlink r:id="rId389" w:history="1">
        <w:r w:rsidRPr="007A22DC">
          <w:rPr>
            <w:rStyle w:val="Hipercze"/>
          </w:rPr>
          <w:t>XI.7036.61.2017</w:t>
        </w:r>
      </w:hyperlink>
      <w:r w:rsidRPr="007A22DC">
        <w:t xml:space="preserve"> z 30 stycznia 2018 r., odpowiedź z 9 kwietnia 2018 r..</w:t>
      </w:r>
    </w:p>
  </w:footnote>
  <w:footnote w:id="580">
    <w:p w14:paraId="012688C0" w14:textId="77777777" w:rsidR="00803B7D" w:rsidRPr="007A22DC" w:rsidRDefault="00803B7D" w:rsidP="0014574C">
      <w:pPr>
        <w:pStyle w:val="Przypis"/>
      </w:pPr>
      <w:r w:rsidRPr="007A22DC">
        <w:rPr>
          <w:rStyle w:val="Odwoanieprzypisudolnego"/>
        </w:rPr>
        <w:footnoteRef/>
      </w:r>
      <w:r w:rsidRPr="007A22DC">
        <w:t xml:space="preserve"> Druk senacki nr 761, wystąpienie RPO </w:t>
      </w:r>
      <w:hyperlink r:id="rId390" w:history="1">
        <w:r w:rsidRPr="007A22DC">
          <w:rPr>
            <w:rStyle w:val="Hipercze"/>
          </w:rPr>
          <w:t>XI.7036.61.2017 z 14 maja 2018 r.</w:t>
        </w:r>
      </w:hyperlink>
    </w:p>
  </w:footnote>
  <w:footnote w:id="581">
    <w:p w14:paraId="3E58E3B3" w14:textId="77777777" w:rsidR="00803B7D" w:rsidRPr="007A22DC" w:rsidRDefault="00803B7D">
      <w:pPr>
        <w:pStyle w:val="Tekstprzypisudolnego"/>
      </w:pPr>
      <w:r w:rsidRPr="007A22DC">
        <w:rPr>
          <w:rStyle w:val="Odwoanieprzypisudolnego"/>
        </w:rPr>
        <w:footnoteRef/>
      </w:r>
      <w:r w:rsidRPr="007A22DC">
        <w:rPr>
          <w:sz w:val="18"/>
        </w:rPr>
        <w:t xml:space="preserve"> </w:t>
      </w:r>
      <w:hyperlink r:id="rId391" w:history="1">
        <w:r w:rsidRPr="007A22DC">
          <w:rPr>
            <w:rStyle w:val="Hipercze"/>
            <w:rFonts w:eastAsiaTheme="majorEastAsia"/>
            <w:sz w:val="18"/>
          </w:rPr>
          <w:t>https://www.senat.gov.pl/prace/senat/proces-legislacyjny-w-senacie/inicjatywy-ustawodawcze/inicjatywa,63.html</w:t>
        </w:r>
      </w:hyperlink>
    </w:p>
  </w:footnote>
  <w:footnote w:id="582">
    <w:p w14:paraId="73241B79" w14:textId="77777777" w:rsidR="00803B7D" w:rsidRPr="007A22DC" w:rsidRDefault="00803B7D" w:rsidP="0014574C">
      <w:pPr>
        <w:pStyle w:val="Przypis"/>
      </w:pPr>
      <w:r w:rsidRPr="007A22DC">
        <w:rPr>
          <w:rStyle w:val="Odwoanieprzypisudolnego"/>
        </w:rPr>
        <w:footnoteRef/>
      </w:r>
      <w:r w:rsidRPr="007A22DC">
        <w:t xml:space="preserve"> </w:t>
      </w:r>
      <w:hyperlink r:id="rId392" w:history="1">
        <w:r w:rsidRPr="007A22DC">
          <w:rPr>
            <w:rStyle w:val="Hipercze"/>
          </w:rPr>
          <w:t>VII.7030.12.2018</w:t>
        </w:r>
      </w:hyperlink>
      <w:r w:rsidRPr="007A22DC">
        <w:t xml:space="preserve"> z 29 października 2018 r. i 23 stycznia 2019 r.</w:t>
      </w:r>
    </w:p>
  </w:footnote>
  <w:footnote w:id="583">
    <w:p w14:paraId="4B3EE745" w14:textId="77777777" w:rsidR="00803B7D" w:rsidRPr="007A22DC" w:rsidRDefault="00803B7D" w:rsidP="008B13D0">
      <w:pPr>
        <w:pStyle w:val="Przypis"/>
      </w:pPr>
      <w:r w:rsidRPr="007A22DC">
        <w:rPr>
          <w:rStyle w:val="Odwoanieprzypisudolnego"/>
        </w:rPr>
        <w:footnoteRef/>
      </w:r>
      <w:r w:rsidRPr="007A22DC">
        <w:t xml:space="preserve"> </w:t>
      </w:r>
      <w:hyperlink r:id="rId393" w:history="1">
        <w:r w:rsidRPr="007A22DC">
          <w:rPr>
            <w:rStyle w:val="Hipercze"/>
          </w:rPr>
          <w:t>BPK.7036.2.2017</w:t>
        </w:r>
      </w:hyperlink>
    </w:p>
  </w:footnote>
  <w:footnote w:id="584">
    <w:p w14:paraId="473B14B6" w14:textId="77777777" w:rsidR="00803B7D" w:rsidRPr="007A22DC" w:rsidRDefault="00803B7D" w:rsidP="0014574C">
      <w:pPr>
        <w:pStyle w:val="Przypis"/>
      </w:pPr>
      <w:r w:rsidRPr="007A22DC">
        <w:rPr>
          <w:rStyle w:val="Odwoanieprzypisudolnego"/>
        </w:rPr>
        <w:footnoteRef/>
      </w:r>
      <w:r w:rsidRPr="007A22DC">
        <w:t xml:space="preserve"> Rozporządzenie z 9 sierpnia 2017 r. (Dz.U. z 2017 r. poz.1578).</w:t>
      </w:r>
    </w:p>
  </w:footnote>
  <w:footnote w:id="585">
    <w:p w14:paraId="4096715E" w14:textId="77777777" w:rsidR="00803B7D" w:rsidRPr="007A22DC" w:rsidRDefault="00803B7D" w:rsidP="0014574C">
      <w:pPr>
        <w:pStyle w:val="Przypis"/>
      </w:pPr>
      <w:r w:rsidRPr="007A22DC">
        <w:rPr>
          <w:rStyle w:val="Odwoanieprzypisudolnego"/>
        </w:rPr>
        <w:footnoteRef/>
      </w:r>
      <w:r w:rsidRPr="007A22DC">
        <w:t xml:space="preserve"> </w:t>
      </w:r>
      <w:hyperlink r:id="rId394" w:history="1">
        <w:r w:rsidRPr="007A22DC">
          <w:rPr>
            <w:rStyle w:val="Hipercze"/>
          </w:rPr>
          <w:t>XI.7036.12.2017 z 11 lipca 2018 r.</w:t>
        </w:r>
      </w:hyperlink>
      <w:r w:rsidRPr="007A22DC">
        <w:t xml:space="preserve">, </w:t>
      </w:r>
      <w:r w:rsidRPr="007A22DC">
        <w:rPr>
          <w:rStyle w:val="PrzypisZnak"/>
        </w:rPr>
        <w:t>odpowiedź z 18 lipca 2018 r., kolejne pismo</w:t>
      </w:r>
      <w:r w:rsidRPr="007A22DC">
        <w:t xml:space="preserve"> z </w:t>
      </w:r>
      <w:hyperlink r:id="rId395" w:history="1">
        <w:r w:rsidRPr="007A22DC">
          <w:rPr>
            <w:rStyle w:val="Hipercze"/>
          </w:rPr>
          <w:t>10 sierpnia 2018 r.</w:t>
        </w:r>
      </w:hyperlink>
    </w:p>
  </w:footnote>
  <w:footnote w:id="586">
    <w:p w14:paraId="66880886" w14:textId="77777777" w:rsidR="00803B7D" w:rsidRPr="007A22DC" w:rsidRDefault="00803B7D" w:rsidP="0014574C">
      <w:pPr>
        <w:pStyle w:val="Przypis"/>
      </w:pPr>
      <w:r w:rsidRPr="007A22DC">
        <w:rPr>
          <w:rStyle w:val="Odwoanieprzypisudolnego"/>
        </w:rPr>
        <w:footnoteRef/>
      </w:r>
      <w:r w:rsidRPr="007A22DC">
        <w:t xml:space="preserve"> Tamże</w:t>
      </w:r>
    </w:p>
  </w:footnote>
  <w:footnote w:id="587">
    <w:p w14:paraId="0BBBF3AB" w14:textId="77777777" w:rsidR="00803B7D" w:rsidRPr="007A22DC" w:rsidRDefault="00803B7D" w:rsidP="0014574C">
      <w:pPr>
        <w:pStyle w:val="Przypis"/>
      </w:pPr>
      <w:r w:rsidRPr="007A22DC">
        <w:rPr>
          <w:rStyle w:val="Odwoanieprzypisudolnego"/>
        </w:rPr>
        <w:footnoteRef/>
      </w:r>
      <w:r w:rsidRPr="007A22DC">
        <w:t xml:space="preserve"> </w:t>
      </w:r>
      <w:r w:rsidRPr="007A22DC">
        <w:rPr>
          <w:rStyle w:val="PrzypisZnak"/>
        </w:rPr>
        <w:t>art. 10a Karty Nauczyciela, który obowiązuje od 1 września 2018 r.(Dz.U. z 2018 r. poz. 967. ze zm.).</w:t>
      </w:r>
    </w:p>
  </w:footnote>
  <w:footnote w:id="588">
    <w:p w14:paraId="447FABAE" w14:textId="77777777" w:rsidR="00803B7D" w:rsidRPr="007A22DC" w:rsidRDefault="00803B7D" w:rsidP="0014574C">
      <w:pPr>
        <w:pStyle w:val="Przypis"/>
      </w:pPr>
      <w:r w:rsidRPr="007A22DC">
        <w:rPr>
          <w:rStyle w:val="Odwoanieprzypisudolnego"/>
        </w:rPr>
        <w:footnoteRef/>
      </w:r>
      <w:r w:rsidRPr="007A22DC">
        <w:t xml:space="preserve"> </w:t>
      </w:r>
      <w:hyperlink r:id="rId396" w:history="1">
        <w:r w:rsidRPr="007A22DC">
          <w:rPr>
            <w:rStyle w:val="Hipercze"/>
          </w:rPr>
          <w:t>XI.7036.38.2018</w:t>
        </w:r>
      </w:hyperlink>
      <w:r w:rsidRPr="007A22DC">
        <w:t xml:space="preserve"> z 8 sierpnia 2018 r., odpowiedź z 30 sierpnia 2018 r.</w:t>
      </w:r>
    </w:p>
  </w:footnote>
  <w:footnote w:id="589">
    <w:p w14:paraId="658536E4" w14:textId="77777777" w:rsidR="00803B7D" w:rsidRPr="007A22DC" w:rsidRDefault="00803B7D" w:rsidP="0014574C">
      <w:pPr>
        <w:pStyle w:val="Przypis"/>
      </w:pPr>
      <w:r w:rsidRPr="007A22DC">
        <w:rPr>
          <w:rStyle w:val="Odwoanieprzypisudolnego"/>
        </w:rPr>
        <w:footnoteRef/>
      </w:r>
      <w:r w:rsidRPr="007A22DC">
        <w:t xml:space="preserve"> </w:t>
      </w:r>
      <w:hyperlink r:id="rId397" w:history="1">
        <w:r w:rsidRPr="007A22DC">
          <w:rPr>
            <w:rStyle w:val="Hipercze"/>
          </w:rPr>
          <w:t>VII.7033.28.2018</w:t>
        </w:r>
      </w:hyperlink>
      <w:r w:rsidRPr="007A22DC">
        <w:t xml:space="preserve"> z 6 września 2018 r., odpowiedź MNiSW z 13 marca 2019 r.</w:t>
      </w:r>
    </w:p>
  </w:footnote>
  <w:footnote w:id="590">
    <w:p w14:paraId="4297C49C" w14:textId="77777777" w:rsidR="00803B7D" w:rsidRPr="007A22DC" w:rsidRDefault="00803B7D" w:rsidP="0014574C">
      <w:pPr>
        <w:pStyle w:val="Przypis"/>
      </w:pPr>
      <w:r w:rsidRPr="007A22DC">
        <w:rPr>
          <w:rStyle w:val="Odwoanieprzypisudolnego"/>
        </w:rPr>
        <w:footnoteRef/>
      </w:r>
      <w:r w:rsidRPr="007A22DC">
        <w:t xml:space="preserve"> </w:t>
      </w:r>
      <w:hyperlink r:id="rId398" w:history="1">
        <w:r w:rsidRPr="007A22DC">
          <w:rPr>
            <w:rStyle w:val="Hipercze"/>
          </w:rPr>
          <w:t>VII.7033.13.2019</w:t>
        </w:r>
      </w:hyperlink>
      <w:r w:rsidRPr="007A22DC">
        <w:rPr>
          <w:rStyle w:val="PrzypisZnak"/>
        </w:rPr>
        <w:t xml:space="preserve"> z 18 marca 2019 r.</w:t>
      </w:r>
    </w:p>
  </w:footnote>
  <w:footnote w:id="591">
    <w:p w14:paraId="535E7135" w14:textId="77777777" w:rsidR="00803B7D" w:rsidRPr="007A22DC" w:rsidRDefault="00803B7D">
      <w:pPr>
        <w:pStyle w:val="Tekstprzypisudolnego"/>
        <w:rPr>
          <w:rStyle w:val="PrzypisZnak"/>
        </w:rPr>
      </w:pPr>
      <w:r w:rsidRPr="007A22DC">
        <w:rPr>
          <w:rStyle w:val="Odwoanieprzypisudolnego"/>
        </w:rPr>
        <w:footnoteRef/>
      </w:r>
      <w:r w:rsidRPr="007A22DC">
        <w:t xml:space="preserve"> </w:t>
      </w:r>
      <w:r w:rsidRPr="007A22DC">
        <w:rPr>
          <w:rStyle w:val="PrzypisZnak"/>
          <w:rFonts w:eastAsiaTheme="majorEastAsia"/>
        </w:rPr>
        <w:t>K 1/19</w:t>
      </w:r>
    </w:p>
  </w:footnote>
  <w:footnote w:id="592">
    <w:p w14:paraId="6929E49B" w14:textId="77777777" w:rsidR="00803B7D" w:rsidRPr="007A22DC" w:rsidRDefault="00803B7D" w:rsidP="0014574C">
      <w:pPr>
        <w:pStyle w:val="Przypis"/>
      </w:pPr>
      <w:r w:rsidRPr="007A22DC">
        <w:rPr>
          <w:rStyle w:val="Odwoanieprzypisudolnego"/>
        </w:rPr>
        <w:footnoteRef/>
      </w:r>
      <w:r w:rsidRPr="007A22DC">
        <w:t xml:space="preserve"> </w:t>
      </w:r>
      <w:hyperlink r:id="rId399" w:history="1">
        <w:r w:rsidRPr="007A22DC">
          <w:rPr>
            <w:rStyle w:val="Hipercze"/>
          </w:rPr>
          <w:t>VII.7033.52.2016</w:t>
        </w:r>
      </w:hyperlink>
      <w:r w:rsidRPr="007A22DC">
        <w:rPr>
          <w:rStyle w:val="PrzypisZnak"/>
        </w:rPr>
        <w:t xml:space="preserve"> z 13 i 14 maja 2018 r.</w:t>
      </w:r>
    </w:p>
  </w:footnote>
  <w:footnote w:id="593">
    <w:p w14:paraId="0733ECCC" w14:textId="77777777" w:rsidR="00803B7D" w:rsidRPr="007A22DC" w:rsidRDefault="00803B7D" w:rsidP="0014574C">
      <w:pPr>
        <w:pStyle w:val="Przypis"/>
      </w:pPr>
      <w:r w:rsidRPr="007A22DC">
        <w:rPr>
          <w:rStyle w:val="Odwoanieprzypisudolnego"/>
        </w:rPr>
        <w:footnoteRef/>
      </w:r>
      <w:r w:rsidRPr="007A22DC">
        <w:t xml:space="preserve"> </w:t>
      </w:r>
      <w:hyperlink r:id="rId400" w:history="1">
        <w:r w:rsidRPr="007A22DC">
          <w:rPr>
            <w:rStyle w:val="Hipercze"/>
          </w:rPr>
          <w:t>VII.7033.52.2016</w:t>
        </w:r>
      </w:hyperlink>
      <w:r w:rsidRPr="007A22DC">
        <w:t xml:space="preserve"> z 13 lutego 2017 r., Informacja roczna za 2017 r. s. 401</w:t>
      </w:r>
    </w:p>
  </w:footnote>
  <w:footnote w:id="594">
    <w:p w14:paraId="6E100375" w14:textId="77777777" w:rsidR="00803B7D" w:rsidRPr="007A22DC" w:rsidRDefault="00803B7D" w:rsidP="0014574C">
      <w:pPr>
        <w:pStyle w:val="Przypis"/>
      </w:pPr>
      <w:r w:rsidRPr="007A22DC">
        <w:rPr>
          <w:rStyle w:val="Odwoanieprzypisudolnego"/>
        </w:rPr>
        <w:footnoteRef/>
      </w:r>
      <w:r w:rsidRPr="007A22DC">
        <w:rPr>
          <w:vertAlign w:val="superscript"/>
        </w:rPr>
        <w:t xml:space="preserve"> </w:t>
      </w:r>
      <w:r w:rsidRPr="007A22DC">
        <w:t xml:space="preserve">Adam Bodnar o celach Kongresu Praw Rodzicielskich, </w:t>
      </w:r>
      <w:hyperlink r:id="rId401" w:history="1">
        <w:r w:rsidRPr="007A22DC">
          <w:rPr>
            <w:rStyle w:val="Hipercze"/>
            <w:rFonts w:eastAsiaTheme="majorEastAsia"/>
          </w:rPr>
          <w:t>https://www.rpo.gov.pl/pl/content/adam-bodnar-o-celach-kongresu-praw-rodzicielskich</w:t>
        </w:r>
      </w:hyperlink>
    </w:p>
  </w:footnote>
  <w:footnote w:id="595">
    <w:p w14:paraId="776185EE" w14:textId="77777777" w:rsidR="00803B7D" w:rsidRPr="007A22DC" w:rsidRDefault="00803B7D" w:rsidP="0014574C">
      <w:pPr>
        <w:pStyle w:val="Przypis"/>
      </w:pPr>
      <w:r w:rsidRPr="007A22DC">
        <w:rPr>
          <w:rStyle w:val="Odwoanieprzypisudolnego"/>
        </w:rPr>
        <w:footnoteRef/>
      </w:r>
      <w:r w:rsidRPr="007A22DC">
        <w:t xml:space="preserve"> Dorobek Kongresu zgromadzony jest w jego portalu, </w:t>
      </w:r>
      <w:hyperlink r:id="rId402" w:history="1">
        <w:r w:rsidRPr="007A22DC">
          <w:rPr>
            <w:rStyle w:val="Hipercze"/>
            <w:rFonts w:eastAsiaTheme="majorEastAsia"/>
          </w:rPr>
          <w:t>https://www.rpo.gov.pl/pl/content/kongres-praw-rodzicielskich</w:t>
        </w:r>
      </w:hyperlink>
    </w:p>
  </w:footnote>
  <w:footnote w:id="596">
    <w:p w14:paraId="735BE0FC" w14:textId="77777777" w:rsidR="00803B7D" w:rsidRPr="007A22DC" w:rsidRDefault="00803B7D" w:rsidP="0014574C">
      <w:pPr>
        <w:pStyle w:val="Przypis"/>
      </w:pPr>
      <w:r w:rsidRPr="007A22DC">
        <w:rPr>
          <w:rStyle w:val="Odwoanieprzypisudolnego"/>
        </w:rPr>
        <w:footnoteRef/>
      </w:r>
      <w:r w:rsidRPr="007A22DC">
        <w:t xml:space="preserve"> </w:t>
      </w:r>
      <w:hyperlink r:id="rId403" w:history="1">
        <w:r w:rsidRPr="007A22DC">
          <w:rPr>
            <w:rStyle w:val="Hipercze"/>
          </w:rPr>
          <w:t>III.7064.21.2018</w:t>
        </w:r>
      </w:hyperlink>
      <w:r w:rsidRPr="007A22DC">
        <w:t xml:space="preserve"> z 6 lutego 2018 r., odpowiedź z 23 lutego 2018 r.</w:t>
      </w:r>
    </w:p>
  </w:footnote>
  <w:footnote w:id="597">
    <w:p w14:paraId="26D3288C" w14:textId="77777777" w:rsidR="00803B7D" w:rsidRPr="007A22DC" w:rsidRDefault="00803B7D" w:rsidP="0014574C">
      <w:pPr>
        <w:pStyle w:val="Przypis"/>
      </w:pPr>
      <w:r w:rsidRPr="007A22DC">
        <w:rPr>
          <w:rStyle w:val="Odwoanieprzypisudolnego"/>
        </w:rPr>
        <w:footnoteRef/>
      </w:r>
      <w:r w:rsidRPr="007A22DC">
        <w:t xml:space="preserve"> art. 8 ustawy z 11 lutego 2016 r. (Dz.U. z 2017 r. poz. 1851, ze zm).</w:t>
      </w:r>
    </w:p>
  </w:footnote>
  <w:footnote w:id="598">
    <w:p w14:paraId="0DC74639" w14:textId="77777777" w:rsidR="00803B7D" w:rsidRPr="007A22DC" w:rsidRDefault="00803B7D" w:rsidP="001242AA">
      <w:pPr>
        <w:pStyle w:val="Przypis"/>
      </w:pPr>
      <w:r w:rsidRPr="007A22DC">
        <w:rPr>
          <w:rStyle w:val="Odwoanieprzypisudolnego"/>
        </w:rPr>
        <w:footnoteRef/>
      </w:r>
      <w:r w:rsidRPr="007A22DC">
        <w:t xml:space="preserve"> </w:t>
      </w:r>
      <w:r w:rsidRPr="007A22DC">
        <w:rPr>
          <w:rFonts w:eastAsiaTheme="majorEastAsia"/>
        </w:rPr>
        <w:t>Dziennik Ustaw</w:t>
      </w:r>
      <w:r w:rsidRPr="007A22DC">
        <w:t xml:space="preserve"> </w:t>
      </w:r>
      <w:r w:rsidRPr="007A22DC">
        <w:rPr>
          <w:rFonts w:eastAsiaTheme="majorEastAsia"/>
        </w:rPr>
        <w:t>2019</w:t>
      </w:r>
      <w:r w:rsidRPr="007A22DC">
        <w:t xml:space="preserve"> poz. 924</w:t>
      </w:r>
    </w:p>
  </w:footnote>
  <w:footnote w:id="599">
    <w:p w14:paraId="30DDB780" w14:textId="77777777" w:rsidR="00803B7D" w:rsidRPr="007A22DC" w:rsidRDefault="00803B7D" w:rsidP="00874B10">
      <w:pPr>
        <w:pStyle w:val="Przypis"/>
      </w:pPr>
      <w:r w:rsidRPr="007A22DC">
        <w:rPr>
          <w:rStyle w:val="Odwoanieprzypisudolnego"/>
        </w:rPr>
        <w:footnoteRef/>
      </w:r>
      <w:r w:rsidRPr="007A22DC">
        <w:t xml:space="preserve"> </w:t>
      </w:r>
      <w:hyperlink r:id="rId404" w:history="1">
        <w:r w:rsidRPr="007A22DC">
          <w:rPr>
            <w:rStyle w:val="Hipercze"/>
          </w:rPr>
          <w:t>III.552.14.2016</w:t>
        </w:r>
      </w:hyperlink>
      <w:r w:rsidRPr="007A22DC">
        <w:t xml:space="preserve"> z 7 lipca 2016 r., Dz.U. z 2019 r. poz. 924</w:t>
      </w:r>
    </w:p>
  </w:footnote>
  <w:footnote w:id="600">
    <w:p w14:paraId="44D56538" w14:textId="77777777" w:rsidR="00803B7D" w:rsidRPr="007A22DC" w:rsidRDefault="00803B7D" w:rsidP="008C3538">
      <w:pPr>
        <w:pStyle w:val="Przypis"/>
      </w:pPr>
      <w:r w:rsidRPr="007A22DC">
        <w:rPr>
          <w:rStyle w:val="Odwoanieprzypisudolnego"/>
        </w:rPr>
        <w:footnoteRef/>
      </w:r>
      <w:r w:rsidRPr="007A22DC">
        <w:t xml:space="preserve"> </w:t>
      </w:r>
      <w:hyperlink r:id="rId405" w:history="1">
        <w:r w:rsidRPr="007A22DC">
          <w:rPr>
            <w:rStyle w:val="Hipercze"/>
          </w:rPr>
          <w:t>III.7064.231.2018</w:t>
        </w:r>
      </w:hyperlink>
      <w:r w:rsidRPr="007A22DC">
        <w:t xml:space="preserve"> z 12 grudnia 2018 r., odpowiedź z 9 stycznia 2019 r.</w:t>
      </w:r>
    </w:p>
  </w:footnote>
  <w:footnote w:id="601">
    <w:p w14:paraId="4998E644" w14:textId="77777777" w:rsidR="00803B7D" w:rsidRPr="007A22DC" w:rsidRDefault="00803B7D" w:rsidP="00204A2F">
      <w:pPr>
        <w:pStyle w:val="Przypis"/>
      </w:pPr>
      <w:r w:rsidRPr="007A22DC">
        <w:rPr>
          <w:rStyle w:val="Odwoanieprzypisudolnego"/>
        </w:rPr>
        <w:footnoteRef/>
      </w:r>
      <w:r w:rsidRPr="007A22DC">
        <w:t xml:space="preserve"> </w:t>
      </w:r>
      <w:r w:rsidRPr="007A22DC">
        <w:rPr>
          <w:bCs/>
          <w:iCs/>
        </w:rPr>
        <w:t>Ustawa z 26 kwietnia 2019 r. o zmianie ustawy o pomocy państwa w wychowaniu dzieci,</w:t>
      </w:r>
      <w:r w:rsidRPr="007A22DC">
        <w:rPr>
          <w:rFonts w:eastAsiaTheme="majorEastAsia"/>
        </w:rPr>
        <w:t xml:space="preserve"> Dz.U.</w:t>
      </w:r>
      <w:r w:rsidRPr="007A22DC">
        <w:t xml:space="preserve"> </w:t>
      </w:r>
      <w:r w:rsidRPr="007A22DC">
        <w:rPr>
          <w:rFonts w:eastAsiaTheme="majorEastAsia"/>
        </w:rPr>
        <w:t>2019</w:t>
      </w:r>
      <w:r w:rsidRPr="007A22DC">
        <w:t xml:space="preserve"> poz. 924</w:t>
      </w:r>
    </w:p>
  </w:footnote>
  <w:footnote w:id="602">
    <w:p w14:paraId="09C69F24" w14:textId="77777777" w:rsidR="00803B7D" w:rsidRPr="007A22DC" w:rsidRDefault="00803B7D" w:rsidP="00036411">
      <w:pPr>
        <w:pStyle w:val="Przypis"/>
      </w:pPr>
      <w:r w:rsidRPr="007A22DC">
        <w:rPr>
          <w:rStyle w:val="Odwoanieprzypisudolnego"/>
        </w:rPr>
        <w:footnoteRef/>
      </w:r>
      <w:r w:rsidRPr="007A22DC">
        <w:t xml:space="preserve"> III.7064.35.2018 z 12 października 2018 r.</w:t>
      </w:r>
    </w:p>
  </w:footnote>
  <w:footnote w:id="603">
    <w:p w14:paraId="23D3D2CA" w14:textId="77777777" w:rsidR="00803B7D" w:rsidRPr="007A22DC" w:rsidRDefault="00803B7D" w:rsidP="00313479">
      <w:pPr>
        <w:pStyle w:val="Przypis"/>
      </w:pPr>
      <w:r w:rsidRPr="007A22DC">
        <w:rPr>
          <w:rStyle w:val="Odwoanieprzypisudolnego"/>
        </w:rPr>
        <w:footnoteRef/>
      </w:r>
      <w:r w:rsidRPr="007A22DC">
        <w:t xml:space="preserve"> Druk senacki 1016: </w:t>
      </w:r>
      <w:hyperlink r:id="rId406" w:history="1">
        <w:r w:rsidRPr="007A22DC">
          <w:rPr>
            <w:rStyle w:val="Hipercze"/>
          </w:rPr>
          <w:t>https://www.senat.gov.pl/prace/senat/proces-legislacyjny-w-senacie/inicjatywy-ustawodawcze/inicjatywa,77.html</w:t>
        </w:r>
      </w:hyperlink>
    </w:p>
  </w:footnote>
  <w:footnote w:id="604">
    <w:p w14:paraId="104A5764" w14:textId="77777777" w:rsidR="00803B7D" w:rsidRPr="007A22DC" w:rsidRDefault="00803B7D" w:rsidP="0014574C">
      <w:pPr>
        <w:pStyle w:val="Przypis"/>
      </w:pPr>
      <w:r w:rsidRPr="007A22DC">
        <w:rPr>
          <w:rStyle w:val="Odwoanieprzypisudolnego"/>
        </w:rPr>
        <w:footnoteRef/>
      </w:r>
      <w:hyperlink r:id="rId407" w:history="1">
        <w:r w:rsidRPr="007A22DC">
          <w:rPr>
            <w:rStyle w:val="Hipercze"/>
          </w:rPr>
          <w:t>IV.7000.184.2018</w:t>
        </w:r>
      </w:hyperlink>
      <w:r w:rsidRPr="007A22DC">
        <w:t xml:space="preserve"> z 19 listopada 2018, </w:t>
      </w:r>
      <w:hyperlink r:id="rId408" w:history="1">
        <w:r w:rsidRPr="007A22DC">
          <w:rPr>
            <w:rStyle w:val="Hipercze"/>
          </w:rPr>
          <w:t>orzeczenie SN z 22 maja 2019 r</w:t>
        </w:r>
      </w:hyperlink>
      <w:r w:rsidRPr="007A22DC">
        <w:t>. sygn. akt I NSNc 3/19</w:t>
      </w:r>
    </w:p>
  </w:footnote>
  <w:footnote w:id="605">
    <w:p w14:paraId="0F076029" w14:textId="77777777" w:rsidR="00803B7D" w:rsidRPr="007A22DC" w:rsidRDefault="00803B7D" w:rsidP="0014574C">
      <w:pPr>
        <w:pStyle w:val="Przypis"/>
      </w:pPr>
      <w:r w:rsidRPr="007A22DC">
        <w:rPr>
          <w:rStyle w:val="Odwoanieprzypisudolnego"/>
        </w:rPr>
        <w:footnoteRef/>
      </w:r>
      <w:r w:rsidRPr="007A22DC">
        <w:t xml:space="preserve"> </w:t>
      </w:r>
      <w:hyperlink r:id="rId409" w:history="1">
        <w:r w:rsidRPr="007A22DC">
          <w:rPr>
            <w:rStyle w:val="Hipercze"/>
          </w:rPr>
          <w:t>IX.517.2564.2017 </w:t>
        </w:r>
      </w:hyperlink>
      <w:r w:rsidRPr="007A22DC">
        <w:rPr>
          <w:rStyle w:val="PrzypisZnak"/>
        </w:rPr>
        <w:t xml:space="preserve">, </w:t>
      </w:r>
      <w:r w:rsidRPr="007A22DC">
        <w:t xml:space="preserve">z 13 września 2018 r., </w:t>
      </w:r>
      <w:r w:rsidRPr="007A22DC">
        <w:rPr>
          <w:rStyle w:val="PrzypisZnak"/>
        </w:rPr>
        <w:t>odpowiedź SW z 15 października 2018 r.</w:t>
      </w:r>
    </w:p>
  </w:footnote>
  <w:footnote w:id="606">
    <w:p w14:paraId="2900CDA7" w14:textId="77777777" w:rsidR="00803B7D" w:rsidRPr="007A22DC" w:rsidRDefault="00803B7D" w:rsidP="00431A29">
      <w:pPr>
        <w:pStyle w:val="Przypis"/>
      </w:pPr>
      <w:r w:rsidRPr="007A22DC">
        <w:rPr>
          <w:rStyle w:val="Odwoanieprzypisudolnego"/>
        </w:rPr>
        <w:footnoteRef/>
      </w:r>
      <w:r w:rsidRPr="007A22DC">
        <w:t xml:space="preserve">Relacja: </w:t>
      </w:r>
      <w:hyperlink r:id="rId410" w:history="1">
        <w:r w:rsidRPr="007A22DC">
          <w:rPr>
            <w:rStyle w:val="Hipercze"/>
            <w:rFonts w:eastAsiaTheme="majorEastAsia"/>
          </w:rPr>
          <w:t>https://www.rpo.gov.pl/pl/content/pozegnanie-rpd-marka-michalaka-dekalog-po-10-latach-pracy</w:t>
        </w:r>
      </w:hyperlink>
      <w:r w:rsidRPr="007A22DC">
        <w:rPr>
          <w:rStyle w:val="Hipercze"/>
          <w:rFonts w:eastAsiaTheme="majorEastAsia"/>
        </w:rPr>
        <w:t xml:space="preserve">, </w:t>
      </w:r>
      <w:r w:rsidRPr="007A22DC">
        <w:rPr>
          <w:bdr w:val="none" w:sz="0" w:space="0" w:color="auto" w:frame="1"/>
        </w:rPr>
        <w:t xml:space="preserve">Tekst przedrukowany przez „Przegląd” </w:t>
      </w:r>
      <w:hyperlink r:id="rId411" w:history="1">
        <w:r w:rsidRPr="007A22DC">
          <w:rPr>
            <w:rStyle w:val="Hipercze"/>
            <w:rFonts w:eastAsiaTheme="majorEastAsia"/>
          </w:rPr>
          <w:t>https://www.tygodnikprzeglad.pl/prawa-dziecka-czyli-dekalog-michalaka/</w:t>
        </w:r>
      </w:hyperlink>
      <w:r w:rsidRPr="007A22DC">
        <w:t xml:space="preserve"> w numerze 2/2019</w:t>
      </w:r>
    </w:p>
  </w:footnote>
  <w:footnote w:id="607">
    <w:p w14:paraId="1EDE4175" w14:textId="77777777" w:rsidR="00803B7D" w:rsidRPr="007A22DC" w:rsidRDefault="00803B7D" w:rsidP="0014574C">
      <w:pPr>
        <w:pStyle w:val="Przypis"/>
      </w:pPr>
      <w:r w:rsidRPr="007A22DC">
        <w:rPr>
          <w:rStyle w:val="Odwoanieprzypisudolnego"/>
        </w:rPr>
        <w:footnoteRef/>
      </w:r>
      <w:r w:rsidRPr="007A22DC">
        <w:t xml:space="preserve"> </w:t>
      </w:r>
      <w:hyperlink r:id="rId412" w:history="1">
        <w:r w:rsidRPr="007A22DC">
          <w:rPr>
            <w:rStyle w:val="Hipercze"/>
          </w:rPr>
          <w:t>IV.7022.35.2016</w:t>
        </w:r>
      </w:hyperlink>
      <w:r w:rsidRPr="007A22DC">
        <w:t xml:space="preserve"> z 22 lutego 2018 r., odpowiedź z 5 marca 2018 r.</w:t>
      </w:r>
    </w:p>
  </w:footnote>
  <w:footnote w:id="608">
    <w:p w14:paraId="4F81EB69" w14:textId="77777777" w:rsidR="00803B7D" w:rsidRPr="007A22DC" w:rsidRDefault="00803B7D" w:rsidP="0014574C">
      <w:pPr>
        <w:pStyle w:val="Przypis"/>
      </w:pPr>
      <w:r w:rsidRPr="007A22DC">
        <w:rPr>
          <w:rStyle w:val="Odwoanieprzypisudolnego"/>
        </w:rPr>
        <w:footnoteRef/>
      </w:r>
      <w:r w:rsidRPr="007A22DC">
        <w:t xml:space="preserve"> Informacja RPO za 2017 r., str. 412.</w:t>
      </w:r>
    </w:p>
  </w:footnote>
  <w:footnote w:id="609">
    <w:p w14:paraId="4631070B" w14:textId="77777777" w:rsidR="00803B7D" w:rsidRPr="007A22DC" w:rsidRDefault="00803B7D" w:rsidP="0063614A">
      <w:pPr>
        <w:pStyle w:val="Przypis"/>
      </w:pPr>
      <w:r w:rsidRPr="007A22DC">
        <w:rPr>
          <w:rStyle w:val="Odwoanieprzypisudolnego"/>
        </w:rPr>
        <w:footnoteRef/>
      </w:r>
      <w:r w:rsidRPr="007A22DC">
        <w:t xml:space="preserve"> Patrz – informacja RPO za 2016 r., str. 232-</w:t>
      </w:r>
      <w:r w:rsidRPr="007A22DC">
        <w:rPr>
          <w:rStyle w:val="PrzypisZnak"/>
        </w:rPr>
        <w:t>234</w:t>
      </w:r>
      <w:hyperlink r:id="rId413" w:history="1">
        <w:r w:rsidRPr="007A22DC">
          <w:rPr>
            <w:rStyle w:val="Hipercze"/>
          </w:rPr>
          <w:t>, IV.7021.125.2018, opinia RPO dla MS</w:t>
        </w:r>
      </w:hyperlink>
      <w:r w:rsidRPr="007A22DC">
        <w:rPr>
          <w:rStyle w:val="PrzypisZnak"/>
        </w:rPr>
        <w:t xml:space="preserve"> z 17 sierpnia 2018 r.</w:t>
      </w:r>
    </w:p>
  </w:footnote>
  <w:footnote w:id="610">
    <w:p w14:paraId="61E7FA0D" w14:textId="77777777" w:rsidR="00803B7D" w:rsidRPr="007A22DC" w:rsidRDefault="00803B7D" w:rsidP="0063614A">
      <w:pPr>
        <w:pStyle w:val="Przypis"/>
      </w:pPr>
      <w:r w:rsidRPr="007A22DC">
        <w:rPr>
          <w:rStyle w:val="Odwoanieprzypisudolnego"/>
        </w:rPr>
        <w:footnoteRef/>
      </w:r>
      <w:r w:rsidRPr="007A22DC">
        <w:t xml:space="preserve"> Projekt ustawy nr UD 392 w Rządowym Procesie Legislacyjnym.</w:t>
      </w:r>
    </w:p>
  </w:footnote>
  <w:footnote w:id="611">
    <w:p w14:paraId="1B70A263" w14:textId="77777777" w:rsidR="00803B7D" w:rsidRPr="007A22DC" w:rsidRDefault="00803B7D" w:rsidP="0014574C">
      <w:pPr>
        <w:pStyle w:val="Przypis"/>
      </w:pPr>
      <w:r w:rsidRPr="007A22DC">
        <w:rPr>
          <w:rStyle w:val="PrzypisZnak"/>
          <w:vertAlign w:val="superscript"/>
        </w:rPr>
        <w:footnoteRef/>
      </w:r>
      <w:r w:rsidRPr="007A22DC">
        <w:rPr>
          <w:rStyle w:val="PrzypisZnak"/>
          <w:vertAlign w:val="superscript"/>
        </w:rPr>
        <w:t xml:space="preserve"> </w:t>
      </w:r>
      <w:r w:rsidRPr="007A22DC">
        <w:t xml:space="preserve">Patrz – relacja z posiedzenia Zespołu, </w:t>
      </w:r>
      <w:hyperlink r:id="rId414" w:history="1">
        <w:r w:rsidRPr="007A22DC">
          <w:rPr>
            <w:rStyle w:val="Hipercze"/>
          </w:rPr>
          <w:t>https://www.rpo.gov.pl/pl/content/o-alimentach-podstawowych-i-o-dalszych-wspolnych-pracach-rpo-i-rpd-–-spotkanie-zespolu-ds-alimentow</w:t>
        </w:r>
      </w:hyperlink>
    </w:p>
  </w:footnote>
  <w:footnote w:id="612">
    <w:p w14:paraId="4B126563" w14:textId="77777777" w:rsidR="00803B7D" w:rsidRPr="007A22DC" w:rsidRDefault="00803B7D" w:rsidP="0063614A">
      <w:pPr>
        <w:pStyle w:val="Przypis"/>
      </w:pPr>
      <w:r w:rsidRPr="007A22DC">
        <w:rPr>
          <w:rStyle w:val="Odwoanieprzypisudolnego"/>
        </w:rPr>
        <w:footnoteRef/>
      </w:r>
      <w:r w:rsidRPr="007A22DC">
        <w:t xml:space="preserve"> </w:t>
      </w:r>
      <w:hyperlink r:id="rId415" w:tooltip="Internetowy System Aktów Prawnych (ISAP)" w:history="1">
        <w:r w:rsidRPr="007A22DC">
          <w:rPr>
            <w:rStyle w:val="Hipercze"/>
            <w:rFonts w:eastAsiaTheme="majorEastAsia"/>
          </w:rPr>
          <w:t>Dz.U. poz. 2432</w:t>
        </w:r>
      </w:hyperlink>
    </w:p>
  </w:footnote>
  <w:footnote w:id="613">
    <w:p w14:paraId="1BC8745D" w14:textId="77777777" w:rsidR="00803B7D" w:rsidRPr="007A22DC" w:rsidRDefault="00803B7D" w:rsidP="004417A4">
      <w:pPr>
        <w:pStyle w:val="Przypis"/>
      </w:pPr>
      <w:r w:rsidRPr="007A22DC">
        <w:rPr>
          <w:rStyle w:val="Odwoanieprzypisudolnego"/>
        </w:rPr>
        <w:footnoteRef/>
      </w:r>
      <w:r w:rsidRPr="007A22DC">
        <w:t xml:space="preserve"> </w:t>
      </w:r>
      <w:hyperlink r:id="rId416" w:history="1">
        <w:r w:rsidRPr="007A22DC">
          <w:rPr>
            <w:rStyle w:val="Hipercze"/>
          </w:rPr>
          <w:t>II.502.1.2017</w:t>
        </w:r>
      </w:hyperlink>
      <w:r w:rsidRPr="007A22DC">
        <w:t xml:space="preserve"> z 30 stycznia 2018 r., odpowiedź z 13 kwietnia 2018 r.</w:t>
      </w:r>
    </w:p>
  </w:footnote>
  <w:footnote w:id="614">
    <w:p w14:paraId="7424CEC0" w14:textId="77777777" w:rsidR="00803B7D" w:rsidRPr="007A22DC" w:rsidRDefault="00803B7D" w:rsidP="004417A4">
      <w:pPr>
        <w:pStyle w:val="Przypis"/>
      </w:pPr>
      <w:r w:rsidRPr="007A22DC">
        <w:rPr>
          <w:rStyle w:val="Odwoanieprzypisudolnego"/>
        </w:rPr>
        <w:footnoteRef/>
      </w:r>
      <w:r w:rsidRPr="007A22DC">
        <w:t xml:space="preserve"> </w:t>
      </w:r>
      <w:hyperlink r:id="rId417" w:history="1">
        <w:r w:rsidRPr="007A22DC">
          <w:rPr>
            <w:rStyle w:val="Hipercze"/>
          </w:rPr>
          <w:t>III.7064.121.2016</w:t>
        </w:r>
      </w:hyperlink>
      <w:r w:rsidRPr="007A22DC">
        <w:t xml:space="preserve"> wystąpienie do MRPiPS z 30 kwietnia 2018 r., odpowiedź z 18 czerwca 2018 r.</w:t>
      </w:r>
    </w:p>
  </w:footnote>
  <w:footnote w:id="615">
    <w:p w14:paraId="431C9A14" w14:textId="77777777" w:rsidR="00803B7D" w:rsidRPr="007A22DC" w:rsidRDefault="00803B7D" w:rsidP="001E2CB5">
      <w:pPr>
        <w:pStyle w:val="Przypis"/>
      </w:pPr>
      <w:r w:rsidRPr="007A22DC">
        <w:rPr>
          <w:rStyle w:val="Odwoanieprzypisudolnego"/>
        </w:rPr>
        <w:footnoteRef/>
      </w:r>
      <w:r w:rsidRPr="007A22DC">
        <w:t xml:space="preserve"> </w:t>
      </w:r>
      <w:hyperlink r:id="rId418" w:history="1">
        <w:r w:rsidRPr="007A22DC">
          <w:rPr>
            <w:rStyle w:val="Hipercze"/>
          </w:rPr>
          <w:t>III.7064.121.2016</w:t>
        </w:r>
      </w:hyperlink>
      <w:r w:rsidRPr="007A22DC">
        <w:t xml:space="preserve"> wystąpienie do MRPiPS z 30 kwietnia 2018 r., odpowiedź z 18 czerwca 2018 r.</w:t>
      </w:r>
    </w:p>
  </w:footnote>
  <w:footnote w:id="616">
    <w:p w14:paraId="3B4FD4B2" w14:textId="77777777" w:rsidR="00803B7D" w:rsidRPr="007A22DC" w:rsidRDefault="00803B7D" w:rsidP="001E2CB5">
      <w:pPr>
        <w:pStyle w:val="Przypis"/>
      </w:pPr>
      <w:r w:rsidRPr="007A22DC">
        <w:rPr>
          <w:rStyle w:val="Odwoanieprzypisudolnego"/>
        </w:rPr>
        <w:footnoteRef/>
      </w:r>
      <w:r w:rsidRPr="007A22DC">
        <w:t xml:space="preserve"> Ustawa z 6 czerwca 1997 r. (Dz.U. z 2017 r. poz. 2204, ze zm.).</w:t>
      </w:r>
    </w:p>
  </w:footnote>
  <w:footnote w:id="617">
    <w:p w14:paraId="009F8BEE" w14:textId="77777777" w:rsidR="00803B7D" w:rsidRPr="007A22DC" w:rsidRDefault="00803B7D" w:rsidP="001E2CB5">
      <w:pPr>
        <w:pStyle w:val="Przypis"/>
      </w:pPr>
      <w:r w:rsidRPr="007A22DC">
        <w:rPr>
          <w:rStyle w:val="Odwoanieprzypisudolnego"/>
        </w:rPr>
        <w:footnoteRef/>
      </w:r>
      <w:r w:rsidRPr="007A22DC">
        <w:t xml:space="preserve"> Ustawa z 7 września 2007 r. (Dz.U. z 2017 r. poz. 489, ze zm.).</w:t>
      </w:r>
    </w:p>
  </w:footnote>
  <w:footnote w:id="618">
    <w:p w14:paraId="03C7E615" w14:textId="77777777" w:rsidR="00803B7D" w:rsidRPr="007A22DC" w:rsidRDefault="00803B7D" w:rsidP="004417A4">
      <w:pPr>
        <w:pStyle w:val="Przypis"/>
      </w:pPr>
      <w:r w:rsidRPr="007A22DC">
        <w:rPr>
          <w:rStyle w:val="Odwoanieprzypisudolnego"/>
        </w:rPr>
        <w:footnoteRef/>
      </w:r>
      <w:r w:rsidRPr="007A22DC">
        <w:t xml:space="preserve"> </w:t>
      </w:r>
      <w:r w:rsidRPr="007A22DC">
        <w:rPr>
          <w:iCs/>
        </w:rPr>
        <w:t>Ustawa z 6 grudnia 2018 r. (</w:t>
      </w:r>
      <w:r w:rsidRPr="007A22DC">
        <w:t>Dz.U. z 2018 r., poz. 2432).</w:t>
      </w:r>
    </w:p>
  </w:footnote>
  <w:footnote w:id="619">
    <w:p w14:paraId="26D26516" w14:textId="77777777" w:rsidR="00803B7D" w:rsidRPr="007A22DC" w:rsidRDefault="00803B7D" w:rsidP="00C0413D">
      <w:pPr>
        <w:pStyle w:val="Przypis"/>
      </w:pPr>
      <w:r w:rsidRPr="007A22DC">
        <w:rPr>
          <w:rStyle w:val="Odwoanieprzypisudolnego"/>
        </w:rPr>
        <w:footnoteRef/>
      </w:r>
      <w:r w:rsidRPr="007A22DC">
        <w:t xml:space="preserve">Relacja z panelu: </w:t>
      </w:r>
      <w:hyperlink r:id="rId419" w:history="1">
        <w:r w:rsidRPr="007A22DC">
          <w:rPr>
            <w:rStyle w:val="Hipercze"/>
          </w:rPr>
          <w:t>https://www.rpo.gov.pl/pl/content/kongres-praw-rodzicielskich/panel/nieplacenie-alimentow-perspektywa-socjologiczna-przyczyny-skutki</w:t>
        </w:r>
      </w:hyperlink>
    </w:p>
  </w:footnote>
  <w:footnote w:id="620">
    <w:p w14:paraId="707CB777" w14:textId="77777777" w:rsidR="00803B7D" w:rsidRPr="007A22DC" w:rsidRDefault="00803B7D" w:rsidP="00C0413D">
      <w:pPr>
        <w:pStyle w:val="Przypis"/>
      </w:pPr>
      <w:r w:rsidRPr="007A22DC">
        <w:rPr>
          <w:rStyle w:val="Odwoanieprzypisudolnego"/>
        </w:rPr>
        <w:footnoteRef/>
      </w:r>
      <w:r w:rsidRPr="007A22DC">
        <w:t xml:space="preserve"> Relacje z paneli na portalu Kongresu, </w:t>
      </w:r>
      <w:hyperlink r:id="rId420" w:history="1">
        <w:r w:rsidRPr="007A22DC">
          <w:rPr>
            <w:rStyle w:val="Hipercze"/>
            <w:rFonts w:eastAsiaTheme="majorEastAsia"/>
          </w:rPr>
          <w:t>https://www.rpo.gov.pl/pl/content/kongres-praw-rodzicielskich</w:t>
        </w:r>
      </w:hyperlink>
    </w:p>
  </w:footnote>
  <w:footnote w:id="621">
    <w:p w14:paraId="7B97532A" w14:textId="77777777" w:rsidR="00803B7D" w:rsidRPr="007A22DC" w:rsidRDefault="00803B7D" w:rsidP="0014574C">
      <w:pPr>
        <w:pStyle w:val="Przypis"/>
      </w:pPr>
      <w:r w:rsidRPr="007A22DC">
        <w:rPr>
          <w:rStyle w:val="Odwoanieprzypisudolnego"/>
        </w:rPr>
        <w:footnoteRef/>
      </w:r>
      <w:r w:rsidRPr="007A22DC">
        <w:t xml:space="preserve"> </w:t>
      </w:r>
      <w:hyperlink r:id="rId421" w:history="1">
        <w:r w:rsidRPr="007A22DC">
          <w:rPr>
            <w:rStyle w:val="Hipercze"/>
          </w:rPr>
          <w:t>IV.502.5.2014</w:t>
        </w:r>
      </w:hyperlink>
      <w:r w:rsidRPr="007A22DC">
        <w:rPr>
          <w:rStyle w:val="PrzypisZnak"/>
        </w:rPr>
        <w:t xml:space="preserve"> z 22 października, odpowiedź z 28 grudnia 2018 r.</w:t>
      </w:r>
    </w:p>
  </w:footnote>
  <w:footnote w:id="622">
    <w:p w14:paraId="775E6F4F" w14:textId="77777777" w:rsidR="00803B7D" w:rsidRPr="007A22DC" w:rsidRDefault="00803B7D" w:rsidP="004067C5">
      <w:pPr>
        <w:pStyle w:val="Przypis"/>
      </w:pPr>
      <w:r w:rsidRPr="007A22DC">
        <w:rPr>
          <w:rStyle w:val="Odwoanieprzypisudolnego"/>
        </w:rPr>
        <w:footnoteRef/>
      </w:r>
      <w:r w:rsidRPr="007A22DC">
        <w:t xml:space="preserve"> Ustawa z 9 kwietnia 2010 r. o Służbie Więziennej, rozporządzenie Rady Ministrów z dnia 4 sierpnia 2010 r. w sprawie szczegółowego trybu działań funkcjonariuszy Służby Więziennej podczas wykonywania czynności służbowych.</w:t>
      </w:r>
    </w:p>
  </w:footnote>
  <w:footnote w:id="623">
    <w:p w14:paraId="7CE1300B" w14:textId="77777777" w:rsidR="00803B7D" w:rsidRPr="007A22DC" w:rsidRDefault="00803B7D" w:rsidP="00530F64">
      <w:pPr>
        <w:pStyle w:val="Tekstprzypisudolnego"/>
      </w:pPr>
      <w:r w:rsidRPr="007A22DC">
        <w:rPr>
          <w:rStyle w:val="Odwoanieprzypisudolnego"/>
        </w:rPr>
        <w:footnoteRef/>
      </w:r>
      <w:r w:rsidRPr="007A22DC">
        <w:t xml:space="preserve"> </w:t>
      </w:r>
      <w:r w:rsidRPr="007A22DC">
        <w:rPr>
          <w:rStyle w:val="PrzypisZnak"/>
        </w:rPr>
        <w:t>IX.517.2909.2017 z 5 lipca 2018 r., odpowiedź z 16 lipca 2018 r.</w:t>
      </w:r>
    </w:p>
  </w:footnote>
  <w:footnote w:id="624">
    <w:p w14:paraId="65FD0A0F" w14:textId="77777777" w:rsidR="00803B7D" w:rsidRPr="007A22DC" w:rsidRDefault="00803B7D" w:rsidP="0014574C">
      <w:pPr>
        <w:pStyle w:val="Przypis"/>
        <w:rPr>
          <w:rStyle w:val="PrzypisZnak"/>
        </w:rPr>
      </w:pPr>
      <w:r w:rsidRPr="007A22DC">
        <w:rPr>
          <w:rStyle w:val="Odwoanieprzypisudolnego"/>
        </w:rPr>
        <w:footnoteRef/>
      </w:r>
      <w:r w:rsidRPr="007A22DC">
        <w:t xml:space="preserve"> Interwencje RPO na </w:t>
      </w:r>
      <w:r w:rsidRPr="007A22DC">
        <w:rPr>
          <w:rStyle w:val="PrzypisZnak"/>
        </w:rPr>
        <w:t xml:space="preserve">policji w Białej Podlaskiej i w Szczecinie: </w:t>
      </w:r>
      <w:hyperlink r:id="rId422" w:history="1">
        <w:r w:rsidRPr="007A22DC">
          <w:rPr>
            <w:rStyle w:val="Hipercze"/>
          </w:rPr>
          <w:t>II.519.727.2018</w:t>
        </w:r>
      </w:hyperlink>
      <w:r w:rsidRPr="007A22DC">
        <w:rPr>
          <w:rStyle w:val="PrzypisZnak"/>
        </w:rPr>
        <w:t xml:space="preserve"> z 7 sierpnia 2018 r.</w:t>
      </w:r>
    </w:p>
  </w:footnote>
  <w:footnote w:id="625">
    <w:p w14:paraId="3777C93A" w14:textId="77777777" w:rsidR="00803B7D" w:rsidRPr="007A22DC" w:rsidRDefault="00803B7D" w:rsidP="00203C9C">
      <w:pPr>
        <w:pStyle w:val="Przypis"/>
      </w:pPr>
      <w:r w:rsidRPr="007A22DC">
        <w:rPr>
          <w:rStyle w:val="Odwoanieprzypisudolnego"/>
        </w:rPr>
        <w:footnoteRef/>
      </w:r>
      <w:r w:rsidRPr="007A22DC">
        <w:t xml:space="preserve"> </w:t>
      </w:r>
      <w:hyperlink r:id="rId423" w:history="1">
        <w:r w:rsidRPr="007A22DC">
          <w:rPr>
            <w:rStyle w:val="Hipercze"/>
            <w:shd w:val="clear" w:color="auto" w:fill="FFFFFF"/>
          </w:rPr>
          <w:t>II.564.2.2018</w:t>
        </w:r>
      </w:hyperlink>
      <w:r w:rsidRPr="007A22DC">
        <w:rPr>
          <w:shd w:val="clear" w:color="auto" w:fill="FFFFFF"/>
        </w:rPr>
        <w:t xml:space="preserve"> z 21 września 2018 r.</w:t>
      </w:r>
    </w:p>
  </w:footnote>
  <w:footnote w:id="626">
    <w:p w14:paraId="096F7F81" w14:textId="77777777" w:rsidR="00803B7D" w:rsidRPr="007A22DC" w:rsidRDefault="00803B7D" w:rsidP="0014574C">
      <w:pPr>
        <w:pStyle w:val="Przypis"/>
      </w:pPr>
      <w:r w:rsidRPr="007A22DC">
        <w:rPr>
          <w:rStyle w:val="Odwoanieprzypisudolnego"/>
        </w:rPr>
        <w:footnoteRef/>
      </w:r>
      <w:r w:rsidRPr="007A22DC">
        <w:t xml:space="preserve"> </w:t>
      </w:r>
      <w:hyperlink r:id="rId424" w:history="1">
        <w:r w:rsidRPr="007A22DC">
          <w:rPr>
            <w:rStyle w:val="Hipercze"/>
          </w:rPr>
          <w:t>VII.7033.15.2018</w:t>
        </w:r>
      </w:hyperlink>
      <w:r w:rsidRPr="007A22DC">
        <w:t xml:space="preserve"> z 15 maja 2018 r. i 10 sierpnia 2018 r.</w:t>
      </w:r>
    </w:p>
  </w:footnote>
  <w:footnote w:id="627">
    <w:p w14:paraId="157B2BA4" w14:textId="77777777" w:rsidR="00803B7D" w:rsidRPr="007A22DC" w:rsidRDefault="00803B7D" w:rsidP="0014574C">
      <w:pPr>
        <w:pStyle w:val="Przypis"/>
      </w:pPr>
      <w:r w:rsidRPr="007A22DC">
        <w:rPr>
          <w:rStyle w:val="Odwoanieprzypisudolnego"/>
        </w:rPr>
        <w:footnoteRef/>
      </w:r>
      <w:r w:rsidRPr="007A22DC">
        <w:t xml:space="preserve"> </w:t>
      </w:r>
      <w:hyperlink r:id="rId425" w:history="1">
        <w:r w:rsidRPr="007A22DC">
          <w:rPr>
            <w:rStyle w:val="Hipercze"/>
          </w:rPr>
          <w:t>VII.715.22.2018</w:t>
        </w:r>
      </w:hyperlink>
      <w:r w:rsidRPr="007A22DC">
        <w:t xml:space="preserve"> z 27 września 2018 r., odpowiedź z 16 października 2018 r.</w:t>
      </w:r>
    </w:p>
  </w:footnote>
  <w:footnote w:id="628">
    <w:p w14:paraId="3145F9C3" w14:textId="77777777" w:rsidR="00803B7D" w:rsidRPr="007A22DC" w:rsidRDefault="00803B7D" w:rsidP="0014574C">
      <w:pPr>
        <w:pStyle w:val="Przypis"/>
      </w:pPr>
      <w:r w:rsidRPr="007A22DC">
        <w:rPr>
          <w:rStyle w:val="Odwoanieprzypisudolnego"/>
        </w:rPr>
        <w:footnoteRef/>
      </w:r>
      <w:r w:rsidRPr="007A22DC">
        <w:t xml:space="preserve"> VII.7202.13.2018 z 25 czerwca 2018 r., sygn. akt K 4/18.</w:t>
      </w:r>
    </w:p>
  </w:footnote>
  <w:footnote w:id="629">
    <w:p w14:paraId="648B76BE" w14:textId="77777777" w:rsidR="00803B7D" w:rsidRPr="007A22DC" w:rsidRDefault="00803B7D" w:rsidP="0014574C">
      <w:pPr>
        <w:pStyle w:val="Przypis"/>
      </w:pPr>
      <w:r w:rsidRPr="007A22DC">
        <w:rPr>
          <w:rStyle w:val="Odwoanieprzypisudolnego"/>
        </w:rPr>
        <w:footnoteRef/>
      </w:r>
      <w:r w:rsidRPr="007A22DC">
        <w:t xml:space="preserve"> Ustawa z 22 marca 2018 r. (Dz.U. z 2017 r. poz. 1295 oraz z 2018 r. poz. 50 i 650).</w:t>
      </w:r>
    </w:p>
  </w:footnote>
  <w:footnote w:id="630">
    <w:p w14:paraId="55574D1C" w14:textId="77777777" w:rsidR="00803B7D" w:rsidRPr="007A22DC" w:rsidRDefault="00803B7D" w:rsidP="0014574C">
      <w:pPr>
        <w:pStyle w:val="Przypis"/>
      </w:pPr>
      <w:r w:rsidRPr="007A22DC">
        <w:rPr>
          <w:rStyle w:val="Odwoanieprzypisudolnego"/>
        </w:rPr>
        <w:footnoteRef/>
      </w:r>
      <w:r w:rsidRPr="007A22DC">
        <w:t xml:space="preserve"> Konwencja z 17 października 2003 r. (Dz.U. z 2011 r. Nr 172, poz. 1018).</w:t>
      </w:r>
    </w:p>
  </w:footnote>
  <w:footnote w:id="631">
    <w:p w14:paraId="11360F34" w14:textId="77777777" w:rsidR="00803B7D" w:rsidRPr="007A22DC" w:rsidRDefault="00803B7D" w:rsidP="00203C9C">
      <w:pPr>
        <w:pStyle w:val="Przypis"/>
      </w:pPr>
      <w:r w:rsidRPr="007A22DC">
        <w:rPr>
          <w:rStyle w:val="Odwoanieprzypisudolnego"/>
        </w:rPr>
        <w:footnoteRef/>
      </w:r>
      <w:r w:rsidRPr="007A22DC">
        <w:t xml:space="preserve"> VII.715.6.2018 z 17 maja 2018 r., 20 września 2018 r. i 30 listopada 2018 r., odpowiedź z 7 stycznia 2019 r.</w:t>
      </w:r>
    </w:p>
  </w:footnote>
  <w:footnote w:id="632">
    <w:p w14:paraId="61F2042C" w14:textId="77777777" w:rsidR="00803B7D" w:rsidRPr="007A22DC" w:rsidRDefault="00803B7D" w:rsidP="0014574C">
      <w:pPr>
        <w:pStyle w:val="Przypis"/>
      </w:pPr>
      <w:r w:rsidRPr="007A22DC">
        <w:rPr>
          <w:rStyle w:val="Odwoanieprzypisudolnego"/>
        </w:rPr>
        <w:footnoteRef/>
      </w:r>
      <w:r w:rsidRPr="007A22DC">
        <w:t xml:space="preserve"> Wyrok z 30 maja 2018 r., sygn. akt II C 1259/15</w:t>
      </w:r>
    </w:p>
  </w:footnote>
  <w:footnote w:id="633">
    <w:p w14:paraId="1C96F45D" w14:textId="77777777" w:rsidR="00803B7D" w:rsidRPr="007A22DC" w:rsidRDefault="00803B7D" w:rsidP="0014574C">
      <w:pPr>
        <w:pStyle w:val="Przypis"/>
      </w:pPr>
      <w:r w:rsidRPr="007A22DC">
        <w:rPr>
          <w:rStyle w:val="Odwoanieprzypisudolnego"/>
        </w:rPr>
        <w:footnoteRef/>
      </w:r>
      <w:r w:rsidRPr="007A22DC">
        <w:t xml:space="preserve"> </w:t>
      </w:r>
      <w:hyperlink r:id="rId426" w:history="1">
        <w:r w:rsidRPr="007A22DC">
          <w:rPr>
            <w:rStyle w:val="Hipercze"/>
          </w:rPr>
          <w:t>V.7200.17.2018</w:t>
        </w:r>
      </w:hyperlink>
      <w:r w:rsidRPr="007A22DC">
        <w:t xml:space="preserve"> z 30 listopada 2018 r., sygn. akt III Ca 1548/18.</w:t>
      </w:r>
    </w:p>
  </w:footnote>
  <w:footnote w:id="634">
    <w:p w14:paraId="6629483C" w14:textId="77777777" w:rsidR="00803B7D" w:rsidRPr="007A22DC" w:rsidRDefault="00803B7D" w:rsidP="000025CF">
      <w:pPr>
        <w:pStyle w:val="Przypis"/>
      </w:pPr>
      <w:r w:rsidRPr="007A22DC">
        <w:rPr>
          <w:rStyle w:val="Odwoanieprzypisudolnego"/>
          <w:rFonts w:eastAsiaTheme="majorEastAsia"/>
        </w:rPr>
        <w:footnoteRef/>
      </w:r>
      <w:r w:rsidRPr="007A22DC">
        <w:t xml:space="preserve"> </w:t>
      </w:r>
      <w:r w:rsidRPr="007A22DC">
        <w:rPr>
          <w:shd w:val="clear" w:color="auto" w:fill="FFFFFF"/>
        </w:rPr>
        <w:t>VI C 1043/18</w:t>
      </w:r>
    </w:p>
  </w:footnote>
  <w:footnote w:id="635">
    <w:p w14:paraId="58C50554" w14:textId="77777777" w:rsidR="00803B7D" w:rsidRPr="007A22DC" w:rsidRDefault="00744B2D" w:rsidP="0014574C">
      <w:pPr>
        <w:pStyle w:val="Przypis"/>
      </w:pPr>
      <w:hyperlink r:id="rId427" w:history="1">
        <w:r w:rsidR="00803B7D" w:rsidRPr="007A22DC">
          <w:rPr>
            <w:rStyle w:val="Hipercze"/>
            <w:vertAlign w:val="superscript"/>
          </w:rPr>
          <w:footnoteRef/>
        </w:r>
        <w:r w:rsidR="00803B7D" w:rsidRPr="007A22DC">
          <w:rPr>
            <w:rStyle w:val="Hipercze"/>
          </w:rPr>
          <w:t xml:space="preserve"> V.7203.38.2015</w:t>
        </w:r>
      </w:hyperlink>
      <w:r w:rsidR="00803B7D" w:rsidRPr="007A22DC">
        <w:t xml:space="preserve"> z dnia 20 sierpnia 2018 r., zobacz też Informacja RPO za 2017 r., str. 426.</w:t>
      </w:r>
    </w:p>
  </w:footnote>
  <w:footnote w:id="636">
    <w:p w14:paraId="196A5810" w14:textId="77777777" w:rsidR="00803B7D" w:rsidRPr="007A22DC" w:rsidRDefault="00803B7D" w:rsidP="0014574C">
      <w:pPr>
        <w:pStyle w:val="Przypis"/>
      </w:pPr>
      <w:r w:rsidRPr="007A22DC">
        <w:rPr>
          <w:rStyle w:val="Odwoanieprzypisudolnego"/>
        </w:rPr>
        <w:footnoteRef/>
      </w:r>
      <w:r w:rsidRPr="007A22DC">
        <w:t xml:space="preserve"> Rozporządzenie z 27 września 2018 r. (Dz.U. poz. 1890).</w:t>
      </w:r>
    </w:p>
  </w:footnote>
  <w:footnote w:id="637">
    <w:p w14:paraId="1FC10A8C"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428" w:history="1">
        <w:r w:rsidRPr="007A22DC">
          <w:rPr>
            <w:rStyle w:val="Hipercze"/>
          </w:rPr>
          <w:t>V.7200.28.2017</w:t>
        </w:r>
      </w:hyperlink>
      <w:r w:rsidRPr="007A22DC">
        <w:t xml:space="preserve"> z 12 lutego 2018 r. i 22 czerwca 2018 r., odpowiedź z 28 grudnia 2018 r.</w:t>
      </w:r>
    </w:p>
  </w:footnote>
  <w:footnote w:id="638">
    <w:p w14:paraId="4BBE6132"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429" w:history="1">
        <w:r w:rsidRPr="007A22DC">
          <w:rPr>
            <w:rStyle w:val="Hipercze"/>
          </w:rPr>
          <w:t>V.7203.68.2018</w:t>
        </w:r>
      </w:hyperlink>
      <w:r w:rsidRPr="007A22DC">
        <w:t xml:space="preserve"> z 12 października 2018 r.</w:t>
      </w:r>
    </w:p>
  </w:footnote>
  <w:footnote w:id="639">
    <w:p w14:paraId="61A387D0" w14:textId="77777777" w:rsidR="00803B7D" w:rsidRPr="007A22DC" w:rsidRDefault="00803B7D" w:rsidP="009F5010">
      <w:pPr>
        <w:pStyle w:val="Przypis"/>
      </w:pPr>
      <w:r w:rsidRPr="007A22DC">
        <w:rPr>
          <w:rStyle w:val="Odwoanieprzypisudolnego"/>
        </w:rPr>
        <w:footnoteRef/>
      </w:r>
      <w:r w:rsidRPr="007A22DC">
        <w:t xml:space="preserve">Relacja:  </w:t>
      </w:r>
      <w:hyperlink r:id="rId430" w:history="1">
        <w:r w:rsidRPr="007A22DC">
          <w:rPr>
            <w:rStyle w:val="Hipercze"/>
          </w:rPr>
          <w:t>https://www.rpo.gov.pl/pl/content/panel/sesja-11-prawo-do-czystego-środowiska-jako-prawo-człowieka-blok-c</w:t>
        </w:r>
      </w:hyperlink>
    </w:p>
  </w:footnote>
  <w:footnote w:id="640">
    <w:p w14:paraId="599E2FCC"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431" w:history="1">
        <w:r w:rsidRPr="007A22DC">
          <w:rPr>
            <w:rStyle w:val="Hipercze"/>
          </w:rPr>
          <w:t>V.7204.19.2018</w:t>
        </w:r>
      </w:hyperlink>
      <w:r w:rsidRPr="007A22DC">
        <w:t xml:space="preserve"> z 29 maja 2018 r., pismo Komendanta Głównego PSP z 20 czerwca 2018 r., pismo Głównego Inspektora Ochrony Środowiska z 25 lipca 2018 r.</w:t>
      </w:r>
    </w:p>
  </w:footnote>
  <w:footnote w:id="641">
    <w:p w14:paraId="249C7AE7" w14:textId="77777777" w:rsidR="00803B7D" w:rsidRPr="007A22DC" w:rsidRDefault="00803B7D" w:rsidP="009F5010">
      <w:pPr>
        <w:pStyle w:val="Przypis"/>
      </w:pPr>
      <w:r w:rsidRPr="007A22DC">
        <w:rPr>
          <w:rStyle w:val="Odwoanieprzypisudolnego"/>
          <w:rFonts w:eastAsiaTheme="majorEastAsia"/>
        </w:rPr>
        <w:footnoteRef/>
      </w:r>
      <w:r w:rsidRPr="007A22DC">
        <w:t xml:space="preserve"> </w:t>
      </w:r>
      <w:hyperlink r:id="rId432" w:history="1">
        <w:r w:rsidRPr="007A22DC">
          <w:rPr>
            <w:rStyle w:val="Hipercze"/>
          </w:rPr>
          <w:t>V.7204.29.2018</w:t>
        </w:r>
      </w:hyperlink>
      <w:r w:rsidRPr="007A22DC">
        <w:t xml:space="preserve"> z 29 sierpnia 2018 r., odpowiedź z 25 września 2018 r.</w:t>
      </w:r>
    </w:p>
  </w:footnote>
  <w:footnote w:id="642">
    <w:p w14:paraId="2223C8EF" w14:textId="77777777" w:rsidR="00803B7D" w:rsidRPr="007A22DC" w:rsidRDefault="00803B7D" w:rsidP="009F5010">
      <w:pPr>
        <w:pStyle w:val="Przypis"/>
      </w:pPr>
      <w:r w:rsidRPr="007A22DC">
        <w:rPr>
          <w:rStyle w:val="Odwoanieprzypisudolnego"/>
          <w:rFonts w:eastAsiaTheme="majorEastAsia"/>
        </w:rPr>
        <w:footnoteRef/>
      </w:r>
      <w:r w:rsidRPr="007A22DC">
        <w:t xml:space="preserve"> Ustawa z dnia 20 lipca 2018 r. o zmianie ustawy o odpadach oraz niektórych innych ustaw (Dz.U. poz. 1592).</w:t>
      </w:r>
    </w:p>
  </w:footnote>
  <w:footnote w:id="643">
    <w:p w14:paraId="51E04A92" w14:textId="77777777" w:rsidR="00803B7D" w:rsidRPr="007A22DC" w:rsidRDefault="00803B7D" w:rsidP="00D231A0">
      <w:pPr>
        <w:pStyle w:val="Tekstprzypisudolnego"/>
        <w:rPr>
          <w:sz w:val="18"/>
          <w:szCs w:val="18"/>
        </w:rPr>
      </w:pPr>
      <w:r w:rsidRPr="007A22DC">
        <w:rPr>
          <w:rStyle w:val="Odwoanieprzypisudolnego"/>
          <w:sz w:val="18"/>
          <w:szCs w:val="18"/>
        </w:rPr>
        <w:footnoteRef/>
      </w:r>
      <w:r w:rsidRPr="007A22DC">
        <w:rPr>
          <w:sz w:val="18"/>
          <w:szCs w:val="18"/>
        </w:rPr>
        <w:t xml:space="preserve"> Ustawa z dnia 20 lipca 2018 r. o zmianie ustawy o Inspekcji Ochrony Środowiska oraz niektórych innych ustaw (Dz.U. poz. 1479)</w:t>
      </w:r>
    </w:p>
  </w:footnote>
  <w:footnote w:id="644">
    <w:p w14:paraId="2499A366" w14:textId="77777777" w:rsidR="00803B7D" w:rsidRPr="007A22DC" w:rsidRDefault="00803B7D" w:rsidP="0014574C">
      <w:pPr>
        <w:pStyle w:val="Przypis"/>
      </w:pPr>
      <w:r w:rsidRPr="007A22DC">
        <w:rPr>
          <w:rStyle w:val="Odwoanieprzypisudolnego"/>
          <w:rFonts w:eastAsiaTheme="majorEastAsia"/>
        </w:rPr>
        <w:footnoteRef/>
      </w:r>
      <w:r w:rsidRPr="007A22DC">
        <w:t xml:space="preserve"> Wyrok z 7 grudnia 2017 r., sygn. akt II SA/Gd 626/17.</w:t>
      </w:r>
    </w:p>
  </w:footnote>
  <w:footnote w:id="645">
    <w:p w14:paraId="351E4A29" w14:textId="77777777" w:rsidR="00803B7D" w:rsidRPr="007A22DC" w:rsidRDefault="00803B7D" w:rsidP="0014574C">
      <w:pPr>
        <w:pStyle w:val="Przypis"/>
      </w:pPr>
      <w:r w:rsidRPr="007A22DC">
        <w:rPr>
          <w:rStyle w:val="Odwoanieprzypisudolnego"/>
          <w:rFonts w:eastAsiaTheme="majorEastAsia"/>
        </w:rPr>
        <w:footnoteRef/>
      </w:r>
      <w:r w:rsidRPr="007A22DC">
        <w:t xml:space="preserve"> V.7204.26.2017 z 7 lutego 2018 r.</w:t>
      </w:r>
    </w:p>
  </w:footnote>
  <w:footnote w:id="646">
    <w:p w14:paraId="660FD305" w14:textId="77777777" w:rsidR="00803B7D" w:rsidRPr="007A22DC" w:rsidRDefault="00803B7D" w:rsidP="0014574C">
      <w:pPr>
        <w:pStyle w:val="Przypis"/>
      </w:pPr>
      <w:r w:rsidRPr="007A22DC">
        <w:rPr>
          <w:rStyle w:val="Odwoanieprzypisudolnego"/>
        </w:rPr>
        <w:footnoteRef/>
      </w:r>
      <w:r w:rsidRPr="007A22DC">
        <w:t xml:space="preserve"> </w:t>
      </w:r>
      <w:hyperlink r:id="rId433" w:history="1">
        <w:r w:rsidRPr="007A22DC">
          <w:rPr>
            <w:rStyle w:val="Hipercze"/>
          </w:rPr>
          <w:t>IV.7000.44.201</w:t>
        </w:r>
      </w:hyperlink>
      <w:r w:rsidRPr="007A22DC">
        <w:rPr>
          <w:rStyle w:val="PrzypisZnak"/>
        </w:rPr>
        <w:t>5 z 26 września 2018 r., odpowiedź z 10 października 2018 r.</w:t>
      </w:r>
    </w:p>
  </w:footnote>
  <w:footnote w:id="647">
    <w:p w14:paraId="081F55A4" w14:textId="77777777" w:rsidR="00803B7D" w:rsidRPr="007A22DC" w:rsidRDefault="00803B7D" w:rsidP="00D52B5C">
      <w:pPr>
        <w:pStyle w:val="Tekstprzypisudolnego"/>
      </w:pPr>
      <w:r w:rsidRPr="007A22DC">
        <w:rPr>
          <w:rStyle w:val="Odwoanieprzypisudolnego"/>
          <w:rFonts w:eastAsiaTheme="minorHAnsi"/>
        </w:rPr>
        <w:footnoteRef/>
      </w:r>
      <w:r w:rsidRPr="007A22DC">
        <w:t xml:space="preserve"> Informacja roczna RPO za 2017 r., s.427 i nast.</w:t>
      </w:r>
    </w:p>
  </w:footnote>
  <w:footnote w:id="648">
    <w:p w14:paraId="35251A7E" w14:textId="77777777" w:rsidR="00803B7D" w:rsidRPr="007A22DC" w:rsidRDefault="00803B7D" w:rsidP="00D52B5C">
      <w:pPr>
        <w:pStyle w:val="Tekstprzypisudolnego"/>
      </w:pPr>
      <w:r w:rsidRPr="007A22DC">
        <w:rPr>
          <w:rStyle w:val="Odwoanieprzypisudolnego"/>
          <w:rFonts w:eastAsiaTheme="minorHAnsi"/>
        </w:rPr>
        <w:footnoteRef/>
      </w:r>
      <w:r w:rsidRPr="007A22DC">
        <w:t xml:space="preserve"> V.7203.78.2017 z 18 października 2018 r.</w:t>
      </w:r>
    </w:p>
  </w:footnote>
  <w:footnote w:id="649">
    <w:p w14:paraId="6B762A2A" w14:textId="77777777" w:rsidR="00803B7D" w:rsidRPr="007A22DC" w:rsidRDefault="00803B7D" w:rsidP="00D52B5C">
      <w:pPr>
        <w:pStyle w:val="Tekstprzypisudolnego"/>
      </w:pPr>
      <w:r w:rsidRPr="007A22DC">
        <w:rPr>
          <w:rStyle w:val="Odwoanieprzypisudolnego"/>
          <w:rFonts w:eastAsiaTheme="minorHAnsi"/>
        </w:rPr>
        <w:footnoteRef/>
      </w:r>
      <w:r w:rsidRPr="007A22DC">
        <w:t xml:space="preserve"> Informacja roczna RPO za 2017 r., s. 428</w:t>
      </w:r>
    </w:p>
  </w:footnote>
  <w:footnote w:id="650">
    <w:p w14:paraId="2F3C77A8" w14:textId="77777777" w:rsidR="00803B7D" w:rsidRPr="007A22DC" w:rsidRDefault="00803B7D" w:rsidP="00D52B5C">
      <w:pPr>
        <w:pStyle w:val="Tekstprzypisudolnego"/>
      </w:pPr>
      <w:r w:rsidRPr="007A22DC">
        <w:rPr>
          <w:rStyle w:val="Odwoanieprzypisudolnego"/>
          <w:rFonts w:eastAsiaTheme="minorHAnsi"/>
        </w:rPr>
        <w:footnoteRef/>
      </w:r>
      <w:r w:rsidRPr="007A22DC">
        <w:t xml:space="preserve"> Sygn. akt II OSK 1068/18.</w:t>
      </w:r>
    </w:p>
  </w:footnote>
  <w:footnote w:id="651">
    <w:p w14:paraId="3DC73F2C" w14:textId="77777777" w:rsidR="00803B7D" w:rsidRPr="007A22DC" w:rsidRDefault="00803B7D" w:rsidP="00D52B5C">
      <w:pPr>
        <w:pStyle w:val="Tekstprzypisudolnego"/>
      </w:pPr>
      <w:r w:rsidRPr="007A22DC">
        <w:rPr>
          <w:rStyle w:val="Odwoanieprzypisudolnego"/>
          <w:rFonts w:eastAsiaTheme="minorHAnsi"/>
        </w:rPr>
        <w:footnoteRef/>
      </w:r>
      <w:r w:rsidRPr="007A22DC">
        <w:t xml:space="preserve"> V.7200.8.2015.</w:t>
      </w:r>
    </w:p>
  </w:footnote>
  <w:footnote w:id="652">
    <w:p w14:paraId="1FCF5E57" w14:textId="77777777" w:rsidR="00803B7D" w:rsidRPr="007A22DC" w:rsidRDefault="00803B7D" w:rsidP="00D52B5C">
      <w:pPr>
        <w:pStyle w:val="Tekstprzypisudolnego"/>
      </w:pPr>
      <w:r w:rsidRPr="007A22DC">
        <w:rPr>
          <w:rStyle w:val="Odwoanieprzypisudolnego"/>
          <w:rFonts w:eastAsiaTheme="minorHAnsi"/>
        </w:rPr>
        <w:footnoteRef/>
      </w:r>
      <w:r w:rsidRPr="007A22DC">
        <w:t xml:space="preserve"> Pismo z 20 września 2018 r.</w:t>
      </w:r>
    </w:p>
  </w:footnote>
  <w:footnote w:id="653">
    <w:p w14:paraId="716303E6" w14:textId="77777777" w:rsidR="00803B7D" w:rsidRPr="007A22DC" w:rsidRDefault="00803B7D" w:rsidP="00D52B5C">
      <w:pPr>
        <w:pStyle w:val="Tekstprzypisudolnego"/>
      </w:pPr>
      <w:r w:rsidRPr="007A22DC">
        <w:rPr>
          <w:rStyle w:val="Odwoanieprzypisudolnego"/>
          <w:rFonts w:eastAsiaTheme="minorHAnsi"/>
        </w:rPr>
        <w:footnoteRef/>
      </w:r>
      <w:r w:rsidRPr="007A22DC">
        <w:t xml:space="preserve"> V.7200.8.2015 z 5 października 2018 r.</w:t>
      </w:r>
    </w:p>
  </w:footnote>
  <w:footnote w:id="654">
    <w:p w14:paraId="7E9975A7" w14:textId="77777777" w:rsidR="00803B7D" w:rsidRPr="007A22DC" w:rsidRDefault="00803B7D" w:rsidP="0014574C">
      <w:pPr>
        <w:pStyle w:val="Przypis"/>
      </w:pPr>
      <w:r w:rsidRPr="007A22DC">
        <w:rPr>
          <w:rStyle w:val="Odwoanieprzypisudolnego"/>
        </w:rPr>
        <w:footnoteRef/>
      </w:r>
      <w:r w:rsidRPr="007A22DC">
        <w:t xml:space="preserve"> Sprawa C-441/17, zobacz też </w:t>
      </w:r>
      <w:hyperlink r:id="rId434" w:history="1">
        <w:r w:rsidRPr="007A22DC">
          <w:rPr>
            <w:rStyle w:val="Hipercze"/>
            <w:rFonts w:eastAsiaTheme="majorEastAsia"/>
          </w:rPr>
          <w:t>https://www.rpo.gov.pl/pl/content/wyrok-ts-ue-ws-puszczy-bialowieskiej-jej-obrona-byla-uzasadniona</w:t>
        </w:r>
      </w:hyperlink>
    </w:p>
  </w:footnote>
  <w:footnote w:id="655">
    <w:p w14:paraId="60438579" w14:textId="77777777" w:rsidR="00803B7D" w:rsidRPr="007A22DC" w:rsidRDefault="00803B7D" w:rsidP="00D231A0">
      <w:pPr>
        <w:pStyle w:val="Przypis"/>
      </w:pPr>
      <w:r w:rsidRPr="007A22DC">
        <w:rPr>
          <w:rStyle w:val="Odwoanieprzypisudolnego"/>
        </w:rPr>
        <w:footnoteRef/>
      </w:r>
      <w:r w:rsidRPr="007A22DC">
        <w:t xml:space="preserve"> Zobacz też: </w:t>
      </w:r>
      <w:hyperlink r:id="rId435" w:history="1">
        <w:r w:rsidRPr="007A22DC">
          <w:rPr>
            <w:rStyle w:val="Hipercze"/>
            <w:rFonts w:eastAsiaTheme="majorEastAsia"/>
          </w:rPr>
          <w:t>https://www.rpo.gov.pl/pl/postepowania-strategiczne-rpo/sprawa-puszczy-białowieskiej</w:t>
        </w:r>
      </w:hyperlink>
    </w:p>
  </w:footnote>
  <w:footnote w:id="656">
    <w:p w14:paraId="19644BE6" w14:textId="77777777" w:rsidR="00803B7D" w:rsidRPr="007A22DC" w:rsidRDefault="00803B7D" w:rsidP="0014574C">
      <w:pPr>
        <w:pStyle w:val="Przypis"/>
      </w:pPr>
      <w:r w:rsidRPr="007A22DC">
        <w:rPr>
          <w:rStyle w:val="Odwoanieprzypisudolnego"/>
        </w:rPr>
        <w:footnoteRef/>
      </w:r>
      <w:r w:rsidRPr="007A22DC">
        <w:t xml:space="preserve"> </w:t>
      </w:r>
      <w:hyperlink r:id="rId436" w:history="1">
        <w:r w:rsidRPr="007A22DC">
          <w:rPr>
            <w:rStyle w:val="Hipercze"/>
          </w:rPr>
          <w:t>V.7200.5.2018</w:t>
        </w:r>
      </w:hyperlink>
      <w:r w:rsidRPr="007A22DC">
        <w:t xml:space="preserve"> z 10 maja 2018 r., odpowiedź z 7 czerwca 2018 r.</w:t>
      </w:r>
    </w:p>
  </w:footnote>
  <w:footnote w:id="657">
    <w:p w14:paraId="37C08155" w14:textId="77777777" w:rsidR="00803B7D" w:rsidRPr="007A22DC" w:rsidRDefault="00803B7D" w:rsidP="0014574C">
      <w:pPr>
        <w:pStyle w:val="Przypis"/>
      </w:pPr>
      <w:r w:rsidRPr="007A22DC">
        <w:rPr>
          <w:rStyle w:val="Odwoanieprzypisudolnego"/>
        </w:rPr>
        <w:footnoteRef/>
      </w:r>
      <w:r w:rsidRPr="007A22DC">
        <w:t xml:space="preserve"> Postępowanie </w:t>
      </w:r>
      <w:r w:rsidRPr="007A22DC">
        <w:rPr>
          <w:bCs/>
          <w:iCs/>
        </w:rPr>
        <w:t>nr 2016/20722.</w:t>
      </w:r>
    </w:p>
  </w:footnote>
  <w:footnote w:id="658">
    <w:p w14:paraId="6F2E7E5B" w14:textId="77777777" w:rsidR="00803B7D" w:rsidRPr="007A22DC" w:rsidRDefault="00803B7D" w:rsidP="0014574C">
      <w:pPr>
        <w:pStyle w:val="Przypis"/>
      </w:pPr>
      <w:r w:rsidRPr="007A22DC">
        <w:rPr>
          <w:rStyle w:val="Odwoanieprzypisudolnego"/>
        </w:rPr>
        <w:footnoteRef/>
      </w:r>
      <w:r w:rsidRPr="007A22DC">
        <w:t xml:space="preserve"> Ustawa z 30 listopada 1995 r. (Dz.U. z 2016 r., poz. 1779).</w:t>
      </w:r>
    </w:p>
  </w:footnote>
  <w:footnote w:id="659">
    <w:p w14:paraId="65B25926" w14:textId="77777777" w:rsidR="00803B7D" w:rsidRPr="007A22DC" w:rsidRDefault="00803B7D" w:rsidP="0014574C">
      <w:pPr>
        <w:pStyle w:val="Przypis"/>
      </w:pPr>
      <w:r w:rsidRPr="007A22DC">
        <w:rPr>
          <w:rStyle w:val="Odwoanieprzypisudolnego"/>
        </w:rPr>
        <w:footnoteRef/>
      </w:r>
      <w:r w:rsidRPr="007A22DC">
        <w:t xml:space="preserve"> </w:t>
      </w:r>
      <w:hyperlink r:id="rId437" w:history="1">
        <w:r w:rsidRPr="007A22DC">
          <w:rPr>
            <w:rStyle w:val="Hipercze"/>
          </w:rPr>
          <w:t>IV.7216.19.2016</w:t>
        </w:r>
      </w:hyperlink>
      <w:r w:rsidRPr="007A22DC">
        <w:t xml:space="preserve"> z 15 stycznia 2018 r., 10 października 2018 r., odpowiedzi z 20 lutego 2018 r., zobacz też Informacja RPO za 2017 r., str. 442</w:t>
      </w:r>
    </w:p>
  </w:footnote>
  <w:footnote w:id="660">
    <w:p w14:paraId="0612FCD2" w14:textId="77777777" w:rsidR="00803B7D" w:rsidRPr="007A22DC" w:rsidRDefault="00803B7D" w:rsidP="001916FF">
      <w:pPr>
        <w:pStyle w:val="Przypis"/>
      </w:pPr>
      <w:r w:rsidRPr="007A22DC">
        <w:rPr>
          <w:rStyle w:val="Odwoanieprzypisudolnego"/>
        </w:rPr>
        <w:footnoteRef/>
      </w:r>
      <w:r w:rsidRPr="007A22DC">
        <w:t xml:space="preserve"> Por: </w:t>
      </w:r>
      <w:hyperlink r:id="rId438" w:history="1">
        <w:r w:rsidRPr="007A22DC">
          <w:rPr>
            <w:rStyle w:val="Hipercze"/>
            <w:rFonts w:eastAsiaTheme="majorEastAsia"/>
          </w:rPr>
          <w:t>https://mieszkanieplus.gov.pl/100-tysiecy-mieszkan-na-roznym-etapie-realizacji-do-konca-roku-w-ramach-programu-mieszkanie-plus/</w:t>
        </w:r>
      </w:hyperlink>
    </w:p>
  </w:footnote>
  <w:footnote w:id="661">
    <w:p w14:paraId="2179BAFD" w14:textId="77777777" w:rsidR="00803B7D" w:rsidRPr="007A22DC" w:rsidRDefault="00803B7D" w:rsidP="006C34AF">
      <w:pPr>
        <w:pStyle w:val="Przypis"/>
      </w:pPr>
      <w:r w:rsidRPr="007A22DC">
        <w:rPr>
          <w:rStyle w:val="Odwoanieprzypisudolnego"/>
        </w:rPr>
        <w:footnoteRef/>
      </w:r>
      <w:r w:rsidRPr="007A22DC">
        <w:t xml:space="preserve"> </w:t>
      </w:r>
      <w:hyperlink r:id="rId439" w:history="1">
        <w:r w:rsidRPr="007A22DC">
          <w:rPr>
            <w:rStyle w:val="Hipercze"/>
          </w:rPr>
          <w:t>IV.7216.19.2016</w:t>
        </w:r>
      </w:hyperlink>
      <w:r w:rsidRPr="007A22DC">
        <w:t xml:space="preserve"> z 8 maja 2018 r., odpowiedź z 18 czerwca 2018 r.</w:t>
      </w:r>
    </w:p>
  </w:footnote>
  <w:footnote w:id="662">
    <w:p w14:paraId="56074650" w14:textId="77777777" w:rsidR="00803B7D" w:rsidRPr="007A22DC" w:rsidRDefault="00803B7D" w:rsidP="0014574C">
      <w:pPr>
        <w:pStyle w:val="Przypis"/>
      </w:pPr>
      <w:r w:rsidRPr="007A22DC">
        <w:rPr>
          <w:rStyle w:val="Odwoanieprzypisudolnego"/>
        </w:rPr>
        <w:footnoteRef/>
      </w:r>
      <w:r w:rsidRPr="007A22DC">
        <w:t xml:space="preserve"> </w:t>
      </w:r>
      <w:hyperlink r:id="rId440" w:history="1">
        <w:r w:rsidRPr="007A22DC">
          <w:rPr>
            <w:rStyle w:val="Hipercze"/>
          </w:rPr>
          <w:t>IV.7213.4.2018</w:t>
        </w:r>
      </w:hyperlink>
      <w:r w:rsidRPr="007A22DC">
        <w:t xml:space="preserve"> z 21 listopada 2018 r., z braku odpowiedzi wystąpienie ponowione 2 kwietnia 2019 r.</w:t>
      </w:r>
    </w:p>
  </w:footnote>
  <w:footnote w:id="663">
    <w:p w14:paraId="7021530F" w14:textId="77777777" w:rsidR="00803B7D" w:rsidRPr="007A22DC" w:rsidRDefault="00803B7D" w:rsidP="0014574C">
      <w:pPr>
        <w:pStyle w:val="Przypis"/>
      </w:pPr>
      <w:r w:rsidRPr="007A22DC">
        <w:rPr>
          <w:rStyle w:val="Odwoanieprzypisudolnego"/>
        </w:rPr>
        <w:footnoteRef/>
      </w:r>
      <w:r w:rsidRPr="007A22DC">
        <w:t xml:space="preserve"> Dz.U. z 2018 r. poz. 756.</w:t>
      </w:r>
    </w:p>
  </w:footnote>
  <w:footnote w:id="664">
    <w:p w14:paraId="497C6B26" w14:textId="77777777" w:rsidR="00803B7D" w:rsidRPr="007A22DC" w:rsidRDefault="00803B7D" w:rsidP="0014574C">
      <w:pPr>
        <w:pStyle w:val="Przypis"/>
      </w:pPr>
      <w:r w:rsidRPr="007A22DC">
        <w:rPr>
          <w:rStyle w:val="Odwoanieprzypisudolnego"/>
        </w:rPr>
        <w:footnoteRef/>
      </w:r>
      <w:r w:rsidRPr="007A22DC">
        <w:t xml:space="preserve"> </w:t>
      </w:r>
      <w:hyperlink r:id="rId441" w:history="1">
        <w:r w:rsidRPr="007A22DC">
          <w:rPr>
            <w:rStyle w:val="Hipercze"/>
          </w:rPr>
          <w:t>IV.7210.14.2018</w:t>
        </w:r>
      </w:hyperlink>
      <w:r w:rsidRPr="007A22DC">
        <w:t xml:space="preserve"> z 11 maja 2018 r., odpowiedź z 8 czerwca 2018 r.</w:t>
      </w:r>
    </w:p>
  </w:footnote>
  <w:footnote w:id="665">
    <w:p w14:paraId="45275EA8" w14:textId="77777777" w:rsidR="00803B7D" w:rsidRPr="007A22DC" w:rsidRDefault="00803B7D" w:rsidP="0014574C">
      <w:pPr>
        <w:pStyle w:val="Przypis"/>
      </w:pPr>
      <w:r w:rsidRPr="007A22DC">
        <w:rPr>
          <w:rStyle w:val="Odwoanieprzypisudolnego"/>
        </w:rPr>
        <w:footnoteRef/>
      </w:r>
      <w:r w:rsidRPr="007A22DC">
        <w:t xml:space="preserve"> </w:t>
      </w:r>
      <w:hyperlink r:id="rId442" w:history="1">
        <w:r w:rsidRPr="007A22DC">
          <w:rPr>
            <w:rStyle w:val="Hipercze"/>
          </w:rPr>
          <w:t>IV.7214.130.2017</w:t>
        </w:r>
      </w:hyperlink>
      <w:r w:rsidRPr="007A22DC">
        <w:t xml:space="preserve"> z 27 lutego 2018 r., odpowiedź z 27 kwietnia 2018 r.</w:t>
      </w:r>
    </w:p>
  </w:footnote>
  <w:footnote w:id="666">
    <w:p w14:paraId="1267224F" w14:textId="77777777" w:rsidR="00803B7D" w:rsidRPr="007A22DC" w:rsidRDefault="00803B7D" w:rsidP="0014574C">
      <w:pPr>
        <w:pStyle w:val="Przypis"/>
      </w:pPr>
      <w:r w:rsidRPr="007A22DC">
        <w:rPr>
          <w:rStyle w:val="Odwoanieprzypisudolnego"/>
        </w:rPr>
        <w:footnoteRef/>
      </w:r>
      <w:r w:rsidRPr="007A22DC">
        <w:t xml:space="preserve"> </w:t>
      </w:r>
      <w:hyperlink r:id="rId443" w:history="1">
        <w:r w:rsidRPr="007A22DC">
          <w:rPr>
            <w:rStyle w:val="Hipercze"/>
          </w:rPr>
          <w:t>IV.7214.130.2017</w:t>
        </w:r>
      </w:hyperlink>
      <w:r w:rsidRPr="007A22DC">
        <w:t xml:space="preserve"> z 7 września 2018 r., odpowiedź z 9 października 2018 r.</w:t>
      </w:r>
    </w:p>
  </w:footnote>
  <w:footnote w:id="667">
    <w:p w14:paraId="199BEAEC" w14:textId="77777777" w:rsidR="00803B7D" w:rsidRPr="007A22DC" w:rsidRDefault="00744B2D" w:rsidP="00BD0A0E">
      <w:pPr>
        <w:pStyle w:val="Przypis"/>
      </w:pPr>
      <w:hyperlink r:id="rId444" w:anchor="overlay-context=pl/content/trzeba-poprawic-przepisy-pozwalajace-na-eksmisje-do-noclegowni-dzieci-lub-chorych-cz%25C5%2582onkow-rodziny-wlasciciela-ktory-traci-mieszkanie-za-dlugi" w:history="1">
        <w:r w:rsidR="00803B7D" w:rsidRPr="007A22DC">
          <w:rPr>
            <w:rStyle w:val="Hipercze"/>
            <w:vertAlign w:val="superscript"/>
          </w:rPr>
          <w:footnoteRef/>
        </w:r>
        <w:r w:rsidR="00803B7D" w:rsidRPr="007A22DC">
          <w:rPr>
            <w:rStyle w:val="Hipercze"/>
          </w:rPr>
          <w:t xml:space="preserve"> IV.7211.101.2016</w:t>
        </w:r>
      </w:hyperlink>
      <w:r w:rsidR="00803B7D" w:rsidRPr="007A22DC">
        <w:t xml:space="preserve"> z 18 stycznia 2018 r., Wyrok WSA z […] z 25 kwietnia 2018 r., sygn. akt IV SA/Po 146/18</w:t>
      </w:r>
    </w:p>
  </w:footnote>
  <w:footnote w:id="668">
    <w:p w14:paraId="0D901862" w14:textId="77777777" w:rsidR="00803B7D" w:rsidRPr="007A22DC" w:rsidRDefault="00803B7D" w:rsidP="0014574C">
      <w:pPr>
        <w:pStyle w:val="Przypis"/>
      </w:pPr>
      <w:r w:rsidRPr="007A22DC">
        <w:rPr>
          <w:rStyle w:val="Odwoanieprzypisudolnego"/>
        </w:rPr>
        <w:footnoteRef/>
      </w:r>
      <w:r w:rsidRPr="007A22DC">
        <w:t xml:space="preserve"> Relacja z wystąpienia RPO na europejskiej konferencji </w:t>
      </w:r>
      <w:r w:rsidRPr="007A22DC">
        <w:rPr>
          <w:shd w:val="clear" w:color="auto" w:fill="FFFFFF"/>
        </w:rPr>
        <w:t>Podejście oparte o prawa człowieka w pracy z osobami bezdomnymi ze wsparciem EFS”</w:t>
      </w:r>
      <w:r w:rsidRPr="007A22DC">
        <w:t xml:space="preserve"> </w:t>
      </w:r>
      <w:hyperlink r:id="rId445" w:history="1">
        <w:r w:rsidRPr="007A22DC">
          <w:rPr>
            <w:rStyle w:val="Hipercze"/>
            <w:rFonts w:eastAsiaTheme="majorEastAsia"/>
          </w:rPr>
          <w:t>https://www.rpo.gov.pl/pl/content/rpo-ma-nadzieje-ze-karta-praw-osob-bezdomnych-przyczyni-sie-do-systemowego-rozwiazania-problemu</w:t>
        </w:r>
      </w:hyperlink>
    </w:p>
  </w:footnote>
  <w:footnote w:id="669">
    <w:p w14:paraId="6C04275D" w14:textId="77777777" w:rsidR="00803B7D" w:rsidRPr="007A22DC" w:rsidRDefault="00803B7D" w:rsidP="0014574C">
      <w:pPr>
        <w:pStyle w:val="Przypis"/>
      </w:pPr>
      <w:r w:rsidRPr="007A22DC">
        <w:rPr>
          <w:rStyle w:val="Odwoanieprzypisudolnego"/>
        </w:rPr>
        <w:footnoteRef/>
      </w:r>
      <w:r w:rsidRPr="007A22DC">
        <w:t>Relacja:</w:t>
      </w:r>
      <w:r w:rsidRPr="007A22DC">
        <w:rPr>
          <w:rStyle w:val="Hipercze"/>
          <w:rFonts w:eastAsiaTheme="majorEastAsia"/>
        </w:rPr>
        <w:t xml:space="preserve"> </w:t>
      </w:r>
      <w:hyperlink r:id="rId446" w:history="1">
        <w:r w:rsidRPr="007A22DC">
          <w:rPr>
            <w:rStyle w:val="Hipercze"/>
            <w:rFonts w:eastAsiaTheme="majorEastAsia"/>
          </w:rPr>
          <w:t>https://www.rpo.gov.pl/pl/content/panel/sesja-24-bezdomność-jako-wyzwanie-dla-samorządów-lokalnych-blok-c</w:t>
        </w:r>
      </w:hyperlink>
    </w:p>
  </w:footnote>
  <w:footnote w:id="670">
    <w:p w14:paraId="76670ABA" w14:textId="77777777" w:rsidR="00803B7D" w:rsidRPr="007A22DC" w:rsidRDefault="00803B7D" w:rsidP="0014574C">
      <w:pPr>
        <w:pStyle w:val="Przypis"/>
      </w:pPr>
      <w:r w:rsidRPr="007A22DC">
        <w:rPr>
          <w:rStyle w:val="Odwoanieprzypisudolnego"/>
        </w:rPr>
        <w:footnoteRef/>
      </w:r>
      <w:r w:rsidRPr="007A22DC">
        <w:t xml:space="preserve"> Ustawa z 14 czerwca 2007 r. (Dz.U. Nr 125, poz. 873, ze zm.). </w:t>
      </w:r>
    </w:p>
  </w:footnote>
  <w:footnote w:id="671">
    <w:p w14:paraId="6A1369CB" w14:textId="77777777" w:rsidR="00803B7D" w:rsidRPr="007A22DC" w:rsidRDefault="00803B7D" w:rsidP="0014574C">
      <w:pPr>
        <w:pStyle w:val="Przypis"/>
      </w:pPr>
      <w:r w:rsidRPr="007A22DC">
        <w:rPr>
          <w:rStyle w:val="Odwoanieprzypisudolnego"/>
        </w:rPr>
        <w:footnoteRef/>
      </w:r>
      <w:r w:rsidRPr="007A22DC">
        <w:t xml:space="preserve"> </w:t>
      </w:r>
      <w:hyperlink r:id="rId447" w:history="1">
        <w:r w:rsidRPr="007A22DC">
          <w:rPr>
            <w:rStyle w:val="Hipercze"/>
          </w:rPr>
          <w:t>IV.7212.1.2018</w:t>
        </w:r>
      </w:hyperlink>
      <w:r w:rsidRPr="007A22DC">
        <w:t xml:space="preserve"> z 12 marca 2018 r., odpowiedź z 17 kwietnia 2018 r.</w:t>
      </w:r>
    </w:p>
  </w:footnote>
  <w:footnote w:id="672">
    <w:p w14:paraId="05CE8411" w14:textId="77777777" w:rsidR="00803B7D" w:rsidRPr="007A22DC" w:rsidRDefault="00803B7D" w:rsidP="0014574C">
      <w:pPr>
        <w:pStyle w:val="Przypis"/>
      </w:pPr>
      <w:r w:rsidRPr="007A22DC">
        <w:rPr>
          <w:rStyle w:val="Odwoanieprzypisudolnego"/>
        </w:rPr>
        <w:footnoteRef/>
      </w:r>
      <w:r w:rsidRPr="007A22DC">
        <w:t xml:space="preserve"> </w:t>
      </w:r>
      <w:hyperlink r:id="rId448" w:history="1">
        <w:r w:rsidRPr="007A22DC">
          <w:rPr>
            <w:rStyle w:val="Hipercze"/>
          </w:rPr>
          <w:t>IV.7211.54.2018</w:t>
        </w:r>
      </w:hyperlink>
      <w:r w:rsidRPr="007A22DC">
        <w:t xml:space="preserve"> z 5 kwietnia 2018 r. i 23 sierpnia 2018 r., odpowiedź z 7 maja 2018 r.</w:t>
      </w:r>
    </w:p>
  </w:footnote>
  <w:footnote w:id="673">
    <w:p w14:paraId="5EAD2231" w14:textId="77777777" w:rsidR="00803B7D" w:rsidRPr="007A22DC" w:rsidRDefault="00803B7D" w:rsidP="0014574C">
      <w:pPr>
        <w:pStyle w:val="Przypis"/>
      </w:pPr>
      <w:r w:rsidRPr="007A22DC">
        <w:rPr>
          <w:rStyle w:val="Odwoanieprzypisudolnego"/>
        </w:rPr>
        <w:footnoteRef/>
      </w:r>
      <w:r w:rsidRPr="007A22DC">
        <w:t xml:space="preserve"> Ustawa z 20 lipca 2017 r. (Dz.U. z 2017 r. poz. 1596).</w:t>
      </w:r>
    </w:p>
  </w:footnote>
  <w:footnote w:id="674">
    <w:p w14:paraId="33059D79" w14:textId="77777777" w:rsidR="00803B7D" w:rsidRPr="007A22DC" w:rsidRDefault="00803B7D" w:rsidP="0014574C">
      <w:pPr>
        <w:pStyle w:val="Przypis"/>
      </w:pPr>
      <w:r w:rsidRPr="007A22DC">
        <w:rPr>
          <w:rStyle w:val="Odwoanieprzypisudolnego"/>
        </w:rPr>
        <w:footnoteRef/>
      </w:r>
      <w:r w:rsidRPr="007A22DC">
        <w:t xml:space="preserve"> Sygn. akt III CZP 104/12 (Biul.SN 2013/5/7).</w:t>
      </w:r>
    </w:p>
  </w:footnote>
  <w:footnote w:id="675">
    <w:p w14:paraId="79770578" w14:textId="77777777" w:rsidR="00803B7D" w:rsidRPr="007A22DC" w:rsidRDefault="00803B7D" w:rsidP="0014574C">
      <w:pPr>
        <w:pStyle w:val="Przypis"/>
      </w:pPr>
      <w:r w:rsidRPr="007A22DC">
        <w:rPr>
          <w:rStyle w:val="Odwoanieprzypisudolnego"/>
        </w:rPr>
        <w:footnoteRef/>
      </w:r>
      <w:r w:rsidRPr="007A22DC">
        <w:t xml:space="preserve"> Druk sejmowy nr 1624</w:t>
      </w:r>
    </w:p>
  </w:footnote>
  <w:footnote w:id="676">
    <w:p w14:paraId="6619B69E" w14:textId="77777777" w:rsidR="00803B7D" w:rsidRPr="007A22DC" w:rsidRDefault="00803B7D" w:rsidP="00B60A08">
      <w:pPr>
        <w:pStyle w:val="Przypis"/>
      </w:pPr>
      <w:r w:rsidRPr="007A22DC">
        <w:rPr>
          <w:rStyle w:val="Odwoanieprzypisudolnego"/>
          <w:szCs w:val="18"/>
        </w:rPr>
        <w:footnoteRef/>
      </w:r>
      <w:r w:rsidRPr="007A22DC">
        <w:rPr>
          <w:szCs w:val="18"/>
        </w:rPr>
        <w:t xml:space="preserve"> </w:t>
      </w:r>
      <w:hyperlink r:id="rId449" w:history="1">
        <w:r w:rsidRPr="007A22DC">
          <w:rPr>
            <w:rStyle w:val="Hipercze"/>
            <w:szCs w:val="18"/>
          </w:rPr>
          <w:t>IV.7211.8.2018</w:t>
        </w:r>
      </w:hyperlink>
      <w:r w:rsidRPr="007A22DC">
        <w:rPr>
          <w:szCs w:val="18"/>
        </w:rPr>
        <w:t xml:space="preserve"> z 23 sierpnia 2018 r., odpowiedź MiR z 21 września 201u r., wniosek RPO do TK: </w:t>
      </w:r>
      <w:hyperlink r:id="rId450" w:history="1">
        <w:r w:rsidRPr="007A22DC">
          <w:rPr>
            <w:rStyle w:val="Hipercze"/>
            <w:szCs w:val="18"/>
            <w:shd w:val="clear" w:color="auto" w:fill="FFFFFF"/>
          </w:rPr>
          <w:t>IV.7210.58.2017</w:t>
        </w:r>
      </w:hyperlink>
    </w:p>
  </w:footnote>
  <w:footnote w:id="677">
    <w:p w14:paraId="037FA624" w14:textId="77777777" w:rsidR="00803B7D" w:rsidRPr="007A22DC" w:rsidRDefault="00803B7D">
      <w:pPr>
        <w:pStyle w:val="Tekstprzypisudolnego"/>
      </w:pPr>
      <w:r w:rsidRPr="007A22DC">
        <w:rPr>
          <w:rStyle w:val="Odwoanieprzypisudolnego"/>
        </w:rPr>
        <w:footnoteRef/>
      </w:r>
      <w:r w:rsidRPr="007A22DC">
        <w:t xml:space="preserve"> Wyrok TK z 14 marca 2018 r., sygn. akt P 7/16.</w:t>
      </w:r>
    </w:p>
  </w:footnote>
  <w:footnote w:id="678">
    <w:p w14:paraId="53156547" w14:textId="77777777" w:rsidR="00803B7D" w:rsidRPr="007A22DC" w:rsidRDefault="00803B7D" w:rsidP="0014574C">
      <w:pPr>
        <w:pStyle w:val="Przypis"/>
      </w:pPr>
      <w:r w:rsidRPr="007A22DC">
        <w:rPr>
          <w:rStyle w:val="Odwoanieprzypisudolnego"/>
        </w:rPr>
        <w:footnoteRef/>
      </w:r>
      <w:r w:rsidRPr="007A22DC">
        <w:t xml:space="preserve"> IV.7210.15.2016, Informacja RPO za 2016 r., str. 295</w:t>
      </w:r>
    </w:p>
  </w:footnote>
  <w:footnote w:id="679">
    <w:p w14:paraId="76DB4974" w14:textId="77777777" w:rsidR="00803B7D" w:rsidRPr="007A22DC" w:rsidRDefault="00803B7D" w:rsidP="0014574C">
      <w:pPr>
        <w:pStyle w:val="Przypis"/>
      </w:pPr>
      <w:r w:rsidRPr="007A22DC">
        <w:rPr>
          <w:rStyle w:val="Odwoanieprzypisudolnego"/>
        </w:rPr>
        <w:footnoteRef/>
      </w:r>
      <w:r w:rsidRPr="007A22DC">
        <w:t xml:space="preserve"> </w:t>
      </w:r>
      <w:hyperlink r:id="rId451" w:history="1">
        <w:r w:rsidRPr="007A22DC">
          <w:rPr>
            <w:rStyle w:val="Hipercze"/>
          </w:rPr>
          <w:t>IV.7215.186.2016</w:t>
        </w:r>
      </w:hyperlink>
      <w:r w:rsidRPr="007A22DC">
        <w:t xml:space="preserve"> z 7 listopada 2018 r., odpowiedź z 29 listopada 2018 r., zobacz też Informacja RPO za 2017 r., str. 444-445</w:t>
      </w:r>
    </w:p>
  </w:footnote>
  <w:footnote w:id="680">
    <w:p w14:paraId="559DE039" w14:textId="77777777" w:rsidR="00803B7D" w:rsidRPr="007A22DC" w:rsidRDefault="00803B7D" w:rsidP="00855FEB">
      <w:pPr>
        <w:pStyle w:val="Przypis"/>
      </w:pPr>
      <w:r w:rsidRPr="007A22DC">
        <w:rPr>
          <w:rStyle w:val="Odwoanieprzypisudolnego"/>
          <w:rFonts w:eastAsiaTheme="majorEastAsia"/>
        </w:rPr>
        <w:footnoteRef/>
      </w:r>
      <w:r w:rsidRPr="007A22DC">
        <w:t xml:space="preserve"> </w:t>
      </w:r>
      <w:hyperlink r:id="rId452" w:history="1">
        <w:r w:rsidRPr="007A22DC">
          <w:rPr>
            <w:rStyle w:val="Hipercze"/>
          </w:rPr>
          <w:t>V.510.84.2018</w:t>
        </w:r>
      </w:hyperlink>
      <w:r w:rsidRPr="007A22DC">
        <w:t xml:space="preserve"> z 26 czerwca 2018 r.; z odpowiedzi MS z 6 marca 2019 r. wynika, że trwają prace nad zmianą prawa upadłościowego</w:t>
      </w:r>
    </w:p>
  </w:footnote>
  <w:footnote w:id="681">
    <w:p w14:paraId="24AFD8EE" w14:textId="77777777" w:rsidR="00803B7D" w:rsidRPr="007A22DC" w:rsidRDefault="00803B7D" w:rsidP="002A0915">
      <w:pPr>
        <w:pStyle w:val="Przypis"/>
      </w:pPr>
      <w:r w:rsidRPr="007A22DC">
        <w:rPr>
          <w:rStyle w:val="Odwoanieprzypisudolnego"/>
        </w:rPr>
        <w:footnoteRef/>
      </w:r>
      <w:r w:rsidRPr="007A22DC">
        <w:t xml:space="preserve"> Druk nr 3480 Sejmu RP VIII kadencji.</w:t>
      </w:r>
    </w:p>
  </w:footnote>
  <w:footnote w:id="682">
    <w:p w14:paraId="0921DD5C"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453" w:history="1">
        <w:r w:rsidRPr="007A22DC">
          <w:rPr>
            <w:rStyle w:val="Hipercze"/>
          </w:rPr>
          <w:t>V.510.37.2018</w:t>
        </w:r>
      </w:hyperlink>
      <w:r w:rsidRPr="007A22DC">
        <w:t xml:space="preserve"> z 30 marca 2018 r.</w:t>
      </w:r>
    </w:p>
  </w:footnote>
  <w:footnote w:id="683">
    <w:p w14:paraId="7335BD0E"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454" w:history="1">
        <w:r w:rsidRPr="007A22DC">
          <w:rPr>
            <w:rStyle w:val="Hipercze"/>
          </w:rPr>
          <w:t>V.510.38.201</w:t>
        </w:r>
      </w:hyperlink>
      <w:r w:rsidRPr="007A22DC">
        <w:t xml:space="preserve">8 z 6 września 2018 r., </w:t>
      </w:r>
      <w:hyperlink r:id="rId455" w:history="1">
        <w:r w:rsidRPr="007A22DC">
          <w:rPr>
            <w:rStyle w:val="Hipercze"/>
          </w:rPr>
          <w:t>odpowiedź z 9 października 2018 r.</w:t>
        </w:r>
      </w:hyperlink>
    </w:p>
  </w:footnote>
  <w:footnote w:id="684">
    <w:p w14:paraId="6FA2A97C" w14:textId="77777777" w:rsidR="00803B7D" w:rsidRPr="007A22DC" w:rsidRDefault="00803B7D" w:rsidP="005555FD">
      <w:pPr>
        <w:pStyle w:val="Przypis"/>
      </w:pPr>
      <w:r w:rsidRPr="007A22DC">
        <w:rPr>
          <w:rStyle w:val="Odwoanieprzypisudolnego"/>
          <w:rFonts w:eastAsiaTheme="majorEastAsia"/>
        </w:rPr>
        <w:footnoteRef/>
      </w:r>
      <w:r w:rsidRPr="007A22DC">
        <w:t xml:space="preserve"> </w:t>
      </w:r>
      <w:hyperlink r:id="rId456" w:history="1">
        <w:r w:rsidRPr="007A22DC">
          <w:rPr>
            <w:rStyle w:val="Hipercze"/>
          </w:rPr>
          <w:t>V.7224.122.2018</w:t>
        </w:r>
      </w:hyperlink>
      <w:r w:rsidRPr="007A22DC">
        <w:t xml:space="preserve"> z 14 grudnia 2018 r., odpowiedź z 29 stycznia 2019 r.</w:t>
      </w:r>
    </w:p>
  </w:footnote>
  <w:footnote w:id="685">
    <w:p w14:paraId="4E4CED5C" w14:textId="77777777" w:rsidR="00803B7D" w:rsidRPr="007A22DC" w:rsidRDefault="00803B7D" w:rsidP="0014574C">
      <w:pPr>
        <w:pStyle w:val="Przypis"/>
      </w:pPr>
      <w:r w:rsidRPr="007A22DC">
        <w:rPr>
          <w:rStyle w:val="Odwoanieprzypisudolnego"/>
        </w:rPr>
        <w:footnoteRef/>
      </w:r>
      <w:r w:rsidRPr="007A22DC">
        <w:t xml:space="preserve"> Relacja: </w:t>
      </w:r>
      <w:hyperlink r:id="rId457" w:history="1">
        <w:r w:rsidRPr="007A22DC">
          <w:rPr>
            <w:rStyle w:val="Hipercze"/>
            <w:rFonts w:eastAsiaTheme="majorEastAsia"/>
          </w:rPr>
          <w:t>https://www.rpo.gov.pl/pl/content/kluczem-do-rozwiazania-sprawy-kredytow-frankowych-jest-lepsza-znajomosc-prawa-europejskiego</w:t>
        </w:r>
      </w:hyperlink>
    </w:p>
  </w:footnote>
  <w:footnote w:id="686">
    <w:p w14:paraId="783AD13D"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458" w:history="1">
        <w:r w:rsidRPr="007A22DC">
          <w:rPr>
            <w:rStyle w:val="Hipercze"/>
          </w:rPr>
          <w:t>V.7108.75.2018</w:t>
        </w:r>
      </w:hyperlink>
      <w:r w:rsidRPr="007A22DC">
        <w:t xml:space="preserve"> z 17 października 2018 r., odpowiedź z 14 listopada 2018 r.</w:t>
      </w:r>
    </w:p>
  </w:footnote>
  <w:footnote w:id="687">
    <w:p w14:paraId="037A03CE" w14:textId="77777777" w:rsidR="00803B7D" w:rsidRPr="007A22DC" w:rsidRDefault="00803B7D" w:rsidP="0014574C">
      <w:pPr>
        <w:pStyle w:val="Przypis"/>
      </w:pPr>
      <w:r w:rsidRPr="007A22DC">
        <w:rPr>
          <w:rStyle w:val="Odwoanieprzypisudolnego"/>
        </w:rPr>
        <w:footnoteRef/>
      </w:r>
      <w:r w:rsidRPr="007A22DC">
        <w:t xml:space="preserve"> </w:t>
      </w:r>
      <w:hyperlink r:id="rId459" w:history="1">
        <w:r w:rsidRPr="007A22DC">
          <w:rPr>
            <w:rStyle w:val="Hipercze"/>
            <w:shd w:val="clear" w:color="auto" w:fill="FFFFFF"/>
          </w:rPr>
          <w:t>V.7106.6.2018</w:t>
        </w:r>
      </w:hyperlink>
      <w:r w:rsidRPr="007A22DC">
        <w:rPr>
          <w:shd w:val="clear" w:color="auto" w:fill="FFFFFF"/>
        </w:rPr>
        <w:t xml:space="preserve"> z 23 października 2018 r. do Prokuratora Krajowego (odp. z 30 października 2018 r.), do KNF (odp. z 14 lutego 2019) i do Rzecznika Finansowego (odp. z 6 lutego 2019 r.)</w:t>
      </w:r>
    </w:p>
  </w:footnote>
  <w:footnote w:id="688">
    <w:p w14:paraId="7AF0A603"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460" w:anchor="overlay-context=pl/content/komitet-ministr%25C3%25B3w-rady-europy-o-braku-realnego-dost%25C4%2599pu-do-legalnej-aborcji-w-polsce-rpo-pyta-o" w:history="1">
        <w:r w:rsidRPr="007A22DC">
          <w:rPr>
            <w:rStyle w:val="Hipercze"/>
          </w:rPr>
          <w:t>V.7224.263.2014</w:t>
        </w:r>
      </w:hyperlink>
      <w:r w:rsidRPr="007A22DC">
        <w:t xml:space="preserve"> z 17 stycznia 2018 r., odpowiedź z 6 marca 2018 r.</w:t>
      </w:r>
    </w:p>
  </w:footnote>
  <w:footnote w:id="689">
    <w:p w14:paraId="7D1DB96C" w14:textId="77777777" w:rsidR="00803B7D" w:rsidRDefault="00803B7D" w:rsidP="002A0915">
      <w:pPr>
        <w:pStyle w:val="Przypis"/>
      </w:pPr>
      <w:r>
        <w:rPr>
          <w:rStyle w:val="Odwoanieprzypisudolnego"/>
        </w:rPr>
        <w:footnoteRef/>
      </w:r>
      <w:r>
        <w:t xml:space="preserve"> </w:t>
      </w:r>
      <w:r w:rsidRPr="00D86284">
        <w:t>V.7224.157.2017</w:t>
      </w:r>
      <w:r>
        <w:t>, pismo z 28 grudnia 2017 r., odpowiedź z 11 lipca 2018 r.</w:t>
      </w:r>
    </w:p>
  </w:footnote>
  <w:footnote w:id="690">
    <w:p w14:paraId="785F59A5" w14:textId="77777777" w:rsidR="00803B7D" w:rsidRPr="007A22DC" w:rsidRDefault="00803B7D" w:rsidP="002A0915">
      <w:pPr>
        <w:pStyle w:val="Przypis"/>
      </w:pPr>
      <w:r w:rsidRPr="007A22DC">
        <w:rPr>
          <w:rStyle w:val="Odwoanieprzypisudolnego"/>
        </w:rPr>
        <w:footnoteRef/>
      </w:r>
      <w:r w:rsidRPr="007A22DC">
        <w:t xml:space="preserve"> Dz.U. 2010 nr 7 poz. 44</w:t>
      </w:r>
    </w:p>
  </w:footnote>
  <w:footnote w:id="691">
    <w:p w14:paraId="7CFF010E" w14:textId="77777777" w:rsidR="00803B7D" w:rsidRPr="007A22DC" w:rsidRDefault="00803B7D" w:rsidP="002A0915">
      <w:pPr>
        <w:pStyle w:val="Przypis"/>
      </w:pPr>
      <w:r w:rsidRPr="007A22DC">
        <w:rPr>
          <w:rStyle w:val="Odwoanieprzypisudolnego"/>
          <w:rFonts w:eastAsiaTheme="majorEastAsia"/>
        </w:rPr>
        <w:footnoteRef/>
      </w:r>
      <w:r w:rsidRPr="007A22DC">
        <w:t xml:space="preserve"> V.510.18.2018 z 22 lutego 2018 r., odpowiedź z 27 kwietnia 2018 r.</w:t>
      </w:r>
    </w:p>
  </w:footnote>
  <w:footnote w:id="692">
    <w:p w14:paraId="5DD86880" w14:textId="77777777" w:rsidR="00803B7D" w:rsidRPr="007A22DC" w:rsidRDefault="00803B7D" w:rsidP="002A0915">
      <w:pPr>
        <w:pStyle w:val="Przypis"/>
      </w:pPr>
      <w:r w:rsidRPr="007A22DC">
        <w:rPr>
          <w:rStyle w:val="Odwoanieprzypisudolnego"/>
        </w:rPr>
        <w:footnoteRef/>
      </w:r>
      <w:r w:rsidRPr="007A22DC">
        <w:t xml:space="preserve"> </w:t>
      </w:r>
      <w:r w:rsidRPr="007A22DC">
        <w:rPr>
          <w:rStyle w:val="PrzypisZnak"/>
        </w:rPr>
        <w:t>Problem braku możliwości dochodzenia roszczeń pracowniczych w drodze postępowań zbiorowych opisany w Informacjo Rocznej za rok 2016, s. 41, sprawa w BRPO II.7043.41.2016</w:t>
      </w:r>
    </w:p>
  </w:footnote>
  <w:footnote w:id="693">
    <w:p w14:paraId="522DDE6D" w14:textId="77777777" w:rsidR="00803B7D" w:rsidRPr="007A22DC" w:rsidRDefault="00803B7D" w:rsidP="002A0915">
      <w:pPr>
        <w:pStyle w:val="Przypis"/>
      </w:pPr>
      <w:r w:rsidRPr="007A22DC">
        <w:rPr>
          <w:rStyle w:val="Odwoanieprzypisudolnego"/>
        </w:rPr>
        <w:footnoteRef/>
      </w:r>
      <w:r w:rsidRPr="007A22DC">
        <w:t xml:space="preserve"> V.7108.165.2017, z 14 lutego 2018 r.</w:t>
      </w:r>
    </w:p>
  </w:footnote>
  <w:footnote w:id="694">
    <w:p w14:paraId="44BAD2F7" w14:textId="77777777" w:rsidR="00803B7D" w:rsidRPr="007A22DC" w:rsidRDefault="00803B7D" w:rsidP="0074073A">
      <w:pPr>
        <w:pStyle w:val="Przypis"/>
      </w:pPr>
      <w:r w:rsidRPr="007A22DC">
        <w:rPr>
          <w:rStyle w:val="Odwoanieprzypisudolnego"/>
        </w:rPr>
        <w:footnoteRef/>
      </w:r>
      <w:r w:rsidRPr="007A22DC">
        <w:t xml:space="preserve"> Dz. U. 1997 Nr 89 poz. 555</w:t>
      </w:r>
    </w:p>
  </w:footnote>
  <w:footnote w:id="695">
    <w:p w14:paraId="4E3C1FA0" w14:textId="77777777" w:rsidR="00803B7D" w:rsidRPr="007A22DC" w:rsidRDefault="00744B2D" w:rsidP="0014574C">
      <w:pPr>
        <w:pStyle w:val="Przypis"/>
      </w:pPr>
      <w:hyperlink r:id="rId461" w:history="1">
        <w:r w:rsidR="00803B7D" w:rsidRPr="007A22DC">
          <w:rPr>
            <w:rStyle w:val="Hipercze"/>
            <w:vertAlign w:val="superscript"/>
          </w:rPr>
          <w:footnoteRef/>
        </w:r>
        <w:r w:rsidR="00803B7D" w:rsidRPr="007A22DC">
          <w:rPr>
            <w:rStyle w:val="Hipercze"/>
          </w:rPr>
          <w:t xml:space="preserve"> II.513.2.2018</w:t>
        </w:r>
      </w:hyperlink>
      <w:r w:rsidR="00803B7D" w:rsidRPr="007A22DC">
        <w:t xml:space="preserve"> z 4 lipca 2018 r.</w:t>
      </w:r>
    </w:p>
  </w:footnote>
  <w:footnote w:id="696">
    <w:p w14:paraId="73962B6B" w14:textId="77777777" w:rsidR="00803B7D" w:rsidRPr="007A22DC" w:rsidRDefault="00803B7D" w:rsidP="0014574C">
      <w:pPr>
        <w:pStyle w:val="Przypis"/>
      </w:pPr>
      <w:r w:rsidRPr="007A22DC">
        <w:rPr>
          <w:rStyle w:val="Odwoanieprzypisudolnego"/>
        </w:rPr>
        <w:footnoteRef/>
      </w:r>
      <w:r w:rsidRPr="007A22DC">
        <w:t xml:space="preserve"> Ustawa z 23 lutego 1991 r. (Dz.U. z 2017 r., poz. 1987, ze zm.)</w:t>
      </w:r>
    </w:p>
  </w:footnote>
  <w:footnote w:id="697">
    <w:p w14:paraId="630C9018" w14:textId="77777777" w:rsidR="00803B7D" w:rsidRPr="007A22DC" w:rsidRDefault="00803B7D" w:rsidP="0014574C">
      <w:pPr>
        <w:pStyle w:val="Przypis"/>
      </w:pPr>
      <w:r w:rsidRPr="007A22DC">
        <w:rPr>
          <w:rStyle w:val="Odwoanieprzypisudolnego"/>
        </w:rPr>
        <w:footnoteRef/>
      </w:r>
      <w:r w:rsidRPr="007A22DC">
        <w:t xml:space="preserve"> Informacja RPO za 2017 r., str. 456, sprawa w BRPO </w:t>
      </w:r>
      <w:hyperlink r:id="rId462" w:history="1">
        <w:r w:rsidRPr="007A22DC">
          <w:rPr>
            <w:rStyle w:val="Hipercze"/>
          </w:rPr>
          <w:t>II.513.17.2014</w:t>
        </w:r>
      </w:hyperlink>
    </w:p>
  </w:footnote>
  <w:footnote w:id="698">
    <w:p w14:paraId="7400DC08" w14:textId="77777777" w:rsidR="00803B7D" w:rsidRPr="007A22DC" w:rsidRDefault="00803B7D" w:rsidP="0014574C">
      <w:pPr>
        <w:pStyle w:val="Przypis"/>
        <w:rPr>
          <w:rStyle w:val="PrzypisZnak"/>
        </w:rPr>
      </w:pPr>
      <w:r w:rsidRPr="007A22DC">
        <w:rPr>
          <w:rStyle w:val="Odwoanieprzypisudolnego"/>
        </w:rPr>
        <w:footnoteRef/>
      </w:r>
      <w:r w:rsidRPr="007A22DC">
        <w:t xml:space="preserve"> </w:t>
      </w:r>
      <w:hyperlink r:id="rId463" w:history="1">
        <w:r w:rsidRPr="007A22DC">
          <w:rPr>
            <w:rStyle w:val="Hipercze"/>
          </w:rPr>
          <w:t>II.513.17.2014</w:t>
        </w:r>
      </w:hyperlink>
      <w:r w:rsidRPr="007A22DC">
        <w:rPr>
          <w:rStyle w:val="PrzypisZnak"/>
        </w:rPr>
        <w:t xml:space="preserve"> z 12 października 2018 r., odpowiedź z 29 listopada 2018 r.</w:t>
      </w:r>
    </w:p>
  </w:footnote>
  <w:footnote w:id="699">
    <w:p w14:paraId="60060DA6" w14:textId="77777777" w:rsidR="00803B7D" w:rsidRPr="007A22DC" w:rsidRDefault="00803B7D" w:rsidP="00B96CEE">
      <w:pPr>
        <w:pStyle w:val="Przypis"/>
      </w:pPr>
      <w:r w:rsidRPr="007A22DC">
        <w:rPr>
          <w:rStyle w:val="Odwoanieprzypisudolnego"/>
        </w:rPr>
        <w:footnoteRef/>
      </w:r>
      <w:r w:rsidRPr="007A22DC">
        <w:t xml:space="preserve"> </w:t>
      </w:r>
      <w:r w:rsidRPr="007A22DC">
        <w:rPr>
          <w:rStyle w:val="PrzypisZnak"/>
        </w:rPr>
        <w:t>Jest tych gatunków 592. Nie wolno m.in. zabijać, okaleczać, chwytać, płoszyć czy też niszczyć ich siedlisk. Lista znajduje się w rozporządzeniu Ministra Środowiska z 16 grudnia 2016 r. w sprawie ochrony gatunkowej zwierząt, Dz.U. 2016 poz. 2183</w:t>
      </w:r>
    </w:p>
  </w:footnote>
  <w:footnote w:id="700">
    <w:p w14:paraId="63468520" w14:textId="77777777" w:rsidR="00803B7D" w:rsidRPr="007A22DC" w:rsidRDefault="00803B7D" w:rsidP="00976F10">
      <w:pPr>
        <w:pStyle w:val="Przypis"/>
      </w:pPr>
      <w:r w:rsidRPr="007A22DC">
        <w:rPr>
          <w:rStyle w:val="Odwoanieprzypisudolnego"/>
        </w:rPr>
        <w:footnoteRef/>
      </w:r>
      <w:r w:rsidRPr="007A22DC">
        <w:t xml:space="preserve"> Ustawa z 16 kwietnia 2004 r. (Dz.U. z 2018 r. poz. 1614), art. 126 ust. 1</w:t>
      </w:r>
    </w:p>
  </w:footnote>
  <w:footnote w:id="701">
    <w:p w14:paraId="236E0514" w14:textId="77777777" w:rsidR="00803B7D" w:rsidRPr="007A22DC" w:rsidRDefault="00803B7D" w:rsidP="00DD3BF6">
      <w:pPr>
        <w:pStyle w:val="Przypis"/>
      </w:pPr>
      <w:r w:rsidRPr="007A22DC">
        <w:rPr>
          <w:rStyle w:val="Odwoanieprzypisudolnego"/>
        </w:rPr>
        <w:footnoteRef/>
      </w:r>
      <w:r w:rsidRPr="007A22DC">
        <w:t xml:space="preserve"> </w:t>
      </w:r>
      <w:hyperlink r:id="rId464" w:history="1">
        <w:r w:rsidRPr="007A22DC">
          <w:rPr>
            <w:rStyle w:val="Hipercze"/>
          </w:rPr>
          <w:t>V.7202.13.2018</w:t>
        </w:r>
      </w:hyperlink>
      <w:r w:rsidRPr="007A22DC">
        <w:t xml:space="preserve"> z 12 października 2018 r., odpowiedź z 15 grudnia 2018 r.</w:t>
      </w:r>
    </w:p>
  </w:footnote>
  <w:footnote w:id="702">
    <w:p w14:paraId="4EC58BAF" w14:textId="77777777" w:rsidR="00803B7D" w:rsidRPr="007A22DC" w:rsidRDefault="00803B7D" w:rsidP="00DA6999">
      <w:pPr>
        <w:pStyle w:val="Przypis"/>
      </w:pPr>
      <w:r w:rsidRPr="007A22DC">
        <w:rPr>
          <w:rStyle w:val="Odwoanieprzypisudolnego"/>
        </w:rPr>
        <w:footnoteRef/>
      </w:r>
      <w:r w:rsidRPr="007A22DC">
        <w:t xml:space="preserve"> </w:t>
      </w:r>
      <w:hyperlink r:id="rId465" w:history="1">
        <w:r w:rsidRPr="007A22DC">
          <w:rPr>
            <w:rStyle w:val="Hipercze"/>
            <w:rFonts w:eastAsiaTheme="majorEastAsia"/>
          </w:rPr>
          <w:t>https://www.rpo.gov.pl/pl/content/sprawa-tomasza-komendy-powinna-stac-sie-w-koncu-powaznym-impulsem-dla-wladz-oswiadczenie-kmpt</w:t>
        </w:r>
      </w:hyperlink>
    </w:p>
  </w:footnote>
  <w:footnote w:id="703">
    <w:p w14:paraId="0B8C93FE" w14:textId="77777777" w:rsidR="00803B7D" w:rsidRPr="007A22DC" w:rsidRDefault="00803B7D" w:rsidP="0014574C">
      <w:pPr>
        <w:pStyle w:val="Przypis"/>
      </w:pPr>
      <w:r w:rsidRPr="007A22DC">
        <w:rPr>
          <w:rStyle w:val="Odwoanieprzypisudolnego"/>
        </w:rPr>
        <w:footnoteRef/>
      </w:r>
      <w:r w:rsidRPr="007A22DC">
        <w:t xml:space="preserve"> Wyrok TK z 14 grudnia 2017 r., sygn. akt K 17/14.</w:t>
      </w:r>
    </w:p>
  </w:footnote>
  <w:footnote w:id="704">
    <w:p w14:paraId="2B161B77" w14:textId="77777777" w:rsidR="00803B7D" w:rsidRPr="007A22DC" w:rsidRDefault="00803B7D" w:rsidP="00F167C6">
      <w:pPr>
        <w:pStyle w:val="Przypis"/>
      </w:pPr>
      <w:r w:rsidRPr="007A22DC">
        <w:rPr>
          <w:rStyle w:val="Odwoanieprzypisudolnego"/>
        </w:rPr>
        <w:footnoteRef/>
      </w:r>
      <w:r w:rsidRPr="007A22DC">
        <w:t xml:space="preserve"> Ustawa z 8 grudnia 2017 r. (Dz.U. z 2017 r. poz. 138).</w:t>
      </w:r>
    </w:p>
  </w:footnote>
  <w:footnote w:id="705">
    <w:p w14:paraId="0A2873CF" w14:textId="77777777" w:rsidR="00803B7D" w:rsidRPr="007A22DC" w:rsidRDefault="00803B7D" w:rsidP="00F167C6">
      <w:pPr>
        <w:pStyle w:val="Przypis"/>
      </w:pPr>
      <w:r w:rsidRPr="007A22DC">
        <w:rPr>
          <w:rStyle w:val="Odwoanieprzypisudolnego"/>
        </w:rPr>
        <w:footnoteRef/>
      </w:r>
      <w:r w:rsidRPr="007A22DC">
        <w:t xml:space="preserve"> Informacja za rok 2017, s. 122</w:t>
      </w:r>
    </w:p>
  </w:footnote>
  <w:footnote w:id="706">
    <w:p w14:paraId="4CEF7BEE" w14:textId="77777777" w:rsidR="00803B7D" w:rsidRPr="007A22DC" w:rsidRDefault="00803B7D" w:rsidP="0014574C">
      <w:pPr>
        <w:pStyle w:val="Przypis"/>
      </w:pPr>
      <w:r w:rsidRPr="007A22DC">
        <w:rPr>
          <w:rStyle w:val="Odwoanieprzypisudolnego"/>
        </w:rPr>
        <w:footnoteRef/>
      </w:r>
      <w:r w:rsidRPr="007A22DC">
        <w:t xml:space="preserve"> </w:t>
      </w:r>
      <w:hyperlink r:id="rId466" w:history="1">
        <w:r w:rsidRPr="007A22DC">
          <w:rPr>
            <w:rStyle w:val="Hipercze"/>
          </w:rPr>
          <w:t>II.501.4.2017</w:t>
        </w:r>
      </w:hyperlink>
      <w:r w:rsidRPr="007A22DC">
        <w:t xml:space="preserve"> z 17 stycznia 2018 r.</w:t>
      </w:r>
    </w:p>
  </w:footnote>
  <w:footnote w:id="707">
    <w:p w14:paraId="1A7227FD" w14:textId="77777777" w:rsidR="00803B7D" w:rsidRPr="007A22DC" w:rsidRDefault="00803B7D" w:rsidP="0014574C">
      <w:pPr>
        <w:pStyle w:val="Przypis"/>
      </w:pPr>
      <w:r w:rsidRPr="007A22DC">
        <w:rPr>
          <w:rStyle w:val="Odwoanieprzypisudolnego"/>
        </w:rPr>
        <w:footnoteRef/>
      </w:r>
      <w:r w:rsidRPr="007A22DC">
        <w:t xml:space="preserve"> </w:t>
      </w:r>
      <w:hyperlink r:id="rId467" w:history="1">
        <w:r w:rsidRPr="007A22DC">
          <w:rPr>
            <w:rStyle w:val="Hipercze"/>
          </w:rPr>
          <w:t>II.501.4.2017</w:t>
        </w:r>
      </w:hyperlink>
      <w:r w:rsidRPr="007A22DC">
        <w:t xml:space="preserve"> z 22 stycznia 2018 r., r., odpowiedź MSWiA z 26 lutego 2018 r. </w:t>
      </w:r>
    </w:p>
  </w:footnote>
  <w:footnote w:id="708">
    <w:p w14:paraId="2874D62D" w14:textId="77777777" w:rsidR="00803B7D" w:rsidRPr="007A22DC" w:rsidRDefault="00803B7D" w:rsidP="00F167C6">
      <w:pPr>
        <w:pStyle w:val="Przypis"/>
      </w:pPr>
      <w:r w:rsidRPr="007A22DC">
        <w:rPr>
          <w:rStyle w:val="Odwoanieprzypisudolnego"/>
        </w:rPr>
        <w:footnoteRef/>
      </w:r>
      <w:r w:rsidRPr="007A22DC">
        <w:t xml:space="preserve"> art. 146 § 1 ustawy z dnia 14 czerwca 1960 r. Kodeks postępowania administracyjnego (Dz.U. z 2017 r. poz. 1257)</w:t>
      </w:r>
    </w:p>
  </w:footnote>
  <w:footnote w:id="709">
    <w:p w14:paraId="254937D8" w14:textId="77777777" w:rsidR="00803B7D" w:rsidRPr="007A22DC" w:rsidRDefault="00803B7D" w:rsidP="0014574C">
      <w:pPr>
        <w:pStyle w:val="Przypis"/>
      </w:pPr>
      <w:r w:rsidRPr="007A22DC">
        <w:rPr>
          <w:rStyle w:val="Odwoanieprzypisudolnego"/>
        </w:rPr>
        <w:footnoteRef/>
      </w:r>
      <w:r w:rsidRPr="007A22DC">
        <w:t xml:space="preserve"> </w:t>
      </w:r>
      <w:hyperlink r:id="rId468" w:history="1">
        <w:r w:rsidRPr="007A22DC">
          <w:rPr>
            <w:rStyle w:val="Hipercze"/>
          </w:rPr>
          <w:t>V.511.466.2017</w:t>
        </w:r>
      </w:hyperlink>
      <w:r w:rsidRPr="007A22DC">
        <w:t xml:space="preserve"> z 30 stycznia 2018 r., odpowiedź z 8 marca 2018 r..</w:t>
      </w:r>
    </w:p>
  </w:footnote>
  <w:footnote w:id="710">
    <w:p w14:paraId="04F0157E" w14:textId="77777777" w:rsidR="00803B7D" w:rsidRPr="007A22DC" w:rsidRDefault="00803B7D" w:rsidP="00B473F5">
      <w:pPr>
        <w:pStyle w:val="Przypis"/>
      </w:pPr>
      <w:r w:rsidRPr="007A22DC">
        <w:rPr>
          <w:rStyle w:val="Odwoanieprzypisudolnego"/>
        </w:rPr>
        <w:footnoteRef/>
      </w:r>
      <w:r w:rsidRPr="007A22DC">
        <w:t xml:space="preserve"> </w:t>
      </w:r>
      <w:hyperlink r:id="rId469" w:history="1">
        <w:r w:rsidRPr="007A22DC">
          <w:rPr>
            <w:rStyle w:val="Hipercze"/>
          </w:rPr>
          <w:t>VII.712.1.2016</w:t>
        </w:r>
      </w:hyperlink>
      <w:r w:rsidRPr="007A22DC">
        <w:t xml:space="preserve"> z 17 stycznia 2018 r., odpowiedź z 21 lutego 2018 r.</w:t>
      </w:r>
    </w:p>
  </w:footnote>
  <w:footnote w:id="711">
    <w:p w14:paraId="097522D9" w14:textId="77777777" w:rsidR="00803B7D" w:rsidRPr="007A22DC" w:rsidRDefault="00803B7D" w:rsidP="0014574C">
      <w:pPr>
        <w:pStyle w:val="Przypis"/>
      </w:pPr>
      <w:r w:rsidRPr="007A22DC">
        <w:rPr>
          <w:rStyle w:val="Odwoanieprzypisudolnego"/>
        </w:rPr>
        <w:footnoteRef/>
      </w:r>
      <w:r w:rsidRPr="007A22DC">
        <w:t xml:space="preserve"> </w:t>
      </w:r>
      <w:hyperlink r:id="rId470" w:history="1">
        <w:r w:rsidRPr="007A22DC">
          <w:rPr>
            <w:rStyle w:val="Hipercze"/>
          </w:rPr>
          <w:t>IV.7000.72.2018</w:t>
        </w:r>
      </w:hyperlink>
      <w:r w:rsidRPr="007A22DC">
        <w:t xml:space="preserve"> z 27 kwietnia 2018 r., uchwała NSA z 17 grudnia 2018 r., sygn. akt I OPS 2/18</w:t>
      </w:r>
    </w:p>
  </w:footnote>
  <w:footnote w:id="712">
    <w:p w14:paraId="6DC6886A" w14:textId="77777777" w:rsidR="00803B7D" w:rsidRPr="007A22DC" w:rsidRDefault="00803B7D" w:rsidP="0014574C">
      <w:pPr>
        <w:pStyle w:val="Przypis"/>
      </w:pPr>
      <w:r w:rsidRPr="007A22DC">
        <w:rPr>
          <w:rStyle w:val="Odwoanieprzypisudolnego"/>
        </w:rPr>
        <w:footnoteRef/>
      </w:r>
      <w:r w:rsidRPr="007A22DC">
        <w:t xml:space="preserve"> Ustawa z 21 sierpnia 1997 r. (Dz.U. z 2018 r. poz. 121, ze zm.).</w:t>
      </w:r>
    </w:p>
  </w:footnote>
  <w:footnote w:id="713">
    <w:p w14:paraId="746C4370" w14:textId="77777777" w:rsidR="00803B7D" w:rsidRPr="007A22DC" w:rsidRDefault="00803B7D" w:rsidP="0014574C">
      <w:pPr>
        <w:pStyle w:val="Przypis"/>
      </w:pPr>
      <w:r w:rsidRPr="007A22DC">
        <w:rPr>
          <w:rStyle w:val="Odwoanieprzypisudolnego"/>
        </w:rPr>
        <w:footnoteRef/>
      </w:r>
      <w:r w:rsidRPr="007A22DC">
        <w:t xml:space="preserve"> V.510.112.2018 z 8 sierpnia 2018 r., sygn. akt SK 17/18.</w:t>
      </w:r>
    </w:p>
  </w:footnote>
  <w:footnote w:id="714">
    <w:p w14:paraId="7864267B" w14:textId="77777777" w:rsidR="00803B7D" w:rsidRPr="007A22DC" w:rsidRDefault="00803B7D" w:rsidP="0014574C">
      <w:pPr>
        <w:pStyle w:val="Przypis"/>
      </w:pPr>
      <w:r w:rsidRPr="007A22DC">
        <w:rPr>
          <w:rStyle w:val="Odwoanieprzypisudolnego"/>
        </w:rPr>
        <w:footnoteRef/>
      </w:r>
      <w:r w:rsidRPr="007A22DC">
        <w:t xml:space="preserve"> Sygn. akt SK 31/15.</w:t>
      </w:r>
    </w:p>
  </w:footnote>
  <w:footnote w:id="715">
    <w:p w14:paraId="35253432" w14:textId="77777777" w:rsidR="00803B7D" w:rsidRPr="007A22DC" w:rsidRDefault="00803B7D" w:rsidP="0014574C">
      <w:pPr>
        <w:pStyle w:val="Przypis"/>
      </w:pPr>
      <w:r w:rsidRPr="007A22DC">
        <w:rPr>
          <w:rStyle w:val="Odwoanieprzypisudolnego"/>
        </w:rPr>
        <w:footnoteRef/>
      </w:r>
      <w:r w:rsidRPr="007A22DC">
        <w:t xml:space="preserve"> wyrok TK z 24 lutego 2015 r., K 34/12</w:t>
      </w:r>
    </w:p>
  </w:footnote>
  <w:footnote w:id="716">
    <w:p w14:paraId="6F503136" w14:textId="77777777" w:rsidR="00803B7D" w:rsidRPr="007A22DC" w:rsidRDefault="00803B7D" w:rsidP="0014574C">
      <w:pPr>
        <w:pStyle w:val="Przypis"/>
      </w:pPr>
      <w:r w:rsidRPr="007A22DC">
        <w:rPr>
          <w:rStyle w:val="Odwoanieprzypisudolnego"/>
        </w:rPr>
        <w:footnoteRef/>
      </w:r>
      <w:r w:rsidRPr="007A22DC">
        <w:t xml:space="preserve"> wyrok TK z 16 listopada 1999 r., SK 11/99</w:t>
      </w:r>
    </w:p>
  </w:footnote>
  <w:footnote w:id="717">
    <w:p w14:paraId="727CD6A8" w14:textId="77777777" w:rsidR="00803B7D" w:rsidRPr="007A22DC" w:rsidRDefault="00803B7D" w:rsidP="0014574C">
      <w:pPr>
        <w:pStyle w:val="Przypis"/>
      </w:pPr>
      <w:r w:rsidRPr="007A22DC">
        <w:rPr>
          <w:rStyle w:val="Odwoanieprzypisudolnego"/>
        </w:rPr>
        <w:footnoteRef/>
      </w:r>
      <w:r w:rsidRPr="007A22DC">
        <w:t xml:space="preserve"> </w:t>
      </w:r>
      <w:hyperlink r:id="rId471" w:history="1">
        <w:r w:rsidRPr="007A22DC">
          <w:rPr>
            <w:rStyle w:val="Hipercze"/>
          </w:rPr>
          <w:t>II.511.30.2018</w:t>
        </w:r>
      </w:hyperlink>
      <w:r w:rsidRPr="007A22DC">
        <w:t xml:space="preserve"> z 14 marca 2018 r.</w:t>
      </w:r>
    </w:p>
  </w:footnote>
  <w:footnote w:id="718">
    <w:p w14:paraId="3A43D68E" w14:textId="77777777" w:rsidR="00803B7D" w:rsidRPr="007A22DC" w:rsidRDefault="00803B7D" w:rsidP="0014574C">
      <w:pPr>
        <w:pStyle w:val="Przypis"/>
      </w:pPr>
      <w:r w:rsidRPr="007A22DC">
        <w:rPr>
          <w:rStyle w:val="Odwoanieprzypisudolnego"/>
        </w:rPr>
        <w:footnoteRef/>
      </w:r>
      <w:r w:rsidRPr="007A22DC">
        <w:t xml:space="preserve"> </w:t>
      </w:r>
      <w:hyperlink r:id="rId472" w:history="1">
        <w:r w:rsidRPr="007A22DC">
          <w:rPr>
            <w:rStyle w:val="Hipercze"/>
          </w:rPr>
          <w:t>II.511.337.2015</w:t>
        </w:r>
      </w:hyperlink>
      <w:r w:rsidRPr="007A22DC">
        <w:t xml:space="preserve"> z 22 kwietnia 2015, wyrok TK z 16 maja 2018 r., sygn. akt K 12/15, zobacz też: </w:t>
      </w:r>
      <w:hyperlink r:id="rId473" w:history="1">
        <w:r w:rsidRPr="007A22DC">
          <w:rPr>
            <w:rStyle w:val="Hipercze"/>
          </w:rPr>
          <w:t>Informacja RPO za 2015</w:t>
        </w:r>
      </w:hyperlink>
      <w:r w:rsidRPr="007A22DC">
        <w:t> r., str. 44.</w:t>
      </w:r>
    </w:p>
  </w:footnote>
  <w:footnote w:id="719">
    <w:p w14:paraId="578AD23D" w14:textId="77777777" w:rsidR="00803B7D" w:rsidRPr="007A22DC" w:rsidRDefault="00803B7D" w:rsidP="0014574C">
      <w:pPr>
        <w:pStyle w:val="Przypis"/>
      </w:pPr>
      <w:r w:rsidRPr="007A22DC">
        <w:rPr>
          <w:rStyle w:val="Odwoanieprzypisudolnego"/>
        </w:rPr>
        <w:footnoteRef/>
      </w:r>
      <w:r w:rsidRPr="007A22DC">
        <w:t xml:space="preserve"> Ustawa z 8 grudnia 2017 r. (Dz. U. z 2018 r., poz. 5).</w:t>
      </w:r>
    </w:p>
  </w:footnote>
  <w:footnote w:id="720">
    <w:p w14:paraId="03B04109" w14:textId="77777777" w:rsidR="00803B7D" w:rsidRPr="007A22DC" w:rsidRDefault="00803B7D" w:rsidP="0014574C">
      <w:pPr>
        <w:pStyle w:val="Przypis"/>
      </w:pPr>
      <w:r w:rsidRPr="007A22DC">
        <w:rPr>
          <w:rStyle w:val="Odwoanieprzypisudolnego"/>
        </w:rPr>
        <w:footnoteRef/>
      </w:r>
      <w:r w:rsidRPr="007A22DC">
        <w:t xml:space="preserve"> </w:t>
      </w:r>
      <w:hyperlink r:id="rId474" w:history="1">
        <w:r w:rsidRPr="007A22DC">
          <w:rPr>
            <w:rStyle w:val="Hipercze"/>
          </w:rPr>
          <w:t>VII.510.52.2018</w:t>
        </w:r>
      </w:hyperlink>
      <w:r w:rsidRPr="007A22DC">
        <w:t xml:space="preserve"> z 27 września 2018 r. i z 22 listopada 2018 r., sygn. akt K 7/18.</w:t>
      </w:r>
    </w:p>
  </w:footnote>
  <w:footnote w:id="721">
    <w:p w14:paraId="1BBBA5B4" w14:textId="77777777" w:rsidR="00803B7D" w:rsidRPr="007A22DC" w:rsidRDefault="00803B7D" w:rsidP="0014574C">
      <w:pPr>
        <w:pStyle w:val="Przypis"/>
      </w:pPr>
      <w:r w:rsidRPr="007A22DC">
        <w:rPr>
          <w:rStyle w:val="Odwoanieprzypisudolnego"/>
        </w:rPr>
        <w:footnoteRef/>
      </w:r>
      <w:r w:rsidRPr="007A22DC">
        <w:t xml:space="preserve"> Postanowienie SN z 2 sierpnia 2018 r., sygn. akt III UZP 4/18.</w:t>
      </w:r>
    </w:p>
  </w:footnote>
  <w:footnote w:id="722">
    <w:p w14:paraId="08D09D0C" w14:textId="77777777" w:rsidR="00803B7D" w:rsidRPr="007A22DC" w:rsidRDefault="00803B7D" w:rsidP="008412B2">
      <w:pPr>
        <w:pStyle w:val="Przypis"/>
      </w:pPr>
      <w:r w:rsidRPr="007A22DC">
        <w:rPr>
          <w:rStyle w:val="Odwoanieprzypisudolnego"/>
        </w:rPr>
        <w:footnoteRef/>
      </w:r>
      <w:r w:rsidRPr="007A22DC">
        <w:t xml:space="preserve"> Ustawa z 19 października 1991 r. (Dz.U. z 2018 r. poz. 91, ze zm.).</w:t>
      </w:r>
    </w:p>
  </w:footnote>
  <w:footnote w:id="723">
    <w:p w14:paraId="462580BE" w14:textId="77777777" w:rsidR="00803B7D" w:rsidRPr="007A22DC" w:rsidRDefault="00744B2D" w:rsidP="008412B2">
      <w:pPr>
        <w:pStyle w:val="Przypis"/>
      </w:pPr>
      <w:hyperlink r:id="rId475" w:history="1">
        <w:r w:rsidR="00803B7D" w:rsidRPr="007A22DC">
          <w:rPr>
            <w:rStyle w:val="Hipercze"/>
            <w:vertAlign w:val="superscript"/>
          </w:rPr>
          <w:footnoteRef/>
        </w:r>
        <w:r w:rsidR="00803B7D" w:rsidRPr="007A22DC">
          <w:rPr>
            <w:rStyle w:val="Hipercze"/>
          </w:rPr>
          <w:t xml:space="preserve"> IV.7005.12.2018</w:t>
        </w:r>
      </w:hyperlink>
      <w:r w:rsidR="00803B7D" w:rsidRPr="007A22DC">
        <w:t xml:space="preserve"> z 5 grudnia 2018 r.</w:t>
      </w:r>
    </w:p>
  </w:footnote>
  <w:footnote w:id="724">
    <w:p w14:paraId="27C8D962" w14:textId="77777777" w:rsidR="00803B7D" w:rsidRPr="007A22DC" w:rsidRDefault="00803B7D" w:rsidP="0014574C">
      <w:pPr>
        <w:pStyle w:val="Przypis"/>
      </w:pPr>
      <w:r w:rsidRPr="007A22DC">
        <w:rPr>
          <w:rStyle w:val="Odwoanieprzypisudolnego"/>
        </w:rPr>
        <w:footnoteRef/>
      </w:r>
      <w:r w:rsidRPr="007A22DC">
        <w:t xml:space="preserve"> </w:t>
      </w:r>
      <w:hyperlink r:id="rId476" w:history="1">
        <w:r w:rsidRPr="007A22DC">
          <w:rPr>
            <w:rStyle w:val="Hipercze"/>
          </w:rPr>
          <w:t>VII.600.9.2015</w:t>
        </w:r>
      </w:hyperlink>
      <w:r w:rsidRPr="007A22DC">
        <w:t xml:space="preserve"> z 27 lutego 2018 r., odpowiedź z 30 października 2018 r.</w:t>
      </w:r>
    </w:p>
  </w:footnote>
  <w:footnote w:id="725">
    <w:p w14:paraId="5F484EB4" w14:textId="77777777" w:rsidR="00803B7D" w:rsidRPr="007A22DC" w:rsidRDefault="00803B7D">
      <w:pPr>
        <w:pStyle w:val="Tekstprzypisudolnego"/>
      </w:pPr>
      <w:r w:rsidRPr="007A22DC">
        <w:rPr>
          <w:rStyle w:val="Odwoanieprzypisudolnego"/>
        </w:rPr>
        <w:footnoteRef/>
      </w:r>
      <w:r w:rsidRPr="007A22DC">
        <w:t xml:space="preserve"> </w:t>
      </w:r>
      <w:hyperlink r:id="rId477" w:history="1">
        <w:r w:rsidRPr="007A22DC">
          <w:rPr>
            <w:rStyle w:val="Hipercze"/>
            <w:rFonts w:eastAsiaTheme="majorEastAsia"/>
          </w:rPr>
          <w:t>http://www.europarl.europa.eu/factsheets/pl/sheet/149/europejska-inicjatywa-obywatelska</w:t>
        </w:r>
      </w:hyperlink>
    </w:p>
  </w:footnote>
  <w:footnote w:id="726">
    <w:p w14:paraId="740041E1" w14:textId="77777777" w:rsidR="00803B7D" w:rsidRPr="007A22DC" w:rsidRDefault="00803B7D" w:rsidP="00186578">
      <w:pPr>
        <w:pStyle w:val="Przypis"/>
      </w:pPr>
      <w:r w:rsidRPr="007A22DC">
        <w:rPr>
          <w:rStyle w:val="Odwoanieprzypisudolnego"/>
        </w:rPr>
        <w:footnoteRef/>
      </w:r>
      <w:r w:rsidRPr="007A22DC">
        <w:t xml:space="preserve"> Dz.U. 1997 nr 88 poz. 553</w:t>
      </w:r>
    </w:p>
  </w:footnote>
  <w:footnote w:id="727">
    <w:p w14:paraId="48EC438F" w14:textId="77777777" w:rsidR="00803B7D" w:rsidRPr="007A22DC" w:rsidRDefault="00803B7D" w:rsidP="0014574C">
      <w:pPr>
        <w:pStyle w:val="Przypis"/>
      </w:pPr>
      <w:r w:rsidRPr="007A22DC">
        <w:rPr>
          <w:rStyle w:val="Odwoanieprzypisudolnego"/>
        </w:rPr>
        <w:footnoteRef/>
      </w:r>
      <w:r w:rsidRPr="007A22DC">
        <w:t xml:space="preserve"> </w:t>
      </w:r>
      <w:hyperlink r:id="rId478" w:history="1">
        <w:r w:rsidRPr="007A22DC">
          <w:rPr>
            <w:rStyle w:val="Hipercze"/>
          </w:rPr>
          <w:t>II.501.1.2018</w:t>
        </w:r>
      </w:hyperlink>
      <w:r w:rsidRPr="007A22DC">
        <w:t xml:space="preserve"> z 7 marca 2018 r.</w:t>
      </w:r>
    </w:p>
  </w:footnote>
  <w:footnote w:id="728">
    <w:p w14:paraId="2AE8914E" w14:textId="77777777" w:rsidR="00803B7D" w:rsidRPr="007A22DC" w:rsidRDefault="00803B7D">
      <w:pPr>
        <w:pStyle w:val="Tekstprzypisudolnego"/>
      </w:pPr>
      <w:r w:rsidRPr="007A22DC">
        <w:rPr>
          <w:rStyle w:val="Odwoanieprzypisudolnego"/>
        </w:rPr>
        <w:footnoteRef/>
      </w:r>
      <w:r w:rsidRPr="007A22DC">
        <w:t xml:space="preserve"> Prawo geologiczne i górnicze z dnia 9 czerwca 2011 r., Dz. U. z 2017 r. poz. 2126, ze zm.</w:t>
      </w:r>
    </w:p>
  </w:footnote>
  <w:footnote w:id="729">
    <w:p w14:paraId="371B1456" w14:textId="77777777" w:rsidR="00803B7D" w:rsidRPr="007A22DC" w:rsidRDefault="00803B7D">
      <w:pPr>
        <w:pStyle w:val="Tekstprzypisudolnego"/>
      </w:pPr>
      <w:r w:rsidRPr="007A22DC">
        <w:rPr>
          <w:rStyle w:val="Odwoanieprzypisudolnego"/>
        </w:rPr>
        <w:footnoteRef/>
      </w:r>
      <w:r w:rsidRPr="007A22DC">
        <w:t xml:space="preserve"> zob. m.in. wyrok TK z dnia: 29 kwietnia 1997 r. sygn. K 17/97, OTK ZU nr 3/1998, poz. 30; 18 listopada 2010 r., sygn. P 29/09, OTK ZU nr 9/A/2010, poz. 104; 1 lipca 2014 r., sygn. SK 6/12, OTK ZU nr 7/A/2014, poz. 68; 21 października 2014 r., sygn. P 50/13, OTK ZU nr 9/A/2014, poz. 103; 21 kwietnia 2015 r., sygn. P 40/13, OTK ZU nr 4/A/2015, poz. 48; 21 października 2015 r., sygn. P 32/12, OTK ZU nr 9/A/2015, poz. 148; 11 października 2016 r., sygn. K 24/15, OTK ZU nr A/2016, poz. 77; 20 czerwca 2017 r., P 124/15, OTK ZU nr A/2017, poz. 50</w:t>
      </w:r>
    </w:p>
  </w:footnote>
  <w:footnote w:id="730">
    <w:p w14:paraId="24E7E728" w14:textId="77777777" w:rsidR="00803B7D" w:rsidRPr="007A22DC" w:rsidRDefault="00803B7D" w:rsidP="0014574C">
      <w:pPr>
        <w:pStyle w:val="Przypis"/>
      </w:pPr>
      <w:r w:rsidRPr="007A22DC">
        <w:rPr>
          <w:rStyle w:val="Odwoanieprzypisudolnego"/>
        </w:rPr>
        <w:footnoteRef/>
      </w:r>
      <w:r w:rsidRPr="007A22DC">
        <w:t xml:space="preserve"> Ustawa z 23 lipca 2003 r. (Dz.U. Nr 162, poz. 1568, ze zm.).</w:t>
      </w:r>
    </w:p>
  </w:footnote>
  <w:footnote w:id="731">
    <w:p w14:paraId="6F9BC10B" w14:textId="77777777" w:rsidR="00803B7D" w:rsidRPr="007A22DC" w:rsidRDefault="00803B7D" w:rsidP="0009782E">
      <w:pPr>
        <w:pStyle w:val="Przypis"/>
      </w:pPr>
      <w:r w:rsidRPr="007A22DC">
        <w:rPr>
          <w:rStyle w:val="Odwoanieprzypisudolnego"/>
        </w:rPr>
        <w:footnoteRef/>
      </w:r>
      <w:r w:rsidRPr="007A22DC">
        <w:t xml:space="preserve"> </w:t>
      </w:r>
      <w:hyperlink r:id="rId479" w:history="1">
        <w:r w:rsidRPr="007A22DC">
          <w:rPr>
            <w:rStyle w:val="Hipercze"/>
          </w:rPr>
          <w:t>II.510.897.2017</w:t>
        </w:r>
      </w:hyperlink>
      <w:r w:rsidRPr="007A22DC">
        <w:t xml:space="preserve"> z 30 stycznia 2018 r., odpowiedź z 20 marca 2019 r., kolejne pismo z 11 marca 2019 r. i odpowiedź z 25 marca 2019, kolejne pismo z 5 maja 2019 r.: </w:t>
      </w:r>
    </w:p>
  </w:footnote>
  <w:footnote w:id="732">
    <w:p w14:paraId="4549C931" w14:textId="77777777" w:rsidR="00803B7D" w:rsidRPr="007A22DC" w:rsidRDefault="00803B7D" w:rsidP="00D004B2">
      <w:pPr>
        <w:pStyle w:val="Przypis"/>
      </w:pPr>
      <w:r w:rsidRPr="007A22DC">
        <w:rPr>
          <w:rStyle w:val="Odwoanieprzypisudolnego"/>
        </w:rPr>
        <w:footnoteRef/>
      </w:r>
      <w:r w:rsidRPr="007A22DC">
        <w:t xml:space="preserve"> z 6 kwietnia 1990 r, Dz.U. 1990 nr 30 poz. 179</w:t>
      </w:r>
    </w:p>
  </w:footnote>
  <w:footnote w:id="733">
    <w:p w14:paraId="3AB842EE" w14:textId="77777777" w:rsidR="00803B7D" w:rsidRPr="007A22DC" w:rsidRDefault="00803B7D" w:rsidP="00E41227">
      <w:pPr>
        <w:pStyle w:val="Przypis"/>
      </w:pPr>
      <w:r w:rsidRPr="007A22DC">
        <w:rPr>
          <w:rStyle w:val="Odwoanieprzypisudolnego"/>
        </w:rPr>
        <w:footnoteRef/>
      </w:r>
      <w:r w:rsidRPr="007A22DC">
        <w:t xml:space="preserve"> </w:t>
      </w:r>
      <w:hyperlink r:id="rId480" w:history="1">
        <w:r w:rsidRPr="007A22DC">
          <w:rPr>
            <w:rStyle w:val="Hipercze"/>
          </w:rPr>
          <w:t>WZF.7044.15.2018</w:t>
        </w:r>
      </w:hyperlink>
      <w:r w:rsidRPr="007A22DC">
        <w:t xml:space="preserve"> z 16 października 2018 r. </w:t>
      </w:r>
    </w:p>
  </w:footnote>
  <w:footnote w:id="734">
    <w:p w14:paraId="49EC6E0A" w14:textId="77777777" w:rsidR="00803B7D" w:rsidRPr="007A22DC" w:rsidRDefault="00803B7D" w:rsidP="00D004B2">
      <w:pPr>
        <w:pStyle w:val="Przypis"/>
      </w:pPr>
      <w:r w:rsidRPr="007A22DC">
        <w:rPr>
          <w:rStyle w:val="Odwoanieprzypisudolnego"/>
        </w:rPr>
        <w:footnoteRef/>
      </w:r>
      <w:r w:rsidRPr="007A22DC">
        <w:t xml:space="preserve"> </w:t>
      </w:r>
      <w:r w:rsidRPr="007A22DC">
        <w:rPr>
          <w:bCs/>
          <w:iCs/>
          <w:lang w:eastAsia="en-US"/>
        </w:rPr>
        <w:t xml:space="preserve">druk 2828,  </w:t>
      </w:r>
      <w:r w:rsidRPr="007A22DC">
        <w:t>Ustawa z dnia 14 grudnia 2018 r. o zmianie ustawy o Policji oraz niektórych innych ustaw, Dz.U. 2018 poz. 2399</w:t>
      </w:r>
    </w:p>
  </w:footnote>
  <w:footnote w:id="735">
    <w:p w14:paraId="0E465DB6" w14:textId="77777777" w:rsidR="00803B7D" w:rsidRPr="007A22DC" w:rsidRDefault="00803B7D">
      <w:pPr>
        <w:pStyle w:val="Tekstprzypisudolnego"/>
      </w:pPr>
      <w:r w:rsidRPr="007A22DC">
        <w:rPr>
          <w:rStyle w:val="Odwoanieprzypisudolnego"/>
        </w:rPr>
        <w:footnoteRef/>
      </w:r>
      <w:r w:rsidRPr="007A22DC">
        <w:t xml:space="preserve"> Zobacz też informację o konferencji na temat sytuacji pracowników ukraińskich w Polsce zorganizowaną przez RPO razem ze Związkiem Ukraińców w Polsce. Jest ona omówiona przy art. 35 Konstytucji</w:t>
      </w:r>
    </w:p>
  </w:footnote>
  <w:footnote w:id="736">
    <w:p w14:paraId="3C85CE0F" w14:textId="77777777" w:rsidR="00803B7D" w:rsidRPr="007A22DC" w:rsidRDefault="00803B7D" w:rsidP="00DD17D6">
      <w:pPr>
        <w:pStyle w:val="Przypis"/>
      </w:pPr>
      <w:r w:rsidRPr="007A22DC">
        <w:rPr>
          <w:rStyle w:val="Odwoanieprzypisudolnego"/>
        </w:rPr>
        <w:footnoteRef/>
      </w:r>
      <w:r w:rsidRPr="007A22DC">
        <w:t xml:space="preserve"> </w:t>
      </w:r>
      <w:hyperlink r:id="rId481" w:history="1">
        <w:r w:rsidRPr="007A22DC">
          <w:rPr>
            <w:rStyle w:val="Hipercze"/>
          </w:rPr>
          <w:t>XI.540.10.2018</w:t>
        </w:r>
      </w:hyperlink>
      <w:r w:rsidRPr="007A22DC">
        <w:t xml:space="preserve"> z 10 sierpnia 2018 r., odpowiedź (w tym statystyki) z 16 listopada 2018 r.</w:t>
      </w:r>
    </w:p>
  </w:footnote>
  <w:footnote w:id="737">
    <w:p w14:paraId="743EDF1A" w14:textId="77777777" w:rsidR="00803B7D" w:rsidRPr="007A22DC" w:rsidRDefault="00803B7D" w:rsidP="00186578">
      <w:pPr>
        <w:pStyle w:val="Przypis"/>
        <w:rPr>
          <w:rStyle w:val="PrzypisZnak"/>
        </w:rPr>
      </w:pPr>
      <w:r w:rsidRPr="007A22DC">
        <w:rPr>
          <w:rStyle w:val="Odwoanieprzypisudolnego"/>
        </w:rPr>
        <w:footnoteRef/>
      </w:r>
      <w:r w:rsidRPr="007A22DC">
        <w:t>Ustawa z 21 grudnia 2000 r. o jakości handlowej artykułów rolno-spożywczych, Dz.U. 2001 nr 5 poz. 44</w:t>
      </w:r>
    </w:p>
  </w:footnote>
  <w:footnote w:id="738">
    <w:p w14:paraId="2B01D77E" w14:textId="77777777" w:rsidR="00803B7D" w:rsidRPr="007A22DC" w:rsidRDefault="00803B7D" w:rsidP="0014574C">
      <w:pPr>
        <w:pStyle w:val="Przypis"/>
      </w:pPr>
      <w:r w:rsidRPr="007A22DC">
        <w:rPr>
          <w:rStyle w:val="Odwoanieprzypisudolnego"/>
        </w:rPr>
        <w:footnoteRef/>
      </w:r>
      <w:r w:rsidRPr="007A22DC">
        <w:t xml:space="preserve"> Rozporządzenie Parlamentu Europejskiego i Rady nr 178/2002 z 28 stycznia 2002 r. ustanawiające ogólne zasady i wymagania prawa żywnościowego</w:t>
      </w:r>
    </w:p>
  </w:footnote>
  <w:footnote w:id="739">
    <w:p w14:paraId="00B4B7BF" w14:textId="77777777" w:rsidR="00803B7D" w:rsidRPr="007A22DC" w:rsidRDefault="00803B7D">
      <w:pPr>
        <w:pStyle w:val="Tekstprzypisudolnego"/>
      </w:pPr>
      <w:r w:rsidRPr="007A22DC">
        <w:rPr>
          <w:rStyle w:val="Odwoanieprzypisudolnego"/>
        </w:rPr>
        <w:footnoteRef/>
      </w:r>
      <w:r w:rsidRPr="007A22DC">
        <w:t xml:space="preserve"> </w:t>
      </w:r>
      <w:hyperlink r:id="rId482" w:history="1">
        <w:r w:rsidRPr="007A22DC">
          <w:rPr>
            <w:rStyle w:val="Hipercze"/>
            <w:sz w:val="18"/>
          </w:rPr>
          <w:t>V.7108.28.2018</w:t>
        </w:r>
      </w:hyperlink>
      <w:r w:rsidRPr="007A22DC">
        <w:rPr>
          <w:rStyle w:val="PrzypisZnak"/>
        </w:rPr>
        <w:t xml:space="preserve"> z 27 października 2018 r., odpowiedź UOKiK z 23 listopada , odpowiedź JHARS z 13 listopada 2018 r.</w:t>
      </w:r>
    </w:p>
  </w:footnote>
  <w:footnote w:id="740">
    <w:p w14:paraId="2FF9CBFE" w14:textId="77777777" w:rsidR="00803B7D" w:rsidRPr="007A22DC" w:rsidRDefault="00803B7D" w:rsidP="00E40E49">
      <w:pPr>
        <w:pStyle w:val="Przypis"/>
      </w:pPr>
      <w:r w:rsidRPr="007A22DC">
        <w:rPr>
          <w:rStyle w:val="Odwoanieprzypisudolnego"/>
          <w:rFonts w:eastAsiaTheme="majorEastAsia"/>
        </w:rPr>
        <w:footnoteRef/>
      </w:r>
      <w:r w:rsidRPr="007A22DC">
        <w:t xml:space="preserve"> Pełen tekst wystąpienia RPO: </w:t>
      </w:r>
      <w:hyperlink r:id="rId483" w:history="1">
        <w:r w:rsidRPr="007A22DC">
          <w:rPr>
            <w:rStyle w:val="Hipercze"/>
            <w:rFonts w:eastAsiaTheme="majorEastAsia"/>
          </w:rPr>
          <w:t>https://www.rpo.gov.pl/pl/content/rpo-przed-komisja-libe-parlamentu-europejskiego-w-sprawie-publicznego-wysluchania-Polski</w:t>
        </w:r>
      </w:hyperlink>
    </w:p>
  </w:footnote>
  <w:footnote w:id="741">
    <w:p w14:paraId="1D138C32" w14:textId="77777777" w:rsidR="00803B7D" w:rsidRPr="007A22DC" w:rsidRDefault="00803B7D">
      <w:pPr>
        <w:pStyle w:val="Tekstprzypisudolnego"/>
      </w:pPr>
      <w:r w:rsidRPr="007A22DC">
        <w:rPr>
          <w:rStyle w:val="Odwoanieprzypisudolnego"/>
        </w:rPr>
        <w:footnoteRef/>
      </w:r>
      <w:r w:rsidRPr="007A22DC">
        <w:t xml:space="preserve"> </w:t>
      </w:r>
      <w:hyperlink r:id="rId484" w:history="1">
        <w:r w:rsidRPr="007A22DC">
          <w:rPr>
            <w:rStyle w:val="Hipercze"/>
            <w:sz w:val="18"/>
          </w:rPr>
          <w:t>VII.564.56.2018, VII.564.55.2018</w:t>
        </w:r>
      </w:hyperlink>
    </w:p>
  </w:footnote>
  <w:footnote w:id="742">
    <w:p w14:paraId="11F60CA2" w14:textId="77777777" w:rsidR="00803B7D" w:rsidRPr="007A22DC" w:rsidRDefault="00803B7D" w:rsidP="00C55D56">
      <w:pPr>
        <w:pStyle w:val="Przypis"/>
      </w:pPr>
      <w:r w:rsidRPr="007A22DC">
        <w:rPr>
          <w:rStyle w:val="Odwoanieprzypisudolnego"/>
        </w:rPr>
        <w:footnoteRef/>
      </w:r>
      <w:r w:rsidRPr="007A22DC">
        <w:t xml:space="preserve"> </w:t>
      </w:r>
      <w:hyperlink r:id="rId485" w:history="1">
        <w:r w:rsidRPr="007A22DC">
          <w:rPr>
            <w:rStyle w:val="Hipercze"/>
            <w:shd w:val="clear" w:color="auto" w:fill="FFFFFF"/>
          </w:rPr>
          <w:t>VII.564.56.2018, VII.564.55.2018</w:t>
        </w:r>
      </w:hyperlink>
      <w:r w:rsidRPr="007A22DC">
        <w:rPr>
          <w:shd w:val="clear" w:color="auto" w:fill="FFFFFF"/>
        </w:rPr>
        <w:t>, odpowiedź Rzecznika Dyscyplinarnego z 5 października 2018 r.</w:t>
      </w:r>
    </w:p>
  </w:footnote>
  <w:footnote w:id="743">
    <w:p w14:paraId="274F4FFF" w14:textId="77777777" w:rsidR="00803B7D" w:rsidRPr="007A22DC" w:rsidRDefault="00803B7D">
      <w:pPr>
        <w:pStyle w:val="Tekstprzypisudolnego"/>
      </w:pPr>
      <w:r w:rsidRPr="007A22DC">
        <w:rPr>
          <w:rStyle w:val="Odwoanieprzypisudolnego"/>
        </w:rPr>
        <w:footnoteRef/>
      </w:r>
      <w:r w:rsidRPr="007A22DC">
        <w:t xml:space="preserve"> </w:t>
      </w:r>
      <w:hyperlink r:id="rId486" w:history="1">
        <w:r w:rsidRPr="007A22DC">
          <w:rPr>
            <w:rStyle w:val="Hipercze"/>
            <w:sz w:val="18"/>
          </w:rPr>
          <w:t>VII.510.61.2018</w:t>
        </w:r>
      </w:hyperlink>
      <w:r w:rsidRPr="007A22DC">
        <w:rPr>
          <w:rStyle w:val="PrzypisZnak"/>
        </w:rPr>
        <w:t>, interwencja z 25 października, odpowiedź z 31 października 2019 r.</w:t>
      </w:r>
    </w:p>
  </w:footnote>
  <w:footnote w:id="744">
    <w:p w14:paraId="28BCC11E" w14:textId="77777777" w:rsidR="00803B7D" w:rsidRPr="007A22DC" w:rsidRDefault="00803B7D">
      <w:pPr>
        <w:pStyle w:val="Tekstprzypisudolnego"/>
      </w:pPr>
      <w:r w:rsidRPr="007A22DC">
        <w:rPr>
          <w:rStyle w:val="Odwoanieprzypisudolnego"/>
        </w:rPr>
        <w:footnoteRef/>
      </w:r>
      <w:r w:rsidRPr="007A22DC">
        <w:t xml:space="preserve"> </w:t>
      </w:r>
      <w:hyperlink r:id="rId487" w:history="1">
        <w:r w:rsidRPr="007A22DC">
          <w:rPr>
            <w:rStyle w:val="Hipercze"/>
            <w:sz w:val="18"/>
          </w:rPr>
          <w:t>VII.510.64.2018</w:t>
        </w:r>
      </w:hyperlink>
      <w:r w:rsidRPr="007A22DC">
        <w:rPr>
          <w:rStyle w:val="PrzypisZnak"/>
        </w:rPr>
        <w:t xml:space="preserve"> z 2 listopada 2018 r., odpowiedź z 9 listopada 2018 r.</w:t>
      </w:r>
    </w:p>
  </w:footnote>
  <w:footnote w:id="745">
    <w:p w14:paraId="6C496510" w14:textId="77777777" w:rsidR="00803B7D" w:rsidRPr="007A22DC" w:rsidRDefault="00803B7D">
      <w:pPr>
        <w:pStyle w:val="Tekstprzypisudolnego"/>
      </w:pPr>
      <w:r w:rsidRPr="007A22DC">
        <w:rPr>
          <w:rStyle w:val="Odwoanieprzypisudolnego"/>
        </w:rPr>
        <w:footnoteRef/>
      </w:r>
      <w:r w:rsidRPr="007A22DC">
        <w:t xml:space="preserve"> </w:t>
      </w:r>
      <w:hyperlink r:id="rId488" w:history="1">
        <w:r w:rsidRPr="007A22DC">
          <w:rPr>
            <w:rStyle w:val="Hipercze"/>
            <w:sz w:val="18"/>
          </w:rPr>
          <w:t>VII.510.43.2018</w:t>
        </w:r>
      </w:hyperlink>
    </w:p>
  </w:footnote>
  <w:footnote w:id="746">
    <w:p w14:paraId="56B7121B" w14:textId="77777777" w:rsidR="00803B7D" w:rsidRPr="007A22DC" w:rsidRDefault="00803B7D" w:rsidP="00C55D56">
      <w:pPr>
        <w:pStyle w:val="Tekstprzypisudolnego"/>
      </w:pPr>
      <w:r w:rsidRPr="007A22DC">
        <w:rPr>
          <w:rStyle w:val="Odwoanieprzypisudolnego"/>
          <w:rFonts w:eastAsiaTheme="majorEastAsia"/>
        </w:rPr>
        <w:footnoteRef/>
      </w:r>
      <w:r w:rsidRPr="007A22DC">
        <w:t xml:space="preserve"> </w:t>
      </w:r>
      <w:hyperlink r:id="rId489" w:history="1">
        <w:r w:rsidRPr="007A22DC">
          <w:rPr>
            <w:rStyle w:val="Hipercze"/>
            <w:rFonts w:eastAsiaTheme="majorEastAsia"/>
          </w:rPr>
          <w:t>https://www.rp.pl/Sedziowie-i-sady/310249921-Niezawislosc-sedziow-jest-zagrozona-a-sadom-grozi-upolitycznienie---ankieta-Rzeczpospolitej.html</w:t>
        </w:r>
      </w:hyperlink>
    </w:p>
  </w:footnote>
  <w:footnote w:id="747">
    <w:p w14:paraId="483E7EA2" w14:textId="77777777" w:rsidR="00803B7D" w:rsidRPr="007A22DC" w:rsidRDefault="00803B7D" w:rsidP="00D91FBD">
      <w:pPr>
        <w:pStyle w:val="Przypis"/>
      </w:pPr>
      <w:r w:rsidRPr="007A22DC">
        <w:rPr>
          <w:rStyle w:val="Odwoanieprzypisudolnego"/>
          <w:rFonts w:eastAsiaTheme="majorEastAsia"/>
        </w:rPr>
        <w:footnoteRef/>
      </w:r>
      <w:r w:rsidRPr="007A22DC">
        <w:t xml:space="preserve"> </w:t>
      </w:r>
      <w:hyperlink r:id="rId490" w:history="1">
        <w:r w:rsidRPr="007A22DC">
          <w:rPr>
            <w:rStyle w:val="Hipercze"/>
          </w:rPr>
          <w:t>V.511.269.2018</w:t>
        </w:r>
      </w:hyperlink>
      <w:r w:rsidRPr="007A22DC">
        <w:t xml:space="preserve"> z 13 czerwca 2018 r., wyrok NSA sygn. akt I FPS 1/18</w:t>
      </w:r>
    </w:p>
  </w:footnote>
  <w:footnote w:id="748">
    <w:p w14:paraId="208CEB1D" w14:textId="77777777" w:rsidR="00803B7D" w:rsidRPr="007A22DC" w:rsidRDefault="00803B7D" w:rsidP="00D91FBD">
      <w:pPr>
        <w:pStyle w:val="Przypis"/>
      </w:pPr>
      <w:r w:rsidRPr="007A22DC">
        <w:rPr>
          <w:rStyle w:val="Odwoanieprzypisudolnego"/>
        </w:rPr>
        <w:footnoteRef/>
      </w:r>
      <w:r w:rsidRPr="007A22DC">
        <w:t xml:space="preserve"> Ustawa z 29 sierpnia 1997 r. (Dz.U. z 2018 r. poz. 800).</w:t>
      </w:r>
    </w:p>
  </w:footnote>
  <w:footnote w:id="749">
    <w:p w14:paraId="59247E57" w14:textId="77777777" w:rsidR="00803B7D" w:rsidRPr="007A22DC" w:rsidRDefault="00803B7D" w:rsidP="00D91FBD">
      <w:pPr>
        <w:pStyle w:val="Przypis"/>
      </w:pPr>
      <w:r w:rsidRPr="007A22DC">
        <w:rPr>
          <w:rStyle w:val="Odwoanieprzypisudolnego"/>
          <w:rFonts w:eastAsiaTheme="majorEastAsia"/>
        </w:rPr>
        <w:footnoteRef/>
      </w:r>
      <w:r w:rsidRPr="007A22DC">
        <w:t xml:space="preserve"> </w:t>
      </w:r>
      <w:hyperlink r:id="rId491" w:history="1">
        <w:r w:rsidRPr="007A22DC">
          <w:rPr>
            <w:rStyle w:val="Hipercze"/>
          </w:rPr>
          <w:t>V.511.267.2018</w:t>
        </w:r>
      </w:hyperlink>
      <w:r w:rsidRPr="007A22DC">
        <w:t xml:space="preserve"> z 11 września 2018 r., </w:t>
      </w:r>
      <w:r w:rsidRPr="007A22DC">
        <w:rPr>
          <w:bCs/>
          <w:iCs/>
        </w:rPr>
        <w:t>postanowienie NSA z 1 października 2018 r., sygn. akt I FPS 2/18</w:t>
      </w:r>
    </w:p>
  </w:footnote>
  <w:footnote w:id="750">
    <w:p w14:paraId="680FC265" w14:textId="77777777" w:rsidR="00803B7D" w:rsidRPr="007A22DC" w:rsidRDefault="00803B7D" w:rsidP="0014574C">
      <w:pPr>
        <w:pStyle w:val="Przypis"/>
      </w:pPr>
      <w:r w:rsidRPr="007A22DC">
        <w:rPr>
          <w:rStyle w:val="Odwoanieprzypisudolnego"/>
        </w:rPr>
        <w:footnoteRef/>
      </w:r>
      <w:r w:rsidRPr="007A22DC">
        <w:t xml:space="preserve"> </w:t>
      </w:r>
      <w:r w:rsidRPr="007A22DC">
        <w:rPr>
          <w:bCs/>
          <w:iCs/>
        </w:rPr>
        <w:t xml:space="preserve">Wersja elektroniczna pod adresem: </w:t>
      </w:r>
      <w:hyperlink r:id="rId492" w:history="1">
        <w:r w:rsidRPr="007A22DC">
          <w:rPr>
            <w:rStyle w:val="Hipercze"/>
            <w:rFonts w:eastAsiaTheme="majorEastAsia"/>
          </w:rPr>
          <w:t>https://www.rpo.gov.pl/pl/content/nowa-edycja-poradnika-rpo-o-zasadzie-rozstrzygania-watpliwosci-na-korzysc-podatnika</w:t>
        </w:r>
      </w:hyperlink>
    </w:p>
  </w:footnote>
  <w:footnote w:id="751">
    <w:p w14:paraId="3FA18105"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493" w:history="1">
        <w:r w:rsidRPr="007A22DC">
          <w:rPr>
            <w:rStyle w:val="Hipercze"/>
          </w:rPr>
          <w:t>V.511.253.2017</w:t>
        </w:r>
      </w:hyperlink>
      <w:r w:rsidRPr="007A22DC">
        <w:t xml:space="preserve"> z 15 lutego 2018 r., odpowiedź z 22 marca 2018 r.</w:t>
      </w:r>
    </w:p>
  </w:footnote>
  <w:footnote w:id="752">
    <w:p w14:paraId="31DF7EF9"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494" w:history="1">
        <w:r w:rsidRPr="007A22DC">
          <w:rPr>
            <w:rStyle w:val="Hipercze"/>
          </w:rPr>
          <w:t>V.511.429.2016</w:t>
        </w:r>
      </w:hyperlink>
      <w:r w:rsidRPr="007A22DC">
        <w:t xml:space="preserve"> z 22 stycznia 2018 r., wyrok NSA sygn. akt II FSK 1960/17</w:t>
      </w:r>
    </w:p>
  </w:footnote>
  <w:footnote w:id="753">
    <w:p w14:paraId="6616EE59" w14:textId="77777777" w:rsidR="00803B7D" w:rsidRPr="007A22DC" w:rsidRDefault="00803B7D" w:rsidP="00FB041C">
      <w:pPr>
        <w:pStyle w:val="Przypis"/>
      </w:pPr>
      <w:r w:rsidRPr="007A22DC">
        <w:rPr>
          <w:rStyle w:val="Odwoanieprzypisudolnego"/>
        </w:rPr>
        <w:footnoteRef/>
      </w:r>
      <w:r w:rsidRPr="007A22DC">
        <w:t xml:space="preserve"> </w:t>
      </w:r>
      <w:hyperlink r:id="rId495" w:history="1">
        <w:r w:rsidRPr="007A22DC">
          <w:rPr>
            <w:rStyle w:val="Hipercze"/>
            <w:shd w:val="clear" w:color="auto" w:fill="FFFFFF"/>
          </w:rPr>
          <w:t>V.511.484.2016</w:t>
        </w:r>
      </w:hyperlink>
    </w:p>
  </w:footnote>
  <w:footnote w:id="754">
    <w:p w14:paraId="18C2A8A5" w14:textId="77777777" w:rsidR="00803B7D" w:rsidRPr="007A22DC" w:rsidRDefault="00803B7D" w:rsidP="0014574C">
      <w:pPr>
        <w:pStyle w:val="Przypis"/>
      </w:pPr>
      <w:r w:rsidRPr="007A22DC">
        <w:rPr>
          <w:rStyle w:val="Odwoanieprzypisudolnego"/>
          <w:rFonts w:eastAsiaTheme="majorEastAsia"/>
        </w:rPr>
        <w:footnoteRef/>
      </w:r>
      <w:r w:rsidRPr="007A22DC">
        <w:t xml:space="preserve"> Ustawa z 26 lipca 1991 r. (Dz.U. z 2016 r. poz. 2032, ze zm.), </w:t>
      </w:r>
      <w:r w:rsidRPr="007A22DC">
        <w:rPr>
          <w:bCs/>
          <w:iCs/>
          <w:lang w:eastAsia="en-US"/>
        </w:rPr>
        <w:t>art. 26 ust. 7e</w:t>
      </w:r>
    </w:p>
  </w:footnote>
  <w:footnote w:id="755">
    <w:p w14:paraId="7ECC9363" w14:textId="77777777" w:rsidR="00803B7D" w:rsidRPr="007A22DC" w:rsidRDefault="00803B7D" w:rsidP="0014574C">
      <w:pPr>
        <w:pStyle w:val="Przypis"/>
      </w:pPr>
      <w:r w:rsidRPr="007A22DC">
        <w:rPr>
          <w:rStyle w:val="Odwoanieprzypisudolnego"/>
          <w:rFonts w:eastAsiaTheme="majorEastAsia"/>
        </w:rPr>
        <w:footnoteRef/>
      </w:r>
      <w:hyperlink r:id="rId496" w:history="1">
        <w:r w:rsidRPr="007A22DC">
          <w:rPr>
            <w:rStyle w:val="Hipercze"/>
          </w:rPr>
          <w:t>V.511.46.2018</w:t>
        </w:r>
      </w:hyperlink>
      <w:r w:rsidRPr="007A22DC">
        <w:t xml:space="preserve"> z 28 marca 2018 r., odpowiedź z 23 kwietnia 2018 r.</w:t>
      </w:r>
    </w:p>
  </w:footnote>
  <w:footnote w:id="756">
    <w:p w14:paraId="093F27D1" w14:textId="77777777" w:rsidR="00803B7D" w:rsidRPr="007A22DC" w:rsidRDefault="00803B7D" w:rsidP="0014574C">
      <w:pPr>
        <w:pStyle w:val="Przypis"/>
      </w:pPr>
      <w:r w:rsidRPr="007A22DC">
        <w:rPr>
          <w:rStyle w:val="Odwoanieprzypisudolnego"/>
          <w:rFonts w:eastAsiaTheme="majorEastAsia"/>
        </w:rPr>
        <w:footnoteRef/>
      </w:r>
      <w:r w:rsidRPr="007A22DC">
        <w:rPr>
          <w:rStyle w:val="Hipercze"/>
        </w:rPr>
        <w:t xml:space="preserve"> </w:t>
      </w:r>
      <w:hyperlink r:id="rId497" w:history="1">
        <w:r w:rsidRPr="007A22DC">
          <w:rPr>
            <w:rStyle w:val="Hipercze"/>
          </w:rPr>
          <w:t>V.511.676.2014</w:t>
        </w:r>
      </w:hyperlink>
      <w:r w:rsidRPr="007A22DC">
        <w:t xml:space="preserve"> z 4 czerwca 2018 r., odpowiedź z 4 lipca 2018 r.</w:t>
      </w:r>
    </w:p>
  </w:footnote>
  <w:footnote w:id="757">
    <w:p w14:paraId="56E7314D" w14:textId="77777777" w:rsidR="00803B7D" w:rsidRPr="007A22DC" w:rsidRDefault="00803B7D" w:rsidP="0014574C">
      <w:pPr>
        <w:pStyle w:val="Przypis"/>
      </w:pPr>
      <w:r w:rsidRPr="007A22DC">
        <w:rPr>
          <w:rStyle w:val="Odwoanieprzypisudolnego"/>
          <w:rFonts w:eastAsiaTheme="majorEastAsia"/>
        </w:rPr>
        <w:footnoteRef/>
      </w:r>
      <w:r w:rsidRPr="007A22DC">
        <w:t xml:space="preserve"> Informacja roczna za 2017 r., str. 488.</w:t>
      </w:r>
    </w:p>
  </w:footnote>
  <w:footnote w:id="758">
    <w:p w14:paraId="7E5B2F89"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498" w:history="1">
        <w:r w:rsidRPr="007A22DC">
          <w:rPr>
            <w:rStyle w:val="Hipercze"/>
          </w:rPr>
          <w:t>V.511.375.2015</w:t>
        </w:r>
      </w:hyperlink>
      <w:r w:rsidRPr="007A22DC">
        <w:t xml:space="preserve"> – wyrok NSA z 17 maja 2018 r., sygn. akt I FSK 1171/16, V.511.145.2016 – wyrok NSA z 7 czerwca 2018 r., sygn. akt I FSK 1857/16.</w:t>
      </w:r>
    </w:p>
  </w:footnote>
  <w:footnote w:id="759">
    <w:p w14:paraId="0B3B8F70"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499" w:history="1">
        <w:r w:rsidRPr="007A22DC">
          <w:rPr>
            <w:rStyle w:val="Hipercze"/>
          </w:rPr>
          <w:t>V.511.136.2017</w:t>
        </w:r>
      </w:hyperlink>
      <w:r w:rsidRPr="007A22DC">
        <w:t xml:space="preserve"> z 16 października 2017 r., wyrok z 8 czerwca 2018 r., sygn. akt I GSK 285/16</w:t>
      </w:r>
    </w:p>
  </w:footnote>
  <w:footnote w:id="760">
    <w:p w14:paraId="06FA6820"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500" w:history="1">
        <w:r w:rsidRPr="007A22DC">
          <w:rPr>
            <w:rStyle w:val="Hipercze"/>
          </w:rPr>
          <w:t>V.7220.196.2015</w:t>
        </w:r>
      </w:hyperlink>
      <w:r w:rsidRPr="007A22DC">
        <w:t xml:space="preserve"> z 21 marca 2018 r., odpowiedź z 19 kwietnia 2018 r.</w:t>
      </w:r>
    </w:p>
  </w:footnote>
  <w:footnote w:id="761">
    <w:p w14:paraId="4F793C16"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501" w:history="1">
        <w:r w:rsidRPr="007A22DC">
          <w:rPr>
            <w:rStyle w:val="Hipercze"/>
          </w:rPr>
          <w:t>V.7220.124.2017</w:t>
        </w:r>
      </w:hyperlink>
      <w:r w:rsidRPr="007A22DC">
        <w:t xml:space="preserve"> z 30 maja 2018 r., odpowiedź z 23 sierpnia 2018 r.</w:t>
      </w:r>
    </w:p>
  </w:footnote>
  <w:footnote w:id="762">
    <w:p w14:paraId="7902F520"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502" w:history="1">
        <w:r w:rsidRPr="007A22DC">
          <w:rPr>
            <w:rStyle w:val="Hipercze"/>
          </w:rPr>
          <w:t>V.7204.35.2015 z 29 kwietnia 2016 r., odpowiedź z 30 sierpnia 2018 r.</w:t>
        </w:r>
      </w:hyperlink>
    </w:p>
  </w:footnote>
  <w:footnote w:id="763">
    <w:p w14:paraId="0182C45D" w14:textId="77777777" w:rsidR="00803B7D" w:rsidRPr="007A22DC" w:rsidRDefault="00803B7D" w:rsidP="0053136C">
      <w:pPr>
        <w:pStyle w:val="Przypis"/>
      </w:pPr>
      <w:r w:rsidRPr="007A22DC">
        <w:rPr>
          <w:rStyle w:val="Odwoanieprzypisudolnego"/>
        </w:rPr>
        <w:footnoteRef/>
      </w:r>
      <w:r w:rsidRPr="007A22DC">
        <w:t xml:space="preserve"> Link do informacje o procesie legislacyjnym: </w:t>
      </w:r>
      <w:hyperlink r:id="rId503" w:history="1">
        <w:r w:rsidRPr="007A22DC">
          <w:rPr>
            <w:rStyle w:val="Hipercze"/>
            <w:rFonts w:eastAsiaTheme="majorEastAsia"/>
          </w:rPr>
          <w:t>http://www.sejm.gov.pl/sejm8.nsf/agent.xsp?symbol=RPL&amp;Id=RM-10-70-19</w:t>
        </w:r>
      </w:hyperlink>
    </w:p>
  </w:footnote>
  <w:footnote w:id="764">
    <w:p w14:paraId="10B3E174" w14:textId="77777777" w:rsidR="00803B7D" w:rsidRPr="007A22DC" w:rsidRDefault="00803B7D" w:rsidP="0014574C">
      <w:pPr>
        <w:pStyle w:val="Przypis"/>
      </w:pPr>
      <w:r w:rsidRPr="007A22DC">
        <w:rPr>
          <w:rStyle w:val="Odwoanieprzypisudolnego"/>
          <w:rFonts w:eastAsiaTheme="majorEastAsia"/>
        </w:rPr>
        <w:footnoteRef/>
      </w:r>
      <w:r w:rsidRPr="007A22DC">
        <w:t xml:space="preserve"> </w:t>
      </w:r>
      <w:hyperlink r:id="rId504" w:history="1">
        <w:r w:rsidRPr="007A22DC">
          <w:rPr>
            <w:rStyle w:val="Hipercze"/>
          </w:rPr>
          <w:t>V.511.645.2015</w:t>
        </w:r>
      </w:hyperlink>
      <w:r w:rsidRPr="007A22DC">
        <w:t>, wyrok z 18 kwietnia 2018 r., sygn. akt K 52/16, zobacz także Informacja RPO za 2016 r., s. 338</w:t>
      </w:r>
    </w:p>
  </w:footnote>
  <w:footnote w:id="765">
    <w:p w14:paraId="5FDCE56C" w14:textId="77777777" w:rsidR="00803B7D" w:rsidRPr="007A22DC" w:rsidRDefault="00803B7D" w:rsidP="007C23D5">
      <w:pPr>
        <w:pStyle w:val="Przypis"/>
      </w:pPr>
      <w:r w:rsidRPr="007A22DC">
        <w:rPr>
          <w:rStyle w:val="Odwoanieprzypisudolnego"/>
        </w:rPr>
        <w:footnoteRef/>
      </w:r>
      <w:r w:rsidRPr="007A22DC">
        <w:t xml:space="preserve"> </w:t>
      </w:r>
      <w:hyperlink r:id="rId505" w:history="1">
        <w:r w:rsidRPr="007A22DC">
          <w:rPr>
            <w:rStyle w:val="Hipercze"/>
            <w:rFonts w:eastAsiaTheme="majorEastAsia"/>
          </w:rPr>
          <w:t>http://monitorkonstytucyjny.eu/archiwa/6727</w:t>
        </w:r>
      </w:hyperlink>
    </w:p>
  </w:footnote>
  <w:footnote w:id="766">
    <w:p w14:paraId="385A541D" w14:textId="77777777" w:rsidR="00803B7D" w:rsidRPr="007A22DC" w:rsidRDefault="00803B7D" w:rsidP="007C23D5">
      <w:pPr>
        <w:pStyle w:val="Tekstprzypisudolnego"/>
      </w:pPr>
      <w:r w:rsidRPr="007A22DC">
        <w:rPr>
          <w:rStyle w:val="Odwoanieprzypisudolnego"/>
        </w:rPr>
        <w:footnoteRef/>
      </w:r>
      <w:r w:rsidRPr="007A22DC">
        <w:t xml:space="preserve"> </w:t>
      </w:r>
      <w:hyperlink r:id="rId506" w:history="1">
        <w:r w:rsidRPr="007A22DC">
          <w:rPr>
            <w:rStyle w:val="Hipercze"/>
          </w:rPr>
          <w:t>http://www.nsa.gov.pl/komunikaty/komunikat-z-dnia-22-pazdziernika-2018-r-dotyczacy-postanowienia-tsue-z-dnia-19-pazdziernika-2018-r-aktualizacja,news,4,593.php</w:t>
        </w:r>
      </w:hyperlink>
    </w:p>
  </w:footnote>
  <w:footnote w:id="767">
    <w:p w14:paraId="7C599FAB" w14:textId="77777777" w:rsidR="00803B7D" w:rsidRPr="007A22DC" w:rsidRDefault="00803B7D" w:rsidP="007C23D5">
      <w:pPr>
        <w:pStyle w:val="Przypis"/>
      </w:pPr>
      <w:r w:rsidRPr="007A22DC">
        <w:rPr>
          <w:rStyle w:val="Odwoanieprzypisudolnego"/>
        </w:rPr>
        <w:footnoteRef/>
      </w:r>
      <w:r w:rsidRPr="007A22DC">
        <w:t xml:space="preserve"> Ustawa z dnia 21 listopada 2018 r. o zmianie ustawy o Sądzie Najwyższym, Dz.U. 2018 poz. 2507</w:t>
      </w:r>
    </w:p>
  </w:footnote>
  <w:footnote w:id="768">
    <w:p w14:paraId="154F59BC" w14:textId="77777777" w:rsidR="00803B7D" w:rsidRPr="007A22DC" w:rsidRDefault="00803B7D" w:rsidP="007C23D5">
      <w:pPr>
        <w:pStyle w:val="Przypis"/>
      </w:pPr>
      <w:r w:rsidRPr="007A22DC">
        <w:rPr>
          <w:rStyle w:val="Odwoanieprzypisudolnego"/>
        </w:rPr>
        <w:footnoteRef/>
      </w:r>
      <w:r w:rsidRPr="007A22DC">
        <w:t xml:space="preserve"> Relacja i nagranie: </w:t>
      </w:r>
      <w:hyperlink r:id="rId507" w:history="1">
        <w:r w:rsidRPr="007A22DC">
          <w:rPr>
            <w:rStyle w:val="Hipercze"/>
            <w:rFonts w:eastAsia="Calibri"/>
          </w:rPr>
          <w:t>https://www.rpo.gov.pl/pl/content/panel/sesja-7-warsztat-wniosek-o-wydanie-orzeczenia-w-trybie-prejudycjalnym-do-trybunału-sprawiedliwości</w:t>
        </w:r>
      </w:hyperlink>
    </w:p>
  </w:footnote>
  <w:footnote w:id="769">
    <w:p w14:paraId="20324975" w14:textId="77777777" w:rsidR="00803B7D" w:rsidRPr="007A22DC" w:rsidRDefault="00803B7D" w:rsidP="007C23D5">
      <w:pPr>
        <w:pStyle w:val="Przypis"/>
      </w:pPr>
      <w:r w:rsidRPr="007A22DC">
        <w:rPr>
          <w:rStyle w:val="Odwoanieprzypisudolnego"/>
        </w:rPr>
        <w:footnoteRef/>
      </w:r>
      <w:r w:rsidRPr="007A22DC">
        <w:t xml:space="preserve"> </w:t>
      </w:r>
      <w:hyperlink r:id="rId508" w:history="1">
        <w:r w:rsidRPr="007A22DC">
          <w:rPr>
            <w:rStyle w:val="Hipercze"/>
            <w:rFonts w:eastAsiaTheme="majorEastAsia"/>
          </w:rPr>
          <w:t>https://www.rpo.gov.pl/pl/content/25-rocznica-ratyfikowania-przez-polsk</w:t>
        </w:r>
        <w:r w:rsidRPr="007A22DC">
          <w:rPr>
            <w:rStyle w:val="Hipercze"/>
            <w:rFonts w:eastAsia="Calibri"/>
          </w:rPr>
          <w:t>ę</w:t>
        </w:r>
        <w:r w:rsidRPr="007A22DC">
          <w:rPr>
            <w:rStyle w:val="Hipercze"/>
            <w:rFonts w:eastAsiaTheme="majorEastAsia"/>
          </w:rPr>
          <w:t>-europejskiej-konwencji-praw-cz</w:t>
        </w:r>
        <w:r w:rsidRPr="007A22DC">
          <w:rPr>
            <w:rStyle w:val="Hipercze"/>
            <w:rFonts w:eastAsia="Calibri"/>
          </w:rPr>
          <w:t>ł</w:t>
        </w:r>
        <w:r w:rsidRPr="007A22DC">
          <w:rPr>
            <w:rStyle w:val="Hipercze"/>
            <w:rFonts w:eastAsiaTheme="majorEastAsia"/>
          </w:rPr>
          <w:t>owieka</w:t>
        </w:r>
      </w:hyperlink>
    </w:p>
  </w:footnote>
  <w:footnote w:id="770">
    <w:p w14:paraId="4438BDE8" w14:textId="77777777" w:rsidR="00803B7D" w:rsidRPr="007A22DC" w:rsidRDefault="00803B7D" w:rsidP="007C23D5">
      <w:pPr>
        <w:pStyle w:val="Przypis"/>
      </w:pPr>
      <w:r w:rsidRPr="007A22DC">
        <w:rPr>
          <w:rStyle w:val="Odwoanieprzypisudolnego"/>
        </w:rPr>
        <w:footnoteRef/>
      </w:r>
      <w:r w:rsidRPr="007A22DC">
        <w:t xml:space="preserve"> </w:t>
      </w:r>
      <w:hyperlink r:id="rId509" w:history="1">
        <w:r w:rsidRPr="007A22DC">
          <w:rPr>
            <w:rStyle w:val="Hipercze"/>
            <w:rFonts w:eastAsia="Calibri"/>
          </w:rPr>
          <w:t>https://www.rpo.gov.pl/pl/content/panel/sesja-4-warsztat-pisanie-skarg-do-europejskiego-trybunału-praw-człowieka-blok</w:t>
        </w:r>
      </w:hyperlink>
    </w:p>
  </w:footnote>
  <w:footnote w:id="771">
    <w:p w14:paraId="4FDA5428" w14:textId="77777777" w:rsidR="00803B7D" w:rsidRPr="007A22DC" w:rsidRDefault="00803B7D" w:rsidP="007C23D5">
      <w:pPr>
        <w:pStyle w:val="Przypis"/>
      </w:pPr>
      <w:r w:rsidRPr="007A22DC">
        <w:rPr>
          <w:rStyle w:val="Odwoanieprzypisudolnego"/>
        </w:rPr>
        <w:footnoteRef/>
      </w:r>
      <w:r w:rsidRPr="007A22DC">
        <w:t xml:space="preserve"> skarga nr 5410_03, tłumaczenie: </w:t>
      </w:r>
      <w:hyperlink r:id="rId510" w:history="1">
        <w:r w:rsidRPr="007A22DC">
          <w:rPr>
            <w:rStyle w:val="Hipercze"/>
            <w:rFonts w:eastAsia="Calibri"/>
          </w:rPr>
          <w:t>http://trybunal.gov.pl/polskie-akcenty-w-orzecznictwie-miedzynarodowym/rada-europy-europejski-trybunal-praw-czlowieka/w-sprawach-polskich/art/7999-sprawa-tysiac-przeciwko-polsce-skarga-nr-5410-03-wyrok-z-dnia-20-marca-2007-rtlumaczenie-robo/</w:t>
        </w:r>
      </w:hyperlink>
    </w:p>
  </w:footnote>
  <w:footnote w:id="772">
    <w:p w14:paraId="05DB6B6F" w14:textId="77777777" w:rsidR="00803B7D" w:rsidRPr="007A22DC" w:rsidRDefault="00803B7D" w:rsidP="007C23D5">
      <w:pPr>
        <w:pStyle w:val="Przypis"/>
      </w:pPr>
      <w:r w:rsidRPr="007A22DC">
        <w:rPr>
          <w:rStyle w:val="Odwoanieprzypisudolnego"/>
        </w:rPr>
        <w:footnoteRef/>
      </w:r>
      <w:r w:rsidRPr="007A22DC">
        <w:t xml:space="preserve"> skarga nr 30813/14</w:t>
      </w:r>
    </w:p>
  </w:footnote>
  <w:footnote w:id="773">
    <w:p w14:paraId="4DB54030" w14:textId="77777777" w:rsidR="00803B7D" w:rsidRPr="007A22DC" w:rsidRDefault="00803B7D" w:rsidP="007C23D5">
      <w:pPr>
        <w:pStyle w:val="Przypis"/>
        <w:rPr>
          <w:b/>
          <w:bCs/>
        </w:rPr>
      </w:pPr>
      <w:r w:rsidRPr="007A22DC">
        <w:rPr>
          <w:rStyle w:val="Odwoanieprzypisudolnego"/>
        </w:rPr>
        <w:footnoteRef/>
      </w:r>
      <w:r w:rsidRPr="007A22DC">
        <w:t xml:space="preserve"> skarga nr 2171/14</w:t>
      </w:r>
    </w:p>
  </w:footnote>
  <w:footnote w:id="774">
    <w:p w14:paraId="3D6C5A7D" w14:textId="77777777" w:rsidR="00803B7D" w:rsidRPr="007A22DC" w:rsidRDefault="00803B7D" w:rsidP="007C23D5">
      <w:pPr>
        <w:pStyle w:val="Przypis"/>
        <w:rPr>
          <w:b/>
          <w:bCs/>
        </w:rPr>
      </w:pPr>
      <w:r w:rsidRPr="007A22DC">
        <w:rPr>
          <w:rStyle w:val="Odwoanieprzypisudolnego"/>
        </w:rPr>
        <w:footnoteRef/>
      </w:r>
      <w:r w:rsidRPr="007A22DC">
        <w:t xml:space="preserve"> skarga nr 28481/12</w:t>
      </w:r>
    </w:p>
  </w:footnote>
  <w:footnote w:id="775">
    <w:p w14:paraId="00D83A37" w14:textId="77777777" w:rsidR="00803B7D" w:rsidRPr="007A22DC" w:rsidRDefault="00803B7D" w:rsidP="007C23D5">
      <w:pPr>
        <w:pStyle w:val="Przypis"/>
      </w:pPr>
      <w:r w:rsidRPr="007A22DC">
        <w:rPr>
          <w:rStyle w:val="Odwoanieprzypisudolnego"/>
        </w:rPr>
        <w:footnoteRef/>
      </w:r>
      <w:r w:rsidRPr="007A22DC">
        <w:t xml:space="preserve"> </w:t>
      </w:r>
      <w:r w:rsidRPr="007A22DC">
        <w:rPr>
          <w:rStyle w:val="PrzypisZnak"/>
        </w:rPr>
        <w:t>Dz.U. 2018 poz. 416</w:t>
      </w:r>
    </w:p>
  </w:footnote>
  <w:footnote w:id="776">
    <w:p w14:paraId="023E0A6E" w14:textId="77777777" w:rsidR="00803B7D" w:rsidRPr="007A22DC" w:rsidRDefault="00803B7D" w:rsidP="007C23D5">
      <w:pPr>
        <w:pStyle w:val="Przypis"/>
      </w:pPr>
      <w:r w:rsidRPr="007A22DC">
        <w:rPr>
          <w:rStyle w:val="Odwoanieprzypisudolnego"/>
        </w:rPr>
        <w:footnoteRef/>
      </w:r>
      <w:r w:rsidRPr="007A22DC">
        <w:t xml:space="preserve"> skarga nr 66484/09</w:t>
      </w:r>
    </w:p>
  </w:footnote>
  <w:footnote w:id="777">
    <w:p w14:paraId="2122C527" w14:textId="77777777" w:rsidR="00803B7D" w:rsidRPr="007A22DC" w:rsidRDefault="00803B7D" w:rsidP="007C23D5">
      <w:pPr>
        <w:pStyle w:val="Przypis"/>
      </w:pPr>
      <w:r w:rsidRPr="007A22DC">
        <w:rPr>
          <w:rStyle w:val="Odwoanieprzypisudolnego"/>
        </w:rPr>
        <w:footnoteRef/>
      </w:r>
      <w:r w:rsidRPr="007A22DC">
        <w:t xml:space="preserve"> skarga nr 68924/12</w:t>
      </w:r>
    </w:p>
  </w:footnote>
  <w:footnote w:id="778">
    <w:p w14:paraId="4DF22811" w14:textId="77777777" w:rsidR="00803B7D" w:rsidRPr="007A22DC" w:rsidRDefault="00803B7D" w:rsidP="007C23D5">
      <w:pPr>
        <w:pStyle w:val="Przypis"/>
      </w:pPr>
      <w:r w:rsidRPr="007A22DC">
        <w:rPr>
          <w:rStyle w:val="Odwoanieprzypisudolnego"/>
        </w:rPr>
        <w:footnoteRef/>
      </w:r>
      <w:r w:rsidRPr="007A22DC">
        <w:t xml:space="preserve"> skarga nr 33949/05</w:t>
      </w:r>
    </w:p>
  </w:footnote>
  <w:footnote w:id="779">
    <w:p w14:paraId="5DF7FCE3" w14:textId="77777777" w:rsidR="00803B7D" w:rsidRPr="007A22DC" w:rsidRDefault="00803B7D" w:rsidP="0014574C">
      <w:pPr>
        <w:pStyle w:val="Przypis"/>
      </w:pPr>
      <w:r w:rsidRPr="007A22DC">
        <w:rPr>
          <w:rStyle w:val="Odwoanieprzypisudolnego"/>
        </w:rPr>
        <w:footnoteRef/>
      </w:r>
      <w:r w:rsidRPr="007A22DC">
        <w:t xml:space="preserve"> Art. 6-8 ustawy o wdrażaniu niektórych przepisów Unii Europejskiej w zakresie równego traktowania z 3 grudnia 2010 r. (Dz.U. z 2016 r. poz. 1219; dalej także jako ustawa o równym traktowaniu)</w:t>
      </w:r>
    </w:p>
  </w:footnote>
  <w:footnote w:id="780">
    <w:p w14:paraId="0DAD776B" w14:textId="77777777" w:rsidR="00803B7D" w:rsidRPr="007A22DC" w:rsidRDefault="00803B7D" w:rsidP="0014574C">
      <w:pPr>
        <w:pStyle w:val="Przypis"/>
      </w:pPr>
      <w:r w:rsidRPr="007A22DC">
        <w:rPr>
          <w:rStyle w:val="Odwoanieprzypisudolnego"/>
          <w:rFonts w:eastAsiaTheme="minorHAnsi"/>
        </w:rPr>
        <w:footnoteRef/>
      </w:r>
      <w:r w:rsidRPr="007A22DC">
        <w:t xml:space="preserve"> Konwencja o prawach osób niepełnosprawnych sporządzona w Nowym Jorku 13 grudnia 2006 r. (Dz.U. z 2012 r., poz. 1169).</w:t>
      </w:r>
    </w:p>
  </w:footnote>
  <w:footnote w:id="781">
    <w:p w14:paraId="52CB0D60" w14:textId="77777777" w:rsidR="00803B7D" w:rsidRPr="007A22DC" w:rsidRDefault="00803B7D" w:rsidP="0014574C">
      <w:pPr>
        <w:pStyle w:val="Przypis"/>
      </w:pPr>
      <w:r w:rsidRPr="007A22DC">
        <w:rPr>
          <w:rStyle w:val="Odwoanieprzypisudolnego"/>
          <w:rFonts w:eastAsiaTheme="minorHAnsi"/>
        </w:rPr>
        <w:footnoteRef/>
      </w:r>
      <w:r w:rsidRPr="007A22DC">
        <w:t xml:space="preserve"> Badania przeprowadzone na zlecenie Rzecznika Praw Obywatelskich przez Kantar Public „Świadomość prawna w kontekście równego traktowania 2018”, październik 2018, </w:t>
      </w:r>
      <w:hyperlink r:id="rId511" w:history="1">
        <w:r w:rsidRPr="007A22DC">
          <w:rPr>
            <w:rStyle w:val="Hipercze"/>
            <w:rFonts w:eastAsiaTheme="majorEastAsia"/>
          </w:rPr>
          <w:t>https://www.rpo.gov.pl/pl/content/raport-rpo-o-realizacji-zasady-rownego-traktowania-w-polsce</w:t>
        </w:r>
      </w:hyperlink>
      <w:r w:rsidRPr="007A22DC">
        <w:t>.</w:t>
      </w:r>
    </w:p>
  </w:footnote>
  <w:footnote w:id="782">
    <w:p w14:paraId="52CCFCFB" w14:textId="77777777" w:rsidR="00803B7D" w:rsidRPr="007A22DC" w:rsidRDefault="00803B7D" w:rsidP="0014574C">
      <w:pPr>
        <w:pStyle w:val="Przypis"/>
      </w:pPr>
      <w:r w:rsidRPr="007A22DC">
        <w:rPr>
          <w:rStyle w:val="Odwoanieprzypisudolnego"/>
        </w:rPr>
        <w:footnoteRef/>
      </w:r>
      <w:r w:rsidRPr="007A22DC">
        <w:t xml:space="preserve"> Serwis internetowy RPO poświęcony realizacji zasady równego traktowania: </w:t>
      </w:r>
      <w:hyperlink r:id="rId512" w:history="1">
        <w:r w:rsidRPr="007A22DC">
          <w:rPr>
            <w:rStyle w:val="Hipercze"/>
            <w:rFonts w:eastAsiaTheme="majorEastAsia"/>
          </w:rPr>
          <w:t>https://www.rpo.gov.pl/pl/rowne-traktowanie</w:t>
        </w:r>
      </w:hyperlink>
    </w:p>
  </w:footnote>
  <w:footnote w:id="783">
    <w:p w14:paraId="1D12129C" w14:textId="77777777" w:rsidR="00803B7D" w:rsidRPr="007A22DC" w:rsidRDefault="00803B7D" w:rsidP="0014574C">
      <w:pPr>
        <w:pStyle w:val="Przypis"/>
      </w:pPr>
      <w:r w:rsidRPr="007A22DC">
        <w:rPr>
          <w:rStyle w:val="Odwoanieprzypisudolnego"/>
        </w:rPr>
        <w:footnoteRef/>
      </w:r>
      <w:r w:rsidRPr="007A22DC">
        <w:t xml:space="preserve"> </w:t>
      </w:r>
      <w:hyperlink r:id="rId513" w:history="1">
        <w:r w:rsidRPr="007A22DC">
          <w:rPr>
            <w:rStyle w:val="Hipercze"/>
            <w:rFonts w:eastAsiaTheme="majorEastAsia"/>
          </w:rPr>
          <w:t>https://www.rpo.gov.pl/pl/content/skala-przestepstw-motywowanych-uprzedzeniami-i-nienawiścią-w-Polsce-badania-rpo-i-odhir</w:t>
        </w:r>
      </w:hyperlink>
    </w:p>
  </w:footnote>
  <w:footnote w:id="784">
    <w:p w14:paraId="5960B3F3" w14:textId="77777777" w:rsidR="00803B7D" w:rsidRPr="007A22DC" w:rsidRDefault="00803B7D" w:rsidP="0014574C">
      <w:pPr>
        <w:pStyle w:val="Przypis"/>
      </w:pPr>
      <w:r w:rsidRPr="007A22DC">
        <w:rPr>
          <w:rStyle w:val="Odwoanieprzypisudolnego"/>
        </w:rPr>
        <w:footnoteRef/>
      </w:r>
      <w:r w:rsidRPr="007A22DC">
        <w:t xml:space="preserve"> </w:t>
      </w:r>
      <w:hyperlink r:id="rId514" w:history="1">
        <w:r w:rsidRPr="007A22DC">
          <w:rPr>
            <w:rStyle w:val="Hipercze"/>
            <w:rFonts w:eastAsiaTheme="majorEastAsia"/>
          </w:rPr>
          <w:t>https://www.rpo.gov.pl/pl/content/rowne-traktowanie-w-pracy-ze-wzgledu-na-wyznanie-analiza-i-zalecenia-rpo</w:t>
        </w:r>
      </w:hyperlink>
    </w:p>
  </w:footnote>
  <w:footnote w:id="785">
    <w:p w14:paraId="6DE463D7" w14:textId="77777777" w:rsidR="00803B7D" w:rsidRPr="007A22DC" w:rsidRDefault="00803B7D" w:rsidP="0014574C">
      <w:pPr>
        <w:pStyle w:val="Przypis"/>
      </w:pPr>
      <w:r w:rsidRPr="007A22DC">
        <w:rPr>
          <w:rStyle w:val="Odwoanieprzypisudolnego"/>
          <w:rFonts w:eastAsiaTheme="minorHAnsi"/>
        </w:rPr>
        <w:footnoteRef/>
      </w:r>
      <w:r w:rsidRPr="007A22DC">
        <w:t xml:space="preserve"> Dyrektywa Parlamentu Europejskiego i Rady 2012/29/UE z dnia 25 października 2012 r. ustanawiającej normy minimalne w zakresie praw, wsparcia i ochrony ofiar przestępstw oraz zastępującej decyzję ramową Rady 2001/220/WSiSW.</w:t>
      </w:r>
    </w:p>
  </w:footnote>
  <w:footnote w:id="786">
    <w:p w14:paraId="6DD724E4" w14:textId="77777777" w:rsidR="00803B7D" w:rsidRPr="007A22DC" w:rsidRDefault="00803B7D" w:rsidP="0014574C">
      <w:pPr>
        <w:pStyle w:val="Przypis"/>
      </w:pPr>
      <w:r w:rsidRPr="007A22DC">
        <w:rPr>
          <w:rStyle w:val="Odwoanieprzypisudolnego"/>
          <w:rFonts w:eastAsiaTheme="minorHAnsi"/>
        </w:rPr>
        <w:footnoteRef/>
      </w:r>
      <w:r w:rsidRPr="007A22DC">
        <w:t xml:space="preserve"> Konwencji Rady Europy o zapobieganiu i zwalczaniu przemocy wobec kobiet i przemocy domowej sporządzona w Stambule 11 maja 2011 r. (Dz. U. z 2015 r., poz. 961).</w:t>
      </w:r>
    </w:p>
  </w:footnote>
  <w:footnote w:id="787">
    <w:p w14:paraId="71AF2D58" w14:textId="77777777" w:rsidR="00803B7D" w:rsidRPr="007A22DC" w:rsidRDefault="00803B7D" w:rsidP="002B32C9">
      <w:pPr>
        <w:pStyle w:val="Przypis"/>
      </w:pPr>
      <w:r w:rsidRPr="007A22DC">
        <w:rPr>
          <w:rStyle w:val="Odwoanieprzypisudolnego"/>
          <w:rFonts w:eastAsiaTheme="minorHAnsi"/>
        </w:rPr>
        <w:footnoteRef/>
      </w:r>
      <w:r w:rsidRPr="007A22DC">
        <w:t xml:space="preserve"> Dokument ten został przyjęty w październiku i opublikowany na stronie MRPiPS w dniu 6 grudnia 2018 r.: „Polityka Społeczna wobec osób Starszych 2030. Bezpieczeństwo. Uczestnictwo. Solidarność”, Załącznik do uchwały nr 161 Rady Ministrów z 26 października 2018 r. (M.P. z 2018 r., poz. 1169). </w:t>
      </w:r>
    </w:p>
  </w:footnote>
  <w:footnote w:id="788">
    <w:p w14:paraId="686B862C" w14:textId="77777777" w:rsidR="00803B7D" w:rsidRPr="007A22DC" w:rsidRDefault="00803B7D" w:rsidP="0014574C">
      <w:pPr>
        <w:pStyle w:val="Przypis"/>
      </w:pPr>
      <w:r w:rsidRPr="007A22DC">
        <w:rPr>
          <w:rStyle w:val="Odwoanieprzypisudolnego"/>
          <w:rFonts w:eastAsiaTheme="minorHAnsi"/>
        </w:rPr>
        <w:footnoteRef/>
      </w:r>
      <w:r w:rsidRPr="007A22DC">
        <w:t xml:space="preserve"> Rzecznik Praw Obywatelskich, Komisja Ekspertów ds. Osób Starszych przy Rzeczniku Praw Obywatelskich, Analiza rządowego programu „Polityka społeczna wobec osób starszych 2030. Bezpieczeństwo. Uczestnictwo. Solidarność”. Wnioski z dyskusji, Warszawa, 13 kwietnia 2018 r..</w:t>
      </w:r>
    </w:p>
  </w:footnote>
  <w:footnote w:id="789">
    <w:p w14:paraId="000733E9" w14:textId="77777777" w:rsidR="00803B7D" w:rsidRPr="007A22DC" w:rsidRDefault="00803B7D" w:rsidP="0014574C">
      <w:pPr>
        <w:pStyle w:val="Przypis"/>
      </w:pPr>
      <w:r w:rsidRPr="007A22DC">
        <w:rPr>
          <w:rStyle w:val="Odwoanieprzypisudolnego"/>
          <w:rFonts w:eastAsiaTheme="minorHAnsi"/>
        </w:rPr>
        <w:footnoteRef/>
      </w:r>
      <w:r w:rsidRPr="007A22DC">
        <w:t xml:space="preserve"> Zob. informacje o pracach Grupy – </w:t>
      </w:r>
      <w:hyperlink r:id="rId515" w:history="1">
        <w:r w:rsidRPr="007A22DC">
          <w:rPr>
            <w:rStyle w:val="Hipercze"/>
          </w:rPr>
          <w:t>https://social.un.org/ageing-working-group/</w:t>
        </w:r>
      </w:hyperlink>
      <w:r w:rsidRPr="007A22DC">
        <w:t xml:space="preserve">. </w:t>
      </w:r>
    </w:p>
  </w:footnote>
  <w:footnote w:id="790">
    <w:p w14:paraId="2F5F10AB" w14:textId="77777777" w:rsidR="00803B7D" w:rsidRPr="007A22DC" w:rsidRDefault="00803B7D" w:rsidP="0014574C">
      <w:pPr>
        <w:pStyle w:val="Przypis"/>
      </w:pPr>
      <w:r w:rsidRPr="007A22DC">
        <w:rPr>
          <w:rStyle w:val="Odwoanieprzypisudolnego"/>
          <w:rFonts w:eastAsiaTheme="minorHAnsi"/>
        </w:rPr>
        <w:footnoteRef/>
      </w:r>
      <w:r w:rsidRPr="007A22DC">
        <w:t xml:space="preserve"> Zob. raport RPO </w:t>
      </w:r>
      <w:hyperlink r:id="rId516" w:history="1">
        <w:r w:rsidRPr="007A22DC">
          <w:rPr>
            <w:rStyle w:val="Hipercze"/>
            <w:i/>
          </w:rPr>
          <w:t>Asystent osobisty osoby z niepełnosprawnością – zapotrzebowanie na miarę Konwencji o prawach osób niepełnosprawnych</w:t>
        </w:r>
        <w:r w:rsidRPr="007A22DC">
          <w:rPr>
            <w:rStyle w:val="Hipercze"/>
          </w:rPr>
          <w:t>, Warszawa 2017 r.</w:t>
        </w:r>
      </w:hyperlink>
    </w:p>
  </w:footnote>
  <w:footnote w:id="791">
    <w:p w14:paraId="6D0F2B3D" w14:textId="77777777" w:rsidR="00803B7D" w:rsidRPr="007A22DC" w:rsidRDefault="00803B7D" w:rsidP="0014574C">
      <w:pPr>
        <w:pStyle w:val="Przypis"/>
      </w:pPr>
      <w:r w:rsidRPr="007A22DC">
        <w:rPr>
          <w:rStyle w:val="Odwoanieprzypisudolnego"/>
        </w:rPr>
        <w:footnoteRef/>
      </w:r>
      <w:r w:rsidRPr="007A22DC">
        <w:t xml:space="preserve"> Zob. </w:t>
      </w:r>
      <w:hyperlink r:id="rId517" w:history="1">
        <w:r w:rsidRPr="007A22DC">
          <w:rPr>
            <w:rStyle w:val="Hipercze"/>
          </w:rPr>
          <w:t>https://www.osce.org/projects/criminal-justice-response-hate-crime</w:t>
        </w:r>
      </w:hyperlink>
      <w:r w:rsidRPr="007A22DC">
        <w:t xml:space="preserve">. </w:t>
      </w:r>
    </w:p>
  </w:footnote>
  <w:footnote w:id="792">
    <w:p w14:paraId="79FAB6B2" w14:textId="77777777" w:rsidR="00803B7D" w:rsidRPr="007A22DC" w:rsidRDefault="00803B7D" w:rsidP="0014574C">
      <w:pPr>
        <w:pStyle w:val="Przypis"/>
      </w:pPr>
      <w:r w:rsidRPr="007A22DC">
        <w:rPr>
          <w:rStyle w:val="Odwoanieprzypisudolnego"/>
        </w:rPr>
        <w:footnoteRef/>
      </w:r>
      <w:r w:rsidRPr="007A22DC">
        <w:t xml:space="preserve"> Serwis internetowy polskiego Krajowego Mechanizmu Prewencji Tortur: </w:t>
      </w:r>
      <w:hyperlink r:id="rId518" w:history="1">
        <w:r w:rsidRPr="007A22DC">
          <w:rPr>
            <w:rStyle w:val="Hipercze"/>
            <w:rFonts w:eastAsiaTheme="majorEastAsia"/>
          </w:rPr>
          <w:t>https://www.rpo.gov.pl/krajowy-mechanizm-prewencji/</w:t>
        </w:r>
      </w:hyperlink>
    </w:p>
  </w:footnote>
  <w:footnote w:id="793">
    <w:p w14:paraId="223FCE77" w14:textId="77777777" w:rsidR="00803B7D" w:rsidRPr="007A22DC" w:rsidRDefault="00803B7D" w:rsidP="0014574C">
      <w:pPr>
        <w:pStyle w:val="Przypis"/>
      </w:pPr>
      <w:r w:rsidRPr="007A22DC">
        <w:rPr>
          <w:rStyle w:val="Odwoanieprzypisudolnego"/>
        </w:rPr>
        <w:footnoteRef/>
      </w:r>
      <w:r w:rsidRPr="007A22DC">
        <w:t xml:space="preserve"> Jak pokazuje praktyka, zdarzają się przypadki, gdy funkcjonariusze, mimo iż mają czasami podejrzenia, co do złego traktowania zatrzymanych przez ich współpracowników, nie reagują właściwie i nie raportują takich przypadków.</w:t>
      </w:r>
    </w:p>
  </w:footnote>
  <w:footnote w:id="794">
    <w:p w14:paraId="04E07231" w14:textId="77777777" w:rsidR="00803B7D" w:rsidRPr="007A22DC" w:rsidRDefault="00803B7D" w:rsidP="00EA674D">
      <w:pPr>
        <w:pStyle w:val="Przypis"/>
      </w:pPr>
      <w:r w:rsidRPr="007A22DC">
        <w:rPr>
          <w:rStyle w:val="Odwoanieprzypisudolnego"/>
        </w:rPr>
        <w:footnoteRef/>
      </w:r>
      <w:r w:rsidRPr="007A22DC">
        <w:t xml:space="preserve"> Pierwsze wystąpienie generalne w tej sprawie RPO skierował w dniu 27 października2015 r.</w:t>
      </w:r>
    </w:p>
  </w:footnote>
  <w:footnote w:id="795">
    <w:p w14:paraId="318975CD" w14:textId="77777777" w:rsidR="00803B7D" w:rsidRPr="007A22DC" w:rsidRDefault="00803B7D" w:rsidP="0014574C">
      <w:pPr>
        <w:pStyle w:val="Przypis"/>
      </w:pPr>
      <w:r w:rsidRPr="007A22DC">
        <w:rPr>
          <w:rStyle w:val="Odwoanieprzypisudolnego"/>
        </w:rPr>
        <w:footnoteRef/>
      </w:r>
      <w:hyperlink r:id="rId519" w:history="1">
        <w:r w:rsidRPr="007A22DC">
          <w:rPr>
            <w:rStyle w:val="Hipercze"/>
          </w:rPr>
          <w:t>https://www.rpo.gov.pl/sites/default/files/Opinia%20ODIHR%20dotycząca%20penalizacji%20tortur%20w%20polskim%20ustawodawstwie.pdf</w:t>
        </w:r>
      </w:hyperlink>
    </w:p>
  </w:footnote>
  <w:footnote w:id="796">
    <w:p w14:paraId="01791590" w14:textId="77777777" w:rsidR="00803B7D" w:rsidRPr="007A22DC" w:rsidRDefault="00803B7D" w:rsidP="0014574C">
      <w:pPr>
        <w:pStyle w:val="Przypis"/>
      </w:pPr>
      <w:r w:rsidRPr="007A22DC">
        <w:rPr>
          <w:rStyle w:val="Odwoanieprzypisudolnego"/>
        </w:rPr>
        <w:footnoteRef/>
      </w:r>
      <w:r w:rsidRPr="007A22DC">
        <w:t xml:space="preserve"> Raport ten zawiera syntezę ustaleń Krajowego Mechanizmu Prewencji Tortur z wizytacji domów pomocy społecznej przeprowadzonych w latach 2008-2016 </w:t>
      </w:r>
      <w:hyperlink r:id="rId520" w:history="1">
        <w:r w:rsidRPr="007A22DC">
          <w:rPr>
            <w:rStyle w:val="Hipercze"/>
            <w:rFonts w:eastAsiaTheme="majorEastAsia"/>
          </w:rPr>
          <w:t>https://www.rpo.gov.pl/pl/content/raport-kmpt-prawa-mieszkancow-domow-pomocy-spolecznej</w:t>
        </w:r>
      </w:hyperlink>
    </w:p>
  </w:footnote>
  <w:footnote w:id="797">
    <w:p w14:paraId="1D3CF1DB" w14:textId="77777777" w:rsidR="00803B7D" w:rsidRPr="007A22DC" w:rsidRDefault="00803B7D" w:rsidP="0014574C">
      <w:pPr>
        <w:pStyle w:val="Przypis"/>
      </w:pPr>
      <w:r w:rsidRPr="007A22DC">
        <w:rPr>
          <w:rStyle w:val="Odwoanieprzypisudolnego"/>
        </w:rPr>
        <w:footnoteRef/>
      </w:r>
      <w:r w:rsidRPr="007A22DC">
        <w:t>Są to: ograniczania możliwości samodzielnych, swobodnych wyjść mieszkańców poza teren placówki, instalowanie w domach systemu monitoringu wizyjnego, niesprecyzowanie w obowiązujących przepisach standardu współpracy domu z psychologiem oraz brak obowiązku zapewnienia kontaktu z lekarzem psychiatrą mieszkańcom z niepełnosprawnością intelektualną, w podeszłym wieku lub przewlekle somatycznie chorym.</w:t>
      </w:r>
    </w:p>
  </w:footnote>
  <w:footnote w:id="798">
    <w:p w14:paraId="46172F68" w14:textId="77777777" w:rsidR="00803B7D" w:rsidRPr="007A22DC" w:rsidRDefault="00803B7D" w:rsidP="0014574C">
      <w:pPr>
        <w:pStyle w:val="Przypis"/>
      </w:pPr>
      <w:r w:rsidRPr="007A22DC">
        <w:rPr>
          <w:rStyle w:val="Odwoanieprzypisudolnego"/>
        </w:rPr>
        <w:footnoteRef/>
      </w:r>
      <w:r w:rsidRPr="007A22DC">
        <w:t xml:space="preserve"> Zdaniem MZ wykorzystywanie monitoringu wizyjnego w miejscach udzielania świadczeń jest niezgodne z prawem jako naruszające prawa obywatelskie i prawa pacjenta. W odniesieniu do monitoringu innych pomieszczeń niezwiązanych z udzielaniem świadczeń zdrowotnych (np. korytarzy) MZ uznał, że może być on stosowany na zasadach ogólnych, zastrzegając jednocześnie, że prawna regulacja tego zagadnienia wykracza poza kompetencje Ministra.</w:t>
      </w:r>
    </w:p>
  </w:footnote>
  <w:footnote w:id="799">
    <w:p w14:paraId="02828DC0" w14:textId="77777777" w:rsidR="00803B7D" w:rsidRPr="007A22DC" w:rsidRDefault="00803B7D" w:rsidP="0014574C">
      <w:pPr>
        <w:pStyle w:val="Przypis"/>
      </w:pPr>
      <w:r w:rsidRPr="007A22DC">
        <w:rPr>
          <w:rStyle w:val="Odwoanieprzypisudolnego"/>
        </w:rPr>
        <w:footnoteRef/>
      </w:r>
      <w:r w:rsidRPr="007A22DC">
        <w:t xml:space="preserve"> Informacja RPO za 2017 r., str.152</w:t>
      </w:r>
    </w:p>
  </w:footnote>
  <w:footnote w:id="800">
    <w:p w14:paraId="6584BC30" w14:textId="77777777" w:rsidR="00803B7D" w:rsidRPr="007A22DC" w:rsidRDefault="00803B7D" w:rsidP="0014574C">
      <w:pPr>
        <w:pStyle w:val="Przypis"/>
      </w:pPr>
      <w:r w:rsidRPr="007A22DC">
        <w:rPr>
          <w:rStyle w:val="Odwoanieprzypisudolnego"/>
        </w:rPr>
        <w:footnoteRef/>
      </w:r>
      <w:r w:rsidRPr="007A22DC">
        <w:t xml:space="preserve"> KMP.570.3.2017 z 8 stycznia 2018 r..</w:t>
      </w:r>
    </w:p>
  </w:footnote>
  <w:footnote w:id="801">
    <w:p w14:paraId="30347B8C" w14:textId="77777777" w:rsidR="00803B7D" w:rsidRPr="007A22DC" w:rsidRDefault="00803B7D" w:rsidP="0014574C">
      <w:pPr>
        <w:pStyle w:val="Przypis"/>
      </w:pPr>
      <w:r w:rsidRPr="007A22DC">
        <w:rPr>
          <w:rStyle w:val="Odwoanieprzypisudolnego"/>
        </w:rPr>
        <w:footnoteRef/>
      </w:r>
      <w:r w:rsidRPr="007A22DC">
        <w:t xml:space="preserve"> W debatach, w charakterze ekspertów wzięli udział członkowie Komisji Ekspertów KMPT – Lidia Olejnik (Łódź), mec. Piotr Sendecki (Poznań) oraz prof. dr hab. Zbigniew Lasocik (Warszawa)</w:t>
      </w:r>
    </w:p>
  </w:footnote>
  <w:footnote w:id="802">
    <w:p w14:paraId="687468DF" w14:textId="77777777" w:rsidR="00803B7D" w:rsidRPr="007A22DC" w:rsidRDefault="00803B7D" w:rsidP="0014574C">
      <w:pPr>
        <w:pStyle w:val="Przypis"/>
      </w:pPr>
      <w:r w:rsidRPr="007A22DC">
        <w:rPr>
          <w:rStyle w:val="Odwoanieprzypisudolnego"/>
        </w:rPr>
        <w:footnoteRef/>
      </w:r>
      <w:r w:rsidRPr="007A22DC">
        <w:t xml:space="preserve"> Do zdarzeń doszło w sierpniu 2012 r. Funkcjonariusze Policji zatrzymali trzech młodych mężczyzn (w wieku od 19 do 29 lat) podejrzewanych o kradzież biżuterii ze sklepu jubilerskiego. Zostali oni przewiezieni do Komendy Miejskiej Policji w Siedlcach i poddani przez funkcjonariuszy Wydziału Kryminalnego rozpytaniu, w czasie którego byli torturowani. Byli oni m.in. bici pałką po stopach, polewani wodą i rażeni paralizatorem w okolice miejsc intymnych, przyciskani butem do podłogi. Zaklejano im usta oraz straszono: przytrzaśnięciem jąder, wywiezieniem do lasu i zabawą w zająca (przykucie rąk do nóg i gonienie zatrzymanego), pobiciem rodzeństwa lub rozpowiedzeniem fałszywych informacji o współpracy z organami ścigania. Zatrzymani byli torturowani w oddzielnych pomieszczeniach, mogli jednak słyszeć krzyki i błagania kolegów. W tym czasie Naczelnik Wydziału Kryminalnego przemieszczał się między pokojami i sprawdzał, czy torturowani przekazali wartościowe informacje. Po zdarzeniu jeden z zatrzymanych popełnił samobójstwo.</w:t>
      </w:r>
    </w:p>
  </w:footnote>
  <w:footnote w:id="803">
    <w:p w14:paraId="54E829FF" w14:textId="77777777" w:rsidR="00803B7D" w:rsidRPr="007A22DC" w:rsidRDefault="00803B7D" w:rsidP="0014574C">
      <w:pPr>
        <w:pStyle w:val="Przypis"/>
      </w:pPr>
      <w:r w:rsidRPr="007A22DC">
        <w:rPr>
          <w:rStyle w:val="Odwoanieprzypisudolnego"/>
        </w:rPr>
        <w:footnoteRef/>
      </w:r>
      <w:r w:rsidRPr="007A22DC">
        <w:t xml:space="preserve"> Partnerami kampanii są: Rada Europy, ODIHR, APT, Kantar Millward Brown, Naczelna Rada Adwokacka, Krajowa Izba Radców Prawnych.</w:t>
      </w:r>
    </w:p>
  </w:footnote>
  <w:footnote w:id="804">
    <w:p w14:paraId="69A0068F" w14:textId="77777777" w:rsidR="00803B7D" w:rsidRPr="007A22DC" w:rsidRDefault="00803B7D" w:rsidP="0014574C">
      <w:pPr>
        <w:pStyle w:val="Przypis"/>
      </w:pPr>
      <w:r w:rsidRPr="007A22DC">
        <w:rPr>
          <w:rStyle w:val="Odwoanieprzypisudolnego"/>
        </w:rPr>
        <w:footnoteRef/>
      </w:r>
      <w:r w:rsidRPr="007A22DC">
        <w:t xml:space="preserve"> </w:t>
      </w:r>
      <w:hyperlink r:id="rId521" w:history="1">
        <w:r w:rsidRPr="007A22DC">
          <w:rPr>
            <w:rStyle w:val="Hipercze"/>
            <w:rFonts w:eastAsiaTheme="majorEastAsia"/>
          </w:rPr>
          <w:t>https://www.rpo.gov.pl/pl/content/panstwo-bez-tortur-kampania</w:t>
        </w:r>
      </w:hyperlink>
    </w:p>
  </w:footnote>
  <w:footnote w:id="805">
    <w:p w14:paraId="3B287D82" w14:textId="77777777" w:rsidR="00803B7D" w:rsidRPr="007A22DC" w:rsidRDefault="00803B7D" w:rsidP="0014574C">
      <w:pPr>
        <w:pStyle w:val="Przypis"/>
      </w:pPr>
      <w:r w:rsidRPr="007A22DC">
        <w:rPr>
          <w:rStyle w:val="Odwoanieprzypisudolnego"/>
        </w:rPr>
        <w:footnoteRef/>
      </w:r>
      <w:r w:rsidRPr="007A22DC">
        <w:t xml:space="preserve"> 12-13.03.2018 w Trewirze</w:t>
      </w:r>
    </w:p>
  </w:footnote>
  <w:footnote w:id="806">
    <w:p w14:paraId="1B63AABD" w14:textId="77777777" w:rsidR="00803B7D" w:rsidRPr="007A22DC" w:rsidRDefault="00803B7D" w:rsidP="0014574C">
      <w:pPr>
        <w:pStyle w:val="Przypis"/>
      </w:pPr>
      <w:r w:rsidRPr="007A22DC">
        <w:rPr>
          <w:rStyle w:val="Odwoanieprzypisudolnego"/>
        </w:rPr>
        <w:footnoteRef/>
      </w:r>
      <w:r w:rsidRPr="007A22DC">
        <w:t xml:space="preserve"> 15-16.03.2018 w Genewie.</w:t>
      </w:r>
    </w:p>
  </w:footnote>
  <w:footnote w:id="807">
    <w:p w14:paraId="5999C536" w14:textId="77777777" w:rsidR="00803B7D" w:rsidRPr="007A22DC" w:rsidRDefault="00803B7D" w:rsidP="0014574C">
      <w:pPr>
        <w:pStyle w:val="Przypis"/>
      </w:pPr>
      <w:r w:rsidRPr="007A22DC">
        <w:rPr>
          <w:rStyle w:val="Odwoanieprzypisudolnego"/>
        </w:rPr>
        <w:footnoteRef/>
      </w:r>
      <w:r w:rsidRPr="007A22DC">
        <w:t xml:space="preserve"> 7-9.11.2018 w Kopenhadze.</w:t>
      </w:r>
    </w:p>
  </w:footnote>
  <w:footnote w:id="808">
    <w:p w14:paraId="7B2F9D6D" w14:textId="77777777" w:rsidR="00803B7D" w:rsidRPr="007A22DC" w:rsidRDefault="00803B7D" w:rsidP="0014574C">
      <w:pPr>
        <w:pStyle w:val="Przypis"/>
      </w:pPr>
      <w:r w:rsidRPr="007A22DC">
        <w:rPr>
          <w:rStyle w:val="Odwoanieprzypisudolnego"/>
        </w:rPr>
        <w:footnoteRef/>
      </w:r>
      <w:r w:rsidRPr="007A22DC">
        <w:t xml:space="preserve"> 15.10.2018 w Atenach.</w:t>
      </w:r>
    </w:p>
  </w:footnote>
  <w:footnote w:id="809">
    <w:p w14:paraId="6CB7659E" w14:textId="77777777" w:rsidR="00803B7D" w:rsidRPr="007A22DC" w:rsidRDefault="00803B7D" w:rsidP="0014574C">
      <w:pPr>
        <w:pStyle w:val="Przypis"/>
      </w:pPr>
      <w:r w:rsidRPr="007A22DC">
        <w:rPr>
          <w:rStyle w:val="Odwoanieprzypisudolnego"/>
        </w:rPr>
        <w:footnoteRef/>
      </w:r>
      <w:r w:rsidRPr="007A22DC">
        <w:t xml:space="preserve"> 3-4.12.2018 w Mediolanie oraz 12.12.2018 w Podgoricy.</w:t>
      </w:r>
    </w:p>
  </w:footnote>
  <w:footnote w:id="810">
    <w:p w14:paraId="52C24486" w14:textId="77777777" w:rsidR="00803B7D" w:rsidRPr="007A22DC" w:rsidRDefault="00803B7D" w:rsidP="0014574C">
      <w:pPr>
        <w:pStyle w:val="Przypis"/>
      </w:pPr>
      <w:r w:rsidRPr="007A22DC">
        <w:rPr>
          <w:rStyle w:val="Odwoanieprzypisudolnego"/>
        </w:rPr>
        <w:footnoteRef/>
      </w:r>
      <w:r w:rsidRPr="007A22DC">
        <w:t xml:space="preserve"> 11.09.2018 w Warszawie.</w:t>
      </w:r>
    </w:p>
  </w:footnote>
  <w:footnote w:id="811">
    <w:p w14:paraId="01CBB8B4" w14:textId="77777777" w:rsidR="00803B7D" w:rsidRPr="007A22DC" w:rsidRDefault="00803B7D" w:rsidP="008723E4">
      <w:pPr>
        <w:pStyle w:val="Przypis"/>
      </w:pPr>
      <w:r w:rsidRPr="007A22DC">
        <w:rPr>
          <w:rStyle w:val="Odwoanieprzypisudolnego"/>
        </w:rPr>
        <w:footnoteRef/>
      </w:r>
      <w:r w:rsidRPr="007A22DC">
        <w:t xml:space="preserve"> </w:t>
      </w:r>
      <w:hyperlink r:id="rId522" w:history="1">
        <w:r w:rsidRPr="007A22DC">
          <w:rPr>
            <w:rStyle w:val="Hipercze"/>
          </w:rPr>
          <w:t>WZF.7040.6.2018</w:t>
        </w:r>
      </w:hyperlink>
      <w:r w:rsidRPr="007A22DC">
        <w:t xml:space="preserve"> z 9 kwietnia 2018 r., odpowiedź z 7 maja 2018 r.</w:t>
      </w:r>
    </w:p>
  </w:footnote>
  <w:footnote w:id="812">
    <w:p w14:paraId="7F7973B4" w14:textId="77777777" w:rsidR="00803B7D" w:rsidRPr="007A22DC" w:rsidRDefault="00803B7D" w:rsidP="008723E4">
      <w:pPr>
        <w:pStyle w:val="Przypis"/>
      </w:pPr>
      <w:r w:rsidRPr="007A22DC">
        <w:rPr>
          <w:rStyle w:val="Odwoanieprzypisudolnego"/>
        </w:rPr>
        <w:footnoteRef/>
      </w:r>
      <w:r w:rsidRPr="007A22DC">
        <w:t xml:space="preserve"> </w:t>
      </w:r>
      <w:hyperlink r:id="rId523" w:history="1">
        <w:r w:rsidRPr="007A22DC">
          <w:rPr>
            <w:rStyle w:val="Hipercze"/>
          </w:rPr>
          <w:t>WZF.7050.3.2018</w:t>
        </w:r>
      </w:hyperlink>
      <w:r w:rsidRPr="007A22DC">
        <w:t xml:space="preserve"> z 14 grudnia 2018 r., z 28 stycznia 2019 r..</w:t>
      </w:r>
    </w:p>
  </w:footnote>
  <w:footnote w:id="813">
    <w:p w14:paraId="7158C7F0" w14:textId="77777777" w:rsidR="00803B7D" w:rsidRPr="007A22DC" w:rsidRDefault="00803B7D" w:rsidP="008723E4">
      <w:pPr>
        <w:pStyle w:val="Tekstprzypisudolnego"/>
      </w:pPr>
      <w:r w:rsidRPr="007A22DC">
        <w:rPr>
          <w:rStyle w:val="Odwoanieprzypisudolnego"/>
        </w:rPr>
        <w:footnoteRef/>
      </w:r>
      <w:r w:rsidRPr="007A22DC">
        <w:t xml:space="preserve"> </w:t>
      </w:r>
      <w:hyperlink r:id="rId524" w:history="1">
        <w:r w:rsidRPr="007A22DC">
          <w:rPr>
            <w:rStyle w:val="Hipercze"/>
            <w:rFonts w:eastAsiaTheme="majorEastAsia"/>
          </w:rPr>
          <w:t>https://wiadomosci.onet.pl/tylko-w-onecie/tajny-raport-mon-potwierdza-informacje-onetu-pilota-mig-29-zabila-dzika-modyfikacja/8sw30nq</w:t>
        </w:r>
      </w:hyperlink>
    </w:p>
  </w:footnote>
  <w:footnote w:id="814">
    <w:p w14:paraId="75FB2337" w14:textId="77777777" w:rsidR="00803B7D" w:rsidRPr="007A22DC" w:rsidRDefault="00803B7D" w:rsidP="008723E4">
      <w:pPr>
        <w:pStyle w:val="Przypis"/>
      </w:pPr>
      <w:r w:rsidRPr="007A22DC">
        <w:rPr>
          <w:rStyle w:val="Odwoanieprzypisudolnego"/>
        </w:rPr>
        <w:footnoteRef/>
      </w:r>
      <w:r w:rsidRPr="007A22DC">
        <w:t xml:space="preserve"> WZF.7061.4.2017 z 9 sierpnia 2017 r., odpowiedź z 14 lutego 2018 r.</w:t>
      </w:r>
    </w:p>
  </w:footnote>
  <w:footnote w:id="815">
    <w:p w14:paraId="3E82FDE0" w14:textId="77777777" w:rsidR="00803B7D" w:rsidRPr="007A22DC" w:rsidRDefault="00803B7D" w:rsidP="008723E4">
      <w:pPr>
        <w:pStyle w:val="Tekstprzypisudolnego"/>
      </w:pPr>
      <w:r w:rsidRPr="007A22DC">
        <w:rPr>
          <w:rStyle w:val="Odwoanieprzypisudolnego"/>
        </w:rPr>
        <w:footnoteRef/>
      </w:r>
      <w:r w:rsidRPr="007A22DC">
        <w:t xml:space="preserve"> </w:t>
      </w:r>
      <w:hyperlink r:id="rId525" w:history="1">
        <w:r w:rsidRPr="007A22DC">
          <w:rPr>
            <w:rStyle w:val="Hipercze"/>
            <w:rFonts w:eastAsiaTheme="majorEastAsia"/>
          </w:rPr>
          <w:t>https://www.icoaf.org/10icoaf</w:t>
        </w:r>
      </w:hyperlink>
    </w:p>
  </w:footnote>
  <w:footnote w:id="816">
    <w:p w14:paraId="42524ED2" w14:textId="77777777" w:rsidR="00803B7D" w:rsidRPr="007A22DC" w:rsidRDefault="00803B7D" w:rsidP="008723E4">
      <w:pPr>
        <w:pStyle w:val="Przypis"/>
      </w:pPr>
      <w:r w:rsidRPr="007A22DC">
        <w:rPr>
          <w:rStyle w:val="Odwoanieprzypisudolnego"/>
        </w:rPr>
        <w:footnoteRef/>
      </w:r>
      <w:r w:rsidRPr="007A22DC">
        <w:t xml:space="preserve"> </w:t>
      </w:r>
      <w:hyperlink r:id="rId526" w:history="1">
        <w:r w:rsidRPr="007A22DC">
          <w:rPr>
            <w:rStyle w:val="Hipercze"/>
          </w:rPr>
          <w:t>WZF.7043.79.2017</w:t>
        </w:r>
      </w:hyperlink>
      <w:r w:rsidRPr="007A22DC">
        <w:t xml:space="preserve"> z 13 kwietnia 2018 r., odpowiedź z 8 maja 2018 r., pismo do MSWiA z 4 lipca 2018 r., odpowiedź z 12 września 2018 r..</w:t>
      </w:r>
    </w:p>
  </w:footnote>
  <w:footnote w:id="817">
    <w:p w14:paraId="6AA69CF6" w14:textId="77777777" w:rsidR="00803B7D" w:rsidRPr="007A22DC" w:rsidRDefault="00803B7D" w:rsidP="008723E4">
      <w:pPr>
        <w:pStyle w:val="Przypis"/>
      </w:pPr>
      <w:r w:rsidRPr="007A22DC">
        <w:rPr>
          <w:rStyle w:val="Odwoanieprzypisudolnego"/>
        </w:rPr>
        <w:footnoteRef/>
      </w:r>
      <w:hyperlink r:id="rId527" w:history="1">
        <w:r w:rsidRPr="007A22DC">
          <w:rPr>
            <w:rStyle w:val="Hipercze"/>
          </w:rPr>
          <w:t>WZF.7043.193.2017</w:t>
        </w:r>
      </w:hyperlink>
      <w:r w:rsidRPr="007A22DC">
        <w:t xml:space="preserve"> do MSWiA z 30 stycznia 2018 r., odpowiedź z 8 marca 2018 r.</w:t>
      </w:r>
    </w:p>
  </w:footnote>
  <w:footnote w:id="818">
    <w:p w14:paraId="14E07EEF" w14:textId="77777777" w:rsidR="00803B7D" w:rsidRPr="007A22DC" w:rsidRDefault="00803B7D" w:rsidP="008723E4">
      <w:pPr>
        <w:pStyle w:val="Przypis"/>
      </w:pPr>
      <w:r w:rsidRPr="007A22DC">
        <w:rPr>
          <w:rStyle w:val="Odwoanieprzypisudolnego"/>
        </w:rPr>
        <w:footnoteRef/>
      </w:r>
      <w:r w:rsidRPr="007A22DC">
        <w:t xml:space="preserve"> </w:t>
      </w:r>
      <w:hyperlink r:id="rId528" w:history="1">
        <w:r w:rsidRPr="007A22DC">
          <w:rPr>
            <w:rStyle w:val="Hipercze"/>
          </w:rPr>
          <w:t>WZF.7066.1.2017</w:t>
        </w:r>
      </w:hyperlink>
      <w:r w:rsidRPr="007A22DC">
        <w:t xml:space="preserve"> z 6 czerwca 2018 r. do ZUS, odpowiedź z 25 czerwca 2018 r.</w:t>
      </w:r>
    </w:p>
  </w:footnote>
  <w:footnote w:id="819">
    <w:p w14:paraId="03724A14" w14:textId="77777777" w:rsidR="00803B7D" w:rsidRPr="007A22DC" w:rsidRDefault="00803B7D" w:rsidP="008723E4">
      <w:pPr>
        <w:pStyle w:val="Przypis"/>
      </w:pPr>
      <w:r w:rsidRPr="007A22DC">
        <w:rPr>
          <w:rStyle w:val="Odwoanieprzypisudolnego"/>
        </w:rPr>
        <w:footnoteRef/>
      </w:r>
      <w:r w:rsidRPr="007A22DC">
        <w:t xml:space="preserve"> </w:t>
      </w:r>
      <w:r w:rsidRPr="007A22DC">
        <w:rPr>
          <w:bCs/>
          <w:iCs/>
          <w:lang w:eastAsia="en-US"/>
        </w:rPr>
        <w:t xml:space="preserve">druk 2828,  </w:t>
      </w:r>
      <w:r w:rsidRPr="007A22DC">
        <w:t>Ustawa z dnia 14 grudnia 2018 r. o zmianie ustawy o Policji oraz niektórych innych ustaw, Dz.U. 2018 poz. 2399</w:t>
      </w:r>
    </w:p>
  </w:footnote>
  <w:footnote w:id="820">
    <w:p w14:paraId="52909E08" w14:textId="77777777" w:rsidR="00803B7D" w:rsidRPr="007A22DC" w:rsidRDefault="00803B7D" w:rsidP="00571E8B">
      <w:pPr>
        <w:pStyle w:val="Przypis"/>
      </w:pPr>
      <w:r w:rsidRPr="007A22DC">
        <w:rPr>
          <w:rStyle w:val="Odwoanieprzypisudolnego"/>
        </w:rPr>
        <w:footnoteRef/>
      </w:r>
      <w:r w:rsidRPr="007A22DC">
        <w:t xml:space="preserve"> </w:t>
      </w:r>
      <w:hyperlink r:id="rId529" w:history="1">
        <w:r w:rsidRPr="007A22DC">
          <w:rPr>
            <w:rStyle w:val="Hipercze"/>
          </w:rPr>
          <w:t>WZF.603.1.2018</w:t>
        </w:r>
      </w:hyperlink>
      <w:r w:rsidRPr="007A22DC">
        <w:t xml:space="preserve"> z 7 marca 2018 r., odpowiedź z 12 kwietnia 2018 r..</w:t>
      </w:r>
    </w:p>
  </w:footnote>
  <w:footnote w:id="821">
    <w:p w14:paraId="110B7EA9" w14:textId="77777777" w:rsidR="00803B7D" w:rsidRPr="007A22DC" w:rsidRDefault="00803B7D" w:rsidP="00571E8B">
      <w:pPr>
        <w:pStyle w:val="Przypis"/>
      </w:pPr>
      <w:r w:rsidRPr="007A22DC">
        <w:rPr>
          <w:rStyle w:val="Odwoanieprzypisudolnego"/>
        </w:rPr>
        <w:footnoteRef/>
      </w:r>
      <w:r w:rsidRPr="007A22DC">
        <w:t xml:space="preserve"> </w:t>
      </w:r>
      <w:r w:rsidRPr="007A22DC">
        <w:rPr>
          <w:bCs/>
        </w:rPr>
        <w:t>WZF.7040.32.2016</w:t>
      </w:r>
      <w:r w:rsidRPr="007A22DC">
        <w:t xml:space="preserve"> z 2 października 2018 r., odpowiedź z 26 października 2018 r..</w:t>
      </w:r>
    </w:p>
  </w:footnote>
  <w:footnote w:id="822">
    <w:p w14:paraId="0106E680" w14:textId="77777777" w:rsidR="00803B7D" w:rsidRPr="007A22DC" w:rsidRDefault="00803B7D" w:rsidP="008723E4">
      <w:pPr>
        <w:pStyle w:val="Przypis"/>
      </w:pPr>
      <w:r w:rsidRPr="007A22DC">
        <w:rPr>
          <w:rStyle w:val="Odwoanieprzypisudolnego"/>
        </w:rPr>
        <w:footnoteRef/>
      </w:r>
      <w:r w:rsidRPr="007A22DC">
        <w:t xml:space="preserve"> </w:t>
      </w:r>
      <w:hyperlink r:id="rId530" w:history="1">
        <w:r w:rsidRPr="007A22DC">
          <w:rPr>
            <w:rStyle w:val="Hipercze"/>
          </w:rPr>
          <w:t>WZF.7043.201.2017</w:t>
        </w:r>
      </w:hyperlink>
      <w:r w:rsidRPr="007A22DC">
        <w:t xml:space="preserve"> z 29 stycznia 2018 r., odpowiedź z 22 lutego 2018 r..</w:t>
      </w:r>
    </w:p>
  </w:footnote>
  <w:footnote w:id="823">
    <w:p w14:paraId="00C56C75" w14:textId="77777777" w:rsidR="00803B7D" w:rsidRPr="007A22DC" w:rsidRDefault="00803B7D" w:rsidP="008723E4">
      <w:pPr>
        <w:pStyle w:val="Przypis"/>
      </w:pPr>
      <w:r w:rsidRPr="007A22DC">
        <w:rPr>
          <w:rStyle w:val="Odwoanieprzypisudolnego"/>
        </w:rPr>
        <w:footnoteRef/>
      </w:r>
      <w:r w:rsidRPr="007A22DC">
        <w:t xml:space="preserve"> </w:t>
      </w:r>
      <w:r w:rsidRPr="007A22DC">
        <w:rPr>
          <w:bCs/>
        </w:rPr>
        <w:t xml:space="preserve">WZF.7044.12.2018 </w:t>
      </w:r>
      <w:r w:rsidRPr="007A22DC">
        <w:t xml:space="preserve">z 13 grudnia 2018 r. </w:t>
      </w:r>
    </w:p>
  </w:footnote>
  <w:footnote w:id="824">
    <w:p w14:paraId="30DE8193" w14:textId="77777777" w:rsidR="00803B7D" w:rsidRPr="007A22DC" w:rsidRDefault="00803B7D" w:rsidP="008723E4">
      <w:pPr>
        <w:pStyle w:val="Przypis"/>
      </w:pPr>
      <w:r w:rsidRPr="007A22DC">
        <w:rPr>
          <w:rStyle w:val="Odwoanieprzypisudolnego"/>
        </w:rPr>
        <w:footnoteRef/>
      </w:r>
      <w:hyperlink r:id="rId531" w:history="1">
        <w:r w:rsidRPr="007A22DC">
          <w:rPr>
            <w:rStyle w:val="Hipercze"/>
          </w:rPr>
          <w:t>WZF.7043.61.2018</w:t>
        </w:r>
      </w:hyperlink>
      <w:r w:rsidRPr="007A22DC">
        <w:t xml:space="preserve"> z 7 września 2018 r., odpowiedź z 23 października 2018 r.</w:t>
      </w:r>
    </w:p>
  </w:footnote>
  <w:footnote w:id="825">
    <w:p w14:paraId="631DA4CD" w14:textId="77777777" w:rsidR="00803B7D" w:rsidRPr="007A22DC" w:rsidRDefault="00803B7D" w:rsidP="008723E4">
      <w:pPr>
        <w:pStyle w:val="Przypis"/>
      </w:pPr>
      <w:r w:rsidRPr="007A22DC">
        <w:rPr>
          <w:rStyle w:val="Odwoanieprzypisudolnego"/>
        </w:rPr>
        <w:footnoteRef/>
      </w:r>
      <w:r w:rsidRPr="007A22DC">
        <w:t xml:space="preserve"> Np. RPO-569284-IX/07 z 21 września 2007 r..</w:t>
      </w:r>
    </w:p>
  </w:footnote>
  <w:footnote w:id="826">
    <w:p w14:paraId="0348271A" w14:textId="77777777" w:rsidR="00803B7D" w:rsidRPr="007A22DC" w:rsidRDefault="00803B7D" w:rsidP="008723E4">
      <w:pPr>
        <w:pStyle w:val="Przypis"/>
      </w:pPr>
      <w:r w:rsidRPr="007A22DC">
        <w:rPr>
          <w:rStyle w:val="Odwoanieprzypisudolnego"/>
        </w:rPr>
        <w:footnoteRef/>
      </w:r>
      <w:r w:rsidRPr="007A22DC">
        <w:t xml:space="preserve"> Ustawa z 16 grudnia 2016 r. (Dz.U. poz. 2270)</w:t>
      </w:r>
    </w:p>
  </w:footnote>
  <w:footnote w:id="827">
    <w:p w14:paraId="0210CB58" w14:textId="77777777" w:rsidR="00803B7D" w:rsidRPr="007A22DC" w:rsidRDefault="00803B7D" w:rsidP="00EA674D">
      <w:pPr>
        <w:pStyle w:val="Przypis"/>
      </w:pPr>
      <w:r w:rsidRPr="007A22DC">
        <w:rPr>
          <w:rStyle w:val="Odwoanieprzypisudolnego"/>
        </w:rPr>
        <w:footnoteRef/>
      </w:r>
      <w:r w:rsidRPr="007A22DC">
        <w:t xml:space="preserve"> </w:t>
      </w:r>
      <w:r w:rsidRPr="007A22DC">
        <w:rPr>
          <w:rStyle w:val="PrzypisZnak"/>
        </w:rPr>
        <w:t>Harmonogram spotkań podany jest w części IV Informacji. Ze względu na wybory samorządowe nie organizowano spotkań regionalnych RPO od połowy czerwca do listopada 2018 r.</w:t>
      </w:r>
    </w:p>
  </w:footnote>
  <w:footnote w:id="828">
    <w:p w14:paraId="5955999B" w14:textId="77777777" w:rsidR="00803B7D" w:rsidRPr="007A22DC" w:rsidRDefault="00803B7D" w:rsidP="0014574C">
      <w:pPr>
        <w:pStyle w:val="Przypis"/>
      </w:pPr>
      <w:r w:rsidRPr="007A22DC">
        <w:rPr>
          <w:rStyle w:val="Odwoanieprzypisudolnego"/>
        </w:rPr>
        <w:footnoteRef/>
      </w:r>
      <w:r w:rsidRPr="007A22DC">
        <w:t xml:space="preserve"> Więcej o dobrych praktykach </w:t>
      </w:r>
      <w:hyperlink r:id="rId532" w:history="1">
        <w:r w:rsidRPr="007A22DC">
          <w:rPr>
            <w:rStyle w:val="Hipercze"/>
            <w:rFonts w:eastAsiaTheme="majorEastAsia"/>
          </w:rPr>
          <w:t>https://www.rpo.gov.pl/pl/kategoria-tematyczna/wielkoduszna-polska</w:t>
        </w:r>
      </w:hyperlink>
    </w:p>
  </w:footnote>
  <w:footnote w:id="829">
    <w:p w14:paraId="43F2A758" w14:textId="77777777" w:rsidR="00803B7D" w:rsidRPr="007A22DC" w:rsidRDefault="00803B7D" w:rsidP="0014574C">
      <w:pPr>
        <w:pStyle w:val="Przypis"/>
      </w:pPr>
      <w:r w:rsidRPr="007A22DC">
        <w:rPr>
          <w:rStyle w:val="Odwoanieprzypisudolnego"/>
        </w:rPr>
        <w:footnoteRef/>
      </w:r>
      <w:r w:rsidRPr="007A22DC">
        <w:t xml:space="preserve"> Relacja: </w:t>
      </w:r>
      <w:hyperlink r:id="rId533" w:history="1">
        <w:r w:rsidRPr="007A22DC">
          <w:rPr>
            <w:rStyle w:val="Hipercze"/>
          </w:rPr>
          <w:t>https://polandrockfestival.pl/aktualnosci/rzecznik-praw-obywatelskich-na-asp</w:t>
        </w:r>
      </w:hyperlink>
    </w:p>
  </w:footnote>
  <w:footnote w:id="830">
    <w:p w14:paraId="4F0ABD93" w14:textId="77777777" w:rsidR="00803B7D" w:rsidRPr="007A22DC" w:rsidRDefault="00803B7D" w:rsidP="0014574C">
      <w:pPr>
        <w:pStyle w:val="Przypis"/>
      </w:pPr>
      <w:r w:rsidRPr="007A22DC">
        <w:rPr>
          <w:rStyle w:val="Odwoanieprzypisudolnego"/>
        </w:rPr>
        <w:footnoteRef/>
      </w:r>
      <w:r w:rsidRPr="007A22DC">
        <w:t>Relacja:</w:t>
      </w:r>
      <w:hyperlink r:id="rId534" w:history="1">
        <w:r w:rsidRPr="007A22DC">
          <w:rPr>
            <w:rStyle w:val="Hipercze"/>
          </w:rPr>
          <w:t>https://www.rpo.gov.pl/pl/content/metoo-rok-pozniej-%E2%80%93-debata-w-namiocie-praw-człowieka-rpo-na-festiwalu-polandrock</w:t>
        </w:r>
      </w:hyperlink>
      <w:r w:rsidRPr="007A22DC">
        <w:t xml:space="preserve"> </w:t>
      </w:r>
    </w:p>
  </w:footnote>
  <w:footnote w:id="831">
    <w:p w14:paraId="6A178BBD" w14:textId="77777777" w:rsidR="00803B7D" w:rsidRPr="007A22DC" w:rsidRDefault="00803B7D" w:rsidP="0014574C">
      <w:pPr>
        <w:pStyle w:val="Przypis"/>
      </w:pPr>
      <w:r w:rsidRPr="007A22DC">
        <w:rPr>
          <w:rStyle w:val="Odwoanieprzypisudolnego"/>
        </w:rPr>
        <w:footnoteRef/>
      </w:r>
      <w:r w:rsidRPr="007A22DC">
        <w:t xml:space="preserve"> </w:t>
      </w:r>
      <w:r w:rsidRPr="007A22DC">
        <w:tab/>
        <w:t>Więcej: patrz str. 22.</w:t>
      </w:r>
    </w:p>
  </w:footnote>
  <w:footnote w:id="832">
    <w:p w14:paraId="2458BB9C" w14:textId="77777777" w:rsidR="00803B7D" w:rsidRPr="007A22DC" w:rsidRDefault="00803B7D" w:rsidP="0014574C">
      <w:pPr>
        <w:pStyle w:val="Przypis"/>
      </w:pPr>
      <w:r w:rsidRPr="007A22DC">
        <w:rPr>
          <w:rStyle w:val="Odwoanieprzypisudolnego"/>
        </w:rPr>
        <w:footnoteRef/>
      </w:r>
      <w:r w:rsidRPr="007A22DC">
        <w:t xml:space="preserve"> </w:t>
      </w:r>
      <w:r w:rsidRPr="007A22DC">
        <w:tab/>
      </w:r>
      <w:hyperlink r:id="rId535" w:history="1">
        <w:r w:rsidRPr="007A22DC">
          <w:rPr>
            <w:rStyle w:val="Hipercze"/>
          </w:rPr>
          <w:t>https://www.rpo.gov.pl/pl/content/rpo-upomina-sie-o-poprawe-bezpieczenstwa-ruchu-drogowego</w:t>
        </w:r>
      </w:hyperlink>
      <w:r w:rsidRPr="007A22DC">
        <w:t xml:space="preserve"> </w:t>
      </w:r>
    </w:p>
  </w:footnote>
  <w:footnote w:id="833">
    <w:p w14:paraId="7B22235D" w14:textId="77777777" w:rsidR="00803B7D" w:rsidRPr="007A22DC" w:rsidRDefault="00803B7D" w:rsidP="0014574C">
      <w:pPr>
        <w:pStyle w:val="Przypis"/>
      </w:pPr>
      <w:r w:rsidRPr="007A22DC">
        <w:rPr>
          <w:rStyle w:val="Odwoanieprzypisudolnego"/>
        </w:rPr>
        <w:footnoteRef/>
      </w:r>
      <w:r w:rsidRPr="007A22DC">
        <w:t xml:space="preserve"> </w:t>
      </w:r>
      <w:r w:rsidRPr="007A22DC">
        <w:tab/>
      </w:r>
      <w:hyperlink r:id="rId536" w:history="1">
        <w:r w:rsidRPr="007A22DC">
          <w:rPr>
            <w:rStyle w:val="Hipercze"/>
          </w:rPr>
          <w:t>https://www.rpo.gov.pl/pl/content/zapomniane-cmentarze-%E2%80%93-jak-je-chronic-spotkanie-rzecznika-praw-obywatelskich</w:t>
        </w:r>
      </w:hyperlink>
      <w:r w:rsidRPr="007A22DC">
        <w:t xml:space="preserve"> </w:t>
      </w:r>
    </w:p>
  </w:footnote>
  <w:footnote w:id="834">
    <w:p w14:paraId="67B3A2DD" w14:textId="77777777" w:rsidR="00803B7D" w:rsidRPr="007A22DC" w:rsidRDefault="00803B7D" w:rsidP="00EA674D">
      <w:pPr>
        <w:pStyle w:val="Przypis"/>
      </w:pPr>
      <w:r w:rsidRPr="007A22DC">
        <w:rPr>
          <w:rStyle w:val="Odwoanieprzypisudolnego"/>
        </w:rPr>
        <w:footnoteRef/>
      </w:r>
      <w:r w:rsidRPr="007A22DC">
        <w:t xml:space="preserve"> Relacje z przebiegu dyskusji kongresowych są dostępne na </w:t>
      </w:r>
      <w:hyperlink r:id="rId537" w:history="1">
        <w:r w:rsidRPr="007A22DC">
          <w:rPr>
            <w:rStyle w:val="Hipercze"/>
            <w:rFonts w:eastAsiaTheme="majorEastAsia"/>
          </w:rPr>
          <w:t>https://www.rpo.gov.pl/pl/content/kpo</w:t>
        </w:r>
      </w:hyperlink>
    </w:p>
  </w:footnote>
  <w:footnote w:id="835">
    <w:p w14:paraId="717BF0B1" w14:textId="77777777" w:rsidR="00803B7D" w:rsidRPr="007A22DC" w:rsidRDefault="00803B7D" w:rsidP="0014574C">
      <w:pPr>
        <w:pStyle w:val="Przypis"/>
      </w:pPr>
      <w:r w:rsidRPr="007A22DC">
        <w:rPr>
          <w:rStyle w:val="Odwoanieprzypisudolnego"/>
        </w:rPr>
        <w:footnoteRef/>
      </w:r>
      <w:r w:rsidRPr="007A22DC">
        <w:t>Wszystkie materiały dostępne są w specjalnym serwisie kongresowym:</w:t>
      </w:r>
    </w:p>
    <w:p w14:paraId="3ACDB288" w14:textId="77777777" w:rsidR="00803B7D" w:rsidRPr="007A22DC" w:rsidRDefault="00744B2D" w:rsidP="0014574C">
      <w:pPr>
        <w:pStyle w:val="Przypis"/>
      </w:pPr>
      <w:hyperlink r:id="rId538" w:history="1">
        <w:r w:rsidR="00803B7D" w:rsidRPr="007A22DC">
          <w:rPr>
            <w:rStyle w:val="Hipercze"/>
          </w:rPr>
          <w:t>https://www.rpo.gov.pl/pl/content/kongres-praw-rodzicielskich</w:t>
        </w:r>
      </w:hyperlink>
      <w:r w:rsidR="00803B7D" w:rsidRPr="007A22DC">
        <w:t>.</w:t>
      </w:r>
    </w:p>
  </w:footnote>
  <w:footnote w:id="836">
    <w:p w14:paraId="0046EB8B" w14:textId="77777777" w:rsidR="00803B7D" w:rsidRPr="007A22DC" w:rsidRDefault="00803B7D" w:rsidP="0014574C">
      <w:pPr>
        <w:pStyle w:val="Przypis"/>
      </w:pPr>
      <w:r w:rsidRPr="007A22DC">
        <w:rPr>
          <w:rStyle w:val="Odwoanieprzypisudolnego"/>
        </w:rPr>
        <w:footnoteRef/>
      </w:r>
      <w:r w:rsidRPr="007A22DC">
        <w:t xml:space="preserve"> </w:t>
      </w:r>
      <w:hyperlink r:id="rId539" w:history="1">
        <w:r w:rsidRPr="007A22DC">
          <w:rPr>
            <w:rStyle w:val="Hipercze"/>
          </w:rPr>
          <w:t>III.7043.59.2016</w:t>
        </w:r>
      </w:hyperlink>
      <w:r w:rsidRPr="007A22DC">
        <w:rPr>
          <w:rStyle w:val="Hipercze"/>
        </w:rPr>
        <w:t xml:space="preserve">, </w:t>
      </w:r>
      <w:r w:rsidRPr="007A22DC">
        <w:t>patrz też – art. 54 Konstytucji</w:t>
      </w:r>
    </w:p>
  </w:footnote>
  <w:footnote w:id="837">
    <w:p w14:paraId="3BC6E8B2" w14:textId="77777777" w:rsidR="00803B7D" w:rsidRPr="007A22DC" w:rsidRDefault="00803B7D" w:rsidP="0014574C">
      <w:pPr>
        <w:pStyle w:val="Przypis"/>
      </w:pPr>
      <w:r w:rsidRPr="007A22DC">
        <w:rPr>
          <w:rStyle w:val="Odwoanieprzypisudolnego"/>
        </w:rPr>
        <w:footnoteRef/>
      </w:r>
      <w:r w:rsidRPr="007A22DC">
        <w:t xml:space="preserve"> </w:t>
      </w:r>
      <w:hyperlink r:id="rId540" w:history="1">
        <w:r w:rsidRPr="007A22DC">
          <w:rPr>
            <w:rStyle w:val="Hipercze"/>
            <w:shd w:val="clear" w:color="auto" w:fill="FFFFFF"/>
          </w:rPr>
          <w:t>XI.534.2.2018</w:t>
        </w:r>
      </w:hyperlink>
    </w:p>
  </w:footnote>
  <w:footnote w:id="838">
    <w:p w14:paraId="58D9CD28" w14:textId="77777777" w:rsidR="00803B7D" w:rsidRPr="007A22DC" w:rsidRDefault="00803B7D" w:rsidP="0014574C">
      <w:pPr>
        <w:pStyle w:val="Przypis"/>
        <w:rPr>
          <w:lang w:val="en-US"/>
        </w:rPr>
      </w:pPr>
      <w:r w:rsidRPr="007A22DC">
        <w:rPr>
          <w:rStyle w:val="Odwoanieprzypisudolnego"/>
        </w:rPr>
        <w:footnoteRef/>
      </w:r>
      <w:r w:rsidRPr="007A22DC">
        <w:rPr>
          <w:lang w:val="en-US"/>
        </w:rPr>
        <w:t xml:space="preserve"> </w:t>
      </w:r>
      <w:hyperlink r:id="rId541" w:history="1">
        <w:r w:rsidRPr="007A22DC">
          <w:rPr>
            <w:rStyle w:val="Hipercze"/>
            <w:shd w:val="clear" w:color="auto" w:fill="FFFFFF"/>
            <w:lang w:val="en-US"/>
          </w:rPr>
          <w:t>XI.501.6.2016</w:t>
        </w:r>
      </w:hyperlink>
    </w:p>
  </w:footnote>
  <w:footnote w:id="839">
    <w:p w14:paraId="36A04D40" w14:textId="77777777" w:rsidR="00803B7D" w:rsidRPr="007A22DC" w:rsidRDefault="00803B7D" w:rsidP="0014574C">
      <w:pPr>
        <w:pStyle w:val="Przypis"/>
        <w:rPr>
          <w:lang w:val="en-US"/>
        </w:rPr>
      </w:pPr>
      <w:r w:rsidRPr="007A22DC">
        <w:rPr>
          <w:rStyle w:val="Odwoanieprzypisudolnego"/>
        </w:rPr>
        <w:footnoteRef/>
      </w:r>
      <w:r w:rsidRPr="007A22DC">
        <w:rPr>
          <w:lang w:val="en-US"/>
        </w:rPr>
        <w:t xml:space="preserve"> </w:t>
      </w:r>
      <w:hyperlink r:id="rId542" w:history="1">
        <w:r w:rsidRPr="007A22DC">
          <w:rPr>
            <w:rStyle w:val="Hipercze"/>
            <w:shd w:val="clear" w:color="auto" w:fill="FFFFFF"/>
            <w:lang w:val="en-US"/>
          </w:rPr>
          <w:t>XI.7036.40.2016</w:t>
        </w:r>
      </w:hyperlink>
    </w:p>
  </w:footnote>
  <w:footnote w:id="840">
    <w:p w14:paraId="3EC0624C" w14:textId="77777777" w:rsidR="00803B7D" w:rsidRPr="007A22DC" w:rsidRDefault="00803B7D" w:rsidP="0014574C">
      <w:pPr>
        <w:pStyle w:val="Przypis"/>
        <w:rPr>
          <w:lang w:val="en-US"/>
        </w:rPr>
      </w:pPr>
      <w:r w:rsidRPr="007A22DC">
        <w:rPr>
          <w:rStyle w:val="Odwoanieprzypisudolnego"/>
        </w:rPr>
        <w:footnoteRef/>
      </w:r>
      <w:r w:rsidRPr="007A22DC">
        <w:rPr>
          <w:lang w:val="en-US"/>
        </w:rPr>
        <w:t xml:space="preserve"> </w:t>
      </w:r>
      <w:hyperlink r:id="rId543" w:history="1">
        <w:r w:rsidRPr="007A22DC">
          <w:rPr>
            <w:rStyle w:val="Hipercze"/>
            <w:lang w:val="en-US"/>
          </w:rPr>
          <w:t>https://www.rpo.gov.pl/pl/content/kpo</w:t>
        </w:r>
      </w:hyperlink>
      <w:r w:rsidRPr="007A22DC">
        <w:rPr>
          <w:lang w:val="en-US"/>
        </w:rPr>
        <w:t xml:space="preserve"> </w:t>
      </w:r>
    </w:p>
  </w:footnote>
  <w:footnote w:id="841">
    <w:p w14:paraId="7587D379" w14:textId="77777777" w:rsidR="00803B7D" w:rsidRPr="007A22DC" w:rsidRDefault="00803B7D" w:rsidP="0014574C">
      <w:pPr>
        <w:pStyle w:val="Przypis"/>
        <w:rPr>
          <w:lang w:val="en-US"/>
        </w:rPr>
      </w:pPr>
      <w:r w:rsidRPr="007A22DC">
        <w:rPr>
          <w:rStyle w:val="Odwoanieprzypisudolnego"/>
        </w:rPr>
        <w:footnoteRef/>
      </w:r>
      <w:r w:rsidRPr="007A22DC">
        <w:rPr>
          <w:lang w:val="en-US"/>
        </w:rPr>
        <w:t xml:space="preserve"> </w:t>
      </w:r>
      <w:hyperlink r:id="rId544" w:history="1">
        <w:r w:rsidRPr="007A22DC">
          <w:rPr>
            <w:rStyle w:val="Hipercze"/>
            <w:rFonts w:eastAsiaTheme="majorEastAsia"/>
            <w:lang w:val="en-US"/>
          </w:rPr>
          <w:t>https://www.rpo.gov.pl/pl/content/panstwo-bez-tortur-konferencja</w:t>
        </w:r>
      </w:hyperlink>
    </w:p>
  </w:footnote>
  <w:footnote w:id="842">
    <w:p w14:paraId="76C8CF4D" w14:textId="77777777" w:rsidR="00803B7D" w:rsidRPr="007A22DC" w:rsidRDefault="00803B7D" w:rsidP="00D4540F">
      <w:pPr>
        <w:pStyle w:val="Tekstprzypisudolnego"/>
        <w:rPr>
          <w:lang w:val="en-US"/>
        </w:rPr>
      </w:pPr>
      <w:r w:rsidRPr="007A22DC">
        <w:rPr>
          <w:rStyle w:val="Odwoanieprzypisudolnego"/>
        </w:rPr>
        <w:footnoteRef/>
      </w:r>
      <w:r w:rsidRPr="007A22DC">
        <w:rPr>
          <w:lang w:val="en-US"/>
        </w:rPr>
        <w:t xml:space="preserve"> </w:t>
      </w:r>
      <w:hyperlink r:id="rId545" w:history="1">
        <w:r w:rsidRPr="007A22DC">
          <w:rPr>
            <w:rStyle w:val="Hipercze"/>
            <w:rFonts w:eastAsiaTheme="majorEastAsia"/>
            <w:lang w:val="en-US"/>
          </w:rPr>
          <w:t>https://www.rpo.gov.pl/pl/content/system-wsparcia-osob-starszych-w-srodowisku-zamieszkania</w:t>
        </w:r>
      </w:hyperlink>
    </w:p>
  </w:footnote>
  <w:footnote w:id="843">
    <w:p w14:paraId="10C5B10A" w14:textId="77777777" w:rsidR="00803B7D" w:rsidRPr="007A22DC" w:rsidRDefault="00803B7D" w:rsidP="0014574C">
      <w:pPr>
        <w:pStyle w:val="Przypis"/>
      </w:pPr>
      <w:r w:rsidRPr="007A22DC">
        <w:rPr>
          <w:rStyle w:val="Odwoanieprzypisudolnego"/>
        </w:rPr>
        <w:footnoteRef/>
      </w:r>
      <w:r w:rsidRPr="007A22DC">
        <w:t xml:space="preserve"> Pełne opracowanie wniosków z dyskusji jest dostępne pod adresem: </w:t>
      </w:r>
      <w:hyperlink r:id="rId546" w:history="1">
        <w:r w:rsidRPr="007A22DC">
          <w:rPr>
            <w:rStyle w:val="Hipercze"/>
            <w:rFonts w:eastAsiaTheme="majorEastAsia"/>
          </w:rPr>
          <w:t>https://www.rpo.gov.pl/pl/content/analiza-rządowego-programu-polityka-społeczna-wobec-osób-starszych-2030-bezpieczeństwo-uczestnictwo</w:t>
        </w:r>
      </w:hyperlink>
    </w:p>
  </w:footnote>
  <w:footnote w:id="844">
    <w:p w14:paraId="0B258E0C" w14:textId="77777777" w:rsidR="00803B7D" w:rsidRPr="007A22DC" w:rsidRDefault="00803B7D" w:rsidP="0014574C">
      <w:pPr>
        <w:pStyle w:val="Przypis"/>
      </w:pPr>
      <w:r w:rsidRPr="007A22DC">
        <w:rPr>
          <w:rStyle w:val="Odwoanieprzypisudolnego"/>
        </w:rPr>
        <w:footnoteRef/>
      </w:r>
      <w:r w:rsidRPr="007A22DC">
        <w:t xml:space="preserve">Relacja: </w:t>
      </w:r>
      <w:hyperlink r:id="rId547" w:history="1">
        <w:r w:rsidRPr="007A22DC">
          <w:rPr>
            <w:rStyle w:val="Hipercze"/>
            <w:rFonts w:eastAsiaTheme="majorEastAsia"/>
            <w:bCs/>
          </w:rPr>
          <w:t>https://www.rpo.gov.pl/pl/content/komisja-ekspertów-ds-osób-starszych-apeluje-o-zmianę-podejścia-do-geriatrii-w-polsce</w:t>
        </w:r>
      </w:hyperlink>
      <w:r w:rsidRPr="007A22DC">
        <w:t xml:space="preserve"> </w:t>
      </w:r>
    </w:p>
  </w:footnote>
  <w:footnote w:id="845">
    <w:p w14:paraId="3AC72BCA" w14:textId="77777777" w:rsidR="00803B7D" w:rsidRPr="007A22DC" w:rsidRDefault="00803B7D" w:rsidP="0014574C">
      <w:pPr>
        <w:pStyle w:val="Przypis"/>
      </w:pPr>
      <w:r w:rsidRPr="007A22DC">
        <w:rPr>
          <w:rStyle w:val="Odwoanieprzypisudolnego"/>
        </w:rPr>
        <w:footnoteRef/>
      </w:r>
      <w:r w:rsidRPr="007A22DC">
        <w:t xml:space="preserve"> </w:t>
      </w:r>
      <w:hyperlink r:id="rId548" w:history="1">
        <w:r w:rsidRPr="007A22DC">
          <w:rPr>
            <w:rStyle w:val="Hipercze"/>
          </w:rPr>
          <w:t>https://social.un.org/ageing-working-group/tenthsession.shtml</w:t>
        </w:r>
      </w:hyperlink>
    </w:p>
  </w:footnote>
  <w:footnote w:id="846">
    <w:p w14:paraId="05E7BE87" w14:textId="77777777" w:rsidR="00803B7D" w:rsidRPr="007A22DC" w:rsidRDefault="00803B7D" w:rsidP="0014574C">
      <w:pPr>
        <w:pStyle w:val="Przypis"/>
      </w:pPr>
      <w:r w:rsidRPr="007A22DC">
        <w:rPr>
          <w:rStyle w:val="Odwoanieprzypisudolnego"/>
        </w:rPr>
        <w:footnoteRef/>
      </w:r>
      <w:r w:rsidRPr="007A22DC">
        <w:t xml:space="preserve"> </w:t>
      </w:r>
      <w:hyperlink r:id="rId549" w:history="1">
        <w:r w:rsidRPr="007A22DC">
          <w:rPr>
            <w:rStyle w:val="Hipercze"/>
          </w:rPr>
          <w:t>https://www.rpo.gov.pl/pl/content/kolejny-apel-rpo-rząd-włączył-się-w-prace-nad-konwencją-o-prawach-osób-starszych</w:t>
        </w:r>
      </w:hyperlink>
    </w:p>
  </w:footnote>
  <w:footnote w:id="847">
    <w:p w14:paraId="2684E1DD" w14:textId="77777777" w:rsidR="00803B7D" w:rsidRPr="007A22DC" w:rsidRDefault="00803B7D" w:rsidP="0014574C">
      <w:pPr>
        <w:pStyle w:val="Przypis"/>
      </w:pPr>
      <w:r w:rsidRPr="007A22DC">
        <w:rPr>
          <w:rStyle w:val="Odwoanieprzypisudolnego"/>
        </w:rPr>
        <w:footnoteRef/>
      </w:r>
      <w:r w:rsidRPr="007A22DC">
        <w:t xml:space="preserve"> </w:t>
      </w:r>
      <w:hyperlink r:id="rId550" w:history="1">
        <w:r w:rsidRPr="007A22DC">
          <w:rPr>
            <w:rStyle w:val="Hipercze"/>
          </w:rPr>
          <w:t>https://www.rpo.gov.pl/pl/content/rzad-wciaz-nie-bierze-udziału-w-pracach-grupy-roboczej-onz-dla-przygotowania-konwencji-o-prawach-osób</w:t>
        </w:r>
      </w:hyperlink>
    </w:p>
  </w:footnote>
  <w:footnote w:id="848">
    <w:p w14:paraId="52D9A431" w14:textId="77777777" w:rsidR="00803B7D" w:rsidRPr="007A22DC" w:rsidRDefault="00803B7D" w:rsidP="0014574C">
      <w:pPr>
        <w:pStyle w:val="Przypis"/>
      </w:pPr>
      <w:r w:rsidRPr="007A22DC">
        <w:rPr>
          <w:rStyle w:val="Odwoanieprzypisudolnego"/>
        </w:rPr>
        <w:footnoteRef/>
      </w:r>
      <w:r w:rsidRPr="007A22DC">
        <w:t xml:space="preserve"> Dobre praktyki można wpisywać w ankietę internetową: </w:t>
      </w:r>
      <w:r w:rsidRPr="007A22DC">
        <w:rPr>
          <w:i/>
        </w:rPr>
        <w:t>Seniorzy w naszej gminie. Mapa projektów i pomysłów wspierania osób starszych w miejscu zamieszkania</w:t>
      </w:r>
      <w:r w:rsidRPr="007A22DC">
        <w:t xml:space="preserve"> </w:t>
      </w:r>
      <w:hyperlink r:id="rId551" w:history="1">
        <w:r w:rsidRPr="007A22DC">
          <w:rPr>
            <w:rStyle w:val="Hipercze"/>
            <w:rFonts w:eastAsiaTheme="majorEastAsia"/>
          </w:rPr>
          <w:t>https://www.rpo.gov.pl/formularz/nasi_seniorzy</w:t>
        </w:r>
      </w:hyperlink>
      <w:r w:rsidRPr="007A22DC">
        <w:t xml:space="preserve"> </w:t>
      </w:r>
    </w:p>
  </w:footnote>
  <w:footnote w:id="849">
    <w:p w14:paraId="027CBB87" w14:textId="77777777" w:rsidR="00803B7D" w:rsidRPr="007A22DC" w:rsidRDefault="00803B7D" w:rsidP="0014574C">
      <w:pPr>
        <w:pStyle w:val="Przypis"/>
      </w:pPr>
      <w:r w:rsidRPr="007A22DC">
        <w:rPr>
          <w:rStyle w:val="Odwoanieprzypisudolnego"/>
        </w:rPr>
        <w:footnoteRef/>
      </w:r>
      <w:r w:rsidRPr="007A22DC">
        <w:t xml:space="preserve"> Pełna relacja z konferencji jest dostępna pod adresem: </w:t>
      </w:r>
      <w:hyperlink r:id="rId552" w:history="1">
        <w:r w:rsidRPr="007A22DC">
          <w:rPr>
            <w:rStyle w:val="Hipercze"/>
            <w:rFonts w:eastAsiaTheme="majorEastAsia"/>
          </w:rPr>
          <w:t>https://www.rpo.gov.pl/pl/content/konferencja-Alzheimer-w-rodzinie</w:t>
        </w:r>
      </w:hyperlink>
      <w:r w:rsidRPr="007A22DC">
        <w:rPr>
          <w:rStyle w:val="Hipercze"/>
          <w:rFonts w:eastAsiaTheme="majorEastAsia"/>
        </w:rPr>
        <w:t>.</w:t>
      </w:r>
      <w:r w:rsidRPr="007A22DC">
        <w:t xml:space="preserve"> Nagranie tłumaczone na polski język migowy.</w:t>
      </w:r>
    </w:p>
  </w:footnote>
  <w:footnote w:id="850">
    <w:p w14:paraId="0632E7B6" w14:textId="77777777" w:rsidR="00803B7D" w:rsidRPr="007A22DC" w:rsidRDefault="00803B7D" w:rsidP="0014574C">
      <w:pPr>
        <w:pStyle w:val="Przypis"/>
      </w:pPr>
      <w:r w:rsidRPr="007A22DC">
        <w:rPr>
          <w:rStyle w:val="Odwoanieprzypisudolnego"/>
        </w:rPr>
        <w:footnoteRef/>
      </w:r>
      <w:r w:rsidRPr="007A22DC">
        <w:t xml:space="preserve"> </w:t>
      </w:r>
      <w:hyperlink r:id="rId553" w:history="1">
        <w:r w:rsidRPr="007A22DC">
          <w:rPr>
            <w:rStyle w:val="Hipercze"/>
            <w:rFonts w:eastAsiaTheme="majorEastAsia"/>
          </w:rPr>
          <w:t>https://www.rpo.gov.pl/pl/content/konferencja-Alzheimer-w-rodzinie</w:t>
        </w:r>
      </w:hyperlink>
      <w:r w:rsidRPr="007A22DC">
        <w:t xml:space="preserve"> </w:t>
      </w:r>
    </w:p>
  </w:footnote>
  <w:footnote w:id="851">
    <w:p w14:paraId="69EFF766" w14:textId="77777777" w:rsidR="00803B7D" w:rsidRPr="007A22DC" w:rsidRDefault="00803B7D" w:rsidP="00192982">
      <w:pPr>
        <w:pStyle w:val="Tekstprzypisudolnego"/>
      </w:pPr>
      <w:r w:rsidRPr="007A22DC">
        <w:rPr>
          <w:rStyle w:val="Odwoanieprzypisudolnego"/>
        </w:rPr>
        <w:footnoteRef/>
      </w:r>
      <w:r w:rsidRPr="007A22DC">
        <w:t xml:space="preserve"> </w:t>
      </w:r>
      <w:hyperlink r:id="rId554" w:history="1">
        <w:r w:rsidRPr="007A22DC">
          <w:rPr>
            <w:rStyle w:val="Hipercze"/>
            <w:rFonts w:eastAsiaTheme="majorEastAsia"/>
          </w:rPr>
          <w:t>https://www.rpo.gov.pl/sites/default/files/System%20wsparcia%20osób%20starszych.pdf</w:t>
        </w:r>
      </w:hyperlink>
      <w:r w:rsidRPr="007A22DC">
        <w:t xml:space="preserve"> </w:t>
      </w:r>
    </w:p>
  </w:footnote>
  <w:footnote w:id="852">
    <w:p w14:paraId="35F3036D" w14:textId="77777777" w:rsidR="00803B7D" w:rsidRPr="007A22DC" w:rsidRDefault="00803B7D" w:rsidP="00192982">
      <w:pPr>
        <w:pStyle w:val="Tekstprzypisudolnego"/>
      </w:pPr>
      <w:r w:rsidRPr="007A22DC">
        <w:rPr>
          <w:rStyle w:val="Odwoanieprzypisudolnego"/>
        </w:rPr>
        <w:footnoteRef/>
      </w:r>
      <w:r w:rsidRPr="007A22DC">
        <w:t xml:space="preserve"> Ustawa z 26 kwietnia 2007 r. (Dz. U. z 2017 r. poz. 209 i 1566).</w:t>
      </w:r>
    </w:p>
  </w:footnote>
  <w:footnote w:id="853">
    <w:p w14:paraId="46D72F0F" w14:textId="77777777" w:rsidR="00803B7D" w:rsidRPr="007A22DC" w:rsidRDefault="00803B7D" w:rsidP="0014574C">
      <w:pPr>
        <w:pStyle w:val="Przypis"/>
        <w:rPr>
          <w:lang w:val="en-US"/>
        </w:rPr>
      </w:pPr>
      <w:r w:rsidRPr="007A22DC">
        <w:rPr>
          <w:rStyle w:val="Odwoanieprzypisudolnego"/>
        </w:rPr>
        <w:footnoteRef/>
      </w:r>
      <w:r w:rsidRPr="007A22DC">
        <w:rPr>
          <w:lang w:val="en-US"/>
        </w:rPr>
        <w:t xml:space="preserve"> </w:t>
      </w:r>
      <w:r w:rsidRPr="007A22DC">
        <w:rPr>
          <w:lang w:val="en-GB"/>
        </w:rPr>
        <w:t>Concluding observations on the initial report of Poland, 21 September 2018, CRPD/C/POL/CO/1.</w:t>
      </w:r>
    </w:p>
  </w:footnote>
  <w:footnote w:id="854">
    <w:p w14:paraId="483530B5" w14:textId="77777777" w:rsidR="00803B7D" w:rsidRPr="007A22DC" w:rsidRDefault="00803B7D" w:rsidP="0014574C">
      <w:pPr>
        <w:pStyle w:val="Przypis"/>
      </w:pPr>
      <w:r w:rsidRPr="007A22DC">
        <w:rPr>
          <w:rStyle w:val="Odwoanieprzypisudolnego"/>
        </w:rPr>
        <w:footnoteRef/>
      </w:r>
      <w:r w:rsidRPr="007A22DC">
        <w:t xml:space="preserve"> Raport jest dostępny pod adresem: </w:t>
      </w:r>
      <w:hyperlink r:id="rId555" w:history="1">
        <w:r w:rsidRPr="007A22DC">
          <w:rPr>
            <w:rStyle w:val="Hipercze"/>
          </w:rPr>
          <w:t>https://www.rpo.gov.pl/pl/content/rekomendacje-rpo-dla-komitetu-onz-ktory-oceni-wykonanie-przez-polske-konwencji-o-prawach-osob-z-niepelnosprawnosciami</w:t>
        </w:r>
      </w:hyperlink>
    </w:p>
  </w:footnote>
  <w:footnote w:id="855">
    <w:p w14:paraId="3B9A7CED" w14:textId="77777777" w:rsidR="00803B7D" w:rsidRPr="007A22DC" w:rsidRDefault="00803B7D" w:rsidP="0014574C">
      <w:pPr>
        <w:pStyle w:val="Przypis"/>
      </w:pPr>
      <w:r w:rsidRPr="007A22DC">
        <w:rPr>
          <w:rStyle w:val="Odwoanieprzypisudolnego"/>
        </w:rPr>
        <w:footnoteRef/>
      </w:r>
      <w:r w:rsidRPr="007A22DC">
        <w:t xml:space="preserve"> Mikołaj Pawlak został wybrany przez Sejm na Rzecznika Praw Dziecka w dniu 23 listopada 2018 r.; złożył ślubowanie w dniu 14 grudnia 2018 r..</w:t>
      </w:r>
    </w:p>
  </w:footnote>
  <w:footnote w:id="856">
    <w:p w14:paraId="30B75C87" w14:textId="77777777" w:rsidR="00803B7D" w:rsidRPr="007A22DC" w:rsidRDefault="00803B7D" w:rsidP="00192982">
      <w:pPr>
        <w:pStyle w:val="Tekstprzypisudolnego"/>
        <w:jc w:val="both"/>
      </w:pPr>
      <w:r w:rsidRPr="007A22DC">
        <w:rPr>
          <w:rStyle w:val="Odwoanieprzypisudolnego"/>
        </w:rPr>
        <w:footnoteRef/>
      </w:r>
      <w:r w:rsidRPr="007A22DC">
        <w:t xml:space="preserve"> </w:t>
      </w:r>
      <w:hyperlink r:id="rId556" w:tooltip="Internetowy System Aktów Prawnych (ISAP)" w:history="1">
        <w:r w:rsidRPr="007A22DC">
          <w:rPr>
            <w:rStyle w:val="Hipercze"/>
            <w:rFonts w:eastAsiaTheme="majorEastAsia"/>
          </w:rPr>
          <w:t>Dz.U. poz. 2432</w:t>
        </w:r>
      </w:hyperlink>
      <w:r w:rsidRPr="007A22DC">
        <w:t>.</w:t>
      </w:r>
    </w:p>
  </w:footnote>
  <w:footnote w:id="857">
    <w:p w14:paraId="05656503" w14:textId="77777777" w:rsidR="00803B7D" w:rsidRPr="007A22DC" w:rsidRDefault="00803B7D" w:rsidP="0014574C">
      <w:pPr>
        <w:pStyle w:val="Przypis"/>
      </w:pPr>
      <w:r w:rsidRPr="007A22DC">
        <w:rPr>
          <w:rStyle w:val="Odwoanieprzypisudolnego"/>
        </w:rPr>
        <w:footnoteRef/>
      </w:r>
      <w:hyperlink r:id="rId557" w:anchor="overlay-context=krajowy-mechanizm-prewencji/" w:history="1">
        <w:r w:rsidRPr="007A22DC">
          <w:rPr>
            <w:rStyle w:val="Hipercze"/>
            <w:rFonts w:eastAsiaTheme="majorEastAsia"/>
          </w:rPr>
          <w:t>https://www.rpo.gov.pl/pl/content/9-posiedzenie-zespolu-do-spraw-alimentow#overlay-context=krajowy-mechanizm-prewencji/</w:t>
        </w:r>
      </w:hyperlink>
      <w:r w:rsidRPr="007A22DC">
        <w:t xml:space="preserve"> </w:t>
      </w:r>
    </w:p>
  </w:footnote>
  <w:footnote w:id="858">
    <w:p w14:paraId="1DE0DFE3" w14:textId="77777777" w:rsidR="00803B7D" w:rsidRPr="007A22DC" w:rsidRDefault="00803B7D" w:rsidP="0014574C">
      <w:pPr>
        <w:pStyle w:val="Przypis"/>
      </w:pPr>
      <w:r w:rsidRPr="007A22DC">
        <w:rPr>
          <w:rStyle w:val="Odwoanieprzypisudolnego"/>
        </w:rPr>
        <w:footnoteRef/>
      </w:r>
      <w:r w:rsidRPr="007A22DC">
        <w:t xml:space="preserve"> </w:t>
      </w:r>
      <w:hyperlink r:id="rId558" w:history="1">
        <w:r w:rsidRPr="007A22DC">
          <w:rPr>
            <w:rStyle w:val="Hipercze"/>
            <w:rFonts w:eastAsiaTheme="majorEastAsia"/>
          </w:rPr>
          <w:t>https://www.rpo.gov.pl/pl/content/kongres-praw-rodzicielskich</w:t>
        </w:r>
      </w:hyperlink>
    </w:p>
  </w:footnote>
  <w:footnote w:id="859">
    <w:p w14:paraId="56F9B8FE" w14:textId="77777777" w:rsidR="00803B7D" w:rsidRPr="007A22DC" w:rsidRDefault="00803B7D">
      <w:pPr>
        <w:pStyle w:val="Tekstprzypisudolnego"/>
      </w:pPr>
      <w:r w:rsidRPr="007A22DC">
        <w:rPr>
          <w:rStyle w:val="Odwoanieprzypisudolnego"/>
        </w:rPr>
        <w:footnoteRef/>
      </w:r>
      <w:r w:rsidRPr="007A22DC">
        <w:t xml:space="preserve"> Komunikat o nagrodzie: </w:t>
      </w:r>
      <w:hyperlink r:id="rId559" w:history="1">
        <w:r w:rsidRPr="007A22DC">
          <w:rPr>
            <w:rStyle w:val="Hipercze"/>
            <w:rFonts w:eastAsiaTheme="majorEastAsia"/>
          </w:rPr>
          <w:t>https://www.rpo.gov.pl/pl/content/polski-rzecznik-praw-obywatelskich-adam-bodnar-i-jego-biuro-tegorocznymi-laureatami-norweskiej</w:t>
        </w:r>
      </w:hyperlink>
    </w:p>
  </w:footnote>
  <w:footnote w:id="860">
    <w:p w14:paraId="453AC496" w14:textId="77777777" w:rsidR="00803B7D" w:rsidRPr="007A22DC" w:rsidRDefault="00803B7D">
      <w:pPr>
        <w:pStyle w:val="Tekstprzypisudolnego"/>
      </w:pPr>
      <w:r w:rsidRPr="007A22DC">
        <w:rPr>
          <w:rStyle w:val="Odwoanieprzypisudolnego"/>
        </w:rPr>
        <w:footnoteRef/>
      </w:r>
      <w:r w:rsidRPr="007A22DC">
        <w:t xml:space="preserve"> Informacja o podziale środków: </w:t>
      </w:r>
      <w:hyperlink r:id="rId560" w:history="1">
        <w:r w:rsidRPr="007A22DC">
          <w:rPr>
            <w:rStyle w:val="Hipercze"/>
            <w:rFonts w:eastAsiaTheme="majorEastAsia"/>
          </w:rPr>
          <w:t>https://www.rpo.gov.pl/pl/content/wyniki-konkursu-grantowego-funduszu-obywatelskiego-ze-środków-norweskiej-nagrody-rafto-dla-polskiego</w:t>
        </w:r>
      </w:hyperlink>
    </w:p>
  </w:footnote>
  <w:footnote w:id="861">
    <w:p w14:paraId="7A947FF0" w14:textId="77777777" w:rsidR="00803B7D" w:rsidRPr="007A22DC" w:rsidRDefault="00803B7D" w:rsidP="0014574C">
      <w:pPr>
        <w:pStyle w:val="Przypis"/>
      </w:pPr>
      <w:r w:rsidRPr="007A22DC">
        <w:rPr>
          <w:rStyle w:val="Odwoanieprzypisudolnego"/>
        </w:rPr>
        <w:footnoteRef/>
      </w:r>
      <w:r w:rsidRPr="007A22DC">
        <w:t xml:space="preserve"> Przekazane Rzecznikowi do wiadomości wystąpienia kierowane do innych organów i pisma niezrozumiałej treści.</w:t>
      </w:r>
    </w:p>
  </w:footnote>
  <w:footnote w:id="862">
    <w:p w14:paraId="2DFD0509" w14:textId="77777777" w:rsidR="00803B7D" w:rsidRPr="007A22DC" w:rsidRDefault="00803B7D" w:rsidP="0014574C">
      <w:pPr>
        <w:pStyle w:val="Przypis"/>
      </w:pPr>
      <w:r w:rsidRPr="007A22DC">
        <w:rPr>
          <w:rStyle w:val="Odwoanieprzypisudolnego"/>
        </w:rPr>
        <w:footnoteRef/>
      </w:r>
      <w:r w:rsidRPr="007A22DC">
        <w:t xml:space="preserve"> Wykres pokazuje jaki jest stan na dzień 31 grudnia 2018 r. wszystkich spraw skierowanych przez RPO do TK. Dane przedstawione są w podziale na lata, w których wnioski te były zgłaszane przez RPO.</w:t>
      </w:r>
    </w:p>
    <w:p w14:paraId="5EB70502" w14:textId="77777777" w:rsidR="00803B7D" w:rsidRPr="007A22DC" w:rsidRDefault="00803B7D" w:rsidP="0014574C">
      <w:pPr>
        <w:pStyle w:val="Przypis"/>
      </w:pPr>
      <w:r w:rsidRPr="007A22DC">
        <w:t>W 2017 r. w 2 sprawach nie dopuszczono RPO do udziału w postępowaniu.</w:t>
      </w:r>
    </w:p>
  </w:footnote>
  <w:footnote w:id="863">
    <w:p w14:paraId="2E47F64B" w14:textId="77777777" w:rsidR="00803B7D" w:rsidRPr="007A22DC" w:rsidRDefault="00803B7D" w:rsidP="0014574C">
      <w:pPr>
        <w:pStyle w:val="Przypis"/>
      </w:pPr>
      <w:r w:rsidRPr="007A22DC">
        <w:rPr>
          <w:rStyle w:val="Odwoanieprzypisudolnego"/>
        </w:rPr>
        <w:footnoteRef/>
      </w:r>
      <w:r w:rsidRPr="007A22DC">
        <w:t xml:space="preserve"> Ustawa z 20 lutego 2009 r. o zmianie ustawy o skardze na naruszenie prawa strony do rozpoznania sprawy w postępowaniu sądowym bez nieuzasadnionej zwłoki (Dz.U. 2009 nr 61, poz. 498).</w:t>
      </w:r>
    </w:p>
  </w:footnote>
  <w:footnote w:id="864">
    <w:p w14:paraId="19C0698C" w14:textId="77777777" w:rsidR="00803B7D" w:rsidRPr="007A22DC" w:rsidRDefault="00803B7D" w:rsidP="00EB1720">
      <w:pPr>
        <w:pStyle w:val="Tekstprzypisudolnego"/>
      </w:pPr>
      <w:r w:rsidRPr="007A22DC">
        <w:rPr>
          <w:rStyle w:val="Odwoanieprzypisudolnego"/>
        </w:rPr>
        <w:footnoteRef/>
      </w:r>
      <w:r w:rsidRPr="007A22DC">
        <w:t xml:space="preserve"> Pełna treść oświadczenia w polskiej i angielskiej wersji językowej: </w:t>
      </w:r>
      <w:hyperlink r:id="rId561" w:history="1">
        <w:r w:rsidRPr="007A22DC">
          <w:rPr>
            <w:rStyle w:val="Hipercze"/>
          </w:rPr>
          <w:t>https://www.ohchr.org/EN/NewsEvents/Pages/DisplayNews.aspx?NewsID=23693&amp;LangID=E</w:t>
        </w:r>
      </w:hyperlink>
    </w:p>
  </w:footnote>
  <w:footnote w:id="865">
    <w:p w14:paraId="059DF296" w14:textId="77777777" w:rsidR="00803B7D" w:rsidRPr="007A22DC" w:rsidRDefault="00803B7D" w:rsidP="00EA674D">
      <w:pPr>
        <w:pStyle w:val="Przypis"/>
      </w:pPr>
      <w:r w:rsidRPr="007A22DC">
        <w:rPr>
          <w:rStyle w:val="Odwoanieprzypisudolnego"/>
        </w:rPr>
        <w:footnoteRef/>
      </w:r>
      <w:r w:rsidRPr="007A22DC">
        <w:t xml:space="preserve"> Realizacja przez Polskę zobowiązań wynikających z Konwencji o prawach osób niepełnosprawnych</w:t>
      </w:r>
    </w:p>
    <w:p w14:paraId="177005FD" w14:textId="77777777" w:rsidR="00803B7D" w:rsidRPr="007A22DC" w:rsidRDefault="00803B7D" w:rsidP="00EA674D">
      <w:pPr>
        <w:pStyle w:val="Przypis"/>
      </w:pPr>
      <w:r w:rsidRPr="007A22DC">
        <w:t xml:space="preserve">- sprawozdanie Rzecznika Praw Obywatelskich (2014), dostępne w języku angielskim pod adresem: </w:t>
      </w:r>
      <w:hyperlink r:id="rId562" w:history="1">
        <w:r w:rsidRPr="007A22DC">
          <w:rPr>
            <w:rStyle w:val="Hipercze"/>
          </w:rPr>
          <w:t>https://tbinternet.ohchr.org/_layouts/treatybodyexternal/Download.aspx?symbolno=INT%2fCRPD%2fIFU%2fPOL%2f30099&amp;Lang=en</w:t>
        </w:r>
      </w:hyperlink>
    </w:p>
  </w:footnote>
  <w:footnote w:id="866">
    <w:p w14:paraId="3FA275CE" w14:textId="77777777" w:rsidR="00803B7D" w:rsidRDefault="00803B7D" w:rsidP="00EB1720">
      <w:pPr>
        <w:pStyle w:val="Tekstprzypisudolnego"/>
        <w:jc w:val="both"/>
      </w:pPr>
      <w:r w:rsidRPr="007A22DC">
        <w:rPr>
          <w:rStyle w:val="Odwoanieprzypisudolnego"/>
        </w:rPr>
        <w:footnoteRef/>
      </w:r>
      <w:r w:rsidRPr="007A22DC">
        <w:t xml:space="preserve"> Realizacja przez Polskę zobowiązań wynikających z Konwencji - sprawozdanie Rzecznika Praw Obywatelskich (wersja zaktualizowana w 2018), dostępne pod adresem: </w:t>
      </w:r>
      <w:hyperlink r:id="rId563" w:history="1">
        <w:r w:rsidRPr="007A22DC">
          <w:rPr>
            <w:rStyle w:val="Hipercze"/>
          </w:rPr>
          <w:t>https://www.rpo.gov.pl/sites/default/files/Informacja%20RPO%20dla%20komitetu%20ONZ%20z%20wdra%C5%BCania%20%20Konwencji%20o%20prawach%20os%C3%B3b%20z%20niepe%C5%82nosprawno%C5%9Bciam%20%28j%C4%99z.%20polski%29.pdf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927AA" w14:textId="77777777" w:rsidR="00803B7D" w:rsidRDefault="00803B7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0959768"/>
      <w:docPartObj>
        <w:docPartGallery w:val="Page Numbers (Top of Page)"/>
        <w:docPartUnique/>
      </w:docPartObj>
    </w:sdtPr>
    <w:sdtEndPr/>
    <w:sdtContent>
      <w:p w14:paraId="088E810F" w14:textId="77777777" w:rsidR="00803B7D" w:rsidRDefault="00803B7D" w:rsidP="0014574C">
        <w:pPr>
          <w:pStyle w:val="Nagwek"/>
          <w:jc w:val="center"/>
        </w:pPr>
        <w:r>
          <w:fldChar w:fldCharType="begin"/>
        </w:r>
        <w:r>
          <w:instrText>PAGE   \* MERGEFORMAT</w:instrText>
        </w:r>
        <w:r>
          <w:fldChar w:fldCharType="separate"/>
        </w:r>
        <w: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16C80" w14:textId="77777777" w:rsidR="00803B7D" w:rsidRDefault="00803B7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EDAADC4"/>
    <w:lvl w:ilvl="0">
      <w:start w:val="1"/>
      <w:numFmt w:val="decimal"/>
      <w:pStyle w:val="Listanumerowana"/>
      <w:lvlText w:val="%1."/>
      <w:lvlJc w:val="left"/>
      <w:pPr>
        <w:tabs>
          <w:tab w:val="num" w:pos="360"/>
        </w:tabs>
        <w:ind w:left="360" w:hanging="360"/>
      </w:pPr>
      <w:rPr>
        <w:rFonts w:cs="Times New Roman"/>
      </w:rPr>
    </w:lvl>
  </w:abstractNum>
  <w:abstractNum w:abstractNumId="1" w15:restartNumberingAfterBreak="0">
    <w:nsid w:val="012061BF"/>
    <w:multiLevelType w:val="hybridMultilevel"/>
    <w:tmpl w:val="6840EF24"/>
    <w:lvl w:ilvl="0" w:tplc="4F886D78">
      <w:start w:val="11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19D248A"/>
    <w:multiLevelType w:val="hybridMultilevel"/>
    <w:tmpl w:val="ADFE8C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48F054C"/>
    <w:multiLevelType w:val="hybridMultilevel"/>
    <w:tmpl w:val="3E967EA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15:restartNumberingAfterBreak="0">
    <w:nsid w:val="05862054"/>
    <w:multiLevelType w:val="hybridMultilevel"/>
    <w:tmpl w:val="DD7448CA"/>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6B61B7A"/>
    <w:multiLevelType w:val="hybridMultilevel"/>
    <w:tmpl w:val="B6A67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6F40216"/>
    <w:multiLevelType w:val="hybridMultilevel"/>
    <w:tmpl w:val="6D78EFC2"/>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7" w15:restartNumberingAfterBreak="0">
    <w:nsid w:val="070E4CA0"/>
    <w:multiLevelType w:val="singleLevel"/>
    <w:tmpl w:val="FBF6A76A"/>
    <w:lvl w:ilvl="0">
      <w:start w:val="1"/>
      <w:numFmt w:val="bullet"/>
      <w:pStyle w:val="Stand1"/>
      <w:lvlText w:val=""/>
      <w:lvlJc w:val="left"/>
      <w:pPr>
        <w:tabs>
          <w:tab w:val="num" w:pos="360"/>
        </w:tabs>
        <w:ind w:left="360" w:hanging="360"/>
      </w:pPr>
      <w:rPr>
        <w:rFonts w:ascii="Symbol" w:hAnsi="Symbol" w:hint="default"/>
      </w:rPr>
    </w:lvl>
  </w:abstractNum>
  <w:abstractNum w:abstractNumId="8" w15:restartNumberingAfterBreak="0">
    <w:nsid w:val="07A56629"/>
    <w:multiLevelType w:val="hybridMultilevel"/>
    <w:tmpl w:val="07BE5436"/>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8084C36"/>
    <w:multiLevelType w:val="hybridMultilevel"/>
    <w:tmpl w:val="2FE6EF7C"/>
    <w:lvl w:ilvl="0" w:tplc="318AF7F6">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0838772E"/>
    <w:multiLevelType w:val="hybridMultilevel"/>
    <w:tmpl w:val="DDA461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8E152A9"/>
    <w:multiLevelType w:val="hybridMultilevel"/>
    <w:tmpl w:val="DDCC66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495FE6"/>
    <w:multiLevelType w:val="hybridMultilevel"/>
    <w:tmpl w:val="E48EDCA4"/>
    <w:lvl w:ilvl="0" w:tplc="04150001">
      <w:start w:val="1"/>
      <w:numFmt w:val="bullet"/>
      <w:lvlText w:val=""/>
      <w:lvlJc w:val="left"/>
      <w:pPr>
        <w:ind w:left="360" w:hanging="360"/>
      </w:pPr>
      <w:rPr>
        <w:rFonts w:ascii="Symbol" w:hAnsi="Symbol" w:hint="default"/>
      </w:rPr>
    </w:lvl>
    <w:lvl w:ilvl="1" w:tplc="FA2897FA">
      <w:start w:val="2"/>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9E70597"/>
    <w:multiLevelType w:val="hybridMultilevel"/>
    <w:tmpl w:val="341CA0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0A4779D4"/>
    <w:multiLevelType w:val="hybridMultilevel"/>
    <w:tmpl w:val="D7823CC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0B6A0D67"/>
    <w:multiLevelType w:val="hybridMultilevel"/>
    <w:tmpl w:val="5464EC32"/>
    <w:lvl w:ilvl="0" w:tplc="C63460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BAB4FE1"/>
    <w:multiLevelType w:val="hybridMultilevel"/>
    <w:tmpl w:val="4D18EE5C"/>
    <w:lvl w:ilvl="0" w:tplc="04150001">
      <w:start w:val="1"/>
      <w:numFmt w:val="bullet"/>
      <w:lvlText w:val=""/>
      <w:lvlJc w:val="left"/>
      <w:pPr>
        <w:ind w:left="360" w:hanging="360"/>
      </w:pPr>
      <w:rPr>
        <w:rFonts w:ascii="Symbol" w:hAnsi="Symbol" w:hint="default"/>
      </w:rPr>
    </w:lvl>
    <w:lvl w:ilvl="1" w:tplc="DE5E5F24">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BD757AC"/>
    <w:multiLevelType w:val="hybridMultilevel"/>
    <w:tmpl w:val="55C4B3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C1370EF"/>
    <w:multiLevelType w:val="hybridMultilevel"/>
    <w:tmpl w:val="C9C2AC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0C955B5B"/>
    <w:multiLevelType w:val="hybridMultilevel"/>
    <w:tmpl w:val="D6C4BF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D5238E6"/>
    <w:multiLevelType w:val="hybridMultilevel"/>
    <w:tmpl w:val="FF3E7F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0E1B5321"/>
    <w:multiLevelType w:val="hybridMultilevel"/>
    <w:tmpl w:val="DCA439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E593100"/>
    <w:multiLevelType w:val="hybridMultilevel"/>
    <w:tmpl w:val="2E34EFE6"/>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F4E45E7"/>
    <w:multiLevelType w:val="hybridMultilevel"/>
    <w:tmpl w:val="F966720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11120563"/>
    <w:multiLevelType w:val="hybridMultilevel"/>
    <w:tmpl w:val="DD3A82BA"/>
    <w:lvl w:ilvl="0" w:tplc="C63460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1F810FE"/>
    <w:multiLevelType w:val="hybridMultilevel"/>
    <w:tmpl w:val="3AEE1A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129B7DF7"/>
    <w:multiLevelType w:val="hybridMultilevel"/>
    <w:tmpl w:val="8D1AA40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15:restartNumberingAfterBreak="0">
    <w:nsid w:val="13431DB3"/>
    <w:multiLevelType w:val="hybridMultilevel"/>
    <w:tmpl w:val="268290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138045FC"/>
    <w:multiLevelType w:val="hybridMultilevel"/>
    <w:tmpl w:val="568C8DA6"/>
    <w:lvl w:ilvl="0" w:tplc="C63460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4564EA4"/>
    <w:multiLevelType w:val="hybridMultilevel"/>
    <w:tmpl w:val="51964CBE"/>
    <w:lvl w:ilvl="0" w:tplc="04150015">
      <w:start w:val="1"/>
      <w:numFmt w:val="upp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145E0F53"/>
    <w:multiLevelType w:val="hybridMultilevel"/>
    <w:tmpl w:val="519EB1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5080A59"/>
    <w:multiLevelType w:val="hybridMultilevel"/>
    <w:tmpl w:val="DE563C0A"/>
    <w:lvl w:ilvl="0" w:tplc="CE62141A">
      <w:start w:val="1"/>
      <w:numFmt w:val="bullet"/>
      <w:pStyle w:val="Nagwek8"/>
      <w:lvlText w:val=""/>
      <w:lvlJc w:val="left"/>
      <w:pPr>
        <w:ind w:left="360" w:hanging="360"/>
      </w:pPr>
      <w:rPr>
        <w:rFonts w:ascii="Segoe UI Symbol" w:hAnsi="Segoe UI Symbol" w:hint="default"/>
        <w:sz w:val="36"/>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5D25E6C"/>
    <w:multiLevelType w:val="hybridMultilevel"/>
    <w:tmpl w:val="3C3C531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3" w15:restartNumberingAfterBreak="0">
    <w:nsid w:val="170F4AA3"/>
    <w:multiLevelType w:val="hybridMultilevel"/>
    <w:tmpl w:val="1E9810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17747C2F"/>
    <w:multiLevelType w:val="hybridMultilevel"/>
    <w:tmpl w:val="B91604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17DE47FC"/>
    <w:multiLevelType w:val="hybridMultilevel"/>
    <w:tmpl w:val="ECB8F46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6" w15:restartNumberingAfterBreak="0">
    <w:nsid w:val="182B55DB"/>
    <w:multiLevelType w:val="hybridMultilevel"/>
    <w:tmpl w:val="09AC82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183156BD"/>
    <w:multiLevelType w:val="hybridMultilevel"/>
    <w:tmpl w:val="D012C2C6"/>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15:restartNumberingAfterBreak="0">
    <w:nsid w:val="1A404E17"/>
    <w:multiLevelType w:val="hybridMultilevel"/>
    <w:tmpl w:val="36CEDA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1A706110"/>
    <w:multiLevelType w:val="hybridMultilevel"/>
    <w:tmpl w:val="8D1AA40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0" w15:restartNumberingAfterBreak="0">
    <w:nsid w:val="1B013AD7"/>
    <w:multiLevelType w:val="hybridMultilevel"/>
    <w:tmpl w:val="05F609BE"/>
    <w:lvl w:ilvl="0" w:tplc="49F8254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B2D44C9"/>
    <w:multiLevelType w:val="hybridMultilevel"/>
    <w:tmpl w:val="78C46A6C"/>
    <w:lvl w:ilvl="0" w:tplc="C63460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BB05276"/>
    <w:multiLevelType w:val="hybridMultilevel"/>
    <w:tmpl w:val="5FDE60FA"/>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1C73272A"/>
    <w:multiLevelType w:val="hybridMultilevel"/>
    <w:tmpl w:val="80C2F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DE04732"/>
    <w:multiLevelType w:val="hybridMultilevel"/>
    <w:tmpl w:val="35020A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1E902AC3"/>
    <w:multiLevelType w:val="hybridMultilevel"/>
    <w:tmpl w:val="156878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1EBF4B2A"/>
    <w:multiLevelType w:val="hybridMultilevel"/>
    <w:tmpl w:val="9758A6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1EDA4FCD"/>
    <w:multiLevelType w:val="singleLevel"/>
    <w:tmpl w:val="16CAA706"/>
    <w:lvl w:ilvl="0">
      <w:start w:val="1"/>
      <w:numFmt w:val="decimal"/>
      <w:pStyle w:val="Wyliczaniedotekstu"/>
      <w:lvlText w:val="%1."/>
      <w:lvlJc w:val="left"/>
      <w:pPr>
        <w:tabs>
          <w:tab w:val="num" w:pos="360"/>
        </w:tabs>
        <w:ind w:left="357" w:hanging="357"/>
      </w:pPr>
    </w:lvl>
  </w:abstractNum>
  <w:abstractNum w:abstractNumId="48" w15:restartNumberingAfterBreak="0">
    <w:nsid w:val="1F8C62E3"/>
    <w:multiLevelType w:val="hybridMultilevel"/>
    <w:tmpl w:val="8D1AA40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9" w15:restartNumberingAfterBreak="0">
    <w:nsid w:val="20AC1EFD"/>
    <w:multiLevelType w:val="hybridMultilevel"/>
    <w:tmpl w:val="6B24ADA4"/>
    <w:lvl w:ilvl="0" w:tplc="F78AFB1C">
      <w:start w:val="1"/>
      <w:numFmt w:val="bullet"/>
      <w:lvlText w:val=""/>
      <w:lvlJc w:val="left"/>
      <w:pPr>
        <w:ind w:left="360" w:hanging="360"/>
      </w:pPr>
      <w:rPr>
        <w:rFonts w:ascii="Symbol" w:hAnsi="Symbol" w:hint="default"/>
        <w:lang w:val="pl-P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20EA776E"/>
    <w:multiLevelType w:val="hybridMultilevel"/>
    <w:tmpl w:val="10FA97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220722A1"/>
    <w:multiLevelType w:val="hybridMultilevel"/>
    <w:tmpl w:val="395E390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2" w15:restartNumberingAfterBreak="0">
    <w:nsid w:val="231766FD"/>
    <w:multiLevelType w:val="hybridMultilevel"/>
    <w:tmpl w:val="46B60404"/>
    <w:lvl w:ilvl="0" w:tplc="D342295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255566CD"/>
    <w:multiLevelType w:val="hybridMultilevel"/>
    <w:tmpl w:val="A14EC7C2"/>
    <w:lvl w:ilvl="0" w:tplc="04150001">
      <w:start w:val="1"/>
      <w:numFmt w:val="bullet"/>
      <w:lvlText w:val=""/>
      <w:lvlJc w:val="left"/>
      <w:pPr>
        <w:ind w:left="927" w:hanging="360"/>
      </w:pPr>
      <w:rPr>
        <w:rFonts w:ascii="Symbol" w:hAnsi="Symbol" w:hint="default"/>
      </w:rPr>
    </w:lvl>
    <w:lvl w:ilvl="1" w:tplc="04150003">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4" w15:restartNumberingAfterBreak="0">
    <w:nsid w:val="25D478D4"/>
    <w:multiLevelType w:val="hybridMultilevel"/>
    <w:tmpl w:val="558EC2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264B48FC"/>
    <w:multiLevelType w:val="hybridMultilevel"/>
    <w:tmpl w:val="9B9AE974"/>
    <w:lvl w:ilvl="0" w:tplc="04150001">
      <w:start w:val="1"/>
      <w:numFmt w:val="bullet"/>
      <w:lvlText w:val=""/>
      <w:lvlJc w:val="left"/>
      <w:pPr>
        <w:ind w:left="1287" w:hanging="360"/>
      </w:pPr>
      <w:rPr>
        <w:rFonts w:ascii="Symbol" w:hAnsi="Symbol" w:hint="default"/>
      </w:rPr>
    </w:lvl>
    <w:lvl w:ilvl="1" w:tplc="AFA60708">
      <w:numFmt w:val="bullet"/>
      <w:lvlText w:val="•"/>
      <w:lvlJc w:val="left"/>
      <w:pPr>
        <w:ind w:left="2007" w:hanging="360"/>
      </w:pPr>
      <w:rPr>
        <w:rFonts w:ascii="Times New Roman" w:eastAsia="Times New Roman" w:hAnsi="Times New Roman" w:cs="Times New Roman"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6" w15:restartNumberingAfterBreak="0">
    <w:nsid w:val="2683309C"/>
    <w:multiLevelType w:val="hybridMultilevel"/>
    <w:tmpl w:val="29EA5354"/>
    <w:lvl w:ilvl="0" w:tplc="C63460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6B0667F"/>
    <w:multiLevelType w:val="hybridMultilevel"/>
    <w:tmpl w:val="BB44A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7AA63CD"/>
    <w:multiLevelType w:val="hybridMultilevel"/>
    <w:tmpl w:val="FA1EE8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288C3A4D"/>
    <w:multiLevelType w:val="hybridMultilevel"/>
    <w:tmpl w:val="395E390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0" w15:restartNumberingAfterBreak="0">
    <w:nsid w:val="29EF7D12"/>
    <w:multiLevelType w:val="hybridMultilevel"/>
    <w:tmpl w:val="9DC4DB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2AA36219"/>
    <w:multiLevelType w:val="hybridMultilevel"/>
    <w:tmpl w:val="5AD036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2BA1073C"/>
    <w:multiLevelType w:val="hybridMultilevel"/>
    <w:tmpl w:val="96BACC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2C643655"/>
    <w:multiLevelType w:val="hybridMultilevel"/>
    <w:tmpl w:val="3F9218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2CB12EEA"/>
    <w:multiLevelType w:val="hybridMultilevel"/>
    <w:tmpl w:val="F6E43D2E"/>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CBD0283"/>
    <w:multiLevelType w:val="hybridMultilevel"/>
    <w:tmpl w:val="1E42200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2CE74730"/>
    <w:multiLevelType w:val="hybridMultilevel"/>
    <w:tmpl w:val="338CE524"/>
    <w:lvl w:ilvl="0" w:tplc="B55E6204">
      <w:start w:val="1"/>
      <w:numFmt w:val="decimal"/>
      <w:lvlText w:val="%1)"/>
      <w:lvlJc w:val="left"/>
      <w:pPr>
        <w:ind w:left="1069" w:hanging="360"/>
      </w:pPr>
      <w:rPr>
        <w:rFonts w:hint="default"/>
      </w:rPr>
    </w:lvl>
    <w:lvl w:ilvl="1" w:tplc="1F729C9E">
      <w:start w:val="1"/>
      <w:numFmt w:val="decimal"/>
      <w:lvlText w:val="%2."/>
      <w:lvlJc w:val="left"/>
      <w:pPr>
        <w:ind w:left="1789" w:hanging="360"/>
      </w:pPr>
      <w:rPr>
        <w:rFonts w:hint="default"/>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7" w15:restartNumberingAfterBreak="0">
    <w:nsid w:val="2DBB1619"/>
    <w:multiLevelType w:val="hybridMultilevel"/>
    <w:tmpl w:val="8D1AA40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8" w15:restartNumberingAfterBreak="0">
    <w:nsid w:val="2DFB2A5B"/>
    <w:multiLevelType w:val="hybridMultilevel"/>
    <w:tmpl w:val="D76E0F8C"/>
    <w:lvl w:ilvl="0" w:tplc="2F1A59A8">
      <w:start w:val="7"/>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EBF7F4E"/>
    <w:multiLevelType w:val="hybridMultilevel"/>
    <w:tmpl w:val="05F0410E"/>
    <w:lvl w:ilvl="0" w:tplc="C63460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F10441C"/>
    <w:multiLevelType w:val="hybridMultilevel"/>
    <w:tmpl w:val="042AFAC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326B7664"/>
    <w:multiLevelType w:val="hybridMultilevel"/>
    <w:tmpl w:val="6B9CC4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32FC3235"/>
    <w:multiLevelType w:val="hybridMultilevel"/>
    <w:tmpl w:val="8B001E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34AF698E"/>
    <w:multiLevelType w:val="hybridMultilevel"/>
    <w:tmpl w:val="8D1AA40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4" w15:restartNumberingAfterBreak="0">
    <w:nsid w:val="34B5528E"/>
    <w:multiLevelType w:val="hybridMultilevel"/>
    <w:tmpl w:val="AF6433D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36BD32C7"/>
    <w:multiLevelType w:val="hybridMultilevel"/>
    <w:tmpl w:val="33F6AE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37A61431"/>
    <w:multiLevelType w:val="hybridMultilevel"/>
    <w:tmpl w:val="80AEF2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38124BC6"/>
    <w:multiLevelType w:val="singleLevel"/>
    <w:tmpl w:val="203E2AFA"/>
    <w:lvl w:ilvl="0">
      <w:start w:val="1"/>
      <w:numFmt w:val="decimal"/>
      <w:pStyle w:val="wcity1"/>
      <w:lvlText w:val="%1."/>
      <w:lvlJc w:val="right"/>
      <w:pPr>
        <w:tabs>
          <w:tab w:val="num" w:pos="567"/>
        </w:tabs>
        <w:ind w:left="567" w:hanging="283"/>
      </w:pPr>
      <w:rPr>
        <w:b/>
        <w:i w:val="0"/>
      </w:rPr>
    </w:lvl>
  </w:abstractNum>
  <w:abstractNum w:abstractNumId="78" w15:restartNumberingAfterBreak="0">
    <w:nsid w:val="38625958"/>
    <w:multiLevelType w:val="hybridMultilevel"/>
    <w:tmpl w:val="799837F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389162A2"/>
    <w:multiLevelType w:val="hybridMultilevel"/>
    <w:tmpl w:val="5C825D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39F664AE"/>
    <w:multiLevelType w:val="hybridMultilevel"/>
    <w:tmpl w:val="6FD494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3A260104"/>
    <w:multiLevelType w:val="hybridMultilevel"/>
    <w:tmpl w:val="DFFC7F8E"/>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2" w15:restartNumberingAfterBreak="0">
    <w:nsid w:val="3A4F1FFE"/>
    <w:multiLevelType w:val="hybridMultilevel"/>
    <w:tmpl w:val="50FE9646"/>
    <w:lvl w:ilvl="0" w:tplc="969ECA6E">
      <w:start w:val="1"/>
      <w:numFmt w:val="decimal"/>
      <w:lvlText w:val="%1."/>
      <w:lvlJc w:val="righ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3AC379BA"/>
    <w:multiLevelType w:val="hybridMultilevel"/>
    <w:tmpl w:val="2A0C53D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3AC4221D"/>
    <w:multiLevelType w:val="hybridMultilevel"/>
    <w:tmpl w:val="82D0EDB0"/>
    <w:lvl w:ilvl="0" w:tplc="2CB209D4">
      <w:start w:val="1"/>
      <w:numFmt w:val="bullet"/>
      <w:pStyle w:val="BLURB"/>
      <w:lvlText w:val="⏩"/>
      <w:lvlJc w:val="left"/>
      <w:pPr>
        <w:ind w:left="1287" w:hanging="360"/>
      </w:pPr>
      <w:rPr>
        <w:rFonts w:ascii="Segoe UI Symbol" w:hAnsi="Segoe UI 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B77103B"/>
    <w:multiLevelType w:val="hybridMultilevel"/>
    <w:tmpl w:val="B952270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6" w15:restartNumberingAfterBreak="0">
    <w:nsid w:val="3C2B7AE6"/>
    <w:multiLevelType w:val="hybridMultilevel"/>
    <w:tmpl w:val="042AFAC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3C4F6885"/>
    <w:multiLevelType w:val="hybridMultilevel"/>
    <w:tmpl w:val="395E390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8" w15:restartNumberingAfterBreak="0">
    <w:nsid w:val="3C9F55CD"/>
    <w:multiLevelType w:val="hybridMultilevel"/>
    <w:tmpl w:val="9DA694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3D1B7D01"/>
    <w:multiLevelType w:val="hybridMultilevel"/>
    <w:tmpl w:val="EAB4966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3DDE1C20"/>
    <w:multiLevelType w:val="hybridMultilevel"/>
    <w:tmpl w:val="6F0EC5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3FFB41FF"/>
    <w:multiLevelType w:val="hybridMultilevel"/>
    <w:tmpl w:val="4AC26D22"/>
    <w:lvl w:ilvl="0" w:tplc="35AA1556">
      <w:start w:val="1"/>
      <w:numFmt w:val="bullet"/>
      <w:pStyle w:val="ODESANIE"/>
      <w:lvlText w:val="☞"/>
      <w:lvlJc w:val="left"/>
      <w:pPr>
        <w:ind w:left="785" w:hanging="360"/>
      </w:pPr>
      <w:rPr>
        <w:rFonts w:ascii="Segoe UI Symbol" w:hAnsi="Segoe UI Symbol" w:hint="default"/>
        <w:b/>
        <w:i w:val="0"/>
        <w:color w:val="C00000"/>
        <w:sz w:val="3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0914738"/>
    <w:multiLevelType w:val="hybridMultilevel"/>
    <w:tmpl w:val="09BA6D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40CD4783"/>
    <w:multiLevelType w:val="hybridMultilevel"/>
    <w:tmpl w:val="DD3A82BA"/>
    <w:lvl w:ilvl="0" w:tplc="C634602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42253CB3"/>
    <w:multiLevelType w:val="hybridMultilevel"/>
    <w:tmpl w:val="D8C471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423D5499"/>
    <w:multiLevelType w:val="hybridMultilevel"/>
    <w:tmpl w:val="5434A83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42905553"/>
    <w:multiLevelType w:val="hybridMultilevel"/>
    <w:tmpl w:val="AE2E98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4417588A"/>
    <w:multiLevelType w:val="hybridMultilevel"/>
    <w:tmpl w:val="E306DD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445B1299"/>
    <w:multiLevelType w:val="hybridMultilevel"/>
    <w:tmpl w:val="87E26D9C"/>
    <w:lvl w:ilvl="0" w:tplc="B7C6B6D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99" w15:restartNumberingAfterBreak="0">
    <w:nsid w:val="44F23492"/>
    <w:multiLevelType w:val="hybridMultilevel"/>
    <w:tmpl w:val="6ED694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15:restartNumberingAfterBreak="0">
    <w:nsid w:val="45E359AA"/>
    <w:multiLevelType w:val="hybridMultilevel"/>
    <w:tmpl w:val="1EF878A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471654C6"/>
    <w:multiLevelType w:val="hybridMultilevel"/>
    <w:tmpl w:val="FF749E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47553F15"/>
    <w:multiLevelType w:val="hybridMultilevel"/>
    <w:tmpl w:val="8D1AA40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3" w15:restartNumberingAfterBreak="0">
    <w:nsid w:val="48FA70C2"/>
    <w:multiLevelType w:val="hybridMultilevel"/>
    <w:tmpl w:val="399A16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15:restartNumberingAfterBreak="0">
    <w:nsid w:val="49B449E8"/>
    <w:multiLevelType w:val="hybridMultilevel"/>
    <w:tmpl w:val="8C5AFAAC"/>
    <w:lvl w:ilvl="0" w:tplc="04150001">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5" w15:restartNumberingAfterBreak="0">
    <w:nsid w:val="4CF17E9C"/>
    <w:multiLevelType w:val="hybridMultilevel"/>
    <w:tmpl w:val="352C3DDE"/>
    <w:lvl w:ilvl="0" w:tplc="04150001">
      <w:start w:val="1"/>
      <w:numFmt w:val="bullet"/>
      <w:lvlText w:val=""/>
      <w:lvlJc w:val="left"/>
      <w:pPr>
        <w:ind w:left="360" w:hanging="360"/>
      </w:pPr>
      <w:rPr>
        <w:rFonts w:ascii="Symbol" w:hAnsi="Symbol" w:hint="default"/>
      </w:rPr>
    </w:lvl>
    <w:lvl w:ilvl="1" w:tplc="EC6EC1E6">
      <w:numFmt w:val="bullet"/>
      <w:lvlText w:val="•"/>
      <w:lvlJc w:val="left"/>
      <w:pPr>
        <w:ind w:left="1080" w:hanging="360"/>
      </w:pPr>
      <w:rPr>
        <w:rFonts w:ascii="Times New Roman" w:eastAsia="Calibri" w:hAnsi="Times New Roman"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4D7A7C81"/>
    <w:multiLevelType w:val="hybridMultilevel"/>
    <w:tmpl w:val="21506D4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7" w15:restartNumberingAfterBreak="0">
    <w:nsid w:val="4DD76B15"/>
    <w:multiLevelType w:val="hybridMultilevel"/>
    <w:tmpl w:val="A120B5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4EC92D52"/>
    <w:multiLevelType w:val="hybridMultilevel"/>
    <w:tmpl w:val="E1DA1FA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4EDB5C4A"/>
    <w:multiLevelType w:val="hybridMultilevel"/>
    <w:tmpl w:val="564AA6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4F041B45"/>
    <w:multiLevelType w:val="hybridMultilevel"/>
    <w:tmpl w:val="8D1AA40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1" w15:restartNumberingAfterBreak="0">
    <w:nsid w:val="4FBF0B10"/>
    <w:multiLevelType w:val="hybridMultilevel"/>
    <w:tmpl w:val="C37026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15:restartNumberingAfterBreak="0">
    <w:nsid w:val="5063314A"/>
    <w:multiLevelType w:val="hybridMultilevel"/>
    <w:tmpl w:val="1D780B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51557731"/>
    <w:multiLevelType w:val="hybridMultilevel"/>
    <w:tmpl w:val="C6EC03CE"/>
    <w:lvl w:ilvl="0" w:tplc="B55E6204">
      <w:start w:val="1"/>
      <w:numFmt w:val="decimal"/>
      <w:lvlText w:val="%1)"/>
      <w:lvlJc w:val="left"/>
      <w:pPr>
        <w:ind w:left="1778"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4" w15:restartNumberingAfterBreak="0">
    <w:nsid w:val="52DF6E80"/>
    <w:multiLevelType w:val="hybridMultilevel"/>
    <w:tmpl w:val="0756C55E"/>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15:restartNumberingAfterBreak="0">
    <w:nsid w:val="5370417A"/>
    <w:multiLevelType w:val="hybridMultilevel"/>
    <w:tmpl w:val="2A3CC6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53BB7CB0"/>
    <w:multiLevelType w:val="hybridMultilevel"/>
    <w:tmpl w:val="666006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53C72E5F"/>
    <w:multiLevelType w:val="hybridMultilevel"/>
    <w:tmpl w:val="F078C2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545630DF"/>
    <w:multiLevelType w:val="hybridMultilevel"/>
    <w:tmpl w:val="1E5059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549223EB"/>
    <w:multiLevelType w:val="hybridMultilevel"/>
    <w:tmpl w:val="622E1E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55F30719"/>
    <w:multiLevelType w:val="singleLevel"/>
    <w:tmpl w:val="327653C0"/>
    <w:lvl w:ilvl="0">
      <w:start w:val="1"/>
      <w:numFmt w:val="decimal"/>
      <w:pStyle w:val="Wykwys"/>
      <w:lvlText w:val="%1."/>
      <w:lvlJc w:val="left"/>
      <w:pPr>
        <w:tabs>
          <w:tab w:val="num" w:pos="360"/>
        </w:tabs>
        <w:ind w:left="360" w:hanging="360"/>
      </w:pPr>
      <w:rPr>
        <w:b/>
        <w:i w:val="0"/>
        <w:sz w:val="26"/>
      </w:rPr>
    </w:lvl>
  </w:abstractNum>
  <w:abstractNum w:abstractNumId="121" w15:restartNumberingAfterBreak="0">
    <w:nsid w:val="56CF1D37"/>
    <w:multiLevelType w:val="hybridMultilevel"/>
    <w:tmpl w:val="FDEAAC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57BF1355"/>
    <w:multiLevelType w:val="hybridMultilevel"/>
    <w:tmpl w:val="BDC0E2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58725E5F"/>
    <w:multiLevelType w:val="hybridMultilevel"/>
    <w:tmpl w:val="395E39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59DD2B0E"/>
    <w:multiLevelType w:val="hybridMultilevel"/>
    <w:tmpl w:val="CC3CC2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59E03DA8"/>
    <w:multiLevelType w:val="hybridMultilevel"/>
    <w:tmpl w:val="3AA4EEE8"/>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5DA84AAA"/>
    <w:multiLevelType w:val="hybridMultilevel"/>
    <w:tmpl w:val="95C8B53A"/>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5E9E29BE"/>
    <w:multiLevelType w:val="hybridMultilevel"/>
    <w:tmpl w:val="3F7034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5EB33B61"/>
    <w:multiLevelType w:val="hybridMultilevel"/>
    <w:tmpl w:val="A7D4F0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9" w15:restartNumberingAfterBreak="0">
    <w:nsid w:val="5F115B0E"/>
    <w:multiLevelType w:val="hybridMultilevel"/>
    <w:tmpl w:val="110EBE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5F690167"/>
    <w:multiLevelType w:val="hybridMultilevel"/>
    <w:tmpl w:val="D5C6C1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5FE346A9"/>
    <w:multiLevelType w:val="hybridMultilevel"/>
    <w:tmpl w:val="20D00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00F75B3"/>
    <w:multiLevelType w:val="hybridMultilevel"/>
    <w:tmpl w:val="6DF866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603523B7"/>
    <w:multiLevelType w:val="hybridMultilevel"/>
    <w:tmpl w:val="D5B03A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645B3398"/>
    <w:multiLevelType w:val="hybridMultilevel"/>
    <w:tmpl w:val="003ECB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658E44F2"/>
    <w:multiLevelType w:val="hybridMultilevel"/>
    <w:tmpl w:val="60421B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65F95AF8"/>
    <w:multiLevelType w:val="hybridMultilevel"/>
    <w:tmpl w:val="5E80BFA8"/>
    <w:lvl w:ilvl="0" w:tplc="C63460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7113E3B"/>
    <w:multiLevelType w:val="hybridMultilevel"/>
    <w:tmpl w:val="3C76CA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67810229"/>
    <w:multiLevelType w:val="hybridMultilevel"/>
    <w:tmpl w:val="7E948288"/>
    <w:lvl w:ilvl="0" w:tplc="E1703E5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39" w15:restartNumberingAfterBreak="0">
    <w:nsid w:val="67957B9D"/>
    <w:multiLevelType w:val="hybridMultilevel"/>
    <w:tmpl w:val="AF26E172"/>
    <w:lvl w:ilvl="0" w:tplc="C63460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80A13F3"/>
    <w:multiLevelType w:val="hybridMultilevel"/>
    <w:tmpl w:val="2D9059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68D75347"/>
    <w:multiLevelType w:val="hybridMultilevel"/>
    <w:tmpl w:val="0FEC0C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6A6B4A06"/>
    <w:multiLevelType w:val="hybridMultilevel"/>
    <w:tmpl w:val="8F320D7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43" w15:restartNumberingAfterBreak="0">
    <w:nsid w:val="6AF046A0"/>
    <w:multiLevelType w:val="hybridMultilevel"/>
    <w:tmpl w:val="BBE49730"/>
    <w:lvl w:ilvl="0" w:tplc="C63460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6E520F70"/>
    <w:multiLevelType w:val="hybridMultilevel"/>
    <w:tmpl w:val="EBEC3A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6FDE60DE"/>
    <w:multiLevelType w:val="hybridMultilevel"/>
    <w:tmpl w:val="BD666F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70682897"/>
    <w:multiLevelType w:val="hybridMultilevel"/>
    <w:tmpl w:val="BC3A7838"/>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15:restartNumberingAfterBreak="0">
    <w:nsid w:val="70FE199D"/>
    <w:multiLevelType w:val="hybridMultilevel"/>
    <w:tmpl w:val="8D1AA40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8" w15:restartNumberingAfterBreak="0">
    <w:nsid w:val="723F3190"/>
    <w:multiLevelType w:val="hybridMultilevel"/>
    <w:tmpl w:val="2D78DDDC"/>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49" w15:restartNumberingAfterBreak="0">
    <w:nsid w:val="724E588E"/>
    <w:multiLevelType w:val="hybridMultilevel"/>
    <w:tmpl w:val="1E5C27C0"/>
    <w:lvl w:ilvl="0" w:tplc="04150001">
      <w:start w:val="1"/>
      <w:numFmt w:val="bullet"/>
      <w:lvlText w:val=""/>
      <w:lvlJc w:val="left"/>
      <w:pPr>
        <w:ind w:left="360" w:hanging="360"/>
      </w:pPr>
      <w:rPr>
        <w:rFonts w:ascii="Symbol" w:hAnsi="Symbol" w:hint="default"/>
      </w:rPr>
    </w:lvl>
    <w:lvl w:ilvl="1" w:tplc="1FF8B854">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72BC7579"/>
    <w:multiLevelType w:val="hybridMultilevel"/>
    <w:tmpl w:val="4484CF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1" w15:restartNumberingAfterBreak="0">
    <w:nsid w:val="73E0231B"/>
    <w:multiLevelType w:val="hybridMultilevel"/>
    <w:tmpl w:val="DEB2D1DA"/>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2" w15:restartNumberingAfterBreak="0">
    <w:nsid w:val="764C1C8B"/>
    <w:multiLevelType w:val="hybridMultilevel"/>
    <w:tmpl w:val="39D8725C"/>
    <w:lvl w:ilvl="0" w:tplc="C0F86AEC">
      <w:start w:val="1"/>
      <w:numFmt w:val="lowerLetter"/>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67D7BB3"/>
    <w:multiLevelType w:val="hybridMultilevel"/>
    <w:tmpl w:val="A99445E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4" w15:restartNumberingAfterBreak="0">
    <w:nsid w:val="76F743A4"/>
    <w:multiLevelType w:val="hybridMultilevel"/>
    <w:tmpl w:val="C820029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5" w15:restartNumberingAfterBreak="0">
    <w:nsid w:val="781D3E22"/>
    <w:multiLevelType w:val="hybridMultilevel"/>
    <w:tmpl w:val="DD942F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6" w15:restartNumberingAfterBreak="0">
    <w:nsid w:val="790B6E82"/>
    <w:multiLevelType w:val="hybridMultilevel"/>
    <w:tmpl w:val="BBE49730"/>
    <w:lvl w:ilvl="0" w:tplc="C634602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79796AD2"/>
    <w:multiLevelType w:val="hybridMultilevel"/>
    <w:tmpl w:val="7F74FAEC"/>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58" w15:restartNumberingAfterBreak="0">
    <w:nsid w:val="7B5842C5"/>
    <w:multiLevelType w:val="hybridMultilevel"/>
    <w:tmpl w:val="644A09E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59" w15:restartNumberingAfterBreak="0">
    <w:nsid w:val="7D4D4B62"/>
    <w:multiLevelType w:val="hybridMultilevel"/>
    <w:tmpl w:val="736C7A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7E4164E1"/>
    <w:multiLevelType w:val="hybridMultilevel"/>
    <w:tmpl w:val="B11047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1" w15:restartNumberingAfterBreak="0">
    <w:nsid w:val="7F6403EC"/>
    <w:multiLevelType w:val="hybridMultilevel"/>
    <w:tmpl w:val="2CE22CF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77"/>
  </w:num>
  <w:num w:numId="2">
    <w:abstractNumId w:val="0"/>
    <w:lvlOverride w:ilvl="0">
      <w:startOverride w:val="1"/>
    </w:lvlOverride>
  </w:num>
  <w:num w:numId="3">
    <w:abstractNumId w:val="30"/>
  </w:num>
  <w:num w:numId="4">
    <w:abstractNumId w:val="89"/>
  </w:num>
  <w:num w:numId="5">
    <w:abstractNumId w:val="49"/>
  </w:num>
  <w:num w:numId="6">
    <w:abstractNumId w:val="66"/>
  </w:num>
  <w:num w:numId="7">
    <w:abstractNumId w:val="81"/>
  </w:num>
  <w:num w:numId="8">
    <w:abstractNumId w:val="105"/>
  </w:num>
  <w:num w:numId="9">
    <w:abstractNumId w:val="74"/>
  </w:num>
  <w:num w:numId="10">
    <w:abstractNumId w:val="104"/>
  </w:num>
  <w:num w:numId="11">
    <w:abstractNumId w:val="151"/>
  </w:num>
  <w:num w:numId="12">
    <w:abstractNumId w:val="50"/>
  </w:num>
  <w:num w:numId="13">
    <w:abstractNumId w:val="78"/>
  </w:num>
  <w:num w:numId="14">
    <w:abstractNumId w:val="90"/>
  </w:num>
  <w:num w:numId="15">
    <w:abstractNumId w:val="82"/>
  </w:num>
  <w:num w:numId="16">
    <w:abstractNumId w:val="11"/>
  </w:num>
  <w:num w:numId="17">
    <w:abstractNumId w:val="152"/>
  </w:num>
  <w:num w:numId="18">
    <w:abstractNumId w:val="142"/>
  </w:num>
  <w:num w:numId="19">
    <w:abstractNumId w:val="9"/>
  </w:num>
  <w:num w:numId="20">
    <w:abstractNumId w:val="138"/>
  </w:num>
  <w:num w:numId="21">
    <w:abstractNumId w:val="62"/>
  </w:num>
  <w:num w:numId="22">
    <w:abstractNumId w:val="129"/>
  </w:num>
  <w:num w:numId="23">
    <w:abstractNumId w:val="57"/>
  </w:num>
  <w:num w:numId="24">
    <w:abstractNumId w:val="120"/>
  </w:num>
  <w:num w:numId="25">
    <w:abstractNumId w:val="47"/>
  </w:num>
  <w:num w:numId="26">
    <w:abstractNumId w:val="7"/>
  </w:num>
  <w:num w:numId="27">
    <w:abstractNumId w:val="91"/>
  </w:num>
  <w:num w:numId="28">
    <w:abstractNumId w:val="95"/>
  </w:num>
  <w:num w:numId="29">
    <w:abstractNumId w:val="134"/>
  </w:num>
  <w:num w:numId="30">
    <w:abstractNumId w:val="155"/>
  </w:num>
  <w:num w:numId="31">
    <w:abstractNumId w:val="21"/>
  </w:num>
  <w:num w:numId="32">
    <w:abstractNumId w:val="13"/>
  </w:num>
  <w:num w:numId="33">
    <w:abstractNumId w:val="100"/>
  </w:num>
  <w:num w:numId="34">
    <w:abstractNumId w:val="135"/>
  </w:num>
  <w:num w:numId="35">
    <w:abstractNumId w:val="88"/>
  </w:num>
  <w:num w:numId="36">
    <w:abstractNumId w:val="107"/>
  </w:num>
  <w:num w:numId="37">
    <w:abstractNumId w:val="112"/>
  </w:num>
  <w:num w:numId="38">
    <w:abstractNumId w:val="58"/>
  </w:num>
  <w:num w:numId="39">
    <w:abstractNumId w:val="119"/>
  </w:num>
  <w:num w:numId="40">
    <w:abstractNumId w:val="83"/>
  </w:num>
  <w:num w:numId="41">
    <w:abstractNumId w:val="149"/>
  </w:num>
  <w:num w:numId="42">
    <w:abstractNumId w:val="52"/>
  </w:num>
  <w:num w:numId="43">
    <w:abstractNumId w:val="43"/>
  </w:num>
  <w:num w:numId="44">
    <w:abstractNumId w:val="27"/>
  </w:num>
  <w:num w:numId="45">
    <w:abstractNumId w:val="16"/>
  </w:num>
  <w:num w:numId="46">
    <w:abstractNumId w:val="65"/>
  </w:num>
  <w:num w:numId="47">
    <w:abstractNumId w:val="114"/>
  </w:num>
  <w:num w:numId="48">
    <w:abstractNumId w:val="131"/>
  </w:num>
  <w:num w:numId="49">
    <w:abstractNumId w:val="55"/>
  </w:num>
  <w:num w:numId="50">
    <w:abstractNumId w:val="64"/>
  </w:num>
  <w:num w:numId="51">
    <w:abstractNumId w:val="108"/>
  </w:num>
  <w:num w:numId="52">
    <w:abstractNumId w:val="20"/>
  </w:num>
  <w:num w:numId="53">
    <w:abstractNumId w:val="144"/>
  </w:num>
  <w:num w:numId="54">
    <w:abstractNumId w:val="97"/>
  </w:num>
  <w:num w:numId="55">
    <w:abstractNumId w:val="18"/>
  </w:num>
  <w:num w:numId="56">
    <w:abstractNumId w:val="158"/>
  </w:num>
  <w:num w:numId="57">
    <w:abstractNumId w:val="124"/>
  </w:num>
  <w:num w:numId="58">
    <w:abstractNumId w:val="8"/>
  </w:num>
  <w:num w:numId="59">
    <w:abstractNumId w:val="96"/>
  </w:num>
  <w:num w:numId="60">
    <w:abstractNumId w:val="141"/>
  </w:num>
  <w:num w:numId="61">
    <w:abstractNumId w:val="19"/>
  </w:num>
  <w:num w:numId="62">
    <w:abstractNumId w:val="54"/>
  </w:num>
  <w:num w:numId="63">
    <w:abstractNumId w:val="146"/>
  </w:num>
  <w:num w:numId="64">
    <w:abstractNumId w:val="117"/>
  </w:num>
  <w:num w:numId="65">
    <w:abstractNumId w:val="45"/>
  </w:num>
  <w:num w:numId="66">
    <w:abstractNumId w:val="132"/>
  </w:num>
  <w:num w:numId="67">
    <w:abstractNumId w:val="154"/>
  </w:num>
  <w:num w:numId="68">
    <w:abstractNumId w:val="94"/>
  </w:num>
  <w:num w:numId="69">
    <w:abstractNumId w:val="46"/>
  </w:num>
  <w:num w:numId="70">
    <w:abstractNumId w:val="125"/>
  </w:num>
  <w:num w:numId="71">
    <w:abstractNumId w:val="10"/>
  </w:num>
  <w:num w:numId="72">
    <w:abstractNumId w:val="17"/>
  </w:num>
  <w:num w:numId="73">
    <w:abstractNumId w:val="40"/>
  </w:num>
  <w:num w:numId="74">
    <w:abstractNumId w:val="56"/>
  </w:num>
  <w:num w:numId="75">
    <w:abstractNumId w:val="24"/>
  </w:num>
  <w:num w:numId="76">
    <w:abstractNumId w:val="139"/>
  </w:num>
  <w:num w:numId="77">
    <w:abstractNumId w:val="69"/>
  </w:num>
  <w:num w:numId="78">
    <w:abstractNumId w:val="28"/>
  </w:num>
  <w:num w:numId="79">
    <w:abstractNumId w:val="143"/>
  </w:num>
  <w:num w:numId="80">
    <w:abstractNumId w:val="41"/>
  </w:num>
  <w:num w:numId="81">
    <w:abstractNumId w:val="136"/>
  </w:num>
  <w:num w:numId="82">
    <w:abstractNumId w:val="15"/>
  </w:num>
  <w:num w:numId="83">
    <w:abstractNumId w:val="76"/>
  </w:num>
  <w:num w:numId="84">
    <w:abstractNumId w:val="2"/>
  </w:num>
  <w:num w:numId="85">
    <w:abstractNumId w:val="116"/>
  </w:num>
  <w:num w:numId="86">
    <w:abstractNumId w:val="130"/>
  </w:num>
  <w:num w:numId="87">
    <w:abstractNumId w:val="101"/>
  </w:num>
  <w:num w:numId="88">
    <w:abstractNumId w:val="68"/>
  </w:num>
  <w:num w:numId="89">
    <w:abstractNumId w:val="4"/>
  </w:num>
  <w:num w:numId="90">
    <w:abstractNumId w:val="5"/>
  </w:num>
  <w:num w:numId="91">
    <w:abstractNumId w:val="127"/>
  </w:num>
  <w:num w:numId="92">
    <w:abstractNumId w:val="75"/>
  </w:num>
  <w:num w:numId="93">
    <w:abstractNumId w:val="44"/>
  </w:num>
  <w:num w:numId="94">
    <w:abstractNumId w:val="72"/>
  </w:num>
  <w:num w:numId="95">
    <w:abstractNumId w:val="109"/>
  </w:num>
  <w:num w:numId="96">
    <w:abstractNumId w:val="99"/>
  </w:num>
  <w:num w:numId="97">
    <w:abstractNumId w:val="79"/>
  </w:num>
  <w:num w:numId="98">
    <w:abstractNumId w:val="33"/>
  </w:num>
  <w:num w:numId="99">
    <w:abstractNumId w:val="38"/>
  </w:num>
  <w:num w:numId="100">
    <w:abstractNumId w:val="140"/>
  </w:num>
  <w:num w:numId="101">
    <w:abstractNumId w:val="137"/>
  </w:num>
  <w:num w:numId="102">
    <w:abstractNumId w:val="3"/>
  </w:num>
  <w:num w:numId="103">
    <w:abstractNumId w:val="111"/>
  </w:num>
  <w:num w:numId="104">
    <w:abstractNumId w:val="123"/>
  </w:num>
  <w:num w:numId="105">
    <w:abstractNumId w:val="87"/>
  </w:num>
  <w:num w:numId="106">
    <w:abstractNumId w:val="51"/>
  </w:num>
  <w:num w:numId="107">
    <w:abstractNumId w:val="59"/>
  </w:num>
  <w:num w:numId="108">
    <w:abstractNumId w:val="39"/>
  </w:num>
  <w:num w:numId="109">
    <w:abstractNumId w:val="37"/>
  </w:num>
  <w:num w:numId="110">
    <w:abstractNumId w:val="73"/>
  </w:num>
  <w:num w:numId="111">
    <w:abstractNumId w:val="48"/>
  </w:num>
  <w:num w:numId="112">
    <w:abstractNumId w:val="147"/>
  </w:num>
  <w:num w:numId="113">
    <w:abstractNumId w:val="126"/>
  </w:num>
  <w:num w:numId="114">
    <w:abstractNumId w:val="67"/>
  </w:num>
  <w:num w:numId="115">
    <w:abstractNumId w:val="110"/>
  </w:num>
  <w:num w:numId="116">
    <w:abstractNumId w:val="102"/>
  </w:num>
  <w:num w:numId="117">
    <w:abstractNumId w:val="26"/>
  </w:num>
  <w:num w:numId="118">
    <w:abstractNumId w:val="23"/>
  </w:num>
  <w:num w:numId="119">
    <w:abstractNumId w:val="35"/>
  </w:num>
  <w:num w:numId="120">
    <w:abstractNumId w:val="53"/>
  </w:num>
  <w:num w:numId="121">
    <w:abstractNumId w:val="36"/>
  </w:num>
  <w:num w:numId="122">
    <w:abstractNumId w:val="14"/>
  </w:num>
  <w:num w:numId="123">
    <w:abstractNumId w:val="60"/>
  </w:num>
  <w:num w:numId="124">
    <w:abstractNumId w:val="103"/>
  </w:num>
  <w:num w:numId="125">
    <w:abstractNumId w:val="161"/>
  </w:num>
  <w:num w:numId="126">
    <w:abstractNumId w:val="31"/>
  </w:num>
  <w:num w:numId="127">
    <w:abstractNumId w:val="63"/>
  </w:num>
  <w:num w:numId="128">
    <w:abstractNumId w:val="42"/>
  </w:num>
  <w:num w:numId="129">
    <w:abstractNumId w:val="29"/>
  </w:num>
  <w:num w:numId="130">
    <w:abstractNumId w:val="22"/>
  </w:num>
  <w:num w:numId="131">
    <w:abstractNumId w:val="80"/>
  </w:num>
  <w:num w:numId="132">
    <w:abstractNumId w:val="150"/>
  </w:num>
  <w:num w:numId="133">
    <w:abstractNumId w:val="85"/>
  </w:num>
  <w:num w:numId="134">
    <w:abstractNumId w:val="106"/>
  </w:num>
  <w:num w:numId="135">
    <w:abstractNumId w:val="93"/>
  </w:num>
  <w:num w:numId="136">
    <w:abstractNumId w:val="156"/>
  </w:num>
  <w:num w:numId="137">
    <w:abstractNumId w:val="1"/>
  </w:num>
  <w:num w:numId="138">
    <w:abstractNumId w:val="145"/>
  </w:num>
  <w:num w:numId="139">
    <w:abstractNumId w:val="115"/>
  </w:num>
  <w:num w:numId="140">
    <w:abstractNumId w:val="25"/>
  </w:num>
  <w:num w:numId="141">
    <w:abstractNumId w:val="34"/>
  </w:num>
  <w:num w:numId="142">
    <w:abstractNumId w:val="86"/>
  </w:num>
  <w:num w:numId="143">
    <w:abstractNumId w:val="12"/>
  </w:num>
  <w:num w:numId="144">
    <w:abstractNumId w:val="32"/>
  </w:num>
  <w:num w:numId="145">
    <w:abstractNumId w:val="71"/>
  </w:num>
  <w:num w:numId="146">
    <w:abstractNumId w:val="160"/>
  </w:num>
  <w:num w:numId="147">
    <w:abstractNumId w:val="133"/>
  </w:num>
  <w:num w:numId="148">
    <w:abstractNumId w:val="153"/>
  </w:num>
  <w:num w:numId="149">
    <w:abstractNumId w:val="92"/>
  </w:num>
  <w:num w:numId="150">
    <w:abstractNumId w:val="118"/>
  </w:num>
  <w:num w:numId="151">
    <w:abstractNumId w:val="121"/>
  </w:num>
  <w:num w:numId="152">
    <w:abstractNumId w:val="128"/>
  </w:num>
  <w:num w:numId="15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1"/>
  </w:num>
  <w:num w:numId="155">
    <w:abstractNumId w:val="6"/>
  </w:num>
  <w:num w:numId="156">
    <w:abstractNumId w:val="113"/>
  </w:num>
  <w:num w:numId="157">
    <w:abstractNumId w:val="98"/>
  </w:num>
  <w:num w:numId="158">
    <w:abstractNumId w:val="84"/>
  </w:num>
  <w:num w:numId="159">
    <w:abstractNumId w:val="122"/>
  </w:num>
  <w:num w:numId="160">
    <w:abstractNumId w:val="157"/>
  </w:num>
  <w:num w:numId="161">
    <w:abstractNumId w:val="148"/>
  </w:num>
  <w:num w:numId="162">
    <w:abstractNumId w:val="159"/>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efaultTabStop w:val="709"/>
  <w:hyphenationZone w:val="425"/>
  <w:evenAndOddHeaders/>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712"/>
    <w:rsid w:val="000000B7"/>
    <w:rsid w:val="0000048D"/>
    <w:rsid w:val="000004D8"/>
    <w:rsid w:val="000006A8"/>
    <w:rsid w:val="00000C05"/>
    <w:rsid w:val="00000C62"/>
    <w:rsid w:val="00000DD1"/>
    <w:rsid w:val="00000E7E"/>
    <w:rsid w:val="00001087"/>
    <w:rsid w:val="00001399"/>
    <w:rsid w:val="0000144B"/>
    <w:rsid w:val="0000156B"/>
    <w:rsid w:val="00001642"/>
    <w:rsid w:val="000018E2"/>
    <w:rsid w:val="000020C0"/>
    <w:rsid w:val="0000212B"/>
    <w:rsid w:val="000023FA"/>
    <w:rsid w:val="0000247B"/>
    <w:rsid w:val="000025CF"/>
    <w:rsid w:val="000026F2"/>
    <w:rsid w:val="000027B0"/>
    <w:rsid w:val="000027C5"/>
    <w:rsid w:val="0000292D"/>
    <w:rsid w:val="00002A2B"/>
    <w:rsid w:val="0000316B"/>
    <w:rsid w:val="00003326"/>
    <w:rsid w:val="0000341B"/>
    <w:rsid w:val="00003458"/>
    <w:rsid w:val="00003634"/>
    <w:rsid w:val="000036B1"/>
    <w:rsid w:val="00003782"/>
    <w:rsid w:val="000039E0"/>
    <w:rsid w:val="00003B09"/>
    <w:rsid w:val="00003C20"/>
    <w:rsid w:val="00003C88"/>
    <w:rsid w:val="00003DB2"/>
    <w:rsid w:val="00003DEF"/>
    <w:rsid w:val="00003E66"/>
    <w:rsid w:val="000044A1"/>
    <w:rsid w:val="00004DEC"/>
    <w:rsid w:val="00005464"/>
    <w:rsid w:val="000054E5"/>
    <w:rsid w:val="000057B0"/>
    <w:rsid w:val="00005D29"/>
    <w:rsid w:val="00005E1A"/>
    <w:rsid w:val="000060F5"/>
    <w:rsid w:val="000062A0"/>
    <w:rsid w:val="0000662E"/>
    <w:rsid w:val="00006C40"/>
    <w:rsid w:val="00006CB7"/>
    <w:rsid w:val="00006F6E"/>
    <w:rsid w:val="00007216"/>
    <w:rsid w:val="000074BF"/>
    <w:rsid w:val="00007AB8"/>
    <w:rsid w:val="00007B7C"/>
    <w:rsid w:val="00007D83"/>
    <w:rsid w:val="00007DB5"/>
    <w:rsid w:val="00010153"/>
    <w:rsid w:val="000101D3"/>
    <w:rsid w:val="000101DC"/>
    <w:rsid w:val="00010455"/>
    <w:rsid w:val="0001055E"/>
    <w:rsid w:val="0001063D"/>
    <w:rsid w:val="00010E86"/>
    <w:rsid w:val="0001105F"/>
    <w:rsid w:val="00011376"/>
    <w:rsid w:val="00011547"/>
    <w:rsid w:val="0001178C"/>
    <w:rsid w:val="0001184F"/>
    <w:rsid w:val="0001194D"/>
    <w:rsid w:val="00011A1A"/>
    <w:rsid w:val="00011F18"/>
    <w:rsid w:val="000123F2"/>
    <w:rsid w:val="00012722"/>
    <w:rsid w:val="00012D87"/>
    <w:rsid w:val="000130CD"/>
    <w:rsid w:val="0001352B"/>
    <w:rsid w:val="00013665"/>
    <w:rsid w:val="000138A1"/>
    <w:rsid w:val="00013BD9"/>
    <w:rsid w:val="00013C91"/>
    <w:rsid w:val="00013CA6"/>
    <w:rsid w:val="000141A4"/>
    <w:rsid w:val="0001453D"/>
    <w:rsid w:val="000145B5"/>
    <w:rsid w:val="00014656"/>
    <w:rsid w:val="00014BB3"/>
    <w:rsid w:val="00014BE0"/>
    <w:rsid w:val="00014D66"/>
    <w:rsid w:val="00014E4B"/>
    <w:rsid w:val="0001515A"/>
    <w:rsid w:val="00015245"/>
    <w:rsid w:val="000154A5"/>
    <w:rsid w:val="00015C8B"/>
    <w:rsid w:val="00016273"/>
    <w:rsid w:val="000164B9"/>
    <w:rsid w:val="000164C4"/>
    <w:rsid w:val="00016578"/>
    <w:rsid w:val="000166E1"/>
    <w:rsid w:val="00016A41"/>
    <w:rsid w:val="00016E5D"/>
    <w:rsid w:val="000172AB"/>
    <w:rsid w:val="000177B9"/>
    <w:rsid w:val="0001790C"/>
    <w:rsid w:val="000202B7"/>
    <w:rsid w:val="000202BD"/>
    <w:rsid w:val="000202E3"/>
    <w:rsid w:val="0002074D"/>
    <w:rsid w:val="000208B6"/>
    <w:rsid w:val="00020A25"/>
    <w:rsid w:val="00020A57"/>
    <w:rsid w:val="0002115F"/>
    <w:rsid w:val="00021285"/>
    <w:rsid w:val="00021590"/>
    <w:rsid w:val="0002237A"/>
    <w:rsid w:val="00022418"/>
    <w:rsid w:val="000224DD"/>
    <w:rsid w:val="000226C3"/>
    <w:rsid w:val="0002272C"/>
    <w:rsid w:val="00022DA6"/>
    <w:rsid w:val="00022FB3"/>
    <w:rsid w:val="00023083"/>
    <w:rsid w:val="0002334A"/>
    <w:rsid w:val="0002364C"/>
    <w:rsid w:val="00023709"/>
    <w:rsid w:val="000238A9"/>
    <w:rsid w:val="00023DE2"/>
    <w:rsid w:val="00023E54"/>
    <w:rsid w:val="00023E83"/>
    <w:rsid w:val="00023F38"/>
    <w:rsid w:val="00024051"/>
    <w:rsid w:val="0002419A"/>
    <w:rsid w:val="0002428C"/>
    <w:rsid w:val="000247BD"/>
    <w:rsid w:val="00024A2D"/>
    <w:rsid w:val="00024DB8"/>
    <w:rsid w:val="00024E2F"/>
    <w:rsid w:val="000250E4"/>
    <w:rsid w:val="00025565"/>
    <w:rsid w:val="0002560A"/>
    <w:rsid w:val="00025835"/>
    <w:rsid w:val="00025CB6"/>
    <w:rsid w:val="00025FBF"/>
    <w:rsid w:val="0002610B"/>
    <w:rsid w:val="000263BA"/>
    <w:rsid w:val="00026572"/>
    <w:rsid w:val="000267EE"/>
    <w:rsid w:val="000269AC"/>
    <w:rsid w:val="00026A8F"/>
    <w:rsid w:val="00026AB7"/>
    <w:rsid w:val="00026CE8"/>
    <w:rsid w:val="00026D8D"/>
    <w:rsid w:val="00026F3B"/>
    <w:rsid w:val="00026F6A"/>
    <w:rsid w:val="00027313"/>
    <w:rsid w:val="000275F7"/>
    <w:rsid w:val="0002771E"/>
    <w:rsid w:val="00027990"/>
    <w:rsid w:val="00027A74"/>
    <w:rsid w:val="00027ADB"/>
    <w:rsid w:val="00027BEA"/>
    <w:rsid w:val="00027CBA"/>
    <w:rsid w:val="00027EE9"/>
    <w:rsid w:val="00027EF2"/>
    <w:rsid w:val="0003041D"/>
    <w:rsid w:val="000304F3"/>
    <w:rsid w:val="000305BD"/>
    <w:rsid w:val="00030739"/>
    <w:rsid w:val="00030FFF"/>
    <w:rsid w:val="0003143B"/>
    <w:rsid w:val="000314E1"/>
    <w:rsid w:val="00031520"/>
    <w:rsid w:val="000315D1"/>
    <w:rsid w:val="000318AD"/>
    <w:rsid w:val="00031AEE"/>
    <w:rsid w:val="00031CB0"/>
    <w:rsid w:val="00031FB5"/>
    <w:rsid w:val="00032396"/>
    <w:rsid w:val="00032864"/>
    <w:rsid w:val="00032D43"/>
    <w:rsid w:val="00032DA3"/>
    <w:rsid w:val="00032F83"/>
    <w:rsid w:val="00033395"/>
    <w:rsid w:val="00033768"/>
    <w:rsid w:val="000338AD"/>
    <w:rsid w:val="0003392D"/>
    <w:rsid w:val="0003395E"/>
    <w:rsid w:val="00033AA5"/>
    <w:rsid w:val="00033AB2"/>
    <w:rsid w:val="00033F3D"/>
    <w:rsid w:val="00034251"/>
    <w:rsid w:val="000344D6"/>
    <w:rsid w:val="0003453A"/>
    <w:rsid w:val="000346C7"/>
    <w:rsid w:val="00034AC7"/>
    <w:rsid w:val="00034E1C"/>
    <w:rsid w:val="00034E7D"/>
    <w:rsid w:val="0003518A"/>
    <w:rsid w:val="000355E7"/>
    <w:rsid w:val="00035C88"/>
    <w:rsid w:val="00035D94"/>
    <w:rsid w:val="00035EDD"/>
    <w:rsid w:val="00036174"/>
    <w:rsid w:val="00036256"/>
    <w:rsid w:val="00036409"/>
    <w:rsid w:val="00036411"/>
    <w:rsid w:val="000365BC"/>
    <w:rsid w:val="00036D32"/>
    <w:rsid w:val="00036E09"/>
    <w:rsid w:val="00037737"/>
    <w:rsid w:val="00037855"/>
    <w:rsid w:val="000379DE"/>
    <w:rsid w:val="00037A93"/>
    <w:rsid w:val="0004013C"/>
    <w:rsid w:val="00040295"/>
    <w:rsid w:val="0004033B"/>
    <w:rsid w:val="000406A8"/>
    <w:rsid w:val="00041083"/>
    <w:rsid w:val="0004125C"/>
    <w:rsid w:val="000414D7"/>
    <w:rsid w:val="00041A7B"/>
    <w:rsid w:val="00041AD4"/>
    <w:rsid w:val="00041CFD"/>
    <w:rsid w:val="00042076"/>
    <w:rsid w:val="00042227"/>
    <w:rsid w:val="0004226E"/>
    <w:rsid w:val="000424A4"/>
    <w:rsid w:val="00042509"/>
    <w:rsid w:val="00042713"/>
    <w:rsid w:val="0004281C"/>
    <w:rsid w:val="0004288A"/>
    <w:rsid w:val="00042C6C"/>
    <w:rsid w:val="000430E9"/>
    <w:rsid w:val="00043275"/>
    <w:rsid w:val="00043578"/>
    <w:rsid w:val="00043B27"/>
    <w:rsid w:val="00043FFA"/>
    <w:rsid w:val="000443B2"/>
    <w:rsid w:val="00044B82"/>
    <w:rsid w:val="00044BE0"/>
    <w:rsid w:val="00044C14"/>
    <w:rsid w:val="00044DB7"/>
    <w:rsid w:val="00044F6F"/>
    <w:rsid w:val="000450CB"/>
    <w:rsid w:val="000451B8"/>
    <w:rsid w:val="000451E6"/>
    <w:rsid w:val="0004538B"/>
    <w:rsid w:val="00045519"/>
    <w:rsid w:val="00045583"/>
    <w:rsid w:val="0004565B"/>
    <w:rsid w:val="00045A6E"/>
    <w:rsid w:val="00045B71"/>
    <w:rsid w:val="00045C97"/>
    <w:rsid w:val="00045CDC"/>
    <w:rsid w:val="00045CFD"/>
    <w:rsid w:val="00045D65"/>
    <w:rsid w:val="00045DA0"/>
    <w:rsid w:val="00045DF5"/>
    <w:rsid w:val="00046048"/>
    <w:rsid w:val="0004614B"/>
    <w:rsid w:val="000463A1"/>
    <w:rsid w:val="000467DC"/>
    <w:rsid w:val="00046E41"/>
    <w:rsid w:val="00046F7E"/>
    <w:rsid w:val="00047A37"/>
    <w:rsid w:val="00047C66"/>
    <w:rsid w:val="00050032"/>
    <w:rsid w:val="000501C6"/>
    <w:rsid w:val="0005036C"/>
    <w:rsid w:val="0005050E"/>
    <w:rsid w:val="00050CDC"/>
    <w:rsid w:val="00050D32"/>
    <w:rsid w:val="00050EB4"/>
    <w:rsid w:val="00051079"/>
    <w:rsid w:val="000517F5"/>
    <w:rsid w:val="00051813"/>
    <w:rsid w:val="00051900"/>
    <w:rsid w:val="000519D7"/>
    <w:rsid w:val="00051A01"/>
    <w:rsid w:val="00051B26"/>
    <w:rsid w:val="00051E53"/>
    <w:rsid w:val="0005272F"/>
    <w:rsid w:val="0005288E"/>
    <w:rsid w:val="00052973"/>
    <w:rsid w:val="0005298E"/>
    <w:rsid w:val="00052BEE"/>
    <w:rsid w:val="00052C04"/>
    <w:rsid w:val="00052D17"/>
    <w:rsid w:val="00052F08"/>
    <w:rsid w:val="00053184"/>
    <w:rsid w:val="00053611"/>
    <w:rsid w:val="000538EE"/>
    <w:rsid w:val="00053AA2"/>
    <w:rsid w:val="00053BDF"/>
    <w:rsid w:val="00053FDB"/>
    <w:rsid w:val="000545BC"/>
    <w:rsid w:val="000551C1"/>
    <w:rsid w:val="000552C5"/>
    <w:rsid w:val="000554F5"/>
    <w:rsid w:val="0005566E"/>
    <w:rsid w:val="00055A75"/>
    <w:rsid w:val="00055A8E"/>
    <w:rsid w:val="00055FD3"/>
    <w:rsid w:val="000560B2"/>
    <w:rsid w:val="00056455"/>
    <w:rsid w:val="000566EE"/>
    <w:rsid w:val="00056B0C"/>
    <w:rsid w:val="00056BE2"/>
    <w:rsid w:val="000571AD"/>
    <w:rsid w:val="00057356"/>
    <w:rsid w:val="0005736B"/>
    <w:rsid w:val="00057C09"/>
    <w:rsid w:val="00057E3A"/>
    <w:rsid w:val="00057F84"/>
    <w:rsid w:val="00057FF6"/>
    <w:rsid w:val="0006003D"/>
    <w:rsid w:val="00060181"/>
    <w:rsid w:val="000607D5"/>
    <w:rsid w:val="0006086A"/>
    <w:rsid w:val="00060A5F"/>
    <w:rsid w:val="00060B64"/>
    <w:rsid w:val="00061301"/>
    <w:rsid w:val="00061429"/>
    <w:rsid w:val="000614C8"/>
    <w:rsid w:val="00061A7E"/>
    <w:rsid w:val="00061B6B"/>
    <w:rsid w:val="0006239A"/>
    <w:rsid w:val="00062794"/>
    <w:rsid w:val="00062E50"/>
    <w:rsid w:val="00062EBC"/>
    <w:rsid w:val="000632CB"/>
    <w:rsid w:val="0006337C"/>
    <w:rsid w:val="000633CF"/>
    <w:rsid w:val="000634B6"/>
    <w:rsid w:val="00063956"/>
    <w:rsid w:val="000639C8"/>
    <w:rsid w:val="00063A76"/>
    <w:rsid w:val="00063BD9"/>
    <w:rsid w:val="00063C74"/>
    <w:rsid w:val="00063E62"/>
    <w:rsid w:val="00063FE4"/>
    <w:rsid w:val="000640BC"/>
    <w:rsid w:val="00064118"/>
    <w:rsid w:val="000642F3"/>
    <w:rsid w:val="0006459F"/>
    <w:rsid w:val="00064706"/>
    <w:rsid w:val="000647DA"/>
    <w:rsid w:val="000649F7"/>
    <w:rsid w:val="0006530D"/>
    <w:rsid w:val="00065356"/>
    <w:rsid w:val="00065442"/>
    <w:rsid w:val="00065B71"/>
    <w:rsid w:val="00065D8F"/>
    <w:rsid w:val="00065DF5"/>
    <w:rsid w:val="00065F7C"/>
    <w:rsid w:val="00066008"/>
    <w:rsid w:val="00066775"/>
    <w:rsid w:val="00066893"/>
    <w:rsid w:val="00066CD1"/>
    <w:rsid w:val="00067149"/>
    <w:rsid w:val="000672C3"/>
    <w:rsid w:val="00067474"/>
    <w:rsid w:val="0006749A"/>
    <w:rsid w:val="00067CED"/>
    <w:rsid w:val="0007002E"/>
    <w:rsid w:val="00070098"/>
    <w:rsid w:val="000702ED"/>
    <w:rsid w:val="0007042A"/>
    <w:rsid w:val="00070966"/>
    <w:rsid w:val="000709FE"/>
    <w:rsid w:val="00070AF3"/>
    <w:rsid w:val="00070CF5"/>
    <w:rsid w:val="00070D46"/>
    <w:rsid w:val="00070EF8"/>
    <w:rsid w:val="0007155D"/>
    <w:rsid w:val="0007160B"/>
    <w:rsid w:val="00071879"/>
    <w:rsid w:val="00071982"/>
    <w:rsid w:val="00071D68"/>
    <w:rsid w:val="00071DCB"/>
    <w:rsid w:val="000723F0"/>
    <w:rsid w:val="00072412"/>
    <w:rsid w:val="00072418"/>
    <w:rsid w:val="00072546"/>
    <w:rsid w:val="00072B58"/>
    <w:rsid w:val="00072CEF"/>
    <w:rsid w:val="00072D05"/>
    <w:rsid w:val="00073089"/>
    <w:rsid w:val="00073225"/>
    <w:rsid w:val="00073A8C"/>
    <w:rsid w:val="00073DD0"/>
    <w:rsid w:val="000742D3"/>
    <w:rsid w:val="000744F9"/>
    <w:rsid w:val="00074546"/>
    <w:rsid w:val="00074B3C"/>
    <w:rsid w:val="00074FDF"/>
    <w:rsid w:val="00075031"/>
    <w:rsid w:val="000753D5"/>
    <w:rsid w:val="00075B8E"/>
    <w:rsid w:val="00075CDF"/>
    <w:rsid w:val="00075EF3"/>
    <w:rsid w:val="0007619B"/>
    <w:rsid w:val="00076504"/>
    <w:rsid w:val="00076547"/>
    <w:rsid w:val="0007686B"/>
    <w:rsid w:val="00076A52"/>
    <w:rsid w:val="00076BE9"/>
    <w:rsid w:val="00076EF8"/>
    <w:rsid w:val="00077471"/>
    <w:rsid w:val="00077882"/>
    <w:rsid w:val="00077A2C"/>
    <w:rsid w:val="00077CC8"/>
    <w:rsid w:val="00077EA4"/>
    <w:rsid w:val="000803FF"/>
    <w:rsid w:val="000808F8"/>
    <w:rsid w:val="000809D5"/>
    <w:rsid w:val="00080A67"/>
    <w:rsid w:val="00080ACD"/>
    <w:rsid w:val="00080DD8"/>
    <w:rsid w:val="00080EBD"/>
    <w:rsid w:val="00080F33"/>
    <w:rsid w:val="00081353"/>
    <w:rsid w:val="000815A9"/>
    <w:rsid w:val="00081600"/>
    <w:rsid w:val="000818FC"/>
    <w:rsid w:val="00081B42"/>
    <w:rsid w:val="00081C2C"/>
    <w:rsid w:val="00081F5A"/>
    <w:rsid w:val="00081FC6"/>
    <w:rsid w:val="00082030"/>
    <w:rsid w:val="000823BC"/>
    <w:rsid w:val="00082809"/>
    <w:rsid w:val="00082844"/>
    <w:rsid w:val="00082AAF"/>
    <w:rsid w:val="00083292"/>
    <w:rsid w:val="00083733"/>
    <w:rsid w:val="00083807"/>
    <w:rsid w:val="00083906"/>
    <w:rsid w:val="00083DC2"/>
    <w:rsid w:val="00083DE0"/>
    <w:rsid w:val="00084046"/>
    <w:rsid w:val="000844C2"/>
    <w:rsid w:val="00084716"/>
    <w:rsid w:val="00084BB5"/>
    <w:rsid w:val="00084E01"/>
    <w:rsid w:val="000855F3"/>
    <w:rsid w:val="0008570F"/>
    <w:rsid w:val="00085A1C"/>
    <w:rsid w:val="00085E37"/>
    <w:rsid w:val="00086090"/>
    <w:rsid w:val="00086663"/>
    <w:rsid w:val="000879ED"/>
    <w:rsid w:val="00087A5C"/>
    <w:rsid w:val="00087D17"/>
    <w:rsid w:val="00087EF9"/>
    <w:rsid w:val="0009029B"/>
    <w:rsid w:val="00090967"/>
    <w:rsid w:val="00090C09"/>
    <w:rsid w:val="000910DA"/>
    <w:rsid w:val="00091281"/>
    <w:rsid w:val="00091579"/>
    <w:rsid w:val="00091823"/>
    <w:rsid w:val="00091842"/>
    <w:rsid w:val="000919B3"/>
    <w:rsid w:val="00091BFF"/>
    <w:rsid w:val="000923D7"/>
    <w:rsid w:val="000927A5"/>
    <w:rsid w:val="000928C7"/>
    <w:rsid w:val="00092D85"/>
    <w:rsid w:val="0009336D"/>
    <w:rsid w:val="0009343C"/>
    <w:rsid w:val="00093548"/>
    <w:rsid w:val="000936F5"/>
    <w:rsid w:val="000939C6"/>
    <w:rsid w:val="00093A95"/>
    <w:rsid w:val="00094536"/>
    <w:rsid w:val="000949F1"/>
    <w:rsid w:val="00094C90"/>
    <w:rsid w:val="00094E29"/>
    <w:rsid w:val="00094E50"/>
    <w:rsid w:val="0009564F"/>
    <w:rsid w:val="000957A8"/>
    <w:rsid w:val="00095852"/>
    <w:rsid w:val="000959F7"/>
    <w:rsid w:val="00095A86"/>
    <w:rsid w:val="00095BE0"/>
    <w:rsid w:val="00095EC6"/>
    <w:rsid w:val="00095F79"/>
    <w:rsid w:val="000962AA"/>
    <w:rsid w:val="00096855"/>
    <w:rsid w:val="00096B76"/>
    <w:rsid w:val="00096CC6"/>
    <w:rsid w:val="00096F28"/>
    <w:rsid w:val="000970F6"/>
    <w:rsid w:val="00097226"/>
    <w:rsid w:val="000972DA"/>
    <w:rsid w:val="0009747C"/>
    <w:rsid w:val="0009765C"/>
    <w:rsid w:val="00097779"/>
    <w:rsid w:val="000977D5"/>
    <w:rsid w:val="0009782E"/>
    <w:rsid w:val="00097A29"/>
    <w:rsid w:val="00097BB1"/>
    <w:rsid w:val="00097CE1"/>
    <w:rsid w:val="00097E70"/>
    <w:rsid w:val="000A008A"/>
    <w:rsid w:val="000A016C"/>
    <w:rsid w:val="000A05A6"/>
    <w:rsid w:val="000A05D7"/>
    <w:rsid w:val="000A0A5A"/>
    <w:rsid w:val="000A0D34"/>
    <w:rsid w:val="000A0D9A"/>
    <w:rsid w:val="000A0E4A"/>
    <w:rsid w:val="000A10BE"/>
    <w:rsid w:val="000A11D2"/>
    <w:rsid w:val="000A1CC5"/>
    <w:rsid w:val="000A1E2C"/>
    <w:rsid w:val="000A1E42"/>
    <w:rsid w:val="000A1F34"/>
    <w:rsid w:val="000A23A5"/>
    <w:rsid w:val="000A24AA"/>
    <w:rsid w:val="000A26CF"/>
    <w:rsid w:val="000A2A35"/>
    <w:rsid w:val="000A2BFE"/>
    <w:rsid w:val="000A2EED"/>
    <w:rsid w:val="000A33F8"/>
    <w:rsid w:val="000A35A9"/>
    <w:rsid w:val="000A35B3"/>
    <w:rsid w:val="000A3A2F"/>
    <w:rsid w:val="000A3AD8"/>
    <w:rsid w:val="000A3B5B"/>
    <w:rsid w:val="000A3B76"/>
    <w:rsid w:val="000A3CDD"/>
    <w:rsid w:val="000A3E58"/>
    <w:rsid w:val="000A43C0"/>
    <w:rsid w:val="000A451A"/>
    <w:rsid w:val="000A457C"/>
    <w:rsid w:val="000A4DF5"/>
    <w:rsid w:val="000A5442"/>
    <w:rsid w:val="000A5864"/>
    <w:rsid w:val="000A5D0F"/>
    <w:rsid w:val="000A65EF"/>
    <w:rsid w:val="000A707E"/>
    <w:rsid w:val="000A7154"/>
    <w:rsid w:val="000A792D"/>
    <w:rsid w:val="000A7975"/>
    <w:rsid w:val="000A7ADE"/>
    <w:rsid w:val="000A7B09"/>
    <w:rsid w:val="000B011C"/>
    <w:rsid w:val="000B01BA"/>
    <w:rsid w:val="000B05A4"/>
    <w:rsid w:val="000B071F"/>
    <w:rsid w:val="000B0CC0"/>
    <w:rsid w:val="000B1012"/>
    <w:rsid w:val="000B152E"/>
    <w:rsid w:val="000B1AE3"/>
    <w:rsid w:val="000B2379"/>
    <w:rsid w:val="000B330A"/>
    <w:rsid w:val="000B33BC"/>
    <w:rsid w:val="000B34EC"/>
    <w:rsid w:val="000B37B7"/>
    <w:rsid w:val="000B3868"/>
    <w:rsid w:val="000B38CF"/>
    <w:rsid w:val="000B3BE6"/>
    <w:rsid w:val="000B3DAA"/>
    <w:rsid w:val="000B3E23"/>
    <w:rsid w:val="000B45BB"/>
    <w:rsid w:val="000B4E62"/>
    <w:rsid w:val="000B4FF3"/>
    <w:rsid w:val="000B5056"/>
    <w:rsid w:val="000B55DA"/>
    <w:rsid w:val="000B566F"/>
    <w:rsid w:val="000B56C7"/>
    <w:rsid w:val="000B5A70"/>
    <w:rsid w:val="000B5C80"/>
    <w:rsid w:val="000B5D26"/>
    <w:rsid w:val="000B6107"/>
    <w:rsid w:val="000B6141"/>
    <w:rsid w:val="000B6442"/>
    <w:rsid w:val="000B658D"/>
    <w:rsid w:val="000B6930"/>
    <w:rsid w:val="000B6A86"/>
    <w:rsid w:val="000B752B"/>
    <w:rsid w:val="000B7647"/>
    <w:rsid w:val="000B7870"/>
    <w:rsid w:val="000B79AB"/>
    <w:rsid w:val="000B7C29"/>
    <w:rsid w:val="000B7D7E"/>
    <w:rsid w:val="000B7EBE"/>
    <w:rsid w:val="000C00B8"/>
    <w:rsid w:val="000C0100"/>
    <w:rsid w:val="000C0304"/>
    <w:rsid w:val="000C032A"/>
    <w:rsid w:val="000C0A6B"/>
    <w:rsid w:val="000C0AE2"/>
    <w:rsid w:val="000C0B92"/>
    <w:rsid w:val="000C0C30"/>
    <w:rsid w:val="000C0E09"/>
    <w:rsid w:val="000C0E9B"/>
    <w:rsid w:val="000C12FF"/>
    <w:rsid w:val="000C1437"/>
    <w:rsid w:val="000C1442"/>
    <w:rsid w:val="000C14BB"/>
    <w:rsid w:val="000C1579"/>
    <w:rsid w:val="000C15A5"/>
    <w:rsid w:val="000C15CE"/>
    <w:rsid w:val="000C1782"/>
    <w:rsid w:val="000C1986"/>
    <w:rsid w:val="000C1B0B"/>
    <w:rsid w:val="000C1BA1"/>
    <w:rsid w:val="000C1D4D"/>
    <w:rsid w:val="000C2782"/>
    <w:rsid w:val="000C2B1D"/>
    <w:rsid w:val="000C2D21"/>
    <w:rsid w:val="000C2EA6"/>
    <w:rsid w:val="000C2F59"/>
    <w:rsid w:val="000C3759"/>
    <w:rsid w:val="000C3808"/>
    <w:rsid w:val="000C3876"/>
    <w:rsid w:val="000C3A4E"/>
    <w:rsid w:val="000C3A9E"/>
    <w:rsid w:val="000C3FCB"/>
    <w:rsid w:val="000C45C5"/>
    <w:rsid w:val="000C45DA"/>
    <w:rsid w:val="000C465E"/>
    <w:rsid w:val="000C46A3"/>
    <w:rsid w:val="000C4835"/>
    <w:rsid w:val="000C483D"/>
    <w:rsid w:val="000C4E35"/>
    <w:rsid w:val="000C5114"/>
    <w:rsid w:val="000C52B1"/>
    <w:rsid w:val="000C54F9"/>
    <w:rsid w:val="000C57F3"/>
    <w:rsid w:val="000C5EDA"/>
    <w:rsid w:val="000C6210"/>
    <w:rsid w:val="000C623A"/>
    <w:rsid w:val="000C6369"/>
    <w:rsid w:val="000C6496"/>
    <w:rsid w:val="000C68AD"/>
    <w:rsid w:val="000C6A94"/>
    <w:rsid w:val="000C6BD8"/>
    <w:rsid w:val="000C6F42"/>
    <w:rsid w:val="000C6F65"/>
    <w:rsid w:val="000C6F90"/>
    <w:rsid w:val="000C70FC"/>
    <w:rsid w:val="000C7CAE"/>
    <w:rsid w:val="000D01D4"/>
    <w:rsid w:val="000D0563"/>
    <w:rsid w:val="000D066C"/>
    <w:rsid w:val="000D0A78"/>
    <w:rsid w:val="000D0DA0"/>
    <w:rsid w:val="000D0FDE"/>
    <w:rsid w:val="000D1320"/>
    <w:rsid w:val="000D13B1"/>
    <w:rsid w:val="000D13F8"/>
    <w:rsid w:val="000D164F"/>
    <w:rsid w:val="000D1A1E"/>
    <w:rsid w:val="000D1A80"/>
    <w:rsid w:val="000D1AC2"/>
    <w:rsid w:val="000D1C90"/>
    <w:rsid w:val="000D1CF7"/>
    <w:rsid w:val="000D2122"/>
    <w:rsid w:val="000D23DA"/>
    <w:rsid w:val="000D243D"/>
    <w:rsid w:val="000D2537"/>
    <w:rsid w:val="000D2842"/>
    <w:rsid w:val="000D29E3"/>
    <w:rsid w:val="000D29F9"/>
    <w:rsid w:val="000D2D25"/>
    <w:rsid w:val="000D2F79"/>
    <w:rsid w:val="000D2FB1"/>
    <w:rsid w:val="000D36BB"/>
    <w:rsid w:val="000D3947"/>
    <w:rsid w:val="000D39D9"/>
    <w:rsid w:val="000D3B66"/>
    <w:rsid w:val="000D3ED7"/>
    <w:rsid w:val="000D3F85"/>
    <w:rsid w:val="000D3FD0"/>
    <w:rsid w:val="000D40FF"/>
    <w:rsid w:val="000D45DB"/>
    <w:rsid w:val="000D46FC"/>
    <w:rsid w:val="000D4751"/>
    <w:rsid w:val="000D4A15"/>
    <w:rsid w:val="000D4ED9"/>
    <w:rsid w:val="000D52E3"/>
    <w:rsid w:val="000D533A"/>
    <w:rsid w:val="000D55DA"/>
    <w:rsid w:val="000D56AB"/>
    <w:rsid w:val="000D5DA6"/>
    <w:rsid w:val="000D5F42"/>
    <w:rsid w:val="000D5F5A"/>
    <w:rsid w:val="000D5F62"/>
    <w:rsid w:val="000D5FC3"/>
    <w:rsid w:val="000D62A2"/>
    <w:rsid w:val="000D63CF"/>
    <w:rsid w:val="000D67B8"/>
    <w:rsid w:val="000D6884"/>
    <w:rsid w:val="000D6984"/>
    <w:rsid w:val="000D6A74"/>
    <w:rsid w:val="000D6E89"/>
    <w:rsid w:val="000D6F28"/>
    <w:rsid w:val="000D70F7"/>
    <w:rsid w:val="000D744D"/>
    <w:rsid w:val="000D7B94"/>
    <w:rsid w:val="000D7C9A"/>
    <w:rsid w:val="000D7CBB"/>
    <w:rsid w:val="000D7E83"/>
    <w:rsid w:val="000D7F11"/>
    <w:rsid w:val="000E01B8"/>
    <w:rsid w:val="000E03DC"/>
    <w:rsid w:val="000E0491"/>
    <w:rsid w:val="000E079A"/>
    <w:rsid w:val="000E0865"/>
    <w:rsid w:val="000E0908"/>
    <w:rsid w:val="000E0E0E"/>
    <w:rsid w:val="000E1299"/>
    <w:rsid w:val="000E12A5"/>
    <w:rsid w:val="000E1610"/>
    <w:rsid w:val="000E1B60"/>
    <w:rsid w:val="000E1BE7"/>
    <w:rsid w:val="000E1D83"/>
    <w:rsid w:val="000E1F38"/>
    <w:rsid w:val="000E1FAB"/>
    <w:rsid w:val="000E1FF4"/>
    <w:rsid w:val="000E2007"/>
    <w:rsid w:val="000E215D"/>
    <w:rsid w:val="000E2246"/>
    <w:rsid w:val="000E2313"/>
    <w:rsid w:val="000E2327"/>
    <w:rsid w:val="000E2581"/>
    <w:rsid w:val="000E260E"/>
    <w:rsid w:val="000E2645"/>
    <w:rsid w:val="000E2AFF"/>
    <w:rsid w:val="000E2C3A"/>
    <w:rsid w:val="000E2E5E"/>
    <w:rsid w:val="000E3246"/>
    <w:rsid w:val="000E357B"/>
    <w:rsid w:val="000E3721"/>
    <w:rsid w:val="000E3924"/>
    <w:rsid w:val="000E3F27"/>
    <w:rsid w:val="000E5196"/>
    <w:rsid w:val="000E5609"/>
    <w:rsid w:val="000E5AA8"/>
    <w:rsid w:val="000E5D03"/>
    <w:rsid w:val="000E5D1A"/>
    <w:rsid w:val="000E652C"/>
    <w:rsid w:val="000E65C3"/>
    <w:rsid w:val="000E7141"/>
    <w:rsid w:val="000E7521"/>
    <w:rsid w:val="000E7622"/>
    <w:rsid w:val="000E78EB"/>
    <w:rsid w:val="000E7A33"/>
    <w:rsid w:val="000E7AED"/>
    <w:rsid w:val="000E7C4F"/>
    <w:rsid w:val="000E7E8D"/>
    <w:rsid w:val="000F0588"/>
    <w:rsid w:val="000F0808"/>
    <w:rsid w:val="000F0B75"/>
    <w:rsid w:val="000F0E76"/>
    <w:rsid w:val="000F0E83"/>
    <w:rsid w:val="000F1588"/>
    <w:rsid w:val="000F1BDB"/>
    <w:rsid w:val="000F2985"/>
    <w:rsid w:val="000F2EF2"/>
    <w:rsid w:val="000F34B8"/>
    <w:rsid w:val="000F3609"/>
    <w:rsid w:val="000F3637"/>
    <w:rsid w:val="000F36E1"/>
    <w:rsid w:val="000F39FD"/>
    <w:rsid w:val="000F3B45"/>
    <w:rsid w:val="000F3BDA"/>
    <w:rsid w:val="000F3C3C"/>
    <w:rsid w:val="000F3D94"/>
    <w:rsid w:val="000F3DFF"/>
    <w:rsid w:val="000F3E26"/>
    <w:rsid w:val="000F4429"/>
    <w:rsid w:val="000F443E"/>
    <w:rsid w:val="000F480A"/>
    <w:rsid w:val="000F4D1A"/>
    <w:rsid w:val="000F4F8F"/>
    <w:rsid w:val="000F5373"/>
    <w:rsid w:val="000F53F1"/>
    <w:rsid w:val="000F54B0"/>
    <w:rsid w:val="000F5760"/>
    <w:rsid w:val="000F603D"/>
    <w:rsid w:val="000F61CE"/>
    <w:rsid w:val="000F688C"/>
    <w:rsid w:val="000F6B10"/>
    <w:rsid w:val="000F6C82"/>
    <w:rsid w:val="000F6DF2"/>
    <w:rsid w:val="000F7020"/>
    <w:rsid w:val="000F76F8"/>
    <w:rsid w:val="000F7751"/>
    <w:rsid w:val="000F7868"/>
    <w:rsid w:val="000F7876"/>
    <w:rsid w:val="000F7AF6"/>
    <w:rsid w:val="0010001E"/>
    <w:rsid w:val="00100088"/>
    <w:rsid w:val="001005A1"/>
    <w:rsid w:val="001008D8"/>
    <w:rsid w:val="00100C49"/>
    <w:rsid w:val="00100E5A"/>
    <w:rsid w:val="001013F4"/>
    <w:rsid w:val="001014AC"/>
    <w:rsid w:val="00101A3F"/>
    <w:rsid w:val="00101ED7"/>
    <w:rsid w:val="00101F8C"/>
    <w:rsid w:val="0010230E"/>
    <w:rsid w:val="001023AC"/>
    <w:rsid w:val="001024B3"/>
    <w:rsid w:val="00102798"/>
    <w:rsid w:val="00102D2D"/>
    <w:rsid w:val="001032D1"/>
    <w:rsid w:val="00103667"/>
    <w:rsid w:val="0010370C"/>
    <w:rsid w:val="00103BBF"/>
    <w:rsid w:val="0010420B"/>
    <w:rsid w:val="0010427C"/>
    <w:rsid w:val="00104518"/>
    <w:rsid w:val="00104E14"/>
    <w:rsid w:val="00104EC1"/>
    <w:rsid w:val="00104F25"/>
    <w:rsid w:val="00105108"/>
    <w:rsid w:val="001052D0"/>
    <w:rsid w:val="0010560C"/>
    <w:rsid w:val="001058C5"/>
    <w:rsid w:val="001059B4"/>
    <w:rsid w:val="00105A89"/>
    <w:rsid w:val="00105BB8"/>
    <w:rsid w:val="00105CEF"/>
    <w:rsid w:val="00105DC4"/>
    <w:rsid w:val="00105F54"/>
    <w:rsid w:val="00106115"/>
    <w:rsid w:val="001065F6"/>
    <w:rsid w:val="001069B2"/>
    <w:rsid w:val="00106CEB"/>
    <w:rsid w:val="00106DD2"/>
    <w:rsid w:val="0010710D"/>
    <w:rsid w:val="0010733E"/>
    <w:rsid w:val="0010759D"/>
    <w:rsid w:val="001076B2"/>
    <w:rsid w:val="0010790D"/>
    <w:rsid w:val="00107931"/>
    <w:rsid w:val="00107AAE"/>
    <w:rsid w:val="00107AD3"/>
    <w:rsid w:val="00110162"/>
    <w:rsid w:val="001103D7"/>
    <w:rsid w:val="00110441"/>
    <w:rsid w:val="001108EF"/>
    <w:rsid w:val="001109FE"/>
    <w:rsid w:val="00110BA0"/>
    <w:rsid w:val="00110C49"/>
    <w:rsid w:val="00110E69"/>
    <w:rsid w:val="0011120E"/>
    <w:rsid w:val="00111306"/>
    <w:rsid w:val="00111564"/>
    <w:rsid w:val="001115F5"/>
    <w:rsid w:val="001116EC"/>
    <w:rsid w:val="001116FD"/>
    <w:rsid w:val="0011175C"/>
    <w:rsid w:val="00111944"/>
    <w:rsid w:val="00111A5E"/>
    <w:rsid w:val="00111B06"/>
    <w:rsid w:val="00111DC9"/>
    <w:rsid w:val="00111EDB"/>
    <w:rsid w:val="00112155"/>
    <w:rsid w:val="0011231D"/>
    <w:rsid w:val="00112576"/>
    <w:rsid w:val="001125D1"/>
    <w:rsid w:val="00112844"/>
    <w:rsid w:val="00112EA3"/>
    <w:rsid w:val="0011315B"/>
    <w:rsid w:val="0011319A"/>
    <w:rsid w:val="001137A2"/>
    <w:rsid w:val="001138C4"/>
    <w:rsid w:val="00113DDC"/>
    <w:rsid w:val="00114168"/>
    <w:rsid w:val="0011474A"/>
    <w:rsid w:val="00114A1C"/>
    <w:rsid w:val="00114C1D"/>
    <w:rsid w:val="00114ECA"/>
    <w:rsid w:val="00114F59"/>
    <w:rsid w:val="00114FDE"/>
    <w:rsid w:val="0011501E"/>
    <w:rsid w:val="0011519D"/>
    <w:rsid w:val="001151EC"/>
    <w:rsid w:val="0011537C"/>
    <w:rsid w:val="001154C9"/>
    <w:rsid w:val="001154EE"/>
    <w:rsid w:val="001155FC"/>
    <w:rsid w:val="0011582D"/>
    <w:rsid w:val="00115CED"/>
    <w:rsid w:val="00115EFD"/>
    <w:rsid w:val="00115F0A"/>
    <w:rsid w:val="0011695C"/>
    <w:rsid w:val="00116BE2"/>
    <w:rsid w:val="00117219"/>
    <w:rsid w:val="00117381"/>
    <w:rsid w:val="0011765D"/>
    <w:rsid w:val="0012036A"/>
    <w:rsid w:val="0012037D"/>
    <w:rsid w:val="00120426"/>
    <w:rsid w:val="0012068D"/>
    <w:rsid w:val="001208BC"/>
    <w:rsid w:val="00120BD5"/>
    <w:rsid w:val="00120C73"/>
    <w:rsid w:val="00120C90"/>
    <w:rsid w:val="00120F1A"/>
    <w:rsid w:val="0012106C"/>
    <w:rsid w:val="001218C7"/>
    <w:rsid w:val="00121CB8"/>
    <w:rsid w:val="00121D1E"/>
    <w:rsid w:val="00121E3F"/>
    <w:rsid w:val="00121F35"/>
    <w:rsid w:val="00122342"/>
    <w:rsid w:val="001224AB"/>
    <w:rsid w:val="00122A0F"/>
    <w:rsid w:val="00122B18"/>
    <w:rsid w:val="00122B7C"/>
    <w:rsid w:val="00122BEB"/>
    <w:rsid w:val="00122C97"/>
    <w:rsid w:val="00122CEF"/>
    <w:rsid w:val="00122EAD"/>
    <w:rsid w:val="00122EB6"/>
    <w:rsid w:val="00122FB3"/>
    <w:rsid w:val="00123320"/>
    <w:rsid w:val="001235A3"/>
    <w:rsid w:val="00123950"/>
    <w:rsid w:val="0012415B"/>
    <w:rsid w:val="00124214"/>
    <w:rsid w:val="00124264"/>
    <w:rsid w:val="001242AA"/>
    <w:rsid w:val="001243B0"/>
    <w:rsid w:val="001243F2"/>
    <w:rsid w:val="00124452"/>
    <w:rsid w:val="0012447C"/>
    <w:rsid w:val="001249A4"/>
    <w:rsid w:val="001249FD"/>
    <w:rsid w:val="00124CD5"/>
    <w:rsid w:val="00124D20"/>
    <w:rsid w:val="00124D4B"/>
    <w:rsid w:val="0012521B"/>
    <w:rsid w:val="00125398"/>
    <w:rsid w:val="001260DB"/>
    <w:rsid w:val="00126506"/>
    <w:rsid w:val="00126515"/>
    <w:rsid w:val="00127320"/>
    <w:rsid w:val="0012787A"/>
    <w:rsid w:val="00127B7D"/>
    <w:rsid w:val="00127C2A"/>
    <w:rsid w:val="00130131"/>
    <w:rsid w:val="00130143"/>
    <w:rsid w:val="001302C4"/>
    <w:rsid w:val="00130411"/>
    <w:rsid w:val="001306F0"/>
    <w:rsid w:val="00130980"/>
    <w:rsid w:val="00130A98"/>
    <w:rsid w:val="00130B25"/>
    <w:rsid w:val="00130D59"/>
    <w:rsid w:val="00130E12"/>
    <w:rsid w:val="00131167"/>
    <w:rsid w:val="001312A8"/>
    <w:rsid w:val="0013146E"/>
    <w:rsid w:val="0013181F"/>
    <w:rsid w:val="00131A3E"/>
    <w:rsid w:val="00131AB0"/>
    <w:rsid w:val="00131E46"/>
    <w:rsid w:val="00131E48"/>
    <w:rsid w:val="001327A0"/>
    <w:rsid w:val="00132873"/>
    <w:rsid w:val="00132A19"/>
    <w:rsid w:val="00132A5E"/>
    <w:rsid w:val="00132ED0"/>
    <w:rsid w:val="00132FA3"/>
    <w:rsid w:val="001331B3"/>
    <w:rsid w:val="00133207"/>
    <w:rsid w:val="001332A9"/>
    <w:rsid w:val="001336A4"/>
    <w:rsid w:val="00133F72"/>
    <w:rsid w:val="001341CC"/>
    <w:rsid w:val="001342B8"/>
    <w:rsid w:val="00134646"/>
    <w:rsid w:val="00134656"/>
    <w:rsid w:val="0013499D"/>
    <w:rsid w:val="00134CE4"/>
    <w:rsid w:val="00134DC9"/>
    <w:rsid w:val="00134DCF"/>
    <w:rsid w:val="0013513C"/>
    <w:rsid w:val="00135581"/>
    <w:rsid w:val="0013577F"/>
    <w:rsid w:val="001357EF"/>
    <w:rsid w:val="0013594B"/>
    <w:rsid w:val="00135A76"/>
    <w:rsid w:val="00135AE7"/>
    <w:rsid w:val="00135B02"/>
    <w:rsid w:val="00135B9D"/>
    <w:rsid w:val="00135BA4"/>
    <w:rsid w:val="00136680"/>
    <w:rsid w:val="0013673C"/>
    <w:rsid w:val="001367B9"/>
    <w:rsid w:val="001368D3"/>
    <w:rsid w:val="00136914"/>
    <w:rsid w:val="001369C1"/>
    <w:rsid w:val="00136DDF"/>
    <w:rsid w:val="00137212"/>
    <w:rsid w:val="0013752A"/>
    <w:rsid w:val="00137B59"/>
    <w:rsid w:val="00137DF4"/>
    <w:rsid w:val="00137FED"/>
    <w:rsid w:val="0014000D"/>
    <w:rsid w:val="0014019A"/>
    <w:rsid w:val="001403AA"/>
    <w:rsid w:val="001404DB"/>
    <w:rsid w:val="001405C7"/>
    <w:rsid w:val="00140690"/>
    <w:rsid w:val="00140A4F"/>
    <w:rsid w:val="00140C3B"/>
    <w:rsid w:val="00140D54"/>
    <w:rsid w:val="00140EC5"/>
    <w:rsid w:val="00140FE4"/>
    <w:rsid w:val="00141270"/>
    <w:rsid w:val="001416AE"/>
    <w:rsid w:val="00141920"/>
    <w:rsid w:val="00141AA5"/>
    <w:rsid w:val="00141BA2"/>
    <w:rsid w:val="00141CCE"/>
    <w:rsid w:val="00141E34"/>
    <w:rsid w:val="00141E6C"/>
    <w:rsid w:val="00141EC4"/>
    <w:rsid w:val="00141F90"/>
    <w:rsid w:val="0014219D"/>
    <w:rsid w:val="001423ED"/>
    <w:rsid w:val="00142A1E"/>
    <w:rsid w:val="00142AA6"/>
    <w:rsid w:val="00142D12"/>
    <w:rsid w:val="00142E85"/>
    <w:rsid w:val="0014303C"/>
    <w:rsid w:val="001431AC"/>
    <w:rsid w:val="00143388"/>
    <w:rsid w:val="001437D8"/>
    <w:rsid w:val="00143B67"/>
    <w:rsid w:val="00143E91"/>
    <w:rsid w:val="00143FCF"/>
    <w:rsid w:val="0014402D"/>
    <w:rsid w:val="001441AF"/>
    <w:rsid w:val="001446CA"/>
    <w:rsid w:val="001446F7"/>
    <w:rsid w:val="001448CE"/>
    <w:rsid w:val="00144965"/>
    <w:rsid w:val="00144BA9"/>
    <w:rsid w:val="00144D08"/>
    <w:rsid w:val="00144E85"/>
    <w:rsid w:val="00144F57"/>
    <w:rsid w:val="00145011"/>
    <w:rsid w:val="0014574C"/>
    <w:rsid w:val="00145820"/>
    <w:rsid w:val="00145972"/>
    <w:rsid w:val="00145A9C"/>
    <w:rsid w:val="00145F97"/>
    <w:rsid w:val="001461F9"/>
    <w:rsid w:val="001462D4"/>
    <w:rsid w:val="001469AB"/>
    <w:rsid w:val="00146A59"/>
    <w:rsid w:val="0014726E"/>
    <w:rsid w:val="001472E0"/>
    <w:rsid w:val="001478FC"/>
    <w:rsid w:val="0014790F"/>
    <w:rsid w:val="00147B4B"/>
    <w:rsid w:val="00147D1E"/>
    <w:rsid w:val="00147D32"/>
    <w:rsid w:val="001505AB"/>
    <w:rsid w:val="00150876"/>
    <w:rsid w:val="00150C72"/>
    <w:rsid w:val="001519BA"/>
    <w:rsid w:val="00151ACF"/>
    <w:rsid w:val="00151B40"/>
    <w:rsid w:val="00152124"/>
    <w:rsid w:val="00152239"/>
    <w:rsid w:val="00152739"/>
    <w:rsid w:val="001527E4"/>
    <w:rsid w:val="00152912"/>
    <w:rsid w:val="00152CA2"/>
    <w:rsid w:val="00152F5E"/>
    <w:rsid w:val="001532A4"/>
    <w:rsid w:val="00153568"/>
    <w:rsid w:val="001537AE"/>
    <w:rsid w:val="0015389E"/>
    <w:rsid w:val="001539EE"/>
    <w:rsid w:val="0015404F"/>
    <w:rsid w:val="00154419"/>
    <w:rsid w:val="001547A7"/>
    <w:rsid w:val="00154A64"/>
    <w:rsid w:val="00154D95"/>
    <w:rsid w:val="00154EDD"/>
    <w:rsid w:val="0015515A"/>
    <w:rsid w:val="00155509"/>
    <w:rsid w:val="0015584E"/>
    <w:rsid w:val="00156050"/>
    <w:rsid w:val="0015630B"/>
    <w:rsid w:val="0015630F"/>
    <w:rsid w:val="00156705"/>
    <w:rsid w:val="00156B8F"/>
    <w:rsid w:val="001570D7"/>
    <w:rsid w:val="00157270"/>
    <w:rsid w:val="001573E4"/>
    <w:rsid w:val="001579C8"/>
    <w:rsid w:val="00157B4A"/>
    <w:rsid w:val="00157C0B"/>
    <w:rsid w:val="00157E57"/>
    <w:rsid w:val="0016002A"/>
    <w:rsid w:val="001602C1"/>
    <w:rsid w:val="001602D5"/>
    <w:rsid w:val="0016062F"/>
    <w:rsid w:val="00160955"/>
    <w:rsid w:val="00160D81"/>
    <w:rsid w:val="00160EDD"/>
    <w:rsid w:val="00161099"/>
    <w:rsid w:val="001610AA"/>
    <w:rsid w:val="00161146"/>
    <w:rsid w:val="00161603"/>
    <w:rsid w:val="00161E9F"/>
    <w:rsid w:val="00162019"/>
    <w:rsid w:val="00162374"/>
    <w:rsid w:val="00162831"/>
    <w:rsid w:val="00162BD1"/>
    <w:rsid w:val="00162DE6"/>
    <w:rsid w:val="0016382B"/>
    <w:rsid w:val="00163A8F"/>
    <w:rsid w:val="00163AB9"/>
    <w:rsid w:val="00163D5F"/>
    <w:rsid w:val="00163E73"/>
    <w:rsid w:val="00163F28"/>
    <w:rsid w:val="00164148"/>
    <w:rsid w:val="00164945"/>
    <w:rsid w:val="0016509D"/>
    <w:rsid w:val="001651C0"/>
    <w:rsid w:val="001651F9"/>
    <w:rsid w:val="00165504"/>
    <w:rsid w:val="00165793"/>
    <w:rsid w:val="00165910"/>
    <w:rsid w:val="00165966"/>
    <w:rsid w:val="00165A58"/>
    <w:rsid w:val="00165B8B"/>
    <w:rsid w:val="00165CD2"/>
    <w:rsid w:val="00165E79"/>
    <w:rsid w:val="00166489"/>
    <w:rsid w:val="00166540"/>
    <w:rsid w:val="001666A1"/>
    <w:rsid w:val="0016677D"/>
    <w:rsid w:val="001667EE"/>
    <w:rsid w:val="00166840"/>
    <w:rsid w:val="00166AF3"/>
    <w:rsid w:val="00167011"/>
    <w:rsid w:val="00167222"/>
    <w:rsid w:val="00167283"/>
    <w:rsid w:val="001672E2"/>
    <w:rsid w:val="00167556"/>
    <w:rsid w:val="001676AD"/>
    <w:rsid w:val="00167A6F"/>
    <w:rsid w:val="00167BF0"/>
    <w:rsid w:val="001700A4"/>
    <w:rsid w:val="001700E2"/>
    <w:rsid w:val="001703A5"/>
    <w:rsid w:val="0017067B"/>
    <w:rsid w:val="001707AE"/>
    <w:rsid w:val="00170A5E"/>
    <w:rsid w:val="00170B5A"/>
    <w:rsid w:val="00170D33"/>
    <w:rsid w:val="00170E7D"/>
    <w:rsid w:val="00170E82"/>
    <w:rsid w:val="00171219"/>
    <w:rsid w:val="00171336"/>
    <w:rsid w:val="001716F9"/>
    <w:rsid w:val="001717CC"/>
    <w:rsid w:val="0017196C"/>
    <w:rsid w:val="00171CD9"/>
    <w:rsid w:val="00171E31"/>
    <w:rsid w:val="00171E7E"/>
    <w:rsid w:val="00171EC4"/>
    <w:rsid w:val="00171F74"/>
    <w:rsid w:val="0017252E"/>
    <w:rsid w:val="001725E2"/>
    <w:rsid w:val="0017277C"/>
    <w:rsid w:val="001727F9"/>
    <w:rsid w:val="00172AD5"/>
    <w:rsid w:val="00172B23"/>
    <w:rsid w:val="00172BEA"/>
    <w:rsid w:val="00172D0B"/>
    <w:rsid w:val="00172D7E"/>
    <w:rsid w:val="00172E2C"/>
    <w:rsid w:val="001730FE"/>
    <w:rsid w:val="00173158"/>
    <w:rsid w:val="001732DE"/>
    <w:rsid w:val="001733D5"/>
    <w:rsid w:val="001733F3"/>
    <w:rsid w:val="0017365D"/>
    <w:rsid w:val="001736A8"/>
    <w:rsid w:val="0017370C"/>
    <w:rsid w:val="0017391A"/>
    <w:rsid w:val="00173A90"/>
    <w:rsid w:val="00173B37"/>
    <w:rsid w:val="00173B92"/>
    <w:rsid w:val="00173DDF"/>
    <w:rsid w:val="00174175"/>
    <w:rsid w:val="001742A0"/>
    <w:rsid w:val="0017489F"/>
    <w:rsid w:val="00174ED9"/>
    <w:rsid w:val="00175246"/>
    <w:rsid w:val="0017568C"/>
    <w:rsid w:val="001757FD"/>
    <w:rsid w:val="001759D6"/>
    <w:rsid w:val="00175FDE"/>
    <w:rsid w:val="0017608C"/>
    <w:rsid w:val="001763D2"/>
    <w:rsid w:val="00176571"/>
    <w:rsid w:val="00176651"/>
    <w:rsid w:val="0017687E"/>
    <w:rsid w:val="00176974"/>
    <w:rsid w:val="00176AD2"/>
    <w:rsid w:val="00176B26"/>
    <w:rsid w:val="00176E05"/>
    <w:rsid w:val="00176F5D"/>
    <w:rsid w:val="001770EF"/>
    <w:rsid w:val="0017725D"/>
    <w:rsid w:val="00177286"/>
    <w:rsid w:val="00177318"/>
    <w:rsid w:val="00177363"/>
    <w:rsid w:val="001777E0"/>
    <w:rsid w:val="00177B30"/>
    <w:rsid w:val="00177D86"/>
    <w:rsid w:val="00177FE5"/>
    <w:rsid w:val="00180071"/>
    <w:rsid w:val="00180300"/>
    <w:rsid w:val="00180395"/>
    <w:rsid w:val="00180489"/>
    <w:rsid w:val="00180C1D"/>
    <w:rsid w:val="00180DE8"/>
    <w:rsid w:val="00180F9A"/>
    <w:rsid w:val="0018107E"/>
    <w:rsid w:val="0018150B"/>
    <w:rsid w:val="00181DDC"/>
    <w:rsid w:val="001820E8"/>
    <w:rsid w:val="00182193"/>
    <w:rsid w:val="001825CA"/>
    <w:rsid w:val="0018268E"/>
    <w:rsid w:val="00182734"/>
    <w:rsid w:val="00182887"/>
    <w:rsid w:val="001828FF"/>
    <w:rsid w:val="0018295F"/>
    <w:rsid w:val="00182995"/>
    <w:rsid w:val="00182D65"/>
    <w:rsid w:val="00182F14"/>
    <w:rsid w:val="001832A7"/>
    <w:rsid w:val="00183310"/>
    <w:rsid w:val="00183348"/>
    <w:rsid w:val="00183527"/>
    <w:rsid w:val="001836D2"/>
    <w:rsid w:val="0018396D"/>
    <w:rsid w:val="0018426C"/>
    <w:rsid w:val="001844A9"/>
    <w:rsid w:val="0018479C"/>
    <w:rsid w:val="001847ED"/>
    <w:rsid w:val="001848F5"/>
    <w:rsid w:val="0018497B"/>
    <w:rsid w:val="00184AE6"/>
    <w:rsid w:val="00184BF7"/>
    <w:rsid w:val="00184D41"/>
    <w:rsid w:val="00184E1E"/>
    <w:rsid w:val="00185091"/>
    <w:rsid w:val="0018516B"/>
    <w:rsid w:val="001856D8"/>
    <w:rsid w:val="00185939"/>
    <w:rsid w:val="00185A4B"/>
    <w:rsid w:val="001861A8"/>
    <w:rsid w:val="0018627F"/>
    <w:rsid w:val="00186554"/>
    <w:rsid w:val="00186578"/>
    <w:rsid w:val="001867AF"/>
    <w:rsid w:val="0018681C"/>
    <w:rsid w:val="00186B5E"/>
    <w:rsid w:val="00186B79"/>
    <w:rsid w:val="00186E76"/>
    <w:rsid w:val="00187072"/>
    <w:rsid w:val="00187180"/>
    <w:rsid w:val="00187236"/>
    <w:rsid w:val="001873A1"/>
    <w:rsid w:val="001874B8"/>
    <w:rsid w:val="0018758B"/>
    <w:rsid w:val="001875CC"/>
    <w:rsid w:val="001876CA"/>
    <w:rsid w:val="00187708"/>
    <w:rsid w:val="00187E3B"/>
    <w:rsid w:val="0019012B"/>
    <w:rsid w:val="00190160"/>
    <w:rsid w:val="001901CD"/>
    <w:rsid w:val="00190678"/>
    <w:rsid w:val="00190796"/>
    <w:rsid w:val="00190859"/>
    <w:rsid w:val="001908D3"/>
    <w:rsid w:val="001908FF"/>
    <w:rsid w:val="001911EF"/>
    <w:rsid w:val="001911F3"/>
    <w:rsid w:val="001914C3"/>
    <w:rsid w:val="001915C8"/>
    <w:rsid w:val="001916FF"/>
    <w:rsid w:val="0019183E"/>
    <w:rsid w:val="00191916"/>
    <w:rsid w:val="00191AFD"/>
    <w:rsid w:val="00191F3E"/>
    <w:rsid w:val="00191FFC"/>
    <w:rsid w:val="00192051"/>
    <w:rsid w:val="0019228E"/>
    <w:rsid w:val="00192687"/>
    <w:rsid w:val="001927FC"/>
    <w:rsid w:val="0019286C"/>
    <w:rsid w:val="00192982"/>
    <w:rsid w:val="00192BA2"/>
    <w:rsid w:val="00192F6C"/>
    <w:rsid w:val="00192FA8"/>
    <w:rsid w:val="00193086"/>
    <w:rsid w:val="00193344"/>
    <w:rsid w:val="00193413"/>
    <w:rsid w:val="00193419"/>
    <w:rsid w:val="00193838"/>
    <w:rsid w:val="001938AF"/>
    <w:rsid w:val="00193A82"/>
    <w:rsid w:val="00193D90"/>
    <w:rsid w:val="0019410C"/>
    <w:rsid w:val="00194281"/>
    <w:rsid w:val="001943FE"/>
    <w:rsid w:val="00194828"/>
    <w:rsid w:val="001949A1"/>
    <w:rsid w:val="00194C87"/>
    <w:rsid w:val="00194CE9"/>
    <w:rsid w:val="00194D21"/>
    <w:rsid w:val="00194F0E"/>
    <w:rsid w:val="001955E8"/>
    <w:rsid w:val="00195701"/>
    <w:rsid w:val="00195CBE"/>
    <w:rsid w:val="00195D94"/>
    <w:rsid w:val="00195E76"/>
    <w:rsid w:val="00195FC9"/>
    <w:rsid w:val="0019612B"/>
    <w:rsid w:val="00196146"/>
    <w:rsid w:val="0019655F"/>
    <w:rsid w:val="00196841"/>
    <w:rsid w:val="00196ABA"/>
    <w:rsid w:val="00196C62"/>
    <w:rsid w:val="00197417"/>
    <w:rsid w:val="0019749A"/>
    <w:rsid w:val="001974F1"/>
    <w:rsid w:val="001A00EC"/>
    <w:rsid w:val="001A0106"/>
    <w:rsid w:val="001A037F"/>
    <w:rsid w:val="001A03DC"/>
    <w:rsid w:val="001A0424"/>
    <w:rsid w:val="001A04F2"/>
    <w:rsid w:val="001A0652"/>
    <w:rsid w:val="001A07B2"/>
    <w:rsid w:val="001A0903"/>
    <w:rsid w:val="001A0EBB"/>
    <w:rsid w:val="001A14AE"/>
    <w:rsid w:val="001A17F2"/>
    <w:rsid w:val="001A2106"/>
    <w:rsid w:val="001A24F7"/>
    <w:rsid w:val="001A2578"/>
    <w:rsid w:val="001A25C9"/>
    <w:rsid w:val="001A25D5"/>
    <w:rsid w:val="001A282A"/>
    <w:rsid w:val="001A2957"/>
    <w:rsid w:val="001A2C7B"/>
    <w:rsid w:val="001A2D73"/>
    <w:rsid w:val="001A3027"/>
    <w:rsid w:val="001A3697"/>
    <w:rsid w:val="001A36CF"/>
    <w:rsid w:val="001A3951"/>
    <w:rsid w:val="001A3DEE"/>
    <w:rsid w:val="001A42A3"/>
    <w:rsid w:val="001A4364"/>
    <w:rsid w:val="001A4481"/>
    <w:rsid w:val="001A4AFD"/>
    <w:rsid w:val="001A4CF5"/>
    <w:rsid w:val="001A4E39"/>
    <w:rsid w:val="001A4FC1"/>
    <w:rsid w:val="001A508B"/>
    <w:rsid w:val="001A587C"/>
    <w:rsid w:val="001A59A9"/>
    <w:rsid w:val="001A5A08"/>
    <w:rsid w:val="001A5E14"/>
    <w:rsid w:val="001A5ED4"/>
    <w:rsid w:val="001A5FF5"/>
    <w:rsid w:val="001A6276"/>
    <w:rsid w:val="001A643F"/>
    <w:rsid w:val="001A6770"/>
    <w:rsid w:val="001A6930"/>
    <w:rsid w:val="001A6A71"/>
    <w:rsid w:val="001A6E67"/>
    <w:rsid w:val="001A6EDC"/>
    <w:rsid w:val="001A6FF1"/>
    <w:rsid w:val="001A6FFE"/>
    <w:rsid w:val="001A7067"/>
    <w:rsid w:val="001A7148"/>
    <w:rsid w:val="001A72A1"/>
    <w:rsid w:val="001A72BF"/>
    <w:rsid w:val="001A734E"/>
    <w:rsid w:val="001A7377"/>
    <w:rsid w:val="001A75E3"/>
    <w:rsid w:val="001A7989"/>
    <w:rsid w:val="001A799D"/>
    <w:rsid w:val="001A7CC9"/>
    <w:rsid w:val="001A7CE8"/>
    <w:rsid w:val="001A7CF1"/>
    <w:rsid w:val="001B0089"/>
    <w:rsid w:val="001B0530"/>
    <w:rsid w:val="001B0807"/>
    <w:rsid w:val="001B0915"/>
    <w:rsid w:val="001B0D8F"/>
    <w:rsid w:val="001B1442"/>
    <w:rsid w:val="001B15BA"/>
    <w:rsid w:val="001B1740"/>
    <w:rsid w:val="001B17FA"/>
    <w:rsid w:val="001B1DFA"/>
    <w:rsid w:val="001B1E11"/>
    <w:rsid w:val="001B1EC6"/>
    <w:rsid w:val="001B1EE6"/>
    <w:rsid w:val="001B2078"/>
    <w:rsid w:val="001B22F2"/>
    <w:rsid w:val="001B24A5"/>
    <w:rsid w:val="001B24DE"/>
    <w:rsid w:val="001B2599"/>
    <w:rsid w:val="001B28CD"/>
    <w:rsid w:val="001B2A8B"/>
    <w:rsid w:val="001B2BCA"/>
    <w:rsid w:val="001B2D33"/>
    <w:rsid w:val="001B2F40"/>
    <w:rsid w:val="001B31EF"/>
    <w:rsid w:val="001B33F2"/>
    <w:rsid w:val="001B38CB"/>
    <w:rsid w:val="001B38DB"/>
    <w:rsid w:val="001B3B2B"/>
    <w:rsid w:val="001B413F"/>
    <w:rsid w:val="001B4206"/>
    <w:rsid w:val="001B457E"/>
    <w:rsid w:val="001B474E"/>
    <w:rsid w:val="001B47AE"/>
    <w:rsid w:val="001B4983"/>
    <w:rsid w:val="001B4A44"/>
    <w:rsid w:val="001B4E16"/>
    <w:rsid w:val="001B5101"/>
    <w:rsid w:val="001B515F"/>
    <w:rsid w:val="001B52E5"/>
    <w:rsid w:val="001B5622"/>
    <w:rsid w:val="001B58BE"/>
    <w:rsid w:val="001B5C1F"/>
    <w:rsid w:val="001B5D1C"/>
    <w:rsid w:val="001B5E33"/>
    <w:rsid w:val="001B61C4"/>
    <w:rsid w:val="001B6285"/>
    <w:rsid w:val="001B63F4"/>
    <w:rsid w:val="001B6838"/>
    <w:rsid w:val="001B695C"/>
    <w:rsid w:val="001B6E4C"/>
    <w:rsid w:val="001B7142"/>
    <w:rsid w:val="001B7165"/>
    <w:rsid w:val="001B72C9"/>
    <w:rsid w:val="001B7348"/>
    <w:rsid w:val="001B7606"/>
    <w:rsid w:val="001B7802"/>
    <w:rsid w:val="001B79A8"/>
    <w:rsid w:val="001B7AD8"/>
    <w:rsid w:val="001B7AE0"/>
    <w:rsid w:val="001C01D5"/>
    <w:rsid w:val="001C0602"/>
    <w:rsid w:val="001C06CB"/>
    <w:rsid w:val="001C0AF3"/>
    <w:rsid w:val="001C0F3A"/>
    <w:rsid w:val="001C1144"/>
    <w:rsid w:val="001C14CA"/>
    <w:rsid w:val="001C16CC"/>
    <w:rsid w:val="001C1BC3"/>
    <w:rsid w:val="001C1C1E"/>
    <w:rsid w:val="001C1DDA"/>
    <w:rsid w:val="001C264A"/>
    <w:rsid w:val="001C26FA"/>
    <w:rsid w:val="001C295B"/>
    <w:rsid w:val="001C2C24"/>
    <w:rsid w:val="001C3118"/>
    <w:rsid w:val="001C318F"/>
    <w:rsid w:val="001C31EC"/>
    <w:rsid w:val="001C364B"/>
    <w:rsid w:val="001C3729"/>
    <w:rsid w:val="001C3AEB"/>
    <w:rsid w:val="001C3DB3"/>
    <w:rsid w:val="001C4069"/>
    <w:rsid w:val="001C416F"/>
    <w:rsid w:val="001C428B"/>
    <w:rsid w:val="001C4362"/>
    <w:rsid w:val="001C43C5"/>
    <w:rsid w:val="001C4505"/>
    <w:rsid w:val="001C466E"/>
    <w:rsid w:val="001C48C9"/>
    <w:rsid w:val="001C4B16"/>
    <w:rsid w:val="001C4D8A"/>
    <w:rsid w:val="001C4E0E"/>
    <w:rsid w:val="001C4E56"/>
    <w:rsid w:val="001C5080"/>
    <w:rsid w:val="001C54CC"/>
    <w:rsid w:val="001C59DE"/>
    <w:rsid w:val="001C5ACD"/>
    <w:rsid w:val="001C5C31"/>
    <w:rsid w:val="001C5C72"/>
    <w:rsid w:val="001C5D64"/>
    <w:rsid w:val="001C5DD2"/>
    <w:rsid w:val="001C606D"/>
    <w:rsid w:val="001C6277"/>
    <w:rsid w:val="001C6484"/>
    <w:rsid w:val="001C6515"/>
    <w:rsid w:val="001C6CE0"/>
    <w:rsid w:val="001C6EF3"/>
    <w:rsid w:val="001C712F"/>
    <w:rsid w:val="001C7275"/>
    <w:rsid w:val="001C7435"/>
    <w:rsid w:val="001C78E1"/>
    <w:rsid w:val="001C7E31"/>
    <w:rsid w:val="001C7F32"/>
    <w:rsid w:val="001C7FA7"/>
    <w:rsid w:val="001D00B9"/>
    <w:rsid w:val="001D0213"/>
    <w:rsid w:val="001D026C"/>
    <w:rsid w:val="001D0308"/>
    <w:rsid w:val="001D0426"/>
    <w:rsid w:val="001D05C9"/>
    <w:rsid w:val="001D0A3A"/>
    <w:rsid w:val="001D0E12"/>
    <w:rsid w:val="001D0EDB"/>
    <w:rsid w:val="001D137C"/>
    <w:rsid w:val="001D1381"/>
    <w:rsid w:val="001D1499"/>
    <w:rsid w:val="001D14BB"/>
    <w:rsid w:val="001D1860"/>
    <w:rsid w:val="001D1A0F"/>
    <w:rsid w:val="001D1B95"/>
    <w:rsid w:val="001D1FAA"/>
    <w:rsid w:val="001D204B"/>
    <w:rsid w:val="001D2284"/>
    <w:rsid w:val="001D2331"/>
    <w:rsid w:val="001D251E"/>
    <w:rsid w:val="001D262D"/>
    <w:rsid w:val="001D2631"/>
    <w:rsid w:val="001D2839"/>
    <w:rsid w:val="001D2D78"/>
    <w:rsid w:val="001D2FC9"/>
    <w:rsid w:val="001D332E"/>
    <w:rsid w:val="001D34C1"/>
    <w:rsid w:val="001D3EBA"/>
    <w:rsid w:val="001D40B1"/>
    <w:rsid w:val="001D490B"/>
    <w:rsid w:val="001D4A3D"/>
    <w:rsid w:val="001D4C37"/>
    <w:rsid w:val="001D4F1C"/>
    <w:rsid w:val="001D53B9"/>
    <w:rsid w:val="001D57B9"/>
    <w:rsid w:val="001D589A"/>
    <w:rsid w:val="001D5B13"/>
    <w:rsid w:val="001D5C93"/>
    <w:rsid w:val="001D5F25"/>
    <w:rsid w:val="001D6081"/>
    <w:rsid w:val="001D6424"/>
    <w:rsid w:val="001D67A1"/>
    <w:rsid w:val="001D6E70"/>
    <w:rsid w:val="001D6F03"/>
    <w:rsid w:val="001D6FC6"/>
    <w:rsid w:val="001D7012"/>
    <w:rsid w:val="001D714C"/>
    <w:rsid w:val="001D744F"/>
    <w:rsid w:val="001D7544"/>
    <w:rsid w:val="001D7640"/>
    <w:rsid w:val="001D76E1"/>
    <w:rsid w:val="001D7702"/>
    <w:rsid w:val="001D777E"/>
    <w:rsid w:val="001D77BF"/>
    <w:rsid w:val="001D7B7D"/>
    <w:rsid w:val="001D7F45"/>
    <w:rsid w:val="001D7F53"/>
    <w:rsid w:val="001E03C8"/>
    <w:rsid w:val="001E0615"/>
    <w:rsid w:val="001E06AF"/>
    <w:rsid w:val="001E0C1F"/>
    <w:rsid w:val="001E0D62"/>
    <w:rsid w:val="001E10DA"/>
    <w:rsid w:val="001E116C"/>
    <w:rsid w:val="001E11CC"/>
    <w:rsid w:val="001E128D"/>
    <w:rsid w:val="001E17C9"/>
    <w:rsid w:val="001E1A8D"/>
    <w:rsid w:val="001E1BCC"/>
    <w:rsid w:val="001E1D98"/>
    <w:rsid w:val="001E1DBE"/>
    <w:rsid w:val="001E22AC"/>
    <w:rsid w:val="001E27E1"/>
    <w:rsid w:val="001E2937"/>
    <w:rsid w:val="001E2953"/>
    <w:rsid w:val="001E2CB5"/>
    <w:rsid w:val="001E2E31"/>
    <w:rsid w:val="001E2FFF"/>
    <w:rsid w:val="001E331C"/>
    <w:rsid w:val="001E33C1"/>
    <w:rsid w:val="001E34CC"/>
    <w:rsid w:val="001E34E5"/>
    <w:rsid w:val="001E36CE"/>
    <w:rsid w:val="001E3CE8"/>
    <w:rsid w:val="001E402C"/>
    <w:rsid w:val="001E418F"/>
    <w:rsid w:val="001E46F8"/>
    <w:rsid w:val="001E472C"/>
    <w:rsid w:val="001E5277"/>
    <w:rsid w:val="001E53C3"/>
    <w:rsid w:val="001E5651"/>
    <w:rsid w:val="001E569E"/>
    <w:rsid w:val="001E576A"/>
    <w:rsid w:val="001E5A55"/>
    <w:rsid w:val="001E5A94"/>
    <w:rsid w:val="001E5C3B"/>
    <w:rsid w:val="001E5CF3"/>
    <w:rsid w:val="001E5E51"/>
    <w:rsid w:val="001E6406"/>
    <w:rsid w:val="001E646C"/>
    <w:rsid w:val="001E64EA"/>
    <w:rsid w:val="001E659A"/>
    <w:rsid w:val="001E66D1"/>
    <w:rsid w:val="001E6A84"/>
    <w:rsid w:val="001E6CA1"/>
    <w:rsid w:val="001E6F3E"/>
    <w:rsid w:val="001E7373"/>
    <w:rsid w:val="001E747E"/>
    <w:rsid w:val="001E7CC4"/>
    <w:rsid w:val="001F08A0"/>
    <w:rsid w:val="001F08E2"/>
    <w:rsid w:val="001F0949"/>
    <w:rsid w:val="001F098D"/>
    <w:rsid w:val="001F0A5D"/>
    <w:rsid w:val="001F0AF6"/>
    <w:rsid w:val="001F0C85"/>
    <w:rsid w:val="001F0F7D"/>
    <w:rsid w:val="001F134D"/>
    <w:rsid w:val="001F151B"/>
    <w:rsid w:val="001F171B"/>
    <w:rsid w:val="001F1C10"/>
    <w:rsid w:val="001F1D73"/>
    <w:rsid w:val="001F23CB"/>
    <w:rsid w:val="001F2603"/>
    <w:rsid w:val="001F296B"/>
    <w:rsid w:val="001F2BD9"/>
    <w:rsid w:val="001F2D50"/>
    <w:rsid w:val="001F2FAA"/>
    <w:rsid w:val="001F32C7"/>
    <w:rsid w:val="001F33CD"/>
    <w:rsid w:val="001F3623"/>
    <w:rsid w:val="001F3A3A"/>
    <w:rsid w:val="001F3C39"/>
    <w:rsid w:val="001F3CFE"/>
    <w:rsid w:val="001F40BB"/>
    <w:rsid w:val="001F4718"/>
    <w:rsid w:val="001F474A"/>
    <w:rsid w:val="001F4A0E"/>
    <w:rsid w:val="001F4DFD"/>
    <w:rsid w:val="001F4E05"/>
    <w:rsid w:val="001F52E9"/>
    <w:rsid w:val="001F5589"/>
    <w:rsid w:val="001F5658"/>
    <w:rsid w:val="001F56EF"/>
    <w:rsid w:val="001F5BA3"/>
    <w:rsid w:val="001F5C81"/>
    <w:rsid w:val="001F611E"/>
    <w:rsid w:val="001F6DE6"/>
    <w:rsid w:val="001F71AB"/>
    <w:rsid w:val="001F740B"/>
    <w:rsid w:val="001F7545"/>
    <w:rsid w:val="001F778C"/>
    <w:rsid w:val="001F7BD5"/>
    <w:rsid w:val="001F7E43"/>
    <w:rsid w:val="001F7E84"/>
    <w:rsid w:val="001F7F4E"/>
    <w:rsid w:val="00200100"/>
    <w:rsid w:val="002003D9"/>
    <w:rsid w:val="00200617"/>
    <w:rsid w:val="0020091E"/>
    <w:rsid w:val="00200D61"/>
    <w:rsid w:val="00200EDB"/>
    <w:rsid w:val="00201873"/>
    <w:rsid w:val="00201D5B"/>
    <w:rsid w:val="00201E8C"/>
    <w:rsid w:val="00202540"/>
    <w:rsid w:val="00202643"/>
    <w:rsid w:val="00202874"/>
    <w:rsid w:val="00202A42"/>
    <w:rsid w:val="00202C0E"/>
    <w:rsid w:val="00202E01"/>
    <w:rsid w:val="00202F0F"/>
    <w:rsid w:val="00202FBB"/>
    <w:rsid w:val="00203089"/>
    <w:rsid w:val="0020347A"/>
    <w:rsid w:val="0020352D"/>
    <w:rsid w:val="00203802"/>
    <w:rsid w:val="00203B35"/>
    <w:rsid w:val="00203C9C"/>
    <w:rsid w:val="00204101"/>
    <w:rsid w:val="0020411B"/>
    <w:rsid w:val="002041FA"/>
    <w:rsid w:val="002047AE"/>
    <w:rsid w:val="00204820"/>
    <w:rsid w:val="00204A2F"/>
    <w:rsid w:val="00204AEF"/>
    <w:rsid w:val="00204E84"/>
    <w:rsid w:val="00205229"/>
    <w:rsid w:val="0020525E"/>
    <w:rsid w:val="002058A1"/>
    <w:rsid w:val="00205936"/>
    <w:rsid w:val="00205A4A"/>
    <w:rsid w:val="00205E16"/>
    <w:rsid w:val="00205E8B"/>
    <w:rsid w:val="00206252"/>
    <w:rsid w:val="00206793"/>
    <w:rsid w:val="00206B97"/>
    <w:rsid w:val="00207163"/>
    <w:rsid w:val="0020728C"/>
    <w:rsid w:val="00207376"/>
    <w:rsid w:val="0020754E"/>
    <w:rsid w:val="0020785E"/>
    <w:rsid w:val="00207D7B"/>
    <w:rsid w:val="002106C2"/>
    <w:rsid w:val="002109AE"/>
    <w:rsid w:val="00210F14"/>
    <w:rsid w:val="00210FF2"/>
    <w:rsid w:val="00211054"/>
    <w:rsid w:val="00211057"/>
    <w:rsid w:val="00211337"/>
    <w:rsid w:val="00211A91"/>
    <w:rsid w:val="00211A9B"/>
    <w:rsid w:val="00211AD7"/>
    <w:rsid w:val="00211B58"/>
    <w:rsid w:val="00211B95"/>
    <w:rsid w:val="00211D9C"/>
    <w:rsid w:val="00211E16"/>
    <w:rsid w:val="00211E96"/>
    <w:rsid w:val="002127D9"/>
    <w:rsid w:val="002129A6"/>
    <w:rsid w:val="00212DC0"/>
    <w:rsid w:val="00212E6F"/>
    <w:rsid w:val="00213281"/>
    <w:rsid w:val="0021335E"/>
    <w:rsid w:val="0021348A"/>
    <w:rsid w:val="00213A34"/>
    <w:rsid w:val="002140A1"/>
    <w:rsid w:val="00214446"/>
    <w:rsid w:val="00214A73"/>
    <w:rsid w:val="00214BFB"/>
    <w:rsid w:val="0021521A"/>
    <w:rsid w:val="002153EC"/>
    <w:rsid w:val="00215449"/>
    <w:rsid w:val="002155D7"/>
    <w:rsid w:val="00215659"/>
    <w:rsid w:val="0021569B"/>
    <w:rsid w:val="0021589E"/>
    <w:rsid w:val="00215A26"/>
    <w:rsid w:val="0021626B"/>
    <w:rsid w:val="002162A8"/>
    <w:rsid w:val="0021634C"/>
    <w:rsid w:val="00216378"/>
    <w:rsid w:val="00216407"/>
    <w:rsid w:val="00216513"/>
    <w:rsid w:val="0021665B"/>
    <w:rsid w:val="002166E5"/>
    <w:rsid w:val="002168D3"/>
    <w:rsid w:val="00216C3B"/>
    <w:rsid w:val="00217063"/>
    <w:rsid w:val="00217065"/>
    <w:rsid w:val="002175A7"/>
    <w:rsid w:val="0021791B"/>
    <w:rsid w:val="00217BB8"/>
    <w:rsid w:val="00217EB0"/>
    <w:rsid w:val="00217F71"/>
    <w:rsid w:val="00220343"/>
    <w:rsid w:val="002205B5"/>
    <w:rsid w:val="00220635"/>
    <w:rsid w:val="00220C7B"/>
    <w:rsid w:val="00220D30"/>
    <w:rsid w:val="00220EA6"/>
    <w:rsid w:val="00220F7F"/>
    <w:rsid w:val="00221022"/>
    <w:rsid w:val="002211F8"/>
    <w:rsid w:val="00221645"/>
    <w:rsid w:val="00221885"/>
    <w:rsid w:val="00221CDB"/>
    <w:rsid w:val="00222EB2"/>
    <w:rsid w:val="002230A1"/>
    <w:rsid w:val="002230B7"/>
    <w:rsid w:val="002231BC"/>
    <w:rsid w:val="00223347"/>
    <w:rsid w:val="002234AB"/>
    <w:rsid w:val="002239B9"/>
    <w:rsid w:val="00223E7A"/>
    <w:rsid w:val="0022424F"/>
    <w:rsid w:val="00224433"/>
    <w:rsid w:val="00224670"/>
    <w:rsid w:val="00224788"/>
    <w:rsid w:val="002248D3"/>
    <w:rsid w:val="002248F6"/>
    <w:rsid w:val="00224A7B"/>
    <w:rsid w:val="00224D26"/>
    <w:rsid w:val="00224DA9"/>
    <w:rsid w:val="00225049"/>
    <w:rsid w:val="00225162"/>
    <w:rsid w:val="002253F8"/>
    <w:rsid w:val="0022541B"/>
    <w:rsid w:val="002254CC"/>
    <w:rsid w:val="00226229"/>
    <w:rsid w:val="002265D6"/>
    <w:rsid w:val="00226650"/>
    <w:rsid w:val="002266F2"/>
    <w:rsid w:val="00226C56"/>
    <w:rsid w:val="00227044"/>
    <w:rsid w:val="00227072"/>
    <w:rsid w:val="00227344"/>
    <w:rsid w:val="002274DC"/>
    <w:rsid w:val="002275CE"/>
    <w:rsid w:val="0022763A"/>
    <w:rsid w:val="002278D2"/>
    <w:rsid w:val="0022792B"/>
    <w:rsid w:val="0022794E"/>
    <w:rsid w:val="00227A44"/>
    <w:rsid w:val="00227C27"/>
    <w:rsid w:val="00230145"/>
    <w:rsid w:val="0023036E"/>
    <w:rsid w:val="002305B9"/>
    <w:rsid w:val="00230623"/>
    <w:rsid w:val="002306FE"/>
    <w:rsid w:val="00230C91"/>
    <w:rsid w:val="002313A9"/>
    <w:rsid w:val="002314A4"/>
    <w:rsid w:val="00231627"/>
    <w:rsid w:val="002316BD"/>
    <w:rsid w:val="00231C6B"/>
    <w:rsid w:val="002320DD"/>
    <w:rsid w:val="002321E1"/>
    <w:rsid w:val="002322A9"/>
    <w:rsid w:val="0023237B"/>
    <w:rsid w:val="00232846"/>
    <w:rsid w:val="00232871"/>
    <w:rsid w:val="00232981"/>
    <w:rsid w:val="00232FD8"/>
    <w:rsid w:val="0023308E"/>
    <w:rsid w:val="00233624"/>
    <w:rsid w:val="0023438A"/>
    <w:rsid w:val="0023444E"/>
    <w:rsid w:val="002345B4"/>
    <w:rsid w:val="0023473F"/>
    <w:rsid w:val="00234AF2"/>
    <w:rsid w:val="00234B98"/>
    <w:rsid w:val="00234C1D"/>
    <w:rsid w:val="00234EB1"/>
    <w:rsid w:val="002350AB"/>
    <w:rsid w:val="002354A1"/>
    <w:rsid w:val="00235744"/>
    <w:rsid w:val="002359B2"/>
    <w:rsid w:val="00235A7D"/>
    <w:rsid w:val="00235C9A"/>
    <w:rsid w:val="00235E44"/>
    <w:rsid w:val="00235E5F"/>
    <w:rsid w:val="002361DA"/>
    <w:rsid w:val="00236449"/>
    <w:rsid w:val="00236765"/>
    <w:rsid w:val="00236BCD"/>
    <w:rsid w:val="00236C30"/>
    <w:rsid w:val="00236D70"/>
    <w:rsid w:val="00236DFE"/>
    <w:rsid w:val="00236E31"/>
    <w:rsid w:val="00237127"/>
    <w:rsid w:val="00237372"/>
    <w:rsid w:val="00237443"/>
    <w:rsid w:val="00237468"/>
    <w:rsid w:val="002374AB"/>
    <w:rsid w:val="00237B47"/>
    <w:rsid w:val="00237C36"/>
    <w:rsid w:val="00237F05"/>
    <w:rsid w:val="00237FCF"/>
    <w:rsid w:val="002403AD"/>
    <w:rsid w:val="00240A65"/>
    <w:rsid w:val="00240B48"/>
    <w:rsid w:val="00240C22"/>
    <w:rsid w:val="00240F89"/>
    <w:rsid w:val="00241528"/>
    <w:rsid w:val="00241673"/>
    <w:rsid w:val="00241804"/>
    <w:rsid w:val="00241F25"/>
    <w:rsid w:val="002426F7"/>
    <w:rsid w:val="002427F4"/>
    <w:rsid w:val="00242803"/>
    <w:rsid w:val="00242854"/>
    <w:rsid w:val="00242A4C"/>
    <w:rsid w:val="00242A54"/>
    <w:rsid w:val="00242AFB"/>
    <w:rsid w:val="00242B34"/>
    <w:rsid w:val="00242C76"/>
    <w:rsid w:val="00242D30"/>
    <w:rsid w:val="00243104"/>
    <w:rsid w:val="00243486"/>
    <w:rsid w:val="00243628"/>
    <w:rsid w:val="00243AD4"/>
    <w:rsid w:val="00243BA0"/>
    <w:rsid w:val="00244511"/>
    <w:rsid w:val="0024453D"/>
    <w:rsid w:val="0024463D"/>
    <w:rsid w:val="00244711"/>
    <w:rsid w:val="0024490F"/>
    <w:rsid w:val="00244A5B"/>
    <w:rsid w:val="00244D56"/>
    <w:rsid w:val="002453AA"/>
    <w:rsid w:val="002456BD"/>
    <w:rsid w:val="002457DD"/>
    <w:rsid w:val="00245859"/>
    <w:rsid w:val="00245887"/>
    <w:rsid w:val="00245A3D"/>
    <w:rsid w:val="00245D38"/>
    <w:rsid w:val="00245FA4"/>
    <w:rsid w:val="00246211"/>
    <w:rsid w:val="0024629F"/>
    <w:rsid w:val="00246673"/>
    <w:rsid w:val="00246772"/>
    <w:rsid w:val="0024677A"/>
    <w:rsid w:val="00246982"/>
    <w:rsid w:val="00246D24"/>
    <w:rsid w:val="00246D3A"/>
    <w:rsid w:val="00246D92"/>
    <w:rsid w:val="002471A3"/>
    <w:rsid w:val="0024770A"/>
    <w:rsid w:val="002477A7"/>
    <w:rsid w:val="00247801"/>
    <w:rsid w:val="00247988"/>
    <w:rsid w:val="002479F2"/>
    <w:rsid w:val="002500A8"/>
    <w:rsid w:val="0025020C"/>
    <w:rsid w:val="0025038E"/>
    <w:rsid w:val="0025039D"/>
    <w:rsid w:val="00250470"/>
    <w:rsid w:val="0025053A"/>
    <w:rsid w:val="00250879"/>
    <w:rsid w:val="0025099A"/>
    <w:rsid w:val="00250AC8"/>
    <w:rsid w:val="00250C81"/>
    <w:rsid w:val="00250ECA"/>
    <w:rsid w:val="00250F51"/>
    <w:rsid w:val="002510D9"/>
    <w:rsid w:val="002512B5"/>
    <w:rsid w:val="00251504"/>
    <w:rsid w:val="0025184E"/>
    <w:rsid w:val="00251A22"/>
    <w:rsid w:val="00251B0A"/>
    <w:rsid w:val="00252155"/>
    <w:rsid w:val="00252358"/>
    <w:rsid w:val="002523D5"/>
    <w:rsid w:val="00252416"/>
    <w:rsid w:val="002525CD"/>
    <w:rsid w:val="00252B06"/>
    <w:rsid w:val="002532C3"/>
    <w:rsid w:val="00253410"/>
    <w:rsid w:val="00253452"/>
    <w:rsid w:val="00253505"/>
    <w:rsid w:val="002536D3"/>
    <w:rsid w:val="00253BE1"/>
    <w:rsid w:val="00253E70"/>
    <w:rsid w:val="002540A0"/>
    <w:rsid w:val="00254220"/>
    <w:rsid w:val="002542A2"/>
    <w:rsid w:val="00254451"/>
    <w:rsid w:val="002544FA"/>
    <w:rsid w:val="00254521"/>
    <w:rsid w:val="002546CC"/>
    <w:rsid w:val="00254776"/>
    <w:rsid w:val="00254A5E"/>
    <w:rsid w:val="00254E3F"/>
    <w:rsid w:val="002551FB"/>
    <w:rsid w:val="00255450"/>
    <w:rsid w:val="00255517"/>
    <w:rsid w:val="002556DE"/>
    <w:rsid w:val="002558D0"/>
    <w:rsid w:val="00255CAC"/>
    <w:rsid w:val="00255FAB"/>
    <w:rsid w:val="00255FDF"/>
    <w:rsid w:val="002561EA"/>
    <w:rsid w:val="0025674E"/>
    <w:rsid w:val="0025686E"/>
    <w:rsid w:val="0025693E"/>
    <w:rsid w:val="00256AC4"/>
    <w:rsid w:val="00256B5B"/>
    <w:rsid w:val="00256F43"/>
    <w:rsid w:val="002573ED"/>
    <w:rsid w:val="002574ED"/>
    <w:rsid w:val="002578D4"/>
    <w:rsid w:val="00257B15"/>
    <w:rsid w:val="00257C1A"/>
    <w:rsid w:val="00257C49"/>
    <w:rsid w:val="002600B7"/>
    <w:rsid w:val="002602BC"/>
    <w:rsid w:val="002603DE"/>
    <w:rsid w:val="00260B50"/>
    <w:rsid w:val="00260E4E"/>
    <w:rsid w:val="00260FD7"/>
    <w:rsid w:val="00261267"/>
    <w:rsid w:val="00261769"/>
    <w:rsid w:val="00261832"/>
    <w:rsid w:val="00261920"/>
    <w:rsid w:val="00261B4A"/>
    <w:rsid w:val="0026236F"/>
    <w:rsid w:val="00262427"/>
    <w:rsid w:val="00262633"/>
    <w:rsid w:val="00262652"/>
    <w:rsid w:val="0026295F"/>
    <w:rsid w:val="00262A44"/>
    <w:rsid w:val="00262BFC"/>
    <w:rsid w:val="00262D59"/>
    <w:rsid w:val="0026375D"/>
    <w:rsid w:val="0026383D"/>
    <w:rsid w:val="00263DF5"/>
    <w:rsid w:val="00264232"/>
    <w:rsid w:val="00264401"/>
    <w:rsid w:val="00264CE9"/>
    <w:rsid w:val="00264D3A"/>
    <w:rsid w:val="002657D9"/>
    <w:rsid w:val="00265802"/>
    <w:rsid w:val="00265974"/>
    <w:rsid w:val="0026608D"/>
    <w:rsid w:val="002662A0"/>
    <w:rsid w:val="0026666D"/>
    <w:rsid w:val="00266678"/>
    <w:rsid w:val="00266779"/>
    <w:rsid w:val="0026691D"/>
    <w:rsid w:val="00266D04"/>
    <w:rsid w:val="00266E21"/>
    <w:rsid w:val="0026749C"/>
    <w:rsid w:val="00267530"/>
    <w:rsid w:val="002679E7"/>
    <w:rsid w:val="00267A17"/>
    <w:rsid w:val="00267ACC"/>
    <w:rsid w:val="00267AFE"/>
    <w:rsid w:val="0027001F"/>
    <w:rsid w:val="002705E7"/>
    <w:rsid w:val="00271184"/>
    <w:rsid w:val="0027141F"/>
    <w:rsid w:val="00271625"/>
    <w:rsid w:val="002716B5"/>
    <w:rsid w:val="002718CA"/>
    <w:rsid w:val="00271B1F"/>
    <w:rsid w:val="00271DFC"/>
    <w:rsid w:val="0027210B"/>
    <w:rsid w:val="00272136"/>
    <w:rsid w:val="00272449"/>
    <w:rsid w:val="002724DE"/>
    <w:rsid w:val="002725E5"/>
    <w:rsid w:val="00272767"/>
    <w:rsid w:val="00272982"/>
    <w:rsid w:val="00272B61"/>
    <w:rsid w:val="00272CEA"/>
    <w:rsid w:val="00273642"/>
    <w:rsid w:val="0027419C"/>
    <w:rsid w:val="0027428E"/>
    <w:rsid w:val="002743BD"/>
    <w:rsid w:val="00274AC7"/>
    <w:rsid w:val="00274B3C"/>
    <w:rsid w:val="00274E80"/>
    <w:rsid w:val="00274EA6"/>
    <w:rsid w:val="0027590C"/>
    <w:rsid w:val="00275B1D"/>
    <w:rsid w:val="00275F4E"/>
    <w:rsid w:val="002761E5"/>
    <w:rsid w:val="0027654B"/>
    <w:rsid w:val="002767D5"/>
    <w:rsid w:val="00276961"/>
    <w:rsid w:val="00276973"/>
    <w:rsid w:val="00276C19"/>
    <w:rsid w:val="002772A9"/>
    <w:rsid w:val="002774E6"/>
    <w:rsid w:val="00277AEE"/>
    <w:rsid w:val="00277B4B"/>
    <w:rsid w:val="0028066B"/>
    <w:rsid w:val="00280847"/>
    <w:rsid w:val="0028087C"/>
    <w:rsid w:val="002808F3"/>
    <w:rsid w:val="00280DCE"/>
    <w:rsid w:val="002814DC"/>
    <w:rsid w:val="00281554"/>
    <w:rsid w:val="00281576"/>
    <w:rsid w:val="0028167C"/>
    <w:rsid w:val="00281C6E"/>
    <w:rsid w:val="00281CF0"/>
    <w:rsid w:val="00281D6A"/>
    <w:rsid w:val="00281DAC"/>
    <w:rsid w:val="002826E8"/>
    <w:rsid w:val="00282896"/>
    <w:rsid w:val="002828A3"/>
    <w:rsid w:val="00282AD3"/>
    <w:rsid w:val="00282CB4"/>
    <w:rsid w:val="00282FC2"/>
    <w:rsid w:val="00282FDA"/>
    <w:rsid w:val="0028305D"/>
    <w:rsid w:val="00283D08"/>
    <w:rsid w:val="002840AF"/>
    <w:rsid w:val="00284292"/>
    <w:rsid w:val="002844BC"/>
    <w:rsid w:val="002844E5"/>
    <w:rsid w:val="00284516"/>
    <w:rsid w:val="002845A7"/>
    <w:rsid w:val="00284C67"/>
    <w:rsid w:val="00284D43"/>
    <w:rsid w:val="00284D86"/>
    <w:rsid w:val="00284DE2"/>
    <w:rsid w:val="00285053"/>
    <w:rsid w:val="002850F1"/>
    <w:rsid w:val="0028526C"/>
    <w:rsid w:val="002852B8"/>
    <w:rsid w:val="0028583B"/>
    <w:rsid w:val="0028593B"/>
    <w:rsid w:val="0028594C"/>
    <w:rsid w:val="00285AB0"/>
    <w:rsid w:val="00285CA1"/>
    <w:rsid w:val="00286745"/>
    <w:rsid w:val="00286948"/>
    <w:rsid w:val="00286BAF"/>
    <w:rsid w:val="00286E70"/>
    <w:rsid w:val="002870D9"/>
    <w:rsid w:val="00287106"/>
    <w:rsid w:val="00287235"/>
    <w:rsid w:val="002873A3"/>
    <w:rsid w:val="002875BD"/>
    <w:rsid w:val="002877F3"/>
    <w:rsid w:val="00287832"/>
    <w:rsid w:val="00287993"/>
    <w:rsid w:val="00290847"/>
    <w:rsid w:val="00290914"/>
    <w:rsid w:val="00290D8D"/>
    <w:rsid w:val="00290E37"/>
    <w:rsid w:val="00290FED"/>
    <w:rsid w:val="00291016"/>
    <w:rsid w:val="00291092"/>
    <w:rsid w:val="002910BE"/>
    <w:rsid w:val="00291293"/>
    <w:rsid w:val="002912DE"/>
    <w:rsid w:val="0029142F"/>
    <w:rsid w:val="00291518"/>
    <w:rsid w:val="002916A5"/>
    <w:rsid w:val="002918E5"/>
    <w:rsid w:val="00291C6F"/>
    <w:rsid w:val="00291CAB"/>
    <w:rsid w:val="00291CC5"/>
    <w:rsid w:val="00292070"/>
    <w:rsid w:val="0029223F"/>
    <w:rsid w:val="002922F4"/>
    <w:rsid w:val="002922FB"/>
    <w:rsid w:val="002923B6"/>
    <w:rsid w:val="002929B0"/>
    <w:rsid w:val="00292A88"/>
    <w:rsid w:val="00292B33"/>
    <w:rsid w:val="00292BF8"/>
    <w:rsid w:val="002930DE"/>
    <w:rsid w:val="002932B1"/>
    <w:rsid w:val="002936E6"/>
    <w:rsid w:val="00293763"/>
    <w:rsid w:val="0029376E"/>
    <w:rsid w:val="00293951"/>
    <w:rsid w:val="002939F1"/>
    <w:rsid w:val="00293EED"/>
    <w:rsid w:val="002945E8"/>
    <w:rsid w:val="00294677"/>
    <w:rsid w:val="002947F1"/>
    <w:rsid w:val="0029488B"/>
    <w:rsid w:val="00294980"/>
    <w:rsid w:val="00294DE7"/>
    <w:rsid w:val="00294EC5"/>
    <w:rsid w:val="002953AB"/>
    <w:rsid w:val="0029590C"/>
    <w:rsid w:val="00295D97"/>
    <w:rsid w:val="00295DA6"/>
    <w:rsid w:val="002961DA"/>
    <w:rsid w:val="002963CC"/>
    <w:rsid w:val="002966E2"/>
    <w:rsid w:val="00296D1E"/>
    <w:rsid w:val="00297354"/>
    <w:rsid w:val="002975F4"/>
    <w:rsid w:val="002976C9"/>
    <w:rsid w:val="0029783D"/>
    <w:rsid w:val="00297AC3"/>
    <w:rsid w:val="00297BC8"/>
    <w:rsid w:val="00297CC5"/>
    <w:rsid w:val="002A01E1"/>
    <w:rsid w:val="002A020C"/>
    <w:rsid w:val="002A043F"/>
    <w:rsid w:val="002A0547"/>
    <w:rsid w:val="002A0915"/>
    <w:rsid w:val="002A0E94"/>
    <w:rsid w:val="002A1206"/>
    <w:rsid w:val="002A1254"/>
    <w:rsid w:val="002A16E6"/>
    <w:rsid w:val="002A17EF"/>
    <w:rsid w:val="002A1B1B"/>
    <w:rsid w:val="002A1BAA"/>
    <w:rsid w:val="002A1BCF"/>
    <w:rsid w:val="002A1DF3"/>
    <w:rsid w:val="002A1F05"/>
    <w:rsid w:val="002A20B7"/>
    <w:rsid w:val="002A2280"/>
    <w:rsid w:val="002A230A"/>
    <w:rsid w:val="002A2A1F"/>
    <w:rsid w:val="002A2BD5"/>
    <w:rsid w:val="002A2E67"/>
    <w:rsid w:val="002A2F05"/>
    <w:rsid w:val="002A3108"/>
    <w:rsid w:val="002A3125"/>
    <w:rsid w:val="002A3333"/>
    <w:rsid w:val="002A335C"/>
    <w:rsid w:val="002A36A3"/>
    <w:rsid w:val="002A373A"/>
    <w:rsid w:val="002A3795"/>
    <w:rsid w:val="002A3909"/>
    <w:rsid w:val="002A39DC"/>
    <w:rsid w:val="002A424C"/>
    <w:rsid w:val="002A4372"/>
    <w:rsid w:val="002A473B"/>
    <w:rsid w:val="002A4ADA"/>
    <w:rsid w:val="002A4C3F"/>
    <w:rsid w:val="002A4E3E"/>
    <w:rsid w:val="002A50C4"/>
    <w:rsid w:val="002A5144"/>
    <w:rsid w:val="002A51A8"/>
    <w:rsid w:val="002A5346"/>
    <w:rsid w:val="002A53CA"/>
    <w:rsid w:val="002A5475"/>
    <w:rsid w:val="002A5493"/>
    <w:rsid w:val="002A55CA"/>
    <w:rsid w:val="002A5866"/>
    <w:rsid w:val="002A5945"/>
    <w:rsid w:val="002A5AAF"/>
    <w:rsid w:val="002A5BCB"/>
    <w:rsid w:val="002A5D27"/>
    <w:rsid w:val="002A5E2D"/>
    <w:rsid w:val="002A5ED3"/>
    <w:rsid w:val="002A6499"/>
    <w:rsid w:val="002A66F5"/>
    <w:rsid w:val="002A6861"/>
    <w:rsid w:val="002A6C5C"/>
    <w:rsid w:val="002A6CA4"/>
    <w:rsid w:val="002A6F7C"/>
    <w:rsid w:val="002A6FBA"/>
    <w:rsid w:val="002A741C"/>
    <w:rsid w:val="002A7E68"/>
    <w:rsid w:val="002A7F93"/>
    <w:rsid w:val="002B00D0"/>
    <w:rsid w:val="002B02BD"/>
    <w:rsid w:val="002B0341"/>
    <w:rsid w:val="002B038C"/>
    <w:rsid w:val="002B04A5"/>
    <w:rsid w:val="002B04B8"/>
    <w:rsid w:val="002B0C8F"/>
    <w:rsid w:val="002B0CF8"/>
    <w:rsid w:val="002B0E63"/>
    <w:rsid w:val="002B1551"/>
    <w:rsid w:val="002B1581"/>
    <w:rsid w:val="002B15E9"/>
    <w:rsid w:val="002B16C7"/>
    <w:rsid w:val="002B1884"/>
    <w:rsid w:val="002B1CF0"/>
    <w:rsid w:val="002B1DC5"/>
    <w:rsid w:val="002B237B"/>
    <w:rsid w:val="002B2386"/>
    <w:rsid w:val="002B2502"/>
    <w:rsid w:val="002B260F"/>
    <w:rsid w:val="002B267E"/>
    <w:rsid w:val="002B286E"/>
    <w:rsid w:val="002B2A3B"/>
    <w:rsid w:val="002B2B2D"/>
    <w:rsid w:val="002B30F5"/>
    <w:rsid w:val="002B3139"/>
    <w:rsid w:val="002B31C9"/>
    <w:rsid w:val="002B32C9"/>
    <w:rsid w:val="002B32F3"/>
    <w:rsid w:val="002B33A4"/>
    <w:rsid w:val="002B3453"/>
    <w:rsid w:val="002B4304"/>
    <w:rsid w:val="002B4512"/>
    <w:rsid w:val="002B46E8"/>
    <w:rsid w:val="002B4A25"/>
    <w:rsid w:val="002B4A29"/>
    <w:rsid w:val="002B4F72"/>
    <w:rsid w:val="002B51E7"/>
    <w:rsid w:val="002B5220"/>
    <w:rsid w:val="002B5485"/>
    <w:rsid w:val="002B54B8"/>
    <w:rsid w:val="002B5651"/>
    <w:rsid w:val="002B5A64"/>
    <w:rsid w:val="002B5B58"/>
    <w:rsid w:val="002B5C1E"/>
    <w:rsid w:val="002B65A4"/>
    <w:rsid w:val="002B67C8"/>
    <w:rsid w:val="002B6F11"/>
    <w:rsid w:val="002B78D8"/>
    <w:rsid w:val="002B78E3"/>
    <w:rsid w:val="002B7BDE"/>
    <w:rsid w:val="002B7CCE"/>
    <w:rsid w:val="002B7F1F"/>
    <w:rsid w:val="002C00AB"/>
    <w:rsid w:val="002C02E4"/>
    <w:rsid w:val="002C06F4"/>
    <w:rsid w:val="002C076D"/>
    <w:rsid w:val="002C07AD"/>
    <w:rsid w:val="002C0835"/>
    <w:rsid w:val="002C0A3F"/>
    <w:rsid w:val="002C0D0D"/>
    <w:rsid w:val="002C0FEE"/>
    <w:rsid w:val="002C13CE"/>
    <w:rsid w:val="002C152D"/>
    <w:rsid w:val="002C1718"/>
    <w:rsid w:val="002C171D"/>
    <w:rsid w:val="002C1736"/>
    <w:rsid w:val="002C1B0F"/>
    <w:rsid w:val="002C1EC5"/>
    <w:rsid w:val="002C2103"/>
    <w:rsid w:val="002C216A"/>
    <w:rsid w:val="002C25AD"/>
    <w:rsid w:val="002C35CE"/>
    <w:rsid w:val="002C3AF4"/>
    <w:rsid w:val="002C3C64"/>
    <w:rsid w:val="002C3DFA"/>
    <w:rsid w:val="002C4254"/>
    <w:rsid w:val="002C4389"/>
    <w:rsid w:val="002C43EE"/>
    <w:rsid w:val="002C43F5"/>
    <w:rsid w:val="002C47CB"/>
    <w:rsid w:val="002C4B61"/>
    <w:rsid w:val="002C4C26"/>
    <w:rsid w:val="002C4C46"/>
    <w:rsid w:val="002C504D"/>
    <w:rsid w:val="002C5585"/>
    <w:rsid w:val="002C57D3"/>
    <w:rsid w:val="002C5A60"/>
    <w:rsid w:val="002C5ADA"/>
    <w:rsid w:val="002C5D30"/>
    <w:rsid w:val="002C5F4D"/>
    <w:rsid w:val="002C5F65"/>
    <w:rsid w:val="002C5F95"/>
    <w:rsid w:val="002C5FF5"/>
    <w:rsid w:val="002C646D"/>
    <w:rsid w:val="002C6478"/>
    <w:rsid w:val="002C64FE"/>
    <w:rsid w:val="002C682D"/>
    <w:rsid w:val="002C6C31"/>
    <w:rsid w:val="002C6E0C"/>
    <w:rsid w:val="002C6E88"/>
    <w:rsid w:val="002C6F03"/>
    <w:rsid w:val="002C6FD1"/>
    <w:rsid w:val="002C719F"/>
    <w:rsid w:val="002C75B0"/>
    <w:rsid w:val="002C75E1"/>
    <w:rsid w:val="002C7744"/>
    <w:rsid w:val="002C7E79"/>
    <w:rsid w:val="002D002B"/>
    <w:rsid w:val="002D0272"/>
    <w:rsid w:val="002D0392"/>
    <w:rsid w:val="002D04CB"/>
    <w:rsid w:val="002D0550"/>
    <w:rsid w:val="002D077E"/>
    <w:rsid w:val="002D098A"/>
    <w:rsid w:val="002D0C6B"/>
    <w:rsid w:val="002D0DFA"/>
    <w:rsid w:val="002D116C"/>
    <w:rsid w:val="002D19A0"/>
    <w:rsid w:val="002D1A95"/>
    <w:rsid w:val="002D1B3D"/>
    <w:rsid w:val="002D1C88"/>
    <w:rsid w:val="002D1E15"/>
    <w:rsid w:val="002D27BD"/>
    <w:rsid w:val="002D2FF2"/>
    <w:rsid w:val="002D3326"/>
    <w:rsid w:val="002D356F"/>
    <w:rsid w:val="002D3979"/>
    <w:rsid w:val="002D3A18"/>
    <w:rsid w:val="002D3F9B"/>
    <w:rsid w:val="002D4365"/>
    <w:rsid w:val="002D4426"/>
    <w:rsid w:val="002D44A6"/>
    <w:rsid w:val="002D45F1"/>
    <w:rsid w:val="002D473A"/>
    <w:rsid w:val="002D482A"/>
    <w:rsid w:val="002D4990"/>
    <w:rsid w:val="002D4C83"/>
    <w:rsid w:val="002D5042"/>
    <w:rsid w:val="002D51DE"/>
    <w:rsid w:val="002D5527"/>
    <w:rsid w:val="002D5627"/>
    <w:rsid w:val="002D5654"/>
    <w:rsid w:val="002D57E6"/>
    <w:rsid w:val="002D5E46"/>
    <w:rsid w:val="002D5F22"/>
    <w:rsid w:val="002D6125"/>
    <w:rsid w:val="002D6775"/>
    <w:rsid w:val="002D6CAF"/>
    <w:rsid w:val="002D6F36"/>
    <w:rsid w:val="002D75DC"/>
    <w:rsid w:val="002D75F6"/>
    <w:rsid w:val="002D7842"/>
    <w:rsid w:val="002D791C"/>
    <w:rsid w:val="002D7C73"/>
    <w:rsid w:val="002D7D58"/>
    <w:rsid w:val="002D7D9E"/>
    <w:rsid w:val="002D7E4C"/>
    <w:rsid w:val="002E03AC"/>
    <w:rsid w:val="002E078E"/>
    <w:rsid w:val="002E0BB6"/>
    <w:rsid w:val="002E0C4C"/>
    <w:rsid w:val="002E0D90"/>
    <w:rsid w:val="002E0EB1"/>
    <w:rsid w:val="002E0EDB"/>
    <w:rsid w:val="002E175F"/>
    <w:rsid w:val="002E1D28"/>
    <w:rsid w:val="002E1F18"/>
    <w:rsid w:val="002E1F66"/>
    <w:rsid w:val="002E2193"/>
    <w:rsid w:val="002E2239"/>
    <w:rsid w:val="002E2431"/>
    <w:rsid w:val="002E296A"/>
    <w:rsid w:val="002E2AF2"/>
    <w:rsid w:val="002E2F82"/>
    <w:rsid w:val="002E30EC"/>
    <w:rsid w:val="002E379D"/>
    <w:rsid w:val="002E397A"/>
    <w:rsid w:val="002E39C6"/>
    <w:rsid w:val="002E3AC4"/>
    <w:rsid w:val="002E3B6E"/>
    <w:rsid w:val="002E3CFB"/>
    <w:rsid w:val="002E3D53"/>
    <w:rsid w:val="002E4062"/>
    <w:rsid w:val="002E4157"/>
    <w:rsid w:val="002E42FA"/>
    <w:rsid w:val="002E44A4"/>
    <w:rsid w:val="002E44CD"/>
    <w:rsid w:val="002E4514"/>
    <w:rsid w:val="002E4BC4"/>
    <w:rsid w:val="002E5096"/>
    <w:rsid w:val="002E5168"/>
    <w:rsid w:val="002E5301"/>
    <w:rsid w:val="002E547B"/>
    <w:rsid w:val="002E58CA"/>
    <w:rsid w:val="002E5E03"/>
    <w:rsid w:val="002E655B"/>
    <w:rsid w:val="002E657E"/>
    <w:rsid w:val="002E66FA"/>
    <w:rsid w:val="002E6798"/>
    <w:rsid w:val="002E6989"/>
    <w:rsid w:val="002E6D08"/>
    <w:rsid w:val="002E71D8"/>
    <w:rsid w:val="002E746B"/>
    <w:rsid w:val="002E7A72"/>
    <w:rsid w:val="002E7D2D"/>
    <w:rsid w:val="002E7F5E"/>
    <w:rsid w:val="002F0311"/>
    <w:rsid w:val="002F0589"/>
    <w:rsid w:val="002F0623"/>
    <w:rsid w:val="002F0C81"/>
    <w:rsid w:val="002F0E56"/>
    <w:rsid w:val="002F0F69"/>
    <w:rsid w:val="002F1250"/>
    <w:rsid w:val="002F18F3"/>
    <w:rsid w:val="002F1982"/>
    <w:rsid w:val="002F1D9A"/>
    <w:rsid w:val="002F1F36"/>
    <w:rsid w:val="002F1FE4"/>
    <w:rsid w:val="002F217D"/>
    <w:rsid w:val="002F2180"/>
    <w:rsid w:val="002F21EB"/>
    <w:rsid w:val="002F2381"/>
    <w:rsid w:val="002F23FF"/>
    <w:rsid w:val="002F26BF"/>
    <w:rsid w:val="002F2B5C"/>
    <w:rsid w:val="002F2C15"/>
    <w:rsid w:val="002F2C38"/>
    <w:rsid w:val="002F2F8E"/>
    <w:rsid w:val="002F3607"/>
    <w:rsid w:val="002F3A73"/>
    <w:rsid w:val="002F3EE3"/>
    <w:rsid w:val="002F3F63"/>
    <w:rsid w:val="002F3FE4"/>
    <w:rsid w:val="002F42A5"/>
    <w:rsid w:val="002F4358"/>
    <w:rsid w:val="002F4AE7"/>
    <w:rsid w:val="002F4F23"/>
    <w:rsid w:val="002F5595"/>
    <w:rsid w:val="002F5815"/>
    <w:rsid w:val="002F5B00"/>
    <w:rsid w:val="002F5B9C"/>
    <w:rsid w:val="002F5CB6"/>
    <w:rsid w:val="002F5D50"/>
    <w:rsid w:val="002F5D9D"/>
    <w:rsid w:val="002F6498"/>
    <w:rsid w:val="002F6587"/>
    <w:rsid w:val="002F6616"/>
    <w:rsid w:val="002F68C1"/>
    <w:rsid w:val="002F6A48"/>
    <w:rsid w:val="002F6B46"/>
    <w:rsid w:val="002F6C49"/>
    <w:rsid w:val="002F70EF"/>
    <w:rsid w:val="002F72FC"/>
    <w:rsid w:val="002F7799"/>
    <w:rsid w:val="002F7A39"/>
    <w:rsid w:val="00300072"/>
    <w:rsid w:val="00300193"/>
    <w:rsid w:val="003004DF"/>
    <w:rsid w:val="0030050B"/>
    <w:rsid w:val="0030056F"/>
    <w:rsid w:val="00300B8B"/>
    <w:rsid w:val="00300E55"/>
    <w:rsid w:val="00301196"/>
    <w:rsid w:val="003012C4"/>
    <w:rsid w:val="0030142E"/>
    <w:rsid w:val="003017E0"/>
    <w:rsid w:val="00301A18"/>
    <w:rsid w:val="00301B0A"/>
    <w:rsid w:val="00301BA3"/>
    <w:rsid w:val="00301E07"/>
    <w:rsid w:val="00301EB9"/>
    <w:rsid w:val="00302087"/>
    <w:rsid w:val="003021B6"/>
    <w:rsid w:val="0030270C"/>
    <w:rsid w:val="00302998"/>
    <w:rsid w:val="00302AD8"/>
    <w:rsid w:val="00302CA6"/>
    <w:rsid w:val="00302D21"/>
    <w:rsid w:val="00302DBB"/>
    <w:rsid w:val="00302EE5"/>
    <w:rsid w:val="00302FDC"/>
    <w:rsid w:val="00303BB5"/>
    <w:rsid w:val="00303D59"/>
    <w:rsid w:val="003041B1"/>
    <w:rsid w:val="003041C5"/>
    <w:rsid w:val="003042E1"/>
    <w:rsid w:val="0030437A"/>
    <w:rsid w:val="00304384"/>
    <w:rsid w:val="00304508"/>
    <w:rsid w:val="0030476C"/>
    <w:rsid w:val="003047D3"/>
    <w:rsid w:val="00304988"/>
    <w:rsid w:val="00304A35"/>
    <w:rsid w:val="00304A51"/>
    <w:rsid w:val="00304B58"/>
    <w:rsid w:val="00304FCC"/>
    <w:rsid w:val="00305229"/>
    <w:rsid w:val="00305742"/>
    <w:rsid w:val="00305AF8"/>
    <w:rsid w:val="00305AFC"/>
    <w:rsid w:val="00305C5C"/>
    <w:rsid w:val="00305CAB"/>
    <w:rsid w:val="00305D31"/>
    <w:rsid w:val="00306CB2"/>
    <w:rsid w:val="00306FA9"/>
    <w:rsid w:val="0030758D"/>
    <w:rsid w:val="003077C8"/>
    <w:rsid w:val="00307CD5"/>
    <w:rsid w:val="00307E24"/>
    <w:rsid w:val="00307F59"/>
    <w:rsid w:val="00310475"/>
    <w:rsid w:val="0031067D"/>
    <w:rsid w:val="00310B01"/>
    <w:rsid w:val="00310B72"/>
    <w:rsid w:val="00310BDE"/>
    <w:rsid w:val="00310F48"/>
    <w:rsid w:val="003111D6"/>
    <w:rsid w:val="00311763"/>
    <w:rsid w:val="00311A5C"/>
    <w:rsid w:val="00311D8B"/>
    <w:rsid w:val="00311DC1"/>
    <w:rsid w:val="0031226E"/>
    <w:rsid w:val="0031287B"/>
    <w:rsid w:val="00312B8B"/>
    <w:rsid w:val="00312BCE"/>
    <w:rsid w:val="00312D4B"/>
    <w:rsid w:val="00313479"/>
    <w:rsid w:val="00313B0C"/>
    <w:rsid w:val="0031422A"/>
    <w:rsid w:val="00314555"/>
    <w:rsid w:val="003145D1"/>
    <w:rsid w:val="00314893"/>
    <w:rsid w:val="00314944"/>
    <w:rsid w:val="00314C44"/>
    <w:rsid w:val="00314D91"/>
    <w:rsid w:val="00314DA6"/>
    <w:rsid w:val="00314F2A"/>
    <w:rsid w:val="00315756"/>
    <w:rsid w:val="00315883"/>
    <w:rsid w:val="00315B77"/>
    <w:rsid w:val="00315DA7"/>
    <w:rsid w:val="00315E86"/>
    <w:rsid w:val="00315EAF"/>
    <w:rsid w:val="00316012"/>
    <w:rsid w:val="00316021"/>
    <w:rsid w:val="0031607E"/>
    <w:rsid w:val="00316298"/>
    <w:rsid w:val="003162B6"/>
    <w:rsid w:val="0031660E"/>
    <w:rsid w:val="0031669A"/>
    <w:rsid w:val="00316725"/>
    <w:rsid w:val="003168C1"/>
    <w:rsid w:val="00316EA9"/>
    <w:rsid w:val="00316EB1"/>
    <w:rsid w:val="00316EEB"/>
    <w:rsid w:val="00316FA4"/>
    <w:rsid w:val="0031713C"/>
    <w:rsid w:val="00317290"/>
    <w:rsid w:val="00317472"/>
    <w:rsid w:val="00317534"/>
    <w:rsid w:val="003176F4"/>
    <w:rsid w:val="00317774"/>
    <w:rsid w:val="00317949"/>
    <w:rsid w:val="00317CAC"/>
    <w:rsid w:val="00317E0B"/>
    <w:rsid w:val="00320036"/>
    <w:rsid w:val="00320282"/>
    <w:rsid w:val="00320540"/>
    <w:rsid w:val="0032064B"/>
    <w:rsid w:val="003207EE"/>
    <w:rsid w:val="003208EA"/>
    <w:rsid w:val="00320967"/>
    <w:rsid w:val="00320A84"/>
    <w:rsid w:val="00320D38"/>
    <w:rsid w:val="00320DD7"/>
    <w:rsid w:val="00320F6E"/>
    <w:rsid w:val="003211C9"/>
    <w:rsid w:val="003213C1"/>
    <w:rsid w:val="0032143E"/>
    <w:rsid w:val="003214AD"/>
    <w:rsid w:val="0032154E"/>
    <w:rsid w:val="00321562"/>
    <w:rsid w:val="00321573"/>
    <w:rsid w:val="00321C00"/>
    <w:rsid w:val="0032201D"/>
    <w:rsid w:val="00322060"/>
    <w:rsid w:val="00322308"/>
    <w:rsid w:val="00322F9A"/>
    <w:rsid w:val="003230B3"/>
    <w:rsid w:val="003231F3"/>
    <w:rsid w:val="003235AC"/>
    <w:rsid w:val="0032377C"/>
    <w:rsid w:val="003238A7"/>
    <w:rsid w:val="0032396C"/>
    <w:rsid w:val="00323AC7"/>
    <w:rsid w:val="00324312"/>
    <w:rsid w:val="003243DA"/>
    <w:rsid w:val="00324661"/>
    <w:rsid w:val="003248DA"/>
    <w:rsid w:val="0032491D"/>
    <w:rsid w:val="0032498C"/>
    <w:rsid w:val="00324A5B"/>
    <w:rsid w:val="00324F31"/>
    <w:rsid w:val="0032504A"/>
    <w:rsid w:val="00325378"/>
    <w:rsid w:val="00325598"/>
    <w:rsid w:val="00325599"/>
    <w:rsid w:val="003255EA"/>
    <w:rsid w:val="00325DAF"/>
    <w:rsid w:val="00325E57"/>
    <w:rsid w:val="00326276"/>
    <w:rsid w:val="003262AC"/>
    <w:rsid w:val="00326474"/>
    <w:rsid w:val="0032698C"/>
    <w:rsid w:val="00326BBD"/>
    <w:rsid w:val="00326DB4"/>
    <w:rsid w:val="00326F49"/>
    <w:rsid w:val="0032701C"/>
    <w:rsid w:val="00327122"/>
    <w:rsid w:val="0032717C"/>
    <w:rsid w:val="003275EE"/>
    <w:rsid w:val="00327647"/>
    <w:rsid w:val="0032767A"/>
    <w:rsid w:val="00327A60"/>
    <w:rsid w:val="00327BA6"/>
    <w:rsid w:val="00327E28"/>
    <w:rsid w:val="003302E9"/>
    <w:rsid w:val="0033061A"/>
    <w:rsid w:val="003306D1"/>
    <w:rsid w:val="003308C6"/>
    <w:rsid w:val="003309DC"/>
    <w:rsid w:val="00330EF4"/>
    <w:rsid w:val="00331298"/>
    <w:rsid w:val="003318A2"/>
    <w:rsid w:val="00331EB1"/>
    <w:rsid w:val="00331FBE"/>
    <w:rsid w:val="003322A0"/>
    <w:rsid w:val="00332472"/>
    <w:rsid w:val="003324C1"/>
    <w:rsid w:val="0033254B"/>
    <w:rsid w:val="00332617"/>
    <w:rsid w:val="0033285A"/>
    <w:rsid w:val="00332879"/>
    <w:rsid w:val="00332995"/>
    <w:rsid w:val="00332A7F"/>
    <w:rsid w:val="00332B27"/>
    <w:rsid w:val="00332BE3"/>
    <w:rsid w:val="00332D9B"/>
    <w:rsid w:val="00332F68"/>
    <w:rsid w:val="003331B3"/>
    <w:rsid w:val="00333279"/>
    <w:rsid w:val="00333467"/>
    <w:rsid w:val="00333494"/>
    <w:rsid w:val="0033356D"/>
    <w:rsid w:val="003336A6"/>
    <w:rsid w:val="0033385F"/>
    <w:rsid w:val="00333B7A"/>
    <w:rsid w:val="00333C90"/>
    <w:rsid w:val="00334236"/>
    <w:rsid w:val="003344CF"/>
    <w:rsid w:val="003344F9"/>
    <w:rsid w:val="003345FD"/>
    <w:rsid w:val="0033485E"/>
    <w:rsid w:val="003348AF"/>
    <w:rsid w:val="00334ACC"/>
    <w:rsid w:val="003351EA"/>
    <w:rsid w:val="0033573D"/>
    <w:rsid w:val="0033598F"/>
    <w:rsid w:val="003359E2"/>
    <w:rsid w:val="00335AF8"/>
    <w:rsid w:val="00335C99"/>
    <w:rsid w:val="00335F79"/>
    <w:rsid w:val="00336045"/>
    <w:rsid w:val="0033608A"/>
    <w:rsid w:val="00336116"/>
    <w:rsid w:val="00336194"/>
    <w:rsid w:val="00336ADF"/>
    <w:rsid w:val="00336BCD"/>
    <w:rsid w:val="00337016"/>
    <w:rsid w:val="00337189"/>
    <w:rsid w:val="003373A6"/>
    <w:rsid w:val="00337A6E"/>
    <w:rsid w:val="00337ACD"/>
    <w:rsid w:val="00337EB7"/>
    <w:rsid w:val="0034003E"/>
    <w:rsid w:val="003401AD"/>
    <w:rsid w:val="00340231"/>
    <w:rsid w:val="003403CC"/>
    <w:rsid w:val="0034044D"/>
    <w:rsid w:val="00340570"/>
    <w:rsid w:val="0034097B"/>
    <w:rsid w:val="00340BE0"/>
    <w:rsid w:val="00340DC1"/>
    <w:rsid w:val="00340E3B"/>
    <w:rsid w:val="00340EFF"/>
    <w:rsid w:val="00341542"/>
    <w:rsid w:val="00341B0A"/>
    <w:rsid w:val="00341CA8"/>
    <w:rsid w:val="003420D5"/>
    <w:rsid w:val="0034211E"/>
    <w:rsid w:val="00342429"/>
    <w:rsid w:val="00342741"/>
    <w:rsid w:val="0034279B"/>
    <w:rsid w:val="00342A07"/>
    <w:rsid w:val="00342A54"/>
    <w:rsid w:val="00342A62"/>
    <w:rsid w:val="00342CEC"/>
    <w:rsid w:val="00342F1B"/>
    <w:rsid w:val="0034312B"/>
    <w:rsid w:val="003433C4"/>
    <w:rsid w:val="00343545"/>
    <w:rsid w:val="00343BE8"/>
    <w:rsid w:val="00343CEB"/>
    <w:rsid w:val="00343F79"/>
    <w:rsid w:val="00344237"/>
    <w:rsid w:val="00344374"/>
    <w:rsid w:val="003444EC"/>
    <w:rsid w:val="00344569"/>
    <w:rsid w:val="00344766"/>
    <w:rsid w:val="0034482C"/>
    <w:rsid w:val="00344B75"/>
    <w:rsid w:val="00344BC9"/>
    <w:rsid w:val="00344E8D"/>
    <w:rsid w:val="0034537F"/>
    <w:rsid w:val="0034612D"/>
    <w:rsid w:val="003463AA"/>
    <w:rsid w:val="003463DD"/>
    <w:rsid w:val="003466A1"/>
    <w:rsid w:val="0034686E"/>
    <w:rsid w:val="00346B83"/>
    <w:rsid w:val="00346BE1"/>
    <w:rsid w:val="00346C1A"/>
    <w:rsid w:val="00346E77"/>
    <w:rsid w:val="00346F8C"/>
    <w:rsid w:val="0034702B"/>
    <w:rsid w:val="003470F0"/>
    <w:rsid w:val="00347350"/>
    <w:rsid w:val="0034741E"/>
    <w:rsid w:val="003474D3"/>
    <w:rsid w:val="003474DA"/>
    <w:rsid w:val="0034764F"/>
    <w:rsid w:val="0034776E"/>
    <w:rsid w:val="00347843"/>
    <w:rsid w:val="003479AB"/>
    <w:rsid w:val="00347ABF"/>
    <w:rsid w:val="00347DA9"/>
    <w:rsid w:val="00347E2C"/>
    <w:rsid w:val="00347E9A"/>
    <w:rsid w:val="003500D9"/>
    <w:rsid w:val="00350758"/>
    <w:rsid w:val="00350861"/>
    <w:rsid w:val="00350A9D"/>
    <w:rsid w:val="00350AE1"/>
    <w:rsid w:val="00350C4E"/>
    <w:rsid w:val="00350E04"/>
    <w:rsid w:val="00350F2B"/>
    <w:rsid w:val="0035109B"/>
    <w:rsid w:val="00351659"/>
    <w:rsid w:val="00351B62"/>
    <w:rsid w:val="00351C22"/>
    <w:rsid w:val="00351F25"/>
    <w:rsid w:val="00351F55"/>
    <w:rsid w:val="00351FE1"/>
    <w:rsid w:val="00352193"/>
    <w:rsid w:val="0035239E"/>
    <w:rsid w:val="0035240A"/>
    <w:rsid w:val="00352963"/>
    <w:rsid w:val="00352DC4"/>
    <w:rsid w:val="003531A4"/>
    <w:rsid w:val="00353250"/>
    <w:rsid w:val="00353298"/>
    <w:rsid w:val="003532BA"/>
    <w:rsid w:val="003534B8"/>
    <w:rsid w:val="00353568"/>
    <w:rsid w:val="003537E9"/>
    <w:rsid w:val="00353937"/>
    <w:rsid w:val="00353A69"/>
    <w:rsid w:val="00353A99"/>
    <w:rsid w:val="0035400B"/>
    <w:rsid w:val="00354252"/>
    <w:rsid w:val="00354314"/>
    <w:rsid w:val="003546FB"/>
    <w:rsid w:val="00354988"/>
    <w:rsid w:val="003549D1"/>
    <w:rsid w:val="00354AAB"/>
    <w:rsid w:val="00354B87"/>
    <w:rsid w:val="003550E1"/>
    <w:rsid w:val="0035523A"/>
    <w:rsid w:val="0035561A"/>
    <w:rsid w:val="003556E1"/>
    <w:rsid w:val="00355BE0"/>
    <w:rsid w:val="00355E35"/>
    <w:rsid w:val="00356151"/>
    <w:rsid w:val="00356321"/>
    <w:rsid w:val="00356371"/>
    <w:rsid w:val="003565B8"/>
    <w:rsid w:val="003566B9"/>
    <w:rsid w:val="003566E4"/>
    <w:rsid w:val="00356AD1"/>
    <w:rsid w:val="00356AF3"/>
    <w:rsid w:val="00356B3A"/>
    <w:rsid w:val="00356BEB"/>
    <w:rsid w:val="00356D05"/>
    <w:rsid w:val="00356D3C"/>
    <w:rsid w:val="00356E33"/>
    <w:rsid w:val="00357016"/>
    <w:rsid w:val="00357151"/>
    <w:rsid w:val="003576CB"/>
    <w:rsid w:val="00357DDB"/>
    <w:rsid w:val="0036008E"/>
    <w:rsid w:val="0036061D"/>
    <w:rsid w:val="0036061E"/>
    <w:rsid w:val="00360686"/>
    <w:rsid w:val="00360985"/>
    <w:rsid w:val="00360B51"/>
    <w:rsid w:val="00360E13"/>
    <w:rsid w:val="00361306"/>
    <w:rsid w:val="00361494"/>
    <w:rsid w:val="003616E3"/>
    <w:rsid w:val="00361774"/>
    <w:rsid w:val="003618EC"/>
    <w:rsid w:val="00361A7A"/>
    <w:rsid w:val="00361B26"/>
    <w:rsid w:val="00361B86"/>
    <w:rsid w:val="00361DFD"/>
    <w:rsid w:val="0036212E"/>
    <w:rsid w:val="00362152"/>
    <w:rsid w:val="003627C6"/>
    <w:rsid w:val="003627FD"/>
    <w:rsid w:val="003629E4"/>
    <w:rsid w:val="00362AC8"/>
    <w:rsid w:val="00362B1D"/>
    <w:rsid w:val="00363143"/>
    <w:rsid w:val="0036326E"/>
    <w:rsid w:val="003632CD"/>
    <w:rsid w:val="003634D4"/>
    <w:rsid w:val="00363636"/>
    <w:rsid w:val="0036372D"/>
    <w:rsid w:val="003639C3"/>
    <w:rsid w:val="00363C08"/>
    <w:rsid w:val="00363C32"/>
    <w:rsid w:val="003640AA"/>
    <w:rsid w:val="003642F2"/>
    <w:rsid w:val="0036437F"/>
    <w:rsid w:val="00364404"/>
    <w:rsid w:val="003645DA"/>
    <w:rsid w:val="003646F8"/>
    <w:rsid w:val="0036470E"/>
    <w:rsid w:val="00364A5B"/>
    <w:rsid w:val="00364ABC"/>
    <w:rsid w:val="003651C8"/>
    <w:rsid w:val="00365271"/>
    <w:rsid w:val="00365440"/>
    <w:rsid w:val="00365621"/>
    <w:rsid w:val="00365807"/>
    <w:rsid w:val="00365A35"/>
    <w:rsid w:val="00365CD5"/>
    <w:rsid w:val="00365FB6"/>
    <w:rsid w:val="00365FE4"/>
    <w:rsid w:val="0036613F"/>
    <w:rsid w:val="003661BF"/>
    <w:rsid w:val="003662A0"/>
    <w:rsid w:val="00366323"/>
    <w:rsid w:val="003664DC"/>
    <w:rsid w:val="003666E4"/>
    <w:rsid w:val="003668BF"/>
    <w:rsid w:val="00366988"/>
    <w:rsid w:val="00366A33"/>
    <w:rsid w:val="00367612"/>
    <w:rsid w:val="00367730"/>
    <w:rsid w:val="00367ADA"/>
    <w:rsid w:val="00367B04"/>
    <w:rsid w:val="00367D67"/>
    <w:rsid w:val="00367DA9"/>
    <w:rsid w:val="00367EDE"/>
    <w:rsid w:val="00370089"/>
    <w:rsid w:val="0037016B"/>
    <w:rsid w:val="003701B3"/>
    <w:rsid w:val="00370509"/>
    <w:rsid w:val="00370635"/>
    <w:rsid w:val="00370BC0"/>
    <w:rsid w:val="00370C5E"/>
    <w:rsid w:val="00370FB8"/>
    <w:rsid w:val="003714BA"/>
    <w:rsid w:val="00371590"/>
    <w:rsid w:val="00371828"/>
    <w:rsid w:val="0037187F"/>
    <w:rsid w:val="00371D30"/>
    <w:rsid w:val="00371DA8"/>
    <w:rsid w:val="00371EB2"/>
    <w:rsid w:val="00371F5D"/>
    <w:rsid w:val="003721B3"/>
    <w:rsid w:val="003723AF"/>
    <w:rsid w:val="003728FE"/>
    <w:rsid w:val="00372E3A"/>
    <w:rsid w:val="00372E89"/>
    <w:rsid w:val="00372EBB"/>
    <w:rsid w:val="00372F2F"/>
    <w:rsid w:val="0037371E"/>
    <w:rsid w:val="0037377D"/>
    <w:rsid w:val="00373F3A"/>
    <w:rsid w:val="00374106"/>
    <w:rsid w:val="00374277"/>
    <w:rsid w:val="003743AE"/>
    <w:rsid w:val="0037441E"/>
    <w:rsid w:val="003744FC"/>
    <w:rsid w:val="00374551"/>
    <w:rsid w:val="0037498E"/>
    <w:rsid w:val="00374AB3"/>
    <w:rsid w:val="00374C60"/>
    <w:rsid w:val="00374F27"/>
    <w:rsid w:val="00374F42"/>
    <w:rsid w:val="00374F92"/>
    <w:rsid w:val="00375201"/>
    <w:rsid w:val="003759A3"/>
    <w:rsid w:val="00375A78"/>
    <w:rsid w:val="00375B5E"/>
    <w:rsid w:val="00375FBD"/>
    <w:rsid w:val="0037613A"/>
    <w:rsid w:val="00376543"/>
    <w:rsid w:val="0037664A"/>
    <w:rsid w:val="00376C6F"/>
    <w:rsid w:val="00376CE6"/>
    <w:rsid w:val="00376FF8"/>
    <w:rsid w:val="00377078"/>
    <w:rsid w:val="003773DB"/>
    <w:rsid w:val="003774BE"/>
    <w:rsid w:val="00377515"/>
    <w:rsid w:val="00377688"/>
    <w:rsid w:val="003778D8"/>
    <w:rsid w:val="00377D9D"/>
    <w:rsid w:val="00377DB0"/>
    <w:rsid w:val="00380156"/>
    <w:rsid w:val="00380236"/>
    <w:rsid w:val="0038042A"/>
    <w:rsid w:val="0038046B"/>
    <w:rsid w:val="003809E1"/>
    <w:rsid w:val="003809E5"/>
    <w:rsid w:val="00380C22"/>
    <w:rsid w:val="00380CC8"/>
    <w:rsid w:val="00380E16"/>
    <w:rsid w:val="00380F03"/>
    <w:rsid w:val="00380F25"/>
    <w:rsid w:val="00380FC2"/>
    <w:rsid w:val="003812A6"/>
    <w:rsid w:val="00381430"/>
    <w:rsid w:val="00381435"/>
    <w:rsid w:val="0038194F"/>
    <w:rsid w:val="00381A2F"/>
    <w:rsid w:val="00381CAA"/>
    <w:rsid w:val="00381D54"/>
    <w:rsid w:val="0038270C"/>
    <w:rsid w:val="003829F5"/>
    <w:rsid w:val="00382C47"/>
    <w:rsid w:val="00382D49"/>
    <w:rsid w:val="003832B4"/>
    <w:rsid w:val="00383BA6"/>
    <w:rsid w:val="00383C87"/>
    <w:rsid w:val="00383CD9"/>
    <w:rsid w:val="00384198"/>
    <w:rsid w:val="00384224"/>
    <w:rsid w:val="0038451E"/>
    <w:rsid w:val="00384549"/>
    <w:rsid w:val="00384754"/>
    <w:rsid w:val="003847F3"/>
    <w:rsid w:val="00384A09"/>
    <w:rsid w:val="00384A3C"/>
    <w:rsid w:val="00384B3E"/>
    <w:rsid w:val="00384BAF"/>
    <w:rsid w:val="00384D3F"/>
    <w:rsid w:val="00384F4E"/>
    <w:rsid w:val="00384F7E"/>
    <w:rsid w:val="0038503C"/>
    <w:rsid w:val="00385052"/>
    <w:rsid w:val="0038507B"/>
    <w:rsid w:val="0038555D"/>
    <w:rsid w:val="003855E6"/>
    <w:rsid w:val="00385621"/>
    <w:rsid w:val="0038582D"/>
    <w:rsid w:val="0038594D"/>
    <w:rsid w:val="00385E49"/>
    <w:rsid w:val="00385EB4"/>
    <w:rsid w:val="00386477"/>
    <w:rsid w:val="003866B4"/>
    <w:rsid w:val="00386D13"/>
    <w:rsid w:val="00386E57"/>
    <w:rsid w:val="00386EC0"/>
    <w:rsid w:val="0038724F"/>
    <w:rsid w:val="00387422"/>
    <w:rsid w:val="003874B7"/>
    <w:rsid w:val="003875BA"/>
    <w:rsid w:val="0038776C"/>
    <w:rsid w:val="00387887"/>
    <w:rsid w:val="00387D3A"/>
    <w:rsid w:val="00387DE4"/>
    <w:rsid w:val="00387EFE"/>
    <w:rsid w:val="00390311"/>
    <w:rsid w:val="003909A2"/>
    <w:rsid w:val="00390B40"/>
    <w:rsid w:val="00390D73"/>
    <w:rsid w:val="00390F10"/>
    <w:rsid w:val="0039145D"/>
    <w:rsid w:val="00391620"/>
    <w:rsid w:val="00391690"/>
    <w:rsid w:val="0039187A"/>
    <w:rsid w:val="00391979"/>
    <w:rsid w:val="00391A4C"/>
    <w:rsid w:val="00391B5D"/>
    <w:rsid w:val="00391CC8"/>
    <w:rsid w:val="00391CE7"/>
    <w:rsid w:val="00391D28"/>
    <w:rsid w:val="00391E13"/>
    <w:rsid w:val="003926CC"/>
    <w:rsid w:val="00392799"/>
    <w:rsid w:val="003930EA"/>
    <w:rsid w:val="0039346D"/>
    <w:rsid w:val="003934D8"/>
    <w:rsid w:val="00393636"/>
    <w:rsid w:val="0039399D"/>
    <w:rsid w:val="00393C47"/>
    <w:rsid w:val="00393CF2"/>
    <w:rsid w:val="00393FCD"/>
    <w:rsid w:val="00393FE4"/>
    <w:rsid w:val="003942DE"/>
    <w:rsid w:val="003945FF"/>
    <w:rsid w:val="00394991"/>
    <w:rsid w:val="00394BD8"/>
    <w:rsid w:val="00394BFE"/>
    <w:rsid w:val="00394C5B"/>
    <w:rsid w:val="00394E99"/>
    <w:rsid w:val="00395006"/>
    <w:rsid w:val="0039533B"/>
    <w:rsid w:val="0039562D"/>
    <w:rsid w:val="0039583B"/>
    <w:rsid w:val="00395CCC"/>
    <w:rsid w:val="00395CCD"/>
    <w:rsid w:val="00395CE9"/>
    <w:rsid w:val="00396247"/>
    <w:rsid w:val="003962FE"/>
    <w:rsid w:val="003964B7"/>
    <w:rsid w:val="003968F0"/>
    <w:rsid w:val="00396A7C"/>
    <w:rsid w:val="00396BE1"/>
    <w:rsid w:val="00396D0A"/>
    <w:rsid w:val="00396F31"/>
    <w:rsid w:val="003971C4"/>
    <w:rsid w:val="0039728D"/>
    <w:rsid w:val="00397717"/>
    <w:rsid w:val="00397C4F"/>
    <w:rsid w:val="003A0323"/>
    <w:rsid w:val="003A0413"/>
    <w:rsid w:val="003A04F4"/>
    <w:rsid w:val="003A0519"/>
    <w:rsid w:val="003A07AA"/>
    <w:rsid w:val="003A083A"/>
    <w:rsid w:val="003A0B06"/>
    <w:rsid w:val="003A0EB8"/>
    <w:rsid w:val="003A1012"/>
    <w:rsid w:val="003A1466"/>
    <w:rsid w:val="003A1715"/>
    <w:rsid w:val="003A1BCA"/>
    <w:rsid w:val="003A1D9C"/>
    <w:rsid w:val="003A1F6B"/>
    <w:rsid w:val="003A2259"/>
    <w:rsid w:val="003A237B"/>
    <w:rsid w:val="003A24CF"/>
    <w:rsid w:val="003A263B"/>
    <w:rsid w:val="003A2824"/>
    <w:rsid w:val="003A299A"/>
    <w:rsid w:val="003A2BBA"/>
    <w:rsid w:val="003A2E75"/>
    <w:rsid w:val="003A3412"/>
    <w:rsid w:val="003A343C"/>
    <w:rsid w:val="003A343E"/>
    <w:rsid w:val="003A37B1"/>
    <w:rsid w:val="003A3A45"/>
    <w:rsid w:val="003A3B56"/>
    <w:rsid w:val="003A3D86"/>
    <w:rsid w:val="003A3D8D"/>
    <w:rsid w:val="003A412A"/>
    <w:rsid w:val="003A4348"/>
    <w:rsid w:val="003A45B5"/>
    <w:rsid w:val="003A46B2"/>
    <w:rsid w:val="003A48A3"/>
    <w:rsid w:val="003A4948"/>
    <w:rsid w:val="003A4AA0"/>
    <w:rsid w:val="003A4AD7"/>
    <w:rsid w:val="003A5114"/>
    <w:rsid w:val="003A51BE"/>
    <w:rsid w:val="003A54FE"/>
    <w:rsid w:val="003A553B"/>
    <w:rsid w:val="003A5A54"/>
    <w:rsid w:val="003A5A9E"/>
    <w:rsid w:val="003A5B8E"/>
    <w:rsid w:val="003A5D43"/>
    <w:rsid w:val="003A5EEA"/>
    <w:rsid w:val="003A6189"/>
    <w:rsid w:val="003A663A"/>
    <w:rsid w:val="003A67D1"/>
    <w:rsid w:val="003A6966"/>
    <w:rsid w:val="003A6A01"/>
    <w:rsid w:val="003A6C50"/>
    <w:rsid w:val="003A74E2"/>
    <w:rsid w:val="003A74FB"/>
    <w:rsid w:val="003A7633"/>
    <w:rsid w:val="003A791E"/>
    <w:rsid w:val="003A795D"/>
    <w:rsid w:val="003A7993"/>
    <w:rsid w:val="003A7A18"/>
    <w:rsid w:val="003A7A6F"/>
    <w:rsid w:val="003A7D1B"/>
    <w:rsid w:val="003A7F61"/>
    <w:rsid w:val="003B0022"/>
    <w:rsid w:val="003B0433"/>
    <w:rsid w:val="003B08D6"/>
    <w:rsid w:val="003B08F1"/>
    <w:rsid w:val="003B0B9A"/>
    <w:rsid w:val="003B0D0B"/>
    <w:rsid w:val="003B0EE8"/>
    <w:rsid w:val="003B192E"/>
    <w:rsid w:val="003B2183"/>
    <w:rsid w:val="003B23DB"/>
    <w:rsid w:val="003B28A9"/>
    <w:rsid w:val="003B2B12"/>
    <w:rsid w:val="003B2B59"/>
    <w:rsid w:val="003B2C16"/>
    <w:rsid w:val="003B2DF8"/>
    <w:rsid w:val="003B3173"/>
    <w:rsid w:val="003B34F3"/>
    <w:rsid w:val="003B371C"/>
    <w:rsid w:val="003B38C3"/>
    <w:rsid w:val="003B3D0A"/>
    <w:rsid w:val="003B48CB"/>
    <w:rsid w:val="003B4ABA"/>
    <w:rsid w:val="003B4B3F"/>
    <w:rsid w:val="003B4B9B"/>
    <w:rsid w:val="003B51D8"/>
    <w:rsid w:val="003B53D8"/>
    <w:rsid w:val="003B596D"/>
    <w:rsid w:val="003B5F30"/>
    <w:rsid w:val="003B6033"/>
    <w:rsid w:val="003B60E4"/>
    <w:rsid w:val="003B6150"/>
    <w:rsid w:val="003B6196"/>
    <w:rsid w:val="003B623D"/>
    <w:rsid w:val="003B6269"/>
    <w:rsid w:val="003B631E"/>
    <w:rsid w:val="003B6442"/>
    <w:rsid w:val="003B6489"/>
    <w:rsid w:val="003B64D6"/>
    <w:rsid w:val="003B6796"/>
    <w:rsid w:val="003B6C6A"/>
    <w:rsid w:val="003B6E55"/>
    <w:rsid w:val="003B7097"/>
    <w:rsid w:val="003B7156"/>
    <w:rsid w:val="003B72CA"/>
    <w:rsid w:val="003B730A"/>
    <w:rsid w:val="003B7614"/>
    <w:rsid w:val="003B78A5"/>
    <w:rsid w:val="003B7A4C"/>
    <w:rsid w:val="003B7AA9"/>
    <w:rsid w:val="003B7BE4"/>
    <w:rsid w:val="003C02FA"/>
    <w:rsid w:val="003C05F8"/>
    <w:rsid w:val="003C0B6C"/>
    <w:rsid w:val="003C0B75"/>
    <w:rsid w:val="003C0D0B"/>
    <w:rsid w:val="003C0E60"/>
    <w:rsid w:val="003C0EF3"/>
    <w:rsid w:val="003C12A6"/>
    <w:rsid w:val="003C1675"/>
    <w:rsid w:val="003C1B82"/>
    <w:rsid w:val="003C1FAE"/>
    <w:rsid w:val="003C203A"/>
    <w:rsid w:val="003C2080"/>
    <w:rsid w:val="003C238C"/>
    <w:rsid w:val="003C2488"/>
    <w:rsid w:val="003C27F1"/>
    <w:rsid w:val="003C297B"/>
    <w:rsid w:val="003C2B86"/>
    <w:rsid w:val="003C30AD"/>
    <w:rsid w:val="003C3974"/>
    <w:rsid w:val="003C397F"/>
    <w:rsid w:val="003C3F4A"/>
    <w:rsid w:val="003C4059"/>
    <w:rsid w:val="003C408A"/>
    <w:rsid w:val="003C4132"/>
    <w:rsid w:val="003C4873"/>
    <w:rsid w:val="003C4B06"/>
    <w:rsid w:val="003C4C53"/>
    <w:rsid w:val="003C4E2A"/>
    <w:rsid w:val="003C4E5B"/>
    <w:rsid w:val="003C4F83"/>
    <w:rsid w:val="003C51B7"/>
    <w:rsid w:val="003C51CD"/>
    <w:rsid w:val="003C548B"/>
    <w:rsid w:val="003C580F"/>
    <w:rsid w:val="003C587E"/>
    <w:rsid w:val="003C58FA"/>
    <w:rsid w:val="003C5F14"/>
    <w:rsid w:val="003C61B9"/>
    <w:rsid w:val="003C6261"/>
    <w:rsid w:val="003C64FB"/>
    <w:rsid w:val="003C693A"/>
    <w:rsid w:val="003C6C94"/>
    <w:rsid w:val="003C6CB3"/>
    <w:rsid w:val="003C6DBB"/>
    <w:rsid w:val="003C6EBD"/>
    <w:rsid w:val="003C7006"/>
    <w:rsid w:val="003C70AE"/>
    <w:rsid w:val="003C7122"/>
    <w:rsid w:val="003C71C9"/>
    <w:rsid w:val="003C7219"/>
    <w:rsid w:val="003C732B"/>
    <w:rsid w:val="003C78A0"/>
    <w:rsid w:val="003C7BDA"/>
    <w:rsid w:val="003C7CB0"/>
    <w:rsid w:val="003D048C"/>
    <w:rsid w:val="003D0A73"/>
    <w:rsid w:val="003D0B03"/>
    <w:rsid w:val="003D0B60"/>
    <w:rsid w:val="003D0CAF"/>
    <w:rsid w:val="003D0DC1"/>
    <w:rsid w:val="003D1041"/>
    <w:rsid w:val="003D15E2"/>
    <w:rsid w:val="003D1858"/>
    <w:rsid w:val="003D190F"/>
    <w:rsid w:val="003D1A90"/>
    <w:rsid w:val="003D1AD4"/>
    <w:rsid w:val="003D1C9B"/>
    <w:rsid w:val="003D21A4"/>
    <w:rsid w:val="003D23EE"/>
    <w:rsid w:val="003D294A"/>
    <w:rsid w:val="003D2BC9"/>
    <w:rsid w:val="003D2F4F"/>
    <w:rsid w:val="003D2F70"/>
    <w:rsid w:val="003D2FB5"/>
    <w:rsid w:val="003D31B6"/>
    <w:rsid w:val="003D323A"/>
    <w:rsid w:val="003D33D5"/>
    <w:rsid w:val="003D36F1"/>
    <w:rsid w:val="003D36F4"/>
    <w:rsid w:val="003D38E6"/>
    <w:rsid w:val="003D39C7"/>
    <w:rsid w:val="003D39F7"/>
    <w:rsid w:val="003D3B76"/>
    <w:rsid w:val="003D4134"/>
    <w:rsid w:val="003D41F8"/>
    <w:rsid w:val="003D42FF"/>
    <w:rsid w:val="003D4586"/>
    <w:rsid w:val="003D461A"/>
    <w:rsid w:val="003D468A"/>
    <w:rsid w:val="003D5003"/>
    <w:rsid w:val="003D54E8"/>
    <w:rsid w:val="003D565E"/>
    <w:rsid w:val="003D583D"/>
    <w:rsid w:val="003D6077"/>
    <w:rsid w:val="003D60D7"/>
    <w:rsid w:val="003D64CA"/>
    <w:rsid w:val="003D6677"/>
    <w:rsid w:val="003D6C3D"/>
    <w:rsid w:val="003D71A4"/>
    <w:rsid w:val="003D7239"/>
    <w:rsid w:val="003D74D7"/>
    <w:rsid w:val="003D7695"/>
    <w:rsid w:val="003D7730"/>
    <w:rsid w:val="003D7AB5"/>
    <w:rsid w:val="003D7B7A"/>
    <w:rsid w:val="003D7BE4"/>
    <w:rsid w:val="003D7CD8"/>
    <w:rsid w:val="003D7FA5"/>
    <w:rsid w:val="003E00DB"/>
    <w:rsid w:val="003E00E2"/>
    <w:rsid w:val="003E08BD"/>
    <w:rsid w:val="003E0983"/>
    <w:rsid w:val="003E0D4B"/>
    <w:rsid w:val="003E0EA0"/>
    <w:rsid w:val="003E0EA6"/>
    <w:rsid w:val="003E126E"/>
    <w:rsid w:val="003E173D"/>
    <w:rsid w:val="003E17C5"/>
    <w:rsid w:val="003E1E34"/>
    <w:rsid w:val="003E2150"/>
    <w:rsid w:val="003E28B0"/>
    <w:rsid w:val="003E2C1E"/>
    <w:rsid w:val="003E2D4A"/>
    <w:rsid w:val="003E2D6D"/>
    <w:rsid w:val="003E2D96"/>
    <w:rsid w:val="003E2DFD"/>
    <w:rsid w:val="003E3235"/>
    <w:rsid w:val="003E3795"/>
    <w:rsid w:val="003E395C"/>
    <w:rsid w:val="003E3A92"/>
    <w:rsid w:val="003E4019"/>
    <w:rsid w:val="003E43CB"/>
    <w:rsid w:val="003E43F1"/>
    <w:rsid w:val="003E4492"/>
    <w:rsid w:val="003E45A0"/>
    <w:rsid w:val="003E470C"/>
    <w:rsid w:val="003E4824"/>
    <w:rsid w:val="003E4897"/>
    <w:rsid w:val="003E48E7"/>
    <w:rsid w:val="003E4A4B"/>
    <w:rsid w:val="003E4DBD"/>
    <w:rsid w:val="003E4E10"/>
    <w:rsid w:val="003E4E15"/>
    <w:rsid w:val="003E5043"/>
    <w:rsid w:val="003E5631"/>
    <w:rsid w:val="003E5740"/>
    <w:rsid w:val="003E59F2"/>
    <w:rsid w:val="003E5FB1"/>
    <w:rsid w:val="003E666B"/>
    <w:rsid w:val="003E68AB"/>
    <w:rsid w:val="003E68ED"/>
    <w:rsid w:val="003E6B50"/>
    <w:rsid w:val="003E6B79"/>
    <w:rsid w:val="003E6DB0"/>
    <w:rsid w:val="003E6EE7"/>
    <w:rsid w:val="003E74ED"/>
    <w:rsid w:val="003E7654"/>
    <w:rsid w:val="003E76B6"/>
    <w:rsid w:val="003E7869"/>
    <w:rsid w:val="003E7AE5"/>
    <w:rsid w:val="003E7CAC"/>
    <w:rsid w:val="003E7E90"/>
    <w:rsid w:val="003F025E"/>
    <w:rsid w:val="003F0417"/>
    <w:rsid w:val="003F0509"/>
    <w:rsid w:val="003F059D"/>
    <w:rsid w:val="003F05FC"/>
    <w:rsid w:val="003F065A"/>
    <w:rsid w:val="003F0919"/>
    <w:rsid w:val="003F0C51"/>
    <w:rsid w:val="003F0D27"/>
    <w:rsid w:val="003F0D7E"/>
    <w:rsid w:val="003F10FC"/>
    <w:rsid w:val="003F119E"/>
    <w:rsid w:val="003F1658"/>
    <w:rsid w:val="003F172E"/>
    <w:rsid w:val="003F17D6"/>
    <w:rsid w:val="003F1A37"/>
    <w:rsid w:val="003F1BB8"/>
    <w:rsid w:val="003F247C"/>
    <w:rsid w:val="003F2790"/>
    <w:rsid w:val="003F2A3E"/>
    <w:rsid w:val="003F2B85"/>
    <w:rsid w:val="003F2DDA"/>
    <w:rsid w:val="003F2E11"/>
    <w:rsid w:val="003F2E7F"/>
    <w:rsid w:val="003F2EE2"/>
    <w:rsid w:val="003F2F93"/>
    <w:rsid w:val="003F3016"/>
    <w:rsid w:val="003F3445"/>
    <w:rsid w:val="003F36ED"/>
    <w:rsid w:val="003F38B6"/>
    <w:rsid w:val="003F3966"/>
    <w:rsid w:val="003F3AE0"/>
    <w:rsid w:val="003F3E0B"/>
    <w:rsid w:val="003F40D1"/>
    <w:rsid w:val="003F4402"/>
    <w:rsid w:val="003F4ACE"/>
    <w:rsid w:val="003F4D13"/>
    <w:rsid w:val="003F4D20"/>
    <w:rsid w:val="003F4D91"/>
    <w:rsid w:val="003F4DBA"/>
    <w:rsid w:val="003F51CE"/>
    <w:rsid w:val="003F5262"/>
    <w:rsid w:val="003F5765"/>
    <w:rsid w:val="003F5973"/>
    <w:rsid w:val="003F5B44"/>
    <w:rsid w:val="003F5CF1"/>
    <w:rsid w:val="003F606A"/>
    <w:rsid w:val="003F6332"/>
    <w:rsid w:val="003F63AD"/>
    <w:rsid w:val="003F6673"/>
    <w:rsid w:val="003F67E4"/>
    <w:rsid w:val="003F69CB"/>
    <w:rsid w:val="003F6BA6"/>
    <w:rsid w:val="003F75E2"/>
    <w:rsid w:val="003F762F"/>
    <w:rsid w:val="003F775F"/>
    <w:rsid w:val="003F7F6A"/>
    <w:rsid w:val="00400045"/>
    <w:rsid w:val="004004A7"/>
    <w:rsid w:val="004004E4"/>
    <w:rsid w:val="004008D1"/>
    <w:rsid w:val="00400DD6"/>
    <w:rsid w:val="004010AC"/>
    <w:rsid w:val="004011C9"/>
    <w:rsid w:val="00401298"/>
    <w:rsid w:val="004012B0"/>
    <w:rsid w:val="00401759"/>
    <w:rsid w:val="004017AC"/>
    <w:rsid w:val="004018E3"/>
    <w:rsid w:val="00401B00"/>
    <w:rsid w:val="00401D2A"/>
    <w:rsid w:val="004021C3"/>
    <w:rsid w:val="0040221C"/>
    <w:rsid w:val="004022DF"/>
    <w:rsid w:val="00402451"/>
    <w:rsid w:val="00402FD7"/>
    <w:rsid w:val="0040314C"/>
    <w:rsid w:val="004031E6"/>
    <w:rsid w:val="00403541"/>
    <w:rsid w:val="00403886"/>
    <w:rsid w:val="00403977"/>
    <w:rsid w:val="00403AC7"/>
    <w:rsid w:val="00403AF4"/>
    <w:rsid w:val="00403BBC"/>
    <w:rsid w:val="00403E35"/>
    <w:rsid w:val="00404563"/>
    <w:rsid w:val="0040462D"/>
    <w:rsid w:val="00404632"/>
    <w:rsid w:val="00404653"/>
    <w:rsid w:val="004046C3"/>
    <w:rsid w:val="00404AB6"/>
    <w:rsid w:val="00404B12"/>
    <w:rsid w:val="00404B5A"/>
    <w:rsid w:val="00404D61"/>
    <w:rsid w:val="00404D75"/>
    <w:rsid w:val="00404FEB"/>
    <w:rsid w:val="0040507F"/>
    <w:rsid w:val="0040543E"/>
    <w:rsid w:val="00405557"/>
    <w:rsid w:val="00405AAB"/>
    <w:rsid w:val="00405AFB"/>
    <w:rsid w:val="0040601E"/>
    <w:rsid w:val="00406180"/>
    <w:rsid w:val="004061E7"/>
    <w:rsid w:val="00406267"/>
    <w:rsid w:val="0040626E"/>
    <w:rsid w:val="004064B6"/>
    <w:rsid w:val="004064C3"/>
    <w:rsid w:val="004065A4"/>
    <w:rsid w:val="004067C5"/>
    <w:rsid w:val="00406838"/>
    <w:rsid w:val="00407CA0"/>
    <w:rsid w:val="00407E47"/>
    <w:rsid w:val="0041001B"/>
    <w:rsid w:val="0041001C"/>
    <w:rsid w:val="004100C0"/>
    <w:rsid w:val="00410661"/>
    <w:rsid w:val="00410A07"/>
    <w:rsid w:val="00410E75"/>
    <w:rsid w:val="00411473"/>
    <w:rsid w:val="004116F4"/>
    <w:rsid w:val="00411712"/>
    <w:rsid w:val="00412004"/>
    <w:rsid w:val="004123FF"/>
    <w:rsid w:val="0041258D"/>
    <w:rsid w:val="0041278C"/>
    <w:rsid w:val="0041284B"/>
    <w:rsid w:val="00412949"/>
    <w:rsid w:val="00412DC1"/>
    <w:rsid w:val="004134F7"/>
    <w:rsid w:val="00413818"/>
    <w:rsid w:val="00413B34"/>
    <w:rsid w:val="00414281"/>
    <w:rsid w:val="00414614"/>
    <w:rsid w:val="00414715"/>
    <w:rsid w:val="00414AC0"/>
    <w:rsid w:val="00414B17"/>
    <w:rsid w:val="00414E83"/>
    <w:rsid w:val="00414EBA"/>
    <w:rsid w:val="00414F06"/>
    <w:rsid w:val="00415103"/>
    <w:rsid w:val="004151F4"/>
    <w:rsid w:val="004157CF"/>
    <w:rsid w:val="00415B53"/>
    <w:rsid w:val="00415DDB"/>
    <w:rsid w:val="00415FD8"/>
    <w:rsid w:val="00416298"/>
    <w:rsid w:val="00416428"/>
    <w:rsid w:val="00416624"/>
    <w:rsid w:val="00416D2C"/>
    <w:rsid w:val="00417133"/>
    <w:rsid w:val="004171E0"/>
    <w:rsid w:val="004173F9"/>
    <w:rsid w:val="004174E7"/>
    <w:rsid w:val="004176A6"/>
    <w:rsid w:val="00417C28"/>
    <w:rsid w:val="00420529"/>
    <w:rsid w:val="0042073F"/>
    <w:rsid w:val="00420920"/>
    <w:rsid w:val="00420C6C"/>
    <w:rsid w:val="00421075"/>
    <w:rsid w:val="00421111"/>
    <w:rsid w:val="00421402"/>
    <w:rsid w:val="0042182D"/>
    <w:rsid w:val="00421B5E"/>
    <w:rsid w:val="00421D0F"/>
    <w:rsid w:val="0042234D"/>
    <w:rsid w:val="004223A8"/>
    <w:rsid w:val="00422600"/>
    <w:rsid w:val="00422635"/>
    <w:rsid w:val="00422C4D"/>
    <w:rsid w:val="00422F32"/>
    <w:rsid w:val="00423077"/>
    <w:rsid w:val="0042307B"/>
    <w:rsid w:val="004230BC"/>
    <w:rsid w:val="004232E0"/>
    <w:rsid w:val="00423531"/>
    <w:rsid w:val="00423599"/>
    <w:rsid w:val="0042382C"/>
    <w:rsid w:val="00423ACA"/>
    <w:rsid w:val="00423D7D"/>
    <w:rsid w:val="00423E1D"/>
    <w:rsid w:val="004244BA"/>
    <w:rsid w:val="004248AB"/>
    <w:rsid w:val="00424922"/>
    <w:rsid w:val="004254DD"/>
    <w:rsid w:val="00425901"/>
    <w:rsid w:val="00425A62"/>
    <w:rsid w:val="00425B1C"/>
    <w:rsid w:val="00425EB4"/>
    <w:rsid w:val="00426216"/>
    <w:rsid w:val="004262A7"/>
    <w:rsid w:val="00426528"/>
    <w:rsid w:val="00426574"/>
    <w:rsid w:val="00426958"/>
    <w:rsid w:val="00426A44"/>
    <w:rsid w:val="00426AF1"/>
    <w:rsid w:val="00426BF7"/>
    <w:rsid w:val="00426C07"/>
    <w:rsid w:val="00426CAE"/>
    <w:rsid w:val="00426F1E"/>
    <w:rsid w:val="0042754C"/>
    <w:rsid w:val="004279FE"/>
    <w:rsid w:val="00427D8B"/>
    <w:rsid w:val="00427DE5"/>
    <w:rsid w:val="00430019"/>
    <w:rsid w:val="0043021A"/>
    <w:rsid w:val="004302BC"/>
    <w:rsid w:val="0043069A"/>
    <w:rsid w:val="004308A6"/>
    <w:rsid w:val="00430AAE"/>
    <w:rsid w:val="00430B79"/>
    <w:rsid w:val="00430C54"/>
    <w:rsid w:val="00430D61"/>
    <w:rsid w:val="00430F2C"/>
    <w:rsid w:val="00431045"/>
    <w:rsid w:val="00431316"/>
    <w:rsid w:val="00431334"/>
    <w:rsid w:val="0043146F"/>
    <w:rsid w:val="00431526"/>
    <w:rsid w:val="0043179B"/>
    <w:rsid w:val="00431854"/>
    <w:rsid w:val="00431A29"/>
    <w:rsid w:val="00431C26"/>
    <w:rsid w:val="00431FAC"/>
    <w:rsid w:val="0043231E"/>
    <w:rsid w:val="00432470"/>
    <w:rsid w:val="00432660"/>
    <w:rsid w:val="00432CBC"/>
    <w:rsid w:val="004334CC"/>
    <w:rsid w:val="004338E0"/>
    <w:rsid w:val="00433A01"/>
    <w:rsid w:val="00434A2D"/>
    <w:rsid w:val="00434C3B"/>
    <w:rsid w:val="00435070"/>
    <w:rsid w:val="004355AF"/>
    <w:rsid w:val="0043568A"/>
    <w:rsid w:val="0043573D"/>
    <w:rsid w:val="00435911"/>
    <w:rsid w:val="00435AD7"/>
    <w:rsid w:val="00435D3F"/>
    <w:rsid w:val="00435E50"/>
    <w:rsid w:val="0043629B"/>
    <w:rsid w:val="00436314"/>
    <w:rsid w:val="004363A7"/>
    <w:rsid w:val="00436440"/>
    <w:rsid w:val="00436461"/>
    <w:rsid w:val="00436493"/>
    <w:rsid w:val="00436A2C"/>
    <w:rsid w:val="00436AD5"/>
    <w:rsid w:val="00436D28"/>
    <w:rsid w:val="00436F0A"/>
    <w:rsid w:val="00437213"/>
    <w:rsid w:val="00437BA3"/>
    <w:rsid w:val="00437DD2"/>
    <w:rsid w:val="00440105"/>
    <w:rsid w:val="0044015A"/>
    <w:rsid w:val="0044036E"/>
    <w:rsid w:val="004405F2"/>
    <w:rsid w:val="004409DA"/>
    <w:rsid w:val="00440CB0"/>
    <w:rsid w:val="00440D29"/>
    <w:rsid w:val="004411D0"/>
    <w:rsid w:val="004417A4"/>
    <w:rsid w:val="0044194B"/>
    <w:rsid w:val="00441A3D"/>
    <w:rsid w:val="00441E16"/>
    <w:rsid w:val="0044240F"/>
    <w:rsid w:val="00442440"/>
    <w:rsid w:val="00442482"/>
    <w:rsid w:val="004428FF"/>
    <w:rsid w:val="00442ADB"/>
    <w:rsid w:val="00442B9F"/>
    <w:rsid w:val="00442E00"/>
    <w:rsid w:val="00442F50"/>
    <w:rsid w:val="00443A0B"/>
    <w:rsid w:val="00443A36"/>
    <w:rsid w:val="00443F42"/>
    <w:rsid w:val="00444641"/>
    <w:rsid w:val="004446D1"/>
    <w:rsid w:val="0044477A"/>
    <w:rsid w:val="004449E3"/>
    <w:rsid w:val="00444A2B"/>
    <w:rsid w:val="00444BCD"/>
    <w:rsid w:val="00444C89"/>
    <w:rsid w:val="0044560F"/>
    <w:rsid w:val="004456D5"/>
    <w:rsid w:val="00445853"/>
    <w:rsid w:val="00445871"/>
    <w:rsid w:val="00445C8A"/>
    <w:rsid w:val="00446117"/>
    <w:rsid w:val="004464C1"/>
    <w:rsid w:val="0044669A"/>
    <w:rsid w:val="00446C6F"/>
    <w:rsid w:val="00446E0D"/>
    <w:rsid w:val="004472E0"/>
    <w:rsid w:val="00447381"/>
    <w:rsid w:val="00447851"/>
    <w:rsid w:val="004501A8"/>
    <w:rsid w:val="004501F4"/>
    <w:rsid w:val="004503D9"/>
    <w:rsid w:val="0045043B"/>
    <w:rsid w:val="004507C1"/>
    <w:rsid w:val="0045084C"/>
    <w:rsid w:val="004508C5"/>
    <w:rsid w:val="00450A9F"/>
    <w:rsid w:val="00451103"/>
    <w:rsid w:val="00451307"/>
    <w:rsid w:val="0045174A"/>
    <w:rsid w:val="0045189F"/>
    <w:rsid w:val="00451CE3"/>
    <w:rsid w:val="00451D96"/>
    <w:rsid w:val="00451F9F"/>
    <w:rsid w:val="00451FD2"/>
    <w:rsid w:val="00452650"/>
    <w:rsid w:val="0045271D"/>
    <w:rsid w:val="00452A56"/>
    <w:rsid w:val="00452B12"/>
    <w:rsid w:val="004531AE"/>
    <w:rsid w:val="004537C6"/>
    <w:rsid w:val="00453E2D"/>
    <w:rsid w:val="00453ECD"/>
    <w:rsid w:val="00454032"/>
    <w:rsid w:val="004541BC"/>
    <w:rsid w:val="004542B8"/>
    <w:rsid w:val="004542EC"/>
    <w:rsid w:val="004546CF"/>
    <w:rsid w:val="00454940"/>
    <w:rsid w:val="004549A4"/>
    <w:rsid w:val="004549CF"/>
    <w:rsid w:val="00454A97"/>
    <w:rsid w:val="00454BD8"/>
    <w:rsid w:val="00454DE5"/>
    <w:rsid w:val="00454E01"/>
    <w:rsid w:val="0045522A"/>
    <w:rsid w:val="004553A6"/>
    <w:rsid w:val="004554F5"/>
    <w:rsid w:val="00455614"/>
    <w:rsid w:val="0045578C"/>
    <w:rsid w:val="004559E4"/>
    <w:rsid w:val="00455EB3"/>
    <w:rsid w:val="00455EE6"/>
    <w:rsid w:val="00456595"/>
    <w:rsid w:val="00456A44"/>
    <w:rsid w:val="00456E99"/>
    <w:rsid w:val="004571A5"/>
    <w:rsid w:val="0045732B"/>
    <w:rsid w:val="0045760A"/>
    <w:rsid w:val="004576BB"/>
    <w:rsid w:val="004576C0"/>
    <w:rsid w:val="0045782B"/>
    <w:rsid w:val="00457ECE"/>
    <w:rsid w:val="00460035"/>
    <w:rsid w:val="0046029D"/>
    <w:rsid w:val="004602B0"/>
    <w:rsid w:val="004607CB"/>
    <w:rsid w:val="004608B6"/>
    <w:rsid w:val="00460DEC"/>
    <w:rsid w:val="004610FC"/>
    <w:rsid w:val="0046136D"/>
    <w:rsid w:val="004618A9"/>
    <w:rsid w:val="00461C25"/>
    <w:rsid w:val="00461FD7"/>
    <w:rsid w:val="00462123"/>
    <w:rsid w:val="00462146"/>
    <w:rsid w:val="00462199"/>
    <w:rsid w:val="00462744"/>
    <w:rsid w:val="00462BD2"/>
    <w:rsid w:val="00462D2C"/>
    <w:rsid w:val="00463038"/>
    <w:rsid w:val="0046306E"/>
    <w:rsid w:val="00463255"/>
    <w:rsid w:val="00463313"/>
    <w:rsid w:val="00463337"/>
    <w:rsid w:val="00463348"/>
    <w:rsid w:val="004633C5"/>
    <w:rsid w:val="00464A7B"/>
    <w:rsid w:val="00464A82"/>
    <w:rsid w:val="00464B4E"/>
    <w:rsid w:val="00464CF3"/>
    <w:rsid w:val="00464D15"/>
    <w:rsid w:val="00464DD7"/>
    <w:rsid w:val="00465188"/>
    <w:rsid w:val="00465371"/>
    <w:rsid w:val="00465759"/>
    <w:rsid w:val="004657FA"/>
    <w:rsid w:val="004658C8"/>
    <w:rsid w:val="00465A4F"/>
    <w:rsid w:val="00465AA3"/>
    <w:rsid w:val="00465CBC"/>
    <w:rsid w:val="00465F54"/>
    <w:rsid w:val="004662F6"/>
    <w:rsid w:val="00466712"/>
    <w:rsid w:val="00466944"/>
    <w:rsid w:val="00466A92"/>
    <w:rsid w:val="00466ACB"/>
    <w:rsid w:val="00466E2C"/>
    <w:rsid w:val="00466F33"/>
    <w:rsid w:val="00466F41"/>
    <w:rsid w:val="0046702B"/>
    <w:rsid w:val="004671E5"/>
    <w:rsid w:val="004673B9"/>
    <w:rsid w:val="00467599"/>
    <w:rsid w:val="00467DC0"/>
    <w:rsid w:val="00467E0E"/>
    <w:rsid w:val="00467E8F"/>
    <w:rsid w:val="00467F54"/>
    <w:rsid w:val="00467F61"/>
    <w:rsid w:val="004703AC"/>
    <w:rsid w:val="004704D4"/>
    <w:rsid w:val="00470603"/>
    <w:rsid w:val="0047098F"/>
    <w:rsid w:val="00470BE4"/>
    <w:rsid w:val="00470E9B"/>
    <w:rsid w:val="0047104A"/>
    <w:rsid w:val="004711F2"/>
    <w:rsid w:val="0047188E"/>
    <w:rsid w:val="00471AFA"/>
    <w:rsid w:val="00472120"/>
    <w:rsid w:val="00472299"/>
    <w:rsid w:val="004722DB"/>
    <w:rsid w:val="0047231A"/>
    <w:rsid w:val="004723F4"/>
    <w:rsid w:val="004724D8"/>
    <w:rsid w:val="00472834"/>
    <w:rsid w:val="00472B5B"/>
    <w:rsid w:val="00472CE4"/>
    <w:rsid w:val="00472D89"/>
    <w:rsid w:val="00473238"/>
    <w:rsid w:val="004733A6"/>
    <w:rsid w:val="00473C7F"/>
    <w:rsid w:val="00473ECB"/>
    <w:rsid w:val="00473F27"/>
    <w:rsid w:val="00474194"/>
    <w:rsid w:val="004748C1"/>
    <w:rsid w:val="00474A39"/>
    <w:rsid w:val="00474D1A"/>
    <w:rsid w:val="00474E16"/>
    <w:rsid w:val="00474F18"/>
    <w:rsid w:val="0047563E"/>
    <w:rsid w:val="004756E5"/>
    <w:rsid w:val="00475DB1"/>
    <w:rsid w:val="00475E88"/>
    <w:rsid w:val="00475FC7"/>
    <w:rsid w:val="004763E5"/>
    <w:rsid w:val="00476C9F"/>
    <w:rsid w:val="004771CE"/>
    <w:rsid w:val="0047721F"/>
    <w:rsid w:val="004775FE"/>
    <w:rsid w:val="0047779B"/>
    <w:rsid w:val="00477AE8"/>
    <w:rsid w:val="00477CA9"/>
    <w:rsid w:val="00477F8B"/>
    <w:rsid w:val="0048026D"/>
    <w:rsid w:val="004805BF"/>
    <w:rsid w:val="00480968"/>
    <w:rsid w:val="00481099"/>
    <w:rsid w:val="004810FD"/>
    <w:rsid w:val="00481189"/>
    <w:rsid w:val="0048176C"/>
    <w:rsid w:val="00481BC8"/>
    <w:rsid w:val="0048235C"/>
    <w:rsid w:val="00482368"/>
    <w:rsid w:val="004824B5"/>
    <w:rsid w:val="00482A20"/>
    <w:rsid w:val="00482EC7"/>
    <w:rsid w:val="00482F66"/>
    <w:rsid w:val="00483367"/>
    <w:rsid w:val="00483DA9"/>
    <w:rsid w:val="00483E0A"/>
    <w:rsid w:val="0048438A"/>
    <w:rsid w:val="00484971"/>
    <w:rsid w:val="00484D5B"/>
    <w:rsid w:val="0048521B"/>
    <w:rsid w:val="004854E5"/>
    <w:rsid w:val="004855B4"/>
    <w:rsid w:val="004855E9"/>
    <w:rsid w:val="00485629"/>
    <w:rsid w:val="00485994"/>
    <w:rsid w:val="00485CEC"/>
    <w:rsid w:val="00485DEA"/>
    <w:rsid w:val="00485F44"/>
    <w:rsid w:val="0048615C"/>
    <w:rsid w:val="0048627D"/>
    <w:rsid w:val="004862CD"/>
    <w:rsid w:val="00486491"/>
    <w:rsid w:val="0048663E"/>
    <w:rsid w:val="004866A9"/>
    <w:rsid w:val="00486823"/>
    <w:rsid w:val="00486990"/>
    <w:rsid w:val="00486A89"/>
    <w:rsid w:val="004871E4"/>
    <w:rsid w:val="00487432"/>
    <w:rsid w:val="004875DF"/>
    <w:rsid w:val="00487C79"/>
    <w:rsid w:val="00490338"/>
    <w:rsid w:val="0049054D"/>
    <w:rsid w:val="0049084A"/>
    <w:rsid w:val="00490D35"/>
    <w:rsid w:val="00490E01"/>
    <w:rsid w:val="00490E0E"/>
    <w:rsid w:val="00490E88"/>
    <w:rsid w:val="004911DE"/>
    <w:rsid w:val="00491416"/>
    <w:rsid w:val="00491439"/>
    <w:rsid w:val="004916E7"/>
    <w:rsid w:val="00491842"/>
    <w:rsid w:val="00491AE0"/>
    <w:rsid w:val="00491FDF"/>
    <w:rsid w:val="004921C6"/>
    <w:rsid w:val="004921CB"/>
    <w:rsid w:val="00492400"/>
    <w:rsid w:val="0049268B"/>
    <w:rsid w:val="00492785"/>
    <w:rsid w:val="004928B8"/>
    <w:rsid w:val="00492991"/>
    <w:rsid w:val="004929E5"/>
    <w:rsid w:val="0049303D"/>
    <w:rsid w:val="004932B8"/>
    <w:rsid w:val="00493338"/>
    <w:rsid w:val="00493339"/>
    <w:rsid w:val="0049382C"/>
    <w:rsid w:val="00493FE0"/>
    <w:rsid w:val="0049427A"/>
    <w:rsid w:val="004944CC"/>
    <w:rsid w:val="00494A83"/>
    <w:rsid w:val="00494BE8"/>
    <w:rsid w:val="00494C74"/>
    <w:rsid w:val="004957EB"/>
    <w:rsid w:val="004959AC"/>
    <w:rsid w:val="00495BB2"/>
    <w:rsid w:val="00495CD5"/>
    <w:rsid w:val="00495D07"/>
    <w:rsid w:val="00495E95"/>
    <w:rsid w:val="004963D5"/>
    <w:rsid w:val="00496BFF"/>
    <w:rsid w:val="00497215"/>
    <w:rsid w:val="00497402"/>
    <w:rsid w:val="00497780"/>
    <w:rsid w:val="00497904"/>
    <w:rsid w:val="0049796D"/>
    <w:rsid w:val="00497E9C"/>
    <w:rsid w:val="00497FDC"/>
    <w:rsid w:val="004A00C6"/>
    <w:rsid w:val="004A01B6"/>
    <w:rsid w:val="004A0428"/>
    <w:rsid w:val="004A04CD"/>
    <w:rsid w:val="004A0542"/>
    <w:rsid w:val="004A0A84"/>
    <w:rsid w:val="004A0F00"/>
    <w:rsid w:val="004A1175"/>
    <w:rsid w:val="004A12A1"/>
    <w:rsid w:val="004A1441"/>
    <w:rsid w:val="004A1448"/>
    <w:rsid w:val="004A15C8"/>
    <w:rsid w:val="004A180F"/>
    <w:rsid w:val="004A1997"/>
    <w:rsid w:val="004A1C5E"/>
    <w:rsid w:val="004A1D3F"/>
    <w:rsid w:val="004A1F46"/>
    <w:rsid w:val="004A2235"/>
    <w:rsid w:val="004A2567"/>
    <w:rsid w:val="004A2C77"/>
    <w:rsid w:val="004A32C9"/>
    <w:rsid w:val="004A362F"/>
    <w:rsid w:val="004A3677"/>
    <w:rsid w:val="004A459E"/>
    <w:rsid w:val="004A4B4C"/>
    <w:rsid w:val="004A4C3A"/>
    <w:rsid w:val="004A4CFA"/>
    <w:rsid w:val="004A4D5E"/>
    <w:rsid w:val="004A4F3B"/>
    <w:rsid w:val="004A54C6"/>
    <w:rsid w:val="004A5617"/>
    <w:rsid w:val="004A5649"/>
    <w:rsid w:val="004A56A6"/>
    <w:rsid w:val="004A59E0"/>
    <w:rsid w:val="004A5E11"/>
    <w:rsid w:val="004A5F0F"/>
    <w:rsid w:val="004A609D"/>
    <w:rsid w:val="004A6388"/>
    <w:rsid w:val="004A64C0"/>
    <w:rsid w:val="004A658F"/>
    <w:rsid w:val="004A66B2"/>
    <w:rsid w:val="004A66C5"/>
    <w:rsid w:val="004A66D0"/>
    <w:rsid w:val="004A6935"/>
    <w:rsid w:val="004A6A54"/>
    <w:rsid w:val="004A72FD"/>
    <w:rsid w:val="004A7330"/>
    <w:rsid w:val="004A75C5"/>
    <w:rsid w:val="004A7865"/>
    <w:rsid w:val="004A7A28"/>
    <w:rsid w:val="004A7AF7"/>
    <w:rsid w:val="004A7CC3"/>
    <w:rsid w:val="004A7F39"/>
    <w:rsid w:val="004B06D7"/>
    <w:rsid w:val="004B0B2A"/>
    <w:rsid w:val="004B0E2F"/>
    <w:rsid w:val="004B107F"/>
    <w:rsid w:val="004B12E8"/>
    <w:rsid w:val="004B148F"/>
    <w:rsid w:val="004B15B1"/>
    <w:rsid w:val="004B18C4"/>
    <w:rsid w:val="004B1D51"/>
    <w:rsid w:val="004B2152"/>
    <w:rsid w:val="004B24A7"/>
    <w:rsid w:val="004B24F3"/>
    <w:rsid w:val="004B24FC"/>
    <w:rsid w:val="004B26C9"/>
    <w:rsid w:val="004B2702"/>
    <w:rsid w:val="004B28EF"/>
    <w:rsid w:val="004B2955"/>
    <w:rsid w:val="004B2C52"/>
    <w:rsid w:val="004B2CA7"/>
    <w:rsid w:val="004B2D46"/>
    <w:rsid w:val="004B2E82"/>
    <w:rsid w:val="004B3132"/>
    <w:rsid w:val="004B314D"/>
    <w:rsid w:val="004B3343"/>
    <w:rsid w:val="004B34A5"/>
    <w:rsid w:val="004B35D4"/>
    <w:rsid w:val="004B36FE"/>
    <w:rsid w:val="004B39B9"/>
    <w:rsid w:val="004B3BB2"/>
    <w:rsid w:val="004B4311"/>
    <w:rsid w:val="004B44F8"/>
    <w:rsid w:val="004B4568"/>
    <w:rsid w:val="004B45DA"/>
    <w:rsid w:val="004B49E0"/>
    <w:rsid w:val="004B4A88"/>
    <w:rsid w:val="004B50FF"/>
    <w:rsid w:val="004B541F"/>
    <w:rsid w:val="004B5482"/>
    <w:rsid w:val="004B5895"/>
    <w:rsid w:val="004B6273"/>
    <w:rsid w:val="004B653C"/>
    <w:rsid w:val="004B67D0"/>
    <w:rsid w:val="004B6A8D"/>
    <w:rsid w:val="004B6CFB"/>
    <w:rsid w:val="004B6D16"/>
    <w:rsid w:val="004B6DDA"/>
    <w:rsid w:val="004B703C"/>
    <w:rsid w:val="004B7134"/>
    <w:rsid w:val="004B735E"/>
    <w:rsid w:val="004B73EA"/>
    <w:rsid w:val="004B749B"/>
    <w:rsid w:val="004B7753"/>
    <w:rsid w:val="004B77D7"/>
    <w:rsid w:val="004B7A88"/>
    <w:rsid w:val="004B7FFE"/>
    <w:rsid w:val="004C072B"/>
    <w:rsid w:val="004C08C2"/>
    <w:rsid w:val="004C0932"/>
    <w:rsid w:val="004C0B7A"/>
    <w:rsid w:val="004C0BEF"/>
    <w:rsid w:val="004C0DF4"/>
    <w:rsid w:val="004C0EC4"/>
    <w:rsid w:val="004C10B0"/>
    <w:rsid w:val="004C1321"/>
    <w:rsid w:val="004C1981"/>
    <w:rsid w:val="004C19CF"/>
    <w:rsid w:val="004C1A29"/>
    <w:rsid w:val="004C1BB7"/>
    <w:rsid w:val="004C1C01"/>
    <w:rsid w:val="004C1C4B"/>
    <w:rsid w:val="004C2079"/>
    <w:rsid w:val="004C2127"/>
    <w:rsid w:val="004C22D1"/>
    <w:rsid w:val="004C231D"/>
    <w:rsid w:val="004C3253"/>
    <w:rsid w:val="004C3418"/>
    <w:rsid w:val="004C3A86"/>
    <w:rsid w:val="004C3B4E"/>
    <w:rsid w:val="004C3C43"/>
    <w:rsid w:val="004C4013"/>
    <w:rsid w:val="004C4C34"/>
    <w:rsid w:val="004C4C42"/>
    <w:rsid w:val="004C4E6C"/>
    <w:rsid w:val="004C4EF3"/>
    <w:rsid w:val="004C4EF8"/>
    <w:rsid w:val="004C5143"/>
    <w:rsid w:val="004C52F3"/>
    <w:rsid w:val="004C542F"/>
    <w:rsid w:val="004C5789"/>
    <w:rsid w:val="004C5825"/>
    <w:rsid w:val="004C5994"/>
    <w:rsid w:val="004C62E2"/>
    <w:rsid w:val="004C6480"/>
    <w:rsid w:val="004C6660"/>
    <w:rsid w:val="004C66E5"/>
    <w:rsid w:val="004C675A"/>
    <w:rsid w:val="004C6C4D"/>
    <w:rsid w:val="004C6DC1"/>
    <w:rsid w:val="004C787C"/>
    <w:rsid w:val="004C7D1F"/>
    <w:rsid w:val="004D0255"/>
    <w:rsid w:val="004D0297"/>
    <w:rsid w:val="004D0352"/>
    <w:rsid w:val="004D038A"/>
    <w:rsid w:val="004D07CC"/>
    <w:rsid w:val="004D0D37"/>
    <w:rsid w:val="004D0D78"/>
    <w:rsid w:val="004D0EF0"/>
    <w:rsid w:val="004D0F80"/>
    <w:rsid w:val="004D11AC"/>
    <w:rsid w:val="004D11C2"/>
    <w:rsid w:val="004D1813"/>
    <w:rsid w:val="004D18B9"/>
    <w:rsid w:val="004D1EB9"/>
    <w:rsid w:val="004D1EE4"/>
    <w:rsid w:val="004D27C1"/>
    <w:rsid w:val="004D29AB"/>
    <w:rsid w:val="004D2A29"/>
    <w:rsid w:val="004D2D62"/>
    <w:rsid w:val="004D2E5F"/>
    <w:rsid w:val="004D2FFA"/>
    <w:rsid w:val="004D3812"/>
    <w:rsid w:val="004D39AE"/>
    <w:rsid w:val="004D3A63"/>
    <w:rsid w:val="004D3DCF"/>
    <w:rsid w:val="004D3FB0"/>
    <w:rsid w:val="004D3FB9"/>
    <w:rsid w:val="004D4052"/>
    <w:rsid w:val="004D406E"/>
    <w:rsid w:val="004D4372"/>
    <w:rsid w:val="004D438A"/>
    <w:rsid w:val="004D4656"/>
    <w:rsid w:val="004D4767"/>
    <w:rsid w:val="004D4C03"/>
    <w:rsid w:val="004D4D96"/>
    <w:rsid w:val="004D4DD1"/>
    <w:rsid w:val="004D4E28"/>
    <w:rsid w:val="004D4E3C"/>
    <w:rsid w:val="004D4EAF"/>
    <w:rsid w:val="004D4F54"/>
    <w:rsid w:val="004D51DF"/>
    <w:rsid w:val="004D5B05"/>
    <w:rsid w:val="004D5B82"/>
    <w:rsid w:val="004D5BEE"/>
    <w:rsid w:val="004D5EBE"/>
    <w:rsid w:val="004D6178"/>
    <w:rsid w:val="004D6201"/>
    <w:rsid w:val="004D62F6"/>
    <w:rsid w:val="004D6508"/>
    <w:rsid w:val="004D6841"/>
    <w:rsid w:val="004D6A9E"/>
    <w:rsid w:val="004D6F33"/>
    <w:rsid w:val="004D6F9F"/>
    <w:rsid w:val="004D75A6"/>
    <w:rsid w:val="004D796F"/>
    <w:rsid w:val="004D7AFF"/>
    <w:rsid w:val="004D7B1D"/>
    <w:rsid w:val="004D7B41"/>
    <w:rsid w:val="004D7E6D"/>
    <w:rsid w:val="004E0019"/>
    <w:rsid w:val="004E0156"/>
    <w:rsid w:val="004E01BE"/>
    <w:rsid w:val="004E06AB"/>
    <w:rsid w:val="004E07AF"/>
    <w:rsid w:val="004E0835"/>
    <w:rsid w:val="004E0941"/>
    <w:rsid w:val="004E095A"/>
    <w:rsid w:val="004E0BAF"/>
    <w:rsid w:val="004E0ED6"/>
    <w:rsid w:val="004E0F72"/>
    <w:rsid w:val="004E103F"/>
    <w:rsid w:val="004E1066"/>
    <w:rsid w:val="004E118D"/>
    <w:rsid w:val="004E1566"/>
    <w:rsid w:val="004E1667"/>
    <w:rsid w:val="004E1B14"/>
    <w:rsid w:val="004E2292"/>
    <w:rsid w:val="004E231E"/>
    <w:rsid w:val="004E247D"/>
    <w:rsid w:val="004E28AA"/>
    <w:rsid w:val="004E292B"/>
    <w:rsid w:val="004E2C1B"/>
    <w:rsid w:val="004E2C3B"/>
    <w:rsid w:val="004E2CB3"/>
    <w:rsid w:val="004E2E64"/>
    <w:rsid w:val="004E2E69"/>
    <w:rsid w:val="004E30FF"/>
    <w:rsid w:val="004E343C"/>
    <w:rsid w:val="004E367C"/>
    <w:rsid w:val="004E39F0"/>
    <w:rsid w:val="004E4390"/>
    <w:rsid w:val="004E43C4"/>
    <w:rsid w:val="004E4782"/>
    <w:rsid w:val="004E4831"/>
    <w:rsid w:val="004E4C7E"/>
    <w:rsid w:val="004E4FA5"/>
    <w:rsid w:val="004E5197"/>
    <w:rsid w:val="004E59C2"/>
    <w:rsid w:val="004E5E35"/>
    <w:rsid w:val="004E5E46"/>
    <w:rsid w:val="004E5EED"/>
    <w:rsid w:val="004E5F69"/>
    <w:rsid w:val="004E6661"/>
    <w:rsid w:val="004E6782"/>
    <w:rsid w:val="004E6B4F"/>
    <w:rsid w:val="004E6D45"/>
    <w:rsid w:val="004E6D6B"/>
    <w:rsid w:val="004E6D6C"/>
    <w:rsid w:val="004E6DDD"/>
    <w:rsid w:val="004E6FC4"/>
    <w:rsid w:val="004E70F4"/>
    <w:rsid w:val="004E717E"/>
    <w:rsid w:val="004E71EE"/>
    <w:rsid w:val="004E7394"/>
    <w:rsid w:val="004E74B6"/>
    <w:rsid w:val="004E7993"/>
    <w:rsid w:val="004E7E54"/>
    <w:rsid w:val="004E7E94"/>
    <w:rsid w:val="004F02E5"/>
    <w:rsid w:val="004F03A8"/>
    <w:rsid w:val="004F068C"/>
    <w:rsid w:val="004F0A95"/>
    <w:rsid w:val="004F0C95"/>
    <w:rsid w:val="004F0CC5"/>
    <w:rsid w:val="004F0DC6"/>
    <w:rsid w:val="004F0E90"/>
    <w:rsid w:val="004F1020"/>
    <w:rsid w:val="004F10FF"/>
    <w:rsid w:val="004F1534"/>
    <w:rsid w:val="004F17AF"/>
    <w:rsid w:val="004F1A0B"/>
    <w:rsid w:val="004F1A2E"/>
    <w:rsid w:val="004F1C33"/>
    <w:rsid w:val="004F1C5B"/>
    <w:rsid w:val="004F2A80"/>
    <w:rsid w:val="004F2B9D"/>
    <w:rsid w:val="004F2C0D"/>
    <w:rsid w:val="004F2F71"/>
    <w:rsid w:val="004F2FE7"/>
    <w:rsid w:val="004F312A"/>
    <w:rsid w:val="004F31DF"/>
    <w:rsid w:val="004F369D"/>
    <w:rsid w:val="004F3858"/>
    <w:rsid w:val="004F391F"/>
    <w:rsid w:val="004F3B53"/>
    <w:rsid w:val="004F3C74"/>
    <w:rsid w:val="004F3DC0"/>
    <w:rsid w:val="004F44C8"/>
    <w:rsid w:val="004F459C"/>
    <w:rsid w:val="004F473B"/>
    <w:rsid w:val="004F574D"/>
    <w:rsid w:val="004F5770"/>
    <w:rsid w:val="004F57B3"/>
    <w:rsid w:val="004F5A4E"/>
    <w:rsid w:val="004F5BB4"/>
    <w:rsid w:val="004F61EC"/>
    <w:rsid w:val="004F63C5"/>
    <w:rsid w:val="004F65CF"/>
    <w:rsid w:val="004F681E"/>
    <w:rsid w:val="004F7606"/>
    <w:rsid w:val="004F767F"/>
    <w:rsid w:val="004F7715"/>
    <w:rsid w:val="004F7C46"/>
    <w:rsid w:val="004F7D86"/>
    <w:rsid w:val="004F7DE7"/>
    <w:rsid w:val="00500281"/>
    <w:rsid w:val="005008BB"/>
    <w:rsid w:val="00500A9F"/>
    <w:rsid w:val="00500DEC"/>
    <w:rsid w:val="0050154C"/>
    <w:rsid w:val="005015F8"/>
    <w:rsid w:val="00501870"/>
    <w:rsid w:val="00501951"/>
    <w:rsid w:val="0050195F"/>
    <w:rsid w:val="00501E12"/>
    <w:rsid w:val="00501EB1"/>
    <w:rsid w:val="00501FCB"/>
    <w:rsid w:val="00502298"/>
    <w:rsid w:val="0050237A"/>
    <w:rsid w:val="00502857"/>
    <w:rsid w:val="00502C9B"/>
    <w:rsid w:val="00502DBB"/>
    <w:rsid w:val="00502F6E"/>
    <w:rsid w:val="005030B5"/>
    <w:rsid w:val="005031E9"/>
    <w:rsid w:val="0050363F"/>
    <w:rsid w:val="00503640"/>
    <w:rsid w:val="00503726"/>
    <w:rsid w:val="00504171"/>
    <w:rsid w:val="005042D6"/>
    <w:rsid w:val="0050469E"/>
    <w:rsid w:val="00504744"/>
    <w:rsid w:val="005048D2"/>
    <w:rsid w:val="005048F2"/>
    <w:rsid w:val="00504BD1"/>
    <w:rsid w:val="00505378"/>
    <w:rsid w:val="005053BB"/>
    <w:rsid w:val="00505610"/>
    <w:rsid w:val="005059E3"/>
    <w:rsid w:val="00505B64"/>
    <w:rsid w:val="00505D0B"/>
    <w:rsid w:val="00505DB6"/>
    <w:rsid w:val="00505EA3"/>
    <w:rsid w:val="005062B7"/>
    <w:rsid w:val="0050645F"/>
    <w:rsid w:val="00506548"/>
    <w:rsid w:val="005065CB"/>
    <w:rsid w:val="005067F4"/>
    <w:rsid w:val="00506EF4"/>
    <w:rsid w:val="00506F40"/>
    <w:rsid w:val="0050722A"/>
    <w:rsid w:val="00507ADD"/>
    <w:rsid w:val="0051000E"/>
    <w:rsid w:val="005100AF"/>
    <w:rsid w:val="00510301"/>
    <w:rsid w:val="005103EF"/>
    <w:rsid w:val="0051057A"/>
    <w:rsid w:val="005108CE"/>
    <w:rsid w:val="00510A63"/>
    <w:rsid w:val="00510DCE"/>
    <w:rsid w:val="00511A06"/>
    <w:rsid w:val="00511DD7"/>
    <w:rsid w:val="00511EC5"/>
    <w:rsid w:val="005121A5"/>
    <w:rsid w:val="005123FA"/>
    <w:rsid w:val="00512D1C"/>
    <w:rsid w:val="00512D56"/>
    <w:rsid w:val="00512EEB"/>
    <w:rsid w:val="00512F5B"/>
    <w:rsid w:val="00513471"/>
    <w:rsid w:val="00513482"/>
    <w:rsid w:val="00513C7A"/>
    <w:rsid w:val="00513E47"/>
    <w:rsid w:val="00513EA0"/>
    <w:rsid w:val="00513FDC"/>
    <w:rsid w:val="005140FA"/>
    <w:rsid w:val="00514298"/>
    <w:rsid w:val="00514888"/>
    <w:rsid w:val="00514921"/>
    <w:rsid w:val="00514C77"/>
    <w:rsid w:val="00514C93"/>
    <w:rsid w:val="005152C0"/>
    <w:rsid w:val="00515353"/>
    <w:rsid w:val="00515505"/>
    <w:rsid w:val="00515691"/>
    <w:rsid w:val="00515C5C"/>
    <w:rsid w:val="00515D8F"/>
    <w:rsid w:val="00515FCD"/>
    <w:rsid w:val="005163AD"/>
    <w:rsid w:val="005168B3"/>
    <w:rsid w:val="00516B5F"/>
    <w:rsid w:val="00517253"/>
    <w:rsid w:val="0051737A"/>
    <w:rsid w:val="005177CD"/>
    <w:rsid w:val="0051783A"/>
    <w:rsid w:val="005200D7"/>
    <w:rsid w:val="00520258"/>
    <w:rsid w:val="005202F1"/>
    <w:rsid w:val="00520699"/>
    <w:rsid w:val="005206FD"/>
    <w:rsid w:val="00520737"/>
    <w:rsid w:val="00520AD4"/>
    <w:rsid w:val="00521139"/>
    <w:rsid w:val="00521155"/>
    <w:rsid w:val="00521874"/>
    <w:rsid w:val="00521E8C"/>
    <w:rsid w:val="005222C7"/>
    <w:rsid w:val="005227C5"/>
    <w:rsid w:val="00522807"/>
    <w:rsid w:val="00522F28"/>
    <w:rsid w:val="00522F4A"/>
    <w:rsid w:val="00523412"/>
    <w:rsid w:val="00523467"/>
    <w:rsid w:val="00523868"/>
    <w:rsid w:val="00523934"/>
    <w:rsid w:val="00523CBF"/>
    <w:rsid w:val="00523F6E"/>
    <w:rsid w:val="0052417D"/>
    <w:rsid w:val="005244F0"/>
    <w:rsid w:val="005246F2"/>
    <w:rsid w:val="00525106"/>
    <w:rsid w:val="005251E6"/>
    <w:rsid w:val="005252EA"/>
    <w:rsid w:val="00525408"/>
    <w:rsid w:val="00525696"/>
    <w:rsid w:val="0052574E"/>
    <w:rsid w:val="00525972"/>
    <w:rsid w:val="00525E2C"/>
    <w:rsid w:val="00525FA5"/>
    <w:rsid w:val="00526064"/>
    <w:rsid w:val="00526939"/>
    <w:rsid w:val="00526B2D"/>
    <w:rsid w:val="00526E2D"/>
    <w:rsid w:val="005271F1"/>
    <w:rsid w:val="0052734B"/>
    <w:rsid w:val="005276A5"/>
    <w:rsid w:val="005277E6"/>
    <w:rsid w:val="00527D36"/>
    <w:rsid w:val="0053008A"/>
    <w:rsid w:val="00530320"/>
    <w:rsid w:val="005306B1"/>
    <w:rsid w:val="00530927"/>
    <w:rsid w:val="00530A79"/>
    <w:rsid w:val="00530AA0"/>
    <w:rsid w:val="00530CF0"/>
    <w:rsid w:val="00530DA3"/>
    <w:rsid w:val="00530F64"/>
    <w:rsid w:val="00531112"/>
    <w:rsid w:val="0053136C"/>
    <w:rsid w:val="00531566"/>
    <w:rsid w:val="00531595"/>
    <w:rsid w:val="0053168F"/>
    <w:rsid w:val="005317AC"/>
    <w:rsid w:val="00531861"/>
    <w:rsid w:val="005319EF"/>
    <w:rsid w:val="00531BF5"/>
    <w:rsid w:val="00531CFA"/>
    <w:rsid w:val="00532233"/>
    <w:rsid w:val="00532259"/>
    <w:rsid w:val="00532390"/>
    <w:rsid w:val="005324A5"/>
    <w:rsid w:val="00532D90"/>
    <w:rsid w:val="0053300D"/>
    <w:rsid w:val="00533531"/>
    <w:rsid w:val="005336C5"/>
    <w:rsid w:val="00533795"/>
    <w:rsid w:val="00533C0D"/>
    <w:rsid w:val="00533E33"/>
    <w:rsid w:val="00533F92"/>
    <w:rsid w:val="00534806"/>
    <w:rsid w:val="005349E0"/>
    <w:rsid w:val="00534A96"/>
    <w:rsid w:val="00534D84"/>
    <w:rsid w:val="005355E3"/>
    <w:rsid w:val="00535BE1"/>
    <w:rsid w:val="00535C0A"/>
    <w:rsid w:val="0053609E"/>
    <w:rsid w:val="00536275"/>
    <w:rsid w:val="00536358"/>
    <w:rsid w:val="00536446"/>
    <w:rsid w:val="0053684A"/>
    <w:rsid w:val="00536905"/>
    <w:rsid w:val="00536B27"/>
    <w:rsid w:val="00536D77"/>
    <w:rsid w:val="00536D96"/>
    <w:rsid w:val="00537096"/>
    <w:rsid w:val="00537321"/>
    <w:rsid w:val="0053770D"/>
    <w:rsid w:val="00537981"/>
    <w:rsid w:val="00537B44"/>
    <w:rsid w:val="00537C71"/>
    <w:rsid w:val="00537DB4"/>
    <w:rsid w:val="00537F12"/>
    <w:rsid w:val="00537F3A"/>
    <w:rsid w:val="005403E0"/>
    <w:rsid w:val="005403E3"/>
    <w:rsid w:val="00540464"/>
    <w:rsid w:val="005405B5"/>
    <w:rsid w:val="005407A2"/>
    <w:rsid w:val="005409A0"/>
    <w:rsid w:val="00540ACB"/>
    <w:rsid w:val="00540D19"/>
    <w:rsid w:val="00540D28"/>
    <w:rsid w:val="00540D5D"/>
    <w:rsid w:val="00540FE2"/>
    <w:rsid w:val="00541066"/>
    <w:rsid w:val="005410AB"/>
    <w:rsid w:val="0054198C"/>
    <w:rsid w:val="00541ADD"/>
    <w:rsid w:val="00541C8D"/>
    <w:rsid w:val="00541E04"/>
    <w:rsid w:val="00542437"/>
    <w:rsid w:val="00542482"/>
    <w:rsid w:val="00542583"/>
    <w:rsid w:val="0054316E"/>
    <w:rsid w:val="00543265"/>
    <w:rsid w:val="005434D3"/>
    <w:rsid w:val="00543782"/>
    <w:rsid w:val="005437FD"/>
    <w:rsid w:val="00543C47"/>
    <w:rsid w:val="00544013"/>
    <w:rsid w:val="005442A9"/>
    <w:rsid w:val="00544613"/>
    <w:rsid w:val="00544672"/>
    <w:rsid w:val="00545310"/>
    <w:rsid w:val="0054573E"/>
    <w:rsid w:val="005467C2"/>
    <w:rsid w:val="005468C0"/>
    <w:rsid w:val="00546C7B"/>
    <w:rsid w:val="00546D4F"/>
    <w:rsid w:val="005476CA"/>
    <w:rsid w:val="00547891"/>
    <w:rsid w:val="00547FC3"/>
    <w:rsid w:val="005500E4"/>
    <w:rsid w:val="005503CC"/>
    <w:rsid w:val="005504B9"/>
    <w:rsid w:val="00550547"/>
    <w:rsid w:val="00550A38"/>
    <w:rsid w:val="00550DF3"/>
    <w:rsid w:val="00550E19"/>
    <w:rsid w:val="00550F7A"/>
    <w:rsid w:val="005514B0"/>
    <w:rsid w:val="00551687"/>
    <w:rsid w:val="00551773"/>
    <w:rsid w:val="00551AA8"/>
    <w:rsid w:val="00551DE6"/>
    <w:rsid w:val="00552169"/>
    <w:rsid w:val="0055228E"/>
    <w:rsid w:val="00552BA0"/>
    <w:rsid w:val="00552C2D"/>
    <w:rsid w:val="00552CC8"/>
    <w:rsid w:val="00553025"/>
    <w:rsid w:val="00553226"/>
    <w:rsid w:val="00553590"/>
    <w:rsid w:val="00553801"/>
    <w:rsid w:val="00553A02"/>
    <w:rsid w:val="00553B20"/>
    <w:rsid w:val="00553BA1"/>
    <w:rsid w:val="00553CF3"/>
    <w:rsid w:val="0055407A"/>
    <w:rsid w:val="0055407E"/>
    <w:rsid w:val="005542D8"/>
    <w:rsid w:val="00554308"/>
    <w:rsid w:val="005546E3"/>
    <w:rsid w:val="00554741"/>
    <w:rsid w:val="00554F32"/>
    <w:rsid w:val="00555118"/>
    <w:rsid w:val="005552F8"/>
    <w:rsid w:val="005554CC"/>
    <w:rsid w:val="00555553"/>
    <w:rsid w:val="005555B1"/>
    <w:rsid w:val="005555FD"/>
    <w:rsid w:val="00555717"/>
    <w:rsid w:val="00555719"/>
    <w:rsid w:val="00555744"/>
    <w:rsid w:val="00555F92"/>
    <w:rsid w:val="00556172"/>
    <w:rsid w:val="0055659E"/>
    <w:rsid w:val="0055699F"/>
    <w:rsid w:val="00556ED0"/>
    <w:rsid w:val="00557189"/>
    <w:rsid w:val="00557251"/>
    <w:rsid w:val="0055732F"/>
    <w:rsid w:val="005573AE"/>
    <w:rsid w:val="00557A73"/>
    <w:rsid w:val="00557C4B"/>
    <w:rsid w:val="00557FF8"/>
    <w:rsid w:val="0056005A"/>
    <w:rsid w:val="005600DC"/>
    <w:rsid w:val="00560759"/>
    <w:rsid w:val="00560971"/>
    <w:rsid w:val="00560AF6"/>
    <w:rsid w:val="00560B1C"/>
    <w:rsid w:val="005611E2"/>
    <w:rsid w:val="0056126F"/>
    <w:rsid w:val="0056130F"/>
    <w:rsid w:val="00561401"/>
    <w:rsid w:val="00561446"/>
    <w:rsid w:val="00561D47"/>
    <w:rsid w:val="00561D74"/>
    <w:rsid w:val="00561F32"/>
    <w:rsid w:val="00561F3C"/>
    <w:rsid w:val="005628D6"/>
    <w:rsid w:val="00562B7E"/>
    <w:rsid w:val="00562BF6"/>
    <w:rsid w:val="00562DB4"/>
    <w:rsid w:val="005630F8"/>
    <w:rsid w:val="0056327E"/>
    <w:rsid w:val="005638A4"/>
    <w:rsid w:val="005638EF"/>
    <w:rsid w:val="00563A0E"/>
    <w:rsid w:val="00563B86"/>
    <w:rsid w:val="00563DBA"/>
    <w:rsid w:val="00564059"/>
    <w:rsid w:val="0056441C"/>
    <w:rsid w:val="00564569"/>
    <w:rsid w:val="005647F6"/>
    <w:rsid w:val="00564B3D"/>
    <w:rsid w:val="00564C52"/>
    <w:rsid w:val="00564E0C"/>
    <w:rsid w:val="00564E8D"/>
    <w:rsid w:val="00564F25"/>
    <w:rsid w:val="00565505"/>
    <w:rsid w:val="00565878"/>
    <w:rsid w:val="005660C6"/>
    <w:rsid w:val="005662A0"/>
    <w:rsid w:val="005663E6"/>
    <w:rsid w:val="005664BD"/>
    <w:rsid w:val="0056670D"/>
    <w:rsid w:val="00566800"/>
    <w:rsid w:val="00566839"/>
    <w:rsid w:val="00566865"/>
    <w:rsid w:val="00566A4D"/>
    <w:rsid w:val="00566A55"/>
    <w:rsid w:val="00566AF5"/>
    <w:rsid w:val="00566D5A"/>
    <w:rsid w:val="0056715B"/>
    <w:rsid w:val="00567597"/>
    <w:rsid w:val="00567747"/>
    <w:rsid w:val="0056798C"/>
    <w:rsid w:val="00567DBF"/>
    <w:rsid w:val="00570192"/>
    <w:rsid w:val="00570306"/>
    <w:rsid w:val="0057074E"/>
    <w:rsid w:val="005709AF"/>
    <w:rsid w:val="00570A71"/>
    <w:rsid w:val="00570AEB"/>
    <w:rsid w:val="0057107B"/>
    <w:rsid w:val="005713A4"/>
    <w:rsid w:val="0057175B"/>
    <w:rsid w:val="00571877"/>
    <w:rsid w:val="005718CE"/>
    <w:rsid w:val="00571923"/>
    <w:rsid w:val="00571B16"/>
    <w:rsid w:val="00571BFF"/>
    <w:rsid w:val="00571DD6"/>
    <w:rsid w:val="00571E8B"/>
    <w:rsid w:val="00571EC0"/>
    <w:rsid w:val="00572022"/>
    <w:rsid w:val="0057251E"/>
    <w:rsid w:val="0057271E"/>
    <w:rsid w:val="005728D8"/>
    <w:rsid w:val="00572935"/>
    <w:rsid w:val="00572B3B"/>
    <w:rsid w:val="00572BB0"/>
    <w:rsid w:val="00572CE2"/>
    <w:rsid w:val="00572F86"/>
    <w:rsid w:val="00573205"/>
    <w:rsid w:val="0057322F"/>
    <w:rsid w:val="0057327F"/>
    <w:rsid w:val="00573477"/>
    <w:rsid w:val="005735FA"/>
    <w:rsid w:val="0057384D"/>
    <w:rsid w:val="00573999"/>
    <w:rsid w:val="00573AAB"/>
    <w:rsid w:val="00574BF4"/>
    <w:rsid w:val="00575277"/>
    <w:rsid w:val="00575768"/>
    <w:rsid w:val="00575A6D"/>
    <w:rsid w:val="00575C78"/>
    <w:rsid w:val="00575D03"/>
    <w:rsid w:val="00575D7A"/>
    <w:rsid w:val="00575D82"/>
    <w:rsid w:val="005767E0"/>
    <w:rsid w:val="00576AC6"/>
    <w:rsid w:val="00576DD2"/>
    <w:rsid w:val="0057705F"/>
    <w:rsid w:val="005777B4"/>
    <w:rsid w:val="0057796F"/>
    <w:rsid w:val="00577A9E"/>
    <w:rsid w:val="00577DD4"/>
    <w:rsid w:val="005805B1"/>
    <w:rsid w:val="00580750"/>
    <w:rsid w:val="005807C9"/>
    <w:rsid w:val="00580994"/>
    <w:rsid w:val="00580F74"/>
    <w:rsid w:val="0058134D"/>
    <w:rsid w:val="0058146E"/>
    <w:rsid w:val="00581BE8"/>
    <w:rsid w:val="00582012"/>
    <w:rsid w:val="00582255"/>
    <w:rsid w:val="005823DA"/>
    <w:rsid w:val="0058242A"/>
    <w:rsid w:val="00582821"/>
    <w:rsid w:val="00582F64"/>
    <w:rsid w:val="005834CE"/>
    <w:rsid w:val="00583572"/>
    <w:rsid w:val="00583839"/>
    <w:rsid w:val="00583DDC"/>
    <w:rsid w:val="005840B4"/>
    <w:rsid w:val="005841EE"/>
    <w:rsid w:val="00584260"/>
    <w:rsid w:val="0058463D"/>
    <w:rsid w:val="00584682"/>
    <w:rsid w:val="005848F7"/>
    <w:rsid w:val="00584A33"/>
    <w:rsid w:val="00584C22"/>
    <w:rsid w:val="00584C2A"/>
    <w:rsid w:val="00585073"/>
    <w:rsid w:val="00585254"/>
    <w:rsid w:val="0058567E"/>
    <w:rsid w:val="00585B72"/>
    <w:rsid w:val="00585EB5"/>
    <w:rsid w:val="00585F60"/>
    <w:rsid w:val="00586032"/>
    <w:rsid w:val="00586411"/>
    <w:rsid w:val="0058644B"/>
    <w:rsid w:val="0058653E"/>
    <w:rsid w:val="005868E0"/>
    <w:rsid w:val="00586B8F"/>
    <w:rsid w:val="00586E57"/>
    <w:rsid w:val="0058746F"/>
    <w:rsid w:val="0058752A"/>
    <w:rsid w:val="005875FB"/>
    <w:rsid w:val="00587C2F"/>
    <w:rsid w:val="00590008"/>
    <w:rsid w:val="005900B9"/>
    <w:rsid w:val="005904B1"/>
    <w:rsid w:val="005905FE"/>
    <w:rsid w:val="005908A7"/>
    <w:rsid w:val="00591002"/>
    <w:rsid w:val="00591668"/>
    <w:rsid w:val="00591A4D"/>
    <w:rsid w:val="00591D2A"/>
    <w:rsid w:val="00592187"/>
    <w:rsid w:val="0059226F"/>
    <w:rsid w:val="00592356"/>
    <w:rsid w:val="00592360"/>
    <w:rsid w:val="0059246E"/>
    <w:rsid w:val="005925A4"/>
    <w:rsid w:val="00592C03"/>
    <w:rsid w:val="00592CF6"/>
    <w:rsid w:val="00592D79"/>
    <w:rsid w:val="0059392A"/>
    <w:rsid w:val="005939FC"/>
    <w:rsid w:val="00593AB7"/>
    <w:rsid w:val="00593B99"/>
    <w:rsid w:val="0059402D"/>
    <w:rsid w:val="00594100"/>
    <w:rsid w:val="00594453"/>
    <w:rsid w:val="005945C4"/>
    <w:rsid w:val="0059485E"/>
    <w:rsid w:val="00594DB4"/>
    <w:rsid w:val="00594DFB"/>
    <w:rsid w:val="00594E5D"/>
    <w:rsid w:val="00594E88"/>
    <w:rsid w:val="00594EFA"/>
    <w:rsid w:val="00594F94"/>
    <w:rsid w:val="00595821"/>
    <w:rsid w:val="00595D7E"/>
    <w:rsid w:val="00595FBC"/>
    <w:rsid w:val="00596715"/>
    <w:rsid w:val="00596B18"/>
    <w:rsid w:val="00597059"/>
    <w:rsid w:val="005970ED"/>
    <w:rsid w:val="00597361"/>
    <w:rsid w:val="0059739D"/>
    <w:rsid w:val="00597687"/>
    <w:rsid w:val="00597AC6"/>
    <w:rsid w:val="005A0742"/>
    <w:rsid w:val="005A0E15"/>
    <w:rsid w:val="005A0E2B"/>
    <w:rsid w:val="005A1015"/>
    <w:rsid w:val="005A123B"/>
    <w:rsid w:val="005A12AC"/>
    <w:rsid w:val="005A142E"/>
    <w:rsid w:val="005A145A"/>
    <w:rsid w:val="005A158C"/>
    <w:rsid w:val="005A24C9"/>
    <w:rsid w:val="005A285F"/>
    <w:rsid w:val="005A2861"/>
    <w:rsid w:val="005A28CB"/>
    <w:rsid w:val="005A2BE5"/>
    <w:rsid w:val="005A2EEE"/>
    <w:rsid w:val="005A3353"/>
    <w:rsid w:val="005A3613"/>
    <w:rsid w:val="005A364A"/>
    <w:rsid w:val="005A38FE"/>
    <w:rsid w:val="005A398C"/>
    <w:rsid w:val="005A39E4"/>
    <w:rsid w:val="005A3A7B"/>
    <w:rsid w:val="005A3C8E"/>
    <w:rsid w:val="005A3FE9"/>
    <w:rsid w:val="005A429A"/>
    <w:rsid w:val="005A44D1"/>
    <w:rsid w:val="005A4520"/>
    <w:rsid w:val="005A45B5"/>
    <w:rsid w:val="005A46DD"/>
    <w:rsid w:val="005A49C9"/>
    <w:rsid w:val="005A4BA3"/>
    <w:rsid w:val="005A4DFD"/>
    <w:rsid w:val="005A4F21"/>
    <w:rsid w:val="005A5069"/>
    <w:rsid w:val="005A549C"/>
    <w:rsid w:val="005A5556"/>
    <w:rsid w:val="005A5722"/>
    <w:rsid w:val="005A5993"/>
    <w:rsid w:val="005A5FC2"/>
    <w:rsid w:val="005A6096"/>
    <w:rsid w:val="005A6480"/>
    <w:rsid w:val="005A66C8"/>
    <w:rsid w:val="005A67E1"/>
    <w:rsid w:val="005A6A38"/>
    <w:rsid w:val="005A6A8E"/>
    <w:rsid w:val="005A6ABE"/>
    <w:rsid w:val="005A6B6B"/>
    <w:rsid w:val="005A6F64"/>
    <w:rsid w:val="005A6FC8"/>
    <w:rsid w:val="005A7171"/>
    <w:rsid w:val="005A7396"/>
    <w:rsid w:val="005A7517"/>
    <w:rsid w:val="005A778A"/>
    <w:rsid w:val="005A7914"/>
    <w:rsid w:val="005A7973"/>
    <w:rsid w:val="005A7AE2"/>
    <w:rsid w:val="005B0840"/>
    <w:rsid w:val="005B0872"/>
    <w:rsid w:val="005B088E"/>
    <w:rsid w:val="005B0FA8"/>
    <w:rsid w:val="005B1F1D"/>
    <w:rsid w:val="005B1F8A"/>
    <w:rsid w:val="005B1FB9"/>
    <w:rsid w:val="005B20A9"/>
    <w:rsid w:val="005B216D"/>
    <w:rsid w:val="005B237A"/>
    <w:rsid w:val="005B25AA"/>
    <w:rsid w:val="005B2A9B"/>
    <w:rsid w:val="005B2FA5"/>
    <w:rsid w:val="005B330E"/>
    <w:rsid w:val="005B36F1"/>
    <w:rsid w:val="005B373C"/>
    <w:rsid w:val="005B3753"/>
    <w:rsid w:val="005B39F9"/>
    <w:rsid w:val="005B3C88"/>
    <w:rsid w:val="005B3CF5"/>
    <w:rsid w:val="005B3E01"/>
    <w:rsid w:val="005B3ECA"/>
    <w:rsid w:val="005B3F69"/>
    <w:rsid w:val="005B3F78"/>
    <w:rsid w:val="005B4105"/>
    <w:rsid w:val="005B4542"/>
    <w:rsid w:val="005B45C8"/>
    <w:rsid w:val="005B4F47"/>
    <w:rsid w:val="005B5050"/>
    <w:rsid w:val="005B51D0"/>
    <w:rsid w:val="005B5502"/>
    <w:rsid w:val="005B56FC"/>
    <w:rsid w:val="005B592E"/>
    <w:rsid w:val="005B5BF0"/>
    <w:rsid w:val="005B6159"/>
    <w:rsid w:val="005B65DA"/>
    <w:rsid w:val="005B6777"/>
    <w:rsid w:val="005B6956"/>
    <w:rsid w:val="005B6A70"/>
    <w:rsid w:val="005B6A73"/>
    <w:rsid w:val="005B6B90"/>
    <w:rsid w:val="005B6C11"/>
    <w:rsid w:val="005B6D6D"/>
    <w:rsid w:val="005B6F1E"/>
    <w:rsid w:val="005B71BC"/>
    <w:rsid w:val="005B7563"/>
    <w:rsid w:val="005B7F15"/>
    <w:rsid w:val="005B7F20"/>
    <w:rsid w:val="005C089E"/>
    <w:rsid w:val="005C0D79"/>
    <w:rsid w:val="005C0EDB"/>
    <w:rsid w:val="005C0F72"/>
    <w:rsid w:val="005C1195"/>
    <w:rsid w:val="005C14BF"/>
    <w:rsid w:val="005C166C"/>
    <w:rsid w:val="005C1728"/>
    <w:rsid w:val="005C18E7"/>
    <w:rsid w:val="005C1D8D"/>
    <w:rsid w:val="005C2086"/>
    <w:rsid w:val="005C242D"/>
    <w:rsid w:val="005C2664"/>
    <w:rsid w:val="005C26B3"/>
    <w:rsid w:val="005C2DA1"/>
    <w:rsid w:val="005C2DD6"/>
    <w:rsid w:val="005C3419"/>
    <w:rsid w:val="005C3769"/>
    <w:rsid w:val="005C38B9"/>
    <w:rsid w:val="005C3EF3"/>
    <w:rsid w:val="005C402D"/>
    <w:rsid w:val="005C412F"/>
    <w:rsid w:val="005C4C97"/>
    <w:rsid w:val="005C4FBD"/>
    <w:rsid w:val="005C5091"/>
    <w:rsid w:val="005C554F"/>
    <w:rsid w:val="005C570F"/>
    <w:rsid w:val="005C5730"/>
    <w:rsid w:val="005C5983"/>
    <w:rsid w:val="005C5DBB"/>
    <w:rsid w:val="005C5F61"/>
    <w:rsid w:val="005C60C1"/>
    <w:rsid w:val="005C6212"/>
    <w:rsid w:val="005C6292"/>
    <w:rsid w:val="005C6356"/>
    <w:rsid w:val="005C6579"/>
    <w:rsid w:val="005C6681"/>
    <w:rsid w:val="005C6E90"/>
    <w:rsid w:val="005C6F83"/>
    <w:rsid w:val="005C72F1"/>
    <w:rsid w:val="005C75B0"/>
    <w:rsid w:val="005C7B1E"/>
    <w:rsid w:val="005C7D9F"/>
    <w:rsid w:val="005D00BB"/>
    <w:rsid w:val="005D03C7"/>
    <w:rsid w:val="005D046E"/>
    <w:rsid w:val="005D05B3"/>
    <w:rsid w:val="005D072B"/>
    <w:rsid w:val="005D0D93"/>
    <w:rsid w:val="005D0F56"/>
    <w:rsid w:val="005D10CD"/>
    <w:rsid w:val="005D14DE"/>
    <w:rsid w:val="005D16B6"/>
    <w:rsid w:val="005D182D"/>
    <w:rsid w:val="005D1899"/>
    <w:rsid w:val="005D1CAE"/>
    <w:rsid w:val="005D1E15"/>
    <w:rsid w:val="005D1F6A"/>
    <w:rsid w:val="005D202D"/>
    <w:rsid w:val="005D2629"/>
    <w:rsid w:val="005D2AD2"/>
    <w:rsid w:val="005D2CFF"/>
    <w:rsid w:val="005D2D4B"/>
    <w:rsid w:val="005D2F98"/>
    <w:rsid w:val="005D3267"/>
    <w:rsid w:val="005D32B8"/>
    <w:rsid w:val="005D378E"/>
    <w:rsid w:val="005D37D7"/>
    <w:rsid w:val="005D3957"/>
    <w:rsid w:val="005D397E"/>
    <w:rsid w:val="005D3A15"/>
    <w:rsid w:val="005D3AD2"/>
    <w:rsid w:val="005D3C9B"/>
    <w:rsid w:val="005D3F5A"/>
    <w:rsid w:val="005D4153"/>
    <w:rsid w:val="005D43E5"/>
    <w:rsid w:val="005D476D"/>
    <w:rsid w:val="005D47D4"/>
    <w:rsid w:val="005D4B5B"/>
    <w:rsid w:val="005D4BDB"/>
    <w:rsid w:val="005D4C10"/>
    <w:rsid w:val="005D4DE1"/>
    <w:rsid w:val="005D4F97"/>
    <w:rsid w:val="005D5045"/>
    <w:rsid w:val="005D511B"/>
    <w:rsid w:val="005D52F8"/>
    <w:rsid w:val="005D53D9"/>
    <w:rsid w:val="005D56A6"/>
    <w:rsid w:val="005D56F7"/>
    <w:rsid w:val="005D573E"/>
    <w:rsid w:val="005D5796"/>
    <w:rsid w:val="005D5B07"/>
    <w:rsid w:val="005D5B5A"/>
    <w:rsid w:val="005D5C96"/>
    <w:rsid w:val="005D5E52"/>
    <w:rsid w:val="005D5F66"/>
    <w:rsid w:val="005D5FF0"/>
    <w:rsid w:val="005D60D8"/>
    <w:rsid w:val="005D647D"/>
    <w:rsid w:val="005D6485"/>
    <w:rsid w:val="005D6638"/>
    <w:rsid w:val="005D6A33"/>
    <w:rsid w:val="005D6A75"/>
    <w:rsid w:val="005D6ADA"/>
    <w:rsid w:val="005D6B29"/>
    <w:rsid w:val="005D6CEA"/>
    <w:rsid w:val="005D77F5"/>
    <w:rsid w:val="005D7AE6"/>
    <w:rsid w:val="005D7B51"/>
    <w:rsid w:val="005D7BA5"/>
    <w:rsid w:val="005D7D31"/>
    <w:rsid w:val="005D7EC4"/>
    <w:rsid w:val="005E0039"/>
    <w:rsid w:val="005E0450"/>
    <w:rsid w:val="005E0732"/>
    <w:rsid w:val="005E079E"/>
    <w:rsid w:val="005E0995"/>
    <w:rsid w:val="005E0AFE"/>
    <w:rsid w:val="005E0CC5"/>
    <w:rsid w:val="005E0FC7"/>
    <w:rsid w:val="005E10A0"/>
    <w:rsid w:val="005E1138"/>
    <w:rsid w:val="005E115B"/>
    <w:rsid w:val="005E12E9"/>
    <w:rsid w:val="005E1770"/>
    <w:rsid w:val="005E19D0"/>
    <w:rsid w:val="005E1A9C"/>
    <w:rsid w:val="005E1AAC"/>
    <w:rsid w:val="005E1CA6"/>
    <w:rsid w:val="005E1FAA"/>
    <w:rsid w:val="005E21F7"/>
    <w:rsid w:val="005E235A"/>
    <w:rsid w:val="005E23BF"/>
    <w:rsid w:val="005E24B2"/>
    <w:rsid w:val="005E2510"/>
    <w:rsid w:val="005E275F"/>
    <w:rsid w:val="005E2900"/>
    <w:rsid w:val="005E2E43"/>
    <w:rsid w:val="005E2EA1"/>
    <w:rsid w:val="005E2FE4"/>
    <w:rsid w:val="005E310E"/>
    <w:rsid w:val="005E32E1"/>
    <w:rsid w:val="005E356E"/>
    <w:rsid w:val="005E383C"/>
    <w:rsid w:val="005E38C3"/>
    <w:rsid w:val="005E3EB9"/>
    <w:rsid w:val="005E429D"/>
    <w:rsid w:val="005E42AE"/>
    <w:rsid w:val="005E4504"/>
    <w:rsid w:val="005E466E"/>
    <w:rsid w:val="005E52B0"/>
    <w:rsid w:val="005E55E8"/>
    <w:rsid w:val="005E5992"/>
    <w:rsid w:val="005E5BDA"/>
    <w:rsid w:val="005E5BDF"/>
    <w:rsid w:val="005E5C70"/>
    <w:rsid w:val="005E5C78"/>
    <w:rsid w:val="005E5CFF"/>
    <w:rsid w:val="005E5E18"/>
    <w:rsid w:val="005E5FF0"/>
    <w:rsid w:val="005E67F5"/>
    <w:rsid w:val="005E6C87"/>
    <w:rsid w:val="005E6D18"/>
    <w:rsid w:val="005E6E44"/>
    <w:rsid w:val="005E6E51"/>
    <w:rsid w:val="005E6EA3"/>
    <w:rsid w:val="005E6F85"/>
    <w:rsid w:val="005E7031"/>
    <w:rsid w:val="005E722D"/>
    <w:rsid w:val="005E7580"/>
    <w:rsid w:val="005E7613"/>
    <w:rsid w:val="005E768A"/>
    <w:rsid w:val="005E7816"/>
    <w:rsid w:val="005E7A0B"/>
    <w:rsid w:val="005F02E7"/>
    <w:rsid w:val="005F0377"/>
    <w:rsid w:val="005F041B"/>
    <w:rsid w:val="005F04E9"/>
    <w:rsid w:val="005F0899"/>
    <w:rsid w:val="005F08D3"/>
    <w:rsid w:val="005F0A5F"/>
    <w:rsid w:val="005F0A62"/>
    <w:rsid w:val="005F0A90"/>
    <w:rsid w:val="005F0EB3"/>
    <w:rsid w:val="005F0F1E"/>
    <w:rsid w:val="005F135E"/>
    <w:rsid w:val="005F160D"/>
    <w:rsid w:val="005F1661"/>
    <w:rsid w:val="005F17C7"/>
    <w:rsid w:val="005F18DE"/>
    <w:rsid w:val="005F2239"/>
    <w:rsid w:val="005F25FE"/>
    <w:rsid w:val="005F2821"/>
    <w:rsid w:val="005F28F4"/>
    <w:rsid w:val="005F2A6C"/>
    <w:rsid w:val="005F2BCF"/>
    <w:rsid w:val="005F2EFA"/>
    <w:rsid w:val="005F2F16"/>
    <w:rsid w:val="005F30AA"/>
    <w:rsid w:val="005F3143"/>
    <w:rsid w:val="005F3323"/>
    <w:rsid w:val="005F339D"/>
    <w:rsid w:val="005F33E9"/>
    <w:rsid w:val="005F3425"/>
    <w:rsid w:val="005F35EC"/>
    <w:rsid w:val="005F3A20"/>
    <w:rsid w:val="005F3B68"/>
    <w:rsid w:val="005F3D42"/>
    <w:rsid w:val="005F3D64"/>
    <w:rsid w:val="005F3D69"/>
    <w:rsid w:val="005F4035"/>
    <w:rsid w:val="005F4265"/>
    <w:rsid w:val="005F449C"/>
    <w:rsid w:val="005F467D"/>
    <w:rsid w:val="005F46D4"/>
    <w:rsid w:val="005F48DB"/>
    <w:rsid w:val="005F4BEC"/>
    <w:rsid w:val="005F4C36"/>
    <w:rsid w:val="005F4C8C"/>
    <w:rsid w:val="005F4F06"/>
    <w:rsid w:val="005F5111"/>
    <w:rsid w:val="005F5191"/>
    <w:rsid w:val="005F523E"/>
    <w:rsid w:val="005F54EB"/>
    <w:rsid w:val="005F5574"/>
    <w:rsid w:val="005F577C"/>
    <w:rsid w:val="005F59F6"/>
    <w:rsid w:val="005F5F56"/>
    <w:rsid w:val="005F62D3"/>
    <w:rsid w:val="005F6423"/>
    <w:rsid w:val="005F68D7"/>
    <w:rsid w:val="005F6D86"/>
    <w:rsid w:val="005F71C7"/>
    <w:rsid w:val="005F730A"/>
    <w:rsid w:val="005F7851"/>
    <w:rsid w:val="005F7931"/>
    <w:rsid w:val="005F7A02"/>
    <w:rsid w:val="005F7BDB"/>
    <w:rsid w:val="00600102"/>
    <w:rsid w:val="00600322"/>
    <w:rsid w:val="00600567"/>
    <w:rsid w:val="00600669"/>
    <w:rsid w:val="006006AB"/>
    <w:rsid w:val="00600C55"/>
    <w:rsid w:val="00600F7C"/>
    <w:rsid w:val="00601111"/>
    <w:rsid w:val="006012EE"/>
    <w:rsid w:val="00601553"/>
    <w:rsid w:val="006016E4"/>
    <w:rsid w:val="006017F6"/>
    <w:rsid w:val="0060195E"/>
    <w:rsid w:val="00601BD6"/>
    <w:rsid w:val="00601F80"/>
    <w:rsid w:val="0060202C"/>
    <w:rsid w:val="00602364"/>
    <w:rsid w:val="0060274A"/>
    <w:rsid w:val="00602851"/>
    <w:rsid w:val="0060287B"/>
    <w:rsid w:val="00602EE3"/>
    <w:rsid w:val="0060301D"/>
    <w:rsid w:val="00603650"/>
    <w:rsid w:val="00603883"/>
    <w:rsid w:val="00603D7A"/>
    <w:rsid w:val="00603E0B"/>
    <w:rsid w:val="00604003"/>
    <w:rsid w:val="00604103"/>
    <w:rsid w:val="006042ED"/>
    <w:rsid w:val="0060444F"/>
    <w:rsid w:val="00604836"/>
    <w:rsid w:val="0060499B"/>
    <w:rsid w:val="00604BDF"/>
    <w:rsid w:val="00604C36"/>
    <w:rsid w:val="00604D80"/>
    <w:rsid w:val="0060511A"/>
    <w:rsid w:val="0060514C"/>
    <w:rsid w:val="006053AE"/>
    <w:rsid w:val="00605414"/>
    <w:rsid w:val="006057E9"/>
    <w:rsid w:val="00605823"/>
    <w:rsid w:val="00605A6B"/>
    <w:rsid w:val="00605B1B"/>
    <w:rsid w:val="00606805"/>
    <w:rsid w:val="006068C9"/>
    <w:rsid w:val="00606A74"/>
    <w:rsid w:val="00606CBC"/>
    <w:rsid w:val="00606E9C"/>
    <w:rsid w:val="00607167"/>
    <w:rsid w:val="0060716E"/>
    <w:rsid w:val="006074CA"/>
    <w:rsid w:val="006075A4"/>
    <w:rsid w:val="00607719"/>
    <w:rsid w:val="00607813"/>
    <w:rsid w:val="00607991"/>
    <w:rsid w:val="00607CC9"/>
    <w:rsid w:val="00607E78"/>
    <w:rsid w:val="00610043"/>
    <w:rsid w:val="006107B7"/>
    <w:rsid w:val="006107DB"/>
    <w:rsid w:val="00610903"/>
    <w:rsid w:val="00610EEE"/>
    <w:rsid w:val="00611319"/>
    <w:rsid w:val="006114C6"/>
    <w:rsid w:val="00611564"/>
    <w:rsid w:val="00611849"/>
    <w:rsid w:val="00611B87"/>
    <w:rsid w:val="00611BCA"/>
    <w:rsid w:val="00611C25"/>
    <w:rsid w:val="00611C78"/>
    <w:rsid w:val="00611CB9"/>
    <w:rsid w:val="00611E2F"/>
    <w:rsid w:val="00611FB8"/>
    <w:rsid w:val="00612074"/>
    <w:rsid w:val="0061218E"/>
    <w:rsid w:val="0061220B"/>
    <w:rsid w:val="006123BE"/>
    <w:rsid w:val="00612413"/>
    <w:rsid w:val="00612591"/>
    <w:rsid w:val="00612956"/>
    <w:rsid w:val="00612AE8"/>
    <w:rsid w:val="00612DB8"/>
    <w:rsid w:val="00613349"/>
    <w:rsid w:val="006133A8"/>
    <w:rsid w:val="006137F9"/>
    <w:rsid w:val="00613C1B"/>
    <w:rsid w:val="00613C33"/>
    <w:rsid w:val="00614150"/>
    <w:rsid w:val="00614933"/>
    <w:rsid w:val="0061493F"/>
    <w:rsid w:val="00614978"/>
    <w:rsid w:val="006153FD"/>
    <w:rsid w:val="006158E7"/>
    <w:rsid w:val="006159AD"/>
    <w:rsid w:val="00615E3C"/>
    <w:rsid w:val="006160EF"/>
    <w:rsid w:val="006161F2"/>
    <w:rsid w:val="006165B1"/>
    <w:rsid w:val="00616DD9"/>
    <w:rsid w:val="00616F2B"/>
    <w:rsid w:val="00617178"/>
    <w:rsid w:val="0061719C"/>
    <w:rsid w:val="006176C5"/>
    <w:rsid w:val="006177B8"/>
    <w:rsid w:val="00617813"/>
    <w:rsid w:val="006179DD"/>
    <w:rsid w:val="00617B35"/>
    <w:rsid w:val="00617B94"/>
    <w:rsid w:val="00617C94"/>
    <w:rsid w:val="00617E28"/>
    <w:rsid w:val="00617F1F"/>
    <w:rsid w:val="006202BF"/>
    <w:rsid w:val="00620385"/>
    <w:rsid w:val="00620646"/>
    <w:rsid w:val="0062096A"/>
    <w:rsid w:val="0062099E"/>
    <w:rsid w:val="00620A6D"/>
    <w:rsid w:val="00620C91"/>
    <w:rsid w:val="00620E47"/>
    <w:rsid w:val="006211B2"/>
    <w:rsid w:val="006213C2"/>
    <w:rsid w:val="00621765"/>
    <w:rsid w:val="00621D0F"/>
    <w:rsid w:val="00621E3F"/>
    <w:rsid w:val="0062295F"/>
    <w:rsid w:val="00622A11"/>
    <w:rsid w:val="00622B41"/>
    <w:rsid w:val="00622D1E"/>
    <w:rsid w:val="00623016"/>
    <w:rsid w:val="00623294"/>
    <w:rsid w:val="00623418"/>
    <w:rsid w:val="006234C6"/>
    <w:rsid w:val="00623A5A"/>
    <w:rsid w:val="00623B57"/>
    <w:rsid w:val="00623C35"/>
    <w:rsid w:val="006241AD"/>
    <w:rsid w:val="006244C5"/>
    <w:rsid w:val="00624878"/>
    <w:rsid w:val="00624B9D"/>
    <w:rsid w:val="00624C8E"/>
    <w:rsid w:val="00624C97"/>
    <w:rsid w:val="00624D7D"/>
    <w:rsid w:val="00624FC5"/>
    <w:rsid w:val="006250C3"/>
    <w:rsid w:val="00625252"/>
    <w:rsid w:val="00625AE8"/>
    <w:rsid w:val="00625C84"/>
    <w:rsid w:val="00625EB6"/>
    <w:rsid w:val="00625FCB"/>
    <w:rsid w:val="006261E1"/>
    <w:rsid w:val="006263C3"/>
    <w:rsid w:val="006266A0"/>
    <w:rsid w:val="006266A7"/>
    <w:rsid w:val="00626990"/>
    <w:rsid w:val="00626C0B"/>
    <w:rsid w:val="00626DCA"/>
    <w:rsid w:val="006270BB"/>
    <w:rsid w:val="006271A8"/>
    <w:rsid w:val="00627516"/>
    <w:rsid w:val="00627AC0"/>
    <w:rsid w:val="00627BAE"/>
    <w:rsid w:val="00627D3D"/>
    <w:rsid w:val="00627EED"/>
    <w:rsid w:val="00627F91"/>
    <w:rsid w:val="006302BF"/>
    <w:rsid w:val="0063062C"/>
    <w:rsid w:val="00630801"/>
    <w:rsid w:val="00630914"/>
    <w:rsid w:val="00630CFB"/>
    <w:rsid w:val="00630E24"/>
    <w:rsid w:val="00630F61"/>
    <w:rsid w:val="00631812"/>
    <w:rsid w:val="00631B49"/>
    <w:rsid w:val="00631C09"/>
    <w:rsid w:val="006320C9"/>
    <w:rsid w:val="006320E4"/>
    <w:rsid w:val="00632231"/>
    <w:rsid w:val="006322C4"/>
    <w:rsid w:val="006327D3"/>
    <w:rsid w:val="00632997"/>
    <w:rsid w:val="00632B05"/>
    <w:rsid w:val="00632CF5"/>
    <w:rsid w:val="0063308A"/>
    <w:rsid w:val="0063324A"/>
    <w:rsid w:val="00633740"/>
    <w:rsid w:val="00633BAE"/>
    <w:rsid w:val="00633BB4"/>
    <w:rsid w:val="00633CDF"/>
    <w:rsid w:val="00633E57"/>
    <w:rsid w:val="00633F03"/>
    <w:rsid w:val="00634148"/>
    <w:rsid w:val="00634162"/>
    <w:rsid w:val="006342B2"/>
    <w:rsid w:val="0063435E"/>
    <w:rsid w:val="006347E8"/>
    <w:rsid w:val="006348C9"/>
    <w:rsid w:val="00634A01"/>
    <w:rsid w:val="00635010"/>
    <w:rsid w:val="006350C6"/>
    <w:rsid w:val="00635689"/>
    <w:rsid w:val="006357FA"/>
    <w:rsid w:val="006358E1"/>
    <w:rsid w:val="00635B1A"/>
    <w:rsid w:val="00635B7A"/>
    <w:rsid w:val="00635BEB"/>
    <w:rsid w:val="00635CC9"/>
    <w:rsid w:val="00635D28"/>
    <w:rsid w:val="00635D70"/>
    <w:rsid w:val="00635E94"/>
    <w:rsid w:val="00635F6F"/>
    <w:rsid w:val="006360BA"/>
    <w:rsid w:val="00636122"/>
    <w:rsid w:val="0063614A"/>
    <w:rsid w:val="00636394"/>
    <w:rsid w:val="006363C9"/>
    <w:rsid w:val="00636422"/>
    <w:rsid w:val="00636794"/>
    <w:rsid w:val="006368DF"/>
    <w:rsid w:val="00636D01"/>
    <w:rsid w:val="00636E25"/>
    <w:rsid w:val="00636EED"/>
    <w:rsid w:val="006370DD"/>
    <w:rsid w:val="00637555"/>
    <w:rsid w:val="0063766F"/>
    <w:rsid w:val="0063789E"/>
    <w:rsid w:val="00637C2E"/>
    <w:rsid w:val="00637DDB"/>
    <w:rsid w:val="006401B6"/>
    <w:rsid w:val="006402C7"/>
    <w:rsid w:val="006403F2"/>
    <w:rsid w:val="00640898"/>
    <w:rsid w:val="006408D4"/>
    <w:rsid w:val="00640B6D"/>
    <w:rsid w:val="00640D0E"/>
    <w:rsid w:val="00640EFD"/>
    <w:rsid w:val="00641024"/>
    <w:rsid w:val="00641367"/>
    <w:rsid w:val="00641460"/>
    <w:rsid w:val="00641529"/>
    <w:rsid w:val="006415BE"/>
    <w:rsid w:val="006416C5"/>
    <w:rsid w:val="00641719"/>
    <w:rsid w:val="00641B1F"/>
    <w:rsid w:val="00641F12"/>
    <w:rsid w:val="00641F4F"/>
    <w:rsid w:val="00642468"/>
    <w:rsid w:val="00642771"/>
    <w:rsid w:val="0064285B"/>
    <w:rsid w:val="0064289A"/>
    <w:rsid w:val="00642979"/>
    <w:rsid w:val="00642B1A"/>
    <w:rsid w:val="00642DF4"/>
    <w:rsid w:val="00643036"/>
    <w:rsid w:val="006431D0"/>
    <w:rsid w:val="006431E7"/>
    <w:rsid w:val="006433CC"/>
    <w:rsid w:val="0064356B"/>
    <w:rsid w:val="00643878"/>
    <w:rsid w:val="00643A20"/>
    <w:rsid w:val="00643D22"/>
    <w:rsid w:val="006440D8"/>
    <w:rsid w:val="0064413D"/>
    <w:rsid w:val="006442D2"/>
    <w:rsid w:val="006445B1"/>
    <w:rsid w:val="00644AB4"/>
    <w:rsid w:val="00644AC8"/>
    <w:rsid w:val="00644B98"/>
    <w:rsid w:val="00644C34"/>
    <w:rsid w:val="00644EA4"/>
    <w:rsid w:val="0064531D"/>
    <w:rsid w:val="00645348"/>
    <w:rsid w:val="006454BC"/>
    <w:rsid w:val="0064565E"/>
    <w:rsid w:val="00645760"/>
    <w:rsid w:val="006457D4"/>
    <w:rsid w:val="00645C7E"/>
    <w:rsid w:val="00645DB9"/>
    <w:rsid w:val="00645DD8"/>
    <w:rsid w:val="00645F85"/>
    <w:rsid w:val="0064636C"/>
    <w:rsid w:val="00646C3E"/>
    <w:rsid w:val="00646D71"/>
    <w:rsid w:val="00646DB6"/>
    <w:rsid w:val="00646E4B"/>
    <w:rsid w:val="00646EB1"/>
    <w:rsid w:val="00647024"/>
    <w:rsid w:val="00647D0A"/>
    <w:rsid w:val="00647D35"/>
    <w:rsid w:val="00647DAE"/>
    <w:rsid w:val="00647E0D"/>
    <w:rsid w:val="006502E6"/>
    <w:rsid w:val="00650808"/>
    <w:rsid w:val="00650961"/>
    <w:rsid w:val="00650EF7"/>
    <w:rsid w:val="006510C6"/>
    <w:rsid w:val="0065123B"/>
    <w:rsid w:val="00651499"/>
    <w:rsid w:val="006516E7"/>
    <w:rsid w:val="00651AD3"/>
    <w:rsid w:val="00651B49"/>
    <w:rsid w:val="00651B7B"/>
    <w:rsid w:val="00651BFE"/>
    <w:rsid w:val="00651D6F"/>
    <w:rsid w:val="0065208B"/>
    <w:rsid w:val="006523C2"/>
    <w:rsid w:val="00652459"/>
    <w:rsid w:val="00652825"/>
    <w:rsid w:val="00652A95"/>
    <w:rsid w:val="006530E4"/>
    <w:rsid w:val="006532A1"/>
    <w:rsid w:val="00653364"/>
    <w:rsid w:val="006534B6"/>
    <w:rsid w:val="006535EC"/>
    <w:rsid w:val="00653977"/>
    <w:rsid w:val="0065399F"/>
    <w:rsid w:val="00653C56"/>
    <w:rsid w:val="00653DF4"/>
    <w:rsid w:val="00653EE8"/>
    <w:rsid w:val="006542BC"/>
    <w:rsid w:val="0065439E"/>
    <w:rsid w:val="00654436"/>
    <w:rsid w:val="0065445D"/>
    <w:rsid w:val="00654982"/>
    <w:rsid w:val="00654C1C"/>
    <w:rsid w:val="0065561F"/>
    <w:rsid w:val="0065587E"/>
    <w:rsid w:val="006558D9"/>
    <w:rsid w:val="00655AD6"/>
    <w:rsid w:val="00655B1C"/>
    <w:rsid w:val="00655CC1"/>
    <w:rsid w:val="00655EAC"/>
    <w:rsid w:val="00655F07"/>
    <w:rsid w:val="00655FB3"/>
    <w:rsid w:val="006566AD"/>
    <w:rsid w:val="0065678B"/>
    <w:rsid w:val="00656AA1"/>
    <w:rsid w:val="00656DD0"/>
    <w:rsid w:val="00656E44"/>
    <w:rsid w:val="00656ED2"/>
    <w:rsid w:val="0065739A"/>
    <w:rsid w:val="00657983"/>
    <w:rsid w:val="00657C83"/>
    <w:rsid w:val="00657E47"/>
    <w:rsid w:val="00657F1D"/>
    <w:rsid w:val="00657FC7"/>
    <w:rsid w:val="006603CB"/>
    <w:rsid w:val="00660798"/>
    <w:rsid w:val="00660824"/>
    <w:rsid w:val="00660D50"/>
    <w:rsid w:val="00660E3A"/>
    <w:rsid w:val="0066144C"/>
    <w:rsid w:val="006620B9"/>
    <w:rsid w:val="00662342"/>
    <w:rsid w:val="0066236E"/>
    <w:rsid w:val="006625D8"/>
    <w:rsid w:val="006628A3"/>
    <w:rsid w:val="00662ADD"/>
    <w:rsid w:val="00662C56"/>
    <w:rsid w:val="0066305C"/>
    <w:rsid w:val="006630BC"/>
    <w:rsid w:val="00663110"/>
    <w:rsid w:val="006632D6"/>
    <w:rsid w:val="006635BA"/>
    <w:rsid w:val="00663731"/>
    <w:rsid w:val="0066387C"/>
    <w:rsid w:val="00663BF2"/>
    <w:rsid w:val="00664027"/>
    <w:rsid w:val="0066440C"/>
    <w:rsid w:val="00664510"/>
    <w:rsid w:val="006646B5"/>
    <w:rsid w:val="00664743"/>
    <w:rsid w:val="00664EA0"/>
    <w:rsid w:val="00664EC4"/>
    <w:rsid w:val="00664F6D"/>
    <w:rsid w:val="00664FEA"/>
    <w:rsid w:val="006654A2"/>
    <w:rsid w:val="006654F6"/>
    <w:rsid w:val="00665A0E"/>
    <w:rsid w:val="00665CFF"/>
    <w:rsid w:val="00665E72"/>
    <w:rsid w:val="00665E7D"/>
    <w:rsid w:val="00665FD2"/>
    <w:rsid w:val="00666014"/>
    <w:rsid w:val="00666109"/>
    <w:rsid w:val="006661DF"/>
    <w:rsid w:val="006664EB"/>
    <w:rsid w:val="00666570"/>
    <w:rsid w:val="0066657F"/>
    <w:rsid w:val="00666B2B"/>
    <w:rsid w:val="00666ED5"/>
    <w:rsid w:val="0066723A"/>
    <w:rsid w:val="00667368"/>
    <w:rsid w:val="00667413"/>
    <w:rsid w:val="00667702"/>
    <w:rsid w:val="00667977"/>
    <w:rsid w:val="00667D07"/>
    <w:rsid w:val="00667DEC"/>
    <w:rsid w:val="00667E36"/>
    <w:rsid w:val="00667E99"/>
    <w:rsid w:val="00667EE6"/>
    <w:rsid w:val="006701EC"/>
    <w:rsid w:val="006703EE"/>
    <w:rsid w:val="0067070D"/>
    <w:rsid w:val="006707F4"/>
    <w:rsid w:val="0067096D"/>
    <w:rsid w:val="00670CA1"/>
    <w:rsid w:val="00670D44"/>
    <w:rsid w:val="0067102F"/>
    <w:rsid w:val="006711A9"/>
    <w:rsid w:val="0067138B"/>
    <w:rsid w:val="00671963"/>
    <w:rsid w:val="00671B39"/>
    <w:rsid w:val="00671E0E"/>
    <w:rsid w:val="00671E21"/>
    <w:rsid w:val="006721AE"/>
    <w:rsid w:val="0067230E"/>
    <w:rsid w:val="006727FE"/>
    <w:rsid w:val="00672963"/>
    <w:rsid w:val="00672E6E"/>
    <w:rsid w:val="00672F77"/>
    <w:rsid w:val="006732B8"/>
    <w:rsid w:val="006732E0"/>
    <w:rsid w:val="00673384"/>
    <w:rsid w:val="0067371A"/>
    <w:rsid w:val="0067379A"/>
    <w:rsid w:val="006737CE"/>
    <w:rsid w:val="006737F0"/>
    <w:rsid w:val="006738A7"/>
    <w:rsid w:val="00674515"/>
    <w:rsid w:val="006745E1"/>
    <w:rsid w:val="00674B0F"/>
    <w:rsid w:val="006755E7"/>
    <w:rsid w:val="00675BEB"/>
    <w:rsid w:val="006761B6"/>
    <w:rsid w:val="006764F6"/>
    <w:rsid w:val="00676859"/>
    <w:rsid w:val="00676B5A"/>
    <w:rsid w:val="00676C5A"/>
    <w:rsid w:val="00676CA2"/>
    <w:rsid w:val="00676D94"/>
    <w:rsid w:val="00677006"/>
    <w:rsid w:val="006774C6"/>
    <w:rsid w:val="006774F8"/>
    <w:rsid w:val="006778FE"/>
    <w:rsid w:val="00677B1D"/>
    <w:rsid w:val="00677B62"/>
    <w:rsid w:val="00677CEF"/>
    <w:rsid w:val="00680A3D"/>
    <w:rsid w:val="006812A3"/>
    <w:rsid w:val="006812CE"/>
    <w:rsid w:val="00681740"/>
    <w:rsid w:val="00681A50"/>
    <w:rsid w:val="00681C42"/>
    <w:rsid w:val="00682228"/>
    <w:rsid w:val="00682771"/>
    <w:rsid w:val="00682941"/>
    <w:rsid w:val="00682B3E"/>
    <w:rsid w:val="00682CE8"/>
    <w:rsid w:val="00682E6A"/>
    <w:rsid w:val="00683603"/>
    <w:rsid w:val="00683635"/>
    <w:rsid w:val="0068378D"/>
    <w:rsid w:val="00683AE7"/>
    <w:rsid w:val="00683AEC"/>
    <w:rsid w:val="00683B37"/>
    <w:rsid w:val="00683B3F"/>
    <w:rsid w:val="006841E4"/>
    <w:rsid w:val="006846BE"/>
    <w:rsid w:val="006848A8"/>
    <w:rsid w:val="00684F81"/>
    <w:rsid w:val="00685009"/>
    <w:rsid w:val="006852AD"/>
    <w:rsid w:val="00685384"/>
    <w:rsid w:val="006854C1"/>
    <w:rsid w:val="00685738"/>
    <w:rsid w:val="00685817"/>
    <w:rsid w:val="00685A94"/>
    <w:rsid w:val="00685F39"/>
    <w:rsid w:val="00686145"/>
    <w:rsid w:val="0068615F"/>
    <w:rsid w:val="0068631F"/>
    <w:rsid w:val="006864C1"/>
    <w:rsid w:val="00686DBB"/>
    <w:rsid w:val="00686DD4"/>
    <w:rsid w:val="00686E6A"/>
    <w:rsid w:val="006872B1"/>
    <w:rsid w:val="00687A99"/>
    <w:rsid w:val="00687AEA"/>
    <w:rsid w:val="006900EC"/>
    <w:rsid w:val="0069023F"/>
    <w:rsid w:val="00690785"/>
    <w:rsid w:val="006909CD"/>
    <w:rsid w:val="00690C0F"/>
    <w:rsid w:val="00690F55"/>
    <w:rsid w:val="00691284"/>
    <w:rsid w:val="00691349"/>
    <w:rsid w:val="00691A5D"/>
    <w:rsid w:val="00691C09"/>
    <w:rsid w:val="00691CD5"/>
    <w:rsid w:val="00691CE4"/>
    <w:rsid w:val="00691FC1"/>
    <w:rsid w:val="00692150"/>
    <w:rsid w:val="00692472"/>
    <w:rsid w:val="0069258D"/>
    <w:rsid w:val="00692603"/>
    <w:rsid w:val="00692761"/>
    <w:rsid w:val="00692AA3"/>
    <w:rsid w:val="00692AB8"/>
    <w:rsid w:val="00692B7C"/>
    <w:rsid w:val="00692BF7"/>
    <w:rsid w:val="00692C78"/>
    <w:rsid w:val="00692C8C"/>
    <w:rsid w:val="00692FAD"/>
    <w:rsid w:val="00693073"/>
    <w:rsid w:val="00693121"/>
    <w:rsid w:val="00693334"/>
    <w:rsid w:val="00693413"/>
    <w:rsid w:val="006937A1"/>
    <w:rsid w:val="00693BE4"/>
    <w:rsid w:val="00693CE0"/>
    <w:rsid w:val="00694037"/>
    <w:rsid w:val="006946F6"/>
    <w:rsid w:val="006948F9"/>
    <w:rsid w:val="00694A55"/>
    <w:rsid w:val="00694AE7"/>
    <w:rsid w:val="00694B70"/>
    <w:rsid w:val="00694BCB"/>
    <w:rsid w:val="00694C2B"/>
    <w:rsid w:val="00694D68"/>
    <w:rsid w:val="00694EA0"/>
    <w:rsid w:val="00694EA9"/>
    <w:rsid w:val="0069524D"/>
    <w:rsid w:val="0069567B"/>
    <w:rsid w:val="006956BF"/>
    <w:rsid w:val="006959B2"/>
    <w:rsid w:val="00695CA8"/>
    <w:rsid w:val="00696090"/>
    <w:rsid w:val="00696441"/>
    <w:rsid w:val="00696558"/>
    <w:rsid w:val="006965A8"/>
    <w:rsid w:val="0069691C"/>
    <w:rsid w:val="00696E4B"/>
    <w:rsid w:val="00696EA2"/>
    <w:rsid w:val="00696EA3"/>
    <w:rsid w:val="00697409"/>
    <w:rsid w:val="0069753F"/>
    <w:rsid w:val="006978E9"/>
    <w:rsid w:val="00697B52"/>
    <w:rsid w:val="00697BF3"/>
    <w:rsid w:val="00697CB4"/>
    <w:rsid w:val="00697D2F"/>
    <w:rsid w:val="006A0232"/>
    <w:rsid w:val="006A03D0"/>
    <w:rsid w:val="006A072B"/>
    <w:rsid w:val="006A0869"/>
    <w:rsid w:val="006A0A27"/>
    <w:rsid w:val="006A0CFC"/>
    <w:rsid w:val="006A1236"/>
    <w:rsid w:val="006A129A"/>
    <w:rsid w:val="006A1347"/>
    <w:rsid w:val="006A1823"/>
    <w:rsid w:val="006A1FEC"/>
    <w:rsid w:val="006A206E"/>
    <w:rsid w:val="006A2111"/>
    <w:rsid w:val="006A2115"/>
    <w:rsid w:val="006A228B"/>
    <w:rsid w:val="006A22AE"/>
    <w:rsid w:val="006A288B"/>
    <w:rsid w:val="006A2A34"/>
    <w:rsid w:val="006A2C88"/>
    <w:rsid w:val="006A2F07"/>
    <w:rsid w:val="006A309F"/>
    <w:rsid w:val="006A317A"/>
    <w:rsid w:val="006A3239"/>
    <w:rsid w:val="006A3300"/>
    <w:rsid w:val="006A348D"/>
    <w:rsid w:val="006A3524"/>
    <w:rsid w:val="006A360A"/>
    <w:rsid w:val="006A3881"/>
    <w:rsid w:val="006A3A23"/>
    <w:rsid w:val="006A3CB7"/>
    <w:rsid w:val="006A3D18"/>
    <w:rsid w:val="006A4093"/>
    <w:rsid w:val="006A4261"/>
    <w:rsid w:val="006A448D"/>
    <w:rsid w:val="006A4513"/>
    <w:rsid w:val="006A451E"/>
    <w:rsid w:val="006A4599"/>
    <w:rsid w:val="006A45DA"/>
    <w:rsid w:val="006A4613"/>
    <w:rsid w:val="006A4DD5"/>
    <w:rsid w:val="006A4ED2"/>
    <w:rsid w:val="006A53FD"/>
    <w:rsid w:val="006A57F4"/>
    <w:rsid w:val="006A59DD"/>
    <w:rsid w:val="006A5E62"/>
    <w:rsid w:val="006A5FB2"/>
    <w:rsid w:val="006A6053"/>
    <w:rsid w:val="006A620F"/>
    <w:rsid w:val="006A6AB4"/>
    <w:rsid w:val="006A6D34"/>
    <w:rsid w:val="006A6DDC"/>
    <w:rsid w:val="006A6FCE"/>
    <w:rsid w:val="006A742D"/>
    <w:rsid w:val="006A7981"/>
    <w:rsid w:val="006A7A74"/>
    <w:rsid w:val="006A7B23"/>
    <w:rsid w:val="006A7C3E"/>
    <w:rsid w:val="006B0346"/>
    <w:rsid w:val="006B0692"/>
    <w:rsid w:val="006B08AA"/>
    <w:rsid w:val="006B0939"/>
    <w:rsid w:val="006B0998"/>
    <w:rsid w:val="006B0AB4"/>
    <w:rsid w:val="006B0B47"/>
    <w:rsid w:val="006B0D9F"/>
    <w:rsid w:val="006B1031"/>
    <w:rsid w:val="006B10BB"/>
    <w:rsid w:val="006B116E"/>
    <w:rsid w:val="006B193E"/>
    <w:rsid w:val="006B1B43"/>
    <w:rsid w:val="006B1FDC"/>
    <w:rsid w:val="006B273D"/>
    <w:rsid w:val="006B28C9"/>
    <w:rsid w:val="006B29CF"/>
    <w:rsid w:val="006B2D5C"/>
    <w:rsid w:val="006B2E57"/>
    <w:rsid w:val="006B2E7C"/>
    <w:rsid w:val="006B2EE9"/>
    <w:rsid w:val="006B3003"/>
    <w:rsid w:val="006B3378"/>
    <w:rsid w:val="006B37BE"/>
    <w:rsid w:val="006B3854"/>
    <w:rsid w:val="006B3D77"/>
    <w:rsid w:val="006B3DAE"/>
    <w:rsid w:val="006B477D"/>
    <w:rsid w:val="006B4948"/>
    <w:rsid w:val="006B4A0E"/>
    <w:rsid w:val="006B4B02"/>
    <w:rsid w:val="006B4BDC"/>
    <w:rsid w:val="006B4C33"/>
    <w:rsid w:val="006B4CDB"/>
    <w:rsid w:val="006B4D0A"/>
    <w:rsid w:val="006B4D0C"/>
    <w:rsid w:val="006B4DFA"/>
    <w:rsid w:val="006B54EF"/>
    <w:rsid w:val="006B576F"/>
    <w:rsid w:val="006B593A"/>
    <w:rsid w:val="006B5E2F"/>
    <w:rsid w:val="006B5FFE"/>
    <w:rsid w:val="006B600B"/>
    <w:rsid w:val="006B6033"/>
    <w:rsid w:val="006B618E"/>
    <w:rsid w:val="006B63C8"/>
    <w:rsid w:val="006B66E8"/>
    <w:rsid w:val="006B6A81"/>
    <w:rsid w:val="006B6C8D"/>
    <w:rsid w:val="006B7300"/>
    <w:rsid w:val="006B7944"/>
    <w:rsid w:val="006B79BF"/>
    <w:rsid w:val="006B7A7A"/>
    <w:rsid w:val="006B7B3D"/>
    <w:rsid w:val="006B7C47"/>
    <w:rsid w:val="006C0207"/>
    <w:rsid w:val="006C03ED"/>
    <w:rsid w:val="006C03FA"/>
    <w:rsid w:val="006C0570"/>
    <w:rsid w:val="006C0D33"/>
    <w:rsid w:val="006C0EDF"/>
    <w:rsid w:val="006C1447"/>
    <w:rsid w:val="006C15A3"/>
    <w:rsid w:val="006C17DF"/>
    <w:rsid w:val="006C19A6"/>
    <w:rsid w:val="006C1C08"/>
    <w:rsid w:val="006C1F4E"/>
    <w:rsid w:val="006C1F95"/>
    <w:rsid w:val="006C1FF8"/>
    <w:rsid w:val="006C2091"/>
    <w:rsid w:val="006C218B"/>
    <w:rsid w:val="006C23A0"/>
    <w:rsid w:val="006C274E"/>
    <w:rsid w:val="006C2862"/>
    <w:rsid w:val="006C2881"/>
    <w:rsid w:val="006C2DE9"/>
    <w:rsid w:val="006C2EED"/>
    <w:rsid w:val="006C3136"/>
    <w:rsid w:val="006C3295"/>
    <w:rsid w:val="006C33F5"/>
    <w:rsid w:val="006C34AF"/>
    <w:rsid w:val="006C36C4"/>
    <w:rsid w:val="006C378D"/>
    <w:rsid w:val="006C410D"/>
    <w:rsid w:val="006C452A"/>
    <w:rsid w:val="006C46EF"/>
    <w:rsid w:val="006C4819"/>
    <w:rsid w:val="006C4BB7"/>
    <w:rsid w:val="006C50F7"/>
    <w:rsid w:val="006C51EC"/>
    <w:rsid w:val="006C5292"/>
    <w:rsid w:val="006C5471"/>
    <w:rsid w:val="006C579A"/>
    <w:rsid w:val="006C57C5"/>
    <w:rsid w:val="006C5999"/>
    <w:rsid w:val="006C5A9B"/>
    <w:rsid w:val="006C5C3F"/>
    <w:rsid w:val="006C5E64"/>
    <w:rsid w:val="006C5FE0"/>
    <w:rsid w:val="006C65F0"/>
    <w:rsid w:val="006C6A15"/>
    <w:rsid w:val="006C6FE0"/>
    <w:rsid w:val="006C70B7"/>
    <w:rsid w:val="006C72D5"/>
    <w:rsid w:val="006C78C8"/>
    <w:rsid w:val="006C7C05"/>
    <w:rsid w:val="006C7FE3"/>
    <w:rsid w:val="006D02FE"/>
    <w:rsid w:val="006D0548"/>
    <w:rsid w:val="006D05B4"/>
    <w:rsid w:val="006D06C0"/>
    <w:rsid w:val="006D089D"/>
    <w:rsid w:val="006D0B3F"/>
    <w:rsid w:val="006D0D1A"/>
    <w:rsid w:val="006D0EB1"/>
    <w:rsid w:val="006D10BF"/>
    <w:rsid w:val="006D12D4"/>
    <w:rsid w:val="006D1648"/>
    <w:rsid w:val="006D174C"/>
    <w:rsid w:val="006D2031"/>
    <w:rsid w:val="006D2042"/>
    <w:rsid w:val="006D20DD"/>
    <w:rsid w:val="006D214A"/>
    <w:rsid w:val="006D22CE"/>
    <w:rsid w:val="006D23E7"/>
    <w:rsid w:val="006D2734"/>
    <w:rsid w:val="006D2D9A"/>
    <w:rsid w:val="006D3133"/>
    <w:rsid w:val="006D314A"/>
    <w:rsid w:val="006D3184"/>
    <w:rsid w:val="006D34C1"/>
    <w:rsid w:val="006D394D"/>
    <w:rsid w:val="006D3CFD"/>
    <w:rsid w:val="006D3F8B"/>
    <w:rsid w:val="006D413D"/>
    <w:rsid w:val="006D44C9"/>
    <w:rsid w:val="006D45CD"/>
    <w:rsid w:val="006D478B"/>
    <w:rsid w:val="006D4D52"/>
    <w:rsid w:val="006D51B2"/>
    <w:rsid w:val="006D56F3"/>
    <w:rsid w:val="006D5712"/>
    <w:rsid w:val="006D5862"/>
    <w:rsid w:val="006D59F5"/>
    <w:rsid w:val="006D5A1C"/>
    <w:rsid w:val="006D5C5D"/>
    <w:rsid w:val="006D60B9"/>
    <w:rsid w:val="006D6548"/>
    <w:rsid w:val="006D67E3"/>
    <w:rsid w:val="006D6CA7"/>
    <w:rsid w:val="006D6E03"/>
    <w:rsid w:val="006D7285"/>
    <w:rsid w:val="006D72DF"/>
    <w:rsid w:val="006D7318"/>
    <w:rsid w:val="006D7346"/>
    <w:rsid w:val="006D73B6"/>
    <w:rsid w:val="006D7522"/>
    <w:rsid w:val="006D78C7"/>
    <w:rsid w:val="006D7921"/>
    <w:rsid w:val="006D7E70"/>
    <w:rsid w:val="006D7FCD"/>
    <w:rsid w:val="006E0082"/>
    <w:rsid w:val="006E0083"/>
    <w:rsid w:val="006E00F0"/>
    <w:rsid w:val="006E0410"/>
    <w:rsid w:val="006E0486"/>
    <w:rsid w:val="006E06A9"/>
    <w:rsid w:val="006E0C69"/>
    <w:rsid w:val="006E0ED6"/>
    <w:rsid w:val="006E11AE"/>
    <w:rsid w:val="006E12A5"/>
    <w:rsid w:val="006E1529"/>
    <w:rsid w:val="006E16EA"/>
    <w:rsid w:val="006E197E"/>
    <w:rsid w:val="006E1A40"/>
    <w:rsid w:val="006E1AAE"/>
    <w:rsid w:val="006E1B4F"/>
    <w:rsid w:val="006E1C3B"/>
    <w:rsid w:val="006E1DAF"/>
    <w:rsid w:val="006E2188"/>
    <w:rsid w:val="006E24DA"/>
    <w:rsid w:val="006E26B1"/>
    <w:rsid w:val="006E28CF"/>
    <w:rsid w:val="006E28DA"/>
    <w:rsid w:val="006E29DE"/>
    <w:rsid w:val="006E2ADC"/>
    <w:rsid w:val="006E2DCB"/>
    <w:rsid w:val="006E2FB6"/>
    <w:rsid w:val="006E2FCB"/>
    <w:rsid w:val="006E30B8"/>
    <w:rsid w:val="006E36B1"/>
    <w:rsid w:val="006E36DD"/>
    <w:rsid w:val="006E38D7"/>
    <w:rsid w:val="006E3E80"/>
    <w:rsid w:val="006E4337"/>
    <w:rsid w:val="006E4444"/>
    <w:rsid w:val="006E4B16"/>
    <w:rsid w:val="006E4C57"/>
    <w:rsid w:val="006E4C91"/>
    <w:rsid w:val="006E4E17"/>
    <w:rsid w:val="006E4F90"/>
    <w:rsid w:val="006E55AD"/>
    <w:rsid w:val="006E581A"/>
    <w:rsid w:val="006E59F4"/>
    <w:rsid w:val="006E5E1A"/>
    <w:rsid w:val="006E5FA0"/>
    <w:rsid w:val="006E6171"/>
    <w:rsid w:val="006E618A"/>
    <w:rsid w:val="006E63A2"/>
    <w:rsid w:val="006E6680"/>
    <w:rsid w:val="006E66C5"/>
    <w:rsid w:val="006E6AFC"/>
    <w:rsid w:val="006E6BFB"/>
    <w:rsid w:val="006E6CD7"/>
    <w:rsid w:val="006E6DE8"/>
    <w:rsid w:val="006E71E3"/>
    <w:rsid w:val="006E7378"/>
    <w:rsid w:val="006E78F2"/>
    <w:rsid w:val="006F0153"/>
    <w:rsid w:val="006F0398"/>
    <w:rsid w:val="006F06D0"/>
    <w:rsid w:val="006F0DD8"/>
    <w:rsid w:val="006F10BA"/>
    <w:rsid w:val="006F1268"/>
    <w:rsid w:val="006F12FA"/>
    <w:rsid w:val="006F1319"/>
    <w:rsid w:val="006F15D8"/>
    <w:rsid w:val="006F1732"/>
    <w:rsid w:val="006F1BF4"/>
    <w:rsid w:val="006F1C97"/>
    <w:rsid w:val="006F2677"/>
    <w:rsid w:val="006F28C3"/>
    <w:rsid w:val="006F2E8C"/>
    <w:rsid w:val="006F2F18"/>
    <w:rsid w:val="006F3781"/>
    <w:rsid w:val="006F38DE"/>
    <w:rsid w:val="006F3CAC"/>
    <w:rsid w:val="006F3D42"/>
    <w:rsid w:val="006F3EF4"/>
    <w:rsid w:val="006F3FA2"/>
    <w:rsid w:val="006F4486"/>
    <w:rsid w:val="006F448B"/>
    <w:rsid w:val="006F460F"/>
    <w:rsid w:val="006F4613"/>
    <w:rsid w:val="006F4989"/>
    <w:rsid w:val="006F498F"/>
    <w:rsid w:val="006F4F2E"/>
    <w:rsid w:val="006F5149"/>
    <w:rsid w:val="006F51FD"/>
    <w:rsid w:val="006F524A"/>
    <w:rsid w:val="006F56DF"/>
    <w:rsid w:val="006F607E"/>
    <w:rsid w:val="006F6B1A"/>
    <w:rsid w:val="006F6D58"/>
    <w:rsid w:val="006F6F3A"/>
    <w:rsid w:val="006F7432"/>
    <w:rsid w:val="006F74E7"/>
    <w:rsid w:val="006F760B"/>
    <w:rsid w:val="006F7DE6"/>
    <w:rsid w:val="006F7E80"/>
    <w:rsid w:val="00700033"/>
    <w:rsid w:val="007003D4"/>
    <w:rsid w:val="007006FC"/>
    <w:rsid w:val="00700F94"/>
    <w:rsid w:val="00700F9F"/>
    <w:rsid w:val="007012BB"/>
    <w:rsid w:val="007012F2"/>
    <w:rsid w:val="0070150F"/>
    <w:rsid w:val="00701645"/>
    <w:rsid w:val="00701A99"/>
    <w:rsid w:val="007022F5"/>
    <w:rsid w:val="007022FC"/>
    <w:rsid w:val="007025B2"/>
    <w:rsid w:val="007026C1"/>
    <w:rsid w:val="007028E0"/>
    <w:rsid w:val="00702EDB"/>
    <w:rsid w:val="007037E3"/>
    <w:rsid w:val="00703866"/>
    <w:rsid w:val="00703BAB"/>
    <w:rsid w:val="00703BB4"/>
    <w:rsid w:val="00703BEA"/>
    <w:rsid w:val="0070417A"/>
    <w:rsid w:val="00704386"/>
    <w:rsid w:val="00704591"/>
    <w:rsid w:val="00704C86"/>
    <w:rsid w:val="00704EA6"/>
    <w:rsid w:val="00704FB3"/>
    <w:rsid w:val="0070513E"/>
    <w:rsid w:val="00705422"/>
    <w:rsid w:val="007054A5"/>
    <w:rsid w:val="00705B49"/>
    <w:rsid w:val="00705DB8"/>
    <w:rsid w:val="00706199"/>
    <w:rsid w:val="00706447"/>
    <w:rsid w:val="00706600"/>
    <w:rsid w:val="0070694F"/>
    <w:rsid w:val="00706A2A"/>
    <w:rsid w:val="00706AA8"/>
    <w:rsid w:val="00706B12"/>
    <w:rsid w:val="00706BCA"/>
    <w:rsid w:val="00706D16"/>
    <w:rsid w:val="00706E00"/>
    <w:rsid w:val="007071A2"/>
    <w:rsid w:val="0070771B"/>
    <w:rsid w:val="007077FF"/>
    <w:rsid w:val="007079C7"/>
    <w:rsid w:val="00707FDF"/>
    <w:rsid w:val="007100E9"/>
    <w:rsid w:val="007102F0"/>
    <w:rsid w:val="00710452"/>
    <w:rsid w:val="007105ED"/>
    <w:rsid w:val="00710655"/>
    <w:rsid w:val="00710AED"/>
    <w:rsid w:val="00710B8E"/>
    <w:rsid w:val="00710BCD"/>
    <w:rsid w:val="00711075"/>
    <w:rsid w:val="007112A0"/>
    <w:rsid w:val="00711346"/>
    <w:rsid w:val="007113CC"/>
    <w:rsid w:val="007113FE"/>
    <w:rsid w:val="007114B3"/>
    <w:rsid w:val="0071189A"/>
    <w:rsid w:val="007126C0"/>
    <w:rsid w:val="007127FF"/>
    <w:rsid w:val="00712A20"/>
    <w:rsid w:val="00712B75"/>
    <w:rsid w:val="00712DE8"/>
    <w:rsid w:val="00713283"/>
    <w:rsid w:val="00713FAE"/>
    <w:rsid w:val="007142AB"/>
    <w:rsid w:val="007147E8"/>
    <w:rsid w:val="00714DCB"/>
    <w:rsid w:val="007153E5"/>
    <w:rsid w:val="00715556"/>
    <w:rsid w:val="00715720"/>
    <w:rsid w:val="00715885"/>
    <w:rsid w:val="0071594D"/>
    <w:rsid w:val="00715E1B"/>
    <w:rsid w:val="0071619B"/>
    <w:rsid w:val="007164E1"/>
    <w:rsid w:val="007165C1"/>
    <w:rsid w:val="007166A2"/>
    <w:rsid w:val="00716839"/>
    <w:rsid w:val="00716971"/>
    <w:rsid w:val="00716E3A"/>
    <w:rsid w:val="0071717C"/>
    <w:rsid w:val="007175C1"/>
    <w:rsid w:val="0071796E"/>
    <w:rsid w:val="00717AA6"/>
    <w:rsid w:val="00717B80"/>
    <w:rsid w:val="0072096A"/>
    <w:rsid w:val="00720B2A"/>
    <w:rsid w:val="00720F4F"/>
    <w:rsid w:val="0072112A"/>
    <w:rsid w:val="00721898"/>
    <w:rsid w:val="007220EE"/>
    <w:rsid w:val="007221D6"/>
    <w:rsid w:val="007222BE"/>
    <w:rsid w:val="007225F6"/>
    <w:rsid w:val="007228CA"/>
    <w:rsid w:val="0072293A"/>
    <w:rsid w:val="00722B4E"/>
    <w:rsid w:val="00722D21"/>
    <w:rsid w:val="00722E19"/>
    <w:rsid w:val="00722EC8"/>
    <w:rsid w:val="007236F7"/>
    <w:rsid w:val="00723B78"/>
    <w:rsid w:val="00723C06"/>
    <w:rsid w:val="0072411A"/>
    <w:rsid w:val="007243FF"/>
    <w:rsid w:val="007244E0"/>
    <w:rsid w:val="007246B0"/>
    <w:rsid w:val="0072490D"/>
    <w:rsid w:val="00724A06"/>
    <w:rsid w:val="00724AEC"/>
    <w:rsid w:val="00724AF4"/>
    <w:rsid w:val="00724CCD"/>
    <w:rsid w:val="00724EF1"/>
    <w:rsid w:val="00725002"/>
    <w:rsid w:val="00725269"/>
    <w:rsid w:val="007252A8"/>
    <w:rsid w:val="0072546F"/>
    <w:rsid w:val="0072547C"/>
    <w:rsid w:val="0072567E"/>
    <w:rsid w:val="007257FE"/>
    <w:rsid w:val="00725853"/>
    <w:rsid w:val="00725949"/>
    <w:rsid w:val="00725A1C"/>
    <w:rsid w:val="00725C2E"/>
    <w:rsid w:val="00725C97"/>
    <w:rsid w:val="00726097"/>
    <w:rsid w:val="007261DC"/>
    <w:rsid w:val="00726279"/>
    <w:rsid w:val="00726595"/>
    <w:rsid w:val="0072679C"/>
    <w:rsid w:val="00726ABA"/>
    <w:rsid w:val="00726AC4"/>
    <w:rsid w:val="00726C0C"/>
    <w:rsid w:val="00727199"/>
    <w:rsid w:val="00727470"/>
    <w:rsid w:val="007274F3"/>
    <w:rsid w:val="0072759A"/>
    <w:rsid w:val="00727C95"/>
    <w:rsid w:val="00727F1C"/>
    <w:rsid w:val="0073033E"/>
    <w:rsid w:val="00730369"/>
    <w:rsid w:val="007303C6"/>
    <w:rsid w:val="00730441"/>
    <w:rsid w:val="00730AEA"/>
    <w:rsid w:val="00730B7E"/>
    <w:rsid w:val="00730CAE"/>
    <w:rsid w:val="00730E58"/>
    <w:rsid w:val="00730EEC"/>
    <w:rsid w:val="00731107"/>
    <w:rsid w:val="007318D0"/>
    <w:rsid w:val="00731D2E"/>
    <w:rsid w:val="00731DE3"/>
    <w:rsid w:val="00732099"/>
    <w:rsid w:val="007322EB"/>
    <w:rsid w:val="007324EB"/>
    <w:rsid w:val="007329FF"/>
    <w:rsid w:val="00732A50"/>
    <w:rsid w:val="00732A89"/>
    <w:rsid w:val="00732AA2"/>
    <w:rsid w:val="00732AD3"/>
    <w:rsid w:val="007331A7"/>
    <w:rsid w:val="007331EA"/>
    <w:rsid w:val="00733806"/>
    <w:rsid w:val="00733A67"/>
    <w:rsid w:val="007340FD"/>
    <w:rsid w:val="0073410E"/>
    <w:rsid w:val="00734160"/>
    <w:rsid w:val="007342FA"/>
    <w:rsid w:val="00734976"/>
    <w:rsid w:val="00735222"/>
    <w:rsid w:val="00735392"/>
    <w:rsid w:val="0073539E"/>
    <w:rsid w:val="0073557C"/>
    <w:rsid w:val="007358A8"/>
    <w:rsid w:val="00735950"/>
    <w:rsid w:val="00735D16"/>
    <w:rsid w:val="00735E13"/>
    <w:rsid w:val="00735F5F"/>
    <w:rsid w:val="007363CA"/>
    <w:rsid w:val="00736591"/>
    <w:rsid w:val="007365ED"/>
    <w:rsid w:val="00736C72"/>
    <w:rsid w:val="00736EBC"/>
    <w:rsid w:val="00736ED2"/>
    <w:rsid w:val="00736EE1"/>
    <w:rsid w:val="00737420"/>
    <w:rsid w:val="0073762A"/>
    <w:rsid w:val="00737CD2"/>
    <w:rsid w:val="007401BD"/>
    <w:rsid w:val="00740481"/>
    <w:rsid w:val="007405FC"/>
    <w:rsid w:val="0074073A"/>
    <w:rsid w:val="007407A5"/>
    <w:rsid w:val="0074088A"/>
    <w:rsid w:val="00740F32"/>
    <w:rsid w:val="007410B4"/>
    <w:rsid w:val="007411FA"/>
    <w:rsid w:val="00741267"/>
    <w:rsid w:val="0074139E"/>
    <w:rsid w:val="0074144A"/>
    <w:rsid w:val="007414FF"/>
    <w:rsid w:val="00741534"/>
    <w:rsid w:val="0074160A"/>
    <w:rsid w:val="00741FE1"/>
    <w:rsid w:val="00742102"/>
    <w:rsid w:val="007423D3"/>
    <w:rsid w:val="0074243A"/>
    <w:rsid w:val="0074271C"/>
    <w:rsid w:val="00742A77"/>
    <w:rsid w:val="00742C40"/>
    <w:rsid w:val="00742C6F"/>
    <w:rsid w:val="00742D3E"/>
    <w:rsid w:val="00743055"/>
    <w:rsid w:val="00743B3A"/>
    <w:rsid w:val="00743CFC"/>
    <w:rsid w:val="00743E66"/>
    <w:rsid w:val="0074413A"/>
    <w:rsid w:val="007447EE"/>
    <w:rsid w:val="00744B2D"/>
    <w:rsid w:val="00744E5A"/>
    <w:rsid w:val="00744EF3"/>
    <w:rsid w:val="00745328"/>
    <w:rsid w:val="0074593B"/>
    <w:rsid w:val="00745D67"/>
    <w:rsid w:val="00745DBC"/>
    <w:rsid w:val="00745E28"/>
    <w:rsid w:val="007461E8"/>
    <w:rsid w:val="007467AC"/>
    <w:rsid w:val="00746D45"/>
    <w:rsid w:val="00746DDE"/>
    <w:rsid w:val="00746EE2"/>
    <w:rsid w:val="00746F18"/>
    <w:rsid w:val="00747132"/>
    <w:rsid w:val="00747366"/>
    <w:rsid w:val="00747585"/>
    <w:rsid w:val="0074777C"/>
    <w:rsid w:val="00747BFE"/>
    <w:rsid w:val="00750026"/>
    <w:rsid w:val="0075004B"/>
    <w:rsid w:val="007500B4"/>
    <w:rsid w:val="0075014E"/>
    <w:rsid w:val="007501A2"/>
    <w:rsid w:val="00750494"/>
    <w:rsid w:val="007504FC"/>
    <w:rsid w:val="00750641"/>
    <w:rsid w:val="0075083B"/>
    <w:rsid w:val="00750855"/>
    <w:rsid w:val="00750D29"/>
    <w:rsid w:val="00750E17"/>
    <w:rsid w:val="00751185"/>
    <w:rsid w:val="0075140A"/>
    <w:rsid w:val="007514B7"/>
    <w:rsid w:val="00751517"/>
    <w:rsid w:val="00751A6C"/>
    <w:rsid w:val="00751B00"/>
    <w:rsid w:val="00751E23"/>
    <w:rsid w:val="0075228F"/>
    <w:rsid w:val="007522C4"/>
    <w:rsid w:val="00752593"/>
    <w:rsid w:val="0075282A"/>
    <w:rsid w:val="00752959"/>
    <w:rsid w:val="00752A23"/>
    <w:rsid w:val="00752ACF"/>
    <w:rsid w:val="00752DA2"/>
    <w:rsid w:val="00752EF6"/>
    <w:rsid w:val="00752FD6"/>
    <w:rsid w:val="0075378B"/>
    <w:rsid w:val="00753894"/>
    <w:rsid w:val="00754277"/>
    <w:rsid w:val="007542F4"/>
    <w:rsid w:val="0075435D"/>
    <w:rsid w:val="00754AB7"/>
    <w:rsid w:val="00754B6C"/>
    <w:rsid w:val="00754F22"/>
    <w:rsid w:val="00755000"/>
    <w:rsid w:val="007550A3"/>
    <w:rsid w:val="007550E0"/>
    <w:rsid w:val="00755229"/>
    <w:rsid w:val="007553E1"/>
    <w:rsid w:val="00755633"/>
    <w:rsid w:val="0075576A"/>
    <w:rsid w:val="007558E3"/>
    <w:rsid w:val="007558ED"/>
    <w:rsid w:val="00755F38"/>
    <w:rsid w:val="00755F9E"/>
    <w:rsid w:val="00755FBF"/>
    <w:rsid w:val="00755FF1"/>
    <w:rsid w:val="007560A1"/>
    <w:rsid w:val="00756151"/>
    <w:rsid w:val="00756882"/>
    <w:rsid w:val="00756898"/>
    <w:rsid w:val="007569E2"/>
    <w:rsid w:val="00756C7C"/>
    <w:rsid w:val="00756E28"/>
    <w:rsid w:val="00757063"/>
    <w:rsid w:val="007570F1"/>
    <w:rsid w:val="007573C1"/>
    <w:rsid w:val="007573E3"/>
    <w:rsid w:val="007579F1"/>
    <w:rsid w:val="00757B1E"/>
    <w:rsid w:val="00757B4D"/>
    <w:rsid w:val="00757FD2"/>
    <w:rsid w:val="0076008B"/>
    <w:rsid w:val="007604D7"/>
    <w:rsid w:val="0076072B"/>
    <w:rsid w:val="0076077C"/>
    <w:rsid w:val="007607AC"/>
    <w:rsid w:val="007608FE"/>
    <w:rsid w:val="00760B35"/>
    <w:rsid w:val="00760C70"/>
    <w:rsid w:val="00760D3D"/>
    <w:rsid w:val="007610C9"/>
    <w:rsid w:val="00761102"/>
    <w:rsid w:val="007618F9"/>
    <w:rsid w:val="00761B5E"/>
    <w:rsid w:val="0076269D"/>
    <w:rsid w:val="00762B2D"/>
    <w:rsid w:val="00762BF9"/>
    <w:rsid w:val="00762D08"/>
    <w:rsid w:val="00762EA2"/>
    <w:rsid w:val="00762EAE"/>
    <w:rsid w:val="00763104"/>
    <w:rsid w:val="0076319C"/>
    <w:rsid w:val="00763812"/>
    <w:rsid w:val="00763936"/>
    <w:rsid w:val="00763A47"/>
    <w:rsid w:val="00763AFC"/>
    <w:rsid w:val="00764330"/>
    <w:rsid w:val="0076485D"/>
    <w:rsid w:val="00764C72"/>
    <w:rsid w:val="00764C99"/>
    <w:rsid w:val="00764DCD"/>
    <w:rsid w:val="007650B0"/>
    <w:rsid w:val="007659E9"/>
    <w:rsid w:val="00765FC1"/>
    <w:rsid w:val="00766180"/>
    <w:rsid w:val="00766555"/>
    <w:rsid w:val="007666CD"/>
    <w:rsid w:val="007668BB"/>
    <w:rsid w:val="00766D8C"/>
    <w:rsid w:val="00766F60"/>
    <w:rsid w:val="00767393"/>
    <w:rsid w:val="00767643"/>
    <w:rsid w:val="00767A65"/>
    <w:rsid w:val="00767B74"/>
    <w:rsid w:val="00767D90"/>
    <w:rsid w:val="00767DCF"/>
    <w:rsid w:val="00767EAB"/>
    <w:rsid w:val="00770056"/>
    <w:rsid w:val="00770393"/>
    <w:rsid w:val="007706F2"/>
    <w:rsid w:val="00770700"/>
    <w:rsid w:val="00770AC8"/>
    <w:rsid w:val="00770B65"/>
    <w:rsid w:val="00770E49"/>
    <w:rsid w:val="00771126"/>
    <w:rsid w:val="0077121D"/>
    <w:rsid w:val="007717A9"/>
    <w:rsid w:val="007717F7"/>
    <w:rsid w:val="00771A9A"/>
    <w:rsid w:val="00771FAC"/>
    <w:rsid w:val="00771FD6"/>
    <w:rsid w:val="007726FE"/>
    <w:rsid w:val="007728F7"/>
    <w:rsid w:val="00772BAF"/>
    <w:rsid w:val="00772C0A"/>
    <w:rsid w:val="007730E1"/>
    <w:rsid w:val="00773458"/>
    <w:rsid w:val="007738C5"/>
    <w:rsid w:val="007739A3"/>
    <w:rsid w:val="00773B09"/>
    <w:rsid w:val="00773D5C"/>
    <w:rsid w:val="007740AE"/>
    <w:rsid w:val="007741C1"/>
    <w:rsid w:val="007746F3"/>
    <w:rsid w:val="007747C5"/>
    <w:rsid w:val="00774904"/>
    <w:rsid w:val="00774C23"/>
    <w:rsid w:val="00774EE5"/>
    <w:rsid w:val="00774FA3"/>
    <w:rsid w:val="00774FCE"/>
    <w:rsid w:val="0077534E"/>
    <w:rsid w:val="0077545C"/>
    <w:rsid w:val="00775552"/>
    <w:rsid w:val="00775636"/>
    <w:rsid w:val="0077582F"/>
    <w:rsid w:val="0077587A"/>
    <w:rsid w:val="007759BD"/>
    <w:rsid w:val="00775EAF"/>
    <w:rsid w:val="00776168"/>
    <w:rsid w:val="007767FC"/>
    <w:rsid w:val="007769A9"/>
    <w:rsid w:val="00776C1D"/>
    <w:rsid w:val="00777297"/>
    <w:rsid w:val="00777605"/>
    <w:rsid w:val="0077773F"/>
    <w:rsid w:val="00777A8B"/>
    <w:rsid w:val="00777B57"/>
    <w:rsid w:val="00777CF9"/>
    <w:rsid w:val="00777DE7"/>
    <w:rsid w:val="00780091"/>
    <w:rsid w:val="00780B9E"/>
    <w:rsid w:val="00780BE4"/>
    <w:rsid w:val="00780DE6"/>
    <w:rsid w:val="00781192"/>
    <w:rsid w:val="007813DF"/>
    <w:rsid w:val="007817B7"/>
    <w:rsid w:val="00781BD5"/>
    <w:rsid w:val="00781C43"/>
    <w:rsid w:val="007821C1"/>
    <w:rsid w:val="00782413"/>
    <w:rsid w:val="007826CE"/>
    <w:rsid w:val="00782761"/>
    <w:rsid w:val="0078297E"/>
    <w:rsid w:val="00782A91"/>
    <w:rsid w:val="00782BDF"/>
    <w:rsid w:val="00782C75"/>
    <w:rsid w:val="00782F01"/>
    <w:rsid w:val="00782F8B"/>
    <w:rsid w:val="0078318E"/>
    <w:rsid w:val="007838E8"/>
    <w:rsid w:val="007839C4"/>
    <w:rsid w:val="00783A44"/>
    <w:rsid w:val="00783AB9"/>
    <w:rsid w:val="00783AE5"/>
    <w:rsid w:val="00783AFC"/>
    <w:rsid w:val="00783E9E"/>
    <w:rsid w:val="00783F82"/>
    <w:rsid w:val="007847DB"/>
    <w:rsid w:val="00784D75"/>
    <w:rsid w:val="00784DA6"/>
    <w:rsid w:val="0078510D"/>
    <w:rsid w:val="0078545B"/>
    <w:rsid w:val="0078587D"/>
    <w:rsid w:val="007859D5"/>
    <w:rsid w:val="007859D6"/>
    <w:rsid w:val="00785EC0"/>
    <w:rsid w:val="00785F30"/>
    <w:rsid w:val="007860B3"/>
    <w:rsid w:val="00786BE3"/>
    <w:rsid w:val="00786C16"/>
    <w:rsid w:val="00786C6C"/>
    <w:rsid w:val="00786EE3"/>
    <w:rsid w:val="00787115"/>
    <w:rsid w:val="00787249"/>
    <w:rsid w:val="007877F8"/>
    <w:rsid w:val="00787955"/>
    <w:rsid w:val="00787ABC"/>
    <w:rsid w:val="00787BC8"/>
    <w:rsid w:val="00787BF0"/>
    <w:rsid w:val="00787EEE"/>
    <w:rsid w:val="00787FCC"/>
    <w:rsid w:val="007901B2"/>
    <w:rsid w:val="0079024B"/>
    <w:rsid w:val="00790318"/>
    <w:rsid w:val="007904CB"/>
    <w:rsid w:val="00790601"/>
    <w:rsid w:val="0079072C"/>
    <w:rsid w:val="00790C2A"/>
    <w:rsid w:val="00790C8E"/>
    <w:rsid w:val="00790DA2"/>
    <w:rsid w:val="0079124A"/>
    <w:rsid w:val="007912CE"/>
    <w:rsid w:val="0079154A"/>
    <w:rsid w:val="00791656"/>
    <w:rsid w:val="00791A07"/>
    <w:rsid w:val="00791A0A"/>
    <w:rsid w:val="00791D80"/>
    <w:rsid w:val="00792039"/>
    <w:rsid w:val="00792429"/>
    <w:rsid w:val="00792489"/>
    <w:rsid w:val="00792567"/>
    <w:rsid w:val="00792831"/>
    <w:rsid w:val="00792884"/>
    <w:rsid w:val="0079299D"/>
    <w:rsid w:val="00792C43"/>
    <w:rsid w:val="00793365"/>
    <w:rsid w:val="00793481"/>
    <w:rsid w:val="0079377F"/>
    <w:rsid w:val="00793813"/>
    <w:rsid w:val="007939F2"/>
    <w:rsid w:val="00793A1A"/>
    <w:rsid w:val="00793A43"/>
    <w:rsid w:val="00793B52"/>
    <w:rsid w:val="00793BFB"/>
    <w:rsid w:val="00793C71"/>
    <w:rsid w:val="00793E0A"/>
    <w:rsid w:val="00793E40"/>
    <w:rsid w:val="00794036"/>
    <w:rsid w:val="007942DA"/>
    <w:rsid w:val="0079435F"/>
    <w:rsid w:val="00794E57"/>
    <w:rsid w:val="00794E93"/>
    <w:rsid w:val="0079510B"/>
    <w:rsid w:val="0079577A"/>
    <w:rsid w:val="00795884"/>
    <w:rsid w:val="00795A1F"/>
    <w:rsid w:val="00795B24"/>
    <w:rsid w:val="00795C16"/>
    <w:rsid w:val="00795F4F"/>
    <w:rsid w:val="007961BF"/>
    <w:rsid w:val="00796320"/>
    <w:rsid w:val="00796614"/>
    <w:rsid w:val="00796795"/>
    <w:rsid w:val="00796886"/>
    <w:rsid w:val="00796A6F"/>
    <w:rsid w:val="00796F13"/>
    <w:rsid w:val="00796F1C"/>
    <w:rsid w:val="00796F5D"/>
    <w:rsid w:val="007975D2"/>
    <w:rsid w:val="00797672"/>
    <w:rsid w:val="0079780A"/>
    <w:rsid w:val="00797975"/>
    <w:rsid w:val="00797B87"/>
    <w:rsid w:val="00797D78"/>
    <w:rsid w:val="00797DD7"/>
    <w:rsid w:val="007A0357"/>
    <w:rsid w:val="007A0568"/>
    <w:rsid w:val="007A05E0"/>
    <w:rsid w:val="007A0683"/>
    <w:rsid w:val="007A0686"/>
    <w:rsid w:val="007A098E"/>
    <w:rsid w:val="007A09D2"/>
    <w:rsid w:val="007A0B06"/>
    <w:rsid w:val="007A0E09"/>
    <w:rsid w:val="007A1756"/>
    <w:rsid w:val="007A1A37"/>
    <w:rsid w:val="007A1DE4"/>
    <w:rsid w:val="007A1F61"/>
    <w:rsid w:val="007A22DC"/>
    <w:rsid w:val="007A2401"/>
    <w:rsid w:val="007A2574"/>
    <w:rsid w:val="007A2590"/>
    <w:rsid w:val="007A2811"/>
    <w:rsid w:val="007A28CC"/>
    <w:rsid w:val="007A2A91"/>
    <w:rsid w:val="007A2C5C"/>
    <w:rsid w:val="007A2CD8"/>
    <w:rsid w:val="007A2D46"/>
    <w:rsid w:val="007A2F4F"/>
    <w:rsid w:val="007A3349"/>
    <w:rsid w:val="007A372D"/>
    <w:rsid w:val="007A3927"/>
    <w:rsid w:val="007A397A"/>
    <w:rsid w:val="007A3A1E"/>
    <w:rsid w:val="007A3AAE"/>
    <w:rsid w:val="007A3C9D"/>
    <w:rsid w:val="007A4147"/>
    <w:rsid w:val="007A44D4"/>
    <w:rsid w:val="007A456C"/>
    <w:rsid w:val="007A4581"/>
    <w:rsid w:val="007A4592"/>
    <w:rsid w:val="007A4625"/>
    <w:rsid w:val="007A4DAD"/>
    <w:rsid w:val="007A4E88"/>
    <w:rsid w:val="007A5149"/>
    <w:rsid w:val="007A55D8"/>
    <w:rsid w:val="007A591E"/>
    <w:rsid w:val="007A5A94"/>
    <w:rsid w:val="007A5B7E"/>
    <w:rsid w:val="007A5CAD"/>
    <w:rsid w:val="007A5CCC"/>
    <w:rsid w:val="007A5EB6"/>
    <w:rsid w:val="007A6174"/>
    <w:rsid w:val="007A63BC"/>
    <w:rsid w:val="007A658F"/>
    <w:rsid w:val="007A67CF"/>
    <w:rsid w:val="007A6C4B"/>
    <w:rsid w:val="007A6C6C"/>
    <w:rsid w:val="007A6D42"/>
    <w:rsid w:val="007A6DC4"/>
    <w:rsid w:val="007A70A8"/>
    <w:rsid w:val="007A7238"/>
    <w:rsid w:val="007A73C7"/>
    <w:rsid w:val="007A776E"/>
    <w:rsid w:val="007A77BF"/>
    <w:rsid w:val="007A7EF2"/>
    <w:rsid w:val="007B0343"/>
    <w:rsid w:val="007B03BE"/>
    <w:rsid w:val="007B0502"/>
    <w:rsid w:val="007B0AD9"/>
    <w:rsid w:val="007B0BFA"/>
    <w:rsid w:val="007B12A6"/>
    <w:rsid w:val="007B1B65"/>
    <w:rsid w:val="007B1C9C"/>
    <w:rsid w:val="007B1CBD"/>
    <w:rsid w:val="007B1D0C"/>
    <w:rsid w:val="007B2073"/>
    <w:rsid w:val="007B20AF"/>
    <w:rsid w:val="007B20B0"/>
    <w:rsid w:val="007B22A1"/>
    <w:rsid w:val="007B2CDD"/>
    <w:rsid w:val="007B30CD"/>
    <w:rsid w:val="007B3337"/>
    <w:rsid w:val="007B3472"/>
    <w:rsid w:val="007B34C1"/>
    <w:rsid w:val="007B36EB"/>
    <w:rsid w:val="007B392B"/>
    <w:rsid w:val="007B45E4"/>
    <w:rsid w:val="007B4948"/>
    <w:rsid w:val="007B4DB3"/>
    <w:rsid w:val="007B4E4C"/>
    <w:rsid w:val="007B4E7E"/>
    <w:rsid w:val="007B5024"/>
    <w:rsid w:val="007B51D8"/>
    <w:rsid w:val="007B54DC"/>
    <w:rsid w:val="007B5A63"/>
    <w:rsid w:val="007B5C21"/>
    <w:rsid w:val="007B5E6C"/>
    <w:rsid w:val="007B60E9"/>
    <w:rsid w:val="007B64A7"/>
    <w:rsid w:val="007B69DA"/>
    <w:rsid w:val="007B6F28"/>
    <w:rsid w:val="007B7563"/>
    <w:rsid w:val="007B780E"/>
    <w:rsid w:val="007B78B3"/>
    <w:rsid w:val="007B78C9"/>
    <w:rsid w:val="007B7CE6"/>
    <w:rsid w:val="007B7D4D"/>
    <w:rsid w:val="007B7DE1"/>
    <w:rsid w:val="007B7E78"/>
    <w:rsid w:val="007B7EF3"/>
    <w:rsid w:val="007C01EF"/>
    <w:rsid w:val="007C05A1"/>
    <w:rsid w:val="007C0A9C"/>
    <w:rsid w:val="007C0B3E"/>
    <w:rsid w:val="007C0D28"/>
    <w:rsid w:val="007C0F4F"/>
    <w:rsid w:val="007C10B1"/>
    <w:rsid w:val="007C1771"/>
    <w:rsid w:val="007C18DA"/>
    <w:rsid w:val="007C197A"/>
    <w:rsid w:val="007C1D2C"/>
    <w:rsid w:val="007C1E3E"/>
    <w:rsid w:val="007C1E49"/>
    <w:rsid w:val="007C221B"/>
    <w:rsid w:val="007C23D5"/>
    <w:rsid w:val="007C2D02"/>
    <w:rsid w:val="007C2D78"/>
    <w:rsid w:val="007C2DE5"/>
    <w:rsid w:val="007C3283"/>
    <w:rsid w:val="007C3390"/>
    <w:rsid w:val="007C3488"/>
    <w:rsid w:val="007C3949"/>
    <w:rsid w:val="007C3B01"/>
    <w:rsid w:val="007C3DA6"/>
    <w:rsid w:val="007C3DEC"/>
    <w:rsid w:val="007C3F2D"/>
    <w:rsid w:val="007C444A"/>
    <w:rsid w:val="007C44AF"/>
    <w:rsid w:val="007C4643"/>
    <w:rsid w:val="007C4913"/>
    <w:rsid w:val="007C4EB3"/>
    <w:rsid w:val="007C4F0F"/>
    <w:rsid w:val="007C5A45"/>
    <w:rsid w:val="007C5DBD"/>
    <w:rsid w:val="007C6038"/>
    <w:rsid w:val="007C6055"/>
    <w:rsid w:val="007C624A"/>
    <w:rsid w:val="007C643F"/>
    <w:rsid w:val="007C6542"/>
    <w:rsid w:val="007C672C"/>
    <w:rsid w:val="007C69C4"/>
    <w:rsid w:val="007C6A66"/>
    <w:rsid w:val="007C6B6C"/>
    <w:rsid w:val="007C6D8C"/>
    <w:rsid w:val="007C70E3"/>
    <w:rsid w:val="007C7268"/>
    <w:rsid w:val="007C7375"/>
    <w:rsid w:val="007C781A"/>
    <w:rsid w:val="007C7880"/>
    <w:rsid w:val="007C7D63"/>
    <w:rsid w:val="007D0209"/>
    <w:rsid w:val="007D02B7"/>
    <w:rsid w:val="007D053D"/>
    <w:rsid w:val="007D0728"/>
    <w:rsid w:val="007D08B4"/>
    <w:rsid w:val="007D0CC4"/>
    <w:rsid w:val="007D0DF1"/>
    <w:rsid w:val="007D14E1"/>
    <w:rsid w:val="007D14EF"/>
    <w:rsid w:val="007D166E"/>
    <w:rsid w:val="007D18B9"/>
    <w:rsid w:val="007D1D3F"/>
    <w:rsid w:val="007D1E19"/>
    <w:rsid w:val="007D1E47"/>
    <w:rsid w:val="007D225B"/>
    <w:rsid w:val="007D22D7"/>
    <w:rsid w:val="007D251B"/>
    <w:rsid w:val="007D28A9"/>
    <w:rsid w:val="007D310B"/>
    <w:rsid w:val="007D3622"/>
    <w:rsid w:val="007D377A"/>
    <w:rsid w:val="007D3BF2"/>
    <w:rsid w:val="007D3CE8"/>
    <w:rsid w:val="007D3D34"/>
    <w:rsid w:val="007D3DB5"/>
    <w:rsid w:val="007D41AE"/>
    <w:rsid w:val="007D424B"/>
    <w:rsid w:val="007D42D0"/>
    <w:rsid w:val="007D45B6"/>
    <w:rsid w:val="007D478C"/>
    <w:rsid w:val="007D4A81"/>
    <w:rsid w:val="007D4FC3"/>
    <w:rsid w:val="007D5150"/>
    <w:rsid w:val="007D5256"/>
    <w:rsid w:val="007D5BBF"/>
    <w:rsid w:val="007D5FD7"/>
    <w:rsid w:val="007D6178"/>
    <w:rsid w:val="007D6393"/>
    <w:rsid w:val="007D655A"/>
    <w:rsid w:val="007D6697"/>
    <w:rsid w:val="007D6803"/>
    <w:rsid w:val="007D68D9"/>
    <w:rsid w:val="007D6E6A"/>
    <w:rsid w:val="007D6F29"/>
    <w:rsid w:val="007D7308"/>
    <w:rsid w:val="007D73A6"/>
    <w:rsid w:val="007D749F"/>
    <w:rsid w:val="007D75D5"/>
    <w:rsid w:val="007D77AF"/>
    <w:rsid w:val="007E0225"/>
    <w:rsid w:val="007E0552"/>
    <w:rsid w:val="007E06DB"/>
    <w:rsid w:val="007E0791"/>
    <w:rsid w:val="007E07D5"/>
    <w:rsid w:val="007E085D"/>
    <w:rsid w:val="007E09A9"/>
    <w:rsid w:val="007E139C"/>
    <w:rsid w:val="007E1CB7"/>
    <w:rsid w:val="007E1E1F"/>
    <w:rsid w:val="007E2005"/>
    <w:rsid w:val="007E21E5"/>
    <w:rsid w:val="007E2277"/>
    <w:rsid w:val="007E2708"/>
    <w:rsid w:val="007E2EC4"/>
    <w:rsid w:val="007E2FBE"/>
    <w:rsid w:val="007E2FE2"/>
    <w:rsid w:val="007E34F6"/>
    <w:rsid w:val="007E3ED7"/>
    <w:rsid w:val="007E3F4E"/>
    <w:rsid w:val="007E4783"/>
    <w:rsid w:val="007E47BB"/>
    <w:rsid w:val="007E48C0"/>
    <w:rsid w:val="007E4A67"/>
    <w:rsid w:val="007E4C09"/>
    <w:rsid w:val="007E4CEC"/>
    <w:rsid w:val="007E4FC0"/>
    <w:rsid w:val="007E515C"/>
    <w:rsid w:val="007E5664"/>
    <w:rsid w:val="007E56B2"/>
    <w:rsid w:val="007E58B9"/>
    <w:rsid w:val="007E625D"/>
    <w:rsid w:val="007E6633"/>
    <w:rsid w:val="007E684D"/>
    <w:rsid w:val="007E6960"/>
    <w:rsid w:val="007E699A"/>
    <w:rsid w:val="007E69F4"/>
    <w:rsid w:val="007E6BC8"/>
    <w:rsid w:val="007E6D74"/>
    <w:rsid w:val="007E6FDB"/>
    <w:rsid w:val="007E770A"/>
    <w:rsid w:val="007E772E"/>
    <w:rsid w:val="007E789C"/>
    <w:rsid w:val="007E7B75"/>
    <w:rsid w:val="007E7C87"/>
    <w:rsid w:val="007F0079"/>
    <w:rsid w:val="007F00E2"/>
    <w:rsid w:val="007F04A1"/>
    <w:rsid w:val="007F05BD"/>
    <w:rsid w:val="007F0AC8"/>
    <w:rsid w:val="007F0E2F"/>
    <w:rsid w:val="007F100B"/>
    <w:rsid w:val="007F1395"/>
    <w:rsid w:val="007F177D"/>
    <w:rsid w:val="007F18BC"/>
    <w:rsid w:val="007F1957"/>
    <w:rsid w:val="007F1B9F"/>
    <w:rsid w:val="007F1EBA"/>
    <w:rsid w:val="007F2371"/>
    <w:rsid w:val="007F2612"/>
    <w:rsid w:val="007F27BC"/>
    <w:rsid w:val="007F27FF"/>
    <w:rsid w:val="007F28DF"/>
    <w:rsid w:val="007F2A10"/>
    <w:rsid w:val="007F2A4E"/>
    <w:rsid w:val="007F2EB1"/>
    <w:rsid w:val="007F2F2E"/>
    <w:rsid w:val="007F2F49"/>
    <w:rsid w:val="007F2FF7"/>
    <w:rsid w:val="007F3073"/>
    <w:rsid w:val="007F31FF"/>
    <w:rsid w:val="007F35C7"/>
    <w:rsid w:val="007F3A4A"/>
    <w:rsid w:val="007F3D03"/>
    <w:rsid w:val="007F3F17"/>
    <w:rsid w:val="007F3F5E"/>
    <w:rsid w:val="007F406F"/>
    <w:rsid w:val="007F41D0"/>
    <w:rsid w:val="007F4238"/>
    <w:rsid w:val="007F43B5"/>
    <w:rsid w:val="007F4534"/>
    <w:rsid w:val="007F4AF2"/>
    <w:rsid w:val="007F4C76"/>
    <w:rsid w:val="007F4EC5"/>
    <w:rsid w:val="007F5084"/>
    <w:rsid w:val="007F5087"/>
    <w:rsid w:val="007F540B"/>
    <w:rsid w:val="007F5551"/>
    <w:rsid w:val="007F55D9"/>
    <w:rsid w:val="007F5673"/>
    <w:rsid w:val="007F578B"/>
    <w:rsid w:val="007F6547"/>
    <w:rsid w:val="007F659E"/>
    <w:rsid w:val="007F6AE7"/>
    <w:rsid w:val="007F6AF2"/>
    <w:rsid w:val="007F6B13"/>
    <w:rsid w:val="007F7511"/>
    <w:rsid w:val="007F75BC"/>
    <w:rsid w:val="007F7CF4"/>
    <w:rsid w:val="007F7DDB"/>
    <w:rsid w:val="00800229"/>
    <w:rsid w:val="0080036C"/>
    <w:rsid w:val="0080038E"/>
    <w:rsid w:val="00800406"/>
    <w:rsid w:val="008006A8"/>
    <w:rsid w:val="008006F5"/>
    <w:rsid w:val="0080092E"/>
    <w:rsid w:val="008009FB"/>
    <w:rsid w:val="00800CA7"/>
    <w:rsid w:val="00800E85"/>
    <w:rsid w:val="008015EF"/>
    <w:rsid w:val="00801B4A"/>
    <w:rsid w:val="00801DA7"/>
    <w:rsid w:val="00802388"/>
    <w:rsid w:val="008025BE"/>
    <w:rsid w:val="00802928"/>
    <w:rsid w:val="008029F0"/>
    <w:rsid w:val="00802B3B"/>
    <w:rsid w:val="00802B44"/>
    <w:rsid w:val="00802C64"/>
    <w:rsid w:val="00802CEC"/>
    <w:rsid w:val="00802F5B"/>
    <w:rsid w:val="00803210"/>
    <w:rsid w:val="008033CE"/>
    <w:rsid w:val="00803890"/>
    <w:rsid w:val="00803B7D"/>
    <w:rsid w:val="00803C89"/>
    <w:rsid w:val="00803D6D"/>
    <w:rsid w:val="00803E44"/>
    <w:rsid w:val="00804095"/>
    <w:rsid w:val="00804316"/>
    <w:rsid w:val="008043DB"/>
    <w:rsid w:val="00804649"/>
    <w:rsid w:val="008048B0"/>
    <w:rsid w:val="00804B15"/>
    <w:rsid w:val="00804B1A"/>
    <w:rsid w:val="00804E51"/>
    <w:rsid w:val="00804E7A"/>
    <w:rsid w:val="008051B2"/>
    <w:rsid w:val="0080558B"/>
    <w:rsid w:val="00805682"/>
    <w:rsid w:val="00805716"/>
    <w:rsid w:val="008057B8"/>
    <w:rsid w:val="00805B63"/>
    <w:rsid w:val="00805BAA"/>
    <w:rsid w:val="008064A4"/>
    <w:rsid w:val="0080656F"/>
    <w:rsid w:val="00806905"/>
    <w:rsid w:val="00806A15"/>
    <w:rsid w:val="00807128"/>
    <w:rsid w:val="00807AAC"/>
    <w:rsid w:val="00807B29"/>
    <w:rsid w:val="00807BB7"/>
    <w:rsid w:val="00807DEB"/>
    <w:rsid w:val="00807EB0"/>
    <w:rsid w:val="008102E9"/>
    <w:rsid w:val="00810325"/>
    <w:rsid w:val="00810903"/>
    <w:rsid w:val="00810C86"/>
    <w:rsid w:val="00810E7C"/>
    <w:rsid w:val="008112F5"/>
    <w:rsid w:val="0081154B"/>
    <w:rsid w:val="0081198C"/>
    <w:rsid w:val="00811CE4"/>
    <w:rsid w:val="00812312"/>
    <w:rsid w:val="00812376"/>
    <w:rsid w:val="008123DC"/>
    <w:rsid w:val="008124E0"/>
    <w:rsid w:val="00812527"/>
    <w:rsid w:val="00812804"/>
    <w:rsid w:val="00812FC4"/>
    <w:rsid w:val="00813059"/>
    <w:rsid w:val="00813123"/>
    <w:rsid w:val="008134D6"/>
    <w:rsid w:val="00813981"/>
    <w:rsid w:val="00813C06"/>
    <w:rsid w:val="00813FCE"/>
    <w:rsid w:val="008141E4"/>
    <w:rsid w:val="0081457F"/>
    <w:rsid w:val="008145BC"/>
    <w:rsid w:val="008146BD"/>
    <w:rsid w:val="008148D0"/>
    <w:rsid w:val="00815141"/>
    <w:rsid w:val="00815152"/>
    <w:rsid w:val="008155ED"/>
    <w:rsid w:val="008157D8"/>
    <w:rsid w:val="00815C81"/>
    <w:rsid w:val="00815DBF"/>
    <w:rsid w:val="00815F14"/>
    <w:rsid w:val="0081629E"/>
    <w:rsid w:val="008165F8"/>
    <w:rsid w:val="00816BD1"/>
    <w:rsid w:val="00816F08"/>
    <w:rsid w:val="00816F5B"/>
    <w:rsid w:val="0081710C"/>
    <w:rsid w:val="008172EE"/>
    <w:rsid w:val="00817338"/>
    <w:rsid w:val="00817348"/>
    <w:rsid w:val="0081756C"/>
    <w:rsid w:val="00817584"/>
    <w:rsid w:val="00817A91"/>
    <w:rsid w:val="0082026F"/>
    <w:rsid w:val="0082033C"/>
    <w:rsid w:val="008203DD"/>
    <w:rsid w:val="00820538"/>
    <w:rsid w:val="0082071E"/>
    <w:rsid w:val="0082082D"/>
    <w:rsid w:val="00820ADB"/>
    <w:rsid w:val="00820AE7"/>
    <w:rsid w:val="00820AF1"/>
    <w:rsid w:val="00820DC9"/>
    <w:rsid w:val="0082109D"/>
    <w:rsid w:val="008212BE"/>
    <w:rsid w:val="00821423"/>
    <w:rsid w:val="008216C4"/>
    <w:rsid w:val="00821754"/>
    <w:rsid w:val="00821D27"/>
    <w:rsid w:val="008221AB"/>
    <w:rsid w:val="008223FE"/>
    <w:rsid w:val="008224FF"/>
    <w:rsid w:val="0082269E"/>
    <w:rsid w:val="008226D1"/>
    <w:rsid w:val="00822C17"/>
    <w:rsid w:val="00822CFC"/>
    <w:rsid w:val="00822DBB"/>
    <w:rsid w:val="0082305B"/>
    <w:rsid w:val="00823116"/>
    <w:rsid w:val="00823208"/>
    <w:rsid w:val="00823796"/>
    <w:rsid w:val="00823974"/>
    <w:rsid w:val="008239E3"/>
    <w:rsid w:val="00823AFB"/>
    <w:rsid w:val="0082403E"/>
    <w:rsid w:val="00824059"/>
    <w:rsid w:val="008241A1"/>
    <w:rsid w:val="008242B6"/>
    <w:rsid w:val="008247C5"/>
    <w:rsid w:val="00824809"/>
    <w:rsid w:val="00824867"/>
    <w:rsid w:val="00824AC1"/>
    <w:rsid w:val="00824DB8"/>
    <w:rsid w:val="00825292"/>
    <w:rsid w:val="008252B8"/>
    <w:rsid w:val="008253C5"/>
    <w:rsid w:val="008257DC"/>
    <w:rsid w:val="00825867"/>
    <w:rsid w:val="00825997"/>
    <w:rsid w:val="00825B67"/>
    <w:rsid w:val="00825CF1"/>
    <w:rsid w:val="00825D00"/>
    <w:rsid w:val="00825E28"/>
    <w:rsid w:val="00825E7D"/>
    <w:rsid w:val="008260E4"/>
    <w:rsid w:val="008268B2"/>
    <w:rsid w:val="0082692D"/>
    <w:rsid w:val="00826A34"/>
    <w:rsid w:val="00826A58"/>
    <w:rsid w:val="00826BC5"/>
    <w:rsid w:val="00826CCB"/>
    <w:rsid w:val="00826CDC"/>
    <w:rsid w:val="00826D20"/>
    <w:rsid w:val="00827051"/>
    <w:rsid w:val="00827205"/>
    <w:rsid w:val="00827533"/>
    <w:rsid w:val="00827710"/>
    <w:rsid w:val="00827989"/>
    <w:rsid w:val="00827B31"/>
    <w:rsid w:val="00827B32"/>
    <w:rsid w:val="00827C8B"/>
    <w:rsid w:val="00827DFB"/>
    <w:rsid w:val="00827DFC"/>
    <w:rsid w:val="008307CC"/>
    <w:rsid w:val="00830A12"/>
    <w:rsid w:val="00830B5B"/>
    <w:rsid w:val="00830B8F"/>
    <w:rsid w:val="00830C71"/>
    <w:rsid w:val="00830CFA"/>
    <w:rsid w:val="00830D1F"/>
    <w:rsid w:val="00830F49"/>
    <w:rsid w:val="00830F5C"/>
    <w:rsid w:val="0083118A"/>
    <w:rsid w:val="00831286"/>
    <w:rsid w:val="008313A7"/>
    <w:rsid w:val="0083177F"/>
    <w:rsid w:val="00831887"/>
    <w:rsid w:val="00831CBE"/>
    <w:rsid w:val="00831D7E"/>
    <w:rsid w:val="008320BB"/>
    <w:rsid w:val="00832455"/>
    <w:rsid w:val="008324DC"/>
    <w:rsid w:val="008326A8"/>
    <w:rsid w:val="008328BE"/>
    <w:rsid w:val="00832A2B"/>
    <w:rsid w:val="00832BC0"/>
    <w:rsid w:val="00832F65"/>
    <w:rsid w:val="00832F6D"/>
    <w:rsid w:val="00833011"/>
    <w:rsid w:val="008337B9"/>
    <w:rsid w:val="00833888"/>
    <w:rsid w:val="0083399C"/>
    <w:rsid w:val="00833CE4"/>
    <w:rsid w:val="00833D41"/>
    <w:rsid w:val="00833F56"/>
    <w:rsid w:val="00833F92"/>
    <w:rsid w:val="00834429"/>
    <w:rsid w:val="008345E8"/>
    <w:rsid w:val="00834799"/>
    <w:rsid w:val="0083491D"/>
    <w:rsid w:val="00834B4F"/>
    <w:rsid w:val="00834CC3"/>
    <w:rsid w:val="00834CD3"/>
    <w:rsid w:val="00835153"/>
    <w:rsid w:val="00835440"/>
    <w:rsid w:val="00835455"/>
    <w:rsid w:val="00835FCA"/>
    <w:rsid w:val="008369E2"/>
    <w:rsid w:val="00836A08"/>
    <w:rsid w:val="00836F92"/>
    <w:rsid w:val="0083707B"/>
    <w:rsid w:val="00837655"/>
    <w:rsid w:val="008376CB"/>
    <w:rsid w:val="00837953"/>
    <w:rsid w:val="00837D22"/>
    <w:rsid w:val="00837E7E"/>
    <w:rsid w:val="00837EFF"/>
    <w:rsid w:val="008400EB"/>
    <w:rsid w:val="00840253"/>
    <w:rsid w:val="00840414"/>
    <w:rsid w:val="00840E99"/>
    <w:rsid w:val="00840FD8"/>
    <w:rsid w:val="008412B2"/>
    <w:rsid w:val="00841E2E"/>
    <w:rsid w:val="00841ECB"/>
    <w:rsid w:val="00843385"/>
    <w:rsid w:val="0084349D"/>
    <w:rsid w:val="008436B0"/>
    <w:rsid w:val="00843D47"/>
    <w:rsid w:val="00843F07"/>
    <w:rsid w:val="00844244"/>
    <w:rsid w:val="00844371"/>
    <w:rsid w:val="008447F4"/>
    <w:rsid w:val="008447FC"/>
    <w:rsid w:val="008449A2"/>
    <w:rsid w:val="00844EE3"/>
    <w:rsid w:val="00844F28"/>
    <w:rsid w:val="008454F2"/>
    <w:rsid w:val="00845591"/>
    <w:rsid w:val="00845B8D"/>
    <w:rsid w:val="00846378"/>
    <w:rsid w:val="00846A2B"/>
    <w:rsid w:val="0084711D"/>
    <w:rsid w:val="00847282"/>
    <w:rsid w:val="008477B4"/>
    <w:rsid w:val="008477E2"/>
    <w:rsid w:val="00847BCC"/>
    <w:rsid w:val="00847FF8"/>
    <w:rsid w:val="0085016D"/>
    <w:rsid w:val="008505F6"/>
    <w:rsid w:val="008509F3"/>
    <w:rsid w:val="008509FB"/>
    <w:rsid w:val="00850AF4"/>
    <w:rsid w:val="00850CE0"/>
    <w:rsid w:val="00850D8A"/>
    <w:rsid w:val="00850F0E"/>
    <w:rsid w:val="008512B5"/>
    <w:rsid w:val="008514AC"/>
    <w:rsid w:val="008516EE"/>
    <w:rsid w:val="008517BD"/>
    <w:rsid w:val="00851D9B"/>
    <w:rsid w:val="008521CC"/>
    <w:rsid w:val="008523F2"/>
    <w:rsid w:val="00852424"/>
    <w:rsid w:val="008528A0"/>
    <w:rsid w:val="00852A02"/>
    <w:rsid w:val="00852E3B"/>
    <w:rsid w:val="00852FF5"/>
    <w:rsid w:val="00853538"/>
    <w:rsid w:val="008539F3"/>
    <w:rsid w:val="00853D6B"/>
    <w:rsid w:val="00853F1D"/>
    <w:rsid w:val="008543ED"/>
    <w:rsid w:val="00854595"/>
    <w:rsid w:val="0085490C"/>
    <w:rsid w:val="00854B31"/>
    <w:rsid w:val="00855613"/>
    <w:rsid w:val="008559D9"/>
    <w:rsid w:val="00855A13"/>
    <w:rsid w:val="00855FEB"/>
    <w:rsid w:val="008566C8"/>
    <w:rsid w:val="00856769"/>
    <w:rsid w:val="00856895"/>
    <w:rsid w:val="00856A4F"/>
    <w:rsid w:val="00856E8B"/>
    <w:rsid w:val="0085750C"/>
    <w:rsid w:val="00857754"/>
    <w:rsid w:val="008577CB"/>
    <w:rsid w:val="008579F7"/>
    <w:rsid w:val="00857A6C"/>
    <w:rsid w:val="00857C24"/>
    <w:rsid w:val="00857CCF"/>
    <w:rsid w:val="00860166"/>
    <w:rsid w:val="00860271"/>
    <w:rsid w:val="008608B8"/>
    <w:rsid w:val="00861047"/>
    <w:rsid w:val="008610A3"/>
    <w:rsid w:val="0086113B"/>
    <w:rsid w:val="008613B2"/>
    <w:rsid w:val="0086173D"/>
    <w:rsid w:val="0086195F"/>
    <w:rsid w:val="00861BE8"/>
    <w:rsid w:val="00861C0E"/>
    <w:rsid w:val="00861F70"/>
    <w:rsid w:val="00861FFC"/>
    <w:rsid w:val="0086211E"/>
    <w:rsid w:val="0086234D"/>
    <w:rsid w:val="00862475"/>
    <w:rsid w:val="00862A2A"/>
    <w:rsid w:val="00862E90"/>
    <w:rsid w:val="00863331"/>
    <w:rsid w:val="008634E0"/>
    <w:rsid w:val="008636FA"/>
    <w:rsid w:val="00863852"/>
    <w:rsid w:val="00863AC8"/>
    <w:rsid w:val="00863D73"/>
    <w:rsid w:val="00863E37"/>
    <w:rsid w:val="00863E9E"/>
    <w:rsid w:val="0086402B"/>
    <w:rsid w:val="008641EB"/>
    <w:rsid w:val="008646C6"/>
    <w:rsid w:val="0086477D"/>
    <w:rsid w:val="008648D7"/>
    <w:rsid w:val="00865316"/>
    <w:rsid w:val="0086552B"/>
    <w:rsid w:val="00865627"/>
    <w:rsid w:val="0086599F"/>
    <w:rsid w:val="00865B62"/>
    <w:rsid w:val="00865DE8"/>
    <w:rsid w:val="00866064"/>
    <w:rsid w:val="008661F0"/>
    <w:rsid w:val="008662C1"/>
    <w:rsid w:val="008664C2"/>
    <w:rsid w:val="0086657F"/>
    <w:rsid w:val="00866788"/>
    <w:rsid w:val="008667C0"/>
    <w:rsid w:val="00866936"/>
    <w:rsid w:val="0086699F"/>
    <w:rsid w:val="00866B88"/>
    <w:rsid w:val="00866C94"/>
    <w:rsid w:val="00866D9A"/>
    <w:rsid w:val="00866E1A"/>
    <w:rsid w:val="008670B4"/>
    <w:rsid w:val="0086754C"/>
    <w:rsid w:val="00867625"/>
    <w:rsid w:val="008679B4"/>
    <w:rsid w:val="00867F5D"/>
    <w:rsid w:val="0087000A"/>
    <w:rsid w:val="00870161"/>
    <w:rsid w:val="008706FC"/>
    <w:rsid w:val="00870A66"/>
    <w:rsid w:val="00870DE1"/>
    <w:rsid w:val="00870E86"/>
    <w:rsid w:val="00870FDF"/>
    <w:rsid w:val="0087106D"/>
    <w:rsid w:val="008714BC"/>
    <w:rsid w:val="008716DE"/>
    <w:rsid w:val="00871BAB"/>
    <w:rsid w:val="00871D12"/>
    <w:rsid w:val="00871EE1"/>
    <w:rsid w:val="00871FC4"/>
    <w:rsid w:val="00872044"/>
    <w:rsid w:val="00872166"/>
    <w:rsid w:val="008721F5"/>
    <w:rsid w:val="00872302"/>
    <w:rsid w:val="00872362"/>
    <w:rsid w:val="008723E4"/>
    <w:rsid w:val="008726BC"/>
    <w:rsid w:val="008728E3"/>
    <w:rsid w:val="00872994"/>
    <w:rsid w:val="00872A94"/>
    <w:rsid w:val="00872E31"/>
    <w:rsid w:val="00872E95"/>
    <w:rsid w:val="00872F71"/>
    <w:rsid w:val="0087354F"/>
    <w:rsid w:val="00873554"/>
    <w:rsid w:val="0087367A"/>
    <w:rsid w:val="008737E9"/>
    <w:rsid w:val="008739CB"/>
    <w:rsid w:val="00873B01"/>
    <w:rsid w:val="00873C56"/>
    <w:rsid w:val="00873D76"/>
    <w:rsid w:val="0087419D"/>
    <w:rsid w:val="008742CD"/>
    <w:rsid w:val="00874369"/>
    <w:rsid w:val="008746BB"/>
    <w:rsid w:val="008747A7"/>
    <w:rsid w:val="0087482E"/>
    <w:rsid w:val="00874A8E"/>
    <w:rsid w:val="00874B10"/>
    <w:rsid w:val="00874CA6"/>
    <w:rsid w:val="00875031"/>
    <w:rsid w:val="008751F8"/>
    <w:rsid w:val="00875259"/>
    <w:rsid w:val="00875FAD"/>
    <w:rsid w:val="00876287"/>
    <w:rsid w:val="0087628A"/>
    <w:rsid w:val="00876613"/>
    <w:rsid w:val="00876961"/>
    <w:rsid w:val="008775C8"/>
    <w:rsid w:val="0087776F"/>
    <w:rsid w:val="00877A10"/>
    <w:rsid w:val="00877D44"/>
    <w:rsid w:val="00877DD4"/>
    <w:rsid w:val="00880122"/>
    <w:rsid w:val="008801CA"/>
    <w:rsid w:val="00880CF5"/>
    <w:rsid w:val="0088102A"/>
    <w:rsid w:val="00881164"/>
    <w:rsid w:val="008813FC"/>
    <w:rsid w:val="00881750"/>
    <w:rsid w:val="0088184E"/>
    <w:rsid w:val="008818A0"/>
    <w:rsid w:val="00881F52"/>
    <w:rsid w:val="00882348"/>
    <w:rsid w:val="00882801"/>
    <w:rsid w:val="00882A1C"/>
    <w:rsid w:val="00882B13"/>
    <w:rsid w:val="00882B7A"/>
    <w:rsid w:val="00882BAD"/>
    <w:rsid w:val="00882EC7"/>
    <w:rsid w:val="008830E5"/>
    <w:rsid w:val="00883234"/>
    <w:rsid w:val="0088323F"/>
    <w:rsid w:val="00883274"/>
    <w:rsid w:val="0088397E"/>
    <w:rsid w:val="00883CD0"/>
    <w:rsid w:val="00884614"/>
    <w:rsid w:val="00884891"/>
    <w:rsid w:val="00884979"/>
    <w:rsid w:val="00884A97"/>
    <w:rsid w:val="00884D04"/>
    <w:rsid w:val="0088500A"/>
    <w:rsid w:val="008852FE"/>
    <w:rsid w:val="008853A3"/>
    <w:rsid w:val="0088563C"/>
    <w:rsid w:val="008857E6"/>
    <w:rsid w:val="00885946"/>
    <w:rsid w:val="008859BF"/>
    <w:rsid w:val="00885A81"/>
    <w:rsid w:val="0088607D"/>
    <w:rsid w:val="008861D2"/>
    <w:rsid w:val="0088634E"/>
    <w:rsid w:val="008869EC"/>
    <w:rsid w:val="00886A67"/>
    <w:rsid w:val="0088740F"/>
    <w:rsid w:val="00887491"/>
    <w:rsid w:val="008874C5"/>
    <w:rsid w:val="0088750F"/>
    <w:rsid w:val="0088794D"/>
    <w:rsid w:val="00887977"/>
    <w:rsid w:val="008879CB"/>
    <w:rsid w:val="00887D86"/>
    <w:rsid w:val="00890899"/>
    <w:rsid w:val="00890FAA"/>
    <w:rsid w:val="008910E7"/>
    <w:rsid w:val="008910EC"/>
    <w:rsid w:val="008914F3"/>
    <w:rsid w:val="008916B3"/>
    <w:rsid w:val="00891890"/>
    <w:rsid w:val="00891B0A"/>
    <w:rsid w:val="00891CE7"/>
    <w:rsid w:val="00891D2D"/>
    <w:rsid w:val="00891F6D"/>
    <w:rsid w:val="00891FE8"/>
    <w:rsid w:val="00892106"/>
    <w:rsid w:val="008922E3"/>
    <w:rsid w:val="008923D0"/>
    <w:rsid w:val="0089252E"/>
    <w:rsid w:val="00892913"/>
    <w:rsid w:val="008929EF"/>
    <w:rsid w:val="00892C58"/>
    <w:rsid w:val="008930C0"/>
    <w:rsid w:val="00893296"/>
    <w:rsid w:val="0089335B"/>
    <w:rsid w:val="008933CE"/>
    <w:rsid w:val="008937E3"/>
    <w:rsid w:val="0089423B"/>
    <w:rsid w:val="0089427A"/>
    <w:rsid w:val="00894456"/>
    <w:rsid w:val="00894FB1"/>
    <w:rsid w:val="0089539F"/>
    <w:rsid w:val="008953DD"/>
    <w:rsid w:val="00895737"/>
    <w:rsid w:val="00895B15"/>
    <w:rsid w:val="00895C46"/>
    <w:rsid w:val="0089622B"/>
    <w:rsid w:val="008962D2"/>
    <w:rsid w:val="00896628"/>
    <w:rsid w:val="00896761"/>
    <w:rsid w:val="00896777"/>
    <w:rsid w:val="00896C80"/>
    <w:rsid w:val="0089776B"/>
    <w:rsid w:val="00897984"/>
    <w:rsid w:val="00897A1B"/>
    <w:rsid w:val="00897B25"/>
    <w:rsid w:val="008A008B"/>
    <w:rsid w:val="008A010B"/>
    <w:rsid w:val="008A0376"/>
    <w:rsid w:val="008A047C"/>
    <w:rsid w:val="008A152E"/>
    <w:rsid w:val="008A1551"/>
    <w:rsid w:val="008A1618"/>
    <w:rsid w:val="008A2120"/>
    <w:rsid w:val="008A25C9"/>
    <w:rsid w:val="008A29E6"/>
    <w:rsid w:val="008A2B06"/>
    <w:rsid w:val="008A2C78"/>
    <w:rsid w:val="008A3116"/>
    <w:rsid w:val="008A38AE"/>
    <w:rsid w:val="008A3A80"/>
    <w:rsid w:val="008A3B50"/>
    <w:rsid w:val="008A3D75"/>
    <w:rsid w:val="008A3F4D"/>
    <w:rsid w:val="008A4BE1"/>
    <w:rsid w:val="008A4C9E"/>
    <w:rsid w:val="008A54D7"/>
    <w:rsid w:val="008A5F91"/>
    <w:rsid w:val="008A6003"/>
    <w:rsid w:val="008A6021"/>
    <w:rsid w:val="008A612D"/>
    <w:rsid w:val="008A621D"/>
    <w:rsid w:val="008A6BDF"/>
    <w:rsid w:val="008A6CAF"/>
    <w:rsid w:val="008A6DA9"/>
    <w:rsid w:val="008A70CF"/>
    <w:rsid w:val="008A7436"/>
    <w:rsid w:val="008A79F7"/>
    <w:rsid w:val="008A7DE2"/>
    <w:rsid w:val="008B019B"/>
    <w:rsid w:val="008B02C6"/>
    <w:rsid w:val="008B0599"/>
    <w:rsid w:val="008B06EF"/>
    <w:rsid w:val="008B073B"/>
    <w:rsid w:val="008B0746"/>
    <w:rsid w:val="008B0809"/>
    <w:rsid w:val="008B0A74"/>
    <w:rsid w:val="008B0D3B"/>
    <w:rsid w:val="008B0F1E"/>
    <w:rsid w:val="008B13AA"/>
    <w:rsid w:val="008B13D0"/>
    <w:rsid w:val="008B1427"/>
    <w:rsid w:val="008B1439"/>
    <w:rsid w:val="008B2335"/>
    <w:rsid w:val="008B2673"/>
    <w:rsid w:val="008B26C0"/>
    <w:rsid w:val="008B275A"/>
    <w:rsid w:val="008B27BD"/>
    <w:rsid w:val="008B2B7E"/>
    <w:rsid w:val="008B33CC"/>
    <w:rsid w:val="008B3FDE"/>
    <w:rsid w:val="008B4265"/>
    <w:rsid w:val="008B4813"/>
    <w:rsid w:val="008B543B"/>
    <w:rsid w:val="008B5617"/>
    <w:rsid w:val="008B5BB2"/>
    <w:rsid w:val="008B5F1E"/>
    <w:rsid w:val="008B5FF7"/>
    <w:rsid w:val="008B64DC"/>
    <w:rsid w:val="008B66FA"/>
    <w:rsid w:val="008B6B9E"/>
    <w:rsid w:val="008B6C03"/>
    <w:rsid w:val="008B7582"/>
    <w:rsid w:val="008B7A7C"/>
    <w:rsid w:val="008B7D49"/>
    <w:rsid w:val="008B7EEC"/>
    <w:rsid w:val="008B7F08"/>
    <w:rsid w:val="008B7FB0"/>
    <w:rsid w:val="008C062D"/>
    <w:rsid w:val="008C088A"/>
    <w:rsid w:val="008C11B3"/>
    <w:rsid w:val="008C1228"/>
    <w:rsid w:val="008C12F6"/>
    <w:rsid w:val="008C13D5"/>
    <w:rsid w:val="008C140B"/>
    <w:rsid w:val="008C16BB"/>
    <w:rsid w:val="008C20BD"/>
    <w:rsid w:val="008C2154"/>
    <w:rsid w:val="008C2230"/>
    <w:rsid w:val="008C23FE"/>
    <w:rsid w:val="008C2B43"/>
    <w:rsid w:val="008C3333"/>
    <w:rsid w:val="008C3393"/>
    <w:rsid w:val="008C3538"/>
    <w:rsid w:val="008C37FB"/>
    <w:rsid w:val="008C3968"/>
    <w:rsid w:val="008C3AB3"/>
    <w:rsid w:val="008C3DC6"/>
    <w:rsid w:val="008C3FC3"/>
    <w:rsid w:val="008C4323"/>
    <w:rsid w:val="008C46AA"/>
    <w:rsid w:val="008C4ED8"/>
    <w:rsid w:val="008C5219"/>
    <w:rsid w:val="008C5286"/>
    <w:rsid w:val="008C54A7"/>
    <w:rsid w:val="008C59C8"/>
    <w:rsid w:val="008C6243"/>
    <w:rsid w:val="008C628F"/>
    <w:rsid w:val="008C62DF"/>
    <w:rsid w:val="008C65A3"/>
    <w:rsid w:val="008C68B4"/>
    <w:rsid w:val="008C6A86"/>
    <w:rsid w:val="008C6E39"/>
    <w:rsid w:val="008C71F9"/>
    <w:rsid w:val="008C72F5"/>
    <w:rsid w:val="008C77AF"/>
    <w:rsid w:val="008C794B"/>
    <w:rsid w:val="008C79E7"/>
    <w:rsid w:val="008C7AA5"/>
    <w:rsid w:val="008C7CB9"/>
    <w:rsid w:val="008D0158"/>
    <w:rsid w:val="008D06FE"/>
    <w:rsid w:val="008D0725"/>
    <w:rsid w:val="008D076B"/>
    <w:rsid w:val="008D08BF"/>
    <w:rsid w:val="008D0A3B"/>
    <w:rsid w:val="008D0D35"/>
    <w:rsid w:val="008D0E98"/>
    <w:rsid w:val="008D0EEE"/>
    <w:rsid w:val="008D0FC2"/>
    <w:rsid w:val="008D1081"/>
    <w:rsid w:val="008D1265"/>
    <w:rsid w:val="008D1545"/>
    <w:rsid w:val="008D1555"/>
    <w:rsid w:val="008D1614"/>
    <w:rsid w:val="008D17E2"/>
    <w:rsid w:val="008D17E6"/>
    <w:rsid w:val="008D192E"/>
    <w:rsid w:val="008D1C64"/>
    <w:rsid w:val="008D1F29"/>
    <w:rsid w:val="008D205D"/>
    <w:rsid w:val="008D21BC"/>
    <w:rsid w:val="008D221D"/>
    <w:rsid w:val="008D2659"/>
    <w:rsid w:val="008D28B3"/>
    <w:rsid w:val="008D28BB"/>
    <w:rsid w:val="008D2938"/>
    <w:rsid w:val="008D2DD4"/>
    <w:rsid w:val="008D2FD4"/>
    <w:rsid w:val="008D32D6"/>
    <w:rsid w:val="008D3400"/>
    <w:rsid w:val="008D34FB"/>
    <w:rsid w:val="008D35FF"/>
    <w:rsid w:val="008D3668"/>
    <w:rsid w:val="008D46B8"/>
    <w:rsid w:val="008D4859"/>
    <w:rsid w:val="008D4F6C"/>
    <w:rsid w:val="008D5087"/>
    <w:rsid w:val="008D5534"/>
    <w:rsid w:val="008D5A3C"/>
    <w:rsid w:val="008D5E9E"/>
    <w:rsid w:val="008D6293"/>
    <w:rsid w:val="008D6364"/>
    <w:rsid w:val="008D6F5C"/>
    <w:rsid w:val="008D7045"/>
    <w:rsid w:val="008D79E2"/>
    <w:rsid w:val="008D7D05"/>
    <w:rsid w:val="008D7D9D"/>
    <w:rsid w:val="008E0122"/>
    <w:rsid w:val="008E01DD"/>
    <w:rsid w:val="008E0342"/>
    <w:rsid w:val="008E043A"/>
    <w:rsid w:val="008E045B"/>
    <w:rsid w:val="008E086A"/>
    <w:rsid w:val="008E0B34"/>
    <w:rsid w:val="008E0F09"/>
    <w:rsid w:val="008E1787"/>
    <w:rsid w:val="008E1C8F"/>
    <w:rsid w:val="008E1CED"/>
    <w:rsid w:val="008E1DF2"/>
    <w:rsid w:val="008E211F"/>
    <w:rsid w:val="008E2165"/>
    <w:rsid w:val="008E2206"/>
    <w:rsid w:val="008E2490"/>
    <w:rsid w:val="008E253D"/>
    <w:rsid w:val="008E267E"/>
    <w:rsid w:val="008E2965"/>
    <w:rsid w:val="008E317C"/>
    <w:rsid w:val="008E3240"/>
    <w:rsid w:val="008E3277"/>
    <w:rsid w:val="008E3544"/>
    <w:rsid w:val="008E3922"/>
    <w:rsid w:val="008E3A79"/>
    <w:rsid w:val="008E443B"/>
    <w:rsid w:val="008E4AED"/>
    <w:rsid w:val="008E4C4A"/>
    <w:rsid w:val="008E4E70"/>
    <w:rsid w:val="008E51FB"/>
    <w:rsid w:val="008E52D9"/>
    <w:rsid w:val="008E5369"/>
    <w:rsid w:val="008E5E95"/>
    <w:rsid w:val="008E60C2"/>
    <w:rsid w:val="008E60E1"/>
    <w:rsid w:val="008E61CF"/>
    <w:rsid w:val="008E61EA"/>
    <w:rsid w:val="008E6209"/>
    <w:rsid w:val="008E6307"/>
    <w:rsid w:val="008E63D9"/>
    <w:rsid w:val="008E63FF"/>
    <w:rsid w:val="008E68F2"/>
    <w:rsid w:val="008E69D1"/>
    <w:rsid w:val="008E6E43"/>
    <w:rsid w:val="008E6EBB"/>
    <w:rsid w:val="008E6F24"/>
    <w:rsid w:val="008E7478"/>
    <w:rsid w:val="008E77E8"/>
    <w:rsid w:val="008E78FF"/>
    <w:rsid w:val="008F0089"/>
    <w:rsid w:val="008F00EE"/>
    <w:rsid w:val="008F03F6"/>
    <w:rsid w:val="008F0639"/>
    <w:rsid w:val="008F0B62"/>
    <w:rsid w:val="008F0B7E"/>
    <w:rsid w:val="008F16CF"/>
    <w:rsid w:val="008F1831"/>
    <w:rsid w:val="008F18F8"/>
    <w:rsid w:val="008F191D"/>
    <w:rsid w:val="008F1D6E"/>
    <w:rsid w:val="008F1E2B"/>
    <w:rsid w:val="008F2009"/>
    <w:rsid w:val="008F215F"/>
    <w:rsid w:val="008F2451"/>
    <w:rsid w:val="008F2476"/>
    <w:rsid w:val="008F259C"/>
    <w:rsid w:val="008F26DD"/>
    <w:rsid w:val="008F2EA3"/>
    <w:rsid w:val="008F305E"/>
    <w:rsid w:val="008F3714"/>
    <w:rsid w:val="008F376B"/>
    <w:rsid w:val="008F39F1"/>
    <w:rsid w:val="008F3B20"/>
    <w:rsid w:val="008F3C89"/>
    <w:rsid w:val="008F409E"/>
    <w:rsid w:val="008F4361"/>
    <w:rsid w:val="008F448D"/>
    <w:rsid w:val="008F451F"/>
    <w:rsid w:val="008F4556"/>
    <w:rsid w:val="008F49A8"/>
    <w:rsid w:val="008F4A55"/>
    <w:rsid w:val="008F4D15"/>
    <w:rsid w:val="008F4FD2"/>
    <w:rsid w:val="008F50C5"/>
    <w:rsid w:val="008F5316"/>
    <w:rsid w:val="008F5435"/>
    <w:rsid w:val="008F551F"/>
    <w:rsid w:val="008F55F8"/>
    <w:rsid w:val="008F5706"/>
    <w:rsid w:val="008F5A24"/>
    <w:rsid w:val="008F5E47"/>
    <w:rsid w:val="008F5EF0"/>
    <w:rsid w:val="008F5F06"/>
    <w:rsid w:val="008F5FFA"/>
    <w:rsid w:val="008F610D"/>
    <w:rsid w:val="008F63C3"/>
    <w:rsid w:val="008F6685"/>
    <w:rsid w:val="008F6841"/>
    <w:rsid w:val="008F6880"/>
    <w:rsid w:val="008F6987"/>
    <w:rsid w:val="008F6A95"/>
    <w:rsid w:val="008F6CD7"/>
    <w:rsid w:val="008F6FF0"/>
    <w:rsid w:val="008F7271"/>
    <w:rsid w:val="008F7551"/>
    <w:rsid w:val="008F768C"/>
    <w:rsid w:val="008F76F3"/>
    <w:rsid w:val="008F779D"/>
    <w:rsid w:val="00900218"/>
    <w:rsid w:val="0090038F"/>
    <w:rsid w:val="00900395"/>
    <w:rsid w:val="00900661"/>
    <w:rsid w:val="00900908"/>
    <w:rsid w:val="0090098B"/>
    <w:rsid w:val="00900CE2"/>
    <w:rsid w:val="00900CF4"/>
    <w:rsid w:val="00900E4C"/>
    <w:rsid w:val="00900FD9"/>
    <w:rsid w:val="00900FE2"/>
    <w:rsid w:val="009010C7"/>
    <w:rsid w:val="0090120F"/>
    <w:rsid w:val="00901BF8"/>
    <w:rsid w:val="00902071"/>
    <w:rsid w:val="009023B5"/>
    <w:rsid w:val="00902889"/>
    <w:rsid w:val="00902F37"/>
    <w:rsid w:val="00902FC6"/>
    <w:rsid w:val="00903050"/>
    <w:rsid w:val="0090335B"/>
    <w:rsid w:val="00903448"/>
    <w:rsid w:val="0090374B"/>
    <w:rsid w:val="009039D3"/>
    <w:rsid w:val="00903B0D"/>
    <w:rsid w:val="00903E90"/>
    <w:rsid w:val="00903FE7"/>
    <w:rsid w:val="00904198"/>
    <w:rsid w:val="00904297"/>
    <w:rsid w:val="0090466B"/>
    <w:rsid w:val="00904C14"/>
    <w:rsid w:val="0090542C"/>
    <w:rsid w:val="00905699"/>
    <w:rsid w:val="00905759"/>
    <w:rsid w:val="00905835"/>
    <w:rsid w:val="00905881"/>
    <w:rsid w:val="00905CF8"/>
    <w:rsid w:val="00906688"/>
    <w:rsid w:val="0090682B"/>
    <w:rsid w:val="00906BFF"/>
    <w:rsid w:val="00906D81"/>
    <w:rsid w:val="00906D93"/>
    <w:rsid w:val="00906DBB"/>
    <w:rsid w:val="00907336"/>
    <w:rsid w:val="009079C7"/>
    <w:rsid w:val="00907A50"/>
    <w:rsid w:val="00907F68"/>
    <w:rsid w:val="009102D4"/>
    <w:rsid w:val="00910650"/>
    <w:rsid w:val="009107CA"/>
    <w:rsid w:val="00910C18"/>
    <w:rsid w:val="009112D5"/>
    <w:rsid w:val="009116A5"/>
    <w:rsid w:val="0091171C"/>
    <w:rsid w:val="009117C7"/>
    <w:rsid w:val="00911C39"/>
    <w:rsid w:val="00912024"/>
    <w:rsid w:val="00912271"/>
    <w:rsid w:val="009124A2"/>
    <w:rsid w:val="0091266D"/>
    <w:rsid w:val="00912834"/>
    <w:rsid w:val="00912A8E"/>
    <w:rsid w:val="00912BBA"/>
    <w:rsid w:val="00912F75"/>
    <w:rsid w:val="009131F2"/>
    <w:rsid w:val="00913282"/>
    <w:rsid w:val="00913407"/>
    <w:rsid w:val="00913714"/>
    <w:rsid w:val="00913B09"/>
    <w:rsid w:val="00913B41"/>
    <w:rsid w:val="00913BF1"/>
    <w:rsid w:val="00913C5D"/>
    <w:rsid w:val="009141ED"/>
    <w:rsid w:val="009143ED"/>
    <w:rsid w:val="00914498"/>
    <w:rsid w:val="009145D9"/>
    <w:rsid w:val="00914604"/>
    <w:rsid w:val="00914EBB"/>
    <w:rsid w:val="00915008"/>
    <w:rsid w:val="0091514C"/>
    <w:rsid w:val="00915314"/>
    <w:rsid w:val="0091586B"/>
    <w:rsid w:val="00915A70"/>
    <w:rsid w:val="00915ABF"/>
    <w:rsid w:val="00915D46"/>
    <w:rsid w:val="00915F02"/>
    <w:rsid w:val="0091609B"/>
    <w:rsid w:val="009162AE"/>
    <w:rsid w:val="009165DE"/>
    <w:rsid w:val="0091666D"/>
    <w:rsid w:val="009168B2"/>
    <w:rsid w:val="00916A30"/>
    <w:rsid w:val="00916A55"/>
    <w:rsid w:val="00916DB2"/>
    <w:rsid w:val="0091708D"/>
    <w:rsid w:val="009171EC"/>
    <w:rsid w:val="00917352"/>
    <w:rsid w:val="00917540"/>
    <w:rsid w:val="00917AB9"/>
    <w:rsid w:val="00917BDB"/>
    <w:rsid w:val="00917C65"/>
    <w:rsid w:val="00917CC1"/>
    <w:rsid w:val="00917FE1"/>
    <w:rsid w:val="0092005A"/>
    <w:rsid w:val="009202B2"/>
    <w:rsid w:val="00920519"/>
    <w:rsid w:val="00920B9C"/>
    <w:rsid w:val="00920D8F"/>
    <w:rsid w:val="00920DA4"/>
    <w:rsid w:val="00920E2A"/>
    <w:rsid w:val="00920E6F"/>
    <w:rsid w:val="00920EA8"/>
    <w:rsid w:val="00921254"/>
    <w:rsid w:val="00921496"/>
    <w:rsid w:val="00921604"/>
    <w:rsid w:val="009217EA"/>
    <w:rsid w:val="00921F06"/>
    <w:rsid w:val="00922081"/>
    <w:rsid w:val="009222D8"/>
    <w:rsid w:val="00922646"/>
    <w:rsid w:val="0092264B"/>
    <w:rsid w:val="009226BC"/>
    <w:rsid w:val="00922ADE"/>
    <w:rsid w:val="00922B05"/>
    <w:rsid w:val="00922C86"/>
    <w:rsid w:val="009230DA"/>
    <w:rsid w:val="009231BD"/>
    <w:rsid w:val="00923816"/>
    <w:rsid w:val="00923959"/>
    <w:rsid w:val="00923C49"/>
    <w:rsid w:val="00923F03"/>
    <w:rsid w:val="00924346"/>
    <w:rsid w:val="00924689"/>
    <w:rsid w:val="0092468D"/>
    <w:rsid w:val="00924698"/>
    <w:rsid w:val="00924A18"/>
    <w:rsid w:val="00924CC2"/>
    <w:rsid w:val="00924D69"/>
    <w:rsid w:val="00924D6F"/>
    <w:rsid w:val="00924F66"/>
    <w:rsid w:val="009250F3"/>
    <w:rsid w:val="00925209"/>
    <w:rsid w:val="009259D7"/>
    <w:rsid w:val="00925C53"/>
    <w:rsid w:val="00925D90"/>
    <w:rsid w:val="00925DAE"/>
    <w:rsid w:val="0092609D"/>
    <w:rsid w:val="009265F1"/>
    <w:rsid w:val="009266B8"/>
    <w:rsid w:val="00926B80"/>
    <w:rsid w:val="00926B99"/>
    <w:rsid w:val="00926E99"/>
    <w:rsid w:val="00927488"/>
    <w:rsid w:val="00927F7B"/>
    <w:rsid w:val="00930113"/>
    <w:rsid w:val="009303C7"/>
    <w:rsid w:val="009306ED"/>
    <w:rsid w:val="009307E7"/>
    <w:rsid w:val="00930A47"/>
    <w:rsid w:val="00930CC1"/>
    <w:rsid w:val="00930CC8"/>
    <w:rsid w:val="00930EED"/>
    <w:rsid w:val="00930FC5"/>
    <w:rsid w:val="00930FFB"/>
    <w:rsid w:val="009315A1"/>
    <w:rsid w:val="009316E2"/>
    <w:rsid w:val="009317FF"/>
    <w:rsid w:val="009318F4"/>
    <w:rsid w:val="00932117"/>
    <w:rsid w:val="0093212D"/>
    <w:rsid w:val="00932276"/>
    <w:rsid w:val="009323FA"/>
    <w:rsid w:val="00932936"/>
    <w:rsid w:val="00932B5E"/>
    <w:rsid w:val="00932B6E"/>
    <w:rsid w:val="00932B83"/>
    <w:rsid w:val="00932DB4"/>
    <w:rsid w:val="0093316E"/>
    <w:rsid w:val="009333F5"/>
    <w:rsid w:val="00933548"/>
    <w:rsid w:val="00933BBE"/>
    <w:rsid w:val="00934587"/>
    <w:rsid w:val="009346D6"/>
    <w:rsid w:val="0093472E"/>
    <w:rsid w:val="009347D2"/>
    <w:rsid w:val="009348F4"/>
    <w:rsid w:val="00934FA2"/>
    <w:rsid w:val="00935141"/>
    <w:rsid w:val="00935443"/>
    <w:rsid w:val="00935473"/>
    <w:rsid w:val="0093557F"/>
    <w:rsid w:val="009356BC"/>
    <w:rsid w:val="009356CE"/>
    <w:rsid w:val="00935837"/>
    <w:rsid w:val="00935C69"/>
    <w:rsid w:val="00935D90"/>
    <w:rsid w:val="00935D94"/>
    <w:rsid w:val="00936167"/>
    <w:rsid w:val="00936296"/>
    <w:rsid w:val="0093659B"/>
    <w:rsid w:val="00936814"/>
    <w:rsid w:val="00936869"/>
    <w:rsid w:val="009368BE"/>
    <w:rsid w:val="00936933"/>
    <w:rsid w:val="00936B31"/>
    <w:rsid w:val="00936C37"/>
    <w:rsid w:val="009372B2"/>
    <w:rsid w:val="00937304"/>
    <w:rsid w:val="00937325"/>
    <w:rsid w:val="00937352"/>
    <w:rsid w:val="00937391"/>
    <w:rsid w:val="00937413"/>
    <w:rsid w:val="00937827"/>
    <w:rsid w:val="00937E25"/>
    <w:rsid w:val="009400C5"/>
    <w:rsid w:val="00940136"/>
    <w:rsid w:val="0094026D"/>
    <w:rsid w:val="0094041A"/>
    <w:rsid w:val="00940623"/>
    <w:rsid w:val="00940C1A"/>
    <w:rsid w:val="00940C35"/>
    <w:rsid w:val="00940E4F"/>
    <w:rsid w:val="00940EFC"/>
    <w:rsid w:val="00941009"/>
    <w:rsid w:val="009412CC"/>
    <w:rsid w:val="009412FD"/>
    <w:rsid w:val="009418FA"/>
    <w:rsid w:val="009419BD"/>
    <w:rsid w:val="00941DC2"/>
    <w:rsid w:val="00941F96"/>
    <w:rsid w:val="00941FE4"/>
    <w:rsid w:val="00942402"/>
    <w:rsid w:val="009424FB"/>
    <w:rsid w:val="00942770"/>
    <w:rsid w:val="00942776"/>
    <w:rsid w:val="00942E0A"/>
    <w:rsid w:val="00942EF8"/>
    <w:rsid w:val="00942F81"/>
    <w:rsid w:val="0094308F"/>
    <w:rsid w:val="009432AD"/>
    <w:rsid w:val="00943E3B"/>
    <w:rsid w:val="00943EA6"/>
    <w:rsid w:val="00943EE1"/>
    <w:rsid w:val="00944032"/>
    <w:rsid w:val="009441FF"/>
    <w:rsid w:val="00944443"/>
    <w:rsid w:val="0094455F"/>
    <w:rsid w:val="00944E98"/>
    <w:rsid w:val="00944F59"/>
    <w:rsid w:val="00945049"/>
    <w:rsid w:val="009451B9"/>
    <w:rsid w:val="00945207"/>
    <w:rsid w:val="009452C7"/>
    <w:rsid w:val="009455F6"/>
    <w:rsid w:val="00945764"/>
    <w:rsid w:val="009457F6"/>
    <w:rsid w:val="00945939"/>
    <w:rsid w:val="00945D2C"/>
    <w:rsid w:val="00945F6B"/>
    <w:rsid w:val="0094607D"/>
    <w:rsid w:val="00946177"/>
    <w:rsid w:val="00946375"/>
    <w:rsid w:val="00946401"/>
    <w:rsid w:val="00946766"/>
    <w:rsid w:val="00946908"/>
    <w:rsid w:val="00946B18"/>
    <w:rsid w:val="00946CA1"/>
    <w:rsid w:val="00946F5C"/>
    <w:rsid w:val="00947A26"/>
    <w:rsid w:val="00947B36"/>
    <w:rsid w:val="00947B8D"/>
    <w:rsid w:val="00947C0B"/>
    <w:rsid w:val="00947E52"/>
    <w:rsid w:val="009500B3"/>
    <w:rsid w:val="00950332"/>
    <w:rsid w:val="0095042F"/>
    <w:rsid w:val="0095043F"/>
    <w:rsid w:val="0095058E"/>
    <w:rsid w:val="00950670"/>
    <w:rsid w:val="00950912"/>
    <w:rsid w:val="00950F22"/>
    <w:rsid w:val="00950F97"/>
    <w:rsid w:val="0095115D"/>
    <w:rsid w:val="009515C9"/>
    <w:rsid w:val="009517A0"/>
    <w:rsid w:val="00951A6C"/>
    <w:rsid w:val="00951B25"/>
    <w:rsid w:val="00951B68"/>
    <w:rsid w:val="00951EEE"/>
    <w:rsid w:val="0095201C"/>
    <w:rsid w:val="00952216"/>
    <w:rsid w:val="0095228D"/>
    <w:rsid w:val="00952598"/>
    <w:rsid w:val="009529B0"/>
    <w:rsid w:val="00952A3D"/>
    <w:rsid w:val="00952DBE"/>
    <w:rsid w:val="00952F29"/>
    <w:rsid w:val="00953717"/>
    <w:rsid w:val="009537B2"/>
    <w:rsid w:val="009538FA"/>
    <w:rsid w:val="00953BA6"/>
    <w:rsid w:val="009541AE"/>
    <w:rsid w:val="0095421B"/>
    <w:rsid w:val="00954221"/>
    <w:rsid w:val="0095444B"/>
    <w:rsid w:val="009544EB"/>
    <w:rsid w:val="00954AC3"/>
    <w:rsid w:val="00954AC7"/>
    <w:rsid w:val="009550C9"/>
    <w:rsid w:val="00955899"/>
    <w:rsid w:val="00955C8E"/>
    <w:rsid w:val="00955D6D"/>
    <w:rsid w:val="00955DA0"/>
    <w:rsid w:val="009561BD"/>
    <w:rsid w:val="00956240"/>
    <w:rsid w:val="009564EA"/>
    <w:rsid w:val="0095683E"/>
    <w:rsid w:val="00956A65"/>
    <w:rsid w:val="00956AB4"/>
    <w:rsid w:val="00956EF6"/>
    <w:rsid w:val="0095706E"/>
    <w:rsid w:val="009570D9"/>
    <w:rsid w:val="00957132"/>
    <w:rsid w:val="00957221"/>
    <w:rsid w:val="0095735B"/>
    <w:rsid w:val="0095745A"/>
    <w:rsid w:val="00957723"/>
    <w:rsid w:val="00957AA3"/>
    <w:rsid w:val="00960162"/>
    <w:rsid w:val="009601FD"/>
    <w:rsid w:val="0096052A"/>
    <w:rsid w:val="00960564"/>
    <w:rsid w:val="00960800"/>
    <w:rsid w:val="00960CB6"/>
    <w:rsid w:val="00960E9A"/>
    <w:rsid w:val="00961383"/>
    <w:rsid w:val="00961603"/>
    <w:rsid w:val="009616C7"/>
    <w:rsid w:val="0096171A"/>
    <w:rsid w:val="0096203B"/>
    <w:rsid w:val="009622C4"/>
    <w:rsid w:val="0096249C"/>
    <w:rsid w:val="00962671"/>
    <w:rsid w:val="00962B89"/>
    <w:rsid w:val="00962C1A"/>
    <w:rsid w:val="00962E1E"/>
    <w:rsid w:val="009631DD"/>
    <w:rsid w:val="00963ADE"/>
    <w:rsid w:val="00963EDF"/>
    <w:rsid w:val="00964511"/>
    <w:rsid w:val="0096462C"/>
    <w:rsid w:val="00964657"/>
    <w:rsid w:val="00964663"/>
    <w:rsid w:val="0096466E"/>
    <w:rsid w:val="00964720"/>
    <w:rsid w:val="00964871"/>
    <w:rsid w:val="00964A1E"/>
    <w:rsid w:val="00964C68"/>
    <w:rsid w:val="00964DE4"/>
    <w:rsid w:val="00965253"/>
    <w:rsid w:val="0096575B"/>
    <w:rsid w:val="00965BC0"/>
    <w:rsid w:val="00965E52"/>
    <w:rsid w:val="00965F6E"/>
    <w:rsid w:val="009662AC"/>
    <w:rsid w:val="00966674"/>
    <w:rsid w:val="0096677B"/>
    <w:rsid w:val="0096695B"/>
    <w:rsid w:val="00966A2B"/>
    <w:rsid w:val="00966A5E"/>
    <w:rsid w:val="00966A72"/>
    <w:rsid w:val="00966AEE"/>
    <w:rsid w:val="00966C55"/>
    <w:rsid w:val="00966CED"/>
    <w:rsid w:val="00966DA9"/>
    <w:rsid w:val="00966EDA"/>
    <w:rsid w:val="00967104"/>
    <w:rsid w:val="009673FB"/>
    <w:rsid w:val="00967589"/>
    <w:rsid w:val="009675CB"/>
    <w:rsid w:val="0096770E"/>
    <w:rsid w:val="009679D7"/>
    <w:rsid w:val="0097008B"/>
    <w:rsid w:val="00970443"/>
    <w:rsid w:val="00970B0B"/>
    <w:rsid w:val="00970C4A"/>
    <w:rsid w:val="00970D19"/>
    <w:rsid w:val="00970DC2"/>
    <w:rsid w:val="0097107C"/>
    <w:rsid w:val="00971733"/>
    <w:rsid w:val="009718A8"/>
    <w:rsid w:val="00971A64"/>
    <w:rsid w:val="00971A98"/>
    <w:rsid w:val="00971B56"/>
    <w:rsid w:val="00971CA9"/>
    <w:rsid w:val="00971CEB"/>
    <w:rsid w:val="00971CF0"/>
    <w:rsid w:val="00971DAA"/>
    <w:rsid w:val="00971E3C"/>
    <w:rsid w:val="00971FA3"/>
    <w:rsid w:val="0097206F"/>
    <w:rsid w:val="009722DD"/>
    <w:rsid w:val="009725ED"/>
    <w:rsid w:val="009727C2"/>
    <w:rsid w:val="0097298C"/>
    <w:rsid w:val="00972B48"/>
    <w:rsid w:val="00972BF7"/>
    <w:rsid w:val="00972D63"/>
    <w:rsid w:val="00972DFC"/>
    <w:rsid w:val="0097307A"/>
    <w:rsid w:val="0097325F"/>
    <w:rsid w:val="009732A4"/>
    <w:rsid w:val="0097334C"/>
    <w:rsid w:val="00973383"/>
    <w:rsid w:val="009737DE"/>
    <w:rsid w:val="00973A1B"/>
    <w:rsid w:val="00973C5D"/>
    <w:rsid w:val="00973CBF"/>
    <w:rsid w:val="00973F95"/>
    <w:rsid w:val="0097465E"/>
    <w:rsid w:val="00974D01"/>
    <w:rsid w:val="00974D2F"/>
    <w:rsid w:val="00974D34"/>
    <w:rsid w:val="00974D62"/>
    <w:rsid w:val="00974E06"/>
    <w:rsid w:val="00975362"/>
    <w:rsid w:val="009754C7"/>
    <w:rsid w:val="00975617"/>
    <w:rsid w:val="0097561E"/>
    <w:rsid w:val="009756D6"/>
    <w:rsid w:val="0097570A"/>
    <w:rsid w:val="00975853"/>
    <w:rsid w:val="009758ED"/>
    <w:rsid w:val="00975C21"/>
    <w:rsid w:val="00975CEC"/>
    <w:rsid w:val="00975D6A"/>
    <w:rsid w:val="00976232"/>
    <w:rsid w:val="009762DD"/>
    <w:rsid w:val="009765C0"/>
    <w:rsid w:val="00976797"/>
    <w:rsid w:val="00976DEF"/>
    <w:rsid w:val="00976F10"/>
    <w:rsid w:val="0097797C"/>
    <w:rsid w:val="0097798B"/>
    <w:rsid w:val="00980609"/>
    <w:rsid w:val="00980957"/>
    <w:rsid w:val="00981265"/>
    <w:rsid w:val="00981353"/>
    <w:rsid w:val="009816BD"/>
    <w:rsid w:val="009816DD"/>
    <w:rsid w:val="009818CB"/>
    <w:rsid w:val="0098201F"/>
    <w:rsid w:val="0098217E"/>
    <w:rsid w:val="00982287"/>
    <w:rsid w:val="00982548"/>
    <w:rsid w:val="009825DB"/>
    <w:rsid w:val="00982857"/>
    <w:rsid w:val="009829A9"/>
    <w:rsid w:val="00982E1A"/>
    <w:rsid w:val="00982F72"/>
    <w:rsid w:val="009837F3"/>
    <w:rsid w:val="00983D28"/>
    <w:rsid w:val="00983D47"/>
    <w:rsid w:val="00983DBE"/>
    <w:rsid w:val="00983E66"/>
    <w:rsid w:val="00983FC3"/>
    <w:rsid w:val="00984045"/>
    <w:rsid w:val="009843B9"/>
    <w:rsid w:val="009843D4"/>
    <w:rsid w:val="00984541"/>
    <w:rsid w:val="009846CC"/>
    <w:rsid w:val="00984C17"/>
    <w:rsid w:val="00984CB3"/>
    <w:rsid w:val="00985063"/>
    <w:rsid w:val="00985AC6"/>
    <w:rsid w:val="00985D53"/>
    <w:rsid w:val="009860DB"/>
    <w:rsid w:val="00986174"/>
    <w:rsid w:val="00986614"/>
    <w:rsid w:val="00986678"/>
    <w:rsid w:val="009866F6"/>
    <w:rsid w:val="00986E3C"/>
    <w:rsid w:val="00986E81"/>
    <w:rsid w:val="009875A0"/>
    <w:rsid w:val="009875BC"/>
    <w:rsid w:val="00987775"/>
    <w:rsid w:val="00987A62"/>
    <w:rsid w:val="00987EC9"/>
    <w:rsid w:val="0099011A"/>
    <w:rsid w:val="00990223"/>
    <w:rsid w:val="00990445"/>
    <w:rsid w:val="009904F4"/>
    <w:rsid w:val="00990510"/>
    <w:rsid w:val="009906D9"/>
    <w:rsid w:val="00990C3F"/>
    <w:rsid w:val="00990D1B"/>
    <w:rsid w:val="009915C3"/>
    <w:rsid w:val="00991751"/>
    <w:rsid w:val="0099181C"/>
    <w:rsid w:val="009920BA"/>
    <w:rsid w:val="00992265"/>
    <w:rsid w:val="00992330"/>
    <w:rsid w:val="00992453"/>
    <w:rsid w:val="00992629"/>
    <w:rsid w:val="00992FD0"/>
    <w:rsid w:val="00993513"/>
    <w:rsid w:val="0099357C"/>
    <w:rsid w:val="00993709"/>
    <w:rsid w:val="009939FC"/>
    <w:rsid w:val="00993A16"/>
    <w:rsid w:val="00993BA3"/>
    <w:rsid w:val="00994400"/>
    <w:rsid w:val="00994606"/>
    <w:rsid w:val="00994857"/>
    <w:rsid w:val="009949C6"/>
    <w:rsid w:val="00994B29"/>
    <w:rsid w:val="00995195"/>
    <w:rsid w:val="009952A2"/>
    <w:rsid w:val="0099542F"/>
    <w:rsid w:val="00995437"/>
    <w:rsid w:val="00995684"/>
    <w:rsid w:val="009959FC"/>
    <w:rsid w:val="00995E29"/>
    <w:rsid w:val="00995FE2"/>
    <w:rsid w:val="009960CA"/>
    <w:rsid w:val="00996B9A"/>
    <w:rsid w:val="00996BF9"/>
    <w:rsid w:val="00997212"/>
    <w:rsid w:val="0099735E"/>
    <w:rsid w:val="00997761"/>
    <w:rsid w:val="009978A1"/>
    <w:rsid w:val="00997BAA"/>
    <w:rsid w:val="00997F41"/>
    <w:rsid w:val="009A0141"/>
    <w:rsid w:val="009A02B4"/>
    <w:rsid w:val="009A04A0"/>
    <w:rsid w:val="009A0517"/>
    <w:rsid w:val="009A0594"/>
    <w:rsid w:val="009A083E"/>
    <w:rsid w:val="009A0891"/>
    <w:rsid w:val="009A0B9C"/>
    <w:rsid w:val="009A0BBA"/>
    <w:rsid w:val="009A105D"/>
    <w:rsid w:val="009A11D2"/>
    <w:rsid w:val="009A13A8"/>
    <w:rsid w:val="009A1689"/>
    <w:rsid w:val="009A1707"/>
    <w:rsid w:val="009A173D"/>
    <w:rsid w:val="009A1A56"/>
    <w:rsid w:val="009A1B88"/>
    <w:rsid w:val="009A1FE8"/>
    <w:rsid w:val="009A23DF"/>
    <w:rsid w:val="009A248C"/>
    <w:rsid w:val="009A24B0"/>
    <w:rsid w:val="009A271F"/>
    <w:rsid w:val="009A284F"/>
    <w:rsid w:val="009A29AC"/>
    <w:rsid w:val="009A2A11"/>
    <w:rsid w:val="009A2B4D"/>
    <w:rsid w:val="009A2CF8"/>
    <w:rsid w:val="009A2E88"/>
    <w:rsid w:val="009A2FCD"/>
    <w:rsid w:val="009A311A"/>
    <w:rsid w:val="009A314B"/>
    <w:rsid w:val="009A3287"/>
    <w:rsid w:val="009A33D8"/>
    <w:rsid w:val="009A3AA1"/>
    <w:rsid w:val="009A3BC8"/>
    <w:rsid w:val="009A3C46"/>
    <w:rsid w:val="009A3DE3"/>
    <w:rsid w:val="009A402E"/>
    <w:rsid w:val="009A412D"/>
    <w:rsid w:val="009A4257"/>
    <w:rsid w:val="009A445D"/>
    <w:rsid w:val="009A4874"/>
    <w:rsid w:val="009A48BB"/>
    <w:rsid w:val="009A4DD8"/>
    <w:rsid w:val="009A5101"/>
    <w:rsid w:val="009A52A1"/>
    <w:rsid w:val="009A5313"/>
    <w:rsid w:val="009A5600"/>
    <w:rsid w:val="009A5763"/>
    <w:rsid w:val="009A6536"/>
    <w:rsid w:val="009A664D"/>
    <w:rsid w:val="009A689E"/>
    <w:rsid w:val="009A6BAE"/>
    <w:rsid w:val="009A6CC1"/>
    <w:rsid w:val="009A7002"/>
    <w:rsid w:val="009A7032"/>
    <w:rsid w:val="009A713D"/>
    <w:rsid w:val="009A7225"/>
    <w:rsid w:val="009A746F"/>
    <w:rsid w:val="009A756E"/>
    <w:rsid w:val="009A7705"/>
    <w:rsid w:val="009A7A99"/>
    <w:rsid w:val="009B00B6"/>
    <w:rsid w:val="009B031E"/>
    <w:rsid w:val="009B04C6"/>
    <w:rsid w:val="009B056B"/>
    <w:rsid w:val="009B08F7"/>
    <w:rsid w:val="009B0BCD"/>
    <w:rsid w:val="009B0E0B"/>
    <w:rsid w:val="009B0E15"/>
    <w:rsid w:val="009B10DD"/>
    <w:rsid w:val="009B1179"/>
    <w:rsid w:val="009B12E1"/>
    <w:rsid w:val="009B15A3"/>
    <w:rsid w:val="009B1B6B"/>
    <w:rsid w:val="009B25B0"/>
    <w:rsid w:val="009B27FB"/>
    <w:rsid w:val="009B2A30"/>
    <w:rsid w:val="009B2FDC"/>
    <w:rsid w:val="009B31A2"/>
    <w:rsid w:val="009B31D9"/>
    <w:rsid w:val="009B3307"/>
    <w:rsid w:val="009B34B0"/>
    <w:rsid w:val="009B357C"/>
    <w:rsid w:val="009B3624"/>
    <w:rsid w:val="009B3696"/>
    <w:rsid w:val="009B3793"/>
    <w:rsid w:val="009B37EE"/>
    <w:rsid w:val="009B37FD"/>
    <w:rsid w:val="009B38DB"/>
    <w:rsid w:val="009B3AF4"/>
    <w:rsid w:val="009B3DC5"/>
    <w:rsid w:val="009B435B"/>
    <w:rsid w:val="009B4CA6"/>
    <w:rsid w:val="009B4D3F"/>
    <w:rsid w:val="009B4F01"/>
    <w:rsid w:val="009B4F34"/>
    <w:rsid w:val="009B50AE"/>
    <w:rsid w:val="009B50BA"/>
    <w:rsid w:val="009B57B4"/>
    <w:rsid w:val="009B5B17"/>
    <w:rsid w:val="009B5BBE"/>
    <w:rsid w:val="009B5C58"/>
    <w:rsid w:val="009B5DB9"/>
    <w:rsid w:val="009B5E31"/>
    <w:rsid w:val="009B6229"/>
    <w:rsid w:val="009B66BC"/>
    <w:rsid w:val="009B6830"/>
    <w:rsid w:val="009B6982"/>
    <w:rsid w:val="009B6B38"/>
    <w:rsid w:val="009B6C36"/>
    <w:rsid w:val="009B72AB"/>
    <w:rsid w:val="009B7588"/>
    <w:rsid w:val="009B75D7"/>
    <w:rsid w:val="009B7636"/>
    <w:rsid w:val="009B7661"/>
    <w:rsid w:val="009B7938"/>
    <w:rsid w:val="009B7B20"/>
    <w:rsid w:val="009B7B49"/>
    <w:rsid w:val="009B7C57"/>
    <w:rsid w:val="009B7F83"/>
    <w:rsid w:val="009C01DC"/>
    <w:rsid w:val="009C045D"/>
    <w:rsid w:val="009C056A"/>
    <w:rsid w:val="009C07DF"/>
    <w:rsid w:val="009C0909"/>
    <w:rsid w:val="009C0AFC"/>
    <w:rsid w:val="009C0CEE"/>
    <w:rsid w:val="009C0D6E"/>
    <w:rsid w:val="009C0E28"/>
    <w:rsid w:val="009C122A"/>
    <w:rsid w:val="009C12EB"/>
    <w:rsid w:val="009C1364"/>
    <w:rsid w:val="009C1593"/>
    <w:rsid w:val="009C1A4A"/>
    <w:rsid w:val="009C1D60"/>
    <w:rsid w:val="009C246C"/>
    <w:rsid w:val="009C2A2E"/>
    <w:rsid w:val="009C2D1E"/>
    <w:rsid w:val="009C2EB9"/>
    <w:rsid w:val="009C30BF"/>
    <w:rsid w:val="009C3557"/>
    <w:rsid w:val="009C3AD8"/>
    <w:rsid w:val="009C3C65"/>
    <w:rsid w:val="009C3D3E"/>
    <w:rsid w:val="009C401D"/>
    <w:rsid w:val="009C42BE"/>
    <w:rsid w:val="009C47D1"/>
    <w:rsid w:val="009C4B11"/>
    <w:rsid w:val="009C4B14"/>
    <w:rsid w:val="009C4D3C"/>
    <w:rsid w:val="009C5392"/>
    <w:rsid w:val="009C55AF"/>
    <w:rsid w:val="009C5687"/>
    <w:rsid w:val="009C572F"/>
    <w:rsid w:val="009C5939"/>
    <w:rsid w:val="009C5969"/>
    <w:rsid w:val="009C5B20"/>
    <w:rsid w:val="009C5EF4"/>
    <w:rsid w:val="009C639A"/>
    <w:rsid w:val="009C667B"/>
    <w:rsid w:val="009C68F8"/>
    <w:rsid w:val="009C6A3A"/>
    <w:rsid w:val="009C6DB3"/>
    <w:rsid w:val="009C6F0D"/>
    <w:rsid w:val="009C7286"/>
    <w:rsid w:val="009C73F6"/>
    <w:rsid w:val="009C744E"/>
    <w:rsid w:val="009C75FB"/>
    <w:rsid w:val="009C75FF"/>
    <w:rsid w:val="009C76D4"/>
    <w:rsid w:val="009C7AF6"/>
    <w:rsid w:val="009C7B45"/>
    <w:rsid w:val="009C7CB4"/>
    <w:rsid w:val="009C7D7D"/>
    <w:rsid w:val="009C7EA8"/>
    <w:rsid w:val="009C7F15"/>
    <w:rsid w:val="009D0175"/>
    <w:rsid w:val="009D044B"/>
    <w:rsid w:val="009D0482"/>
    <w:rsid w:val="009D0701"/>
    <w:rsid w:val="009D0931"/>
    <w:rsid w:val="009D0C07"/>
    <w:rsid w:val="009D0DEA"/>
    <w:rsid w:val="009D1072"/>
    <w:rsid w:val="009D1462"/>
    <w:rsid w:val="009D188B"/>
    <w:rsid w:val="009D1A32"/>
    <w:rsid w:val="009D1C6C"/>
    <w:rsid w:val="009D1CD2"/>
    <w:rsid w:val="009D2074"/>
    <w:rsid w:val="009D2293"/>
    <w:rsid w:val="009D24C7"/>
    <w:rsid w:val="009D25FE"/>
    <w:rsid w:val="009D2933"/>
    <w:rsid w:val="009D30F4"/>
    <w:rsid w:val="009D312C"/>
    <w:rsid w:val="009D336C"/>
    <w:rsid w:val="009D3E66"/>
    <w:rsid w:val="009D3E95"/>
    <w:rsid w:val="009D41B8"/>
    <w:rsid w:val="009D43CA"/>
    <w:rsid w:val="009D45E9"/>
    <w:rsid w:val="009D4880"/>
    <w:rsid w:val="009D4946"/>
    <w:rsid w:val="009D4947"/>
    <w:rsid w:val="009D4E8B"/>
    <w:rsid w:val="009D511C"/>
    <w:rsid w:val="009D558A"/>
    <w:rsid w:val="009D59A7"/>
    <w:rsid w:val="009D5CD3"/>
    <w:rsid w:val="009D5F05"/>
    <w:rsid w:val="009D60A5"/>
    <w:rsid w:val="009D618E"/>
    <w:rsid w:val="009D6322"/>
    <w:rsid w:val="009D6482"/>
    <w:rsid w:val="009D6CD7"/>
    <w:rsid w:val="009D6D87"/>
    <w:rsid w:val="009D6E2C"/>
    <w:rsid w:val="009D6F64"/>
    <w:rsid w:val="009D70DE"/>
    <w:rsid w:val="009D712A"/>
    <w:rsid w:val="009D717B"/>
    <w:rsid w:val="009D740F"/>
    <w:rsid w:val="009D75BC"/>
    <w:rsid w:val="009D7641"/>
    <w:rsid w:val="009D7944"/>
    <w:rsid w:val="009D7D23"/>
    <w:rsid w:val="009E0547"/>
    <w:rsid w:val="009E05BA"/>
    <w:rsid w:val="009E0CE3"/>
    <w:rsid w:val="009E0F91"/>
    <w:rsid w:val="009E156D"/>
    <w:rsid w:val="009E15F7"/>
    <w:rsid w:val="009E16F9"/>
    <w:rsid w:val="009E1777"/>
    <w:rsid w:val="009E1AE8"/>
    <w:rsid w:val="009E1B64"/>
    <w:rsid w:val="009E1DFC"/>
    <w:rsid w:val="009E221D"/>
    <w:rsid w:val="009E24DE"/>
    <w:rsid w:val="009E24E8"/>
    <w:rsid w:val="009E255D"/>
    <w:rsid w:val="009E25EB"/>
    <w:rsid w:val="009E262B"/>
    <w:rsid w:val="009E262E"/>
    <w:rsid w:val="009E270C"/>
    <w:rsid w:val="009E2A21"/>
    <w:rsid w:val="009E2DAB"/>
    <w:rsid w:val="009E2F96"/>
    <w:rsid w:val="009E31A9"/>
    <w:rsid w:val="009E32D0"/>
    <w:rsid w:val="009E34AC"/>
    <w:rsid w:val="009E35F7"/>
    <w:rsid w:val="009E38A6"/>
    <w:rsid w:val="009E4349"/>
    <w:rsid w:val="009E48A6"/>
    <w:rsid w:val="009E48ED"/>
    <w:rsid w:val="009E4997"/>
    <w:rsid w:val="009E4AF8"/>
    <w:rsid w:val="009E4B0D"/>
    <w:rsid w:val="009E4B9D"/>
    <w:rsid w:val="009E4DA2"/>
    <w:rsid w:val="009E4EA2"/>
    <w:rsid w:val="009E4F71"/>
    <w:rsid w:val="009E5130"/>
    <w:rsid w:val="009E5516"/>
    <w:rsid w:val="009E55C2"/>
    <w:rsid w:val="009E579A"/>
    <w:rsid w:val="009E57F3"/>
    <w:rsid w:val="009E60E3"/>
    <w:rsid w:val="009E66CE"/>
    <w:rsid w:val="009E67EB"/>
    <w:rsid w:val="009E68C3"/>
    <w:rsid w:val="009E6C0E"/>
    <w:rsid w:val="009E6CC7"/>
    <w:rsid w:val="009E6E1E"/>
    <w:rsid w:val="009E7107"/>
    <w:rsid w:val="009E71B8"/>
    <w:rsid w:val="009E728C"/>
    <w:rsid w:val="009E7487"/>
    <w:rsid w:val="009E7553"/>
    <w:rsid w:val="009E75AA"/>
    <w:rsid w:val="009E764D"/>
    <w:rsid w:val="009E76CD"/>
    <w:rsid w:val="009E7A4B"/>
    <w:rsid w:val="009E7ACC"/>
    <w:rsid w:val="009E7B45"/>
    <w:rsid w:val="009E7C16"/>
    <w:rsid w:val="009E7C6D"/>
    <w:rsid w:val="009E7FD0"/>
    <w:rsid w:val="009F028A"/>
    <w:rsid w:val="009F02EC"/>
    <w:rsid w:val="009F059E"/>
    <w:rsid w:val="009F08D5"/>
    <w:rsid w:val="009F0ED8"/>
    <w:rsid w:val="009F104D"/>
    <w:rsid w:val="009F13FB"/>
    <w:rsid w:val="009F1636"/>
    <w:rsid w:val="009F1711"/>
    <w:rsid w:val="009F1899"/>
    <w:rsid w:val="009F19BD"/>
    <w:rsid w:val="009F1A76"/>
    <w:rsid w:val="009F1E99"/>
    <w:rsid w:val="009F216A"/>
    <w:rsid w:val="009F233C"/>
    <w:rsid w:val="009F24A4"/>
    <w:rsid w:val="009F2519"/>
    <w:rsid w:val="009F2C15"/>
    <w:rsid w:val="009F2C44"/>
    <w:rsid w:val="009F2D98"/>
    <w:rsid w:val="009F31F4"/>
    <w:rsid w:val="009F331F"/>
    <w:rsid w:val="009F34D0"/>
    <w:rsid w:val="009F351A"/>
    <w:rsid w:val="009F353B"/>
    <w:rsid w:val="009F3772"/>
    <w:rsid w:val="009F3813"/>
    <w:rsid w:val="009F3AAC"/>
    <w:rsid w:val="009F3D3A"/>
    <w:rsid w:val="009F4019"/>
    <w:rsid w:val="009F4110"/>
    <w:rsid w:val="009F41AA"/>
    <w:rsid w:val="009F4320"/>
    <w:rsid w:val="009F4324"/>
    <w:rsid w:val="009F4A7A"/>
    <w:rsid w:val="009F4CE9"/>
    <w:rsid w:val="009F4E4A"/>
    <w:rsid w:val="009F4ECD"/>
    <w:rsid w:val="009F5010"/>
    <w:rsid w:val="009F532E"/>
    <w:rsid w:val="009F562C"/>
    <w:rsid w:val="009F576C"/>
    <w:rsid w:val="009F57C7"/>
    <w:rsid w:val="009F57F9"/>
    <w:rsid w:val="009F5879"/>
    <w:rsid w:val="009F5F84"/>
    <w:rsid w:val="009F6219"/>
    <w:rsid w:val="009F657A"/>
    <w:rsid w:val="009F6646"/>
    <w:rsid w:val="009F678E"/>
    <w:rsid w:val="009F67E1"/>
    <w:rsid w:val="009F68D4"/>
    <w:rsid w:val="009F6B97"/>
    <w:rsid w:val="009F6D4E"/>
    <w:rsid w:val="009F6F44"/>
    <w:rsid w:val="009F716F"/>
    <w:rsid w:val="009F738F"/>
    <w:rsid w:val="009F7508"/>
    <w:rsid w:val="009F753E"/>
    <w:rsid w:val="009F768C"/>
    <w:rsid w:val="009F7B13"/>
    <w:rsid w:val="00A005D8"/>
    <w:rsid w:val="00A00A88"/>
    <w:rsid w:val="00A01179"/>
    <w:rsid w:val="00A012BF"/>
    <w:rsid w:val="00A014A9"/>
    <w:rsid w:val="00A016B4"/>
    <w:rsid w:val="00A016DE"/>
    <w:rsid w:val="00A0186F"/>
    <w:rsid w:val="00A01AD1"/>
    <w:rsid w:val="00A01BC5"/>
    <w:rsid w:val="00A02165"/>
    <w:rsid w:val="00A027F3"/>
    <w:rsid w:val="00A028E6"/>
    <w:rsid w:val="00A02907"/>
    <w:rsid w:val="00A02A7E"/>
    <w:rsid w:val="00A02DCE"/>
    <w:rsid w:val="00A02E5D"/>
    <w:rsid w:val="00A02F3F"/>
    <w:rsid w:val="00A03038"/>
    <w:rsid w:val="00A03044"/>
    <w:rsid w:val="00A030EF"/>
    <w:rsid w:val="00A03125"/>
    <w:rsid w:val="00A03249"/>
    <w:rsid w:val="00A032A5"/>
    <w:rsid w:val="00A034C1"/>
    <w:rsid w:val="00A03504"/>
    <w:rsid w:val="00A039B3"/>
    <w:rsid w:val="00A03A72"/>
    <w:rsid w:val="00A03C06"/>
    <w:rsid w:val="00A03EC1"/>
    <w:rsid w:val="00A0400B"/>
    <w:rsid w:val="00A04A73"/>
    <w:rsid w:val="00A04BDF"/>
    <w:rsid w:val="00A04C58"/>
    <w:rsid w:val="00A04FBB"/>
    <w:rsid w:val="00A04FCD"/>
    <w:rsid w:val="00A053BC"/>
    <w:rsid w:val="00A05A92"/>
    <w:rsid w:val="00A06369"/>
    <w:rsid w:val="00A0680E"/>
    <w:rsid w:val="00A07119"/>
    <w:rsid w:val="00A07135"/>
    <w:rsid w:val="00A0722B"/>
    <w:rsid w:val="00A0729C"/>
    <w:rsid w:val="00A072E2"/>
    <w:rsid w:val="00A07656"/>
    <w:rsid w:val="00A07B10"/>
    <w:rsid w:val="00A07B2D"/>
    <w:rsid w:val="00A07B88"/>
    <w:rsid w:val="00A07CD2"/>
    <w:rsid w:val="00A1001B"/>
    <w:rsid w:val="00A10023"/>
    <w:rsid w:val="00A1039D"/>
    <w:rsid w:val="00A10690"/>
    <w:rsid w:val="00A1078B"/>
    <w:rsid w:val="00A10D36"/>
    <w:rsid w:val="00A11160"/>
    <w:rsid w:val="00A112B0"/>
    <w:rsid w:val="00A1167F"/>
    <w:rsid w:val="00A116D2"/>
    <w:rsid w:val="00A117BC"/>
    <w:rsid w:val="00A11990"/>
    <w:rsid w:val="00A119CD"/>
    <w:rsid w:val="00A11A81"/>
    <w:rsid w:val="00A11C6D"/>
    <w:rsid w:val="00A11DAD"/>
    <w:rsid w:val="00A1288E"/>
    <w:rsid w:val="00A12ABB"/>
    <w:rsid w:val="00A12EFA"/>
    <w:rsid w:val="00A1318F"/>
    <w:rsid w:val="00A13209"/>
    <w:rsid w:val="00A13727"/>
    <w:rsid w:val="00A138A2"/>
    <w:rsid w:val="00A138EE"/>
    <w:rsid w:val="00A13BF8"/>
    <w:rsid w:val="00A13D58"/>
    <w:rsid w:val="00A14610"/>
    <w:rsid w:val="00A14BB5"/>
    <w:rsid w:val="00A14D23"/>
    <w:rsid w:val="00A14D8E"/>
    <w:rsid w:val="00A15244"/>
    <w:rsid w:val="00A152D4"/>
    <w:rsid w:val="00A15443"/>
    <w:rsid w:val="00A158AB"/>
    <w:rsid w:val="00A15AE0"/>
    <w:rsid w:val="00A15E0A"/>
    <w:rsid w:val="00A1655A"/>
    <w:rsid w:val="00A16936"/>
    <w:rsid w:val="00A16B5C"/>
    <w:rsid w:val="00A172C6"/>
    <w:rsid w:val="00A172F5"/>
    <w:rsid w:val="00A17921"/>
    <w:rsid w:val="00A17B51"/>
    <w:rsid w:val="00A17EE6"/>
    <w:rsid w:val="00A201D0"/>
    <w:rsid w:val="00A20606"/>
    <w:rsid w:val="00A20805"/>
    <w:rsid w:val="00A20E0F"/>
    <w:rsid w:val="00A20F13"/>
    <w:rsid w:val="00A210A1"/>
    <w:rsid w:val="00A2111E"/>
    <w:rsid w:val="00A212C5"/>
    <w:rsid w:val="00A21A2B"/>
    <w:rsid w:val="00A21E72"/>
    <w:rsid w:val="00A22026"/>
    <w:rsid w:val="00A22583"/>
    <w:rsid w:val="00A2281B"/>
    <w:rsid w:val="00A2289D"/>
    <w:rsid w:val="00A22B73"/>
    <w:rsid w:val="00A22E16"/>
    <w:rsid w:val="00A23148"/>
    <w:rsid w:val="00A231F4"/>
    <w:rsid w:val="00A23628"/>
    <w:rsid w:val="00A239C8"/>
    <w:rsid w:val="00A23C9E"/>
    <w:rsid w:val="00A23E1E"/>
    <w:rsid w:val="00A23EBD"/>
    <w:rsid w:val="00A24090"/>
    <w:rsid w:val="00A240CA"/>
    <w:rsid w:val="00A2417D"/>
    <w:rsid w:val="00A245D8"/>
    <w:rsid w:val="00A248FE"/>
    <w:rsid w:val="00A2490D"/>
    <w:rsid w:val="00A24E65"/>
    <w:rsid w:val="00A24EFC"/>
    <w:rsid w:val="00A25303"/>
    <w:rsid w:val="00A25603"/>
    <w:rsid w:val="00A25671"/>
    <w:rsid w:val="00A25673"/>
    <w:rsid w:val="00A256CB"/>
    <w:rsid w:val="00A2583B"/>
    <w:rsid w:val="00A258B2"/>
    <w:rsid w:val="00A25AAA"/>
    <w:rsid w:val="00A25C7D"/>
    <w:rsid w:val="00A26004"/>
    <w:rsid w:val="00A26332"/>
    <w:rsid w:val="00A26351"/>
    <w:rsid w:val="00A2648C"/>
    <w:rsid w:val="00A26C4C"/>
    <w:rsid w:val="00A26D3A"/>
    <w:rsid w:val="00A27030"/>
    <w:rsid w:val="00A27343"/>
    <w:rsid w:val="00A2796E"/>
    <w:rsid w:val="00A27B0F"/>
    <w:rsid w:val="00A27C0E"/>
    <w:rsid w:val="00A27F7E"/>
    <w:rsid w:val="00A300AD"/>
    <w:rsid w:val="00A302B0"/>
    <w:rsid w:val="00A308DF"/>
    <w:rsid w:val="00A30BD4"/>
    <w:rsid w:val="00A30DAF"/>
    <w:rsid w:val="00A311BC"/>
    <w:rsid w:val="00A3154F"/>
    <w:rsid w:val="00A318FC"/>
    <w:rsid w:val="00A31A66"/>
    <w:rsid w:val="00A31E93"/>
    <w:rsid w:val="00A32418"/>
    <w:rsid w:val="00A32763"/>
    <w:rsid w:val="00A327F4"/>
    <w:rsid w:val="00A32974"/>
    <w:rsid w:val="00A32B15"/>
    <w:rsid w:val="00A32F7D"/>
    <w:rsid w:val="00A32FED"/>
    <w:rsid w:val="00A32FF2"/>
    <w:rsid w:val="00A33263"/>
    <w:rsid w:val="00A335CF"/>
    <w:rsid w:val="00A33611"/>
    <w:rsid w:val="00A33AC0"/>
    <w:rsid w:val="00A33EAD"/>
    <w:rsid w:val="00A34064"/>
    <w:rsid w:val="00A342D7"/>
    <w:rsid w:val="00A3436F"/>
    <w:rsid w:val="00A34532"/>
    <w:rsid w:val="00A34B74"/>
    <w:rsid w:val="00A34C24"/>
    <w:rsid w:val="00A34D03"/>
    <w:rsid w:val="00A34FB2"/>
    <w:rsid w:val="00A34FCF"/>
    <w:rsid w:val="00A351A0"/>
    <w:rsid w:val="00A3536A"/>
    <w:rsid w:val="00A3540F"/>
    <w:rsid w:val="00A354ED"/>
    <w:rsid w:val="00A35507"/>
    <w:rsid w:val="00A35677"/>
    <w:rsid w:val="00A356D5"/>
    <w:rsid w:val="00A3579A"/>
    <w:rsid w:val="00A35B5F"/>
    <w:rsid w:val="00A35EC7"/>
    <w:rsid w:val="00A36110"/>
    <w:rsid w:val="00A3687F"/>
    <w:rsid w:val="00A3695E"/>
    <w:rsid w:val="00A372B4"/>
    <w:rsid w:val="00A372C6"/>
    <w:rsid w:val="00A373AE"/>
    <w:rsid w:val="00A40335"/>
    <w:rsid w:val="00A40460"/>
    <w:rsid w:val="00A408BE"/>
    <w:rsid w:val="00A40A0D"/>
    <w:rsid w:val="00A40AF0"/>
    <w:rsid w:val="00A40BA8"/>
    <w:rsid w:val="00A40D19"/>
    <w:rsid w:val="00A40D8C"/>
    <w:rsid w:val="00A41057"/>
    <w:rsid w:val="00A412C3"/>
    <w:rsid w:val="00A414DB"/>
    <w:rsid w:val="00A4159C"/>
    <w:rsid w:val="00A417A0"/>
    <w:rsid w:val="00A417E9"/>
    <w:rsid w:val="00A41876"/>
    <w:rsid w:val="00A41A62"/>
    <w:rsid w:val="00A41C9E"/>
    <w:rsid w:val="00A42268"/>
    <w:rsid w:val="00A42389"/>
    <w:rsid w:val="00A42608"/>
    <w:rsid w:val="00A42B54"/>
    <w:rsid w:val="00A42B81"/>
    <w:rsid w:val="00A42E69"/>
    <w:rsid w:val="00A42EAB"/>
    <w:rsid w:val="00A431D5"/>
    <w:rsid w:val="00A431E9"/>
    <w:rsid w:val="00A432BE"/>
    <w:rsid w:val="00A432EC"/>
    <w:rsid w:val="00A437CC"/>
    <w:rsid w:val="00A43D01"/>
    <w:rsid w:val="00A43E1E"/>
    <w:rsid w:val="00A43FB6"/>
    <w:rsid w:val="00A442E5"/>
    <w:rsid w:val="00A44743"/>
    <w:rsid w:val="00A448C1"/>
    <w:rsid w:val="00A44923"/>
    <w:rsid w:val="00A45115"/>
    <w:rsid w:val="00A45263"/>
    <w:rsid w:val="00A457A1"/>
    <w:rsid w:val="00A45812"/>
    <w:rsid w:val="00A45B7E"/>
    <w:rsid w:val="00A45C1E"/>
    <w:rsid w:val="00A45F84"/>
    <w:rsid w:val="00A46157"/>
    <w:rsid w:val="00A46160"/>
    <w:rsid w:val="00A46209"/>
    <w:rsid w:val="00A46273"/>
    <w:rsid w:val="00A4635C"/>
    <w:rsid w:val="00A46400"/>
    <w:rsid w:val="00A46420"/>
    <w:rsid w:val="00A4652B"/>
    <w:rsid w:val="00A46590"/>
    <w:rsid w:val="00A466E7"/>
    <w:rsid w:val="00A46C03"/>
    <w:rsid w:val="00A46C6B"/>
    <w:rsid w:val="00A46C75"/>
    <w:rsid w:val="00A46D45"/>
    <w:rsid w:val="00A46E11"/>
    <w:rsid w:val="00A46EDB"/>
    <w:rsid w:val="00A46FCF"/>
    <w:rsid w:val="00A47475"/>
    <w:rsid w:val="00A47A47"/>
    <w:rsid w:val="00A47C72"/>
    <w:rsid w:val="00A502D6"/>
    <w:rsid w:val="00A509CC"/>
    <w:rsid w:val="00A50CD2"/>
    <w:rsid w:val="00A50CFB"/>
    <w:rsid w:val="00A50DCB"/>
    <w:rsid w:val="00A512AB"/>
    <w:rsid w:val="00A5155D"/>
    <w:rsid w:val="00A5167C"/>
    <w:rsid w:val="00A51A14"/>
    <w:rsid w:val="00A51AAC"/>
    <w:rsid w:val="00A51DB1"/>
    <w:rsid w:val="00A52044"/>
    <w:rsid w:val="00A522E7"/>
    <w:rsid w:val="00A52717"/>
    <w:rsid w:val="00A5272B"/>
    <w:rsid w:val="00A529A7"/>
    <w:rsid w:val="00A537A9"/>
    <w:rsid w:val="00A5389C"/>
    <w:rsid w:val="00A53D60"/>
    <w:rsid w:val="00A54044"/>
    <w:rsid w:val="00A541E0"/>
    <w:rsid w:val="00A54238"/>
    <w:rsid w:val="00A542E2"/>
    <w:rsid w:val="00A5459F"/>
    <w:rsid w:val="00A546C5"/>
    <w:rsid w:val="00A54821"/>
    <w:rsid w:val="00A54974"/>
    <w:rsid w:val="00A54A08"/>
    <w:rsid w:val="00A54AE4"/>
    <w:rsid w:val="00A54EDA"/>
    <w:rsid w:val="00A54F80"/>
    <w:rsid w:val="00A553FB"/>
    <w:rsid w:val="00A55823"/>
    <w:rsid w:val="00A558ED"/>
    <w:rsid w:val="00A55999"/>
    <w:rsid w:val="00A55B2D"/>
    <w:rsid w:val="00A55D1C"/>
    <w:rsid w:val="00A56124"/>
    <w:rsid w:val="00A565EB"/>
    <w:rsid w:val="00A56616"/>
    <w:rsid w:val="00A5669A"/>
    <w:rsid w:val="00A56944"/>
    <w:rsid w:val="00A56958"/>
    <w:rsid w:val="00A5699F"/>
    <w:rsid w:val="00A56D53"/>
    <w:rsid w:val="00A56DB0"/>
    <w:rsid w:val="00A56EE2"/>
    <w:rsid w:val="00A5719F"/>
    <w:rsid w:val="00A57570"/>
    <w:rsid w:val="00A57684"/>
    <w:rsid w:val="00A57779"/>
    <w:rsid w:val="00A5781A"/>
    <w:rsid w:val="00A57DD6"/>
    <w:rsid w:val="00A57E30"/>
    <w:rsid w:val="00A6019B"/>
    <w:rsid w:val="00A601C8"/>
    <w:rsid w:val="00A60366"/>
    <w:rsid w:val="00A603F1"/>
    <w:rsid w:val="00A60700"/>
    <w:rsid w:val="00A60814"/>
    <w:rsid w:val="00A60C3C"/>
    <w:rsid w:val="00A60D21"/>
    <w:rsid w:val="00A61229"/>
    <w:rsid w:val="00A6145A"/>
    <w:rsid w:val="00A61673"/>
    <w:rsid w:val="00A617A9"/>
    <w:rsid w:val="00A61916"/>
    <w:rsid w:val="00A61D2F"/>
    <w:rsid w:val="00A6205A"/>
    <w:rsid w:val="00A621A6"/>
    <w:rsid w:val="00A62294"/>
    <w:rsid w:val="00A62892"/>
    <w:rsid w:val="00A628C6"/>
    <w:rsid w:val="00A629EE"/>
    <w:rsid w:val="00A62A24"/>
    <w:rsid w:val="00A62EB5"/>
    <w:rsid w:val="00A637E4"/>
    <w:rsid w:val="00A6390B"/>
    <w:rsid w:val="00A63977"/>
    <w:rsid w:val="00A63AF7"/>
    <w:rsid w:val="00A63C45"/>
    <w:rsid w:val="00A63D52"/>
    <w:rsid w:val="00A641A5"/>
    <w:rsid w:val="00A642AA"/>
    <w:rsid w:val="00A64519"/>
    <w:rsid w:val="00A64536"/>
    <w:rsid w:val="00A645B7"/>
    <w:rsid w:val="00A64709"/>
    <w:rsid w:val="00A64787"/>
    <w:rsid w:val="00A64992"/>
    <w:rsid w:val="00A64B9E"/>
    <w:rsid w:val="00A64CF1"/>
    <w:rsid w:val="00A64D31"/>
    <w:rsid w:val="00A64F19"/>
    <w:rsid w:val="00A65327"/>
    <w:rsid w:val="00A655C3"/>
    <w:rsid w:val="00A655DC"/>
    <w:rsid w:val="00A65740"/>
    <w:rsid w:val="00A6578D"/>
    <w:rsid w:val="00A65A52"/>
    <w:rsid w:val="00A65A70"/>
    <w:rsid w:val="00A662A3"/>
    <w:rsid w:val="00A66397"/>
    <w:rsid w:val="00A663EA"/>
    <w:rsid w:val="00A6698D"/>
    <w:rsid w:val="00A66A41"/>
    <w:rsid w:val="00A66F1B"/>
    <w:rsid w:val="00A67DF2"/>
    <w:rsid w:val="00A67FD8"/>
    <w:rsid w:val="00A70213"/>
    <w:rsid w:val="00A70234"/>
    <w:rsid w:val="00A702D9"/>
    <w:rsid w:val="00A707C5"/>
    <w:rsid w:val="00A7097E"/>
    <w:rsid w:val="00A70A4A"/>
    <w:rsid w:val="00A7173A"/>
    <w:rsid w:val="00A717DA"/>
    <w:rsid w:val="00A719F7"/>
    <w:rsid w:val="00A71A21"/>
    <w:rsid w:val="00A71C74"/>
    <w:rsid w:val="00A72069"/>
    <w:rsid w:val="00A7212E"/>
    <w:rsid w:val="00A7251D"/>
    <w:rsid w:val="00A7296C"/>
    <w:rsid w:val="00A72AF1"/>
    <w:rsid w:val="00A72B23"/>
    <w:rsid w:val="00A72D83"/>
    <w:rsid w:val="00A7306D"/>
    <w:rsid w:val="00A730A4"/>
    <w:rsid w:val="00A7319D"/>
    <w:rsid w:val="00A731AF"/>
    <w:rsid w:val="00A7324A"/>
    <w:rsid w:val="00A734DB"/>
    <w:rsid w:val="00A73727"/>
    <w:rsid w:val="00A738ED"/>
    <w:rsid w:val="00A73B5B"/>
    <w:rsid w:val="00A743FA"/>
    <w:rsid w:val="00A74598"/>
    <w:rsid w:val="00A74741"/>
    <w:rsid w:val="00A74943"/>
    <w:rsid w:val="00A74A05"/>
    <w:rsid w:val="00A74A26"/>
    <w:rsid w:val="00A74C6B"/>
    <w:rsid w:val="00A74CAC"/>
    <w:rsid w:val="00A74DCF"/>
    <w:rsid w:val="00A74F6E"/>
    <w:rsid w:val="00A7555C"/>
    <w:rsid w:val="00A75648"/>
    <w:rsid w:val="00A75A3F"/>
    <w:rsid w:val="00A75ADC"/>
    <w:rsid w:val="00A75DC9"/>
    <w:rsid w:val="00A76109"/>
    <w:rsid w:val="00A761F9"/>
    <w:rsid w:val="00A76657"/>
    <w:rsid w:val="00A76AB1"/>
    <w:rsid w:val="00A76CBF"/>
    <w:rsid w:val="00A76D7E"/>
    <w:rsid w:val="00A76F36"/>
    <w:rsid w:val="00A77016"/>
    <w:rsid w:val="00A77042"/>
    <w:rsid w:val="00A77149"/>
    <w:rsid w:val="00A77332"/>
    <w:rsid w:val="00A77A22"/>
    <w:rsid w:val="00A77AF1"/>
    <w:rsid w:val="00A77C0C"/>
    <w:rsid w:val="00A77E6E"/>
    <w:rsid w:val="00A80090"/>
    <w:rsid w:val="00A800D7"/>
    <w:rsid w:val="00A8015F"/>
    <w:rsid w:val="00A80422"/>
    <w:rsid w:val="00A8088E"/>
    <w:rsid w:val="00A80DA5"/>
    <w:rsid w:val="00A80F68"/>
    <w:rsid w:val="00A812C1"/>
    <w:rsid w:val="00A816CD"/>
    <w:rsid w:val="00A817EE"/>
    <w:rsid w:val="00A81EDF"/>
    <w:rsid w:val="00A822C9"/>
    <w:rsid w:val="00A82554"/>
    <w:rsid w:val="00A828A8"/>
    <w:rsid w:val="00A82C69"/>
    <w:rsid w:val="00A82E76"/>
    <w:rsid w:val="00A82F20"/>
    <w:rsid w:val="00A83A44"/>
    <w:rsid w:val="00A83AF2"/>
    <w:rsid w:val="00A83D67"/>
    <w:rsid w:val="00A83DC2"/>
    <w:rsid w:val="00A83E70"/>
    <w:rsid w:val="00A840EB"/>
    <w:rsid w:val="00A841F6"/>
    <w:rsid w:val="00A8443E"/>
    <w:rsid w:val="00A84A0B"/>
    <w:rsid w:val="00A84AE0"/>
    <w:rsid w:val="00A851CE"/>
    <w:rsid w:val="00A85342"/>
    <w:rsid w:val="00A85489"/>
    <w:rsid w:val="00A8598C"/>
    <w:rsid w:val="00A85C36"/>
    <w:rsid w:val="00A85D2D"/>
    <w:rsid w:val="00A860AC"/>
    <w:rsid w:val="00A86102"/>
    <w:rsid w:val="00A8624F"/>
    <w:rsid w:val="00A8686A"/>
    <w:rsid w:val="00A868BC"/>
    <w:rsid w:val="00A86906"/>
    <w:rsid w:val="00A8691D"/>
    <w:rsid w:val="00A87078"/>
    <w:rsid w:val="00A870DE"/>
    <w:rsid w:val="00A8735C"/>
    <w:rsid w:val="00A8744E"/>
    <w:rsid w:val="00A8750C"/>
    <w:rsid w:val="00A87597"/>
    <w:rsid w:val="00A879A6"/>
    <w:rsid w:val="00A87A5B"/>
    <w:rsid w:val="00A87A78"/>
    <w:rsid w:val="00A87A84"/>
    <w:rsid w:val="00A87F0C"/>
    <w:rsid w:val="00A901E4"/>
    <w:rsid w:val="00A90293"/>
    <w:rsid w:val="00A902E7"/>
    <w:rsid w:val="00A9079A"/>
    <w:rsid w:val="00A90B8C"/>
    <w:rsid w:val="00A90B99"/>
    <w:rsid w:val="00A90FD2"/>
    <w:rsid w:val="00A913A4"/>
    <w:rsid w:val="00A91822"/>
    <w:rsid w:val="00A91CBF"/>
    <w:rsid w:val="00A91D5E"/>
    <w:rsid w:val="00A92080"/>
    <w:rsid w:val="00A920FC"/>
    <w:rsid w:val="00A92596"/>
    <w:rsid w:val="00A92698"/>
    <w:rsid w:val="00A928DE"/>
    <w:rsid w:val="00A92914"/>
    <w:rsid w:val="00A92AF8"/>
    <w:rsid w:val="00A9312D"/>
    <w:rsid w:val="00A9372C"/>
    <w:rsid w:val="00A93DF7"/>
    <w:rsid w:val="00A940B2"/>
    <w:rsid w:val="00A94427"/>
    <w:rsid w:val="00A9448D"/>
    <w:rsid w:val="00A945AC"/>
    <w:rsid w:val="00A948BB"/>
    <w:rsid w:val="00A94AE9"/>
    <w:rsid w:val="00A94E3A"/>
    <w:rsid w:val="00A94F06"/>
    <w:rsid w:val="00A94F6D"/>
    <w:rsid w:val="00A953BE"/>
    <w:rsid w:val="00A955E3"/>
    <w:rsid w:val="00A958CD"/>
    <w:rsid w:val="00A95DCB"/>
    <w:rsid w:val="00A95F87"/>
    <w:rsid w:val="00A95FA1"/>
    <w:rsid w:val="00A95FB4"/>
    <w:rsid w:val="00A96026"/>
    <w:rsid w:val="00A9617C"/>
    <w:rsid w:val="00A96277"/>
    <w:rsid w:val="00A962DA"/>
    <w:rsid w:val="00A964CC"/>
    <w:rsid w:val="00A965B9"/>
    <w:rsid w:val="00A9661D"/>
    <w:rsid w:val="00A96774"/>
    <w:rsid w:val="00A97E19"/>
    <w:rsid w:val="00A97E82"/>
    <w:rsid w:val="00A97F03"/>
    <w:rsid w:val="00A97FD3"/>
    <w:rsid w:val="00AA00AA"/>
    <w:rsid w:val="00AA01C3"/>
    <w:rsid w:val="00AA0285"/>
    <w:rsid w:val="00AA03B4"/>
    <w:rsid w:val="00AA03DA"/>
    <w:rsid w:val="00AA0502"/>
    <w:rsid w:val="00AA0523"/>
    <w:rsid w:val="00AA0F89"/>
    <w:rsid w:val="00AA0F9A"/>
    <w:rsid w:val="00AA1199"/>
    <w:rsid w:val="00AA1220"/>
    <w:rsid w:val="00AA123F"/>
    <w:rsid w:val="00AA1314"/>
    <w:rsid w:val="00AA1393"/>
    <w:rsid w:val="00AA13D5"/>
    <w:rsid w:val="00AA16E7"/>
    <w:rsid w:val="00AA18F1"/>
    <w:rsid w:val="00AA1AEF"/>
    <w:rsid w:val="00AA2260"/>
    <w:rsid w:val="00AA246C"/>
    <w:rsid w:val="00AA2834"/>
    <w:rsid w:val="00AA2A7A"/>
    <w:rsid w:val="00AA3161"/>
    <w:rsid w:val="00AA37F8"/>
    <w:rsid w:val="00AA3B6F"/>
    <w:rsid w:val="00AA43BF"/>
    <w:rsid w:val="00AA45BE"/>
    <w:rsid w:val="00AA4E9E"/>
    <w:rsid w:val="00AA4F73"/>
    <w:rsid w:val="00AA57CF"/>
    <w:rsid w:val="00AA5921"/>
    <w:rsid w:val="00AA5946"/>
    <w:rsid w:val="00AA5E12"/>
    <w:rsid w:val="00AA5F67"/>
    <w:rsid w:val="00AA6047"/>
    <w:rsid w:val="00AA60B0"/>
    <w:rsid w:val="00AA61FB"/>
    <w:rsid w:val="00AA6912"/>
    <w:rsid w:val="00AA6969"/>
    <w:rsid w:val="00AA6F0F"/>
    <w:rsid w:val="00AA6F7D"/>
    <w:rsid w:val="00AA763D"/>
    <w:rsid w:val="00AA7732"/>
    <w:rsid w:val="00AA7860"/>
    <w:rsid w:val="00AA78DE"/>
    <w:rsid w:val="00AA7BBC"/>
    <w:rsid w:val="00AA7F5C"/>
    <w:rsid w:val="00AB008B"/>
    <w:rsid w:val="00AB03C3"/>
    <w:rsid w:val="00AB06FF"/>
    <w:rsid w:val="00AB0A39"/>
    <w:rsid w:val="00AB0A43"/>
    <w:rsid w:val="00AB0D05"/>
    <w:rsid w:val="00AB1263"/>
    <w:rsid w:val="00AB136E"/>
    <w:rsid w:val="00AB1496"/>
    <w:rsid w:val="00AB1D33"/>
    <w:rsid w:val="00AB22FD"/>
    <w:rsid w:val="00AB25F6"/>
    <w:rsid w:val="00AB2867"/>
    <w:rsid w:val="00AB2947"/>
    <w:rsid w:val="00AB2A0E"/>
    <w:rsid w:val="00AB2A62"/>
    <w:rsid w:val="00AB2ABC"/>
    <w:rsid w:val="00AB2C42"/>
    <w:rsid w:val="00AB2D99"/>
    <w:rsid w:val="00AB307B"/>
    <w:rsid w:val="00AB3161"/>
    <w:rsid w:val="00AB32C2"/>
    <w:rsid w:val="00AB3637"/>
    <w:rsid w:val="00AB367D"/>
    <w:rsid w:val="00AB3ADC"/>
    <w:rsid w:val="00AB3C1D"/>
    <w:rsid w:val="00AB3C83"/>
    <w:rsid w:val="00AB3EE9"/>
    <w:rsid w:val="00AB40E6"/>
    <w:rsid w:val="00AB429B"/>
    <w:rsid w:val="00AB434B"/>
    <w:rsid w:val="00AB45E7"/>
    <w:rsid w:val="00AB46F9"/>
    <w:rsid w:val="00AB478B"/>
    <w:rsid w:val="00AB48C8"/>
    <w:rsid w:val="00AB49BD"/>
    <w:rsid w:val="00AB4BAC"/>
    <w:rsid w:val="00AB5092"/>
    <w:rsid w:val="00AB5AF6"/>
    <w:rsid w:val="00AB6603"/>
    <w:rsid w:val="00AB6652"/>
    <w:rsid w:val="00AB67EF"/>
    <w:rsid w:val="00AB6C29"/>
    <w:rsid w:val="00AB6CC5"/>
    <w:rsid w:val="00AB6DEA"/>
    <w:rsid w:val="00AB7305"/>
    <w:rsid w:val="00AB7469"/>
    <w:rsid w:val="00AB7FF1"/>
    <w:rsid w:val="00AC00E7"/>
    <w:rsid w:val="00AC02F9"/>
    <w:rsid w:val="00AC03FD"/>
    <w:rsid w:val="00AC07A9"/>
    <w:rsid w:val="00AC0A48"/>
    <w:rsid w:val="00AC0C46"/>
    <w:rsid w:val="00AC0FB6"/>
    <w:rsid w:val="00AC0FC0"/>
    <w:rsid w:val="00AC0FD0"/>
    <w:rsid w:val="00AC11C4"/>
    <w:rsid w:val="00AC12F7"/>
    <w:rsid w:val="00AC1BB4"/>
    <w:rsid w:val="00AC1C4C"/>
    <w:rsid w:val="00AC1E0D"/>
    <w:rsid w:val="00AC1FCA"/>
    <w:rsid w:val="00AC2014"/>
    <w:rsid w:val="00AC2307"/>
    <w:rsid w:val="00AC2594"/>
    <w:rsid w:val="00AC2595"/>
    <w:rsid w:val="00AC299D"/>
    <w:rsid w:val="00AC2F09"/>
    <w:rsid w:val="00AC3174"/>
    <w:rsid w:val="00AC32B7"/>
    <w:rsid w:val="00AC375E"/>
    <w:rsid w:val="00AC39B8"/>
    <w:rsid w:val="00AC40F1"/>
    <w:rsid w:val="00AC4193"/>
    <w:rsid w:val="00AC445C"/>
    <w:rsid w:val="00AC466C"/>
    <w:rsid w:val="00AC4790"/>
    <w:rsid w:val="00AC4995"/>
    <w:rsid w:val="00AC4E12"/>
    <w:rsid w:val="00AC4E16"/>
    <w:rsid w:val="00AC5095"/>
    <w:rsid w:val="00AC5116"/>
    <w:rsid w:val="00AC5322"/>
    <w:rsid w:val="00AC5732"/>
    <w:rsid w:val="00AC5FC3"/>
    <w:rsid w:val="00AC6351"/>
    <w:rsid w:val="00AC6535"/>
    <w:rsid w:val="00AC66A9"/>
    <w:rsid w:val="00AC6763"/>
    <w:rsid w:val="00AC6D02"/>
    <w:rsid w:val="00AC72CC"/>
    <w:rsid w:val="00AC742A"/>
    <w:rsid w:val="00AC7481"/>
    <w:rsid w:val="00AC7EA8"/>
    <w:rsid w:val="00AC7F88"/>
    <w:rsid w:val="00AD0156"/>
    <w:rsid w:val="00AD0192"/>
    <w:rsid w:val="00AD0209"/>
    <w:rsid w:val="00AD021A"/>
    <w:rsid w:val="00AD05B7"/>
    <w:rsid w:val="00AD0750"/>
    <w:rsid w:val="00AD0B75"/>
    <w:rsid w:val="00AD0BAA"/>
    <w:rsid w:val="00AD0C61"/>
    <w:rsid w:val="00AD144C"/>
    <w:rsid w:val="00AD15D3"/>
    <w:rsid w:val="00AD16C1"/>
    <w:rsid w:val="00AD1816"/>
    <w:rsid w:val="00AD1948"/>
    <w:rsid w:val="00AD1E97"/>
    <w:rsid w:val="00AD1ED0"/>
    <w:rsid w:val="00AD2051"/>
    <w:rsid w:val="00AD2193"/>
    <w:rsid w:val="00AD242F"/>
    <w:rsid w:val="00AD29DF"/>
    <w:rsid w:val="00AD2E2C"/>
    <w:rsid w:val="00AD2FBD"/>
    <w:rsid w:val="00AD36C8"/>
    <w:rsid w:val="00AD3851"/>
    <w:rsid w:val="00AD390B"/>
    <w:rsid w:val="00AD4853"/>
    <w:rsid w:val="00AD48C2"/>
    <w:rsid w:val="00AD491A"/>
    <w:rsid w:val="00AD4BB8"/>
    <w:rsid w:val="00AD4C7E"/>
    <w:rsid w:val="00AD5090"/>
    <w:rsid w:val="00AD524B"/>
    <w:rsid w:val="00AD5260"/>
    <w:rsid w:val="00AD53AA"/>
    <w:rsid w:val="00AD58C6"/>
    <w:rsid w:val="00AD59DD"/>
    <w:rsid w:val="00AD5C17"/>
    <w:rsid w:val="00AD5EDA"/>
    <w:rsid w:val="00AD6326"/>
    <w:rsid w:val="00AD6923"/>
    <w:rsid w:val="00AD6B25"/>
    <w:rsid w:val="00AD7071"/>
    <w:rsid w:val="00AD7626"/>
    <w:rsid w:val="00AD76FE"/>
    <w:rsid w:val="00AD783A"/>
    <w:rsid w:val="00AD7973"/>
    <w:rsid w:val="00AD7A34"/>
    <w:rsid w:val="00AE030B"/>
    <w:rsid w:val="00AE03BF"/>
    <w:rsid w:val="00AE046D"/>
    <w:rsid w:val="00AE06D4"/>
    <w:rsid w:val="00AE0859"/>
    <w:rsid w:val="00AE08B9"/>
    <w:rsid w:val="00AE09A6"/>
    <w:rsid w:val="00AE0AFC"/>
    <w:rsid w:val="00AE113F"/>
    <w:rsid w:val="00AE11FD"/>
    <w:rsid w:val="00AE1378"/>
    <w:rsid w:val="00AE15C8"/>
    <w:rsid w:val="00AE19E3"/>
    <w:rsid w:val="00AE1C2E"/>
    <w:rsid w:val="00AE1E2B"/>
    <w:rsid w:val="00AE28EA"/>
    <w:rsid w:val="00AE2B40"/>
    <w:rsid w:val="00AE2BA5"/>
    <w:rsid w:val="00AE2CAE"/>
    <w:rsid w:val="00AE2CEA"/>
    <w:rsid w:val="00AE2D6C"/>
    <w:rsid w:val="00AE2D72"/>
    <w:rsid w:val="00AE2E43"/>
    <w:rsid w:val="00AE2F35"/>
    <w:rsid w:val="00AE33C0"/>
    <w:rsid w:val="00AE3404"/>
    <w:rsid w:val="00AE3495"/>
    <w:rsid w:val="00AE36BE"/>
    <w:rsid w:val="00AE38E7"/>
    <w:rsid w:val="00AE3C8C"/>
    <w:rsid w:val="00AE3DA6"/>
    <w:rsid w:val="00AE3DAF"/>
    <w:rsid w:val="00AE3ECB"/>
    <w:rsid w:val="00AE3EE6"/>
    <w:rsid w:val="00AE3F0C"/>
    <w:rsid w:val="00AE4293"/>
    <w:rsid w:val="00AE47A2"/>
    <w:rsid w:val="00AE486E"/>
    <w:rsid w:val="00AE4B12"/>
    <w:rsid w:val="00AE4BA8"/>
    <w:rsid w:val="00AE4CED"/>
    <w:rsid w:val="00AE4CF5"/>
    <w:rsid w:val="00AE5025"/>
    <w:rsid w:val="00AE52A8"/>
    <w:rsid w:val="00AE5CBC"/>
    <w:rsid w:val="00AE5E40"/>
    <w:rsid w:val="00AE5FB3"/>
    <w:rsid w:val="00AE6161"/>
    <w:rsid w:val="00AE6276"/>
    <w:rsid w:val="00AE6300"/>
    <w:rsid w:val="00AE6988"/>
    <w:rsid w:val="00AE6A07"/>
    <w:rsid w:val="00AE6B83"/>
    <w:rsid w:val="00AE6CD6"/>
    <w:rsid w:val="00AE6F6A"/>
    <w:rsid w:val="00AE707F"/>
    <w:rsid w:val="00AE765E"/>
    <w:rsid w:val="00AE7850"/>
    <w:rsid w:val="00AE7D6D"/>
    <w:rsid w:val="00AE7E94"/>
    <w:rsid w:val="00AE7F7D"/>
    <w:rsid w:val="00AF00E3"/>
    <w:rsid w:val="00AF03B1"/>
    <w:rsid w:val="00AF0542"/>
    <w:rsid w:val="00AF054B"/>
    <w:rsid w:val="00AF0A70"/>
    <w:rsid w:val="00AF0B42"/>
    <w:rsid w:val="00AF0C60"/>
    <w:rsid w:val="00AF0D85"/>
    <w:rsid w:val="00AF0F4B"/>
    <w:rsid w:val="00AF1065"/>
    <w:rsid w:val="00AF10DE"/>
    <w:rsid w:val="00AF1295"/>
    <w:rsid w:val="00AF12C7"/>
    <w:rsid w:val="00AF12E7"/>
    <w:rsid w:val="00AF15B0"/>
    <w:rsid w:val="00AF17D6"/>
    <w:rsid w:val="00AF1AF0"/>
    <w:rsid w:val="00AF1D8F"/>
    <w:rsid w:val="00AF21DA"/>
    <w:rsid w:val="00AF226C"/>
    <w:rsid w:val="00AF280C"/>
    <w:rsid w:val="00AF29B8"/>
    <w:rsid w:val="00AF2B07"/>
    <w:rsid w:val="00AF3340"/>
    <w:rsid w:val="00AF3472"/>
    <w:rsid w:val="00AF3658"/>
    <w:rsid w:val="00AF36B1"/>
    <w:rsid w:val="00AF36B6"/>
    <w:rsid w:val="00AF38E0"/>
    <w:rsid w:val="00AF3B9C"/>
    <w:rsid w:val="00AF3B9D"/>
    <w:rsid w:val="00AF3CAB"/>
    <w:rsid w:val="00AF3DE3"/>
    <w:rsid w:val="00AF40BE"/>
    <w:rsid w:val="00AF4284"/>
    <w:rsid w:val="00AF43D3"/>
    <w:rsid w:val="00AF467E"/>
    <w:rsid w:val="00AF4D0F"/>
    <w:rsid w:val="00AF501E"/>
    <w:rsid w:val="00AF526A"/>
    <w:rsid w:val="00AF52DE"/>
    <w:rsid w:val="00AF535C"/>
    <w:rsid w:val="00AF548D"/>
    <w:rsid w:val="00AF5515"/>
    <w:rsid w:val="00AF5DAE"/>
    <w:rsid w:val="00AF64AB"/>
    <w:rsid w:val="00AF692A"/>
    <w:rsid w:val="00AF6D98"/>
    <w:rsid w:val="00AF7000"/>
    <w:rsid w:val="00AF7164"/>
    <w:rsid w:val="00AF7A08"/>
    <w:rsid w:val="00AF7A68"/>
    <w:rsid w:val="00AF7D12"/>
    <w:rsid w:val="00AF7EBE"/>
    <w:rsid w:val="00AF7F1D"/>
    <w:rsid w:val="00B00004"/>
    <w:rsid w:val="00B000D1"/>
    <w:rsid w:val="00B001F5"/>
    <w:rsid w:val="00B0042F"/>
    <w:rsid w:val="00B0106E"/>
    <w:rsid w:val="00B0110E"/>
    <w:rsid w:val="00B0121B"/>
    <w:rsid w:val="00B01247"/>
    <w:rsid w:val="00B012F4"/>
    <w:rsid w:val="00B01557"/>
    <w:rsid w:val="00B0171C"/>
    <w:rsid w:val="00B0179B"/>
    <w:rsid w:val="00B01C00"/>
    <w:rsid w:val="00B01C06"/>
    <w:rsid w:val="00B01CF2"/>
    <w:rsid w:val="00B01CFE"/>
    <w:rsid w:val="00B01F8E"/>
    <w:rsid w:val="00B02138"/>
    <w:rsid w:val="00B0221B"/>
    <w:rsid w:val="00B024A4"/>
    <w:rsid w:val="00B026A7"/>
    <w:rsid w:val="00B026B2"/>
    <w:rsid w:val="00B0280B"/>
    <w:rsid w:val="00B02C4F"/>
    <w:rsid w:val="00B02E30"/>
    <w:rsid w:val="00B02EEF"/>
    <w:rsid w:val="00B02F07"/>
    <w:rsid w:val="00B031F7"/>
    <w:rsid w:val="00B033DB"/>
    <w:rsid w:val="00B03781"/>
    <w:rsid w:val="00B037BE"/>
    <w:rsid w:val="00B03E6A"/>
    <w:rsid w:val="00B04188"/>
    <w:rsid w:val="00B04262"/>
    <w:rsid w:val="00B04304"/>
    <w:rsid w:val="00B04745"/>
    <w:rsid w:val="00B04892"/>
    <w:rsid w:val="00B04901"/>
    <w:rsid w:val="00B04AED"/>
    <w:rsid w:val="00B04FBA"/>
    <w:rsid w:val="00B051FF"/>
    <w:rsid w:val="00B053CC"/>
    <w:rsid w:val="00B05439"/>
    <w:rsid w:val="00B05518"/>
    <w:rsid w:val="00B057DB"/>
    <w:rsid w:val="00B05825"/>
    <w:rsid w:val="00B06223"/>
    <w:rsid w:val="00B06293"/>
    <w:rsid w:val="00B0686F"/>
    <w:rsid w:val="00B068DE"/>
    <w:rsid w:val="00B069FC"/>
    <w:rsid w:val="00B06A20"/>
    <w:rsid w:val="00B06CF9"/>
    <w:rsid w:val="00B06E67"/>
    <w:rsid w:val="00B0756F"/>
    <w:rsid w:val="00B1044B"/>
    <w:rsid w:val="00B1090D"/>
    <w:rsid w:val="00B10AE5"/>
    <w:rsid w:val="00B11026"/>
    <w:rsid w:val="00B1104E"/>
    <w:rsid w:val="00B112A4"/>
    <w:rsid w:val="00B1139F"/>
    <w:rsid w:val="00B11A00"/>
    <w:rsid w:val="00B11C6F"/>
    <w:rsid w:val="00B11F20"/>
    <w:rsid w:val="00B12314"/>
    <w:rsid w:val="00B1239F"/>
    <w:rsid w:val="00B125B6"/>
    <w:rsid w:val="00B125BF"/>
    <w:rsid w:val="00B1285E"/>
    <w:rsid w:val="00B12CF2"/>
    <w:rsid w:val="00B13361"/>
    <w:rsid w:val="00B13424"/>
    <w:rsid w:val="00B135E0"/>
    <w:rsid w:val="00B13737"/>
    <w:rsid w:val="00B139B2"/>
    <w:rsid w:val="00B13F03"/>
    <w:rsid w:val="00B1443D"/>
    <w:rsid w:val="00B14474"/>
    <w:rsid w:val="00B14792"/>
    <w:rsid w:val="00B149FB"/>
    <w:rsid w:val="00B14B6D"/>
    <w:rsid w:val="00B14D9E"/>
    <w:rsid w:val="00B14DAE"/>
    <w:rsid w:val="00B14E9E"/>
    <w:rsid w:val="00B150B9"/>
    <w:rsid w:val="00B15158"/>
    <w:rsid w:val="00B153DB"/>
    <w:rsid w:val="00B154F4"/>
    <w:rsid w:val="00B157BC"/>
    <w:rsid w:val="00B15981"/>
    <w:rsid w:val="00B15C72"/>
    <w:rsid w:val="00B15E6A"/>
    <w:rsid w:val="00B15E7D"/>
    <w:rsid w:val="00B15E7E"/>
    <w:rsid w:val="00B15ECB"/>
    <w:rsid w:val="00B165EB"/>
    <w:rsid w:val="00B16DF8"/>
    <w:rsid w:val="00B17015"/>
    <w:rsid w:val="00B170F3"/>
    <w:rsid w:val="00B17653"/>
    <w:rsid w:val="00B17737"/>
    <w:rsid w:val="00B1774C"/>
    <w:rsid w:val="00B17D26"/>
    <w:rsid w:val="00B17D3B"/>
    <w:rsid w:val="00B17EFA"/>
    <w:rsid w:val="00B17F63"/>
    <w:rsid w:val="00B200F1"/>
    <w:rsid w:val="00B201BB"/>
    <w:rsid w:val="00B204FB"/>
    <w:rsid w:val="00B2072E"/>
    <w:rsid w:val="00B20C2F"/>
    <w:rsid w:val="00B20F84"/>
    <w:rsid w:val="00B215A6"/>
    <w:rsid w:val="00B215B3"/>
    <w:rsid w:val="00B21603"/>
    <w:rsid w:val="00B217ED"/>
    <w:rsid w:val="00B21914"/>
    <w:rsid w:val="00B21E04"/>
    <w:rsid w:val="00B21E49"/>
    <w:rsid w:val="00B22652"/>
    <w:rsid w:val="00B227A7"/>
    <w:rsid w:val="00B22A6F"/>
    <w:rsid w:val="00B2310D"/>
    <w:rsid w:val="00B232A2"/>
    <w:rsid w:val="00B23702"/>
    <w:rsid w:val="00B23822"/>
    <w:rsid w:val="00B23AE4"/>
    <w:rsid w:val="00B23C29"/>
    <w:rsid w:val="00B23D27"/>
    <w:rsid w:val="00B2446E"/>
    <w:rsid w:val="00B249A7"/>
    <w:rsid w:val="00B25453"/>
    <w:rsid w:val="00B25BEC"/>
    <w:rsid w:val="00B2609D"/>
    <w:rsid w:val="00B260F6"/>
    <w:rsid w:val="00B2626D"/>
    <w:rsid w:val="00B264CD"/>
    <w:rsid w:val="00B26A3E"/>
    <w:rsid w:val="00B26A47"/>
    <w:rsid w:val="00B26B7C"/>
    <w:rsid w:val="00B26D32"/>
    <w:rsid w:val="00B274E8"/>
    <w:rsid w:val="00B27BB4"/>
    <w:rsid w:val="00B27C47"/>
    <w:rsid w:val="00B3049E"/>
    <w:rsid w:val="00B30BD4"/>
    <w:rsid w:val="00B30E3F"/>
    <w:rsid w:val="00B30EDB"/>
    <w:rsid w:val="00B30F17"/>
    <w:rsid w:val="00B31A50"/>
    <w:rsid w:val="00B31BBA"/>
    <w:rsid w:val="00B31D34"/>
    <w:rsid w:val="00B3217E"/>
    <w:rsid w:val="00B323DA"/>
    <w:rsid w:val="00B324F2"/>
    <w:rsid w:val="00B32659"/>
    <w:rsid w:val="00B3269E"/>
    <w:rsid w:val="00B327AF"/>
    <w:rsid w:val="00B32A3C"/>
    <w:rsid w:val="00B32ABB"/>
    <w:rsid w:val="00B330CA"/>
    <w:rsid w:val="00B3328F"/>
    <w:rsid w:val="00B33505"/>
    <w:rsid w:val="00B33C59"/>
    <w:rsid w:val="00B34032"/>
    <w:rsid w:val="00B340D6"/>
    <w:rsid w:val="00B34F9F"/>
    <w:rsid w:val="00B35001"/>
    <w:rsid w:val="00B35037"/>
    <w:rsid w:val="00B35042"/>
    <w:rsid w:val="00B35300"/>
    <w:rsid w:val="00B35432"/>
    <w:rsid w:val="00B354C9"/>
    <w:rsid w:val="00B356A3"/>
    <w:rsid w:val="00B35767"/>
    <w:rsid w:val="00B35B4A"/>
    <w:rsid w:val="00B35B4D"/>
    <w:rsid w:val="00B35B96"/>
    <w:rsid w:val="00B35EA5"/>
    <w:rsid w:val="00B36294"/>
    <w:rsid w:val="00B3694E"/>
    <w:rsid w:val="00B36BEE"/>
    <w:rsid w:val="00B36E20"/>
    <w:rsid w:val="00B371E0"/>
    <w:rsid w:val="00B37268"/>
    <w:rsid w:val="00B37315"/>
    <w:rsid w:val="00B37DB1"/>
    <w:rsid w:val="00B40138"/>
    <w:rsid w:val="00B4053E"/>
    <w:rsid w:val="00B40706"/>
    <w:rsid w:val="00B40713"/>
    <w:rsid w:val="00B40862"/>
    <w:rsid w:val="00B408C9"/>
    <w:rsid w:val="00B40A7C"/>
    <w:rsid w:val="00B40DF8"/>
    <w:rsid w:val="00B418D8"/>
    <w:rsid w:val="00B41E02"/>
    <w:rsid w:val="00B41E3F"/>
    <w:rsid w:val="00B4201C"/>
    <w:rsid w:val="00B42164"/>
    <w:rsid w:val="00B42227"/>
    <w:rsid w:val="00B424CF"/>
    <w:rsid w:val="00B42636"/>
    <w:rsid w:val="00B42972"/>
    <w:rsid w:val="00B42A0E"/>
    <w:rsid w:val="00B42E44"/>
    <w:rsid w:val="00B42FEF"/>
    <w:rsid w:val="00B4371A"/>
    <w:rsid w:val="00B43855"/>
    <w:rsid w:val="00B43D57"/>
    <w:rsid w:val="00B43F41"/>
    <w:rsid w:val="00B44022"/>
    <w:rsid w:val="00B4441E"/>
    <w:rsid w:val="00B44797"/>
    <w:rsid w:val="00B44818"/>
    <w:rsid w:val="00B44B2B"/>
    <w:rsid w:val="00B44BD9"/>
    <w:rsid w:val="00B45361"/>
    <w:rsid w:val="00B453C0"/>
    <w:rsid w:val="00B453E8"/>
    <w:rsid w:val="00B454A6"/>
    <w:rsid w:val="00B4583F"/>
    <w:rsid w:val="00B459D9"/>
    <w:rsid w:val="00B459E9"/>
    <w:rsid w:val="00B45ABB"/>
    <w:rsid w:val="00B45BA5"/>
    <w:rsid w:val="00B46352"/>
    <w:rsid w:val="00B46475"/>
    <w:rsid w:val="00B4678C"/>
    <w:rsid w:val="00B46B04"/>
    <w:rsid w:val="00B46DA6"/>
    <w:rsid w:val="00B46E34"/>
    <w:rsid w:val="00B46E5C"/>
    <w:rsid w:val="00B46FAD"/>
    <w:rsid w:val="00B47178"/>
    <w:rsid w:val="00B47389"/>
    <w:rsid w:val="00B473F5"/>
    <w:rsid w:val="00B47789"/>
    <w:rsid w:val="00B47AFD"/>
    <w:rsid w:val="00B47DC2"/>
    <w:rsid w:val="00B47DDA"/>
    <w:rsid w:val="00B47E98"/>
    <w:rsid w:val="00B47F7C"/>
    <w:rsid w:val="00B509C8"/>
    <w:rsid w:val="00B516C4"/>
    <w:rsid w:val="00B51AE3"/>
    <w:rsid w:val="00B51B43"/>
    <w:rsid w:val="00B51B59"/>
    <w:rsid w:val="00B5230B"/>
    <w:rsid w:val="00B52368"/>
    <w:rsid w:val="00B52979"/>
    <w:rsid w:val="00B52A42"/>
    <w:rsid w:val="00B5300E"/>
    <w:rsid w:val="00B533BD"/>
    <w:rsid w:val="00B53461"/>
    <w:rsid w:val="00B535D5"/>
    <w:rsid w:val="00B5361E"/>
    <w:rsid w:val="00B539FE"/>
    <w:rsid w:val="00B53C7A"/>
    <w:rsid w:val="00B53F4C"/>
    <w:rsid w:val="00B545BA"/>
    <w:rsid w:val="00B5484A"/>
    <w:rsid w:val="00B54E19"/>
    <w:rsid w:val="00B54F51"/>
    <w:rsid w:val="00B54FA5"/>
    <w:rsid w:val="00B54FAA"/>
    <w:rsid w:val="00B551FF"/>
    <w:rsid w:val="00B556DE"/>
    <w:rsid w:val="00B558AC"/>
    <w:rsid w:val="00B559F2"/>
    <w:rsid w:val="00B55AF7"/>
    <w:rsid w:val="00B55E7B"/>
    <w:rsid w:val="00B55EF0"/>
    <w:rsid w:val="00B56192"/>
    <w:rsid w:val="00B56B12"/>
    <w:rsid w:val="00B56EAC"/>
    <w:rsid w:val="00B57314"/>
    <w:rsid w:val="00B57560"/>
    <w:rsid w:val="00B5790F"/>
    <w:rsid w:val="00B57A04"/>
    <w:rsid w:val="00B57C13"/>
    <w:rsid w:val="00B57CAC"/>
    <w:rsid w:val="00B57D6E"/>
    <w:rsid w:val="00B57D88"/>
    <w:rsid w:val="00B57FBA"/>
    <w:rsid w:val="00B602CC"/>
    <w:rsid w:val="00B60412"/>
    <w:rsid w:val="00B606E9"/>
    <w:rsid w:val="00B6093F"/>
    <w:rsid w:val="00B60A08"/>
    <w:rsid w:val="00B60B1C"/>
    <w:rsid w:val="00B60BBF"/>
    <w:rsid w:val="00B60E16"/>
    <w:rsid w:val="00B61038"/>
    <w:rsid w:val="00B619E9"/>
    <w:rsid w:val="00B61A22"/>
    <w:rsid w:val="00B61B2F"/>
    <w:rsid w:val="00B61F0C"/>
    <w:rsid w:val="00B61F14"/>
    <w:rsid w:val="00B6220B"/>
    <w:rsid w:val="00B6227F"/>
    <w:rsid w:val="00B6299E"/>
    <w:rsid w:val="00B62BDA"/>
    <w:rsid w:val="00B62C83"/>
    <w:rsid w:val="00B62F28"/>
    <w:rsid w:val="00B631E5"/>
    <w:rsid w:val="00B635E5"/>
    <w:rsid w:val="00B63A1B"/>
    <w:rsid w:val="00B63B6E"/>
    <w:rsid w:val="00B63CEE"/>
    <w:rsid w:val="00B63D3E"/>
    <w:rsid w:val="00B63E60"/>
    <w:rsid w:val="00B6455F"/>
    <w:rsid w:val="00B6465D"/>
    <w:rsid w:val="00B64BF7"/>
    <w:rsid w:val="00B64E7C"/>
    <w:rsid w:val="00B65197"/>
    <w:rsid w:val="00B655FC"/>
    <w:rsid w:val="00B65662"/>
    <w:rsid w:val="00B65809"/>
    <w:rsid w:val="00B65A34"/>
    <w:rsid w:val="00B65C1B"/>
    <w:rsid w:val="00B65DC1"/>
    <w:rsid w:val="00B65DF0"/>
    <w:rsid w:val="00B66363"/>
    <w:rsid w:val="00B66510"/>
    <w:rsid w:val="00B66A1A"/>
    <w:rsid w:val="00B66AAC"/>
    <w:rsid w:val="00B670B8"/>
    <w:rsid w:val="00B672B5"/>
    <w:rsid w:val="00B673BE"/>
    <w:rsid w:val="00B67490"/>
    <w:rsid w:val="00B67976"/>
    <w:rsid w:val="00B67B3F"/>
    <w:rsid w:val="00B67CD3"/>
    <w:rsid w:val="00B7012E"/>
    <w:rsid w:val="00B701EA"/>
    <w:rsid w:val="00B70287"/>
    <w:rsid w:val="00B705A9"/>
    <w:rsid w:val="00B70A7B"/>
    <w:rsid w:val="00B70D6E"/>
    <w:rsid w:val="00B71034"/>
    <w:rsid w:val="00B7110B"/>
    <w:rsid w:val="00B7126B"/>
    <w:rsid w:val="00B71275"/>
    <w:rsid w:val="00B716F1"/>
    <w:rsid w:val="00B716F7"/>
    <w:rsid w:val="00B71784"/>
    <w:rsid w:val="00B7182B"/>
    <w:rsid w:val="00B719EE"/>
    <w:rsid w:val="00B71C33"/>
    <w:rsid w:val="00B72187"/>
    <w:rsid w:val="00B725DC"/>
    <w:rsid w:val="00B72626"/>
    <w:rsid w:val="00B73057"/>
    <w:rsid w:val="00B733DC"/>
    <w:rsid w:val="00B736C5"/>
    <w:rsid w:val="00B73A93"/>
    <w:rsid w:val="00B73C28"/>
    <w:rsid w:val="00B7407D"/>
    <w:rsid w:val="00B74610"/>
    <w:rsid w:val="00B74665"/>
    <w:rsid w:val="00B74E26"/>
    <w:rsid w:val="00B750A1"/>
    <w:rsid w:val="00B7554A"/>
    <w:rsid w:val="00B75640"/>
    <w:rsid w:val="00B759A6"/>
    <w:rsid w:val="00B759C3"/>
    <w:rsid w:val="00B75A11"/>
    <w:rsid w:val="00B75A31"/>
    <w:rsid w:val="00B75BA1"/>
    <w:rsid w:val="00B75BB5"/>
    <w:rsid w:val="00B75ECF"/>
    <w:rsid w:val="00B75F22"/>
    <w:rsid w:val="00B75FE5"/>
    <w:rsid w:val="00B76001"/>
    <w:rsid w:val="00B7621A"/>
    <w:rsid w:val="00B762D5"/>
    <w:rsid w:val="00B767E0"/>
    <w:rsid w:val="00B76832"/>
    <w:rsid w:val="00B768C5"/>
    <w:rsid w:val="00B768F4"/>
    <w:rsid w:val="00B76941"/>
    <w:rsid w:val="00B769A0"/>
    <w:rsid w:val="00B76A17"/>
    <w:rsid w:val="00B76A9B"/>
    <w:rsid w:val="00B76E80"/>
    <w:rsid w:val="00B76FC1"/>
    <w:rsid w:val="00B7711F"/>
    <w:rsid w:val="00B7723D"/>
    <w:rsid w:val="00B776E4"/>
    <w:rsid w:val="00B77817"/>
    <w:rsid w:val="00B77F55"/>
    <w:rsid w:val="00B801A3"/>
    <w:rsid w:val="00B80610"/>
    <w:rsid w:val="00B806C7"/>
    <w:rsid w:val="00B8098A"/>
    <w:rsid w:val="00B81154"/>
    <w:rsid w:val="00B81361"/>
    <w:rsid w:val="00B8138D"/>
    <w:rsid w:val="00B813D1"/>
    <w:rsid w:val="00B8188E"/>
    <w:rsid w:val="00B81B3C"/>
    <w:rsid w:val="00B81E09"/>
    <w:rsid w:val="00B81E38"/>
    <w:rsid w:val="00B81EBB"/>
    <w:rsid w:val="00B81F63"/>
    <w:rsid w:val="00B825E9"/>
    <w:rsid w:val="00B826A2"/>
    <w:rsid w:val="00B826FC"/>
    <w:rsid w:val="00B82906"/>
    <w:rsid w:val="00B831F8"/>
    <w:rsid w:val="00B83363"/>
    <w:rsid w:val="00B83730"/>
    <w:rsid w:val="00B83A7E"/>
    <w:rsid w:val="00B83B7C"/>
    <w:rsid w:val="00B83E30"/>
    <w:rsid w:val="00B841B0"/>
    <w:rsid w:val="00B84269"/>
    <w:rsid w:val="00B84399"/>
    <w:rsid w:val="00B84BD7"/>
    <w:rsid w:val="00B84E47"/>
    <w:rsid w:val="00B84F38"/>
    <w:rsid w:val="00B84FB0"/>
    <w:rsid w:val="00B851B5"/>
    <w:rsid w:val="00B85296"/>
    <w:rsid w:val="00B8534F"/>
    <w:rsid w:val="00B85807"/>
    <w:rsid w:val="00B85933"/>
    <w:rsid w:val="00B85E11"/>
    <w:rsid w:val="00B85E69"/>
    <w:rsid w:val="00B8604B"/>
    <w:rsid w:val="00B86D5D"/>
    <w:rsid w:val="00B86DB3"/>
    <w:rsid w:val="00B870B6"/>
    <w:rsid w:val="00B870D8"/>
    <w:rsid w:val="00B872CE"/>
    <w:rsid w:val="00B87419"/>
    <w:rsid w:val="00B8780F"/>
    <w:rsid w:val="00B87F9E"/>
    <w:rsid w:val="00B87FB4"/>
    <w:rsid w:val="00B901F6"/>
    <w:rsid w:val="00B90415"/>
    <w:rsid w:val="00B904BE"/>
    <w:rsid w:val="00B905EF"/>
    <w:rsid w:val="00B907C4"/>
    <w:rsid w:val="00B90BEB"/>
    <w:rsid w:val="00B91010"/>
    <w:rsid w:val="00B91018"/>
    <w:rsid w:val="00B91038"/>
    <w:rsid w:val="00B91159"/>
    <w:rsid w:val="00B914C4"/>
    <w:rsid w:val="00B915A7"/>
    <w:rsid w:val="00B91891"/>
    <w:rsid w:val="00B91D90"/>
    <w:rsid w:val="00B924A7"/>
    <w:rsid w:val="00B92DEB"/>
    <w:rsid w:val="00B92E85"/>
    <w:rsid w:val="00B93051"/>
    <w:rsid w:val="00B93660"/>
    <w:rsid w:val="00B93917"/>
    <w:rsid w:val="00B93AF4"/>
    <w:rsid w:val="00B93B1F"/>
    <w:rsid w:val="00B93DF4"/>
    <w:rsid w:val="00B93F7B"/>
    <w:rsid w:val="00B944E0"/>
    <w:rsid w:val="00B946F6"/>
    <w:rsid w:val="00B94B83"/>
    <w:rsid w:val="00B951A4"/>
    <w:rsid w:val="00B9537C"/>
    <w:rsid w:val="00B954EF"/>
    <w:rsid w:val="00B9579F"/>
    <w:rsid w:val="00B95921"/>
    <w:rsid w:val="00B9613D"/>
    <w:rsid w:val="00B961B9"/>
    <w:rsid w:val="00B961CD"/>
    <w:rsid w:val="00B96237"/>
    <w:rsid w:val="00B96242"/>
    <w:rsid w:val="00B96452"/>
    <w:rsid w:val="00B96653"/>
    <w:rsid w:val="00B968F6"/>
    <w:rsid w:val="00B96A82"/>
    <w:rsid w:val="00B96B20"/>
    <w:rsid w:val="00B96B63"/>
    <w:rsid w:val="00B96CEE"/>
    <w:rsid w:val="00B97170"/>
    <w:rsid w:val="00B974AA"/>
    <w:rsid w:val="00B97613"/>
    <w:rsid w:val="00B9774D"/>
    <w:rsid w:val="00B9776F"/>
    <w:rsid w:val="00B97C5C"/>
    <w:rsid w:val="00B97C8E"/>
    <w:rsid w:val="00B97DB0"/>
    <w:rsid w:val="00B97EC5"/>
    <w:rsid w:val="00B97F48"/>
    <w:rsid w:val="00BA00A5"/>
    <w:rsid w:val="00BA05C9"/>
    <w:rsid w:val="00BA06D7"/>
    <w:rsid w:val="00BA0939"/>
    <w:rsid w:val="00BA09DC"/>
    <w:rsid w:val="00BA0A01"/>
    <w:rsid w:val="00BA0A39"/>
    <w:rsid w:val="00BA0ED0"/>
    <w:rsid w:val="00BA0F9C"/>
    <w:rsid w:val="00BA12B2"/>
    <w:rsid w:val="00BA14D4"/>
    <w:rsid w:val="00BA15A4"/>
    <w:rsid w:val="00BA1834"/>
    <w:rsid w:val="00BA1A9C"/>
    <w:rsid w:val="00BA2036"/>
    <w:rsid w:val="00BA24D1"/>
    <w:rsid w:val="00BA2537"/>
    <w:rsid w:val="00BA2643"/>
    <w:rsid w:val="00BA268B"/>
    <w:rsid w:val="00BA28F7"/>
    <w:rsid w:val="00BA2DA1"/>
    <w:rsid w:val="00BA2F5A"/>
    <w:rsid w:val="00BA32AC"/>
    <w:rsid w:val="00BA33CB"/>
    <w:rsid w:val="00BA33D9"/>
    <w:rsid w:val="00BA3526"/>
    <w:rsid w:val="00BA379A"/>
    <w:rsid w:val="00BA38A3"/>
    <w:rsid w:val="00BA3BBE"/>
    <w:rsid w:val="00BA3C47"/>
    <w:rsid w:val="00BA4258"/>
    <w:rsid w:val="00BA45AC"/>
    <w:rsid w:val="00BA45B3"/>
    <w:rsid w:val="00BA45F2"/>
    <w:rsid w:val="00BA468A"/>
    <w:rsid w:val="00BA4827"/>
    <w:rsid w:val="00BA4C69"/>
    <w:rsid w:val="00BA5316"/>
    <w:rsid w:val="00BA5599"/>
    <w:rsid w:val="00BA5613"/>
    <w:rsid w:val="00BA5CD8"/>
    <w:rsid w:val="00BA64E2"/>
    <w:rsid w:val="00BA6793"/>
    <w:rsid w:val="00BA683B"/>
    <w:rsid w:val="00BA690A"/>
    <w:rsid w:val="00BA6949"/>
    <w:rsid w:val="00BA6AB7"/>
    <w:rsid w:val="00BA6D04"/>
    <w:rsid w:val="00BA6F32"/>
    <w:rsid w:val="00BA712F"/>
    <w:rsid w:val="00BA77B3"/>
    <w:rsid w:val="00BA7802"/>
    <w:rsid w:val="00BA7B1F"/>
    <w:rsid w:val="00BA7D93"/>
    <w:rsid w:val="00BA7E79"/>
    <w:rsid w:val="00BA7E84"/>
    <w:rsid w:val="00BA7EBF"/>
    <w:rsid w:val="00BB00CC"/>
    <w:rsid w:val="00BB00D4"/>
    <w:rsid w:val="00BB01E2"/>
    <w:rsid w:val="00BB03CC"/>
    <w:rsid w:val="00BB0E02"/>
    <w:rsid w:val="00BB133C"/>
    <w:rsid w:val="00BB1778"/>
    <w:rsid w:val="00BB17D7"/>
    <w:rsid w:val="00BB180F"/>
    <w:rsid w:val="00BB200F"/>
    <w:rsid w:val="00BB22AD"/>
    <w:rsid w:val="00BB22E9"/>
    <w:rsid w:val="00BB231D"/>
    <w:rsid w:val="00BB239C"/>
    <w:rsid w:val="00BB27A9"/>
    <w:rsid w:val="00BB2B4C"/>
    <w:rsid w:val="00BB2DEF"/>
    <w:rsid w:val="00BB2F66"/>
    <w:rsid w:val="00BB311B"/>
    <w:rsid w:val="00BB33B8"/>
    <w:rsid w:val="00BB3E29"/>
    <w:rsid w:val="00BB3E39"/>
    <w:rsid w:val="00BB402C"/>
    <w:rsid w:val="00BB403C"/>
    <w:rsid w:val="00BB4A5B"/>
    <w:rsid w:val="00BB4E4C"/>
    <w:rsid w:val="00BB508F"/>
    <w:rsid w:val="00BB53F1"/>
    <w:rsid w:val="00BB5473"/>
    <w:rsid w:val="00BB55EC"/>
    <w:rsid w:val="00BB575B"/>
    <w:rsid w:val="00BB58B1"/>
    <w:rsid w:val="00BB5DCE"/>
    <w:rsid w:val="00BB609D"/>
    <w:rsid w:val="00BB6112"/>
    <w:rsid w:val="00BB63BB"/>
    <w:rsid w:val="00BB68E2"/>
    <w:rsid w:val="00BB68F7"/>
    <w:rsid w:val="00BB7062"/>
    <w:rsid w:val="00BB72EC"/>
    <w:rsid w:val="00BB72F4"/>
    <w:rsid w:val="00BB736B"/>
    <w:rsid w:val="00BB740B"/>
    <w:rsid w:val="00BB74F2"/>
    <w:rsid w:val="00BB758E"/>
    <w:rsid w:val="00BB7786"/>
    <w:rsid w:val="00BB79DE"/>
    <w:rsid w:val="00BB79F5"/>
    <w:rsid w:val="00BB7B89"/>
    <w:rsid w:val="00BB7BB4"/>
    <w:rsid w:val="00BB7C89"/>
    <w:rsid w:val="00BB7CEF"/>
    <w:rsid w:val="00BB7D11"/>
    <w:rsid w:val="00BC0495"/>
    <w:rsid w:val="00BC049A"/>
    <w:rsid w:val="00BC052A"/>
    <w:rsid w:val="00BC071B"/>
    <w:rsid w:val="00BC07CE"/>
    <w:rsid w:val="00BC09F7"/>
    <w:rsid w:val="00BC1077"/>
    <w:rsid w:val="00BC108A"/>
    <w:rsid w:val="00BC16CC"/>
    <w:rsid w:val="00BC16FA"/>
    <w:rsid w:val="00BC1A04"/>
    <w:rsid w:val="00BC1BAF"/>
    <w:rsid w:val="00BC1E84"/>
    <w:rsid w:val="00BC2075"/>
    <w:rsid w:val="00BC2223"/>
    <w:rsid w:val="00BC2302"/>
    <w:rsid w:val="00BC254C"/>
    <w:rsid w:val="00BC2898"/>
    <w:rsid w:val="00BC28D7"/>
    <w:rsid w:val="00BC2BEE"/>
    <w:rsid w:val="00BC2D30"/>
    <w:rsid w:val="00BC2E87"/>
    <w:rsid w:val="00BC2F06"/>
    <w:rsid w:val="00BC349C"/>
    <w:rsid w:val="00BC3B73"/>
    <w:rsid w:val="00BC3E9B"/>
    <w:rsid w:val="00BC3EA2"/>
    <w:rsid w:val="00BC3F45"/>
    <w:rsid w:val="00BC4025"/>
    <w:rsid w:val="00BC44F1"/>
    <w:rsid w:val="00BC4B3E"/>
    <w:rsid w:val="00BC4C4F"/>
    <w:rsid w:val="00BC5272"/>
    <w:rsid w:val="00BC549F"/>
    <w:rsid w:val="00BC55CC"/>
    <w:rsid w:val="00BC58AB"/>
    <w:rsid w:val="00BC59B1"/>
    <w:rsid w:val="00BC5C01"/>
    <w:rsid w:val="00BC6158"/>
    <w:rsid w:val="00BC61AE"/>
    <w:rsid w:val="00BC61E7"/>
    <w:rsid w:val="00BC6279"/>
    <w:rsid w:val="00BC6A58"/>
    <w:rsid w:val="00BC6FD9"/>
    <w:rsid w:val="00BC7083"/>
    <w:rsid w:val="00BC7468"/>
    <w:rsid w:val="00BC74B1"/>
    <w:rsid w:val="00BC75EE"/>
    <w:rsid w:val="00BC7693"/>
    <w:rsid w:val="00BC7934"/>
    <w:rsid w:val="00BC7945"/>
    <w:rsid w:val="00BC7FA9"/>
    <w:rsid w:val="00BD027B"/>
    <w:rsid w:val="00BD05CE"/>
    <w:rsid w:val="00BD05FE"/>
    <w:rsid w:val="00BD061D"/>
    <w:rsid w:val="00BD0963"/>
    <w:rsid w:val="00BD0A0E"/>
    <w:rsid w:val="00BD0A23"/>
    <w:rsid w:val="00BD0D05"/>
    <w:rsid w:val="00BD102E"/>
    <w:rsid w:val="00BD11EF"/>
    <w:rsid w:val="00BD128B"/>
    <w:rsid w:val="00BD16CE"/>
    <w:rsid w:val="00BD17F9"/>
    <w:rsid w:val="00BD1966"/>
    <w:rsid w:val="00BD1B3E"/>
    <w:rsid w:val="00BD1D9E"/>
    <w:rsid w:val="00BD24F7"/>
    <w:rsid w:val="00BD28B9"/>
    <w:rsid w:val="00BD2A79"/>
    <w:rsid w:val="00BD2C24"/>
    <w:rsid w:val="00BD2CD2"/>
    <w:rsid w:val="00BD2E7D"/>
    <w:rsid w:val="00BD3247"/>
    <w:rsid w:val="00BD3511"/>
    <w:rsid w:val="00BD3518"/>
    <w:rsid w:val="00BD3D71"/>
    <w:rsid w:val="00BD3FA7"/>
    <w:rsid w:val="00BD45C5"/>
    <w:rsid w:val="00BD45D3"/>
    <w:rsid w:val="00BD45EB"/>
    <w:rsid w:val="00BD469D"/>
    <w:rsid w:val="00BD46CD"/>
    <w:rsid w:val="00BD4B1D"/>
    <w:rsid w:val="00BD4B66"/>
    <w:rsid w:val="00BD4B69"/>
    <w:rsid w:val="00BD4CF8"/>
    <w:rsid w:val="00BD4D33"/>
    <w:rsid w:val="00BD4F3B"/>
    <w:rsid w:val="00BD510F"/>
    <w:rsid w:val="00BD5564"/>
    <w:rsid w:val="00BD583E"/>
    <w:rsid w:val="00BD5C03"/>
    <w:rsid w:val="00BD5F03"/>
    <w:rsid w:val="00BD6012"/>
    <w:rsid w:val="00BD665E"/>
    <w:rsid w:val="00BD67E2"/>
    <w:rsid w:val="00BD6C75"/>
    <w:rsid w:val="00BD6FB4"/>
    <w:rsid w:val="00BD6FE9"/>
    <w:rsid w:val="00BD718B"/>
    <w:rsid w:val="00BD7286"/>
    <w:rsid w:val="00BD751D"/>
    <w:rsid w:val="00BD7721"/>
    <w:rsid w:val="00BD7F0B"/>
    <w:rsid w:val="00BE035A"/>
    <w:rsid w:val="00BE09CB"/>
    <w:rsid w:val="00BE0EE8"/>
    <w:rsid w:val="00BE11EF"/>
    <w:rsid w:val="00BE139E"/>
    <w:rsid w:val="00BE15FD"/>
    <w:rsid w:val="00BE1853"/>
    <w:rsid w:val="00BE1AFB"/>
    <w:rsid w:val="00BE1E83"/>
    <w:rsid w:val="00BE2071"/>
    <w:rsid w:val="00BE20BA"/>
    <w:rsid w:val="00BE215A"/>
    <w:rsid w:val="00BE21B1"/>
    <w:rsid w:val="00BE2915"/>
    <w:rsid w:val="00BE2B0E"/>
    <w:rsid w:val="00BE2E06"/>
    <w:rsid w:val="00BE32A7"/>
    <w:rsid w:val="00BE33C0"/>
    <w:rsid w:val="00BE35C2"/>
    <w:rsid w:val="00BE38B6"/>
    <w:rsid w:val="00BE3B2F"/>
    <w:rsid w:val="00BE414A"/>
    <w:rsid w:val="00BE4564"/>
    <w:rsid w:val="00BE46FA"/>
    <w:rsid w:val="00BE486E"/>
    <w:rsid w:val="00BE4D2F"/>
    <w:rsid w:val="00BE4D71"/>
    <w:rsid w:val="00BE4E2D"/>
    <w:rsid w:val="00BE4F7C"/>
    <w:rsid w:val="00BE5095"/>
    <w:rsid w:val="00BE554D"/>
    <w:rsid w:val="00BE5852"/>
    <w:rsid w:val="00BE598C"/>
    <w:rsid w:val="00BE59C2"/>
    <w:rsid w:val="00BE5A79"/>
    <w:rsid w:val="00BE625D"/>
    <w:rsid w:val="00BE62AE"/>
    <w:rsid w:val="00BE62F1"/>
    <w:rsid w:val="00BE64D5"/>
    <w:rsid w:val="00BE6C64"/>
    <w:rsid w:val="00BE6DA2"/>
    <w:rsid w:val="00BE6EDF"/>
    <w:rsid w:val="00BE789C"/>
    <w:rsid w:val="00BE7A99"/>
    <w:rsid w:val="00BF0536"/>
    <w:rsid w:val="00BF0568"/>
    <w:rsid w:val="00BF0593"/>
    <w:rsid w:val="00BF0C14"/>
    <w:rsid w:val="00BF0E31"/>
    <w:rsid w:val="00BF0F46"/>
    <w:rsid w:val="00BF176C"/>
    <w:rsid w:val="00BF230F"/>
    <w:rsid w:val="00BF2512"/>
    <w:rsid w:val="00BF2616"/>
    <w:rsid w:val="00BF2965"/>
    <w:rsid w:val="00BF2ABD"/>
    <w:rsid w:val="00BF3133"/>
    <w:rsid w:val="00BF342C"/>
    <w:rsid w:val="00BF3434"/>
    <w:rsid w:val="00BF34C6"/>
    <w:rsid w:val="00BF356F"/>
    <w:rsid w:val="00BF3C64"/>
    <w:rsid w:val="00BF3E70"/>
    <w:rsid w:val="00BF3F57"/>
    <w:rsid w:val="00BF4021"/>
    <w:rsid w:val="00BF428E"/>
    <w:rsid w:val="00BF462C"/>
    <w:rsid w:val="00BF482C"/>
    <w:rsid w:val="00BF4D0D"/>
    <w:rsid w:val="00BF4F05"/>
    <w:rsid w:val="00BF517C"/>
    <w:rsid w:val="00BF54D0"/>
    <w:rsid w:val="00BF5655"/>
    <w:rsid w:val="00BF59F9"/>
    <w:rsid w:val="00BF5D29"/>
    <w:rsid w:val="00BF5D7A"/>
    <w:rsid w:val="00BF5EAA"/>
    <w:rsid w:val="00BF5ECE"/>
    <w:rsid w:val="00BF5EE8"/>
    <w:rsid w:val="00BF60CF"/>
    <w:rsid w:val="00BF637F"/>
    <w:rsid w:val="00BF6667"/>
    <w:rsid w:val="00BF67CE"/>
    <w:rsid w:val="00BF6844"/>
    <w:rsid w:val="00BF6883"/>
    <w:rsid w:val="00BF6C16"/>
    <w:rsid w:val="00BF6CC3"/>
    <w:rsid w:val="00BF6D2E"/>
    <w:rsid w:val="00BF6FBB"/>
    <w:rsid w:val="00BF6FC4"/>
    <w:rsid w:val="00BF729D"/>
    <w:rsid w:val="00BF72CC"/>
    <w:rsid w:val="00BF75B4"/>
    <w:rsid w:val="00BF774F"/>
    <w:rsid w:val="00BF7A8C"/>
    <w:rsid w:val="00BF7D6B"/>
    <w:rsid w:val="00BF7F8A"/>
    <w:rsid w:val="00C002FC"/>
    <w:rsid w:val="00C00B9B"/>
    <w:rsid w:val="00C00BBB"/>
    <w:rsid w:val="00C017A8"/>
    <w:rsid w:val="00C019E1"/>
    <w:rsid w:val="00C01FFC"/>
    <w:rsid w:val="00C02450"/>
    <w:rsid w:val="00C02625"/>
    <w:rsid w:val="00C028FD"/>
    <w:rsid w:val="00C02EEB"/>
    <w:rsid w:val="00C02F47"/>
    <w:rsid w:val="00C03193"/>
    <w:rsid w:val="00C0346C"/>
    <w:rsid w:val="00C03493"/>
    <w:rsid w:val="00C03595"/>
    <w:rsid w:val="00C03B31"/>
    <w:rsid w:val="00C03BEC"/>
    <w:rsid w:val="00C03E42"/>
    <w:rsid w:val="00C03F90"/>
    <w:rsid w:val="00C04004"/>
    <w:rsid w:val="00C0406F"/>
    <w:rsid w:val="00C04080"/>
    <w:rsid w:val="00C0413D"/>
    <w:rsid w:val="00C04906"/>
    <w:rsid w:val="00C04A99"/>
    <w:rsid w:val="00C04B86"/>
    <w:rsid w:val="00C04D50"/>
    <w:rsid w:val="00C04DAF"/>
    <w:rsid w:val="00C04EB0"/>
    <w:rsid w:val="00C050E9"/>
    <w:rsid w:val="00C051D7"/>
    <w:rsid w:val="00C0546B"/>
    <w:rsid w:val="00C056E2"/>
    <w:rsid w:val="00C058C5"/>
    <w:rsid w:val="00C06123"/>
    <w:rsid w:val="00C061C4"/>
    <w:rsid w:val="00C0639A"/>
    <w:rsid w:val="00C066B0"/>
    <w:rsid w:val="00C0690C"/>
    <w:rsid w:val="00C06C2F"/>
    <w:rsid w:val="00C06D95"/>
    <w:rsid w:val="00C077CB"/>
    <w:rsid w:val="00C077E1"/>
    <w:rsid w:val="00C079A6"/>
    <w:rsid w:val="00C07A38"/>
    <w:rsid w:val="00C07D59"/>
    <w:rsid w:val="00C10030"/>
    <w:rsid w:val="00C10276"/>
    <w:rsid w:val="00C103A9"/>
    <w:rsid w:val="00C10945"/>
    <w:rsid w:val="00C10C44"/>
    <w:rsid w:val="00C10D2B"/>
    <w:rsid w:val="00C1145A"/>
    <w:rsid w:val="00C114E2"/>
    <w:rsid w:val="00C1163D"/>
    <w:rsid w:val="00C116C9"/>
    <w:rsid w:val="00C1171F"/>
    <w:rsid w:val="00C118D4"/>
    <w:rsid w:val="00C11EC0"/>
    <w:rsid w:val="00C11FA6"/>
    <w:rsid w:val="00C120CE"/>
    <w:rsid w:val="00C127B9"/>
    <w:rsid w:val="00C12A29"/>
    <w:rsid w:val="00C12C89"/>
    <w:rsid w:val="00C12D8F"/>
    <w:rsid w:val="00C12F5C"/>
    <w:rsid w:val="00C132BF"/>
    <w:rsid w:val="00C13764"/>
    <w:rsid w:val="00C13819"/>
    <w:rsid w:val="00C13853"/>
    <w:rsid w:val="00C138A9"/>
    <w:rsid w:val="00C13B57"/>
    <w:rsid w:val="00C13D32"/>
    <w:rsid w:val="00C143C2"/>
    <w:rsid w:val="00C144C7"/>
    <w:rsid w:val="00C14A01"/>
    <w:rsid w:val="00C14A46"/>
    <w:rsid w:val="00C14AFF"/>
    <w:rsid w:val="00C14B33"/>
    <w:rsid w:val="00C15256"/>
    <w:rsid w:val="00C152D3"/>
    <w:rsid w:val="00C15833"/>
    <w:rsid w:val="00C15862"/>
    <w:rsid w:val="00C15B88"/>
    <w:rsid w:val="00C15E11"/>
    <w:rsid w:val="00C162FD"/>
    <w:rsid w:val="00C168A2"/>
    <w:rsid w:val="00C16930"/>
    <w:rsid w:val="00C16DF6"/>
    <w:rsid w:val="00C17261"/>
    <w:rsid w:val="00C17318"/>
    <w:rsid w:val="00C176F5"/>
    <w:rsid w:val="00C17EF4"/>
    <w:rsid w:val="00C2002D"/>
    <w:rsid w:val="00C2054B"/>
    <w:rsid w:val="00C20835"/>
    <w:rsid w:val="00C20982"/>
    <w:rsid w:val="00C20AE6"/>
    <w:rsid w:val="00C20DFF"/>
    <w:rsid w:val="00C21356"/>
    <w:rsid w:val="00C214DA"/>
    <w:rsid w:val="00C2166B"/>
    <w:rsid w:val="00C21979"/>
    <w:rsid w:val="00C21C54"/>
    <w:rsid w:val="00C21C8F"/>
    <w:rsid w:val="00C21E4E"/>
    <w:rsid w:val="00C21F5D"/>
    <w:rsid w:val="00C2200D"/>
    <w:rsid w:val="00C22077"/>
    <w:rsid w:val="00C220D6"/>
    <w:rsid w:val="00C22160"/>
    <w:rsid w:val="00C221B1"/>
    <w:rsid w:val="00C22414"/>
    <w:rsid w:val="00C22687"/>
    <w:rsid w:val="00C229AF"/>
    <w:rsid w:val="00C22C19"/>
    <w:rsid w:val="00C22E1D"/>
    <w:rsid w:val="00C23049"/>
    <w:rsid w:val="00C230AF"/>
    <w:rsid w:val="00C239F7"/>
    <w:rsid w:val="00C23A22"/>
    <w:rsid w:val="00C23C34"/>
    <w:rsid w:val="00C2401A"/>
    <w:rsid w:val="00C2408B"/>
    <w:rsid w:val="00C24A23"/>
    <w:rsid w:val="00C24C24"/>
    <w:rsid w:val="00C24CD1"/>
    <w:rsid w:val="00C25381"/>
    <w:rsid w:val="00C254A4"/>
    <w:rsid w:val="00C25776"/>
    <w:rsid w:val="00C257D2"/>
    <w:rsid w:val="00C25B29"/>
    <w:rsid w:val="00C25BD1"/>
    <w:rsid w:val="00C25BF1"/>
    <w:rsid w:val="00C26219"/>
    <w:rsid w:val="00C2648D"/>
    <w:rsid w:val="00C265E8"/>
    <w:rsid w:val="00C26630"/>
    <w:rsid w:val="00C26763"/>
    <w:rsid w:val="00C267A8"/>
    <w:rsid w:val="00C26975"/>
    <w:rsid w:val="00C26B56"/>
    <w:rsid w:val="00C26D07"/>
    <w:rsid w:val="00C26E6C"/>
    <w:rsid w:val="00C2721E"/>
    <w:rsid w:val="00C272B0"/>
    <w:rsid w:val="00C277E5"/>
    <w:rsid w:val="00C2782C"/>
    <w:rsid w:val="00C27CCD"/>
    <w:rsid w:val="00C27FF6"/>
    <w:rsid w:val="00C300E9"/>
    <w:rsid w:val="00C3026D"/>
    <w:rsid w:val="00C303AB"/>
    <w:rsid w:val="00C303F9"/>
    <w:rsid w:val="00C30795"/>
    <w:rsid w:val="00C30C1A"/>
    <w:rsid w:val="00C30E7F"/>
    <w:rsid w:val="00C3107A"/>
    <w:rsid w:val="00C314D0"/>
    <w:rsid w:val="00C314EF"/>
    <w:rsid w:val="00C31612"/>
    <w:rsid w:val="00C3177E"/>
    <w:rsid w:val="00C3187D"/>
    <w:rsid w:val="00C31C75"/>
    <w:rsid w:val="00C31D09"/>
    <w:rsid w:val="00C31EB1"/>
    <w:rsid w:val="00C31F66"/>
    <w:rsid w:val="00C31FC7"/>
    <w:rsid w:val="00C32002"/>
    <w:rsid w:val="00C325C9"/>
    <w:rsid w:val="00C328D4"/>
    <w:rsid w:val="00C32A79"/>
    <w:rsid w:val="00C32AA0"/>
    <w:rsid w:val="00C32D27"/>
    <w:rsid w:val="00C32EF4"/>
    <w:rsid w:val="00C3314B"/>
    <w:rsid w:val="00C332B0"/>
    <w:rsid w:val="00C33801"/>
    <w:rsid w:val="00C33813"/>
    <w:rsid w:val="00C33A4E"/>
    <w:rsid w:val="00C33E68"/>
    <w:rsid w:val="00C340AE"/>
    <w:rsid w:val="00C3431C"/>
    <w:rsid w:val="00C344A7"/>
    <w:rsid w:val="00C3485A"/>
    <w:rsid w:val="00C348D1"/>
    <w:rsid w:val="00C34D08"/>
    <w:rsid w:val="00C34F80"/>
    <w:rsid w:val="00C35304"/>
    <w:rsid w:val="00C3547D"/>
    <w:rsid w:val="00C35525"/>
    <w:rsid w:val="00C3564E"/>
    <w:rsid w:val="00C3565A"/>
    <w:rsid w:val="00C3570B"/>
    <w:rsid w:val="00C35D1D"/>
    <w:rsid w:val="00C360DB"/>
    <w:rsid w:val="00C3612F"/>
    <w:rsid w:val="00C36567"/>
    <w:rsid w:val="00C366FA"/>
    <w:rsid w:val="00C36716"/>
    <w:rsid w:val="00C367BE"/>
    <w:rsid w:val="00C368F8"/>
    <w:rsid w:val="00C369A3"/>
    <w:rsid w:val="00C36B52"/>
    <w:rsid w:val="00C36D3A"/>
    <w:rsid w:val="00C370F9"/>
    <w:rsid w:val="00C3726D"/>
    <w:rsid w:val="00C3733D"/>
    <w:rsid w:val="00C37615"/>
    <w:rsid w:val="00C37860"/>
    <w:rsid w:val="00C37A60"/>
    <w:rsid w:val="00C37C44"/>
    <w:rsid w:val="00C37C90"/>
    <w:rsid w:val="00C37D06"/>
    <w:rsid w:val="00C37E0C"/>
    <w:rsid w:val="00C4003A"/>
    <w:rsid w:val="00C40293"/>
    <w:rsid w:val="00C40305"/>
    <w:rsid w:val="00C404A8"/>
    <w:rsid w:val="00C4064C"/>
    <w:rsid w:val="00C406B1"/>
    <w:rsid w:val="00C40965"/>
    <w:rsid w:val="00C409D7"/>
    <w:rsid w:val="00C41194"/>
    <w:rsid w:val="00C416D6"/>
    <w:rsid w:val="00C41EB5"/>
    <w:rsid w:val="00C41F65"/>
    <w:rsid w:val="00C42153"/>
    <w:rsid w:val="00C42343"/>
    <w:rsid w:val="00C4236A"/>
    <w:rsid w:val="00C424F5"/>
    <w:rsid w:val="00C42890"/>
    <w:rsid w:val="00C4289D"/>
    <w:rsid w:val="00C42D6B"/>
    <w:rsid w:val="00C42E04"/>
    <w:rsid w:val="00C434F8"/>
    <w:rsid w:val="00C4365C"/>
    <w:rsid w:val="00C4370B"/>
    <w:rsid w:val="00C43A26"/>
    <w:rsid w:val="00C43A44"/>
    <w:rsid w:val="00C43A50"/>
    <w:rsid w:val="00C43D06"/>
    <w:rsid w:val="00C43D0F"/>
    <w:rsid w:val="00C43E1E"/>
    <w:rsid w:val="00C442A0"/>
    <w:rsid w:val="00C443B1"/>
    <w:rsid w:val="00C44532"/>
    <w:rsid w:val="00C44539"/>
    <w:rsid w:val="00C446FB"/>
    <w:rsid w:val="00C44891"/>
    <w:rsid w:val="00C44B0A"/>
    <w:rsid w:val="00C44BB0"/>
    <w:rsid w:val="00C44C2F"/>
    <w:rsid w:val="00C44CB0"/>
    <w:rsid w:val="00C452B7"/>
    <w:rsid w:val="00C45349"/>
    <w:rsid w:val="00C45570"/>
    <w:rsid w:val="00C45838"/>
    <w:rsid w:val="00C45B04"/>
    <w:rsid w:val="00C45D8D"/>
    <w:rsid w:val="00C45DD6"/>
    <w:rsid w:val="00C463D3"/>
    <w:rsid w:val="00C466B2"/>
    <w:rsid w:val="00C4672C"/>
    <w:rsid w:val="00C46CA7"/>
    <w:rsid w:val="00C46E67"/>
    <w:rsid w:val="00C4711B"/>
    <w:rsid w:val="00C47424"/>
    <w:rsid w:val="00C4770F"/>
    <w:rsid w:val="00C4792C"/>
    <w:rsid w:val="00C479EF"/>
    <w:rsid w:val="00C47B33"/>
    <w:rsid w:val="00C47B67"/>
    <w:rsid w:val="00C47BC8"/>
    <w:rsid w:val="00C47F3B"/>
    <w:rsid w:val="00C5004A"/>
    <w:rsid w:val="00C500C6"/>
    <w:rsid w:val="00C501A7"/>
    <w:rsid w:val="00C503C8"/>
    <w:rsid w:val="00C5081C"/>
    <w:rsid w:val="00C50A69"/>
    <w:rsid w:val="00C50AC6"/>
    <w:rsid w:val="00C50B4D"/>
    <w:rsid w:val="00C50D6C"/>
    <w:rsid w:val="00C50EE9"/>
    <w:rsid w:val="00C50F0F"/>
    <w:rsid w:val="00C51555"/>
    <w:rsid w:val="00C5170E"/>
    <w:rsid w:val="00C51976"/>
    <w:rsid w:val="00C51A1C"/>
    <w:rsid w:val="00C51CC0"/>
    <w:rsid w:val="00C51CCE"/>
    <w:rsid w:val="00C521DE"/>
    <w:rsid w:val="00C5249C"/>
    <w:rsid w:val="00C52CD7"/>
    <w:rsid w:val="00C52ED3"/>
    <w:rsid w:val="00C52FE4"/>
    <w:rsid w:val="00C530FC"/>
    <w:rsid w:val="00C534DF"/>
    <w:rsid w:val="00C535F3"/>
    <w:rsid w:val="00C5372A"/>
    <w:rsid w:val="00C53A89"/>
    <w:rsid w:val="00C53EAE"/>
    <w:rsid w:val="00C5400C"/>
    <w:rsid w:val="00C541A0"/>
    <w:rsid w:val="00C54C2D"/>
    <w:rsid w:val="00C54D78"/>
    <w:rsid w:val="00C54DA6"/>
    <w:rsid w:val="00C5507D"/>
    <w:rsid w:val="00C55295"/>
    <w:rsid w:val="00C55575"/>
    <w:rsid w:val="00C558C8"/>
    <w:rsid w:val="00C55D56"/>
    <w:rsid w:val="00C55D93"/>
    <w:rsid w:val="00C55F03"/>
    <w:rsid w:val="00C561C6"/>
    <w:rsid w:val="00C562BF"/>
    <w:rsid w:val="00C566C1"/>
    <w:rsid w:val="00C566EC"/>
    <w:rsid w:val="00C568D1"/>
    <w:rsid w:val="00C5694F"/>
    <w:rsid w:val="00C569A8"/>
    <w:rsid w:val="00C56B63"/>
    <w:rsid w:val="00C56CC0"/>
    <w:rsid w:val="00C5711C"/>
    <w:rsid w:val="00C57145"/>
    <w:rsid w:val="00C57336"/>
    <w:rsid w:val="00C577B4"/>
    <w:rsid w:val="00C57863"/>
    <w:rsid w:val="00C57BEC"/>
    <w:rsid w:val="00C57C6F"/>
    <w:rsid w:val="00C57F5A"/>
    <w:rsid w:val="00C60059"/>
    <w:rsid w:val="00C600D7"/>
    <w:rsid w:val="00C60725"/>
    <w:rsid w:val="00C607F5"/>
    <w:rsid w:val="00C60868"/>
    <w:rsid w:val="00C609C1"/>
    <w:rsid w:val="00C609C8"/>
    <w:rsid w:val="00C60B2F"/>
    <w:rsid w:val="00C60E7D"/>
    <w:rsid w:val="00C6135C"/>
    <w:rsid w:val="00C61414"/>
    <w:rsid w:val="00C61584"/>
    <w:rsid w:val="00C6176B"/>
    <w:rsid w:val="00C6188F"/>
    <w:rsid w:val="00C61B1F"/>
    <w:rsid w:val="00C61D0F"/>
    <w:rsid w:val="00C61DCC"/>
    <w:rsid w:val="00C62899"/>
    <w:rsid w:val="00C62BA6"/>
    <w:rsid w:val="00C630F3"/>
    <w:rsid w:val="00C63128"/>
    <w:rsid w:val="00C632CD"/>
    <w:rsid w:val="00C6363F"/>
    <w:rsid w:val="00C6370C"/>
    <w:rsid w:val="00C63CD3"/>
    <w:rsid w:val="00C63E03"/>
    <w:rsid w:val="00C640AA"/>
    <w:rsid w:val="00C64128"/>
    <w:rsid w:val="00C6429B"/>
    <w:rsid w:val="00C6448A"/>
    <w:rsid w:val="00C645AE"/>
    <w:rsid w:val="00C64BEF"/>
    <w:rsid w:val="00C64C9F"/>
    <w:rsid w:val="00C650E8"/>
    <w:rsid w:val="00C65233"/>
    <w:rsid w:val="00C654F9"/>
    <w:rsid w:val="00C659A5"/>
    <w:rsid w:val="00C659ED"/>
    <w:rsid w:val="00C65A08"/>
    <w:rsid w:val="00C65CA6"/>
    <w:rsid w:val="00C65D5F"/>
    <w:rsid w:val="00C65D9B"/>
    <w:rsid w:val="00C6607E"/>
    <w:rsid w:val="00C6614D"/>
    <w:rsid w:val="00C66556"/>
    <w:rsid w:val="00C66D1B"/>
    <w:rsid w:val="00C66D42"/>
    <w:rsid w:val="00C67161"/>
    <w:rsid w:val="00C67813"/>
    <w:rsid w:val="00C67848"/>
    <w:rsid w:val="00C678CE"/>
    <w:rsid w:val="00C67A0A"/>
    <w:rsid w:val="00C67CF1"/>
    <w:rsid w:val="00C67F16"/>
    <w:rsid w:val="00C70093"/>
    <w:rsid w:val="00C70217"/>
    <w:rsid w:val="00C70628"/>
    <w:rsid w:val="00C7090F"/>
    <w:rsid w:val="00C70CC6"/>
    <w:rsid w:val="00C70DAA"/>
    <w:rsid w:val="00C712ED"/>
    <w:rsid w:val="00C715F9"/>
    <w:rsid w:val="00C71F8F"/>
    <w:rsid w:val="00C71FCA"/>
    <w:rsid w:val="00C7229D"/>
    <w:rsid w:val="00C7234B"/>
    <w:rsid w:val="00C724F2"/>
    <w:rsid w:val="00C7259D"/>
    <w:rsid w:val="00C72A68"/>
    <w:rsid w:val="00C72AB0"/>
    <w:rsid w:val="00C73012"/>
    <w:rsid w:val="00C73769"/>
    <w:rsid w:val="00C7390F"/>
    <w:rsid w:val="00C73CE1"/>
    <w:rsid w:val="00C73E09"/>
    <w:rsid w:val="00C73F45"/>
    <w:rsid w:val="00C73F76"/>
    <w:rsid w:val="00C73FDE"/>
    <w:rsid w:val="00C742C5"/>
    <w:rsid w:val="00C743D1"/>
    <w:rsid w:val="00C7440C"/>
    <w:rsid w:val="00C744D0"/>
    <w:rsid w:val="00C74553"/>
    <w:rsid w:val="00C745B2"/>
    <w:rsid w:val="00C7464C"/>
    <w:rsid w:val="00C751CE"/>
    <w:rsid w:val="00C757AC"/>
    <w:rsid w:val="00C758BC"/>
    <w:rsid w:val="00C75A81"/>
    <w:rsid w:val="00C75C2E"/>
    <w:rsid w:val="00C75E7A"/>
    <w:rsid w:val="00C762F8"/>
    <w:rsid w:val="00C76420"/>
    <w:rsid w:val="00C7664B"/>
    <w:rsid w:val="00C76729"/>
    <w:rsid w:val="00C769AA"/>
    <w:rsid w:val="00C76A93"/>
    <w:rsid w:val="00C76B49"/>
    <w:rsid w:val="00C76E9E"/>
    <w:rsid w:val="00C77121"/>
    <w:rsid w:val="00C775B1"/>
    <w:rsid w:val="00C77D07"/>
    <w:rsid w:val="00C77DC7"/>
    <w:rsid w:val="00C800E2"/>
    <w:rsid w:val="00C80226"/>
    <w:rsid w:val="00C8043C"/>
    <w:rsid w:val="00C805A3"/>
    <w:rsid w:val="00C809F0"/>
    <w:rsid w:val="00C80A9E"/>
    <w:rsid w:val="00C80C2B"/>
    <w:rsid w:val="00C80CC5"/>
    <w:rsid w:val="00C80D04"/>
    <w:rsid w:val="00C80E3A"/>
    <w:rsid w:val="00C81180"/>
    <w:rsid w:val="00C81844"/>
    <w:rsid w:val="00C81995"/>
    <w:rsid w:val="00C81BB9"/>
    <w:rsid w:val="00C81E42"/>
    <w:rsid w:val="00C81FA9"/>
    <w:rsid w:val="00C822BD"/>
    <w:rsid w:val="00C822D5"/>
    <w:rsid w:val="00C828C3"/>
    <w:rsid w:val="00C82B21"/>
    <w:rsid w:val="00C82D6E"/>
    <w:rsid w:val="00C82DA7"/>
    <w:rsid w:val="00C82F65"/>
    <w:rsid w:val="00C837A2"/>
    <w:rsid w:val="00C8380D"/>
    <w:rsid w:val="00C83E0C"/>
    <w:rsid w:val="00C83E0E"/>
    <w:rsid w:val="00C83E49"/>
    <w:rsid w:val="00C840AF"/>
    <w:rsid w:val="00C84AEC"/>
    <w:rsid w:val="00C84BAC"/>
    <w:rsid w:val="00C84CC0"/>
    <w:rsid w:val="00C84D09"/>
    <w:rsid w:val="00C84D70"/>
    <w:rsid w:val="00C8502B"/>
    <w:rsid w:val="00C85052"/>
    <w:rsid w:val="00C852A5"/>
    <w:rsid w:val="00C858C4"/>
    <w:rsid w:val="00C85E0F"/>
    <w:rsid w:val="00C8604F"/>
    <w:rsid w:val="00C860F3"/>
    <w:rsid w:val="00C8637C"/>
    <w:rsid w:val="00C864A5"/>
    <w:rsid w:val="00C865DF"/>
    <w:rsid w:val="00C866CE"/>
    <w:rsid w:val="00C866D4"/>
    <w:rsid w:val="00C86842"/>
    <w:rsid w:val="00C868EB"/>
    <w:rsid w:val="00C86C1F"/>
    <w:rsid w:val="00C86EE6"/>
    <w:rsid w:val="00C872B3"/>
    <w:rsid w:val="00C8757B"/>
    <w:rsid w:val="00C87766"/>
    <w:rsid w:val="00C87904"/>
    <w:rsid w:val="00C90365"/>
    <w:rsid w:val="00C90598"/>
    <w:rsid w:val="00C90626"/>
    <w:rsid w:val="00C90A11"/>
    <w:rsid w:val="00C90E9C"/>
    <w:rsid w:val="00C913DC"/>
    <w:rsid w:val="00C91614"/>
    <w:rsid w:val="00C916DF"/>
    <w:rsid w:val="00C91D85"/>
    <w:rsid w:val="00C91E4E"/>
    <w:rsid w:val="00C91F6E"/>
    <w:rsid w:val="00C91FB4"/>
    <w:rsid w:val="00C920DB"/>
    <w:rsid w:val="00C92231"/>
    <w:rsid w:val="00C9260E"/>
    <w:rsid w:val="00C926E9"/>
    <w:rsid w:val="00C9272C"/>
    <w:rsid w:val="00C927B6"/>
    <w:rsid w:val="00C928DC"/>
    <w:rsid w:val="00C92903"/>
    <w:rsid w:val="00C9294A"/>
    <w:rsid w:val="00C92B24"/>
    <w:rsid w:val="00C92E0B"/>
    <w:rsid w:val="00C93209"/>
    <w:rsid w:val="00C93C74"/>
    <w:rsid w:val="00C93D35"/>
    <w:rsid w:val="00C93FC4"/>
    <w:rsid w:val="00C94179"/>
    <w:rsid w:val="00C94252"/>
    <w:rsid w:val="00C94C40"/>
    <w:rsid w:val="00C94CD3"/>
    <w:rsid w:val="00C951F0"/>
    <w:rsid w:val="00C95366"/>
    <w:rsid w:val="00C954C3"/>
    <w:rsid w:val="00C95887"/>
    <w:rsid w:val="00C9598F"/>
    <w:rsid w:val="00C95C3E"/>
    <w:rsid w:val="00C96014"/>
    <w:rsid w:val="00C96177"/>
    <w:rsid w:val="00C961FC"/>
    <w:rsid w:val="00C967D4"/>
    <w:rsid w:val="00C96930"/>
    <w:rsid w:val="00C96FAA"/>
    <w:rsid w:val="00C97141"/>
    <w:rsid w:val="00C97142"/>
    <w:rsid w:val="00C97182"/>
    <w:rsid w:val="00C9744F"/>
    <w:rsid w:val="00C975A0"/>
    <w:rsid w:val="00C97BA3"/>
    <w:rsid w:val="00CA01E0"/>
    <w:rsid w:val="00CA035F"/>
    <w:rsid w:val="00CA06D5"/>
    <w:rsid w:val="00CA0C4F"/>
    <w:rsid w:val="00CA0E72"/>
    <w:rsid w:val="00CA0F35"/>
    <w:rsid w:val="00CA0F82"/>
    <w:rsid w:val="00CA1064"/>
    <w:rsid w:val="00CA189A"/>
    <w:rsid w:val="00CA2084"/>
    <w:rsid w:val="00CA2092"/>
    <w:rsid w:val="00CA2115"/>
    <w:rsid w:val="00CA2229"/>
    <w:rsid w:val="00CA239C"/>
    <w:rsid w:val="00CA23BD"/>
    <w:rsid w:val="00CA2571"/>
    <w:rsid w:val="00CA2EF7"/>
    <w:rsid w:val="00CA308B"/>
    <w:rsid w:val="00CA30C7"/>
    <w:rsid w:val="00CA3543"/>
    <w:rsid w:val="00CA35A2"/>
    <w:rsid w:val="00CA3A03"/>
    <w:rsid w:val="00CA3AD0"/>
    <w:rsid w:val="00CA3C32"/>
    <w:rsid w:val="00CA3CED"/>
    <w:rsid w:val="00CA3F12"/>
    <w:rsid w:val="00CA40F6"/>
    <w:rsid w:val="00CA4138"/>
    <w:rsid w:val="00CA45CD"/>
    <w:rsid w:val="00CA472A"/>
    <w:rsid w:val="00CA487E"/>
    <w:rsid w:val="00CA4946"/>
    <w:rsid w:val="00CA4A2D"/>
    <w:rsid w:val="00CA4DDB"/>
    <w:rsid w:val="00CA4E18"/>
    <w:rsid w:val="00CA506D"/>
    <w:rsid w:val="00CA51FE"/>
    <w:rsid w:val="00CA5635"/>
    <w:rsid w:val="00CA59B1"/>
    <w:rsid w:val="00CA5C80"/>
    <w:rsid w:val="00CA5D56"/>
    <w:rsid w:val="00CA6984"/>
    <w:rsid w:val="00CA6B62"/>
    <w:rsid w:val="00CA6D1F"/>
    <w:rsid w:val="00CA6DAF"/>
    <w:rsid w:val="00CA7114"/>
    <w:rsid w:val="00CA727D"/>
    <w:rsid w:val="00CA72E7"/>
    <w:rsid w:val="00CA7324"/>
    <w:rsid w:val="00CA74E4"/>
    <w:rsid w:val="00CA7A1A"/>
    <w:rsid w:val="00CA7BC2"/>
    <w:rsid w:val="00CB0026"/>
    <w:rsid w:val="00CB0520"/>
    <w:rsid w:val="00CB0774"/>
    <w:rsid w:val="00CB095F"/>
    <w:rsid w:val="00CB0985"/>
    <w:rsid w:val="00CB0B51"/>
    <w:rsid w:val="00CB0B97"/>
    <w:rsid w:val="00CB0CB5"/>
    <w:rsid w:val="00CB0E58"/>
    <w:rsid w:val="00CB0EBD"/>
    <w:rsid w:val="00CB0EC0"/>
    <w:rsid w:val="00CB104B"/>
    <w:rsid w:val="00CB10A4"/>
    <w:rsid w:val="00CB135D"/>
    <w:rsid w:val="00CB1428"/>
    <w:rsid w:val="00CB1651"/>
    <w:rsid w:val="00CB1951"/>
    <w:rsid w:val="00CB19D2"/>
    <w:rsid w:val="00CB1AD5"/>
    <w:rsid w:val="00CB1C15"/>
    <w:rsid w:val="00CB1D67"/>
    <w:rsid w:val="00CB2284"/>
    <w:rsid w:val="00CB25FE"/>
    <w:rsid w:val="00CB28A1"/>
    <w:rsid w:val="00CB2EC3"/>
    <w:rsid w:val="00CB2EC8"/>
    <w:rsid w:val="00CB2F6D"/>
    <w:rsid w:val="00CB3233"/>
    <w:rsid w:val="00CB3290"/>
    <w:rsid w:val="00CB38B0"/>
    <w:rsid w:val="00CB3D4C"/>
    <w:rsid w:val="00CB3E16"/>
    <w:rsid w:val="00CB40A1"/>
    <w:rsid w:val="00CB4299"/>
    <w:rsid w:val="00CB42DB"/>
    <w:rsid w:val="00CB440D"/>
    <w:rsid w:val="00CB4505"/>
    <w:rsid w:val="00CB47C1"/>
    <w:rsid w:val="00CB486D"/>
    <w:rsid w:val="00CB4CFE"/>
    <w:rsid w:val="00CB4F30"/>
    <w:rsid w:val="00CB5292"/>
    <w:rsid w:val="00CB56E5"/>
    <w:rsid w:val="00CB598B"/>
    <w:rsid w:val="00CB5E6F"/>
    <w:rsid w:val="00CB5F06"/>
    <w:rsid w:val="00CB60AC"/>
    <w:rsid w:val="00CB676C"/>
    <w:rsid w:val="00CB6828"/>
    <w:rsid w:val="00CB6899"/>
    <w:rsid w:val="00CB69E4"/>
    <w:rsid w:val="00CB6C1D"/>
    <w:rsid w:val="00CB6E2F"/>
    <w:rsid w:val="00CB6FDD"/>
    <w:rsid w:val="00CB7241"/>
    <w:rsid w:val="00CB7321"/>
    <w:rsid w:val="00CB74B5"/>
    <w:rsid w:val="00CB7942"/>
    <w:rsid w:val="00CB79FB"/>
    <w:rsid w:val="00CB7AB7"/>
    <w:rsid w:val="00CB7DD7"/>
    <w:rsid w:val="00CB7E40"/>
    <w:rsid w:val="00CB7F6A"/>
    <w:rsid w:val="00CC0141"/>
    <w:rsid w:val="00CC0354"/>
    <w:rsid w:val="00CC0465"/>
    <w:rsid w:val="00CC06C9"/>
    <w:rsid w:val="00CC084D"/>
    <w:rsid w:val="00CC095E"/>
    <w:rsid w:val="00CC0B7D"/>
    <w:rsid w:val="00CC1422"/>
    <w:rsid w:val="00CC1806"/>
    <w:rsid w:val="00CC1A6E"/>
    <w:rsid w:val="00CC1CD8"/>
    <w:rsid w:val="00CC1D61"/>
    <w:rsid w:val="00CC202F"/>
    <w:rsid w:val="00CC2218"/>
    <w:rsid w:val="00CC2227"/>
    <w:rsid w:val="00CC2628"/>
    <w:rsid w:val="00CC26C5"/>
    <w:rsid w:val="00CC278E"/>
    <w:rsid w:val="00CC2C45"/>
    <w:rsid w:val="00CC3180"/>
    <w:rsid w:val="00CC34C1"/>
    <w:rsid w:val="00CC3703"/>
    <w:rsid w:val="00CC3790"/>
    <w:rsid w:val="00CC3918"/>
    <w:rsid w:val="00CC3930"/>
    <w:rsid w:val="00CC394A"/>
    <w:rsid w:val="00CC40EB"/>
    <w:rsid w:val="00CC4201"/>
    <w:rsid w:val="00CC420F"/>
    <w:rsid w:val="00CC45F7"/>
    <w:rsid w:val="00CC46AC"/>
    <w:rsid w:val="00CC4BCE"/>
    <w:rsid w:val="00CC4C1F"/>
    <w:rsid w:val="00CC4D88"/>
    <w:rsid w:val="00CC5143"/>
    <w:rsid w:val="00CC5375"/>
    <w:rsid w:val="00CC53B3"/>
    <w:rsid w:val="00CC5535"/>
    <w:rsid w:val="00CC57D9"/>
    <w:rsid w:val="00CC59B8"/>
    <w:rsid w:val="00CC5B03"/>
    <w:rsid w:val="00CC5C27"/>
    <w:rsid w:val="00CC6006"/>
    <w:rsid w:val="00CC636E"/>
    <w:rsid w:val="00CC64FD"/>
    <w:rsid w:val="00CC678F"/>
    <w:rsid w:val="00CC6CFA"/>
    <w:rsid w:val="00CC7052"/>
    <w:rsid w:val="00CC708A"/>
    <w:rsid w:val="00CC714E"/>
    <w:rsid w:val="00CC7596"/>
    <w:rsid w:val="00CC7772"/>
    <w:rsid w:val="00CC77C4"/>
    <w:rsid w:val="00CC78E3"/>
    <w:rsid w:val="00CD0012"/>
    <w:rsid w:val="00CD0E3F"/>
    <w:rsid w:val="00CD1175"/>
    <w:rsid w:val="00CD129E"/>
    <w:rsid w:val="00CD153C"/>
    <w:rsid w:val="00CD1661"/>
    <w:rsid w:val="00CD168F"/>
    <w:rsid w:val="00CD231A"/>
    <w:rsid w:val="00CD246F"/>
    <w:rsid w:val="00CD25F4"/>
    <w:rsid w:val="00CD26DB"/>
    <w:rsid w:val="00CD293E"/>
    <w:rsid w:val="00CD2C87"/>
    <w:rsid w:val="00CD2D09"/>
    <w:rsid w:val="00CD2D97"/>
    <w:rsid w:val="00CD30D0"/>
    <w:rsid w:val="00CD3393"/>
    <w:rsid w:val="00CD33D5"/>
    <w:rsid w:val="00CD359D"/>
    <w:rsid w:val="00CD38FF"/>
    <w:rsid w:val="00CD3D07"/>
    <w:rsid w:val="00CD3D5F"/>
    <w:rsid w:val="00CD4567"/>
    <w:rsid w:val="00CD4617"/>
    <w:rsid w:val="00CD4623"/>
    <w:rsid w:val="00CD4677"/>
    <w:rsid w:val="00CD4C88"/>
    <w:rsid w:val="00CD4EED"/>
    <w:rsid w:val="00CD5037"/>
    <w:rsid w:val="00CD5575"/>
    <w:rsid w:val="00CD5961"/>
    <w:rsid w:val="00CD61F4"/>
    <w:rsid w:val="00CD63B8"/>
    <w:rsid w:val="00CD65C6"/>
    <w:rsid w:val="00CD687F"/>
    <w:rsid w:val="00CD70A9"/>
    <w:rsid w:val="00CD7368"/>
    <w:rsid w:val="00CD750A"/>
    <w:rsid w:val="00CD76C6"/>
    <w:rsid w:val="00CD7B0E"/>
    <w:rsid w:val="00CD7B82"/>
    <w:rsid w:val="00CD7BD4"/>
    <w:rsid w:val="00CD7CA4"/>
    <w:rsid w:val="00CD7EB8"/>
    <w:rsid w:val="00CD7ED0"/>
    <w:rsid w:val="00CD7FD8"/>
    <w:rsid w:val="00CE019C"/>
    <w:rsid w:val="00CE01EC"/>
    <w:rsid w:val="00CE04B4"/>
    <w:rsid w:val="00CE04C2"/>
    <w:rsid w:val="00CE0566"/>
    <w:rsid w:val="00CE0A44"/>
    <w:rsid w:val="00CE14DD"/>
    <w:rsid w:val="00CE15DF"/>
    <w:rsid w:val="00CE1A28"/>
    <w:rsid w:val="00CE1F59"/>
    <w:rsid w:val="00CE2322"/>
    <w:rsid w:val="00CE24CC"/>
    <w:rsid w:val="00CE24CF"/>
    <w:rsid w:val="00CE2801"/>
    <w:rsid w:val="00CE2887"/>
    <w:rsid w:val="00CE2934"/>
    <w:rsid w:val="00CE32AE"/>
    <w:rsid w:val="00CE3823"/>
    <w:rsid w:val="00CE3EA5"/>
    <w:rsid w:val="00CE3FF7"/>
    <w:rsid w:val="00CE42E4"/>
    <w:rsid w:val="00CE4413"/>
    <w:rsid w:val="00CE45BC"/>
    <w:rsid w:val="00CE45E4"/>
    <w:rsid w:val="00CE479D"/>
    <w:rsid w:val="00CE479F"/>
    <w:rsid w:val="00CE4A3F"/>
    <w:rsid w:val="00CE4D08"/>
    <w:rsid w:val="00CE4EBB"/>
    <w:rsid w:val="00CE501C"/>
    <w:rsid w:val="00CE5614"/>
    <w:rsid w:val="00CE5637"/>
    <w:rsid w:val="00CE582D"/>
    <w:rsid w:val="00CE588E"/>
    <w:rsid w:val="00CE5B2C"/>
    <w:rsid w:val="00CE5E88"/>
    <w:rsid w:val="00CE61C3"/>
    <w:rsid w:val="00CE635E"/>
    <w:rsid w:val="00CE661C"/>
    <w:rsid w:val="00CE68FD"/>
    <w:rsid w:val="00CE6BB4"/>
    <w:rsid w:val="00CE6DFD"/>
    <w:rsid w:val="00CE7208"/>
    <w:rsid w:val="00CE72CD"/>
    <w:rsid w:val="00CE7426"/>
    <w:rsid w:val="00CE7C53"/>
    <w:rsid w:val="00CF02BC"/>
    <w:rsid w:val="00CF0534"/>
    <w:rsid w:val="00CF0F11"/>
    <w:rsid w:val="00CF0FB4"/>
    <w:rsid w:val="00CF1146"/>
    <w:rsid w:val="00CF1581"/>
    <w:rsid w:val="00CF16AB"/>
    <w:rsid w:val="00CF1B5B"/>
    <w:rsid w:val="00CF1F89"/>
    <w:rsid w:val="00CF2206"/>
    <w:rsid w:val="00CF2227"/>
    <w:rsid w:val="00CF251B"/>
    <w:rsid w:val="00CF26E9"/>
    <w:rsid w:val="00CF291F"/>
    <w:rsid w:val="00CF2994"/>
    <w:rsid w:val="00CF2F38"/>
    <w:rsid w:val="00CF30D3"/>
    <w:rsid w:val="00CF31B0"/>
    <w:rsid w:val="00CF34F2"/>
    <w:rsid w:val="00CF34FB"/>
    <w:rsid w:val="00CF40F2"/>
    <w:rsid w:val="00CF42EC"/>
    <w:rsid w:val="00CF43D5"/>
    <w:rsid w:val="00CF4517"/>
    <w:rsid w:val="00CF47F5"/>
    <w:rsid w:val="00CF4A9E"/>
    <w:rsid w:val="00CF4B32"/>
    <w:rsid w:val="00CF4B3C"/>
    <w:rsid w:val="00CF4F1E"/>
    <w:rsid w:val="00CF50B7"/>
    <w:rsid w:val="00CF5193"/>
    <w:rsid w:val="00CF5670"/>
    <w:rsid w:val="00CF5775"/>
    <w:rsid w:val="00CF5D4F"/>
    <w:rsid w:val="00CF5E2C"/>
    <w:rsid w:val="00CF5FC8"/>
    <w:rsid w:val="00CF611E"/>
    <w:rsid w:val="00CF62DF"/>
    <w:rsid w:val="00CF6321"/>
    <w:rsid w:val="00CF63C0"/>
    <w:rsid w:val="00CF65B8"/>
    <w:rsid w:val="00CF6674"/>
    <w:rsid w:val="00CF6736"/>
    <w:rsid w:val="00CF6B2D"/>
    <w:rsid w:val="00CF6CD7"/>
    <w:rsid w:val="00CF6E7C"/>
    <w:rsid w:val="00CF6EC4"/>
    <w:rsid w:val="00CF6FDF"/>
    <w:rsid w:val="00CF7079"/>
    <w:rsid w:val="00CF7102"/>
    <w:rsid w:val="00CF7215"/>
    <w:rsid w:val="00CF7B8B"/>
    <w:rsid w:val="00CF7C8C"/>
    <w:rsid w:val="00CF7FE8"/>
    <w:rsid w:val="00D0017E"/>
    <w:rsid w:val="00D004B2"/>
    <w:rsid w:val="00D0054A"/>
    <w:rsid w:val="00D005E7"/>
    <w:rsid w:val="00D006C6"/>
    <w:rsid w:val="00D00ACB"/>
    <w:rsid w:val="00D00CA9"/>
    <w:rsid w:val="00D00FD7"/>
    <w:rsid w:val="00D01086"/>
    <w:rsid w:val="00D012A3"/>
    <w:rsid w:val="00D012B7"/>
    <w:rsid w:val="00D014F6"/>
    <w:rsid w:val="00D017FD"/>
    <w:rsid w:val="00D01A00"/>
    <w:rsid w:val="00D0240E"/>
    <w:rsid w:val="00D02ACB"/>
    <w:rsid w:val="00D02F2E"/>
    <w:rsid w:val="00D030D2"/>
    <w:rsid w:val="00D03376"/>
    <w:rsid w:val="00D035C8"/>
    <w:rsid w:val="00D0377E"/>
    <w:rsid w:val="00D037DC"/>
    <w:rsid w:val="00D0386C"/>
    <w:rsid w:val="00D03972"/>
    <w:rsid w:val="00D03A61"/>
    <w:rsid w:val="00D03B76"/>
    <w:rsid w:val="00D03B9B"/>
    <w:rsid w:val="00D03CFD"/>
    <w:rsid w:val="00D04311"/>
    <w:rsid w:val="00D043FB"/>
    <w:rsid w:val="00D0445C"/>
    <w:rsid w:val="00D0465F"/>
    <w:rsid w:val="00D04693"/>
    <w:rsid w:val="00D047DE"/>
    <w:rsid w:val="00D04AF7"/>
    <w:rsid w:val="00D04B5C"/>
    <w:rsid w:val="00D04C98"/>
    <w:rsid w:val="00D04EA8"/>
    <w:rsid w:val="00D04F11"/>
    <w:rsid w:val="00D04F16"/>
    <w:rsid w:val="00D055E1"/>
    <w:rsid w:val="00D056EA"/>
    <w:rsid w:val="00D059E6"/>
    <w:rsid w:val="00D05A80"/>
    <w:rsid w:val="00D05AF2"/>
    <w:rsid w:val="00D05BCE"/>
    <w:rsid w:val="00D05E38"/>
    <w:rsid w:val="00D0620C"/>
    <w:rsid w:val="00D0635D"/>
    <w:rsid w:val="00D0638F"/>
    <w:rsid w:val="00D065C8"/>
    <w:rsid w:val="00D0668F"/>
    <w:rsid w:val="00D06820"/>
    <w:rsid w:val="00D06AE6"/>
    <w:rsid w:val="00D07177"/>
    <w:rsid w:val="00D0720F"/>
    <w:rsid w:val="00D07345"/>
    <w:rsid w:val="00D076CD"/>
    <w:rsid w:val="00D07A97"/>
    <w:rsid w:val="00D07C54"/>
    <w:rsid w:val="00D07E6E"/>
    <w:rsid w:val="00D07F37"/>
    <w:rsid w:val="00D1043C"/>
    <w:rsid w:val="00D10480"/>
    <w:rsid w:val="00D1048C"/>
    <w:rsid w:val="00D10617"/>
    <w:rsid w:val="00D1074D"/>
    <w:rsid w:val="00D1083A"/>
    <w:rsid w:val="00D10AE6"/>
    <w:rsid w:val="00D10DBF"/>
    <w:rsid w:val="00D10F3D"/>
    <w:rsid w:val="00D114F5"/>
    <w:rsid w:val="00D11538"/>
    <w:rsid w:val="00D119E5"/>
    <w:rsid w:val="00D11E0A"/>
    <w:rsid w:val="00D11EAB"/>
    <w:rsid w:val="00D11F0E"/>
    <w:rsid w:val="00D12190"/>
    <w:rsid w:val="00D12434"/>
    <w:rsid w:val="00D12544"/>
    <w:rsid w:val="00D1264C"/>
    <w:rsid w:val="00D12A1D"/>
    <w:rsid w:val="00D12B61"/>
    <w:rsid w:val="00D131FA"/>
    <w:rsid w:val="00D1322B"/>
    <w:rsid w:val="00D1323E"/>
    <w:rsid w:val="00D134A1"/>
    <w:rsid w:val="00D1431A"/>
    <w:rsid w:val="00D14415"/>
    <w:rsid w:val="00D14434"/>
    <w:rsid w:val="00D147C2"/>
    <w:rsid w:val="00D149BA"/>
    <w:rsid w:val="00D14A38"/>
    <w:rsid w:val="00D14B54"/>
    <w:rsid w:val="00D14D89"/>
    <w:rsid w:val="00D150D8"/>
    <w:rsid w:val="00D151DE"/>
    <w:rsid w:val="00D157D5"/>
    <w:rsid w:val="00D159F1"/>
    <w:rsid w:val="00D15A9A"/>
    <w:rsid w:val="00D15C60"/>
    <w:rsid w:val="00D15E08"/>
    <w:rsid w:val="00D16039"/>
    <w:rsid w:val="00D163F2"/>
    <w:rsid w:val="00D1651B"/>
    <w:rsid w:val="00D165F4"/>
    <w:rsid w:val="00D16665"/>
    <w:rsid w:val="00D16955"/>
    <w:rsid w:val="00D16B5C"/>
    <w:rsid w:val="00D16C8F"/>
    <w:rsid w:val="00D16D61"/>
    <w:rsid w:val="00D16F27"/>
    <w:rsid w:val="00D1785A"/>
    <w:rsid w:val="00D1788D"/>
    <w:rsid w:val="00D17A2A"/>
    <w:rsid w:val="00D17DE8"/>
    <w:rsid w:val="00D17FF5"/>
    <w:rsid w:val="00D20907"/>
    <w:rsid w:val="00D20AD3"/>
    <w:rsid w:val="00D20D4F"/>
    <w:rsid w:val="00D21425"/>
    <w:rsid w:val="00D21911"/>
    <w:rsid w:val="00D21989"/>
    <w:rsid w:val="00D21DAB"/>
    <w:rsid w:val="00D221BB"/>
    <w:rsid w:val="00D22220"/>
    <w:rsid w:val="00D22934"/>
    <w:rsid w:val="00D22A59"/>
    <w:rsid w:val="00D22A6B"/>
    <w:rsid w:val="00D22BFD"/>
    <w:rsid w:val="00D22C14"/>
    <w:rsid w:val="00D22E97"/>
    <w:rsid w:val="00D2318A"/>
    <w:rsid w:val="00D231A0"/>
    <w:rsid w:val="00D232D7"/>
    <w:rsid w:val="00D2369F"/>
    <w:rsid w:val="00D236CF"/>
    <w:rsid w:val="00D23903"/>
    <w:rsid w:val="00D23B64"/>
    <w:rsid w:val="00D23CB0"/>
    <w:rsid w:val="00D23D81"/>
    <w:rsid w:val="00D23E72"/>
    <w:rsid w:val="00D23F0B"/>
    <w:rsid w:val="00D243A7"/>
    <w:rsid w:val="00D24C2D"/>
    <w:rsid w:val="00D251A3"/>
    <w:rsid w:val="00D251BE"/>
    <w:rsid w:val="00D25258"/>
    <w:rsid w:val="00D2527C"/>
    <w:rsid w:val="00D2536B"/>
    <w:rsid w:val="00D254C1"/>
    <w:rsid w:val="00D2573E"/>
    <w:rsid w:val="00D258BE"/>
    <w:rsid w:val="00D25B92"/>
    <w:rsid w:val="00D25C89"/>
    <w:rsid w:val="00D26379"/>
    <w:rsid w:val="00D26B6A"/>
    <w:rsid w:val="00D26C75"/>
    <w:rsid w:val="00D26F5B"/>
    <w:rsid w:val="00D27498"/>
    <w:rsid w:val="00D276B7"/>
    <w:rsid w:val="00D27C79"/>
    <w:rsid w:val="00D27D3C"/>
    <w:rsid w:val="00D301CF"/>
    <w:rsid w:val="00D30286"/>
    <w:rsid w:val="00D30375"/>
    <w:rsid w:val="00D303A4"/>
    <w:rsid w:val="00D303F0"/>
    <w:rsid w:val="00D304A7"/>
    <w:rsid w:val="00D308F7"/>
    <w:rsid w:val="00D3188C"/>
    <w:rsid w:val="00D31A06"/>
    <w:rsid w:val="00D31CFC"/>
    <w:rsid w:val="00D31EDE"/>
    <w:rsid w:val="00D31F4B"/>
    <w:rsid w:val="00D325A9"/>
    <w:rsid w:val="00D32847"/>
    <w:rsid w:val="00D32BEC"/>
    <w:rsid w:val="00D32C80"/>
    <w:rsid w:val="00D32F03"/>
    <w:rsid w:val="00D32FE6"/>
    <w:rsid w:val="00D3309C"/>
    <w:rsid w:val="00D330B7"/>
    <w:rsid w:val="00D33190"/>
    <w:rsid w:val="00D3346D"/>
    <w:rsid w:val="00D3379C"/>
    <w:rsid w:val="00D337F5"/>
    <w:rsid w:val="00D33A83"/>
    <w:rsid w:val="00D33D9F"/>
    <w:rsid w:val="00D33FFC"/>
    <w:rsid w:val="00D34049"/>
    <w:rsid w:val="00D341A8"/>
    <w:rsid w:val="00D34553"/>
    <w:rsid w:val="00D348FA"/>
    <w:rsid w:val="00D34CC0"/>
    <w:rsid w:val="00D34D5C"/>
    <w:rsid w:val="00D350E1"/>
    <w:rsid w:val="00D357F0"/>
    <w:rsid w:val="00D35D71"/>
    <w:rsid w:val="00D35E94"/>
    <w:rsid w:val="00D3610F"/>
    <w:rsid w:val="00D36555"/>
    <w:rsid w:val="00D36805"/>
    <w:rsid w:val="00D368A6"/>
    <w:rsid w:val="00D36909"/>
    <w:rsid w:val="00D376D2"/>
    <w:rsid w:val="00D3797D"/>
    <w:rsid w:val="00D40164"/>
    <w:rsid w:val="00D401B4"/>
    <w:rsid w:val="00D403D4"/>
    <w:rsid w:val="00D4041B"/>
    <w:rsid w:val="00D404DB"/>
    <w:rsid w:val="00D40B50"/>
    <w:rsid w:val="00D40B68"/>
    <w:rsid w:val="00D40E87"/>
    <w:rsid w:val="00D40ED9"/>
    <w:rsid w:val="00D41016"/>
    <w:rsid w:val="00D4119C"/>
    <w:rsid w:val="00D414A9"/>
    <w:rsid w:val="00D41701"/>
    <w:rsid w:val="00D417F0"/>
    <w:rsid w:val="00D42004"/>
    <w:rsid w:val="00D424E6"/>
    <w:rsid w:val="00D42732"/>
    <w:rsid w:val="00D427D9"/>
    <w:rsid w:val="00D4292C"/>
    <w:rsid w:val="00D42953"/>
    <w:rsid w:val="00D42D29"/>
    <w:rsid w:val="00D42EDF"/>
    <w:rsid w:val="00D42FA4"/>
    <w:rsid w:val="00D430BD"/>
    <w:rsid w:val="00D4312C"/>
    <w:rsid w:val="00D43336"/>
    <w:rsid w:val="00D433B8"/>
    <w:rsid w:val="00D4345C"/>
    <w:rsid w:val="00D435CB"/>
    <w:rsid w:val="00D43623"/>
    <w:rsid w:val="00D4375A"/>
    <w:rsid w:val="00D43A33"/>
    <w:rsid w:val="00D43CDA"/>
    <w:rsid w:val="00D44AC2"/>
    <w:rsid w:val="00D44D5C"/>
    <w:rsid w:val="00D45210"/>
    <w:rsid w:val="00D4540F"/>
    <w:rsid w:val="00D45C0B"/>
    <w:rsid w:val="00D45DDF"/>
    <w:rsid w:val="00D45E55"/>
    <w:rsid w:val="00D4639B"/>
    <w:rsid w:val="00D46576"/>
    <w:rsid w:val="00D46780"/>
    <w:rsid w:val="00D46AA3"/>
    <w:rsid w:val="00D47069"/>
    <w:rsid w:val="00D4711B"/>
    <w:rsid w:val="00D47671"/>
    <w:rsid w:val="00D47DAC"/>
    <w:rsid w:val="00D47DC8"/>
    <w:rsid w:val="00D47EA4"/>
    <w:rsid w:val="00D47EA7"/>
    <w:rsid w:val="00D47EFE"/>
    <w:rsid w:val="00D502EF"/>
    <w:rsid w:val="00D5057E"/>
    <w:rsid w:val="00D506C4"/>
    <w:rsid w:val="00D50730"/>
    <w:rsid w:val="00D5089D"/>
    <w:rsid w:val="00D5096A"/>
    <w:rsid w:val="00D50B7B"/>
    <w:rsid w:val="00D50EFA"/>
    <w:rsid w:val="00D50F5C"/>
    <w:rsid w:val="00D5110D"/>
    <w:rsid w:val="00D515C0"/>
    <w:rsid w:val="00D51639"/>
    <w:rsid w:val="00D5194A"/>
    <w:rsid w:val="00D51971"/>
    <w:rsid w:val="00D51A8B"/>
    <w:rsid w:val="00D51B28"/>
    <w:rsid w:val="00D526F1"/>
    <w:rsid w:val="00D5290D"/>
    <w:rsid w:val="00D52942"/>
    <w:rsid w:val="00D5295F"/>
    <w:rsid w:val="00D52A43"/>
    <w:rsid w:val="00D52B5C"/>
    <w:rsid w:val="00D52FF2"/>
    <w:rsid w:val="00D530B0"/>
    <w:rsid w:val="00D53211"/>
    <w:rsid w:val="00D53710"/>
    <w:rsid w:val="00D53988"/>
    <w:rsid w:val="00D54163"/>
    <w:rsid w:val="00D544DA"/>
    <w:rsid w:val="00D54F93"/>
    <w:rsid w:val="00D5518D"/>
    <w:rsid w:val="00D55C06"/>
    <w:rsid w:val="00D55E46"/>
    <w:rsid w:val="00D55FD3"/>
    <w:rsid w:val="00D56085"/>
    <w:rsid w:val="00D5634D"/>
    <w:rsid w:val="00D565C7"/>
    <w:rsid w:val="00D56635"/>
    <w:rsid w:val="00D56B3C"/>
    <w:rsid w:val="00D56E30"/>
    <w:rsid w:val="00D5727D"/>
    <w:rsid w:val="00D57708"/>
    <w:rsid w:val="00D57730"/>
    <w:rsid w:val="00D57803"/>
    <w:rsid w:val="00D579DB"/>
    <w:rsid w:val="00D57AA0"/>
    <w:rsid w:val="00D57C30"/>
    <w:rsid w:val="00D57E01"/>
    <w:rsid w:val="00D57EEF"/>
    <w:rsid w:val="00D6036E"/>
    <w:rsid w:val="00D60803"/>
    <w:rsid w:val="00D608CA"/>
    <w:rsid w:val="00D60BA7"/>
    <w:rsid w:val="00D6105F"/>
    <w:rsid w:val="00D61109"/>
    <w:rsid w:val="00D611FF"/>
    <w:rsid w:val="00D612F8"/>
    <w:rsid w:val="00D61341"/>
    <w:rsid w:val="00D615B3"/>
    <w:rsid w:val="00D61A51"/>
    <w:rsid w:val="00D6226E"/>
    <w:rsid w:val="00D627EB"/>
    <w:rsid w:val="00D62B02"/>
    <w:rsid w:val="00D63243"/>
    <w:rsid w:val="00D63525"/>
    <w:rsid w:val="00D64857"/>
    <w:rsid w:val="00D64904"/>
    <w:rsid w:val="00D64940"/>
    <w:rsid w:val="00D64D37"/>
    <w:rsid w:val="00D65011"/>
    <w:rsid w:val="00D6537A"/>
    <w:rsid w:val="00D654F8"/>
    <w:rsid w:val="00D6557A"/>
    <w:rsid w:val="00D65CCD"/>
    <w:rsid w:val="00D66401"/>
    <w:rsid w:val="00D66441"/>
    <w:rsid w:val="00D66A0B"/>
    <w:rsid w:val="00D66AF2"/>
    <w:rsid w:val="00D66BD2"/>
    <w:rsid w:val="00D66BD3"/>
    <w:rsid w:val="00D66DE3"/>
    <w:rsid w:val="00D66F47"/>
    <w:rsid w:val="00D674DB"/>
    <w:rsid w:val="00D678D1"/>
    <w:rsid w:val="00D678D4"/>
    <w:rsid w:val="00D678FC"/>
    <w:rsid w:val="00D70ABF"/>
    <w:rsid w:val="00D717C3"/>
    <w:rsid w:val="00D71833"/>
    <w:rsid w:val="00D71879"/>
    <w:rsid w:val="00D718C0"/>
    <w:rsid w:val="00D7192C"/>
    <w:rsid w:val="00D71C46"/>
    <w:rsid w:val="00D71E65"/>
    <w:rsid w:val="00D71E84"/>
    <w:rsid w:val="00D720DE"/>
    <w:rsid w:val="00D722F3"/>
    <w:rsid w:val="00D72742"/>
    <w:rsid w:val="00D728CD"/>
    <w:rsid w:val="00D72BAD"/>
    <w:rsid w:val="00D72C81"/>
    <w:rsid w:val="00D72F4C"/>
    <w:rsid w:val="00D72F60"/>
    <w:rsid w:val="00D72FF0"/>
    <w:rsid w:val="00D7353B"/>
    <w:rsid w:val="00D738D6"/>
    <w:rsid w:val="00D73997"/>
    <w:rsid w:val="00D73CA9"/>
    <w:rsid w:val="00D7468E"/>
    <w:rsid w:val="00D74B91"/>
    <w:rsid w:val="00D74D04"/>
    <w:rsid w:val="00D74EE0"/>
    <w:rsid w:val="00D74EEA"/>
    <w:rsid w:val="00D75185"/>
    <w:rsid w:val="00D75283"/>
    <w:rsid w:val="00D754DB"/>
    <w:rsid w:val="00D7640A"/>
    <w:rsid w:val="00D766D2"/>
    <w:rsid w:val="00D76C8F"/>
    <w:rsid w:val="00D76DC6"/>
    <w:rsid w:val="00D76E9C"/>
    <w:rsid w:val="00D7734D"/>
    <w:rsid w:val="00D7736E"/>
    <w:rsid w:val="00D7759B"/>
    <w:rsid w:val="00D77662"/>
    <w:rsid w:val="00D776BD"/>
    <w:rsid w:val="00D77872"/>
    <w:rsid w:val="00D77DCA"/>
    <w:rsid w:val="00D77E43"/>
    <w:rsid w:val="00D80186"/>
    <w:rsid w:val="00D8037C"/>
    <w:rsid w:val="00D80716"/>
    <w:rsid w:val="00D80B97"/>
    <w:rsid w:val="00D80C23"/>
    <w:rsid w:val="00D80E0E"/>
    <w:rsid w:val="00D80E3A"/>
    <w:rsid w:val="00D8144F"/>
    <w:rsid w:val="00D815B1"/>
    <w:rsid w:val="00D8196E"/>
    <w:rsid w:val="00D81EE2"/>
    <w:rsid w:val="00D8245F"/>
    <w:rsid w:val="00D8248E"/>
    <w:rsid w:val="00D825E3"/>
    <w:rsid w:val="00D82883"/>
    <w:rsid w:val="00D82A6A"/>
    <w:rsid w:val="00D82B4E"/>
    <w:rsid w:val="00D82CF2"/>
    <w:rsid w:val="00D82E17"/>
    <w:rsid w:val="00D82E69"/>
    <w:rsid w:val="00D82FDF"/>
    <w:rsid w:val="00D83179"/>
    <w:rsid w:val="00D832EE"/>
    <w:rsid w:val="00D83337"/>
    <w:rsid w:val="00D835A6"/>
    <w:rsid w:val="00D835D3"/>
    <w:rsid w:val="00D8373B"/>
    <w:rsid w:val="00D837ED"/>
    <w:rsid w:val="00D83818"/>
    <w:rsid w:val="00D8382B"/>
    <w:rsid w:val="00D83A55"/>
    <w:rsid w:val="00D83BED"/>
    <w:rsid w:val="00D83C1E"/>
    <w:rsid w:val="00D83D14"/>
    <w:rsid w:val="00D83E69"/>
    <w:rsid w:val="00D84102"/>
    <w:rsid w:val="00D8422B"/>
    <w:rsid w:val="00D844D9"/>
    <w:rsid w:val="00D846D1"/>
    <w:rsid w:val="00D84D13"/>
    <w:rsid w:val="00D850F5"/>
    <w:rsid w:val="00D85417"/>
    <w:rsid w:val="00D855ED"/>
    <w:rsid w:val="00D857A6"/>
    <w:rsid w:val="00D85F26"/>
    <w:rsid w:val="00D86012"/>
    <w:rsid w:val="00D86352"/>
    <w:rsid w:val="00D86515"/>
    <w:rsid w:val="00D86A9F"/>
    <w:rsid w:val="00D86DD2"/>
    <w:rsid w:val="00D872EB"/>
    <w:rsid w:val="00D874AA"/>
    <w:rsid w:val="00D87A62"/>
    <w:rsid w:val="00D87B1D"/>
    <w:rsid w:val="00D87DC6"/>
    <w:rsid w:val="00D87FC7"/>
    <w:rsid w:val="00D87FCF"/>
    <w:rsid w:val="00D908A2"/>
    <w:rsid w:val="00D90FA1"/>
    <w:rsid w:val="00D91226"/>
    <w:rsid w:val="00D91370"/>
    <w:rsid w:val="00D9186C"/>
    <w:rsid w:val="00D91C22"/>
    <w:rsid w:val="00D91C59"/>
    <w:rsid w:val="00D91FBD"/>
    <w:rsid w:val="00D91FCC"/>
    <w:rsid w:val="00D92242"/>
    <w:rsid w:val="00D9230F"/>
    <w:rsid w:val="00D92472"/>
    <w:rsid w:val="00D92881"/>
    <w:rsid w:val="00D92D28"/>
    <w:rsid w:val="00D92F9B"/>
    <w:rsid w:val="00D92FD3"/>
    <w:rsid w:val="00D931FD"/>
    <w:rsid w:val="00D932D5"/>
    <w:rsid w:val="00D933B2"/>
    <w:rsid w:val="00D9382C"/>
    <w:rsid w:val="00D93B1D"/>
    <w:rsid w:val="00D93C31"/>
    <w:rsid w:val="00D93C8B"/>
    <w:rsid w:val="00D93FED"/>
    <w:rsid w:val="00D94132"/>
    <w:rsid w:val="00D9438E"/>
    <w:rsid w:val="00D94582"/>
    <w:rsid w:val="00D9467C"/>
    <w:rsid w:val="00D94D69"/>
    <w:rsid w:val="00D95213"/>
    <w:rsid w:val="00D95382"/>
    <w:rsid w:val="00D956DF"/>
    <w:rsid w:val="00D956ED"/>
    <w:rsid w:val="00D95839"/>
    <w:rsid w:val="00D95E31"/>
    <w:rsid w:val="00D9606C"/>
    <w:rsid w:val="00D963D4"/>
    <w:rsid w:val="00D963F6"/>
    <w:rsid w:val="00D964F4"/>
    <w:rsid w:val="00D967DE"/>
    <w:rsid w:val="00D968C4"/>
    <w:rsid w:val="00D96A1C"/>
    <w:rsid w:val="00D96CF4"/>
    <w:rsid w:val="00D96F0C"/>
    <w:rsid w:val="00D972F2"/>
    <w:rsid w:val="00D97397"/>
    <w:rsid w:val="00D97420"/>
    <w:rsid w:val="00D97916"/>
    <w:rsid w:val="00D97A86"/>
    <w:rsid w:val="00D97B7D"/>
    <w:rsid w:val="00D97B93"/>
    <w:rsid w:val="00D97B9F"/>
    <w:rsid w:val="00D97E9D"/>
    <w:rsid w:val="00DA00D7"/>
    <w:rsid w:val="00DA0329"/>
    <w:rsid w:val="00DA036F"/>
    <w:rsid w:val="00DA04A6"/>
    <w:rsid w:val="00DA0ACF"/>
    <w:rsid w:val="00DA115D"/>
    <w:rsid w:val="00DA1350"/>
    <w:rsid w:val="00DA13BF"/>
    <w:rsid w:val="00DA177D"/>
    <w:rsid w:val="00DA19E9"/>
    <w:rsid w:val="00DA1B57"/>
    <w:rsid w:val="00DA1D41"/>
    <w:rsid w:val="00DA1D85"/>
    <w:rsid w:val="00DA2124"/>
    <w:rsid w:val="00DA2249"/>
    <w:rsid w:val="00DA265E"/>
    <w:rsid w:val="00DA266C"/>
    <w:rsid w:val="00DA26E7"/>
    <w:rsid w:val="00DA2795"/>
    <w:rsid w:val="00DA2893"/>
    <w:rsid w:val="00DA2A9D"/>
    <w:rsid w:val="00DA2BCC"/>
    <w:rsid w:val="00DA2D0E"/>
    <w:rsid w:val="00DA30E7"/>
    <w:rsid w:val="00DA3107"/>
    <w:rsid w:val="00DA3344"/>
    <w:rsid w:val="00DA3698"/>
    <w:rsid w:val="00DA37AC"/>
    <w:rsid w:val="00DA3D18"/>
    <w:rsid w:val="00DA3D5B"/>
    <w:rsid w:val="00DA4209"/>
    <w:rsid w:val="00DA4906"/>
    <w:rsid w:val="00DA4EA3"/>
    <w:rsid w:val="00DA5249"/>
    <w:rsid w:val="00DA526C"/>
    <w:rsid w:val="00DA55B5"/>
    <w:rsid w:val="00DA59B9"/>
    <w:rsid w:val="00DA5C7E"/>
    <w:rsid w:val="00DA5F6B"/>
    <w:rsid w:val="00DA6236"/>
    <w:rsid w:val="00DA6296"/>
    <w:rsid w:val="00DA65B0"/>
    <w:rsid w:val="00DA65FF"/>
    <w:rsid w:val="00DA6628"/>
    <w:rsid w:val="00DA68CA"/>
    <w:rsid w:val="00DA68E8"/>
    <w:rsid w:val="00DA6999"/>
    <w:rsid w:val="00DA6B07"/>
    <w:rsid w:val="00DA6B88"/>
    <w:rsid w:val="00DA6C29"/>
    <w:rsid w:val="00DA6DD5"/>
    <w:rsid w:val="00DA77F0"/>
    <w:rsid w:val="00DB008E"/>
    <w:rsid w:val="00DB055D"/>
    <w:rsid w:val="00DB070E"/>
    <w:rsid w:val="00DB0748"/>
    <w:rsid w:val="00DB0A02"/>
    <w:rsid w:val="00DB0A08"/>
    <w:rsid w:val="00DB0A8A"/>
    <w:rsid w:val="00DB0B82"/>
    <w:rsid w:val="00DB1253"/>
    <w:rsid w:val="00DB1333"/>
    <w:rsid w:val="00DB1486"/>
    <w:rsid w:val="00DB14B8"/>
    <w:rsid w:val="00DB1675"/>
    <w:rsid w:val="00DB1699"/>
    <w:rsid w:val="00DB1847"/>
    <w:rsid w:val="00DB2380"/>
    <w:rsid w:val="00DB2416"/>
    <w:rsid w:val="00DB247A"/>
    <w:rsid w:val="00DB255A"/>
    <w:rsid w:val="00DB25ED"/>
    <w:rsid w:val="00DB29FE"/>
    <w:rsid w:val="00DB2A78"/>
    <w:rsid w:val="00DB2BB2"/>
    <w:rsid w:val="00DB2D39"/>
    <w:rsid w:val="00DB323C"/>
    <w:rsid w:val="00DB36E1"/>
    <w:rsid w:val="00DB3DB8"/>
    <w:rsid w:val="00DB3F10"/>
    <w:rsid w:val="00DB42F1"/>
    <w:rsid w:val="00DB4312"/>
    <w:rsid w:val="00DB4382"/>
    <w:rsid w:val="00DB4459"/>
    <w:rsid w:val="00DB4C8E"/>
    <w:rsid w:val="00DB4D5F"/>
    <w:rsid w:val="00DB4DF1"/>
    <w:rsid w:val="00DB4EC8"/>
    <w:rsid w:val="00DB4F75"/>
    <w:rsid w:val="00DB5049"/>
    <w:rsid w:val="00DB50A6"/>
    <w:rsid w:val="00DB5105"/>
    <w:rsid w:val="00DB536A"/>
    <w:rsid w:val="00DB57F4"/>
    <w:rsid w:val="00DB5B26"/>
    <w:rsid w:val="00DB5BC2"/>
    <w:rsid w:val="00DB5DBE"/>
    <w:rsid w:val="00DB5F23"/>
    <w:rsid w:val="00DB5F7E"/>
    <w:rsid w:val="00DB60C8"/>
    <w:rsid w:val="00DB61AF"/>
    <w:rsid w:val="00DB6271"/>
    <w:rsid w:val="00DB67D0"/>
    <w:rsid w:val="00DB6938"/>
    <w:rsid w:val="00DB6B69"/>
    <w:rsid w:val="00DB6FCB"/>
    <w:rsid w:val="00DB74A8"/>
    <w:rsid w:val="00DB7596"/>
    <w:rsid w:val="00DB75D1"/>
    <w:rsid w:val="00DB779B"/>
    <w:rsid w:val="00DC01A5"/>
    <w:rsid w:val="00DC01AC"/>
    <w:rsid w:val="00DC0311"/>
    <w:rsid w:val="00DC03A5"/>
    <w:rsid w:val="00DC0577"/>
    <w:rsid w:val="00DC07DB"/>
    <w:rsid w:val="00DC09A3"/>
    <w:rsid w:val="00DC09CF"/>
    <w:rsid w:val="00DC09E4"/>
    <w:rsid w:val="00DC0F21"/>
    <w:rsid w:val="00DC0F62"/>
    <w:rsid w:val="00DC1012"/>
    <w:rsid w:val="00DC10C2"/>
    <w:rsid w:val="00DC10EA"/>
    <w:rsid w:val="00DC120C"/>
    <w:rsid w:val="00DC1310"/>
    <w:rsid w:val="00DC137A"/>
    <w:rsid w:val="00DC1462"/>
    <w:rsid w:val="00DC1600"/>
    <w:rsid w:val="00DC2002"/>
    <w:rsid w:val="00DC25D5"/>
    <w:rsid w:val="00DC2605"/>
    <w:rsid w:val="00DC2608"/>
    <w:rsid w:val="00DC2683"/>
    <w:rsid w:val="00DC26F5"/>
    <w:rsid w:val="00DC2A56"/>
    <w:rsid w:val="00DC2B58"/>
    <w:rsid w:val="00DC2D27"/>
    <w:rsid w:val="00DC2D46"/>
    <w:rsid w:val="00DC2E07"/>
    <w:rsid w:val="00DC2E0E"/>
    <w:rsid w:val="00DC2F29"/>
    <w:rsid w:val="00DC3135"/>
    <w:rsid w:val="00DC3287"/>
    <w:rsid w:val="00DC33EF"/>
    <w:rsid w:val="00DC35E2"/>
    <w:rsid w:val="00DC3723"/>
    <w:rsid w:val="00DC3B80"/>
    <w:rsid w:val="00DC41A4"/>
    <w:rsid w:val="00DC453C"/>
    <w:rsid w:val="00DC49EB"/>
    <w:rsid w:val="00DC4ADB"/>
    <w:rsid w:val="00DC4AF0"/>
    <w:rsid w:val="00DC5152"/>
    <w:rsid w:val="00DC539F"/>
    <w:rsid w:val="00DC56D5"/>
    <w:rsid w:val="00DC582B"/>
    <w:rsid w:val="00DC58D8"/>
    <w:rsid w:val="00DC58F0"/>
    <w:rsid w:val="00DC59A6"/>
    <w:rsid w:val="00DC5EED"/>
    <w:rsid w:val="00DC5F04"/>
    <w:rsid w:val="00DC5FF4"/>
    <w:rsid w:val="00DC65C4"/>
    <w:rsid w:val="00DC6677"/>
    <w:rsid w:val="00DC667D"/>
    <w:rsid w:val="00DC6705"/>
    <w:rsid w:val="00DC68EF"/>
    <w:rsid w:val="00DC6A97"/>
    <w:rsid w:val="00DC6EEC"/>
    <w:rsid w:val="00DC7022"/>
    <w:rsid w:val="00DC7298"/>
    <w:rsid w:val="00DC75D8"/>
    <w:rsid w:val="00DC76D1"/>
    <w:rsid w:val="00DC78F9"/>
    <w:rsid w:val="00DC7A95"/>
    <w:rsid w:val="00DC7D35"/>
    <w:rsid w:val="00DC7EFD"/>
    <w:rsid w:val="00DD03D4"/>
    <w:rsid w:val="00DD06C6"/>
    <w:rsid w:val="00DD07A4"/>
    <w:rsid w:val="00DD0A9F"/>
    <w:rsid w:val="00DD0D11"/>
    <w:rsid w:val="00DD0F60"/>
    <w:rsid w:val="00DD14FF"/>
    <w:rsid w:val="00DD16CD"/>
    <w:rsid w:val="00DD17D6"/>
    <w:rsid w:val="00DD1B0A"/>
    <w:rsid w:val="00DD1B2A"/>
    <w:rsid w:val="00DD1CF6"/>
    <w:rsid w:val="00DD2171"/>
    <w:rsid w:val="00DD22B9"/>
    <w:rsid w:val="00DD2395"/>
    <w:rsid w:val="00DD27E3"/>
    <w:rsid w:val="00DD28FB"/>
    <w:rsid w:val="00DD29A9"/>
    <w:rsid w:val="00DD2D76"/>
    <w:rsid w:val="00DD2E2A"/>
    <w:rsid w:val="00DD2F77"/>
    <w:rsid w:val="00DD3149"/>
    <w:rsid w:val="00DD328A"/>
    <w:rsid w:val="00DD364A"/>
    <w:rsid w:val="00DD3721"/>
    <w:rsid w:val="00DD3811"/>
    <w:rsid w:val="00DD3959"/>
    <w:rsid w:val="00DD3BF6"/>
    <w:rsid w:val="00DD3C96"/>
    <w:rsid w:val="00DD3CBB"/>
    <w:rsid w:val="00DD3FD0"/>
    <w:rsid w:val="00DD422B"/>
    <w:rsid w:val="00DD4315"/>
    <w:rsid w:val="00DD4741"/>
    <w:rsid w:val="00DD4938"/>
    <w:rsid w:val="00DD4C93"/>
    <w:rsid w:val="00DD4CE8"/>
    <w:rsid w:val="00DD5533"/>
    <w:rsid w:val="00DD59BF"/>
    <w:rsid w:val="00DD5C1C"/>
    <w:rsid w:val="00DD5F42"/>
    <w:rsid w:val="00DD610C"/>
    <w:rsid w:val="00DD61FE"/>
    <w:rsid w:val="00DD62E1"/>
    <w:rsid w:val="00DD6722"/>
    <w:rsid w:val="00DD6875"/>
    <w:rsid w:val="00DD6934"/>
    <w:rsid w:val="00DD6BEF"/>
    <w:rsid w:val="00DD6C01"/>
    <w:rsid w:val="00DD6EE1"/>
    <w:rsid w:val="00DD73EE"/>
    <w:rsid w:val="00DD7447"/>
    <w:rsid w:val="00DD79CC"/>
    <w:rsid w:val="00DD79F0"/>
    <w:rsid w:val="00DD7C3F"/>
    <w:rsid w:val="00DD7D45"/>
    <w:rsid w:val="00DD7D8D"/>
    <w:rsid w:val="00DE0312"/>
    <w:rsid w:val="00DE10A2"/>
    <w:rsid w:val="00DE1126"/>
    <w:rsid w:val="00DE11BF"/>
    <w:rsid w:val="00DE142F"/>
    <w:rsid w:val="00DE1F8C"/>
    <w:rsid w:val="00DE1FE1"/>
    <w:rsid w:val="00DE211D"/>
    <w:rsid w:val="00DE22F6"/>
    <w:rsid w:val="00DE2463"/>
    <w:rsid w:val="00DE2A9E"/>
    <w:rsid w:val="00DE2E6C"/>
    <w:rsid w:val="00DE3033"/>
    <w:rsid w:val="00DE347E"/>
    <w:rsid w:val="00DE34B3"/>
    <w:rsid w:val="00DE34EE"/>
    <w:rsid w:val="00DE354C"/>
    <w:rsid w:val="00DE38D8"/>
    <w:rsid w:val="00DE3B74"/>
    <w:rsid w:val="00DE3C28"/>
    <w:rsid w:val="00DE3C60"/>
    <w:rsid w:val="00DE3DF8"/>
    <w:rsid w:val="00DE3E65"/>
    <w:rsid w:val="00DE3FA7"/>
    <w:rsid w:val="00DE4194"/>
    <w:rsid w:val="00DE47F6"/>
    <w:rsid w:val="00DE4BDF"/>
    <w:rsid w:val="00DE4F44"/>
    <w:rsid w:val="00DE5004"/>
    <w:rsid w:val="00DE5309"/>
    <w:rsid w:val="00DE5BAD"/>
    <w:rsid w:val="00DE5D49"/>
    <w:rsid w:val="00DE61D4"/>
    <w:rsid w:val="00DE6276"/>
    <w:rsid w:val="00DE6364"/>
    <w:rsid w:val="00DE6809"/>
    <w:rsid w:val="00DE6B87"/>
    <w:rsid w:val="00DE733B"/>
    <w:rsid w:val="00DE749D"/>
    <w:rsid w:val="00DE7619"/>
    <w:rsid w:val="00DE7644"/>
    <w:rsid w:val="00DE7680"/>
    <w:rsid w:val="00DE78F7"/>
    <w:rsid w:val="00DE7A66"/>
    <w:rsid w:val="00DE7A80"/>
    <w:rsid w:val="00DE7E82"/>
    <w:rsid w:val="00DF04F2"/>
    <w:rsid w:val="00DF0598"/>
    <w:rsid w:val="00DF064A"/>
    <w:rsid w:val="00DF07D4"/>
    <w:rsid w:val="00DF0828"/>
    <w:rsid w:val="00DF084A"/>
    <w:rsid w:val="00DF085D"/>
    <w:rsid w:val="00DF12AA"/>
    <w:rsid w:val="00DF159D"/>
    <w:rsid w:val="00DF1618"/>
    <w:rsid w:val="00DF16F8"/>
    <w:rsid w:val="00DF195F"/>
    <w:rsid w:val="00DF1C6A"/>
    <w:rsid w:val="00DF1FAA"/>
    <w:rsid w:val="00DF1FF1"/>
    <w:rsid w:val="00DF2077"/>
    <w:rsid w:val="00DF220A"/>
    <w:rsid w:val="00DF22B3"/>
    <w:rsid w:val="00DF258A"/>
    <w:rsid w:val="00DF2701"/>
    <w:rsid w:val="00DF2851"/>
    <w:rsid w:val="00DF2978"/>
    <w:rsid w:val="00DF2C53"/>
    <w:rsid w:val="00DF2DD8"/>
    <w:rsid w:val="00DF2F11"/>
    <w:rsid w:val="00DF3000"/>
    <w:rsid w:val="00DF35D6"/>
    <w:rsid w:val="00DF3A61"/>
    <w:rsid w:val="00DF3DA4"/>
    <w:rsid w:val="00DF3E79"/>
    <w:rsid w:val="00DF41B5"/>
    <w:rsid w:val="00DF430F"/>
    <w:rsid w:val="00DF4474"/>
    <w:rsid w:val="00DF47F5"/>
    <w:rsid w:val="00DF4A3D"/>
    <w:rsid w:val="00DF5216"/>
    <w:rsid w:val="00DF5568"/>
    <w:rsid w:val="00DF5B17"/>
    <w:rsid w:val="00DF5BCD"/>
    <w:rsid w:val="00DF5E6A"/>
    <w:rsid w:val="00DF60F7"/>
    <w:rsid w:val="00DF6153"/>
    <w:rsid w:val="00DF637D"/>
    <w:rsid w:val="00DF64C6"/>
    <w:rsid w:val="00DF6604"/>
    <w:rsid w:val="00DF6A40"/>
    <w:rsid w:val="00DF6C82"/>
    <w:rsid w:val="00DF6E66"/>
    <w:rsid w:val="00DF6E87"/>
    <w:rsid w:val="00DF6F7E"/>
    <w:rsid w:val="00DF705D"/>
    <w:rsid w:val="00DF70E1"/>
    <w:rsid w:val="00DF75D2"/>
    <w:rsid w:val="00DF7CAD"/>
    <w:rsid w:val="00DF7D5C"/>
    <w:rsid w:val="00DF7F60"/>
    <w:rsid w:val="00DF7FAE"/>
    <w:rsid w:val="00E0018A"/>
    <w:rsid w:val="00E001CE"/>
    <w:rsid w:val="00E00404"/>
    <w:rsid w:val="00E00415"/>
    <w:rsid w:val="00E00B80"/>
    <w:rsid w:val="00E00CE5"/>
    <w:rsid w:val="00E00D3A"/>
    <w:rsid w:val="00E00D4E"/>
    <w:rsid w:val="00E00FF8"/>
    <w:rsid w:val="00E010F9"/>
    <w:rsid w:val="00E011D6"/>
    <w:rsid w:val="00E012DB"/>
    <w:rsid w:val="00E01372"/>
    <w:rsid w:val="00E01729"/>
    <w:rsid w:val="00E019B3"/>
    <w:rsid w:val="00E01F64"/>
    <w:rsid w:val="00E02089"/>
    <w:rsid w:val="00E021F2"/>
    <w:rsid w:val="00E02482"/>
    <w:rsid w:val="00E025F2"/>
    <w:rsid w:val="00E02884"/>
    <w:rsid w:val="00E02888"/>
    <w:rsid w:val="00E02F4A"/>
    <w:rsid w:val="00E03102"/>
    <w:rsid w:val="00E03293"/>
    <w:rsid w:val="00E03554"/>
    <w:rsid w:val="00E03813"/>
    <w:rsid w:val="00E03B65"/>
    <w:rsid w:val="00E03C32"/>
    <w:rsid w:val="00E03FB2"/>
    <w:rsid w:val="00E0418F"/>
    <w:rsid w:val="00E041B2"/>
    <w:rsid w:val="00E042F9"/>
    <w:rsid w:val="00E04396"/>
    <w:rsid w:val="00E043B3"/>
    <w:rsid w:val="00E043C4"/>
    <w:rsid w:val="00E046D3"/>
    <w:rsid w:val="00E047D3"/>
    <w:rsid w:val="00E051D4"/>
    <w:rsid w:val="00E05389"/>
    <w:rsid w:val="00E05408"/>
    <w:rsid w:val="00E057C7"/>
    <w:rsid w:val="00E057DD"/>
    <w:rsid w:val="00E059F9"/>
    <w:rsid w:val="00E05A1C"/>
    <w:rsid w:val="00E05A82"/>
    <w:rsid w:val="00E061DD"/>
    <w:rsid w:val="00E0639F"/>
    <w:rsid w:val="00E06757"/>
    <w:rsid w:val="00E069E7"/>
    <w:rsid w:val="00E0708B"/>
    <w:rsid w:val="00E0718C"/>
    <w:rsid w:val="00E07399"/>
    <w:rsid w:val="00E07575"/>
    <w:rsid w:val="00E079F8"/>
    <w:rsid w:val="00E07BA0"/>
    <w:rsid w:val="00E07F9F"/>
    <w:rsid w:val="00E101CB"/>
    <w:rsid w:val="00E103A2"/>
    <w:rsid w:val="00E104B1"/>
    <w:rsid w:val="00E1079D"/>
    <w:rsid w:val="00E10B43"/>
    <w:rsid w:val="00E1124A"/>
    <w:rsid w:val="00E112DC"/>
    <w:rsid w:val="00E112F4"/>
    <w:rsid w:val="00E11382"/>
    <w:rsid w:val="00E1151C"/>
    <w:rsid w:val="00E1153D"/>
    <w:rsid w:val="00E1177A"/>
    <w:rsid w:val="00E1177C"/>
    <w:rsid w:val="00E11B80"/>
    <w:rsid w:val="00E11D13"/>
    <w:rsid w:val="00E12022"/>
    <w:rsid w:val="00E1206C"/>
    <w:rsid w:val="00E12234"/>
    <w:rsid w:val="00E12373"/>
    <w:rsid w:val="00E12500"/>
    <w:rsid w:val="00E12522"/>
    <w:rsid w:val="00E12568"/>
    <w:rsid w:val="00E126B4"/>
    <w:rsid w:val="00E127C4"/>
    <w:rsid w:val="00E1291A"/>
    <w:rsid w:val="00E129A3"/>
    <w:rsid w:val="00E1331E"/>
    <w:rsid w:val="00E13D21"/>
    <w:rsid w:val="00E140C9"/>
    <w:rsid w:val="00E141DF"/>
    <w:rsid w:val="00E14226"/>
    <w:rsid w:val="00E14308"/>
    <w:rsid w:val="00E1430F"/>
    <w:rsid w:val="00E14538"/>
    <w:rsid w:val="00E1460D"/>
    <w:rsid w:val="00E14C63"/>
    <w:rsid w:val="00E14D7F"/>
    <w:rsid w:val="00E14DB9"/>
    <w:rsid w:val="00E14F69"/>
    <w:rsid w:val="00E15112"/>
    <w:rsid w:val="00E15188"/>
    <w:rsid w:val="00E151AC"/>
    <w:rsid w:val="00E155A4"/>
    <w:rsid w:val="00E1561B"/>
    <w:rsid w:val="00E156DE"/>
    <w:rsid w:val="00E15BF9"/>
    <w:rsid w:val="00E15E3C"/>
    <w:rsid w:val="00E16303"/>
    <w:rsid w:val="00E165EA"/>
    <w:rsid w:val="00E16612"/>
    <w:rsid w:val="00E1667B"/>
    <w:rsid w:val="00E1698E"/>
    <w:rsid w:val="00E16F68"/>
    <w:rsid w:val="00E17077"/>
    <w:rsid w:val="00E171C8"/>
    <w:rsid w:val="00E17798"/>
    <w:rsid w:val="00E1780B"/>
    <w:rsid w:val="00E179A0"/>
    <w:rsid w:val="00E17AF3"/>
    <w:rsid w:val="00E17F5E"/>
    <w:rsid w:val="00E2066A"/>
    <w:rsid w:val="00E208BF"/>
    <w:rsid w:val="00E20ABE"/>
    <w:rsid w:val="00E20F11"/>
    <w:rsid w:val="00E21089"/>
    <w:rsid w:val="00E2124F"/>
    <w:rsid w:val="00E21466"/>
    <w:rsid w:val="00E21769"/>
    <w:rsid w:val="00E21806"/>
    <w:rsid w:val="00E218F9"/>
    <w:rsid w:val="00E2198D"/>
    <w:rsid w:val="00E21BFC"/>
    <w:rsid w:val="00E2228B"/>
    <w:rsid w:val="00E226FF"/>
    <w:rsid w:val="00E22A01"/>
    <w:rsid w:val="00E22B21"/>
    <w:rsid w:val="00E22B67"/>
    <w:rsid w:val="00E232B4"/>
    <w:rsid w:val="00E235B9"/>
    <w:rsid w:val="00E2366E"/>
    <w:rsid w:val="00E2368E"/>
    <w:rsid w:val="00E2369D"/>
    <w:rsid w:val="00E2387C"/>
    <w:rsid w:val="00E23E70"/>
    <w:rsid w:val="00E24078"/>
    <w:rsid w:val="00E24088"/>
    <w:rsid w:val="00E24234"/>
    <w:rsid w:val="00E243EA"/>
    <w:rsid w:val="00E2457A"/>
    <w:rsid w:val="00E24A02"/>
    <w:rsid w:val="00E24BB1"/>
    <w:rsid w:val="00E24C6B"/>
    <w:rsid w:val="00E25040"/>
    <w:rsid w:val="00E250CB"/>
    <w:rsid w:val="00E255FF"/>
    <w:rsid w:val="00E2574C"/>
    <w:rsid w:val="00E25812"/>
    <w:rsid w:val="00E2596C"/>
    <w:rsid w:val="00E259E0"/>
    <w:rsid w:val="00E259FD"/>
    <w:rsid w:val="00E260F8"/>
    <w:rsid w:val="00E26178"/>
    <w:rsid w:val="00E26520"/>
    <w:rsid w:val="00E268CD"/>
    <w:rsid w:val="00E26C08"/>
    <w:rsid w:val="00E26DC2"/>
    <w:rsid w:val="00E26E0A"/>
    <w:rsid w:val="00E26F68"/>
    <w:rsid w:val="00E2707B"/>
    <w:rsid w:val="00E271F3"/>
    <w:rsid w:val="00E27237"/>
    <w:rsid w:val="00E27455"/>
    <w:rsid w:val="00E27742"/>
    <w:rsid w:val="00E27A4F"/>
    <w:rsid w:val="00E27E58"/>
    <w:rsid w:val="00E27EC8"/>
    <w:rsid w:val="00E27F13"/>
    <w:rsid w:val="00E3049A"/>
    <w:rsid w:val="00E305D3"/>
    <w:rsid w:val="00E307FD"/>
    <w:rsid w:val="00E30AAE"/>
    <w:rsid w:val="00E314D7"/>
    <w:rsid w:val="00E315AB"/>
    <w:rsid w:val="00E315B8"/>
    <w:rsid w:val="00E316FE"/>
    <w:rsid w:val="00E31719"/>
    <w:rsid w:val="00E31794"/>
    <w:rsid w:val="00E321CD"/>
    <w:rsid w:val="00E3267E"/>
    <w:rsid w:val="00E32946"/>
    <w:rsid w:val="00E329AB"/>
    <w:rsid w:val="00E32B74"/>
    <w:rsid w:val="00E32BF3"/>
    <w:rsid w:val="00E32C21"/>
    <w:rsid w:val="00E32D73"/>
    <w:rsid w:val="00E332FC"/>
    <w:rsid w:val="00E334F5"/>
    <w:rsid w:val="00E33536"/>
    <w:rsid w:val="00E33575"/>
    <w:rsid w:val="00E33797"/>
    <w:rsid w:val="00E338E3"/>
    <w:rsid w:val="00E33D3F"/>
    <w:rsid w:val="00E33E2C"/>
    <w:rsid w:val="00E33FA0"/>
    <w:rsid w:val="00E344C4"/>
    <w:rsid w:val="00E344E4"/>
    <w:rsid w:val="00E345C3"/>
    <w:rsid w:val="00E34EF9"/>
    <w:rsid w:val="00E3530F"/>
    <w:rsid w:val="00E355F4"/>
    <w:rsid w:val="00E356C9"/>
    <w:rsid w:val="00E35966"/>
    <w:rsid w:val="00E35AE3"/>
    <w:rsid w:val="00E35B36"/>
    <w:rsid w:val="00E35C9D"/>
    <w:rsid w:val="00E35CC4"/>
    <w:rsid w:val="00E35F27"/>
    <w:rsid w:val="00E36095"/>
    <w:rsid w:val="00E3616D"/>
    <w:rsid w:val="00E36513"/>
    <w:rsid w:val="00E370D0"/>
    <w:rsid w:val="00E3733F"/>
    <w:rsid w:val="00E37B72"/>
    <w:rsid w:val="00E37BEE"/>
    <w:rsid w:val="00E403A3"/>
    <w:rsid w:val="00E40428"/>
    <w:rsid w:val="00E405D3"/>
    <w:rsid w:val="00E407B2"/>
    <w:rsid w:val="00E4084C"/>
    <w:rsid w:val="00E4087A"/>
    <w:rsid w:val="00E40979"/>
    <w:rsid w:val="00E40AB3"/>
    <w:rsid w:val="00E40B25"/>
    <w:rsid w:val="00E40B3D"/>
    <w:rsid w:val="00E40DED"/>
    <w:rsid w:val="00E40E1B"/>
    <w:rsid w:val="00E40E49"/>
    <w:rsid w:val="00E40F56"/>
    <w:rsid w:val="00E41098"/>
    <w:rsid w:val="00E41149"/>
    <w:rsid w:val="00E41227"/>
    <w:rsid w:val="00E41622"/>
    <w:rsid w:val="00E41677"/>
    <w:rsid w:val="00E41805"/>
    <w:rsid w:val="00E41D60"/>
    <w:rsid w:val="00E41E76"/>
    <w:rsid w:val="00E4225D"/>
    <w:rsid w:val="00E42CE1"/>
    <w:rsid w:val="00E43202"/>
    <w:rsid w:val="00E436A4"/>
    <w:rsid w:val="00E43717"/>
    <w:rsid w:val="00E437F4"/>
    <w:rsid w:val="00E43843"/>
    <w:rsid w:val="00E439DD"/>
    <w:rsid w:val="00E43A12"/>
    <w:rsid w:val="00E43A14"/>
    <w:rsid w:val="00E4437E"/>
    <w:rsid w:val="00E443A7"/>
    <w:rsid w:val="00E44B23"/>
    <w:rsid w:val="00E44C3D"/>
    <w:rsid w:val="00E44C84"/>
    <w:rsid w:val="00E44CCD"/>
    <w:rsid w:val="00E44EAE"/>
    <w:rsid w:val="00E45101"/>
    <w:rsid w:val="00E45157"/>
    <w:rsid w:val="00E45210"/>
    <w:rsid w:val="00E45888"/>
    <w:rsid w:val="00E45897"/>
    <w:rsid w:val="00E45991"/>
    <w:rsid w:val="00E45CF7"/>
    <w:rsid w:val="00E45D06"/>
    <w:rsid w:val="00E45D96"/>
    <w:rsid w:val="00E46368"/>
    <w:rsid w:val="00E467AC"/>
    <w:rsid w:val="00E46A10"/>
    <w:rsid w:val="00E46A19"/>
    <w:rsid w:val="00E470C2"/>
    <w:rsid w:val="00E474C8"/>
    <w:rsid w:val="00E47882"/>
    <w:rsid w:val="00E479AA"/>
    <w:rsid w:val="00E47E68"/>
    <w:rsid w:val="00E50058"/>
    <w:rsid w:val="00E5082D"/>
    <w:rsid w:val="00E50C34"/>
    <w:rsid w:val="00E50ECC"/>
    <w:rsid w:val="00E51295"/>
    <w:rsid w:val="00E517A2"/>
    <w:rsid w:val="00E51800"/>
    <w:rsid w:val="00E5182D"/>
    <w:rsid w:val="00E51F42"/>
    <w:rsid w:val="00E52095"/>
    <w:rsid w:val="00E521A3"/>
    <w:rsid w:val="00E52783"/>
    <w:rsid w:val="00E52A80"/>
    <w:rsid w:val="00E52B83"/>
    <w:rsid w:val="00E52FD2"/>
    <w:rsid w:val="00E53538"/>
    <w:rsid w:val="00E53758"/>
    <w:rsid w:val="00E539D5"/>
    <w:rsid w:val="00E53AD9"/>
    <w:rsid w:val="00E53C28"/>
    <w:rsid w:val="00E53D65"/>
    <w:rsid w:val="00E53F3B"/>
    <w:rsid w:val="00E53FA4"/>
    <w:rsid w:val="00E54275"/>
    <w:rsid w:val="00E546A5"/>
    <w:rsid w:val="00E5487E"/>
    <w:rsid w:val="00E54ABD"/>
    <w:rsid w:val="00E54B07"/>
    <w:rsid w:val="00E54E55"/>
    <w:rsid w:val="00E5504D"/>
    <w:rsid w:val="00E552DE"/>
    <w:rsid w:val="00E554F7"/>
    <w:rsid w:val="00E557A1"/>
    <w:rsid w:val="00E56261"/>
    <w:rsid w:val="00E56266"/>
    <w:rsid w:val="00E562BF"/>
    <w:rsid w:val="00E56595"/>
    <w:rsid w:val="00E56D11"/>
    <w:rsid w:val="00E56E16"/>
    <w:rsid w:val="00E56FFE"/>
    <w:rsid w:val="00E572EB"/>
    <w:rsid w:val="00E573F7"/>
    <w:rsid w:val="00E576E0"/>
    <w:rsid w:val="00E57D58"/>
    <w:rsid w:val="00E57E4D"/>
    <w:rsid w:val="00E60071"/>
    <w:rsid w:val="00E60303"/>
    <w:rsid w:val="00E6090A"/>
    <w:rsid w:val="00E60B1A"/>
    <w:rsid w:val="00E60E69"/>
    <w:rsid w:val="00E60F11"/>
    <w:rsid w:val="00E61060"/>
    <w:rsid w:val="00E6111D"/>
    <w:rsid w:val="00E61398"/>
    <w:rsid w:val="00E613EB"/>
    <w:rsid w:val="00E61685"/>
    <w:rsid w:val="00E61C52"/>
    <w:rsid w:val="00E61CA9"/>
    <w:rsid w:val="00E61D86"/>
    <w:rsid w:val="00E62867"/>
    <w:rsid w:val="00E628FC"/>
    <w:rsid w:val="00E62B3A"/>
    <w:rsid w:val="00E62BFD"/>
    <w:rsid w:val="00E62CFC"/>
    <w:rsid w:val="00E62D13"/>
    <w:rsid w:val="00E6319F"/>
    <w:rsid w:val="00E63214"/>
    <w:rsid w:val="00E6339D"/>
    <w:rsid w:val="00E6350D"/>
    <w:rsid w:val="00E63601"/>
    <w:rsid w:val="00E637DF"/>
    <w:rsid w:val="00E63985"/>
    <w:rsid w:val="00E63AB8"/>
    <w:rsid w:val="00E63B56"/>
    <w:rsid w:val="00E63CFB"/>
    <w:rsid w:val="00E642EF"/>
    <w:rsid w:val="00E64444"/>
    <w:rsid w:val="00E64479"/>
    <w:rsid w:val="00E649E4"/>
    <w:rsid w:val="00E64A99"/>
    <w:rsid w:val="00E6513D"/>
    <w:rsid w:val="00E6520E"/>
    <w:rsid w:val="00E652EA"/>
    <w:rsid w:val="00E653D0"/>
    <w:rsid w:val="00E6548F"/>
    <w:rsid w:val="00E65870"/>
    <w:rsid w:val="00E658D1"/>
    <w:rsid w:val="00E6626B"/>
    <w:rsid w:val="00E6628A"/>
    <w:rsid w:val="00E6693B"/>
    <w:rsid w:val="00E66A51"/>
    <w:rsid w:val="00E66AC3"/>
    <w:rsid w:val="00E66F85"/>
    <w:rsid w:val="00E67596"/>
    <w:rsid w:val="00E67A53"/>
    <w:rsid w:val="00E67D06"/>
    <w:rsid w:val="00E67D2E"/>
    <w:rsid w:val="00E67ECA"/>
    <w:rsid w:val="00E700E2"/>
    <w:rsid w:val="00E7018A"/>
    <w:rsid w:val="00E70575"/>
    <w:rsid w:val="00E70A99"/>
    <w:rsid w:val="00E70FE9"/>
    <w:rsid w:val="00E7109D"/>
    <w:rsid w:val="00E71170"/>
    <w:rsid w:val="00E71675"/>
    <w:rsid w:val="00E7187D"/>
    <w:rsid w:val="00E71A1A"/>
    <w:rsid w:val="00E71A9D"/>
    <w:rsid w:val="00E71AAD"/>
    <w:rsid w:val="00E71FFE"/>
    <w:rsid w:val="00E720E1"/>
    <w:rsid w:val="00E723C8"/>
    <w:rsid w:val="00E7248E"/>
    <w:rsid w:val="00E72793"/>
    <w:rsid w:val="00E72A95"/>
    <w:rsid w:val="00E72E86"/>
    <w:rsid w:val="00E73080"/>
    <w:rsid w:val="00E731E6"/>
    <w:rsid w:val="00E7355F"/>
    <w:rsid w:val="00E7391C"/>
    <w:rsid w:val="00E739A6"/>
    <w:rsid w:val="00E73A47"/>
    <w:rsid w:val="00E73B23"/>
    <w:rsid w:val="00E73BE3"/>
    <w:rsid w:val="00E7424B"/>
    <w:rsid w:val="00E742E4"/>
    <w:rsid w:val="00E74657"/>
    <w:rsid w:val="00E747FF"/>
    <w:rsid w:val="00E74922"/>
    <w:rsid w:val="00E74ABF"/>
    <w:rsid w:val="00E74F58"/>
    <w:rsid w:val="00E752B1"/>
    <w:rsid w:val="00E7533E"/>
    <w:rsid w:val="00E758DE"/>
    <w:rsid w:val="00E75C03"/>
    <w:rsid w:val="00E75E34"/>
    <w:rsid w:val="00E765B8"/>
    <w:rsid w:val="00E768A4"/>
    <w:rsid w:val="00E76AC5"/>
    <w:rsid w:val="00E76B05"/>
    <w:rsid w:val="00E76D01"/>
    <w:rsid w:val="00E76D0D"/>
    <w:rsid w:val="00E77290"/>
    <w:rsid w:val="00E772A2"/>
    <w:rsid w:val="00E77317"/>
    <w:rsid w:val="00E7778D"/>
    <w:rsid w:val="00E77AC4"/>
    <w:rsid w:val="00E77B91"/>
    <w:rsid w:val="00E77EBE"/>
    <w:rsid w:val="00E8031D"/>
    <w:rsid w:val="00E804B6"/>
    <w:rsid w:val="00E805DD"/>
    <w:rsid w:val="00E8079B"/>
    <w:rsid w:val="00E80F83"/>
    <w:rsid w:val="00E811BA"/>
    <w:rsid w:val="00E81247"/>
    <w:rsid w:val="00E818D8"/>
    <w:rsid w:val="00E81CE6"/>
    <w:rsid w:val="00E81D10"/>
    <w:rsid w:val="00E81D2A"/>
    <w:rsid w:val="00E82302"/>
    <w:rsid w:val="00E8242E"/>
    <w:rsid w:val="00E82503"/>
    <w:rsid w:val="00E82855"/>
    <w:rsid w:val="00E828EB"/>
    <w:rsid w:val="00E82A0F"/>
    <w:rsid w:val="00E82E3A"/>
    <w:rsid w:val="00E82E71"/>
    <w:rsid w:val="00E83561"/>
    <w:rsid w:val="00E83720"/>
    <w:rsid w:val="00E837C6"/>
    <w:rsid w:val="00E8386D"/>
    <w:rsid w:val="00E83B5B"/>
    <w:rsid w:val="00E83C16"/>
    <w:rsid w:val="00E83F94"/>
    <w:rsid w:val="00E840C2"/>
    <w:rsid w:val="00E84166"/>
    <w:rsid w:val="00E8445A"/>
    <w:rsid w:val="00E84B3F"/>
    <w:rsid w:val="00E84DF2"/>
    <w:rsid w:val="00E85005"/>
    <w:rsid w:val="00E8548B"/>
    <w:rsid w:val="00E85881"/>
    <w:rsid w:val="00E858EB"/>
    <w:rsid w:val="00E85C06"/>
    <w:rsid w:val="00E85FA2"/>
    <w:rsid w:val="00E860A8"/>
    <w:rsid w:val="00E861C7"/>
    <w:rsid w:val="00E863FF"/>
    <w:rsid w:val="00E866CB"/>
    <w:rsid w:val="00E866D4"/>
    <w:rsid w:val="00E86809"/>
    <w:rsid w:val="00E86F33"/>
    <w:rsid w:val="00E87236"/>
    <w:rsid w:val="00E872FA"/>
    <w:rsid w:val="00E87597"/>
    <w:rsid w:val="00E87712"/>
    <w:rsid w:val="00E877A4"/>
    <w:rsid w:val="00E87ACB"/>
    <w:rsid w:val="00E87B1A"/>
    <w:rsid w:val="00E9020A"/>
    <w:rsid w:val="00E90A41"/>
    <w:rsid w:val="00E90BD1"/>
    <w:rsid w:val="00E90C08"/>
    <w:rsid w:val="00E9124C"/>
    <w:rsid w:val="00E912D6"/>
    <w:rsid w:val="00E913D4"/>
    <w:rsid w:val="00E91454"/>
    <w:rsid w:val="00E91652"/>
    <w:rsid w:val="00E919F9"/>
    <w:rsid w:val="00E91B8F"/>
    <w:rsid w:val="00E91C86"/>
    <w:rsid w:val="00E91D63"/>
    <w:rsid w:val="00E92147"/>
    <w:rsid w:val="00E92344"/>
    <w:rsid w:val="00E925C9"/>
    <w:rsid w:val="00E92662"/>
    <w:rsid w:val="00E92C93"/>
    <w:rsid w:val="00E93198"/>
    <w:rsid w:val="00E93679"/>
    <w:rsid w:val="00E93B19"/>
    <w:rsid w:val="00E9454E"/>
    <w:rsid w:val="00E94587"/>
    <w:rsid w:val="00E94806"/>
    <w:rsid w:val="00E94952"/>
    <w:rsid w:val="00E94B52"/>
    <w:rsid w:val="00E94BB8"/>
    <w:rsid w:val="00E94CEC"/>
    <w:rsid w:val="00E95081"/>
    <w:rsid w:val="00E952AE"/>
    <w:rsid w:val="00E956ED"/>
    <w:rsid w:val="00E95721"/>
    <w:rsid w:val="00E95DDE"/>
    <w:rsid w:val="00E95FE2"/>
    <w:rsid w:val="00E963D4"/>
    <w:rsid w:val="00E96B46"/>
    <w:rsid w:val="00E96B87"/>
    <w:rsid w:val="00E96D74"/>
    <w:rsid w:val="00E96EC1"/>
    <w:rsid w:val="00E96FCB"/>
    <w:rsid w:val="00E97550"/>
    <w:rsid w:val="00E976F0"/>
    <w:rsid w:val="00E97E66"/>
    <w:rsid w:val="00EA00C9"/>
    <w:rsid w:val="00EA0960"/>
    <w:rsid w:val="00EA0A0A"/>
    <w:rsid w:val="00EA0A90"/>
    <w:rsid w:val="00EA0CF1"/>
    <w:rsid w:val="00EA11F7"/>
    <w:rsid w:val="00EA178E"/>
    <w:rsid w:val="00EA179A"/>
    <w:rsid w:val="00EA17B7"/>
    <w:rsid w:val="00EA1837"/>
    <w:rsid w:val="00EA1944"/>
    <w:rsid w:val="00EA1C43"/>
    <w:rsid w:val="00EA1D23"/>
    <w:rsid w:val="00EA254C"/>
    <w:rsid w:val="00EA28FC"/>
    <w:rsid w:val="00EA29C8"/>
    <w:rsid w:val="00EA29F1"/>
    <w:rsid w:val="00EA2BD6"/>
    <w:rsid w:val="00EA2D04"/>
    <w:rsid w:val="00EA2D52"/>
    <w:rsid w:val="00EA310D"/>
    <w:rsid w:val="00EA328D"/>
    <w:rsid w:val="00EA33D4"/>
    <w:rsid w:val="00EA357E"/>
    <w:rsid w:val="00EA3A72"/>
    <w:rsid w:val="00EA3BE5"/>
    <w:rsid w:val="00EA4057"/>
    <w:rsid w:val="00EA443B"/>
    <w:rsid w:val="00EA4562"/>
    <w:rsid w:val="00EA4625"/>
    <w:rsid w:val="00EA474E"/>
    <w:rsid w:val="00EA4754"/>
    <w:rsid w:val="00EA49A7"/>
    <w:rsid w:val="00EA4D77"/>
    <w:rsid w:val="00EA4D8E"/>
    <w:rsid w:val="00EA4E5D"/>
    <w:rsid w:val="00EA4FB4"/>
    <w:rsid w:val="00EA523D"/>
    <w:rsid w:val="00EA53B3"/>
    <w:rsid w:val="00EA55D8"/>
    <w:rsid w:val="00EA5612"/>
    <w:rsid w:val="00EA588D"/>
    <w:rsid w:val="00EA5901"/>
    <w:rsid w:val="00EA5C04"/>
    <w:rsid w:val="00EA5C22"/>
    <w:rsid w:val="00EA5DE8"/>
    <w:rsid w:val="00EA6458"/>
    <w:rsid w:val="00EA65FD"/>
    <w:rsid w:val="00EA666E"/>
    <w:rsid w:val="00EA674D"/>
    <w:rsid w:val="00EA6AE7"/>
    <w:rsid w:val="00EA70F8"/>
    <w:rsid w:val="00EA72BD"/>
    <w:rsid w:val="00EA731F"/>
    <w:rsid w:val="00EA73CF"/>
    <w:rsid w:val="00EA7464"/>
    <w:rsid w:val="00EA7CD6"/>
    <w:rsid w:val="00EA7D71"/>
    <w:rsid w:val="00EB03B8"/>
    <w:rsid w:val="00EB04E4"/>
    <w:rsid w:val="00EB04FF"/>
    <w:rsid w:val="00EB0615"/>
    <w:rsid w:val="00EB085B"/>
    <w:rsid w:val="00EB0CCD"/>
    <w:rsid w:val="00EB0DEE"/>
    <w:rsid w:val="00EB0E4A"/>
    <w:rsid w:val="00EB0EFA"/>
    <w:rsid w:val="00EB1114"/>
    <w:rsid w:val="00EB1720"/>
    <w:rsid w:val="00EB1B7D"/>
    <w:rsid w:val="00EB22D0"/>
    <w:rsid w:val="00EB2583"/>
    <w:rsid w:val="00EB2AE8"/>
    <w:rsid w:val="00EB30A8"/>
    <w:rsid w:val="00EB3165"/>
    <w:rsid w:val="00EB331F"/>
    <w:rsid w:val="00EB3410"/>
    <w:rsid w:val="00EB35FE"/>
    <w:rsid w:val="00EB361C"/>
    <w:rsid w:val="00EB38B4"/>
    <w:rsid w:val="00EB39DC"/>
    <w:rsid w:val="00EB3BD8"/>
    <w:rsid w:val="00EB3EC1"/>
    <w:rsid w:val="00EB41C5"/>
    <w:rsid w:val="00EB451F"/>
    <w:rsid w:val="00EB4A91"/>
    <w:rsid w:val="00EB4C07"/>
    <w:rsid w:val="00EB4D35"/>
    <w:rsid w:val="00EB5077"/>
    <w:rsid w:val="00EB50A6"/>
    <w:rsid w:val="00EB53BD"/>
    <w:rsid w:val="00EB5427"/>
    <w:rsid w:val="00EB54A3"/>
    <w:rsid w:val="00EB560F"/>
    <w:rsid w:val="00EB571B"/>
    <w:rsid w:val="00EB5CD0"/>
    <w:rsid w:val="00EB5EBA"/>
    <w:rsid w:val="00EB5ED2"/>
    <w:rsid w:val="00EB6060"/>
    <w:rsid w:val="00EB615B"/>
    <w:rsid w:val="00EB615C"/>
    <w:rsid w:val="00EB61C8"/>
    <w:rsid w:val="00EB6BB0"/>
    <w:rsid w:val="00EB703A"/>
    <w:rsid w:val="00EB70B0"/>
    <w:rsid w:val="00EB70E0"/>
    <w:rsid w:val="00EB72C1"/>
    <w:rsid w:val="00EB7655"/>
    <w:rsid w:val="00EB7745"/>
    <w:rsid w:val="00EB7802"/>
    <w:rsid w:val="00EB7855"/>
    <w:rsid w:val="00EB7B87"/>
    <w:rsid w:val="00EB7C55"/>
    <w:rsid w:val="00EB7FAF"/>
    <w:rsid w:val="00EC0088"/>
    <w:rsid w:val="00EC015A"/>
    <w:rsid w:val="00EC01EF"/>
    <w:rsid w:val="00EC0293"/>
    <w:rsid w:val="00EC02CE"/>
    <w:rsid w:val="00EC0501"/>
    <w:rsid w:val="00EC0725"/>
    <w:rsid w:val="00EC0A37"/>
    <w:rsid w:val="00EC0C27"/>
    <w:rsid w:val="00EC122B"/>
    <w:rsid w:val="00EC1866"/>
    <w:rsid w:val="00EC1AD8"/>
    <w:rsid w:val="00EC1B33"/>
    <w:rsid w:val="00EC1D85"/>
    <w:rsid w:val="00EC1F34"/>
    <w:rsid w:val="00EC1F7F"/>
    <w:rsid w:val="00EC2017"/>
    <w:rsid w:val="00EC24AB"/>
    <w:rsid w:val="00EC250C"/>
    <w:rsid w:val="00EC26DB"/>
    <w:rsid w:val="00EC2731"/>
    <w:rsid w:val="00EC2A79"/>
    <w:rsid w:val="00EC2AD5"/>
    <w:rsid w:val="00EC2BAF"/>
    <w:rsid w:val="00EC2ECB"/>
    <w:rsid w:val="00EC31A3"/>
    <w:rsid w:val="00EC3439"/>
    <w:rsid w:val="00EC346B"/>
    <w:rsid w:val="00EC3816"/>
    <w:rsid w:val="00EC3AC8"/>
    <w:rsid w:val="00EC3EFD"/>
    <w:rsid w:val="00EC4717"/>
    <w:rsid w:val="00EC4726"/>
    <w:rsid w:val="00EC4D8B"/>
    <w:rsid w:val="00EC507B"/>
    <w:rsid w:val="00EC535B"/>
    <w:rsid w:val="00EC5B0D"/>
    <w:rsid w:val="00EC5EAD"/>
    <w:rsid w:val="00EC6371"/>
    <w:rsid w:val="00EC646B"/>
    <w:rsid w:val="00EC6C3D"/>
    <w:rsid w:val="00EC6E9F"/>
    <w:rsid w:val="00EC7131"/>
    <w:rsid w:val="00EC7256"/>
    <w:rsid w:val="00EC7449"/>
    <w:rsid w:val="00EC7499"/>
    <w:rsid w:val="00EC77A2"/>
    <w:rsid w:val="00EC77D6"/>
    <w:rsid w:val="00EC77FD"/>
    <w:rsid w:val="00EC79EB"/>
    <w:rsid w:val="00EC7AC6"/>
    <w:rsid w:val="00EC7B2D"/>
    <w:rsid w:val="00EC7B69"/>
    <w:rsid w:val="00ED0308"/>
    <w:rsid w:val="00ED0535"/>
    <w:rsid w:val="00ED056C"/>
    <w:rsid w:val="00ED05FD"/>
    <w:rsid w:val="00ED0662"/>
    <w:rsid w:val="00ED0849"/>
    <w:rsid w:val="00ED0A12"/>
    <w:rsid w:val="00ED0A80"/>
    <w:rsid w:val="00ED0A86"/>
    <w:rsid w:val="00ED0E75"/>
    <w:rsid w:val="00ED11E6"/>
    <w:rsid w:val="00ED13A2"/>
    <w:rsid w:val="00ED1BD9"/>
    <w:rsid w:val="00ED1C67"/>
    <w:rsid w:val="00ED1EA4"/>
    <w:rsid w:val="00ED1ED7"/>
    <w:rsid w:val="00ED1F59"/>
    <w:rsid w:val="00ED205D"/>
    <w:rsid w:val="00ED21D2"/>
    <w:rsid w:val="00ED22D6"/>
    <w:rsid w:val="00ED2301"/>
    <w:rsid w:val="00ED2423"/>
    <w:rsid w:val="00ED2646"/>
    <w:rsid w:val="00ED26FB"/>
    <w:rsid w:val="00ED2790"/>
    <w:rsid w:val="00ED2932"/>
    <w:rsid w:val="00ED2965"/>
    <w:rsid w:val="00ED2E65"/>
    <w:rsid w:val="00ED2FEE"/>
    <w:rsid w:val="00ED325E"/>
    <w:rsid w:val="00ED37F3"/>
    <w:rsid w:val="00ED3BAA"/>
    <w:rsid w:val="00ED3C61"/>
    <w:rsid w:val="00ED421E"/>
    <w:rsid w:val="00ED451C"/>
    <w:rsid w:val="00ED47D0"/>
    <w:rsid w:val="00ED493B"/>
    <w:rsid w:val="00ED4BB2"/>
    <w:rsid w:val="00ED4F1A"/>
    <w:rsid w:val="00ED5119"/>
    <w:rsid w:val="00ED5300"/>
    <w:rsid w:val="00ED537F"/>
    <w:rsid w:val="00ED53DD"/>
    <w:rsid w:val="00ED567C"/>
    <w:rsid w:val="00ED57EA"/>
    <w:rsid w:val="00ED58E3"/>
    <w:rsid w:val="00ED59F5"/>
    <w:rsid w:val="00ED5B42"/>
    <w:rsid w:val="00ED60D8"/>
    <w:rsid w:val="00ED626E"/>
    <w:rsid w:val="00ED63CB"/>
    <w:rsid w:val="00ED6AC9"/>
    <w:rsid w:val="00ED6DB1"/>
    <w:rsid w:val="00ED6FA9"/>
    <w:rsid w:val="00ED75CB"/>
    <w:rsid w:val="00ED76D7"/>
    <w:rsid w:val="00ED78E1"/>
    <w:rsid w:val="00ED7D71"/>
    <w:rsid w:val="00EE0096"/>
    <w:rsid w:val="00EE048E"/>
    <w:rsid w:val="00EE062A"/>
    <w:rsid w:val="00EE06D0"/>
    <w:rsid w:val="00EE080E"/>
    <w:rsid w:val="00EE0904"/>
    <w:rsid w:val="00EE09AA"/>
    <w:rsid w:val="00EE0F87"/>
    <w:rsid w:val="00EE1160"/>
    <w:rsid w:val="00EE1413"/>
    <w:rsid w:val="00EE148F"/>
    <w:rsid w:val="00EE14A3"/>
    <w:rsid w:val="00EE1620"/>
    <w:rsid w:val="00EE1709"/>
    <w:rsid w:val="00EE19E9"/>
    <w:rsid w:val="00EE19FB"/>
    <w:rsid w:val="00EE1A69"/>
    <w:rsid w:val="00EE1C0D"/>
    <w:rsid w:val="00EE1D3C"/>
    <w:rsid w:val="00EE1EAC"/>
    <w:rsid w:val="00EE227E"/>
    <w:rsid w:val="00EE2290"/>
    <w:rsid w:val="00EE2443"/>
    <w:rsid w:val="00EE26F8"/>
    <w:rsid w:val="00EE284E"/>
    <w:rsid w:val="00EE2DDF"/>
    <w:rsid w:val="00EE2F0B"/>
    <w:rsid w:val="00EE324E"/>
    <w:rsid w:val="00EE3272"/>
    <w:rsid w:val="00EE3322"/>
    <w:rsid w:val="00EE34D9"/>
    <w:rsid w:val="00EE3867"/>
    <w:rsid w:val="00EE391B"/>
    <w:rsid w:val="00EE39C3"/>
    <w:rsid w:val="00EE4442"/>
    <w:rsid w:val="00EE44BC"/>
    <w:rsid w:val="00EE4539"/>
    <w:rsid w:val="00EE455B"/>
    <w:rsid w:val="00EE492C"/>
    <w:rsid w:val="00EE530F"/>
    <w:rsid w:val="00EE5633"/>
    <w:rsid w:val="00EE565C"/>
    <w:rsid w:val="00EE5733"/>
    <w:rsid w:val="00EE5A23"/>
    <w:rsid w:val="00EE5C16"/>
    <w:rsid w:val="00EE608D"/>
    <w:rsid w:val="00EE60DB"/>
    <w:rsid w:val="00EE6110"/>
    <w:rsid w:val="00EE67C3"/>
    <w:rsid w:val="00EE681A"/>
    <w:rsid w:val="00EE6969"/>
    <w:rsid w:val="00EE6E10"/>
    <w:rsid w:val="00EE7156"/>
    <w:rsid w:val="00EE73D5"/>
    <w:rsid w:val="00EE761F"/>
    <w:rsid w:val="00EE76A0"/>
    <w:rsid w:val="00EE77F5"/>
    <w:rsid w:val="00EE78E2"/>
    <w:rsid w:val="00EE7AD1"/>
    <w:rsid w:val="00EE7D2A"/>
    <w:rsid w:val="00EE7D53"/>
    <w:rsid w:val="00EE7F51"/>
    <w:rsid w:val="00EF0075"/>
    <w:rsid w:val="00EF023B"/>
    <w:rsid w:val="00EF0498"/>
    <w:rsid w:val="00EF0917"/>
    <w:rsid w:val="00EF0935"/>
    <w:rsid w:val="00EF0E28"/>
    <w:rsid w:val="00EF0E7E"/>
    <w:rsid w:val="00EF0F8D"/>
    <w:rsid w:val="00EF0FED"/>
    <w:rsid w:val="00EF16E3"/>
    <w:rsid w:val="00EF180C"/>
    <w:rsid w:val="00EF19B0"/>
    <w:rsid w:val="00EF1AC7"/>
    <w:rsid w:val="00EF1B26"/>
    <w:rsid w:val="00EF2739"/>
    <w:rsid w:val="00EF27B2"/>
    <w:rsid w:val="00EF2866"/>
    <w:rsid w:val="00EF2885"/>
    <w:rsid w:val="00EF364A"/>
    <w:rsid w:val="00EF3B3D"/>
    <w:rsid w:val="00EF434F"/>
    <w:rsid w:val="00EF466D"/>
    <w:rsid w:val="00EF494A"/>
    <w:rsid w:val="00EF4ACC"/>
    <w:rsid w:val="00EF4C02"/>
    <w:rsid w:val="00EF51A1"/>
    <w:rsid w:val="00EF51C6"/>
    <w:rsid w:val="00EF51D0"/>
    <w:rsid w:val="00EF5345"/>
    <w:rsid w:val="00EF542D"/>
    <w:rsid w:val="00EF5995"/>
    <w:rsid w:val="00EF5D52"/>
    <w:rsid w:val="00EF5FC9"/>
    <w:rsid w:val="00EF61DD"/>
    <w:rsid w:val="00EF62AF"/>
    <w:rsid w:val="00EF633C"/>
    <w:rsid w:val="00EF6474"/>
    <w:rsid w:val="00EF6689"/>
    <w:rsid w:val="00EF7225"/>
    <w:rsid w:val="00EF7255"/>
    <w:rsid w:val="00EF7714"/>
    <w:rsid w:val="00EF77F8"/>
    <w:rsid w:val="00EF7817"/>
    <w:rsid w:val="00EF7966"/>
    <w:rsid w:val="00EF7E2C"/>
    <w:rsid w:val="00F005E3"/>
    <w:rsid w:val="00F00725"/>
    <w:rsid w:val="00F00D7D"/>
    <w:rsid w:val="00F0117A"/>
    <w:rsid w:val="00F011D6"/>
    <w:rsid w:val="00F01310"/>
    <w:rsid w:val="00F01A38"/>
    <w:rsid w:val="00F01D88"/>
    <w:rsid w:val="00F01DA9"/>
    <w:rsid w:val="00F01EB4"/>
    <w:rsid w:val="00F02100"/>
    <w:rsid w:val="00F0212E"/>
    <w:rsid w:val="00F022C9"/>
    <w:rsid w:val="00F02ADD"/>
    <w:rsid w:val="00F03224"/>
    <w:rsid w:val="00F0345B"/>
    <w:rsid w:val="00F03AB9"/>
    <w:rsid w:val="00F03D02"/>
    <w:rsid w:val="00F03DF7"/>
    <w:rsid w:val="00F0414E"/>
    <w:rsid w:val="00F04177"/>
    <w:rsid w:val="00F0466E"/>
    <w:rsid w:val="00F046E0"/>
    <w:rsid w:val="00F04A64"/>
    <w:rsid w:val="00F04E66"/>
    <w:rsid w:val="00F05030"/>
    <w:rsid w:val="00F05340"/>
    <w:rsid w:val="00F065B5"/>
    <w:rsid w:val="00F06ADA"/>
    <w:rsid w:val="00F06B3E"/>
    <w:rsid w:val="00F06FDD"/>
    <w:rsid w:val="00F070C0"/>
    <w:rsid w:val="00F071DE"/>
    <w:rsid w:val="00F07494"/>
    <w:rsid w:val="00F07660"/>
    <w:rsid w:val="00F07820"/>
    <w:rsid w:val="00F07A77"/>
    <w:rsid w:val="00F10082"/>
    <w:rsid w:val="00F1042B"/>
    <w:rsid w:val="00F10AFB"/>
    <w:rsid w:val="00F10E52"/>
    <w:rsid w:val="00F11023"/>
    <w:rsid w:val="00F1117C"/>
    <w:rsid w:val="00F111D4"/>
    <w:rsid w:val="00F1165B"/>
    <w:rsid w:val="00F1178D"/>
    <w:rsid w:val="00F117AC"/>
    <w:rsid w:val="00F11C94"/>
    <w:rsid w:val="00F12110"/>
    <w:rsid w:val="00F124FF"/>
    <w:rsid w:val="00F12629"/>
    <w:rsid w:val="00F128C6"/>
    <w:rsid w:val="00F12BD2"/>
    <w:rsid w:val="00F12BE9"/>
    <w:rsid w:val="00F12C55"/>
    <w:rsid w:val="00F13025"/>
    <w:rsid w:val="00F132F9"/>
    <w:rsid w:val="00F135D0"/>
    <w:rsid w:val="00F136CE"/>
    <w:rsid w:val="00F138E0"/>
    <w:rsid w:val="00F1393F"/>
    <w:rsid w:val="00F13B51"/>
    <w:rsid w:val="00F13B9A"/>
    <w:rsid w:val="00F13C74"/>
    <w:rsid w:val="00F13DA4"/>
    <w:rsid w:val="00F13F63"/>
    <w:rsid w:val="00F143E8"/>
    <w:rsid w:val="00F14496"/>
    <w:rsid w:val="00F144BF"/>
    <w:rsid w:val="00F149DD"/>
    <w:rsid w:val="00F14A6C"/>
    <w:rsid w:val="00F14AB1"/>
    <w:rsid w:val="00F14B94"/>
    <w:rsid w:val="00F14E5F"/>
    <w:rsid w:val="00F152D7"/>
    <w:rsid w:val="00F1540E"/>
    <w:rsid w:val="00F15437"/>
    <w:rsid w:val="00F156BC"/>
    <w:rsid w:val="00F1582F"/>
    <w:rsid w:val="00F15903"/>
    <w:rsid w:val="00F15C41"/>
    <w:rsid w:val="00F15E5D"/>
    <w:rsid w:val="00F16525"/>
    <w:rsid w:val="00F1653E"/>
    <w:rsid w:val="00F1664B"/>
    <w:rsid w:val="00F166AD"/>
    <w:rsid w:val="00F167C6"/>
    <w:rsid w:val="00F16A7D"/>
    <w:rsid w:val="00F16B35"/>
    <w:rsid w:val="00F16BD8"/>
    <w:rsid w:val="00F16F31"/>
    <w:rsid w:val="00F17115"/>
    <w:rsid w:val="00F173CC"/>
    <w:rsid w:val="00F176D4"/>
    <w:rsid w:val="00F17AFD"/>
    <w:rsid w:val="00F2023E"/>
    <w:rsid w:val="00F2096D"/>
    <w:rsid w:val="00F20A66"/>
    <w:rsid w:val="00F20DD6"/>
    <w:rsid w:val="00F2142B"/>
    <w:rsid w:val="00F2147A"/>
    <w:rsid w:val="00F21907"/>
    <w:rsid w:val="00F220A0"/>
    <w:rsid w:val="00F221B7"/>
    <w:rsid w:val="00F222A8"/>
    <w:rsid w:val="00F22483"/>
    <w:rsid w:val="00F2260B"/>
    <w:rsid w:val="00F22749"/>
    <w:rsid w:val="00F2281D"/>
    <w:rsid w:val="00F22A47"/>
    <w:rsid w:val="00F22E3C"/>
    <w:rsid w:val="00F2301A"/>
    <w:rsid w:val="00F23741"/>
    <w:rsid w:val="00F23A5B"/>
    <w:rsid w:val="00F23AD5"/>
    <w:rsid w:val="00F23ADE"/>
    <w:rsid w:val="00F243C8"/>
    <w:rsid w:val="00F2458C"/>
    <w:rsid w:val="00F24CEB"/>
    <w:rsid w:val="00F24D50"/>
    <w:rsid w:val="00F24E44"/>
    <w:rsid w:val="00F25139"/>
    <w:rsid w:val="00F25173"/>
    <w:rsid w:val="00F2568F"/>
    <w:rsid w:val="00F25837"/>
    <w:rsid w:val="00F25F51"/>
    <w:rsid w:val="00F26039"/>
    <w:rsid w:val="00F26174"/>
    <w:rsid w:val="00F2655A"/>
    <w:rsid w:val="00F266DD"/>
    <w:rsid w:val="00F2680C"/>
    <w:rsid w:val="00F26875"/>
    <w:rsid w:val="00F2697E"/>
    <w:rsid w:val="00F26B8D"/>
    <w:rsid w:val="00F26CA9"/>
    <w:rsid w:val="00F271E2"/>
    <w:rsid w:val="00F27434"/>
    <w:rsid w:val="00F27795"/>
    <w:rsid w:val="00F27805"/>
    <w:rsid w:val="00F27DBC"/>
    <w:rsid w:val="00F27E09"/>
    <w:rsid w:val="00F303B3"/>
    <w:rsid w:val="00F304AD"/>
    <w:rsid w:val="00F30609"/>
    <w:rsid w:val="00F30899"/>
    <w:rsid w:val="00F30CAD"/>
    <w:rsid w:val="00F30CC6"/>
    <w:rsid w:val="00F31178"/>
    <w:rsid w:val="00F3140B"/>
    <w:rsid w:val="00F31526"/>
    <w:rsid w:val="00F315E4"/>
    <w:rsid w:val="00F317E8"/>
    <w:rsid w:val="00F31BC1"/>
    <w:rsid w:val="00F31C41"/>
    <w:rsid w:val="00F31C42"/>
    <w:rsid w:val="00F31D15"/>
    <w:rsid w:val="00F31D5F"/>
    <w:rsid w:val="00F32178"/>
    <w:rsid w:val="00F3260B"/>
    <w:rsid w:val="00F32A40"/>
    <w:rsid w:val="00F32BD8"/>
    <w:rsid w:val="00F32C1D"/>
    <w:rsid w:val="00F32D38"/>
    <w:rsid w:val="00F32D41"/>
    <w:rsid w:val="00F32E42"/>
    <w:rsid w:val="00F32EBF"/>
    <w:rsid w:val="00F32F9E"/>
    <w:rsid w:val="00F3305B"/>
    <w:rsid w:val="00F3331C"/>
    <w:rsid w:val="00F3335C"/>
    <w:rsid w:val="00F33AAE"/>
    <w:rsid w:val="00F33CF6"/>
    <w:rsid w:val="00F33DE7"/>
    <w:rsid w:val="00F3428D"/>
    <w:rsid w:val="00F345E9"/>
    <w:rsid w:val="00F34863"/>
    <w:rsid w:val="00F348B1"/>
    <w:rsid w:val="00F349E6"/>
    <w:rsid w:val="00F34E9B"/>
    <w:rsid w:val="00F3507B"/>
    <w:rsid w:val="00F352C0"/>
    <w:rsid w:val="00F3551D"/>
    <w:rsid w:val="00F35681"/>
    <w:rsid w:val="00F3573C"/>
    <w:rsid w:val="00F35DF4"/>
    <w:rsid w:val="00F35F53"/>
    <w:rsid w:val="00F360B0"/>
    <w:rsid w:val="00F361A2"/>
    <w:rsid w:val="00F36295"/>
    <w:rsid w:val="00F36540"/>
    <w:rsid w:val="00F3668A"/>
    <w:rsid w:val="00F36807"/>
    <w:rsid w:val="00F36893"/>
    <w:rsid w:val="00F36DB1"/>
    <w:rsid w:val="00F3705F"/>
    <w:rsid w:val="00F37121"/>
    <w:rsid w:val="00F3738C"/>
    <w:rsid w:val="00F373A8"/>
    <w:rsid w:val="00F37830"/>
    <w:rsid w:val="00F3797F"/>
    <w:rsid w:val="00F37AFB"/>
    <w:rsid w:val="00F40294"/>
    <w:rsid w:val="00F402F9"/>
    <w:rsid w:val="00F40356"/>
    <w:rsid w:val="00F4068C"/>
    <w:rsid w:val="00F4069C"/>
    <w:rsid w:val="00F40B03"/>
    <w:rsid w:val="00F40B5C"/>
    <w:rsid w:val="00F40B74"/>
    <w:rsid w:val="00F40DC2"/>
    <w:rsid w:val="00F41391"/>
    <w:rsid w:val="00F414C5"/>
    <w:rsid w:val="00F4161E"/>
    <w:rsid w:val="00F4169A"/>
    <w:rsid w:val="00F41D81"/>
    <w:rsid w:val="00F41DC4"/>
    <w:rsid w:val="00F42122"/>
    <w:rsid w:val="00F4234B"/>
    <w:rsid w:val="00F42655"/>
    <w:rsid w:val="00F4277F"/>
    <w:rsid w:val="00F42B8F"/>
    <w:rsid w:val="00F42FCF"/>
    <w:rsid w:val="00F43037"/>
    <w:rsid w:val="00F43104"/>
    <w:rsid w:val="00F43176"/>
    <w:rsid w:val="00F4334B"/>
    <w:rsid w:val="00F43400"/>
    <w:rsid w:val="00F437A5"/>
    <w:rsid w:val="00F43820"/>
    <w:rsid w:val="00F4393A"/>
    <w:rsid w:val="00F43980"/>
    <w:rsid w:val="00F43C3D"/>
    <w:rsid w:val="00F4401B"/>
    <w:rsid w:val="00F4403A"/>
    <w:rsid w:val="00F445FC"/>
    <w:rsid w:val="00F44682"/>
    <w:rsid w:val="00F44881"/>
    <w:rsid w:val="00F44BA5"/>
    <w:rsid w:val="00F450DE"/>
    <w:rsid w:val="00F45170"/>
    <w:rsid w:val="00F453AE"/>
    <w:rsid w:val="00F453EC"/>
    <w:rsid w:val="00F456A9"/>
    <w:rsid w:val="00F45897"/>
    <w:rsid w:val="00F45DAB"/>
    <w:rsid w:val="00F45E0C"/>
    <w:rsid w:val="00F460EB"/>
    <w:rsid w:val="00F462D9"/>
    <w:rsid w:val="00F463E4"/>
    <w:rsid w:val="00F464D0"/>
    <w:rsid w:val="00F4665E"/>
    <w:rsid w:val="00F4674C"/>
    <w:rsid w:val="00F468BB"/>
    <w:rsid w:val="00F46A66"/>
    <w:rsid w:val="00F46D7A"/>
    <w:rsid w:val="00F46ECF"/>
    <w:rsid w:val="00F46F3C"/>
    <w:rsid w:val="00F46F51"/>
    <w:rsid w:val="00F47145"/>
    <w:rsid w:val="00F471DF"/>
    <w:rsid w:val="00F474A1"/>
    <w:rsid w:val="00F4781D"/>
    <w:rsid w:val="00F47BF6"/>
    <w:rsid w:val="00F47DC5"/>
    <w:rsid w:val="00F5009A"/>
    <w:rsid w:val="00F506FA"/>
    <w:rsid w:val="00F50858"/>
    <w:rsid w:val="00F50AB5"/>
    <w:rsid w:val="00F50DF9"/>
    <w:rsid w:val="00F5114F"/>
    <w:rsid w:val="00F5150E"/>
    <w:rsid w:val="00F51605"/>
    <w:rsid w:val="00F51867"/>
    <w:rsid w:val="00F51928"/>
    <w:rsid w:val="00F51B0C"/>
    <w:rsid w:val="00F51EE8"/>
    <w:rsid w:val="00F522E7"/>
    <w:rsid w:val="00F5256C"/>
    <w:rsid w:val="00F526BD"/>
    <w:rsid w:val="00F5273F"/>
    <w:rsid w:val="00F528E4"/>
    <w:rsid w:val="00F52AC5"/>
    <w:rsid w:val="00F52C98"/>
    <w:rsid w:val="00F52E8C"/>
    <w:rsid w:val="00F52EA7"/>
    <w:rsid w:val="00F53104"/>
    <w:rsid w:val="00F533A0"/>
    <w:rsid w:val="00F535DD"/>
    <w:rsid w:val="00F539B8"/>
    <w:rsid w:val="00F53A3D"/>
    <w:rsid w:val="00F53CCD"/>
    <w:rsid w:val="00F544E7"/>
    <w:rsid w:val="00F54CA7"/>
    <w:rsid w:val="00F55010"/>
    <w:rsid w:val="00F550A7"/>
    <w:rsid w:val="00F55394"/>
    <w:rsid w:val="00F55581"/>
    <w:rsid w:val="00F556BE"/>
    <w:rsid w:val="00F557D8"/>
    <w:rsid w:val="00F55BA3"/>
    <w:rsid w:val="00F55EC0"/>
    <w:rsid w:val="00F56024"/>
    <w:rsid w:val="00F5620E"/>
    <w:rsid w:val="00F5668C"/>
    <w:rsid w:val="00F5669E"/>
    <w:rsid w:val="00F569DB"/>
    <w:rsid w:val="00F56B70"/>
    <w:rsid w:val="00F57670"/>
    <w:rsid w:val="00F57F56"/>
    <w:rsid w:val="00F60184"/>
    <w:rsid w:val="00F601AB"/>
    <w:rsid w:val="00F605D0"/>
    <w:rsid w:val="00F6091C"/>
    <w:rsid w:val="00F609E8"/>
    <w:rsid w:val="00F60BB5"/>
    <w:rsid w:val="00F61123"/>
    <w:rsid w:val="00F6130F"/>
    <w:rsid w:val="00F61899"/>
    <w:rsid w:val="00F61B5B"/>
    <w:rsid w:val="00F620F4"/>
    <w:rsid w:val="00F62104"/>
    <w:rsid w:val="00F621F3"/>
    <w:rsid w:val="00F62806"/>
    <w:rsid w:val="00F6291C"/>
    <w:rsid w:val="00F62EA0"/>
    <w:rsid w:val="00F62FFB"/>
    <w:rsid w:val="00F630C3"/>
    <w:rsid w:val="00F631F1"/>
    <w:rsid w:val="00F632E8"/>
    <w:rsid w:val="00F632F8"/>
    <w:rsid w:val="00F6333B"/>
    <w:rsid w:val="00F634F4"/>
    <w:rsid w:val="00F636ED"/>
    <w:rsid w:val="00F6387C"/>
    <w:rsid w:val="00F6389E"/>
    <w:rsid w:val="00F639EC"/>
    <w:rsid w:val="00F63AE8"/>
    <w:rsid w:val="00F63C8F"/>
    <w:rsid w:val="00F6400B"/>
    <w:rsid w:val="00F64069"/>
    <w:rsid w:val="00F642F6"/>
    <w:rsid w:val="00F6462B"/>
    <w:rsid w:val="00F64700"/>
    <w:rsid w:val="00F6488D"/>
    <w:rsid w:val="00F648A9"/>
    <w:rsid w:val="00F64906"/>
    <w:rsid w:val="00F64A30"/>
    <w:rsid w:val="00F64B33"/>
    <w:rsid w:val="00F64D80"/>
    <w:rsid w:val="00F64F10"/>
    <w:rsid w:val="00F652B8"/>
    <w:rsid w:val="00F6539F"/>
    <w:rsid w:val="00F65474"/>
    <w:rsid w:val="00F657AD"/>
    <w:rsid w:val="00F659A2"/>
    <w:rsid w:val="00F65F0B"/>
    <w:rsid w:val="00F65F38"/>
    <w:rsid w:val="00F65F3A"/>
    <w:rsid w:val="00F65F3E"/>
    <w:rsid w:val="00F65FDF"/>
    <w:rsid w:val="00F6610F"/>
    <w:rsid w:val="00F661C1"/>
    <w:rsid w:val="00F6620D"/>
    <w:rsid w:val="00F6662E"/>
    <w:rsid w:val="00F66832"/>
    <w:rsid w:val="00F6691A"/>
    <w:rsid w:val="00F66A7D"/>
    <w:rsid w:val="00F66AE6"/>
    <w:rsid w:val="00F66D69"/>
    <w:rsid w:val="00F66E2E"/>
    <w:rsid w:val="00F676B7"/>
    <w:rsid w:val="00F67888"/>
    <w:rsid w:val="00F6791B"/>
    <w:rsid w:val="00F6796A"/>
    <w:rsid w:val="00F67B1D"/>
    <w:rsid w:val="00F67C87"/>
    <w:rsid w:val="00F70167"/>
    <w:rsid w:val="00F701FE"/>
    <w:rsid w:val="00F70360"/>
    <w:rsid w:val="00F70695"/>
    <w:rsid w:val="00F7072E"/>
    <w:rsid w:val="00F709F0"/>
    <w:rsid w:val="00F70CE5"/>
    <w:rsid w:val="00F70D82"/>
    <w:rsid w:val="00F711DB"/>
    <w:rsid w:val="00F711FA"/>
    <w:rsid w:val="00F71555"/>
    <w:rsid w:val="00F71563"/>
    <w:rsid w:val="00F71829"/>
    <w:rsid w:val="00F71E67"/>
    <w:rsid w:val="00F71EBD"/>
    <w:rsid w:val="00F7227F"/>
    <w:rsid w:val="00F72320"/>
    <w:rsid w:val="00F72493"/>
    <w:rsid w:val="00F72BFE"/>
    <w:rsid w:val="00F72D6C"/>
    <w:rsid w:val="00F73604"/>
    <w:rsid w:val="00F736DA"/>
    <w:rsid w:val="00F736E0"/>
    <w:rsid w:val="00F736E6"/>
    <w:rsid w:val="00F7371D"/>
    <w:rsid w:val="00F73FE5"/>
    <w:rsid w:val="00F740B3"/>
    <w:rsid w:val="00F74AD6"/>
    <w:rsid w:val="00F74C7A"/>
    <w:rsid w:val="00F75181"/>
    <w:rsid w:val="00F75252"/>
    <w:rsid w:val="00F75271"/>
    <w:rsid w:val="00F753F8"/>
    <w:rsid w:val="00F7579B"/>
    <w:rsid w:val="00F75963"/>
    <w:rsid w:val="00F7602F"/>
    <w:rsid w:val="00F762C3"/>
    <w:rsid w:val="00F763A9"/>
    <w:rsid w:val="00F76BA4"/>
    <w:rsid w:val="00F76D54"/>
    <w:rsid w:val="00F76D83"/>
    <w:rsid w:val="00F76F29"/>
    <w:rsid w:val="00F773CD"/>
    <w:rsid w:val="00F777D5"/>
    <w:rsid w:val="00F77959"/>
    <w:rsid w:val="00F77C2F"/>
    <w:rsid w:val="00F807CB"/>
    <w:rsid w:val="00F80AF5"/>
    <w:rsid w:val="00F80D82"/>
    <w:rsid w:val="00F80FCA"/>
    <w:rsid w:val="00F81A32"/>
    <w:rsid w:val="00F81D8E"/>
    <w:rsid w:val="00F81E38"/>
    <w:rsid w:val="00F827DE"/>
    <w:rsid w:val="00F82940"/>
    <w:rsid w:val="00F82B32"/>
    <w:rsid w:val="00F82DE2"/>
    <w:rsid w:val="00F830B3"/>
    <w:rsid w:val="00F83DD9"/>
    <w:rsid w:val="00F842CC"/>
    <w:rsid w:val="00F8431E"/>
    <w:rsid w:val="00F844B0"/>
    <w:rsid w:val="00F84548"/>
    <w:rsid w:val="00F84967"/>
    <w:rsid w:val="00F84AE9"/>
    <w:rsid w:val="00F84C11"/>
    <w:rsid w:val="00F84C2A"/>
    <w:rsid w:val="00F8524F"/>
    <w:rsid w:val="00F8525B"/>
    <w:rsid w:val="00F858C8"/>
    <w:rsid w:val="00F86EA5"/>
    <w:rsid w:val="00F86F6E"/>
    <w:rsid w:val="00F86FA7"/>
    <w:rsid w:val="00F870AC"/>
    <w:rsid w:val="00F879A6"/>
    <w:rsid w:val="00F87CAD"/>
    <w:rsid w:val="00F87F6B"/>
    <w:rsid w:val="00F9043A"/>
    <w:rsid w:val="00F90AF3"/>
    <w:rsid w:val="00F90BCE"/>
    <w:rsid w:val="00F90E51"/>
    <w:rsid w:val="00F90EA5"/>
    <w:rsid w:val="00F9103E"/>
    <w:rsid w:val="00F91168"/>
    <w:rsid w:val="00F91537"/>
    <w:rsid w:val="00F91704"/>
    <w:rsid w:val="00F918A6"/>
    <w:rsid w:val="00F91C38"/>
    <w:rsid w:val="00F91F98"/>
    <w:rsid w:val="00F9204A"/>
    <w:rsid w:val="00F92728"/>
    <w:rsid w:val="00F9283D"/>
    <w:rsid w:val="00F9284D"/>
    <w:rsid w:val="00F9291E"/>
    <w:rsid w:val="00F92A3F"/>
    <w:rsid w:val="00F935FF"/>
    <w:rsid w:val="00F937CD"/>
    <w:rsid w:val="00F93ADF"/>
    <w:rsid w:val="00F943AB"/>
    <w:rsid w:val="00F943D2"/>
    <w:rsid w:val="00F94418"/>
    <w:rsid w:val="00F94492"/>
    <w:rsid w:val="00F944E5"/>
    <w:rsid w:val="00F945CB"/>
    <w:rsid w:val="00F94A5D"/>
    <w:rsid w:val="00F94E2C"/>
    <w:rsid w:val="00F951A1"/>
    <w:rsid w:val="00F954BD"/>
    <w:rsid w:val="00F95962"/>
    <w:rsid w:val="00F95C45"/>
    <w:rsid w:val="00F95D1A"/>
    <w:rsid w:val="00F95DA2"/>
    <w:rsid w:val="00F95E5A"/>
    <w:rsid w:val="00F963BD"/>
    <w:rsid w:val="00F964FD"/>
    <w:rsid w:val="00F96657"/>
    <w:rsid w:val="00F96AD9"/>
    <w:rsid w:val="00F96B93"/>
    <w:rsid w:val="00F96F5D"/>
    <w:rsid w:val="00F973FB"/>
    <w:rsid w:val="00F9751A"/>
    <w:rsid w:val="00F9787B"/>
    <w:rsid w:val="00F97C5D"/>
    <w:rsid w:val="00F97D5E"/>
    <w:rsid w:val="00F97F4C"/>
    <w:rsid w:val="00FA00E2"/>
    <w:rsid w:val="00FA02E7"/>
    <w:rsid w:val="00FA02FD"/>
    <w:rsid w:val="00FA060E"/>
    <w:rsid w:val="00FA0A30"/>
    <w:rsid w:val="00FA0A98"/>
    <w:rsid w:val="00FA0E6B"/>
    <w:rsid w:val="00FA0FEB"/>
    <w:rsid w:val="00FA10C3"/>
    <w:rsid w:val="00FA10E3"/>
    <w:rsid w:val="00FA1139"/>
    <w:rsid w:val="00FA1175"/>
    <w:rsid w:val="00FA1359"/>
    <w:rsid w:val="00FA1B8A"/>
    <w:rsid w:val="00FA1E00"/>
    <w:rsid w:val="00FA1EBE"/>
    <w:rsid w:val="00FA21DE"/>
    <w:rsid w:val="00FA237D"/>
    <w:rsid w:val="00FA2415"/>
    <w:rsid w:val="00FA2550"/>
    <w:rsid w:val="00FA25DD"/>
    <w:rsid w:val="00FA26B8"/>
    <w:rsid w:val="00FA2A08"/>
    <w:rsid w:val="00FA2C6B"/>
    <w:rsid w:val="00FA2CED"/>
    <w:rsid w:val="00FA2D73"/>
    <w:rsid w:val="00FA2FB4"/>
    <w:rsid w:val="00FA342E"/>
    <w:rsid w:val="00FA34F5"/>
    <w:rsid w:val="00FA3B78"/>
    <w:rsid w:val="00FA3D20"/>
    <w:rsid w:val="00FA4351"/>
    <w:rsid w:val="00FA44E3"/>
    <w:rsid w:val="00FA450C"/>
    <w:rsid w:val="00FA49CE"/>
    <w:rsid w:val="00FA49F7"/>
    <w:rsid w:val="00FA4B3D"/>
    <w:rsid w:val="00FA4D81"/>
    <w:rsid w:val="00FA4DC7"/>
    <w:rsid w:val="00FA4FBB"/>
    <w:rsid w:val="00FA4FE8"/>
    <w:rsid w:val="00FA5280"/>
    <w:rsid w:val="00FA536B"/>
    <w:rsid w:val="00FA53DC"/>
    <w:rsid w:val="00FA56BE"/>
    <w:rsid w:val="00FA57C0"/>
    <w:rsid w:val="00FA5A47"/>
    <w:rsid w:val="00FA5A72"/>
    <w:rsid w:val="00FA5A97"/>
    <w:rsid w:val="00FA5B9D"/>
    <w:rsid w:val="00FA5E75"/>
    <w:rsid w:val="00FA609C"/>
    <w:rsid w:val="00FA63FB"/>
    <w:rsid w:val="00FA6506"/>
    <w:rsid w:val="00FA6A0F"/>
    <w:rsid w:val="00FA6E89"/>
    <w:rsid w:val="00FA7211"/>
    <w:rsid w:val="00FA7358"/>
    <w:rsid w:val="00FA76EF"/>
    <w:rsid w:val="00FA7936"/>
    <w:rsid w:val="00FA7AA4"/>
    <w:rsid w:val="00FA7E50"/>
    <w:rsid w:val="00FB01E3"/>
    <w:rsid w:val="00FB041C"/>
    <w:rsid w:val="00FB0438"/>
    <w:rsid w:val="00FB05AF"/>
    <w:rsid w:val="00FB07B1"/>
    <w:rsid w:val="00FB0E95"/>
    <w:rsid w:val="00FB0FF2"/>
    <w:rsid w:val="00FB13F2"/>
    <w:rsid w:val="00FB14CC"/>
    <w:rsid w:val="00FB1710"/>
    <w:rsid w:val="00FB1892"/>
    <w:rsid w:val="00FB1B66"/>
    <w:rsid w:val="00FB1D29"/>
    <w:rsid w:val="00FB1F9F"/>
    <w:rsid w:val="00FB2D35"/>
    <w:rsid w:val="00FB2DFA"/>
    <w:rsid w:val="00FB2FAC"/>
    <w:rsid w:val="00FB338B"/>
    <w:rsid w:val="00FB3506"/>
    <w:rsid w:val="00FB36DC"/>
    <w:rsid w:val="00FB3898"/>
    <w:rsid w:val="00FB39A9"/>
    <w:rsid w:val="00FB3B17"/>
    <w:rsid w:val="00FB3BAD"/>
    <w:rsid w:val="00FB44CA"/>
    <w:rsid w:val="00FB4574"/>
    <w:rsid w:val="00FB4779"/>
    <w:rsid w:val="00FB4806"/>
    <w:rsid w:val="00FB48CA"/>
    <w:rsid w:val="00FB4999"/>
    <w:rsid w:val="00FB4A29"/>
    <w:rsid w:val="00FB4CA9"/>
    <w:rsid w:val="00FB4D77"/>
    <w:rsid w:val="00FB4E43"/>
    <w:rsid w:val="00FB4E9B"/>
    <w:rsid w:val="00FB54B2"/>
    <w:rsid w:val="00FB57D4"/>
    <w:rsid w:val="00FB5ACC"/>
    <w:rsid w:val="00FB5B4C"/>
    <w:rsid w:val="00FB5C05"/>
    <w:rsid w:val="00FB5D23"/>
    <w:rsid w:val="00FB5F06"/>
    <w:rsid w:val="00FB6305"/>
    <w:rsid w:val="00FB6796"/>
    <w:rsid w:val="00FB690C"/>
    <w:rsid w:val="00FB6DA2"/>
    <w:rsid w:val="00FB6E42"/>
    <w:rsid w:val="00FB736C"/>
    <w:rsid w:val="00FB74DB"/>
    <w:rsid w:val="00FB79AE"/>
    <w:rsid w:val="00FB7CE9"/>
    <w:rsid w:val="00FC0C3A"/>
    <w:rsid w:val="00FC105A"/>
    <w:rsid w:val="00FC107F"/>
    <w:rsid w:val="00FC1110"/>
    <w:rsid w:val="00FC1112"/>
    <w:rsid w:val="00FC1224"/>
    <w:rsid w:val="00FC13BB"/>
    <w:rsid w:val="00FC14FA"/>
    <w:rsid w:val="00FC1514"/>
    <w:rsid w:val="00FC1615"/>
    <w:rsid w:val="00FC16EB"/>
    <w:rsid w:val="00FC18E7"/>
    <w:rsid w:val="00FC1A45"/>
    <w:rsid w:val="00FC1C75"/>
    <w:rsid w:val="00FC1D3A"/>
    <w:rsid w:val="00FC1FDC"/>
    <w:rsid w:val="00FC2487"/>
    <w:rsid w:val="00FC24C6"/>
    <w:rsid w:val="00FC2D50"/>
    <w:rsid w:val="00FC327B"/>
    <w:rsid w:val="00FC32DF"/>
    <w:rsid w:val="00FC347D"/>
    <w:rsid w:val="00FC3487"/>
    <w:rsid w:val="00FC379B"/>
    <w:rsid w:val="00FC3ADF"/>
    <w:rsid w:val="00FC3B4B"/>
    <w:rsid w:val="00FC404E"/>
    <w:rsid w:val="00FC40D0"/>
    <w:rsid w:val="00FC41CE"/>
    <w:rsid w:val="00FC45EC"/>
    <w:rsid w:val="00FC47F2"/>
    <w:rsid w:val="00FC4C10"/>
    <w:rsid w:val="00FC5160"/>
    <w:rsid w:val="00FC52AD"/>
    <w:rsid w:val="00FC55AA"/>
    <w:rsid w:val="00FC5866"/>
    <w:rsid w:val="00FC5B60"/>
    <w:rsid w:val="00FC6161"/>
    <w:rsid w:val="00FC6637"/>
    <w:rsid w:val="00FC673C"/>
    <w:rsid w:val="00FC679E"/>
    <w:rsid w:val="00FC6DCC"/>
    <w:rsid w:val="00FC6E68"/>
    <w:rsid w:val="00FC742F"/>
    <w:rsid w:val="00FC744C"/>
    <w:rsid w:val="00FC745A"/>
    <w:rsid w:val="00FC789A"/>
    <w:rsid w:val="00FC7A96"/>
    <w:rsid w:val="00FD038D"/>
    <w:rsid w:val="00FD0677"/>
    <w:rsid w:val="00FD076A"/>
    <w:rsid w:val="00FD0A52"/>
    <w:rsid w:val="00FD0AE5"/>
    <w:rsid w:val="00FD0BE3"/>
    <w:rsid w:val="00FD10B6"/>
    <w:rsid w:val="00FD15F7"/>
    <w:rsid w:val="00FD197A"/>
    <w:rsid w:val="00FD1A6E"/>
    <w:rsid w:val="00FD1E3E"/>
    <w:rsid w:val="00FD1EFE"/>
    <w:rsid w:val="00FD20D6"/>
    <w:rsid w:val="00FD26F7"/>
    <w:rsid w:val="00FD2966"/>
    <w:rsid w:val="00FD2AA6"/>
    <w:rsid w:val="00FD2B58"/>
    <w:rsid w:val="00FD2B96"/>
    <w:rsid w:val="00FD2C19"/>
    <w:rsid w:val="00FD2D93"/>
    <w:rsid w:val="00FD2F23"/>
    <w:rsid w:val="00FD30BF"/>
    <w:rsid w:val="00FD3643"/>
    <w:rsid w:val="00FD3865"/>
    <w:rsid w:val="00FD3AE2"/>
    <w:rsid w:val="00FD411B"/>
    <w:rsid w:val="00FD4199"/>
    <w:rsid w:val="00FD459B"/>
    <w:rsid w:val="00FD49CA"/>
    <w:rsid w:val="00FD4E09"/>
    <w:rsid w:val="00FD4FB3"/>
    <w:rsid w:val="00FD505F"/>
    <w:rsid w:val="00FD5633"/>
    <w:rsid w:val="00FD56DA"/>
    <w:rsid w:val="00FD5F12"/>
    <w:rsid w:val="00FD608F"/>
    <w:rsid w:val="00FD6467"/>
    <w:rsid w:val="00FD64C6"/>
    <w:rsid w:val="00FD64E1"/>
    <w:rsid w:val="00FD6F8A"/>
    <w:rsid w:val="00FD7271"/>
    <w:rsid w:val="00FD7837"/>
    <w:rsid w:val="00FE0364"/>
    <w:rsid w:val="00FE040E"/>
    <w:rsid w:val="00FE09AA"/>
    <w:rsid w:val="00FE09B3"/>
    <w:rsid w:val="00FE0E1B"/>
    <w:rsid w:val="00FE1273"/>
    <w:rsid w:val="00FE12BF"/>
    <w:rsid w:val="00FE17A1"/>
    <w:rsid w:val="00FE1902"/>
    <w:rsid w:val="00FE1CE9"/>
    <w:rsid w:val="00FE1E04"/>
    <w:rsid w:val="00FE1EDC"/>
    <w:rsid w:val="00FE23B6"/>
    <w:rsid w:val="00FE2CFF"/>
    <w:rsid w:val="00FE2EE7"/>
    <w:rsid w:val="00FE3253"/>
    <w:rsid w:val="00FE3A25"/>
    <w:rsid w:val="00FE41DF"/>
    <w:rsid w:val="00FE4201"/>
    <w:rsid w:val="00FE436A"/>
    <w:rsid w:val="00FE4498"/>
    <w:rsid w:val="00FE4602"/>
    <w:rsid w:val="00FE4603"/>
    <w:rsid w:val="00FE482D"/>
    <w:rsid w:val="00FE49B8"/>
    <w:rsid w:val="00FE4AF8"/>
    <w:rsid w:val="00FE4B2C"/>
    <w:rsid w:val="00FE4DED"/>
    <w:rsid w:val="00FE4F32"/>
    <w:rsid w:val="00FE50E0"/>
    <w:rsid w:val="00FE5524"/>
    <w:rsid w:val="00FE57B0"/>
    <w:rsid w:val="00FE58A0"/>
    <w:rsid w:val="00FE5EC1"/>
    <w:rsid w:val="00FE5FAA"/>
    <w:rsid w:val="00FE634F"/>
    <w:rsid w:val="00FE6666"/>
    <w:rsid w:val="00FE66F9"/>
    <w:rsid w:val="00FE6C5C"/>
    <w:rsid w:val="00FE6D36"/>
    <w:rsid w:val="00FE7049"/>
    <w:rsid w:val="00FE7077"/>
    <w:rsid w:val="00FE71C0"/>
    <w:rsid w:val="00FE755E"/>
    <w:rsid w:val="00FE7617"/>
    <w:rsid w:val="00FE7879"/>
    <w:rsid w:val="00FF00C4"/>
    <w:rsid w:val="00FF00ED"/>
    <w:rsid w:val="00FF0196"/>
    <w:rsid w:val="00FF0216"/>
    <w:rsid w:val="00FF0B54"/>
    <w:rsid w:val="00FF0D42"/>
    <w:rsid w:val="00FF1019"/>
    <w:rsid w:val="00FF109F"/>
    <w:rsid w:val="00FF118A"/>
    <w:rsid w:val="00FF128F"/>
    <w:rsid w:val="00FF15EF"/>
    <w:rsid w:val="00FF189E"/>
    <w:rsid w:val="00FF1A47"/>
    <w:rsid w:val="00FF1B3B"/>
    <w:rsid w:val="00FF1C35"/>
    <w:rsid w:val="00FF1E0E"/>
    <w:rsid w:val="00FF2003"/>
    <w:rsid w:val="00FF2250"/>
    <w:rsid w:val="00FF2291"/>
    <w:rsid w:val="00FF2317"/>
    <w:rsid w:val="00FF2568"/>
    <w:rsid w:val="00FF2691"/>
    <w:rsid w:val="00FF2876"/>
    <w:rsid w:val="00FF2F81"/>
    <w:rsid w:val="00FF3187"/>
    <w:rsid w:val="00FF32E1"/>
    <w:rsid w:val="00FF349E"/>
    <w:rsid w:val="00FF3520"/>
    <w:rsid w:val="00FF372B"/>
    <w:rsid w:val="00FF3972"/>
    <w:rsid w:val="00FF3B38"/>
    <w:rsid w:val="00FF45B4"/>
    <w:rsid w:val="00FF470B"/>
    <w:rsid w:val="00FF49F0"/>
    <w:rsid w:val="00FF4B8A"/>
    <w:rsid w:val="00FF4E0C"/>
    <w:rsid w:val="00FF500A"/>
    <w:rsid w:val="00FF5065"/>
    <w:rsid w:val="00FF51D6"/>
    <w:rsid w:val="00FF5449"/>
    <w:rsid w:val="00FF5536"/>
    <w:rsid w:val="00FF558A"/>
    <w:rsid w:val="00FF57A3"/>
    <w:rsid w:val="00FF5934"/>
    <w:rsid w:val="00FF5A6B"/>
    <w:rsid w:val="00FF5B2B"/>
    <w:rsid w:val="00FF5BEB"/>
    <w:rsid w:val="00FF5CC7"/>
    <w:rsid w:val="00FF5E72"/>
    <w:rsid w:val="00FF606C"/>
    <w:rsid w:val="00FF6257"/>
    <w:rsid w:val="00FF6384"/>
    <w:rsid w:val="00FF63FC"/>
    <w:rsid w:val="00FF6491"/>
    <w:rsid w:val="00FF7051"/>
    <w:rsid w:val="00FF7707"/>
    <w:rsid w:val="00FF7EAC"/>
    <w:rsid w:val="00FF7F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EAE2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pl-PL" w:eastAsia="en-US" w:bidi="ar-SA"/>
      </w:rPr>
    </w:rPrDefault>
    <w:pPrDefault>
      <w:pPr>
        <w:spacing w:after="200" w:line="24"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0"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1" w:unhideWhenUsed="1"/>
    <w:lsdException w:name="envelope return" w:semiHidden="1" w:uiPriority="2"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AF2B07"/>
    <w:pPr>
      <w:spacing w:after="120" w:line="360" w:lineRule="auto"/>
    </w:pPr>
    <w:rPr>
      <w:rFonts w:ascii="Times New Roman" w:eastAsia="Times New Roman" w:hAnsi="Times New Roman" w:cs="Times New Roman"/>
      <w:spacing w:val="10"/>
      <w:sz w:val="26"/>
      <w:szCs w:val="20"/>
      <w:lang w:eastAsia="pl-PL"/>
    </w:rPr>
  </w:style>
  <w:style w:type="paragraph" w:styleId="Nagwek1">
    <w:name w:val="heading 1"/>
    <w:basedOn w:val="Normalny"/>
    <w:next w:val="Normalny"/>
    <w:link w:val="Nagwek1Znak"/>
    <w:qFormat/>
    <w:rsid w:val="001856D8"/>
    <w:pPr>
      <w:outlineLvl w:val="0"/>
    </w:pPr>
    <w:rPr>
      <w:b/>
      <w:sz w:val="48"/>
    </w:rPr>
  </w:style>
  <w:style w:type="paragraph" w:styleId="Nagwek2">
    <w:name w:val="heading 2"/>
    <w:basedOn w:val="Normalny"/>
    <w:next w:val="Normalny"/>
    <w:link w:val="Nagwek2Znak"/>
    <w:autoRedefine/>
    <w:qFormat/>
    <w:rsid w:val="00B053CC"/>
    <w:pPr>
      <w:keepNext/>
      <w:keepLines/>
      <w:shd w:val="clear" w:color="auto" w:fill="FFFFFF"/>
      <w:spacing w:after="0" w:line="240" w:lineRule="auto"/>
      <w:textAlignment w:val="baseline"/>
      <w:outlineLvl w:val="1"/>
    </w:pPr>
    <w:rPr>
      <w:rFonts w:eastAsiaTheme="majorEastAsia"/>
      <w:b/>
      <w:spacing w:val="0"/>
      <w:sz w:val="36"/>
    </w:rPr>
  </w:style>
  <w:style w:type="paragraph" w:styleId="Nagwek3">
    <w:name w:val="heading 3"/>
    <w:basedOn w:val="Normalny"/>
    <w:next w:val="Normalny"/>
    <w:link w:val="Nagwek3Znak"/>
    <w:autoRedefine/>
    <w:qFormat/>
    <w:rsid w:val="00EC250C"/>
    <w:pPr>
      <w:keepNext/>
      <w:keepLines/>
      <w:spacing w:before="360" w:after="240" w:line="240" w:lineRule="auto"/>
      <w:outlineLvl w:val="2"/>
    </w:pPr>
    <w:rPr>
      <w:b/>
      <w:bCs/>
      <w:color w:val="C00000"/>
      <w:sz w:val="48"/>
      <w:szCs w:val="28"/>
    </w:rPr>
  </w:style>
  <w:style w:type="paragraph" w:styleId="Nagwek4">
    <w:name w:val="heading 4"/>
    <w:aliases w:val="Nagłówek 4 - zagadnienie"/>
    <w:basedOn w:val="Normalny"/>
    <w:next w:val="Normalny"/>
    <w:link w:val="Nagwek4Znak"/>
    <w:autoRedefine/>
    <w:unhideWhenUsed/>
    <w:qFormat/>
    <w:rsid w:val="00EC79EB"/>
    <w:pPr>
      <w:keepNext/>
      <w:keepLines/>
      <w:pBdr>
        <w:top w:val="single" w:sz="4" w:space="0" w:color="F2DBDB" w:themeColor="accent2" w:themeTint="33" w:shadow="1"/>
        <w:left w:val="single" w:sz="4" w:space="4" w:color="F2DBDB" w:themeColor="accent2" w:themeTint="33" w:shadow="1"/>
        <w:bottom w:val="single" w:sz="4" w:space="1" w:color="F2DBDB" w:themeColor="accent2" w:themeTint="33" w:shadow="1"/>
        <w:right w:val="single" w:sz="4" w:space="4" w:color="F2DBDB" w:themeColor="accent2" w:themeTint="33" w:shadow="1"/>
      </w:pBdr>
      <w:spacing w:before="240" w:after="0" w:line="240" w:lineRule="auto"/>
      <w:jc w:val="both"/>
      <w:outlineLvl w:val="3"/>
    </w:pPr>
    <w:rPr>
      <w:rFonts w:ascii="EB Garamond 08 Regular" w:eastAsiaTheme="majorEastAsia" w:hAnsi="EB Garamond 08 Regular"/>
      <w:b/>
      <w:sz w:val="32"/>
      <w:szCs w:val="24"/>
      <w:lang w:eastAsia="en-US"/>
    </w:rPr>
  </w:style>
  <w:style w:type="paragraph" w:styleId="Nagwek5">
    <w:name w:val="heading 5"/>
    <w:basedOn w:val="Normalny"/>
    <w:next w:val="Normalny"/>
    <w:link w:val="Nagwek5Znak"/>
    <w:autoRedefine/>
    <w:unhideWhenUsed/>
    <w:qFormat/>
    <w:rsid w:val="00EC250C"/>
    <w:pPr>
      <w:keepNext/>
      <w:spacing w:before="120" w:after="0" w:line="240" w:lineRule="auto"/>
      <w:outlineLvl w:val="4"/>
    </w:pPr>
    <w:rPr>
      <w:rFonts w:eastAsiaTheme="majorEastAsia"/>
      <w:b/>
      <w:bCs/>
      <w:i/>
      <w:iCs/>
      <w:color w:val="18223E"/>
      <w:spacing w:val="5"/>
      <w:sz w:val="28"/>
      <w:szCs w:val="28"/>
      <w:bdr w:val="none" w:sz="0" w:space="0" w:color="auto" w:frame="1"/>
      <w:lang w:eastAsia="en-US" w:bidi="hi-IN"/>
    </w:rPr>
  </w:style>
  <w:style w:type="paragraph" w:styleId="Nagwek6">
    <w:name w:val="heading 6"/>
    <w:basedOn w:val="Normalny"/>
    <w:next w:val="Normalny"/>
    <w:link w:val="Nagwek6Znak"/>
    <w:unhideWhenUsed/>
    <w:rsid w:val="00E87712"/>
    <w:pPr>
      <w:keepNext/>
      <w:ind w:left="6372"/>
      <w:outlineLvl w:val="5"/>
    </w:pPr>
    <w:rPr>
      <w:b/>
      <w:bCs/>
    </w:rPr>
  </w:style>
  <w:style w:type="paragraph" w:styleId="Nagwek7">
    <w:name w:val="heading 7"/>
    <w:basedOn w:val="Normalny"/>
    <w:next w:val="Normalny"/>
    <w:link w:val="Nagwek7Znak"/>
    <w:uiPriority w:val="9"/>
    <w:unhideWhenUsed/>
    <w:rsid w:val="00240C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aliases w:val="KAPSULA"/>
    <w:basedOn w:val="Nagwek4"/>
    <w:next w:val="Nagwek5"/>
    <w:link w:val="Nagwek8Znak"/>
    <w:unhideWhenUsed/>
    <w:qFormat/>
    <w:rsid w:val="00EC250C"/>
    <w:pPr>
      <w:numPr>
        <w:numId w:val="126"/>
      </w:numPr>
      <w:pBdr>
        <w:top w:val="none" w:sz="0" w:space="0" w:color="auto"/>
        <w:left w:val="none" w:sz="0" w:space="0" w:color="auto"/>
        <w:bottom w:val="none" w:sz="0" w:space="0" w:color="auto"/>
        <w:right w:val="none" w:sz="0" w:space="0" w:color="auto"/>
      </w:pBdr>
      <w:shd w:val="pct5" w:color="auto" w:fill="auto"/>
      <w:spacing w:after="120"/>
      <w:jc w:val="left"/>
      <w:outlineLvl w:val="7"/>
    </w:pPr>
    <w:rPr>
      <w:i/>
      <w:iCs/>
      <w:color w:val="C00000"/>
    </w:rPr>
  </w:style>
  <w:style w:type="paragraph" w:styleId="Nagwek9">
    <w:name w:val="heading 9"/>
    <w:basedOn w:val="Normalny"/>
    <w:next w:val="Normalny"/>
    <w:link w:val="Nagwek9Znak"/>
    <w:uiPriority w:val="99"/>
    <w:unhideWhenUsed/>
    <w:rsid w:val="00E87712"/>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856D8"/>
    <w:rPr>
      <w:rFonts w:ascii="Times New Roman" w:eastAsia="Times New Roman" w:hAnsi="Times New Roman" w:cs="Times New Roman"/>
      <w:b/>
      <w:spacing w:val="10"/>
      <w:sz w:val="48"/>
      <w:szCs w:val="20"/>
      <w:lang w:eastAsia="pl-PL"/>
    </w:rPr>
  </w:style>
  <w:style w:type="character" w:customStyle="1" w:styleId="Nagwek2Znak">
    <w:name w:val="Nagłówek 2 Znak"/>
    <w:basedOn w:val="Domylnaczcionkaakapitu"/>
    <w:link w:val="Nagwek2"/>
    <w:rsid w:val="00B053CC"/>
    <w:rPr>
      <w:rFonts w:ascii="Times New Roman" w:eastAsiaTheme="majorEastAsia" w:hAnsi="Times New Roman" w:cs="Times New Roman"/>
      <w:b/>
      <w:sz w:val="36"/>
      <w:szCs w:val="20"/>
      <w:shd w:val="clear" w:color="auto" w:fill="FFFFFF"/>
      <w:lang w:eastAsia="pl-PL"/>
    </w:rPr>
  </w:style>
  <w:style w:type="character" w:customStyle="1" w:styleId="Nagwek3Znak">
    <w:name w:val="Nagłówek 3 Znak"/>
    <w:basedOn w:val="Domylnaczcionkaakapitu"/>
    <w:link w:val="Nagwek3"/>
    <w:rsid w:val="00EC250C"/>
    <w:rPr>
      <w:rFonts w:ascii="Times New Roman" w:eastAsia="Times New Roman" w:hAnsi="Times New Roman" w:cs="Times New Roman"/>
      <w:b/>
      <w:bCs/>
      <w:color w:val="C00000"/>
      <w:spacing w:val="10"/>
      <w:sz w:val="48"/>
      <w:szCs w:val="28"/>
      <w:lang w:eastAsia="pl-PL"/>
    </w:rPr>
  </w:style>
  <w:style w:type="character" w:customStyle="1" w:styleId="Nagwek4Znak">
    <w:name w:val="Nagłówek 4 Znak"/>
    <w:aliases w:val="Nagłówek 4 - zagadnienie Znak"/>
    <w:basedOn w:val="Domylnaczcionkaakapitu"/>
    <w:link w:val="Nagwek4"/>
    <w:rsid w:val="00EC79EB"/>
    <w:rPr>
      <w:rFonts w:ascii="EB Garamond 08 Regular" w:eastAsiaTheme="majorEastAsia" w:hAnsi="EB Garamond 08 Regular" w:cs="Times New Roman"/>
      <w:b/>
      <w:spacing w:val="10"/>
      <w:sz w:val="32"/>
      <w:szCs w:val="24"/>
    </w:rPr>
  </w:style>
  <w:style w:type="character" w:customStyle="1" w:styleId="Nagwek5Znak">
    <w:name w:val="Nagłówek 5 Znak"/>
    <w:basedOn w:val="Domylnaczcionkaakapitu"/>
    <w:link w:val="Nagwek5"/>
    <w:rsid w:val="00EC250C"/>
    <w:rPr>
      <w:rFonts w:ascii="Times New Roman" w:eastAsiaTheme="majorEastAsia" w:hAnsi="Times New Roman" w:cs="Times New Roman"/>
      <w:b/>
      <w:bCs/>
      <w:i/>
      <w:iCs/>
      <w:color w:val="18223E"/>
      <w:spacing w:val="5"/>
      <w:sz w:val="28"/>
      <w:szCs w:val="28"/>
      <w:bdr w:val="none" w:sz="0" w:space="0" w:color="auto" w:frame="1"/>
      <w:lang w:bidi="hi-IN"/>
    </w:rPr>
  </w:style>
  <w:style w:type="character" w:customStyle="1" w:styleId="Nagwek6Znak">
    <w:name w:val="Nagłówek 6 Znak"/>
    <w:basedOn w:val="Domylnaczcionkaakapitu"/>
    <w:link w:val="Nagwek6"/>
    <w:rsid w:val="00E87712"/>
    <w:rPr>
      <w:rFonts w:ascii="Times New Roman" w:eastAsia="Times New Roman" w:hAnsi="Times New Roman" w:cs="Times New Roman"/>
      <w:b/>
      <w:bCs/>
      <w:spacing w:val="10"/>
      <w:sz w:val="26"/>
      <w:szCs w:val="20"/>
      <w:lang w:eastAsia="pl-PL"/>
    </w:rPr>
  </w:style>
  <w:style w:type="character" w:customStyle="1" w:styleId="Nagwek7Znak">
    <w:name w:val="Nagłówek 7 Znak"/>
    <w:basedOn w:val="Domylnaczcionkaakapitu"/>
    <w:link w:val="Nagwek7"/>
    <w:uiPriority w:val="9"/>
    <w:rsid w:val="00240C22"/>
    <w:rPr>
      <w:rFonts w:asciiTheme="majorHAnsi" w:eastAsiaTheme="majorEastAsia" w:hAnsiTheme="majorHAnsi" w:cstheme="majorBidi"/>
      <w:i/>
      <w:iCs/>
      <w:color w:val="404040" w:themeColor="text1" w:themeTint="BF"/>
      <w:spacing w:val="10"/>
      <w:sz w:val="26"/>
      <w:szCs w:val="20"/>
      <w:lang w:eastAsia="pl-PL"/>
    </w:rPr>
  </w:style>
  <w:style w:type="character" w:customStyle="1" w:styleId="Nagwek8Znak">
    <w:name w:val="Nagłówek 8 Znak"/>
    <w:aliases w:val="KAPSULA Znak"/>
    <w:basedOn w:val="Domylnaczcionkaakapitu"/>
    <w:link w:val="Nagwek8"/>
    <w:rsid w:val="00EC250C"/>
    <w:rPr>
      <w:rFonts w:ascii="EB Garamond 08 Regular" w:eastAsiaTheme="majorEastAsia" w:hAnsi="EB Garamond 08 Regular" w:cs="Times New Roman"/>
      <w:b/>
      <w:i/>
      <w:iCs/>
      <w:color w:val="C00000"/>
      <w:spacing w:val="10"/>
      <w:sz w:val="32"/>
      <w:szCs w:val="24"/>
      <w:shd w:val="pct5" w:color="auto" w:fill="auto"/>
    </w:rPr>
  </w:style>
  <w:style w:type="character" w:customStyle="1" w:styleId="Nagwek9Znak">
    <w:name w:val="Nagłówek 9 Znak"/>
    <w:basedOn w:val="Domylnaczcionkaakapitu"/>
    <w:link w:val="Nagwek9"/>
    <w:uiPriority w:val="99"/>
    <w:rsid w:val="00E87712"/>
    <w:rPr>
      <w:rFonts w:ascii="Arial" w:eastAsia="Times New Roman" w:hAnsi="Arial" w:cs="Arial"/>
      <w:spacing w:val="10"/>
      <w:lang w:eastAsia="pl-PL"/>
    </w:rPr>
  </w:style>
  <w:style w:type="paragraph" w:styleId="Tekstprzypisudolnego">
    <w:name w:val="footnote text"/>
    <w:aliases w:val="Tekst przypisu dolnego Znak Znak,Tekst przypisu dolnego Znak Znak Znak,Footnote,Podrozdział,Tekst przypisu dolnego-poligrafia"/>
    <w:basedOn w:val="Normalny"/>
    <w:link w:val="TekstprzypisudolnegoZnak"/>
    <w:uiPriority w:val="99"/>
    <w:unhideWhenUsed/>
    <w:rsid w:val="0022794E"/>
    <w:pPr>
      <w:keepLines/>
      <w:widowControl w:val="0"/>
      <w:spacing w:after="0" w:line="240" w:lineRule="atLeast"/>
      <w:ind w:left="397" w:hanging="397"/>
    </w:pPr>
    <w:rPr>
      <w:sz w:val="20"/>
    </w:rPr>
  </w:style>
  <w:style w:type="character" w:customStyle="1" w:styleId="TekstprzypisudolnegoZnak">
    <w:name w:val="Tekst przypisu dolnego Znak"/>
    <w:aliases w:val="Tekst przypisu dolnego Znak Znak Znak2,Tekst przypisu dolnego Znak Znak Znak Znak1,Footnote Znak1,Podrozdział Znak1,Tekst przypisu dolnego-poligrafia Znak1"/>
    <w:basedOn w:val="Domylnaczcionkaakapitu"/>
    <w:link w:val="Tekstprzypisudolnego"/>
    <w:uiPriority w:val="99"/>
    <w:rsid w:val="0022794E"/>
    <w:rPr>
      <w:rFonts w:ascii="Times New Roman" w:eastAsia="Times New Roman" w:hAnsi="Times New Roman" w:cs="Times New Roman"/>
      <w:spacing w:val="10"/>
      <w:sz w:val="20"/>
      <w:szCs w:val="20"/>
      <w:lang w:eastAsia="pl-PL"/>
    </w:rPr>
  </w:style>
  <w:style w:type="paragraph" w:customStyle="1" w:styleId="Styl1">
    <w:name w:val="Styl1"/>
    <w:basedOn w:val="Normalny"/>
    <w:link w:val="Styl1Znak"/>
    <w:qFormat/>
    <w:rsid w:val="00EC250C"/>
    <w:pPr>
      <w:spacing w:after="0" w:line="400" w:lineRule="exact"/>
      <w:ind w:firstLine="567"/>
      <w:jc w:val="both"/>
    </w:pPr>
    <w:rPr>
      <w:spacing w:val="5"/>
      <w:sz w:val="22"/>
    </w:rPr>
  </w:style>
  <w:style w:type="character" w:customStyle="1" w:styleId="Styl1Znak">
    <w:name w:val="Styl1 Znak"/>
    <w:basedOn w:val="Domylnaczcionkaakapitu"/>
    <w:link w:val="Styl1"/>
    <w:rsid w:val="00EC250C"/>
    <w:rPr>
      <w:rFonts w:ascii="Times New Roman" w:eastAsia="Times New Roman" w:hAnsi="Times New Roman" w:cs="Times New Roman"/>
      <w:spacing w:val="5"/>
      <w:szCs w:val="20"/>
      <w:lang w:eastAsia="pl-PL"/>
    </w:rPr>
  </w:style>
  <w:style w:type="paragraph" w:styleId="Spistreci2">
    <w:name w:val="toc 2"/>
    <w:basedOn w:val="Normalny"/>
    <w:next w:val="Normalny"/>
    <w:autoRedefine/>
    <w:uiPriority w:val="39"/>
    <w:unhideWhenUsed/>
    <w:qFormat/>
    <w:rsid w:val="005E5C78"/>
    <w:pPr>
      <w:tabs>
        <w:tab w:val="left" w:pos="567"/>
        <w:tab w:val="right" w:pos="624"/>
        <w:tab w:val="right" w:leader="dot" w:pos="9356"/>
      </w:tabs>
      <w:autoSpaceDE w:val="0"/>
      <w:autoSpaceDN w:val="0"/>
      <w:adjustRightInd w:val="0"/>
      <w:spacing w:line="240" w:lineRule="auto"/>
      <w:ind w:left="766" w:right="567" w:hanging="624"/>
    </w:pPr>
    <w:rPr>
      <w:rFonts w:cs="Times-Roman"/>
      <w:b/>
      <w:noProof/>
      <w:sz w:val="32"/>
      <w:szCs w:val="26"/>
    </w:rPr>
  </w:style>
  <w:style w:type="table" w:customStyle="1" w:styleId="Styl4">
    <w:name w:val="Styl4"/>
    <w:basedOn w:val="Standardowy"/>
    <w:uiPriority w:val="99"/>
    <w:qFormat/>
    <w:rsid w:val="00656DD0"/>
    <w:pPr>
      <w:spacing w:after="0" w:line="240" w:lineRule="auto"/>
      <w:jc w:val="center"/>
    </w:pPr>
    <w:rPr>
      <w:rFonts w:ascii="Book Antiqua" w:hAnsi="Book Antiqua"/>
      <w:sz w:val="24"/>
    </w:rPr>
    <w:tblPr/>
    <w:tcPr>
      <w:vAlign w:val="center"/>
    </w:tcPr>
  </w:style>
  <w:style w:type="paragraph" w:styleId="Nagwek">
    <w:name w:val="header"/>
    <w:basedOn w:val="Normalny"/>
    <w:link w:val="NagwekZnak"/>
    <w:rsid w:val="00167A6F"/>
    <w:pPr>
      <w:tabs>
        <w:tab w:val="center" w:pos="4819"/>
        <w:tab w:val="right" w:pos="9071"/>
      </w:tabs>
      <w:spacing w:before="240" w:line="240" w:lineRule="auto"/>
    </w:pPr>
    <w:rPr>
      <w:b/>
      <w:color w:val="4A442A"/>
      <w:sz w:val="28"/>
    </w:rPr>
  </w:style>
  <w:style w:type="character" w:customStyle="1" w:styleId="NagwekZnak">
    <w:name w:val="Nagłówek Znak"/>
    <w:basedOn w:val="Domylnaczcionkaakapitu"/>
    <w:link w:val="Nagwek"/>
    <w:uiPriority w:val="99"/>
    <w:rsid w:val="00167A6F"/>
    <w:rPr>
      <w:rFonts w:ascii="Times New Roman" w:eastAsia="Times New Roman" w:hAnsi="Times New Roman" w:cs="Times New Roman"/>
      <w:b/>
      <w:color w:val="4A442A"/>
      <w:spacing w:val="10"/>
      <w:sz w:val="28"/>
      <w:szCs w:val="20"/>
      <w:lang w:eastAsia="pl-PL"/>
    </w:rPr>
  </w:style>
  <w:style w:type="character" w:styleId="Hipercze">
    <w:name w:val="Hyperlink"/>
    <w:basedOn w:val="Domylnaczcionkaakapitu"/>
    <w:uiPriority w:val="99"/>
    <w:unhideWhenUsed/>
    <w:rsid w:val="00E87712"/>
    <w:rPr>
      <w:color w:val="0000FF"/>
      <w:u w:val="single"/>
    </w:rPr>
  </w:style>
  <w:style w:type="character" w:styleId="UyteHipercze">
    <w:name w:val="FollowedHyperlink"/>
    <w:basedOn w:val="Domylnaczcionkaakapitu"/>
    <w:unhideWhenUsed/>
    <w:rsid w:val="00E87712"/>
    <w:rPr>
      <w:color w:val="800080"/>
      <w:u w:val="single"/>
    </w:rPr>
  </w:style>
  <w:style w:type="paragraph" w:styleId="Spistreci1">
    <w:name w:val="toc 1"/>
    <w:basedOn w:val="Normalny"/>
    <w:next w:val="Normalny"/>
    <w:autoRedefine/>
    <w:uiPriority w:val="39"/>
    <w:unhideWhenUsed/>
    <w:rsid w:val="001759D6"/>
    <w:pPr>
      <w:tabs>
        <w:tab w:val="right" w:leader="dot" w:pos="9063"/>
      </w:tabs>
      <w:spacing w:line="276" w:lineRule="auto"/>
    </w:pPr>
    <w:rPr>
      <w:b/>
      <w:noProof/>
      <w:spacing w:val="-10"/>
      <w:sz w:val="28"/>
      <w:szCs w:val="18"/>
    </w:rPr>
  </w:style>
  <w:style w:type="paragraph" w:styleId="Spistreci3">
    <w:name w:val="toc 3"/>
    <w:basedOn w:val="Normalny"/>
    <w:next w:val="Normalny"/>
    <w:autoRedefine/>
    <w:uiPriority w:val="39"/>
    <w:unhideWhenUsed/>
    <w:rsid w:val="00A46160"/>
    <w:pPr>
      <w:tabs>
        <w:tab w:val="left" w:pos="1120"/>
        <w:tab w:val="right" w:leader="dot" w:pos="9356"/>
      </w:tabs>
      <w:spacing w:before="120" w:line="240" w:lineRule="auto"/>
      <w:ind w:left="113"/>
    </w:pPr>
    <w:rPr>
      <w:b/>
      <w:noProof/>
      <w:color w:val="C00000"/>
      <w:spacing w:val="-6"/>
      <w:sz w:val="28"/>
    </w:rPr>
  </w:style>
  <w:style w:type="paragraph" w:styleId="Spistreci4">
    <w:name w:val="toc 4"/>
    <w:basedOn w:val="Normalny"/>
    <w:next w:val="Normalny"/>
    <w:autoRedefine/>
    <w:uiPriority w:val="39"/>
    <w:unhideWhenUsed/>
    <w:rsid w:val="001759D6"/>
    <w:pPr>
      <w:tabs>
        <w:tab w:val="left" w:pos="1276"/>
        <w:tab w:val="right" w:leader="dot" w:pos="9356"/>
      </w:tabs>
      <w:spacing w:line="240" w:lineRule="auto"/>
      <w:ind w:left="567"/>
    </w:pPr>
    <w:rPr>
      <w:noProof/>
      <w:spacing w:val="-6"/>
      <w:sz w:val="18"/>
      <w:szCs w:val="18"/>
      <w:lang w:bidi="hi-IN"/>
    </w:rPr>
  </w:style>
  <w:style w:type="paragraph" w:styleId="Spistreci5">
    <w:name w:val="toc 5"/>
    <w:basedOn w:val="Normalny"/>
    <w:next w:val="Normalny"/>
    <w:autoRedefine/>
    <w:uiPriority w:val="39"/>
    <w:unhideWhenUsed/>
    <w:rsid w:val="00E87712"/>
    <w:pPr>
      <w:ind w:left="1040"/>
    </w:pPr>
  </w:style>
  <w:style w:type="paragraph" w:styleId="Spistreci6">
    <w:name w:val="toc 6"/>
    <w:basedOn w:val="Normalny"/>
    <w:next w:val="Normalny"/>
    <w:autoRedefine/>
    <w:uiPriority w:val="39"/>
    <w:unhideWhenUsed/>
    <w:rsid w:val="00E87712"/>
    <w:pPr>
      <w:ind w:left="1300"/>
    </w:pPr>
  </w:style>
  <w:style w:type="paragraph" w:styleId="Wcicienormalne">
    <w:name w:val="Normal Indent"/>
    <w:basedOn w:val="Normalny"/>
    <w:uiPriority w:val="99"/>
    <w:semiHidden/>
    <w:unhideWhenUsed/>
    <w:rsid w:val="00E87712"/>
    <w:pPr>
      <w:ind w:left="567"/>
    </w:pPr>
  </w:style>
  <w:style w:type="character" w:customStyle="1" w:styleId="TekstprzypisudolnegoZnak1">
    <w:name w:val="Tekst przypisu dolnego Znak1"/>
    <w:aliases w:val="Tekst przypisu dolnego Znak Znak Znak1,Tekst przypisu dolnego Znak Znak Znak Znak,Footnote Znak,Podrozdział Znak,Tekst przypisu dolnego Znak Znak1,Tekst przypisu dolnego-poligrafia Znak"/>
    <w:basedOn w:val="Domylnaczcionkaakapitu"/>
    <w:locked/>
    <w:rsid w:val="00F9283D"/>
    <w:rPr>
      <w:rFonts w:ascii="Times New Roman" w:hAnsi="Times New Roman"/>
      <w:spacing w:val="10"/>
      <w:sz w:val="20"/>
    </w:rPr>
  </w:style>
  <w:style w:type="paragraph" w:styleId="Tekstprzypisukocowego">
    <w:name w:val="endnote text"/>
    <w:basedOn w:val="Normalny"/>
    <w:link w:val="TekstprzypisukocowegoZnak"/>
    <w:semiHidden/>
    <w:unhideWhenUsed/>
    <w:rsid w:val="00E87712"/>
    <w:pPr>
      <w:spacing w:line="240" w:lineRule="auto"/>
    </w:pPr>
    <w:rPr>
      <w:spacing w:val="0"/>
      <w:sz w:val="20"/>
    </w:rPr>
  </w:style>
  <w:style w:type="character" w:customStyle="1" w:styleId="TekstprzypisukocowegoZnak">
    <w:name w:val="Tekst przypisu końcowego Znak"/>
    <w:basedOn w:val="Domylnaczcionkaakapitu"/>
    <w:link w:val="Tekstprzypisukocowego"/>
    <w:uiPriority w:val="99"/>
    <w:semiHidden/>
    <w:rsid w:val="00E87712"/>
    <w:rPr>
      <w:rFonts w:ascii="Times New Roman" w:eastAsia="Times New Roman" w:hAnsi="Times New Roman" w:cs="Times New Roman"/>
      <w:sz w:val="20"/>
      <w:szCs w:val="20"/>
      <w:lang w:eastAsia="pl-PL"/>
    </w:rPr>
  </w:style>
  <w:style w:type="paragraph" w:styleId="Lista">
    <w:name w:val="List"/>
    <w:basedOn w:val="Normalny"/>
    <w:uiPriority w:val="99"/>
    <w:semiHidden/>
    <w:unhideWhenUsed/>
    <w:rsid w:val="00E87712"/>
    <w:pPr>
      <w:widowControl w:val="0"/>
      <w:autoSpaceDE w:val="0"/>
      <w:autoSpaceDN w:val="0"/>
      <w:adjustRightInd w:val="0"/>
      <w:spacing w:line="240" w:lineRule="auto"/>
      <w:ind w:left="283" w:hanging="283"/>
    </w:pPr>
    <w:rPr>
      <w:spacing w:val="0"/>
      <w:sz w:val="20"/>
    </w:rPr>
  </w:style>
  <w:style w:type="paragraph" w:styleId="Lista2">
    <w:name w:val="List 2"/>
    <w:basedOn w:val="Normalny"/>
    <w:uiPriority w:val="99"/>
    <w:semiHidden/>
    <w:unhideWhenUsed/>
    <w:rsid w:val="00E87712"/>
    <w:pPr>
      <w:ind w:left="566" w:hanging="283"/>
    </w:pPr>
  </w:style>
  <w:style w:type="paragraph" w:styleId="Tekstpodstawowyzwciciem">
    <w:name w:val="Body Text First Indent"/>
    <w:basedOn w:val="Normalny"/>
    <w:link w:val="TekstpodstawowyzwciciemZnak"/>
    <w:uiPriority w:val="99"/>
    <w:semiHidden/>
    <w:unhideWhenUsed/>
    <w:rsid w:val="00C42343"/>
    <w:pPr>
      <w:ind w:firstLine="210"/>
    </w:pPr>
  </w:style>
  <w:style w:type="character" w:customStyle="1" w:styleId="TekstpodstawowyzwciciemZnak">
    <w:name w:val="Tekst podstawowy z wcięciem Znak"/>
    <w:basedOn w:val="Domylnaczcionkaakapitu"/>
    <w:link w:val="Tekstpodstawowyzwciciem"/>
    <w:uiPriority w:val="99"/>
    <w:semiHidden/>
    <w:rsid w:val="00C42343"/>
    <w:rPr>
      <w:rFonts w:ascii="Times New Roman" w:eastAsia="Times New Roman" w:hAnsi="Times New Roman" w:cs="Times New Roman"/>
      <w:spacing w:val="10"/>
      <w:sz w:val="26"/>
      <w:szCs w:val="20"/>
      <w:lang w:eastAsia="pl-PL"/>
    </w:rPr>
  </w:style>
  <w:style w:type="paragraph" w:styleId="Tekstpodstawowyzwciciem2">
    <w:name w:val="Body Text First Indent 2"/>
    <w:basedOn w:val="Normalny"/>
    <w:link w:val="Tekstpodstawowyzwciciem2Znak"/>
    <w:uiPriority w:val="99"/>
    <w:semiHidden/>
    <w:unhideWhenUsed/>
    <w:rsid w:val="00C42343"/>
    <w:pPr>
      <w:ind w:left="283" w:firstLine="210"/>
    </w:pPr>
  </w:style>
  <w:style w:type="character" w:customStyle="1" w:styleId="Tekstpodstawowyzwciciem2Znak">
    <w:name w:val="Tekst podstawowy z wcięciem 2 Znak"/>
    <w:basedOn w:val="Domylnaczcionkaakapitu"/>
    <w:link w:val="Tekstpodstawowyzwciciem2"/>
    <w:uiPriority w:val="99"/>
    <w:semiHidden/>
    <w:rsid w:val="00C42343"/>
    <w:rPr>
      <w:rFonts w:ascii="Times New Roman" w:eastAsia="Times New Roman" w:hAnsi="Times New Roman" w:cs="Times New Roman"/>
      <w:spacing w:val="10"/>
      <w:sz w:val="26"/>
      <w:szCs w:val="20"/>
      <w:lang w:eastAsia="pl-PL"/>
    </w:rPr>
  </w:style>
  <w:style w:type="paragraph" w:styleId="Tekstpodstawowy2">
    <w:name w:val="Body Text 2"/>
    <w:basedOn w:val="Normalny"/>
    <w:link w:val="Tekstpodstawowy2Znak"/>
    <w:uiPriority w:val="99"/>
    <w:semiHidden/>
    <w:unhideWhenUsed/>
    <w:rsid w:val="00E87712"/>
    <w:pPr>
      <w:spacing w:line="240" w:lineRule="auto"/>
      <w:ind w:right="6"/>
    </w:pPr>
    <w:rPr>
      <w:spacing w:val="0"/>
      <w:sz w:val="24"/>
    </w:rPr>
  </w:style>
  <w:style w:type="character" w:customStyle="1" w:styleId="Tekstpodstawowy2Znak">
    <w:name w:val="Tekst podstawowy 2 Znak"/>
    <w:basedOn w:val="Domylnaczcionkaakapitu"/>
    <w:link w:val="Tekstpodstawowy2"/>
    <w:uiPriority w:val="99"/>
    <w:semiHidden/>
    <w:rsid w:val="00E87712"/>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E87712"/>
    <w:pPr>
      <w:spacing w:line="240" w:lineRule="auto"/>
    </w:pPr>
    <w:rPr>
      <w:spacing w:val="0"/>
      <w:sz w:val="24"/>
    </w:rPr>
  </w:style>
  <w:style w:type="character" w:customStyle="1" w:styleId="Tekstpodstawowy3Znak">
    <w:name w:val="Tekst podstawowy 3 Znak"/>
    <w:basedOn w:val="Domylnaczcionkaakapitu"/>
    <w:link w:val="Tekstpodstawowy3"/>
    <w:uiPriority w:val="99"/>
    <w:semiHidden/>
    <w:rsid w:val="00E87712"/>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uiPriority w:val="99"/>
    <w:semiHidden/>
    <w:unhideWhenUsed/>
    <w:rsid w:val="00E87712"/>
  </w:style>
  <w:style w:type="character" w:customStyle="1" w:styleId="Tekstpodstawowywcity2Znak">
    <w:name w:val="Tekst podstawowy wcięty 2 Znak"/>
    <w:basedOn w:val="Domylnaczcionkaakapitu"/>
    <w:link w:val="Tekstpodstawowywcity2"/>
    <w:uiPriority w:val="99"/>
    <w:semiHidden/>
    <w:rsid w:val="00E87712"/>
    <w:rPr>
      <w:rFonts w:ascii="Times New Roman" w:eastAsia="Times New Roman" w:hAnsi="Times New Roman" w:cs="Times New Roman"/>
      <w:spacing w:val="10"/>
      <w:sz w:val="26"/>
      <w:szCs w:val="20"/>
      <w:lang w:eastAsia="pl-PL"/>
    </w:rPr>
  </w:style>
  <w:style w:type="paragraph" w:styleId="Tekstpodstawowywcity3">
    <w:name w:val="Body Text Indent 3"/>
    <w:basedOn w:val="Normalny"/>
    <w:link w:val="Tekstpodstawowywcity3Znak"/>
    <w:uiPriority w:val="99"/>
    <w:semiHidden/>
    <w:unhideWhenUsed/>
    <w:rsid w:val="00E87712"/>
    <w:pPr>
      <w:ind w:firstLine="708"/>
    </w:pPr>
    <w:rPr>
      <w:spacing w:val="0"/>
      <w:sz w:val="24"/>
    </w:rPr>
  </w:style>
  <w:style w:type="character" w:customStyle="1" w:styleId="Tekstpodstawowywcity3Znak">
    <w:name w:val="Tekst podstawowy wcięty 3 Znak"/>
    <w:basedOn w:val="Domylnaczcionkaakapitu"/>
    <w:link w:val="Tekstpodstawowywcity3"/>
    <w:uiPriority w:val="99"/>
    <w:semiHidden/>
    <w:rsid w:val="00E87712"/>
    <w:rPr>
      <w:rFonts w:ascii="Times New Roman" w:eastAsia="Times New Roman" w:hAnsi="Times New Roman" w:cs="Times New Roman"/>
      <w:sz w:val="24"/>
      <w:szCs w:val="20"/>
      <w:lang w:eastAsia="pl-PL"/>
    </w:rPr>
  </w:style>
  <w:style w:type="paragraph" w:styleId="Tekstdymka">
    <w:name w:val="Balloon Text"/>
    <w:basedOn w:val="Normalny"/>
    <w:link w:val="TekstdymkaZnak"/>
    <w:unhideWhenUsed/>
    <w:rsid w:val="00E87712"/>
    <w:pPr>
      <w:spacing w:line="240" w:lineRule="auto"/>
    </w:pPr>
    <w:rPr>
      <w:rFonts w:ascii="Tahoma" w:hAnsi="Tahoma" w:cs="Tahoma"/>
      <w:spacing w:val="0"/>
      <w:sz w:val="16"/>
      <w:szCs w:val="16"/>
    </w:rPr>
  </w:style>
  <w:style w:type="character" w:customStyle="1" w:styleId="TekstdymkaZnak">
    <w:name w:val="Tekst dymka Znak"/>
    <w:basedOn w:val="Domylnaczcionkaakapitu"/>
    <w:link w:val="Tekstdymka"/>
    <w:rsid w:val="00E87712"/>
    <w:rPr>
      <w:rFonts w:ascii="Tahoma" w:eastAsia="Times New Roman" w:hAnsi="Tahoma" w:cs="Tahoma"/>
      <w:sz w:val="16"/>
      <w:szCs w:val="16"/>
      <w:lang w:eastAsia="pl-PL"/>
    </w:rPr>
  </w:style>
  <w:style w:type="paragraph" w:customStyle="1" w:styleId="wcity1">
    <w:name w:val="wcięty1"/>
    <w:basedOn w:val="Normalny"/>
    <w:uiPriority w:val="99"/>
    <w:rsid w:val="007B78C9"/>
    <w:pPr>
      <w:numPr>
        <w:numId w:val="1"/>
      </w:numPr>
      <w:tabs>
        <w:tab w:val="left" w:pos="737"/>
      </w:tabs>
      <w:ind w:firstLine="0"/>
    </w:pPr>
  </w:style>
  <w:style w:type="paragraph" w:customStyle="1" w:styleId="wcityod1">
    <w:name w:val="wcięty od 1"/>
    <w:basedOn w:val="Normalny"/>
    <w:uiPriority w:val="99"/>
    <w:rsid w:val="007B78C9"/>
    <w:pPr>
      <w:tabs>
        <w:tab w:val="left" w:pos="567"/>
      </w:tabs>
      <w:spacing w:line="320" w:lineRule="exact"/>
      <w:ind w:left="851" w:hanging="851"/>
    </w:pPr>
    <w:rPr>
      <w:b/>
    </w:rPr>
  </w:style>
  <w:style w:type="character" w:customStyle="1" w:styleId="TekstprzypisuZnak">
    <w:name w:val="Tekst przypisu Znak"/>
    <w:basedOn w:val="TekstprzypisudolnegoZnak1"/>
    <w:link w:val="Tekstprzypisu"/>
    <w:locked/>
    <w:rsid w:val="00E87712"/>
    <w:rPr>
      <w:rFonts w:ascii="Times New Roman" w:hAnsi="Times New Roman"/>
      <w:spacing w:val="10"/>
      <w:sz w:val="20"/>
    </w:rPr>
  </w:style>
  <w:style w:type="paragraph" w:customStyle="1" w:styleId="Tekstprzypisu">
    <w:name w:val="Tekst przypisu"/>
    <w:basedOn w:val="Tekstprzypisudolnego"/>
    <w:link w:val="TekstprzypisuZnak"/>
    <w:rsid w:val="00E87712"/>
    <w:rPr>
      <w:rFonts w:asciiTheme="minorHAnsi" w:hAnsiTheme="minorHAnsi"/>
      <w:sz w:val="22"/>
      <w:szCs w:val="22"/>
    </w:rPr>
  </w:style>
  <w:style w:type="character" w:styleId="Odwoanieprzypisukocowego">
    <w:name w:val="endnote reference"/>
    <w:basedOn w:val="Domylnaczcionkaakapitu"/>
    <w:uiPriority w:val="99"/>
    <w:semiHidden/>
    <w:unhideWhenUsed/>
    <w:rsid w:val="00E87712"/>
    <w:rPr>
      <w:vertAlign w:val="superscript"/>
    </w:rPr>
  </w:style>
  <w:style w:type="character" w:customStyle="1" w:styleId="ZnakZnak2">
    <w:name w:val="Znak Znak2"/>
    <w:basedOn w:val="Domylnaczcionkaakapitu"/>
    <w:semiHidden/>
    <w:rsid w:val="00E87712"/>
    <w:rPr>
      <w:rFonts w:ascii="Calibri" w:eastAsia="Calibri" w:hAnsi="Calibri" w:hint="default"/>
      <w:lang w:val="pl-PL" w:eastAsia="en-US" w:bidi="ar-SA"/>
    </w:rPr>
  </w:style>
  <w:style w:type="table" w:styleId="Tabela-Siatka">
    <w:name w:val="Table Grid"/>
    <w:basedOn w:val="Standardowy"/>
    <w:rsid w:val="00E87712"/>
    <w:pPr>
      <w:tabs>
        <w:tab w:val="left" w:pos="851"/>
      </w:tabs>
      <w:spacing w:after="0" w:line="36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wana">
    <w:name w:val="List Number"/>
    <w:basedOn w:val="Normalny"/>
    <w:uiPriority w:val="99"/>
    <w:semiHidden/>
    <w:unhideWhenUsed/>
    <w:rsid w:val="00693073"/>
    <w:pPr>
      <w:numPr>
        <w:numId w:val="2"/>
      </w:numPr>
      <w:contextualSpacing/>
    </w:pPr>
  </w:style>
  <w:style w:type="paragraph" w:styleId="Tekstkomentarza">
    <w:name w:val="annotation text"/>
    <w:basedOn w:val="Normalny"/>
    <w:link w:val="TekstkomentarzaZnak"/>
    <w:uiPriority w:val="99"/>
    <w:unhideWhenUsed/>
    <w:rsid w:val="00916DB2"/>
    <w:pPr>
      <w:spacing w:line="240" w:lineRule="auto"/>
    </w:pPr>
    <w:rPr>
      <w:rFonts w:asciiTheme="minorHAnsi" w:eastAsiaTheme="minorHAnsi" w:hAnsiTheme="minorHAnsi" w:cstheme="minorBidi"/>
      <w:spacing w:val="0"/>
      <w:sz w:val="20"/>
      <w:lang w:eastAsia="en-US"/>
    </w:rPr>
  </w:style>
  <w:style w:type="character" w:customStyle="1" w:styleId="TekstkomentarzaZnak">
    <w:name w:val="Tekst komentarza Znak"/>
    <w:basedOn w:val="Domylnaczcionkaakapitu"/>
    <w:link w:val="Tekstkomentarza"/>
    <w:uiPriority w:val="99"/>
    <w:rsid w:val="00916DB2"/>
    <w:rPr>
      <w:rFonts w:eastAsiaTheme="minorHAnsi"/>
      <w:sz w:val="20"/>
      <w:szCs w:val="20"/>
    </w:rPr>
  </w:style>
  <w:style w:type="character" w:styleId="Odwoanieprzypisudolnego">
    <w:name w:val="footnote reference"/>
    <w:basedOn w:val="Domylnaczcionkaakapitu"/>
    <w:uiPriority w:val="99"/>
    <w:unhideWhenUsed/>
    <w:rsid w:val="002D6125"/>
    <w:rPr>
      <w:vertAlign w:val="superscript"/>
    </w:rPr>
  </w:style>
  <w:style w:type="character" w:styleId="Odwoaniedokomentarza">
    <w:name w:val="annotation reference"/>
    <w:basedOn w:val="Domylnaczcionkaakapitu"/>
    <w:uiPriority w:val="99"/>
    <w:semiHidden/>
    <w:rsid w:val="00C3431C"/>
    <w:rPr>
      <w:sz w:val="16"/>
      <w:szCs w:val="16"/>
    </w:rPr>
  </w:style>
  <w:style w:type="paragraph" w:styleId="Tematkomentarza">
    <w:name w:val="annotation subject"/>
    <w:basedOn w:val="Tekstkomentarza"/>
    <w:next w:val="Tekstkomentarza"/>
    <w:link w:val="TematkomentarzaZnak"/>
    <w:unhideWhenUsed/>
    <w:rsid w:val="00C3431C"/>
    <w:rPr>
      <w:rFonts w:ascii="Times New Roman" w:eastAsia="Times New Roman" w:hAnsi="Times New Roman" w:cs="Times New Roman"/>
      <w:b/>
      <w:bCs/>
      <w:spacing w:val="10"/>
      <w:lang w:eastAsia="pl-PL"/>
    </w:rPr>
  </w:style>
  <w:style w:type="character" w:customStyle="1" w:styleId="TematkomentarzaZnak">
    <w:name w:val="Temat komentarza Znak"/>
    <w:basedOn w:val="TekstkomentarzaZnak"/>
    <w:link w:val="Tematkomentarza"/>
    <w:rsid w:val="00C3431C"/>
    <w:rPr>
      <w:rFonts w:ascii="Times New Roman" w:eastAsia="Times New Roman" w:hAnsi="Times New Roman" w:cs="Times New Roman"/>
      <w:b/>
      <w:bCs/>
      <w:spacing w:val="10"/>
      <w:sz w:val="20"/>
      <w:szCs w:val="20"/>
      <w:lang w:eastAsia="pl-PL"/>
    </w:rPr>
  </w:style>
  <w:style w:type="paragraph" w:customStyle="1" w:styleId="IR2014-tekst">
    <w:name w:val="IR 2014 - tekst"/>
    <w:basedOn w:val="Styl1"/>
    <w:link w:val="IR2014-tekstZnak"/>
    <w:uiPriority w:val="2"/>
    <w:rsid w:val="00C73CE1"/>
    <w:rPr>
      <w:szCs w:val="26"/>
    </w:rPr>
  </w:style>
  <w:style w:type="character" w:customStyle="1" w:styleId="IR2014-tekstZnak">
    <w:name w:val="IR 2014 - tekst Znak"/>
    <w:basedOn w:val="Styl1Znak"/>
    <w:link w:val="IR2014-tekst"/>
    <w:uiPriority w:val="2"/>
    <w:rsid w:val="00AF2B07"/>
    <w:rPr>
      <w:rFonts w:ascii="Times New Roman" w:eastAsia="Times New Roman" w:hAnsi="Times New Roman" w:cs="Times New Roman"/>
      <w:spacing w:val="5"/>
      <w:sz w:val="26"/>
      <w:szCs w:val="26"/>
      <w:lang w:eastAsia="pl-PL"/>
    </w:rPr>
  </w:style>
  <w:style w:type="paragraph" w:styleId="Tekstpodstawowywcity">
    <w:name w:val="Body Text Indent"/>
    <w:basedOn w:val="Normalny"/>
    <w:link w:val="TekstpodstawowywcityZnak"/>
    <w:semiHidden/>
    <w:unhideWhenUsed/>
    <w:rsid w:val="009C4B14"/>
    <w:pPr>
      <w:ind w:left="283"/>
    </w:pPr>
  </w:style>
  <w:style w:type="character" w:customStyle="1" w:styleId="TekstpodstawowywcityZnak">
    <w:name w:val="Tekst podstawowy wcięty Znak"/>
    <w:basedOn w:val="Domylnaczcionkaakapitu"/>
    <w:link w:val="Tekstpodstawowywcity"/>
    <w:semiHidden/>
    <w:rsid w:val="009C4B14"/>
    <w:rPr>
      <w:rFonts w:ascii="Times New Roman" w:eastAsia="Times New Roman" w:hAnsi="Times New Roman" w:cs="Times New Roman"/>
      <w:spacing w:val="10"/>
      <w:sz w:val="26"/>
      <w:szCs w:val="20"/>
      <w:lang w:eastAsia="pl-PL"/>
    </w:rPr>
  </w:style>
  <w:style w:type="character" w:styleId="Tekstzastpczy">
    <w:name w:val="Placeholder Text"/>
    <w:uiPriority w:val="99"/>
    <w:semiHidden/>
    <w:rsid w:val="00115EFD"/>
    <w:rPr>
      <w:color w:val="808080"/>
    </w:rPr>
  </w:style>
  <w:style w:type="paragraph" w:styleId="Akapitzlist">
    <w:name w:val="List Paragraph"/>
    <w:basedOn w:val="Normalny"/>
    <w:uiPriority w:val="34"/>
    <w:rsid w:val="00F3335C"/>
    <w:pPr>
      <w:spacing w:line="276" w:lineRule="auto"/>
      <w:ind w:left="720"/>
      <w:contextualSpacing/>
    </w:pPr>
    <w:rPr>
      <w:rFonts w:asciiTheme="minorHAnsi" w:eastAsiaTheme="minorHAnsi" w:hAnsiTheme="minorHAnsi" w:cstheme="minorBidi"/>
      <w:spacing w:val="0"/>
      <w:sz w:val="22"/>
      <w:szCs w:val="22"/>
      <w:lang w:eastAsia="en-US"/>
    </w:rPr>
  </w:style>
  <w:style w:type="paragraph" w:styleId="NormalnyWeb">
    <w:name w:val="Normal (Web)"/>
    <w:basedOn w:val="Normalny"/>
    <w:uiPriority w:val="99"/>
    <w:unhideWhenUsed/>
    <w:rsid w:val="007E684D"/>
    <w:rPr>
      <w:sz w:val="24"/>
      <w:szCs w:val="24"/>
    </w:rPr>
  </w:style>
  <w:style w:type="paragraph" w:customStyle="1" w:styleId="Trekonstytucji">
    <w:name w:val="Treść konstytucji"/>
    <w:basedOn w:val="Normalny"/>
    <w:autoRedefine/>
    <w:rsid w:val="00C37860"/>
    <w:pPr>
      <w:spacing w:after="0"/>
    </w:pPr>
    <w:rPr>
      <w:rFonts w:eastAsiaTheme="minorHAnsi"/>
      <w:b/>
      <w:bCs/>
      <w:i/>
      <w:sz w:val="32"/>
      <w:szCs w:val="32"/>
    </w:rPr>
  </w:style>
  <w:style w:type="character" w:styleId="Pogrubienie">
    <w:name w:val="Strong"/>
    <w:basedOn w:val="Domylnaczcionkaakapitu"/>
    <w:uiPriority w:val="22"/>
    <w:qFormat/>
    <w:rsid w:val="009D4947"/>
    <w:rPr>
      <w:b/>
      <w:bCs/>
    </w:rPr>
  </w:style>
  <w:style w:type="paragraph" w:styleId="Poprawka">
    <w:name w:val="Revision"/>
    <w:hidden/>
    <w:uiPriority w:val="99"/>
    <w:semiHidden/>
    <w:rsid w:val="00E00B80"/>
    <w:pPr>
      <w:spacing w:after="0" w:line="240" w:lineRule="auto"/>
    </w:pPr>
    <w:rPr>
      <w:rFonts w:ascii="Times New Roman" w:eastAsia="Times New Roman" w:hAnsi="Times New Roman" w:cs="Times New Roman"/>
      <w:spacing w:val="10"/>
      <w:sz w:val="26"/>
      <w:szCs w:val="20"/>
      <w:lang w:eastAsia="pl-PL"/>
    </w:rPr>
  </w:style>
  <w:style w:type="paragraph" w:styleId="Nagwekspisutreci">
    <w:name w:val="TOC Heading"/>
    <w:basedOn w:val="Nagwek1"/>
    <w:next w:val="Normalny"/>
    <w:uiPriority w:val="39"/>
    <w:unhideWhenUsed/>
    <w:rsid w:val="003A791E"/>
    <w:pPr>
      <w:keepNext/>
      <w:keepLines/>
      <w:spacing w:before="480" w:after="0" w:line="276" w:lineRule="auto"/>
      <w:outlineLvl w:val="9"/>
    </w:pPr>
    <w:rPr>
      <w:rFonts w:asciiTheme="majorHAnsi" w:eastAsiaTheme="majorEastAsia" w:hAnsiTheme="majorHAnsi" w:cstheme="majorBidi"/>
      <w:bCs/>
      <w:color w:val="365F91" w:themeColor="accent1" w:themeShade="BF"/>
      <w:spacing w:val="0"/>
      <w:sz w:val="28"/>
      <w:szCs w:val="28"/>
    </w:rPr>
  </w:style>
  <w:style w:type="paragraph" w:styleId="Bezodstpw">
    <w:name w:val="No Spacing"/>
    <w:uiPriority w:val="1"/>
    <w:rsid w:val="003E2C1E"/>
    <w:pPr>
      <w:spacing w:after="0" w:line="240" w:lineRule="auto"/>
    </w:pPr>
    <w:rPr>
      <w:rFonts w:ascii="Times New Roman" w:eastAsia="Times New Roman" w:hAnsi="Times New Roman" w:cs="Times New Roman"/>
      <w:spacing w:val="10"/>
      <w:sz w:val="26"/>
      <w:szCs w:val="20"/>
      <w:lang w:eastAsia="pl-PL"/>
    </w:rPr>
  </w:style>
  <w:style w:type="paragraph" w:customStyle="1" w:styleId="Styl2">
    <w:name w:val="Styl2"/>
    <w:basedOn w:val="Styl1"/>
    <w:qFormat/>
    <w:rsid w:val="00351659"/>
    <w:pPr>
      <w:numPr>
        <w:ilvl w:val="3"/>
      </w:numPr>
      <w:autoSpaceDE w:val="0"/>
      <w:autoSpaceDN w:val="0"/>
      <w:adjustRightInd w:val="0"/>
      <w:spacing w:after="120" w:line="276" w:lineRule="auto"/>
      <w:ind w:firstLine="567"/>
    </w:pPr>
    <w:rPr>
      <w:rFonts w:eastAsia="Calibri"/>
      <w:b/>
      <w:bCs/>
      <w:iCs/>
      <w:color w:val="C00000"/>
      <w:spacing w:val="0"/>
      <w:szCs w:val="26"/>
      <w:lang w:eastAsia="zh-CN" w:bidi="hi-IN"/>
    </w:rPr>
  </w:style>
  <w:style w:type="paragraph" w:styleId="Stopka">
    <w:name w:val="footer"/>
    <w:basedOn w:val="Normalny"/>
    <w:link w:val="StopkaZnak"/>
    <w:uiPriority w:val="99"/>
    <w:rsid w:val="00247801"/>
    <w:pPr>
      <w:tabs>
        <w:tab w:val="center" w:pos="4536"/>
        <w:tab w:val="right" w:pos="9072"/>
      </w:tabs>
      <w:spacing w:after="0" w:line="240" w:lineRule="auto"/>
    </w:pPr>
    <w:rPr>
      <w:spacing w:val="0"/>
      <w:sz w:val="24"/>
      <w:szCs w:val="24"/>
      <w:lang w:val="en-US" w:eastAsia="en-US"/>
    </w:rPr>
  </w:style>
  <w:style w:type="character" w:customStyle="1" w:styleId="StopkaZnak">
    <w:name w:val="Stopka Znak"/>
    <w:basedOn w:val="Domylnaczcionkaakapitu"/>
    <w:link w:val="Stopka"/>
    <w:uiPriority w:val="99"/>
    <w:rsid w:val="002155D7"/>
    <w:rPr>
      <w:rFonts w:ascii="Times New Roman" w:eastAsia="Times New Roman" w:hAnsi="Times New Roman" w:cs="Times New Roman"/>
      <w:sz w:val="24"/>
      <w:szCs w:val="24"/>
      <w:lang w:val="en-US"/>
    </w:rPr>
  </w:style>
  <w:style w:type="paragraph" w:customStyle="1" w:styleId="ComwiKonstytucja">
    <w:name w:val="Co mówi Konstytucja"/>
    <w:basedOn w:val="Styl1"/>
    <w:link w:val="ComwiKonstytucjaZnak"/>
    <w:qFormat/>
    <w:rsid w:val="00EE09AA"/>
    <w:pPr>
      <w:pBdr>
        <w:left w:val="single" w:sz="4" w:space="4" w:color="auto"/>
        <w:bottom w:val="single" w:sz="4" w:space="1" w:color="auto"/>
      </w:pBdr>
      <w:tabs>
        <w:tab w:val="left" w:pos="6946"/>
      </w:tabs>
      <w:spacing w:line="360" w:lineRule="exact"/>
    </w:pPr>
    <w:rPr>
      <w:i/>
    </w:rPr>
  </w:style>
  <w:style w:type="character" w:customStyle="1" w:styleId="ComwiKonstytucjaZnak">
    <w:name w:val="Co mówi Konstytucja Znak"/>
    <w:basedOn w:val="Styl1Znak"/>
    <w:link w:val="ComwiKonstytucja"/>
    <w:rsid w:val="00EE09AA"/>
    <w:rPr>
      <w:rFonts w:ascii="Times New Roman" w:eastAsia="Times New Roman" w:hAnsi="Times New Roman" w:cs="Times New Roman"/>
      <w:i/>
      <w:spacing w:val="5"/>
      <w:szCs w:val="20"/>
      <w:lang w:eastAsia="pl-PL"/>
    </w:rPr>
  </w:style>
  <w:style w:type="paragraph" w:customStyle="1" w:styleId="Przypis">
    <w:name w:val="Przypis"/>
    <w:basedOn w:val="Tekstprzypisudolnego"/>
    <w:link w:val="PrzypisZnak"/>
    <w:qFormat/>
    <w:rsid w:val="000D1320"/>
    <w:pPr>
      <w:spacing w:line="240" w:lineRule="auto"/>
    </w:pPr>
    <w:rPr>
      <w:sz w:val="18"/>
    </w:rPr>
  </w:style>
  <w:style w:type="character" w:customStyle="1" w:styleId="PrzypisZnak">
    <w:name w:val="Przypis Znak"/>
    <w:basedOn w:val="Domylnaczcionkaakapitu"/>
    <w:link w:val="Przypis"/>
    <w:rsid w:val="000D1320"/>
    <w:rPr>
      <w:rFonts w:ascii="Times New Roman" w:eastAsia="Times New Roman" w:hAnsi="Times New Roman" w:cs="Times New Roman"/>
      <w:spacing w:val="10"/>
      <w:sz w:val="18"/>
      <w:szCs w:val="20"/>
      <w:lang w:eastAsia="pl-PL"/>
    </w:rPr>
  </w:style>
  <w:style w:type="paragraph" w:customStyle="1" w:styleId="konstytucja">
    <w:name w:val="konstytucja"/>
    <w:basedOn w:val="Normalny"/>
    <w:qFormat/>
    <w:rsid w:val="00DC01AC"/>
    <w:pPr>
      <w:spacing w:before="240" w:after="360" w:line="360" w:lineRule="exact"/>
    </w:pPr>
    <w:rPr>
      <w:rFonts w:cs="Arial"/>
      <w:b/>
      <w:i/>
      <w:color w:val="000000"/>
      <w:sz w:val="24"/>
    </w:rPr>
  </w:style>
  <w:style w:type="character" w:styleId="Nierozpoznanawzmianka">
    <w:name w:val="Unresolved Mention"/>
    <w:basedOn w:val="Domylnaczcionkaakapitu"/>
    <w:uiPriority w:val="99"/>
    <w:semiHidden/>
    <w:unhideWhenUsed/>
    <w:rsid w:val="00AE15C8"/>
    <w:rPr>
      <w:color w:val="605E5C"/>
      <w:shd w:val="clear" w:color="auto" w:fill="E1DFDD"/>
    </w:rPr>
  </w:style>
  <w:style w:type="character" w:styleId="Numerstrony">
    <w:name w:val="page number"/>
    <w:basedOn w:val="Domylnaczcionkaakapitu"/>
    <w:rsid w:val="00340E3B"/>
  </w:style>
  <w:style w:type="paragraph" w:customStyle="1" w:styleId="Standardowy1">
    <w:name w:val="Standardowy1"/>
    <w:basedOn w:val="Normalny"/>
    <w:semiHidden/>
    <w:rsid w:val="00340E3B"/>
    <w:pPr>
      <w:spacing w:after="0"/>
      <w:ind w:firstLine="709"/>
      <w:jc w:val="both"/>
    </w:pPr>
    <w:rPr>
      <w:spacing w:val="5"/>
    </w:rPr>
  </w:style>
  <w:style w:type="paragraph" w:customStyle="1" w:styleId="Tekst">
    <w:name w:val="Tekst"/>
    <w:basedOn w:val="Normalny"/>
    <w:rsid w:val="00340E3B"/>
    <w:pPr>
      <w:spacing w:after="80" w:line="360" w:lineRule="exact"/>
      <w:jc w:val="both"/>
    </w:pPr>
    <w:rPr>
      <w:spacing w:val="5"/>
    </w:rPr>
  </w:style>
  <w:style w:type="paragraph" w:customStyle="1" w:styleId="Standardowy2">
    <w:name w:val="Standardowy2"/>
    <w:basedOn w:val="Standardowy1"/>
    <w:semiHidden/>
    <w:rsid w:val="00340E3B"/>
    <w:pPr>
      <w:ind w:left="2552" w:firstLine="0"/>
    </w:pPr>
    <w:rPr>
      <w:b/>
    </w:rPr>
  </w:style>
  <w:style w:type="paragraph" w:customStyle="1" w:styleId="standard">
    <w:name w:val="standard"/>
    <w:basedOn w:val="Normalny"/>
    <w:semiHidden/>
    <w:rsid w:val="00340E3B"/>
    <w:pPr>
      <w:spacing w:after="0" w:line="360" w:lineRule="atLeast"/>
      <w:ind w:left="1134" w:hanging="1134"/>
      <w:jc w:val="both"/>
    </w:pPr>
    <w:rPr>
      <w:spacing w:val="5"/>
    </w:rPr>
  </w:style>
  <w:style w:type="paragraph" w:customStyle="1" w:styleId="Wykwys">
    <w:name w:val="Wyk wys"/>
    <w:basedOn w:val="Normalny"/>
    <w:rsid w:val="00340E3B"/>
    <w:pPr>
      <w:numPr>
        <w:numId w:val="24"/>
      </w:numPr>
      <w:spacing w:after="360" w:line="400" w:lineRule="exact"/>
      <w:jc w:val="both"/>
    </w:pPr>
    <w:rPr>
      <w:spacing w:val="5"/>
    </w:rPr>
  </w:style>
  <w:style w:type="paragraph" w:customStyle="1" w:styleId="Standard1">
    <w:name w:val="Standard1"/>
    <w:basedOn w:val="standard"/>
    <w:semiHidden/>
    <w:rsid w:val="00340E3B"/>
    <w:pPr>
      <w:ind w:left="851" w:hanging="397"/>
    </w:pPr>
    <w:rPr>
      <w:rFonts w:ascii="Arial" w:hAnsi="Arial"/>
      <w:sz w:val="22"/>
    </w:rPr>
  </w:style>
  <w:style w:type="paragraph" w:customStyle="1" w:styleId="Wyliczaniedotekstu">
    <w:name w:val="Wyliczanie do tekstu"/>
    <w:basedOn w:val="Tekst"/>
    <w:next w:val="Stand"/>
    <w:rsid w:val="00340E3B"/>
    <w:pPr>
      <w:numPr>
        <w:numId w:val="25"/>
      </w:numPr>
      <w:spacing w:before="420"/>
    </w:pPr>
  </w:style>
  <w:style w:type="paragraph" w:customStyle="1" w:styleId="Stand">
    <w:name w:val="Stand"/>
    <w:basedOn w:val="Normalny"/>
    <w:next w:val="Wyliczaniedotekstu"/>
    <w:semiHidden/>
    <w:rsid w:val="00340E3B"/>
    <w:pPr>
      <w:spacing w:after="420" w:line="360" w:lineRule="atLeast"/>
      <w:ind w:left="357"/>
      <w:jc w:val="both"/>
    </w:pPr>
    <w:rPr>
      <w:spacing w:val="5"/>
    </w:rPr>
  </w:style>
  <w:style w:type="paragraph" w:customStyle="1" w:styleId="Wykwyswyliczanie">
    <w:name w:val="Wyk wys wyliczanie"/>
    <w:basedOn w:val="Wykwys"/>
    <w:next w:val="Wykwys"/>
    <w:rsid w:val="00340E3B"/>
    <w:rPr>
      <w:b/>
    </w:rPr>
  </w:style>
  <w:style w:type="paragraph" w:customStyle="1" w:styleId="Stand1">
    <w:name w:val="Stand 1"/>
    <w:basedOn w:val="Stand"/>
    <w:semiHidden/>
    <w:rsid w:val="00340E3B"/>
    <w:pPr>
      <w:numPr>
        <w:numId w:val="26"/>
      </w:numPr>
      <w:spacing w:before="420" w:after="0"/>
    </w:pPr>
  </w:style>
  <w:style w:type="paragraph" w:customStyle="1" w:styleId="Informacja">
    <w:name w:val="Informacja"/>
    <w:basedOn w:val="Normalny"/>
    <w:uiPriority w:val="1"/>
    <w:rsid w:val="00340E3B"/>
    <w:pPr>
      <w:spacing w:after="0"/>
      <w:jc w:val="both"/>
    </w:pPr>
    <w:rPr>
      <w:rFonts w:ascii="Bookman Old Style" w:hAnsi="Bookman Old Style"/>
      <w:spacing w:val="5"/>
    </w:rPr>
  </w:style>
  <w:style w:type="paragraph" w:customStyle="1" w:styleId="Kolumnowy">
    <w:name w:val="Kolumnowy"/>
    <w:basedOn w:val="Informacja"/>
    <w:uiPriority w:val="2"/>
    <w:rsid w:val="00340E3B"/>
    <w:pPr>
      <w:spacing w:after="120" w:line="420" w:lineRule="exact"/>
      <w:ind w:left="2268" w:firstLine="567"/>
    </w:pPr>
    <w:rPr>
      <w:rFonts w:ascii="Times New Roman" w:hAnsi="Times New Roman"/>
    </w:rPr>
  </w:style>
  <w:style w:type="paragraph" w:customStyle="1" w:styleId="Punkt">
    <w:name w:val="Punkt"/>
    <w:basedOn w:val="Normalny"/>
    <w:next w:val="Normalny"/>
    <w:semiHidden/>
    <w:rsid w:val="00340E3B"/>
    <w:pPr>
      <w:spacing w:after="0" w:line="360" w:lineRule="atLeast"/>
      <w:ind w:left="1418" w:hanging="568"/>
      <w:jc w:val="both"/>
    </w:pPr>
    <w:rPr>
      <w:spacing w:val="5"/>
    </w:rPr>
  </w:style>
  <w:style w:type="paragraph" w:styleId="Adresnakopercie">
    <w:name w:val="envelope address"/>
    <w:basedOn w:val="Normalny"/>
    <w:uiPriority w:val="1"/>
    <w:rsid w:val="00340E3B"/>
    <w:pPr>
      <w:framePr w:w="7920" w:h="1980" w:hRule="exact" w:hSpace="141" w:wrap="auto" w:hAnchor="page" w:xAlign="center" w:yAlign="bottom"/>
      <w:spacing w:after="0" w:line="340" w:lineRule="exact"/>
      <w:ind w:left="2880"/>
      <w:jc w:val="both"/>
    </w:pPr>
    <w:rPr>
      <w:rFonts w:cs="Arial"/>
      <w:b/>
      <w:spacing w:val="5"/>
      <w:szCs w:val="24"/>
    </w:rPr>
  </w:style>
  <w:style w:type="paragraph" w:styleId="Adreszwrotnynakopercie">
    <w:name w:val="envelope return"/>
    <w:basedOn w:val="Normalny"/>
    <w:uiPriority w:val="2"/>
    <w:rsid w:val="00340E3B"/>
    <w:pPr>
      <w:spacing w:after="0" w:line="360" w:lineRule="atLeast"/>
      <w:jc w:val="both"/>
    </w:pPr>
    <w:rPr>
      <w:rFonts w:cs="Arial"/>
      <w:spacing w:val="5"/>
      <w:sz w:val="22"/>
    </w:rPr>
  </w:style>
  <w:style w:type="character" w:customStyle="1" w:styleId="date-display-single">
    <w:name w:val="date-display-single"/>
    <w:rsid w:val="00340E3B"/>
  </w:style>
  <w:style w:type="character" w:styleId="Uwydatnienie">
    <w:name w:val="Emphasis"/>
    <w:uiPriority w:val="20"/>
    <w:qFormat/>
    <w:rsid w:val="00340E3B"/>
    <w:rPr>
      <w:i/>
      <w:iCs/>
    </w:rPr>
  </w:style>
  <w:style w:type="character" w:customStyle="1" w:styleId="socialspan1">
    <w:name w:val="social_span_1"/>
    <w:semiHidden/>
    <w:rsid w:val="00340E3B"/>
  </w:style>
  <w:style w:type="character" w:customStyle="1" w:styleId="duza">
    <w:name w:val="duza"/>
    <w:uiPriority w:val="3"/>
    <w:rsid w:val="00340E3B"/>
  </w:style>
  <w:style w:type="character" w:customStyle="1" w:styleId="socialspan3">
    <w:name w:val="social_span_3"/>
    <w:semiHidden/>
    <w:rsid w:val="00340E3B"/>
  </w:style>
  <w:style w:type="character" w:customStyle="1" w:styleId="views-label">
    <w:name w:val="views-label"/>
    <w:rsid w:val="00340E3B"/>
  </w:style>
  <w:style w:type="paragraph" w:customStyle="1" w:styleId="first">
    <w:name w:val="first"/>
    <w:basedOn w:val="Normalny"/>
    <w:rsid w:val="00340E3B"/>
    <w:pPr>
      <w:spacing w:before="100" w:beforeAutospacing="1" w:after="100" w:afterAutospacing="1" w:line="240" w:lineRule="auto"/>
    </w:pPr>
    <w:rPr>
      <w:spacing w:val="0"/>
      <w:sz w:val="24"/>
      <w:szCs w:val="24"/>
    </w:rPr>
  </w:style>
  <w:style w:type="character" w:customStyle="1" w:styleId="file">
    <w:name w:val="file"/>
    <w:rsid w:val="00340E3B"/>
  </w:style>
  <w:style w:type="paragraph" w:customStyle="1" w:styleId="last">
    <w:name w:val="last"/>
    <w:basedOn w:val="Normalny"/>
    <w:rsid w:val="00340E3B"/>
    <w:pPr>
      <w:spacing w:before="100" w:beforeAutospacing="1" w:after="100" w:afterAutospacing="1" w:line="240" w:lineRule="auto"/>
    </w:pPr>
    <w:rPr>
      <w:spacing w:val="0"/>
      <w:sz w:val="24"/>
      <w:szCs w:val="24"/>
    </w:rPr>
  </w:style>
  <w:style w:type="paragraph" w:customStyle="1" w:styleId="Default">
    <w:name w:val="Default"/>
    <w:rsid w:val="00340E3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apple-converted-space">
    <w:name w:val="apple-converted-space"/>
    <w:basedOn w:val="Domylnaczcionkaakapitu"/>
    <w:uiPriority w:val="3"/>
    <w:rsid w:val="00537DB4"/>
  </w:style>
  <w:style w:type="character" w:customStyle="1" w:styleId="field-content">
    <w:name w:val="field-content"/>
    <w:basedOn w:val="Domylnaczcionkaakapitu"/>
    <w:rsid w:val="00537DB4"/>
    <w:rPr>
      <w:sz w:val="24"/>
      <w:szCs w:val="24"/>
      <w:bdr w:val="none" w:sz="0" w:space="0" w:color="auto" w:frame="1"/>
      <w:vertAlign w:val="baseline"/>
    </w:rPr>
  </w:style>
  <w:style w:type="character" w:customStyle="1" w:styleId="tytul13">
    <w:name w:val="tytul13"/>
    <w:basedOn w:val="Domylnaczcionkaakapitu"/>
    <w:rsid w:val="00537DB4"/>
    <w:rPr>
      <w:sz w:val="24"/>
      <w:szCs w:val="24"/>
      <w:bdr w:val="none" w:sz="0" w:space="0" w:color="auto" w:frame="1"/>
      <w:vertAlign w:val="baseline"/>
    </w:rPr>
  </w:style>
  <w:style w:type="character" w:customStyle="1" w:styleId="tnr10">
    <w:name w:val="tnr10"/>
    <w:basedOn w:val="Domylnaczcionkaakapitu"/>
    <w:rsid w:val="00537DB4"/>
  </w:style>
  <w:style w:type="table" w:customStyle="1" w:styleId="Tabela-Siatka1">
    <w:name w:val="Tabela - Siatka1"/>
    <w:basedOn w:val="Standardowy"/>
    <w:next w:val="Tabela-Siatka"/>
    <w:uiPriority w:val="59"/>
    <w:rsid w:val="00585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10">
    <w:name w:val="Standardowy 1"/>
    <w:basedOn w:val="Normalny"/>
    <w:rsid w:val="00593B99"/>
    <w:pPr>
      <w:spacing w:after="0"/>
      <w:jc w:val="both"/>
    </w:pPr>
  </w:style>
  <w:style w:type="paragraph" w:customStyle="1" w:styleId="1">
    <w:name w:val="1"/>
    <w:basedOn w:val="Normalny"/>
    <w:next w:val="Tekstprzypisudolnego"/>
    <w:semiHidden/>
    <w:rsid w:val="00593B99"/>
    <w:pPr>
      <w:keepLines/>
      <w:tabs>
        <w:tab w:val="left" w:pos="851"/>
      </w:tabs>
      <w:spacing w:after="0" w:line="240" w:lineRule="atLeast"/>
      <w:ind w:left="284" w:hanging="284"/>
      <w:jc w:val="both"/>
    </w:pPr>
    <w:rPr>
      <w:sz w:val="20"/>
    </w:rPr>
  </w:style>
  <w:style w:type="paragraph" w:styleId="Tekstpodstawowy">
    <w:name w:val="Body Text"/>
    <w:basedOn w:val="Normalny"/>
    <w:link w:val="TekstpodstawowyZnak"/>
    <w:rsid w:val="00593B99"/>
    <w:pPr>
      <w:tabs>
        <w:tab w:val="left" w:pos="851"/>
      </w:tabs>
      <w:spacing w:after="0" w:line="240" w:lineRule="auto"/>
      <w:jc w:val="both"/>
    </w:pPr>
    <w:rPr>
      <w:i/>
      <w:iCs/>
    </w:rPr>
  </w:style>
  <w:style w:type="character" w:customStyle="1" w:styleId="TekstpodstawowyZnak">
    <w:name w:val="Tekst podstawowy Znak"/>
    <w:basedOn w:val="Domylnaczcionkaakapitu"/>
    <w:link w:val="Tekstpodstawowy"/>
    <w:rsid w:val="00593B99"/>
    <w:rPr>
      <w:rFonts w:ascii="Times New Roman" w:eastAsia="Times New Roman" w:hAnsi="Times New Roman" w:cs="Times New Roman"/>
      <w:i/>
      <w:iCs/>
      <w:spacing w:val="10"/>
      <w:sz w:val="26"/>
      <w:szCs w:val="20"/>
      <w:lang w:eastAsia="pl-PL"/>
    </w:rPr>
  </w:style>
  <w:style w:type="table" w:customStyle="1" w:styleId="Styl3">
    <w:name w:val="Styl3"/>
    <w:basedOn w:val="Standardowy"/>
    <w:rsid w:val="00593B99"/>
    <w:pPr>
      <w:spacing w:after="0" w:line="240" w:lineRule="auto"/>
    </w:pPr>
    <w:rPr>
      <w:rFonts w:ascii="Times New Roman" w:eastAsia="Times New Roman" w:hAnsi="Times New Roman" w:cs="Times New Roman"/>
      <w:sz w:val="20"/>
      <w:szCs w:val="20"/>
      <w:lang w:eastAsia="pl-PL"/>
    </w:rPr>
    <w:tblP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Pr>
    <w:trPr>
      <w:tblCellSpacing w:w="20" w:type="dxa"/>
    </w:trPr>
  </w:style>
  <w:style w:type="paragraph" w:styleId="Tytu">
    <w:name w:val="Title"/>
    <w:basedOn w:val="Normalny"/>
    <w:next w:val="Normalny"/>
    <w:link w:val="TytuZnak"/>
    <w:uiPriority w:val="99"/>
    <w:rsid w:val="00425A62"/>
    <w:pPr>
      <w:spacing w:after="0" w:line="240" w:lineRule="auto"/>
      <w:contextualSpacing/>
    </w:pPr>
    <w:rPr>
      <w:rFonts w:asciiTheme="majorHAnsi" w:eastAsiaTheme="majorEastAsia" w:hAnsiTheme="majorHAnsi" w:cstheme="majorBidi"/>
      <w:color w:val="C00000"/>
      <w:spacing w:val="-10"/>
      <w:kern w:val="28"/>
      <w:sz w:val="52"/>
      <w:szCs w:val="56"/>
    </w:rPr>
  </w:style>
  <w:style w:type="character" w:customStyle="1" w:styleId="TytuZnak">
    <w:name w:val="Tytuł Znak"/>
    <w:basedOn w:val="Domylnaczcionkaakapitu"/>
    <w:link w:val="Tytu"/>
    <w:uiPriority w:val="99"/>
    <w:rsid w:val="00425A62"/>
    <w:rPr>
      <w:rFonts w:asciiTheme="majorHAnsi" w:eastAsiaTheme="majorEastAsia" w:hAnsiTheme="majorHAnsi" w:cstheme="majorBidi"/>
      <w:color w:val="C00000"/>
      <w:spacing w:val="-10"/>
      <w:kern w:val="28"/>
      <w:sz w:val="52"/>
      <w:szCs w:val="56"/>
      <w:lang w:eastAsia="pl-PL"/>
    </w:rPr>
  </w:style>
  <w:style w:type="paragraph" w:customStyle="1" w:styleId="Problemczowieka">
    <w:name w:val="Problem człowieka"/>
    <w:basedOn w:val="Tekst"/>
    <w:link w:val="ProblemczowiekaZnak"/>
    <w:qFormat/>
    <w:rsid w:val="00D8245F"/>
    <w:pPr>
      <w:spacing w:before="120" w:after="120"/>
      <w:jc w:val="left"/>
    </w:pPr>
    <w:rPr>
      <w:b/>
      <w:sz w:val="24"/>
    </w:rPr>
  </w:style>
  <w:style w:type="character" w:customStyle="1" w:styleId="ProblemczowiekaZnak">
    <w:name w:val="Problem człowieka Znak"/>
    <w:basedOn w:val="Styl1Znak"/>
    <w:link w:val="Problemczowieka"/>
    <w:rsid w:val="00D8245F"/>
    <w:rPr>
      <w:rFonts w:ascii="Times New Roman" w:eastAsia="Times New Roman" w:hAnsi="Times New Roman" w:cs="Times New Roman"/>
      <w:b/>
      <w:spacing w:val="5"/>
      <w:sz w:val="24"/>
      <w:szCs w:val="20"/>
      <w:lang w:eastAsia="pl-PL"/>
    </w:rPr>
  </w:style>
  <w:style w:type="paragraph" w:customStyle="1" w:styleId="active">
    <w:name w:val="active"/>
    <w:basedOn w:val="Normalny"/>
    <w:rsid w:val="005E6F85"/>
    <w:pPr>
      <w:spacing w:before="100" w:beforeAutospacing="1" w:after="100" w:afterAutospacing="1" w:line="240" w:lineRule="auto"/>
    </w:pPr>
    <w:rPr>
      <w:spacing w:val="0"/>
      <w:sz w:val="24"/>
      <w:szCs w:val="24"/>
    </w:rPr>
  </w:style>
  <w:style w:type="character" w:customStyle="1" w:styleId="element-invisible">
    <w:name w:val="element-invisible"/>
    <w:basedOn w:val="Domylnaczcionkaakapitu"/>
    <w:rsid w:val="005E6F85"/>
  </w:style>
  <w:style w:type="paragraph" w:customStyle="1" w:styleId="Sprawyludzi">
    <w:name w:val="Sprawy ludzi"/>
    <w:basedOn w:val="Nagwek6"/>
    <w:link w:val="SprawyludziZnak"/>
    <w:rsid w:val="009C12EB"/>
    <w:pPr>
      <w:shd w:val="clear" w:color="auto" w:fill="D9D9D9" w:themeFill="background1" w:themeFillShade="D9"/>
      <w:spacing w:before="720"/>
      <w:ind w:left="0"/>
    </w:pPr>
    <w:rPr>
      <w:rFonts w:cs="Arial"/>
      <w:i/>
      <w:color w:val="000000"/>
      <w:sz w:val="32"/>
      <w:szCs w:val="22"/>
      <w:lang w:eastAsia="en-US"/>
    </w:rPr>
  </w:style>
  <w:style w:type="character" w:customStyle="1" w:styleId="SprawyludziZnak">
    <w:name w:val="Sprawy ludzi Znak"/>
    <w:basedOn w:val="Domylnaczcionkaakapitu"/>
    <w:link w:val="Sprawyludzi"/>
    <w:rsid w:val="009C12EB"/>
    <w:rPr>
      <w:rFonts w:ascii="Times New Roman" w:eastAsia="Times New Roman" w:hAnsi="Times New Roman" w:cs="Arial"/>
      <w:b/>
      <w:bCs/>
      <w:i/>
      <w:color w:val="000000"/>
      <w:spacing w:val="10"/>
      <w:sz w:val="32"/>
      <w:shd w:val="clear" w:color="auto" w:fill="D9D9D9" w:themeFill="background1" w:themeFillShade="D9"/>
    </w:rPr>
  </w:style>
  <w:style w:type="paragraph" w:customStyle="1" w:styleId="Sprawyludzi-opis">
    <w:name w:val="Sprawy ludzi - opis"/>
    <w:basedOn w:val="Styl1"/>
    <w:link w:val="Sprawyludzi-opisZnak"/>
    <w:rsid w:val="009C12EB"/>
    <w:pPr>
      <w:shd w:val="clear" w:color="auto" w:fill="D9D9D9" w:themeFill="background1" w:themeFillShade="D9"/>
    </w:pPr>
    <w:rPr>
      <w:color w:val="000000" w:themeColor="text1"/>
    </w:rPr>
  </w:style>
  <w:style w:type="character" w:customStyle="1" w:styleId="Sprawyludzi-opisZnak">
    <w:name w:val="Sprawy ludzi - opis Znak"/>
    <w:basedOn w:val="Styl1Znak"/>
    <w:link w:val="Sprawyludzi-opis"/>
    <w:rsid w:val="009C12EB"/>
    <w:rPr>
      <w:rFonts w:ascii="Times New Roman" w:eastAsia="Times New Roman" w:hAnsi="Times New Roman" w:cs="Times New Roman"/>
      <w:color w:val="000000" w:themeColor="text1"/>
      <w:spacing w:val="5"/>
      <w:sz w:val="26"/>
      <w:szCs w:val="20"/>
      <w:shd w:val="clear" w:color="auto" w:fill="D9D9D9" w:themeFill="background1" w:themeFillShade="D9"/>
      <w:lang w:eastAsia="pl-PL"/>
    </w:rPr>
  </w:style>
  <w:style w:type="paragraph" w:customStyle="1" w:styleId="ODESANIE">
    <w:name w:val="ODESŁANIE"/>
    <w:basedOn w:val="Nagwek7"/>
    <w:link w:val="ODESANIEZnak"/>
    <w:qFormat/>
    <w:rsid w:val="00D20D4F"/>
    <w:pPr>
      <w:numPr>
        <w:numId w:val="27"/>
      </w:numPr>
      <w:spacing w:before="0" w:line="240" w:lineRule="auto"/>
    </w:pPr>
    <w:rPr>
      <w:rFonts w:ascii="Times New Roman" w:hAnsi="Times New Roman"/>
      <w:i w:val="0"/>
      <w:color w:val="C00000"/>
      <w:sz w:val="24"/>
    </w:rPr>
  </w:style>
  <w:style w:type="character" w:customStyle="1" w:styleId="ODESANIEZnak">
    <w:name w:val="ODESŁANIE Znak"/>
    <w:basedOn w:val="Styl1Znak"/>
    <w:link w:val="ODESANIE"/>
    <w:rsid w:val="00D20D4F"/>
    <w:rPr>
      <w:rFonts w:ascii="Times New Roman" w:eastAsiaTheme="majorEastAsia" w:hAnsi="Times New Roman" w:cstheme="majorBidi"/>
      <w:iCs/>
      <w:color w:val="C00000"/>
      <w:spacing w:val="10"/>
      <w:sz w:val="24"/>
      <w:szCs w:val="20"/>
      <w:lang w:eastAsia="pl-PL"/>
    </w:rPr>
  </w:style>
  <w:style w:type="paragraph" w:customStyle="1" w:styleId="WICEJ">
    <w:name w:val="WIĘCEJ"/>
    <w:basedOn w:val="ODESANIE"/>
    <w:link w:val="WICEJZnak"/>
    <w:rsid w:val="00CF5E2C"/>
  </w:style>
  <w:style w:type="character" w:customStyle="1" w:styleId="WICEJZnak">
    <w:name w:val="WIĘCEJ Znak"/>
    <w:basedOn w:val="ODESANIEZnak"/>
    <w:link w:val="WICEJ"/>
    <w:rsid w:val="00CF5E2C"/>
    <w:rPr>
      <w:rFonts w:ascii="Times New Roman" w:eastAsiaTheme="majorEastAsia" w:hAnsi="Times New Roman" w:cstheme="majorBidi"/>
      <w:iCs/>
      <w:color w:val="C00000"/>
      <w:spacing w:val="10"/>
      <w:sz w:val="24"/>
      <w:szCs w:val="20"/>
      <w:lang w:eastAsia="pl-PL"/>
    </w:rPr>
  </w:style>
  <w:style w:type="paragraph" w:customStyle="1" w:styleId="artparagraph">
    <w:name w:val="art_paragraph"/>
    <w:basedOn w:val="Normalny"/>
    <w:rsid w:val="00305D31"/>
    <w:pPr>
      <w:spacing w:before="100" w:beforeAutospacing="1" w:after="100" w:afterAutospacing="1" w:line="240" w:lineRule="auto"/>
    </w:pPr>
    <w:rPr>
      <w:spacing w:val="0"/>
      <w:sz w:val="24"/>
      <w:szCs w:val="24"/>
    </w:rPr>
  </w:style>
  <w:style w:type="character" w:customStyle="1" w:styleId="vjs-control-text">
    <w:name w:val="vjs-control-text"/>
    <w:basedOn w:val="Domylnaczcionkaakapitu"/>
    <w:rsid w:val="00305D31"/>
  </w:style>
  <w:style w:type="paragraph" w:customStyle="1" w:styleId="vjs-modal-dialog-description">
    <w:name w:val="vjs-modal-dialog-description"/>
    <w:basedOn w:val="Normalny"/>
    <w:rsid w:val="00305D31"/>
    <w:pPr>
      <w:spacing w:before="100" w:beforeAutospacing="1" w:after="100" w:afterAutospacing="1" w:line="240" w:lineRule="auto"/>
    </w:pPr>
    <w:rPr>
      <w:spacing w:val="0"/>
      <w:sz w:val="24"/>
      <w:szCs w:val="24"/>
    </w:rPr>
  </w:style>
  <w:style w:type="character" w:customStyle="1" w:styleId="date-display-range">
    <w:name w:val="date-display-range"/>
    <w:basedOn w:val="Domylnaczcionkaakapitu"/>
    <w:rsid w:val="00187708"/>
  </w:style>
  <w:style w:type="character" w:customStyle="1" w:styleId="date-display-start">
    <w:name w:val="date-display-start"/>
    <w:basedOn w:val="Domylnaczcionkaakapitu"/>
    <w:rsid w:val="00187708"/>
  </w:style>
  <w:style w:type="character" w:customStyle="1" w:styleId="date-display-end">
    <w:name w:val="date-display-end"/>
    <w:basedOn w:val="Domylnaczcionkaakapitu"/>
    <w:rsid w:val="00187708"/>
  </w:style>
  <w:style w:type="paragraph" w:customStyle="1" w:styleId="Pa19">
    <w:name w:val="Pa19"/>
    <w:basedOn w:val="Default"/>
    <w:next w:val="Default"/>
    <w:uiPriority w:val="99"/>
    <w:rsid w:val="00FB0438"/>
    <w:pPr>
      <w:spacing w:line="211" w:lineRule="atLeast"/>
    </w:pPr>
    <w:rPr>
      <w:rFonts w:eastAsia="Calibri"/>
      <w:color w:val="auto"/>
      <w:lang w:eastAsia="en-US"/>
    </w:rPr>
  </w:style>
  <w:style w:type="paragraph" w:customStyle="1" w:styleId="Tabela">
    <w:name w:val="Tabela"/>
    <w:basedOn w:val="Styl1"/>
    <w:link w:val="TabelaZnak"/>
    <w:qFormat/>
    <w:rsid w:val="00845591"/>
    <w:pPr>
      <w:spacing w:line="240" w:lineRule="auto"/>
      <w:ind w:firstLine="0"/>
      <w:jc w:val="left"/>
    </w:pPr>
    <w:rPr>
      <w:sz w:val="20"/>
      <w:szCs w:val="22"/>
    </w:rPr>
  </w:style>
  <w:style w:type="character" w:customStyle="1" w:styleId="TabelaZnak">
    <w:name w:val="Tabela Znak"/>
    <w:basedOn w:val="Styl1Znak"/>
    <w:link w:val="Tabela"/>
    <w:rsid w:val="00845591"/>
    <w:rPr>
      <w:rFonts w:ascii="Times New Roman" w:eastAsia="Times New Roman" w:hAnsi="Times New Roman" w:cs="Times New Roman"/>
      <w:spacing w:val="5"/>
      <w:sz w:val="20"/>
      <w:szCs w:val="20"/>
      <w:lang w:eastAsia="pl-PL"/>
    </w:rPr>
  </w:style>
  <w:style w:type="paragraph" w:customStyle="1" w:styleId="Srdtytul6">
    <w:name w:val="Sródtytul6"/>
    <w:basedOn w:val="Nagwek6"/>
    <w:link w:val="Srdtytul6Znak"/>
    <w:qFormat/>
    <w:rsid w:val="001B2599"/>
    <w:pPr>
      <w:spacing w:before="240"/>
      <w:ind w:left="0"/>
    </w:pPr>
    <w:rPr>
      <w:i/>
      <w:sz w:val="24"/>
    </w:rPr>
  </w:style>
  <w:style w:type="character" w:customStyle="1" w:styleId="Srdtytul6Znak">
    <w:name w:val="Sródtytul6 Znak"/>
    <w:basedOn w:val="Nagwek5Znak"/>
    <w:link w:val="Srdtytul6"/>
    <w:rsid w:val="001B2599"/>
    <w:rPr>
      <w:rFonts w:ascii="Times New Roman" w:eastAsia="Times New Roman" w:hAnsi="Times New Roman" w:cs="Times New Roman"/>
      <w:b/>
      <w:bCs/>
      <w:i w:val="0"/>
      <w:iCs w:val="0"/>
      <w:color w:val="18223E"/>
      <w:spacing w:val="10"/>
      <w:sz w:val="24"/>
      <w:szCs w:val="20"/>
      <w:bdr w:val="none" w:sz="0" w:space="0" w:color="auto" w:frame="1"/>
      <w:lang w:eastAsia="pl-PL" w:bidi="hi-IN"/>
    </w:rPr>
  </w:style>
  <w:style w:type="character" w:customStyle="1" w:styleId="Teksttreci4">
    <w:name w:val="Tekst treści (4)_"/>
    <w:basedOn w:val="Domylnaczcionkaakapitu"/>
    <w:link w:val="Teksttreci40"/>
    <w:rsid w:val="00B453C0"/>
    <w:rPr>
      <w:rFonts w:ascii="Verdana" w:eastAsia="Verdana" w:hAnsi="Verdana" w:cs="Verdana"/>
      <w:i/>
      <w:iCs/>
      <w:spacing w:val="-10"/>
      <w:sz w:val="19"/>
      <w:szCs w:val="19"/>
      <w:shd w:val="clear" w:color="auto" w:fill="FFFFFF"/>
    </w:rPr>
  </w:style>
  <w:style w:type="paragraph" w:customStyle="1" w:styleId="Teksttreci40">
    <w:name w:val="Tekst treści (4)"/>
    <w:basedOn w:val="Normalny"/>
    <w:link w:val="Teksttreci4"/>
    <w:rsid w:val="00B453C0"/>
    <w:pPr>
      <w:widowControl w:val="0"/>
      <w:shd w:val="clear" w:color="auto" w:fill="FFFFFF"/>
      <w:spacing w:after="240" w:line="240" w:lineRule="exact"/>
      <w:jc w:val="both"/>
    </w:pPr>
    <w:rPr>
      <w:rFonts w:ascii="Verdana" w:eastAsia="Verdana" w:hAnsi="Verdana" w:cs="Verdana"/>
      <w:i/>
      <w:iCs/>
      <w:spacing w:val="-10"/>
      <w:sz w:val="19"/>
      <w:szCs w:val="19"/>
      <w:lang w:eastAsia="en-US"/>
    </w:rPr>
  </w:style>
  <w:style w:type="character" w:customStyle="1" w:styleId="Teksttreci4PogrubienieOdstpy0pt">
    <w:name w:val="Tekst treści (4) + Pogrubienie;Odstępy 0 pt"/>
    <w:basedOn w:val="Teksttreci4"/>
    <w:rsid w:val="00B453C0"/>
    <w:rPr>
      <w:rFonts w:ascii="Verdana" w:eastAsia="Verdana" w:hAnsi="Verdana" w:cs="Verdana"/>
      <w:b/>
      <w:bCs/>
      <w:i/>
      <w:iCs/>
      <w:smallCaps w:val="0"/>
      <w:strike w:val="0"/>
      <w:color w:val="000000"/>
      <w:spacing w:val="0"/>
      <w:w w:val="100"/>
      <w:position w:val="0"/>
      <w:sz w:val="19"/>
      <w:szCs w:val="19"/>
      <w:u w:val="none"/>
      <w:shd w:val="clear" w:color="auto" w:fill="FFFFFF"/>
      <w:lang w:val="pl-PL"/>
    </w:rPr>
  </w:style>
  <w:style w:type="character" w:customStyle="1" w:styleId="Teksttreci">
    <w:name w:val="Tekst treści_"/>
    <w:basedOn w:val="Domylnaczcionkaakapitu"/>
    <w:link w:val="Teksttreci0"/>
    <w:rsid w:val="00B453C0"/>
    <w:rPr>
      <w:rFonts w:ascii="Verdana" w:eastAsia="Verdana" w:hAnsi="Verdana" w:cs="Verdana"/>
      <w:sz w:val="20"/>
      <w:szCs w:val="20"/>
      <w:shd w:val="clear" w:color="auto" w:fill="FFFFFF"/>
    </w:rPr>
  </w:style>
  <w:style w:type="paragraph" w:customStyle="1" w:styleId="Teksttreci0">
    <w:name w:val="Tekst treści"/>
    <w:basedOn w:val="Normalny"/>
    <w:link w:val="Teksttreci"/>
    <w:rsid w:val="00B453C0"/>
    <w:pPr>
      <w:widowControl w:val="0"/>
      <w:shd w:val="clear" w:color="auto" w:fill="FFFFFF"/>
      <w:spacing w:before="300" w:after="240" w:line="240" w:lineRule="exact"/>
      <w:jc w:val="both"/>
    </w:pPr>
    <w:rPr>
      <w:rFonts w:ascii="Verdana" w:eastAsia="Verdana" w:hAnsi="Verdana" w:cs="Verdana"/>
      <w:spacing w:val="0"/>
      <w:sz w:val="20"/>
      <w:lang w:eastAsia="en-US"/>
    </w:rPr>
  </w:style>
  <w:style w:type="character" w:customStyle="1" w:styleId="Teksttreci95pt">
    <w:name w:val="Tekst treści + 9;5 pt"/>
    <w:basedOn w:val="Teksttreci"/>
    <w:rsid w:val="00B453C0"/>
    <w:rPr>
      <w:rFonts w:ascii="Verdana" w:eastAsia="Verdana" w:hAnsi="Verdana" w:cs="Verdana"/>
      <w:color w:val="000000"/>
      <w:spacing w:val="0"/>
      <w:w w:val="100"/>
      <w:position w:val="0"/>
      <w:sz w:val="19"/>
      <w:szCs w:val="19"/>
      <w:shd w:val="clear" w:color="auto" w:fill="FFFFFF"/>
      <w:lang w:val="pl-PL"/>
    </w:rPr>
  </w:style>
  <w:style w:type="character" w:customStyle="1" w:styleId="Podpisobrazu">
    <w:name w:val="Podpis obrazu_"/>
    <w:basedOn w:val="Domylnaczcionkaakapitu"/>
    <w:link w:val="Podpisobrazu0"/>
    <w:rsid w:val="00B453C0"/>
    <w:rPr>
      <w:rFonts w:ascii="Verdana" w:eastAsia="Verdana" w:hAnsi="Verdana" w:cs="Verdana"/>
      <w:sz w:val="20"/>
      <w:szCs w:val="20"/>
      <w:shd w:val="clear" w:color="auto" w:fill="FFFFFF"/>
    </w:rPr>
  </w:style>
  <w:style w:type="paragraph" w:customStyle="1" w:styleId="Podpisobrazu0">
    <w:name w:val="Podpis obrazu"/>
    <w:basedOn w:val="Normalny"/>
    <w:link w:val="Podpisobrazu"/>
    <w:rsid w:val="00B453C0"/>
    <w:pPr>
      <w:widowControl w:val="0"/>
      <w:shd w:val="clear" w:color="auto" w:fill="FFFFFF"/>
      <w:spacing w:after="0" w:line="0" w:lineRule="atLeast"/>
    </w:pPr>
    <w:rPr>
      <w:rFonts w:ascii="Verdana" w:eastAsia="Verdana" w:hAnsi="Verdana" w:cs="Verdana"/>
      <w:spacing w:val="0"/>
      <w:sz w:val="20"/>
      <w:lang w:eastAsia="en-US"/>
    </w:rPr>
  </w:style>
  <w:style w:type="character" w:customStyle="1" w:styleId="Nagwek10">
    <w:name w:val="Nagłówek #1_"/>
    <w:basedOn w:val="Domylnaczcionkaakapitu"/>
    <w:link w:val="Nagwek11"/>
    <w:rsid w:val="00B453C0"/>
    <w:rPr>
      <w:rFonts w:ascii="Verdana" w:eastAsia="Verdana" w:hAnsi="Verdana" w:cs="Verdana"/>
      <w:sz w:val="20"/>
      <w:szCs w:val="20"/>
      <w:shd w:val="clear" w:color="auto" w:fill="FFFFFF"/>
    </w:rPr>
  </w:style>
  <w:style w:type="paragraph" w:customStyle="1" w:styleId="Nagwek11">
    <w:name w:val="Nagłówek #1"/>
    <w:basedOn w:val="Normalny"/>
    <w:link w:val="Nagwek10"/>
    <w:rsid w:val="00B453C0"/>
    <w:pPr>
      <w:widowControl w:val="0"/>
      <w:shd w:val="clear" w:color="auto" w:fill="FFFFFF"/>
      <w:spacing w:before="240" w:after="0" w:line="298" w:lineRule="exact"/>
      <w:outlineLvl w:val="0"/>
    </w:pPr>
    <w:rPr>
      <w:rFonts w:ascii="Verdana" w:eastAsia="Verdana" w:hAnsi="Verdana" w:cs="Verdana"/>
      <w:spacing w:val="0"/>
      <w:sz w:val="20"/>
      <w:lang w:eastAsia="en-US"/>
    </w:rPr>
  </w:style>
  <w:style w:type="paragraph" w:styleId="Spistreci7">
    <w:name w:val="toc 7"/>
    <w:basedOn w:val="Normalny"/>
    <w:next w:val="Normalny"/>
    <w:autoRedefine/>
    <w:uiPriority w:val="39"/>
    <w:unhideWhenUsed/>
    <w:rsid w:val="00D86DD2"/>
    <w:pPr>
      <w:ind w:left="1560"/>
    </w:pPr>
  </w:style>
  <w:style w:type="paragraph" w:styleId="Spistreci8">
    <w:name w:val="toc 8"/>
    <w:basedOn w:val="Normalny"/>
    <w:next w:val="Normalny"/>
    <w:autoRedefine/>
    <w:uiPriority w:val="39"/>
    <w:unhideWhenUsed/>
    <w:rsid w:val="00D86DD2"/>
    <w:pPr>
      <w:ind w:left="1820"/>
    </w:pPr>
  </w:style>
  <w:style w:type="paragraph" w:styleId="Spistreci9">
    <w:name w:val="toc 9"/>
    <w:basedOn w:val="Normalny"/>
    <w:next w:val="Normalny"/>
    <w:autoRedefine/>
    <w:uiPriority w:val="39"/>
    <w:unhideWhenUsed/>
    <w:rsid w:val="00D86DD2"/>
    <w:pPr>
      <w:ind w:left="2080"/>
    </w:pPr>
  </w:style>
  <w:style w:type="paragraph" w:customStyle="1" w:styleId="ti-oj-1">
    <w:name w:val="ti-oj-1"/>
    <w:basedOn w:val="Normalny"/>
    <w:rsid w:val="00EC4D8B"/>
    <w:pPr>
      <w:spacing w:before="100" w:beforeAutospacing="1" w:after="100" w:afterAutospacing="1" w:line="240" w:lineRule="auto"/>
    </w:pPr>
    <w:rPr>
      <w:spacing w:val="0"/>
      <w:sz w:val="24"/>
      <w:szCs w:val="24"/>
    </w:rPr>
  </w:style>
  <w:style w:type="paragraph" w:customStyle="1" w:styleId="ti-oj-2">
    <w:name w:val="ti-oj-2"/>
    <w:basedOn w:val="Normalny"/>
    <w:rsid w:val="00EC4D8B"/>
    <w:pPr>
      <w:spacing w:before="100" w:beforeAutospacing="1" w:after="100" w:afterAutospacing="1" w:line="240" w:lineRule="auto"/>
    </w:pPr>
    <w:rPr>
      <w:spacing w:val="0"/>
      <w:sz w:val="24"/>
      <w:szCs w:val="24"/>
    </w:rPr>
  </w:style>
  <w:style w:type="paragraph" w:customStyle="1" w:styleId="ti-oj-3">
    <w:name w:val="ti-oj-3"/>
    <w:basedOn w:val="Normalny"/>
    <w:rsid w:val="00EC4D8B"/>
    <w:pPr>
      <w:spacing w:before="100" w:beforeAutospacing="1" w:after="100" w:afterAutospacing="1" w:line="240" w:lineRule="auto"/>
    </w:pPr>
    <w:rPr>
      <w:spacing w:val="0"/>
      <w:sz w:val="24"/>
      <w:szCs w:val="24"/>
    </w:rPr>
  </w:style>
  <w:style w:type="character" w:customStyle="1" w:styleId="A0">
    <w:name w:val="A0"/>
    <w:uiPriority w:val="99"/>
    <w:rsid w:val="007A0357"/>
    <w:rPr>
      <w:rFonts w:cs="Garamond"/>
      <w:b/>
      <w:bCs/>
      <w:color w:val="000000"/>
      <w:sz w:val="48"/>
      <w:szCs w:val="48"/>
    </w:rPr>
  </w:style>
  <w:style w:type="character" w:customStyle="1" w:styleId="st">
    <w:name w:val="st"/>
    <w:basedOn w:val="Domylnaczcionkaakapitu"/>
    <w:rsid w:val="00B558AC"/>
  </w:style>
  <w:style w:type="character" w:customStyle="1" w:styleId="f">
    <w:name w:val="f"/>
    <w:basedOn w:val="Domylnaczcionkaakapitu"/>
    <w:rsid w:val="00B558AC"/>
  </w:style>
  <w:style w:type="paragraph" w:customStyle="1" w:styleId="BLURB">
    <w:name w:val="BLURB"/>
    <w:basedOn w:val="Styl1"/>
    <w:link w:val="BLURBZnak"/>
    <w:qFormat/>
    <w:rsid w:val="00C3177E"/>
    <w:pPr>
      <w:numPr>
        <w:numId w:val="158"/>
      </w:numPr>
      <w:spacing w:before="120" w:after="120" w:line="240" w:lineRule="auto"/>
    </w:pPr>
    <w:rPr>
      <w:rFonts w:ascii="Arial" w:hAnsi="Arial" w:cs="Arial"/>
      <w:i/>
    </w:rPr>
  </w:style>
  <w:style w:type="paragraph" w:customStyle="1" w:styleId="AutorBlurba">
    <w:name w:val="Autor Blurba"/>
    <w:basedOn w:val="Przypis"/>
    <w:link w:val="AutorBlurbaZnak"/>
    <w:qFormat/>
    <w:rsid w:val="005F2A6C"/>
    <w:pPr>
      <w:spacing w:after="240"/>
      <w:ind w:left="1134" w:firstLine="0"/>
    </w:pPr>
  </w:style>
  <w:style w:type="character" w:customStyle="1" w:styleId="BLURBZnak">
    <w:name w:val="BLURB Znak"/>
    <w:basedOn w:val="Styl1Znak"/>
    <w:link w:val="BLURB"/>
    <w:rsid w:val="00C3177E"/>
    <w:rPr>
      <w:rFonts w:ascii="Arial" w:eastAsia="Times New Roman" w:hAnsi="Arial" w:cs="Arial"/>
      <w:i/>
      <w:spacing w:val="5"/>
      <w:szCs w:val="20"/>
      <w:lang w:eastAsia="pl-PL"/>
    </w:rPr>
  </w:style>
  <w:style w:type="character" w:customStyle="1" w:styleId="AutorBlurbaZnak">
    <w:name w:val="Autor Blurba Znak"/>
    <w:basedOn w:val="PrzypisZnak"/>
    <w:link w:val="AutorBlurba"/>
    <w:rsid w:val="005F2A6C"/>
    <w:rPr>
      <w:rFonts w:ascii="Times New Roman" w:eastAsia="Times New Roman" w:hAnsi="Times New Roman" w:cs="Times New Roman"/>
      <w:spacing w:val="10"/>
      <w:sz w:val="18"/>
      <w:szCs w:val="20"/>
      <w:lang w:eastAsia="pl-PL"/>
    </w:rPr>
  </w:style>
  <w:style w:type="paragraph" w:customStyle="1" w:styleId="Standard0">
    <w:name w:val="Standard"/>
    <w:rsid w:val="00535C0A"/>
    <w:pPr>
      <w:widowControl w:val="0"/>
      <w:suppressAutoHyphens/>
      <w:autoSpaceDN w:val="0"/>
      <w:spacing w:after="0" w:line="240" w:lineRule="auto"/>
      <w:textAlignment w:val="baseline"/>
    </w:pPr>
    <w:rPr>
      <w:rFonts w:ascii="Times New Roman" w:hAnsi="Times New Roman" w:cs="Mangal"/>
      <w:kern w:val="3"/>
      <w:sz w:val="24"/>
      <w:szCs w:val="24"/>
      <w:lang w:eastAsia="zh-CN" w:bidi="hi-IN"/>
    </w:rPr>
  </w:style>
  <w:style w:type="paragraph" w:customStyle="1" w:styleId="hyphenate">
    <w:name w:val="hyphenate"/>
    <w:basedOn w:val="Normalny"/>
    <w:rsid w:val="00AB48C8"/>
    <w:pPr>
      <w:spacing w:before="100" w:beforeAutospacing="1" w:after="100" w:afterAutospacing="1" w:line="240" w:lineRule="auto"/>
    </w:pPr>
    <w:rPr>
      <w:spacing w:val="0"/>
      <w:sz w:val="24"/>
      <w:szCs w:val="24"/>
    </w:rPr>
  </w:style>
  <w:style w:type="paragraph" w:styleId="Zwykytekst">
    <w:name w:val="Plain Text"/>
    <w:basedOn w:val="Normalny"/>
    <w:link w:val="ZwykytekstZnak"/>
    <w:uiPriority w:val="99"/>
    <w:unhideWhenUsed/>
    <w:rsid w:val="00EF0F8D"/>
    <w:pPr>
      <w:spacing w:after="0" w:line="240" w:lineRule="auto"/>
    </w:pPr>
    <w:rPr>
      <w:rFonts w:ascii="Calibri" w:eastAsiaTheme="minorHAnsi" w:hAnsi="Calibri" w:cstheme="minorBidi"/>
      <w:spacing w:val="0"/>
      <w:sz w:val="22"/>
      <w:szCs w:val="21"/>
      <w:lang w:eastAsia="en-US"/>
    </w:rPr>
  </w:style>
  <w:style w:type="character" w:customStyle="1" w:styleId="ZwykytekstZnak">
    <w:name w:val="Zwykły tekst Znak"/>
    <w:basedOn w:val="Domylnaczcionkaakapitu"/>
    <w:link w:val="Zwykytekst"/>
    <w:uiPriority w:val="99"/>
    <w:rsid w:val="00EF0F8D"/>
    <w:rPr>
      <w:rFonts w:ascii="Calibri" w:eastAsiaTheme="minorHAnsi" w:hAnsi="Calibri"/>
      <w:szCs w:val="21"/>
    </w:rPr>
  </w:style>
  <w:style w:type="character" w:customStyle="1" w:styleId="Bodytext">
    <w:name w:val="Body text_"/>
    <w:basedOn w:val="Domylnaczcionkaakapitu"/>
    <w:link w:val="Tekstpodstawowy4"/>
    <w:rsid w:val="00EF0F8D"/>
    <w:rPr>
      <w:rFonts w:ascii="Calibri" w:eastAsia="Calibri" w:hAnsi="Calibri" w:cs="Calibri"/>
      <w:sz w:val="21"/>
      <w:szCs w:val="21"/>
      <w:shd w:val="clear" w:color="auto" w:fill="FFFFFF"/>
    </w:rPr>
  </w:style>
  <w:style w:type="paragraph" w:customStyle="1" w:styleId="Tekstpodstawowy4">
    <w:name w:val="Tekst podstawowy4"/>
    <w:basedOn w:val="Normalny"/>
    <w:link w:val="Bodytext"/>
    <w:rsid w:val="00EF0F8D"/>
    <w:pPr>
      <w:widowControl w:val="0"/>
      <w:shd w:val="clear" w:color="auto" w:fill="FFFFFF"/>
      <w:spacing w:line="0" w:lineRule="atLeast"/>
      <w:ind w:hanging="380"/>
    </w:pPr>
    <w:rPr>
      <w:rFonts w:ascii="Calibri" w:eastAsia="Calibri" w:hAnsi="Calibri" w:cs="Calibri"/>
      <w:spacing w:val="0"/>
      <w:sz w:val="21"/>
      <w:szCs w:val="21"/>
      <w:lang w:eastAsia="en-US"/>
    </w:rPr>
  </w:style>
  <w:style w:type="paragraph" w:customStyle="1" w:styleId="styl10">
    <w:name w:val="styl1"/>
    <w:basedOn w:val="Normalny"/>
    <w:rsid w:val="00D850F5"/>
    <w:pPr>
      <w:spacing w:before="100" w:beforeAutospacing="1" w:after="100" w:afterAutospacing="1" w:line="240" w:lineRule="auto"/>
    </w:pPr>
    <w:rPr>
      <w:rFonts w:ascii="Calibri" w:eastAsiaTheme="minorHAnsi" w:hAnsi="Calibri" w:cs="Calibri"/>
      <w:color w:val="000000"/>
      <w:spacing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6609">
      <w:bodyDiv w:val="1"/>
      <w:marLeft w:val="0"/>
      <w:marRight w:val="0"/>
      <w:marTop w:val="0"/>
      <w:marBottom w:val="0"/>
      <w:divBdr>
        <w:top w:val="none" w:sz="0" w:space="0" w:color="auto"/>
        <w:left w:val="none" w:sz="0" w:space="0" w:color="auto"/>
        <w:bottom w:val="none" w:sz="0" w:space="0" w:color="auto"/>
        <w:right w:val="none" w:sz="0" w:space="0" w:color="auto"/>
      </w:divBdr>
      <w:divsChild>
        <w:div w:id="571083827">
          <w:marLeft w:val="0"/>
          <w:marRight w:val="0"/>
          <w:marTop w:val="0"/>
          <w:marBottom w:val="0"/>
          <w:divBdr>
            <w:top w:val="none" w:sz="0" w:space="0" w:color="auto"/>
            <w:left w:val="none" w:sz="0" w:space="0" w:color="auto"/>
            <w:bottom w:val="none" w:sz="0" w:space="0" w:color="auto"/>
            <w:right w:val="none" w:sz="0" w:space="0" w:color="auto"/>
          </w:divBdr>
          <w:divsChild>
            <w:div w:id="705106929">
              <w:marLeft w:val="0"/>
              <w:marRight w:val="0"/>
              <w:marTop w:val="0"/>
              <w:marBottom w:val="0"/>
              <w:divBdr>
                <w:top w:val="none" w:sz="0" w:space="0" w:color="auto"/>
                <w:left w:val="none" w:sz="0" w:space="0" w:color="auto"/>
                <w:bottom w:val="none" w:sz="0" w:space="0" w:color="auto"/>
                <w:right w:val="none" w:sz="0" w:space="0" w:color="auto"/>
              </w:divBdr>
              <w:divsChild>
                <w:div w:id="2106924489">
                  <w:marLeft w:val="0"/>
                  <w:marRight w:val="0"/>
                  <w:marTop w:val="0"/>
                  <w:marBottom w:val="0"/>
                  <w:divBdr>
                    <w:top w:val="none" w:sz="0" w:space="0" w:color="auto"/>
                    <w:left w:val="none" w:sz="0" w:space="0" w:color="auto"/>
                    <w:bottom w:val="none" w:sz="0" w:space="0" w:color="auto"/>
                    <w:right w:val="none" w:sz="0" w:space="0" w:color="auto"/>
                  </w:divBdr>
                  <w:divsChild>
                    <w:div w:id="42220455">
                      <w:marLeft w:val="0"/>
                      <w:marRight w:val="0"/>
                      <w:marTop w:val="300"/>
                      <w:marBottom w:val="0"/>
                      <w:divBdr>
                        <w:top w:val="none" w:sz="0" w:space="0" w:color="auto"/>
                        <w:left w:val="none" w:sz="0" w:space="0" w:color="auto"/>
                        <w:bottom w:val="none" w:sz="0" w:space="0" w:color="auto"/>
                        <w:right w:val="none" w:sz="0" w:space="0" w:color="auto"/>
                      </w:divBdr>
                      <w:divsChild>
                        <w:div w:id="839272923">
                          <w:marLeft w:val="0"/>
                          <w:marRight w:val="0"/>
                          <w:marTop w:val="0"/>
                          <w:marBottom w:val="0"/>
                          <w:divBdr>
                            <w:top w:val="none" w:sz="0" w:space="0" w:color="auto"/>
                            <w:left w:val="none" w:sz="0" w:space="0" w:color="auto"/>
                            <w:bottom w:val="none" w:sz="0" w:space="0" w:color="auto"/>
                            <w:right w:val="none" w:sz="0" w:space="0" w:color="auto"/>
                          </w:divBdr>
                          <w:divsChild>
                            <w:div w:id="12546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8188">
                      <w:marLeft w:val="0"/>
                      <w:marRight w:val="0"/>
                      <w:marTop w:val="0"/>
                      <w:marBottom w:val="0"/>
                      <w:divBdr>
                        <w:top w:val="none" w:sz="0" w:space="0" w:color="auto"/>
                        <w:left w:val="none" w:sz="0" w:space="0" w:color="auto"/>
                        <w:bottom w:val="none" w:sz="0" w:space="0" w:color="auto"/>
                        <w:right w:val="none" w:sz="0" w:space="0" w:color="auto"/>
                      </w:divBdr>
                      <w:divsChild>
                        <w:div w:id="696545749">
                          <w:marLeft w:val="0"/>
                          <w:marRight w:val="0"/>
                          <w:marTop w:val="0"/>
                          <w:marBottom w:val="0"/>
                          <w:divBdr>
                            <w:top w:val="none" w:sz="0" w:space="0" w:color="auto"/>
                            <w:left w:val="none" w:sz="0" w:space="0" w:color="auto"/>
                            <w:bottom w:val="none" w:sz="0" w:space="0" w:color="auto"/>
                            <w:right w:val="none" w:sz="0" w:space="0" w:color="auto"/>
                          </w:divBdr>
                          <w:divsChild>
                            <w:div w:id="591285511">
                              <w:marLeft w:val="0"/>
                              <w:marRight w:val="0"/>
                              <w:marTop w:val="0"/>
                              <w:marBottom w:val="0"/>
                              <w:divBdr>
                                <w:top w:val="none" w:sz="0" w:space="0" w:color="auto"/>
                                <w:left w:val="none" w:sz="0" w:space="0" w:color="auto"/>
                                <w:bottom w:val="none" w:sz="0" w:space="0" w:color="auto"/>
                                <w:right w:val="none" w:sz="0" w:space="0" w:color="auto"/>
                              </w:divBdr>
                            </w:div>
                          </w:divsChild>
                        </w:div>
                        <w:div w:id="182053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0695">
      <w:bodyDiv w:val="1"/>
      <w:marLeft w:val="0"/>
      <w:marRight w:val="0"/>
      <w:marTop w:val="0"/>
      <w:marBottom w:val="0"/>
      <w:divBdr>
        <w:top w:val="none" w:sz="0" w:space="0" w:color="auto"/>
        <w:left w:val="none" w:sz="0" w:space="0" w:color="auto"/>
        <w:bottom w:val="none" w:sz="0" w:space="0" w:color="auto"/>
        <w:right w:val="none" w:sz="0" w:space="0" w:color="auto"/>
      </w:divBdr>
    </w:div>
    <w:div w:id="4020841">
      <w:bodyDiv w:val="1"/>
      <w:marLeft w:val="0"/>
      <w:marRight w:val="0"/>
      <w:marTop w:val="0"/>
      <w:marBottom w:val="0"/>
      <w:divBdr>
        <w:top w:val="none" w:sz="0" w:space="0" w:color="auto"/>
        <w:left w:val="none" w:sz="0" w:space="0" w:color="auto"/>
        <w:bottom w:val="none" w:sz="0" w:space="0" w:color="auto"/>
        <w:right w:val="none" w:sz="0" w:space="0" w:color="auto"/>
      </w:divBdr>
    </w:div>
    <w:div w:id="21437871">
      <w:bodyDiv w:val="1"/>
      <w:marLeft w:val="0"/>
      <w:marRight w:val="0"/>
      <w:marTop w:val="0"/>
      <w:marBottom w:val="0"/>
      <w:divBdr>
        <w:top w:val="none" w:sz="0" w:space="0" w:color="auto"/>
        <w:left w:val="none" w:sz="0" w:space="0" w:color="auto"/>
        <w:bottom w:val="none" w:sz="0" w:space="0" w:color="auto"/>
        <w:right w:val="none" w:sz="0" w:space="0" w:color="auto"/>
      </w:divBdr>
    </w:div>
    <w:div w:id="26176248">
      <w:bodyDiv w:val="1"/>
      <w:marLeft w:val="0"/>
      <w:marRight w:val="0"/>
      <w:marTop w:val="0"/>
      <w:marBottom w:val="0"/>
      <w:divBdr>
        <w:top w:val="none" w:sz="0" w:space="0" w:color="auto"/>
        <w:left w:val="none" w:sz="0" w:space="0" w:color="auto"/>
        <w:bottom w:val="none" w:sz="0" w:space="0" w:color="auto"/>
        <w:right w:val="none" w:sz="0" w:space="0" w:color="auto"/>
      </w:divBdr>
      <w:divsChild>
        <w:div w:id="1623728981">
          <w:marLeft w:val="0"/>
          <w:marRight w:val="0"/>
          <w:marTop w:val="0"/>
          <w:marBottom w:val="0"/>
          <w:divBdr>
            <w:top w:val="none" w:sz="0" w:space="0" w:color="auto"/>
            <w:left w:val="none" w:sz="0" w:space="0" w:color="auto"/>
            <w:bottom w:val="none" w:sz="0" w:space="0" w:color="auto"/>
            <w:right w:val="none" w:sz="0" w:space="0" w:color="auto"/>
          </w:divBdr>
        </w:div>
      </w:divsChild>
    </w:div>
    <w:div w:id="26763422">
      <w:bodyDiv w:val="1"/>
      <w:marLeft w:val="0"/>
      <w:marRight w:val="0"/>
      <w:marTop w:val="0"/>
      <w:marBottom w:val="0"/>
      <w:divBdr>
        <w:top w:val="none" w:sz="0" w:space="0" w:color="auto"/>
        <w:left w:val="none" w:sz="0" w:space="0" w:color="auto"/>
        <w:bottom w:val="none" w:sz="0" w:space="0" w:color="auto"/>
        <w:right w:val="none" w:sz="0" w:space="0" w:color="auto"/>
      </w:divBdr>
    </w:div>
    <w:div w:id="28267575">
      <w:bodyDiv w:val="1"/>
      <w:marLeft w:val="0"/>
      <w:marRight w:val="0"/>
      <w:marTop w:val="0"/>
      <w:marBottom w:val="0"/>
      <w:divBdr>
        <w:top w:val="none" w:sz="0" w:space="0" w:color="auto"/>
        <w:left w:val="none" w:sz="0" w:space="0" w:color="auto"/>
        <w:bottom w:val="none" w:sz="0" w:space="0" w:color="auto"/>
        <w:right w:val="none" w:sz="0" w:space="0" w:color="auto"/>
      </w:divBdr>
    </w:div>
    <w:div w:id="34934131">
      <w:bodyDiv w:val="1"/>
      <w:marLeft w:val="0"/>
      <w:marRight w:val="0"/>
      <w:marTop w:val="0"/>
      <w:marBottom w:val="0"/>
      <w:divBdr>
        <w:top w:val="none" w:sz="0" w:space="0" w:color="auto"/>
        <w:left w:val="none" w:sz="0" w:space="0" w:color="auto"/>
        <w:bottom w:val="none" w:sz="0" w:space="0" w:color="auto"/>
        <w:right w:val="none" w:sz="0" w:space="0" w:color="auto"/>
      </w:divBdr>
    </w:div>
    <w:div w:id="36710298">
      <w:bodyDiv w:val="1"/>
      <w:marLeft w:val="0"/>
      <w:marRight w:val="0"/>
      <w:marTop w:val="0"/>
      <w:marBottom w:val="0"/>
      <w:divBdr>
        <w:top w:val="none" w:sz="0" w:space="0" w:color="auto"/>
        <w:left w:val="none" w:sz="0" w:space="0" w:color="auto"/>
        <w:bottom w:val="none" w:sz="0" w:space="0" w:color="auto"/>
        <w:right w:val="none" w:sz="0" w:space="0" w:color="auto"/>
      </w:divBdr>
    </w:div>
    <w:div w:id="38015541">
      <w:bodyDiv w:val="1"/>
      <w:marLeft w:val="0"/>
      <w:marRight w:val="0"/>
      <w:marTop w:val="0"/>
      <w:marBottom w:val="0"/>
      <w:divBdr>
        <w:top w:val="none" w:sz="0" w:space="0" w:color="auto"/>
        <w:left w:val="none" w:sz="0" w:space="0" w:color="auto"/>
        <w:bottom w:val="none" w:sz="0" w:space="0" w:color="auto"/>
        <w:right w:val="none" w:sz="0" w:space="0" w:color="auto"/>
      </w:divBdr>
    </w:div>
    <w:div w:id="43406408">
      <w:bodyDiv w:val="1"/>
      <w:marLeft w:val="0"/>
      <w:marRight w:val="0"/>
      <w:marTop w:val="0"/>
      <w:marBottom w:val="0"/>
      <w:divBdr>
        <w:top w:val="none" w:sz="0" w:space="0" w:color="auto"/>
        <w:left w:val="none" w:sz="0" w:space="0" w:color="auto"/>
        <w:bottom w:val="none" w:sz="0" w:space="0" w:color="auto"/>
        <w:right w:val="none" w:sz="0" w:space="0" w:color="auto"/>
      </w:divBdr>
      <w:divsChild>
        <w:div w:id="324821524">
          <w:marLeft w:val="0"/>
          <w:marRight w:val="0"/>
          <w:marTop w:val="0"/>
          <w:marBottom w:val="0"/>
          <w:divBdr>
            <w:top w:val="none" w:sz="0" w:space="0" w:color="auto"/>
            <w:left w:val="none" w:sz="0" w:space="0" w:color="auto"/>
            <w:bottom w:val="none" w:sz="0" w:space="0" w:color="auto"/>
            <w:right w:val="none" w:sz="0" w:space="0" w:color="auto"/>
          </w:divBdr>
        </w:div>
      </w:divsChild>
    </w:div>
    <w:div w:id="54814786">
      <w:bodyDiv w:val="1"/>
      <w:marLeft w:val="0"/>
      <w:marRight w:val="0"/>
      <w:marTop w:val="0"/>
      <w:marBottom w:val="0"/>
      <w:divBdr>
        <w:top w:val="none" w:sz="0" w:space="0" w:color="auto"/>
        <w:left w:val="none" w:sz="0" w:space="0" w:color="auto"/>
        <w:bottom w:val="none" w:sz="0" w:space="0" w:color="auto"/>
        <w:right w:val="none" w:sz="0" w:space="0" w:color="auto"/>
      </w:divBdr>
      <w:divsChild>
        <w:div w:id="2115051469">
          <w:marLeft w:val="0"/>
          <w:marRight w:val="0"/>
          <w:marTop w:val="0"/>
          <w:marBottom w:val="0"/>
          <w:divBdr>
            <w:top w:val="none" w:sz="0" w:space="0" w:color="auto"/>
            <w:left w:val="none" w:sz="0" w:space="0" w:color="auto"/>
            <w:bottom w:val="none" w:sz="0" w:space="0" w:color="auto"/>
            <w:right w:val="none" w:sz="0" w:space="0" w:color="auto"/>
          </w:divBdr>
          <w:divsChild>
            <w:div w:id="2131967844">
              <w:marLeft w:val="0"/>
              <w:marRight w:val="0"/>
              <w:marTop w:val="0"/>
              <w:marBottom w:val="0"/>
              <w:divBdr>
                <w:top w:val="none" w:sz="0" w:space="0" w:color="auto"/>
                <w:left w:val="none" w:sz="0" w:space="0" w:color="auto"/>
                <w:bottom w:val="none" w:sz="0" w:space="0" w:color="auto"/>
                <w:right w:val="none" w:sz="0" w:space="0" w:color="auto"/>
              </w:divBdr>
              <w:divsChild>
                <w:div w:id="864489610">
                  <w:marLeft w:val="0"/>
                  <w:marRight w:val="0"/>
                  <w:marTop w:val="0"/>
                  <w:marBottom w:val="0"/>
                  <w:divBdr>
                    <w:top w:val="none" w:sz="0" w:space="0" w:color="auto"/>
                    <w:left w:val="none" w:sz="0" w:space="0" w:color="auto"/>
                    <w:bottom w:val="none" w:sz="0" w:space="0" w:color="auto"/>
                    <w:right w:val="none" w:sz="0" w:space="0" w:color="auto"/>
                  </w:divBdr>
                  <w:divsChild>
                    <w:div w:id="1554275421">
                      <w:marLeft w:val="0"/>
                      <w:marRight w:val="0"/>
                      <w:marTop w:val="0"/>
                      <w:marBottom w:val="0"/>
                      <w:divBdr>
                        <w:top w:val="none" w:sz="0" w:space="0" w:color="auto"/>
                        <w:left w:val="none" w:sz="0" w:space="0" w:color="auto"/>
                        <w:bottom w:val="none" w:sz="0" w:space="0" w:color="auto"/>
                        <w:right w:val="none" w:sz="0" w:space="0" w:color="auto"/>
                      </w:divBdr>
                      <w:divsChild>
                        <w:div w:id="447967888">
                          <w:marLeft w:val="0"/>
                          <w:marRight w:val="0"/>
                          <w:marTop w:val="0"/>
                          <w:marBottom w:val="0"/>
                          <w:divBdr>
                            <w:top w:val="none" w:sz="0" w:space="0" w:color="auto"/>
                            <w:left w:val="none" w:sz="0" w:space="0" w:color="auto"/>
                            <w:bottom w:val="none" w:sz="0" w:space="0" w:color="auto"/>
                            <w:right w:val="none" w:sz="0" w:space="0" w:color="auto"/>
                          </w:divBdr>
                        </w:div>
                        <w:div w:id="1466120362">
                          <w:marLeft w:val="0"/>
                          <w:marRight w:val="0"/>
                          <w:marTop w:val="0"/>
                          <w:marBottom w:val="0"/>
                          <w:divBdr>
                            <w:top w:val="none" w:sz="0" w:space="0" w:color="auto"/>
                            <w:left w:val="none" w:sz="0" w:space="0" w:color="auto"/>
                            <w:bottom w:val="none" w:sz="0" w:space="0" w:color="auto"/>
                            <w:right w:val="none" w:sz="0" w:space="0" w:color="auto"/>
                          </w:divBdr>
                          <w:divsChild>
                            <w:div w:id="9696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54501">
                      <w:marLeft w:val="0"/>
                      <w:marRight w:val="0"/>
                      <w:marTop w:val="300"/>
                      <w:marBottom w:val="0"/>
                      <w:divBdr>
                        <w:top w:val="none" w:sz="0" w:space="0" w:color="auto"/>
                        <w:left w:val="none" w:sz="0" w:space="0" w:color="auto"/>
                        <w:bottom w:val="none" w:sz="0" w:space="0" w:color="auto"/>
                        <w:right w:val="none" w:sz="0" w:space="0" w:color="auto"/>
                      </w:divBdr>
                      <w:divsChild>
                        <w:div w:id="526019915">
                          <w:marLeft w:val="0"/>
                          <w:marRight w:val="0"/>
                          <w:marTop w:val="0"/>
                          <w:marBottom w:val="0"/>
                          <w:divBdr>
                            <w:top w:val="none" w:sz="0" w:space="0" w:color="auto"/>
                            <w:left w:val="none" w:sz="0" w:space="0" w:color="auto"/>
                            <w:bottom w:val="none" w:sz="0" w:space="0" w:color="auto"/>
                            <w:right w:val="none" w:sz="0" w:space="0" w:color="auto"/>
                          </w:divBdr>
                          <w:divsChild>
                            <w:div w:id="2806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64297">
      <w:bodyDiv w:val="1"/>
      <w:marLeft w:val="0"/>
      <w:marRight w:val="0"/>
      <w:marTop w:val="0"/>
      <w:marBottom w:val="0"/>
      <w:divBdr>
        <w:top w:val="none" w:sz="0" w:space="0" w:color="auto"/>
        <w:left w:val="none" w:sz="0" w:space="0" w:color="auto"/>
        <w:bottom w:val="none" w:sz="0" w:space="0" w:color="auto"/>
        <w:right w:val="none" w:sz="0" w:space="0" w:color="auto"/>
      </w:divBdr>
    </w:div>
    <w:div w:id="55903141">
      <w:bodyDiv w:val="1"/>
      <w:marLeft w:val="0"/>
      <w:marRight w:val="0"/>
      <w:marTop w:val="0"/>
      <w:marBottom w:val="0"/>
      <w:divBdr>
        <w:top w:val="none" w:sz="0" w:space="0" w:color="auto"/>
        <w:left w:val="none" w:sz="0" w:space="0" w:color="auto"/>
        <w:bottom w:val="none" w:sz="0" w:space="0" w:color="auto"/>
        <w:right w:val="none" w:sz="0" w:space="0" w:color="auto"/>
      </w:divBdr>
    </w:div>
    <w:div w:id="56981409">
      <w:bodyDiv w:val="1"/>
      <w:marLeft w:val="0"/>
      <w:marRight w:val="0"/>
      <w:marTop w:val="0"/>
      <w:marBottom w:val="0"/>
      <w:divBdr>
        <w:top w:val="none" w:sz="0" w:space="0" w:color="auto"/>
        <w:left w:val="none" w:sz="0" w:space="0" w:color="auto"/>
        <w:bottom w:val="none" w:sz="0" w:space="0" w:color="auto"/>
        <w:right w:val="none" w:sz="0" w:space="0" w:color="auto"/>
      </w:divBdr>
    </w:div>
    <w:div w:id="60718375">
      <w:bodyDiv w:val="1"/>
      <w:marLeft w:val="0"/>
      <w:marRight w:val="0"/>
      <w:marTop w:val="0"/>
      <w:marBottom w:val="0"/>
      <w:divBdr>
        <w:top w:val="none" w:sz="0" w:space="0" w:color="auto"/>
        <w:left w:val="none" w:sz="0" w:space="0" w:color="auto"/>
        <w:bottom w:val="none" w:sz="0" w:space="0" w:color="auto"/>
        <w:right w:val="none" w:sz="0" w:space="0" w:color="auto"/>
      </w:divBdr>
    </w:div>
    <w:div w:id="63339000">
      <w:bodyDiv w:val="1"/>
      <w:marLeft w:val="0"/>
      <w:marRight w:val="0"/>
      <w:marTop w:val="0"/>
      <w:marBottom w:val="0"/>
      <w:divBdr>
        <w:top w:val="none" w:sz="0" w:space="0" w:color="auto"/>
        <w:left w:val="none" w:sz="0" w:space="0" w:color="auto"/>
        <w:bottom w:val="none" w:sz="0" w:space="0" w:color="auto"/>
        <w:right w:val="none" w:sz="0" w:space="0" w:color="auto"/>
      </w:divBdr>
    </w:div>
    <w:div w:id="69929375">
      <w:bodyDiv w:val="1"/>
      <w:marLeft w:val="0"/>
      <w:marRight w:val="0"/>
      <w:marTop w:val="0"/>
      <w:marBottom w:val="0"/>
      <w:divBdr>
        <w:top w:val="none" w:sz="0" w:space="0" w:color="auto"/>
        <w:left w:val="none" w:sz="0" w:space="0" w:color="auto"/>
        <w:bottom w:val="none" w:sz="0" w:space="0" w:color="auto"/>
        <w:right w:val="none" w:sz="0" w:space="0" w:color="auto"/>
      </w:divBdr>
    </w:div>
    <w:div w:id="85155364">
      <w:bodyDiv w:val="1"/>
      <w:marLeft w:val="0"/>
      <w:marRight w:val="0"/>
      <w:marTop w:val="0"/>
      <w:marBottom w:val="0"/>
      <w:divBdr>
        <w:top w:val="none" w:sz="0" w:space="0" w:color="auto"/>
        <w:left w:val="none" w:sz="0" w:space="0" w:color="auto"/>
        <w:bottom w:val="none" w:sz="0" w:space="0" w:color="auto"/>
        <w:right w:val="none" w:sz="0" w:space="0" w:color="auto"/>
      </w:divBdr>
    </w:div>
    <w:div w:id="86510211">
      <w:bodyDiv w:val="1"/>
      <w:marLeft w:val="0"/>
      <w:marRight w:val="0"/>
      <w:marTop w:val="0"/>
      <w:marBottom w:val="0"/>
      <w:divBdr>
        <w:top w:val="none" w:sz="0" w:space="0" w:color="auto"/>
        <w:left w:val="none" w:sz="0" w:space="0" w:color="auto"/>
        <w:bottom w:val="none" w:sz="0" w:space="0" w:color="auto"/>
        <w:right w:val="none" w:sz="0" w:space="0" w:color="auto"/>
      </w:divBdr>
    </w:div>
    <w:div w:id="86849236">
      <w:bodyDiv w:val="1"/>
      <w:marLeft w:val="0"/>
      <w:marRight w:val="0"/>
      <w:marTop w:val="0"/>
      <w:marBottom w:val="0"/>
      <w:divBdr>
        <w:top w:val="none" w:sz="0" w:space="0" w:color="auto"/>
        <w:left w:val="none" w:sz="0" w:space="0" w:color="auto"/>
        <w:bottom w:val="none" w:sz="0" w:space="0" w:color="auto"/>
        <w:right w:val="none" w:sz="0" w:space="0" w:color="auto"/>
      </w:divBdr>
    </w:div>
    <w:div w:id="90591010">
      <w:bodyDiv w:val="1"/>
      <w:marLeft w:val="0"/>
      <w:marRight w:val="0"/>
      <w:marTop w:val="0"/>
      <w:marBottom w:val="0"/>
      <w:divBdr>
        <w:top w:val="none" w:sz="0" w:space="0" w:color="auto"/>
        <w:left w:val="none" w:sz="0" w:space="0" w:color="auto"/>
        <w:bottom w:val="none" w:sz="0" w:space="0" w:color="auto"/>
        <w:right w:val="none" w:sz="0" w:space="0" w:color="auto"/>
      </w:divBdr>
    </w:div>
    <w:div w:id="101921045">
      <w:bodyDiv w:val="1"/>
      <w:marLeft w:val="0"/>
      <w:marRight w:val="0"/>
      <w:marTop w:val="0"/>
      <w:marBottom w:val="0"/>
      <w:divBdr>
        <w:top w:val="none" w:sz="0" w:space="0" w:color="auto"/>
        <w:left w:val="none" w:sz="0" w:space="0" w:color="auto"/>
        <w:bottom w:val="none" w:sz="0" w:space="0" w:color="auto"/>
        <w:right w:val="none" w:sz="0" w:space="0" w:color="auto"/>
      </w:divBdr>
    </w:div>
    <w:div w:id="104348992">
      <w:bodyDiv w:val="1"/>
      <w:marLeft w:val="0"/>
      <w:marRight w:val="0"/>
      <w:marTop w:val="0"/>
      <w:marBottom w:val="0"/>
      <w:divBdr>
        <w:top w:val="none" w:sz="0" w:space="0" w:color="auto"/>
        <w:left w:val="none" w:sz="0" w:space="0" w:color="auto"/>
        <w:bottom w:val="none" w:sz="0" w:space="0" w:color="auto"/>
        <w:right w:val="none" w:sz="0" w:space="0" w:color="auto"/>
      </w:divBdr>
    </w:div>
    <w:div w:id="109011930">
      <w:bodyDiv w:val="1"/>
      <w:marLeft w:val="0"/>
      <w:marRight w:val="0"/>
      <w:marTop w:val="0"/>
      <w:marBottom w:val="0"/>
      <w:divBdr>
        <w:top w:val="none" w:sz="0" w:space="0" w:color="auto"/>
        <w:left w:val="none" w:sz="0" w:space="0" w:color="auto"/>
        <w:bottom w:val="none" w:sz="0" w:space="0" w:color="auto"/>
        <w:right w:val="none" w:sz="0" w:space="0" w:color="auto"/>
      </w:divBdr>
    </w:div>
    <w:div w:id="113526055">
      <w:bodyDiv w:val="1"/>
      <w:marLeft w:val="0"/>
      <w:marRight w:val="0"/>
      <w:marTop w:val="0"/>
      <w:marBottom w:val="0"/>
      <w:divBdr>
        <w:top w:val="none" w:sz="0" w:space="0" w:color="auto"/>
        <w:left w:val="none" w:sz="0" w:space="0" w:color="auto"/>
        <w:bottom w:val="none" w:sz="0" w:space="0" w:color="auto"/>
        <w:right w:val="none" w:sz="0" w:space="0" w:color="auto"/>
      </w:divBdr>
    </w:div>
    <w:div w:id="115488750">
      <w:bodyDiv w:val="1"/>
      <w:marLeft w:val="0"/>
      <w:marRight w:val="0"/>
      <w:marTop w:val="0"/>
      <w:marBottom w:val="0"/>
      <w:divBdr>
        <w:top w:val="none" w:sz="0" w:space="0" w:color="auto"/>
        <w:left w:val="none" w:sz="0" w:space="0" w:color="auto"/>
        <w:bottom w:val="none" w:sz="0" w:space="0" w:color="auto"/>
        <w:right w:val="none" w:sz="0" w:space="0" w:color="auto"/>
      </w:divBdr>
      <w:divsChild>
        <w:div w:id="1803158895">
          <w:marLeft w:val="0"/>
          <w:marRight w:val="0"/>
          <w:marTop w:val="0"/>
          <w:marBottom w:val="0"/>
          <w:divBdr>
            <w:top w:val="none" w:sz="0" w:space="0" w:color="auto"/>
            <w:left w:val="none" w:sz="0" w:space="0" w:color="auto"/>
            <w:bottom w:val="none" w:sz="0" w:space="0" w:color="auto"/>
            <w:right w:val="none" w:sz="0" w:space="0" w:color="auto"/>
          </w:divBdr>
        </w:div>
      </w:divsChild>
    </w:div>
    <w:div w:id="117572704">
      <w:bodyDiv w:val="1"/>
      <w:marLeft w:val="0"/>
      <w:marRight w:val="0"/>
      <w:marTop w:val="0"/>
      <w:marBottom w:val="0"/>
      <w:divBdr>
        <w:top w:val="none" w:sz="0" w:space="0" w:color="auto"/>
        <w:left w:val="none" w:sz="0" w:space="0" w:color="auto"/>
        <w:bottom w:val="none" w:sz="0" w:space="0" w:color="auto"/>
        <w:right w:val="none" w:sz="0" w:space="0" w:color="auto"/>
      </w:divBdr>
      <w:divsChild>
        <w:div w:id="1419597276">
          <w:marLeft w:val="0"/>
          <w:marRight w:val="0"/>
          <w:marTop w:val="0"/>
          <w:marBottom w:val="0"/>
          <w:divBdr>
            <w:top w:val="none" w:sz="0" w:space="0" w:color="auto"/>
            <w:left w:val="none" w:sz="0" w:space="0" w:color="auto"/>
            <w:bottom w:val="none" w:sz="0" w:space="0" w:color="auto"/>
            <w:right w:val="none" w:sz="0" w:space="0" w:color="auto"/>
          </w:divBdr>
          <w:divsChild>
            <w:div w:id="198862077">
              <w:marLeft w:val="0"/>
              <w:marRight w:val="0"/>
              <w:marTop w:val="0"/>
              <w:marBottom w:val="0"/>
              <w:divBdr>
                <w:top w:val="none" w:sz="0" w:space="0" w:color="auto"/>
                <w:left w:val="none" w:sz="0" w:space="0" w:color="auto"/>
                <w:bottom w:val="none" w:sz="0" w:space="0" w:color="auto"/>
                <w:right w:val="none" w:sz="0" w:space="0" w:color="auto"/>
              </w:divBdr>
              <w:divsChild>
                <w:div w:id="1317031952">
                  <w:marLeft w:val="0"/>
                  <w:marRight w:val="0"/>
                  <w:marTop w:val="0"/>
                  <w:marBottom w:val="0"/>
                  <w:divBdr>
                    <w:top w:val="none" w:sz="0" w:space="0" w:color="auto"/>
                    <w:left w:val="none" w:sz="0" w:space="0" w:color="auto"/>
                    <w:bottom w:val="none" w:sz="0" w:space="0" w:color="auto"/>
                    <w:right w:val="none" w:sz="0" w:space="0" w:color="auto"/>
                  </w:divBdr>
                  <w:divsChild>
                    <w:div w:id="1399552317">
                      <w:marLeft w:val="0"/>
                      <w:marRight w:val="0"/>
                      <w:marTop w:val="0"/>
                      <w:marBottom w:val="0"/>
                      <w:divBdr>
                        <w:top w:val="none" w:sz="0" w:space="0" w:color="auto"/>
                        <w:left w:val="none" w:sz="0" w:space="0" w:color="auto"/>
                        <w:bottom w:val="none" w:sz="0" w:space="0" w:color="auto"/>
                        <w:right w:val="none" w:sz="0" w:space="0" w:color="auto"/>
                      </w:divBdr>
                      <w:divsChild>
                        <w:div w:id="1069768337">
                          <w:marLeft w:val="0"/>
                          <w:marRight w:val="0"/>
                          <w:marTop w:val="0"/>
                          <w:marBottom w:val="0"/>
                          <w:divBdr>
                            <w:top w:val="none" w:sz="0" w:space="0" w:color="auto"/>
                            <w:left w:val="none" w:sz="0" w:space="0" w:color="auto"/>
                            <w:bottom w:val="none" w:sz="0" w:space="0" w:color="auto"/>
                            <w:right w:val="none" w:sz="0" w:space="0" w:color="auto"/>
                          </w:divBdr>
                        </w:div>
                        <w:div w:id="2092924198">
                          <w:marLeft w:val="0"/>
                          <w:marRight w:val="0"/>
                          <w:marTop w:val="0"/>
                          <w:marBottom w:val="225"/>
                          <w:divBdr>
                            <w:top w:val="none" w:sz="0" w:space="0" w:color="auto"/>
                            <w:left w:val="none" w:sz="0" w:space="0" w:color="auto"/>
                            <w:bottom w:val="none" w:sz="0" w:space="0" w:color="auto"/>
                            <w:right w:val="none" w:sz="0" w:space="0" w:color="auto"/>
                          </w:divBdr>
                          <w:divsChild>
                            <w:div w:id="3720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3950">
                      <w:marLeft w:val="0"/>
                      <w:marRight w:val="0"/>
                      <w:marTop w:val="300"/>
                      <w:marBottom w:val="0"/>
                      <w:divBdr>
                        <w:top w:val="none" w:sz="0" w:space="0" w:color="auto"/>
                        <w:left w:val="none" w:sz="0" w:space="0" w:color="auto"/>
                        <w:bottom w:val="none" w:sz="0" w:space="0" w:color="auto"/>
                        <w:right w:val="none" w:sz="0" w:space="0" w:color="auto"/>
                      </w:divBdr>
                      <w:divsChild>
                        <w:div w:id="88284400">
                          <w:marLeft w:val="0"/>
                          <w:marRight w:val="0"/>
                          <w:marTop w:val="0"/>
                          <w:marBottom w:val="225"/>
                          <w:divBdr>
                            <w:top w:val="none" w:sz="0" w:space="0" w:color="auto"/>
                            <w:left w:val="none" w:sz="0" w:space="0" w:color="auto"/>
                            <w:bottom w:val="none" w:sz="0" w:space="0" w:color="auto"/>
                            <w:right w:val="none" w:sz="0" w:space="0" w:color="auto"/>
                          </w:divBdr>
                          <w:divsChild>
                            <w:div w:id="19820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5126">
      <w:bodyDiv w:val="1"/>
      <w:marLeft w:val="0"/>
      <w:marRight w:val="0"/>
      <w:marTop w:val="0"/>
      <w:marBottom w:val="0"/>
      <w:divBdr>
        <w:top w:val="none" w:sz="0" w:space="0" w:color="auto"/>
        <w:left w:val="none" w:sz="0" w:space="0" w:color="auto"/>
        <w:bottom w:val="none" w:sz="0" w:space="0" w:color="auto"/>
        <w:right w:val="none" w:sz="0" w:space="0" w:color="auto"/>
      </w:divBdr>
    </w:div>
    <w:div w:id="137501696">
      <w:bodyDiv w:val="1"/>
      <w:marLeft w:val="0"/>
      <w:marRight w:val="0"/>
      <w:marTop w:val="0"/>
      <w:marBottom w:val="0"/>
      <w:divBdr>
        <w:top w:val="none" w:sz="0" w:space="0" w:color="auto"/>
        <w:left w:val="none" w:sz="0" w:space="0" w:color="auto"/>
        <w:bottom w:val="none" w:sz="0" w:space="0" w:color="auto"/>
        <w:right w:val="none" w:sz="0" w:space="0" w:color="auto"/>
      </w:divBdr>
    </w:div>
    <w:div w:id="139229333">
      <w:bodyDiv w:val="1"/>
      <w:marLeft w:val="0"/>
      <w:marRight w:val="0"/>
      <w:marTop w:val="0"/>
      <w:marBottom w:val="0"/>
      <w:divBdr>
        <w:top w:val="none" w:sz="0" w:space="0" w:color="auto"/>
        <w:left w:val="none" w:sz="0" w:space="0" w:color="auto"/>
        <w:bottom w:val="none" w:sz="0" w:space="0" w:color="auto"/>
        <w:right w:val="none" w:sz="0" w:space="0" w:color="auto"/>
      </w:divBdr>
    </w:div>
    <w:div w:id="144015110">
      <w:bodyDiv w:val="1"/>
      <w:marLeft w:val="0"/>
      <w:marRight w:val="0"/>
      <w:marTop w:val="0"/>
      <w:marBottom w:val="0"/>
      <w:divBdr>
        <w:top w:val="none" w:sz="0" w:space="0" w:color="auto"/>
        <w:left w:val="none" w:sz="0" w:space="0" w:color="auto"/>
        <w:bottom w:val="none" w:sz="0" w:space="0" w:color="auto"/>
        <w:right w:val="none" w:sz="0" w:space="0" w:color="auto"/>
      </w:divBdr>
    </w:div>
    <w:div w:id="153958525">
      <w:bodyDiv w:val="1"/>
      <w:marLeft w:val="0"/>
      <w:marRight w:val="0"/>
      <w:marTop w:val="0"/>
      <w:marBottom w:val="0"/>
      <w:divBdr>
        <w:top w:val="none" w:sz="0" w:space="0" w:color="auto"/>
        <w:left w:val="none" w:sz="0" w:space="0" w:color="auto"/>
        <w:bottom w:val="none" w:sz="0" w:space="0" w:color="auto"/>
        <w:right w:val="none" w:sz="0" w:space="0" w:color="auto"/>
      </w:divBdr>
    </w:div>
    <w:div w:id="173039867">
      <w:bodyDiv w:val="1"/>
      <w:marLeft w:val="0"/>
      <w:marRight w:val="0"/>
      <w:marTop w:val="0"/>
      <w:marBottom w:val="0"/>
      <w:divBdr>
        <w:top w:val="none" w:sz="0" w:space="0" w:color="auto"/>
        <w:left w:val="none" w:sz="0" w:space="0" w:color="auto"/>
        <w:bottom w:val="none" w:sz="0" w:space="0" w:color="auto"/>
        <w:right w:val="none" w:sz="0" w:space="0" w:color="auto"/>
      </w:divBdr>
    </w:div>
    <w:div w:id="177895435">
      <w:bodyDiv w:val="1"/>
      <w:marLeft w:val="0"/>
      <w:marRight w:val="0"/>
      <w:marTop w:val="0"/>
      <w:marBottom w:val="0"/>
      <w:divBdr>
        <w:top w:val="none" w:sz="0" w:space="0" w:color="auto"/>
        <w:left w:val="none" w:sz="0" w:space="0" w:color="auto"/>
        <w:bottom w:val="none" w:sz="0" w:space="0" w:color="auto"/>
        <w:right w:val="none" w:sz="0" w:space="0" w:color="auto"/>
      </w:divBdr>
    </w:div>
    <w:div w:id="178394756">
      <w:bodyDiv w:val="1"/>
      <w:marLeft w:val="0"/>
      <w:marRight w:val="0"/>
      <w:marTop w:val="0"/>
      <w:marBottom w:val="0"/>
      <w:divBdr>
        <w:top w:val="none" w:sz="0" w:space="0" w:color="auto"/>
        <w:left w:val="none" w:sz="0" w:space="0" w:color="auto"/>
        <w:bottom w:val="none" w:sz="0" w:space="0" w:color="auto"/>
        <w:right w:val="none" w:sz="0" w:space="0" w:color="auto"/>
      </w:divBdr>
    </w:div>
    <w:div w:id="183323332">
      <w:bodyDiv w:val="1"/>
      <w:marLeft w:val="0"/>
      <w:marRight w:val="0"/>
      <w:marTop w:val="0"/>
      <w:marBottom w:val="0"/>
      <w:divBdr>
        <w:top w:val="none" w:sz="0" w:space="0" w:color="auto"/>
        <w:left w:val="none" w:sz="0" w:space="0" w:color="auto"/>
        <w:bottom w:val="none" w:sz="0" w:space="0" w:color="auto"/>
        <w:right w:val="none" w:sz="0" w:space="0" w:color="auto"/>
      </w:divBdr>
    </w:div>
    <w:div w:id="187257464">
      <w:bodyDiv w:val="1"/>
      <w:marLeft w:val="0"/>
      <w:marRight w:val="0"/>
      <w:marTop w:val="0"/>
      <w:marBottom w:val="0"/>
      <w:divBdr>
        <w:top w:val="none" w:sz="0" w:space="0" w:color="auto"/>
        <w:left w:val="none" w:sz="0" w:space="0" w:color="auto"/>
        <w:bottom w:val="none" w:sz="0" w:space="0" w:color="auto"/>
        <w:right w:val="none" w:sz="0" w:space="0" w:color="auto"/>
      </w:divBdr>
    </w:div>
    <w:div w:id="188496712">
      <w:bodyDiv w:val="1"/>
      <w:marLeft w:val="0"/>
      <w:marRight w:val="0"/>
      <w:marTop w:val="0"/>
      <w:marBottom w:val="0"/>
      <w:divBdr>
        <w:top w:val="none" w:sz="0" w:space="0" w:color="auto"/>
        <w:left w:val="none" w:sz="0" w:space="0" w:color="auto"/>
        <w:bottom w:val="none" w:sz="0" w:space="0" w:color="auto"/>
        <w:right w:val="none" w:sz="0" w:space="0" w:color="auto"/>
      </w:divBdr>
    </w:div>
    <w:div w:id="192352800">
      <w:bodyDiv w:val="1"/>
      <w:marLeft w:val="0"/>
      <w:marRight w:val="0"/>
      <w:marTop w:val="0"/>
      <w:marBottom w:val="0"/>
      <w:divBdr>
        <w:top w:val="none" w:sz="0" w:space="0" w:color="auto"/>
        <w:left w:val="none" w:sz="0" w:space="0" w:color="auto"/>
        <w:bottom w:val="none" w:sz="0" w:space="0" w:color="auto"/>
        <w:right w:val="none" w:sz="0" w:space="0" w:color="auto"/>
      </w:divBdr>
    </w:div>
    <w:div w:id="192621769">
      <w:bodyDiv w:val="1"/>
      <w:marLeft w:val="0"/>
      <w:marRight w:val="0"/>
      <w:marTop w:val="0"/>
      <w:marBottom w:val="0"/>
      <w:divBdr>
        <w:top w:val="none" w:sz="0" w:space="0" w:color="auto"/>
        <w:left w:val="none" w:sz="0" w:space="0" w:color="auto"/>
        <w:bottom w:val="none" w:sz="0" w:space="0" w:color="auto"/>
        <w:right w:val="none" w:sz="0" w:space="0" w:color="auto"/>
      </w:divBdr>
    </w:div>
    <w:div w:id="193202092">
      <w:bodyDiv w:val="1"/>
      <w:marLeft w:val="0"/>
      <w:marRight w:val="0"/>
      <w:marTop w:val="0"/>
      <w:marBottom w:val="0"/>
      <w:divBdr>
        <w:top w:val="none" w:sz="0" w:space="0" w:color="auto"/>
        <w:left w:val="none" w:sz="0" w:space="0" w:color="auto"/>
        <w:bottom w:val="none" w:sz="0" w:space="0" w:color="auto"/>
        <w:right w:val="none" w:sz="0" w:space="0" w:color="auto"/>
      </w:divBdr>
    </w:div>
    <w:div w:id="194660445">
      <w:bodyDiv w:val="1"/>
      <w:marLeft w:val="0"/>
      <w:marRight w:val="0"/>
      <w:marTop w:val="0"/>
      <w:marBottom w:val="0"/>
      <w:divBdr>
        <w:top w:val="none" w:sz="0" w:space="0" w:color="auto"/>
        <w:left w:val="none" w:sz="0" w:space="0" w:color="auto"/>
        <w:bottom w:val="none" w:sz="0" w:space="0" w:color="auto"/>
        <w:right w:val="none" w:sz="0" w:space="0" w:color="auto"/>
      </w:divBdr>
    </w:div>
    <w:div w:id="195043205">
      <w:bodyDiv w:val="1"/>
      <w:marLeft w:val="0"/>
      <w:marRight w:val="0"/>
      <w:marTop w:val="0"/>
      <w:marBottom w:val="0"/>
      <w:divBdr>
        <w:top w:val="none" w:sz="0" w:space="0" w:color="auto"/>
        <w:left w:val="none" w:sz="0" w:space="0" w:color="auto"/>
        <w:bottom w:val="none" w:sz="0" w:space="0" w:color="auto"/>
        <w:right w:val="none" w:sz="0" w:space="0" w:color="auto"/>
      </w:divBdr>
    </w:div>
    <w:div w:id="199130382">
      <w:bodyDiv w:val="1"/>
      <w:marLeft w:val="0"/>
      <w:marRight w:val="0"/>
      <w:marTop w:val="0"/>
      <w:marBottom w:val="0"/>
      <w:divBdr>
        <w:top w:val="none" w:sz="0" w:space="0" w:color="auto"/>
        <w:left w:val="none" w:sz="0" w:space="0" w:color="auto"/>
        <w:bottom w:val="none" w:sz="0" w:space="0" w:color="auto"/>
        <w:right w:val="none" w:sz="0" w:space="0" w:color="auto"/>
      </w:divBdr>
    </w:div>
    <w:div w:id="201328060">
      <w:bodyDiv w:val="1"/>
      <w:marLeft w:val="0"/>
      <w:marRight w:val="0"/>
      <w:marTop w:val="0"/>
      <w:marBottom w:val="0"/>
      <w:divBdr>
        <w:top w:val="none" w:sz="0" w:space="0" w:color="auto"/>
        <w:left w:val="none" w:sz="0" w:space="0" w:color="auto"/>
        <w:bottom w:val="none" w:sz="0" w:space="0" w:color="auto"/>
        <w:right w:val="none" w:sz="0" w:space="0" w:color="auto"/>
      </w:divBdr>
      <w:divsChild>
        <w:div w:id="663358709">
          <w:marLeft w:val="0"/>
          <w:marRight w:val="0"/>
          <w:marTop w:val="0"/>
          <w:marBottom w:val="0"/>
          <w:divBdr>
            <w:top w:val="none" w:sz="0" w:space="0" w:color="auto"/>
            <w:left w:val="none" w:sz="0" w:space="0" w:color="auto"/>
            <w:bottom w:val="none" w:sz="0" w:space="0" w:color="auto"/>
            <w:right w:val="none" w:sz="0" w:space="0" w:color="auto"/>
          </w:divBdr>
        </w:div>
      </w:divsChild>
    </w:div>
    <w:div w:id="209197597">
      <w:bodyDiv w:val="1"/>
      <w:marLeft w:val="0"/>
      <w:marRight w:val="0"/>
      <w:marTop w:val="0"/>
      <w:marBottom w:val="0"/>
      <w:divBdr>
        <w:top w:val="none" w:sz="0" w:space="0" w:color="auto"/>
        <w:left w:val="none" w:sz="0" w:space="0" w:color="auto"/>
        <w:bottom w:val="none" w:sz="0" w:space="0" w:color="auto"/>
        <w:right w:val="none" w:sz="0" w:space="0" w:color="auto"/>
      </w:divBdr>
    </w:div>
    <w:div w:id="209735009">
      <w:bodyDiv w:val="1"/>
      <w:marLeft w:val="0"/>
      <w:marRight w:val="0"/>
      <w:marTop w:val="0"/>
      <w:marBottom w:val="0"/>
      <w:divBdr>
        <w:top w:val="none" w:sz="0" w:space="0" w:color="auto"/>
        <w:left w:val="none" w:sz="0" w:space="0" w:color="auto"/>
        <w:bottom w:val="none" w:sz="0" w:space="0" w:color="auto"/>
        <w:right w:val="none" w:sz="0" w:space="0" w:color="auto"/>
      </w:divBdr>
    </w:div>
    <w:div w:id="217977386">
      <w:bodyDiv w:val="1"/>
      <w:marLeft w:val="0"/>
      <w:marRight w:val="0"/>
      <w:marTop w:val="0"/>
      <w:marBottom w:val="0"/>
      <w:divBdr>
        <w:top w:val="none" w:sz="0" w:space="0" w:color="auto"/>
        <w:left w:val="none" w:sz="0" w:space="0" w:color="auto"/>
        <w:bottom w:val="none" w:sz="0" w:space="0" w:color="auto"/>
        <w:right w:val="none" w:sz="0" w:space="0" w:color="auto"/>
      </w:divBdr>
    </w:div>
    <w:div w:id="217980849">
      <w:bodyDiv w:val="1"/>
      <w:marLeft w:val="0"/>
      <w:marRight w:val="0"/>
      <w:marTop w:val="0"/>
      <w:marBottom w:val="0"/>
      <w:divBdr>
        <w:top w:val="none" w:sz="0" w:space="0" w:color="auto"/>
        <w:left w:val="none" w:sz="0" w:space="0" w:color="auto"/>
        <w:bottom w:val="none" w:sz="0" w:space="0" w:color="auto"/>
        <w:right w:val="none" w:sz="0" w:space="0" w:color="auto"/>
      </w:divBdr>
    </w:div>
    <w:div w:id="221792431">
      <w:bodyDiv w:val="1"/>
      <w:marLeft w:val="0"/>
      <w:marRight w:val="0"/>
      <w:marTop w:val="0"/>
      <w:marBottom w:val="0"/>
      <w:divBdr>
        <w:top w:val="none" w:sz="0" w:space="0" w:color="auto"/>
        <w:left w:val="none" w:sz="0" w:space="0" w:color="auto"/>
        <w:bottom w:val="none" w:sz="0" w:space="0" w:color="auto"/>
        <w:right w:val="none" w:sz="0" w:space="0" w:color="auto"/>
      </w:divBdr>
    </w:div>
    <w:div w:id="234169241">
      <w:bodyDiv w:val="1"/>
      <w:marLeft w:val="0"/>
      <w:marRight w:val="0"/>
      <w:marTop w:val="0"/>
      <w:marBottom w:val="0"/>
      <w:divBdr>
        <w:top w:val="none" w:sz="0" w:space="0" w:color="auto"/>
        <w:left w:val="none" w:sz="0" w:space="0" w:color="auto"/>
        <w:bottom w:val="none" w:sz="0" w:space="0" w:color="auto"/>
        <w:right w:val="none" w:sz="0" w:space="0" w:color="auto"/>
      </w:divBdr>
    </w:div>
    <w:div w:id="234242108">
      <w:bodyDiv w:val="1"/>
      <w:marLeft w:val="0"/>
      <w:marRight w:val="0"/>
      <w:marTop w:val="0"/>
      <w:marBottom w:val="0"/>
      <w:divBdr>
        <w:top w:val="none" w:sz="0" w:space="0" w:color="auto"/>
        <w:left w:val="none" w:sz="0" w:space="0" w:color="auto"/>
        <w:bottom w:val="none" w:sz="0" w:space="0" w:color="auto"/>
        <w:right w:val="none" w:sz="0" w:space="0" w:color="auto"/>
      </w:divBdr>
    </w:div>
    <w:div w:id="242758817">
      <w:bodyDiv w:val="1"/>
      <w:marLeft w:val="0"/>
      <w:marRight w:val="0"/>
      <w:marTop w:val="0"/>
      <w:marBottom w:val="0"/>
      <w:divBdr>
        <w:top w:val="none" w:sz="0" w:space="0" w:color="auto"/>
        <w:left w:val="none" w:sz="0" w:space="0" w:color="auto"/>
        <w:bottom w:val="none" w:sz="0" w:space="0" w:color="auto"/>
        <w:right w:val="none" w:sz="0" w:space="0" w:color="auto"/>
      </w:divBdr>
    </w:div>
    <w:div w:id="249120474">
      <w:bodyDiv w:val="1"/>
      <w:marLeft w:val="0"/>
      <w:marRight w:val="0"/>
      <w:marTop w:val="0"/>
      <w:marBottom w:val="0"/>
      <w:divBdr>
        <w:top w:val="none" w:sz="0" w:space="0" w:color="auto"/>
        <w:left w:val="none" w:sz="0" w:space="0" w:color="auto"/>
        <w:bottom w:val="none" w:sz="0" w:space="0" w:color="auto"/>
        <w:right w:val="none" w:sz="0" w:space="0" w:color="auto"/>
      </w:divBdr>
    </w:div>
    <w:div w:id="261184882">
      <w:bodyDiv w:val="1"/>
      <w:marLeft w:val="0"/>
      <w:marRight w:val="0"/>
      <w:marTop w:val="0"/>
      <w:marBottom w:val="0"/>
      <w:divBdr>
        <w:top w:val="none" w:sz="0" w:space="0" w:color="auto"/>
        <w:left w:val="none" w:sz="0" w:space="0" w:color="auto"/>
        <w:bottom w:val="none" w:sz="0" w:space="0" w:color="auto"/>
        <w:right w:val="none" w:sz="0" w:space="0" w:color="auto"/>
      </w:divBdr>
    </w:div>
    <w:div w:id="263727284">
      <w:bodyDiv w:val="1"/>
      <w:marLeft w:val="0"/>
      <w:marRight w:val="0"/>
      <w:marTop w:val="0"/>
      <w:marBottom w:val="0"/>
      <w:divBdr>
        <w:top w:val="none" w:sz="0" w:space="0" w:color="auto"/>
        <w:left w:val="none" w:sz="0" w:space="0" w:color="auto"/>
        <w:bottom w:val="none" w:sz="0" w:space="0" w:color="auto"/>
        <w:right w:val="none" w:sz="0" w:space="0" w:color="auto"/>
      </w:divBdr>
      <w:divsChild>
        <w:div w:id="197671399">
          <w:marLeft w:val="0"/>
          <w:marRight w:val="0"/>
          <w:marTop w:val="0"/>
          <w:marBottom w:val="1125"/>
          <w:divBdr>
            <w:top w:val="none" w:sz="0" w:space="0" w:color="auto"/>
            <w:left w:val="none" w:sz="0" w:space="0" w:color="auto"/>
            <w:bottom w:val="single" w:sz="12" w:space="0" w:color="000000"/>
            <w:right w:val="none" w:sz="0" w:space="0" w:color="auto"/>
          </w:divBdr>
          <w:divsChild>
            <w:div w:id="447550032">
              <w:marLeft w:val="0"/>
              <w:marRight w:val="0"/>
              <w:marTop w:val="0"/>
              <w:marBottom w:val="0"/>
              <w:divBdr>
                <w:top w:val="none" w:sz="0" w:space="0" w:color="auto"/>
                <w:left w:val="none" w:sz="0" w:space="0" w:color="auto"/>
                <w:bottom w:val="none" w:sz="0" w:space="0" w:color="auto"/>
                <w:right w:val="none" w:sz="0" w:space="0" w:color="auto"/>
              </w:divBdr>
              <w:divsChild>
                <w:div w:id="9386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99798">
          <w:marLeft w:val="0"/>
          <w:marRight w:val="0"/>
          <w:marTop w:val="0"/>
          <w:marBottom w:val="1125"/>
          <w:divBdr>
            <w:top w:val="none" w:sz="0" w:space="0" w:color="auto"/>
            <w:left w:val="none" w:sz="0" w:space="0" w:color="auto"/>
            <w:bottom w:val="single" w:sz="12" w:space="0" w:color="000000"/>
            <w:right w:val="none" w:sz="0" w:space="0" w:color="auto"/>
          </w:divBdr>
          <w:divsChild>
            <w:div w:id="778574364">
              <w:marLeft w:val="0"/>
              <w:marRight w:val="0"/>
              <w:marTop w:val="0"/>
              <w:marBottom w:val="0"/>
              <w:divBdr>
                <w:top w:val="none" w:sz="0" w:space="0" w:color="auto"/>
                <w:left w:val="none" w:sz="0" w:space="0" w:color="auto"/>
                <w:bottom w:val="none" w:sz="0" w:space="0" w:color="auto"/>
                <w:right w:val="none" w:sz="0" w:space="0" w:color="auto"/>
              </w:divBdr>
              <w:divsChild>
                <w:div w:id="1875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4454">
          <w:marLeft w:val="0"/>
          <w:marRight w:val="0"/>
          <w:marTop w:val="0"/>
          <w:marBottom w:val="1125"/>
          <w:divBdr>
            <w:top w:val="none" w:sz="0" w:space="0" w:color="auto"/>
            <w:left w:val="none" w:sz="0" w:space="0" w:color="auto"/>
            <w:bottom w:val="single" w:sz="12" w:space="0" w:color="000000"/>
            <w:right w:val="none" w:sz="0" w:space="0" w:color="auto"/>
          </w:divBdr>
          <w:divsChild>
            <w:div w:id="708144177">
              <w:marLeft w:val="0"/>
              <w:marRight w:val="0"/>
              <w:marTop w:val="0"/>
              <w:marBottom w:val="0"/>
              <w:divBdr>
                <w:top w:val="none" w:sz="0" w:space="0" w:color="auto"/>
                <w:left w:val="none" w:sz="0" w:space="0" w:color="auto"/>
                <w:bottom w:val="none" w:sz="0" w:space="0" w:color="auto"/>
                <w:right w:val="none" w:sz="0" w:space="0" w:color="auto"/>
              </w:divBdr>
              <w:divsChild>
                <w:div w:id="12071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94156">
          <w:marLeft w:val="0"/>
          <w:marRight w:val="0"/>
          <w:marTop w:val="0"/>
          <w:marBottom w:val="1125"/>
          <w:divBdr>
            <w:top w:val="none" w:sz="0" w:space="0" w:color="auto"/>
            <w:left w:val="none" w:sz="0" w:space="0" w:color="auto"/>
            <w:bottom w:val="single" w:sz="12" w:space="0" w:color="000000"/>
            <w:right w:val="none" w:sz="0" w:space="0" w:color="auto"/>
          </w:divBdr>
          <w:divsChild>
            <w:div w:id="315646270">
              <w:marLeft w:val="0"/>
              <w:marRight w:val="0"/>
              <w:marTop w:val="0"/>
              <w:marBottom w:val="0"/>
              <w:divBdr>
                <w:top w:val="none" w:sz="0" w:space="0" w:color="auto"/>
                <w:left w:val="none" w:sz="0" w:space="0" w:color="auto"/>
                <w:bottom w:val="none" w:sz="0" w:space="0" w:color="auto"/>
                <w:right w:val="none" w:sz="0" w:space="0" w:color="auto"/>
              </w:divBdr>
              <w:divsChild>
                <w:div w:id="51566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0775">
          <w:marLeft w:val="0"/>
          <w:marRight w:val="0"/>
          <w:marTop w:val="0"/>
          <w:marBottom w:val="1125"/>
          <w:divBdr>
            <w:top w:val="none" w:sz="0" w:space="0" w:color="auto"/>
            <w:left w:val="none" w:sz="0" w:space="0" w:color="auto"/>
            <w:bottom w:val="single" w:sz="12" w:space="0" w:color="000000"/>
            <w:right w:val="none" w:sz="0" w:space="0" w:color="auto"/>
          </w:divBdr>
          <w:divsChild>
            <w:div w:id="85158688">
              <w:marLeft w:val="0"/>
              <w:marRight w:val="0"/>
              <w:marTop w:val="0"/>
              <w:marBottom w:val="0"/>
              <w:divBdr>
                <w:top w:val="none" w:sz="0" w:space="0" w:color="auto"/>
                <w:left w:val="none" w:sz="0" w:space="0" w:color="auto"/>
                <w:bottom w:val="none" w:sz="0" w:space="0" w:color="auto"/>
                <w:right w:val="none" w:sz="0" w:space="0" w:color="auto"/>
              </w:divBdr>
              <w:divsChild>
                <w:div w:id="15168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90205">
          <w:marLeft w:val="0"/>
          <w:marRight w:val="0"/>
          <w:marTop w:val="0"/>
          <w:marBottom w:val="1125"/>
          <w:divBdr>
            <w:top w:val="none" w:sz="0" w:space="0" w:color="auto"/>
            <w:left w:val="none" w:sz="0" w:space="0" w:color="auto"/>
            <w:bottom w:val="single" w:sz="12" w:space="0" w:color="000000"/>
            <w:right w:val="none" w:sz="0" w:space="0" w:color="auto"/>
          </w:divBdr>
          <w:divsChild>
            <w:div w:id="845167952">
              <w:marLeft w:val="0"/>
              <w:marRight w:val="0"/>
              <w:marTop w:val="0"/>
              <w:marBottom w:val="0"/>
              <w:divBdr>
                <w:top w:val="none" w:sz="0" w:space="0" w:color="auto"/>
                <w:left w:val="none" w:sz="0" w:space="0" w:color="auto"/>
                <w:bottom w:val="none" w:sz="0" w:space="0" w:color="auto"/>
                <w:right w:val="none" w:sz="0" w:space="0" w:color="auto"/>
              </w:divBdr>
              <w:divsChild>
                <w:div w:id="19929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0867">
          <w:marLeft w:val="0"/>
          <w:marRight w:val="0"/>
          <w:marTop w:val="0"/>
          <w:marBottom w:val="1125"/>
          <w:divBdr>
            <w:top w:val="none" w:sz="0" w:space="0" w:color="auto"/>
            <w:left w:val="none" w:sz="0" w:space="0" w:color="auto"/>
            <w:bottom w:val="single" w:sz="12" w:space="0" w:color="000000"/>
            <w:right w:val="none" w:sz="0" w:space="0" w:color="auto"/>
          </w:divBdr>
          <w:divsChild>
            <w:div w:id="1301691508">
              <w:marLeft w:val="0"/>
              <w:marRight w:val="0"/>
              <w:marTop w:val="0"/>
              <w:marBottom w:val="0"/>
              <w:divBdr>
                <w:top w:val="none" w:sz="0" w:space="0" w:color="auto"/>
                <w:left w:val="none" w:sz="0" w:space="0" w:color="auto"/>
                <w:bottom w:val="none" w:sz="0" w:space="0" w:color="auto"/>
                <w:right w:val="none" w:sz="0" w:space="0" w:color="auto"/>
              </w:divBdr>
              <w:divsChild>
                <w:div w:id="13218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9392">
          <w:marLeft w:val="0"/>
          <w:marRight w:val="0"/>
          <w:marTop w:val="0"/>
          <w:marBottom w:val="1125"/>
          <w:divBdr>
            <w:top w:val="none" w:sz="0" w:space="0" w:color="auto"/>
            <w:left w:val="none" w:sz="0" w:space="0" w:color="auto"/>
            <w:bottom w:val="single" w:sz="12" w:space="0" w:color="000000"/>
            <w:right w:val="none" w:sz="0" w:space="0" w:color="auto"/>
          </w:divBdr>
          <w:divsChild>
            <w:div w:id="150096420">
              <w:marLeft w:val="0"/>
              <w:marRight w:val="0"/>
              <w:marTop w:val="0"/>
              <w:marBottom w:val="0"/>
              <w:divBdr>
                <w:top w:val="none" w:sz="0" w:space="0" w:color="auto"/>
                <w:left w:val="none" w:sz="0" w:space="0" w:color="auto"/>
                <w:bottom w:val="none" w:sz="0" w:space="0" w:color="auto"/>
                <w:right w:val="none" w:sz="0" w:space="0" w:color="auto"/>
              </w:divBdr>
              <w:divsChild>
                <w:div w:id="14838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4888">
          <w:marLeft w:val="0"/>
          <w:marRight w:val="0"/>
          <w:marTop w:val="0"/>
          <w:marBottom w:val="1125"/>
          <w:divBdr>
            <w:top w:val="none" w:sz="0" w:space="0" w:color="auto"/>
            <w:left w:val="none" w:sz="0" w:space="0" w:color="auto"/>
            <w:bottom w:val="single" w:sz="12" w:space="0" w:color="000000"/>
            <w:right w:val="none" w:sz="0" w:space="0" w:color="auto"/>
          </w:divBdr>
          <w:divsChild>
            <w:div w:id="391268844">
              <w:marLeft w:val="0"/>
              <w:marRight w:val="0"/>
              <w:marTop w:val="0"/>
              <w:marBottom w:val="0"/>
              <w:divBdr>
                <w:top w:val="none" w:sz="0" w:space="0" w:color="auto"/>
                <w:left w:val="none" w:sz="0" w:space="0" w:color="auto"/>
                <w:bottom w:val="none" w:sz="0" w:space="0" w:color="auto"/>
                <w:right w:val="none" w:sz="0" w:space="0" w:color="auto"/>
              </w:divBdr>
              <w:divsChild>
                <w:div w:id="8607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08823">
          <w:marLeft w:val="0"/>
          <w:marRight w:val="0"/>
          <w:marTop w:val="0"/>
          <w:marBottom w:val="1125"/>
          <w:divBdr>
            <w:top w:val="none" w:sz="0" w:space="0" w:color="auto"/>
            <w:left w:val="none" w:sz="0" w:space="0" w:color="auto"/>
            <w:bottom w:val="single" w:sz="12" w:space="0" w:color="000000"/>
            <w:right w:val="none" w:sz="0" w:space="0" w:color="auto"/>
          </w:divBdr>
          <w:divsChild>
            <w:div w:id="654260044">
              <w:marLeft w:val="0"/>
              <w:marRight w:val="0"/>
              <w:marTop w:val="0"/>
              <w:marBottom w:val="0"/>
              <w:divBdr>
                <w:top w:val="none" w:sz="0" w:space="0" w:color="auto"/>
                <w:left w:val="none" w:sz="0" w:space="0" w:color="auto"/>
                <w:bottom w:val="none" w:sz="0" w:space="0" w:color="auto"/>
                <w:right w:val="none" w:sz="0" w:space="0" w:color="auto"/>
              </w:divBdr>
              <w:divsChild>
                <w:div w:id="1001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5027">
      <w:bodyDiv w:val="1"/>
      <w:marLeft w:val="0"/>
      <w:marRight w:val="0"/>
      <w:marTop w:val="0"/>
      <w:marBottom w:val="0"/>
      <w:divBdr>
        <w:top w:val="none" w:sz="0" w:space="0" w:color="auto"/>
        <w:left w:val="none" w:sz="0" w:space="0" w:color="auto"/>
        <w:bottom w:val="none" w:sz="0" w:space="0" w:color="auto"/>
        <w:right w:val="none" w:sz="0" w:space="0" w:color="auto"/>
      </w:divBdr>
    </w:div>
    <w:div w:id="268855354">
      <w:bodyDiv w:val="1"/>
      <w:marLeft w:val="0"/>
      <w:marRight w:val="0"/>
      <w:marTop w:val="0"/>
      <w:marBottom w:val="0"/>
      <w:divBdr>
        <w:top w:val="none" w:sz="0" w:space="0" w:color="auto"/>
        <w:left w:val="none" w:sz="0" w:space="0" w:color="auto"/>
        <w:bottom w:val="none" w:sz="0" w:space="0" w:color="auto"/>
        <w:right w:val="none" w:sz="0" w:space="0" w:color="auto"/>
      </w:divBdr>
    </w:div>
    <w:div w:id="272826537">
      <w:bodyDiv w:val="1"/>
      <w:marLeft w:val="0"/>
      <w:marRight w:val="0"/>
      <w:marTop w:val="0"/>
      <w:marBottom w:val="0"/>
      <w:divBdr>
        <w:top w:val="none" w:sz="0" w:space="0" w:color="auto"/>
        <w:left w:val="none" w:sz="0" w:space="0" w:color="auto"/>
        <w:bottom w:val="none" w:sz="0" w:space="0" w:color="auto"/>
        <w:right w:val="none" w:sz="0" w:space="0" w:color="auto"/>
      </w:divBdr>
    </w:div>
    <w:div w:id="279535266">
      <w:bodyDiv w:val="1"/>
      <w:marLeft w:val="0"/>
      <w:marRight w:val="0"/>
      <w:marTop w:val="0"/>
      <w:marBottom w:val="0"/>
      <w:divBdr>
        <w:top w:val="none" w:sz="0" w:space="0" w:color="auto"/>
        <w:left w:val="none" w:sz="0" w:space="0" w:color="auto"/>
        <w:bottom w:val="none" w:sz="0" w:space="0" w:color="auto"/>
        <w:right w:val="none" w:sz="0" w:space="0" w:color="auto"/>
      </w:divBdr>
    </w:div>
    <w:div w:id="285157463">
      <w:bodyDiv w:val="1"/>
      <w:marLeft w:val="0"/>
      <w:marRight w:val="0"/>
      <w:marTop w:val="0"/>
      <w:marBottom w:val="0"/>
      <w:divBdr>
        <w:top w:val="none" w:sz="0" w:space="0" w:color="auto"/>
        <w:left w:val="none" w:sz="0" w:space="0" w:color="auto"/>
        <w:bottom w:val="none" w:sz="0" w:space="0" w:color="auto"/>
        <w:right w:val="none" w:sz="0" w:space="0" w:color="auto"/>
      </w:divBdr>
    </w:div>
    <w:div w:id="287857068">
      <w:bodyDiv w:val="1"/>
      <w:marLeft w:val="0"/>
      <w:marRight w:val="0"/>
      <w:marTop w:val="0"/>
      <w:marBottom w:val="0"/>
      <w:divBdr>
        <w:top w:val="none" w:sz="0" w:space="0" w:color="auto"/>
        <w:left w:val="none" w:sz="0" w:space="0" w:color="auto"/>
        <w:bottom w:val="none" w:sz="0" w:space="0" w:color="auto"/>
        <w:right w:val="none" w:sz="0" w:space="0" w:color="auto"/>
      </w:divBdr>
    </w:div>
    <w:div w:id="291519351">
      <w:bodyDiv w:val="1"/>
      <w:marLeft w:val="0"/>
      <w:marRight w:val="0"/>
      <w:marTop w:val="0"/>
      <w:marBottom w:val="0"/>
      <w:divBdr>
        <w:top w:val="none" w:sz="0" w:space="0" w:color="auto"/>
        <w:left w:val="none" w:sz="0" w:space="0" w:color="auto"/>
        <w:bottom w:val="none" w:sz="0" w:space="0" w:color="auto"/>
        <w:right w:val="none" w:sz="0" w:space="0" w:color="auto"/>
      </w:divBdr>
    </w:div>
    <w:div w:id="291905910">
      <w:bodyDiv w:val="1"/>
      <w:marLeft w:val="0"/>
      <w:marRight w:val="0"/>
      <w:marTop w:val="0"/>
      <w:marBottom w:val="0"/>
      <w:divBdr>
        <w:top w:val="none" w:sz="0" w:space="0" w:color="auto"/>
        <w:left w:val="none" w:sz="0" w:space="0" w:color="auto"/>
        <w:bottom w:val="none" w:sz="0" w:space="0" w:color="auto"/>
        <w:right w:val="none" w:sz="0" w:space="0" w:color="auto"/>
      </w:divBdr>
    </w:div>
    <w:div w:id="293340078">
      <w:bodyDiv w:val="1"/>
      <w:marLeft w:val="0"/>
      <w:marRight w:val="0"/>
      <w:marTop w:val="0"/>
      <w:marBottom w:val="0"/>
      <w:divBdr>
        <w:top w:val="none" w:sz="0" w:space="0" w:color="auto"/>
        <w:left w:val="none" w:sz="0" w:space="0" w:color="auto"/>
        <w:bottom w:val="none" w:sz="0" w:space="0" w:color="auto"/>
        <w:right w:val="none" w:sz="0" w:space="0" w:color="auto"/>
      </w:divBdr>
      <w:divsChild>
        <w:div w:id="1341354005">
          <w:marLeft w:val="0"/>
          <w:marRight w:val="0"/>
          <w:marTop w:val="0"/>
          <w:marBottom w:val="0"/>
          <w:divBdr>
            <w:top w:val="none" w:sz="0" w:space="0" w:color="auto"/>
            <w:left w:val="none" w:sz="0" w:space="0" w:color="auto"/>
            <w:bottom w:val="none" w:sz="0" w:space="0" w:color="auto"/>
            <w:right w:val="none" w:sz="0" w:space="0" w:color="auto"/>
          </w:divBdr>
        </w:div>
      </w:divsChild>
    </w:div>
    <w:div w:id="294020213">
      <w:bodyDiv w:val="1"/>
      <w:marLeft w:val="0"/>
      <w:marRight w:val="0"/>
      <w:marTop w:val="0"/>
      <w:marBottom w:val="0"/>
      <w:divBdr>
        <w:top w:val="none" w:sz="0" w:space="0" w:color="auto"/>
        <w:left w:val="none" w:sz="0" w:space="0" w:color="auto"/>
        <w:bottom w:val="none" w:sz="0" w:space="0" w:color="auto"/>
        <w:right w:val="none" w:sz="0" w:space="0" w:color="auto"/>
      </w:divBdr>
    </w:div>
    <w:div w:id="302200162">
      <w:bodyDiv w:val="1"/>
      <w:marLeft w:val="0"/>
      <w:marRight w:val="0"/>
      <w:marTop w:val="0"/>
      <w:marBottom w:val="0"/>
      <w:divBdr>
        <w:top w:val="none" w:sz="0" w:space="0" w:color="auto"/>
        <w:left w:val="none" w:sz="0" w:space="0" w:color="auto"/>
        <w:bottom w:val="none" w:sz="0" w:space="0" w:color="auto"/>
        <w:right w:val="none" w:sz="0" w:space="0" w:color="auto"/>
      </w:divBdr>
    </w:div>
    <w:div w:id="302734894">
      <w:bodyDiv w:val="1"/>
      <w:marLeft w:val="0"/>
      <w:marRight w:val="0"/>
      <w:marTop w:val="0"/>
      <w:marBottom w:val="0"/>
      <w:divBdr>
        <w:top w:val="none" w:sz="0" w:space="0" w:color="auto"/>
        <w:left w:val="none" w:sz="0" w:space="0" w:color="auto"/>
        <w:bottom w:val="none" w:sz="0" w:space="0" w:color="auto"/>
        <w:right w:val="none" w:sz="0" w:space="0" w:color="auto"/>
      </w:divBdr>
    </w:div>
    <w:div w:id="305476705">
      <w:bodyDiv w:val="1"/>
      <w:marLeft w:val="0"/>
      <w:marRight w:val="0"/>
      <w:marTop w:val="0"/>
      <w:marBottom w:val="0"/>
      <w:divBdr>
        <w:top w:val="none" w:sz="0" w:space="0" w:color="auto"/>
        <w:left w:val="none" w:sz="0" w:space="0" w:color="auto"/>
        <w:bottom w:val="none" w:sz="0" w:space="0" w:color="auto"/>
        <w:right w:val="none" w:sz="0" w:space="0" w:color="auto"/>
      </w:divBdr>
    </w:div>
    <w:div w:id="308942874">
      <w:bodyDiv w:val="1"/>
      <w:marLeft w:val="0"/>
      <w:marRight w:val="0"/>
      <w:marTop w:val="0"/>
      <w:marBottom w:val="0"/>
      <w:divBdr>
        <w:top w:val="none" w:sz="0" w:space="0" w:color="auto"/>
        <w:left w:val="none" w:sz="0" w:space="0" w:color="auto"/>
        <w:bottom w:val="none" w:sz="0" w:space="0" w:color="auto"/>
        <w:right w:val="none" w:sz="0" w:space="0" w:color="auto"/>
      </w:divBdr>
    </w:div>
    <w:div w:id="309288091">
      <w:bodyDiv w:val="1"/>
      <w:marLeft w:val="0"/>
      <w:marRight w:val="0"/>
      <w:marTop w:val="0"/>
      <w:marBottom w:val="0"/>
      <w:divBdr>
        <w:top w:val="none" w:sz="0" w:space="0" w:color="auto"/>
        <w:left w:val="none" w:sz="0" w:space="0" w:color="auto"/>
        <w:bottom w:val="none" w:sz="0" w:space="0" w:color="auto"/>
        <w:right w:val="none" w:sz="0" w:space="0" w:color="auto"/>
      </w:divBdr>
    </w:div>
    <w:div w:id="309555554">
      <w:bodyDiv w:val="1"/>
      <w:marLeft w:val="0"/>
      <w:marRight w:val="0"/>
      <w:marTop w:val="0"/>
      <w:marBottom w:val="0"/>
      <w:divBdr>
        <w:top w:val="none" w:sz="0" w:space="0" w:color="auto"/>
        <w:left w:val="none" w:sz="0" w:space="0" w:color="auto"/>
        <w:bottom w:val="none" w:sz="0" w:space="0" w:color="auto"/>
        <w:right w:val="none" w:sz="0" w:space="0" w:color="auto"/>
      </w:divBdr>
    </w:div>
    <w:div w:id="313143053">
      <w:bodyDiv w:val="1"/>
      <w:marLeft w:val="0"/>
      <w:marRight w:val="0"/>
      <w:marTop w:val="0"/>
      <w:marBottom w:val="0"/>
      <w:divBdr>
        <w:top w:val="none" w:sz="0" w:space="0" w:color="auto"/>
        <w:left w:val="none" w:sz="0" w:space="0" w:color="auto"/>
        <w:bottom w:val="none" w:sz="0" w:space="0" w:color="auto"/>
        <w:right w:val="none" w:sz="0" w:space="0" w:color="auto"/>
      </w:divBdr>
    </w:div>
    <w:div w:id="313264388">
      <w:bodyDiv w:val="1"/>
      <w:marLeft w:val="0"/>
      <w:marRight w:val="0"/>
      <w:marTop w:val="0"/>
      <w:marBottom w:val="0"/>
      <w:divBdr>
        <w:top w:val="none" w:sz="0" w:space="0" w:color="auto"/>
        <w:left w:val="none" w:sz="0" w:space="0" w:color="auto"/>
        <w:bottom w:val="none" w:sz="0" w:space="0" w:color="auto"/>
        <w:right w:val="none" w:sz="0" w:space="0" w:color="auto"/>
      </w:divBdr>
    </w:div>
    <w:div w:id="313490849">
      <w:bodyDiv w:val="1"/>
      <w:marLeft w:val="0"/>
      <w:marRight w:val="0"/>
      <w:marTop w:val="0"/>
      <w:marBottom w:val="0"/>
      <w:divBdr>
        <w:top w:val="none" w:sz="0" w:space="0" w:color="auto"/>
        <w:left w:val="none" w:sz="0" w:space="0" w:color="auto"/>
        <w:bottom w:val="none" w:sz="0" w:space="0" w:color="auto"/>
        <w:right w:val="none" w:sz="0" w:space="0" w:color="auto"/>
      </w:divBdr>
    </w:div>
    <w:div w:id="324170515">
      <w:bodyDiv w:val="1"/>
      <w:marLeft w:val="0"/>
      <w:marRight w:val="0"/>
      <w:marTop w:val="0"/>
      <w:marBottom w:val="0"/>
      <w:divBdr>
        <w:top w:val="none" w:sz="0" w:space="0" w:color="auto"/>
        <w:left w:val="none" w:sz="0" w:space="0" w:color="auto"/>
        <w:bottom w:val="none" w:sz="0" w:space="0" w:color="auto"/>
        <w:right w:val="none" w:sz="0" w:space="0" w:color="auto"/>
      </w:divBdr>
    </w:div>
    <w:div w:id="326175275">
      <w:bodyDiv w:val="1"/>
      <w:marLeft w:val="0"/>
      <w:marRight w:val="0"/>
      <w:marTop w:val="0"/>
      <w:marBottom w:val="0"/>
      <w:divBdr>
        <w:top w:val="none" w:sz="0" w:space="0" w:color="auto"/>
        <w:left w:val="none" w:sz="0" w:space="0" w:color="auto"/>
        <w:bottom w:val="none" w:sz="0" w:space="0" w:color="auto"/>
        <w:right w:val="none" w:sz="0" w:space="0" w:color="auto"/>
      </w:divBdr>
    </w:div>
    <w:div w:id="329677964">
      <w:bodyDiv w:val="1"/>
      <w:marLeft w:val="0"/>
      <w:marRight w:val="0"/>
      <w:marTop w:val="0"/>
      <w:marBottom w:val="0"/>
      <w:divBdr>
        <w:top w:val="none" w:sz="0" w:space="0" w:color="auto"/>
        <w:left w:val="none" w:sz="0" w:space="0" w:color="auto"/>
        <w:bottom w:val="none" w:sz="0" w:space="0" w:color="auto"/>
        <w:right w:val="none" w:sz="0" w:space="0" w:color="auto"/>
      </w:divBdr>
    </w:div>
    <w:div w:id="333924070">
      <w:bodyDiv w:val="1"/>
      <w:marLeft w:val="0"/>
      <w:marRight w:val="0"/>
      <w:marTop w:val="0"/>
      <w:marBottom w:val="0"/>
      <w:divBdr>
        <w:top w:val="none" w:sz="0" w:space="0" w:color="auto"/>
        <w:left w:val="none" w:sz="0" w:space="0" w:color="auto"/>
        <w:bottom w:val="none" w:sz="0" w:space="0" w:color="auto"/>
        <w:right w:val="none" w:sz="0" w:space="0" w:color="auto"/>
      </w:divBdr>
    </w:div>
    <w:div w:id="335617490">
      <w:bodyDiv w:val="1"/>
      <w:marLeft w:val="0"/>
      <w:marRight w:val="0"/>
      <w:marTop w:val="0"/>
      <w:marBottom w:val="0"/>
      <w:divBdr>
        <w:top w:val="none" w:sz="0" w:space="0" w:color="auto"/>
        <w:left w:val="none" w:sz="0" w:space="0" w:color="auto"/>
        <w:bottom w:val="none" w:sz="0" w:space="0" w:color="auto"/>
        <w:right w:val="none" w:sz="0" w:space="0" w:color="auto"/>
      </w:divBdr>
    </w:div>
    <w:div w:id="337470353">
      <w:bodyDiv w:val="1"/>
      <w:marLeft w:val="0"/>
      <w:marRight w:val="0"/>
      <w:marTop w:val="0"/>
      <w:marBottom w:val="0"/>
      <w:divBdr>
        <w:top w:val="none" w:sz="0" w:space="0" w:color="auto"/>
        <w:left w:val="none" w:sz="0" w:space="0" w:color="auto"/>
        <w:bottom w:val="none" w:sz="0" w:space="0" w:color="auto"/>
        <w:right w:val="none" w:sz="0" w:space="0" w:color="auto"/>
      </w:divBdr>
    </w:div>
    <w:div w:id="345064656">
      <w:bodyDiv w:val="1"/>
      <w:marLeft w:val="0"/>
      <w:marRight w:val="0"/>
      <w:marTop w:val="0"/>
      <w:marBottom w:val="0"/>
      <w:divBdr>
        <w:top w:val="none" w:sz="0" w:space="0" w:color="auto"/>
        <w:left w:val="none" w:sz="0" w:space="0" w:color="auto"/>
        <w:bottom w:val="none" w:sz="0" w:space="0" w:color="auto"/>
        <w:right w:val="none" w:sz="0" w:space="0" w:color="auto"/>
      </w:divBdr>
      <w:divsChild>
        <w:div w:id="777288803">
          <w:marLeft w:val="0"/>
          <w:marRight w:val="0"/>
          <w:marTop w:val="0"/>
          <w:marBottom w:val="0"/>
          <w:divBdr>
            <w:top w:val="none" w:sz="0" w:space="0" w:color="auto"/>
            <w:left w:val="none" w:sz="0" w:space="0" w:color="auto"/>
            <w:bottom w:val="none" w:sz="0" w:space="0" w:color="auto"/>
            <w:right w:val="none" w:sz="0" w:space="0" w:color="auto"/>
          </w:divBdr>
          <w:divsChild>
            <w:div w:id="801112932">
              <w:marLeft w:val="0"/>
              <w:marRight w:val="0"/>
              <w:marTop w:val="0"/>
              <w:marBottom w:val="0"/>
              <w:divBdr>
                <w:top w:val="none" w:sz="0" w:space="0" w:color="auto"/>
                <w:left w:val="none" w:sz="0" w:space="0" w:color="auto"/>
                <w:bottom w:val="none" w:sz="0" w:space="0" w:color="auto"/>
                <w:right w:val="none" w:sz="0" w:space="0" w:color="auto"/>
              </w:divBdr>
              <w:divsChild>
                <w:div w:id="598563684">
                  <w:marLeft w:val="0"/>
                  <w:marRight w:val="0"/>
                  <w:marTop w:val="0"/>
                  <w:marBottom w:val="0"/>
                  <w:divBdr>
                    <w:top w:val="none" w:sz="0" w:space="0" w:color="auto"/>
                    <w:left w:val="none" w:sz="0" w:space="0" w:color="auto"/>
                    <w:bottom w:val="none" w:sz="0" w:space="0" w:color="auto"/>
                    <w:right w:val="none" w:sz="0" w:space="0" w:color="auto"/>
                  </w:divBdr>
                  <w:divsChild>
                    <w:div w:id="428280305">
                      <w:marLeft w:val="0"/>
                      <w:marRight w:val="0"/>
                      <w:marTop w:val="0"/>
                      <w:marBottom w:val="0"/>
                      <w:divBdr>
                        <w:top w:val="none" w:sz="0" w:space="0" w:color="auto"/>
                        <w:left w:val="none" w:sz="0" w:space="0" w:color="auto"/>
                        <w:bottom w:val="none" w:sz="0" w:space="0" w:color="auto"/>
                        <w:right w:val="none" w:sz="0" w:space="0" w:color="auto"/>
                      </w:divBdr>
                      <w:divsChild>
                        <w:div w:id="292759996">
                          <w:marLeft w:val="0"/>
                          <w:marRight w:val="0"/>
                          <w:marTop w:val="0"/>
                          <w:marBottom w:val="0"/>
                          <w:divBdr>
                            <w:top w:val="none" w:sz="0" w:space="0" w:color="auto"/>
                            <w:left w:val="none" w:sz="0" w:space="0" w:color="auto"/>
                            <w:bottom w:val="none" w:sz="0" w:space="0" w:color="auto"/>
                            <w:right w:val="none" w:sz="0" w:space="0" w:color="auto"/>
                          </w:divBdr>
                        </w:div>
                        <w:div w:id="1856572164">
                          <w:marLeft w:val="0"/>
                          <w:marRight w:val="0"/>
                          <w:marTop w:val="0"/>
                          <w:marBottom w:val="0"/>
                          <w:divBdr>
                            <w:top w:val="none" w:sz="0" w:space="0" w:color="auto"/>
                            <w:left w:val="none" w:sz="0" w:space="0" w:color="auto"/>
                            <w:bottom w:val="none" w:sz="0" w:space="0" w:color="auto"/>
                            <w:right w:val="none" w:sz="0" w:space="0" w:color="auto"/>
                          </w:divBdr>
                          <w:divsChild>
                            <w:div w:id="8810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0669">
                      <w:marLeft w:val="0"/>
                      <w:marRight w:val="0"/>
                      <w:marTop w:val="300"/>
                      <w:marBottom w:val="0"/>
                      <w:divBdr>
                        <w:top w:val="none" w:sz="0" w:space="0" w:color="auto"/>
                        <w:left w:val="none" w:sz="0" w:space="0" w:color="auto"/>
                        <w:bottom w:val="none" w:sz="0" w:space="0" w:color="auto"/>
                        <w:right w:val="none" w:sz="0" w:space="0" w:color="auto"/>
                      </w:divBdr>
                      <w:divsChild>
                        <w:div w:id="300309427">
                          <w:marLeft w:val="0"/>
                          <w:marRight w:val="0"/>
                          <w:marTop w:val="0"/>
                          <w:marBottom w:val="0"/>
                          <w:divBdr>
                            <w:top w:val="none" w:sz="0" w:space="0" w:color="auto"/>
                            <w:left w:val="none" w:sz="0" w:space="0" w:color="auto"/>
                            <w:bottom w:val="none" w:sz="0" w:space="0" w:color="auto"/>
                            <w:right w:val="none" w:sz="0" w:space="0" w:color="auto"/>
                          </w:divBdr>
                          <w:divsChild>
                            <w:div w:id="15240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442424">
      <w:bodyDiv w:val="1"/>
      <w:marLeft w:val="0"/>
      <w:marRight w:val="0"/>
      <w:marTop w:val="0"/>
      <w:marBottom w:val="0"/>
      <w:divBdr>
        <w:top w:val="none" w:sz="0" w:space="0" w:color="auto"/>
        <w:left w:val="none" w:sz="0" w:space="0" w:color="auto"/>
        <w:bottom w:val="none" w:sz="0" w:space="0" w:color="auto"/>
        <w:right w:val="none" w:sz="0" w:space="0" w:color="auto"/>
      </w:divBdr>
    </w:div>
    <w:div w:id="350954759">
      <w:bodyDiv w:val="1"/>
      <w:marLeft w:val="0"/>
      <w:marRight w:val="0"/>
      <w:marTop w:val="0"/>
      <w:marBottom w:val="0"/>
      <w:divBdr>
        <w:top w:val="none" w:sz="0" w:space="0" w:color="auto"/>
        <w:left w:val="none" w:sz="0" w:space="0" w:color="auto"/>
        <w:bottom w:val="none" w:sz="0" w:space="0" w:color="auto"/>
        <w:right w:val="none" w:sz="0" w:space="0" w:color="auto"/>
      </w:divBdr>
    </w:div>
    <w:div w:id="353383981">
      <w:bodyDiv w:val="1"/>
      <w:marLeft w:val="0"/>
      <w:marRight w:val="0"/>
      <w:marTop w:val="0"/>
      <w:marBottom w:val="0"/>
      <w:divBdr>
        <w:top w:val="none" w:sz="0" w:space="0" w:color="auto"/>
        <w:left w:val="none" w:sz="0" w:space="0" w:color="auto"/>
        <w:bottom w:val="none" w:sz="0" w:space="0" w:color="auto"/>
        <w:right w:val="none" w:sz="0" w:space="0" w:color="auto"/>
      </w:divBdr>
    </w:div>
    <w:div w:id="365444024">
      <w:bodyDiv w:val="1"/>
      <w:marLeft w:val="0"/>
      <w:marRight w:val="0"/>
      <w:marTop w:val="0"/>
      <w:marBottom w:val="0"/>
      <w:divBdr>
        <w:top w:val="none" w:sz="0" w:space="0" w:color="auto"/>
        <w:left w:val="none" w:sz="0" w:space="0" w:color="auto"/>
        <w:bottom w:val="none" w:sz="0" w:space="0" w:color="auto"/>
        <w:right w:val="none" w:sz="0" w:space="0" w:color="auto"/>
      </w:divBdr>
    </w:div>
    <w:div w:id="375661416">
      <w:bodyDiv w:val="1"/>
      <w:marLeft w:val="0"/>
      <w:marRight w:val="0"/>
      <w:marTop w:val="0"/>
      <w:marBottom w:val="0"/>
      <w:divBdr>
        <w:top w:val="none" w:sz="0" w:space="0" w:color="auto"/>
        <w:left w:val="none" w:sz="0" w:space="0" w:color="auto"/>
        <w:bottom w:val="none" w:sz="0" w:space="0" w:color="auto"/>
        <w:right w:val="none" w:sz="0" w:space="0" w:color="auto"/>
      </w:divBdr>
      <w:divsChild>
        <w:div w:id="224874329">
          <w:marLeft w:val="0"/>
          <w:marRight w:val="0"/>
          <w:marTop w:val="0"/>
          <w:marBottom w:val="0"/>
          <w:divBdr>
            <w:top w:val="none" w:sz="0" w:space="0" w:color="auto"/>
            <w:left w:val="none" w:sz="0" w:space="0" w:color="auto"/>
            <w:bottom w:val="none" w:sz="0" w:space="0" w:color="auto"/>
            <w:right w:val="none" w:sz="0" w:space="0" w:color="auto"/>
          </w:divBdr>
          <w:divsChild>
            <w:div w:id="2000305353">
              <w:marLeft w:val="0"/>
              <w:marRight w:val="0"/>
              <w:marTop w:val="0"/>
              <w:marBottom w:val="0"/>
              <w:divBdr>
                <w:top w:val="none" w:sz="0" w:space="0" w:color="auto"/>
                <w:left w:val="none" w:sz="0" w:space="0" w:color="auto"/>
                <w:bottom w:val="none" w:sz="0" w:space="0" w:color="auto"/>
                <w:right w:val="none" w:sz="0" w:space="0" w:color="auto"/>
              </w:divBdr>
              <w:divsChild>
                <w:div w:id="2108648732">
                  <w:marLeft w:val="0"/>
                  <w:marRight w:val="0"/>
                  <w:marTop w:val="0"/>
                  <w:marBottom w:val="0"/>
                  <w:divBdr>
                    <w:top w:val="none" w:sz="0" w:space="0" w:color="auto"/>
                    <w:left w:val="none" w:sz="0" w:space="0" w:color="auto"/>
                    <w:bottom w:val="none" w:sz="0" w:space="0" w:color="auto"/>
                    <w:right w:val="none" w:sz="0" w:space="0" w:color="auto"/>
                  </w:divBdr>
                  <w:divsChild>
                    <w:div w:id="1127316674">
                      <w:marLeft w:val="0"/>
                      <w:marRight w:val="0"/>
                      <w:marTop w:val="0"/>
                      <w:marBottom w:val="0"/>
                      <w:divBdr>
                        <w:top w:val="none" w:sz="0" w:space="0" w:color="auto"/>
                        <w:left w:val="none" w:sz="0" w:space="0" w:color="auto"/>
                        <w:bottom w:val="none" w:sz="0" w:space="0" w:color="auto"/>
                        <w:right w:val="none" w:sz="0" w:space="0" w:color="auto"/>
                      </w:divBdr>
                      <w:divsChild>
                        <w:div w:id="585505528">
                          <w:marLeft w:val="0"/>
                          <w:marRight w:val="0"/>
                          <w:marTop w:val="0"/>
                          <w:marBottom w:val="0"/>
                          <w:divBdr>
                            <w:top w:val="none" w:sz="0" w:space="0" w:color="auto"/>
                            <w:left w:val="none" w:sz="0" w:space="0" w:color="auto"/>
                            <w:bottom w:val="none" w:sz="0" w:space="0" w:color="auto"/>
                            <w:right w:val="none" w:sz="0" w:space="0" w:color="auto"/>
                          </w:divBdr>
                        </w:div>
                        <w:div w:id="1768187536">
                          <w:marLeft w:val="0"/>
                          <w:marRight w:val="0"/>
                          <w:marTop w:val="0"/>
                          <w:marBottom w:val="0"/>
                          <w:divBdr>
                            <w:top w:val="none" w:sz="0" w:space="0" w:color="auto"/>
                            <w:left w:val="none" w:sz="0" w:space="0" w:color="auto"/>
                            <w:bottom w:val="none" w:sz="0" w:space="0" w:color="auto"/>
                            <w:right w:val="none" w:sz="0" w:space="0" w:color="auto"/>
                          </w:divBdr>
                          <w:divsChild>
                            <w:div w:id="524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77128">
                      <w:marLeft w:val="0"/>
                      <w:marRight w:val="0"/>
                      <w:marTop w:val="0"/>
                      <w:marBottom w:val="0"/>
                      <w:divBdr>
                        <w:top w:val="none" w:sz="0" w:space="0" w:color="auto"/>
                        <w:left w:val="none" w:sz="0" w:space="0" w:color="auto"/>
                        <w:bottom w:val="none" w:sz="0" w:space="0" w:color="auto"/>
                        <w:right w:val="none" w:sz="0" w:space="0" w:color="auto"/>
                      </w:divBdr>
                      <w:divsChild>
                        <w:div w:id="1012604079">
                          <w:marLeft w:val="0"/>
                          <w:marRight w:val="0"/>
                          <w:marTop w:val="0"/>
                          <w:marBottom w:val="0"/>
                          <w:divBdr>
                            <w:top w:val="none" w:sz="0" w:space="0" w:color="auto"/>
                            <w:left w:val="none" w:sz="0" w:space="0" w:color="auto"/>
                            <w:bottom w:val="none" w:sz="0" w:space="0" w:color="auto"/>
                            <w:right w:val="none" w:sz="0" w:space="0" w:color="auto"/>
                          </w:divBdr>
                          <w:divsChild>
                            <w:div w:id="32732480">
                              <w:marLeft w:val="0"/>
                              <w:marRight w:val="0"/>
                              <w:marTop w:val="0"/>
                              <w:marBottom w:val="0"/>
                              <w:divBdr>
                                <w:top w:val="none" w:sz="0" w:space="0" w:color="auto"/>
                                <w:left w:val="none" w:sz="0" w:space="0" w:color="auto"/>
                                <w:bottom w:val="none" w:sz="0" w:space="0" w:color="auto"/>
                                <w:right w:val="none" w:sz="0" w:space="0" w:color="auto"/>
                              </w:divBdr>
                              <w:divsChild>
                                <w:div w:id="1690988525">
                                  <w:marLeft w:val="0"/>
                                  <w:marRight w:val="0"/>
                                  <w:marTop w:val="0"/>
                                  <w:marBottom w:val="0"/>
                                  <w:divBdr>
                                    <w:top w:val="none" w:sz="0" w:space="0" w:color="auto"/>
                                    <w:left w:val="none" w:sz="0" w:space="0" w:color="auto"/>
                                    <w:bottom w:val="none" w:sz="0" w:space="0" w:color="auto"/>
                                    <w:right w:val="none" w:sz="0" w:space="0" w:color="auto"/>
                                  </w:divBdr>
                                  <w:divsChild>
                                    <w:div w:id="1596355104">
                                      <w:marLeft w:val="0"/>
                                      <w:marRight w:val="0"/>
                                      <w:marTop w:val="0"/>
                                      <w:marBottom w:val="0"/>
                                      <w:divBdr>
                                        <w:top w:val="none" w:sz="0" w:space="0" w:color="auto"/>
                                        <w:left w:val="none" w:sz="0" w:space="0" w:color="auto"/>
                                        <w:bottom w:val="none" w:sz="0" w:space="0" w:color="auto"/>
                                        <w:right w:val="none" w:sz="0" w:space="0" w:color="auto"/>
                                      </w:divBdr>
                                      <w:divsChild>
                                        <w:div w:id="1637180495">
                                          <w:marLeft w:val="0"/>
                                          <w:marRight w:val="0"/>
                                          <w:marTop w:val="0"/>
                                          <w:marBottom w:val="0"/>
                                          <w:divBdr>
                                            <w:top w:val="none" w:sz="0" w:space="0" w:color="auto"/>
                                            <w:left w:val="none" w:sz="0" w:space="0" w:color="auto"/>
                                            <w:bottom w:val="none" w:sz="0" w:space="0" w:color="auto"/>
                                            <w:right w:val="none" w:sz="0" w:space="0" w:color="auto"/>
                                          </w:divBdr>
                                          <w:divsChild>
                                            <w:div w:id="14558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108261">
                      <w:marLeft w:val="0"/>
                      <w:marRight w:val="0"/>
                      <w:marTop w:val="150"/>
                      <w:marBottom w:val="150"/>
                      <w:divBdr>
                        <w:top w:val="none" w:sz="0" w:space="0" w:color="auto"/>
                        <w:left w:val="none" w:sz="0" w:space="0" w:color="auto"/>
                        <w:bottom w:val="none" w:sz="0" w:space="0" w:color="auto"/>
                        <w:right w:val="none" w:sz="0" w:space="0" w:color="auto"/>
                      </w:divBdr>
                      <w:divsChild>
                        <w:div w:id="119038709">
                          <w:marLeft w:val="0"/>
                          <w:marRight w:val="0"/>
                          <w:marTop w:val="0"/>
                          <w:marBottom w:val="0"/>
                          <w:divBdr>
                            <w:top w:val="none" w:sz="0" w:space="0" w:color="auto"/>
                            <w:left w:val="none" w:sz="0" w:space="0" w:color="auto"/>
                            <w:bottom w:val="none" w:sz="0" w:space="0" w:color="auto"/>
                            <w:right w:val="none" w:sz="0" w:space="0" w:color="auto"/>
                          </w:divBdr>
                        </w:div>
                        <w:div w:id="757944139">
                          <w:marLeft w:val="0"/>
                          <w:marRight w:val="0"/>
                          <w:marTop w:val="0"/>
                          <w:marBottom w:val="0"/>
                          <w:divBdr>
                            <w:top w:val="none" w:sz="0" w:space="0" w:color="auto"/>
                            <w:left w:val="none" w:sz="0" w:space="0" w:color="auto"/>
                            <w:bottom w:val="none" w:sz="0" w:space="0" w:color="auto"/>
                            <w:right w:val="none" w:sz="0" w:space="0" w:color="auto"/>
                          </w:divBdr>
                          <w:divsChild>
                            <w:div w:id="19378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4199">
                      <w:marLeft w:val="0"/>
                      <w:marRight w:val="0"/>
                      <w:marTop w:val="300"/>
                      <w:marBottom w:val="0"/>
                      <w:divBdr>
                        <w:top w:val="none" w:sz="0" w:space="0" w:color="auto"/>
                        <w:left w:val="none" w:sz="0" w:space="0" w:color="auto"/>
                        <w:bottom w:val="none" w:sz="0" w:space="0" w:color="auto"/>
                        <w:right w:val="none" w:sz="0" w:space="0" w:color="auto"/>
                      </w:divBdr>
                      <w:divsChild>
                        <w:div w:id="333651000">
                          <w:marLeft w:val="0"/>
                          <w:marRight w:val="0"/>
                          <w:marTop w:val="0"/>
                          <w:marBottom w:val="0"/>
                          <w:divBdr>
                            <w:top w:val="none" w:sz="0" w:space="0" w:color="auto"/>
                            <w:left w:val="none" w:sz="0" w:space="0" w:color="auto"/>
                            <w:bottom w:val="none" w:sz="0" w:space="0" w:color="auto"/>
                            <w:right w:val="none" w:sz="0" w:space="0" w:color="auto"/>
                          </w:divBdr>
                          <w:divsChild>
                            <w:div w:id="15942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593257">
      <w:bodyDiv w:val="1"/>
      <w:marLeft w:val="0"/>
      <w:marRight w:val="0"/>
      <w:marTop w:val="0"/>
      <w:marBottom w:val="0"/>
      <w:divBdr>
        <w:top w:val="none" w:sz="0" w:space="0" w:color="auto"/>
        <w:left w:val="none" w:sz="0" w:space="0" w:color="auto"/>
        <w:bottom w:val="none" w:sz="0" w:space="0" w:color="auto"/>
        <w:right w:val="none" w:sz="0" w:space="0" w:color="auto"/>
      </w:divBdr>
    </w:div>
    <w:div w:id="377631773">
      <w:bodyDiv w:val="1"/>
      <w:marLeft w:val="0"/>
      <w:marRight w:val="0"/>
      <w:marTop w:val="0"/>
      <w:marBottom w:val="0"/>
      <w:divBdr>
        <w:top w:val="none" w:sz="0" w:space="0" w:color="auto"/>
        <w:left w:val="none" w:sz="0" w:space="0" w:color="auto"/>
        <w:bottom w:val="none" w:sz="0" w:space="0" w:color="auto"/>
        <w:right w:val="none" w:sz="0" w:space="0" w:color="auto"/>
      </w:divBdr>
    </w:div>
    <w:div w:id="381175929">
      <w:bodyDiv w:val="1"/>
      <w:marLeft w:val="0"/>
      <w:marRight w:val="0"/>
      <w:marTop w:val="0"/>
      <w:marBottom w:val="0"/>
      <w:divBdr>
        <w:top w:val="none" w:sz="0" w:space="0" w:color="auto"/>
        <w:left w:val="none" w:sz="0" w:space="0" w:color="auto"/>
        <w:bottom w:val="none" w:sz="0" w:space="0" w:color="auto"/>
        <w:right w:val="none" w:sz="0" w:space="0" w:color="auto"/>
      </w:divBdr>
      <w:divsChild>
        <w:div w:id="1035692301">
          <w:marLeft w:val="0"/>
          <w:marRight w:val="0"/>
          <w:marTop w:val="300"/>
          <w:marBottom w:val="0"/>
          <w:divBdr>
            <w:top w:val="none" w:sz="0" w:space="0" w:color="auto"/>
            <w:left w:val="none" w:sz="0" w:space="0" w:color="auto"/>
            <w:bottom w:val="none" w:sz="0" w:space="0" w:color="auto"/>
            <w:right w:val="none" w:sz="0" w:space="0" w:color="auto"/>
          </w:divBdr>
          <w:divsChild>
            <w:div w:id="1387996544">
              <w:marLeft w:val="0"/>
              <w:marRight w:val="0"/>
              <w:marTop w:val="0"/>
              <w:marBottom w:val="0"/>
              <w:divBdr>
                <w:top w:val="none" w:sz="0" w:space="0" w:color="auto"/>
                <w:left w:val="none" w:sz="0" w:space="0" w:color="auto"/>
                <w:bottom w:val="none" w:sz="0" w:space="0" w:color="auto"/>
                <w:right w:val="none" w:sz="0" w:space="0" w:color="auto"/>
              </w:divBdr>
              <w:divsChild>
                <w:div w:id="2382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51085">
      <w:bodyDiv w:val="1"/>
      <w:marLeft w:val="0"/>
      <w:marRight w:val="0"/>
      <w:marTop w:val="0"/>
      <w:marBottom w:val="0"/>
      <w:divBdr>
        <w:top w:val="none" w:sz="0" w:space="0" w:color="auto"/>
        <w:left w:val="none" w:sz="0" w:space="0" w:color="auto"/>
        <w:bottom w:val="none" w:sz="0" w:space="0" w:color="auto"/>
        <w:right w:val="none" w:sz="0" w:space="0" w:color="auto"/>
      </w:divBdr>
    </w:div>
    <w:div w:id="388840958">
      <w:bodyDiv w:val="1"/>
      <w:marLeft w:val="0"/>
      <w:marRight w:val="0"/>
      <w:marTop w:val="0"/>
      <w:marBottom w:val="0"/>
      <w:divBdr>
        <w:top w:val="none" w:sz="0" w:space="0" w:color="auto"/>
        <w:left w:val="none" w:sz="0" w:space="0" w:color="auto"/>
        <w:bottom w:val="none" w:sz="0" w:space="0" w:color="auto"/>
        <w:right w:val="none" w:sz="0" w:space="0" w:color="auto"/>
      </w:divBdr>
    </w:div>
    <w:div w:id="391001630">
      <w:bodyDiv w:val="1"/>
      <w:marLeft w:val="0"/>
      <w:marRight w:val="0"/>
      <w:marTop w:val="0"/>
      <w:marBottom w:val="0"/>
      <w:divBdr>
        <w:top w:val="none" w:sz="0" w:space="0" w:color="auto"/>
        <w:left w:val="none" w:sz="0" w:space="0" w:color="auto"/>
        <w:bottom w:val="none" w:sz="0" w:space="0" w:color="auto"/>
        <w:right w:val="none" w:sz="0" w:space="0" w:color="auto"/>
      </w:divBdr>
    </w:div>
    <w:div w:id="394008692">
      <w:bodyDiv w:val="1"/>
      <w:marLeft w:val="0"/>
      <w:marRight w:val="0"/>
      <w:marTop w:val="0"/>
      <w:marBottom w:val="0"/>
      <w:divBdr>
        <w:top w:val="none" w:sz="0" w:space="0" w:color="auto"/>
        <w:left w:val="none" w:sz="0" w:space="0" w:color="auto"/>
        <w:bottom w:val="none" w:sz="0" w:space="0" w:color="auto"/>
        <w:right w:val="none" w:sz="0" w:space="0" w:color="auto"/>
      </w:divBdr>
    </w:div>
    <w:div w:id="395862501">
      <w:bodyDiv w:val="1"/>
      <w:marLeft w:val="0"/>
      <w:marRight w:val="0"/>
      <w:marTop w:val="0"/>
      <w:marBottom w:val="0"/>
      <w:divBdr>
        <w:top w:val="none" w:sz="0" w:space="0" w:color="auto"/>
        <w:left w:val="none" w:sz="0" w:space="0" w:color="auto"/>
        <w:bottom w:val="none" w:sz="0" w:space="0" w:color="auto"/>
        <w:right w:val="none" w:sz="0" w:space="0" w:color="auto"/>
      </w:divBdr>
    </w:div>
    <w:div w:id="399404442">
      <w:bodyDiv w:val="1"/>
      <w:marLeft w:val="0"/>
      <w:marRight w:val="0"/>
      <w:marTop w:val="0"/>
      <w:marBottom w:val="0"/>
      <w:divBdr>
        <w:top w:val="none" w:sz="0" w:space="0" w:color="auto"/>
        <w:left w:val="none" w:sz="0" w:space="0" w:color="auto"/>
        <w:bottom w:val="none" w:sz="0" w:space="0" w:color="auto"/>
        <w:right w:val="none" w:sz="0" w:space="0" w:color="auto"/>
      </w:divBdr>
    </w:div>
    <w:div w:id="413011468">
      <w:bodyDiv w:val="1"/>
      <w:marLeft w:val="0"/>
      <w:marRight w:val="0"/>
      <w:marTop w:val="0"/>
      <w:marBottom w:val="0"/>
      <w:divBdr>
        <w:top w:val="none" w:sz="0" w:space="0" w:color="auto"/>
        <w:left w:val="none" w:sz="0" w:space="0" w:color="auto"/>
        <w:bottom w:val="none" w:sz="0" w:space="0" w:color="auto"/>
        <w:right w:val="none" w:sz="0" w:space="0" w:color="auto"/>
      </w:divBdr>
      <w:divsChild>
        <w:div w:id="216938360">
          <w:marLeft w:val="0"/>
          <w:marRight w:val="0"/>
          <w:marTop w:val="0"/>
          <w:marBottom w:val="0"/>
          <w:divBdr>
            <w:top w:val="none" w:sz="0" w:space="0" w:color="auto"/>
            <w:left w:val="none" w:sz="0" w:space="0" w:color="auto"/>
            <w:bottom w:val="none" w:sz="0" w:space="0" w:color="auto"/>
            <w:right w:val="none" w:sz="0" w:space="0" w:color="auto"/>
          </w:divBdr>
          <w:divsChild>
            <w:div w:id="436562495">
              <w:marLeft w:val="0"/>
              <w:marRight w:val="0"/>
              <w:marTop w:val="375"/>
              <w:marBottom w:val="375"/>
              <w:divBdr>
                <w:top w:val="single" w:sz="6" w:space="0" w:color="C8C8C8"/>
                <w:left w:val="none" w:sz="0" w:space="0" w:color="auto"/>
                <w:bottom w:val="single" w:sz="6" w:space="0" w:color="C8C8C8"/>
                <w:right w:val="none" w:sz="0" w:space="0" w:color="auto"/>
              </w:divBdr>
              <w:divsChild>
                <w:div w:id="1877698518">
                  <w:marLeft w:val="0"/>
                  <w:marRight w:val="0"/>
                  <w:marTop w:val="0"/>
                  <w:marBottom w:val="0"/>
                  <w:divBdr>
                    <w:top w:val="none" w:sz="0" w:space="0" w:color="auto"/>
                    <w:left w:val="none" w:sz="0" w:space="0" w:color="auto"/>
                    <w:bottom w:val="none" w:sz="0" w:space="0" w:color="auto"/>
                    <w:right w:val="none" w:sz="0" w:space="0" w:color="auto"/>
                  </w:divBdr>
                  <w:divsChild>
                    <w:div w:id="4699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63266">
          <w:marLeft w:val="0"/>
          <w:marRight w:val="0"/>
          <w:marTop w:val="300"/>
          <w:marBottom w:val="300"/>
          <w:divBdr>
            <w:top w:val="none" w:sz="0" w:space="0" w:color="auto"/>
            <w:left w:val="none" w:sz="0" w:space="0" w:color="auto"/>
            <w:bottom w:val="none" w:sz="0" w:space="0" w:color="auto"/>
            <w:right w:val="none" w:sz="0" w:space="0" w:color="auto"/>
          </w:divBdr>
          <w:divsChild>
            <w:div w:id="2118717035">
              <w:marLeft w:val="0"/>
              <w:marRight w:val="0"/>
              <w:marTop w:val="0"/>
              <w:marBottom w:val="0"/>
              <w:divBdr>
                <w:top w:val="none" w:sz="0" w:space="0" w:color="auto"/>
                <w:left w:val="none" w:sz="0" w:space="0" w:color="auto"/>
                <w:bottom w:val="none" w:sz="0" w:space="0" w:color="auto"/>
                <w:right w:val="none" w:sz="0" w:space="0" w:color="auto"/>
              </w:divBdr>
              <w:divsChild>
                <w:div w:id="1891069616">
                  <w:marLeft w:val="0"/>
                  <w:marRight w:val="0"/>
                  <w:marTop w:val="0"/>
                  <w:marBottom w:val="0"/>
                  <w:divBdr>
                    <w:top w:val="none" w:sz="0" w:space="0" w:color="auto"/>
                    <w:left w:val="none" w:sz="0" w:space="0" w:color="auto"/>
                    <w:bottom w:val="none" w:sz="0" w:space="0" w:color="auto"/>
                    <w:right w:val="none" w:sz="0" w:space="0" w:color="auto"/>
                  </w:divBdr>
                  <w:divsChild>
                    <w:div w:id="468013238">
                      <w:marLeft w:val="0"/>
                      <w:marRight w:val="0"/>
                      <w:marTop w:val="0"/>
                      <w:marBottom w:val="0"/>
                      <w:divBdr>
                        <w:top w:val="none" w:sz="0" w:space="0" w:color="auto"/>
                        <w:left w:val="none" w:sz="0" w:space="0" w:color="auto"/>
                        <w:bottom w:val="none" w:sz="0" w:space="0" w:color="auto"/>
                        <w:right w:val="none" w:sz="0" w:space="0" w:color="auto"/>
                      </w:divBdr>
                    </w:div>
                    <w:div w:id="1609773704">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278430">
      <w:bodyDiv w:val="1"/>
      <w:marLeft w:val="0"/>
      <w:marRight w:val="0"/>
      <w:marTop w:val="0"/>
      <w:marBottom w:val="0"/>
      <w:divBdr>
        <w:top w:val="none" w:sz="0" w:space="0" w:color="auto"/>
        <w:left w:val="none" w:sz="0" w:space="0" w:color="auto"/>
        <w:bottom w:val="none" w:sz="0" w:space="0" w:color="auto"/>
        <w:right w:val="none" w:sz="0" w:space="0" w:color="auto"/>
      </w:divBdr>
    </w:div>
    <w:div w:id="414321010">
      <w:bodyDiv w:val="1"/>
      <w:marLeft w:val="0"/>
      <w:marRight w:val="0"/>
      <w:marTop w:val="0"/>
      <w:marBottom w:val="0"/>
      <w:divBdr>
        <w:top w:val="none" w:sz="0" w:space="0" w:color="auto"/>
        <w:left w:val="none" w:sz="0" w:space="0" w:color="auto"/>
        <w:bottom w:val="none" w:sz="0" w:space="0" w:color="auto"/>
        <w:right w:val="none" w:sz="0" w:space="0" w:color="auto"/>
      </w:divBdr>
      <w:divsChild>
        <w:div w:id="2068918810">
          <w:marLeft w:val="0"/>
          <w:marRight w:val="0"/>
          <w:marTop w:val="0"/>
          <w:marBottom w:val="0"/>
          <w:divBdr>
            <w:top w:val="none" w:sz="0" w:space="0" w:color="auto"/>
            <w:left w:val="none" w:sz="0" w:space="0" w:color="auto"/>
            <w:bottom w:val="none" w:sz="0" w:space="0" w:color="auto"/>
            <w:right w:val="none" w:sz="0" w:space="0" w:color="auto"/>
          </w:divBdr>
          <w:divsChild>
            <w:div w:id="1514295835">
              <w:marLeft w:val="0"/>
              <w:marRight w:val="0"/>
              <w:marTop w:val="0"/>
              <w:marBottom w:val="0"/>
              <w:divBdr>
                <w:top w:val="none" w:sz="0" w:space="0" w:color="auto"/>
                <w:left w:val="none" w:sz="0" w:space="0" w:color="auto"/>
                <w:bottom w:val="none" w:sz="0" w:space="0" w:color="auto"/>
                <w:right w:val="none" w:sz="0" w:space="0" w:color="auto"/>
              </w:divBdr>
              <w:divsChild>
                <w:div w:id="415322193">
                  <w:marLeft w:val="0"/>
                  <w:marRight w:val="0"/>
                  <w:marTop w:val="0"/>
                  <w:marBottom w:val="0"/>
                  <w:divBdr>
                    <w:top w:val="none" w:sz="0" w:space="0" w:color="auto"/>
                    <w:left w:val="none" w:sz="0" w:space="0" w:color="auto"/>
                    <w:bottom w:val="none" w:sz="0" w:space="0" w:color="auto"/>
                    <w:right w:val="none" w:sz="0" w:space="0" w:color="auto"/>
                  </w:divBdr>
                  <w:divsChild>
                    <w:div w:id="192235066">
                      <w:marLeft w:val="0"/>
                      <w:marRight w:val="0"/>
                      <w:marTop w:val="150"/>
                      <w:marBottom w:val="150"/>
                      <w:divBdr>
                        <w:top w:val="none" w:sz="0" w:space="0" w:color="auto"/>
                        <w:left w:val="none" w:sz="0" w:space="0" w:color="auto"/>
                        <w:bottom w:val="none" w:sz="0" w:space="0" w:color="auto"/>
                        <w:right w:val="none" w:sz="0" w:space="0" w:color="auto"/>
                      </w:divBdr>
                      <w:divsChild>
                        <w:div w:id="1303660077">
                          <w:marLeft w:val="0"/>
                          <w:marRight w:val="0"/>
                          <w:marTop w:val="0"/>
                          <w:marBottom w:val="0"/>
                          <w:divBdr>
                            <w:top w:val="none" w:sz="0" w:space="0" w:color="auto"/>
                            <w:left w:val="none" w:sz="0" w:space="0" w:color="auto"/>
                            <w:bottom w:val="none" w:sz="0" w:space="0" w:color="auto"/>
                            <w:right w:val="none" w:sz="0" w:space="0" w:color="auto"/>
                          </w:divBdr>
                        </w:div>
                        <w:div w:id="2058239634">
                          <w:marLeft w:val="0"/>
                          <w:marRight w:val="0"/>
                          <w:marTop w:val="0"/>
                          <w:marBottom w:val="0"/>
                          <w:divBdr>
                            <w:top w:val="none" w:sz="0" w:space="0" w:color="auto"/>
                            <w:left w:val="none" w:sz="0" w:space="0" w:color="auto"/>
                            <w:bottom w:val="none" w:sz="0" w:space="0" w:color="auto"/>
                            <w:right w:val="none" w:sz="0" w:space="0" w:color="auto"/>
                          </w:divBdr>
                          <w:divsChild>
                            <w:div w:id="144480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3105">
                      <w:marLeft w:val="0"/>
                      <w:marRight w:val="0"/>
                      <w:marTop w:val="0"/>
                      <w:marBottom w:val="0"/>
                      <w:divBdr>
                        <w:top w:val="none" w:sz="0" w:space="0" w:color="auto"/>
                        <w:left w:val="none" w:sz="0" w:space="0" w:color="auto"/>
                        <w:bottom w:val="none" w:sz="0" w:space="0" w:color="auto"/>
                        <w:right w:val="none" w:sz="0" w:space="0" w:color="auto"/>
                      </w:divBdr>
                      <w:divsChild>
                        <w:div w:id="1391807552">
                          <w:marLeft w:val="0"/>
                          <w:marRight w:val="0"/>
                          <w:marTop w:val="0"/>
                          <w:marBottom w:val="0"/>
                          <w:divBdr>
                            <w:top w:val="none" w:sz="0" w:space="0" w:color="auto"/>
                            <w:left w:val="none" w:sz="0" w:space="0" w:color="auto"/>
                            <w:bottom w:val="none" w:sz="0" w:space="0" w:color="auto"/>
                            <w:right w:val="none" w:sz="0" w:space="0" w:color="auto"/>
                          </w:divBdr>
                        </w:div>
                        <w:div w:id="1610042941">
                          <w:marLeft w:val="0"/>
                          <w:marRight w:val="0"/>
                          <w:marTop w:val="0"/>
                          <w:marBottom w:val="0"/>
                          <w:divBdr>
                            <w:top w:val="none" w:sz="0" w:space="0" w:color="auto"/>
                            <w:left w:val="none" w:sz="0" w:space="0" w:color="auto"/>
                            <w:bottom w:val="none" w:sz="0" w:space="0" w:color="auto"/>
                            <w:right w:val="none" w:sz="0" w:space="0" w:color="auto"/>
                          </w:divBdr>
                          <w:divsChild>
                            <w:div w:id="11518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6183">
                      <w:marLeft w:val="0"/>
                      <w:marRight w:val="0"/>
                      <w:marTop w:val="300"/>
                      <w:marBottom w:val="0"/>
                      <w:divBdr>
                        <w:top w:val="none" w:sz="0" w:space="0" w:color="auto"/>
                        <w:left w:val="none" w:sz="0" w:space="0" w:color="auto"/>
                        <w:bottom w:val="none" w:sz="0" w:space="0" w:color="auto"/>
                        <w:right w:val="none" w:sz="0" w:space="0" w:color="auto"/>
                      </w:divBdr>
                      <w:divsChild>
                        <w:div w:id="978992993">
                          <w:marLeft w:val="0"/>
                          <w:marRight w:val="0"/>
                          <w:marTop w:val="0"/>
                          <w:marBottom w:val="0"/>
                          <w:divBdr>
                            <w:top w:val="none" w:sz="0" w:space="0" w:color="auto"/>
                            <w:left w:val="none" w:sz="0" w:space="0" w:color="auto"/>
                            <w:bottom w:val="none" w:sz="0" w:space="0" w:color="auto"/>
                            <w:right w:val="none" w:sz="0" w:space="0" w:color="auto"/>
                          </w:divBdr>
                          <w:divsChild>
                            <w:div w:id="3279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634044">
      <w:bodyDiv w:val="1"/>
      <w:marLeft w:val="0"/>
      <w:marRight w:val="0"/>
      <w:marTop w:val="0"/>
      <w:marBottom w:val="0"/>
      <w:divBdr>
        <w:top w:val="none" w:sz="0" w:space="0" w:color="auto"/>
        <w:left w:val="none" w:sz="0" w:space="0" w:color="auto"/>
        <w:bottom w:val="none" w:sz="0" w:space="0" w:color="auto"/>
        <w:right w:val="none" w:sz="0" w:space="0" w:color="auto"/>
      </w:divBdr>
    </w:div>
    <w:div w:id="422803330">
      <w:bodyDiv w:val="1"/>
      <w:marLeft w:val="0"/>
      <w:marRight w:val="0"/>
      <w:marTop w:val="0"/>
      <w:marBottom w:val="0"/>
      <w:divBdr>
        <w:top w:val="none" w:sz="0" w:space="0" w:color="auto"/>
        <w:left w:val="none" w:sz="0" w:space="0" w:color="auto"/>
        <w:bottom w:val="none" w:sz="0" w:space="0" w:color="auto"/>
        <w:right w:val="none" w:sz="0" w:space="0" w:color="auto"/>
      </w:divBdr>
    </w:div>
    <w:div w:id="424764669">
      <w:bodyDiv w:val="1"/>
      <w:marLeft w:val="0"/>
      <w:marRight w:val="0"/>
      <w:marTop w:val="0"/>
      <w:marBottom w:val="0"/>
      <w:divBdr>
        <w:top w:val="none" w:sz="0" w:space="0" w:color="auto"/>
        <w:left w:val="none" w:sz="0" w:space="0" w:color="auto"/>
        <w:bottom w:val="none" w:sz="0" w:space="0" w:color="auto"/>
        <w:right w:val="none" w:sz="0" w:space="0" w:color="auto"/>
      </w:divBdr>
    </w:div>
    <w:div w:id="425274405">
      <w:bodyDiv w:val="1"/>
      <w:marLeft w:val="0"/>
      <w:marRight w:val="0"/>
      <w:marTop w:val="0"/>
      <w:marBottom w:val="0"/>
      <w:divBdr>
        <w:top w:val="none" w:sz="0" w:space="0" w:color="auto"/>
        <w:left w:val="none" w:sz="0" w:space="0" w:color="auto"/>
        <w:bottom w:val="none" w:sz="0" w:space="0" w:color="auto"/>
        <w:right w:val="none" w:sz="0" w:space="0" w:color="auto"/>
      </w:divBdr>
      <w:divsChild>
        <w:div w:id="76440093">
          <w:marLeft w:val="0"/>
          <w:marRight w:val="0"/>
          <w:marTop w:val="0"/>
          <w:marBottom w:val="0"/>
          <w:divBdr>
            <w:top w:val="none" w:sz="0" w:space="0" w:color="auto"/>
            <w:left w:val="none" w:sz="0" w:space="0" w:color="auto"/>
            <w:bottom w:val="none" w:sz="0" w:space="0" w:color="auto"/>
            <w:right w:val="none" w:sz="0" w:space="0" w:color="auto"/>
          </w:divBdr>
        </w:div>
      </w:divsChild>
    </w:div>
    <w:div w:id="429206102">
      <w:bodyDiv w:val="1"/>
      <w:marLeft w:val="0"/>
      <w:marRight w:val="0"/>
      <w:marTop w:val="0"/>
      <w:marBottom w:val="0"/>
      <w:divBdr>
        <w:top w:val="none" w:sz="0" w:space="0" w:color="auto"/>
        <w:left w:val="none" w:sz="0" w:space="0" w:color="auto"/>
        <w:bottom w:val="none" w:sz="0" w:space="0" w:color="auto"/>
        <w:right w:val="none" w:sz="0" w:space="0" w:color="auto"/>
      </w:divBdr>
      <w:divsChild>
        <w:div w:id="667052977">
          <w:marLeft w:val="0"/>
          <w:marRight w:val="0"/>
          <w:marTop w:val="0"/>
          <w:marBottom w:val="0"/>
          <w:divBdr>
            <w:top w:val="none" w:sz="0" w:space="0" w:color="auto"/>
            <w:left w:val="none" w:sz="0" w:space="0" w:color="auto"/>
            <w:bottom w:val="none" w:sz="0" w:space="0" w:color="auto"/>
            <w:right w:val="none" w:sz="0" w:space="0" w:color="auto"/>
          </w:divBdr>
          <w:divsChild>
            <w:div w:id="1346639601">
              <w:marLeft w:val="0"/>
              <w:marRight w:val="0"/>
              <w:marTop w:val="0"/>
              <w:marBottom w:val="0"/>
              <w:divBdr>
                <w:top w:val="none" w:sz="0" w:space="0" w:color="auto"/>
                <w:left w:val="none" w:sz="0" w:space="0" w:color="auto"/>
                <w:bottom w:val="none" w:sz="0" w:space="0" w:color="auto"/>
                <w:right w:val="none" w:sz="0" w:space="0" w:color="auto"/>
              </w:divBdr>
              <w:divsChild>
                <w:div w:id="494805643">
                  <w:marLeft w:val="0"/>
                  <w:marRight w:val="0"/>
                  <w:marTop w:val="0"/>
                  <w:marBottom w:val="0"/>
                  <w:divBdr>
                    <w:top w:val="none" w:sz="0" w:space="0" w:color="auto"/>
                    <w:left w:val="none" w:sz="0" w:space="0" w:color="auto"/>
                    <w:bottom w:val="none" w:sz="0" w:space="0" w:color="auto"/>
                    <w:right w:val="none" w:sz="0" w:space="0" w:color="auto"/>
                  </w:divBdr>
                  <w:divsChild>
                    <w:div w:id="99184749">
                      <w:marLeft w:val="0"/>
                      <w:marRight w:val="0"/>
                      <w:marTop w:val="300"/>
                      <w:marBottom w:val="0"/>
                      <w:divBdr>
                        <w:top w:val="none" w:sz="0" w:space="0" w:color="auto"/>
                        <w:left w:val="none" w:sz="0" w:space="0" w:color="auto"/>
                        <w:bottom w:val="none" w:sz="0" w:space="0" w:color="auto"/>
                        <w:right w:val="none" w:sz="0" w:space="0" w:color="auto"/>
                      </w:divBdr>
                      <w:divsChild>
                        <w:div w:id="645670581">
                          <w:marLeft w:val="0"/>
                          <w:marRight w:val="0"/>
                          <w:marTop w:val="0"/>
                          <w:marBottom w:val="0"/>
                          <w:divBdr>
                            <w:top w:val="none" w:sz="0" w:space="0" w:color="auto"/>
                            <w:left w:val="none" w:sz="0" w:space="0" w:color="auto"/>
                            <w:bottom w:val="none" w:sz="0" w:space="0" w:color="auto"/>
                            <w:right w:val="none" w:sz="0" w:space="0" w:color="auto"/>
                          </w:divBdr>
                          <w:divsChild>
                            <w:div w:id="19634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36217">
                      <w:marLeft w:val="0"/>
                      <w:marRight w:val="0"/>
                      <w:marTop w:val="150"/>
                      <w:marBottom w:val="150"/>
                      <w:divBdr>
                        <w:top w:val="none" w:sz="0" w:space="0" w:color="auto"/>
                        <w:left w:val="none" w:sz="0" w:space="0" w:color="auto"/>
                        <w:bottom w:val="none" w:sz="0" w:space="0" w:color="auto"/>
                        <w:right w:val="none" w:sz="0" w:space="0" w:color="auto"/>
                      </w:divBdr>
                      <w:divsChild>
                        <w:div w:id="557211035">
                          <w:marLeft w:val="0"/>
                          <w:marRight w:val="0"/>
                          <w:marTop w:val="0"/>
                          <w:marBottom w:val="0"/>
                          <w:divBdr>
                            <w:top w:val="none" w:sz="0" w:space="0" w:color="auto"/>
                            <w:left w:val="none" w:sz="0" w:space="0" w:color="auto"/>
                            <w:bottom w:val="none" w:sz="0" w:space="0" w:color="auto"/>
                            <w:right w:val="none" w:sz="0" w:space="0" w:color="auto"/>
                          </w:divBdr>
                        </w:div>
                        <w:div w:id="645210635">
                          <w:marLeft w:val="0"/>
                          <w:marRight w:val="0"/>
                          <w:marTop w:val="0"/>
                          <w:marBottom w:val="0"/>
                          <w:divBdr>
                            <w:top w:val="none" w:sz="0" w:space="0" w:color="auto"/>
                            <w:left w:val="none" w:sz="0" w:space="0" w:color="auto"/>
                            <w:bottom w:val="none" w:sz="0" w:space="0" w:color="auto"/>
                            <w:right w:val="none" w:sz="0" w:space="0" w:color="auto"/>
                          </w:divBdr>
                          <w:divsChild>
                            <w:div w:id="6606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7885">
                      <w:marLeft w:val="0"/>
                      <w:marRight w:val="0"/>
                      <w:marTop w:val="0"/>
                      <w:marBottom w:val="0"/>
                      <w:divBdr>
                        <w:top w:val="none" w:sz="0" w:space="0" w:color="auto"/>
                        <w:left w:val="none" w:sz="0" w:space="0" w:color="auto"/>
                        <w:bottom w:val="none" w:sz="0" w:space="0" w:color="auto"/>
                        <w:right w:val="none" w:sz="0" w:space="0" w:color="auto"/>
                      </w:divBdr>
                      <w:divsChild>
                        <w:div w:id="126094718">
                          <w:marLeft w:val="0"/>
                          <w:marRight w:val="0"/>
                          <w:marTop w:val="0"/>
                          <w:marBottom w:val="0"/>
                          <w:divBdr>
                            <w:top w:val="none" w:sz="0" w:space="0" w:color="auto"/>
                            <w:left w:val="none" w:sz="0" w:space="0" w:color="auto"/>
                            <w:bottom w:val="none" w:sz="0" w:space="0" w:color="auto"/>
                            <w:right w:val="none" w:sz="0" w:space="0" w:color="auto"/>
                          </w:divBdr>
                        </w:div>
                        <w:div w:id="1562256042">
                          <w:marLeft w:val="0"/>
                          <w:marRight w:val="0"/>
                          <w:marTop w:val="0"/>
                          <w:marBottom w:val="0"/>
                          <w:divBdr>
                            <w:top w:val="none" w:sz="0" w:space="0" w:color="auto"/>
                            <w:left w:val="none" w:sz="0" w:space="0" w:color="auto"/>
                            <w:bottom w:val="none" w:sz="0" w:space="0" w:color="auto"/>
                            <w:right w:val="none" w:sz="0" w:space="0" w:color="auto"/>
                          </w:divBdr>
                          <w:divsChild>
                            <w:div w:id="3339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946052">
      <w:bodyDiv w:val="1"/>
      <w:marLeft w:val="0"/>
      <w:marRight w:val="0"/>
      <w:marTop w:val="0"/>
      <w:marBottom w:val="0"/>
      <w:divBdr>
        <w:top w:val="none" w:sz="0" w:space="0" w:color="auto"/>
        <w:left w:val="none" w:sz="0" w:space="0" w:color="auto"/>
        <w:bottom w:val="none" w:sz="0" w:space="0" w:color="auto"/>
        <w:right w:val="none" w:sz="0" w:space="0" w:color="auto"/>
      </w:divBdr>
    </w:div>
    <w:div w:id="445276124">
      <w:bodyDiv w:val="1"/>
      <w:marLeft w:val="0"/>
      <w:marRight w:val="0"/>
      <w:marTop w:val="0"/>
      <w:marBottom w:val="0"/>
      <w:divBdr>
        <w:top w:val="none" w:sz="0" w:space="0" w:color="auto"/>
        <w:left w:val="none" w:sz="0" w:space="0" w:color="auto"/>
        <w:bottom w:val="none" w:sz="0" w:space="0" w:color="auto"/>
        <w:right w:val="none" w:sz="0" w:space="0" w:color="auto"/>
      </w:divBdr>
    </w:div>
    <w:div w:id="448623591">
      <w:bodyDiv w:val="1"/>
      <w:marLeft w:val="0"/>
      <w:marRight w:val="0"/>
      <w:marTop w:val="0"/>
      <w:marBottom w:val="0"/>
      <w:divBdr>
        <w:top w:val="none" w:sz="0" w:space="0" w:color="auto"/>
        <w:left w:val="none" w:sz="0" w:space="0" w:color="auto"/>
        <w:bottom w:val="none" w:sz="0" w:space="0" w:color="auto"/>
        <w:right w:val="none" w:sz="0" w:space="0" w:color="auto"/>
      </w:divBdr>
    </w:div>
    <w:div w:id="451365033">
      <w:bodyDiv w:val="1"/>
      <w:marLeft w:val="0"/>
      <w:marRight w:val="0"/>
      <w:marTop w:val="0"/>
      <w:marBottom w:val="0"/>
      <w:divBdr>
        <w:top w:val="none" w:sz="0" w:space="0" w:color="auto"/>
        <w:left w:val="none" w:sz="0" w:space="0" w:color="auto"/>
        <w:bottom w:val="none" w:sz="0" w:space="0" w:color="auto"/>
        <w:right w:val="none" w:sz="0" w:space="0" w:color="auto"/>
      </w:divBdr>
    </w:div>
    <w:div w:id="458112246">
      <w:bodyDiv w:val="1"/>
      <w:marLeft w:val="0"/>
      <w:marRight w:val="0"/>
      <w:marTop w:val="0"/>
      <w:marBottom w:val="0"/>
      <w:divBdr>
        <w:top w:val="none" w:sz="0" w:space="0" w:color="auto"/>
        <w:left w:val="none" w:sz="0" w:space="0" w:color="auto"/>
        <w:bottom w:val="none" w:sz="0" w:space="0" w:color="auto"/>
        <w:right w:val="none" w:sz="0" w:space="0" w:color="auto"/>
      </w:divBdr>
    </w:div>
    <w:div w:id="462625643">
      <w:bodyDiv w:val="1"/>
      <w:marLeft w:val="0"/>
      <w:marRight w:val="0"/>
      <w:marTop w:val="0"/>
      <w:marBottom w:val="0"/>
      <w:divBdr>
        <w:top w:val="none" w:sz="0" w:space="0" w:color="auto"/>
        <w:left w:val="none" w:sz="0" w:space="0" w:color="auto"/>
        <w:bottom w:val="none" w:sz="0" w:space="0" w:color="auto"/>
        <w:right w:val="none" w:sz="0" w:space="0" w:color="auto"/>
      </w:divBdr>
    </w:div>
    <w:div w:id="465121400">
      <w:bodyDiv w:val="1"/>
      <w:marLeft w:val="0"/>
      <w:marRight w:val="0"/>
      <w:marTop w:val="0"/>
      <w:marBottom w:val="0"/>
      <w:divBdr>
        <w:top w:val="none" w:sz="0" w:space="0" w:color="auto"/>
        <w:left w:val="none" w:sz="0" w:space="0" w:color="auto"/>
        <w:bottom w:val="none" w:sz="0" w:space="0" w:color="auto"/>
        <w:right w:val="none" w:sz="0" w:space="0" w:color="auto"/>
      </w:divBdr>
    </w:div>
    <w:div w:id="471093568">
      <w:bodyDiv w:val="1"/>
      <w:marLeft w:val="0"/>
      <w:marRight w:val="0"/>
      <w:marTop w:val="0"/>
      <w:marBottom w:val="0"/>
      <w:divBdr>
        <w:top w:val="none" w:sz="0" w:space="0" w:color="auto"/>
        <w:left w:val="none" w:sz="0" w:space="0" w:color="auto"/>
        <w:bottom w:val="none" w:sz="0" w:space="0" w:color="auto"/>
        <w:right w:val="none" w:sz="0" w:space="0" w:color="auto"/>
      </w:divBdr>
    </w:div>
    <w:div w:id="471287500">
      <w:bodyDiv w:val="1"/>
      <w:marLeft w:val="0"/>
      <w:marRight w:val="0"/>
      <w:marTop w:val="0"/>
      <w:marBottom w:val="0"/>
      <w:divBdr>
        <w:top w:val="none" w:sz="0" w:space="0" w:color="auto"/>
        <w:left w:val="none" w:sz="0" w:space="0" w:color="auto"/>
        <w:bottom w:val="none" w:sz="0" w:space="0" w:color="auto"/>
        <w:right w:val="none" w:sz="0" w:space="0" w:color="auto"/>
      </w:divBdr>
    </w:div>
    <w:div w:id="475880008">
      <w:bodyDiv w:val="1"/>
      <w:marLeft w:val="0"/>
      <w:marRight w:val="0"/>
      <w:marTop w:val="0"/>
      <w:marBottom w:val="0"/>
      <w:divBdr>
        <w:top w:val="none" w:sz="0" w:space="0" w:color="auto"/>
        <w:left w:val="none" w:sz="0" w:space="0" w:color="auto"/>
        <w:bottom w:val="none" w:sz="0" w:space="0" w:color="auto"/>
        <w:right w:val="none" w:sz="0" w:space="0" w:color="auto"/>
      </w:divBdr>
    </w:div>
    <w:div w:id="477309934">
      <w:bodyDiv w:val="1"/>
      <w:marLeft w:val="0"/>
      <w:marRight w:val="0"/>
      <w:marTop w:val="0"/>
      <w:marBottom w:val="0"/>
      <w:divBdr>
        <w:top w:val="none" w:sz="0" w:space="0" w:color="auto"/>
        <w:left w:val="none" w:sz="0" w:space="0" w:color="auto"/>
        <w:bottom w:val="none" w:sz="0" w:space="0" w:color="auto"/>
        <w:right w:val="none" w:sz="0" w:space="0" w:color="auto"/>
      </w:divBdr>
    </w:div>
    <w:div w:id="480586687">
      <w:bodyDiv w:val="1"/>
      <w:marLeft w:val="0"/>
      <w:marRight w:val="0"/>
      <w:marTop w:val="0"/>
      <w:marBottom w:val="0"/>
      <w:divBdr>
        <w:top w:val="none" w:sz="0" w:space="0" w:color="auto"/>
        <w:left w:val="none" w:sz="0" w:space="0" w:color="auto"/>
        <w:bottom w:val="none" w:sz="0" w:space="0" w:color="auto"/>
        <w:right w:val="none" w:sz="0" w:space="0" w:color="auto"/>
      </w:divBdr>
    </w:div>
    <w:div w:id="484014180">
      <w:bodyDiv w:val="1"/>
      <w:marLeft w:val="0"/>
      <w:marRight w:val="0"/>
      <w:marTop w:val="0"/>
      <w:marBottom w:val="0"/>
      <w:divBdr>
        <w:top w:val="none" w:sz="0" w:space="0" w:color="auto"/>
        <w:left w:val="none" w:sz="0" w:space="0" w:color="auto"/>
        <w:bottom w:val="none" w:sz="0" w:space="0" w:color="auto"/>
        <w:right w:val="none" w:sz="0" w:space="0" w:color="auto"/>
      </w:divBdr>
    </w:div>
    <w:div w:id="487134889">
      <w:bodyDiv w:val="1"/>
      <w:marLeft w:val="0"/>
      <w:marRight w:val="0"/>
      <w:marTop w:val="0"/>
      <w:marBottom w:val="0"/>
      <w:divBdr>
        <w:top w:val="none" w:sz="0" w:space="0" w:color="auto"/>
        <w:left w:val="none" w:sz="0" w:space="0" w:color="auto"/>
        <w:bottom w:val="none" w:sz="0" w:space="0" w:color="auto"/>
        <w:right w:val="none" w:sz="0" w:space="0" w:color="auto"/>
      </w:divBdr>
    </w:div>
    <w:div w:id="493497191">
      <w:bodyDiv w:val="1"/>
      <w:marLeft w:val="0"/>
      <w:marRight w:val="0"/>
      <w:marTop w:val="0"/>
      <w:marBottom w:val="0"/>
      <w:divBdr>
        <w:top w:val="none" w:sz="0" w:space="0" w:color="auto"/>
        <w:left w:val="none" w:sz="0" w:space="0" w:color="auto"/>
        <w:bottom w:val="none" w:sz="0" w:space="0" w:color="auto"/>
        <w:right w:val="none" w:sz="0" w:space="0" w:color="auto"/>
      </w:divBdr>
    </w:div>
    <w:div w:id="507983932">
      <w:bodyDiv w:val="1"/>
      <w:marLeft w:val="0"/>
      <w:marRight w:val="0"/>
      <w:marTop w:val="0"/>
      <w:marBottom w:val="0"/>
      <w:divBdr>
        <w:top w:val="none" w:sz="0" w:space="0" w:color="auto"/>
        <w:left w:val="none" w:sz="0" w:space="0" w:color="auto"/>
        <w:bottom w:val="none" w:sz="0" w:space="0" w:color="auto"/>
        <w:right w:val="none" w:sz="0" w:space="0" w:color="auto"/>
      </w:divBdr>
    </w:div>
    <w:div w:id="522548778">
      <w:bodyDiv w:val="1"/>
      <w:marLeft w:val="0"/>
      <w:marRight w:val="0"/>
      <w:marTop w:val="0"/>
      <w:marBottom w:val="0"/>
      <w:divBdr>
        <w:top w:val="none" w:sz="0" w:space="0" w:color="auto"/>
        <w:left w:val="none" w:sz="0" w:space="0" w:color="auto"/>
        <w:bottom w:val="none" w:sz="0" w:space="0" w:color="auto"/>
        <w:right w:val="none" w:sz="0" w:space="0" w:color="auto"/>
      </w:divBdr>
    </w:div>
    <w:div w:id="526335010">
      <w:bodyDiv w:val="1"/>
      <w:marLeft w:val="0"/>
      <w:marRight w:val="0"/>
      <w:marTop w:val="0"/>
      <w:marBottom w:val="0"/>
      <w:divBdr>
        <w:top w:val="none" w:sz="0" w:space="0" w:color="auto"/>
        <w:left w:val="none" w:sz="0" w:space="0" w:color="auto"/>
        <w:bottom w:val="none" w:sz="0" w:space="0" w:color="auto"/>
        <w:right w:val="none" w:sz="0" w:space="0" w:color="auto"/>
      </w:divBdr>
      <w:divsChild>
        <w:div w:id="1559244987">
          <w:marLeft w:val="0"/>
          <w:marRight w:val="0"/>
          <w:marTop w:val="0"/>
          <w:marBottom w:val="0"/>
          <w:divBdr>
            <w:top w:val="none" w:sz="0" w:space="0" w:color="auto"/>
            <w:left w:val="none" w:sz="0" w:space="0" w:color="auto"/>
            <w:bottom w:val="none" w:sz="0" w:space="0" w:color="auto"/>
            <w:right w:val="none" w:sz="0" w:space="0" w:color="auto"/>
          </w:divBdr>
          <w:divsChild>
            <w:div w:id="2053266941">
              <w:marLeft w:val="0"/>
              <w:marRight w:val="0"/>
              <w:marTop w:val="0"/>
              <w:marBottom w:val="0"/>
              <w:divBdr>
                <w:top w:val="none" w:sz="0" w:space="0" w:color="auto"/>
                <w:left w:val="none" w:sz="0" w:space="0" w:color="auto"/>
                <w:bottom w:val="none" w:sz="0" w:space="0" w:color="auto"/>
                <w:right w:val="none" w:sz="0" w:space="0" w:color="auto"/>
              </w:divBdr>
              <w:divsChild>
                <w:div w:id="1529947325">
                  <w:marLeft w:val="0"/>
                  <w:marRight w:val="0"/>
                  <w:marTop w:val="0"/>
                  <w:marBottom w:val="0"/>
                  <w:divBdr>
                    <w:top w:val="none" w:sz="0" w:space="0" w:color="auto"/>
                    <w:left w:val="none" w:sz="0" w:space="0" w:color="auto"/>
                    <w:bottom w:val="none" w:sz="0" w:space="0" w:color="auto"/>
                    <w:right w:val="none" w:sz="0" w:space="0" w:color="auto"/>
                  </w:divBdr>
                  <w:divsChild>
                    <w:div w:id="1424952037">
                      <w:marLeft w:val="0"/>
                      <w:marRight w:val="0"/>
                      <w:marTop w:val="0"/>
                      <w:marBottom w:val="0"/>
                      <w:divBdr>
                        <w:top w:val="none" w:sz="0" w:space="0" w:color="auto"/>
                        <w:left w:val="none" w:sz="0" w:space="0" w:color="auto"/>
                        <w:bottom w:val="none" w:sz="0" w:space="0" w:color="auto"/>
                        <w:right w:val="none" w:sz="0" w:space="0" w:color="auto"/>
                      </w:divBdr>
                      <w:divsChild>
                        <w:div w:id="1812744594">
                          <w:marLeft w:val="0"/>
                          <w:marRight w:val="0"/>
                          <w:marTop w:val="0"/>
                          <w:marBottom w:val="0"/>
                          <w:divBdr>
                            <w:top w:val="none" w:sz="0" w:space="0" w:color="auto"/>
                            <w:left w:val="none" w:sz="0" w:space="0" w:color="auto"/>
                            <w:bottom w:val="none" w:sz="0" w:space="0" w:color="auto"/>
                            <w:right w:val="none" w:sz="0" w:space="0" w:color="auto"/>
                          </w:divBdr>
                        </w:div>
                        <w:div w:id="301272788">
                          <w:marLeft w:val="0"/>
                          <w:marRight w:val="0"/>
                          <w:marTop w:val="0"/>
                          <w:marBottom w:val="0"/>
                          <w:divBdr>
                            <w:top w:val="none" w:sz="0" w:space="0" w:color="auto"/>
                            <w:left w:val="none" w:sz="0" w:space="0" w:color="auto"/>
                            <w:bottom w:val="none" w:sz="0" w:space="0" w:color="auto"/>
                            <w:right w:val="none" w:sz="0" w:space="0" w:color="auto"/>
                          </w:divBdr>
                          <w:divsChild>
                            <w:div w:id="2517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10949">
                      <w:marLeft w:val="0"/>
                      <w:marRight w:val="0"/>
                      <w:marTop w:val="150"/>
                      <w:marBottom w:val="150"/>
                      <w:divBdr>
                        <w:top w:val="none" w:sz="0" w:space="0" w:color="auto"/>
                        <w:left w:val="none" w:sz="0" w:space="0" w:color="auto"/>
                        <w:bottom w:val="none" w:sz="0" w:space="0" w:color="auto"/>
                        <w:right w:val="none" w:sz="0" w:space="0" w:color="auto"/>
                      </w:divBdr>
                      <w:divsChild>
                        <w:div w:id="143737193">
                          <w:marLeft w:val="0"/>
                          <w:marRight w:val="0"/>
                          <w:marTop w:val="0"/>
                          <w:marBottom w:val="0"/>
                          <w:divBdr>
                            <w:top w:val="none" w:sz="0" w:space="0" w:color="auto"/>
                            <w:left w:val="none" w:sz="0" w:space="0" w:color="auto"/>
                            <w:bottom w:val="none" w:sz="0" w:space="0" w:color="auto"/>
                            <w:right w:val="none" w:sz="0" w:space="0" w:color="auto"/>
                          </w:divBdr>
                        </w:div>
                        <w:div w:id="933172914">
                          <w:marLeft w:val="0"/>
                          <w:marRight w:val="0"/>
                          <w:marTop w:val="0"/>
                          <w:marBottom w:val="0"/>
                          <w:divBdr>
                            <w:top w:val="none" w:sz="0" w:space="0" w:color="auto"/>
                            <w:left w:val="none" w:sz="0" w:space="0" w:color="auto"/>
                            <w:bottom w:val="none" w:sz="0" w:space="0" w:color="auto"/>
                            <w:right w:val="none" w:sz="0" w:space="0" w:color="auto"/>
                          </w:divBdr>
                          <w:divsChild>
                            <w:div w:id="17520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4874">
                      <w:marLeft w:val="0"/>
                      <w:marRight w:val="0"/>
                      <w:marTop w:val="300"/>
                      <w:marBottom w:val="0"/>
                      <w:divBdr>
                        <w:top w:val="none" w:sz="0" w:space="0" w:color="auto"/>
                        <w:left w:val="none" w:sz="0" w:space="0" w:color="auto"/>
                        <w:bottom w:val="none" w:sz="0" w:space="0" w:color="auto"/>
                        <w:right w:val="none" w:sz="0" w:space="0" w:color="auto"/>
                      </w:divBdr>
                      <w:divsChild>
                        <w:div w:id="1837458892">
                          <w:marLeft w:val="0"/>
                          <w:marRight w:val="0"/>
                          <w:marTop w:val="0"/>
                          <w:marBottom w:val="0"/>
                          <w:divBdr>
                            <w:top w:val="none" w:sz="0" w:space="0" w:color="auto"/>
                            <w:left w:val="none" w:sz="0" w:space="0" w:color="auto"/>
                            <w:bottom w:val="none" w:sz="0" w:space="0" w:color="auto"/>
                            <w:right w:val="none" w:sz="0" w:space="0" w:color="auto"/>
                          </w:divBdr>
                          <w:divsChild>
                            <w:div w:id="19539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264870">
      <w:bodyDiv w:val="1"/>
      <w:marLeft w:val="0"/>
      <w:marRight w:val="0"/>
      <w:marTop w:val="0"/>
      <w:marBottom w:val="0"/>
      <w:divBdr>
        <w:top w:val="none" w:sz="0" w:space="0" w:color="auto"/>
        <w:left w:val="none" w:sz="0" w:space="0" w:color="auto"/>
        <w:bottom w:val="none" w:sz="0" w:space="0" w:color="auto"/>
        <w:right w:val="none" w:sz="0" w:space="0" w:color="auto"/>
      </w:divBdr>
    </w:div>
    <w:div w:id="533929879">
      <w:bodyDiv w:val="1"/>
      <w:marLeft w:val="0"/>
      <w:marRight w:val="0"/>
      <w:marTop w:val="0"/>
      <w:marBottom w:val="0"/>
      <w:divBdr>
        <w:top w:val="none" w:sz="0" w:space="0" w:color="auto"/>
        <w:left w:val="none" w:sz="0" w:space="0" w:color="auto"/>
        <w:bottom w:val="none" w:sz="0" w:space="0" w:color="auto"/>
        <w:right w:val="none" w:sz="0" w:space="0" w:color="auto"/>
      </w:divBdr>
      <w:divsChild>
        <w:div w:id="193541026">
          <w:marLeft w:val="0"/>
          <w:marRight w:val="0"/>
          <w:marTop w:val="0"/>
          <w:marBottom w:val="0"/>
          <w:divBdr>
            <w:top w:val="none" w:sz="0" w:space="0" w:color="auto"/>
            <w:left w:val="none" w:sz="0" w:space="0" w:color="auto"/>
            <w:bottom w:val="none" w:sz="0" w:space="0" w:color="auto"/>
            <w:right w:val="none" w:sz="0" w:space="0" w:color="auto"/>
          </w:divBdr>
        </w:div>
        <w:div w:id="529103718">
          <w:marLeft w:val="0"/>
          <w:marRight w:val="0"/>
          <w:marTop w:val="0"/>
          <w:marBottom w:val="0"/>
          <w:divBdr>
            <w:top w:val="none" w:sz="0" w:space="0" w:color="auto"/>
            <w:left w:val="none" w:sz="0" w:space="0" w:color="auto"/>
            <w:bottom w:val="none" w:sz="0" w:space="0" w:color="auto"/>
            <w:right w:val="none" w:sz="0" w:space="0" w:color="auto"/>
          </w:divBdr>
        </w:div>
        <w:div w:id="534537692">
          <w:marLeft w:val="0"/>
          <w:marRight w:val="0"/>
          <w:marTop w:val="0"/>
          <w:marBottom w:val="0"/>
          <w:divBdr>
            <w:top w:val="none" w:sz="0" w:space="0" w:color="auto"/>
            <w:left w:val="none" w:sz="0" w:space="0" w:color="auto"/>
            <w:bottom w:val="none" w:sz="0" w:space="0" w:color="auto"/>
            <w:right w:val="none" w:sz="0" w:space="0" w:color="auto"/>
          </w:divBdr>
        </w:div>
        <w:div w:id="770272618">
          <w:marLeft w:val="0"/>
          <w:marRight w:val="0"/>
          <w:marTop w:val="0"/>
          <w:marBottom w:val="0"/>
          <w:divBdr>
            <w:top w:val="none" w:sz="0" w:space="0" w:color="auto"/>
            <w:left w:val="none" w:sz="0" w:space="0" w:color="auto"/>
            <w:bottom w:val="none" w:sz="0" w:space="0" w:color="auto"/>
            <w:right w:val="none" w:sz="0" w:space="0" w:color="auto"/>
          </w:divBdr>
        </w:div>
        <w:div w:id="810291547">
          <w:marLeft w:val="0"/>
          <w:marRight w:val="0"/>
          <w:marTop w:val="0"/>
          <w:marBottom w:val="0"/>
          <w:divBdr>
            <w:top w:val="none" w:sz="0" w:space="0" w:color="auto"/>
            <w:left w:val="none" w:sz="0" w:space="0" w:color="auto"/>
            <w:bottom w:val="none" w:sz="0" w:space="0" w:color="auto"/>
            <w:right w:val="none" w:sz="0" w:space="0" w:color="auto"/>
          </w:divBdr>
        </w:div>
        <w:div w:id="842280070">
          <w:marLeft w:val="0"/>
          <w:marRight w:val="0"/>
          <w:marTop w:val="0"/>
          <w:marBottom w:val="0"/>
          <w:divBdr>
            <w:top w:val="none" w:sz="0" w:space="0" w:color="auto"/>
            <w:left w:val="none" w:sz="0" w:space="0" w:color="auto"/>
            <w:bottom w:val="none" w:sz="0" w:space="0" w:color="auto"/>
            <w:right w:val="none" w:sz="0" w:space="0" w:color="auto"/>
          </w:divBdr>
        </w:div>
        <w:div w:id="893615904">
          <w:marLeft w:val="0"/>
          <w:marRight w:val="0"/>
          <w:marTop w:val="0"/>
          <w:marBottom w:val="0"/>
          <w:divBdr>
            <w:top w:val="none" w:sz="0" w:space="0" w:color="auto"/>
            <w:left w:val="none" w:sz="0" w:space="0" w:color="auto"/>
            <w:bottom w:val="none" w:sz="0" w:space="0" w:color="auto"/>
            <w:right w:val="none" w:sz="0" w:space="0" w:color="auto"/>
          </w:divBdr>
        </w:div>
        <w:div w:id="1589458597">
          <w:marLeft w:val="0"/>
          <w:marRight w:val="0"/>
          <w:marTop w:val="0"/>
          <w:marBottom w:val="0"/>
          <w:divBdr>
            <w:top w:val="none" w:sz="0" w:space="0" w:color="auto"/>
            <w:left w:val="none" w:sz="0" w:space="0" w:color="auto"/>
            <w:bottom w:val="none" w:sz="0" w:space="0" w:color="auto"/>
            <w:right w:val="none" w:sz="0" w:space="0" w:color="auto"/>
          </w:divBdr>
        </w:div>
        <w:div w:id="1781992743">
          <w:marLeft w:val="0"/>
          <w:marRight w:val="0"/>
          <w:marTop w:val="0"/>
          <w:marBottom w:val="0"/>
          <w:divBdr>
            <w:top w:val="none" w:sz="0" w:space="0" w:color="auto"/>
            <w:left w:val="none" w:sz="0" w:space="0" w:color="auto"/>
            <w:bottom w:val="none" w:sz="0" w:space="0" w:color="auto"/>
            <w:right w:val="none" w:sz="0" w:space="0" w:color="auto"/>
          </w:divBdr>
        </w:div>
        <w:div w:id="1792478770">
          <w:marLeft w:val="0"/>
          <w:marRight w:val="0"/>
          <w:marTop w:val="0"/>
          <w:marBottom w:val="0"/>
          <w:divBdr>
            <w:top w:val="none" w:sz="0" w:space="0" w:color="auto"/>
            <w:left w:val="none" w:sz="0" w:space="0" w:color="auto"/>
            <w:bottom w:val="none" w:sz="0" w:space="0" w:color="auto"/>
            <w:right w:val="none" w:sz="0" w:space="0" w:color="auto"/>
          </w:divBdr>
        </w:div>
        <w:div w:id="1857620462">
          <w:marLeft w:val="0"/>
          <w:marRight w:val="0"/>
          <w:marTop w:val="0"/>
          <w:marBottom w:val="0"/>
          <w:divBdr>
            <w:top w:val="none" w:sz="0" w:space="0" w:color="auto"/>
            <w:left w:val="none" w:sz="0" w:space="0" w:color="auto"/>
            <w:bottom w:val="none" w:sz="0" w:space="0" w:color="auto"/>
            <w:right w:val="none" w:sz="0" w:space="0" w:color="auto"/>
          </w:divBdr>
        </w:div>
        <w:div w:id="1891068262">
          <w:marLeft w:val="0"/>
          <w:marRight w:val="0"/>
          <w:marTop w:val="0"/>
          <w:marBottom w:val="0"/>
          <w:divBdr>
            <w:top w:val="none" w:sz="0" w:space="0" w:color="auto"/>
            <w:left w:val="none" w:sz="0" w:space="0" w:color="auto"/>
            <w:bottom w:val="none" w:sz="0" w:space="0" w:color="auto"/>
            <w:right w:val="none" w:sz="0" w:space="0" w:color="auto"/>
          </w:divBdr>
        </w:div>
      </w:divsChild>
    </w:div>
    <w:div w:id="533930253">
      <w:bodyDiv w:val="1"/>
      <w:marLeft w:val="0"/>
      <w:marRight w:val="0"/>
      <w:marTop w:val="0"/>
      <w:marBottom w:val="0"/>
      <w:divBdr>
        <w:top w:val="none" w:sz="0" w:space="0" w:color="auto"/>
        <w:left w:val="none" w:sz="0" w:space="0" w:color="auto"/>
        <w:bottom w:val="none" w:sz="0" w:space="0" w:color="auto"/>
        <w:right w:val="none" w:sz="0" w:space="0" w:color="auto"/>
      </w:divBdr>
    </w:div>
    <w:div w:id="544021506">
      <w:bodyDiv w:val="1"/>
      <w:marLeft w:val="0"/>
      <w:marRight w:val="0"/>
      <w:marTop w:val="0"/>
      <w:marBottom w:val="0"/>
      <w:divBdr>
        <w:top w:val="none" w:sz="0" w:space="0" w:color="auto"/>
        <w:left w:val="none" w:sz="0" w:space="0" w:color="auto"/>
        <w:bottom w:val="none" w:sz="0" w:space="0" w:color="auto"/>
        <w:right w:val="none" w:sz="0" w:space="0" w:color="auto"/>
      </w:divBdr>
    </w:div>
    <w:div w:id="546262120">
      <w:bodyDiv w:val="1"/>
      <w:marLeft w:val="0"/>
      <w:marRight w:val="0"/>
      <w:marTop w:val="0"/>
      <w:marBottom w:val="0"/>
      <w:divBdr>
        <w:top w:val="none" w:sz="0" w:space="0" w:color="auto"/>
        <w:left w:val="none" w:sz="0" w:space="0" w:color="auto"/>
        <w:bottom w:val="none" w:sz="0" w:space="0" w:color="auto"/>
        <w:right w:val="none" w:sz="0" w:space="0" w:color="auto"/>
      </w:divBdr>
    </w:div>
    <w:div w:id="550505958">
      <w:bodyDiv w:val="1"/>
      <w:marLeft w:val="0"/>
      <w:marRight w:val="0"/>
      <w:marTop w:val="0"/>
      <w:marBottom w:val="0"/>
      <w:divBdr>
        <w:top w:val="none" w:sz="0" w:space="0" w:color="auto"/>
        <w:left w:val="none" w:sz="0" w:space="0" w:color="auto"/>
        <w:bottom w:val="none" w:sz="0" w:space="0" w:color="auto"/>
        <w:right w:val="none" w:sz="0" w:space="0" w:color="auto"/>
      </w:divBdr>
    </w:div>
    <w:div w:id="553008445">
      <w:bodyDiv w:val="1"/>
      <w:marLeft w:val="0"/>
      <w:marRight w:val="0"/>
      <w:marTop w:val="0"/>
      <w:marBottom w:val="0"/>
      <w:divBdr>
        <w:top w:val="none" w:sz="0" w:space="0" w:color="auto"/>
        <w:left w:val="none" w:sz="0" w:space="0" w:color="auto"/>
        <w:bottom w:val="none" w:sz="0" w:space="0" w:color="auto"/>
        <w:right w:val="none" w:sz="0" w:space="0" w:color="auto"/>
      </w:divBdr>
    </w:div>
    <w:div w:id="557133122">
      <w:bodyDiv w:val="1"/>
      <w:marLeft w:val="0"/>
      <w:marRight w:val="0"/>
      <w:marTop w:val="0"/>
      <w:marBottom w:val="0"/>
      <w:divBdr>
        <w:top w:val="none" w:sz="0" w:space="0" w:color="auto"/>
        <w:left w:val="none" w:sz="0" w:space="0" w:color="auto"/>
        <w:bottom w:val="none" w:sz="0" w:space="0" w:color="auto"/>
        <w:right w:val="none" w:sz="0" w:space="0" w:color="auto"/>
      </w:divBdr>
    </w:div>
    <w:div w:id="561599405">
      <w:bodyDiv w:val="1"/>
      <w:marLeft w:val="0"/>
      <w:marRight w:val="0"/>
      <w:marTop w:val="0"/>
      <w:marBottom w:val="0"/>
      <w:divBdr>
        <w:top w:val="none" w:sz="0" w:space="0" w:color="auto"/>
        <w:left w:val="none" w:sz="0" w:space="0" w:color="auto"/>
        <w:bottom w:val="none" w:sz="0" w:space="0" w:color="auto"/>
        <w:right w:val="none" w:sz="0" w:space="0" w:color="auto"/>
      </w:divBdr>
    </w:div>
    <w:div w:id="562445784">
      <w:bodyDiv w:val="1"/>
      <w:marLeft w:val="0"/>
      <w:marRight w:val="0"/>
      <w:marTop w:val="0"/>
      <w:marBottom w:val="0"/>
      <w:divBdr>
        <w:top w:val="none" w:sz="0" w:space="0" w:color="auto"/>
        <w:left w:val="none" w:sz="0" w:space="0" w:color="auto"/>
        <w:bottom w:val="none" w:sz="0" w:space="0" w:color="auto"/>
        <w:right w:val="none" w:sz="0" w:space="0" w:color="auto"/>
      </w:divBdr>
    </w:div>
    <w:div w:id="565335704">
      <w:bodyDiv w:val="1"/>
      <w:marLeft w:val="0"/>
      <w:marRight w:val="0"/>
      <w:marTop w:val="0"/>
      <w:marBottom w:val="0"/>
      <w:divBdr>
        <w:top w:val="none" w:sz="0" w:space="0" w:color="auto"/>
        <w:left w:val="none" w:sz="0" w:space="0" w:color="auto"/>
        <w:bottom w:val="none" w:sz="0" w:space="0" w:color="auto"/>
        <w:right w:val="none" w:sz="0" w:space="0" w:color="auto"/>
      </w:divBdr>
    </w:div>
    <w:div w:id="567768522">
      <w:bodyDiv w:val="1"/>
      <w:marLeft w:val="0"/>
      <w:marRight w:val="0"/>
      <w:marTop w:val="0"/>
      <w:marBottom w:val="0"/>
      <w:divBdr>
        <w:top w:val="none" w:sz="0" w:space="0" w:color="auto"/>
        <w:left w:val="none" w:sz="0" w:space="0" w:color="auto"/>
        <w:bottom w:val="none" w:sz="0" w:space="0" w:color="auto"/>
        <w:right w:val="none" w:sz="0" w:space="0" w:color="auto"/>
      </w:divBdr>
    </w:div>
    <w:div w:id="577177676">
      <w:bodyDiv w:val="1"/>
      <w:marLeft w:val="0"/>
      <w:marRight w:val="0"/>
      <w:marTop w:val="0"/>
      <w:marBottom w:val="0"/>
      <w:divBdr>
        <w:top w:val="none" w:sz="0" w:space="0" w:color="auto"/>
        <w:left w:val="none" w:sz="0" w:space="0" w:color="auto"/>
        <w:bottom w:val="none" w:sz="0" w:space="0" w:color="auto"/>
        <w:right w:val="none" w:sz="0" w:space="0" w:color="auto"/>
      </w:divBdr>
    </w:div>
    <w:div w:id="589656253">
      <w:bodyDiv w:val="1"/>
      <w:marLeft w:val="0"/>
      <w:marRight w:val="0"/>
      <w:marTop w:val="0"/>
      <w:marBottom w:val="0"/>
      <w:divBdr>
        <w:top w:val="none" w:sz="0" w:space="0" w:color="auto"/>
        <w:left w:val="none" w:sz="0" w:space="0" w:color="auto"/>
        <w:bottom w:val="none" w:sz="0" w:space="0" w:color="auto"/>
        <w:right w:val="none" w:sz="0" w:space="0" w:color="auto"/>
      </w:divBdr>
    </w:div>
    <w:div w:id="591402658">
      <w:bodyDiv w:val="1"/>
      <w:marLeft w:val="0"/>
      <w:marRight w:val="0"/>
      <w:marTop w:val="0"/>
      <w:marBottom w:val="0"/>
      <w:divBdr>
        <w:top w:val="none" w:sz="0" w:space="0" w:color="auto"/>
        <w:left w:val="none" w:sz="0" w:space="0" w:color="auto"/>
        <w:bottom w:val="none" w:sz="0" w:space="0" w:color="auto"/>
        <w:right w:val="none" w:sz="0" w:space="0" w:color="auto"/>
      </w:divBdr>
    </w:div>
    <w:div w:id="595679093">
      <w:bodyDiv w:val="1"/>
      <w:marLeft w:val="0"/>
      <w:marRight w:val="0"/>
      <w:marTop w:val="0"/>
      <w:marBottom w:val="0"/>
      <w:divBdr>
        <w:top w:val="none" w:sz="0" w:space="0" w:color="auto"/>
        <w:left w:val="none" w:sz="0" w:space="0" w:color="auto"/>
        <w:bottom w:val="none" w:sz="0" w:space="0" w:color="auto"/>
        <w:right w:val="none" w:sz="0" w:space="0" w:color="auto"/>
      </w:divBdr>
    </w:div>
    <w:div w:id="601227338">
      <w:bodyDiv w:val="1"/>
      <w:marLeft w:val="0"/>
      <w:marRight w:val="0"/>
      <w:marTop w:val="0"/>
      <w:marBottom w:val="0"/>
      <w:divBdr>
        <w:top w:val="none" w:sz="0" w:space="0" w:color="auto"/>
        <w:left w:val="none" w:sz="0" w:space="0" w:color="auto"/>
        <w:bottom w:val="none" w:sz="0" w:space="0" w:color="auto"/>
        <w:right w:val="none" w:sz="0" w:space="0" w:color="auto"/>
      </w:divBdr>
    </w:div>
    <w:div w:id="618613381">
      <w:bodyDiv w:val="1"/>
      <w:marLeft w:val="0"/>
      <w:marRight w:val="0"/>
      <w:marTop w:val="0"/>
      <w:marBottom w:val="0"/>
      <w:divBdr>
        <w:top w:val="none" w:sz="0" w:space="0" w:color="auto"/>
        <w:left w:val="none" w:sz="0" w:space="0" w:color="auto"/>
        <w:bottom w:val="none" w:sz="0" w:space="0" w:color="auto"/>
        <w:right w:val="none" w:sz="0" w:space="0" w:color="auto"/>
      </w:divBdr>
    </w:div>
    <w:div w:id="630940706">
      <w:bodyDiv w:val="1"/>
      <w:marLeft w:val="0"/>
      <w:marRight w:val="0"/>
      <w:marTop w:val="0"/>
      <w:marBottom w:val="0"/>
      <w:divBdr>
        <w:top w:val="none" w:sz="0" w:space="0" w:color="auto"/>
        <w:left w:val="none" w:sz="0" w:space="0" w:color="auto"/>
        <w:bottom w:val="none" w:sz="0" w:space="0" w:color="auto"/>
        <w:right w:val="none" w:sz="0" w:space="0" w:color="auto"/>
      </w:divBdr>
    </w:div>
    <w:div w:id="642462657">
      <w:bodyDiv w:val="1"/>
      <w:marLeft w:val="0"/>
      <w:marRight w:val="0"/>
      <w:marTop w:val="0"/>
      <w:marBottom w:val="0"/>
      <w:divBdr>
        <w:top w:val="none" w:sz="0" w:space="0" w:color="auto"/>
        <w:left w:val="none" w:sz="0" w:space="0" w:color="auto"/>
        <w:bottom w:val="none" w:sz="0" w:space="0" w:color="auto"/>
        <w:right w:val="none" w:sz="0" w:space="0" w:color="auto"/>
      </w:divBdr>
    </w:div>
    <w:div w:id="647855446">
      <w:bodyDiv w:val="1"/>
      <w:marLeft w:val="0"/>
      <w:marRight w:val="0"/>
      <w:marTop w:val="0"/>
      <w:marBottom w:val="0"/>
      <w:divBdr>
        <w:top w:val="none" w:sz="0" w:space="0" w:color="auto"/>
        <w:left w:val="none" w:sz="0" w:space="0" w:color="auto"/>
        <w:bottom w:val="none" w:sz="0" w:space="0" w:color="auto"/>
        <w:right w:val="none" w:sz="0" w:space="0" w:color="auto"/>
      </w:divBdr>
      <w:divsChild>
        <w:div w:id="1176844913">
          <w:marLeft w:val="0"/>
          <w:marRight w:val="0"/>
          <w:marTop w:val="0"/>
          <w:marBottom w:val="0"/>
          <w:divBdr>
            <w:top w:val="none" w:sz="0" w:space="0" w:color="auto"/>
            <w:left w:val="none" w:sz="0" w:space="0" w:color="auto"/>
            <w:bottom w:val="none" w:sz="0" w:space="0" w:color="auto"/>
            <w:right w:val="none" w:sz="0" w:space="0" w:color="auto"/>
          </w:divBdr>
          <w:divsChild>
            <w:div w:id="548146225">
              <w:marLeft w:val="0"/>
              <w:marRight w:val="0"/>
              <w:marTop w:val="0"/>
              <w:marBottom w:val="0"/>
              <w:divBdr>
                <w:top w:val="none" w:sz="0" w:space="0" w:color="auto"/>
                <w:left w:val="none" w:sz="0" w:space="0" w:color="auto"/>
                <w:bottom w:val="none" w:sz="0" w:space="0" w:color="auto"/>
                <w:right w:val="none" w:sz="0" w:space="0" w:color="auto"/>
              </w:divBdr>
              <w:divsChild>
                <w:div w:id="2057465828">
                  <w:marLeft w:val="0"/>
                  <w:marRight w:val="0"/>
                  <w:marTop w:val="0"/>
                  <w:marBottom w:val="0"/>
                  <w:divBdr>
                    <w:top w:val="none" w:sz="0" w:space="0" w:color="auto"/>
                    <w:left w:val="none" w:sz="0" w:space="0" w:color="auto"/>
                    <w:bottom w:val="none" w:sz="0" w:space="0" w:color="auto"/>
                    <w:right w:val="none" w:sz="0" w:space="0" w:color="auto"/>
                  </w:divBdr>
                  <w:divsChild>
                    <w:div w:id="1480682360">
                      <w:marLeft w:val="0"/>
                      <w:marRight w:val="0"/>
                      <w:marTop w:val="0"/>
                      <w:marBottom w:val="0"/>
                      <w:divBdr>
                        <w:top w:val="none" w:sz="0" w:space="0" w:color="auto"/>
                        <w:left w:val="none" w:sz="0" w:space="0" w:color="auto"/>
                        <w:bottom w:val="none" w:sz="0" w:space="0" w:color="auto"/>
                        <w:right w:val="none" w:sz="0" w:space="0" w:color="auto"/>
                      </w:divBdr>
                      <w:divsChild>
                        <w:div w:id="1855992944">
                          <w:marLeft w:val="0"/>
                          <w:marRight w:val="0"/>
                          <w:marTop w:val="0"/>
                          <w:marBottom w:val="0"/>
                          <w:divBdr>
                            <w:top w:val="none" w:sz="0" w:space="0" w:color="auto"/>
                            <w:left w:val="none" w:sz="0" w:space="0" w:color="auto"/>
                            <w:bottom w:val="none" w:sz="0" w:space="0" w:color="auto"/>
                            <w:right w:val="none" w:sz="0" w:space="0" w:color="auto"/>
                          </w:divBdr>
                        </w:div>
                        <w:div w:id="1954483026">
                          <w:marLeft w:val="0"/>
                          <w:marRight w:val="0"/>
                          <w:marTop w:val="0"/>
                          <w:marBottom w:val="0"/>
                          <w:divBdr>
                            <w:top w:val="none" w:sz="0" w:space="0" w:color="auto"/>
                            <w:left w:val="none" w:sz="0" w:space="0" w:color="auto"/>
                            <w:bottom w:val="none" w:sz="0" w:space="0" w:color="auto"/>
                            <w:right w:val="none" w:sz="0" w:space="0" w:color="auto"/>
                          </w:divBdr>
                          <w:divsChild>
                            <w:div w:id="10716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3891">
                      <w:marLeft w:val="0"/>
                      <w:marRight w:val="0"/>
                      <w:marTop w:val="300"/>
                      <w:marBottom w:val="0"/>
                      <w:divBdr>
                        <w:top w:val="none" w:sz="0" w:space="0" w:color="auto"/>
                        <w:left w:val="none" w:sz="0" w:space="0" w:color="auto"/>
                        <w:bottom w:val="none" w:sz="0" w:space="0" w:color="auto"/>
                        <w:right w:val="none" w:sz="0" w:space="0" w:color="auto"/>
                      </w:divBdr>
                      <w:divsChild>
                        <w:div w:id="1435250200">
                          <w:marLeft w:val="0"/>
                          <w:marRight w:val="0"/>
                          <w:marTop w:val="0"/>
                          <w:marBottom w:val="0"/>
                          <w:divBdr>
                            <w:top w:val="none" w:sz="0" w:space="0" w:color="auto"/>
                            <w:left w:val="none" w:sz="0" w:space="0" w:color="auto"/>
                            <w:bottom w:val="none" w:sz="0" w:space="0" w:color="auto"/>
                            <w:right w:val="none" w:sz="0" w:space="0" w:color="auto"/>
                          </w:divBdr>
                          <w:divsChild>
                            <w:div w:id="11280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829073">
      <w:bodyDiv w:val="1"/>
      <w:marLeft w:val="0"/>
      <w:marRight w:val="0"/>
      <w:marTop w:val="0"/>
      <w:marBottom w:val="0"/>
      <w:divBdr>
        <w:top w:val="none" w:sz="0" w:space="0" w:color="auto"/>
        <w:left w:val="none" w:sz="0" w:space="0" w:color="auto"/>
        <w:bottom w:val="none" w:sz="0" w:space="0" w:color="auto"/>
        <w:right w:val="none" w:sz="0" w:space="0" w:color="auto"/>
      </w:divBdr>
    </w:div>
    <w:div w:id="654722521">
      <w:bodyDiv w:val="1"/>
      <w:marLeft w:val="0"/>
      <w:marRight w:val="0"/>
      <w:marTop w:val="0"/>
      <w:marBottom w:val="0"/>
      <w:divBdr>
        <w:top w:val="none" w:sz="0" w:space="0" w:color="auto"/>
        <w:left w:val="none" w:sz="0" w:space="0" w:color="auto"/>
        <w:bottom w:val="none" w:sz="0" w:space="0" w:color="auto"/>
        <w:right w:val="none" w:sz="0" w:space="0" w:color="auto"/>
      </w:divBdr>
    </w:div>
    <w:div w:id="657268795">
      <w:bodyDiv w:val="1"/>
      <w:marLeft w:val="0"/>
      <w:marRight w:val="0"/>
      <w:marTop w:val="0"/>
      <w:marBottom w:val="0"/>
      <w:divBdr>
        <w:top w:val="none" w:sz="0" w:space="0" w:color="auto"/>
        <w:left w:val="none" w:sz="0" w:space="0" w:color="auto"/>
        <w:bottom w:val="none" w:sz="0" w:space="0" w:color="auto"/>
        <w:right w:val="none" w:sz="0" w:space="0" w:color="auto"/>
      </w:divBdr>
    </w:div>
    <w:div w:id="664163854">
      <w:bodyDiv w:val="1"/>
      <w:marLeft w:val="0"/>
      <w:marRight w:val="0"/>
      <w:marTop w:val="0"/>
      <w:marBottom w:val="0"/>
      <w:divBdr>
        <w:top w:val="none" w:sz="0" w:space="0" w:color="auto"/>
        <w:left w:val="none" w:sz="0" w:space="0" w:color="auto"/>
        <w:bottom w:val="none" w:sz="0" w:space="0" w:color="auto"/>
        <w:right w:val="none" w:sz="0" w:space="0" w:color="auto"/>
      </w:divBdr>
    </w:div>
    <w:div w:id="667055911">
      <w:bodyDiv w:val="1"/>
      <w:marLeft w:val="0"/>
      <w:marRight w:val="0"/>
      <w:marTop w:val="0"/>
      <w:marBottom w:val="0"/>
      <w:divBdr>
        <w:top w:val="none" w:sz="0" w:space="0" w:color="auto"/>
        <w:left w:val="none" w:sz="0" w:space="0" w:color="auto"/>
        <w:bottom w:val="none" w:sz="0" w:space="0" w:color="auto"/>
        <w:right w:val="none" w:sz="0" w:space="0" w:color="auto"/>
      </w:divBdr>
    </w:div>
    <w:div w:id="669874731">
      <w:bodyDiv w:val="1"/>
      <w:marLeft w:val="0"/>
      <w:marRight w:val="0"/>
      <w:marTop w:val="0"/>
      <w:marBottom w:val="0"/>
      <w:divBdr>
        <w:top w:val="none" w:sz="0" w:space="0" w:color="auto"/>
        <w:left w:val="none" w:sz="0" w:space="0" w:color="auto"/>
        <w:bottom w:val="none" w:sz="0" w:space="0" w:color="auto"/>
        <w:right w:val="none" w:sz="0" w:space="0" w:color="auto"/>
      </w:divBdr>
    </w:div>
    <w:div w:id="675352717">
      <w:bodyDiv w:val="1"/>
      <w:marLeft w:val="0"/>
      <w:marRight w:val="0"/>
      <w:marTop w:val="0"/>
      <w:marBottom w:val="0"/>
      <w:divBdr>
        <w:top w:val="none" w:sz="0" w:space="0" w:color="auto"/>
        <w:left w:val="none" w:sz="0" w:space="0" w:color="auto"/>
        <w:bottom w:val="none" w:sz="0" w:space="0" w:color="auto"/>
        <w:right w:val="none" w:sz="0" w:space="0" w:color="auto"/>
      </w:divBdr>
    </w:div>
    <w:div w:id="686903892">
      <w:bodyDiv w:val="1"/>
      <w:marLeft w:val="0"/>
      <w:marRight w:val="0"/>
      <w:marTop w:val="0"/>
      <w:marBottom w:val="0"/>
      <w:divBdr>
        <w:top w:val="none" w:sz="0" w:space="0" w:color="auto"/>
        <w:left w:val="none" w:sz="0" w:space="0" w:color="auto"/>
        <w:bottom w:val="none" w:sz="0" w:space="0" w:color="auto"/>
        <w:right w:val="none" w:sz="0" w:space="0" w:color="auto"/>
      </w:divBdr>
      <w:divsChild>
        <w:div w:id="1509373176">
          <w:marLeft w:val="0"/>
          <w:marRight w:val="0"/>
          <w:marTop w:val="0"/>
          <w:marBottom w:val="0"/>
          <w:divBdr>
            <w:top w:val="none" w:sz="0" w:space="0" w:color="auto"/>
            <w:left w:val="none" w:sz="0" w:space="0" w:color="auto"/>
            <w:bottom w:val="none" w:sz="0" w:space="0" w:color="auto"/>
            <w:right w:val="none" w:sz="0" w:space="0" w:color="auto"/>
          </w:divBdr>
        </w:div>
      </w:divsChild>
    </w:div>
    <w:div w:id="692732761">
      <w:bodyDiv w:val="1"/>
      <w:marLeft w:val="0"/>
      <w:marRight w:val="0"/>
      <w:marTop w:val="0"/>
      <w:marBottom w:val="0"/>
      <w:divBdr>
        <w:top w:val="none" w:sz="0" w:space="0" w:color="auto"/>
        <w:left w:val="none" w:sz="0" w:space="0" w:color="auto"/>
        <w:bottom w:val="none" w:sz="0" w:space="0" w:color="auto"/>
        <w:right w:val="none" w:sz="0" w:space="0" w:color="auto"/>
      </w:divBdr>
    </w:div>
    <w:div w:id="721441969">
      <w:bodyDiv w:val="1"/>
      <w:marLeft w:val="0"/>
      <w:marRight w:val="0"/>
      <w:marTop w:val="0"/>
      <w:marBottom w:val="0"/>
      <w:divBdr>
        <w:top w:val="none" w:sz="0" w:space="0" w:color="auto"/>
        <w:left w:val="none" w:sz="0" w:space="0" w:color="auto"/>
        <w:bottom w:val="none" w:sz="0" w:space="0" w:color="auto"/>
        <w:right w:val="none" w:sz="0" w:space="0" w:color="auto"/>
      </w:divBdr>
    </w:div>
    <w:div w:id="723407862">
      <w:bodyDiv w:val="1"/>
      <w:marLeft w:val="0"/>
      <w:marRight w:val="0"/>
      <w:marTop w:val="0"/>
      <w:marBottom w:val="0"/>
      <w:divBdr>
        <w:top w:val="none" w:sz="0" w:space="0" w:color="auto"/>
        <w:left w:val="none" w:sz="0" w:space="0" w:color="auto"/>
        <w:bottom w:val="none" w:sz="0" w:space="0" w:color="auto"/>
        <w:right w:val="none" w:sz="0" w:space="0" w:color="auto"/>
      </w:divBdr>
    </w:div>
    <w:div w:id="738289817">
      <w:bodyDiv w:val="1"/>
      <w:marLeft w:val="0"/>
      <w:marRight w:val="0"/>
      <w:marTop w:val="0"/>
      <w:marBottom w:val="0"/>
      <w:divBdr>
        <w:top w:val="none" w:sz="0" w:space="0" w:color="auto"/>
        <w:left w:val="none" w:sz="0" w:space="0" w:color="auto"/>
        <w:bottom w:val="none" w:sz="0" w:space="0" w:color="auto"/>
        <w:right w:val="none" w:sz="0" w:space="0" w:color="auto"/>
      </w:divBdr>
    </w:div>
    <w:div w:id="745346597">
      <w:bodyDiv w:val="1"/>
      <w:marLeft w:val="0"/>
      <w:marRight w:val="0"/>
      <w:marTop w:val="0"/>
      <w:marBottom w:val="0"/>
      <w:divBdr>
        <w:top w:val="none" w:sz="0" w:space="0" w:color="auto"/>
        <w:left w:val="none" w:sz="0" w:space="0" w:color="auto"/>
        <w:bottom w:val="none" w:sz="0" w:space="0" w:color="auto"/>
        <w:right w:val="none" w:sz="0" w:space="0" w:color="auto"/>
      </w:divBdr>
    </w:div>
    <w:div w:id="745347214">
      <w:bodyDiv w:val="1"/>
      <w:marLeft w:val="0"/>
      <w:marRight w:val="0"/>
      <w:marTop w:val="0"/>
      <w:marBottom w:val="0"/>
      <w:divBdr>
        <w:top w:val="none" w:sz="0" w:space="0" w:color="auto"/>
        <w:left w:val="none" w:sz="0" w:space="0" w:color="auto"/>
        <w:bottom w:val="none" w:sz="0" w:space="0" w:color="auto"/>
        <w:right w:val="none" w:sz="0" w:space="0" w:color="auto"/>
      </w:divBdr>
    </w:div>
    <w:div w:id="746154030">
      <w:bodyDiv w:val="1"/>
      <w:marLeft w:val="0"/>
      <w:marRight w:val="0"/>
      <w:marTop w:val="0"/>
      <w:marBottom w:val="0"/>
      <w:divBdr>
        <w:top w:val="none" w:sz="0" w:space="0" w:color="auto"/>
        <w:left w:val="none" w:sz="0" w:space="0" w:color="auto"/>
        <w:bottom w:val="none" w:sz="0" w:space="0" w:color="auto"/>
        <w:right w:val="none" w:sz="0" w:space="0" w:color="auto"/>
      </w:divBdr>
    </w:div>
    <w:div w:id="747769039">
      <w:bodyDiv w:val="1"/>
      <w:marLeft w:val="0"/>
      <w:marRight w:val="0"/>
      <w:marTop w:val="0"/>
      <w:marBottom w:val="0"/>
      <w:divBdr>
        <w:top w:val="none" w:sz="0" w:space="0" w:color="auto"/>
        <w:left w:val="none" w:sz="0" w:space="0" w:color="auto"/>
        <w:bottom w:val="none" w:sz="0" w:space="0" w:color="auto"/>
        <w:right w:val="none" w:sz="0" w:space="0" w:color="auto"/>
      </w:divBdr>
      <w:divsChild>
        <w:div w:id="1314525280">
          <w:marLeft w:val="0"/>
          <w:marRight w:val="0"/>
          <w:marTop w:val="0"/>
          <w:marBottom w:val="0"/>
          <w:divBdr>
            <w:top w:val="none" w:sz="0" w:space="0" w:color="auto"/>
            <w:left w:val="none" w:sz="0" w:space="0" w:color="auto"/>
            <w:bottom w:val="none" w:sz="0" w:space="0" w:color="auto"/>
            <w:right w:val="none" w:sz="0" w:space="0" w:color="auto"/>
          </w:divBdr>
          <w:divsChild>
            <w:div w:id="1475684587">
              <w:marLeft w:val="0"/>
              <w:marRight w:val="0"/>
              <w:marTop w:val="0"/>
              <w:marBottom w:val="0"/>
              <w:divBdr>
                <w:top w:val="none" w:sz="0" w:space="0" w:color="auto"/>
                <w:left w:val="none" w:sz="0" w:space="0" w:color="auto"/>
                <w:bottom w:val="none" w:sz="0" w:space="0" w:color="auto"/>
                <w:right w:val="none" w:sz="0" w:space="0" w:color="auto"/>
              </w:divBdr>
              <w:divsChild>
                <w:div w:id="1387142725">
                  <w:marLeft w:val="0"/>
                  <w:marRight w:val="0"/>
                  <w:marTop w:val="0"/>
                  <w:marBottom w:val="0"/>
                  <w:divBdr>
                    <w:top w:val="none" w:sz="0" w:space="0" w:color="auto"/>
                    <w:left w:val="none" w:sz="0" w:space="0" w:color="auto"/>
                    <w:bottom w:val="none" w:sz="0" w:space="0" w:color="auto"/>
                    <w:right w:val="none" w:sz="0" w:space="0" w:color="auto"/>
                  </w:divBdr>
                  <w:divsChild>
                    <w:div w:id="1234194923">
                      <w:marLeft w:val="0"/>
                      <w:marRight w:val="0"/>
                      <w:marTop w:val="300"/>
                      <w:marBottom w:val="0"/>
                      <w:divBdr>
                        <w:top w:val="none" w:sz="0" w:space="0" w:color="auto"/>
                        <w:left w:val="none" w:sz="0" w:space="0" w:color="auto"/>
                        <w:bottom w:val="none" w:sz="0" w:space="0" w:color="auto"/>
                        <w:right w:val="none" w:sz="0" w:space="0" w:color="auto"/>
                      </w:divBdr>
                      <w:divsChild>
                        <w:div w:id="496456538">
                          <w:marLeft w:val="0"/>
                          <w:marRight w:val="0"/>
                          <w:marTop w:val="0"/>
                          <w:marBottom w:val="0"/>
                          <w:divBdr>
                            <w:top w:val="none" w:sz="0" w:space="0" w:color="auto"/>
                            <w:left w:val="none" w:sz="0" w:space="0" w:color="auto"/>
                            <w:bottom w:val="none" w:sz="0" w:space="0" w:color="auto"/>
                            <w:right w:val="none" w:sz="0" w:space="0" w:color="auto"/>
                          </w:divBdr>
                          <w:divsChild>
                            <w:div w:id="2630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9170">
                      <w:marLeft w:val="0"/>
                      <w:marRight w:val="0"/>
                      <w:marTop w:val="0"/>
                      <w:marBottom w:val="0"/>
                      <w:divBdr>
                        <w:top w:val="none" w:sz="0" w:space="0" w:color="auto"/>
                        <w:left w:val="none" w:sz="0" w:space="0" w:color="auto"/>
                        <w:bottom w:val="none" w:sz="0" w:space="0" w:color="auto"/>
                        <w:right w:val="none" w:sz="0" w:space="0" w:color="auto"/>
                      </w:divBdr>
                      <w:divsChild>
                        <w:div w:id="511335137">
                          <w:marLeft w:val="0"/>
                          <w:marRight w:val="0"/>
                          <w:marTop w:val="0"/>
                          <w:marBottom w:val="0"/>
                          <w:divBdr>
                            <w:top w:val="none" w:sz="0" w:space="0" w:color="auto"/>
                            <w:left w:val="none" w:sz="0" w:space="0" w:color="auto"/>
                            <w:bottom w:val="none" w:sz="0" w:space="0" w:color="auto"/>
                            <w:right w:val="none" w:sz="0" w:space="0" w:color="auto"/>
                          </w:divBdr>
                        </w:div>
                        <w:div w:id="517622895">
                          <w:marLeft w:val="0"/>
                          <w:marRight w:val="0"/>
                          <w:marTop w:val="0"/>
                          <w:marBottom w:val="0"/>
                          <w:divBdr>
                            <w:top w:val="none" w:sz="0" w:space="0" w:color="auto"/>
                            <w:left w:val="none" w:sz="0" w:space="0" w:color="auto"/>
                            <w:bottom w:val="none" w:sz="0" w:space="0" w:color="auto"/>
                            <w:right w:val="none" w:sz="0" w:space="0" w:color="auto"/>
                          </w:divBdr>
                          <w:divsChild>
                            <w:div w:id="1392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047814">
      <w:bodyDiv w:val="1"/>
      <w:marLeft w:val="0"/>
      <w:marRight w:val="0"/>
      <w:marTop w:val="0"/>
      <w:marBottom w:val="0"/>
      <w:divBdr>
        <w:top w:val="none" w:sz="0" w:space="0" w:color="auto"/>
        <w:left w:val="none" w:sz="0" w:space="0" w:color="auto"/>
        <w:bottom w:val="none" w:sz="0" w:space="0" w:color="auto"/>
        <w:right w:val="none" w:sz="0" w:space="0" w:color="auto"/>
      </w:divBdr>
      <w:divsChild>
        <w:div w:id="1733891682">
          <w:marLeft w:val="0"/>
          <w:marRight w:val="0"/>
          <w:marTop w:val="0"/>
          <w:marBottom w:val="0"/>
          <w:divBdr>
            <w:top w:val="none" w:sz="0" w:space="0" w:color="auto"/>
            <w:left w:val="none" w:sz="0" w:space="0" w:color="auto"/>
            <w:bottom w:val="none" w:sz="0" w:space="0" w:color="auto"/>
            <w:right w:val="none" w:sz="0" w:space="0" w:color="auto"/>
          </w:divBdr>
          <w:divsChild>
            <w:div w:id="1555310641">
              <w:marLeft w:val="0"/>
              <w:marRight w:val="0"/>
              <w:marTop w:val="0"/>
              <w:marBottom w:val="0"/>
              <w:divBdr>
                <w:top w:val="none" w:sz="0" w:space="0" w:color="auto"/>
                <w:left w:val="none" w:sz="0" w:space="0" w:color="auto"/>
                <w:bottom w:val="none" w:sz="0" w:space="0" w:color="auto"/>
                <w:right w:val="none" w:sz="0" w:space="0" w:color="auto"/>
              </w:divBdr>
              <w:divsChild>
                <w:div w:id="1159737640">
                  <w:marLeft w:val="0"/>
                  <w:marRight w:val="0"/>
                  <w:marTop w:val="0"/>
                  <w:marBottom w:val="0"/>
                  <w:divBdr>
                    <w:top w:val="none" w:sz="0" w:space="0" w:color="auto"/>
                    <w:left w:val="none" w:sz="0" w:space="0" w:color="auto"/>
                    <w:bottom w:val="none" w:sz="0" w:space="0" w:color="auto"/>
                    <w:right w:val="none" w:sz="0" w:space="0" w:color="auto"/>
                  </w:divBdr>
                  <w:divsChild>
                    <w:div w:id="1445886826">
                      <w:marLeft w:val="0"/>
                      <w:marRight w:val="0"/>
                      <w:marTop w:val="0"/>
                      <w:marBottom w:val="0"/>
                      <w:divBdr>
                        <w:top w:val="none" w:sz="0" w:space="0" w:color="auto"/>
                        <w:left w:val="none" w:sz="0" w:space="0" w:color="auto"/>
                        <w:bottom w:val="none" w:sz="0" w:space="0" w:color="auto"/>
                        <w:right w:val="none" w:sz="0" w:space="0" w:color="auto"/>
                      </w:divBdr>
                      <w:divsChild>
                        <w:div w:id="819931688">
                          <w:marLeft w:val="0"/>
                          <w:marRight w:val="0"/>
                          <w:marTop w:val="0"/>
                          <w:marBottom w:val="0"/>
                          <w:divBdr>
                            <w:top w:val="none" w:sz="0" w:space="0" w:color="auto"/>
                            <w:left w:val="none" w:sz="0" w:space="0" w:color="auto"/>
                            <w:bottom w:val="none" w:sz="0" w:space="0" w:color="auto"/>
                            <w:right w:val="none" w:sz="0" w:space="0" w:color="auto"/>
                          </w:divBdr>
                          <w:divsChild>
                            <w:div w:id="861170109">
                              <w:marLeft w:val="0"/>
                              <w:marRight w:val="0"/>
                              <w:marTop w:val="0"/>
                              <w:marBottom w:val="0"/>
                              <w:divBdr>
                                <w:top w:val="none" w:sz="0" w:space="0" w:color="auto"/>
                                <w:left w:val="none" w:sz="0" w:space="0" w:color="auto"/>
                                <w:bottom w:val="none" w:sz="0" w:space="0" w:color="auto"/>
                                <w:right w:val="none" w:sz="0" w:space="0" w:color="auto"/>
                              </w:divBdr>
                              <w:divsChild>
                                <w:div w:id="440533040">
                                  <w:marLeft w:val="0"/>
                                  <w:marRight w:val="0"/>
                                  <w:marTop w:val="0"/>
                                  <w:marBottom w:val="0"/>
                                  <w:divBdr>
                                    <w:top w:val="none" w:sz="0" w:space="0" w:color="auto"/>
                                    <w:left w:val="none" w:sz="0" w:space="0" w:color="auto"/>
                                    <w:bottom w:val="none" w:sz="0" w:space="0" w:color="auto"/>
                                    <w:right w:val="none" w:sz="0" w:space="0" w:color="auto"/>
                                  </w:divBdr>
                                  <w:divsChild>
                                    <w:div w:id="929392364">
                                      <w:marLeft w:val="0"/>
                                      <w:marRight w:val="0"/>
                                      <w:marTop w:val="0"/>
                                      <w:marBottom w:val="0"/>
                                      <w:divBdr>
                                        <w:top w:val="none" w:sz="0" w:space="0" w:color="auto"/>
                                        <w:left w:val="none" w:sz="0" w:space="0" w:color="auto"/>
                                        <w:bottom w:val="none" w:sz="0" w:space="0" w:color="auto"/>
                                        <w:right w:val="none" w:sz="0" w:space="0" w:color="auto"/>
                                      </w:divBdr>
                                      <w:divsChild>
                                        <w:div w:id="1461459087">
                                          <w:marLeft w:val="0"/>
                                          <w:marRight w:val="0"/>
                                          <w:marTop w:val="0"/>
                                          <w:marBottom w:val="0"/>
                                          <w:divBdr>
                                            <w:top w:val="none" w:sz="0" w:space="0" w:color="auto"/>
                                            <w:left w:val="none" w:sz="0" w:space="0" w:color="auto"/>
                                            <w:bottom w:val="none" w:sz="0" w:space="0" w:color="auto"/>
                                            <w:right w:val="none" w:sz="0" w:space="0" w:color="auto"/>
                                          </w:divBdr>
                                          <w:divsChild>
                                            <w:div w:id="1229342835">
                                              <w:marLeft w:val="0"/>
                                              <w:marRight w:val="0"/>
                                              <w:marTop w:val="0"/>
                                              <w:marBottom w:val="0"/>
                                              <w:divBdr>
                                                <w:top w:val="none" w:sz="0" w:space="0" w:color="auto"/>
                                                <w:left w:val="none" w:sz="0" w:space="0" w:color="auto"/>
                                                <w:bottom w:val="none" w:sz="0" w:space="0" w:color="auto"/>
                                                <w:right w:val="none" w:sz="0" w:space="0" w:color="auto"/>
                                              </w:divBdr>
                                              <w:divsChild>
                                                <w:div w:id="992564008">
                                                  <w:marLeft w:val="0"/>
                                                  <w:marRight w:val="0"/>
                                                  <w:marTop w:val="0"/>
                                                  <w:marBottom w:val="0"/>
                                                  <w:divBdr>
                                                    <w:top w:val="none" w:sz="0" w:space="0" w:color="auto"/>
                                                    <w:left w:val="none" w:sz="0" w:space="0" w:color="auto"/>
                                                    <w:bottom w:val="none" w:sz="0" w:space="0" w:color="auto"/>
                                                    <w:right w:val="none" w:sz="0" w:space="0" w:color="auto"/>
                                                  </w:divBdr>
                                                  <w:divsChild>
                                                    <w:div w:id="15534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8627">
                                              <w:marLeft w:val="0"/>
                                              <w:marRight w:val="0"/>
                                              <w:marTop w:val="0"/>
                                              <w:marBottom w:val="0"/>
                                              <w:divBdr>
                                                <w:top w:val="none" w:sz="0" w:space="0" w:color="auto"/>
                                                <w:left w:val="none" w:sz="0" w:space="0" w:color="auto"/>
                                                <w:bottom w:val="none" w:sz="0" w:space="0" w:color="auto"/>
                                                <w:right w:val="none" w:sz="0" w:space="0" w:color="auto"/>
                                              </w:divBdr>
                                              <w:divsChild>
                                                <w:div w:id="807555994">
                                                  <w:marLeft w:val="0"/>
                                                  <w:marRight w:val="0"/>
                                                  <w:marTop w:val="0"/>
                                                  <w:marBottom w:val="0"/>
                                                  <w:divBdr>
                                                    <w:top w:val="none" w:sz="0" w:space="0" w:color="auto"/>
                                                    <w:left w:val="none" w:sz="0" w:space="0" w:color="auto"/>
                                                    <w:bottom w:val="none" w:sz="0" w:space="0" w:color="auto"/>
                                                    <w:right w:val="none" w:sz="0" w:space="0" w:color="auto"/>
                                                  </w:divBdr>
                                                  <w:divsChild>
                                                    <w:div w:id="1991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026654">
                  <w:marLeft w:val="0"/>
                  <w:marRight w:val="0"/>
                  <w:marTop w:val="0"/>
                  <w:marBottom w:val="0"/>
                  <w:divBdr>
                    <w:top w:val="none" w:sz="0" w:space="0" w:color="auto"/>
                    <w:left w:val="none" w:sz="0" w:space="0" w:color="auto"/>
                    <w:bottom w:val="none" w:sz="0" w:space="0" w:color="auto"/>
                    <w:right w:val="none" w:sz="0" w:space="0" w:color="auto"/>
                  </w:divBdr>
                  <w:divsChild>
                    <w:div w:id="1353650773">
                      <w:marLeft w:val="0"/>
                      <w:marRight w:val="0"/>
                      <w:marTop w:val="0"/>
                      <w:marBottom w:val="0"/>
                      <w:divBdr>
                        <w:top w:val="none" w:sz="0" w:space="0" w:color="auto"/>
                        <w:left w:val="none" w:sz="0" w:space="0" w:color="auto"/>
                        <w:bottom w:val="none" w:sz="0" w:space="0" w:color="auto"/>
                        <w:right w:val="none" w:sz="0" w:space="0" w:color="auto"/>
                      </w:divBdr>
                      <w:divsChild>
                        <w:div w:id="1937328982">
                          <w:marLeft w:val="0"/>
                          <w:marRight w:val="0"/>
                          <w:marTop w:val="0"/>
                          <w:marBottom w:val="0"/>
                          <w:divBdr>
                            <w:top w:val="none" w:sz="0" w:space="0" w:color="auto"/>
                            <w:left w:val="none" w:sz="0" w:space="0" w:color="auto"/>
                            <w:bottom w:val="none" w:sz="0" w:space="0" w:color="auto"/>
                            <w:right w:val="none" w:sz="0" w:space="0" w:color="auto"/>
                          </w:divBdr>
                          <w:divsChild>
                            <w:div w:id="117922422">
                              <w:marLeft w:val="0"/>
                              <w:marRight w:val="0"/>
                              <w:marTop w:val="0"/>
                              <w:marBottom w:val="0"/>
                              <w:divBdr>
                                <w:top w:val="none" w:sz="0" w:space="0" w:color="auto"/>
                                <w:left w:val="none" w:sz="0" w:space="0" w:color="auto"/>
                                <w:bottom w:val="none" w:sz="0" w:space="0" w:color="auto"/>
                                <w:right w:val="none" w:sz="0" w:space="0" w:color="auto"/>
                              </w:divBdr>
                              <w:divsChild>
                                <w:div w:id="76293243">
                                  <w:marLeft w:val="0"/>
                                  <w:marRight w:val="0"/>
                                  <w:marTop w:val="0"/>
                                  <w:marBottom w:val="0"/>
                                  <w:divBdr>
                                    <w:top w:val="none" w:sz="0" w:space="0" w:color="auto"/>
                                    <w:left w:val="none" w:sz="0" w:space="0" w:color="auto"/>
                                    <w:bottom w:val="none" w:sz="0" w:space="0" w:color="auto"/>
                                    <w:right w:val="none" w:sz="0" w:space="0" w:color="auto"/>
                                  </w:divBdr>
                                  <w:divsChild>
                                    <w:div w:id="1988583634">
                                      <w:marLeft w:val="0"/>
                                      <w:marRight w:val="0"/>
                                      <w:marTop w:val="0"/>
                                      <w:marBottom w:val="0"/>
                                      <w:divBdr>
                                        <w:top w:val="none" w:sz="0" w:space="0" w:color="auto"/>
                                        <w:left w:val="none" w:sz="0" w:space="0" w:color="auto"/>
                                        <w:bottom w:val="none" w:sz="0" w:space="0" w:color="auto"/>
                                        <w:right w:val="none" w:sz="0" w:space="0" w:color="auto"/>
                                      </w:divBdr>
                                      <w:divsChild>
                                        <w:div w:id="4350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759495">
                  <w:marLeft w:val="0"/>
                  <w:marRight w:val="0"/>
                  <w:marTop w:val="0"/>
                  <w:marBottom w:val="0"/>
                  <w:divBdr>
                    <w:top w:val="none" w:sz="0" w:space="0" w:color="auto"/>
                    <w:left w:val="none" w:sz="0" w:space="0" w:color="auto"/>
                    <w:bottom w:val="none" w:sz="0" w:space="0" w:color="auto"/>
                    <w:right w:val="none" w:sz="0" w:space="0" w:color="auto"/>
                  </w:divBdr>
                  <w:divsChild>
                    <w:div w:id="176892437">
                      <w:marLeft w:val="0"/>
                      <w:marRight w:val="0"/>
                      <w:marTop w:val="0"/>
                      <w:marBottom w:val="0"/>
                      <w:divBdr>
                        <w:top w:val="none" w:sz="0" w:space="0" w:color="auto"/>
                        <w:left w:val="none" w:sz="0" w:space="0" w:color="auto"/>
                        <w:bottom w:val="none" w:sz="0" w:space="0" w:color="auto"/>
                        <w:right w:val="none" w:sz="0" w:space="0" w:color="auto"/>
                      </w:divBdr>
                      <w:divsChild>
                        <w:div w:id="1791969655">
                          <w:marLeft w:val="0"/>
                          <w:marRight w:val="0"/>
                          <w:marTop w:val="0"/>
                          <w:marBottom w:val="0"/>
                          <w:divBdr>
                            <w:top w:val="none" w:sz="0" w:space="0" w:color="auto"/>
                            <w:left w:val="none" w:sz="0" w:space="0" w:color="auto"/>
                            <w:bottom w:val="none" w:sz="0" w:space="0" w:color="auto"/>
                            <w:right w:val="none" w:sz="0" w:space="0" w:color="auto"/>
                          </w:divBdr>
                          <w:divsChild>
                            <w:div w:id="1956474307">
                              <w:marLeft w:val="0"/>
                              <w:marRight w:val="0"/>
                              <w:marTop w:val="0"/>
                              <w:marBottom w:val="0"/>
                              <w:divBdr>
                                <w:top w:val="none" w:sz="0" w:space="0" w:color="auto"/>
                                <w:left w:val="none" w:sz="0" w:space="0" w:color="auto"/>
                                <w:bottom w:val="none" w:sz="0" w:space="0" w:color="auto"/>
                                <w:right w:val="none" w:sz="0" w:space="0" w:color="auto"/>
                              </w:divBdr>
                              <w:divsChild>
                                <w:div w:id="1030692622">
                                  <w:marLeft w:val="0"/>
                                  <w:marRight w:val="0"/>
                                  <w:marTop w:val="0"/>
                                  <w:marBottom w:val="0"/>
                                  <w:divBdr>
                                    <w:top w:val="none" w:sz="0" w:space="0" w:color="auto"/>
                                    <w:left w:val="none" w:sz="0" w:space="0" w:color="auto"/>
                                    <w:bottom w:val="none" w:sz="0" w:space="0" w:color="auto"/>
                                    <w:right w:val="none" w:sz="0" w:space="0" w:color="auto"/>
                                  </w:divBdr>
                                  <w:divsChild>
                                    <w:div w:id="1271887782">
                                      <w:marLeft w:val="0"/>
                                      <w:marRight w:val="0"/>
                                      <w:marTop w:val="0"/>
                                      <w:marBottom w:val="0"/>
                                      <w:divBdr>
                                        <w:top w:val="none" w:sz="0" w:space="0" w:color="auto"/>
                                        <w:left w:val="none" w:sz="0" w:space="0" w:color="auto"/>
                                        <w:bottom w:val="none" w:sz="0" w:space="0" w:color="auto"/>
                                        <w:right w:val="none" w:sz="0" w:space="0" w:color="auto"/>
                                      </w:divBdr>
                                      <w:divsChild>
                                        <w:div w:id="1085567513">
                                          <w:marLeft w:val="0"/>
                                          <w:marRight w:val="0"/>
                                          <w:marTop w:val="0"/>
                                          <w:marBottom w:val="0"/>
                                          <w:divBdr>
                                            <w:top w:val="none" w:sz="0" w:space="0" w:color="auto"/>
                                            <w:left w:val="none" w:sz="0" w:space="0" w:color="auto"/>
                                            <w:bottom w:val="none" w:sz="0" w:space="0" w:color="auto"/>
                                            <w:right w:val="none" w:sz="0" w:space="0" w:color="auto"/>
                                          </w:divBdr>
                                          <w:divsChild>
                                            <w:div w:id="1023870287">
                                              <w:marLeft w:val="0"/>
                                              <w:marRight w:val="0"/>
                                              <w:marTop w:val="0"/>
                                              <w:marBottom w:val="0"/>
                                              <w:divBdr>
                                                <w:top w:val="none" w:sz="0" w:space="0" w:color="auto"/>
                                                <w:left w:val="none" w:sz="0" w:space="0" w:color="auto"/>
                                                <w:bottom w:val="none" w:sz="0" w:space="0" w:color="auto"/>
                                                <w:right w:val="none" w:sz="0" w:space="0" w:color="auto"/>
                                              </w:divBdr>
                                              <w:divsChild>
                                                <w:div w:id="1892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2434545">
      <w:bodyDiv w:val="1"/>
      <w:marLeft w:val="0"/>
      <w:marRight w:val="0"/>
      <w:marTop w:val="0"/>
      <w:marBottom w:val="0"/>
      <w:divBdr>
        <w:top w:val="none" w:sz="0" w:space="0" w:color="auto"/>
        <w:left w:val="none" w:sz="0" w:space="0" w:color="auto"/>
        <w:bottom w:val="none" w:sz="0" w:space="0" w:color="auto"/>
        <w:right w:val="none" w:sz="0" w:space="0" w:color="auto"/>
      </w:divBdr>
    </w:div>
    <w:div w:id="759638564">
      <w:bodyDiv w:val="1"/>
      <w:marLeft w:val="0"/>
      <w:marRight w:val="0"/>
      <w:marTop w:val="0"/>
      <w:marBottom w:val="0"/>
      <w:divBdr>
        <w:top w:val="none" w:sz="0" w:space="0" w:color="auto"/>
        <w:left w:val="none" w:sz="0" w:space="0" w:color="auto"/>
        <w:bottom w:val="none" w:sz="0" w:space="0" w:color="auto"/>
        <w:right w:val="none" w:sz="0" w:space="0" w:color="auto"/>
      </w:divBdr>
    </w:div>
    <w:div w:id="780227726">
      <w:bodyDiv w:val="1"/>
      <w:marLeft w:val="0"/>
      <w:marRight w:val="0"/>
      <w:marTop w:val="0"/>
      <w:marBottom w:val="0"/>
      <w:divBdr>
        <w:top w:val="none" w:sz="0" w:space="0" w:color="auto"/>
        <w:left w:val="none" w:sz="0" w:space="0" w:color="auto"/>
        <w:bottom w:val="none" w:sz="0" w:space="0" w:color="auto"/>
        <w:right w:val="none" w:sz="0" w:space="0" w:color="auto"/>
      </w:divBdr>
      <w:divsChild>
        <w:div w:id="11690058">
          <w:marLeft w:val="0"/>
          <w:marRight w:val="0"/>
          <w:marTop w:val="225"/>
          <w:marBottom w:val="0"/>
          <w:divBdr>
            <w:top w:val="none" w:sz="0" w:space="0" w:color="auto"/>
            <w:left w:val="none" w:sz="0" w:space="0" w:color="auto"/>
            <w:bottom w:val="none" w:sz="0" w:space="0" w:color="auto"/>
            <w:right w:val="none" w:sz="0" w:space="0" w:color="auto"/>
          </w:divBdr>
          <w:divsChild>
            <w:div w:id="1231621851">
              <w:marLeft w:val="0"/>
              <w:marRight w:val="0"/>
              <w:marTop w:val="0"/>
              <w:marBottom w:val="0"/>
              <w:divBdr>
                <w:top w:val="none" w:sz="0" w:space="0" w:color="auto"/>
                <w:left w:val="none" w:sz="0" w:space="0" w:color="auto"/>
                <w:bottom w:val="none" w:sz="0" w:space="0" w:color="auto"/>
                <w:right w:val="none" w:sz="0" w:space="0" w:color="auto"/>
              </w:divBdr>
            </w:div>
          </w:divsChild>
        </w:div>
        <w:div w:id="1383210038">
          <w:marLeft w:val="0"/>
          <w:marRight w:val="0"/>
          <w:marTop w:val="300"/>
          <w:marBottom w:val="0"/>
          <w:divBdr>
            <w:top w:val="none" w:sz="0" w:space="0" w:color="auto"/>
            <w:left w:val="none" w:sz="0" w:space="0" w:color="auto"/>
            <w:bottom w:val="none" w:sz="0" w:space="0" w:color="auto"/>
            <w:right w:val="none" w:sz="0" w:space="0" w:color="auto"/>
          </w:divBdr>
          <w:divsChild>
            <w:div w:id="1780682451">
              <w:marLeft w:val="0"/>
              <w:marRight w:val="0"/>
              <w:marTop w:val="0"/>
              <w:marBottom w:val="0"/>
              <w:divBdr>
                <w:top w:val="none" w:sz="0" w:space="0" w:color="auto"/>
                <w:left w:val="none" w:sz="0" w:space="0" w:color="auto"/>
                <w:bottom w:val="none" w:sz="0" w:space="0" w:color="auto"/>
                <w:right w:val="none" w:sz="0" w:space="0" w:color="auto"/>
              </w:divBdr>
              <w:divsChild>
                <w:div w:id="16903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14151">
      <w:bodyDiv w:val="1"/>
      <w:marLeft w:val="0"/>
      <w:marRight w:val="0"/>
      <w:marTop w:val="0"/>
      <w:marBottom w:val="0"/>
      <w:divBdr>
        <w:top w:val="none" w:sz="0" w:space="0" w:color="auto"/>
        <w:left w:val="none" w:sz="0" w:space="0" w:color="auto"/>
        <w:bottom w:val="none" w:sz="0" w:space="0" w:color="auto"/>
        <w:right w:val="none" w:sz="0" w:space="0" w:color="auto"/>
      </w:divBdr>
    </w:div>
    <w:div w:id="789011740">
      <w:bodyDiv w:val="1"/>
      <w:marLeft w:val="0"/>
      <w:marRight w:val="0"/>
      <w:marTop w:val="0"/>
      <w:marBottom w:val="0"/>
      <w:divBdr>
        <w:top w:val="none" w:sz="0" w:space="0" w:color="auto"/>
        <w:left w:val="none" w:sz="0" w:space="0" w:color="auto"/>
        <w:bottom w:val="none" w:sz="0" w:space="0" w:color="auto"/>
        <w:right w:val="none" w:sz="0" w:space="0" w:color="auto"/>
      </w:divBdr>
    </w:div>
    <w:div w:id="790057982">
      <w:bodyDiv w:val="1"/>
      <w:marLeft w:val="0"/>
      <w:marRight w:val="0"/>
      <w:marTop w:val="0"/>
      <w:marBottom w:val="0"/>
      <w:divBdr>
        <w:top w:val="none" w:sz="0" w:space="0" w:color="auto"/>
        <w:left w:val="none" w:sz="0" w:space="0" w:color="auto"/>
        <w:bottom w:val="none" w:sz="0" w:space="0" w:color="auto"/>
        <w:right w:val="none" w:sz="0" w:space="0" w:color="auto"/>
      </w:divBdr>
      <w:divsChild>
        <w:div w:id="499581196">
          <w:marLeft w:val="0"/>
          <w:marRight w:val="0"/>
          <w:marTop w:val="0"/>
          <w:marBottom w:val="0"/>
          <w:divBdr>
            <w:top w:val="none" w:sz="0" w:space="0" w:color="auto"/>
            <w:left w:val="none" w:sz="0" w:space="0" w:color="auto"/>
            <w:bottom w:val="none" w:sz="0" w:space="0" w:color="auto"/>
            <w:right w:val="none" w:sz="0" w:space="0" w:color="auto"/>
          </w:divBdr>
          <w:divsChild>
            <w:div w:id="1375497698">
              <w:marLeft w:val="0"/>
              <w:marRight w:val="0"/>
              <w:marTop w:val="0"/>
              <w:marBottom w:val="0"/>
              <w:divBdr>
                <w:top w:val="none" w:sz="0" w:space="0" w:color="auto"/>
                <w:left w:val="none" w:sz="0" w:space="0" w:color="auto"/>
                <w:bottom w:val="none" w:sz="0" w:space="0" w:color="auto"/>
                <w:right w:val="none" w:sz="0" w:space="0" w:color="auto"/>
              </w:divBdr>
              <w:divsChild>
                <w:div w:id="1562596914">
                  <w:marLeft w:val="0"/>
                  <w:marRight w:val="0"/>
                  <w:marTop w:val="0"/>
                  <w:marBottom w:val="0"/>
                  <w:divBdr>
                    <w:top w:val="none" w:sz="0" w:space="0" w:color="auto"/>
                    <w:left w:val="none" w:sz="0" w:space="0" w:color="auto"/>
                    <w:bottom w:val="none" w:sz="0" w:space="0" w:color="auto"/>
                    <w:right w:val="none" w:sz="0" w:space="0" w:color="auto"/>
                  </w:divBdr>
                  <w:divsChild>
                    <w:div w:id="669216648">
                      <w:marLeft w:val="0"/>
                      <w:marRight w:val="0"/>
                      <w:marTop w:val="300"/>
                      <w:marBottom w:val="0"/>
                      <w:divBdr>
                        <w:top w:val="none" w:sz="0" w:space="0" w:color="auto"/>
                        <w:left w:val="none" w:sz="0" w:space="0" w:color="auto"/>
                        <w:bottom w:val="none" w:sz="0" w:space="0" w:color="auto"/>
                        <w:right w:val="none" w:sz="0" w:space="0" w:color="auto"/>
                      </w:divBdr>
                      <w:divsChild>
                        <w:div w:id="1221017582">
                          <w:marLeft w:val="0"/>
                          <w:marRight w:val="0"/>
                          <w:marTop w:val="0"/>
                          <w:marBottom w:val="0"/>
                          <w:divBdr>
                            <w:top w:val="none" w:sz="0" w:space="0" w:color="auto"/>
                            <w:left w:val="none" w:sz="0" w:space="0" w:color="auto"/>
                            <w:bottom w:val="none" w:sz="0" w:space="0" w:color="auto"/>
                            <w:right w:val="none" w:sz="0" w:space="0" w:color="auto"/>
                          </w:divBdr>
                          <w:divsChild>
                            <w:div w:id="13967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044235">
                      <w:marLeft w:val="0"/>
                      <w:marRight w:val="0"/>
                      <w:marTop w:val="0"/>
                      <w:marBottom w:val="0"/>
                      <w:divBdr>
                        <w:top w:val="none" w:sz="0" w:space="0" w:color="auto"/>
                        <w:left w:val="none" w:sz="0" w:space="0" w:color="auto"/>
                        <w:bottom w:val="none" w:sz="0" w:space="0" w:color="auto"/>
                        <w:right w:val="none" w:sz="0" w:space="0" w:color="auto"/>
                      </w:divBdr>
                      <w:divsChild>
                        <w:div w:id="1331177277">
                          <w:marLeft w:val="0"/>
                          <w:marRight w:val="0"/>
                          <w:marTop w:val="0"/>
                          <w:marBottom w:val="0"/>
                          <w:divBdr>
                            <w:top w:val="none" w:sz="0" w:space="0" w:color="auto"/>
                            <w:left w:val="none" w:sz="0" w:space="0" w:color="auto"/>
                            <w:bottom w:val="none" w:sz="0" w:space="0" w:color="auto"/>
                            <w:right w:val="none" w:sz="0" w:space="0" w:color="auto"/>
                          </w:divBdr>
                          <w:divsChild>
                            <w:div w:id="571159844">
                              <w:marLeft w:val="0"/>
                              <w:marRight w:val="0"/>
                              <w:marTop w:val="0"/>
                              <w:marBottom w:val="0"/>
                              <w:divBdr>
                                <w:top w:val="none" w:sz="0" w:space="0" w:color="auto"/>
                                <w:left w:val="none" w:sz="0" w:space="0" w:color="auto"/>
                                <w:bottom w:val="none" w:sz="0" w:space="0" w:color="auto"/>
                                <w:right w:val="none" w:sz="0" w:space="0" w:color="auto"/>
                              </w:divBdr>
                            </w:div>
                          </w:divsChild>
                        </w:div>
                        <w:div w:id="146920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598995">
      <w:bodyDiv w:val="1"/>
      <w:marLeft w:val="0"/>
      <w:marRight w:val="0"/>
      <w:marTop w:val="0"/>
      <w:marBottom w:val="0"/>
      <w:divBdr>
        <w:top w:val="none" w:sz="0" w:space="0" w:color="auto"/>
        <w:left w:val="none" w:sz="0" w:space="0" w:color="auto"/>
        <w:bottom w:val="none" w:sz="0" w:space="0" w:color="auto"/>
        <w:right w:val="none" w:sz="0" w:space="0" w:color="auto"/>
      </w:divBdr>
    </w:div>
    <w:div w:id="800418595">
      <w:bodyDiv w:val="1"/>
      <w:marLeft w:val="0"/>
      <w:marRight w:val="0"/>
      <w:marTop w:val="0"/>
      <w:marBottom w:val="0"/>
      <w:divBdr>
        <w:top w:val="none" w:sz="0" w:space="0" w:color="auto"/>
        <w:left w:val="none" w:sz="0" w:space="0" w:color="auto"/>
        <w:bottom w:val="none" w:sz="0" w:space="0" w:color="auto"/>
        <w:right w:val="none" w:sz="0" w:space="0" w:color="auto"/>
      </w:divBdr>
    </w:div>
    <w:div w:id="802234618">
      <w:bodyDiv w:val="1"/>
      <w:marLeft w:val="0"/>
      <w:marRight w:val="0"/>
      <w:marTop w:val="0"/>
      <w:marBottom w:val="0"/>
      <w:divBdr>
        <w:top w:val="none" w:sz="0" w:space="0" w:color="auto"/>
        <w:left w:val="none" w:sz="0" w:space="0" w:color="auto"/>
        <w:bottom w:val="none" w:sz="0" w:space="0" w:color="auto"/>
        <w:right w:val="none" w:sz="0" w:space="0" w:color="auto"/>
      </w:divBdr>
    </w:div>
    <w:div w:id="804934159">
      <w:bodyDiv w:val="1"/>
      <w:marLeft w:val="0"/>
      <w:marRight w:val="0"/>
      <w:marTop w:val="0"/>
      <w:marBottom w:val="0"/>
      <w:divBdr>
        <w:top w:val="none" w:sz="0" w:space="0" w:color="auto"/>
        <w:left w:val="none" w:sz="0" w:space="0" w:color="auto"/>
        <w:bottom w:val="none" w:sz="0" w:space="0" w:color="auto"/>
        <w:right w:val="none" w:sz="0" w:space="0" w:color="auto"/>
      </w:divBdr>
    </w:div>
    <w:div w:id="815952179">
      <w:bodyDiv w:val="1"/>
      <w:marLeft w:val="0"/>
      <w:marRight w:val="0"/>
      <w:marTop w:val="0"/>
      <w:marBottom w:val="0"/>
      <w:divBdr>
        <w:top w:val="none" w:sz="0" w:space="0" w:color="auto"/>
        <w:left w:val="none" w:sz="0" w:space="0" w:color="auto"/>
        <w:bottom w:val="none" w:sz="0" w:space="0" w:color="auto"/>
        <w:right w:val="none" w:sz="0" w:space="0" w:color="auto"/>
      </w:divBdr>
    </w:div>
    <w:div w:id="817109701">
      <w:bodyDiv w:val="1"/>
      <w:marLeft w:val="0"/>
      <w:marRight w:val="0"/>
      <w:marTop w:val="0"/>
      <w:marBottom w:val="0"/>
      <w:divBdr>
        <w:top w:val="none" w:sz="0" w:space="0" w:color="auto"/>
        <w:left w:val="none" w:sz="0" w:space="0" w:color="auto"/>
        <w:bottom w:val="none" w:sz="0" w:space="0" w:color="auto"/>
        <w:right w:val="none" w:sz="0" w:space="0" w:color="auto"/>
      </w:divBdr>
    </w:div>
    <w:div w:id="820580820">
      <w:bodyDiv w:val="1"/>
      <w:marLeft w:val="0"/>
      <w:marRight w:val="0"/>
      <w:marTop w:val="0"/>
      <w:marBottom w:val="0"/>
      <w:divBdr>
        <w:top w:val="none" w:sz="0" w:space="0" w:color="auto"/>
        <w:left w:val="none" w:sz="0" w:space="0" w:color="auto"/>
        <w:bottom w:val="none" w:sz="0" w:space="0" w:color="auto"/>
        <w:right w:val="none" w:sz="0" w:space="0" w:color="auto"/>
      </w:divBdr>
      <w:divsChild>
        <w:div w:id="1951203419">
          <w:marLeft w:val="0"/>
          <w:marRight w:val="0"/>
          <w:marTop w:val="0"/>
          <w:marBottom w:val="0"/>
          <w:divBdr>
            <w:top w:val="none" w:sz="0" w:space="0" w:color="auto"/>
            <w:left w:val="none" w:sz="0" w:space="0" w:color="auto"/>
            <w:bottom w:val="none" w:sz="0" w:space="0" w:color="auto"/>
            <w:right w:val="none" w:sz="0" w:space="0" w:color="auto"/>
          </w:divBdr>
        </w:div>
      </w:divsChild>
    </w:div>
    <w:div w:id="823200157">
      <w:bodyDiv w:val="1"/>
      <w:marLeft w:val="0"/>
      <w:marRight w:val="0"/>
      <w:marTop w:val="0"/>
      <w:marBottom w:val="0"/>
      <w:divBdr>
        <w:top w:val="none" w:sz="0" w:space="0" w:color="auto"/>
        <w:left w:val="none" w:sz="0" w:space="0" w:color="auto"/>
        <w:bottom w:val="none" w:sz="0" w:space="0" w:color="auto"/>
        <w:right w:val="none" w:sz="0" w:space="0" w:color="auto"/>
      </w:divBdr>
    </w:div>
    <w:div w:id="829708583">
      <w:bodyDiv w:val="1"/>
      <w:marLeft w:val="0"/>
      <w:marRight w:val="0"/>
      <w:marTop w:val="0"/>
      <w:marBottom w:val="0"/>
      <w:divBdr>
        <w:top w:val="none" w:sz="0" w:space="0" w:color="auto"/>
        <w:left w:val="none" w:sz="0" w:space="0" w:color="auto"/>
        <w:bottom w:val="none" w:sz="0" w:space="0" w:color="auto"/>
        <w:right w:val="none" w:sz="0" w:space="0" w:color="auto"/>
      </w:divBdr>
    </w:div>
    <w:div w:id="835650911">
      <w:bodyDiv w:val="1"/>
      <w:marLeft w:val="0"/>
      <w:marRight w:val="0"/>
      <w:marTop w:val="0"/>
      <w:marBottom w:val="0"/>
      <w:divBdr>
        <w:top w:val="none" w:sz="0" w:space="0" w:color="auto"/>
        <w:left w:val="none" w:sz="0" w:space="0" w:color="auto"/>
        <w:bottom w:val="none" w:sz="0" w:space="0" w:color="auto"/>
        <w:right w:val="none" w:sz="0" w:space="0" w:color="auto"/>
      </w:divBdr>
    </w:div>
    <w:div w:id="838083181">
      <w:bodyDiv w:val="1"/>
      <w:marLeft w:val="0"/>
      <w:marRight w:val="0"/>
      <w:marTop w:val="0"/>
      <w:marBottom w:val="0"/>
      <w:divBdr>
        <w:top w:val="none" w:sz="0" w:space="0" w:color="auto"/>
        <w:left w:val="none" w:sz="0" w:space="0" w:color="auto"/>
        <w:bottom w:val="none" w:sz="0" w:space="0" w:color="auto"/>
        <w:right w:val="none" w:sz="0" w:space="0" w:color="auto"/>
      </w:divBdr>
    </w:div>
    <w:div w:id="838734958">
      <w:bodyDiv w:val="1"/>
      <w:marLeft w:val="0"/>
      <w:marRight w:val="0"/>
      <w:marTop w:val="0"/>
      <w:marBottom w:val="0"/>
      <w:divBdr>
        <w:top w:val="none" w:sz="0" w:space="0" w:color="auto"/>
        <w:left w:val="none" w:sz="0" w:space="0" w:color="auto"/>
        <w:bottom w:val="none" w:sz="0" w:space="0" w:color="auto"/>
        <w:right w:val="none" w:sz="0" w:space="0" w:color="auto"/>
      </w:divBdr>
    </w:div>
    <w:div w:id="847526100">
      <w:bodyDiv w:val="1"/>
      <w:marLeft w:val="0"/>
      <w:marRight w:val="0"/>
      <w:marTop w:val="0"/>
      <w:marBottom w:val="0"/>
      <w:divBdr>
        <w:top w:val="none" w:sz="0" w:space="0" w:color="auto"/>
        <w:left w:val="none" w:sz="0" w:space="0" w:color="auto"/>
        <w:bottom w:val="none" w:sz="0" w:space="0" w:color="auto"/>
        <w:right w:val="none" w:sz="0" w:space="0" w:color="auto"/>
      </w:divBdr>
    </w:div>
    <w:div w:id="848061120">
      <w:bodyDiv w:val="1"/>
      <w:marLeft w:val="0"/>
      <w:marRight w:val="0"/>
      <w:marTop w:val="0"/>
      <w:marBottom w:val="0"/>
      <w:divBdr>
        <w:top w:val="none" w:sz="0" w:space="0" w:color="auto"/>
        <w:left w:val="none" w:sz="0" w:space="0" w:color="auto"/>
        <w:bottom w:val="none" w:sz="0" w:space="0" w:color="auto"/>
        <w:right w:val="none" w:sz="0" w:space="0" w:color="auto"/>
      </w:divBdr>
    </w:div>
    <w:div w:id="854731735">
      <w:bodyDiv w:val="1"/>
      <w:marLeft w:val="0"/>
      <w:marRight w:val="0"/>
      <w:marTop w:val="0"/>
      <w:marBottom w:val="0"/>
      <w:divBdr>
        <w:top w:val="none" w:sz="0" w:space="0" w:color="auto"/>
        <w:left w:val="none" w:sz="0" w:space="0" w:color="auto"/>
        <w:bottom w:val="none" w:sz="0" w:space="0" w:color="auto"/>
        <w:right w:val="none" w:sz="0" w:space="0" w:color="auto"/>
      </w:divBdr>
    </w:div>
    <w:div w:id="855734757">
      <w:bodyDiv w:val="1"/>
      <w:marLeft w:val="0"/>
      <w:marRight w:val="0"/>
      <w:marTop w:val="0"/>
      <w:marBottom w:val="0"/>
      <w:divBdr>
        <w:top w:val="none" w:sz="0" w:space="0" w:color="auto"/>
        <w:left w:val="none" w:sz="0" w:space="0" w:color="auto"/>
        <w:bottom w:val="none" w:sz="0" w:space="0" w:color="auto"/>
        <w:right w:val="none" w:sz="0" w:space="0" w:color="auto"/>
      </w:divBdr>
    </w:div>
    <w:div w:id="856583757">
      <w:bodyDiv w:val="1"/>
      <w:marLeft w:val="0"/>
      <w:marRight w:val="0"/>
      <w:marTop w:val="0"/>
      <w:marBottom w:val="0"/>
      <w:divBdr>
        <w:top w:val="none" w:sz="0" w:space="0" w:color="auto"/>
        <w:left w:val="none" w:sz="0" w:space="0" w:color="auto"/>
        <w:bottom w:val="none" w:sz="0" w:space="0" w:color="auto"/>
        <w:right w:val="none" w:sz="0" w:space="0" w:color="auto"/>
      </w:divBdr>
    </w:div>
    <w:div w:id="858663162">
      <w:bodyDiv w:val="1"/>
      <w:marLeft w:val="0"/>
      <w:marRight w:val="0"/>
      <w:marTop w:val="0"/>
      <w:marBottom w:val="0"/>
      <w:divBdr>
        <w:top w:val="none" w:sz="0" w:space="0" w:color="auto"/>
        <w:left w:val="none" w:sz="0" w:space="0" w:color="auto"/>
        <w:bottom w:val="none" w:sz="0" w:space="0" w:color="auto"/>
        <w:right w:val="none" w:sz="0" w:space="0" w:color="auto"/>
      </w:divBdr>
    </w:div>
    <w:div w:id="862670739">
      <w:bodyDiv w:val="1"/>
      <w:marLeft w:val="0"/>
      <w:marRight w:val="0"/>
      <w:marTop w:val="0"/>
      <w:marBottom w:val="0"/>
      <w:divBdr>
        <w:top w:val="none" w:sz="0" w:space="0" w:color="auto"/>
        <w:left w:val="none" w:sz="0" w:space="0" w:color="auto"/>
        <w:bottom w:val="none" w:sz="0" w:space="0" w:color="auto"/>
        <w:right w:val="none" w:sz="0" w:space="0" w:color="auto"/>
      </w:divBdr>
    </w:div>
    <w:div w:id="867714583">
      <w:bodyDiv w:val="1"/>
      <w:marLeft w:val="0"/>
      <w:marRight w:val="0"/>
      <w:marTop w:val="0"/>
      <w:marBottom w:val="0"/>
      <w:divBdr>
        <w:top w:val="none" w:sz="0" w:space="0" w:color="auto"/>
        <w:left w:val="none" w:sz="0" w:space="0" w:color="auto"/>
        <w:bottom w:val="none" w:sz="0" w:space="0" w:color="auto"/>
        <w:right w:val="none" w:sz="0" w:space="0" w:color="auto"/>
      </w:divBdr>
    </w:div>
    <w:div w:id="872233831">
      <w:bodyDiv w:val="1"/>
      <w:marLeft w:val="0"/>
      <w:marRight w:val="0"/>
      <w:marTop w:val="0"/>
      <w:marBottom w:val="0"/>
      <w:divBdr>
        <w:top w:val="none" w:sz="0" w:space="0" w:color="auto"/>
        <w:left w:val="none" w:sz="0" w:space="0" w:color="auto"/>
        <w:bottom w:val="none" w:sz="0" w:space="0" w:color="auto"/>
        <w:right w:val="none" w:sz="0" w:space="0" w:color="auto"/>
      </w:divBdr>
    </w:div>
    <w:div w:id="875241140">
      <w:bodyDiv w:val="1"/>
      <w:marLeft w:val="0"/>
      <w:marRight w:val="0"/>
      <w:marTop w:val="0"/>
      <w:marBottom w:val="0"/>
      <w:divBdr>
        <w:top w:val="none" w:sz="0" w:space="0" w:color="auto"/>
        <w:left w:val="none" w:sz="0" w:space="0" w:color="auto"/>
        <w:bottom w:val="none" w:sz="0" w:space="0" w:color="auto"/>
        <w:right w:val="none" w:sz="0" w:space="0" w:color="auto"/>
      </w:divBdr>
    </w:div>
    <w:div w:id="880290290">
      <w:bodyDiv w:val="1"/>
      <w:marLeft w:val="0"/>
      <w:marRight w:val="0"/>
      <w:marTop w:val="0"/>
      <w:marBottom w:val="0"/>
      <w:divBdr>
        <w:top w:val="none" w:sz="0" w:space="0" w:color="auto"/>
        <w:left w:val="none" w:sz="0" w:space="0" w:color="auto"/>
        <w:bottom w:val="none" w:sz="0" w:space="0" w:color="auto"/>
        <w:right w:val="none" w:sz="0" w:space="0" w:color="auto"/>
      </w:divBdr>
    </w:div>
    <w:div w:id="881550222">
      <w:bodyDiv w:val="1"/>
      <w:marLeft w:val="0"/>
      <w:marRight w:val="0"/>
      <w:marTop w:val="0"/>
      <w:marBottom w:val="0"/>
      <w:divBdr>
        <w:top w:val="none" w:sz="0" w:space="0" w:color="auto"/>
        <w:left w:val="none" w:sz="0" w:space="0" w:color="auto"/>
        <w:bottom w:val="none" w:sz="0" w:space="0" w:color="auto"/>
        <w:right w:val="none" w:sz="0" w:space="0" w:color="auto"/>
      </w:divBdr>
      <w:divsChild>
        <w:div w:id="1691683435">
          <w:marLeft w:val="0"/>
          <w:marRight w:val="0"/>
          <w:marTop w:val="0"/>
          <w:marBottom w:val="0"/>
          <w:divBdr>
            <w:top w:val="none" w:sz="0" w:space="0" w:color="auto"/>
            <w:left w:val="none" w:sz="0" w:space="0" w:color="auto"/>
            <w:bottom w:val="none" w:sz="0" w:space="0" w:color="auto"/>
            <w:right w:val="none" w:sz="0" w:space="0" w:color="auto"/>
          </w:divBdr>
          <w:divsChild>
            <w:div w:id="743066508">
              <w:marLeft w:val="0"/>
              <w:marRight w:val="0"/>
              <w:marTop w:val="0"/>
              <w:marBottom w:val="0"/>
              <w:divBdr>
                <w:top w:val="none" w:sz="0" w:space="0" w:color="auto"/>
                <w:left w:val="none" w:sz="0" w:space="0" w:color="auto"/>
                <w:bottom w:val="none" w:sz="0" w:space="0" w:color="auto"/>
                <w:right w:val="none" w:sz="0" w:space="0" w:color="auto"/>
              </w:divBdr>
              <w:divsChild>
                <w:div w:id="1704137974">
                  <w:marLeft w:val="0"/>
                  <w:marRight w:val="0"/>
                  <w:marTop w:val="0"/>
                  <w:marBottom w:val="0"/>
                  <w:divBdr>
                    <w:top w:val="none" w:sz="0" w:space="0" w:color="auto"/>
                    <w:left w:val="none" w:sz="0" w:space="0" w:color="auto"/>
                    <w:bottom w:val="none" w:sz="0" w:space="0" w:color="auto"/>
                    <w:right w:val="none" w:sz="0" w:space="0" w:color="auto"/>
                  </w:divBdr>
                  <w:divsChild>
                    <w:div w:id="94634374">
                      <w:marLeft w:val="0"/>
                      <w:marRight w:val="0"/>
                      <w:marTop w:val="0"/>
                      <w:marBottom w:val="0"/>
                      <w:divBdr>
                        <w:top w:val="none" w:sz="0" w:space="0" w:color="auto"/>
                        <w:left w:val="none" w:sz="0" w:space="0" w:color="auto"/>
                        <w:bottom w:val="none" w:sz="0" w:space="0" w:color="auto"/>
                        <w:right w:val="none" w:sz="0" w:space="0" w:color="auto"/>
                      </w:divBdr>
                      <w:divsChild>
                        <w:div w:id="1799489346">
                          <w:marLeft w:val="0"/>
                          <w:marRight w:val="0"/>
                          <w:marTop w:val="0"/>
                          <w:marBottom w:val="0"/>
                          <w:divBdr>
                            <w:top w:val="none" w:sz="0" w:space="0" w:color="auto"/>
                            <w:left w:val="none" w:sz="0" w:space="0" w:color="auto"/>
                            <w:bottom w:val="none" w:sz="0" w:space="0" w:color="auto"/>
                            <w:right w:val="none" w:sz="0" w:space="0" w:color="auto"/>
                          </w:divBdr>
                        </w:div>
                        <w:div w:id="603928046">
                          <w:marLeft w:val="0"/>
                          <w:marRight w:val="0"/>
                          <w:marTop w:val="0"/>
                          <w:marBottom w:val="0"/>
                          <w:divBdr>
                            <w:top w:val="none" w:sz="0" w:space="0" w:color="auto"/>
                            <w:left w:val="none" w:sz="0" w:space="0" w:color="auto"/>
                            <w:bottom w:val="none" w:sz="0" w:space="0" w:color="auto"/>
                            <w:right w:val="none" w:sz="0" w:space="0" w:color="auto"/>
                          </w:divBdr>
                          <w:divsChild>
                            <w:div w:id="178003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6950">
                      <w:marLeft w:val="0"/>
                      <w:marRight w:val="0"/>
                      <w:marTop w:val="300"/>
                      <w:marBottom w:val="0"/>
                      <w:divBdr>
                        <w:top w:val="none" w:sz="0" w:space="0" w:color="auto"/>
                        <w:left w:val="none" w:sz="0" w:space="0" w:color="auto"/>
                        <w:bottom w:val="none" w:sz="0" w:space="0" w:color="auto"/>
                        <w:right w:val="none" w:sz="0" w:space="0" w:color="auto"/>
                      </w:divBdr>
                      <w:divsChild>
                        <w:div w:id="2056656898">
                          <w:marLeft w:val="0"/>
                          <w:marRight w:val="0"/>
                          <w:marTop w:val="0"/>
                          <w:marBottom w:val="0"/>
                          <w:divBdr>
                            <w:top w:val="none" w:sz="0" w:space="0" w:color="auto"/>
                            <w:left w:val="none" w:sz="0" w:space="0" w:color="auto"/>
                            <w:bottom w:val="none" w:sz="0" w:space="0" w:color="auto"/>
                            <w:right w:val="none" w:sz="0" w:space="0" w:color="auto"/>
                          </w:divBdr>
                          <w:divsChild>
                            <w:div w:id="19907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6612">
      <w:bodyDiv w:val="1"/>
      <w:marLeft w:val="0"/>
      <w:marRight w:val="0"/>
      <w:marTop w:val="0"/>
      <w:marBottom w:val="0"/>
      <w:divBdr>
        <w:top w:val="none" w:sz="0" w:space="0" w:color="auto"/>
        <w:left w:val="none" w:sz="0" w:space="0" w:color="auto"/>
        <w:bottom w:val="none" w:sz="0" w:space="0" w:color="auto"/>
        <w:right w:val="none" w:sz="0" w:space="0" w:color="auto"/>
      </w:divBdr>
    </w:div>
    <w:div w:id="888998186">
      <w:bodyDiv w:val="1"/>
      <w:marLeft w:val="0"/>
      <w:marRight w:val="0"/>
      <w:marTop w:val="0"/>
      <w:marBottom w:val="0"/>
      <w:divBdr>
        <w:top w:val="none" w:sz="0" w:space="0" w:color="auto"/>
        <w:left w:val="none" w:sz="0" w:space="0" w:color="auto"/>
        <w:bottom w:val="none" w:sz="0" w:space="0" w:color="auto"/>
        <w:right w:val="none" w:sz="0" w:space="0" w:color="auto"/>
      </w:divBdr>
    </w:div>
    <w:div w:id="890771899">
      <w:bodyDiv w:val="1"/>
      <w:marLeft w:val="0"/>
      <w:marRight w:val="0"/>
      <w:marTop w:val="0"/>
      <w:marBottom w:val="0"/>
      <w:divBdr>
        <w:top w:val="none" w:sz="0" w:space="0" w:color="auto"/>
        <w:left w:val="none" w:sz="0" w:space="0" w:color="auto"/>
        <w:bottom w:val="none" w:sz="0" w:space="0" w:color="auto"/>
        <w:right w:val="none" w:sz="0" w:space="0" w:color="auto"/>
      </w:divBdr>
    </w:div>
    <w:div w:id="897519241">
      <w:bodyDiv w:val="1"/>
      <w:marLeft w:val="0"/>
      <w:marRight w:val="0"/>
      <w:marTop w:val="0"/>
      <w:marBottom w:val="0"/>
      <w:divBdr>
        <w:top w:val="none" w:sz="0" w:space="0" w:color="auto"/>
        <w:left w:val="none" w:sz="0" w:space="0" w:color="auto"/>
        <w:bottom w:val="none" w:sz="0" w:space="0" w:color="auto"/>
        <w:right w:val="none" w:sz="0" w:space="0" w:color="auto"/>
      </w:divBdr>
    </w:div>
    <w:div w:id="902328148">
      <w:bodyDiv w:val="1"/>
      <w:marLeft w:val="0"/>
      <w:marRight w:val="0"/>
      <w:marTop w:val="0"/>
      <w:marBottom w:val="0"/>
      <w:divBdr>
        <w:top w:val="none" w:sz="0" w:space="0" w:color="auto"/>
        <w:left w:val="none" w:sz="0" w:space="0" w:color="auto"/>
        <w:bottom w:val="none" w:sz="0" w:space="0" w:color="auto"/>
        <w:right w:val="none" w:sz="0" w:space="0" w:color="auto"/>
      </w:divBdr>
    </w:div>
    <w:div w:id="910236411">
      <w:bodyDiv w:val="1"/>
      <w:marLeft w:val="0"/>
      <w:marRight w:val="0"/>
      <w:marTop w:val="0"/>
      <w:marBottom w:val="0"/>
      <w:divBdr>
        <w:top w:val="none" w:sz="0" w:space="0" w:color="auto"/>
        <w:left w:val="none" w:sz="0" w:space="0" w:color="auto"/>
        <w:bottom w:val="none" w:sz="0" w:space="0" w:color="auto"/>
        <w:right w:val="none" w:sz="0" w:space="0" w:color="auto"/>
      </w:divBdr>
    </w:div>
    <w:div w:id="925264385">
      <w:bodyDiv w:val="1"/>
      <w:marLeft w:val="0"/>
      <w:marRight w:val="0"/>
      <w:marTop w:val="0"/>
      <w:marBottom w:val="0"/>
      <w:divBdr>
        <w:top w:val="none" w:sz="0" w:space="0" w:color="auto"/>
        <w:left w:val="none" w:sz="0" w:space="0" w:color="auto"/>
        <w:bottom w:val="none" w:sz="0" w:space="0" w:color="auto"/>
        <w:right w:val="none" w:sz="0" w:space="0" w:color="auto"/>
      </w:divBdr>
    </w:div>
    <w:div w:id="928540892">
      <w:bodyDiv w:val="1"/>
      <w:marLeft w:val="0"/>
      <w:marRight w:val="0"/>
      <w:marTop w:val="0"/>
      <w:marBottom w:val="0"/>
      <w:divBdr>
        <w:top w:val="none" w:sz="0" w:space="0" w:color="auto"/>
        <w:left w:val="none" w:sz="0" w:space="0" w:color="auto"/>
        <w:bottom w:val="none" w:sz="0" w:space="0" w:color="auto"/>
        <w:right w:val="none" w:sz="0" w:space="0" w:color="auto"/>
      </w:divBdr>
    </w:div>
    <w:div w:id="937640113">
      <w:bodyDiv w:val="1"/>
      <w:marLeft w:val="0"/>
      <w:marRight w:val="0"/>
      <w:marTop w:val="0"/>
      <w:marBottom w:val="0"/>
      <w:divBdr>
        <w:top w:val="none" w:sz="0" w:space="0" w:color="auto"/>
        <w:left w:val="none" w:sz="0" w:space="0" w:color="auto"/>
        <w:bottom w:val="none" w:sz="0" w:space="0" w:color="auto"/>
        <w:right w:val="none" w:sz="0" w:space="0" w:color="auto"/>
      </w:divBdr>
    </w:div>
    <w:div w:id="938297656">
      <w:bodyDiv w:val="1"/>
      <w:marLeft w:val="0"/>
      <w:marRight w:val="0"/>
      <w:marTop w:val="0"/>
      <w:marBottom w:val="0"/>
      <w:divBdr>
        <w:top w:val="none" w:sz="0" w:space="0" w:color="auto"/>
        <w:left w:val="none" w:sz="0" w:space="0" w:color="auto"/>
        <w:bottom w:val="none" w:sz="0" w:space="0" w:color="auto"/>
        <w:right w:val="none" w:sz="0" w:space="0" w:color="auto"/>
      </w:divBdr>
    </w:div>
    <w:div w:id="940604832">
      <w:bodyDiv w:val="1"/>
      <w:marLeft w:val="0"/>
      <w:marRight w:val="0"/>
      <w:marTop w:val="0"/>
      <w:marBottom w:val="0"/>
      <w:divBdr>
        <w:top w:val="none" w:sz="0" w:space="0" w:color="auto"/>
        <w:left w:val="none" w:sz="0" w:space="0" w:color="auto"/>
        <w:bottom w:val="none" w:sz="0" w:space="0" w:color="auto"/>
        <w:right w:val="none" w:sz="0" w:space="0" w:color="auto"/>
      </w:divBdr>
    </w:div>
    <w:div w:id="943538860">
      <w:bodyDiv w:val="1"/>
      <w:marLeft w:val="0"/>
      <w:marRight w:val="0"/>
      <w:marTop w:val="0"/>
      <w:marBottom w:val="0"/>
      <w:divBdr>
        <w:top w:val="none" w:sz="0" w:space="0" w:color="auto"/>
        <w:left w:val="none" w:sz="0" w:space="0" w:color="auto"/>
        <w:bottom w:val="none" w:sz="0" w:space="0" w:color="auto"/>
        <w:right w:val="none" w:sz="0" w:space="0" w:color="auto"/>
      </w:divBdr>
    </w:div>
    <w:div w:id="944733863">
      <w:bodyDiv w:val="1"/>
      <w:marLeft w:val="0"/>
      <w:marRight w:val="0"/>
      <w:marTop w:val="0"/>
      <w:marBottom w:val="0"/>
      <w:divBdr>
        <w:top w:val="none" w:sz="0" w:space="0" w:color="auto"/>
        <w:left w:val="none" w:sz="0" w:space="0" w:color="auto"/>
        <w:bottom w:val="none" w:sz="0" w:space="0" w:color="auto"/>
        <w:right w:val="none" w:sz="0" w:space="0" w:color="auto"/>
      </w:divBdr>
      <w:divsChild>
        <w:div w:id="6560560">
          <w:marLeft w:val="0"/>
          <w:marRight w:val="0"/>
          <w:marTop w:val="0"/>
          <w:marBottom w:val="0"/>
          <w:divBdr>
            <w:top w:val="none" w:sz="0" w:space="0" w:color="auto"/>
            <w:left w:val="none" w:sz="0" w:space="0" w:color="auto"/>
            <w:bottom w:val="none" w:sz="0" w:space="0" w:color="auto"/>
            <w:right w:val="none" w:sz="0" w:space="0" w:color="auto"/>
          </w:divBdr>
        </w:div>
        <w:div w:id="508758797">
          <w:marLeft w:val="0"/>
          <w:marRight w:val="0"/>
          <w:marTop w:val="0"/>
          <w:marBottom w:val="0"/>
          <w:divBdr>
            <w:top w:val="none" w:sz="0" w:space="0" w:color="auto"/>
            <w:left w:val="none" w:sz="0" w:space="0" w:color="auto"/>
            <w:bottom w:val="none" w:sz="0" w:space="0" w:color="auto"/>
            <w:right w:val="none" w:sz="0" w:space="0" w:color="auto"/>
          </w:divBdr>
        </w:div>
        <w:div w:id="523909449">
          <w:marLeft w:val="0"/>
          <w:marRight w:val="0"/>
          <w:marTop w:val="0"/>
          <w:marBottom w:val="0"/>
          <w:divBdr>
            <w:top w:val="none" w:sz="0" w:space="0" w:color="auto"/>
            <w:left w:val="none" w:sz="0" w:space="0" w:color="auto"/>
            <w:bottom w:val="none" w:sz="0" w:space="0" w:color="auto"/>
            <w:right w:val="none" w:sz="0" w:space="0" w:color="auto"/>
          </w:divBdr>
        </w:div>
        <w:div w:id="630137800">
          <w:marLeft w:val="0"/>
          <w:marRight w:val="0"/>
          <w:marTop w:val="0"/>
          <w:marBottom w:val="0"/>
          <w:divBdr>
            <w:top w:val="none" w:sz="0" w:space="0" w:color="auto"/>
            <w:left w:val="none" w:sz="0" w:space="0" w:color="auto"/>
            <w:bottom w:val="none" w:sz="0" w:space="0" w:color="auto"/>
            <w:right w:val="none" w:sz="0" w:space="0" w:color="auto"/>
          </w:divBdr>
        </w:div>
        <w:div w:id="754742306">
          <w:marLeft w:val="0"/>
          <w:marRight w:val="0"/>
          <w:marTop w:val="0"/>
          <w:marBottom w:val="0"/>
          <w:divBdr>
            <w:top w:val="none" w:sz="0" w:space="0" w:color="auto"/>
            <w:left w:val="none" w:sz="0" w:space="0" w:color="auto"/>
            <w:bottom w:val="none" w:sz="0" w:space="0" w:color="auto"/>
            <w:right w:val="none" w:sz="0" w:space="0" w:color="auto"/>
          </w:divBdr>
        </w:div>
        <w:div w:id="855464739">
          <w:marLeft w:val="0"/>
          <w:marRight w:val="0"/>
          <w:marTop w:val="0"/>
          <w:marBottom w:val="0"/>
          <w:divBdr>
            <w:top w:val="none" w:sz="0" w:space="0" w:color="auto"/>
            <w:left w:val="none" w:sz="0" w:space="0" w:color="auto"/>
            <w:bottom w:val="none" w:sz="0" w:space="0" w:color="auto"/>
            <w:right w:val="none" w:sz="0" w:space="0" w:color="auto"/>
          </w:divBdr>
        </w:div>
        <w:div w:id="1058242022">
          <w:marLeft w:val="0"/>
          <w:marRight w:val="0"/>
          <w:marTop w:val="0"/>
          <w:marBottom w:val="0"/>
          <w:divBdr>
            <w:top w:val="none" w:sz="0" w:space="0" w:color="auto"/>
            <w:left w:val="none" w:sz="0" w:space="0" w:color="auto"/>
            <w:bottom w:val="none" w:sz="0" w:space="0" w:color="auto"/>
            <w:right w:val="none" w:sz="0" w:space="0" w:color="auto"/>
          </w:divBdr>
        </w:div>
        <w:div w:id="1078985848">
          <w:marLeft w:val="0"/>
          <w:marRight w:val="0"/>
          <w:marTop w:val="0"/>
          <w:marBottom w:val="0"/>
          <w:divBdr>
            <w:top w:val="none" w:sz="0" w:space="0" w:color="auto"/>
            <w:left w:val="none" w:sz="0" w:space="0" w:color="auto"/>
            <w:bottom w:val="none" w:sz="0" w:space="0" w:color="auto"/>
            <w:right w:val="none" w:sz="0" w:space="0" w:color="auto"/>
          </w:divBdr>
        </w:div>
        <w:div w:id="1160197293">
          <w:marLeft w:val="0"/>
          <w:marRight w:val="0"/>
          <w:marTop w:val="0"/>
          <w:marBottom w:val="0"/>
          <w:divBdr>
            <w:top w:val="none" w:sz="0" w:space="0" w:color="auto"/>
            <w:left w:val="none" w:sz="0" w:space="0" w:color="auto"/>
            <w:bottom w:val="none" w:sz="0" w:space="0" w:color="auto"/>
            <w:right w:val="none" w:sz="0" w:space="0" w:color="auto"/>
          </w:divBdr>
        </w:div>
        <w:div w:id="1229072769">
          <w:marLeft w:val="0"/>
          <w:marRight w:val="0"/>
          <w:marTop w:val="0"/>
          <w:marBottom w:val="0"/>
          <w:divBdr>
            <w:top w:val="none" w:sz="0" w:space="0" w:color="auto"/>
            <w:left w:val="none" w:sz="0" w:space="0" w:color="auto"/>
            <w:bottom w:val="none" w:sz="0" w:space="0" w:color="auto"/>
            <w:right w:val="none" w:sz="0" w:space="0" w:color="auto"/>
          </w:divBdr>
        </w:div>
        <w:div w:id="1350718261">
          <w:marLeft w:val="0"/>
          <w:marRight w:val="0"/>
          <w:marTop w:val="0"/>
          <w:marBottom w:val="0"/>
          <w:divBdr>
            <w:top w:val="none" w:sz="0" w:space="0" w:color="auto"/>
            <w:left w:val="none" w:sz="0" w:space="0" w:color="auto"/>
            <w:bottom w:val="none" w:sz="0" w:space="0" w:color="auto"/>
            <w:right w:val="none" w:sz="0" w:space="0" w:color="auto"/>
          </w:divBdr>
        </w:div>
        <w:div w:id="1409426122">
          <w:marLeft w:val="0"/>
          <w:marRight w:val="0"/>
          <w:marTop w:val="0"/>
          <w:marBottom w:val="0"/>
          <w:divBdr>
            <w:top w:val="none" w:sz="0" w:space="0" w:color="auto"/>
            <w:left w:val="none" w:sz="0" w:space="0" w:color="auto"/>
            <w:bottom w:val="none" w:sz="0" w:space="0" w:color="auto"/>
            <w:right w:val="none" w:sz="0" w:space="0" w:color="auto"/>
          </w:divBdr>
        </w:div>
        <w:div w:id="1558474117">
          <w:marLeft w:val="0"/>
          <w:marRight w:val="0"/>
          <w:marTop w:val="0"/>
          <w:marBottom w:val="0"/>
          <w:divBdr>
            <w:top w:val="none" w:sz="0" w:space="0" w:color="auto"/>
            <w:left w:val="none" w:sz="0" w:space="0" w:color="auto"/>
            <w:bottom w:val="none" w:sz="0" w:space="0" w:color="auto"/>
            <w:right w:val="none" w:sz="0" w:space="0" w:color="auto"/>
          </w:divBdr>
        </w:div>
        <w:div w:id="1597126956">
          <w:marLeft w:val="0"/>
          <w:marRight w:val="0"/>
          <w:marTop w:val="0"/>
          <w:marBottom w:val="0"/>
          <w:divBdr>
            <w:top w:val="none" w:sz="0" w:space="0" w:color="auto"/>
            <w:left w:val="none" w:sz="0" w:space="0" w:color="auto"/>
            <w:bottom w:val="none" w:sz="0" w:space="0" w:color="auto"/>
            <w:right w:val="none" w:sz="0" w:space="0" w:color="auto"/>
          </w:divBdr>
        </w:div>
        <w:div w:id="1609006140">
          <w:marLeft w:val="0"/>
          <w:marRight w:val="0"/>
          <w:marTop w:val="0"/>
          <w:marBottom w:val="0"/>
          <w:divBdr>
            <w:top w:val="none" w:sz="0" w:space="0" w:color="auto"/>
            <w:left w:val="none" w:sz="0" w:space="0" w:color="auto"/>
            <w:bottom w:val="none" w:sz="0" w:space="0" w:color="auto"/>
            <w:right w:val="none" w:sz="0" w:space="0" w:color="auto"/>
          </w:divBdr>
        </w:div>
        <w:div w:id="1626961650">
          <w:marLeft w:val="0"/>
          <w:marRight w:val="0"/>
          <w:marTop w:val="0"/>
          <w:marBottom w:val="0"/>
          <w:divBdr>
            <w:top w:val="none" w:sz="0" w:space="0" w:color="auto"/>
            <w:left w:val="none" w:sz="0" w:space="0" w:color="auto"/>
            <w:bottom w:val="none" w:sz="0" w:space="0" w:color="auto"/>
            <w:right w:val="none" w:sz="0" w:space="0" w:color="auto"/>
          </w:divBdr>
        </w:div>
        <w:div w:id="1710495415">
          <w:marLeft w:val="0"/>
          <w:marRight w:val="0"/>
          <w:marTop w:val="0"/>
          <w:marBottom w:val="0"/>
          <w:divBdr>
            <w:top w:val="none" w:sz="0" w:space="0" w:color="auto"/>
            <w:left w:val="none" w:sz="0" w:space="0" w:color="auto"/>
            <w:bottom w:val="none" w:sz="0" w:space="0" w:color="auto"/>
            <w:right w:val="none" w:sz="0" w:space="0" w:color="auto"/>
          </w:divBdr>
        </w:div>
        <w:div w:id="1829906903">
          <w:marLeft w:val="0"/>
          <w:marRight w:val="0"/>
          <w:marTop w:val="0"/>
          <w:marBottom w:val="0"/>
          <w:divBdr>
            <w:top w:val="none" w:sz="0" w:space="0" w:color="auto"/>
            <w:left w:val="none" w:sz="0" w:space="0" w:color="auto"/>
            <w:bottom w:val="none" w:sz="0" w:space="0" w:color="auto"/>
            <w:right w:val="none" w:sz="0" w:space="0" w:color="auto"/>
          </w:divBdr>
        </w:div>
        <w:div w:id="1940680643">
          <w:marLeft w:val="0"/>
          <w:marRight w:val="0"/>
          <w:marTop w:val="0"/>
          <w:marBottom w:val="0"/>
          <w:divBdr>
            <w:top w:val="none" w:sz="0" w:space="0" w:color="auto"/>
            <w:left w:val="none" w:sz="0" w:space="0" w:color="auto"/>
            <w:bottom w:val="none" w:sz="0" w:space="0" w:color="auto"/>
            <w:right w:val="none" w:sz="0" w:space="0" w:color="auto"/>
          </w:divBdr>
        </w:div>
        <w:div w:id="2013295156">
          <w:marLeft w:val="0"/>
          <w:marRight w:val="0"/>
          <w:marTop w:val="0"/>
          <w:marBottom w:val="0"/>
          <w:divBdr>
            <w:top w:val="none" w:sz="0" w:space="0" w:color="auto"/>
            <w:left w:val="none" w:sz="0" w:space="0" w:color="auto"/>
            <w:bottom w:val="none" w:sz="0" w:space="0" w:color="auto"/>
            <w:right w:val="none" w:sz="0" w:space="0" w:color="auto"/>
          </w:divBdr>
        </w:div>
        <w:div w:id="2081053236">
          <w:marLeft w:val="0"/>
          <w:marRight w:val="0"/>
          <w:marTop w:val="0"/>
          <w:marBottom w:val="0"/>
          <w:divBdr>
            <w:top w:val="none" w:sz="0" w:space="0" w:color="auto"/>
            <w:left w:val="none" w:sz="0" w:space="0" w:color="auto"/>
            <w:bottom w:val="none" w:sz="0" w:space="0" w:color="auto"/>
            <w:right w:val="none" w:sz="0" w:space="0" w:color="auto"/>
          </w:divBdr>
        </w:div>
      </w:divsChild>
    </w:div>
    <w:div w:id="948312677">
      <w:bodyDiv w:val="1"/>
      <w:marLeft w:val="0"/>
      <w:marRight w:val="0"/>
      <w:marTop w:val="0"/>
      <w:marBottom w:val="0"/>
      <w:divBdr>
        <w:top w:val="none" w:sz="0" w:space="0" w:color="auto"/>
        <w:left w:val="none" w:sz="0" w:space="0" w:color="auto"/>
        <w:bottom w:val="none" w:sz="0" w:space="0" w:color="auto"/>
        <w:right w:val="none" w:sz="0" w:space="0" w:color="auto"/>
      </w:divBdr>
      <w:divsChild>
        <w:div w:id="901334370">
          <w:marLeft w:val="0"/>
          <w:marRight w:val="0"/>
          <w:marTop w:val="0"/>
          <w:marBottom w:val="0"/>
          <w:divBdr>
            <w:top w:val="none" w:sz="0" w:space="0" w:color="auto"/>
            <w:left w:val="none" w:sz="0" w:space="0" w:color="auto"/>
            <w:bottom w:val="none" w:sz="0" w:space="0" w:color="auto"/>
            <w:right w:val="none" w:sz="0" w:space="0" w:color="auto"/>
          </w:divBdr>
          <w:divsChild>
            <w:div w:id="1119957420">
              <w:marLeft w:val="0"/>
              <w:marRight w:val="0"/>
              <w:marTop w:val="0"/>
              <w:marBottom w:val="0"/>
              <w:divBdr>
                <w:top w:val="none" w:sz="0" w:space="0" w:color="auto"/>
                <w:left w:val="none" w:sz="0" w:space="0" w:color="auto"/>
                <w:bottom w:val="none" w:sz="0" w:space="0" w:color="auto"/>
                <w:right w:val="none" w:sz="0" w:space="0" w:color="auto"/>
              </w:divBdr>
              <w:divsChild>
                <w:div w:id="1971084216">
                  <w:marLeft w:val="0"/>
                  <w:marRight w:val="0"/>
                  <w:marTop w:val="0"/>
                  <w:marBottom w:val="0"/>
                  <w:divBdr>
                    <w:top w:val="none" w:sz="0" w:space="0" w:color="auto"/>
                    <w:left w:val="none" w:sz="0" w:space="0" w:color="auto"/>
                    <w:bottom w:val="none" w:sz="0" w:space="0" w:color="auto"/>
                    <w:right w:val="none" w:sz="0" w:space="0" w:color="auto"/>
                  </w:divBdr>
                  <w:divsChild>
                    <w:div w:id="1328166722">
                      <w:marLeft w:val="0"/>
                      <w:marRight w:val="0"/>
                      <w:marTop w:val="300"/>
                      <w:marBottom w:val="0"/>
                      <w:divBdr>
                        <w:top w:val="none" w:sz="0" w:space="0" w:color="auto"/>
                        <w:left w:val="none" w:sz="0" w:space="0" w:color="auto"/>
                        <w:bottom w:val="none" w:sz="0" w:space="0" w:color="auto"/>
                        <w:right w:val="none" w:sz="0" w:space="0" w:color="auto"/>
                      </w:divBdr>
                      <w:divsChild>
                        <w:div w:id="986283506">
                          <w:marLeft w:val="0"/>
                          <w:marRight w:val="0"/>
                          <w:marTop w:val="0"/>
                          <w:marBottom w:val="0"/>
                          <w:divBdr>
                            <w:top w:val="none" w:sz="0" w:space="0" w:color="auto"/>
                            <w:left w:val="none" w:sz="0" w:space="0" w:color="auto"/>
                            <w:bottom w:val="none" w:sz="0" w:space="0" w:color="auto"/>
                            <w:right w:val="none" w:sz="0" w:space="0" w:color="auto"/>
                          </w:divBdr>
                          <w:divsChild>
                            <w:div w:id="126487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91056">
                      <w:marLeft w:val="0"/>
                      <w:marRight w:val="0"/>
                      <w:marTop w:val="0"/>
                      <w:marBottom w:val="0"/>
                      <w:divBdr>
                        <w:top w:val="none" w:sz="0" w:space="0" w:color="auto"/>
                        <w:left w:val="none" w:sz="0" w:space="0" w:color="auto"/>
                        <w:bottom w:val="none" w:sz="0" w:space="0" w:color="auto"/>
                        <w:right w:val="none" w:sz="0" w:space="0" w:color="auto"/>
                      </w:divBdr>
                      <w:divsChild>
                        <w:div w:id="786967791">
                          <w:marLeft w:val="0"/>
                          <w:marRight w:val="0"/>
                          <w:marTop w:val="0"/>
                          <w:marBottom w:val="0"/>
                          <w:divBdr>
                            <w:top w:val="none" w:sz="0" w:space="0" w:color="auto"/>
                            <w:left w:val="none" w:sz="0" w:space="0" w:color="auto"/>
                            <w:bottom w:val="none" w:sz="0" w:space="0" w:color="auto"/>
                            <w:right w:val="none" w:sz="0" w:space="0" w:color="auto"/>
                          </w:divBdr>
                          <w:divsChild>
                            <w:div w:id="1389919082">
                              <w:marLeft w:val="0"/>
                              <w:marRight w:val="0"/>
                              <w:marTop w:val="0"/>
                              <w:marBottom w:val="0"/>
                              <w:divBdr>
                                <w:top w:val="none" w:sz="0" w:space="0" w:color="auto"/>
                                <w:left w:val="none" w:sz="0" w:space="0" w:color="auto"/>
                                <w:bottom w:val="none" w:sz="0" w:space="0" w:color="auto"/>
                                <w:right w:val="none" w:sz="0" w:space="0" w:color="auto"/>
                              </w:divBdr>
                            </w:div>
                          </w:divsChild>
                        </w:div>
                        <w:div w:id="11876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938127">
          <w:marLeft w:val="0"/>
          <w:marRight w:val="0"/>
          <w:marTop w:val="0"/>
          <w:marBottom w:val="0"/>
          <w:divBdr>
            <w:top w:val="none" w:sz="0" w:space="0" w:color="auto"/>
            <w:left w:val="none" w:sz="0" w:space="0" w:color="auto"/>
            <w:bottom w:val="none" w:sz="0" w:space="0" w:color="auto"/>
            <w:right w:val="none" w:sz="0" w:space="0" w:color="auto"/>
          </w:divBdr>
          <w:divsChild>
            <w:div w:id="1786852041">
              <w:marLeft w:val="0"/>
              <w:marRight w:val="0"/>
              <w:marTop w:val="0"/>
              <w:marBottom w:val="0"/>
              <w:divBdr>
                <w:top w:val="none" w:sz="0" w:space="0" w:color="auto"/>
                <w:left w:val="none" w:sz="0" w:space="0" w:color="auto"/>
                <w:bottom w:val="none" w:sz="0" w:space="0" w:color="auto"/>
                <w:right w:val="none" w:sz="0" w:space="0" w:color="auto"/>
              </w:divBdr>
              <w:divsChild>
                <w:div w:id="830292906">
                  <w:marLeft w:val="0"/>
                  <w:marRight w:val="0"/>
                  <w:marTop w:val="0"/>
                  <w:marBottom w:val="0"/>
                  <w:divBdr>
                    <w:top w:val="none" w:sz="0" w:space="0" w:color="auto"/>
                    <w:left w:val="none" w:sz="0" w:space="0" w:color="auto"/>
                    <w:bottom w:val="none" w:sz="0" w:space="0" w:color="auto"/>
                    <w:right w:val="none" w:sz="0" w:space="0" w:color="auto"/>
                  </w:divBdr>
                  <w:divsChild>
                    <w:div w:id="1095707916">
                      <w:marLeft w:val="0"/>
                      <w:marRight w:val="0"/>
                      <w:marTop w:val="0"/>
                      <w:marBottom w:val="0"/>
                      <w:divBdr>
                        <w:top w:val="none" w:sz="0" w:space="0" w:color="auto"/>
                        <w:left w:val="none" w:sz="0" w:space="0" w:color="auto"/>
                        <w:bottom w:val="none" w:sz="0" w:space="0" w:color="auto"/>
                        <w:right w:val="none" w:sz="0" w:space="0" w:color="auto"/>
                      </w:divBdr>
                      <w:divsChild>
                        <w:div w:id="341780488">
                          <w:marLeft w:val="0"/>
                          <w:marRight w:val="0"/>
                          <w:marTop w:val="0"/>
                          <w:marBottom w:val="300"/>
                          <w:divBdr>
                            <w:top w:val="none" w:sz="0" w:space="0" w:color="auto"/>
                            <w:left w:val="none" w:sz="0" w:space="0" w:color="auto"/>
                            <w:bottom w:val="none" w:sz="0" w:space="0" w:color="auto"/>
                            <w:right w:val="none" w:sz="0" w:space="0" w:color="auto"/>
                          </w:divBdr>
                          <w:divsChild>
                            <w:div w:id="2139447133">
                              <w:marLeft w:val="0"/>
                              <w:marRight w:val="0"/>
                              <w:marTop w:val="0"/>
                              <w:marBottom w:val="0"/>
                              <w:divBdr>
                                <w:top w:val="none" w:sz="0" w:space="0" w:color="auto"/>
                                <w:left w:val="none" w:sz="0" w:space="0" w:color="auto"/>
                                <w:bottom w:val="none" w:sz="0" w:space="0" w:color="auto"/>
                                <w:right w:val="none" w:sz="0" w:space="0" w:color="auto"/>
                              </w:divBdr>
                              <w:divsChild>
                                <w:div w:id="287781584">
                                  <w:marLeft w:val="0"/>
                                  <w:marRight w:val="0"/>
                                  <w:marTop w:val="0"/>
                                  <w:marBottom w:val="0"/>
                                  <w:divBdr>
                                    <w:top w:val="none" w:sz="0" w:space="0" w:color="auto"/>
                                    <w:left w:val="none" w:sz="0" w:space="0" w:color="auto"/>
                                    <w:bottom w:val="none" w:sz="0" w:space="0" w:color="auto"/>
                                    <w:right w:val="none" w:sz="0" w:space="0" w:color="auto"/>
                                  </w:divBdr>
                                  <w:divsChild>
                                    <w:div w:id="8439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487647">
      <w:bodyDiv w:val="1"/>
      <w:marLeft w:val="0"/>
      <w:marRight w:val="0"/>
      <w:marTop w:val="0"/>
      <w:marBottom w:val="0"/>
      <w:divBdr>
        <w:top w:val="none" w:sz="0" w:space="0" w:color="auto"/>
        <w:left w:val="none" w:sz="0" w:space="0" w:color="auto"/>
        <w:bottom w:val="none" w:sz="0" w:space="0" w:color="auto"/>
        <w:right w:val="none" w:sz="0" w:space="0" w:color="auto"/>
      </w:divBdr>
    </w:div>
    <w:div w:id="955913548">
      <w:bodyDiv w:val="1"/>
      <w:marLeft w:val="0"/>
      <w:marRight w:val="0"/>
      <w:marTop w:val="0"/>
      <w:marBottom w:val="0"/>
      <w:divBdr>
        <w:top w:val="none" w:sz="0" w:space="0" w:color="auto"/>
        <w:left w:val="none" w:sz="0" w:space="0" w:color="auto"/>
        <w:bottom w:val="none" w:sz="0" w:space="0" w:color="auto"/>
        <w:right w:val="none" w:sz="0" w:space="0" w:color="auto"/>
      </w:divBdr>
    </w:div>
    <w:div w:id="959729618">
      <w:bodyDiv w:val="1"/>
      <w:marLeft w:val="0"/>
      <w:marRight w:val="0"/>
      <w:marTop w:val="0"/>
      <w:marBottom w:val="0"/>
      <w:divBdr>
        <w:top w:val="none" w:sz="0" w:space="0" w:color="auto"/>
        <w:left w:val="none" w:sz="0" w:space="0" w:color="auto"/>
        <w:bottom w:val="none" w:sz="0" w:space="0" w:color="auto"/>
        <w:right w:val="none" w:sz="0" w:space="0" w:color="auto"/>
      </w:divBdr>
    </w:div>
    <w:div w:id="963584847">
      <w:bodyDiv w:val="1"/>
      <w:marLeft w:val="0"/>
      <w:marRight w:val="0"/>
      <w:marTop w:val="0"/>
      <w:marBottom w:val="0"/>
      <w:divBdr>
        <w:top w:val="none" w:sz="0" w:space="0" w:color="auto"/>
        <w:left w:val="none" w:sz="0" w:space="0" w:color="auto"/>
        <w:bottom w:val="none" w:sz="0" w:space="0" w:color="auto"/>
        <w:right w:val="none" w:sz="0" w:space="0" w:color="auto"/>
      </w:divBdr>
    </w:div>
    <w:div w:id="967784220">
      <w:bodyDiv w:val="1"/>
      <w:marLeft w:val="0"/>
      <w:marRight w:val="0"/>
      <w:marTop w:val="0"/>
      <w:marBottom w:val="0"/>
      <w:divBdr>
        <w:top w:val="none" w:sz="0" w:space="0" w:color="auto"/>
        <w:left w:val="none" w:sz="0" w:space="0" w:color="auto"/>
        <w:bottom w:val="none" w:sz="0" w:space="0" w:color="auto"/>
        <w:right w:val="none" w:sz="0" w:space="0" w:color="auto"/>
      </w:divBdr>
    </w:div>
    <w:div w:id="970211210">
      <w:bodyDiv w:val="1"/>
      <w:marLeft w:val="0"/>
      <w:marRight w:val="0"/>
      <w:marTop w:val="0"/>
      <w:marBottom w:val="0"/>
      <w:divBdr>
        <w:top w:val="none" w:sz="0" w:space="0" w:color="auto"/>
        <w:left w:val="none" w:sz="0" w:space="0" w:color="auto"/>
        <w:bottom w:val="none" w:sz="0" w:space="0" w:color="auto"/>
        <w:right w:val="none" w:sz="0" w:space="0" w:color="auto"/>
      </w:divBdr>
      <w:divsChild>
        <w:div w:id="1948267402">
          <w:marLeft w:val="0"/>
          <w:marRight w:val="0"/>
          <w:marTop w:val="0"/>
          <w:marBottom w:val="0"/>
          <w:divBdr>
            <w:top w:val="none" w:sz="0" w:space="0" w:color="auto"/>
            <w:left w:val="none" w:sz="0" w:space="0" w:color="auto"/>
            <w:bottom w:val="none" w:sz="0" w:space="0" w:color="auto"/>
            <w:right w:val="none" w:sz="0" w:space="0" w:color="auto"/>
          </w:divBdr>
        </w:div>
      </w:divsChild>
    </w:div>
    <w:div w:id="971441163">
      <w:bodyDiv w:val="1"/>
      <w:marLeft w:val="0"/>
      <w:marRight w:val="0"/>
      <w:marTop w:val="0"/>
      <w:marBottom w:val="0"/>
      <w:divBdr>
        <w:top w:val="none" w:sz="0" w:space="0" w:color="auto"/>
        <w:left w:val="none" w:sz="0" w:space="0" w:color="auto"/>
        <w:bottom w:val="none" w:sz="0" w:space="0" w:color="auto"/>
        <w:right w:val="none" w:sz="0" w:space="0" w:color="auto"/>
      </w:divBdr>
      <w:divsChild>
        <w:div w:id="1413771156">
          <w:marLeft w:val="0"/>
          <w:marRight w:val="0"/>
          <w:marTop w:val="0"/>
          <w:marBottom w:val="0"/>
          <w:divBdr>
            <w:top w:val="none" w:sz="0" w:space="0" w:color="auto"/>
            <w:left w:val="none" w:sz="0" w:space="0" w:color="auto"/>
            <w:bottom w:val="none" w:sz="0" w:space="0" w:color="auto"/>
            <w:right w:val="none" w:sz="0" w:space="0" w:color="auto"/>
          </w:divBdr>
          <w:divsChild>
            <w:div w:id="1874688634">
              <w:marLeft w:val="0"/>
              <w:marRight w:val="0"/>
              <w:marTop w:val="0"/>
              <w:marBottom w:val="0"/>
              <w:divBdr>
                <w:top w:val="none" w:sz="0" w:space="0" w:color="auto"/>
                <w:left w:val="none" w:sz="0" w:space="0" w:color="auto"/>
                <w:bottom w:val="none" w:sz="0" w:space="0" w:color="auto"/>
                <w:right w:val="none" w:sz="0" w:space="0" w:color="auto"/>
              </w:divBdr>
              <w:divsChild>
                <w:div w:id="2037651847">
                  <w:marLeft w:val="0"/>
                  <w:marRight w:val="0"/>
                  <w:marTop w:val="0"/>
                  <w:marBottom w:val="0"/>
                  <w:divBdr>
                    <w:top w:val="none" w:sz="0" w:space="0" w:color="auto"/>
                    <w:left w:val="none" w:sz="0" w:space="0" w:color="auto"/>
                    <w:bottom w:val="none" w:sz="0" w:space="0" w:color="auto"/>
                    <w:right w:val="none" w:sz="0" w:space="0" w:color="auto"/>
                  </w:divBdr>
                  <w:divsChild>
                    <w:div w:id="613291186">
                      <w:marLeft w:val="0"/>
                      <w:marRight w:val="0"/>
                      <w:marTop w:val="300"/>
                      <w:marBottom w:val="0"/>
                      <w:divBdr>
                        <w:top w:val="none" w:sz="0" w:space="0" w:color="auto"/>
                        <w:left w:val="none" w:sz="0" w:space="0" w:color="auto"/>
                        <w:bottom w:val="none" w:sz="0" w:space="0" w:color="auto"/>
                        <w:right w:val="none" w:sz="0" w:space="0" w:color="auto"/>
                      </w:divBdr>
                      <w:divsChild>
                        <w:div w:id="1989239505">
                          <w:marLeft w:val="0"/>
                          <w:marRight w:val="0"/>
                          <w:marTop w:val="0"/>
                          <w:marBottom w:val="0"/>
                          <w:divBdr>
                            <w:top w:val="none" w:sz="0" w:space="0" w:color="auto"/>
                            <w:left w:val="none" w:sz="0" w:space="0" w:color="auto"/>
                            <w:bottom w:val="none" w:sz="0" w:space="0" w:color="auto"/>
                            <w:right w:val="none" w:sz="0" w:space="0" w:color="auto"/>
                          </w:divBdr>
                          <w:divsChild>
                            <w:div w:id="6318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21763">
                      <w:marLeft w:val="0"/>
                      <w:marRight w:val="0"/>
                      <w:marTop w:val="0"/>
                      <w:marBottom w:val="0"/>
                      <w:divBdr>
                        <w:top w:val="none" w:sz="0" w:space="0" w:color="auto"/>
                        <w:left w:val="none" w:sz="0" w:space="0" w:color="auto"/>
                        <w:bottom w:val="none" w:sz="0" w:space="0" w:color="auto"/>
                        <w:right w:val="none" w:sz="0" w:space="0" w:color="auto"/>
                      </w:divBdr>
                      <w:divsChild>
                        <w:div w:id="1889027125">
                          <w:marLeft w:val="0"/>
                          <w:marRight w:val="0"/>
                          <w:marTop w:val="0"/>
                          <w:marBottom w:val="0"/>
                          <w:divBdr>
                            <w:top w:val="none" w:sz="0" w:space="0" w:color="auto"/>
                            <w:left w:val="none" w:sz="0" w:space="0" w:color="auto"/>
                            <w:bottom w:val="none" w:sz="0" w:space="0" w:color="auto"/>
                            <w:right w:val="none" w:sz="0" w:space="0" w:color="auto"/>
                          </w:divBdr>
                          <w:divsChild>
                            <w:div w:id="7414649">
                              <w:marLeft w:val="0"/>
                              <w:marRight w:val="0"/>
                              <w:marTop w:val="0"/>
                              <w:marBottom w:val="0"/>
                              <w:divBdr>
                                <w:top w:val="none" w:sz="0" w:space="0" w:color="auto"/>
                                <w:left w:val="none" w:sz="0" w:space="0" w:color="auto"/>
                                <w:bottom w:val="none" w:sz="0" w:space="0" w:color="auto"/>
                                <w:right w:val="none" w:sz="0" w:space="0" w:color="auto"/>
                              </w:divBdr>
                            </w:div>
                          </w:divsChild>
                        </w:div>
                        <w:div w:id="204722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806706">
      <w:bodyDiv w:val="1"/>
      <w:marLeft w:val="0"/>
      <w:marRight w:val="0"/>
      <w:marTop w:val="0"/>
      <w:marBottom w:val="0"/>
      <w:divBdr>
        <w:top w:val="none" w:sz="0" w:space="0" w:color="auto"/>
        <w:left w:val="none" w:sz="0" w:space="0" w:color="auto"/>
        <w:bottom w:val="none" w:sz="0" w:space="0" w:color="auto"/>
        <w:right w:val="none" w:sz="0" w:space="0" w:color="auto"/>
      </w:divBdr>
    </w:div>
    <w:div w:id="986277895">
      <w:bodyDiv w:val="1"/>
      <w:marLeft w:val="0"/>
      <w:marRight w:val="0"/>
      <w:marTop w:val="0"/>
      <w:marBottom w:val="0"/>
      <w:divBdr>
        <w:top w:val="none" w:sz="0" w:space="0" w:color="auto"/>
        <w:left w:val="none" w:sz="0" w:space="0" w:color="auto"/>
        <w:bottom w:val="none" w:sz="0" w:space="0" w:color="auto"/>
        <w:right w:val="none" w:sz="0" w:space="0" w:color="auto"/>
      </w:divBdr>
    </w:div>
    <w:div w:id="988633729">
      <w:bodyDiv w:val="1"/>
      <w:marLeft w:val="0"/>
      <w:marRight w:val="0"/>
      <w:marTop w:val="0"/>
      <w:marBottom w:val="0"/>
      <w:divBdr>
        <w:top w:val="none" w:sz="0" w:space="0" w:color="auto"/>
        <w:left w:val="none" w:sz="0" w:space="0" w:color="auto"/>
        <w:bottom w:val="none" w:sz="0" w:space="0" w:color="auto"/>
        <w:right w:val="none" w:sz="0" w:space="0" w:color="auto"/>
      </w:divBdr>
    </w:div>
    <w:div w:id="989868942">
      <w:bodyDiv w:val="1"/>
      <w:marLeft w:val="0"/>
      <w:marRight w:val="0"/>
      <w:marTop w:val="0"/>
      <w:marBottom w:val="0"/>
      <w:divBdr>
        <w:top w:val="none" w:sz="0" w:space="0" w:color="auto"/>
        <w:left w:val="none" w:sz="0" w:space="0" w:color="auto"/>
        <w:bottom w:val="none" w:sz="0" w:space="0" w:color="auto"/>
        <w:right w:val="none" w:sz="0" w:space="0" w:color="auto"/>
      </w:divBdr>
    </w:div>
    <w:div w:id="991325464">
      <w:bodyDiv w:val="1"/>
      <w:marLeft w:val="0"/>
      <w:marRight w:val="0"/>
      <w:marTop w:val="0"/>
      <w:marBottom w:val="0"/>
      <w:divBdr>
        <w:top w:val="none" w:sz="0" w:space="0" w:color="auto"/>
        <w:left w:val="none" w:sz="0" w:space="0" w:color="auto"/>
        <w:bottom w:val="none" w:sz="0" w:space="0" w:color="auto"/>
        <w:right w:val="none" w:sz="0" w:space="0" w:color="auto"/>
      </w:divBdr>
    </w:div>
    <w:div w:id="992833382">
      <w:bodyDiv w:val="1"/>
      <w:marLeft w:val="0"/>
      <w:marRight w:val="0"/>
      <w:marTop w:val="0"/>
      <w:marBottom w:val="0"/>
      <w:divBdr>
        <w:top w:val="none" w:sz="0" w:space="0" w:color="auto"/>
        <w:left w:val="none" w:sz="0" w:space="0" w:color="auto"/>
        <w:bottom w:val="none" w:sz="0" w:space="0" w:color="auto"/>
        <w:right w:val="none" w:sz="0" w:space="0" w:color="auto"/>
      </w:divBdr>
    </w:div>
    <w:div w:id="994451289">
      <w:bodyDiv w:val="1"/>
      <w:marLeft w:val="0"/>
      <w:marRight w:val="0"/>
      <w:marTop w:val="0"/>
      <w:marBottom w:val="0"/>
      <w:divBdr>
        <w:top w:val="none" w:sz="0" w:space="0" w:color="auto"/>
        <w:left w:val="none" w:sz="0" w:space="0" w:color="auto"/>
        <w:bottom w:val="none" w:sz="0" w:space="0" w:color="auto"/>
        <w:right w:val="none" w:sz="0" w:space="0" w:color="auto"/>
      </w:divBdr>
    </w:div>
    <w:div w:id="1005015250">
      <w:bodyDiv w:val="1"/>
      <w:marLeft w:val="0"/>
      <w:marRight w:val="0"/>
      <w:marTop w:val="0"/>
      <w:marBottom w:val="0"/>
      <w:divBdr>
        <w:top w:val="none" w:sz="0" w:space="0" w:color="auto"/>
        <w:left w:val="none" w:sz="0" w:space="0" w:color="auto"/>
        <w:bottom w:val="none" w:sz="0" w:space="0" w:color="auto"/>
        <w:right w:val="none" w:sz="0" w:space="0" w:color="auto"/>
      </w:divBdr>
    </w:div>
    <w:div w:id="1007246640">
      <w:bodyDiv w:val="1"/>
      <w:marLeft w:val="0"/>
      <w:marRight w:val="0"/>
      <w:marTop w:val="0"/>
      <w:marBottom w:val="0"/>
      <w:divBdr>
        <w:top w:val="none" w:sz="0" w:space="0" w:color="auto"/>
        <w:left w:val="none" w:sz="0" w:space="0" w:color="auto"/>
        <w:bottom w:val="none" w:sz="0" w:space="0" w:color="auto"/>
        <w:right w:val="none" w:sz="0" w:space="0" w:color="auto"/>
      </w:divBdr>
    </w:div>
    <w:div w:id="1014302656">
      <w:bodyDiv w:val="1"/>
      <w:marLeft w:val="0"/>
      <w:marRight w:val="0"/>
      <w:marTop w:val="0"/>
      <w:marBottom w:val="0"/>
      <w:divBdr>
        <w:top w:val="none" w:sz="0" w:space="0" w:color="auto"/>
        <w:left w:val="none" w:sz="0" w:space="0" w:color="auto"/>
        <w:bottom w:val="none" w:sz="0" w:space="0" w:color="auto"/>
        <w:right w:val="none" w:sz="0" w:space="0" w:color="auto"/>
      </w:divBdr>
    </w:div>
    <w:div w:id="1017315964">
      <w:bodyDiv w:val="1"/>
      <w:marLeft w:val="0"/>
      <w:marRight w:val="0"/>
      <w:marTop w:val="0"/>
      <w:marBottom w:val="0"/>
      <w:divBdr>
        <w:top w:val="none" w:sz="0" w:space="0" w:color="auto"/>
        <w:left w:val="none" w:sz="0" w:space="0" w:color="auto"/>
        <w:bottom w:val="none" w:sz="0" w:space="0" w:color="auto"/>
        <w:right w:val="none" w:sz="0" w:space="0" w:color="auto"/>
      </w:divBdr>
    </w:div>
    <w:div w:id="1018241725">
      <w:bodyDiv w:val="1"/>
      <w:marLeft w:val="0"/>
      <w:marRight w:val="0"/>
      <w:marTop w:val="0"/>
      <w:marBottom w:val="0"/>
      <w:divBdr>
        <w:top w:val="none" w:sz="0" w:space="0" w:color="auto"/>
        <w:left w:val="none" w:sz="0" w:space="0" w:color="auto"/>
        <w:bottom w:val="none" w:sz="0" w:space="0" w:color="auto"/>
        <w:right w:val="none" w:sz="0" w:space="0" w:color="auto"/>
      </w:divBdr>
    </w:div>
    <w:div w:id="1022587905">
      <w:bodyDiv w:val="1"/>
      <w:marLeft w:val="0"/>
      <w:marRight w:val="0"/>
      <w:marTop w:val="0"/>
      <w:marBottom w:val="0"/>
      <w:divBdr>
        <w:top w:val="none" w:sz="0" w:space="0" w:color="auto"/>
        <w:left w:val="none" w:sz="0" w:space="0" w:color="auto"/>
        <w:bottom w:val="none" w:sz="0" w:space="0" w:color="auto"/>
        <w:right w:val="none" w:sz="0" w:space="0" w:color="auto"/>
      </w:divBdr>
    </w:div>
    <w:div w:id="1022975387">
      <w:bodyDiv w:val="1"/>
      <w:marLeft w:val="0"/>
      <w:marRight w:val="0"/>
      <w:marTop w:val="0"/>
      <w:marBottom w:val="0"/>
      <w:divBdr>
        <w:top w:val="none" w:sz="0" w:space="0" w:color="auto"/>
        <w:left w:val="none" w:sz="0" w:space="0" w:color="auto"/>
        <w:bottom w:val="none" w:sz="0" w:space="0" w:color="auto"/>
        <w:right w:val="none" w:sz="0" w:space="0" w:color="auto"/>
      </w:divBdr>
      <w:divsChild>
        <w:div w:id="1707875268">
          <w:marLeft w:val="0"/>
          <w:marRight w:val="0"/>
          <w:marTop w:val="0"/>
          <w:marBottom w:val="0"/>
          <w:divBdr>
            <w:top w:val="none" w:sz="0" w:space="0" w:color="auto"/>
            <w:left w:val="none" w:sz="0" w:space="0" w:color="auto"/>
            <w:bottom w:val="none" w:sz="0" w:space="0" w:color="auto"/>
            <w:right w:val="none" w:sz="0" w:space="0" w:color="auto"/>
          </w:divBdr>
          <w:divsChild>
            <w:div w:id="514728114">
              <w:marLeft w:val="0"/>
              <w:marRight w:val="0"/>
              <w:marTop w:val="0"/>
              <w:marBottom w:val="0"/>
              <w:divBdr>
                <w:top w:val="none" w:sz="0" w:space="0" w:color="auto"/>
                <w:left w:val="none" w:sz="0" w:space="0" w:color="auto"/>
                <w:bottom w:val="none" w:sz="0" w:space="0" w:color="auto"/>
                <w:right w:val="none" w:sz="0" w:space="0" w:color="auto"/>
              </w:divBdr>
              <w:divsChild>
                <w:div w:id="770467981">
                  <w:marLeft w:val="0"/>
                  <w:marRight w:val="0"/>
                  <w:marTop w:val="0"/>
                  <w:marBottom w:val="0"/>
                  <w:divBdr>
                    <w:top w:val="none" w:sz="0" w:space="0" w:color="auto"/>
                    <w:left w:val="none" w:sz="0" w:space="0" w:color="auto"/>
                    <w:bottom w:val="none" w:sz="0" w:space="0" w:color="auto"/>
                    <w:right w:val="none" w:sz="0" w:space="0" w:color="auto"/>
                  </w:divBdr>
                  <w:divsChild>
                    <w:div w:id="865099840">
                      <w:marLeft w:val="0"/>
                      <w:marRight w:val="0"/>
                      <w:marTop w:val="0"/>
                      <w:marBottom w:val="0"/>
                      <w:divBdr>
                        <w:top w:val="none" w:sz="0" w:space="0" w:color="auto"/>
                        <w:left w:val="none" w:sz="0" w:space="0" w:color="auto"/>
                        <w:bottom w:val="none" w:sz="0" w:space="0" w:color="auto"/>
                        <w:right w:val="none" w:sz="0" w:space="0" w:color="auto"/>
                      </w:divBdr>
                      <w:divsChild>
                        <w:div w:id="249043922">
                          <w:marLeft w:val="0"/>
                          <w:marRight w:val="0"/>
                          <w:marTop w:val="0"/>
                          <w:marBottom w:val="0"/>
                          <w:divBdr>
                            <w:top w:val="none" w:sz="0" w:space="0" w:color="auto"/>
                            <w:left w:val="none" w:sz="0" w:space="0" w:color="auto"/>
                            <w:bottom w:val="none" w:sz="0" w:space="0" w:color="auto"/>
                            <w:right w:val="none" w:sz="0" w:space="0" w:color="auto"/>
                          </w:divBdr>
                        </w:div>
                        <w:div w:id="1819298078">
                          <w:marLeft w:val="0"/>
                          <w:marRight w:val="0"/>
                          <w:marTop w:val="0"/>
                          <w:marBottom w:val="0"/>
                          <w:divBdr>
                            <w:top w:val="none" w:sz="0" w:space="0" w:color="auto"/>
                            <w:left w:val="none" w:sz="0" w:space="0" w:color="auto"/>
                            <w:bottom w:val="none" w:sz="0" w:space="0" w:color="auto"/>
                            <w:right w:val="none" w:sz="0" w:space="0" w:color="auto"/>
                          </w:divBdr>
                          <w:divsChild>
                            <w:div w:id="14171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07540">
                      <w:marLeft w:val="0"/>
                      <w:marRight w:val="0"/>
                      <w:marTop w:val="300"/>
                      <w:marBottom w:val="0"/>
                      <w:divBdr>
                        <w:top w:val="none" w:sz="0" w:space="0" w:color="auto"/>
                        <w:left w:val="none" w:sz="0" w:space="0" w:color="auto"/>
                        <w:bottom w:val="none" w:sz="0" w:space="0" w:color="auto"/>
                        <w:right w:val="none" w:sz="0" w:space="0" w:color="auto"/>
                      </w:divBdr>
                      <w:divsChild>
                        <w:div w:id="444737998">
                          <w:marLeft w:val="0"/>
                          <w:marRight w:val="0"/>
                          <w:marTop w:val="0"/>
                          <w:marBottom w:val="0"/>
                          <w:divBdr>
                            <w:top w:val="none" w:sz="0" w:space="0" w:color="auto"/>
                            <w:left w:val="none" w:sz="0" w:space="0" w:color="auto"/>
                            <w:bottom w:val="none" w:sz="0" w:space="0" w:color="auto"/>
                            <w:right w:val="none" w:sz="0" w:space="0" w:color="auto"/>
                          </w:divBdr>
                          <w:divsChild>
                            <w:div w:id="195933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677051">
      <w:bodyDiv w:val="1"/>
      <w:marLeft w:val="0"/>
      <w:marRight w:val="0"/>
      <w:marTop w:val="0"/>
      <w:marBottom w:val="0"/>
      <w:divBdr>
        <w:top w:val="none" w:sz="0" w:space="0" w:color="auto"/>
        <w:left w:val="none" w:sz="0" w:space="0" w:color="auto"/>
        <w:bottom w:val="none" w:sz="0" w:space="0" w:color="auto"/>
        <w:right w:val="none" w:sz="0" w:space="0" w:color="auto"/>
      </w:divBdr>
    </w:div>
    <w:div w:id="1030570427">
      <w:bodyDiv w:val="1"/>
      <w:marLeft w:val="0"/>
      <w:marRight w:val="0"/>
      <w:marTop w:val="0"/>
      <w:marBottom w:val="0"/>
      <w:divBdr>
        <w:top w:val="none" w:sz="0" w:space="0" w:color="auto"/>
        <w:left w:val="none" w:sz="0" w:space="0" w:color="auto"/>
        <w:bottom w:val="none" w:sz="0" w:space="0" w:color="auto"/>
        <w:right w:val="none" w:sz="0" w:space="0" w:color="auto"/>
      </w:divBdr>
    </w:div>
    <w:div w:id="1032267814">
      <w:bodyDiv w:val="1"/>
      <w:marLeft w:val="0"/>
      <w:marRight w:val="0"/>
      <w:marTop w:val="0"/>
      <w:marBottom w:val="0"/>
      <w:divBdr>
        <w:top w:val="none" w:sz="0" w:space="0" w:color="auto"/>
        <w:left w:val="none" w:sz="0" w:space="0" w:color="auto"/>
        <w:bottom w:val="none" w:sz="0" w:space="0" w:color="auto"/>
        <w:right w:val="none" w:sz="0" w:space="0" w:color="auto"/>
      </w:divBdr>
    </w:div>
    <w:div w:id="1033462189">
      <w:bodyDiv w:val="1"/>
      <w:marLeft w:val="0"/>
      <w:marRight w:val="0"/>
      <w:marTop w:val="0"/>
      <w:marBottom w:val="0"/>
      <w:divBdr>
        <w:top w:val="none" w:sz="0" w:space="0" w:color="auto"/>
        <w:left w:val="none" w:sz="0" w:space="0" w:color="auto"/>
        <w:bottom w:val="none" w:sz="0" w:space="0" w:color="auto"/>
        <w:right w:val="none" w:sz="0" w:space="0" w:color="auto"/>
      </w:divBdr>
    </w:div>
    <w:div w:id="1034115663">
      <w:bodyDiv w:val="1"/>
      <w:marLeft w:val="0"/>
      <w:marRight w:val="0"/>
      <w:marTop w:val="0"/>
      <w:marBottom w:val="0"/>
      <w:divBdr>
        <w:top w:val="none" w:sz="0" w:space="0" w:color="auto"/>
        <w:left w:val="none" w:sz="0" w:space="0" w:color="auto"/>
        <w:bottom w:val="none" w:sz="0" w:space="0" w:color="auto"/>
        <w:right w:val="none" w:sz="0" w:space="0" w:color="auto"/>
      </w:divBdr>
    </w:div>
    <w:div w:id="1042631180">
      <w:bodyDiv w:val="1"/>
      <w:marLeft w:val="0"/>
      <w:marRight w:val="0"/>
      <w:marTop w:val="0"/>
      <w:marBottom w:val="0"/>
      <w:divBdr>
        <w:top w:val="none" w:sz="0" w:space="0" w:color="auto"/>
        <w:left w:val="none" w:sz="0" w:space="0" w:color="auto"/>
        <w:bottom w:val="none" w:sz="0" w:space="0" w:color="auto"/>
        <w:right w:val="none" w:sz="0" w:space="0" w:color="auto"/>
      </w:divBdr>
      <w:divsChild>
        <w:div w:id="491992480">
          <w:marLeft w:val="0"/>
          <w:marRight w:val="0"/>
          <w:marTop w:val="0"/>
          <w:marBottom w:val="0"/>
          <w:divBdr>
            <w:top w:val="none" w:sz="0" w:space="0" w:color="auto"/>
            <w:left w:val="none" w:sz="0" w:space="0" w:color="auto"/>
            <w:bottom w:val="none" w:sz="0" w:space="0" w:color="auto"/>
            <w:right w:val="none" w:sz="0" w:space="0" w:color="auto"/>
          </w:divBdr>
        </w:div>
        <w:div w:id="509219333">
          <w:marLeft w:val="0"/>
          <w:marRight w:val="0"/>
          <w:marTop w:val="0"/>
          <w:marBottom w:val="0"/>
          <w:divBdr>
            <w:top w:val="none" w:sz="0" w:space="0" w:color="auto"/>
            <w:left w:val="none" w:sz="0" w:space="0" w:color="auto"/>
            <w:bottom w:val="none" w:sz="0" w:space="0" w:color="auto"/>
            <w:right w:val="none" w:sz="0" w:space="0" w:color="auto"/>
          </w:divBdr>
        </w:div>
        <w:div w:id="1301494996">
          <w:marLeft w:val="0"/>
          <w:marRight w:val="0"/>
          <w:marTop w:val="0"/>
          <w:marBottom w:val="0"/>
          <w:divBdr>
            <w:top w:val="none" w:sz="0" w:space="0" w:color="auto"/>
            <w:left w:val="none" w:sz="0" w:space="0" w:color="auto"/>
            <w:bottom w:val="none" w:sz="0" w:space="0" w:color="auto"/>
            <w:right w:val="none" w:sz="0" w:space="0" w:color="auto"/>
          </w:divBdr>
        </w:div>
        <w:div w:id="1636062008">
          <w:marLeft w:val="0"/>
          <w:marRight w:val="0"/>
          <w:marTop w:val="0"/>
          <w:marBottom w:val="0"/>
          <w:divBdr>
            <w:top w:val="none" w:sz="0" w:space="0" w:color="auto"/>
            <w:left w:val="none" w:sz="0" w:space="0" w:color="auto"/>
            <w:bottom w:val="none" w:sz="0" w:space="0" w:color="auto"/>
            <w:right w:val="none" w:sz="0" w:space="0" w:color="auto"/>
          </w:divBdr>
        </w:div>
        <w:div w:id="1684015825">
          <w:marLeft w:val="0"/>
          <w:marRight w:val="0"/>
          <w:marTop w:val="0"/>
          <w:marBottom w:val="0"/>
          <w:divBdr>
            <w:top w:val="none" w:sz="0" w:space="0" w:color="auto"/>
            <w:left w:val="none" w:sz="0" w:space="0" w:color="auto"/>
            <w:bottom w:val="none" w:sz="0" w:space="0" w:color="auto"/>
            <w:right w:val="none" w:sz="0" w:space="0" w:color="auto"/>
          </w:divBdr>
        </w:div>
        <w:div w:id="1954897550">
          <w:marLeft w:val="0"/>
          <w:marRight w:val="0"/>
          <w:marTop w:val="0"/>
          <w:marBottom w:val="0"/>
          <w:divBdr>
            <w:top w:val="none" w:sz="0" w:space="0" w:color="auto"/>
            <w:left w:val="none" w:sz="0" w:space="0" w:color="auto"/>
            <w:bottom w:val="none" w:sz="0" w:space="0" w:color="auto"/>
            <w:right w:val="none" w:sz="0" w:space="0" w:color="auto"/>
          </w:divBdr>
        </w:div>
      </w:divsChild>
    </w:div>
    <w:div w:id="1046760219">
      <w:bodyDiv w:val="1"/>
      <w:marLeft w:val="0"/>
      <w:marRight w:val="0"/>
      <w:marTop w:val="0"/>
      <w:marBottom w:val="0"/>
      <w:divBdr>
        <w:top w:val="none" w:sz="0" w:space="0" w:color="auto"/>
        <w:left w:val="none" w:sz="0" w:space="0" w:color="auto"/>
        <w:bottom w:val="none" w:sz="0" w:space="0" w:color="auto"/>
        <w:right w:val="none" w:sz="0" w:space="0" w:color="auto"/>
      </w:divBdr>
    </w:div>
    <w:div w:id="1048185643">
      <w:bodyDiv w:val="1"/>
      <w:marLeft w:val="0"/>
      <w:marRight w:val="0"/>
      <w:marTop w:val="0"/>
      <w:marBottom w:val="0"/>
      <w:divBdr>
        <w:top w:val="none" w:sz="0" w:space="0" w:color="auto"/>
        <w:left w:val="none" w:sz="0" w:space="0" w:color="auto"/>
        <w:bottom w:val="none" w:sz="0" w:space="0" w:color="auto"/>
        <w:right w:val="none" w:sz="0" w:space="0" w:color="auto"/>
      </w:divBdr>
    </w:div>
    <w:div w:id="1054498838">
      <w:bodyDiv w:val="1"/>
      <w:marLeft w:val="0"/>
      <w:marRight w:val="0"/>
      <w:marTop w:val="0"/>
      <w:marBottom w:val="0"/>
      <w:divBdr>
        <w:top w:val="none" w:sz="0" w:space="0" w:color="auto"/>
        <w:left w:val="none" w:sz="0" w:space="0" w:color="auto"/>
        <w:bottom w:val="none" w:sz="0" w:space="0" w:color="auto"/>
        <w:right w:val="none" w:sz="0" w:space="0" w:color="auto"/>
      </w:divBdr>
    </w:div>
    <w:div w:id="1058552571">
      <w:bodyDiv w:val="1"/>
      <w:marLeft w:val="0"/>
      <w:marRight w:val="0"/>
      <w:marTop w:val="0"/>
      <w:marBottom w:val="0"/>
      <w:divBdr>
        <w:top w:val="none" w:sz="0" w:space="0" w:color="auto"/>
        <w:left w:val="none" w:sz="0" w:space="0" w:color="auto"/>
        <w:bottom w:val="none" w:sz="0" w:space="0" w:color="auto"/>
        <w:right w:val="none" w:sz="0" w:space="0" w:color="auto"/>
      </w:divBdr>
    </w:div>
    <w:div w:id="1059550770">
      <w:bodyDiv w:val="1"/>
      <w:marLeft w:val="0"/>
      <w:marRight w:val="0"/>
      <w:marTop w:val="0"/>
      <w:marBottom w:val="0"/>
      <w:divBdr>
        <w:top w:val="none" w:sz="0" w:space="0" w:color="auto"/>
        <w:left w:val="none" w:sz="0" w:space="0" w:color="auto"/>
        <w:bottom w:val="none" w:sz="0" w:space="0" w:color="auto"/>
        <w:right w:val="none" w:sz="0" w:space="0" w:color="auto"/>
      </w:divBdr>
    </w:div>
    <w:div w:id="1067916918">
      <w:bodyDiv w:val="1"/>
      <w:marLeft w:val="0"/>
      <w:marRight w:val="0"/>
      <w:marTop w:val="0"/>
      <w:marBottom w:val="0"/>
      <w:divBdr>
        <w:top w:val="none" w:sz="0" w:space="0" w:color="auto"/>
        <w:left w:val="none" w:sz="0" w:space="0" w:color="auto"/>
        <w:bottom w:val="none" w:sz="0" w:space="0" w:color="auto"/>
        <w:right w:val="none" w:sz="0" w:space="0" w:color="auto"/>
      </w:divBdr>
    </w:div>
    <w:div w:id="1070808425">
      <w:bodyDiv w:val="1"/>
      <w:marLeft w:val="0"/>
      <w:marRight w:val="0"/>
      <w:marTop w:val="0"/>
      <w:marBottom w:val="0"/>
      <w:divBdr>
        <w:top w:val="none" w:sz="0" w:space="0" w:color="auto"/>
        <w:left w:val="none" w:sz="0" w:space="0" w:color="auto"/>
        <w:bottom w:val="none" w:sz="0" w:space="0" w:color="auto"/>
        <w:right w:val="none" w:sz="0" w:space="0" w:color="auto"/>
      </w:divBdr>
    </w:div>
    <w:div w:id="1071778572">
      <w:bodyDiv w:val="1"/>
      <w:marLeft w:val="0"/>
      <w:marRight w:val="0"/>
      <w:marTop w:val="0"/>
      <w:marBottom w:val="0"/>
      <w:divBdr>
        <w:top w:val="none" w:sz="0" w:space="0" w:color="auto"/>
        <w:left w:val="none" w:sz="0" w:space="0" w:color="auto"/>
        <w:bottom w:val="none" w:sz="0" w:space="0" w:color="auto"/>
        <w:right w:val="none" w:sz="0" w:space="0" w:color="auto"/>
      </w:divBdr>
    </w:div>
    <w:div w:id="1084498138">
      <w:bodyDiv w:val="1"/>
      <w:marLeft w:val="0"/>
      <w:marRight w:val="0"/>
      <w:marTop w:val="0"/>
      <w:marBottom w:val="0"/>
      <w:divBdr>
        <w:top w:val="none" w:sz="0" w:space="0" w:color="auto"/>
        <w:left w:val="none" w:sz="0" w:space="0" w:color="auto"/>
        <w:bottom w:val="none" w:sz="0" w:space="0" w:color="auto"/>
        <w:right w:val="none" w:sz="0" w:space="0" w:color="auto"/>
      </w:divBdr>
    </w:div>
    <w:div w:id="1085881471">
      <w:bodyDiv w:val="1"/>
      <w:marLeft w:val="0"/>
      <w:marRight w:val="0"/>
      <w:marTop w:val="0"/>
      <w:marBottom w:val="0"/>
      <w:divBdr>
        <w:top w:val="none" w:sz="0" w:space="0" w:color="auto"/>
        <w:left w:val="none" w:sz="0" w:space="0" w:color="auto"/>
        <w:bottom w:val="none" w:sz="0" w:space="0" w:color="auto"/>
        <w:right w:val="none" w:sz="0" w:space="0" w:color="auto"/>
      </w:divBdr>
    </w:div>
    <w:div w:id="1087731375">
      <w:bodyDiv w:val="1"/>
      <w:marLeft w:val="0"/>
      <w:marRight w:val="0"/>
      <w:marTop w:val="0"/>
      <w:marBottom w:val="0"/>
      <w:divBdr>
        <w:top w:val="none" w:sz="0" w:space="0" w:color="auto"/>
        <w:left w:val="none" w:sz="0" w:space="0" w:color="auto"/>
        <w:bottom w:val="none" w:sz="0" w:space="0" w:color="auto"/>
        <w:right w:val="none" w:sz="0" w:space="0" w:color="auto"/>
      </w:divBdr>
    </w:div>
    <w:div w:id="1088037125">
      <w:bodyDiv w:val="1"/>
      <w:marLeft w:val="0"/>
      <w:marRight w:val="0"/>
      <w:marTop w:val="0"/>
      <w:marBottom w:val="0"/>
      <w:divBdr>
        <w:top w:val="none" w:sz="0" w:space="0" w:color="auto"/>
        <w:left w:val="none" w:sz="0" w:space="0" w:color="auto"/>
        <w:bottom w:val="none" w:sz="0" w:space="0" w:color="auto"/>
        <w:right w:val="none" w:sz="0" w:space="0" w:color="auto"/>
      </w:divBdr>
      <w:divsChild>
        <w:div w:id="1235507621">
          <w:marLeft w:val="0"/>
          <w:marRight w:val="0"/>
          <w:marTop w:val="0"/>
          <w:marBottom w:val="0"/>
          <w:divBdr>
            <w:top w:val="none" w:sz="0" w:space="0" w:color="auto"/>
            <w:left w:val="none" w:sz="0" w:space="0" w:color="auto"/>
            <w:bottom w:val="none" w:sz="0" w:space="0" w:color="auto"/>
            <w:right w:val="none" w:sz="0" w:space="0" w:color="auto"/>
          </w:divBdr>
          <w:divsChild>
            <w:div w:id="305934765">
              <w:marLeft w:val="0"/>
              <w:marRight w:val="0"/>
              <w:marTop w:val="0"/>
              <w:marBottom w:val="0"/>
              <w:divBdr>
                <w:top w:val="none" w:sz="0" w:space="0" w:color="auto"/>
                <w:left w:val="none" w:sz="0" w:space="0" w:color="auto"/>
                <w:bottom w:val="none" w:sz="0" w:space="0" w:color="auto"/>
                <w:right w:val="none" w:sz="0" w:space="0" w:color="auto"/>
              </w:divBdr>
              <w:divsChild>
                <w:div w:id="257718541">
                  <w:marLeft w:val="0"/>
                  <w:marRight w:val="0"/>
                  <w:marTop w:val="0"/>
                  <w:marBottom w:val="0"/>
                  <w:divBdr>
                    <w:top w:val="none" w:sz="0" w:space="0" w:color="auto"/>
                    <w:left w:val="none" w:sz="0" w:space="0" w:color="auto"/>
                    <w:bottom w:val="none" w:sz="0" w:space="0" w:color="auto"/>
                    <w:right w:val="none" w:sz="0" w:space="0" w:color="auto"/>
                  </w:divBdr>
                  <w:divsChild>
                    <w:div w:id="197620930">
                      <w:marLeft w:val="0"/>
                      <w:marRight w:val="0"/>
                      <w:marTop w:val="0"/>
                      <w:marBottom w:val="0"/>
                      <w:divBdr>
                        <w:top w:val="none" w:sz="0" w:space="0" w:color="auto"/>
                        <w:left w:val="none" w:sz="0" w:space="0" w:color="auto"/>
                        <w:bottom w:val="none" w:sz="0" w:space="0" w:color="auto"/>
                        <w:right w:val="none" w:sz="0" w:space="0" w:color="auto"/>
                      </w:divBdr>
                      <w:divsChild>
                        <w:div w:id="1005088144">
                          <w:marLeft w:val="0"/>
                          <w:marRight w:val="0"/>
                          <w:marTop w:val="0"/>
                          <w:marBottom w:val="0"/>
                          <w:divBdr>
                            <w:top w:val="none" w:sz="0" w:space="0" w:color="auto"/>
                            <w:left w:val="none" w:sz="0" w:space="0" w:color="auto"/>
                            <w:bottom w:val="none" w:sz="0" w:space="0" w:color="auto"/>
                            <w:right w:val="none" w:sz="0" w:space="0" w:color="auto"/>
                          </w:divBdr>
                        </w:div>
                        <w:div w:id="1031807472">
                          <w:marLeft w:val="0"/>
                          <w:marRight w:val="0"/>
                          <w:marTop w:val="0"/>
                          <w:marBottom w:val="0"/>
                          <w:divBdr>
                            <w:top w:val="none" w:sz="0" w:space="0" w:color="auto"/>
                            <w:left w:val="none" w:sz="0" w:space="0" w:color="auto"/>
                            <w:bottom w:val="none" w:sz="0" w:space="0" w:color="auto"/>
                            <w:right w:val="none" w:sz="0" w:space="0" w:color="auto"/>
                          </w:divBdr>
                          <w:divsChild>
                            <w:div w:id="16242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10035">
                      <w:marLeft w:val="0"/>
                      <w:marRight w:val="0"/>
                      <w:marTop w:val="300"/>
                      <w:marBottom w:val="0"/>
                      <w:divBdr>
                        <w:top w:val="none" w:sz="0" w:space="0" w:color="auto"/>
                        <w:left w:val="none" w:sz="0" w:space="0" w:color="auto"/>
                        <w:bottom w:val="none" w:sz="0" w:space="0" w:color="auto"/>
                        <w:right w:val="none" w:sz="0" w:space="0" w:color="auto"/>
                      </w:divBdr>
                      <w:divsChild>
                        <w:div w:id="527255964">
                          <w:marLeft w:val="0"/>
                          <w:marRight w:val="0"/>
                          <w:marTop w:val="0"/>
                          <w:marBottom w:val="0"/>
                          <w:divBdr>
                            <w:top w:val="none" w:sz="0" w:space="0" w:color="auto"/>
                            <w:left w:val="none" w:sz="0" w:space="0" w:color="auto"/>
                            <w:bottom w:val="none" w:sz="0" w:space="0" w:color="auto"/>
                            <w:right w:val="none" w:sz="0" w:space="0" w:color="auto"/>
                          </w:divBdr>
                          <w:divsChild>
                            <w:div w:id="6221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318024">
      <w:bodyDiv w:val="1"/>
      <w:marLeft w:val="0"/>
      <w:marRight w:val="0"/>
      <w:marTop w:val="0"/>
      <w:marBottom w:val="0"/>
      <w:divBdr>
        <w:top w:val="none" w:sz="0" w:space="0" w:color="auto"/>
        <w:left w:val="none" w:sz="0" w:space="0" w:color="auto"/>
        <w:bottom w:val="none" w:sz="0" w:space="0" w:color="auto"/>
        <w:right w:val="none" w:sz="0" w:space="0" w:color="auto"/>
      </w:divBdr>
    </w:div>
    <w:div w:id="1101025401">
      <w:bodyDiv w:val="1"/>
      <w:marLeft w:val="0"/>
      <w:marRight w:val="0"/>
      <w:marTop w:val="0"/>
      <w:marBottom w:val="0"/>
      <w:divBdr>
        <w:top w:val="none" w:sz="0" w:space="0" w:color="auto"/>
        <w:left w:val="none" w:sz="0" w:space="0" w:color="auto"/>
        <w:bottom w:val="none" w:sz="0" w:space="0" w:color="auto"/>
        <w:right w:val="none" w:sz="0" w:space="0" w:color="auto"/>
      </w:divBdr>
      <w:divsChild>
        <w:div w:id="79179260">
          <w:marLeft w:val="0"/>
          <w:marRight w:val="0"/>
          <w:marTop w:val="0"/>
          <w:marBottom w:val="1125"/>
          <w:divBdr>
            <w:top w:val="none" w:sz="0" w:space="0" w:color="auto"/>
            <w:left w:val="none" w:sz="0" w:space="0" w:color="auto"/>
            <w:bottom w:val="single" w:sz="12" w:space="0" w:color="000000"/>
            <w:right w:val="none" w:sz="0" w:space="0" w:color="auto"/>
          </w:divBdr>
          <w:divsChild>
            <w:div w:id="829250293">
              <w:marLeft w:val="0"/>
              <w:marRight w:val="0"/>
              <w:marTop w:val="0"/>
              <w:marBottom w:val="0"/>
              <w:divBdr>
                <w:top w:val="none" w:sz="0" w:space="0" w:color="auto"/>
                <w:left w:val="none" w:sz="0" w:space="0" w:color="auto"/>
                <w:bottom w:val="none" w:sz="0" w:space="0" w:color="auto"/>
                <w:right w:val="none" w:sz="0" w:space="0" w:color="auto"/>
              </w:divBdr>
              <w:divsChild>
                <w:div w:id="16908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9025">
          <w:marLeft w:val="0"/>
          <w:marRight w:val="0"/>
          <w:marTop w:val="0"/>
          <w:marBottom w:val="1125"/>
          <w:divBdr>
            <w:top w:val="none" w:sz="0" w:space="0" w:color="auto"/>
            <w:left w:val="none" w:sz="0" w:space="0" w:color="auto"/>
            <w:bottom w:val="single" w:sz="12" w:space="0" w:color="000000"/>
            <w:right w:val="none" w:sz="0" w:space="0" w:color="auto"/>
          </w:divBdr>
          <w:divsChild>
            <w:div w:id="1955867791">
              <w:marLeft w:val="0"/>
              <w:marRight w:val="0"/>
              <w:marTop w:val="0"/>
              <w:marBottom w:val="0"/>
              <w:divBdr>
                <w:top w:val="none" w:sz="0" w:space="0" w:color="auto"/>
                <w:left w:val="none" w:sz="0" w:space="0" w:color="auto"/>
                <w:bottom w:val="none" w:sz="0" w:space="0" w:color="auto"/>
                <w:right w:val="none" w:sz="0" w:space="0" w:color="auto"/>
              </w:divBdr>
              <w:divsChild>
                <w:div w:id="11876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3145">
          <w:marLeft w:val="0"/>
          <w:marRight w:val="0"/>
          <w:marTop w:val="0"/>
          <w:marBottom w:val="1125"/>
          <w:divBdr>
            <w:top w:val="none" w:sz="0" w:space="0" w:color="auto"/>
            <w:left w:val="none" w:sz="0" w:space="0" w:color="auto"/>
            <w:bottom w:val="single" w:sz="12" w:space="0" w:color="000000"/>
            <w:right w:val="none" w:sz="0" w:space="0" w:color="auto"/>
          </w:divBdr>
          <w:divsChild>
            <w:div w:id="321156609">
              <w:marLeft w:val="0"/>
              <w:marRight w:val="0"/>
              <w:marTop w:val="0"/>
              <w:marBottom w:val="0"/>
              <w:divBdr>
                <w:top w:val="none" w:sz="0" w:space="0" w:color="auto"/>
                <w:left w:val="none" w:sz="0" w:space="0" w:color="auto"/>
                <w:bottom w:val="none" w:sz="0" w:space="0" w:color="auto"/>
                <w:right w:val="none" w:sz="0" w:space="0" w:color="auto"/>
              </w:divBdr>
              <w:divsChild>
                <w:div w:id="16040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31666">
          <w:marLeft w:val="0"/>
          <w:marRight w:val="0"/>
          <w:marTop w:val="0"/>
          <w:marBottom w:val="1125"/>
          <w:divBdr>
            <w:top w:val="none" w:sz="0" w:space="0" w:color="auto"/>
            <w:left w:val="none" w:sz="0" w:space="0" w:color="auto"/>
            <w:bottom w:val="single" w:sz="12" w:space="0" w:color="000000"/>
            <w:right w:val="none" w:sz="0" w:space="0" w:color="auto"/>
          </w:divBdr>
          <w:divsChild>
            <w:div w:id="351343866">
              <w:marLeft w:val="0"/>
              <w:marRight w:val="0"/>
              <w:marTop w:val="0"/>
              <w:marBottom w:val="0"/>
              <w:divBdr>
                <w:top w:val="none" w:sz="0" w:space="0" w:color="auto"/>
                <w:left w:val="none" w:sz="0" w:space="0" w:color="auto"/>
                <w:bottom w:val="none" w:sz="0" w:space="0" w:color="auto"/>
                <w:right w:val="none" w:sz="0" w:space="0" w:color="auto"/>
              </w:divBdr>
              <w:divsChild>
                <w:div w:id="8804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33155">
      <w:bodyDiv w:val="1"/>
      <w:marLeft w:val="0"/>
      <w:marRight w:val="0"/>
      <w:marTop w:val="0"/>
      <w:marBottom w:val="0"/>
      <w:divBdr>
        <w:top w:val="none" w:sz="0" w:space="0" w:color="auto"/>
        <w:left w:val="none" w:sz="0" w:space="0" w:color="auto"/>
        <w:bottom w:val="none" w:sz="0" w:space="0" w:color="auto"/>
        <w:right w:val="none" w:sz="0" w:space="0" w:color="auto"/>
      </w:divBdr>
    </w:div>
    <w:div w:id="1107195426">
      <w:bodyDiv w:val="1"/>
      <w:marLeft w:val="0"/>
      <w:marRight w:val="0"/>
      <w:marTop w:val="0"/>
      <w:marBottom w:val="0"/>
      <w:divBdr>
        <w:top w:val="none" w:sz="0" w:space="0" w:color="auto"/>
        <w:left w:val="none" w:sz="0" w:space="0" w:color="auto"/>
        <w:bottom w:val="none" w:sz="0" w:space="0" w:color="auto"/>
        <w:right w:val="none" w:sz="0" w:space="0" w:color="auto"/>
      </w:divBdr>
    </w:div>
    <w:div w:id="1109858345">
      <w:bodyDiv w:val="1"/>
      <w:marLeft w:val="0"/>
      <w:marRight w:val="0"/>
      <w:marTop w:val="0"/>
      <w:marBottom w:val="0"/>
      <w:divBdr>
        <w:top w:val="none" w:sz="0" w:space="0" w:color="auto"/>
        <w:left w:val="none" w:sz="0" w:space="0" w:color="auto"/>
        <w:bottom w:val="none" w:sz="0" w:space="0" w:color="auto"/>
        <w:right w:val="none" w:sz="0" w:space="0" w:color="auto"/>
      </w:divBdr>
      <w:divsChild>
        <w:div w:id="1701474604">
          <w:marLeft w:val="0"/>
          <w:marRight w:val="0"/>
          <w:marTop w:val="0"/>
          <w:marBottom w:val="0"/>
          <w:divBdr>
            <w:top w:val="none" w:sz="0" w:space="0" w:color="auto"/>
            <w:left w:val="none" w:sz="0" w:space="0" w:color="auto"/>
            <w:bottom w:val="none" w:sz="0" w:space="0" w:color="auto"/>
            <w:right w:val="none" w:sz="0" w:space="0" w:color="auto"/>
          </w:divBdr>
          <w:divsChild>
            <w:div w:id="1283879129">
              <w:marLeft w:val="0"/>
              <w:marRight w:val="0"/>
              <w:marTop w:val="0"/>
              <w:marBottom w:val="0"/>
              <w:divBdr>
                <w:top w:val="none" w:sz="0" w:space="0" w:color="auto"/>
                <w:left w:val="none" w:sz="0" w:space="0" w:color="auto"/>
                <w:bottom w:val="none" w:sz="0" w:space="0" w:color="auto"/>
                <w:right w:val="none" w:sz="0" w:space="0" w:color="auto"/>
              </w:divBdr>
              <w:divsChild>
                <w:div w:id="1717855237">
                  <w:marLeft w:val="0"/>
                  <w:marRight w:val="0"/>
                  <w:marTop w:val="0"/>
                  <w:marBottom w:val="0"/>
                  <w:divBdr>
                    <w:top w:val="none" w:sz="0" w:space="0" w:color="auto"/>
                    <w:left w:val="none" w:sz="0" w:space="0" w:color="auto"/>
                    <w:bottom w:val="none" w:sz="0" w:space="0" w:color="auto"/>
                    <w:right w:val="none" w:sz="0" w:space="0" w:color="auto"/>
                  </w:divBdr>
                  <w:divsChild>
                    <w:div w:id="1405028560">
                      <w:marLeft w:val="0"/>
                      <w:marRight w:val="0"/>
                      <w:marTop w:val="0"/>
                      <w:marBottom w:val="0"/>
                      <w:divBdr>
                        <w:top w:val="none" w:sz="0" w:space="0" w:color="auto"/>
                        <w:left w:val="none" w:sz="0" w:space="0" w:color="auto"/>
                        <w:bottom w:val="none" w:sz="0" w:space="0" w:color="auto"/>
                        <w:right w:val="none" w:sz="0" w:space="0" w:color="auto"/>
                      </w:divBdr>
                      <w:divsChild>
                        <w:div w:id="713577002">
                          <w:marLeft w:val="0"/>
                          <w:marRight w:val="0"/>
                          <w:marTop w:val="0"/>
                          <w:marBottom w:val="0"/>
                          <w:divBdr>
                            <w:top w:val="none" w:sz="0" w:space="0" w:color="auto"/>
                            <w:left w:val="none" w:sz="0" w:space="0" w:color="auto"/>
                            <w:bottom w:val="none" w:sz="0" w:space="0" w:color="auto"/>
                            <w:right w:val="none" w:sz="0" w:space="0" w:color="auto"/>
                          </w:divBdr>
                        </w:div>
                        <w:div w:id="205603506">
                          <w:marLeft w:val="0"/>
                          <w:marRight w:val="0"/>
                          <w:marTop w:val="0"/>
                          <w:marBottom w:val="0"/>
                          <w:divBdr>
                            <w:top w:val="none" w:sz="0" w:space="0" w:color="auto"/>
                            <w:left w:val="none" w:sz="0" w:space="0" w:color="auto"/>
                            <w:bottom w:val="none" w:sz="0" w:space="0" w:color="auto"/>
                            <w:right w:val="none" w:sz="0" w:space="0" w:color="auto"/>
                          </w:divBdr>
                          <w:divsChild>
                            <w:div w:id="87708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997">
                      <w:marLeft w:val="0"/>
                      <w:marRight w:val="0"/>
                      <w:marTop w:val="150"/>
                      <w:marBottom w:val="150"/>
                      <w:divBdr>
                        <w:top w:val="none" w:sz="0" w:space="0" w:color="auto"/>
                        <w:left w:val="none" w:sz="0" w:space="0" w:color="auto"/>
                        <w:bottom w:val="none" w:sz="0" w:space="0" w:color="auto"/>
                        <w:right w:val="none" w:sz="0" w:space="0" w:color="auto"/>
                      </w:divBdr>
                      <w:divsChild>
                        <w:div w:id="313531260">
                          <w:marLeft w:val="0"/>
                          <w:marRight w:val="0"/>
                          <w:marTop w:val="0"/>
                          <w:marBottom w:val="0"/>
                          <w:divBdr>
                            <w:top w:val="none" w:sz="0" w:space="0" w:color="auto"/>
                            <w:left w:val="none" w:sz="0" w:space="0" w:color="auto"/>
                            <w:bottom w:val="none" w:sz="0" w:space="0" w:color="auto"/>
                            <w:right w:val="none" w:sz="0" w:space="0" w:color="auto"/>
                          </w:divBdr>
                        </w:div>
                        <w:div w:id="800808338">
                          <w:marLeft w:val="0"/>
                          <w:marRight w:val="0"/>
                          <w:marTop w:val="0"/>
                          <w:marBottom w:val="0"/>
                          <w:divBdr>
                            <w:top w:val="none" w:sz="0" w:space="0" w:color="auto"/>
                            <w:left w:val="none" w:sz="0" w:space="0" w:color="auto"/>
                            <w:bottom w:val="none" w:sz="0" w:space="0" w:color="auto"/>
                            <w:right w:val="none" w:sz="0" w:space="0" w:color="auto"/>
                          </w:divBdr>
                          <w:divsChild>
                            <w:div w:id="596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06228">
                      <w:marLeft w:val="0"/>
                      <w:marRight w:val="0"/>
                      <w:marTop w:val="300"/>
                      <w:marBottom w:val="0"/>
                      <w:divBdr>
                        <w:top w:val="none" w:sz="0" w:space="0" w:color="auto"/>
                        <w:left w:val="none" w:sz="0" w:space="0" w:color="auto"/>
                        <w:bottom w:val="none" w:sz="0" w:space="0" w:color="auto"/>
                        <w:right w:val="none" w:sz="0" w:space="0" w:color="auto"/>
                      </w:divBdr>
                      <w:divsChild>
                        <w:div w:id="1206285476">
                          <w:marLeft w:val="0"/>
                          <w:marRight w:val="0"/>
                          <w:marTop w:val="0"/>
                          <w:marBottom w:val="0"/>
                          <w:divBdr>
                            <w:top w:val="none" w:sz="0" w:space="0" w:color="auto"/>
                            <w:left w:val="none" w:sz="0" w:space="0" w:color="auto"/>
                            <w:bottom w:val="none" w:sz="0" w:space="0" w:color="auto"/>
                            <w:right w:val="none" w:sz="0" w:space="0" w:color="auto"/>
                          </w:divBdr>
                          <w:divsChild>
                            <w:div w:id="18103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91536">
      <w:bodyDiv w:val="1"/>
      <w:marLeft w:val="0"/>
      <w:marRight w:val="0"/>
      <w:marTop w:val="0"/>
      <w:marBottom w:val="0"/>
      <w:divBdr>
        <w:top w:val="none" w:sz="0" w:space="0" w:color="auto"/>
        <w:left w:val="none" w:sz="0" w:space="0" w:color="auto"/>
        <w:bottom w:val="none" w:sz="0" w:space="0" w:color="auto"/>
        <w:right w:val="none" w:sz="0" w:space="0" w:color="auto"/>
      </w:divBdr>
    </w:div>
    <w:div w:id="1116098659">
      <w:bodyDiv w:val="1"/>
      <w:marLeft w:val="0"/>
      <w:marRight w:val="0"/>
      <w:marTop w:val="0"/>
      <w:marBottom w:val="0"/>
      <w:divBdr>
        <w:top w:val="none" w:sz="0" w:space="0" w:color="auto"/>
        <w:left w:val="none" w:sz="0" w:space="0" w:color="auto"/>
        <w:bottom w:val="none" w:sz="0" w:space="0" w:color="auto"/>
        <w:right w:val="none" w:sz="0" w:space="0" w:color="auto"/>
      </w:divBdr>
      <w:divsChild>
        <w:div w:id="1585840303">
          <w:marLeft w:val="284"/>
          <w:marRight w:val="0"/>
          <w:marTop w:val="0"/>
          <w:marBottom w:val="0"/>
          <w:divBdr>
            <w:top w:val="none" w:sz="0" w:space="0" w:color="auto"/>
            <w:left w:val="none" w:sz="0" w:space="0" w:color="auto"/>
            <w:bottom w:val="none" w:sz="0" w:space="0" w:color="auto"/>
            <w:right w:val="none" w:sz="0" w:space="0" w:color="auto"/>
          </w:divBdr>
        </w:div>
      </w:divsChild>
    </w:div>
    <w:div w:id="1125272905">
      <w:bodyDiv w:val="1"/>
      <w:marLeft w:val="0"/>
      <w:marRight w:val="0"/>
      <w:marTop w:val="0"/>
      <w:marBottom w:val="0"/>
      <w:divBdr>
        <w:top w:val="none" w:sz="0" w:space="0" w:color="auto"/>
        <w:left w:val="none" w:sz="0" w:space="0" w:color="auto"/>
        <w:bottom w:val="none" w:sz="0" w:space="0" w:color="auto"/>
        <w:right w:val="none" w:sz="0" w:space="0" w:color="auto"/>
      </w:divBdr>
    </w:div>
    <w:div w:id="1126194045">
      <w:bodyDiv w:val="1"/>
      <w:marLeft w:val="0"/>
      <w:marRight w:val="0"/>
      <w:marTop w:val="0"/>
      <w:marBottom w:val="0"/>
      <w:divBdr>
        <w:top w:val="none" w:sz="0" w:space="0" w:color="auto"/>
        <w:left w:val="none" w:sz="0" w:space="0" w:color="auto"/>
        <w:bottom w:val="none" w:sz="0" w:space="0" w:color="auto"/>
        <w:right w:val="none" w:sz="0" w:space="0" w:color="auto"/>
      </w:divBdr>
    </w:div>
    <w:div w:id="1126510370">
      <w:bodyDiv w:val="1"/>
      <w:marLeft w:val="0"/>
      <w:marRight w:val="0"/>
      <w:marTop w:val="0"/>
      <w:marBottom w:val="0"/>
      <w:divBdr>
        <w:top w:val="none" w:sz="0" w:space="0" w:color="auto"/>
        <w:left w:val="none" w:sz="0" w:space="0" w:color="auto"/>
        <w:bottom w:val="none" w:sz="0" w:space="0" w:color="auto"/>
        <w:right w:val="none" w:sz="0" w:space="0" w:color="auto"/>
      </w:divBdr>
    </w:div>
    <w:div w:id="1127969637">
      <w:bodyDiv w:val="1"/>
      <w:marLeft w:val="0"/>
      <w:marRight w:val="0"/>
      <w:marTop w:val="0"/>
      <w:marBottom w:val="0"/>
      <w:divBdr>
        <w:top w:val="none" w:sz="0" w:space="0" w:color="auto"/>
        <w:left w:val="none" w:sz="0" w:space="0" w:color="auto"/>
        <w:bottom w:val="none" w:sz="0" w:space="0" w:color="auto"/>
        <w:right w:val="none" w:sz="0" w:space="0" w:color="auto"/>
      </w:divBdr>
    </w:div>
    <w:div w:id="1129393937">
      <w:bodyDiv w:val="1"/>
      <w:marLeft w:val="0"/>
      <w:marRight w:val="0"/>
      <w:marTop w:val="0"/>
      <w:marBottom w:val="0"/>
      <w:divBdr>
        <w:top w:val="none" w:sz="0" w:space="0" w:color="auto"/>
        <w:left w:val="none" w:sz="0" w:space="0" w:color="auto"/>
        <w:bottom w:val="none" w:sz="0" w:space="0" w:color="auto"/>
        <w:right w:val="none" w:sz="0" w:space="0" w:color="auto"/>
      </w:divBdr>
    </w:div>
    <w:div w:id="1133867324">
      <w:bodyDiv w:val="1"/>
      <w:marLeft w:val="0"/>
      <w:marRight w:val="0"/>
      <w:marTop w:val="0"/>
      <w:marBottom w:val="0"/>
      <w:divBdr>
        <w:top w:val="none" w:sz="0" w:space="0" w:color="auto"/>
        <w:left w:val="none" w:sz="0" w:space="0" w:color="auto"/>
        <w:bottom w:val="none" w:sz="0" w:space="0" w:color="auto"/>
        <w:right w:val="none" w:sz="0" w:space="0" w:color="auto"/>
      </w:divBdr>
      <w:divsChild>
        <w:div w:id="229771023">
          <w:marLeft w:val="0"/>
          <w:marRight w:val="0"/>
          <w:marTop w:val="0"/>
          <w:marBottom w:val="0"/>
          <w:divBdr>
            <w:top w:val="none" w:sz="0" w:space="0" w:color="auto"/>
            <w:left w:val="none" w:sz="0" w:space="0" w:color="auto"/>
            <w:bottom w:val="none" w:sz="0" w:space="0" w:color="auto"/>
            <w:right w:val="none" w:sz="0" w:space="0" w:color="auto"/>
          </w:divBdr>
        </w:div>
      </w:divsChild>
    </w:div>
    <w:div w:id="1135098789">
      <w:bodyDiv w:val="1"/>
      <w:marLeft w:val="0"/>
      <w:marRight w:val="0"/>
      <w:marTop w:val="0"/>
      <w:marBottom w:val="0"/>
      <w:divBdr>
        <w:top w:val="none" w:sz="0" w:space="0" w:color="auto"/>
        <w:left w:val="none" w:sz="0" w:space="0" w:color="auto"/>
        <w:bottom w:val="none" w:sz="0" w:space="0" w:color="auto"/>
        <w:right w:val="none" w:sz="0" w:space="0" w:color="auto"/>
      </w:divBdr>
    </w:div>
    <w:div w:id="1135954762">
      <w:bodyDiv w:val="1"/>
      <w:marLeft w:val="0"/>
      <w:marRight w:val="0"/>
      <w:marTop w:val="0"/>
      <w:marBottom w:val="0"/>
      <w:divBdr>
        <w:top w:val="none" w:sz="0" w:space="0" w:color="auto"/>
        <w:left w:val="none" w:sz="0" w:space="0" w:color="auto"/>
        <w:bottom w:val="none" w:sz="0" w:space="0" w:color="auto"/>
        <w:right w:val="none" w:sz="0" w:space="0" w:color="auto"/>
      </w:divBdr>
    </w:div>
    <w:div w:id="1141461604">
      <w:bodyDiv w:val="1"/>
      <w:marLeft w:val="0"/>
      <w:marRight w:val="0"/>
      <w:marTop w:val="0"/>
      <w:marBottom w:val="0"/>
      <w:divBdr>
        <w:top w:val="none" w:sz="0" w:space="0" w:color="auto"/>
        <w:left w:val="none" w:sz="0" w:space="0" w:color="auto"/>
        <w:bottom w:val="none" w:sz="0" w:space="0" w:color="auto"/>
        <w:right w:val="none" w:sz="0" w:space="0" w:color="auto"/>
      </w:divBdr>
      <w:divsChild>
        <w:div w:id="1654598270">
          <w:marLeft w:val="0"/>
          <w:marRight w:val="0"/>
          <w:marTop w:val="0"/>
          <w:marBottom w:val="0"/>
          <w:divBdr>
            <w:top w:val="none" w:sz="0" w:space="0" w:color="auto"/>
            <w:left w:val="none" w:sz="0" w:space="0" w:color="auto"/>
            <w:bottom w:val="none" w:sz="0" w:space="0" w:color="auto"/>
            <w:right w:val="none" w:sz="0" w:space="0" w:color="auto"/>
          </w:divBdr>
          <w:divsChild>
            <w:div w:id="22440726">
              <w:marLeft w:val="0"/>
              <w:marRight w:val="0"/>
              <w:marTop w:val="0"/>
              <w:marBottom w:val="0"/>
              <w:divBdr>
                <w:top w:val="none" w:sz="0" w:space="0" w:color="auto"/>
                <w:left w:val="none" w:sz="0" w:space="0" w:color="auto"/>
                <w:bottom w:val="none" w:sz="0" w:space="0" w:color="auto"/>
                <w:right w:val="none" w:sz="0" w:space="0" w:color="auto"/>
              </w:divBdr>
              <w:divsChild>
                <w:div w:id="877740470">
                  <w:marLeft w:val="0"/>
                  <w:marRight w:val="0"/>
                  <w:marTop w:val="0"/>
                  <w:marBottom w:val="0"/>
                  <w:divBdr>
                    <w:top w:val="none" w:sz="0" w:space="0" w:color="auto"/>
                    <w:left w:val="none" w:sz="0" w:space="0" w:color="auto"/>
                    <w:bottom w:val="none" w:sz="0" w:space="0" w:color="auto"/>
                    <w:right w:val="none" w:sz="0" w:space="0" w:color="auto"/>
                  </w:divBdr>
                  <w:divsChild>
                    <w:div w:id="1287353731">
                      <w:marLeft w:val="0"/>
                      <w:marRight w:val="0"/>
                      <w:marTop w:val="0"/>
                      <w:marBottom w:val="0"/>
                      <w:divBdr>
                        <w:top w:val="none" w:sz="0" w:space="0" w:color="auto"/>
                        <w:left w:val="none" w:sz="0" w:space="0" w:color="auto"/>
                        <w:bottom w:val="none" w:sz="0" w:space="0" w:color="auto"/>
                        <w:right w:val="none" w:sz="0" w:space="0" w:color="auto"/>
                      </w:divBdr>
                      <w:divsChild>
                        <w:div w:id="868492301">
                          <w:marLeft w:val="0"/>
                          <w:marRight w:val="0"/>
                          <w:marTop w:val="0"/>
                          <w:marBottom w:val="0"/>
                          <w:divBdr>
                            <w:top w:val="none" w:sz="0" w:space="0" w:color="auto"/>
                            <w:left w:val="none" w:sz="0" w:space="0" w:color="auto"/>
                            <w:bottom w:val="none" w:sz="0" w:space="0" w:color="auto"/>
                            <w:right w:val="none" w:sz="0" w:space="0" w:color="auto"/>
                          </w:divBdr>
                        </w:div>
                        <w:div w:id="1339114539">
                          <w:marLeft w:val="0"/>
                          <w:marRight w:val="0"/>
                          <w:marTop w:val="0"/>
                          <w:marBottom w:val="0"/>
                          <w:divBdr>
                            <w:top w:val="none" w:sz="0" w:space="0" w:color="auto"/>
                            <w:left w:val="none" w:sz="0" w:space="0" w:color="auto"/>
                            <w:bottom w:val="none" w:sz="0" w:space="0" w:color="auto"/>
                            <w:right w:val="none" w:sz="0" w:space="0" w:color="auto"/>
                          </w:divBdr>
                          <w:divsChild>
                            <w:div w:id="4273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64190">
                      <w:marLeft w:val="0"/>
                      <w:marRight w:val="0"/>
                      <w:marTop w:val="300"/>
                      <w:marBottom w:val="0"/>
                      <w:divBdr>
                        <w:top w:val="none" w:sz="0" w:space="0" w:color="auto"/>
                        <w:left w:val="none" w:sz="0" w:space="0" w:color="auto"/>
                        <w:bottom w:val="none" w:sz="0" w:space="0" w:color="auto"/>
                        <w:right w:val="none" w:sz="0" w:space="0" w:color="auto"/>
                      </w:divBdr>
                      <w:divsChild>
                        <w:div w:id="266354131">
                          <w:marLeft w:val="0"/>
                          <w:marRight w:val="0"/>
                          <w:marTop w:val="0"/>
                          <w:marBottom w:val="0"/>
                          <w:divBdr>
                            <w:top w:val="none" w:sz="0" w:space="0" w:color="auto"/>
                            <w:left w:val="none" w:sz="0" w:space="0" w:color="auto"/>
                            <w:bottom w:val="none" w:sz="0" w:space="0" w:color="auto"/>
                            <w:right w:val="none" w:sz="0" w:space="0" w:color="auto"/>
                          </w:divBdr>
                          <w:divsChild>
                            <w:div w:id="17043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772889">
      <w:bodyDiv w:val="1"/>
      <w:marLeft w:val="0"/>
      <w:marRight w:val="0"/>
      <w:marTop w:val="0"/>
      <w:marBottom w:val="0"/>
      <w:divBdr>
        <w:top w:val="none" w:sz="0" w:space="0" w:color="auto"/>
        <w:left w:val="none" w:sz="0" w:space="0" w:color="auto"/>
        <w:bottom w:val="none" w:sz="0" w:space="0" w:color="auto"/>
        <w:right w:val="none" w:sz="0" w:space="0" w:color="auto"/>
      </w:divBdr>
    </w:div>
    <w:div w:id="1144353583">
      <w:bodyDiv w:val="1"/>
      <w:marLeft w:val="0"/>
      <w:marRight w:val="0"/>
      <w:marTop w:val="0"/>
      <w:marBottom w:val="0"/>
      <w:divBdr>
        <w:top w:val="none" w:sz="0" w:space="0" w:color="auto"/>
        <w:left w:val="none" w:sz="0" w:space="0" w:color="auto"/>
        <w:bottom w:val="none" w:sz="0" w:space="0" w:color="auto"/>
        <w:right w:val="none" w:sz="0" w:space="0" w:color="auto"/>
      </w:divBdr>
      <w:divsChild>
        <w:div w:id="1502313883">
          <w:marLeft w:val="0"/>
          <w:marRight w:val="0"/>
          <w:marTop w:val="300"/>
          <w:marBottom w:val="0"/>
          <w:divBdr>
            <w:top w:val="none" w:sz="0" w:space="0" w:color="auto"/>
            <w:left w:val="none" w:sz="0" w:space="0" w:color="auto"/>
            <w:bottom w:val="none" w:sz="0" w:space="0" w:color="auto"/>
            <w:right w:val="none" w:sz="0" w:space="0" w:color="auto"/>
          </w:divBdr>
          <w:divsChild>
            <w:div w:id="1848906782">
              <w:marLeft w:val="0"/>
              <w:marRight w:val="0"/>
              <w:marTop w:val="0"/>
              <w:marBottom w:val="225"/>
              <w:divBdr>
                <w:top w:val="none" w:sz="0" w:space="0" w:color="auto"/>
                <w:left w:val="none" w:sz="0" w:space="0" w:color="auto"/>
                <w:bottom w:val="none" w:sz="0" w:space="0" w:color="auto"/>
                <w:right w:val="none" w:sz="0" w:space="0" w:color="auto"/>
              </w:divBdr>
              <w:divsChild>
                <w:div w:id="20371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19060">
          <w:marLeft w:val="0"/>
          <w:marRight w:val="0"/>
          <w:marTop w:val="0"/>
          <w:marBottom w:val="0"/>
          <w:divBdr>
            <w:top w:val="none" w:sz="0" w:space="0" w:color="auto"/>
            <w:left w:val="none" w:sz="0" w:space="0" w:color="auto"/>
            <w:bottom w:val="none" w:sz="0" w:space="0" w:color="auto"/>
            <w:right w:val="none" w:sz="0" w:space="0" w:color="auto"/>
          </w:divBdr>
        </w:div>
      </w:divsChild>
    </w:div>
    <w:div w:id="1145120480">
      <w:bodyDiv w:val="1"/>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994286147">
              <w:marLeft w:val="0"/>
              <w:marRight w:val="0"/>
              <w:marTop w:val="0"/>
              <w:marBottom w:val="0"/>
              <w:divBdr>
                <w:top w:val="none" w:sz="0" w:space="0" w:color="auto"/>
                <w:left w:val="none" w:sz="0" w:space="0" w:color="auto"/>
                <w:bottom w:val="none" w:sz="0" w:space="0" w:color="auto"/>
                <w:right w:val="none" w:sz="0" w:space="0" w:color="auto"/>
              </w:divBdr>
              <w:divsChild>
                <w:div w:id="1373768968">
                  <w:marLeft w:val="0"/>
                  <w:marRight w:val="0"/>
                  <w:marTop w:val="0"/>
                  <w:marBottom w:val="0"/>
                  <w:divBdr>
                    <w:top w:val="none" w:sz="0" w:space="0" w:color="auto"/>
                    <w:left w:val="none" w:sz="0" w:space="0" w:color="auto"/>
                    <w:bottom w:val="none" w:sz="0" w:space="0" w:color="auto"/>
                    <w:right w:val="none" w:sz="0" w:space="0" w:color="auto"/>
                  </w:divBdr>
                  <w:divsChild>
                    <w:div w:id="658121449">
                      <w:marLeft w:val="0"/>
                      <w:marRight w:val="0"/>
                      <w:marTop w:val="0"/>
                      <w:marBottom w:val="0"/>
                      <w:divBdr>
                        <w:top w:val="none" w:sz="0" w:space="0" w:color="auto"/>
                        <w:left w:val="none" w:sz="0" w:space="0" w:color="auto"/>
                        <w:bottom w:val="none" w:sz="0" w:space="0" w:color="auto"/>
                        <w:right w:val="none" w:sz="0" w:space="0" w:color="auto"/>
                      </w:divBdr>
                      <w:divsChild>
                        <w:div w:id="585962208">
                          <w:marLeft w:val="0"/>
                          <w:marRight w:val="0"/>
                          <w:marTop w:val="0"/>
                          <w:marBottom w:val="0"/>
                          <w:divBdr>
                            <w:top w:val="none" w:sz="0" w:space="0" w:color="auto"/>
                            <w:left w:val="none" w:sz="0" w:space="0" w:color="auto"/>
                            <w:bottom w:val="none" w:sz="0" w:space="0" w:color="auto"/>
                            <w:right w:val="none" w:sz="0" w:space="0" w:color="auto"/>
                          </w:divBdr>
                          <w:divsChild>
                            <w:div w:id="1672758551">
                              <w:marLeft w:val="0"/>
                              <w:marRight w:val="0"/>
                              <w:marTop w:val="0"/>
                              <w:marBottom w:val="0"/>
                              <w:divBdr>
                                <w:top w:val="none" w:sz="0" w:space="0" w:color="auto"/>
                                <w:left w:val="none" w:sz="0" w:space="0" w:color="auto"/>
                                <w:bottom w:val="none" w:sz="0" w:space="0" w:color="auto"/>
                                <w:right w:val="none" w:sz="0" w:space="0" w:color="auto"/>
                              </w:divBdr>
                            </w:div>
                          </w:divsChild>
                        </w:div>
                        <w:div w:id="1351952783">
                          <w:marLeft w:val="0"/>
                          <w:marRight w:val="0"/>
                          <w:marTop w:val="0"/>
                          <w:marBottom w:val="0"/>
                          <w:divBdr>
                            <w:top w:val="none" w:sz="0" w:space="0" w:color="auto"/>
                            <w:left w:val="none" w:sz="0" w:space="0" w:color="auto"/>
                            <w:bottom w:val="none" w:sz="0" w:space="0" w:color="auto"/>
                            <w:right w:val="none" w:sz="0" w:space="0" w:color="auto"/>
                          </w:divBdr>
                        </w:div>
                      </w:divsChild>
                    </w:div>
                    <w:div w:id="1309893380">
                      <w:marLeft w:val="0"/>
                      <w:marRight w:val="0"/>
                      <w:marTop w:val="150"/>
                      <w:marBottom w:val="150"/>
                      <w:divBdr>
                        <w:top w:val="none" w:sz="0" w:space="0" w:color="auto"/>
                        <w:left w:val="none" w:sz="0" w:space="0" w:color="auto"/>
                        <w:bottom w:val="none" w:sz="0" w:space="0" w:color="auto"/>
                        <w:right w:val="none" w:sz="0" w:space="0" w:color="auto"/>
                      </w:divBdr>
                      <w:divsChild>
                        <w:div w:id="986973500">
                          <w:marLeft w:val="0"/>
                          <w:marRight w:val="0"/>
                          <w:marTop w:val="0"/>
                          <w:marBottom w:val="0"/>
                          <w:divBdr>
                            <w:top w:val="none" w:sz="0" w:space="0" w:color="auto"/>
                            <w:left w:val="none" w:sz="0" w:space="0" w:color="auto"/>
                            <w:bottom w:val="none" w:sz="0" w:space="0" w:color="auto"/>
                            <w:right w:val="none" w:sz="0" w:space="0" w:color="auto"/>
                          </w:divBdr>
                          <w:divsChild>
                            <w:div w:id="816726919">
                              <w:marLeft w:val="0"/>
                              <w:marRight w:val="0"/>
                              <w:marTop w:val="0"/>
                              <w:marBottom w:val="0"/>
                              <w:divBdr>
                                <w:top w:val="none" w:sz="0" w:space="0" w:color="auto"/>
                                <w:left w:val="none" w:sz="0" w:space="0" w:color="auto"/>
                                <w:bottom w:val="none" w:sz="0" w:space="0" w:color="auto"/>
                                <w:right w:val="none" w:sz="0" w:space="0" w:color="auto"/>
                              </w:divBdr>
                            </w:div>
                          </w:divsChild>
                        </w:div>
                        <w:div w:id="1197161214">
                          <w:marLeft w:val="0"/>
                          <w:marRight w:val="0"/>
                          <w:marTop w:val="0"/>
                          <w:marBottom w:val="0"/>
                          <w:divBdr>
                            <w:top w:val="none" w:sz="0" w:space="0" w:color="auto"/>
                            <w:left w:val="none" w:sz="0" w:space="0" w:color="auto"/>
                            <w:bottom w:val="none" w:sz="0" w:space="0" w:color="auto"/>
                            <w:right w:val="none" w:sz="0" w:space="0" w:color="auto"/>
                          </w:divBdr>
                        </w:div>
                      </w:divsChild>
                    </w:div>
                    <w:div w:id="1471441816">
                      <w:marLeft w:val="0"/>
                      <w:marRight w:val="0"/>
                      <w:marTop w:val="300"/>
                      <w:marBottom w:val="0"/>
                      <w:divBdr>
                        <w:top w:val="none" w:sz="0" w:space="0" w:color="auto"/>
                        <w:left w:val="none" w:sz="0" w:space="0" w:color="auto"/>
                        <w:bottom w:val="none" w:sz="0" w:space="0" w:color="auto"/>
                        <w:right w:val="none" w:sz="0" w:space="0" w:color="auto"/>
                      </w:divBdr>
                      <w:divsChild>
                        <w:div w:id="1620793376">
                          <w:marLeft w:val="0"/>
                          <w:marRight w:val="0"/>
                          <w:marTop w:val="0"/>
                          <w:marBottom w:val="0"/>
                          <w:divBdr>
                            <w:top w:val="none" w:sz="0" w:space="0" w:color="auto"/>
                            <w:left w:val="none" w:sz="0" w:space="0" w:color="auto"/>
                            <w:bottom w:val="none" w:sz="0" w:space="0" w:color="auto"/>
                            <w:right w:val="none" w:sz="0" w:space="0" w:color="auto"/>
                          </w:divBdr>
                          <w:divsChild>
                            <w:div w:id="6187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318082">
      <w:bodyDiv w:val="1"/>
      <w:marLeft w:val="0"/>
      <w:marRight w:val="0"/>
      <w:marTop w:val="0"/>
      <w:marBottom w:val="0"/>
      <w:divBdr>
        <w:top w:val="none" w:sz="0" w:space="0" w:color="auto"/>
        <w:left w:val="none" w:sz="0" w:space="0" w:color="auto"/>
        <w:bottom w:val="none" w:sz="0" w:space="0" w:color="auto"/>
        <w:right w:val="none" w:sz="0" w:space="0" w:color="auto"/>
      </w:divBdr>
    </w:div>
    <w:div w:id="1146818494">
      <w:bodyDiv w:val="1"/>
      <w:marLeft w:val="0"/>
      <w:marRight w:val="0"/>
      <w:marTop w:val="0"/>
      <w:marBottom w:val="0"/>
      <w:divBdr>
        <w:top w:val="none" w:sz="0" w:space="0" w:color="auto"/>
        <w:left w:val="none" w:sz="0" w:space="0" w:color="auto"/>
        <w:bottom w:val="none" w:sz="0" w:space="0" w:color="auto"/>
        <w:right w:val="none" w:sz="0" w:space="0" w:color="auto"/>
      </w:divBdr>
    </w:div>
    <w:div w:id="1166165256">
      <w:bodyDiv w:val="1"/>
      <w:marLeft w:val="0"/>
      <w:marRight w:val="0"/>
      <w:marTop w:val="0"/>
      <w:marBottom w:val="0"/>
      <w:divBdr>
        <w:top w:val="none" w:sz="0" w:space="0" w:color="auto"/>
        <w:left w:val="none" w:sz="0" w:space="0" w:color="auto"/>
        <w:bottom w:val="none" w:sz="0" w:space="0" w:color="auto"/>
        <w:right w:val="none" w:sz="0" w:space="0" w:color="auto"/>
      </w:divBdr>
    </w:div>
    <w:div w:id="1171675370">
      <w:bodyDiv w:val="1"/>
      <w:marLeft w:val="0"/>
      <w:marRight w:val="0"/>
      <w:marTop w:val="0"/>
      <w:marBottom w:val="0"/>
      <w:divBdr>
        <w:top w:val="none" w:sz="0" w:space="0" w:color="auto"/>
        <w:left w:val="none" w:sz="0" w:space="0" w:color="auto"/>
        <w:bottom w:val="none" w:sz="0" w:space="0" w:color="auto"/>
        <w:right w:val="none" w:sz="0" w:space="0" w:color="auto"/>
      </w:divBdr>
    </w:div>
    <w:div w:id="1183934388">
      <w:bodyDiv w:val="1"/>
      <w:marLeft w:val="0"/>
      <w:marRight w:val="0"/>
      <w:marTop w:val="0"/>
      <w:marBottom w:val="0"/>
      <w:divBdr>
        <w:top w:val="none" w:sz="0" w:space="0" w:color="auto"/>
        <w:left w:val="none" w:sz="0" w:space="0" w:color="auto"/>
        <w:bottom w:val="none" w:sz="0" w:space="0" w:color="auto"/>
        <w:right w:val="none" w:sz="0" w:space="0" w:color="auto"/>
      </w:divBdr>
    </w:div>
    <w:div w:id="1186213622">
      <w:bodyDiv w:val="1"/>
      <w:marLeft w:val="0"/>
      <w:marRight w:val="0"/>
      <w:marTop w:val="0"/>
      <w:marBottom w:val="0"/>
      <w:divBdr>
        <w:top w:val="none" w:sz="0" w:space="0" w:color="auto"/>
        <w:left w:val="none" w:sz="0" w:space="0" w:color="auto"/>
        <w:bottom w:val="none" w:sz="0" w:space="0" w:color="auto"/>
        <w:right w:val="none" w:sz="0" w:space="0" w:color="auto"/>
      </w:divBdr>
    </w:div>
    <w:div w:id="1190333100">
      <w:bodyDiv w:val="1"/>
      <w:marLeft w:val="0"/>
      <w:marRight w:val="0"/>
      <w:marTop w:val="0"/>
      <w:marBottom w:val="0"/>
      <w:divBdr>
        <w:top w:val="none" w:sz="0" w:space="0" w:color="auto"/>
        <w:left w:val="none" w:sz="0" w:space="0" w:color="auto"/>
        <w:bottom w:val="none" w:sz="0" w:space="0" w:color="auto"/>
        <w:right w:val="none" w:sz="0" w:space="0" w:color="auto"/>
      </w:divBdr>
    </w:div>
    <w:div w:id="1190490476">
      <w:bodyDiv w:val="1"/>
      <w:marLeft w:val="0"/>
      <w:marRight w:val="0"/>
      <w:marTop w:val="0"/>
      <w:marBottom w:val="0"/>
      <w:divBdr>
        <w:top w:val="none" w:sz="0" w:space="0" w:color="auto"/>
        <w:left w:val="none" w:sz="0" w:space="0" w:color="auto"/>
        <w:bottom w:val="none" w:sz="0" w:space="0" w:color="auto"/>
        <w:right w:val="none" w:sz="0" w:space="0" w:color="auto"/>
      </w:divBdr>
      <w:divsChild>
        <w:div w:id="1358890049">
          <w:marLeft w:val="0"/>
          <w:marRight w:val="0"/>
          <w:marTop w:val="0"/>
          <w:marBottom w:val="0"/>
          <w:divBdr>
            <w:top w:val="none" w:sz="0" w:space="0" w:color="auto"/>
            <w:left w:val="none" w:sz="0" w:space="0" w:color="auto"/>
            <w:bottom w:val="none" w:sz="0" w:space="0" w:color="auto"/>
            <w:right w:val="none" w:sz="0" w:space="0" w:color="auto"/>
          </w:divBdr>
          <w:divsChild>
            <w:div w:id="1191146780">
              <w:marLeft w:val="0"/>
              <w:marRight w:val="0"/>
              <w:marTop w:val="0"/>
              <w:marBottom w:val="0"/>
              <w:divBdr>
                <w:top w:val="none" w:sz="0" w:space="0" w:color="auto"/>
                <w:left w:val="none" w:sz="0" w:space="0" w:color="auto"/>
                <w:bottom w:val="none" w:sz="0" w:space="0" w:color="auto"/>
                <w:right w:val="none" w:sz="0" w:space="0" w:color="auto"/>
              </w:divBdr>
              <w:divsChild>
                <w:div w:id="2026906828">
                  <w:marLeft w:val="0"/>
                  <w:marRight w:val="0"/>
                  <w:marTop w:val="0"/>
                  <w:marBottom w:val="0"/>
                  <w:divBdr>
                    <w:top w:val="none" w:sz="0" w:space="0" w:color="auto"/>
                    <w:left w:val="none" w:sz="0" w:space="0" w:color="auto"/>
                    <w:bottom w:val="none" w:sz="0" w:space="0" w:color="auto"/>
                    <w:right w:val="none" w:sz="0" w:space="0" w:color="auto"/>
                  </w:divBdr>
                  <w:divsChild>
                    <w:div w:id="529075434">
                      <w:marLeft w:val="0"/>
                      <w:marRight w:val="0"/>
                      <w:marTop w:val="0"/>
                      <w:marBottom w:val="0"/>
                      <w:divBdr>
                        <w:top w:val="none" w:sz="0" w:space="0" w:color="auto"/>
                        <w:left w:val="none" w:sz="0" w:space="0" w:color="auto"/>
                        <w:bottom w:val="none" w:sz="0" w:space="0" w:color="auto"/>
                        <w:right w:val="none" w:sz="0" w:space="0" w:color="auto"/>
                      </w:divBdr>
                      <w:divsChild>
                        <w:div w:id="1548881339">
                          <w:marLeft w:val="0"/>
                          <w:marRight w:val="0"/>
                          <w:marTop w:val="0"/>
                          <w:marBottom w:val="0"/>
                          <w:divBdr>
                            <w:top w:val="none" w:sz="0" w:space="0" w:color="auto"/>
                            <w:left w:val="none" w:sz="0" w:space="0" w:color="auto"/>
                            <w:bottom w:val="none" w:sz="0" w:space="0" w:color="auto"/>
                            <w:right w:val="none" w:sz="0" w:space="0" w:color="auto"/>
                          </w:divBdr>
                        </w:div>
                        <w:div w:id="1760787782">
                          <w:marLeft w:val="0"/>
                          <w:marRight w:val="0"/>
                          <w:marTop w:val="0"/>
                          <w:marBottom w:val="0"/>
                          <w:divBdr>
                            <w:top w:val="none" w:sz="0" w:space="0" w:color="auto"/>
                            <w:left w:val="none" w:sz="0" w:space="0" w:color="auto"/>
                            <w:bottom w:val="none" w:sz="0" w:space="0" w:color="auto"/>
                            <w:right w:val="none" w:sz="0" w:space="0" w:color="auto"/>
                          </w:divBdr>
                          <w:divsChild>
                            <w:div w:id="12465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4344">
                      <w:marLeft w:val="0"/>
                      <w:marRight w:val="0"/>
                      <w:marTop w:val="150"/>
                      <w:marBottom w:val="150"/>
                      <w:divBdr>
                        <w:top w:val="none" w:sz="0" w:space="0" w:color="auto"/>
                        <w:left w:val="none" w:sz="0" w:space="0" w:color="auto"/>
                        <w:bottom w:val="none" w:sz="0" w:space="0" w:color="auto"/>
                        <w:right w:val="none" w:sz="0" w:space="0" w:color="auto"/>
                      </w:divBdr>
                      <w:divsChild>
                        <w:div w:id="4136275">
                          <w:marLeft w:val="0"/>
                          <w:marRight w:val="0"/>
                          <w:marTop w:val="0"/>
                          <w:marBottom w:val="0"/>
                          <w:divBdr>
                            <w:top w:val="none" w:sz="0" w:space="0" w:color="auto"/>
                            <w:left w:val="none" w:sz="0" w:space="0" w:color="auto"/>
                            <w:bottom w:val="none" w:sz="0" w:space="0" w:color="auto"/>
                            <w:right w:val="none" w:sz="0" w:space="0" w:color="auto"/>
                          </w:divBdr>
                        </w:div>
                        <w:div w:id="1262840191">
                          <w:marLeft w:val="0"/>
                          <w:marRight w:val="0"/>
                          <w:marTop w:val="0"/>
                          <w:marBottom w:val="0"/>
                          <w:divBdr>
                            <w:top w:val="none" w:sz="0" w:space="0" w:color="auto"/>
                            <w:left w:val="none" w:sz="0" w:space="0" w:color="auto"/>
                            <w:bottom w:val="none" w:sz="0" w:space="0" w:color="auto"/>
                            <w:right w:val="none" w:sz="0" w:space="0" w:color="auto"/>
                          </w:divBdr>
                          <w:divsChild>
                            <w:div w:id="14347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45806">
                      <w:marLeft w:val="0"/>
                      <w:marRight w:val="0"/>
                      <w:marTop w:val="300"/>
                      <w:marBottom w:val="0"/>
                      <w:divBdr>
                        <w:top w:val="none" w:sz="0" w:space="0" w:color="auto"/>
                        <w:left w:val="none" w:sz="0" w:space="0" w:color="auto"/>
                        <w:bottom w:val="none" w:sz="0" w:space="0" w:color="auto"/>
                        <w:right w:val="none" w:sz="0" w:space="0" w:color="auto"/>
                      </w:divBdr>
                      <w:divsChild>
                        <w:div w:id="375550783">
                          <w:marLeft w:val="0"/>
                          <w:marRight w:val="0"/>
                          <w:marTop w:val="0"/>
                          <w:marBottom w:val="0"/>
                          <w:divBdr>
                            <w:top w:val="none" w:sz="0" w:space="0" w:color="auto"/>
                            <w:left w:val="none" w:sz="0" w:space="0" w:color="auto"/>
                            <w:bottom w:val="none" w:sz="0" w:space="0" w:color="auto"/>
                            <w:right w:val="none" w:sz="0" w:space="0" w:color="auto"/>
                          </w:divBdr>
                          <w:divsChild>
                            <w:div w:id="115364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957714">
      <w:bodyDiv w:val="1"/>
      <w:marLeft w:val="0"/>
      <w:marRight w:val="0"/>
      <w:marTop w:val="0"/>
      <w:marBottom w:val="0"/>
      <w:divBdr>
        <w:top w:val="none" w:sz="0" w:space="0" w:color="auto"/>
        <w:left w:val="none" w:sz="0" w:space="0" w:color="auto"/>
        <w:bottom w:val="none" w:sz="0" w:space="0" w:color="auto"/>
        <w:right w:val="none" w:sz="0" w:space="0" w:color="auto"/>
      </w:divBdr>
    </w:div>
    <w:div w:id="1199051926">
      <w:bodyDiv w:val="1"/>
      <w:marLeft w:val="0"/>
      <w:marRight w:val="0"/>
      <w:marTop w:val="0"/>
      <w:marBottom w:val="0"/>
      <w:divBdr>
        <w:top w:val="none" w:sz="0" w:space="0" w:color="auto"/>
        <w:left w:val="none" w:sz="0" w:space="0" w:color="auto"/>
        <w:bottom w:val="none" w:sz="0" w:space="0" w:color="auto"/>
        <w:right w:val="none" w:sz="0" w:space="0" w:color="auto"/>
      </w:divBdr>
    </w:div>
    <w:div w:id="1209033860">
      <w:bodyDiv w:val="1"/>
      <w:marLeft w:val="0"/>
      <w:marRight w:val="0"/>
      <w:marTop w:val="0"/>
      <w:marBottom w:val="0"/>
      <w:divBdr>
        <w:top w:val="none" w:sz="0" w:space="0" w:color="auto"/>
        <w:left w:val="none" w:sz="0" w:space="0" w:color="auto"/>
        <w:bottom w:val="none" w:sz="0" w:space="0" w:color="auto"/>
        <w:right w:val="none" w:sz="0" w:space="0" w:color="auto"/>
      </w:divBdr>
    </w:div>
    <w:div w:id="1214581359">
      <w:bodyDiv w:val="1"/>
      <w:marLeft w:val="0"/>
      <w:marRight w:val="0"/>
      <w:marTop w:val="0"/>
      <w:marBottom w:val="0"/>
      <w:divBdr>
        <w:top w:val="none" w:sz="0" w:space="0" w:color="auto"/>
        <w:left w:val="none" w:sz="0" w:space="0" w:color="auto"/>
        <w:bottom w:val="none" w:sz="0" w:space="0" w:color="auto"/>
        <w:right w:val="none" w:sz="0" w:space="0" w:color="auto"/>
      </w:divBdr>
      <w:divsChild>
        <w:div w:id="2027124940">
          <w:marLeft w:val="0"/>
          <w:marRight w:val="0"/>
          <w:marTop w:val="0"/>
          <w:marBottom w:val="0"/>
          <w:divBdr>
            <w:top w:val="none" w:sz="0" w:space="0" w:color="auto"/>
            <w:left w:val="none" w:sz="0" w:space="0" w:color="auto"/>
            <w:bottom w:val="none" w:sz="0" w:space="0" w:color="auto"/>
            <w:right w:val="none" w:sz="0" w:space="0" w:color="auto"/>
          </w:divBdr>
          <w:divsChild>
            <w:div w:id="328563790">
              <w:marLeft w:val="0"/>
              <w:marRight w:val="0"/>
              <w:marTop w:val="0"/>
              <w:marBottom w:val="0"/>
              <w:divBdr>
                <w:top w:val="none" w:sz="0" w:space="0" w:color="auto"/>
                <w:left w:val="none" w:sz="0" w:space="0" w:color="auto"/>
                <w:bottom w:val="none" w:sz="0" w:space="0" w:color="auto"/>
                <w:right w:val="none" w:sz="0" w:space="0" w:color="auto"/>
              </w:divBdr>
              <w:divsChild>
                <w:div w:id="1500074674">
                  <w:marLeft w:val="0"/>
                  <w:marRight w:val="0"/>
                  <w:marTop w:val="0"/>
                  <w:marBottom w:val="0"/>
                  <w:divBdr>
                    <w:top w:val="none" w:sz="0" w:space="0" w:color="auto"/>
                    <w:left w:val="none" w:sz="0" w:space="0" w:color="auto"/>
                    <w:bottom w:val="none" w:sz="0" w:space="0" w:color="auto"/>
                    <w:right w:val="none" w:sz="0" w:space="0" w:color="auto"/>
                  </w:divBdr>
                  <w:divsChild>
                    <w:div w:id="1226334538">
                      <w:marLeft w:val="0"/>
                      <w:marRight w:val="0"/>
                      <w:marTop w:val="0"/>
                      <w:marBottom w:val="0"/>
                      <w:divBdr>
                        <w:top w:val="none" w:sz="0" w:space="0" w:color="auto"/>
                        <w:left w:val="none" w:sz="0" w:space="0" w:color="auto"/>
                        <w:bottom w:val="none" w:sz="0" w:space="0" w:color="auto"/>
                        <w:right w:val="none" w:sz="0" w:space="0" w:color="auto"/>
                      </w:divBdr>
                      <w:divsChild>
                        <w:div w:id="310257749">
                          <w:marLeft w:val="0"/>
                          <w:marRight w:val="0"/>
                          <w:marTop w:val="0"/>
                          <w:marBottom w:val="0"/>
                          <w:divBdr>
                            <w:top w:val="none" w:sz="0" w:space="0" w:color="auto"/>
                            <w:left w:val="none" w:sz="0" w:space="0" w:color="auto"/>
                            <w:bottom w:val="none" w:sz="0" w:space="0" w:color="auto"/>
                            <w:right w:val="none" w:sz="0" w:space="0" w:color="auto"/>
                          </w:divBdr>
                        </w:div>
                        <w:div w:id="1363746950">
                          <w:marLeft w:val="0"/>
                          <w:marRight w:val="0"/>
                          <w:marTop w:val="0"/>
                          <w:marBottom w:val="0"/>
                          <w:divBdr>
                            <w:top w:val="none" w:sz="0" w:space="0" w:color="auto"/>
                            <w:left w:val="none" w:sz="0" w:space="0" w:color="auto"/>
                            <w:bottom w:val="none" w:sz="0" w:space="0" w:color="auto"/>
                            <w:right w:val="none" w:sz="0" w:space="0" w:color="auto"/>
                          </w:divBdr>
                          <w:divsChild>
                            <w:div w:id="18117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9527">
                      <w:marLeft w:val="0"/>
                      <w:marRight w:val="0"/>
                      <w:marTop w:val="150"/>
                      <w:marBottom w:val="150"/>
                      <w:divBdr>
                        <w:top w:val="none" w:sz="0" w:space="0" w:color="auto"/>
                        <w:left w:val="none" w:sz="0" w:space="0" w:color="auto"/>
                        <w:bottom w:val="none" w:sz="0" w:space="0" w:color="auto"/>
                        <w:right w:val="none" w:sz="0" w:space="0" w:color="auto"/>
                      </w:divBdr>
                      <w:divsChild>
                        <w:div w:id="1864899508">
                          <w:marLeft w:val="0"/>
                          <w:marRight w:val="0"/>
                          <w:marTop w:val="0"/>
                          <w:marBottom w:val="0"/>
                          <w:divBdr>
                            <w:top w:val="none" w:sz="0" w:space="0" w:color="auto"/>
                            <w:left w:val="none" w:sz="0" w:space="0" w:color="auto"/>
                            <w:bottom w:val="none" w:sz="0" w:space="0" w:color="auto"/>
                            <w:right w:val="none" w:sz="0" w:space="0" w:color="auto"/>
                          </w:divBdr>
                        </w:div>
                        <w:div w:id="517619448">
                          <w:marLeft w:val="0"/>
                          <w:marRight w:val="0"/>
                          <w:marTop w:val="0"/>
                          <w:marBottom w:val="0"/>
                          <w:divBdr>
                            <w:top w:val="none" w:sz="0" w:space="0" w:color="auto"/>
                            <w:left w:val="none" w:sz="0" w:space="0" w:color="auto"/>
                            <w:bottom w:val="none" w:sz="0" w:space="0" w:color="auto"/>
                            <w:right w:val="none" w:sz="0" w:space="0" w:color="auto"/>
                          </w:divBdr>
                          <w:divsChild>
                            <w:div w:id="14180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54528">
                      <w:marLeft w:val="0"/>
                      <w:marRight w:val="0"/>
                      <w:marTop w:val="300"/>
                      <w:marBottom w:val="0"/>
                      <w:divBdr>
                        <w:top w:val="none" w:sz="0" w:space="0" w:color="auto"/>
                        <w:left w:val="none" w:sz="0" w:space="0" w:color="auto"/>
                        <w:bottom w:val="none" w:sz="0" w:space="0" w:color="auto"/>
                        <w:right w:val="none" w:sz="0" w:space="0" w:color="auto"/>
                      </w:divBdr>
                      <w:divsChild>
                        <w:div w:id="1350646064">
                          <w:marLeft w:val="0"/>
                          <w:marRight w:val="0"/>
                          <w:marTop w:val="0"/>
                          <w:marBottom w:val="0"/>
                          <w:divBdr>
                            <w:top w:val="none" w:sz="0" w:space="0" w:color="auto"/>
                            <w:left w:val="none" w:sz="0" w:space="0" w:color="auto"/>
                            <w:bottom w:val="none" w:sz="0" w:space="0" w:color="auto"/>
                            <w:right w:val="none" w:sz="0" w:space="0" w:color="auto"/>
                          </w:divBdr>
                          <w:divsChild>
                            <w:div w:id="1263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867972">
      <w:bodyDiv w:val="1"/>
      <w:marLeft w:val="0"/>
      <w:marRight w:val="0"/>
      <w:marTop w:val="0"/>
      <w:marBottom w:val="0"/>
      <w:divBdr>
        <w:top w:val="none" w:sz="0" w:space="0" w:color="auto"/>
        <w:left w:val="none" w:sz="0" w:space="0" w:color="auto"/>
        <w:bottom w:val="none" w:sz="0" w:space="0" w:color="auto"/>
        <w:right w:val="none" w:sz="0" w:space="0" w:color="auto"/>
      </w:divBdr>
    </w:div>
    <w:div w:id="1230111853">
      <w:bodyDiv w:val="1"/>
      <w:marLeft w:val="0"/>
      <w:marRight w:val="0"/>
      <w:marTop w:val="0"/>
      <w:marBottom w:val="0"/>
      <w:divBdr>
        <w:top w:val="none" w:sz="0" w:space="0" w:color="auto"/>
        <w:left w:val="none" w:sz="0" w:space="0" w:color="auto"/>
        <w:bottom w:val="none" w:sz="0" w:space="0" w:color="auto"/>
        <w:right w:val="none" w:sz="0" w:space="0" w:color="auto"/>
      </w:divBdr>
      <w:divsChild>
        <w:div w:id="1131288863">
          <w:marLeft w:val="0"/>
          <w:marRight w:val="0"/>
          <w:marTop w:val="0"/>
          <w:marBottom w:val="0"/>
          <w:divBdr>
            <w:top w:val="none" w:sz="0" w:space="0" w:color="auto"/>
            <w:left w:val="none" w:sz="0" w:space="0" w:color="auto"/>
            <w:bottom w:val="none" w:sz="0" w:space="0" w:color="auto"/>
            <w:right w:val="none" w:sz="0" w:space="0" w:color="auto"/>
          </w:divBdr>
          <w:divsChild>
            <w:div w:id="1275022637">
              <w:marLeft w:val="0"/>
              <w:marRight w:val="0"/>
              <w:marTop w:val="0"/>
              <w:marBottom w:val="0"/>
              <w:divBdr>
                <w:top w:val="single" w:sz="2" w:space="0" w:color="auto"/>
                <w:left w:val="single" w:sz="2" w:space="0" w:color="auto"/>
                <w:bottom w:val="single" w:sz="2" w:space="0" w:color="auto"/>
                <w:right w:val="single" w:sz="2" w:space="0" w:color="auto"/>
              </w:divBdr>
              <w:divsChild>
                <w:div w:id="892229029">
                  <w:marLeft w:val="4800"/>
                  <w:marRight w:val="0"/>
                  <w:marTop w:val="0"/>
                  <w:marBottom w:val="0"/>
                  <w:divBdr>
                    <w:top w:val="single" w:sz="2" w:space="0" w:color="auto"/>
                    <w:left w:val="single" w:sz="2" w:space="0" w:color="auto"/>
                    <w:bottom w:val="single" w:sz="2" w:space="0" w:color="auto"/>
                    <w:right w:val="single" w:sz="2" w:space="0" w:color="auto"/>
                  </w:divBdr>
                  <w:divsChild>
                    <w:div w:id="1932077437">
                      <w:marLeft w:val="0"/>
                      <w:marRight w:val="0"/>
                      <w:marTop w:val="0"/>
                      <w:marBottom w:val="0"/>
                      <w:divBdr>
                        <w:top w:val="none" w:sz="0" w:space="0" w:color="auto"/>
                        <w:left w:val="none" w:sz="0" w:space="0" w:color="auto"/>
                        <w:bottom w:val="none" w:sz="0" w:space="0" w:color="auto"/>
                        <w:right w:val="none" w:sz="0" w:space="0" w:color="auto"/>
                      </w:divBdr>
                      <w:divsChild>
                        <w:div w:id="1567371404">
                          <w:marLeft w:val="0"/>
                          <w:marRight w:val="0"/>
                          <w:marTop w:val="0"/>
                          <w:marBottom w:val="0"/>
                          <w:divBdr>
                            <w:top w:val="single" w:sz="2" w:space="0" w:color="auto"/>
                            <w:left w:val="single" w:sz="2" w:space="0" w:color="auto"/>
                            <w:bottom w:val="single" w:sz="2" w:space="0" w:color="auto"/>
                            <w:right w:val="single" w:sz="2" w:space="0" w:color="auto"/>
                          </w:divBdr>
                          <w:divsChild>
                            <w:div w:id="475877130">
                              <w:marLeft w:val="0"/>
                              <w:marRight w:val="0"/>
                              <w:marTop w:val="0"/>
                              <w:marBottom w:val="0"/>
                              <w:divBdr>
                                <w:top w:val="none" w:sz="0" w:space="0" w:color="auto"/>
                                <w:left w:val="none" w:sz="0" w:space="0" w:color="auto"/>
                                <w:bottom w:val="none" w:sz="0" w:space="0" w:color="auto"/>
                                <w:right w:val="none" w:sz="0" w:space="0" w:color="auto"/>
                              </w:divBdr>
                              <w:divsChild>
                                <w:div w:id="20153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454748">
      <w:bodyDiv w:val="1"/>
      <w:marLeft w:val="0"/>
      <w:marRight w:val="0"/>
      <w:marTop w:val="0"/>
      <w:marBottom w:val="0"/>
      <w:divBdr>
        <w:top w:val="none" w:sz="0" w:space="0" w:color="auto"/>
        <w:left w:val="none" w:sz="0" w:space="0" w:color="auto"/>
        <w:bottom w:val="none" w:sz="0" w:space="0" w:color="auto"/>
        <w:right w:val="none" w:sz="0" w:space="0" w:color="auto"/>
      </w:divBdr>
    </w:div>
    <w:div w:id="1231841532">
      <w:bodyDiv w:val="1"/>
      <w:marLeft w:val="0"/>
      <w:marRight w:val="0"/>
      <w:marTop w:val="0"/>
      <w:marBottom w:val="0"/>
      <w:divBdr>
        <w:top w:val="none" w:sz="0" w:space="0" w:color="auto"/>
        <w:left w:val="none" w:sz="0" w:space="0" w:color="auto"/>
        <w:bottom w:val="none" w:sz="0" w:space="0" w:color="auto"/>
        <w:right w:val="none" w:sz="0" w:space="0" w:color="auto"/>
      </w:divBdr>
    </w:div>
    <w:div w:id="1235118467">
      <w:bodyDiv w:val="1"/>
      <w:marLeft w:val="0"/>
      <w:marRight w:val="0"/>
      <w:marTop w:val="0"/>
      <w:marBottom w:val="0"/>
      <w:divBdr>
        <w:top w:val="none" w:sz="0" w:space="0" w:color="auto"/>
        <w:left w:val="none" w:sz="0" w:space="0" w:color="auto"/>
        <w:bottom w:val="none" w:sz="0" w:space="0" w:color="auto"/>
        <w:right w:val="none" w:sz="0" w:space="0" w:color="auto"/>
      </w:divBdr>
    </w:div>
    <w:div w:id="1237983365">
      <w:bodyDiv w:val="1"/>
      <w:marLeft w:val="0"/>
      <w:marRight w:val="0"/>
      <w:marTop w:val="0"/>
      <w:marBottom w:val="0"/>
      <w:divBdr>
        <w:top w:val="none" w:sz="0" w:space="0" w:color="auto"/>
        <w:left w:val="none" w:sz="0" w:space="0" w:color="auto"/>
        <w:bottom w:val="none" w:sz="0" w:space="0" w:color="auto"/>
        <w:right w:val="none" w:sz="0" w:space="0" w:color="auto"/>
      </w:divBdr>
    </w:div>
    <w:div w:id="1239287455">
      <w:bodyDiv w:val="1"/>
      <w:marLeft w:val="0"/>
      <w:marRight w:val="0"/>
      <w:marTop w:val="0"/>
      <w:marBottom w:val="0"/>
      <w:divBdr>
        <w:top w:val="none" w:sz="0" w:space="0" w:color="auto"/>
        <w:left w:val="none" w:sz="0" w:space="0" w:color="auto"/>
        <w:bottom w:val="none" w:sz="0" w:space="0" w:color="auto"/>
        <w:right w:val="none" w:sz="0" w:space="0" w:color="auto"/>
      </w:divBdr>
      <w:divsChild>
        <w:div w:id="1364669125">
          <w:marLeft w:val="0"/>
          <w:marRight w:val="0"/>
          <w:marTop w:val="0"/>
          <w:marBottom w:val="0"/>
          <w:divBdr>
            <w:top w:val="none" w:sz="0" w:space="0" w:color="auto"/>
            <w:left w:val="none" w:sz="0" w:space="0" w:color="auto"/>
            <w:bottom w:val="none" w:sz="0" w:space="0" w:color="auto"/>
            <w:right w:val="none" w:sz="0" w:space="0" w:color="auto"/>
          </w:divBdr>
        </w:div>
      </w:divsChild>
    </w:div>
    <w:div w:id="1239708766">
      <w:bodyDiv w:val="1"/>
      <w:marLeft w:val="0"/>
      <w:marRight w:val="0"/>
      <w:marTop w:val="0"/>
      <w:marBottom w:val="0"/>
      <w:divBdr>
        <w:top w:val="none" w:sz="0" w:space="0" w:color="auto"/>
        <w:left w:val="none" w:sz="0" w:space="0" w:color="auto"/>
        <w:bottom w:val="none" w:sz="0" w:space="0" w:color="auto"/>
        <w:right w:val="none" w:sz="0" w:space="0" w:color="auto"/>
      </w:divBdr>
    </w:div>
    <w:div w:id="1241795728">
      <w:bodyDiv w:val="1"/>
      <w:marLeft w:val="0"/>
      <w:marRight w:val="0"/>
      <w:marTop w:val="0"/>
      <w:marBottom w:val="0"/>
      <w:divBdr>
        <w:top w:val="none" w:sz="0" w:space="0" w:color="auto"/>
        <w:left w:val="none" w:sz="0" w:space="0" w:color="auto"/>
        <w:bottom w:val="none" w:sz="0" w:space="0" w:color="auto"/>
        <w:right w:val="none" w:sz="0" w:space="0" w:color="auto"/>
      </w:divBdr>
    </w:div>
    <w:div w:id="1242761899">
      <w:bodyDiv w:val="1"/>
      <w:marLeft w:val="0"/>
      <w:marRight w:val="0"/>
      <w:marTop w:val="0"/>
      <w:marBottom w:val="0"/>
      <w:divBdr>
        <w:top w:val="none" w:sz="0" w:space="0" w:color="auto"/>
        <w:left w:val="none" w:sz="0" w:space="0" w:color="auto"/>
        <w:bottom w:val="none" w:sz="0" w:space="0" w:color="auto"/>
        <w:right w:val="none" w:sz="0" w:space="0" w:color="auto"/>
      </w:divBdr>
    </w:div>
    <w:div w:id="1245216243">
      <w:bodyDiv w:val="1"/>
      <w:marLeft w:val="0"/>
      <w:marRight w:val="0"/>
      <w:marTop w:val="0"/>
      <w:marBottom w:val="0"/>
      <w:divBdr>
        <w:top w:val="none" w:sz="0" w:space="0" w:color="auto"/>
        <w:left w:val="none" w:sz="0" w:space="0" w:color="auto"/>
        <w:bottom w:val="none" w:sz="0" w:space="0" w:color="auto"/>
        <w:right w:val="none" w:sz="0" w:space="0" w:color="auto"/>
      </w:divBdr>
    </w:div>
    <w:div w:id="1246842799">
      <w:bodyDiv w:val="1"/>
      <w:marLeft w:val="0"/>
      <w:marRight w:val="0"/>
      <w:marTop w:val="0"/>
      <w:marBottom w:val="0"/>
      <w:divBdr>
        <w:top w:val="none" w:sz="0" w:space="0" w:color="auto"/>
        <w:left w:val="none" w:sz="0" w:space="0" w:color="auto"/>
        <w:bottom w:val="none" w:sz="0" w:space="0" w:color="auto"/>
        <w:right w:val="none" w:sz="0" w:space="0" w:color="auto"/>
      </w:divBdr>
    </w:div>
    <w:div w:id="1257904500">
      <w:bodyDiv w:val="1"/>
      <w:marLeft w:val="0"/>
      <w:marRight w:val="0"/>
      <w:marTop w:val="0"/>
      <w:marBottom w:val="0"/>
      <w:divBdr>
        <w:top w:val="none" w:sz="0" w:space="0" w:color="auto"/>
        <w:left w:val="none" w:sz="0" w:space="0" w:color="auto"/>
        <w:bottom w:val="none" w:sz="0" w:space="0" w:color="auto"/>
        <w:right w:val="none" w:sz="0" w:space="0" w:color="auto"/>
      </w:divBdr>
    </w:div>
    <w:div w:id="1270163537">
      <w:bodyDiv w:val="1"/>
      <w:marLeft w:val="0"/>
      <w:marRight w:val="0"/>
      <w:marTop w:val="0"/>
      <w:marBottom w:val="0"/>
      <w:divBdr>
        <w:top w:val="none" w:sz="0" w:space="0" w:color="auto"/>
        <w:left w:val="none" w:sz="0" w:space="0" w:color="auto"/>
        <w:bottom w:val="none" w:sz="0" w:space="0" w:color="auto"/>
        <w:right w:val="none" w:sz="0" w:space="0" w:color="auto"/>
      </w:divBdr>
      <w:divsChild>
        <w:div w:id="1336303655">
          <w:marLeft w:val="0"/>
          <w:marRight w:val="0"/>
          <w:marTop w:val="0"/>
          <w:marBottom w:val="0"/>
          <w:divBdr>
            <w:top w:val="none" w:sz="0" w:space="0" w:color="auto"/>
            <w:left w:val="none" w:sz="0" w:space="0" w:color="auto"/>
            <w:bottom w:val="none" w:sz="0" w:space="0" w:color="auto"/>
            <w:right w:val="none" w:sz="0" w:space="0" w:color="auto"/>
          </w:divBdr>
        </w:div>
      </w:divsChild>
    </w:div>
    <w:div w:id="1272012891">
      <w:bodyDiv w:val="1"/>
      <w:marLeft w:val="0"/>
      <w:marRight w:val="0"/>
      <w:marTop w:val="0"/>
      <w:marBottom w:val="0"/>
      <w:divBdr>
        <w:top w:val="none" w:sz="0" w:space="0" w:color="auto"/>
        <w:left w:val="none" w:sz="0" w:space="0" w:color="auto"/>
        <w:bottom w:val="none" w:sz="0" w:space="0" w:color="auto"/>
        <w:right w:val="none" w:sz="0" w:space="0" w:color="auto"/>
      </w:divBdr>
    </w:div>
    <w:div w:id="1281719598">
      <w:bodyDiv w:val="1"/>
      <w:marLeft w:val="0"/>
      <w:marRight w:val="0"/>
      <w:marTop w:val="0"/>
      <w:marBottom w:val="0"/>
      <w:divBdr>
        <w:top w:val="none" w:sz="0" w:space="0" w:color="auto"/>
        <w:left w:val="none" w:sz="0" w:space="0" w:color="auto"/>
        <w:bottom w:val="none" w:sz="0" w:space="0" w:color="auto"/>
        <w:right w:val="none" w:sz="0" w:space="0" w:color="auto"/>
      </w:divBdr>
    </w:div>
    <w:div w:id="1299530024">
      <w:bodyDiv w:val="1"/>
      <w:marLeft w:val="0"/>
      <w:marRight w:val="0"/>
      <w:marTop w:val="0"/>
      <w:marBottom w:val="0"/>
      <w:divBdr>
        <w:top w:val="none" w:sz="0" w:space="0" w:color="auto"/>
        <w:left w:val="none" w:sz="0" w:space="0" w:color="auto"/>
        <w:bottom w:val="none" w:sz="0" w:space="0" w:color="auto"/>
        <w:right w:val="none" w:sz="0" w:space="0" w:color="auto"/>
      </w:divBdr>
    </w:div>
    <w:div w:id="1300844631">
      <w:bodyDiv w:val="1"/>
      <w:marLeft w:val="0"/>
      <w:marRight w:val="0"/>
      <w:marTop w:val="0"/>
      <w:marBottom w:val="0"/>
      <w:divBdr>
        <w:top w:val="none" w:sz="0" w:space="0" w:color="auto"/>
        <w:left w:val="none" w:sz="0" w:space="0" w:color="auto"/>
        <w:bottom w:val="none" w:sz="0" w:space="0" w:color="auto"/>
        <w:right w:val="none" w:sz="0" w:space="0" w:color="auto"/>
      </w:divBdr>
    </w:div>
    <w:div w:id="1308362767">
      <w:bodyDiv w:val="1"/>
      <w:marLeft w:val="0"/>
      <w:marRight w:val="0"/>
      <w:marTop w:val="0"/>
      <w:marBottom w:val="0"/>
      <w:divBdr>
        <w:top w:val="none" w:sz="0" w:space="0" w:color="auto"/>
        <w:left w:val="none" w:sz="0" w:space="0" w:color="auto"/>
        <w:bottom w:val="none" w:sz="0" w:space="0" w:color="auto"/>
        <w:right w:val="none" w:sz="0" w:space="0" w:color="auto"/>
      </w:divBdr>
    </w:div>
    <w:div w:id="1309751057">
      <w:bodyDiv w:val="1"/>
      <w:marLeft w:val="0"/>
      <w:marRight w:val="0"/>
      <w:marTop w:val="0"/>
      <w:marBottom w:val="0"/>
      <w:divBdr>
        <w:top w:val="none" w:sz="0" w:space="0" w:color="auto"/>
        <w:left w:val="none" w:sz="0" w:space="0" w:color="auto"/>
        <w:bottom w:val="none" w:sz="0" w:space="0" w:color="auto"/>
        <w:right w:val="none" w:sz="0" w:space="0" w:color="auto"/>
      </w:divBdr>
    </w:div>
    <w:div w:id="1310741858">
      <w:bodyDiv w:val="1"/>
      <w:marLeft w:val="0"/>
      <w:marRight w:val="0"/>
      <w:marTop w:val="0"/>
      <w:marBottom w:val="0"/>
      <w:divBdr>
        <w:top w:val="none" w:sz="0" w:space="0" w:color="auto"/>
        <w:left w:val="none" w:sz="0" w:space="0" w:color="auto"/>
        <w:bottom w:val="none" w:sz="0" w:space="0" w:color="auto"/>
        <w:right w:val="none" w:sz="0" w:space="0" w:color="auto"/>
      </w:divBdr>
    </w:div>
    <w:div w:id="1314480840">
      <w:bodyDiv w:val="1"/>
      <w:marLeft w:val="0"/>
      <w:marRight w:val="0"/>
      <w:marTop w:val="0"/>
      <w:marBottom w:val="0"/>
      <w:divBdr>
        <w:top w:val="none" w:sz="0" w:space="0" w:color="auto"/>
        <w:left w:val="none" w:sz="0" w:space="0" w:color="auto"/>
        <w:bottom w:val="none" w:sz="0" w:space="0" w:color="auto"/>
        <w:right w:val="none" w:sz="0" w:space="0" w:color="auto"/>
      </w:divBdr>
    </w:div>
    <w:div w:id="1318798131">
      <w:bodyDiv w:val="1"/>
      <w:marLeft w:val="0"/>
      <w:marRight w:val="0"/>
      <w:marTop w:val="0"/>
      <w:marBottom w:val="0"/>
      <w:divBdr>
        <w:top w:val="none" w:sz="0" w:space="0" w:color="auto"/>
        <w:left w:val="none" w:sz="0" w:space="0" w:color="auto"/>
        <w:bottom w:val="none" w:sz="0" w:space="0" w:color="auto"/>
        <w:right w:val="none" w:sz="0" w:space="0" w:color="auto"/>
      </w:divBdr>
    </w:div>
    <w:div w:id="1321275566">
      <w:bodyDiv w:val="1"/>
      <w:marLeft w:val="0"/>
      <w:marRight w:val="0"/>
      <w:marTop w:val="0"/>
      <w:marBottom w:val="0"/>
      <w:divBdr>
        <w:top w:val="none" w:sz="0" w:space="0" w:color="auto"/>
        <w:left w:val="none" w:sz="0" w:space="0" w:color="auto"/>
        <w:bottom w:val="none" w:sz="0" w:space="0" w:color="auto"/>
        <w:right w:val="none" w:sz="0" w:space="0" w:color="auto"/>
      </w:divBdr>
      <w:divsChild>
        <w:div w:id="416709149">
          <w:marLeft w:val="0"/>
          <w:marRight w:val="0"/>
          <w:marTop w:val="0"/>
          <w:marBottom w:val="0"/>
          <w:divBdr>
            <w:top w:val="none" w:sz="0" w:space="0" w:color="auto"/>
            <w:left w:val="none" w:sz="0" w:space="0" w:color="auto"/>
            <w:bottom w:val="none" w:sz="0" w:space="0" w:color="auto"/>
            <w:right w:val="none" w:sz="0" w:space="0" w:color="auto"/>
          </w:divBdr>
          <w:divsChild>
            <w:div w:id="1590500872">
              <w:marLeft w:val="0"/>
              <w:marRight w:val="0"/>
              <w:marTop w:val="0"/>
              <w:marBottom w:val="0"/>
              <w:divBdr>
                <w:top w:val="none" w:sz="0" w:space="0" w:color="auto"/>
                <w:left w:val="none" w:sz="0" w:space="0" w:color="auto"/>
                <w:bottom w:val="none" w:sz="0" w:space="0" w:color="auto"/>
                <w:right w:val="none" w:sz="0" w:space="0" w:color="auto"/>
              </w:divBdr>
              <w:divsChild>
                <w:div w:id="301083890">
                  <w:marLeft w:val="0"/>
                  <w:marRight w:val="0"/>
                  <w:marTop w:val="0"/>
                  <w:marBottom w:val="0"/>
                  <w:divBdr>
                    <w:top w:val="none" w:sz="0" w:space="0" w:color="auto"/>
                    <w:left w:val="none" w:sz="0" w:space="0" w:color="auto"/>
                    <w:bottom w:val="none" w:sz="0" w:space="0" w:color="auto"/>
                    <w:right w:val="none" w:sz="0" w:space="0" w:color="auto"/>
                  </w:divBdr>
                  <w:divsChild>
                    <w:div w:id="227344981">
                      <w:marLeft w:val="0"/>
                      <w:marRight w:val="0"/>
                      <w:marTop w:val="300"/>
                      <w:marBottom w:val="0"/>
                      <w:divBdr>
                        <w:top w:val="none" w:sz="0" w:space="0" w:color="auto"/>
                        <w:left w:val="none" w:sz="0" w:space="0" w:color="auto"/>
                        <w:bottom w:val="none" w:sz="0" w:space="0" w:color="auto"/>
                        <w:right w:val="none" w:sz="0" w:space="0" w:color="auto"/>
                      </w:divBdr>
                      <w:divsChild>
                        <w:div w:id="1508670480">
                          <w:marLeft w:val="0"/>
                          <w:marRight w:val="0"/>
                          <w:marTop w:val="0"/>
                          <w:marBottom w:val="0"/>
                          <w:divBdr>
                            <w:top w:val="none" w:sz="0" w:space="0" w:color="auto"/>
                            <w:left w:val="none" w:sz="0" w:space="0" w:color="auto"/>
                            <w:bottom w:val="none" w:sz="0" w:space="0" w:color="auto"/>
                            <w:right w:val="none" w:sz="0" w:space="0" w:color="auto"/>
                          </w:divBdr>
                          <w:divsChild>
                            <w:div w:id="21326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66739">
                      <w:marLeft w:val="0"/>
                      <w:marRight w:val="0"/>
                      <w:marTop w:val="0"/>
                      <w:marBottom w:val="0"/>
                      <w:divBdr>
                        <w:top w:val="none" w:sz="0" w:space="0" w:color="auto"/>
                        <w:left w:val="none" w:sz="0" w:space="0" w:color="auto"/>
                        <w:bottom w:val="none" w:sz="0" w:space="0" w:color="auto"/>
                        <w:right w:val="none" w:sz="0" w:space="0" w:color="auto"/>
                      </w:divBdr>
                      <w:divsChild>
                        <w:div w:id="1283459916">
                          <w:marLeft w:val="0"/>
                          <w:marRight w:val="0"/>
                          <w:marTop w:val="0"/>
                          <w:marBottom w:val="0"/>
                          <w:divBdr>
                            <w:top w:val="none" w:sz="0" w:space="0" w:color="auto"/>
                            <w:left w:val="none" w:sz="0" w:space="0" w:color="auto"/>
                            <w:bottom w:val="none" w:sz="0" w:space="0" w:color="auto"/>
                            <w:right w:val="none" w:sz="0" w:space="0" w:color="auto"/>
                          </w:divBdr>
                        </w:div>
                        <w:div w:id="1815558239">
                          <w:marLeft w:val="0"/>
                          <w:marRight w:val="0"/>
                          <w:marTop w:val="0"/>
                          <w:marBottom w:val="0"/>
                          <w:divBdr>
                            <w:top w:val="none" w:sz="0" w:space="0" w:color="auto"/>
                            <w:left w:val="none" w:sz="0" w:space="0" w:color="auto"/>
                            <w:bottom w:val="none" w:sz="0" w:space="0" w:color="auto"/>
                            <w:right w:val="none" w:sz="0" w:space="0" w:color="auto"/>
                          </w:divBdr>
                          <w:divsChild>
                            <w:div w:id="21244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1059">
                      <w:marLeft w:val="0"/>
                      <w:marRight w:val="0"/>
                      <w:marTop w:val="150"/>
                      <w:marBottom w:val="150"/>
                      <w:divBdr>
                        <w:top w:val="none" w:sz="0" w:space="0" w:color="auto"/>
                        <w:left w:val="none" w:sz="0" w:space="0" w:color="auto"/>
                        <w:bottom w:val="none" w:sz="0" w:space="0" w:color="auto"/>
                        <w:right w:val="none" w:sz="0" w:space="0" w:color="auto"/>
                      </w:divBdr>
                      <w:divsChild>
                        <w:div w:id="528757910">
                          <w:marLeft w:val="0"/>
                          <w:marRight w:val="0"/>
                          <w:marTop w:val="0"/>
                          <w:marBottom w:val="0"/>
                          <w:divBdr>
                            <w:top w:val="none" w:sz="0" w:space="0" w:color="auto"/>
                            <w:left w:val="none" w:sz="0" w:space="0" w:color="auto"/>
                            <w:bottom w:val="none" w:sz="0" w:space="0" w:color="auto"/>
                            <w:right w:val="none" w:sz="0" w:space="0" w:color="auto"/>
                          </w:divBdr>
                        </w:div>
                        <w:div w:id="2113698201">
                          <w:marLeft w:val="0"/>
                          <w:marRight w:val="0"/>
                          <w:marTop w:val="0"/>
                          <w:marBottom w:val="0"/>
                          <w:divBdr>
                            <w:top w:val="none" w:sz="0" w:space="0" w:color="auto"/>
                            <w:left w:val="none" w:sz="0" w:space="0" w:color="auto"/>
                            <w:bottom w:val="none" w:sz="0" w:space="0" w:color="auto"/>
                            <w:right w:val="none" w:sz="0" w:space="0" w:color="auto"/>
                          </w:divBdr>
                          <w:divsChild>
                            <w:div w:id="15584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234585">
      <w:bodyDiv w:val="1"/>
      <w:marLeft w:val="0"/>
      <w:marRight w:val="0"/>
      <w:marTop w:val="0"/>
      <w:marBottom w:val="0"/>
      <w:divBdr>
        <w:top w:val="none" w:sz="0" w:space="0" w:color="auto"/>
        <w:left w:val="none" w:sz="0" w:space="0" w:color="auto"/>
        <w:bottom w:val="none" w:sz="0" w:space="0" w:color="auto"/>
        <w:right w:val="none" w:sz="0" w:space="0" w:color="auto"/>
      </w:divBdr>
    </w:div>
    <w:div w:id="1325233725">
      <w:bodyDiv w:val="1"/>
      <w:marLeft w:val="0"/>
      <w:marRight w:val="0"/>
      <w:marTop w:val="0"/>
      <w:marBottom w:val="0"/>
      <w:divBdr>
        <w:top w:val="none" w:sz="0" w:space="0" w:color="auto"/>
        <w:left w:val="none" w:sz="0" w:space="0" w:color="auto"/>
        <w:bottom w:val="none" w:sz="0" w:space="0" w:color="auto"/>
        <w:right w:val="none" w:sz="0" w:space="0" w:color="auto"/>
      </w:divBdr>
    </w:div>
    <w:div w:id="1328480672">
      <w:bodyDiv w:val="1"/>
      <w:marLeft w:val="0"/>
      <w:marRight w:val="0"/>
      <w:marTop w:val="0"/>
      <w:marBottom w:val="0"/>
      <w:divBdr>
        <w:top w:val="none" w:sz="0" w:space="0" w:color="auto"/>
        <w:left w:val="none" w:sz="0" w:space="0" w:color="auto"/>
        <w:bottom w:val="none" w:sz="0" w:space="0" w:color="auto"/>
        <w:right w:val="none" w:sz="0" w:space="0" w:color="auto"/>
      </w:divBdr>
      <w:divsChild>
        <w:div w:id="1755008456">
          <w:marLeft w:val="0"/>
          <w:marRight w:val="0"/>
          <w:marTop w:val="0"/>
          <w:marBottom w:val="180"/>
          <w:divBdr>
            <w:top w:val="none" w:sz="0" w:space="0" w:color="auto"/>
            <w:left w:val="none" w:sz="0" w:space="0" w:color="auto"/>
            <w:bottom w:val="none" w:sz="0" w:space="0" w:color="auto"/>
            <w:right w:val="none" w:sz="0" w:space="0" w:color="auto"/>
          </w:divBdr>
        </w:div>
      </w:divsChild>
    </w:div>
    <w:div w:id="1329408412">
      <w:bodyDiv w:val="1"/>
      <w:marLeft w:val="0"/>
      <w:marRight w:val="0"/>
      <w:marTop w:val="0"/>
      <w:marBottom w:val="0"/>
      <w:divBdr>
        <w:top w:val="none" w:sz="0" w:space="0" w:color="auto"/>
        <w:left w:val="none" w:sz="0" w:space="0" w:color="auto"/>
        <w:bottom w:val="none" w:sz="0" w:space="0" w:color="auto"/>
        <w:right w:val="none" w:sz="0" w:space="0" w:color="auto"/>
      </w:divBdr>
    </w:div>
    <w:div w:id="1341856269">
      <w:bodyDiv w:val="1"/>
      <w:marLeft w:val="0"/>
      <w:marRight w:val="0"/>
      <w:marTop w:val="0"/>
      <w:marBottom w:val="0"/>
      <w:divBdr>
        <w:top w:val="none" w:sz="0" w:space="0" w:color="auto"/>
        <w:left w:val="none" w:sz="0" w:space="0" w:color="auto"/>
        <w:bottom w:val="none" w:sz="0" w:space="0" w:color="auto"/>
        <w:right w:val="none" w:sz="0" w:space="0" w:color="auto"/>
      </w:divBdr>
      <w:divsChild>
        <w:div w:id="95517023">
          <w:marLeft w:val="0"/>
          <w:marRight w:val="0"/>
          <w:marTop w:val="0"/>
          <w:marBottom w:val="0"/>
          <w:divBdr>
            <w:top w:val="none" w:sz="0" w:space="0" w:color="auto"/>
            <w:left w:val="none" w:sz="0" w:space="0" w:color="auto"/>
            <w:bottom w:val="none" w:sz="0" w:space="0" w:color="auto"/>
            <w:right w:val="none" w:sz="0" w:space="0" w:color="auto"/>
          </w:divBdr>
          <w:divsChild>
            <w:div w:id="242302470">
              <w:marLeft w:val="0"/>
              <w:marRight w:val="0"/>
              <w:marTop w:val="0"/>
              <w:marBottom w:val="0"/>
              <w:divBdr>
                <w:top w:val="none" w:sz="0" w:space="0" w:color="auto"/>
                <w:left w:val="none" w:sz="0" w:space="0" w:color="auto"/>
                <w:bottom w:val="none" w:sz="0" w:space="0" w:color="auto"/>
                <w:right w:val="none" w:sz="0" w:space="0" w:color="auto"/>
              </w:divBdr>
              <w:divsChild>
                <w:div w:id="2101098687">
                  <w:marLeft w:val="0"/>
                  <w:marRight w:val="0"/>
                  <w:marTop w:val="0"/>
                  <w:marBottom w:val="0"/>
                  <w:divBdr>
                    <w:top w:val="none" w:sz="0" w:space="0" w:color="auto"/>
                    <w:left w:val="none" w:sz="0" w:space="0" w:color="auto"/>
                    <w:bottom w:val="none" w:sz="0" w:space="0" w:color="auto"/>
                    <w:right w:val="none" w:sz="0" w:space="0" w:color="auto"/>
                  </w:divBdr>
                  <w:divsChild>
                    <w:div w:id="563952921">
                      <w:marLeft w:val="0"/>
                      <w:marRight w:val="0"/>
                      <w:marTop w:val="300"/>
                      <w:marBottom w:val="0"/>
                      <w:divBdr>
                        <w:top w:val="none" w:sz="0" w:space="0" w:color="auto"/>
                        <w:left w:val="none" w:sz="0" w:space="0" w:color="auto"/>
                        <w:bottom w:val="none" w:sz="0" w:space="0" w:color="auto"/>
                        <w:right w:val="none" w:sz="0" w:space="0" w:color="auto"/>
                      </w:divBdr>
                      <w:divsChild>
                        <w:div w:id="1530605205">
                          <w:marLeft w:val="0"/>
                          <w:marRight w:val="0"/>
                          <w:marTop w:val="0"/>
                          <w:marBottom w:val="0"/>
                          <w:divBdr>
                            <w:top w:val="none" w:sz="0" w:space="0" w:color="auto"/>
                            <w:left w:val="none" w:sz="0" w:space="0" w:color="auto"/>
                            <w:bottom w:val="none" w:sz="0" w:space="0" w:color="auto"/>
                            <w:right w:val="none" w:sz="0" w:space="0" w:color="auto"/>
                          </w:divBdr>
                          <w:divsChild>
                            <w:div w:id="54691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86639">
                      <w:marLeft w:val="0"/>
                      <w:marRight w:val="0"/>
                      <w:marTop w:val="0"/>
                      <w:marBottom w:val="0"/>
                      <w:divBdr>
                        <w:top w:val="none" w:sz="0" w:space="0" w:color="auto"/>
                        <w:left w:val="none" w:sz="0" w:space="0" w:color="auto"/>
                        <w:bottom w:val="none" w:sz="0" w:space="0" w:color="auto"/>
                        <w:right w:val="none" w:sz="0" w:space="0" w:color="auto"/>
                      </w:divBdr>
                      <w:divsChild>
                        <w:div w:id="1749182634">
                          <w:marLeft w:val="0"/>
                          <w:marRight w:val="0"/>
                          <w:marTop w:val="0"/>
                          <w:marBottom w:val="0"/>
                          <w:divBdr>
                            <w:top w:val="none" w:sz="0" w:space="0" w:color="auto"/>
                            <w:left w:val="none" w:sz="0" w:space="0" w:color="auto"/>
                            <w:bottom w:val="none" w:sz="0" w:space="0" w:color="auto"/>
                            <w:right w:val="none" w:sz="0" w:space="0" w:color="auto"/>
                          </w:divBdr>
                          <w:divsChild>
                            <w:div w:id="640964370">
                              <w:marLeft w:val="0"/>
                              <w:marRight w:val="0"/>
                              <w:marTop w:val="0"/>
                              <w:marBottom w:val="0"/>
                              <w:divBdr>
                                <w:top w:val="none" w:sz="0" w:space="0" w:color="auto"/>
                                <w:left w:val="none" w:sz="0" w:space="0" w:color="auto"/>
                                <w:bottom w:val="none" w:sz="0" w:space="0" w:color="auto"/>
                                <w:right w:val="none" w:sz="0" w:space="0" w:color="auto"/>
                              </w:divBdr>
                            </w:div>
                          </w:divsChild>
                        </w:div>
                        <w:div w:id="18166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29106">
      <w:bodyDiv w:val="1"/>
      <w:marLeft w:val="0"/>
      <w:marRight w:val="0"/>
      <w:marTop w:val="0"/>
      <w:marBottom w:val="0"/>
      <w:divBdr>
        <w:top w:val="none" w:sz="0" w:space="0" w:color="auto"/>
        <w:left w:val="none" w:sz="0" w:space="0" w:color="auto"/>
        <w:bottom w:val="none" w:sz="0" w:space="0" w:color="auto"/>
        <w:right w:val="none" w:sz="0" w:space="0" w:color="auto"/>
      </w:divBdr>
    </w:div>
    <w:div w:id="1348828865">
      <w:bodyDiv w:val="1"/>
      <w:marLeft w:val="0"/>
      <w:marRight w:val="0"/>
      <w:marTop w:val="0"/>
      <w:marBottom w:val="0"/>
      <w:divBdr>
        <w:top w:val="none" w:sz="0" w:space="0" w:color="auto"/>
        <w:left w:val="none" w:sz="0" w:space="0" w:color="auto"/>
        <w:bottom w:val="none" w:sz="0" w:space="0" w:color="auto"/>
        <w:right w:val="none" w:sz="0" w:space="0" w:color="auto"/>
      </w:divBdr>
    </w:div>
    <w:div w:id="1350566752">
      <w:bodyDiv w:val="1"/>
      <w:marLeft w:val="0"/>
      <w:marRight w:val="0"/>
      <w:marTop w:val="0"/>
      <w:marBottom w:val="0"/>
      <w:divBdr>
        <w:top w:val="none" w:sz="0" w:space="0" w:color="auto"/>
        <w:left w:val="none" w:sz="0" w:space="0" w:color="auto"/>
        <w:bottom w:val="none" w:sz="0" w:space="0" w:color="auto"/>
        <w:right w:val="none" w:sz="0" w:space="0" w:color="auto"/>
      </w:divBdr>
    </w:div>
    <w:div w:id="1351448661">
      <w:bodyDiv w:val="1"/>
      <w:marLeft w:val="0"/>
      <w:marRight w:val="0"/>
      <w:marTop w:val="0"/>
      <w:marBottom w:val="0"/>
      <w:divBdr>
        <w:top w:val="none" w:sz="0" w:space="0" w:color="auto"/>
        <w:left w:val="none" w:sz="0" w:space="0" w:color="auto"/>
        <w:bottom w:val="none" w:sz="0" w:space="0" w:color="auto"/>
        <w:right w:val="none" w:sz="0" w:space="0" w:color="auto"/>
      </w:divBdr>
    </w:div>
    <w:div w:id="1357004035">
      <w:bodyDiv w:val="1"/>
      <w:marLeft w:val="0"/>
      <w:marRight w:val="0"/>
      <w:marTop w:val="0"/>
      <w:marBottom w:val="0"/>
      <w:divBdr>
        <w:top w:val="none" w:sz="0" w:space="0" w:color="auto"/>
        <w:left w:val="none" w:sz="0" w:space="0" w:color="auto"/>
        <w:bottom w:val="none" w:sz="0" w:space="0" w:color="auto"/>
        <w:right w:val="none" w:sz="0" w:space="0" w:color="auto"/>
      </w:divBdr>
    </w:div>
    <w:div w:id="1360274333">
      <w:bodyDiv w:val="1"/>
      <w:marLeft w:val="0"/>
      <w:marRight w:val="0"/>
      <w:marTop w:val="0"/>
      <w:marBottom w:val="0"/>
      <w:divBdr>
        <w:top w:val="none" w:sz="0" w:space="0" w:color="auto"/>
        <w:left w:val="none" w:sz="0" w:space="0" w:color="auto"/>
        <w:bottom w:val="none" w:sz="0" w:space="0" w:color="auto"/>
        <w:right w:val="none" w:sz="0" w:space="0" w:color="auto"/>
      </w:divBdr>
      <w:divsChild>
        <w:div w:id="1840152100">
          <w:marLeft w:val="0"/>
          <w:marRight w:val="0"/>
          <w:marTop w:val="0"/>
          <w:marBottom w:val="0"/>
          <w:divBdr>
            <w:top w:val="none" w:sz="0" w:space="0" w:color="auto"/>
            <w:left w:val="none" w:sz="0" w:space="0" w:color="auto"/>
            <w:bottom w:val="none" w:sz="0" w:space="0" w:color="auto"/>
            <w:right w:val="none" w:sz="0" w:space="0" w:color="auto"/>
          </w:divBdr>
          <w:divsChild>
            <w:div w:id="837228418">
              <w:marLeft w:val="0"/>
              <w:marRight w:val="0"/>
              <w:marTop w:val="0"/>
              <w:marBottom w:val="0"/>
              <w:divBdr>
                <w:top w:val="none" w:sz="0" w:space="0" w:color="auto"/>
                <w:left w:val="none" w:sz="0" w:space="0" w:color="auto"/>
                <w:bottom w:val="none" w:sz="0" w:space="0" w:color="auto"/>
                <w:right w:val="none" w:sz="0" w:space="0" w:color="auto"/>
              </w:divBdr>
              <w:divsChild>
                <w:div w:id="803429767">
                  <w:marLeft w:val="0"/>
                  <w:marRight w:val="0"/>
                  <w:marTop w:val="0"/>
                  <w:marBottom w:val="0"/>
                  <w:divBdr>
                    <w:top w:val="none" w:sz="0" w:space="0" w:color="auto"/>
                    <w:left w:val="none" w:sz="0" w:space="0" w:color="auto"/>
                    <w:bottom w:val="none" w:sz="0" w:space="0" w:color="auto"/>
                    <w:right w:val="none" w:sz="0" w:space="0" w:color="auto"/>
                  </w:divBdr>
                  <w:divsChild>
                    <w:div w:id="261382996">
                      <w:marLeft w:val="0"/>
                      <w:marRight w:val="0"/>
                      <w:marTop w:val="0"/>
                      <w:marBottom w:val="0"/>
                      <w:divBdr>
                        <w:top w:val="none" w:sz="0" w:space="0" w:color="auto"/>
                        <w:left w:val="none" w:sz="0" w:space="0" w:color="auto"/>
                        <w:bottom w:val="none" w:sz="0" w:space="0" w:color="auto"/>
                        <w:right w:val="none" w:sz="0" w:space="0" w:color="auto"/>
                      </w:divBdr>
                      <w:divsChild>
                        <w:div w:id="730202445">
                          <w:marLeft w:val="0"/>
                          <w:marRight w:val="0"/>
                          <w:marTop w:val="0"/>
                          <w:marBottom w:val="0"/>
                          <w:divBdr>
                            <w:top w:val="none" w:sz="0" w:space="0" w:color="auto"/>
                            <w:left w:val="none" w:sz="0" w:space="0" w:color="auto"/>
                            <w:bottom w:val="none" w:sz="0" w:space="0" w:color="auto"/>
                            <w:right w:val="none" w:sz="0" w:space="0" w:color="auto"/>
                          </w:divBdr>
                        </w:div>
                        <w:div w:id="398670639">
                          <w:marLeft w:val="0"/>
                          <w:marRight w:val="0"/>
                          <w:marTop w:val="0"/>
                          <w:marBottom w:val="0"/>
                          <w:divBdr>
                            <w:top w:val="none" w:sz="0" w:space="0" w:color="auto"/>
                            <w:left w:val="none" w:sz="0" w:space="0" w:color="auto"/>
                            <w:bottom w:val="none" w:sz="0" w:space="0" w:color="auto"/>
                            <w:right w:val="none" w:sz="0" w:space="0" w:color="auto"/>
                          </w:divBdr>
                          <w:divsChild>
                            <w:div w:id="18938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5431">
                      <w:marLeft w:val="0"/>
                      <w:marRight w:val="0"/>
                      <w:marTop w:val="300"/>
                      <w:marBottom w:val="0"/>
                      <w:divBdr>
                        <w:top w:val="none" w:sz="0" w:space="0" w:color="auto"/>
                        <w:left w:val="none" w:sz="0" w:space="0" w:color="auto"/>
                        <w:bottom w:val="none" w:sz="0" w:space="0" w:color="auto"/>
                        <w:right w:val="none" w:sz="0" w:space="0" w:color="auto"/>
                      </w:divBdr>
                      <w:divsChild>
                        <w:div w:id="553856699">
                          <w:marLeft w:val="0"/>
                          <w:marRight w:val="0"/>
                          <w:marTop w:val="0"/>
                          <w:marBottom w:val="0"/>
                          <w:divBdr>
                            <w:top w:val="none" w:sz="0" w:space="0" w:color="auto"/>
                            <w:left w:val="none" w:sz="0" w:space="0" w:color="auto"/>
                            <w:bottom w:val="none" w:sz="0" w:space="0" w:color="auto"/>
                            <w:right w:val="none" w:sz="0" w:space="0" w:color="auto"/>
                          </w:divBdr>
                          <w:divsChild>
                            <w:div w:id="11622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78438">
      <w:bodyDiv w:val="1"/>
      <w:marLeft w:val="0"/>
      <w:marRight w:val="0"/>
      <w:marTop w:val="0"/>
      <w:marBottom w:val="0"/>
      <w:divBdr>
        <w:top w:val="none" w:sz="0" w:space="0" w:color="auto"/>
        <w:left w:val="none" w:sz="0" w:space="0" w:color="auto"/>
        <w:bottom w:val="none" w:sz="0" w:space="0" w:color="auto"/>
        <w:right w:val="none" w:sz="0" w:space="0" w:color="auto"/>
      </w:divBdr>
    </w:div>
    <w:div w:id="1370956593">
      <w:bodyDiv w:val="1"/>
      <w:marLeft w:val="0"/>
      <w:marRight w:val="0"/>
      <w:marTop w:val="0"/>
      <w:marBottom w:val="0"/>
      <w:divBdr>
        <w:top w:val="none" w:sz="0" w:space="0" w:color="auto"/>
        <w:left w:val="none" w:sz="0" w:space="0" w:color="auto"/>
        <w:bottom w:val="none" w:sz="0" w:space="0" w:color="auto"/>
        <w:right w:val="none" w:sz="0" w:space="0" w:color="auto"/>
      </w:divBdr>
    </w:div>
    <w:div w:id="1372148269">
      <w:bodyDiv w:val="1"/>
      <w:marLeft w:val="0"/>
      <w:marRight w:val="0"/>
      <w:marTop w:val="0"/>
      <w:marBottom w:val="0"/>
      <w:divBdr>
        <w:top w:val="none" w:sz="0" w:space="0" w:color="auto"/>
        <w:left w:val="none" w:sz="0" w:space="0" w:color="auto"/>
        <w:bottom w:val="none" w:sz="0" w:space="0" w:color="auto"/>
        <w:right w:val="none" w:sz="0" w:space="0" w:color="auto"/>
      </w:divBdr>
    </w:div>
    <w:div w:id="1373581105">
      <w:bodyDiv w:val="1"/>
      <w:marLeft w:val="0"/>
      <w:marRight w:val="0"/>
      <w:marTop w:val="0"/>
      <w:marBottom w:val="0"/>
      <w:divBdr>
        <w:top w:val="none" w:sz="0" w:space="0" w:color="auto"/>
        <w:left w:val="none" w:sz="0" w:space="0" w:color="auto"/>
        <w:bottom w:val="none" w:sz="0" w:space="0" w:color="auto"/>
        <w:right w:val="none" w:sz="0" w:space="0" w:color="auto"/>
      </w:divBdr>
      <w:divsChild>
        <w:div w:id="108666707">
          <w:marLeft w:val="0"/>
          <w:marRight w:val="0"/>
          <w:marTop w:val="0"/>
          <w:marBottom w:val="0"/>
          <w:divBdr>
            <w:top w:val="none" w:sz="0" w:space="0" w:color="auto"/>
            <w:left w:val="none" w:sz="0" w:space="0" w:color="auto"/>
            <w:bottom w:val="none" w:sz="0" w:space="0" w:color="auto"/>
            <w:right w:val="none" w:sz="0" w:space="0" w:color="auto"/>
          </w:divBdr>
          <w:divsChild>
            <w:div w:id="1058362431">
              <w:marLeft w:val="0"/>
              <w:marRight w:val="0"/>
              <w:marTop w:val="0"/>
              <w:marBottom w:val="0"/>
              <w:divBdr>
                <w:top w:val="none" w:sz="0" w:space="0" w:color="auto"/>
                <w:left w:val="none" w:sz="0" w:space="0" w:color="auto"/>
                <w:bottom w:val="none" w:sz="0" w:space="0" w:color="auto"/>
                <w:right w:val="none" w:sz="0" w:space="0" w:color="auto"/>
              </w:divBdr>
              <w:divsChild>
                <w:div w:id="1966614375">
                  <w:marLeft w:val="0"/>
                  <w:marRight w:val="0"/>
                  <w:marTop w:val="0"/>
                  <w:marBottom w:val="0"/>
                  <w:divBdr>
                    <w:top w:val="none" w:sz="0" w:space="0" w:color="auto"/>
                    <w:left w:val="none" w:sz="0" w:space="0" w:color="auto"/>
                    <w:bottom w:val="none" w:sz="0" w:space="0" w:color="auto"/>
                    <w:right w:val="none" w:sz="0" w:space="0" w:color="auto"/>
                  </w:divBdr>
                  <w:divsChild>
                    <w:div w:id="528226190">
                      <w:marLeft w:val="0"/>
                      <w:marRight w:val="0"/>
                      <w:marTop w:val="0"/>
                      <w:marBottom w:val="0"/>
                      <w:divBdr>
                        <w:top w:val="none" w:sz="0" w:space="0" w:color="auto"/>
                        <w:left w:val="none" w:sz="0" w:space="0" w:color="auto"/>
                        <w:bottom w:val="none" w:sz="0" w:space="0" w:color="auto"/>
                        <w:right w:val="none" w:sz="0" w:space="0" w:color="auto"/>
                      </w:divBdr>
                      <w:divsChild>
                        <w:div w:id="970597092">
                          <w:marLeft w:val="0"/>
                          <w:marRight w:val="0"/>
                          <w:marTop w:val="0"/>
                          <w:marBottom w:val="0"/>
                          <w:divBdr>
                            <w:top w:val="none" w:sz="0" w:space="0" w:color="auto"/>
                            <w:left w:val="none" w:sz="0" w:space="0" w:color="auto"/>
                            <w:bottom w:val="none" w:sz="0" w:space="0" w:color="auto"/>
                            <w:right w:val="none" w:sz="0" w:space="0" w:color="auto"/>
                          </w:divBdr>
                        </w:div>
                        <w:div w:id="175775807">
                          <w:marLeft w:val="0"/>
                          <w:marRight w:val="0"/>
                          <w:marTop w:val="0"/>
                          <w:marBottom w:val="0"/>
                          <w:divBdr>
                            <w:top w:val="none" w:sz="0" w:space="0" w:color="auto"/>
                            <w:left w:val="none" w:sz="0" w:space="0" w:color="auto"/>
                            <w:bottom w:val="none" w:sz="0" w:space="0" w:color="auto"/>
                            <w:right w:val="none" w:sz="0" w:space="0" w:color="auto"/>
                          </w:divBdr>
                          <w:divsChild>
                            <w:div w:id="685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7007">
                      <w:marLeft w:val="0"/>
                      <w:marRight w:val="0"/>
                      <w:marTop w:val="150"/>
                      <w:marBottom w:val="150"/>
                      <w:divBdr>
                        <w:top w:val="none" w:sz="0" w:space="0" w:color="auto"/>
                        <w:left w:val="none" w:sz="0" w:space="0" w:color="auto"/>
                        <w:bottom w:val="none" w:sz="0" w:space="0" w:color="auto"/>
                        <w:right w:val="none" w:sz="0" w:space="0" w:color="auto"/>
                      </w:divBdr>
                      <w:divsChild>
                        <w:div w:id="516503923">
                          <w:marLeft w:val="0"/>
                          <w:marRight w:val="0"/>
                          <w:marTop w:val="0"/>
                          <w:marBottom w:val="0"/>
                          <w:divBdr>
                            <w:top w:val="none" w:sz="0" w:space="0" w:color="auto"/>
                            <w:left w:val="none" w:sz="0" w:space="0" w:color="auto"/>
                            <w:bottom w:val="none" w:sz="0" w:space="0" w:color="auto"/>
                            <w:right w:val="none" w:sz="0" w:space="0" w:color="auto"/>
                          </w:divBdr>
                        </w:div>
                        <w:div w:id="724334881">
                          <w:marLeft w:val="0"/>
                          <w:marRight w:val="0"/>
                          <w:marTop w:val="0"/>
                          <w:marBottom w:val="0"/>
                          <w:divBdr>
                            <w:top w:val="none" w:sz="0" w:space="0" w:color="auto"/>
                            <w:left w:val="none" w:sz="0" w:space="0" w:color="auto"/>
                            <w:bottom w:val="none" w:sz="0" w:space="0" w:color="auto"/>
                            <w:right w:val="none" w:sz="0" w:space="0" w:color="auto"/>
                          </w:divBdr>
                          <w:divsChild>
                            <w:div w:id="1225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5942">
                      <w:marLeft w:val="0"/>
                      <w:marRight w:val="0"/>
                      <w:marTop w:val="300"/>
                      <w:marBottom w:val="0"/>
                      <w:divBdr>
                        <w:top w:val="none" w:sz="0" w:space="0" w:color="auto"/>
                        <w:left w:val="none" w:sz="0" w:space="0" w:color="auto"/>
                        <w:bottom w:val="none" w:sz="0" w:space="0" w:color="auto"/>
                        <w:right w:val="none" w:sz="0" w:space="0" w:color="auto"/>
                      </w:divBdr>
                      <w:divsChild>
                        <w:div w:id="673801005">
                          <w:marLeft w:val="0"/>
                          <w:marRight w:val="0"/>
                          <w:marTop w:val="0"/>
                          <w:marBottom w:val="0"/>
                          <w:divBdr>
                            <w:top w:val="none" w:sz="0" w:space="0" w:color="auto"/>
                            <w:left w:val="none" w:sz="0" w:space="0" w:color="auto"/>
                            <w:bottom w:val="none" w:sz="0" w:space="0" w:color="auto"/>
                            <w:right w:val="none" w:sz="0" w:space="0" w:color="auto"/>
                          </w:divBdr>
                          <w:divsChild>
                            <w:div w:id="3389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18174">
      <w:bodyDiv w:val="1"/>
      <w:marLeft w:val="0"/>
      <w:marRight w:val="0"/>
      <w:marTop w:val="0"/>
      <w:marBottom w:val="0"/>
      <w:divBdr>
        <w:top w:val="none" w:sz="0" w:space="0" w:color="auto"/>
        <w:left w:val="none" w:sz="0" w:space="0" w:color="auto"/>
        <w:bottom w:val="none" w:sz="0" w:space="0" w:color="auto"/>
        <w:right w:val="none" w:sz="0" w:space="0" w:color="auto"/>
      </w:divBdr>
    </w:div>
    <w:div w:id="1375232954">
      <w:bodyDiv w:val="1"/>
      <w:marLeft w:val="0"/>
      <w:marRight w:val="0"/>
      <w:marTop w:val="0"/>
      <w:marBottom w:val="0"/>
      <w:divBdr>
        <w:top w:val="none" w:sz="0" w:space="0" w:color="auto"/>
        <w:left w:val="none" w:sz="0" w:space="0" w:color="auto"/>
        <w:bottom w:val="none" w:sz="0" w:space="0" w:color="auto"/>
        <w:right w:val="none" w:sz="0" w:space="0" w:color="auto"/>
      </w:divBdr>
      <w:divsChild>
        <w:div w:id="425611188">
          <w:marLeft w:val="0"/>
          <w:marRight w:val="0"/>
          <w:marTop w:val="0"/>
          <w:marBottom w:val="0"/>
          <w:divBdr>
            <w:top w:val="none" w:sz="0" w:space="0" w:color="auto"/>
            <w:left w:val="none" w:sz="0" w:space="0" w:color="auto"/>
            <w:bottom w:val="none" w:sz="0" w:space="0" w:color="auto"/>
            <w:right w:val="none" w:sz="0" w:space="0" w:color="auto"/>
          </w:divBdr>
          <w:divsChild>
            <w:div w:id="1264654762">
              <w:marLeft w:val="0"/>
              <w:marRight w:val="0"/>
              <w:marTop w:val="0"/>
              <w:marBottom w:val="0"/>
              <w:divBdr>
                <w:top w:val="none" w:sz="0" w:space="0" w:color="auto"/>
                <w:left w:val="none" w:sz="0" w:space="0" w:color="auto"/>
                <w:bottom w:val="none" w:sz="0" w:space="0" w:color="auto"/>
                <w:right w:val="none" w:sz="0" w:space="0" w:color="auto"/>
              </w:divBdr>
              <w:divsChild>
                <w:div w:id="276497490">
                  <w:marLeft w:val="0"/>
                  <w:marRight w:val="0"/>
                  <w:marTop w:val="0"/>
                  <w:marBottom w:val="0"/>
                  <w:divBdr>
                    <w:top w:val="none" w:sz="0" w:space="0" w:color="auto"/>
                    <w:left w:val="none" w:sz="0" w:space="0" w:color="auto"/>
                    <w:bottom w:val="none" w:sz="0" w:space="0" w:color="auto"/>
                    <w:right w:val="none" w:sz="0" w:space="0" w:color="auto"/>
                  </w:divBdr>
                  <w:divsChild>
                    <w:div w:id="620184774">
                      <w:marLeft w:val="0"/>
                      <w:marRight w:val="0"/>
                      <w:marTop w:val="0"/>
                      <w:marBottom w:val="0"/>
                      <w:divBdr>
                        <w:top w:val="none" w:sz="0" w:space="0" w:color="auto"/>
                        <w:left w:val="none" w:sz="0" w:space="0" w:color="auto"/>
                        <w:bottom w:val="none" w:sz="0" w:space="0" w:color="auto"/>
                        <w:right w:val="none" w:sz="0" w:space="0" w:color="auto"/>
                      </w:divBdr>
                      <w:divsChild>
                        <w:div w:id="850144737">
                          <w:marLeft w:val="0"/>
                          <w:marRight w:val="0"/>
                          <w:marTop w:val="0"/>
                          <w:marBottom w:val="225"/>
                          <w:divBdr>
                            <w:top w:val="none" w:sz="0" w:space="0" w:color="auto"/>
                            <w:left w:val="none" w:sz="0" w:space="0" w:color="auto"/>
                            <w:bottom w:val="none" w:sz="0" w:space="0" w:color="auto"/>
                            <w:right w:val="none" w:sz="0" w:space="0" w:color="auto"/>
                          </w:divBdr>
                          <w:divsChild>
                            <w:div w:id="989405111">
                              <w:marLeft w:val="0"/>
                              <w:marRight w:val="0"/>
                              <w:marTop w:val="0"/>
                              <w:marBottom w:val="0"/>
                              <w:divBdr>
                                <w:top w:val="none" w:sz="0" w:space="0" w:color="auto"/>
                                <w:left w:val="none" w:sz="0" w:space="0" w:color="auto"/>
                                <w:bottom w:val="none" w:sz="0" w:space="0" w:color="auto"/>
                                <w:right w:val="none" w:sz="0" w:space="0" w:color="auto"/>
                              </w:divBdr>
                            </w:div>
                          </w:divsChild>
                        </w:div>
                        <w:div w:id="1058745499">
                          <w:marLeft w:val="0"/>
                          <w:marRight w:val="0"/>
                          <w:marTop w:val="0"/>
                          <w:marBottom w:val="0"/>
                          <w:divBdr>
                            <w:top w:val="none" w:sz="0" w:space="0" w:color="auto"/>
                            <w:left w:val="none" w:sz="0" w:space="0" w:color="auto"/>
                            <w:bottom w:val="none" w:sz="0" w:space="0" w:color="auto"/>
                            <w:right w:val="none" w:sz="0" w:space="0" w:color="auto"/>
                          </w:divBdr>
                        </w:div>
                      </w:divsChild>
                    </w:div>
                    <w:div w:id="632029515">
                      <w:marLeft w:val="0"/>
                      <w:marRight w:val="0"/>
                      <w:marTop w:val="300"/>
                      <w:marBottom w:val="0"/>
                      <w:divBdr>
                        <w:top w:val="none" w:sz="0" w:space="0" w:color="auto"/>
                        <w:left w:val="none" w:sz="0" w:space="0" w:color="auto"/>
                        <w:bottom w:val="none" w:sz="0" w:space="0" w:color="auto"/>
                        <w:right w:val="none" w:sz="0" w:space="0" w:color="auto"/>
                      </w:divBdr>
                      <w:divsChild>
                        <w:div w:id="1318340814">
                          <w:marLeft w:val="0"/>
                          <w:marRight w:val="0"/>
                          <w:marTop w:val="0"/>
                          <w:marBottom w:val="225"/>
                          <w:divBdr>
                            <w:top w:val="none" w:sz="0" w:space="0" w:color="auto"/>
                            <w:left w:val="none" w:sz="0" w:space="0" w:color="auto"/>
                            <w:bottom w:val="none" w:sz="0" w:space="0" w:color="auto"/>
                            <w:right w:val="none" w:sz="0" w:space="0" w:color="auto"/>
                          </w:divBdr>
                          <w:divsChild>
                            <w:div w:id="15348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68655">
                      <w:marLeft w:val="0"/>
                      <w:marRight w:val="0"/>
                      <w:marTop w:val="150"/>
                      <w:marBottom w:val="150"/>
                      <w:divBdr>
                        <w:top w:val="none" w:sz="0" w:space="0" w:color="auto"/>
                        <w:left w:val="none" w:sz="0" w:space="0" w:color="auto"/>
                        <w:bottom w:val="none" w:sz="0" w:space="0" w:color="auto"/>
                        <w:right w:val="none" w:sz="0" w:space="0" w:color="auto"/>
                      </w:divBdr>
                      <w:divsChild>
                        <w:div w:id="71662003">
                          <w:marLeft w:val="0"/>
                          <w:marRight w:val="0"/>
                          <w:marTop w:val="0"/>
                          <w:marBottom w:val="0"/>
                          <w:divBdr>
                            <w:top w:val="none" w:sz="0" w:space="0" w:color="auto"/>
                            <w:left w:val="none" w:sz="0" w:space="0" w:color="auto"/>
                            <w:bottom w:val="none" w:sz="0" w:space="0" w:color="auto"/>
                            <w:right w:val="none" w:sz="0" w:space="0" w:color="auto"/>
                          </w:divBdr>
                        </w:div>
                        <w:div w:id="521362790">
                          <w:marLeft w:val="0"/>
                          <w:marRight w:val="0"/>
                          <w:marTop w:val="0"/>
                          <w:marBottom w:val="225"/>
                          <w:divBdr>
                            <w:top w:val="none" w:sz="0" w:space="0" w:color="auto"/>
                            <w:left w:val="none" w:sz="0" w:space="0" w:color="auto"/>
                            <w:bottom w:val="none" w:sz="0" w:space="0" w:color="auto"/>
                            <w:right w:val="none" w:sz="0" w:space="0" w:color="auto"/>
                          </w:divBdr>
                          <w:divsChild>
                            <w:div w:id="17844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3598">
                      <w:marLeft w:val="0"/>
                      <w:marRight w:val="0"/>
                      <w:marTop w:val="0"/>
                      <w:marBottom w:val="0"/>
                      <w:divBdr>
                        <w:top w:val="none" w:sz="0" w:space="0" w:color="auto"/>
                        <w:left w:val="none" w:sz="0" w:space="0" w:color="auto"/>
                        <w:bottom w:val="none" w:sz="0" w:space="0" w:color="auto"/>
                        <w:right w:val="none" w:sz="0" w:space="0" w:color="auto"/>
                      </w:divBdr>
                      <w:divsChild>
                        <w:div w:id="343820168">
                          <w:marLeft w:val="0"/>
                          <w:marRight w:val="0"/>
                          <w:marTop w:val="0"/>
                          <w:marBottom w:val="0"/>
                          <w:divBdr>
                            <w:top w:val="none" w:sz="0" w:space="0" w:color="auto"/>
                            <w:left w:val="none" w:sz="0" w:space="0" w:color="auto"/>
                            <w:bottom w:val="none" w:sz="0" w:space="0" w:color="auto"/>
                            <w:right w:val="none" w:sz="0" w:space="0" w:color="auto"/>
                          </w:divBdr>
                        </w:div>
                        <w:div w:id="495000813">
                          <w:marLeft w:val="0"/>
                          <w:marRight w:val="0"/>
                          <w:marTop w:val="0"/>
                          <w:marBottom w:val="225"/>
                          <w:divBdr>
                            <w:top w:val="none" w:sz="0" w:space="0" w:color="auto"/>
                            <w:left w:val="none" w:sz="0" w:space="0" w:color="auto"/>
                            <w:bottom w:val="none" w:sz="0" w:space="0" w:color="auto"/>
                            <w:right w:val="none" w:sz="0" w:space="0" w:color="auto"/>
                          </w:divBdr>
                          <w:divsChild>
                            <w:div w:id="236328091">
                              <w:marLeft w:val="0"/>
                              <w:marRight w:val="0"/>
                              <w:marTop w:val="0"/>
                              <w:marBottom w:val="0"/>
                              <w:divBdr>
                                <w:top w:val="none" w:sz="0" w:space="0" w:color="auto"/>
                                <w:left w:val="none" w:sz="0" w:space="0" w:color="auto"/>
                                <w:bottom w:val="none" w:sz="0" w:space="0" w:color="auto"/>
                                <w:right w:val="none" w:sz="0" w:space="0" w:color="auto"/>
                              </w:divBdr>
                            </w:div>
                            <w:div w:id="340548375">
                              <w:marLeft w:val="0"/>
                              <w:marRight w:val="0"/>
                              <w:marTop w:val="0"/>
                              <w:marBottom w:val="0"/>
                              <w:divBdr>
                                <w:top w:val="none" w:sz="0" w:space="0" w:color="auto"/>
                                <w:left w:val="none" w:sz="0" w:space="0" w:color="auto"/>
                                <w:bottom w:val="none" w:sz="0" w:space="0" w:color="auto"/>
                                <w:right w:val="none" w:sz="0" w:space="0" w:color="auto"/>
                              </w:divBdr>
                            </w:div>
                            <w:div w:id="12598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1928">
                      <w:marLeft w:val="0"/>
                      <w:marRight w:val="0"/>
                      <w:marTop w:val="0"/>
                      <w:marBottom w:val="0"/>
                      <w:divBdr>
                        <w:top w:val="none" w:sz="0" w:space="0" w:color="auto"/>
                        <w:left w:val="none" w:sz="0" w:space="0" w:color="auto"/>
                        <w:bottom w:val="none" w:sz="0" w:space="0" w:color="auto"/>
                        <w:right w:val="none" w:sz="0" w:space="0" w:color="auto"/>
                      </w:divBdr>
                      <w:divsChild>
                        <w:div w:id="1377969466">
                          <w:marLeft w:val="0"/>
                          <w:marRight w:val="0"/>
                          <w:marTop w:val="0"/>
                          <w:marBottom w:val="225"/>
                          <w:divBdr>
                            <w:top w:val="none" w:sz="0" w:space="0" w:color="auto"/>
                            <w:left w:val="none" w:sz="0" w:space="0" w:color="auto"/>
                            <w:bottom w:val="none" w:sz="0" w:space="0" w:color="auto"/>
                            <w:right w:val="none" w:sz="0" w:space="0" w:color="auto"/>
                          </w:divBdr>
                          <w:divsChild>
                            <w:div w:id="602231489">
                              <w:marLeft w:val="0"/>
                              <w:marRight w:val="0"/>
                              <w:marTop w:val="0"/>
                              <w:marBottom w:val="0"/>
                              <w:divBdr>
                                <w:top w:val="none" w:sz="0" w:space="0" w:color="auto"/>
                                <w:left w:val="none" w:sz="0" w:space="0" w:color="auto"/>
                                <w:bottom w:val="none" w:sz="0" w:space="0" w:color="auto"/>
                                <w:right w:val="none" w:sz="0" w:space="0" w:color="auto"/>
                              </w:divBdr>
                            </w:div>
                          </w:divsChild>
                        </w:div>
                        <w:div w:id="1619024650">
                          <w:marLeft w:val="0"/>
                          <w:marRight w:val="0"/>
                          <w:marTop w:val="0"/>
                          <w:marBottom w:val="0"/>
                          <w:divBdr>
                            <w:top w:val="none" w:sz="0" w:space="0" w:color="auto"/>
                            <w:left w:val="none" w:sz="0" w:space="0" w:color="auto"/>
                            <w:bottom w:val="none" w:sz="0" w:space="0" w:color="auto"/>
                            <w:right w:val="none" w:sz="0" w:space="0" w:color="auto"/>
                          </w:divBdr>
                        </w:div>
                      </w:divsChild>
                    </w:div>
                    <w:div w:id="1810513787">
                      <w:marLeft w:val="0"/>
                      <w:marRight w:val="0"/>
                      <w:marTop w:val="0"/>
                      <w:marBottom w:val="0"/>
                      <w:divBdr>
                        <w:top w:val="none" w:sz="0" w:space="0" w:color="auto"/>
                        <w:left w:val="none" w:sz="0" w:space="0" w:color="auto"/>
                        <w:bottom w:val="none" w:sz="0" w:space="0" w:color="auto"/>
                        <w:right w:val="none" w:sz="0" w:space="0" w:color="auto"/>
                      </w:divBdr>
                      <w:divsChild>
                        <w:div w:id="1998923401">
                          <w:marLeft w:val="0"/>
                          <w:marRight w:val="0"/>
                          <w:marTop w:val="0"/>
                          <w:marBottom w:val="225"/>
                          <w:divBdr>
                            <w:top w:val="none" w:sz="0" w:space="0" w:color="auto"/>
                            <w:left w:val="none" w:sz="0" w:space="0" w:color="auto"/>
                            <w:bottom w:val="none" w:sz="0" w:space="0" w:color="auto"/>
                            <w:right w:val="none" w:sz="0" w:space="0" w:color="auto"/>
                          </w:divBdr>
                          <w:divsChild>
                            <w:div w:id="733311534">
                              <w:marLeft w:val="0"/>
                              <w:marRight w:val="0"/>
                              <w:marTop w:val="0"/>
                              <w:marBottom w:val="0"/>
                              <w:divBdr>
                                <w:top w:val="none" w:sz="0" w:space="0" w:color="auto"/>
                                <w:left w:val="none" w:sz="0" w:space="0" w:color="auto"/>
                                <w:bottom w:val="none" w:sz="0" w:space="0" w:color="auto"/>
                                <w:right w:val="none" w:sz="0" w:space="0" w:color="auto"/>
                              </w:divBdr>
                              <w:divsChild>
                                <w:div w:id="996032995">
                                  <w:marLeft w:val="0"/>
                                  <w:marRight w:val="0"/>
                                  <w:marTop w:val="0"/>
                                  <w:marBottom w:val="0"/>
                                  <w:divBdr>
                                    <w:top w:val="none" w:sz="0" w:space="0" w:color="auto"/>
                                    <w:left w:val="none" w:sz="0" w:space="0" w:color="auto"/>
                                    <w:bottom w:val="none" w:sz="0" w:space="0" w:color="auto"/>
                                    <w:right w:val="none" w:sz="0" w:space="0" w:color="auto"/>
                                  </w:divBdr>
                                  <w:divsChild>
                                    <w:div w:id="1511791182">
                                      <w:marLeft w:val="0"/>
                                      <w:marRight w:val="0"/>
                                      <w:marTop w:val="0"/>
                                      <w:marBottom w:val="0"/>
                                      <w:divBdr>
                                        <w:top w:val="none" w:sz="0" w:space="0" w:color="auto"/>
                                        <w:left w:val="none" w:sz="0" w:space="0" w:color="auto"/>
                                        <w:bottom w:val="none" w:sz="0" w:space="0" w:color="auto"/>
                                        <w:right w:val="none" w:sz="0" w:space="0" w:color="auto"/>
                                      </w:divBdr>
                                      <w:divsChild>
                                        <w:div w:id="13894563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118713">
      <w:bodyDiv w:val="1"/>
      <w:marLeft w:val="0"/>
      <w:marRight w:val="0"/>
      <w:marTop w:val="0"/>
      <w:marBottom w:val="0"/>
      <w:divBdr>
        <w:top w:val="none" w:sz="0" w:space="0" w:color="auto"/>
        <w:left w:val="none" w:sz="0" w:space="0" w:color="auto"/>
        <w:bottom w:val="none" w:sz="0" w:space="0" w:color="auto"/>
        <w:right w:val="none" w:sz="0" w:space="0" w:color="auto"/>
      </w:divBdr>
    </w:div>
    <w:div w:id="1378430249">
      <w:bodyDiv w:val="1"/>
      <w:marLeft w:val="0"/>
      <w:marRight w:val="0"/>
      <w:marTop w:val="0"/>
      <w:marBottom w:val="0"/>
      <w:divBdr>
        <w:top w:val="none" w:sz="0" w:space="0" w:color="auto"/>
        <w:left w:val="none" w:sz="0" w:space="0" w:color="auto"/>
        <w:bottom w:val="none" w:sz="0" w:space="0" w:color="auto"/>
        <w:right w:val="none" w:sz="0" w:space="0" w:color="auto"/>
      </w:divBdr>
    </w:div>
    <w:div w:id="1378550719">
      <w:bodyDiv w:val="1"/>
      <w:marLeft w:val="0"/>
      <w:marRight w:val="0"/>
      <w:marTop w:val="0"/>
      <w:marBottom w:val="0"/>
      <w:divBdr>
        <w:top w:val="none" w:sz="0" w:space="0" w:color="auto"/>
        <w:left w:val="none" w:sz="0" w:space="0" w:color="auto"/>
        <w:bottom w:val="none" w:sz="0" w:space="0" w:color="auto"/>
        <w:right w:val="none" w:sz="0" w:space="0" w:color="auto"/>
      </w:divBdr>
    </w:div>
    <w:div w:id="1382246955">
      <w:bodyDiv w:val="1"/>
      <w:marLeft w:val="0"/>
      <w:marRight w:val="0"/>
      <w:marTop w:val="0"/>
      <w:marBottom w:val="0"/>
      <w:divBdr>
        <w:top w:val="none" w:sz="0" w:space="0" w:color="auto"/>
        <w:left w:val="none" w:sz="0" w:space="0" w:color="auto"/>
        <w:bottom w:val="none" w:sz="0" w:space="0" w:color="auto"/>
        <w:right w:val="none" w:sz="0" w:space="0" w:color="auto"/>
      </w:divBdr>
      <w:divsChild>
        <w:div w:id="1197692435">
          <w:marLeft w:val="0"/>
          <w:marRight w:val="0"/>
          <w:marTop w:val="0"/>
          <w:marBottom w:val="390"/>
          <w:divBdr>
            <w:top w:val="none" w:sz="0" w:space="0" w:color="auto"/>
            <w:left w:val="none" w:sz="0" w:space="0" w:color="auto"/>
            <w:bottom w:val="none" w:sz="0" w:space="0" w:color="auto"/>
            <w:right w:val="none" w:sz="0" w:space="0" w:color="auto"/>
          </w:divBdr>
          <w:divsChild>
            <w:div w:id="80883320">
              <w:marLeft w:val="0"/>
              <w:marRight w:val="0"/>
              <w:marTop w:val="0"/>
              <w:marBottom w:val="0"/>
              <w:divBdr>
                <w:top w:val="none" w:sz="0" w:space="0" w:color="auto"/>
                <w:left w:val="none" w:sz="0" w:space="0" w:color="auto"/>
                <w:bottom w:val="none" w:sz="0" w:space="0" w:color="auto"/>
                <w:right w:val="none" w:sz="0" w:space="0" w:color="auto"/>
              </w:divBdr>
              <w:divsChild>
                <w:div w:id="1394084441">
                  <w:marLeft w:val="0"/>
                  <w:marRight w:val="0"/>
                  <w:marTop w:val="0"/>
                  <w:marBottom w:val="0"/>
                  <w:divBdr>
                    <w:top w:val="none" w:sz="0" w:space="0" w:color="auto"/>
                    <w:left w:val="none" w:sz="0" w:space="0" w:color="auto"/>
                    <w:bottom w:val="none" w:sz="0" w:space="0" w:color="auto"/>
                    <w:right w:val="none" w:sz="0" w:space="0" w:color="auto"/>
                  </w:divBdr>
                  <w:divsChild>
                    <w:div w:id="1552885758">
                      <w:marLeft w:val="0"/>
                      <w:marRight w:val="0"/>
                      <w:marTop w:val="0"/>
                      <w:marBottom w:val="0"/>
                      <w:divBdr>
                        <w:top w:val="none" w:sz="0" w:space="0" w:color="auto"/>
                        <w:left w:val="none" w:sz="0" w:space="0" w:color="auto"/>
                        <w:bottom w:val="none" w:sz="0" w:space="0" w:color="auto"/>
                        <w:right w:val="none" w:sz="0" w:space="0" w:color="auto"/>
                      </w:divBdr>
                      <w:divsChild>
                        <w:div w:id="188154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597247">
      <w:bodyDiv w:val="1"/>
      <w:marLeft w:val="0"/>
      <w:marRight w:val="0"/>
      <w:marTop w:val="0"/>
      <w:marBottom w:val="0"/>
      <w:divBdr>
        <w:top w:val="none" w:sz="0" w:space="0" w:color="auto"/>
        <w:left w:val="none" w:sz="0" w:space="0" w:color="auto"/>
        <w:bottom w:val="none" w:sz="0" w:space="0" w:color="auto"/>
        <w:right w:val="none" w:sz="0" w:space="0" w:color="auto"/>
      </w:divBdr>
    </w:div>
    <w:div w:id="1404793628">
      <w:bodyDiv w:val="1"/>
      <w:marLeft w:val="0"/>
      <w:marRight w:val="0"/>
      <w:marTop w:val="0"/>
      <w:marBottom w:val="0"/>
      <w:divBdr>
        <w:top w:val="none" w:sz="0" w:space="0" w:color="auto"/>
        <w:left w:val="none" w:sz="0" w:space="0" w:color="auto"/>
        <w:bottom w:val="none" w:sz="0" w:space="0" w:color="auto"/>
        <w:right w:val="none" w:sz="0" w:space="0" w:color="auto"/>
      </w:divBdr>
      <w:divsChild>
        <w:div w:id="1710952121">
          <w:marLeft w:val="0"/>
          <w:marRight w:val="0"/>
          <w:marTop w:val="0"/>
          <w:marBottom w:val="0"/>
          <w:divBdr>
            <w:top w:val="none" w:sz="0" w:space="0" w:color="auto"/>
            <w:left w:val="none" w:sz="0" w:space="0" w:color="auto"/>
            <w:bottom w:val="none" w:sz="0" w:space="0" w:color="auto"/>
            <w:right w:val="none" w:sz="0" w:space="0" w:color="auto"/>
          </w:divBdr>
        </w:div>
      </w:divsChild>
    </w:div>
    <w:div w:id="1408840558">
      <w:bodyDiv w:val="1"/>
      <w:marLeft w:val="0"/>
      <w:marRight w:val="0"/>
      <w:marTop w:val="0"/>
      <w:marBottom w:val="0"/>
      <w:divBdr>
        <w:top w:val="none" w:sz="0" w:space="0" w:color="auto"/>
        <w:left w:val="none" w:sz="0" w:space="0" w:color="auto"/>
        <w:bottom w:val="none" w:sz="0" w:space="0" w:color="auto"/>
        <w:right w:val="none" w:sz="0" w:space="0" w:color="auto"/>
      </w:divBdr>
    </w:div>
    <w:div w:id="1409762697">
      <w:bodyDiv w:val="1"/>
      <w:marLeft w:val="0"/>
      <w:marRight w:val="0"/>
      <w:marTop w:val="0"/>
      <w:marBottom w:val="0"/>
      <w:divBdr>
        <w:top w:val="none" w:sz="0" w:space="0" w:color="auto"/>
        <w:left w:val="none" w:sz="0" w:space="0" w:color="auto"/>
        <w:bottom w:val="none" w:sz="0" w:space="0" w:color="auto"/>
        <w:right w:val="none" w:sz="0" w:space="0" w:color="auto"/>
      </w:divBdr>
    </w:div>
    <w:div w:id="1421294810">
      <w:bodyDiv w:val="1"/>
      <w:marLeft w:val="0"/>
      <w:marRight w:val="0"/>
      <w:marTop w:val="0"/>
      <w:marBottom w:val="0"/>
      <w:divBdr>
        <w:top w:val="none" w:sz="0" w:space="0" w:color="auto"/>
        <w:left w:val="none" w:sz="0" w:space="0" w:color="auto"/>
        <w:bottom w:val="none" w:sz="0" w:space="0" w:color="auto"/>
        <w:right w:val="none" w:sz="0" w:space="0" w:color="auto"/>
      </w:divBdr>
    </w:div>
    <w:div w:id="1422725311">
      <w:bodyDiv w:val="1"/>
      <w:marLeft w:val="0"/>
      <w:marRight w:val="0"/>
      <w:marTop w:val="0"/>
      <w:marBottom w:val="0"/>
      <w:divBdr>
        <w:top w:val="none" w:sz="0" w:space="0" w:color="auto"/>
        <w:left w:val="none" w:sz="0" w:space="0" w:color="auto"/>
        <w:bottom w:val="none" w:sz="0" w:space="0" w:color="auto"/>
        <w:right w:val="none" w:sz="0" w:space="0" w:color="auto"/>
      </w:divBdr>
    </w:div>
    <w:div w:id="1425300978">
      <w:bodyDiv w:val="1"/>
      <w:marLeft w:val="0"/>
      <w:marRight w:val="0"/>
      <w:marTop w:val="0"/>
      <w:marBottom w:val="0"/>
      <w:divBdr>
        <w:top w:val="none" w:sz="0" w:space="0" w:color="auto"/>
        <w:left w:val="none" w:sz="0" w:space="0" w:color="auto"/>
        <w:bottom w:val="none" w:sz="0" w:space="0" w:color="auto"/>
        <w:right w:val="none" w:sz="0" w:space="0" w:color="auto"/>
      </w:divBdr>
    </w:div>
    <w:div w:id="1426534288">
      <w:bodyDiv w:val="1"/>
      <w:marLeft w:val="0"/>
      <w:marRight w:val="0"/>
      <w:marTop w:val="0"/>
      <w:marBottom w:val="0"/>
      <w:divBdr>
        <w:top w:val="none" w:sz="0" w:space="0" w:color="auto"/>
        <w:left w:val="none" w:sz="0" w:space="0" w:color="auto"/>
        <w:bottom w:val="none" w:sz="0" w:space="0" w:color="auto"/>
        <w:right w:val="none" w:sz="0" w:space="0" w:color="auto"/>
      </w:divBdr>
    </w:div>
    <w:div w:id="1440418370">
      <w:bodyDiv w:val="1"/>
      <w:marLeft w:val="0"/>
      <w:marRight w:val="0"/>
      <w:marTop w:val="0"/>
      <w:marBottom w:val="0"/>
      <w:divBdr>
        <w:top w:val="none" w:sz="0" w:space="0" w:color="auto"/>
        <w:left w:val="none" w:sz="0" w:space="0" w:color="auto"/>
        <w:bottom w:val="none" w:sz="0" w:space="0" w:color="auto"/>
        <w:right w:val="none" w:sz="0" w:space="0" w:color="auto"/>
      </w:divBdr>
      <w:divsChild>
        <w:div w:id="1853569821">
          <w:marLeft w:val="0"/>
          <w:marRight w:val="0"/>
          <w:marTop w:val="0"/>
          <w:marBottom w:val="0"/>
          <w:divBdr>
            <w:top w:val="none" w:sz="0" w:space="0" w:color="auto"/>
            <w:left w:val="none" w:sz="0" w:space="0" w:color="auto"/>
            <w:bottom w:val="none" w:sz="0" w:space="0" w:color="auto"/>
            <w:right w:val="none" w:sz="0" w:space="0" w:color="auto"/>
          </w:divBdr>
          <w:divsChild>
            <w:div w:id="1645813978">
              <w:marLeft w:val="0"/>
              <w:marRight w:val="0"/>
              <w:marTop w:val="0"/>
              <w:marBottom w:val="0"/>
              <w:divBdr>
                <w:top w:val="none" w:sz="0" w:space="0" w:color="auto"/>
                <w:left w:val="none" w:sz="0" w:space="0" w:color="auto"/>
                <w:bottom w:val="none" w:sz="0" w:space="0" w:color="auto"/>
                <w:right w:val="none" w:sz="0" w:space="0" w:color="auto"/>
              </w:divBdr>
              <w:divsChild>
                <w:div w:id="174803255">
                  <w:marLeft w:val="0"/>
                  <w:marRight w:val="0"/>
                  <w:marTop w:val="0"/>
                  <w:marBottom w:val="0"/>
                  <w:divBdr>
                    <w:top w:val="none" w:sz="0" w:space="0" w:color="auto"/>
                    <w:left w:val="none" w:sz="0" w:space="0" w:color="auto"/>
                    <w:bottom w:val="none" w:sz="0" w:space="0" w:color="auto"/>
                    <w:right w:val="none" w:sz="0" w:space="0" w:color="auto"/>
                  </w:divBdr>
                  <w:divsChild>
                    <w:div w:id="1340355708">
                      <w:marLeft w:val="0"/>
                      <w:marRight w:val="0"/>
                      <w:marTop w:val="300"/>
                      <w:marBottom w:val="0"/>
                      <w:divBdr>
                        <w:top w:val="none" w:sz="0" w:space="0" w:color="auto"/>
                        <w:left w:val="none" w:sz="0" w:space="0" w:color="auto"/>
                        <w:bottom w:val="none" w:sz="0" w:space="0" w:color="auto"/>
                        <w:right w:val="none" w:sz="0" w:space="0" w:color="auto"/>
                      </w:divBdr>
                      <w:divsChild>
                        <w:div w:id="1463034701">
                          <w:marLeft w:val="0"/>
                          <w:marRight w:val="0"/>
                          <w:marTop w:val="0"/>
                          <w:marBottom w:val="0"/>
                          <w:divBdr>
                            <w:top w:val="none" w:sz="0" w:space="0" w:color="auto"/>
                            <w:left w:val="none" w:sz="0" w:space="0" w:color="auto"/>
                            <w:bottom w:val="none" w:sz="0" w:space="0" w:color="auto"/>
                            <w:right w:val="none" w:sz="0" w:space="0" w:color="auto"/>
                          </w:divBdr>
                          <w:divsChild>
                            <w:div w:id="15116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7357">
                      <w:marLeft w:val="0"/>
                      <w:marRight w:val="0"/>
                      <w:marTop w:val="0"/>
                      <w:marBottom w:val="0"/>
                      <w:divBdr>
                        <w:top w:val="none" w:sz="0" w:space="0" w:color="auto"/>
                        <w:left w:val="none" w:sz="0" w:space="0" w:color="auto"/>
                        <w:bottom w:val="none" w:sz="0" w:space="0" w:color="auto"/>
                        <w:right w:val="none" w:sz="0" w:space="0" w:color="auto"/>
                      </w:divBdr>
                      <w:divsChild>
                        <w:div w:id="1234898373">
                          <w:marLeft w:val="0"/>
                          <w:marRight w:val="0"/>
                          <w:marTop w:val="0"/>
                          <w:marBottom w:val="0"/>
                          <w:divBdr>
                            <w:top w:val="none" w:sz="0" w:space="0" w:color="auto"/>
                            <w:left w:val="none" w:sz="0" w:space="0" w:color="auto"/>
                            <w:bottom w:val="none" w:sz="0" w:space="0" w:color="auto"/>
                            <w:right w:val="none" w:sz="0" w:space="0" w:color="auto"/>
                          </w:divBdr>
                          <w:divsChild>
                            <w:div w:id="1379012037">
                              <w:marLeft w:val="0"/>
                              <w:marRight w:val="0"/>
                              <w:marTop w:val="0"/>
                              <w:marBottom w:val="0"/>
                              <w:divBdr>
                                <w:top w:val="none" w:sz="0" w:space="0" w:color="auto"/>
                                <w:left w:val="none" w:sz="0" w:space="0" w:color="auto"/>
                                <w:bottom w:val="none" w:sz="0" w:space="0" w:color="auto"/>
                                <w:right w:val="none" w:sz="0" w:space="0" w:color="auto"/>
                              </w:divBdr>
                            </w:div>
                          </w:divsChild>
                        </w:div>
                        <w:div w:id="17596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642028">
      <w:bodyDiv w:val="1"/>
      <w:marLeft w:val="0"/>
      <w:marRight w:val="0"/>
      <w:marTop w:val="0"/>
      <w:marBottom w:val="0"/>
      <w:divBdr>
        <w:top w:val="none" w:sz="0" w:space="0" w:color="auto"/>
        <w:left w:val="none" w:sz="0" w:space="0" w:color="auto"/>
        <w:bottom w:val="none" w:sz="0" w:space="0" w:color="auto"/>
        <w:right w:val="none" w:sz="0" w:space="0" w:color="auto"/>
      </w:divBdr>
    </w:div>
    <w:div w:id="1447310437">
      <w:bodyDiv w:val="1"/>
      <w:marLeft w:val="0"/>
      <w:marRight w:val="0"/>
      <w:marTop w:val="0"/>
      <w:marBottom w:val="0"/>
      <w:divBdr>
        <w:top w:val="none" w:sz="0" w:space="0" w:color="auto"/>
        <w:left w:val="none" w:sz="0" w:space="0" w:color="auto"/>
        <w:bottom w:val="none" w:sz="0" w:space="0" w:color="auto"/>
        <w:right w:val="none" w:sz="0" w:space="0" w:color="auto"/>
      </w:divBdr>
    </w:div>
    <w:div w:id="1451439927">
      <w:bodyDiv w:val="1"/>
      <w:marLeft w:val="0"/>
      <w:marRight w:val="0"/>
      <w:marTop w:val="0"/>
      <w:marBottom w:val="0"/>
      <w:divBdr>
        <w:top w:val="none" w:sz="0" w:space="0" w:color="auto"/>
        <w:left w:val="none" w:sz="0" w:space="0" w:color="auto"/>
        <w:bottom w:val="none" w:sz="0" w:space="0" w:color="auto"/>
        <w:right w:val="none" w:sz="0" w:space="0" w:color="auto"/>
      </w:divBdr>
    </w:div>
    <w:div w:id="1472020153">
      <w:bodyDiv w:val="1"/>
      <w:marLeft w:val="0"/>
      <w:marRight w:val="0"/>
      <w:marTop w:val="0"/>
      <w:marBottom w:val="0"/>
      <w:divBdr>
        <w:top w:val="none" w:sz="0" w:space="0" w:color="auto"/>
        <w:left w:val="none" w:sz="0" w:space="0" w:color="auto"/>
        <w:bottom w:val="none" w:sz="0" w:space="0" w:color="auto"/>
        <w:right w:val="none" w:sz="0" w:space="0" w:color="auto"/>
      </w:divBdr>
      <w:divsChild>
        <w:div w:id="569967762">
          <w:marLeft w:val="0"/>
          <w:marRight w:val="0"/>
          <w:marTop w:val="0"/>
          <w:marBottom w:val="0"/>
          <w:divBdr>
            <w:top w:val="none" w:sz="0" w:space="0" w:color="auto"/>
            <w:left w:val="none" w:sz="0" w:space="0" w:color="auto"/>
            <w:bottom w:val="none" w:sz="0" w:space="0" w:color="auto"/>
            <w:right w:val="none" w:sz="0" w:space="0" w:color="auto"/>
          </w:divBdr>
        </w:div>
      </w:divsChild>
    </w:div>
    <w:div w:id="1475372832">
      <w:bodyDiv w:val="1"/>
      <w:marLeft w:val="0"/>
      <w:marRight w:val="0"/>
      <w:marTop w:val="0"/>
      <w:marBottom w:val="0"/>
      <w:divBdr>
        <w:top w:val="none" w:sz="0" w:space="0" w:color="auto"/>
        <w:left w:val="none" w:sz="0" w:space="0" w:color="auto"/>
        <w:bottom w:val="none" w:sz="0" w:space="0" w:color="auto"/>
        <w:right w:val="none" w:sz="0" w:space="0" w:color="auto"/>
      </w:divBdr>
    </w:div>
    <w:div w:id="1497768666">
      <w:bodyDiv w:val="1"/>
      <w:marLeft w:val="0"/>
      <w:marRight w:val="0"/>
      <w:marTop w:val="0"/>
      <w:marBottom w:val="0"/>
      <w:divBdr>
        <w:top w:val="none" w:sz="0" w:space="0" w:color="auto"/>
        <w:left w:val="none" w:sz="0" w:space="0" w:color="auto"/>
        <w:bottom w:val="none" w:sz="0" w:space="0" w:color="auto"/>
        <w:right w:val="none" w:sz="0" w:space="0" w:color="auto"/>
      </w:divBdr>
    </w:div>
    <w:div w:id="1508979784">
      <w:bodyDiv w:val="1"/>
      <w:marLeft w:val="0"/>
      <w:marRight w:val="0"/>
      <w:marTop w:val="0"/>
      <w:marBottom w:val="0"/>
      <w:divBdr>
        <w:top w:val="none" w:sz="0" w:space="0" w:color="auto"/>
        <w:left w:val="none" w:sz="0" w:space="0" w:color="auto"/>
        <w:bottom w:val="none" w:sz="0" w:space="0" w:color="auto"/>
        <w:right w:val="none" w:sz="0" w:space="0" w:color="auto"/>
      </w:divBdr>
    </w:div>
    <w:div w:id="1510021050">
      <w:bodyDiv w:val="1"/>
      <w:marLeft w:val="0"/>
      <w:marRight w:val="0"/>
      <w:marTop w:val="0"/>
      <w:marBottom w:val="0"/>
      <w:divBdr>
        <w:top w:val="none" w:sz="0" w:space="0" w:color="auto"/>
        <w:left w:val="none" w:sz="0" w:space="0" w:color="auto"/>
        <w:bottom w:val="none" w:sz="0" w:space="0" w:color="auto"/>
        <w:right w:val="none" w:sz="0" w:space="0" w:color="auto"/>
      </w:divBdr>
    </w:div>
    <w:div w:id="1510826106">
      <w:bodyDiv w:val="1"/>
      <w:marLeft w:val="0"/>
      <w:marRight w:val="0"/>
      <w:marTop w:val="0"/>
      <w:marBottom w:val="0"/>
      <w:divBdr>
        <w:top w:val="none" w:sz="0" w:space="0" w:color="auto"/>
        <w:left w:val="none" w:sz="0" w:space="0" w:color="auto"/>
        <w:bottom w:val="none" w:sz="0" w:space="0" w:color="auto"/>
        <w:right w:val="none" w:sz="0" w:space="0" w:color="auto"/>
      </w:divBdr>
    </w:div>
    <w:div w:id="1511601702">
      <w:bodyDiv w:val="1"/>
      <w:marLeft w:val="0"/>
      <w:marRight w:val="0"/>
      <w:marTop w:val="0"/>
      <w:marBottom w:val="0"/>
      <w:divBdr>
        <w:top w:val="none" w:sz="0" w:space="0" w:color="auto"/>
        <w:left w:val="none" w:sz="0" w:space="0" w:color="auto"/>
        <w:bottom w:val="none" w:sz="0" w:space="0" w:color="auto"/>
        <w:right w:val="none" w:sz="0" w:space="0" w:color="auto"/>
      </w:divBdr>
    </w:div>
    <w:div w:id="1519733861">
      <w:bodyDiv w:val="1"/>
      <w:marLeft w:val="0"/>
      <w:marRight w:val="0"/>
      <w:marTop w:val="0"/>
      <w:marBottom w:val="0"/>
      <w:divBdr>
        <w:top w:val="none" w:sz="0" w:space="0" w:color="auto"/>
        <w:left w:val="none" w:sz="0" w:space="0" w:color="auto"/>
        <w:bottom w:val="none" w:sz="0" w:space="0" w:color="auto"/>
        <w:right w:val="none" w:sz="0" w:space="0" w:color="auto"/>
      </w:divBdr>
    </w:div>
    <w:div w:id="1519812194">
      <w:bodyDiv w:val="1"/>
      <w:marLeft w:val="0"/>
      <w:marRight w:val="0"/>
      <w:marTop w:val="0"/>
      <w:marBottom w:val="0"/>
      <w:divBdr>
        <w:top w:val="none" w:sz="0" w:space="0" w:color="auto"/>
        <w:left w:val="none" w:sz="0" w:space="0" w:color="auto"/>
        <w:bottom w:val="none" w:sz="0" w:space="0" w:color="auto"/>
        <w:right w:val="none" w:sz="0" w:space="0" w:color="auto"/>
      </w:divBdr>
    </w:div>
    <w:div w:id="1521311724">
      <w:bodyDiv w:val="1"/>
      <w:marLeft w:val="0"/>
      <w:marRight w:val="0"/>
      <w:marTop w:val="0"/>
      <w:marBottom w:val="0"/>
      <w:divBdr>
        <w:top w:val="none" w:sz="0" w:space="0" w:color="auto"/>
        <w:left w:val="none" w:sz="0" w:space="0" w:color="auto"/>
        <w:bottom w:val="none" w:sz="0" w:space="0" w:color="auto"/>
        <w:right w:val="none" w:sz="0" w:space="0" w:color="auto"/>
      </w:divBdr>
    </w:div>
    <w:div w:id="1521969339">
      <w:bodyDiv w:val="1"/>
      <w:marLeft w:val="0"/>
      <w:marRight w:val="0"/>
      <w:marTop w:val="0"/>
      <w:marBottom w:val="0"/>
      <w:divBdr>
        <w:top w:val="none" w:sz="0" w:space="0" w:color="auto"/>
        <w:left w:val="none" w:sz="0" w:space="0" w:color="auto"/>
        <w:bottom w:val="none" w:sz="0" w:space="0" w:color="auto"/>
        <w:right w:val="none" w:sz="0" w:space="0" w:color="auto"/>
      </w:divBdr>
    </w:div>
    <w:div w:id="1523786045">
      <w:bodyDiv w:val="1"/>
      <w:marLeft w:val="0"/>
      <w:marRight w:val="0"/>
      <w:marTop w:val="0"/>
      <w:marBottom w:val="0"/>
      <w:divBdr>
        <w:top w:val="none" w:sz="0" w:space="0" w:color="auto"/>
        <w:left w:val="none" w:sz="0" w:space="0" w:color="auto"/>
        <w:bottom w:val="none" w:sz="0" w:space="0" w:color="auto"/>
        <w:right w:val="none" w:sz="0" w:space="0" w:color="auto"/>
      </w:divBdr>
      <w:divsChild>
        <w:div w:id="1176069640">
          <w:marLeft w:val="0"/>
          <w:marRight w:val="0"/>
          <w:marTop w:val="0"/>
          <w:marBottom w:val="0"/>
          <w:divBdr>
            <w:top w:val="none" w:sz="0" w:space="0" w:color="auto"/>
            <w:left w:val="none" w:sz="0" w:space="0" w:color="auto"/>
            <w:bottom w:val="none" w:sz="0" w:space="0" w:color="auto"/>
            <w:right w:val="none" w:sz="0" w:space="0" w:color="auto"/>
          </w:divBdr>
          <w:divsChild>
            <w:div w:id="1134131377">
              <w:marLeft w:val="0"/>
              <w:marRight w:val="0"/>
              <w:marTop w:val="0"/>
              <w:marBottom w:val="0"/>
              <w:divBdr>
                <w:top w:val="none" w:sz="0" w:space="0" w:color="auto"/>
                <w:left w:val="none" w:sz="0" w:space="0" w:color="auto"/>
                <w:bottom w:val="none" w:sz="0" w:space="0" w:color="auto"/>
                <w:right w:val="none" w:sz="0" w:space="0" w:color="auto"/>
              </w:divBdr>
              <w:divsChild>
                <w:div w:id="121729771">
                  <w:marLeft w:val="0"/>
                  <w:marRight w:val="0"/>
                  <w:marTop w:val="0"/>
                  <w:marBottom w:val="0"/>
                  <w:divBdr>
                    <w:top w:val="none" w:sz="0" w:space="0" w:color="auto"/>
                    <w:left w:val="none" w:sz="0" w:space="0" w:color="auto"/>
                    <w:bottom w:val="none" w:sz="0" w:space="0" w:color="auto"/>
                    <w:right w:val="none" w:sz="0" w:space="0" w:color="auto"/>
                  </w:divBdr>
                  <w:divsChild>
                    <w:div w:id="1365012795">
                      <w:marLeft w:val="0"/>
                      <w:marRight w:val="0"/>
                      <w:marTop w:val="0"/>
                      <w:marBottom w:val="0"/>
                      <w:divBdr>
                        <w:top w:val="none" w:sz="0" w:space="0" w:color="auto"/>
                        <w:left w:val="none" w:sz="0" w:space="0" w:color="auto"/>
                        <w:bottom w:val="none" w:sz="0" w:space="0" w:color="auto"/>
                        <w:right w:val="none" w:sz="0" w:space="0" w:color="auto"/>
                      </w:divBdr>
                      <w:divsChild>
                        <w:div w:id="1292907101">
                          <w:marLeft w:val="0"/>
                          <w:marRight w:val="0"/>
                          <w:marTop w:val="0"/>
                          <w:marBottom w:val="0"/>
                          <w:divBdr>
                            <w:top w:val="none" w:sz="0" w:space="0" w:color="auto"/>
                            <w:left w:val="none" w:sz="0" w:space="0" w:color="auto"/>
                            <w:bottom w:val="none" w:sz="0" w:space="0" w:color="auto"/>
                            <w:right w:val="none" w:sz="0" w:space="0" w:color="auto"/>
                          </w:divBdr>
                        </w:div>
                        <w:div w:id="759570680">
                          <w:marLeft w:val="0"/>
                          <w:marRight w:val="0"/>
                          <w:marTop w:val="0"/>
                          <w:marBottom w:val="0"/>
                          <w:divBdr>
                            <w:top w:val="none" w:sz="0" w:space="0" w:color="auto"/>
                            <w:left w:val="none" w:sz="0" w:space="0" w:color="auto"/>
                            <w:bottom w:val="none" w:sz="0" w:space="0" w:color="auto"/>
                            <w:right w:val="none" w:sz="0" w:space="0" w:color="auto"/>
                          </w:divBdr>
                          <w:divsChild>
                            <w:div w:id="6831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4727">
                      <w:marLeft w:val="0"/>
                      <w:marRight w:val="0"/>
                      <w:marTop w:val="150"/>
                      <w:marBottom w:val="150"/>
                      <w:divBdr>
                        <w:top w:val="none" w:sz="0" w:space="0" w:color="auto"/>
                        <w:left w:val="none" w:sz="0" w:space="0" w:color="auto"/>
                        <w:bottom w:val="none" w:sz="0" w:space="0" w:color="auto"/>
                        <w:right w:val="none" w:sz="0" w:space="0" w:color="auto"/>
                      </w:divBdr>
                      <w:divsChild>
                        <w:div w:id="136343683">
                          <w:marLeft w:val="0"/>
                          <w:marRight w:val="0"/>
                          <w:marTop w:val="0"/>
                          <w:marBottom w:val="0"/>
                          <w:divBdr>
                            <w:top w:val="none" w:sz="0" w:space="0" w:color="auto"/>
                            <w:left w:val="none" w:sz="0" w:space="0" w:color="auto"/>
                            <w:bottom w:val="none" w:sz="0" w:space="0" w:color="auto"/>
                            <w:right w:val="none" w:sz="0" w:space="0" w:color="auto"/>
                          </w:divBdr>
                        </w:div>
                        <w:div w:id="1939169832">
                          <w:marLeft w:val="0"/>
                          <w:marRight w:val="0"/>
                          <w:marTop w:val="0"/>
                          <w:marBottom w:val="0"/>
                          <w:divBdr>
                            <w:top w:val="none" w:sz="0" w:space="0" w:color="auto"/>
                            <w:left w:val="none" w:sz="0" w:space="0" w:color="auto"/>
                            <w:bottom w:val="none" w:sz="0" w:space="0" w:color="auto"/>
                            <w:right w:val="none" w:sz="0" w:space="0" w:color="auto"/>
                          </w:divBdr>
                          <w:divsChild>
                            <w:div w:id="1993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5776">
                      <w:marLeft w:val="0"/>
                      <w:marRight w:val="0"/>
                      <w:marTop w:val="300"/>
                      <w:marBottom w:val="0"/>
                      <w:divBdr>
                        <w:top w:val="none" w:sz="0" w:space="0" w:color="auto"/>
                        <w:left w:val="none" w:sz="0" w:space="0" w:color="auto"/>
                        <w:bottom w:val="none" w:sz="0" w:space="0" w:color="auto"/>
                        <w:right w:val="none" w:sz="0" w:space="0" w:color="auto"/>
                      </w:divBdr>
                      <w:divsChild>
                        <w:div w:id="1938053981">
                          <w:marLeft w:val="0"/>
                          <w:marRight w:val="0"/>
                          <w:marTop w:val="0"/>
                          <w:marBottom w:val="0"/>
                          <w:divBdr>
                            <w:top w:val="none" w:sz="0" w:space="0" w:color="auto"/>
                            <w:left w:val="none" w:sz="0" w:space="0" w:color="auto"/>
                            <w:bottom w:val="none" w:sz="0" w:space="0" w:color="auto"/>
                            <w:right w:val="none" w:sz="0" w:space="0" w:color="auto"/>
                          </w:divBdr>
                          <w:divsChild>
                            <w:div w:id="3593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6278">
      <w:bodyDiv w:val="1"/>
      <w:marLeft w:val="0"/>
      <w:marRight w:val="0"/>
      <w:marTop w:val="0"/>
      <w:marBottom w:val="0"/>
      <w:divBdr>
        <w:top w:val="none" w:sz="0" w:space="0" w:color="auto"/>
        <w:left w:val="none" w:sz="0" w:space="0" w:color="auto"/>
        <w:bottom w:val="none" w:sz="0" w:space="0" w:color="auto"/>
        <w:right w:val="none" w:sz="0" w:space="0" w:color="auto"/>
      </w:divBdr>
    </w:div>
    <w:div w:id="1533181591">
      <w:bodyDiv w:val="1"/>
      <w:marLeft w:val="0"/>
      <w:marRight w:val="0"/>
      <w:marTop w:val="0"/>
      <w:marBottom w:val="0"/>
      <w:divBdr>
        <w:top w:val="none" w:sz="0" w:space="0" w:color="auto"/>
        <w:left w:val="none" w:sz="0" w:space="0" w:color="auto"/>
        <w:bottom w:val="none" w:sz="0" w:space="0" w:color="auto"/>
        <w:right w:val="none" w:sz="0" w:space="0" w:color="auto"/>
      </w:divBdr>
    </w:div>
    <w:div w:id="1534540935">
      <w:bodyDiv w:val="1"/>
      <w:marLeft w:val="0"/>
      <w:marRight w:val="0"/>
      <w:marTop w:val="0"/>
      <w:marBottom w:val="0"/>
      <w:divBdr>
        <w:top w:val="none" w:sz="0" w:space="0" w:color="auto"/>
        <w:left w:val="none" w:sz="0" w:space="0" w:color="auto"/>
        <w:bottom w:val="none" w:sz="0" w:space="0" w:color="auto"/>
        <w:right w:val="none" w:sz="0" w:space="0" w:color="auto"/>
      </w:divBdr>
    </w:div>
    <w:div w:id="1546485707">
      <w:bodyDiv w:val="1"/>
      <w:marLeft w:val="0"/>
      <w:marRight w:val="0"/>
      <w:marTop w:val="0"/>
      <w:marBottom w:val="0"/>
      <w:divBdr>
        <w:top w:val="none" w:sz="0" w:space="0" w:color="auto"/>
        <w:left w:val="none" w:sz="0" w:space="0" w:color="auto"/>
        <w:bottom w:val="none" w:sz="0" w:space="0" w:color="auto"/>
        <w:right w:val="none" w:sz="0" w:space="0" w:color="auto"/>
      </w:divBdr>
      <w:divsChild>
        <w:div w:id="843086045">
          <w:marLeft w:val="0"/>
          <w:marRight w:val="0"/>
          <w:marTop w:val="0"/>
          <w:marBottom w:val="0"/>
          <w:divBdr>
            <w:top w:val="none" w:sz="0" w:space="0" w:color="auto"/>
            <w:left w:val="none" w:sz="0" w:space="0" w:color="auto"/>
            <w:bottom w:val="none" w:sz="0" w:space="0" w:color="auto"/>
            <w:right w:val="none" w:sz="0" w:space="0" w:color="auto"/>
          </w:divBdr>
          <w:divsChild>
            <w:div w:id="1664046684">
              <w:marLeft w:val="0"/>
              <w:marRight w:val="0"/>
              <w:marTop w:val="0"/>
              <w:marBottom w:val="0"/>
              <w:divBdr>
                <w:top w:val="none" w:sz="0" w:space="0" w:color="auto"/>
                <w:left w:val="none" w:sz="0" w:space="0" w:color="auto"/>
                <w:bottom w:val="none" w:sz="0" w:space="0" w:color="auto"/>
                <w:right w:val="none" w:sz="0" w:space="0" w:color="auto"/>
              </w:divBdr>
              <w:divsChild>
                <w:div w:id="1610041595">
                  <w:marLeft w:val="0"/>
                  <w:marRight w:val="0"/>
                  <w:marTop w:val="0"/>
                  <w:marBottom w:val="0"/>
                  <w:divBdr>
                    <w:top w:val="none" w:sz="0" w:space="0" w:color="auto"/>
                    <w:left w:val="none" w:sz="0" w:space="0" w:color="auto"/>
                    <w:bottom w:val="none" w:sz="0" w:space="0" w:color="auto"/>
                    <w:right w:val="none" w:sz="0" w:space="0" w:color="auto"/>
                  </w:divBdr>
                  <w:divsChild>
                    <w:div w:id="491216011">
                      <w:marLeft w:val="0"/>
                      <w:marRight w:val="0"/>
                      <w:marTop w:val="0"/>
                      <w:marBottom w:val="0"/>
                      <w:divBdr>
                        <w:top w:val="none" w:sz="0" w:space="0" w:color="auto"/>
                        <w:left w:val="none" w:sz="0" w:space="0" w:color="auto"/>
                        <w:bottom w:val="none" w:sz="0" w:space="0" w:color="auto"/>
                        <w:right w:val="none" w:sz="0" w:space="0" w:color="auto"/>
                      </w:divBdr>
                      <w:divsChild>
                        <w:div w:id="1455902229">
                          <w:marLeft w:val="0"/>
                          <w:marRight w:val="0"/>
                          <w:marTop w:val="0"/>
                          <w:marBottom w:val="0"/>
                          <w:divBdr>
                            <w:top w:val="none" w:sz="0" w:space="0" w:color="auto"/>
                            <w:left w:val="none" w:sz="0" w:space="0" w:color="auto"/>
                            <w:bottom w:val="none" w:sz="0" w:space="0" w:color="auto"/>
                            <w:right w:val="none" w:sz="0" w:space="0" w:color="auto"/>
                          </w:divBdr>
                          <w:divsChild>
                            <w:div w:id="822966066">
                              <w:marLeft w:val="0"/>
                              <w:marRight w:val="0"/>
                              <w:marTop w:val="0"/>
                              <w:marBottom w:val="0"/>
                              <w:divBdr>
                                <w:top w:val="none" w:sz="0" w:space="0" w:color="auto"/>
                                <w:left w:val="none" w:sz="0" w:space="0" w:color="auto"/>
                                <w:bottom w:val="none" w:sz="0" w:space="0" w:color="auto"/>
                                <w:right w:val="none" w:sz="0" w:space="0" w:color="auto"/>
                              </w:divBdr>
                            </w:div>
                          </w:divsChild>
                        </w:div>
                        <w:div w:id="1959489935">
                          <w:marLeft w:val="0"/>
                          <w:marRight w:val="0"/>
                          <w:marTop w:val="0"/>
                          <w:marBottom w:val="0"/>
                          <w:divBdr>
                            <w:top w:val="none" w:sz="0" w:space="0" w:color="auto"/>
                            <w:left w:val="none" w:sz="0" w:space="0" w:color="auto"/>
                            <w:bottom w:val="none" w:sz="0" w:space="0" w:color="auto"/>
                            <w:right w:val="none" w:sz="0" w:space="0" w:color="auto"/>
                          </w:divBdr>
                        </w:div>
                      </w:divsChild>
                    </w:div>
                    <w:div w:id="2017463056">
                      <w:marLeft w:val="0"/>
                      <w:marRight w:val="0"/>
                      <w:marTop w:val="300"/>
                      <w:marBottom w:val="0"/>
                      <w:divBdr>
                        <w:top w:val="none" w:sz="0" w:space="0" w:color="auto"/>
                        <w:left w:val="none" w:sz="0" w:space="0" w:color="auto"/>
                        <w:bottom w:val="none" w:sz="0" w:space="0" w:color="auto"/>
                        <w:right w:val="none" w:sz="0" w:space="0" w:color="auto"/>
                      </w:divBdr>
                      <w:divsChild>
                        <w:div w:id="1406417897">
                          <w:marLeft w:val="0"/>
                          <w:marRight w:val="0"/>
                          <w:marTop w:val="0"/>
                          <w:marBottom w:val="0"/>
                          <w:divBdr>
                            <w:top w:val="none" w:sz="0" w:space="0" w:color="auto"/>
                            <w:left w:val="none" w:sz="0" w:space="0" w:color="auto"/>
                            <w:bottom w:val="none" w:sz="0" w:space="0" w:color="auto"/>
                            <w:right w:val="none" w:sz="0" w:space="0" w:color="auto"/>
                          </w:divBdr>
                          <w:divsChild>
                            <w:div w:id="10293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24694">
      <w:bodyDiv w:val="1"/>
      <w:marLeft w:val="0"/>
      <w:marRight w:val="0"/>
      <w:marTop w:val="0"/>
      <w:marBottom w:val="0"/>
      <w:divBdr>
        <w:top w:val="none" w:sz="0" w:space="0" w:color="auto"/>
        <w:left w:val="none" w:sz="0" w:space="0" w:color="auto"/>
        <w:bottom w:val="none" w:sz="0" w:space="0" w:color="auto"/>
        <w:right w:val="none" w:sz="0" w:space="0" w:color="auto"/>
      </w:divBdr>
    </w:div>
    <w:div w:id="1553808750">
      <w:bodyDiv w:val="1"/>
      <w:marLeft w:val="0"/>
      <w:marRight w:val="0"/>
      <w:marTop w:val="0"/>
      <w:marBottom w:val="0"/>
      <w:divBdr>
        <w:top w:val="none" w:sz="0" w:space="0" w:color="auto"/>
        <w:left w:val="none" w:sz="0" w:space="0" w:color="auto"/>
        <w:bottom w:val="none" w:sz="0" w:space="0" w:color="auto"/>
        <w:right w:val="none" w:sz="0" w:space="0" w:color="auto"/>
      </w:divBdr>
    </w:div>
    <w:div w:id="1561819353">
      <w:bodyDiv w:val="1"/>
      <w:marLeft w:val="0"/>
      <w:marRight w:val="0"/>
      <w:marTop w:val="0"/>
      <w:marBottom w:val="0"/>
      <w:divBdr>
        <w:top w:val="none" w:sz="0" w:space="0" w:color="auto"/>
        <w:left w:val="none" w:sz="0" w:space="0" w:color="auto"/>
        <w:bottom w:val="none" w:sz="0" w:space="0" w:color="auto"/>
        <w:right w:val="none" w:sz="0" w:space="0" w:color="auto"/>
      </w:divBdr>
    </w:div>
    <w:div w:id="1565489091">
      <w:bodyDiv w:val="1"/>
      <w:marLeft w:val="0"/>
      <w:marRight w:val="0"/>
      <w:marTop w:val="0"/>
      <w:marBottom w:val="0"/>
      <w:divBdr>
        <w:top w:val="none" w:sz="0" w:space="0" w:color="auto"/>
        <w:left w:val="none" w:sz="0" w:space="0" w:color="auto"/>
        <w:bottom w:val="none" w:sz="0" w:space="0" w:color="auto"/>
        <w:right w:val="none" w:sz="0" w:space="0" w:color="auto"/>
      </w:divBdr>
    </w:div>
    <w:div w:id="1566838072">
      <w:bodyDiv w:val="1"/>
      <w:marLeft w:val="0"/>
      <w:marRight w:val="0"/>
      <w:marTop w:val="0"/>
      <w:marBottom w:val="0"/>
      <w:divBdr>
        <w:top w:val="none" w:sz="0" w:space="0" w:color="auto"/>
        <w:left w:val="none" w:sz="0" w:space="0" w:color="auto"/>
        <w:bottom w:val="none" w:sz="0" w:space="0" w:color="auto"/>
        <w:right w:val="none" w:sz="0" w:space="0" w:color="auto"/>
      </w:divBdr>
    </w:div>
    <w:div w:id="1572035247">
      <w:bodyDiv w:val="1"/>
      <w:marLeft w:val="0"/>
      <w:marRight w:val="0"/>
      <w:marTop w:val="0"/>
      <w:marBottom w:val="0"/>
      <w:divBdr>
        <w:top w:val="none" w:sz="0" w:space="0" w:color="auto"/>
        <w:left w:val="none" w:sz="0" w:space="0" w:color="auto"/>
        <w:bottom w:val="none" w:sz="0" w:space="0" w:color="auto"/>
        <w:right w:val="none" w:sz="0" w:space="0" w:color="auto"/>
      </w:divBdr>
    </w:div>
    <w:div w:id="1585140343">
      <w:bodyDiv w:val="1"/>
      <w:marLeft w:val="0"/>
      <w:marRight w:val="0"/>
      <w:marTop w:val="0"/>
      <w:marBottom w:val="0"/>
      <w:divBdr>
        <w:top w:val="none" w:sz="0" w:space="0" w:color="auto"/>
        <w:left w:val="none" w:sz="0" w:space="0" w:color="auto"/>
        <w:bottom w:val="none" w:sz="0" w:space="0" w:color="auto"/>
        <w:right w:val="none" w:sz="0" w:space="0" w:color="auto"/>
      </w:divBdr>
    </w:div>
    <w:div w:id="1588266015">
      <w:bodyDiv w:val="1"/>
      <w:marLeft w:val="0"/>
      <w:marRight w:val="0"/>
      <w:marTop w:val="0"/>
      <w:marBottom w:val="0"/>
      <w:divBdr>
        <w:top w:val="none" w:sz="0" w:space="0" w:color="auto"/>
        <w:left w:val="none" w:sz="0" w:space="0" w:color="auto"/>
        <w:bottom w:val="none" w:sz="0" w:space="0" w:color="auto"/>
        <w:right w:val="none" w:sz="0" w:space="0" w:color="auto"/>
      </w:divBdr>
      <w:divsChild>
        <w:div w:id="2071882745">
          <w:marLeft w:val="0"/>
          <w:marRight w:val="0"/>
          <w:marTop w:val="0"/>
          <w:marBottom w:val="0"/>
          <w:divBdr>
            <w:top w:val="none" w:sz="0" w:space="0" w:color="auto"/>
            <w:left w:val="none" w:sz="0" w:space="0" w:color="auto"/>
            <w:bottom w:val="none" w:sz="0" w:space="0" w:color="auto"/>
            <w:right w:val="none" w:sz="0" w:space="0" w:color="auto"/>
          </w:divBdr>
        </w:div>
      </w:divsChild>
    </w:div>
    <w:div w:id="1594313065">
      <w:bodyDiv w:val="1"/>
      <w:marLeft w:val="0"/>
      <w:marRight w:val="0"/>
      <w:marTop w:val="0"/>
      <w:marBottom w:val="0"/>
      <w:divBdr>
        <w:top w:val="none" w:sz="0" w:space="0" w:color="auto"/>
        <w:left w:val="none" w:sz="0" w:space="0" w:color="auto"/>
        <w:bottom w:val="none" w:sz="0" w:space="0" w:color="auto"/>
        <w:right w:val="none" w:sz="0" w:space="0" w:color="auto"/>
      </w:divBdr>
    </w:div>
    <w:div w:id="1602835907">
      <w:bodyDiv w:val="1"/>
      <w:marLeft w:val="0"/>
      <w:marRight w:val="0"/>
      <w:marTop w:val="0"/>
      <w:marBottom w:val="0"/>
      <w:divBdr>
        <w:top w:val="none" w:sz="0" w:space="0" w:color="auto"/>
        <w:left w:val="none" w:sz="0" w:space="0" w:color="auto"/>
        <w:bottom w:val="none" w:sz="0" w:space="0" w:color="auto"/>
        <w:right w:val="none" w:sz="0" w:space="0" w:color="auto"/>
      </w:divBdr>
    </w:div>
    <w:div w:id="1611427281">
      <w:bodyDiv w:val="1"/>
      <w:marLeft w:val="0"/>
      <w:marRight w:val="0"/>
      <w:marTop w:val="0"/>
      <w:marBottom w:val="0"/>
      <w:divBdr>
        <w:top w:val="none" w:sz="0" w:space="0" w:color="auto"/>
        <w:left w:val="none" w:sz="0" w:space="0" w:color="auto"/>
        <w:bottom w:val="none" w:sz="0" w:space="0" w:color="auto"/>
        <w:right w:val="none" w:sz="0" w:space="0" w:color="auto"/>
      </w:divBdr>
    </w:div>
    <w:div w:id="1618681073">
      <w:bodyDiv w:val="1"/>
      <w:marLeft w:val="0"/>
      <w:marRight w:val="0"/>
      <w:marTop w:val="0"/>
      <w:marBottom w:val="0"/>
      <w:divBdr>
        <w:top w:val="none" w:sz="0" w:space="0" w:color="auto"/>
        <w:left w:val="none" w:sz="0" w:space="0" w:color="auto"/>
        <w:bottom w:val="none" w:sz="0" w:space="0" w:color="auto"/>
        <w:right w:val="none" w:sz="0" w:space="0" w:color="auto"/>
      </w:divBdr>
    </w:div>
    <w:div w:id="1629161954">
      <w:bodyDiv w:val="1"/>
      <w:marLeft w:val="0"/>
      <w:marRight w:val="0"/>
      <w:marTop w:val="0"/>
      <w:marBottom w:val="0"/>
      <w:divBdr>
        <w:top w:val="none" w:sz="0" w:space="0" w:color="auto"/>
        <w:left w:val="none" w:sz="0" w:space="0" w:color="auto"/>
        <w:bottom w:val="none" w:sz="0" w:space="0" w:color="auto"/>
        <w:right w:val="none" w:sz="0" w:space="0" w:color="auto"/>
      </w:divBdr>
    </w:div>
    <w:div w:id="1637252929">
      <w:bodyDiv w:val="1"/>
      <w:marLeft w:val="0"/>
      <w:marRight w:val="0"/>
      <w:marTop w:val="0"/>
      <w:marBottom w:val="0"/>
      <w:divBdr>
        <w:top w:val="none" w:sz="0" w:space="0" w:color="auto"/>
        <w:left w:val="none" w:sz="0" w:space="0" w:color="auto"/>
        <w:bottom w:val="none" w:sz="0" w:space="0" w:color="auto"/>
        <w:right w:val="none" w:sz="0" w:space="0" w:color="auto"/>
      </w:divBdr>
    </w:div>
    <w:div w:id="1653833672">
      <w:bodyDiv w:val="1"/>
      <w:marLeft w:val="0"/>
      <w:marRight w:val="0"/>
      <w:marTop w:val="0"/>
      <w:marBottom w:val="0"/>
      <w:divBdr>
        <w:top w:val="none" w:sz="0" w:space="0" w:color="auto"/>
        <w:left w:val="none" w:sz="0" w:space="0" w:color="auto"/>
        <w:bottom w:val="none" w:sz="0" w:space="0" w:color="auto"/>
        <w:right w:val="none" w:sz="0" w:space="0" w:color="auto"/>
      </w:divBdr>
    </w:div>
    <w:div w:id="1655453316">
      <w:bodyDiv w:val="1"/>
      <w:marLeft w:val="0"/>
      <w:marRight w:val="0"/>
      <w:marTop w:val="0"/>
      <w:marBottom w:val="0"/>
      <w:divBdr>
        <w:top w:val="none" w:sz="0" w:space="0" w:color="auto"/>
        <w:left w:val="none" w:sz="0" w:space="0" w:color="auto"/>
        <w:bottom w:val="none" w:sz="0" w:space="0" w:color="auto"/>
        <w:right w:val="none" w:sz="0" w:space="0" w:color="auto"/>
      </w:divBdr>
    </w:div>
    <w:div w:id="1666125352">
      <w:bodyDiv w:val="1"/>
      <w:marLeft w:val="0"/>
      <w:marRight w:val="0"/>
      <w:marTop w:val="0"/>
      <w:marBottom w:val="0"/>
      <w:divBdr>
        <w:top w:val="none" w:sz="0" w:space="0" w:color="auto"/>
        <w:left w:val="none" w:sz="0" w:space="0" w:color="auto"/>
        <w:bottom w:val="none" w:sz="0" w:space="0" w:color="auto"/>
        <w:right w:val="none" w:sz="0" w:space="0" w:color="auto"/>
      </w:divBdr>
    </w:div>
    <w:div w:id="1672875012">
      <w:bodyDiv w:val="1"/>
      <w:marLeft w:val="0"/>
      <w:marRight w:val="0"/>
      <w:marTop w:val="0"/>
      <w:marBottom w:val="0"/>
      <w:divBdr>
        <w:top w:val="none" w:sz="0" w:space="0" w:color="auto"/>
        <w:left w:val="none" w:sz="0" w:space="0" w:color="auto"/>
        <w:bottom w:val="none" w:sz="0" w:space="0" w:color="auto"/>
        <w:right w:val="none" w:sz="0" w:space="0" w:color="auto"/>
      </w:divBdr>
    </w:div>
    <w:div w:id="1673679209">
      <w:bodyDiv w:val="1"/>
      <w:marLeft w:val="0"/>
      <w:marRight w:val="0"/>
      <w:marTop w:val="0"/>
      <w:marBottom w:val="0"/>
      <w:divBdr>
        <w:top w:val="none" w:sz="0" w:space="0" w:color="auto"/>
        <w:left w:val="none" w:sz="0" w:space="0" w:color="auto"/>
        <w:bottom w:val="none" w:sz="0" w:space="0" w:color="auto"/>
        <w:right w:val="none" w:sz="0" w:space="0" w:color="auto"/>
      </w:divBdr>
    </w:div>
    <w:div w:id="1689331551">
      <w:bodyDiv w:val="1"/>
      <w:marLeft w:val="0"/>
      <w:marRight w:val="0"/>
      <w:marTop w:val="0"/>
      <w:marBottom w:val="0"/>
      <w:divBdr>
        <w:top w:val="none" w:sz="0" w:space="0" w:color="auto"/>
        <w:left w:val="none" w:sz="0" w:space="0" w:color="auto"/>
        <w:bottom w:val="none" w:sz="0" w:space="0" w:color="auto"/>
        <w:right w:val="none" w:sz="0" w:space="0" w:color="auto"/>
      </w:divBdr>
    </w:div>
    <w:div w:id="1699818282">
      <w:bodyDiv w:val="1"/>
      <w:marLeft w:val="0"/>
      <w:marRight w:val="0"/>
      <w:marTop w:val="0"/>
      <w:marBottom w:val="0"/>
      <w:divBdr>
        <w:top w:val="none" w:sz="0" w:space="0" w:color="auto"/>
        <w:left w:val="none" w:sz="0" w:space="0" w:color="auto"/>
        <w:bottom w:val="none" w:sz="0" w:space="0" w:color="auto"/>
        <w:right w:val="none" w:sz="0" w:space="0" w:color="auto"/>
      </w:divBdr>
    </w:div>
    <w:div w:id="1700931875">
      <w:bodyDiv w:val="1"/>
      <w:marLeft w:val="0"/>
      <w:marRight w:val="0"/>
      <w:marTop w:val="0"/>
      <w:marBottom w:val="0"/>
      <w:divBdr>
        <w:top w:val="none" w:sz="0" w:space="0" w:color="auto"/>
        <w:left w:val="none" w:sz="0" w:space="0" w:color="auto"/>
        <w:bottom w:val="none" w:sz="0" w:space="0" w:color="auto"/>
        <w:right w:val="none" w:sz="0" w:space="0" w:color="auto"/>
      </w:divBdr>
    </w:div>
    <w:div w:id="1705404684">
      <w:bodyDiv w:val="1"/>
      <w:marLeft w:val="0"/>
      <w:marRight w:val="0"/>
      <w:marTop w:val="0"/>
      <w:marBottom w:val="0"/>
      <w:divBdr>
        <w:top w:val="none" w:sz="0" w:space="0" w:color="auto"/>
        <w:left w:val="none" w:sz="0" w:space="0" w:color="auto"/>
        <w:bottom w:val="none" w:sz="0" w:space="0" w:color="auto"/>
        <w:right w:val="none" w:sz="0" w:space="0" w:color="auto"/>
      </w:divBdr>
      <w:divsChild>
        <w:div w:id="12263922">
          <w:marLeft w:val="0"/>
          <w:marRight w:val="0"/>
          <w:marTop w:val="0"/>
          <w:marBottom w:val="0"/>
          <w:divBdr>
            <w:top w:val="none" w:sz="0" w:space="0" w:color="auto"/>
            <w:left w:val="none" w:sz="0" w:space="0" w:color="auto"/>
            <w:bottom w:val="none" w:sz="0" w:space="0" w:color="auto"/>
            <w:right w:val="none" w:sz="0" w:space="0" w:color="auto"/>
          </w:divBdr>
          <w:divsChild>
            <w:div w:id="813330850">
              <w:marLeft w:val="0"/>
              <w:marRight w:val="0"/>
              <w:marTop w:val="0"/>
              <w:marBottom w:val="0"/>
              <w:divBdr>
                <w:top w:val="none" w:sz="0" w:space="0" w:color="auto"/>
                <w:left w:val="none" w:sz="0" w:space="0" w:color="auto"/>
                <w:bottom w:val="none" w:sz="0" w:space="0" w:color="auto"/>
                <w:right w:val="none" w:sz="0" w:space="0" w:color="auto"/>
              </w:divBdr>
              <w:divsChild>
                <w:div w:id="605163579">
                  <w:marLeft w:val="0"/>
                  <w:marRight w:val="0"/>
                  <w:marTop w:val="0"/>
                  <w:marBottom w:val="0"/>
                  <w:divBdr>
                    <w:top w:val="none" w:sz="0" w:space="0" w:color="auto"/>
                    <w:left w:val="none" w:sz="0" w:space="0" w:color="auto"/>
                    <w:bottom w:val="none" w:sz="0" w:space="0" w:color="auto"/>
                    <w:right w:val="none" w:sz="0" w:space="0" w:color="auto"/>
                  </w:divBdr>
                  <w:divsChild>
                    <w:div w:id="47001227">
                      <w:marLeft w:val="0"/>
                      <w:marRight w:val="0"/>
                      <w:marTop w:val="300"/>
                      <w:marBottom w:val="0"/>
                      <w:divBdr>
                        <w:top w:val="none" w:sz="0" w:space="0" w:color="auto"/>
                        <w:left w:val="none" w:sz="0" w:space="0" w:color="auto"/>
                        <w:bottom w:val="none" w:sz="0" w:space="0" w:color="auto"/>
                        <w:right w:val="none" w:sz="0" w:space="0" w:color="auto"/>
                      </w:divBdr>
                      <w:divsChild>
                        <w:div w:id="796989935">
                          <w:marLeft w:val="0"/>
                          <w:marRight w:val="0"/>
                          <w:marTop w:val="0"/>
                          <w:marBottom w:val="0"/>
                          <w:divBdr>
                            <w:top w:val="none" w:sz="0" w:space="0" w:color="auto"/>
                            <w:left w:val="none" w:sz="0" w:space="0" w:color="auto"/>
                            <w:bottom w:val="none" w:sz="0" w:space="0" w:color="auto"/>
                            <w:right w:val="none" w:sz="0" w:space="0" w:color="auto"/>
                          </w:divBdr>
                          <w:divsChild>
                            <w:div w:id="6105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137204">
                      <w:marLeft w:val="0"/>
                      <w:marRight w:val="0"/>
                      <w:marTop w:val="150"/>
                      <w:marBottom w:val="150"/>
                      <w:divBdr>
                        <w:top w:val="none" w:sz="0" w:space="0" w:color="auto"/>
                        <w:left w:val="none" w:sz="0" w:space="0" w:color="auto"/>
                        <w:bottom w:val="none" w:sz="0" w:space="0" w:color="auto"/>
                        <w:right w:val="none" w:sz="0" w:space="0" w:color="auto"/>
                      </w:divBdr>
                      <w:divsChild>
                        <w:div w:id="1291548521">
                          <w:marLeft w:val="0"/>
                          <w:marRight w:val="0"/>
                          <w:marTop w:val="0"/>
                          <w:marBottom w:val="0"/>
                          <w:divBdr>
                            <w:top w:val="none" w:sz="0" w:space="0" w:color="auto"/>
                            <w:left w:val="none" w:sz="0" w:space="0" w:color="auto"/>
                            <w:bottom w:val="none" w:sz="0" w:space="0" w:color="auto"/>
                            <w:right w:val="none" w:sz="0" w:space="0" w:color="auto"/>
                          </w:divBdr>
                          <w:divsChild>
                            <w:div w:id="1247346787">
                              <w:marLeft w:val="0"/>
                              <w:marRight w:val="0"/>
                              <w:marTop w:val="0"/>
                              <w:marBottom w:val="0"/>
                              <w:divBdr>
                                <w:top w:val="none" w:sz="0" w:space="0" w:color="auto"/>
                                <w:left w:val="none" w:sz="0" w:space="0" w:color="auto"/>
                                <w:bottom w:val="none" w:sz="0" w:space="0" w:color="auto"/>
                                <w:right w:val="none" w:sz="0" w:space="0" w:color="auto"/>
                              </w:divBdr>
                            </w:div>
                          </w:divsChild>
                        </w:div>
                        <w:div w:id="1778064715">
                          <w:marLeft w:val="0"/>
                          <w:marRight w:val="0"/>
                          <w:marTop w:val="0"/>
                          <w:marBottom w:val="0"/>
                          <w:divBdr>
                            <w:top w:val="none" w:sz="0" w:space="0" w:color="auto"/>
                            <w:left w:val="none" w:sz="0" w:space="0" w:color="auto"/>
                            <w:bottom w:val="none" w:sz="0" w:space="0" w:color="auto"/>
                            <w:right w:val="none" w:sz="0" w:space="0" w:color="auto"/>
                          </w:divBdr>
                        </w:div>
                      </w:divsChild>
                    </w:div>
                    <w:div w:id="1897858398">
                      <w:marLeft w:val="0"/>
                      <w:marRight w:val="0"/>
                      <w:marTop w:val="0"/>
                      <w:marBottom w:val="0"/>
                      <w:divBdr>
                        <w:top w:val="none" w:sz="0" w:space="0" w:color="auto"/>
                        <w:left w:val="none" w:sz="0" w:space="0" w:color="auto"/>
                        <w:bottom w:val="none" w:sz="0" w:space="0" w:color="auto"/>
                        <w:right w:val="none" w:sz="0" w:space="0" w:color="auto"/>
                      </w:divBdr>
                      <w:divsChild>
                        <w:div w:id="76875389">
                          <w:marLeft w:val="0"/>
                          <w:marRight w:val="0"/>
                          <w:marTop w:val="0"/>
                          <w:marBottom w:val="0"/>
                          <w:divBdr>
                            <w:top w:val="none" w:sz="0" w:space="0" w:color="auto"/>
                            <w:left w:val="none" w:sz="0" w:space="0" w:color="auto"/>
                            <w:bottom w:val="none" w:sz="0" w:space="0" w:color="auto"/>
                            <w:right w:val="none" w:sz="0" w:space="0" w:color="auto"/>
                          </w:divBdr>
                          <w:divsChild>
                            <w:div w:id="711928455">
                              <w:marLeft w:val="0"/>
                              <w:marRight w:val="0"/>
                              <w:marTop w:val="0"/>
                              <w:marBottom w:val="0"/>
                              <w:divBdr>
                                <w:top w:val="none" w:sz="0" w:space="0" w:color="auto"/>
                                <w:left w:val="none" w:sz="0" w:space="0" w:color="auto"/>
                                <w:bottom w:val="none" w:sz="0" w:space="0" w:color="auto"/>
                                <w:right w:val="none" w:sz="0" w:space="0" w:color="auto"/>
                              </w:divBdr>
                            </w:div>
                          </w:divsChild>
                        </w:div>
                        <w:div w:id="3036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783729">
      <w:bodyDiv w:val="1"/>
      <w:marLeft w:val="0"/>
      <w:marRight w:val="0"/>
      <w:marTop w:val="0"/>
      <w:marBottom w:val="0"/>
      <w:divBdr>
        <w:top w:val="none" w:sz="0" w:space="0" w:color="auto"/>
        <w:left w:val="none" w:sz="0" w:space="0" w:color="auto"/>
        <w:bottom w:val="none" w:sz="0" w:space="0" w:color="auto"/>
        <w:right w:val="none" w:sz="0" w:space="0" w:color="auto"/>
      </w:divBdr>
    </w:div>
    <w:div w:id="1714500110">
      <w:bodyDiv w:val="1"/>
      <w:marLeft w:val="0"/>
      <w:marRight w:val="0"/>
      <w:marTop w:val="0"/>
      <w:marBottom w:val="0"/>
      <w:divBdr>
        <w:top w:val="none" w:sz="0" w:space="0" w:color="auto"/>
        <w:left w:val="none" w:sz="0" w:space="0" w:color="auto"/>
        <w:bottom w:val="none" w:sz="0" w:space="0" w:color="auto"/>
        <w:right w:val="none" w:sz="0" w:space="0" w:color="auto"/>
      </w:divBdr>
    </w:div>
    <w:div w:id="1717655767">
      <w:bodyDiv w:val="1"/>
      <w:marLeft w:val="0"/>
      <w:marRight w:val="0"/>
      <w:marTop w:val="0"/>
      <w:marBottom w:val="0"/>
      <w:divBdr>
        <w:top w:val="none" w:sz="0" w:space="0" w:color="auto"/>
        <w:left w:val="none" w:sz="0" w:space="0" w:color="auto"/>
        <w:bottom w:val="none" w:sz="0" w:space="0" w:color="auto"/>
        <w:right w:val="none" w:sz="0" w:space="0" w:color="auto"/>
      </w:divBdr>
    </w:div>
    <w:div w:id="1718623475">
      <w:bodyDiv w:val="1"/>
      <w:marLeft w:val="0"/>
      <w:marRight w:val="0"/>
      <w:marTop w:val="0"/>
      <w:marBottom w:val="0"/>
      <w:divBdr>
        <w:top w:val="none" w:sz="0" w:space="0" w:color="auto"/>
        <w:left w:val="none" w:sz="0" w:space="0" w:color="auto"/>
        <w:bottom w:val="none" w:sz="0" w:space="0" w:color="auto"/>
        <w:right w:val="none" w:sz="0" w:space="0" w:color="auto"/>
      </w:divBdr>
    </w:div>
    <w:div w:id="1720587620">
      <w:bodyDiv w:val="1"/>
      <w:marLeft w:val="0"/>
      <w:marRight w:val="0"/>
      <w:marTop w:val="0"/>
      <w:marBottom w:val="0"/>
      <w:divBdr>
        <w:top w:val="none" w:sz="0" w:space="0" w:color="auto"/>
        <w:left w:val="none" w:sz="0" w:space="0" w:color="auto"/>
        <w:bottom w:val="none" w:sz="0" w:space="0" w:color="auto"/>
        <w:right w:val="none" w:sz="0" w:space="0" w:color="auto"/>
      </w:divBdr>
    </w:div>
    <w:div w:id="1720858084">
      <w:bodyDiv w:val="1"/>
      <w:marLeft w:val="0"/>
      <w:marRight w:val="0"/>
      <w:marTop w:val="0"/>
      <w:marBottom w:val="0"/>
      <w:divBdr>
        <w:top w:val="none" w:sz="0" w:space="0" w:color="auto"/>
        <w:left w:val="none" w:sz="0" w:space="0" w:color="auto"/>
        <w:bottom w:val="none" w:sz="0" w:space="0" w:color="auto"/>
        <w:right w:val="none" w:sz="0" w:space="0" w:color="auto"/>
      </w:divBdr>
    </w:div>
    <w:div w:id="1738938242">
      <w:bodyDiv w:val="1"/>
      <w:marLeft w:val="0"/>
      <w:marRight w:val="0"/>
      <w:marTop w:val="0"/>
      <w:marBottom w:val="0"/>
      <w:divBdr>
        <w:top w:val="none" w:sz="0" w:space="0" w:color="auto"/>
        <w:left w:val="none" w:sz="0" w:space="0" w:color="auto"/>
        <w:bottom w:val="none" w:sz="0" w:space="0" w:color="auto"/>
        <w:right w:val="none" w:sz="0" w:space="0" w:color="auto"/>
      </w:divBdr>
    </w:div>
    <w:div w:id="1742219048">
      <w:bodyDiv w:val="1"/>
      <w:marLeft w:val="0"/>
      <w:marRight w:val="0"/>
      <w:marTop w:val="0"/>
      <w:marBottom w:val="0"/>
      <w:divBdr>
        <w:top w:val="none" w:sz="0" w:space="0" w:color="auto"/>
        <w:left w:val="none" w:sz="0" w:space="0" w:color="auto"/>
        <w:bottom w:val="none" w:sz="0" w:space="0" w:color="auto"/>
        <w:right w:val="none" w:sz="0" w:space="0" w:color="auto"/>
      </w:divBdr>
    </w:div>
    <w:div w:id="1742799181">
      <w:bodyDiv w:val="1"/>
      <w:marLeft w:val="0"/>
      <w:marRight w:val="0"/>
      <w:marTop w:val="0"/>
      <w:marBottom w:val="0"/>
      <w:divBdr>
        <w:top w:val="none" w:sz="0" w:space="0" w:color="auto"/>
        <w:left w:val="none" w:sz="0" w:space="0" w:color="auto"/>
        <w:bottom w:val="none" w:sz="0" w:space="0" w:color="auto"/>
        <w:right w:val="none" w:sz="0" w:space="0" w:color="auto"/>
      </w:divBdr>
    </w:div>
    <w:div w:id="1756121900">
      <w:bodyDiv w:val="1"/>
      <w:marLeft w:val="0"/>
      <w:marRight w:val="0"/>
      <w:marTop w:val="0"/>
      <w:marBottom w:val="0"/>
      <w:divBdr>
        <w:top w:val="none" w:sz="0" w:space="0" w:color="auto"/>
        <w:left w:val="none" w:sz="0" w:space="0" w:color="auto"/>
        <w:bottom w:val="none" w:sz="0" w:space="0" w:color="auto"/>
        <w:right w:val="none" w:sz="0" w:space="0" w:color="auto"/>
      </w:divBdr>
    </w:div>
    <w:div w:id="1757365466">
      <w:bodyDiv w:val="1"/>
      <w:marLeft w:val="0"/>
      <w:marRight w:val="0"/>
      <w:marTop w:val="0"/>
      <w:marBottom w:val="0"/>
      <w:divBdr>
        <w:top w:val="none" w:sz="0" w:space="0" w:color="auto"/>
        <w:left w:val="none" w:sz="0" w:space="0" w:color="auto"/>
        <w:bottom w:val="none" w:sz="0" w:space="0" w:color="auto"/>
        <w:right w:val="none" w:sz="0" w:space="0" w:color="auto"/>
      </w:divBdr>
    </w:div>
    <w:div w:id="1758594080">
      <w:bodyDiv w:val="1"/>
      <w:marLeft w:val="0"/>
      <w:marRight w:val="0"/>
      <w:marTop w:val="0"/>
      <w:marBottom w:val="0"/>
      <w:divBdr>
        <w:top w:val="none" w:sz="0" w:space="0" w:color="auto"/>
        <w:left w:val="none" w:sz="0" w:space="0" w:color="auto"/>
        <w:bottom w:val="none" w:sz="0" w:space="0" w:color="auto"/>
        <w:right w:val="none" w:sz="0" w:space="0" w:color="auto"/>
      </w:divBdr>
    </w:div>
    <w:div w:id="1759642851">
      <w:bodyDiv w:val="1"/>
      <w:marLeft w:val="0"/>
      <w:marRight w:val="0"/>
      <w:marTop w:val="0"/>
      <w:marBottom w:val="0"/>
      <w:divBdr>
        <w:top w:val="none" w:sz="0" w:space="0" w:color="auto"/>
        <w:left w:val="none" w:sz="0" w:space="0" w:color="auto"/>
        <w:bottom w:val="none" w:sz="0" w:space="0" w:color="auto"/>
        <w:right w:val="none" w:sz="0" w:space="0" w:color="auto"/>
      </w:divBdr>
    </w:div>
    <w:div w:id="1765372498">
      <w:bodyDiv w:val="1"/>
      <w:marLeft w:val="0"/>
      <w:marRight w:val="0"/>
      <w:marTop w:val="0"/>
      <w:marBottom w:val="0"/>
      <w:divBdr>
        <w:top w:val="none" w:sz="0" w:space="0" w:color="auto"/>
        <w:left w:val="none" w:sz="0" w:space="0" w:color="auto"/>
        <w:bottom w:val="none" w:sz="0" w:space="0" w:color="auto"/>
        <w:right w:val="none" w:sz="0" w:space="0" w:color="auto"/>
      </w:divBdr>
    </w:div>
    <w:div w:id="1772553912">
      <w:bodyDiv w:val="1"/>
      <w:marLeft w:val="0"/>
      <w:marRight w:val="0"/>
      <w:marTop w:val="0"/>
      <w:marBottom w:val="0"/>
      <w:divBdr>
        <w:top w:val="none" w:sz="0" w:space="0" w:color="auto"/>
        <w:left w:val="none" w:sz="0" w:space="0" w:color="auto"/>
        <w:bottom w:val="none" w:sz="0" w:space="0" w:color="auto"/>
        <w:right w:val="none" w:sz="0" w:space="0" w:color="auto"/>
      </w:divBdr>
    </w:div>
    <w:div w:id="1773863091">
      <w:bodyDiv w:val="1"/>
      <w:marLeft w:val="0"/>
      <w:marRight w:val="0"/>
      <w:marTop w:val="0"/>
      <w:marBottom w:val="0"/>
      <w:divBdr>
        <w:top w:val="none" w:sz="0" w:space="0" w:color="auto"/>
        <w:left w:val="none" w:sz="0" w:space="0" w:color="auto"/>
        <w:bottom w:val="none" w:sz="0" w:space="0" w:color="auto"/>
        <w:right w:val="none" w:sz="0" w:space="0" w:color="auto"/>
      </w:divBdr>
    </w:div>
    <w:div w:id="1774208758">
      <w:bodyDiv w:val="1"/>
      <w:marLeft w:val="0"/>
      <w:marRight w:val="0"/>
      <w:marTop w:val="0"/>
      <w:marBottom w:val="0"/>
      <w:divBdr>
        <w:top w:val="none" w:sz="0" w:space="0" w:color="auto"/>
        <w:left w:val="none" w:sz="0" w:space="0" w:color="auto"/>
        <w:bottom w:val="none" w:sz="0" w:space="0" w:color="auto"/>
        <w:right w:val="none" w:sz="0" w:space="0" w:color="auto"/>
      </w:divBdr>
    </w:div>
    <w:div w:id="1774591236">
      <w:bodyDiv w:val="1"/>
      <w:marLeft w:val="0"/>
      <w:marRight w:val="0"/>
      <w:marTop w:val="0"/>
      <w:marBottom w:val="0"/>
      <w:divBdr>
        <w:top w:val="none" w:sz="0" w:space="0" w:color="auto"/>
        <w:left w:val="none" w:sz="0" w:space="0" w:color="auto"/>
        <w:bottom w:val="none" w:sz="0" w:space="0" w:color="auto"/>
        <w:right w:val="none" w:sz="0" w:space="0" w:color="auto"/>
      </w:divBdr>
    </w:div>
    <w:div w:id="1778330599">
      <w:bodyDiv w:val="1"/>
      <w:marLeft w:val="0"/>
      <w:marRight w:val="0"/>
      <w:marTop w:val="0"/>
      <w:marBottom w:val="0"/>
      <w:divBdr>
        <w:top w:val="none" w:sz="0" w:space="0" w:color="auto"/>
        <w:left w:val="none" w:sz="0" w:space="0" w:color="auto"/>
        <w:bottom w:val="none" w:sz="0" w:space="0" w:color="auto"/>
        <w:right w:val="none" w:sz="0" w:space="0" w:color="auto"/>
      </w:divBdr>
    </w:div>
    <w:div w:id="1779982756">
      <w:bodyDiv w:val="1"/>
      <w:marLeft w:val="0"/>
      <w:marRight w:val="0"/>
      <w:marTop w:val="0"/>
      <w:marBottom w:val="0"/>
      <w:divBdr>
        <w:top w:val="none" w:sz="0" w:space="0" w:color="auto"/>
        <w:left w:val="none" w:sz="0" w:space="0" w:color="auto"/>
        <w:bottom w:val="none" w:sz="0" w:space="0" w:color="auto"/>
        <w:right w:val="none" w:sz="0" w:space="0" w:color="auto"/>
      </w:divBdr>
    </w:div>
    <w:div w:id="1782528448">
      <w:bodyDiv w:val="1"/>
      <w:marLeft w:val="0"/>
      <w:marRight w:val="0"/>
      <w:marTop w:val="0"/>
      <w:marBottom w:val="0"/>
      <w:divBdr>
        <w:top w:val="none" w:sz="0" w:space="0" w:color="auto"/>
        <w:left w:val="none" w:sz="0" w:space="0" w:color="auto"/>
        <w:bottom w:val="none" w:sz="0" w:space="0" w:color="auto"/>
        <w:right w:val="none" w:sz="0" w:space="0" w:color="auto"/>
      </w:divBdr>
    </w:div>
    <w:div w:id="1785535042">
      <w:bodyDiv w:val="1"/>
      <w:marLeft w:val="0"/>
      <w:marRight w:val="0"/>
      <w:marTop w:val="0"/>
      <w:marBottom w:val="0"/>
      <w:divBdr>
        <w:top w:val="none" w:sz="0" w:space="0" w:color="auto"/>
        <w:left w:val="none" w:sz="0" w:space="0" w:color="auto"/>
        <w:bottom w:val="none" w:sz="0" w:space="0" w:color="auto"/>
        <w:right w:val="none" w:sz="0" w:space="0" w:color="auto"/>
      </w:divBdr>
    </w:div>
    <w:div w:id="1787769897">
      <w:bodyDiv w:val="1"/>
      <w:marLeft w:val="0"/>
      <w:marRight w:val="0"/>
      <w:marTop w:val="0"/>
      <w:marBottom w:val="0"/>
      <w:divBdr>
        <w:top w:val="none" w:sz="0" w:space="0" w:color="auto"/>
        <w:left w:val="none" w:sz="0" w:space="0" w:color="auto"/>
        <w:bottom w:val="none" w:sz="0" w:space="0" w:color="auto"/>
        <w:right w:val="none" w:sz="0" w:space="0" w:color="auto"/>
      </w:divBdr>
    </w:div>
    <w:div w:id="1790591248">
      <w:bodyDiv w:val="1"/>
      <w:marLeft w:val="0"/>
      <w:marRight w:val="0"/>
      <w:marTop w:val="0"/>
      <w:marBottom w:val="0"/>
      <w:divBdr>
        <w:top w:val="none" w:sz="0" w:space="0" w:color="auto"/>
        <w:left w:val="none" w:sz="0" w:space="0" w:color="auto"/>
        <w:bottom w:val="none" w:sz="0" w:space="0" w:color="auto"/>
        <w:right w:val="none" w:sz="0" w:space="0" w:color="auto"/>
      </w:divBdr>
    </w:div>
    <w:div w:id="1792169594">
      <w:bodyDiv w:val="1"/>
      <w:marLeft w:val="0"/>
      <w:marRight w:val="0"/>
      <w:marTop w:val="0"/>
      <w:marBottom w:val="0"/>
      <w:divBdr>
        <w:top w:val="none" w:sz="0" w:space="0" w:color="auto"/>
        <w:left w:val="none" w:sz="0" w:space="0" w:color="auto"/>
        <w:bottom w:val="none" w:sz="0" w:space="0" w:color="auto"/>
        <w:right w:val="none" w:sz="0" w:space="0" w:color="auto"/>
      </w:divBdr>
    </w:div>
    <w:div w:id="1809468410">
      <w:bodyDiv w:val="1"/>
      <w:marLeft w:val="0"/>
      <w:marRight w:val="0"/>
      <w:marTop w:val="0"/>
      <w:marBottom w:val="0"/>
      <w:divBdr>
        <w:top w:val="none" w:sz="0" w:space="0" w:color="auto"/>
        <w:left w:val="none" w:sz="0" w:space="0" w:color="auto"/>
        <w:bottom w:val="none" w:sz="0" w:space="0" w:color="auto"/>
        <w:right w:val="none" w:sz="0" w:space="0" w:color="auto"/>
      </w:divBdr>
    </w:div>
    <w:div w:id="1811097472">
      <w:bodyDiv w:val="1"/>
      <w:marLeft w:val="0"/>
      <w:marRight w:val="0"/>
      <w:marTop w:val="0"/>
      <w:marBottom w:val="0"/>
      <w:divBdr>
        <w:top w:val="none" w:sz="0" w:space="0" w:color="auto"/>
        <w:left w:val="none" w:sz="0" w:space="0" w:color="auto"/>
        <w:bottom w:val="none" w:sz="0" w:space="0" w:color="auto"/>
        <w:right w:val="none" w:sz="0" w:space="0" w:color="auto"/>
      </w:divBdr>
      <w:divsChild>
        <w:div w:id="907963452">
          <w:marLeft w:val="0"/>
          <w:marRight w:val="0"/>
          <w:marTop w:val="0"/>
          <w:marBottom w:val="0"/>
          <w:divBdr>
            <w:top w:val="none" w:sz="0" w:space="0" w:color="auto"/>
            <w:left w:val="none" w:sz="0" w:space="0" w:color="auto"/>
            <w:bottom w:val="none" w:sz="0" w:space="0" w:color="auto"/>
            <w:right w:val="none" w:sz="0" w:space="0" w:color="auto"/>
          </w:divBdr>
          <w:divsChild>
            <w:div w:id="1275671991">
              <w:marLeft w:val="0"/>
              <w:marRight w:val="0"/>
              <w:marTop w:val="0"/>
              <w:marBottom w:val="0"/>
              <w:divBdr>
                <w:top w:val="none" w:sz="0" w:space="0" w:color="auto"/>
                <w:left w:val="none" w:sz="0" w:space="0" w:color="auto"/>
                <w:bottom w:val="none" w:sz="0" w:space="0" w:color="auto"/>
                <w:right w:val="none" w:sz="0" w:space="0" w:color="auto"/>
              </w:divBdr>
              <w:divsChild>
                <w:div w:id="1925259732">
                  <w:marLeft w:val="0"/>
                  <w:marRight w:val="0"/>
                  <w:marTop w:val="0"/>
                  <w:marBottom w:val="0"/>
                  <w:divBdr>
                    <w:top w:val="none" w:sz="0" w:space="0" w:color="auto"/>
                    <w:left w:val="none" w:sz="0" w:space="0" w:color="auto"/>
                    <w:bottom w:val="none" w:sz="0" w:space="0" w:color="auto"/>
                    <w:right w:val="none" w:sz="0" w:space="0" w:color="auto"/>
                  </w:divBdr>
                  <w:divsChild>
                    <w:div w:id="405342470">
                      <w:marLeft w:val="0"/>
                      <w:marRight w:val="0"/>
                      <w:marTop w:val="150"/>
                      <w:marBottom w:val="150"/>
                      <w:divBdr>
                        <w:top w:val="none" w:sz="0" w:space="0" w:color="auto"/>
                        <w:left w:val="none" w:sz="0" w:space="0" w:color="auto"/>
                        <w:bottom w:val="none" w:sz="0" w:space="0" w:color="auto"/>
                        <w:right w:val="none" w:sz="0" w:space="0" w:color="auto"/>
                      </w:divBdr>
                      <w:divsChild>
                        <w:div w:id="694431007">
                          <w:marLeft w:val="0"/>
                          <w:marRight w:val="0"/>
                          <w:marTop w:val="0"/>
                          <w:marBottom w:val="0"/>
                          <w:divBdr>
                            <w:top w:val="none" w:sz="0" w:space="0" w:color="auto"/>
                            <w:left w:val="none" w:sz="0" w:space="0" w:color="auto"/>
                            <w:bottom w:val="none" w:sz="0" w:space="0" w:color="auto"/>
                            <w:right w:val="none" w:sz="0" w:space="0" w:color="auto"/>
                          </w:divBdr>
                          <w:divsChild>
                            <w:div w:id="1561017092">
                              <w:marLeft w:val="0"/>
                              <w:marRight w:val="0"/>
                              <w:marTop w:val="0"/>
                              <w:marBottom w:val="0"/>
                              <w:divBdr>
                                <w:top w:val="none" w:sz="0" w:space="0" w:color="auto"/>
                                <w:left w:val="none" w:sz="0" w:space="0" w:color="auto"/>
                                <w:bottom w:val="none" w:sz="0" w:space="0" w:color="auto"/>
                                <w:right w:val="none" w:sz="0" w:space="0" w:color="auto"/>
                              </w:divBdr>
                            </w:div>
                          </w:divsChild>
                        </w:div>
                        <w:div w:id="1139105567">
                          <w:marLeft w:val="0"/>
                          <w:marRight w:val="0"/>
                          <w:marTop w:val="0"/>
                          <w:marBottom w:val="0"/>
                          <w:divBdr>
                            <w:top w:val="none" w:sz="0" w:space="0" w:color="auto"/>
                            <w:left w:val="none" w:sz="0" w:space="0" w:color="auto"/>
                            <w:bottom w:val="none" w:sz="0" w:space="0" w:color="auto"/>
                            <w:right w:val="none" w:sz="0" w:space="0" w:color="auto"/>
                          </w:divBdr>
                        </w:div>
                      </w:divsChild>
                    </w:div>
                    <w:div w:id="593363290">
                      <w:marLeft w:val="0"/>
                      <w:marRight w:val="0"/>
                      <w:marTop w:val="300"/>
                      <w:marBottom w:val="0"/>
                      <w:divBdr>
                        <w:top w:val="none" w:sz="0" w:space="0" w:color="auto"/>
                        <w:left w:val="none" w:sz="0" w:space="0" w:color="auto"/>
                        <w:bottom w:val="none" w:sz="0" w:space="0" w:color="auto"/>
                        <w:right w:val="none" w:sz="0" w:space="0" w:color="auto"/>
                      </w:divBdr>
                      <w:divsChild>
                        <w:div w:id="1622490014">
                          <w:marLeft w:val="0"/>
                          <w:marRight w:val="0"/>
                          <w:marTop w:val="0"/>
                          <w:marBottom w:val="0"/>
                          <w:divBdr>
                            <w:top w:val="none" w:sz="0" w:space="0" w:color="auto"/>
                            <w:left w:val="none" w:sz="0" w:space="0" w:color="auto"/>
                            <w:bottom w:val="none" w:sz="0" w:space="0" w:color="auto"/>
                            <w:right w:val="none" w:sz="0" w:space="0" w:color="auto"/>
                          </w:divBdr>
                          <w:divsChild>
                            <w:div w:id="320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09678">
                      <w:marLeft w:val="0"/>
                      <w:marRight w:val="0"/>
                      <w:marTop w:val="0"/>
                      <w:marBottom w:val="0"/>
                      <w:divBdr>
                        <w:top w:val="none" w:sz="0" w:space="0" w:color="auto"/>
                        <w:left w:val="none" w:sz="0" w:space="0" w:color="auto"/>
                        <w:bottom w:val="none" w:sz="0" w:space="0" w:color="auto"/>
                        <w:right w:val="none" w:sz="0" w:space="0" w:color="auto"/>
                      </w:divBdr>
                      <w:divsChild>
                        <w:div w:id="1673606073">
                          <w:marLeft w:val="0"/>
                          <w:marRight w:val="0"/>
                          <w:marTop w:val="0"/>
                          <w:marBottom w:val="0"/>
                          <w:divBdr>
                            <w:top w:val="none" w:sz="0" w:space="0" w:color="auto"/>
                            <w:left w:val="none" w:sz="0" w:space="0" w:color="auto"/>
                            <w:bottom w:val="none" w:sz="0" w:space="0" w:color="auto"/>
                            <w:right w:val="none" w:sz="0" w:space="0" w:color="auto"/>
                          </w:divBdr>
                          <w:divsChild>
                            <w:div w:id="513036133">
                              <w:marLeft w:val="0"/>
                              <w:marRight w:val="0"/>
                              <w:marTop w:val="0"/>
                              <w:marBottom w:val="0"/>
                              <w:divBdr>
                                <w:top w:val="none" w:sz="0" w:space="0" w:color="auto"/>
                                <w:left w:val="none" w:sz="0" w:space="0" w:color="auto"/>
                                <w:bottom w:val="none" w:sz="0" w:space="0" w:color="auto"/>
                                <w:right w:val="none" w:sz="0" w:space="0" w:color="auto"/>
                              </w:divBdr>
                              <w:divsChild>
                                <w:div w:id="96946078">
                                  <w:marLeft w:val="0"/>
                                  <w:marRight w:val="0"/>
                                  <w:marTop w:val="0"/>
                                  <w:marBottom w:val="0"/>
                                  <w:divBdr>
                                    <w:top w:val="none" w:sz="0" w:space="0" w:color="auto"/>
                                    <w:left w:val="none" w:sz="0" w:space="0" w:color="auto"/>
                                    <w:bottom w:val="none" w:sz="0" w:space="0" w:color="auto"/>
                                    <w:right w:val="none" w:sz="0" w:space="0" w:color="auto"/>
                                  </w:divBdr>
                                  <w:divsChild>
                                    <w:div w:id="606086303">
                                      <w:marLeft w:val="0"/>
                                      <w:marRight w:val="0"/>
                                      <w:marTop w:val="0"/>
                                      <w:marBottom w:val="0"/>
                                      <w:divBdr>
                                        <w:top w:val="none" w:sz="0" w:space="0" w:color="auto"/>
                                        <w:left w:val="none" w:sz="0" w:space="0" w:color="auto"/>
                                        <w:bottom w:val="none" w:sz="0" w:space="0" w:color="auto"/>
                                        <w:right w:val="none" w:sz="0" w:space="0" w:color="auto"/>
                                      </w:divBdr>
                                      <w:divsChild>
                                        <w:div w:id="400562452">
                                          <w:marLeft w:val="0"/>
                                          <w:marRight w:val="0"/>
                                          <w:marTop w:val="0"/>
                                          <w:marBottom w:val="0"/>
                                          <w:divBdr>
                                            <w:top w:val="none" w:sz="0" w:space="0" w:color="auto"/>
                                            <w:left w:val="none" w:sz="0" w:space="0" w:color="auto"/>
                                            <w:bottom w:val="none" w:sz="0" w:space="0" w:color="auto"/>
                                            <w:right w:val="none" w:sz="0" w:space="0" w:color="auto"/>
                                          </w:divBdr>
                                          <w:divsChild>
                                            <w:div w:id="16449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575624">
                      <w:marLeft w:val="0"/>
                      <w:marRight w:val="0"/>
                      <w:marTop w:val="0"/>
                      <w:marBottom w:val="0"/>
                      <w:divBdr>
                        <w:top w:val="none" w:sz="0" w:space="0" w:color="auto"/>
                        <w:left w:val="none" w:sz="0" w:space="0" w:color="auto"/>
                        <w:bottom w:val="none" w:sz="0" w:space="0" w:color="auto"/>
                        <w:right w:val="none" w:sz="0" w:space="0" w:color="auto"/>
                      </w:divBdr>
                      <w:divsChild>
                        <w:div w:id="1450196586">
                          <w:marLeft w:val="0"/>
                          <w:marRight w:val="0"/>
                          <w:marTop w:val="0"/>
                          <w:marBottom w:val="0"/>
                          <w:divBdr>
                            <w:top w:val="none" w:sz="0" w:space="0" w:color="auto"/>
                            <w:left w:val="none" w:sz="0" w:space="0" w:color="auto"/>
                            <w:bottom w:val="none" w:sz="0" w:space="0" w:color="auto"/>
                            <w:right w:val="none" w:sz="0" w:space="0" w:color="auto"/>
                          </w:divBdr>
                          <w:divsChild>
                            <w:div w:id="1588616357">
                              <w:marLeft w:val="0"/>
                              <w:marRight w:val="0"/>
                              <w:marTop w:val="0"/>
                              <w:marBottom w:val="0"/>
                              <w:divBdr>
                                <w:top w:val="none" w:sz="0" w:space="0" w:color="auto"/>
                                <w:left w:val="none" w:sz="0" w:space="0" w:color="auto"/>
                                <w:bottom w:val="none" w:sz="0" w:space="0" w:color="auto"/>
                                <w:right w:val="none" w:sz="0" w:space="0" w:color="auto"/>
                              </w:divBdr>
                            </w:div>
                          </w:divsChild>
                        </w:div>
                        <w:div w:id="15364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060419">
      <w:bodyDiv w:val="1"/>
      <w:marLeft w:val="0"/>
      <w:marRight w:val="0"/>
      <w:marTop w:val="0"/>
      <w:marBottom w:val="0"/>
      <w:divBdr>
        <w:top w:val="none" w:sz="0" w:space="0" w:color="auto"/>
        <w:left w:val="none" w:sz="0" w:space="0" w:color="auto"/>
        <w:bottom w:val="none" w:sz="0" w:space="0" w:color="auto"/>
        <w:right w:val="none" w:sz="0" w:space="0" w:color="auto"/>
      </w:divBdr>
    </w:div>
    <w:div w:id="1815029372">
      <w:bodyDiv w:val="1"/>
      <w:marLeft w:val="0"/>
      <w:marRight w:val="0"/>
      <w:marTop w:val="0"/>
      <w:marBottom w:val="0"/>
      <w:divBdr>
        <w:top w:val="none" w:sz="0" w:space="0" w:color="auto"/>
        <w:left w:val="none" w:sz="0" w:space="0" w:color="auto"/>
        <w:bottom w:val="none" w:sz="0" w:space="0" w:color="auto"/>
        <w:right w:val="none" w:sz="0" w:space="0" w:color="auto"/>
      </w:divBdr>
    </w:div>
    <w:div w:id="1818954727">
      <w:bodyDiv w:val="1"/>
      <w:marLeft w:val="0"/>
      <w:marRight w:val="0"/>
      <w:marTop w:val="0"/>
      <w:marBottom w:val="0"/>
      <w:divBdr>
        <w:top w:val="none" w:sz="0" w:space="0" w:color="auto"/>
        <w:left w:val="none" w:sz="0" w:space="0" w:color="auto"/>
        <w:bottom w:val="none" w:sz="0" w:space="0" w:color="auto"/>
        <w:right w:val="none" w:sz="0" w:space="0" w:color="auto"/>
      </w:divBdr>
    </w:div>
    <w:div w:id="1829321958">
      <w:bodyDiv w:val="1"/>
      <w:marLeft w:val="0"/>
      <w:marRight w:val="0"/>
      <w:marTop w:val="0"/>
      <w:marBottom w:val="0"/>
      <w:divBdr>
        <w:top w:val="none" w:sz="0" w:space="0" w:color="auto"/>
        <w:left w:val="none" w:sz="0" w:space="0" w:color="auto"/>
        <w:bottom w:val="none" w:sz="0" w:space="0" w:color="auto"/>
        <w:right w:val="none" w:sz="0" w:space="0" w:color="auto"/>
      </w:divBdr>
    </w:div>
    <w:div w:id="1840003980">
      <w:bodyDiv w:val="1"/>
      <w:marLeft w:val="0"/>
      <w:marRight w:val="0"/>
      <w:marTop w:val="0"/>
      <w:marBottom w:val="0"/>
      <w:divBdr>
        <w:top w:val="none" w:sz="0" w:space="0" w:color="auto"/>
        <w:left w:val="none" w:sz="0" w:space="0" w:color="auto"/>
        <w:bottom w:val="none" w:sz="0" w:space="0" w:color="auto"/>
        <w:right w:val="none" w:sz="0" w:space="0" w:color="auto"/>
      </w:divBdr>
    </w:div>
    <w:div w:id="1845313936">
      <w:bodyDiv w:val="1"/>
      <w:marLeft w:val="0"/>
      <w:marRight w:val="0"/>
      <w:marTop w:val="0"/>
      <w:marBottom w:val="0"/>
      <w:divBdr>
        <w:top w:val="none" w:sz="0" w:space="0" w:color="auto"/>
        <w:left w:val="none" w:sz="0" w:space="0" w:color="auto"/>
        <w:bottom w:val="none" w:sz="0" w:space="0" w:color="auto"/>
        <w:right w:val="none" w:sz="0" w:space="0" w:color="auto"/>
      </w:divBdr>
      <w:divsChild>
        <w:div w:id="362248677">
          <w:marLeft w:val="0"/>
          <w:marRight w:val="0"/>
          <w:marTop w:val="0"/>
          <w:marBottom w:val="0"/>
          <w:divBdr>
            <w:top w:val="none" w:sz="0" w:space="0" w:color="auto"/>
            <w:left w:val="none" w:sz="0" w:space="0" w:color="auto"/>
            <w:bottom w:val="none" w:sz="0" w:space="0" w:color="auto"/>
            <w:right w:val="none" w:sz="0" w:space="0" w:color="auto"/>
          </w:divBdr>
          <w:divsChild>
            <w:div w:id="1255243061">
              <w:marLeft w:val="0"/>
              <w:marRight w:val="0"/>
              <w:marTop w:val="0"/>
              <w:marBottom w:val="0"/>
              <w:divBdr>
                <w:top w:val="none" w:sz="0" w:space="0" w:color="auto"/>
                <w:left w:val="none" w:sz="0" w:space="0" w:color="auto"/>
                <w:bottom w:val="none" w:sz="0" w:space="0" w:color="auto"/>
                <w:right w:val="none" w:sz="0" w:space="0" w:color="auto"/>
              </w:divBdr>
              <w:divsChild>
                <w:div w:id="31155799">
                  <w:marLeft w:val="0"/>
                  <w:marRight w:val="0"/>
                  <w:marTop w:val="0"/>
                  <w:marBottom w:val="0"/>
                  <w:divBdr>
                    <w:top w:val="none" w:sz="0" w:space="0" w:color="auto"/>
                    <w:left w:val="none" w:sz="0" w:space="0" w:color="auto"/>
                    <w:bottom w:val="none" w:sz="0" w:space="0" w:color="auto"/>
                    <w:right w:val="none" w:sz="0" w:space="0" w:color="auto"/>
                  </w:divBdr>
                  <w:divsChild>
                    <w:div w:id="1076635727">
                      <w:marLeft w:val="0"/>
                      <w:marRight w:val="0"/>
                      <w:marTop w:val="300"/>
                      <w:marBottom w:val="0"/>
                      <w:divBdr>
                        <w:top w:val="none" w:sz="0" w:space="0" w:color="auto"/>
                        <w:left w:val="none" w:sz="0" w:space="0" w:color="auto"/>
                        <w:bottom w:val="none" w:sz="0" w:space="0" w:color="auto"/>
                        <w:right w:val="none" w:sz="0" w:space="0" w:color="auto"/>
                      </w:divBdr>
                      <w:divsChild>
                        <w:div w:id="1050954018">
                          <w:marLeft w:val="0"/>
                          <w:marRight w:val="0"/>
                          <w:marTop w:val="0"/>
                          <w:marBottom w:val="0"/>
                          <w:divBdr>
                            <w:top w:val="none" w:sz="0" w:space="0" w:color="auto"/>
                            <w:left w:val="none" w:sz="0" w:space="0" w:color="auto"/>
                            <w:bottom w:val="none" w:sz="0" w:space="0" w:color="auto"/>
                            <w:right w:val="none" w:sz="0" w:space="0" w:color="auto"/>
                          </w:divBdr>
                          <w:divsChild>
                            <w:div w:id="2574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9471">
                      <w:marLeft w:val="0"/>
                      <w:marRight w:val="0"/>
                      <w:marTop w:val="0"/>
                      <w:marBottom w:val="0"/>
                      <w:divBdr>
                        <w:top w:val="none" w:sz="0" w:space="0" w:color="auto"/>
                        <w:left w:val="none" w:sz="0" w:space="0" w:color="auto"/>
                        <w:bottom w:val="none" w:sz="0" w:space="0" w:color="auto"/>
                        <w:right w:val="none" w:sz="0" w:space="0" w:color="auto"/>
                      </w:divBdr>
                      <w:divsChild>
                        <w:div w:id="866795391">
                          <w:marLeft w:val="0"/>
                          <w:marRight w:val="0"/>
                          <w:marTop w:val="0"/>
                          <w:marBottom w:val="0"/>
                          <w:divBdr>
                            <w:top w:val="none" w:sz="0" w:space="0" w:color="auto"/>
                            <w:left w:val="none" w:sz="0" w:space="0" w:color="auto"/>
                            <w:bottom w:val="none" w:sz="0" w:space="0" w:color="auto"/>
                            <w:right w:val="none" w:sz="0" w:space="0" w:color="auto"/>
                          </w:divBdr>
                          <w:divsChild>
                            <w:div w:id="1537963711">
                              <w:marLeft w:val="0"/>
                              <w:marRight w:val="0"/>
                              <w:marTop w:val="0"/>
                              <w:marBottom w:val="0"/>
                              <w:divBdr>
                                <w:top w:val="none" w:sz="0" w:space="0" w:color="auto"/>
                                <w:left w:val="none" w:sz="0" w:space="0" w:color="auto"/>
                                <w:bottom w:val="none" w:sz="0" w:space="0" w:color="auto"/>
                                <w:right w:val="none" w:sz="0" w:space="0" w:color="auto"/>
                              </w:divBdr>
                            </w:div>
                          </w:divsChild>
                        </w:div>
                        <w:div w:id="15180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37751">
      <w:bodyDiv w:val="1"/>
      <w:marLeft w:val="0"/>
      <w:marRight w:val="0"/>
      <w:marTop w:val="0"/>
      <w:marBottom w:val="0"/>
      <w:divBdr>
        <w:top w:val="none" w:sz="0" w:space="0" w:color="auto"/>
        <w:left w:val="none" w:sz="0" w:space="0" w:color="auto"/>
        <w:bottom w:val="none" w:sz="0" w:space="0" w:color="auto"/>
        <w:right w:val="none" w:sz="0" w:space="0" w:color="auto"/>
      </w:divBdr>
    </w:div>
    <w:div w:id="1863085868">
      <w:bodyDiv w:val="1"/>
      <w:marLeft w:val="0"/>
      <w:marRight w:val="0"/>
      <w:marTop w:val="0"/>
      <w:marBottom w:val="0"/>
      <w:divBdr>
        <w:top w:val="none" w:sz="0" w:space="0" w:color="auto"/>
        <w:left w:val="none" w:sz="0" w:space="0" w:color="auto"/>
        <w:bottom w:val="none" w:sz="0" w:space="0" w:color="auto"/>
        <w:right w:val="none" w:sz="0" w:space="0" w:color="auto"/>
      </w:divBdr>
    </w:div>
    <w:div w:id="1863087470">
      <w:bodyDiv w:val="1"/>
      <w:marLeft w:val="0"/>
      <w:marRight w:val="0"/>
      <w:marTop w:val="0"/>
      <w:marBottom w:val="0"/>
      <w:divBdr>
        <w:top w:val="none" w:sz="0" w:space="0" w:color="auto"/>
        <w:left w:val="none" w:sz="0" w:space="0" w:color="auto"/>
        <w:bottom w:val="none" w:sz="0" w:space="0" w:color="auto"/>
        <w:right w:val="none" w:sz="0" w:space="0" w:color="auto"/>
      </w:divBdr>
    </w:div>
    <w:div w:id="1864853486">
      <w:bodyDiv w:val="1"/>
      <w:marLeft w:val="0"/>
      <w:marRight w:val="0"/>
      <w:marTop w:val="0"/>
      <w:marBottom w:val="0"/>
      <w:divBdr>
        <w:top w:val="none" w:sz="0" w:space="0" w:color="auto"/>
        <w:left w:val="none" w:sz="0" w:space="0" w:color="auto"/>
        <w:bottom w:val="none" w:sz="0" w:space="0" w:color="auto"/>
        <w:right w:val="none" w:sz="0" w:space="0" w:color="auto"/>
      </w:divBdr>
    </w:div>
    <w:div w:id="1868829300">
      <w:bodyDiv w:val="1"/>
      <w:marLeft w:val="0"/>
      <w:marRight w:val="0"/>
      <w:marTop w:val="0"/>
      <w:marBottom w:val="0"/>
      <w:divBdr>
        <w:top w:val="none" w:sz="0" w:space="0" w:color="auto"/>
        <w:left w:val="none" w:sz="0" w:space="0" w:color="auto"/>
        <w:bottom w:val="none" w:sz="0" w:space="0" w:color="auto"/>
        <w:right w:val="none" w:sz="0" w:space="0" w:color="auto"/>
      </w:divBdr>
    </w:div>
    <w:div w:id="1869247387">
      <w:bodyDiv w:val="1"/>
      <w:marLeft w:val="0"/>
      <w:marRight w:val="0"/>
      <w:marTop w:val="0"/>
      <w:marBottom w:val="0"/>
      <w:divBdr>
        <w:top w:val="none" w:sz="0" w:space="0" w:color="auto"/>
        <w:left w:val="none" w:sz="0" w:space="0" w:color="auto"/>
        <w:bottom w:val="none" w:sz="0" w:space="0" w:color="auto"/>
        <w:right w:val="none" w:sz="0" w:space="0" w:color="auto"/>
      </w:divBdr>
    </w:div>
    <w:div w:id="1874075963">
      <w:bodyDiv w:val="1"/>
      <w:marLeft w:val="0"/>
      <w:marRight w:val="0"/>
      <w:marTop w:val="0"/>
      <w:marBottom w:val="0"/>
      <w:divBdr>
        <w:top w:val="none" w:sz="0" w:space="0" w:color="auto"/>
        <w:left w:val="none" w:sz="0" w:space="0" w:color="auto"/>
        <w:bottom w:val="none" w:sz="0" w:space="0" w:color="auto"/>
        <w:right w:val="none" w:sz="0" w:space="0" w:color="auto"/>
      </w:divBdr>
    </w:div>
    <w:div w:id="1877816131">
      <w:bodyDiv w:val="1"/>
      <w:marLeft w:val="0"/>
      <w:marRight w:val="0"/>
      <w:marTop w:val="0"/>
      <w:marBottom w:val="0"/>
      <w:divBdr>
        <w:top w:val="none" w:sz="0" w:space="0" w:color="auto"/>
        <w:left w:val="none" w:sz="0" w:space="0" w:color="auto"/>
        <w:bottom w:val="none" w:sz="0" w:space="0" w:color="auto"/>
        <w:right w:val="none" w:sz="0" w:space="0" w:color="auto"/>
      </w:divBdr>
    </w:div>
    <w:div w:id="1878202806">
      <w:bodyDiv w:val="1"/>
      <w:marLeft w:val="0"/>
      <w:marRight w:val="0"/>
      <w:marTop w:val="0"/>
      <w:marBottom w:val="0"/>
      <w:divBdr>
        <w:top w:val="none" w:sz="0" w:space="0" w:color="auto"/>
        <w:left w:val="none" w:sz="0" w:space="0" w:color="auto"/>
        <w:bottom w:val="none" w:sz="0" w:space="0" w:color="auto"/>
        <w:right w:val="none" w:sz="0" w:space="0" w:color="auto"/>
      </w:divBdr>
    </w:div>
    <w:div w:id="1879706819">
      <w:bodyDiv w:val="1"/>
      <w:marLeft w:val="0"/>
      <w:marRight w:val="0"/>
      <w:marTop w:val="0"/>
      <w:marBottom w:val="0"/>
      <w:divBdr>
        <w:top w:val="none" w:sz="0" w:space="0" w:color="auto"/>
        <w:left w:val="none" w:sz="0" w:space="0" w:color="auto"/>
        <w:bottom w:val="none" w:sz="0" w:space="0" w:color="auto"/>
        <w:right w:val="none" w:sz="0" w:space="0" w:color="auto"/>
      </w:divBdr>
    </w:div>
    <w:div w:id="1882550435">
      <w:bodyDiv w:val="1"/>
      <w:marLeft w:val="0"/>
      <w:marRight w:val="0"/>
      <w:marTop w:val="0"/>
      <w:marBottom w:val="0"/>
      <w:divBdr>
        <w:top w:val="none" w:sz="0" w:space="0" w:color="auto"/>
        <w:left w:val="none" w:sz="0" w:space="0" w:color="auto"/>
        <w:bottom w:val="none" w:sz="0" w:space="0" w:color="auto"/>
        <w:right w:val="none" w:sz="0" w:space="0" w:color="auto"/>
      </w:divBdr>
    </w:div>
    <w:div w:id="1883009109">
      <w:bodyDiv w:val="1"/>
      <w:marLeft w:val="0"/>
      <w:marRight w:val="0"/>
      <w:marTop w:val="0"/>
      <w:marBottom w:val="0"/>
      <w:divBdr>
        <w:top w:val="none" w:sz="0" w:space="0" w:color="auto"/>
        <w:left w:val="none" w:sz="0" w:space="0" w:color="auto"/>
        <w:bottom w:val="none" w:sz="0" w:space="0" w:color="auto"/>
        <w:right w:val="none" w:sz="0" w:space="0" w:color="auto"/>
      </w:divBdr>
    </w:div>
    <w:div w:id="1883469800">
      <w:bodyDiv w:val="1"/>
      <w:marLeft w:val="0"/>
      <w:marRight w:val="0"/>
      <w:marTop w:val="0"/>
      <w:marBottom w:val="0"/>
      <w:divBdr>
        <w:top w:val="none" w:sz="0" w:space="0" w:color="auto"/>
        <w:left w:val="none" w:sz="0" w:space="0" w:color="auto"/>
        <w:bottom w:val="none" w:sz="0" w:space="0" w:color="auto"/>
        <w:right w:val="none" w:sz="0" w:space="0" w:color="auto"/>
      </w:divBdr>
    </w:div>
    <w:div w:id="1886522447">
      <w:bodyDiv w:val="1"/>
      <w:marLeft w:val="0"/>
      <w:marRight w:val="0"/>
      <w:marTop w:val="0"/>
      <w:marBottom w:val="0"/>
      <w:divBdr>
        <w:top w:val="none" w:sz="0" w:space="0" w:color="auto"/>
        <w:left w:val="none" w:sz="0" w:space="0" w:color="auto"/>
        <w:bottom w:val="none" w:sz="0" w:space="0" w:color="auto"/>
        <w:right w:val="none" w:sz="0" w:space="0" w:color="auto"/>
      </w:divBdr>
    </w:div>
    <w:div w:id="1889760342">
      <w:bodyDiv w:val="1"/>
      <w:marLeft w:val="0"/>
      <w:marRight w:val="0"/>
      <w:marTop w:val="0"/>
      <w:marBottom w:val="0"/>
      <w:divBdr>
        <w:top w:val="none" w:sz="0" w:space="0" w:color="auto"/>
        <w:left w:val="none" w:sz="0" w:space="0" w:color="auto"/>
        <w:bottom w:val="none" w:sz="0" w:space="0" w:color="auto"/>
        <w:right w:val="none" w:sz="0" w:space="0" w:color="auto"/>
      </w:divBdr>
    </w:div>
    <w:div w:id="1897816713">
      <w:bodyDiv w:val="1"/>
      <w:marLeft w:val="0"/>
      <w:marRight w:val="0"/>
      <w:marTop w:val="0"/>
      <w:marBottom w:val="0"/>
      <w:divBdr>
        <w:top w:val="none" w:sz="0" w:space="0" w:color="auto"/>
        <w:left w:val="none" w:sz="0" w:space="0" w:color="auto"/>
        <w:bottom w:val="none" w:sz="0" w:space="0" w:color="auto"/>
        <w:right w:val="none" w:sz="0" w:space="0" w:color="auto"/>
      </w:divBdr>
    </w:div>
    <w:div w:id="1903178591">
      <w:bodyDiv w:val="1"/>
      <w:marLeft w:val="0"/>
      <w:marRight w:val="0"/>
      <w:marTop w:val="0"/>
      <w:marBottom w:val="0"/>
      <w:divBdr>
        <w:top w:val="none" w:sz="0" w:space="0" w:color="auto"/>
        <w:left w:val="none" w:sz="0" w:space="0" w:color="auto"/>
        <w:bottom w:val="none" w:sz="0" w:space="0" w:color="auto"/>
        <w:right w:val="none" w:sz="0" w:space="0" w:color="auto"/>
      </w:divBdr>
    </w:div>
    <w:div w:id="1913276178">
      <w:bodyDiv w:val="1"/>
      <w:marLeft w:val="0"/>
      <w:marRight w:val="0"/>
      <w:marTop w:val="0"/>
      <w:marBottom w:val="0"/>
      <w:divBdr>
        <w:top w:val="none" w:sz="0" w:space="0" w:color="auto"/>
        <w:left w:val="none" w:sz="0" w:space="0" w:color="auto"/>
        <w:bottom w:val="none" w:sz="0" w:space="0" w:color="auto"/>
        <w:right w:val="none" w:sz="0" w:space="0" w:color="auto"/>
      </w:divBdr>
    </w:div>
    <w:div w:id="1915816827">
      <w:bodyDiv w:val="1"/>
      <w:marLeft w:val="0"/>
      <w:marRight w:val="0"/>
      <w:marTop w:val="0"/>
      <w:marBottom w:val="0"/>
      <w:divBdr>
        <w:top w:val="none" w:sz="0" w:space="0" w:color="auto"/>
        <w:left w:val="none" w:sz="0" w:space="0" w:color="auto"/>
        <w:bottom w:val="none" w:sz="0" w:space="0" w:color="auto"/>
        <w:right w:val="none" w:sz="0" w:space="0" w:color="auto"/>
      </w:divBdr>
    </w:div>
    <w:div w:id="1921014294">
      <w:bodyDiv w:val="1"/>
      <w:marLeft w:val="0"/>
      <w:marRight w:val="0"/>
      <w:marTop w:val="0"/>
      <w:marBottom w:val="0"/>
      <w:divBdr>
        <w:top w:val="none" w:sz="0" w:space="0" w:color="auto"/>
        <w:left w:val="none" w:sz="0" w:space="0" w:color="auto"/>
        <w:bottom w:val="none" w:sz="0" w:space="0" w:color="auto"/>
        <w:right w:val="none" w:sz="0" w:space="0" w:color="auto"/>
      </w:divBdr>
    </w:div>
    <w:div w:id="1930455861">
      <w:bodyDiv w:val="1"/>
      <w:marLeft w:val="0"/>
      <w:marRight w:val="0"/>
      <w:marTop w:val="0"/>
      <w:marBottom w:val="0"/>
      <w:divBdr>
        <w:top w:val="none" w:sz="0" w:space="0" w:color="auto"/>
        <w:left w:val="none" w:sz="0" w:space="0" w:color="auto"/>
        <w:bottom w:val="none" w:sz="0" w:space="0" w:color="auto"/>
        <w:right w:val="none" w:sz="0" w:space="0" w:color="auto"/>
      </w:divBdr>
    </w:div>
    <w:div w:id="1932548916">
      <w:bodyDiv w:val="1"/>
      <w:marLeft w:val="0"/>
      <w:marRight w:val="0"/>
      <w:marTop w:val="0"/>
      <w:marBottom w:val="0"/>
      <w:divBdr>
        <w:top w:val="none" w:sz="0" w:space="0" w:color="auto"/>
        <w:left w:val="none" w:sz="0" w:space="0" w:color="auto"/>
        <w:bottom w:val="none" w:sz="0" w:space="0" w:color="auto"/>
        <w:right w:val="none" w:sz="0" w:space="0" w:color="auto"/>
      </w:divBdr>
    </w:div>
    <w:div w:id="1935169695">
      <w:bodyDiv w:val="1"/>
      <w:marLeft w:val="0"/>
      <w:marRight w:val="0"/>
      <w:marTop w:val="0"/>
      <w:marBottom w:val="0"/>
      <w:divBdr>
        <w:top w:val="none" w:sz="0" w:space="0" w:color="auto"/>
        <w:left w:val="none" w:sz="0" w:space="0" w:color="auto"/>
        <w:bottom w:val="none" w:sz="0" w:space="0" w:color="auto"/>
        <w:right w:val="none" w:sz="0" w:space="0" w:color="auto"/>
      </w:divBdr>
    </w:div>
    <w:div w:id="1935824422">
      <w:bodyDiv w:val="1"/>
      <w:marLeft w:val="0"/>
      <w:marRight w:val="0"/>
      <w:marTop w:val="0"/>
      <w:marBottom w:val="0"/>
      <w:divBdr>
        <w:top w:val="none" w:sz="0" w:space="0" w:color="auto"/>
        <w:left w:val="none" w:sz="0" w:space="0" w:color="auto"/>
        <w:bottom w:val="none" w:sz="0" w:space="0" w:color="auto"/>
        <w:right w:val="none" w:sz="0" w:space="0" w:color="auto"/>
      </w:divBdr>
    </w:div>
    <w:div w:id="1943415143">
      <w:bodyDiv w:val="1"/>
      <w:marLeft w:val="0"/>
      <w:marRight w:val="0"/>
      <w:marTop w:val="0"/>
      <w:marBottom w:val="0"/>
      <w:divBdr>
        <w:top w:val="none" w:sz="0" w:space="0" w:color="auto"/>
        <w:left w:val="none" w:sz="0" w:space="0" w:color="auto"/>
        <w:bottom w:val="none" w:sz="0" w:space="0" w:color="auto"/>
        <w:right w:val="none" w:sz="0" w:space="0" w:color="auto"/>
      </w:divBdr>
    </w:div>
    <w:div w:id="1944529729">
      <w:bodyDiv w:val="1"/>
      <w:marLeft w:val="0"/>
      <w:marRight w:val="0"/>
      <w:marTop w:val="0"/>
      <w:marBottom w:val="0"/>
      <w:divBdr>
        <w:top w:val="none" w:sz="0" w:space="0" w:color="auto"/>
        <w:left w:val="none" w:sz="0" w:space="0" w:color="auto"/>
        <w:bottom w:val="none" w:sz="0" w:space="0" w:color="auto"/>
        <w:right w:val="none" w:sz="0" w:space="0" w:color="auto"/>
      </w:divBdr>
    </w:div>
    <w:div w:id="1944535031">
      <w:bodyDiv w:val="1"/>
      <w:marLeft w:val="0"/>
      <w:marRight w:val="0"/>
      <w:marTop w:val="0"/>
      <w:marBottom w:val="0"/>
      <w:divBdr>
        <w:top w:val="none" w:sz="0" w:space="0" w:color="auto"/>
        <w:left w:val="none" w:sz="0" w:space="0" w:color="auto"/>
        <w:bottom w:val="none" w:sz="0" w:space="0" w:color="auto"/>
        <w:right w:val="none" w:sz="0" w:space="0" w:color="auto"/>
      </w:divBdr>
    </w:div>
    <w:div w:id="1951937258">
      <w:bodyDiv w:val="1"/>
      <w:marLeft w:val="0"/>
      <w:marRight w:val="0"/>
      <w:marTop w:val="0"/>
      <w:marBottom w:val="0"/>
      <w:divBdr>
        <w:top w:val="none" w:sz="0" w:space="0" w:color="auto"/>
        <w:left w:val="none" w:sz="0" w:space="0" w:color="auto"/>
        <w:bottom w:val="none" w:sz="0" w:space="0" w:color="auto"/>
        <w:right w:val="none" w:sz="0" w:space="0" w:color="auto"/>
      </w:divBdr>
    </w:div>
    <w:div w:id="1957054519">
      <w:bodyDiv w:val="1"/>
      <w:marLeft w:val="0"/>
      <w:marRight w:val="0"/>
      <w:marTop w:val="0"/>
      <w:marBottom w:val="0"/>
      <w:divBdr>
        <w:top w:val="none" w:sz="0" w:space="0" w:color="auto"/>
        <w:left w:val="none" w:sz="0" w:space="0" w:color="auto"/>
        <w:bottom w:val="none" w:sz="0" w:space="0" w:color="auto"/>
        <w:right w:val="none" w:sz="0" w:space="0" w:color="auto"/>
      </w:divBdr>
    </w:div>
    <w:div w:id="1957055578">
      <w:bodyDiv w:val="1"/>
      <w:marLeft w:val="0"/>
      <w:marRight w:val="0"/>
      <w:marTop w:val="0"/>
      <w:marBottom w:val="0"/>
      <w:divBdr>
        <w:top w:val="none" w:sz="0" w:space="0" w:color="auto"/>
        <w:left w:val="none" w:sz="0" w:space="0" w:color="auto"/>
        <w:bottom w:val="none" w:sz="0" w:space="0" w:color="auto"/>
        <w:right w:val="none" w:sz="0" w:space="0" w:color="auto"/>
      </w:divBdr>
    </w:div>
    <w:div w:id="1961181693">
      <w:bodyDiv w:val="1"/>
      <w:marLeft w:val="0"/>
      <w:marRight w:val="0"/>
      <w:marTop w:val="0"/>
      <w:marBottom w:val="0"/>
      <w:divBdr>
        <w:top w:val="none" w:sz="0" w:space="0" w:color="auto"/>
        <w:left w:val="none" w:sz="0" w:space="0" w:color="auto"/>
        <w:bottom w:val="none" w:sz="0" w:space="0" w:color="auto"/>
        <w:right w:val="none" w:sz="0" w:space="0" w:color="auto"/>
      </w:divBdr>
    </w:div>
    <w:div w:id="1962876785">
      <w:bodyDiv w:val="1"/>
      <w:marLeft w:val="0"/>
      <w:marRight w:val="0"/>
      <w:marTop w:val="0"/>
      <w:marBottom w:val="0"/>
      <w:divBdr>
        <w:top w:val="none" w:sz="0" w:space="0" w:color="auto"/>
        <w:left w:val="none" w:sz="0" w:space="0" w:color="auto"/>
        <w:bottom w:val="none" w:sz="0" w:space="0" w:color="auto"/>
        <w:right w:val="none" w:sz="0" w:space="0" w:color="auto"/>
      </w:divBdr>
    </w:div>
    <w:div w:id="1964380980">
      <w:bodyDiv w:val="1"/>
      <w:marLeft w:val="0"/>
      <w:marRight w:val="0"/>
      <w:marTop w:val="0"/>
      <w:marBottom w:val="0"/>
      <w:divBdr>
        <w:top w:val="none" w:sz="0" w:space="0" w:color="auto"/>
        <w:left w:val="none" w:sz="0" w:space="0" w:color="auto"/>
        <w:bottom w:val="none" w:sz="0" w:space="0" w:color="auto"/>
        <w:right w:val="none" w:sz="0" w:space="0" w:color="auto"/>
      </w:divBdr>
    </w:div>
    <w:div w:id="1966886402">
      <w:bodyDiv w:val="1"/>
      <w:marLeft w:val="0"/>
      <w:marRight w:val="0"/>
      <w:marTop w:val="0"/>
      <w:marBottom w:val="0"/>
      <w:divBdr>
        <w:top w:val="none" w:sz="0" w:space="0" w:color="auto"/>
        <w:left w:val="none" w:sz="0" w:space="0" w:color="auto"/>
        <w:bottom w:val="none" w:sz="0" w:space="0" w:color="auto"/>
        <w:right w:val="none" w:sz="0" w:space="0" w:color="auto"/>
      </w:divBdr>
      <w:divsChild>
        <w:div w:id="1233857437">
          <w:marLeft w:val="0"/>
          <w:marRight w:val="0"/>
          <w:marTop w:val="0"/>
          <w:marBottom w:val="180"/>
          <w:divBdr>
            <w:top w:val="none" w:sz="0" w:space="0" w:color="auto"/>
            <w:left w:val="none" w:sz="0" w:space="0" w:color="auto"/>
            <w:bottom w:val="none" w:sz="0" w:space="0" w:color="auto"/>
            <w:right w:val="none" w:sz="0" w:space="0" w:color="auto"/>
          </w:divBdr>
        </w:div>
      </w:divsChild>
    </w:div>
    <w:div w:id="1968973992">
      <w:bodyDiv w:val="1"/>
      <w:marLeft w:val="0"/>
      <w:marRight w:val="0"/>
      <w:marTop w:val="0"/>
      <w:marBottom w:val="0"/>
      <w:divBdr>
        <w:top w:val="none" w:sz="0" w:space="0" w:color="auto"/>
        <w:left w:val="none" w:sz="0" w:space="0" w:color="auto"/>
        <w:bottom w:val="none" w:sz="0" w:space="0" w:color="auto"/>
        <w:right w:val="none" w:sz="0" w:space="0" w:color="auto"/>
      </w:divBdr>
    </w:div>
    <w:div w:id="1970476266">
      <w:bodyDiv w:val="1"/>
      <w:marLeft w:val="0"/>
      <w:marRight w:val="0"/>
      <w:marTop w:val="0"/>
      <w:marBottom w:val="0"/>
      <w:divBdr>
        <w:top w:val="none" w:sz="0" w:space="0" w:color="auto"/>
        <w:left w:val="none" w:sz="0" w:space="0" w:color="auto"/>
        <w:bottom w:val="none" w:sz="0" w:space="0" w:color="auto"/>
        <w:right w:val="none" w:sz="0" w:space="0" w:color="auto"/>
      </w:divBdr>
      <w:divsChild>
        <w:div w:id="1918778866">
          <w:marLeft w:val="0"/>
          <w:marRight w:val="0"/>
          <w:marTop w:val="0"/>
          <w:marBottom w:val="0"/>
          <w:divBdr>
            <w:top w:val="none" w:sz="0" w:space="0" w:color="auto"/>
            <w:left w:val="none" w:sz="0" w:space="0" w:color="auto"/>
            <w:bottom w:val="none" w:sz="0" w:space="0" w:color="auto"/>
            <w:right w:val="none" w:sz="0" w:space="0" w:color="auto"/>
          </w:divBdr>
          <w:divsChild>
            <w:div w:id="1662462425">
              <w:marLeft w:val="0"/>
              <w:marRight w:val="0"/>
              <w:marTop w:val="0"/>
              <w:marBottom w:val="0"/>
              <w:divBdr>
                <w:top w:val="none" w:sz="0" w:space="0" w:color="auto"/>
                <w:left w:val="none" w:sz="0" w:space="0" w:color="auto"/>
                <w:bottom w:val="none" w:sz="0" w:space="0" w:color="auto"/>
                <w:right w:val="none" w:sz="0" w:space="0" w:color="auto"/>
              </w:divBdr>
              <w:divsChild>
                <w:div w:id="2075008441">
                  <w:marLeft w:val="0"/>
                  <w:marRight w:val="0"/>
                  <w:marTop w:val="0"/>
                  <w:marBottom w:val="0"/>
                  <w:divBdr>
                    <w:top w:val="none" w:sz="0" w:space="0" w:color="auto"/>
                    <w:left w:val="none" w:sz="0" w:space="0" w:color="auto"/>
                    <w:bottom w:val="none" w:sz="0" w:space="0" w:color="auto"/>
                    <w:right w:val="none" w:sz="0" w:space="0" w:color="auto"/>
                  </w:divBdr>
                  <w:divsChild>
                    <w:div w:id="1623615459">
                      <w:marLeft w:val="0"/>
                      <w:marRight w:val="0"/>
                      <w:marTop w:val="0"/>
                      <w:marBottom w:val="0"/>
                      <w:divBdr>
                        <w:top w:val="none" w:sz="0" w:space="0" w:color="auto"/>
                        <w:left w:val="none" w:sz="0" w:space="0" w:color="auto"/>
                        <w:bottom w:val="none" w:sz="0" w:space="0" w:color="auto"/>
                        <w:right w:val="none" w:sz="0" w:space="0" w:color="auto"/>
                      </w:divBdr>
                      <w:divsChild>
                        <w:div w:id="1020352101">
                          <w:marLeft w:val="0"/>
                          <w:marRight w:val="0"/>
                          <w:marTop w:val="0"/>
                          <w:marBottom w:val="0"/>
                          <w:divBdr>
                            <w:top w:val="none" w:sz="0" w:space="0" w:color="auto"/>
                            <w:left w:val="none" w:sz="0" w:space="0" w:color="auto"/>
                            <w:bottom w:val="none" w:sz="0" w:space="0" w:color="auto"/>
                            <w:right w:val="none" w:sz="0" w:space="0" w:color="auto"/>
                          </w:divBdr>
                        </w:div>
                        <w:div w:id="192573750">
                          <w:marLeft w:val="0"/>
                          <w:marRight w:val="0"/>
                          <w:marTop w:val="0"/>
                          <w:marBottom w:val="0"/>
                          <w:divBdr>
                            <w:top w:val="none" w:sz="0" w:space="0" w:color="auto"/>
                            <w:left w:val="none" w:sz="0" w:space="0" w:color="auto"/>
                            <w:bottom w:val="none" w:sz="0" w:space="0" w:color="auto"/>
                            <w:right w:val="none" w:sz="0" w:space="0" w:color="auto"/>
                          </w:divBdr>
                          <w:divsChild>
                            <w:div w:id="1426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6823">
                      <w:marLeft w:val="0"/>
                      <w:marRight w:val="0"/>
                      <w:marTop w:val="150"/>
                      <w:marBottom w:val="150"/>
                      <w:divBdr>
                        <w:top w:val="none" w:sz="0" w:space="0" w:color="auto"/>
                        <w:left w:val="none" w:sz="0" w:space="0" w:color="auto"/>
                        <w:bottom w:val="none" w:sz="0" w:space="0" w:color="auto"/>
                        <w:right w:val="none" w:sz="0" w:space="0" w:color="auto"/>
                      </w:divBdr>
                      <w:divsChild>
                        <w:div w:id="583534077">
                          <w:marLeft w:val="0"/>
                          <w:marRight w:val="0"/>
                          <w:marTop w:val="0"/>
                          <w:marBottom w:val="0"/>
                          <w:divBdr>
                            <w:top w:val="none" w:sz="0" w:space="0" w:color="auto"/>
                            <w:left w:val="none" w:sz="0" w:space="0" w:color="auto"/>
                            <w:bottom w:val="none" w:sz="0" w:space="0" w:color="auto"/>
                            <w:right w:val="none" w:sz="0" w:space="0" w:color="auto"/>
                          </w:divBdr>
                        </w:div>
                        <w:div w:id="267321767">
                          <w:marLeft w:val="0"/>
                          <w:marRight w:val="0"/>
                          <w:marTop w:val="0"/>
                          <w:marBottom w:val="0"/>
                          <w:divBdr>
                            <w:top w:val="none" w:sz="0" w:space="0" w:color="auto"/>
                            <w:left w:val="none" w:sz="0" w:space="0" w:color="auto"/>
                            <w:bottom w:val="none" w:sz="0" w:space="0" w:color="auto"/>
                            <w:right w:val="none" w:sz="0" w:space="0" w:color="auto"/>
                          </w:divBdr>
                          <w:divsChild>
                            <w:div w:id="11284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33448">
                      <w:marLeft w:val="0"/>
                      <w:marRight w:val="0"/>
                      <w:marTop w:val="300"/>
                      <w:marBottom w:val="0"/>
                      <w:divBdr>
                        <w:top w:val="none" w:sz="0" w:space="0" w:color="auto"/>
                        <w:left w:val="none" w:sz="0" w:space="0" w:color="auto"/>
                        <w:bottom w:val="none" w:sz="0" w:space="0" w:color="auto"/>
                        <w:right w:val="none" w:sz="0" w:space="0" w:color="auto"/>
                      </w:divBdr>
                      <w:divsChild>
                        <w:div w:id="1720933171">
                          <w:marLeft w:val="0"/>
                          <w:marRight w:val="0"/>
                          <w:marTop w:val="0"/>
                          <w:marBottom w:val="0"/>
                          <w:divBdr>
                            <w:top w:val="none" w:sz="0" w:space="0" w:color="auto"/>
                            <w:left w:val="none" w:sz="0" w:space="0" w:color="auto"/>
                            <w:bottom w:val="none" w:sz="0" w:space="0" w:color="auto"/>
                            <w:right w:val="none" w:sz="0" w:space="0" w:color="auto"/>
                          </w:divBdr>
                          <w:divsChild>
                            <w:div w:id="3906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550348">
      <w:bodyDiv w:val="1"/>
      <w:marLeft w:val="0"/>
      <w:marRight w:val="0"/>
      <w:marTop w:val="0"/>
      <w:marBottom w:val="0"/>
      <w:divBdr>
        <w:top w:val="none" w:sz="0" w:space="0" w:color="auto"/>
        <w:left w:val="none" w:sz="0" w:space="0" w:color="auto"/>
        <w:bottom w:val="none" w:sz="0" w:space="0" w:color="auto"/>
        <w:right w:val="none" w:sz="0" w:space="0" w:color="auto"/>
      </w:divBdr>
    </w:div>
    <w:div w:id="1972125881">
      <w:bodyDiv w:val="1"/>
      <w:marLeft w:val="0"/>
      <w:marRight w:val="0"/>
      <w:marTop w:val="0"/>
      <w:marBottom w:val="0"/>
      <w:divBdr>
        <w:top w:val="none" w:sz="0" w:space="0" w:color="auto"/>
        <w:left w:val="none" w:sz="0" w:space="0" w:color="auto"/>
        <w:bottom w:val="none" w:sz="0" w:space="0" w:color="auto"/>
        <w:right w:val="none" w:sz="0" w:space="0" w:color="auto"/>
      </w:divBdr>
    </w:div>
    <w:div w:id="1976835947">
      <w:bodyDiv w:val="1"/>
      <w:marLeft w:val="0"/>
      <w:marRight w:val="0"/>
      <w:marTop w:val="0"/>
      <w:marBottom w:val="0"/>
      <w:divBdr>
        <w:top w:val="none" w:sz="0" w:space="0" w:color="auto"/>
        <w:left w:val="none" w:sz="0" w:space="0" w:color="auto"/>
        <w:bottom w:val="none" w:sz="0" w:space="0" w:color="auto"/>
        <w:right w:val="none" w:sz="0" w:space="0" w:color="auto"/>
      </w:divBdr>
    </w:div>
    <w:div w:id="1978604636">
      <w:bodyDiv w:val="1"/>
      <w:marLeft w:val="0"/>
      <w:marRight w:val="0"/>
      <w:marTop w:val="0"/>
      <w:marBottom w:val="0"/>
      <w:divBdr>
        <w:top w:val="none" w:sz="0" w:space="0" w:color="auto"/>
        <w:left w:val="none" w:sz="0" w:space="0" w:color="auto"/>
        <w:bottom w:val="none" w:sz="0" w:space="0" w:color="auto"/>
        <w:right w:val="none" w:sz="0" w:space="0" w:color="auto"/>
      </w:divBdr>
    </w:div>
    <w:div w:id="1984266230">
      <w:bodyDiv w:val="1"/>
      <w:marLeft w:val="0"/>
      <w:marRight w:val="0"/>
      <w:marTop w:val="0"/>
      <w:marBottom w:val="0"/>
      <w:divBdr>
        <w:top w:val="none" w:sz="0" w:space="0" w:color="auto"/>
        <w:left w:val="none" w:sz="0" w:space="0" w:color="auto"/>
        <w:bottom w:val="none" w:sz="0" w:space="0" w:color="auto"/>
        <w:right w:val="none" w:sz="0" w:space="0" w:color="auto"/>
      </w:divBdr>
    </w:div>
    <w:div w:id="1997420792">
      <w:bodyDiv w:val="1"/>
      <w:marLeft w:val="0"/>
      <w:marRight w:val="0"/>
      <w:marTop w:val="0"/>
      <w:marBottom w:val="0"/>
      <w:divBdr>
        <w:top w:val="none" w:sz="0" w:space="0" w:color="auto"/>
        <w:left w:val="none" w:sz="0" w:space="0" w:color="auto"/>
        <w:bottom w:val="none" w:sz="0" w:space="0" w:color="auto"/>
        <w:right w:val="none" w:sz="0" w:space="0" w:color="auto"/>
      </w:divBdr>
    </w:div>
    <w:div w:id="2000230396">
      <w:bodyDiv w:val="1"/>
      <w:marLeft w:val="0"/>
      <w:marRight w:val="0"/>
      <w:marTop w:val="0"/>
      <w:marBottom w:val="0"/>
      <w:divBdr>
        <w:top w:val="none" w:sz="0" w:space="0" w:color="auto"/>
        <w:left w:val="none" w:sz="0" w:space="0" w:color="auto"/>
        <w:bottom w:val="none" w:sz="0" w:space="0" w:color="auto"/>
        <w:right w:val="none" w:sz="0" w:space="0" w:color="auto"/>
      </w:divBdr>
    </w:div>
    <w:div w:id="2003048723">
      <w:bodyDiv w:val="1"/>
      <w:marLeft w:val="0"/>
      <w:marRight w:val="0"/>
      <w:marTop w:val="0"/>
      <w:marBottom w:val="0"/>
      <w:divBdr>
        <w:top w:val="none" w:sz="0" w:space="0" w:color="auto"/>
        <w:left w:val="none" w:sz="0" w:space="0" w:color="auto"/>
        <w:bottom w:val="none" w:sz="0" w:space="0" w:color="auto"/>
        <w:right w:val="none" w:sz="0" w:space="0" w:color="auto"/>
      </w:divBdr>
    </w:div>
    <w:div w:id="2012371808">
      <w:bodyDiv w:val="1"/>
      <w:marLeft w:val="0"/>
      <w:marRight w:val="0"/>
      <w:marTop w:val="0"/>
      <w:marBottom w:val="0"/>
      <w:divBdr>
        <w:top w:val="none" w:sz="0" w:space="0" w:color="auto"/>
        <w:left w:val="none" w:sz="0" w:space="0" w:color="auto"/>
        <w:bottom w:val="none" w:sz="0" w:space="0" w:color="auto"/>
        <w:right w:val="none" w:sz="0" w:space="0" w:color="auto"/>
      </w:divBdr>
    </w:div>
    <w:div w:id="2013143729">
      <w:bodyDiv w:val="1"/>
      <w:marLeft w:val="0"/>
      <w:marRight w:val="0"/>
      <w:marTop w:val="0"/>
      <w:marBottom w:val="0"/>
      <w:divBdr>
        <w:top w:val="none" w:sz="0" w:space="0" w:color="auto"/>
        <w:left w:val="none" w:sz="0" w:space="0" w:color="auto"/>
        <w:bottom w:val="none" w:sz="0" w:space="0" w:color="auto"/>
        <w:right w:val="none" w:sz="0" w:space="0" w:color="auto"/>
      </w:divBdr>
      <w:divsChild>
        <w:div w:id="1713260931">
          <w:marLeft w:val="0"/>
          <w:marRight w:val="0"/>
          <w:marTop w:val="0"/>
          <w:marBottom w:val="0"/>
          <w:divBdr>
            <w:top w:val="none" w:sz="0" w:space="0" w:color="auto"/>
            <w:left w:val="none" w:sz="0" w:space="0" w:color="auto"/>
            <w:bottom w:val="none" w:sz="0" w:space="0" w:color="auto"/>
            <w:right w:val="none" w:sz="0" w:space="0" w:color="auto"/>
          </w:divBdr>
          <w:divsChild>
            <w:div w:id="2060085258">
              <w:marLeft w:val="0"/>
              <w:marRight w:val="0"/>
              <w:marTop w:val="0"/>
              <w:marBottom w:val="0"/>
              <w:divBdr>
                <w:top w:val="none" w:sz="0" w:space="0" w:color="auto"/>
                <w:left w:val="none" w:sz="0" w:space="0" w:color="auto"/>
                <w:bottom w:val="none" w:sz="0" w:space="0" w:color="auto"/>
                <w:right w:val="none" w:sz="0" w:space="0" w:color="auto"/>
              </w:divBdr>
              <w:divsChild>
                <w:div w:id="667557883">
                  <w:marLeft w:val="0"/>
                  <w:marRight w:val="0"/>
                  <w:marTop w:val="0"/>
                  <w:marBottom w:val="0"/>
                  <w:divBdr>
                    <w:top w:val="none" w:sz="0" w:space="0" w:color="auto"/>
                    <w:left w:val="none" w:sz="0" w:space="0" w:color="auto"/>
                    <w:bottom w:val="none" w:sz="0" w:space="0" w:color="auto"/>
                    <w:right w:val="none" w:sz="0" w:space="0" w:color="auto"/>
                  </w:divBdr>
                  <w:divsChild>
                    <w:div w:id="2151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76265">
      <w:bodyDiv w:val="1"/>
      <w:marLeft w:val="0"/>
      <w:marRight w:val="0"/>
      <w:marTop w:val="0"/>
      <w:marBottom w:val="0"/>
      <w:divBdr>
        <w:top w:val="none" w:sz="0" w:space="0" w:color="auto"/>
        <w:left w:val="none" w:sz="0" w:space="0" w:color="auto"/>
        <w:bottom w:val="none" w:sz="0" w:space="0" w:color="auto"/>
        <w:right w:val="none" w:sz="0" w:space="0" w:color="auto"/>
      </w:divBdr>
    </w:div>
    <w:div w:id="2031254450">
      <w:bodyDiv w:val="1"/>
      <w:marLeft w:val="0"/>
      <w:marRight w:val="0"/>
      <w:marTop w:val="0"/>
      <w:marBottom w:val="0"/>
      <w:divBdr>
        <w:top w:val="none" w:sz="0" w:space="0" w:color="auto"/>
        <w:left w:val="none" w:sz="0" w:space="0" w:color="auto"/>
        <w:bottom w:val="none" w:sz="0" w:space="0" w:color="auto"/>
        <w:right w:val="none" w:sz="0" w:space="0" w:color="auto"/>
      </w:divBdr>
    </w:div>
    <w:div w:id="2037612018">
      <w:bodyDiv w:val="1"/>
      <w:marLeft w:val="0"/>
      <w:marRight w:val="0"/>
      <w:marTop w:val="0"/>
      <w:marBottom w:val="0"/>
      <w:divBdr>
        <w:top w:val="none" w:sz="0" w:space="0" w:color="auto"/>
        <w:left w:val="none" w:sz="0" w:space="0" w:color="auto"/>
        <w:bottom w:val="none" w:sz="0" w:space="0" w:color="auto"/>
        <w:right w:val="none" w:sz="0" w:space="0" w:color="auto"/>
      </w:divBdr>
    </w:div>
    <w:div w:id="2037651532">
      <w:bodyDiv w:val="1"/>
      <w:marLeft w:val="0"/>
      <w:marRight w:val="0"/>
      <w:marTop w:val="0"/>
      <w:marBottom w:val="0"/>
      <w:divBdr>
        <w:top w:val="none" w:sz="0" w:space="0" w:color="auto"/>
        <w:left w:val="none" w:sz="0" w:space="0" w:color="auto"/>
        <w:bottom w:val="none" w:sz="0" w:space="0" w:color="auto"/>
        <w:right w:val="none" w:sz="0" w:space="0" w:color="auto"/>
      </w:divBdr>
      <w:divsChild>
        <w:div w:id="685909625">
          <w:marLeft w:val="0"/>
          <w:marRight w:val="0"/>
          <w:marTop w:val="0"/>
          <w:marBottom w:val="0"/>
          <w:divBdr>
            <w:top w:val="none" w:sz="0" w:space="0" w:color="auto"/>
            <w:left w:val="none" w:sz="0" w:space="0" w:color="auto"/>
            <w:bottom w:val="none" w:sz="0" w:space="0" w:color="auto"/>
            <w:right w:val="none" w:sz="0" w:space="0" w:color="auto"/>
          </w:divBdr>
        </w:div>
      </w:divsChild>
    </w:div>
    <w:div w:id="2047413767">
      <w:bodyDiv w:val="1"/>
      <w:marLeft w:val="0"/>
      <w:marRight w:val="0"/>
      <w:marTop w:val="0"/>
      <w:marBottom w:val="0"/>
      <w:divBdr>
        <w:top w:val="none" w:sz="0" w:space="0" w:color="auto"/>
        <w:left w:val="none" w:sz="0" w:space="0" w:color="auto"/>
        <w:bottom w:val="none" w:sz="0" w:space="0" w:color="auto"/>
        <w:right w:val="none" w:sz="0" w:space="0" w:color="auto"/>
      </w:divBdr>
    </w:div>
    <w:div w:id="2048482671">
      <w:bodyDiv w:val="1"/>
      <w:marLeft w:val="0"/>
      <w:marRight w:val="0"/>
      <w:marTop w:val="0"/>
      <w:marBottom w:val="0"/>
      <w:divBdr>
        <w:top w:val="none" w:sz="0" w:space="0" w:color="auto"/>
        <w:left w:val="none" w:sz="0" w:space="0" w:color="auto"/>
        <w:bottom w:val="none" w:sz="0" w:space="0" w:color="auto"/>
        <w:right w:val="none" w:sz="0" w:space="0" w:color="auto"/>
      </w:divBdr>
    </w:div>
    <w:div w:id="2054306659">
      <w:bodyDiv w:val="1"/>
      <w:marLeft w:val="0"/>
      <w:marRight w:val="0"/>
      <w:marTop w:val="0"/>
      <w:marBottom w:val="0"/>
      <w:divBdr>
        <w:top w:val="none" w:sz="0" w:space="0" w:color="auto"/>
        <w:left w:val="none" w:sz="0" w:space="0" w:color="auto"/>
        <w:bottom w:val="none" w:sz="0" w:space="0" w:color="auto"/>
        <w:right w:val="none" w:sz="0" w:space="0" w:color="auto"/>
      </w:divBdr>
    </w:div>
    <w:div w:id="2058699799">
      <w:bodyDiv w:val="1"/>
      <w:marLeft w:val="0"/>
      <w:marRight w:val="0"/>
      <w:marTop w:val="0"/>
      <w:marBottom w:val="0"/>
      <w:divBdr>
        <w:top w:val="none" w:sz="0" w:space="0" w:color="auto"/>
        <w:left w:val="none" w:sz="0" w:space="0" w:color="auto"/>
        <w:bottom w:val="none" w:sz="0" w:space="0" w:color="auto"/>
        <w:right w:val="none" w:sz="0" w:space="0" w:color="auto"/>
      </w:divBdr>
    </w:div>
    <w:div w:id="2058816154">
      <w:bodyDiv w:val="1"/>
      <w:marLeft w:val="0"/>
      <w:marRight w:val="0"/>
      <w:marTop w:val="0"/>
      <w:marBottom w:val="0"/>
      <w:divBdr>
        <w:top w:val="none" w:sz="0" w:space="0" w:color="auto"/>
        <w:left w:val="none" w:sz="0" w:space="0" w:color="auto"/>
        <w:bottom w:val="none" w:sz="0" w:space="0" w:color="auto"/>
        <w:right w:val="none" w:sz="0" w:space="0" w:color="auto"/>
      </w:divBdr>
    </w:div>
    <w:div w:id="2073578521">
      <w:bodyDiv w:val="1"/>
      <w:marLeft w:val="0"/>
      <w:marRight w:val="0"/>
      <w:marTop w:val="0"/>
      <w:marBottom w:val="0"/>
      <w:divBdr>
        <w:top w:val="none" w:sz="0" w:space="0" w:color="auto"/>
        <w:left w:val="none" w:sz="0" w:space="0" w:color="auto"/>
        <w:bottom w:val="none" w:sz="0" w:space="0" w:color="auto"/>
        <w:right w:val="none" w:sz="0" w:space="0" w:color="auto"/>
      </w:divBdr>
    </w:div>
    <w:div w:id="2075930426">
      <w:bodyDiv w:val="1"/>
      <w:marLeft w:val="0"/>
      <w:marRight w:val="0"/>
      <w:marTop w:val="0"/>
      <w:marBottom w:val="0"/>
      <w:divBdr>
        <w:top w:val="none" w:sz="0" w:space="0" w:color="auto"/>
        <w:left w:val="none" w:sz="0" w:space="0" w:color="auto"/>
        <w:bottom w:val="none" w:sz="0" w:space="0" w:color="auto"/>
        <w:right w:val="none" w:sz="0" w:space="0" w:color="auto"/>
      </w:divBdr>
    </w:div>
    <w:div w:id="2077581004">
      <w:bodyDiv w:val="1"/>
      <w:marLeft w:val="0"/>
      <w:marRight w:val="0"/>
      <w:marTop w:val="0"/>
      <w:marBottom w:val="0"/>
      <w:divBdr>
        <w:top w:val="none" w:sz="0" w:space="0" w:color="auto"/>
        <w:left w:val="none" w:sz="0" w:space="0" w:color="auto"/>
        <w:bottom w:val="none" w:sz="0" w:space="0" w:color="auto"/>
        <w:right w:val="none" w:sz="0" w:space="0" w:color="auto"/>
      </w:divBdr>
    </w:div>
    <w:div w:id="2083142565">
      <w:bodyDiv w:val="1"/>
      <w:marLeft w:val="0"/>
      <w:marRight w:val="0"/>
      <w:marTop w:val="0"/>
      <w:marBottom w:val="0"/>
      <w:divBdr>
        <w:top w:val="none" w:sz="0" w:space="0" w:color="auto"/>
        <w:left w:val="none" w:sz="0" w:space="0" w:color="auto"/>
        <w:bottom w:val="none" w:sz="0" w:space="0" w:color="auto"/>
        <w:right w:val="none" w:sz="0" w:space="0" w:color="auto"/>
      </w:divBdr>
    </w:div>
    <w:div w:id="2084639956">
      <w:bodyDiv w:val="1"/>
      <w:marLeft w:val="0"/>
      <w:marRight w:val="0"/>
      <w:marTop w:val="0"/>
      <w:marBottom w:val="0"/>
      <w:divBdr>
        <w:top w:val="none" w:sz="0" w:space="0" w:color="auto"/>
        <w:left w:val="none" w:sz="0" w:space="0" w:color="auto"/>
        <w:bottom w:val="none" w:sz="0" w:space="0" w:color="auto"/>
        <w:right w:val="none" w:sz="0" w:space="0" w:color="auto"/>
      </w:divBdr>
    </w:div>
    <w:div w:id="2090954569">
      <w:bodyDiv w:val="1"/>
      <w:marLeft w:val="0"/>
      <w:marRight w:val="0"/>
      <w:marTop w:val="0"/>
      <w:marBottom w:val="0"/>
      <w:divBdr>
        <w:top w:val="none" w:sz="0" w:space="0" w:color="auto"/>
        <w:left w:val="none" w:sz="0" w:space="0" w:color="auto"/>
        <w:bottom w:val="none" w:sz="0" w:space="0" w:color="auto"/>
        <w:right w:val="none" w:sz="0" w:space="0" w:color="auto"/>
      </w:divBdr>
    </w:div>
    <w:div w:id="2097287539">
      <w:bodyDiv w:val="1"/>
      <w:marLeft w:val="0"/>
      <w:marRight w:val="0"/>
      <w:marTop w:val="0"/>
      <w:marBottom w:val="0"/>
      <w:divBdr>
        <w:top w:val="none" w:sz="0" w:space="0" w:color="auto"/>
        <w:left w:val="none" w:sz="0" w:space="0" w:color="auto"/>
        <w:bottom w:val="none" w:sz="0" w:space="0" w:color="auto"/>
        <w:right w:val="none" w:sz="0" w:space="0" w:color="auto"/>
      </w:divBdr>
      <w:divsChild>
        <w:div w:id="87194476">
          <w:marLeft w:val="0"/>
          <w:marRight w:val="0"/>
          <w:marTop w:val="0"/>
          <w:marBottom w:val="0"/>
          <w:divBdr>
            <w:top w:val="none" w:sz="0" w:space="0" w:color="auto"/>
            <w:left w:val="none" w:sz="0" w:space="0" w:color="auto"/>
            <w:bottom w:val="none" w:sz="0" w:space="0" w:color="auto"/>
            <w:right w:val="none" w:sz="0" w:space="0" w:color="auto"/>
          </w:divBdr>
          <w:divsChild>
            <w:div w:id="564487766">
              <w:marLeft w:val="0"/>
              <w:marRight w:val="0"/>
              <w:marTop w:val="0"/>
              <w:marBottom w:val="0"/>
              <w:divBdr>
                <w:top w:val="none" w:sz="0" w:space="0" w:color="auto"/>
                <w:left w:val="none" w:sz="0" w:space="0" w:color="auto"/>
                <w:bottom w:val="none" w:sz="0" w:space="0" w:color="auto"/>
                <w:right w:val="none" w:sz="0" w:space="0" w:color="auto"/>
              </w:divBdr>
              <w:divsChild>
                <w:div w:id="37558228">
                  <w:marLeft w:val="0"/>
                  <w:marRight w:val="0"/>
                  <w:marTop w:val="0"/>
                  <w:marBottom w:val="0"/>
                  <w:divBdr>
                    <w:top w:val="none" w:sz="0" w:space="0" w:color="auto"/>
                    <w:left w:val="none" w:sz="0" w:space="0" w:color="auto"/>
                    <w:bottom w:val="none" w:sz="0" w:space="0" w:color="auto"/>
                    <w:right w:val="none" w:sz="0" w:space="0" w:color="auto"/>
                  </w:divBdr>
                  <w:divsChild>
                    <w:div w:id="1080492086">
                      <w:marLeft w:val="0"/>
                      <w:marRight w:val="0"/>
                      <w:marTop w:val="0"/>
                      <w:marBottom w:val="0"/>
                      <w:divBdr>
                        <w:top w:val="none" w:sz="0" w:space="0" w:color="auto"/>
                        <w:left w:val="none" w:sz="0" w:space="0" w:color="auto"/>
                        <w:bottom w:val="none" w:sz="0" w:space="0" w:color="auto"/>
                        <w:right w:val="none" w:sz="0" w:space="0" w:color="auto"/>
                      </w:divBdr>
                      <w:divsChild>
                        <w:div w:id="1292050812">
                          <w:marLeft w:val="0"/>
                          <w:marRight w:val="0"/>
                          <w:marTop w:val="0"/>
                          <w:marBottom w:val="0"/>
                          <w:divBdr>
                            <w:top w:val="none" w:sz="0" w:space="0" w:color="auto"/>
                            <w:left w:val="none" w:sz="0" w:space="0" w:color="auto"/>
                            <w:bottom w:val="none" w:sz="0" w:space="0" w:color="auto"/>
                            <w:right w:val="none" w:sz="0" w:space="0" w:color="auto"/>
                          </w:divBdr>
                        </w:div>
                        <w:div w:id="417605296">
                          <w:marLeft w:val="0"/>
                          <w:marRight w:val="0"/>
                          <w:marTop w:val="0"/>
                          <w:marBottom w:val="0"/>
                          <w:divBdr>
                            <w:top w:val="none" w:sz="0" w:space="0" w:color="auto"/>
                            <w:left w:val="none" w:sz="0" w:space="0" w:color="auto"/>
                            <w:bottom w:val="none" w:sz="0" w:space="0" w:color="auto"/>
                            <w:right w:val="none" w:sz="0" w:space="0" w:color="auto"/>
                          </w:divBdr>
                          <w:divsChild>
                            <w:div w:id="3841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208">
                      <w:marLeft w:val="0"/>
                      <w:marRight w:val="0"/>
                      <w:marTop w:val="300"/>
                      <w:marBottom w:val="0"/>
                      <w:divBdr>
                        <w:top w:val="none" w:sz="0" w:space="0" w:color="auto"/>
                        <w:left w:val="none" w:sz="0" w:space="0" w:color="auto"/>
                        <w:bottom w:val="none" w:sz="0" w:space="0" w:color="auto"/>
                        <w:right w:val="none" w:sz="0" w:space="0" w:color="auto"/>
                      </w:divBdr>
                      <w:divsChild>
                        <w:div w:id="1985039412">
                          <w:marLeft w:val="0"/>
                          <w:marRight w:val="0"/>
                          <w:marTop w:val="0"/>
                          <w:marBottom w:val="0"/>
                          <w:divBdr>
                            <w:top w:val="none" w:sz="0" w:space="0" w:color="auto"/>
                            <w:left w:val="none" w:sz="0" w:space="0" w:color="auto"/>
                            <w:bottom w:val="none" w:sz="0" w:space="0" w:color="auto"/>
                            <w:right w:val="none" w:sz="0" w:space="0" w:color="auto"/>
                          </w:divBdr>
                          <w:divsChild>
                            <w:div w:id="8067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820194">
      <w:bodyDiv w:val="1"/>
      <w:marLeft w:val="0"/>
      <w:marRight w:val="0"/>
      <w:marTop w:val="0"/>
      <w:marBottom w:val="0"/>
      <w:divBdr>
        <w:top w:val="none" w:sz="0" w:space="0" w:color="auto"/>
        <w:left w:val="none" w:sz="0" w:space="0" w:color="auto"/>
        <w:bottom w:val="none" w:sz="0" w:space="0" w:color="auto"/>
        <w:right w:val="none" w:sz="0" w:space="0" w:color="auto"/>
      </w:divBdr>
      <w:divsChild>
        <w:div w:id="1456487481">
          <w:marLeft w:val="0"/>
          <w:marRight w:val="0"/>
          <w:marTop w:val="0"/>
          <w:marBottom w:val="0"/>
          <w:divBdr>
            <w:top w:val="none" w:sz="0" w:space="0" w:color="auto"/>
            <w:left w:val="none" w:sz="0" w:space="0" w:color="auto"/>
            <w:bottom w:val="none" w:sz="0" w:space="0" w:color="auto"/>
            <w:right w:val="none" w:sz="0" w:space="0" w:color="auto"/>
          </w:divBdr>
        </w:div>
      </w:divsChild>
    </w:div>
    <w:div w:id="2098987452">
      <w:bodyDiv w:val="1"/>
      <w:marLeft w:val="0"/>
      <w:marRight w:val="0"/>
      <w:marTop w:val="0"/>
      <w:marBottom w:val="0"/>
      <w:divBdr>
        <w:top w:val="none" w:sz="0" w:space="0" w:color="auto"/>
        <w:left w:val="none" w:sz="0" w:space="0" w:color="auto"/>
        <w:bottom w:val="none" w:sz="0" w:space="0" w:color="auto"/>
        <w:right w:val="none" w:sz="0" w:space="0" w:color="auto"/>
      </w:divBdr>
    </w:div>
    <w:div w:id="2099326396">
      <w:bodyDiv w:val="1"/>
      <w:marLeft w:val="0"/>
      <w:marRight w:val="0"/>
      <w:marTop w:val="0"/>
      <w:marBottom w:val="0"/>
      <w:divBdr>
        <w:top w:val="none" w:sz="0" w:space="0" w:color="auto"/>
        <w:left w:val="none" w:sz="0" w:space="0" w:color="auto"/>
        <w:bottom w:val="none" w:sz="0" w:space="0" w:color="auto"/>
        <w:right w:val="none" w:sz="0" w:space="0" w:color="auto"/>
      </w:divBdr>
    </w:div>
    <w:div w:id="2122455811">
      <w:bodyDiv w:val="1"/>
      <w:marLeft w:val="0"/>
      <w:marRight w:val="0"/>
      <w:marTop w:val="0"/>
      <w:marBottom w:val="0"/>
      <w:divBdr>
        <w:top w:val="none" w:sz="0" w:space="0" w:color="auto"/>
        <w:left w:val="none" w:sz="0" w:space="0" w:color="auto"/>
        <w:bottom w:val="none" w:sz="0" w:space="0" w:color="auto"/>
        <w:right w:val="none" w:sz="0" w:space="0" w:color="auto"/>
      </w:divBdr>
    </w:div>
    <w:div w:id="2123527228">
      <w:bodyDiv w:val="1"/>
      <w:marLeft w:val="0"/>
      <w:marRight w:val="0"/>
      <w:marTop w:val="0"/>
      <w:marBottom w:val="0"/>
      <w:divBdr>
        <w:top w:val="none" w:sz="0" w:space="0" w:color="auto"/>
        <w:left w:val="none" w:sz="0" w:space="0" w:color="auto"/>
        <w:bottom w:val="none" w:sz="0" w:space="0" w:color="auto"/>
        <w:right w:val="none" w:sz="0" w:space="0" w:color="auto"/>
      </w:divBdr>
    </w:div>
    <w:div w:id="2128422593">
      <w:bodyDiv w:val="1"/>
      <w:marLeft w:val="0"/>
      <w:marRight w:val="0"/>
      <w:marTop w:val="0"/>
      <w:marBottom w:val="0"/>
      <w:divBdr>
        <w:top w:val="none" w:sz="0" w:space="0" w:color="auto"/>
        <w:left w:val="none" w:sz="0" w:space="0" w:color="auto"/>
        <w:bottom w:val="none" w:sz="0" w:space="0" w:color="auto"/>
        <w:right w:val="none" w:sz="0" w:space="0" w:color="auto"/>
      </w:divBdr>
      <w:divsChild>
        <w:div w:id="491599726">
          <w:marLeft w:val="0"/>
          <w:marRight w:val="0"/>
          <w:marTop w:val="0"/>
          <w:marBottom w:val="0"/>
          <w:divBdr>
            <w:top w:val="none" w:sz="0" w:space="0" w:color="auto"/>
            <w:left w:val="none" w:sz="0" w:space="0" w:color="auto"/>
            <w:bottom w:val="none" w:sz="0" w:space="0" w:color="auto"/>
            <w:right w:val="none" w:sz="0" w:space="0" w:color="auto"/>
          </w:divBdr>
          <w:divsChild>
            <w:div w:id="1201088415">
              <w:marLeft w:val="0"/>
              <w:marRight w:val="0"/>
              <w:marTop w:val="0"/>
              <w:marBottom w:val="0"/>
              <w:divBdr>
                <w:top w:val="none" w:sz="0" w:space="0" w:color="auto"/>
                <w:left w:val="none" w:sz="0" w:space="0" w:color="auto"/>
                <w:bottom w:val="none" w:sz="0" w:space="0" w:color="auto"/>
                <w:right w:val="none" w:sz="0" w:space="0" w:color="auto"/>
              </w:divBdr>
              <w:divsChild>
                <w:div w:id="1291984409">
                  <w:marLeft w:val="0"/>
                  <w:marRight w:val="0"/>
                  <w:marTop w:val="0"/>
                  <w:marBottom w:val="0"/>
                  <w:divBdr>
                    <w:top w:val="none" w:sz="0" w:space="0" w:color="auto"/>
                    <w:left w:val="none" w:sz="0" w:space="0" w:color="auto"/>
                    <w:bottom w:val="none" w:sz="0" w:space="0" w:color="auto"/>
                    <w:right w:val="none" w:sz="0" w:space="0" w:color="auto"/>
                  </w:divBdr>
                  <w:divsChild>
                    <w:div w:id="714695186">
                      <w:marLeft w:val="0"/>
                      <w:marRight w:val="0"/>
                      <w:marTop w:val="0"/>
                      <w:marBottom w:val="0"/>
                      <w:divBdr>
                        <w:top w:val="none" w:sz="0" w:space="0" w:color="auto"/>
                        <w:left w:val="none" w:sz="0" w:space="0" w:color="auto"/>
                        <w:bottom w:val="none" w:sz="0" w:space="0" w:color="auto"/>
                        <w:right w:val="none" w:sz="0" w:space="0" w:color="auto"/>
                      </w:divBdr>
                      <w:divsChild>
                        <w:div w:id="783040765">
                          <w:marLeft w:val="0"/>
                          <w:marRight w:val="0"/>
                          <w:marTop w:val="0"/>
                          <w:marBottom w:val="0"/>
                          <w:divBdr>
                            <w:top w:val="none" w:sz="0" w:space="0" w:color="auto"/>
                            <w:left w:val="none" w:sz="0" w:space="0" w:color="auto"/>
                            <w:bottom w:val="none" w:sz="0" w:space="0" w:color="auto"/>
                            <w:right w:val="none" w:sz="0" w:space="0" w:color="auto"/>
                          </w:divBdr>
                        </w:div>
                        <w:div w:id="2029987967">
                          <w:marLeft w:val="0"/>
                          <w:marRight w:val="0"/>
                          <w:marTop w:val="0"/>
                          <w:marBottom w:val="0"/>
                          <w:divBdr>
                            <w:top w:val="none" w:sz="0" w:space="0" w:color="auto"/>
                            <w:left w:val="none" w:sz="0" w:space="0" w:color="auto"/>
                            <w:bottom w:val="none" w:sz="0" w:space="0" w:color="auto"/>
                            <w:right w:val="none" w:sz="0" w:space="0" w:color="auto"/>
                          </w:divBdr>
                          <w:divsChild>
                            <w:div w:id="10607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07561">
                      <w:marLeft w:val="0"/>
                      <w:marRight w:val="0"/>
                      <w:marTop w:val="300"/>
                      <w:marBottom w:val="0"/>
                      <w:divBdr>
                        <w:top w:val="none" w:sz="0" w:space="0" w:color="auto"/>
                        <w:left w:val="none" w:sz="0" w:space="0" w:color="auto"/>
                        <w:bottom w:val="none" w:sz="0" w:space="0" w:color="auto"/>
                        <w:right w:val="none" w:sz="0" w:space="0" w:color="auto"/>
                      </w:divBdr>
                      <w:divsChild>
                        <w:div w:id="1942568389">
                          <w:marLeft w:val="0"/>
                          <w:marRight w:val="0"/>
                          <w:marTop w:val="0"/>
                          <w:marBottom w:val="0"/>
                          <w:divBdr>
                            <w:top w:val="none" w:sz="0" w:space="0" w:color="auto"/>
                            <w:left w:val="none" w:sz="0" w:space="0" w:color="auto"/>
                            <w:bottom w:val="none" w:sz="0" w:space="0" w:color="auto"/>
                            <w:right w:val="none" w:sz="0" w:space="0" w:color="auto"/>
                          </w:divBdr>
                          <w:divsChild>
                            <w:div w:id="16952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102522">
      <w:bodyDiv w:val="1"/>
      <w:marLeft w:val="0"/>
      <w:marRight w:val="0"/>
      <w:marTop w:val="0"/>
      <w:marBottom w:val="0"/>
      <w:divBdr>
        <w:top w:val="none" w:sz="0" w:space="0" w:color="auto"/>
        <w:left w:val="none" w:sz="0" w:space="0" w:color="auto"/>
        <w:bottom w:val="none" w:sz="0" w:space="0" w:color="auto"/>
        <w:right w:val="none" w:sz="0" w:space="0" w:color="auto"/>
      </w:divBdr>
    </w:div>
    <w:div w:id="2139689384">
      <w:bodyDiv w:val="1"/>
      <w:marLeft w:val="0"/>
      <w:marRight w:val="0"/>
      <w:marTop w:val="0"/>
      <w:marBottom w:val="0"/>
      <w:divBdr>
        <w:top w:val="none" w:sz="0" w:space="0" w:color="auto"/>
        <w:left w:val="none" w:sz="0" w:space="0" w:color="auto"/>
        <w:bottom w:val="none" w:sz="0" w:space="0" w:color="auto"/>
        <w:right w:val="none" w:sz="0" w:space="0" w:color="auto"/>
      </w:divBdr>
    </w:div>
    <w:div w:id="2140873338">
      <w:bodyDiv w:val="1"/>
      <w:marLeft w:val="0"/>
      <w:marRight w:val="0"/>
      <w:marTop w:val="0"/>
      <w:marBottom w:val="0"/>
      <w:divBdr>
        <w:top w:val="none" w:sz="0" w:space="0" w:color="auto"/>
        <w:left w:val="none" w:sz="0" w:space="0" w:color="auto"/>
        <w:bottom w:val="none" w:sz="0" w:space="0" w:color="auto"/>
        <w:right w:val="none" w:sz="0" w:space="0" w:color="auto"/>
      </w:divBdr>
    </w:div>
    <w:div w:id="214507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hyperlink" Target="http://www.rpo.gov.pl/pl/content/teresa-romer" TargetMode="External"/><Relationship Id="rId47" Type="http://schemas.openxmlformats.org/officeDocument/2006/relationships/hyperlink" Target="http://www.rpo.gov.pl/pl/content/marian-turski" TargetMode="External"/><Relationship Id="rId63" Type="http://schemas.openxmlformats.org/officeDocument/2006/relationships/image" Target="media/image11.png"/><Relationship Id="rId68" Type="http://schemas.openxmlformats.org/officeDocument/2006/relationships/chart" Target="charts/chart1.xml"/><Relationship Id="rId16" Type="http://schemas.openxmlformats.org/officeDocument/2006/relationships/hyperlink" Target="https://www.rpo.gov.pl/pl/content/komitet-onz-po-raz-pierwszy-bada-wykonanie-przez-polske-konwencji-o-prawach-osob-z-niepelnosprawnosciami" TargetMode="External"/><Relationship Id="rId11" Type="http://schemas.openxmlformats.org/officeDocument/2006/relationships/hyperlink" Target="https://www.rpo.gov.pl/pl/content/liczne-problemy-z-karta-polaka-wyst%C4%85pienie-rpo-do-msz" TargetMode="External"/><Relationship Id="rId24" Type="http://schemas.openxmlformats.org/officeDocument/2006/relationships/footer" Target="footer2.xml"/><Relationship Id="rId32" Type="http://schemas.openxmlformats.org/officeDocument/2006/relationships/hyperlink" Target="http://www.rpo.gov.pl/pl/content/urszula-jaworska-fundacja-bia%C5%82aczka" TargetMode="External"/><Relationship Id="rId37" Type="http://schemas.openxmlformats.org/officeDocument/2006/relationships/hyperlink" Target="http://www.rpo.gov.pl/pl/content/janina-ochojska-oko%C5%84ska" TargetMode="External"/><Relationship Id="rId40" Type="http://schemas.openxmlformats.org/officeDocument/2006/relationships/hyperlink" Target="https://www.rpo.gov.pl/pl/content/mikolaj-pietrzak" TargetMode="External"/><Relationship Id="rId45" Type="http://schemas.openxmlformats.org/officeDocument/2006/relationships/hyperlink" Target="http://www.rpo.gov.pl/pl/content/ks-marian-subocz" TargetMode="External"/><Relationship Id="rId53" Type="http://schemas.openxmlformats.org/officeDocument/2006/relationships/image" Target="media/image3.png"/><Relationship Id="rId58" Type="http://schemas.openxmlformats.org/officeDocument/2006/relationships/image" Target="media/image6.png"/><Relationship Id="rId66" Type="http://schemas.openxmlformats.org/officeDocument/2006/relationships/image" Target="media/image14.png"/><Relationship Id="rId74" Type="http://schemas.openxmlformats.org/officeDocument/2006/relationships/chart" Target="charts/chart3.xml"/><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hyperlink" Target="https://www.rpo.gov.pl/pl/content/czy-gry-wideo-moga-promowac-prawa-cz%C5%82owieka-wyklad-w-biurze-rpo" TargetMode="External"/><Relationship Id="rId14" Type="http://schemas.openxmlformats.org/officeDocument/2006/relationships/hyperlink" Target="https://www.rpo.gov.pl/pl/content/apelacja-w-procesie-wytoczonym-przez-dziennikarza-zwolnionego-z-polskiego-radia" TargetMode="External"/><Relationship Id="rId22" Type="http://schemas.openxmlformats.org/officeDocument/2006/relationships/header" Target="header2.xml"/><Relationship Id="rId27" Type="http://schemas.openxmlformats.org/officeDocument/2006/relationships/hyperlink" Target="https://www.rpo.gov.pl/pl/content/batko-toluc-katarzyna" TargetMode="External"/><Relationship Id="rId30" Type="http://schemas.openxmlformats.org/officeDocument/2006/relationships/hyperlink" Target="https://www.rpo.gov.pl/pl/content/maria-ejchart-dubois" TargetMode="External"/><Relationship Id="rId35" Type="http://schemas.openxmlformats.org/officeDocument/2006/relationships/hyperlink" Target="https://www.rpo.gov.pl/pl/content/nadazdin-draginja" TargetMode="External"/><Relationship Id="rId43" Type="http://schemas.openxmlformats.org/officeDocument/2006/relationships/hyperlink" Target="http://www.rpo.gov.pl/pl/content/andrzej-rosner" TargetMode="External"/><Relationship Id="rId48" Type="http://schemas.openxmlformats.org/officeDocument/2006/relationships/hyperlink" Target="https://www.rpo.gov.pl/pl/content/henryk-wujec" TargetMode="External"/><Relationship Id="rId56" Type="http://schemas.openxmlformats.org/officeDocument/2006/relationships/image" Target="media/image4.png"/><Relationship Id="rId64" Type="http://schemas.openxmlformats.org/officeDocument/2006/relationships/image" Target="media/image12.png"/><Relationship Id="rId69" Type="http://schemas.openxmlformats.org/officeDocument/2006/relationships/image" Target="media/image16.png"/><Relationship Id="rId77" Type="http://schemas.openxmlformats.org/officeDocument/2006/relationships/fontTable" Target="fontTable.xml"/><Relationship Id="rId8" Type="http://schemas.openxmlformats.org/officeDocument/2006/relationships/hyperlink" Target="http://www.rpo.gov.pl" TargetMode="External"/><Relationship Id="rId51" Type="http://schemas.openxmlformats.org/officeDocument/2006/relationships/image" Target="media/image1.png"/><Relationship Id="rId72"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www.researchgate.net/publication/226463284_Collateral_Damage_Family_Members_of_Registered_Sex_Offen" TargetMode="External"/><Relationship Id="rId17" Type="http://schemas.openxmlformats.org/officeDocument/2006/relationships/hyperlink" Target="https://pl.wikipedia.org/wiki/Sprawa_Tomasza_Komendy" TargetMode="External"/><Relationship Id="rId25" Type="http://schemas.openxmlformats.org/officeDocument/2006/relationships/header" Target="header3.xml"/><Relationship Id="rId33" Type="http://schemas.openxmlformats.org/officeDocument/2006/relationships/hyperlink" Target="https://www.rpo.gov.pl/pl/content/pawel-lukasiak" TargetMode="External"/><Relationship Id="rId38" Type="http://schemas.openxmlformats.org/officeDocument/2006/relationships/hyperlink" Target="http://www.rpo.gov.pl/pl/content/lidia-olejnik-0" TargetMode="External"/><Relationship Id="rId46" Type="http://schemas.openxmlformats.org/officeDocument/2006/relationships/hyperlink" Target="http://www.rpo.gov.pl/pl/content/jacek-taylor" TargetMode="External"/><Relationship Id="rId59" Type="http://schemas.openxmlformats.org/officeDocument/2006/relationships/image" Target="media/image7.png"/><Relationship Id="rId67" Type="http://schemas.openxmlformats.org/officeDocument/2006/relationships/image" Target="media/image15.png"/><Relationship Id="rId20" Type="http://schemas.openxmlformats.org/officeDocument/2006/relationships/hyperlink" Target="https://www.rpo.gov.pl" TargetMode="External"/><Relationship Id="rId41" Type="http://schemas.openxmlformats.org/officeDocument/2006/relationships/hyperlink" Target="http://www.rpo.gov.pl/pl/content/adriana-porowska" TargetMode="External"/><Relationship Id="rId54" Type="http://schemas.openxmlformats.org/officeDocument/2006/relationships/hyperlink" Target="file:///E:\INFORMACJA%202009\inne%20rozdzia&#322;y\Informacja-dane.xlsx" TargetMode="External"/><Relationship Id="rId62" Type="http://schemas.openxmlformats.org/officeDocument/2006/relationships/image" Target="media/image10.png"/><Relationship Id="rId70" Type="http://schemas.microsoft.com/office/2007/relationships/hdphoto" Target="media/hdphoto1.wdp"/><Relationship Id="rId75" Type="http://schemas.openxmlformats.org/officeDocument/2006/relationships/hyperlink" Target="https://sip.lex.pl/?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po.gov.pl/pl/content/wolnosc-zgromadzen-w-polsce-jest-naruszana-zrenica-wolnosci-raport-rpo" TargetMode="External"/><Relationship Id="rId23" Type="http://schemas.openxmlformats.org/officeDocument/2006/relationships/footer" Target="footer1.xml"/><Relationship Id="rId28" Type="http://schemas.openxmlformats.org/officeDocument/2006/relationships/hyperlink" Target="http://www.rpo.gov.pl/pl/content/halina-bortnowska" TargetMode="External"/><Relationship Id="rId36" Type="http://schemas.openxmlformats.org/officeDocument/2006/relationships/hyperlink" Target="https://www.rpo.gov.pl/pl/content/zbigniew-nosowski" TargetMode="External"/><Relationship Id="rId49" Type="http://schemas.openxmlformats.org/officeDocument/2006/relationships/hyperlink" Target="https://www.rpo.gov.pl/pl/content/miroslaw-wyrzykowski" TargetMode="External"/><Relationship Id="rId57" Type="http://schemas.openxmlformats.org/officeDocument/2006/relationships/image" Target="media/image5.png"/><Relationship Id="rId10" Type="http://schemas.openxmlformats.org/officeDocument/2006/relationships/hyperlink" Target="https://www.rpo.gov.pl/pl/content/kongres-praw-rodzicielskich/panel/problemy-w-rodzinie-przemoc-czy-konflikt-spojrzenie-z-punktu-psychologicznego-pedagogicznego" TargetMode="External"/><Relationship Id="rId31" Type="http://schemas.openxmlformats.org/officeDocument/2006/relationships/hyperlink" Target="http://www.rpo.gov.pl/pl/content/anna-jakubowska-paulinka-z-batalionu-zo%C5%9Bka" TargetMode="External"/><Relationship Id="rId44" Type="http://schemas.openxmlformats.org/officeDocument/2006/relationships/hyperlink" Target="http://www.rpo.gov.pl/pl/content/monika-sajkowska" TargetMode="External"/><Relationship Id="rId52" Type="http://schemas.openxmlformats.org/officeDocument/2006/relationships/image" Target="media/image2.png"/><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chart" Target="charts/chart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po.gov.pl" TargetMode="External"/><Relationship Id="rId13" Type="http://schemas.openxmlformats.org/officeDocument/2006/relationships/hyperlink" Target="https://www.tvn24.pl/magazyn-tvn24/strazak-bibliotekarka-kierownik-basenu-150-zawodow-ma-pokazac-swoje-majatki,140,2497" TargetMode="External"/><Relationship Id="rId18" Type="http://schemas.openxmlformats.org/officeDocument/2006/relationships/hyperlink" Target="https://www.rpo.gov.pl/pl/content/przedstawiciel-krajowego-mechanizmu-prewencji-tortur-marcin-kusy-wzi%C4%85%C5%82-udzia%C5%82-w-mi%C4%99dzynarodowych" TargetMode="External"/><Relationship Id="rId39" Type="http://schemas.openxmlformats.org/officeDocument/2006/relationships/hyperlink" Target="http://www.rpo.gov.pl/pl/content/jerzy-owsiak-0" TargetMode="External"/><Relationship Id="rId34" Type="http://schemas.openxmlformats.org/officeDocument/2006/relationships/hyperlink" Target="http://www.rpo.gov.pl/pl/content/krystyna-mrugalska-0" TargetMode="External"/><Relationship Id="rId50" Type="http://schemas.openxmlformats.org/officeDocument/2006/relationships/hyperlink" Target="http://www.testysenioralne.pl" TargetMode="External"/><Relationship Id="rId55" Type="http://schemas.openxmlformats.org/officeDocument/2006/relationships/hyperlink" Target="file:///E:\INFORMACJA%202009\inne%20rozdzia&#322;y\Informacja-dane.xlsx" TargetMode="External"/><Relationship Id="rId76" Type="http://schemas.openxmlformats.org/officeDocument/2006/relationships/hyperlink" Target="https://sip.lex.pl/?a" TargetMode="External"/><Relationship Id="rId7" Type="http://schemas.openxmlformats.org/officeDocument/2006/relationships/endnotes" Target="endnotes.xml"/><Relationship Id="rId71"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hyperlink" Target="https://www.rpo.gov.pl/pl/content/prof-janusz-czapinski"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rpo.gov.pl/pl/content/zasady-odpowiedzialnosci-karnej-obywateli-ma-okreslac-ustawa-nie-rozporzadzenie-ministra" TargetMode="External"/><Relationship Id="rId21" Type="http://schemas.openxmlformats.org/officeDocument/2006/relationships/hyperlink" Target="http://wyborcza.pl/7,75968,24102345,czego-polska-szkola-moglaby-uczyc-w-teczowy-piatek.html" TargetMode="External"/><Relationship Id="rId324" Type="http://schemas.openxmlformats.org/officeDocument/2006/relationships/hyperlink" Target="https://www.rpo.gov.pl/pl/content/interwencja-rpo-ws-prawa-zwolnionych-celnikow-do-zasilku-chorobowego" TargetMode="External"/><Relationship Id="rId531" Type="http://schemas.openxmlformats.org/officeDocument/2006/relationships/hyperlink" Target="https://www.rpo.gov.pl/pl/content/rzecznik-pyta-mswia-o-przyczyny-wniosku-do-premiera-o-zwiekszenie-budzetu-policji" TargetMode="External"/><Relationship Id="rId170" Type="http://schemas.openxmlformats.org/officeDocument/2006/relationships/hyperlink" Target="https://www.rpo.gov.pl/pl/content/sad-najwyzszy-zbada-pierwsza-skarge-nadzwyczajna-rpo" TargetMode="External"/><Relationship Id="rId268" Type="http://schemas.openxmlformats.org/officeDocument/2006/relationships/hyperlink" Target="https://www.rpo.gov.pl/pl/content/sprawa-wstepu-dziennikarza-do-sejmu" TargetMode="External"/><Relationship Id="rId475" Type="http://schemas.openxmlformats.org/officeDocument/2006/relationships/hyperlink" Target="https://www.rpo.gov.pl/pl/content/obywatel-nigdzie-nie-znajdzie-waznego-artyku%C5%82u-ustawy-rpo-wystapil-do-marsza%C5%82ka-sejmu" TargetMode="External"/><Relationship Id="rId32" Type="http://schemas.openxmlformats.org/officeDocument/2006/relationships/hyperlink" Target="https://www.rpo.gov.pl/pl/content/ministerstwo-spraw-wewnetrznych-i-administracji-odpowiada-na-postulat-rpo-w-sprawie-obslugi-zg%C5%82oszen" TargetMode="External"/><Relationship Id="rId128" Type="http://schemas.openxmlformats.org/officeDocument/2006/relationships/hyperlink" Target="https://www.rpo.gov.pl/pl/content/odmowa-udostepniania-akt-obronie-minister-sprawiedliwosci-nie-odpowiedzial-rpo-pisze-do-premiera" TargetMode="External"/><Relationship Id="rId335" Type="http://schemas.openxmlformats.org/officeDocument/2006/relationships/hyperlink" Target="https://www.rpo.gov.pl/pl/content/opinia-rpo-do-senackiego-projektu-w-sprawie-klauzuli-sumienia" TargetMode="External"/><Relationship Id="rId542" Type="http://schemas.openxmlformats.org/officeDocument/2006/relationships/hyperlink" Target="https://www.rpo.gov.pl/pl/postepowania-strategiczne-rpo/sprawa-pani-angeliki-koszty-dowozu-do-szko%C5%82y-dziecka-z-niepe%C5%82nosprawno%C5%9Bci%C4%85" TargetMode="External"/><Relationship Id="rId181" Type="http://schemas.openxmlformats.org/officeDocument/2006/relationships/hyperlink" Target="https://www.rpo.gov.pl/pl/content/15-latek-sam-odwiedzi-rodzica-w-areszcie-w-wiezieniu-juz-nie-rzecznik-wnosi-o-zmiane-przepisow" TargetMode="External"/><Relationship Id="rId402" Type="http://schemas.openxmlformats.org/officeDocument/2006/relationships/hyperlink" Target="https://www.rpo.gov.pl/pl/content/kongres-praw-rodzicielskich" TargetMode="External"/><Relationship Id="rId279" Type="http://schemas.openxmlformats.org/officeDocument/2006/relationships/hyperlink" Target="https://www.rpo.gov.pl/pl/content/adam-bodnar-o-potrzebie-nowej-ca%C5%82osciowej-ustawy-reprywatyzacyjnej" TargetMode="External"/><Relationship Id="rId486" Type="http://schemas.openxmlformats.org/officeDocument/2006/relationships/hyperlink" Target="https://www.rpo.gov.pl/pl/content/sprawa-sedziego-radzika-zastepcy-rzecznika-dyscyplinarnego-i-jego-dzialan-wobec-s%C4%99dziego-jeksy" TargetMode="External"/><Relationship Id="rId43" Type="http://schemas.openxmlformats.org/officeDocument/2006/relationships/hyperlink" Target="https://www.rpo.gov.pl/pl/content/niedoko%C5%84czona-emancypacja-100-lat-praw-wyborczych-kobiet-konferencja-wyniki-bada%C5%84" TargetMode="External"/><Relationship Id="rId139" Type="http://schemas.openxmlformats.org/officeDocument/2006/relationships/hyperlink" Target="https://www.rpo.gov.pl/pl/content/ms-%E2%80%9Ezamrozilo%E2%80%9D-etaty-s%C4%99dziowskie-procesy-przed%C5%82uzaja-sie-kolejne-wyst%C4%85pienie-rpo-do-zbigniewa-ziobry" TargetMode="External"/><Relationship Id="rId346" Type="http://schemas.openxmlformats.org/officeDocument/2006/relationships/hyperlink" Target="https://www.rpo.gov.pl/pl/content/rzecznik-kwestia-zlego-wyzywienia-w-szpitalach-wymaga-systemowego-rozwiazania" TargetMode="External"/><Relationship Id="rId553" Type="http://schemas.openxmlformats.org/officeDocument/2006/relationships/hyperlink" Target="https://www.rpo.gov.pl/pl/content/konferencja-Alzheimer-w-rodzinie" TargetMode="External"/><Relationship Id="rId192" Type="http://schemas.openxmlformats.org/officeDocument/2006/relationships/hyperlink" Target="http://prawo.sejm.gov.pl/isap.nsf/DocDetails.xsp?id=WDU20180001000" TargetMode="External"/><Relationship Id="rId206" Type="http://schemas.openxmlformats.org/officeDocument/2006/relationships/hyperlink" Target="https://www.rpo.gov.pl/pl/content/rpo-zwraca-uwage-na-problemy-kandydatow-na-bieglych-rewidentow" TargetMode="External"/><Relationship Id="rId413" Type="http://schemas.openxmlformats.org/officeDocument/2006/relationships/hyperlink" Target="https://www.rpo.gov.pl/pl/content/rzecznik-popiera-idee-tzw-natychmiastowych-alimentow-ma-watpliwosci-co-do-wielokrotnego-zawieszania-spraw-rozwodowych" TargetMode="External"/><Relationship Id="rId497" Type="http://schemas.openxmlformats.org/officeDocument/2006/relationships/hyperlink" Target="https://www.rpo.gov.pl/pl/content/samotni-rodzice-maja-klopoty-z-ulgami-podatkowymi-rpo-pisze-do-minister-finansow" TargetMode="External"/><Relationship Id="rId357" Type="http://schemas.openxmlformats.org/officeDocument/2006/relationships/hyperlink" Target="https://www.rpo.gov.pl/pl/content/epidemia-odry-szczepienia-informacja-RPO" TargetMode="External"/><Relationship Id="rId54" Type="http://schemas.openxmlformats.org/officeDocument/2006/relationships/hyperlink" Target="https://www.rpo.gov.pl/pl/content/nsa-dzieci-z-matki-zast%C4%99pczej-w-zwi%C4%85zku-jednop%C5%82ciowym-z-usa-z-prawem-do-obywatelstwa-rp" TargetMode="External"/><Relationship Id="rId217" Type="http://schemas.openxmlformats.org/officeDocument/2006/relationships/hyperlink" Target="http://orka.sejm.gov.pl/Druki8ka.nsf/dok?OpenAgent&amp;8-020-1123-2018" TargetMode="External"/><Relationship Id="rId424" Type="http://schemas.openxmlformats.org/officeDocument/2006/relationships/hyperlink" Target="https://www.rpo.gov.pl/pl/content/rpo-podjal-sprawe-interwencji-policji-na-konferencji-naukowej" TargetMode="External"/><Relationship Id="rId23" Type="http://schemas.openxmlformats.org/officeDocument/2006/relationships/hyperlink" Target="https://www.rpo.gov.pl/pl/postepowania-strategiczne-rpo/sprawa-drukarza-z-lodzi" TargetMode="External"/><Relationship Id="rId119" Type="http://schemas.openxmlformats.org/officeDocument/2006/relationships/hyperlink" Target="https://www.rpo.gov.pl/pl/content/nie-bedzie-zmian-polskiego-prawa-w-zwiazku-z-tzw-dyrektywa-niewinnosciowa-resort-sprawiedliwosci-odpowiedzial-RPO" TargetMode="External"/><Relationship Id="rId270" Type="http://schemas.openxmlformats.org/officeDocument/2006/relationships/hyperlink" Target="https://www.rpo.gov.pl/pl/content/wsa-dane-sedzi%C3%B3w-popierajacych-wybor-nowych-cz%C5%82onkow-krs-powinny-byc-jawne" TargetMode="External"/><Relationship Id="rId326" Type="http://schemas.openxmlformats.org/officeDocument/2006/relationships/hyperlink" Target="https://www.rpo.gov.pl/pl/content/rpo-pisze-do-ministra-spraw-wewnetrznych-i-administracji-w-sprawie-tzw-ustawy-dezubekizacyjnej" TargetMode="External"/><Relationship Id="rId533" Type="http://schemas.openxmlformats.org/officeDocument/2006/relationships/hyperlink" Target="https://polandrockfestival.pl/aktualnosci/rzecznik-praw-obywatelskich-na-asp" TargetMode="External"/><Relationship Id="rId65" Type="http://schemas.openxmlformats.org/officeDocument/2006/relationships/hyperlink" Target="https://www.rpo.gov.pl/pl/content/wyst%C4%85pienie-rzecznika-do-stra%C5%BCy-granicznej-o-kontrol%C4%99-sytuacji-na-przej%C5%9Bciu-w-terespolu" TargetMode="External"/><Relationship Id="rId130" Type="http://schemas.openxmlformats.org/officeDocument/2006/relationships/hyperlink" Target="https://www.rpo.gov.pl/pl/content/dyrektywa-niewinnosciowa-nadal-nie-wprowadzona-do-polskiego-prawa" TargetMode="External"/><Relationship Id="rId368" Type="http://schemas.openxmlformats.org/officeDocument/2006/relationships/hyperlink" Target="https://www.rpo.gov.pl/pl/content/rzecznik-apeluje-do-prezes-zus-w-sprawie-nowego-systemu-orzekania-o-niepe%C5%82nosprawno%C5%9Bci" TargetMode="External"/><Relationship Id="rId172" Type="http://schemas.openxmlformats.org/officeDocument/2006/relationships/hyperlink" Target="http://www.sejm.gov.pl/sejm8.nsf/agent.xsp?symbol=RPL&amp;Id=RM-10-190-18" TargetMode="External"/><Relationship Id="rId228" Type="http://schemas.openxmlformats.org/officeDocument/2006/relationships/hyperlink" Target="http://hudoc.echr.coe.int/eng?i=001-176229" TargetMode="External"/><Relationship Id="rId435" Type="http://schemas.openxmlformats.org/officeDocument/2006/relationships/hyperlink" Target="https://www.rpo.gov.pl/pl/postepowania-strategiczne-rpo/sprawa-puszczy-bia&#322;owieskiej" TargetMode="External"/><Relationship Id="rId477" Type="http://schemas.openxmlformats.org/officeDocument/2006/relationships/hyperlink" Target="http://www.europarl.europa.eu/factsheets/pl/sheet/149/europejska-inicjatywa-obywatelska" TargetMode="External"/><Relationship Id="rId281" Type="http://schemas.openxmlformats.org/officeDocument/2006/relationships/hyperlink" Target="https://www.rpo.gov.pl/pl/content/mswia-w-sprawie-art-156-kpa-problem-nadal-wymaga-rozwazenia" TargetMode="External"/><Relationship Id="rId337" Type="http://schemas.openxmlformats.org/officeDocument/2006/relationships/hyperlink" Target="https://www.rpo.gov.pl/pl/content/krytyczne-uwagi-rpo-dotyczace-realizacji-tzw-ustawy-antyaborcyjnej" TargetMode="External"/><Relationship Id="rId502" Type="http://schemas.openxmlformats.org/officeDocument/2006/relationships/hyperlink" Target="https://www.rpo.gov.pl/pl/content/wystapienie-do-ministra-srodowiska-ws-oplat-za-gospodarowanie-odpadami-komunalnymi" TargetMode="External"/><Relationship Id="rId34" Type="http://schemas.openxmlformats.org/officeDocument/2006/relationships/hyperlink" Target="https://www.rpo.gov.pl/pl/content/postawy-rasistowskie-i-ksenofobiczne-sie-nasilaja-jak-temu-przeciwdzialac-rzecznik-pisze-do-premiera" TargetMode="External"/><Relationship Id="rId76" Type="http://schemas.openxmlformats.org/officeDocument/2006/relationships/hyperlink" Target="https://www.rpo.gov.pl/pl/content/opinia-odihr-dotycz&#261;ca-definicji-tortur-i-bezwzgl&#281;dnego-zakazu-ich-stosowania-w-polskim" TargetMode="External"/><Relationship Id="rId141" Type="http://schemas.openxmlformats.org/officeDocument/2006/relationships/hyperlink" Target="https://www.rpo.gov.pl/pl/content/rpo-pisze-do-premiera-w-sprawie-zakazu-podw%C3%B3jnego-obywatelstwa-s%C4%99dzi%C3%B3w" TargetMode="External"/><Relationship Id="rId379" Type="http://schemas.openxmlformats.org/officeDocument/2006/relationships/hyperlink" Target="https://www.rpo.gov.pl/pl/content/panel/sesja-41-rekomendacje-komitetu-onz-o-prawach-os&#243;b-z-niepe&#322;nosprawno&#347;ciami-&#8211;-co-dalej-blok-b" TargetMode="External"/><Relationship Id="rId544" Type="http://schemas.openxmlformats.org/officeDocument/2006/relationships/hyperlink" Target="https://www.rpo.gov.pl/pl/content/panstwo-bez-tortur-konferencja" TargetMode="External"/><Relationship Id="rId7" Type="http://schemas.openxmlformats.org/officeDocument/2006/relationships/hyperlink" Target="http://www.rpo.gov.pl/pl/content/trybuna&#322;-konstytucyjny-zaskar&#380;one-przez-rpo-przepisy-o-tzw-zakazie-klubowym-zgodne-z-konstytucj&#261;" TargetMode="External"/><Relationship Id="rId183" Type="http://schemas.openxmlformats.org/officeDocument/2006/relationships/hyperlink" Target="https://www.rpo.gov.pl/pl/content/osoby-internowane-w-szpitalach-psychiatrycznych-tez-maja-prawo-do-spotkan-na-osobnosci-z-rodzin%C4%85" TargetMode="External"/><Relationship Id="rId239" Type="http://schemas.openxmlformats.org/officeDocument/2006/relationships/hyperlink" Target="https://www.rpo.gov.pl/pl/content/rpo-w-sprawie-rozwiazanego-vii-marszu-Powstania-Warszawskiego-1-sierpnia-2018" TargetMode="External"/><Relationship Id="rId390" Type="http://schemas.openxmlformats.org/officeDocument/2006/relationships/hyperlink" Target="https://www.rpo.gov.pl/pl/content/rzecznik-chwali-inicjatywe-legislacyjna-senatu-ws-kryteriow-zwrotu-rodzicom-koszt%C3%B3w-dowozu-dzieci-z-niepelnosprawnoscia-do-szkol" TargetMode="External"/><Relationship Id="rId404" Type="http://schemas.openxmlformats.org/officeDocument/2006/relationships/hyperlink" Target="https://www.rpo.gov.pl/sites/default/files/WG%20do%20Ministra%20Rodziny%20PiPS%20w%20sprawie%20dodatku%20500%2B%20dla%20dzieci%20w%20pa%C5%84stwowych%20domach%20dziecka%207.07.2016.pdf" TargetMode="External"/><Relationship Id="rId446" Type="http://schemas.openxmlformats.org/officeDocument/2006/relationships/hyperlink" Target="https://www.rpo.gov.pl/pl/content/panel/sesja-24-bezdomno&#347;&#263;-jako-wyzwanie-dla-samorz&#261;d&#243;w-lokalnych-blok-c" TargetMode="External"/><Relationship Id="rId250" Type="http://schemas.openxmlformats.org/officeDocument/2006/relationships/hyperlink" Target="https://www.rpo.gov.pl/pl/content/piotr-duda-wyjasnia-nakaz-przynaleznosci-czlonka-%E2%80%9Esolidarnosc%E2%80%9D-tylko-do-tego-zwiazku" TargetMode="External"/><Relationship Id="rId292" Type="http://schemas.openxmlformats.org/officeDocument/2006/relationships/hyperlink" Target="https://www.rpo.gov.pl/pl/content/sad-najwyzszy-ograniczenie-sprzedazy-ziemi-nie-w-sprawach-egzekucyjnych-sprzed-wej%C5%9Bcia-ustawy-w-zycie" TargetMode="External"/><Relationship Id="rId306" Type="http://schemas.openxmlformats.org/officeDocument/2006/relationships/hyperlink" Target="https://www.rpo.gov.pl/pl/content/rpo-gwarancja-minimalnego-wynagrodzenia-takze-dla-sezonowego-pomocnika-rolnika" TargetMode="External"/><Relationship Id="rId488" Type="http://schemas.openxmlformats.org/officeDocument/2006/relationships/hyperlink" Target="https://www.rpo.gov.pl/pl/content/prezes-sadu-okr%C4%99gowego-w-krakowie-przeniesienie-s%C4%99dziego-waldemara-zurka-nie-ma-zwi%C4%85zku-z-jego-dzialalnoscia" TargetMode="External"/><Relationship Id="rId45" Type="http://schemas.openxmlformats.org/officeDocument/2006/relationships/hyperlink" Target="https://www.rpo.gov.pl/pl/content/rpo-za-zmianami-w-przepisach-o-przemocy-w-rodzinie" TargetMode="External"/><Relationship Id="rId87" Type="http://schemas.openxmlformats.org/officeDocument/2006/relationships/hyperlink" Target="https://www.rpo.gov.pl/pl/content/sn-cywilne-zabezpieczenie-nie-moze-byc-podstawa-umieszczenia-w-osrodku-w-gostyninie" TargetMode="External"/><Relationship Id="rId110" Type="http://schemas.openxmlformats.org/officeDocument/2006/relationships/hyperlink" Target="https://www.rpo.gov.pl/pl/content/wiezniowie-dostana-owoce-i-warzywa-sluzba-wiezienna-spelnila-postulat-rpo" TargetMode="External"/><Relationship Id="rId348" Type="http://schemas.openxmlformats.org/officeDocument/2006/relationships/hyperlink" Target="https://www.rpo.gov.pl/pl/content/rpo-brak-miejsc-w-szpitalach-dla-dzieci-chorujacych-psychicznie" TargetMode="External"/><Relationship Id="rId513" Type="http://schemas.openxmlformats.org/officeDocument/2006/relationships/hyperlink" Target="https://www.rpo.gov.pl/pl/content/skala-przestepstw-motywowanych-uprzedzeniami-i-nienawi%C5%9Bci%C4%85-w-Polsce-badania-rpo-i-odhir" TargetMode="External"/><Relationship Id="rId555" Type="http://schemas.openxmlformats.org/officeDocument/2006/relationships/hyperlink" Target="https://www.rpo.gov.pl/pl/content/rekomendacje-rpo-dla-komitetu-onz-ktory-oceni-wykonanie-przez-polske-konwencji-o-prawach-osob-z-niepelnosprawnosciami" TargetMode="External"/><Relationship Id="rId152" Type="http://schemas.openxmlformats.org/officeDocument/2006/relationships/hyperlink" Target="https://www.rpo.gov.pl/pl/content/brak-oskarzyciela-publicznego-w-niektorych-procesach-moze-godzic-w-konstytucyjne-prawo-obywatela-do-sadu" TargetMode="External"/><Relationship Id="rId194" Type="http://schemas.openxmlformats.org/officeDocument/2006/relationships/hyperlink" Target="https://www.rpo.gov.pl/pl/content/rpo-alarmuje-coraz-mniej-czasu-na-przyj%C4%99cie-unijnej-dyrektywy-policyjnej" TargetMode="External"/><Relationship Id="rId208" Type="http://schemas.openxmlformats.org/officeDocument/2006/relationships/hyperlink" Target="https://www.rpo.gov.pl/pl/content/rpo-obywatel-powinien-moc-zaskarzyc-do-sadu-administracyjnego-decyzje-o-zakazie-wstepu-do-lasu" TargetMode="External"/><Relationship Id="rId415" Type="http://schemas.openxmlformats.org/officeDocument/2006/relationships/hyperlink" Target="http://isap.sejm.gov.pl/DetailsServlet?id=WDU20180002432" TargetMode="External"/><Relationship Id="rId457" Type="http://schemas.openxmlformats.org/officeDocument/2006/relationships/hyperlink" Target="https://www.rpo.gov.pl/pl/content/kluczem-do-rozwiazania-sprawy-kredytow-frankowych-jest-lepsza-znajomosc-prawa-europejskiego" TargetMode="External"/><Relationship Id="rId261" Type="http://schemas.openxmlformats.org/officeDocument/2006/relationships/hyperlink" Target="https://www.rpo.gov.pl/pl/content/opinia-rpo-w-sprawie-projektu-ustawy-o-jawnosci-zycia-publicznego" TargetMode="External"/><Relationship Id="rId499" Type="http://schemas.openxmlformats.org/officeDocument/2006/relationships/hyperlink" Target="https://www.rpo.gov.pl/pl/content/nsa-uchylil-niekorzystne-dla-przedsiebiorcy-rozstrzygniecie-w-sprawie-naleznosci-celnych" TargetMode="External"/><Relationship Id="rId14" Type="http://schemas.openxmlformats.org/officeDocument/2006/relationships/hyperlink" Target="https://www.rpo.gov.pl/pl/content/kolejny-apel-rpo-rz%C4%85d-w%C5%82%C4%85czy%C5%82-si%C4%99-w-prace-nad-konwencj%C4%85-o-prawach-os%C3%B3b-starszych" TargetMode="External"/><Relationship Id="rId56" Type="http://schemas.openxmlformats.org/officeDocument/2006/relationships/hyperlink" Target="https://www.rpo.gov.pl/pl/content/adam-bodnar-o-marcu-1968-przemoc-fizyczna-symboliczna-psychiczna-i-ekonomiczna-na-wielka-skale" TargetMode="External"/><Relationship Id="rId317" Type="http://schemas.openxmlformats.org/officeDocument/2006/relationships/hyperlink" Target="https://www.rpo.gov.pl/pl/content/rpo-pyta-mrpips-czy-zmieni-prawo-aby-w-pelni-wykonac-wyrok-tk-ws-1953" TargetMode="External"/><Relationship Id="rId359" Type="http://schemas.openxmlformats.org/officeDocument/2006/relationships/hyperlink" Target="https://www.rpo.gov.pl/pl/RPO-interweniuje-w-sprawie-jakosci-wody-w-kranie" TargetMode="External"/><Relationship Id="rId524" Type="http://schemas.openxmlformats.org/officeDocument/2006/relationships/hyperlink" Target="https://wiadomosci.onet.pl/tylko-w-onecie/tajny-raport-mon-potwierdza-informacje-onetu-pilota-mig-29-zabila-dzika-modyfikacja/8sw30nq" TargetMode="External"/><Relationship Id="rId98" Type="http://schemas.openxmlformats.org/officeDocument/2006/relationships/hyperlink" Target="https://www.rpo.gov.pl/pl/content/rzecznik-praw-pacjenta-rezygnuje-z-obecnosci-w-osrodku-w-gostyninie-plocki-sad-zapowiada-czestsze" TargetMode="External"/><Relationship Id="rId121" Type="http://schemas.openxmlformats.org/officeDocument/2006/relationships/hyperlink" Target="https://www.rpo.gov.pl/pl/content/rpo-po-raz-kolejny-upomina-sie-o-adwokata-dla-podejrzewanego-zwlaszcza-dla-osob-z" TargetMode="External"/><Relationship Id="rId163" Type="http://schemas.openxmlformats.org/officeDocument/2006/relationships/hyperlink" Target="https://www.rpo.gov.pl/pl/content/uwagi-rpo-wobec-przepis%C3%B3w-ustawy-o-post%C4%99powaniu-egzekucyjnym-w-administracji" TargetMode="External"/><Relationship Id="rId219" Type="http://schemas.openxmlformats.org/officeDocument/2006/relationships/hyperlink" Target="https://www.rpo.gov.pl/pl/content/rpo-zakaz-publikacji-o-nbp-moze-naruszac-wazny-interes-publiczny-i-wolnosc-prasy" TargetMode="External"/><Relationship Id="rId370" Type="http://schemas.openxmlformats.org/officeDocument/2006/relationships/hyperlink" Target="https://www.rpo.gov.pl/pl/content/rpo-popiera-petycje-w-sprawie-zniesienia-instytucji-ubezwlasnowolnienia" TargetMode="External"/><Relationship Id="rId426" Type="http://schemas.openxmlformats.org/officeDocument/2006/relationships/hyperlink" Target="https://www.rpo.gov.pl/pl/content/smog-narusza-dobra-osobiste-rpo-w-sprawie-mieszkanca-rybnika" TargetMode="External"/><Relationship Id="rId230" Type="http://schemas.openxmlformats.org/officeDocument/2006/relationships/hyperlink" Target="http://hudoc.echr.coe.int/eng?i=001-176484" TargetMode="External"/><Relationship Id="rId468" Type="http://schemas.openxmlformats.org/officeDocument/2006/relationships/hyperlink" Target="https://www.rpo.gov.pl/pl/content/watpliwosci-rpo-w-sprawie-mozliwosci-uchylenia-decyzji-wydanej-na-podstawie-niekonstytucyjnego-aktu" TargetMode="External"/><Relationship Id="rId25" Type="http://schemas.openxmlformats.org/officeDocument/2006/relationships/hyperlink" Target="https://www.rpo.gov.pl/pl/content/prawo-wyboru-do-wladz-uczelni-tylko-do-ukonczenia-67-roku-%C5%BCycia-rpo-wnosi-o-zmiane-przepisow" TargetMode="External"/><Relationship Id="rId67" Type="http://schemas.openxmlformats.org/officeDocument/2006/relationships/hyperlink" Target="https://www.rpo.gov.pl/pl/content/trzy-lata-po-smierci-igora-stachowiaka-oswiadczenie-rpo" TargetMode="External"/><Relationship Id="rId272" Type="http://schemas.openxmlformats.org/officeDocument/2006/relationships/hyperlink" Target="https://www.rpo.gov.pl/pl/content/szef-senackiej-komisji-do-rpo-brak-kontroli-wydatkow-partii-w-prekampanii-wyborczej-swiadoma-decyzja-ustawodawcy" TargetMode="External"/><Relationship Id="rId328" Type="http://schemas.openxmlformats.org/officeDocument/2006/relationships/hyperlink" Target="https://www.rpo.gov.pl/pl/content/rpo-do-mswia-trzej-b-oficerowie-sb-wspolpracowali-z-koscio%C5%82em-nie-obnizac-im-emerytur" TargetMode="External"/><Relationship Id="rId535" Type="http://schemas.openxmlformats.org/officeDocument/2006/relationships/hyperlink" Target="https://www.rpo.gov.pl/pl/content/rpo-upomina-sie-o-poprawe-bezpieczenstwa-ruchu-drogowego" TargetMode="External"/><Relationship Id="rId132" Type="http://schemas.openxmlformats.org/officeDocument/2006/relationships/hyperlink" Target="https://www.rpo.gov.pl/pl/kategoria-prawna/kasacje-karne-do-sn" TargetMode="External"/><Relationship Id="rId174" Type="http://schemas.openxmlformats.org/officeDocument/2006/relationships/hyperlink" Target="https://bip.kprm.gov.pl/kpr/form/r4807406824216,Projekt-ustawy-o-zmianie-ustawy-Kodeks-rodzinny-i-opiekunczy.html" TargetMode="External"/><Relationship Id="rId381" Type="http://schemas.openxmlformats.org/officeDocument/2006/relationships/hyperlink" Target="https://www.rpo.gov.pl/pl/content/kongres-praw-rodzicielskich/panel/rodzic-dziecka-z-niepelnosprawnoscia" TargetMode="External"/><Relationship Id="rId241" Type="http://schemas.openxmlformats.org/officeDocument/2006/relationships/hyperlink" Target="https://www.rpo.gov.pl/pl/content/sprawa-kosza-na-smieci-w-lowiczu-i-interwencji-policji" TargetMode="External"/><Relationship Id="rId437" Type="http://schemas.openxmlformats.org/officeDocument/2006/relationships/hyperlink" Target="https://www.rpo.gov.pl/pl/content/RPO-o-pomocy-dla-posiadaczy-ksiazeczek-mieszkaniowych" TargetMode="External"/><Relationship Id="rId479" Type="http://schemas.openxmlformats.org/officeDocument/2006/relationships/hyperlink" Target="https://www.rpo.gov.pl/pl/content/obywatele-zwracaja-uwage-na-watpliwosci-dotyczace-ustawy-o-zabytkach" TargetMode="External"/><Relationship Id="rId36" Type="http://schemas.openxmlformats.org/officeDocument/2006/relationships/hyperlink" Target="https://www.rpo.gov.pl/pl/content/jest-sledztwo-w-sprawie-separatyzmu-rasowego-na-stronach-onr" TargetMode="External"/><Relationship Id="rId283" Type="http://schemas.openxmlformats.org/officeDocument/2006/relationships/hyperlink" Target="https://www.rpo.gov.pl/pl/content/kolejna-interwencja-rpo-w-sprawie-mieszkan-wy%C5%82udzanych-za-pozyczki-umowa-notarialna" TargetMode="External"/><Relationship Id="rId339" Type="http://schemas.openxmlformats.org/officeDocument/2006/relationships/hyperlink" Target="https://www.rpo.gov.pl/pl/content/po-wyroku-nsa-pani-marta-z-szansa-na-refundacje-leku-z-konopi-usmierzajacego-bol" TargetMode="External"/><Relationship Id="rId490" Type="http://schemas.openxmlformats.org/officeDocument/2006/relationships/hyperlink" Target="https://www.rpo.gov.pl/pl/content/zawieszenie-biegu-zobowiazania-podatkowego" TargetMode="External"/><Relationship Id="rId504" Type="http://schemas.openxmlformats.org/officeDocument/2006/relationships/hyperlink" Target="https://www.rpo.gov.pl/pl/content/tk-skarga-paulianska-mozliwa-takze-dla-fiskusa" TargetMode="External"/><Relationship Id="rId546" Type="http://schemas.openxmlformats.org/officeDocument/2006/relationships/hyperlink" Target="https://www.rpo.gov.pl/pl/content/analiza-rz&#261;dowego-programu-polityka-spo&#322;eczna-wobec-os&#243;b-starszych-2030-bezpiecze&#324;stwo-uczestnictwo" TargetMode="External"/><Relationship Id="rId78" Type="http://schemas.openxmlformats.org/officeDocument/2006/relationships/hyperlink" Target="https://www.rpo.gov.pl/pl/content/paralizator-narz%C4%99dzie-%C5%9Bmiertelne-trzeba-zmieni%C4%87-dotycz%C4%85ce-ich-przepisy-%E2%80%93-kolejne-wyst%C4%85pienie-rpo-do" TargetMode="External"/><Relationship Id="rId101" Type="http://schemas.openxmlformats.org/officeDocument/2006/relationships/hyperlink" Target="https://www.rpo.gov.pl/pl/content/rpo-za-obecnoscia-rzecznikow-praw-pacjenta-w-wieziennych-szpitalach-psychiatrycznych" TargetMode="External"/><Relationship Id="rId143" Type="http://schemas.openxmlformats.org/officeDocument/2006/relationships/hyperlink" Target="https://www.rpo.gov.pl/pl/content/rzecznik-wyznaczanie-s%C4%99dziow-dyscyplinarnych-bez-ich-zgody-przez-ministra-sprawiedliwosci-narusza-konstytucje" TargetMode="External"/><Relationship Id="rId185" Type="http://schemas.openxmlformats.org/officeDocument/2006/relationships/hyperlink" Target="https://www.rpo.gov.pl/pl/content/adam-bodnar-trzeba-ustalic-zasady-monitoringu-wizyjnego-zanim-rodo-wejdzie-w-zycie" TargetMode="External"/><Relationship Id="rId350" Type="http://schemas.openxmlformats.org/officeDocument/2006/relationships/hyperlink" Target="https://bip.kprm.gov.pl/kpr/form/r10976102924,Zalozenia-projektu-ustawy-o-zdrowiu-dzieci-i-mlodziezy-w-wieku-szkolnym.html" TargetMode="External"/><Relationship Id="rId406" Type="http://schemas.openxmlformats.org/officeDocument/2006/relationships/hyperlink" Target="https://www.senat.gov.pl/prace/senat/proces-legislacyjny-w-senacie/inicjatywy-ustawodawcze/inicjatywa,77.html" TargetMode="External"/><Relationship Id="rId9" Type="http://schemas.openxmlformats.org/officeDocument/2006/relationships/hyperlink" Target="https://www.rpo.gov.pl/pl/content/rpo-resort-pracy-ignoruje-wyrok-tk-z-2014-r-w-sprawie-swiadczen-pielegnacyjnych" TargetMode="External"/><Relationship Id="rId210" Type="http://schemas.openxmlformats.org/officeDocument/2006/relationships/hyperlink" Target="https://www.rpo.gov.pl/pl/content/rpo-pisze-do-men-w-sprawie-mozliwosci-polaczenia-funkcji-katechety-i-wychowawcy" TargetMode="External"/><Relationship Id="rId392" Type="http://schemas.openxmlformats.org/officeDocument/2006/relationships/hyperlink" Target="https://www.rpo.gov.pl/pl/content/rpo-do-prezydenta-warszawy-w-sprawie-mamy-filipa-i-kosztow-dowozu" TargetMode="External"/><Relationship Id="rId448" Type="http://schemas.openxmlformats.org/officeDocument/2006/relationships/hyperlink" Target="https://www.rpo.gov.pl/pl/content/rzecznik-broni-czlonkow-spoldzielni-mieszkaniowych-ktorzy-sa-z-nich-usuwani" TargetMode="External"/><Relationship Id="rId252" Type="http://schemas.openxmlformats.org/officeDocument/2006/relationships/hyperlink" Target="https://www.rpo.gov.pl/pl/content/sprawa-pracownik&#243;w-by&#322;ego-biura-trybuna&#322;u-konstytucyjnego" TargetMode="External"/><Relationship Id="rId294" Type="http://schemas.openxmlformats.org/officeDocument/2006/relationships/hyperlink" Target="https://www.rpo.gov.pl/pl/content/rpo-pisze-do-premiera-ws-%C5%82agodniejszej-sankcji-za-nie%C5%9Bwiadome-naruszenie-praw-autorskich" TargetMode="External"/><Relationship Id="rId308" Type="http://schemas.openxmlformats.org/officeDocument/2006/relationships/hyperlink" Target="https://www.rpo.gov.pl/pl/content/sytuacja-mniejszosci-ukrainskiej-i-migrantow-ukrainskich-w-polsce-konferencja-w-biurze-rpo" TargetMode="External"/><Relationship Id="rId515" Type="http://schemas.openxmlformats.org/officeDocument/2006/relationships/hyperlink" Target="https://social.un.org/ageing-working-group/" TargetMode="External"/><Relationship Id="rId47" Type="http://schemas.openxmlformats.org/officeDocument/2006/relationships/hyperlink" Target="https://www.rpo.gov.pl/pl/content/rpo-blizej-przyjecia-standardow-konwencji-stambulskiej-ws-przemocy-w-rodzinie" TargetMode="External"/><Relationship Id="rId89" Type="http://schemas.openxmlformats.org/officeDocument/2006/relationships/hyperlink" Target="https://www.rpo.gov.pl/pl/content/sluzba-wiezienna-zakladanie-kajdanek-osobom-chorujacym-psychicznie-sporadyczne-i-uzasadnione" TargetMode="External"/><Relationship Id="rId112" Type="http://schemas.openxmlformats.org/officeDocument/2006/relationships/hyperlink" Target="https://www.rpo.gov.pl/pl/content/osoby-karane-nadal-nie-wejda-do-wiezien-aby-resocjalizowac-skazanych-ms-odpowiada-rzecznikowi" TargetMode="External"/><Relationship Id="rId154" Type="http://schemas.openxmlformats.org/officeDocument/2006/relationships/hyperlink" Target="https://www.rpo.gov.pl/pl/content/smiertelnie-potracil-kobiete-sad-umorzyl-sprawe-po-kasacji-rpo-sad-najwyzszy-nakazal-jej-ponowne-zbadanie" TargetMode="External"/><Relationship Id="rId361" Type="http://schemas.openxmlformats.org/officeDocument/2006/relationships/hyperlink" Target="https://www.rpo.gov.pl/pl/content/21-postulatow-Ozn-rok-po" TargetMode="External"/><Relationship Id="rId557" Type="http://schemas.openxmlformats.org/officeDocument/2006/relationships/hyperlink" Target="https://www.rpo.gov.pl/pl/content/9-posiedzenie-zespolu-do-spraw-alimentow" TargetMode="External"/><Relationship Id="rId196" Type="http://schemas.openxmlformats.org/officeDocument/2006/relationships/hyperlink" Target="https://www.rpo.gov.pl/pl/content/wrazliwe-dane-o-zdrowiu-ujawnione-w-wyroku-tk-wed%C5%82ug-rpo-naruszono-prawo-do-ochrony-danych-osobowych" TargetMode="External"/><Relationship Id="rId417" Type="http://schemas.openxmlformats.org/officeDocument/2006/relationships/hyperlink" Target="https://www.rpo.gov.pl/pl/content/rzecznicy-praw-dziecka-i-praw-obywatelskich-ws-aktywizacji-dluznikow-alimentacyjnych" TargetMode="External"/><Relationship Id="rId459" Type="http://schemas.openxmlformats.org/officeDocument/2006/relationships/hyperlink" Target="https://www.rpo.gov.pl/pl/content/RPO-interweniuje-na-rzecz-poszkodowanych-w-aferze-getback-sa" TargetMode="External"/><Relationship Id="rId16" Type="http://schemas.openxmlformats.org/officeDocument/2006/relationships/hyperlink" Target="https://www.rpo.gov.pl/pl/content/wniosek-do-trybunalu-konstytucyjnego-ws-orzekania-kary-lacznej-na-podstawie-przepisow-intertemporalnych" TargetMode="External"/><Relationship Id="rId221" Type="http://schemas.openxmlformats.org/officeDocument/2006/relationships/hyperlink" Target="https://www.gov.pl/web/cyfryzacja/pierwsze-tego-typu-porozumienie-ministerstwo-cyfryzacji-i-facebook" TargetMode="External"/><Relationship Id="rId263" Type="http://schemas.openxmlformats.org/officeDocument/2006/relationships/hyperlink" Target="https://www.rpo.gov.pl/pl/content/rpo-chce-sejm-byl-bardziej-dostepny-dla-obywateli" TargetMode="External"/><Relationship Id="rId319" Type="http://schemas.openxmlformats.org/officeDocument/2006/relationships/hyperlink" Target="https://www.rpo.gov.pl/pl/content/matka-bez-dodatku-do-zasi%C5%82ku-z-tytu%C5%82u-wychowywania-dziecka-w-rodzinie-wielodzietnej-bez-powodu" TargetMode="External"/><Relationship Id="rId470" Type="http://schemas.openxmlformats.org/officeDocument/2006/relationships/hyperlink" Target="https://www.rpo.gov.pl/pl/content/przegapiles-termin-skargi-na-podwyzke-wieczystego-mozesz-odwolac-sie-od-decyzji-sko-do-s%C4%85du" TargetMode="External"/><Relationship Id="rId526" Type="http://schemas.openxmlformats.org/officeDocument/2006/relationships/hyperlink" Target="https://www.rpo.gov.pl/pl/content/elastyczny-rozklad-czasu-sluzby-policjant%C3%B3w-moze-zaradzic-brakom-kadrowym-w-policji" TargetMode="External"/><Relationship Id="rId58" Type="http://schemas.openxmlformats.org/officeDocument/2006/relationships/hyperlink" Target="https://www.rpo.gov.pl/pl/content/sad-na%20wniosek-rpo-wstrzymal-eksmisje-romow-z-limanowej" TargetMode="External"/><Relationship Id="rId123" Type="http://schemas.openxmlformats.org/officeDocument/2006/relationships/hyperlink" Target="https://www.rpo.gov.pl/pl/content/rpo-proponuje-przesluchanie-jako-swiadka-osoby-faktycznie-podejrzanej-tylko-z-udzialem-adwokata" TargetMode="External"/><Relationship Id="rId330" Type="http://schemas.openxmlformats.org/officeDocument/2006/relationships/hyperlink" Target="https://www.rpo.gov.pl/pl/content/rpo-trzeba-zmienic-zasady-pomagania-osobom-w-kryzysie-bezdomnosci" TargetMode="External"/><Relationship Id="rId165" Type="http://schemas.openxmlformats.org/officeDocument/2006/relationships/hyperlink" Target="https://www.rpo.gov.pl/pl/content/rzecznik-pyta-resort-sprawiedliwosci-o-przyspieszenie-spraw-nakazu-dla-sprawcy-przemocy-by-opuscil-lokal" TargetMode="External"/><Relationship Id="rId372" Type="http://schemas.openxmlformats.org/officeDocument/2006/relationships/hyperlink" Target="https://www.rpo.gov.pl/pl/content/rpo-dopomina-sie-o-deinstytucjonalizacje-systemu-wsparcia-dla-osob-z-niepelnosprawnosciami-i-seniorow" TargetMode="External"/><Relationship Id="rId428" Type="http://schemas.openxmlformats.org/officeDocument/2006/relationships/hyperlink" Target="https://www.rpo.gov.pl/pl/content/nie-b%C4%99dzie-kontroli-odm%C3%B3w-dofinansowania-przedsi%C4%99wzi%C4%99%C4%87-proekologicznych-przez-s%C4%85dy-administracyjne" TargetMode="External"/><Relationship Id="rId232" Type="http://schemas.openxmlformats.org/officeDocument/2006/relationships/hyperlink" Target="https://www.rpo.gov.pl/pl/content/wolnosc-zgromadzen-w-polsce-jest-naruszana-zrenica-wolnosci-raport-rpo" TargetMode="External"/><Relationship Id="rId274" Type="http://schemas.openxmlformats.org/officeDocument/2006/relationships/hyperlink" Target="https://www.rpo.gov.pl/pl/content/osoby-bezdomne-nie-moga-dopisywac-sie-do-spisow-wyborcow-rzecznik-interweniuje-w-pkw" TargetMode="External"/><Relationship Id="rId481" Type="http://schemas.openxmlformats.org/officeDocument/2006/relationships/hyperlink" Target="https://www.rpo.gov.pl/pl/content/jak-wladze-usprawniaja-rejestracje-i-rozpatrywanie-wnioskow-cudzoziemcow-na-pobyt-w-polsce-odpowiedz-MSWiA" TargetMode="External"/><Relationship Id="rId27" Type="http://schemas.openxmlformats.org/officeDocument/2006/relationships/hyperlink" Target="https://www.rpo.gov.pl/pl/content/wystapienie-do-szefa-sluzby-cywilnej-w-sprawie-ograniczenia-wiekowego-dla-kandydatow-na-sluchaczy-ksap" TargetMode="External"/><Relationship Id="rId69" Type="http://schemas.openxmlformats.org/officeDocument/2006/relationships/hyperlink" Target="https://www.rpo.gov.pl/pl/content/rpo-upomina-sie-o-poprawe-bezpieczenstwa-ruchu-drogowego" TargetMode="External"/><Relationship Id="rId134" Type="http://schemas.openxmlformats.org/officeDocument/2006/relationships/hyperlink" Target="https://www.rpo.gov.pl/pl/content/rpo-apelowal-do-prezydenta-rp-o-zawetowanie-nowelizacji-ustaw-sadowych-andrzej-duda-nowelizacje-podpisal" TargetMode="External"/><Relationship Id="rId537" Type="http://schemas.openxmlformats.org/officeDocument/2006/relationships/hyperlink" Target="https://www.rpo.gov.pl/pl/content/kpo" TargetMode="External"/><Relationship Id="rId80" Type="http://schemas.openxmlformats.org/officeDocument/2006/relationships/hyperlink" Target="https://ec.europa.eu/info/law/better-regulation/initiatives/com-2018-218_en" TargetMode="External"/><Relationship Id="rId176" Type="http://schemas.openxmlformats.org/officeDocument/2006/relationships/hyperlink" Target="https://www.rpo.gov.pl/pl/content/wniosek-do-tk-ws-procedury-vitro" TargetMode="External"/><Relationship Id="rId341" Type="http://schemas.openxmlformats.org/officeDocument/2006/relationships/hyperlink" Target="https://www.rpo.gov.pl/pl/content/rpo-do-ministra-zdrowia-zapewnic-realny-dost%C4%99p-bezdomnym-do-s%C5%82uzby-zdrowia" TargetMode="External"/><Relationship Id="rId383" Type="http://schemas.openxmlformats.org/officeDocument/2006/relationships/hyperlink" Target="https://www.rpo.gov.pl/pl/content/seminarium-w-biurze-rpo-%E2%80%9Enie-oczekiwane-skutki-reformy-systemu-oswiaty" TargetMode="External"/><Relationship Id="rId439" Type="http://schemas.openxmlformats.org/officeDocument/2006/relationships/hyperlink" Target="https://www.rpo.gov.pl/pl/content/odpowied%C5%BA-pko-banku-polskiego-na-wyst%C4%85pienie-rpo-ws-ksi%C4%85%C5%BCeczek-mieszkaniowych" TargetMode="External"/><Relationship Id="rId201" Type="http://schemas.openxmlformats.org/officeDocument/2006/relationships/hyperlink" Target="https://www.rpo.gov.pl/pl/content/rpo-ma-watpliwosci-czy-nowe-kompetencje-komisji-ds-reprywatyzacji-sa-konstytucyjne" TargetMode="External"/><Relationship Id="rId243" Type="http://schemas.openxmlformats.org/officeDocument/2006/relationships/hyperlink" Target="https://www.rpo.gov.pl/pl/content/lasy-panstwowe-i-policja-nie-rezygnuja-z-checi-karania-protestujacych-przeciw-wycince-puszczy-bialowieskiej" TargetMode="External"/><Relationship Id="rId285" Type="http://schemas.openxmlformats.org/officeDocument/2006/relationships/hyperlink" Target="https://www.rpo.gov.pl/pl/content/kobieta-stracila-75-tys-z%C5%82-po-sfalszowaniu-umowy-pozyczki-rpo-chce-by-sad-wznowil-sprawe-po-skazaniu-falszerza" TargetMode="External"/><Relationship Id="rId450" Type="http://schemas.openxmlformats.org/officeDocument/2006/relationships/hyperlink" Target="https://www.rpo.gov.pl/pl/content/rpo-do-tk-w-obronie-praw-obywateli-tracacych-czlonkostwo-spoldzielni-mieszkaniowych" TargetMode="External"/><Relationship Id="rId506" Type="http://schemas.openxmlformats.org/officeDocument/2006/relationships/hyperlink" Target="http://www.nsa.gov.pl/komunikaty/komunikat-z-dnia-22-pazdziernika-2018-r-dotyczacy-postanowienia-tsue-z-dnia-19-pazdziernika-2018-r-aktualizacja,news,4,593.php" TargetMode="External"/><Relationship Id="rId38" Type="http://schemas.openxmlformats.org/officeDocument/2006/relationships/hyperlink" Target="https://www.rpo.gov.pl/pl/content/dostepnosc-lekcji-religii-wyznan-mniejszosciowych-i-lekcji-etyki-minister-podziela-czesc-watpliwosci" TargetMode="External"/><Relationship Id="rId103" Type="http://schemas.openxmlformats.org/officeDocument/2006/relationships/hyperlink" Target="https://www.rpo.gov.pl/pl/content/mswia-o-procedurach-dotycz%C4%85cych-os%C3%B3b-z-niepe%C5%82nosprawno%C5%9Bci%C4%85-intelektualn%C4%85" TargetMode="External"/><Relationship Id="rId310" Type="http://schemas.openxmlformats.org/officeDocument/2006/relationships/hyperlink" Target="https://www.rpo.gov.pl/pl/content/brak-gwarancji-odpoczynku-kierowcow-miejskich-autobusow-rpo-pisze-do-ministra-infrastruktury" TargetMode="External"/><Relationship Id="rId492" Type="http://schemas.openxmlformats.org/officeDocument/2006/relationships/hyperlink" Target="https://www.rpo.gov.pl/pl/content/nowa-edycja-poradnika-rpo-o-zasadzie-rozstrzygania-watpliwosci-na-korzysc-podatnika" TargetMode="External"/><Relationship Id="rId548" Type="http://schemas.openxmlformats.org/officeDocument/2006/relationships/hyperlink" Target="https://social.un.org/ageing-working-group/tenthsession.shtml" TargetMode="External"/><Relationship Id="rId91" Type="http://schemas.openxmlformats.org/officeDocument/2006/relationships/hyperlink" Target="https://www.rpo.gov.pl/pl/content/sprawa-marszu-w-warszawie-chodzi-o-istote-konstytucyjnej-wolnosci-zgromadzen-publicznych" TargetMode="External"/><Relationship Id="rId145" Type="http://schemas.openxmlformats.org/officeDocument/2006/relationships/hyperlink" Target="https://www.rpo.gov.pl/pl/content/RPO-oswiadczenie-po-slowach-Andrzej-Duda-ws-Trybunal-Konstytucyjny" TargetMode="External"/><Relationship Id="rId187" Type="http://schemas.openxmlformats.org/officeDocument/2006/relationships/hyperlink" Target="https://www.rpo.gov.pl/pl/content/o-prawach-mieszka%C5%84c%C3%B3w-dom%C3%B3w-pomocy-spo%C5%82ecznej-do-ministra-rodziny-pracy-i-polityki-spo%C5%82ecznej" TargetMode="External"/><Relationship Id="rId352" Type="http://schemas.openxmlformats.org/officeDocument/2006/relationships/hyperlink" Target="https://www.rpo.gov.pl/pl/content/rzecznik-o-przed%C5%82uzaniu-pobytu-dzieci-w-szpitalach" TargetMode="External"/><Relationship Id="rId394" Type="http://schemas.openxmlformats.org/officeDocument/2006/relationships/hyperlink" Target="https://www.rpo.gov.pl/pl/content/nauczanie-indywidualne-tylko-w-domu-rzecznik-zwraca-uwag%C4%99-na-problemy-dzieci-z-niepe%C5%82nosprawnosciami" TargetMode="External"/><Relationship Id="rId408" Type="http://schemas.openxmlformats.org/officeDocument/2006/relationships/hyperlink" Target="https://www.rpo.gov.pl/pl/content/aby-adoptowane-dziecko-nie-dziedziczylo-d%C5%82ugow-biologicznego-ojca-sn-uznal-skarge-nadzwyczajna-rpo" TargetMode="External"/><Relationship Id="rId212" Type="http://schemas.openxmlformats.org/officeDocument/2006/relationships/hyperlink" Target="https://www.rpo.gov.pl/pl/content/%C5%9Bwiadkowie-jehowy-nie-byli-w-prl-%E2%80%9Etajnym-zwi%C4%85zkiem-sn-uniewinni%C5%82-na-wniosek-rpo-siedmioro-skazanych" TargetMode="External"/><Relationship Id="rId254" Type="http://schemas.openxmlformats.org/officeDocument/2006/relationships/hyperlink" Target="https://www.rpo.gov.pl/pl/content/konsolidacji-sluzb-celno-skarbowych-w-swietle-skarg-do-rzecznika-praw-obywatelskich" TargetMode="External"/><Relationship Id="rId49" Type="http://schemas.openxmlformats.org/officeDocument/2006/relationships/hyperlink" Target="https://www.rpo.gov.pl/pl/content/rzecznik-pyta-resort-sprawiedliwosci-o-przyspieszenie-spraw-nakazu-dla-sprawcy-przemocy-by-opuscil-lokal" TargetMode="External"/><Relationship Id="rId114" Type="http://schemas.openxmlformats.org/officeDocument/2006/relationships/hyperlink" Target="https://www.rpo.gov.pl/pl/content/rpo-o-problemach-z-odszkodowaniami-za-niesluszny-areszt-czy-skazanie" TargetMode="External"/><Relationship Id="rId296" Type="http://schemas.openxmlformats.org/officeDocument/2006/relationships/hyperlink" Target="https://www.rpo.gov.pl/pl/content/wsa-potwierdzil-bezzasadnosc-odmowy-wpisu-na-liste-radcow-prawnych" TargetMode="External"/><Relationship Id="rId461" Type="http://schemas.openxmlformats.org/officeDocument/2006/relationships/hyperlink" Target="https://www.rpo.gov.pl/pl/content/rpo-w-przepisach-kodeksu-postepowania-karnego-pominieto-skarge-nadzwyczajna" TargetMode="External"/><Relationship Id="rId517" Type="http://schemas.openxmlformats.org/officeDocument/2006/relationships/hyperlink" Target="https://www.osce.org/projects/criminal-justice-response-hate-crime" TargetMode="External"/><Relationship Id="rId559" Type="http://schemas.openxmlformats.org/officeDocument/2006/relationships/hyperlink" Target="https://www.rpo.gov.pl/pl/content/polski-rzecznik-praw-obywatelskich-adam-bodnar-i-jego-biuro-tegorocznymi-laureatami-norweskiej" TargetMode="External"/><Relationship Id="rId60" Type="http://schemas.openxmlformats.org/officeDocument/2006/relationships/hyperlink" Target="https://www.rpo.gov.pl/pl/content/rzecznik-wyja%C5%9Bnia-spraw%C4%99-wulgaryzm%C3%B3w-wobec-obywateli-ukrainy" TargetMode="External"/><Relationship Id="rId156" Type="http://schemas.openxmlformats.org/officeDocument/2006/relationships/hyperlink" Target="https://www.rpo.gov.pl/pl/content/rzecznik-pyta-ms-co-z-aktami-wykonawczymi-w-sprawie-nieodplatnej-pomocy-prawnej" TargetMode="External"/><Relationship Id="rId198" Type="http://schemas.openxmlformats.org/officeDocument/2006/relationships/hyperlink" Target="https://www.rpo.gov.pl/pl/content/artyku&#322;-adama-bodnara-dla-magazynu-tvn24-o-konsekwencjach-ustawy-o-jawno&#347;ci-&#380;ycia-publicznego" TargetMode="External"/><Relationship Id="rId321" Type="http://schemas.openxmlformats.org/officeDocument/2006/relationships/hyperlink" Target="https://www.rpo.gov.pl/pl/content/zus-wyjasnia-na-jakich-zasadach-dzia%C5%82a-w-przypadku-rent-i-emerytur-osob-ktore-oglosily-upad%C5%82osc" TargetMode="External"/><Relationship Id="rId363" Type="http://schemas.openxmlformats.org/officeDocument/2006/relationships/hyperlink" Target="https://www.rpo.gov.pl/pl/content/rz%C4%85d-odpowiedzial-rpo-w-sprawie-wsparcia-dla-osob-z-niepelnosprawnocciami-i-ich-opiekunow" TargetMode="External"/><Relationship Id="rId419" Type="http://schemas.openxmlformats.org/officeDocument/2006/relationships/hyperlink" Target="https://www.rpo.gov.pl/pl/content/kongres-praw-rodzicielskich/panel/nieplacenie-alimentow-perspektywa-socjologiczna-przyczyny-skutki" TargetMode="External"/><Relationship Id="rId223" Type="http://schemas.openxmlformats.org/officeDocument/2006/relationships/hyperlink" Target="https://www.rpo.gov.pl/pl/content/policja-legitymuje-za-wybryki-nie-za-zadawanie-niewygodnych-pytan-wladzy" TargetMode="External"/><Relationship Id="rId430" Type="http://schemas.openxmlformats.org/officeDocument/2006/relationships/hyperlink" Target="https://www.rpo.gov.pl/pl/content/panel/sesja-11-prawo-do-czystego-&#347;rodowiska-jako-prawo-cz&#322;owieka-blok-c" TargetMode="External"/><Relationship Id="rId18" Type="http://schemas.openxmlformats.org/officeDocument/2006/relationships/hyperlink" Target="https://www.rpo.gov.pl/pl/content/sad-uznal-skarge-rpo-na-zroznicowanie-oplat-za-parkowanie-w-krakowie" TargetMode="External"/><Relationship Id="rId265" Type="http://schemas.openxmlformats.org/officeDocument/2006/relationships/hyperlink" Target="https://www.rpo.gov.pl/pl/content/rzecznik-pyta-minister-anne-zalewska-o-powody-niewpuszczenia-dziennikarzy-na-debate" TargetMode="External"/><Relationship Id="rId472" Type="http://schemas.openxmlformats.org/officeDocument/2006/relationships/hyperlink" Target="https://www.rpo.gov.pl/pl/content/tk-uwzglednil-wniosek-rpo-ws-zazalenia-oskarzyciela-posilkowego-na-odmowe-dopuszczenia-do-procesu" TargetMode="External"/><Relationship Id="rId528" Type="http://schemas.openxmlformats.org/officeDocument/2006/relationships/hyperlink" Target="https://www.rpo.gov.pl/pl/content/interwencja-rpo-ws-prawa-zwolnionych-celnikow-do-zasilku-chorobowego" TargetMode="External"/><Relationship Id="rId125" Type="http://schemas.openxmlformats.org/officeDocument/2006/relationships/hyperlink" Target="https://www.rpo.gov.pl/pl/content/14-dni-na-sporzadzenie-apelacji-w-procesie-karnym-moze-nie-wystarczyc-rpo-pisze-do-senackiej-komisji" TargetMode="External"/><Relationship Id="rId167" Type="http://schemas.openxmlformats.org/officeDocument/2006/relationships/hyperlink" Target="https://www.rpo.gov.pl/pl/content/ograniczenia-wchodzenia-obywateli-do-sadow-rpo-pisze-do-ministra-sprawiedliwosci" TargetMode="External"/><Relationship Id="rId332" Type="http://schemas.openxmlformats.org/officeDocument/2006/relationships/hyperlink" Target="https://www.rpo.gov.pl/pl/content/skuteczna-interwencja-%E2%80%93-prawo-do-%C5%9Bwiadcze%C5%84-rodzinnych-i-%C5%9Bwiadczenia-piel%C4%99gnacyjnego-tak%C5%BCe-w-okresie" TargetMode="External"/><Relationship Id="rId374" Type="http://schemas.openxmlformats.org/officeDocument/2006/relationships/hyperlink" Target="https://www.rpo.gov.pl/pl/content/m%C4%99%C5%BCczyzna-z-niepe%C5%82nosprawno%C5%9Bci%C4%85-ruchow%C4%85-otrzyma-wind%C4%99-pozytywne-zako%C5%84czenie-sprawy-bpk81582017" TargetMode="External"/><Relationship Id="rId71" Type="http://schemas.openxmlformats.org/officeDocument/2006/relationships/hyperlink" Target="https://www.rpo.gov.pl/pl/content/adam-bodnar-za-ustawowym-uregulowaniem-testow-genetycznych" TargetMode="External"/><Relationship Id="rId234" Type="http://schemas.openxmlformats.org/officeDocument/2006/relationships/hyperlink" Target="https://www.rpo.gov.pl/raport_1/863" TargetMode="External"/><Relationship Id="rId2" Type="http://schemas.openxmlformats.org/officeDocument/2006/relationships/hyperlink" Target="https://www.rpo.gov.pl/pl/content/RPO-do-trybunalu-ubezwlasnowolnienie-calkowite-niekonstytucyjne" TargetMode="External"/><Relationship Id="rId29" Type="http://schemas.openxmlformats.org/officeDocument/2006/relationships/hyperlink" Target="https://www.rpo.gov.pl/pl/content/system-orzekania-o-niepelnosprawnosci-jak-poprawic-by-byl-zgodny-ze-standardami-konwencji-onz" TargetMode="External"/><Relationship Id="rId276" Type="http://schemas.openxmlformats.org/officeDocument/2006/relationships/hyperlink" Target="https://www.rpo.gov.pl/pl/content/niedostosowani-do-wyborow-raport-rpo" TargetMode="External"/><Relationship Id="rId441" Type="http://schemas.openxmlformats.org/officeDocument/2006/relationships/hyperlink" Target="https://www.rpo.gov.pl/pl/content/rpo-mozliwe-problemy-z-realizacja-orzeczen-sadow-o-przyznaniu-prawa-do-lokalu-socjalnego" TargetMode="External"/><Relationship Id="rId483" Type="http://schemas.openxmlformats.org/officeDocument/2006/relationships/hyperlink" Target="https://www.rpo.gov.pl/pl/content/rpo-przed-komisja-libe-parlamentu-europejskiego-w-sprawie-publicznego-wysluchania-Polski" TargetMode="External"/><Relationship Id="rId539" Type="http://schemas.openxmlformats.org/officeDocument/2006/relationships/hyperlink" Target="https://www.rpo.gov.pl/pl/content/apelacja-w-procesie-wytoczonym-przez-dziennikarza-zwolnionego-z-polskiego-radia" TargetMode="External"/><Relationship Id="rId40" Type="http://schemas.openxmlformats.org/officeDocument/2006/relationships/hyperlink" Target="https://www.rpo.gov.pl/pl/content/rowne-traktowanie-w-pracy-ze-wzgledu-na-wyznanie-analiza-i-zalecenia-rpo" TargetMode="External"/><Relationship Id="rId136" Type="http://schemas.openxmlformats.org/officeDocument/2006/relationships/hyperlink" Target="https://www.rpo.gov.pl/pl/content/Praworzadnosc-dla-ludzi-biala-ksiega-dotyczaca-dzialan-rpo-na-rzecz-niezaleznosci-sadow" TargetMode="External"/><Relationship Id="rId178" Type="http://schemas.openxmlformats.org/officeDocument/2006/relationships/hyperlink" Target="https://www.rpo.gov.pl/pl/content/rpo-proponuje-rozwiazanie-gdy-opiekun-osoby-ubezwlasnowolnionej-utrudnia-kontakty-z-jej-bliskimi" TargetMode="External"/><Relationship Id="rId301" Type="http://schemas.openxmlformats.org/officeDocument/2006/relationships/hyperlink" Target="https://www.rpo.gov.pl/pl/content/spotkanie-regionalne-adama-bodnara-w-ostrowcu" TargetMode="External"/><Relationship Id="rId343" Type="http://schemas.openxmlformats.org/officeDocument/2006/relationships/hyperlink" Target="https://www.rpo.gov.pl/pl/content/rpo-o-leczeniu-ciezko-chorych" TargetMode="External"/><Relationship Id="rId550" Type="http://schemas.openxmlformats.org/officeDocument/2006/relationships/hyperlink" Target="https://www.rpo.gov.pl/pl/content/rzad-wciaz-nie-bierze-udzia&#322;u-w-pracach-grupy-roboczej-onz-dla-przygotowania-konwencji-o-prawach-os&#243;b" TargetMode="External"/><Relationship Id="rId82" Type="http://schemas.openxmlformats.org/officeDocument/2006/relationships/hyperlink" Target="https://www.rpo.gov.pl/pl/content/nielegalne-placowki-opiekuncze-projekt-zmian-czeka-na-decyzje-rzadu" TargetMode="External"/><Relationship Id="rId203" Type="http://schemas.openxmlformats.org/officeDocument/2006/relationships/hyperlink" Target="https://www.rpo.gov.pl/pl/content/podpis-odbioru-przesy%C5%82ek-na-tablecie-rpo-pyta-czy-bezpieczne" TargetMode="External"/><Relationship Id="rId385" Type="http://schemas.openxmlformats.org/officeDocument/2006/relationships/hyperlink" Target="https://www.rpo.gov.pl/pl/content/rpo-o-problemach-zwi%C4%85zanych-z-rekrutacj%C4%85-do-szk%C3%B3%C5%82-ponadpodstawowych-w-roku-szkolnym-20192020" TargetMode="External"/><Relationship Id="rId245" Type="http://schemas.openxmlformats.org/officeDocument/2006/relationships/hyperlink" Target="https://www.rpo.gov.pl/pl/content/adam-bodnar-krytycznie-o-projekcie-zmian-w-prowadzeniu-zbiorek-publicznych" TargetMode="External"/><Relationship Id="rId287" Type="http://schemas.openxmlformats.org/officeDocument/2006/relationships/hyperlink" Target="https://www.rpo.gov.pl/pl/content/rpo-upomina-sie-o-prawa-w%C5%82ascicieli-zabytkow" TargetMode="External"/><Relationship Id="rId410" Type="http://schemas.openxmlformats.org/officeDocument/2006/relationships/hyperlink" Target="https://www.rpo.gov.pl/pl/content/pozegnanie-rpd-marka-michalaka-dekalog-po-10-latach-pracy" TargetMode="External"/><Relationship Id="rId452" Type="http://schemas.openxmlformats.org/officeDocument/2006/relationships/hyperlink" Target="https://www.rpo.gov.pl/pl/content/propozycje-dla-ministra-w-sprawie-nowelizacji-upadlosci-konsumenckiej-po-seminarium-u-rpo" TargetMode="External"/><Relationship Id="rId494" Type="http://schemas.openxmlformats.org/officeDocument/2006/relationships/hyperlink" Target="https://www.rpo.gov.pl/pl/content/nsa-wyda-wyrok-w-sprawie-jednej-z-ofiar-ulgi-meldunkowej" TargetMode="External"/><Relationship Id="rId508" Type="http://schemas.openxmlformats.org/officeDocument/2006/relationships/hyperlink" Target="https://www.rpo.gov.pl/pl/content/25-rocznica-ratyfikowania-przez-polsk&#281;-europejskiej-konwencji-praw-cz&#322;owieka" TargetMode="External"/><Relationship Id="rId105" Type="http://schemas.openxmlformats.org/officeDocument/2006/relationships/hyperlink" Target="https://www.rpo.gov.pl/pl/content/sytuacja-osob-niewidomych-odbywaj%C4%85cych-kare-pozbawienia-wolnosci" TargetMode="External"/><Relationship Id="rId147" Type="http://schemas.openxmlformats.org/officeDocument/2006/relationships/hyperlink" Target="https://www.rpo.gov.pl/pl/content/rpo-wycofal-z-trybunalu-konstytucyjnego-wniosek-ws-%E2%80%9Eowocow-zatrutego-drzewa%E2%80%9D" TargetMode="External"/><Relationship Id="rId312" Type="http://schemas.openxmlformats.org/officeDocument/2006/relationships/hyperlink" Target="https://www.rpo.gov.pl/pl/content/praktyka-zadanie-od-pracownic-zaswiadczenia-lekarskiego-o-karmieniu-piersia" TargetMode="External"/><Relationship Id="rId354" Type="http://schemas.openxmlformats.org/officeDocument/2006/relationships/hyperlink" Target="https://www.rpo.gov.pl/pl/content/komitet-ministr%C3%B3w-rady-europy-o-braku-realnego-dost%C4%99pu-do-legalnej-aborcji-w-polsce-rpo-pyta-o" TargetMode="External"/><Relationship Id="rId51" Type="http://schemas.openxmlformats.org/officeDocument/2006/relationships/hyperlink" Target="https://www.rpo.gov.pl/pl/content/molestowanie-wsrod-studentek-i-studentow-analiza-i-zalecenia-rpo" TargetMode="External"/><Relationship Id="rId93" Type="http://schemas.openxmlformats.org/officeDocument/2006/relationships/hyperlink" Target="https://www.rpo.gov.pl/pl/content/rpo-umieszczanie-wiezniow-w-kilkunastoosobowych-celach-niehumanitarne-traktowanie" TargetMode="External"/><Relationship Id="rId189" Type="http://schemas.openxmlformats.org/officeDocument/2006/relationships/hyperlink" Target="https://www.rpo.gov.pl/pl/content/rpo-prokuratura-nie-moze-zwalniac-z-tajemnic-zawodowych" TargetMode="External"/><Relationship Id="rId396" Type="http://schemas.openxmlformats.org/officeDocument/2006/relationships/hyperlink" Target="https://www.rpo.gov.pl/pl/content/rpo-w-sprawie-niepublicznych-szkol-w-ktorych-ucza-sie-dzieci-ze-specjalnymi-potrzebami-edukacyjnymi" TargetMode="External"/><Relationship Id="rId561" Type="http://schemas.openxmlformats.org/officeDocument/2006/relationships/hyperlink" Target="https://www.ohchr.org/EN/NewsEvents/Pages/DisplayNews.aspx?NewsID=23693&amp;LangID=E" TargetMode="External"/><Relationship Id="rId214" Type="http://schemas.openxmlformats.org/officeDocument/2006/relationships/hyperlink" Target="https://www.rpo.gov.pl/pl/content/interwencja-rpo-u-premiera-aby-resort-kultury-wypowiedzial-sie-ws-zmian-w-ustawie-o-rtv" TargetMode="External"/><Relationship Id="rId256" Type="http://schemas.openxmlformats.org/officeDocument/2006/relationships/hyperlink" Target="https://www.rpo.gov.pl/pl/content/rpo-nie-ma-przejrzystych-kryteriow-wyboru-kandydata-na-stanowisko-prokuratorskie" TargetMode="External"/><Relationship Id="rId298" Type="http://schemas.openxmlformats.org/officeDocument/2006/relationships/hyperlink" Target="https://www.rpo.gov.pl/pl/content/adam-bodnar-za-ujednoliceniem-wskaznikow-oceny-pracy-nauczycieli" TargetMode="External"/><Relationship Id="rId421" Type="http://schemas.openxmlformats.org/officeDocument/2006/relationships/hyperlink" Target="https://www.rpo.gov.pl/pl/content/rzecznik-pyta-ministra-sprawiedliwosci-o-efekty-prac-nad-poprawa-dzialania-ozss" TargetMode="External"/><Relationship Id="rId463" Type="http://schemas.openxmlformats.org/officeDocument/2006/relationships/hyperlink" Target="https://www.rpo.gov.pl/pl/content/prawo-do-odszkodowan-takze-za-poleg%C5%82ych-za-polske-na-terenach-ii-rp-ktore-po-wojnie-weszly-w-sklad-ZSRR" TargetMode="External"/><Relationship Id="rId519" Type="http://schemas.openxmlformats.org/officeDocument/2006/relationships/hyperlink" Target="https://www.rpo.gov.pl/sites/default/files/Opinia%20ODIHR%20dotycz&#261;ca%20penalizacji%20tortur%20w%20polskim%20ustawodawstwie.pdf" TargetMode="External"/><Relationship Id="rId116" Type="http://schemas.openxmlformats.org/officeDocument/2006/relationships/hyperlink" Target="https://www.rpo.gov.pl/pl/content/panel/sesja-29-kontrowersje-wok&#243;&#322;-ustawy-o-ipn-%E2%80%93-lekcja-na-przysz&#322;o&#347;&#263;-blok-b" TargetMode="External"/><Relationship Id="rId158" Type="http://schemas.openxmlformats.org/officeDocument/2006/relationships/hyperlink" Target="https://www.rpo.gov.pl/pl/content/Bodnar-do-Ziobry-rejestr-pedofilow-uderza-w-niewinnych" TargetMode="External"/><Relationship Id="rId323" Type="http://schemas.openxmlformats.org/officeDocument/2006/relationships/hyperlink" Target="https://www.rpo.gov.pl/pl/content/czy-straznicy-miejscy-powinni-miec-prawo-do-emerytury-pomostowej" TargetMode="External"/><Relationship Id="rId530" Type="http://schemas.openxmlformats.org/officeDocument/2006/relationships/hyperlink" Target="https://www.rpo.gov.pl/pl/content/spraw-funkcjonariuszy-sluzby-wieziennej-oddelegowanych-do-pelnienia-sluzby-w-innych-jednostkach" TargetMode="External"/><Relationship Id="rId20" Type="http://schemas.openxmlformats.org/officeDocument/2006/relationships/hyperlink" Target="https://www.rpo.gov.pl/pl/content/rzecznik-w-obronie-edukacji-antydyskryminacyjnej-w-szkolach" TargetMode="External"/><Relationship Id="rId62" Type="http://schemas.openxmlformats.org/officeDocument/2006/relationships/hyperlink" Target="https://www.rpo.gov.pl/pl/content/liczne-problemy-z-karta-polaka-wyst%C4%85pienie-rpo-do-msz" TargetMode="External"/><Relationship Id="rId365" Type="http://schemas.openxmlformats.org/officeDocument/2006/relationships/hyperlink" Target="http://webtv.un.org/meetings-events/" TargetMode="External"/><Relationship Id="rId225" Type="http://schemas.openxmlformats.org/officeDocument/2006/relationships/hyperlink" Target="https://www.rpo.gov.pl/pl/content/apelacja-w-procesie-wytoczonym-przez-dziennikarza-zwolnionego-z-polskiego-radia" TargetMode="External"/><Relationship Id="rId267" Type="http://schemas.openxmlformats.org/officeDocument/2006/relationships/hyperlink" Target="https://www.rpo.gov.pl/pl/content/dlaczego-krs-nie-wpuszcza-na-konferencje-dziennikarza" TargetMode="External"/><Relationship Id="rId432" Type="http://schemas.openxmlformats.org/officeDocument/2006/relationships/hyperlink" Target="https://www.rpo.gov.pl/pl/content/gmin-nie-stac-na-usuwanie-skladowisk-odpadow-rpo-pisze-do-nfosigw-w-sprawie-wsparcia" TargetMode="External"/><Relationship Id="rId474" Type="http://schemas.openxmlformats.org/officeDocument/2006/relationships/hyperlink" Target="https://www.rpo.gov.pl/pl/content/rpo-do-tk-wyrok-powstrzymujacy-sady-od-zadawania-pytan-prejudycjalnych-naruszalby-zobowiazania-Polski" TargetMode="External"/><Relationship Id="rId127" Type="http://schemas.openxmlformats.org/officeDocument/2006/relationships/hyperlink" Target="https://www.rpo.gov.pl/pl/content/rpo-o-koniecznosci-zwracania-kosztow-obroncy-lekarzowi-uniewinnionemu-po-dyscyplinarce" TargetMode="External"/><Relationship Id="rId31" Type="http://schemas.openxmlformats.org/officeDocument/2006/relationships/hyperlink" Target="https://www.rpo.gov.pl/pl/postepowania-strategiczne-rpo/dost%C4%99p-do-opieki-zdrowotnej-osoby-niewidomej-z-psem-przewodnikiem" TargetMode="External"/><Relationship Id="rId73" Type="http://schemas.openxmlformats.org/officeDocument/2006/relationships/hyperlink" Target="https://www.rpo.gov.pl/pl/content/tortury-na-policji--rzecznik-praw-obywatelskich-wskazuje-jak-im-zapobiegac" TargetMode="External"/><Relationship Id="rId169" Type="http://schemas.openxmlformats.org/officeDocument/2006/relationships/hyperlink" Target="https://www.rpo.gov.pl/pl/content/rzecznik-do-nsa-w-obronie-praw-kierowcow-ktorym-odebrano-prawo-jazdy" TargetMode="External"/><Relationship Id="rId334" Type="http://schemas.openxmlformats.org/officeDocument/2006/relationships/hyperlink" Target="https://www.rpo.gov.pl/pl/content/komitet-ministr%C3%B3w-rady-europy-o-braku-realnego-dost%C4%99pu-do-legalnej-aborcji-w-polsce-rpo-pyta-o" TargetMode="External"/><Relationship Id="rId376" Type="http://schemas.openxmlformats.org/officeDocument/2006/relationships/hyperlink" Target="https://www.rpo.gov.pl/pl/content/czy-wideotlumacze-jezyka-migowego-beda-dostepni-line-rpo-pisze-do-zus" TargetMode="External"/><Relationship Id="rId541" Type="http://schemas.openxmlformats.org/officeDocument/2006/relationships/hyperlink" Target="https://www.rpo.gov.pl/pl/content/sn-osoby-transplciowe-nie-musza-pozywac-swych-dzieci-w-sprawie-o-ustalenie-swej-plci" TargetMode="External"/><Relationship Id="rId4" Type="http://schemas.openxmlformats.org/officeDocument/2006/relationships/hyperlink" Target="https://www.rpo.gov.pl/pl/content/rpo-wnosi-nsa-oddali%C5%82-kasacj%C4%99-rady-warszawy-ws-zasad-usuwania-uci%C4%85%C5%BCliwego-pasa%C5%BCera" TargetMode="External"/><Relationship Id="rId180" Type="http://schemas.openxmlformats.org/officeDocument/2006/relationships/hyperlink" Target="https://www.rpo.gov.pl/pl/content/rzecznik-interweniuje-w-sprawie-zawierania-malzenstw-przez-osadzonych" TargetMode="External"/><Relationship Id="rId236" Type="http://schemas.openxmlformats.org/officeDocument/2006/relationships/hyperlink" Target="https://www.rpo.gov.pl/pl/content/policja-powinna-niezwlocznie-reagowac-na-hasla-i-symbole-rasistowskie-i-faszystowskie-musi-tez-je-znac" TargetMode="External"/><Relationship Id="rId278" Type="http://schemas.openxmlformats.org/officeDocument/2006/relationships/hyperlink" Target="https://www.rpo.gov.pl/pl/content/adam-bodnar-dyskusja-na-temat-praw-socjalnych-wazna-m.in-dla-skutecznej-walki-z-populizmem" TargetMode="External"/><Relationship Id="rId401" Type="http://schemas.openxmlformats.org/officeDocument/2006/relationships/hyperlink" Target="https://www.rpo.gov.pl/pl/content/adam-bodnar-o-celach-kongresu-praw-rodzicielskich" TargetMode="External"/><Relationship Id="rId443" Type="http://schemas.openxmlformats.org/officeDocument/2006/relationships/hyperlink" Target="https://www.rpo.gov.pl/pl/content/trzeba-poprawic-przepisy-pozwalajace-na-eksmisje-do-noclegowni-dzieci-lub-chorych-cz%C5%82onkow-rodziny-wlasciciela-ktory-traci-mieszkanie-za-dlugi" TargetMode="External"/><Relationship Id="rId303" Type="http://schemas.openxmlformats.org/officeDocument/2006/relationships/hyperlink" Target="https://www.rpo.gov.pl/pl/content/rpo-do-ministra-zdrowia-procedury-antymobbingowe-w-szpitalach-nie-sa-skuteczne" TargetMode="External"/><Relationship Id="rId485" Type="http://schemas.openxmlformats.org/officeDocument/2006/relationships/hyperlink" Target="mailto:https://www.rpo.gov.pl/pl/content/sedziowski-rzecznik-dyscyplinarny-pisze-do-rpo-o-przyczynach-przesluchan-znanych-s%C4%99dzi%C3%B3w" TargetMode="External"/><Relationship Id="rId42" Type="http://schemas.openxmlformats.org/officeDocument/2006/relationships/hyperlink" Target="https://www.rpo.gov.pl/pl/content/niedoko%C5%84czona-emancypacja-100-lat-praw-wyborczych-kobiet-konferencja-wyniki-bada%C5%84" TargetMode="External"/><Relationship Id="rId84" Type="http://schemas.openxmlformats.org/officeDocument/2006/relationships/hyperlink" Target="https://www.rpo.gov.pl/pl/content/rpo-pyta-ministr%C3%B3w-spraw-zagranicznych-i-sprawiedliwo%C5%9Bci-o-spraw%C4%99-mateusza-p" TargetMode="External"/><Relationship Id="rId138" Type="http://schemas.openxmlformats.org/officeDocument/2006/relationships/hyperlink" Target="https://www.rpo.gov.pl/pl/content/resort-sprawiedliwosci-zaczyna-obsadzac-wakaty-sedziowskie" TargetMode="External"/><Relationship Id="rId345" Type="http://schemas.openxmlformats.org/officeDocument/2006/relationships/hyperlink" Target="https://www.rpo.gov.pl/pl/content/co-maja-zrobic-rodzice-dziecka-z-niepelnosprawnoscia-ktore-przezywa-kryzys-psychiczny" TargetMode="External"/><Relationship Id="rId387" Type="http://schemas.openxmlformats.org/officeDocument/2006/relationships/hyperlink" Target="https://www.rpo.gov.pl/pl/content/rzecznik-upomina-sie-o-prawo-do-dalszej-edukacji-pelnoletnich-wychowankow-m%C5%82odziezowych-osrodkow-wychowawczych" TargetMode="External"/><Relationship Id="rId510" Type="http://schemas.openxmlformats.org/officeDocument/2006/relationships/hyperlink" Target="http://trybunal.gov.pl/polskie-akcenty-w-orzecznictwie-miedzynarodowym/rada-europy-europejski-trybunal-praw-czlowieka/w-sprawach-polskich/art/7999-sprawa-tysiac-przeciwko-polsce-skarga-nr-5410-03-wyrok-z-dnia-20-marca-2007-rtlumaczenie-robo/" TargetMode="External"/><Relationship Id="rId552" Type="http://schemas.openxmlformats.org/officeDocument/2006/relationships/hyperlink" Target="https://www.rpo.gov.pl/pl/content/konferencja-Alzheimer-w-rodzinie" TargetMode="External"/><Relationship Id="rId191" Type="http://schemas.openxmlformats.org/officeDocument/2006/relationships/hyperlink" Target="https://www.rpo.gov.pl/pl/content/rpo-tajemnice-lekarskie-z-dokumentow-powinien-uchyla%C4%87-sad-a-nie-prokurator" TargetMode="External"/><Relationship Id="rId205" Type="http://schemas.openxmlformats.org/officeDocument/2006/relationships/hyperlink" Target="https://www.rpo.gov.pl/pl/content/urzad-powinien-udostepniac-kopie-akt-stronie-postepowania-pytanie-prawne-rpo-do-nsa" TargetMode="External"/><Relationship Id="rId247" Type="http://schemas.openxmlformats.org/officeDocument/2006/relationships/hyperlink" Target="https://www.rpo.gov.pl/pl/content/projektowana-ustawa-o-kolach-gospodyn-wiejskich-moze-ograniczac-konstytucyjna-wolnosc-zrzeszania" TargetMode="External"/><Relationship Id="rId412" Type="http://schemas.openxmlformats.org/officeDocument/2006/relationships/hyperlink" Target="https://www.rpo.gov.pl/pl/content/resort-sprawiedliwosci-odpowiada-rpo-bedzie-rejestr-dluznikow-alimentacyjnych" TargetMode="External"/><Relationship Id="rId107" Type="http://schemas.openxmlformats.org/officeDocument/2006/relationships/hyperlink" Target="https://www.rpo.gov.pl/pl/content/przepisy-dotyczace-badania-wiezniow-na-obecnosc-w-organizmie-srodkow-odurzajacych-wymagaja-zmian" TargetMode="External"/><Relationship Id="rId289" Type="http://schemas.openxmlformats.org/officeDocument/2006/relationships/hyperlink" Target="https://www.rpo.gov.pl/pl/content/w-ochronie-praw-wlascicieli-zabytkow-rpo-przylaczyl-sie-do-pytania-prawnego-do-trybuna%C5%82u-konstytucyjnego" TargetMode="External"/><Relationship Id="rId454" Type="http://schemas.openxmlformats.org/officeDocument/2006/relationships/hyperlink" Target="https://www.rpo.gov.pl/pl/content/nieprawidlowosci-w-potracaniu-swiadczen-przez-zus-przy-upadlosci-konsumenckiej" TargetMode="External"/><Relationship Id="rId496" Type="http://schemas.openxmlformats.org/officeDocument/2006/relationships/hyperlink" Target="https://www.rpo.gov.pl/pl/content/rpo-upomina-sie-ws-ulgi-rehabilitacyjnej-dla-opiekunow-doroslych-osob-z-niepelnosprawnosciami" TargetMode="External"/><Relationship Id="rId11" Type="http://schemas.openxmlformats.org/officeDocument/2006/relationships/hyperlink" Target="https://www.rpo.gov.pl/pl/content/korzystny-wyrok-nsa-dla-opiekunow-osob-z-niepelnosprawnosciami" TargetMode="External"/><Relationship Id="rId53" Type="http://schemas.openxmlformats.org/officeDocument/2006/relationships/hyperlink" Target="https://www.rpo.gov.pl/pl/content/adam-bodnar-o-marcu-1968-przemoc-fizyczna-symboliczna-psychiczna-i-ekonomiczna-na-wielka-skale" TargetMode="External"/><Relationship Id="rId149" Type="http://schemas.openxmlformats.org/officeDocument/2006/relationships/hyperlink" Target="https://www.rpo.gov.pl/pl/content/rpo-wycofal-z-trybunalu-konstytucyjnego-wniosek-w-sprawie-tzw-nastepczej-zgody-na-podsluch" TargetMode="External"/><Relationship Id="rId314" Type="http://schemas.openxmlformats.org/officeDocument/2006/relationships/hyperlink" Target="https://www.rpo.gov.pl/pl/content/zolnierze-skarza-sie-rpo-na-przestarza%C5%82y-sprzet-nowoczesniejszy-ma-jednostka-wot" TargetMode="External"/><Relationship Id="rId356" Type="http://schemas.openxmlformats.org/officeDocument/2006/relationships/hyperlink" Target="https://www.rpo.gov.pl/pl/content/komisja-ekspert&#243;w-ds-os&#243;b-starszych-apeluje-o-zmian&#281;-podej&#347;cia-do-geriatrii-w-polsce" TargetMode="External"/><Relationship Id="rId398" Type="http://schemas.openxmlformats.org/officeDocument/2006/relationships/hyperlink" Target="https://www.rpo.gov.pl/pl/content/rpo-dozywotnie-zatrudnianie-sedziow-tk-sn-i-nsa-na-uczelniach-niekonstytucyjne" TargetMode="External"/><Relationship Id="rId521" Type="http://schemas.openxmlformats.org/officeDocument/2006/relationships/hyperlink" Target="https://www.rpo.gov.pl/pl/content/panstwo-bez-tortur-kampania" TargetMode="External"/><Relationship Id="rId563" Type="http://schemas.openxmlformats.org/officeDocument/2006/relationships/hyperlink" Target="https://www.rpo.gov.pl/sites/default/files/Informacja%20RPO%20dla%20komitetu%20ONZ%20z%20wdra%C5%BCania%20%20Konwencji%20o%20prawach%20os%C3%B3b%20z%20niepe%C5%82nosprawno%C5%9Bciam%20%28j%C4%99z.%20polski%29.pdf" TargetMode="External"/><Relationship Id="rId95" Type="http://schemas.openxmlformats.org/officeDocument/2006/relationships/hyperlink" Target="https://www.rpo.gov.pl/pl/content/rpo-ponownie-wnosi-o-zmiane-ustawy-o-bestiach-dotyczacej-o%C5%9Brodka-w-gostyninie" TargetMode="External"/><Relationship Id="rId160" Type="http://schemas.openxmlformats.org/officeDocument/2006/relationships/hyperlink" Target="https://www.rpo.gov.pl/pl/content/rpo-pisze-do-ministra-sprawiedliwosci-w-sprawie-procedur-przesluchan-ofiar-przestepstw-seksualnych" TargetMode="External"/><Relationship Id="rId216" Type="http://schemas.openxmlformats.org/officeDocument/2006/relationships/hyperlink" Target="https://www.rpo.gov.pl/pl/content/rpo-samorzady-nie-powinny-wydawac-prasy-jedynie-biuletyny-informacyjne" TargetMode="External"/><Relationship Id="rId423" Type="http://schemas.openxmlformats.org/officeDocument/2006/relationships/hyperlink" Target="https://www.rpo.gov.pl/pl/postepowania-strategiczne-rpo/ukaranie-grzywn%C4%85-za-przerobienie-polskiego-hymnu" TargetMode="External"/><Relationship Id="rId258" Type="http://schemas.openxmlformats.org/officeDocument/2006/relationships/hyperlink" Target="https://www.rpo.gov.pl/pl/content/ms-%E2%80%9Ezamrozilo%E2%80%9D-etaty-s%C4%99dziowskie-procesy-przed%C5%82uzaja-sie-kolejne-wyst%C4%85pienie-rpo-do-zbigniewa-ziobry" TargetMode="External"/><Relationship Id="rId465" Type="http://schemas.openxmlformats.org/officeDocument/2006/relationships/hyperlink" Target="https://www.rpo.gov.pl/pl/content/sprawa-tomasza-komendy-powinna-stac-sie-w-koncu-powaznym-impulsem-dla-wladz-oswiadczenie-kmpt" TargetMode="External"/><Relationship Id="rId22" Type="http://schemas.openxmlformats.org/officeDocument/2006/relationships/hyperlink" Target="https://www.rpo.gov.pl/pl/content/sugestie-adama-bodnara-dla-miedzyresortowego-zespolu-ds-przeciwdzialania-propagowania-faszyzmu-i" TargetMode="External"/><Relationship Id="rId64" Type="http://schemas.openxmlformats.org/officeDocument/2006/relationships/hyperlink" Target="https://www.rpo.gov.pl/pl/content/mozliwosc-zaskarzenia-do-sadu-administracyjnego-decyzji-o-odmowie-wydania-wizy" TargetMode="External"/><Relationship Id="rId118" Type="http://schemas.openxmlformats.org/officeDocument/2006/relationships/hyperlink" Target="https://www.rpo.gov.pl/pl/content/realne-prawo-do-obrony-gwarantuje-dyrektywa-ue-ktorej-nie-wprowadzono-do-polskiego-prawa-rpo-pisze-do-premiera" TargetMode="External"/><Relationship Id="rId325" Type="http://schemas.openxmlformats.org/officeDocument/2006/relationships/hyperlink" Target="https://www.rpo.gov.pl/pl/content/rzecznik-interweniuje-w-sprawie-policjanta" TargetMode="External"/><Relationship Id="rId367" Type="http://schemas.openxmlformats.org/officeDocument/2006/relationships/hyperlink" Target="http://www.rpo.gov.pl/pl/content/rekomendacje-rpo-dla-komitetu-onz-ktory-oceni-wykonanie-przez-polske-konwencji-o-prawach-osob-z-niepelnosprawnosciami" TargetMode="External"/><Relationship Id="rId532" Type="http://schemas.openxmlformats.org/officeDocument/2006/relationships/hyperlink" Target="https://www.rpo.gov.pl/pl/kategoria-tematyczna/wielkoduszna-polska" TargetMode="External"/><Relationship Id="rId171" Type="http://schemas.openxmlformats.org/officeDocument/2006/relationships/hyperlink" Target="https://www.rpo.gov.pl/pl/content/rpo-krytycznie-o-projekcie-odpowiedzialnosci-karnej-min-spolek" TargetMode="External"/><Relationship Id="rId227" Type="http://schemas.openxmlformats.org/officeDocument/2006/relationships/hyperlink" Target="https://www.rpo.gov.pl/pl/content/zapewnic-skuteczna-procedure-skladania-wnioskow-o-status-uchodzcy-rpo-pisze-do-mswia" TargetMode="External"/><Relationship Id="rId269" Type="http://schemas.openxmlformats.org/officeDocument/2006/relationships/hyperlink" Target="https://www.rpo.gov.pl/pl/content/sprawa-wst%C4%99pu-do-sejmu-nie-by%C5%82o-podstaw-do-niewpuszczenia-dziennikarza-%E2%80%93-stwierdza-s%C4%85d" TargetMode="External"/><Relationship Id="rId434" Type="http://schemas.openxmlformats.org/officeDocument/2006/relationships/hyperlink" Target="https://www.rpo.gov.pl/pl/content/wyrok-ts-ue-ws-puszczy-bialowieskiej-jej-obrona-byla-uzasadniona" TargetMode="External"/><Relationship Id="rId476" Type="http://schemas.openxmlformats.org/officeDocument/2006/relationships/hyperlink" Target="https://www.rpo.gov.pl/pl/content/bez-porozumienia-nie-bedzie-elektronicznej-obywatelskiej-inicjatywy-ustawodawczej" TargetMode="External"/><Relationship Id="rId33" Type="http://schemas.openxmlformats.org/officeDocument/2006/relationships/hyperlink" Target="https://www.rpo.gov.pl/pl/content/skala-przestepstw-motywowanych-uprzedzeniami-i-nienawi&#347;ci&#261;-w-Polsce-badania-rpo-i-odhir" TargetMode="External"/><Relationship Id="rId129" Type="http://schemas.openxmlformats.org/officeDocument/2006/relationships/hyperlink" Target="https://www.rpo.gov.pl/pl/content/rpo-powinno-byc-odwo%C5%82anie-do-sadu-na-odmowe-ustanowienia-pe%C5%82nomocnika-osoby-niebedacej-strona" TargetMode="External"/><Relationship Id="rId280" Type="http://schemas.openxmlformats.org/officeDocument/2006/relationships/hyperlink" Target="https://www.rpo.gov.pl/pl/content/adam-bodnar-o-potrzebie-nowej-ca%C5%82osciowej-ustawy-reprywatyzacyjnej" TargetMode="External"/><Relationship Id="rId336" Type="http://schemas.openxmlformats.org/officeDocument/2006/relationships/hyperlink" Target="https://www.rpo.gov.pl/pl/content/opinia-rpo-do-senackiego-projektu-w-sprawie-klauzuli-sumienia" TargetMode="External"/><Relationship Id="rId501" Type="http://schemas.openxmlformats.org/officeDocument/2006/relationships/hyperlink" Target="https://www.rpo.gov.pl/pl/content/renta-rodzinna-tez-powinna-zwalniac-od-placenia-abonamentu-rtv" TargetMode="External"/><Relationship Id="rId543" Type="http://schemas.openxmlformats.org/officeDocument/2006/relationships/hyperlink" Target="https://www.rpo.gov.pl/pl/content/kpo" TargetMode="External"/><Relationship Id="rId75" Type="http://schemas.openxmlformats.org/officeDocument/2006/relationships/hyperlink" Target="https://www.rpo.gov.pl/pl/kategoria-prawna-i-organizacyjna/debaty-regionalne-kmpt" TargetMode="External"/><Relationship Id="rId140" Type="http://schemas.openxmlformats.org/officeDocument/2006/relationships/hyperlink" Target="https://www.rpo.gov.pl/pl/content/rpo-zakaz-podwojnego-obywatelstwa-dla-sedziow-i-lawnikow-niekonstytucyjny" TargetMode="External"/><Relationship Id="rId182" Type="http://schemas.openxmlformats.org/officeDocument/2006/relationships/hyperlink" Target="https://www.rpo.gov.pl/pl/content/widzenia-bez-osoby-dozorujacej-ale-pod-nadzorem-kamer-rzecznik-pyta-szefa-sluzby-wieziennej" TargetMode="External"/><Relationship Id="rId378" Type="http://schemas.openxmlformats.org/officeDocument/2006/relationships/hyperlink" Target="https://www.rpo.gov.pl/pl/content/panel/sesja-36-osoby-z-niepe%C5%82nosprawno%C5%9Bciami-w-s%C4%85dach-i-administracji-publicznej-blok-d" TargetMode="External"/><Relationship Id="rId403" Type="http://schemas.openxmlformats.org/officeDocument/2006/relationships/hyperlink" Target="https://www.rpo.gov.pl/pl/content/rzecznik-w-sprawie-dostepu-rodzicow-samotnie-wychowujacych-dzieci-do-swiadczenia-wychowawczego-500" TargetMode="External"/><Relationship Id="rId6" Type="http://schemas.openxmlformats.org/officeDocument/2006/relationships/hyperlink" Target="https://www.rpo.gov.pl/pl/content/raport-kmpt-prawa-mieszkancow-domow-pomocy-spolecznej" TargetMode="External"/><Relationship Id="rId238" Type="http://schemas.openxmlformats.org/officeDocument/2006/relationships/hyperlink" Target="https://www.rpo.gov.pl/pl/content/sprawa-marszu-we-wroc%C5%82awiu-rzecznik-pyta-o-konkretne-powody-zakazu-zgromadzenia" TargetMode="External"/><Relationship Id="rId445" Type="http://schemas.openxmlformats.org/officeDocument/2006/relationships/hyperlink" Target="https://www.rpo.gov.pl/pl/content/rpo-ma-nadzieje-ze-karta-praw-osob-bezdomnych-przyczyni-sie-do-systemowego-rozwiazania-problemu" TargetMode="External"/><Relationship Id="rId487" Type="http://schemas.openxmlformats.org/officeDocument/2006/relationships/hyperlink" Target="https://www.rpo.gov.pl/pl/content/rpo-wzywanie-sedziow-do-wyjasnie%C5%84-za-udzial-w-symulacji-rozprawy-moze-wywo%C5%82ac-%E2%80%9Eefekt-mrozacy%E2%80%9D" TargetMode="External"/><Relationship Id="rId291" Type="http://schemas.openxmlformats.org/officeDocument/2006/relationships/hyperlink" Target="https://www.rpo.gov.pl/pl/content/obywatel-nie-podwazy-bezprawnej-decyzji-o%20przejeciu-ziemi-RPO-do-TK" TargetMode="External"/><Relationship Id="rId305" Type="http://schemas.openxmlformats.org/officeDocument/2006/relationships/hyperlink" Target="https://www.rpo.gov.pl/pl/content/co-inspekcja-pracy-ustalila-w-sprawie-zasad-zatrudnienia-stewardess-i-stewardow-przez-ryanair" TargetMode="External"/><Relationship Id="rId347" Type="http://schemas.openxmlformats.org/officeDocument/2006/relationships/hyperlink" Target="https://www.rpo.gov.pl/pl/content/czy-minister-zdrowia-okresli-wymogi-zbiorowego-%C5%BCywienia-w-szpitalach" TargetMode="External"/><Relationship Id="rId512" Type="http://schemas.openxmlformats.org/officeDocument/2006/relationships/hyperlink" Target="https://www.rpo.gov.pl/pl/rowne-traktowanie" TargetMode="External"/><Relationship Id="rId44" Type="http://schemas.openxmlformats.org/officeDocument/2006/relationships/hyperlink" Target="https://www.rpo.gov.pl/pl/content/rpo-do-premiera-propozycje-zmian-przemoc-w-rodzinie" TargetMode="External"/><Relationship Id="rId86" Type="http://schemas.openxmlformats.org/officeDocument/2006/relationships/hyperlink" Target="https://www.rpo.gov.pl/pl/content/rpo-wnosi-o-doprecyzowanie-przepisow-w-sprawie-osob-trafiajacych-do-osrodka-w-gostyninie" TargetMode="External"/><Relationship Id="rId151" Type="http://schemas.openxmlformats.org/officeDocument/2006/relationships/hyperlink" Target="https://www.rpo.gov.pl/pl/content/rpo-w-sprawie-zasad-dotyczacych-kandydowania-na-stanowisko-starszego-asystenta-sedziego" TargetMode="External"/><Relationship Id="rId389" Type="http://schemas.openxmlformats.org/officeDocument/2006/relationships/hyperlink" Target="https://www.rpo.gov.pl/pl/content/rzecznik-prosi-minister-edukacji-o-doprecyzowanie-przepisow-dotyczacych-dowozu-uczniow" TargetMode="External"/><Relationship Id="rId554" Type="http://schemas.openxmlformats.org/officeDocument/2006/relationships/hyperlink" Target="https://www.rpo.gov.pl/sites/default/files/System%20wsparcia%20os&#243;b%20starszych.pdf" TargetMode="External"/><Relationship Id="rId193" Type="http://schemas.openxmlformats.org/officeDocument/2006/relationships/hyperlink" Target="https://www.rpo.gov.pl/pl/content/rpo-alarmuje-coraz-mniej-czasu-na-przyj%C4%99cie-unijnej-dyrektywy-policyjnej" TargetMode="External"/><Relationship Id="rId207" Type="http://schemas.openxmlformats.org/officeDocument/2006/relationships/hyperlink" Target="https://www.rpo.gov.pl/pl/content/wyrok-ts-ue-ws-puszczy-bialowieskiej-jej-obrona-byla-uzasadniona" TargetMode="External"/><Relationship Id="rId249" Type="http://schemas.openxmlformats.org/officeDocument/2006/relationships/hyperlink" Target="https://www.rpo.gov.pl/pl/content/prawo-do-zrzeszania-sie-w-zwiazkach-zawodowych-rpo-upomina-sie-o-wykonanie-wyroku-tk" TargetMode="External"/><Relationship Id="rId414" Type="http://schemas.openxmlformats.org/officeDocument/2006/relationships/hyperlink" Target="https://www.rpo.gov.pl/pl/content/o-alimentach-podstawowych-i-o-dalszych-wspolnych-pracach-rpo-i-rpd-&#8211;-spotkanie-zespolu-ds-alimentow" TargetMode="External"/><Relationship Id="rId456" Type="http://schemas.openxmlformats.org/officeDocument/2006/relationships/hyperlink" Target="https://www.rpo.gov.pl/pl/content/banki-nie-uznaja-notarialnych-pelnomocnictw-pismo-rpo-do-rady-notarialnej" TargetMode="External"/><Relationship Id="rId498" Type="http://schemas.openxmlformats.org/officeDocument/2006/relationships/hyperlink" Target="https://www.rpo.gov.pl/pl/content/korzystny-dla-podatnika-wyrok-nsa-ws-zerowej-stawki-vat-przy-uslugach-zwiazanych-z-ochrona-brzegow-morskich" TargetMode="External"/><Relationship Id="rId13" Type="http://schemas.openxmlformats.org/officeDocument/2006/relationships/hyperlink" Target="http://www.sejm.gov.pl/sejm8.nsf/PrzebiegProc.xsp?id=8494C7EB61985370C1258138003B3DD3" TargetMode="External"/><Relationship Id="rId109" Type="http://schemas.openxmlformats.org/officeDocument/2006/relationships/hyperlink" Target="https://www.rpo.gov.pl/pl/content/wiezniowie-dostana-owoce-i-warzywa-sluzba-wiezienna-spelnila-postulat-rpo" TargetMode="External"/><Relationship Id="rId260" Type="http://schemas.openxmlformats.org/officeDocument/2006/relationships/hyperlink" Target="https://legislacja.rcl.gov.pl/projekt/12304351" TargetMode="External"/><Relationship Id="rId316" Type="http://schemas.openxmlformats.org/officeDocument/2006/relationships/hyperlink" Target="https://www.rpo.gov.pl/pl/content/rzecznik-pisze-do-senatorow-w-sprawie-zasad-ustalania-emerytur-osobom-urodzonym-po-31-grudnia-1948-r" TargetMode="External"/><Relationship Id="rId523" Type="http://schemas.openxmlformats.org/officeDocument/2006/relationships/hyperlink" Target="https://www.rpo.gov.pl/pl/content/piloci-MIG-29-bezpieczenstwo-lot-i-ludzie-RPO-MON" TargetMode="External"/><Relationship Id="rId55" Type="http://schemas.openxmlformats.org/officeDocument/2006/relationships/hyperlink" Target="https://www.rpo.gov.pl/pl/content/nsa-uchylil-odmowe-wpisania-do-polskich-akt-stanu-cywilnego-aktu-urodzenia-dziecka-urodzonego-w-Londynie-z-malzenstwa-jednoplciowego" TargetMode="External"/><Relationship Id="rId97" Type="http://schemas.openxmlformats.org/officeDocument/2006/relationships/hyperlink" Target="https://www.rpo.gov.pl/pl/content/rpo-apeluje-o-nowelizacje-ustawy-regulujacej-funkcjonowanie-osrodka-w-gostyninie" TargetMode="External"/><Relationship Id="rId120" Type="http://schemas.openxmlformats.org/officeDocument/2006/relationships/hyperlink" Target="https://www.rpo.gov.pl/pl/content/osoby-z-niepelnosprawnoscia-intelektualna-lub-psychiczna-osadzone-w-jednostkach-penitencjarnych" TargetMode="External"/><Relationship Id="rId358" Type="http://schemas.openxmlformats.org/officeDocument/2006/relationships/hyperlink" Target="https://www.nik.gov.pl/aktualnosci/nik-o-utrzymaniu-i-eksploatacji-sieci-wodociagowych-w-miastach.html" TargetMode="External"/><Relationship Id="rId162" Type="http://schemas.openxmlformats.org/officeDocument/2006/relationships/hyperlink" Target="https://www.rpo.gov.pl/pl/content/rzecznik-ma-watpliwosci-do-wydatkow-z-funduszu-pomocy-pokrzywdzonym-oraz-pomocy-postpenitencjarnej" TargetMode="External"/><Relationship Id="rId218" Type="http://schemas.openxmlformats.org/officeDocument/2006/relationships/hyperlink" Target="https://www.rpo.gov.pl/pl/content/RPO-pyta-o-bezstronnosc-mediow-publicznych-w-samorzadowej-kampanii-wyborczej" TargetMode="External"/><Relationship Id="rId425" Type="http://schemas.openxmlformats.org/officeDocument/2006/relationships/hyperlink" Target="https://www.rpo.gov.pl/pl/content/prezydent-ostroleki-odpowiada-rpo-w-sprawie-filmu-%E2%80%9Ekler%E2%80%9D-nie-ukladam-repertuaru" TargetMode="External"/><Relationship Id="rId467" Type="http://schemas.openxmlformats.org/officeDocument/2006/relationships/hyperlink" Target="https://www.rpo.gov.pl/pl/content/ustawa-o-sluzbie-ochrony-panstwa-powinna-byc-zmieniona-jeszcze-przed-wejsciem-w-zycie" TargetMode="External"/><Relationship Id="rId271" Type="http://schemas.openxmlformats.org/officeDocument/2006/relationships/hyperlink" Target="https://www.rpo.gov.pl/pl/content/rpo-zaniepokojony-kwestia-urzednikow-wyborczych-i-prekampania-wyborcz%C4%85" TargetMode="External"/><Relationship Id="rId24" Type="http://schemas.openxmlformats.org/officeDocument/2006/relationships/hyperlink" Target="https://www.rpo.gov.pl/pl/content/mlody-naukowiec-moze-miec-wiecej-niz-35-lat" TargetMode="External"/><Relationship Id="rId66" Type="http://schemas.openxmlformats.org/officeDocument/2006/relationships/hyperlink" Target="https://www.rpo.gov.pl/pl/content/sad-najwyzszy-po-kasacji-rpo-uchylil-zgode-na-ekstradycje-obywatela-ukrainy-do-rosji" TargetMode="External"/><Relationship Id="rId131" Type="http://schemas.openxmlformats.org/officeDocument/2006/relationships/hyperlink" Target="https://www.rpo.gov.pl/pl/kategoria-konstytucyjna/art-45-prawo-do-sadu" TargetMode="External"/><Relationship Id="rId327" Type="http://schemas.openxmlformats.org/officeDocument/2006/relationships/hyperlink" Target="https://www.rpo.gov.pl/pl/kategoria-tematyczna/dezubekizacja" TargetMode="External"/><Relationship Id="rId369" Type="http://schemas.openxmlformats.org/officeDocument/2006/relationships/hyperlink" Target="https://www.rpo.gov.pl/pl/content/miedzynarodowy-dzien-osob-z-niepelnosprawnosciami-co-mamy-w-polsce-do-zrobienia" TargetMode="External"/><Relationship Id="rId534" Type="http://schemas.openxmlformats.org/officeDocument/2006/relationships/hyperlink" Target="https://www.rpo.gov.pl/pl/content/metoo-rok-pozniej-%E2%80%93-debata-w-namiocie-praw-cz&#322;owieka-rpo-na-festiwalu-polandrock" TargetMode="External"/><Relationship Id="rId173" Type="http://schemas.openxmlformats.org/officeDocument/2006/relationships/hyperlink" Target="https://www.rpo.gov.pl/pl/content/tk-termin-3-lat-na-zaprzeczenie-ojcostwa-niezgodny-z-konstytucja" TargetMode="External"/><Relationship Id="rId229" Type="http://schemas.openxmlformats.org/officeDocument/2006/relationships/hyperlink" Target="http://hudoc.echr.coe.int/eng?i=001-176472" TargetMode="External"/><Relationship Id="rId380" Type="http://schemas.openxmlformats.org/officeDocument/2006/relationships/hyperlink" Target="https://www.rpo.gov.pl/pl/content/rowne-traktowanie-uczestnikow-postepowan-przewodnik-dla-sedziow-i-prokuratorow" TargetMode="External"/><Relationship Id="rId436" Type="http://schemas.openxmlformats.org/officeDocument/2006/relationships/hyperlink" Target="https://www.rpo.gov.pl/pl/content/wniosek-rpo-do-ministra-srodowiska-o-wykonanie-wyroku-tsue-ws-wycinki-w-puszczy-bialowieskiej" TargetMode="External"/><Relationship Id="rId240" Type="http://schemas.openxmlformats.org/officeDocument/2006/relationships/hyperlink" Target="https://www.rpo.gov.pl/pl/content/jest-postepowanie-wyjasniajace-policji-w-sprawie-dzialan-podczas-demonstracji-20-lipca-pod-sejmem" TargetMode="External"/><Relationship Id="rId478" Type="http://schemas.openxmlformats.org/officeDocument/2006/relationships/hyperlink" Target="https://www.rpo.gov.pl/pl/content/rpo-sugeruje-zmiany-karalnosci-za-niezawiadomienie-o-groznych-przestepstwach" TargetMode="External"/><Relationship Id="rId35" Type="http://schemas.openxmlformats.org/officeDocument/2006/relationships/hyperlink" Target="https://www.rpo.gov.pl/pl/content/sprawa-marszu-w-hajnowce-wraca-do-sledztwa-s%C4%85d-uzna%C5%82-za%C5%BCalenie-rpo" TargetMode="External"/><Relationship Id="rId77" Type="http://schemas.openxmlformats.org/officeDocument/2006/relationships/hyperlink" Target="https://www.rpo.gov.pl/pl/content/wpiszmy-zakaz-tortur-do-polskiego-prawa-kolejne-wystapienie-rpo-do-ministra" TargetMode="External"/><Relationship Id="rId100" Type="http://schemas.openxmlformats.org/officeDocument/2006/relationships/hyperlink" Target="https://www.rpo.gov.pl/pl/content/rzecznik-praw-pacjenta-ponadstandardowe-udogodnienia-w-kozzd" TargetMode="External"/><Relationship Id="rId282" Type="http://schemas.openxmlformats.org/officeDocument/2006/relationships/hyperlink" Target="https://www.rpo.gov.pl/pl/content/podzial-mieszkania-na-kredyt-przy-rozwodzie-SN" TargetMode="External"/><Relationship Id="rId338" Type="http://schemas.openxmlformats.org/officeDocument/2006/relationships/hyperlink" Target="https://www.rpo.gov.pl/pl/content/rpo-chorzy-mog%C4%85-miec-zamknieta-droge-do-terapii-medyczna-marihuana" TargetMode="External"/><Relationship Id="rId503" Type="http://schemas.openxmlformats.org/officeDocument/2006/relationships/hyperlink" Target="http://www.sejm.gov.pl/sejm8.nsf/agent.xsp?symbol=RPL&amp;Id=RM-10-70-19" TargetMode="External"/><Relationship Id="rId545" Type="http://schemas.openxmlformats.org/officeDocument/2006/relationships/hyperlink" Target="https://www.rpo.gov.pl/pl/content/system-wsparcia-osob-starszych-w-srodowisku-zamieszkania" TargetMode="External"/><Relationship Id="rId8" Type="http://schemas.openxmlformats.org/officeDocument/2006/relationships/hyperlink" Target="http://trybunal.gov.pl/postepowanie-i-orzeczenia/wyroki/art/10189-bezpieczenstwo-imprez-masowych-zakaz-klubowy/" TargetMode="External"/><Relationship Id="rId142" Type="http://schemas.openxmlformats.org/officeDocument/2006/relationships/hyperlink" Target="https://www.rpo.gov.pl/pl/content/rpo-zakaz-podwojnego-obywatelstwa-dla-sedziow-i-lawnikow-niekonstytucyjny" TargetMode="External"/><Relationship Id="rId184" Type="http://schemas.openxmlformats.org/officeDocument/2006/relationships/hyperlink" Target="https://www.rpo.gov.pl/pl/content/resort-zdrowia-nie-ureguluje-sprawy-intymnych-spotkan-sprawcow-przestepstw-przebywajacych-w-zakladach-psychiatrycznych" TargetMode="External"/><Relationship Id="rId391" Type="http://schemas.openxmlformats.org/officeDocument/2006/relationships/hyperlink" Target="https://www.senat.gov.pl/prace/senat/proces-legislacyjny-w-senacie/inicjatywy-ustawodawcze/inicjatywa,63.html" TargetMode="External"/><Relationship Id="rId405" Type="http://schemas.openxmlformats.org/officeDocument/2006/relationships/hyperlink" Target="https://www.rpo.gov.pl/pl/content/rpo-problem-z-500plus-gdy-rodzic-umiera-w-toku-postepowania-o-swiadczenie" TargetMode="External"/><Relationship Id="rId447" Type="http://schemas.openxmlformats.org/officeDocument/2006/relationships/hyperlink" Target="https://www.rpo.gov.pl/pl/content/rpo-upomina-sie-o-zasady-demokracji-bezposredniej-w-spoldzielniach-mieszkaniowych" TargetMode="External"/><Relationship Id="rId251" Type="http://schemas.openxmlformats.org/officeDocument/2006/relationships/hyperlink" Target="https://www.rpo.gov.pl/pl/content/rpo-w-sprawie-wykorzystania-instytucji-wygasniecia-stosunkow-pracy" TargetMode="External"/><Relationship Id="rId489" Type="http://schemas.openxmlformats.org/officeDocument/2006/relationships/hyperlink" Target="https://www.rp.pl/Sedziowie-i-sady/310249921-Niezawislosc-sedziow-jest-zagrozona-a-sadom-grozi-upolitycznienie---ankieta-Rzeczpospolitej.html" TargetMode="External"/><Relationship Id="rId46" Type="http://schemas.openxmlformats.org/officeDocument/2006/relationships/hyperlink" Target="https://www.rpo.gov.pl/pl/content/rpo-za-zmianami-w-przepisach-o-przemocy-w-rodzinie" TargetMode="External"/><Relationship Id="rId293" Type="http://schemas.openxmlformats.org/officeDocument/2006/relationships/hyperlink" Target="https://www.rpo.gov.pl/pl/content/wniosek-do-prezydenta-o-weto-do-zmian-prawa-energetycznego" TargetMode="External"/><Relationship Id="rId307" Type="http://schemas.openxmlformats.org/officeDocument/2006/relationships/hyperlink" Target="https://www.rpo.gov.pl/pl/content/rpo-o-opoznieniach-rejestracji-oswiadczen-w-sprawie-sezonowej-pracy-cudzoziemcow" TargetMode="External"/><Relationship Id="rId349" Type="http://schemas.openxmlformats.org/officeDocument/2006/relationships/hyperlink" Target="https://www.rpo.gov.pl/pl/content/transport-nieletnich-do-szpitali-psychiatrycznych-rzecznik-prosi-ministra-zdrowia-o-zaj%C4%99cie" TargetMode="External"/><Relationship Id="rId514" Type="http://schemas.openxmlformats.org/officeDocument/2006/relationships/hyperlink" Target="https://www.rpo.gov.pl/pl/content/rowne-traktowanie-w-pracy-ze-wzgledu-na-wyznanie-analiza-i-zalecenia-rpo" TargetMode="External"/><Relationship Id="rId556" Type="http://schemas.openxmlformats.org/officeDocument/2006/relationships/hyperlink" Target="http://isap.sejm.gov.pl/DetailsServlet?id=WDU20180002432" TargetMode="External"/><Relationship Id="rId88" Type="http://schemas.openxmlformats.org/officeDocument/2006/relationships/hyperlink" Target="https://www.rpo.gov.pl/pl/content/sn-sklad-trzech-sedziow-ma-decydowac-w-sprawie-zamkniecia-w-gostyninie-osoby-odmawiaj%C4%85cej-leczenia" TargetMode="External"/><Relationship Id="rId111" Type="http://schemas.openxmlformats.org/officeDocument/2006/relationships/hyperlink" Target="https://www.rpo.gov.pl/pl/content/byli-wiezniowie-powinni-moc-pomagac-w-resocjalizacji-skazanych-rpo-pisze-do-premiera" TargetMode="External"/><Relationship Id="rId153" Type="http://schemas.openxmlformats.org/officeDocument/2006/relationships/hyperlink" Target="https://www.rpo.gov.pl/pl/content/kasacja-rpo-w-sprawie-%C5%BCo%C5%82nierza-rozstrzelanego-w-1945-r-na-mocy-wyroku-komunistycznego-s%C4%85du" TargetMode="External"/><Relationship Id="rId195" Type="http://schemas.openxmlformats.org/officeDocument/2006/relationships/hyperlink" Target="https://www.rpo.gov.pl/pl/content/rpo-prosi-prezydenta-o-weto-do-ustawy-dajacej-sluzbom-dostep-line-do-danych-stanu-cywilnego" TargetMode="External"/><Relationship Id="rId209" Type="http://schemas.openxmlformats.org/officeDocument/2006/relationships/hyperlink" Target="https://www.rpo.gov.pl/pl/content/panel/sesja-5-wykluczenie-transportowe-mieszka&#324;c&#322;&#243;w-mniejszych-miejscowo&#347;ci-blok-c" TargetMode="External"/><Relationship Id="rId360" Type="http://schemas.openxmlformats.org/officeDocument/2006/relationships/hyperlink" Target="https://www.rpo.gov.pl/pl/content/problem-wody-z-kranu-istnieje-zmienimy-prawo-%E2%80%93-odpowiedz-ministerstwa-zeglugi" TargetMode="External"/><Relationship Id="rId416" Type="http://schemas.openxmlformats.org/officeDocument/2006/relationships/hyperlink" Target="https://www.rpo.gov.pl/pl/content/czy-nowelizacja-art-209-kodeksu-karnego-cos-zmienila" TargetMode="External"/><Relationship Id="rId220" Type="http://schemas.openxmlformats.org/officeDocument/2006/relationships/hyperlink" Target="https://www.rpo.gov.pl/pl/content/blokowanie-kont-przez-portale-spolecznosciowe-moze-naruszac-wolnosc-slowa-ocenia-rpo" TargetMode="External"/><Relationship Id="rId458" Type="http://schemas.openxmlformats.org/officeDocument/2006/relationships/hyperlink" Target="https://www.rpo.gov.pl/pl/content/czlonkowie-upadlego-skok-u-maja-podwyzszyc-swe-udzialy-o-950-proc-rpo-pyta-ministra-sprawiedliwosci" TargetMode="External"/><Relationship Id="rId15" Type="http://schemas.openxmlformats.org/officeDocument/2006/relationships/hyperlink" Target="https://www.rpo.gov.pl/pl/content/kodeks-postepowania-karnego-dyskryminuje-osoby-niepoczytalne-rpo-wnosi-o-zmiane-prawa" TargetMode="External"/><Relationship Id="rId57" Type="http://schemas.openxmlformats.org/officeDocument/2006/relationships/hyperlink" Target="https://www.rpo.gov.pl/pl/content/trudnosci-w-otrzymywaniu-swiadectw-szkolnych-w-jezyku-mniejszosci" TargetMode="External"/><Relationship Id="rId262" Type="http://schemas.openxmlformats.org/officeDocument/2006/relationships/hyperlink" Target="https://www.rpo.gov.pl/pl/content/TK-o-dostepie-do-informacji-publicznej" TargetMode="External"/><Relationship Id="rId318" Type="http://schemas.openxmlformats.org/officeDocument/2006/relationships/hyperlink" Target="https://www.rpo.gov.pl/pl/content/co-rzad-zrobi-z-emeryturami-czerwcowymi-RPO-do-MRPiPS" TargetMode="External"/><Relationship Id="rId525" Type="http://schemas.openxmlformats.org/officeDocument/2006/relationships/hyperlink" Target="https://www.icoaf.org/10icoaf" TargetMode="External"/><Relationship Id="rId99" Type="http://schemas.openxmlformats.org/officeDocument/2006/relationships/hyperlink" Target="https://www.rpo.gov.pl/pl/content/rpo-pacjenci-gostynina-powinni-miec-opieke-rzecznika-praw-pacjenta" TargetMode="External"/><Relationship Id="rId122" Type="http://schemas.openxmlformats.org/officeDocument/2006/relationships/hyperlink" Target="https://www.rpo.gov.pl/pl/content/osoba-niepelnosprawna-intelektualnie-skazana-bez-rozprawy-za-drobna-kradziez-rpo-z%C5%82ozyl-kasacje-do-SN" TargetMode="External"/><Relationship Id="rId164" Type="http://schemas.openxmlformats.org/officeDocument/2006/relationships/hyperlink" Target="https://www.rpo.gov.pl/pl/content/obywatel-jest-bezradny-wobec-zwloki-organu-rentowego-w-przekazaniu-odwolania-sadowi-rzecznik-wnosi-o-zmiane-prawa" TargetMode="External"/><Relationship Id="rId371" Type="http://schemas.openxmlformats.org/officeDocument/2006/relationships/hyperlink" Target="https://www.rpo.gov.pl/pl/content/minister-sprawiedliwo%C5%9Bci-zgadza-si%C4%99-z-rpo-zmiany-w-instytucji-ubezw%C5%82asnowolnienia-s%C4%85-potrzebne" TargetMode="External"/><Relationship Id="rId427" Type="http://schemas.openxmlformats.org/officeDocument/2006/relationships/hyperlink" Target="https://www.rpo.gov.pl/pl/content/RPO-zaniepokojony-projektami-rozporzadzen-antysmogowych" TargetMode="External"/><Relationship Id="rId469" Type="http://schemas.openxmlformats.org/officeDocument/2006/relationships/hyperlink" Target="https://www.rpo.gov.pl/pl/content/nalezy-zmienic-procedure-przyznawania-dofinansowania-przez-polski-instytut-sztuki-filmowej" TargetMode="External"/><Relationship Id="rId26" Type="http://schemas.openxmlformats.org/officeDocument/2006/relationships/hyperlink" Target="https://www.rpo.gov.pl/pl/content/rpo-kandydaci-do-krajowej-szkoly-sadownictwa-i-prokuratury-moga-byc-dyskryminowani-ze-wzgl%C4%99du-na-wiek" TargetMode="External"/><Relationship Id="rId231" Type="http://schemas.openxmlformats.org/officeDocument/2006/relationships/hyperlink" Target="https://www.hrw.org/news/2017/03/01/poland-asylum-seekers-blocked-border" TargetMode="External"/><Relationship Id="rId273" Type="http://schemas.openxmlformats.org/officeDocument/2006/relationships/hyperlink" Target="https://www.rpo.gov.pl/pl/content/w-obronie-obywateli-ktorych-nie-wpisano-do-rejestru-wyborcow-wystapienie-rpo-do-pkw" TargetMode="External"/><Relationship Id="rId329" Type="http://schemas.openxmlformats.org/officeDocument/2006/relationships/hyperlink" Target="https://www.rpo.gov.pl/pl/content/skoro-moj-rodzic-nie-placil-na-mnie-alimentow-dlaczego-ja-musze-teraz-placic-za-jego-pobyt-w-dps" TargetMode="External"/><Relationship Id="rId480" Type="http://schemas.openxmlformats.org/officeDocument/2006/relationships/hyperlink" Target="https://www.rpo.gov.pl/pl/content/rpo-pisze-do-sejmowej-komisji-zmienic-projekt-noweli-ustawy-o-policji" TargetMode="External"/><Relationship Id="rId536" Type="http://schemas.openxmlformats.org/officeDocument/2006/relationships/hyperlink" Target="https://www.rpo.gov.pl/pl/content/zapomniane-cmentarze-%E2%80%93-jak-je-chronic-spotkanie-rzecznika-praw-obywatelskich" TargetMode="External"/><Relationship Id="rId68" Type="http://schemas.openxmlformats.org/officeDocument/2006/relationships/hyperlink" Target="https://www.rpo.gov.pl/pl/content/policjanci-nie-znaja-skutkow-uzywania-gumowych-pociskow-pisze-rzecznik-do-kgp" TargetMode="External"/><Relationship Id="rId133" Type="http://schemas.openxmlformats.org/officeDocument/2006/relationships/hyperlink" Target="https://www.rpo.gov.pl/pl/content/rpo-krytycznie-o-przyjetej-w-czwartek-przez-sejm-nowelizacji-ustaw-sadowniczych" TargetMode="External"/><Relationship Id="rId175" Type="http://schemas.openxmlformats.org/officeDocument/2006/relationships/hyperlink" Target="https://www.rpo.gov.pl/pl/content/rzecznik-po-raz-kolejny-upomina-sie-o-uregulowanie-zasad-badan-dna" TargetMode="External"/><Relationship Id="rId340" Type="http://schemas.openxmlformats.org/officeDocument/2006/relationships/hyperlink" Target="https://www.rpo.gov.pl/pl/content/kobieta-otrzyma-lek-po-wyroku-sadu-minister-zdrowia-uwzglednil-poglad-rpo" TargetMode="External"/><Relationship Id="rId200" Type="http://schemas.openxmlformats.org/officeDocument/2006/relationships/hyperlink" Target="https://www.rpo.gov.pl/pl/content/transmisja-z-lokali-wyborczych-godzi-min-w-tajnosc-glosowania-przestrzega-rpo" TargetMode="External"/><Relationship Id="rId382" Type="http://schemas.openxmlformats.org/officeDocument/2006/relationships/hyperlink" Target="https://www.rpo.gov.pl/pl/content/rpo-o-reformie-oswiaty" TargetMode="External"/><Relationship Id="rId438" Type="http://schemas.openxmlformats.org/officeDocument/2006/relationships/hyperlink" Target="https://mieszkanieplus.gov.pl/100-tysiecy-mieszkan-na-roznym-etapie-realizacji-do-konca-roku-w-ramach-programu-mieszkanie-plus/" TargetMode="External"/><Relationship Id="rId242" Type="http://schemas.openxmlformats.org/officeDocument/2006/relationships/hyperlink" Target="https://www.rpo.gov.pl/pl/content/rpo-do-policji-i-las%C3%B3w-pa%C5%84stwowych-wycofajcie-wnioski-o-%C5%9Bciganie-przeciwnik%C3%B3w-wycinki-puszczy" TargetMode="External"/><Relationship Id="rId284" Type="http://schemas.openxmlformats.org/officeDocument/2006/relationships/hyperlink" Target="https://www.rpo.gov.pl/pl/content/notariusze-proponuja-zakazac-pozyczek-zabezpieczanych-nieruchomoscia-warta-o-wiele-wi%C4%99cej-ni%C5%BC-one" TargetMode="External"/><Relationship Id="rId491" Type="http://schemas.openxmlformats.org/officeDocument/2006/relationships/hyperlink" Target="https://www.rpo.gov.pl/pl/content/podsluchy-w-postepowaniach-podatkowych-NSA" TargetMode="External"/><Relationship Id="rId505" Type="http://schemas.openxmlformats.org/officeDocument/2006/relationships/hyperlink" Target="http://monitorkonstytucyjny.eu/archiwa/6727" TargetMode="External"/><Relationship Id="rId37" Type="http://schemas.openxmlformats.org/officeDocument/2006/relationships/hyperlink" Target="https://www.rpo.gov.pl/pl/content/dochodzenie-ws-mowy-nienawisci-onr-umorzone-zazalenie-rpo" TargetMode="External"/><Relationship Id="rId79" Type="http://schemas.openxmlformats.org/officeDocument/2006/relationships/hyperlink" Target="https://www.rpo.gov.pl/pl/content/adam-bodnar-apeluje-do-premiera-o-ochrone-prawna-sygnalistow-ze-sluzb-ujawniajacych-torturowanie" TargetMode="External"/><Relationship Id="rId102" Type="http://schemas.openxmlformats.org/officeDocument/2006/relationships/hyperlink" Target="https://www.rpo.gov.pl/pl/content/osoby-chorujace-psychicznie-nie-moga-przebywac-w-wiezieniach-interwencja-rpo-w-sprawie-zmiany-prawa" TargetMode="External"/><Relationship Id="rId144" Type="http://schemas.openxmlformats.org/officeDocument/2006/relationships/hyperlink" Target="https://www.rpo.gov.pl/pl/content/rpo-wycofal-z-trybunalu-konstytucyjnego-wniosek-w-sprawie-zwiekszenia-uprawnien-prokuratora-generalnego" TargetMode="External"/><Relationship Id="rId547" Type="http://schemas.openxmlformats.org/officeDocument/2006/relationships/hyperlink" Target="https://www.rpo.gov.pl/pl/content/komisja-ekspert&#243;w-ds-os&#243;b-starszych-apeluje-o-zmian&#281;-podej&#347;cia-do-geriatrii-w-polsce" TargetMode="External"/><Relationship Id="rId90" Type="http://schemas.openxmlformats.org/officeDocument/2006/relationships/hyperlink" Target="https://www.rpo.gov.pl/pl/content/RPO-uregulowac-przyjmowanie-osob-nieubezwlasnowolnionych-do-zak%C5%82adow-opieki" TargetMode="External"/><Relationship Id="rId186" Type="http://schemas.openxmlformats.org/officeDocument/2006/relationships/hyperlink" Target="http://prawo.sejm.gov.pl/isap.nsf/DocDetails.xsp?id=WDU20180001000" TargetMode="External"/><Relationship Id="rId351" Type="http://schemas.openxmlformats.org/officeDocument/2006/relationships/hyperlink" Target="https://www.rpo.gov.pl/pl/content/rzecznik-w-sprawie-zasad-podawania-lekow-dzieciom-z-chorobami-przewleklymi-w-przedszkolach" TargetMode="External"/><Relationship Id="rId393" Type="http://schemas.openxmlformats.org/officeDocument/2006/relationships/hyperlink" Target="https://www.rpo.gov.pl/pl/content/miasto-zwi%C4%99ksza-kwot%C4%99-zwrotu-koszt%C3%B3w-przejazdu-dzieci-i-uczni%C3%B3w-z-niepe%C5%82nosprawno%C5%9Bciami-po" TargetMode="External"/><Relationship Id="rId407" Type="http://schemas.openxmlformats.org/officeDocument/2006/relationships/hyperlink" Target="https://www.rpo.gov.pl/pl/content/aby-adoptowane-dziecko-nie-dziedziczylo-dlugow-biologicznego-ojca-druga-skarga-nadzwyczajna-rpo" TargetMode="External"/><Relationship Id="rId449" Type="http://schemas.openxmlformats.org/officeDocument/2006/relationships/hyperlink" Target="https://www.rpo.gov.pl/pl/content/naprawic-blad-w-nowelizacji-prawa-spoldzielczego-z-2017-r-rpo-pisze-do-ministra-inwestycji-i-rozwoju" TargetMode="External"/><Relationship Id="rId211" Type="http://schemas.openxmlformats.org/officeDocument/2006/relationships/hyperlink" Target="https://legislacja.rcl.gov.pl/projekt/12308603" TargetMode="External"/><Relationship Id="rId253" Type="http://schemas.openxmlformats.org/officeDocument/2006/relationships/hyperlink" Target="https://www.rpo.gov.pl/pl/content/wsa-w-gdansku-w-sprawie-funkcjonariuszek-sluzby-celno-skarbowej" TargetMode="External"/><Relationship Id="rId295" Type="http://schemas.openxmlformats.org/officeDocument/2006/relationships/hyperlink" Target="https://www.rpo.gov.pl/pl/content/dwa-resorty-z-rozbieznymi-stanowiskami-kto-ma-sie-zajac-gleboznawcami" TargetMode="External"/><Relationship Id="rId309" Type="http://schemas.openxmlformats.org/officeDocument/2006/relationships/hyperlink" Target="https://www.rpo.gov.pl/pl/content/obni%C5%BCona-norma-czasu-pracy-tak%C5%BCe-dla-s%C4%99dziego-z-niepe%C5%82nosprawno%C5%9Bci%C4%85" TargetMode="External"/><Relationship Id="rId460" Type="http://schemas.openxmlformats.org/officeDocument/2006/relationships/hyperlink" Target="https://www.rpo.gov.pl/pl/content/rpo-w-sprawie-przekazywania-mieszka%C5%84-w-zamian-za-renty-trzeba-w-ko%C5%84cu-zabra%C4%87-si%C4%99-za-zmian%C4%99-przepis%C3%B3w" TargetMode="External"/><Relationship Id="rId516" Type="http://schemas.openxmlformats.org/officeDocument/2006/relationships/hyperlink" Target="https://www.rpo.gov.pl/sites/default/files/Asystent%20osobisty%20osoby%20z%20niepe%C5%82nosprawno%C5%9Bci%C4%85%20-%20zapotrzebowanie%20na%20miar%C4%99%20Konwencji%20o%20prawach%20os%C3%B3b%20z%20niepe%C5%82nosprawno%C5%9Bciami.pdf" TargetMode="External"/><Relationship Id="rId48" Type="http://schemas.openxmlformats.org/officeDocument/2006/relationships/hyperlink" Target="https://www.rpo.gov.pl/pl/content/kongres-praw-rodzicielskich/panel/problemy-w-rodzinie-przemoc-czy-konflikt-spojrzenie-z-punktu-psychologicznego-pedagogicznego" TargetMode="External"/><Relationship Id="rId113" Type="http://schemas.openxmlformats.org/officeDocument/2006/relationships/hyperlink" Target="https://www.rpo.gov.pl/pl/content/SN-w-sprawie-zadoscuczynienia-za-pozbawienie-wolnosci" TargetMode="External"/><Relationship Id="rId320" Type="http://schemas.openxmlformats.org/officeDocument/2006/relationships/hyperlink" Target="https://www.rpo.gov.pl/pl/content/interwencja-rpo-do-premiera-ws-utworzenia-odrebnego-systemu-emerytalnego-dla-tw%C3%B3rcow-i-artystow" TargetMode="External"/><Relationship Id="rId558" Type="http://schemas.openxmlformats.org/officeDocument/2006/relationships/hyperlink" Target="https://www.rpo.gov.pl/pl/content/kongres-praw-rodzicielskich" TargetMode="External"/><Relationship Id="rId155" Type="http://schemas.openxmlformats.org/officeDocument/2006/relationships/hyperlink" Target="https://www.rpo.gov.pl/pl/content/sn-uchylil-grzywn%C4%99-po-kasacji-rpo-w-sprawie-o-wykroczenie" TargetMode="External"/><Relationship Id="rId197" Type="http://schemas.openxmlformats.org/officeDocument/2006/relationships/hyperlink" Target="https://www.rpo.gov.pl/pl/content/stanowisko-strony-zespolu--ds-rozwoju-dialogu-ustawa-o-jawnosci" TargetMode="External"/><Relationship Id="rId362" Type="http://schemas.openxmlformats.org/officeDocument/2006/relationships/hyperlink" Target="https://www.rpo.gov.pl/pl/content/iv-kongres-osob-z-niepelnosprawnosciami-RPO-sprawy-OZN-musza-trafic-do-debaty-publicznej" TargetMode="External"/><Relationship Id="rId418" Type="http://schemas.openxmlformats.org/officeDocument/2006/relationships/hyperlink" Target="https://www.rpo.gov.pl/pl/content/rzecznicy-praw-dziecka-i-praw-obywatelskich-ws-aktywizacji-dluznikow-alimentacyjnych" TargetMode="External"/><Relationship Id="rId222" Type="http://schemas.openxmlformats.org/officeDocument/2006/relationships/hyperlink" Target="https://www.rpo.gov.pl/pl/content/deklaracja-uczestnikow-okraglego-stolu-rpo-do-walki-z-patotresciami-w-internecie" TargetMode="External"/><Relationship Id="rId264" Type="http://schemas.openxmlformats.org/officeDocument/2006/relationships/hyperlink" Target="https://www.rpo.gov.pl/pl/content/rpo-pyta-kiedy-sejm-bedzie-znow-dostepny-na-zwyklych-zasadach" TargetMode="External"/><Relationship Id="rId471" Type="http://schemas.openxmlformats.org/officeDocument/2006/relationships/hyperlink" Target="https://www.rpo.gov.pl/pl/content/rpo-takze-decyzja-sadu-ii-instancji-czy-zawiesic-proces-karny-powinna-by%C4%87-zaskarzalna-%C2%B7" TargetMode="External"/><Relationship Id="rId17" Type="http://schemas.openxmlformats.org/officeDocument/2006/relationships/hyperlink" Target="https://www.rpo.gov.pl/pl/content/Uchwala-o-bezp%C5%82atnym-parkowaniu-w-nysie-naruszyla-zasady-rownego-traktowania-RPO-z%C5%82o%C5%BCy%C5%82-skarge-do-NSA" TargetMode="External"/><Relationship Id="rId59" Type="http://schemas.openxmlformats.org/officeDocument/2006/relationships/hyperlink" Target="http://www.rpo.gov.pl/pl/content/sytuacja-mniejszosci-ukrainskiej-i-migrantow-ukrainskich-w-polsce-konferencja-w-biurze-rpo" TargetMode="External"/><Relationship Id="rId124" Type="http://schemas.openxmlformats.org/officeDocument/2006/relationships/hyperlink" Target="https://www.rpo.gov.pl/pl/content/konferencja-instytucja-malego-swiadka-koronnego" TargetMode="External"/><Relationship Id="rId527" Type="http://schemas.openxmlformats.org/officeDocument/2006/relationships/hyperlink" Target="https://www.rpo.gov.pl/pl/content/rzecznik-interweniuje-w-sprawie-policjanta" TargetMode="External"/><Relationship Id="rId70" Type="http://schemas.openxmlformats.org/officeDocument/2006/relationships/hyperlink" Target="https://www.nik.gov.pl/aktualnosci/nik-o-bezpieczenstwie-na-drogach.html" TargetMode="External"/><Relationship Id="rId166" Type="http://schemas.openxmlformats.org/officeDocument/2006/relationships/hyperlink" Target="https://www.rpo.gov.pl/pl/content/mieszkasz-w-panstwie-ue-korespondencja-z-sadu-czy-prokuratury-w-polsce-powinna-przychodzic-mailem" TargetMode="External"/><Relationship Id="rId331" Type="http://schemas.openxmlformats.org/officeDocument/2006/relationships/hyperlink" Target="https://www.rpo.gov.pl/pl/content/adam-bodnar-apeluje-o-usprawnienie-wyplat-swiadczen-rodzinnych-objetych-koordynacja-ue" TargetMode="External"/><Relationship Id="rId373" Type="http://schemas.openxmlformats.org/officeDocument/2006/relationships/hyperlink" Target="https://www.rpo.gov.pl/pl/content/rpo-ponownie-upomina-sie-o-pelny-dostep-osob-z-niepelnosprawnosciami-do-obiektow-uzytecznosci-publicznej%20i%20domow" TargetMode="External"/><Relationship Id="rId429" Type="http://schemas.openxmlformats.org/officeDocument/2006/relationships/hyperlink" Target="https://www.rpo.gov.pl/pl/content/rpo-do-ministra-srodowiska-trzeba-umozliwic-refundacje-kosztow-wymiany-systemu-ogrzewania" TargetMode="External"/><Relationship Id="rId1" Type="http://schemas.openxmlformats.org/officeDocument/2006/relationships/hyperlink" Target="https://www.rpo.gov.pl/content/informator-o-infoliniach-telefonach-i-organizacjach-pomocowych" TargetMode="External"/><Relationship Id="rId233" Type="http://schemas.openxmlformats.org/officeDocument/2006/relationships/hyperlink" Target="https://www.rpo.gov.pl/pl/content/rpo-do-kgp-okrzyki-nie-moga-byc-powodem-karania-za-przeszkadzanie-zgromadzeniu" TargetMode="External"/><Relationship Id="rId440" Type="http://schemas.openxmlformats.org/officeDocument/2006/relationships/hyperlink" Target="https://www.rpo.gov.pl/pl/content/rzecznik-w-obronie-ofiar-dzikiej-reprywatyzacji-wobec-ktorych-zapadly-wyroki-eksmisyjne" TargetMode="External"/><Relationship Id="rId28" Type="http://schemas.openxmlformats.org/officeDocument/2006/relationships/hyperlink" Target="https://www.rpo.gov.pl/pl/content/rzecznik-apeluje-do-prezes-zus-w-sprawie-nowego-systemu-orzekania-o-niepe%C5%82nosprawno%C5%9Bci" TargetMode="External"/><Relationship Id="rId275" Type="http://schemas.openxmlformats.org/officeDocument/2006/relationships/hyperlink" Target="https://www.rpo.gov.pl/pl/content/interwencja-rpo-nie-maja-stalego-miejsca-zamieszkania-%E2%80%93-nie-mogli-glosowac-w-wyborach-samorzadowych" TargetMode="External"/><Relationship Id="rId300" Type="http://schemas.openxmlformats.org/officeDocument/2006/relationships/hyperlink" Target="https://www.rpo.gov.pl/pl/content/rpo-upomina-si%C4%99-o-prawa-piel%C4%99gniarek-%C5%9Brodowiskowych-opiekuj%C4%85cych-si%C4%99-osobami-choruj%C4%85cymi-psychicznie" TargetMode="External"/><Relationship Id="rId482" Type="http://schemas.openxmlformats.org/officeDocument/2006/relationships/hyperlink" Target="mailto:https://www.rpo.gov.pl/pl/content/rpo-do-inspekcji-handlowej-kontrole-producentow-towarow-zle-oznakowanych-wazniejsze-niz-sprzedawcow" TargetMode="External"/><Relationship Id="rId538" Type="http://schemas.openxmlformats.org/officeDocument/2006/relationships/hyperlink" Target="https://www.rpo.gov.pl/pl/content/kongres-praw-rodzicielskich" TargetMode="External"/><Relationship Id="rId81" Type="http://schemas.openxmlformats.org/officeDocument/2006/relationships/hyperlink" Target="http://www.europarl.europa.eu/news/pl/press-room/20190410IPR37529/ochrona-sygnalistow-nowe-zasady-dla-ue-przyjete" TargetMode="External"/><Relationship Id="rId135" Type="http://schemas.openxmlformats.org/officeDocument/2006/relationships/hyperlink" Target="https://www.rpo.gov.pl/pl/content/rpo-przed-komisja-libe-parlamentu-europejskiego-w-sprawie-publicznego-wysluchania-Polski" TargetMode="External"/><Relationship Id="rId177" Type="http://schemas.openxmlformats.org/officeDocument/2006/relationships/hyperlink" Target="https://www.rpo.gov.pl/pl/content/kongres-praw-rodzicielskich" TargetMode="External"/><Relationship Id="rId342" Type="http://schemas.openxmlformats.org/officeDocument/2006/relationships/hyperlink" Target="https://www.rpo.gov.pl/pl/content/adam-bodnar-pisze-do-ministra-zdrowia-procedura-kierowania-do-uzdrowisk-dyskryminuje-osoby" TargetMode="External"/><Relationship Id="rId384" Type="http://schemas.openxmlformats.org/officeDocument/2006/relationships/hyperlink" Target="https://www.rpo.gov.pl/pl/content/rpo-o-reformie-oswiaty" TargetMode="External"/><Relationship Id="rId202" Type="http://schemas.openxmlformats.org/officeDocument/2006/relationships/hyperlink" Target="https://www.senat.gov.pl/gfx/senat/userfiles/_public/k9/komisje/2019/ku/inne_pliki/ms315.pdf" TargetMode="External"/><Relationship Id="rId244" Type="http://schemas.openxmlformats.org/officeDocument/2006/relationships/hyperlink" Target="https://www.rpo.gov.pl/pl/content/rpo-sankcje-sluzbowe-za-nielegalny-zakaz-wstepu-do-puszczy-bialowieskiej-podczas-wycinki" TargetMode="External"/><Relationship Id="rId39" Type="http://schemas.openxmlformats.org/officeDocument/2006/relationships/hyperlink" Target="file:///C:\Users\jedrzejczyk_a\Documents\XI.5601.4.2016" TargetMode="External"/><Relationship Id="rId286" Type="http://schemas.openxmlformats.org/officeDocument/2006/relationships/hyperlink" Target="https://www.rpo.gov.pl/pl/content/rzecznik-dopomina-sie-u-premiera-o-konstytucyjne-prawa-nabywcow-o%C5%9Brodkow-wczasowych-fwp" TargetMode="External"/><Relationship Id="rId451" Type="http://schemas.openxmlformats.org/officeDocument/2006/relationships/hyperlink" Target="https://www.rpo.gov.pl/pl/content/sprawa-oplat-za-ogrzewanie-mieszkan-kolejne-wystapienie-rpo-do-ministra-energii" TargetMode="External"/><Relationship Id="rId493" Type="http://schemas.openxmlformats.org/officeDocument/2006/relationships/hyperlink" Target="https://www.rpo.gov.pl/pl/content/rzecznik-w-sprawie-sytuacji-podatkowej-tzw-ofiar-ulgi-meldunkowej" TargetMode="External"/><Relationship Id="rId507" Type="http://schemas.openxmlformats.org/officeDocument/2006/relationships/hyperlink" Target="https://www.rpo.gov.pl/pl/content/panel/sesja-7-warsztat-wniosek-o-wydanie-orzeczenia-w-trybie-prejudycjalnym-do-trybuna&#322;u-sprawiedliwo&#347;ci" TargetMode="External"/><Relationship Id="rId549" Type="http://schemas.openxmlformats.org/officeDocument/2006/relationships/hyperlink" Target="https://www.rpo.gov.pl/pl/content/kolejny-apel-rpo-rz&#261;d-w&#322;&#261;czy&#322;-si&#281;-w-prace-nad-konwencj&#261;-o-prawach-os&#243;b-starszych" TargetMode="External"/><Relationship Id="rId50" Type="http://schemas.openxmlformats.org/officeDocument/2006/relationships/hyperlink" Target="https://www.rpo.gov.pl/pl/content/rpo-dlaczego-m%C4%99%C5%BCczy%C5%BAni-nie-mog%C4%85-korzysta%C4%87-z-sauny-we-wroc%C5%82awskim-aquaparku-czy-jest-zgodne-z-zasad%C4%85" TargetMode="External"/><Relationship Id="rId104" Type="http://schemas.openxmlformats.org/officeDocument/2006/relationships/hyperlink" Target="https://www.rpo.gov.pl/pl/content/jak-sedziowie-penitencjarni-sprawuja-nadzor-nad-wiezniami-z-niepelnosprawnoscia-intelektualna" TargetMode="External"/><Relationship Id="rId146" Type="http://schemas.openxmlformats.org/officeDocument/2006/relationships/hyperlink" Target="https://www.rpo.gov.pl/pl/content/rpo-wycofuje-wniosek-do-trybuna%C5%82u-konstytucyjnego-w-sprawie-inwigilacji" TargetMode="External"/><Relationship Id="rId188" Type="http://schemas.openxmlformats.org/officeDocument/2006/relationships/hyperlink" Target="https://www.rpo.gov.pl/pl/content/rzecznik-dopomina-si%C4%99-o-ustawowe-uregulowanie-monitoringu-wizyjnego-w-szpitalach" TargetMode="External"/><Relationship Id="rId311" Type="http://schemas.openxmlformats.org/officeDocument/2006/relationships/hyperlink" Target="https://www.rpo.gov.pl/pl/content/wystapienie-do-ministra-rozwoju-ws-braku-przepisow-dotyczacych-bezpieczenstwa-i-higieny-pracy" TargetMode="External"/><Relationship Id="rId353" Type="http://schemas.openxmlformats.org/officeDocument/2006/relationships/hyperlink" Target="https://www.rpo.gov.pl/pl/content/krytyczne-uwagi-rpo-dotyczace-realizacji-tzw-ustawy-antyaborcyjnej" TargetMode="External"/><Relationship Id="rId395" Type="http://schemas.openxmlformats.org/officeDocument/2006/relationships/hyperlink" Target="https://www.rpo.gov.pl/pl/content/jak-szkoly-przygotowuja-sie-do-zmian-przepisow-w-sprawie-nauczania-indywidualnego" TargetMode="External"/><Relationship Id="rId409" Type="http://schemas.openxmlformats.org/officeDocument/2006/relationships/hyperlink" Target="https://www.rpo.gov.pl/pl/content/wiezienne-sale-widzen-bardziej-przyjazne-dla-matek-z-dziecmi-s%C5%82uzba-wiezienna-odpowiada-rpo" TargetMode="External"/><Relationship Id="rId560" Type="http://schemas.openxmlformats.org/officeDocument/2006/relationships/hyperlink" Target="https://www.rpo.gov.pl/pl/content/wyniki-konkursu-grantowego-funduszu-obywatelskiego-ze-&#347;rodk&#243;w-norweskiej-nagrody-rafto-dla-polskiego" TargetMode="External"/><Relationship Id="rId92" Type="http://schemas.openxmlformats.org/officeDocument/2006/relationships/hyperlink" Target="https://www.rpo.gov.pl/pl/content/kolejne-argumenty-za-zapewnieniem-adwokata-juz-od-chwili-zatrzymania-rpo-pisze-do-ms" TargetMode="External"/><Relationship Id="rId213" Type="http://schemas.openxmlformats.org/officeDocument/2006/relationships/hyperlink" Target="http://trybunal.gov.pl/rozprawy/wokanda/art/9452-ustawa-o-zmianie-ustawy-o-radiofonii-i-telewizji/" TargetMode="External"/><Relationship Id="rId420" Type="http://schemas.openxmlformats.org/officeDocument/2006/relationships/hyperlink" Target="https://www.rpo.gov.pl/pl/content/kongres-praw-rodzicielskich" TargetMode="External"/><Relationship Id="rId255" Type="http://schemas.openxmlformats.org/officeDocument/2006/relationships/hyperlink" Target="https://www.rpo.gov.pl/pl/content/watpliwosci-rpo-wobec-podstawy-prawnej-naboru-do-sluzby-ochrony-panstwa" TargetMode="External"/><Relationship Id="rId297" Type="http://schemas.openxmlformats.org/officeDocument/2006/relationships/hyperlink" Target="https://www.rpo.gov.pl/pl/content/spotkanie-rpo-z-ogolnopolskim-zwiazkiem-zawodowym-psychologow" TargetMode="External"/><Relationship Id="rId462" Type="http://schemas.openxmlformats.org/officeDocument/2006/relationships/hyperlink" Target="mailto:https://www.rpo.gov.pl/pl/content/prawo-do-odszkodowan-takze-za-poleg%C5%82ych-za-polske-na-terenach-ii-rp-ktore-po-wojnie-weszly-w-sklad-ZSRR" TargetMode="External"/><Relationship Id="rId518" Type="http://schemas.openxmlformats.org/officeDocument/2006/relationships/hyperlink" Target="https://www.rpo.gov.pl/krajowy-mechanizm-prewencji/" TargetMode="External"/><Relationship Id="rId115" Type="http://schemas.openxmlformats.org/officeDocument/2006/relationships/hyperlink" Target="https://www.rpo.gov.pl/pl/content/rpo-ustawa-o-ipn-narusza-wolnosc-slowa-i-moze-rodzic-skutek-mrozacy" TargetMode="External"/><Relationship Id="rId157" Type="http://schemas.openxmlformats.org/officeDocument/2006/relationships/hyperlink" Target="https://www.rpo.gov.pl/pl/content/straciles-prawo-jazdy-za-kierowanie-na-%E2%80%9Epodwojnym-gazie%E2%80%9D-mozesz-prowadzic-samochody-z-blokada-alkoholowa" TargetMode="External"/><Relationship Id="rId322" Type="http://schemas.openxmlformats.org/officeDocument/2006/relationships/hyperlink" Target="https://www.rpo.gov.pl/pl/content/obnizenie-wieku-emerytalnego-sytuacja-seniorow-w-polsce-komisja-ekspertow-ds-osob-starszych" TargetMode="External"/><Relationship Id="rId364" Type="http://schemas.openxmlformats.org/officeDocument/2006/relationships/hyperlink" Target="https://www.rpo.gov.pl/pl/content/oswiadczenie-rpo-w-zwiazku-z-zawieszeniem-protestu-osob-z-niepelnosprawnosciami" TargetMode="External"/><Relationship Id="rId61" Type="http://schemas.openxmlformats.org/officeDocument/2006/relationships/hyperlink" Target="https://www.rpo.gov.pl/pl/content/ksiega-dobrych-praktyk-na-rzecz-mniejszosci-narodowych" TargetMode="External"/><Relationship Id="rId199" Type="http://schemas.openxmlformats.org/officeDocument/2006/relationships/hyperlink" Target="https://www.tvn24.pl/magazyn-tvn24/strazak-bibliotekarka-kierownik-basenu-150-zawodow-ma-pokazac-swoje-majatki,140,2497" TargetMode="External"/><Relationship Id="rId19" Type="http://schemas.openxmlformats.org/officeDocument/2006/relationships/hyperlink" Target="https://www.rpo.gov.pl/pl/content/miedzynarodowy-dzien-bez-dyskryminacji-nie-jestesmy-dyskryminowani-bo-nie-wiemy-co-to" TargetMode="External"/><Relationship Id="rId224" Type="http://schemas.openxmlformats.org/officeDocument/2006/relationships/hyperlink" Target="https://www.rpo.gov.pl/pl/content/adam-bodnar-ograniczenia-dla-dziennikarzy-w-krakowskim-sadzie-sa-sprzeczne-z-prawem" TargetMode="External"/><Relationship Id="rId266" Type="http://schemas.openxmlformats.org/officeDocument/2006/relationships/hyperlink" Target="https://www.rpo.gov.pl/pl/content/osoba-z-niepelnosprawnoscia-miala-trudnosci-w-wejsciu-do-sejmu-bo-jest-na-czarnej-liscie-interwencja-RPO" TargetMode="External"/><Relationship Id="rId431" Type="http://schemas.openxmlformats.org/officeDocument/2006/relationships/hyperlink" Target="https://www.rpo.gov.pl/pl/content/rpo-zbada-sprawe-pozarow-na-skladowiskach-odpadow" TargetMode="External"/><Relationship Id="rId473" Type="http://schemas.openxmlformats.org/officeDocument/2006/relationships/hyperlink" Target="https://www.rpo.gov.pl/sites/default/files/Informacja%20roczna%202015.pdf" TargetMode="External"/><Relationship Id="rId529" Type="http://schemas.openxmlformats.org/officeDocument/2006/relationships/hyperlink" Target="https://www.rpo.gov.pl/pl/content/watpliwosci-rpo-wobec-podstawy-prawnej-naboru-do-sluzby-ochrony-panstwa" TargetMode="External"/><Relationship Id="rId30" Type="http://schemas.openxmlformats.org/officeDocument/2006/relationships/hyperlink" Target="https://www.rpo.gov.pl/pl/content/wrazliwe-dane-o-zdrowiu-ujawnione-w-wyroku-tk-wed%C5%82ug-rpo-naruszono-prawo-do-ochrony-danych-osobowych" TargetMode="External"/><Relationship Id="rId126" Type="http://schemas.openxmlformats.org/officeDocument/2006/relationships/hyperlink" Target="https://www.rpo.gov.pl/pl/content/przy-apelacji-od-wymiaru-kary-oskarzonemu-powinno-sie-zwracac-koszty-obrony-stanowisko-rpo-dla-TK" TargetMode="External"/><Relationship Id="rId168" Type="http://schemas.openxmlformats.org/officeDocument/2006/relationships/hyperlink" Target="https://www.rpo.gov.pl/pl/content/rpo-posiedzenia-sadu-ws-przed&#322;uzenia-pobytu-sprawcow-przestepstw-w-zak&#322;adach-psychiatrycznych-takze-tam" TargetMode="External"/><Relationship Id="rId333" Type="http://schemas.openxmlformats.org/officeDocument/2006/relationships/hyperlink" Target="https://www.rpo.gov.pl/pl/content/pielegniarki-i-po%C5%82ozne-zarabiaja-zbyt-ma%C5%82o-jest-ich-coraz-mniej-pracuja-na-kilku-etatach-wystapienie-RPO" TargetMode="External"/><Relationship Id="rId540" Type="http://schemas.openxmlformats.org/officeDocument/2006/relationships/hyperlink" Target="https://www.rpo.gov.pl/pl/content/nsa-prawomocnie-utrzyma%C5%82-odmowe-uznania-brytyjskiego-aktu-urodzenia-dziecka-w-ktorym-jako-rodzicow-wskazano-dwie%20kobiety" TargetMode="External"/><Relationship Id="rId72" Type="http://schemas.openxmlformats.org/officeDocument/2006/relationships/hyperlink" Target="https://www.rpo.gov.pl/pl/content/adam-bodnar-chce-pacjent-wydawa%C5%82-zgode-na-zabieg-%E2%80%9Ena-przysz%C5%82osc%E2%80%9D" TargetMode="External"/><Relationship Id="rId375" Type="http://schemas.openxmlformats.org/officeDocument/2006/relationships/hyperlink" Target="https://www.rpo.gov.pl/pl/content/zmiany-w-ustawie-o-ochronie-zdrowia-psychicznego" TargetMode="External"/><Relationship Id="rId3" Type="http://schemas.openxmlformats.org/officeDocument/2006/relationships/hyperlink" Target="https://www.rpo.gov.pl/pl/content/pogrzeb-ewy-musia%C5%82" TargetMode="External"/><Relationship Id="rId235" Type="http://schemas.openxmlformats.org/officeDocument/2006/relationships/hyperlink" Target="https://www.rpo.gov.pl/pl/content/rzecznik-pyta-prokurature-o-umorzenie-sprawy-ataku-na-kobiety-blokujace-marsz-niepodleglosci" TargetMode="External"/><Relationship Id="rId277" Type="http://schemas.openxmlformats.org/officeDocument/2006/relationships/hyperlink" Target="https://www.rpo.gov.pl/pl/content/przed-wyborami-samorzadowymi-rpo-pyta-o-nakladki-na-karty-do-glosowania-w-alfabecie-braille%E2%80%99a" TargetMode="External"/><Relationship Id="rId400" Type="http://schemas.openxmlformats.org/officeDocument/2006/relationships/hyperlink" Target="https://www.rpo.gov.pl/pl/content/nieprawid%C5%82owo%C5%9Bci-dotycz%C4%85ce-procedur-rekrutacji-na-uczelnie-wy%C5%BCsze-kt%C3%B3re-kszta%C5%82c%C4%85-student%C3%B3w-na" TargetMode="External"/><Relationship Id="rId442" Type="http://schemas.openxmlformats.org/officeDocument/2006/relationships/hyperlink" Target="https://www.rpo.gov.pl/pl/content/wystapienie-rpo-do-ministra-sprawiedliwosci-w-sprawie-praw-osob-eksmitowanych" TargetMode="External"/><Relationship Id="rId484" Type="http://schemas.openxmlformats.org/officeDocument/2006/relationships/hyperlink" Target="mailto:https://www.rpo.gov.pl/pl/content/sedziowski-rzecznik-dyscyplinarny-pisze-do-rpo-o-przyczynach-przesluchan-znanych-s%C4%99dzi%C3%B3w" TargetMode="External"/><Relationship Id="rId137" Type="http://schemas.openxmlformats.org/officeDocument/2006/relationships/hyperlink" Target="https://www.rpo.gov.pl/pl/content/rpo-zwrocil-sie-do-marszalka-sejmu-w-sprawie-problemow-zwiazanych-z-wyborem-czlonkow-krs" TargetMode="External"/><Relationship Id="rId302" Type="http://schemas.openxmlformats.org/officeDocument/2006/relationships/hyperlink" Target="https://www.rpo.gov.pl/pl/content/pielegniarki-i-po%C5%82ozne-zarabiaja-zbyt-ma%C5%82o-jest-ich-coraz-mniej-pracuja-na-kilku-etatach-wystapienie-RPO" TargetMode="External"/><Relationship Id="rId344" Type="http://schemas.openxmlformats.org/officeDocument/2006/relationships/hyperlink" Target="https://www.rpo.gov.pl/pl/content/rpo-o-leczeniu-ciezko-chorych" TargetMode="External"/><Relationship Id="rId41" Type="http://schemas.openxmlformats.org/officeDocument/2006/relationships/hyperlink" Target="https://www.rpo.gov.pl/pl/content/oswiadczenie-rpo-z-okazji-100-lecia-praw-wyborczych-kobiet-w-polsce" TargetMode="External"/><Relationship Id="rId83" Type="http://schemas.openxmlformats.org/officeDocument/2006/relationships/hyperlink" Target="https://www.rpo.gov.pl/pl/content/wniosek-do-tk-ws-maksymalnego-okresu-tymczasowego-aresztowania" TargetMode="External"/><Relationship Id="rId179" Type="http://schemas.openxmlformats.org/officeDocument/2006/relationships/hyperlink" Target="https://www.rpo.gov.pl/pl/content/ka%C5%BCdy-aresztowany-mo%C5%BCe-wzi%C4%85%C4%87-%C5%9Blub-je%C5%9Bli-nie-osobi%C5%9Bcie-przez-pe%C5%82nomocnika-rpo-nie-ka%C5%BCdy-jest-o-tym" TargetMode="External"/><Relationship Id="rId386" Type="http://schemas.openxmlformats.org/officeDocument/2006/relationships/hyperlink" Target="https://www.rpo.gov.pl/pl/content/jak-samorzady-oceniaja-sytuacje-w-edukacji-rpo-zebral-ich-opinie-i-przekazal-men" TargetMode="External"/><Relationship Id="rId551" Type="http://schemas.openxmlformats.org/officeDocument/2006/relationships/hyperlink" Target="https://www.rpo.gov.pl/formularz/nasi_seniorzy" TargetMode="External"/><Relationship Id="rId190" Type="http://schemas.openxmlformats.org/officeDocument/2006/relationships/hyperlink" Target="https://www.rpo.gov.pl/pl/content/seminarium-eksperckie-na-temat-zwolnienia-z-tajemnicy-adwokackiej-i-radcowskiej" TargetMode="External"/><Relationship Id="rId204" Type="http://schemas.openxmlformats.org/officeDocument/2006/relationships/hyperlink" Target="https://www.rpo.gov.pl/pl/content/rpo-uregulowac-likwidacje-niepodjetych-depozytow-szpitalnych" TargetMode="External"/><Relationship Id="rId246" Type="http://schemas.openxmlformats.org/officeDocument/2006/relationships/hyperlink" Target="https://www.rpo.gov.pl/pl/content/rpo-za-oddaleniem-przez-sad-wniosku-mswia-o-zarzad-przymusowy-dla-obywateli-rp" TargetMode="External"/><Relationship Id="rId288" Type="http://schemas.openxmlformats.org/officeDocument/2006/relationships/hyperlink" Target="https://www.rpo.gov.pl/pl/content/mkidn-wlasciciel-nieruchomosci-bedzie-zawiadamiany-o-jej-wpisie-do-rejestru-zabytkow" TargetMode="External"/><Relationship Id="rId411" Type="http://schemas.openxmlformats.org/officeDocument/2006/relationships/hyperlink" Target="https://www.tygodnikprzeglad.pl/prawa-dziecka-czyli-dekalog-michalaka/" TargetMode="External"/><Relationship Id="rId453" Type="http://schemas.openxmlformats.org/officeDocument/2006/relationships/hyperlink" Target="https://www.rpo.gov.pl/pl/content/rpo-za-ustanowieniem-terminu-doreczania-przesylek-w-upadlosci-konsumenckiej" TargetMode="External"/><Relationship Id="rId509" Type="http://schemas.openxmlformats.org/officeDocument/2006/relationships/hyperlink" Target="https://www.rpo.gov.pl/pl/content/panel/sesja-4-warsztat-pisanie-skarg-do-europejskiego-trybuna&#322;u-praw-cz&#322;owieka-blok" TargetMode="External"/><Relationship Id="rId106" Type="http://schemas.openxmlformats.org/officeDocument/2006/relationships/hyperlink" Target="https://www.rpo.gov.pl/pl/content/procedury-ochronne-w-wi%C4%99zieniach-nadmiernie-ingeruja-w-prawa-osadzonych-rpo-o-sprawie-sedziego-Sobierajskiego" TargetMode="External"/><Relationship Id="rId313" Type="http://schemas.openxmlformats.org/officeDocument/2006/relationships/hyperlink" Target="https://www.rpo.gov.pl/pl/content/elastyczny-rozklad-czasu-sluzby-policjant%C3%B3w-moze-zaradzic-brakom-kadrowym-w-policji" TargetMode="External"/><Relationship Id="rId495" Type="http://schemas.openxmlformats.org/officeDocument/2006/relationships/hyperlink" Target="https://www.rpo.gov.pl/pl/content/ulga-meldunkowa-resort-finansow-lagodzi-stanowisko-pod-wplywem-orzeczen-sadow" TargetMode="External"/><Relationship Id="rId10" Type="http://schemas.openxmlformats.org/officeDocument/2006/relationships/hyperlink" Target="https://www.rpo.gov.pl/pl/content/kolejny-korzystny-wyrok-wsa-dla-opiekun%C3%B3w-os%C3%B3b-z-niepe%C5%82nosprawno%C5%9Bciami-s%C4%85d-uznaje-argumenty-rpo" TargetMode="External"/><Relationship Id="rId52" Type="http://schemas.openxmlformats.org/officeDocument/2006/relationships/hyperlink" Target="https://www.rpo.gov.pl/pl/content/przeciwdzialanie-mobbingowi-i-dyskryminacji-w-sluzbach-mundurowych" TargetMode="External"/><Relationship Id="rId94" Type="http://schemas.openxmlformats.org/officeDocument/2006/relationships/hyperlink" Target="https://www.rpo.gov.pl/pl/content/wirusowe-zapalenie-watroby-typu-c-u-pozbawionych-wolnosci-jak-zapobiegac-jak-leczyc-rpo-pisze-do%20Sluzby%20Wieziennej" TargetMode="External"/><Relationship Id="rId148" Type="http://schemas.openxmlformats.org/officeDocument/2006/relationships/hyperlink" Target="https://www.rpo.gov.pl/pl/content/adam-bodnar-wycofal-z-trybuna%C5%82u-konstytucyjnego-wniosek-w-sprawie-ustawy-antyterrorystycznej" TargetMode="External"/><Relationship Id="rId355" Type="http://schemas.openxmlformats.org/officeDocument/2006/relationships/hyperlink" Target="https://www.rpo.gov.pl/pl/content/konferencja-Alzheimer-w-rodzinie" TargetMode="External"/><Relationship Id="rId397" Type="http://schemas.openxmlformats.org/officeDocument/2006/relationships/hyperlink" Target="https://www.rpo.gov.pl/pl/content/rpo-dozywotnie-zatrudnianie-sedziow-tk-sn-i-nsa-na-uczelniach-niekonstytucyjne" TargetMode="External"/><Relationship Id="rId520" Type="http://schemas.openxmlformats.org/officeDocument/2006/relationships/hyperlink" Target="https://www.rpo.gov.pl/pl/content/raport-kmpt-prawa-mieszkancow-domow-pomocy-spolecznej" TargetMode="External"/><Relationship Id="rId562" Type="http://schemas.openxmlformats.org/officeDocument/2006/relationships/hyperlink" Target="https://tbinternet.ohchr.org/_layouts/treatybodyexternal/Download.aspx?symbolno=INT%2fCRPD%2fIFU%2fPOL%2f30099&amp;Lang=en" TargetMode="External"/><Relationship Id="rId215" Type="http://schemas.openxmlformats.org/officeDocument/2006/relationships/hyperlink" Target="https://www.rpo.gov.pl/pl/content/RPO-do-szefa-KRRiT-kara-TVN24-2018" TargetMode="External"/><Relationship Id="rId257" Type="http://schemas.openxmlformats.org/officeDocument/2006/relationships/hyperlink" Target="https://www.rpo.gov.pl/pl/content/mo%C5%BCliwo%C5%9B%C4%87-sprzeciwu-ministra-sprawiedliwo%C5%9Bci-wobec-kandydata-na-wyk%C5%82adowc%C4%99-kssip-budzi-w%C4%85tpliwo%C5%9Bci" TargetMode="External"/><Relationship Id="rId422" Type="http://schemas.openxmlformats.org/officeDocument/2006/relationships/hyperlink" Target="https://www.rpo.gov.pl/pl/content/co-i-na-jakiej-podstawie-policja-robi-w-sprawie-akcji-%E2%80%9Eubierania%E2%80%9D-pomnikow-w-koszulki-z-napisem-KonsTYtucJA" TargetMode="External"/><Relationship Id="rId464" Type="http://schemas.openxmlformats.org/officeDocument/2006/relationships/hyperlink" Target="https://www.rpo.gov.pl/pl/content/odszkodowania-dla-rolnikow-takze-za-szkody-wyrzadzane-przez-zurawie-wydry-czy-%C5%82asice" TargetMode="External"/><Relationship Id="rId299" Type="http://schemas.openxmlformats.org/officeDocument/2006/relationships/hyperlink" Target="https://www.rpo.gov.pl/pl/content/rpo-o-reformie-oswiaty" TargetMode="External"/><Relationship Id="rId63" Type="http://schemas.openxmlformats.org/officeDocument/2006/relationships/hyperlink" Target="https://www.rpo.gov.pl/pl/content/polak-w-wiezieniu-w-zjednoczonych-emiratach-arabskich-interwencja-rpo" TargetMode="External"/><Relationship Id="rId159" Type="http://schemas.openxmlformats.org/officeDocument/2006/relationships/hyperlink" Target="https://www.rpo.gov.pl/pl/file/wyst%C4%85pienie-do-ministra-sprawiedliwo%C5%9Bci-w-sprawie-pozycji-pokrzywdzonego-oraz-przys%C5%82uguj%C4%85cych-mu" TargetMode="External"/><Relationship Id="rId366" Type="http://schemas.openxmlformats.org/officeDocument/2006/relationships/hyperlink" Target="https://www.rpo.gov.pl/pl/content/komitet-onz-zakonczyl-ocene-wykonania-przez-polske-konwencji-praw-osob-z-niepelnosprawnosciami" TargetMode="External"/><Relationship Id="rId226" Type="http://schemas.openxmlformats.org/officeDocument/2006/relationships/hyperlink" Target="https://www.rpo.gov.pl/pl/content/wyst%C4%85pienie-rzecznika-do-stra%C5%BCy-granicznej-o-kontrol%C4%99-sytuacji-na-przej%C5%9Bciu-w-terespolu" TargetMode="External"/><Relationship Id="rId433" Type="http://schemas.openxmlformats.org/officeDocument/2006/relationships/hyperlink" Target="https://www.rpo.gov.pl/pl/content/czy-wreszcie-bedzie-mozliwa-walka-ze-szkodliwymi-wyziewami-w-pomieszczeniach-odpowiedz-miir" TargetMode="External"/><Relationship Id="rId74" Type="http://schemas.openxmlformats.org/officeDocument/2006/relationships/hyperlink" Target="https://www.rpo.gov.pl/pl/content/70-latek-pobity-na-policji-w-rykach-interwencja-KMPT" TargetMode="External"/><Relationship Id="rId377" Type="http://schemas.openxmlformats.org/officeDocument/2006/relationships/hyperlink" Target="https://www.rpo.gov.pl/pl/content/kongres-praw-rodzicielskich/panel/prawo-do-zycia-rodzinnego-dylematy-rodzicow-niepelnosprawnych" TargetMode="External"/><Relationship Id="rId500" Type="http://schemas.openxmlformats.org/officeDocument/2006/relationships/hyperlink" Target="https://www.rpo.gov.pl/pl/content/rpo-za-ulatwieniami-dla-osob-starszych-i-schorowanych-w-sprawach-oplat-za-rtv" TargetMode="External"/><Relationship Id="rId5" Type="http://schemas.openxmlformats.org/officeDocument/2006/relationships/hyperlink" Target="https://www.rpo.gov.pl/pl/content/rpo-ograniczyc-egzekucje-komornicza-wobec-przedsiebiorcow-prowadzacych-jednoosobowa-dzia%C5%82alnosc-gospodarcza" TargetMode="External"/><Relationship Id="rId237" Type="http://schemas.openxmlformats.org/officeDocument/2006/relationships/hyperlink" Target="https://www.rpo.gov.pl/pl/content/sad-apelacyjny-uchyla-zakaz-marszu-rownosci-w-lublinie-zgadza-si%C4%99-z-argumentami-rpo" TargetMode="External"/><Relationship Id="rId444" Type="http://schemas.openxmlformats.org/officeDocument/2006/relationships/hyperlink" Target="https://www.rpo.gov.pl/pl/content/wsa-gmina-nie-moze-uzalezniac-przyznania-lokalu-ze-swego-zasobu-od-nieposiadania-tytulu-prawnego-do-innego-lokalu" TargetMode="External"/><Relationship Id="rId290" Type="http://schemas.openxmlformats.org/officeDocument/2006/relationships/hyperlink" Target="https://www.rpo.gov.pl/pl/content/w-ochronie-praw-wlascicieli-zabytkow-rpo-przylaczyl-sie-do-pytania-prawnego-do-trybuna%C5%82u-konstytucyjnego" TargetMode="External"/><Relationship Id="rId304" Type="http://schemas.openxmlformats.org/officeDocument/2006/relationships/hyperlink" Target="https://www.rpo.gov.pl/pl/content/rpo-w-sprawie-sytuacji-w-pll-lot" TargetMode="External"/><Relationship Id="rId388" Type="http://schemas.openxmlformats.org/officeDocument/2006/relationships/hyperlink" Target="https://www.rpo.gov.pl/pl/content/spotkanie-regionalone-rpo-w-czluchowie" TargetMode="External"/><Relationship Id="rId511" Type="http://schemas.openxmlformats.org/officeDocument/2006/relationships/hyperlink" Target="https://www.rpo.gov.pl/pl/content/raport-rpo-o-realizacji-zasady-rownego-traktowania-w-polsce" TargetMode="External"/><Relationship Id="rId85" Type="http://schemas.openxmlformats.org/officeDocument/2006/relationships/hyperlink" Target="https://www.rpo.gov.pl/pl/content/status-funkcjonariuszy-publicznych-%E2%80%93-nie-dla-straznikow-lesnych-ms-odpowiada-rpo" TargetMode="External"/><Relationship Id="rId150" Type="http://schemas.openxmlformats.org/officeDocument/2006/relationships/hyperlink" Target="https://www.rpo.gov.pl/pl/content/rpo-upomina-sie-o-zapowiadany-projekt-ustawy-o-bieglych-sadowych" TargetMode="External"/><Relationship Id="rId248" Type="http://schemas.openxmlformats.org/officeDocument/2006/relationships/hyperlink" Target="https://www.rpo.gov.pl/pl/content/cz%C5%82onkostwo-w-sp%C3%B3%C5%82ce-wodnej-powinno-by%C4%87-dobrowolne" TargetMode="External"/><Relationship Id="rId455" Type="http://schemas.openxmlformats.org/officeDocument/2006/relationships/hyperlink" Target="mailto:https://www.rpo.gov.pl/pl/content/zus-wyjasnia-na-jakich-zasadach-dzia%C5%82a-w-przypadku-rent-i-emerytur-osob-ktore-oglosily-upad%C5%82osc" TargetMode="External"/><Relationship Id="rId12" Type="http://schemas.openxmlformats.org/officeDocument/2006/relationships/hyperlink" Target="https://www.rpo.gov.pl/pl/content/pomoc-dla-pani-haliny-opiekujacej-sie-matka-wsa-zwieksza-swiadczenia" TargetMode="External"/><Relationship Id="rId108" Type="http://schemas.openxmlformats.org/officeDocument/2006/relationships/hyperlink" Target="https://www.rpo.gov.pl/pl/content/dlaczego-wiezien-ma-nosic-w-upal-gruba-bluze-rpo-pyta-szefa-sluzby-wieziennej" TargetMode="External"/><Relationship Id="rId315" Type="http://schemas.openxmlformats.org/officeDocument/2006/relationships/hyperlink" Target="https://www.rpo.gov.pl/pl/content/piloci-MIG-29-bezpieczenstwo-lot-i-ludzie-RPO-MON" TargetMode="External"/><Relationship Id="rId522" Type="http://schemas.openxmlformats.org/officeDocument/2006/relationships/hyperlink" Target="https://www.rpo.gov.pl/pl/content/zolnierze-skarza-sie-rpo-na-przestarza%C5%82y-sprzet-nowoczesniejszy-ma-jednostka-wot" TargetMode="External"/><Relationship Id="rId96" Type="http://schemas.openxmlformats.org/officeDocument/2006/relationships/hyperlink" Target="https://www.rpo.gov.pl/pl/content/rpo-apeluje-o-nowelizacje-ustawy-regulujacej-funkcjonowanie-osrodka-w-gostyninie" TargetMode="External"/><Relationship Id="rId161" Type="http://schemas.openxmlformats.org/officeDocument/2006/relationships/hyperlink" Target="https://www.rpo.gov.pl/pl/content/rzecznik-upomina-si%C4%99-o-r%C3%B3wne-prawa-dla-pokrzywdzonych-przest%C4%99pstwem" TargetMode="External"/><Relationship Id="rId399" Type="http://schemas.openxmlformats.org/officeDocument/2006/relationships/hyperlink" Target="https://www.rpo.gov.pl/pl/content/stopien-trudnosci-matury-ma-znaczenie-rpo-wystapil-do-ministra-zdrowia-i-konferencji-rektorow" TargetMode="External"/><Relationship Id="rId259" Type="http://schemas.openxmlformats.org/officeDocument/2006/relationships/hyperlink" Target="https://www.rpo.gov.pl/pl/content/ograniczenia-w-ubieganiu-sie-o-urz%C4%85d-sedziego-przez-czesc-absolwentow-kssip-naruszaja-zasady-konstytucyjne" TargetMode="External"/><Relationship Id="rId466" Type="http://schemas.openxmlformats.org/officeDocument/2006/relationships/hyperlink" Target="https://www.rpo.gov.pl/pl/content/nalezy-zmienic-przepisy-dotyczace-przeprowadzania-przeszukania-i-kontroli-osobistej"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C-DLUGA\Shared\ZKzMiKS\@@@Informacja%20roczna%202018\Kopia%20pliku%20Informacja%202018dane%20I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DLUGA\Shared\ZKzMiKS\@@@Informacja%20roczna%202018\Kopia%20pliku%20Informacja%202018dane%20I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DLUGA\Shared\ZKzMiKS\@@@Informacja%20roczna%202018\Kopia%20pliku%20Informacja%202018dane%20I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70715012078314E-2"/>
          <c:y val="7.6582024880026078E-2"/>
          <c:w val="0.95772826269056799"/>
          <c:h val="0.79124975297213507"/>
        </c:manualLayout>
      </c:layout>
      <c:bar3DChart>
        <c:barDir val="col"/>
        <c:grouping val="stacked"/>
        <c:varyColors val="0"/>
        <c:ser>
          <c:idx val="0"/>
          <c:order val="0"/>
          <c:tx>
            <c:strRef>
              <c:f>'TK-Rozp'!$A$4</c:f>
              <c:strCache>
                <c:ptCount val="1"/>
                <c:pt idx="0">
                  <c:v>uwzględnione</c:v>
                </c:pt>
              </c:strCache>
            </c:strRef>
          </c:tx>
          <c:spPr>
            <a:solidFill>
              <a:schemeClr val="accent2">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99600074041707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4A-4E69-9DA0-748B85A5F04C}"/>
                </c:ext>
              </c:extLst>
            </c:dLbl>
            <c:dLbl>
              <c:idx val="1"/>
              <c:layout>
                <c:manualLayout>
                  <c:x val="5.99700055531280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4A-4E69-9DA0-748B85A5F04C}"/>
                </c:ext>
              </c:extLst>
            </c:dLbl>
            <c:dLbl>
              <c:idx val="2"/>
              <c:layout>
                <c:manualLayout>
                  <c:x val="5.78871201157742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4A-4E69-9DA0-748B85A5F04C}"/>
                </c:ext>
              </c:extLst>
            </c:dLbl>
            <c:dLbl>
              <c:idx val="3"/>
              <c:layout>
                <c:manualLayout>
                  <c:x val="3.85914134105161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4A-4E69-9DA0-748B85A5F04C}"/>
                </c:ext>
              </c:extLst>
            </c:dLbl>
            <c:dLbl>
              <c:idx val="5"/>
              <c:layout>
                <c:manualLayout>
                  <c:x val="5.7887120115773533E-3"/>
                  <c:y val="4.14307831583023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4A-4E69-9DA0-748B85A5F04C}"/>
                </c:ext>
              </c:extLst>
            </c:dLbl>
            <c:dLbl>
              <c:idx val="7"/>
              <c:layout>
                <c:manualLayout>
                  <c:x val="5.99700055531280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4A-4E69-9DA0-748B85A5F04C}"/>
                </c:ext>
              </c:extLst>
            </c:dLbl>
            <c:dLbl>
              <c:idx val="8"/>
              <c:layout>
                <c:manualLayout>
                  <c:x val="5.78871201157742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4A-4E69-9DA0-748B85A5F04C}"/>
                </c:ext>
              </c:extLst>
            </c:dLbl>
            <c:dLbl>
              <c:idx val="9"/>
              <c:layout>
                <c:manualLayout>
                  <c:x val="6.2208398133748056E-3"/>
                  <c:y val="8.28615663166047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4A-4E69-9DA0-748B85A5F04C}"/>
                </c:ext>
              </c:extLst>
            </c:dLbl>
            <c:dLbl>
              <c:idx val="11"/>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4A-4E69-9DA0-748B85A5F04C}"/>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'TK-Rozp'!$B$3:$N$3</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'TK-Rozp'!$B$4:$N$4</c:f>
              <c:numCache>
                <c:formatCode>General</c:formatCode>
                <c:ptCount val="13"/>
                <c:pt idx="0">
                  <c:v>19</c:v>
                </c:pt>
                <c:pt idx="1">
                  <c:v>22</c:v>
                </c:pt>
                <c:pt idx="2">
                  <c:v>12</c:v>
                </c:pt>
                <c:pt idx="3">
                  <c:v>8</c:v>
                </c:pt>
                <c:pt idx="4">
                  <c:v>4</c:v>
                </c:pt>
                <c:pt idx="5">
                  <c:v>16</c:v>
                </c:pt>
                <c:pt idx="6">
                  <c:v>13</c:v>
                </c:pt>
                <c:pt idx="7">
                  <c:v>22</c:v>
                </c:pt>
                <c:pt idx="8">
                  <c:v>15</c:v>
                </c:pt>
                <c:pt idx="9">
                  <c:v>16</c:v>
                </c:pt>
                <c:pt idx="10">
                  <c:v>9</c:v>
                </c:pt>
                <c:pt idx="11">
                  <c:v>5</c:v>
                </c:pt>
                <c:pt idx="12">
                  <c:v>1</c:v>
                </c:pt>
              </c:numCache>
            </c:numRef>
          </c:val>
          <c:extLst>
            <c:ext xmlns:c16="http://schemas.microsoft.com/office/drawing/2014/chart" uri="{C3380CC4-5D6E-409C-BE32-E72D297353CC}">
              <c16:uniqueId val="{00000009-714A-4E69-9DA0-748B85A5F04C}"/>
            </c:ext>
          </c:extLst>
        </c:ser>
        <c:ser>
          <c:idx val="1"/>
          <c:order val="1"/>
          <c:tx>
            <c:strRef>
              <c:f>'TK-Rozp'!$A$5</c:f>
              <c:strCache>
                <c:ptCount val="1"/>
                <c:pt idx="0">
                  <c:v>oddalone</c:v>
                </c:pt>
              </c:strCache>
            </c:strRef>
          </c:tx>
          <c:spPr>
            <a:gradFill rotWithShape="1">
              <a:gsLst>
                <a:gs pos="0">
                  <a:schemeClr val="dk1">
                    <a:tint val="55000"/>
                    <a:shade val="51000"/>
                    <a:satMod val="130000"/>
                  </a:schemeClr>
                </a:gs>
                <a:gs pos="80000">
                  <a:schemeClr val="dk1">
                    <a:tint val="55000"/>
                    <a:shade val="93000"/>
                    <a:satMod val="130000"/>
                  </a:schemeClr>
                </a:gs>
                <a:gs pos="100000">
                  <a:schemeClr val="dk1">
                    <a:tint val="5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99800037020855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4A-4E69-9DA0-748B85A5F04C}"/>
                </c:ext>
              </c:extLst>
            </c:dLbl>
            <c:dLbl>
              <c:idx val="1"/>
              <c:layout>
                <c:manualLayout>
                  <c:x val="3.998000370208538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4A-4E69-9DA0-748B85A5F04C}"/>
                </c:ext>
              </c:extLst>
            </c:dLbl>
            <c:dLbl>
              <c:idx val="2"/>
              <c:layout>
                <c:manualLayout>
                  <c:x val="3.998000370208538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4A-4E69-9DA0-748B85A5F04C}"/>
                </c:ext>
              </c:extLst>
            </c:dLbl>
            <c:dLbl>
              <c:idx val="3"/>
              <c:layout>
                <c:manualLayout>
                  <c:x val="3.85914134105161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4A-4E69-9DA0-748B85A5F04C}"/>
                </c:ext>
              </c:extLst>
            </c:dLbl>
            <c:dLbl>
              <c:idx val="4"/>
              <c:layout>
                <c:manualLayout>
                  <c:x val="5.788712011577353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14A-4E69-9DA0-748B85A5F04C}"/>
                </c:ext>
              </c:extLst>
            </c:dLbl>
            <c:dLbl>
              <c:idx val="5"/>
              <c:layout>
                <c:manualLayout>
                  <c:x val="5.99700055531280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14A-4E69-9DA0-748B85A5F04C}"/>
                </c:ext>
              </c:extLst>
            </c:dLbl>
            <c:dLbl>
              <c:idx val="6"/>
              <c:layout>
                <c:manualLayout>
                  <c:x val="3.998000370208538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14A-4E69-9DA0-748B85A5F04C}"/>
                </c:ext>
              </c:extLst>
            </c:dLbl>
            <c:dLbl>
              <c:idx val="7"/>
              <c:layout>
                <c:manualLayout>
                  <c:x val="7.8571509965017043E-3"/>
                  <c:y val="-4.51977401129943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14A-4E69-9DA0-748B85A5F04C}"/>
                </c:ext>
              </c:extLst>
            </c:dLbl>
            <c:dLbl>
              <c:idx val="8"/>
              <c:layout>
                <c:manualLayout>
                  <c:x val="3.85914134105161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14A-4E69-9DA0-748B85A5F04C}"/>
                </c:ext>
              </c:extLst>
            </c:dLbl>
            <c:dLbl>
              <c:idx val="9"/>
              <c:layout>
                <c:manualLayout>
                  <c:x val="4.1472265422498704E-3"/>
                  <c:y val="4.51977401129951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14A-4E69-9DA0-748B85A5F04C}"/>
                </c:ext>
              </c:extLst>
            </c:dLbl>
            <c:dLbl>
              <c:idx val="10"/>
              <c:layout>
                <c:manualLayout>
                  <c:x val="1.8912529550827422E-3"/>
                  <c:y val="4.90196078431372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14A-4E69-9DA0-748B85A5F04C}"/>
                </c:ext>
              </c:extLst>
            </c:dLbl>
            <c:dLbl>
              <c:idx val="11"/>
              <c:layout>
                <c:manualLayout>
                  <c:x val="1.8912529550827422E-3"/>
                  <c:y val="4.12796563452357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14A-4E69-9DA0-748B85A5F04C}"/>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'TK-Rozp'!$B$3:$N$3</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'TK-Rozp'!$B$5:$N$5</c:f>
              <c:numCache>
                <c:formatCode>General</c:formatCode>
                <c:ptCount val="13"/>
                <c:pt idx="0">
                  <c:v>5</c:v>
                </c:pt>
                <c:pt idx="1">
                  <c:v>6</c:v>
                </c:pt>
                <c:pt idx="2">
                  <c:v>9</c:v>
                </c:pt>
                <c:pt idx="3">
                  <c:v>7</c:v>
                </c:pt>
                <c:pt idx="4">
                  <c:v>9</c:v>
                </c:pt>
                <c:pt idx="5">
                  <c:v>2</c:v>
                </c:pt>
                <c:pt idx="6">
                  <c:v>7</c:v>
                </c:pt>
                <c:pt idx="7">
                  <c:v>7</c:v>
                </c:pt>
                <c:pt idx="8">
                  <c:v>8</c:v>
                </c:pt>
                <c:pt idx="9">
                  <c:v>6</c:v>
                </c:pt>
                <c:pt idx="10">
                  <c:v>6</c:v>
                </c:pt>
                <c:pt idx="11">
                  <c:v>2</c:v>
                </c:pt>
              </c:numCache>
            </c:numRef>
          </c:val>
          <c:extLst>
            <c:ext xmlns:c16="http://schemas.microsoft.com/office/drawing/2014/chart" uri="{C3380CC4-5D6E-409C-BE32-E72D297353CC}">
              <c16:uniqueId val="{00000016-714A-4E69-9DA0-748B85A5F04C}"/>
            </c:ext>
          </c:extLst>
        </c:ser>
        <c:ser>
          <c:idx val="2"/>
          <c:order val="2"/>
          <c:tx>
            <c:strRef>
              <c:f>'TK-Rozp'!$A$6</c:f>
              <c:strCache>
                <c:ptCount val="1"/>
                <c:pt idx="0">
                  <c:v>umorzone</c:v>
                </c:pt>
              </c:strCache>
            </c:strRef>
          </c:tx>
          <c:spPr>
            <a:gradFill rotWithShape="1">
              <a:gsLst>
                <a:gs pos="0">
                  <a:schemeClr val="dk1">
                    <a:tint val="75000"/>
                    <a:shade val="51000"/>
                    <a:satMod val="130000"/>
                  </a:schemeClr>
                </a:gs>
                <a:gs pos="80000">
                  <a:schemeClr val="dk1">
                    <a:tint val="75000"/>
                    <a:shade val="93000"/>
                    <a:satMod val="130000"/>
                  </a:schemeClr>
                </a:gs>
                <a:gs pos="100000">
                  <a:schemeClr val="dk1">
                    <a:tint val="7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995000925521345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14A-4E69-9DA0-748B85A5F04C}"/>
                </c:ext>
              </c:extLst>
            </c:dLbl>
            <c:dLbl>
              <c:idx val="2"/>
              <c:layout>
                <c:manualLayout>
                  <c:x val="5.99700055531280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14A-4E69-9DA0-748B85A5F04C}"/>
                </c:ext>
              </c:extLst>
            </c:dLbl>
            <c:dLbl>
              <c:idx val="3"/>
              <c:layout>
                <c:manualLayout>
                  <c:x val="5.99700055531288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14A-4E69-9DA0-748B85A5F04C}"/>
                </c:ext>
              </c:extLst>
            </c:dLbl>
            <c:dLbl>
              <c:idx val="4"/>
              <c:layout>
                <c:manualLayout>
                  <c:x val="5.78871201157742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14A-4E69-9DA0-748B85A5F04C}"/>
                </c:ext>
              </c:extLst>
            </c:dLbl>
            <c:dLbl>
              <c:idx val="6"/>
              <c:layout>
                <c:manualLayout>
                  <c:x val="3.85914134105161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14A-4E69-9DA0-748B85A5F04C}"/>
                </c:ext>
              </c:extLst>
            </c:dLbl>
            <c:dLbl>
              <c:idx val="7"/>
              <c:layout>
                <c:manualLayout>
                  <c:x val="3.8591413410516162E-3"/>
                  <c:y val="8.28615663166047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14A-4E69-9DA0-748B85A5F04C}"/>
                </c:ext>
              </c:extLst>
            </c:dLbl>
            <c:dLbl>
              <c:idx val="8"/>
              <c:layout>
                <c:manualLayout>
                  <c:x val="1.929570670525808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14A-4E69-9DA0-748B85A5F04C}"/>
                </c:ext>
              </c:extLst>
            </c:dLbl>
            <c:dLbl>
              <c:idx val="9"/>
              <c:layout>
                <c:manualLayout>
                  <c:x val="4.14722654224987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14A-4E69-9DA0-748B85A5F04C}"/>
                </c:ext>
              </c:extLst>
            </c:dLbl>
            <c:dLbl>
              <c:idx val="11"/>
              <c:layout>
                <c:manualLayout>
                  <c:x val="0"/>
                  <c:y val="-8.25593126904714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14A-4E69-9DA0-748B85A5F04C}"/>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'TK-Rozp'!$B$3:$N$3</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'TK-Rozp'!$B$6:$N$6</c:f>
              <c:numCache>
                <c:formatCode>General</c:formatCode>
                <c:ptCount val="13"/>
                <c:pt idx="0">
                  <c:v>18</c:v>
                </c:pt>
                <c:pt idx="1">
                  <c:v>13</c:v>
                </c:pt>
                <c:pt idx="2">
                  <c:v>15</c:v>
                </c:pt>
                <c:pt idx="3">
                  <c:v>11</c:v>
                </c:pt>
                <c:pt idx="4">
                  <c:v>7</c:v>
                </c:pt>
                <c:pt idx="5">
                  <c:v>8</c:v>
                </c:pt>
                <c:pt idx="6">
                  <c:v>11</c:v>
                </c:pt>
                <c:pt idx="7">
                  <c:v>11</c:v>
                </c:pt>
                <c:pt idx="8">
                  <c:v>8</c:v>
                </c:pt>
                <c:pt idx="9">
                  <c:v>16</c:v>
                </c:pt>
                <c:pt idx="10">
                  <c:v>21</c:v>
                </c:pt>
                <c:pt idx="11">
                  <c:v>5</c:v>
                </c:pt>
              </c:numCache>
            </c:numRef>
          </c:val>
          <c:extLst>
            <c:ext xmlns:c16="http://schemas.microsoft.com/office/drawing/2014/chart" uri="{C3380CC4-5D6E-409C-BE32-E72D297353CC}">
              <c16:uniqueId val="{00000020-714A-4E69-9DA0-748B85A5F04C}"/>
            </c:ext>
          </c:extLst>
        </c:ser>
        <c:ser>
          <c:idx val="3"/>
          <c:order val="3"/>
          <c:tx>
            <c:strRef>
              <c:f>'TK-Rozp'!$A$7</c:f>
              <c:strCache>
                <c:ptCount val="1"/>
                <c:pt idx="0">
                  <c:v>w toku</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7.9960007404170762E-3"/>
                  <c:y val="-9.05339335681421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14A-4E69-9DA0-748B85A5F04C}"/>
                </c:ext>
              </c:extLst>
            </c:dLbl>
            <c:dLbl>
              <c:idx val="3"/>
              <c:layout>
                <c:manualLayout>
                  <c:x val="7.9960007404170762E-3"/>
                  <c:y val="-9.05339335681421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14A-4E69-9DA0-748B85A5F04C}"/>
                </c:ext>
              </c:extLst>
            </c:dLbl>
            <c:dLbl>
              <c:idx val="4"/>
              <c:layout>
                <c:manualLayout>
                  <c:x val="5.99700055531280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14A-4E69-9DA0-748B85A5F04C}"/>
                </c:ext>
              </c:extLst>
            </c:dLbl>
            <c:dLbl>
              <c:idx val="5"/>
              <c:layout>
                <c:manualLayout>
                  <c:x val="5.9970005553128076E-3"/>
                  <c:y val="-4.9382716049382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14A-4E69-9DA0-748B85A5F04C}"/>
                </c:ext>
              </c:extLst>
            </c:dLbl>
            <c:dLbl>
              <c:idx val="6"/>
              <c:layout>
                <c:manualLayout>
                  <c:x val="4.1472265422498704E-3"/>
                  <c:y val="1.0416666666666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14A-4E69-9DA0-748B85A5F04C}"/>
                </c:ext>
              </c:extLst>
            </c:dLbl>
            <c:dLbl>
              <c:idx val="7"/>
              <c:layout>
                <c:manualLayout>
                  <c:x val="5.7887120115774236E-3"/>
                  <c:y val="-4.14307831583023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14A-4E69-9DA0-748B85A5F04C}"/>
                </c:ext>
              </c:extLst>
            </c:dLbl>
            <c:dLbl>
              <c:idx val="8"/>
              <c:layout>
                <c:manualLayout>
                  <c:x val="5.78871201157742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14A-4E69-9DA0-748B85A5F04C}"/>
                </c:ext>
              </c:extLst>
            </c:dLbl>
            <c:dLbl>
              <c:idx val="9"/>
              <c:layout>
                <c:manualLayout>
                  <c:x val="4.14722654224987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14A-4E69-9DA0-748B85A5F04C}"/>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'TK-Rozp'!$B$3:$N$3</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'TK-Rozp'!$B$7:$N$7</c:f>
              <c:numCache>
                <c:formatCode>General</c:formatCode>
                <c:ptCount val="13"/>
                <c:pt idx="2">
                  <c:v>1</c:v>
                </c:pt>
                <c:pt idx="8">
                  <c:v>1</c:v>
                </c:pt>
                <c:pt idx="9">
                  <c:v>4</c:v>
                </c:pt>
                <c:pt idx="10">
                  <c:v>19</c:v>
                </c:pt>
                <c:pt idx="11">
                  <c:v>12</c:v>
                </c:pt>
                <c:pt idx="12">
                  <c:v>12</c:v>
                </c:pt>
              </c:numCache>
            </c:numRef>
          </c:val>
          <c:extLst>
            <c:ext xmlns:c16="http://schemas.microsoft.com/office/drawing/2014/chart" uri="{C3380CC4-5D6E-409C-BE32-E72D297353CC}">
              <c16:uniqueId val="{00000029-714A-4E69-9DA0-748B85A5F04C}"/>
            </c:ext>
          </c:extLst>
        </c:ser>
        <c:dLbls>
          <c:showLegendKey val="0"/>
          <c:showVal val="1"/>
          <c:showCatName val="0"/>
          <c:showSerName val="0"/>
          <c:showPercent val="0"/>
          <c:showBubbleSize val="0"/>
        </c:dLbls>
        <c:gapWidth val="58"/>
        <c:gapDepth val="0"/>
        <c:shape val="box"/>
        <c:axId val="123928960"/>
        <c:axId val="123930496"/>
        <c:axId val="0"/>
      </c:bar3DChart>
      <c:catAx>
        <c:axId val="12392896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pl-PL"/>
          </a:p>
        </c:txPr>
        <c:crossAx val="123930496"/>
        <c:crosses val="autoZero"/>
        <c:auto val="1"/>
        <c:lblAlgn val="ctr"/>
        <c:lblOffset val="100"/>
        <c:noMultiLvlLbl val="0"/>
      </c:catAx>
      <c:valAx>
        <c:axId val="123930496"/>
        <c:scaling>
          <c:orientation val="minMax"/>
          <c:max val="55"/>
        </c:scaling>
        <c:delete val="0"/>
        <c:axPos val="l"/>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23928960"/>
        <c:crosses val="autoZero"/>
        <c:crossBetween val="between"/>
        <c:majorUnit val="5"/>
      </c:valAx>
      <c:spPr>
        <a:noFill/>
        <a:ln>
          <a:noFill/>
        </a:ln>
        <a:effectLst/>
      </c:spPr>
    </c:plotArea>
    <c:legend>
      <c:legendPos val="b"/>
      <c:layout>
        <c:manualLayout>
          <c:xMode val="edge"/>
          <c:yMode val="edge"/>
          <c:x val="5.5400905368943966E-2"/>
          <c:y val="0.92852637804068616"/>
          <c:w val="0.89098028703858823"/>
          <c:h val="7.147361222345881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Times New Roman" pitchFamily="18" charset="0"/>
              </a:defRPr>
            </a:pPr>
            <a:r>
              <a:rPr lang="en-US" sz="1200">
                <a:latin typeface="Times New Roman" pitchFamily="18" charset="0"/>
                <a:cs typeface="Times New Roman" pitchFamily="18" charset="0"/>
              </a:rPr>
              <a:t>Rozpatrzenie spraw w </a:t>
            </a:r>
            <a:r>
              <a:rPr lang="pl-PL" sz="1200">
                <a:latin typeface="Times New Roman" pitchFamily="18" charset="0"/>
                <a:cs typeface="Times New Roman" pitchFamily="18" charset="0"/>
              </a:rPr>
              <a:t>Biurach Pełnomocników</a:t>
            </a:r>
            <a:r>
              <a:rPr lang="en-US" sz="1200">
                <a:latin typeface="Times New Roman" pitchFamily="18" charset="0"/>
                <a:cs typeface="Times New Roman" pitchFamily="18" charset="0"/>
              </a:rPr>
              <a:t> Terenowych</a:t>
            </a:r>
            <a:r>
              <a:rPr lang="pl-PL" sz="1200">
                <a:latin typeface="Times New Roman" pitchFamily="18" charset="0"/>
                <a:cs typeface="Times New Roman" pitchFamily="18" charset="0"/>
              </a:rPr>
              <a:t> RPO</a:t>
            </a:r>
            <a:endParaRPr lang="en-US" sz="1200">
              <a:latin typeface="Times New Roman" pitchFamily="18" charset="0"/>
              <a:cs typeface="Times New Roman" pitchFamily="18" charset="0"/>
            </a:endParaRPr>
          </a:p>
        </c:rich>
      </c:tx>
      <c:layout>
        <c:manualLayout>
          <c:xMode val="edge"/>
          <c:yMode val="edge"/>
          <c:x val="0.14910411198600174"/>
          <c:y val="1.785714285714285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Times New Roman" pitchFamily="18" charset="0"/>
            </a:defRPr>
          </a:pPr>
          <a:endParaRPr lang="pl-PL"/>
        </a:p>
      </c:txPr>
    </c:title>
    <c:autoTitleDeleted val="0"/>
    <c:view3D>
      <c:rotX val="30"/>
      <c:rotY val="2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898205787103836E-3"/>
          <c:y val="0.35557414698162731"/>
          <c:w val="0.50880139982502193"/>
          <c:h val="0.59625281214848147"/>
        </c:manualLayout>
      </c:layout>
      <c:pie3DChart>
        <c:varyColors val="1"/>
        <c:ser>
          <c:idx val="0"/>
          <c:order val="0"/>
          <c:explosion val="15"/>
          <c:dPt>
            <c:idx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D3E-43EF-AA45-CA7311DB74BB}"/>
              </c:ext>
            </c:extLst>
          </c:dPt>
          <c:dPt>
            <c:idx val="1"/>
            <c:bubble3D val="0"/>
            <c:spPr>
              <a:solidFill>
                <a:schemeClr val="dk1">
                  <a:tint val="5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D3E-43EF-AA45-CA7311DB74BB}"/>
              </c:ext>
            </c:extLst>
          </c:dPt>
          <c:dPt>
            <c:idx val="2"/>
            <c:bubble3D val="0"/>
            <c:spPr>
              <a:solidFill>
                <a:schemeClr val="dk1">
                  <a:tint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D3E-43EF-AA45-CA7311DB74BB}"/>
              </c:ext>
            </c:extLst>
          </c:dPt>
          <c:dLbls>
            <c:dLbl>
              <c:idx val="0"/>
              <c:layout>
                <c:manualLayout>
                  <c:x val="-7.4889905777484625E-2"/>
                  <c:y val="-0.23413338957630303"/>
                </c:manualLayout>
              </c:layout>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pl-P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3E-43EF-AA45-CA7311DB74BB}"/>
                </c:ext>
              </c:extLst>
            </c:dLbl>
            <c:dLbl>
              <c:idx val="1"/>
              <c:layout>
                <c:manualLayout>
                  <c:x val="4.4031459418358038E-2"/>
                  <c:y val="7.7658886389201348E-2"/>
                </c:manualLayout>
              </c:layout>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pl-P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D3E-43EF-AA45-CA7311DB74BB}"/>
                </c:ext>
              </c:extLst>
            </c:dLbl>
            <c:dLbl>
              <c:idx val="2"/>
              <c:layout>
                <c:manualLayout>
                  <c:x val="2.9673665791776029E-2"/>
                  <c:y val="-1.5246531683539557E-3"/>
                </c:manualLayout>
              </c:layout>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pl-P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D3E-43EF-AA45-CA7311DB74BB}"/>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pl-PL"/>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('Rozp-Teren'!$A$6,'Rozp-Teren'!$A$9,'Rozp-Teren'!$A$11)</c:f>
              <c:strCache>
                <c:ptCount val="3"/>
                <c:pt idx="0">
                  <c:v>Podjęto do prowadzenia</c:v>
                </c:pt>
                <c:pt idx="1">
                  <c:v>Udzielono wyjaśnień, wskazano wnioskodawcy przysługujące środki działania</c:v>
                </c:pt>
                <c:pt idx="2">
                  <c:v>Inne</c:v>
                </c:pt>
              </c:strCache>
            </c:strRef>
          </c:cat>
          <c:val>
            <c:numRef>
              <c:f>('Rozp-Teren'!$D$6,'Rozp-Teren'!$D$9,'Rozp-Teren'!$D$11)</c:f>
              <c:numCache>
                <c:formatCode>0.0</c:formatCode>
                <c:ptCount val="3"/>
                <c:pt idx="0">
                  <c:v>39.020000000000003</c:v>
                </c:pt>
                <c:pt idx="1">
                  <c:v>45.1</c:v>
                </c:pt>
                <c:pt idx="2">
                  <c:v>15.86</c:v>
                </c:pt>
              </c:numCache>
            </c:numRef>
          </c:val>
          <c:extLst>
            <c:ext xmlns:c16="http://schemas.microsoft.com/office/drawing/2014/chart" uri="{C3380CC4-5D6E-409C-BE32-E72D297353CC}">
              <c16:uniqueId val="{00000006-1D3E-43EF-AA45-CA7311DB74BB}"/>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4842522433386926"/>
          <c:y val="0.35211801649793778"/>
          <c:w val="0.51296991017484073"/>
          <c:h val="0.5585962692163479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pl-PL"/>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Times New Roman" pitchFamily="18" charset="0"/>
              </a:defRPr>
            </a:pPr>
            <a:r>
              <a:rPr lang="pl-PL" sz="1200">
                <a:latin typeface="Times New Roman" pitchFamily="18" charset="0"/>
                <a:cs typeface="Times New Roman" pitchFamily="18" charset="0"/>
              </a:rPr>
              <a:t>Zakończenie spraw podjętych w Biurach Pelnomocników  Terenowych RPO</a:t>
            </a:r>
          </a:p>
        </c:rich>
      </c:tx>
      <c:layout>
        <c:manualLayout>
          <c:xMode val="edge"/>
          <c:yMode val="edge"/>
          <c:x val="0.13981252343457068"/>
          <c:y val="1.687760458514114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Times New Roman" pitchFamily="18" charset="0"/>
            </a:defRPr>
          </a:pPr>
          <a:endParaRPr lang="pl-PL"/>
        </a:p>
      </c:txPr>
    </c:title>
    <c:autoTitleDeleted val="0"/>
    <c:view3D>
      <c:rotX val="30"/>
      <c:rotY val="12"/>
      <c:rAngAx val="0"/>
      <c:perspective val="1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5464009855910866"/>
          <c:w val="0.55304086989126355"/>
          <c:h val="0.62480004285178636"/>
        </c:manualLayout>
      </c:layout>
      <c:pie3DChart>
        <c:varyColors val="1"/>
        <c:ser>
          <c:idx val="0"/>
          <c:order val="0"/>
          <c:explosion val="18"/>
          <c:dPt>
            <c:idx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C3B-42F2-A44E-483C40A2CDFF}"/>
              </c:ext>
            </c:extLst>
          </c:dPt>
          <c:dPt>
            <c:idx val="1"/>
            <c:bubble3D val="0"/>
            <c:spPr>
              <a:solidFill>
                <a:schemeClr val="dk1">
                  <a:tint val="5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C3B-42F2-A44E-483C40A2CDFF}"/>
              </c:ext>
            </c:extLst>
          </c:dPt>
          <c:dPt>
            <c:idx val="2"/>
            <c:bubble3D val="0"/>
            <c:spPr>
              <a:solidFill>
                <a:schemeClr val="dk1">
                  <a:tint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C3B-42F2-A44E-483C40A2CDFF}"/>
              </c:ext>
            </c:extLst>
          </c:dPt>
          <c:dLbls>
            <c:dLbl>
              <c:idx val="0"/>
              <c:layout>
                <c:manualLayout>
                  <c:x val="-3.1824146981627298E-2"/>
                  <c:y val="-3.08965665006159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C3B-42F2-A44E-483C40A2CDFF}"/>
                </c:ext>
              </c:extLst>
            </c:dLbl>
            <c:dLbl>
              <c:idx val="1"/>
              <c:layout>
                <c:manualLayout>
                  <c:x val="-7.3140232470941136E-3"/>
                  <c:y val="1.89404895816594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3B-42F2-A44E-483C40A2CDFF}"/>
                </c:ext>
              </c:extLst>
            </c:dLbl>
            <c:dLbl>
              <c:idx val="2"/>
              <c:layout>
                <c:manualLayout>
                  <c:x val="2.8981252343457067E-2"/>
                  <c:y val="-0.4124351598907278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C3B-42F2-A44E-483C40A2CDFF}"/>
                </c:ext>
              </c:extLst>
            </c:dLbl>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pl-PL"/>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('Zak-Teren'!$A$5,'Zak-Teren'!$A$8,'Zak-Teren'!$A$11)</c:f>
              <c:strCache>
                <c:ptCount val="3"/>
                <c:pt idx="0">
                  <c:v>Uzyskano rozwiązanie oczekiwane przez wnioskodawcę</c:v>
                </c:pt>
                <c:pt idx="1">
                  <c:v>Odstąpiono od dalszego prowadzenia sprawy</c:v>
                </c:pt>
                <c:pt idx="2">
                  <c:v>Nie uzyskano rozwiązania oczekiwanego przez wnioskodawcę</c:v>
                </c:pt>
              </c:strCache>
            </c:strRef>
          </c:cat>
          <c:val>
            <c:numRef>
              <c:f>('Zak-Teren'!$E$5,'Zak-Teren'!$E$8,'Zak-Teren'!$E$11)</c:f>
              <c:numCache>
                <c:formatCode>0.0</c:formatCode>
                <c:ptCount val="3"/>
                <c:pt idx="0">
                  <c:v>17.3</c:v>
                </c:pt>
                <c:pt idx="1">
                  <c:v>6</c:v>
                </c:pt>
                <c:pt idx="2">
                  <c:v>76.7</c:v>
                </c:pt>
              </c:numCache>
            </c:numRef>
          </c:val>
          <c:extLst>
            <c:ext xmlns:c16="http://schemas.microsoft.com/office/drawing/2014/chart" uri="{C3380CC4-5D6E-409C-BE32-E72D297353CC}">
              <c16:uniqueId val="{00000006-8C3B-42F2-A44E-483C40A2CDFF}"/>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6356561679790029"/>
          <c:y val="0.33641609084578711"/>
          <c:w val="0.43524596925384329"/>
          <c:h val="0.6503637045369329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pl-PL"/>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2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2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93DCA-6F88-4E9C-ACEC-62336799F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582</Pages>
  <Words>185997</Words>
  <Characters>1115985</Characters>
  <Application>Microsoft Office Word</Application>
  <DocSecurity>0</DocSecurity>
  <Lines>9299</Lines>
  <Paragraphs>2598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2019-06-17T06:37:00Z</dcterms:created>
  <dcterms:modified xsi:type="dcterms:W3CDTF">2019-07-01T08:58:00Z</dcterms:modified>
</cp:coreProperties>
</file>